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9.xml" ContentType="application/vnd.openxmlformats-officedocument.wordprocessingml.header+xml"/>
  <Override PartName="/word/footer11.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2.xml" ContentType="application/vnd.openxmlformats-officedocument.wordprocessingml.head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51B86FC" w14:textId="77777777" w:rsidR="002C2BB0" w:rsidRPr="0098635C" w:rsidRDefault="002C2BB0" w:rsidP="002C2BB0">
      <w:pPr>
        <w:pStyle w:val="AnnexHeading"/>
        <w:spacing w:before="0"/>
        <w:rPr>
          <w:rFonts w:ascii="Times New Roman" w:hAnsi="Times New Roman"/>
          <w:lang w:val="en-GB"/>
        </w:rPr>
      </w:pPr>
      <w:r w:rsidRPr="0098635C">
        <w:rPr>
          <w:rFonts w:ascii="Times New Roman" w:hAnsi="Times New Roman"/>
          <w:lang w:val="en-GB"/>
        </w:rPr>
        <w:t>SIDS initial assessment PROFILE</w:t>
      </w:r>
    </w:p>
    <w:tbl>
      <w:tblPr>
        <w:tblW w:w="9568" w:type="dxa"/>
        <w:tblLayout w:type="fixed"/>
        <w:tblCellMar>
          <w:left w:w="70" w:type="dxa"/>
          <w:right w:w="70" w:type="dxa"/>
        </w:tblCellMar>
        <w:tblLook w:val="0000" w:firstRow="0" w:lastRow="0" w:firstColumn="0" w:lastColumn="0" w:noHBand="0" w:noVBand="0"/>
      </w:tblPr>
      <w:tblGrid>
        <w:gridCol w:w="3331"/>
        <w:gridCol w:w="6237"/>
      </w:tblGrid>
      <w:tr w:rsidR="002C2BB0" w:rsidRPr="0098635C" w14:paraId="2B2CCB86" w14:textId="77777777" w:rsidTr="002C2BB0">
        <w:trPr>
          <w:trHeight w:hRule="exact" w:val="720"/>
        </w:trPr>
        <w:tc>
          <w:tcPr>
            <w:tcW w:w="3331" w:type="dxa"/>
            <w:tcBorders>
              <w:top w:val="double" w:sz="6" w:space="0" w:color="auto"/>
              <w:left w:val="double" w:sz="6" w:space="0" w:color="auto"/>
              <w:bottom w:val="single" w:sz="12" w:space="0" w:color="auto"/>
              <w:right w:val="double" w:sz="6" w:space="0" w:color="auto"/>
            </w:tcBorders>
            <w:shd w:val="pct10" w:color="auto" w:fill="auto"/>
          </w:tcPr>
          <w:p w14:paraId="4C16416C" w14:textId="77777777" w:rsidR="002C2BB0" w:rsidRPr="0098635C" w:rsidRDefault="002C2BB0" w:rsidP="002C2BB0">
            <w:pPr>
              <w:spacing w:after="0"/>
              <w:rPr>
                <w:sz w:val="20"/>
                <w:szCs w:val="20"/>
              </w:rPr>
            </w:pPr>
            <w:r w:rsidRPr="0098635C">
              <w:rPr>
                <w:sz w:val="20"/>
                <w:szCs w:val="20"/>
              </w:rPr>
              <w:t>Category Name</w:t>
            </w:r>
          </w:p>
          <w:p w14:paraId="0CD897D7" w14:textId="77777777" w:rsidR="002C2BB0" w:rsidRPr="0098635C" w:rsidRDefault="002C2BB0" w:rsidP="002C2BB0">
            <w:pPr>
              <w:spacing w:after="0"/>
              <w:rPr>
                <w:sz w:val="20"/>
                <w:szCs w:val="20"/>
              </w:rPr>
            </w:pPr>
          </w:p>
          <w:p w14:paraId="6C45D125" w14:textId="77777777" w:rsidR="002C2BB0" w:rsidRPr="0098635C" w:rsidRDefault="002C2BB0" w:rsidP="002C2BB0">
            <w:pPr>
              <w:spacing w:after="0"/>
              <w:rPr>
                <w:sz w:val="20"/>
                <w:szCs w:val="20"/>
              </w:rPr>
            </w:pPr>
          </w:p>
        </w:tc>
        <w:tc>
          <w:tcPr>
            <w:tcW w:w="6237" w:type="dxa"/>
            <w:tcBorders>
              <w:top w:val="double" w:sz="6" w:space="0" w:color="auto"/>
              <w:left w:val="double" w:sz="6" w:space="0" w:color="auto"/>
              <w:bottom w:val="single" w:sz="12" w:space="0" w:color="auto"/>
              <w:right w:val="double" w:sz="6" w:space="0" w:color="auto"/>
            </w:tcBorders>
          </w:tcPr>
          <w:p w14:paraId="4D756191" w14:textId="77777777" w:rsidR="002C2BB0" w:rsidRPr="0098635C" w:rsidRDefault="002C2BB0" w:rsidP="002C2BB0">
            <w:pPr>
              <w:spacing w:after="0"/>
              <w:rPr>
                <w:sz w:val="20"/>
                <w:szCs w:val="20"/>
              </w:rPr>
            </w:pPr>
            <w:r w:rsidRPr="0098635C">
              <w:rPr>
                <w:sz w:val="20"/>
                <w:szCs w:val="20"/>
              </w:rPr>
              <w:t>Copper and copper compounds</w:t>
            </w:r>
          </w:p>
        </w:tc>
      </w:tr>
      <w:tr w:rsidR="002C2BB0" w:rsidRPr="0098635C" w14:paraId="644A1B42" w14:textId="77777777" w:rsidTr="002C2BB0">
        <w:trPr>
          <w:trHeight w:hRule="exact" w:val="1471"/>
        </w:trPr>
        <w:tc>
          <w:tcPr>
            <w:tcW w:w="3331" w:type="dxa"/>
            <w:tcBorders>
              <w:top w:val="single" w:sz="12" w:space="0" w:color="auto"/>
              <w:left w:val="double" w:sz="6" w:space="0" w:color="auto"/>
              <w:bottom w:val="single" w:sz="12" w:space="0" w:color="auto"/>
              <w:right w:val="double" w:sz="6" w:space="0" w:color="auto"/>
            </w:tcBorders>
            <w:shd w:val="pct10" w:color="auto" w:fill="auto"/>
          </w:tcPr>
          <w:p w14:paraId="708890F8" w14:textId="77777777" w:rsidR="002C2BB0" w:rsidRPr="0098635C" w:rsidRDefault="002C2BB0" w:rsidP="002C2BB0">
            <w:pPr>
              <w:spacing w:after="0"/>
              <w:rPr>
                <w:caps/>
                <w:sz w:val="20"/>
                <w:szCs w:val="20"/>
              </w:rPr>
            </w:pPr>
            <w:r w:rsidRPr="0098635C">
              <w:rPr>
                <w:sz w:val="20"/>
                <w:szCs w:val="20"/>
              </w:rPr>
              <w:t>CAS No(s) and chemical name</w:t>
            </w:r>
          </w:p>
        </w:tc>
        <w:tc>
          <w:tcPr>
            <w:tcW w:w="6237" w:type="dxa"/>
            <w:tcBorders>
              <w:top w:val="single" w:sz="12" w:space="0" w:color="auto"/>
              <w:left w:val="double" w:sz="6" w:space="0" w:color="auto"/>
              <w:bottom w:val="single" w:sz="12" w:space="0" w:color="auto"/>
              <w:right w:val="double" w:sz="6" w:space="0" w:color="auto"/>
            </w:tcBorders>
          </w:tcPr>
          <w:p w14:paraId="422E6A43" w14:textId="77777777" w:rsidR="002C2BB0" w:rsidRPr="0098635C" w:rsidRDefault="002C2BB0" w:rsidP="002C2BB0">
            <w:pPr>
              <w:spacing w:after="0"/>
              <w:rPr>
                <w:sz w:val="20"/>
                <w:szCs w:val="20"/>
                <w:lang w:val="fr-FR"/>
              </w:rPr>
            </w:pPr>
            <w:r w:rsidRPr="0098635C">
              <w:rPr>
                <w:sz w:val="20"/>
                <w:szCs w:val="20"/>
                <w:lang w:val="fr-FR"/>
              </w:rPr>
              <w:t xml:space="preserve">CAS 7440-50-8 </w:t>
            </w:r>
            <w:r w:rsidRPr="0098635C">
              <w:rPr>
                <w:sz w:val="20"/>
                <w:szCs w:val="20"/>
                <w:lang w:val="fr-BE"/>
              </w:rPr>
              <w:t>(copper powder</w:t>
            </w:r>
            <w:r w:rsidRPr="0098635C">
              <w:rPr>
                <w:sz w:val="20"/>
                <w:szCs w:val="20"/>
                <w:lang w:val="fr-FR"/>
              </w:rPr>
              <w:t xml:space="preserve"> and ma</w:t>
            </w:r>
            <w:r w:rsidRPr="0098635C">
              <w:rPr>
                <w:sz w:val="20"/>
                <w:szCs w:val="20"/>
                <w:lang w:val="fr-FR"/>
              </w:rPr>
              <w:t>s</w:t>
            </w:r>
            <w:r w:rsidRPr="0098635C">
              <w:rPr>
                <w:sz w:val="20"/>
                <w:szCs w:val="20"/>
                <w:lang w:val="fr-FR"/>
              </w:rPr>
              <w:t>sive</w:t>
            </w:r>
            <w:r w:rsidRPr="0098635C">
              <w:rPr>
                <w:rStyle w:val="FootnoteReference"/>
                <w:sz w:val="20"/>
                <w:szCs w:val="20"/>
              </w:rPr>
              <w:footnoteReference w:id="1"/>
            </w:r>
            <w:r w:rsidRPr="0098635C">
              <w:rPr>
                <w:sz w:val="20"/>
                <w:szCs w:val="20"/>
                <w:lang w:val="fr-FR"/>
              </w:rPr>
              <w:t>)</w:t>
            </w:r>
          </w:p>
          <w:p w14:paraId="09AF6309" w14:textId="77777777" w:rsidR="002C2BB0" w:rsidRPr="0098635C" w:rsidRDefault="002C2BB0" w:rsidP="002C2BB0">
            <w:pPr>
              <w:spacing w:after="0"/>
              <w:rPr>
                <w:sz w:val="20"/>
                <w:szCs w:val="20"/>
                <w:lang w:val="fr-FR"/>
              </w:rPr>
            </w:pPr>
            <w:r w:rsidRPr="0098635C">
              <w:rPr>
                <w:sz w:val="20"/>
                <w:szCs w:val="20"/>
                <w:lang w:val="fr-FR"/>
              </w:rPr>
              <w:t xml:space="preserve">CAS 7758-99-8 </w:t>
            </w:r>
            <w:r w:rsidRPr="0098635C">
              <w:rPr>
                <w:sz w:val="20"/>
                <w:szCs w:val="20"/>
                <w:lang w:val="fr-BE"/>
              </w:rPr>
              <w:t>(copper sulphate</w:t>
            </w:r>
            <w:r w:rsidRPr="0098635C">
              <w:rPr>
                <w:sz w:val="20"/>
                <w:szCs w:val="20"/>
                <w:lang w:val="fr-FR"/>
              </w:rPr>
              <w:t xml:space="preserve"> </w:t>
            </w:r>
            <w:r w:rsidRPr="0098635C">
              <w:rPr>
                <w:sz w:val="20"/>
                <w:szCs w:val="20"/>
                <w:lang w:val="fr-BE"/>
              </w:rPr>
              <w:t>pent</w:t>
            </w:r>
            <w:r w:rsidRPr="0098635C">
              <w:rPr>
                <w:sz w:val="20"/>
                <w:szCs w:val="20"/>
                <w:lang w:val="fr-BE"/>
              </w:rPr>
              <w:t>a</w:t>
            </w:r>
            <w:r w:rsidRPr="0098635C">
              <w:rPr>
                <w:sz w:val="20"/>
                <w:szCs w:val="20"/>
                <w:lang w:val="fr-BE"/>
              </w:rPr>
              <w:t>hydrate</w:t>
            </w:r>
            <w:r w:rsidRPr="0098635C">
              <w:rPr>
                <w:sz w:val="20"/>
                <w:szCs w:val="20"/>
                <w:lang w:val="fr-FR"/>
              </w:rPr>
              <w:t>)</w:t>
            </w:r>
          </w:p>
          <w:p w14:paraId="287709D1" w14:textId="77777777" w:rsidR="002C2BB0" w:rsidRPr="0098635C" w:rsidRDefault="002C2BB0" w:rsidP="002C2BB0">
            <w:pPr>
              <w:spacing w:after="0"/>
              <w:rPr>
                <w:sz w:val="20"/>
                <w:szCs w:val="20"/>
                <w:lang w:val="fr-FR"/>
              </w:rPr>
            </w:pPr>
            <w:r w:rsidRPr="0098635C">
              <w:rPr>
                <w:sz w:val="20"/>
                <w:szCs w:val="20"/>
                <w:lang w:val="fr-FR"/>
              </w:rPr>
              <w:t>CAS 1317-38-0 (copper oxide)</w:t>
            </w:r>
          </w:p>
          <w:p w14:paraId="79C05D94" w14:textId="77777777" w:rsidR="002C2BB0" w:rsidRPr="0098635C" w:rsidRDefault="002C2BB0" w:rsidP="002C2BB0">
            <w:pPr>
              <w:spacing w:after="0"/>
              <w:rPr>
                <w:sz w:val="20"/>
                <w:szCs w:val="20"/>
                <w:lang w:val="fr-FR"/>
              </w:rPr>
            </w:pPr>
            <w:r w:rsidRPr="0098635C">
              <w:rPr>
                <w:sz w:val="20"/>
                <w:szCs w:val="20"/>
                <w:lang w:val="fr-FR"/>
              </w:rPr>
              <w:t>CAS 1317-39-1 (dicopper oxide)</w:t>
            </w:r>
          </w:p>
          <w:p w14:paraId="63D301FB" w14:textId="77777777" w:rsidR="002C2BB0" w:rsidRPr="0098635C" w:rsidRDefault="002C2BB0" w:rsidP="002C2BB0">
            <w:pPr>
              <w:spacing w:after="0"/>
              <w:rPr>
                <w:sz w:val="20"/>
                <w:szCs w:val="20"/>
                <w:lang w:val="fr-FR"/>
              </w:rPr>
            </w:pPr>
            <w:r w:rsidRPr="0098635C">
              <w:rPr>
                <w:sz w:val="20"/>
                <w:szCs w:val="20"/>
                <w:lang w:val="fr-FR"/>
              </w:rPr>
              <w:t xml:space="preserve">     CAS 1332-65-6 (dicopper chloride trih</w:t>
            </w:r>
            <w:r w:rsidRPr="0098635C">
              <w:rPr>
                <w:sz w:val="20"/>
                <w:szCs w:val="20"/>
                <w:lang w:val="fr-FR"/>
              </w:rPr>
              <w:t>y</w:t>
            </w:r>
            <w:r w:rsidRPr="0098635C">
              <w:rPr>
                <w:sz w:val="20"/>
                <w:szCs w:val="20"/>
                <w:lang w:val="fr-FR"/>
              </w:rPr>
              <w:t>droxide)</w:t>
            </w:r>
          </w:p>
          <w:p w14:paraId="30FFE6E8" w14:textId="77777777" w:rsidR="002C2BB0" w:rsidRPr="0098635C" w:rsidRDefault="002C2BB0" w:rsidP="002C2BB0">
            <w:pPr>
              <w:spacing w:after="0"/>
              <w:rPr>
                <w:sz w:val="20"/>
                <w:szCs w:val="20"/>
                <w:lang w:val="fr-FR"/>
              </w:rPr>
            </w:pPr>
          </w:p>
        </w:tc>
      </w:tr>
      <w:tr w:rsidR="002C2BB0" w:rsidRPr="0098635C" w14:paraId="08A8BCEC" w14:textId="77777777" w:rsidTr="002C2BB0">
        <w:trPr>
          <w:trHeight w:val="1168"/>
        </w:trPr>
        <w:tc>
          <w:tcPr>
            <w:tcW w:w="3331" w:type="dxa"/>
            <w:tcBorders>
              <w:top w:val="single" w:sz="12" w:space="0" w:color="auto"/>
              <w:left w:val="double" w:sz="6" w:space="0" w:color="auto"/>
              <w:bottom w:val="double" w:sz="6" w:space="0" w:color="auto"/>
              <w:right w:val="double" w:sz="6" w:space="0" w:color="auto"/>
            </w:tcBorders>
            <w:shd w:val="pct10" w:color="auto" w:fill="auto"/>
            <w:vAlign w:val="center"/>
          </w:tcPr>
          <w:p w14:paraId="0A04B009" w14:textId="77777777" w:rsidR="002C2BB0" w:rsidRPr="0098635C" w:rsidRDefault="002C2BB0" w:rsidP="002C2BB0">
            <w:pPr>
              <w:spacing w:after="0"/>
              <w:rPr>
                <w:sz w:val="20"/>
                <w:szCs w:val="20"/>
                <w:highlight w:val="yellow"/>
              </w:rPr>
            </w:pPr>
            <w:r w:rsidRPr="0098635C">
              <w:rPr>
                <w:sz w:val="20"/>
                <w:szCs w:val="20"/>
              </w:rPr>
              <w:t>Chemical Form</w:t>
            </w:r>
            <w:r w:rsidRPr="0098635C">
              <w:rPr>
                <w:sz w:val="20"/>
                <w:szCs w:val="20"/>
              </w:rPr>
              <w:t>u</w:t>
            </w:r>
            <w:r w:rsidRPr="0098635C">
              <w:rPr>
                <w:sz w:val="20"/>
                <w:szCs w:val="20"/>
              </w:rPr>
              <w:t>la(s)</w:t>
            </w:r>
          </w:p>
        </w:tc>
        <w:tc>
          <w:tcPr>
            <w:tcW w:w="6237" w:type="dxa"/>
            <w:tcBorders>
              <w:top w:val="single" w:sz="12" w:space="0" w:color="auto"/>
              <w:left w:val="double" w:sz="6" w:space="0" w:color="auto"/>
              <w:bottom w:val="double" w:sz="6" w:space="0" w:color="auto"/>
              <w:right w:val="double" w:sz="6" w:space="0" w:color="auto"/>
            </w:tcBorders>
          </w:tcPr>
          <w:p w14:paraId="70E202D0" w14:textId="77777777" w:rsidR="002C2BB0" w:rsidRPr="0098635C" w:rsidRDefault="002C2BB0" w:rsidP="002C2BB0">
            <w:pPr>
              <w:spacing w:after="0"/>
              <w:rPr>
                <w:sz w:val="20"/>
                <w:szCs w:val="20"/>
                <w:lang w:val="it-IT"/>
              </w:rPr>
            </w:pPr>
            <w:r w:rsidRPr="0098635C">
              <w:rPr>
                <w:sz w:val="20"/>
                <w:szCs w:val="20"/>
                <w:lang w:val="it-IT"/>
              </w:rPr>
              <w:t>Cu</w:t>
            </w:r>
          </w:p>
          <w:p w14:paraId="2992D296" w14:textId="77777777" w:rsidR="002C2BB0" w:rsidRPr="0098635C" w:rsidRDefault="002C2BB0" w:rsidP="002C2BB0">
            <w:pPr>
              <w:spacing w:after="0"/>
              <w:rPr>
                <w:sz w:val="20"/>
                <w:szCs w:val="20"/>
                <w:lang w:val="it-IT"/>
              </w:rPr>
            </w:pPr>
            <w:r w:rsidRPr="0098635C">
              <w:rPr>
                <w:sz w:val="20"/>
                <w:szCs w:val="20"/>
                <w:lang w:val="it-IT"/>
              </w:rPr>
              <w:t>CuSO</w:t>
            </w:r>
            <w:r w:rsidRPr="0098635C">
              <w:rPr>
                <w:sz w:val="20"/>
                <w:szCs w:val="20"/>
                <w:vertAlign w:val="subscript"/>
                <w:lang w:val="it-IT"/>
              </w:rPr>
              <w:t>4</w:t>
            </w:r>
            <w:r w:rsidRPr="0098635C">
              <w:rPr>
                <w:sz w:val="20"/>
                <w:szCs w:val="20"/>
                <w:lang w:val="it-IT"/>
              </w:rPr>
              <w:t>.5 H</w:t>
            </w:r>
            <w:r w:rsidRPr="0098635C">
              <w:rPr>
                <w:sz w:val="20"/>
                <w:szCs w:val="20"/>
                <w:vertAlign w:val="subscript"/>
                <w:lang w:val="it-IT"/>
              </w:rPr>
              <w:t>2</w:t>
            </w:r>
            <w:r w:rsidRPr="0098635C">
              <w:rPr>
                <w:sz w:val="20"/>
                <w:szCs w:val="20"/>
                <w:lang w:val="it-IT"/>
              </w:rPr>
              <w:t>O</w:t>
            </w:r>
          </w:p>
          <w:p w14:paraId="00A58310" w14:textId="77777777" w:rsidR="002C2BB0" w:rsidRPr="0098635C" w:rsidRDefault="002C2BB0" w:rsidP="002C2BB0">
            <w:pPr>
              <w:spacing w:after="0"/>
              <w:rPr>
                <w:sz w:val="20"/>
                <w:szCs w:val="20"/>
                <w:lang w:val="it-IT"/>
              </w:rPr>
            </w:pPr>
            <w:r w:rsidRPr="0098635C">
              <w:rPr>
                <w:sz w:val="20"/>
                <w:szCs w:val="20"/>
                <w:lang w:val="it-IT"/>
              </w:rPr>
              <w:t>CuO</w:t>
            </w:r>
          </w:p>
          <w:p w14:paraId="68A1A3A0" w14:textId="77777777" w:rsidR="002C2BB0" w:rsidRPr="0098635C" w:rsidRDefault="002C2BB0" w:rsidP="002C2BB0">
            <w:pPr>
              <w:spacing w:after="0"/>
              <w:rPr>
                <w:sz w:val="20"/>
                <w:szCs w:val="20"/>
                <w:lang w:val="it-IT"/>
              </w:rPr>
            </w:pPr>
            <w:r w:rsidRPr="0098635C">
              <w:rPr>
                <w:sz w:val="20"/>
                <w:szCs w:val="20"/>
                <w:lang w:val="it-IT"/>
              </w:rPr>
              <w:t>Cu</w:t>
            </w:r>
            <w:r w:rsidRPr="0098635C">
              <w:rPr>
                <w:sz w:val="20"/>
                <w:szCs w:val="20"/>
                <w:vertAlign w:val="subscript"/>
                <w:lang w:val="it-IT"/>
              </w:rPr>
              <w:t>2</w:t>
            </w:r>
            <w:r w:rsidRPr="0098635C">
              <w:rPr>
                <w:sz w:val="20"/>
                <w:szCs w:val="20"/>
                <w:lang w:val="it-IT"/>
              </w:rPr>
              <w:t>O</w:t>
            </w:r>
          </w:p>
          <w:p w14:paraId="1C0F0E6A" w14:textId="77777777" w:rsidR="002C2BB0" w:rsidRPr="0098635C" w:rsidRDefault="002C2BB0" w:rsidP="002C2BB0">
            <w:pPr>
              <w:spacing w:after="0"/>
              <w:rPr>
                <w:sz w:val="20"/>
                <w:szCs w:val="20"/>
                <w:lang w:val="it-IT"/>
              </w:rPr>
            </w:pPr>
            <w:r w:rsidRPr="0098635C">
              <w:rPr>
                <w:sz w:val="20"/>
                <w:szCs w:val="20"/>
                <w:lang w:val="it-IT"/>
              </w:rPr>
              <w:t>Cu</w:t>
            </w:r>
            <w:r w:rsidRPr="0098635C">
              <w:rPr>
                <w:sz w:val="20"/>
                <w:szCs w:val="20"/>
                <w:vertAlign w:val="subscript"/>
                <w:lang w:val="it-IT"/>
              </w:rPr>
              <w:t>2</w:t>
            </w:r>
            <w:r w:rsidRPr="0098635C">
              <w:rPr>
                <w:sz w:val="20"/>
                <w:szCs w:val="20"/>
                <w:lang w:val="it-IT"/>
              </w:rPr>
              <w:t>Cl(OH)</w:t>
            </w:r>
            <w:r w:rsidRPr="0098635C">
              <w:rPr>
                <w:sz w:val="20"/>
                <w:szCs w:val="20"/>
                <w:vertAlign w:val="subscript"/>
                <w:lang w:val="it-IT"/>
              </w:rPr>
              <w:t>3</w:t>
            </w:r>
          </w:p>
        </w:tc>
      </w:tr>
      <w:tr w:rsidR="002C2BB0" w:rsidRPr="0098635C" w14:paraId="498D7E11" w14:textId="77777777" w:rsidTr="002C2BB0">
        <w:tc>
          <w:tcPr>
            <w:tcW w:w="9568" w:type="dxa"/>
            <w:gridSpan w:val="2"/>
            <w:tcBorders>
              <w:top w:val="double" w:sz="6" w:space="0" w:color="auto"/>
              <w:left w:val="double" w:sz="6" w:space="0" w:color="auto"/>
              <w:bottom w:val="double" w:sz="6" w:space="0" w:color="auto"/>
              <w:right w:val="double" w:sz="6" w:space="0" w:color="auto"/>
            </w:tcBorders>
          </w:tcPr>
          <w:p w14:paraId="4C6456FE" w14:textId="77777777" w:rsidR="002C2BB0" w:rsidRPr="0098635C" w:rsidRDefault="002C2BB0" w:rsidP="002C2BB0">
            <w:pPr>
              <w:spacing w:after="0"/>
              <w:rPr>
                <w:sz w:val="20"/>
                <w:szCs w:val="20"/>
              </w:rPr>
            </w:pPr>
            <w:r w:rsidRPr="0098635C">
              <w:rPr>
                <w:sz w:val="20"/>
                <w:szCs w:val="20"/>
                <w:lang w:val="it-IT"/>
              </w:rPr>
              <w:br w:type="page"/>
            </w:r>
            <w:r w:rsidRPr="0098635C">
              <w:rPr>
                <w:sz w:val="20"/>
                <w:szCs w:val="20"/>
              </w:rPr>
              <w:t>SUMMARY CONCLUSIONS OF THE SIAR</w:t>
            </w:r>
          </w:p>
          <w:p w14:paraId="406A1D06" w14:textId="77777777" w:rsidR="002C2BB0" w:rsidRPr="0098635C" w:rsidRDefault="002C2BB0" w:rsidP="002C2BB0">
            <w:pPr>
              <w:spacing w:after="0"/>
              <w:rPr>
                <w:sz w:val="20"/>
                <w:szCs w:val="20"/>
              </w:rPr>
            </w:pPr>
            <w:r w:rsidRPr="0098635C">
              <w:rPr>
                <w:sz w:val="20"/>
                <w:szCs w:val="20"/>
              </w:rPr>
              <w:t xml:space="preserve">This document covers the category assessments for copper metal, massive and powder, coated copper flakes and several copper compounds, assessed under the </w:t>
            </w:r>
            <w:r w:rsidRPr="0098635C">
              <w:rPr>
                <w:color w:val="000000"/>
                <w:sz w:val="20"/>
                <w:szCs w:val="20"/>
              </w:rPr>
              <w:t>EU Risk Assessment</w:t>
            </w:r>
            <w:r w:rsidRPr="0098635C">
              <w:rPr>
                <w:sz w:val="20"/>
                <w:szCs w:val="20"/>
              </w:rPr>
              <w:t>.  Substance specific aspects are pr</w:t>
            </w:r>
            <w:r w:rsidRPr="0098635C">
              <w:rPr>
                <w:sz w:val="20"/>
                <w:szCs w:val="20"/>
              </w:rPr>
              <w:t>o</w:t>
            </w:r>
            <w:r w:rsidRPr="0098635C">
              <w:rPr>
                <w:sz w:val="20"/>
                <w:szCs w:val="20"/>
              </w:rPr>
              <w:t>vided where rel</w:t>
            </w:r>
            <w:r w:rsidRPr="0098635C">
              <w:rPr>
                <w:sz w:val="20"/>
                <w:szCs w:val="20"/>
              </w:rPr>
              <w:t>e</w:t>
            </w:r>
            <w:r w:rsidRPr="0098635C">
              <w:rPr>
                <w:sz w:val="20"/>
                <w:szCs w:val="20"/>
              </w:rPr>
              <w:t xml:space="preserve">vant. </w:t>
            </w:r>
          </w:p>
          <w:p w14:paraId="41E84559" w14:textId="77777777" w:rsidR="002C2BB0" w:rsidRPr="0098635C" w:rsidRDefault="002C2BB0" w:rsidP="002C2BB0">
            <w:pPr>
              <w:spacing w:after="0" w:line="264" w:lineRule="auto"/>
              <w:rPr>
                <w:sz w:val="20"/>
                <w:szCs w:val="20"/>
              </w:rPr>
            </w:pPr>
            <w:r w:rsidRPr="0098635C">
              <w:rPr>
                <w:color w:val="000000"/>
                <w:sz w:val="20"/>
                <w:szCs w:val="20"/>
              </w:rPr>
              <w:t>The SIAR is based on the EU Risk Assessment of copper and various copper compounds</w:t>
            </w:r>
            <w:r w:rsidRPr="0098635C">
              <w:rPr>
                <w:color w:val="FF0000"/>
                <w:sz w:val="20"/>
                <w:szCs w:val="20"/>
              </w:rPr>
              <w:t xml:space="preserve"> </w:t>
            </w:r>
            <w:r w:rsidRPr="0098635C">
              <w:rPr>
                <w:sz w:val="20"/>
                <w:szCs w:val="20"/>
              </w:rPr>
              <w:t>used as general chemicals</w:t>
            </w:r>
            <w:r w:rsidRPr="0098635C">
              <w:rPr>
                <w:color w:val="000000"/>
                <w:sz w:val="20"/>
                <w:szCs w:val="20"/>
              </w:rPr>
              <w:t xml:space="preserve">, under the Existing Substance Regulation, completed in 2008 as an industry initiative. </w:t>
            </w:r>
            <w:r w:rsidRPr="0098635C">
              <w:rPr>
                <w:sz w:val="20"/>
                <w:szCs w:val="20"/>
              </w:rPr>
              <w:t xml:space="preserve">The copper risk assessment report and opinions from EU technical and scientific committees are available </w:t>
            </w:r>
            <w:r w:rsidRPr="0098635C">
              <w:rPr>
                <w:sz w:val="20"/>
                <w:szCs w:val="20"/>
              </w:rPr>
              <w:t xml:space="preserve">from </w:t>
            </w:r>
            <w:hyperlink r:id="rId8" w:history="1">
              <w:r w:rsidRPr="0098635C">
                <w:rPr>
                  <w:rStyle w:val="Hyperlink"/>
                  <w:i/>
                  <w:szCs w:val="20"/>
                </w:rPr>
                <w:t>http://echa.europa.eu/copper-voluntary-risk-assessment-reports</w:t>
              </w:r>
            </w:hyperlink>
            <w:r w:rsidRPr="0098635C">
              <w:rPr>
                <w:rStyle w:val="Hyperlink"/>
                <w:i/>
                <w:szCs w:val="20"/>
              </w:rPr>
              <w:t>.</w:t>
            </w:r>
            <w:r w:rsidRPr="0098635C">
              <w:rPr>
                <w:rStyle w:val="Hyperlink"/>
                <w:i/>
                <w:szCs w:val="20"/>
              </w:rPr>
              <w:t xml:space="preserve">  </w:t>
            </w:r>
            <w:r w:rsidRPr="0098635C">
              <w:rPr>
                <w:sz w:val="20"/>
                <w:szCs w:val="20"/>
              </w:rPr>
              <w:t>Considering the comments from the EU technical and scientific committees and additional information obtained from industry, updates were done for the 2010-2013 REACH registrations and this SIAR.   Nevertheless, a limitation of this SIAR is the small nu</w:t>
            </w:r>
            <w:r w:rsidRPr="0098635C">
              <w:rPr>
                <w:sz w:val="20"/>
                <w:szCs w:val="20"/>
              </w:rPr>
              <w:t>m</w:t>
            </w:r>
            <w:r w:rsidRPr="0098635C">
              <w:rPr>
                <w:sz w:val="20"/>
                <w:szCs w:val="20"/>
              </w:rPr>
              <w:t xml:space="preserve">ber of recent open literature data (beyond 2006). </w:t>
            </w:r>
          </w:p>
          <w:p w14:paraId="06B93CD4" w14:textId="77777777" w:rsidR="002C2BB0" w:rsidRPr="0098635C" w:rsidRDefault="002C2BB0" w:rsidP="002C2BB0">
            <w:pPr>
              <w:spacing w:after="0"/>
              <w:rPr>
                <w:b/>
                <w:sz w:val="20"/>
                <w:szCs w:val="20"/>
              </w:rPr>
            </w:pPr>
            <w:r w:rsidRPr="0098635C">
              <w:rPr>
                <w:b/>
                <w:sz w:val="20"/>
                <w:szCs w:val="20"/>
              </w:rPr>
              <w:t xml:space="preserve">Rationale for copper category approach </w:t>
            </w:r>
          </w:p>
          <w:p w14:paraId="0B5F4E29" w14:textId="77777777" w:rsidR="002C2BB0" w:rsidRPr="0098635C" w:rsidRDefault="002C2BB0" w:rsidP="002C2BB0">
            <w:pPr>
              <w:pStyle w:val="Tabletext"/>
              <w:keepNext w:val="0"/>
              <w:keepLines w:val="0"/>
              <w:tabs>
                <w:tab w:val="left" w:pos="2753"/>
              </w:tabs>
              <w:spacing w:before="120" w:after="0"/>
              <w:ind w:leftChars="142" w:left="341" w:rightChars="154" w:right="370" w:firstLine="1"/>
              <w:jc w:val="both"/>
              <w:rPr>
                <w:rFonts w:ascii="Times" w:hAnsi="Times"/>
                <w:lang w:val="en-GB"/>
              </w:rPr>
            </w:pPr>
            <w:r w:rsidRPr="0098635C">
              <w:rPr>
                <w:rFonts w:ascii="Times" w:hAnsi="Times"/>
                <w:lang w:val="en-GB"/>
              </w:rPr>
              <w:t>The category includes a group of commonly used copper substances whose ecotoxicological and systemic human hazard profiles are related to the release of copper-ions. Nanoform copper substances are excluded from this assessment because the biological effects of nanoform metals can differ from the ionic forms.</w:t>
            </w:r>
          </w:p>
          <w:p w14:paraId="624636C3" w14:textId="77777777" w:rsidR="002C2BB0" w:rsidRPr="0098635C" w:rsidRDefault="002C2BB0" w:rsidP="002C2BB0">
            <w:pPr>
              <w:spacing w:after="0"/>
              <w:rPr>
                <w:rFonts w:eastAsia="Calibri"/>
                <w:sz w:val="20"/>
                <w:szCs w:val="20"/>
              </w:rPr>
            </w:pPr>
            <w:r w:rsidRPr="0098635C">
              <w:rPr>
                <w:sz w:val="20"/>
                <w:szCs w:val="20"/>
              </w:rPr>
              <w:t>The category includes five substances: soluble copper sulphate pentahydrate and dicopper chloride trihydro</w:t>
            </w:r>
            <w:r w:rsidRPr="0098635C">
              <w:rPr>
                <w:sz w:val="20"/>
                <w:szCs w:val="20"/>
              </w:rPr>
              <w:t>x</w:t>
            </w:r>
            <w:r w:rsidRPr="0098635C">
              <w:rPr>
                <w:sz w:val="20"/>
                <w:szCs w:val="20"/>
              </w:rPr>
              <w:t>ide, less soluble CuO and Cu</w:t>
            </w:r>
            <w:r w:rsidRPr="0098635C">
              <w:rPr>
                <w:sz w:val="20"/>
                <w:szCs w:val="20"/>
                <w:vertAlign w:val="subscript"/>
              </w:rPr>
              <w:t>2</w:t>
            </w:r>
            <w:r w:rsidRPr="0098635C">
              <w:rPr>
                <w:sz w:val="20"/>
                <w:szCs w:val="20"/>
              </w:rPr>
              <w:t xml:space="preserve">O, and </w:t>
            </w:r>
            <w:r w:rsidRPr="0098635C">
              <w:rPr>
                <w:rFonts w:eastAsia="Calibri"/>
                <w:sz w:val="20"/>
                <w:szCs w:val="20"/>
              </w:rPr>
              <w:t>three forms of zero valent copper materials (Cu°): copper massive, copper powder and coated copper flakes</w:t>
            </w:r>
            <w:r w:rsidRPr="0098635C">
              <w:rPr>
                <w:rStyle w:val="FootnoteReference"/>
                <w:rFonts w:eastAsia="Calibri"/>
                <w:sz w:val="20"/>
                <w:szCs w:val="20"/>
              </w:rPr>
              <w:footnoteReference w:id="2"/>
            </w:r>
            <w:r w:rsidRPr="0098635C">
              <w:rPr>
                <w:rFonts w:eastAsia="Calibri"/>
                <w:sz w:val="20"/>
                <w:szCs w:val="20"/>
                <w:vertAlign w:val="superscript"/>
              </w:rPr>
              <w:t>,</w:t>
            </w:r>
            <w:r w:rsidRPr="0098635C">
              <w:rPr>
                <w:rStyle w:val="FootnoteReference"/>
                <w:rFonts w:eastAsia="Calibri"/>
                <w:sz w:val="20"/>
                <w:szCs w:val="20"/>
              </w:rPr>
              <w:footnoteReference w:id="3"/>
            </w:r>
            <w:r w:rsidRPr="0098635C">
              <w:rPr>
                <w:rFonts w:eastAsia="Calibri"/>
                <w:sz w:val="20"/>
                <w:szCs w:val="20"/>
              </w:rPr>
              <w:t>. Coated copper flakes are added to the category because human health ha</w:t>
            </w:r>
            <w:r w:rsidRPr="0098635C">
              <w:rPr>
                <w:rFonts w:eastAsia="Calibri"/>
                <w:sz w:val="20"/>
                <w:szCs w:val="20"/>
              </w:rPr>
              <w:t>z</w:t>
            </w:r>
            <w:r w:rsidRPr="0098635C">
              <w:rPr>
                <w:rFonts w:eastAsia="Calibri"/>
                <w:sz w:val="20"/>
                <w:szCs w:val="20"/>
              </w:rPr>
              <w:t>ards are available for these coated copper flakes.  Where relevant for read-across purposes, information from other copper compounds is included in the asses</w:t>
            </w:r>
            <w:r w:rsidRPr="0098635C">
              <w:rPr>
                <w:rFonts w:eastAsia="Calibri"/>
                <w:sz w:val="20"/>
                <w:szCs w:val="20"/>
              </w:rPr>
              <w:t>s</w:t>
            </w:r>
            <w:r w:rsidRPr="0098635C">
              <w:rPr>
                <w:rFonts w:eastAsia="Calibri"/>
                <w:sz w:val="20"/>
                <w:szCs w:val="20"/>
              </w:rPr>
              <w:t xml:space="preserve">ment. </w:t>
            </w:r>
          </w:p>
          <w:p w14:paraId="3AAFB5B3" w14:textId="77777777" w:rsidR="002C2BB0" w:rsidRPr="0098635C" w:rsidRDefault="002C2BB0" w:rsidP="002C2BB0">
            <w:pPr>
              <w:spacing w:after="0"/>
              <w:rPr>
                <w:sz w:val="20"/>
                <w:szCs w:val="20"/>
              </w:rPr>
            </w:pPr>
            <w:r w:rsidRPr="0098635C">
              <w:rPr>
                <w:sz w:val="20"/>
                <w:szCs w:val="20"/>
              </w:rPr>
              <w:t xml:space="preserve">For the environmental endpoints and systemic health endpoints, the copper ion is considered as the reactive functional group within the category.   </w:t>
            </w:r>
            <w:r w:rsidRPr="0098635C">
              <w:rPr>
                <w:sz w:val="20"/>
                <w:szCs w:val="20"/>
                <w:lang w:eastAsia="ja-JP"/>
              </w:rPr>
              <w:t>The counter-ions of the copper salts (i.e. oxygen, su</w:t>
            </w:r>
            <w:r w:rsidRPr="0098635C">
              <w:rPr>
                <w:sz w:val="20"/>
                <w:szCs w:val="20"/>
                <w:lang w:eastAsia="ja-JP"/>
              </w:rPr>
              <w:t>l</w:t>
            </w:r>
            <w:r w:rsidRPr="0098635C">
              <w:rPr>
                <w:sz w:val="20"/>
                <w:szCs w:val="20"/>
                <w:lang w:eastAsia="ja-JP"/>
              </w:rPr>
              <w:t xml:space="preserve">phate, chloride and  hydroxide), are due to their ubiquitous presence in environmental media and human fluids not considered to contribute to the environmental nor systemic human toxicity of copper salts.   </w:t>
            </w:r>
          </w:p>
          <w:p w14:paraId="01DA6C39" w14:textId="77777777" w:rsidR="002C2BB0" w:rsidRPr="0098635C" w:rsidRDefault="002C2BB0" w:rsidP="002C2BB0">
            <w:pPr>
              <w:spacing w:after="0"/>
              <w:rPr>
                <w:sz w:val="20"/>
                <w:szCs w:val="20"/>
              </w:rPr>
            </w:pPr>
            <w:r w:rsidRPr="0098635C">
              <w:rPr>
                <w:sz w:val="20"/>
                <w:szCs w:val="20"/>
              </w:rPr>
              <w:t>The category implies that the effects assessment is expressed as Cu-ions and that further read-across to other copper compounds, not assessed in this SIAR, is possible on condition that the copper ions are driving the to</w:t>
            </w:r>
            <w:r w:rsidRPr="0098635C">
              <w:rPr>
                <w:sz w:val="20"/>
                <w:szCs w:val="20"/>
              </w:rPr>
              <w:t>x</w:t>
            </w:r>
            <w:r w:rsidRPr="0098635C">
              <w:rPr>
                <w:sz w:val="20"/>
                <w:szCs w:val="20"/>
              </w:rPr>
              <w:t>icity.</w:t>
            </w:r>
          </w:p>
          <w:p w14:paraId="3376722B" w14:textId="77777777" w:rsidR="002C2BB0" w:rsidRPr="0098635C" w:rsidRDefault="002C2BB0" w:rsidP="002C2BB0">
            <w:pPr>
              <w:spacing w:after="0"/>
              <w:rPr>
                <w:color w:val="FF0000"/>
                <w:sz w:val="20"/>
                <w:szCs w:val="20"/>
              </w:rPr>
            </w:pPr>
            <w:r w:rsidRPr="0098635C">
              <w:rPr>
                <w:sz w:val="20"/>
                <w:szCs w:val="20"/>
              </w:rPr>
              <w:t>Copper is an essential nutrient for humans and non-human organisms</w:t>
            </w:r>
            <w:r w:rsidRPr="0098635C" w:rsidDel="00ED5FEF">
              <w:rPr>
                <w:sz w:val="20"/>
                <w:szCs w:val="20"/>
              </w:rPr>
              <w:t xml:space="preserve"> </w:t>
            </w:r>
            <w:r w:rsidRPr="0098635C">
              <w:rPr>
                <w:sz w:val="20"/>
                <w:szCs w:val="20"/>
              </w:rPr>
              <w:t>and, therefore, low concentrations may lead to deficiency while high concentrations of copper ions may lead to copper to</w:t>
            </w:r>
            <w:r w:rsidRPr="0098635C">
              <w:rPr>
                <w:sz w:val="20"/>
                <w:szCs w:val="20"/>
              </w:rPr>
              <w:t>x</w:t>
            </w:r>
            <w:r w:rsidRPr="0098635C">
              <w:rPr>
                <w:sz w:val="20"/>
                <w:szCs w:val="20"/>
              </w:rPr>
              <w:t xml:space="preserve">icity. </w:t>
            </w:r>
          </w:p>
          <w:p w14:paraId="62069C96" w14:textId="77777777" w:rsidR="002C2BB0" w:rsidRPr="0098635C" w:rsidRDefault="002C2BB0" w:rsidP="002C2BB0">
            <w:pPr>
              <w:pStyle w:val="Tabletext"/>
              <w:tabs>
                <w:tab w:val="left" w:pos="2753"/>
              </w:tabs>
              <w:spacing w:before="120" w:after="0"/>
              <w:ind w:leftChars="142" w:left="341" w:rightChars="154" w:right="370" w:firstLine="1"/>
              <w:jc w:val="both"/>
              <w:rPr>
                <w:rFonts w:ascii="Times" w:hAnsi="Times"/>
                <w:lang w:val="en-GB"/>
              </w:rPr>
            </w:pPr>
            <w:r w:rsidRPr="0098635C">
              <w:rPr>
                <w:rFonts w:ascii="Times" w:hAnsi="Times"/>
                <w:lang w:val="en-GB"/>
              </w:rPr>
              <w:lastRenderedPageBreak/>
              <w:t>Once released to the environment, copper ions have more than one oxidation state. The principal ionic forms are cuprous (Cu(I), Cu</w:t>
            </w:r>
            <w:r w:rsidRPr="0098635C">
              <w:rPr>
                <w:rFonts w:ascii="Times" w:hAnsi="Times"/>
                <w:vertAlign w:val="superscript"/>
                <w:lang w:val="en-GB"/>
              </w:rPr>
              <w:t>+</w:t>
            </w:r>
            <w:r w:rsidRPr="0098635C">
              <w:rPr>
                <w:rFonts w:ascii="Times" w:hAnsi="Times"/>
                <w:lang w:val="en-GB"/>
              </w:rPr>
              <w:t>) and cupric (Cu(II), Cu</w:t>
            </w:r>
            <w:r w:rsidRPr="0098635C">
              <w:rPr>
                <w:rFonts w:ascii="Times" w:hAnsi="Times"/>
                <w:vertAlign w:val="superscript"/>
                <w:lang w:val="en-GB"/>
              </w:rPr>
              <w:t>2+</w:t>
            </w:r>
            <w:r w:rsidRPr="0098635C">
              <w:rPr>
                <w:rFonts w:ascii="Times" w:hAnsi="Times"/>
                <w:lang w:val="en-GB"/>
              </w:rPr>
              <w:t>). The trivalent form (Cu(III), Cu</w:t>
            </w:r>
            <w:r w:rsidRPr="0098635C">
              <w:rPr>
                <w:rFonts w:ascii="Times" w:hAnsi="Times"/>
                <w:vertAlign w:val="superscript"/>
                <w:lang w:val="en-GB"/>
              </w:rPr>
              <w:t>3+</w:t>
            </w:r>
            <w:r w:rsidRPr="0098635C">
              <w:rPr>
                <w:rFonts w:ascii="Times" w:hAnsi="Times"/>
                <w:lang w:val="en-GB"/>
              </w:rPr>
              <w:t>) occurs but is relatively unimportant in physical and biological systems. Cu</w:t>
            </w:r>
            <w:r w:rsidRPr="0098635C">
              <w:rPr>
                <w:rFonts w:ascii="Times" w:hAnsi="Times"/>
                <w:vertAlign w:val="superscript"/>
                <w:lang w:val="en-GB"/>
              </w:rPr>
              <w:t>+</w:t>
            </w:r>
            <w:r w:rsidRPr="0098635C">
              <w:rPr>
                <w:rFonts w:ascii="Times" w:hAnsi="Times"/>
                <w:lang w:val="en-GB"/>
              </w:rPr>
              <w:t xml:space="preserve"> is unstable in aqueous media and Cu</w:t>
            </w:r>
            <w:r w:rsidRPr="0098635C">
              <w:rPr>
                <w:rFonts w:ascii="Times" w:hAnsi="Times"/>
                <w:vertAlign w:val="superscript"/>
                <w:lang w:val="en-GB"/>
              </w:rPr>
              <w:t>1+</w:t>
            </w:r>
            <w:r w:rsidRPr="0098635C">
              <w:rPr>
                <w:rFonts w:ascii="Times" w:hAnsi="Times"/>
                <w:lang w:val="en-GB"/>
              </w:rPr>
              <w:t>-ions readily tran</w:t>
            </w:r>
            <w:r w:rsidRPr="0098635C">
              <w:rPr>
                <w:rFonts w:ascii="Times" w:hAnsi="Times"/>
                <w:lang w:val="en-GB"/>
              </w:rPr>
              <w:t>s</w:t>
            </w:r>
            <w:r w:rsidRPr="0098635C">
              <w:rPr>
                <w:rFonts w:ascii="Times" w:hAnsi="Times"/>
                <w:lang w:val="en-GB"/>
              </w:rPr>
              <w:t>form into Cu</w:t>
            </w:r>
            <w:r w:rsidRPr="0098635C">
              <w:rPr>
                <w:rFonts w:ascii="Times" w:hAnsi="Times"/>
                <w:vertAlign w:val="superscript"/>
                <w:lang w:val="en-GB"/>
              </w:rPr>
              <w:t>2+</w:t>
            </w:r>
            <w:r w:rsidRPr="0098635C">
              <w:rPr>
                <w:rFonts w:ascii="Times" w:hAnsi="Times"/>
                <w:lang w:val="en-GB"/>
              </w:rPr>
              <w:t>-ions.  Depending on the chemistry of the receiving environment, soluble and/or insoluble  copper compounds are formed.  Hence Cu</w:t>
            </w:r>
            <w:r w:rsidRPr="0098635C">
              <w:rPr>
                <w:rFonts w:ascii="Times" w:hAnsi="Times"/>
                <w:vertAlign w:val="superscript"/>
                <w:lang w:val="en-GB"/>
              </w:rPr>
              <w:t>1+</w:t>
            </w:r>
            <w:r w:rsidRPr="0098635C">
              <w:rPr>
                <w:rFonts w:ascii="Times" w:hAnsi="Times"/>
                <w:lang w:val="en-GB"/>
              </w:rPr>
              <w:t>-ions are, due to their instability, considered as a source of Cu</w:t>
            </w:r>
            <w:r w:rsidRPr="0098635C">
              <w:rPr>
                <w:rFonts w:ascii="Times" w:hAnsi="Times"/>
                <w:vertAlign w:val="superscript"/>
                <w:lang w:val="en-GB"/>
              </w:rPr>
              <w:t>2+</w:t>
            </w:r>
            <w:r w:rsidRPr="0098635C">
              <w:rPr>
                <w:rFonts w:ascii="Times" w:hAnsi="Times"/>
                <w:lang w:val="en-GB"/>
              </w:rPr>
              <w:t xml:space="preserve"> ions for environmental and systemic to</w:t>
            </w:r>
            <w:r w:rsidRPr="0098635C">
              <w:rPr>
                <w:rFonts w:ascii="Times" w:hAnsi="Times"/>
                <w:lang w:val="en-GB"/>
              </w:rPr>
              <w:t>x</w:t>
            </w:r>
            <w:r w:rsidRPr="0098635C">
              <w:rPr>
                <w:rFonts w:ascii="Times" w:hAnsi="Times"/>
                <w:lang w:val="en-GB"/>
              </w:rPr>
              <w:t>icity.</w:t>
            </w:r>
          </w:p>
          <w:p w14:paraId="32B2037B" w14:textId="77777777" w:rsidR="002C2BB0" w:rsidRPr="0098635C" w:rsidRDefault="002C2BB0" w:rsidP="002C2BB0">
            <w:pPr>
              <w:tabs>
                <w:tab w:val="left" w:pos="2977"/>
              </w:tabs>
              <w:spacing w:after="0"/>
              <w:rPr>
                <w:sz w:val="20"/>
                <w:szCs w:val="20"/>
                <w:lang w:eastAsia="ja-JP"/>
              </w:rPr>
            </w:pPr>
            <w:r w:rsidRPr="0098635C">
              <w:rPr>
                <w:i/>
                <w:sz w:val="20"/>
                <w:szCs w:val="20"/>
                <w:lang w:eastAsia="ja-JP"/>
              </w:rPr>
              <w:t>Environment</w:t>
            </w:r>
            <w:r w:rsidRPr="0098635C">
              <w:rPr>
                <w:sz w:val="20"/>
                <w:szCs w:val="20"/>
                <w:lang w:eastAsia="ja-JP"/>
              </w:rPr>
              <w:t>:</w:t>
            </w:r>
          </w:p>
          <w:p w14:paraId="723C491E" w14:textId="77777777" w:rsidR="002C2BB0" w:rsidRPr="0098635C" w:rsidRDefault="002C2BB0" w:rsidP="002C2BB0">
            <w:pPr>
              <w:tabs>
                <w:tab w:val="left" w:pos="2977"/>
              </w:tabs>
              <w:spacing w:after="0"/>
              <w:rPr>
                <w:sz w:val="20"/>
                <w:szCs w:val="20"/>
                <w:lang w:eastAsia="ja-JP"/>
              </w:rPr>
            </w:pPr>
            <w:r w:rsidRPr="0098635C">
              <w:rPr>
                <w:sz w:val="20"/>
                <w:szCs w:val="20"/>
              </w:rPr>
              <w:t xml:space="preserve">The assessment aims at defining the basic hazards profile of soluble and sparingly soluble compounds, copper metal (powder and massive forms) and coated copper flakes. </w:t>
            </w:r>
          </w:p>
          <w:p w14:paraId="0DCDF006" w14:textId="77777777" w:rsidR="002C2BB0" w:rsidRPr="0098635C" w:rsidRDefault="002C2BB0" w:rsidP="002C2BB0">
            <w:pPr>
              <w:tabs>
                <w:tab w:val="left" w:pos="2977"/>
              </w:tabs>
              <w:spacing w:after="0"/>
              <w:rPr>
                <w:i/>
                <w:sz w:val="20"/>
                <w:szCs w:val="20"/>
              </w:rPr>
            </w:pPr>
            <w:r w:rsidRPr="0098635C">
              <w:rPr>
                <w:i/>
                <w:sz w:val="20"/>
                <w:szCs w:val="20"/>
              </w:rPr>
              <w:t>Human health:</w:t>
            </w:r>
          </w:p>
          <w:p w14:paraId="307DCDDA" w14:textId="77777777" w:rsidR="002C2BB0" w:rsidRPr="0098635C" w:rsidRDefault="002C2BB0" w:rsidP="002C2BB0">
            <w:pPr>
              <w:tabs>
                <w:tab w:val="left" w:pos="2977"/>
              </w:tabs>
              <w:spacing w:after="0"/>
              <w:rPr>
                <w:sz w:val="20"/>
                <w:szCs w:val="20"/>
              </w:rPr>
            </w:pPr>
            <w:r w:rsidRPr="0098635C">
              <w:rPr>
                <w:sz w:val="20"/>
                <w:szCs w:val="20"/>
              </w:rPr>
              <w:t>The human health hazard assessment addresses a large variety of effects and different administration routes. In assessing the human health effects of copper and copper compounds, the essentiality and homeostatic mech</w:t>
            </w:r>
            <w:r w:rsidRPr="0098635C">
              <w:rPr>
                <w:sz w:val="20"/>
                <w:szCs w:val="20"/>
              </w:rPr>
              <w:t>a</w:t>
            </w:r>
            <w:r w:rsidRPr="0098635C">
              <w:rPr>
                <w:sz w:val="20"/>
                <w:szCs w:val="20"/>
              </w:rPr>
              <w:t>nisms have to be considered.</w:t>
            </w:r>
          </w:p>
          <w:p w14:paraId="654EFC75" w14:textId="77777777" w:rsidR="002C2BB0" w:rsidRPr="0098635C" w:rsidRDefault="002C2BB0" w:rsidP="002C2BB0">
            <w:pPr>
              <w:pStyle w:val="BodyText"/>
              <w:tabs>
                <w:tab w:val="left" w:pos="2977"/>
              </w:tabs>
              <w:spacing w:after="0"/>
              <w:rPr>
                <w:sz w:val="20"/>
              </w:rPr>
            </w:pPr>
            <w:r w:rsidRPr="0098635C">
              <w:rPr>
                <w:sz w:val="20"/>
              </w:rPr>
              <w:t>Acute effects are based on tests with the individual substances.  Short term and long term systemic effects are based on tests with the individual soluble substances belonging to the category and/or read-across where such data are not available</w:t>
            </w:r>
          </w:p>
          <w:p w14:paraId="223813A9" w14:textId="77777777" w:rsidR="002C2BB0" w:rsidRPr="0098635C" w:rsidRDefault="002C2BB0" w:rsidP="002C2BB0">
            <w:pPr>
              <w:keepNext/>
              <w:keepLines/>
              <w:spacing w:after="0"/>
              <w:ind w:right="215"/>
              <w:rPr>
                <w:b/>
                <w:sz w:val="20"/>
                <w:szCs w:val="20"/>
              </w:rPr>
            </w:pPr>
            <w:r w:rsidRPr="0098635C">
              <w:rPr>
                <w:b/>
                <w:sz w:val="20"/>
                <w:szCs w:val="20"/>
              </w:rPr>
              <w:t xml:space="preserve">Physical-chemical properties </w:t>
            </w:r>
          </w:p>
          <w:p w14:paraId="5C56F73C" w14:textId="77777777" w:rsidR="002C2BB0" w:rsidRPr="0098635C" w:rsidRDefault="002C2BB0" w:rsidP="002C2BB0">
            <w:pPr>
              <w:keepNext/>
              <w:keepLines/>
              <w:spacing w:after="0"/>
              <w:ind w:right="215"/>
              <w:rPr>
                <w:sz w:val="20"/>
                <w:szCs w:val="20"/>
              </w:rPr>
            </w:pPr>
            <w:r w:rsidRPr="0098635C">
              <w:rPr>
                <w:sz w:val="20"/>
                <w:szCs w:val="20"/>
              </w:rPr>
              <w:t xml:space="preserve">Physico-chemical properties that are important for the human health and environmental hazard profiles are granulometry and solubility.  </w:t>
            </w:r>
          </w:p>
          <w:p w14:paraId="0F57A585" w14:textId="77777777" w:rsidR="002C2BB0" w:rsidRPr="0098635C" w:rsidRDefault="002C2BB0" w:rsidP="0059369A">
            <w:pPr>
              <w:keepNext/>
              <w:keepLines/>
              <w:widowControl/>
              <w:numPr>
                <w:ilvl w:val="0"/>
                <w:numId w:val="47"/>
              </w:numPr>
              <w:autoSpaceDE/>
              <w:autoSpaceDN/>
              <w:adjustRightInd/>
              <w:spacing w:before="200" w:after="0"/>
              <w:ind w:right="215"/>
              <w:rPr>
                <w:sz w:val="20"/>
                <w:szCs w:val="20"/>
              </w:rPr>
            </w:pPr>
            <w:r w:rsidRPr="0098635C">
              <w:rPr>
                <w:sz w:val="20"/>
                <w:szCs w:val="20"/>
              </w:rPr>
              <w:t xml:space="preserve">Copper metal (Cu°) is insoluble and needs to be transformed to Cu(I) or Cu(II) to become bio-available/bio-accessible.  Typical copper powders have a diameter of around 100 µm but small production volumes of fine powders are also reported. The </w:t>
            </w:r>
            <w:r w:rsidRPr="0098635C">
              <w:rPr>
                <w:rFonts w:eastAsia="Calibri"/>
                <w:sz w:val="20"/>
                <w:szCs w:val="20"/>
              </w:rPr>
              <w:t>surface area of fine powders (10-50 µm) is 67-107 mm</w:t>
            </w:r>
            <w:r w:rsidRPr="0098635C">
              <w:rPr>
                <w:rFonts w:eastAsia="Calibri"/>
                <w:sz w:val="20"/>
                <w:szCs w:val="20"/>
                <w:vertAlign w:val="superscript"/>
              </w:rPr>
              <w:t>2</w:t>
            </w:r>
            <w:r w:rsidRPr="0098635C">
              <w:rPr>
                <w:rFonts w:eastAsia="Calibri"/>
                <w:sz w:val="20"/>
                <w:szCs w:val="20"/>
              </w:rPr>
              <w:t>/mg.  The surface area of a massive copper material (sphere of 1 mm) is 0.67 mm</w:t>
            </w:r>
            <w:r w:rsidRPr="0098635C">
              <w:rPr>
                <w:rFonts w:eastAsia="Calibri"/>
                <w:sz w:val="20"/>
                <w:szCs w:val="20"/>
                <w:vertAlign w:val="superscript"/>
              </w:rPr>
              <w:t>2</w:t>
            </w:r>
            <w:r w:rsidRPr="0098635C">
              <w:rPr>
                <w:rFonts w:eastAsia="Calibri"/>
                <w:sz w:val="20"/>
                <w:szCs w:val="20"/>
              </w:rPr>
              <w:t>/mg.</w:t>
            </w:r>
            <w:r w:rsidRPr="0098635C">
              <w:rPr>
                <w:sz w:val="20"/>
                <w:szCs w:val="20"/>
              </w:rPr>
              <w:t xml:space="preserve">  The melting point of copper metal is 1059 - 1069°C.  Its boiling point has not been determined in view of the high melting point</w:t>
            </w:r>
            <w:r w:rsidRPr="0098635C">
              <w:rPr>
                <w:rFonts w:eastAsia="Calibri"/>
                <w:sz w:val="20"/>
                <w:szCs w:val="20"/>
              </w:rPr>
              <w:t>.</w:t>
            </w:r>
          </w:p>
          <w:p w14:paraId="3075A84C" w14:textId="77777777" w:rsidR="002C2BB0" w:rsidRPr="0098635C" w:rsidRDefault="002C2BB0" w:rsidP="0059369A">
            <w:pPr>
              <w:keepNext/>
              <w:keepLines/>
              <w:widowControl/>
              <w:numPr>
                <w:ilvl w:val="0"/>
                <w:numId w:val="47"/>
              </w:numPr>
              <w:autoSpaceDE/>
              <w:autoSpaceDN/>
              <w:adjustRightInd/>
              <w:spacing w:before="200" w:after="0"/>
              <w:ind w:right="215"/>
              <w:rPr>
                <w:sz w:val="20"/>
                <w:szCs w:val="20"/>
              </w:rPr>
            </w:pPr>
            <w:r w:rsidRPr="0098635C">
              <w:rPr>
                <w:sz w:val="20"/>
                <w:szCs w:val="20"/>
              </w:rPr>
              <w:t>Copper flakes, coated with aliphatic acids have a particle size</w:t>
            </w:r>
            <w:r w:rsidRPr="0098635C">
              <w:rPr>
                <w:rFonts w:eastAsia="Calibri"/>
                <w:sz w:val="20"/>
                <w:szCs w:val="20"/>
              </w:rPr>
              <w:t xml:space="preserve"> of  8 – 11 µm and  surface area of  2,900 mm</w:t>
            </w:r>
            <w:r w:rsidRPr="0098635C">
              <w:rPr>
                <w:rFonts w:eastAsia="Calibri"/>
                <w:sz w:val="20"/>
                <w:szCs w:val="20"/>
                <w:vertAlign w:val="superscript"/>
              </w:rPr>
              <w:t>2</w:t>
            </w:r>
            <w:r w:rsidRPr="0098635C">
              <w:rPr>
                <w:rFonts w:eastAsia="Calibri"/>
                <w:sz w:val="20"/>
                <w:szCs w:val="20"/>
              </w:rPr>
              <w:t>/mg. Cu is in the form of Cu° and therefore needs to</w:t>
            </w:r>
            <w:r w:rsidRPr="0098635C">
              <w:rPr>
                <w:sz w:val="20"/>
                <w:szCs w:val="20"/>
              </w:rPr>
              <w:t xml:space="preserve"> be transformed to Cu(I) or Cu(II) to become bio-available/bio-accessible.  The melting point of coated copper flakes is 1057 - 1058°C.  Its boiling point has not been determined in view of the high melting point</w:t>
            </w:r>
            <w:r w:rsidRPr="0098635C">
              <w:rPr>
                <w:rFonts w:eastAsia="Calibri"/>
                <w:sz w:val="20"/>
                <w:szCs w:val="20"/>
              </w:rPr>
              <w:t xml:space="preserve">. </w:t>
            </w:r>
          </w:p>
          <w:p w14:paraId="2CC6424E" w14:textId="77777777" w:rsidR="002C2BB0" w:rsidRPr="0098635C" w:rsidRDefault="002C2BB0" w:rsidP="0059369A">
            <w:pPr>
              <w:widowControl/>
              <w:numPr>
                <w:ilvl w:val="0"/>
                <w:numId w:val="47"/>
              </w:numPr>
              <w:autoSpaceDE/>
              <w:autoSpaceDN/>
              <w:adjustRightInd/>
              <w:spacing w:before="200" w:after="0"/>
              <w:ind w:right="214"/>
              <w:rPr>
                <w:sz w:val="20"/>
                <w:szCs w:val="20"/>
              </w:rPr>
            </w:pPr>
            <w:r w:rsidRPr="0098635C">
              <w:rPr>
                <w:sz w:val="20"/>
                <w:szCs w:val="20"/>
              </w:rPr>
              <w:t>Copper sulphate pentahydrate is a blue crystalline powder. Its water solubility at 25°C is 220 g/L.  Copper sulphate pentahydrate deco</w:t>
            </w:r>
            <w:r w:rsidRPr="0098635C">
              <w:rPr>
                <w:sz w:val="20"/>
                <w:szCs w:val="20"/>
              </w:rPr>
              <w:t>m</w:t>
            </w:r>
            <w:r w:rsidRPr="0098635C">
              <w:rPr>
                <w:sz w:val="20"/>
                <w:szCs w:val="20"/>
              </w:rPr>
              <w:t>poses at 110°C without melting or boiling.</w:t>
            </w:r>
          </w:p>
          <w:p w14:paraId="4CEA63E1" w14:textId="77777777" w:rsidR="002C2BB0" w:rsidRPr="0098635C" w:rsidRDefault="002C2BB0" w:rsidP="0059369A">
            <w:pPr>
              <w:widowControl/>
              <w:numPr>
                <w:ilvl w:val="0"/>
                <w:numId w:val="47"/>
              </w:numPr>
              <w:autoSpaceDE/>
              <w:autoSpaceDN/>
              <w:adjustRightInd/>
              <w:spacing w:before="200" w:after="0"/>
              <w:ind w:right="214"/>
              <w:rPr>
                <w:sz w:val="20"/>
                <w:szCs w:val="20"/>
              </w:rPr>
            </w:pPr>
            <w:r w:rsidRPr="0098635C">
              <w:rPr>
                <w:sz w:val="20"/>
                <w:szCs w:val="20"/>
              </w:rPr>
              <w:t>Dicopper oxide is an orange-red powder. The water solubility at 20°C is ≥ 28.6 g/L at pH 4.0, 6.39 x 10</w:t>
            </w:r>
            <w:r w:rsidRPr="0098635C">
              <w:rPr>
                <w:sz w:val="20"/>
                <w:szCs w:val="20"/>
                <w:vertAlign w:val="superscript"/>
              </w:rPr>
              <w:t>-4</w:t>
            </w:r>
            <w:r w:rsidRPr="0098635C">
              <w:rPr>
                <w:sz w:val="20"/>
                <w:szCs w:val="20"/>
              </w:rPr>
              <w:t> g/L at pH 6.5 - 6.6, and &lt; 5.39 x 10</w:t>
            </w:r>
            <w:r w:rsidRPr="0098635C">
              <w:rPr>
                <w:sz w:val="20"/>
                <w:szCs w:val="20"/>
                <w:vertAlign w:val="superscript"/>
              </w:rPr>
              <w:t>-4</w:t>
            </w:r>
            <w:r w:rsidRPr="0098635C">
              <w:rPr>
                <w:sz w:val="20"/>
                <w:szCs w:val="20"/>
              </w:rPr>
              <w:t xml:space="preserve"> g/L at pH 9.8. The melting point of dicopper oxide is in excess of 400°C (the maximum temperature tested).  Its boiling point has not been determined in view of the high melting point.</w:t>
            </w:r>
          </w:p>
          <w:p w14:paraId="57069BC2" w14:textId="77777777" w:rsidR="002C2BB0" w:rsidRPr="0098635C" w:rsidRDefault="002C2BB0" w:rsidP="0059369A">
            <w:pPr>
              <w:keepNext/>
              <w:keepLines/>
              <w:widowControl/>
              <w:numPr>
                <w:ilvl w:val="0"/>
                <w:numId w:val="47"/>
              </w:numPr>
              <w:autoSpaceDE/>
              <w:autoSpaceDN/>
              <w:adjustRightInd/>
              <w:spacing w:before="200" w:after="0"/>
              <w:ind w:right="215"/>
              <w:rPr>
                <w:sz w:val="20"/>
                <w:szCs w:val="20"/>
              </w:rPr>
            </w:pPr>
            <w:r w:rsidRPr="0098635C">
              <w:rPr>
                <w:sz w:val="20"/>
                <w:szCs w:val="20"/>
              </w:rPr>
              <w:t>Copper oxide is a dark grey powder. The water solubility at 20°C is &gt; 0.23 g/L at pH 5.1 - 5.5, 3.94 x 10</w:t>
            </w:r>
            <w:r w:rsidRPr="0098635C">
              <w:rPr>
                <w:sz w:val="20"/>
                <w:szCs w:val="20"/>
                <w:vertAlign w:val="superscript"/>
              </w:rPr>
              <w:t>-4</w:t>
            </w:r>
            <w:r w:rsidRPr="0098635C">
              <w:rPr>
                <w:sz w:val="20"/>
                <w:szCs w:val="20"/>
              </w:rPr>
              <w:t> g/L at pH 6 and &lt; 1.0 x 10</w:t>
            </w:r>
            <w:r w:rsidRPr="0098635C">
              <w:rPr>
                <w:sz w:val="20"/>
                <w:szCs w:val="20"/>
                <w:vertAlign w:val="superscript"/>
              </w:rPr>
              <w:t>-5</w:t>
            </w:r>
            <w:r w:rsidRPr="0098635C">
              <w:rPr>
                <w:sz w:val="20"/>
                <w:szCs w:val="20"/>
              </w:rPr>
              <w:t xml:space="preserve"> g/L at pH 9.  The melting point of copper o</w:t>
            </w:r>
            <w:r w:rsidRPr="0098635C">
              <w:rPr>
                <w:sz w:val="20"/>
                <w:szCs w:val="20"/>
              </w:rPr>
              <w:t>x</w:t>
            </w:r>
            <w:r w:rsidRPr="0098635C">
              <w:rPr>
                <w:sz w:val="20"/>
                <w:szCs w:val="20"/>
              </w:rPr>
              <w:t>ide is 1326°C.  Its boiling point has not been determined in view of the high melting point</w:t>
            </w:r>
            <w:r w:rsidRPr="0098635C">
              <w:rPr>
                <w:rFonts w:eastAsia="Calibri"/>
                <w:sz w:val="20"/>
                <w:szCs w:val="20"/>
              </w:rPr>
              <w:t xml:space="preserve">. </w:t>
            </w:r>
          </w:p>
          <w:p w14:paraId="33924655" w14:textId="77777777" w:rsidR="002C2BB0" w:rsidRPr="0098635C" w:rsidRDefault="002C2BB0" w:rsidP="0059369A">
            <w:pPr>
              <w:widowControl/>
              <w:numPr>
                <w:ilvl w:val="0"/>
                <w:numId w:val="47"/>
              </w:numPr>
              <w:autoSpaceDE/>
              <w:autoSpaceDN/>
              <w:adjustRightInd/>
              <w:spacing w:before="200" w:after="0"/>
              <w:ind w:right="214"/>
              <w:rPr>
                <w:sz w:val="20"/>
                <w:szCs w:val="20"/>
              </w:rPr>
            </w:pPr>
            <w:r w:rsidRPr="0098635C">
              <w:rPr>
                <w:sz w:val="20"/>
                <w:szCs w:val="20"/>
              </w:rPr>
              <w:t xml:space="preserve">Dicopper chloride trihydroxide </w:t>
            </w:r>
            <w:r w:rsidRPr="0098635C">
              <w:rPr>
                <w:sz w:val="20"/>
                <w:szCs w:val="20"/>
                <w:lang w:eastAsia="ja-JP"/>
              </w:rPr>
              <w:t xml:space="preserve">is a light green powder. </w:t>
            </w:r>
            <w:r w:rsidRPr="0098635C">
              <w:rPr>
                <w:sz w:val="20"/>
                <w:szCs w:val="20"/>
              </w:rPr>
              <w:t>T</w:t>
            </w:r>
            <w:r w:rsidRPr="0098635C">
              <w:rPr>
                <w:sz w:val="20"/>
                <w:szCs w:val="20"/>
                <w:lang w:eastAsia="ja-JP"/>
              </w:rPr>
              <w:t xml:space="preserve">he water </w:t>
            </w:r>
            <w:r w:rsidRPr="0098635C">
              <w:rPr>
                <w:sz w:val="20"/>
                <w:szCs w:val="20"/>
              </w:rPr>
              <w:t>solubility at 20°C is &gt; 101 g/L at pH 3.1, 1.19 x 10</w:t>
            </w:r>
            <w:r w:rsidRPr="0098635C">
              <w:rPr>
                <w:sz w:val="20"/>
                <w:szCs w:val="20"/>
                <w:vertAlign w:val="superscript"/>
              </w:rPr>
              <w:t>-3</w:t>
            </w:r>
            <w:r w:rsidRPr="0098635C">
              <w:rPr>
                <w:sz w:val="20"/>
                <w:szCs w:val="20"/>
              </w:rPr>
              <w:t> g/L at pH 6.5 and ≤ 5.25x10</w:t>
            </w:r>
            <w:r w:rsidRPr="0098635C">
              <w:rPr>
                <w:sz w:val="20"/>
                <w:szCs w:val="20"/>
                <w:vertAlign w:val="superscript"/>
              </w:rPr>
              <w:t>-4</w:t>
            </w:r>
            <w:r w:rsidRPr="0098635C">
              <w:rPr>
                <w:sz w:val="20"/>
                <w:szCs w:val="20"/>
              </w:rPr>
              <w:t xml:space="preserve"> g/L at pH 10.  Dicopper chloride trihydroxide decomposes from 240°C without melting or boiling.</w:t>
            </w:r>
          </w:p>
          <w:p w14:paraId="0DA0F117" w14:textId="77777777" w:rsidR="002C2BB0" w:rsidRPr="0098635C" w:rsidRDefault="002C2BB0" w:rsidP="002C2BB0">
            <w:pPr>
              <w:spacing w:after="0"/>
              <w:rPr>
                <w:sz w:val="20"/>
                <w:szCs w:val="20"/>
              </w:rPr>
            </w:pPr>
            <w:r w:rsidRPr="0098635C">
              <w:rPr>
                <w:sz w:val="20"/>
                <w:szCs w:val="20"/>
              </w:rPr>
              <w:t>Remark 1: T</w:t>
            </w:r>
            <w:r w:rsidRPr="0098635C">
              <w:rPr>
                <w:sz w:val="20"/>
                <w:szCs w:val="20"/>
                <w:lang w:eastAsia="ja-JP"/>
              </w:rPr>
              <w:t>he octanol-water partition coefficient (log K</w:t>
            </w:r>
            <w:r w:rsidRPr="0098635C">
              <w:rPr>
                <w:sz w:val="20"/>
                <w:szCs w:val="20"/>
                <w:vertAlign w:val="subscript"/>
                <w:lang w:eastAsia="ja-JP"/>
              </w:rPr>
              <w:t>ow</w:t>
            </w:r>
            <w:r w:rsidRPr="0098635C">
              <w:rPr>
                <w:sz w:val="20"/>
                <w:szCs w:val="20"/>
                <w:lang w:eastAsia="ja-JP"/>
              </w:rPr>
              <w:t xml:space="preserve">) is not relevant (the mechanisms of </w:t>
            </w:r>
            <w:r w:rsidRPr="0098635C">
              <w:rPr>
                <w:sz w:val="20"/>
                <w:szCs w:val="20"/>
              </w:rPr>
              <w:t>absorption of Cu</w:t>
            </w:r>
            <w:r w:rsidRPr="0098635C">
              <w:rPr>
                <w:sz w:val="20"/>
                <w:szCs w:val="20"/>
                <w:vertAlign w:val="superscript"/>
              </w:rPr>
              <w:t>2+</w:t>
            </w:r>
            <w:r w:rsidRPr="0098635C">
              <w:rPr>
                <w:sz w:val="20"/>
                <w:szCs w:val="20"/>
              </w:rPr>
              <w:t xml:space="preserve"> into organic matter and living cells are different from those traditionally attributed to carbon-based su</w:t>
            </w:r>
            <w:r w:rsidRPr="0098635C">
              <w:rPr>
                <w:sz w:val="20"/>
                <w:szCs w:val="20"/>
              </w:rPr>
              <w:t>b</w:t>
            </w:r>
            <w:r w:rsidRPr="0098635C">
              <w:rPr>
                <w:sz w:val="20"/>
                <w:szCs w:val="20"/>
              </w:rPr>
              <w:t>stances and the parameter therefore has little relevance to ionic copper). pKa is also not considered a relevant parameter and is thus not me</w:t>
            </w:r>
            <w:r w:rsidRPr="0098635C">
              <w:rPr>
                <w:sz w:val="20"/>
                <w:szCs w:val="20"/>
              </w:rPr>
              <w:t>n</w:t>
            </w:r>
            <w:r w:rsidRPr="0098635C">
              <w:rPr>
                <w:sz w:val="20"/>
                <w:szCs w:val="20"/>
              </w:rPr>
              <w:t>tioned above.</w:t>
            </w:r>
          </w:p>
          <w:p w14:paraId="724DBA65" w14:textId="77777777" w:rsidR="002C2BB0" w:rsidRPr="0098635C" w:rsidRDefault="002C2BB0" w:rsidP="002C2BB0">
            <w:pPr>
              <w:spacing w:after="0"/>
              <w:rPr>
                <w:sz w:val="20"/>
                <w:szCs w:val="20"/>
              </w:rPr>
            </w:pPr>
            <w:r w:rsidRPr="0098635C">
              <w:rPr>
                <w:sz w:val="20"/>
                <w:szCs w:val="20"/>
              </w:rPr>
              <w:t>Remark 2: Data on vapour pressure are only relevant for coated copper flakes (</w:t>
            </w:r>
            <w:r w:rsidRPr="0098635C">
              <w:rPr>
                <w:bCs/>
                <w:color w:val="000000"/>
                <w:sz w:val="20"/>
                <w:szCs w:val="20"/>
              </w:rPr>
              <w:t>7.5e-9 Pa (20°C), they are ne</w:t>
            </w:r>
            <w:r w:rsidRPr="0098635C">
              <w:rPr>
                <w:bCs/>
                <w:color w:val="000000"/>
                <w:sz w:val="20"/>
                <w:szCs w:val="20"/>
              </w:rPr>
              <w:t>g</w:t>
            </w:r>
            <w:r w:rsidRPr="0098635C">
              <w:rPr>
                <w:bCs/>
                <w:color w:val="000000"/>
                <w:sz w:val="20"/>
                <w:szCs w:val="20"/>
              </w:rPr>
              <w:t>ligible for Cu-compounds and Cu-metal. Vapour pressure is therefore considered as not relevant to the categ</w:t>
            </w:r>
            <w:r w:rsidRPr="0098635C">
              <w:rPr>
                <w:bCs/>
                <w:color w:val="000000"/>
                <w:sz w:val="20"/>
                <w:szCs w:val="20"/>
              </w:rPr>
              <w:t>o</w:t>
            </w:r>
            <w:r w:rsidRPr="0098635C">
              <w:rPr>
                <w:bCs/>
                <w:color w:val="000000"/>
                <w:sz w:val="20"/>
                <w:szCs w:val="20"/>
              </w:rPr>
              <w:t>ry me</w:t>
            </w:r>
            <w:r w:rsidRPr="0098635C">
              <w:rPr>
                <w:bCs/>
                <w:color w:val="000000"/>
                <w:sz w:val="20"/>
                <w:szCs w:val="20"/>
              </w:rPr>
              <w:t>m</w:t>
            </w:r>
            <w:r w:rsidRPr="0098635C">
              <w:rPr>
                <w:bCs/>
                <w:color w:val="000000"/>
                <w:sz w:val="20"/>
                <w:szCs w:val="20"/>
              </w:rPr>
              <w:t xml:space="preserve">bers </w:t>
            </w:r>
            <w:r w:rsidRPr="0098635C">
              <w:rPr>
                <w:sz w:val="20"/>
                <w:szCs w:val="20"/>
              </w:rPr>
              <w:t xml:space="preserve"> </w:t>
            </w:r>
          </w:p>
          <w:p w14:paraId="2AF4B9FE" w14:textId="77777777" w:rsidR="002C2BB0" w:rsidRPr="0098635C" w:rsidRDefault="002C2BB0" w:rsidP="002C2BB0">
            <w:pPr>
              <w:spacing w:after="0"/>
              <w:rPr>
                <w:b/>
                <w:sz w:val="20"/>
                <w:szCs w:val="20"/>
              </w:rPr>
            </w:pPr>
            <w:r w:rsidRPr="0098635C">
              <w:rPr>
                <w:b/>
                <w:sz w:val="20"/>
                <w:szCs w:val="20"/>
              </w:rPr>
              <w:t xml:space="preserve">Essentiality </w:t>
            </w:r>
          </w:p>
          <w:p w14:paraId="098FFE26" w14:textId="77777777" w:rsidR="002C2BB0" w:rsidRPr="0098635C" w:rsidRDefault="002C2BB0" w:rsidP="002C2BB0">
            <w:pPr>
              <w:spacing w:after="0"/>
              <w:rPr>
                <w:sz w:val="20"/>
                <w:szCs w:val="20"/>
              </w:rPr>
            </w:pPr>
            <w:r w:rsidRPr="0098635C">
              <w:rPr>
                <w:sz w:val="20"/>
                <w:szCs w:val="20"/>
              </w:rPr>
              <w:t>Copper is an essential micronutrient, needed for optimal growth and development of micro-organisms, plants, animals and h</w:t>
            </w:r>
            <w:r w:rsidRPr="0098635C">
              <w:rPr>
                <w:sz w:val="20"/>
                <w:szCs w:val="20"/>
              </w:rPr>
              <w:t>u</w:t>
            </w:r>
            <w:r w:rsidRPr="0098635C">
              <w:rPr>
                <w:sz w:val="20"/>
                <w:szCs w:val="20"/>
              </w:rPr>
              <w:t xml:space="preserve">mans. </w:t>
            </w:r>
          </w:p>
          <w:p w14:paraId="7415A61C" w14:textId="77777777" w:rsidR="002C2BB0" w:rsidRPr="0098635C" w:rsidRDefault="002C2BB0" w:rsidP="002C2BB0">
            <w:pPr>
              <w:spacing w:after="0"/>
              <w:rPr>
                <w:b/>
                <w:sz w:val="20"/>
                <w:szCs w:val="20"/>
              </w:rPr>
            </w:pPr>
            <w:r w:rsidRPr="0098635C">
              <w:rPr>
                <w:b/>
                <w:sz w:val="20"/>
                <w:szCs w:val="20"/>
              </w:rPr>
              <w:t>Human Health</w:t>
            </w:r>
          </w:p>
          <w:p w14:paraId="7D9263C0" w14:textId="77777777" w:rsidR="002C2BB0" w:rsidRPr="0098635C" w:rsidRDefault="002C2BB0" w:rsidP="002C2BB0">
            <w:pPr>
              <w:spacing w:after="0"/>
              <w:rPr>
                <w:b/>
                <w:i/>
                <w:sz w:val="20"/>
                <w:szCs w:val="20"/>
              </w:rPr>
            </w:pPr>
            <w:bookmarkStart w:id="0" w:name="_Toc355875359"/>
            <w:r w:rsidRPr="0098635C">
              <w:rPr>
                <w:b/>
                <w:i/>
                <w:sz w:val="20"/>
                <w:szCs w:val="20"/>
              </w:rPr>
              <w:t>Toxicokinetics (absorption, metabolism, distribution and eli</w:t>
            </w:r>
            <w:r w:rsidRPr="0098635C">
              <w:rPr>
                <w:b/>
                <w:i/>
                <w:sz w:val="20"/>
                <w:szCs w:val="20"/>
              </w:rPr>
              <w:t>m</w:t>
            </w:r>
            <w:r w:rsidRPr="0098635C">
              <w:rPr>
                <w:b/>
                <w:i/>
                <w:sz w:val="20"/>
                <w:szCs w:val="20"/>
              </w:rPr>
              <w:t>ination)</w:t>
            </w:r>
            <w:bookmarkEnd w:id="0"/>
          </w:p>
          <w:p w14:paraId="7409A605" w14:textId="77777777" w:rsidR="002C2BB0" w:rsidRPr="0098635C" w:rsidRDefault="002C2BB0" w:rsidP="002C2BB0">
            <w:pPr>
              <w:spacing w:after="0"/>
              <w:rPr>
                <w:b/>
                <w:i/>
                <w:sz w:val="20"/>
                <w:szCs w:val="20"/>
              </w:rPr>
            </w:pPr>
            <w:bookmarkStart w:id="1" w:name="_Toc355358338"/>
            <w:bookmarkStart w:id="2" w:name="_Toc355875360"/>
            <w:r w:rsidRPr="0098635C">
              <w:rPr>
                <w:b/>
                <w:i/>
                <w:sz w:val="20"/>
                <w:szCs w:val="20"/>
              </w:rPr>
              <w:t>Introduction</w:t>
            </w:r>
            <w:bookmarkEnd w:id="1"/>
            <w:bookmarkEnd w:id="2"/>
          </w:p>
          <w:p w14:paraId="313315F6" w14:textId="77777777" w:rsidR="002C2BB0" w:rsidRPr="0098635C" w:rsidRDefault="002C2BB0" w:rsidP="002C2BB0">
            <w:pPr>
              <w:spacing w:after="0"/>
              <w:rPr>
                <w:sz w:val="20"/>
                <w:szCs w:val="20"/>
              </w:rPr>
            </w:pPr>
            <w:r w:rsidRPr="0098635C">
              <w:rPr>
                <w:sz w:val="20"/>
                <w:szCs w:val="20"/>
              </w:rPr>
              <w:t>The toxicokinetics of essential elements such as copper are regulated to a large degree by homeostatic mech</w:t>
            </w:r>
            <w:r w:rsidRPr="0098635C">
              <w:rPr>
                <w:sz w:val="20"/>
                <w:szCs w:val="20"/>
              </w:rPr>
              <w:t>a</w:t>
            </w:r>
            <w:r w:rsidRPr="0098635C">
              <w:rPr>
                <w:sz w:val="20"/>
                <w:szCs w:val="20"/>
              </w:rPr>
              <w:t xml:space="preserve">nisms. Homeostasis can be described as the maintenance of a constant internal environment in response to changes in internal </w:t>
            </w:r>
            <w:r w:rsidRPr="0098635C">
              <w:rPr>
                <w:sz w:val="20"/>
                <w:szCs w:val="20"/>
              </w:rPr>
              <w:lastRenderedPageBreak/>
              <w:t>and external environments. Homeostatic maintenance requires the tightly coordinated co</w:t>
            </w:r>
            <w:r w:rsidRPr="0098635C">
              <w:rPr>
                <w:sz w:val="20"/>
                <w:szCs w:val="20"/>
              </w:rPr>
              <w:t>n</w:t>
            </w:r>
            <w:r w:rsidRPr="0098635C">
              <w:rPr>
                <w:sz w:val="20"/>
                <w:szCs w:val="20"/>
              </w:rPr>
              <w:t xml:space="preserve">trol of copper uptake, distribution and efflux in cells and the organism as a whole. As a result of the presence of a homeostatic mechanism for copper, rat and human metabolism of copper are very similar and are therefore discussed together in the following sections. </w:t>
            </w:r>
          </w:p>
          <w:p w14:paraId="0FDE59DC" w14:textId="77777777" w:rsidR="002C2BB0" w:rsidRPr="0098635C" w:rsidRDefault="002C2BB0" w:rsidP="002C2BB0">
            <w:pPr>
              <w:spacing w:after="0"/>
              <w:rPr>
                <w:b/>
                <w:i/>
                <w:sz w:val="20"/>
                <w:szCs w:val="20"/>
              </w:rPr>
            </w:pPr>
            <w:bookmarkStart w:id="3" w:name="_Toc355358339"/>
            <w:bookmarkStart w:id="4" w:name="_Toc355875361"/>
            <w:r w:rsidRPr="0098635C">
              <w:rPr>
                <w:b/>
                <w:i/>
                <w:sz w:val="20"/>
                <w:szCs w:val="20"/>
              </w:rPr>
              <w:t>Essentiality</w:t>
            </w:r>
            <w:bookmarkEnd w:id="3"/>
            <w:bookmarkEnd w:id="4"/>
          </w:p>
          <w:p w14:paraId="6029F814" w14:textId="77777777" w:rsidR="002C2BB0" w:rsidRPr="0098635C" w:rsidRDefault="002C2BB0" w:rsidP="002C2BB0">
            <w:pPr>
              <w:spacing w:after="0"/>
              <w:rPr>
                <w:sz w:val="20"/>
                <w:szCs w:val="20"/>
              </w:rPr>
            </w:pPr>
            <w:r w:rsidRPr="0098635C">
              <w:rPr>
                <w:sz w:val="20"/>
                <w:szCs w:val="20"/>
              </w:rPr>
              <w:t>Copper is an essential metal present in human body tissues and fluids at concentrations of parts per million or parts per billion. In common with other trace metals, copper has a number of physiological roles that may be classified as regulatory, structural and/or protective. In the regulatory role they are an essential part of meta</w:t>
            </w:r>
            <w:r w:rsidRPr="0098635C">
              <w:rPr>
                <w:sz w:val="20"/>
                <w:szCs w:val="20"/>
              </w:rPr>
              <w:t>l</w:t>
            </w:r>
            <w:r w:rsidRPr="0098635C">
              <w:rPr>
                <w:sz w:val="20"/>
                <w:szCs w:val="20"/>
              </w:rPr>
              <w:t>loenzymes, acting either as electron donors or acceptors at the active site, or by shaping the enzyme to the co</w:t>
            </w:r>
            <w:r w:rsidRPr="0098635C">
              <w:rPr>
                <w:sz w:val="20"/>
                <w:szCs w:val="20"/>
              </w:rPr>
              <w:t>n</w:t>
            </w:r>
            <w:r w:rsidRPr="0098635C">
              <w:rPr>
                <w:sz w:val="20"/>
                <w:szCs w:val="20"/>
              </w:rPr>
              <w:t>figuration necessary for its activity. The structural functions of trace metals may be in, for example, membrane integrity or bone structure, and the protective function may involve antioxidant defence or the immune system. Copper is involved in the reactions and functions of many enzymes, including angiogenesis, neurohormone r</w:t>
            </w:r>
            <w:r w:rsidRPr="0098635C">
              <w:rPr>
                <w:sz w:val="20"/>
                <w:szCs w:val="20"/>
              </w:rPr>
              <w:t>e</w:t>
            </w:r>
            <w:r w:rsidRPr="0098635C">
              <w:rPr>
                <w:sz w:val="20"/>
                <w:szCs w:val="20"/>
              </w:rPr>
              <w:t>lease, oxygen transport and regulation of genetic expression. Copper is an allosteric component of several e</w:t>
            </w:r>
            <w:r w:rsidRPr="0098635C">
              <w:rPr>
                <w:sz w:val="20"/>
                <w:szCs w:val="20"/>
              </w:rPr>
              <w:t>n</w:t>
            </w:r>
            <w:r w:rsidRPr="0098635C">
              <w:rPr>
                <w:sz w:val="20"/>
                <w:szCs w:val="20"/>
              </w:rPr>
              <w:t>zymes that have oxidation and reduction activity, functioning as an electron transfer intermediate in redox rea</w:t>
            </w:r>
            <w:r w:rsidRPr="0098635C">
              <w:rPr>
                <w:sz w:val="20"/>
                <w:szCs w:val="20"/>
              </w:rPr>
              <w:t>c</w:t>
            </w:r>
            <w:r w:rsidRPr="0098635C">
              <w:rPr>
                <w:sz w:val="20"/>
                <w:szCs w:val="20"/>
              </w:rPr>
              <w:t xml:space="preserve">tions. </w:t>
            </w:r>
          </w:p>
          <w:p w14:paraId="451F0915" w14:textId="77777777" w:rsidR="002C2BB0" w:rsidRPr="0098635C" w:rsidRDefault="002C2BB0" w:rsidP="002C2BB0">
            <w:pPr>
              <w:spacing w:after="0"/>
              <w:rPr>
                <w:b/>
                <w:i/>
                <w:sz w:val="20"/>
                <w:szCs w:val="20"/>
              </w:rPr>
            </w:pPr>
            <w:bookmarkStart w:id="5" w:name="_Toc318370963"/>
            <w:bookmarkStart w:id="6" w:name="_Toc355358341"/>
            <w:bookmarkStart w:id="7" w:name="_Toc355875363"/>
            <w:r w:rsidRPr="0098635C">
              <w:rPr>
                <w:b/>
                <w:i/>
                <w:sz w:val="20"/>
                <w:szCs w:val="20"/>
              </w:rPr>
              <w:t>Absorption</w:t>
            </w:r>
            <w:bookmarkStart w:id="8" w:name="_Toc318370964"/>
            <w:bookmarkStart w:id="9" w:name="_Toc355358342"/>
            <w:bookmarkStart w:id="10" w:name="_Toc355875364"/>
            <w:bookmarkEnd w:id="5"/>
            <w:bookmarkEnd w:id="6"/>
            <w:bookmarkEnd w:id="7"/>
          </w:p>
          <w:p w14:paraId="52AC4118" w14:textId="77777777" w:rsidR="002C2BB0" w:rsidRPr="0098635C" w:rsidRDefault="002C2BB0" w:rsidP="002C2BB0">
            <w:pPr>
              <w:spacing w:after="0"/>
              <w:rPr>
                <w:i/>
                <w:sz w:val="20"/>
                <w:szCs w:val="20"/>
              </w:rPr>
            </w:pPr>
            <w:r w:rsidRPr="0098635C">
              <w:rPr>
                <w:i/>
                <w:sz w:val="20"/>
                <w:szCs w:val="20"/>
              </w:rPr>
              <w:t>Oral</w:t>
            </w:r>
            <w:bookmarkEnd w:id="8"/>
            <w:bookmarkEnd w:id="9"/>
            <w:bookmarkEnd w:id="10"/>
          </w:p>
          <w:p w14:paraId="354A2716" w14:textId="77777777" w:rsidR="002C2BB0" w:rsidRPr="0098635C" w:rsidRDefault="002C2BB0" w:rsidP="002C2BB0">
            <w:pPr>
              <w:spacing w:after="0"/>
              <w:rPr>
                <w:b/>
                <w:sz w:val="20"/>
                <w:szCs w:val="20"/>
              </w:rPr>
            </w:pPr>
            <w:r w:rsidRPr="0098635C">
              <w:rPr>
                <w:sz w:val="20"/>
                <w:szCs w:val="20"/>
              </w:rPr>
              <w:t>A large quantity of oral absorption data are available for animals, specifically rats, and humans. These data e</w:t>
            </w:r>
            <w:r w:rsidRPr="0098635C">
              <w:rPr>
                <w:sz w:val="20"/>
                <w:szCs w:val="20"/>
              </w:rPr>
              <w:t>n</w:t>
            </w:r>
            <w:r w:rsidRPr="0098635C">
              <w:rPr>
                <w:sz w:val="20"/>
                <w:szCs w:val="20"/>
              </w:rPr>
              <w:t>able an estimation of true absorption at the relatively high copper intakes used in toxicity stu</w:t>
            </w:r>
            <w:r w:rsidRPr="0098635C">
              <w:rPr>
                <w:sz w:val="20"/>
                <w:szCs w:val="20"/>
              </w:rPr>
              <w:t>d</w:t>
            </w:r>
            <w:r w:rsidRPr="0098635C">
              <w:rPr>
                <w:sz w:val="20"/>
                <w:szCs w:val="20"/>
              </w:rPr>
              <w:t>ies.</w:t>
            </w:r>
          </w:p>
          <w:p w14:paraId="78CA4A02" w14:textId="77777777" w:rsidR="002C2BB0" w:rsidRPr="0098635C" w:rsidRDefault="002C2BB0" w:rsidP="002C2BB0">
            <w:pPr>
              <w:spacing w:after="0"/>
              <w:rPr>
                <w:sz w:val="20"/>
                <w:szCs w:val="20"/>
              </w:rPr>
            </w:pPr>
            <w:r w:rsidRPr="0098635C">
              <w:rPr>
                <w:sz w:val="20"/>
                <w:szCs w:val="20"/>
              </w:rPr>
              <w:t>True absorption was determined as there is a large quantity of data available on the absorption of copper in a</w:t>
            </w:r>
            <w:r w:rsidRPr="0098635C">
              <w:rPr>
                <w:sz w:val="20"/>
                <w:szCs w:val="20"/>
              </w:rPr>
              <w:t>n</w:t>
            </w:r>
            <w:r w:rsidRPr="0098635C">
              <w:rPr>
                <w:sz w:val="20"/>
                <w:szCs w:val="20"/>
              </w:rPr>
              <w:t>imals and h</w:t>
            </w:r>
            <w:r w:rsidRPr="0098635C">
              <w:rPr>
                <w:sz w:val="20"/>
                <w:szCs w:val="20"/>
              </w:rPr>
              <w:t>u</w:t>
            </w:r>
            <w:r w:rsidRPr="0098635C">
              <w:rPr>
                <w:sz w:val="20"/>
                <w:szCs w:val="20"/>
              </w:rPr>
              <w:t xml:space="preserve">mans, predominantly relating to oral exposure. In these studies, quantitative data on the absorption of copper have been based on faecal monitoring, as faecal excretion is the main excretory route for copper. In several of these studies, the amount absorbed has been determined as the difference between oral intake and faecal excretion. This absorption value represents a measure of </w:t>
            </w:r>
            <w:r w:rsidRPr="0098635C">
              <w:rPr>
                <w:i/>
                <w:iCs/>
                <w:sz w:val="20"/>
                <w:szCs w:val="20"/>
              </w:rPr>
              <w:t>apparent absorption</w:t>
            </w:r>
            <w:r w:rsidRPr="0098635C">
              <w:rPr>
                <w:sz w:val="20"/>
                <w:szCs w:val="20"/>
              </w:rPr>
              <w:t xml:space="preserve"> only, as faecal copper does not distinguish between unabsorbed copper and endogenous copper losses. Endogenous copper losses may occur from (1) biliary excretion of systemically-absorbed copper that mixes with the endogenous pool and is subsequently excreted, and (2) the fraction absorbed by intestinal mucosa and subsequently eliminated into the GI tract as cells are sloughed off (i.e. without systemic absorption).  </w:t>
            </w:r>
            <w:r w:rsidRPr="0098635C">
              <w:rPr>
                <w:i/>
                <w:iCs/>
                <w:sz w:val="20"/>
                <w:szCs w:val="20"/>
              </w:rPr>
              <w:t>Apparent absorption</w:t>
            </w:r>
            <w:r w:rsidRPr="0098635C">
              <w:rPr>
                <w:sz w:val="20"/>
                <w:szCs w:val="20"/>
              </w:rPr>
              <w:t xml:space="preserve"> thus represents a somewhat crude measure of copper absorption. In order to measure </w:t>
            </w:r>
            <w:r w:rsidRPr="0098635C">
              <w:rPr>
                <w:i/>
                <w:iCs/>
                <w:sz w:val="20"/>
                <w:szCs w:val="20"/>
              </w:rPr>
              <w:t>true absorption</w:t>
            </w:r>
            <w:r w:rsidRPr="0098635C">
              <w:rPr>
                <w:sz w:val="20"/>
                <w:szCs w:val="20"/>
              </w:rPr>
              <w:t>, which provides a more a</w:t>
            </w:r>
            <w:r w:rsidRPr="0098635C">
              <w:rPr>
                <w:sz w:val="20"/>
                <w:szCs w:val="20"/>
              </w:rPr>
              <w:t>c</w:t>
            </w:r>
            <w:r w:rsidRPr="0098635C">
              <w:rPr>
                <w:sz w:val="20"/>
                <w:szCs w:val="20"/>
              </w:rPr>
              <w:t>curate measure of copper absorption following oral exposure, the percentage of copper i</w:t>
            </w:r>
            <w:r w:rsidRPr="0098635C">
              <w:rPr>
                <w:sz w:val="20"/>
                <w:szCs w:val="20"/>
              </w:rPr>
              <w:t>n</w:t>
            </w:r>
            <w:r w:rsidRPr="0098635C">
              <w:rPr>
                <w:sz w:val="20"/>
                <w:szCs w:val="20"/>
              </w:rPr>
              <w:t>take recovered in the faeces was corrected for endogenous co</w:t>
            </w:r>
            <w:r w:rsidRPr="0098635C">
              <w:rPr>
                <w:sz w:val="20"/>
                <w:szCs w:val="20"/>
              </w:rPr>
              <w:t>p</w:t>
            </w:r>
            <w:r w:rsidRPr="0098635C">
              <w:rPr>
                <w:sz w:val="20"/>
                <w:szCs w:val="20"/>
              </w:rPr>
              <w:t>per losses.</w:t>
            </w:r>
          </w:p>
          <w:p w14:paraId="038638D3" w14:textId="77777777" w:rsidR="002C2BB0" w:rsidRPr="0098635C" w:rsidRDefault="002C2BB0" w:rsidP="002C2BB0">
            <w:pPr>
              <w:spacing w:after="0"/>
              <w:rPr>
                <w:sz w:val="20"/>
                <w:szCs w:val="20"/>
              </w:rPr>
            </w:pPr>
            <w:r w:rsidRPr="0098635C">
              <w:rPr>
                <w:sz w:val="20"/>
                <w:szCs w:val="20"/>
              </w:rPr>
              <w:t xml:space="preserve">Based on these absorption data, an absorption factor of 25% is taken to be the best estimate of true absorption in rats at the high copper intakes. </w:t>
            </w:r>
          </w:p>
          <w:p w14:paraId="4F3EA123" w14:textId="77777777" w:rsidR="002C2BB0" w:rsidRPr="0098635C" w:rsidRDefault="002C2BB0" w:rsidP="002C2BB0">
            <w:pPr>
              <w:spacing w:after="0"/>
              <w:rPr>
                <w:sz w:val="20"/>
                <w:szCs w:val="20"/>
              </w:rPr>
            </w:pPr>
            <w:r w:rsidRPr="0098635C">
              <w:rPr>
                <w:sz w:val="20"/>
                <w:szCs w:val="20"/>
              </w:rPr>
              <w:t>The most reliable human data currently available on copper absorption following oral exposure come from volunteer studies. Based on the available true absorption data, oral absorption rates in humans have been d</w:t>
            </w:r>
            <w:r w:rsidRPr="0098635C">
              <w:rPr>
                <w:sz w:val="20"/>
                <w:szCs w:val="20"/>
              </w:rPr>
              <w:t>e</w:t>
            </w:r>
            <w:r w:rsidRPr="0098635C">
              <w:rPr>
                <w:sz w:val="20"/>
                <w:szCs w:val="20"/>
              </w:rPr>
              <w:t>rived.The available data have been fitted to two functions giving a continuous distribution with mostly sim</w:t>
            </w:r>
            <w:r w:rsidRPr="0098635C">
              <w:rPr>
                <w:sz w:val="20"/>
                <w:szCs w:val="20"/>
              </w:rPr>
              <w:t>i</w:t>
            </w:r>
            <w:r w:rsidRPr="0098635C">
              <w:rPr>
                <w:sz w:val="20"/>
                <w:szCs w:val="20"/>
              </w:rPr>
              <w:t>lar results:</w:t>
            </w:r>
          </w:p>
          <w:p w14:paraId="30B8952E" w14:textId="77777777" w:rsidR="002C2BB0" w:rsidRPr="0098635C" w:rsidRDefault="002C2BB0" w:rsidP="002C2BB0">
            <w:pPr>
              <w:spacing w:after="0"/>
              <w:rPr>
                <w:sz w:val="20"/>
                <w:szCs w:val="20"/>
              </w:rPr>
            </w:pPr>
            <w:bookmarkStart w:id="11" w:name="_Ref159128510"/>
            <w:r w:rsidRPr="0098635C">
              <w:rPr>
                <w:sz w:val="20"/>
                <w:szCs w:val="20"/>
              </w:rPr>
              <w:tab/>
              <w:t xml:space="preserve">Equation </w:t>
            </w:r>
            <w:r w:rsidRPr="0098635C">
              <w:rPr>
                <w:sz w:val="20"/>
                <w:szCs w:val="20"/>
              </w:rPr>
              <w:fldChar w:fldCharType="begin"/>
            </w:r>
            <w:r w:rsidRPr="0098635C">
              <w:rPr>
                <w:sz w:val="20"/>
                <w:szCs w:val="20"/>
              </w:rPr>
              <w:instrText xml:space="preserve"> SEQ Equation \* ARABIC </w:instrText>
            </w:r>
            <w:r w:rsidRPr="0098635C">
              <w:rPr>
                <w:sz w:val="20"/>
                <w:szCs w:val="20"/>
              </w:rPr>
              <w:fldChar w:fldCharType="separate"/>
            </w:r>
            <w:r w:rsidRPr="0098635C">
              <w:rPr>
                <w:noProof/>
                <w:sz w:val="20"/>
                <w:szCs w:val="20"/>
              </w:rPr>
              <w:t>1</w:t>
            </w:r>
            <w:r w:rsidRPr="0098635C">
              <w:rPr>
                <w:noProof/>
                <w:sz w:val="20"/>
                <w:szCs w:val="20"/>
              </w:rPr>
              <w:fldChar w:fldCharType="end"/>
            </w:r>
            <w:bookmarkEnd w:id="11"/>
            <w:r w:rsidRPr="0098635C">
              <w:rPr>
                <w:sz w:val="20"/>
                <w:szCs w:val="20"/>
              </w:rPr>
              <w:t>:  oral absorption% = -15.0 ln(x) + 63.2777</w:t>
            </w:r>
          </w:p>
          <w:p w14:paraId="343FDAE8" w14:textId="77777777" w:rsidR="002C2BB0" w:rsidRPr="0098635C" w:rsidRDefault="002C2BB0" w:rsidP="002C2BB0">
            <w:pPr>
              <w:spacing w:after="0"/>
              <w:rPr>
                <w:sz w:val="20"/>
                <w:szCs w:val="20"/>
              </w:rPr>
            </w:pPr>
            <w:bookmarkStart w:id="12" w:name="_Ref159129100"/>
            <w:bookmarkStart w:id="13" w:name="_Ref159128511"/>
            <w:r w:rsidRPr="0098635C">
              <w:rPr>
                <w:sz w:val="20"/>
                <w:szCs w:val="20"/>
              </w:rPr>
              <w:tab/>
              <w:t xml:space="preserve">Equation </w:t>
            </w:r>
            <w:r w:rsidRPr="0098635C">
              <w:rPr>
                <w:sz w:val="20"/>
                <w:szCs w:val="20"/>
              </w:rPr>
              <w:fldChar w:fldCharType="begin"/>
            </w:r>
            <w:r w:rsidRPr="0098635C">
              <w:rPr>
                <w:sz w:val="20"/>
                <w:szCs w:val="20"/>
              </w:rPr>
              <w:instrText xml:space="preserve"> SEQ Equation \* ARABIC </w:instrText>
            </w:r>
            <w:r w:rsidRPr="0098635C">
              <w:rPr>
                <w:sz w:val="20"/>
                <w:szCs w:val="20"/>
              </w:rPr>
              <w:fldChar w:fldCharType="separate"/>
            </w:r>
            <w:r w:rsidRPr="0098635C">
              <w:rPr>
                <w:noProof/>
                <w:sz w:val="20"/>
                <w:szCs w:val="20"/>
              </w:rPr>
              <w:t>2</w:t>
            </w:r>
            <w:r w:rsidRPr="0098635C">
              <w:rPr>
                <w:noProof/>
                <w:sz w:val="20"/>
                <w:szCs w:val="20"/>
              </w:rPr>
              <w:fldChar w:fldCharType="end"/>
            </w:r>
            <w:bookmarkEnd w:id="12"/>
            <w:r w:rsidRPr="0098635C">
              <w:rPr>
                <w:sz w:val="20"/>
                <w:szCs w:val="20"/>
              </w:rPr>
              <w:t>:  oral absorption% =72.287 e</w:t>
            </w:r>
            <w:r w:rsidRPr="0098635C">
              <w:rPr>
                <w:sz w:val="20"/>
                <w:szCs w:val="20"/>
                <w:vertAlign w:val="superscript"/>
              </w:rPr>
              <w:t>-0.1167x</w:t>
            </w:r>
            <w:bookmarkEnd w:id="13"/>
          </w:p>
          <w:p w14:paraId="10BDBDEA" w14:textId="77777777" w:rsidR="002C2BB0" w:rsidRPr="0098635C" w:rsidRDefault="002C2BB0" w:rsidP="002C2BB0">
            <w:pPr>
              <w:spacing w:after="0"/>
              <w:rPr>
                <w:sz w:val="20"/>
                <w:szCs w:val="20"/>
              </w:rPr>
            </w:pPr>
            <w:r w:rsidRPr="0098635C">
              <w:rPr>
                <w:sz w:val="20"/>
                <w:szCs w:val="20"/>
              </w:rPr>
              <w:t>x= copper intake (mg/day)</w:t>
            </w:r>
          </w:p>
          <w:p w14:paraId="5A2B865C" w14:textId="77777777" w:rsidR="002C2BB0" w:rsidRPr="0098635C" w:rsidRDefault="002C2BB0" w:rsidP="002C2BB0">
            <w:pPr>
              <w:spacing w:after="0"/>
              <w:rPr>
                <w:sz w:val="20"/>
                <w:szCs w:val="20"/>
              </w:rPr>
            </w:pPr>
            <w:r w:rsidRPr="0098635C">
              <w:rPr>
                <w:sz w:val="20"/>
                <w:szCs w:val="20"/>
              </w:rPr>
              <w:t>For a given dose in the GIT, absorption in humans is calculated based on the mean result for these two fun</w:t>
            </w:r>
            <w:r w:rsidRPr="0098635C">
              <w:rPr>
                <w:sz w:val="20"/>
                <w:szCs w:val="20"/>
              </w:rPr>
              <w:t>c</w:t>
            </w:r>
            <w:r w:rsidRPr="0098635C">
              <w:rPr>
                <w:sz w:val="20"/>
                <w:szCs w:val="20"/>
              </w:rPr>
              <w:t>tions. In humans, this method of calculation is applied to the sum of the oral intake and copper arising from i</w:t>
            </w:r>
            <w:r w:rsidRPr="0098635C">
              <w:rPr>
                <w:sz w:val="20"/>
                <w:szCs w:val="20"/>
              </w:rPr>
              <w:t>n</w:t>
            </w:r>
            <w:r w:rsidRPr="0098635C">
              <w:rPr>
                <w:sz w:val="20"/>
                <w:szCs w:val="20"/>
              </w:rPr>
              <w:t xml:space="preserve">halation exposure and subsequently translocated to the GIT. The </w:t>
            </w:r>
            <w:r w:rsidRPr="0098635C">
              <w:rPr>
                <w:sz w:val="20"/>
                <w:szCs w:val="20"/>
                <w:u w:val="single"/>
              </w:rPr>
              <w:t>minimum</w:t>
            </w:r>
            <w:r w:rsidRPr="0098635C">
              <w:rPr>
                <w:sz w:val="20"/>
                <w:szCs w:val="20"/>
              </w:rPr>
              <w:t xml:space="preserve"> oral absor</w:t>
            </w:r>
            <w:r w:rsidRPr="0098635C">
              <w:rPr>
                <w:sz w:val="20"/>
                <w:szCs w:val="20"/>
              </w:rPr>
              <w:t>p</w:t>
            </w:r>
            <w:r w:rsidRPr="0098635C">
              <w:rPr>
                <w:sz w:val="20"/>
                <w:szCs w:val="20"/>
              </w:rPr>
              <w:t xml:space="preserve">tion is set to 20%. </w:t>
            </w:r>
          </w:p>
          <w:p w14:paraId="52CE54C8" w14:textId="77777777" w:rsidR="002C2BB0" w:rsidRPr="0098635C" w:rsidRDefault="002C2BB0" w:rsidP="002C2BB0">
            <w:pPr>
              <w:spacing w:after="0"/>
              <w:rPr>
                <w:sz w:val="20"/>
                <w:szCs w:val="20"/>
              </w:rPr>
            </w:pPr>
            <w:r w:rsidRPr="0098635C">
              <w:rPr>
                <w:sz w:val="20"/>
                <w:szCs w:val="20"/>
              </w:rPr>
              <w:t>Oral absorption data for humans and rats show qualitative and quantitative similarities between the two sp</w:t>
            </w:r>
            <w:r w:rsidRPr="0098635C">
              <w:rPr>
                <w:sz w:val="20"/>
                <w:szCs w:val="20"/>
              </w:rPr>
              <w:t>e</w:t>
            </w:r>
            <w:r w:rsidRPr="0098635C">
              <w:rPr>
                <w:sz w:val="20"/>
                <w:szCs w:val="20"/>
              </w:rPr>
              <w:t>cies. In both species, absorption of copper over the range of intakes studied is inversely related to copper i</w:t>
            </w:r>
            <w:r w:rsidRPr="0098635C">
              <w:rPr>
                <w:sz w:val="20"/>
                <w:szCs w:val="20"/>
              </w:rPr>
              <w:t>n</w:t>
            </w:r>
            <w:r w:rsidRPr="0098635C">
              <w:rPr>
                <w:sz w:val="20"/>
                <w:szCs w:val="20"/>
              </w:rPr>
              <w:t>take, illustrating the important role of absorption in copper homeostasis. In both species, true absorption of copper from diets containing what are considered as adequate levels of copper (1-10 mg/day in humans; 0.3-0.6 mg/kg bw/day in animals) is in the 30-60% range. The above oral absorption data, and corresponding fun</w:t>
            </w:r>
            <w:r w:rsidRPr="0098635C">
              <w:rPr>
                <w:sz w:val="20"/>
                <w:szCs w:val="20"/>
              </w:rPr>
              <w:t>c</w:t>
            </w:r>
            <w:r w:rsidRPr="0098635C">
              <w:rPr>
                <w:sz w:val="20"/>
                <w:szCs w:val="20"/>
              </w:rPr>
              <w:t>tions, are based on copper sulphate. A</w:t>
            </w:r>
            <w:r w:rsidRPr="0098635C">
              <w:rPr>
                <w:sz w:val="20"/>
                <w:szCs w:val="20"/>
              </w:rPr>
              <w:t>s</w:t>
            </w:r>
            <w:r w:rsidRPr="0098635C">
              <w:rPr>
                <w:sz w:val="20"/>
                <w:szCs w:val="20"/>
              </w:rPr>
              <w:t>suming that orally-administered copper will occur in the GIT, at least in part, in the ionic form and therefore be available for absorption, and in view of the solubility of copper su</w:t>
            </w:r>
            <w:r w:rsidRPr="0098635C">
              <w:rPr>
                <w:sz w:val="20"/>
                <w:szCs w:val="20"/>
              </w:rPr>
              <w:t>l</w:t>
            </w:r>
            <w:r w:rsidRPr="0098635C">
              <w:rPr>
                <w:sz w:val="20"/>
                <w:szCs w:val="20"/>
              </w:rPr>
              <w:t>phate, it is considered appropriate to adopt a conservative approach and to use the oral absorption data for co</w:t>
            </w:r>
            <w:r w:rsidRPr="0098635C">
              <w:rPr>
                <w:sz w:val="20"/>
                <w:szCs w:val="20"/>
              </w:rPr>
              <w:t>p</w:t>
            </w:r>
            <w:r w:rsidRPr="0098635C">
              <w:rPr>
                <w:sz w:val="20"/>
                <w:szCs w:val="20"/>
              </w:rPr>
              <w:t>per sulphate for other less soluble copper species.</w:t>
            </w:r>
          </w:p>
          <w:p w14:paraId="509762EF" w14:textId="77777777" w:rsidR="002C2BB0" w:rsidRPr="0098635C" w:rsidRDefault="002C2BB0" w:rsidP="002C2BB0">
            <w:pPr>
              <w:spacing w:after="0"/>
              <w:rPr>
                <w:i/>
                <w:sz w:val="20"/>
                <w:szCs w:val="20"/>
              </w:rPr>
            </w:pPr>
            <w:bookmarkStart w:id="14" w:name="_Toc318370965"/>
            <w:bookmarkStart w:id="15" w:name="_Toc355358343"/>
            <w:bookmarkStart w:id="16" w:name="_Toc355875365"/>
            <w:r w:rsidRPr="0098635C">
              <w:rPr>
                <w:i/>
                <w:sz w:val="20"/>
                <w:szCs w:val="20"/>
              </w:rPr>
              <w:t>Dermal absorption and penetration</w:t>
            </w:r>
            <w:bookmarkEnd w:id="14"/>
            <w:bookmarkEnd w:id="15"/>
            <w:bookmarkEnd w:id="16"/>
          </w:p>
          <w:p w14:paraId="5ABB4257" w14:textId="77777777" w:rsidR="002C2BB0" w:rsidRPr="0098635C" w:rsidRDefault="002C2BB0" w:rsidP="002C2BB0">
            <w:pPr>
              <w:spacing w:after="0"/>
              <w:rPr>
                <w:sz w:val="20"/>
                <w:szCs w:val="20"/>
              </w:rPr>
            </w:pPr>
            <w:r w:rsidRPr="0098635C">
              <w:rPr>
                <w:sz w:val="20"/>
                <w:szCs w:val="20"/>
              </w:rPr>
              <w:t>In the two reviewed studies, the copper compounds were a</w:t>
            </w:r>
            <w:r w:rsidRPr="0098635C">
              <w:rPr>
                <w:sz w:val="20"/>
                <w:szCs w:val="20"/>
              </w:rPr>
              <w:t>p</w:t>
            </w:r>
            <w:r w:rsidRPr="0098635C">
              <w:rPr>
                <w:sz w:val="20"/>
                <w:szCs w:val="20"/>
              </w:rPr>
              <w:t>plied in an aqueous medium (suspension). There is uncertainty about the applicability of these absorption data to exposures of dry copper compounds as encou</w:t>
            </w:r>
            <w:r w:rsidRPr="0098635C">
              <w:rPr>
                <w:sz w:val="20"/>
                <w:szCs w:val="20"/>
              </w:rPr>
              <w:t>n</w:t>
            </w:r>
            <w:r w:rsidRPr="0098635C">
              <w:rPr>
                <w:sz w:val="20"/>
                <w:szCs w:val="20"/>
              </w:rPr>
              <w:t>tered in occupational exposure scenarios. However, in view of the limitations of the studies on which this de</w:t>
            </w:r>
            <w:r w:rsidRPr="0098635C">
              <w:rPr>
                <w:sz w:val="20"/>
                <w:szCs w:val="20"/>
              </w:rPr>
              <w:t>r</w:t>
            </w:r>
            <w:r w:rsidRPr="0098635C">
              <w:rPr>
                <w:sz w:val="20"/>
                <w:szCs w:val="20"/>
              </w:rPr>
              <w:t>mal absorption factor is based (absence of mass balance data and large stan</w:t>
            </w:r>
            <w:r w:rsidRPr="0098635C">
              <w:rPr>
                <w:sz w:val="20"/>
                <w:szCs w:val="20"/>
              </w:rPr>
              <w:t>d</w:t>
            </w:r>
            <w:r w:rsidRPr="0098635C">
              <w:rPr>
                <w:sz w:val="20"/>
                <w:szCs w:val="20"/>
              </w:rPr>
              <w:t>ard deviations); the value of 0.3% is considered to represent the best estimate based on data currently avail</w:t>
            </w:r>
            <w:r w:rsidRPr="0098635C">
              <w:rPr>
                <w:sz w:val="20"/>
                <w:szCs w:val="20"/>
              </w:rPr>
              <w:t>a</w:t>
            </w:r>
            <w:r w:rsidRPr="0098635C">
              <w:rPr>
                <w:sz w:val="20"/>
                <w:szCs w:val="20"/>
              </w:rPr>
              <w:t xml:space="preserve">ble. </w:t>
            </w:r>
          </w:p>
          <w:p w14:paraId="5CECE370" w14:textId="77777777" w:rsidR="002C2BB0" w:rsidRPr="0098635C" w:rsidRDefault="002C2BB0" w:rsidP="002C2BB0">
            <w:pPr>
              <w:spacing w:after="0"/>
              <w:rPr>
                <w:b/>
                <w:bCs/>
                <w:sz w:val="20"/>
                <w:szCs w:val="20"/>
              </w:rPr>
            </w:pPr>
            <w:r w:rsidRPr="0098635C">
              <w:rPr>
                <w:sz w:val="20"/>
                <w:szCs w:val="20"/>
              </w:rPr>
              <w:t>Given the available studies provide no consistent evidence that dermal absorption is greater for soluble than for insoluble copper substances, a dermal absorption factor of 0.3% is also proposed for both so</w:t>
            </w:r>
            <w:r w:rsidRPr="0098635C">
              <w:rPr>
                <w:sz w:val="20"/>
                <w:szCs w:val="20"/>
              </w:rPr>
              <w:t>l</w:t>
            </w:r>
            <w:r w:rsidRPr="0098635C">
              <w:rPr>
                <w:sz w:val="20"/>
                <w:szCs w:val="20"/>
              </w:rPr>
              <w:t>uble and insoluble copper substances.</w:t>
            </w:r>
          </w:p>
          <w:p w14:paraId="06DE25BE" w14:textId="77777777" w:rsidR="002C2BB0" w:rsidRPr="0098635C" w:rsidRDefault="002C2BB0" w:rsidP="002C2BB0">
            <w:pPr>
              <w:spacing w:after="0"/>
              <w:rPr>
                <w:sz w:val="20"/>
                <w:szCs w:val="20"/>
              </w:rPr>
            </w:pPr>
            <w:r w:rsidRPr="0098635C">
              <w:rPr>
                <w:sz w:val="20"/>
                <w:szCs w:val="20"/>
              </w:rPr>
              <w:t>For dry exposure scenarios, a 10-fold lower dermal absorption value is proposed (0.03%), consistent with the approach used in the OECD Cooperative Chemicals Assessment of Zinc (and EU risk asses</w:t>
            </w:r>
            <w:r w:rsidRPr="0098635C">
              <w:rPr>
                <w:sz w:val="20"/>
                <w:szCs w:val="20"/>
              </w:rPr>
              <w:t>s</w:t>
            </w:r>
            <w:r w:rsidRPr="0098635C">
              <w:rPr>
                <w:sz w:val="20"/>
                <w:szCs w:val="20"/>
              </w:rPr>
              <w:t>ment).</w:t>
            </w:r>
          </w:p>
          <w:p w14:paraId="135AACA3" w14:textId="77777777" w:rsidR="002C2BB0" w:rsidRPr="0098635C" w:rsidRDefault="002C2BB0" w:rsidP="002C2BB0">
            <w:pPr>
              <w:spacing w:after="0"/>
              <w:rPr>
                <w:b/>
                <w:i/>
                <w:sz w:val="20"/>
                <w:szCs w:val="20"/>
              </w:rPr>
            </w:pPr>
            <w:bookmarkStart w:id="17" w:name="_Toc318370967"/>
            <w:bookmarkStart w:id="18" w:name="_Toc355358345"/>
            <w:bookmarkStart w:id="19" w:name="_Toc355875367"/>
            <w:r w:rsidRPr="0098635C">
              <w:rPr>
                <w:b/>
                <w:i/>
                <w:sz w:val="20"/>
                <w:szCs w:val="20"/>
              </w:rPr>
              <w:t>Distribution</w:t>
            </w:r>
            <w:bookmarkEnd w:id="17"/>
            <w:bookmarkEnd w:id="18"/>
            <w:bookmarkEnd w:id="19"/>
          </w:p>
          <w:p w14:paraId="189DAF0D" w14:textId="77777777" w:rsidR="002C2BB0" w:rsidRPr="0098635C" w:rsidRDefault="002C2BB0" w:rsidP="002C2BB0">
            <w:pPr>
              <w:spacing w:after="0"/>
              <w:rPr>
                <w:sz w:val="20"/>
                <w:szCs w:val="20"/>
              </w:rPr>
            </w:pPr>
            <w:r w:rsidRPr="0098635C">
              <w:rPr>
                <w:sz w:val="20"/>
                <w:szCs w:val="20"/>
              </w:rPr>
              <w:lastRenderedPageBreak/>
              <w:t>On entering interstitial fluid and blood plasma, absorbed copper initially becomes bound to two proteins, a</w:t>
            </w:r>
            <w:r w:rsidRPr="0098635C">
              <w:rPr>
                <w:sz w:val="20"/>
                <w:szCs w:val="20"/>
              </w:rPr>
              <w:t>l</w:t>
            </w:r>
            <w:r w:rsidRPr="0098635C">
              <w:rPr>
                <w:sz w:val="20"/>
                <w:szCs w:val="20"/>
              </w:rPr>
              <w:t>bumin and transcuprein. Most of the copper bound to albumin and transcuprein is rapidly transported via portal blood to the liver. Once in the liver, copper is incorporated into ceruloplasmin, which is subs</w:t>
            </w:r>
            <w:r w:rsidRPr="0098635C">
              <w:rPr>
                <w:sz w:val="20"/>
                <w:szCs w:val="20"/>
              </w:rPr>
              <w:t>e</w:t>
            </w:r>
            <w:r w:rsidRPr="0098635C">
              <w:rPr>
                <w:sz w:val="20"/>
                <w:szCs w:val="20"/>
              </w:rPr>
              <w:t>quently released into the systemic circulation for delivery to other tissues.</w:t>
            </w:r>
          </w:p>
          <w:p w14:paraId="74514449" w14:textId="77777777" w:rsidR="002C2BB0" w:rsidRPr="0098635C" w:rsidRDefault="002C2BB0" w:rsidP="002C2BB0">
            <w:pPr>
              <w:spacing w:after="0"/>
              <w:rPr>
                <w:b/>
                <w:i/>
                <w:sz w:val="20"/>
                <w:szCs w:val="20"/>
              </w:rPr>
            </w:pPr>
            <w:bookmarkStart w:id="20" w:name="_Toc318370968"/>
            <w:bookmarkStart w:id="21" w:name="_Toc355358346"/>
            <w:bookmarkStart w:id="22" w:name="_Toc355875368"/>
            <w:r w:rsidRPr="0098635C">
              <w:rPr>
                <w:b/>
                <w:i/>
                <w:sz w:val="20"/>
                <w:szCs w:val="20"/>
              </w:rPr>
              <w:t>Excretion</w:t>
            </w:r>
            <w:bookmarkEnd w:id="20"/>
            <w:bookmarkEnd w:id="21"/>
            <w:bookmarkEnd w:id="22"/>
          </w:p>
          <w:p w14:paraId="6CB5980E" w14:textId="77777777" w:rsidR="002C2BB0" w:rsidRPr="0098635C" w:rsidRDefault="002C2BB0" w:rsidP="002C2BB0">
            <w:pPr>
              <w:spacing w:after="0"/>
              <w:rPr>
                <w:sz w:val="20"/>
                <w:szCs w:val="20"/>
              </w:rPr>
            </w:pPr>
            <w:bookmarkStart w:id="23" w:name="_Ref273557893"/>
            <w:bookmarkStart w:id="24" w:name="_Toc318370969"/>
            <w:r w:rsidRPr="0098635C">
              <w:rPr>
                <w:sz w:val="20"/>
                <w:szCs w:val="20"/>
              </w:rPr>
              <w:t>Quantitative data on excretion were reported in a bioequivalence study. The fate of excess copper was exa</w:t>
            </w:r>
            <w:r w:rsidRPr="0098635C">
              <w:rPr>
                <w:sz w:val="20"/>
                <w:szCs w:val="20"/>
              </w:rPr>
              <w:t>m</w:t>
            </w:r>
            <w:r w:rsidRPr="0098635C">
              <w:rPr>
                <w:sz w:val="20"/>
                <w:szCs w:val="20"/>
              </w:rPr>
              <w:t>ined in bile-cannulated male Sprague Dawley rats (five per group) following oral administration of a single dose of copper (nominal dose 20 mg Cu/kg bw; actual dose 22-24 mg Cu/kg bw). Six inorganic copper salts were investigated including three category members. Copper levels in excreta during the 24-h period after do</w:t>
            </w:r>
            <w:r w:rsidRPr="0098635C">
              <w:rPr>
                <w:sz w:val="20"/>
                <w:szCs w:val="20"/>
              </w:rPr>
              <w:t>s</w:t>
            </w:r>
            <w:r w:rsidRPr="0098635C">
              <w:rPr>
                <w:sz w:val="20"/>
                <w:szCs w:val="20"/>
              </w:rPr>
              <w:t>ing were as follows: bile 1.54-2.48% of dose; urine 0.20-0.39% of dose; fa</w:t>
            </w:r>
            <w:r w:rsidRPr="0098635C">
              <w:rPr>
                <w:sz w:val="20"/>
                <w:szCs w:val="20"/>
              </w:rPr>
              <w:t>e</w:t>
            </w:r>
            <w:r w:rsidRPr="0098635C">
              <w:rPr>
                <w:sz w:val="20"/>
                <w:szCs w:val="20"/>
              </w:rPr>
              <w:t>ces 64-76% of dose (although it is noted that faecal copper will also comprise some absorbed copper). Values were found to be similar for all six substances tested. The results showed faecal excretion to be the main route of elimination for orally-administered copper, with urinary excretion as a relatively m</w:t>
            </w:r>
            <w:r w:rsidRPr="0098635C">
              <w:rPr>
                <w:sz w:val="20"/>
                <w:szCs w:val="20"/>
              </w:rPr>
              <w:t>i</w:t>
            </w:r>
            <w:r w:rsidRPr="0098635C">
              <w:rPr>
                <w:sz w:val="20"/>
                <w:szCs w:val="20"/>
              </w:rPr>
              <w:t xml:space="preserve">nor route. </w:t>
            </w:r>
          </w:p>
          <w:p w14:paraId="0D9754E3" w14:textId="77777777" w:rsidR="002C2BB0" w:rsidRPr="0098635C" w:rsidRDefault="002C2BB0" w:rsidP="002C2BB0">
            <w:pPr>
              <w:spacing w:after="0"/>
              <w:rPr>
                <w:b/>
                <w:i/>
                <w:sz w:val="20"/>
                <w:szCs w:val="20"/>
              </w:rPr>
            </w:pPr>
            <w:bookmarkStart w:id="25" w:name="_Toc355358347"/>
            <w:bookmarkStart w:id="26" w:name="_Toc355875369"/>
            <w:r w:rsidRPr="0098635C">
              <w:rPr>
                <w:b/>
                <w:i/>
                <w:sz w:val="20"/>
                <w:szCs w:val="20"/>
              </w:rPr>
              <w:t>Comparative bioavailability</w:t>
            </w:r>
            <w:bookmarkEnd w:id="23"/>
            <w:bookmarkEnd w:id="24"/>
            <w:bookmarkEnd w:id="25"/>
            <w:bookmarkEnd w:id="26"/>
          </w:p>
          <w:p w14:paraId="01A04F6D" w14:textId="77777777" w:rsidR="002C2BB0" w:rsidRPr="0098635C" w:rsidRDefault="002C2BB0" w:rsidP="002C2BB0">
            <w:pPr>
              <w:spacing w:after="0"/>
              <w:rPr>
                <w:i/>
                <w:sz w:val="20"/>
                <w:szCs w:val="20"/>
              </w:rPr>
            </w:pPr>
            <w:r w:rsidRPr="0098635C">
              <w:rPr>
                <w:sz w:val="20"/>
                <w:szCs w:val="20"/>
              </w:rPr>
              <w:t>In mammalian toxicity, it is also considered that the most toxic form of any copper salt is the Cu</w:t>
            </w:r>
            <w:r w:rsidRPr="0098635C">
              <w:rPr>
                <w:sz w:val="20"/>
                <w:szCs w:val="20"/>
                <w:vertAlign w:val="superscript"/>
              </w:rPr>
              <w:t>2+</w:t>
            </w:r>
            <w:r w:rsidRPr="0098635C">
              <w:rPr>
                <w:sz w:val="20"/>
                <w:szCs w:val="20"/>
              </w:rPr>
              <w:t xml:space="preserve"> ion. This can be shown through the comparison of the most soluble (e.g. copper sulphate pentahydrate, copper nitrate) and relatively insoluble copper salts, where the solubility, bioavailability and hence toxicity of these salts can vary – with copper sulphate pentahydrate re</w:t>
            </w:r>
            <w:r w:rsidRPr="0098635C">
              <w:rPr>
                <w:sz w:val="20"/>
                <w:szCs w:val="20"/>
              </w:rPr>
              <w:t>p</w:t>
            </w:r>
            <w:r w:rsidRPr="0098635C">
              <w:rPr>
                <w:sz w:val="20"/>
                <w:szCs w:val="20"/>
              </w:rPr>
              <w:t>resenting the worst-case scenario. As all suitable short- to long-term available animal copper toxicity studies are derived from oral administration, the use of copper sulphate pentahydrate data would represent a worst case scenario for the determination of the effect of relatively insol</w:t>
            </w:r>
            <w:r w:rsidRPr="0098635C">
              <w:rPr>
                <w:sz w:val="20"/>
                <w:szCs w:val="20"/>
              </w:rPr>
              <w:t>u</w:t>
            </w:r>
            <w:r w:rsidRPr="0098635C">
              <w:rPr>
                <w:sz w:val="20"/>
                <w:szCs w:val="20"/>
              </w:rPr>
              <w:t>ble copper compounds in mammalian toxicity. In add</w:t>
            </w:r>
            <w:r w:rsidRPr="0098635C">
              <w:rPr>
                <w:sz w:val="20"/>
                <w:szCs w:val="20"/>
              </w:rPr>
              <w:t>i</w:t>
            </w:r>
            <w:r w:rsidRPr="0098635C">
              <w:rPr>
                <w:sz w:val="20"/>
                <w:szCs w:val="20"/>
              </w:rPr>
              <w:t>tion, the use of copper sulphate pentahydrate data would minimise the nu</w:t>
            </w:r>
            <w:r w:rsidRPr="0098635C">
              <w:rPr>
                <w:sz w:val="20"/>
                <w:szCs w:val="20"/>
              </w:rPr>
              <w:t>m</w:t>
            </w:r>
            <w:r w:rsidRPr="0098635C">
              <w:rPr>
                <w:sz w:val="20"/>
                <w:szCs w:val="20"/>
              </w:rPr>
              <w:t>ber of animal studies.</w:t>
            </w:r>
          </w:p>
          <w:p w14:paraId="7E13BC98" w14:textId="77777777" w:rsidR="002C2BB0" w:rsidRPr="0098635C" w:rsidRDefault="002C2BB0" w:rsidP="002C2BB0">
            <w:pPr>
              <w:spacing w:after="0"/>
              <w:rPr>
                <w:i/>
                <w:sz w:val="20"/>
                <w:szCs w:val="20"/>
              </w:rPr>
            </w:pPr>
            <w:r w:rsidRPr="0098635C">
              <w:rPr>
                <w:i/>
                <w:sz w:val="20"/>
                <w:szCs w:val="20"/>
              </w:rPr>
              <w:t>In vivo bioavailability</w:t>
            </w:r>
          </w:p>
          <w:p w14:paraId="563715AB" w14:textId="77777777" w:rsidR="002C2BB0" w:rsidRPr="0098635C" w:rsidRDefault="002C2BB0" w:rsidP="002C2BB0">
            <w:pPr>
              <w:spacing w:after="0"/>
              <w:rPr>
                <w:sz w:val="20"/>
                <w:szCs w:val="20"/>
              </w:rPr>
            </w:pPr>
            <w:r w:rsidRPr="0098635C">
              <w:rPr>
                <w:sz w:val="20"/>
                <w:szCs w:val="20"/>
              </w:rPr>
              <w:t>For the oral exposure route, in a series of bioavailability studies, conducted by several authors the bioavailabi</w:t>
            </w:r>
            <w:r w:rsidRPr="0098635C">
              <w:rPr>
                <w:sz w:val="20"/>
                <w:szCs w:val="20"/>
              </w:rPr>
              <w:t>l</w:t>
            </w:r>
            <w:r w:rsidRPr="0098635C">
              <w:rPr>
                <w:sz w:val="20"/>
                <w:szCs w:val="20"/>
              </w:rPr>
              <w:t>ity of copper sulphate to other relatively insoluble copper salts including copper oxide was compared. Al</w:t>
            </w:r>
            <w:r w:rsidRPr="0098635C">
              <w:rPr>
                <w:sz w:val="20"/>
                <w:szCs w:val="20"/>
              </w:rPr>
              <w:t>t</w:t>
            </w:r>
            <w:r w:rsidRPr="0098635C">
              <w:rPr>
                <w:sz w:val="20"/>
                <w:szCs w:val="20"/>
              </w:rPr>
              <w:t xml:space="preserve">hough the species tested are not usual species used in regulatory guidelines, the results are consistent when evaluating a number of studies and appear to be reproducible. In addition, the studies have measured copper levels in the most important organ and body fluid in determining copper absorption from the gastro-intestinal tract, namely the liver and bile. </w:t>
            </w:r>
          </w:p>
          <w:p w14:paraId="1A472FA5" w14:textId="77777777" w:rsidR="002C2BB0" w:rsidRPr="0098635C" w:rsidRDefault="002C2BB0" w:rsidP="002C2BB0">
            <w:pPr>
              <w:spacing w:after="0"/>
              <w:rPr>
                <w:sz w:val="20"/>
                <w:szCs w:val="20"/>
              </w:rPr>
            </w:pPr>
          </w:p>
          <w:p w14:paraId="37FB7D59" w14:textId="77777777" w:rsidR="002C2BB0" w:rsidRPr="0098635C" w:rsidRDefault="002C2BB0" w:rsidP="002C2BB0">
            <w:pPr>
              <w:keepNext/>
              <w:keepLines/>
              <w:spacing w:after="0"/>
              <w:ind w:right="215"/>
              <w:jc w:val="center"/>
              <w:rPr>
                <w:b/>
                <w:sz w:val="20"/>
                <w:szCs w:val="20"/>
              </w:rPr>
            </w:pPr>
            <w:bookmarkStart w:id="27" w:name="_Toc274238354"/>
            <w:bookmarkStart w:id="28" w:name="_Toc355358587"/>
            <w:bookmarkStart w:id="29" w:name="_Toc355871291"/>
            <w:r w:rsidRPr="0098635C">
              <w:rPr>
                <w:b/>
                <w:sz w:val="20"/>
                <w:szCs w:val="20"/>
              </w:rPr>
              <w:t>Relative bioavailability of supplemental copper sources</w:t>
            </w:r>
            <w:bookmarkEnd w:id="27"/>
            <w:bookmarkEnd w:id="28"/>
            <w:bookmarkEnd w:id="29"/>
          </w:p>
          <w:tbl>
            <w:tblPr>
              <w:tblW w:w="7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2"/>
              <w:gridCol w:w="1275"/>
              <w:gridCol w:w="1843"/>
              <w:gridCol w:w="2325"/>
            </w:tblGrid>
            <w:tr w:rsidR="002C2BB0" w:rsidRPr="0098635C" w14:paraId="3F627D60" w14:textId="77777777" w:rsidTr="002C2BB0">
              <w:trPr>
                <w:trHeight w:val="346"/>
                <w:jc w:val="center"/>
              </w:trPr>
              <w:tc>
                <w:tcPr>
                  <w:tcW w:w="2312"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46047FD8" w14:textId="77777777" w:rsidR="002C2BB0" w:rsidRPr="0098635C" w:rsidRDefault="002C2BB0" w:rsidP="002C2BB0">
                  <w:pPr>
                    <w:keepNext/>
                    <w:keepLines/>
                    <w:spacing w:after="0"/>
                    <w:ind w:right="215"/>
                    <w:rPr>
                      <w:b/>
                      <w:sz w:val="20"/>
                      <w:szCs w:val="20"/>
                    </w:rPr>
                  </w:pPr>
                  <w:r w:rsidRPr="0098635C">
                    <w:rPr>
                      <w:b/>
                      <w:sz w:val="20"/>
                      <w:szCs w:val="20"/>
                    </w:rPr>
                    <w:t>Source of copper</w:t>
                  </w:r>
                </w:p>
              </w:tc>
              <w:tc>
                <w:tcPr>
                  <w:tcW w:w="5443"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5A96A5F" w14:textId="77777777" w:rsidR="002C2BB0" w:rsidRPr="0098635C" w:rsidRDefault="002C2BB0" w:rsidP="002C2BB0">
                  <w:pPr>
                    <w:keepNext/>
                    <w:keepLines/>
                    <w:spacing w:after="0"/>
                    <w:ind w:right="215"/>
                    <w:jc w:val="center"/>
                    <w:rPr>
                      <w:b/>
                      <w:sz w:val="20"/>
                      <w:szCs w:val="20"/>
                    </w:rPr>
                  </w:pPr>
                  <w:r w:rsidRPr="0098635C">
                    <w:rPr>
                      <w:b/>
                      <w:sz w:val="20"/>
                      <w:szCs w:val="20"/>
                    </w:rPr>
                    <w:t>Species</w:t>
                  </w:r>
                </w:p>
              </w:tc>
            </w:tr>
            <w:tr w:rsidR="002C2BB0" w:rsidRPr="0098635C" w14:paraId="0AE30203" w14:textId="77777777" w:rsidTr="002C2BB0">
              <w:trPr>
                <w:trHeight w:val="355"/>
                <w:jc w:val="center"/>
              </w:trPr>
              <w:tc>
                <w:tcPr>
                  <w:tcW w:w="2312" w:type="dxa"/>
                  <w:vMerge/>
                  <w:shd w:val="clear" w:color="auto" w:fill="FFFFFF"/>
                </w:tcPr>
                <w:p w14:paraId="4070B4ED" w14:textId="77777777" w:rsidR="002C2BB0" w:rsidRPr="0098635C" w:rsidRDefault="002C2BB0" w:rsidP="002C2BB0">
                  <w:pPr>
                    <w:keepNext/>
                    <w:keepLines/>
                    <w:spacing w:after="0"/>
                    <w:ind w:right="215"/>
                    <w:rPr>
                      <w:sz w:val="20"/>
                      <w:szCs w:val="20"/>
                    </w:rPr>
                  </w:pPr>
                </w:p>
              </w:tc>
              <w:tc>
                <w:tcPr>
                  <w:tcW w:w="1275" w:type="dxa"/>
                  <w:shd w:val="clear" w:color="auto" w:fill="FFFFFF"/>
                  <w:vAlign w:val="center"/>
                </w:tcPr>
                <w:p w14:paraId="3ED9B4E6" w14:textId="77777777" w:rsidR="002C2BB0" w:rsidRPr="0098635C" w:rsidRDefault="002C2BB0" w:rsidP="002C2BB0">
                  <w:pPr>
                    <w:keepNext/>
                    <w:keepLines/>
                    <w:spacing w:after="0"/>
                    <w:ind w:right="215"/>
                    <w:rPr>
                      <w:b/>
                      <w:sz w:val="20"/>
                      <w:szCs w:val="20"/>
                    </w:rPr>
                  </w:pPr>
                  <w:r w:rsidRPr="0098635C">
                    <w:rPr>
                      <w:b/>
                      <w:sz w:val="20"/>
                      <w:szCs w:val="20"/>
                    </w:rPr>
                    <w:t>Pou</w:t>
                  </w:r>
                  <w:r w:rsidRPr="0098635C">
                    <w:rPr>
                      <w:b/>
                      <w:sz w:val="20"/>
                      <w:szCs w:val="20"/>
                    </w:rPr>
                    <w:t>l</w:t>
                  </w:r>
                  <w:r w:rsidRPr="0098635C">
                    <w:rPr>
                      <w:b/>
                      <w:sz w:val="20"/>
                      <w:szCs w:val="20"/>
                    </w:rPr>
                    <w:t>try</w:t>
                  </w:r>
                </w:p>
              </w:tc>
              <w:tc>
                <w:tcPr>
                  <w:tcW w:w="1843" w:type="dxa"/>
                  <w:shd w:val="clear" w:color="auto" w:fill="FFFFFF"/>
                  <w:vAlign w:val="center"/>
                </w:tcPr>
                <w:p w14:paraId="40FDBC5D" w14:textId="77777777" w:rsidR="002C2BB0" w:rsidRPr="0098635C" w:rsidRDefault="002C2BB0" w:rsidP="002C2BB0">
                  <w:pPr>
                    <w:keepNext/>
                    <w:keepLines/>
                    <w:spacing w:after="0"/>
                    <w:ind w:right="215"/>
                    <w:jc w:val="center"/>
                    <w:rPr>
                      <w:b/>
                      <w:sz w:val="20"/>
                      <w:szCs w:val="20"/>
                    </w:rPr>
                  </w:pPr>
                  <w:r w:rsidRPr="0098635C">
                    <w:rPr>
                      <w:b/>
                      <w:sz w:val="20"/>
                      <w:szCs w:val="20"/>
                    </w:rPr>
                    <w:t>Swine</w:t>
                  </w:r>
                </w:p>
              </w:tc>
              <w:tc>
                <w:tcPr>
                  <w:tcW w:w="2325" w:type="dxa"/>
                  <w:shd w:val="clear" w:color="auto" w:fill="FFFFFF"/>
                  <w:vAlign w:val="center"/>
                </w:tcPr>
                <w:p w14:paraId="61300956" w14:textId="77777777" w:rsidR="002C2BB0" w:rsidRPr="0098635C" w:rsidRDefault="002C2BB0" w:rsidP="002C2BB0">
                  <w:pPr>
                    <w:keepNext/>
                    <w:keepLines/>
                    <w:spacing w:after="0"/>
                    <w:ind w:right="215"/>
                    <w:jc w:val="center"/>
                    <w:rPr>
                      <w:b/>
                      <w:sz w:val="20"/>
                      <w:szCs w:val="20"/>
                    </w:rPr>
                  </w:pPr>
                  <w:r w:rsidRPr="0098635C">
                    <w:rPr>
                      <w:b/>
                      <w:sz w:val="20"/>
                      <w:szCs w:val="20"/>
                    </w:rPr>
                    <w:t>Cattle</w:t>
                  </w:r>
                </w:p>
              </w:tc>
            </w:tr>
            <w:tr w:rsidR="002C2BB0" w:rsidRPr="0098635C" w14:paraId="1DEC228C" w14:textId="77777777" w:rsidTr="002C2BB0">
              <w:trPr>
                <w:trHeight w:val="352"/>
                <w:jc w:val="center"/>
              </w:trPr>
              <w:tc>
                <w:tcPr>
                  <w:tcW w:w="2312" w:type="dxa"/>
                  <w:vAlign w:val="center"/>
                </w:tcPr>
                <w:p w14:paraId="41D0D16E" w14:textId="77777777" w:rsidR="002C2BB0" w:rsidRPr="0098635C" w:rsidRDefault="002C2BB0" w:rsidP="002C2BB0">
                  <w:pPr>
                    <w:keepNext/>
                    <w:keepLines/>
                    <w:spacing w:after="0"/>
                    <w:ind w:right="215"/>
                    <w:rPr>
                      <w:sz w:val="20"/>
                      <w:szCs w:val="20"/>
                    </w:rPr>
                  </w:pPr>
                  <w:r w:rsidRPr="0098635C">
                    <w:rPr>
                      <w:sz w:val="20"/>
                      <w:szCs w:val="20"/>
                    </w:rPr>
                    <w:t>Copper sulphat</w:t>
                  </w:r>
                  <w:r w:rsidRPr="0098635C">
                    <w:rPr>
                      <w:sz w:val="20"/>
                      <w:szCs w:val="20"/>
                    </w:rPr>
                    <w:t>e</w:t>
                  </w:r>
                </w:p>
              </w:tc>
              <w:tc>
                <w:tcPr>
                  <w:tcW w:w="1275" w:type="dxa"/>
                  <w:vAlign w:val="center"/>
                </w:tcPr>
                <w:p w14:paraId="02FF467A" w14:textId="77777777" w:rsidR="002C2BB0" w:rsidRPr="0098635C" w:rsidRDefault="002C2BB0" w:rsidP="002C2BB0">
                  <w:pPr>
                    <w:keepNext/>
                    <w:keepLines/>
                    <w:spacing w:after="0"/>
                    <w:ind w:right="215"/>
                    <w:rPr>
                      <w:sz w:val="20"/>
                      <w:szCs w:val="20"/>
                    </w:rPr>
                  </w:pPr>
                  <w:r w:rsidRPr="0098635C">
                    <w:rPr>
                      <w:sz w:val="20"/>
                      <w:szCs w:val="20"/>
                    </w:rPr>
                    <w:t>100</w:t>
                  </w:r>
                </w:p>
              </w:tc>
              <w:tc>
                <w:tcPr>
                  <w:tcW w:w="1843" w:type="dxa"/>
                  <w:vAlign w:val="center"/>
                </w:tcPr>
                <w:p w14:paraId="163F5DCF" w14:textId="77777777" w:rsidR="002C2BB0" w:rsidRPr="0098635C" w:rsidRDefault="002C2BB0" w:rsidP="002C2BB0">
                  <w:pPr>
                    <w:keepNext/>
                    <w:keepLines/>
                    <w:spacing w:after="0"/>
                    <w:ind w:right="215"/>
                    <w:jc w:val="center"/>
                    <w:rPr>
                      <w:sz w:val="20"/>
                      <w:szCs w:val="20"/>
                    </w:rPr>
                  </w:pPr>
                  <w:r w:rsidRPr="0098635C">
                    <w:rPr>
                      <w:sz w:val="20"/>
                      <w:szCs w:val="20"/>
                    </w:rPr>
                    <w:t>100</w:t>
                  </w:r>
                </w:p>
              </w:tc>
              <w:tc>
                <w:tcPr>
                  <w:tcW w:w="2325" w:type="dxa"/>
                  <w:vAlign w:val="center"/>
                </w:tcPr>
                <w:p w14:paraId="17FE9D7A" w14:textId="77777777" w:rsidR="002C2BB0" w:rsidRPr="0098635C" w:rsidRDefault="002C2BB0" w:rsidP="002C2BB0">
                  <w:pPr>
                    <w:keepNext/>
                    <w:keepLines/>
                    <w:spacing w:after="0"/>
                    <w:ind w:right="215"/>
                    <w:jc w:val="center"/>
                    <w:rPr>
                      <w:sz w:val="20"/>
                      <w:szCs w:val="20"/>
                    </w:rPr>
                  </w:pPr>
                  <w:r w:rsidRPr="0098635C">
                    <w:rPr>
                      <w:sz w:val="20"/>
                      <w:szCs w:val="20"/>
                    </w:rPr>
                    <w:t>100</w:t>
                  </w:r>
                </w:p>
              </w:tc>
            </w:tr>
            <w:tr w:rsidR="002C2BB0" w:rsidRPr="0098635C" w14:paraId="399FF7B9" w14:textId="77777777" w:rsidTr="002C2BB0">
              <w:trPr>
                <w:jc w:val="center"/>
              </w:trPr>
              <w:tc>
                <w:tcPr>
                  <w:tcW w:w="2312" w:type="dxa"/>
                  <w:vAlign w:val="center"/>
                </w:tcPr>
                <w:p w14:paraId="06F60471" w14:textId="77777777" w:rsidR="002C2BB0" w:rsidRPr="0098635C" w:rsidRDefault="002C2BB0" w:rsidP="002C2BB0">
                  <w:pPr>
                    <w:keepNext/>
                    <w:keepLines/>
                    <w:spacing w:after="0"/>
                    <w:ind w:right="215"/>
                    <w:rPr>
                      <w:sz w:val="20"/>
                      <w:szCs w:val="20"/>
                    </w:rPr>
                  </w:pPr>
                  <w:r w:rsidRPr="0098635C">
                    <w:rPr>
                      <w:sz w:val="20"/>
                      <w:szCs w:val="20"/>
                    </w:rPr>
                    <w:t>Copper o</w:t>
                  </w:r>
                  <w:r w:rsidRPr="0098635C">
                    <w:rPr>
                      <w:sz w:val="20"/>
                      <w:szCs w:val="20"/>
                    </w:rPr>
                    <w:t>x</w:t>
                  </w:r>
                  <w:r w:rsidRPr="0098635C">
                    <w:rPr>
                      <w:sz w:val="20"/>
                      <w:szCs w:val="20"/>
                    </w:rPr>
                    <w:t>ide</w:t>
                  </w:r>
                </w:p>
              </w:tc>
              <w:tc>
                <w:tcPr>
                  <w:tcW w:w="1275" w:type="dxa"/>
                  <w:vAlign w:val="center"/>
                </w:tcPr>
                <w:p w14:paraId="271523A4" w14:textId="77777777" w:rsidR="002C2BB0" w:rsidRPr="0098635C" w:rsidRDefault="002C2BB0" w:rsidP="002C2BB0">
                  <w:pPr>
                    <w:keepNext/>
                    <w:keepLines/>
                    <w:spacing w:after="0"/>
                    <w:ind w:right="215"/>
                    <w:rPr>
                      <w:sz w:val="20"/>
                      <w:szCs w:val="20"/>
                    </w:rPr>
                  </w:pPr>
                  <w:r w:rsidRPr="0098635C">
                    <w:rPr>
                      <w:sz w:val="20"/>
                      <w:szCs w:val="20"/>
                    </w:rPr>
                    <w:t>0 (3)</w:t>
                  </w:r>
                </w:p>
              </w:tc>
              <w:tc>
                <w:tcPr>
                  <w:tcW w:w="1843" w:type="dxa"/>
                  <w:vAlign w:val="center"/>
                </w:tcPr>
                <w:p w14:paraId="71051415" w14:textId="77777777" w:rsidR="002C2BB0" w:rsidRPr="0098635C" w:rsidRDefault="002C2BB0" w:rsidP="002C2BB0">
                  <w:pPr>
                    <w:keepNext/>
                    <w:keepLines/>
                    <w:spacing w:after="0"/>
                    <w:ind w:right="215"/>
                    <w:jc w:val="center"/>
                    <w:rPr>
                      <w:sz w:val="20"/>
                      <w:szCs w:val="20"/>
                    </w:rPr>
                  </w:pPr>
                  <w:r w:rsidRPr="0098635C">
                    <w:rPr>
                      <w:sz w:val="20"/>
                      <w:szCs w:val="20"/>
                    </w:rPr>
                    <w:t>30 (4)</w:t>
                  </w:r>
                </w:p>
              </w:tc>
              <w:tc>
                <w:tcPr>
                  <w:tcW w:w="2325" w:type="dxa"/>
                  <w:vAlign w:val="center"/>
                </w:tcPr>
                <w:p w14:paraId="6AE04ABC" w14:textId="77777777" w:rsidR="002C2BB0" w:rsidRPr="0098635C" w:rsidRDefault="002C2BB0" w:rsidP="002C2BB0">
                  <w:pPr>
                    <w:keepNext/>
                    <w:keepLines/>
                    <w:spacing w:after="0"/>
                    <w:ind w:right="215"/>
                    <w:jc w:val="center"/>
                    <w:rPr>
                      <w:sz w:val="20"/>
                      <w:szCs w:val="20"/>
                    </w:rPr>
                  </w:pPr>
                  <w:r w:rsidRPr="0098635C">
                    <w:rPr>
                      <w:sz w:val="20"/>
                      <w:szCs w:val="20"/>
                    </w:rPr>
                    <w:t>15 (2)</w:t>
                  </w:r>
                </w:p>
              </w:tc>
            </w:tr>
          </w:tbl>
          <w:p w14:paraId="48EF3D90" w14:textId="77777777" w:rsidR="002C2BB0" w:rsidRPr="0098635C" w:rsidRDefault="002C2BB0" w:rsidP="002C2BB0">
            <w:pPr>
              <w:keepNext/>
              <w:keepLines/>
              <w:spacing w:after="0"/>
              <w:rPr>
                <w:sz w:val="20"/>
                <w:szCs w:val="20"/>
              </w:rPr>
            </w:pPr>
            <w:r w:rsidRPr="0098635C">
              <w:rPr>
                <w:sz w:val="20"/>
                <w:szCs w:val="20"/>
              </w:rPr>
              <w:t>Average numbers rounded to the nearest ‘5’ and expressed relative to response obtained with copper sulphate. Number of studies or sa</w:t>
            </w:r>
            <w:r w:rsidRPr="0098635C">
              <w:rPr>
                <w:sz w:val="20"/>
                <w:szCs w:val="20"/>
              </w:rPr>
              <w:t>m</w:t>
            </w:r>
            <w:r w:rsidRPr="0098635C">
              <w:rPr>
                <w:sz w:val="20"/>
                <w:szCs w:val="20"/>
              </w:rPr>
              <w:t>ples involved indicated within parenthesis.</w:t>
            </w:r>
          </w:p>
          <w:p w14:paraId="1D19907C" w14:textId="77777777" w:rsidR="002C2BB0" w:rsidRPr="0098635C" w:rsidRDefault="002C2BB0" w:rsidP="002C2BB0">
            <w:pPr>
              <w:spacing w:after="0"/>
              <w:rPr>
                <w:sz w:val="20"/>
                <w:szCs w:val="20"/>
              </w:rPr>
            </w:pPr>
            <w:r w:rsidRPr="0098635C">
              <w:rPr>
                <w:sz w:val="20"/>
                <w:szCs w:val="20"/>
              </w:rPr>
              <w:t>The low bioavailability of copper in copper oxide, relative to that of copper in the sulphate salt, was also demonstrated in the rat following a</w:t>
            </w:r>
            <w:r w:rsidRPr="0098635C">
              <w:rPr>
                <w:sz w:val="20"/>
                <w:szCs w:val="20"/>
              </w:rPr>
              <w:t>d</w:t>
            </w:r>
            <w:r w:rsidRPr="0098635C">
              <w:rPr>
                <w:sz w:val="20"/>
                <w:szCs w:val="20"/>
              </w:rPr>
              <w:t>ministration at adequate dietary levels.</w:t>
            </w:r>
          </w:p>
          <w:p w14:paraId="78C8B059" w14:textId="77777777" w:rsidR="002C2BB0" w:rsidRPr="0098635C" w:rsidRDefault="002C2BB0" w:rsidP="002C2BB0">
            <w:pPr>
              <w:spacing w:after="0"/>
              <w:rPr>
                <w:i/>
                <w:sz w:val="20"/>
                <w:szCs w:val="20"/>
              </w:rPr>
            </w:pPr>
            <w:r w:rsidRPr="0098635C">
              <w:rPr>
                <w:i/>
                <w:sz w:val="20"/>
                <w:szCs w:val="20"/>
              </w:rPr>
              <w:t>In vitro bioavailability</w:t>
            </w:r>
          </w:p>
          <w:p w14:paraId="4622353A" w14:textId="77777777" w:rsidR="002C2BB0" w:rsidRPr="0098635C" w:rsidRDefault="002C2BB0" w:rsidP="002C2BB0">
            <w:pPr>
              <w:spacing w:after="0"/>
              <w:rPr>
                <w:rFonts w:eastAsia="Calibri"/>
                <w:sz w:val="20"/>
                <w:szCs w:val="20"/>
              </w:rPr>
            </w:pPr>
            <w:r w:rsidRPr="0098635C">
              <w:rPr>
                <w:rFonts w:eastAsia="Calibri"/>
                <w:sz w:val="20"/>
                <w:szCs w:val="20"/>
              </w:rPr>
              <w:t>Several studies assessed the release/dissolution of metal ions from metal bearing materials (minerals, soils, substances) in simulated biological fl</w:t>
            </w:r>
            <w:r w:rsidRPr="0098635C">
              <w:rPr>
                <w:rFonts w:eastAsia="Calibri"/>
                <w:sz w:val="20"/>
                <w:szCs w:val="20"/>
              </w:rPr>
              <w:t>u</w:t>
            </w:r>
            <w:r w:rsidRPr="0098635C">
              <w:rPr>
                <w:rFonts w:eastAsia="Calibri"/>
                <w:sz w:val="20"/>
                <w:szCs w:val="20"/>
              </w:rPr>
              <w:t xml:space="preserve">ids.  </w:t>
            </w:r>
          </w:p>
          <w:p w14:paraId="2960C551" w14:textId="77777777" w:rsidR="002C2BB0" w:rsidRPr="0098635C" w:rsidRDefault="002C2BB0" w:rsidP="002C2BB0">
            <w:pPr>
              <w:spacing w:after="0"/>
              <w:rPr>
                <w:rFonts w:eastAsia="Calibri"/>
                <w:sz w:val="20"/>
                <w:szCs w:val="20"/>
              </w:rPr>
            </w:pPr>
            <w:r w:rsidRPr="0098635C">
              <w:rPr>
                <w:rFonts w:eastAsia="Calibri"/>
                <w:color w:val="000000"/>
                <w:sz w:val="20"/>
                <w:szCs w:val="20"/>
              </w:rPr>
              <w:t xml:space="preserve">The release/dissolution of copper ions from copper materials and copper compounds was assessed from </w:t>
            </w:r>
            <w:r w:rsidRPr="0098635C">
              <w:rPr>
                <w:rFonts w:eastAsia="Calibri"/>
                <w:i/>
                <w:color w:val="000000"/>
                <w:sz w:val="20"/>
                <w:szCs w:val="20"/>
              </w:rPr>
              <w:t>in vitro</w:t>
            </w:r>
            <w:r w:rsidRPr="0098635C">
              <w:rPr>
                <w:rFonts w:eastAsia="Calibri"/>
                <w:color w:val="000000"/>
                <w:sz w:val="20"/>
                <w:szCs w:val="20"/>
              </w:rPr>
              <w:t xml:space="preserve"> tests using biological fluids simulating oral exposure.  The </w:t>
            </w:r>
            <w:r w:rsidRPr="0098635C">
              <w:rPr>
                <w:rFonts w:eastAsia="Calibri"/>
                <w:i/>
                <w:color w:val="000000"/>
                <w:sz w:val="20"/>
                <w:szCs w:val="20"/>
              </w:rPr>
              <w:t>in vitro</w:t>
            </w:r>
            <w:r w:rsidRPr="0098635C">
              <w:rPr>
                <w:rFonts w:eastAsia="Calibri"/>
                <w:color w:val="000000"/>
                <w:sz w:val="20"/>
                <w:szCs w:val="20"/>
              </w:rPr>
              <w:t xml:space="preserve"> tests fo</w:t>
            </w:r>
            <w:r w:rsidRPr="0098635C">
              <w:rPr>
                <w:rFonts w:eastAsia="Calibri"/>
                <w:color w:val="000000"/>
                <w:sz w:val="20"/>
                <w:szCs w:val="20"/>
              </w:rPr>
              <w:t>l</w:t>
            </w:r>
            <w:r w:rsidRPr="0098635C">
              <w:rPr>
                <w:rFonts w:eastAsia="Calibri"/>
                <w:color w:val="000000"/>
                <w:sz w:val="20"/>
                <w:szCs w:val="20"/>
              </w:rPr>
              <w:t xml:space="preserve">low the ASTM D 5517-07 protocol, using HCl 0.07N (pH 1.5) as a gastric mimetic fluid.  </w:t>
            </w:r>
            <w:r w:rsidRPr="0098635C">
              <w:rPr>
                <w:rFonts w:eastAsia="Calibri"/>
                <w:sz w:val="20"/>
                <w:szCs w:val="20"/>
              </w:rPr>
              <w:t>The copper materials tested include: copper wires (repr</w:t>
            </w:r>
            <w:r w:rsidRPr="0098635C">
              <w:rPr>
                <w:rFonts w:eastAsia="Calibri"/>
                <w:sz w:val="20"/>
                <w:szCs w:val="20"/>
              </w:rPr>
              <w:t>e</w:t>
            </w:r>
            <w:r w:rsidRPr="0098635C">
              <w:rPr>
                <w:rFonts w:eastAsia="Calibri"/>
                <w:sz w:val="20"/>
                <w:szCs w:val="20"/>
              </w:rPr>
              <w:t>senting massive copper materials), copper powder (130 µm median diam</w:t>
            </w:r>
            <w:r w:rsidRPr="0098635C">
              <w:rPr>
                <w:rFonts w:eastAsia="Calibri"/>
                <w:sz w:val="20"/>
                <w:szCs w:val="20"/>
              </w:rPr>
              <w:t>e</w:t>
            </w:r>
            <w:r w:rsidRPr="0098635C">
              <w:rPr>
                <w:rFonts w:eastAsia="Calibri"/>
                <w:sz w:val="20"/>
                <w:szCs w:val="20"/>
              </w:rPr>
              <w:t xml:space="preserve">ter), biocidal and non-biocidal coated copper flakes (ca 8.5 µm), copper oxide, cuprous chloride and dicopper sulphide.  Loading rates between 100 mg/L and 2 g/L were assessed.  The results are expressed as % copper dissolved at the end of the bioelution test.  </w:t>
            </w:r>
          </w:p>
          <w:p w14:paraId="007E86B4" w14:textId="77777777" w:rsidR="002C2BB0" w:rsidRPr="0098635C" w:rsidRDefault="002C2BB0" w:rsidP="002C2BB0">
            <w:pPr>
              <w:spacing w:after="0"/>
              <w:rPr>
                <w:rFonts w:eastAsia="Calibri"/>
                <w:sz w:val="20"/>
                <w:szCs w:val="20"/>
              </w:rPr>
            </w:pPr>
            <w:r w:rsidRPr="0098635C">
              <w:rPr>
                <w:rFonts w:eastAsia="Calibri"/>
                <w:sz w:val="20"/>
                <w:szCs w:val="20"/>
              </w:rPr>
              <w:t>Copper, in the form of Cu°, is insoluble and needs to be transformed to Cu</w:t>
            </w:r>
            <w:r w:rsidRPr="0098635C">
              <w:rPr>
                <w:rFonts w:eastAsia="Calibri"/>
                <w:sz w:val="20"/>
                <w:szCs w:val="20"/>
                <w:vertAlign w:val="superscript"/>
              </w:rPr>
              <w:t>+</w:t>
            </w:r>
            <w:r w:rsidRPr="0098635C">
              <w:rPr>
                <w:rFonts w:eastAsia="Calibri"/>
                <w:sz w:val="20"/>
                <w:szCs w:val="20"/>
              </w:rPr>
              <w:t xml:space="preserve"> or Cu </w:t>
            </w:r>
            <w:r w:rsidRPr="0098635C">
              <w:rPr>
                <w:rFonts w:eastAsia="Calibri"/>
                <w:sz w:val="20"/>
                <w:szCs w:val="20"/>
                <w:vertAlign w:val="superscript"/>
              </w:rPr>
              <w:t>2+</w:t>
            </w:r>
            <w:r w:rsidRPr="0098635C">
              <w:rPr>
                <w:rFonts w:eastAsia="Calibri"/>
                <w:sz w:val="20"/>
                <w:szCs w:val="20"/>
              </w:rPr>
              <w:t xml:space="preserve"> to demonstrate solubility. Such transformation/dissolution takes place at the surface of the copper particles and ther</w:t>
            </w:r>
            <w:r w:rsidRPr="0098635C">
              <w:rPr>
                <w:rFonts w:eastAsia="Calibri"/>
                <w:sz w:val="20"/>
                <w:szCs w:val="20"/>
              </w:rPr>
              <w:t>e</w:t>
            </w:r>
            <w:r w:rsidRPr="0098635C">
              <w:rPr>
                <w:rFonts w:eastAsia="Calibri"/>
                <w:sz w:val="20"/>
                <w:szCs w:val="20"/>
              </w:rPr>
              <w:t>fore, for the copper massive, copper powder and coated copper flakes, the influence of surface area on bioaccessibility was also evaluated.</w:t>
            </w:r>
          </w:p>
          <w:p w14:paraId="11024571" w14:textId="77777777" w:rsidR="002C2BB0" w:rsidRPr="0098635C" w:rsidRDefault="002C2BB0" w:rsidP="002C2BB0">
            <w:pPr>
              <w:spacing w:after="0"/>
              <w:rPr>
                <w:rFonts w:eastAsia="Calibri"/>
                <w:sz w:val="20"/>
                <w:szCs w:val="20"/>
              </w:rPr>
            </w:pPr>
            <w:r w:rsidRPr="0098635C">
              <w:rPr>
                <w:rFonts w:eastAsia="Calibri"/>
                <w:sz w:val="20"/>
                <w:szCs w:val="20"/>
              </w:rPr>
              <w:t>The results are summarized in the Table below. All copper present in CuSO</w:t>
            </w:r>
            <w:r w:rsidRPr="0098635C">
              <w:rPr>
                <w:rFonts w:eastAsia="Calibri"/>
                <w:sz w:val="20"/>
                <w:szCs w:val="20"/>
                <w:vertAlign w:val="subscript"/>
              </w:rPr>
              <w:t>4</w:t>
            </w:r>
            <w:r w:rsidRPr="0098635C">
              <w:rPr>
                <w:rFonts w:eastAsia="Calibri"/>
                <w:sz w:val="20"/>
                <w:szCs w:val="20"/>
              </w:rPr>
              <w:t xml:space="preserve"> was solubilised (99.95%) in the gastric fluid while “massive” copper materials, tested as wires at different mass loadings (59 to 478 mg/L) and surface loadings (67 – 516 mm</w:t>
            </w:r>
            <w:r w:rsidRPr="0098635C">
              <w:rPr>
                <w:rFonts w:eastAsia="Calibri"/>
                <w:sz w:val="20"/>
                <w:szCs w:val="20"/>
                <w:vertAlign w:val="superscript"/>
              </w:rPr>
              <w:t>2</w:t>
            </w:r>
            <w:r w:rsidRPr="0098635C">
              <w:rPr>
                <w:rFonts w:eastAsia="Calibri"/>
                <w:sz w:val="20"/>
                <w:szCs w:val="20"/>
              </w:rPr>
              <w:t xml:space="preserve">/L) consistently showed low solubility  (0.1%).  </w:t>
            </w:r>
          </w:p>
          <w:p w14:paraId="1F2EAD50" w14:textId="77777777" w:rsidR="002C2BB0" w:rsidRPr="0098635C" w:rsidRDefault="002C2BB0" w:rsidP="002C2BB0">
            <w:pPr>
              <w:spacing w:after="0"/>
              <w:rPr>
                <w:rFonts w:eastAsia="Calibri"/>
                <w:sz w:val="20"/>
                <w:szCs w:val="20"/>
              </w:rPr>
            </w:pPr>
          </w:p>
          <w:p w14:paraId="5CBB89F3" w14:textId="77777777" w:rsidR="002C2BB0" w:rsidRPr="0098635C" w:rsidRDefault="002C2BB0" w:rsidP="002C2BB0">
            <w:pPr>
              <w:spacing w:after="0"/>
              <w:rPr>
                <w:rFonts w:eastAsia="Calibri"/>
                <w:b/>
                <w:sz w:val="20"/>
                <w:szCs w:val="20"/>
              </w:rPr>
            </w:pPr>
            <w:r w:rsidRPr="0098635C">
              <w:rPr>
                <w:rFonts w:eastAsia="Calibri"/>
                <w:b/>
                <w:sz w:val="20"/>
                <w:szCs w:val="20"/>
              </w:rPr>
              <w:t>Relative bio-accessibility of copper and copper compounds, assessed from the recovery of copper after bioelution tests in gastric fluids (pH 1.5, 2 hours) in accordance to ASTM D 5517-07.</w:t>
            </w:r>
          </w:p>
          <w:tbl>
            <w:tblPr>
              <w:tblW w:w="92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544"/>
              <w:gridCol w:w="2325"/>
            </w:tblGrid>
            <w:tr w:rsidR="002C2BB0" w:rsidRPr="0098635C" w14:paraId="4253E9A6" w14:textId="77777777" w:rsidTr="002C2BB0">
              <w:tc>
                <w:tcPr>
                  <w:tcW w:w="3397" w:type="dxa"/>
                  <w:shd w:val="clear" w:color="auto" w:fill="auto"/>
                  <w:vAlign w:val="center"/>
                </w:tcPr>
                <w:p w14:paraId="21A81418" w14:textId="77777777" w:rsidR="002C2BB0" w:rsidRPr="0098635C" w:rsidRDefault="002C2BB0" w:rsidP="002C2BB0">
                  <w:pPr>
                    <w:spacing w:after="0"/>
                    <w:rPr>
                      <w:rFonts w:eastAsia="Calibri"/>
                      <w:b/>
                      <w:sz w:val="20"/>
                      <w:szCs w:val="20"/>
                    </w:rPr>
                  </w:pPr>
                  <w:r w:rsidRPr="0098635C">
                    <w:rPr>
                      <w:rFonts w:eastAsia="Calibri"/>
                      <w:b/>
                      <w:sz w:val="20"/>
                      <w:szCs w:val="20"/>
                    </w:rPr>
                    <w:t>Material Tested</w:t>
                  </w:r>
                </w:p>
              </w:tc>
              <w:tc>
                <w:tcPr>
                  <w:tcW w:w="3544" w:type="dxa"/>
                  <w:shd w:val="clear" w:color="auto" w:fill="auto"/>
                  <w:vAlign w:val="center"/>
                </w:tcPr>
                <w:p w14:paraId="4817B296" w14:textId="77777777" w:rsidR="002C2BB0" w:rsidRPr="0098635C" w:rsidRDefault="002C2BB0" w:rsidP="002C2BB0">
                  <w:pPr>
                    <w:spacing w:after="0"/>
                    <w:jc w:val="center"/>
                    <w:rPr>
                      <w:rFonts w:eastAsia="Calibri"/>
                      <w:b/>
                      <w:sz w:val="20"/>
                      <w:szCs w:val="20"/>
                    </w:rPr>
                  </w:pPr>
                  <w:r w:rsidRPr="0098635C">
                    <w:rPr>
                      <w:rFonts w:eastAsia="Calibri"/>
                      <w:b/>
                      <w:sz w:val="20"/>
                      <w:szCs w:val="20"/>
                    </w:rPr>
                    <w:t>Composition</w:t>
                  </w:r>
                </w:p>
              </w:tc>
              <w:tc>
                <w:tcPr>
                  <w:tcW w:w="2325" w:type="dxa"/>
                  <w:shd w:val="clear" w:color="auto" w:fill="auto"/>
                  <w:vAlign w:val="center"/>
                </w:tcPr>
                <w:p w14:paraId="502B047A" w14:textId="77777777" w:rsidR="002C2BB0" w:rsidRPr="0098635C" w:rsidRDefault="002C2BB0" w:rsidP="002C2BB0">
                  <w:pPr>
                    <w:spacing w:after="0"/>
                    <w:ind w:left="33"/>
                    <w:jc w:val="center"/>
                    <w:rPr>
                      <w:rFonts w:eastAsia="Calibri"/>
                      <w:b/>
                      <w:sz w:val="20"/>
                      <w:szCs w:val="20"/>
                    </w:rPr>
                  </w:pPr>
                  <w:r w:rsidRPr="0098635C">
                    <w:rPr>
                      <w:rFonts w:eastAsia="Calibri"/>
                      <w:b/>
                      <w:sz w:val="20"/>
                      <w:szCs w:val="20"/>
                    </w:rPr>
                    <w:t>Bioelution recovery</w:t>
                  </w:r>
                </w:p>
                <w:p w14:paraId="1D5789F3" w14:textId="77777777" w:rsidR="002C2BB0" w:rsidRPr="0098635C" w:rsidRDefault="002C2BB0" w:rsidP="002C2BB0">
                  <w:pPr>
                    <w:spacing w:after="0"/>
                    <w:ind w:left="33"/>
                    <w:jc w:val="center"/>
                    <w:rPr>
                      <w:rFonts w:eastAsia="Calibri"/>
                      <w:b/>
                      <w:sz w:val="20"/>
                      <w:szCs w:val="20"/>
                    </w:rPr>
                  </w:pPr>
                  <w:r w:rsidRPr="0098635C">
                    <w:rPr>
                      <w:rFonts w:eastAsia="Calibri"/>
                      <w:b/>
                      <w:sz w:val="20"/>
                      <w:szCs w:val="20"/>
                    </w:rPr>
                    <w:t>(as % of Cu content)</w:t>
                  </w:r>
                </w:p>
              </w:tc>
            </w:tr>
            <w:tr w:rsidR="002C2BB0" w:rsidRPr="0098635C" w14:paraId="39797B36" w14:textId="77777777" w:rsidTr="002C2BB0">
              <w:tc>
                <w:tcPr>
                  <w:tcW w:w="3397" w:type="dxa"/>
                  <w:shd w:val="clear" w:color="auto" w:fill="auto"/>
                </w:tcPr>
                <w:p w14:paraId="28374BE4" w14:textId="77777777" w:rsidR="002C2BB0" w:rsidRPr="0098635C" w:rsidRDefault="002C2BB0" w:rsidP="002C2BB0">
                  <w:pPr>
                    <w:spacing w:after="0"/>
                    <w:rPr>
                      <w:rFonts w:eastAsia="Calibri"/>
                      <w:sz w:val="20"/>
                      <w:szCs w:val="20"/>
                    </w:rPr>
                  </w:pPr>
                  <w:r w:rsidRPr="0098635C">
                    <w:rPr>
                      <w:rFonts w:eastAsia="Calibri"/>
                      <w:sz w:val="20"/>
                      <w:szCs w:val="20"/>
                    </w:rPr>
                    <w:t>Cu massive</w:t>
                  </w:r>
                </w:p>
              </w:tc>
              <w:tc>
                <w:tcPr>
                  <w:tcW w:w="3544" w:type="dxa"/>
                  <w:shd w:val="clear" w:color="auto" w:fill="auto"/>
                </w:tcPr>
                <w:p w14:paraId="6C672159" w14:textId="77777777" w:rsidR="002C2BB0" w:rsidRPr="0098635C" w:rsidRDefault="002C2BB0" w:rsidP="002C2BB0">
                  <w:pPr>
                    <w:spacing w:after="0"/>
                    <w:jc w:val="center"/>
                    <w:rPr>
                      <w:rFonts w:eastAsia="Calibri"/>
                      <w:sz w:val="20"/>
                      <w:szCs w:val="20"/>
                    </w:rPr>
                  </w:pPr>
                  <w:r w:rsidRPr="0098635C">
                    <w:rPr>
                      <w:rFonts w:eastAsia="Calibri"/>
                      <w:sz w:val="20"/>
                      <w:szCs w:val="20"/>
                    </w:rPr>
                    <w:t>&gt;99.9% Cu</w:t>
                  </w:r>
                </w:p>
              </w:tc>
              <w:tc>
                <w:tcPr>
                  <w:tcW w:w="2325" w:type="dxa"/>
                  <w:shd w:val="clear" w:color="auto" w:fill="auto"/>
                  <w:vAlign w:val="center"/>
                </w:tcPr>
                <w:p w14:paraId="4B774406" w14:textId="77777777" w:rsidR="002C2BB0" w:rsidRPr="0098635C" w:rsidRDefault="002C2BB0" w:rsidP="002C2BB0">
                  <w:pPr>
                    <w:spacing w:after="0"/>
                    <w:ind w:left="33"/>
                    <w:jc w:val="center"/>
                    <w:rPr>
                      <w:rFonts w:eastAsia="Calibri"/>
                      <w:sz w:val="20"/>
                      <w:szCs w:val="20"/>
                    </w:rPr>
                  </w:pPr>
                  <w:r w:rsidRPr="0098635C">
                    <w:rPr>
                      <w:rFonts w:eastAsia="Calibri"/>
                      <w:sz w:val="20"/>
                      <w:szCs w:val="20"/>
                    </w:rPr>
                    <w:t>0.096 – 0.105</w:t>
                  </w:r>
                </w:p>
              </w:tc>
            </w:tr>
            <w:tr w:rsidR="002C2BB0" w:rsidRPr="0098635C" w14:paraId="619ACD34" w14:textId="77777777" w:rsidTr="002C2BB0">
              <w:tc>
                <w:tcPr>
                  <w:tcW w:w="3397" w:type="dxa"/>
                  <w:shd w:val="clear" w:color="auto" w:fill="auto"/>
                </w:tcPr>
                <w:p w14:paraId="0478A914" w14:textId="77777777" w:rsidR="002C2BB0" w:rsidRPr="0098635C" w:rsidRDefault="002C2BB0" w:rsidP="002C2BB0">
                  <w:pPr>
                    <w:spacing w:after="0"/>
                    <w:rPr>
                      <w:rFonts w:eastAsia="Calibri"/>
                      <w:sz w:val="20"/>
                      <w:szCs w:val="20"/>
                    </w:rPr>
                  </w:pPr>
                  <w:r w:rsidRPr="0098635C">
                    <w:rPr>
                      <w:rFonts w:eastAsia="Calibri"/>
                      <w:sz w:val="20"/>
                      <w:szCs w:val="20"/>
                    </w:rPr>
                    <w:t>Cu powder</w:t>
                  </w:r>
                </w:p>
              </w:tc>
              <w:tc>
                <w:tcPr>
                  <w:tcW w:w="3544" w:type="dxa"/>
                  <w:shd w:val="clear" w:color="auto" w:fill="auto"/>
                </w:tcPr>
                <w:p w14:paraId="23FB0B4E" w14:textId="77777777" w:rsidR="002C2BB0" w:rsidRPr="0098635C" w:rsidRDefault="002C2BB0" w:rsidP="002C2BB0">
                  <w:pPr>
                    <w:spacing w:after="0"/>
                    <w:jc w:val="center"/>
                    <w:rPr>
                      <w:rFonts w:eastAsia="Calibri"/>
                      <w:sz w:val="20"/>
                      <w:szCs w:val="20"/>
                    </w:rPr>
                  </w:pPr>
                  <w:r w:rsidRPr="0098635C">
                    <w:rPr>
                      <w:rFonts w:eastAsia="Calibri"/>
                      <w:sz w:val="20"/>
                      <w:szCs w:val="20"/>
                    </w:rPr>
                    <w:t>99.7% Cu, 0.3% Cu</w:t>
                  </w:r>
                  <w:r w:rsidRPr="0098635C">
                    <w:rPr>
                      <w:rFonts w:eastAsia="Calibri"/>
                      <w:sz w:val="20"/>
                      <w:szCs w:val="20"/>
                      <w:vertAlign w:val="subscript"/>
                    </w:rPr>
                    <w:t>2</w:t>
                  </w:r>
                  <w:r w:rsidRPr="0098635C">
                    <w:rPr>
                      <w:rFonts w:eastAsia="Calibri"/>
                      <w:sz w:val="20"/>
                      <w:szCs w:val="20"/>
                    </w:rPr>
                    <w:t>O</w:t>
                  </w:r>
                </w:p>
              </w:tc>
              <w:tc>
                <w:tcPr>
                  <w:tcW w:w="2325" w:type="dxa"/>
                  <w:shd w:val="clear" w:color="auto" w:fill="auto"/>
                  <w:vAlign w:val="center"/>
                </w:tcPr>
                <w:p w14:paraId="70ED7B29" w14:textId="77777777" w:rsidR="002C2BB0" w:rsidRPr="0098635C" w:rsidRDefault="002C2BB0" w:rsidP="002C2BB0">
                  <w:pPr>
                    <w:spacing w:after="0"/>
                    <w:ind w:left="33"/>
                    <w:jc w:val="center"/>
                    <w:rPr>
                      <w:rFonts w:eastAsia="Calibri"/>
                      <w:sz w:val="20"/>
                      <w:szCs w:val="20"/>
                    </w:rPr>
                  </w:pPr>
                  <w:r w:rsidRPr="0098635C">
                    <w:rPr>
                      <w:rFonts w:eastAsia="Calibri"/>
                      <w:sz w:val="20"/>
                      <w:szCs w:val="20"/>
                    </w:rPr>
                    <w:t>1.1 – (7.3*)</w:t>
                  </w:r>
                </w:p>
              </w:tc>
            </w:tr>
            <w:tr w:rsidR="002C2BB0" w:rsidRPr="0098635C" w14:paraId="2430705D" w14:textId="77777777" w:rsidTr="002C2BB0">
              <w:tc>
                <w:tcPr>
                  <w:tcW w:w="3397" w:type="dxa"/>
                  <w:shd w:val="clear" w:color="auto" w:fill="auto"/>
                </w:tcPr>
                <w:p w14:paraId="0ABF20BB" w14:textId="77777777" w:rsidR="002C2BB0" w:rsidRPr="0098635C" w:rsidRDefault="002C2BB0" w:rsidP="002C2BB0">
                  <w:pPr>
                    <w:spacing w:after="0"/>
                    <w:rPr>
                      <w:rFonts w:eastAsia="Calibri"/>
                      <w:sz w:val="20"/>
                      <w:szCs w:val="20"/>
                    </w:rPr>
                  </w:pPr>
                  <w:r w:rsidRPr="0098635C">
                    <w:rPr>
                      <w:rFonts w:eastAsia="Calibri"/>
                      <w:sz w:val="20"/>
                      <w:szCs w:val="20"/>
                    </w:rPr>
                    <w:lastRenderedPageBreak/>
                    <w:t>Dicopper su</w:t>
                  </w:r>
                  <w:r w:rsidRPr="0098635C">
                    <w:rPr>
                      <w:rFonts w:eastAsia="Calibri"/>
                      <w:sz w:val="20"/>
                      <w:szCs w:val="20"/>
                    </w:rPr>
                    <w:t>l</w:t>
                  </w:r>
                  <w:r w:rsidRPr="0098635C">
                    <w:rPr>
                      <w:rFonts w:eastAsia="Calibri"/>
                      <w:sz w:val="20"/>
                      <w:szCs w:val="20"/>
                    </w:rPr>
                    <w:t>phide</w:t>
                  </w:r>
                </w:p>
              </w:tc>
              <w:tc>
                <w:tcPr>
                  <w:tcW w:w="3544" w:type="dxa"/>
                  <w:shd w:val="clear" w:color="auto" w:fill="auto"/>
                </w:tcPr>
                <w:p w14:paraId="61575B6E" w14:textId="77777777" w:rsidR="002C2BB0" w:rsidRPr="0098635C" w:rsidRDefault="002C2BB0" w:rsidP="002C2BB0">
                  <w:pPr>
                    <w:spacing w:after="0"/>
                    <w:jc w:val="center"/>
                    <w:rPr>
                      <w:rFonts w:eastAsia="Calibri"/>
                      <w:sz w:val="20"/>
                      <w:szCs w:val="20"/>
                    </w:rPr>
                  </w:pPr>
                  <w:r w:rsidRPr="0098635C">
                    <w:rPr>
                      <w:rFonts w:eastAsia="Calibri"/>
                      <w:sz w:val="20"/>
                      <w:szCs w:val="20"/>
                    </w:rPr>
                    <w:t>79.9% Cu</w:t>
                  </w:r>
                </w:p>
              </w:tc>
              <w:tc>
                <w:tcPr>
                  <w:tcW w:w="2325" w:type="dxa"/>
                  <w:shd w:val="clear" w:color="auto" w:fill="auto"/>
                  <w:vAlign w:val="center"/>
                </w:tcPr>
                <w:p w14:paraId="6F5B7F52" w14:textId="77777777" w:rsidR="002C2BB0" w:rsidRPr="0098635C" w:rsidRDefault="002C2BB0" w:rsidP="002C2BB0">
                  <w:pPr>
                    <w:spacing w:after="0"/>
                    <w:ind w:left="33"/>
                    <w:jc w:val="center"/>
                    <w:rPr>
                      <w:rFonts w:eastAsia="Calibri"/>
                      <w:sz w:val="20"/>
                      <w:szCs w:val="20"/>
                    </w:rPr>
                  </w:pPr>
                  <w:r w:rsidRPr="0098635C">
                    <w:rPr>
                      <w:rFonts w:eastAsia="Calibri"/>
                      <w:sz w:val="20"/>
                      <w:szCs w:val="20"/>
                    </w:rPr>
                    <w:t>3.3</w:t>
                  </w:r>
                </w:p>
              </w:tc>
            </w:tr>
            <w:tr w:rsidR="002C2BB0" w:rsidRPr="0098635C" w14:paraId="40C31769" w14:textId="77777777" w:rsidTr="002C2BB0">
              <w:tc>
                <w:tcPr>
                  <w:tcW w:w="3397" w:type="dxa"/>
                  <w:shd w:val="clear" w:color="auto" w:fill="auto"/>
                </w:tcPr>
                <w:p w14:paraId="7153781F" w14:textId="77777777" w:rsidR="002C2BB0" w:rsidRPr="0098635C" w:rsidRDefault="002C2BB0" w:rsidP="002C2BB0">
                  <w:pPr>
                    <w:spacing w:after="0"/>
                    <w:rPr>
                      <w:rFonts w:eastAsia="Calibri"/>
                      <w:sz w:val="20"/>
                      <w:szCs w:val="20"/>
                    </w:rPr>
                  </w:pPr>
                  <w:r w:rsidRPr="0098635C">
                    <w:rPr>
                      <w:rFonts w:eastAsia="Calibri"/>
                      <w:sz w:val="20"/>
                      <w:szCs w:val="20"/>
                    </w:rPr>
                    <w:t>Cu flake – biocidal product</w:t>
                  </w:r>
                </w:p>
              </w:tc>
              <w:tc>
                <w:tcPr>
                  <w:tcW w:w="3544" w:type="dxa"/>
                  <w:shd w:val="clear" w:color="auto" w:fill="auto"/>
                </w:tcPr>
                <w:p w14:paraId="2A344363" w14:textId="77777777" w:rsidR="002C2BB0" w:rsidRPr="0098635C" w:rsidRDefault="002C2BB0" w:rsidP="002C2BB0">
                  <w:pPr>
                    <w:spacing w:after="0"/>
                    <w:jc w:val="center"/>
                    <w:rPr>
                      <w:rFonts w:eastAsia="Calibri"/>
                      <w:sz w:val="20"/>
                      <w:szCs w:val="20"/>
                    </w:rPr>
                  </w:pPr>
                  <w:r w:rsidRPr="0098635C">
                    <w:rPr>
                      <w:rFonts w:eastAsia="Calibri"/>
                      <w:sz w:val="20"/>
                      <w:szCs w:val="20"/>
                    </w:rPr>
                    <w:t>93.7% Cu, 2.6% Cu</w:t>
                  </w:r>
                  <w:r w:rsidRPr="0098635C">
                    <w:rPr>
                      <w:rFonts w:eastAsia="Calibri"/>
                      <w:sz w:val="20"/>
                      <w:szCs w:val="20"/>
                      <w:vertAlign w:val="subscript"/>
                    </w:rPr>
                    <w:t>2</w:t>
                  </w:r>
                  <w:r w:rsidRPr="0098635C">
                    <w:rPr>
                      <w:rFonts w:eastAsia="Calibri"/>
                      <w:sz w:val="20"/>
                      <w:szCs w:val="20"/>
                    </w:rPr>
                    <w:t>O, 3.89% LOI**</w:t>
                  </w:r>
                </w:p>
              </w:tc>
              <w:tc>
                <w:tcPr>
                  <w:tcW w:w="2325" w:type="dxa"/>
                  <w:shd w:val="clear" w:color="auto" w:fill="auto"/>
                  <w:vAlign w:val="center"/>
                </w:tcPr>
                <w:p w14:paraId="3209E5D6" w14:textId="77777777" w:rsidR="002C2BB0" w:rsidRPr="0098635C" w:rsidRDefault="002C2BB0" w:rsidP="002C2BB0">
                  <w:pPr>
                    <w:spacing w:after="0"/>
                    <w:ind w:left="33"/>
                    <w:jc w:val="center"/>
                    <w:rPr>
                      <w:rFonts w:eastAsia="Calibri"/>
                      <w:sz w:val="20"/>
                      <w:szCs w:val="20"/>
                    </w:rPr>
                  </w:pPr>
                  <w:r w:rsidRPr="0098635C">
                    <w:rPr>
                      <w:rFonts w:eastAsia="Calibri"/>
                      <w:sz w:val="20"/>
                      <w:szCs w:val="20"/>
                    </w:rPr>
                    <w:t>42 – 71</w:t>
                  </w:r>
                </w:p>
              </w:tc>
            </w:tr>
            <w:tr w:rsidR="002C2BB0" w:rsidRPr="0098635C" w14:paraId="0BE48AE3" w14:textId="77777777" w:rsidTr="002C2BB0">
              <w:tc>
                <w:tcPr>
                  <w:tcW w:w="3397" w:type="dxa"/>
                  <w:shd w:val="clear" w:color="auto" w:fill="auto"/>
                </w:tcPr>
                <w:p w14:paraId="1765FABA" w14:textId="77777777" w:rsidR="002C2BB0" w:rsidRPr="0098635C" w:rsidRDefault="002C2BB0" w:rsidP="002C2BB0">
                  <w:pPr>
                    <w:spacing w:after="0"/>
                    <w:rPr>
                      <w:rFonts w:eastAsia="Calibri"/>
                      <w:sz w:val="20"/>
                      <w:szCs w:val="20"/>
                    </w:rPr>
                  </w:pPr>
                  <w:r w:rsidRPr="0098635C">
                    <w:rPr>
                      <w:rFonts w:eastAsia="Calibri"/>
                      <w:sz w:val="20"/>
                      <w:szCs w:val="20"/>
                    </w:rPr>
                    <w:t>Cu flake – non-biocidal pro</w:t>
                  </w:r>
                  <w:r w:rsidRPr="0098635C">
                    <w:rPr>
                      <w:rFonts w:eastAsia="Calibri"/>
                      <w:sz w:val="20"/>
                      <w:szCs w:val="20"/>
                    </w:rPr>
                    <w:t>d</w:t>
                  </w:r>
                  <w:r w:rsidRPr="0098635C">
                    <w:rPr>
                      <w:rFonts w:eastAsia="Calibri"/>
                      <w:sz w:val="20"/>
                      <w:szCs w:val="20"/>
                    </w:rPr>
                    <w:t>uct</w:t>
                  </w:r>
                </w:p>
              </w:tc>
              <w:tc>
                <w:tcPr>
                  <w:tcW w:w="3544" w:type="dxa"/>
                  <w:shd w:val="clear" w:color="auto" w:fill="auto"/>
                </w:tcPr>
                <w:p w14:paraId="3E507468" w14:textId="77777777" w:rsidR="002C2BB0" w:rsidRPr="0098635C" w:rsidRDefault="002C2BB0" w:rsidP="002C2BB0">
                  <w:pPr>
                    <w:spacing w:after="0"/>
                    <w:jc w:val="center"/>
                    <w:rPr>
                      <w:rFonts w:eastAsia="Calibri"/>
                      <w:sz w:val="20"/>
                      <w:szCs w:val="20"/>
                    </w:rPr>
                  </w:pPr>
                  <w:r w:rsidRPr="0098635C">
                    <w:rPr>
                      <w:rFonts w:eastAsia="Calibri"/>
                      <w:sz w:val="20"/>
                      <w:szCs w:val="20"/>
                    </w:rPr>
                    <w:t>96.3% Cu, 1% Cu</w:t>
                  </w:r>
                  <w:r w:rsidRPr="0098635C">
                    <w:rPr>
                      <w:rFonts w:eastAsia="Calibri"/>
                      <w:sz w:val="20"/>
                      <w:szCs w:val="20"/>
                      <w:vertAlign w:val="subscript"/>
                    </w:rPr>
                    <w:t>2</w:t>
                  </w:r>
                  <w:r w:rsidRPr="0098635C">
                    <w:rPr>
                      <w:rFonts w:eastAsia="Calibri"/>
                      <w:sz w:val="20"/>
                      <w:szCs w:val="20"/>
                    </w:rPr>
                    <w:t>O, 2.8% LOI**</w:t>
                  </w:r>
                </w:p>
              </w:tc>
              <w:tc>
                <w:tcPr>
                  <w:tcW w:w="2325" w:type="dxa"/>
                  <w:shd w:val="clear" w:color="auto" w:fill="auto"/>
                  <w:vAlign w:val="center"/>
                </w:tcPr>
                <w:p w14:paraId="2F8E9485" w14:textId="77777777" w:rsidR="002C2BB0" w:rsidRPr="0098635C" w:rsidRDefault="002C2BB0" w:rsidP="002C2BB0">
                  <w:pPr>
                    <w:spacing w:after="0"/>
                    <w:ind w:left="33"/>
                    <w:jc w:val="center"/>
                    <w:rPr>
                      <w:rFonts w:eastAsia="Calibri"/>
                      <w:sz w:val="20"/>
                      <w:szCs w:val="20"/>
                    </w:rPr>
                  </w:pPr>
                  <w:r w:rsidRPr="0098635C">
                    <w:rPr>
                      <w:rFonts w:eastAsia="Calibri"/>
                      <w:sz w:val="20"/>
                      <w:szCs w:val="20"/>
                    </w:rPr>
                    <w:t>44 – 60</w:t>
                  </w:r>
                </w:p>
              </w:tc>
            </w:tr>
            <w:tr w:rsidR="002C2BB0" w:rsidRPr="0098635C" w14:paraId="32A08628" w14:textId="77777777" w:rsidTr="002C2BB0">
              <w:tc>
                <w:tcPr>
                  <w:tcW w:w="3397" w:type="dxa"/>
                  <w:shd w:val="clear" w:color="auto" w:fill="auto"/>
                </w:tcPr>
                <w:p w14:paraId="59B0CE66" w14:textId="77777777" w:rsidR="002C2BB0" w:rsidRPr="0098635C" w:rsidRDefault="002C2BB0" w:rsidP="002C2BB0">
                  <w:pPr>
                    <w:spacing w:after="0"/>
                    <w:rPr>
                      <w:rFonts w:eastAsia="Calibri"/>
                      <w:sz w:val="20"/>
                      <w:szCs w:val="20"/>
                    </w:rPr>
                  </w:pPr>
                  <w:r w:rsidRPr="0098635C">
                    <w:rPr>
                      <w:rFonts w:eastAsia="Calibri"/>
                      <w:sz w:val="20"/>
                      <w:szCs w:val="20"/>
                    </w:rPr>
                    <w:t>CuCl</w:t>
                  </w:r>
                </w:p>
              </w:tc>
              <w:tc>
                <w:tcPr>
                  <w:tcW w:w="3544" w:type="dxa"/>
                  <w:shd w:val="clear" w:color="auto" w:fill="auto"/>
                </w:tcPr>
                <w:p w14:paraId="6EEB1823" w14:textId="77777777" w:rsidR="002C2BB0" w:rsidRPr="0098635C" w:rsidRDefault="002C2BB0" w:rsidP="002C2BB0">
                  <w:pPr>
                    <w:spacing w:after="0"/>
                    <w:jc w:val="center"/>
                    <w:rPr>
                      <w:rFonts w:eastAsia="Calibri"/>
                      <w:sz w:val="20"/>
                      <w:szCs w:val="20"/>
                    </w:rPr>
                  </w:pPr>
                  <w:r w:rsidRPr="0098635C">
                    <w:rPr>
                      <w:rFonts w:eastAsia="Calibri"/>
                      <w:sz w:val="20"/>
                      <w:szCs w:val="20"/>
                    </w:rPr>
                    <w:t>63.78% Cu</w:t>
                  </w:r>
                </w:p>
              </w:tc>
              <w:tc>
                <w:tcPr>
                  <w:tcW w:w="2325" w:type="dxa"/>
                  <w:shd w:val="clear" w:color="auto" w:fill="auto"/>
                  <w:vAlign w:val="center"/>
                </w:tcPr>
                <w:p w14:paraId="4C09E4EF" w14:textId="77777777" w:rsidR="002C2BB0" w:rsidRPr="0098635C" w:rsidRDefault="002C2BB0" w:rsidP="002C2BB0">
                  <w:pPr>
                    <w:spacing w:after="0"/>
                    <w:ind w:left="33"/>
                    <w:jc w:val="center"/>
                    <w:rPr>
                      <w:rFonts w:eastAsia="Calibri"/>
                      <w:sz w:val="20"/>
                      <w:szCs w:val="20"/>
                    </w:rPr>
                  </w:pPr>
                  <w:r w:rsidRPr="0098635C">
                    <w:rPr>
                      <w:rFonts w:eastAsia="Calibri"/>
                      <w:sz w:val="20"/>
                      <w:szCs w:val="20"/>
                    </w:rPr>
                    <w:t>77 – 94</w:t>
                  </w:r>
                </w:p>
              </w:tc>
            </w:tr>
            <w:tr w:rsidR="002C2BB0" w:rsidRPr="0098635C" w14:paraId="39663E63" w14:textId="77777777" w:rsidTr="002C2BB0">
              <w:tc>
                <w:tcPr>
                  <w:tcW w:w="3397" w:type="dxa"/>
                  <w:shd w:val="clear" w:color="auto" w:fill="auto"/>
                </w:tcPr>
                <w:p w14:paraId="5347847F" w14:textId="77777777" w:rsidR="002C2BB0" w:rsidRPr="0098635C" w:rsidRDefault="002C2BB0" w:rsidP="002C2BB0">
                  <w:pPr>
                    <w:spacing w:after="0"/>
                    <w:rPr>
                      <w:rFonts w:eastAsia="Calibri"/>
                      <w:sz w:val="20"/>
                      <w:szCs w:val="20"/>
                    </w:rPr>
                  </w:pPr>
                  <w:r w:rsidRPr="0098635C">
                    <w:rPr>
                      <w:rFonts w:eastAsia="Calibri"/>
                      <w:sz w:val="20"/>
                      <w:szCs w:val="20"/>
                    </w:rPr>
                    <w:t>CuO</w:t>
                  </w:r>
                </w:p>
              </w:tc>
              <w:tc>
                <w:tcPr>
                  <w:tcW w:w="3544" w:type="dxa"/>
                  <w:shd w:val="clear" w:color="auto" w:fill="auto"/>
                </w:tcPr>
                <w:p w14:paraId="79B2DF6A" w14:textId="77777777" w:rsidR="002C2BB0" w:rsidRPr="0098635C" w:rsidRDefault="002C2BB0" w:rsidP="002C2BB0">
                  <w:pPr>
                    <w:spacing w:after="0"/>
                    <w:jc w:val="center"/>
                    <w:rPr>
                      <w:rFonts w:eastAsia="Calibri"/>
                      <w:sz w:val="20"/>
                      <w:szCs w:val="20"/>
                    </w:rPr>
                  </w:pPr>
                  <w:r w:rsidRPr="0098635C">
                    <w:rPr>
                      <w:rFonts w:eastAsia="Calibri"/>
                      <w:sz w:val="20"/>
                      <w:szCs w:val="20"/>
                    </w:rPr>
                    <w:t>80% Cu</w:t>
                  </w:r>
                </w:p>
              </w:tc>
              <w:tc>
                <w:tcPr>
                  <w:tcW w:w="2325" w:type="dxa"/>
                  <w:shd w:val="clear" w:color="auto" w:fill="auto"/>
                  <w:vAlign w:val="center"/>
                </w:tcPr>
                <w:p w14:paraId="5E31D932" w14:textId="77777777" w:rsidR="002C2BB0" w:rsidRPr="0098635C" w:rsidRDefault="002C2BB0" w:rsidP="002C2BB0">
                  <w:pPr>
                    <w:spacing w:after="0"/>
                    <w:ind w:left="33"/>
                    <w:jc w:val="center"/>
                    <w:rPr>
                      <w:rFonts w:eastAsia="Calibri"/>
                      <w:sz w:val="20"/>
                      <w:szCs w:val="20"/>
                    </w:rPr>
                  </w:pPr>
                  <w:r w:rsidRPr="0098635C">
                    <w:rPr>
                      <w:rFonts w:eastAsia="Calibri"/>
                      <w:sz w:val="20"/>
                      <w:szCs w:val="20"/>
                    </w:rPr>
                    <w:t>68-84%</w:t>
                  </w:r>
                </w:p>
              </w:tc>
            </w:tr>
            <w:tr w:rsidR="002C2BB0" w:rsidRPr="0098635C" w14:paraId="533DA11F" w14:textId="77777777" w:rsidTr="002C2BB0">
              <w:tc>
                <w:tcPr>
                  <w:tcW w:w="3397" w:type="dxa"/>
                  <w:shd w:val="clear" w:color="auto" w:fill="auto"/>
                </w:tcPr>
                <w:p w14:paraId="22743309" w14:textId="77777777" w:rsidR="002C2BB0" w:rsidRPr="0098635C" w:rsidRDefault="002C2BB0" w:rsidP="002C2BB0">
                  <w:pPr>
                    <w:spacing w:after="0"/>
                    <w:rPr>
                      <w:rFonts w:eastAsia="Calibri"/>
                      <w:sz w:val="20"/>
                      <w:szCs w:val="20"/>
                    </w:rPr>
                  </w:pPr>
                  <w:r w:rsidRPr="0098635C">
                    <w:rPr>
                      <w:rFonts w:eastAsia="Calibri"/>
                      <w:sz w:val="20"/>
                      <w:szCs w:val="20"/>
                    </w:rPr>
                    <w:t>CuSO</w:t>
                  </w:r>
                  <w:r w:rsidRPr="0098635C">
                    <w:rPr>
                      <w:rFonts w:eastAsia="Calibri"/>
                      <w:sz w:val="20"/>
                      <w:szCs w:val="20"/>
                      <w:vertAlign w:val="subscript"/>
                    </w:rPr>
                    <w:t>4</w:t>
                  </w:r>
                </w:p>
              </w:tc>
              <w:tc>
                <w:tcPr>
                  <w:tcW w:w="3544" w:type="dxa"/>
                  <w:shd w:val="clear" w:color="auto" w:fill="auto"/>
                </w:tcPr>
                <w:p w14:paraId="5ED6964B" w14:textId="77777777" w:rsidR="002C2BB0" w:rsidRPr="0098635C" w:rsidRDefault="002C2BB0" w:rsidP="002C2BB0">
                  <w:pPr>
                    <w:spacing w:after="0"/>
                    <w:jc w:val="center"/>
                    <w:rPr>
                      <w:rFonts w:eastAsia="Calibri"/>
                      <w:sz w:val="20"/>
                      <w:szCs w:val="20"/>
                    </w:rPr>
                  </w:pPr>
                  <w:r w:rsidRPr="0098635C">
                    <w:rPr>
                      <w:rFonts w:eastAsia="Calibri"/>
                      <w:sz w:val="20"/>
                      <w:szCs w:val="20"/>
                    </w:rPr>
                    <w:t>25.45% Cu</w:t>
                  </w:r>
                </w:p>
              </w:tc>
              <w:tc>
                <w:tcPr>
                  <w:tcW w:w="2325" w:type="dxa"/>
                  <w:shd w:val="clear" w:color="auto" w:fill="auto"/>
                  <w:vAlign w:val="center"/>
                </w:tcPr>
                <w:p w14:paraId="695093A9" w14:textId="77777777" w:rsidR="002C2BB0" w:rsidRPr="0098635C" w:rsidRDefault="002C2BB0" w:rsidP="002C2BB0">
                  <w:pPr>
                    <w:spacing w:after="0"/>
                    <w:ind w:left="33"/>
                    <w:jc w:val="center"/>
                    <w:rPr>
                      <w:rFonts w:eastAsia="Calibri"/>
                      <w:sz w:val="20"/>
                      <w:szCs w:val="20"/>
                    </w:rPr>
                  </w:pPr>
                  <w:r w:rsidRPr="0098635C">
                    <w:rPr>
                      <w:rFonts w:eastAsia="Calibri"/>
                      <w:sz w:val="20"/>
                      <w:szCs w:val="20"/>
                    </w:rPr>
                    <w:t>100</w:t>
                  </w:r>
                </w:p>
              </w:tc>
            </w:tr>
          </w:tbl>
          <w:p w14:paraId="7E5AFD39" w14:textId="77777777" w:rsidR="002C2BB0" w:rsidRPr="0098635C" w:rsidRDefault="002C2BB0" w:rsidP="002C2BB0">
            <w:pPr>
              <w:spacing w:after="0"/>
              <w:ind w:left="426" w:hanging="142"/>
              <w:rPr>
                <w:rFonts w:eastAsia="Calibri"/>
                <w:sz w:val="20"/>
                <w:szCs w:val="20"/>
              </w:rPr>
            </w:pPr>
            <w:r w:rsidRPr="0098635C">
              <w:rPr>
                <w:rFonts w:eastAsia="Calibri"/>
                <w:sz w:val="20"/>
                <w:szCs w:val="20"/>
              </w:rPr>
              <w:t xml:space="preserve">*The results at the higher loading rate show unacceptably high variability (CV of 66%), possibly related to abrasion of the particles during the test.  The results of this test are therefore not considered as reliable. </w:t>
            </w:r>
          </w:p>
          <w:p w14:paraId="03B1612E" w14:textId="77777777" w:rsidR="002C2BB0" w:rsidRPr="0098635C" w:rsidRDefault="002C2BB0" w:rsidP="002C2BB0">
            <w:pPr>
              <w:spacing w:after="0"/>
              <w:ind w:left="426" w:hanging="142"/>
              <w:rPr>
                <w:rFonts w:eastAsia="Calibri"/>
                <w:sz w:val="20"/>
                <w:szCs w:val="20"/>
              </w:rPr>
            </w:pPr>
            <w:r w:rsidRPr="0098635C">
              <w:rPr>
                <w:rFonts w:eastAsia="Calibri"/>
                <w:sz w:val="20"/>
                <w:szCs w:val="20"/>
              </w:rPr>
              <w:t xml:space="preserve"> ** Loss if i</w:t>
            </w:r>
            <w:r w:rsidRPr="0098635C">
              <w:rPr>
                <w:rFonts w:eastAsia="Calibri"/>
                <w:sz w:val="20"/>
                <w:szCs w:val="20"/>
              </w:rPr>
              <w:t>g</w:t>
            </w:r>
            <w:r w:rsidRPr="0098635C">
              <w:rPr>
                <w:rFonts w:eastAsia="Calibri"/>
                <w:sz w:val="20"/>
                <w:szCs w:val="20"/>
              </w:rPr>
              <w:t>nition, as a measure of the organic content (coating by aliphatic acid).</w:t>
            </w:r>
          </w:p>
          <w:p w14:paraId="46E9E3B9" w14:textId="77777777" w:rsidR="002C2BB0" w:rsidRPr="0098635C" w:rsidRDefault="002C2BB0" w:rsidP="002C2BB0">
            <w:pPr>
              <w:spacing w:after="0"/>
              <w:ind w:right="215"/>
              <w:rPr>
                <w:rFonts w:eastAsia="Calibri"/>
                <w:sz w:val="20"/>
                <w:szCs w:val="20"/>
              </w:rPr>
            </w:pPr>
          </w:p>
          <w:p w14:paraId="15D20B06" w14:textId="77777777" w:rsidR="002C2BB0" w:rsidRPr="0098635C" w:rsidRDefault="002C2BB0" w:rsidP="002C2BB0">
            <w:pPr>
              <w:spacing w:after="0"/>
              <w:ind w:right="215"/>
              <w:rPr>
                <w:rFonts w:eastAsia="Calibri"/>
                <w:b/>
                <w:sz w:val="20"/>
                <w:szCs w:val="20"/>
              </w:rPr>
            </w:pPr>
            <w:r w:rsidRPr="0098635C">
              <w:rPr>
                <w:rFonts w:eastAsia="Calibri"/>
                <w:sz w:val="20"/>
                <w:szCs w:val="20"/>
              </w:rPr>
              <w:t>For the Cu° materials, the relation between the release of Cu-ions and the surface area exposed is well d</w:t>
            </w:r>
            <w:r w:rsidRPr="0098635C">
              <w:rPr>
                <w:rFonts w:eastAsia="Calibri"/>
                <w:sz w:val="20"/>
                <w:szCs w:val="20"/>
              </w:rPr>
              <w:t>e</w:t>
            </w:r>
            <w:r w:rsidRPr="0098635C">
              <w:rPr>
                <w:rFonts w:eastAsia="Calibri"/>
                <w:sz w:val="20"/>
                <w:szCs w:val="20"/>
              </w:rPr>
              <w:t xml:space="preserve">scribed by  a power function: </w:t>
            </w:r>
            <w:r w:rsidRPr="0098635C">
              <w:rPr>
                <w:rFonts w:eastAsia="Calibri"/>
                <w:b/>
                <w:sz w:val="20"/>
                <w:szCs w:val="20"/>
              </w:rPr>
              <w:t xml:space="preserve">  </w:t>
            </w:r>
          </w:p>
          <w:p w14:paraId="35FD9E5A" w14:textId="77777777" w:rsidR="002C2BB0" w:rsidRPr="0098635C" w:rsidRDefault="002C2BB0" w:rsidP="002C2BB0">
            <w:pPr>
              <w:spacing w:after="0"/>
              <w:ind w:right="215"/>
              <w:rPr>
                <w:rFonts w:eastAsia="Calibri"/>
                <w:b/>
                <w:sz w:val="20"/>
                <w:szCs w:val="20"/>
              </w:rPr>
            </w:pPr>
          </w:p>
          <w:p w14:paraId="5DB0ACDF" w14:textId="77777777" w:rsidR="002C2BB0" w:rsidRPr="0098635C" w:rsidRDefault="002C2BB0" w:rsidP="002C2BB0">
            <w:pPr>
              <w:spacing w:after="0"/>
              <w:ind w:right="215"/>
              <w:rPr>
                <w:rFonts w:eastAsia="Calibri"/>
                <w:sz w:val="20"/>
                <w:szCs w:val="20"/>
              </w:rPr>
            </w:pPr>
            <w:r w:rsidRPr="0098635C">
              <w:rPr>
                <w:rFonts w:eastAsia="Calibri"/>
                <w:b/>
                <w:sz w:val="20"/>
                <w:szCs w:val="20"/>
              </w:rPr>
              <w:t>Bioaccessible copper ions = 1.94 surface loading (mm</w:t>
            </w:r>
            <w:r w:rsidRPr="0098635C">
              <w:rPr>
                <w:rFonts w:eastAsia="Calibri"/>
                <w:b/>
                <w:sz w:val="20"/>
                <w:szCs w:val="20"/>
                <w:vertAlign w:val="superscript"/>
              </w:rPr>
              <w:t>2</w:t>
            </w:r>
            <w:r w:rsidRPr="0098635C">
              <w:rPr>
                <w:rFonts w:eastAsia="Calibri"/>
                <w:b/>
                <w:sz w:val="20"/>
                <w:szCs w:val="20"/>
              </w:rPr>
              <w:t xml:space="preserve">/L) </w:t>
            </w:r>
            <w:r w:rsidRPr="0098635C">
              <w:rPr>
                <w:rFonts w:eastAsia="Calibri"/>
                <w:b/>
                <w:sz w:val="20"/>
                <w:szCs w:val="20"/>
                <w:vertAlign w:val="superscript"/>
              </w:rPr>
              <w:t>0.84</w:t>
            </w:r>
          </w:p>
          <w:p w14:paraId="5DE4E078" w14:textId="77777777" w:rsidR="002C2BB0" w:rsidRPr="0098635C" w:rsidRDefault="002C2BB0" w:rsidP="002C2BB0">
            <w:pPr>
              <w:spacing w:after="0"/>
              <w:rPr>
                <w:rFonts w:eastAsia="Calibri"/>
                <w:sz w:val="20"/>
                <w:szCs w:val="20"/>
              </w:rPr>
            </w:pPr>
            <w:r w:rsidRPr="0098635C">
              <w:rPr>
                <w:rFonts w:eastAsia="Calibri"/>
                <w:sz w:val="20"/>
                <w:szCs w:val="20"/>
                <w:u w:val="single"/>
              </w:rPr>
              <w:t>In conclusion,</w:t>
            </w:r>
            <w:r w:rsidRPr="0098635C">
              <w:rPr>
                <w:rFonts w:eastAsia="Calibri"/>
                <w:sz w:val="20"/>
                <w:szCs w:val="20"/>
              </w:rPr>
              <w:t xml:space="preserve"> the </w:t>
            </w:r>
            <w:r w:rsidRPr="0098635C">
              <w:rPr>
                <w:rFonts w:eastAsia="Calibri"/>
                <w:i/>
                <w:sz w:val="20"/>
                <w:szCs w:val="20"/>
              </w:rPr>
              <w:t>in vitro</w:t>
            </w:r>
            <w:r w:rsidRPr="0098635C">
              <w:rPr>
                <w:rFonts w:eastAsia="Calibri"/>
                <w:sz w:val="20"/>
                <w:szCs w:val="20"/>
              </w:rPr>
              <w:t xml:space="preserve"> gastric bioelution tests with various copper-bearing materials demonstrate important differences in bio-accessibility in gastric fluids: CuS0</w:t>
            </w:r>
            <w:r w:rsidRPr="0098635C">
              <w:rPr>
                <w:rFonts w:eastAsia="Calibri"/>
                <w:sz w:val="20"/>
                <w:szCs w:val="20"/>
                <w:vertAlign w:val="subscript"/>
              </w:rPr>
              <w:t>4.</w:t>
            </w:r>
            <w:r w:rsidRPr="0098635C">
              <w:rPr>
                <w:rFonts w:eastAsia="Calibri"/>
                <w:sz w:val="20"/>
                <w:szCs w:val="20"/>
              </w:rPr>
              <w:t>5H</w:t>
            </w:r>
            <w:r w:rsidRPr="0098635C">
              <w:rPr>
                <w:rFonts w:eastAsia="Calibri"/>
                <w:sz w:val="20"/>
                <w:szCs w:val="20"/>
                <w:vertAlign w:val="subscript"/>
              </w:rPr>
              <w:t>2</w:t>
            </w:r>
            <w:r w:rsidRPr="0098635C">
              <w:rPr>
                <w:rFonts w:eastAsia="Calibri"/>
                <w:sz w:val="20"/>
                <w:szCs w:val="20"/>
              </w:rPr>
              <w:t>0 (100%) &gt; CuCl &gt; CuO &gt; coated copper flakes &gt; Cu</w:t>
            </w:r>
            <w:r w:rsidRPr="0098635C">
              <w:rPr>
                <w:rFonts w:eastAsia="Calibri"/>
                <w:sz w:val="20"/>
                <w:szCs w:val="20"/>
                <w:vertAlign w:val="subscript"/>
              </w:rPr>
              <w:t>2</w:t>
            </w:r>
            <w:r w:rsidRPr="0098635C">
              <w:rPr>
                <w:rFonts w:eastAsia="Calibri"/>
                <w:sz w:val="20"/>
                <w:szCs w:val="20"/>
              </w:rPr>
              <w:t xml:space="preserve">S &gt; copper powder &gt; copper massive (0.1%).  </w:t>
            </w:r>
          </w:p>
          <w:p w14:paraId="3084464B" w14:textId="77777777" w:rsidR="002C2BB0" w:rsidRPr="0098635C" w:rsidRDefault="002C2BB0" w:rsidP="002C2BB0">
            <w:pPr>
              <w:spacing w:after="0"/>
              <w:rPr>
                <w:rFonts w:eastAsia="Calibri"/>
                <w:sz w:val="20"/>
                <w:szCs w:val="20"/>
              </w:rPr>
            </w:pPr>
            <w:r w:rsidRPr="0098635C">
              <w:rPr>
                <w:rFonts w:eastAsia="Calibri"/>
                <w:sz w:val="20"/>
                <w:szCs w:val="20"/>
              </w:rPr>
              <w:t>The data also show that bio-accessibility of Cu° is related to surface area, described by the power function.  Measured and modelled (from the power function) bio-soluble copper concentrations released from 200 mg copper powders/L are respectively 1.1% and 2.8% for a typical copper powder (0.024 m</w:t>
            </w:r>
            <w:r w:rsidRPr="0098635C">
              <w:rPr>
                <w:rFonts w:eastAsia="Calibri"/>
                <w:sz w:val="20"/>
                <w:szCs w:val="20"/>
                <w:vertAlign w:val="superscript"/>
              </w:rPr>
              <w:t>2</w:t>
            </w:r>
            <w:r w:rsidRPr="0098635C">
              <w:rPr>
                <w:rFonts w:eastAsia="Calibri"/>
                <w:sz w:val="20"/>
                <w:szCs w:val="20"/>
              </w:rPr>
              <w:t>/g) and reasonable worst case 10 µm powder (of 0.067 m</w:t>
            </w:r>
            <w:r w:rsidRPr="0098635C">
              <w:rPr>
                <w:rFonts w:eastAsia="Calibri"/>
                <w:sz w:val="20"/>
                <w:szCs w:val="20"/>
                <w:vertAlign w:val="superscript"/>
              </w:rPr>
              <w:t>2</w:t>
            </w:r>
            <w:r w:rsidRPr="0098635C">
              <w:rPr>
                <w:rFonts w:eastAsia="Calibri"/>
                <w:sz w:val="20"/>
                <w:szCs w:val="20"/>
              </w:rPr>
              <w:t>/g).   Using the coated copper flakes as reference substance (with ave</w:t>
            </w:r>
            <w:r w:rsidRPr="0098635C">
              <w:rPr>
                <w:rFonts w:eastAsia="Calibri"/>
                <w:sz w:val="20"/>
                <w:szCs w:val="20"/>
              </w:rPr>
              <w:t>r</w:t>
            </w:r>
            <w:r w:rsidRPr="0098635C">
              <w:rPr>
                <w:rFonts w:eastAsia="Calibri"/>
                <w:sz w:val="20"/>
                <w:szCs w:val="20"/>
              </w:rPr>
              <w:t>age bio-accessibility of 57%), the relative bio-accessibility of a typical copper powder (0.024 m</w:t>
            </w:r>
            <w:r w:rsidRPr="0098635C">
              <w:rPr>
                <w:rFonts w:eastAsia="Calibri"/>
                <w:sz w:val="20"/>
                <w:szCs w:val="20"/>
                <w:vertAlign w:val="superscript"/>
              </w:rPr>
              <w:t>2</w:t>
            </w:r>
            <w:r w:rsidRPr="0098635C">
              <w:rPr>
                <w:rFonts w:eastAsia="Calibri"/>
                <w:sz w:val="20"/>
                <w:szCs w:val="20"/>
              </w:rPr>
              <w:t>/g) and re</w:t>
            </w:r>
            <w:r w:rsidRPr="0098635C">
              <w:rPr>
                <w:rFonts w:eastAsia="Calibri"/>
                <w:sz w:val="20"/>
                <w:szCs w:val="20"/>
              </w:rPr>
              <w:t>a</w:t>
            </w:r>
            <w:r w:rsidRPr="0098635C">
              <w:rPr>
                <w:rFonts w:eastAsia="Calibri"/>
                <w:sz w:val="20"/>
                <w:szCs w:val="20"/>
              </w:rPr>
              <w:t>sonable worst case 10µm powder (of 0.067 m²/g) are therefore r</w:t>
            </w:r>
            <w:r w:rsidRPr="0098635C">
              <w:rPr>
                <w:rFonts w:eastAsia="Calibri"/>
                <w:sz w:val="20"/>
                <w:szCs w:val="20"/>
              </w:rPr>
              <w:t>e</w:t>
            </w:r>
            <w:r w:rsidRPr="0098635C">
              <w:rPr>
                <w:rFonts w:eastAsia="Calibri"/>
                <w:sz w:val="20"/>
                <w:szCs w:val="20"/>
              </w:rPr>
              <w:t>spectively 1.9% and 4.9%.</w:t>
            </w:r>
          </w:p>
          <w:p w14:paraId="5D8977E5" w14:textId="77777777" w:rsidR="002C2BB0" w:rsidRPr="0098635C" w:rsidRDefault="002C2BB0" w:rsidP="002C2BB0">
            <w:pPr>
              <w:spacing w:after="0"/>
              <w:rPr>
                <w:rFonts w:eastAsia="Calibri"/>
                <w:sz w:val="20"/>
                <w:szCs w:val="20"/>
              </w:rPr>
            </w:pPr>
            <w:r w:rsidRPr="0098635C">
              <w:rPr>
                <w:rFonts w:eastAsia="Calibri"/>
                <w:sz w:val="20"/>
                <w:szCs w:val="20"/>
              </w:rPr>
              <w:t>These data can be used to predict the acute oral toxicity of copper massive and copper powder using available toxicity studies on other forms of copper and copper compounds and this is presented below in the acute toxic</w:t>
            </w:r>
            <w:r w:rsidRPr="0098635C">
              <w:rPr>
                <w:rFonts w:eastAsia="Calibri"/>
                <w:sz w:val="20"/>
                <w:szCs w:val="20"/>
              </w:rPr>
              <w:t>i</w:t>
            </w:r>
            <w:r w:rsidRPr="0098635C">
              <w:rPr>
                <w:rFonts w:eastAsia="Calibri"/>
                <w:sz w:val="20"/>
                <w:szCs w:val="20"/>
              </w:rPr>
              <w:t>ty se</w:t>
            </w:r>
            <w:r w:rsidRPr="0098635C">
              <w:rPr>
                <w:rFonts w:eastAsia="Calibri"/>
                <w:sz w:val="20"/>
                <w:szCs w:val="20"/>
              </w:rPr>
              <w:t>c</w:t>
            </w:r>
            <w:r w:rsidRPr="0098635C">
              <w:rPr>
                <w:rFonts w:eastAsia="Calibri"/>
                <w:sz w:val="20"/>
                <w:szCs w:val="20"/>
              </w:rPr>
              <w:t>tion.</w:t>
            </w:r>
          </w:p>
          <w:p w14:paraId="7DC9856C" w14:textId="77777777" w:rsidR="002C2BB0" w:rsidRPr="0098635C" w:rsidRDefault="002C2BB0" w:rsidP="002C2BB0">
            <w:pPr>
              <w:keepNext/>
              <w:keepLines/>
              <w:spacing w:after="0"/>
              <w:ind w:right="215"/>
              <w:rPr>
                <w:b/>
                <w:i/>
                <w:sz w:val="20"/>
                <w:szCs w:val="20"/>
                <w:lang w:eastAsia="ja-JP"/>
              </w:rPr>
            </w:pPr>
            <w:r w:rsidRPr="0098635C">
              <w:rPr>
                <w:b/>
                <w:i/>
                <w:sz w:val="20"/>
                <w:szCs w:val="20"/>
                <w:lang w:eastAsia="ja-JP"/>
              </w:rPr>
              <w:t xml:space="preserve">Acute toxicity </w:t>
            </w:r>
          </w:p>
          <w:p w14:paraId="37107C64" w14:textId="77777777" w:rsidR="002C2BB0" w:rsidRPr="0098635C" w:rsidRDefault="002C2BB0" w:rsidP="002C2BB0">
            <w:pPr>
              <w:keepNext/>
              <w:keepLines/>
              <w:spacing w:after="0"/>
              <w:ind w:right="215"/>
              <w:rPr>
                <w:sz w:val="20"/>
                <w:szCs w:val="20"/>
                <w:lang w:eastAsia="ja-JP"/>
              </w:rPr>
            </w:pPr>
            <w:r w:rsidRPr="0098635C">
              <w:rPr>
                <w:sz w:val="20"/>
                <w:szCs w:val="20"/>
                <w:lang w:eastAsia="ja-JP"/>
              </w:rPr>
              <w:t>Available key study data for acute toxicity:</w:t>
            </w:r>
          </w:p>
          <w:p w14:paraId="0E80E16C" w14:textId="77777777" w:rsidR="002C2BB0" w:rsidRPr="0098635C" w:rsidRDefault="002C2BB0" w:rsidP="002C2BB0">
            <w:pPr>
              <w:keepNext/>
              <w:keepLines/>
              <w:spacing w:after="0"/>
              <w:ind w:right="215"/>
              <w:jc w:val="center"/>
              <w:rPr>
                <w:b/>
                <w:sz w:val="20"/>
                <w:szCs w:val="20"/>
                <w:lang w:eastAsia="ja-JP"/>
              </w:rPr>
            </w:pPr>
            <w:r w:rsidRPr="0098635C">
              <w:rPr>
                <w:b/>
                <w:sz w:val="20"/>
                <w:szCs w:val="20"/>
                <w:lang w:eastAsia="ja-JP"/>
              </w:rPr>
              <w:t>Key studies for acute toxicity by inhalation, dermal and oral exp</w:t>
            </w:r>
            <w:r w:rsidRPr="0098635C">
              <w:rPr>
                <w:b/>
                <w:sz w:val="20"/>
                <w:szCs w:val="20"/>
                <w:lang w:eastAsia="ja-JP"/>
              </w:rPr>
              <w:t>o</w:t>
            </w:r>
            <w:r w:rsidRPr="0098635C">
              <w:rPr>
                <w:b/>
                <w:sz w:val="20"/>
                <w:szCs w:val="20"/>
                <w:lang w:eastAsia="ja-JP"/>
              </w:rPr>
              <w:t>sure route</w:t>
            </w:r>
          </w:p>
          <w:tbl>
            <w:tblPr>
              <w:tblW w:w="8846"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7"/>
              <w:gridCol w:w="2130"/>
              <w:gridCol w:w="2464"/>
              <w:gridCol w:w="1985"/>
            </w:tblGrid>
            <w:tr w:rsidR="002C2BB0" w:rsidRPr="0098635C" w14:paraId="42B989E6" w14:textId="77777777" w:rsidTr="002C2BB0">
              <w:trPr>
                <w:tblHeader/>
              </w:trPr>
              <w:tc>
                <w:tcPr>
                  <w:tcW w:w="1281" w:type="pct"/>
                </w:tcPr>
                <w:p w14:paraId="01549E97" w14:textId="77777777" w:rsidR="002C2BB0" w:rsidRPr="0098635C" w:rsidRDefault="002C2BB0" w:rsidP="002C2BB0">
                  <w:pPr>
                    <w:spacing w:after="0"/>
                    <w:ind w:left="34"/>
                    <w:rPr>
                      <w:b/>
                      <w:sz w:val="20"/>
                      <w:szCs w:val="20"/>
                      <w:lang w:eastAsia="ja-JP"/>
                    </w:rPr>
                  </w:pPr>
                  <w:r w:rsidRPr="0098635C">
                    <w:rPr>
                      <w:b/>
                      <w:sz w:val="20"/>
                      <w:szCs w:val="20"/>
                      <w:lang w:eastAsia="ja-JP"/>
                    </w:rPr>
                    <w:t>Route of administr</w:t>
                  </w:r>
                  <w:r w:rsidRPr="0098635C">
                    <w:rPr>
                      <w:b/>
                      <w:sz w:val="20"/>
                      <w:szCs w:val="20"/>
                      <w:lang w:eastAsia="ja-JP"/>
                    </w:rPr>
                    <w:t>a</w:t>
                  </w:r>
                  <w:r w:rsidRPr="0098635C">
                    <w:rPr>
                      <w:b/>
                      <w:sz w:val="20"/>
                      <w:szCs w:val="20"/>
                      <w:lang w:eastAsia="ja-JP"/>
                    </w:rPr>
                    <w:t>tion / en</w:t>
                  </w:r>
                  <w:r w:rsidRPr="0098635C">
                    <w:rPr>
                      <w:b/>
                      <w:sz w:val="20"/>
                      <w:szCs w:val="20"/>
                      <w:lang w:eastAsia="ja-JP"/>
                    </w:rPr>
                    <w:t>d</w:t>
                  </w:r>
                  <w:r w:rsidRPr="0098635C">
                    <w:rPr>
                      <w:b/>
                      <w:sz w:val="20"/>
                      <w:szCs w:val="20"/>
                      <w:lang w:eastAsia="ja-JP"/>
                    </w:rPr>
                    <w:t>point / test guideline</w:t>
                  </w:r>
                </w:p>
              </w:tc>
              <w:tc>
                <w:tcPr>
                  <w:tcW w:w="1204" w:type="pct"/>
                </w:tcPr>
                <w:p w14:paraId="2654BCBB" w14:textId="77777777" w:rsidR="002C2BB0" w:rsidRPr="0098635C" w:rsidRDefault="002C2BB0" w:rsidP="002C2BB0">
                  <w:pPr>
                    <w:spacing w:after="0"/>
                    <w:ind w:left="77"/>
                    <w:rPr>
                      <w:b/>
                      <w:sz w:val="20"/>
                      <w:szCs w:val="20"/>
                      <w:lang w:eastAsia="ja-JP"/>
                    </w:rPr>
                  </w:pPr>
                  <w:r w:rsidRPr="0098635C">
                    <w:rPr>
                      <w:b/>
                      <w:sz w:val="20"/>
                      <w:szCs w:val="20"/>
                      <w:lang w:eastAsia="ja-JP"/>
                    </w:rPr>
                    <w:t>Test su</w:t>
                  </w:r>
                  <w:r w:rsidRPr="0098635C">
                    <w:rPr>
                      <w:b/>
                      <w:sz w:val="20"/>
                      <w:szCs w:val="20"/>
                      <w:lang w:eastAsia="ja-JP"/>
                    </w:rPr>
                    <w:t>b</w:t>
                  </w:r>
                  <w:r w:rsidRPr="0098635C">
                    <w:rPr>
                      <w:b/>
                      <w:sz w:val="20"/>
                      <w:szCs w:val="20"/>
                      <w:lang w:eastAsia="ja-JP"/>
                    </w:rPr>
                    <w:t>stance</w:t>
                  </w:r>
                </w:p>
              </w:tc>
              <w:tc>
                <w:tcPr>
                  <w:tcW w:w="1393" w:type="pct"/>
                </w:tcPr>
                <w:p w14:paraId="1BD91C6B" w14:textId="77777777" w:rsidR="002C2BB0" w:rsidRPr="0098635C" w:rsidRDefault="002C2BB0" w:rsidP="002C2BB0">
                  <w:pPr>
                    <w:spacing w:after="0"/>
                    <w:ind w:left="39"/>
                    <w:rPr>
                      <w:b/>
                      <w:sz w:val="20"/>
                      <w:szCs w:val="20"/>
                      <w:lang w:eastAsia="ja-JP"/>
                    </w:rPr>
                  </w:pPr>
                  <w:r w:rsidRPr="0098635C">
                    <w:rPr>
                      <w:b/>
                      <w:sz w:val="20"/>
                      <w:szCs w:val="20"/>
                      <w:lang w:eastAsia="ja-JP"/>
                    </w:rPr>
                    <w:t>Clinical effects</w:t>
                  </w:r>
                </w:p>
              </w:tc>
              <w:tc>
                <w:tcPr>
                  <w:tcW w:w="1122" w:type="pct"/>
                  <w:shd w:val="clear" w:color="auto" w:fill="auto"/>
                </w:tcPr>
                <w:p w14:paraId="7323E29D" w14:textId="77777777" w:rsidR="002C2BB0" w:rsidRPr="0098635C" w:rsidRDefault="002C2BB0" w:rsidP="002C2BB0">
                  <w:pPr>
                    <w:spacing w:after="0"/>
                    <w:ind w:left="39"/>
                    <w:rPr>
                      <w:b/>
                      <w:sz w:val="20"/>
                      <w:szCs w:val="20"/>
                      <w:lang w:eastAsia="ja-JP"/>
                    </w:rPr>
                  </w:pPr>
                  <w:r w:rsidRPr="0098635C">
                    <w:rPr>
                      <w:b/>
                      <w:sz w:val="20"/>
                      <w:szCs w:val="20"/>
                      <w:lang w:eastAsia="ja-JP"/>
                    </w:rPr>
                    <w:t>Endpoint value</w:t>
                  </w:r>
                </w:p>
              </w:tc>
            </w:tr>
            <w:tr w:rsidR="002C2BB0" w:rsidRPr="0098635C" w14:paraId="74F708CD" w14:textId="77777777" w:rsidTr="002C2BB0">
              <w:tc>
                <w:tcPr>
                  <w:tcW w:w="1281" w:type="pct"/>
                </w:tcPr>
                <w:p w14:paraId="62EC0B27" w14:textId="77777777" w:rsidR="002C2BB0" w:rsidRPr="0098635C" w:rsidRDefault="002C2BB0" w:rsidP="002C2BB0">
                  <w:pPr>
                    <w:spacing w:after="0"/>
                    <w:ind w:left="34"/>
                    <w:rPr>
                      <w:i/>
                      <w:color w:val="000000"/>
                      <w:sz w:val="20"/>
                      <w:szCs w:val="20"/>
                      <w:lang w:eastAsia="ja-JP"/>
                    </w:rPr>
                  </w:pPr>
                  <w:r w:rsidRPr="0098635C">
                    <w:rPr>
                      <w:i/>
                      <w:color w:val="000000"/>
                      <w:sz w:val="20"/>
                      <w:szCs w:val="20"/>
                      <w:lang w:eastAsia="ja-JP"/>
                    </w:rPr>
                    <w:t>Inhalation (US 173.132)</w:t>
                  </w:r>
                </w:p>
              </w:tc>
              <w:tc>
                <w:tcPr>
                  <w:tcW w:w="1204" w:type="pct"/>
                </w:tcPr>
                <w:p w14:paraId="1474C5C4" w14:textId="77777777" w:rsidR="002C2BB0" w:rsidRPr="0098635C" w:rsidRDefault="002C2BB0" w:rsidP="002C2BB0">
                  <w:pPr>
                    <w:spacing w:after="0"/>
                    <w:ind w:left="77"/>
                    <w:rPr>
                      <w:color w:val="FF0000"/>
                      <w:sz w:val="20"/>
                      <w:szCs w:val="20"/>
                      <w:lang w:eastAsia="ja-JP"/>
                    </w:rPr>
                  </w:pPr>
                </w:p>
              </w:tc>
              <w:tc>
                <w:tcPr>
                  <w:tcW w:w="1393" w:type="pct"/>
                </w:tcPr>
                <w:p w14:paraId="5ED3A793" w14:textId="77777777" w:rsidR="002C2BB0" w:rsidRPr="0098635C" w:rsidRDefault="002C2BB0" w:rsidP="002C2BB0">
                  <w:pPr>
                    <w:spacing w:after="0"/>
                    <w:ind w:left="39"/>
                    <w:rPr>
                      <w:color w:val="FF0000"/>
                      <w:sz w:val="20"/>
                      <w:szCs w:val="20"/>
                      <w:lang w:eastAsia="ja-JP"/>
                    </w:rPr>
                  </w:pPr>
                </w:p>
              </w:tc>
              <w:tc>
                <w:tcPr>
                  <w:tcW w:w="1122" w:type="pct"/>
                  <w:shd w:val="clear" w:color="auto" w:fill="auto"/>
                </w:tcPr>
                <w:p w14:paraId="78D09528" w14:textId="77777777" w:rsidR="002C2BB0" w:rsidRPr="0098635C" w:rsidRDefault="002C2BB0" w:rsidP="002C2BB0">
                  <w:pPr>
                    <w:spacing w:after="0"/>
                    <w:ind w:left="39"/>
                    <w:rPr>
                      <w:color w:val="FF0000"/>
                      <w:sz w:val="20"/>
                      <w:szCs w:val="20"/>
                      <w:lang w:eastAsia="ja-JP"/>
                    </w:rPr>
                  </w:pPr>
                </w:p>
              </w:tc>
            </w:tr>
            <w:tr w:rsidR="002C2BB0" w:rsidRPr="0098635C" w14:paraId="6EEB9440" w14:textId="77777777" w:rsidTr="002C2BB0">
              <w:tc>
                <w:tcPr>
                  <w:tcW w:w="1281" w:type="pct"/>
                </w:tcPr>
                <w:p w14:paraId="4419A89E" w14:textId="77777777" w:rsidR="002C2BB0" w:rsidRPr="0098635C" w:rsidRDefault="002C2BB0" w:rsidP="002C2BB0">
                  <w:pPr>
                    <w:spacing w:after="0"/>
                    <w:ind w:left="34"/>
                    <w:rPr>
                      <w:color w:val="000000"/>
                      <w:sz w:val="20"/>
                      <w:szCs w:val="20"/>
                      <w:lang w:eastAsia="ja-JP"/>
                    </w:rPr>
                  </w:pPr>
                  <w:r w:rsidRPr="0098635C">
                    <w:rPr>
                      <w:color w:val="000000"/>
                      <w:sz w:val="20"/>
                      <w:szCs w:val="20"/>
                      <w:lang w:eastAsia="ja-JP"/>
                    </w:rPr>
                    <w:t>LC</w:t>
                  </w:r>
                  <w:r w:rsidRPr="0098635C">
                    <w:rPr>
                      <w:color w:val="000000"/>
                      <w:sz w:val="20"/>
                      <w:szCs w:val="20"/>
                      <w:vertAlign w:val="subscript"/>
                      <w:lang w:eastAsia="ja-JP"/>
                    </w:rPr>
                    <w:t>50</w:t>
                  </w:r>
                  <w:r w:rsidRPr="0098635C">
                    <w:rPr>
                      <w:color w:val="000000"/>
                      <w:sz w:val="20"/>
                      <w:szCs w:val="20"/>
                      <w:lang w:eastAsia="ja-JP"/>
                    </w:rPr>
                    <w:t>, rat (m/f) –  nose only</w:t>
                  </w:r>
                </w:p>
              </w:tc>
              <w:tc>
                <w:tcPr>
                  <w:tcW w:w="1204" w:type="pct"/>
                </w:tcPr>
                <w:p w14:paraId="276690E3" w14:textId="77777777" w:rsidR="002C2BB0" w:rsidRPr="0098635C" w:rsidRDefault="002C2BB0" w:rsidP="002C2BB0">
                  <w:pPr>
                    <w:spacing w:after="0"/>
                    <w:ind w:left="77"/>
                    <w:rPr>
                      <w:color w:val="FF0000"/>
                      <w:sz w:val="20"/>
                      <w:szCs w:val="20"/>
                      <w:lang w:eastAsia="ja-JP"/>
                    </w:rPr>
                  </w:pPr>
                  <w:r w:rsidRPr="0098635C">
                    <w:rPr>
                      <w:color w:val="000000"/>
                      <w:sz w:val="20"/>
                      <w:szCs w:val="20"/>
                      <w:lang w:eastAsia="ja-JP"/>
                    </w:rPr>
                    <w:t>Dicopper chloride trihydroxide</w:t>
                  </w:r>
                </w:p>
              </w:tc>
              <w:tc>
                <w:tcPr>
                  <w:tcW w:w="1393" w:type="pct"/>
                </w:tcPr>
                <w:p w14:paraId="24D125FD" w14:textId="77777777" w:rsidR="002C2BB0" w:rsidRPr="0098635C" w:rsidRDefault="002C2BB0" w:rsidP="002C2BB0">
                  <w:pPr>
                    <w:spacing w:after="0"/>
                    <w:ind w:left="39"/>
                    <w:rPr>
                      <w:color w:val="000000"/>
                      <w:sz w:val="20"/>
                      <w:szCs w:val="20"/>
                      <w:lang w:eastAsia="ja-JP"/>
                    </w:rPr>
                  </w:pPr>
                </w:p>
              </w:tc>
              <w:tc>
                <w:tcPr>
                  <w:tcW w:w="1122" w:type="pct"/>
                  <w:shd w:val="clear" w:color="auto" w:fill="auto"/>
                </w:tcPr>
                <w:p w14:paraId="06AB265E"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&gt;11.4 mg/L air (m/f)</w:t>
                  </w:r>
                </w:p>
              </w:tc>
            </w:tr>
            <w:tr w:rsidR="002C2BB0" w:rsidRPr="0098635C" w14:paraId="08E3619F" w14:textId="77777777" w:rsidTr="002C2BB0">
              <w:tc>
                <w:tcPr>
                  <w:tcW w:w="1281" w:type="pct"/>
                </w:tcPr>
                <w:p w14:paraId="5EA34C9D" w14:textId="77777777" w:rsidR="002C2BB0" w:rsidRPr="0098635C" w:rsidRDefault="002C2BB0" w:rsidP="002C2BB0">
                  <w:pPr>
                    <w:spacing w:after="0"/>
                    <w:ind w:left="34"/>
                    <w:rPr>
                      <w:i/>
                      <w:color w:val="000000"/>
                      <w:sz w:val="20"/>
                      <w:szCs w:val="20"/>
                      <w:lang w:eastAsia="ja-JP"/>
                    </w:rPr>
                  </w:pPr>
                  <w:r w:rsidRPr="0098635C">
                    <w:rPr>
                      <w:i/>
                      <w:color w:val="000000"/>
                      <w:sz w:val="20"/>
                      <w:szCs w:val="20"/>
                      <w:lang w:eastAsia="ja-JP"/>
                    </w:rPr>
                    <w:t>Inhalation (OECD 403)</w:t>
                  </w:r>
                </w:p>
              </w:tc>
              <w:tc>
                <w:tcPr>
                  <w:tcW w:w="1204" w:type="pct"/>
                </w:tcPr>
                <w:p w14:paraId="39BF1C7F" w14:textId="77777777" w:rsidR="002C2BB0" w:rsidRPr="0098635C" w:rsidRDefault="002C2BB0" w:rsidP="002C2BB0">
                  <w:pPr>
                    <w:spacing w:after="0"/>
                    <w:ind w:left="77"/>
                    <w:rPr>
                      <w:color w:val="FF0000"/>
                      <w:sz w:val="20"/>
                      <w:szCs w:val="20"/>
                      <w:lang w:eastAsia="ja-JP"/>
                    </w:rPr>
                  </w:pPr>
                </w:p>
              </w:tc>
              <w:tc>
                <w:tcPr>
                  <w:tcW w:w="1393" w:type="pct"/>
                </w:tcPr>
                <w:p w14:paraId="73B4F878" w14:textId="77777777" w:rsidR="002C2BB0" w:rsidRPr="0098635C" w:rsidRDefault="002C2BB0" w:rsidP="002C2BB0">
                  <w:pPr>
                    <w:spacing w:after="0"/>
                    <w:ind w:left="39"/>
                    <w:rPr>
                      <w:color w:val="FF0000"/>
                      <w:sz w:val="20"/>
                      <w:szCs w:val="20"/>
                      <w:lang w:eastAsia="ja-JP"/>
                    </w:rPr>
                  </w:pPr>
                </w:p>
              </w:tc>
              <w:tc>
                <w:tcPr>
                  <w:tcW w:w="1122" w:type="pct"/>
                  <w:shd w:val="clear" w:color="auto" w:fill="auto"/>
                </w:tcPr>
                <w:p w14:paraId="00AD069D" w14:textId="77777777" w:rsidR="002C2BB0" w:rsidRPr="0098635C" w:rsidRDefault="002C2BB0" w:rsidP="002C2BB0">
                  <w:pPr>
                    <w:spacing w:after="0"/>
                    <w:ind w:left="39"/>
                    <w:rPr>
                      <w:color w:val="FF0000"/>
                      <w:sz w:val="20"/>
                      <w:szCs w:val="20"/>
                      <w:lang w:eastAsia="ja-JP"/>
                    </w:rPr>
                  </w:pPr>
                </w:p>
              </w:tc>
            </w:tr>
            <w:tr w:rsidR="002C2BB0" w:rsidRPr="0098635C" w14:paraId="252A5B50" w14:textId="77777777" w:rsidTr="002C2BB0">
              <w:tc>
                <w:tcPr>
                  <w:tcW w:w="1281" w:type="pct"/>
                </w:tcPr>
                <w:p w14:paraId="1624C72A" w14:textId="77777777" w:rsidR="002C2BB0" w:rsidRPr="0098635C" w:rsidRDefault="002C2BB0" w:rsidP="002C2BB0">
                  <w:pPr>
                    <w:spacing w:after="0"/>
                    <w:ind w:left="34"/>
                    <w:rPr>
                      <w:color w:val="000000"/>
                      <w:sz w:val="20"/>
                      <w:szCs w:val="20"/>
                      <w:lang w:eastAsia="ja-JP"/>
                    </w:rPr>
                  </w:pPr>
                  <w:r w:rsidRPr="0098635C">
                    <w:rPr>
                      <w:color w:val="000000"/>
                      <w:sz w:val="20"/>
                      <w:szCs w:val="20"/>
                      <w:lang w:eastAsia="ja-JP"/>
                    </w:rPr>
                    <w:t>LC</w:t>
                  </w:r>
                  <w:r w:rsidRPr="0098635C">
                    <w:rPr>
                      <w:color w:val="000000"/>
                      <w:sz w:val="20"/>
                      <w:szCs w:val="20"/>
                      <w:vertAlign w:val="subscript"/>
                      <w:lang w:eastAsia="ja-JP"/>
                    </w:rPr>
                    <w:t>50</w:t>
                  </w:r>
                  <w:r w:rsidRPr="0098635C">
                    <w:rPr>
                      <w:color w:val="000000"/>
                      <w:sz w:val="20"/>
                      <w:szCs w:val="20"/>
                      <w:lang w:eastAsia="ja-JP"/>
                    </w:rPr>
                    <w:t>, rat (m/f) – nose only</w:t>
                  </w:r>
                </w:p>
              </w:tc>
              <w:tc>
                <w:tcPr>
                  <w:tcW w:w="1204" w:type="pct"/>
                </w:tcPr>
                <w:p w14:paraId="1BF9504B" w14:textId="77777777" w:rsidR="002C2BB0" w:rsidRPr="0098635C" w:rsidRDefault="002C2BB0" w:rsidP="002C2BB0">
                  <w:pPr>
                    <w:spacing w:after="0"/>
                    <w:ind w:left="77"/>
                    <w:rPr>
                      <w:color w:val="FF0000"/>
                      <w:sz w:val="20"/>
                      <w:szCs w:val="20"/>
                      <w:lang w:eastAsia="ja-JP"/>
                    </w:rPr>
                  </w:pPr>
                  <w:r w:rsidRPr="0098635C">
                    <w:rPr>
                      <w:color w:val="000000"/>
                      <w:sz w:val="20"/>
                      <w:szCs w:val="20"/>
                      <w:lang w:eastAsia="ja-JP"/>
                    </w:rPr>
                    <w:t>Dicopper chloride trihydroxide</w:t>
                  </w:r>
                </w:p>
              </w:tc>
              <w:tc>
                <w:tcPr>
                  <w:tcW w:w="1393" w:type="pct"/>
                </w:tcPr>
                <w:p w14:paraId="468A07A7" w14:textId="77777777" w:rsidR="002C2BB0" w:rsidRPr="0098635C" w:rsidRDefault="002C2BB0" w:rsidP="002C2BB0">
                  <w:pPr>
                    <w:spacing w:after="0"/>
                    <w:ind w:left="39"/>
                    <w:rPr>
                      <w:color w:val="000000"/>
                      <w:sz w:val="20"/>
                      <w:szCs w:val="20"/>
                      <w:lang w:eastAsia="ja-JP"/>
                    </w:rPr>
                  </w:pPr>
                </w:p>
              </w:tc>
              <w:tc>
                <w:tcPr>
                  <w:tcW w:w="1122" w:type="pct"/>
                  <w:shd w:val="clear" w:color="auto" w:fill="auto"/>
                </w:tcPr>
                <w:p w14:paraId="38546EEB"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2.83 mg/L air (m)</w:t>
                  </w:r>
                </w:p>
                <w:p w14:paraId="1A2FF60E"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&gt; 2.77 mg/L air (f)</w:t>
                  </w:r>
                </w:p>
                <w:p w14:paraId="3CFF31E8"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4.74 mg/L air (m/f)</w:t>
                  </w:r>
                </w:p>
              </w:tc>
            </w:tr>
            <w:tr w:rsidR="002C2BB0" w:rsidRPr="0098635C" w14:paraId="295A5174" w14:textId="77777777" w:rsidTr="002C2BB0">
              <w:tc>
                <w:tcPr>
                  <w:tcW w:w="1281" w:type="pct"/>
                </w:tcPr>
                <w:p w14:paraId="64FDD138" w14:textId="77777777" w:rsidR="002C2BB0" w:rsidRPr="0098635C" w:rsidRDefault="002C2BB0" w:rsidP="002C2BB0">
                  <w:pPr>
                    <w:spacing w:after="0"/>
                    <w:ind w:left="34"/>
                    <w:rPr>
                      <w:color w:val="000000"/>
                      <w:sz w:val="20"/>
                      <w:szCs w:val="20"/>
                      <w:lang w:eastAsia="ja-JP"/>
                    </w:rPr>
                  </w:pPr>
                  <w:r w:rsidRPr="0098635C">
                    <w:rPr>
                      <w:color w:val="000000"/>
                      <w:sz w:val="20"/>
                      <w:szCs w:val="20"/>
                      <w:lang w:eastAsia="ja-JP"/>
                    </w:rPr>
                    <w:t>LC</w:t>
                  </w:r>
                  <w:r w:rsidRPr="0098635C">
                    <w:rPr>
                      <w:color w:val="000000"/>
                      <w:sz w:val="20"/>
                      <w:szCs w:val="20"/>
                      <w:vertAlign w:val="subscript"/>
                      <w:lang w:eastAsia="ja-JP"/>
                    </w:rPr>
                    <w:t>50</w:t>
                  </w:r>
                  <w:r w:rsidRPr="0098635C">
                    <w:rPr>
                      <w:color w:val="000000"/>
                      <w:sz w:val="20"/>
                      <w:szCs w:val="20"/>
                      <w:lang w:eastAsia="ja-JP"/>
                    </w:rPr>
                    <w:t xml:space="preserve">, rat (m/f) </w:t>
                  </w:r>
                </w:p>
              </w:tc>
              <w:tc>
                <w:tcPr>
                  <w:tcW w:w="1204" w:type="pct"/>
                </w:tcPr>
                <w:p w14:paraId="78504448" w14:textId="77777777" w:rsidR="002C2BB0" w:rsidRPr="0098635C" w:rsidRDefault="002C2BB0" w:rsidP="002C2BB0">
                  <w:pPr>
                    <w:spacing w:after="0"/>
                    <w:ind w:left="77"/>
                    <w:rPr>
                      <w:color w:val="FF0000"/>
                      <w:sz w:val="20"/>
                      <w:szCs w:val="20"/>
                      <w:lang w:eastAsia="ja-JP"/>
                    </w:rPr>
                  </w:pPr>
                  <w:r w:rsidRPr="0098635C">
                    <w:rPr>
                      <w:color w:val="000000"/>
                      <w:sz w:val="20"/>
                      <w:szCs w:val="20"/>
                      <w:lang w:eastAsia="ja-JP"/>
                    </w:rPr>
                    <w:t>Dicopper oxide</w:t>
                  </w:r>
                </w:p>
              </w:tc>
              <w:tc>
                <w:tcPr>
                  <w:tcW w:w="1393" w:type="pct"/>
                </w:tcPr>
                <w:p w14:paraId="3A58706C"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Lung abno</w:t>
                  </w:r>
                  <w:r w:rsidRPr="0098635C">
                    <w:rPr>
                      <w:color w:val="000000"/>
                      <w:sz w:val="20"/>
                      <w:szCs w:val="20"/>
                      <w:lang w:eastAsia="ja-JP"/>
                    </w:rPr>
                    <w:t>r</w:t>
                  </w:r>
                  <w:r w:rsidRPr="0098635C">
                    <w:rPr>
                      <w:color w:val="000000"/>
                      <w:sz w:val="20"/>
                      <w:szCs w:val="20"/>
                      <w:lang w:eastAsia="ja-JP"/>
                    </w:rPr>
                    <w:t>malities, wet fur, staining, hunched posture, piloere</w:t>
                  </w:r>
                  <w:r w:rsidRPr="0098635C">
                    <w:rPr>
                      <w:color w:val="000000"/>
                      <w:sz w:val="20"/>
                      <w:szCs w:val="20"/>
                      <w:lang w:eastAsia="ja-JP"/>
                    </w:rPr>
                    <w:t>c</w:t>
                  </w:r>
                  <w:r w:rsidRPr="0098635C">
                    <w:rPr>
                      <w:color w:val="000000"/>
                      <w:sz w:val="20"/>
                      <w:szCs w:val="20"/>
                      <w:lang w:eastAsia="ja-JP"/>
                    </w:rPr>
                    <w:t>tion, ptosis, altered respir</w:t>
                  </w:r>
                  <w:r w:rsidRPr="0098635C">
                    <w:rPr>
                      <w:color w:val="000000"/>
                      <w:sz w:val="20"/>
                      <w:szCs w:val="20"/>
                      <w:lang w:eastAsia="ja-JP"/>
                    </w:rPr>
                    <w:t>a</w:t>
                  </w:r>
                  <w:r w:rsidRPr="0098635C">
                    <w:rPr>
                      <w:color w:val="000000"/>
                      <w:sz w:val="20"/>
                      <w:szCs w:val="20"/>
                      <w:lang w:eastAsia="ja-JP"/>
                    </w:rPr>
                    <w:t>tion.</w:t>
                  </w:r>
                </w:p>
              </w:tc>
              <w:tc>
                <w:tcPr>
                  <w:tcW w:w="1122" w:type="pct"/>
                  <w:shd w:val="clear" w:color="auto" w:fill="auto"/>
                </w:tcPr>
                <w:p w14:paraId="6DDDB939"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2.92 mg/L air (m)</w:t>
                  </w:r>
                </w:p>
                <w:p w14:paraId="6E179F50"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3.69 mg/L air (f)</w:t>
                  </w:r>
                </w:p>
                <w:p w14:paraId="1B47B793"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3.34 mg/L air (m/f)</w:t>
                  </w:r>
                </w:p>
              </w:tc>
            </w:tr>
            <w:tr w:rsidR="002C2BB0" w:rsidRPr="0098635C" w14:paraId="385F3FE0" w14:textId="77777777" w:rsidTr="002C2BB0">
              <w:tc>
                <w:tcPr>
                  <w:tcW w:w="1281" w:type="pct"/>
                </w:tcPr>
                <w:p w14:paraId="08F39AD2" w14:textId="77777777" w:rsidR="002C2BB0" w:rsidRPr="0098635C" w:rsidRDefault="002C2BB0" w:rsidP="002C2BB0">
                  <w:pPr>
                    <w:spacing w:after="0"/>
                    <w:ind w:left="34"/>
                    <w:rPr>
                      <w:color w:val="000000"/>
                      <w:sz w:val="20"/>
                      <w:szCs w:val="20"/>
                      <w:lang w:eastAsia="ja-JP"/>
                    </w:rPr>
                  </w:pPr>
                  <w:r w:rsidRPr="0098635C">
                    <w:rPr>
                      <w:color w:val="000000"/>
                      <w:sz w:val="20"/>
                      <w:szCs w:val="20"/>
                      <w:lang w:eastAsia="ja-JP"/>
                    </w:rPr>
                    <w:t>LC</w:t>
                  </w:r>
                  <w:r w:rsidRPr="0098635C">
                    <w:rPr>
                      <w:color w:val="000000"/>
                      <w:sz w:val="20"/>
                      <w:szCs w:val="20"/>
                      <w:vertAlign w:val="subscript"/>
                      <w:lang w:eastAsia="ja-JP"/>
                    </w:rPr>
                    <w:t>50</w:t>
                  </w:r>
                  <w:r w:rsidRPr="0098635C">
                    <w:rPr>
                      <w:color w:val="000000"/>
                      <w:sz w:val="20"/>
                      <w:szCs w:val="20"/>
                      <w:lang w:eastAsia="ja-JP"/>
                    </w:rPr>
                    <w:t xml:space="preserve">, rat (m/f) </w:t>
                  </w:r>
                </w:p>
              </w:tc>
              <w:tc>
                <w:tcPr>
                  <w:tcW w:w="1204" w:type="pct"/>
                </w:tcPr>
                <w:p w14:paraId="04872F4D" w14:textId="77777777" w:rsidR="002C2BB0" w:rsidRPr="0098635C" w:rsidRDefault="002C2BB0" w:rsidP="002C2BB0">
                  <w:pPr>
                    <w:spacing w:after="0"/>
                    <w:ind w:left="77"/>
                    <w:rPr>
                      <w:color w:val="FF0000"/>
                      <w:sz w:val="20"/>
                      <w:szCs w:val="20"/>
                      <w:lang w:eastAsia="ja-JP"/>
                    </w:rPr>
                  </w:pPr>
                  <w:r w:rsidRPr="0098635C">
                    <w:rPr>
                      <w:color w:val="000000"/>
                      <w:sz w:val="20"/>
                      <w:szCs w:val="20"/>
                      <w:lang w:eastAsia="ja-JP"/>
                    </w:rPr>
                    <w:t>Dicopper oxide</w:t>
                  </w:r>
                </w:p>
              </w:tc>
              <w:tc>
                <w:tcPr>
                  <w:tcW w:w="1393" w:type="pct"/>
                </w:tcPr>
                <w:p w14:paraId="512E5B9D"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Respiratory depression, discolored lungs.</w:t>
                  </w:r>
                </w:p>
              </w:tc>
              <w:tc>
                <w:tcPr>
                  <w:tcW w:w="1122" w:type="pct"/>
                  <w:shd w:val="clear" w:color="auto" w:fill="auto"/>
                </w:tcPr>
                <w:p w14:paraId="7A7D6A2D"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5.36 mg/L air (m/f)</w:t>
                  </w:r>
                </w:p>
              </w:tc>
            </w:tr>
            <w:tr w:rsidR="002C2BB0" w:rsidRPr="0098635C" w14:paraId="2F7477FE" w14:textId="77777777" w:rsidTr="002C2BB0">
              <w:tc>
                <w:tcPr>
                  <w:tcW w:w="1281" w:type="pct"/>
                </w:tcPr>
                <w:p w14:paraId="39225436" w14:textId="77777777" w:rsidR="002C2BB0" w:rsidRPr="0098635C" w:rsidRDefault="002C2BB0" w:rsidP="002C2BB0">
                  <w:pPr>
                    <w:spacing w:after="0"/>
                    <w:ind w:left="34"/>
                    <w:rPr>
                      <w:color w:val="000000"/>
                      <w:sz w:val="20"/>
                      <w:szCs w:val="20"/>
                      <w:lang w:eastAsia="ja-JP"/>
                    </w:rPr>
                  </w:pPr>
                  <w:r w:rsidRPr="0098635C">
                    <w:rPr>
                      <w:color w:val="000000"/>
                      <w:sz w:val="20"/>
                      <w:szCs w:val="20"/>
                      <w:lang w:eastAsia="ja-JP"/>
                    </w:rPr>
                    <w:t>LC</w:t>
                  </w:r>
                  <w:r w:rsidRPr="0098635C">
                    <w:rPr>
                      <w:color w:val="000000"/>
                      <w:sz w:val="20"/>
                      <w:szCs w:val="20"/>
                      <w:vertAlign w:val="subscript"/>
                      <w:lang w:eastAsia="ja-JP"/>
                    </w:rPr>
                    <w:t>50</w:t>
                  </w:r>
                  <w:r w:rsidRPr="0098635C">
                    <w:rPr>
                      <w:color w:val="000000"/>
                      <w:sz w:val="20"/>
                      <w:szCs w:val="20"/>
                      <w:lang w:eastAsia="ja-JP"/>
                    </w:rPr>
                    <w:t xml:space="preserve">, rat (m/f) </w:t>
                  </w:r>
                </w:p>
              </w:tc>
              <w:tc>
                <w:tcPr>
                  <w:tcW w:w="1204" w:type="pct"/>
                </w:tcPr>
                <w:p w14:paraId="75055B4E" w14:textId="77777777" w:rsidR="002C2BB0" w:rsidRPr="0098635C" w:rsidRDefault="002C2BB0" w:rsidP="002C2BB0">
                  <w:pPr>
                    <w:spacing w:after="0"/>
                    <w:ind w:left="77"/>
                    <w:rPr>
                      <w:color w:val="FF0000"/>
                      <w:sz w:val="20"/>
                      <w:szCs w:val="20"/>
                      <w:lang w:eastAsia="ja-JP"/>
                    </w:rPr>
                  </w:pPr>
                  <w:r w:rsidRPr="0098635C">
                    <w:rPr>
                      <w:color w:val="000000"/>
                      <w:sz w:val="20"/>
                      <w:szCs w:val="20"/>
                      <w:lang w:eastAsia="ja-JP"/>
                    </w:rPr>
                    <w:t>Dicopper oxide</w:t>
                  </w:r>
                </w:p>
              </w:tc>
              <w:tc>
                <w:tcPr>
                  <w:tcW w:w="1393" w:type="pct"/>
                </w:tcPr>
                <w:p w14:paraId="698CA84F"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Apathy, sedation, diff</w:t>
                  </w:r>
                  <w:r w:rsidRPr="0098635C">
                    <w:rPr>
                      <w:color w:val="000000"/>
                      <w:sz w:val="20"/>
                      <w:szCs w:val="20"/>
                      <w:lang w:eastAsia="ja-JP"/>
                    </w:rPr>
                    <w:t>i</w:t>
                  </w:r>
                  <w:r w:rsidRPr="0098635C">
                    <w:rPr>
                      <w:color w:val="000000"/>
                      <w:sz w:val="20"/>
                      <w:szCs w:val="20"/>
                      <w:lang w:eastAsia="ja-JP"/>
                    </w:rPr>
                    <w:t>cult respiration, squat position, reduced refl</w:t>
                  </w:r>
                  <w:r w:rsidRPr="0098635C">
                    <w:rPr>
                      <w:color w:val="000000"/>
                      <w:sz w:val="20"/>
                      <w:szCs w:val="20"/>
                      <w:lang w:eastAsia="ja-JP"/>
                    </w:rPr>
                    <w:t>e</w:t>
                  </w:r>
                  <w:r w:rsidRPr="0098635C">
                    <w:rPr>
                      <w:color w:val="000000"/>
                      <w:sz w:val="20"/>
                      <w:szCs w:val="20"/>
                      <w:lang w:eastAsia="ja-JP"/>
                    </w:rPr>
                    <w:t>xes, tremors, disturbed coord</w:t>
                  </w:r>
                  <w:r w:rsidRPr="0098635C">
                    <w:rPr>
                      <w:color w:val="000000"/>
                      <w:sz w:val="20"/>
                      <w:szCs w:val="20"/>
                      <w:lang w:eastAsia="ja-JP"/>
                    </w:rPr>
                    <w:t>i</w:t>
                  </w:r>
                  <w:r w:rsidRPr="0098635C">
                    <w:rPr>
                      <w:color w:val="000000"/>
                      <w:sz w:val="20"/>
                      <w:szCs w:val="20"/>
                      <w:lang w:eastAsia="ja-JP"/>
                    </w:rPr>
                    <w:t>nation.</w:t>
                  </w:r>
                </w:p>
              </w:tc>
              <w:tc>
                <w:tcPr>
                  <w:tcW w:w="1122" w:type="pct"/>
                  <w:shd w:val="clear" w:color="auto" w:fill="auto"/>
                </w:tcPr>
                <w:p w14:paraId="5421CAF8"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&gt; 30 mg/L air (m/f)</w:t>
                  </w:r>
                </w:p>
              </w:tc>
            </w:tr>
            <w:tr w:rsidR="002C2BB0" w:rsidRPr="0098635C" w14:paraId="66B0D3B7" w14:textId="77777777" w:rsidTr="002C2BB0">
              <w:tc>
                <w:tcPr>
                  <w:tcW w:w="1281" w:type="pct"/>
                </w:tcPr>
                <w:p w14:paraId="222C1455" w14:textId="77777777" w:rsidR="002C2BB0" w:rsidRPr="0098635C" w:rsidRDefault="002C2BB0" w:rsidP="002C2BB0">
                  <w:pPr>
                    <w:spacing w:after="0"/>
                    <w:ind w:left="34"/>
                    <w:rPr>
                      <w:color w:val="000000"/>
                      <w:sz w:val="20"/>
                      <w:szCs w:val="20"/>
                      <w:lang w:eastAsia="ja-JP"/>
                    </w:rPr>
                  </w:pPr>
                  <w:r w:rsidRPr="0098635C">
                    <w:rPr>
                      <w:color w:val="000000"/>
                      <w:sz w:val="20"/>
                      <w:szCs w:val="20"/>
                      <w:lang w:eastAsia="ja-JP"/>
                    </w:rPr>
                    <w:t>LC</w:t>
                  </w:r>
                  <w:r w:rsidRPr="0098635C">
                    <w:rPr>
                      <w:color w:val="000000"/>
                      <w:sz w:val="20"/>
                      <w:szCs w:val="20"/>
                      <w:vertAlign w:val="subscript"/>
                      <w:lang w:eastAsia="ja-JP"/>
                    </w:rPr>
                    <w:t>50</w:t>
                  </w:r>
                  <w:r w:rsidRPr="0098635C">
                    <w:rPr>
                      <w:color w:val="000000"/>
                      <w:sz w:val="20"/>
                      <w:szCs w:val="20"/>
                      <w:lang w:eastAsia="ja-JP"/>
                    </w:rPr>
                    <w:t xml:space="preserve">, rat (m/f) </w:t>
                  </w:r>
                </w:p>
              </w:tc>
              <w:tc>
                <w:tcPr>
                  <w:tcW w:w="1204" w:type="pct"/>
                </w:tcPr>
                <w:p w14:paraId="1014B82E" w14:textId="77777777" w:rsidR="002C2BB0" w:rsidRPr="0098635C" w:rsidRDefault="002C2BB0" w:rsidP="002C2BB0">
                  <w:pPr>
                    <w:spacing w:after="0"/>
                    <w:ind w:left="77"/>
                    <w:rPr>
                      <w:color w:val="FF0000"/>
                      <w:sz w:val="20"/>
                      <w:szCs w:val="20"/>
                      <w:lang w:eastAsia="ja-JP"/>
                    </w:rPr>
                  </w:pPr>
                  <w:r w:rsidRPr="0098635C">
                    <w:rPr>
                      <w:color w:val="000000"/>
                      <w:sz w:val="20"/>
                      <w:szCs w:val="20"/>
                      <w:lang w:eastAsia="ja-JP"/>
                    </w:rPr>
                    <w:t>Dicopper oxide</w:t>
                  </w:r>
                </w:p>
              </w:tc>
              <w:tc>
                <w:tcPr>
                  <w:tcW w:w="1393" w:type="pct"/>
                </w:tcPr>
                <w:p w14:paraId="05EA7224" w14:textId="77777777" w:rsidR="002C2BB0" w:rsidRPr="0098635C" w:rsidRDefault="002C2BB0" w:rsidP="002C2BB0">
                  <w:pPr>
                    <w:spacing w:after="0"/>
                    <w:ind w:left="39"/>
                    <w:rPr>
                      <w:color w:val="000000"/>
                      <w:sz w:val="20"/>
                      <w:szCs w:val="20"/>
                      <w:lang w:eastAsia="ja-JP"/>
                    </w:rPr>
                  </w:pPr>
                </w:p>
              </w:tc>
              <w:tc>
                <w:tcPr>
                  <w:tcW w:w="1122" w:type="pct"/>
                  <w:shd w:val="clear" w:color="auto" w:fill="auto"/>
                </w:tcPr>
                <w:p w14:paraId="0E296FC0"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&gt; 5 mg/L air (m/f)</w:t>
                  </w:r>
                </w:p>
              </w:tc>
            </w:tr>
            <w:tr w:rsidR="002C2BB0" w:rsidRPr="0098635C" w14:paraId="1661C159" w14:textId="77777777" w:rsidTr="002C2BB0">
              <w:tc>
                <w:tcPr>
                  <w:tcW w:w="1281" w:type="pct"/>
                </w:tcPr>
                <w:p w14:paraId="28B711D0" w14:textId="77777777" w:rsidR="002C2BB0" w:rsidRPr="0098635C" w:rsidRDefault="002C2BB0" w:rsidP="002C2BB0">
                  <w:pPr>
                    <w:spacing w:after="0"/>
                    <w:ind w:left="34"/>
                    <w:rPr>
                      <w:color w:val="000000"/>
                      <w:sz w:val="20"/>
                      <w:szCs w:val="20"/>
                      <w:lang w:eastAsia="ja-JP"/>
                    </w:rPr>
                  </w:pPr>
                  <w:r w:rsidRPr="0098635C">
                    <w:rPr>
                      <w:color w:val="000000"/>
                      <w:sz w:val="20"/>
                      <w:szCs w:val="20"/>
                      <w:lang w:eastAsia="ja-JP"/>
                    </w:rPr>
                    <w:t>LC</w:t>
                  </w:r>
                  <w:r w:rsidRPr="0098635C">
                    <w:rPr>
                      <w:color w:val="000000"/>
                      <w:sz w:val="20"/>
                      <w:szCs w:val="20"/>
                      <w:vertAlign w:val="subscript"/>
                      <w:lang w:eastAsia="ja-JP"/>
                    </w:rPr>
                    <w:t>50</w:t>
                  </w:r>
                  <w:r w:rsidRPr="0098635C">
                    <w:rPr>
                      <w:color w:val="000000"/>
                      <w:sz w:val="20"/>
                      <w:szCs w:val="20"/>
                      <w:lang w:eastAsia="ja-JP"/>
                    </w:rPr>
                    <w:t xml:space="preserve">, rat (m/f) </w:t>
                  </w:r>
                </w:p>
              </w:tc>
              <w:tc>
                <w:tcPr>
                  <w:tcW w:w="1204" w:type="pct"/>
                </w:tcPr>
                <w:p w14:paraId="1233157B" w14:textId="77777777" w:rsidR="002C2BB0" w:rsidRPr="0098635C" w:rsidRDefault="002C2BB0" w:rsidP="002C2BB0">
                  <w:pPr>
                    <w:spacing w:after="0"/>
                    <w:ind w:left="77"/>
                    <w:rPr>
                      <w:color w:val="FF0000"/>
                      <w:sz w:val="20"/>
                      <w:szCs w:val="20"/>
                      <w:lang w:eastAsia="ja-JP"/>
                    </w:rPr>
                  </w:pPr>
                  <w:r w:rsidRPr="0098635C">
                    <w:rPr>
                      <w:color w:val="000000"/>
                      <w:sz w:val="20"/>
                      <w:szCs w:val="20"/>
                      <w:lang w:eastAsia="ja-JP"/>
                    </w:rPr>
                    <w:t>Dicopper oxide</w:t>
                  </w:r>
                </w:p>
              </w:tc>
              <w:tc>
                <w:tcPr>
                  <w:tcW w:w="1393" w:type="pct"/>
                </w:tcPr>
                <w:p w14:paraId="4CCBDD02"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Respiratory reduction, e</w:t>
                  </w:r>
                  <w:r w:rsidRPr="0098635C">
                    <w:rPr>
                      <w:color w:val="000000"/>
                      <w:sz w:val="20"/>
                      <w:szCs w:val="20"/>
                      <w:lang w:eastAsia="ja-JP"/>
                    </w:rPr>
                    <w:t>n</w:t>
                  </w:r>
                  <w:r w:rsidRPr="0098635C">
                    <w:rPr>
                      <w:color w:val="000000"/>
                      <w:sz w:val="20"/>
                      <w:szCs w:val="20"/>
                      <w:lang w:eastAsia="ja-JP"/>
                    </w:rPr>
                    <w:t>larged lungs, subdued, hunched posture, p</w:t>
                  </w:r>
                  <w:r w:rsidRPr="0098635C">
                    <w:rPr>
                      <w:color w:val="000000"/>
                      <w:sz w:val="20"/>
                      <w:szCs w:val="20"/>
                      <w:lang w:eastAsia="ja-JP"/>
                    </w:rPr>
                    <w:t>i</w:t>
                  </w:r>
                  <w:r w:rsidRPr="0098635C">
                    <w:rPr>
                      <w:color w:val="000000"/>
                      <w:sz w:val="20"/>
                      <w:szCs w:val="20"/>
                      <w:lang w:eastAsia="ja-JP"/>
                    </w:rPr>
                    <w:t>loerection, hyp</w:t>
                  </w:r>
                  <w:r w:rsidRPr="0098635C">
                    <w:rPr>
                      <w:color w:val="000000"/>
                      <w:sz w:val="20"/>
                      <w:szCs w:val="20"/>
                      <w:lang w:eastAsia="ja-JP"/>
                    </w:rPr>
                    <w:t>o</w:t>
                  </w:r>
                  <w:r w:rsidRPr="0098635C">
                    <w:rPr>
                      <w:color w:val="000000"/>
                      <w:sz w:val="20"/>
                      <w:szCs w:val="20"/>
                      <w:lang w:eastAsia="ja-JP"/>
                    </w:rPr>
                    <w:t>thermia, ata</w:t>
                  </w:r>
                  <w:r w:rsidRPr="0098635C">
                    <w:rPr>
                      <w:color w:val="000000"/>
                      <w:sz w:val="20"/>
                      <w:szCs w:val="20"/>
                      <w:lang w:eastAsia="ja-JP"/>
                    </w:rPr>
                    <w:t>x</w:t>
                  </w:r>
                  <w:r w:rsidRPr="0098635C">
                    <w:rPr>
                      <w:color w:val="000000"/>
                      <w:sz w:val="20"/>
                      <w:szCs w:val="20"/>
                      <w:lang w:eastAsia="ja-JP"/>
                    </w:rPr>
                    <w:t>ia, staining of the fur, discolor</w:t>
                  </w:r>
                  <w:r w:rsidRPr="0098635C">
                    <w:rPr>
                      <w:color w:val="000000"/>
                      <w:sz w:val="20"/>
                      <w:szCs w:val="20"/>
                      <w:lang w:eastAsia="ja-JP"/>
                    </w:rPr>
                    <w:t>a</w:t>
                  </w:r>
                  <w:r w:rsidRPr="0098635C">
                    <w:rPr>
                      <w:color w:val="000000"/>
                      <w:sz w:val="20"/>
                      <w:szCs w:val="20"/>
                      <w:lang w:eastAsia="ja-JP"/>
                    </w:rPr>
                    <w:t>tion peri-anal region, slightly emacia</w:t>
                  </w:r>
                  <w:r w:rsidRPr="0098635C">
                    <w:rPr>
                      <w:color w:val="000000"/>
                      <w:sz w:val="20"/>
                      <w:szCs w:val="20"/>
                      <w:lang w:eastAsia="ja-JP"/>
                    </w:rPr>
                    <w:t>t</w:t>
                  </w:r>
                  <w:r w:rsidRPr="0098635C">
                    <w:rPr>
                      <w:color w:val="000000"/>
                      <w:sz w:val="20"/>
                      <w:szCs w:val="20"/>
                      <w:lang w:eastAsia="ja-JP"/>
                    </w:rPr>
                    <w:t xml:space="preserve">ed and unkempt condition. reduced weight gain. </w:t>
                  </w:r>
                </w:p>
              </w:tc>
              <w:tc>
                <w:tcPr>
                  <w:tcW w:w="1122" w:type="pct"/>
                  <w:shd w:val="clear" w:color="auto" w:fill="auto"/>
                </w:tcPr>
                <w:p w14:paraId="43EA80F3"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ca. 5 mg/L air (m/f)</w:t>
                  </w:r>
                </w:p>
              </w:tc>
            </w:tr>
            <w:tr w:rsidR="002C2BB0" w:rsidRPr="0098635C" w14:paraId="5580E13D" w14:textId="77777777" w:rsidTr="002C2BB0">
              <w:tc>
                <w:tcPr>
                  <w:tcW w:w="1281" w:type="pct"/>
                </w:tcPr>
                <w:p w14:paraId="3F43295B" w14:textId="77777777" w:rsidR="002C2BB0" w:rsidRPr="0098635C" w:rsidRDefault="002C2BB0" w:rsidP="002C2BB0">
                  <w:pPr>
                    <w:spacing w:after="0"/>
                    <w:ind w:left="34"/>
                    <w:rPr>
                      <w:i/>
                      <w:color w:val="000000"/>
                      <w:sz w:val="20"/>
                      <w:szCs w:val="20"/>
                      <w:lang w:eastAsia="ja-JP"/>
                    </w:rPr>
                  </w:pPr>
                  <w:r w:rsidRPr="0098635C">
                    <w:rPr>
                      <w:i/>
                      <w:color w:val="000000"/>
                      <w:sz w:val="20"/>
                      <w:szCs w:val="20"/>
                      <w:lang w:eastAsia="ja-JP"/>
                    </w:rPr>
                    <w:t>Inhalation (OECD 436)</w:t>
                  </w:r>
                </w:p>
              </w:tc>
              <w:tc>
                <w:tcPr>
                  <w:tcW w:w="1204" w:type="pct"/>
                </w:tcPr>
                <w:p w14:paraId="0E96607A" w14:textId="77777777" w:rsidR="002C2BB0" w:rsidRPr="0098635C" w:rsidRDefault="002C2BB0" w:rsidP="002C2BB0">
                  <w:pPr>
                    <w:spacing w:after="0"/>
                    <w:ind w:left="77"/>
                    <w:rPr>
                      <w:color w:val="FF0000"/>
                      <w:sz w:val="20"/>
                      <w:szCs w:val="20"/>
                      <w:lang w:eastAsia="ja-JP"/>
                    </w:rPr>
                  </w:pPr>
                </w:p>
              </w:tc>
              <w:tc>
                <w:tcPr>
                  <w:tcW w:w="1393" w:type="pct"/>
                </w:tcPr>
                <w:p w14:paraId="39FFE8AF" w14:textId="77777777" w:rsidR="002C2BB0" w:rsidRPr="0098635C" w:rsidRDefault="002C2BB0" w:rsidP="002C2BB0">
                  <w:pPr>
                    <w:spacing w:after="0"/>
                    <w:ind w:left="39"/>
                    <w:rPr>
                      <w:color w:val="FF0000"/>
                      <w:sz w:val="20"/>
                      <w:szCs w:val="20"/>
                      <w:lang w:eastAsia="ja-JP"/>
                    </w:rPr>
                  </w:pPr>
                </w:p>
              </w:tc>
              <w:tc>
                <w:tcPr>
                  <w:tcW w:w="1122" w:type="pct"/>
                  <w:shd w:val="clear" w:color="auto" w:fill="auto"/>
                </w:tcPr>
                <w:p w14:paraId="298E5C8A" w14:textId="77777777" w:rsidR="002C2BB0" w:rsidRPr="0098635C" w:rsidRDefault="002C2BB0" w:rsidP="002C2BB0">
                  <w:pPr>
                    <w:spacing w:after="0"/>
                    <w:ind w:left="39"/>
                    <w:rPr>
                      <w:color w:val="FF0000"/>
                      <w:sz w:val="20"/>
                      <w:szCs w:val="20"/>
                      <w:lang w:eastAsia="ja-JP"/>
                    </w:rPr>
                  </w:pPr>
                </w:p>
              </w:tc>
            </w:tr>
            <w:tr w:rsidR="002C2BB0" w:rsidRPr="0098635C" w14:paraId="114957EB" w14:textId="77777777" w:rsidTr="002C2BB0">
              <w:tc>
                <w:tcPr>
                  <w:tcW w:w="1281" w:type="pct"/>
                </w:tcPr>
                <w:p w14:paraId="4C4DC976" w14:textId="77777777" w:rsidR="002C2BB0" w:rsidRPr="0098635C" w:rsidRDefault="002C2BB0" w:rsidP="002C2BB0">
                  <w:pPr>
                    <w:spacing w:after="0"/>
                    <w:ind w:left="34"/>
                    <w:rPr>
                      <w:color w:val="000000"/>
                      <w:sz w:val="20"/>
                      <w:szCs w:val="20"/>
                      <w:lang w:eastAsia="ja-JP"/>
                    </w:rPr>
                  </w:pPr>
                  <w:r w:rsidRPr="0098635C">
                    <w:rPr>
                      <w:color w:val="000000"/>
                      <w:sz w:val="20"/>
                      <w:szCs w:val="20"/>
                      <w:lang w:eastAsia="ja-JP"/>
                    </w:rPr>
                    <w:lastRenderedPageBreak/>
                    <w:t>LC</w:t>
                  </w:r>
                  <w:r w:rsidRPr="0098635C">
                    <w:rPr>
                      <w:color w:val="000000"/>
                      <w:sz w:val="20"/>
                      <w:szCs w:val="20"/>
                      <w:vertAlign w:val="subscript"/>
                      <w:lang w:eastAsia="ja-JP"/>
                    </w:rPr>
                    <w:t>50</w:t>
                  </w:r>
                  <w:r w:rsidRPr="0098635C">
                    <w:rPr>
                      <w:color w:val="000000"/>
                      <w:sz w:val="20"/>
                      <w:szCs w:val="20"/>
                      <w:lang w:eastAsia="ja-JP"/>
                    </w:rPr>
                    <w:t>, rat (m/f)</w:t>
                  </w:r>
                </w:p>
              </w:tc>
              <w:tc>
                <w:tcPr>
                  <w:tcW w:w="1204" w:type="pct"/>
                </w:tcPr>
                <w:p w14:paraId="5F3687B6" w14:textId="77777777" w:rsidR="002C2BB0" w:rsidRPr="0098635C" w:rsidRDefault="002C2BB0" w:rsidP="002C2BB0">
                  <w:pPr>
                    <w:spacing w:after="0"/>
                    <w:ind w:left="77"/>
                    <w:rPr>
                      <w:color w:val="FF0000"/>
                      <w:sz w:val="20"/>
                      <w:szCs w:val="20"/>
                      <w:lang w:eastAsia="ja-JP"/>
                    </w:rPr>
                  </w:pPr>
                  <w:r w:rsidRPr="0098635C">
                    <w:rPr>
                      <w:color w:val="000000"/>
                      <w:sz w:val="20"/>
                      <w:szCs w:val="20"/>
                      <w:lang w:eastAsia="ja-JP"/>
                    </w:rPr>
                    <w:t>Coated copper flakes</w:t>
                  </w:r>
                </w:p>
              </w:tc>
              <w:tc>
                <w:tcPr>
                  <w:tcW w:w="1393" w:type="pct"/>
                </w:tcPr>
                <w:p w14:paraId="4A0134C6" w14:textId="77777777" w:rsidR="002C2BB0" w:rsidRPr="0098635C" w:rsidRDefault="002C2BB0" w:rsidP="002C2BB0">
                  <w:pPr>
                    <w:spacing w:after="0"/>
                    <w:ind w:left="39"/>
                    <w:rPr>
                      <w:sz w:val="20"/>
                      <w:szCs w:val="20"/>
                    </w:rPr>
                  </w:pPr>
                  <w:r w:rsidRPr="0098635C">
                    <w:rPr>
                      <w:sz w:val="20"/>
                      <w:szCs w:val="20"/>
                    </w:rPr>
                    <w:t>Ataxia, tremor, dyspnoe, reduced motility, r</w:t>
                  </w:r>
                  <w:r w:rsidRPr="0098635C">
                    <w:rPr>
                      <w:sz w:val="20"/>
                      <w:szCs w:val="20"/>
                    </w:rPr>
                    <w:t>e</w:t>
                  </w:r>
                  <w:r w:rsidRPr="0098635C">
                    <w:rPr>
                      <w:sz w:val="20"/>
                      <w:szCs w:val="20"/>
                    </w:rPr>
                    <w:t>duced body weight gain. Grey-stained discolored lungs.</w:t>
                  </w:r>
                </w:p>
              </w:tc>
              <w:tc>
                <w:tcPr>
                  <w:tcW w:w="1122" w:type="pct"/>
                  <w:shd w:val="clear" w:color="auto" w:fill="auto"/>
                </w:tcPr>
                <w:p w14:paraId="2B5259BC" w14:textId="77777777" w:rsidR="002C2BB0" w:rsidRPr="0098635C" w:rsidRDefault="002C2BB0" w:rsidP="002C2BB0">
                  <w:pPr>
                    <w:spacing w:after="0"/>
                    <w:ind w:left="39"/>
                    <w:rPr>
                      <w:sz w:val="20"/>
                      <w:szCs w:val="20"/>
                    </w:rPr>
                  </w:pPr>
                  <w:r w:rsidRPr="0098635C">
                    <w:rPr>
                      <w:sz w:val="20"/>
                      <w:szCs w:val="20"/>
                    </w:rPr>
                    <w:t>&gt; 5.11 mg/L air (nose only-dry aer</w:t>
                  </w:r>
                  <w:r w:rsidRPr="0098635C">
                    <w:rPr>
                      <w:sz w:val="20"/>
                      <w:szCs w:val="20"/>
                    </w:rPr>
                    <w:t>o</w:t>
                  </w:r>
                  <w:r w:rsidRPr="0098635C">
                    <w:rPr>
                      <w:sz w:val="20"/>
                      <w:szCs w:val="20"/>
                    </w:rPr>
                    <w:t>sol)</w:t>
                  </w:r>
                </w:p>
              </w:tc>
            </w:tr>
            <w:tr w:rsidR="002C2BB0" w:rsidRPr="0098635C" w14:paraId="06BC1807" w14:textId="77777777" w:rsidTr="002C2BB0">
              <w:tc>
                <w:tcPr>
                  <w:tcW w:w="1281" w:type="pct"/>
                </w:tcPr>
                <w:p w14:paraId="45BE84F3" w14:textId="77777777" w:rsidR="002C2BB0" w:rsidRPr="0098635C" w:rsidRDefault="002C2BB0" w:rsidP="002C2BB0">
                  <w:pPr>
                    <w:spacing w:after="0"/>
                    <w:ind w:left="34"/>
                    <w:rPr>
                      <w:color w:val="000000"/>
                      <w:sz w:val="20"/>
                      <w:szCs w:val="20"/>
                      <w:lang w:eastAsia="ja-JP"/>
                    </w:rPr>
                  </w:pPr>
                  <w:r w:rsidRPr="0098635C">
                    <w:rPr>
                      <w:color w:val="000000"/>
                      <w:sz w:val="20"/>
                      <w:szCs w:val="20"/>
                      <w:lang w:eastAsia="ja-JP"/>
                    </w:rPr>
                    <w:t>LC</w:t>
                  </w:r>
                  <w:r w:rsidRPr="0098635C">
                    <w:rPr>
                      <w:color w:val="000000"/>
                      <w:sz w:val="20"/>
                      <w:szCs w:val="20"/>
                      <w:vertAlign w:val="subscript"/>
                      <w:lang w:eastAsia="ja-JP"/>
                    </w:rPr>
                    <w:t>50</w:t>
                  </w:r>
                  <w:r w:rsidRPr="0098635C">
                    <w:rPr>
                      <w:color w:val="000000"/>
                      <w:sz w:val="20"/>
                      <w:szCs w:val="20"/>
                      <w:lang w:eastAsia="ja-JP"/>
                    </w:rPr>
                    <w:t>, rat (m/f)</w:t>
                  </w:r>
                </w:p>
              </w:tc>
              <w:tc>
                <w:tcPr>
                  <w:tcW w:w="1204" w:type="pct"/>
                </w:tcPr>
                <w:p w14:paraId="38FF290E" w14:textId="77777777" w:rsidR="002C2BB0" w:rsidRPr="0098635C" w:rsidRDefault="002C2BB0" w:rsidP="002C2BB0">
                  <w:pPr>
                    <w:spacing w:after="0"/>
                    <w:ind w:left="77"/>
                    <w:rPr>
                      <w:color w:val="000000"/>
                      <w:sz w:val="20"/>
                      <w:szCs w:val="20"/>
                      <w:lang w:eastAsia="ja-JP"/>
                    </w:rPr>
                  </w:pPr>
                  <w:r w:rsidRPr="0098635C">
                    <w:rPr>
                      <w:color w:val="000000"/>
                      <w:sz w:val="20"/>
                      <w:szCs w:val="20"/>
                      <w:lang w:eastAsia="ja-JP"/>
                    </w:rPr>
                    <w:t>Coated copper flakes</w:t>
                  </w:r>
                </w:p>
              </w:tc>
              <w:tc>
                <w:tcPr>
                  <w:tcW w:w="1393" w:type="pct"/>
                </w:tcPr>
                <w:p w14:paraId="2FD6E291" w14:textId="77777777" w:rsidR="002C2BB0" w:rsidRPr="0098635C" w:rsidRDefault="002C2BB0" w:rsidP="002C2BB0">
                  <w:pPr>
                    <w:spacing w:after="0"/>
                    <w:ind w:left="39"/>
                    <w:rPr>
                      <w:sz w:val="20"/>
                      <w:szCs w:val="20"/>
                    </w:rPr>
                  </w:pPr>
                  <w:r w:rsidRPr="0098635C">
                    <w:rPr>
                      <w:sz w:val="20"/>
                      <w:szCs w:val="20"/>
                    </w:rPr>
                    <w:t>Decreased re</w:t>
                  </w:r>
                  <w:r w:rsidRPr="0098635C">
                    <w:rPr>
                      <w:sz w:val="20"/>
                      <w:szCs w:val="20"/>
                    </w:rPr>
                    <w:t>s</w:t>
                  </w:r>
                  <w:r w:rsidRPr="0098635C">
                    <w:rPr>
                      <w:sz w:val="20"/>
                      <w:szCs w:val="20"/>
                    </w:rPr>
                    <w:t>piratory rate, laboured respir</w:t>
                  </w:r>
                  <w:r w:rsidRPr="0098635C">
                    <w:rPr>
                      <w:sz w:val="20"/>
                      <w:szCs w:val="20"/>
                    </w:rPr>
                    <w:t>a</w:t>
                  </w:r>
                  <w:r w:rsidRPr="0098635C">
                    <w:rPr>
                      <w:sz w:val="20"/>
                      <w:szCs w:val="20"/>
                    </w:rPr>
                    <w:t>tion, noisy respiration, hunched po</w:t>
                  </w:r>
                  <w:r w:rsidRPr="0098635C">
                    <w:rPr>
                      <w:sz w:val="20"/>
                      <w:szCs w:val="20"/>
                    </w:rPr>
                    <w:t>s</w:t>
                  </w:r>
                  <w:r w:rsidRPr="0098635C">
                    <w:rPr>
                      <w:sz w:val="20"/>
                      <w:szCs w:val="20"/>
                    </w:rPr>
                    <w:t>ture, pilo-erection</w:t>
                  </w:r>
                </w:p>
              </w:tc>
              <w:tc>
                <w:tcPr>
                  <w:tcW w:w="1122" w:type="pct"/>
                  <w:shd w:val="clear" w:color="auto" w:fill="auto"/>
                </w:tcPr>
                <w:p w14:paraId="61BE9E67" w14:textId="77777777" w:rsidR="002C2BB0" w:rsidRPr="0098635C" w:rsidRDefault="002C2BB0" w:rsidP="002C2BB0">
                  <w:pPr>
                    <w:spacing w:after="0"/>
                    <w:ind w:left="39"/>
                    <w:rPr>
                      <w:sz w:val="20"/>
                      <w:szCs w:val="20"/>
                    </w:rPr>
                  </w:pPr>
                  <w:r w:rsidRPr="0098635C">
                    <w:rPr>
                      <w:sz w:val="20"/>
                      <w:szCs w:val="20"/>
                    </w:rPr>
                    <w:t>Males 0.733 mg/L</w:t>
                  </w:r>
                </w:p>
                <w:p w14:paraId="68CFCB6E" w14:textId="77777777" w:rsidR="002C2BB0" w:rsidRPr="0098635C" w:rsidRDefault="002C2BB0" w:rsidP="002C2BB0">
                  <w:pPr>
                    <w:spacing w:after="0"/>
                    <w:ind w:left="39"/>
                    <w:rPr>
                      <w:sz w:val="20"/>
                      <w:szCs w:val="20"/>
                    </w:rPr>
                  </w:pPr>
                  <w:r w:rsidRPr="0098635C">
                    <w:rPr>
                      <w:sz w:val="20"/>
                      <w:szCs w:val="20"/>
                    </w:rPr>
                    <w:t>Female 1.67 mg/L</w:t>
                  </w:r>
                </w:p>
              </w:tc>
            </w:tr>
            <w:tr w:rsidR="002C2BB0" w:rsidRPr="0098635C" w14:paraId="1244FFC5" w14:textId="77777777" w:rsidTr="002C2BB0">
              <w:tc>
                <w:tcPr>
                  <w:tcW w:w="1281" w:type="pct"/>
                </w:tcPr>
                <w:p w14:paraId="78F26895" w14:textId="77777777" w:rsidR="002C2BB0" w:rsidRPr="0098635C" w:rsidRDefault="002C2BB0" w:rsidP="002C2BB0">
                  <w:pPr>
                    <w:spacing w:after="0"/>
                    <w:ind w:left="34"/>
                    <w:rPr>
                      <w:i/>
                      <w:color w:val="000000"/>
                      <w:sz w:val="20"/>
                      <w:szCs w:val="20"/>
                      <w:lang w:eastAsia="ja-JP"/>
                    </w:rPr>
                  </w:pPr>
                  <w:r w:rsidRPr="0098635C">
                    <w:rPr>
                      <w:i/>
                      <w:color w:val="000000"/>
                      <w:sz w:val="20"/>
                      <w:szCs w:val="20"/>
                      <w:lang w:eastAsia="ja-JP"/>
                    </w:rPr>
                    <w:t>Dermal (OECD 402)</w:t>
                  </w:r>
                </w:p>
              </w:tc>
              <w:tc>
                <w:tcPr>
                  <w:tcW w:w="1204" w:type="pct"/>
                </w:tcPr>
                <w:p w14:paraId="06A30422" w14:textId="77777777" w:rsidR="002C2BB0" w:rsidRPr="0098635C" w:rsidRDefault="002C2BB0" w:rsidP="002C2BB0">
                  <w:pPr>
                    <w:spacing w:after="0"/>
                    <w:ind w:left="77"/>
                    <w:rPr>
                      <w:color w:val="FF0000"/>
                      <w:sz w:val="20"/>
                      <w:szCs w:val="20"/>
                      <w:lang w:eastAsia="ja-JP"/>
                    </w:rPr>
                  </w:pPr>
                </w:p>
              </w:tc>
              <w:tc>
                <w:tcPr>
                  <w:tcW w:w="1393" w:type="pct"/>
                </w:tcPr>
                <w:p w14:paraId="36E24453" w14:textId="77777777" w:rsidR="002C2BB0" w:rsidRPr="0098635C" w:rsidRDefault="002C2BB0" w:rsidP="002C2BB0">
                  <w:pPr>
                    <w:spacing w:after="0"/>
                    <w:ind w:left="39"/>
                    <w:rPr>
                      <w:color w:val="FF0000"/>
                      <w:sz w:val="20"/>
                      <w:szCs w:val="20"/>
                      <w:lang w:eastAsia="ja-JP"/>
                    </w:rPr>
                  </w:pPr>
                </w:p>
              </w:tc>
              <w:tc>
                <w:tcPr>
                  <w:tcW w:w="1122" w:type="pct"/>
                  <w:shd w:val="clear" w:color="auto" w:fill="auto"/>
                </w:tcPr>
                <w:p w14:paraId="2163F1EE" w14:textId="77777777" w:rsidR="002C2BB0" w:rsidRPr="0098635C" w:rsidRDefault="002C2BB0" w:rsidP="002C2BB0">
                  <w:pPr>
                    <w:spacing w:after="0"/>
                    <w:ind w:left="39"/>
                    <w:rPr>
                      <w:color w:val="FF0000"/>
                      <w:sz w:val="20"/>
                      <w:szCs w:val="20"/>
                      <w:lang w:eastAsia="ja-JP"/>
                    </w:rPr>
                  </w:pPr>
                </w:p>
              </w:tc>
            </w:tr>
            <w:tr w:rsidR="002C2BB0" w:rsidRPr="0098635C" w14:paraId="1024C714" w14:textId="77777777" w:rsidTr="002C2BB0">
              <w:tc>
                <w:tcPr>
                  <w:tcW w:w="1281" w:type="pct"/>
                </w:tcPr>
                <w:p w14:paraId="7C14E6E7" w14:textId="77777777" w:rsidR="002C2BB0" w:rsidRPr="0098635C" w:rsidRDefault="002C2BB0" w:rsidP="002C2BB0">
                  <w:pPr>
                    <w:spacing w:after="0"/>
                    <w:ind w:left="34"/>
                    <w:rPr>
                      <w:color w:val="000000"/>
                      <w:sz w:val="20"/>
                      <w:szCs w:val="20"/>
                      <w:lang w:eastAsia="ja-JP"/>
                    </w:rPr>
                  </w:pPr>
                  <w:r w:rsidRPr="0098635C">
                    <w:rPr>
                      <w:color w:val="000000"/>
                      <w:sz w:val="20"/>
                      <w:szCs w:val="20"/>
                      <w:lang w:eastAsia="ja-JP"/>
                    </w:rPr>
                    <w:t>LD</w:t>
                  </w:r>
                  <w:r w:rsidRPr="0098635C">
                    <w:rPr>
                      <w:color w:val="000000"/>
                      <w:sz w:val="20"/>
                      <w:szCs w:val="20"/>
                      <w:vertAlign w:val="subscript"/>
                      <w:lang w:eastAsia="ja-JP"/>
                    </w:rPr>
                    <w:t>50</w:t>
                  </w:r>
                  <w:r w:rsidRPr="0098635C">
                    <w:rPr>
                      <w:color w:val="000000"/>
                      <w:sz w:val="20"/>
                      <w:szCs w:val="20"/>
                      <w:lang w:eastAsia="ja-JP"/>
                    </w:rPr>
                    <w:t>, dermal, rat (m/f)</w:t>
                  </w:r>
                </w:p>
              </w:tc>
              <w:tc>
                <w:tcPr>
                  <w:tcW w:w="1204" w:type="pct"/>
                </w:tcPr>
                <w:p w14:paraId="48EB30EA" w14:textId="77777777" w:rsidR="002C2BB0" w:rsidRPr="0098635C" w:rsidRDefault="002C2BB0" w:rsidP="002C2BB0">
                  <w:pPr>
                    <w:spacing w:after="0"/>
                    <w:ind w:left="77"/>
                    <w:rPr>
                      <w:color w:val="FF0000"/>
                      <w:sz w:val="20"/>
                      <w:szCs w:val="20"/>
                      <w:lang w:eastAsia="ja-JP"/>
                    </w:rPr>
                  </w:pPr>
                  <w:r w:rsidRPr="0098635C">
                    <w:rPr>
                      <w:color w:val="000000"/>
                      <w:sz w:val="20"/>
                      <w:szCs w:val="20"/>
                      <w:lang w:eastAsia="ja-JP"/>
                    </w:rPr>
                    <w:t>Coated copper flakes</w:t>
                  </w:r>
                </w:p>
              </w:tc>
              <w:tc>
                <w:tcPr>
                  <w:tcW w:w="1393" w:type="pct"/>
                </w:tcPr>
                <w:p w14:paraId="01C06ABC" w14:textId="77777777" w:rsidR="002C2BB0" w:rsidRPr="0098635C" w:rsidRDefault="002C2BB0" w:rsidP="002C2BB0">
                  <w:pPr>
                    <w:spacing w:after="0"/>
                    <w:ind w:left="39"/>
                    <w:rPr>
                      <w:color w:val="000000"/>
                      <w:sz w:val="20"/>
                      <w:szCs w:val="20"/>
                      <w:lang w:eastAsia="ja-JP"/>
                    </w:rPr>
                  </w:pPr>
                </w:p>
              </w:tc>
              <w:tc>
                <w:tcPr>
                  <w:tcW w:w="1122" w:type="pct"/>
                  <w:shd w:val="clear" w:color="auto" w:fill="auto"/>
                </w:tcPr>
                <w:p w14:paraId="4DCB6D16"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&gt; 2,000 mg/kg bw</w:t>
                  </w:r>
                </w:p>
              </w:tc>
            </w:tr>
            <w:tr w:rsidR="002C2BB0" w:rsidRPr="0098635C" w14:paraId="00AAE5F9" w14:textId="77777777" w:rsidTr="002C2BB0">
              <w:tc>
                <w:tcPr>
                  <w:tcW w:w="1281" w:type="pct"/>
                </w:tcPr>
                <w:p w14:paraId="6DF60BD3" w14:textId="77777777" w:rsidR="002C2BB0" w:rsidRPr="0098635C" w:rsidRDefault="002C2BB0" w:rsidP="002C2BB0">
                  <w:pPr>
                    <w:spacing w:after="0"/>
                    <w:ind w:left="34"/>
                    <w:rPr>
                      <w:color w:val="000000"/>
                      <w:sz w:val="20"/>
                      <w:szCs w:val="20"/>
                      <w:lang w:eastAsia="ja-JP"/>
                    </w:rPr>
                  </w:pPr>
                  <w:r w:rsidRPr="0098635C">
                    <w:rPr>
                      <w:color w:val="000000"/>
                      <w:sz w:val="20"/>
                      <w:szCs w:val="20"/>
                      <w:lang w:eastAsia="ja-JP"/>
                    </w:rPr>
                    <w:t>LD</w:t>
                  </w:r>
                  <w:r w:rsidRPr="0098635C">
                    <w:rPr>
                      <w:color w:val="000000"/>
                      <w:sz w:val="20"/>
                      <w:szCs w:val="20"/>
                      <w:vertAlign w:val="subscript"/>
                      <w:lang w:eastAsia="ja-JP"/>
                    </w:rPr>
                    <w:t>50</w:t>
                  </w:r>
                  <w:r w:rsidRPr="0098635C">
                    <w:rPr>
                      <w:color w:val="000000"/>
                      <w:sz w:val="20"/>
                      <w:szCs w:val="20"/>
                      <w:lang w:eastAsia="ja-JP"/>
                    </w:rPr>
                    <w:t>, dermal, rat (m/f)</w:t>
                  </w:r>
                </w:p>
              </w:tc>
              <w:tc>
                <w:tcPr>
                  <w:tcW w:w="1204" w:type="pct"/>
                </w:tcPr>
                <w:p w14:paraId="13309B63" w14:textId="77777777" w:rsidR="002C2BB0" w:rsidRPr="0098635C" w:rsidRDefault="002C2BB0" w:rsidP="002C2BB0">
                  <w:pPr>
                    <w:spacing w:after="0"/>
                    <w:ind w:left="77"/>
                    <w:rPr>
                      <w:color w:val="FF0000"/>
                      <w:sz w:val="20"/>
                      <w:szCs w:val="20"/>
                      <w:lang w:eastAsia="ja-JP"/>
                    </w:rPr>
                  </w:pPr>
                  <w:r w:rsidRPr="0098635C">
                    <w:rPr>
                      <w:color w:val="000000"/>
                      <w:sz w:val="20"/>
                      <w:szCs w:val="20"/>
                      <w:lang w:eastAsia="ja-JP"/>
                    </w:rPr>
                    <w:t>Copper ox</w:t>
                  </w:r>
                  <w:r w:rsidRPr="0098635C">
                    <w:rPr>
                      <w:color w:val="000000"/>
                      <w:sz w:val="20"/>
                      <w:szCs w:val="20"/>
                      <w:lang w:eastAsia="ja-JP"/>
                    </w:rPr>
                    <w:t>i</w:t>
                  </w:r>
                  <w:r w:rsidRPr="0098635C">
                    <w:rPr>
                      <w:color w:val="000000"/>
                      <w:sz w:val="20"/>
                      <w:szCs w:val="20"/>
                      <w:lang w:eastAsia="ja-JP"/>
                    </w:rPr>
                    <w:t>de</w:t>
                  </w:r>
                </w:p>
              </w:tc>
              <w:tc>
                <w:tcPr>
                  <w:tcW w:w="1393" w:type="pct"/>
                </w:tcPr>
                <w:p w14:paraId="4AC5D0A6"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None</w:t>
                  </w:r>
                </w:p>
              </w:tc>
              <w:tc>
                <w:tcPr>
                  <w:tcW w:w="1122" w:type="pct"/>
                  <w:shd w:val="clear" w:color="auto" w:fill="auto"/>
                </w:tcPr>
                <w:p w14:paraId="21E2462D"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&gt; 2,000 mg/kg bw</w:t>
                  </w:r>
                </w:p>
              </w:tc>
            </w:tr>
            <w:tr w:rsidR="002C2BB0" w:rsidRPr="0098635C" w14:paraId="452FB6D1" w14:textId="77777777" w:rsidTr="002C2BB0">
              <w:tc>
                <w:tcPr>
                  <w:tcW w:w="1281" w:type="pct"/>
                </w:tcPr>
                <w:p w14:paraId="374528B8" w14:textId="77777777" w:rsidR="002C2BB0" w:rsidRPr="0098635C" w:rsidRDefault="002C2BB0" w:rsidP="002C2BB0">
                  <w:pPr>
                    <w:spacing w:after="0"/>
                    <w:ind w:left="34"/>
                    <w:rPr>
                      <w:color w:val="000000"/>
                      <w:sz w:val="20"/>
                      <w:szCs w:val="20"/>
                      <w:lang w:eastAsia="ja-JP"/>
                    </w:rPr>
                  </w:pPr>
                  <w:r w:rsidRPr="0098635C">
                    <w:rPr>
                      <w:color w:val="000000"/>
                      <w:sz w:val="20"/>
                      <w:szCs w:val="20"/>
                      <w:lang w:eastAsia="ja-JP"/>
                    </w:rPr>
                    <w:t>LD</w:t>
                  </w:r>
                  <w:r w:rsidRPr="0098635C">
                    <w:rPr>
                      <w:color w:val="000000"/>
                      <w:sz w:val="20"/>
                      <w:szCs w:val="20"/>
                      <w:vertAlign w:val="subscript"/>
                      <w:lang w:eastAsia="ja-JP"/>
                    </w:rPr>
                    <w:t>50</w:t>
                  </w:r>
                  <w:r w:rsidRPr="0098635C">
                    <w:rPr>
                      <w:color w:val="000000"/>
                      <w:sz w:val="20"/>
                      <w:szCs w:val="20"/>
                      <w:lang w:eastAsia="ja-JP"/>
                    </w:rPr>
                    <w:t>, dermal, rat (m/f)</w:t>
                  </w:r>
                </w:p>
              </w:tc>
              <w:tc>
                <w:tcPr>
                  <w:tcW w:w="1204" w:type="pct"/>
                </w:tcPr>
                <w:p w14:paraId="7337FB93" w14:textId="77777777" w:rsidR="002C2BB0" w:rsidRPr="0098635C" w:rsidRDefault="002C2BB0" w:rsidP="002C2BB0">
                  <w:pPr>
                    <w:spacing w:after="0"/>
                    <w:ind w:left="77"/>
                    <w:rPr>
                      <w:color w:val="FF0000"/>
                      <w:sz w:val="20"/>
                      <w:szCs w:val="20"/>
                      <w:lang w:eastAsia="ja-JP"/>
                    </w:rPr>
                  </w:pPr>
                  <w:r w:rsidRPr="0098635C">
                    <w:rPr>
                      <w:color w:val="000000"/>
                      <w:sz w:val="20"/>
                      <w:szCs w:val="20"/>
                      <w:lang w:eastAsia="ja-JP"/>
                    </w:rPr>
                    <w:t>Copper sulphate pentahydrate pe</w:t>
                  </w:r>
                  <w:r w:rsidRPr="0098635C">
                    <w:rPr>
                      <w:color w:val="000000"/>
                      <w:sz w:val="20"/>
                      <w:szCs w:val="20"/>
                      <w:lang w:eastAsia="ja-JP"/>
                    </w:rPr>
                    <w:t>n</w:t>
                  </w:r>
                  <w:r w:rsidRPr="0098635C">
                    <w:rPr>
                      <w:color w:val="000000"/>
                      <w:sz w:val="20"/>
                      <w:szCs w:val="20"/>
                      <w:lang w:eastAsia="ja-JP"/>
                    </w:rPr>
                    <w:t>tahydr</w:t>
                  </w:r>
                  <w:r w:rsidRPr="0098635C">
                    <w:rPr>
                      <w:color w:val="000000"/>
                      <w:sz w:val="20"/>
                      <w:szCs w:val="20"/>
                      <w:lang w:eastAsia="ja-JP"/>
                    </w:rPr>
                    <w:t>a</w:t>
                  </w:r>
                  <w:r w:rsidRPr="0098635C">
                    <w:rPr>
                      <w:color w:val="000000"/>
                      <w:sz w:val="20"/>
                      <w:szCs w:val="20"/>
                      <w:lang w:eastAsia="ja-JP"/>
                    </w:rPr>
                    <w:t>te</w:t>
                  </w:r>
                </w:p>
              </w:tc>
              <w:tc>
                <w:tcPr>
                  <w:tcW w:w="1393" w:type="pct"/>
                </w:tcPr>
                <w:p w14:paraId="45BB2ED0" w14:textId="77777777" w:rsidR="002C2BB0" w:rsidRPr="0098635C" w:rsidRDefault="002C2BB0" w:rsidP="002C2BB0">
                  <w:pPr>
                    <w:spacing w:after="0"/>
                    <w:ind w:left="39"/>
                    <w:rPr>
                      <w:color w:val="000000"/>
                      <w:sz w:val="20"/>
                      <w:szCs w:val="20"/>
                      <w:lang w:eastAsia="ja-JP"/>
                    </w:rPr>
                  </w:pPr>
                </w:p>
              </w:tc>
              <w:tc>
                <w:tcPr>
                  <w:tcW w:w="1122" w:type="pct"/>
                  <w:shd w:val="clear" w:color="auto" w:fill="auto"/>
                </w:tcPr>
                <w:p w14:paraId="38FFB782"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&gt; 2,000 mg/kg bw</w:t>
                  </w:r>
                </w:p>
              </w:tc>
            </w:tr>
            <w:tr w:rsidR="002C2BB0" w:rsidRPr="0098635C" w14:paraId="755BFD6B" w14:textId="77777777" w:rsidTr="002C2BB0">
              <w:tc>
                <w:tcPr>
                  <w:tcW w:w="1281" w:type="pct"/>
                </w:tcPr>
                <w:p w14:paraId="5285396E" w14:textId="77777777" w:rsidR="002C2BB0" w:rsidRPr="0098635C" w:rsidRDefault="002C2BB0" w:rsidP="002C2BB0">
                  <w:pPr>
                    <w:spacing w:after="0"/>
                    <w:ind w:left="34"/>
                    <w:rPr>
                      <w:color w:val="000000"/>
                      <w:sz w:val="20"/>
                      <w:szCs w:val="20"/>
                      <w:lang w:eastAsia="ja-JP"/>
                    </w:rPr>
                  </w:pPr>
                  <w:r w:rsidRPr="0098635C">
                    <w:rPr>
                      <w:color w:val="000000"/>
                      <w:sz w:val="20"/>
                      <w:szCs w:val="20"/>
                      <w:lang w:eastAsia="ja-JP"/>
                    </w:rPr>
                    <w:t>LD</w:t>
                  </w:r>
                  <w:r w:rsidRPr="0098635C">
                    <w:rPr>
                      <w:color w:val="000000"/>
                      <w:sz w:val="20"/>
                      <w:szCs w:val="20"/>
                      <w:vertAlign w:val="subscript"/>
                      <w:lang w:eastAsia="ja-JP"/>
                    </w:rPr>
                    <w:t>50</w:t>
                  </w:r>
                  <w:r w:rsidRPr="0098635C">
                    <w:rPr>
                      <w:color w:val="000000"/>
                      <w:sz w:val="20"/>
                      <w:szCs w:val="20"/>
                      <w:lang w:eastAsia="ja-JP"/>
                    </w:rPr>
                    <w:t>, dermal, rat (m/f)</w:t>
                  </w:r>
                </w:p>
              </w:tc>
              <w:tc>
                <w:tcPr>
                  <w:tcW w:w="1204" w:type="pct"/>
                </w:tcPr>
                <w:p w14:paraId="5BF91211" w14:textId="77777777" w:rsidR="002C2BB0" w:rsidRPr="0098635C" w:rsidRDefault="002C2BB0" w:rsidP="002C2BB0">
                  <w:pPr>
                    <w:spacing w:after="0"/>
                    <w:ind w:left="77"/>
                    <w:rPr>
                      <w:color w:val="FF0000"/>
                      <w:sz w:val="20"/>
                      <w:szCs w:val="20"/>
                      <w:lang w:eastAsia="ja-JP"/>
                    </w:rPr>
                  </w:pPr>
                  <w:r w:rsidRPr="0098635C">
                    <w:rPr>
                      <w:color w:val="000000"/>
                      <w:sz w:val="20"/>
                      <w:szCs w:val="20"/>
                      <w:lang w:eastAsia="ja-JP"/>
                    </w:rPr>
                    <w:t>Dicopper chloride trihydroxide</w:t>
                  </w:r>
                </w:p>
              </w:tc>
              <w:tc>
                <w:tcPr>
                  <w:tcW w:w="1393" w:type="pct"/>
                </w:tcPr>
                <w:p w14:paraId="7D36FF99" w14:textId="77777777" w:rsidR="002C2BB0" w:rsidRPr="0098635C" w:rsidRDefault="002C2BB0" w:rsidP="002C2BB0">
                  <w:pPr>
                    <w:spacing w:after="0"/>
                    <w:ind w:left="39"/>
                    <w:rPr>
                      <w:color w:val="000000"/>
                      <w:sz w:val="20"/>
                      <w:szCs w:val="20"/>
                      <w:lang w:eastAsia="ja-JP"/>
                    </w:rPr>
                  </w:pPr>
                </w:p>
              </w:tc>
              <w:tc>
                <w:tcPr>
                  <w:tcW w:w="1122" w:type="pct"/>
                  <w:shd w:val="clear" w:color="auto" w:fill="auto"/>
                </w:tcPr>
                <w:p w14:paraId="41F8803A"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&gt; 2,000 mg/kg bw</w:t>
                  </w:r>
                </w:p>
              </w:tc>
            </w:tr>
            <w:tr w:rsidR="002C2BB0" w:rsidRPr="0098635C" w14:paraId="4DA4BFF5" w14:textId="77777777" w:rsidTr="002C2BB0">
              <w:tc>
                <w:tcPr>
                  <w:tcW w:w="1281" w:type="pct"/>
                </w:tcPr>
                <w:p w14:paraId="6515F598" w14:textId="77777777" w:rsidR="002C2BB0" w:rsidRPr="0098635C" w:rsidRDefault="002C2BB0" w:rsidP="002C2BB0">
                  <w:pPr>
                    <w:spacing w:after="0"/>
                    <w:ind w:left="34"/>
                    <w:rPr>
                      <w:color w:val="000000"/>
                      <w:sz w:val="20"/>
                      <w:szCs w:val="20"/>
                      <w:lang w:eastAsia="ja-JP"/>
                    </w:rPr>
                  </w:pPr>
                  <w:r w:rsidRPr="0098635C">
                    <w:rPr>
                      <w:color w:val="000000"/>
                      <w:sz w:val="20"/>
                      <w:szCs w:val="20"/>
                      <w:lang w:eastAsia="ja-JP"/>
                    </w:rPr>
                    <w:t>LD</w:t>
                  </w:r>
                  <w:r w:rsidRPr="0098635C">
                    <w:rPr>
                      <w:color w:val="000000"/>
                      <w:sz w:val="20"/>
                      <w:szCs w:val="20"/>
                      <w:vertAlign w:val="subscript"/>
                      <w:lang w:eastAsia="ja-JP"/>
                    </w:rPr>
                    <w:t>50</w:t>
                  </w:r>
                  <w:r w:rsidRPr="0098635C">
                    <w:rPr>
                      <w:color w:val="000000"/>
                      <w:sz w:val="20"/>
                      <w:szCs w:val="20"/>
                      <w:lang w:eastAsia="ja-JP"/>
                    </w:rPr>
                    <w:t>, dermal, rat (m/f)</w:t>
                  </w:r>
                </w:p>
              </w:tc>
              <w:tc>
                <w:tcPr>
                  <w:tcW w:w="1204" w:type="pct"/>
                </w:tcPr>
                <w:p w14:paraId="167BAEA6" w14:textId="77777777" w:rsidR="002C2BB0" w:rsidRPr="0098635C" w:rsidRDefault="002C2BB0" w:rsidP="002C2BB0">
                  <w:pPr>
                    <w:spacing w:after="0"/>
                    <w:ind w:left="77"/>
                    <w:rPr>
                      <w:color w:val="FF0000"/>
                      <w:sz w:val="20"/>
                      <w:szCs w:val="20"/>
                      <w:lang w:eastAsia="ja-JP"/>
                    </w:rPr>
                  </w:pPr>
                  <w:r w:rsidRPr="0098635C">
                    <w:rPr>
                      <w:color w:val="000000"/>
                      <w:sz w:val="20"/>
                      <w:szCs w:val="20"/>
                      <w:lang w:eastAsia="ja-JP"/>
                    </w:rPr>
                    <w:t>Dicopper oxide</w:t>
                  </w:r>
                </w:p>
              </w:tc>
              <w:tc>
                <w:tcPr>
                  <w:tcW w:w="1393" w:type="pct"/>
                </w:tcPr>
                <w:p w14:paraId="21E7D565"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None</w:t>
                  </w:r>
                </w:p>
              </w:tc>
              <w:tc>
                <w:tcPr>
                  <w:tcW w:w="1122" w:type="pct"/>
                  <w:shd w:val="clear" w:color="auto" w:fill="auto"/>
                </w:tcPr>
                <w:p w14:paraId="55F25B48"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&gt; 2,000 mg/kg bw</w:t>
                  </w:r>
                </w:p>
              </w:tc>
            </w:tr>
            <w:tr w:rsidR="002C2BB0" w:rsidRPr="0098635C" w14:paraId="07B905C4" w14:textId="77777777" w:rsidTr="002C2BB0">
              <w:tc>
                <w:tcPr>
                  <w:tcW w:w="1281" w:type="pct"/>
                </w:tcPr>
                <w:p w14:paraId="4464FBEF" w14:textId="77777777" w:rsidR="002C2BB0" w:rsidRPr="0098635C" w:rsidRDefault="002C2BB0" w:rsidP="002C2BB0">
                  <w:pPr>
                    <w:spacing w:after="0"/>
                    <w:ind w:left="34"/>
                    <w:rPr>
                      <w:color w:val="000000"/>
                      <w:sz w:val="20"/>
                      <w:szCs w:val="20"/>
                      <w:lang w:eastAsia="ja-JP"/>
                    </w:rPr>
                  </w:pPr>
                  <w:r w:rsidRPr="0098635C">
                    <w:rPr>
                      <w:color w:val="000000"/>
                      <w:sz w:val="20"/>
                      <w:szCs w:val="20"/>
                      <w:lang w:eastAsia="ja-JP"/>
                    </w:rPr>
                    <w:t>LD</w:t>
                  </w:r>
                  <w:r w:rsidRPr="0098635C">
                    <w:rPr>
                      <w:color w:val="000000"/>
                      <w:sz w:val="20"/>
                      <w:szCs w:val="20"/>
                      <w:vertAlign w:val="subscript"/>
                      <w:lang w:eastAsia="ja-JP"/>
                    </w:rPr>
                    <w:t>50</w:t>
                  </w:r>
                  <w:r w:rsidRPr="0098635C">
                    <w:rPr>
                      <w:color w:val="000000"/>
                      <w:sz w:val="20"/>
                      <w:szCs w:val="20"/>
                      <w:lang w:eastAsia="ja-JP"/>
                    </w:rPr>
                    <w:t>, dermal, ra</w:t>
                  </w:r>
                  <w:r w:rsidRPr="0098635C">
                    <w:rPr>
                      <w:color w:val="000000"/>
                      <w:sz w:val="20"/>
                      <w:szCs w:val="20"/>
                      <w:lang w:eastAsia="ja-JP"/>
                    </w:rPr>
                    <w:t>b</w:t>
                  </w:r>
                  <w:r w:rsidRPr="0098635C">
                    <w:rPr>
                      <w:color w:val="000000"/>
                      <w:sz w:val="20"/>
                      <w:szCs w:val="20"/>
                      <w:lang w:eastAsia="ja-JP"/>
                    </w:rPr>
                    <w:t>bit (m/f)</w:t>
                  </w:r>
                </w:p>
              </w:tc>
              <w:tc>
                <w:tcPr>
                  <w:tcW w:w="1204" w:type="pct"/>
                </w:tcPr>
                <w:p w14:paraId="7121E92C" w14:textId="77777777" w:rsidR="002C2BB0" w:rsidRPr="0098635C" w:rsidRDefault="002C2BB0" w:rsidP="002C2BB0">
                  <w:pPr>
                    <w:spacing w:after="0"/>
                    <w:ind w:left="77"/>
                    <w:rPr>
                      <w:color w:val="FF0000"/>
                      <w:sz w:val="20"/>
                      <w:szCs w:val="20"/>
                      <w:lang w:eastAsia="ja-JP"/>
                    </w:rPr>
                  </w:pPr>
                  <w:r w:rsidRPr="0098635C">
                    <w:rPr>
                      <w:color w:val="000000"/>
                      <w:sz w:val="20"/>
                      <w:szCs w:val="20"/>
                      <w:lang w:eastAsia="ja-JP"/>
                    </w:rPr>
                    <w:t>Dicopper chloride trihydroxide</w:t>
                  </w:r>
                </w:p>
              </w:tc>
              <w:tc>
                <w:tcPr>
                  <w:tcW w:w="1393" w:type="pct"/>
                </w:tcPr>
                <w:p w14:paraId="3CFB25A9" w14:textId="77777777" w:rsidR="002C2BB0" w:rsidRPr="0098635C" w:rsidRDefault="002C2BB0" w:rsidP="002C2BB0">
                  <w:pPr>
                    <w:spacing w:after="0"/>
                    <w:ind w:left="39"/>
                    <w:rPr>
                      <w:color w:val="000000"/>
                      <w:sz w:val="20"/>
                      <w:szCs w:val="20"/>
                      <w:lang w:eastAsia="ja-JP"/>
                    </w:rPr>
                  </w:pPr>
                </w:p>
              </w:tc>
              <w:tc>
                <w:tcPr>
                  <w:tcW w:w="1122" w:type="pct"/>
                  <w:shd w:val="clear" w:color="auto" w:fill="auto"/>
                </w:tcPr>
                <w:p w14:paraId="09E094CC"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&gt; 2,000 mg/kg bw</w:t>
                  </w:r>
                </w:p>
              </w:tc>
            </w:tr>
            <w:tr w:rsidR="002C2BB0" w:rsidRPr="0098635C" w14:paraId="1CF59458" w14:textId="77777777" w:rsidTr="002C2BB0">
              <w:tc>
                <w:tcPr>
                  <w:tcW w:w="2485" w:type="pct"/>
                  <w:gridSpan w:val="2"/>
                </w:tcPr>
                <w:p w14:paraId="601EF7C2" w14:textId="77777777" w:rsidR="002C2BB0" w:rsidRPr="0098635C" w:rsidRDefault="002C2BB0" w:rsidP="002C2BB0">
                  <w:pPr>
                    <w:spacing w:after="0"/>
                    <w:ind w:left="77"/>
                    <w:rPr>
                      <w:color w:val="000000"/>
                      <w:sz w:val="20"/>
                      <w:szCs w:val="20"/>
                      <w:lang w:eastAsia="ja-JP"/>
                    </w:rPr>
                  </w:pPr>
                  <w:r w:rsidRPr="0098635C">
                    <w:rPr>
                      <w:i/>
                      <w:color w:val="000000"/>
                      <w:sz w:val="20"/>
                      <w:szCs w:val="20"/>
                      <w:lang w:eastAsia="ja-JP"/>
                    </w:rPr>
                    <w:t>Dermal (EPA OPP 81-2)  equiv</w:t>
                  </w:r>
                  <w:r w:rsidRPr="0098635C">
                    <w:rPr>
                      <w:i/>
                      <w:color w:val="000000"/>
                      <w:sz w:val="20"/>
                      <w:szCs w:val="20"/>
                      <w:lang w:eastAsia="ja-JP"/>
                    </w:rPr>
                    <w:t>a</w:t>
                  </w:r>
                  <w:r w:rsidRPr="0098635C">
                    <w:rPr>
                      <w:i/>
                      <w:color w:val="000000"/>
                      <w:sz w:val="20"/>
                      <w:szCs w:val="20"/>
                      <w:lang w:eastAsia="ja-JP"/>
                    </w:rPr>
                    <w:t>lent to OECD 402</w:t>
                  </w:r>
                </w:p>
              </w:tc>
              <w:tc>
                <w:tcPr>
                  <w:tcW w:w="1393" w:type="pct"/>
                </w:tcPr>
                <w:p w14:paraId="1F13B93A" w14:textId="77777777" w:rsidR="002C2BB0" w:rsidRPr="0098635C" w:rsidRDefault="002C2BB0" w:rsidP="002C2BB0">
                  <w:pPr>
                    <w:spacing w:after="0"/>
                    <w:ind w:left="39"/>
                    <w:rPr>
                      <w:color w:val="000000"/>
                      <w:sz w:val="20"/>
                      <w:szCs w:val="20"/>
                      <w:lang w:eastAsia="ja-JP"/>
                    </w:rPr>
                  </w:pPr>
                </w:p>
              </w:tc>
              <w:tc>
                <w:tcPr>
                  <w:tcW w:w="1122" w:type="pct"/>
                  <w:shd w:val="clear" w:color="auto" w:fill="auto"/>
                </w:tcPr>
                <w:p w14:paraId="52B5A130" w14:textId="77777777" w:rsidR="002C2BB0" w:rsidRPr="0098635C" w:rsidRDefault="002C2BB0" w:rsidP="002C2BB0">
                  <w:pPr>
                    <w:spacing w:after="0"/>
                    <w:ind w:left="39"/>
                    <w:rPr>
                      <w:color w:val="000000"/>
                      <w:sz w:val="20"/>
                      <w:szCs w:val="20"/>
                      <w:lang w:eastAsia="ja-JP"/>
                    </w:rPr>
                  </w:pPr>
                </w:p>
              </w:tc>
            </w:tr>
            <w:tr w:rsidR="002C2BB0" w:rsidRPr="0098635C" w14:paraId="2C5156AC" w14:textId="77777777" w:rsidTr="002C2BB0">
              <w:tc>
                <w:tcPr>
                  <w:tcW w:w="1281" w:type="pct"/>
                </w:tcPr>
                <w:p w14:paraId="1448A8A5" w14:textId="77777777" w:rsidR="002C2BB0" w:rsidRPr="0098635C" w:rsidRDefault="002C2BB0" w:rsidP="002C2BB0">
                  <w:pPr>
                    <w:spacing w:after="0"/>
                    <w:ind w:left="34"/>
                    <w:rPr>
                      <w:color w:val="000000"/>
                      <w:sz w:val="20"/>
                      <w:szCs w:val="20"/>
                      <w:lang w:eastAsia="ja-JP"/>
                    </w:rPr>
                  </w:pPr>
                  <w:r w:rsidRPr="0098635C">
                    <w:rPr>
                      <w:color w:val="000000"/>
                      <w:sz w:val="20"/>
                      <w:szCs w:val="20"/>
                      <w:lang w:eastAsia="ja-JP"/>
                    </w:rPr>
                    <w:t>LD</w:t>
                  </w:r>
                  <w:r w:rsidRPr="0098635C">
                    <w:rPr>
                      <w:color w:val="000000"/>
                      <w:sz w:val="20"/>
                      <w:szCs w:val="20"/>
                      <w:vertAlign w:val="subscript"/>
                      <w:lang w:eastAsia="ja-JP"/>
                    </w:rPr>
                    <w:t>50</w:t>
                  </w:r>
                  <w:r w:rsidRPr="0098635C">
                    <w:rPr>
                      <w:color w:val="000000"/>
                      <w:sz w:val="20"/>
                      <w:szCs w:val="20"/>
                      <w:lang w:eastAsia="ja-JP"/>
                    </w:rPr>
                    <w:t>, dermal, rabbit  (m/f)</w:t>
                  </w:r>
                </w:p>
              </w:tc>
              <w:tc>
                <w:tcPr>
                  <w:tcW w:w="1204" w:type="pct"/>
                </w:tcPr>
                <w:p w14:paraId="427A9004" w14:textId="77777777" w:rsidR="002C2BB0" w:rsidRPr="0098635C" w:rsidRDefault="002C2BB0" w:rsidP="002C2BB0">
                  <w:pPr>
                    <w:spacing w:after="0"/>
                    <w:ind w:left="77"/>
                    <w:rPr>
                      <w:color w:val="000000"/>
                      <w:sz w:val="20"/>
                      <w:szCs w:val="20"/>
                      <w:lang w:eastAsia="ja-JP"/>
                    </w:rPr>
                  </w:pPr>
                  <w:r w:rsidRPr="0098635C">
                    <w:rPr>
                      <w:color w:val="000000"/>
                      <w:sz w:val="20"/>
                      <w:szCs w:val="20"/>
                      <w:lang w:eastAsia="ja-JP"/>
                    </w:rPr>
                    <w:t>Dicopper oxide</w:t>
                  </w:r>
                </w:p>
              </w:tc>
              <w:tc>
                <w:tcPr>
                  <w:tcW w:w="1393" w:type="pct"/>
                </w:tcPr>
                <w:p w14:paraId="72F3CDA1"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Reddened skin, weight gain, liver lesion</w:t>
                  </w:r>
                </w:p>
              </w:tc>
              <w:tc>
                <w:tcPr>
                  <w:tcW w:w="1122" w:type="pct"/>
                  <w:shd w:val="clear" w:color="auto" w:fill="auto"/>
                </w:tcPr>
                <w:p w14:paraId="0E249413"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 xml:space="preserve">&gt; 2,000 mg/kg bw </w:t>
                  </w:r>
                </w:p>
              </w:tc>
            </w:tr>
            <w:tr w:rsidR="002C2BB0" w:rsidRPr="0098635C" w14:paraId="20268EF3" w14:textId="77777777" w:rsidTr="002C2BB0">
              <w:tc>
                <w:tcPr>
                  <w:tcW w:w="1281" w:type="pct"/>
                </w:tcPr>
                <w:p w14:paraId="4776E00C" w14:textId="77777777" w:rsidR="002C2BB0" w:rsidRPr="0098635C" w:rsidRDefault="002C2BB0" w:rsidP="002C2BB0">
                  <w:pPr>
                    <w:spacing w:after="0"/>
                    <w:ind w:left="34"/>
                    <w:rPr>
                      <w:color w:val="000000"/>
                      <w:sz w:val="20"/>
                      <w:szCs w:val="20"/>
                      <w:lang w:eastAsia="ja-JP"/>
                    </w:rPr>
                  </w:pPr>
                  <w:r w:rsidRPr="0098635C">
                    <w:rPr>
                      <w:color w:val="000000"/>
                      <w:sz w:val="20"/>
                      <w:szCs w:val="20"/>
                      <w:lang w:eastAsia="ja-JP"/>
                    </w:rPr>
                    <w:t>LD</w:t>
                  </w:r>
                  <w:r w:rsidRPr="0098635C">
                    <w:rPr>
                      <w:color w:val="000000"/>
                      <w:sz w:val="20"/>
                      <w:szCs w:val="20"/>
                      <w:vertAlign w:val="subscript"/>
                      <w:lang w:eastAsia="ja-JP"/>
                    </w:rPr>
                    <w:t>50</w:t>
                  </w:r>
                  <w:r w:rsidRPr="0098635C">
                    <w:rPr>
                      <w:color w:val="000000"/>
                      <w:sz w:val="20"/>
                      <w:szCs w:val="20"/>
                      <w:lang w:eastAsia="ja-JP"/>
                    </w:rPr>
                    <w:t>, dermal, rabbit  (m/f)</w:t>
                  </w:r>
                </w:p>
              </w:tc>
              <w:tc>
                <w:tcPr>
                  <w:tcW w:w="1204" w:type="pct"/>
                </w:tcPr>
                <w:p w14:paraId="367E04DA" w14:textId="77777777" w:rsidR="002C2BB0" w:rsidRPr="0098635C" w:rsidRDefault="002C2BB0" w:rsidP="002C2BB0">
                  <w:pPr>
                    <w:spacing w:after="0"/>
                    <w:ind w:left="77"/>
                    <w:rPr>
                      <w:color w:val="000000"/>
                      <w:sz w:val="20"/>
                      <w:szCs w:val="20"/>
                      <w:lang w:eastAsia="ja-JP"/>
                    </w:rPr>
                  </w:pPr>
                  <w:r w:rsidRPr="0098635C">
                    <w:rPr>
                      <w:color w:val="000000"/>
                      <w:sz w:val="20"/>
                      <w:szCs w:val="20"/>
                      <w:lang w:eastAsia="ja-JP"/>
                    </w:rPr>
                    <w:t>Dicopper chloride trihydroxide</w:t>
                  </w:r>
                </w:p>
              </w:tc>
              <w:tc>
                <w:tcPr>
                  <w:tcW w:w="1393" w:type="pct"/>
                </w:tcPr>
                <w:p w14:paraId="1B8CE688" w14:textId="77777777" w:rsidR="002C2BB0" w:rsidRPr="0098635C" w:rsidRDefault="002C2BB0" w:rsidP="002C2BB0">
                  <w:pPr>
                    <w:spacing w:after="0"/>
                    <w:ind w:left="39"/>
                    <w:rPr>
                      <w:color w:val="000000"/>
                      <w:sz w:val="20"/>
                      <w:szCs w:val="20"/>
                      <w:lang w:eastAsia="ja-JP"/>
                    </w:rPr>
                  </w:pPr>
                </w:p>
              </w:tc>
              <w:tc>
                <w:tcPr>
                  <w:tcW w:w="1122" w:type="pct"/>
                  <w:shd w:val="clear" w:color="auto" w:fill="auto"/>
                </w:tcPr>
                <w:p w14:paraId="07749FE3"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 xml:space="preserve">&gt; 2,000 mg/kg bw </w:t>
                  </w:r>
                </w:p>
              </w:tc>
            </w:tr>
            <w:tr w:rsidR="002C2BB0" w:rsidRPr="0098635C" w14:paraId="2A2D0270" w14:textId="77777777" w:rsidTr="002C2BB0">
              <w:tc>
                <w:tcPr>
                  <w:tcW w:w="1281" w:type="pct"/>
                </w:tcPr>
                <w:p w14:paraId="0246BEB2" w14:textId="77777777" w:rsidR="002C2BB0" w:rsidRPr="0098635C" w:rsidRDefault="002C2BB0" w:rsidP="002C2BB0">
                  <w:pPr>
                    <w:spacing w:after="0"/>
                    <w:ind w:left="34"/>
                    <w:rPr>
                      <w:i/>
                      <w:color w:val="000000"/>
                      <w:sz w:val="20"/>
                      <w:szCs w:val="20"/>
                      <w:lang w:eastAsia="ja-JP"/>
                    </w:rPr>
                  </w:pPr>
                  <w:r w:rsidRPr="0098635C">
                    <w:rPr>
                      <w:i/>
                      <w:color w:val="000000"/>
                      <w:sz w:val="20"/>
                      <w:szCs w:val="20"/>
                      <w:lang w:eastAsia="ja-JP"/>
                    </w:rPr>
                    <w:t>Oral (EPA OPP 81-1)</w:t>
                  </w:r>
                </w:p>
              </w:tc>
              <w:tc>
                <w:tcPr>
                  <w:tcW w:w="1204" w:type="pct"/>
                </w:tcPr>
                <w:p w14:paraId="6F0E71E7" w14:textId="77777777" w:rsidR="002C2BB0" w:rsidRPr="0098635C" w:rsidRDefault="002C2BB0" w:rsidP="002C2BB0">
                  <w:pPr>
                    <w:spacing w:after="0"/>
                    <w:ind w:left="77"/>
                    <w:rPr>
                      <w:color w:val="000000"/>
                      <w:sz w:val="20"/>
                      <w:szCs w:val="20"/>
                      <w:lang w:eastAsia="ja-JP"/>
                    </w:rPr>
                  </w:pPr>
                </w:p>
              </w:tc>
              <w:tc>
                <w:tcPr>
                  <w:tcW w:w="1393" w:type="pct"/>
                </w:tcPr>
                <w:p w14:paraId="18349073" w14:textId="77777777" w:rsidR="002C2BB0" w:rsidRPr="0098635C" w:rsidRDefault="002C2BB0" w:rsidP="002C2BB0">
                  <w:pPr>
                    <w:spacing w:after="0"/>
                    <w:ind w:left="39"/>
                    <w:rPr>
                      <w:color w:val="000000"/>
                      <w:sz w:val="20"/>
                      <w:szCs w:val="20"/>
                      <w:lang w:eastAsia="ja-JP"/>
                    </w:rPr>
                  </w:pPr>
                </w:p>
              </w:tc>
              <w:tc>
                <w:tcPr>
                  <w:tcW w:w="1122" w:type="pct"/>
                  <w:shd w:val="clear" w:color="auto" w:fill="auto"/>
                </w:tcPr>
                <w:p w14:paraId="33965AFA" w14:textId="77777777" w:rsidR="002C2BB0" w:rsidRPr="0098635C" w:rsidRDefault="002C2BB0" w:rsidP="002C2BB0">
                  <w:pPr>
                    <w:spacing w:after="0"/>
                    <w:ind w:left="39"/>
                    <w:rPr>
                      <w:color w:val="000000"/>
                      <w:sz w:val="20"/>
                      <w:szCs w:val="20"/>
                      <w:lang w:eastAsia="ja-JP"/>
                    </w:rPr>
                  </w:pPr>
                </w:p>
              </w:tc>
            </w:tr>
            <w:tr w:rsidR="002C2BB0" w:rsidRPr="0098635C" w14:paraId="78F05A48" w14:textId="77777777" w:rsidTr="002C2BB0">
              <w:tc>
                <w:tcPr>
                  <w:tcW w:w="1281" w:type="pct"/>
                </w:tcPr>
                <w:p w14:paraId="1BC33F75" w14:textId="77777777" w:rsidR="002C2BB0" w:rsidRPr="0098635C" w:rsidRDefault="002C2BB0" w:rsidP="002C2BB0">
                  <w:pPr>
                    <w:spacing w:after="0"/>
                    <w:ind w:left="34"/>
                    <w:rPr>
                      <w:color w:val="000000"/>
                      <w:sz w:val="20"/>
                      <w:szCs w:val="20"/>
                      <w:lang w:eastAsia="ja-JP"/>
                    </w:rPr>
                  </w:pPr>
                  <w:r w:rsidRPr="0098635C">
                    <w:rPr>
                      <w:color w:val="000000"/>
                      <w:sz w:val="20"/>
                      <w:szCs w:val="20"/>
                      <w:lang w:eastAsia="ja-JP"/>
                    </w:rPr>
                    <w:t>LD</w:t>
                  </w:r>
                  <w:r w:rsidRPr="0098635C">
                    <w:rPr>
                      <w:color w:val="000000"/>
                      <w:sz w:val="20"/>
                      <w:szCs w:val="20"/>
                      <w:vertAlign w:val="subscript"/>
                      <w:lang w:eastAsia="ja-JP"/>
                    </w:rPr>
                    <w:t>50</w:t>
                  </w:r>
                  <w:r w:rsidRPr="0098635C">
                    <w:rPr>
                      <w:color w:val="000000"/>
                      <w:sz w:val="20"/>
                      <w:szCs w:val="20"/>
                      <w:lang w:eastAsia="ja-JP"/>
                    </w:rPr>
                    <w:t>, oral, rat  (m/f)</w:t>
                  </w:r>
                </w:p>
              </w:tc>
              <w:tc>
                <w:tcPr>
                  <w:tcW w:w="1204" w:type="pct"/>
                </w:tcPr>
                <w:p w14:paraId="2C662AE5" w14:textId="77777777" w:rsidR="002C2BB0" w:rsidRPr="0098635C" w:rsidRDefault="002C2BB0" w:rsidP="002C2BB0">
                  <w:pPr>
                    <w:spacing w:after="0"/>
                    <w:ind w:left="77"/>
                    <w:rPr>
                      <w:color w:val="000000"/>
                      <w:sz w:val="20"/>
                      <w:szCs w:val="20"/>
                      <w:lang w:eastAsia="ja-JP"/>
                    </w:rPr>
                  </w:pPr>
                  <w:r w:rsidRPr="0098635C">
                    <w:rPr>
                      <w:color w:val="000000"/>
                      <w:sz w:val="20"/>
                      <w:szCs w:val="20"/>
                      <w:lang w:eastAsia="ja-JP"/>
                    </w:rPr>
                    <w:t>Dicopper chloride trihydroxide</w:t>
                  </w:r>
                </w:p>
              </w:tc>
              <w:tc>
                <w:tcPr>
                  <w:tcW w:w="1393" w:type="pct"/>
                </w:tcPr>
                <w:p w14:paraId="6688604A" w14:textId="77777777" w:rsidR="002C2BB0" w:rsidRPr="0098635C" w:rsidRDefault="002C2BB0" w:rsidP="002C2BB0">
                  <w:pPr>
                    <w:spacing w:after="0"/>
                    <w:ind w:left="39"/>
                    <w:rPr>
                      <w:color w:val="000000"/>
                      <w:sz w:val="20"/>
                      <w:szCs w:val="20"/>
                      <w:lang w:eastAsia="ja-JP"/>
                    </w:rPr>
                  </w:pPr>
                </w:p>
              </w:tc>
              <w:tc>
                <w:tcPr>
                  <w:tcW w:w="1122" w:type="pct"/>
                  <w:shd w:val="clear" w:color="auto" w:fill="auto"/>
                </w:tcPr>
                <w:p w14:paraId="18E2F391"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1,200 mg/kg bw (m)</w:t>
                  </w:r>
                </w:p>
                <w:p w14:paraId="55A6BEBE"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950 mg/kg bw (f)</w:t>
                  </w:r>
                </w:p>
              </w:tc>
            </w:tr>
            <w:tr w:rsidR="002C2BB0" w:rsidRPr="0098635C" w14:paraId="3B39CD07" w14:textId="77777777" w:rsidTr="002C2BB0">
              <w:tc>
                <w:tcPr>
                  <w:tcW w:w="1281" w:type="pct"/>
                </w:tcPr>
                <w:p w14:paraId="37C48580" w14:textId="77777777" w:rsidR="002C2BB0" w:rsidRPr="0098635C" w:rsidRDefault="002C2BB0" w:rsidP="002C2BB0">
                  <w:pPr>
                    <w:spacing w:after="0"/>
                    <w:ind w:left="34"/>
                    <w:rPr>
                      <w:i/>
                      <w:color w:val="000000"/>
                      <w:sz w:val="20"/>
                      <w:szCs w:val="20"/>
                      <w:lang w:eastAsia="ja-JP"/>
                    </w:rPr>
                  </w:pPr>
                  <w:r w:rsidRPr="0098635C">
                    <w:rPr>
                      <w:i/>
                      <w:color w:val="000000"/>
                      <w:sz w:val="20"/>
                      <w:szCs w:val="20"/>
                      <w:lang w:eastAsia="ja-JP"/>
                    </w:rPr>
                    <w:t>Oral (OECD 423)</w:t>
                  </w:r>
                </w:p>
              </w:tc>
              <w:tc>
                <w:tcPr>
                  <w:tcW w:w="1204" w:type="pct"/>
                </w:tcPr>
                <w:p w14:paraId="09425765" w14:textId="77777777" w:rsidR="002C2BB0" w:rsidRPr="0098635C" w:rsidRDefault="002C2BB0" w:rsidP="002C2BB0">
                  <w:pPr>
                    <w:spacing w:after="0"/>
                    <w:ind w:left="77"/>
                    <w:rPr>
                      <w:color w:val="000000"/>
                      <w:sz w:val="20"/>
                      <w:szCs w:val="20"/>
                      <w:lang w:eastAsia="ja-JP"/>
                    </w:rPr>
                  </w:pPr>
                </w:p>
              </w:tc>
              <w:tc>
                <w:tcPr>
                  <w:tcW w:w="1393" w:type="pct"/>
                </w:tcPr>
                <w:p w14:paraId="511F73A4" w14:textId="77777777" w:rsidR="002C2BB0" w:rsidRPr="0098635C" w:rsidRDefault="002C2BB0" w:rsidP="002C2BB0">
                  <w:pPr>
                    <w:spacing w:after="0"/>
                    <w:ind w:left="39"/>
                    <w:rPr>
                      <w:color w:val="000000"/>
                      <w:sz w:val="20"/>
                      <w:szCs w:val="20"/>
                      <w:lang w:eastAsia="ja-JP"/>
                    </w:rPr>
                  </w:pPr>
                </w:p>
              </w:tc>
              <w:tc>
                <w:tcPr>
                  <w:tcW w:w="1122" w:type="pct"/>
                  <w:shd w:val="clear" w:color="auto" w:fill="auto"/>
                </w:tcPr>
                <w:p w14:paraId="3EA42C07" w14:textId="77777777" w:rsidR="002C2BB0" w:rsidRPr="0098635C" w:rsidRDefault="002C2BB0" w:rsidP="002C2BB0">
                  <w:pPr>
                    <w:spacing w:after="0"/>
                    <w:ind w:left="39"/>
                    <w:rPr>
                      <w:color w:val="000000"/>
                      <w:sz w:val="20"/>
                      <w:szCs w:val="20"/>
                      <w:lang w:eastAsia="ja-JP"/>
                    </w:rPr>
                  </w:pPr>
                </w:p>
              </w:tc>
            </w:tr>
            <w:tr w:rsidR="002C2BB0" w:rsidRPr="0098635C" w14:paraId="5AF60565" w14:textId="77777777" w:rsidTr="002C2BB0">
              <w:tc>
                <w:tcPr>
                  <w:tcW w:w="1281" w:type="pct"/>
                </w:tcPr>
                <w:p w14:paraId="337B6022" w14:textId="77777777" w:rsidR="002C2BB0" w:rsidRPr="0098635C" w:rsidRDefault="002C2BB0" w:rsidP="002C2BB0">
                  <w:pPr>
                    <w:spacing w:after="0"/>
                    <w:ind w:left="34"/>
                    <w:rPr>
                      <w:color w:val="000000"/>
                      <w:sz w:val="20"/>
                      <w:szCs w:val="20"/>
                      <w:lang w:eastAsia="ja-JP"/>
                    </w:rPr>
                  </w:pPr>
                  <w:r w:rsidRPr="0098635C">
                    <w:rPr>
                      <w:color w:val="000000"/>
                      <w:sz w:val="20"/>
                      <w:szCs w:val="20"/>
                      <w:lang w:eastAsia="ja-JP"/>
                    </w:rPr>
                    <w:t>LD</w:t>
                  </w:r>
                  <w:r w:rsidRPr="0098635C">
                    <w:rPr>
                      <w:color w:val="000000"/>
                      <w:sz w:val="20"/>
                      <w:szCs w:val="20"/>
                      <w:vertAlign w:val="subscript"/>
                      <w:lang w:eastAsia="ja-JP"/>
                    </w:rPr>
                    <w:t>50</w:t>
                  </w:r>
                  <w:r w:rsidRPr="0098635C">
                    <w:rPr>
                      <w:color w:val="000000"/>
                      <w:sz w:val="20"/>
                      <w:szCs w:val="20"/>
                      <w:lang w:eastAsia="ja-JP"/>
                    </w:rPr>
                    <w:t>, oral, rat  (m)</w:t>
                  </w:r>
                </w:p>
              </w:tc>
              <w:tc>
                <w:tcPr>
                  <w:tcW w:w="1204" w:type="pct"/>
                </w:tcPr>
                <w:p w14:paraId="1F23C2FC" w14:textId="77777777" w:rsidR="002C2BB0" w:rsidRPr="0098635C" w:rsidRDefault="002C2BB0" w:rsidP="002C2BB0">
                  <w:pPr>
                    <w:spacing w:after="0"/>
                    <w:ind w:left="77"/>
                    <w:rPr>
                      <w:color w:val="000000"/>
                      <w:sz w:val="20"/>
                      <w:szCs w:val="20"/>
                      <w:lang w:eastAsia="ja-JP"/>
                    </w:rPr>
                  </w:pPr>
                  <w:r w:rsidRPr="0098635C">
                    <w:rPr>
                      <w:color w:val="000000"/>
                      <w:sz w:val="20"/>
                      <w:szCs w:val="20"/>
                      <w:lang w:eastAsia="ja-JP"/>
                    </w:rPr>
                    <w:t>Copper ox</w:t>
                  </w:r>
                  <w:r w:rsidRPr="0098635C">
                    <w:rPr>
                      <w:color w:val="000000"/>
                      <w:sz w:val="20"/>
                      <w:szCs w:val="20"/>
                      <w:lang w:eastAsia="ja-JP"/>
                    </w:rPr>
                    <w:t>i</w:t>
                  </w:r>
                  <w:r w:rsidRPr="0098635C">
                    <w:rPr>
                      <w:color w:val="000000"/>
                      <w:sz w:val="20"/>
                      <w:szCs w:val="20"/>
                      <w:lang w:eastAsia="ja-JP"/>
                    </w:rPr>
                    <w:t>de</w:t>
                  </w:r>
                </w:p>
              </w:tc>
              <w:tc>
                <w:tcPr>
                  <w:tcW w:w="1393" w:type="pct"/>
                </w:tcPr>
                <w:p w14:paraId="39FBEDBA" w14:textId="77777777" w:rsidR="002C2BB0" w:rsidRPr="0098635C" w:rsidRDefault="002C2BB0" w:rsidP="002C2BB0">
                  <w:pPr>
                    <w:spacing w:after="0"/>
                    <w:ind w:left="39"/>
                    <w:rPr>
                      <w:color w:val="000000"/>
                      <w:sz w:val="20"/>
                      <w:szCs w:val="20"/>
                      <w:lang w:eastAsia="ja-JP"/>
                    </w:rPr>
                  </w:pPr>
                </w:p>
              </w:tc>
              <w:tc>
                <w:tcPr>
                  <w:tcW w:w="1122" w:type="pct"/>
                  <w:shd w:val="clear" w:color="auto" w:fill="auto"/>
                </w:tcPr>
                <w:p w14:paraId="10DBCA8C"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&gt; 2,000 mg/kg bw</w:t>
                  </w:r>
                </w:p>
              </w:tc>
            </w:tr>
            <w:tr w:rsidR="002C2BB0" w:rsidRPr="0098635C" w14:paraId="6D4A145B" w14:textId="77777777" w:rsidTr="002C2BB0">
              <w:tc>
                <w:tcPr>
                  <w:tcW w:w="1281" w:type="pct"/>
                </w:tcPr>
                <w:p w14:paraId="2B39D7CC" w14:textId="77777777" w:rsidR="002C2BB0" w:rsidRPr="0098635C" w:rsidRDefault="002C2BB0" w:rsidP="002C2BB0">
                  <w:pPr>
                    <w:spacing w:after="0"/>
                    <w:ind w:left="34"/>
                    <w:rPr>
                      <w:color w:val="000000"/>
                      <w:sz w:val="20"/>
                      <w:szCs w:val="20"/>
                      <w:lang w:eastAsia="ja-JP"/>
                    </w:rPr>
                  </w:pPr>
                  <w:r w:rsidRPr="0098635C">
                    <w:rPr>
                      <w:color w:val="000000"/>
                      <w:sz w:val="20"/>
                      <w:szCs w:val="20"/>
                      <w:lang w:eastAsia="ja-JP"/>
                    </w:rPr>
                    <w:t>LD</w:t>
                  </w:r>
                  <w:r w:rsidRPr="0098635C">
                    <w:rPr>
                      <w:color w:val="000000"/>
                      <w:sz w:val="20"/>
                      <w:szCs w:val="20"/>
                      <w:vertAlign w:val="subscript"/>
                      <w:lang w:eastAsia="ja-JP"/>
                    </w:rPr>
                    <w:t>50</w:t>
                  </w:r>
                  <w:r w:rsidRPr="0098635C">
                    <w:rPr>
                      <w:color w:val="000000"/>
                      <w:sz w:val="20"/>
                      <w:szCs w:val="20"/>
                      <w:lang w:eastAsia="ja-JP"/>
                    </w:rPr>
                    <w:t>, oral, rat  (m/f)</w:t>
                  </w:r>
                </w:p>
              </w:tc>
              <w:tc>
                <w:tcPr>
                  <w:tcW w:w="1204" w:type="pct"/>
                </w:tcPr>
                <w:p w14:paraId="65187A5C" w14:textId="77777777" w:rsidR="002C2BB0" w:rsidRPr="0098635C" w:rsidRDefault="002C2BB0" w:rsidP="002C2BB0">
                  <w:pPr>
                    <w:spacing w:after="0"/>
                    <w:ind w:left="77"/>
                    <w:rPr>
                      <w:color w:val="000000"/>
                      <w:sz w:val="20"/>
                      <w:szCs w:val="20"/>
                      <w:lang w:eastAsia="ja-JP"/>
                    </w:rPr>
                  </w:pPr>
                  <w:r w:rsidRPr="0098635C">
                    <w:rPr>
                      <w:color w:val="000000"/>
                      <w:sz w:val="20"/>
                      <w:szCs w:val="20"/>
                      <w:lang w:eastAsia="ja-JP"/>
                    </w:rPr>
                    <w:t>Coated copper flakes</w:t>
                  </w:r>
                </w:p>
              </w:tc>
              <w:tc>
                <w:tcPr>
                  <w:tcW w:w="1393" w:type="pct"/>
                </w:tcPr>
                <w:p w14:paraId="771AFFAC" w14:textId="77777777" w:rsidR="002C2BB0" w:rsidRPr="0098635C" w:rsidRDefault="002C2BB0" w:rsidP="002C2BB0">
                  <w:pPr>
                    <w:spacing w:after="0"/>
                    <w:ind w:left="39"/>
                    <w:rPr>
                      <w:color w:val="000000"/>
                      <w:sz w:val="20"/>
                      <w:szCs w:val="20"/>
                      <w:lang w:eastAsia="ja-JP"/>
                    </w:rPr>
                  </w:pPr>
                </w:p>
              </w:tc>
              <w:tc>
                <w:tcPr>
                  <w:tcW w:w="1122" w:type="pct"/>
                  <w:shd w:val="clear" w:color="auto" w:fill="auto"/>
                </w:tcPr>
                <w:p w14:paraId="61CF6B09"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300-500 mg/kg bw</w:t>
                  </w:r>
                </w:p>
              </w:tc>
            </w:tr>
            <w:tr w:rsidR="002C2BB0" w:rsidRPr="0098635C" w14:paraId="573F2032" w14:textId="77777777" w:rsidTr="002C2BB0">
              <w:tc>
                <w:tcPr>
                  <w:tcW w:w="1281" w:type="pct"/>
                </w:tcPr>
                <w:p w14:paraId="4DFBC9F7" w14:textId="77777777" w:rsidR="002C2BB0" w:rsidRPr="0098635C" w:rsidRDefault="002C2BB0" w:rsidP="002C2BB0">
                  <w:pPr>
                    <w:spacing w:after="0"/>
                    <w:ind w:left="34"/>
                    <w:rPr>
                      <w:i/>
                      <w:color w:val="000000"/>
                      <w:sz w:val="20"/>
                      <w:szCs w:val="20"/>
                      <w:lang w:eastAsia="ja-JP"/>
                    </w:rPr>
                  </w:pPr>
                  <w:r w:rsidRPr="0098635C">
                    <w:rPr>
                      <w:i/>
                      <w:color w:val="000000"/>
                      <w:sz w:val="20"/>
                      <w:szCs w:val="20"/>
                      <w:lang w:eastAsia="ja-JP"/>
                    </w:rPr>
                    <w:t>Oral (OECD 401)</w:t>
                  </w:r>
                </w:p>
              </w:tc>
              <w:tc>
                <w:tcPr>
                  <w:tcW w:w="1204" w:type="pct"/>
                </w:tcPr>
                <w:p w14:paraId="4F7FD994" w14:textId="77777777" w:rsidR="002C2BB0" w:rsidRPr="0098635C" w:rsidRDefault="002C2BB0" w:rsidP="002C2BB0">
                  <w:pPr>
                    <w:spacing w:after="0"/>
                    <w:ind w:left="77"/>
                    <w:rPr>
                      <w:color w:val="000000"/>
                      <w:sz w:val="20"/>
                      <w:szCs w:val="20"/>
                      <w:lang w:eastAsia="ja-JP"/>
                    </w:rPr>
                  </w:pPr>
                </w:p>
              </w:tc>
              <w:tc>
                <w:tcPr>
                  <w:tcW w:w="1393" w:type="pct"/>
                </w:tcPr>
                <w:p w14:paraId="76CADC3A" w14:textId="77777777" w:rsidR="002C2BB0" w:rsidRPr="0098635C" w:rsidRDefault="002C2BB0" w:rsidP="002C2BB0">
                  <w:pPr>
                    <w:spacing w:after="0"/>
                    <w:ind w:left="39"/>
                    <w:rPr>
                      <w:color w:val="000000"/>
                      <w:sz w:val="20"/>
                      <w:szCs w:val="20"/>
                      <w:lang w:eastAsia="ja-JP"/>
                    </w:rPr>
                  </w:pPr>
                </w:p>
              </w:tc>
              <w:tc>
                <w:tcPr>
                  <w:tcW w:w="1122" w:type="pct"/>
                  <w:shd w:val="clear" w:color="auto" w:fill="auto"/>
                </w:tcPr>
                <w:p w14:paraId="5F6F98A0" w14:textId="77777777" w:rsidR="002C2BB0" w:rsidRPr="0098635C" w:rsidRDefault="002C2BB0" w:rsidP="002C2BB0">
                  <w:pPr>
                    <w:spacing w:after="0"/>
                    <w:ind w:left="39"/>
                    <w:rPr>
                      <w:color w:val="000000"/>
                      <w:sz w:val="20"/>
                      <w:szCs w:val="20"/>
                      <w:lang w:eastAsia="ja-JP"/>
                    </w:rPr>
                  </w:pPr>
                </w:p>
              </w:tc>
            </w:tr>
            <w:tr w:rsidR="002C2BB0" w:rsidRPr="0098635C" w14:paraId="2445BD28" w14:textId="77777777" w:rsidTr="002C2BB0">
              <w:tc>
                <w:tcPr>
                  <w:tcW w:w="1281" w:type="pct"/>
                </w:tcPr>
                <w:p w14:paraId="2BC2F17C" w14:textId="77777777" w:rsidR="002C2BB0" w:rsidRPr="0098635C" w:rsidRDefault="002C2BB0" w:rsidP="002C2BB0">
                  <w:pPr>
                    <w:spacing w:after="0"/>
                    <w:ind w:left="34"/>
                    <w:rPr>
                      <w:color w:val="000000"/>
                      <w:sz w:val="20"/>
                      <w:szCs w:val="20"/>
                      <w:lang w:eastAsia="ja-JP"/>
                    </w:rPr>
                  </w:pPr>
                  <w:r w:rsidRPr="0098635C">
                    <w:rPr>
                      <w:color w:val="000000"/>
                      <w:sz w:val="20"/>
                      <w:szCs w:val="20"/>
                      <w:lang w:eastAsia="ja-JP"/>
                    </w:rPr>
                    <w:t>LD</w:t>
                  </w:r>
                  <w:r w:rsidRPr="0098635C">
                    <w:rPr>
                      <w:color w:val="000000"/>
                      <w:sz w:val="20"/>
                      <w:szCs w:val="20"/>
                      <w:vertAlign w:val="subscript"/>
                      <w:lang w:eastAsia="ja-JP"/>
                    </w:rPr>
                    <w:t>50</w:t>
                  </w:r>
                  <w:r w:rsidRPr="0098635C">
                    <w:rPr>
                      <w:color w:val="000000"/>
                      <w:sz w:val="20"/>
                      <w:szCs w:val="20"/>
                      <w:lang w:eastAsia="ja-JP"/>
                    </w:rPr>
                    <w:t>, oral, mice  (m/f)</w:t>
                  </w:r>
                </w:p>
              </w:tc>
              <w:tc>
                <w:tcPr>
                  <w:tcW w:w="1204" w:type="pct"/>
                </w:tcPr>
                <w:p w14:paraId="70B6FB49" w14:textId="77777777" w:rsidR="002C2BB0" w:rsidRPr="0098635C" w:rsidRDefault="002C2BB0" w:rsidP="002C2BB0">
                  <w:pPr>
                    <w:spacing w:after="0"/>
                    <w:ind w:left="77"/>
                    <w:rPr>
                      <w:color w:val="000000"/>
                      <w:sz w:val="20"/>
                      <w:szCs w:val="20"/>
                      <w:lang w:eastAsia="ja-JP"/>
                    </w:rPr>
                  </w:pPr>
                  <w:r w:rsidRPr="0098635C">
                    <w:rPr>
                      <w:color w:val="000000"/>
                      <w:sz w:val="20"/>
                      <w:szCs w:val="20"/>
                      <w:lang w:eastAsia="ja-JP"/>
                    </w:rPr>
                    <w:t>Dicopper chloride trihydro</w:t>
                  </w:r>
                  <w:r w:rsidRPr="0098635C">
                    <w:rPr>
                      <w:color w:val="000000"/>
                      <w:sz w:val="20"/>
                      <w:szCs w:val="20"/>
                      <w:lang w:eastAsia="ja-JP"/>
                    </w:rPr>
                    <w:t>x</w:t>
                  </w:r>
                  <w:r w:rsidRPr="0098635C">
                    <w:rPr>
                      <w:color w:val="000000"/>
                      <w:sz w:val="20"/>
                      <w:szCs w:val="20"/>
                      <w:lang w:eastAsia="ja-JP"/>
                    </w:rPr>
                    <w:t>ide</w:t>
                  </w:r>
                </w:p>
              </w:tc>
              <w:tc>
                <w:tcPr>
                  <w:tcW w:w="1393" w:type="pct"/>
                </w:tcPr>
                <w:p w14:paraId="36D3062C" w14:textId="77777777" w:rsidR="002C2BB0" w:rsidRPr="0098635C" w:rsidRDefault="002C2BB0" w:rsidP="002C2BB0">
                  <w:pPr>
                    <w:spacing w:after="0"/>
                    <w:ind w:left="39"/>
                    <w:rPr>
                      <w:color w:val="000000"/>
                      <w:sz w:val="20"/>
                      <w:szCs w:val="20"/>
                      <w:lang w:eastAsia="ja-JP"/>
                    </w:rPr>
                  </w:pPr>
                </w:p>
              </w:tc>
              <w:tc>
                <w:tcPr>
                  <w:tcW w:w="1122" w:type="pct"/>
                  <w:shd w:val="clear" w:color="auto" w:fill="auto"/>
                </w:tcPr>
                <w:p w14:paraId="58A09A21"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299 mg/kg bw</w:t>
                  </w:r>
                </w:p>
              </w:tc>
            </w:tr>
            <w:tr w:rsidR="002C2BB0" w:rsidRPr="0098635C" w14:paraId="77D4081C" w14:textId="77777777" w:rsidTr="002C2BB0">
              <w:tc>
                <w:tcPr>
                  <w:tcW w:w="1281" w:type="pct"/>
                </w:tcPr>
                <w:p w14:paraId="227660DB" w14:textId="77777777" w:rsidR="002C2BB0" w:rsidRPr="0098635C" w:rsidRDefault="002C2BB0" w:rsidP="002C2BB0">
                  <w:pPr>
                    <w:spacing w:after="0"/>
                    <w:ind w:left="34"/>
                    <w:rPr>
                      <w:color w:val="000000"/>
                      <w:sz w:val="20"/>
                      <w:szCs w:val="20"/>
                      <w:lang w:eastAsia="ja-JP"/>
                    </w:rPr>
                  </w:pPr>
                  <w:r w:rsidRPr="0098635C">
                    <w:rPr>
                      <w:color w:val="000000"/>
                      <w:sz w:val="20"/>
                      <w:szCs w:val="20"/>
                      <w:lang w:eastAsia="ja-JP"/>
                    </w:rPr>
                    <w:t>LD</w:t>
                  </w:r>
                  <w:r w:rsidRPr="0098635C">
                    <w:rPr>
                      <w:color w:val="000000"/>
                      <w:sz w:val="20"/>
                      <w:szCs w:val="20"/>
                      <w:vertAlign w:val="subscript"/>
                      <w:lang w:eastAsia="ja-JP"/>
                    </w:rPr>
                    <w:t>50</w:t>
                  </w:r>
                  <w:r w:rsidRPr="0098635C">
                    <w:rPr>
                      <w:color w:val="000000"/>
                      <w:sz w:val="20"/>
                      <w:szCs w:val="20"/>
                      <w:lang w:eastAsia="ja-JP"/>
                    </w:rPr>
                    <w:t>, oral, rat  (m/f)</w:t>
                  </w:r>
                </w:p>
              </w:tc>
              <w:tc>
                <w:tcPr>
                  <w:tcW w:w="1204" w:type="pct"/>
                </w:tcPr>
                <w:p w14:paraId="326E6350" w14:textId="77777777" w:rsidR="002C2BB0" w:rsidRPr="0098635C" w:rsidRDefault="002C2BB0" w:rsidP="002C2BB0">
                  <w:pPr>
                    <w:spacing w:after="0"/>
                    <w:ind w:left="77"/>
                    <w:rPr>
                      <w:color w:val="000000"/>
                      <w:sz w:val="20"/>
                      <w:szCs w:val="20"/>
                      <w:lang w:eastAsia="ja-JP"/>
                    </w:rPr>
                  </w:pPr>
                  <w:r w:rsidRPr="0098635C">
                    <w:rPr>
                      <w:color w:val="000000"/>
                      <w:sz w:val="20"/>
                      <w:szCs w:val="20"/>
                      <w:lang w:eastAsia="ja-JP"/>
                    </w:rPr>
                    <w:t>Copper sulphate pe</w:t>
                  </w:r>
                  <w:r w:rsidRPr="0098635C">
                    <w:rPr>
                      <w:color w:val="000000"/>
                      <w:sz w:val="20"/>
                      <w:szCs w:val="20"/>
                      <w:lang w:eastAsia="ja-JP"/>
                    </w:rPr>
                    <w:t>n</w:t>
                  </w:r>
                  <w:r w:rsidRPr="0098635C">
                    <w:rPr>
                      <w:color w:val="000000"/>
                      <w:sz w:val="20"/>
                      <w:szCs w:val="20"/>
                      <w:lang w:eastAsia="ja-JP"/>
                    </w:rPr>
                    <w:t>tahydrate</w:t>
                  </w:r>
                </w:p>
              </w:tc>
              <w:tc>
                <w:tcPr>
                  <w:tcW w:w="1393" w:type="pct"/>
                </w:tcPr>
                <w:p w14:paraId="4FE4BEEA" w14:textId="77777777" w:rsidR="002C2BB0" w:rsidRPr="0098635C" w:rsidRDefault="002C2BB0" w:rsidP="002C2BB0">
                  <w:pPr>
                    <w:spacing w:after="0"/>
                    <w:ind w:left="39"/>
                    <w:rPr>
                      <w:color w:val="000000"/>
                      <w:sz w:val="20"/>
                      <w:szCs w:val="20"/>
                      <w:lang w:eastAsia="ja-JP"/>
                    </w:rPr>
                  </w:pPr>
                </w:p>
              </w:tc>
              <w:tc>
                <w:tcPr>
                  <w:tcW w:w="1122" w:type="pct"/>
                  <w:shd w:val="clear" w:color="auto" w:fill="auto"/>
                </w:tcPr>
                <w:p w14:paraId="157D0275"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481 mg/kg bw</w:t>
                  </w:r>
                </w:p>
              </w:tc>
            </w:tr>
            <w:tr w:rsidR="002C2BB0" w:rsidRPr="0098635C" w14:paraId="4066A323" w14:textId="77777777" w:rsidTr="002C2BB0">
              <w:tc>
                <w:tcPr>
                  <w:tcW w:w="1281" w:type="pct"/>
                </w:tcPr>
                <w:p w14:paraId="1C481090" w14:textId="77777777" w:rsidR="002C2BB0" w:rsidRPr="0098635C" w:rsidRDefault="002C2BB0" w:rsidP="002C2BB0">
                  <w:pPr>
                    <w:spacing w:after="0"/>
                    <w:ind w:left="34"/>
                    <w:rPr>
                      <w:color w:val="000000"/>
                      <w:sz w:val="20"/>
                      <w:szCs w:val="20"/>
                      <w:lang w:eastAsia="ja-JP"/>
                    </w:rPr>
                  </w:pPr>
                  <w:r w:rsidRPr="0098635C">
                    <w:rPr>
                      <w:color w:val="000000"/>
                      <w:sz w:val="20"/>
                      <w:szCs w:val="20"/>
                      <w:lang w:eastAsia="ja-JP"/>
                    </w:rPr>
                    <w:t>LD</w:t>
                  </w:r>
                  <w:r w:rsidRPr="0098635C">
                    <w:rPr>
                      <w:color w:val="000000"/>
                      <w:sz w:val="20"/>
                      <w:szCs w:val="20"/>
                      <w:vertAlign w:val="subscript"/>
                      <w:lang w:eastAsia="ja-JP"/>
                    </w:rPr>
                    <w:t>50</w:t>
                  </w:r>
                  <w:r w:rsidRPr="0098635C">
                    <w:rPr>
                      <w:color w:val="000000"/>
                      <w:sz w:val="20"/>
                      <w:szCs w:val="20"/>
                      <w:lang w:eastAsia="ja-JP"/>
                    </w:rPr>
                    <w:t>, oral, rat  (m/f)</w:t>
                  </w:r>
                </w:p>
              </w:tc>
              <w:tc>
                <w:tcPr>
                  <w:tcW w:w="1204" w:type="pct"/>
                </w:tcPr>
                <w:p w14:paraId="13B0177E" w14:textId="77777777" w:rsidR="002C2BB0" w:rsidRPr="0098635C" w:rsidRDefault="002C2BB0" w:rsidP="002C2BB0">
                  <w:pPr>
                    <w:spacing w:after="0"/>
                    <w:ind w:left="77"/>
                    <w:rPr>
                      <w:color w:val="000000"/>
                      <w:sz w:val="20"/>
                      <w:szCs w:val="20"/>
                      <w:lang w:eastAsia="ja-JP"/>
                    </w:rPr>
                  </w:pPr>
                  <w:r w:rsidRPr="0098635C">
                    <w:rPr>
                      <w:color w:val="000000"/>
                      <w:sz w:val="20"/>
                      <w:szCs w:val="20"/>
                      <w:lang w:eastAsia="ja-JP"/>
                    </w:rPr>
                    <w:t>Copper sulphate pe</w:t>
                  </w:r>
                  <w:r w:rsidRPr="0098635C">
                    <w:rPr>
                      <w:color w:val="000000"/>
                      <w:sz w:val="20"/>
                      <w:szCs w:val="20"/>
                      <w:lang w:eastAsia="ja-JP"/>
                    </w:rPr>
                    <w:t>n</w:t>
                  </w:r>
                  <w:r w:rsidRPr="0098635C">
                    <w:rPr>
                      <w:color w:val="000000"/>
                      <w:sz w:val="20"/>
                      <w:szCs w:val="20"/>
                      <w:lang w:eastAsia="ja-JP"/>
                    </w:rPr>
                    <w:t xml:space="preserve">tahydrate </w:t>
                  </w:r>
                </w:p>
              </w:tc>
              <w:tc>
                <w:tcPr>
                  <w:tcW w:w="1393" w:type="pct"/>
                </w:tcPr>
                <w:p w14:paraId="6581F292"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Lethargy, prostate po</w:t>
                  </w:r>
                  <w:r w:rsidRPr="0098635C">
                    <w:rPr>
                      <w:color w:val="000000"/>
                      <w:sz w:val="20"/>
                      <w:szCs w:val="20"/>
                      <w:lang w:eastAsia="ja-JP"/>
                    </w:rPr>
                    <w:t>s</w:t>
                  </w:r>
                  <w:r w:rsidRPr="0098635C">
                    <w:rPr>
                      <w:color w:val="000000"/>
                      <w:sz w:val="20"/>
                      <w:szCs w:val="20"/>
                      <w:lang w:eastAsia="ja-JP"/>
                    </w:rPr>
                    <w:t>ture, green coloured d</w:t>
                  </w:r>
                  <w:r w:rsidRPr="0098635C">
                    <w:rPr>
                      <w:color w:val="000000"/>
                      <w:sz w:val="20"/>
                      <w:szCs w:val="20"/>
                      <w:lang w:eastAsia="ja-JP"/>
                    </w:rPr>
                    <w:t>i</w:t>
                  </w:r>
                  <w:r w:rsidRPr="0098635C">
                    <w:rPr>
                      <w:color w:val="000000"/>
                      <w:sz w:val="20"/>
                      <w:szCs w:val="20"/>
                      <w:lang w:eastAsia="ja-JP"/>
                    </w:rPr>
                    <w:t>arrhea, voiding few fa</w:t>
                  </w:r>
                  <w:r w:rsidRPr="0098635C">
                    <w:rPr>
                      <w:color w:val="000000"/>
                      <w:sz w:val="20"/>
                      <w:szCs w:val="20"/>
                      <w:lang w:eastAsia="ja-JP"/>
                    </w:rPr>
                    <w:t>e</w:t>
                  </w:r>
                  <w:r w:rsidRPr="0098635C">
                    <w:rPr>
                      <w:color w:val="000000"/>
                      <w:sz w:val="20"/>
                      <w:szCs w:val="20"/>
                      <w:lang w:eastAsia="ja-JP"/>
                    </w:rPr>
                    <w:t>ces and moribund</w:t>
                  </w:r>
                  <w:r w:rsidRPr="0098635C">
                    <w:rPr>
                      <w:color w:val="000000"/>
                      <w:sz w:val="20"/>
                      <w:szCs w:val="20"/>
                      <w:lang w:eastAsia="ja-JP"/>
                    </w:rPr>
                    <w:t>i</w:t>
                  </w:r>
                  <w:r w:rsidRPr="0098635C">
                    <w:rPr>
                      <w:color w:val="000000"/>
                      <w:sz w:val="20"/>
                      <w:szCs w:val="20"/>
                      <w:lang w:eastAsia="ja-JP"/>
                    </w:rPr>
                    <w:t>ty</w:t>
                  </w:r>
                </w:p>
              </w:tc>
              <w:tc>
                <w:tcPr>
                  <w:tcW w:w="1122" w:type="pct"/>
                  <w:shd w:val="clear" w:color="auto" w:fill="auto"/>
                </w:tcPr>
                <w:p w14:paraId="4543B4EA"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 xml:space="preserve">482 mg/kg bw </w:t>
                  </w:r>
                </w:p>
                <w:p w14:paraId="518041BC" w14:textId="77777777" w:rsidR="002C2BB0" w:rsidRPr="0098635C" w:rsidRDefault="002C2BB0" w:rsidP="002C2BB0">
                  <w:pPr>
                    <w:spacing w:after="0"/>
                    <w:ind w:left="39"/>
                    <w:rPr>
                      <w:color w:val="000000"/>
                      <w:sz w:val="20"/>
                      <w:szCs w:val="20"/>
                      <w:lang w:eastAsia="ja-JP"/>
                    </w:rPr>
                  </w:pPr>
                </w:p>
              </w:tc>
            </w:tr>
            <w:tr w:rsidR="002C2BB0" w:rsidRPr="0098635C" w14:paraId="7B335C46" w14:textId="77777777" w:rsidTr="002C2BB0">
              <w:tc>
                <w:tcPr>
                  <w:tcW w:w="1281" w:type="pct"/>
                </w:tcPr>
                <w:p w14:paraId="3C8D4763" w14:textId="77777777" w:rsidR="002C2BB0" w:rsidRPr="0098635C" w:rsidRDefault="002C2BB0" w:rsidP="002C2BB0">
                  <w:pPr>
                    <w:spacing w:after="0"/>
                    <w:ind w:left="34"/>
                    <w:rPr>
                      <w:color w:val="000000"/>
                      <w:sz w:val="20"/>
                      <w:szCs w:val="20"/>
                      <w:lang w:eastAsia="ja-JP"/>
                    </w:rPr>
                  </w:pPr>
                  <w:r w:rsidRPr="0098635C">
                    <w:rPr>
                      <w:color w:val="000000"/>
                      <w:sz w:val="20"/>
                      <w:szCs w:val="20"/>
                      <w:lang w:eastAsia="ja-JP"/>
                    </w:rPr>
                    <w:t>LD</w:t>
                  </w:r>
                  <w:r w:rsidRPr="0098635C">
                    <w:rPr>
                      <w:color w:val="000000"/>
                      <w:sz w:val="20"/>
                      <w:szCs w:val="20"/>
                      <w:vertAlign w:val="subscript"/>
                      <w:lang w:eastAsia="ja-JP"/>
                    </w:rPr>
                    <w:t>50</w:t>
                  </w:r>
                  <w:r w:rsidRPr="0098635C">
                    <w:rPr>
                      <w:color w:val="000000"/>
                      <w:sz w:val="20"/>
                      <w:szCs w:val="20"/>
                      <w:lang w:eastAsia="ja-JP"/>
                    </w:rPr>
                    <w:t>, oral, rat  (m/f)</w:t>
                  </w:r>
                </w:p>
              </w:tc>
              <w:tc>
                <w:tcPr>
                  <w:tcW w:w="1204" w:type="pct"/>
                </w:tcPr>
                <w:p w14:paraId="12F87A5B" w14:textId="77777777" w:rsidR="002C2BB0" w:rsidRPr="0098635C" w:rsidRDefault="002C2BB0" w:rsidP="002C2BB0">
                  <w:pPr>
                    <w:spacing w:after="0"/>
                    <w:ind w:left="77"/>
                    <w:rPr>
                      <w:color w:val="000000"/>
                      <w:sz w:val="20"/>
                      <w:szCs w:val="20"/>
                      <w:lang w:eastAsia="ja-JP"/>
                    </w:rPr>
                  </w:pPr>
                  <w:r w:rsidRPr="0098635C">
                    <w:rPr>
                      <w:color w:val="000000"/>
                      <w:sz w:val="20"/>
                      <w:szCs w:val="20"/>
                      <w:lang w:eastAsia="ja-JP"/>
                    </w:rPr>
                    <w:t>Dicopper oxide</w:t>
                  </w:r>
                </w:p>
              </w:tc>
              <w:tc>
                <w:tcPr>
                  <w:tcW w:w="1393" w:type="pct"/>
                </w:tcPr>
                <w:p w14:paraId="617AC348"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Piloerection, hunched posture, lethargy, d</w:t>
                  </w:r>
                  <w:r w:rsidRPr="0098635C">
                    <w:rPr>
                      <w:color w:val="000000"/>
                      <w:sz w:val="20"/>
                      <w:szCs w:val="20"/>
                      <w:lang w:eastAsia="ja-JP"/>
                    </w:rPr>
                    <w:t>e</w:t>
                  </w:r>
                  <w:r w:rsidRPr="0098635C">
                    <w:rPr>
                      <w:color w:val="000000"/>
                      <w:sz w:val="20"/>
                      <w:szCs w:val="20"/>
                      <w:lang w:eastAsia="ja-JP"/>
                    </w:rPr>
                    <w:t>creased re</w:t>
                  </w:r>
                  <w:r w:rsidRPr="0098635C">
                    <w:rPr>
                      <w:color w:val="000000"/>
                      <w:sz w:val="20"/>
                      <w:szCs w:val="20"/>
                      <w:lang w:eastAsia="ja-JP"/>
                    </w:rPr>
                    <w:t>s</w:t>
                  </w:r>
                  <w:r w:rsidRPr="0098635C">
                    <w:rPr>
                      <w:color w:val="000000"/>
                      <w:sz w:val="20"/>
                      <w:szCs w:val="20"/>
                      <w:lang w:eastAsia="ja-JP"/>
                    </w:rPr>
                    <w:t>piratory rate and dia</w:t>
                  </w:r>
                  <w:r w:rsidRPr="0098635C">
                    <w:rPr>
                      <w:color w:val="000000"/>
                      <w:sz w:val="20"/>
                      <w:szCs w:val="20"/>
                      <w:lang w:eastAsia="ja-JP"/>
                    </w:rPr>
                    <w:t>r</w:t>
                  </w:r>
                  <w:r w:rsidRPr="0098635C">
                    <w:rPr>
                      <w:color w:val="000000"/>
                      <w:sz w:val="20"/>
                      <w:szCs w:val="20"/>
                      <w:lang w:eastAsia="ja-JP"/>
                    </w:rPr>
                    <w:t>rhea.</w:t>
                  </w:r>
                </w:p>
              </w:tc>
              <w:tc>
                <w:tcPr>
                  <w:tcW w:w="1122" w:type="pct"/>
                  <w:shd w:val="clear" w:color="auto" w:fill="auto"/>
                </w:tcPr>
                <w:p w14:paraId="3DA29346"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1,625 mg/kg bw (m)</w:t>
                  </w:r>
                </w:p>
                <w:p w14:paraId="20F8B069"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928-2,000 mg/kg dw (f)</w:t>
                  </w:r>
                </w:p>
                <w:p w14:paraId="7F9466A9"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1,340 mg/kg bw (m/f)</w:t>
                  </w:r>
                </w:p>
              </w:tc>
            </w:tr>
            <w:tr w:rsidR="002C2BB0" w:rsidRPr="0098635C" w14:paraId="1B738AB2" w14:textId="77777777" w:rsidTr="002C2BB0">
              <w:tc>
                <w:tcPr>
                  <w:tcW w:w="1281" w:type="pct"/>
                </w:tcPr>
                <w:p w14:paraId="7C67E56F" w14:textId="77777777" w:rsidR="002C2BB0" w:rsidRPr="0098635C" w:rsidRDefault="002C2BB0" w:rsidP="002C2BB0">
                  <w:pPr>
                    <w:spacing w:after="0"/>
                    <w:ind w:left="34"/>
                    <w:rPr>
                      <w:color w:val="000000"/>
                      <w:sz w:val="20"/>
                      <w:szCs w:val="20"/>
                      <w:lang w:eastAsia="ja-JP"/>
                    </w:rPr>
                  </w:pPr>
                  <w:r w:rsidRPr="0098635C">
                    <w:rPr>
                      <w:color w:val="000000"/>
                      <w:sz w:val="20"/>
                      <w:szCs w:val="20"/>
                      <w:lang w:eastAsia="ja-JP"/>
                    </w:rPr>
                    <w:t>LD</w:t>
                  </w:r>
                  <w:r w:rsidRPr="0098635C">
                    <w:rPr>
                      <w:color w:val="000000"/>
                      <w:sz w:val="20"/>
                      <w:szCs w:val="20"/>
                      <w:vertAlign w:val="subscript"/>
                      <w:lang w:eastAsia="ja-JP"/>
                    </w:rPr>
                    <w:t>50</w:t>
                  </w:r>
                  <w:r w:rsidRPr="0098635C">
                    <w:rPr>
                      <w:color w:val="000000"/>
                      <w:sz w:val="20"/>
                      <w:szCs w:val="20"/>
                      <w:lang w:eastAsia="ja-JP"/>
                    </w:rPr>
                    <w:t>, oral, rat  (m/f)</w:t>
                  </w:r>
                </w:p>
              </w:tc>
              <w:tc>
                <w:tcPr>
                  <w:tcW w:w="1204" w:type="pct"/>
                </w:tcPr>
                <w:p w14:paraId="38D9C4D7" w14:textId="77777777" w:rsidR="002C2BB0" w:rsidRPr="0098635C" w:rsidRDefault="002C2BB0" w:rsidP="002C2BB0">
                  <w:pPr>
                    <w:spacing w:after="0"/>
                    <w:ind w:left="77"/>
                    <w:rPr>
                      <w:color w:val="000000"/>
                      <w:sz w:val="20"/>
                      <w:szCs w:val="20"/>
                      <w:lang w:eastAsia="ja-JP"/>
                    </w:rPr>
                  </w:pPr>
                  <w:r w:rsidRPr="0098635C">
                    <w:rPr>
                      <w:color w:val="000000"/>
                      <w:sz w:val="20"/>
                      <w:szCs w:val="20"/>
                      <w:lang w:eastAsia="ja-JP"/>
                    </w:rPr>
                    <w:t>Dicopper chloride trihydro</w:t>
                  </w:r>
                  <w:r w:rsidRPr="0098635C">
                    <w:rPr>
                      <w:color w:val="000000"/>
                      <w:sz w:val="20"/>
                      <w:szCs w:val="20"/>
                      <w:lang w:eastAsia="ja-JP"/>
                    </w:rPr>
                    <w:t>x</w:t>
                  </w:r>
                  <w:r w:rsidRPr="0098635C">
                    <w:rPr>
                      <w:color w:val="000000"/>
                      <w:sz w:val="20"/>
                      <w:szCs w:val="20"/>
                      <w:lang w:eastAsia="ja-JP"/>
                    </w:rPr>
                    <w:t>ide</w:t>
                  </w:r>
                </w:p>
              </w:tc>
              <w:tc>
                <w:tcPr>
                  <w:tcW w:w="1393" w:type="pct"/>
                </w:tcPr>
                <w:p w14:paraId="15614D24" w14:textId="77777777" w:rsidR="002C2BB0" w:rsidRPr="0098635C" w:rsidRDefault="002C2BB0" w:rsidP="002C2BB0">
                  <w:pPr>
                    <w:spacing w:after="0"/>
                    <w:ind w:left="39"/>
                    <w:rPr>
                      <w:color w:val="000000"/>
                      <w:sz w:val="20"/>
                      <w:szCs w:val="20"/>
                      <w:lang w:eastAsia="ja-JP"/>
                    </w:rPr>
                  </w:pPr>
                </w:p>
              </w:tc>
              <w:tc>
                <w:tcPr>
                  <w:tcW w:w="1122" w:type="pct"/>
                  <w:shd w:val="clear" w:color="auto" w:fill="auto"/>
                </w:tcPr>
                <w:p w14:paraId="50D91A2B"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1,796 mg/kg bw (m)</w:t>
                  </w:r>
                </w:p>
                <w:p w14:paraId="33CDD763"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2,006 mg/kg bw (f)</w:t>
                  </w:r>
                </w:p>
                <w:p w14:paraId="7ACCBCCA"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1,862 mg/kg bw (m/f)</w:t>
                  </w:r>
                </w:p>
              </w:tc>
            </w:tr>
            <w:tr w:rsidR="002C2BB0" w:rsidRPr="0098635C" w14:paraId="16CB03F1" w14:textId="77777777" w:rsidTr="002C2BB0">
              <w:tc>
                <w:tcPr>
                  <w:tcW w:w="1281" w:type="pct"/>
                </w:tcPr>
                <w:p w14:paraId="3A9C8523" w14:textId="77777777" w:rsidR="002C2BB0" w:rsidRPr="0098635C" w:rsidRDefault="002C2BB0" w:rsidP="002C2BB0">
                  <w:pPr>
                    <w:spacing w:after="0"/>
                    <w:ind w:left="34"/>
                    <w:rPr>
                      <w:color w:val="000000"/>
                      <w:sz w:val="20"/>
                      <w:szCs w:val="20"/>
                      <w:lang w:eastAsia="ja-JP"/>
                    </w:rPr>
                  </w:pPr>
                  <w:r w:rsidRPr="0098635C">
                    <w:rPr>
                      <w:color w:val="000000"/>
                      <w:sz w:val="20"/>
                      <w:szCs w:val="20"/>
                      <w:lang w:eastAsia="ja-JP"/>
                    </w:rPr>
                    <w:t>LD</w:t>
                  </w:r>
                  <w:r w:rsidRPr="0098635C">
                    <w:rPr>
                      <w:color w:val="000000"/>
                      <w:sz w:val="20"/>
                      <w:szCs w:val="20"/>
                      <w:vertAlign w:val="subscript"/>
                      <w:lang w:eastAsia="ja-JP"/>
                    </w:rPr>
                    <w:t>50</w:t>
                  </w:r>
                  <w:r w:rsidRPr="0098635C">
                    <w:rPr>
                      <w:color w:val="000000"/>
                      <w:sz w:val="20"/>
                      <w:szCs w:val="20"/>
                      <w:lang w:eastAsia="ja-JP"/>
                    </w:rPr>
                    <w:t>, oral, rat  (m/f)</w:t>
                  </w:r>
                </w:p>
              </w:tc>
              <w:tc>
                <w:tcPr>
                  <w:tcW w:w="1204" w:type="pct"/>
                </w:tcPr>
                <w:p w14:paraId="21AC6B94" w14:textId="77777777" w:rsidR="002C2BB0" w:rsidRPr="0098635C" w:rsidRDefault="002C2BB0" w:rsidP="002C2BB0">
                  <w:pPr>
                    <w:spacing w:after="0"/>
                    <w:ind w:left="77"/>
                    <w:rPr>
                      <w:color w:val="000000"/>
                      <w:sz w:val="20"/>
                      <w:szCs w:val="20"/>
                      <w:lang w:eastAsia="ja-JP"/>
                    </w:rPr>
                  </w:pPr>
                  <w:r w:rsidRPr="0098635C">
                    <w:rPr>
                      <w:color w:val="000000"/>
                      <w:sz w:val="20"/>
                      <w:szCs w:val="20"/>
                      <w:lang w:eastAsia="ja-JP"/>
                    </w:rPr>
                    <w:t>Dicopper chloride trihydroxide</w:t>
                  </w:r>
                </w:p>
              </w:tc>
              <w:tc>
                <w:tcPr>
                  <w:tcW w:w="1393" w:type="pct"/>
                </w:tcPr>
                <w:p w14:paraId="6EA7DAC3" w14:textId="77777777" w:rsidR="002C2BB0" w:rsidRPr="0098635C" w:rsidRDefault="002C2BB0" w:rsidP="002C2BB0">
                  <w:pPr>
                    <w:spacing w:after="0"/>
                    <w:ind w:left="39"/>
                    <w:rPr>
                      <w:color w:val="000000"/>
                      <w:sz w:val="20"/>
                      <w:szCs w:val="20"/>
                      <w:lang w:eastAsia="ja-JP"/>
                    </w:rPr>
                  </w:pPr>
                </w:p>
              </w:tc>
              <w:tc>
                <w:tcPr>
                  <w:tcW w:w="1122" w:type="pct"/>
                  <w:shd w:val="clear" w:color="auto" w:fill="auto"/>
                </w:tcPr>
                <w:p w14:paraId="38806E6A"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1,083 mg/kg bw (m)</w:t>
                  </w:r>
                </w:p>
                <w:p w14:paraId="3218B0D9"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1,854 mg/kg bw (f)</w:t>
                  </w:r>
                </w:p>
                <w:p w14:paraId="78455496"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1,398 mg/kg bw (m/f)</w:t>
                  </w:r>
                </w:p>
              </w:tc>
            </w:tr>
          </w:tbl>
          <w:p w14:paraId="0562FB5D" w14:textId="77777777" w:rsidR="002C2BB0" w:rsidRPr="0098635C" w:rsidRDefault="002C2BB0" w:rsidP="002C2BB0">
            <w:pPr>
              <w:spacing w:after="0"/>
              <w:rPr>
                <w:i/>
                <w:sz w:val="20"/>
                <w:szCs w:val="20"/>
                <w:lang w:eastAsia="ja-JP"/>
              </w:rPr>
            </w:pPr>
            <w:r w:rsidRPr="0098635C">
              <w:rPr>
                <w:i/>
                <w:sz w:val="20"/>
                <w:szCs w:val="20"/>
                <w:lang w:eastAsia="ja-JP"/>
              </w:rPr>
              <w:t>Read across and bridging for acute oral toxicity</w:t>
            </w:r>
          </w:p>
          <w:p w14:paraId="4151C4D9" w14:textId="77777777" w:rsidR="002C2BB0" w:rsidRPr="0098635C" w:rsidRDefault="002C2BB0" w:rsidP="002C2BB0">
            <w:pPr>
              <w:spacing w:after="0"/>
              <w:rPr>
                <w:rFonts w:eastAsia="Calibri"/>
                <w:sz w:val="20"/>
                <w:szCs w:val="20"/>
              </w:rPr>
            </w:pPr>
            <w:r w:rsidRPr="0098635C">
              <w:rPr>
                <w:sz w:val="20"/>
                <w:szCs w:val="20"/>
                <w:lang w:eastAsia="ja-JP"/>
              </w:rPr>
              <w:t xml:space="preserve">For copper massive and uncoated copper powder, the acute oral toxicity can be predicted using </w:t>
            </w:r>
            <w:r w:rsidRPr="0098635C">
              <w:rPr>
                <w:i/>
                <w:sz w:val="20"/>
                <w:szCs w:val="20"/>
                <w:lang w:eastAsia="ja-JP"/>
              </w:rPr>
              <w:t>in vitro</w:t>
            </w:r>
            <w:r w:rsidRPr="0098635C">
              <w:rPr>
                <w:sz w:val="20"/>
                <w:szCs w:val="20"/>
                <w:lang w:eastAsia="ja-JP"/>
              </w:rPr>
              <w:t xml:space="preserve"> studies and available toxicity studies on other forms of copper and copper compounds.  </w:t>
            </w:r>
            <w:r w:rsidRPr="0098635C">
              <w:rPr>
                <w:rFonts w:eastAsia="Calibri"/>
                <w:i/>
                <w:sz w:val="20"/>
                <w:szCs w:val="20"/>
              </w:rPr>
              <w:t>In vivo</w:t>
            </w:r>
            <w:r w:rsidRPr="0098635C">
              <w:rPr>
                <w:rFonts w:eastAsia="Calibri"/>
                <w:sz w:val="20"/>
                <w:szCs w:val="20"/>
              </w:rPr>
              <w:t xml:space="preserve"> acute oral toxicity tests are available for several copper bearing materials. The results of the appropriate oral toxicity studies are su</w:t>
            </w:r>
            <w:r w:rsidRPr="0098635C">
              <w:rPr>
                <w:rFonts w:eastAsia="Calibri"/>
                <w:sz w:val="20"/>
                <w:szCs w:val="20"/>
              </w:rPr>
              <w:t>m</w:t>
            </w:r>
            <w:r w:rsidRPr="0098635C">
              <w:rPr>
                <w:rFonts w:eastAsia="Calibri"/>
                <w:sz w:val="20"/>
                <w:szCs w:val="20"/>
              </w:rPr>
              <w:t>marised below.  These include data on 2 substances, dicopper chloride and dicopper sulphide, which are not included in this OECD CoCam review programme.</w:t>
            </w:r>
          </w:p>
          <w:p w14:paraId="78F99D28" w14:textId="77777777" w:rsidR="002C2BB0" w:rsidRPr="0098635C" w:rsidRDefault="002C2BB0" w:rsidP="0059369A">
            <w:pPr>
              <w:numPr>
                <w:ilvl w:val="0"/>
                <w:numId w:val="28"/>
              </w:numPr>
              <w:autoSpaceDE/>
              <w:autoSpaceDN/>
              <w:spacing w:after="0" w:line="276" w:lineRule="auto"/>
              <w:ind w:left="709"/>
              <w:contextualSpacing/>
              <w:textAlignment w:val="baseline"/>
              <w:rPr>
                <w:rFonts w:eastAsia="Calibri"/>
                <w:sz w:val="20"/>
                <w:szCs w:val="20"/>
              </w:rPr>
            </w:pPr>
            <w:r w:rsidRPr="0098635C">
              <w:rPr>
                <w:rFonts w:eastAsia="Calibri"/>
                <w:sz w:val="20"/>
                <w:szCs w:val="20"/>
              </w:rPr>
              <w:t>The acute oral effects - LD</w:t>
            </w:r>
            <w:r w:rsidRPr="0098635C">
              <w:rPr>
                <w:rFonts w:eastAsia="Calibri"/>
                <w:sz w:val="20"/>
                <w:szCs w:val="20"/>
                <w:vertAlign w:val="subscript"/>
              </w:rPr>
              <w:t>50</w:t>
            </w:r>
            <w:r w:rsidRPr="0098635C">
              <w:rPr>
                <w:rFonts w:eastAsia="Calibri"/>
                <w:sz w:val="20"/>
                <w:szCs w:val="20"/>
              </w:rPr>
              <w:t xml:space="preserve"> - observed for coated copper flakes are b</w:t>
            </w:r>
            <w:r w:rsidRPr="0098635C">
              <w:rPr>
                <w:rFonts w:eastAsia="Calibri"/>
                <w:sz w:val="20"/>
                <w:szCs w:val="20"/>
              </w:rPr>
              <w:t>e</w:t>
            </w:r>
            <w:r w:rsidRPr="0098635C">
              <w:rPr>
                <w:rFonts w:eastAsia="Calibri"/>
                <w:sz w:val="20"/>
                <w:szCs w:val="20"/>
              </w:rPr>
              <w:t>tween 300 and 500 mg/kg.</w:t>
            </w:r>
          </w:p>
          <w:p w14:paraId="1B0F100E" w14:textId="77777777" w:rsidR="002C2BB0" w:rsidRPr="0098635C" w:rsidRDefault="002C2BB0" w:rsidP="0059369A">
            <w:pPr>
              <w:numPr>
                <w:ilvl w:val="0"/>
                <w:numId w:val="28"/>
              </w:numPr>
              <w:autoSpaceDE/>
              <w:autoSpaceDN/>
              <w:spacing w:after="0" w:line="276" w:lineRule="auto"/>
              <w:ind w:left="709"/>
              <w:contextualSpacing/>
              <w:textAlignment w:val="baseline"/>
              <w:rPr>
                <w:rFonts w:eastAsia="Calibri"/>
                <w:sz w:val="20"/>
                <w:szCs w:val="20"/>
              </w:rPr>
            </w:pPr>
            <w:r w:rsidRPr="0098635C">
              <w:rPr>
                <w:rFonts w:eastAsia="Calibri"/>
                <w:sz w:val="20"/>
                <w:szCs w:val="20"/>
              </w:rPr>
              <w:t>The acute oral effects - LD</w:t>
            </w:r>
            <w:r w:rsidRPr="0098635C">
              <w:rPr>
                <w:rFonts w:eastAsia="Calibri"/>
                <w:sz w:val="20"/>
                <w:szCs w:val="20"/>
                <w:vertAlign w:val="subscript"/>
              </w:rPr>
              <w:t>50</w:t>
            </w:r>
            <w:r w:rsidRPr="0098635C">
              <w:rPr>
                <w:rFonts w:eastAsia="Calibri"/>
                <w:sz w:val="20"/>
                <w:szCs w:val="20"/>
              </w:rPr>
              <w:t xml:space="preserve"> - observed for copper sulphate pentah</w:t>
            </w:r>
            <w:r w:rsidRPr="0098635C">
              <w:rPr>
                <w:rFonts w:eastAsia="Calibri"/>
                <w:sz w:val="20"/>
                <w:szCs w:val="20"/>
              </w:rPr>
              <w:t>y</w:t>
            </w:r>
            <w:r w:rsidRPr="0098635C">
              <w:rPr>
                <w:rFonts w:eastAsia="Calibri"/>
                <w:sz w:val="20"/>
                <w:szCs w:val="20"/>
              </w:rPr>
              <w:t>drate:  481 mg/kg.</w:t>
            </w:r>
          </w:p>
          <w:p w14:paraId="2BE79AC4" w14:textId="77777777" w:rsidR="002C2BB0" w:rsidRPr="0098635C" w:rsidRDefault="002C2BB0" w:rsidP="0059369A">
            <w:pPr>
              <w:numPr>
                <w:ilvl w:val="0"/>
                <w:numId w:val="28"/>
              </w:numPr>
              <w:autoSpaceDE/>
              <w:autoSpaceDN/>
              <w:spacing w:after="0" w:line="276" w:lineRule="auto"/>
              <w:ind w:left="709"/>
              <w:contextualSpacing/>
              <w:textAlignment w:val="baseline"/>
              <w:rPr>
                <w:rFonts w:eastAsia="Calibri"/>
                <w:sz w:val="20"/>
                <w:szCs w:val="20"/>
              </w:rPr>
            </w:pPr>
            <w:r w:rsidRPr="0098635C">
              <w:rPr>
                <w:rFonts w:eastAsia="Calibri"/>
                <w:sz w:val="20"/>
                <w:szCs w:val="20"/>
              </w:rPr>
              <w:t>The acute oral lethal effects - LD</w:t>
            </w:r>
            <w:r w:rsidRPr="0098635C">
              <w:rPr>
                <w:rFonts w:eastAsia="Calibri"/>
                <w:sz w:val="20"/>
                <w:szCs w:val="20"/>
                <w:vertAlign w:val="subscript"/>
              </w:rPr>
              <w:t>50</w:t>
            </w:r>
            <w:r w:rsidRPr="0098635C">
              <w:rPr>
                <w:rFonts w:eastAsia="Calibri"/>
                <w:sz w:val="20"/>
                <w:szCs w:val="20"/>
              </w:rPr>
              <w:t xml:space="preserve"> - observed for copper chl</w:t>
            </w:r>
            <w:r w:rsidRPr="0098635C">
              <w:rPr>
                <w:rFonts w:eastAsia="Calibri"/>
                <w:sz w:val="20"/>
                <w:szCs w:val="20"/>
              </w:rPr>
              <w:t>o</w:t>
            </w:r>
            <w:r w:rsidRPr="0098635C">
              <w:rPr>
                <w:rFonts w:eastAsia="Calibri"/>
                <w:sz w:val="20"/>
                <w:szCs w:val="20"/>
              </w:rPr>
              <w:t>ride:  336 mg/kg.</w:t>
            </w:r>
          </w:p>
          <w:p w14:paraId="6F291516" w14:textId="77777777" w:rsidR="002C2BB0" w:rsidRPr="0098635C" w:rsidRDefault="002C2BB0" w:rsidP="0059369A">
            <w:pPr>
              <w:numPr>
                <w:ilvl w:val="0"/>
                <w:numId w:val="28"/>
              </w:numPr>
              <w:autoSpaceDE/>
              <w:autoSpaceDN/>
              <w:spacing w:after="0" w:line="276" w:lineRule="auto"/>
              <w:ind w:left="709"/>
              <w:contextualSpacing/>
              <w:textAlignment w:val="baseline"/>
              <w:rPr>
                <w:rFonts w:eastAsia="Calibri"/>
                <w:sz w:val="20"/>
                <w:szCs w:val="20"/>
              </w:rPr>
            </w:pPr>
            <w:r w:rsidRPr="0098635C">
              <w:rPr>
                <w:rFonts w:eastAsia="Calibri"/>
                <w:sz w:val="20"/>
                <w:szCs w:val="20"/>
              </w:rPr>
              <w:t>The acute oral lethal effects - LD</w:t>
            </w:r>
            <w:r w:rsidRPr="0098635C">
              <w:rPr>
                <w:rFonts w:eastAsia="Calibri"/>
                <w:sz w:val="20"/>
                <w:szCs w:val="20"/>
                <w:vertAlign w:val="subscript"/>
              </w:rPr>
              <w:t>50</w:t>
            </w:r>
            <w:r w:rsidRPr="0098635C">
              <w:rPr>
                <w:rFonts w:eastAsia="Calibri"/>
                <w:sz w:val="20"/>
                <w:szCs w:val="20"/>
              </w:rPr>
              <w:t xml:space="preserve"> - observed for copper o</w:t>
            </w:r>
            <w:r w:rsidRPr="0098635C">
              <w:rPr>
                <w:rFonts w:eastAsia="Calibri"/>
                <w:sz w:val="20"/>
                <w:szCs w:val="20"/>
              </w:rPr>
              <w:t>x</w:t>
            </w:r>
            <w:r w:rsidRPr="0098635C">
              <w:rPr>
                <w:rFonts w:eastAsia="Calibri"/>
                <w:sz w:val="20"/>
                <w:szCs w:val="20"/>
              </w:rPr>
              <w:t xml:space="preserve">ide is &gt;2000 mg/kg </w:t>
            </w:r>
          </w:p>
          <w:p w14:paraId="161ADC90" w14:textId="77777777" w:rsidR="002C2BB0" w:rsidRPr="0098635C" w:rsidRDefault="002C2BB0" w:rsidP="0059369A">
            <w:pPr>
              <w:numPr>
                <w:ilvl w:val="0"/>
                <w:numId w:val="28"/>
              </w:numPr>
              <w:autoSpaceDE/>
              <w:autoSpaceDN/>
              <w:spacing w:after="0" w:line="276" w:lineRule="auto"/>
              <w:ind w:left="709"/>
              <w:contextualSpacing/>
              <w:textAlignment w:val="baseline"/>
              <w:rPr>
                <w:rFonts w:eastAsia="Calibri"/>
                <w:sz w:val="20"/>
                <w:szCs w:val="20"/>
              </w:rPr>
            </w:pPr>
            <w:r w:rsidRPr="0098635C">
              <w:rPr>
                <w:rFonts w:eastAsia="Calibri"/>
                <w:sz w:val="20"/>
                <w:szCs w:val="20"/>
              </w:rPr>
              <w:t>The acute oral lethal effects - LD</w:t>
            </w:r>
            <w:r w:rsidRPr="0098635C">
              <w:rPr>
                <w:rFonts w:eastAsia="Calibri"/>
                <w:sz w:val="20"/>
                <w:szCs w:val="20"/>
                <w:vertAlign w:val="subscript"/>
              </w:rPr>
              <w:t>50</w:t>
            </w:r>
            <w:r w:rsidRPr="0098635C">
              <w:rPr>
                <w:rFonts w:eastAsia="Calibri"/>
                <w:sz w:val="20"/>
                <w:szCs w:val="20"/>
              </w:rPr>
              <w:t xml:space="preserve"> - observed for dicopper sulphide is &gt;2000 mg/kg</w:t>
            </w:r>
          </w:p>
          <w:p w14:paraId="1F8C45A0" w14:textId="77777777" w:rsidR="002C2BB0" w:rsidRPr="0098635C" w:rsidRDefault="002C2BB0" w:rsidP="002C2BB0">
            <w:pPr>
              <w:spacing w:after="0"/>
              <w:rPr>
                <w:rFonts w:eastAsia="Calibri"/>
                <w:sz w:val="20"/>
                <w:szCs w:val="20"/>
              </w:rPr>
            </w:pPr>
            <w:r w:rsidRPr="0098635C">
              <w:rPr>
                <w:rFonts w:eastAsia="Calibri"/>
                <w:sz w:val="20"/>
                <w:szCs w:val="20"/>
              </w:rPr>
              <w:lastRenderedPageBreak/>
              <w:t xml:space="preserve">The acute oral data indicate the importance of bio-availability/bio-accessibility:  </w:t>
            </w:r>
            <w:r w:rsidRPr="0098635C">
              <w:rPr>
                <w:rFonts w:eastAsia="Calibri"/>
                <w:i/>
                <w:sz w:val="20"/>
                <w:szCs w:val="20"/>
              </w:rPr>
              <w:t>in vivo</w:t>
            </w:r>
            <w:r w:rsidRPr="0098635C">
              <w:rPr>
                <w:rFonts w:eastAsia="Calibri"/>
                <w:sz w:val="20"/>
                <w:szCs w:val="20"/>
              </w:rPr>
              <w:t xml:space="preserve"> exposure to hig</w:t>
            </w:r>
            <w:r w:rsidRPr="0098635C">
              <w:rPr>
                <w:rFonts w:eastAsia="Calibri"/>
                <w:sz w:val="20"/>
                <w:szCs w:val="20"/>
              </w:rPr>
              <w:t>h</w:t>
            </w:r>
            <w:r w:rsidRPr="0098635C">
              <w:rPr>
                <w:rFonts w:eastAsia="Calibri"/>
                <w:sz w:val="20"/>
                <w:szCs w:val="20"/>
              </w:rPr>
              <w:t xml:space="preserve">ly bio-accessible copper compounds (coated copper flakes, copper sulphate pentahydrate and copper chloride) results in a higher acute toxicity than </w:t>
            </w:r>
            <w:r w:rsidRPr="0098635C">
              <w:rPr>
                <w:rFonts w:eastAsia="Calibri"/>
                <w:i/>
                <w:sz w:val="20"/>
                <w:szCs w:val="20"/>
              </w:rPr>
              <w:t>in vivo</w:t>
            </w:r>
            <w:r w:rsidRPr="0098635C">
              <w:rPr>
                <w:rFonts w:eastAsia="Calibri"/>
                <w:sz w:val="20"/>
                <w:szCs w:val="20"/>
              </w:rPr>
              <w:t xml:space="preserve"> exposure to less bioaccessible/bioavailable copper oxide and dicopper su</w:t>
            </w:r>
            <w:r w:rsidRPr="0098635C">
              <w:rPr>
                <w:rFonts w:eastAsia="Calibri"/>
                <w:sz w:val="20"/>
                <w:szCs w:val="20"/>
              </w:rPr>
              <w:t>l</w:t>
            </w:r>
            <w:r w:rsidRPr="0098635C">
              <w:rPr>
                <w:rFonts w:eastAsia="Calibri"/>
                <w:sz w:val="20"/>
                <w:szCs w:val="20"/>
              </w:rPr>
              <w:t>phide.  As read-across approach, the measured LD</w:t>
            </w:r>
            <w:r w:rsidRPr="0098635C">
              <w:rPr>
                <w:rFonts w:eastAsia="Calibri"/>
                <w:sz w:val="20"/>
                <w:szCs w:val="20"/>
                <w:vertAlign w:val="subscript"/>
              </w:rPr>
              <w:t>50</w:t>
            </w:r>
            <w:r w:rsidRPr="0098635C">
              <w:rPr>
                <w:rFonts w:eastAsia="Calibri"/>
                <w:sz w:val="20"/>
                <w:szCs w:val="20"/>
              </w:rPr>
              <w:t xml:space="preserve"> values of the all source mat</w:t>
            </w:r>
            <w:r w:rsidRPr="0098635C">
              <w:rPr>
                <w:rFonts w:eastAsia="Calibri"/>
                <w:sz w:val="20"/>
                <w:szCs w:val="20"/>
              </w:rPr>
              <w:t>e</w:t>
            </w:r>
            <w:r w:rsidRPr="0098635C">
              <w:rPr>
                <w:rFonts w:eastAsia="Calibri"/>
                <w:sz w:val="20"/>
                <w:szCs w:val="20"/>
              </w:rPr>
              <w:t>rials (coated flakes, CuS0</w:t>
            </w:r>
            <w:r w:rsidRPr="0098635C">
              <w:rPr>
                <w:rFonts w:eastAsia="Calibri"/>
                <w:sz w:val="20"/>
                <w:szCs w:val="20"/>
                <w:vertAlign w:val="subscript"/>
              </w:rPr>
              <w:t>4.</w:t>
            </w:r>
            <w:r w:rsidRPr="0098635C">
              <w:rPr>
                <w:rFonts w:eastAsia="Calibri"/>
                <w:sz w:val="20"/>
                <w:szCs w:val="20"/>
              </w:rPr>
              <w:t>5H</w:t>
            </w:r>
            <w:r w:rsidRPr="0098635C">
              <w:rPr>
                <w:rFonts w:eastAsia="Calibri"/>
                <w:sz w:val="20"/>
                <w:szCs w:val="20"/>
                <w:vertAlign w:val="subscript"/>
              </w:rPr>
              <w:t>2</w:t>
            </w:r>
            <w:r w:rsidRPr="0098635C">
              <w:rPr>
                <w:rFonts w:eastAsia="Calibri"/>
                <w:sz w:val="20"/>
                <w:szCs w:val="20"/>
              </w:rPr>
              <w:t>O and CuCl) were expressed as mg bio-accessible Cu/kg bw and combined with the % bio-accessible Cu released from the various copper bearing materials to predict the LD</w:t>
            </w:r>
            <w:r w:rsidRPr="0098635C">
              <w:rPr>
                <w:rFonts w:eastAsia="Calibri"/>
                <w:sz w:val="20"/>
                <w:szCs w:val="20"/>
                <w:vertAlign w:val="subscript"/>
              </w:rPr>
              <w:t>50</w:t>
            </w:r>
            <w:r w:rsidRPr="0098635C">
              <w:rPr>
                <w:rFonts w:eastAsia="Calibri"/>
                <w:sz w:val="20"/>
                <w:szCs w:val="20"/>
              </w:rPr>
              <w:t xml:space="preserve"> va</w:t>
            </w:r>
            <w:r w:rsidRPr="0098635C">
              <w:rPr>
                <w:rFonts w:eastAsia="Calibri"/>
                <w:sz w:val="20"/>
                <w:szCs w:val="20"/>
              </w:rPr>
              <w:t>l</w:t>
            </w:r>
            <w:r w:rsidRPr="0098635C">
              <w:rPr>
                <w:rFonts w:eastAsia="Calibri"/>
                <w:sz w:val="20"/>
                <w:szCs w:val="20"/>
              </w:rPr>
              <w:t xml:space="preserve">ues. The results are given below. </w:t>
            </w:r>
          </w:p>
          <w:p w14:paraId="6357BF46" w14:textId="77777777" w:rsidR="002C2BB0" w:rsidRPr="0098635C" w:rsidRDefault="002C2BB0" w:rsidP="002C2BB0">
            <w:pPr>
              <w:spacing w:after="0"/>
              <w:rPr>
                <w:rFonts w:eastAsia="Calibri"/>
                <w:sz w:val="20"/>
                <w:szCs w:val="20"/>
              </w:rPr>
            </w:pPr>
          </w:p>
          <w:p w14:paraId="3851CA74" w14:textId="77777777" w:rsidR="002C2BB0" w:rsidRPr="0098635C" w:rsidRDefault="002C2BB0" w:rsidP="002C2BB0">
            <w:pPr>
              <w:spacing w:after="0"/>
              <w:jc w:val="center"/>
              <w:rPr>
                <w:rFonts w:eastAsia="Calibri"/>
                <w:b/>
                <w:sz w:val="20"/>
                <w:szCs w:val="20"/>
              </w:rPr>
            </w:pPr>
            <w:r w:rsidRPr="0098635C">
              <w:rPr>
                <w:rFonts w:eastAsia="Calibri"/>
                <w:b/>
                <w:sz w:val="20"/>
                <w:szCs w:val="20"/>
              </w:rPr>
              <w:t>Oral LD50 values for the various copper m</w:t>
            </w:r>
            <w:r w:rsidRPr="0098635C">
              <w:rPr>
                <w:rFonts w:eastAsia="Calibri"/>
                <w:b/>
                <w:sz w:val="20"/>
                <w:szCs w:val="20"/>
              </w:rPr>
              <w:t>a</w:t>
            </w:r>
            <w:r w:rsidRPr="0098635C">
              <w:rPr>
                <w:rFonts w:eastAsia="Calibri"/>
                <w:b/>
                <w:sz w:val="20"/>
                <w:szCs w:val="20"/>
              </w:rPr>
              <w:t>terials</w:t>
            </w:r>
          </w:p>
          <w:tbl>
            <w:tblPr>
              <w:tblW w:w="9160" w:type="dxa"/>
              <w:tblLayout w:type="fixed"/>
              <w:tblLook w:val="04A0" w:firstRow="1" w:lastRow="0" w:firstColumn="1" w:lastColumn="0" w:noHBand="0" w:noVBand="1"/>
            </w:tblPr>
            <w:tblGrid>
              <w:gridCol w:w="2240"/>
              <w:gridCol w:w="960"/>
              <w:gridCol w:w="1260"/>
              <w:gridCol w:w="1420"/>
              <w:gridCol w:w="1580"/>
              <w:gridCol w:w="1700"/>
            </w:tblGrid>
            <w:tr w:rsidR="002C2BB0" w:rsidRPr="0098635C" w14:paraId="0632B0AC" w14:textId="77777777" w:rsidTr="002C2BB0">
              <w:trPr>
                <w:trHeight w:val="510"/>
              </w:trPr>
              <w:tc>
                <w:tcPr>
                  <w:tcW w:w="2240" w:type="dxa"/>
                  <w:tcBorders>
                    <w:top w:val="single" w:sz="4" w:space="0" w:color="auto"/>
                    <w:left w:val="single" w:sz="8" w:space="0" w:color="auto"/>
                    <w:bottom w:val="single" w:sz="8" w:space="0" w:color="000000"/>
                    <w:right w:val="single" w:sz="8" w:space="0" w:color="auto"/>
                  </w:tcBorders>
                  <w:vAlign w:val="center"/>
                </w:tcPr>
                <w:p w14:paraId="34D09ECE" w14:textId="77777777" w:rsidR="002C2BB0" w:rsidRPr="0098635C" w:rsidRDefault="002C2BB0" w:rsidP="002C2BB0">
                  <w:pPr>
                    <w:spacing w:after="0"/>
                    <w:rPr>
                      <w:b/>
                      <w:bCs/>
                      <w:color w:val="000000"/>
                      <w:sz w:val="20"/>
                      <w:szCs w:val="20"/>
                      <w:lang w:eastAsia="en-GB"/>
                    </w:rPr>
                  </w:pPr>
                  <w:r w:rsidRPr="0098635C">
                    <w:rPr>
                      <w:b/>
                      <w:bCs/>
                      <w:color w:val="000000"/>
                      <w:sz w:val="20"/>
                      <w:szCs w:val="20"/>
                      <w:lang w:eastAsia="en-GB"/>
                    </w:rPr>
                    <w:t>Cu Material</w:t>
                  </w:r>
                </w:p>
              </w:tc>
              <w:tc>
                <w:tcPr>
                  <w:tcW w:w="960" w:type="dxa"/>
                  <w:tcBorders>
                    <w:top w:val="single" w:sz="4" w:space="0" w:color="auto"/>
                    <w:left w:val="nil"/>
                    <w:bottom w:val="single" w:sz="8" w:space="0" w:color="auto"/>
                    <w:right w:val="single" w:sz="8" w:space="0" w:color="auto"/>
                  </w:tcBorders>
                  <w:shd w:val="clear" w:color="auto" w:fill="auto"/>
                  <w:vAlign w:val="bottom"/>
                </w:tcPr>
                <w:p w14:paraId="4269166F" w14:textId="77777777" w:rsidR="002C2BB0" w:rsidRPr="0098635C" w:rsidRDefault="002C2BB0" w:rsidP="002C2BB0">
                  <w:pPr>
                    <w:spacing w:after="0"/>
                    <w:jc w:val="center"/>
                    <w:rPr>
                      <w:b/>
                      <w:bCs/>
                      <w:color w:val="000000"/>
                      <w:sz w:val="20"/>
                      <w:szCs w:val="20"/>
                      <w:lang w:eastAsia="en-GB"/>
                    </w:rPr>
                  </w:pPr>
                  <w:r w:rsidRPr="0098635C">
                    <w:rPr>
                      <w:b/>
                      <w:bCs/>
                      <w:color w:val="000000"/>
                      <w:sz w:val="20"/>
                      <w:szCs w:val="20"/>
                      <w:lang w:eastAsia="en-GB"/>
                    </w:rPr>
                    <w:t>Copper co</w:t>
                  </w:r>
                  <w:r w:rsidRPr="0098635C">
                    <w:rPr>
                      <w:b/>
                      <w:bCs/>
                      <w:color w:val="000000"/>
                      <w:sz w:val="20"/>
                      <w:szCs w:val="20"/>
                      <w:lang w:eastAsia="en-GB"/>
                    </w:rPr>
                    <w:t>n</w:t>
                  </w:r>
                  <w:r w:rsidRPr="0098635C">
                    <w:rPr>
                      <w:b/>
                      <w:bCs/>
                      <w:color w:val="000000"/>
                      <w:sz w:val="20"/>
                      <w:szCs w:val="20"/>
                      <w:lang w:eastAsia="en-GB"/>
                    </w:rPr>
                    <w:t>tent</w:t>
                  </w:r>
                </w:p>
                <w:p w14:paraId="548E72BF" w14:textId="77777777" w:rsidR="002C2BB0" w:rsidRPr="0098635C" w:rsidRDefault="002C2BB0" w:rsidP="002C2BB0">
                  <w:pPr>
                    <w:spacing w:after="0"/>
                    <w:jc w:val="center"/>
                    <w:rPr>
                      <w:b/>
                      <w:bCs/>
                      <w:color w:val="000000"/>
                      <w:sz w:val="20"/>
                      <w:szCs w:val="20"/>
                      <w:lang w:eastAsia="en-GB"/>
                    </w:rPr>
                  </w:pPr>
                  <w:r w:rsidRPr="0098635C">
                    <w:rPr>
                      <w:b/>
                      <w:bCs/>
                      <w:color w:val="000000"/>
                      <w:sz w:val="20"/>
                      <w:szCs w:val="20"/>
                      <w:lang w:eastAsia="en-GB"/>
                    </w:rPr>
                    <w:t>%</w:t>
                  </w:r>
                </w:p>
              </w:tc>
              <w:tc>
                <w:tcPr>
                  <w:tcW w:w="1260" w:type="dxa"/>
                  <w:tcBorders>
                    <w:top w:val="single" w:sz="4" w:space="0" w:color="auto"/>
                    <w:left w:val="nil"/>
                    <w:bottom w:val="single" w:sz="8" w:space="0" w:color="auto"/>
                    <w:right w:val="single" w:sz="8" w:space="0" w:color="auto"/>
                  </w:tcBorders>
                  <w:shd w:val="clear" w:color="auto" w:fill="auto"/>
                  <w:vAlign w:val="bottom"/>
                </w:tcPr>
                <w:p w14:paraId="77D4DBBB" w14:textId="77777777" w:rsidR="002C2BB0" w:rsidRPr="0098635C" w:rsidRDefault="002C2BB0" w:rsidP="002C2BB0">
                  <w:pPr>
                    <w:spacing w:after="0"/>
                    <w:jc w:val="center"/>
                    <w:rPr>
                      <w:b/>
                      <w:bCs/>
                      <w:color w:val="000000"/>
                      <w:sz w:val="20"/>
                      <w:szCs w:val="20"/>
                      <w:vertAlign w:val="superscript"/>
                      <w:lang w:eastAsia="en-GB"/>
                    </w:rPr>
                  </w:pPr>
                  <w:r w:rsidRPr="0098635C">
                    <w:rPr>
                      <w:b/>
                      <w:bCs/>
                      <w:color w:val="000000"/>
                      <w:sz w:val="20"/>
                      <w:szCs w:val="20"/>
                      <w:lang w:eastAsia="en-GB"/>
                    </w:rPr>
                    <w:t>Bio-access</w:t>
                  </w:r>
                  <w:r w:rsidRPr="0098635C">
                    <w:rPr>
                      <w:b/>
                      <w:bCs/>
                      <w:color w:val="000000"/>
                      <w:sz w:val="20"/>
                      <w:szCs w:val="20"/>
                      <w:lang w:eastAsia="en-GB"/>
                    </w:rPr>
                    <w:t>i</w:t>
                  </w:r>
                  <w:r w:rsidRPr="0098635C">
                    <w:rPr>
                      <w:b/>
                      <w:bCs/>
                      <w:color w:val="000000"/>
                      <w:sz w:val="20"/>
                      <w:szCs w:val="20"/>
                      <w:lang w:eastAsia="en-GB"/>
                    </w:rPr>
                    <w:t>ble/ bio-availabi</w:t>
                  </w:r>
                  <w:r w:rsidRPr="0098635C">
                    <w:rPr>
                      <w:b/>
                      <w:bCs/>
                      <w:color w:val="000000"/>
                      <w:sz w:val="20"/>
                      <w:szCs w:val="20"/>
                      <w:lang w:eastAsia="en-GB"/>
                    </w:rPr>
                    <w:t>l</w:t>
                  </w:r>
                  <w:r w:rsidRPr="0098635C">
                    <w:rPr>
                      <w:b/>
                      <w:bCs/>
                      <w:color w:val="000000"/>
                      <w:sz w:val="20"/>
                      <w:szCs w:val="20"/>
                      <w:lang w:eastAsia="en-GB"/>
                    </w:rPr>
                    <w:t>ity Cu %</w:t>
                  </w:r>
                  <w:r w:rsidRPr="0098635C">
                    <w:rPr>
                      <w:b/>
                      <w:bCs/>
                      <w:color w:val="000000"/>
                      <w:sz w:val="20"/>
                      <w:szCs w:val="20"/>
                      <w:vertAlign w:val="superscript"/>
                      <w:lang w:eastAsia="en-GB"/>
                    </w:rPr>
                    <w:t>(1)</w:t>
                  </w:r>
                </w:p>
              </w:tc>
              <w:tc>
                <w:tcPr>
                  <w:tcW w:w="1420" w:type="dxa"/>
                  <w:tcBorders>
                    <w:top w:val="single" w:sz="4" w:space="0" w:color="auto"/>
                    <w:left w:val="nil"/>
                    <w:bottom w:val="single" w:sz="8" w:space="0" w:color="auto"/>
                    <w:right w:val="single" w:sz="8" w:space="0" w:color="auto"/>
                  </w:tcBorders>
                  <w:shd w:val="clear" w:color="auto" w:fill="auto"/>
                  <w:vAlign w:val="bottom"/>
                </w:tcPr>
                <w:p w14:paraId="3BFE86AD" w14:textId="77777777" w:rsidR="002C2BB0" w:rsidRPr="0098635C" w:rsidRDefault="002C2BB0" w:rsidP="002C2BB0">
                  <w:pPr>
                    <w:spacing w:after="0"/>
                    <w:jc w:val="center"/>
                    <w:rPr>
                      <w:b/>
                      <w:bCs/>
                      <w:color w:val="000000"/>
                      <w:sz w:val="20"/>
                      <w:szCs w:val="20"/>
                      <w:lang w:eastAsia="en-GB"/>
                    </w:rPr>
                  </w:pPr>
                  <w:r w:rsidRPr="0098635C">
                    <w:rPr>
                      <w:b/>
                      <w:bCs/>
                      <w:color w:val="000000"/>
                      <w:sz w:val="20"/>
                      <w:szCs w:val="20"/>
                      <w:lang w:eastAsia="en-GB"/>
                    </w:rPr>
                    <w:t>LD</w:t>
                  </w:r>
                  <w:r w:rsidRPr="0098635C">
                    <w:rPr>
                      <w:b/>
                      <w:bCs/>
                      <w:color w:val="000000"/>
                      <w:sz w:val="20"/>
                      <w:szCs w:val="20"/>
                      <w:vertAlign w:val="subscript"/>
                      <w:lang w:eastAsia="en-GB"/>
                    </w:rPr>
                    <w:t>50</w:t>
                  </w:r>
                  <w:r w:rsidRPr="0098635C">
                    <w:rPr>
                      <w:b/>
                      <w:bCs/>
                      <w:color w:val="000000"/>
                      <w:sz w:val="20"/>
                      <w:szCs w:val="20"/>
                      <w:lang w:eastAsia="en-GB"/>
                    </w:rPr>
                    <w:t xml:space="preserve"> as bio-accessible Cu</w:t>
                  </w:r>
                </w:p>
                <w:p w14:paraId="2E816A7F" w14:textId="77777777" w:rsidR="002C2BB0" w:rsidRPr="0098635C" w:rsidRDefault="002C2BB0" w:rsidP="002C2BB0">
                  <w:pPr>
                    <w:spacing w:after="0"/>
                    <w:jc w:val="center"/>
                    <w:rPr>
                      <w:b/>
                      <w:bCs/>
                      <w:color w:val="000000"/>
                      <w:sz w:val="20"/>
                      <w:szCs w:val="20"/>
                      <w:vertAlign w:val="superscript"/>
                      <w:lang w:eastAsia="en-GB"/>
                    </w:rPr>
                  </w:pPr>
                  <w:r w:rsidRPr="0098635C">
                    <w:rPr>
                      <w:b/>
                      <w:bCs/>
                      <w:color w:val="000000"/>
                      <w:sz w:val="20"/>
                      <w:szCs w:val="20"/>
                      <w:lang w:eastAsia="en-GB"/>
                    </w:rPr>
                    <w:t xml:space="preserve">(mg Cu/kg bw) </w:t>
                  </w:r>
                  <w:r w:rsidRPr="0098635C">
                    <w:rPr>
                      <w:b/>
                      <w:bCs/>
                      <w:color w:val="000000"/>
                      <w:sz w:val="20"/>
                      <w:szCs w:val="20"/>
                      <w:vertAlign w:val="superscript"/>
                      <w:lang w:eastAsia="en-GB"/>
                    </w:rPr>
                    <w:t>(2)</w:t>
                  </w:r>
                </w:p>
              </w:tc>
              <w:tc>
                <w:tcPr>
                  <w:tcW w:w="1580" w:type="dxa"/>
                  <w:tcBorders>
                    <w:top w:val="single" w:sz="4" w:space="0" w:color="auto"/>
                    <w:left w:val="nil"/>
                    <w:bottom w:val="single" w:sz="8" w:space="0" w:color="auto"/>
                    <w:right w:val="single" w:sz="8" w:space="0" w:color="auto"/>
                  </w:tcBorders>
                  <w:shd w:val="clear" w:color="auto" w:fill="auto"/>
                  <w:vAlign w:val="bottom"/>
                </w:tcPr>
                <w:p w14:paraId="35DF6733" w14:textId="77777777" w:rsidR="002C2BB0" w:rsidRPr="0098635C" w:rsidRDefault="002C2BB0" w:rsidP="002C2BB0">
                  <w:pPr>
                    <w:spacing w:after="0"/>
                    <w:jc w:val="center"/>
                    <w:rPr>
                      <w:b/>
                      <w:bCs/>
                      <w:color w:val="000000"/>
                      <w:sz w:val="20"/>
                      <w:szCs w:val="20"/>
                      <w:vertAlign w:val="subscript"/>
                      <w:lang w:eastAsia="en-GB"/>
                    </w:rPr>
                  </w:pPr>
                  <w:r w:rsidRPr="0098635C">
                    <w:rPr>
                      <w:b/>
                      <w:bCs/>
                      <w:color w:val="000000"/>
                      <w:sz w:val="20"/>
                      <w:szCs w:val="20"/>
                      <w:lang w:eastAsia="en-GB"/>
                    </w:rPr>
                    <w:t>Measured LD</w:t>
                  </w:r>
                  <w:r w:rsidRPr="0098635C">
                    <w:rPr>
                      <w:b/>
                      <w:bCs/>
                      <w:color w:val="000000"/>
                      <w:sz w:val="20"/>
                      <w:szCs w:val="20"/>
                      <w:vertAlign w:val="subscript"/>
                      <w:lang w:eastAsia="en-GB"/>
                    </w:rPr>
                    <w:t>50</w:t>
                  </w:r>
                </w:p>
                <w:p w14:paraId="5686D9EE" w14:textId="77777777" w:rsidR="002C2BB0" w:rsidRPr="0098635C" w:rsidRDefault="002C2BB0" w:rsidP="002C2BB0">
                  <w:pPr>
                    <w:spacing w:after="0"/>
                    <w:jc w:val="center"/>
                    <w:rPr>
                      <w:b/>
                      <w:bCs/>
                      <w:color w:val="000000"/>
                      <w:sz w:val="20"/>
                      <w:szCs w:val="20"/>
                      <w:lang w:eastAsia="en-GB"/>
                    </w:rPr>
                  </w:pPr>
                  <w:r w:rsidRPr="0098635C">
                    <w:rPr>
                      <w:b/>
                      <w:bCs/>
                      <w:color w:val="000000"/>
                      <w:sz w:val="20"/>
                      <w:szCs w:val="20"/>
                      <w:lang w:eastAsia="en-GB"/>
                    </w:rPr>
                    <w:t>LD</w:t>
                  </w:r>
                  <w:r w:rsidRPr="0098635C">
                    <w:rPr>
                      <w:b/>
                      <w:bCs/>
                      <w:color w:val="000000"/>
                      <w:sz w:val="20"/>
                      <w:szCs w:val="20"/>
                      <w:vertAlign w:val="subscript"/>
                      <w:lang w:eastAsia="en-GB"/>
                    </w:rPr>
                    <w:t>50</w:t>
                  </w:r>
                  <w:r w:rsidRPr="0098635C">
                    <w:rPr>
                      <w:b/>
                      <w:bCs/>
                      <w:color w:val="000000"/>
                      <w:sz w:val="20"/>
                      <w:szCs w:val="20"/>
                      <w:lang w:eastAsia="en-GB"/>
                    </w:rPr>
                    <w:t xml:space="preserve"> (mg su</w:t>
                  </w:r>
                  <w:r w:rsidRPr="0098635C">
                    <w:rPr>
                      <w:b/>
                      <w:bCs/>
                      <w:color w:val="000000"/>
                      <w:sz w:val="20"/>
                      <w:szCs w:val="20"/>
                      <w:lang w:eastAsia="en-GB"/>
                    </w:rPr>
                    <w:t>b</w:t>
                  </w:r>
                  <w:r w:rsidRPr="0098635C">
                    <w:rPr>
                      <w:b/>
                      <w:bCs/>
                      <w:color w:val="000000"/>
                      <w:sz w:val="20"/>
                      <w:szCs w:val="20"/>
                      <w:lang w:eastAsia="en-GB"/>
                    </w:rPr>
                    <w:t>stance/kg bw)</w:t>
                  </w:r>
                </w:p>
              </w:tc>
              <w:tc>
                <w:tcPr>
                  <w:tcW w:w="1700" w:type="dxa"/>
                  <w:tcBorders>
                    <w:top w:val="single" w:sz="4" w:space="0" w:color="auto"/>
                    <w:left w:val="nil"/>
                    <w:bottom w:val="single" w:sz="8" w:space="0" w:color="auto"/>
                    <w:right w:val="single" w:sz="8" w:space="0" w:color="auto"/>
                  </w:tcBorders>
                  <w:shd w:val="clear" w:color="auto" w:fill="auto"/>
                  <w:vAlign w:val="bottom"/>
                </w:tcPr>
                <w:p w14:paraId="0E636777" w14:textId="77777777" w:rsidR="002C2BB0" w:rsidRPr="0098635C" w:rsidRDefault="002C2BB0" w:rsidP="002C2BB0">
                  <w:pPr>
                    <w:spacing w:after="0"/>
                    <w:jc w:val="center"/>
                    <w:rPr>
                      <w:b/>
                      <w:bCs/>
                      <w:color w:val="000000"/>
                      <w:sz w:val="20"/>
                      <w:szCs w:val="20"/>
                      <w:lang w:eastAsia="en-GB"/>
                    </w:rPr>
                  </w:pPr>
                  <w:r w:rsidRPr="0098635C">
                    <w:rPr>
                      <w:b/>
                      <w:bCs/>
                      <w:color w:val="000000"/>
                      <w:sz w:val="20"/>
                      <w:szCs w:val="20"/>
                      <w:lang w:eastAsia="en-GB"/>
                    </w:rPr>
                    <w:t>Calcula</w:t>
                  </w:r>
                  <w:r w:rsidRPr="0098635C">
                    <w:rPr>
                      <w:b/>
                      <w:bCs/>
                      <w:color w:val="000000"/>
                      <w:sz w:val="20"/>
                      <w:szCs w:val="20"/>
                      <w:lang w:eastAsia="en-GB"/>
                    </w:rPr>
                    <w:t>t</w:t>
                  </w:r>
                  <w:r w:rsidRPr="0098635C">
                    <w:rPr>
                      <w:b/>
                      <w:bCs/>
                      <w:color w:val="000000"/>
                      <w:sz w:val="20"/>
                      <w:szCs w:val="20"/>
                      <w:lang w:eastAsia="en-GB"/>
                    </w:rPr>
                    <w:t>ed  LD</w:t>
                  </w:r>
                  <w:r w:rsidRPr="0098635C">
                    <w:rPr>
                      <w:b/>
                      <w:bCs/>
                      <w:color w:val="000000"/>
                      <w:sz w:val="20"/>
                      <w:szCs w:val="20"/>
                      <w:vertAlign w:val="subscript"/>
                      <w:lang w:eastAsia="en-GB"/>
                    </w:rPr>
                    <w:t xml:space="preserve">50 </w:t>
                  </w:r>
                </w:p>
                <w:p w14:paraId="1684F834" w14:textId="77777777" w:rsidR="002C2BB0" w:rsidRPr="0098635C" w:rsidRDefault="002C2BB0" w:rsidP="002C2BB0">
                  <w:pPr>
                    <w:spacing w:after="0"/>
                    <w:jc w:val="center"/>
                    <w:rPr>
                      <w:b/>
                      <w:bCs/>
                      <w:color w:val="000000"/>
                      <w:sz w:val="20"/>
                      <w:szCs w:val="20"/>
                      <w:vertAlign w:val="superscript"/>
                      <w:lang w:eastAsia="en-GB"/>
                    </w:rPr>
                  </w:pPr>
                  <w:r w:rsidRPr="0098635C">
                    <w:rPr>
                      <w:b/>
                      <w:bCs/>
                      <w:color w:val="000000"/>
                      <w:sz w:val="20"/>
                      <w:szCs w:val="20"/>
                      <w:lang w:eastAsia="en-GB"/>
                    </w:rPr>
                    <w:t>LD</w:t>
                  </w:r>
                  <w:r w:rsidRPr="0098635C">
                    <w:rPr>
                      <w:b/>
                      <w:bCs/>
                      <w:color w:val="000000"/>
                      <w:sz w:val="20"/>
                      <w:szCs w:val="20"/>
                      <w:vertAlign w:val="subscript"/>
                      <w:lang w:eastAsia="en-GB"/>
                    </w:rPr>
                    <w:t>50</w:t>
                  </w:r>
                  <w:r w:rsidRPr="0098635C">
                    <w:rPr>
                      <w:b/>
                      <w:bCs/>
                      <w:color w:val="000000"/>
                      <w:sz w:val="20"/>
                      <w:szCs w:val="20"/>
                      <w:lang w:eastAsia="en-GB"/>
                    </w:rPr>
                    <w:t xml:space="preserve"> (mg su</w:t>
                  </w:r>
                  <w:r w:rsidRPr="0098635C">
                    <w:rPr>
                      <w:b/>
                      <w:bCs/>
                      <w:color w:val="000000"/>
                      <w:sz w:val="20"/>
                      <w:szCs w:val="20"/>
                      <w:lang w:eastAsia="en-GB"/>
                    </w:rPr>
                    <w:t>b</w:t>
                  </w:r>
                  <w:r w:rsidRPr="0098635C">
                    <w:rPr>
                      <w:b/>
                      <w:bCs/>
                      <w:color w:val="000000"/>
                      <w:sz w:val="20"/>
                      <w:szCs w:val="20"/>
                      <w:lang w:eastAsia="en-GB"/>
                    </w:rPr>
                    <w:t xml:space="preserve">stance/kg bw) </w:t>
                  </w:r>
                  <w:r w:rsidRPr="0098635C">
                    <w:rPr>
                      <w:b/>
                      <w:bCs/>
                      <w:color w:val="000000"/>
                      <w:sz w:val="20"/>
                      <w:szCs w:val="20"/>
                      <w:vertAlign w:val="superscript"/>
                      <w:lang w:eastAsia="en-GB"/>
                    </w:rPr>
                    <w:t>(3)</w:t>
                  </w:r>
                </w:p>
              </w:tc>
            </w:tr>
            <w:tr w:rsidR="002C2BB0" w:rsidRPr="0098635C" w14:paraId="1FFE7D00" w14:textId="77777777" w:rsidTr="002C2BB0">
              <w:trPr>
                <w:trHeight w:val="300"/>
              </w:trPr>
              <w:tc>
                <w:tcPr>
                  <w:tcW w:w="2240" w:type="dxa"/>
                  <w:tcBorders>
                    <w:top w:val="nil"/>
                    <w:left w:val="single" w:sz="8" w:space="0" w:color="auto"/>
                    <w:bottom w:val="single" w:sz="4" w:space="0" w:color="auto"/>
                    <w:right w:val="single" w:sz="8" w:space="0" w:color="auto"/>
                  </w:tcBorders>
                  <w:shd w:val="clear" w:color="auto" w:fill="auto"/>
                  <w:hideMark/>
                </w:tcPr>
                <w:p w14:paraId="61B0586D" w14:textId="77777777" w:rsidR="002C2BB0" w:rsidRPr="0098635C" w:rsidRDefault="002C2BB0" w:rsidP="002C2BB0">
                  <w:pPr>
                    <w:spacing w:after="0"/>
                    <w:jc w:val="center"/>
                    <w:rPr>
                      <w:color w:val="000000"/>
                      <w:sz w:val="20"/>
                      <w:szCs w:val="20"/>
                      <w:lang w:eastAsia="en-GB"/>
                    </w:rPr>
                  </w:pPr>
                  <w:r w:rsidRPr="0098635C">
                    <w:rPr>
                      <w:color w:val="000000"/>
                      <w:sz w:val="20"/>
                      <w:szCs w:val="20"/>
                      <w:lang w:eastAsia="en-GB"/>
                    </w:rPr>
                    <w:t>Coated  flakes (2.9m2/g)</w:t>
                  </w:r>
                </w:p>
              </w:tc>
              <w:tc>
                <w:tcPr>
                  <w:tcW w:w="960" w:type="dxa"/>
                  <w:tcBorders>
                    <w:top w:val="nil"/>
                    <w:left w:val="nil"/>
                    <w:bottom w:val="single" w:sz="4" w:space="0" w:color="auto"/>
                    <w:right w:val="single" w:sz="8" w:space="0" w:color="auto"/>
                  </w:tcBorders>
                  <w:shd w:val="clear" w:color="auto" w:fill="auto"/>
                  <w:hideMark/>
                </w:tcPr>
                <w:p w14:paraId="453D324D" w14:textId="77777777" w:rsidR="002C2BB0" w:rsidRPr="0098635C" w:rsidRDefault="002C2BB0" w:rsidP="002C2BB0">
                  <w:pPr>
                    <w:spacing w:after="0"/>
                    <w:jc w:val="center"/>
                    <w:rPr>
                      <w:color w:val="000000"/>
                      <w:sz w:val="20"/>
                      <w:szCs w:val="20"/>
                      <w:lang w:eastAsia="en-GB"/>
                    </w:rPr>
                  </w:pPr>
                  <w:r w:rsidRPr="0098635C">
                    <w:rPr>
                      <w:color w:val="000000"/>
                      <w:sz w:val="20"/>
                      <w:szCs w:val="20"/>
                      <w:lang w:eastAsia="en-GB"/>
                    </w:rPr>
                    <w:t>99.7</w:t>
                  </w:r>
                </w:p>
              </w:tc>
              <w:tc>
                <w:tcPr>
                  <w:tcW w:w="1260" w:type="dxa"/>
                  <w:tcBorders>
                    <w:top w:val="nil"/>
                    <w:left w:val="nil"/>
                    <w:bottom w:val="single" w:sz="4" w:space="0" w:color="auto"/>
                    <w:right w:val="single" w:sz="8" w:space="0" w:color="auto"/>
                  </w:tcBorders>
                  <w:shd w:val="clear" w:color="auto" w:fill="auto"/>
                  <w:hideMark/>
                </w:tcPr>
                <w:p w14:paraId="57BF929B" w14:textId="77777777" w:rsidR="002C2BB0" w:rsidRPr="0098635C" w:rsidRDefault="002C2BB0" w:rsidP="002C2BB0">
                  <w:pPr>
                    <w:spacing w:after="0"/>
                    <w:jc w:val="center"/>
                    <w:rPr>
                      <w:color w:val="000000"/>
                      <w:sz w:val="20"/>
                      <w:szCs w:val="20"/>
                      <w:lang w:eastAsia="en-GB"/>
                    </w:rPr>
                  </w:pPr>
                  <w:r w:rsidRPr="0098635C">
                    <w:rPr>
                      <w:color w:val="000000"/>
                      <w:sz w:val="20"/>
                      <w:szCs w:val="20"/>
                      <w:lang w:eastAsia="en-GB"/>
                    </w:rPr>
                    <w:t>57</w:t>
                  </w:r>
                </w:p>
              </w:tc>
              <w:tc>
                <w:tcPr>
                  <w:tcW w:w="1420" w:type="dxa"/>
                  <w:tcBorders>
                    <w:top w:val="nil"/>
                    <w:left w:val="nil"/>
                    <w:bottom w:val="single" w:sz="4" w:space="0" w:color="auto"/>
                    <w:right w:val="single" w:sz="8" w:space="0" w:color="auto"/>
                  </w:tcBorders>
                  <w:shd w:val="clear" w:color="000000" w:fill="FFFFFF"/>
                  <w:hideMark/>
                </w:tcPr>
                <w:p w14:paraId="6B682DF5" w14:textId="77777777" w:rsidR="002C2BB0" w:rsidRPr="0098635C" w:rsidRDefault="002C2BB0" w:rsidP="002C2BB0">
                  <w:pPr>
                    <w:spacing w:after="0"/>
                    <w:jc w:val="center"/>
                    <w:rPr>
                      <w:color w:val="000000"/>
                      <w:sz w:val="20"/>
                      <w:szCs w:val="20"/>
                      <w:lang w:eastAsia="en-GB"/>
                    </w:rPr>
                  </w:pPr>
                  <w:r w:rsidRPr="0098635C">
                    <w:rPr>
                      <w:color w:val="000000"/>
                      <w:sz w:val="20"/>
                      <w:szCs w:val="20"/>
                      <w:lang w:eastAsia="en-GB"/>
                    </w:rPr>
                    <w:t>227</w:t>
                  </w:r>
                </w:p>
              </w:tc>
              <w:tc>
                <w:tcPr>
                  <w:tcW w:w="1580" w:type="dxa"/>
                  <w:tcBorders>
                    <w:top w:val="nil"/>
                    <w:left w:val="nil"/>
                    <w:bottom w:val="single" w:sz="4" w:space="0" w:color="auto"/>
                    <w:right w:val="single" w:sz="8" w:space="0" w:color="auto"/>
                  </w:tcBorders>
                  <w:shd w:val="clear" w:color="auto" w:fill="auto"/>
                  <w:hideMark/>
                </w:tcPr>
                <w:p w14:paraId="16B7EE31" w14:textId="77777777" w:rsidR="002C2BB0" w:rsidRPr="0098635C" w:rsidRDefault="002C2BB0" w:rsidP="002C2BB0">
                  <w:pPr>
                    <w:spacing w:after="0"/>
                    <w:jc w:val="center"/>
                    <w:rPr>
                      <w:b/>
                      <w:bCs/>
                      <w:color w:val="000000"/>
                      <w:sz w:val="20"/>
                      <w:szCs w:val="20"/>
                      <w:lang w:eastAsia="en-GB"/>
                    </w:rPr>
                  </w:pPr>
                  <w:r w:rsidRPr="0098635C">
                    <w:rPr>
                      <w:b/>
                      <w:bCs/>
                      <w:color w:val="000000"/>
                      <w:sz w:val="20"/>
                      <w:szCs w:val="20"/>
                      <w:lang w:eastAsia="en-GB"/>
                    </w:rPr>
                    <w:t>400 (mid value of 300 -500 mg/kg)</w:t>
                  </w:r>
                </w:p>
              </w:tc>
              <w:tc>
                <w:tcPr>
                  <w:tcW w:w="1700" w:type="dxa"/>
                  <w:tcBorders>
                    <w:top w:val="nil"/>
                    <w:left w:val="nil"/>
                    <w:bottom w:val="single" w:sz="4" w:space="0" w:color="auto"/>
                    <w:right w:val="single" w:sz="8" w:space="0" w:color="auto"/>
                  </w:tcBorders>
                  <w:shd w:val="clear" w:color="auto" w:fill="auto"/>
                  <w:hideMark/>
                </w:tcPr>
                <w:p w14:paraId="29398DB7" w14:textId="77777777" w:rsidR="002C2BB0" w:rsidRPr="0098635C" w:rsidRDefault="002C2BB0" w:rsidP="002C2BB0">
                  <w:pPr>
                    <w:spacing w:after="0"/>
                    <w:jc w:val="center"/>
                    <w:rPr>
                      <w:color w:val="000000"/>
                      <w:sz w:val="20"/>
                      <w:szCs w:val="20"/>
                      <w:lang w:eastAsia="en-GB"/>
                    </w:rPr>
                  </w:pPr>
                  <w:r w:rsidRPr="0098635C">
                    <w:rPr>
                      <w:color w:val="000000"/>
                      <w:sz w:val="20"/>
                      <w:szCs w:val="20"/>
                      <w:lang w:eastAsia="en-GB"/>
                    </w:rPr>
                    <w:t>215-401</w:t>
                  </w:r>
                </w:p>
              </w:tc>
            </w:tr>
            <w:tr w:rsidR="002C2BB0" w:rsidRPr="0098635C" w14:paraId="717713AD" w14:textId="77777777" w:rsidTr="002C2BB0">
              <w:trPr>
                <w:trHeight w:val="300"/>
              </w:trPr>
              <w:tc>
                <w:tcPr>
                  <w:tcW w:w="2240" w:type="dxa"/>
                  <w:tcBorders>
                    <w:top w:val="nil"/>
                    <w:left w:val="single" w:sz="8" w:space="0" w:color="auto"/>
                    <w:bottom w:val="single" w:sz="4" w:space="0" w:color="auto"/>
                    <w:right w:val="single" w:sz="8" w:space="0" w:color="auto"/>
                  </w:tcBorders>
                  <w:shd w:val="clear" w:color="auto" w:fill="auto"/>
                  <w:hideMark/>
                </w:tcPr>
                <w:p w14:paraId="010E2279" w14:textId="77777777" w:rsidR="002C2BB0" w:rsidRPr="0098635C" w:rsidRDefault="002C2BB0" w:rsidP="002C2BB0">
                  <w:pPr>
                    <w:spacing w:after="0"/>
                    <w:jc w:val="center"/>
                    <w:rPr>
                      <w:color w:val="000000"/>
                      <w:sz w:val="20"/>
                      <w:szCs w:val="20"/>
                      <w:lang w:eastAsia="en-GB"/>
                    </w:rPr>
                  </w:pPr>
                  <w:r w:rsidRPr="0098635C">
                    <w:rPr>
                      <w:color w:val="000000"/>
                      <w:sz w:val="20"/>
                      <w:szCs w:val="20"/>
                      <w:lang w:eastAsia="en-GB"/>
                    </w:rPr>
                    <w:t>CuSO</w:t>
                  </w:r>
                  <w:r w:rsidRPr="0098635C">
                    <w:rPr>
                      <w:color w:val="000000"/>
                      <w:sz w:val="20"/>
                      <w:szCs w:val="20"/>
                      <w:vertAlign w:val="subscript"/>
                      <w:lang w:eastAsia="en-GB"/>
                    </w:rPr>
                    <w:t>4</w:t>
                  </w:r>
                  <w:r w:rsidRPr="0098635C">
                    <w:rPr>
                      <w:color w:val="000000"/>
                      <w:sz w:val="20"/>
                      <w:szCs w:val="20"/>
                      <w:lang w:eastAsia="en-GB"/>
                    </w:rPr>
                    <w:t>.5H</w:t>
                  </w:r>
                  <w:r w:rsidRPr="0098635C">
                    <w:rPr>
                      <w:color w:val="000000"/>
                      <w:sz w:val="20"/>
                      <w:szCs w:val="20"/>
                      <w:vertAlign w:val="subscript"/>
                      <w:lang w:eastAsia="en-GB"/>
                    </w:rPr>
                    <w:t>2</w:t>
                  </w:r>
                  <w:r w:rsidRPr="0098635C">
                    <w:rPr>
                      <w:color w:val="000000"/>
                      <w:sz w:val="20"/>
                      <w:szCs w:val="20"/>
                      <w:lang w:eastAsia="en-GB"/>
                    </w:rPr>
                    <w:t>0</w:t>
                  </w:r>
                </w:p>
              </w:tc>
              <w:tc>
                <w:tcPr>
                  <w:tcW w:w="960" w:type="dxa"/>
                  <w:tcBorders>
                    <w:top w:val="nil"/>
                    <w:left w:val="nil"/>
                    <w:bottom w:val="single" w:sz="4" w:space="0" w:color="auto"/>
                    <w:right w:val="single" w:sz="8" w:space="0" w:color="auto"/>
                  </w:tcBorders>
                  <w:shd w:val="clear" w:color="auto" w:fill="auto"/>
                  <w:hideMark/>
                </w:tcPr>
                <w:p w14:paraId="164D3BA6" w14:textId="77777777" w:rsidR="002C2BB0" w:rsidRPr="0098635C" w:rsidRDefault="002C2BB0" w:rsidP="002C2BB0">
                  <w:pPr>
                    <w:spacing w:after="0"/>
                    <w:jc w:val="center"/>
                    <w:rPr>
                      <w:color w:val="000000"/>
                      <w:sz w:val="20"/>
                      <w:szCs w:val="20"/>
                      <w:lang w:eastAsia="en-GB"/>
                    </w:rPr>
                  </w:pPr>
                  <w:r w:rsidRPr="0098635C">
                    <w:rPr>
                      <w:color w:val="000000"/>
                      <w:sz w:val="20"/>
                      <w:szCs w:val="20"/>
                      <w:lang w:eastAsia="en-GB"/>
                    </w:rPr>
                    <w:t>25.4</w:t>
                  </w:r>
                </w:p>
              </w:tc>
              <w:tc>
                <w:tcPr>
                  <w:tcW w:w="1260" w:type="dxa"/>
                  <w:tcBorders>
                    <w:top w:val="nil"/>
                    <w:left w:val="nil"/>
                    <w:bottom w:val="single" w:sz="4" w:space="0" w:color="auto"/>
                    <w:right w:val="single" w:sz="8" w:space="0" w:color="auto"/>
                  </w:tcBorders>
                  <w:shd w:val="clear" w:color="auto" w:fill="auto"/>
                  <w:hideMark/>
                </w:tcPr>
                <w:p w14:paraId="2BF611EB" w14:textId="77777777" w:rsidR="002C2BB0" w:rsidRPr="0098635C" w:rsidRDefault="002C2BB0" w:rsidP="002C2BB0">
                  <w:pPr>
                    <w:spacing w:after="0"/>
                    <w:jc w:val="center"/>
                    <w:rPr>
                      <w:color w:val="000000"/>
                      <w:sz w:val="20"/>
                      <w:szCs w:val="20"/>
                      <w:lang w:eastAsia="en-GB"/>
                    </w:rPr>
                  </w:pPr>
                  <w:r w:rsidRPr="0098635C">
                    <w:rPr>
                      <w:color w:val="000000"/>
                      <w:sz w:val="20"/>
                      <w:szCs w:val="20"/>
                      <w:lang w:eastAsia="en-GB"/>
                    </w:rPr>
                    <w:t>25</w:t>
                  </w:r>
                </w:p>
              </w:tc>
              <w:tc>
                <w:tcPr>
                  <w:tcW w:w="1420" w:type="dxa"/>
                  <w:tcBorders>
                    <w:top w:val="nil"/>
                    <w:left w:val="nil"/>
                    <w:bottom w:val="single" w:sz="4" w:space="0" w:color="auto"/>
                    <w:right w:val="single" w:sz="8" w:space="0" w:color="auto"/>
                  </w:tcBorders>
                  <w:shd w:val="clear" w:color="auto" w:fill="auto"/>
                  <w:hideMark/>
                </w:tcPr>
                <w:p w14:paraId="1A1A35B5" w14:textId="77777777" w:rsidR="002C2BB0" w:rsidRPr="0098635C" w:rsidRDefault="002C2BB0" w:rsidP="002C2BB0">
                  <w:pPr>
                    <w:spacing w:after="0"/>
                    <w:jc w:val="center"/>
                    <w:rPr>
                      <w:color w:val="000000"/>
                      <w:sz w:val="20"/>
                      <w:szCs w:val="20"/>
                      <w:lang w:eastAsia="en-GB"/>
                    </w:rPr>
                  </w:pPr>
                  <w:r w:rsidRPr="0098635C">
                    <w:rPr>
                      <w:color w:val="000000"/>
                      <w:sz w:val="20"/>
                      <w:szCs w:val="20"/>
                      <w:lang w:eastAsia="en-GB"/>
                    </w:rPr>
                    <w:t>122</w:t>
                  </w:r>
                </w:p>
              </w:tc>
              <w:tc>
                <w:tcPr>
                  <w:tcW w:w="1580" w:type="dxa"/>
                  <w:tcBorders>
                    <w:top w:val="nil"/>
                    <w:left w:val="nil"/>
                    <w:bottom w:val="single" w:sz="4" w:space="0" w:color="auto"/>
                    <w:right w:val="single" w:sz="8" w:space="0" w:color="auto"/>
                  </w:tcBorders>
                  <w:shd w:val="clear" w:color="auto" w:fill="auto"/>
                  <w:hideMark/>
                </w:tcPr>
                <w:p w14:paraId="7A8B2DF7" w14:textId="77777777" w:rsidR="002C2BB0" w:rsidRPr="0098635C" w:rsidRDefault="002C2BB0" w:rsidP="002C2BB0">
                  <w:pPr>
                    <w:spacing w:after="0"/>
                    <w:jc w:val="center"/>
                    <w:rPr>
                      <w:b/>
                      <w:bCs/>
                      <w:color w:val="000000"/>
                      <w:sz w:val="20"/>
                      <w:szCs w:val="20"/>
                      <w:lang w:eastAsia="en-GB"/>
                    </w:rPr>
                  </w:pPr>
                  <w:r w:rsidRPr="0098635C">
                    <w:rPr>
                      <w:b/>
                      <w:bCs/>
                      <w:color w:val="000000"/>
                      <w:sz w:val="20"/>
                      <w:szCs w:val="20"/>
                      <w:lang w:eastAsia="en-GB"/>
                    </w:rPr>
                    <w:t>481</w:t>
                  </w:r>
                </w:p>
              </w:tc>
              <w:tc>
                <w:tcPr>
                  <w:tcW w:w="1700" w:type="dxa"/>
                  <w:tcBorders>
                    <w:top w:val="nil"/>
                    <w:left w:val="nil"/>
                    <w:bottom w:val="single" w:sz="4" w:space="0" w:color="auto"/>
                    <w:right w:val="single" w:sz="8" w:space="0" w:color="auto"/>
                  </w:tcBorders>
                  <w:shd w:val="clear" w:color="auto" w:fill="auto"/>
                  <w:hideMark/>
                </w:tcPr>
                <w:p w14:paraId="486F50AF" w14:textId="77777777" w:rsidR="002C2BB0" w:rsidRPr="0098635C" w:rsidRDefault="002C2BB0" w:rsidP="002C2BB0">
                  <w:pPr>
                    <w:spacing w:after="0"/>
                    <w:jc w:val="center"/>
                    <w:rPr>
                      <w:color w:val="000000"/>
                      <w:sz w:val="20"/>
                      <w:szCs w:val="20"/>
                      <w:lang w:eastAsia="en-GB"/>
                    </w:rPr>
                  </w:pPr>
                  <w:r w:rsidRPr="0098635C">
                    <w:rPr>
                      <w:color w:val="000000"/>
                      <w:sz w:val="20"/>
                      <w:szCs w:val="20"/>
                      <w:lang w:eastAsia="en-GB"/>
                    </w:rPr>
                    <w:t>480-894</w:t>
                  </w:r>
                </w:p>
              </w:tc>
            </w:tr>
            <w:tr w:rsidR="002C2BB0" w:rsidRPr="0098635C" w14:paraId="02041830" w14:textId="77777777" w:rsidTr="002C2BB0">
              <w:trPr>
                <w:trHeight w:val="300"/>
              </w:trPr>
              <w:tc>
                <w:tcPr>
                  <w:tcW w:w="2240" w:type="dxa"/>
                  <w:tcBorders>
                    <w:top w:val="nil"/>
                    <w:left w:val="single" w:sz="8" w:space="0" w:color="auto"/>
                    <w:bottom w:val="single" w:sz="4" w:space="0" w:color="auto"/>
                    <w:right w:val="single" w:sz="8" w:space="0" w:color="auto"/>
                  </w:tcBorders>
                  <w:shd w:val="clear" w:color="auto" w:fill="auto"/>
                  <w:hideMark/>
                </w:tcPr>
                <w:p w14:paraId="003AC658" w14:textId="77777777" w:rsidR="002C2BB0" w:rsidRPr="0098635C" w:rsidRDefault="002C2BB0" w:rsidP="002C2BB0">
                  <w:pPr>
                    <w:spacing w:after="0"/>
                    <w:jc w:val="center"/>
                    <w:rPr>
                      <w:color w:val="000000"/>
                      <w:sz w:val="20"/>
                      <w:szCs w:val="20"/>
                      <w:lang w:eastAsia="en-GB"/>
                    </w:rPr>
                  </w:pPr>
                  <w:r w:rsidRPr="0098635C">
                    <w:rPr>
                      <w:color w:val="000000"/>
                      <w:sz w:val="20"/>
                      <w:szCs w:val="20"/>
                      <w:lang w:eastAsia="en-GB"/>
                    </w:rPr>
                    <w:t>CuCl</w:t>
                  </w:r>
                </w:p>
              </w:tc>
              <w:tc>
                <w:tcPr>
                  <w:tcW w:w="960" w:type="dxa"/>
                  <w:tcBorders>
                    <w:top w:val="nil"/>
                    <w:left w:val="nil"/>
                    <w:bottom w:val="single" w:sz="4" w:space="0" w:color="auto"/>
                    <w:right w:val="single" w:sz="8" w:space="0" w:color="auto"/>
                  </w:tcBorders>
                  <w:shd w:val="clear" w:color="auto" w:fill="auto"/>
                  <w:hideMark/>
                </w:tcPr>
                <w:p w14:paraId="69D7C00F" w14:textId="77777777" w:rsidR="002C2BB0" w:rsidRPr="0098635C" w:rsidRDefault="002C2BB0" w:rsidP="002C2BB0">
                  <w:pPr>
                    <w:spacing w:after="0"/>
                    <w:jc w:val="center"/>
                    <w:rPr>
                      <w:color w:val="000000"/>
                      <w:sz w:val="20"/>
                      <w:szCs w:val="20"/>
                      <w:lang w:eastAsia="en-GB"/>
                    </w:rPr>
                  </w:pPr>
                  <w:r w:rsidRPr="0098635C">
                    <w:rPr>
                      <w:color w:val="000000"/>
                      <w:sz w:val="20"/>
                      <w:szCs w:val="20"/>
                      <w:lang w:eastAsia="en-GB"/>
                    </w:rPr>
                    <w:t>63.78</w:t>
                  </w:r>
                </w:p>
              </w:tc>
              <w:tc>
                <w:tcPr>
                  <w:tcW w:w="1260" w:type="dxa"/>
                  <w:tcBorders>
                    <w:top w:val="nil"/>
                    <w:left w:val="nil"/>
                    <w:bottom w:val="single" w:sz="4" w:space="0" w:color="auto"/>
                    <w:right w:val="single" w:sz="8" w:space="0" w:color="auto"/>
                  </w:tcBorders>
                  <w:shd w:val="clear" w:color="auto" w:fill="auto"/>
                  <w:hideMark/>
                </w:tcPr>
                <w:p w14:paraId="14EFF218" w14:textId="77777777" w:rsidR="002C2BB0" w:rsidRPr="0098635C" w:rsidRDefault="002C2BB0" w:rsidP="002C2BB0">
                  <w:pPr>
                    <w:spacing w:after="0"/>
                    <w:jc w:val="center"/>
                    <w:rPr>
                      <w:color w:val="000000"/>
                      <w:sz w:val="20"/>
                      <w:szCs w:val="20"/>
                      <w:lang w:eastAsia="en-GB"/>
                    </w:rPr>
                  </w:pPr>
                  <w:r w:rsidRPr="0098635C">
                    <w:rPr>
                      <w:color w:val="000000"/>
                      <w:sz w:val="20"/>
                      <w:szCs w:val="20"/>
                      <w:lang w:eastAsia="en-GB"/>
                    </w:rPr>
                    <w:t>51</w:t>
                  </w:r>
                </w:p>
              </w:tc>
              <w:tc>
                <w:tcPr>
                  <w:tcW w:w="1420" w:type="dxa"/>
                  <w:tcBorders>
                    <w:top w:val="nil"/>
                    <w:left w:val="nil"/>
                    <w:bottom w:val="single" w:sz="4" w:space="0" w:color="auto"/>
                    <w:right w:val="single" w:sz="8" w:space="0" w:color="auto"/>
                  </w:tcBorders>
                  <w:shd w:val="clear" w:color="auto" w:fill="auto"/>
                  <w:hideMark/>
                </w:tcPr>
                <w:p w14:paraId="54274122" w14:textId="77777777" w:rsidR="002C2BB0" w:rsidRPr="0098635C" w:rsidRDefault="002C2BB0" w:rsidP="002C2BB0">
                  <w:pPr>
                    <w:spacing w:after="0"/>
                    <w:jc w:val="center"/>
                    <w:rPr>
                      <w:color w:val="000000"/>
                      <w:sz w:val="20"/>
                      <w:szCs w:val="20"/>
                      <w:lang w:eastAsia="en-GB"/>
                    </w:rPr>
                  </w:pPr>
                  <w:r w:rsidRPr="0098635C">
                    <w:rPr>
                      <w:color w:val="000000"/>
                      <w:sz w:val="20"/>
                      <w:szCs w:val="20"/>
                      <w:lang w:eastAsia="en-GB"/>
                    </w:rPr>
                    <w:t>173</w:t>
                  </w:r>
                </w:p>
              </w:tc>
              <w:tc>
                <w:tcPr>
                  <w:tcW w:w="1580" w:type="dxa"/>
                  <w:tcBorders>
                    <w:top w:val="nil"/>
                    <w:left w:val="nil"/>
                    <w:bottom w:val="single" w:sz="4" w:space="0" w:color="auto"/>
                    <w:right w:val="single" w:sz="8" w:space="0" w:color="auto"/>
                  </w:tcBorders>
                  <w:shd w:val="clear" w:color="auto" w:fill="auto"/>
                  <w:hideMark/>
                </w:tcPr>
                <w:p w14:paraId="00FA9AF5" w14:textId="77777777" w:rsidR="002C2BB0" w:rsidRPr="0098635C" w:rsidRDefault="002C2BB0" w:rsidP="002C2BB0">
                  <w:pPr>
                    <w:spacing w:after="0"/>
                    <w:jc w:val="center"/>
                    <w:rPr>
                      <w:b/>
                      <w:bCs/>
                      <w:color w:val="000000"/>
                      <w:sz w:val="20"/>
                      <w:szCs w:val="20"/>
                      <w:lang w:eastAsia="en-GB"/>
                    </w:rPr>
                  </w:pPr>
                  <w:r w:rsidRPr="0098635C">
                    <w:rPr>
                      <w:b/>
                      <w:bCs/>
                      <w:color w:val="000000"/>
                      <w:sz w:val="20"/>
                      <w:szCs w:val="20"/>
                      <w:lang w:eastAsia="en-GB"/>
                    </w:rPr>
                    <w:t>336</w:t>
                  </w:r>
                </w:p>
              </w:tc>
              <w:tc>
                <w:tcPr>
                  <w:tcW w:w="1700" w:type="dxa"/>
                  <w:tcBorders>
                    <w:top w:val="nil"/>
                    <w:left w:val="nil"/>
                    <w:bottom w:val="single" w:sz="4" w:space="0" w:color="auto"/>
                    <w:right w:val="single" w:sz="8" w:space="0" w:color="auto"/>
                  </w:tcBorders>
                  <w:shd w:val="clear" w:color="auto" w:fill="auto"/>
                  <w:hideMark/>
                </w:tcPr>
                <w:p w14:paraId="2917682C" w14:textId="77777777" w:rsidR="002C2BB0" w:rsidRPr="0098635C" w:rsidRDefault="002C2BB0" w:rsidP="002C2BB0">
                  <w:pPr>
                    <w:spacing w:after="0"/>
                    <w:jc w:val="center"/>
                    <w:rPr>
                      <w:color w:val="000000"/>
                      <w:sz w:val="20"/>
                      <w:szCs w:val="20"/>
                      <w:lang w:eastAsia="en-GB"/>
                    </w:rPr>
                  </w:pPr>
                  <w:r w:rsidRPr="0098635C">
                    <w:rPr>
                      <w:color w:val="000000"/>
                      <w:sz w:val="20"/>
                      <w:szCs w:val="20"/>
                      <w:lang w:eastAsia="en-GB"/>
                    </w:rPr>
                    <w:t>232-442</w:t>
                  </w:r>
                </w:p>
              </w:tc>
            </w:tr>
            <w:tr w:rsidR="002C2BB0" w:rsidRPr="0098635C" w14:paraId="29E7964A" w14:textId="77777777" w:rsidTr="002C2BB0">
              <w:trPr>
                <w:trHeight w:val="300"/>
              </w:trPr>
              <w:tc>
                <w:tcPr>
                  <w:tcW w:w="2240" w:type="dxa"/>
                  <w:tcBorders>
                    <w:top w:val="nil"/>
                    <w:left w:val="single" w:sz="8" w:space="0" w:color="auto"/>
                    <w:bottom w:val="single" w:sz="4" w:space="0" w:color="auto"/>
                    <w:right w:val="single" w:sz="8" w:space="0" w:color="auto"/>
                  </w:tcBorders>
                  <w:shd w:val="clear" w:color="auto" w:fill="auto"/>
                  <w:hideMark/>
                </w:tcPr>
                <w:p w14:paraId="72208AE4" w14:textId="77777777" w:rsidR="002C2BB0" w:rsidRPr="0098635C" w:rsidRDefault="002C2BB0" w:rsidP="002C2BB0">
                  <w:pPr>
                    <w:spacing w:after="0"/>
                    <w:jc w:val="center"/>
                    <w:rPr>
                      <w:color w:val="000000"/>
                      <w:sz w:val="20"/>
                      <w:szCs w:val="20"/>
                      <w:lang w:eastAsia="en-GB"/>
                    </w:rPr>
                  </w:pPr>
                  <w:r w:rsidRPr="0098635C">
                    <w:rPr>
                      <w:color w:val="000000"/>
                      <w:sz w:val="20"/>
                      <w:szCs w:val="20"/>
                      <w:lang w:eastAsia="en-GB"/>
                    </w:rPr>
                    <w:t>CuO*</w:t>
                  </w:r>
                </w:p>
              </w:tc>
              <w:tc>
                <w:tcPr>
                  <w:tcW w:w="960" w:type="dxa"/>
                  <w:tcBorders>
                    <w:top w:val="nil"/>
                    <w:left w:val="nil"/>
                    <w:bottom w:val="single" w:sz="4" w:space="0" w:color="auto"/>
                    <w:right w:val="single" w:sz="8" w:space="0" w:color="auto"/>
                  </w:tcBorders>
                  <w:shd w:val="clear" w:color="auto" w:fill="auto"/>
                  <w:hideMark/>
                </w:tcPr>
                <w:p w14:paraId="657D3DC8" w14:textId="77777777" w:rsidR="002C2BB0" w:rsidRPr="0098635C" w:rsidRDefault="002C2BB0" w:rsidP="002C2BB0">
                  <w:pPr>
                    <w:spacing w:after="0"/>
                    <w:jc w:val="center"/>
                    <w:rPr>
                      <w:color w:val="000000"/>
                      <w:sz w:val="20"/>
                      <w:szCs w:val="20"/>
                      <w:lang w:eastAsia="en-GB"/>
                    </w:rPr>
                  </w:pPr>
                  <w:r w:rsidRPr="0098635C">
                    <w:rPr>
                      <w:color w:val="000000"/>
                      <w:sz w:val="20"/>
                      <w:szCs w:val="20"/>
                      <w:lang w:eastAsia="en-GB"/>
                    </w:rPr>
                    <w:t>80</w:t>
                  </w:r>
                </w:p>
              </w:tc>
              <w:tc>
                <w:tcPr>
                  <w:tcW w:w="1260" w:type="dxa"/>
                  <w:tcBorders>
                    <w:top w:val="nil"/>
                    <w:left w:val="nil"/>
                    <w:bottom w:val="single" w:sz="4" w:space="0" w:color="auto"/>
                    <w:right w:val="single" w:sz="8" w:space="0" w:color="auto"/>
                  </w:tcBorders>
                  <w:shd w:val="clear" w:color="auto" w:fill="auto"/>
                  <w:hideMark/>
                </w:tcPr>
                <w:p w14:paraId="10B81F04" w14:textId="77777777" w:rsidR="002C2BB0" w:rsidRPr="0098635C" w:rsidRDefault="002C2BB0" w:rsidP="002C2BB0">
                  <w:pPr>
                    <w:spacing w:after="0"/>
                    <w:jc w:val="center"/>
                    <w:rPr>
                      <w:color w:val="000000"/>
                      <w:sz w:val="20"/>
                      <w:szCs w:val="20"/>
                      <w:lang w:eastAsia="en-GB"/>
                    </w:rPr>
                  </w:pPr>
                  <w:r w:rsidRPr="0098635C">
                    <w:rPr>
                      <w:color w:val="000000"/>
                      <w:sz w:val="20"/>
                      <w:szCs w:val="20"/>
                      <w:lang w:eastAsia="en-GB"/>
                    </w:rPr>
                    <w:t>15-76</w:t>
                  </w:r>
                </w:p>
              </w:tc>
              <w:tc>
                <w:tcPr>
                  <w:tcW w:w="1420" w:type="dxa"/>
                  <w:tcBorders>
                    <w:top w:val="nil"/>
                    <w:left w:val="nil"/>
                    <w:bottom w:val="single" w:sz="4" w:space="0" w:color="auto"/>
                    <w:right w:val="single" w:sz="8" w:space="0" w:color="auto"/>
                  </w:tcBorders>
                  <w:shd w:val="clear" w:color="auto" w:fill="auto"/>
                  <w:hideMark/>
                </w:tcPr>
                <w:p w14:paraId="028A8B83" w14:textId="77777777" w:rsidR="002C2BB0" w:rsidRPr="0098635C" w:rsidRDefault="002C2BB0" w:rsidP="002C2BB0">
                  <w:pPr>
                    <w:spacing w:after="0"/>
                    <w:jc w:val="center"/>
                    <w:rPr>
                      <w:color w:val="000000"/>
                      <w:sz w:val="20"/>
                      <w:szCs w:val="20"/>
                      <w:lang w:eastAsia="en-GB"/>
                    </w:rPr>
                  </w:pPr>
                </w:p>
              </w:tc>
              <w:tc>
                <w:tcPr>
                  <w:tcW w:w="1580" w:type="dxa"/>
                  <w:tcBorders>
                    <w:top w:val="nil"/>
                    <w:left w:val="nil"/>
                    <w:bottom w:val="single" w:sz="4" w:space="0" w:color="auto"/>
                    <w:right w:val="single" w:sz="8" w:space="0" w:color="auto"/>
                  </w:tcBorders>
                  <w:shd w:val="clear" w:color="auto" w:fill="auto"/>
                  <w:hideMark/>
                </w:tcPr>
                <w:p w14:paraId="1816D6C4" w14:textId="77777777" w:rsidR="002C2BB0" w:rsidRPr="0098635C" w:rsidRDefault="002C2BB0" w:rsidP="002C2BB0">
                  <w:pPr>
                    <w:spacing w:after="0"/>
                    <w:jc w:val="center"/>
                    <w:rPr>
                      <w:b/>
                      <w:bCs/>
                      <w:color w:val="000000"/>
                      <w:sz w:val="20"/>
                      <w:szCs w:val="20"/>
                      <w:lang w:eastAsia="en-GB"/>
                    </w:rPr>
                  </w:pPr>
                  <w:r w:rsidRPr="0098635C">
                    <w:rPr>
                      <w:b/>
                      <w:bCs/>
                      <w:color w:val="000000"/>
                      <w:sz w:val="20"/>
                      <w:szCs w:val="20"/>
                      <w:lang w:eastAsia="en-GB"/>
                    </w:rPr>
                    <w:t>&gt;2000</w:t>
                  </w:r>
                </w:p>
              </w:tc>
              <w:tc>
                <w:tcPr>
                  <w:tcW w:w="1700" w:type="dxa"/>
                  <w:tcBorders>
                    <w:top w:val="nil"/>
                    <w:left w:val="nil"/>
                    <w:bottom w:val="single" w:sz="4" w:space="0" w:color="auto"/>
                    <w:right w:val="single" w:sz="8" w:space="0" w:color="auto"/>
                  </w:tcBorders>
                  <w:shd w:val="clear" w:color="auto" w:fill="auto"/>
                  <w:hideMark/>
                </w:tcPr>
                <w:p w14:paraId="3F39DD32" w14:textId="77777777" w:rsidR="002C2BB0" w:rsidRPr="0098635C" w:rsidRDefault="002C2BB0" w:rsidP="002C2BB0">
                  <w:pPr>
                    <w:spacing w:after="0"/>
                    <w:jc w:val="center"/>
                    <w:rPr>
                      <w:color w:val="000000"/>
                      <w:sz w:val="20"/>
                      <w:szCs w:val="20"/>
                      <w:lang w:eastAsia="en-GB"/>
                    </w:rPr>
                  </w:pPr>
                  <w:r w:rsidRPr="0098635C">
                    <w:rPr>
                      <w:color w:val="000000"/>
                      <w:sz w:val="20"/>
                      <w:szCs w:val="20"/>
                      <w:lang w:eastAsia="en-GB"/>
                    </w:rPr>
                    <w:t>160-1513</w:t>
                  </w:r>
                </w:p>
              </w:tc>
            </w:tr>
            <w:tr w:rsidR="002C2BB0" w:rsidRPr="0098635C" w14:paraId="005E197D" w14:textId="77777777" w:rsidTr="002C2BB0">
              <w:trPr>
                <w:trHeight w:val="315"/>
              </w:trPr>
              <w:tc>
                <w:tcPr>
                  <w:tcW w:w="2240" w:type="dxa"/>
                  <w:tcBorders>
                    <w:top w:val="nil"/>
                    <w:left w:val="single" w:sz="8" w:space="0" w:color="auto"/>
                    <w:bottom w:val="single" w:sz="8" w:space="0" w:color="auto"/>
                    <w:right w:val="single" w:sz="8" w:space="0" w:color="auto"/>
                  </w:tcBorders>
                  <w:shd w:val="clear" w:color="auto" w:fill="auto"/>
                  <w:hideMark/>
                </w:tcPr>
                <w:p w14:paraId="347D6788" w14:textId="77777777" w:rsidR="002C2BB0" w:rsidRPr="0098635C" w:rsidRDefault="002C2BB0" w:rsidP="002C2BB0">
                  <w:pPr>
                    <w:spacing w:after="0"/>
                    <w:jc w:val="center"/>
                    <w:rPr>
                      <w:color w:val="000000"/>
                      <w:sz w:val="20"/>
                      <w:szCs w:val="20"/>
                      <w:lang w:eastAsia="en-GB"/>
                    </w:rPr>
                  </w:pPr>
                  <w:r w:rsidRPr="0098635C">
                    <w:rPr>
                      <w:color w:val="000000"/>
                      <w:sz w:val="20"/>
                      <w:szCs w:val="20"/>
                      <w:lang w:eastAsia="en-GB"/>
                    </w:rPr>
                    <w:t>Cu</w:t>
                  </w:r>
                  <w:r w:rsidRPr="0098635C">
                    <w:rPr>
                      <w:color w:val="000000"/>
                      <w:sz w:val="20"/>
                      <w:szCs w:val="20"/>
                      <w:vertAlign w:val="subscript"/>
                      <w:lang w:eastAsia="en-GB"/>
                    </w:rPr>
                    <w:t>2</w:t>
                  </w:r>
                  <w:r w:rsidRPr="0098635C">
                    <w:rPr>
                      <w:color w:val="000000"/>
                      <w:sz w:val="20"/>
                      <w:szCs w:val="20"/>
                      <w:lang w:eastAsia="en-GB"/>
                    </w:rPr>
                    <w:t>S</w:t>
                  </w:r>
                </w:p>
              </w:tc>
              <w:tc>
                <w:tcPr>
                  <w:tcW w:w="960" w:type="dxa"/>
                  <w:tcBorders>
                    <w:top w:val="nil"/>
                    <w:left w:val="nil"/>
                    <w:bottom w:val="single" w:sz="8" w:space="0" w:color="auto"/>
                    <w:right w:val="single" w:sz="8" w:space="0" w:color="auto"/>
                  </w:tcBorders>
                  <w:shd w:val="clear" w:color="auto" w:fill="auto"/>
                  <w:hideMark/>
                </w:tcPr>
                <w:p w14:paraId="49F98D4B" w14:textId="77777777" w:rsidR="002C2BB0" w:rsidRPr="0098635C" w:rsidRDefault="002C2BB0" w:rsidP="002C2BB0">
                  <w:pPr>
                    <w:spacing w:after="0"/>
                    <w:jc w:val="center"/>
                    <w:rPr>
                      <w:color w:val="000000"/>
                      <w:sz w:val="20"/>
                      <w:szCs w:val="20"/>
                      <w:lang w:eastAsia="en-GB"/>
                    </w:rPr>
                  </w:pPr>
                  <w:r w:rsidRPr="0098635C">
                    <w:rPr>
                      <w:color w:val="000000"/>
                      <w:sz w:val="20"/>
                      <w:szCs w:val="20"/>
                      <w:lang w:eastAsia="en-GB"/>
                    </w:rPr>
                    <w:t>78.9</w:t>
                  </w:r>
                </w:p>
              </w:tc>
              <w:tc>
                <w:tcPr>
                  <w:tcW w:w="1260" w:type="dxa"/>
                  <w:tcBorders>
                    <w:top w:val="nil"/>
                    <w:left w:val="nil"/>
                    <w:bottom w:val="single" w:sz="8" w:space="0" w:color="auto"/>
                    <w:right w:val="single" w:sz="8" w:space="0" w:color="auto"/>
                  </w:tcBorders>
                  <w:shd w:val="clear" w:color="auto" w:fill="auto"/>
                  <w:hideMark/>
                </w:tcPr>
                <w:p w14:paraId="05AE5BA1" w14:textId="77777777" w:rsidR="002C2BB0" w:rsidRPr="0098635C" w:rsidRDefault="002C2BB0" w:rsidP="002C2BB0">
                  <w:pPr>
                    <w:spacing w:after="0"/>
                    <w:jc w:val="center"/>
                    <w:rPr>
                      <w:color w:val="000000"/>
                      <w:sz w:val="20"/>
                      <w:szCs w:val="20"/>
                      <w:lang w:eastAsia="en-GB"/>
                    </w:rPr>
                  </w:pPr>
                  <w:r w:rsidRPr="0098635C">
                    <w:rPr>
                      <w:color w:val="000000"/>
                      <w:sz w:val="20"/>
                      <w:szCs w:val="20"/>
                      <w:lang w:eastAsia="en-GB"/>
                    </w:rPr>
                    <w:t>2.7</w:t>
                  </w:r>
                </w:p>
              </w:tc>
              <w:tc>
                <w:tcPr>
                  <w:tcW w:w="1420" w:type="dxa"/>
                  <w:tcBorders>
                    <w:top w:val="nil"/>
                    <w:left w:val="nil"/>
                    <w:bottom w:val="single" w:sz="8" w:space="0" w:color="auto"/>
                    <w:right w:val="single" w:sz="8" w:space="0" w:color="auto"/>
                  </w:tcBorders>
                  <w:shd w:val="clear" w:color="auto" w:fill="auto"/>
                  <w:hideMark/>
                </w:tcPr>
                <w:p w14:paraId="0CFDD9C0" w14:textId="77777777" w:rsidR="002C2BB0" w:rsidRPr="0098635C" w:rsidRDefault="002C2BB0" w:rsidP="002C2BB0">
                  <w:pPr>
                    <w:spacing w:after="0"/>
                    <w:jc w:val="center"/>
                    <w:rPr>
                      <w:color w:val="000000"/>
                      <w:sz w:val="20"/>
                      <w:szCs w:val="20"/>
                      <w:lang w:eastAsia="en-GB"/>
                    </w:rPr>
                  </w:pPr>
                </w:p>
              </w:tc>
              <w:tc>
                <w:tcPr>
                  <w:tcW w:w="1580" w:type="dxa"/>
                  <w:tcBorders>
                    <w:top w:val="nil"/>
                    <w:left w:val="nil"/>
                    <w:bottom w:val="single" w:sz="8" w:space="0" w:color="auto"/>
                    <w:right w:val="single" w:sz="8" w:space="0" w:color="auto"/>
                  </w:tcBorders>
                  <w:shd w:val="clear" w:color="auto" w:fill="auto"/>
                  <w:hideMark/>
                </w:tcPr>
                <w:p w14:paraId="01975F50" w14:textId="77777777" w:rsidR="002C2BB0" w:rsidRPr="0098635C" w:rsidRDefault="002C2BB0" w:rsidP="002C2BB0">
                  <w:pPr>
                    <w:spacing w:after="0"/>
                    <w:jc w:val="center"/>
                    <w:rPr>
                      <w:b/>
                      <w:bCs/>
                      <w:color w:val="000000"/>
                      <w:sz w:val="20"/>
                      <w:szCs w:val="20"/>
                      <w:lang w:eastAsia="en-GB"/>
                    </w:rPr>
                  </w:pPr>
                  <w:r w:rsidRPr="0098635C">
                    <w:rPr>
                      <w:b/>
                      <w:bCs/>
                      <w:color w:val="000000"/>
                      <w:sz w:val="20"/>
                      <w:szCs w:val="20"/>
                      <w:lang w:eastAsia="en-GB"/>
                    </w:rPr>
                    <w:t>&gt;2000</w:t>
                  </w:r>
                </w:p>
              </w:tc>
              <w:tc>
                <w:tcPr>
                  <w:tcW w:w="1700" w:type="dxa"/>
                  <w:tcBorders>
                    <w:top w:val="nil"/>
                    <w:left w:val="nil"/>
                    <w:bottom w:val="single" w:sz="8" w:space="0" w:color="auto"/>
                    <w:right w:val="single" w:sz="8" w:space="0" w:color="auto"/>
                  </w:tcBorders>
                  <w:shd w:val="clear" w:color="auto" w:fill="auto"/>
                  <w:hideMark/>
                </w:tcPr>
                <w:p w14:paraId="27303B42" w14:textId="77777777" w:rsidR="002C2BB0" w:rsidRPr="0098635C" w:rsidRDefault="002C2BB0" w:rsidP="002C2BB0">
                  <w:pPr>
                    <w:spacing w:after="0"/>
                    <w:jc w:val="center"/>
                    <w:rPr>
                      <w:color w:val="000000"/>
                      <w:sz w:val="20"/>
                      <w:szCs w:val="20"/>
                      <w:lang w:eastAsia="en-GB"/>
                    </w:rPr>
                  </w:pPr>
                  <w:r w:rsidRPr="0098635C">
                    <w:rPr>
                      <w:color w:val="000000"/>
                      <w:sz w:val="20"/>
                      <w:szCs w:val="20"/>
                      <w:lang w:eastAsia="en-GB"/>
                    </w:rPr>
                    <w:t>4685-8718</w:t>
                  </w:r>
                </w:p>
              </w:tc>
            </w:tr>
            <w:tr w:rsidR="002C2BB0" w:rsidRPr="0098635C" w14:paraId="183150A8" w14:textId="77777777" w:rsidTr="002C2BB0">
              <w:trPr>
                <w:trHeight w:val="267"/>
              </w:trPr>
              <w:tc>
                <w:tcPr>
                  <w:tcW w:w="2240" w:type="dxa"/>
                  <w:tcBorders>
                    <w:top w:val="single" w:sz="4" w:space="0" w:color="auto"/>
                    <w:left w:val="single" w:sz="8" w:space="0" w:color="auto"/>
                    <w:bottom w:val="single" w:sz="4" w:space="0" w:color="auto"/>
                    <w:right w:val="single" w:sz="8" w:space="0" w:color="auto"/>
                  </w:tcBorders>
                  <w:shd w:val="clear" w:color="auto" w:fill="auto"/>
                  <w:hideMark/>
                </w:tcPr>
                <w:p w14:paraId="35048C77" w14:textId="77777777" w:rsidR="002C2BB0" w:rsidRPr="0098635C" w:rsidRDefault="002C2BB0" w:rsidP="002C2BB0">
                  <w:pPr>
                    <w:spacing w:after="0"/>
                    <w:jc w:val="center"/>
                    <w:rPr>
                      <w:color w:val="000000"/>
                      <w:sz w:val="20"/>
                      <w:szCs w:val="20"/>
                      <w:lang w:eastAsia="en-GB"/>
                    </w:rPr>
                  </w:pPr>
                  <w:r w:rsidRPr="0098635C">
                    <w:rPr>
                      <w:color w:val="000000"/>
                      <w:sz w:val="20"/>
                      <w:szCs w:val="20"/>
                      <w:lang w:eastAsia="en-GB"/>
                    </w:rPr>
                    <w:t>Copper powder (0.024m2/g)</w:t>
                  </w:r>
                </w:p>
              </w:tc>
              <w:tc>
                <w:tcPr>
                  <w:tcW w:w="960" w:type="dxa"/>
                  <w:tcBorders>
                    <w:top w:val="single" w:sz="4" w:space="0" w:color="auto"/>
                    <w:left w:val="nil"/>
                    <w:bottom w:val="single" w:sz="4" w:space="0" w:color="auto"/>
                    <w:right w:val="single" w:sz="8" w:space="0" w:color="auto"/>
                  </w:tcBorders>
                  <w:shd w:val="clear" w:color="auto" w:fill="auto"/>
                  <w:hideMark/>
                </w:tcPr>
                <w:p w14:paraId="0A8D8E55" w14:textId="77777777" w:rsidR="002C2BB0" w:rsidRPr="0098635C" w:rsidRDefault="002C2BB0" w:rsidP="002C2BB0">
                  <w:pPr>
                    <w:spacing w:after="0"/>
                    <w:jc w:val="center"/>
                    <w:rPr>
                      <w:color w:val="000000"/>
                      <w:sz w:val="20"/>
                      <w:szCs w:val="20"/>
                      <w:lang w:eastAsia="en-GB"/>
                    </w:rPr>
                  </w:pPr>
                  <w:r w:rsidRPr="0098635C">
                    <w:rPr>
                      <w:color w:val="000000"/>
                      <w:sz w:val="20"/>
                      <w:szCs w:val="20"/>
                      <w:lang w:eastAsia="en-GB"/>
                    </w:rPr>
                    <w:t>100</w:t>
                  </w:r>
                </w:p>
              </w:tc>
              <w:tc>
                <w:tcPr>
                  <w:tcW w:w="1260" w:type="dxa"/>
                  <w:tcBorders>
                    <w:top w:val="nil"/>
                    <w:left w:val="nil"/>
                    <w:bottom w:val="single" w:sz="4" w:space="0" w:color="auto"/>
                    <w:right w:val="single" w:sz="8" w:space="0" w:color="auto"/>
                  </w:tcBorders>
                  <w:shd w:val="clear" w:color="auto" w:fill="auto"/>
                  <w:noWrap/>
                  <w:vAlign w:val="bottom"/>
                  <w:hideMark/>
                </w:tcPr>
                <w:p w14:paraId="739A1BF8" w14:textId="77777777" w:rsidR="002C2BB0" w:rsidRPr="0098635C" w:rsidRDefault="002C2BB0" w:rsidP="002C2BB0">
                  <w:pPr>
                    <w:spacing w:after="0"/>
                    <w:jc w:val="center"/>
                    <w:rPr>
                      <w:color w:val="000000"/>
                      <w:sz w:val="20"/>
                      <w:szCs w:val="20"/>
                      <w:lang w:eastAsia="en-GB"/>
                    </w:rPr>
                  </w:pPr>
                  <w:r w:rsidRPr="0098635C">
                    <w:rPr>
                      <w:color w:val="000000"/>
                      <w:sz w:val="20"/>
                      <w:szCs w:val="20"/>
                      <w:lang w:eastAsia="en-GB"/>
                    </w:rPr>
                    <w:t>1.1</w:t>
                  </w:r>
                </w:p>
              </w:tc>
              <w:tc>
                <w:tcPr>
                  <w:tcW w:w="1420" w:type="dxa"/>
                  <w:tcBorders>
                    <w:top w:val="nil"/>
                    <w:left w:val="nil"/>
                    <w:bottom w:val="single" w:sz="4" w:space="0" w:color="auto"/>
                    <w:right w:val="single" w:sz="8" w:space="0" w:color="auto"/>
                  </w:tcBorders>
                  <w:shd w:val="clear" w:color="auto" w:fill="auto"/>
                  <w:noWrap/>
                  <w:vAlign w:val="bottom"/>
                  <w:hideMark/>
                </w:tcPr>
                <w:p w14:paraId="7A2FED6B" w14:textId="77777777" w:rsidR="002C2BB0" w:rsidRPr="0098635C" w:rsidRDefault="002C2BB0" w:rsidP="002C2BB0">
                  <w:pPr>
                    <w:spacing w:after="0"/>
                    <w:jc w:val="center"/>
                    <w:rPr>
                      <w:color w:val="000000"/>
                      <w:sz w:val="20"/>
                      <w:szCs w:val="20"/>
                      <w:lang w:eastAsia="en-GB"/>
                    </w:rPr>
                  </w:pPr>
                </w:p>
              </w:tc>
              <w:tc>
                <w:tcPr>
                  <w:tcW w:w="1580" w:type="dxa"/>
                  <w:tcBorders>
                    <w:top w:val="nil"/>
                    <w:left w:val="nil"/>
                    <w:bottom w:val="single" w:sz="4" w:space="0" w:color="auto"/>
                    <w:right w:val="single" w:sz="8" w:space="0" w:color="auto"/>
                  </w:tcBorders>
                  <w:shd w:val="clear" w:color="auto" w:fill="auto"/>
                  <w:noWrap/>
                  <w:vAlign w:val="bottom"/>
                  <w:hideMark/>
                </w:tcPr>
                <w:p w14:paraId="1BB40EE5" w14:textId="77777777" w:rsidR="002C2BB0" w:rsidRPr="0098635C" w:rsidRDefault="002C2BB0" w:rsidP="002C2BB0">
                  <w:pPr>
                    <w:spacing w:after="0"/>
                    <w:jc w:val="center"/>
                    <w:rPr>
                      <w:color w:val="000000"/>
                      <w:sz w:val="20"/>
                      <w:szCs w:val="20"/>
                      <w:lang w:eastAsia="en-GB"/>
                    </w:rPr>
                  </w:pPr>
                </w:p>
              </w:tc>
              <w:tc>
                <w:tcPr>
                  <w:tcW w:w="1700" w:type="dxa"/>
                  <w:tcBorders>
                    <w:top w:val="nil"/>
                    <w:left w:val="nil"/>
                    <w:bottom w:val="single" w:sz="4" w:space="0" w:color="auto"/>
                    <w:right w:val="single" w:sz="8" w:space="0" w:color="auto"/>
                  </w:tcBorders>
                  <w:shd w:val="clear" w:color="auto" w:fill="auto"/>
                  <w:noWrap/>
                  <w:vAlign w:val="bottom"/>
                  <w:hideMark/>
                </w:tcPr>
                <w:p w14:paraId="65AC25C1" w14:textId="77777777" w:rsidR="002C2BB0" w:rsidRPr="0098635C" w:rsidRDefault="002C2BB0" w:rsidP="002C2BB0">
                  <w:pPr>
                    <w:spacing w:after="0"/>
                    <w:jc w:val="center"/>
                    <w:rPr>
                      <w:b/>
                      <w:bCs/>
                      <w:color w:val="000000"/>
                      <w:sz w:val="20"/>
                      <w:szCs w:val="20"/>
                      <w:lang w:eastAsia="en-GB"/>
                    </w:rPr>
                  </w:pPr>
                  <w:r w:rsidRPr="0098635C">
                    <w:rPr>
                      <w:b/>
                      <w:bCs/>
                      <w:color w:val="000000"/>
                      <w:sz w:val="20"/>
                      <w:szCs w:val="20"/>
                      <w:lang w:eastAsia="en-GB"/>
                    </w:rPr>
                    <w:t>11091-20636</w:t>
                  </w:r>
                </w:p>
              </w:tc>
            </w:tr>
            <w:tr w:rsidR="002C2BB0" w:rsidRPr="0098635C" w14:paraId="25EFAC0C" w14:textId="77777777" w:rsidTr="002C2BB0">
              <w:trPr>
                <w:trHeight w:val="465"/>
              </w:trPr>
              <w:tc>
                <w:tcPr>
                  <w:tcW w:w="2240" w:type="dxa"/>
                  <w:tcBorders>
                    <w:top w:val="nil"/>
                    <w:left w:val="single" w:sz="8" w:space="0" w:color="auto"/>
                    <w:bottom w:val="single" w:sz="4" w:space="0" w:color="auto"/>
                    <w:right w:val="single" w:sz="8" w:space="0" w:color="auto"/>
                  </w:tcBorders>
                  <w:shd w:val="clear" w:color="auto" w:fill="auto"/>
                  <w:hideMark/>
                </w:tcPr>
                <w:p w14:paraId="36EFF3F4" w14:textId="77777777" w:rsidR="002C2BB0" w:rsidRPr="0098635C" w:rsidRDefault="002C2BB0" w:rsidP="002C2BB0">
                  <w:pPr>
                    <w:spacing w:after="0"/>
                    <w:jc w:val="center"/>
                    <w:rPr>
                      <w:color w:val="000000"/>
                      <w:sz w:val="20"/>
                      <w:szCs w:val="20"/>
                      <w:lang w:eastAsia="en-GB"/>
                    </w:rPr>
                  </w:pPr>
                  <w:r w:rsidRPr="0098635C">
                    <w:rPr>
                      <w:color w:val="000000"/>
                      <w:sz w:val="20"/>
                      <w:szCs w:val="20"/>
                      <w:lang w:eastAsia="en-GB"/>
                    </w:rPr>
                    <w:t>10 µm copper powder (0.067m2/g)</w:t>
                  </w:r>
                </w:p>
              </w:tc>
              <w:tc>
                <w:tcPr>
                  <w:tcW w:w="960" w:type="dxa"/>
                  <w:tcBorders>
                    <w:top w:val="nil"/>
                    <w:left w:val="nil"/>
                    <w:bottom w:val="single" w:sz="8" w:space="0" w:color="auto"/>
                    <w:right w:val="single" w:sz="8" w:space="0" w:color="auto"/>
                  </w:tcBorders>
                  <w:shd w:val="clear" w:color="auto" w:fill="auto"/>
                  <w:hideMark/>
                </w:tcPr>
                <w:p w14:paraId="2E6EB6F3" w14:textId="77777777" w:rsidR="002C2BB0" w:rsidRPr="0098635C" w:rsidRDefault="002C2BB0" w:rsidP="002C2BB0">
                  <w:pPr>
                    <w:spacing w:after="0"/>
                    <w:jc w:val="center"/>
                    <w:rPr>
                      <w:color w:val="000000"/>
                      <w:sz w:val="20"/>
                      <w:szCs w:val="20"/>
                      <w:lang w:eastAsia="en-GB"/>
                    </w:rPr>
                  </w:pPr>
                  <w:r w:rsidRPr="0098635C">
                    <w:rPr>
                      <w:color w:val="000000"/>
                      <w:sz w:val="20"/>
                      <w:szCs w:val="20"/>
                      <w:lang w:eastAsia="en-GB"/>
                    </w:rPr>
                    <w:t>100</w:t>
                  </w:r>
                </w:p>
              </w:tc>
              <w:tc>
                <w:tcPr>
                  <w:tcW w:w="1260" w:type="dxa"/>
                  <w:tcBorders>
                    <w:top w:val="nil"/>
                    <w:left w:val="nil"/>
                    <w:bottom w:val="single" w:sz="8" w:space="0" w:color="auto"/>
                    <w:right w:val="single" w:sz="8" w:space="0" w:color="auto"/>
                  </w:tcBorders>
                  <w:shd w:val="clear" w:color="auto" w:fill="auto"/>
                  <w:noWrap/>
                  <w:vAlign w:val="bottom"/>
                  <w:hideMark/>
                </w:tcPr>
                <w:p w14:paraId="686D63EA" w14:textId="77777777" w:rsidR="002C2BB0" w:rsidRPr="0098635C" w:rsidRDefault="002C2BB0" w:rsidP="002C2BB0">
                  <w:pPr>
                    <w:spacing w:after="0"/>
                    <w:jc w:val="center"/>
                    <w:rPr>
                      <w:color w:val="000000"/>
                      <w:sz w:val="20"/>
                      <w:szCs w:val="20"/>
                      <w:lang w:eastAsia="en-GB"/>
                    </w:rPr>
                  </w:pPr>
                  <w:r w:rsidRPr="0098635C">
                    <w:rPr>
                      <w:color w:val="000000"/>
                      <w:sz w:val="20"/>
                      <w:szCs w:val="20"/>
                      <w:lang w:eastAsia="en-GB"/>
                    </w:rPr>
                    <w:t>2.8</w:t>
                  </w:r>
                </w:p>
              </w:tc>
              <w:tc>
                <w:tcPr>
                  <w:tcW w:w="1420" w:type="dxa"/>
                  <w:tcBorders>
                    <w:top w:val="nil"/>
                    <w:left w:val="nil"/>
                    <w:bottom w:val="single" w:sz="8" w:space="0" w:color="auto"/>
                    <w:right w:val="single" w:sz="8" w:space="0" w:color="auto"/>
                  </w:tcBorders>
                  <w:shd w:val="clear" w:color="auto" w:fill="auto"/>
                  <w:noWrap/>
                  <w:vAlign w:val="bottom"/>
                  <w:hideMark/>
                </w:tcPr>
                <w:p w14:paraId="479EE777" w14:textId="77777777" w:rsidR="002C2BB0" w:rsidRPr="0098635C" w:rsidRDefault="002C2BB0" w:rsidP="002C2BB0">
                  <w:pPr>
                    <w:spacing w:after="0"/>
                    <w:jc w:val="center"/>
                    <w:rPr>
                      <w:color w:val="000000"/>
                      <w:sz w:val="20"/>
                      <w:szCs w:val="20"/>
                      <w:lang w:eastAsia="en-GB"/>
                    </w:rPr>
                  </w:pPr>
                </w:p>
              </w:tc>
              <w:tc>
                <w:tcPr>
                  <w:tcW w:w="1580" w:type="dxa"/>
                  <w:tcBorders>
                    <w:top w:val="nil"/>
                    <w:left w:val="nil"/>
                    <w:bottom w:val="single" w:sz="8" w:space="0" w:color="auto"/>
                    <w:right w:val="single" w:sz="8" w:space="0" w:color="auto"/>
                  </w:tcBorders>
                  <w:shd w:val="clear" w:color="auto" w:fill="auto"/>
                  <w:noWrap/>
                  <w:vAlign w:val="bottom"/>
                  <w:hideMark/>
                </w:tcPr>
                <w:p w14:paraId="3622A9CE" w14:textId="77777777" w:rsidR="002C2BB0" w:rsidRPr="0098635C" w:rsidRDefault="002C2BB0" w:rsidP="002C2BB0">
                  <w:pPr>
                    <w:spacing w:after="0"/>
                    <w:jc w:val="center"/>
                    <w:rPr>
                      <w:color w:val="000000"/>
                      <w:sz w:val="20"/>
                      <w:szCs w:val="20"/>
                      <w:lang w:eastAsia="en-GB"/>
                    </w:rPr>
                  </w:pPr>
                </w:p>
              </w:tc>
              <w:tc>
                <w:tcPr>
                  <w:tcW w:w="1700" w:type="dxa"/>
                  <w:tcBorders>
                    <w:top w:val="nil"/>
                    <w:left w:val="nil"/>
                    <w:bottom w:val="single" w:sz="8" w:space="0" w:color="auto"/>
                    <w:right w:val="single" w:sz="8" w:space="0" w:color="auto"/>
                  </w:tcBorders>
                  <w:shd w:val="clear" w:color="auto" w:fill="auto"/>
                  <w:noWrap/>
                  <w:vAlign w:val="bottom"/>
                  <w:hideMark/>
                </w:tcPr>
                <w:p w14:paraId="6AD91B0D" w14:textId="77777777" w:rsidR="002C2BB0" w:rsidRPr="0098635C" w:rsidRDefault="002C2BB0" w:rsidP="002C2BB0">
                  <w:pPr>
                    <w:spacing w:after="0"/>
                    <w:jc w:val="center"/>
                    <w:rPr>
                      <w:b/>
                      <w:bCs/>
                      <w:color w:val="000000"/>
                      <w:sz w:val="20"/>
                      <w:szCs w:val="20"/>
                      <w:lang w:eastAsia="en-GB"/>
                    </w:rPr>
                  </w:pPr>
                  <w:r w:rsidRPr="0098635C">
                    <w:rPr>
                      <w:b/>
                      <w:bCs/>
                      <w:color w:val="000000"/>
                      <w:sz w:val="20"/>
                      <w:szCs w:val="20"/>
                      <w:lang w:eastAsia="en-GB"/>
                    </w:rPr>
                    <w:t>4357-8107</w:t>
                  </w:r>
                </w:p>
              </w:tc>
            </w:tr>
          </w:tbl>
          <w:p w14:paraId="76A8189B" w14:textId="77777777" w:rsidR="002C2BB0" w:rsidRPr="0098635C" w:rsidRDefault="002C2BB0" w:rsidP="002C2BB0">
            <w:pPr>
              <w:spacing w:after="0"/>
              <w:rPr>
                <w:rFonts w:eastAsia="Calibri"/>
                <w:sz w:val="20"/>
                <w:szCs w:val="20"/>
              </w:rPr>
            </w:pPr>
            <w:r w:rsidRPr="0098635C">
              <w:rPr>
                <w:rFonts w:ascii="Calibri" w:eastAsia="Calibri" w:hAnsi="Calibri"/>
                <w:sz w:val="20"/>
                <w:szCs w:val="20"/>
              </w:rPr>
              <w:t>(1</w:t>
            </w:r>
            <w:r w:rsidRPr="0098635C">
              <w:rPr>
                <w:rFonts w:eastAsia="Calibri"/>
                <w:sz w:val="20"/>
                <w:szCs w:val="20"/>
              </w:rPr>
              <w:t xml:space="preserve">) Obtained from bioelution test or </w:t>
            </w:r>
            <w:r w:rsidRPr="0098635C">
              <w:rPr>
                <w:rFonts w:eastAsia="Calibri"/>
                <w:i/>
                <w:sz w:val="20"/>
                <w:szCs w:val="20"/>
              </w:rPr>
              <w:t>in vivo</w:t>
            </w:r>
            <w:r w:rsidRPr="0098635C">
              <w:rPr>
                <w:rFonts w:eastAsia="Calibri"/>
                <w:sz w:val="20"/>
                <w:szCs w:val="20"/>
              </w:rPr>
              <w:t xml:space="preserve"> bioavailability test</w:t>
            </w:r>
          </w:p>
          <w:p w14:paraId="29C4E0C1" w14:textId="77777777" w:rsidR="002C2BB0" w:rsidRPr="0098635C" w:rsidRDefault="002C2BB0" w:rsidP="002C2BB0">
            <w:pPr>
              <w:spacing w:after="0"/>
              <w:rPr>
                <w:rFonts w:eastAsia="Calibri"/>
                <w:sz w:val="20"/>
                <w:szCs w:val="20"/>
              </w:rPr>
            </w:pPr>
            <w:r w:rsidRPr="0098635C">
              <w:rPr>
                <w:rFonts w:eastAsia="Calibri"/>
                <w:sz w:val="20"/>
                <w:szCs w:val="20"/>
              </w:rPr>
              <w:t>(2) Measured LD</w:t>
            </w:r>
            <w:r w:rsidRPr="0098635C">
              <w:rPr>
                <w:rFonts w:eastAsia="Calibri"/>
                <w:sz w:val="20"/>
                <w:szCs w:val="20"/>
                <w:vertAlign w:val="subscript"/>
              </w:rPr>
              <w:t>50</w:t>
            </w:r>
            <w:r w:rsidRPr="0098635C">
              <w:rPr>
                <w:rFonts w:eastAsia="Calibri"/>
                <w:sz w:val="20"/>
                <w:szCs w:val="20"/>
              </w:rPr>
              <w:t xml:space="preserve">  / (1)</w:t>
            </w:r>
          </w:p>
          <w:p w14:paraId="00EF1C11" w14:textId="77777777" w:rsidR="002C2BB0" w:rsidRPr="0098635C" w:rsidRDefault="002C2BB0" w:rsidP="002C2BB0">
            <w:pPr>
              <w:spacing w:after="0"/>
              <w:rPr>
                <w:rFonts w:eastAsia="Calibri"/>
                <w:sz w:val="20"/>
                <w:szCs w:val="20"/>
              </w:rPr>
            </w:pPr>
            <w:r w:rsidRPr="0098635C">
              <w:rPr>
                <w:rFonts w:eastAsia="Calibri"/>
                <w:sz w:val="20"/>
                <w:szCs w:val="20"/>
              </w:rPr>
              <w:t>(3) Min-Max range (2) / (1)</w:t>
            </w:r>
            <w:r w:rsidRPr="0098635C">
              <w:rPr>
                <w:rFonts w:eastAsia="Calibri"/>
                <w:sz w:val="20"/>
                <w:szCs w:val="20"/>
              </w:rPr>
              <w:tab/>
            </w:r>
          </w:p>
          <w:p w14:paraId="70146462" w14:textId="77777777" w:rsidR="002C2BB0" w:rsidRPr="0098635C" w:rsidRDefault="002C2BB0" w:rsidP="002C2BB0">
            <w:pPr>
              <w:spacing w:after="0"/>
              <w:textAlignment w:val="baseline"/>
              <w:rPr>
                <w:rFonts w:eastAsia="Calibri"/>
                <w:sz w:val="20"/>
                <w:szCs w:val="20"/>
              </w:rPr>
            </w:pPr>
          </w:p>
          <w:p w14:paraId="595BE3E2" w14:textId="77777777" w:rsidR="002C2BB0" w:rsidRPr="0098635C" w:rsidRDefault="002C2BB0" w:rsidP="002C2BB0">
            <w:pPr>
              <w:spacing w:after="0"/>
              <w:rPr>
                <w:rFonts w:eastAsia="Calibri"/>
                <w:sz w:val="20"/>
                <w:szCs w:val="20"/>
              </w:rPr>
            </w:pPr>
            <w:r w:rsidRPr="0098635C">
              <w:rPr>
                <w:rFonts w:eastAsia="Calibri"/>
                <w:sz w:val="20"/>
                <w:szCs w:val="20"/>
              </w:rPr>
              <w:t>The above Table shows comparable bioavailable/bioaccessible LD</w:t>
            </w:r>
            <w:r w:rsidRPr="0098635C">
              <w:rPr>
                <w:rFonts w:eastAsia="Calibri"/>
                <w:sz w:val="20"/>
                <w:szCs w:val="20"/>
                <w:vertAlign w:val="subscript"/>
              </w:rPr>
              <w:t>50</w:t>
            </w:r>
            <w:r w:rsidRPr="0098635C">
              <w:rPr>
                <w:rFonts w:eastAsia="Calibri"/>
                <w:sz w:val="20"/>
                <w:szCs w:val="20"/>
              </w:rPr>
              <w:t xml:space="preserve"> values for the 3 substances with bound LD</w:t>
            </w:r>
            <w:r w:rsidRPr="0098635C">
              <w:rPr>
                <w:rFonts w:eastAsia="Calibri"/>
                <w:sz w:val="20"/>
                <w:szCs w:val="20"/>
                <w:vertAlign w:val="subscript"/>
              </w:rPr>
              <w:t>50</w:t>
            </w:r>
            <w:r w:rsidRPr="0098635C">
              <w:rPr>
                <w:rFonts w:eastAsia="Calibri"/>
                <w:sz w:val="20"/>
                <w:szCs w:val="20"/>
              </w:rPr>
              <w:t xml:space="preserve"> data (122 to 227 mg bio-available mg Cu/kg bw).  The calculated LD</w:t>
            </w:r>
            <w:r w:rsidRPr="0098635C">
              <w:rPr>
                <w:rFonts w:eastAsia="Calibri"/>
                <w:sz w:val="20"/>
                <w:szCs w:val="20"/>
                <w:vertAlign w:val="subscript"/>
              </w:rPr>
              <w:t>50</w:t>
            </w:r>
            <w:r w:rsidRPr="0098635C">
              <w:rPr>
                <w:rFonts w:eastAsia="Calibri"/>
                <w:sz w:val="20"/>
                <w:szCs w:val="20"/>
              </w:rPr>
              <w:t xml:space="preserve"> values for these materials (copper coated flakes, CuSO</w:t>
            </w:r>
            <w:r w:rsidRPr="0098635C">
              <w:rPr>
                <w:rFonts w:eastAsia="Calibri"/>
                <w:sz w:val="20"/>
                <w:szCs w:val="20"/>
                <w:vertAlign w:val="subscript"/>
              </w:rPr>
              <w:t>4.</w:t>
            </w:r>
            <w:r w:rsidRPr="0098635C">
              <w:rPr>
                <w:rFonts w:eastAsia="Calibri"/>
                <w:sz w:val="20"/>
                <w:szCs w:val="20"/>
              </w:rPr>
              <w:t>5H</w:t>
            </w:r>
            <w:r w:rsidRPr="0098635C">
              <w:rPr>
                <w:rFonts w:eastAsia="Calibri"/>
                <w:sz w:val="20"/>
                <w:szCs w:val="20"/>
                <w:vertAlign w:val="subscript"/>
              </w:rPr>
              <w:t>2</w:t>
            </w:r>
            <w:r w:rsidRPr="0098635C">
              <w:rPr>
                <w:rFonts w:eastAsia="Calibri"/>
                <w:sz w:val="20"/>
                <w:szCs w:val="20"/>
              </w:rPr>
              <w:t>0 and CuCl) correspond to the measured hazard profile of these materials (LD</w:t>
            </w:r>
            <w:r w:rsidRPr="0098635C">
              <w:rPr>
                <w:rFonts w:eastAsia="Calibri"/>
                <w:sz w:val="20"/>
                <w:szCs w:val="20"/>
                <w:vertAlign w:val="subscript"/>
              </w:rPr>
              <w:t>50</w:t>
            </w:r>
            <w:r w:rsidRPr="0098635C">
              <w:rPr>
                <w:rFonts w:eastAsia="Calibri"/>
                <w:sz w:val="20"/>
                <w:szCs w:val="20"/>
              </w:rPr>
              <w:t xml:space="preserve"> &lt; 2,000 mg/kg and &gt; 200 mg/kg bw). Correct predictions are also observed for Cu</w:t>
            </w:r>
            <w:r w:rsidRPr="0098635C">
              <w:rPr>
                <w:rFonts w:eastAsia="Calibri"/>
                <w:sz w:val="20"/>
                <w:szCs w:val="20"/>
                <w:vertAlign w:val="subscript"/>
              </w:rPr>
              <w:t>2</w:t>
            </w:r>
            <w:r w:rsidRPr="0098635C">
              <w:rPr>
                <w:rFonts w:eastAsia="Calibri"/>
                <w:sz w:val="20"/>
                <w:szCs w:val="20"/>
              </w:rPr>
              <w:t>S (i.e. LD</w:t>
            </w:r>
            <w:r w:rsidRPr="0098635C">
              <w:rPr>
                <w:rFonts w:eastAsia="Calibri"/>
                <w:sz w:val="20"/>
                <w:szCs w:val="20"/>
                <w:vertAlign w:val="subscript"/>
              </w:rPr>
              <w:t>50</w:t>
            </w:r>
            <w:r w:rsidRPr="0098635C">
              <w:rPr>
                <w:rFonts w:eastAsia="Calibri"/>
                <w:sz w:val="20"/>
                <w:szCs w:val="20"/>
              </w:rPr>
              <w:t xml:space="preserve"> &gt; 2,000 mg/kg). For CuO, the predicted LD</w:t>
            </w:r>
            <w:r w:rsidRPr="0098635C">
              <w:rPr>
                <w:rFonts w:eastAsia="Calibri"/>
                <w:sz w:val="20"/>
                <w:szCs w:val="20"/>
                <w:vertAlign w:val="subscript"/>
              </w:rPr>
              <w:t>50</w:t>
            </w:r>
            <w:r w:rsidRPr="0098635C">
              <w:rPr>
                <w:rFonts w:eastAsia="Calibri"/>
                <w:sz w:val="20"/>
                <w:szCs w:val="20"/>
              </w:rPr>
              <w:t xml:space="preserve"> values are below the observed LD</w:t>
            </w:r>
            <w:r w:rsidRPr="0098635C">
              <w:rPr>
                <w:rFonts w:eastAsia="Calibri"/>
                <w:sz w:val="20"/>
                <w:szCs w:val="20"/>
                <w:vertAlign w:val="subscript"/>
              </w:rPr>
              <w:t>50</w:t>
            </w:r>
            <w:r w:rsidRPr="0098635C">
              <w:rPr>
                <w:rFonts w:eastAsia="Calibri"/>
                <w:sz w:val="20"/>
                <w:szCs w:val="20"/>
              </w:rPr>
              <w:t xml:space="preserve"> and therefore, calculations are conserv</w:t>
            </w:r>
            <w:r w:rsidRPr="0098635C">
              <w:rPr>
                <w:rFonts w:eastAsia="Calibri"/>
                <w:sz w:val="20"/>
                <w:szCs w:val="20"/>
              </w:rPr>
              <w:t>a</w:t>
            </w:r>
            <w:r w:rsidRPr="0098635C">
              <w:rPr>
                <w:rFonts w:eastAsia="Calibri"/>
                <w:sz w:val="20"/>
                <w:szCs w:val="20"/>
              </w:rPr>
              <w:t xml:space="preserve">tive. </w:t>
            </w:r>
          </w:p>
          <w:p w14:paraId="35424A37" w14:textId="77777777" w:rsidR="002C2BB0" w:rsidRPr="0098635C" w:rsidRDefault="002C2BB0" w:rsidP="002C2BB0">
            <w:pPr>
              <w:spacing w:after="0"/>
              <w:rPr>
                <w:rFonts w:eastAsia="Calibri"/>
                <w:sz w:val="20"/>
                <w:szCs w:val="20"/>
              </w:rPr>
            </w:pPr>
            <w:r w:rsidRPr="0098635C">
              <w:rPr>
                <w:rFonts w:eastAsia="Calibri"/>
                <w:sz w:val="20"/>
                <w:szCs w:val="20"/>
              </w:rPr>
              <w:t>The data therefore support the concept that bio-available copper ions are responsible for the observed acute to</w:t>
            </w:r>
            <w:r w:rsidRPr="0098635C">
              <w:rPr>
                <w:rFonts w:eastAsia="Calibri"/>
                <w:sz w:val="20"/>
                <w:szCs w:val="20"/>
              </w:rPr>
              <w:t>x</w:t>
            </w:r>
            <w:r w:rsidRPr="0098635C">
              <w:rPr>
                <w:rFonts w:eastAsia="Calibri"/>
                <w:sz w:val="20"/>
                <w:szCs w:val="20"/>
              </w:rPr>
              <w:t>icity profiles of CuSO</w:t>
            </w:r>
            <w:r w:rsidRPr="0098635C">
              <w:rPr>
                <w:rFonts w:eastAsia="Calibri"/>
                <w:sz w:val="20"/>
                <w:szCs w:val="20"/>
                <w:vertAlign w:val="subscript"/>
              </w:rPr>
              <w:t>4</w:t>
            </w:r>
            <w:r w:rsidRPr="0098635C">
              <w:rPr>
                <w:rFonts w:eastAsia="Calibri"/>
                <w:sz w:val="20"/>
                <w:szCs w:val="20"/>
              </w:rPr>
              <w:t>.5H</w:t>
            </w:r>
            <w:r w:rsidRPr="0098635C">
              <w:rPr>
                <w:rFonts w:eastAsia="Calibri"/>
                <w:sz w:val="20"/>
                <w:szCs w:val="20"/>
                <w:vertAlign w:val="subscript"/>
              </w:rPr>
              <w:t>2</w:t>
            </w:r>
            <w:r w:rsidRPr="0098635C">
              <w:rPr>
                <w:rFonts w:eastAsia="Calibri"/>
                <w:sz w:val="20"/>
                <w:szCs w:val="20"/>
              </w:rPr>
              <w:t>0, CuCl, Coated copper flakes CuO and Cu</w:t>
            </w:r>
            <w:r w:rsidRPr="0098635C">
              <w:rPr>
                <w:rFonts w:eastAsia="Calibri"/>
                <w:sz w:val="20"/>
                <w:szCs w:val="20"/>
                <w:vertAlign w:val="subscript"/>
              </w:rPr>
              <w:t>2</w:t>
            </w:r>
            <w:r w:rsidRPr="0098635C">
              <w:rPr>
                <w:rFonts w:eastAsia="Calibri"/>
                <w:sz w:val="20"/>
                <w:szCs w:val="20"/>
              </w:rPr>
              <w:t xml:space="preserve">S and that </w:t>
            </w:r>
            <w:r w:rsidRPr="0098635C">
              <w:rPr>
                <w:rFonts w:eastAsia="Calibri"/>
                <w:i/>
                <w:sz w:val="20"/>
                <w:szCs w:val="20"/>
              </w:rPr>
              <w:t>in vitro</w:t>
            </w:r>
            <w:r w:rsidRPr="0098635C">
              <w:rPr>
                <w:rFonts w:eastAsia="Calibri"/>
                <w:sz w:val="20"/>
                <w:szCs w:val="20"/>
              </w:rPr>
              <w:t xml:space="preserve"> bioaccessibility data can be used as read-across param</w:t>
            </w:r>
            <w:r w:rsidRPr="0098635C">
              <w:rPr>
                <w:rFonts w:eastAsia="Calibri"/>
                <w:sz w:val="20"/>
                <w:szCs w:val="20"/>
              </w:rPr>
              <w:t>e</w:t>
            </w:r>
            <w:r w:rsidRPr="0098635C">
              <w:rPr>
                <w:rFonts w:eastAsia="Calibri"/>
                <w:sz w:val="20"/>
                <w:szCs w:val="20"/>
              </w:rPr>
              <w:t xml:space="preserve">ter.  </w:t>
            </w:r>
          </w:p>
          <w:p w14:paraId="4B25F626" w14:textId="77777777" w:rsidR="002C2BB0" w:rsidRPr="0098635C" w:rsidRDefault="002C2BB0" w:rsidP="002C2BB0">
            <w:pPr>
              <w:spacing w:after="0"/>
              <w:rPr>
                <w:rFonts w:eastAsia="Calibri"/>
                <w:sz w:val="20"/>
                <w:szCs w:val="20"/>
              </w:rPr>
            </w:pPr>
            <w:r w:rsidRPr="0098635C">
              <w:rPr>
                <w:rFonts w:eastAsia="Calibri"/>
                <w:sz w:val="20"/>
                <w:szCs w:val="20"/>
              </w:rPr>
              <w:t xml:space="preserve">Therefore, following the read-across approach,  the </w:t>
            </w:r>
            <w:r w:rsidRPr="0098635C">
              <w:rPr>
                <w:rFonts w:eastAsia="Calibri"/>
                <w:i/>
                <w:sz w:val="20"/>
                <w:szCs w:val="20"/>
              </w:rPr>
              <w:t>in vivo</w:t>
            </w:r>
            <w:r w:rsidRPr="0098635C">
              <w:rPr>
                <w:rFonts w:eastAsia="Calibri"/>
                <w:sz w:val="20"/>
                <w:szCs w:val="20"/>
              </w:rPr>
              <w:t xml:space="preserve"> toxicity of coated copper flakes and copper co</w:t>
            </w:r>
            <w:r w:rsidRPr="0098635C">
              <w:rPr>
                <w:rFonts w:eastAsia="Calibri"/>
                <w:sz w:val="20"/>
                <w:szCs w:val="20"/>
              </w:rPr>
              <w:t>m</w:t>
            </w:r>
            <w:r w:rsidRPr="0098635C">
              <w:rPr>
                <w:rFonts w:eastAsia="Calibri"/>
                <w:sz w:val="20"/>
                <w:szCs w:val="20"/>
              </w:rPr>
              <w:t>pounds were combined with the relative bio-accessibility of copper powders and massive to derive the classific</w:t>
            </w:r>
            <w:r w:rsidRPr="0098635C">
              <w:rPr>
                <w:rFonts w:eastAsia="Calibri"/>
                <w:sz w:val="20"/>
                <w:szCs w:val="20"/>
              </w:rPr>
              <w:t>a</w:t>
            </w:r>
            <w:r w:rsidRPr="0098635C">
              <w:rPr>
                <w:rFonts w:eastAsia="Calibri"/>
                <w:sz w:val="20"/>
                <w:szCs w:val="20"/>
              </w:rPr>
              <w:t>tion of copper powders/massive.   From the assessment it was concluded that copper powder  (typical powder and worst case 10µm powder) and therefore also copper massive follow the same hazard profile as CuO and Cu</w:t>
            </w:r>
            <w:r w:rsidRPr="0098635C">
              <w:rPr>
                <w:rFonts w:eastAsia="Calibri"/>
                <w:sz w:val="20"/>
                <w:szCs w:val="20"/>
                <w:vertAlign w:val="subscript"/>
              </w:rPr>
              <w:t>2</w:t>
            </w:r>
            <w:r w:rsidRPr="0098635C">
              <w:rPr>
                <w:rFonts w:eastAsia="Calibri"/>
                <w:sz w:val="20"/>
                <w:szCs w:val="20"/>
              </w:rPr>
              <w:t>S (LD</w:t>
            </w:r>
            <w:r w:rsidRPr="0098635C">
              <w:rPr>
                <w:rFonts w:eastAsia="Calibri"/>
                <w:sz w:val="20"/>
                <w:szCs w:val="20"/>
                <w:vertAlign w:val="subscript"/>
              </w:rPr>
              <w:t>50</w:t>
            </w:r>
            <w:r w:rsidRPr="0098635C">
              <w:rPr>
                <w:rFonts w:eastAsia="Calibri"/>
                <w:sz w:val="20"/>
                <w:szCs w:val="20"/>
              </w:rPr>
              <w:t xml:space="preserve"> &gt; 2,000 mg/kg) : they do not merit acute oral classification. </w:t>
            </w:r>
          </w:p>
          <w:p w14:paraId="0A60E54D" w14:textId="77777777" w:rsidR="002C2BB0" w:rsidRPr="0098635C" w:rsidRDefault="002C2BB0" w:rsidP="002C2BB0">
            <w:pPr>
              <w:spacing w:after="0"/>
              <w:rPr>
                <w:rFonts w:eastAsia="Calibri"/>
                <w:sz w:val="20"/>
                <w:szCs w:val="20"/>
              </w:rPr>
            </w:pPr>
            <w:r w:rsidRPr="0098635C">
              <w:rPr>
                <w:rFonts w:eastAsia="Calibri"/>
                <w:sz w:val="20"/>
                <w:szCs w:val="20"/>
              </w:rPr>
              <w:t>Consideration of available acute oral toxicity data leads to the conclusion that coated copper flakes have the same hazard as the soluble copper compounds (CuSO</w:t>
            </w:r>
            <w:r w:rsidRPr="0098635C">
              <w:rPr>
                <w:rFonts w:eastAsia="Calibri"/>
                <w:sz w:val="20"/>
                <w:szCs w:val="20"/>
                <w:vertAlign w:val="subscript"/>
              </w:rPr>
              <w:t>4</w:t>
            </w:r>
            <w:r w:rsidRPr="0098635C">
              <w:rPr>
                <w:rFonts w:eastAsia="Calibri"/>
                <w:sz w:val="20"/>
                <w:szCs w:val="20"/>
              </w:rPr>
              <w:t>.5H</w:t>
            </w:r>
            <w:r w:rsidRPr="0098635C">
              <w:rPr>
                <w:rFonts w:eastAsia="Calibri"/>
                <w:sz w:val="20"/>
                <w:szCs w:val="20"/>
                <w:vertAlign w:val="subscript"/>
              </w:rPr>
              <w:t>2</w:t>
            </w:r>
            <w:r w:rsidRPr="0098635C">
              <w:rPr>
                <w:rFonts w:eastAsia="Calibri"/>
                <w:sz w:val="20"/>
                <w:szCs w:val="20"/>
              </w:rPr>
              <w:t>0 and CuCl).   CuO and Cu</w:t>
            </w:r>
            <w:r w:rsidRPr="0098635C">
              <w:rPr>
                <w:rFonts w:eastAsia="Calibri"/>
                <w:sz w:val="20"/>
                <w:szCs w:val="20"/>
                <w:vertAlign w:val="subscript"/>
              </w:rPr>
              <w:t>2</w:t>
            </w:r>
            <w:r w:rsidRPr="0098635C">
              <w:rPr>
                <w:rFonts w:eastAsia="Calibri"/>
                <w:sz w:val="20"/>
                <w:szCs w:val="20"/>
              </w:rPr>
              <w:t>S and copper powder/massive do not present a hazard by the oral route.</w:t>
            </w:r>
          </w:p>
          <w:p w14:paraId="4249781D" w14:textId="77777777" w:rsidR="002C2BB0" w:rsidRPr="0098635C" w:rsidRDefault="002C2BB0" w:rsidP="002C2BB0">
            <w:pPr>
              <w:spacing w:after="0"/>
              <w:rPr>
                <w:rFonts w:eastAsia="Calibri"/>
                <w:sz w:val="20"/>
                <w:szCs w:val="20"/>
              </w:rPr>
            </w:pPr>
            <w:r w:rsidRPr="0098635C">
              <w:rPr>
                <w:rFonts w:eastAsia="Calibri"/>
                <w:sz w:val="20"/>
                <w:szCs w:val="20"/>
              </w:rPr>
              <w:t>Conclusion on the acute oral, dermal and inhalation routes</w:t>
            </w:r>
          </w:p>
          <w:p w14:paraId="1791D2C5" w14:textId="77777777" w:rsidR="002C2BB0" w:rsidRPr="0098635C" w:rsidRDefault="002C2BB0" w:rsidP="0059369A">
            <w:pPr>
              <w:widowControl/>
              <w:numPr>
                <w:ilvl w:val="0"/>
                <w:numId w:val="38"/>
              </w:numPr>
              <w:autoSpaceDE/>
              <w:autoSpaceDN/>
              <w:adjustRightInd/>
              <w:spacing w:after="0"/>
              <w:ind w:right="215"/>
              <w:rPr>
                <w:color w:val="000000"/>
                <w:sz w:val="20"/>
                <w:szCs w:val="20"/>
              </w:rPr>
            </w:pPr>
            <w:r w:rsidRPr="0098635C">
              <w:rPr>
                <w:sz w:val="20"/>
                <w:szCs w:val="20"/>
                <w:lang w:eastAsia="ja-JP"/>
              </w:rPr>
              <w:t>Oral: the release of copper ions drive the acute oral toxicity. Dicopper oxide, copper sulphate pe</w:t>
            </w:r>
            <w:r w:rsidRPr="0098635C">
              <w:rPr>
                <w:sz w:val="20"/>
                <w:szCs w:val="20"/>
                <w:lang w:eastAsia="ja-JP"/>
              </w:rPr>
              <w:t>n</w:t>
            </w:r>
            <w:r w:rsidRPr="0098635C">
              <w:rPr>
                <w:sz w:val="20"/>
                <w:szCs w:val="20"/>
                <w:lang w:eastAsia="ja-JP"/>
              </w:rPr>
              <w:t xml:space="preserve">tahydrate, </w:t>
            </w:r>
            <w:r w:rsidRPr="0098635C">
              <w:rPr>
                <w:sz w:val="20"/>
                <w:szCs w:val="20"/>
              </w:rPr>
              <w:t>dicopper chloride hydroxide</w:t>
            </w:r>
            <w:r w:rsidRPr="0098635C" w:rsidDel="00546100">
              <w:rPr>
                <w:sz w:val="20"/>
                <w:szCs w:val="20"/>
                <w:lang w:eastAsia="ja-JP"/>
              </w:rPr>
              <w:t xml:space="preserve"> </w:t>
            </w:r>
            <w:r w:rsidRPr="0098635C">
              <w:rPr>
                <w:sz w:val="20"/>
                <w:szCs w:val="20"/>
                <w:lang w:eastAsia="ja-JP"/>
              </w:rPr>
              <w:t>and coated copper flakes present a hazard by the oral route. Copper oxide, copper powder and copper massive are not hazardous by the oral route.</w:t>
            </w:r>
          </w:p>
          <w:p w14:paraId="504F8810" w14:textId="77777777" w:rsidR="002C2BB0" w:rsidRPr="0098635C" w:rsidRDefault="002C2BB0" w:rsidP="002C2BB0">
            <w:pPr>
              <w:spacing w:after="0"/>
              <w:ind w:left="1004" w:right="215"/>
              <w:rPr>
                <w:color w:val="000000"/>
                <w:sz w:val="20"/>
                <w:szCs w:val="20"/>
              </w:rPr>
            </w:pPr>
          </w:p>
          <w:p w14:paraId="1623A602" w14:textId="77777777" w:rsidR="002C2BB0" w:rsidRPr="0098635C" w:rsidRDefault="002C2BB0" w:rsidP="0059369A">
            <w:pPr>
              <w:widowControl/>
              <w:numPr>
                <w:ilvl w:val="0"/>
                <w:numId w:val="38"/>
              </w:numPr>
              <w:autoSpaceDE/>
              <w:autoSpaceDN/>
              <w:adjustRightInd/>
              <w:spacing w:after="0"/>
              <w:ind w:right="215"/>
              <w:rPr>
                <w:color w:val="000000"/>
                <w:sz w:val="20"/>
                <w:szCs w:val="20"/>
              </w:rPr>
            </w:pPr>
            <w:r w:rsidRPr="0098635C">
              <w:rPr>
                <w:sz w:val="20"/>
                <w:szCs w:val="20"/>
                <w:lang w:eastAsia="ja-JP"/>
              </w:rPr>
              <w:t xml:space="preserve">Dermal: all tested substances within the category are not hazardous by the dermal route. Considering the lower solubility and bioaccessability of copper powders/massives compared to the tested copper substances, copper powders/massive forms do not present a hazard by the dermal route. </w:t>
            </w:r>
          </w:p>
          <w:p w14:paraId="70A4462F" w14:textId="77777777" w:rsidR="002C2BB0" w:rsidRPr="0098635C" w:rsidRDefault="002C2BB0" w:rsidP="002C2BB0">
            <w:pPr>
              <w:spacing w:after="0"/>
              <w:ind w:right="215"/>
              <w:rPr>
                <w:color w:val="000000"/>
                <w:sz w:val="20"/>
                <w:szCs w:val="20"/>
              </w:rPr>
            </w:pPr>
          </w:p>
          <w:p w14:paraId="69256066" w14:textId="77777777" w:rsidR="002C2BB0" w:rsidRPr="0098635C" w:rsidRDefault="002C2BB0" w:rsidP="0059369A">
            <w:pPr>
              <w:widowControl/>
              <w:numPr>
                <w:ilvl w:val="0"/>
                <w:numId w:val="38"/>
              </w:numPr>
              <w:autoSpaceDE/>
              <w:autoSpaceDN/>
              <w:adjustRightInd/>
              <w:spacing w:after="0"/>
              <w:ind w:right="215"/>
              <w:rPr>
                <w:color w:val="000000"/>
                <w:sz w:val="20"/>
                <w:szCs w:val="20"/>
              </w:rPr>
            </w:pPr>
            <w:r w:rsidRPr="0098635C">
              <w:rPr>
                <w:sz w:val="20"/>
                <w:szCs w:val="20"/>
                <w:lang w:eastAsia="ja-JP"/>
              </w:rPr>
              <w:t xml:space="preserve">Inhalation: Dicopper oxide, </w:t>
            </w:r>
            <w:r w:rsidRPr="0098635C">
              <w:rPr>
                <w:sz w:val="20"/>
                <w:szCs w:val="20"/>
              </w:rPr>
              <w:t>dicopper chloride hydroxide</w:t>
            </w:r>
            <w:r w:rsidRPr="0098635C" w:rsidDel="00546100">
              <w:rPr>
                <w:sz w:val="20"/>
                <w:szCs w:val="20"/>
                <w:lang w:eastAsia="ja-JP"/>
              </w:rPr>
              <w:t xml:space="preserve"> </w:t>
            </w:r>
            <w:r w:rsidRPr="0098635C">
              <w:rPr>
                <w:sz w:val="20"/>
                <w:szCs w:val="20"/>
                <w:lang w:eastAsia="ja-JP"/>
              </w:rPr>
              <w:t xml:space="preserve">and </w:t>
            </w:r>
            <w:r w:rsidRPr="0098635C">
              <w:rPr>
                <w:color w:val="000000"/>
                <w:sz w:val="20"/>
                <w:szCs w:val="20"/>
              </w:rPr>
              <w:t>copper flakes</w:t>
            </w:r>
            <w:r w:rsidRPr="0098635C">
              <w:rPr>
                <w:sz w:val="20"/>
                <w:szCs w:val="20"/>
                <w:lang w:eastAsia="ja-JP"/>
              </w:rPr>
              <w:t xml:space="preserve"> are considered hazardous by the inhalation route.</w:t>
            </w:r>
            <w:r w:rsidRPr="0098635C">
              <w:rPr>
                <w:color w:val="000000"/>
                <w:sz w:val="20"/>
                <w:szCs w:val="20"/>
              </w:rPr>
              <w:t xml:space="preserve">  Copper sulphate pentahydrate, copper oxide and copper powder/massive are not ha</w:t>
            </w:r>
            <w:r w:rsidRPr="0098635C">
              <w:rPr>
                <w:color w:val="000000"/>
                <w:sz w:val="20"/>
                <w:szCs w:val="20"/>
              </w:rPr>
              <w:t>z</w:t>
            </w:r>
            <w:r w:rsidRPr="0098635C">
              <w:rPr>
                <w:color w:val="000000"/>
                <w:sz w:val="20"/>
                <w:szCs w:val="20"/>
              </w:rPr>
              <w:t>ardous by inhalation route</w:t>
            </w:r>
          </w:p>
          <w:p w14:paraId="59F0157A" w14:textId="77777777" w:rsidR="002C2BB0" w:rsidRPr="0098635C" w:rsidRDefault="002C2BB0" w:rsidP="002C2BB0">
            <w:pPr>
              <w:spacing w:after="0"/>
              <w:rPr>
                <w:rFonts w:eastAsia="Calibri"/>
                <w:sz w:val="20"/>
                <w:szCs w:val="20"/>
              </w:rPr>
            </w:pPr>
          </w:p>
          <w:p w14:paraId="6A74BCCA" w14:textId="77777777" w:rsidR="002C2BB0" w:rsidRPr="0098635C" w:rsidRDefault="002C2BB0" w:rsidP="002C2BB0">
            <w:pPr>
              <w:spacing w:after="0"/>
              <w:rPr>
                <w:rFonts w:eastAsia="Calibri"/>
                <w:sz w:val="20"/>
                <w:szCs w:val="20"/>
              </w:rPr>
            </w:pPr>
          </w:p>
          <w:p w14:paraId="1B7B7890" w14:textId="77777777" w:rsidR="002C2BB0" w:rsidRPr="0098635C" w:rsidRDefault="002C2BB0" w:rsidP="002C2BB0">
            <w:pPr>
              <w:pStyle w:val="BodyText"/>
              <w:spacing w:after="0"/>
              <w:rPr>
                <w:b/>
                <w:i/>
                <w:sz w:val="20"/>
                <w:lang w:eastAsia="ja-JP"/>
              </w:rPr>
            </w:pPr>
            <w:r w:rsidRPr="0098635C">
              <w:rPr>
                <w:b/>
                <w:i/>
                <w:sz w:val="20"/>
                <w:lang w:eastAsia="ja-JP"/>
              </w:rPr>
              <w:t>Skin, eye and respiratory irritation</w:t>
            </w:r>
          </w:p>
          <w:p w14:paraId="6ACCE45B" w14:textId="77777777" w:rsidR="002C2BB0" w:rsidRPr="0098635C" w:rsidRDefault="002C2BB0" w:rsidP="002C2BB0">
            <w:pPr>
              <w:spacing w:after="0"/>
              <w:rPr>
                <w:sz w:val="20"/>
                <w:szCs w:val="20"/>
                <w:lang w:eastAsia="ja-JP"/>
              </w:rPr>
            </w:pPr>
            <w:r w:rsidRPr="0098635C">
              <w:rPr>
                <w:sz w:val="20"/>
                <w:szCs w:val="20"/>
                <w:lang w:eastAsia="ja-JP"/>
              </w:rPr>
              <w:lastRenderedPageBreak/>
              <w:t>Available key study data for irritation (skin, eye and respiratory tract):</w:t>
            </w:r>
          </w:p>
          <w:tbl>
            <w:tblPr>
              <w:tblW w:w="8846"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9"/>
              <w:gridCol w:w="2510"/>
              <w:gridCol w:w="2127"/>
              <w:gridCol w:w="2450"/>
            </w:tblGrid>
            <w:tr w:rsidR="002C2BB0" w:rsidRPr="0098635C" w14:paraId="5A55BC82" w14:textId="77777777" w:rsidTr="002C2BB0">
              <w:trPr>
                <w:tblHeader/>
              </w:trPr>
              <w:tc>
                <w:tcPr>
                  <w:tcW w:w="994" w:type="pct"/>
                  <w:vAlign w:val="center"/>
                </w:tcPr>
                <w:p w14:paraId="5161722A" w14:textId="77777777" w:rsidR="002C2BB0" w:rsidRPr="0098635C" w:rsidRDefault="002C2BB0" w:rsidP="002C2BB0">
                  <w:pPr>
                    <w:spacing w:after="0"/>
                    <w:ind w:left="77"/>
                    <w:rPr>
                      <w:b/>
                      <w:sz w:val="20"/>
                      <w:szCs w:val="20"/>
                      <w:lang w:eastAsia="ja-JP"/>
                    </w:rPr>
                  </w:pPr>
                  <w:r w:rsidRPr="0098635C">
                    <w:rPr>
                      <w:b/>
                      <w:sz w:val="20"/>
                      <w:szCs w:val="20"/>
                      <w:lang w:eastAsia="ja-JP"/>
                    </w:rPr>
                    <w:t>Test su</w:t>
                  </w:r>
                  <w:r w:rsidRPr="0098635C">
                    <w:rPr>
                      <w:b/>
                      <w:sz w:val="20"/>
                      <w:szCs w:val="20"/>
                      <w:lang w:eastAsia="ja-JP"/>
                    </w:rPr>
                    <w:t>b</w:t>
                  </w:r>
                  <w:r w:rsidRPr="0098635C">
                    <w:rPr>
                      <w:b/>
                      <w:sz w:val="20"/>
                      <w:szCs w:val="20"/>
                      <w:lang w:eastAsia="ja-JP"/>
                    </w:rPr>
                    <w:t>stance</w:t>
                  </w:r>
                </w:p>
              </w:tc>
              <w:tc>
                <w:tcPr>
                  <w:tcW w:w="1419" w:type="pct"/>
                </w:tcPr>
                <w:p w14:paraId="22659FE2" w14:textId="77777777" w:rsidR="002C2BB0" w:rsidRPr="0098635C" w:rsidRDefault="002C2BB0" w:rsidP="002C2BB0">
                  <w:pPr>
                    <w:spacing w:after="0"/>
                    <w:ind w:left="39"/>
                    <w:rPr>
                      <w:b/>
                      <w:sz w:val="20"/>
                      <w:szCs w:val="20"/>
                      <w:lang w:eastAsia="ja-JP"/>
                    </w:rPr>
                  </w:pPr>
                  <w:r w:rsidRPr="0098635C">
                    <w:rPr>
                      <w:b/>
                      <w:sz w:val="20"/>
                      <w:szCs w:val="20"/>
                      <w:lang w:eastAsia="ja-JP"/>
                    </w:rPr>
                    <w:t>Guid</w:t>
                  </w:r>
                  <w:r w:rsidRPr="0098635C">
                    <w:rPr>
                      <w:b/>
                      <w:sz w:val="20"/>
                      <w:szCs w:val="20"/>
                      <w:lang w:eastAsia="ja-JP"/>
                    </w:rPr>
                    <w:t>e</w:t>
                  </w:r>
                  <w:r w:rsidRPr="0098635C">
                    <w:rPr>
                      <w:b/>
                      <w:sz w:val="20"/>
                      <w:szCs w:val="20"/>
                      <w:lang w:eastAsia="ja-JP"/>
                    </w:rPr>
                    <w:t>line</w:t>
                  </w:r>
                </w:p>
              </w:tc>
              <w:tc>
                <w:tcPr>
                  <w:tcW w:w="1202" w:type="pct"/>
                </w:tcPr>
                <w:p w14:paraId="2FB366C9" w14:textId="77777777" w:rsidR="002C2BB0" w:rsidRPr="0098635C" w:rsidRDefault="002C2BB0" w:rsidP="002C2BB0">
                  <w:pPr>
                    <w:spacing w:after="0"/>
                    <w:ind w:left="39"/>
                    <w:rPr>
                      <w:b/>
                      <w:sz w:val="20"/>
                      <w:szCs w:val="20"/>
                      <w:lang w:eastAsia="ja-JP"/>
                    </w:rPr>
                  </w:pPr>
                  <w:r w:rsidRPr="0098635C">
                    <w:rPr>
                      <w:b/>
                      <w:sz w:val="20"/>
                      <w:szCs w:val="20"/>
                      <w:lang w:eastAsia="ja-JP"/>
                    </w:rPr>
                    <w:t>Result</w:t>
                  </w:r>
                </w:p>
              </w:tc>
              <w:tc>
                <w:tcPr>
                  <w:tcW w:w="1385" w:type="pct"/>
                </w:tcPr>
                <w:p w14:paraId="107B0404" w14:textId="77777777" w:rsidR="002C2BB0" w:rsidRPr="0098635C" w:rsidRDefault="002C2BB0" w:rsidP="002C2BB0">
                  <w:pPr>
                    <w:spacing w:after="0"/>
                    <w:ind w:left="39"/>
                    <w:rPr>
                      <w:b/>
                      <w:sz w:val="20"/>
                      <w:szCs w:val="20"/>
                      <w:lang w:eastAsia="ja-JP"/>
                    </w:rPr>
                  </w:pPr>
                  <w:r w:rsidRPr="0098635C">
                    <w:rPr>
                      <w:b/>
                      <w:sz w:val="20"/>
                      <w:szCs w:val="20"/>
                      <w:lang w:eastAsia="ja-JP"/>
                    </w:rPr>
                    <w:t>Symptoms</w:t>
                  </w:r>
                </w:p>
              </w:tc>
            </w:tr>
            <w:tr w:rsidR="002C2BB0" w:rsidRPr="0098635C" w14:paraId="30D20D61" w14:textId="77777777" w:rsidTr="002C2BB0">
              <w:tc>
                <w:tcPr>
                  <w:tcW w:w="994" w:type="pct"/>
                  <w:vMerge w:val="restart"/>
                  <w:vAlign w:val="center"/>
                </w:tcPr>
                <w:p w14:paraId="262DA3C4" w14:textId="77777777" w:rsidR="002C2BB0" w:rsidRPr="0098635C" w:rsidRDefault="002C2BB0" w:rsidP="002C2BB0">
                  <w:pPr>
                    <w:spacing w:after="0"/>
                    <w:ind w:left="77"/>
                    <w:rPr>
                      <w:color w:val="000000"/>
                      <w:sz w:val="20"/>
                      <w:szCs w:val="20"/>
                      <w:lang w:eastAsia="ja-JP"/>
                    </w:rPr>
                  </w:pPr>
                  <w:r w:rsidRPr="0098635C">
                    <w:rPr>
                      <w:color w:val="000000"/>
                      <w:sz w:val="20"/>
                      <w:szCs w:val="20"/>
                      <w:lang w:eastAsia="ja-JP"/>
                    </w:rPr>
                    <w:t>Dicopper o</w:t>
                  </w:r>
                  <w:r w:rsidRPr="0098635C">
                    <w:rPr>
                      <w:color w:val="000000"/>
                      <w:sz w:val="20"/>
                      <w:szCs w:val="20"/>
                      <w:lang w:eastAsia="ja-JP"/>
                    </w:rPr>
                    <w:t>x</w:t>
                  </w:r>
                  <w:r w:rsidRPr="0098635C">
                    <w:rPr>
                      <w:color w:val="000000"/>
                      <w:sz w:val="20"/>
                      <w:szCs w:val="20"/>
                      <w:lang w:eastAsia="ja-JP"/>
                    </w:rPr>
                    <w:t>ide</w:t>
                  </w:r>
                </w:p>
                <w:p w14:paraId="3FF05631" w14:textId="77777777" w:rsidR="002C2BB0" w:rsidRPr="0098635C" w:rsidRDefault="002C2BB0" w:rsidP="002C2BB0">
                  <w:pPr>
                    <w:spacing w:after="0"/>
                    <w:ind w:left="77"/>
                    <w:rPr>
                      <w:color w:val="000000"/>
                      <w:sz w:val="20"/>
                      <w:szCs w:val="20"/>
                      <w:lang w:eastAsia="ja-JP"/>
                    </w:rPr>
                  </w:pPr>
                </w:p>
              </w:tc>
              <w:tc>
                <w:tcPr>
                  <w:tcW w:w="1419" w:type="pct"/>
                </w:tcPr>
                <w:p w14:paraId="0227744A"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OECD 404, rabbit</w:t>
                  </w:r>
                </w:p>
              </w:tc>
              <w:tc>
                <w:tcPr>
                  <w:tcW w:w="1202" w:type="pct"/>
                </w:tcPr>
                <w:p w14:paraId="3EA4F03B"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Not skin i</w:t>
                  </w:r>
                  <w:r w:rsidRPr="0098635C">
                    <w:rPr>
                      <w:color w:val="000000"/>
                      <w:sz w:val="20"/>
                      <w:szCs w:val="20"/>
                      <w:lang w:eastAsia="ja-JP"/>
                    </w:rPr>
                    <w:t>r</w:t>
                  </w:r>
                  <w:r w:rsidRPr="0098635C">
                    <w:rPr>
                      <w:color w:val="000000"/>
                      <w:sz w:val="20"/>
                      <w:szCs w:val="20"/>
                      <w:lang w:eastAsia="ja-JP"/>
                    </w:rPr>
                    <w:t>ritant</w:t>
                  </w:r>
                </w:p>
              </w:tc>
              <w:tc>
                <w:tcPr>
                  <w:tcW w:w="1385" w:type="pct"/>
                </w:tcPr>
                <w:p w14:paraId="58A0EDDD"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Very slight e</w:t>
                  </w:r>
                  <w:r w:rsidRPr="0098635C">
                    <w:rPr>
                      <w:color w:val="000000"/>
                      <w:sz w:val="20"/>
                      <w:szCs w:val="20"/>
                      <w:lang w:eastAsia="ja-JP"/>
                    </w:rPr>
                    <w:t>r</w:t>
                  </w:r>
                  <w:r w:rsidRPr="0098635C">
                    <w:rPr>
                      <w:color w:val="000000"/>
                      <w:sz w:val="20"/>
                      <w:szCs w:val="20"/>
                      <w:lang w:eastAsia="ja-JP"/>
                    </w:rPr>
                    <w:t>ythema and very slight o</w:t>
                  </w:r>
                  <w:r w:rsidRPr="0098635C">
                    <w:rPr>
                      <w:color w:val="000000"/>
                      <w:sz w:val="20"/>
                      <w:szCs w:val="20"/>
                      <w:lang w:eastAsia="ja-JP"/>
                    </w:rPr>
                    <w:t>e</w:t>
                  </w:r>
                  <w:r w:rsidRPr="0098635C">
                    <w:rPr>
                      <w:color w:val="000000"/>
                      <w:sz w:val="20"/>
                      <w:szCs w:val="20"/>
                      <w:lang w:eastAsia="ja-JP"/>
                    </w:rPr>
                    <w:t>dema observed in the abraded skin</w:t>
                  </w:r>
                </w:p>
              </w:tc>
            </w:tr>
            <w:tr w:rsidR="002C2BB0" w:rsidRPr="0098635C" w14:paraId="74303E4E" w14:textId="77777777" w:rsidTr="002C2BB0">
              <w:tc>
                <w:tcPr>
                  <w:tcW w:w="994" w:type="pct"/>
                  <w:vMerge/>
                  <w:vAlign w:val="center"/>
                </w:tcPr>
                <w:p w14:paraId="055810C4" w14:textId="77777777" w:rsidR="002C2BB0" w:rsidRPr="0098635C" w:rsidRDefault="002C2BB0" w:rsidP="002C2BB0">
                  <w:pPr>
                    <w:spacing w:after="0"/>
                    <w:ind w:left="77"/>
                    <w:rPr>
                      <w:color w:val="000000"/>
                      <w:sz w:val="20"/>
                      <w:szCs w:val="20"/>
                      <w:lang w:eastAsia="ja-JP"/>
                    </w:rPr>
                  </w:pPr>
                </w:p>
              </w:tc>
              <w:tc>
                <w:tcPr>
                  <w:tcW w:w="1419" w:type="pct"/>
                </w:tcPr>
                <w:p w14:paraId="1E87F078"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OECD 405, rabbit</w:t>
                  </w:r>
                </w:p>
              </w:tc>
              <w:tc>
                <w:tcPr>
                  <w:tcW w:w="1202" w:type="pct"/>
                </w:tcPr>
                <w:p w14:paraId="6020E716"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Eye irritant</w:t>
                  </w:r>
                </w:p>
              </w:tc>
              <w:tc>
                <w:tcPr>
                  <w:tcW w:w="1385" w:type="pct"/>
                </w:tcPr>
                <w:p w14:paraId="694E195F"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Ocular irritat</w:t>
                  </w:r>
                  <w:r w:rsidRPr="0098635C">
                    <w:rPr>
                      <w:color w:val="000000"/>
                      <w:sz w:val="20"/>
                      <w:szCs w:val="20"/>
                      <w:lang w:eastAsia="ja-JP"/>
                    </w:rPr>
                    <w:t>i</w:t>
                  </w:r>
                  <w:r w:rsidRPr="0098635C">
                    <w:rPr>
                      <w:color w:val="000000"/>
                      <w:sz w:val="20"/>
                      <w:szCs w:val="20"/>
                      <w:lang w:eastAsia="ja-JP"/>
                    </w:rPr>
                    <w:t>on</w:t>
                  </w:r>
                </w:p>
              </w:tc>
            </w:tr>
            <w:tr w:rsidR="002C2BB0" w:rsidRPr="0098635C" w14:paraId="1D9908E6" w14:textId="77777777" w:rsidTr="002C2BB0">
              <w:tc>
                <w:tcPr>
                  <w:tcW w:w="994" w:type="pct"/>
                  <w:vMerge/>
                  <w:vAlign w:val="center"/>
                </w:tcPr>
                <w:p w14:paraId="79D32CA5" w14:textId="77777777" w:rsidR="002C2BB0" w:rsidRPr="0098635C" w:rsidRDefault="002C2BB0" w:rsidP="002C2BB0">
                  <w:pPr>
                    <w:spacing w:after="0"/>
                    <w:ind w:left="77"/>
                    <w:rPr>
                      <w:color w:val="000000"/>
                      <w:sz w:val="20"/>
                      <w:szCs w:val="20"/>
                      <w:lang w:eastAsia="ja-JP"/>
                    </w:rPr>
                  </w:pPr>
                </w:p>
              </w:tc>
              <w:tc>
                <w:tcPr>
                  <w:tcW w:w="1419" w:type="pct"/>
                </w:tcPr>
                <w:p w14:paraId="3564AEF4"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OECD 405, rabbit</w:t>
                  </w:r>
                </w:p>
              </w:tc>
              <w:tc>
                <w:tcPr>
                  <w:tcW w:w="1202" w:type="pct"/>
                </w:tcPr>
                <w:p w14:paraId="7298879A"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Not eye irr</w:t>
                  </w:r>
                  <w:r w:rsidRPr="0098635C">
                    <w:rPr>
                      <w:color w:val="000000"/>
                      <w:sz w:val="20"/>
                      <w:szCs w:val="20"/>
                      <w:lang w:eastAsia="ja-JP"/>
                    </w:rPr>
                    <w:t>i</w:t>
                  </w:r>
                  <w:r w:rsidRPr="0098635C">
                    <w:rPr>
                      <w:color w:val="000000"/>
                      <w:sz w:val="20"/>
                      <w:szCs w:val="20"/>
                      <w:lang w:eastAsia="ja-JP"/>
                    </w:rPr>
                    <w:t>tant</w:t>
                  </w:r>
                </w:p>
              </w:tc>
              <w:tc>
                <w:tcPr>
                  <w:tcW w:w="1385" w:type="pct"/>
                </w:tcPr>
                <w:p w14:paraId="60970B4A"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w:t>
                  </w:r>
                </w:p>
              </w:tc>
            </w:tr>
            <w:tr w:rsidR="002C2BB0" w:rsidRPr="0098635C" w14:paraId="02F38FEB" w14:textId="77777777" w:rsidTr="002C2BB0">
              <w:tc>
                <w:tcPr>
                  <w:tcW w:w="994" w:type="pct"/>
                  <w:vMerge/>
                  <w:vAlign w:val="center"/>
                </w:tcPr>
                <w:p w14:paraId="12F7326E" w14:textId="77777777" w:rsidR="002C2BB0" w:rsidRPr="0098635C" w:rsidRDefault="002C2BB0" w:rsidP="002C2BB0">
                  <w:pPr>
                    <w:spacing w:after="0"/>
                    <w:ind w:left="77"/>
                    <w:rPr>
                      <w:color w:val="000000"/>
                      <w:sz w:val="20"/>
                      <w:szCs w:val="20"/>
                      <w:lang w:eastAsia="ja-JP"/>
                    </w:rPr>
                  </w:pPr>
                </w:p>
              </w:tc>
              <w:tc>
                <w:tcPr>
                  <w:tcW w:w="1419" w:type="pct"/>
                </w:tcPr>
                <w:p w14:paraId="30565564" w14:textId="77777777" w:rsidR="002C2BB0" w:rsidRPr="0098635C" w:rsidRDefault="002C2BB0" w:rsidP="002C2BB0">
                  <w:pPr>
                    <w:spacing w:after="0"/>
                    <w:ind w:left="39"/>
                    <w:rPr>
                      <w:color w:val="000000"/>
                      <w:sz w:val="20"/>
                      <w:szCs w:val="20"/>
                      <w:lang w:val="it-IT" w:eastAsia="ja-JP"/>
                    </w:rPr>
                  </w:pPr>
                  <w:r w:rsidRPr="0098635C">
                    <w:rPr>
                      <w:color w:val="000000"/>
                      <w:sz w:val="20"/>
                      <w:szCs w:val="20"/>
                      <w:lang w:val="it-IT" w:eastAsia="ja-JP"/>
                    </w:rPr>
                    <w:t>EPA OPP 81.4, rabbit</w:t>
                  </w:r>
                </w:p>
              </w:tc>
              <w:tc>
                <w:tcPr>
                  <w:tcW w:w="1202" w:type="pct"/>
                </w:tcPr>
                <w:p w14:paraId="7B16B657"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Not eye irr</w:t>
                  </w:r>
                  <w:r w:rsidRPr="0098635C">
                    <w:rPr>
                      <w:color w:val="000000"/>
                      <w:sz w:val="20"/>
                      <w:szCs w:val="20"/>
                      <w:lang w:eastAsia="ja-JP"/>
                    </w:rPr>
                    <w:t>i</w:t>
                  </w:r>
                  <w:r w:rsidRPr="0098635C">
                    <w:rPr>
                      <w:color w:val="000000"/>
                      <w:sz w:val="20"/>
                      <w:szCs w:val="20"/>
                      <w:lang w:eastAsia="ja-JP"/>
                    </w:rPr>
                    <w:t>tant</w:t>
                  </w:r>
                </w:p>
              </w:tc>
              <w:tc>
                <w:tcPr>
                  <w:tcW w:w="1385" w:type="pct"/>
                </w:tcPr>
                <w:p w14:paraId="315E1FB7"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Conjunctival redness and chemosis</w:t>
                  </w:r>
                </w:p>
              </w:tc>
            </w:tr>
            <w:tr w:rsidR="002C2BB0" w:rsidRPr="0098635C" w14:paraId="3AFE4A1F" w14:textId="77777777" w:rsidTr="002C2BB0">
              <w:tc>
                <w:tcPr>
                  <w:tcW w:w="994" w:type="pct"/>
                  <w:vMerge w:val="restart"/>
                  <w:vAlign w:val="center"/>
                </w:tcPr>
                <w:p w14:paraId="54E4D514" w14:textId="77777777" w:rsidR="002C2BB0" w:rsidRPr="0098635C" w:rsidRDefault="002C2BB0" w:rsidP="002C2BB0">
                  <w:pPr>
                    <w:spacing w:after="0"/>
                    <w:ind w:left="77"/>
                    <w:rPr>
                      <w:color w:val="000000"/>
                      <w:sz w:val="20"/>
                      <w:szCs w:val="20"/>
                      <w:lang w:eastAsia="ja-JP"/>
                    </w:rPr>
                  </w:pPr>
                  <w:r w:rsidRPr="0098635C">
                    <w:rPr>
                      <w:color w:val="000000"/>
                      <w:sz w:val="20"/>
                      <w:szCs w:val="20"/>
                      <w:lang w:eastAsia="ja-JP"/>
                    </w:rPr>
                    <w:t>Copper oxide</w:t>
                  </w:r>
                </w:p>
              </w:tc>
              <w:tc>
                <w:tcPr>
                  <w:tcW w:w="1419" w:type="pct"/>
                </w:tcPr>
                <w:p w14:paraId="69CF4EA3"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OECD 404, rabbit</w:t>
                  </w:r>
                </w:p>
              </w:tc>
              <w:tc>
                <w:tcPr>
                  <w:tcW w:w="1202" w:type="pct"/>
                </w:tcPr>
                <w:p w14:paraId="5108A30C"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Not skin i</w:t>
                  </w:r>
                  <w:r w:rsidRPr="0098635C">
                    <w:rPr>
                      <w:color w:val="000000"/>
                      <w:sz w:val="20"/>
                      <w:szCs w:val="20"/>
                      <w:lang w:eastAsia="ja-JP"/>
                    </w:rPr>
                    <w:t>r</w:t>
                  </w:r>
                  <w:r w:rsidRPr="0098635C">
                    <w:rPr>
                      <w:color w:val="000000"/>
                      <w:sz w:val="20"/>
                      <w:szCs w:val="20"/>
                      <w:lang w:eastAsia="ja-JP"/>
                    </w:rPr>
                    <w:t>ritant</w:t>
                  </w:r>
                </w:p>
              </w:tc>
              <w:tc>
                <w:tcPr>
                  <w:tcW w:w="1385" w:type="pct"/>
                </w:tcPr>
                <w:p w14:paraId="5363E969"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w:t>
                  </w:r>
                </w:p>
              </w:tc>
            </w:tr>
            <w:tr w:rsidR="002C2BB0" w:rsidRPr="0098635C" w14:paraId="62026B67" w14:textId="77777777" w:rsidTr="002C2BB0">
              <w:tc>
                <w:tcPr>
                  <w:tcW w:w="994" w:type="pct"/>
                  <w:vMerge/>
                  <w:vAlign w:val="center"/>
                </w:tcPr>
                <w:p w14:paraId="486E4D18" w14:textId="77777777" w:rsidR="002C2BB0" w:rsidRPr="0098635C" w:rsidRDefault="002C2BB0" w:rsidP="002C2BB0">
                  <w:pPr>
                    <w:spacing w:after="0"/>
                    <w:ind w:left="77"/>
                    <w:rPr>
                      <w:color w:val="000000"/>
                      <w:sz w:val="20"/>
                      <w:szCs w:val="20"/>
                      <w:lang w:eastAsia="ja-JP"/>
                    </w:rPr>
                  </w:pPr>
                </w:p>
              </w:tc>
              <w:tc>
                <w:tcPr>
                  <w:tcW w:w="1419" w:type="pct"/>
                </w:tcPr>
                <w:p w14:paraId="4A9076A6"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OECD 405, rabbit</w:t>
                  </w:r>
                </w:p>
              </w:tc>
              <w:tc>
                <w:tcPr>
                  <w:tcW w:w="1202" w:type="pct"/>
                </w:tcPr>
                <w:p w14:paraId="23248B7C"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Not eye irr</w:t>
                  </w:r>
                  <w:r w:rsidRPr="0098635C">
                    <w:rPr>
                      <w:color w:val="000000"/>
                      <w:sz w:val="20"/>
                      <w:szCs w:val="20"/>
                      <w:lang w:eastAsia="ja-JP"/>
                    </w:rPr>
                    <w:t>i</w:t>
                  </w:r>
                  <w:r w:rsidRPr="0098635C">
                    <w:rPr>
                      <w:color w:val="000000"/>
                      <w:sz w:val="20"/>
                      <w:szCs w:val="20"/>
                      <w:lang w:eastAsia="ja-JP"/>
                    </w:rPr>
                    <w:t>tant</w:t>
                  </w:r>
                </w:p>
              </w:tc>
              <w:tc>
                <w:tcPr>
                  <w:tcW w:w="1385" w:type="pct"/>
                </w:tcPr>
                <w:p w14:paraId="4C07CAF8"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Scattered or diffuse co</w:t>
                  </w:r>
                  <w:r w:rsidRPr="0098635C">
                    <w:rPr>
                      <w:color w:val="000000"/>
                      <w:sz w:val="20"/>
                      <w:szCs w:val="20"/>
                      <w:lang w:eastAsia="ja-JP"/>
                    </w:rPr>
                    <w:t>r</w:t>
                  </w:r>
                  <w:r w:rsidRPr="0098635C">
                    <w:rPr>
                      <w:color w:val="000000"/>
                      <w:sz w:val="20"/>
                      <w:szCs w:val="20"/>
                      <w:lang w:eastAsia="ja-JP"/>
                    </w:rPr>
                    <w:t>neal opacity, iridial i</w:t>
                  </w:r>
                  <w:r w:rsidRPr="0098635C">
                    <w:rPr>
                      <w:color w:val="000000"/>
                      <w:sz w:val="20"/>
                      <w:szCs w:val="20"/>
                      <w:lang w:eastAsia="ja-JP"/>
                    </w:rPr>
                    <w:t>n</w:t>
                  </w:r>
                  <w:r w:rsidRPr="0098635C">
                    <w:rPr>
                      <w:color w:val="000000"/>
                      <w:sz w:val="20"/>
                      <w:szCs w:val="20"/>
                      <w:lang w:eastAsia="ja-JP"/>
                    </w:rPr>
                    <w:t>flammation</w:t>
                  </w:r>
                </w:p>
              </w:tc>
            </w:tr>
            <w:tr w:rsidR="002C2BB0" w:rsidRPr="0098635C" w14:paraId="32F6F7DD" w14:textId="77777777" w:rsidTr="002C2BB0">
              <w:tc>
                <w:tcPr>
                  <w:tcW w:w="994" w:type="pct"/>
                  <w:vMerge w:val="restart"/>
                  <w:vAlign w:val="center"/>
                </w:tcPr>
                <w:p w14:paraId="11DF2A0F" w14:textId="77777777" w:rsidR="002C2BB0" w:rsidRPr="0098635C" w:rsidRDefault="002C2BB0" w:rsidP="002C2BB0">
                  <w:pPr>
                    <w:spacing w:after="0"/>
                    <w:ind w:left="77"/>
                    <w:rPr>
                      <w:color w:val="000000"/>
                      <w:sz w:val="20"/>
                      <w:szCs w:val="20"/>
                      <w:lang w:eastAsia="ja-JP"/>
                    </w:rPr>
                  </w:pPr>
                  <w:r w:rsidRPr="0098635C">
                    <w:rPr>
                      <w:color w:val="000000"/>
                      <w:sz w:val="20"/>
                      <w:szCs w:val="20"/>
                      <w:lang w:eastAsia="ja-JP"/>
                    </w:rPr>
                    <w:t>Dicopper chl</w:t>
                  </w:r>
                  <w:r w:rsidRPr="0098635C">
                    <w:rPr>
                      <w:color w:val="000000"/>
                      <w:sz w:val="20"/>
                      <w:szCs w:val="20"/>
                      <w:lang w:eastAsia="ja-JP"/>
                    </w:rPr>
                    <w:t>o</w:t>
                  </w:r>
                  <w:r w:rsidRPr="0098635C">
                    <w:rPr>
                      <w:color w:val="000000"/>
                      <w:sz w:val="20"/>
                      <w:szCs w:val="20"/>
                      <w:lang w:eastAsia="ja-JP"/>
                    </w:rPr>
                    <w:t>ride trihydro</w:t>
                  </w:r>
                  <w:r w:rsidRPr="0098635C">
                    <w:rPr>
                      <w:color w:val="000000"/>
                      <w:sz w:val="20"/>
                      <w:szCs w:val="20"/>
                      <w:lang w:eastAsia="ja-JP"/>
                    </w:rPr>
                    <w:t>x</w:t>
                  </w:r>
                  <w:r w:rsidRPr="0098635C">
                    <w:rPr>
                      <w:color w:val="000000"/>
                      <w:sz w:val="20"/>
                      <w:szCs w:val="20"/>
                      <w:lang w:eastAsia="ja-JP"/>
                    </w:rPr>
                    <w:t>ide</w:t>
                  </w:r>
                </w:p>
                <w:p w14:paraId="395D3A8C" w14:textId="77777777" w:rsidR="002C2BB0" w:rsidRPr="0098635C" w:rsidRDefault="002C2BB0" w:rsidP="002C2BB0">
                  <w:pPr>
                    <w:spacing w:after="0"/>
                    <w:ind w:left="77"/>
                    <w:rPr>
                      <w:color w:val="000000"/>
                      <w:sz w:val="20"/>
                      <w:szCs w:val="20"/>
                      <w:lang w:eastAsia="ja-JP"/>
                    </w:rPr>
                  </w:pPr>
                </w:p>
              </w:tc>
              <w:tc>
                <w:tcPr>
                  <w:tcW w:w="1419" w:type="pct"/>
                </w:tcPr>
                <w:p w14:paraId="489BD012"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OECD 404, rabbit</w:t>
                  </w:r>
                </w:p>
              </w:tc>
              <w:tc>
                <w:tcPr>
                  <w:tcW w:w="1202" w:type="pct"/>
                </w:tcPr>
                <w:p w14:paraId="1C8A19C2"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Not skin i</w:t>
                  </w:r>
                  <w:r w:rsidRPr="0098635C">
                    <w:rPr>
                      <w:color w:val="000000"/>
                      <w:sz w:val="20"/>
                      <w:szCs w:val="20"/>
                      <w:lang w:eastAsia="ja-JP"/>
                    </w:rPr>
                    <w:t>r</w:t>
                  </w:r>
                  <w:r w:rsidRPr="0098635C">
                    <w:rPr>
                      <w:color w:val="000000"/>
                      <w:sz w:val="20"/>
                      <w:szCs w:val="20"/>
                      <w:lang w:eastAsia="ja-JP"/>
                    </w:rPr>
                    <w:t>ritant</w:t>
                  </w:r>
                </w:p>
              </w:tc>
              <w:tc>
                <w:tcPr>
                  <w:tcW w:w="1385" w:type="pct"/>
                </w:tcPr>
                <w:p w14:paraId="790AEB6F"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w:t>
                  </w:r>
                </w:p>
              </w:tc>
            </w:tr>
            <w:tr w:rsidR="002C2BB0" w:rsidRPr="0098635C" w14:paraId="53A65AA9" w14:textId="77777777" w:rsidTr="002C2BB0">
              <w:tc>
                <w:tcPr>
                  <w:tcW w:w="994" w:type="pct"/>
                  <w:vMerge/>
                  <w:vAlign w:val="center"/>
                </w:tcPr>
                <w:p w14:paraId="478F9A8C" w14:textId="77777777" w:rsidR="002C2BB0" w:rsidRPr="0098635C" w:rsidRDefault="002C2BB0" w:rsidP="002C2BB0">
                  <w:pPr>
                    <w:spacing w:after="0"/>
                    <w:ind w:left="77"/>
                    <w:rPr>
                      <w:color w:val="000000"/>
                      <w:sz w:val="20"/>
                      <w:szCs w:val="20"/>
                      <w:lang w:eastAsia="ja-JP"/>
                    </w:rPr>
                  </w:pPr>
                </w:p>
              </w:tc>
              <w:tc>
                <w:tcPr>
                  <w:tcW w:w="1419" w:type="pct"/>
                </w:tcPr>
                <w:p w14:paraId="6B28CEB7" w14:textId="77777777" w:rsidR="002C2BB0" w:rsidRPr="0098635C" w:rsidRDefault="002C2BB0" w:rsidP="002C2BB0">
                  <w:pPr>
                    <w:spacing w:after="0"/>
                    <w:ind w:left="39"/>
                    <w:rPr>
                      <w:color w:val="000000"/>
                      <w:sz w:val="20"/>
                      <w:szCs w:val="20"/>
                    </w:rPr>
                  </w:pPr>
                  <w:r w:rsidRPr="0098635C">
                    <w:rPr>
                      <w:color w:val="000000"/>
                      <w:sz w:val="20"/>
                      <w:szCs w:val="20"/>
                    </w:rPr>
                    <w:t>EPA OPP 81.5, rabbit</w:t>
                  </w:r>
                </w:p>
              </w:tc>
              <w:tc>
                <w:tcPr>
                  <w:tcW w:w="1202" w:type="pct"/>
                </w:tcPr>
                <w:p w14:paraId="178F24DD" w14:textId="77777777" w:rsidR="002C2BB0" w:rsidRPr="0098635C" w:rsidRDefault="002C2BB0" w:rsidP="002C2BB0">
                  <w:pPr>
                    <w:spacing w:after="0"/>
                    <w:ind w:left="39"/>
                    <w:rPr>
                      <w:color w:val="000000"/>
                      <w:sz w:val="20"/>
                      <w:szCs w:val="20"/>
                    </w:rPr>
                  </w:pPr>
                  <w:r w:rsidRPr="0098635C">
                    <w:rPr>
                      <w:color w:val="000000"/>
                      <w:sz w:val="20"/>
                      <w:szCs w:val="20"/>
                    </w:rPr>
                    <w:t>Not skin i</w:t>
                  </w:r>
                  <w:r w:rsidRPr="0098635C">
                    <w:rPr>
                      <w:color w:val="000000"/>
                      <w:sz w:val="20"/>
                      <w:szCs w:val="20"/>
                    </w:rPr>
                    <w:t>r</w:t>
                  </w:r>
                  <w:r w:rsidRPr="0098635C">
                    <w:rPr>
                      <w:color w:val="000000"/>
                      <w:sz w:val="20"/>
                      <w:szCs w:val="20"/>
                    </w:rPr>
                    <w:t>ritant</w:t>
                  </w:r>
                </w:p>
              </w:tc>
              <w:tc>
                <w:tcPr>
                  <w:tcW w:w="1385" w:type="pct"/>
                </w:tcPr>
                <w:p w14:paraId="6985F8CA"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w:t>
                  </w:r>
                </w:p>
              </w:tc>
            </w:tr>
            <w:tr w:rsidR="002C2BB0" w:rsidRPr="0098635C" w14:paraId="257A8F86" w14:textId="77777777" w:rsidTr="002C2BB0">
              <w:tc>
                <w:tcPr>
                  <w:tcW w:w="994" w:type="pct"/>
                  <w:vMerge/>
                  <w:vAlign w:val="center"/>
                </w:tcPr>
                <w:p w14:paraId="2FF0FA36" w14:textId="77777777" w:rsidR="002C2BB0" w:rsidRPr="0098635C" w:rsidRDefault="002C2BB0" w:rsidP="002C2BB0">
                  <w:pPr>
                    <w:spacing w:after="0"/>
                    <w:ind w:left="77"/>
                    <w:rPr>
                      <w:color w:val="000000"/>
                      <w:sz w:val="20"/>
                      <w:szCs w:val="20"/>
                      <w:lang w:eastAsia="ja-JP"/>
                    </w:rPr>
                  </w:pPr>
                </w:p>
              </w:tc>
              <w:tc>
                <w:tcPr>
                  <w:tcW w:w="1419" w:type="pct"/>
                </w:tcPr>
                <w:p w14:paraId="4ABBA3E9" w14:textId="77777777" w:rsidR="002C2BB0" w:rsidRPr="0098635C" w:rsidRDefault="002C2BB0" w:rsidP="002C2BB0">
                  <w:pPr>
                    <w:spacing w:after="0"/>
                    <w:ind w:left="39"/>
                    <w:rPr>
                      <w:color w:val="000000"/>
                      <w:sz w:val="20"/>
                      <w:szCs w:val="20"/>
                    </w:rPr>
                  </w:pPr>
                  <w:r w:rsidRPr="0098635C">
                    <w:rPr>
                      <w:color w:val="000000"/>
                      <w:sz w:val="20"/>
                      <w:szCs w:val="20"/>
                      <w:lang w:eastAsia="ja-JP"/>
                    </w:rPr>
                    <w:t>OECD 405, rabbit</w:t>
                  </w:r>
                  <w:r w:rsidRPr="0098635C">
                    <w:rPr>
                      <w:color w:val="000000"/>
                      <w:sz w:val="20"/>
                      <w:szCs w:val="20"/>
                    </w:rPr>
                    <w:t xml:space="preserve"> </w:t>
                  </w:r>
                </w:p>
              </w:tc>
              <w:tc>
                <w:tcPr>
                  <w:tcW w:w="1202" w:type="pct"/>
                </w:tcPr>
                <w:p w14:paraId="1B8C07A0" w14:textId="77777777" w:rsidR="002C2BB0" w:rsidRPr="0098635C" w:rsidRDefault="002C2BB0" w:rsidP="002C2BB0">
                  <w:pPr>
                    <w:spacing w:after="0"/>
                    <w:ind w:left="39"/>
                    <w:rPr>
                      <w:color w:val="000000"/>
                      <w:sz w:val="20"/>
                      <w:szCs w:val="20"/>
                    </w:rPr>
                  </w:pPr>
                  <w:r w:rsidRPr="0098635C">
                    <w:rPr>
                      <w:color w:val="000000"/>
                      <w:sz w:val="20"/>
                      <w:szCs w:val="20"/>
                    </w:rPr>
                    <w:t>Not eye irr</w:t>
                  </w:r>
                  <w:r w:rsidRPr="0098635C">
                    <w:rPr>
                      <w:color w:val="000000"/>
                      <w:sz w:val="20"/>
                      <w:szCs w:val="20"/>
                    </w:rPr>
                    <w:t>i</w:t>
                  </w:r>
                  <w:r w:rsidRPr="0098635C">
                    <w:rPr>
                      <w:color w:val="000000"/>
                      <w:sz w:val="20"/>
                      <w:szCs w:val="20"/>
                    </w:rPr>
                    <w:t>tant</w:t>
                  </w:r>
                </w:p>
              </w:tc>
              <w:tc>
                <w:tcPr>
                  <w:tcW w:w="1385" w:type="pct"/>
                </w:tcPr>
                <w:p w14:paraId="660D40C4" w14:textId="77777777" w:rsidR="002C2BB0" w:rsidRPr="0098635C" w:rsidRDefault="002C2BB0" w:rsidP="002C2BB0">
                  <w:pPr>
                    <w:spacing w:after="0"/>
                    <w:ind w:left="39"/>
                    <w:rPr>
                      <w:color w:val="000000"/>
                      <w:sz w:val="20"/>
                      <w:szCs w:val="20"/>
                    </w:rPr>
                  </w:pPr>
                  <w:r w:rsidRPr="0098635C">
                    <w:rPr>
                      <w:color w:val="000000"/>
                      <w:sz w:val="20"/>
                      <w:szCs w:val="20"/>
                      <w:lang w:eastAsia="ja-JP"/>
                    </w:rPr>
                    <w:t xml:space="preserve">Corneal effects </w:t>
                  </w:r>
                </w:p>
              </w:tc>
            </w:tr>
            <w:tr w:rsidR="002C2BB0" w:rsidRPr="0098635C" w14:paraId="68F2801E" w14:textId="77777777" w:rsidTr="002C2BB0">
              <w:tc>
                <w:tcPr>
                  <w:tcW w:w="994" w:type="pct"/>
                  <w:vMerge/>
                  <w:vAlign w:val="center"/>
                </w:tcPr>
                <w:p w14:paraId="69E0C5DE" w14:textId="77777777" w:rsidR="002C2BB0" w:rsidRPr="0098635C" w:rsidRDefault="002C2BB0" w:rsidP="002C2BB0">
                  <w:pPr>
                    <w:spacing w:after="0"/>
                    <w:ind w:left="77"/>
                    <w:rPr>
                      <w:color w:val="000000"/>
                      <w:sz w:val="20"/>
                      <w:szCs w:val="20"/>
                      <w:lang w:eastAsia="ja-JP"/>
                    </w:rPr>
                  </w:pPr>
                </w:p>
              </w:tc>
              <w:tc>
                <w:tcPr>
                  <w:tcW w:w="1419" w:type="pct"/>
                </w:tcPr>
                <w:p w14:paraId="6F13CCB5" w14:textId="77777777" w:rsidR="002C2BB0" w:rsidRPr="0098635C" w:rsidRDefault="002C2BB0" w:rsidP="002C2BB0">
                  <w:pPr>
                    <w:spacing w:after="0"/>
                    <w:ind w:left="39"/>
                    <w:rPr>
                      <w:color w:val="000000"/>
                      <w:sz w:val="20"/>
                      <w:szCs w:val="20"/>
                      <w:lang w:eastAsia="ja-JP"/>
                    </w:rPr>
                  </w:pPr>
                  <w:r w:rsidRPr="0098635C">
                    <w:rPr>
                      <w:color w:val="000000"/>
                      <w:sz w:val="20"/>
                      <w:szCs w:val="20"/>
                    </w:rPr>
                    <w:t>EPA OPP 81.4, rabbit</w:t>
                  </w:r>
                </w:p>
              </w:tc>
              <w:tc>
                <w:tcPr>
                  <w:tcW w:w="1202" w:type="pct"/>
                </w:tcPr>
                <w:p w14:paraId="65A12DA5"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Not eye irr</w:t>
                  </w:r>
                  <w:r w:rsidRPr="0098635C">
                    <w:rPr>
                      <w:color w:val="000000"/>
                      <w:sz w:val="20"/>
                      <w:szCs w:val="20"/>
                      <w:lang w:eastAsia="ja-JP"/>
                    </w:rPr>
                    <w:t>i</w:t>
                  </w:r>
                  <w:r w:rsidRPr="0098635C">
                    <w:rPr>
                      <w:color w:val="000000"/>
                      <w:sz w:val="20"/>
                      <w:szCs w:val="20"/>
                      <w:lang w:eastAsia="ja-JP"/>
                    </w:rPr>
                    <w:t>tant</w:t>
                  </w:r>
                </w:p>
              </w:tc>
              <w:tc>
                <w:tcPr>
                  <w:tcW w:w="1385" w:type="pct"/>
                </w:tcPr>
                <w:p w14:paraId="7360F060"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Corneal and conjunct</w:t>
                  </w:r>
                  <w:r w:rsidRPr="0098635C">
                    <w:rPr>
                      <w:color w:val="000000"/>
                      <w:sz w:val="20"/>
                      <w:szCs w:val="20"/>
                      <w:lang w:eastAsia="ja-JP"/>
                    </w:rPr>
                    <w:t>i</w:t>
                  </w:r>
                  <w:r w:rsidRPr="0098635C">
                    <w:rPr>
                      <w:color w:val="000000"/>
                      <w:sz w:val="20"/>
                      <w:szCs w:val="20"/>
                      <w:lang w:eastAsia="ja-JP"/>
                    </w:rPr>
                    <w:t>val effects</w:t>
                  </w:r>
                </w:p>
              </w:tc>
            </w:tr>
            <w:tr w:rsidR="002C2BB0" w:rsidRPr="0098635C" w14:paraId="35BD3DCD" w14:textId="77777777" w:rsidTr="002C2BB0">
              <w:tc>
                <w:tcPr>
                  <w:tcW w:w="994" w:type="pct"/>
                  <w:vMerge/>
                  <w:vAlign w:val="center"/>
                </w:tcPr>
                <w:p w14:paraId="3A29F8CF" w14:textId="77777777" w:rsidR="002C2BB0" w:rsidRPr="0098635C" w:rsidRDefault="002C2BB0" w:rsidP="002C2BB0">
                  <w:pPr>
                    <w:spacing w:after="0"/>
                    <w:ind w:left="77"/>
                    <w:rPr>
                      <w:color w:val="000000"/>
                      <w:sz w:val="20"/>
                      <w:szCs w:val="20"/>
                      <w:lang w:eastAsia="ja-JP"/>
                    </w:rPr>
                  </w:pPr>
                </w:p>
              </w:tc>
              <w:tc>
                <w:tcPr>
                  <w:tcW w:w="1419" w:type="pct"/>
                </w:tcPr>
                <w:p w14:paraId="773AE4FA" w14:textId="77777777" w:rsidR="002C2BB0" w:rsidRPr="0098635C" w:rsidRDefault="002C2BB0" w:rsidP="002C2BB0">
                  <w:pPr>
                    <w:spacing w:after="0"/>
                    <w:ind w:left="39"/>
                    <w:rPr>
                      <w:color w:val="000000"/>
                      <w:sz w:val="20"/>
                      <w:szCs w:val="20"/>
                    </w:rPr>
                  </w:pPr>
                  <w:r w:rsidRPr="0098635C">
                    <w:rPr>
                      <w:color w:val="000000"/>
                      <w:sz w:val="20"/>
                      <w:szCs w:val="20"/>
                    </w:rPr>
                    <w:t>OECD 405, rabbit</w:t>
                  </w:r>
                </w:p>
              </w:tc>
              <w:tc>
                <w:tcPr>
                  <w:tcW w:w="1202" w:type="pct"/>
                </w:tcPr>
                <w:p w14:paraId="296F4B79"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Not an eye iritant</w:t>
                  </w:r>
                </w:p>
              </w:tc>
              <w:tc>
                <w:tcPr>
                  <w:tcW w:w="1385" w:type="pct"/>
                </w:tcPr>
                <w:p w14:paraId="2DAF3627"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Conjunctival effects</w:t>
                  </w:r>
                </w:p>
              </w:tc>
            </w:tr>
            <w:tr w:rsidR="002C2BB0" w:rsidRPr="0098635C" w14:paraId="4EAAFC97" w14:textId="77777777" w:rsidTr="002C2BB0">
              <w:tc>
                <w:tcPr>
                  <w:tcW w:w="994" w:type="pct"/>
                  <w:vMerge/>
                  <w:vAlign w:val="center"/>
                </w:tcPr>
                <w:p w14:paraId="37F8ADD3" w14:textId="77777777" w:rsidR="002C2BB0" w:rsidRPr="0098635C" w:rsidRDefault="002C2BB0" w:rsidP="002C2BB0">
                  <w:pPr>
                    <w:spacing w:after="0"/>
                    <w:ind w:left="77"/>
                    <w:rPr>
                      <w:color w:val="000000"/>
                      <w:sz w:val="20"/>
                      <w:szCs w:val="20"/>
                      <w:lang w:eastAsia="ja-JP"/>
                    </w:rPr>
                  </w:pPr>
                </w:p>
              </w:tc>
              <w:tc>
                <w:tcPr>
                  <w:tcW w:w="1419" w:type="pct"/>
                </w:tcPr>
                <w:p w14:paraId="5A315503" w14:textId="77777777" w:rsidR="002C2BB0" w:rsidRPr="0098635C" w:rsidRDefault="002C2BB0" w:rsidP="002C2BB0">
                  <w:pPr>
                    <w:spacing w:after="0"/>
                    <w:ind w:left="39"/>
                    <w:rPr>
                      <w:color w:val="000000"/>
                      <w:sz w:val="20"/>
                      <w:szCs w:val="20"/>
                    </w:rPr>
                  </w:pPr>
                  <w:r w:rsidRPr="0098635C">
                    <w:rPr>
                      <w:color w:val="000000"/>
                      <w:sz w:val="20"/>
                      <w:szCs w:val="20"/>
                    </w:rPr>
                    <w:t>OECD 405, rabbit</w:t>
                  </w:r>
                </w:p>
              </w:tc>
              <w:tc>
                <w:tcPr>
                  <w:tcW w:w="1202" w:type="pct"/>
                </w:tcPr>
                <w:p w14:paraId="31973A5E"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Not an eye irritant</w:t>
                  </w:r>
                </w:p>
              </w:tc>
              <w:tc>
                <w:tcPr>
                  <w:tcW w:w="1385" w:type="pct"/>
                </w:tcPr>
                <w:p w14:paraId="11A6FFAB"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w:t>
                  </w:r>
                </w:p>
              </w:tc>
            </w:tr>
            <w:tr w:rsidR="002C2BB0" w:rsidRPr="0098635C" w14:paraId="53AD852A" w14:textId="77777777" w:rsidTr="002C2BB0">
              <w:tc>
                <w:tcPr>
                  <w:tcW w:w="994" w:type="pct"/>
                  <w:vMerge w:val="restart"/>
                  <w:vAlign w:val="center"/>
                </w:tcPr>
                <w:p w14:paraId="10A912E9" w14:textId="77777777" w:rsidR="002C2BB0" w:rsidRPr="0098635C" w:rsidRDefault="002C2BB0" w:rsidP="002C2BB0">
                  <w:pPr>
                    <w:spacing w:after="0"/>
                    <w:ind w:left="77"/>
                    <w:rPr>
                      <w:color w:val="000000"/>
                      <w:sz w:val="20"/>
                      <w:szCs w:val="20"/>
                      <w:lang w:eastAsia="ja-JP"/>
                    </w:rPr>
                  </w:pPr>
                  <w:r w:rsidRPr="0098635C">
                    <w:rPr>
                      <w:color w:val="000000"/>
                      <w:sz w:val="20"/>
                      <w:szCs w:val="20"/>
                      <w:lang w:eastAsia="ja-JP"/>
                    </w:rPr>
                    <w:t>Copper su</w:t>
                  </w:r>
                  <w:r w:rsidRPr="0098635C">
                    <w:rPr>
                      <w:color w:val="000000"/>
                      <w:sz w:val="20"/>
                      <w:szCs w:val="20"/>
                      <w:lang w:eastAsia="ja-JP"/>
                    </w:rPr>
                    <w:t>l</w:t>
                  </w:r>
                  <w:r w:rsidRPr="0098635C">
                    <w:rPr>
                      <w:color w:val="000000"/>
                      <w:sz w:val="20"/>
                      <w:szCs w:val="20"/>
                      <w:lang w:eastAsia="ja-JP"/>
                    </w:rPr>
                    <w:t>phate pentah</w:t>
                  </w:r>
                  <w:r w:rsidRPr="0098635C">
                    <w:rPr>
                      <w:color w:val="000000"/>
                      <w:sz w:val="20"/>
                      <w:szCs w:val="20"/>
                      <w:lang w:eastAsia="ja-JP"/>
                    </w:rPr>
                    <w:t>y</w:t>
                  </w:r>
                  <w:r w:rsidRPr="0098635C">
                    <w:rPr>
                      <w:color w:val="000000"/>
                      <w:sz w:val="20"/>
                      <w:szCs w:val="20"/>
                      <w:lang w:eastAsia="ja-JP"/>
                    </w:rPr>
                    <w:t>drate</w:t>
                  </w:r>
                </w:p>
              </w:tc>
              <w:tc>
                <w:tcPr>
                  <w:tcW w:w="1419" w:type="pct"/>
                </w:tcPr>
                <w:p w14:paraId="41473742"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OECD 404, rabbit</w:t>
                  </w:r>
                </w:p>
              </w:tc>
              <w:tc>
                <w:tcPr>
                  <w:tcW w:w="1202" w:type="pct"/>
                </w:tcPr>
                <w:p w14:paraId="641FA4CF"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Not skin i</w:t>
                  </w:r>
                  <w:r w:rsidRPr="0098635C">
                    <w:rPr>
                      <w:color w:val="000000"/>
                      <w:sz w:val="20"/>
                      <w:szCs w:val="20"/>
                      <w:lang w:eastAsia="ja-JP"/>
                    </w:rPr>
                    <w:t>r</w:t>
                  </w:r>
                  <w:r w:rsidRPr="0098635C">
                    <w:rPr>
                      <w:color w:val="000000"/>
                      <w:sz w:val="20"/>
                      <w:szCs w:val="20"/>
                      <w:lang w:eastAsia="ja-JP"/>
                    </w:rPr>
                    <w:t>ritant</w:t>
                  </w:r>
                </w:p>
              </w:tc>
              <w:tc>
                <w:tcPr>
                  <w:tcW w:w="1385" w:type="pct"/>
                </w:tcPr>
                <w:p w14:paraId="2D027E21"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w:t>
                  </w:r>
                </w:p>
              </w:tc>
            </w:tr>
            <w:tr w:rsidR="002C2BB0" w:rsidRPr="0098635C" w14:paraId="72B97B14" w14:textId="77777777" w:rsidTr="002C2BB0">
              <w:tc>
                <w:tcPr>
                  <w:tcW w:w="994" w:type="pct"/>
                  <w:vMerge/>
                  <w:vAlign w:val="center"/>
                </w:tcPr>
                <w:p w14:paraId="42DA798B" w14:textId="77777777" w:rsidR="002C2BB0" w:rsidRPr="0098635C" w:rsidRDefault="002C2BB0" w:rsidP="002C2BB0">
                  <w:pPr>
                    <w:spacing w:after="0"/>
                    <w:ind w:left="77"/>
                    <w:rPr>
                      <w:color w:val="000000"/>
                      <w:sz w:val="20"/>
                      <w:szCs w:val="20"/>
                      <w:lang w:eastAsia="ja-JP"/>
                    </w:rPr>
                  </w:pPr>
                </w:p>
              </w:tc>
              <w:tc>
                <w:tcPr>
                  <w:tcW w:w="1419" w:type="pct"/>
                </w:tcPr>
                <w:p w14:paraId="5275A8CE"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OECD 405, rabbit</w:t>
                  </w:r>
                </w:p>
              </w:tc>
              <w:tc>
                <w:tcPr>
                  <w:tcW w:w="1202" w:type="pct"/>
                </w:tcPr>
                <w:p w14:paraId="06D9C27A"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Severe eye irritant</w:t>
                  </w:r>
                </w:p>
              </w:tc>
              <w:tc>
                <w:tcPr>
                  <w:tcW w:w="1385" w:type="pct"/>
                </w:tcPr>
                <w:p w14:paraId="6B067B6A"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 xml:space="preserve">Lesions </w:t>
                  </w:r>
                </w:p>
              </w:tc>
            </w:tr>
            <w:tr w:rsidR="002C2BB0" w:rsidRPr="0098635C" w14:paraId="3B27BC53" w14:textId="77777777" w:rsidTr="002C2BB0">
              <w:tc>
                <w:tcPr>
                  <w:tcW w:w="994" w:type="pct"/>
                  <w:vAlign w:val="center"/>
                </w:tcPr>
                <w:p w14:paraId="50B3ABEB" w14:textId="77777777" w:rsidR="002C2BB0" w:rsidRPr="0098635C" w:rsidRDefault="002C2BB0" w:rsidP="002C2BB0">
                  <w:pPr>
                    <w:spacing w:after="0"/>
                    <w:ind w:left="77"/>
                    <w:rPr>
                      <w:color w:val="000000"/>
                      <w:sz w:val="20"/>
                      <w:szCs w:val="20"/>
                      <w:lang w:eastAsia="ja-JP"/>
                    </w:rPr>
                  </w:pPr>
                  <w:r w:rsidRPr="0098635C">
                    <w:rPr>
                      <w:color w:val="000000"/>
                      <w:sz w:val="20"/>
                      <w:szCs w:val="20"/>
                      <w:lang w:eastAsia="ja-JP"/>
                    </w:rPr>
                    <w:t>Coated copper flakes</w:t>
                  </w:r>
                </w:p>
              </w:tc>
              <w:tc>
                <w:tcPr>
                  <w:tcW w:w="1419" w:type="pct"/>
                </w:tcPr>
                <w:p w14:paraId="17D747BE"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OECD 404, rabbit</w:t>
                  </w:r>
                </w:p>
              </w:tc>
              <w:tc>
                <w:tcPr>
                  <w:tcW w:w="1202" w:type="pct"/>
                </w:tcPr>
                <w:p w14:paraId="38E7F0AE"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Not skin i</w:t>
                  </w:r>
                  <w:r w:rsidRPr="0098635C">
                    <w:rPr>
                      <w:color w:val="000000"/>
                      <w:sz w:val="20"/>
                      <w:szCs w:val="20"/>
                      <w:lang w:eastAsia="ja-JP"/>
                    </w:rPr>
                    <w:t>r</w:t>
                  </w:r>
                  <w:r w:rsidRPr="0098635C">
                    <w:rPr>
                      <w:color w:val="000000"/>
                      <w:sz w:val="20"/>
                      <w:szCs w:val="20"/>
                      <w:lang w:eastAsia="ja-JP"/>
                    </w:rPr>
                    <w:t>ritant</w:t>
                  </w:r>
                </w:p>
              </w:tc>
              <w:tc>
                <w:tcPr>
                  <w:tcW w:w="1385" w:type="pct"/>
                </w:tcPr>
                <w:p w14:paraId="350926F1"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w:t>
                  </w:r>
                </w:p>
              </w:tc>
            </w:tr>
            <w:tr w:rsidR="002C2BB0" w:rsidRPr="0098635C" w14:paraId="2BC582E8" w14:textId="77777777" w:rsidTr="002C2BB0">
              <w:trPr>
                <w:trHeight w:val="426"/>
              </w:trPr>
              <w:tc>
                <w:tcPr>
                  <w:tcW w:w="994" w:type="pct"/>
                  <w:vAlign w:val="center"/>
                </w:tcPr>
                <w:p w14:paraId="7E708EA5" w14:textId="77777777" w:rsidR="002C2BB0" w:rsidRPr="0098635C" w:rsidRDefault="002C2BB0" w:rsidP="002C2BB0">
                  <w:pPr>
                    <w:spacing w:after="0"/>
                    <w:ind w:left="77"/>
                    <w:rPr>
                      <w:color w:val="000000"/>
                      <w:sz w:val="20"/>
                      <w:szCs w:val="20"/>
                      <w:lang w:eastAsia="ja-JP"/>
                    </w:rPr>
                  </w:pPr>
                  <w:r w:rsidRPr="0098635C">
                    <w:rPr>
                      <w:color w:val="000000"/>
                      <w:sz w:val="20"/>
                      <w:szCs w:val="20"/>
                      <w:lang w:eastAsia="ja-JP"/>
                    </w:rPr>
                    <w:t>Coated copper flakes</w:t>
                  </w:r>
                </w:p>
              </w:tc>
              <w:tc>
                <w:tcPr>
                  <w:tcW w:w="1419" w:type="pct"/>
                </w:tcPr>
                <w:p w14:paraId="3F1D4F9F"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OECD 405, rabbit</w:t>
                  </w:r>
                </w:p>
              </w:tc>
              <w:tc>
                <w:tcPr>
                  <w:tcW w:w="1202" w:type="pct"/>
                </w:tcPr>
                <w:p w14:paraId="62844E04"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Slight eye irrit</w:t>
                  </w:r>
                  <w:r w:rsidRPr="0098635C">
                    <w:rPr>
                      <w:color w:val="000000"/>
                      <w:sz w:val="20"/>
                      <w:szCs w:val="20"/>
                      <w:lang w:eastAsia="ja-JP"/>
                    </w:rPr>
                    <w:t>a</w:t>
                  </w:r>
                  <w:r w:rsidRPr="0098635C">
                    <w:rPr>
                      <w:color w:val="000000"/>
                      <w:sz w:val="20"/>
                      <w:szCs w:val="20"/>
                      <w:lang w:eastAsia="ja-JP"/>
                    </w:rPr>
                    <w:t>tion</w:t>
                  </w:r>
                </w:p>
              </w:tc>
              <w:tc>
                <w:tcPr>
                  <w:tcW w:w="1385" w:type="pct"/>
                </w:tcPr>
                <w:p w14:paraId="08B1E5B2"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corneal and conjunctival effects</w:t>
                  </w:r>
                </w:p>
              </w:tc>
            </w:tr>
          </w:tbl>
          <w:p w14:paraId="533BBC52" w14:textId="77777777" w:rsidR="002C2BB0" w:rsidRPr="0098635C" w:rsidRDefault="002C2BB0" w:rsidP="002C2BB0">
            <w:pPr>
              <w:spacing w:after="0"/>
              <w:rPr>
                <w:sz w:val="20"/>
                <w:szCs w:val="20"/>
              </w:rPr>
            </w:pPr>
            <w:r w:rsidRPr="0098635C">
              <w:rPr>
                <w:sz w:val="20"/>
                <w:szCs w:val="20"/>
              </w:rPr>
              <w:t>Of the category substances, dicopper oxide, copper sulphate pentahydrate and coated copper flakes are consi</w:t>
            </w:r>
            <w:r w:rsidRPr="0098635C">
              <w:rPr>
                <w:sz w:val="20"/>
                <w:szCs w:val="20"/>
              </w:rPr>
              <w:t>d</w:t>
            </w:r>
            <w:r w:rsidRPr="0098635C">
              <w:rPr>
                <w:sz w:val="20"/>
                <w:szCs w:val="20"/>
              </w:rPr>
              <w:t>ered an eye irritation hazard. Copper oxides and dicopper chloride hydroxide</w:t>
            </w:r>
            <w:r w:rsidRPr="0098635C" w:rsidDel="00546100">
              <w:rPr>
                <w:sz w:val="20"/>
                <w:szCs w:val="20"/>
              </w:rPr>
              <w:t xml:space="preserve"> </w:t>
            </w:r>
            <w:r w:rsidRPr="0098635C">
              <w:rPr>
                <w:sz w:val="20"/>
                <w:szCs w:val="20"/>
              </w:rPr>
              <w:t>do not present a hazard for eye i</w:t>
            </w:r>
            <w:r w:rsidRPr="0098635C">
              <w:rPr>
                <w:sz w:val="20"/>
                <w:szCs w:val="20"/>
              </w:rPr>
              <w:t>r</w:t>
            </w:r>
            <w:r w:rsidRPr="0098635C">
              <w:rPr>
                <w:sz w:val="20"/>
                <w:szCs w:val="20"/>
              </w:rPr>
              <w:t xml:space="preserve">ritation. No data are available for copper powders. </w:t>
            </w:r>
          </w:p>
          <w:p w14:paraId="35B47EEA" w14:textId="77777777" w:rsidR="002C2BB0" w:rsidRPr="0098635C" w:rsidRDefault="002C2BB0" w:rsidP="002C2BB0">
            <w:pPr>
              <w:spacing w:after="0"/>
              <w:rPr>
                <w:sz w:val="20"/>
                <w:szCs w:val="20"/>
              </w:rPr>
            </w:pPr>
            <w:r w:rsidRPr="0098635C">
              <w:rPr>
                <w:sz w:val="20"/>
                <w:szCs w:val="20"/>
              </w:rPr>
              <w:t xml:space="preserve">None of the category substances are considered a skin irritation hazard. </w:t>
            </w:r>
          </w:p>
          <w:p w14:paraId="6875AAC7" w14:textId="77777777" w:rsidR="002C2BB0" w:rsidRPr="0098635C" w:rsidRDefault="002C2BB0" w:rsidP="002C2BB0">
            <w:pPr>
              <w:keepNext/>
              <w:keepLines/>
              <w:spacing w:after="0"/>
              <w:rPr>
                <w:b/>
                <w:i/>
                <w:sz w:val="20"/>
                <w:szCs w:val="20"/>
                <w:lang w:eastAsia="ja-JP"/>
              </w:rPr>
            </w:pPr>
            <w:r w:rsidRPr="0098635C">
              <w:rPr>
                <w:b/>
                <w:i/>
                <w:sz w:val="20"/>
                <w:szCs w:val="20"/>
                <w:lang w:eastAsia="ja-JP"/>
              </w:rPr>
              <w:t>Skin sensitization</w:t>
            </w:r>
          </w:p>
          <w:p w14:paraId="052570FC" w14:textId="77777777" w:rsidR="002C2BB0" w:rsidRPr="0098635C" w:rsidRDefault="002C2BB0" w:rsidP="002C2BB0">
            <w:pPr>
              <w:keepNext/>
              <w:keepLines/>
              <w:spacing w:after="0"/>
              <w:rPr>
                <w:sz w:val="20"/>
                <w:szCs w:val="20"/>
                <w:lang w:eastAsia="ja-JP"/>
              </w:rPr>
            </w:pPr>
            <w:r w:rsidRPr="0098635C">
              <w:rPr>
                <w:sz w:val="20"/>
                <w:szCs w:val="20"/>
                <w:lang w:eastAsia="ja-JP"/>
              </w:rPr>
              <w:t>Available key study data for skin sensitization:</w:t>
            </w:r>
          </w:p>
          <w:tbl>
            <w:tblPr>
              <w:tblW w:w="8363"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3"/>
              <w:gridCol w:w="1417"/>
              <w:gridCol w:w="3402"/>
            </w:tblGrid>
            <w:tr w:rsidR="002C2BB0" w:rsidRPr="0098635C" w14:paraId="5A2DD0ED" w14:textId="77777777" w:rsidTr="002C2BB0">
              <w:trPr>
                <w:tblHeader/>
              </w:trPr>
              <w:tc>
                <w:tcPr>
                  <w:tcW w:w="1017" w:type="pct"/>
                  <w:vAlign w:val="center"/>
                </w:tcPr>
                <w:p w14:paraId="086C1B1D" w14:textId="77777777" w:rsidR="002C2BB0" w:rsidRPr="0098635C" w:rsidRDefault="002C2BB0" w:rsidP="002C2BB0">
                  <w:pPr>
                    <w:keepNext/>
                    <w:keepLines/>
                    <w:spacing w:after="0"/>
                    <w:ind w:left="77"/>
                    <w:rPr>
                      <w:b/>
                      <w:sz w:val="20"/>
                      <w:szCs w:val="20"/>
                      <w:lang w:eastAsia="ja-JP"/>
                    </w:rPr>
                  </w:pPr>
                  <w:r w:rsidRPr="0098635C">
                    <w:rPr>
                      <w:b/>
                      <w:sz w:val="20"/>
                      <w:szCs w:val="20"/>
                      <w:lang w:eastAsia="ja-JP"/>
                    </w:rPr>
                    <w:t>Test su</w:t>
                  </w:r>
                  <w:r w:rsidRPr="0098635C">
                    <w:rPr>
                      <w:b/>
                      <w:sz w:val="20"/>
                      <w:szCs w:val="20"/>
                      <w:lang w:eastAsia="ja-JP"/>
                    </w:rPr>
                    <w:t>b</w:t>
                  </w:r>
                  <w:r w:rsidRPr="0098635C">
                    <w:rPr>
                      <w:b/>
                      <w:sz w:val="20"/>
                      <w:szCs w:val="20"/>
                      <w:lang w:eastAsia="ja-JP"/>
                    </w:rPr>
                    <w:t>stance</w:t>
                  </w:r>
                </w:p>
              </w:tc>
              <w:tc>
                <w:tcPr>
                  <w:tcW w:w="1102" w:type="pct"/>
                </w:tcPr>
                <w:p w14:paraId="3658D76A" w14:textId="77777777" w:rsidR="002C2BB0" w:rsidRPr="0098635C" w:rsidRDefault="002C2BB0" w:rsidP="002C2BB0">
                  <w:pPr>
                    <w:keepNext/>
                    <w:keepLines/>
                    <w:spacing w:after="0"/>
                    <w:ind w:left="39"/>
                    <w:rPr>
                      <w:b/>
                      <w:sz w:val="20"/>
                      <w:szCs w:val="20"/>
                      <w:lang w:eastAsia="ja-JP"/>
                    </w:rPr>
                  </w:pPr>
                  <w:r w:rsidRPr="0098635C">
                    <w:rPr>
                      <w:b/>
                      <w:sz w:val="20"/>
                      <w:szCs w:val="20"/>
                      <w:lang w:eastAsia="ja-JP"/>
                    </w:rPr>
                    <w:t>Guid</w:t>
                  </w:r>
                  <w:r w:rsidRPr="0098635C">
                    <w:rPr>
                      <w:b/>
                      <w:sz w:val="20"/>
                      <w:szCs w:val="20"/>
                      <w:lang w:eastAsia="ja-JP"/>
                    </w:rPr>
                    <w:t>e</w:t>
                  </w:r>
                  <w:r w:rsidRPr="0098635C">
                    <w:rPr>
                      <w:b/>
                      <w:sz w:val="20"/>
                      <w:szCs w:val="20"/>
                      <w:lang w:eastAsia="ja-JP"/>
                    </w:rPr>
                    <w:t>line</w:t>
                  </w:r>
                </w:p>
              </w:tc>
              <w:tc>
                <w:tcPr>
                  <w:tcW w:w="847" w:type="pct"/>
                </w:tcPr>
                <w:p w14:paraId="094CD9F9" w14:textId="77777777" w:rsidR="002C2BB0" w:rsidRPr="0098635C" w:rsidRDefault="002C2BB0" w:rsidP="002C2BB0">
                  <w:pPr>
                    <w:keepNext/>
                    <w:keepLines/>
                    <w:spacing w:after="0"/>
                    <w:ind w:left="39"/>
                    <w:rPr>
                      <w:b/>
                      <w:sz w:val="20"/>
                      <w:szCs w:val="20"/>
                      <w:lang w:eastAsia="ja-JP"/>
                    </w:rPr>
                  </w:pPr>
                  <w:r w:rsidRPr="0098635C">
                    <w:rPr>
                      <w:b/>
                      <w:sz w:val="20"/>
                      <w:szCs w:val="20"/>
                      <w:lang w:eastAsia="ja-JP"/>
                    </w:rPr>
                    <w:t>Result</w:t>
                  </w:r>
                </w:p>
              </w:tc>
              <w:tc>
                <w:tcPr>
                  <w:tcW w:w="2034" w:type="pct"/>
                </w:tcPr>
                <w:p w14:paraId="6452DE7A" w14:textId="77777777" w:rsidR="002C2BB0" w:rsidRPr="0098635C" w:rsidDel="00E04DAD" w:rsidRDefault="002C2BB0" w:rsidP="002C2BB0">
                  <w:pPr>
                    <w:keepNext/>
                    <w:keepLines/>
                    <w:spacing w:after="0"/>
                    <w:ind w:left="39"/>
                    <w:rPr>
                      <w:b/>
                      <w:sz w:val="20"/>
                      <w:szCs w:val="20"/>
                      <w:lang w:eastAsia="ja-JP"/>
                    </w:rPr>
                  </w:pPr>
                  <w:r w:rsidRPr="0098635C">
                    <w:rPr>
                      <w:b/>
                      <w:sz w:val="20"/>
                      <w:szCs w:val="20"/>
                      <w:lang w:eastAsia="ja-JP"/>
                    </w:rPr>
                    <w:t>Symptoms</w:t>
                  </w:r>
                </w:p>
              </w:tc>
            </w:tr>
            <w:tr w:rsidR="002C2BB0" w:rsidRPr="0098635C" w14:paraId="04FC2037" w14:textId="77777777" w:rsidTr="002C2BB0">
              <w:tc>
                <w:tcPr>
                  <w:tcW w:w="1017" w:type="pct"/>
                  <w:vAlign w:val="center"/>
                </w:tcPr>
                <w:p w14:paraId="2AB4EF70" w14:textId="77777777" w:rsidR="002C2BB0" w:rsidRPr="0098635C" w:rsidRDefault="002C2BB0" w:rsidP="002C2BB0">
                  <w:pPr>
                    <w:keepNext/>
                    <w:keepLines/>
                    <w:spacing w:after="0"/>
                    <w:ind w:left="77"/>
                    <w:rPr>
                      <w:color w:val="000000"/>
                      <w:sz w:val="20"/>
                      <w:szCs w:val="20"/>
                      <w:lang w:eastAsia="ja-JP"/>
                    </w:rPr>
                  </w:pPr>
                  <w:r w:rsidRPr="0098635C">
                    <w:rPr>
                      <w:color w:val="000000"/>
                      <w:sz w:val="20"/>
                      <w:szCs w:val="20"/>
                      <w:lang w:eastAsia="ja-JP"/>
                    </w:rPr>
                    <w:t>Dicopper ox</w:t>
                  </w:r>
                  <w:r w:rsidRPr="0098635C">
                    <w:rPr>
                      <w:color w:val="000000"/>
                      <w:sz w:val="20"/>
                      <w:szCs w:val="20"/>
                      <w:lang w:eastAsia="ja-JP"/>
                    </w:rPr>
                    <w:t>i</w:t>
                  </w:r>
                  <w:r w:rsidRPr="0098635C">
                    <w:rPr>
                      <w:color w:val="000000"/>
                      <w:sz w:val="20"/>
                      <w:szCs w:val="20"/>
                      <w:lang w:eastAsia="ja-JP"/>
                    </w:rPr>
                    <w:t>de</w:t>
                  </w:r>
                </w:p>
                <w:p w14:paraId="7A525F45" w14:textId="77777777" w:rsidR="002C2BB0" w:rsidRPr="0098635C" w:rsidRDefault="002C2BB0" w:rsidP="002C2BB0">
                  <w:pPr>
                    <w:keepNext/>
                    <w:keepLines/>
                    <w:spacing w:after="0"/>
                    <w:ind w:left="77"/>
                    <w:rPr>
                      <w:color w:val="000000"/>
                      <w:sz w:val="20"/>
                      <w:szCs w:val="20"/>
                      <w:lang w:eastAsia="ja-JP"/>
                    </w:rPr>
                  </w:pPr>
                </w:p>
              </w:tc>
              <w:tc>
                <w:tcPr>
                  <w:tcW w:w="1102" w:type="pct"/>
                </w:tcPr>
                <w:p w14:paraId="451DD420" w14:textId="77777777" w:rsidR="002C2BB0" w:rsidRPr="0098635C" w:rsidRDefault="002C2BB0" w:rsidP="002C2BB0">
                  <w:pPr>
                    <w:keepNext/>
                    <w:keepLines/>
                    <w:spacing w:after="0"/>
                    <w:ind w:left="39"/>
                    <w:rPr>
                      <w:color w:val="000000"/>
                      <w:sz w:val="20"/>
                      <w:szCs w:val="20"/>
                      <w:lang w:val="it-IT" w:eastAsia="ja-JP"/>
                    </w:rPr>
                  </w:pPr>
                  <w:r w:rsidRPr="0098635C">
                    <w:rPr>
                      <w:color w:val="000000"/>
                      <w:sz w:val="20"/>
                      <w:szCs w:val="20"/>
                      <w:lang w:val="it-IT" w:eastAsia="ja-JP"/>
                    </w:rPr>
                    <w:t>OECD 406, gu</w:t>
                  </w:r>
                  <w:r w:rsidRPr="0098635C">
                    <w:rPr>
                      <w:color w:val="000000"/>
                      <w:sz w:val="20"/>
                      <w:szCs w:val="20"/>
                      <w:lang w:val="it-IT" w:eastAsia="ja-JP"/>
                    </w:rPr>
                    <w:t>i</w:t>
                  </w:r>
                  <w:r w:rsidRPr="0098635C">
                    <w:rPr>
                      <w:color w:val="000000"/>
                      <w:sz w:val="20"/>
                      <w:szCs w:val="20"/>
                      <w:lang w:val="it-IT" w:eastAsia="ja-JP"/>
                    </w:rPr>
                    <w:t>nea pig</w:t>
                  </w:r>
                </w:p>
              </w:tc>
              <w:tc>
                <w:tcPr>
                  <w:tcW w:w="847" w:type="pct"/>
                </w:tcPr>
                <w:p w14:paraId="245FA56B" w14:textId="77777777" w:rsidR="002C2BB0" w:rsidRPr="0098635C" w:rsidRDefault="002C2BB0" w:rsidP="002C2BB0">
                  <w:pPr>
                    <w:keepNext/>
                    <w:keepLines/>
                    <w:spacing w:after="0"/>
                    <w:ind w:left="39"/>
                    <w:rPr>
                      <w:color w:val="000000"/>
                      <w:sz w:val="20"/>
                      <w:szCs w:val="20"/>
                      <w:lang w:eastAsia="ja-JP"/>
                    </w:rPr>
                  </w:pPr>
                  <w:r w:rsidRPr="0098635C">
                    <w:rPr>
                      <w:color w:val="000000"/>
                      <w:sz w:val="20"/>
                      <w:szCs w:val="20"/>
                      <w:lang w:eastAsia="ja-JP"/>
                    </w:rPr>
                    <w:t>Not se</w:t>
                  </w:r>
                  <w:r w:rsidRPr="0098635C">
                    <w:rPr>
                      <w:color w:val="000000"/>
                      <w:sz w:val="20"/>
                      <w:szCs w:val="20"/>
                      <w:lang w:eastAsia="ja-JP"/>
                    </w:rPr>
                    <w:t>n</w:t>
                  </w:r>
                  <w:r w:rsidRPr="0098635C">
                    <w:rPr>
                      <w:color w:val="000000"/>
                      <w:sz w:val="20"/>
                      <w:szCs w:val="20"/>
                      <w:lang w:eastAsia="ja-JP"/>
                    </w:rPr>
                    <w:t>sitizing</w:t>
                  </w:r>
                </w:p>
              </w:tc>
              <w:tc>
                <w:tcPr>
                  <w:tcW w:w="2034" w:type="pct"/>
                </w:tcPr>
                <w:p w14:paraId="0459D2E4" w14:textId="77777777" w:rsidR="002C2BB0" w:rsidRPr="0098635C" w:rsidRDefault="002C2BB0" w:rsidP="002C2BB0">
                  <w:pPr>
                    <w:keepNext/>
                    <w:keepLines/>
                    <w:spacing w:after="0"/>
                    <w:ind w:left="39"/>
                    <w:rPr>
                      <w:color w:val="000000"/>
                      <w:sz w:val="20"/>
                      <w:szCs w:val="20"/>
                      <w:lang w:eastAsia="ja-JP"/>
                    </w:rPr>
                  </w:pPr>
                  <w:r w:rsidRPr="0098635C">
                    <w:rPr>
                      <w:color w:val="000000"/>
                      <w:sz w:val="20"/>
                      <w:szCs w:val="20"/>
                      <w:lang w:eastAsia="ja-JP"/>
                    </w:rPr>
                    <w:t>No skin response after challenge.</w:t>
                  </w:r>
                </w:p>
              </w:tc>
            </w:tr>
            <w:tr w:rsidR="002C2BB0" w:rsidRPr="0098635C" w14:paraId="0D729A1D" w14:textId="77777777" w:rsidTr="002C2BB0">
              <w:trPr>
                <w:trHeight w:val="2598"/>
              </w:trPr>
              <w:tc>
                <w:tcPr>
                  <w:tcW w:w="1017" w:type="pct"/>
                  <w:vAlign w:val="center"/>
                </w:tcPr>
                <w:p w14:paraId="576C97F9" w14:textId="77777777" w:rsidR="002C2BB0" w:rsidRPr="0098635C" w:rsidRDefault="002C2BB0" w:rsidP="002C2BB0">
                  <w:pPr>
                    <w:keepNext/>
                    <w:keepLines/>
                    <w:spacing w:after="0"/>
                    <w:ind w:left="77"/>
                    <w:rPr>
                      <w:color w:val="000000"/>
                      <w:sz w:val="20"/>
                      <w:szCs w:val="20"/>
                      <w:lang w:eastAsia="ja-JP"/>
                    </w:rPr>
                  </w:pPr>
                  <w:r w:rsidRPr="0098635C">
                    <w:rPr>
                      <w:color w:val="000000"/>
                      <w:sz w:val="20"/>
                      <w:szCs w:val="20"/>
                      <w:lang w:eastAsia="ja-JP"/>
                    </w:rPr>
                    <w:t>Copper oxide</w:t>
                  </w:r>
                </w:p>
              </w:tc>
              <w:tc>
                <w:tcPr>
                  <w:tcW w:w="1102" w:type="pct"/>
                </w:tcPr>
                <w:p w14:paraId="7C0F1BEC" w14:textId="77777777" w:rsidR="002C2BB0" w:rsidRPr="0098635C" w:rsidRDefault="002C2BB0" w:rsidP="002C2BB0">
                  <w:pPr>
                    <w:keepNext/>
                    <w:keepLines/>
                    <w:spacing w:after="0"/>
                    <w:ind w:left="39"/>
                    <w:rPr>
                      <w:color w:val="000000"/>
                      <w:sz w:val="20"/>
                      <w:szCs w:val="20"/>
                      <w:lang w:val="it-IT" w:eastAsia="ja-JP"/>
                    </w:rPr>
                  </w:pPr>
                  <w:r w:rsidRPr="0098635C">
                    <w:rPr>
                      <w:color w:val="000000"/>
                      <w:sz w:val="20"/>
                      <w:szCs w:val="20"/>
                      <w:lang w:val="it-IT" w:eastAsia="ja-JP"/>
                    </w:rPr>
                    <w:t>OECD 406, gu</w:t>
                  </w:r>
                  <w:r w:rsidRPr="0098635C">
                    <w:rPr>
                      <w:color w:val="000000"/>
                      <w:sz w:val="20"/>
                      <w:szCs w:val="20"/>
                      <w:lang w:val="it-IT" w:eastAsia="ja-JP"/>
                    </w:rPr>
                    <w:t>i</w:t>
                  </w:r>
                  <w:r w:rsidRPr="0098635C">
                    <w:rPr>
                      <w:color w:val="000000"/>
                      <w:sz w:val="20"/>
                      <w:szCs w:val="20"/>
                      <w:lang w:val="it-IT" w:eastAsia="ja-JP"/>
                    </w:rPr>
                    <w:t>nea pig</w:t>
                  </w:r>
                </w:p>
              </w:tc>
              <w:tc>
                <w:tcPr>
                  <w:tcW w:w="847" w:type="pct"/>
                </w:tcPr>
                <w:p w14:paraId="6AAF1F39" w14:textId="77777777" w:rsidR="002C2BB0" w:rsidRPr="0098635C" w:rsidRDefault="002C2BB0" w:rsidP="002C2BB0">
                  <w:pPr>
                    <w:keepNext/>
                    <w:keepLines/>
                    <w:spacing w:after="0"/>
                    <w:ind w:left="39"/>
                    <w:rPr>
                      <w:color w:val="000000"/>
                      <w:sz w:val="20"/>
                      <w:szCs w:val="20"/>
                      <w:lang w:eastAsia="ja-JP"/>
                    </w:rPr>
                  </w:pPr>
                  <w:r w:rsidRPr="0098635C">
                    <w:rPr>
                      <w:color w:val="000000"/>
                      <w:sz w:val="20"/>
                      <w:szCs w:val="20"/>
                      <w:lang w:eastAsia="ja-JP"/>
                    </w:rPr>
                    <w:t>Not se</w:t>
                  </w:r>
                  <w:r w:rsidRPr="0098635C">
                    <w:rPr>
                      <w:color w:val="000000"/>
                      <w:sz w:val="20"/>
                      <w:szCs w:val="20"/>
                      <w:lang w:eastAsia="ja-JP"/>
                    </w:rPr>
                    <w:t>n</w:t>
                  </w:r>
                  <w:r w:rsidRPr="0098635C">
                    <w:rPr>
                      <w:color w:val="000000"/>
                      <w:sz w:val="20"/>
                      <w:szCs w:val="20"/>
                      <w:lang w:eastAsia="ja-JP"/>
                    </w:rPr>
                    <w:t>sitizing</w:t>
                  </w:r>
                </w:p>
              </w:tc>
              <w:tc>
                <w:tcPr>
                  <w:tcW w:w="2034" w:type="pct"/>
                </w:tcPr>
                <w:p w14:paraId="5B4DBC86" w14:textId="77777777" w:rsidR="002C2BB0" w:rsidRPr="0098635C" w:rsidRDefault="002C2BB0" w:rsidP="002C2BB0">
                  <w:pPr>
                    <w:keepNext/>
                    <w:keepLines/>
                    <w:spacing w:after="0"/>
                    <w:rPr>
                      <w:color w:val="000000"/>
                      <w:sz w:val="20"/>
                      <w:szCs w:val="20"/>
                      <w:lang w:eastAsia="ja-JP"/>
                    </w:rPr>
                  </w:pPr>
                  <w:r w:rsidRPr="0098635C">
                    <w:rPr>
                      <w:color w:val="000000"/>
                      <w:sz w:val="20"/>
                      <w:szCs w:val="20"/>
                      <w:lang w:eastAsia="ja-JP"/>
                    </w:rPr>
                    <w:t xml:space="preserve"> Mild skin response: </w:t>
                  </w:r>
                </w:p>
                <w:p w14:paraId="50465352" w14:textId="77777777" w:rsidR="002C2BB0" w:rsidRPr="0098635C" w:rsidRDefault="002C2BB0" w:rsidP="002C2BB0">
                  <w:pPr>
                    <w:keepNext/>
                    <w:keepLines/>
                    <w:spacing w:after="0"/>
                    <w:rPr>
                      <w:color w:val="000000"/>
                      <w:sz w:val="20"/>
                      <w:szCs w:val="20"/>
                      <w:lang w:eastAsia="ja-JP"/>
                    </w:rPr>
                  </w:pPr>
                  <w:r w:rsidRPr="0098635C">
                    <w:rPr>
                      <w:color w:val="000000"/>
                      <w:sz w:val="20"/>
                      <w:szCs w:val="20"/>
                      <w:lang w:eastAsia="ja-JP"/>
                    </w:rPr>
                    <w:t>10% w/w: discrete or patchy eryt</w:t>
                  </w:r>
                  <w:r w:rsidRPr="0098635C">
                    <w:rPr>
                      <w:color w:val="000000"/>
                      <w:sz w:val="20"/>
                      <w:szCs w:val="20"/>
                      <w:lang w:eastAsia="ja-JP"/>
                    </w:rPr>
                    <w:t>h</w:t>
                  </w:r>
                  <w:r w:rsidRPr="0098635C">
                    <w:rPr>
                      <w:color w:val="000000"/>
                      <w:sz w:val="20"/>
                      <w:szCs w:val="20"/>
                      <w:lang w:eastAsia="ja-JP"/>
                    </w:rPr>
                    <w:t>rema at challenge sites in 4/10 an</w:t>
                  </w:r>
                  <w:r w:rsidRPr="0098635C">
                    <w:rPr>
                      <w:color w:val="000000"/>
                      <w:sz w:val="20"/>
                      <w:szCs w:val="20"/>
                      <w:lang w:eastAsia="ja-JP"/>
                    </w:rPr>
                    <w:t>i</w:t>
                  </w:r>
                  <w:r w:rsidRPr="0098635C">
                    <w:rPr>
                      <w:color w:val="000000"/>
                      <w:sz w:val="20"/>
                      <w:szCs w:val="20"/>
                      <w:lang w:eastAsia="ja-JP"/>
                    </w:rPr>
                    <w:t>mals) at 24h; no skin reaction at 48h.</w:t>
                  </w:r>
                </w:p>
                <w:p w14:paraId="34F7472F" w14:textId="77777777" w:rsidR="002C2BB0" w:rsidRPr="0098635C" w:rsidRDefault="002C2BB0" w:rsidP="002C2BB0">
                  <w:pPr>
                    <w:keepNext/>
                    <w:keepLines/>
                    <w:spacing w:after="0"/>
                    <w:ind w:left="39"/>
                    <w:rPr>
                      <w:color w:val="000000"/>
                      <w:sz w:val="20"/>
                      <w:szCs w:val="20"/>
                      <w:lang w:eastAsia="ja-JP"/>
                    </w:rPr>
                  </w:pPr>
                  <w:r w:rsidRPr="0098635C">
                    <w:rPr>
                      <w:color w:val="000000"/>
                      <w:sz w:val="20"/>
                      <w:szCs w:val="20"/>
                      <w:lang w:eastAsia="ja-JP"/>
                    </w:rPr>
                    <w:t>5% w/w: discrete or patchy eryt</w:t>
                  </w:r>
                  <w:r w:rsidRPr="0098635C">
                    <w:rPr>
                      <w:color w:val="000000"/>
                      <w:sz w:val="20"/>
                      <w:szCs w:val="20"/>
                      <w:lang w:eastAsia="ja-JP"/>
                    </w:rPr>
                    <w:t>h</w:t>
                  </w:r>
                  <w:r w:rsidRPr="0098635C">
                    <w:rPr>
                      <w:color w:val="000000"/>
                      <w:sz w:val="20"/>
                      <w:szCs w:val="20"/>
                      <w:lang w:eastAsia="ja-JP"/>
                    </w:rPr>
                    <w:t>rema at challenge sites in 2/10 an</w:t>
                  </w:r>
                  <w:r w:rsidRPr="0098635C">
                    <w:rPr>
                      <w:color w:val="000000"/>
                      <w:sz w:val="20"/>
                      <w:szCs w:val="20"/>
                      <w:lang w:eastAsia="ja-JP"/>
                    </w:rPr>
                    <w:t>i</w:t>
                  </w:r>
                  <w:r w:rsidRPr="0098635C">
                    <w:rPr>
                      <w:color w:val="000000"/>
                      <w:sz w:val="20"/>
                      <w:szCs w:val="20"/>
                      <w:lang w:eastAsia="ja-JP"/>
                    </w:rPr>
                    <w:t>mals) at 24h; no skin reaction at 48h.</w:t>
                  </w:r>
                </w:p>
              </w:tc>
            </w:tr>
            <w:tr w:rsidR="002C2BB0" w:rsidRPr="0098635C" w14:paraId="3A3FD6FA" w14:textId="77777777" w:rsidTr="002C2BB0">
              <w:tc>
                <w:tcPr>
                  <w:tcW w:w="1017" w:type="pct"/>
                  <w:vMerge w:val="restart"/>
                  <w:vAlign w:val="center"/>
                </w:tcPr>
                <w:p w14:paraId="008EFB51" w14:textId="77777777" w:rsidR="002C2BB0" w:rsidRPr="0098635C" w:rsidRDefault="002C2BB0" w:rsidP="002C2BB0">
                  <w:pPr>
                    <w:keepNext/>
                    <w:keepLines/>
                    <w:spacing w:after="0"/>
                    <w:ind w:left="77"/>
                    <w:rPr>
                      <w:color w:val="000000"/>
                      <w:sz w:val="20"/>
                      <w:szCs w:val="20"/>
                      <w:lang w:eastAsia="ja-JP"/>
                    </w:rPr>
                  </w:pPr>
                  <w:r w:rsidRPr="0098635C">
                    <w:rPr>
                      <w:color w:val="000000"/>
                      <w:sz w:val="20"/>
                      <w:szCs w:val="20"/>
                      <w:lang w:eastAsia="ja-JP"/>
                    </w:rPr>
                    <w:t>Dicopper chloride trihydr</w:t>
                  </w:r>
                  <w:r w:rsidRPr="0098635C">
                    <w:rPr>
                      <w:color w:val="000000"/>
                      <w:sz w:val="20"/>
                      <w:szCs w:val="20"/>
                      <w:lang w:eastAsia="ja-JP"/>
                    </w:rPr>
                    <w:t>o</w:t>
                  </w:r>
                  <w:r w:rsidRPr="0098635C">
                    <w:rPr>
                      <w:color w:val="000000"/>
                      <w:sz w:val="20"/>
                      <w:szCs w:val="20"/>
                      <w:lang w:eastAsia="ja-JP"/>
                    </w:rPr>
                    <w:t>xide</w:t>
                  </w:r>
                </w:p>
              </w:tc>
              <w:tc>
                <w:tcPr>
                  <w:tcW w:w="1102" w:type="pct"/>
                </w:tcPr>
                <w:p w14:paraId="084C0F6C" w14:textId="77777777" w:rsidR="002C2BB0" w:rsidRPr="0098635C" w:rsidRDefault="002C2BB0" w:rsidP="002C2BB0">
                  <w:pPr>
                    <w:keepNext/>
                    <w:keepLines/>
                    <w:spacing w:after="0"/>
                    <w:ind w:left="39"/>
                    <w:rPr>
                      <w:color w:val="000000"/>
                      <w:sz w:val="20"/>
                      <w:szCs w:val="20"/>
                      <w:lang w:eastAsia="ja-JP"/>
                    </w:rPr>
                  </w:pPr>
                  <w:r w:rsidRPr="0098635C">
                    <w:rPr>
                      <w:color w:val="000000"/>
                      <w:sz w:val="20"/>
                      <w:szCs w:val="20"/>
                      <w:lang w:eastAsia="ja-JP"/>
                    </w:rPr>
                    <w:t>OECD 406, gu</w:t>
                  </w:r>
                  <w:r w:rsidRPr="0098635C">
                    <w:rPr>
                      <w:color w:val="000000"/>
                      <w:sz w:val="20"/>
                      <w:szCs w:val="20"/>
                      <w:lang w:eastAsia="ja-JP"/>
                    </w:rPr>
                    <w:t>i</w:t>
                  </w:r>
                  <w:r w:rsidRPr="0098635C">
                    <w:rPr>
                      <w:color w:val="000000"/>
                      <w:sz w:val="20"/>
                      <w:szCs w:val="20"/>
                      <w:lang w:eastAsia="ja-JP"/>
                    </w:rPr>
                    <w:t>nea pig</w:t>
                  </w:r>
                </w:p>
              </w:tc>
              <w:tc>
                <w:tcPr>
                  <w:tcW w:w="847" w:type="pct"/>
                </w:tcPr>
                <w:p w14:paraId="68F8502A" w14:textId="77777777" w:rsidR="002C2BB0" w:rsidRPr="0098635C" w:rsidRDefault="002C2BB0" w:rsidP="002C2BB0">
                  <w:pPr>
                    <w:keepNext/>
                    <w:keepLines/>
                    <w:spacing w:after="0"/>
                    <w:ind w:left="39"/>
                    <w:rPr>
                      <w:color w:val="000000"/>
                      <w:sz w:val="20"/>
                      <w:szCs w:val="20"/>
                      <w:lang w:eastAsia="ja-JP"/>
                    </w:rPr>
                  </w:pPr>
                  <w:r w:rsidRPr="0098635C">
                    <w:rPr>
                      <w:color w:val="000000"/>
                      <w:sz w:val="20"/>
                      <w:szCs w:val="20"/>
                      <w:lang w:eastAsia="ja-JP"/>
                    </w:rPr>
                    <w:t>Not se</w:t>
                  </w:r>
                  <w:r w:rsidRPr="0098635C">
                    <w:rPr>
                      <w:color w:val="000000"/>
                      <w:sz w:val="20"/>
                      <w:szCs w:val="20"/>
                      <w:lang w:eastAsia="ja-JP"/>
                    </w:rPr>
                    <w:t>n</w:t>
                  </w:r>
                  <w:r w:rsidRPr="0098635C">
                    <w:rPr>
                      <w:color w:val="000000"/>
                      <w:sz w:val="20"/>
                      <w:szCs w:val="20"/>
                      <w:lang w:eastAsia="ja-JP"/>
                    </w:rPr>
                    <w:t>sitizing</w:t>
                  </w:r>
                </w:p>
              </w:tc>
              <w:tc>
                <w:tcPr>
                  <w:tcW w:w="2034" w:type="pct"/>
                </w:tcPr>
                <w:p w14:paraId="19284DDD" w14:textId="77777777" w:rsidR="002C2BB0" w:rsidRPr="0098635C" w:rsidRDefault="002C2BB0" w:rsidP="002C2BB0">
                  <w:pPr>
                    <w:keepNext/>
                    <w:keepLines/>
                    <w:spacing w:after="0"/>
                    <w:ind w:left="39"/>
                    <w:rPr>
                      <w:color w:val="000000"/>
                      <w:sz w:val="20"/>
                      <w:szCs w:val="20"/>
                      <w:lang w:eastAsia="ja-JP"/>
                    </w:rPr>
                  </w:pPr>
                  <w:r w:rsidRPr="0098635C">
                    <w:rPr>
                      <w:color w:val="000000"/>
                      <w:sz w:val="20"/>
                      <w:szCs w:val="20"/>
                      <w:lang w:eastAsia="ja-JP"/>
                    </w:rPr>
                    <w:t>No skin response after challenge.</w:t>
                  </w:r>
                </w:p>
              </w:tc>
            </w:tr>
            <w:tr w:rsidR="002C2BB0" w:rsidRPr="0098635C" w14:paraId="0FFB5928" w14:textId="77777777" w:rsidTr="002C2BB0">
              <w:tc>
                <w:tcPr>
                  <w:tcW w:w="1017" w:type="pct"/>
                  <w:vMerge/>
                  <w:vAlign w:val="center"/>
                </w:tcPr>
                <w:p w14:paraId="3E26F76F" w14:textId="77777777" w:rsidR="002C2BB0" w:rsidRPr="0098635C" w:rsidRDefault="002C2BB0" w:rsidP="002C2BB0">
                  <w:pPr>
                    <w:keepNext/>
                    <w:keepLines/>
                    <w:spacing w:after="0"/>
                    <w:ind w:left="77"/>
                    <w:rPr>
                      <w:color w:val="000000"/>
                      <w:sz w:val="20"/>
                      <w:szCs w:val="20"/>
                      <w:lang w:eastAsia="ja-JP"/>
                    </w:rPr>
                  </w:pPr>
                </w:p>
              </w:tc>
              <w:tc>
                <w:tcPr>
                  <w:tcW w:w="1102" w:type="pct"/>
                </w:tcPr>
                <w:p w14:paraId="77EF2328" w14:textId="77777777" w:rsidR="002C2BB0" w:rsidRPr="0098635C" w:rsidRDefault="002C2BB0" w:rsidP="002C2BB0">
                  <w:pPr>
                    <w:keepNext/>
                    <w:keepLines/>
                    <w:spacing w:after="0"/>
                    <w:ind w:left="39"/>
                    <w:rPr>
                      <w:color w:val="000000"/>
                      <w:sz w:val="20"/>
                      <w:szCs w:val="20"/>
                    </w:rPr>
                  </w:pPr>
                  <w:r w:rsidRPr="0098635C">
                    <w:rPr>
                      <w:color w:val="000000"/>
                      <w:sz w:val="20"/>
                      <w:szCs w:val="20"/>
                    </w:rPr>
                    <w:t>EU B.6, guinea pig</w:t>
                  </w:r>
                </w:p>
              </w:tc>
              <w:tc>
                <w:tcPr>
                  <w:tcW w:w="847" w:type="pct"/>
                </w:tcPr>
                <w:p w14:paraId="2C249A76" w14:textId="77777777" w:rsidR="002C2BB0" w:rsidRPr="0098635C" w:rsidRDefault="002C2BB0" w:rsidP="002C2BB0">
                  <w:pPr>
                    <w:keepNext/>
                    <w:keepLines/>
                    <w:spacing w:after="0"/>
                    <w:ind w:left="39"/>
                    <w:rPr>
                      <w:color w:val="000000"/>
                      <w:sz w:val="20"/>
                      <w:szCs w:val="20"/>
                    </w:rPr>
                  </w:pPr>
                  <w:r w:rsidRPr="0098635C">
                    <w:rPr>
                      <w:color w:val="000000"/>
                      <w:sz w:val="20"/>
                      <w:szCs w:val="20"/>
                      <w:lang w:eastAsia="ja-JP"/>
                    </w:rPr>
                    <w:t>Not se</w:t>
                  </w:r>
                  <w:r w:rsidRPr="0098635C">
                    <w:rPr>
                      <w:color w:val="000000"/>
                      <w:sz w:val="20"/>
                      <w:szCs w:val="20"/>
                      <w:lang w:eastAsia="ja-JP"/>
                    </w:rPr>
                    <w:t>n</w:t>
                  </w:r>
                  <w:r w:rsidRPr="0098635C">
                    <w:rPr>
                      <w:color w:val="000000"/>
                      <w:sz w:val="20"/>
                      <w:szCs w:val="20"/>
                      <w:lang w:eastAsia="ja-JP"/>
                    </w:rPr>
                    <w:t>sitizing</w:t>
                  </w:r>
                </w:p>
              </w:tc>
              <w:tc>
                <w:tcPr>
                  <w:tcW w:w="2034" w:type="pct"/>
                </w:tcPr>
                <w:p w14:paraId="13466E1F" w14:textId="77777777" w:rsidR="002C2BB0" w:rsidRPr="0098635C" w:rsidRDefault="002C2BB0" w:rsidP="002C2BB0">
                  <w:pPr>
                    <w:keepNext/>
                    <w:keepLines/>
                    <w:spacing w:after="0"/>
                    <w:ind w:left="39"/>
                    <w:rPr>
                      <w:color w:val="000000"/>
                      <w:sz w:val="20"/>
                      <w:szCs w:val="20"/>
                      <w:lang w:eastAsia="ja-JP"/>
                    </w:rPr>
                  </w:pPr>
                  <w:r w:rsidRPr="0098635C">
                    <w:rPr>
                      <w:color w:val="000000"/>
                      <w:sz w:val="20"/>
                      <w:szCs w:val="20"/>
                      <w:lang w:eastAsia="ja-JP"/>
                    </w:rPr>
                    <w:t>No skin response after challenge.</w:t>
                  </w:r>
                </w:p>
              </w:tc>
            </w:tr>
            <w:tr w:rsidR="002C2BB0" w:rsidRPr="0098635C" w14:paraId="43CC9E2C" w14:textId="77777777" w:rsidTr="002C2BB0">
              <w:tc>
                <w:tcPr>
                  <w:tcW w:w="1017" w:type="pct"/>
                  <w:vAlign w:val="center"/>
                </w:tcPr>
                <w:p w14:paraId="3898085B" w14:textId="77777777" w:rsidR="002C2BB0" w:rsidRPr="0098635C" w:rsidRDefault="002C2BB0" w:rsidP="002C2BB0">
                  <w:pPr>
                    <w:keepNext/>
                    <w:keepLines/>
                    <w:spacing w:after="0"/>
                    <w:ind w:left="77"/>
                    <w:rPr>
                      <w:color w:val="000000"/>
                      <w:sz w:val="20"/>
                      <w:szCs w:val="20"/>
                      <w:lang w:eastAsia="ja-JP"/>
                    </w:rPr>
                  </w:pPr>
                  <w:r w:rsidRPr="0098635C">
                    <w:rPr>
                      <w:color w:val="000000"/>
                      <w:sz w:val="20"/>
                      <w:szCs w:val="20"/>
                      <w:lang w:eastAsia="ja-JP"/>
                    </w:rPr>
                    <w:t>Copper su</w:t>
                  </w:r>
                  <w:r w:rsidRPr="0098635C">
                    <w:rPr>
                      <w:color w:val="000000"/>
                      <w:sz w:val="20"/>
                      <w:szCs w:val="20"/>
                      <w:lang w:eastAsia="ja-JP"/>
                    </w:rPr>
                    <w:t>l</w:t>
                  </w:r>
                  <w:r w:rsidRPr="0098635C">
                    <w:rPr>
                      <w:color w:val="000000"/>
                      <w:sz w:val="20"/>
                      <w:szCs w:val="20"/>
                      <w:lang w:eastAsia="ja-JP"/>
                    </w:rPr>
                    <w:t>phate pe</w:t>
                  </w:r>
                  <w:r w:rsidRPr="0098635C">
                    <w:rPr>
                      <w:color w:val="000000"/>
                      <w:sz w:val="20"/>
                      <w:szCs w:val="20"/>
                      <w:lang w:eastAsia="ja-JP"/>
                    </w:rPr>
                    <w:t>n</w:t>
                  </w:r>
                  <w:r w:rsidRPr="0098635C">
                    <w:rPr>
                      <w:color w:val="000000"/>
                      <w:sz w:val="20"/>
                      <w:szCs w:val="20"/>
                      <w:lang w:eastAsia="ja-JP"/>
                    </w:rPr>
                    <w:t>tahydrate</w:t>
                  </w:r>
                </w:p>
              </w:tc>
              <w:tc>
                <w:tcPr>
                  <w:tcW w:w="1102" w:type="pct"/>
                </w:tcPr>
                <w:p w14:paraId="3B856712" w14:textId="77777777" w:rsidR="002C2BB0" w:rsidRPr="0098635C" w:rsidRDefault="002C2BB0" w:rsidP="002C2BB0">
                  <w:pPr>
                    <w:keepNext/>
                    <w:keepLines/>
                    <w:spacing w:after="0"/>
                    <w:ind w:left="39"/>
                    <w:rPr>
                      <w:color w:val="000000"/>
                      <w:sz w:val="20"/>
                      <w:szCs w:val="20"/>
                      <w:lang w:val="it-IT" w:eastAsia="ja-JP"/>
                    </w:rPr>
                  </w:pPr>
                  <w:r w:rsidRPr="0098635C">
                    <w:rPr>
                      <w:color w:val="000000"/>
                      <w:sz w:val="20"/>
                      <w:szCs w:val="20"/>
                      <w:lang w:val="it-IT" w:eastAsia="ja-JP"/>
                    </w:rPr>
                    <w:t>OECD 406, gu</w:t>
                  </w:r>
                  <w:r w:rsidRPr="0098635C">
                    <w:rPr>
                      <w:color w:val="000000"/>
                      <w:sz w:val="20"/>
                      <w:szCs w:val="20"/>
                      <w:lang w:val="it-IT" w:eastAsia="ja-JP"/>
                    </w:rPr>
                    <w:t>i</w:t>
                  </w:r>
                  <w:r w:rsidRPr="0098635C">
                    <w:rPr>
                      <w:color w:val="000000"/>
                      <w:sz w:val="20"/>
                      <w:szCs w:val="20"/>
                      <w:lang w:val="it-IT" w:eastAsia="ja-JP"/>
                    </w:rPr>
                    <w:t>nea pig</w:t>
                  </w:r>
                </w:p>
              </w:tc>
              <w:tc>
                <w:tcPr>
                  <w:tcW w:w="847" w:type="pct"/>
                </w:tcPr>
                <w:p w14:paraId="07CFF97B" w14:textId="77777777" w:rsidR="002C2BB0" w:rsidRPr="0098635C" w:rsidRDefault="002C2BB0" w:rsidP="002C2BB0">
                  <w:pPr>
                    <w:keepNext/>
                    <w:keepLines/>
                    <w:spacing w:after="0"/>
                    <w:ind w:left="39"/>
                    <w:rPr>
                      <w:color w:val="000000"/>
                      <w:sz w:val="20"/>
                      <w:szCs w:val="20"/>
                      <w:lang w:eastAsia="ja-JP"/>
                    </w:rPr>
                  </w:pPr>
                  <w:r w:rsidRPr="0098635C">
                    <w:rPr>
                      <w:color w:val="000000"/>
                      <w:sz w:val="20"/>
                      <w:szCs w:val="20"/>
                      <w:lang w:eastAsia="ja-JP"/>
                    </w:rPr>
                    <w:t xml:space="preserve">Not </w:t>
                  </w:r>
                </w:p>
                <w:p w14:paraId="50A2924A" w14:textId="77777777" w:rsidR="002C2BB0" w:rsidRPr="0098635C" w:rsidRDefault="002C2BB0" w:rsidP="002C2BB0">
                  <w:pPr>
                    <w:keepNext/>
                    <w:keepLines/>
                    <w:spacing w:after="0"/>
                    <w:ind w:left="39"/>
                    <w:rPr>
                      <w:color w:val="000000"/>
                      <w:sz w:val="20"/>
                      <w:szCs w:val="20"/>
                      <w:lang w:eastAsia="ja-JP"/>
                    </w:rPr>
                  </w:pPr>
                  <w:r w:rsidRPr="0098635C">
                    <w:rPr>
                      <w:color w:val="000000"/>
                      <w:sz w:val="20"/>
                      <w:szCs w:val="20"/>
                      <w:lang w:eastAsia="ja-JP"/>
                    </w:rPr>
                    <w:t>sens</w:t>
                  </w:r>
                  <w:r w:rsidRPr="0098635C">
                    <w:rPr>
                      <w:color w:val="000000"/>
                      <w:sz w:val="20"/>
                      <w:szCs w:val="20"/>
                      <w:lang w:eastAsia="ja-JP"/>
                    </w:rPr>
                    <w:t>i</w:t>
                  </w:r>
                  <w:r w:rsidRPr="0098635C">
                    <w:rPr>
                      <w:color w:val="000000"/>
                      <w:sz w:val="20"/>
                      <w:szCs w:val="20"/>
                      <w:lang w:eastAsia="ja-JP"/>
                    </w:rPr>
                    <w:t>tizing</w:t>
                  </w:r>
                </w:p>
              </w:tc>
              <w:tc>
                <w:tcPr>
                  <w:tcW w:w="2034" w:type="pct"/>
                </w:tcPr>
                <w:p w14:paraId="07D2F9FA" w14:textId="77777777" w:rsidR="002C2BB0" w:rsidRPr="0098635C" w:rsidRDefault="002C2BB0" w:rsidP="002C2BB0">
                  <w:pPr>
                    <w:keepNext/>
                    <w:keepLines/>
                    <w:spacing w:after="0"/>
                    <w:ind w:left="39"/>
                    <w:rPr>
                      <w:color w:val="000000"/>
                      <w:sz w:val="20"/>
                      <w:szCs w:val="20"/>
                      <w:lang w:eastAsia="ja-JP"/>
                    </w:rPr>
                  </w:pPr>
                  <w:r w:rsidRPr="0098635C">
                    <w:rPr>
                      <w:sz w:val="20"/>
                      <w:szCs w:val="20"/>
                    </w:rPr>
                    <w:t>Slight erythema in 1/20 animals at 24h observation only.</w:t>
                  </w:r>
                </w:p>
              </w:tc>
            </w:tr>
            <w:tr w:rsidR="002C2BB0" w:rsidRPr="0098635C" w14:paraId="2BF38CA6" w14:textId="77777777" w:rsidTr="002C2BB0">
              <w:tc>
                <w:tcPr>
                  <w:tcW w:w="1017" w:type="pct"/>
                  <w:vAlign w:val="center"/>
                </w:tcPr>
                <w:p w14:paraId="1BDCDA39" w14:textId="77777777" w:rsidR="002C2BB0" w:rsidRPr="0098635C" w:rsidRDefault="002C2BB0" w:rsidP="002C2BB0">
                  <w:pPr>
                    <w:keepNext/>
                    <w:keepLines/>
                    <w:spacing w:after="0"/>
                    <w:ind w:left="79" w:right="215"/>
                    <w:rPr>
                      <w:color w:val="000000"/>
                      <w:sz w:val="20"/>
                      <w:szCs w:val="20"/>
                      <w:lang w:eastAsia="ja-JP"/>
                    </w:rPr>
                  </w:pPr>
                  <w:r w:rsidRPr="0098635C">
                    <w:rPr>
                      <w:color w:val="000000"/>
                      <w:sz w:val="20"/>
                      <w:szCs w:val="20"/>
                      <w:lang w:eastAsia="ja-JP"/>
                    </w:rPr>
                    <w:t>Coated copper flakes</w:t>
                  </w:r>
                </w:p>
              </w:tc>
              <w:tc>
                <w:tcPr>
                  <w:tcW w:w="1102" w:type="pct"/>
                </w:tcPr>
                <w:p w14:paraId="02AC8731" w14:textId="77777777" w:rsidR="002C2BB0" w:rsidRPr="0098635C" w:rsidRDefault="002C2BB0" w:rsidP="002C2BB0">
                  <w:pPr>
                    <w:keepNext/>
                    <w:keepLines/>
                    <w:spacing w:after="0"/>
                    <w:ind w:left="39"/>
                    <w:rPr>
                      <w:color w:val="000000"/>
                      <w:sz w:val="20"/>
                      <w:szCs w:val="20"/>
                      <w:lang w:eastAsia="ja-JP"/>
                    </w:rPr>
                  </w:pPr>
                  <w:r w:rsidRPr="0098635C">
                    <w:rPr>
                      <w:color w:val="000000"/>
                      <w:sz w:val="20"/>
                      <w:szCs w:val="20"/>
                      <w:lang w:eastAsia="ja-JP"/>
                    </w:rPr>
                    <w:t>OECD 406, guinea pig</w:t>
                  </w:r>
                </w:p>
              </w:tc>
              <w:tc>
                <w:tcPr>
                  <w:tcW w:w="847" w:type="pct"/>
                </w:tcPr>
                <w:p w14:paraId="2FCB050B" w14:textId="77777777" w:rsidR="002C2BB0" w:rsidRPr="0098635C" w:rsidRDefault="002C2BB0" w:rsidP="002C2BB0">
                  <w:pPr>
                    <w:keepNext/>
                    <w:keepLines/>
                    <w:spacing w:after="0"/>
                    <w:ind w:left="39"/>
                    <w:rPr>
                      <w:color w:val="000000"/>
                      <w:sz w:val="20"/>
                      <w:szCs w:val="20"/>
                      <w:lang w:eastAsia="ja-JP"/>
                    </w:rPr>
                  </w:pPr>
                  <w:r w:rsidRPr="0098635C">
                    <w:rPr>
                      <w:color w:val="000000"/>
                      <w:sz w:val="20"/>
                      <w:szCs w:val="20"/>
                      <w:lang w:eastAsia="ja-JP"/>
                    </w:rPr>
                    <w:t xml:space="preserve">Not </w:t>
                  </w:r>
                </w:p>
                <w:p w14:paraId="1A8D5137" w14:textId="77777777" w:rsidR="002C2BB0" w:rsidRPr="0098635C" w:rsidRDefault="002C2BB0" w:rsidP="002C2BB0">
                  <w:pPr>
                    <w:keepNext/>
                    <w:keepLines/>
                    <w:spacing w:after="0"/>
                    <w:ind w:left="39"/>
                    <w:rPr>
                      <w:color w:val="000000"/>
                      <w:sz w:val="20"/>
                      <w:szCs w:val="20"/>
                      <w:lang w:eastAsia="ja-JP"/>
                    </w:rPr>
                  </w:pPr>
                  <w:r w:rsidRPr="0098635C">
                    <w:rPr>
                      <w:color w:val="000000"/>
                      <w:sz w:val="20"/>
                      <w:szCs w:val="20"/>
                      <w:lang w:eastAsia="ja-JP"/>
                    </w:rPr>
                    <w:t>sens</w:t>
                  </w:r>
                  <w:r w:rsidRPr="0098635C">
                    <w:rPr>
                      <w:color w:val="000000"/>
                      <w:sz w:val="20"/>
                      <w:szCs w:val="20"/>
                      <w:lang w:eastAsia="ja-JP"/>
                    </w:rPr>
                    <w:t>i</w:t>
                  </w:r>
                  <w:r w:rsidRPr="0098635C">
                    <w:rPr>
                      <w:color w:val="000000"/>
                      <w:sz w:val="20"/>
                      <w:szCs w:val="20"/>
                      <w:lang w:eastAsia="ja-JP"/>
                    </w:rPr>
                    <w:t>tizing</w:t>
                  </w:r>
                </w:p>
              </w:tc>
              <w:tc>
                <w:tcPr>
                  <w:tcW w:w="2034" w:type="pct"/>
                </w:tcPr>
                <w:p w14:paraId="3A7169C5" w14:textId="77777777" w:rsidR="002C2BB0" w:rsidRPr="0098635C" w:rsidRDefault="002C2BB0" w:rsidP="002C2BB0">
                  <w:pPr>
                    <w:keepNext/>
                    <w:keepLines/>
                    <w:spacing w:after="0"/>
                    <w:ind w:left="39"/>
                    <w:rPr>
                      <w:color w:val="000000"/>
                      <w:sz w:val="20"/>
                      <w:szCs w:val="20"/>
                      <w:lang w:eastAsia="ja-JP"/>
                    </w:rPr>
                  </w:pPr>
                  <w:r w:rsidRPr="0098635C">
                    <w:rPr>
                      <w:color w:val="000000"/>
                      <w:sz w:val="20"/>
                      <w:szCs w:val="20"/>
                      <w:lang w:eastAsia="ja-JP"/>
                    </w:rPr>
                    <w:t>No skin response after challenge.</w:t>
                  </w:r>
                </w:p>
              </w:tc>
            </w:tr>
          </w:tbl>
          <w:p w14:paraId="39678D3A" w14:textId="77777777" w:rsidR="002C2BB0" w:rsidRPr="0098635C" w:rsidRDefault="002C2BB0" w:rsidP="002C2BB0">
            <w:pPr>
              <w:spacing w:after="0"/>
              <w:rPr>
                <w:sz w:val="20"/>
                <w:szCs w:val="20"/>
              </w:rPr>
            </w:pPr>
            <w:r w:rsidRPr="0098635C">
              <w:rPr>
                <w:sz w:val="20"/>
                <w:szCs w:val="20"/>
              </w:rPr>
              <w:t>The available animal data  suggest the chemicals are of low hazard</w:t>
            </w:r>
          </w:p>
          <w:p w14:paraId="54A1CA81" w14:textId="77777777" w:rsidR="002C2BB0" w:rsidRPr="0098635C" w:rsidRDefault="002C2BB0" w:rsidP="002C2BB0">
            <w:pPr>
              <w:spacing w:after="0"/>
              <w:rPr>
                <w:b/>
                <w:i/>
                <w:color w:val="FF0000"/>
                <w:sz w:val="20"/>
                <w:szCs w:val="20"/>
                <w:lang w:eastAsia="ja-JP"/>
              </w:rPr>
            </w:pPr>
            <w:r w:rsidRPr="0098635C">
              <w:rPr>
                <w:b/>
                <w:i/>
                <w:sz w:val="20"/>
                <w:szCs w:val="20"/>
                <w:lang w:eastAsia="ja-JP"/>
              </w:rPr>
              <w:t xml:space="preserve">Repeated dose toxicity </w:t>
            </w:r>
          </w:p>
          <w:p w14:paraId="5DE287EF" w14:textId="77777777" w:rsidR="002C2BB0" w:rsidRPr="0098635C" w:rsidRDefault="002C2BB0" w:rsidP="002C2BB0">
            <w:pPr>
              <w:spacing w:after="0"/>
              <w:rPr>
                <w:sz w:val="20"/>
                <w:szCs w:val="20"/>
                <w:lang w:eastAsia="ja-JP"/>
              </w:rPr>
            </w:pPr>
            <w:r w:rsidRPr="0098635C">
              <w:rPr>
                <w:sz w:val="20"/>
                <w:szCs w:val="20"/>
                <w:lang w:eastAsia="ja-JP"/>
              </w:rPr>
              <w:t>Available key study data for repeated dose:</w:t>
            </w:r>
          </w:p>
          <w:tbl>
            <w:tblPr>
              <w:tblW w:w="8930"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848"/>
              <w:gridCol w:w="2943"/>
              <w:gridCol w:w="2243"/>
              <w:gridCol w:w="1479"/>
            </w:tblGrid>
            <w:tr w:rsidR="002C2BB0" w:rsidRPr="0098635C" w14:paraId="498D97C0" w14:textId="77777777" w:rsidTr="002C2BB0">
              <w:trPr>
                <w:tblHeader/>
              </w:trPr>
              <w:tc>
                <w:tcPr>
                  <w:tcW w:w="793" w:type="pct"/>
                </w:tcPr>
                <w:p w14:paraId="5685CA31" w14:textId="77777777" w:rsidR="002C2BB0" w:rsidRPr="0098635C" w:rsidRDefault="002C2BB0" w:rsidP="002C2BB0">
                  <w:pPr>
                    <w:spacing w:after="0"/>
                    <w:ind w:left="77"/>
                    <w:rPr>
                      <w:b/>
                      <w:sz w:val="20"/>
                      <w:szCs w:val="20"/>
                      <w:lang w:eastAsia="ja-JP"/>
                    </w:rPr>
                  </w:pPr>
                  <w:r w:rsidRPr="0098635C">
                    <w:rPr>
                      <w:b/>
                      <w:sz w:val="20"/>
                      <w:szCs w:val="20"/>
                      <w:lang w:eastAsia="ja-JP"/>
                    </w:rPr>
                    <w:lastRenderedPageBreak/>
                    <w:t>Test su</w:t>
                  </w:r>
                  <w:r w:rsidRPr="0098635C">
                    <w:rPr>
                      <w:b/>
                      <w:sz w:val="20"/>
                      <w:szCs w:val="20"/>
                      <w:lang w:eastAsia="ja-JP"/>
                    </w:rPr>
                    <w:t>b</w:t>
                  </w:r>
                  <w:r w:rsidRPr="0098635C">
                    <w:rPr>
                      <w:b/>
                      <w:sz w:val="20"/>
                      <w:szCs w:val="20"/>
                      <w:lang w:eastAsia="ja-JP"/>
                    </w:rPr>
                    <w:t>stance</w:t>
                  </w:r>
                </w:p>
              </w:tc>
              <w:tc>
                <w:tcPr>
                  <w:tcW w:w="475" w:type="pct"/>
                </w:tcPr>
                <w:p w14:paraId="65AAA8FE" w14:textId="77777777" w:rsidR="002C2BB0" w:rsidRPr="0098635C" w:rsidRDefault="002C2BB0" w:rsidP="002C2BB0">
                  <w:pPr>
                    <w:spacing w:after="0"/>
                    <w:ind w:left="38" w:right="-107" w:firstLine="1"/>
                    <w:rPr>
                      <w:b/>
                      <w:sz w:val="20"/>
                      <w:szCs w:val="20"/>
                      <w:lang w:eastAsia="ja-JP"/>
                    </w:rPr>
                  </w:pPr>
                  <w:r w:rsidRPr="0098635C">
                    <w:rPr>
                      <w:b/>
                      <w:sz w:val="20"/>
                      <w:szCs w:val="20"/>
                      <w:lang w:eastAsia="ja-JP"/>
                    </w:rPr>
                    <w:t>Toxic</w:t>
                  </w:r>
                  <w:r w:rsidRPr="0098635C">
                    <w:rPr>
                      <w:b/>
                      <w:sz w:val="20"/>
                      <w:szCs w:val="20"/>
                      <w:lang w:eastAsia="ja-JP"/>
                    </w:rPr>
                    <w:t>i</w:t>
                  </w:r>
                  <w:r w:rsidRPr="0098635C">
                    <w:rPr>
                      <w:b/>
                      <w:sz w:val="20"/>
                      <w:szCs w:val="20"/>
                      <w:lang w:eastAsia="ja-JP"/>
                    </w:rPr>
                    <w:t>ty</w:t>
                  </w:r>
                </w:p>
              </w:tc>
              <w:tc>
                <w:tcPr>
                  <w:tcW w:w="1648" w:type="pct"/>
                </w:tcPr>
                <w:p w14:paraId="5F220764" w14:textId="77777777" w:rsidR="002C2BB0" w:rsidRPr="0098635C" w:rsidRDefault="002C2BB0" w:rsidP="002C2BB0">
                  <w:pPr>
                    <w:spacing w:after="0"/>
                    <w:ind w:left="39"/>
                    <w:rPr>
                      <w:b/>
                      <w:sz w:val="20"/>
                      <w:szCs w:val="20"/>
                      <w:lang w:eastAsia="ja-JP"/>
                    </w:rPr>
                  </w:pPr>
                  <w:r w:rsidRPr="0098635C">
                    <w:rPr>
                      <w:b/>
                      <w:sz w:val="20"/>
                      <w:szCs w:val="20"/>
                      <w:lang w:eastAsia="ja-JP"/>
                    </w:rPr>
                    <w:t>Method and study type d</w:t>
                  </w:r>
                  <w:r w:rsidRPr="0098635C">
                    <w:rPr>
                      <w:b/>
                      <w:sz w:val="20"/>
                      <w:szCs w:val="20"/>
                      <w:lang w:eastAsia="ja-JP"/>
                    </w:rPr>
                    <w:t>e</w:t>
                  </w:r>
                  <w:r w:rsidRPr="0098635C">
                    <w:rPr>
                      <w:b/>
                      <w:sz w:val="20"/>
                      <w:szCs w:val="20"/>
                      <w:lang w:eastAsia="ja-JP"/>
                    </w:rPr>
                    <w:t>tails</w:t>
                  </w:r>
                </w:p>
              </w:tc>
              <w:tc>
                <w:tcPr>
                  <w:tcW w:w="1256" w:type="pct"/>
                </w:tcPr>
                <w:p w14:paraId="37826F7B" w14:textId="77777777" w:rsidR="002C2BB0" w:rsidRPr="0098635C" w:rsidRDefault="002C2BB0" w:rsidP="002C2BB0">
                  <w:pPr>
                    <w:spacing w:after="0"/>
                    <w:ind w:left="39"/>
                    <w:rPr>
                      <w:b/>
                      <w:sz w:val="20"/>
                      <w:szCs w:val="20"/>
                      <w:lang w:eastAsia="ja-JP"/>
                    </w:rPr>
                  </w:pPr>
                  <w:r w:rsidRPr="0098635C">
                    <w:rPr>
                      <w:b/>
                      <w:sz w:val="20"/>
                      <w:szCs w:val="20"/>
                      <w:lang w:eastAsia="ja-JP"/>
                    </w:rPr>
                    <w:t>Sym</w:t>
                  </w:r>
                  <w:r w:rsidRPr="0098635C">
                    <w:rPr>
                      <w:b/>
                      <w:sz w:val="20"/>
                      <w:szCs w:val="20"/>
                      <w:lang w:eastAsia="ja-JP"/>
                    </w:rPr>
                    <w:t>p</w:t>
                  </w:r>
                  <w:r w:rsidRPr="0098635C">
                    <w:rPr>
                      <w:b/>
                      <w:sz w:val="20"/>
                      <w:szCs w:val="20"/>
                      <w:lang w:eastAsia="ja-JP"/>
                    </w:rPr>
                    <w:t>toms</w:t>
                  </w:r>
                </w:p>
              </w:tc>
              <w:tc>
                <w:tcPr>
                  <w:tcW w:w="828" w:type="pct"/>
                </w:tcPr>
                <w:p w14:paraId="21FB8798" w14:textId="77777777" w:rsidR="002C2BB0" w:rsidRPr="0098635C" w:rsidRDefault="002C2BB0" w:rsidP="002C2BB0">
                  <w:pPr>
                    <w:spacing w:after="0"/>
                    <w:ind w:left="39"/>
                    <w:rPr>
                      <w:b/>
                      <w:sz w:val="20"/>
                      <w:szCs w:val="20"/>
                      <w:lang w:eastAsia="ja-JP"/>
                    </w:rPr>
                  </w:pPr>
                  <w:r w:rsidRPr="0098635C">
                    <w:rPr>
                      <w:b/>
                      <w:sz w:val="20"/>
                      <w:szCs w:val="20"/>
                      <w:lang w:eastAsia="ja-JP"/>
                    </w:rPr>
                    <w:t>NO</w:t>
                  </w:r>
                  <w:r w:rsidRPr="0098635C">
                    <w:rPr>
                      <w:b/>
                      <w:sz w:val="20"/>
                      <w:szCs w:val="20"/>
                      <w:lang w:eastAsia="ja-JP"/>
                    </w:rPr>
                    <w:t>A</w:t>
                  </w:r>
                  <w:r w:rsidRPr="0098635C">
                    <w:rPr>
                      <w:b/>
                      <w:sz w:val="20"/>
                      <w:szCs w:val="20"/>
                      <w:lang w:eastAsia="ja-JP"/>
                    </w:rPr>
                    <w:t>EL / LO</w:t>
                  </w:r>
                  <w:r w:rsidRPr="0098635C">
                    <w:rPr>
                      <w:b/>
                      <w:sz w:val="20"/>
                      <w:szCs w:val="20"/>
                      <w:lang w:eastAsia="ja-JP"/>
                    </w:rPr>
                    <w:t>A</w:t>
                  </w:r>
                  <w:r w:rsidRPr="0098635C">
                    <w:rPr>
                      <w:b/>
                      <w:sz w:val="20"/>
                      <w:szCs w:val="20"/>
                      <w:lang w:eastAsia="ja-JP"/>
                    </w:rPr>
                    <w:t>EL</w:t>
                  </w:r>
                </w:p>
              </w:tc>
            </w:tr>
            <w:tr w:rsidR="002C2BB0" w:rsidRPr="0098635C" w14:paraId="11305EA7" w14:textId="77777777" w:rsidTr="002C2BB0">
              <w:tc>
                <w:tcPr>
                  <w:tcW w:w="793" w:type="pct"/>
                </w:tcPr>
                <w:p w14:paraId="5803902B" w14:textId="77777777" w:rsidR="002C2BB0" w:rsidRPr="0098635C" w:rsidRDefault="002C2BB0" w:rsidP="002C2BB0">
                  <w:pPr>
                    <w:spacing w:after="0"/>
                    <w:ind w:left="34" w:right="31"/>
                    <w:rPr>
                      <w:color w:val="000000"/>
                      <w:sz w:val="20"/>
                      <w:szCs w:val="20"/>
                      <w:lang w:eastAsia="ja-JP"/>
                    </w:rPr>
                  </w:pPr>
                  <w:r w:rsidRPr="0098635C">
                    <w:rPr>
                      <w:color w:val="000000"/>
                      <w:sz w:val="20"/>
                      <w:szCs w:val="20"/>
                      <w:lang w:eastAsia="ja-JP"/>
                    </w:rPr>
                    <w:t>Copper su</w:t>
                  </w:r>
                  <w:r w:rsidRPr="0098635C">
                    <w:rPr>
                      <w:color w:val="000000"/>
                      <w:sz w:val="20"/>
                      <w:szCs w:val="20"/>
                      <w:lang w:eastAsia="ja-JP"/>
                    </w:rPr>
                    <w:t>l</w:t>
                  </w:r>
                  <w:r w:rsidRPr="0098635C">
                    <w:rPr>
                      <w:color w:val="000000"/>
                      <w:sz w:val="20"/>
                      <w:szCs w:val="20"/>
                      <w:lang w:eastAsia="ja-JP"/>
                    </w:rPr>
                    <w:t>phate pe</w:t>
                  </w:r>
                  <w:r w:rsidRPr="0098635C">
                    <w:rPr>
                      <w:color w:val="000000"/>
                      <w:sz w:val="20"/>
                      <w:szCs w:val="20"/>
                      <w:lang w:eastAsia="ja-JP"/>
                    </w:rPr>
                    <w:t>n</w:t>
                  </w:r>
                  <w:r w:rsidRPr="0098635C">
                    <w:rPr>
                      <w:color w:val="000000"/>
                      <w:sz w:val="20"/>
                      <w:szCs w:val="20"/>
                      <w:lang w:eastAsia="ja-JP"/>
                    </w:rPr>
                    <w:t>tahydr</w:t>
                  </w:r>
                  <w:r w:rsidRPr="0098635C">
                    <w:rPr>
                      <w:color w:val="000000"/>
                      <w:sz w:val="20"/>
                      <w:szCs w:val="20"/>
                      <w:lang w:eastAsia="ja-JP"/>
                    </w:rPr>
                    <w:t>a</w:t>
                  </w:r>
                  <w:r w:rsidRPr="0098635C">
                    <w:rPr>
                      <w:color w:val="000000"/>
                      <w:sz w:val="20"/>
                      <w:szCs w:val="20"/>
                      <w:lang w:eastAsia="ja-JP"/>
                    </w:rPr>
                    <w:t>te</w:t>
                  </w:r>
                </w:p>
                <w:p w14:paraId="1BBE9F49" w14:textId="77777777" w:rsidR="002C2BB0" w:rsidRPr="0098635C" w:rsidRDefault="002C2BB0" w:rsidP="002C2BB0">
                  <w:pPr>
                    <w:spacing w:after="0"/>
                    <w:ind w:left="77"/>
                    <w:rPr>
                      <w:color w:val="000000"/>
                      <w:sz w:val="20"/>
                      <w:szCs w:val="20"/>
                      <w:lang w:eastAsia="ja-JP"/>
                    </w:rPr>
                  </w:pPr>
                </w:p>
              </w:tc>
              <w:tc>
                <w:tcPr>
                  <w:tcW w:w="475" w:type="pct"/>
                </w:tcPr>
                <w:p w14:paraId="7AF168F1"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Oral</w:t>
                  </w:r>
                </w:p>
              </w:tc>
              <w:tc>
                <w:tcPr>
                  <w:tcW w:w="1648" w:type="pct"/>
                </w:tcPr>
                <w:p w14:paraId="1A53D2F3"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B.26</w:t>
                  </w:r>
                </w:p>
                <w:p w14:paraId="1CD06F40" w14:textId="77777777" w:rsidR="002C2BB0" w:rsidRPr="0098635C" w:rsidRDefault="002C2BB0" w:rsidP="002C2BB0">
                  <w:pPr>
                    <w:spacing w:after="0"/>
                    <w:ind w:left="39" w:right="41"/>
                    <w:rPr>
                      <w:color w:val="000000"/>
                      <w:sz w:val="20"/>
                      <w:szCs w:val="20"/>
                      <w:lang w:eastAsia="ja-JP"/>
                    </w:rPr>
                  </w:pPr>
                  <w:r w:rsidRPr="0098635C">
                    <w:rPr>
                      <w:color w:val="000000"/>
                      <w:sz w:val="20"/>
                      <w:szCs w:val="20"/>
                      <w:lang w:eastAsia="ja-JP"/>
                    </w:rPr>
                    <w:t>Rat m/f subchro</w:t>
                  </w:r>
                  <w:r w:rsidRPr="0098635C">
                    <w:rPr>
                      <w:color w:val="000000"/>
                      <w:sz w:val="20"/>
                      <w:szCs w:val="20"/>
                      <w:lang w:eastAsia="ja-JP"/>
                    </w:rPr>
                    <w:t>n</w:t>
                  </w:r>
                  <w:r w:rsidRPr="0098635C">
                    <w:rPr>
                      <w:color w:val="000000"/>
                      <w:sz w:val="20"/>
                      <w:szCs w:val="20"/>
                      <w:lang w:eastAsia="ja-JP"/>
                    </w:rPr>
                    <w:t>ic</w:t>
                  </w:r>
                  <w:r w:rsidRPr="0098635C">
                    <w:rPr>
                      <w:color w:val="000000"/>
                      <w:sz w:val="20"/>
                      <w:szCs w:val="20"/>
                      <w:lang w:eastAsia="ja-JP"/>
                    </w:rPr>
                    <w:br/>
                    <w:t xml:space="preserve">Dose: </w:t>
                  </w:r>
                  <w:r w:rsidRPr="0098635C">
                    <w:rPr>
                      <w:sz w:val="20"/>
                      <w:szCs w:val="20"/>
                    </w:rPr>
                    <w:t>0, 8, 17, 34, 67 or 138 mg Cu/kg bw/day, for 92 days for 7d/week, administra</w:t>
                  </w:r>
                  <w:r w:rsidRPr="0098635C">
                    <w:rPr>
                      <w:sz w:val="20"/>
                      <w:szCs w:val="20"/>
                    </w:rPr>
                    <w:t>t</w:t>
                  </w:r>
                  <w:r w:rsidRPr="0098635C">
                    <w:rPr>
                      <w:sz w:val="20"/>
                      <w:szCs w:val="20"/>
                    </w:rPr>
                    <w:t>ed in the feed</w:t>
                  </w:r>
                </w:p>
              </w:tc>
              <w:tc>
                <w:tcPr>
                  <w:tcW w:w="1256" w:type="pct"/>
                </w:tcPr>
                <w:p w14:paraId="03489BDB" w14:textId="77777777" w:rsidR="002C2BB0" w:rsidRPr="0098635C" w:rsidRDefault="002C2BB0" w:rsidP="002C2BB0">
                  <w:pPr>
                    <w:spacing w:after="0"/>
                    <w:ind w:left="39"/>
                    <w:rPr>
                      <w:color w:val="000000"/>
                      <w:sz w:val="20"/>
                      <w:szCs w:val="20"/>
                      <w:lang w:eastAsia="ja-JP"/>
                    </w:rPr>
                  </w:pPr>
                  <w:r w:rsidRPr="0098635C">
                    <w:rPr>
                      <w:sz w:val="20"/>
                      <w:szCs w:val="20"/>
                    </w:rPr>
                    <w:t>hyperplasia of the squamous, liver i</w:t>
                  </w:r>
                  <w:r w:rsidRPr="0098635C">
                    <w:rPr>
                      <w:sz w:val="20"/>
                      <w:szCs w:val="20"/>
                    </w:rPr>
                    <w:t>n</w:t>
                  </w:r>
                  <w:r w:rsidRPr="0098635C">
                    <w:rPr>
                      <w:sz w:val="20"/>
                      <w:szCs w:val="20"/>
                    </w:rPr>
                    <w:t>flammation, altered cli</w:t>
                  </w:r>
                  <w:r w:rsidRPr="0098635C">
                    <w:rPr>
                      <w:sz w:val="20"/>
                      <w:szCs w:val="20"/>
                    </w:rPr>
                    <w:t>n</w:t>
                  </w:r>
                  <w:r w:rsidRPr="0098635C">
                    <w:rPr>
                      <w:sz w:val="20"/>
                      <w:szCs w:val="20"/>
                    </w:rPr>
                    <w:t>ical chemistry and ur</w:t>
                  </w:r>
                  <w:r w:rsidRPr="0098635C">
                    <w:rPr>
                      <w:sz w:val="20"/>
                      <w:szCs w:val="20"/>
                    </w:rPr>
                    <w:t>i</w:t>
                  </w:r>
                  <w:r w:rsidRPr="0098635C">
                    <w:rPr>
                      <w:sz w:val="20"/>
                      <w:szCs w:val="20"/>
                    </w:rPr>
                    <w:t>nary parameters, i</w:t>
                  </w:r>
                  <w:r w:rsidRPr="0098635C">
                    <w:rPr>
                      <w:sz w:val="20"/>
                      <w:szCs w:val="20"/>
                    </w:rPr>
                    <w:t>n</w:t>
                  </w:r>
                  <w:r w:rsidRPr="0098635C">
                    <w:rPr>
                      <w:sz w:val="20"/>
                      <w:szCs w:val="20"/>
                    </w:rPr>
                    <w:t>creased cytoplasmic droplets</w:t>
                  </w:r>
                </w:p>
              </w:tc>
              <w:tc>
                <w:tcPr>
                  <w:tcW w:w="828" w:type="pct"/>
                </w:tcPr>
                <w:p w14:paraId="138FDD7A"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N</w:t>
                  </w:r>
                  <w:r w:rsidRPr="0098635C">
                    <w:rPr>
                      <w:color w:val="000000"/>
                      <w:sz w:val="20"/>
                      <w:szCs w:val="20"/>
                      <w:lang w:eastAsia="ja-JP"/>
                    </w:rPr>
                    <w:t>O</w:t>
                  </w:r>
                  <w:r w:rsidRPr="0098635C">
                    <w:rPr>
                      <w:color w:val="000000"/>
                      <w:sz w:val="20"/>
                      <w:szCs w:val="20"/>
                      <w:lang w:eastAsia="ja-JP"/>
                    </w:rPr>
                    <w:t>AEL: 16.7 mgCu/kg bw/day</w:t>
                  </w:r>
                </w:p>
              </w:tc>
            </w:tr>
            <w:tr w:rsidR="002C2BB0" w:rsidRPr="0098635C" w14:paraId="419105F1" w14:textId="77777777" w:rsidTr="002C2BB0">
              <w:tc>
                <w:tcPr>
                  <w:tcW w:w="793" w:type="pct"/>
                </w:tcPr>
                <w:p w14:paraId="07ABE22C" w14:textId="77777777" w:rsidR="002C2BB0" w:rsidRPr="0098635C" w:rsidRDefault="002C2BB0" w:rsidP="002C2BB0">
                  <w:pPr>
                    <w:spacing w:after="0"/>
                    <w:ind w:left="77"/>
                    <w:rPr>
                      <w:color w:val="000000"/>
                      <w:sz w:val="20"/>
                      <w:szCs w:val="20"/>
                      <w:lang w:eastAsia="ja-JP"/>
                    </w:rPr>
                  </w:pPr>
                  <w:r w:rsidRPr="0098635C">
                    <w:rPr>
                      <w:color w:val="000000"/>
                      <w:sz w:val="20"/>
                      <w:szCs w:val="20"/>
                      <w:lang w:eastAsia="ja-JP"/>
                    </w:rPr>
                    <w:t>Copper sulphate pentahy</w:t>
                  </w:r>
                  <w:r w:rsidRPr="0098635C">
                    <w:rPr>
                      <w:color w:val="000000"/>
                      <w:sz w:val="20"/>
                      <w:szCs w:val="20"/>
                      <w:lang w:eastAsia="ja-JP"/>
                    </w:rPr>
                    <w:t>d</w:t>
                  </w:r>
                  <w:r w:rsidRPr="0098635C">
                    <w:rPr>
                      <w:color w:val="000000"/>
                      <w:sz w:val="20"/>
                      <w:szCs w:val="20"/>
                      <w:lang w:eastAsia="ja-JP"/>
                    </w:rPr>
                    <w:t>rate</w:t>
                  </w:r>
                </w:p>
                <w:p w14:paraId="6810599F" w14:textId="77777777" w:rsidR="002C2BB0" w:rsidRPr="0098635C" w:rsidRDefault="002C2BB0" w:rsidP="002C2BB0">
                  <w:pPr>
                    <w:spacing w:after="0"/>
                    <w:ind w:left="77"/>
                    <w:rPr>
                      <w:color w:val="000000"/>
                      <w:sz w:val="20"/>
                      <w:szCs w:val="20"/>
                      <w:lang w:eastAsia="ja-JP"/>
                    </w:rPr>
                  </w:pPr>
                </w:p>
              </w:tc>
              <w:tc>
                <w:tcPr>
                  <w:tcW w:w="475" w:type="pct"/>
                </w:tcPr>
                <w:p w14:paraId="564B05F9"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Oral</w:t>
                  </w:r>
                </w:p>
                <w:p w14:paraId="1730F9CD" w14:textId="77777777" w:rsidR="002C2BB0" w:rsidRPr="0098635C" w:rsidRDefault="002C2BB0" w:rsidP="002C2BB0">
                  <w:pPr>
                    <w:spacing w:after="0"/>
                    <w:ind w:left="39"/>
                    <w:rPr>
                      <w:color w:val="000000"/>
                      <w:sz w:val="20"/>
                      <w:szCs w:val="20"/>
                      <w:lang w:eastAsia="ja-JP"/>
                    </w:rPr>
                  </w:pPr>
                </w:p>
              </w:tc>
              <w:tc>
                <w:tcPr>
                  <w:tcW w:w="1648" w:type="pct"/>
                </w:tcPr>
                <w:p w14:paraId="4CEBE6DE"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B.26</w:t>
                  </w:r>
                </w:p>
                <w:p w14:paraId="1104B1BC"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Mice m/f su</w:t>
                  </w:r>
                  <w:r w:rsidRPr="0098635C">
                    <w:rPr>
                      <w:color w:val="000000"/>
                      <w:sz w:val="20"/>
                      <w:szCs w:val="20"/>
                      <w:lang w:eastAsia="ja-JP"/>
                    </w:rPr>
                    <w:t>b</w:t>
                  </w:r>
                  <w:r w:rsidRPr="0098635C">
                    <w:rPr>
                      <w:color w:val="000000"/>
                      <w:sz w:val="20"/>
                      <w:szCs w:val="20"/>
                      <w:lang w:eastAsia="ja-JP"/>
                    </w:rPr>
                    <w:t>chronic</w:t>
                  </w:r>
                  <w:r w:rsidRPr="0098635C">
                    <w:rPr>
                      <w:color w:val="000000"/>
                      <w:sz w:val="20"/>
                      <w:szCs w:val="20"/>
                      <w:lang w:eastAsia="ja-JP"/>
                    </w:rPr>
                    <w:br/>
                    <w:t xml:space="preserve">Dose: </w:t>
                  </w:r>
                  <w:r w:rsidRPr="0098635C">
                    <w:rPr>
                      <w:sz w:val="20"/>
                      <w:szCs w:val="20"/>
                    </w:rPr>
                    <w:t>0, 44, 97, 187, 398 and 815 mg Cu/kg bw/day in males, and 0, 52, 126, 267, 536 and 1058 mg Cu/kg bw/day in females for 92 days for 7d/week, administrated in the feed</w:t>
                  </w:r>
                </w:p>
              </w:tc>
              <w:tc>
                <w:tcPr>
                  <w:tcW w:w="1256" w:type="pct"/>
                </w:tcPr>
                <w:p w14:paraId="7C234007" w14:textId="77777777" w:rsidR="002C2BB0" w:rsidRPr="0098635C" w:rsidRDefault="002C2BB0" w:rsidP="002C2BB0">
                  <w:pPr>
                    <w:tabs>
                      <w:tab w:val="left" w:pos="1063"/>
                    </w:tabs>
                    <w:spacing w:after="0"/>
                    <w:ind w:left="25" w:right="46"/>
                    <w:rPr>
                      <w:sz w:val="20"/>
                      <w:szCs w:val="20"/>
                    </w:rPr>
                  </w:pPr>
                  <w:r w:rsidRPr="0098635C">
                    <w:rPr>
                      <w:sz w:val="20"/>
                      <w:szCs w:val="20"/>
                    </w:rPr>
                    <w:t>hyperplasia of the squamous, liver i</w:t>
                  </w:r>
                  <w:r w:rsidRPr="0098635C">
                    <w:rPr>
                      <w:sz w:val="20"/>
                      <w:szCs w:val="20"/>
                    </w:rPr>
                    <w:t>n</w:t>
                  </w:r>
                  <w:r w:rsidRPr="0098635C">
                    <w:rPr>
                      <w:sz w:val="20"/>
                      <w:szCs w:val="20"/>
                    </w:rPr>
                    <w:t>flammation, altered clinical che</w:t>
                  </w:r>
                  <w:r w:rsidRPr="0098635C">
                    <w:rPr>
                      <w:sz w:val="20"/>
                      <w:szCs w:val="20"/>
                    </w:rPr>
                    <w:t>m</w:t>
                  </w:r>
                  <w:r w:rsidRPr="0098635C">
                    <w:rPr>
                      <w:sz w:val="20"/>
                      <w:szCs w:val="20"/>
                    </w:rPr>
                    <w:t>istry and urinary parameters, i</w:t>
                  </w:r>
                  <w:r w:rsidRPr="0098635C">
                    <w:rPr>
                      <w:sz w:val="20"/>
                      <w:szCs w:val="20"/>
                    </w:rPr>
                    <w:t>n</w:t>
                  </w:r>
                  <w:r w:rsidRPr="0098635C">
                    <w:rPr>
                      <w:sz w:val="20"/>
                      <w:szCs w:val="20"/>
                    </w:rPr>
                    <w:t>creased cytoplasmic dro</w:t>
                  </w:r>
                  <w:r w:rsidRPr="0098635C">
                    <w:rPr>
                      <w:sz w:val="20"/>
                      <w:szCs w:val="20"/>
                    </w:rPr>
                    <w:t>p</w:t>
                  </w:r>
                  <w:r w:rsidRPr="0098635C">
                    <w:rPr>
                      <w:sz w:val="20"/>
                      <w:szCs w:val="20"/>
                    </w:rPr>
                    <w:t>lets</w:t>
                  </w:r>
                </w:p>
              </w:tc>
              <w:tc>
                <w:tcPr>
                  <w:tcW w:w="828" w:type="pct"/>
                </w:tcPr>
                <w:p w14:paraId="6F5C385D"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N</w:t>
                  </w:r>
                  <w:r w:rsidRPr="0098635C">
                    <w:rPr>
                      <w:color w:val="000000"/>
                      <w:sz w:val="20"/>
                      <w:szCs w:val="20"/>
                      <w:lang w:eastAsia="ja-JP"/>
                    </w:rPr>
                    <w:t>O</w:t>
                  </w:r>
                  <w:r w:rsidRPr="0098635C">
                    <w:rPr>
                      <w:color w:val="000000"/>
                      <w:sz w:val="20"/>
                      <w:szCs w:val="20"/>
                      <w:lang w:eastAsia="ja-JP"/>
                    </w:rPr>
                    <w:t xml:space="preserve">AEL: </w:t>
                  </w:r>
                </w:p>
                <w:p w14:paraId="3FEB304F" w14:textId="77777777" w:rsidR="002C2BB0" w:rsidRPr="0098635C" w:rsidRDefault="002C2BB0" w:rsidP="002C2BB0">
                  <w:pPr>
                    <w:spacing w:after="0"/>
                    <w:ind w:left="39" w:right="317"/>
                    <w:rPr>
                      <w:color w:val="000000"/>
                      <w:sz w:val="20"/>
                      <w:szCs w:val="20"/>
                      <w:lang w:eastAsia="ja-JP"/>
                    </w:rPr>
                  </w:pPr>
                  <w:r w:rsidRPr="0098635C">
                    <w:rPr>
                      <w:color w:val="000000"/>
                      <w:sz w:val="20"/>
                      <w:szCs w:val="20"/>
                      <w:lang w:eastAsia="ja-JP"/>
                    </w:rPr>
                    <w:t>97.2 mgCu/kg bw/day (m)</w:t>
                  </w:r>
                </w:p>
                <w:p w14:paraId="3CA92F86"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125.7 mgCu/kg bw/day (f)</w:t>
                  </w:r>
                </w:p>
              </w:tc>
            </w:tr>
            <w:tr w:rsidR="002C2BB0" w:rsidRPr="0098635C" w14:paraId="1C6ADA6E" w14:textId="77777777" w:rsidTr="002C2BB0">
              <w:tc>
                <w:tcPr>
                  <w:tcW w:w="793" w:type="pct"/>
                </w:tcPr>
                <w:p w14:paraId="739DB55B" w14:textId="77777777" w:rsidR="002C2BB0" w:rsidRPr="0098635C" w:rsidRDefault="002C2BB0" w:rsidP="002C2BB0">
                  <w:pPr>
                    <w:spacing w:after="0"/>
                    <w:ind w:left="34"/>
                    <w:rPr>
                      <w:sz w:val="20"/>
                      <w:szCs w:val="20"/>
                      <w:lang w:eastAsia="ja-JP"/>
                    </w:rPr>
                  </w:pPr>
                  <w:r w:rsidRPr="0098635C">
                    <w:rPr>
                      <w:sz w:val="20"/>
                      <w:szCs w:val="20"/>
                      <w:lang w:eastAsia="ja-JP"/>
                    </w:rPr>
                    <w:t>Dico</w:t>
                  </w:r>
                  <w:r w:rsidRPr="0098635C">
                    <w:rPr>
                      <w:sz w:val="20"/>
                      <w:szCs w:val="20"/>
                      <w:lang w:eastAsia="ja-JP"/>
                    </w:rPr>
                    <w:t>p</w:t>
                  </w:r>
                  <w:r w:rsidRPr="0098635C">
                    <w:rPr>
                      <w:sz w:val="20"/>
                      <w:szCs w:val="20"/>
                      <w:lang w:eastAsia="ja-JP"/>
                    </w:rPr>
                    <w:t>per oxide (Cu</w:t>
                  </w:r>
                  <w:r w:rsidRPr="0098635C">
                    <w:rPr>
                      <w:sz w:val="20"/>
                      <w:szCs w:val="20"/>
                      <w:vertAlign w:val="superscript"/>
                      <w:lang w:eastAsia="ja-JP"/>
                    </w:rPr>
                    <w:t>2+</w:t>
                  </w:r>
                  <w:r w:rsidRPr="0098635C">
                    <w:rPr>
                      <w:sz w:val="20"/>
                      <w:szCs w:val="20"/>
                      <w:lang w:eastAsia="ja-JP"/>
                    </w:rPr>
                    <w:t>)</w:t>
                  </w:r>
                </w:p>
              </w:tc>
              <w:tc>
                <w:tcPr>
                  <w:tcW w:w="475" w:type="pct"/>
                </w:tcPr>
                <w:p w14:paraId="044356DA" w14:textId="77777777" w:rsidR="002C2BB0" w:rsidRPr="0098635C" w:rsidRDefault="002C2BB0" w:rsidP="002C2BB0">
                  <w:pPr>
                    <w:tabs>
                      <w:tab w:val="left" w:pos="779"/>
                    </w:tabs>
                    <w:spacing w:after="0"/>
                    <w:ind w:left="61" w:right="179"/>
                    <w:rPr>
                      <w:sz w:val="20"/>
                      <w:szCs w:val="20"/>
                      <w:lang w:eastAsia="ja-JP"/>
                    </w:rPr>
                  </w:pPr>
                  <w:r w:rsidRPr="0098635C">
                    <w:rPr>
                      <w:sz w:val="20"/>
                      <w:szCs w:val="20"/>
                      <w:lang w:eastAsia="ja-JP"/>
                    </w:rPr>
                    <w:t>I</w:t>
                  </w:r>
                  <w:r w:rsidRPr="0098635C">
                    <w:rPr>
                      <w:sz w:val="20"/>
                      <w:szCs w:val="20"/>
                      <w:lang w:eastAsia="ja-JP"/>
                    </w:rPr>
                    <w:t>n</w:t>
                  </w:r>
                  <w:r w:rsidRPr="0098635C">
                    <w:rPr>
                      <w:sz w:val="20"/>
                      <w:szCs w:val="20"/>
                      <w:lang w:eastAsia="ja-JP"/>
                    </w:rPr>
                    <w:t>h</w:t>
                  </w:r>
                  <w:r w:rsidRPr="0098635C">
                    <w:rPr>
                      <w:sz w:val="20"/>
                      <w:szCs w:val="20"/>
                      <w:lang w:eastAsia="ja-JP"/>
                    </w:rPr>
                    <w:t>a</w:t>
                  </w:r>
                  <w:r w:rsidRPr="0098635C">
                    <w:rPr>
                      <w:sz w:val="20"/>
                      <w:szCs w:val="20"/>
                      <w:lang w:eastAsia="ja-JP"/>
                    </w:rPr>
                    <w:t>lat</w:t>
                  </w:r>
                  <w:r w:rsidRPr="0098635C">
                    <w:rPr>
                      <w:sz w:val="20"/>
                      <w:szCs w:val="20"/>
                      <w:lang w:eastAsia="ja-JP"/>
                    </w:rPr>
                    <w:t>i</w:t>
                  </w:r>
                  <w:r w:rsidRPr="0098635C">
                    <w:rPr>
                      <w:sz w:val="20"/>
                      <w:szCs w:val="20"/>
                      <w:lang w:eastAsia="ja-JP"/>
                    </w:rPr>
                    <w:t>on</w:t>
                  </w:r>
                </w:p>
              </w:tc>
              <w:tc>
                <w:tcPr>
                  <w:tcW w:w="1648" w:type="pct"/>
                </w:tcPr>
                <w:p w14:paraId="2667A72A" w14:textId="77777777" w:rsidR="002C2BB0" w:rsidRPr="0098635C" w:rsidRDefault="002C2BB0" w:rsidP="002C2BB0">
                  <w:pPr>
                    <w:tabs>
                      <w:tab w:val="left" w:pos="2920"/>
                    </w:tabs>
                    <w:spacing w:after="0"/>
                    <w:ind w:left="28" w:right="215"/>
                    <w:rPr>
                      <w:sz w:val="20"/>
                      <w:szCs w:val="20"/>
                      <w:lang w:eastAsia="ja-JP"/>
                    </w:rPr>
                  </w:pPr>
                  <w:r w:rsidRPr="0098635C">
                    <w:rPr>
                      <w:sz w:val="20"/>
                      <w:szCs w:val="20"/>
                      <w:lang w:eastAsia="ja-JP"/>
                    </w:rPr>
                    <w:t>OECD 412</w:t>
                  </w:r>
                </w:p>
                <w:p w14:paraId="7184B20C" w14:textId="77777777" w:rsidR="002C2BB0" w:rsidRPr="0098635C" w:rsidRDefault="002C2BB0" w:rsidP="002C2BB0">
                  <w:pPr>
                    <w:tabs>
                      <w:tab w:val="left" w:pos="2920"/>
                    </w:tabs>
                    <w:spacing w:after="0"/>
                    <w:ind w:left="28" w:right="215"/>
                    <w:rPr>
                      <w:sz w:val="20"/>
                      <w:szCs w:val="20"/>
                      <w:lang w:eastAsia="ja-JP"/>
                    </w:rPr>
                  </w:pPr>
                  <w:r w:rsidRPr="0098635C">
                    <w:rPr>
                      <w:sz w:val="20"/>
                      <w:szCs w:val="20"/>
                      <w:lang w:eastAsia="ja-JP"/>
                    </w:rPr>
                    <w:t>Rat m/f</w:t>
                  </w:r>
                </w:p>
                <w:p w14:paraId="0AAF749E" w14:textId="77777777" w:rsidR="002C2BB0" w:rsidRPr="0098635C" w:rsidRDefault="002C2BB0" w:rsidP="002C2BB0">
                  <w:pPr>
                    <w:tabs>
                      <w:tab w:val="left" w:pos="2920"/>
                    </w:tabs>
                    <w:spacing w:after="0"/>
                    <w:ind w:left="28" w:right="215"/>
                    <w:rPr>
                      <w:sz w:val="20"/>
                      <w:szCs w:val="20"/>
                    </w:rPr>
                  </w:pPr>
                  <w:r w:rsidRPr="0098635C">
                    <w:rPr>
                      <w:sz w:val="20"/>
                      <w:szCs w:val="20"/>
                    </w:rPr>
                    <w:t>0.21, 0.41, 0.8, 2.0 mg/m</w:t>
                  </w:r>
                  <w:r w:rsidRPr="0098635C">
                    <w:rPr>
                      <w:sz w:val="20"/>
                      <w:szCs w:val="20"/>
                      <w:vertAlign w:val="superscript"/>
                    </w:rPr>
                    <w:t>3</w:t>
                  </w:r>
                  <w:r w:rsidRPr="0098635C">
                    <w:rPr>
                      <w:sz w:val="20"/>
                      <w:szCs w:val="20"/>
                    </w:rPr>
                    <w:t xml:space="preserve"> (a</w:t>
                  </w:r>
                  <w:r w:rsidRPr="0098635C">
                    <w:rPr>
                      <w:sz w:val="20"/>
                      <w:szCs w:val="20"/>
                    </w:rPr>
                    <w:t>n</w:t>
                  </w:r>
                  <w:r w:rsidRPr="0098635C">
                    <w:rPr>
                      <w:sz w:val="20"/>
                      <w:szCs w:val="20"/>
                    </w:rPr>
                    <w:t>alytical conc.)</w:t>
                  </w:r>
                </w:p>
                <w:p w14:paraId="0819876D" w14:textId="77777777" w:rsidR="002C2BB0" w:rsidRPr="0098635C" w:rsidRDefault="002C2BB0" w:rsidP="002C2BB0">
                  <w:pPr>
                    <w:tabs>
                      <w:tab w:val="left" w:pos="2920"/>
                    </w:tabs>
                    <w:spacing w:after="0"/>
                    <w:ind w:left="28" w:right="215"/>
                    <w:rPr>
                      <w:sz w:val="20"/>
                      <w:szCs w:val="20"/>
                    </w:rPr>
                  </w:pPr>
                  <w:r w:rsidRPr="0098635C">
                    <w:rPr>
                      <w:sz w:val="20"/>
                      <w:szCs w:val="20"/>
                    </w:rPr>
                    <w:t>Vehicle: air</w:t>
                  </w:r>
                </w:p>
                <w:p w14:paraId="566D12A6" w14:textId="77777777" w:rsidR="002C2BB0" w:rsidRPr="0098635C" w:rsidRDefault="002C2BB0" w:rsidP="002C2BB0">
                  <w:pPr>
                    <w:tabs>
                      <w:tab w:val="left" w:pos="2920"/>
                    </w:tabs>
                    <w:spacing w:after="0"/>
                    <w:ind w:left="28" w:right="215"/>
                    <w:rPr>
                      <w:sz w:val="20"/>
                      <w:szCs w:val="20"/>
                    </w:rPr>
                  </w:pPr>
                  <w:r w:rsidRPr="0098635C">
                    <w:rPr>
                      <w:sz w:val="20"/>
                      <w:szCs w:val="20"/>
                    </w:rPr>
                    <w:t>Exposure: 28 days, 6 hours per day (5 days per week.)</w:t>
                  </w:r>
                </w:p>
                <w:p w14:paraId="31715108" w14:textId="77777777" w:rsidR="002C2BB0" w:rsidRPr="0098635C" w:rsidRDefault="002C2BB0" w:rsidP="002C2BB0">
                  <w:pPr>
                    <w:spacing w:after="0"/>
                    <w:rPr>
                      <w:sz w:val="20"/>
                      <w:szCs w:val="20"/>
                    </w:rPr>
                  </w:pPr>
                </w:p>
                <w:p w14:paraId="633E7ADE" w14:textId="77777777" w:rsidR="002C2BB0" w:rsidRPr="0098635C" w:rsidRDefault="002C2BB0" w:rsidP="002C2BB0">
                  <w:pPr>
                    <w:spacing w:after="0"/>
                    <w:rPr>
                      <w:sz w:val="20"/>
                      <w:szCs w:val="20"/>
                      <w:lang w:eastAsia="ja-JP"/>
                    </w:rPr>
                  </w:pPr>
                </w:p>
              </w:tc>
              <w:tc>
                <w:tcPr>
                  <w:tcW w:w="1256" w:type="pct"/>
                </w:tcPr>
                <w:p w14:paraId="6EFC841E" w14:textId="77777777" w:rsidR="002C2BB0" w:rsidRPr="0098635C" w:rsidRDefault="002C2BB0" w:rsidP="002C2BB0">
                  <w:pPr>
                    <w:spacing w:after="0"/>
                    <w:ind w:left="13" w:right="35"/>
                    <w:rPr>
                      <w:sz w:val="20"/>
                      <w:szCs w:val="20"/>
                      <w:lang w:eastAsia="ja-JP"/>
                    </w:rPr>
                  </w:pPr>
                  <w:r w:rsidRPr="0098635C">
                    <w:rPr>
                      <w:sz w:val="20"/>
                      <w:szCs w:val="20"/>
                    </w:rPr>
                    <w:t>macrophages in the lung, increase in neutr</w:t>
                  </w:r>
                  <w:r w:rsidRPr="0098635C">
                    <w:rPr>
                      <w:sz w:val="20"/>
                      <w:szCs w:val="20"/>
                    </w:rPr>
                    <w:t>o</w:t>
                  </w:r>
                  <w:r w:rsidRPr="0098635C">
                    <w:rPr>
                      <w:sz w:val="20"/>
                      <w:szCs w:val="20"/>
                    </w:rPr>
                    <w:t>phil number in BALF and blood, increase in LDH and protein levels in the BALF. Neutr</w:t>
                  </w:r>
                  <w:r w:rsidRPr="0098635C">
                    <w:rPr>
                      <w:sz w:val="20"/>
                      <w:szCs w:val="20"/>
                    </w:rPr>
                    <w:t>o</w:t>
                  </w:r>
                  <w:r w:rsidRPr="0098635C">
                    <w:rPr>
                      <w:sz w:val="20"/>
                      <w:szCs w:val="20"/>
                    </w:rPr>
                    <w:t>phil-dominated infla</w:t>
                  </w:r>
                  <w:r w:rsidRPr="0098635C">
                    <w:rPr>
                      <w:sz w:val="20"/>
                      <w:szCs w:val="20"/>
                    </w:rPr>
                    <w:t>m</w:t>
                  </w:r>
                  <w:r w:rsidRPr="0098635C">
                    <w:rPr>
                      <w:sz w:val="20"/>
                      <w:szCs w:val="20"/>
                    </w:rPr>
                    <w:t>mation in the lung. Most test substance-related effects at 2.0 mg/m</w:t>
                  </w:r>
                  <w:r w:rsidRPr="0098635C">
                    <w:rPr>
                      <w:sz w:val="20"/>
                      <w:szCs w:val="20"/>
                      <w:vertAlign w:val="superscript"/>
                    </w:rPr>
                    <w:t>3</w:t>
                  </w:r>
                  <w:r w:rsidRPr="0098635C">
                    <w:rPr>
                      <w:sz w:val="20"/>
                      <w:szCs w:val="20"/>
                    </w:rPr>
                    <w:t xml:space="preserve"> appeared to show a peak in the effect prior to completion of exposure. Decreased wet/dry lung weight ratio (highest exposure level o</w:t>
                  </w:r>
                  <w:r w:rsidRPr="0098635C">
                    <w:rPr>
                      <w:sz w:val="20"/>
                      <w:szCs w:val="20"/>
                    </w:rPr>
                    <w:t>n</w:t>
                  </w:r>
                  <w:r w:rsidRPr="0098635C">
                    <w:rPr>
                      <w:sz w:val="20"/>
                      <w:szCs w:val="20"/>
                    </w:rPr>
                    <w:t>ly)</w:t>
                  </w:r>
                  <w:r w:rsidRPr="0098635C">
                    <w:rPr>
                      <w:sz w:val="20"/>
                      <w:szCs w:val="20"/>
                      <w:lang w:eastAsia="ja-JP"/>
                    </w:rPr>
                    <w:t xml:space="preserve"> </w:t>
                  </w:r>
                </w:p>
              </w:tc>
              <w:tc>
                <w:tcPr>
                  <w:tcW w:w="828" w:type="pct"/>
                </w:tcPr>
                <w:p w14:paraId="68655B32" w14:textId="77777777" w:rsidR="002C2BB0" w:rsidRPr="0098635C" w:rsidRDefault="002C2BB0" w:rsidP="002C2BB0">
                  <w:pPr>
                    <w:spacing w:after="0"/>
                    <w:ind w:left="33"/>
                    <w:rPr>
                      <w:sz w:val="20"/>
                      <w:szCs w:val="20"/>
                    </w:rPr>
                  </w:pPr>
                  <w:r w:rsidRPr="0098635C">
                    <w:rPr>
                      <w:sz w:val="20"/>
                      <w:szCs w:val="20"/>
                      <w:lang w:eastAsia="ja-JP"/>
                    </w:rPr>
                    <w:t>N</w:t>
                  </w:r>
                  <w:r w:rsidRPr="0098635C">
                    <w:rPr>
                      <w:sz w:val="20"/>
                      <w:szCs w:val="20"/>
                      <w:lang w:eastAsia="ja-JP"/>
                    </w:rPr>
                    <w:t>O</w:t>
                  </w:r>
                  <w:r w:rsidRPr="0098635C">
                    <w:rPr>
                      <w:sz w:val="20"/>
                      <w:szCs w:val="20"/>
                      <w:lang w:eastAsia="ja-JP"/>
                    </w:rPr>
                    <w:t xml:space="preserve">AEC: &gt;= </w:t>
                  </w:r>
                  <w:r w:rsidRPr="0098635C">
                    <w:rPr>
                      <w:sz w:val="20"/>
                      <w:szCs w:val="20"/>
                    </w:rPr>
                    <w:t>2 mg dicopper oxide/m</w:t>
                  </w:r>
                  <w:r w:rsidRPr="0098635C">
                    <w:rPr>
                      <w:sz w:val="20"/>
                      <w:szCs w:val="20"/>
                      <w:vertAlign w:val="superscript"/>
                    </w:rPr>
                    <w:t>3</w:t>
                  </w:r>
                  <w:r w:rsidRPr="0098635C">
                    <w:rPr>
                      <w:sz w:val="20"/>
                      <w:szCs w:val="20"/>
                    </w:rPr>
                    <w:t xml:space="preserve"> air</w:t>
                  </w:r>
                  <w:r w:rsidRPr="0098635C">
                    <w:rPr>
                      <w:position w:val="16"/>
                      <w:sz w:val="20"/>
                      <w:szCs w:val="20"/>
                    </w:rPr>
                    <w:t xml:space="preserve"> </w:t>
                  </w:r>
                </w:p>
                <w:p w14:paraId="13688760" w14:textId="77777777" w:rsidR="002C2BB0" w:rsidRPr="0098635C" w:rsidRDefault="002C2BB0" w:rsidP="002C2BB0">
                  <w:pPr>
                    <w:spacing w:after="0"/>
                    <w:ind w:left="33"/>
                    <w:rPr>
                      <w:sz w:val="20"/>
                      <w:szCs w:val="20"/>
                      <w:lang w:eastAsia="ja-JP"/>
                    </w:rPr>
                  </w:pPr>
                </w:p>
                <w:p w14:paraId="2C1E2B2B" w14:textId="77777777" w:rsidR="002C2BB0" w:rsidRPr="0098635C" w:rsidRDefault="002C2BB0" w:rsidP="002C2BB0">
                  <w:pPr>
                    <w:spacing w:after="0"/>
                    <w:ind w:left="33"/>
                    <w:rPr>
                      <w:sz w:val="20"/>
                      <w:szCs w:val="20"/>
                      <w:lang w:eastAsia="ja-JP"/>
                    </w:rPr>
                  </w:pPr>
                </w:p>
              </w:tc>
            </w:tr>
          </w:tbl>
          <w:p w14:paraId="4A4A5E37" w14:textId="77777777" w:rsidR="002C2BB0" w:rsidRPr="0098635C" w:rsidRDefault="002C2BB0" w:rsidP="002C2BB0">
            <w:pPr>
              <w:spacing w:after="0"/>
              <w:rPr>
                <w:sz w:val="20"/>
                <w:szCs w:val="20"/>
              </w:rPr>
            </w:pPr>
            <w:r w:rsidRPr="0098635C">
              <w:rPr>
                <w:sz w:val="20"/>
                <w:szCs w:val="20"/>
              </w:rPr>
              <w:t>Studies have shown that copper and copper compounds are co</w:t>
            </w:r>
            <w:r w:rsidRPr="0098635C">
              <w:rPr>
                <w:sz w:val="20"/>
                <w:szCs w:val="20"/>
              </w:rPr>
              <w:t>n</w:t>
            </w:r>
            <w:r w:rsidRPr="0098635C">
              <w:rPr>
                <w:sz w:val="20"/>
                <w:szCs w:val="20"/>
              </w:rPr>
              <w:t>sidered equally or less bioavailable to a number of animal species when compared to copper sulphate, therefore the use of copper sulphate studies is justified on scientific grounds.   The copper sulphate studies indicate that there is no evidence to indicate that copper or copper compounds present a hazard for r</w:t>
            </w:r>
            <w:r w:rsidRPr="0098635C">
              <w:rPr>
                <w:sz w:val="20"/>
                <w:szCs w:val="20"/>
              </w:rPr>
              <w:t>e</w:t>
            </w:r>
            <w:r w:rsidRPr="0098635C">
              <w:rPr>
                <w:sz w:val="20"/>
                <w:szCs w:val="20"/>
              </w:rPr>
              <w:t>peat dose oral toxicity.</w:t>
            </w:r>
          </w:p>
          <w:p w14:paraId="220D3CEC" w14:textId="77777777" w:rsidR="002C2BB0" w:rsidRPr="0098635C" w:rsidRDefault="002C2BB0" w:rsidP="002C2BB0">
            <w:pPr>
              <w:spacing w:after="0"/>
              <w:rPr>
                <w:sz w:val="20"/>
                <w:szCs w:val="20"/>
              </w:rPr>
            </w:pPr>
            <w:r w:rsidRPr="0098635C">
              <w:rPr>
                <w:sz w:val="20"/>
                <w:szCs w:val="20"/>
              </w:rPr>
              <w:t>The inhalation study on dicopper oxide in the rat performed to a standard guideline is considered the most re</w:t>
            </w:r>
            <w:r w:rsidRPr="0098635C">
              <w:rPr>
                <w:sz w:val="20"/>
                <w:szCs w:val="20"/>
              </w:rPr>
              <w:t>l</w:t>
            </w:r>
            <w:r w:rsidRPr="0098635C">
              <w:rPr>
                <w:sz w:val="20"/>
                <w:szCs w:val="20"/>
              </w:rPr>
              <w:t>evant. In this study, no serious adverse effects were observed up to the maximum test concentration (2 mg Cu/m</w:t>
            </w:r>
            <w:r w:rsidRPr="0098635C">
              <w:rPr>
                <w:sz w:val="20"/>
                <w:szCs w:val="20"/>
                <w:vertAlign w:val="superscript"/>
              </w:rPr>
              <w:t>3</w:t>
            </w:r>
            <w:r w:rsidRPr="0098635C">
              <w:rPr>
                <w:sz w:val="20"/>
                <w:szCs w:val="20"/>
              </w:rPr>
              <w:t xml:space="preserve"> as dicopper oxide). Therefore dicopper oxide does not present a hazard for repeated dose inhalation to</w:t>
            </w:r>
            <w:r w:rsidRPr="0098635C">
              <w:rPr>
                <w:sz w:val="20"/>
                <w:szCs w:val="20"/>
              </w:rPr>
              <w:t>x</w:t>
            </w:r>
            <w:r w:rsidRPr="0098635C">
              <w:rPr>
                <w:sz w:val="20"/>
                <w:szCs w:val="20"/>
              </w:rPr>
              <w:t>icity.</w:t>
            </w:r>
          </w:p>
          <w:p w14:paraId="70E6F483" w14:textId="77777777" w:rsidR="002C2BB0" w:rsidRPr="0098635C" w:rsidRDefault="002C2BB0" w:rsidP="002C2BB0">
            <w:pPr>
              <w:spacing w:after="0"/>
              <w:rPr>
                <w:b/>
                <w:i/>
                <w:sz w:val="20"/>
                <w:szCs w:val="20"/>
                <w:lang w:eastAsia="ja-JP"/>
              </w:rPr>
            </w:pPr>
            <w:r w:rsidRPr="0098635C">
              <w:rPr>
                <w:b/>
                <w:i/>
                <w:sz w:val="20"/>
                <w:szCs w:val="20"/>
                <w:lang w:eastAsia="ja-JP"/>
              </w:rPr>
              <w:t>Genotoxicity</w:t>
            </w:r>
          </w:p>
          <w:p w14:paraId="673F2A11" w14:textId="77777777" w:rsidR="002C2BB0" w:rsidRPr="0098635C" w:rsidRDefault="002C2BB0" w:rsidP="002C2BB0">
            <w:pPr>
              <w:spacing w:after="0"/>
              <w:rPr>
                <w:sz w:val="20"/>
                <w:szCs w:val="20"/>
                <w:lang w:eastAsia="ja-JP"/>
              </w:rPr>
            </w:pPr>
            <w:r w:rsidRPr="0098635C">
              <w:rPr>
                <w:sz w:val="20"/>
                <w:szCs w:val="20"/>
                <w:lang w:eastAsia="ja-JP"/>
              </w:rPr>
              <w:t>Available key study data for genotoxicity:</w:t>
            </w:r>
          </w:p>
          <w:tbl>
            <w:tblPr>
              <w:tblW w:w="8988"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7"/>
              <w:gridCol w:w="2937"/>
              <w:gridCol w:w="2874"/>
              <w:gridCol w:w="1560"/>
            </w:tblGrid>
            <w:tr w:rsidR="002C2BB0" w:rsidRPr="0098635C" w14:paraId="47FECA13" w14:textId="77777777" w:rsidTr="002C2BB0">
              <w:trPr>
                <w:tblHeader/>
              </w:trPr>
              <w:tc>
                <w:tcPr>
                  <w:tcW w:w="899" w:type="pct"/>
                  <w:vAlign w:val="center"/>
                </w:tcPr>
                <w:p w14:paraId="7D3DBE57" w14:textId="77777777" w:rsidR="002C2BB0" w:rsidRPr="0098635C" w:rsidRDefault="002C2BB0" w:rsidP="002C2BB0">
                  <w:pPr>
                    <w:spacing w:after="0"/>
                    <w:ind w:left="77"/>
                    <w:rPr>
                      <w:b/>
                      <w:sz w:val="20"/>
                      <w:szCs w:val="20"/>
                      <w:lang w:eastAsia="ja-JP"/>
                    </w:rPr>
                  </w:pPr>
                  <w:r w:rsidRPr="0098635C">
                    <w:rPr>
                      <w:b/>
                      <w:sz w:val="20"/>
                      <w:szCs w:val="20"/>
                      <w:lang w:eastAsia="ja-JP"/>
                    </w:rPr>
                    <w:t>Test su</w:t>
                  </w:r>
                  <w:r w:rsidRPr="0098635C">
                    <w:rPr>
                      <w:b/>
                      <w:sz w:val="20"/>
                      <w:szCs w:val="20"/>
                      <w:lang w:eastAsia="ja-JP"/>
                    </w:rPr>
                    <w:t>b</w:t>
                  </w:r>
                  <w:r w:rsidRPr="0098635C">
                    <w:rPr>
                      <w:b/>
                      <w:sz w:val="20"/>
                      <w:szCs w:val="20"/>
                      <w:lang w:eastAsia="ja-JP"/>
                    </w:rPr>
                    <w:t>stance</w:t>
                  </w:r>
                </w:p>
              </w:tc>
              <w:tc>
                <w:tcPr>
                  <w:tcW w:w="1634" w:type="pct"/>
                </w:tcPr>
                <w:p w14:paraId="44BC0C96" w14:textId="77777777" w:rsidR="002C2BB0" w:rsidRPr="0098635C" w:rsidRDefault="002C2BB0" w:rsidP="002C2BB0">
                  <w:pPr>
                    <w:spacing w:after="0"/>
                    <w:ind w:left="39"/>
                    <w:rPr>
                      <w:b/>
                      <w:sz w:val="20"/>
                      <w:szCs w:val="20"/>
                      <w:lang w:eastAsia="ja-JP"/>
                    </w:rPr>
                  </w:pPr>
                  <w:r w:rsidRPr="0098635C">
                    <w:rPr>
                      <w:b/>
                      <w:sz w:val="20"/>
                      <w:szCs w:val="20"/>
                      <w:lang w:eastAsia="ja-JP"/>
                    </w:rPr>
                    <w:t>Method and study type d</w:t>
                  </w:r>
                  <w:r w:rsidRPr="0098635C">
                    <w:rPr>
                      <w:b/>
                      <w:sz w:val="20"/>
                      <w:szCs w:val="20"/>
                      <w:lang w:eastAsia="ja-JP"/>
                    </w:rPr>
                    <w:t>e</w:t>
                  </w:r>
                  <w:r w:rsidRPr="0098635C">
                    <w:rPr>
                      <w:b/>
                      <w:sz w:val="20"/>
                      <w:szCs w:val="20"/>
                      <w:lang w:eastAsia="ja-JP"/>
                    </w:rPr>
                    <w:t>tails</w:t>
                  </w:r>
                </w:p>
              </w:tc>
              <w:tc>
                <w:tcPr>
                  <w:tcW w:w="1599" w:type="pct"/>
                </w:tcPr>
                <w:p w14:paraId="7D3BAF6E" w14:textId="77777777" w:rsidR="002C2BB0" w:rsidRPr="0098635C" w:rsidRDefault="002C2BB0" w:rsidP="002C2BB0">
                  <w:pPr>
                    <w:spacing w:after="0"/>
                    <w:ind w:left="39"/>
                    <w:rPr>
                      <w:b/>
                      <w:sz w:val="20"/>
                      <w:szCs w:val="20"/>
                      <w:lang w:eastAsia="ja-JP"/>
                    </w:rPr>
                  </w:pPr>
                  <w:r w:rsidRPr="0098635C">
                    <w:rPr>
                      <w:b/>
                      <w:sz w:val="20"/>
                      <w:szCs w:val="20"/>
                      <w:lang w:eastAsia="ja-JP"/>
                    </w:rPr>
                    <w:t>Test results</w:t>
                  </w:r>
                </w:p>
              </w:tc>
              <w:tc>
                <w:tcPr>
                  <w:tcW w:w="868" w:type="pct"/>
                </w:tcPr>
                <w:p w14:paraId="75C6001A" w14:textId="77777777" w:rsidR="002C2BB0" w:rsidRPr="0098635C" w:rsidRDefault="002C2BB0" w:rsidP="002C2BB0">
                  <w:pPr>
                    <w:spacing w:after="0"/>
                    <w:ind w:left="39"/>
                    <w:rPr>
                      <w:b/>
                      <w:sz w:val="20"/>
                      <w:szCs w:val="20"/>
                      <w:lang w:eastAsia="ja-JP"/>
                    </w:rPr>
                  </w:pPr>
                  <w:r w:rsidRPr="0098635C">
                    <w:rPr>
                      <w:b/>
                      <w:sz w:val="20"/>
                      <w:szCs w:val="20"/>
                      <w:lang w:eastAsia="ja-JP"/>
                    </w:rPr>
                    <w:t>Evalu</w:t>
                  </w:r>
                  <w:r w:rsidRPr="0098635C">
                    <w:rPr>
                      <w:b/>
                      <w:sz w:val="20"/>
                      <w:szCs w:val="20"/>
                      <w:lang w:eastAsia="ja-JP"/>
                    </w:rPr>
                    <w:t>a</w:t>
                  </w:r>
                  <w:r w:rsidRPr="0098635C">
                    <w:rPr>
                      <w:b/>
                      <w:sz w:val="20"/>
                      <w:szCs w:val="20"/>
                      <w:lang w:eastAsia="ja-JP"/>
                    </w:rPr>
                    <w:t>tion of results</w:t>
                  </w:r>
                </w:p>
              </w:tc>
            </w:tr>
            <w:tr w:rsidR="002C2BB0" w:rsidRPr="0098635C" w14:paraId="314991D2" w14:textId="77777777" w:rsidTr="002C2BB0">
              <w:trPr>
                <w:trHeight w:val="1507"/>
              </w:trPr>
              <w:tc>
                <w:tcPr>
                  <w:tcW w:w="899" w:type="pct"/>
                  <w:vAlign w:val="center"/>
                </w:tcPr>
                <w:p w14:paraId="149B12A5" w14:textId="77777777" w:rsidR="002C2BB0" w:rsidRPr="0098635C" w:rsidRDefault="002C2BB0" w:rsidP="002C2BB0">
                  <w:pPr>
                    <w:spacing w:after="0"/>
                    <w:ind w:left="77"/>
                    <w:rPr>
                      <w:color w:val="000000"/>
                      <w:sz w:val="20"/>
                      <w:szCs w:val="20"/>
                      <w:lang w:eastAsia="ja-JP"/>
                    </w:rPr>
                  </w:pPr>
                  <w:r w:rsidRPr="0098635C">
                    <w:rPr>
                      <w:color w:val="000000"/>
                      <w:sz w:val="20"/>
                      <w:szCs w:val="20"/>
                      <w:lang w:eastAsia="ja-JP"/>
                    </w:rPr>
                    <w:t>Copper su</w:t>
                  </w:r>
                  <w:r w:rsidRPr="0098635C">
                    <w:rPr>
                      <w:color w:val="000000"/>
                      <w:sz w:val="20"/>
                      <w:szCs w:val="20"/>
                      <w:lang w:eastAsia="ja-JP"/>
                    </w:rPr>
                    <w:t>l</w:t>
                  </w:r>
                  <w:r w:rsidRPr="0098635C">
                    <w:rPr>
                      <w:color w:val="000000"/>
                      <w:sz w:val="20"/>
                      <w:szCs w:val="20"/>
                      <w:lang w:eastAsia="ja-JP"/>
                    </w:rPr>
                    <w:t>phate pe</w:t>
                  </w:r>
                  <w:r w:rsidRPr="0098635C">
                    <w:rPr>
                      <w:color w:val="000000"/>
                      <w:sz w:val="20"/>
                      <w:szCs w:val="20"/>
                      <w:lang w:eastAsia="ja-JP"/>
                    </w:rPr>
                    <w:t>n</w:t>
                  </w:r>
                  <w:r w:rsidRPr="0098635C">
                    <w:rPr>
                      <w:color w:val="000000"/>
                      <w:sz w:val="20"/>
                      <w:szCs w:val="20"/>
                      <w:lang w:eastAsia="ja-JP"/>
                    </w:rPr>
                    <w:t>tahydr</w:t>
                  </w:r>
                  <w:r w:rsidRPr="0098635C">
                    <w:rPr>
                      <w:color w:val="000000"/>
                      <w:sz w:val="20"/>
                      <w:szCs w:val="20"/>
                      <w:lang w:eastAsia="ja-JP"/>
                    </w:rPr>
                    <w:t>a</w:t>
                  </w:r>
                  <w:r w:rsidRPr="0098635C">
                    <w:rPr>
                      <w:color w:val="000000"/>
                      <w:sz w:val="20"/>
                      <w:szCs w:val="20"/>
                      <w:lang w:eastAsia="ja-JP"/>
                    </w:rPr>
                    <w:t>te</w:t>
                  </w:r>
                </w:p>
              </w:tc>
              <w:tc>
                <w:tcPr>
                  <w:tcW w:w="1634" w:type="pct"/>
                </w:tcPr>
                <w:p w14:paraId="1C271252" w14:textId="77777777" w:rsidR="002C2BB0" w:rsidRPr="0098635C" w:rsidRDefault="002C2BB0" w:rsidP="002C2BB0">
                  <w:pPr>
                    <w:spacing w:after="0"/>
                    <w:ind w:left="39" w:right="41"/>
                    <w:rPr>
                      <w:color w:val="000000"/>
                      <w:sz w:val="20"/>
                      <w:szCs w:val="20"/>
                      <w:lang w:eastAsia="ja-JP"/>
                    </w:rPr>
                  </w:pPr>
                  <w:r w:rsidRPr="0098635C">
                    <w:rPr>
                      <w:color w:val="000000"/>
                      <w:sz w:val="20"/>
                      <w:szCs w:val="20"/>
                      <w:lang w:eastAsia="ja-JP"/>
                    </w:rPr>
                    <w:t>OECD 471</w:t>
                  </w:r>
                </w:p>
                <w:p w14:paraId="21F6871E" w14:textId="77777777" w:rsidR="002C2BB0" w:rsidRPr="0098635C" w:rsidRDefault="002C2BB0" w:rsidP="002C2BB0">
                  <w:pPr>
                    <w:spacing w:after="0"/>
                    <w:rPr>
                      <w:i/>
                      <w:sz w:val="20"/>
                      <w:szCs w:val="20"/>
                    </w:rPr>
                  </w:pPr>
                  <w:r w:rsidRPr="0098635C">
                    <w:rPr>
                      <w:i/>
                      <w:sz w:val="20"/>
                      <w:szCs w:val="20"/>
                    </w:rPr>
                    <w:t>In vitro</w:t>
                  </w:r>
                </w:p>
                <w:p w14:paraId="09AA4DA3" w14:textId="77777777" w:rsidR="002C2BB0" w:rsidRPr="0098635C" w:rsidRDefault="002C2BB0" w:rsidP="002C2BB0">
                  <w:pPr>
                    <w:spacing w:after="0"/>
                    <w:rPr>
                      <w:sz w:val="20"/>
                      <w:szCs w:val="20"/>
                    </w:rPr>
                  </w:pPr>
                  <w:r w:rsidRPr="0098635C">
                    <w:rPr>
                      <w:sz w:val="20"/>
                      <w:szCs w:val="20"/>
                    </w:rPr>
                    <w:t>Bacterial reverse mutation assay</w:t>
                  </w:r>
                </w:p>
                <w:p w14:paraId="6571217B" w14:textId="77777777" w:rsidR="002C2BB0" w:rsidRPr="0098635C" w:rsidRDefault="002C2BB0" w:rsidP="002C2BB0">
                  <w:pPr>
                    <w:spacing w:after="0"/>
                    <w:rPr>
                      <w:sz w:val="20"/>
                      <w:szCs w:val="20"/>
                    </w:rPr>
                  </w:pPr>
                  <w:r w:rsidRPr="0098635C">
                    <w:rPr>
                      <w:sz w:val="20"/>
                      <w:szCs w:val="20"/>
                    </w:rPr>
                    <w:t>Salmonella typh</w:t>
                  </w:r>
                  <w:r w:rsidRPr="0098635C">
                    <w:rPr>
                      <w:sz w:val="20"/>
                      <w:szCs w:val="20"/>
                    </w:rPr>
                    <w:t>i</w:t>
                  </w:r>
                  <w:r w:rsidRPr="0098635C">
                    <w:rPr>
                      <w:sz w:val="20"/>
                      <w:szCs w:val="20"/>
                    </w:rPr>
                    <w:t xml:space="preserve">murium </w:t>
                  </w:r>
                </w:p>
                <w:p w14:paraId="401E5F86" w14:textId="77777777" w:rsidR="002C2BB0" w:rsidRPr="0098635C" w:rsidRDefault="002C2BB0" w:rsidP="002C2BB0">
                  <w:pPr>
                    <w:spacing w:after="0"/>
                    <w:rPr>
                      <w:color w:val="000000"/>
                      <w:sz w:val="20"/>
                      <w:szCs w:val="20"/>
                      <w:lang w:eastAsia="ja-JP"/>
                    </w:rPr>
                  </w:pPr>
                  <w:r w:rsidRPr="0098635C">
                    <w:rPr>
                      <w:sz w:val="20"/>
                      <w:szCs w:val="20"/>
                    </w:rPr>
                    <w:t xml:space="preserve">Doses: 1.6, 8, 40, 200, 1000 μg/plate (exp. 1) and 50, 100, 200, 400, 800 μg/plate (exp. 2) </w:t>
                  </w:r>
                </w:p>
              </w:tc>
              <w:tc>
                <w:tcPr>
                  <w:tcW w:w="1599" w:type="pct"/>
                </w:tcPr>
                <w:p w14:paraId="68436A79" w14:textId="77777777" w:rsidR="002C2BB0" w:rsidRPr="0098635C" w:rsidRDefault="002C2BB0" w:rsidP="002C2BB0">
                  <w:pPr>
                    <w:spacing w:after="0"/>
                    <w:rPr>
                      <w:sz w:val="20"/>
                      <w:szCs w:val="20"/>
                    </w:rPr>
                  </w:pPr>
                  <w:r w:rsidRPr="0098635C">
                    <w:rPr>
                      <w:sz w:val="20"/>
                      <w:szCs w:val="20"/>
                    </w:rPr>
                    <w:t>Negative for Salmonella typh</w:t>
                  </w:r>
                  <w:r w:rsidRPr="0098635C">
                    <w:rPr>
                      <w:sz w:val="20"/>
                      <w:szCs w:val="20"/>
                    </w:rPr>
                    <w:t>i</w:t>
                  </w:r>
                  <w:r w:rsidRPr="0098635C">
                    <w:rPr>
                      <w:sz w:val="20"/>
                      <w:szCs w:val="20"/>
                    </w:rPr>
                    <w:t>mur</w:t>
                  </w:r>
                  <w:r w:rsidRPr="0098635C">
                    <w:rPr>
                      <w:sz w:val="20"/>
                      <w:szCs w:val="20"/>
                    </w:rPr>
                    <w:t>i</w:t>
                  </w:r>
                  <w:r w:rsidRPr="0098635C">
                    <w:rPr>
                      <w:sz w:val="20"/>
                      <w:szCs w:val="20"/>
                    </w:rPr>
                    <w:t xml:space="preserve">um Strains TA98, TA100, TA1535, TA1537, TA102 (all strains/cell types tested); </w:t>
                  </w:r>
                </w:p>
                <w:p w14:paraId="7D589924" w14:textId="77777777" w:rsidR="002C2BB0" w:rsidRPr="0098635C" w:rsidRDefault="002C2BB0" w:rsidP="002C2BB0">
                  <w:pPr>
                    <w:spacing w:after="0"/>
                    <w:rPr>
                      <w:sz w:val="20"/>
                      <w:szCs w:val="20"/>
                    </w:rPr>
                  </w:pPr>
                  <w:r w:rsidRPr="0098635C">
                    <w:rPr>
                      <w:sz w:val="20"/>
                      <w:szCs w:val="20"/>
                    </w:rPr>
                    <w:t>metabolic activ</w:t>
                  </w:r>
                  <w:r w:rsidRPr="0098635C">
                    <w:rPr>
                      <w:sz w:val="20"/>
                      <w:szCs w:val="20"/>
                    </w:rPr>
                    <w:t>a</w:t>
                  </w:r>
                  <w:r w:rsidRPr="0098635C">
                    <w:rPr>
                      <w:sz w:val="20"/>
                      <w:szCs w:val="20"/>
                    </w:rPr>
                    <w:t>tion: with and wit</w:t>
                  </w:r>
                  <w:r w:rsidRPr="0098635C">
                    <w:rPr>
                      <w:sz w:val="20"/>
                      <w:szCs w:val="20"/>
                    </w:rPr>
                    <w:t>h</w:t>
                  </w:r>
                  <w:r w:rsidRPr="0098635C">
                    <w:rPr>
                      <w:sz w:val="20"/>
                      <w:szCs w:val="20"/>
                    </w:rPr>
                    <w:t xml:space="preserve">out; </w:t>
                  </w:r>
                </w:p>
                <w:p w14:paraId="4AF7FD94" w14:textId="77777777" w:rsidR="002C2BB0" w:rsidRPr="0098635C" w:rsidRDefault="002C2BB0" w:rsidP="002C2BB0">
                  <w:pPr>
                    <w:spacing w:after="0"/>
                    <w:rPr>
                      <w:sz w:val="20"/>
                      <w:szCs w:val="20"/>
                    </w:rPr>
                  </w:pPr>
                  <w:r w:rsidRPr="0098635C">
                    <w:rPr>
                      <w:sz w:val="20"/>
                      <w:szCs w:val="20"/>
                    </w:rPr>
                    <w:t>Cytoto</w:t>
                  </w:r>
                  <w:r w:rsidRPr="0098635C">
                    <w:rPr>
                      <w:sz w:val="20"/>
                      <w:szCs w:val="20"/>
                    </w:rPr>
                    <w:t>x</w:t>
                  </w:r>
                  <w:r w:rsidRPr="0098635C">
                    <w:rPr>
                      <w:sz w:val="20"/>
                      <w:szCs w:val="20"/>
                    </w:rPr>
                    <w:t>icity: yes</w:t>
                  </w:r>
                </w:p>
                <w:p w14:paraId="26C7E837" w14:textId="77777777" w:rsidR="002C2BB0" w:rsidRPr="0098635C" w:rsidRDefault="002C2BB0" w:rsidP="002C2BB0">
                  <w:pPr>
                    <w:spacing w:after="0"/>
                    <w:ind w:left="39"/>
                    <w:rPr>
                      <w:color w:val="000000"/>
                      <w:sz w:val="20"/>
                      <w:szCs w:val="20"/>
                      <w:lang w:eastAsia="ja-JP"/>
                    </w:rPr>
                  </w:pPr>
                </w:p>
              </w:tc>
              <w:tc>
                <w:tcPr>
                  <w:tcW w:w="868" w:type="pct"/>
                </w:tcPr>
                <w:p w14:paraId="5E244A77"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Negat</w:t>
                  </w:r>
                  <w:r w:rsidRPr="0098635C">
                    <w:rPr>
                      <w:color w:val="000000"/>
                      <w:sz w:val="20"/>
                      <w:szCs w:val="20"/>
                      <w:lang w:eastAsia="ja-JP"/>
                    </w:rPr>
                    <w:t>i</w:t>
                  </w:r>
                  <w:r w:rsidRPr="0098635C">
                    <w:rPr>
                      <w:color w:val="000000"/>
                      <w:sz w:val="20"/>
                      <w:szCs w:val="20"/>
                      <w:lang w:eastAsia="ja-JP"/>
                    </w:rPr>
                    <w:t>ve</w:t>
                  </w:r>
                </w:p>
              </w:tc>
            </w:tr>
            <w:tr w:rsidR="002C2BB0" w:rsidRPr="0098635C" w14:paraId="5A1D9786" w14:textId="77777777" w:rsidTr="002C2BB0">
              <w:tc>
                <w:tcPr>
                  <w:tcW w:w="899" w:type="pct"/>
                  <w:vAlign w:val="center"/>
                </w:tcPr>
                <w:p w14:paraId="6E6BEFEA" w14:textId="77777777" w:rsidR="002C2BB0" w:rsidRPr="0098635C" w:rsidRDefault="002C2BB0" w:rsidP="002C2BB0">
                  <w:pPr>
                    <w:spacing w:after="0"/>
                    <w:ind w:left="77"/>
                    <w:rPr>
                      <w:color w:val="000000"/>
                      <w:sz w:val="20"/>
                      <w:szCs w:val="20"/>
                      <w:lang w:eastAsia="ja-JP"/>
                    </w:rPr>
                  </w:pPr>
                  <w:r w:rsidRPr="0098635C">
                    <w:rPr>
                      <w:color w:val="000000"/>
                      <w:sz w:val="20"/>
                      <w:szCs w:val="20"/>
                      <w:lang w:eastAsia="ja-JP"/>
                    </w:rPr>
                    <w:t>Copper su</w:t>
                  </w:r>
                  <w:r w:rsidRPr="0098635C">
                    <w:rPr>
                      <w:color w:val="000000"/>
                      <w:sz w:val="20"/>
                      <w:szCs w:val="20"/>
                      <w:lang w:eastAsia="ja-JP"/>
                    </w:rPr>
                    <w:t>l</w:t>
                  </w:r>
                  <w:r w:rsidRPr="0098635C">
                    <w:rPr>
                      <w:color w:val="000000"/>
                      <w:sz w:val="20"/>
                      <w:szCs w:val="20"/>
                      <w:lang w:eastAsia="ja-JP"/>
                    </w:rPr>
                    <w:t>phate pe</w:t>
                  </w:r>
                  <w:r w:rsidRPr="0098635C">
                    <w:rPr>
                      <w:color w:val="000000"/>
                      <w:sz w:val="20"/>
                      <w:szCs w:val="20"/>
                      <w:lang w:eastAsia="ja-JP"/>
                    </w:rPr>
                    <w:t>n</w:t>
                  </w:r>
                  <w:r w:rsidRPr="0098635C">
                    <w:rPr>
                      <w:color w:val="000000"/>
                      <w:sz w:val="20"/>
                      <w:szCs w:val="20"/>
                      <w:lang w:eastAsia="ja-JP"/>
                    </w:rPr>
                    <w:t>tahydr</w:t>
                  </w:r>
                  <w:r w:rsidRPr="0098635C">
                    <w:rPr>
                      <w:color w:val="000000"/>
                      <w:sz w:val="20"/>
                      <w:szCs w:val="20"/>
                      <w:lang w:eastAsia="ja-JP"/>
                    </w:rPr>
                    <w:t>a</w:t>
                  </w:r>
                  <w:r w:rsidRPr="0098635C">
                    <w:rPr>
                      <w:color w:val="000000"/>
                      <w:sz w:val="20"/>
                      <w:szCs w:val="20"/>
                      <w:lang w:eastAsia="ja-JP"/>
                    </w:rPr>
                    <w:t>te</w:t>
                  </w:r>
                </w:p>
              </w:tc>
              <w:tc>
                <w:tcPr>
                  <w:tcW w:w="1634" w:type="pct"/>
                </w:tcPr>
                <w:p w14:paraId="3DDFE0EA" w14:textId="77777777" w:rsidR="002C2BB0" w:rsidRPr="0098635C" w:rsidRDefault="002C2BB0" w:rsidP="002C2BB0">
                  <w:pPr>
                    <w:spacing w:after="0"/>
                    <w:rPr>
                      <w:sz w:val="20"/>
                      <w:szCs w:val="20"/>
                      <w:lang w:val="it-IT"/>
                    </w:rPr>
                  </w:pPr>
                  <w:r w:rsidRPr="0098635C">
                    <w:rPr>
                      <w:sz w:val="20"/>
                      <w:szCs w:val="20"/>
                      <w:lang w:val="it-IT"/>
                    </w:rPr>
                    <w:t>EU B.12</w:t>
                  </w:r>
                </w:p>
                <w:p w14:paraId="50C4430E" w14:textId="77777777" w:rsidR="002C2BB0" w:rsidRPr="0098635C" w:rsidRDefault="002C2BB0" w:rsidP="002C2BB0">
                  <w:pPr>
                    <w:spacing w:after="0"/>
                    <w:rPr>
                      <w:i/>
                      <w:sz w:val="20"/>
                      <w:szCs w:val="20"/>
                      <w:lang w:val="it-IT"/>
                    </w:rPr>
                  </w:pPr>
                  <w:r w:rsidRPr="0098635C">
                    <w:rPr>
                      <w:i/>
                      <w:sz w:val="20"/>
                      <w:szCs w:val="20"/>
                      <w:lang w:val="it-IT"/>
                    </w:rPr>
                    <w:t>In vivo</w:t>
                  </w:r>
                </w:p>
                <w:p w14:paraId="144D45F5" w14:textId="77777777" w:rsidR="002C2BB0" w:rsidRPr="0098635C" w:rsidRDefault="002C2BB0" w:rsidP="002C2BB0">
                  <w:pPr>
                    <w:spacing w:after="0"/>
                    <w:rPr>
                      <w:sz w:val="20"/>
                      <w:szCs w:val="20"/>
                      <w:lang w:val="it-IT"/>
                    </w:rPr>
                  </w:pPr>
                  <w:r w:rsidRPr="0098635C">
                    <w:rPr>
                      <w:sz w:val="20"/>
                      <w:szCs w:val="20"/>
                      <w:lang w:val="it-IT"/>
                    </w:rPr>
                    <w:t>micronucleus a</w:t>
                  </w:r>
                  <w:r w:rsidRPr="0098635C">
                    <w:rPr>
                      <w:sz w:val="20"/>
                      <w:szCs w:val="20"/>
                      <w:lang w:val="it-IT"/>
                    </w:rPr>
                    <w:t>s</w:t>
                  </w:r>
                  <w:r w:rsidRPr="0098635C">
                    <w:rPr>
                      <w:sz w:val="20"/>
                      <w:szCs w:val="20"/>
                      <w:lang w:val="it-IT"/>
                    </w:rPr>
                    <w:t>say </w:t>
                  </w:r>
                </w:p>
                <w:p w14:paraId="7381819F" w14:textId="77777777" w:rsidR="002C2BB0" w:rsidRPr="0098635C" w:rsidRDefault="002C2BB0" w:rsidP="002C2BB0">
                  <w:pPr>
                    <w:spacing w:after="0"/>
                    <w:rPr>
                      <w:color w:val="000000"/>
                      <w:sz w:val="20"/>
                      <w:szCs w:val="20"/>
                      <w:lang w:eastAsia="ja-JP"/>
                    </w:rPr>
                  </w:pPr>
                  <w:r w:rsidRPr="0098635C">
                    <w:rPr>
                      <w:sz w:val="20"/>
                      <w:szCs w:val="20"/>
                    </w:rPr>
                    <w:t>mouse</w:t>
                  </w:r>
                </w:p>
              </w:tc>
              <w:tc>
                <w:tcPr>
                  <w:tcW w:w="1599" w:type="pct"/>
                </w:tcPr>
                <w:p w14:paraId="4A56A4C0" w14:textId="77777777" w:rsidR="002C2BB0" w:rsidRPr="0098635C" w:rsidRDefault="002C2BB0" w:rsidP="002C2BB0">
                  <w:pPr>
                    <w:spacing w:after="0"/>
                    <w:rPr>
                      <w:sz w:val="20"/>
                      <w:szCs w:val="20"/>
                    </w:rPr>
                  </w:pPr>
                  <w:r w:rsidRPr="0098635C">
                    <w:rPr>
                      <w:sz w:val="20"/>
                      <w:szCs w:val="20"/>
                    </w:rPr>
                    <w:t>Genotoxicity: neg</w:t>
                  </w:r>
                  <w:r w:rsidRPr="0098635C">
                    <w:rPr>
                      <w:sz w:val="20"/>
                      <w:szCs w:val="20"/>
                    </w:rPr>
                    <w:t>a</w:t>
                  </w:r>
                  <w:r w:rsidRPr="0098635C">
                    <w:rPr>
                      <w:sz w:val="20"/>
                      <w:szCs w:val="20"/>
                    </w:rPr>
                    <w:t>tive</w:t>
                  </w:r>
                </w:p>
                <w:p w14:paraId="78FB3A7B" w14:textId="77777777" w:rsidR="002C2BB0" w:rsidRPr="0098635C" w:rsidRDefault="002C2BB0" w:rsidP="002C2BB0">
                  <w:pPr>
                    <w:spacing w:after="0"/>
                    <w:rPr>
                      <w:sz w:val="20"/>
                      <w:szCs w:val="20"/>
                    </w:rPr>
                  </w:pPr>
                </w:p>
              </w:tc>
              <w:tc>
                <w:tcPr>
                  <w:tcW w:w="868" w:type="pct"/>
                </w:tcPr>
                <w:p w14:paraId="58FF6DA1"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Negat</w:t>
                  </w:r>
                  <w:r w:rsidRPr="0098635C">
                    <w:rPr>
                      <w:color w:val="000000"/>
                      <w:sz w:val="20"/>
                      <w:szCs w:val="20"/>
                      <w:lang w:eastAsia="ja-JP"/>
                    </w:rPr>
                    <w:t>i</w:t>
                  </w:r>
                  <w:r w:rsidRPr="0098635C">
                    <w:rPr>
                      <w:color w:val="000000"/>
                      <w:sz w:val="20"/>
                      <w:szCs w:val="20"/>
                      <w:lang w:eastAsia="ja-JP"/>
                    </w:rPr>
                    <w:t>ve</w:t>
                  </w:r>
                </w:p>
              </w:tc>
            </w:tr>
            <w:tr w:rsidR="002C2BB0" w:rsidRPr="0098635C" w14:paraId="0D7B9BB8" w14:textId="77777777" w:rsidTr="002C2BB0">
              <w:tc>
                <w:tcPr>
                  <w:tcW w:w="899" w:type="pct"/>
                  <w:vAlign w:val="center"/>
                </w:tcPr>
                <w:p w14:paraId="3C4AC7F2" w14:textId="77777777" w:rsidR="002C2BB0" w:rsidRPr="0098635C" w:rsidRDefault="002C2BB0" w:rsidP="002C2BB0">
                  <w:pPr>
                    <w:spacing w:after="0"/>
                    <w:ind w:left="77"/>
                    <w:rPr>
                      <w:color w:val="000000"/>
                      <w:sz w:val="20"/>
                      <w:szCs w:val="20"/>
                      <w:lang w:eastAsia="ja-JP"/>
                    </w:rPr>
                  </w:pPr>
                  <w:r w:rsidRPr="0098635C">
                    <w:rPr>
                      <w:color w:val="000000"/>
                      <w:sz w:val="20"/>
                      <w:szCs w:val="20"/>
                      <w:lang w:eastAsia="ja-JP"/>
                    </w:rPr>
                    <w:t>Copper su</w:t>
                  </w:r>
                  <w:r w:rsidRPr="0098635C">
                    <w:rPr>
                      <w:color w:val="000000"/>
                      <w:sz w:val="20"/>
                      <w:szCs w:val="20"/>
                      <w:lang w:eastAsia="ja-JP"/>
                    </w:rPr>
                    <w:t>l</w:t>
                  </w:r>
                  <w:r w:rsidRPr="0098635C">
                    <w:rPr>
                      <w:color w:val="000000"/>
                      <w:sz w:val="20"/>
                      <w:szCs w:val="20"/>
                      <w:lang w:eastAsia="ja-JP"/>
                    </w:rPr>
                    <w:t>phate pe</w:t>
                  </w:r>
                  <w:r w:rsidRPr="0098635C">
                    <w:rPr>
                      <w:color w:val="000000"/>
                      <w:sz w:val="20"/>
                      <w:szCs w:val="20"/>
                      <w:lang w:eastAsia="ja-JP"/>
                    </w:rPr>
                    <w:t>n</w:t>
                  </w:r>
                  <w:r w:rsidRPr="0098635C">
                    <w:rPr>
                      <w:color w:val="000000"/>
                      <w:sz w:val="20"/>
                      <w:szCs w:val="20"/>
                      <w:lang w:eastAsia="ja-JP"/>
                    </w:rPr>
                    <w:t>tahydr</w:t>
                  </w:r>
                  <w:r w:rsidRPr="0098635C">
                    <w:rPr>
                      <w:color w:val="000000"/>
                      <w:sz w:val="20"/>
                      <w:szCs w:val="20"/>
                      <w:lang w:eastAsia="ja-JP"/>
                    </w:rPr>
                    <w:t>a</w:t>
                  </w:r>
                  <w:r w:rsidRPr="0098635C">
                    <w:rPr>
                      <w:color w:val="000000"/>
                      <w:sz w:val="20"/>
                      <w:szCs w:val="20"/>
                      <w:lang w:eastAsia="ja-JP"/>
                    </w:rPr>
                    <w:t>te</w:t>
                  </w:r>
                </w:p>
              </w:tc>
              <w:tc>
                <w:tcPr>
                  <w:tcW w:w="1634" w:type="pct"/>
                </w:tcPr>
                <w:p w14:paraId="1BE567B5"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OECD 486</w:t>
                  </w:r>
                </w:p>
                <w:p w14:paraId="4AC84798" w14:textId="77777777" w:rsidR="002C2BB0" w:rsidRPr="0098635C" w:rsidRDefault="002C2BB0" w:rsidP="002C2BB0">
                  <w:pPr>
                    <w:spacing w:after="0"/>
                    <w:ind w:left="39"/>
                    <w:rPr>
                      <w:i/>
                      <w:color w:val="000000"/>
                      <w:sz w:val="20"/>
                      <w:szCs w:val="20"/>
                      <w:lang w:eastAsia="ja-JP"/>
                    </w:rPr>
                  </w:pPr>
                  <w:r w:rsidRPr="0098635C">
                    <w:rPr>
                      <w:i/>
                      <w:color w:val="000000"/>
                      <w:sz w:val="20"/>
                      <w:szCs w:val="20"/>
                      <w:lang w:eastAsia="ja-JP"/>
                    </w:rPr>
                    <w:t>In vivo</w:t>
                  </w:r>
                </w:p>
                <w:p w14:paraId="006F7EF2"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Oral: gavage</w:t>
                  </w:r>
                </w:p>
                <w:p w14:paraId="5065AC88" w14:textId="77777777" w:rsidR="002C2BB0" w:rsidRPr="0098635C" w:rsidRDefault="002C2BB0" w:rsidP="002C2BB0">
                  <w:pPr>
                    <w:spacing w:after="0"/>
                    <w:rPr>
                      <w:sz w:val="20"/>
                      <w:szCs w:val="20"/>
                    </w:rPr>
                  </w:pPr>
                  <w:r w:rsidRPr="0098635C">
                    <w:rPr>
                      <w:sz w:val="20"/>
                      <w:szCs w:val="20"/>
                    </w:rPr>
                    <w:t>unscheduled DNA synth</w:t>
                  </w:r>
                  <w:r w:rsidRPr="0098635C">
                    <w:rPr>
                      <w:sz w:val="20"/>
                      <w:szCs w:val="20"/>
                    </w:rPr>
                    <w:t>e</w:t>
                  </w:r>
                  <w:r w:rsidRPr="0098635C">
                    <w:rPr>
                      <w:sz w:val="20"/>
                      <w:szCs w:val="20"/>
                    </w:rPr>
                    <w:t>sis</w:t>
                  </w:r>
                </w:p>
                <w:p w14:paraId="6798B419" w14:textId="77777777" w:rsidR="002C2BB0" w:rsidRPr="0098635C" w:rsidRDefault="002C2BB0" w:rsidP="002C2BB0">
                  <w:pPr>
                    <w:spacing w:after="0"/>
                    <w:rPr>
                      <w:color w:val="000000"/>
                      <w:sz w:val="20"/>
                      <w:szCs w:val="20"/>
                      <w:lang w:eastAsia="ja-JP"/>
                    </w:rPr>
                  </w:pPr>
                  <w:r w:rsidRPr="0098635C">
                    <w:rPr>
                      <w:sz w:val="20"/>
                      <w:szCs w:val="20"/>
                    </w:rPr>
                    <w:t>rat</w:t>
                  </w:r>
                </w:p>
              </w:tc>
              <w:tc>
                <w:tcPr>
                  <w:tcW w:w="1599" w:type="pct"/>
                </w:tcPr>
                <w:p w14:paraId="68420E74" w14:textId="77777777" w:rsidR="002C2BB0" w:rsidRPr="0098635C" w:rsidRDefault="002C2BB0" w:rsidP="002C2BB0">
                  <w:pPr>
                    <w:spacing w:after="0"/>
                    <w:rPr>
                      <w:sz w:val="20"/>
                      <w:szCs w:val="20"/>
                    </w:rPr>
                  </w:pPr>
                  <w:r w:rsidRPr="0098635C">
                    <w:rPr>
                      <w:sz w:val="20"/>
                      <w:szCs w:val="20"/>
                    </w:rPr>
                    <w:t>Genotoxicity: neg</w:t>
                  </w:r>
                  <w:r w:rsidRPr="0098635C">
                    <w:rPr>
                      <w:sz w:val="20"/>
                      <w:szCs w:val="20"/>
                    </w:rPr>
                    <w:t>a</w:t>
                  </w:r>
                  <w:r w:rsidRPr="0098635C">
                    <w:rPr>
                      <w:sz w:val="20"/>
                      <w:szCs w:val="20"/>
                    </w:rPr>
                    <w:t>tive (m)</w:t>
                  </w:r>
                </w:p>
                <w:p w14:paraId="49315D25" w14:textId="77777777" w:rsidR="002C2BB0" w:rsidRPr="0098635C" w:rsidRDefault="002C2BB0" w:rsidP="002C2BB0">
                  <w:pPr>
                    <w:spacing w:after="0"/>
                    <w:rPr>
                      <w:sz w:val="20"/>
                      <w:szCs w:val="20"/>
                    </w:rPr>
                  </w:pPr>
                </w:p>
                <w:p w14:paraId="05CF2897" w14:textId="77777777" w:rsidR="002C2BB0" w:rsidRPr="0098635C" w:rsidRDefault="002C2BB0" w:rsidP="002C2BB0">
                  <w:pPr>
                    <w:tabs>
                      <w:tab w:val="left" w:pos="1063"/>
                    </w:tabs>
                    <w:spacing w:after="0"/>
                    <w:ind w:left="25" w:right="46"/>
                    <w:rPr>
                      <w:sz w:val="20"/>
                      <w:szCs w:val="20"/>
                    </w:rPr>
                  </w:pPr>
                </w:p>
              </w:tc>
              <w:tc>
                <w:tcPr>
                  <w:tcW w:w="868" w:type="pct"/>
                </w:tcPr>
                <w:p w14:paraId="7754DBA7"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Neg</w:t>
                  </w:r>
                  <w:r w:rsidRPr="0098635C">
                    <w:rPr>
                      <w:color w:val="000000"/>
                      <w:sz w:val="20"/>
                      <w:szCs w:val="20"/>
                      <w:lang w:eastAsia="ja-JP"/>
                    </w:rPr>
                    <w:t>a</w:t>
                  </w:r>
                  <w:r w:rsidRPr="0098635C">
                    <w:rPr>
                      <w:color w:val="000000"/>
                      <w:sz w:val="20"/>
                      <w:szCs w:val="20"/>
                      <w:lang w:eastAsia="ja-JP"/>
                    </w:rPr>
                    <w:t>tive</w:t>
                  </w:r>
                </w:p>
              </w:tc>
            </w:tr>
          </w:tbl>
          <w:p w14:paraId="5A1193AB" w14:textId="77777777" w:rsidR="002C2BB0" w:rsidRPr="0098635C" w:rsidRDefault="002C2BB0" w:rsidP="002C2BB0">
            <w:pPr>
              <w:spacing w:after="0"/>
              <w:rPr>
                <w:sz w:val="20"/>
                <w:szCs w:val="20"/>
              </w:rPr>
            </w:pPr>
            <w:r w:rsidRPr="0098635C">
              <w:rPr>
                <w:sz w:val="20"/>
                <w:szCs w:val="20"/>
              </w:rPr>
              <w:lastRenderedPageBreak/>
              <w:t>There is no human data available on the genotoxic potential of copper and copper compounds in humans. Co</w:t>
            </w:r>
            <w:r w:rsidRPr="0098635C">
              <w:rPr>
                <w:sz w:val="20"/>
                <w:szCs w:val="20"/>
              </w:rPr>
              <w:t>p</w:t>
            </w:r>
            <w:r w:rsidRPr="0098635C">
              <w:rPr>
                <w:sz w:val="20"/>
                <w:szCs w:val="20"/>
              </w:rPr>
              <w:t>per and copper co</w:t>
            </w:r>
            <w:r w:rsidRPr="0098635C">
              <w:rPr>
                <w:sz w:val="20"/>
                <w:szCs w:val="20"/>
              </w:rPr>
              <w:t>m</w:t>
            </w:r>
            <w:r w:rsidRPr="0098635C">
              <w:rPr>
                <w:sz w:val="20"/>
                <w:szCs w:val="20"/>
              </w:rPr>
              <w:t>pounds are not genotoxic.</w:t>
            </w:r>
          </w:p>
          <w:p w14:paraId="6F5AFF4E" w14:textId="77777777" w:rsidR="002C2BB0" w:rsidRPr="0098635C" w:rsidRDefault="002C2BB0" w:rsidP="002C2BB0">
            <w:pPr>
              <w:spacing w:after="0"/>
              <w:rPr>
                <w:b/>
                <w:i/>
                <w:sz w:val="20"/>
                <w:szCs w:val="20"/>
                <w:lang w:eastAsia="ja-JP"/>
              </w:rPr>
            </w:pPr>
            <w:r w:rsidRPr="0098635C">
              <w:rPr>
                <w:b/>
                <w:i/>
                <w:sz w:val="20"/>
                <w:szCs w:val="20"/>
                <w:lang w:eastAsia="ja-JP"/>
              </w:rPr>
              <w:t>Carcinogenicity</w:t>
            </w:r>
          </w:p>
          <w:p w14:paraId="11013AAA" w14:textId="77777777" w:rsidR="002C2BB0" w:rsidRPr="0098635C" w:rsidRDefault="002C2BB0" w:rsidP="002C2BB0">
            <w:pPr>
              <w:spacing w:after="0"/>
              <w:rPr>
                <w:sz w:val="20"/>
                <w:szCs w:val="20"/>
              </w:rPr>
            </w:pPr>
            <w:r w:rsidRPr="0098635C">
              <w:rPr>
                <w:sz w:val="20"/>
                <w:szCs w:val="20"/>
              </w:rPr>
              <w:t>Dietary copper/copper compounds have been administered orally to rats in long-term studies. None of the stu</w:t>
            </w:r>
            <w:r w:rsidRPr="0098635C">
              <w:rPr>
                <w:sz w:val="20"/>
                <w:szCs w:val="20"/>
              </w:rPr>
              <w:t>d</w:t>
            </w:r>
            <w:r w:rsidRPr="0098635C">
              <w:rPr>
                <w:sz w:val="20"/>
                <w:szCs w:val="20"/>
              </w:rPr>
              <w:t>ies presented below meets exactly the requirements of the International Guidelines, but they do show concl</w:t>
            </w:r>
            <w:r w:rsidRPr="0098635C">
              <w:rPr>
                <w:sz w:val="20"/>
                <w:szCs w:val="20"/>
              </w:rPr>
              <w:t>u</w:t>
            </w:r>
            <w:r w:rsidRPr="0098635C">
              <w:rPr>
                <w:sz w:val="20"/>
                <w:szCs w:val="20"/>
              </w:rPr>
              <w:t>sively that copper has no carcin</w:t>
            </w:r>
            <w:r w:rsidRPr="0098635C">
              <w:rPr>
                <w:sz w:val="20"/>
                <w:szCs w:val="20"/>
              </w:rPr>
              <w:t>o</w:t>
            </w:r>
            <w:r w:rsidRPr="0098635C">
              <w:rPr>
                <w:sz w:val="20"/>
                <w:szCs w:val="20"/>
              </w:rPr>
              <w:t>genic activity.</w:t>
            </w:r>
          </w:p>
          <w:p w14:paraId="773451D0" w14:textId="77777777" w:rsidR="002C2BB0" w:rsidRPr="0098635C" w:rsidRDefault="002C2BB0" w:rsidP="002C2BB0">
            <w:pPr>
              <w:spacing w:after="0"/>
              <w:rPr>
                <w:sz w:val="20"/>
                <w:szCs w:val="20"/>
              </w:rPr>
            </w:pPr>
            <w:r w:rsidRPr="0098635C">
              <w:rPr>
                <w:sz w:val="20"/>
                <w:szCs w:val="20"/>
              </w:rPr>
              <w:t>Two types of studies have been performed:</w:t>
            </w:r>
          </w:p>
          <w:p w14:paraId="2D339266" w14:textId="77777777" w:rsidR="002C2BB0" w:rsidRPr="0098635C" w:rsidRDefault="002C2BB0" w:rsidP="0059369A">
            <w:pPr>
              <w:widowControl/>
              <w:numPr>
                <w:ilvl w:val="0"/>
                <w:numId w:val="48"/>
              </w:numPr>
              <w:autoSpaceDE/>
              <w:autoSpaceDN/>
              <w:adjustRightInd/>
              <w:spacing w:before="200" w:after="0"/>
              <w:ind w:right="214"/>
              <w:rPr>
                <w:sz w:val="20"/>
                <w:szCs w:val="20"/>
              </w:rPr>
            </w:pPr>
            <w:r w:rsidRPr="0098635C">
              <w:rPr>
                <w:sz w:val="20"/>
                <w:szCs w:val="20"/>
              </w:rPr>
              <w:t>Investigative toxicity studies demonstrating no tumor formation  or long term effects even at very high dose levels.</w:t>
            </w:r>
          </w:p>
          <w:p w14:paraId="2E841405" w14:textId="77777777" w:rsidR="002C2BB0" w:rsidRPr="0098635C" w:rsidRDefault="002C2BB0" w:rsidP="0059369A">
            <w:pPr>
              <w:widowControl/>
              <w:numPr>
                <w:ilvl w:val="0"/>
                <w:numId w:val="48"/>
              </w:numPr>
              <w:autoSpaceDE/>
              <w:autoSpaceDN/>
              <w:adjustRightInd/>
              <w:spacing w:before="200" w:after="0"/>
              <w:ind w:right="214"/>
              <w:rPr>
                <w:sz w:val="20"/>
                <w:szCs w:val="20"/>
              </w:rPr>
            </w:pPr>
            <w:r w:rsidRPr="0098635C">
              <w:rPr>
                <w:sz w:val="20"/>
                <w:szCs w:val="20"/>
              </w:rPr>
              <w:t>Co-administration with known carcinogens to demonstrate that copper is effective at reducing the i</w:t>
            </w:r>
            <w:r w:rsidRPr="0098635C">
              <w:rPr>
                <w:sz w:val="20"/>
                <w:szCs w:val="20"/>
              </w:rPr>
              <w:t>n</w:t>
            </w:r>
            <w:r w:rsidRPr="0098635C">
              <w:rPr>
                <w:sz w:val="20"/>
                <w:szCs w:val="20"/>
              </w:rPr>
              <w:t>cidence and d</w:t>
            </w:r>
            <w:r w:rsidRPr="0098635C">
              <w:rPr>
                <w:sz w:val="20"/>
                <w:szCs w:val="20"/>
              </w:rPr>
              <w:t>e</w:t>
            </w:r>
            <w:r w:rsidRPr="0098635C">
              <w:rPr>
                <w:sz w:val="20"/>
                <w:szCs w:val="20"/>
              </w:rPr>
              <w:t>laying the onset of tumours.</w:t>
            </w:r>
          </w:p>
          <w:p w14:paraId="1C00C9CD" w14:textId="77777777" w:rsidR="002C2BB0" w:rsidRPr="0098635C" w:rsidRDefault="002C2BB0" w:rsidP="002C2BB0">
            <w:pPr>
              <w:spacing w:after="0"/>
              <w:rPr>
                <w:sz w:val="20"/>
                <w:szCs w:val="20"/>
              </w:rPr>
            </w:pPr>
          </w:p>
          <w:p w14:paraId="654A89F9" w14:textId="77777777" w:rsidR="002C2BB0" w:rsidRPr="0098635C" w:rsidRDefault="002C2BB0" w:rsidP="002C2BB0">
            <w:pPr>
              <w:spacing w:after="0"/>
              <w:rPr>
                <w:b/>
                <w:i/>
                <w:sz w:val="20"/>
                <w:szCs w:val="20"/>
                <w:lang w:eastAsia="ja-JP"/>
              </w:rPr>
            </w:pPr>
            <w:r w:rsidRPr="0098635C">
              <w:rPr>
                <w:b/>
                <w:i/>
                <w:sz w:val="20"/>
                <w:szCs w:val="20"/>
                <w:lang w:eastAsia="ja-JP"/>
              </w:rPr>
              <w:t>Toxicity to reproductive organs and fertility and developme</w:t>
            </w:r>
            <w:r w:rsidRPr="0098635C">
              <w:rPr>
                <w:b/>
                <w:i/>
                <w:sz w:val="20"/>
                <w:szCs w:val="20"/>
                <w:lang w:eastAsia="ja-JP"/>
              </w:rPr>
              <w:t>n</w:t>
            </w:r>
            <w:r w:rsidRPr="0098635C">
              <w:rPr>
                <w:b/>
                <w:i/>
                <w:sz w:val="20"/>
                <w:szCs w:val="20"/>
                <w:lang w:eastAsia="ja-JP"/>
              </w:rPr>
              <w:t xml:space="preserve">tal toxicity  </w:t>
            </w:r>
          </w:p>
          <w:p w14:paraId="779C00C0" w14:textId="77777777" w:rsidR="002C2BB0" w:rsidRPr="0098635C" w:rsidRDefault="002C2BB0" w:rsidP="002C2BB0">
            <w:pPr>
              <w:spacing w:after="0"/>
              <w:rPr>
                <w:sz w:val="20"/>
                <w:szCs w:val="20"/>
                <w:lang w:eastAsia="ja-JP"/>
              </w:rPr>
            </w:pPr>
            <w:r w:rsidRPr="0098635C">
              <w:rPr>
                <w:sz w:val="20"/>
                <w:szCs w:val="20"/>
                <w:lang w:eastAsia="ja-JP"/>
              </w:rPr>
              <w:t>Available key study data for toxicity to reproductive organs and fertility:</w:t>
            </w:r>
          </w:p>
          <w:tbl>
            <w:tblPr>
              <w:tblW w:w="8859"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4"/>
              <w:gridCol w:w="2741"/>
              <w:gridCol w:w="3614"/>
            </w:tblGrid>
            <w:tr w:rsidR="002C2BB0" w:rsidRPr="0098635C" w14:paraId="2A14AE9D" w14:textId="77777777" w:rsidTr="002C2BB0">
              <w:trPr>
                <w:trHeight w:val="212"/>
                <w:tblHeader/>
              </w:trPr>
              <w:tc>
                <w:tcPr>
                  <w:tcW w:w="1413" w:type="pct"/>
                  <w:vAlign w:val="center"/>
                </w:tcPr>
                <w:p w14:paraId="36D5CA26" w14:textId="77777777" w:rsidR="002C2BB0" w:rsidRPr="0098635C" w:rsidRDefault="002C2BB0" w:rsidP="002C2BB0">
                  <w:pPr>
                    <w:spacing w:after="0"/>
                    <w:ind w:left="77"/>
                    <w:rPr>
                      <w:b/>
                      <w:sz w:val="20"/>
                      <w:szCs w:val="20"/>
                      <w:lang w:eastAsia="ja-JP"/>
                    </w:rPr>
                  </w:pPr>
                  <w:r w:rsidRPr="0098635C">
                    <w:rPr>
                      <w:b/>
                      <w:sz w:val="20"/>
                      <w:szCs w:val="20"/>
                      <w:lang w:eastAsia="ja-JP"/>
                    </w:rPr>
                    <w:t>Test su</w:t>
                  </w:r>
                  <w:r w:rsidRPr="0098635C">
                    <w:rPr>
                      <w:b/>
                      <w:sz w:val="20"/>
                      <w:szCs w:val="20"/>
                      <w:lang w:eastAsia="ja-JP"/>
                    </w:rPr>
                    <w:t>b</w:t>
                  </w:r>
                  <w:r w:rsidRPr="0098635C">
                    <w:rPr>
                      <w:b/>
                      <w:sz w:val="20"/>
                      <w:szCs w:val="20"/>
                      <w:lang w:eastAsia="ja-JP"/>
                    </w:rPr>
                    <w:t>stance</w:t>
                  </w:r>
                </w:p>
              </w:tc>
              <w:tc>
                <w:tcPr>
                  <w:tcW w:w="1547" w:type="pct"/>
                </w:tcPr>
                <w:p w14:paraId="42B8EC25" w14:textId="77777777" w:rsidR="002C2BB0" w:rsidRPr="0098635C" w:rsidRDefault="002C2BB0" w:rsidP="002C2BB0">
                  <w:pPr>
                    <w:spacing w:after="0"/>
                    <w:ind w:left="39"/>
                    <w:rPr>
                      <w:b/>
                      <w:sz w:val="20"/>
                      <w:szCs w:val="20"/>
                      <w:lang w:eastAsia="ja-JP"/>
                    </w:rPr>
                  </w:pPr>
                  <w:r w:rsidRPr="0098635C">
                    <w:rPr>
                      <w:b/>
                      <w:sz w:val="20"/>
                      <w:szCs w:val="20"/>
                      <w:lang w:eastAsia="ja-JP"/>
                    </w:rPr>
                    <w:t>Method and study type d</w:t>
                  </w:r>
                  <w:r w:rsidRPr="0098635C">
                    <w:rPr>
                      <w:b/>
                      <w:sz w:val="20"/>
                      <w:szCs w:val="20"/>
                      <w:lang w:eastAsia="ja-JP"/>
                    </w:rPr>
                    <w:t>e</w:t>
                  </w:r>
                  <w:r w:rsidRPr="0098635C">
                    <w:rPr>
                      <w:b/>
                      <w:sz w:val="20"/>
                      <w:szCs w:val="20"/>
                      <w:lang w:eastAsia="ja-JP"/>
                    </w:rPr>
                    <w:t>tails</w:t>
                  </w:r>
                </w:p>
              </w:tc>
              <w:tc>
                <w:tcPr>
                  <w:tcW w:w="2040" w:type="pct"/>
                </w:tcPr>
                <w:p w14:paraId="4B482733" w14:textId="77777777" w:rsidR="002C2BB0" w:rsidRPr="0098635C" w:rsidRDefault="002C2BB0" w:rsidP="002C2BB0">
                  <w:pPr>
                    <w:spacing w:after="0"/>
                    <w:ind w:left="39"/>
                    <w:rPr>
                      <w:b/>
                      <w:sz w:val="20"/>
                      <w:szCs w:val="20"/>
                      <w:lang w:eastAsia="ja-JP"/>
                    </w:rPr>
                  </w:pPr>
                  <w:r w:rsidRPr="0098635C">
                    <w:rPr>
                      <w:b/>
                      <w:sz w:val="20"/>
                      <w:szCs w:val="20"/>
                      <w:lang w:eastAsia="ja-JP"/>
                    </w:rPr>
                    <w:t>NOAEL</w:t>
                  </w:r>
                </w:p>
              </w:tc>
            </w:tr>
            <w:tr w:rsidR="002C2BB0" w:rsidRPr="0098635C" w14:paraId="33BC1ECF" w14:textId="77777777" w:rsidTr="002C2BB0">
              <w:trPr>
                <w:trHeight w:val="1102"/>
              </w:trPr>
              <w:tc>
                <w:tcPr>
                  <w:tcW w:w="1413" w:type="pct"/>
                  <w:vAlign w:val="center"/>
                </w:tcPr>
                <w:p w14:paraId="767B83C4" w14:textId="77777777" w:rsidR="002C2BB0" w:rsidRPr="0098635C" w:rsidRDefault="002C2BB0" w:rsidP="002C2BB0">
                  <w:pPr>
                    <w:spacing w:after="0"/>
                    <w:ind w:left="77"/>
                    <w:rPr>
                      <w:color w:val="000000"/>
                      <w:sz w:val="20"/>
                      <w:szCs w:val="20"/>
                      <w:lang w:eastAsia="ja-JP"/>
                    </w:rPr>
                  </w:pPr>
                  <w:r w:rsidRPr="0098635C">
                    <w:rPr>
                      <w:color w:val="000000"/>
                      <w:sz w:val="20"/>
                      <w:szCs w:val="20"/>
                      <w:lang w:eastAsia="ja-JP"/>
                    </w:rPr>
                    <w:t>Copper hydr</w:t>
                  </w:r>
                  <w:r w:rsidRPr="0098635C">
                    <w:rPr>
                      <w:color w:val="000000"/>
                      <w:sz w:val="20"/>
                      <w:szCs w:val="20"/>
                      <w:lang w:eastAsia="ja-JP"/>
                    </w:rPr>
                    <w:t>o</w:t>
                  </w:r>
                  <w:r w:rsidRPr="0098635C">
                    <w:rPr>
                      <w:color w:val="000000"/>
                      <w:sz w:val="20"/>
                      <w:szCs w:val="20"/>
                      <w:lang w:eastAsia="ja-JP"/>
                    </w:rPr>
                    <w:t>xide</w:t>
                  </w:r>
                </w:p>
              </w:tc>
              <w:tc>
                <w:tcPr>
                  <w:tcW w:w="1547" w:type="pct"/>
                </w:tcPr>
                <w:p w14:paraId="7B7AE206" w14:textId="77777777" w:rsidR="002C2BB0" w:rsidRPr="0098635C" w:rsidRDefault="002C2BB0" w:rsidP="002C2BB0">
                  <w:pPr>
                    <w:spacing w:after="0"/>
                    <w:rPr>
                      <w:color w:val="000000"/>
                      <w:sz w:val="20"/>
                      <w:szCs w:val="20"/>
                      <w:lang w:eastAsia="ja-JP"/>
                    </w:rPr>
                  </w:pPr>
                  <w:r w:rsidRPr="0098635C">
                    <w:rPr>
                      <w:color w:val="000000"/>
                      <w:sz w:val="20"/>
                      <w:szCs w:val="20"/>
                      <w:lang w:eastAsia="ja-JP"/>
                    </w:rPr>
                    <w:t>OECD 414 Terat</w:t>
                  </w:r>
                  <w:r w:rsidRPr="0098635C">
                    <w:rPr>
                      <w:color w:val="000000"/>
                      <w:sz w:val="20"/>
                      <w:szCs w:val="20"/>
                      <w:lang w:eastAsia="ja-JP"/>
                    </w:rPr>
                    <w:t>o</w:t>
                  </w:r>
                  <w:r w:rsidRPr="0098635C">
                    <w:rPr>
                      <w:color w:val="000000"/>
                      <w:sz w:val="20"/>
                      <w:szCs w:val="20"/>
                      <w:lang w:eastAsia="ja-JP"/>
                    </w:rPr>
                    <w:t>genicity</w:t>
                  </w:r>
                </w:p>
                <w:p w14:paraId="343DE8B5" w14:textId="77777777" w:rsidR="002C2BB0" w:rsidRPr="0098635C" w:rsidRDefault="002C2BB0" w:rsidP="002C2BB0">
                  <w:pPr>
                    <w:spacing w:after="0"/>
                    <w:rPr>
                      <w:color w:val="000000"/>
                      <w:sz w:val="20"/>
                      <w:szCs w:val="20"/>
                      <w:lang w:eastAsia="ja-JP"/>
                    </w:rPr>
                  </w:pPr>
                  <w:r w:rsidRPr="0098635C">
                    <w:rPr>
                      <w:color w:val="000000"/>
                      <w:sz w:val="20"/>
                      <w:szCs w:val="20"/>
                      <w:lang w:eastAsia="ja-JP"/>
                    </w:rPr>
                    <w:t>Rabbit, f</w:t>
                  </w:r>
                </w:p>
                <w:p w14:paraId="46152A37" w14:textId="77777777" w:rsidR="002C2BB0" w:rsidRPr="0098635C" w:rsidRDefault="002C2BB0" w:rsidP="002C2BB0">
                  <w:pPr>
                    <w:spacing w:after="0"/>
                    <w:rPr>
                      <w:color w:val="000000"/>
                      <w:sz w:val="20"/>
                      <w:szCs w:val="20"/>
                      <w:lang w:eastAsia="ja-JP"/>
                    </w:rPr>
                  </w:pPr>
                  <w:r w:rsidRPr="0098635C">
                    <w:rPr>
                      <w:color w:val="000000"/>
                      <w:sz w:val="20"/>
                      <w:szCs w:val="20"/>
                      <w:lang w:eastAsia="ja-JP"/>
                    </w:rPr>
                    <w:t>Oral: gavage</w:t>
                  </w:r>
                </w:p>
                <w:p w14:paraId="35015E3E" w14:textId="77777777" w:rsidR="002C2BB0" w:rsidRPr="0098635C" w:rsidRDefault="002C2BB0" w:rsidP="002C2BB0">
                  <w:pPr>
                    <w:spacing w:after="0"/>
                    <w:rPr>
                      <w:color w:val="000000"/>
                      <w:sz w:val="20"/>
                      <w:szCs w:val="20"/>
                      <w:lang w:eastAsia="ja-JP"/>
                    </w:rPr>
                  </w:pPr>
                  <w:r w:rsidRPr="0098635C">
                    <w:rPr>
                      <w:color w:val="000000"/>
                      <w:sz w:val="20"/>
                      <w:szCs w:val="20"/>
                      <w:lang w:eastAsia="ja-JP"/>
                    </w:rPr>
                    <w:t>Day 7-28 of gest</w:t>
                  </w:r>
                  <w:r w:rsidRPr="0098635C">
                    <w:rPr>
                      <w:color w:val="000000"/>
                      <w:sz w:val="20"/>
                      <w:szCs w:val="20"/>
                      <w:lang w:eastAsia="ja-JP"/>
                    </w:rPr>
                    <w:t>a</w:t>
                  </w:r>
                  <w:r w:rsidRPr="0098635C">
                    <w:rPr>
                      <w:color w:val="000000"/>
                      <w:sz w:val="20"/>
                      <w:szCs w:val="20"/>
                      <w:lang w:eastAsia="ja-JP"/>
                    </w:rPr>
                    <w:t>tion</w:t>
                  </w:r>
                </w:p>
                <w:p w14:paraId="10893755" w14:textId="77777777" w:rsidR="002C2BB0" w:rsidRPr="0098635C" w:rsidRDefault="002C2BB0" w:rsidP="002C2BB0">
                  <w:pPr>
                    <w:spacing w:after="0"/>
                    <w:rPr>
                      <w:color w:val="000000"/>
                      <w:sz w:val="20"/>
                      <w:szCs w:val="20"/>
                      <w:lang w:eastAsia="ja-JP"/>
                    </w:rPr>
                  </w:pPr>
                  <w:r w:rsidRPr="0098635C">
                    <w:rPr>
                      <w:color w:val="000000"/>
                      <w:sz w:val="20"/>
                      <w:szCs w:val="20"/>
                      <w:lang w:eastAsia="ja-JP"/>
                    </w:rPr>
                    <w:t>Dose: 0, 6, 9, 18 mg Cu/kg bw/day</w:t>
                  </w:r>
                </w:p>
              </w:tc>
              <w:tc>
                <w:tcPr>
                  <w:tcW w:w="2040" w:type="pct"/>
                </w:tcPr>
                <w:p w14:paraId="7B1C844D" w14:textId="77777777" w:rsidR="002C2BB0" w:rsidRPr="0098635C" w:rsidRDefault="002C2BB0" w:rsidP="002C2BB0">
                  <w:pPr>
                    <w:spacing w:after="0"/>
                    <w:rPr>
                      <w:rFonts w:eastAsia="PMingLiU"/>
                      <w:bCs/>
                      <w:sz w:val="20"/>
                      <w:szCs w:val="20"/>
                      <w:lang w:eastAsia="zh-TW"/>
                    </w:rPr>
                  </w:pPr>
                  <w:r w:rsidRPr="0098635C">
                    <w:rPr>
                      <w:rFonts w:eastAsia="PMingLiU"/>
                      <w:bCs/>
                      <w:sz w:val="20"/>
                      <w:szCs w:val="20"/>
                      <w:lang w:eastAsia="zh-TW"/>
                    </w:rPr>
                    <w:t>Maternal toxicity reported at 9 mg/kg bw/d (ina</w:t>
                  </w:r>
                  <w:r w:rsidRPr="0098635C">
                    <w:rPr>
                      <w:rFonts w:eastAsia="PMingLiU"/>
                      <w:bCs/>
                      <w:sz w:val="20"/>
                      <w:szCs w:val="20"/>
                      <w:lang w:eastAsia="zh-TW"/>
                    </w:rPr>
                    <w:t>p</w:t>
                  </w:r>
                  <w:r w:rsidRPr="0098635C">
                    <w:rPr>
                      <w:rFonts w:eastAsia="PMingLiU"/>
                      <w:bCs/>
                      <w:sz w:val="20"/>
                      <w:szCs w:val="20"/>
                      <w:lang w:eastAsia="zh-TW"/>
                    </w:rPr>
                    <w:t>petance and initial weight loss) and 18 mg/kg bw/d (deaths, weight loss). E</w:t>
                  </w:r>
                  <w:r w:rsidRPr="0098635C">
                    <w:rPr>
                      <w:rFonts w:eastAsia="PMingLiU"/>
                      <w:bCs/>
                      <w:sz w:val="20"/>
                      <w:szCs w:val="20"/>
                      <w:lang w:eastAsia="zh-TW"/>
                    </w:rPr>
                    <w:t>f</w:t>
                  </w:r>
                  <w:r w:rsidRPr="0098635C">
                    <w:rPr>
                      <w:rFonts w:eastAsia="PMingLiU"/>
                      <w:bCs/>
                      <w:sz w:val="20"/>
                      <w:szCs w:val="20"/>
                      <w:lang w:eastAsia="zh-TW"/>
                    </w:rPr>
                    <w:t>fects on foetus (increased incidence of some co</w:t>
                  </w:r>
                  <w:r w:rsidRPr="0098635C">
                    <w:rPr>
                      <w:rFonts w:eastAsia="PMingLiU"/>
                      <w:bCs/>
                      <w:sz w:val="20"/>
                      <w:szCs w:val="20"/>
                      <w:lang w:eastAsia="zh-TW"/>
                    </w:rPr>
                    <w:t>m</w:t>
                  </w:r>
                  <w:r w:rsidRPr="0098635C">
                    <w:rPr>
                      <w:rFonts w:eastAsia="PMingLiU"/>
                      <w:bCs/>
                      <w:sz w:val="20"/>
                      <w:szCs w:val="20"/>
                      <w:lang w:eastAsia="zh-TW"/>
                    </w:rPr>
                    <w:t>mon skeletal variants and 9 and 18 mg/kg d.</w:t>
                  </w:r>
                </w:p>
                <w:p w14:paraId="100C88AB" w14:textId="77777777" w:rsidR="002C2BB0" w:rsidRPr="0098635C" w:rsidRDefault="002C2BB0" w:rsidP="002C2BB0">
                  <w:pPr>
                    <w:spacing w:after="0"/>
                    <w:rPr>
                      <w:rFonts w:eastAsia="PMingLiU"/>
                      <w:bCs/>
                      <w:sz w:val="20"/>
                      <w:szCs w:val="20"/>
                      <w:lang w:eastAsia="zh-TW"/>
                    </w:rPr>
                  </w:pPr>
                </w:p>
                <w:p w14:paraId="4BE3C3FD" w14:textId="77777777" w:rsidR="002C2BB0" w:rsidRPr="0098635C" w:rsidRDefault="002C2BB0" w:rsidP="002C2BB0">
                  <w:pPr>
                    <w:spacing w:after="0"/>
                    <w:rPr>
                      <w:rFonts w:eastAsia="PMingLiU"/>
                      <w:bCs/>
                      <w:sz w:val="20"/>
                      <w:szCs w:val="20"/>
                      <w:lang w:eastAsia="zh-TW"/>
                    </w:rPr>
                  </w:pPr>
                  <w:r w:rsidRPr="0098635C">
                    <w:rPr>
                      <w:rFonts w:eastAsia="PMingLiU"/>
                      <w:bCs/>
                      <w:sz w:val="20"/>
                      <w:szCs w:val="20"/>
                      <w:lang w:eastAsia="zh-TW"/>
                    </w:rPr>
                    <w:t>NOAEL maternal toxicity 6 mg/kg bw/day</w:t>
                  </w:r>
                </w:p>
                <w:p w14:paraId="7BE29FC4" w14:textId="77777777" w:rsidR="002C2BB0" w:rsidRPr="0098635C" w:rsidRDefault="002C2BB0" w:rsidP="002C2BB0">
                  <w:pPr>
                    <w:spacing w:after="0"/>
                    <w:rPr>
                      <w:rFonts w:eastAsia="PMingLiU"/>
                      <w:bCs/>
                      <w:sz w:val="20"/>
                      <w:szCs w:val="20"/>
                      <w:lang w:eastAsia="zh-TW"/>
                    </w:rPr>
                  </w:pPr>
                </w:p>
                <w:p w14:paraId="401820C2" w14:textId="77777777" w:rsidR="002C2BB0" w:rsidRPr="0098635C" w:rsidRDefault="002C2BB0" w:rsidP="002C2BB0">
                  <w:pPr>
                    <w:spacing w:after="0"/>
                    <w:rPr>
                      <w:rFonts w:eastAsia="PMingLiU"/>
                      <w:bCs/>
                      <w:sz w:val="20"/>
                      <w:szCs w:val="20"/>
                      <w:lang w:eastAsia="zh-TW"/>
                    </w:rPr>
                  </w:pPr>
                  <w:r w:rsidRPr="0098635C">
                    <w:rPr>
                      <w:rFonts w:eastAsia="PMingLiU"/>
                      <w:bCs/>
                      <w:sz w:val="20"/>
                      <w:szCs w:val="20"/>
                      <w:lang w:eastAsia="zh-TW"/>
                    </w:rPr>
                    <w:t xml:space="preserve">NOAEL teratogenicity 6 mg/kg bw/day </w:t>
                  </w:r>
                </w:p>
                <w:p w14:paraId="78AD845F" w14:textId="77777777" w:rsidR="002C2BB0" w:rsidRPr="0098635C" w:rsidRDefault="002C2BB0" w:rsidP="002C2BB0">
                  <w:pPr>
                    <w:spacing w:after="0"/>
                    <w:ind w:left="39"/>
                    <w:rPr>
                      <w:color w:val="000000"/>
                      <w:sz w:val="20"/>
                      <w:szCs w:val="20"/>
                      <w:lang w:eastAsia="ja-JP"/>
                    </w:rPr>
                  </w:pPr>
                  <w:r w:rsidRPr="0098635C" w:rsidDel="005B79E7">
                    <w:rPr>
                      <w:color w:val="000000"/>
                      <w:sz w:val="20"/>
                      <w:szCs w:val="20"/>
                      <w:lang w:eastAsia="ja-JP"/>
                    </w:rPr>
                    <w:t xml:space="preserve"> </w:t>
                  </w:r>
                </w:p>
              </w:tc>
            </w:tr>
            <w:tr w:rsidR="002C2BB0" w:rsidRPr="0098635C" w14:paraId="056A9A81" w14:textId="77777777" w:rsidTr="002C2BB0">
              <w:trPr>
                <w:trHeight w:val="1132"/>
              </w:trPr>
              <w:tc>
                <w:tcPr>
                  <w:tcW w:w="1413" w:type="pct"/>
                  <w:vAlign w:val="center"/>
                </w:tcPr>
                <w:p w14:paraId="52F6AD0F" w14:textId="77777777" w:rsidR="002C2BB0" w:rsidRPr="0098635C" w:rsidRDefault="002C2BB0" w:rsidP="002C2BB0">
                  <w:pPr>
                    <w:spacing w:after="0"/>
                    <w:ind w:left="77"/>
                    <w:rPr>
                      <w:color w:val="000000"/>
                      <w:sz w:val="20"/>
                      <w:szCs w:val="20"/>
                      <w:lang w:eastAsia="ja-JP"/>
                    </w:rPr>
                  </w:pPr>
                  <w:r w:rsidRPr="0098635C">
                    <w:rPr>
                      <w:color w:val="000000"/>
                      <w:sz w:val="20"/>
                      <w:szCs w:val="20"/>
                      <w:lang w:eastAsia="ja-JP"/>
                    </w:rPr>
                    <w:t>Copper sulphate pe</w:t>
                  </w:r>
                  <w:r w:rsidRPr="0098635C">
                    <w:rPr>
                      <w:color w:val="000000"/>
                      <w:sz w:val="20"/>
                      <w:szCs w:val="20"/>
                      <w:lang w:eastAsia="ja-JP"/>
                    </w:rPr>
                    <w:t>n</w:t>
                  </w:r>
                  <w:r w:rsidRPr="0098635C">
                    <w:rPr>
                      <w:color w:val="000000"/>
                      <w:sz w:val="20"/>
                      <w:szCs w:val="20"/>
                      <w:lang w:eastAsia="ja-JP"/>
                    </w:rPr>
                    <w:t>tahydrate</w:t>
                  </w:r>
                </w:p>
              </w:tc>
              <w:tc>
                <w:tcPr>
                  <w:tcW w:w="1547" w:type="pct"/>
                </w:tcPr>
                <w:p w14:paraId="5C5A0BB0" w14:textId="77777777" w:rsidR="002C2BB0" w:rsidRPr="0098635C" w:rsidRDefault="002C2BB0" w:rsidP="002C2BB0">
                  <w:pPr>
                    <w:spacing w:after="0"/>
                    <w:rPr>
                      <w:color w:val="000000"/>
                      <w:sz w:val="20"/>
                      <w:szCs w:val="20"/>
                      <w:lang w:eastAsia="ja-JP"/>
                    </w:rPr>
                  </w:pPr>
                  <w:r w:rsidRPr="0098635C">
                    <w:rPr>
                      <w:color w:val="000000"/>
                      <w:sz w:val="20"/>
                      <w:szCs w:val="20"/>
                      <w:lang w:eastAsia="ja-JP"/>
                    </w:rPr>
                    <w:t>OECD 416 Multi-generation</w:t>
                  </w:r>
                </w:p>
                <w:p w14:paraId="057F46B8" w14:textId="77777777" w:rsidR="002C2BB0" w:rsidRPr="0098635C" w:rsidRDefault="002C2BB0" w:rsidP="002C2BB0">
                  <w:pPr>
                    <w:spacing w:after="0"/>
                    <w:rPr>
                      <w:color w:val="000000"/>
                      <w:sz w:val="20"/>
                      <w:szCs w:val="20"/>
                      <w:lang w:eastAsia="ja-JP"/>
                    </w:rPr>
                  </w:pPr>
                  <w:r w:rsidRPr="0098635C">
                    <w:rPr>
                      <w:color w:val="000000"/>
                      <w:sz w:val="20"/>
                      <w:szCs w:val="20"/>
                      <w:lang w:eastAsia="ja-JP"/>
                    </w:rPr>
                    <w:t>Rat m/f</w:t>
                  </w:r>
                </w:p>
                <w:p w14:paraId="7EC8A3E8" w14:textId="77777777" w:rsidR="002C2BB0" w:rsidRPr="0098635C" w:rsidRDefault="002C2BB0" w:rsidP="002C2BB0">
                  <w:pPr>
                    <w:spacing w:after="0"/>
                    <w:rPr>
                      <w:color w:val="000000"/>
                      <w:sz w:val="20"/>
                      <w:szCs w:val="20"/>
                      <w:lang w:eastAsia="ja-JP"/>
                    </w:rPr>
                  </w:pPr>
                  <w:r w:rsidRPr="0098635C">
                    <w:rPr>
                      <w:color w:val="000000"/>
                      <w:sz w:val="20"/>
                      <w:szCs w:val="20"/>
                      <w:lang w:eastAsia="ja-JP"/>
                    </w:rPr>
                    <w:t>0, 100, 500, 1000, 1500 ppm in diet</w:t>
                  </w:r>
                </w:p>
                <w:p w14:paraId="7244FBC8" w14:textId="77777777" w:rsidR="002C2BB0" w:rsidRPr="0098635C" w:rsidRDefault="002C2BB0" w:rsidP="002C2BB0">
                  <w:pPr>
                    <w:spacing w:after="0"/>
                    <w:rPr>
                      <w:color w:val="000000"/>
                      <w:sz w:val="20"/>
                      <w:szCs w:val="20"/>
                      <w:lang w:eastAsia="ja-JP"/>
                    </w:rPr>
                  </w:pPr>
                  <w:r w:rsidRPr="0098635C">
                    <w:rPr>
                      <w:color w:val="000000"/>
                      <w:sz w:val="20"/>
                      <w:szCs w:val="20"/>
                      <w:lang w:eastAsia="ja-JP"/>
                    </w:rPr>
                    <w:t>Two-generation study</w:t>
                  </w:r>
                </w:p>
                <w:p w14:paraId="5B7C1546" w14:textId="77777777" w:rsidR="002C2BB0" w:rsidRPr="0098635C" w:rsidRDefault="002C2BB0" w:rsidP="002C2BB0">
                  <w:pPr>
                    <w:spacing w:after="0"/>
                    <w:rPr>
                      <w:color w:val="000000"/>
                      <w:sz w:val="20"/>
                      <w:szCs w:val="20"/>
                      <w:lang w:eastAsia="ja-JP"/>
                    </w:rPr>
                  </w:pPr>
                  <w:r w:rsidRPr="0098635C">
                    <w:rPr>
                      <w:color w:val="000000"/>
                      <w:sz w:val="20"/>
                      <w:szCs w:val="20"/>
                      <w:lang w:eastAsia="ja-JP"/>
                    </w:rPr>
                    <w:t>Exposure &gt;= 70d before ma</w:t>
                  </w:r>
                  <w:r w:rsidRPr="0098635C">
                    <w:rPr>
                      <w:color w:val="000000"/>
                      <w:sz w:val="20"/>
                      <w:szCs w:val="20"/>
                      <w:lang w:eastAsia="ja-JP"/>
                    </w:rPr>
                    <w:t>t</w:t>
                  </w:r>
                  <w:r w:rsidRPr="0098635C">
                    <w:rPr>
                      <w:color w:val="000000"/>
                      <w:sz w:val="20"/>
                      <w:szCs w:val="20"/>
                      <w:lang w:eastAsia="ja-JP"/>
                    </w:rPr>
                    <w:t>ing</w:t>
                  </w:r>
                </w:p>
              </w:tc>
              <w:tc>
                <w:tcPr>
                  <w:tcW w:w="2040" w:type="pct"/>
                </w:tcPr>
                <w:p w14:paraId="424914BE"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1500 ppm or 23.6 mg Cu/kg bw/day (m) (P)</w:t>
                  </w:r>
                </w:p>
                <w:p w14:paraId="08AD8F99"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1000 ppm (F1 and F2)  or 26.7 mg Cu/kg bw/day – reduced spleen weight (f)</w:t>
                  </w:r>
                </w:p>
              </w:tc>
            </w:tr>
            <w:tr w:rsidR="002C2BB0" w:rsidRPr="0098635C" w14:paraId="55230B06" w14:textId="77777777" w:rsidTr="002C2BB0">
              <w:trPr>
                <w:trHeight w:val="1132"/>
              </w:trPr>
              <w:tc>
                <w:tcPr>
                  <w:tcW w:w="1413" w:type="pct"/>
                  <w:vAlign w:val="center"/>
                </w:tcPr>
                <w:p w14:paraId="65B609FF" w14:textId="77777777" w:rsidR="002C2BB0" w:rsidRPr="0098635C" w:rsidRDefault="002C2BB0" w:rsidP="002C2BB0">
                  <w:pPr>
                    <w:spacing w:after="0"/>
                    <w:ind w:left="77"/>
                    <w:rPr>
                      <w:color w:val="000000"/>
                      <w:sz w:val="20"/>
                      <w:szCs w:val="20"/>
                      <w:lang w:eastAsia="ja-JP"/>
                    </w:rPr>
                  </w:pPr>
                  <w:r w:rsidRPr="0098635C">
                    <w:rPr>
                      <w:color w:val="000000"/>
                      <w:sz w:val="20"/>
                      <w:szCs w:val="20"/>
                      <w:lang w:eastAsia="ja-JP"/>
                    </w:rPr>
                    <w:t>Dicopper chl</w:t>
                  </w:r>
                  <w:r w:rsidRPr="0098635C">
                    <w:rPr>
                      <w:color w:val="000000"/>
                      <w:sz w:val="20"/>
                      <w:szCs w:val="20"/>
                      <w:lang w:eastAsia="ja-JP"/>
                    </w:rPr>
                    <w:t>o</w:t>
                  </w:r>
                  <w:r w:rsidRPr="0098635C">
                    <w:rPr>
                      <w:color w:val="000000"/>
                      <w:sz w:val="20"/>
                      <w:szCs w:val="20"/>
                      <w:lang w:eastAsia="ja-JP"/>
                    </w:rPr>
                    <w:t>ride</w:t>
                  </w:r>
                </w:p>
              </w:tc>
              <w:tc>
                <w:tcPr>
                  <w:tcW w:w="1547" w:type="pct"/>
                </w:tcPr>
                <w:p w14:paraId="13AA7240" w14:textId="77777777" w:rsidR="002C2BB0" w:rsidRPr="0098635C" w:rsidRDefault="002C2BB0" w:rsidP="002C2BB0">
                  <w:pPr>
                    <w:spacing w:after="0"/>
                    <w:rPr>
                      <w:color w:val="000000"/>
                      <w:sz w:val="20"/>
                      <w:szCs w:val="20"/>
                      <w:lang w:eastAsia="ja-JP"/>
                    </w:rPr>
                  </w:pPr>
                  <w:r w:rsidRPr="0098635C">
                    <w:rPr>
                      <w:color w:val="000000"/>
                      <w:sz w:val="20"/>
                      <w:szCs w:val="20"/>
                      <w:lang w:eastAsia="ja-JP"/>
                    </w:rPr>
                    <w:t>OECD 422</w:t>
                  </w:r>
                </w:p>
                <w:p w14:paraId="0CEDC956" w14:textId="77777777" w:rsidR="002C2BB0" w:rsidRPr="0098635C" w:rsidRDefault="002C2BB0" w:rsidP="002C2BB0">
                  <w:pPr>
                    <w:spacing w:after="0"/>
                    <w:rPr>
                      <w:color w:val="000000"/>
                      <w:sz w:val="20"/>
                      <w:szCs w:val="20"/>
                      <w:lang w:eastAsia="ja-JP"/>
                    </w:rPr>
                  </w:pPr>
                  <w:r w:rsidRPr="0098635C">
                    <w:rPr>
                      <w:color w:val="000000"/>
                      <w:sz w:val="20"/>
                      <w:szCs w:val="20"/>
                      <w:lang w:eastAsia="ja-JP"/>
                    </w:rPr>
                    <w:t>Rat m/f</w:t>
                  </w:r>
                </w:p>
                <w:p w14:paraId="195191AE" w14:textId="77777777" w:rsidR="002C2BB0" w:rsidRPr="0098635C" w:rsidRDefault="002C2BB0" w:rsidP="002C2BB0">
                  <w:pPr>
                    <w:spacing w:after="0"/>
                    <w:rPr>
                      <w:color w:val="000000"/>
                      <w:sz w:val="20"/>
                      <w:szCs w:val="20"/>
                      <w:lang w:eastAsia="ja-JP"/>
                    </w:rPr>
                  </w:pPr>
                  <w:r w:rsidRPr="0098635C">
                    <w:rPr>
                      <w:color w:val="000000"/>
                      <w:sz w:val="20"/>
                      <w:szCs w:val="20"/>
                      <w:lang w:eastAsia="ja-JP"/>
                    </w:rPr>
                    <w:t>0, 0.8, 3.2, 12.9, 51.7 mgCu/kg bw/day</w:t>
                  </w:r>
                </w:p>
                <w:p w14:paraId="694E84D8" w14:textId="77777777" w:rsidR="002C2BB0" w:rsidRPr="0098635C" w:rsidRDefault="002C2BB0" w:rsidP="002C2BB0">
                  <w:pPr>
                    <w:spacing w:after="0"/>
                    <w:rPr>
                      <w:color w:val="000000"/>
                      <w:sz w:val="20"/>
                      <w:szCs w:val="20"/>
                      <w:lang w:eastAsia="ja-JP"/>
                    </w:rPr>
                  </w:pPr>
                  <w:r w:rsidRPr="0098635C">
                    <w:rPr>
                      <w:color w:val="000000"/>
                      <w:sz w:val="20"/>
                      <w:szCs w:val="20"/>
                      <w:lang w:eastAsia="ja-JP"/>
                    </w:rPr>
                    <w:t>Reproto</w:t>
                  </w:r>
                  <w:r w:rsidRPr="0098635C">
                    <w:rPr>
                      <w:color w:val="000000"/>
                      <w:sz w:val="20"/>
                      <w:szCs w:val="20"/>
                      <w:lang w:eastAsia="ja-JP"/>
                    </w:rPr>
                    <w:t>x</w:t>
                  </w:r>
                  <w:r w:rsidRPr="0098635C">
                    <w:rPr>
                      <w:color w:val="000000"/>
                      <w:sz w:val="20"/>
                      <w:szCs w:val="20"/>
                      <w:lang w:eastAsia="ja-JP"/>
                    </w:rPr>
                    <w:t>city/developmental toxicity screening test</w:t>
                  </w:r>
                </w:p>
              </w:tc>
              <w:tc>
                <w:tcPr>
                  <w:tcW w:w="2040" w:type="pct"/>
                </w:tcPr>
                <w:p w14:paraId="044B3AFF" w14:textId="77777777" w:rsidR="002C2BB0" w:rsidRPr="0098635C" w:rsidRDefault="002C2BB0" w:rsidP="002C2BB0">
                  <w:pPr>
                    <w:spacing w:after="0"/>
                    <w:ind w:left="39"/>
                    <w:rPr>
                      <w:color w:val="000000"/>
                      <w:sz w:val="20"/>
                      <w:szCs w:val="20"/>
                      <w:lang w:eastAsia="ja-JP"/>
                    </w:rPr>
                  </w:pPr>
                  <w:r w:rsidRPr="0098635C">
                    <w:rPr>
                      <w:color w:val="000000"/>
                      <w:sz w:val="20"/>
                      <w:szCs w:val="20"/>
                      <w:lang w:eastAsia="ja-JP"/>
                    </w:rPr>
                    <w:t>12.9 mg Cu/kg bw/day based on sy</w:t>
                  </w:r>
                  <w:r w:rsidRPr="0098635C">
                    <w:rPr>
                      <w:color w:val="000000"/>
                      <w:sz w:val="20"/>
                      <w:szCs w:val="20"/>
                      <w:lang w:eastAsia="ja-JP"/>
                    </w:rPr>
                    <w:t>s</w:t>
                  </w:r>
                  <w:r w:rsidRPr="0098635C">
                    <w:rPr>
                      <w:color w:val="000000"/>
                      <w:sz w:val="20"/>
                      <w:szCs w:val="20"/>
                      <w:lang w:eastAsia="ja-JP"/>
                    </w:rPr>
                    <w:t>temic and reprotoxic effects</w:t>
                  </w:r>
                </w:p>
              </w:tc>
            </w:tr>
          </w:tbl>
          <w:p w14:paraId="3C6ABC79" w14:textId="77777777" w:rsidR="002C2BB0" w:rsidRPr="0098635C" w:rsidRDefault="002C2BB0" w:rsidP="002C2BB0">
            <w:pPr>
              <w:spacing w:after="0"/>
              <w:ind w:right="215"/>
              <w:rPr>
                <w:sz w:val="20"/>
                <w:szCs w:val="20"/>
              </w:rPr>
            </w:pPr>
            <w:r w:rsidRPr="0098635C">
              <w:rPr>
                <w:sz w:val="20"/>
                <w:szCs w:val="20"/>
              </w:rPr>
              <w:t>In the teratogenicity study, maternal toxicity was represented by initial weight loss. These effects are consi</w:t>
            </w:r>
            <w:r w:rsidRPr="0098635C">
              <w:rPr>
                <w:sz w:val="20"/>
                <w:szCs w:val="20"/>
              </w:rPr>
              <w:t>d</w:t>
            </w:r>
            <w:r w:rsidRPr="0098635C">
              <w:rPr>
                <w:sz w:val="20"/>
                <w:szCs w:val="20"/>
              </w:rPr>
              <w:t>ered to be local effects on the stomach in rabbits which result from gavage administration of copper hydroxide. Consequently, it is considered inappropriate to use data on maternal toxicity from this study as the basis of a repeat-dose NOAEL for copper. The spleen effect cannot be considered a reproductive effect. The existing to</w:t>
            </w:r>
            <w:r w:rsidRPr="0098635C">
              <w:rPr>
                <w:sz w:val="20"/>
                <w:szCs w:val="20"/>
              </w:rPr>
              <w:t>x</w:t>
            </w:r>
            <w:r w:rsidRPr="0098635C">
              <w:rPr>
                <w:sz w:val="20"/>
                <w:szCs w:val="20"/>
              </w:rPr>
              <w:t>icology data therefore supports the conclusion that copper has no reproductive or developmental toxicity p</w:t>
            </w:r>
            <w:r w:rsidRPr="0098635C">
              <w:rPr>
                <w:sz w:val="20"/>
                <w:szCs w:val="20"/>
              </w:rPr>
              <w:t>o</w:t>
            </w:r>
            <w:r w:rsidRPr="0098635C">
              <w:rPr>
                <w:sz w:val="20"/>
                <w:szCs w:val="20"/>
              </w:rPr>
              <w:t xml:space="preserve">tential. </w:t>
            </w:r>
          </w:p>
          <w:p w14:paraId="65CD38E2" w14:textId="77777777" w:rsidR="002C2BB0" w:rsidRPr="0098635C" w:rsidRDefault="002C2BB0" w:rsidP="002C2BB0">
            <w:pPr>
              <w:tabs>
                <w:tab w:val="left" w:pos="357"/>
                <w:tab w:val="left" w:pos="714"/>
                <w:tab w:val="left" w:pos="1072"/>
                <w:tab w:val="left" w:pos="1429"/>
                <w:tab w:val="left" w:pos="1786"/>
                <w:tab w:val="left" w:pos="2143"/>
                <w:tab w:val="left" w:pos="2500"/>
                <w:tab w:val="left" w:pos="2858"/>
                <w:tab w:val="left" w:pos="3215"/>
                <w:tab w:val="left" w:pos="3572"/>
                <w:tab w:val="left" w:pos="3929"/>
                <w:tab w:val="left" w:pos="4287"/>
                <w:tab w:val="left" w:pos="4644"/>
                <w:tab w:val="left" w:pos="5001"/>
                <w:tab w:val="left" w:pos="5358"/>
                <w:tab w:val="left" w:pos="5715"/>
                <w:tab w:val="left" w:pos="6073"/>
                <w:tab w:val="left" w:pos="6430"/>
                <w:tab w:val="left" w:pos="6787"/>
                <w:tab w:val="left" w:pos="7144"/>
                <w:tab w:val="left" w:pos="7501"/>
                <w:tab w:val="left" w:pos="7859"/>
                <w:tab w:val="left" w:pos="8216"/>
                <w:tab w:val="left" w:pos="8573"/>
                <w:tab w:val="left" w:pos="8930"/>
                <w:tab w:val="left" w:pos="9287"/>
                <w:tab w:val="left" w:pos="9645"/>
                <w:tab w:val="left" w:pos="10002"/>
                <w:tab w:val="left" w:pos="10359"/>
                <w:tab w:val="left" w:pos="10716"/>
                <w:tab w:val="left" w:pos="11074"/>
                <w:tab w:val="left" w:pos="11431"/>
                <w:tab w:val="left" w:pos="11788"/>
                <w:tab w:val="left" w:pos="12145"/>
                <w:tab w:val="left" w:pos="12502"/>
                <w:tab w:val="left" w:pos="12860"/>
                <w:tab w:val="left" w:pos="13217"/>
                <w:tab w:val="left" w:pos="13574"/>
                <w:tab w:val="left" w:pos="13931"/>
                <w:tab w:val="left" w:pos="14288"/>
                <w:tab w:val="left" w:pos="14646"/>
                <w:tab w:val="left" w:pos="15003"/>
                <w:tab w:val="left" w:pos="15360"/>
                <w:tab w:val="left" w:pos="15717"/>
                <w:tab w:val="left" w:pos="16074"/>
                <w:tab w:val="left" w:pos="16432"/>
              </w:tabs>
              <w:spacing w:after="0"/>
              <w:ind w:right="215"/>
              <w:rPr>
                <w:sz w:val="20"/>
                <w:szCs w:val="20"/>
              </w:rPr>
            </w:pPr>
            <w:r w:rsidRPr="0098635C">
              <w:rPr>
                <w:sz w:val="20"/>
                <w:szCs w:val="20"/>
              </w:rPr>
              <w:t>The results of multi-generation study indicates that under the conditions of this study, the no-observed-adverse-effect level (NOAEL) for reproductive toxicity was 1500 ppm (23.6 mg Cu/kg bw/day), the highest concentr</w:t>
            </w:r>
            <w:r w:rsidRPr="0098635C">
              <w:rPr>
                <w:sz w:val="20"/>
                <w:szCs w:val="20"/>
              </w:rPr>
              <w:t>a</w:t>
            </w:r>
            <w:r w:rsidRPr="0098635C">
              <w:rPr>
                <w:sz w:val="20"/>
                <w:szCs w:val="20"/>
              </w:rPr>
              <w:t>tion tested. The NOAEL for P1 and F1 rats and F1 and F2 offspring during lactation was 1000 ppm, based on reduced spleen weight in P1 adult females, and F1 and F2 male and female weanlings at 1500 ppm however the transient reduced spleen weights are not considered a reproductive endpoint as it did not affect growth or fertil</w:t>
            </w:r>
            <w:r w:rsidRPr="0098635C">
              <w:rPr>
                <w:sz w:val="20"/>
                <w:szCs w:val="20"/>
              </w:rPr>
              <w:t>i</w:t>
            </w:r>
            <w:r w:rsidRPr="0098635C">
              <w:rPr>
                <w:sz w:val="20"/>
                <w:szCs w:val="20"/>
              </w:rPr>
              <w:t xml:space="preserve">ty. </w:t>
            </w:r>
          </w:p>
          <w:p w14:paraId="0D0C2885" w14:textId="77777777" w:rsidR="002C2BB0" w:rsidRPr="0098635C" w:rsidRDefault="002C2BB0" w:rsidP="002C2BB0">
            <w:pPr>
              <w:spacing w:after="0"/>
              <w:rPr>
                <w:sz w:val="20"/>
                <w:szCs w:val="20"/>
              </w:rPr>
            </w:pPr>
          </w:p>
          <w:p w14:paraId="267B37CE" w14:textId="77777777" w:rsidR="002C2BB0" w:rsidRPr="0098635C" w:rsidRDefault="002C2BB0" w:rsidP="002C2BB0">
            <w:pPr>
              <w:spacing w:after="0"/>
              <w:rPr>
                <w:b/>
                <w:sz w:val="20"/>
                <w:szCs w:val="20"/>
              </w:rPr>
            </w:pPr>
            <w:r w:rsidRPr="0098635C">
              <w:rPr>
                <w:b/>
                <w:sz w:val="20"/>
                <w:szCs w:val="20"/>
              </w:rPr>
              <w:t>Three of the substances and one form of zero valent copper in this category present a hazard for human health, based notably on the r</w:t>
            </w:r>
            <w:r w:rsidRPr="0098635C">
              <w:rPr>
                <w:b/>
                <w:sz w:val="20"/>
                <w:szCs w:val="20"/>
              </w:rPr>
              <w:t>e</w:t>
            </w:r>
            <w:r w:rsidRPr="0098635C">
              <w:rPr>
                <w:b/>
                <w:sz w:val="20"/>
                <w:szCs w:val="20"/>
              </w:rPr>
              <w:t xml:space="preserve">lease/bioaccessibility of copper ions. </w:t>
            </w:r>
          </w:p>
          <w:p w14:paraId="6018AA3B" w14:textId="77777777" w:rsidR="002C2BB0" w:rsidRPr="0098635C" w:rsidRDefault="002C2BB0" w:rsidP="0059369A">
            <w:pPr>
              <w:widowControl/>
              <w:numPr>
                <w:ilvl w:val="0"/>
                <w:numId w:val="37"/>
              </w:numPr>
              <w:autoSpaceDE/>
              <w:autoSpaceDN/>
              <w:adjustRightInd/>
              <w:spacing w:after="0"/>
              <w:ind w:right="214"/>
              <w:rPr>
                <w:b/>
                <w:sz w:val="20"/>
                <w:szCs w:val="20"/>
              </w:rPr>
            </w:pPr>
            <w:r w:rsidRPr="0098635C">
              <w:rPr>
                <w:b/>
                <w:sz w:val="20"/>
                <w:szCs w:val="20"/>
              </w:rPr>
              <w:t>Copper sulphate pentahydrate: severe eye irritation and acute ha</w:t>
            </w:r>
            <w:r w:rsidRPr="0098635C">
              <w:rPr>
                <w:b/>
                <w:sz w:val="20"/>
                <w:szCs w:val="20"/>
              </w:rPr>
              <w:t>z</w:t>
            </w:r>
            <w:r w:rsidRPr="0098635C">
              <w:rPr>
                <w:b/>
                <w:sz w:val="20"/>
                <w:szCs w:val="20"/>
              </w:rPr>
              <w:t xml:space="preserve">ard by the oral route. </w:t>
            </w:r>
          </w:p>
          <w:p w14:paraId="2D4795D1" w14:textId="77777777" w:rsidR="002C2BB0" w:rsidRPr="0098635C" w:rsidRDefault="002C2BB0" w:rsidP="0059369A">
            <w:pPr>
              <w:widowControl/>
              <w:numPr>
                <w:ilvl w:val="0"/>
                <w:numId w:val="37"/>
              </w:numPr>
              <w:autoSpaceDE/>
              <w:autoSpaceDN/>
              <w:adjustRightInd/>
              <w:spacing w:after="0"/>
              <w:ind w:right="214"/>
              <w:rPr>
                <w:b/>
                <w:sz w:val="20"/>
                <w:szCs w:val="20"/>
              </w:rPr>
            </w:pPr>
            <w:r w:rsidRPr="0098635C">
              <w:rPr>
                <w:b/>
                <w:sz w:val="20"/>
                <w:szCs w:val="20"/>
              </w:rPr>
              <w:t xml:space="preserve">Dicopper oxide: severe eye irritation, acute hazard by the oral and inhalation routes. </w:t>
            </w:r>
          </w:p>
          <w:p w14:paraId="2E4B3A7C" w14:textId="77777777" w:rsidR="002C2BB0" w:rsidRPr="0098635C" w:rsidRDefault="002C2BB0" w:rsidP="0059369A">
            <w:pPr>
              <w:widowControl/>
              <w:numPr>
                <w:ilvl w:val="0"/>
                <w:numId w:val="37"/>
              </w:numPr>
              <w:autoSpaceDE/>
              <w:autoSpaceDN/>
              <w:adjustRightInd/>
              <w:spacing w:after="0"/>
              <w:ind w:right="214"/>
              <w:rPr>
                <w:b/>
                <w:sz w:val="20"/>
                <w:szCs w:val="20"/>
              </w:rPr>
            </w:pPr>
            <w:r w:rsidRPr="0098635C">
              <w:rPr>
                <w:b/>
                <w:sz w:val="20"/>
                <w:szCs w:val="20"/>
              </w:rPr>
              <w:t>Dicopper chl</w:t>
            </w:r>
            <w:r w:rsidRPr="0098635C">
              <w:rPr>
                <w:b/>
                <w:sz w:val="20"/>
                <w:szCs w:val="20"/>
              </w:rPr>
              <w:t>o</w:t>
            </w:r>
            <w:r w:rsidRPr="0098635C">
              <w:rPr>
                <w:b/>
                <w:sz w:val="20"/>
                <w:szCs w:val="20"/>
              </w:rPr>
              <w:t xml:space="preserve">ride hydroxide: acute hazard by the oral and inhalation route. </w:t>
            </w:r>
          </w:p>
          <w:p w14:paraId="170F6C6F" w14:textId="77777777" w:rsidR="002C2BB0" w:rsidRPr="0098635C" w:rsidRDefault="002C2BB0" w:rsidP="0059369A">
            <w:pPr>
              <w:widowControl/>
              <w:numPr>
                <w:ilvl w:val="0"/>
                <w:numId w:val="37"/>
              </w:numPr>
              <w:autoSpaceDE/>
              <w:autoSpaceDN/>
              <w:adjustRightInd/>
              <w:spacing w:after="0"/>
              <w:ind w:right="214"/>
              <w:rPr>
                <w:b/>
                <w:sz w:val="20"/>
                <w:szCs w:val="20"/>
              </w:rPr>
            </w:pPr>
            <w:r w:rsidRPr="0098635C">
              <w:rPr>
                <w:b/>
                <w:sz w:val="20"/>
                <w:szCs w:val="20"/>
              </w:rPr>
              <w:t xml:space="preserve">Coated copper flakes: eye irritation, acute hazard by the oral and inhalation routes. </w:t>
            </w:r>
          </w:p>
          <w:p w14:paraId="45BF9971" w14:textId="77777777" w:rsidR="002C2BB0" w:rsidRPr="0098635C" w:rsidRDefault="002C2BB0" w:rsidP="002C2BB0">
            <w:pPr>
              <w:spacing w:after="0"/>
              <w:ind w:left="644"/>
              <w:rPr>
                <w:b/>
                <w:sz w:val="20"/>
                <w:szCs w:val="20"/>
              </w:rPr>
            </w:pPr>
            <w:r w:rsidRPr="0098635C">
              <w:rPr>
                <w:b/>
                <w:sz w:val="20"/>
                <w:szCs w:val="20"/>
              </w:rPr>
              <w:t>Copper oxide, copper powder and copper massive do not pose a hazard to human health. In add</w:t>
            </w:r>
            <w:r w:rsidRPr="0098635C">
              <w:rPr>
                <w:b/>
                <w:sz w:val="20"/>
                <w:szCs w:val="20"/>
              </w:rPr>
              <w:t>i</w:t>
            </w:r>
            <w:r w:rsidRPr="0098635C">
              <w:rPr>
                <w:b/>
                <w:sz w:val="20"/>
                <w:szCs w:val="20"/>
              </w:rPr>
              <w:t>tion, the currently available evidence on the substances in the category do not cause concern for r</w:t>
            </w:r>
            <w:r w:rsidRPr="0098635C">
              <w:rPr>
                <w:b/>
                <w:sz w:val="20"/>
                <w:szCs w:val="20"/>
              </w:rPr>
              <w:t>e</w:t>
            </w:r>
            <w:r w:rsidRPr="0098635C">
              <w:rPr>
                <w:b/>
                <w:sz w:val="20"/>
                <w:szCs w:val="20"/>
              </w:rPr>
              <w:t xml:space="preserve">peated dose </w:t>
            </w:r>
            <w:r w:rsidRPr="0098635C">
              <w:rPr>
                <w:b/>
                <w:sz w:val="20"/>
                <w:szCs w:val="20"/>
              </w:rPr>
              <w:lastRenderedPageBreak/>
              <w:t>toxicity, genotoxicity, reprotoxicity and carcinogenic</w:t>
            </w:r>
            <w:r w:rsidRPr="0098635C">
              <w:rPr>
                <w:b/>
                <w:sz w:val="20"/>
                <w:szCs w:val="20"/>
              </w:rPr>
              <w:t>i</w:t>
            </w:r>
            <w:r w:rsidRPr="0098635C">
              <w:rPr>
                <w:b/>
                <w:sz w:val="20"/>
                <w:szCs w:val="20"/>
              </w:rPr>
              <w:t xml:space="preserve">ty.  </w:t>
            </w:r>
          </w:p>
          <w:p w14:paraId="626E69F4" w14:textId="77777777" w:rsidR="002C2BB0" w:rsidRPr="0098635C" w:rsidRDefault="002C2BB0" w:rsidP="002C2BB0">
            <w:pPr>
              <w:spacing w:after="0"/>
              <w:rPr>
                <w:b/>
                <w:sz w:val="20"/>
                <w:szCs w:val="20"/>
              </w:rPr>
            </w:pPr>
            <w:r w:rsidRPr="0098635C">
              <w:rPr>
                <w:rFonts w:eastAsia="Malgun Gothic"/>
                <w:b/>
                <w:sz w:val="20"/>
                <w:szCs w:val="20"/>
                <w:lang w:eastAsia="ko-KR"/>
              </w:rPr>
              <w:t xml:space="preserve">Adequate screening-level data are available to characterize the human health hazard for the purposes of the </w:t>
            </w:r>
            <w:r w:rsidRPr="0098635C">
              <w:rPr>
                <w:b/>
                <w:sz w:val="20"/>
                <w:szCs w:val="20"/>
                <w:lang w:eastAsia="ko-KR"/>
              </w:rPr>
              <w:t>Cooperative Chemicals Assessment Pr</w:t>
            </w:r>
            <w:r w:rsidRPr="0098635C">
              <w:rPr>
                <w:b/>
                <w:sz w:val="20"/>
                <w:szCs w:val="20"/>
                <w:lang w:eastAsia="ko-KR"/>
              </w:rPr>
              <w:t>o</w:t>
            </w:r>
            <w:r w:rsidRPr="0098635C">
              <w:rPr>
                <w:b/>
                <w:sz w:val="20"/>
                <w:szCs w:val="20"/>
                <w:lang w:eastAsia="ko-KR"/>
              </w:rPr>
              <w:t>gramme.</w:t>
            </w:r>
          </w:p>
          <w:p w14:paraId="40E390AE" w14:textId="77777777" w:rsidR="002C2BB0" w:rsidRPr="0098635C" w:rsidRDefault="002C2BB0" w:rsidP="002C2BB0">
            <w:pPr>
              <w:pStyle w:val="Default"/>
              <w:ind w:left="284"/>
              <w:jc w:val="both"/>
              <w:rPr>
                <w:b/>
                <w:color w:val="auto"/>
                <w:sz w:val="20"/>
                <w:szCs w:val="20"/>
                <w:vertAlign w:val="superscript"/>
              </w:rPr>
            </w:pPr>
            <w:r w:rsidRPr="0098635C">
              <w:rPr>
                <w:b/>
                <w:color w:val="auto"/>
                <w:sz w:val="20"/>
                <w:szCs w:val="20"/>
              </w:rPr>
              <w:t>Note: A voluntary risk assessment of copper and copper compounds was performed in the context of the EU Existing Su</w:t>
            </w:r>
            <w:r w:rsidRPr="0098635C">
              <w:rPr>
                <w:b/>
                <w:color w:val="auto"/>
                <w:sz w:val="20"/>
                <w:szCs w:val="20"/>
              </w:rPr>
              <w:t>b</w:t>
            </w:r>
            <w:r w:rsidRPr="0098635C">
              <w:rPr>
                <w:b/>
                <w:color w:val="auto"/>
                <w:sz w:val="20"/>
                <w:szCs w:val="20"/>
              </w:rPr>
              <w:t>stances Regulation</w:t>
            </w:r>
          </w:p>
          <w:p w14:paraId="75323149" w14:textId="77777777" w:rsidR="002C2BB0" w:rsidRPr="0098635C" w:rsidRDefault="002C2BB0" w:rsidP="002C2BB0">
            <w:pPr>
              <w:tabs>
                <w:tab w:val="left" w:pos="357"/>
                <w:tab w:val="left" w:pos="714"/>
                <w:tab w:val="left" w:pos="1072"/>
                <w:tab w:val="left" w:pos="1429"/>
                <w:tab w:val="left" w:pos="1786"/>
                <w:tab w:val="left" w:pos="2143"/>
                <w:tab w:val="left" w:pos="2500"/>
                <w:tab w:val="left" w:pos="2858"/>
                <w:tab w:val="left" w:pos="3215"/>
                <w:tab w:val="left" w:pos="3572"/>
                <w:tab w:val="left" w:pos="3929"/>
                <w:tab w:val="left" w:pos="4287"/>
                <w:tab w:val="left" w:pos="4644"/>
                <w:tab w:val="left" w:pos="5001"/>
                <w:tab w:val="left" w:pos="5358"/>
                <w:tab w:val="left" w:pos="5715"/>
                <w:tab w:val="left" w:pos="6073"/>
                <w:tab w:val="left" w:pos="6430"/>
                <w:tab w:val="left" w:pos="6787"/>
                <w:tab w:val="left" w:pos="7144"/>
                <w:tab w:val="left" w:pos="7501"/>
                <w:tab w:val="left" w:pos="7859"/>
                <w:tab w:val="left" w:pos="8216"/>
                <w:tab w:val="left" w:pos="8573"/>
                <w:tab w:val="left" w:pos="8930"/>
                <w:tab w:val="left" w:pos="9287"/>
                <w:tab w:val="left" w:pos="9645"/>
                <w:tab w:val="left" w:pos="10002"/>
                <w:tab w:val="left" w:pos="10359"/>
                <w:tab w:val="left" w:pos="10716"/>
                <w:tab w:val="left" w:pos="11074"/>
                <w:tab w:val="left" w:pos="11431"/>
                <w:tab w:val="left" w:pos="11788"/>
                <w:tab w:val="left" w:pos="12145"/>
                <w:tab w:val="left" w:pos="12502"/>
                <w:tab w:val="left" w:pos="12860"/>
                <w:tab w:val="left" w:pos="13217"/>
                <w:tab w:val="left" w:pos="13574"/>
                <w:tab w:val="left" w:pos="13931"/>
                <w:tab w:val="left" w:pos="14288"/>
                <w:tab w:val="left" w:pos="14646"/>
                <w:tab w:val="left" w:pos="15003"/>
                <w:tab w:val="left" w:pos="15360"/>
                <w:tab w:val="left" w:pos="15717"/>
                <w:tab w:val="left" w:pos="16074"/>
                <w:tab w:val="left" w:pos="16432"/>
              </w:tabs>
              <w:spacing w:after="0"/>
              <w:ind w:right="215"/>
              <w:rPr>
                <w:sz w:val="20"/>
                <w:szCs w:val="20"/>
              </w:rPr>
            </w:pPr>
          </w:p>
          <w:p w14:paraId="2199A1B3" w14:textId="77777777" w:rsidR="002C2BB0" w:rsidRPr="0098635C" w:rsidRDefault="002C2BB0" w:rsidP="002C2BB0">
            <w:pPr>
              <w:spacing w:after="0"/>
              <w:rPr>
                <w:i/>
                <w:sz w:val="20"/>
                <w:szCs w:val="20"/>
              </w:rPr>
            </w:pPr>
            <w:r w:rsidRPr="0098635C">
              <w:rPr>
                <w:b/>
                <w:color w:val="000000"/>
                <w:sz w:val="20"/>
                <w:szCs w:val="20"/>
              </w:rPr>
              <w:t>Environment</w:t>
            </w:r>
            <w:r w:rsidRPr="0098635C">
              <w:rPr>
                <w:i/>
                <w:sz w:val="20"/>
                <w:szCs w:val="20"/>
              </w:rPr>
              <w:t xml:space="preserve"> </w:t>
            </w:r>
          </w:p>
          <w:p w14:paraId="1DDD2453" w14:textId="77777777" w:rsidR="002C2BB0" w:rsidRPr="0098635C" w:rsidRDefault="002C2BB0" w:rsidP="002C2BB0">
            <w:pPr>
              <w:spacing w:after="0"/>
              <w:rPr>
                <w:b/>
                <w:i/>
                <w:sz w:val="20"/>
                <w:szCs w:val="20"/>
              </w:rPr>
            </w:pPr>
            <w:r w:rsidRPr="0098635C">
              <w:rPr>
                <w:b/>
                <w:i/>
                <w:sz w:val="20"/>
                <w:szCs w:val="20"/>
              </w:rPr>
              <w:t>Essentiality and copper background level</w:t>
            </w:r>
          </w:p>
          <w:p w14:paraId="47C744E4" w14:textId="77777777" w:rsidR="002C2BB0" w:rsidRPr="0098635C" w:rsidRDefault="002C2BB0" w:rsidP="002C2BB0">
            <w:pPr>
              <w:spacing w:after="0"/>
              <w:rPr>
                <w:sz w:val="20"/>
                <w:szCs w:val="20"/>
              </w:rPr>
            </w:pPr>
            <w:r w:rsidRPr="0098635C">
              <w:rPr>
                <w:sz w:val="20"/>
                <w:szCs w:val="20"/>
              </w:rPr>
              <w:t xml:space="preserve">Copper is an essential micronutrient, needed for optimal growth and development of micro-organisms, plants, animals and humans. </w:t>
            </w:r>
            <w:r w:rsidRPr="0098635C">
              <w:rPr>
                <w:rStyle w:val="KorrUK"/>
                <w:rFonts w:ascii="Times New Roman" w:hAnsi="Times New Roman" w:cs="Times New Roman"/>
                <w:sz w:val="20"/>
                <w:szCs w:val="20"/>
              </w:rPr>
              <w:t>Copper deficiency and copper toxicity was experimentally observed in freshwater, m</w:t>
            </w:r>
            <w:r w:rsidRPr="0098635C">
              <w:rPr>
                <w:rStyle w:val="KorrUK"/>
                <w:rFonts w:ascii="Times New Roman" w:hAnsi="Times New Roman" w:cs="Times New Roman"/>
                <w:sz w:val="20"/>
                <w:szCs w:val="20"/>
              </w:rPr>
              <w:t>a</w:t>
            </w:r>
            <w:r w:rsidRPr="0098635C">
              <w:rPr>
                <w:rStyle w:val="KorrUK"/>
                <w:rFonts w:ascii="Times New Roman" w:hAnsi="Times New Roman" w:cs="Times New Roman"/>
                <w:sz w:val="20"/>
                <w:szCs w:val="20"/>
              </w:rPr>
              <w:t>rine water and soil organisms.</w:t>
            </w:r>
          </w:p>
          <w:p w14:paraId="42AAB645" w14:textId="77777777" w:rsidR="002C2BB0" w:rsidRPr="0098635C" w:rsidRDefault="002C2BB0" w:rsidP="002C2BB0">
            <w:pPr>
              <w:spacing w:before="120" w:after="0"/>
              <w:rPr>
                <w:sz w:val="20"/>
                <w:szCs w:val="20"/>
              </w:rPr>
            </w:pPr>
            <w:r w:rsidRPr="0098635C">
              <w:rPr>
                <w:rStyle w:val="KorrUK"/>
                <w:rFonts w:ascii="Times New Roman" w:hAnsi="Times New Roman" w:cs="Times New Roman"/>
                <w:sz w:val="20"/>
                <w:szCs w:val="20"/>
              </w:rPr>
              <w:t>Considering that copper is a natural element, essential for all life forms, the safe upper threshold levels need to be  compared with copper background levels, the optimal concentration ranges and essentiality levels.  As an example, typical copper ambient background levels, reported for European surface waters, range between 0.1 and 14 µg Cu/L with an EU-wide median value of 0.9 µg Cu/L.  Some studies demonstrated copper deficiency for freshwater organisms at levels ranging between &lt; 1  and 10 µg di</w:t>
            </w:r>
            <w:r w:rsidRPr="0098635C">
              <w:rPr>
                <w:rStyle w:val="KorrUK"/>
                <w:rFonts w:ascii="Times New Roman" w:hAnsi="Times New Roman" w:cs="Times New Roman"/>
                <w:sz w:val="20"/>
                <w:szCs w:val="20"/>
              </w:rPr>
              <w:t>s</w:t>
            </w:r>
            <w:r w:rsidRPr="0098635C">
              <w:rPr>
                <w:rStyle w:val="KorrUK"/>
                <w:rFonts w:ascii="Times New Roman" w:hAnsi="Times New Roman" w:cs="Times New Roman"/>
                <w:sz w:val="20"/>
                <w:szCs w:val="20"/>
              </w:rPr>
              <w:t xml:space="preserve">solved Cu/L.  </w:t>
            </w:r>
          </w:p>
          <w:p w14:paraId="2A1F4DEF" w14:textId="77777777" w:rsidR="002C2BB0" w:rsidRPr="0098635C" w:rsidRDefault="002C2BB0" w:rsidP="002C2BB0">
            <w:pPr>
              <w:spacing w:after="0"/>
              <w:rPr>
                <w:b/>
                <w:i/>
                <w:color w:val="000000"/>
                <w:sz w:val="20"/>
                <w:szCs w:val="20"/>
              </w:rPr>
            </w:pPr>
            <w:r w:rsidRPr="0098635C">
              <w:rPr>
                <w:b/>
                <w:i/>
                <w:color w:val="000000"/>
                <w:sz w:val="20"/>
                <w:szCs w:val="20"/>
              </w:rPr>
              <w:t>Environmental fate properties</w:t>
            </w:r>
          </w:p>
          <w:p w14:paraId="0DFD8DA3" w14:textId="77777777" w:rsidR="002C2BB0" w:rsidRPr="0098635C" w:rsidRDefault="002C2BB0" w:rsidP="002C2BB0">
            <w:pPr>
              <w:spacing w:after="0"/>
              <w:rPr>
                <w:rFonts w:eastAsia="Calibri"/>
                <w:i/>
                <w:sz w:val="20"/>
                <w:szCs w:val="20"/>
              </w:rPr>
            </w:pPr>
            <w:r w:rsidRPr="0098635C">
              <w:rPr>
                <w:sz w:val="20"/>
                <w:szCs w:val="20"/>
              </w:rPr>
              <w:t>Copper is a natural element and transition metal.  The release of copper ions (eg Cu(II)) depends on the su</w:t>
            </w:r>
            <w:r w:rsidRPr="0098635C">
              <w:rPr>
                <w:sz w:val="20"/>
                <w:szCs w:val="20"/>
              </w:rPr>
              <w:t>b</w:t>
            </w:r>
            <w:r w:rsidRPr="0098635C">
              <w:rPr>
                <w:sz w:val="20"/>
                <w:szCs w:val="20"/>
              </w:rPr>
              <w:t>stance, particle size and characteristics of the receiving medium. The solubility of Cu</w:t>
            </w:r>
            <w:r w:rsidRPr="0098635C">
              <w:rPr>
                <w:sz w:val="20"/>
                <w:szCs w:val="20"/>
                <w:vertAlign w:val="subscript"/>
              </w:rPr>
              <w:t>2</w:t>
            </w:r>
            <w:r w:rsidRPr="0098635C">
              <w:rPr>
                <w:sz w:val="20"/>
                <w:szCs w:val="20"/>
              </w:rPr>
              <w:t>O and CuO  is dependent on pH. Data on solubility and/or transformation/dissolution (OECD 29) indicate that copper sulphate pentah</w:t>
            </w:r>
            <w:r w:rsidRPr="0098635C">
              <w:rPr>
                <w:sz w:val="20"/>
                <w:szCs w:val="20"/>
              </w:rPr>
              <w:t>y</w:t>
            </w:r>
            <w:r w:rsidRPr="0098635C">
              <w:rPr>
                <w:sz w:val="20"/>
                <w:szCs w:val="20"/>
              </w:rPr>
              <w:t>drate, dicopper chloride hydroxide and Cu</w:t>
            </w:r>
            <w:r w:rsidRPr="0098635C">
              <w:rPr>
                <w:sz w:val="20"/>
                <w:szCs w:val="20"/>
                <w:vertAlign w:val="subscript"/>
              </w:rPr>
              <w:t>2</w:t>
            </w:r>
            <w:r w:rsidRPr="0098635C">
              <w:rPr>
                <w:sz w:val="20"/>
                <w:szCs w:val="20"/>
              </w:rPr>
              <w:t xml:space="preserve">O have higher solubility than CuO (Annex 1). Copper metal (Cu°) needs to be transformed to its ionic forms (Cu+/Cu2+) to dissolve copper-ions. Copper metal (Cu°)  </w:t>
            </w:r>
            <w:r w:rsidRPr="0098635C">
              <w:rPr>
                <w:rFonts w:eastAsia="Calibri"/>
                <w:sz w:val="20"/>
                <w:szCs w:val="20"/>
              </w:rPr>
              <w:t>transfo</w:t>
            </w:r>
            <w:r w:rsidRPr="0098635C">
              <w:rPr>
                <w:rFonts w:eastAsia="Calibri"/>
                <w:sz w:val="20"/>
                <w:szCs w:val="20"/>
              </w:rPr>
              <w:t>r</w:t>
            </w:r>
            <w:r w:rsidRPr="0098635C">
              <w:rPr>
                <w:rFonts w:eastAsia="Calibri"/>
                <w:sz w:val="20"/>
                <w:szCs w:val="20"/>
              </w:rPr>
              <w:t>mation/dissolution to</w:t>
            </w:r>
            <w:r w:rsidRPr="0098635C">
              <w:rPr>
                <w:sz w:val="20"/>
                <w:szCs w:val="20"/>
              </w:rPr>
              <w:t xml:space="preserve"> ionic copper (Cu</w:t>
            </w:r>
            <w:r w:rsidRPr="0098635C">
              <w:rPr>
                <w:sz w:val="20"/>
                <w:szCs w:val="20"/>
                <w:vertAlign w:val="superscript"/>
              </w:rPr>
              <w:t>+</w:t>
            </w:r>
            <w:r w:rsidRPr="0098635C">
              <w:rPr>
                <w:sz w:val="20"/>
                <w:szCs w:val="20"/>
              </w:rPr>
              <w:t>/Cu</w:t>
            </w:r>
            <w:r w:rsidRPr="0098635C">
              <w:rPr>
                <w:sz w:val="20"/>
                <w:szCs w:val="20"/>
                <w:vertAlign w:val="superscript"/>
              </w:rPr>
              <w:t>2+</w:t>
            </w:r>
            <w:r w:rsidRPr="0098635C">
              <w:rPr>
                <w:sz w:val="20"/>
                <w:szCs w:val="20"/>
              </w:rPr>
              <w:t xml:space="preserve">) </w:t>
            </w:r>
            <w:r w:rsidRPr="0098635C">
              <w:rPr>
                <w:rFonts w:eastAsia="Calibri"/>
                <w:sz w:val="20"/>
                <w:szCs w:val="20"/>
              </w:rPr>
              <w:t>takes place at the surface of the copper particles and is r</w:t>
            </w:r>
            <w:r w:rsidRPr="0098635C">
              <w:rPr>
                <w:rFonts w:eastAsia="Calibri"/>
                <w:sz w:val="20"/>
                <w:szCs w:val="20"/>
              </w:rPr>
              <w:t>e</w:t>
            </w:r>
            <w:r w:rsidRPr="0098635C">
              <w:rPr>
                <w:rFonts w:eastAsia="Calibri"/>
                <w:sz w:val="20"/>
                <w:szCs w:val="20"/>
              </w:rPr>
              <w:t>lated to the pH and surface area exposed.</w:t>
            </w:r>
          </w:p>
          <w:p w14:paraId="532F6873" w14:textId="77777777" w:rsidR="002C2BB0" w:rsidRPr="0098635C" w:rsidRDefault="002C2BB0" w:rsidP="002C2BB0">
            <w:pPr>
              <w:spacing w:after="0"/>
              <w:rPr>
                <w:rFonts w:eastAsia="Calibri"/>
                <w:sz w:val="20"/>
                <w:szCs w:val="20"/>
              </w:rPr>
            </w:pPr>
            <w:r w:rsidRPr="0098635C">
              <w:rPr>
                <w:sz w:val="20"/>
                <w:szCs w:val="20"/>
              </w:rPr>
              <w:t>Transformation/dissolution tests (OECD 29) on CuO and Cu°, demonstrate important pH dependent copper r</w:t>
            </w:r>
            <w:r w:rsidRPr="0098635C">
              <w:rPr>
                <w:sz w:val="20"/>
                <w:szCs w:val="20"/>
              </w:rPr>
              <w:t>e</w:t>
            </w:r>
            <w:r w:rsidRPr="0098635C">
              <w:rPr>
                <w:sz w:val="20"/>
                <w:szCs w:val="20"/>
              </w:rPr>
              <w:t>lease rates of ionic copper. At pH 6, 7days transformation/dissolution of CuO releases more than 10 times more copper ions than at pH 7.  Similarly, at pH 6, 7 days transformation/dissolution of Cu° r</w:t>
            </w:r>
            <w:r w:rsidRPr="0098635C">
              <w:rPr>
                <w:rFonts w:eastAsia="Calibri"/>
                <w:sz w:val="20"/>
                <w:szCs w:val="20"/>
              </w:rPr>
              <w:t xml:space="preserve">eleases 5 times </w:t>
            </w:r>
            <w:r w:rsidRPr="0098635C">
              <w:rPr>
                <w:sz w:val="20"/>
                <w:szCs w:val="20"/>
              </w:rPr>
              <w:t xml:space="preserve">more copper ions than at pH 7. </w:t>
            </w:r>
            <w:r w:rsidRPr="0098635C">
              <w:rPr>
                <w:rFonts w:eastAsia="Calibri"/>
                <w:sz w:val="20"/>
                <w:szCs w:val="20"/>
              </w:rPr>
              <w:t xml:space="preserve">  The results from the transformation/dissolution tests of  CuO, copper massive  materials (spheres of 1-1.5 mm diameter), copper powders and coated copper flakes are summarised in  the t</w:t>
            </w:r>
            <w:r w:rsidRPr="0098635C">
              <w:rPr>
                <w:rFonts w:eastAsia="Calibri"/>
                <w:sz w:val="20"/>
                <w:szCs w:val="20"/>
              </w:rPr>
              <w:t>a</w:t>
            </w:r>
            <w:r w:rsidRPr="0098635C">
              <w:rPr>
                <w:rFonts w:eastAsia="Calibri"/>
                <w:sz w:val="20"/>
                <w:szCs w:val="20"/>
              </w:rPr>
              <w:t>ble below.</w:t>
            </w:r>
          </w:p>
          <w:p w14:paraId="5CC6F37E" w14:textId="77777777" w:rsidR="002C2BB0" w:rsidRPr="0098635C" w:rsidRDefault="002C2BB0" w:rsidP="002C2BB0">
            <w:pPr>
              <w:spacing w:after="0"/>
              <w:jc w:val="center"/>
              <w:rPr>
                <w:b/>
                <w:sz w:val="20"/>
                <w:szCs w:val="20"/>
              </w:rPr>
            </w:pPr>
            <w:r w:rsidRPr="0098635C">
              <w:rPr>
                <w:b/>
                <w:sz w:val="20"/>
                <w:szCs w:val="20"/>
              </w:rPr>
              <w:t>Transformation/dissolution  of CuO and Cu° materials, in a</w:t>
            </w:r>
            <w:r w:rsidRPr="0098635C">
              <w:rPr>
                <w:b/>
                <w:sz w:val="20"/>
                <w:szCs w:val="20"/>
              </w:rPr>
              <w:t>c</w:t>
            </w:r>
            <w:r w:rsidRPr="0098635C">
              <w:rPr>
                <w:b/>
                <w:sz w:val="20"/>
                <w:szCs w:val="20"/>
              </w:rPr>
              <w:t>cordance to OECD 29</w:t>
            </w:r>
          </w:p>
          <w:tbl>
            <w:tblPr>
              <w:tblW w:w="0" w:type="auto"/>
              <w:tblLayout w:type="fixed"/>
              <w:tblLook w:val="04A0" w:firstRow="1" w:lastRow="0" w:firstColumn="1" w:lastColumn="0" w:noHBand="0" w:noVBand="1"/>
            </w:tblPr>
            <w:tblGrid>
              <w:gridCol w:w="3102"/>
              <w:gridCol w:w="709"/>
              <w:gridCol w:w="1276"/>
              <w:gridCol w:w="1843"/>
              <w:gridCol w:w="992"/>
              <w:gridCol w:w="1132"/>
              <w:tblGridChange w:id="30">
                <w:tblGrid>
                  <w:gridCol w:w="3102"/>
                  <w:gridCol w:w="709"/>
                  <w:gridCol w:w="1276"/>
                  <w:gridCol w:w="1843"/>
                  <w:gridCol w:w="992"/>
                  <w:gridCol w:w="1132"/>
                </w:tblGrid>
              </w:tblGridChange>
            </w:tblGrid>
            <w:tr w:rsidR="002C2BB0" w:rsidRPr="0098635C" w14:paraId="3E1039C7" w14:textId="77777777" w:rsidTr="002C2BB0">
              <w:trPr>
                <w:trHeight w:val="283"/>
              </w:trPr>
              <w:tc>
                <w:tcPr>
                  <w:tcW w:w="3102"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5778224E" w14:textId="77777777" w:rsidR="002C2BB0" w:rsidRPr="0098635C" w:rsidRDefault="002C2BB0" w:rsidP="002C2BB0">
                  <w:pPr>
                    <w:spacing w:after="0"/>
                    <w:ind w:right="-192"/>
                    <w:rPr>
                      <w:b/>
                      <w:color w:val="000000"/>
                      <w:sz w:val="20"/>
                      <w:szCs w:val="20"/>
                      <w:lang w:eastAsia="en-GB"/>
                    </w:rPr>
                  </w:pPr>
                  <w:r w:rsidRPr="0098635C">
                    <w:rPr>
                      <w:b/>
                      <w:color w:val="000000"/>
                      <w:sz w:val="20"/>
                      <w:szCs w:val="20"/>
                      <w:lang w:eastAsia="en-GB"/>
                    </w:rPr>
                    <w:t xml:space="preserve">Material </w:t>
                  </w:r>
                </w:p>
              </w:tc>
              <w:tc>
                <w:tcPr>
                  <w:tcW w:w="709"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36C8FC01" w14:textId="77777777" w:rsidR="002C2BB0" w:rsidRPr="0098635C" w:rsidRDefault="002C2BB0" w:rsidP="002C2BB0">
                  <w:pPr>
                    <w:spacing w:after="0"/>
                    <w:ind w:left="-165" w:right="-192"/>
                    <w:jc w:val="center"/>
                    <w:rPr>
                      <w:b/>
                      <w:color w:val="000000"/>
                      <w:sz w:val="20"/>
                      <w:szCs w:val="20"/>
                      <w:lang w:eastAsia="en-GB"/>
                    </w:rPr>
                  </w:pPr>
                  <w:r w:rsidRPr="0098635C">
                    <w:rPr>
                      <w:b/>
                      <w:color w:val="000000"/>
                      <w:sz w:val="20"/>
                      <w:szCs w:val="20"/>
                      <w:lang w:eastAsia="en-GB"/>
                    </w:rPr>
                    <w:t>pH</w:t>
                  </w:r>
                </w:p>
              </w:tc>
              <w:tc>
                <w:tcPr>
                  <w:tcW w:w="1276"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57787AE5" w14:textId="77777777" w:rsidR="002C2BB0" w:rsidRPr="0098635C" w:rsidRDefault="002C2BB0" w:rsidP="002C2BB0">
                  <w:pPr>
                    <w:spacing w:after="0"/>
                    <w:ind w:right="-51"/>
                    <w:jc w:val="center"/>
                    <w:rPr>
                      <w:b/>
                      <w:color w:val="000000"/>
                      <w:sz w:val="20"/>
                      <w:szCs w:val="20"/>
                      <w:lang w:eastAsia="en-GB"/>
                    </w:rPr>
                  </w:pPr>
                  <w:r w:rsidRPr="0098635C">
                    <w:rPr>
                      <w:b/>
                      <w:color w:val="000000"/>
                      <w:sz w:val="20"/>
                      <w:szCs w:val="20"/>
                      <w:lang w:eastAsia="en-GB"/>
                    </w:rPr>
                    <w:t>Mass loa</w:t>
                  </w:r>
                  <w:r w:rsidRPr="0098635C">
                    <w:rPr>
                      <w:b/>
                      <w:color w:val="000000"/>
                      <w:sz w:val="20"/>
                      <w:szCs w:val="20"/>
                      <w:lang w:eastAsia="en-GB"/>
                    </w:rPr>
                    <w:t>d</w:t>
                  </w:r>
                  <w:r w:rsidRPr="0098635C">
                    <w:rPr>
                      <w:b/>
                      <w:color w:val="000000"/>
                      <w:sz w:val="20"/>
                      <w:szCs w:val="20"/>
                      <w:lang w:eastAsia="en-GB"/>
                    </w:rPr>
                    <w:t>ing (mg/L)</w:t>
                  </w:r>
                </w:p>
              </w:tc>
              <w:tc>
                <w:tcPr>
                  <w:tcW w:w="1843"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440F7670" w14:textId="77777777" w:rsidR="002C2BB0" w:rsidRPr="0098635C" w:rsidRDefault="002C2BB0" w:rsidP="002C2BB0">
                  <w:pPr>
                    <w:spacing w:after="0"/>
                    <w:ind w:left="-54" w:right="-192"/>
                    <w:jc w:val="center"/>
                    <w:rPr>
                      <w:b/>
                      <w:color w:val="000000"/>
                      <w:sz w:val="20"/>
                      <w:szCs w:val="20"/>
                      <w:lang w:eastAsia="en-GB"/>
                    </w:rPr>
                  </w:pPr>
                  <w:r w:rsidRPr="0098635C">
                    <w:rPr>
                      <w:b/>
                      <w:color w:val="000000"/>
                      <w:sz w:val="20"/>
                      <w:szCs w:val="20"/>
                      <w:lang w:eastAsia="en-GB"/>
                    </w:rPr>
                    <w:t>Surface loa</w:t>
                  </w:r>
                  <w:r w:rsidRPr="0098635C">
                    <w:rPr>
                      <w:b/>
                      <w:color w:val="000000"/>
                      <w:sz w:val="20"/>
                      <w:szCs w:val="20"/>
                      <w:lang w:eastAsia="en-GB"/>
                    </w:rPr>
                    <w:t>d</w:t>
                  </w:r>
                  <w:r w:rsidRPr="0098635C">
                    <w:rPr>
                      <w:b/>
                      <w:color w:val="000000"/>
                      <w:sz w:val="20"/>
                      <w:szCs w:val="20"/>
                      <w:lang w:eastAsia="en-GB"/>
                    </w:rPr>
                    <w:t>ing      (mm</w:t>
                  </w:r>
                  <w:r w:rsidRPr="0098635C">
                    <w:rPr>
                      <w:b/>
                      <w:color w:val="000000"/>
                      <w:sz w:val="20"/>
                      <w:szCs w:val="20"/>
                      <w:vertAlign w:val="superscript"/>
                      <w:lang w:eastAsia="en-GB"/>
                    </w:rPr>
                    <w:t>2</w:t>
                  </w:r>
                  <w:r w:rsidRPr="0098635C">
                    <w:rPr>
                      <w:b/>
                      <w:color w:val="000000"/>
                      <w:sz w:val="20"/>
                      <w:szCs w:val="20"/>
                      <w:lang w:eastAsia="en-GB"/>
                    </w:rPr>
                    <w:t>/L)</w:t>
                  </w:r>
                </w:p>
              </w:tc>
              <w:tc>
                <w:tcPr>
                  <w:tcW w:w="2124" w:type="dxa"/>
                  <w:gridSpan w:val="2"/>
                  <w:tcBorders>
                    <w:top w:val="single" w:sz="8" w:space="0" w:color="auto"/>
                    <w:left w:val="nil"/>
                    <w:bottom w:val="nil"/>
                    <w:right w:val="single" w:sz="8" w:space="0" w:color="000000"/>
                  </w:tcBorders>
                  <w:shd w:val="clear" w:color="000000" w:fill="FFFFFF"/>
                  <w:vAlign w:val="center"/>
                  <w:hideMark/>
                </w:tcPr>
                <w:p w14:paraId="203F78F6" w14:textId="77777777" w:rsidR="002C2BB0" w:rsidRPr="0098635C" w:rsidRDefault="002C2BB0" w:rsidP="002C2BB0">
                  <w:pPr>
                    <w:spacing w:after="0"/>
                    <w:ind w:left="166" w:right="-192"/>
                    <w:rPr>
                      <w:b/>
                      <w:color w:val="000000"/>
                      <w:sz w:val="20"/>
                      <w:szCs w:val="20"/>
                      <w:lang w:eastAsia="en-GB"/>
                    </w:rPr>
                  </w:pPr>
                  <w:r w:rsidRPr="0098635C">
                    <w:rPr>
                      <w:b/>
                      <w:color w:val="000000"/>
                      <w:sz w:val="20"/>
                      <w:szCs w:val="20"/>
                      <w:lang w:eastAsia="en-GB"/>
                    </w:rPr>
                    <w:t xml:space="preserve">    µg soluble Cu/L</w:t>
                  </w:r>
                </w:p>
              </w:tc>
            </w:tr>
            <w:tr w:rsidR="002C2BB0" w:rsidRPr="0098635C" w14:paraId="35B4D7BF" w14:textId="77777777" w:rsidTr="002C2BB0">
              <w:trPr>
                <w:trHeight w:val="481"/>
              </w:trPr>
              <w:tc>
                <w:tcPr>
                  <w:tcW w:w="3102" w:type="dxa"/>
                  <w:vMerge/>
                  <w:tcBorders>
                    <w:top w:val="single" w:sz="8" w:space="0" w:color="auto"/>
                    <w:left w:val="single" w:sz="8" w:space="0" w:color="auto"/>
                    <w:bottom w:val="single" w:sz="8" w:space="0" w:color="000000"/>
                    <w:right w:val="single" w:sz="8" w:space="0" w:color="auto"/>
                  </w:tcBorders>
                  <w:vAlign w:val="center"/>
                  <w:hideMark/>
                </w:tcPr>
                <w:p w14:paraId="0F855AEB" w14:textId="77777777" w:rsidR="002C2BB0" w:rsidRPr="0098635C" w:rsidRDefault="002C2BB0" w:rsidP="002C2BB0">
                  <w:pPr>
                    <w:spacing w:after="0"/>
                    <w:ind w:right="-192"/>
                    <w:rPr>
                      <w:b/>
                      <w:color w:val="000000"/>
                      <w:sz w:val="20"/>
                      <w:szCs w:val="20"/>
                      <w:lang w:eastAsia="en-GB"/>
                    </w:rPr>
                  </w:pPr>
                </w:p>
              </w:tc>
              <w:tc>
                <w:tcPr>
                  <w:tcW w:w="709" w:type="dxa"/>
                  <w:vMerge/>
                  <w:tcBorders>
                    <w:top w:val="single" w:sz="8" w:space="0" w:color="auto"/>
                    <w:left w:val="single" w:sz="8" w:space="0" w:color="auto"/>
                    <w:bottom w:val="single" w:sz="8" w:space="0" w:color="000000"/>
                    <w:right w:val="single" w:sz="8" w:space="0" w:color="auto"/>
                  </w:tcBorders>
                  <w:vAlign w:val="center"/>
                  <w:hideMark/>
                </w:tcPr>
                <w:p w14:paraId="09FD91C3" w14:textId="77777777" w:rsidR="002C2BB0" w:rsidRPr="0098635C" w:rsidRDefault="002C2BB0" w:rsidP="002C2BB0">
                  <w:pPr>
                    <w:spacing w:after="0"/>
                    <w:ind w:left="166" w:right="-192"/>
                    <w:jc w:val="center"/>
                    <w:rPr>
                      <w:b/>
                      <w:color w:val="000000"/>
                      <w:sz w:val="20"/>
                      <w:szCs w:val="20"/>
                      <w:lang w:eastAsia="en-GB"/>
                    </w:rPr>
                  </w:pPr>
                </w:p>
              </w:tc>
              <w:tc>
                <w:tcPr>
                  <w:tcW w:w="1276" w:type="dxa"/>
                  <w:vMerge/>
                  <w:tcBorders>
                    <w:top w:val="single" w:sz="8" w:space="0" w:color="auto"/>
                    <w:left w:val="single" w:sz="8" w:space="0" w:color="auto"/>
                    <w:bottom w:val="single" w:sz="8" w:space="0" w:color="000000"/>
                    <w:right w:val="single" w:sz="8" w:space="0" w:color="auto"/>
                  </w:tcBorders>
                  <w:vAlign w:val="center"/>
                  <w:hideMark/>
                </w:tcPr>
                <w:p w14:paraId="5FCD95A4" w14:textId="77777777" w:rsidR="002C2BB0" w:rsidRPr="0098635C" w:rsidRDefault="002C2BB0" w:rsidP="002C2BB0">
                  <w:pPr>
                    <w:spacing w:after="0"/>
                    <w:ind w:left="166" w:right="-192"/>
                    <w:rPr>
                      <w:b/>
                      <w:color w:val="000000"/>
                      <w:sz w:val="20"/>
                      <w:szCs w:val="20"/>
                      <w:lang w:eastAsia="en-GB"/>
                    </w:rPr>
                  </w:pPr>
                </w:p>
              </w:tc>
              <w:tc>
                <w:tcPr>
                  <w:tcW w:w="1843" w:type="dxa"/>
                  <w:vMerge/>
                  <w:tcBorders>
                    <w:top w:val="single" w:sz="8" w:space="0" w:color="auto"/>
                    <w:left w:val="single" w:sz="8" w:space="0" w:color="auto"/>
                    <w:bottom w:val="single" w:sz="8" w:space="0" w:color="000000"/>
                    <w:right w:val="single" w:sz="8" w:space="0" w:color="auto"/>
                  </w:tcBorders>
                  <w:vAlign w:val="center"/>
                  <w:hideMark/>
                </w:tcPr>
                <w:p w14:paraId="6CF2B06F" w14:textId="77777777" w:rsidR="002C2BB0" w:rsidRPr="0098635C" w:rsidRDefault="002C2BB0" w:rsidP="002C2BB0">
                  <w:pPr>
                    <w:spacing w:after="0"/>
                    <w:ind w:left="166" w:right="-192"/>
                    <w:rPr>
                      <w:b/>
                      <w:color w:val="000000"/>
                      <w:sz w:val="20"/>
                      <w:szCs w:val="20"/>
                      <w:lang w:eastAsia="en-GB"/>
                    </w:rPr>
                  </w:pPr>
                </w:p>
              </w:tc>
              <w:tc>
                <w:tcPr>
                  <w:tcW w:w="992" w:type="dxa"/>
                  <w:tcBorders>
                    <w:top w:val="nil"/>
                    <w:left w:val="nil"/>
                    <w:bottom w:val="single" w:sz="8" w:space="0" w:color="auto"/>
                    <w:right w:val="single" w:sz="8" w:space="0" w:color="auto"/>
                  </w:tcBorders>
                  <w:shd w:val="clear" w:color="000000" w:fill="FFFFFF"/>
                  <w:vAlign w:val="center"/>
                  <w:hideMark/>
                </w:tcPr>
                <w:p w14:paraId="356775D4" w14:textId="77777777" w:rsidR="002C2BB0" w:rsidRPr="0098635C" w:rsidRDefault="002C2BB0" w:rsidP="002C2BB0">
                  <w:pPr>
                    <w:spacing w:after="0"/>
                    <w:ind w:left="166" w:right="-192"/>
                    <w:jc w:val="center"/>
                    <w:rPr>
                      <w:b/>
                      <w:color w:val="000000"/>
                      <w:sz w:val="20"/>
                      <w:szCs w:val="20"/>
                      <w:lang w:eastAsia="en-GB"/>
                    </w:rPr>
                  </w:pPr>
                  <w:r w:rsidRPr="0098635C">
                    <w:rPr>
                      <w:b/>
                      <w:color w:val="000000"/>
                      <w:sz w:val="20"/>
                      <w:szCs w:val="20"/>
                      <w:lang w:eastAsia="en-GB"/>
                    </w:rPr>
                    <w:t>7 days</w:t>
                  </w:r>
                </w:p>
              </w:tc>
              <w:tc>
                <w:tcPr>
                  <w:tcW w:w="1132" w:type="dxa"/>
                  <w:tcBorders>
                    <w:top w:val="nil"/>
                    <w:left w:val="nil"/>
                    <w:bottom w:val="single" w:sz="8" w:space="0" w:color="auto"/>
                    <w:right w:val="single" w:sz="8" w:space="0" w:color="auto"/>
                  </w:tcBorders>
                  <w:shd w:val="clear" w:color="000000" w:fill="FFFFFF"/>
                  <w:vAlign w:val="center"/>
                  <w:hideMark/>
                </w:tcPr>
                <w:p w14:paraId="5D20283F" w14:textId="77777777" w:rsidR="002C2BB0" w:rsidRPr="0098635C" w:rsidRDefault="002C2BB0" w:rsidP="002C2BB0">
                  <w:pPr>
                    <w:spacing w:after="0"/>
                    <w:ind w:left="166" w:right="-192"/>
                    <w:jc w:val="center"/>
                    <w:rPr>
                      <w:b/>
                      <w:color w:val="000000"/>
                      <w:sz w:val="20"/>
                      <w:szCs w:val="20"/>
                      <w:lang w:eastAsia="en-GB"/>
                    </w:rPr>
                  </w:pPr>
                  <w:r w:rsidRPr="0098635C">
                    <w:rPr>
                      <w:b/>
                      <w:color w:val="000000"/>
                      <w:sz w:val="20"/>
                      <w:szCs w:val="20"/>
                      <w:lang w:eastAsia="en-GB"/>
                    </w:rPr>
                    <w:t>28 days</w:t>
                  </w:r>
                </w:p>
              </w:tc>
            </w:tr>
            <w:tr w:rsidR="002C2BB0" w:rsidRPr="0098635C" w14:paraId="3773F24B" w14:textId="77777777" w:rsidTr="002C2BB0">
              <w:trPr>
                <w:trHeight w:val="283"/>
              </w:trPr>
              <w:tc>
                <w:tcPr>
                  <w:tcW w:w="310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5C59293" w14:textId="77777777" w:rsidR="002C2BB0" w:rsidRPr="0098635C" w:rsidRDefault="002C2BB0" w:rsidP="002C2BB0">
                  <w:pPr>
                    <w:spacing w:after="0"/>
                    <w:ind w:right="-192"/>
                    <w:rPr>
                      <w:color w:val="000000"/>
                      <w:sz w:val="20"/>
                      <w:szCs w:val="20"/>
                      <w:lang w:eastAsia="en-GB"/>
                    </w:rPr>
                  </w:pPr>
                  <w:r w:rsidRPr="0098635C">
                    <w:rPr>
                      <w:color w:val="000000"/>
                      <w:sz w:val="20"/>
                      <w:szCs w:val="20"/>
                      <w:lang w:eastAsia="en-GB"/>
                    </w:rPr>
                    <w:t>CuO</w:t>
                  </w:r>
                </w:p>
              </w:tc>
              <w:tc>
                <w:tcPr>
                  <w:tcW w:w="709" w:type="dxa"/>
                  <w:tcBorders>
                    <w:top w:val="nil"/>
                    <w:left w:val="nil"/>
                    <w:bottom w:val="nil"/>
                    <w:right w:val="single" w:sz="8" w:space="0" w:color="auto"/>
                  </w:tcBorders>
                  <w:shd w:val="clear" w:color="000000" w:fill="FFFFFF"/>
                  <w:vAlign w:val="center"/>
                  <w:hideMark/>
                </w:tcPr>
                <w:p w14:paraId="37950997" w14:textId="77777777" w:rsidR="002C2BB0" w:rsidRPr="0098635C" w:rsidRDefault="002C2BB0" w:rsidP="002C2BB0">
                  <w:pPr>
                    <w:spacing w:after="0"/>
                    <w:ind w:left="-196" w:right="-193"/>
                    <w:jc w:val="center"/>
                    <w:rPr>
                      <w:sz w:val="20"/>
                      <w:szCs w:val="20"/>
                      <w:lang w:eastAsia="en-GB"/>
                    </w:rPr>
                  </w:pPr>
                  <w:r w:rsidRPr="0098635C">
                    <w:rPr>
                      <w:sz w:val="20"/>
                      <w:szCs w:val="20"/>
                      <w:lang w:eastAsia="en-GB"/>
                    </w:rPr>
                    <w:t>6</w:t>
                  </w:r>
                </w:p>
              </w:tc>
              <w:tc>
                <w:tcPr>
                  <w:tcW w:w="1276"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6B9DA6D1" w14:textId="77777777" w:rsidR="002C2BB0" w:rsidRPr="0098635C" w:rsidRDefault="002C2BB0" w:rsidP="002C2BB0">
                  <w:pPr>
                    <w:spacing w:after="0"/>
                    <w:ind w:right="-192"/>
                    <w:jc w:val="center"/>
                    <w:rPr>
                      <w:sz w:val="20"/>
                      <w:szCs w:val="20"/>
                      <w:lang w:eastAsia="en-GB"/>
                    </w:rPr>
                  </w:pPr>
                  <w:r w:rsidRPr="0098635C">
                    <w:rPr>
                      <w:sz w:val="20"/>
                      <w:szCs w:val="20"/>
                      <w:lang w:eastAsia="en-GB"/>
                    </w:rPr>
                    <w:t>1</w:t>
                  </w:r>
                </w:p>
              </w:tc>
              <w:tc>
                <w:tcPr>
                  <w:tcW w:w="184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A158C46" w14:textId="77777777" w:rsidR="002C2BB0" w:rsidRPr="0098635C" w:rsidRDefault="002C2BB0" w:rsidP="002C2BB0">
                  <w:pPr>
                    <w:spacing w:after="0"/>
                    <w:ind w:left="166" w:right="-192"/>
                    <w:jc w:val="center"/>
                    <w:rPr>
                      <w:sz w:val="20"/>
                      <w:szCs w:val="20"/>
                      <w:lang w:eastAsia="en-GB"/>
                    </w:rPr>
                  </w:pPr>
                </w:p>
              </w:tc>
              <w:tc>
                <w:tcPr>
                  <w:tcW w:w="992" w:type="dxa"/>
                  <w:tcBorders>
                    <w:top w:val="nil"/>
                    <w:left w:val="nil"/>
                    <w:bottom w:val="nil"/>
                    <w:right w:val="single" w:sz="8" w:space="0" w:color="auto"/>
                  </w:tcBorders>
                  <w:shd w:val="clear" w:color="000000" w:fill="FFFFFF"/>
                  <w:vAlign w:val="center"/>
                  <w:hideMark/>
                </w:tcPr>
                <w:p w14:paraId="47B32615" w14:textId="77777777" w:rsidR="002C2BB0" w:rsidRPr="0098635C" w:rsidRDefault="002C2BB0" w:rsidP="002C2BB0">
                  <w:pPr>
                    <w:spacing w:after="0"/>
                    <w:ind w:right="-192"/>
                    <w:jc w:val="center"/>
                    <w:rPr>
                      <w:sz w:val="20"/>
                      <w:szCs w:val="20"/>
                      <w:lang w:eastAsia="en-GB"/>
                    </w:rPr>
                  </w:pPr>
                  <w:r w:rsidRPr="0098635C">
                    <w:rPr>
                      <w:sz w:val="20"/>
                      <w:szCs w:val="20"/>
                      <w:lang w:eastAsia="en-GB"/>
                    </w:rPr>
                    <w:t>49</w:t>
                  </w:r>
                </w:p>
              </w:tc>
              <w:tc>
                <w:tcPr>
                  <w:tcW w:w="1132" w:type="dxa"/>
                  <w:tcBorders>
                    <w:top w:val="nil"/>
                    <w:left w:val="nil"/>
                    <w:bottom w:val="nil"/>
                    <w:right w:val="single" w:sz="8" w:space="0" w:color="auto"/>
                  </w:tcBorders>
                  <w:shd w:val="clear" w:color="000000" w:fill="FFFFFF"/>
                  <w:vAlign w:val="center"/>
                  <w:hideMark/>
                </w:tcPr>
                <w:p w14:paraId="3EC8C680" w14:textId="77777777" w:rsidR="002C2BB0" w:rsidRPr="0098635C" w:rsidRDefault="002C2BB0" w:rsidP="002C2BB0">
                  <w:pPr>
                    <w:spacing w:after="0"/>
                    <w:ind w:right="-192"/>
                    <w:jc w:val="center"/>
                    <w:rPr>
                      <w:sz w:val="20"/>
                      <w:szCs w:val="20"/>
                      <w:lang w:eastAsia="en-GB"/>
                    </w:rPr>
                  </w:pPr>
                  <w:r w:rsidRPr="0098635C">
                    <w:rPr>
                      <w:sz w:val="20"/>
                      <w:szCs w:val="20"/>
                      <w:lang w:eastAsia="en-GB"/>
                    </w:rPr>
                    <w:t>210</w:t>
                  </w:r>
                </w:p>
              </w:tc>
            </w:tr>
            <w:tr w:rsidR="002C2BB0" w:rsidRPr="0098635C" w14:paraId="57D76CD8" w14:textId="77777777" w:rsidTr="002C2BB0">
              <w:trPr>
                <w:trHeight w:val="378"/>
              </w:trPr>
              <w:tc>
                <w:tcPr>
                  <w:tcW w:w="3102" w:type="dxa"/>
                  <w:vMerge/>
                  <w:tcBorders>
                    <w:top w:val="nil"/>
                    <w:left w:val="single" w:sz="8" w:space="0" w:color="auto"/>
                    <w:bottom w:val="single" w:sz="8" w:space="0" w:color="000000"/>
                    <w:right w:val="single" w:sz="8" w:space="0" w:color="auto"/>
                  </w:tcBorders>
                  <w:vAlign w:val="center"/>
                  <w:hideMark/>
                </w:tcPr>
                <w:p w14:paraId="76230042" w14:textId="77777777" w:rsidR="002C2BB0" w:rsidRPr="0098635C" w:rsidRDefault="002C2BB0" w:rsidP="002C2BB0">
                  <w:pPr>
                    <w:spacing w:after="0"/>
                    <w:ind w:right="-192"/>
                    <w:rPr>
                      <w:color w:val="000000"/>
                      <w:sz w:val="20"/>
                      <w:szCs w:val="20"/>
                      <w:lang w:eastAsia="en-GB"/>
                    </w:rPr>
                  </w:pPr>
                </w:p>
              </w:tc>
              <w:tc>
                <w:tcPr>
                  <w:tcW w:w="709" w:type="dxa"/>
                  <w:tcBorders>
                    <w:top w:val="nil"/>
                    <w:left w:val="nil"/>
                    <w:bottom w:val="nil"/>
                    <w:right w:val="single" w:sz="8" w:space="0" w:color="auto"/>
                  </w:tcBorders>
                  <w:shd w:val="clear" w:color="000000" w:fill="FFFFFF"/>
                  <w:vAlign w:val="center"/>
                  <w:hideMark/>
                </w:tcPr>
                <w:p w14:paraId="37CDDC16" w14:textId="77777777" w:rsidR="002C2BB0" w:rsidRPr="0098635C" w:rsidRDefault="002C2BB0" w:rsidP="002C2BB0">
                  <w:pPr>
                    <w:spacing w:after="0"/>
                    <w:ind w:left="-165" w:right="-197"/>
                    <w:jc w:val="center"/>
                    <w:rPr>
                      <w:sz w:val="20"/>
                      <w:szCs w:val="20"/>
                      <w:lang w:eastAsia="en-GB"/>
                    </w:rPr>
                  </w:pPr>
                  <w:r w:rsidRPr="0098635C">
                    <w:rPr>
                      <w:sz w:val="20"/>
                      <w:szCs w:val="20"/>
                      <w:lang w:eastAsia="en-GB"/>
                    </w:rPr>
                    <w:t>7</w:t>
                  </w:r>
                </w:p>
              </w:tc>
              <w:tc>
                <w:tcPr>
                  <w:tcW w:w="1276" w:type="dxa"/>
                  <w:vMerge/>
                  <w:tcBorders>
                    <w:top w:val="nil"/>
                    <w:left w:val="single" w:sz="8" w:space="0" w:color="auto"/>
                    <w:bottom w:val="single" w:sz="8" w:space="0" w:color="000000"/>
                    <w:right w:val="single" w:sz="8" w:space="0" w:color="auto"/>
                  </w:tcBorders>
                  <w:vAlign w:val="center"/>
                  <w:hideMark/>
                </w:tcPr>
                <w:p w14:paraId="6F81186C" w14:textId="77777777" w:rsidR="002C2BB0" w:rsidRPr="0098635C" w:rsidRDefault="002C2BB0" w:rsidP="002C2BB0">
                  <w:pPr>
                    <w:spacing w:after="0"/>
                    <w:ind w:left="166" w:right="-192"/>
                    <w:jc w:val="center"/>
                    <w:rPr>
                      <w:sz w:val="20"/>
                      <w:szCs w:val="20"/>
                      <w:lang w:eastAsia="en-GB"/>
                    </w:rPr>
                  </w:pPr>
                </w:p>
              </w:tc>
              <w:tc>
                <w:tcPr>
                  <w:tcW w:w="1843" w:type="dxa"/>
                  <w:vMerge/>
                  <w:tcBorders>
                    <w:top w:val="nil"/>
                    <w:left w:val="single" w:sz="8" w:space="0" w:color="auto"/>
                    <w:bottom w:val="single" w:sz="8" w:space="0" w:color="000000"/>
                    <w:right w:val="single" w:sz="8" w:space="0" w:color="auto"/>
                  </w:tcBorders>
                  <w:vAlign w:val="center"/>
                  <w:hideMark/>
                </w:tcPr>
                <w:p w14:paraId="4692DEAC" w14:textId="77777777" w:rsidR="002C2BB0" w:rsidRPr="0098635C" w:rsidRDefault="002C2BB0" w:rsidP="002C2BB0">
                  <w:pPr>
                    <w:spacing w:after="0"/>
                    <w:ind w:left="166" w:right="-192"/>
                    <w:jc w:val="center"/>
                    <w:rPr>
                      <w:sz w:val="20"/>
                      <w:szCs w:val="20"/>
                      <w:lang w:eastAsia="en-GB"/>
                    </w:rPr>
                  </w:pPr>
                </w:p>
              </w:tc>
              <w:tc>
                <w:tcPr>
                  <w:tcW w:w="992" w:type="dxa"/>
                  <w:tcBorders>
                    <w:top w:val="nil"/>
                    <w:left w:val="nil"/>
                    <w:bottom w:val="nil"/>
                    <w:right w:val="single" w:sz="8" w:space="0" w:color="auto"/>
                  </w:tcBorders>
                  <w:shd w:val="clear" w:color="000000" w:fill="FFFFFF"/>
                  <w:noWrap/>
                  <w:vAlign w:val="center"/>
                  <w:hideMark/>
                </w:tcPr>
                <w:p w14:paraId="0B7534A5" w14:textId="77777777" w:rsidR="002C2BB0" w:rsidRPr="0098635C" w:rsidRDefault="002C2BB0" w:rsidP="002C2BB0">
                  <w:pPr>
                    <w:spacing w:after="0"/>
                    <w:ind w:right="-192"/>
                    <w:jc w:val="center"/>
                    <w:rPr>
                      <w:sz w:val="20"/>
                      <w:szCs w:val="20"/>
                      <w:lang w:eastAsia="en-GB"/>
                    </w:rPr>
                  </w:pPr>
                  <w:r w:rsidRPr="0098635C">
                    <w:rPr>
                      <w:sz w:val="20"/>
                      <w:szCs w:val="20"/>
                      <w:lang w:eastAsia="en-GB"/>
                    </w:rPr>
                    <w:t>5</w:t>
                  </w:r>
                </w:p>
              </w:tc>
              <w:tc>
                <w:tcPr>
                  <w:tcW w:w="1132" w:type="dxa"/>
                  <w:tcBorders>
                    <w:top w:val="nil"/>
                    <w:left w:val="nil"/>
                    <w:bottom w:val="nil"/>
                    <w:right w:val="single" w:sz="8" w:space="0" w:color="auto"/>
                  </w:tcBorders>
                  <w:shd w:val="clear" w:color="000000" w:fill="FFFFFF"/>
                  <w:noWrap/>
                  <w:vAlign w:val="center"/>
                  <w:hideMark/>
                </w:tcPr>
                <w:p w14:paraId="2A714E59" w14:textId="77777777" w:rsidR="002C2BB0" w:rsidRPr="0098635C" w:rsidRDefault="002C2BB0" w:rsidP="002C2BB0">
                  <w:pPr>
                    <w:spacing w:after="0"/>
                    <w:ind w:right="-192"/>
                    <w:jc w:val="center"/>
                    <w:rPr>
                      <w:sz w:val="20"/>
                      <w:szCs w:val="20"/>
                      <w:lang w:eastAsia="en-GB"/>
                    </w:rPr>
                  </w:pPr>
                  <w:r w:rsidRPr="0098635C">
                    <w:rPr>
                      <w:sz w:val="20"/>
                      <w:szCs w:val="20"/>
                      <w:lang w:eastAsia="en-GB"/>
                    </w:rPr>
                    <w:t>9</w:t>
                  </w:r>
                </w:p>
              </w:tc>
            </w:tr>
            <w:tr w:rsidR="002C2BB0" w:rsidRPr="0098635C" w14:paraId="1EF44A61" w14:textId="77777777" w:rsidTr="002C2BB0">
              <w:trPr>
                <w:trHeight w:val="70"/>
              </w:trPr>
              <w:tc>
                <w:tcPr>
                  <w:tcW w:w="3102" w:type="dxa"/>
                  <w:vMerge/>
                  <w:tcBorders>
                    <w:top w:val="nil"/>
                    <w:left w:val="single" w:sz="8" w:space="0" w:color="auto"/>
                    <w:bottom w:val="single" w:sz="8" w:space="0" w:color="000000"/>
                    <w:right w:val="single" w:sz="8" w:space="0" w:color="auto"/>
                  </w:tcBorders>
                  <w:vAlign w:val="center"/>
                  <w:hideMark/>
                </w:tcPr>
                <w:p w14:paraId="7E77835D" w14:textId="77777777" w:rsidR="002C2BB0" w:rsidRPr="0098635C" w:rsidRDefault="002C2BB0" w:rsidP="002C2BB0">
                  <w:pPr>
                    <w:spacing w:after="0"/>
                    <w:ind w:right="-192"/>
                    <w:rPr>
                      <w:color w:val="000000"/>
                      <w:sz w:val="20"/>
                      <w:szCs w:val="20"/>
                      <w:lang w:eastAsia="en-GB"/>
                    </w:rPr>
                  </w:pPr>
                </w:p>
              </w:tc>
              <w:tc>
                <w:tcPr>
                  <w:tcW w:w="709" w:type="dxa"/>
                  <w:tcBorders>
                    <w:top w:val="nil"/>
                    <w:left w:val="nil"/>
                    <w:bottom w:val="nil"/>
                    <w:right w:val="single" w:sz="8" w:space="0" w:color="auto"/>
                  </w:tcBorders>
                  <w:shd w:val="clear" w:color="000000" w:fill="FFFFFF"/>
                  <w:vAlign w:val="center"/>
                  <w:hideMark/>
                </w:tcPr>
                <w:p w14:paraId="49F79260" w14:textId="77777777" w:rsidR="002C2BB0" w:rsidRPr="0098635C" w:rsidRDefault="002C2BB0" w:rsidP="002C2BB0">
                  <w:pPr>
                    <w:spacing w:after="0"/>
                    <w:ind w:left="-165" w:right="-197"/>
                    <w:jc w:val="center"/>
                    <w:rPr>
                      <w:sz w:val="20"/>
                      <w:szCs w:val="20"/>
                      <w:lang w:eastAsia="en-GB"/>
                    </w:rPr>
                  </w:pPr>
                  <w:r w:rsidRPr="0098635C">
                    <w:rPr>
                      <w:sz w:val="20"/>
                      <w:szCs w:val="20"/>
                      <w:lang w:eastAsia="en-GB"/>
                    </w:rPr>
                    <w:t>8</w:t>
                  </w:r>
                </w:p>
              </w:tc>
              <w:tc>
                <w:tcPr>
                  <w:tcW w:w="1276" w:type="dxa"/>
                  <w:vMerge/>
                  <w:tcBorders>
                    <w:top w:val="nil"/>
                    <w:left w:val="single" w:sz="8" w:space="0" w:color="auto"/>
                    <w:bottom w:val="single" w:sz="8" w:space="0" w:color="000000"/>
                    <w:right w:val="single" w:sz="8" w:space="0" w:color="auto"/>
                  </w:tcBorders>
                  <w:vAlign w:val="center"/>
                  <w:hideMark/>
                </w:tcPr>
                <w:p w14:paraId="39B75600" w14:textId="77777777" w:rsidR="002C2BB0" w:rsidRPr="0098635C" w:rsidRDefault="002C2BB0" w:rsidP="002C2BB0">
                  <w:pPr>
                    <w:spacing w:after="0"/>
                    <w:ind w:left="166" w:right="-192"/>
                    <w:jc w:val="center"/>
                    <w:rPr>
                      <w:sz w:val="20"/>
                      <w:szCs w:val="20"/>
                      <w:lang w:eastAsia="en-GB"/>
                    </w:rPr>
                  </w:pPr>
                </w:p>
              </w:tc>
              <w:tc>
                <w:tcPr>
                  <w:tcW w:w="1843" w:type="dxa"/>
                  <w:vMerge/>
                  <w:tcBorders>
                    <w:top w:val="nil"/>
                    <w:left w:val="single" w:sz="8" w:space="0" w:color="auto"/>
                    <w:bottom w:val="single" w:sz="8" w:space="0" w:color="000000"/>
                    <w:right w:val="single" w:sz="8" w:space="0" w:color="auto"/>
                  </w:tcBorders>
                  <w:vAlign w:val="center"/>
                  <w:hideMark/>
                </w:tcPr>
                <w:p w14:paraId="496B11C5" w14:textId="77777777" w:rsidR="002C2BB0" w:rsidRPr="0098635C" w:rsidRDefault="002C2BB0" w:rsidP="002C2BB0">
                  <w:pPr>
                    <w:spacing w:after="0"/>
                    <w:ind w:left="166" w:right="-192"/>
                    <w:jc w:val="center"/>
                    <w:rPr>
                      <w:sz w:val="20"/>
                      <w:szCs w:val="20"/>
                      <w:lang w:eastAsia="en-GB"/>
                    </w:rPr>
                  </w:pPr>
                </w:p>
              </w:tc>
              <w:tc>
                <w:tcPr>
                  <w:tcW w:w="992" w:type="dxa"/>
                  <w:tcBorders>
                    <w:top w:val="nil"/>
                    <w:left w:val="nil"/>
                    <w:bottom w:val="nil"/>
                    <w:right w:val="single" w:sz="8" w:space="0" w:color="auto"/>
                  </w:tcBorders>
                  <w:shd w:val="clear" w:color="000000" w:fill="FFFFFF"/>
                  <w:noWrap/>
                  <w:vAlign w:val="center"/>
                  <w:hideMark/>
                </w:tcPr>
                <w:p w14:paraId="2B958F41" w14:textId="77777777" w:rsidR="002C2BB0" w:rsidRPr="0098635C" w:rsidRDefault="002C2BB0" w:rsidP="002C2BB0">
                  <w:pPr>
                    <w:spacing w:after="0"/>
                    <w:ind w:right="-192"/>
                    <w:jc w:val="center"/>
                    <w:rPr>
                      <w:sz w:val="20"/>
                      <w:szCs w:val="20"/>
                      <w:lang w:eastAsia="en-GB"/>
                    </w:rPr>
                  </w:pPr>
                  <w:r w:rsidRPr="0098635C">
                    <w:rPr>
                      <w:sz w:val="20"/>
                      <w:szCs w:val="20"/>
                      <w:lang w:eastAsia="en-GB"/>
                    </w:rPr>
                    <w:t>0</w:t>
                  </w:r>
                </w:p>
              </w:tc>
              <w:tc>
                <w:tcPr>
                  <w:tcW w:w="1132" w:type="dxa"/>
                  <w:tcBorders>
                    <w:top w:val="nil"/>
                    <w:left w:val="nil"/>
                    <w:bottom w:val="nil"/>
                    <w:right w:val="single" w:sz="8" w:space="0" w:color="auto"/>
                  </w:tcBorders>
                  <w:shd w:val="clear" w:color="000000" w:fill="FFFFFF"/>
                  <w:noWrap/>
                  <w:vAlign w:val="center"/>
                  <w:hideMark/>
                </w:tcPr>
                <w:p w14:paraId="23A57E8A" w14:textId="77777777" w:rsidR="002C2BB0" w:rsidRPr="0098635C" w:rsidRDefault="002C2BB0" w:rsidP="002C2BB0">
                  <w:pPr>
                    <w:spacing w:after="0"/>
                    <w:ind w:right="-192"/>
                    <w:jc w:val="center"/>
                    <w:rPr>
                      <w:sz w:val="20"/>
                      <w:szCs w:val="20"/>
                      <w:lang w:eastAsia="en-GB"/>
                    </w:rPr>
                  </w:pPr>
                  <w:r w:rsidRPr="0098635C">
                    <w:rPr>
                      <w:sz w:val="20"/>
                      <w:szCs w:val="20"/>
                      <w:lang w:eastAsia="en-GB"/>
                    </w:rPr>
                    <w:t>1</w:t>
                  </w:r>
                </w:p>
              </w:tc>
            </w:tr>
            <w:tr w:rsidR="002C2BB0" w:rsidRPr="0098635C" w14:paraId="1299FD87" w14:textId="77777777" w:rsidTr="002C2BB0">
              <w:trPr>
                <w:trHeight w:val="283"/>
              </w:trPr>
              <w:tc>
                <w:tcPr>
                  <w:tcW w:w="3102" w:type="dxa"/>
                  <w:tcBorders>
                    <w:top w:val="nil"/>
                    <w:left w:val="single" w:sz="8" w:space="0" w:color="auto"/>
                    <w:bottom w:val="single" w:sz="4" w:space="0" w:color="auto"/>
                    <w:right w:val="single" w:sz="8" w:space="0" w:color="auto"/>
                  </w:tcBorders>
                  <w:shd w:val="clear" w:color="000000" w:fill="FFFFFF"/>
                  <w:vAlign w:val="center"/>
                  <w:hideMark/>
                </w:tcPr>
                <w:p w14:paraId="1CD62157" w14:textId="77777777" w:rsidR="002C2BB0" w:rsidRPr="0098635C" w:rsidRDefault="002C2BB0" w:rsidP="002C2BB0">
                  <w:pPr>
                    <w:spacing w:after="0"/>
                    <w:ind w:right="-192"/>
                    <w:jc w:val="left"/>
                    <w:rPr>
                      <w:color w:val="000000"/>
                      <w:sz w:val="20"/>
                      <w:szCs w:val="20"/>
                      <w:lang w:eastAsia="en-GB"/>
                    </w:rPr>
                  </w:pPr>
                  <w:r w:rsidRPr="0098635C">
                    <w:rPr>
                      <w:color w:val="000000"/>
                      <w:sz w:val="20"/>
                      <w:szCs w:val="20"/>
                      <w:lang w:eastAsia="en-GB"/>
                    </w:rPr>
                    <w:t>Copper massive  - wire and                 epoxy mounted (1.5 mm)</w:t>
                  </w:r>
                </w:p>
              </w:tc>
              <w:tc>
                <w:tcPr>
                  <w:tcW w:w="709" w:type="dxa"/>
                  <w:tcBorders>
                    <w:top w:val="single" w:sz="8" w:space="0" w:color="auto"/>
                    <w:left w:val="nil"/>
                    <w:bottom w:val="single" w:sz="4" w:space="0" w:color="auto"/>
                    <w:right w:val="single" w:sz="8" w:space="0" w:color="auto"/>
                  </w:tcBorders>
                  <w:shd w:val="clear" w:color="000000" w:fill="FFFFFF"/>
                  <w:vAlign w:val="center"/>
                  <w:hideMark/>
                </w:tcPr>
                <w:p w14:paraId="5DC9BFA0" w14:textId="77777777" w:rsidR="002C2BB0" w:rsidRPr="0098635C" w:rsidRDefault="002C2BB0" w:rsidP="002C2BB0">
                  <w:pPr>
                    <w:spacing w:after="0"/>
                    <w:ind w:left="-165" w:right="-197"/>
                    <w:jc w:val="center"/>
                    <w:rPr>
                      <w:sz w:val="20"/>
                      <w:szCs w:val="20"/>
                      <w:lang w:eastAsia="en-GB"/>
                    </w:rPr>
                  </w:pPr>
                  <w:r w:rsidRPr="0098635C">
                    <w:rPr>
                      <w:sz w:val="20"/>
                      <w:szCs w:val="20"/>
                      <w:lang w:eastAsia="en-GB"/>
                    </w:rPr>
                    <w:t>6</w:t>
                  </w:r>
                </w:p>
              </w:tc>
              <w:tc>
                <w:tcPr>
                  <w:tcW w:w="1276" w:type="dxa"/>
                  <w:tcBorders>
                    <w:top w:val="nil"/>
                    <w:left w:val="nil"/>
                    <w:bottom w:val="single" w:sz="4" w:space="0" w:color="auto"/>
                    <w:right w:val="single" w:sz="8" w:space="0" w:color="auto"/>
                  </w:tcBorders>
                  <w:shd w:val="clear" w:color="000000" w:fill="FFFFFF"/>
                  <w:vAlign w:val="center"/>
                  <w:hideMark/>
                </w:tcPr>
                <w:p w14:paraId="1FC93FBC" w14:textId="77777777" w:rsidR="002C2BB0" w:rsidRPr="0098635C" w:rsidRDefault="002C2BB0" w:rsidP="002C2BB0">
                  <w:pPr>
                    <w:spacing w:after="0"/>
                    <w:ind w:left="-23" w:right="-51"/>
                    <w:jc w:val="center"/>
                    <w:rPr>
                      <w:sz w:val="20"/>
                      <w:szCs w:val="20"/>
                      <w:lang w:eastAsia="en-GB"/>
                    </w:rPr>
                  </w:pPr>
                  <w:r w:rsidRPr="0098635C">
                    <w:rPr>
                      <w:sz w:val="20"/>
                      <w:szCs w:val="20"/>
                      <w:lang w:eastAsia="en-GB"/>
                    </w:rPr>
                    <w:t>100</w:t>
                  </w:r>
                </w:p>
              </w:tc>
              <w:tc>
                <w:tcPr>
                  <w:tcW w:w="1843" w:type="dxa"/>
                  <w:tcBorders>
                    <w:top w:val="nil"/>
                    <w:left w:val="nil"/>
                    <w:bottom w:val="single" w:sz="4" w:space="0" w:color="auto"/>
                    <w:right w:val="single" w:sz="8" w:space="0" w:color="auto"/>
                  </w:tcBorders>
                  <w:shd w:val="clear" w:color="000000" w:fill="FFFFFF"/>
                  <w:vAlign w:val="center"/>
                  <w:hideMark/>
                </w:tcPr>
                <w:p w14:paraId="069EC446" w14:textId="77777777" w:rsidR="002C2BB0" w:rsidRPr="0098635C" w:rsidRDefault="002C2BB0" w:rsidP="002C2BB0">
                  <w:pPr>
                    <w:spacing w:after="0"/>
                    <w:ind w:right="-51"/>
                    <w:jc w:val="center"/>
                    <w:rPr>
                      <w:sz w:val="20"/>
                      <w:szCs w:val="20"/>
                      <w:lang w:eastAsia="en-GB"/>
                    </w:rPr>
                  </w:pPr>
                  <w:r w:rsidRPr="0098635C">
                    <w:rPr>
                      <w:sz w:val="20"/>
                      <w:szCs w:val="20"/>
                      <w:lang w:eastAsia="en-GB"/>
                    </w:rPr>
                    <w:t>43-47</w:t>
                  </w:r>
                </w:p>
              </w:tc>
              <w:tc>
                <w:tcPr>
                  <w:tcW w:w="992" w:type="dxa"/>
                  <w:tcBorders>
                    <w:top w:val="single" w:sz="8" w:space="0" w:color="auto"/>
                    <w:left w:val="nil"/>
                    <w:bottom w:val="single" w:sz="4" w:space="0" w:color="auto"/>
                    <w:right w:val="single" w:sz="8" w:space="0" w:color="auto"/>
                  </w:tcBorders>
                  <w:shd w:val="clear" w:color="000000" w:fill="FFFFFF"/>
                  <w:vAlign w:val="center"/>
                  <w:hideMark/>
                </w:tcPr>
                <w:p w14:paraId="13DC7505" w14:textId="77777777" w:rsidR="002C2BB0" w:rsidRPr="0098635C" w:rsidRDefault="002C2BB0" w:rsidP="002C2BB0">
                  <w:pPr>
                    <w:spacing w:after="0"/>
                    <w:ind w:left="166" w:right="-192"/>
                    <w:jc w:val="center"/>
                    <w:rPr>
                      <w:sz w:val="20"/>
                      <w:szCs w:val="20"/>
                      <w:lang w:eastAsia="en-GB"/>
                    </w:rPr>
                  </w:pPr>
                  <w:r w:rsidRPr="0098635C">
                    <w:rPr>
                      <w:sz w:val="20"/>
                      <w:szCs w:val="20"/>
                      <w:lang w:eastAsia="en-GB"/>
                    </w:rPr>
                    <w:t>6-19</w:t>
                  </w:r>
                </w:p>
              </w:tc>
              <w:tc>
                <w:tcPr>
                  <w:tcW w:w="1132" w:type="dxa"/>
                  <w:tcBorders>
                    <w:top w:val="single" w:sz="8" w:space="0" w:color="auto"/>
                    <w:left w:val="nil"/>
                    <w:bottom w:val="single" w:sz="4" w:space="0" w:color="auto"/>
                    <w:right w:val="single" w:sz="8" w:space="0" w:color="auto"/>
                  </w:tcBorders>
                  <w:shd w:val="clear" w:color="000000" w:fill="FFFFFF"/>
                  <w:vAlign w:val="center"/>
                  <w:hideMark/>
                </w:tcPr>
                <w:p w14:paraId="0B81EE27" w14:textId="77777777" w:rsidR="002C2BB0" w:rsidRPr="0098635C" w:rsidRDefault="002C2BB0" w:rsidP="002C2BB0">
                  <w:pPr>
                    <w:spacing w:after="0"/>
                    <w:ind w:left="166" w:right="-192"/>
                    <w:jc w:val="center"/>
                    <w:rPr>
                      <w:sz w:val="20"/>
                      <w:szCs w:val="20"/>
                      <w:lang w:eastAsia="en-GB"/>
                    </w:rPr>
                  </w:pPr>
                </w:p>
              </w:tc>
            </w:tr>
            <w:tr w:rsidR="002C2BB0" w:rsidRPr="0098635C" w14:paraId="0636142D" w14:textId="77777777" w:rsidTr="002C2BB0">
              <w:trPr>
                <w:trHeight w:val="283"/>
              </w:trPr>
              <w:tc>
                <w:tcPr>
                  <w:tcW w:w="310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89FCFBA" w14:textId="77777777" w:rsidR="002C2BB0" w:rsidRPr="0098635C" w:rsidRDefault="002C2BB0" w:rsidP="002C2BB0">
                  <w:pPr>
                    <w:spacing w:after="0"/>
                    <w:ind w:right="-192"/>
                    <w:jc w:val="left"/>
                    <w:rPr>
                      <w:color w:val="000000"/>
                      <w:sz w:val="20"/>
                      <w:szCs w:val="20"/>
                      <w:lang w:eastAsia="en-GB"/>
                    </w:rPr>
                  </w:pPr>
                  <w:r w:rsidRPr="0098635C">
                    <w:rPr>
                      <w:color w:val="000000"/>
                      <w:sz w:val="20"/>
                      <w:szCs w:val="20"/>
                      <w:lang w:eastAsia="en-GB"/>
                    </w:rPr>
                    <w:t>Copper massive (1 mm) - read-across  from wire and epoxy-mounted</w:t>
                  </w:r>
                </w:p>
              </w:tc>
              <w:tc>
                <w:tcPr>
                  <w:tcW w:w="709" w:type="dxa"/>
                  <w:tcBorders>
                    <w:top w:val="nil"/>
                    <w:left w:val="nil"/>
                    <w:bottom w:val="nil"/>
                    <w:right w:val="single" w:sz="8" w:space="0" w:color="auto"/>
                  </w:tcBorders>
                  <w:shd w:val="clear" w:color="000000" w:fill="FFFFFF"/>
                  <w:vAlign w:val="center"/>
                  <w:hideMark/>
                </w:tcPr>
                <w:p w14:paraId="65F0E870" w14:textId="77777777" w:rsidR="002C2BB0" w:rsidRPr="0098635C" w:rsidRDefault="002C2BB0" w:rsidP="002C2BB0">
                  <w:pPr>
                    <w:spacing w:after="0"/>
                    <w:ind w:left="-165" w:right="-197"/>
                    <w:jc w:val="center"/>
                    <w:rPr>
                      <w:sz w:val="20"/>
                      <w:szCs w:val="20"/>
                      <w:lang w:eastAsia="en-GB"/>
                    </w:rPr>
                  </w:pPr>
                  <w:r w:rsidRPr="0098635C">
                    <w:rPr>
                      <w:sz w:val="20"/>
                      <w:szCs w:val="20"/>
                      <w:lang w:eastAsia="en-GB"/>
                    </w:rPr>
                    <w:t>6</w:t>
                  </w:r>
                </w:p>
              </w:tc>
              <w:tc>
                <w:tcPr>
                  <w:tcW w:w="1276" w:type="dxa"/>
                  <w:tcBorders>
                    <w:top w:val="nil"/>
                    <w:left w:val="nil"/>
                    <w:bottom w:val="nil"/>
                    <w:right w:val="single" w:sz="8" w:space="0" w:color="auto"/>
                  </w:tcBorders>
                  <w:shd w:val="clear" w:color="000000" w:fill="FFFFFF"/>
                  <w:vAlign w:val="center"/>
                  <w:hideMark/>
                </w:tcPr>
                <w:p w14:paraId="6611F0AB" w14:textId="77777777" w:rsidR="002C2BB0" w:rsidRPr="0098635C" w:rsidRDefault="002C2BB0" w:rsidP="002C2BB0">
                  <w:pPr>
                    <w:spacing w:after="0"/>
                    <w:ind w:left="-23" w:right="-51"/>
                    <w:jc w:val="center"/>
                    <w:rPr>
                      <w:sz w:val="20"/>
                      <w:szCs w:val="20"/>
                      <w:lang w:eastAsia="en-GB"/>
                    </w:rPr>
                  </w:pPr>
                  <w:r w:rsidRPr="0098635C">
                    <w:rPr>
                      <w:sz w:val="20"/>
                      <w:szCs w:val="20"/>
                      <w:lang w:eastAsia="en-GB"/>
                    </w:rPr>
                    <w:t>1</w:t>
                  </w:r>
                </w:p>
              </w:tc>
              <w:tc>
                <w:tcPr>
                  <w:tcW w:w="1843" w:type="dxa"/>
                  <w:tcBorders>
                    <w:top w:val="nil"/>
                    <w:left w:val="nil"/>
                    <w:bottom w:val="nil"/>
                    <w:right w:val="single" w:sz="8" w:space="0" w:color="auto"/>
                  </w:tcBorders>
                  <w:shd w:val="clear" w:color="000000" w:fill="FFFFFF"/>
                  <w:vAlign w:val="center"/>
                  <w:hideMark/>
                </w:tcPr>
                <w:p w14:paraId="594AC41C" w14:textId="77777777" w:rsidR="002C2BB0" w:rsidRPr="0098635C" w:rsidRDefault="002C2BB0" w:rsidP="002C2BB0">
                  <w:pPr>
                    <w:spacing w:after="0"/>
                    <w:ind w:right="-51"/>
                    <w:jc w:val="center"/>
                    <w:rPr>
                      <w:sz w:val="20"/>
                      <w:szCs w:val="20"/>
                      <w:lang w:eastAsia="en-GB"/>
                    </w:rPr>
                  </w:pPr>
                  <w:r w:rsidRPr="0098635C">
                    <w:rPr>
                      <w:sz w:val="20"/>
                      <w:szCs w:val="20"/>
                      <w:lang w:eastAsia="en-GB"/>
                    </w:rPr>
                    <w:t>0.67</w:t>
                  </w:r>
                </w:p>
              </w:tc>
              <w:tc>
                <w:tcPr>
                  <w:tcW w:w="992" w:type="dxa"/>
                  <w:tcBorders>
                    <w:top w:val="nil"/>
                    <w:left w:val="nil"/>
                    <w:bottom w:val="nil"/>
                    <w:right w:val="single" w:sz="8" w:space="0" w:color="auto"/>
                  </w:tcBorders>
                  <w:shd w:val="clear" w:color="000000" w:fill="FFFFFF"/>
                  <w:vAlign w:val="center"/>
                  <w:hideMark/>
                </w:tcPr>
                <w:p w14:paraId="245246E8" w14:textId="77777777" w:rsidR="002C2BB0" w:rsidRPr="0098635C" w:rsidRDefault="002C2BB0" w:rsidP="002C2BB0">
                  <w:pPr>
                    <w:spacing w:after="0"/>
                    <w:ind w:left="166" w:right="-192"/>
                    <w:jc w:val="center"/>
                    <w:rPr>
                      <w:sz w:val="20"/>
                      <w:szCs w:val="20"/>
                      <w:lang w:eastAsia="en-GB"/>
                    </w:rPr>
                  </w:pPr>
                  <w:r w:rsidRPr="0098635C">
                    <w:rPr>
                      <w:sz w:val="20"/>
                      <w:szCs w:val="20"/>
                      <w:lang w:eastAsia="en-GB"/>
                    </w:rPr>
                    <w:t>&lt;1</w:t>
                  </w:r>
                </w:p>
              </w:tc>
              <w:tc>
                <w:tcPr>
                  <w:tcW w:w="1132" w:type="dxa"/>
                  <w:tcBorders>
                    <w:top w:val="nil"/>
                    <w:left w:val="nil"/>
                    <w:bottom w:val="nil"/>
                    <w:right w:val="single" w:sz="8" w:space="0" w:color="auto"/>
                  </w:tcBorders>
                  <w:shd w:val="clear" w:color="000000" w:fill="FFFFFF"/>
                  <w:vAlign w:val="center"/>
                  <w:hideMark/>
                </w:tcPr>
                <w:p w14:paraId="0376F8DE" w14:textId="77777777" w:rsidR="002C2BB0" w:rsidRPr="0098635C" w:rsidRDefault="002C2BB0" w:rsidP="002C2BB0">
                  <w:pPr>
                    <w:spacing w:after="0"/>
                    <w:ind w:left="166" w:right="-192"/>
                    <w:jc w:val="center"/>
                    <w:rPr>
                      <w:sz w:val="20"/>
                      <w:szCs w:val="20"/>
                      <w:lang w:eastAsia="en-GB"/>
                    </w:rPr>
                  </w:pPr>
                </w:p>
              </w:tc>
            </w:tr>
            <w:tr w:rsidR="002C2BB0" w:rsidRPr="0098635C" w14:paraId="10A7D9E2" w14:textId="77777777" w:rsidTr="002C2BB0">
              <w:trPr>
                <w:trHeight w:val="283"/>
              </w:trPr>
              <w:tc>
                <w:tcPr>
                  <w:tcW w:w="3102" w:type="dxa"/>
                  <w:vMerge/>
                  <w:tcBorders>
                    <w:top w:val="nil"/>
                    <w:left w:val="single" w:sz="8" w:space="0" w:color="auto"/>
                    <w:bottom w:val="single" w:sz="8" w:space="0" w:color="000000"/>
                    <w:right w:val="single" w:sz="8" w:space="0" w:color="auto"/>
                  </w:tcBorders>
                  <w:shd w:val="clear" w:color="000000" w:fill="FFFFFF"/>
                  <w:vAlign w:val="center"/>
                  <w:hideMark/>
                </w:tcPr>
                <w:p w14:paraId="63B0A650" w14:textId="77777777" w:rsidR="002C2BB0" w:rsidRPr="0098635C" w:rsidRDefault="002C2BB0" w:rsidP="002C2BB0">
                  <w:pPr>
                    <w:spacing w:after="0"/>
                    <w:ind w:right="-192"/>
                    <w:jc w:val="left"/>
                    <w:rPr>
                      <w:color w:val="000000"/>
                      <w:sz w:val="20"/>
                      <w:szCs w:val="20"/>
                      <w:lang w:eastAsia="en-GB"/>
                    </w:rPr>
                  </w:pPr>
                </w:p>
              </w:tc>
              <w:tc>
                <w:tcPr>
                  <w:tcW w:w="709" w:type="dxa"/>
                  <w:tcBorders>
                    <w:top w:val="nil"/>
                    <w:left w:val="nil"/>
                    <w:bottom w:val="nil"/>
                    <w:right w:val="single" w:sz="8" w:space="0" w:color="auto"/>
                  </w:tcBorders>
                  <w:shd w:val="clear" w:color="000000" w:fill="FFFFFF"/>
                  <w:vAlign w:val="center"/>
                  <w:hideMark/>
                </w:tcPr>
                <w:p w14:paraId="0AE92C19" w14:textId="77777777" w:rsidR="002C2BB0" w:rsidRPr="0098635C" w:rsidRDefault="002C2BB0" w:rsidP="002C2BB0">
                  <w:pPr>
                    <w:spacing w:after="0"/>
                    <w:ind w:left="-165" w:right="-197"/>
                    <w:jc w:val="center"/>
                    <w:rPr>
                      <w:sz w:val="20"/>
                      <w:szCs w:val="20"/>
                      <w:lang w:eastAsia="en-GB"/>
                    </w:rPr>
                  </w:pPr>
                  <w:r w:rsidRPr="0098635C">
                    <w:rPr>
                      <w:sz w:val="20"/>
                      <w:szCs w:val="20"/>
                      <w:lang w:eastAsia="en-GB"/>
                    </w:rPr>
                    <w:t>6</w:t>
                  </w:r>
                </w:p>
              </w:tc>
              <w:tc>
                <w:tcPr>
                  <w:tcW w:w="1276" w:type="dxa"/>
                  <w:tcBorders>
                    <w:top w:val="nil"/>
                    <w:left w:val="nil"/>
                    <w:bottom w:val="nil"/>
                    <w:right w:val="single" w:sz="8" w:space="0" w:color="auto"/>
                  </w:tcBorders>
                  <w:shd w:val="clear" w:color="000000" w:fill="FFFFFF"/>
                  <w:vAlign w:val="center"/>
                  <w:hideMark/>
                </w:tcPr>
                <w:p w14:paraId="2E4D772D" w14:textId="77777777" w:rsidR="002C2BB0" w:rsidRPr="0098635C" w:rsidRDefault="002C2BB0" w:rsidP="002C2BB0">
                  <w:pPr>
                    <w:spacing w:after="0"/>
                    <w:ind w:left="-23" w:right="-51"/>
                    <w:jc w:val="center"/>
                    <w:rPr>
                      <w:sz w:val="20"/>
                      <w:szCs w:val="20"/>
                      <w:lang w:eastAsia="en-GB"/>
                    </w:rPr>
                  </w:pPr>
                  <w:r w:rsidRPr="0098635C">
                    <w:rPr>
                      <w:sz w:val="20"/>
                      <w:szCs w:val="20"/>
                      <w:lang w:eastAsia="en-GB"/>
                    </w:rPr>
                    <w:t>10</w:t>
                  </w:r>
                </w:p>
              </w:tc>
              <w:tc>
                <w:tcPr>
                  <w:tcW w:w="1843" w:type="dxa"/>
                  <w:tcBorders>
                    <w:top w:val="nil"/>
                    <w:left w:val="nil"/>
                    <w:bottom w:val="nil"/>
                    <w:right w:val="single" w:sz="8" w:space="0" w:color="auto"/>
                  </w:tcBorders>
                  <w:shd w:val="clear" w:color="000000" w:fill="FFFFFF"/>
                  <w:vAlign w:val="center"/>
                  <w:hideMark/>
                </w:tcPr>
                <w:p w14:paraId="6CE1C6BF" w14:textId="77777777" w:rsidR="002C2BB0" w:rsidRPr="0098635C" w:rsidRDefault="002C2BB0" w:rsidP="002C2BB0">
                  <w:pPr>
                    <w:spacing w:after="0"/>
                    <w:ind w:right="-51"/>
                    <w:jc w:val="center"/>
                    <w:rPr>
                      <w:sz w:val="20"/>
                      <w:szCs w:val="20"/>
                      <w:lang w:eastAsia="en-GB"/>
                    </w:rPr>
                  </w:pPr>
                  <w:r w:rsidRPr="0098635C">
                    <w:rPr>
                      <w:sz w:val="20"/>
                      <w:szCs w:val="20"/>
                      <w:lang w:eastAsia="en-GB"/>
                    </w:rPr>
                    <w:t>6.7</w:t>
                  </w:r>
                </w:p>
              </w:tc>
              <w:tc>
                <w:tcPr>
                  <w:tcW w:w="992" w:type="dxa"/>
                  <w:tcBorders>
                    <w:top w:val="nil"/>
                    <w:left w:val="nil"/>
                    <w:bottom w:val="nil"/>
                    <w:right w:val="single" w:sz="8" w:space="0" w:color="auto"/>
                  </w:tcBorders>
                  <w:shd w:val="clear" w:color="000000" w:fill="FFFFFF"/>
                  <w:vAlign w:val="center"/>
                  <w:hideMark/>
                </w:tcPr>
                <w:p w14:paraId="2C927F94" w14:textId="77777777" w:rsidR="002C2BB0" w:rsidRPr="0098635C" w:rsidRDefault="002C2BB0" w:rsidP="002C2BB0">
                  <w:pPr>
                    <w:spacing w:after="0"/>
                    <w:ind w:left="166" w:right="-192"/>
                    <w:jc w:val="center"/>
                    <w:rPr>
                      <w:sz w:val="20"/>
                      <w:szCs w:val="20"/>
                      <w:lang w:eastAsia="en-GB"/>
                    </w:rPr>
                  </w:pPr>
                  <w:r w:rsidRPr="0098635C">
                    <w:rPr>
                      <w:sz w:val="20"/>
                      <w:szCs w:val="20"/>
                      <w:lang w:eastAsia="en-GB"/>
                    </w:rPr>
                    <w:t>1-3</w:t>
                  </w:r>
                </w:p>
              </w:tc>
              <w:tc>
                <w:tcPr>
                  <w:tcW w:w="1132" w:type="dxa"/>
                  <w:tcBorders>
                    <w:top w:val="nil"/>
                    <w:left w:val="nil"/>
                    <w:bottom w:val="nil"/>
                    <w:right w:val="single" w:sz="8" w:space="0" w:color="auto"/>
                  </w:tcBorders>
                  <w:shd w:val="clear" w:color="000000" w:fill="FFFFFF"/>
                  <w:vAlign w:val="center"/>
                  <w:hideMark/>
                </w:tcPr>
                <w:p w14:paraId="0B3523B7" w14:textId="77777777" w:rsidR="002C2BB0" w:rsidRPr="0098635C" w:rsidRDefault="002C2BB0" w:rsidP="002C2BB0">
                  <w:pPr>
                    <w:spacing w:after="0"/>
                    <w:ind w:left="166" w:right="-192"/>
                    <w:jc w:val="center"/>
                    <w:rPr>
                      <w:sz w:val="20"/>
                      <w:szCs w:val="20"/>
                      <w:lang w:eastAsia="en-GB"/>
                    </w:rPr>
                  </w:pPr>
                </w:p>
              </w:tc>
            </w:tr>
            <w:tr w:rsidR="002C2BB0" w:rsidRPr="0098635C" w14:paraId="067A964A" w14:textId="77777777" w:rsidTr="002C2BB0">
              <w:trPr>
                <w:trHeight w:val="297"/>
              </w:trPr>
              <w:tc>
                <w:tcPr>
                  <w:tcW w:w="3102" w:type="dxa"/>
                  <w:vMerge/>
                  <w:tcBorders>
                    <w:top w:val="nil"/>
                    <w:left w:val="single" w:sz="8" w:space="0" w:color="auto"/>
                    <w:bottom w:val="single" w:sz="8" w:space="0" w:color="000000"/>
                    <w:right w:val="single" w:sz="8" w:space="0" w:color="auto"/>
                  </w:tcBorders>
                  <w:vAlign w:val="center"/>
                  <w:hideMark/>
                </w:tcPr>
                <w:p w14:paraId="125E61A3" w14:textId="77777777" w:rsidR="002C2BB0" w:rsidRPr="0098635C" w:rsidRDefault="002C2BB0" w:rsidP="002C2BB0">
                  <w:pPr>
                    <w:spacing w:after="0"/>
                    <w:ind w:right="-192"/>
                    <w:jc w:val="left"/>
                    <w:rPr>
                      <w:color w:val="000000"/>
                      <w:sz w:val="20"/>
                      <w:szCs w:val="20"/>
                      <w:lang w:eastAsia="en-GB"/>
                    </w:rPr>
                  </w:pPr>
                </w:p>
              </w:tc>
              <w:tc>
                <w:tcPr>
                  <w:tcW w:w="709" w:type="dxa"/>
                  <w:tcBorders>
                    <w:top w:val="nil"/>
                    <w:left w:val="nil"/>
                    <w:bottom w:val="single" w:sz="8" w:space="0" w:color="auto"/>
                    <w:right w:val="single" w:sz="8" w:space="0" w:color="auto"/>
                  </w:tcBorders>
                  <w:shd w:val="clear" w:color="000000" w:fill="FFFFFF"/>
                  <w:noWrap/>
                  <w:vAlign w:val="center"/>
                  <w:hideMark/>
                </w:tcPr>
                <w:p w14:paraId="49D455F9" w14:textId="77777777" w:rsidR="002C2BB0" w:rsidRPr="0098635C" w:rsidRDefault="002C2BB0" w:rsidP="002C2BB0">
                  <w:pPr>
                    <w:spacing w:after="0"/>
                    <w:ind w:left="-165" w:right="-197"/>
                    <w:jc w:val="center"/>
                    <w:rPr>
                      <w:sz w:val="20"/>
                      <w:szCs w:val="20"/>
                      <w:lang w:eastAsia="en-GB"/>
                    </w:rPr>
                  </w:pPr>
                  <w:r w:rsidRPr="0098635C">
                    <w:rPr>
                      <w:sz w:val="20"/>
                      <w:szCs w:val="20"/>
                      <w:lang w:eastAsia="en-GB"/>
                    </w:rPr>
                    <w:t>6</w:t>
                  </w:r>
                </w:p>
              </w:tc>
              <w:tc>
                <w:tcPr>
                  <w:tcW w:w="1276" w:type="dxa"/>
                  <w:tcBorders>
                    <w:top w:val="nil"/>
                    <w:left w:val="nil"/>
                    <w:bottom w:val="single" w:sz="8" w:space="0" w:color="auto"/>
                    <w:right w:val="single" w:sz="8" w:space="0" w:color="auto"/>
                  </w:tcBorders>
                  <w:shd w:val="clear" w:color="000000" w:fill="FFFFFF"/>
                  <w:noWrap/>
                  <w:vAlign w:val="center"/>
                  <w:hideMark/>
                </w:tcPr>
                <w:p w14:paraId="71F30E4A" w14:textId="77777777" w:rsidR="002C2BB0" w:rsidRPr="0098635C" w:rsidRDefault="002C2BB0" w:rsidP="002C2BB0">
                  <w:pPr>
                    <w:spacing w:after="0"/>
                    <w:ind w:left="-23" w:right="-51"/>
                    <w:jc w:val="center"/>
                    <w:rPr>
                      <w:sz w:val="20"/>
                      <w:szCs w:val="20"/>
                      <w:lang w:eastAsia="en-GB"/>
                    </w:rPr>
                  </w:pPr>
                  <w:r w:rsidRPr="0098635C">
                    <w:rPr>
                      <w:sz w:val="20"/>
                      <w:szCs w:val="20"/>
                      <w:lang w:eastAsia="en-GB"/>
                    </w:rPr>
                    <w:t>100</w:t>
                  </w:r>
                </w:p>
              </w:tc>
              <w:tc>
                <w:tcPr>
                  <w:tcW w:w="1843" w:type="dxa"/>
                  <w:tcBorders>
                    <w:top w:val="nil"/>
                    <w:left w:val="nil"/>
                    <w:bottom w:val="single" w:sz="8" w:space="0" w:color="auto"/>
                    <w:right w:val="single" w:sz="8" w:space="0" w:color="auto"/>
                  </w:tcBorders>
                  <w:shd w:val="clear" w:color="000000" w:fill="FFFFFF"/>
                  <w:noWrap/>
                  <w:vAlign w:val="center"/>
                  <w:hideMark/>
                </w:tcPr>
                <w:p w14:paraId="14782F1C" w14:textId="77777777" w:rsidR="002C2BB0" w:rsidRPr="0098635C" w:rsidRDefault="002C2BB0" w:rsidP="002C2BB0">
                  <w:pPr>
                    <w:spacing w:after="0"/>
                    <w:ind w:right="-51"/>
                    <w:jc w:val="center"/>
                    <w:rPr>
                      <w:sz w:val="20"/>
                      <w:szCs w:val="20"/>
                      <w:lang w:eastAsia="en-GB"/>
                    </w:rPr>
                  </w:pPr>
                  <w:r w:rsidRPr="0098635C">
                    <w:rPr>
                      <w:sz w:val="20"/>
                      <w:szCs w:val="20"/>
                      <w:lang w:eastAsia="en-GB"/>
                    </w:rPr>
                    <w:t>67</w:t>
                  </w:r>
                </w:p>
              </w:tc>
              <w:tc>
                <w:tcPr>
                  <w:tcW w:w="992" w:type="dxa"/>
                  <w:tcBorders>
                    <w:top w:val="nil"/>
                    <w:left w:val="nil"/>
                    <w:bottom w:val="single" w:sz="8" w:space="0" w:color="auto"/>
                    <w:right w:val="single" w:sz="8" w:space="0" w:color="auto"/>
                  </w:tcBorders>
                  <w:shd w:val="clear" w:color="000000" w:fill="FFFFFF"/>
                  <w:noWrap/>
                  <w:vAlign w:val="center"/>
                  <w:hideMark/>
                </w:tcPr>
                <w:p w14:paraId="61B41352" w14:textId="77777777" w:rsidR="002C2BB0" w:rsidRPr="0098635C" w:rsidRDefault="002C2BB0" w:rsidP="002C2BB0">
                  <w:pPr>
                    <w:spacing w:after="0"/>
                    <w:ind w:left="166" w:right="-192"/>
                    <w:jc w:val="center"/>
                    <w:rPr>
                      <w:sz w:val="20"/>
                      <w:szCs w:val="20"/>
                      <w:lang w:eastAsia="en-GB"/>
                    </w:rPr>
                  </w:pPr>
                  <w:r w:rsidRPr="0098635C">
                    <w:rPr>
                      <w:sz w:val="20"/>
                      <w:szCs w:val="20"/>
                      <w:lang w:eastAsia="en-GB"/>
                    </w:rPr>
                    <w:t>9-27</w:t>
                  </w:r>
                </w:p>
              </w:tc>
              <w:tc>
                <w:tcPr>
                  <w:tcW w:w="1132" w:type="dxa"/>
                  <w:tcBorders>
                    <w:top w:val="nil"/>
                    <w:left w:val="nil"/>
                    <w:bottom w:val="single" w:sz="8" w:space="0" w:color="auto"/>
                    <w:right w:val="single" w:sz="8" w:space="0" w:color="auto"/>
                  </w:tcBorders>
                  <w:shd w:val="clear" w:color="000000" w:fill="FFFFFF"/>
                  <w:noWrap/>
                  <w:vAlign w:val="center"/>
                  <w:hideMark/>
                </w:tcPr>
                <w:p w14:paraId="54561BF0" w14:textId="77777777" w:rsidR="002C2BB0" w:rsidRPr="0098635C" w:rsidRDefault="002C2BB0" w:rsidP="002C2BB0">
                  <w:pPr>
                    <w:spacing w:after="0"/>
                    <w:ind w:left="166" w:right="-192"/>
                    <w:jc w:val="center"/>
                    <w:rPr>
                      <w:sz w:val="20"/>
                      <w:szCs w:val="20"/>
                      <w:lang w:eastAsia="en-GB"/>
                    </w:rPr>
                  </w:pPr>
                </w:p>
              </w:tc>
            </w:tr>
            <w:tr w:rsidR="002C2BB0" w:rsidRPr="0098635C" w14:paraId="44844762" w14:textId="77777777" w:rsidTr="002C2BB0">
              <w:trPr>
                <w:trHeight w:val="495"/>
              </w:trPr>
              <w:tc>
                <w:tcPr>
                  <w:tcW w:w="3102" w:type="dxa"/>
                  <w:tcBorders>
                    <w:top w:val="nil"/>
                    <w:left w:val="single" w:sz="8" w:space="0" w:color="auto"/>
                    <w:bottom w:val="single" w:sz="8" w:space="0" w:color="auto"/>
                    <w:right w:val="single" w:sz="8" w:space="0" w:color="auto"/>
                  </w:tcBorders>
                  <w:shd w:val="clear" w:color="000000" w:fill="FFFFFF"/>
                  <w:vAlign w:val="center"/>
                  <w:hideMark/>
                </w:tcPr>
                <w:p w14:paraId="27E44F07" w14:textId="77777777" w:rsidR="002C2BB0" w:rsidRPr="0098635C" w:rsidRDefault="002C2BB0" w:rsidP="002C2BB0">
                  <w:pPr>
                    <w:spacing w:after="0"/>
                    <w:jc w:val="left"/>
                    <w:rPr>
                      <w:color w:val="000000"/>
                      <w:sz w:val="20"/>
                      <w:szCs w:val="20"/>
                      <w:lang w:eastAsia="en-GB"/>
                    </w:rPr>
                  </w:pPr>
                  <w:r w:rsidRPr="0098635C">
                    <w:rPr>
                      <w:color w:val="000000"/>
                      <w:sz w:val="20"/>
                      <w:szCs w:val="20"/>
                      <w:lang w:eastAsia="en-GB"/>
                    </w:rPr>
                    <w:t>Copper massive (1 mm) (epoxy moun</w:t>
                  </w:r>
                  <w:r w:rsidRPr="0098635C">
                    <w:rPr>
                      <w:color w:val="000000"/>
                      <w:sz w:val="20"/>
                      <w:szCs w:val="20"/>
                      <w:lang w:eastAsia="en-GB"/>
                    </w:rPr>
                    <w:t>t</w:t>
                  </w:r>
                  <w:r w:rsidRPr="0098635C">
                    <w:rPr>
                      <w:color w:val="000000"/>
                      <w:sz w:val="20"/>
                      <w:szCs w:val="20"/>
                      <w:lang w:eastAsia="en-GB"/>
                    </w:rPr>
                    <w:t>ed)</w:t>
                  </w:r>
                </w:p>
              </w:tc>
              <w:tc>
                <w:tcPr>
                  <w:tcW w:w="709" w:type="dxa"/>
                  <w:tcBorders>
                    <w:top w:val="nil"/>
                    <w:left w:val="nil"/>
                    <w:bottom w:val="single" w:sz="8" w:space="0" w:color="auto"/>
                    <w:right w:val="single" w:sz="8" w:space="0" w:color="auto"/>
                  </w:tcBorders>
                  <w:shd w:val="clear" w:color="000000" w:fill="FFFFFF"/>
                  <w:vAlign w:val="center"/>
                  <w:hideMark/>
                </w:tcPr>
                <w:p w14:paraId="7CB89795" w14:textId="77777777" w:rsidR="002C2BB0" w:rsidRPr="0098635C" w:rsidRDefault="002C2BB0" w:rsidP="002C2BB0">
                  <w:pPr>
                    <w:spacing w:after="0"/>
                    <w:ind w:left="-165" w:right="-197"/>
                    <w:jc w:val="center"/>
                    <w:rPr>
                      <w:sz w:val="20"/>
                      <w:szCs w:val="20"/>
                      <w:lang w:eastAsia="en-GB"/>
                    </w:rPr>
                  </w:pPr>
                  <w:r w:rsidRPr="0098635C">
                    <w:rPr>
                      <w:sz w:val="20"/>
                      <w:szCs w:val="20"/>
                      <w:lang w:eastAsia="en-GB"/>
                    </w:rPr>
                    <w:t>6</w:t>
                  </w:r>
                </w:p>
              </w:tc>
              <w:tc>
                <w:tcPr>
                  <w:tcW w:w="1276" w:type="dxa"/>
                  <w:tcBorders>
                    <w:top w:val="nil"/>
                    <w:left w:val="nil"/>
                    <w:bottom w:val="single" w:sz="8" w:space="0" w:color="auto"/>
                    <w:right w:val="single" w:sz="8" w:space="0" w:color="auto"/>
                  </w:tcBorders>
                  <w:shd w:val="clear" w:color="000000" w:fill="FFFFFF"/>
                  <w:vAlign w:val="center"/>
                  <w:hideMark/>
                </w:tcPr>
                <w:p w14:paraId="509C1960" w14:textId="77777777" w:rsidR="002C2BB0" w:rsidRPr="0098635C" w:rsidRDefault="002C2BB0" w:rsidP="002C2BB0">
                  <w:pPr>
                    <w:spacing w:after="0"/>
                    <w:ind w:left="-23" w:right="-51"/>
                    <w:jc w:val="center"/>
                    <w:rPr>
                      <w:sz w:val="20"/>
                      <w:szCs w:val="20"/>
                      <w:lang w:eastAsia="en-GB"/>
                    </w:rPr>
                  </w:pPr>
                  <w:r w:rsidRPr="0098635C">
                    <w:rPr>
                      <w:sz w:val="20"/>
                      <w:szCs w:val="20"/>
                      <w:lang w:eastAsia="en-GB"/>
                    </w:rPr>
                    <w:t>1</w:t>
                  </w:r>
                </w:p>
              </w:tc>
              <w:tc>
                <w:tcPr>
                  <w:tcW w:w="1843" w:type="dxa"/>
                  <w:tcBorders>
                    <w:top w:val="nil"/>
                    <w:left w:val="nil"/>
                    <w:bottom w:val="single" w:sz="8" w:space="0" w:color="auto"/>
                    <w:right w:val="single" w:sz="8" w:space="0" w:color="auto"/>
                  </w:tcBorders>
                  <w:shd w:val="clear" w:color="000000" w:fill="FFFFFF"/>
                  <w:vAlign w:val="center"/>
                  <w:hideMark/>
                </w:tcPr>
                <w:p w14:paraId="0F866799" w14:textId="77777777" w:rsidR="002C2BB0" w:rsidRPr="0098635C" w:rsidRDefault="002C2BB0" w:rsidP="002C2BB0">
                  <w:pPr>
                    <w:spacing w:after="0"/>
                    <w:ind w:right="-51"/>
                    <w:jc w:val="center"/>
                    <w:rPr>
                      <w:sz w:val="20"/>
                      <w:szCs w:val="20"/>
                      <w:lang w:eastAsia="en-GB"/>
                    </w:rPr>
                  </w:pPr>
                  <w:r w:rsidRPr="0098635C">
                    <w:rPr>
                      <w:sz w:val="20"/>
                      <w:szCs w:val="20"/>
                      <w:lang w:eastAsia="en-GB"/>
                    </w:rPr>
                    <w:t>0.67</w:t>
                  </w:r>
                </w:p>
              </w:tc>
              <w:tc>
                <w:tcPr>
                  <w:tcW w:w="992" w:type="dxa"/>
                  <w:tcBorders>
                    <w:top w:val="nil"/>
                    <w:left w:val="nil"/>
                    <w:bottom w:val="single" w:sz="8" w:space="0" w:color="auto"/>
                    <w:right w:val="single" w:sz="8" w:space="0" w:color="auto"/>
                  </w:tcBorders>
                  <w:shd w:val="clear" w:color="000000" w:fill="FFFFFF"/>
                  <w:vAlign w:val="center"/>
                  <w:hideMark/>
                </w:tcPr>
                <w:p w14:paraId="32410564" w14:textId="77777777" w:rsidR="002C2BB0" w:rsidRPr="0098635C" w:rsidRDefault="002C2BB0" w:rsidP="002C2BB0">
                  <w:pPr>
                    <w:spacing w:after="0"/>
                    <w:jc w:val="center"/>
                    <w:rPr>
                      <w:sz w:val="20"/>
                      <w:szCs w:val="20"/>
                      <w:lang w:eastAsia="en-GB"/>
                    </w:rPr>
                  </w:pPr>
                  <w:r w:rsidRPr="0098635C">
                    <w:rPr>
                      <w:sz w:val="20"/>
                      <w:szCs w:val="20"/>
                      <w:lang w:eastAsia="en-GB"/>
                    </w:rPr>
                    <w:t>1</w:t>
                  </w:r>
                </w:p>
              </w:tc>
              <w:tc>
                <w:tcPr>
                  <w:tcW w:w="1132" w:type="dxa"/>
                  <w:tcBorders>
                    <w:top w:val="nil"/>
                    <w:left w:val="nil"/>
                    <w:bottom w:val="single" w:sz="8" w:space="0" w:color="auto"/>
                    <w:right w:val="single" w:sz="8" w:space="0" w:color="auto"/>
                  </w:tcBorders>
                  <w:shd w:val="clear" w:color="000000" w:fill="FFFFFF"/>
                  <w:vAlign w:val="center"/>
                  <w:hideMark/>
                </w:tcPr>
                <w:p w14:paraId="037898A3" w14:textId="77777777" w:rsidR="002C2BB0" w:rsidRPr="0098635C" w:rsidRDefault="002C2BB0" w:rsidP="002C2BB0">
                  <w:pPr>
                    <w:spacing w:after="0"/>
                    <w:jc w:val="center"/>
                    <w:rPr>
                      <w:sz w:val="20"/>
                      <w:szCs w:val="20"/>
                      <w:lang w:eastAsia="en-GB"/>
                    </w:rPr>
                  </w:pPr>
                  <w:r w:rsidRPr="0098635C">
                    <w:rPr>
                      <w:sz w:val="20"/>
                      <w:szCs w:val="20"/>
                      <w:lang w:eastAsia="en-GB"/>
                    </w:rPr>
                    <w:t>3</w:t>
                  </w:r>
                </w:p>
              </w:tc>
            </w:tr>
            <w:tr w:rsidR="002C2BB0" w:rsidRPr="0098635C" w14:paraId="3817C3C8" w14:textId="77777777" w:rsidTr="002C2BB0">
              <w:trPr>
                <w:trHeight w:val="495"/>
              </w:trPr>
              <w:tc>
                <w:tcPr>
                  <w:tcW w:w="3102" w:type="dxa"/>
                  <w:tcBorders>
                    <w:top w:val="nil"/>
                    <w:left w:val="single" w:sz="8" w:space="0" w:color="auto"/>
                    <w:bottom w:val="single" w:sz="8" w:space="0" w:color="auto"/>
                    <w:right w:val="single" w:sz="8" w:space="0" w:color="auto"/>
                  </w:tcBorders>
                  <w:shd w:val="clear" w:color="000000" w:fill="FFFFFF"/>
                  <w:vAlign w:val="center"/>
                  <w:hideMark/>
                </w:tcPr>
                <w:p w14:paraId="21B34DD9" w14:textId="77777777" w:rsidR="002C2BB0" w:rsidRPr="0098635C" w:rsidRDefault="002C2BB0" w:rsidP="002C2BB0">
                  <w:pPr>
                    <w:spacing w:after="0"/>
                    <w:ind w:left="24" w:right="-51"/>
                    <w:jc w:val="left"/>
                    <w:rPr>
                      <w:color w:val="000000"/>
                      <w:sz w:val="20"/>
                      <w:szCs w:val="20"/>
                      <w:lang w:eastAsia="en-GB"/>
                    </w:rPr>
                  </w:pPr>
                  <w:r w:rsidRPr="0098635C">
                    <w:rPr>
                      <w:color w:val="000000"/>
                      <w:sz w:val="20"/>
                      <w:szCs w:val="20"/>
                      <w:lang w:eastAsia="en-GB"/>
                    </w:rPr>
                    <w:t>Fine Copper po</w:t>
                  </w:r>
                  <w:r w:rsidRPr="0098635C">
                    <w:rPr>
                      <w:color w:val="000000"/>
                      <w:sz w:val="20"/>
                      <w:szCs w:val="20"/>
                      <w:lang w:eastAsia="en-GB"/>
                    </w:rPr>
                    <w:t>w</w:t>
                  </w:r>
                  <w:r w:rsidRPr="0098635C">
                    <w:rPr>
                      <w:color w:val="000000"/>
                      <w:sz w:val="20"/>
                      <w:szCs w:val="20"/>
                      <w:lang w:eastAsia="en-GB"/>
                    </w:rPr>
                    <w:t>ders  (10-50µm)   -read-across  from wire and epoxy-mounted</w:t>
                  </w:r>
                </w:p>
              </w:tc>
              <w:tc>
                <w:tcPr>
                  <w:tcW w:w="709" w:type="dxa"/>
                  <w:tcBorders>
                    <w:top w:val="nil"/>
                    <w:left w:val="nil"/>
                    <w:bottom w:val="single" w:sz="8" w:space="0" w:color="auto"/>
                    <w:right w:val="single" w:sz="8" w:space="0" w:color="auto"/>
                  </w:tcBorders>
                  <w:shd w:val="clear" w:color="000000" w:fill="FFFFFF"/>
                  <w:vAlign w:val="center"/>
                  <w:hideMark/>
                </w:tcPr>
                <w:p w14:paraId="76BE501A" w14:textId="77777777" w:rsidR="002C2BB0" w:rsidRPr="0098635C" w:rsidRDefault="002C2BB0" w:rsidP="002C2BB0">
                  <w:pPr>
                    <w:spacing w:after="0"/>
                    <w:ind w:left="-165" w:right="-197"/>
                    <w:jc w:val="center"/>
                    <w:rPr>
                      <w:sz w:val="20"/>
                      <w:szCs w:val="20"/>
                      <w:lang w:eastAsia="en-GB"/>
                    </w:rPr>
                  </w:pPr>
                  <w:r w:rsidRPr="0098635C">
                    <w:rPr>
                      <w:sz w:val="20"/>
                      <w:szCs w:val="20"/>
                      <w:lang w:eastAsia="en-GB"/>
                    </w:rPr>
                    <w:t>6</w:t>
                  </w:r>
                </w:p>
              </w:tc>
              <w:tc>
                <w:tcPr>
                  <w:tcW w:w="1276" w:type="dxa"/>
                  <w:tcBorders>
                    <w:top w:val="nil"/>
                    <w:left w:val="nil"/>
                    <w:bottom w:val="single" w:sz="8" w:space="0" w:color="auto"/>
                    <w:right w:val="single" w:sz="8" w:space="0" w:color="auto"/>
                  </w:tcBorders>
                  <w:shd w:val="clear" w:color="000000" w:fill="FFFFFF"/>
                  <w:vAlign w:val="center"/>
                  <w:hideMark/>
                </w:tcPr>
                <w:p w14:paraId="7E13E037" w14:textId="77777777" w:rsidR="002C2BB0" w:rsidRPr="0098635C" w:rsidRDefault="002C2BB0" w:rsidP="002C2BB0">
                  <w:pPr>
                    <w:spacing w:after="0"/>
                    <w:ind w:left="-23" w:right="-51"/>
                    <w:jc w:val="center"/>
                    <w:rPr>
                      <w:sz w:val="20"/>
                      <w:szCs w:val="20"/>
                      <w:lang w:eastAsia="en-GB"/>
                    </w:rPr>
                  </w:pPr>
                  <w:r w:rsidRPr="0098635C">
                    <w:rPr>
                      <w:sz w:val="20"/>
                      <w:szCs w:val="20"/>
                      <w:lang w:eastAsia="en-GB"/>
                    </w:rPr>
                    <w:t>1</w:t>
                  </w:r>
                </w:p>
              </w:tc>
              <w:tc>
                <w:tcPr>
                  <w:tcW w:w="1843" w:type="dxa"/>
                  <w:tcBorders>
                    <w:top w:val="nil"/>
                    <w:left w:val="nil"/>
                    <w:bottom w:val="single" w:sz="8" w:space="0" w:color="auto"/>
                    <w:right w:val="single" w:sz="8" w:space="0" w:color="auto"/>
                  </w:tcBorders>
                  <w:shd w:val="clear" w:color="000000" w:fill="FFFFFF"/>
                  <w:vAlign w:val="center"/>
                  <w:hideMark/>
                </w:tcPr>
                <w:p w14:paraId="5B8D980A" w14:textId="77777777" w:rsidR="002C2BB0" w:rsidRPr="0098635C" w:rsidRDefault="002C2BB0" w:rsidP="002C2BB0">
                  <w:pPr>
                    <w:spacing w:after="0"/>
                    <w:ind w:right="-51"/>
                    <w:jc w:val="center"/>
                    <w:rPr>
                      <w:sz w:val="20"/>
                      <w:szCs w:val="20"/>
                      <w:lang w:eastAsia="en-GB"/>
                    </w:rPr>
                  </w:pPr>
                  <w:r w:rsidRPr="0098635C">
                    <w:rPr>
                      <w:sz w:val="20"/>
                      <w:szCs w:val="20"/>
                      <w:lang w:eastAsia="en-GB"/>
                    </w:rPr>
                    <w:t>67-107</w:t>
                  </w:r>
                </w:p>
              </w:tc>
              <w:tc>
                <w:tcPr>
                  <w:tcW w:w="992" w:type="dxa"/>
                  <w:tcBorders>
                    <w:top w:val="nil"/>
                    <w:left w:val="nil"/>
                    <w:bottom w:val="single" w:sz="8" w:space="0" w:color="auto"/>
                    <w:right w:val="single" w:sz="8" w:space="0" w:color="auto"/>
                  </w:tcBorders>
                  <w:shd w:val="clear" w:color="000000" w:fill="FFFFFF"/>
                  <w:vAlign w:val="center"/>
                  <w:hideMark/>
                </w:tcPr>
                <w:p w14:paraId="620E8D6D" w14:textId="77777777" w:rsidR="002C2BB0" w:rsidRPr="0098635C" w:rsidRDefault="002C2BB0" w:rsidP="002C2BB0">
                  <w:pPr>
                    <w:spacing w:after="0"/>
                    <w:jc w:val="center"/>
                    <w:rPr>
                      <w:sz w:val="20"/>
                      <w:szCs w:val="20"/>
                      <w:lang w:eastAsia="en-GB"/>
                    </w:rPr>
                  </w:pPr>
                  <w:r w:rsidRPr="0098635C">
                    <w:rPr>
                      <w:sz w:val="20"/>
                      <w:szCs w:val="20"/>
                      <w:lang w:eastAsia="en-GB"/>
                    </w:rPr>
                    <w:t>9-44</w:t>
                  </w:r>
                </w:p>
              </w:tc>
              <w:tc>
                <w:tcPr>
                  <w:tcW w:w="1132" w:type="dxa"/>
                  <w:tcBorders>
                    <w:top w:val="nil"/>
                    <w:left w:val="nil"/>
                    <w:bottom w:val="single" w:sz="8" w:space="0" w:color="auto"/>
                    <w:right w:val="single" w:sz="8" w:space="0" w:color="auto"/>
                  </w:tcBorders>
                  <w:shd w:val="clear" w:color="000000" w:fill="FFFFFF"/>
                  <w:vAlign w:val="center"/>
                  <w:hideMark/>
                </w:tcPr>
                <w:p w14:paraId="6354679C" w14:textId="77777777" w:rsidR="002C2BB0" w:rsidRPr="0098635C" w:rsidRDefault="002C2BB0" w:rsidP="002C2BB0">
                  <w:pPr>
                    <w:spacing w:after="0"/>
                    <w:jc w:val="center"/>
                    <w:rPr>
                      <w:sz w:val="20"/>
                      <w:szCs w:val="20"/>
                      <w:lang w:eastAsia="en-GB"/>
                    </w:rPr>
                  </w:pPr>
                  <w:r w:rsidRPr="0098635C">
                    <w:rPr>
                      <w:sz w:val="20"/>
                      <w:szCs w:val="20"/>
                      <w:lang w:eastAsia="en-GB"/>
                    </w:rPr>
                    <w:t>37-176*</w:t>
                  </w:r>
                </w:p>
              </w:tc>
            </w:tr>
            <w:tr w:rsidR="002C2BB0" w:rsidRPr="0098635C" w14:paraId="65B54155" w14:textId="77777777" w:rsidTr="002C2BB0">
              <w:trPr>
                <w:trHeight w:val="283"/>
              </w:trPr>
              <w:tc>
                <w:tcPr>
                  <w:tcW w:w="3102"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2BEB005" w14:textId="77777777" w:rsidR="002C2BB0" w:rsidRPr="0098635C" w:rsidRDefault="002C2BB0" w:rsidP="002C2BB0">
                  <w:pPr>
                    <w:spacing w:after="0"/>
                    <w:ind w:left="24" w:right="-51"/>
                    <w:jc w:val="left"/>
                    <w:rPr>
                      <w:color w:val="000000"/>
                      <w:sz w:val="20"/>
                      <w:szCs w:val="20"/>
                      <w:lang w:eastAsia="en-GB"/>
                    </w:rPr>
                  </w:pPr>
                  <w:r w:rsidRPr="0098635C">
                    <w:rPr>
                      <w:color w:val="000000"/>
                      <w:sz w:val="20"/>
                      <w:szCs w:val="20"/>
                      <w:lang w:eastAsia="en-GB"/>
                    </w:rPr>
                    <w:t>Coated copper flakes</w:t>
                  </w:r>
                </w:p>
              </w:tc>
              <w:tc>
                <w:tcPr>
                  <w:tcW w:w="709" w:type="dxa"/>
                  <w:tcBorders>
                    <w:top w:val="nil"/>
                    <w:left w:val="nil"/>
                    <w:bottom w:val="nil"/>
                    <w:right w:val="single" w:sz="8" w:space="0" w:color="auto"/>
                  </w:tcBorders>
                  <w:shd w:val="clear" w:color="000000" w:fill="FFFFFF"/>
                  <w:vAlign w:val="center"/>
                  <w:hideMark/>
                </w:tcPr>
                <w:p w14:paraId="6873538E" w14:textId="77777777" w:rsidR="002C2BB0" w:rsidRPr="0098635C" w:rsidRDefault="002C2BB0" w:rsidP="002C2BB0">
                  <w:pPr>
                    <w:spacing w:after="0"/>
                    <w:ind w:left="-165" w:right="-197"/>
                    <w:jc w:val="center"/>
                    <w:rPr>
                      <w:sz w:val="20"/>
                      <w:szCs w:val="20"/>
                      <w:lang w:eastAsia="en-GB"/>
                    </w:rPr>
                  </w:pPr>
                  <w:r w:rsidRPr="0098635C">
                    <w:rPr>
                      <w:sz w:val="20"/>
                      <w:szCs w:val="20"/>
                      <w:lang w:eastAsia="en-GB"/>
                    </w:rPr>
                    <w:t>6</w:t>
                  </w:r>
                </w:p>
              </w:tc>
              <w:tc>
                <w:tcPr>
                  <w:tcW w:w="1276" w:type="dxa"/>
                  <w:tcBorders>
                    <w:top w:val="nil"/>
                    <w:left w:val="nil"/>
                    <w:bottom w:val="nil"/>
                    <w:right w:val="single" w:sz="8" w:space="0" w:color="auto"/>
                  </w:tcBorders>
                  <w:shd w:val="clear" w:color="000000" w:fill="FFFFFF"/>
                  <w:vAlign w:val="center"/>
                  <w:hideMark/>
                </w:tcPr>
                <w:p w14:paraId="2B596115" w14:textId="77777777" w:rsidR="002C2BB0" w:rsidRPr="0098635C" w:rsidRDefault="002C2BB0" w:rsidP="002C2BB0">
                  <w:pPr>
                    <w:spacing w:after="0"/>
                    <w:ind w:left="-23" w:right="-51"/>
                    <w:jc w:val="center"/>
                    <w:rPr>
                      <w:sz w:val="20"/>
                      <w:szCs w:val="20"/>
                      <w:lang w:eastAsia="en-GB"/>
                    </w:rPr>
                  </w:pPr>
                  <w:r w:rsidRPr="0098635C">
                    <w:rPr>
                      <w:sz w:val="20"/>
                      <w:szCs w:val="20"/>
                      <w:lang w:eastAsia="en-GB"/>
                    </w:rPr>
                    <w:t>1</w:t>
                  </w:r>
                </w:p>
              </w:tc>
              <w:tc>
                <w:tcPr>
                  <w:tcW w:w="1843" w:type="dxa"/>
                  <w:tcBorders>
                    <w:top w:val="nil"/>
                    <w:left w:val="nil"/>
                    <w:bottom w:val="nil"/>
                    <w:right w:val="single" w:sz="8" w:space="0" w:color="auto"/>
                  </w:tcBorders>
                  <w:shd w:val="clear" w:color="000000" w:fill="FFFFFF"/>
                  <w:vAlign w:val="center"/>
                  <w:hideMark/>
                </w:tcPr>
                <w:p w14:paraId="1EEE1BBA" w14:textId="77777777" w:rsidR="002C2BB0" w:rsidRPr="0098635C" w:rsidRDefault="002C2BB0" w:rsidP="002C2BB0">
                  <w:pPr>
                    <w:spacing w:after="0"/>
                    <w:ind w:right="-51"/>
                    <w:jc w:val="center"/>
                    <w:rPr>
                      <w:sz w:val="20"/>
                      <w:szCs w:val="20"/>
                      <w:lang w:eastAsia="en-GB"/>
                    </w:rPr>
                  </w:pPr>
                  <w:r w:rsidRPr="0098635C">
                    <w:rPr>
                      <w:sz w:val="20"/>
                      <w:szCs w:val="20"/>
                      <w:lang w:eastAsia="en-GB"/>
                    </w:rPr>
                    <w:t>2900</w:t>
                  </w:r>
                </w:p>
              </w:tc>
              <w:tc>
                <w:tcPr>
                  <w:tcW w:w="992" w:type="dxa"/>
                  <w:tcBorders>
                    <w:top w:val="nil"/>
                    <w:left w:val="nil"/>
                    <w:bottom w:val="nil"/>
                    <w:right w:val="single" w:sz="8" w:space="0" w:color="auto"/>
                  </w:tcBorders>
                  <w:shd w:val="clear" w:color="000000" w:fill="FFFFFF"/>
                  <w:vAlign w:val="center"/>
                  <w:hideMark/>
                </w:tcPr>
                <w:p w14:paraId="2FAA71C8" w14:textId="77777777" w:rsidR="002C2BB0" w:rsidRPr="0098635C" w:rsidRDefault="002C2BB0" w:rsidP="002C2BB0">
                  <w:pPr>
                    <w:spacing w:after="0"/>
                    <w:jc w:val="center"/>
                    <w:rPr>
                      <w:sz w:val="20"/>
                      <w:szCs w:val="20"/>
                      <w:lang w:eastAsia="en-GB"/>
                    </w:rPr>
                  </w:pPr>
                  <w:r w:rsidRPr="0098635C">
                    <w:rPr>
                      <w:sz w:val="20"/>
                      <w:szCs w:val="20"/>
                      <w:lang w:eastAsia="en-GB"/>
                    </w:rPr>
                    <w:t>721</w:t>
                  </w:r>
                </w:p>
              </w:tc>
              <w:tc>
                <w:tcPr>
                  <w:tcW w:w="1132" w:type="dxa"/>
                  <w:tcBorders>
                    <w:top w:val="nil"/>
                    <w:left w:val="nil"/>
                    <w:bottom w:val="nil"/>
                    <w:right w:val="single" w:sz="8" w:space="0" w:color="auto"/>
                  </w:tcBorders>
                  <w:shd w:val="clear" w:color="000000" w:fill="FFFFFF"/>
                  <w:vAlign w:val="center"/>
                  <w:hideMark/>
                </w:tcPr>
                <w:p w14:paraId="38DBDCE0" w14:textId="77777777" w:rsidR="002C2BB0" w:rsidRPr="0098635C" w:rsidRDefault="002C2BB0" w:rsidP="002C2BB0">
                  <w:pPr>
                    <w:spacing w:after="0"/>
                    <w:jc w:val="center"/>
                    <w:rPr>
                      <w:sz w:val="20"/>
                      <w:szCs w:val="20"/>
                      <w:lang w:eastAsia="en-GB"/>
                    </w:rPr>
                  </w:pPr>
                  <w:r w:rsidRPr="0098635C">
                    <w:rPr>
                      <w:sz w:val="20"/>
                      <w:szCs w:val="20"/>
                      <w:lang w:eastAsia="en-GB"/>
                    </w:rPr>
                    <w:t>773</w:t>
                  </w:r>
                </w:p>
              </w:tc>
            </w:tr>
            <w:tr w:rsidR="002C2BB0" w:rsidRPr="0098635C" w14:paraId="7E4637F1" w14:textId="77777777" w:rsidTr="002C2BB0">
              <w:trPr>
                <w:trHeight w:val="297"/>
              </w:trPr>
              <w:tc>
                <w:tcPr>
                  <w:tcW w:w="3102" w:type="dxa"/>
                  <w:vMerge/>
                  <w:tcBorders>
                    <w:top w:val="nil"/>
                    <w:left w:val="single" w:sz="8" w:space="0" w:color="auto"/>
                    <w:bottom w:val="single" w:sz="8" w:space="0" w:color="000000"/>
                    <w:right w:val="single" w:sz="8" w:space="0" w:color="auto"/>
                  </w:tcBorders>
                  <w:vAlign w:val="center"/>
                  <w:hideMark/>
                </w:tcPr>
                <w:p w14:paraId="7598506A" w14:textId="77777777" w:rsidR="002C2BB0" w:rsidRPr="0098635C" w:rsidRDefault="002C2BB0" w:rsidP="002C2BB0">
                  <w:pPr>
                    <w:spacing w:after="0"/>
                    <w:jc w:val="center"/>
                    <w:rPr>
                      <w:color w:val="000000"/>
                      <w:sz w:val="20"/>
                      <w:szCs w:val="20"/>
                      <w:lang w:eastAsia="en-GB"/>
                    </w:rPr>
                  </w:pPr>
                </w:p>
              </w:tc>
              <w:tc>
                <w:tcPr>
                  <w:tcW w:w="709" w:type="dxa"/>
                  <w:tcBorders>
                    <w:top w:val="nil"/>
                    <w:left w:val="nil"/>
                    <w:bottom w:val="single" w:sz="8" w:space="0" w:color="auto"/>
                    <w:right w:val="single" w:sz="8" w:space="0" w:color="auto"/>
                  </w:tcBorders>
                  <w:shd w:val="clear" w:color="000000" w:fill="FFFFFF"/>
                  <w:vAlign w:val="center"/>
                  <w:hideMark/>
                </w:tcPr>
                <w:p w14:paraId="6F51D9FB" w14:textId="77777777" w:rsidR="002C2BB0" w:rsidRPr="0098635C" w:rsidRDefault="002C2BB0" w:rsidP="002C2BB0">
                  <w:pPr>
                    <w:spacing w:after="0"/>
                    <w:ind w:left="-165" w:right="-197"/>
                    <w:jc w:val="center"/>
                    <w:rPr>
                      <w:sz w:val="20"/>
                      <w:szCs w:val="20"/>
                      <w:lang w:eastAsia="en-GB"/>
                    </w:rPr>
                  </w:pPr>
                  <w:r w:rsidRPr="0098635C">
                    <w:rPr>
                      <w:sz w:val="20"/>
                      <w:szCs w:val="20"/>
                      <w:lang w:eastAsia="en-GB"/>
                    </w:rPr>
                    <w:t>7</w:t>
                  </w:r>
                </w:p>
              </w:tc>
              <w:tc>
                <w:tcPr>
                  <w:tcW w:w="1276" w:type="dxa"/>
                  <w:tcBorders>
                    <w:top w:val="nil"/>
                    <w:left w:val="nil"/>
                    <w:bottom w:val="single" w:sz="8" w:space="0" w:color="auto"/>
                    <w:right w:val="single" w:sz="8" w:space="0" w:color="auto"/>
                  </w:tcBorders>
                  <w:shd w:val="clear" w:color="000000" w:fill="FFFFFF"/>
                  <w:vAlign w:val="center"/>
                  <w:hideMark/>
                </w:tcPr>
                <w:p w14:paraId="32246C8B" w14:textId="77777777" w:rsidR="002C2BB0" w:rsidRPr="0098635C" w:rsidRDefault="002C2BB0" w:rsidP="002C2BB0">
                  <w:pPr>
                    <w:spacing w:after="0"/>
                    <w:ind w:left="-23" w:right="-51"/>
                    <w:jc w:val="center"/>
                    <w:rPr>
                      <w:sz w:val="20"/>
                      <w:szCs w:val="20"/>
                      <w:lang w:eastAsia="en-GB"/>
                    </w:rPr>
                  </w:pPr>
                  <w:r w:rsidRPr="0098635C">
                    <w:rPr>
                      <w:sz w:val="20"/>
                      <w:szCs w:val="20"/>
                      <w:lang w:eastAsia="en-GB"/>
                    </w:rPr>
                    <w:t>1</w:t>
                  </w:r>
                </w:p>
              </w:tc>
              <w:tc>
                <w:tcPr>
                  <w:tcW w:w="1843" w:type="dxa"/>
                  <w:tcBorders>
                    <w:top w:val="nil"/>
                    <w:left w:val="nil"/>
                    <w:bottom w:val="single" w:sz="8" w:space="0" w:color="auto"/>
                    <w:right w:val="single" w:sz="8" w:space="0" w:color="auto"/>
                  </w:tcBorders>
                  <w:shd w:val="clear" w:color="000000" w:fill="FFFFFF"/>
                  <w:vAlign w:val="center"/>
                  <w:hideMark/>
                </w:tcPr>
                <w:p w14:paraId="3A64DBCD" w14:textId="77777777" w:rsidR="002C2BB0" w:rsidRPr="0098635C" w:rsidRDefault="002C2BB0" w:rsidP="002C2BB0">
                  <w:pPr>
                    <w:spacing w:after="0"/>
                    <w:ind w:right="-51"/>
                    <w:jc w:val="center"/>
                    <w:rPr>
                      <w:sz w:val="20"/>
                      <w:szCs w:val="20"/>
                      <w:lang w:eastAsia="en-GB"/>
                    </w:rPr>
                  </w:pPr>
                  <w:r w:rsidRPr="0098635C">
                    <w:rPr>
                      <w:sz w:val="20"/>
                      <w:szCs w:val="20"/>
                      <w:lang w:eastAsia="en-GB"/>
                    </w:rPr>
                    <w:t>2900</w:t>
                  </w:r>
                </w:p>
              </w:tc>
              <w:tc>
                <w:tcPr>
                  <w:tcW w:w="992" w:type="dxa"/>
                  <w:tcBorders>
                    <w:top w:val="nil"/>
                    <w:left w:val="nil"/>
                    <w:bottom w:val="single" w:sz="8" w:space="0" w:color="auto"/>
                    <w:right w:val="single" w:sz="8" w:space="0" w:color="auto"/>
                  </w:tcBorders>
                  <w:shd w:val="clear" w:color="000000" w:fill="FFFFFF"/>
                  <w:vAlign w:val="center"/>
                  <w:hideMark/>
                </w:tcPr>
                <w:p w14:paraId="4A511001" w14:textId="77777777" w:rsidR="002C2BB0" w:rsidRPr="0098635C" w:rsidRDefault="002C2BB0" w:rsidP="002C2BB0">
                  <w:pPr>
                    <w:spacing w:after="0"/>
                    <w:jc w:val="center"/>
                    <w:rPr>
                      <w:sz w:val="20"/>
                      <w:szCs w:val="20"/>
                      <w:lang w:eastAsia="en-GB"/>
                    </w:rPr>
                  </w:pPr>
                  <w:r w:rsidRPr="0098635C">
                    <w:rPr>
                      <w:sz w:val="20"/>
                      <w:szCs w:val="20"/>
                      <w:lang w:eastAsia="en-GB"/>
                    </w:rPr>
                    <w:t>363</w:t>
                  </w:r>
                </w:p>
              </w:tc>
              <w:tc>
                <w:tcPr>
                  <w:tcW w:w="1132" w:type="dxa"/>
                  <w:tcBorders>
                    <w:top w:val="nil"/>
                    <w:left w:val="nil"/>
                    <w:bottom w:val="single" w:sz="8" w:space="0" w:color="auto"/>
                    <w:right w:val="single" w:sz="8" w:space="0" w:color="auto"/>
                  </w:tcBorders>
                  <w:shd w:val="clear" w:color="000000" w:fill="FFFFFF"/>
                  <w:vAlign w:val="center"/>
                  <w:hideMark/>
                </w:tcPr>
                <w:p w14:paraId="22DFC99C" w14:textId="77777777" w:rsidR="002C2BB0" w:rsidRPr="0098635C" w:rsidRDefault="002C2BB0" w:rsidP="002C2BB0">
                  <w:pPr>
                    <w:spacing w:after="0"/>
                    <w:jc w:val="center"/>
                    <w:rPr>
                      <w:sz w:val="20"/>
                      <w:szCs w:val="20"/>
                      <w:lang w:eastAsia="en-GB"/>
                    </w:rPr>
                  </w:pPr>
                  <w:r w:rsidRPr="0098635C">
                    <w:rPr>
                      <w:sz w:val="20"/>
                      <w:szCs w:val="20"/>
                      <w:lang w:eastAsia="en-GB"/>
                    </w:rPr>
                    <w:t>639</w:t>
                  </w:r>
                </w:p>
              </w:tc>
            </w:tr>
          </w:tbl>
          <w:p w14:paraId="66DD0352" w14:textId="77777777" w:rsidR="002C2BB0" w:rsidRPr="0098635C" w:rsidRDefault="002C2BB0" w:rsidP="002C2BB0">
            <w:pPr>
              <w:spacing w:after="0"/>
              <w:ind w:left="142"/>
              <w:rPr>
                <w:rFonts w:eastAsia="Calibri"/>
                <w:sz w:val="20"/>
                <w:szCs w:val="20"/>
              </w:rPr>
            </w:pPr>
            <w:r w:rsidRPr="0098635C">
              <w:rPr>
                <w:rFonts w:eastAsia="Calibri"/>
                <w:sz w:val="20"/>
                <w:szCs w:val="20"/>
              </w:rPr>
              <w:t>*From linear extrapolation of the7 days transfo</w:t>
            </w:r>
            <w:r w:rsidRPr="0098635C">
              <w:rPr>
                <w:rFonts w:eastAsia="Calibri"/>
                <w:sz w:val="20"/>
                <w:szCs w:val="20"/>
              </w:rPr>
              <w:t>r</w:t>
            </w:r>
            <w:r w:rsidRPr="0098635C">
              <w:rPr>
                <w:rFonts w:eastAsia="Calibri"/>
                <w:sz w:val="20"/>
                <w:szCs w:val="20"/>
              </w:rPr>
              <w:t>mation/dissolution data</w:t>
            </w:r>
          </w:p>
          <w:p w14:paraId="47D55AD9" w14:textId="77777777" w:rsidR="002C2BB0" w:rsidRPr="0098635C" w:rsidRDefault="002C2BB0" w:rsidP="002C2BB0">
            <w:pPr>
              <w:spacing w:after="0"/>
              <w:rPr>
                <w:sz w:val="20"/>
                <w:szCs w:val="20"/>
              </w:rPr>
            </w:pPr>
          </w:p>
          <w:p w14:paraId="5F0B0C8C" w14:textId="77777777" w:rsidR="002C2BB0" w:rsidRPr="0098635C" w:rsidRDefault="002C2BB0" w:rsidP="002C2BB0">
            <w:pPr>
              <w:tabs>
                <w:tab w:val="left" w:pos="2694"/>
              </w:tabs>
              <w:spacing w:after="0"/>
              <w:ind w:right="271"/>
              <w:rPr>
                <w:rFonts w:eastAsia="Calibri"/>
                <w:sz w:val="20"/>
                <w:szCs w:val="20"/>
              </w:rPr>
            </w:pPr>
            <w:r w:rsidRPr="0098635C">
              <w:rPr>
                <w:rFonts w:eastAsia="Calibri"/>
                <w:sz w:val="20"/>
                <w:szCs w:val="20"/>
              </w:rPr>
              <w:t>In conclusion, the information from solubility (see physico-chemistry) and transformation/dissolution tests with various copper-bearing materials demonstrate important differences in solubilisation properties ranging from fully soluble CuSO</w:t>
            </w:r>
            <w:r w:rsidRPr="0098635C">
              <w:rPr>
                <w:rFonts w:eastAsia="Calibri"/>
                <w:sz w:val="20"/>
                <w:szCs w:val="20"/>
                <w:vertAlign w:val="subscript"/>
              </w:rPr>
              <w:t>4</w:t>
            </w:r>
            <w:r w:rsidRPr="0098635C">
              <w:rPr>
                <w:rFonts w:eastAsia="Calibri"/>
                <w:sz w:val="20"/>
                <w:szCs w:val="20"/>
              </w:rPr>
              <w:t>.5H</w:t>
            </w:r>
            <w:r w:rsidRPr="0098635C">
              <w:rPr>
                <w:rFonts w:eastAsia="Calibri"/>
                <w:sz w:val="20"/>
                <w:szCs w:val="20"/>
                <w:vertAlign w:val="subscript"/>
              </w:rPr>
              <w:t>2</w:t>
            </w:r>
            <w:r w:rsidRPr="0098635C">
              <w:rPr>
                <w:rFonts w:eastAsia="Calibri"/>
                <w:sz w:val="20"/>
                <w:szCs w:val="20"/>
              </w:rPr>
              <w:t>O to copper massive granules (1 mm diameter), with only 0.3% tran</w:t>
            </w:r>
            <w:r w:rsidRPr="0098635C">
              <w:rPr>
                <w:rFonts w:eastAsia="Calibri"/>
                <w:sz w:val="20"/>
                <w:szCs w:val="20"/>
              </w:rPr>
              <w:t>s</w:t>
            </w:r>
            <w:r w:rsidRPr="0098635C">
              <w:rPr>
                <w:rFonts w:eastAsia="Calibri"/>
                <w:sz w:val="20"/>
                <w:szCs w:val="20"/>
              </w:rPr>
              <w:t>formed/dissolved in 28 days at pH 6.</w:t>
            </w:r>
          </w:p>
          <w:p w14:paraId="45ED4F45" w14:textId="77777777" w:rsidR="002C2BB0" w:rsidRPr="0098635C" w:rsidRDefault="002C2BB0" w:rsidP="002C2BB0">
            <w:pPr>
              <w:tabs>
                <w:tab w:val="left" w:pos="2694"/>
              </w:tabs>
              <w:spacing w:after="0"/>
              <w:ind w:right="271"/>
              <w:rPr>
                <w:sz w:val="20"/>
                <w:szCs w:val="20"/>
              </w:rPr>
            </w:pPr>
            <w:r w:rsidRPr="0098635C">
              <w:rPr>
                <w:sz w:val="20"/>
                <w:szCs w:val="20"/>
              </w:rPr>
              <w:t>Hydrolysis, biodegradation and phototransformation are not applicable endpoints for copper and the ino</w:t>
            </w:r>
            <w:r w:rsidRPr="0098635C">
              <w:rPr>
                <w:sz w:val="20"/>
                <w:szCs w:val="20"/>
              </w:rPr>
              <w:t>r</w:t>
            </w:r>
            <w:r w:rsidRPr="0098635C">
              <w:rPr>
                <w:sz w:val="20"/>
                <w:szCs w:val="20"/>
              </w:rPr>
              <w:t xml:space="preserve">ganic copper salts. </w:t>
            </w:r>
          </w:p>
          <w:p w14:paraId="3C06DFEF" w14:textId="77777777" w:rsidR="002C2BB0" w:rsidRPr="0098635C" w:rsidRDefault="002C2BB0" w:rsidP="002C2BB0">
            <w:pPr>
              <w:tabs>
                <w:tab w:val="left" w:pos="2694"/>
              </w:tabs>
              <w:spacing w:after="0"/>
              <w:ind w:right="271"/>
              <w:rPr>
                <w:sz w:val="20"/>
                <w:szCs w:val="20"/>
              </w:rPr>
            </w:pPr>
            <w:r w:rsidRPr="0098635C">
              <w:rPr>
                <w:sz w:val="20"/>
                <w:szCs w:val="20"/>
              </w:rPr>
              <w:t>The occurrence of various copper species will depend on the characteristics of the receiving environment.  A</w:t>
            </w:r>
            <w:r w:rsidRPr="0098635C">
              <w:rPr>
                <w:sz w:val="20"/>
                <w:szCs w:val="20"/>
              </w:rPr>
              <w:t>f</w:t>
            </w:r>
            <w:r w:rsidRPr="0098635C">
              <w:rPr>
                <w:sz w:val="20"/>
                <w:szCs w:val="20"/>
              </w:rPr>
              <w:t xml:space="preserve">ter </w:t>
            </w:r>
            <w:r w:rsidRPr="0098635C">
              <w:rPr>
                <w:sz w:val="20"/>
                <w:szCs w:val="20"/>
              </w:rPr>
              <w:lastRenderedPageBreak/>
              <w:t>being released into the environment, the Cu(II) ions typically bind to inorganic and organic ligands co</w:t>
            </w:r>
            <w:r w:rsidRPr="0098635C">
              <w:rPr>
                <w:sz w:val="20"/>
                <w:szCs w:val="20"/>
              </w:rPr>
              <w:t>n</w:t>
            </w:r>
            <w:r w:rsidRPr="0098635C">
              <w:rPr>
                <w:sz w:val="20"/>
                <w:szCs w:val="20"/>
              </w:rPr>
              <w:t>tained within water, soil and sediments. In water, Cu(II) binds to dissolved organic matter (e.g., humic or fu</w:t>
            </w:r>
            <w:r w:rsidRPr="0098635C">
              <w:rPr>
                <w:sz w:val="20"/>
                <w:szCs w:val="20"/>
              </w:rPr>
              <w:t>l</w:t>
            </w:r>
            <w:r w:rsidRPr="0098635C">
              <w:rPr>
                <w:sz w:val="20"/>
                <w:szCs w:val="20"/>
              </w:rPr>
              <w:t>vic acids). The Cu(II) ion forms stable complexes with -NH</w:t>
            </w:r>
            <w:r w:rsidRPr="0098635C">
              <w:rPr>
                <w:sz w:val="20"/>
                <w:szCs w:val="20"/>
                <w:vertAlign w:val="subscript"/>
              </w:rPr>
              <w:t>2</w:t>
            </w:r>
            <w:r w:rsidRPr="0098635C">
              <w:rPr>
                <w:sz w:val="20"/>
                <w:szCs w:val="20"/>
              </w:rPr>
              <w:t>, -SH, and, to a lesser extent, -OH groups in these organic acids. Cu(II) will also bind with varying affinities to inorganic and organic components in sediments and soils. For example, Cu(II) binds strongly to sulphides in sediments and to hydrous manganese and iron o</w:t>
            </w:r>
            <w:r w:rsidRPr="0098635C">
              <w:rPr>
                <w:sz w:val="20"/>
                <w:szCs w:val="20"/>
              </w:rPr>
              <w:t>x</w:t>
            </w:r>
            <w:r w:rsidRPr="0098635C">
              <w:rPr>
                <w:sz w:val="20"/>
                <w:szCs w:val="20"/>
              </w:rPr>
              <w:t>ides in clay, and to humic acids, but much less strongly to aluminosilicates in sand. In all environmental co</w:t>
            </w:r>
            <w:r w:rsidRPr="0098635C">
              <w:rPr>
                <w:sz w:val="20"/>
                <w:szCs w:val="20"/>
              </w:rPr>
              <w:t>m</w:t>
            </w:r>
            <w:r w:rsidRPr="0098635C">
              <w:rPr>
                <w:sz w:val="20"/>
                <w:szCs w:val="20"/>
              </w:rPr>
              <w:t>partments (water, sediment, soil), the binding affinities of Cu(II) with inorganic and organic matter is depen</w:t>
            </w:r>
            <w:r w:rsidRPr="0098635C">
              <w:rPr>
                <w:sz w:val="20"/>
                <w:szCs w:val="20"/>
              </w:rPr>
              <w:t>d</w:t>
            </w:r>
            <w:r w:rsidRPr="0098635C">
              <w:rPr>
                <w:sz w:val="20"/>
                <w:szCs w:val="20"/>
              </w:rPr>
              <w:t>ent on pH, the oxidation-reduction potential in the local environment, and the presence of competing metal ions and inorganic anions. The results of comparing the bio-availability of the Cu-ions in the receiving co</w:t>
            </w:r>
            <w:r w:rsidRPr="0098635C">
              <w:rPr>
                <w:sz w:val="20"/>
                <w:szCs w:val="20"/>
              </w:rPr>
              <w:t>m</w:t>
            </w:r>
            <w:r w:rsidRPr="0098635C">
              <w:rPr>
                <w:sz w:val="20"/>
                <w:szCs w:val="20"/>
              </w:rPr>
              <w:t>partment must therefore be integrated in effects and risk chara</w:t>
            </w:r>
            <w:r w:rsidRPr="0098635C">
              <w:rPr>
                <w:sz w:val="20"/>
                <w:szCs w:val="20"/>
              </w:rPr>
              <w:t>c</w:t>
            </w:r>
            <w:r w:rsidRPr="0098635C">
              <w:rPr>
                <w:sz w:val="20"/>
                <w:szCs w:val="20"/>
              </w:rPr>
              <w:t xml:space="preserve">terisations. </w:t>
            </w:r>
          </w:p>
          <w:p w14:paraId="6EC9B3CE" w14:textId="77777777" w:rsidR="002C2BB0" w:rsidRPr="0098635C" w:rsidRDefault="002C2BB0" w:rsidP="002C2BB0">
            <w:pPr>
              <w:tabs>
                <w:tab w:val="left" w:pos="2694"/>
              </w:tabs>
              <w:spacing w:after="0"/>
              <w:ind w:right="271"/>
              <w:rPr>
                <w:sz w:val="20"/>
                <w:szCs w:val="20"/>
              </w:rPr>
            </w:pPr>
            <w:r w:rsidRPr="0098635C">
              <w:rPr>
                <w:sz w:val="20"/>
                <w:szCs w:val="20"/>
              </w:rPr>
              <w:t>Typical Kd-values for copper to freshwater suspended matter, freshwater sediment and soil are 30,246, 24,409 and 2,120 L/kg, respectively. Typical Kd-values for copper to marine and estuarine suspended matter are 131,826 and 56,234 L/kg, respectively. Typical Kd values correspond to 50</w:t>
            </w:r>
            <w:r w:rsidRPr="0098635C">
              <w:rPr>
                <w:sz w:val="20"/>
                <w:szCs w:val="20"/>
                <w:vertAlign w:val="superscript"/>
              </w:rPr>
              <w:t>th</w:t>
            </w:r>
            <w:r w:rsidRPr="0098635C">
              <w:rPr>
                <w:sz w:val="20"/>
                <w:szCs w:val="20"/>
              </w:rPr>
              <w:t xml:space="preserve"> percentiles of distribution of va</w:t>
            </w:r>
            <w:r w:rsidRPr="0098635C">
              <w:rPr>
                <w:sz w:val="20"/>
                <w:szCs w:val="20"/>
              </w:rPr>
              <w:t>l</w:t>
            </w:r>
            <w:r w:rsidRPr="0098635C">
              <w:rPr>
                <w:sz w:val="20"/>
                <w:szCs w:val="20"/>
              </w:rPr>
              <w:t>ues from available monitoring data.</w:t>
            </w:r>
          </w:p>
          <w:p w14:paraId="4B03D9D3" w14:textId="77777777" w:rsidR="002C2BB0" w:rsidRPr="0098635C" w:rsidRDefault="002C2BB0" w:rsidP="002C2BB0">
            <w:pPr>
              <w:pStyle w:val="CommentText"/>
              <w:spacing w:after="0"/>
              <w:rPr>
                <w:lang w:val="en-US"/>
              </w:rPr>
            </w:pPr>
            <w:r w:rsidRPr="0098635C">
              <w:t xml:space="preserve"> </w:t>
            </w:r>
            <w:r w:rsidRPr="0098635C">
              <w:rPr>
                <w:lang w:val="en-US"/>
              </w:rPr>
              <w:t>Scientific information on copper bioaccumulation factors (BCF, BAF, TTF) does not support the use of BAF or BCF values when they are used as traditional generic threshold criteria for the hazard potential since they are not an intrinsic property for copper. Therefore, for inorganic copper compounds, bioaccumulation factors should be used with caution (</w:t>
            </w:r>
            <w:r w:rsidRPr="0098635C">
              <w:rPr>
                <w:i/>
                <w:iCs/>
                <w:lang w:val="en-US"/>
              </w:rPr>
              <w:t>Do</w:t>
            </w:r>
            <w:r w:rsidRPr="0098635C">
              <w:rPr>
                <w:i/>
                <w:iCs/>
                <w:lang w:val="en-US"/>
              </w:rPr>
              <w:t>c</w:t>
            </w:r>
            <w:r w:rsidRPr="0098635C">
              <w:rPr>
                <w:i/>
                <w:iCs/>
                <w:lang w:val="en-US"/>
              </w:rPr>
              <w:t>ument ENV/JM/MONO(2001)</w:t>
            </w:r>
            <w:r w:rsidRPr="0098635C">
              <w:rPr>
                <w:lang w:val="en-US"/>
              </w:rPr>
              <w:t xml:space="preserve">. </w:t>
            </w:r>
          </w:p>
          <w:p w14:paraId="6DC85462" w14:textId="77777777" w:rsidR="002C2BB0" w:rsidRPr="0098635C" w:rsidRDefault="002C2BB0" w:rsidP="002C2BB0">
            <w:pPr>
              <w:pStyle w:val="CommentText"/>
              <w:spacing w:after="0"/>
            </w:pPr>
            <w:r w:rsidRPr="0098635C">
              <w:t>Indeed, for copper, acclimation and homeostatic regulation mechanisms are induced after longer exposure times.  Furthermore, some organisms accumulate copper in a non-bioavailable form by using copper binding and sequestrations mechanisms as regulation system. These adaptation and regulation systems play a role in the copper essentiality/toxicity profile and therefore, the BCF/BAF is not independent of exposure concentr</w:t>
            </w:r>
            <w:r w:rsidRPr="0098635C">
              <w:t>a</w:t>
            </w:r>
            <w:r w:rsidRPr="0098635C">
              <w:t xml:space="preserve">tion and has no meaning for a hazard assessment.  </w:t>
            </w:r>
          </w:p>
          <w:p w14:paraId="395A208C" w14:textId="77777777" w:rsidR="002C2BB0" w:rsidRPr="0098635C" w:rsidRDefault="002C2BB0" w:rsidP="002C2BB0">
            <w:pPr>
              <w:pStyle w:val="CommentText"/>
              <w:spacing w:after="0"/>
            </w:pPr>
          </w:p>
          <w:p w14:paraId="519F78E5" w14:textId="77777777" w:rsidR="002C2BB0" w:rsidRPr="0098635C" w:rsidRDefault="002C2BB0" w:rsidP="002C2BB0">
            <w:pPr>
              <w:tabs>
                <w:tab w:val="left" w:pos="2694"/>
              </w:tabs>
              <w:spacing w:after="0"/>
              <w:ind w:right="271"/>
              <w:rPr>
                <w:b/>
                <w:i/>
                <w:sz w:val="20"/>
                <w:szCs w:val="20"/>
              </w:rPr>
            </w:pPr>
            <w:r w:rsidRPr="0098635C">
              <w:rPr>
                <w:b/>
                <w:i/>
                <w:sz w:val="20"/>
                <w:szCs w:val="20"/>
              </w:rPr>
              <w:t>Aquatic toxicity according to standard species/protocols</w:t>
            </w:r>
          </w:p>
          <w:p w14:paraId="6DEDC174" w14:textId="77777777" w:rsidR="002C2BB0" w:rsidRPr="0098635C" w:rsidRDefault="002C2BB0" w:rsidP="002C2BB0">
            <w:pPr>
              <w:spacing w:after="0"/>
              <w:rPr>
                <w:color w:val="FF0000"/>
                <w:sz w:val="20"/>
                <w:szCs w:val="20"/>
              </w:rPr>
            </w:pPr>
            <w:r w:rsidRPr="0098635C">
              <w:rPr>
                <w:sz w:val="20"/>
                <w:szCs w:val="20"/>
                <w:lang w:eastAsia="en-GB"/>
              </w:rPr>
              <w:t>Different metal species are used as test substances in various ecotoxicity tests (e.g. CuSO</w:t>
            </w:r>
            <w:r w:rsidRPr="0098635C">
              <w:rPr>
                <w:sz w:val="20"/>
                <w:szCs w:val="20"/>
                <w:vertAlign w:val="subscript"/>
                <w:lang w:eastAsia="en-GB"/>
              </w:rPr>
              <w:t>4</w:t>
            </w:r>
            <w:r w:rsidRPr="0098635C">
              <w:rPr>
                <w:sz w:val="20"/>
                <w:szCs w:val="20"/>
                <w:lang w:eastAsia="en-GB"/>
              </w:rPr>
              <w:t>.5H</w:t>
            </w:r>
            <w:r w:rsidRPr="0098635C">
              <w:rPr>
                <w:sz w:val="20"/>
                <w:szCs w:val="20"/>
                <w:vertAlign w:val="subscript"/>
                <w:lang w:eastAsia="en-GB"/>
              </w:rPr>
              <w:t>2</w:t>
            </w:r>
            <w:r w:rsidRPr="0098635C">
              <w:rPr>
                <w:sz w:val="20"/>
                <w:szCs w:val="20"/>
                <w:lang w:eastAsia="en-GB"/>
              </w:rPr>
              <w:t>0, CuCl</w:t>
            </w:r>
            <w:r w:rsidRPr="0098635C">
              <w:rPr>
                <w:sz w:val="20"/>
                <w:szCs w:val="20"/>
                <w:vertAlign w:val="subscript"/>
                <w:lang w:eastAsia="en-GB"/>
              </w:rPr>
              <w:t>2</w:t>
            </w:r>
            <w:r w:rsidRPr="0098635C">
              <w:rPr>
                <w:sz w:val="20"/>
                <w:szCs w:val="20"/>
                <w:lang w:eastAsia="en-GB"/>
              </w:rPr>
              <w:t>, CuO). The metal ion (Cu</w:t>
            </w:r>
            <w:r w:rsidRPr="0098635C">
              <w:rPr>
                <w:sz w:val="20"/>
                <w:szCs w:val="20"/>
                <w:vertAlign w:val="superscript"/>
                <w:lang w:eastAsia="en-GB"/>
              </w:rPr>
              <w:t>2+</w:t>
            </w:r>
            <w:r w:rsidRPr="0098635C">
              <w:rPr>
                <w:sz w:val="20"/>
                <w:szCs w:val="20"/>
                <w:lang w:eastAsia="en-GB"/>
              </w:rPr>
              <w:t>) drives the aquatic ecotoxicity and therefore, only tests with soluble inorganic copper compounds are retained. Acute and chronic toxicity data from the various soluble compounds (e.g. CuSO</w:t>
            </w:r>
            <w:r w:rsidRPr="0098635C">
              <w:rPr>
                <w:sz w:val="20"/>
                <w:szCs w:val="20"/>
                <w:vertAlign w:val="subscript"/>
                <w:lang w:eastAsia="en-GB"/>
              </w:rPr>
              <w:t>4</w:t>
            </w:r>
            <w:r w:rsidRPr="0098635C">
              <w:rPr>
                <w:sz w:val="20"/>
                <w:szCs w:val="20"/>
                <w:lang w:eastAsia="en-GB"/>
              </w:rPr>
              <w:t>.5H</w:t>
            </w:r>
            <w:r w:rsidRPr="0098635C">
              <w:rPr>
                <w:sz w:val="20"/>
                <w:szCs w:val="20"/>
                <w:vertAlign w:val="subscript"/>
                <w:lang w:eastAsia="en-GB"/>
              </w:rPr>
              <w:t>2</w:t>
            </w:r>
            <w:r w:rsidRPr="0098635C">
              <w:rPr>
                <w:sz w:val="20"/>
                <w:szCs w:val="20"/>
                <w:lang w:eastAsia="en-GB"/>
              </w:rPr>
              <w:t>0, CuCl</w:t>
            </w:r>
            <w:r w:rsidRPr="0098635C">
              <w:rPr>
                <w:sz w:val="20"/>
                <w:szCs w:val="20"/>
                <w:vertAlign w:val="subscript"/>
                <w:lang w:eastAsia="en-GB"/>
              </w:rPr>
              <w:t>2</w:t>
            </w:r>
            <w:r w:rsidRPr="0098635C">
              <w:rPr>
                <w:sz w:val="20"/>
                <w:szCs w:val="20"/>
                <w:lang w:eastAsia="en-GB"/>
              </w:rPr>
              <w:t xml:space="preserve">) were combined and expressed as soluble metal ion concentrations (μg dissolved Cu/L) causing a specific effect. </w:t>
            </w:r>
            <w:r w:rsidRPr="0098635C">
              <w:rPr>
                <w:sz w:val="20"/>
                <w:szCs w:val="20"/>
              </w:rPr>
              <w:t xml:space="preserve">To derive a reliable baseline data-set, the high quality measured toxicity values </w:t>
            </w:r>
            <w:r w:rsidRPr="0098635C">
              <w:rPr>
                <w:sz w:val="20"/>
                <w:szCs w:val="20"/>
                <w:lang w:eastAsia="en-GB"/>
              </w:rPr>
              <w:t>(µg dissolved Cu/L), o</w:t>
            </w:r>
            <w:r w:rsidRPr="0098635C">
              <w:rPr>
                <w:sz w:val="20"/>
                <w:szCs w:val="20"/>
              </w:rPr>
              <w:t>btained from the standard OECD test species and endpoints were r</w:t>
            </w:r>
            <w:r w:rsidRPr="0098635C">
              <w:rPr>
                <w:sz w:val="20"/>
                <w:szCs w:val="20"/>
              </w:rPr>
              <w:t>e</w:t>
            </w:r>
            <w:r w:rsidRPr="0098635C">
              <w:rPr>
                <w:sz w:val="20"/>
                <w:szCs w:val="20"/>
              </w:rPr>
              <w:t xml:space="preserve">tained. </w:t>
            </w:r>
          </w:p>
          <w:p w14:paraId="55237E4B" w14:textId="77777777" w:rsidR="002C2BB0" w:rsidRPr="0098635C" w:rsidRDefault="002C2BB0" w:rsidP="002C2BB0">
            <w:pPr>
              <w:spacing w:after="0"/>
              <w:rPr>
                <w:sz w:val="20"/>
                <w:szCs w:val="20"/>
                <w:lang w:eastAsia="en-GB"/>
              </w:rPr>
            </w:pPr>
            <w:r w:rsidRPr="0098635C">
              <w:rPr>
                <w:sz w:val="20"/>
                <w:szCs w:val="20"/>
              </w:rPr>
              <w:t>High quality, acute L(E)C</w:t>
            </w:r>
            <w:r w:rsidRPr="0098635C">
              <w:rPr>
                <w:sz w:val="20"/>
                <w:szCs w:val="20"/>
                <w:vertAlign w:val="subscript"/>
              </w:rPr>
              <w:t>50</w:t>
            </w:r>
            <w:r w:rsidRPr="0098635C">
              <w:rPr>
                <w:sz w:val="20"/>
                <w:szCs w:val="20"/>
              </w:rPr>
              <w:t xml:space="preserve"> values were retained from short term standard freshwater tests for 10 standard fish, invertebrate and algae test species (</w:t>
            </w:r>
            <w:r w:rsidRPr="0098635C">
              <w:rPr>
                <w:i/>
                <w:iCs/>
                <w:sz w:val="20"/>
                <w:szCs w:val="20"/>
              </w:rPr>
              <w:t>Pseudokirchneriella subcapitata</w:t>
            </w:r>
            <w:r w:rsidRPr="0098635C">
              <w:rPr>
                <w:i/>
                <w:sz w:val="20"/>
                <w:szCs w:val="20"/>
              </w:rPr>
              <w:t xml:space="preserve">, </w:t>
            </w:r>
            <w:r w:rsidRPr="0098635C">
              <w:rPr>
                <w:i/>
                <w:iCs/>
                <w:sz w:val="20"/>
                <w:szCs w:val="20"/>
              </w:rPr>
              <w:t>Chlamydomonas reinhardtii</w:t>
            </w:r>
            <w:r w:rsidRPr="0098635C">
              <w:rPr>
                <w:iCs/>
                <w:sz w:val="20"/>
                <w:szCs w:val="20"/>
              </w:rPr>
              <w:t xml:space="preserve">, </w:t>
            </w:r>
            <w:r w:rsidRPr="0098635C">
              <w:rPr>
                <w:i/>
                <w:iCs/>
                <w:sz w:val="20"/>
                <w:szCs w:val="20"/>
              </w:rPr>
              <w:t>Chlorella vu</w:t>
            </w:r>
            <w:r w:rsidRPr="0098635C">
              <w:rPr>
                <w:i/>
                <w:iCs/>
                <w:sz w:val="20"/>
                <w:szCs w:val="20"/>
              </w:rPr>
              <w:t>l</w:t>
            </w:r>
            <w:r w:rsidRPr="0098635C">
              <w:rPr>
                <w:i/>
                <w:iCs/>
                <w:sz w:val="20"/>
                <w:szCs w:val="20"/>
              </w:rPr>
              <w:t>garis</w:t>
            </w:r>
            <w:r w:rsidRPr="0098635C">
              <w:rPr>
                <w:sz w:val="20"/>
                <w:szCs w:val="20"/>
              </w:rPr>
              <w:t xml:space="preserve">, </w:t>
            </w:r>
            <w:r w:rsidRPr="0098635C">
              <w:rPr>
                <w:i/>
                <w:iCs/>
                <w:sz w:val="20"/>
                <w:szCs w:val="20"/>
              </w:rPr>
              <w:t>Ceriodaphnia dubia</w:t>
            </w:r>
            <w:r w:rsidRPr="0098635C">
              <w:rPr>
                <w:iCs/>
                <w:sz w:val="20"/>
                <w:szCs w:val="20"/>
              </w:rPr>
              <w:t xml:space="preserve">, </w:t>
            </w:r>
            <w:r w:rsidRPr="0098635C">
              <w:rPr>
                <w:i/>
                <w:iCs/>
                <w:sz w:val="20"/>
                <w:szCs w:val="20"/>
              </w:rPr>
              <w:t>Daphnia magna, Oncorhynchus mykiss</w:t>
            </w:r>
            <w:r w:rsidRPr="0098635C">
              <w:rPr>
                <w:iCs/>
                <w:sz w:val="20"/>
                <w:szCs w:val="20"/>
              </w:rPr>
              <w:t xml:space="preserve">, </w:t>
            </w:r>
            <w:r w:rsidRPr="0098635C">
              <w:rPr>
                <w:i/>
                <w:iCs/>
                <w:sz w:val="20"/>
                <w:szCs w:val="20"/>
              </w:rPr>
              <w:t>Pimephales prom</w:t>
            </w:r>
            <w:r w:rsidRPr="0098635C">
              <w:rPr>
                <w:i/>
                <w:iCs/>
                <w:sz w:val="20"/>
                <w:szCs w:val="20"/>
              </w:rPr>
              <w:t>e</w:t>
            </w:r>
            <w:r w:rsidRPr="0098635C">
              <w:rPr>
                <w:i/>
                <w:iCs/>
                <w:sz w:val="20"/>
                <w:szCs w:val="20"/>
              </w:rPr>
              <w:t xml:space="preserve">las, Lepomis macrochirus, Brachydanio rerio </w:t>
            </w:r>
            <w:r w:rsidRPr="0098635C">
              <w:rPr>
                <w:sz w:val="20"/>
                <w:szCs w:val="20"/>
              </w:rPr>
              <w:t>and</w:t>
            </w:r>
            <w:r w:rsidRPr="0098635C">
              <w:rPr>
                <w:i/>
                <w:sz w:val="20"/>
                <w:szCs w:val="20"/>
              </w:rPr>
              <w:t xml:space="preserve"> </w:t>
            </w:r>
            <w:r w:rsidRPr="0098635C">
              <w:rPr>
                <w:i/>
                <w:iCs/>
                <w:sz w:val="20"/>
                <w:szCs w:val="20"/>
              </w:rPr>
              <w:t xml:space="preserve">Cyprinus </w:t>
            </w:r>
            <w:r w:rsidRPr="0098635C">
              <w:rPr>
                <w:i/>
                <w:sz w:val="20"/>
                <w:szCs w:val="20"/>
              </w:rPr>
              <w:t>carpio)</w:t>
            </w:r>
            <w:r w:rsidRPr="0098635C">
              <w:rPr>
                <w:sz w:val="20"/>
                <w:szCs w:val="20"/>
              </w:rPr>
              <w:t>.  Reliable values range between 3 and 9,150 µg Cu/L.  The variability has been attributed to species-specific differences in sensitivity as well as water-characteristics such as pH, DOC and hardness. Species-specific geometric mean values range between 34 µg Cu/L (</w:t>
            </w:r>
            <w:r w:rsidRPr="0098635C">
              <w:rPr>
                <w:i/>
                <w:sz w:val="20"/>
                <w:szCs w:val="20"/>
              </w:rPr>
              <w:t>Ceriodaphnia dubia</w:t>
            </w:r>
            <w:r w:rsidRPr="0098635C">
              <w:rPr>
                <w:sz w:val="20"/>
                <w:szCs w:val="20"/>
              </w:rPr>
              <w:t>) and 2837 µg Cu/L (</w:t>
            </w:r>
            <w:r w:rsidRPr="0098635C">
              <w:rPr>
                <w:i/>
                <w:sz w:val="20"/>
                <w:szCs w:val="20"/>
              </w:rPr>
              <w:t>Lepomis macrochirus</w:t>
            </w:r>
            <w:r w:rsidRPr="0098635C">
              <w:rPr>
                <w:sz w:val="20"/>
                <w:szCs w:val="20"/>
              </w:rPr>
              <w:t xml:space="preserve">).  </w:t>
            </w:r>
          </w:p>
          <w:p w14:paraId="4DB0E687" w14:textId="77777777" w:rsidR="002C2BB0" w:rsidRPr="0098635C" w:rsidRDefault="002C2BB0" w:rsidP="002C2BB0">
            <w:pPr>
              <w:pStyle w:val="BodyText"/>
              <w:spacing w:before="80" w:after="0"/>
              <w:rPr>
                <w:sz w:val="20"/>
              </w:rPr>
            </w:pPr>
            <w:r w:rsidRPr="0098635C">
              <w:rPr>
                <w:sz w:val="20"/>
              </w:rPr>
              <w:t>High quality, chronic NOEC(s) / EC</w:t>
            </w:r>
            <w:r w:rsidRPr="0098635C">
              <w:rPr>
                <w:sz w:val="20"/>
                <w:vertAlign w:val="subscript"/>
              </w:rPr>
              <w:t>10</w:t>
            </w:r>
            <w:r w:rsidRPr="0098635C">
              <w:rPr>
                <w:sz w:val="20"/>
              </w:rPr>
              <w:t xml:space="preserve"> values were retained from standard freshwater tests for 9 standard fish, i</w:t>
            </w:r>
            <w:r w:rsidRPr="0098635C">
              <w:rPr>
                <w:sz w:val="20"/>
              </w:rPr>
              <w:t>n</w:t>
            </w:r>
            <w:r w:rsidRPr="0098635C">
              <w:rPr>
                <w:sz w:val="20"/>
              </w:rPr>
              <w:t>vertebrate and aquatic plant test species (</w:t>
            </w:r>
            <w:r w:rsidRPr="0098635C">
              <w:rPr>
                <w:i/>
                <w:sz w:val="20"/>
              </w:rPr>
              <w:t>Pseudokirchneriella</w:t>
            </w:r>
            <w:r w:rsidRPr="0098635C">
              <w:rPr>
                <w:i/>
                <w:iCs/>
                <w:sz w:val="20"/>
              </w:rPr>
              <w:t xml:space="preserve"> subcapitata, Chlorella vulgaris, Chlamydomonas reinhardti </w:t>
            </w:r>
            <w:r w:rsidRPr="0098635C">
              <w:rPr>
                <w:iCs/>
                <w:sz w:val="20"/>
              </w:rPr>
              <w:t>and</w:t>
            </w:r>
            <w:r w:rsidRPr="0098635C">
              <w:rPr>
                <w:i/>
                <w:iCs/>
                <w:sz w:val="20"/>
              </w:rPr>
              <w:t xml:space="preserve"> Lemna minor, Ceriodaphnia dubia, Daphnia magna, Oncorhynchus mykiss, Pimephales promelas </w:t>
            </w:r>
            <w:r w:rsidRPr="0098635C">
              <w:rPr>
                <w:sz w:val="20"/>
              </w:rPr>
              <w:t>and</w:t>
            </w:r>
            <w:r w:rsidRPr="0098635C">
              <w:rPr>
                <w:i/>
                <w:sz w:val="20"/>
              </w:rPr>
              <w:t xml:space="preserve"> </w:t>
            </w:r>
            <w:r w:rsidRPr="0098635C">
              <w:rPr>
                <w:i/>
                <w:iCs/>
                <w:sz w:val="20"/>
              </w:rPr>
              <w:t>Salvelinus fontinalis</w:t>
            </w:r>
            <w:r w:rsidRPr="0098635C">
              <w:rPr>
                <w:sz w:val="20"/>
              </w:rPr>
              <w:t xml:space="preserve">). </w:t>
            </w:r>
            <w:bookmarkStart w:id="31" w:name="OLE_LINK1"/>
            <w:r w:rsidRPr="0098635C">
              <w:rPr>
                <w:sz w:val="20"/>
              </w:rPr>
              <w:t>Reliable values range between 2 and 337 µg Cu/L.  The variability has been attributed to species and endpoint specific differences in sensitivity as well water-characteristics such as pH, DOC and hardness.  Species-specific geometric mean values range between 12 µg Cu/L (</w:t>
            </w:r>
            <w:r w:rsidRPr="0098635C">
              <w:rPr>
                <w:i/>
                <w:sz w:val="20"/>
              </w:rPr>
              <w:t xml:space="preserve">Ceriodaphnia dubia and </w:t>
            </w:r>
            <w:r w:rsidRPr="0098635C">
              <w:rPr>
                <w:i/>
                <w:iCs/>
                <w:sz w:val="20"/>
              </w:rPr>
              <w:t>O</w:t>
            </w:r>
            <w:r w:rsidRPr="0098635C">
              <w:rPr>
                <w:i/>
                <w:iCs/>
                <w:sz w:val="20"/>
              </w:rPr>
              <w:t>n</w:t>
            </w:r>
            <w:r w:rsidRPr="0098635C">
              <w:rPr>
                <w:i/>
                <w:iCs/>
                <w:sz w:val="20"/>
              </w:rPr>
              <w:t>corhynchus mykiss</w:t>
            </w:r>
            <w:r w:rsidRPr="0098635C">
              <w:rPr>
                <w:sz w:val="20"/>
              </w:rPr>
              <w:t>) and 137 µg Cu/L (</w:t>
            </w:r>
            <w:r w:rsidRPr="0098635C">
              <w:rPr>
                <w:i/>
                <w:iCs/>
                <w:sz w:val="20"/>
              </w:rPr>
              <w:t>Chlorella vulgaris</w:t>
            </w:r>
            <w:r w:rsidRPr="0098635C">
              <w:rPr>
                <w:sz w:val="20"/>
              </w:rPr>
              <w:t xml:space="preserve">). </w:t>
            </w:r>
            <w:bookmarkEnd w:id="31"/>
            <w:r w:rsidRPr="0098635C">
              <w:rPr>
                <w:sz w:val="20"/>
              </w:rPr>
              <w:t>The information further ind</w:t>
            </w:r>
            <w:r w:rsidRPr="0098635C">
              <w:rPr>
                <w:sz w:val="20"/>
              </w:rPr>
              <w:t>i</w:t>
            </w:r>
            <w:r w:rsidRPr="0098635C">
              <w:rPr>
                <w:sz w:val="20"/>
              </w:rPr>
              <w:t>cates:</w:t>
            </w:r>
          </w:p>
          <w:p w14:paraId="1688965F" w14:textId="77777777" w:rsidR="002C2BB0" w:rsidRPr="0098635C" w:rsidRDefault="002C2BB0" w:rsidP="0059369A">
            <w:pPr>
              <w:pStyle w:val="BodyText"/>
              <w:numPr>
                <w:ilvl w:val="1"/>
                <w:numId w:val="13"/>
              </w:numPr>
              <w:spacing w:before="80" w:after="0"/>
              <w:rPr>
                <w:sz w:val="20"/>
              </w:rPr>
            </w:pPr>
            <w:r w:rsidRPr="0098635C">
              <w:rPr>
                <w:sz w:val="20"/>
              </w:rPr>
              <w:t xml:space="preserve">The cellular mechanism of copper toxicity/deficiency, as well as the cellular mechanisms of copper homeostasis, has been largely preserved through evolution. </w:t>
            </w:r>
          </w:p>
          <w:p w14:paraId="10FD7F60" w14:textId="77777777" w:rsidR="002C2BB0" w:rsidRPr="0098635C" w:rsidRDefault="002C2BB0" w:rsidP="0059369A">
            <w:pPr>
              <w:pStyle w:val="BodyText"/>
              <w:numPr>
                <w:ilvl w:val="1"/>
                <w:numId w:val="13"/>
              </w:numPr>
              <w:spacing w:before="80" w:after="0"/>
              <w:rPr>
                <w:sz w:val="20"/>
              </w:rPr>
            </w:pPr>
            <w:r w:rsidRPr="0098635C">
              <w:rPr>
                <w:sz w:val="20"/>
              </w:rPr>
              <w:t>The key indicator of copper toxicity is disturbance of the sodium homeostasis. The key target tissue for copper toxicity is therefore the water/organism interface, with cell wall and gill-like surfaces acting as target biotic ligands in all sp</w:t>
            </w:r>
            <w:r w:rsidRPr="0098635C">
              <w:rPr>
                <w:sz w:val="20"/>
              </w:rPr>
              <w:t>e</w:t>
            </w:r>
            <w:r w:rsidRPr="0098635C">
              <w:rPr>
                <w:sz w:val="20"/>
              </w:rPr>
              <w:t xml:space="preserve">cies investigated. </w:t>
            </w:r>
          </w:p>
          <w:p w14:paraId="680C3694" w14:textId="77777777" w:rsidR="002C2BB0" w:rsidRPr="0098635C" w:rsidRDefault="002C2BB0" w:rsidP="0059369A">
            <w:pPr>
              <w:pStyle w:val="BodyText"/>
              <w:numPr>
                <w:ilvl w:val="1"/>
                <w:numId w:val="13"/>
              </w:numPr>
              <w:spacing w:before="80" w:after="0"/>
              <w:rPr>
                <w:sz w:val="20"/>
              </w:rPr>
            </w:pPr>
            <w:r w:rsidRPr="0098635C">
              <w:rPr>
                <w:sz w:val="20"/>
              </w:rPr>
              <w:t>The information on the ecotoxicity following exposures, through water and/or food and the i</w:t>
            </w:r>
            <w:r w:rsidRPr="0098635C">
              <w:rPr>
                <w:sz w:val="20"/>
              </w:rPr>
              <w:t>n</w:t>
            </w:r>
            <w:r w:rsidRPr="0098635C">
              <w:rPr>
                <w:sz w:val="20"/>
              </w:rPr>
              <w:t xml:space="preserve">formation on metal bio-accumulation and homeostasis explain the observed small ratios between mortality and sub-lethal endpoints (typically a factor of 1 to 3).  </w:t>
            </w:r>
          </w:p>
          <w:p w14:paraId="3796A827" w14:textId="77777777" w:rsidR="002C2BB0" w:rsidRPr="0098635C" w:rsidRDefault="002C2BB0" w:rsidP="0059369A">
            <w:pPr>
              <w:pStyle w:val="BodyText"/>
              <w:numPr>
                <w:ilvl w:val="1"/>
                <w:numId w:val="13"/>
              </w:numPr>
              <w:spacing w:before="80" w:after="0"/>
              <w:rPr>
                <w:sz w:val="20"/>
              </w:rPr>
            </w:pPr>
            <w:r w:rsidRPr="0098635C">
              <w:rPr>
                <w:sz w:val="20"/>
              </w:rPr>
              <w:t>Large intra-species variability is observed and has been r</w:t>
            </w:r>
            <w:r w:rsidRPr="0098635C">
              <w:rPr>
                <w:sz w:val="20"/>
              </w:rPr>
              <w:t>e</w:t>
            </w:r>
            <w:r w:rsidRPr="0098635C">
              <w:rPr>
                <w:sz w:val="20"/>
              </w:rPr>
              <w:t>lated to differences in copper species formed and different bio-availability in the various test media.</w:t>
            </w:r>
          </w:p>
          <w:p w14:paraId="29BDB896" w14:textId="77777777" w:rsidR="002C2BB0" w:rsidRPr="0098635C" w:rsidRDefault="002C2BB0" w:rsidP="002C2BB0">
            <w:pPr>
              <w:pStyle w:val="BodyText"/>
              <w:spacing w:before="80" w:after="0"/>
              <w:rPr>
                <w:sz w:val="20"/>
              </w:rPr>
            </w:pPr>
          </w:p>
          <w:p w14:paraId="6E5F12DA" w14:textId="77777777" w:rsidR="002C2BB0" w:rsidRPr="0098635C" w:rsidRDefault="002C2BB0" w:rsidP="002C2BB0">
            <w:pPr>
              <w:pStyle w:val="BodyText"/>
              <w:spacing w:before="80" w:after="0"/>
              <w:rPr>
                <w:sz w:val="20"/>
              </w:rPr>
            </w:pPr>
            <w:r w:rsidRPr="0098635C">
              <w:rPr>
                <w:sz w:val="20"/>
              </w:rPr>
              <w:t>The hazard assessment of the substances in the category, derived from the acute L(E)C</w:t>
            </w:r>
            <w:r w:rsidRPr="0098635C">
              <w:rPr>
                <w:sz w:val="20"/>
                <w:vertAlign w:val="subscript"/>
              </w:rPr>
              <w:t>50</w:t>
            </w:r>
            <w:r w:rsidRPr="0098635C">
              <w:rPr>
                <w:sz w:val="20"/>
              </w:rPr>
              <w:t xml:space="preserve">  or chronic NOEC(s) / EC</w:t>
            </w:r>
            <w:r w:rsidRPr="0098635C">
              <w:rPr>
                <w:sz w:val="20"/>
                <w:vertAlign w:val="subscript"/>
              </w:rPr>
              <w:t>10</w:t>
            </w:r>
            <w:r w:rsidRPr="0098635C">
              <w:rPr>
                <w:sz w:val="20"/>
              </w:rPr>
              <w:t xml:space="preserve"> values (µg dissolved Cu/L) and a molecular weight translation or the results from tran</w:t>
            </w:r>
            <w:r w:rsidRPr="0098635C">
              <w:rPr>
                <w:sz w:val="20"/>
              </w:rPr>
              <w:t>s</w:t>
            </w:r>
            <w:r w:rsidRPr="0098635C">
              <w:rPr>
                <w:sz w:val="20"/>
              </w:rPr>
              <w:t xml:space="preserve">formation/dissolution tests, </w:t>
            </w:r>
            <w:r w:rsidRPr="0098635C">
              <w:rPr>
                <w:sz w:val="20"/>
              </w:rPr>
              <w:lastRenderedPageBreak/>
              <w:t>shows that the copper compounds and the fine copper powders do pose a ha</w:t>
            </w:r>
            <w:r w:rsidRPr="0098635C">
              <w:rPr>
                <w:sz w:val="20"/>
              </w:rPr>
              <w:t>z</w:t>
            </w:r>
            <w:r w:rsidRPr="0098635C">
              <w:rPr>
                <w:sz w:val="20"/>
              </w:rPr>
              <w:t>ard to the environment. Coarse granules and massive copper materials release less copper ions and therefore pose less or no hazard to the env</w:t>
            </w:r>
            <w:r w:rsidRPr="0098635C">
              <w:rPr>
                <w:sz w:val="20"/>
              </w:rPr>
              <w:t>i</w:t>
            </w:r>
            <w:r w:rsidRPr="0098635C">
              <w:rPr>
                <w:sz w:val="20"/>
              </w:rPr>
              <w:t>ronment under typical cond</w:t>
            </w:r>
            <w:r w:rsidRPr="0098635C">
              <w:rPr>
                <w:sz w:val="20"/>
              </w:rPr>
              <w:t>i</w:t>
            </w:r>
            <w:r w:rsidRPr="0098635C">
              <w:rPr>
                <w:sz w:val="20"/>
              </w:rPr>
              <w:t>tions.</w:t>
            </w:r>
            <w:r w:rsidRPr="0098635C">
              <w:rPr>
                <w:sz w:val="20"/>
                <w:u w:val="single"/>
              </w:rPr>
              <w:t xml:space="preserve"> </w:t>
            </w:r>
          </w:p>
          <w:p w14:paraId="50633685" w14:textId="77777777" w:rsidR="002C2BB0" w:rsidRPr="0098635C" w:rsidRDefault="002C2BB0" w:rsidP="002C2BB0">
            <w:pPr>
              <w:spacing w:after="0"/>
              <w:rPr>
                <w:b/>
                <w:i/>
                <w:sz w:val="20"/>
                <w:szCs w:val="20"/>
              </w:rPr>
            </w:pPr>
            <w:r w:rsidRPr="0098635C">
              <w:rPr>
                <w:b/>
                <w:i/>
                <w:sz w:val="20"/>
                <w:szCs w:val="20"/>
              </w:rPr>
              <w:t>Deriving the HC</w:t>
            </w:r>
            <w:r w:rsidRPr="0098635C">
              <w:rPr>
                <w:b/>
                <w:i/>
                <w:sz w:val="20"/>
                <w:szCs w:val="20"/>
                <w:vertAlign w:val="subscript"/>
              </w:rPr>
              <w:t>5,50%</w:t>
            </w:r>
            <w:r w:rsidRPr="0098635C">
              <w:rPr>
                <w:b/>
                <w:i/>
                <w:sz w:val="20"/>
                <w:szCs w:val="20"/>
              </w:rPr>
              <w:t xml:space="preserve"> from Species Sensitivity Distributions for freshwaters, m</w:t>
            </w:r>
            <w:r w:rsidRPr="0098635C">
              <w:rPr>
                <w:b/>
                <w:i/>
                <w:sz w:val="20"/>
                <w:szCs w:val="20"/>
              </w:rPr>
              <w:t>a</w:t>
            </w:r>
            <w:r w:rsidRPr="0098635C">
              <w:rPr>
                <w:b/>
                <w:i/>
                <w:sz w:val="20"/>
                <w:szCs w:val="20"/>
              </w:rPr>
              <w:t>rine waters and soils.</w:t>
            </w:r>
          </w:p>
          <w:p w14:paraId="092F79F1" w14:textId="77777777" w:rsidR="002C2BB0" w:rsidRPr="0098635C" w:rsidRDefault="002C2BB0" w:rsidP="002C2BB0">
            <w:pPr>
              <w:spacing w:after="0"/>
              <w:rPr>
                <w:b/>
                <w:sz w:val="20"/>
                <w:szCs w:val="20"/>
              </w:rPr>
            </w:pPr>
            <w:r w:rsidRPr="0098635C">
              <w:rPr>
                <w:snapToGrid w:val="0"/>
                <w:sz w:val="20"/>
                <w:szCs w:val="20"/>
              </w:rPr>
              <w:t xml:space="preserve">Several </w:t>
            </w:r>
            <w:r w:rsidRPr="0098635C">
              <w:rPr>
                <w:sz w:val="20"/>
                <w:szCs w:val="20"/>
              </w:rPr>
              <w:t>phenomena on the ecotoxicity of copper were considered for deriving HC</w:t>
            </w:r>
            <w:r w:rsidRPr="0098635C">
              <w:rPr>
                <w:sz w:val="20"/>
                <w:szCs w:val="20"/>
                <w:vertAlign w:val="subscript"/>
              </w:rPr>
              <w:t>5,50%</w:t>
            </w:r>
            <w:r w:rsidRPr="0098635C">
              <w:rPr>
                <w:sz w:val="20"/>
                <w:szCs w:val="20"/>
              </w:rPr>
              <w:t xml:space="preserve"> for freshwater, marine and soil co</w:t>
            </w:r>
            <w:r w:rsidRPr="0098635C">
              <w:rPr>
                <w:sz w:val="20"/>
                <w:szCs w:val="20"/>
              </w:rPr>
              <w:t>m</w:t>
            </w:r>
            <w:r w:rsidRPr="0098635C">
              <w:rPr>
                <w:sz w:val="20"/>
                <w:szCs w:val="20"/>
              </w:rPr>
              <w:t xml:space="preserve">partments: </w:t>
            </w:r>
          </w:p>
          <w:p w14:paraId="7D65BC0F" w14:textId="77777777" w:rsidR="002C2BB0" w:rsidRPr="0098635C" w:rsidRDefault="002C2BB0" w:rsidP="0059369A">
            <w:pPr>
              <w:pStyle w:val="BodyText"/>
              <w:numPr>
                <w:ilvl w:val="0"/>
                <w:numId w:val="46"/>
              </w:numPr>
              <w:spacing w:after="0"/>
              <w:ind w:right="215"/>
              <w:rPr>
                <w:sz w:val="20"/>
              </w:rPr>
            </w:pPr>
            <w:r w:rsidRPr="0098635C">
              <w:rPr>
                <w:sz w:val="20"/>
              </w:rPr>
              <w:t xml:space="preserve">The toxicity response is species-specific </w:t>
            </w:r>
          </w:p>
          <w:p w14:paraId="42EC7D6A" w14:textId="77777777" w:rsidR="002C2BB0" w:rsidRPr="0098635C" w:rsidRDefault="002C2BB0" w:rsidP="0059369A">
            <w:pPr>
              <w:pStyle w:val="BodyText"/>
              <w:numPr>
                <w:ilvl w:val="0"/>
                <w:numId w:val="46"/>
              </w:numPr>
              <w:spacing w:after="0"/>
              <w:ind w:right="215"/>
              <w:rPr>
                <w:sz w:val="20"/>
              </w:rPr>
            </w:pPr>
            <w:r w:rsidRPr="0098635C">
              <w:rPr>
                <w:sz w:val="20"/>
              </w:rPr>
              <w:t>The toxicity response is dependent on the receiving env</w:t>
            </w:r>
            <w:r w:rsidRPr="0098635C">
              <w:rPr>
                <w:sz w:val="20"/>
              </w:rPr>
              <w:t>i</w:t>
            </w:r>
            <w:r w:rsidRPr="0098635C">
              <w:rPr>
                <w:sz w:val="20"/>
              </w:rPr>
              <w:t>ronment</w:t>
            </w:r>
          </w:p>
          <w:p w14:paraId="05942FFE" w14:textId="77777777" w:rsidR="002C2BB0" w:rsidRPr="0098635C" w:rsidRDefault="002C2BB0" w:rsidP="0059369A">
            <w:pPr>
              <w:pStyle w:val="BodyText"/>
              <w:numPr>
                <w:ilvl w:val="0"/>
                <w:numId w:val="46"/>
              </w:numPr>
              <w:spacing w:after="0"/>
              <w:ind w:right="215"/>
              <w:rPr>
                <w:sz w:val="20"/>
              </w:rPr>
            </w:pPr>
            <w:r w:rsidRPr="0098635C">
              <w:rPr>
                <w:sz w:val="20"/>
              </w:rPr>
              <w:t xml:space="preserve">The toxicity response is dependent on background levels </w:t>
            </w:r>
          </w:p>
          <w:p w14:paraId="2101C6A4" w14:textId="77777777" w:rsidR="002C2BB0" w:rsidRPr="0098635C" w:rsidRDefault="002C2BB0" w:rsidP="0059369A">
            <w:pPr>
              <w:pStyle w:val="BodyText"/>
              <w:numPr>
                <w:ilvl w:val="0"/>
                <w:numId w:val="46"/>
              </w:numPr>
              <w:spacing w:after="0"/>
              <w:ind w:right="215"/>
              <w:rPr>
                <w:sz w:val="20"/>
              </w:rPr>
            </w:pPr>
            <w:r w:rsidRPr="0098635C">
              <w:rPr>
                <w:sz w:val="20"/>
              </w:rPr>
              <w:t>The toxicity response is changing with time : e.g. ageing of copper in soils.</w:t>
            </w:r>
          </w:p>
          <w:p w14:paraId="5C2E513A" w14:textId="77777777" w:rsidR="002C2BB0" w:rsidRPr="0098635C" w:rsidRDefault="002C2BB0" w:rsidP="002C2BB0">
            <w:pPr>
              <w:spacing w:after="0"/>
              <w:rPr>
                <w:sz w:val="20"/>
                <w:szCs w:val="20"/>
                <w:lang w:eastAsia="en-GB"/>
              </w:rPr>
            </w:pPr>
          </w:p>
          <w:p w14:paraId="77EEFB21" w14:textId="77777777" w:rsidR="002C2BB0" w:rsidRPr="0098635C" w:rsidRDefault="002C2BB0" w:rsidP="002C2BB0">
            <w:pPr>
              <w:spacing w:after="0"/>
              <w:rPr>
                <w:sz w:val="20"/>
                <w:szCs w:val="20"/>
                <w:u w:val="single"/>
              </w:rPr>
            </w:pPr>
            <w:r w:rsidRPr="0098635C">
              <w:rPr>
                <w:sz w:val="20"/>
                <w:szCs w:val="20"/>
                <w:u w:val="single"/>
              </w:rPr>
              <w:t xml:space="preserve">Freshwater </w:t>
            </w:r>
          </w:p>
          <w:p w14:paraId="262511C2" w14:textId="77777777" w:rsidR="002C2BB0" w:rsidRPr="0098635C" w:rsidRDefault="002C2BB0" w:rsidP="002C2BB0">
            <w:pPr>
              <w:spacing w:after="0"/>
              <w:rPr>
                <w:i/>
                <w:iCs/>
                <w:sz w:val="20"/>
                <w:szCs w:val="20"/>
              </w:rPr>
            </w:pPr>
            <w:r w:rsidRPr="0098635C">
              <w:rPr>
                <w:bCs/>
                <w:sz w:val="20"/>
                <w:szCs w:val="20"/>
              </w:rPr>
              <w:t>To derive a HC</w:t>
            </w:r>
            <w:r w:rsidRPr="0098635C">
              <w:rPr>
                <w:bCs/>
                <w:sz w:val="20"/>
                <w:szCs w:val="20"/>
                <w:vertAlign w:val="subscript"/>
              </w:rPr>
              <w:t>5,50%</w:t>
            </w:r>
            <w:r w:rsidRPr="0098635C">
              <w:rPr>
                <w:bCs/>
                <w:sz w:val="20"/>
                <w:szCs w:val="20"/>
              </w:rPr>
              <w:t xml:space="preserve"> value for the freshwater compartment, the standard chronic toxicity database was extended to include standard and non-standard species/protocols/endpoints</w:t>
            </w:r>
            <w:r w:rsidRPr="0098635C">
              <w:rPr>
                <w:b/>
                <w:sz w:val="20"/>
                <w:szCs w:val="20"/>
              </w:rPr>
              <w:t xml:space="preserve">.  </w:t>
            </w:r>
            <w:r w:rsidRPr="0098635C">
              <w:rPr>
                <w:sz w:val="20"/>
                <w:szCs w:val="20"/>
              </w:rPr>
              <w:t>This resulted in a</w:t>
            </w:r>
            <w:r w:rsidRPr="0098635C">
              <w:rPr>
                <w:b/>
                <w:sz w:val="20"/>
                <w:szCs w:val="20"/>
              </w:rPr>
              <w:t xml:space="preserve"> </w:t>
            </w:r>
            <w:r w:rsidRPr="0098635C">
              <w:rPr>
                <w:sz w:val="20"/>
                <w:szCs w:val="20"/>
              </w:rPr>
              <w:t xml:space="preserve">single-species </w:t>
            </w:r>
            <w:r w:rsidRPr="0098635C">
              <w:rPr>
                <w:rFonts w:eastAsia="TimesNewRomanPSMT"/>
                <w:sz w:val="20"/>
                <w:szCs w:val="20"/>
              </w:rPr>
              <w:t xml:space="preserve">chronic toxicity data–base of more than 200 </w:t>
            </w:r>
            <w:r w:rsidRPr="0098635C">
              <w:rPr>
                <w:sz w:val="20"/>
                <w:szCs w:val="20"/>
              </w:rPr>
              <w:t>NOEC/</w:t>
            </w:r>
            <w:r w:rsidRPr="0098635C">
              <w:rPr>
                <w:sz w:val="20"/>
                <w:szCs w:val="20"/>
                <w:lang w:eastAsia="en-GB"/>
              </w:rPr>
              <w:t>L(E)C</w:t>
            </w:r>
            <w:r w:rsidRPr="0098635C">
              <w:rPr>
                <w:sz w:val="20"/>
                <w:szCs w:val="20"/>
                <w:vertAlign w:val="subscript"/>
                <w:lang w:eastAsia="en-GB"/>
              </w:rPr>
              <w:t>10</w:t>
            </w:r>
            <w:r w:rsidRPr="0098635C">
              <w:rPr>
                <w:sz w:val="20"/>
                <w:szCs w:val="20"/>
              </w:rPr>
              <w:t xml:space="preserve"> values</w:t>
            </w:r>
            <w:r w:rsidRPr="0098635C" w:rsidDel="00535863">
              <w:rPr>
                <w:rFonts w:eastAsia="TimesNewRomanPSMT"/>
                <w:sz w:val="20"/>
                <w:szCs w:val="20"/>
              </w:rPr>
              <w:t xml:space="preserve"> </w:t>
            </w:r>
            <w:r w:rsidRPr="0098635C">
              <w:rPr>
                <w:sz w:val="20"/>
                <w:szCs w:val="20"/>
              </w:rPr>
              <w:t>and 3 high quality, multi-species mesocosm stu</w:t>
            </w:r>
            <w:r w:rsidRPr="0098635C">
              <w:rPr>
                <w:sz w:val="20"/>
                <w:szCs w:val="20"/>
              </w:rPr>
              <w:t>d</w:t>
            </w:r>
            <w:r w:rsidRPr="0098635C">
              <w:rPr>
                <w:sz w:val="20"/>
                <w:szCs w:val="20"/>
              </w:rPr>
              <w:t>ies.  The observed single species NOEC/</w:t>
            </w:r>
            <w:r w:rsidRPr="0098635C">
              <w:rPr>
                <w:sz w:val="20"/>
                <w:szCs w:val="20"/>
                <w:lang w:eastAsia="en-GB"/>
              </w:rPr>
              <w:t>L(E)C</w:t>
            </w:r>
            <w:r w:rsidRPr="0098635C">
              <w:rPr>
                <w:sz w:val="20"/>
                <w:szCs w:val="20"/>
                <w:vertAlign w:val="subscript"/>
                <w:lang w:eastAsia="en-GB"/>
              </w:rPr>
              <w:t>10</w:t>
            </w:r>
            <w:r w:rsidRPr="0098635C">
              <w:rPr>
                <w:sz w:val="20"/>
                <w:szCs w:val="20"/>
              </w:rPr>
              <w:t xml:space="preserve"> values range between 2 and 510 µg Cu/L. The observed me</w:t>
            </w:r>
            <w:r w:rsidRPr="0098635C">
              <w:rPr>
                <w:sz w:val="20"/>
                <w:szCs w:val="20"/>
              </w:rPr>
              <w:t>s</w:t>
            </w:r>
            <w:r w:rsidRPr="0098635C">
              <w:rPr>
                <w:sz w:val="20"/>
                <w:szCs w:val="20"/>
              </w:rPr>
              <w:t>ocosm NOEAECs</w:t>
            </w:r>
            <w:r w:rsidRPr="0098635C">
              <w:rPr>
                <w:rStyle w:val="FootnoteReference"/>
                <w:sz w:val="20"/>
                <w:szCs w:val="20"/>
              </w:rPr>
              <w:footnoteReference w:id="4"/>
            </w:r>
            <w:r w:rsidRPr="0098635C">
              <w:rPr>
                <w:sz w:val="20"/>
                <w:szCs w:val="20"/>
              </w:rPr>
              <w:t xml:space="preserve"> and LOEAEC </w:t>
            </w:r>
            <w:r w:rsidRPr="0098635C">
              <w:rPr>
                <w:rStyle w:val="FootnoteReference"/>
                <w:sz w:val="20"/>
                <w:szCs w:val="20"/>
              </w:rPr>
              <w:footnoteReference w:id="5"/>
            </w:r>
            <w:r w:rsidRPr="0098635C">
              <w:rPr>
                <w:sz w:val="20"/>
                <w:szCs w:val="20"/>
              </w:rPr>
              <w:t xml:space="preserve"> values were, respe</w:t>
            </w:r>
            <w:r w:rsidRPr="0098635C">
              <w:rPr>
                <w:sz w:val="20"/>
                <w:szCs w:val="20"/>
              </w:rPr>
              <w:t>c</w:t>
            </w:r>
            <w:r w:rsidRPr="0098635C">
              <w:rPr>
                <w:sz w:val="20"/>
                <w:szCs w:val="20"/>
              </w:rPr>
              <w:t xml:space="preserve">tively, 4 to 20 µg Cu/L and 9 to 40 µg Cu/L.  </w:t>
            </w:r>
          </w:p>
          <w:p w14:paraId="77270130" w14:textId="77777777" w:rsidR="002C2BB0" w:rsidRPr="0098635C" w:rsidRDefault="002C2BB0" w:rsidP="002C2BB0">
            <w:pPr>
              <w:spacing w:before="80" w:after="0"/>
              <w:ind w:left="298"/>
              <w:rPr>
                <w:sz w:val="20"/>
                <w:szCs w:val="20"/>
              </w:rPr>
            </w:pPr>
            <w:r w:rsidRPr="0098635C">
              <w:rPr>
                <w:b/>
                <w:i/>
                <w:iCs/>
                <w:sz w:val="20"/>
                <w:szCs w:val="20"/>
              </w:rPr>
              <w:t>Accounting for species –specific differences</w:t>
            </w:r>
            <w:r w:rsidRPr="0098635C">
              <w:rPr>
                <w:sz w:val="20"/>
                <w:szCs w:val="20"/>
              </w:rPr>
              <w:t xml:space="preserve"> : The copper aquatic effects database contains high quality, si</w:t>
            </w:r>
            <w:r w:rsidRPr="0098635C">
              <w:rPr>
                <w:sz w:val="20"/>
                <w:szCs w:val="20"/>
              </w:rPr>
              <w:t>n</w:t>
            </w:r>
            <w:r w:rsidRPr="0098635C">
              <w:rPr>
                <w:sz w:val="20"/>
                <w:szCs w:val="20"/>
              </w:rPr>
              <w:t>gle-species chronic NOEC/</w:t>
            </w:r>
            <w:r w:rsidRPr="0098635C">
              <w:rPr>
                <w:sz w:val="20"/>
                <w:szCs w:val="20"/>
                <w:lang w:eastAsia="en-GB"/>
              </w:rPr>
              <w:t>L(E)C</w:t>
            </w:r>
            <w:r w:rsidRPr="0098635C">
              <w:rPr>
                <w:sz w:val="20"/>
                <w:szCs w:val="20"/>
                <w:vertAlign w:val="subscript"/>
                <w:lang w:eastAsia="en-GB"/>
              </w:rPr>
              <w:t>10</w:t>
            </w:r>
            <w:r w:rsidRPr="0098635C">
              <w:rPr>
                <w:sz w:val="20"/>
                <w:szCs w:val="20"/>
              </w:rPr>
              <w:t xml:space="preserve"> values for 27 species, representing  algae, invertebrates (cladocerans, rot</w:t>
            </w:r>
            <w:r w:rsidRPr="0098635C">
              <w:rPr>
                <w:sz w:val="20"/>
                <w:szCs w:val="20"/>
              </w:rPr>
              <w:t>i</w:t>
            </w:r>
            <w:r w:rsidRPr="0098635C">
              <w:rPr>
                <w:sz w:val="20"/>
                <w:szCs w:val="20"/>
              </w:rPr>
              <w:t>fer, molluscs, insects and amphipods), fish and higher plants. Species-specific geometric mean values range between 6 µg Cu/L (</w:t>
            </w:r>
            <w:r w:rsidRPr="0098635C">
              <w:rPr>
                <w:i/>
                <w:sz w:val="20"/>
                <w:szCs w:val="20"/>
              </w:rPr>
              <w:t>Juga plicifera)</w:t>
            </w:r>
            <w:r w:rsidRPr="0098635C">
              <w:rPr>
                <w:sz w:val="20"/>
                <w:szCs w:val="20"/>
              </w:rPr>
              <w:t>) and 137 µg Cu/L (</w:t>
            </w:r>
            <w:r w:rsidRPr="0098635C">
              <w:rPr>
                <w:i/>
                <w:iCs/>
                <w:sz w:val="20"/>
                <w:szCs w:val="20"/>
              </w:rPr>
              <w:t>Chlorella vulgaris</w:t>
            </w:r>
            <w:r w:rsidRPr="0098635C">
              <w:rPr>
                <w:sz w:val="20"/>
                <w:szCs w:val="20"/>
              </w:rPr>
              <w:t>).  Considering the large number of species assessed, the statistical extrapolation method, applied to all NOEC/</w:t>
            </w:r>
            <w:r w:rsidRPr="0098635C">
              <w:rPr>
                <w:sz w:val="20"/>
                <w:szCs w:val="20"/>
                <w:lang w:eastAsia="en-GB"/>
              </w:rPr>
              <w:t>L(E)C</w:t>
            </w:r>
            <w:r w:rsidRPr="0098635C">
              <w:rPr>
                <w:sz w:val="20"/>
                <w:szCs w:val="20"/>
                <w:vertAlign w:val="subscript"/>
                <w:lang w:eastAsia="en-GB"/>
              </w:rPr>
              <w:t>10</w:t>
            </w:r>
            <w:r w:rsidRPr="0098635C">
              <w:rPr>
                <w:sz w:val="20"/>
                <w:szCs w:val="20"/>
              </w:rPr>
              <w:t xml:space="preserve"> values, is used to derive the HC</w:t>
            </w:r>
            <w:r w:rsidRPr="0098635C">
              <w:rPr>
                <w:sz w:val="20"/>
                <w:szCs w:val="20"/>
                <w:vertAlign w:val="subscript"/>
              </w:rPr>
              <w:t>5,50%</w:t>
            </w:r>
            <w:r w:rsidRPr="0098635C">
              <w:rPr>
                <w:sz w:val="20"/>
                <w:szCs w:val="20"/>
              </w:rPr>
              <w:t>.. Such Species Sensitivity Distribution was co</w:t>
            </w:r>
            <w:r w:rsidRPr="0098635C">
              <w:rPr>
                <w:sz w:val="20"/>
                <w:szCs w:val="20"/>
              </w:rPr>
              <w:t>n</w:t>
            </w:r>
            <w:r w:rsidRPr="0098635C">
              <w:rPr>
                <w:sz w:val="20"/>
                <w:szCs w:val="20"/>
              </w:rPr>
              <w:t>structed using the non-normalised species-mean NOEC values for the most sensitive endpoints and r</w:t>
            </w:r>
            <w:r w:rsidRPr="0098635C">
              <w:rPr>
                <w:sz w:val="20"/>
                <w:szCs w:val="20"/>
              </w:rPr>
              <w:t>e</w:t>
            </w:r>
            <w:r w:rsidRPr="0098635C">
              <w:rPr>
                <w:sz w:val="20"/>
                <w:szCs w:val="20"/>
              </w:rPr>
              <w:t>sulted in a log normal HC</w:t>
            </w:r>
            <w:r w:rsidRPr="0098635C">
              <w:rPr>
                <w:sz w:val="20"/>
                <w:szCs w:val="20"/>
                <w:vertAlign w:val="subscript"/>
              </w:rPr>
              <w:t>5,50%</w:t>
            </w:r>
            <w:r w:rsidRPr="0098635C">
              <w:rPr>
                <w:sz w:val="20"/>
                <w:szCs w:val="20"/>
              </w:rPr>
              <w:t xml:space="preserve">  of 6 µg Cu/L. </w:t>
            </w:r>
          </w:p>
          <w:p w14:paraId="2E6573BE" w14:textId="77777777" w:rsidR="002C2BB0" w:rsidRPr="0098635C" w:rsidRDefault="002C2BB0" w:rsidP="002C2BB0">
            <w:pPr>
              <w:spacing w:after="0"/>
              <w:ind w:right="215"/>
              <w:rPr>
                <w:b/>
                <w:i/>
                <w:iCs/>
                <w:sz w:val="20"/>
                <w:szCs w:val="20"/>
              </w:rPr>
            </w:pPr>
          </w:p>
          <w:p w14:paraId="051609AF" w14:textId="77777777" w:rsidR="002C2BB0" w:rsidRPr="0098635C" w:rsidRDefault="002C2BB0" w:rsidP="002C2BB0">
            <w:pPr>
              <w:spacing w:after="0"/>
              <w:ind w:right="215"/>
              <w:rPr>
                <w:sz w:val="20"/>
                <w:szCs w:val="20"/>
              </w:rPr>
            </w:pPr>
            <w:r w:rsidRPr="0098635C">
              <w:rPr>
                <w:b/>
                <w:i/>
                <w:iCs/>
                <w:sz w:val="20"/>
                <w:szCs w:val="20"/>
              </w:rPr>
              <w:t>Accounting for dependence on the water type</w:t>
            </w:r>
            <w:r w:rsidRPr="0098635C">
              <w:rPr>
                <w:sz w:val="20"/>
                <w:szCs w:val="20"/>
              </w:rPr>
              <w:t>:  The species-specific NOECs observed are often cha</w:t>
            </w:r>
            <w:r w:rsidRPr="0098635C">
              <w:rPr>
                <w:sz w:val="20"/>
                <w:szCs w:val="20"/>
              </w:rPr>
              <w:t>r</w:t>
            </w:r>
            <w:r w:rsidRPr="0098635C">
              <w:rPr>
                <w:sz w:val="20"/>
                <w:szCs w:val="20"/>
              </w:rPr>
              <w:t>acterised by large variability because Cu bioavailability and toxicity to aquatic organisms is influenced by abiotic p</w:t>
            </w:r>
            <w:r w:rsidRPr="0098635C">
              <w:rPr>
                <w:sz w:val="20"/>
                <w:szCs w:val="20"/>
              </w:rPr>
              <w:t>a</w:t>
            </w:r>
            <w:r w:rsidRPr="0098635C">
              <w:rPr>
                <w:sz w:val="20"/>
                <w:szCs w:val="20"/>
              </w:rPr>
              <w:t>rameters, such as pH, hardness and dissolved organic carbon (DOC).  This raised the need to develop/use a b</w:t>
            </w:r>
            <w:r w:rsidRPr="0098635C">
              <w:rPr>
                <w:sz w:val="20"/>
                <w:szCs w:val="20"/>
              </w:rPr>
              <w:t>i</w:t>
            </w:r>
            <w:r w:rsidRPr="0098635C">
              <w:rPr>
                <w:sz w:val="20"/>
                <w:szCs w:val="20"/>
              </w:rPr>
              <w:t>oavailability normalisation process for the HC</w:t>
            </w:r>
            <w:r w:rsidRPr="0098635C">
              <w:rPr>
                <w:sz w:val="20"/>
                <w:szCs w:val="20"/>
                <w:vertAlign w:val="subscript"/>
              </w:rPr>
              <w:t>5,50%</w:t>
            </w:r>
            <w:r w:rsidRPr="0098635C">
              <w:rPr>
                <w:sz w:val="20"/>
                <w:szCs w:val="20"/>
              </w:rPr>
              <w:t xml:space="preserve"> derivation. Chronic Biotic Ligand Models were developed for </w:t>
            </w:r>
            <w:r w:rsidRPr="0098635C">
              <w:rPr>
                <w:i/>
                <w:iCs/>
                <w:color w:val="000000"/>
                <w:sz w:val="20"/>
                <w:szCs w:val="20"/>
                <w:lang w:eastAsia="en-GB"/>
              </w:rPr>
              <w:t xml:space="preserve">Pseudokirchneriella subcapitata, Daphnia magna, </w:t>
            </w:r>
            <w:r w:rsidRPr="0098635C">
              <w:rPr>
                <w:i/>
                <w:iCs/>
                <w:sz w:val="20"/>
                <w:szCs w:val="20"/>
              </w:rPr>
              <w:t>Pimephales promelas</w:t>
            </w:r>
            <w:r w:rsidRPr="0098635C">
              <w:rPr>
                <w:iCs/>
                <w:sz w:val="20"/>
                <w:szCs w:val="20"/>
              </w:rPr>
              <w:t xml:space="preserve"> and </w:t>
            </w:r>
            <w:r w:rsidRPr="0098635C">
              <w:rPr>
                <w:i/>
                <w:iCs/>
                <w:sz w:val="20"/>
                <w:szCs w:val="20"/>
              </w:rPr>
              <w:t>Oncorhynchus mykiss</w:t>
            </w:r>
            <w:r w:rsidRPr="0098635C">
              <w:rPr>
                <w:sz w:val="20"/>
                <w:szCs w:val="20"/>
              </w:rPr>
              <w:t xml:space="preserve"> in order to provide a mechanistic basis for understanding and predicting bioavailability through integration of chemical parameters (e.g. pH, hardness, DOC) and biological parameters (receptor sites on organism, mode of a</w:t>
            </w:r>
            <w:r w:rsidRPr="0098635C">
              <w:rPr>
                <w:sz w:val="20"/>
                <w:szCs w:val="20"/>
              </w:rPr>
              <w:t>c</w:t>
            </w:r>
            <w:r w:rsidRPr="0098635C">
              <w:rPr>
                <w:sz w:val="20"/>
                <w:szCs w:val="20"/>
              </w:rPr>
              <w:t xml:space="preserve">tion).  </w:t>
            </w:r>
          </w:p>
          <w:p w14:paraId="397E20E4" w14:textId="77777777" w:rsidR="002C2BB0" w:rsidRPr="0098635C" w:rsidRDefault="002C2BB0" w:rsidP="002C2BB0">
            <w:pPr>
              <w:spacing w:after="0"/>
              <w:ind w:right="215"/>
              <w:rPr>
                <w:sz w:val="20"/>
                <w:szCs w:val="20"/>
              </w:rPr>
            </w:pPr>
          </w:p>
          <w:p w14:paraId="36C0AC03" w14:textId="77777777" w:rsidR="002C2BB0" w:rsidRPr="0098635C" w:rsidRDefault="002C2BB0" w:rsidP="002C2BB0">
            <w:pPr>
              <w:spacing w:after="0"/>
              <w:rPr>
                <w:sz w:val="20"/>
                <w:szCs w:val="20"/>
              </w:rPr>
            </w:pPr>
            <w:r w:rsidRPr="0098635C">
              <w:rPr>
                <w:sz w:val="20"/>
                <w:szCs w:val="20"/>
              </w:rPr>
              <w:t>The BLM models developed were further validated to represent the three basic trophic levels (algae, invert</w:t>
            </w:r>
            <w:r w:rsidRPr="0098635C">
              <w:rPr>
                <w:sz w:val="20"/>
                <w:szCs w:val="20"/>
              </w:rPr>
              <w:t>e</w:t>
            </w:r>
            <w:r w:rsidRPr="0098635C">
              <w:rPr>
                <w:sz w:val="20"/>
                <w:szCs w:val="20"/>
              </w:rPr>
              <w:t>brates and fish):</w:t>
            </w:r>
          </w:p>
          <w:p w14:paraId="1893B91F" w14:textId="77777777" w:rsidR="002C2BB0" w:rsidRPr="0098635C" w:rsidRDefault="002C2BB0" w:rsidP="002C2BB0">
            <w:pPr>
              <w:spacing w:after="0"/>
              <w:rPr>
                <w:sz w:val="20"/>
                <w:szCs w:val="20"/>
              </w:rPr>
            </w:pPr>
            <w:r w:rsidRPr="0098635C">
              <w:rPr>
                <w:sz w:val="20"/>
                <w:szCs w:val="20"/>
              </w:rPr>
              <w:t>(1)  a unified chronic model for the algae (</w:t>
            </w:r>
            <w:r w:rsidRPr="0098635C">
              <w:rPr>
                <w:i/>
                <w:iCs/>
                <w:color w:val="000000"/>
                <w:sz w:val="20"/>
                <w:szCs w:val="20"/>
                <w:lang w:eastAsia="en-GB"/>
              </w:rPr>
              <w:t>Pseudokirchneriella</w:t>
            </w:r>
            <w:r w:rsidRPr="0098635C" w:rsidDel="007A6AFF">
              <w:rPr>
                <w:i/>
                <w:iCs/>
                <w:sz w:val="20"/>
                <w:szCs w:val="20"/>
              </w:rPr>
              <w:t xml:space="preserve"> </w:t>
            </w:r>
            <w:r w:rsidRPr="0098635C">
              <w:rPr>
                <w:i/>
                <w:iCs/>
                <w:sz w:val="20"/>
                <w:szCs w:val="20"/>
              </w:rPr>
              <w:t>subcapitata, Chlamydomonas reinhardtii</w:t>
            </w:r>
            <w:r w:rsidRPr="0098635C">
              <w:rPr>
                <w:iCs/>
                <w:sz w:val="20"/>
                <w:szCs w:val="20"/>
              </w:rPr>
              <w:t xml:space="preserve"> and</w:t>
            </w:r>
            <w:r w:rsidRPr="0098635C">
              <w:rPr>
                <w:i/>
                <w:iCs/>
                <w:sz w:val="20"/>
                <w:szCs w:val="20"/>
              </w:rPr>
              <w:t xml:space="preserve"> Chlorella vulgaris</w:t>
            </w:r>
            <w:r w:rsidRPr="0098635C">
              <w:rPr>
                <w:sz w:val="20"/>
                <w:szCs w:val="20"/>
              </w:rPr>
              <w:t>). The applicability of the model for predicting higher plant ecotoxicity (hydrocultures of barley) was demonstrated</w:t>
            </w:r>
          </w:p>
          <w:p w14:paraId="76319F6B" w14:textId="77777777" w:rsidR="002C2BB0" w:rsidRPr="0098635C" w:rsidRDefault="002C2BB0" w:rsidP="002C2BB0">
            <w:pPr>
              <w:spacing w:after="0"/>
              <w:rPr>
                <w:i/>
                <w:iCs/>
                <w:sz w:val="20"/>
                <w:szCs w:val="20"/>
              </w:rPr>
            </w:pPr>
            <w:r w:rsidRPr="0098635C">
              <w:rPr>
                <w:sz w:val="20"/>
                <w:szCs w:val="20"/>
              </w:rPr>
              <w:t>(2) a chronic BLM for invertebrates (</w:t>
            </w:r>
            <w:r w:rsidRPr="0098635C">
              <w:rPr>
                <w:i/>
                <w:iCs/>
                <w:sz w:val="20"/>
                <w:szCs w:val="20"/>
              </w:rPr>
              <w:t>Daphnia magna</w:t>
            </w:r>
            <w:r w:rsidRPr="0098635C">
              <w:rPr>
                <w:sz w:val="20"/>
                <w:szCs w:val="20"/>
              </w:rPr>
              <w:t>). The c</w:t>
            </w:r>
            <w:r w:rsidRPr="0098635C">
              <w:rPr>
                <w:sz w:val="20"/>
                <w:szCs w:val="20"/>
              </w:rPr>
              <w:t>a</w:t>
            </w:r>
            <w:r w:rsidRPr="0098635C">
              <w:rPr>
                <w:sz w:val="20"/>
                <w:szCs w:val="20"/>
              </w:rPr>
              <w:t xml:space="preserve">pacity of the BLM for predicting copper toxicity to other invertebrates was demonstrated from copper toxicity studies with </w:t>
            </w:r>
            <w:r w:rsidRPr="0098635C">
              <w:rPr>
                <w:i/>
                <w:iCs/>
                <w:sz w:val="20"/>
                <w:szCs w:val="20"/>
              </w:rPr>
              <w:t>Brachionus calyciflorus, Lampilis siliquoidea, Hyridella d</w:t>
            </w:r>
            <w:r w:rsidRPr="0098635C">
              <w:rPr>
                <w:i/>
                <w:iCs/>
                <w:sz w:val="20"/>
                <w:szCs w:val="20"/>
              </w:rPr>
              <w:t>e</w:t>
            </w:r>
            <w:r w:rsidRPr="0098635C">
              <w:rPr>
                <w:i/>
                <w:iCs/>
                <w:sz w:val="20"/>
                <w:szCs w:val="20"/>
              </w:rPr>
              <w:t>pressa</w:t>
            </w:r>
            <w:r w:rsidRPr="0098635C">
              <w:rPr>
                <w:iCs/>
                <w:sz w:val="20"/>
                <w:szCs w:val="20"/>
              </w:rPr>
              <w:t xml:space="preserve"> and </w:t>
            </w:r>
            <w:r w:rsidRPr="0098635C">
              <w:rPr>
                <w:i/>
                <w:iCs/>
                <w:sz w:val="20"/>
                <w:szCs w:val="20"/>
              </w:rPr>
              <w:t>Hyalella azteca</w:t>
            </w:r>
          </w:p>
          <w:p w14:paraId="68BDBECF" w14:textId="77777777" w:rsidR="002C2BB0" w:rsidRPr="0098635C" w:rsidRDefault="002C2BB0" w:rsidP="002C2BB0">
            <w:pPr>
              <w:spacing w:after="0"/>
              <w:rPr>
                <w:sz w:val="20"/>
                <w:szCs w:val="20"/>
              </w:rPr>
            </w:pPr>
            <w:r w:rsidRPr="0098635C">
              <w:rPr>
                <w:sz w:val="20"/>
                <w:szCs w:val="20"/>
              </w:rPr>
              <w:t>(3)  a unified chronic model for 2 fish species (</w:t>
            </w:r>
            <w:r w:rsidRPr="0098635C">
              <w:rPr>
                <w:i/>
                <w:iCs/>
                <w:sz w:val="20"/>
                <w:szCs w:val="20"/>
              </w:rPr>
              <w:t>Pimephales pr</w:t>
            </w:r>
            <w:r w:rsidRPr="0098635C">
              <w:rPr>
                <w:i/>
                <w:iCs/>
                <w:sz w:val="20"/>
                <w:szCs w:val="20"/>
              </w:rPr>
              <w:t>o</w:t>
            </w:r>
            <w:r w:rsidRPr="0098635C">
              <w:rPr>
                <w:i/>
                <w:iCs/>
                <w:sz w:val="20"/>
                <w:szCs w:val="20"/>
              </w:rPr>
              <w:t>melas and Oncorhynchus mykiss</w:t>
            </w:r>
            <w:r w:rsidRPr="0098635C">
              <w:rPr>
                <w:sz w:val="20"/>
                <w:szCs w:val="20"/>
              </w:rPr>
              <w:t>).</w:t>
            </w:r>
          </w:p>
          <w:p w14:paraId="524DFD9D" w14:textId="77777777" w:rsidR="002C2BB0" w:rsidRPr="0098635C" w:rsidRDefault="002C2BB0" w:rsidP="002C2BB0">
            <w:pPr>
              <w:spacing w:after="0"/>
              <w:rPr>
                <w:sz w:val="20"/>
                <w:szCs w:val="20"/>
              </w:rPr>
            </w:pPr>
          </w:p>
          <w:p w14:paraId="150757E4" w14:textId="77777777" w:rsidR="002C2BB0" w:rsidRPr="0098635C" w:rsidRDefault="002C2BB0" w:rsidP="002C2BB0">
            <w:pPr>
              <w:spacing w:after="0"/>
              <w:rPr>
                <w:sz w:val="20"/>
                <w:szCs w:val="20"/>
              </w:rPr>
            </w:pPr>
            <w:r w:rsidRPr="0098635C">
              <w:rPr>
                <w:sz w:val="20"/>
                <w:szCs w:val="20"/>
              </w:rPr>
              <w:t>The boundaries of the BLM applicability across species have been defined for pH (6-8.5), hardness (12-360 mg CaCO</w:t>
            </w:r>
            <w:r w:rsidRPr="0098635C">
              <w:rPr>
                <w:sz w:val="20"/>
                <w:szCs w:val="20"/>
                <w:vertAlign w:val="subscript"/>
              </w:rPr>
              <w:t>3</w:t>
            </w:r>
            <w:r w:rsidRPr="0098635C">
              <w:rPr>
                <w:sz w:val="20"/>
                <w:szCs w:val="20"/>
              </w:rPr>
              <w:t>/L), dissolved organic carbon (DOC) (0-20 mg/L).   The database showed under prediction for one field water with high Fe and Al and therefore boundaries were set as 332 µg dissolved Al/L and 332 µg di</w:t>
            </w:r>
            <w:r w:rsidRPr="0098635C">
              <w:rPr>
                <w:sz w:val="20"/>
                <w:szCs w:val="20"/>
              </w:rPr>
              <w:t>s</w:t>
            </w:r>
            <w:r w:rsidRPr="0098635C">
              <w:rPr>
                <w:sz w:val="20"/>
                <w:szCs w:val="20"/>
              </w:rPr>
              <w:t xml:space="preserve">solved Fe/L.  </w:t>
            </w:r>
          </w:p>
          <w:p w14:paraId="55C36FDD" w14:textId="77777777" w:rsidR="002C2BB0" w:rsidRPr="0098635C" w:rsidRDefault="002C2BB0" w:rsidP="002C2BB0">
            <w:pPr>
              <w:pStyle w:val="BodyText"/>
              <w:spacing w:before="80" w:after="0"/>
              <w:rPr>
                <w:b/>
                <w:i/>
                <w:iCs/>
                <w:sz w:val="20"/>
              </w:rPr>
            </w:pPr>
            <w:r w:rsidRPr="0098635C">
              <w:rPr>
                <w:sz w:val="20"/>
              </w:rPr>
              <w:t>The BLMs developed for chronic fish (</w:t>
            </w:r>
            <w:r w:rsidRPr="0098635C">
              <w:rPr>
                <w:i/>
                <w:iCs/>
                <w:sz w:val="20"/>
              </w:rPr>
              <w:t>P. promelas</w:t>
            </w:r>
            <w:r w:rsidRPr="0098635C">
              <w:rPr>
                <w:iCs/>
                <w:sz w:val="20"/>
              </w:rPr>
              <w:t xml:space="preserve"> and </w:t>
            </w:r>
            <w:r w:rsidRPr="0098635C">
              <w:rPr>
                <w:i/>
                <w:iCs/>
                <w:sz w:val="20"/>
              </w:rPr>
              <w:t>O. mykiss</w:t>
            </w:r>
            <w:r w:rsidRPr="0098635C">
              <w:rPr>
                <w:sz w:val="20"/>
              </w:rPr>
              <w:t>), invertebrates (</w:t>
            </w:r>
            <w:r w:rsidRPr="0098635C">
              <w:rPr>
                <w:i/>
                <w:iCs/>
                <w:sz w:val="20"/>
              </w:rPr>
              <w:t>D. magna</w:t>
            </w:r>
            <w:r w:rsidRPr="0098635C">
              <w:rPr>
                <w:sz w:val="20"/>
              </w:rPr>
              <w:t>) and algae (</w:t>
            </w:r>
            <w:r w:rsidRPr="0098635C">
              <w:rPr>
                <w:i/>
                <w:iCs/>
                <w:sz w:val="20"/>
              </w:rPr>
              <w:t>P. subcapitata</w:t>
            </w:r>
            <w:r w:rsidRPr="0098635C">
              <w:rPr>
                <w:sz w:val="20"/>
              </w:rPr>
              <w:t>) were used for normalising all retained chronic NOEC values of respectively fish, invertebrates and algae/plant species. Briefly, the bioavailability normalisation process normalises the NOEC/(L(E)C</w:t>
            </w:r>
            <w:r w:rsidRPr="0098635C">
              <w:rPr>
                <w:sz w:val="20"/>
                <w:vertAlign w:val="subscript"/>
              </w:rPr>
              <w:t xml:space="preserve">10 </w:t>
            </w:r>
            <w:r w:rsidRPr="0098635C">
              <w:rPr>
                <w:sz w:val="20"/>
              </w:rPr>
              <w:t>va</w:t>
            </w:r>
            <w:r w:rsidRPr="0098635C">
              <w:rPr>
                <w:sz w:val="20"/>
              </w:rPr>
              <w:t>l</w:t>
            </w:r>
            <w:r w:rsidRPr="0098635C">
              <w:rPr>
                <w:sz w:val="20"/>
              </w:rPr>
              <w:t>ues to site-specific physicochemical cond</w:t>
            </w:r>
            <w:r w:rsidRPr="0098635C">
              <w:rPr>
                <w:sz w:val="20"/>
              </w:rPr>
              <w:t>i</w:t>
            </w:r>
            <w:r w:rsidRPr="0098635C">
              <w:rPr>
                <w:sz w:val="20"/>
              </w:rPr>
              <w:t xml:space="preserve">tions (i.e. pH, hardness and DOC). </w:t>
            </w:r>
          </w:p>
          <w:p w14:paraId="45A7474E" w14:textId="77777777" w:rsidR="002C2BB0" w:rsidRPr="0098635C" w:rsidRDefault="002C2BB0" w:rsidP="002C2BB0">
            <w:pPr>
              <w:spacing w:before="80" w:after="0"/>
              <w:rPr>
                <w:sz w:val="20"/>
                <w:szCs w:val="20"/>
              </w:rPr>
            </w:pPr>
            <w:r w:rsidRPr="0098635C">
              <w:rPr>
                <w:sz w:val="20"/>
                <w:szCs w:val="20"/>
              </w:rPr>
              <w:t>The BLM normalised NOEC/(L(E)C</w:t>
            </w:r>
            <w:r w:rsidRPr="0098635C">
              <w:rPr>
                <w:sz w:val="20"/>
                <w:szCs w:val="20"/>
                <w:vertAlign w:val="subscript"/>
              </w:rPr>
              <w:t>10</w:t>
            </w:r>
            <w:r w:rsidRPr="0098635C">
              <w:rPr>
                <w:sz w:val="20"/>
                <w:szCs w:val="20"/>
              </w:rPr>
              <w:t xml:space="preserve"> values were used to construct Species Sensitivity Distributions for a range of physico-chemical conditions in European surface waters. Typical HC</w:t>
            </w:r>
            <w:r w:rsidRPr="0098635C">
              <w:rPr>
                <w:sz w:val="20"/>
                <w:szCs w:val="20"/>
                <w:vertAlign w:val="subscript"/>
              </w:rPr>
              <w:t xml:space="preserve">5,50% </w:t>
            </w:r>
            <w:r w:rsidRPr="0098635C">
              <w:rPr>
                <w:sz w:val="20"/>
                <w:szCs w:val="20"/>
              </w:rPr>
              <w:t>s range b</w:t>
            </w:r>
            <w:r w:rsidRPr="0098635C">
              <w:rPr>
                <w:sz w:val="20"/>
                <w:szCs w:val="20"/>
              </w:rPr>
              <w:t>e</w:t>
            </w:r>
            <w:r w:rsidRPr="0098635C">
              <w:rPr>
                <w:sz w:val="20"/>
                <w:szCs w:val="20"/>
              </w:rPr>
              <w:t xml:space="preserve">tween 7 and 30 µg Cu/L.  </w:t>
            </w:r>
          </w:p>
          <w:p w14:paraId="3D6742E5" w14:textId="77777777" w:rsidR="002C2BB0" w:rsidRPr="0098635C" w:rsidRDefault="002C2BB0" w:rsidP="002C2BB0">
            <w:pPr>
              <w:tabs>
                <w:tab w:val="left" w:pos="284"/>
              </w:tabs>
              <w:spacing w:before="120" w:after="0"/>
              <w:rPr>
                <w:sz w:val="20"/>
                <w:szCs w:val="20"/>
              </w:rPr>
            </w:pPr>
            <w:r w:rsidRPr="0098635C">
              <w:rPr>
                <w:b/>
                <w:bCs/>
                <w:i/>
                <w:iCs/>
                <w:sz w:val="20"/>
                <w:szCs w:val="20"/>
              </w:rPr>
              <w:t>Validation of the HC</w:t>
            </w:r>
            <w:r w:rsidRPr="0098635C">
              <w:rPr>
                <w:b/>
                <w:bCs/>
                <w:i/>
                <w:iCs/>
                <w:sz w:val="20"/>
                <w:szCs w:val="20"/>
                <w:vertAlign w:val="subscript"/>
              </w:rPr>
              <w:t>5,50%</w:t>
            </w:r>
            <w:r w:rsidRPr="0098635C">
              <w:rPr>
                <w:b/>
                <w:bCs/>
                <w:i/>
                <w:iCs/>
                <w:sz w:val="20"/>
                <w:szCs w:val="20"/>
              </w:rPr>
              <w:t xml:space="preserve">  derivation for multi-species systems</w:t>
            </w:r>
            <w:r w:rsidRPr="0098635C">
              <w:rPr>
                <w:sz w:val="20"/>
                <w:szCs w:val="20"/>
              </w:rPr>
              <w:t>: Species-specific NOECs and mesocosm sp</w:t>
            </w:r>
            <w:r w:rsidRPr="0098635C">
              <w:rPr>
                <w:sz w:val="20"/>
                <w:szCs w:val="20"/>
              </w:rPr>
              <w:t>e</w:t>
            </w:r>
            <w:r w:rsidRPr="0098635C">
              <w:rPr>
                <w:sz w:val="20"/>
                <w:szCs w:val="20"/>
              </w:rPr>
              <w:t xml:space="preserve">cific </w:t>
            </w:r>
            <w:r w:rsidRPr="0098635C">
              <w:rPr>
                <w:sz w:val="20"/>
                <w:szCs w:val="20"/>
              </w:rPr>
              <w:lastRenderedPageBreak/>
              <w:t>NOEAECs / LOEAEC, protective of ecosystem structures and functions, are obtained from three distinct, high quality mesocosm studies, representing lentic and lotic system.  Detailed comparisons between the BLM predicted and observed mesocosm effects, demonstrate that BLM could adequately predict the mesocosm se</w:t>
            </w:r>
            <w:r w:rsidRPr="0098635C">
              <w:rPr>
                <w:sz w:val="20"/>
                <w:szCs w:val="20"/>
              </w:rPr>
              <w:t>n</w:t>
            </w:r>
            <w:r w:rsidRPr="0098635C">
              <w:rPr>
                <w:sz w:val="20"/>
                <w:szCs w:val="20"/>
              </w:rPr>
              <w:t xml:space="preserve">sitivity within a factor of 2. </w:t>
            </w:r>
          </w:p>
          <w:p w14:paraId="3D7E1093" w14:textId="77777777" w:rsidR="002C2BB0" w:rsidRPr="0098635C" w:rsidRDefault="002C2BB0" w:rsidP="002C2BB0">
            <w:pPr>
              <w:spacing w:before="120" w:after="0"/>
              <w:rPr>
                <w:sz w:val="20"/>
                <w:szCs w:val="20"/>
                <w:u w:val="single"/>
              </w:rPr>
            </w:pPr>
            <w:r w:rsidRPr="0098635C">
              <w:rPr>
                <w:sz w:val="20"/>
                <w:szCs w:val="20"/>
                <w:u w:val="single"/>
              </w:rPr>
              <w:t>Marine</w:t>
            </w:r>
          </w:p>
          <w:p w14:paraId="284EB8E3" w14:textId="77777777" w:rsidR="002C2BB0" w:rsidRPr="0098635C" w:rsidRDefault="002C2BB0" w:rsidP="002C2BB0">
            <w:pPr>
              <w:spacing w:after="0"/>
              <w:rPr>
                <w:sz w:val="20"/>
                <w:szCs w:val="20"/>
              </w:rPr>
            </w:pPr>
            <w:r w:rsidRPr="0098635C">
              <w:rPr>
                <w:sz w:val="20"/>
                <w:szCs w:val="20"/>
              </w:rPr>
              <w:t>The differences in physiology between freshwater and marine organisms, and the related differences in ecoto</w:t>
            </w:r>
            <w:r w:rsidRPr="0098635C">
              <w:rPr>
                <w:sz w:val="20"/>
                <w:szCs w:val="20"/>
              </w:rPr>
              <w:t>x</w:t>
            </w:r>
            <w:r w:rsidRPr="0098635C">
              <w:rPr>
                <w:sz w:val="20"/>
                <w:szCs w:val="20"/>
              </w:rPr>
              <w:t>ic behaviour, led to the derivation of a separate HC</w:t>
            </w:r>
            <w:r w:rsidRPr="0098635C">
              <w:rPr>
                <w:sz w:val="20"/>
                <w:szCs w:val="20"/>
                <w:vertAlign w:val="subscript"/>
              </w:rPr>
              <w:t>5,50%</w:t>
            </w:r>
            <w:r w:rsidRPr="0098635C">
              <w:rPr>
                <w:sz w:val="20"/>
                <w:szCs w:val="20"/>
              </w:rPr>
              <w:t xml:space="preserve"> value for freshwater and marine environments. The e</w:t>
            </w:r>
            <w:r w:rsidRPr="0098635C">
              <w:rPr>
                <w:sz w:val="20"/>
                <w:szCs w:val="20"/>
              </w:rPr>
              <w:t>s</w:t>
            </w:r>
            <w:r w:rsidRPr="0098635C">
              <w:rPr>
                <w:sz w:val="20"/>
                <w:szCs w:val="20"/>
              </w:rPr>
              <w:t>tuarine compar</w:t>
            </w:r>
            <w:r w:rsidRPr="0098635C">
              <w:rPr>
                <w:sz w:val="20"/>
                <w:szCs w:val="20"/>
              </w:rPr>
              <w:t>t</w:t>
            </w:r>
            <w:r w:rsidRPr="0098635C">
              <w:rPr>
                <w:sz w:val="20"/>
                <w:szCs w:val="20"/>
              </w:rPr>
              <w:t>ment is not covered in this assessment.</w:t>
            </w:r>
          </w:p>
          <w:p w14:paraId="6F179C00" w14:textId="77777777" w:rsidR="002C2BB0" w:rsidRPr="0098635C" w:rsidRDefault="002C2BB0" w:rsidP="002C2BB0">
            <w:pPr>
              <w:pStyle w:val="BodyText"/>
              <w:spacing w:before="120" w:after="0"/>
              <w:rPr>
                <w:sz w:val="20"/>
              </w:rPr>
            </w:pPr>
            <w:r w:rsidRPr="0098635C">
              <w:rPr>
                <w:rStyle w:val="KorrUK"/>
                <w:rFonts w:ascii="Times New Roman" w:hAnsi="Times New Roman" w:cs="Times New Roman"/>
                <w:sz w:val="20"/>
                <w:szCs w:val="20"/>
              </w:rPr>
              <w:t xml:space="preserve">The </w:t>
            </w:r>
            <w:r w:rsidRPr="0098635C">
              <w:rPr>
                <w:sz w:val="20"/>
              </w:rPr>
              <w:t>copper marine effects database contains more than 50 high quality, chronic NOECs/EC</w:t>
            </w:r>
            <w:r w:rsidRPr="0098635C">
              <w:rPr>
                <w:sz w:val="20"/>
                <w:vertAlign w:val="subscript"/>
              </w:rPr>
              <w:t>10</w:t>
            </w:r>
            <w:r w:rsidRPr="0098635C">
              <w:rPr>
                <w:sz w:val="20"/>
              </w:rPr>
              <w:t>s values varying between 3 µg/L (</w:t>
            </w:r>
            <w:r w:rsidRPr="0098635C">
              <w:rPr>
                <w:i/>
                <w:sz w:val="20"/>
              </w:rPr>
              <w:t>Phaeodactylum tricornutum</w:t>
            </w:r>
            <w:r w:rsidRPr="0098635C">
              <w:rPr>
                <w:sz w:val="20"/>
              </w:rPr>
              <w:t>) and 145 µg/L (</w:t>
            </w:r>
            <w:r w:rsidRPr="0098635C">
              <w:rPr>
                <w:i/>
                <w:sz w:val="20"/>
              </w:rPr>
              <w:t>Penaeus mon</w:t>
            </w:r>
            <w:r w:rsidRPr="0098635C">
              <w:rPr>
                <w:i/>
                <w:sz w:val="20"/>
              </w:rPr>
              <w:t>o</w:t>
            </w:r>
            <w:r w:rsidRPr="0098635C">
              <w:rPr>
                <w:i/>
                <w:sz w:val="20"/>
              </w:rPr>
              <w:t>don</w:t>
            </w:r>
            <w:r w:rsidRPr="0098635C">
              <w:rPr>
                <w:sz w:val="20"/>
              </w:rPr>
              <w:t xml:space="preserve">).  </w:t>
            </w:r>
          </w:p>
          <w:p w14:paraId="77C8AD66" w14:textId="77777777" w:rsidR="002C2BB0" w:rsidRPr="0098635C" w:rsidRDefault="002C2BB0" w:rsidP="002C2BB0">
            <w:pPr>
              <w:spacing w:before="120" w:after="0"/>
              <w:rPr>
                <w:sz w:val="20"/>
                <w:szCs w:val="20"/>
              </w:rPr>
            </w:pPr>
            <w:r w:rsidRPr="0098635C">
              <w:rPr>
                <w:b/>
                <w:bCs/>
                <w:i/>
                <w:iCs/>
                <w:sz w:val="20"/>
                <w:szCs w:val="20"/>
              </w:rPr>
              <w:t>Accounting for species –specific differences</w:t>
            </w:r>
            <w:r w:rsidRPr="0098635C">
              <w:rPr>
                <w:sz w:val="20"/>
                <w:szCs w:val="20"/>
              </w:rPr>
              <w:t xml:space="preserve">: </w:t>
            </w:r>
            <w:r w:rsidRPr="0098635C">
              <w:rPr>
                <w:rStyle w:val="KorrUK"/>
                <w:rFonts w:ascii="Times New Roman" w:hAnsi="Times New Roman" w:cs="Times New Roman"/>
                <w:sz w:val="20"/>
                <w:szCs w:val="20"/>
              </w:rPr>
              <w:t xml:space="preserve">The </w:t>
            </w:r>
            <w:r w:rsidRPr="0098635C">
              <w:rPr>
                <w:sz w:val="20"/>
                <w:szCs w:val="20"/>
              </w:rPr>
              <w:t>copper marine effects database contains high quality, chro</w:t>
            </w:r>
            <w:r w:rsidRPr="0098635C">
              <w:rPr>
                <w:sz w:val="20"/>
                <w:szCs w:val="20"/>
              </w:rPr>
              <w:t>n</w:t>
            </w:r>
            <w:r w:rsidRPr="0098635C">
              <w:rPr>
                <w:sz w:val="20"/>
                <w:szCs w:val="20"/>
              </w:rPr>
              <w:t>ic NOECs/EC</w:t>
            </w:r>
            <w:r w:rsidRPr="0098635C">
              <w:rPr>
                <w:sz w:val="20"/>
                <w:szCs w:val="20"/>
                <w:vertAlign w:val="subscript"/>
              </w:rPr>
              <w:t>10</w:t>
            </w:r>
            <w:r w:rsidRPr="0098635C">
              <w:rPr>
                <w:sz w:val="20"/>
                <w:szCs w:val="20"/>
              </w:rPr>
              <w:t>s values for 24 species.  Species-specific geometric mean values range between 4 µg/</w:t>
            </w:r>
            <w:r w:rsidRPr="0098635C">
              <w:rPr>
                <w:i/>
                <w:sz w:val="20"/>
                <w:szCs w:val="20"/>
              </w:rPr>
              <w:t>L (Phae</w:t>
            </w:r>
            <w:r w:rsidRPr="0098635C">
              <w:rPr>
                <w:i/>
                <w:sz w:val="20"/>
                <w:szCs w:val="20"/>
              </w:rPr>
              <w:t>o</w:t>
            </w:r>
            <w:r w:rsidRPr="0098635C">
              <w:rPr>
                <w:i/>
                <w:sz w:val="20"/>
                <w:szCs w:val="20"/>
              </w:rPr>
              <w:t>dactylum tricorn</w:t>
            </w:r>
            <w:r w:rsidRPr="0098635C">
              <w:rPr>
                <w:i/>
                <w:sz w:val="20"/>
                <w:szCs w:val="20"/>
              </w:rPr>
              <w:t>u</w:t>
            </w:r>
            <w:r w:rsidRPr="0098635C">
              <w:rPr>
                <w:i/>
                <w:sz w:val="20"/>
                <w:szCs w:val="20"/>
              </w:rPr>
              <w:t>tum</w:t>
            </w:r>
            <w:r w:rsidRPr="0098635C">
              <w:rPr>
                <w:sz w:val="20"/>
                <w:szCs w:val="20"/>
              </w:rPr>
              <w:t>) and 145 µg/L (</w:t>
            </w:r>
            <w:r w:rsidRPr="0098635C">
              <w:rPr>
                <w:i/>
                <w:sz w:val="20"/>
                <w:szCs w:val="20"/>
              </w:rPr>
              <w:t>Penaeus monodon</w:t>
            </w:r>
            <w:r w:rsidRPr="0098635C">
              <w:rPr>
                <w:sz w:val="20"/>
                <w:szCs w:val="20"/>
              </w:rPr>
              <w:t xml:space="preserve">). </w:t>
            </w:r>
          </w:p>
          <w:p w14:paraId="68B11691" w14:textId="77777777" w:rsidR="002C2BB0" w:rsidRPr="0098635C" w:rsidRDefault="002C2BB0" w:rsidP="002C2BB0">
            <w:pPr>
              <w:spacing w:before="120" w:after="0"/>
              <w:rPr>
                <w:sz w:val="20"/>
                <w:szCs w:val="20"/>
              </w:rPr>
            </w:pPr>
            <w:r w:rsidRPr="0098635C">
              <w:rPr>
                <w:sz w:val="20"/>
                <w:szCs w:val="20"/>
              </w:rPr>
              <w:t>A Species Sensitivity Distribution was constructed using the species-specific NOECs and resulted in an HC</w:t>
            </w:r>
            <w:r w:rsidRPr="0098635C">
              <w:rPr>
                <w:sz w:val="20"/>
                <w:szCs w:val="20"/>
                <w:vertAlign w:val="subscript"/>
              </w:rPr>
              <w:t>5,50%</w:t>
            </w:r>
            <w:r w:rsidRPr="0098635C">
              <w:rPr>
                <w:sz w:val="20"/>
                <w:szCs w:val="20"/>
              </w:rPr>
              <w:t xml:space="preserve"> of 5 µg Cu/L.  </w:t>
            </w:r>
          </w:p>
          <w:p w14:paraId="6CBBA3E5" w14:textId="77777777" w:rsidR="002C2BB0" w:rsidRPr="0098635C" w:rsidRDefault="002C2BB0" w:rsidP="002C2BB0">
            <w:pPr>
              <w:spacing w:before="120" w:after="0"/>
              <w:rPr>
                <w:b/>
                <w:bCs/>
                <w:i/>
                <w:iCs/>
                <w:sz w:val="20"/>
                <w:szCs w:val="20"/>
              </w:rPr>
            </w:pPr>
            <w:r w:rsidRPr="0098635C">
              <w:rPr>
                <w:b/>
                <w:bCs/>
                <w:i/>
                <w:iCs/>
                <w:sz w:val="20"/>
                <w:szCs w:val="20"/>
              </w:rPr>
              <w:t>Accounting for</w:t>
            </w:r>
            <w:r w:rsidRPr="0098635C">
              <w:rPr>
                <w:b/>
                <w:bCs/>
                <w:sz w:val="20"/>
                <w:szCs w:val="20"/>
              </w:rPr>
              <w:t xml:space="preserve"> </w:t>
            </w:r>
            <w:r w:rsidRPr="0098635C">
              <w:rPr>
                <w:b/>
                <w:bCs/>
                <w:i/>
                <w:iCs/>
                <w:sz w:val="20"/>
                <w:szCs w:val="20"/>
              </w:rPr>
              <w:t>the characteristics of the marine water:</w:t>
            </w:r>
            <w:r w:rsidRPr="0098635C">
              <w:rPr>
                <w:sz w:val="20"/>
                <w:szCs w:val="20"/>
              </w:rPr>
              <w:t xml:space="preserve"> Marine waters are characterised by high pH (typ</w:t>
            </w:r>
            <w:r w:rsidRPr="0098635C">
              <w:rPr>
                <w:sz w:val="20"/>
                <w:szCs w:val="20"/>
              </w:rPr>
              <w:t>i</w:t>
            </w:r>
            <w:r w:rsidRPr="0098635C">
              <w:rPr>
                <w:sz w:val="20"/>
                <w:szCs w:val="20"/>
              </w:rPr>
              <w:t>cally around 8.3), high salinity (35%o) and high ionic strength. Unlike the inorganic composition of marine waters, DOC levels may vary considerable between marine water bodies.    Open ocean waters usually have lower DOC, ranging between 0.5 and 1.8 mg/L.  As for the freshwater system, Cu-availability and toxicity to marine orga</w:t>
            </w:r>
            <w:r w:rsidRPr="0098635C">
              <w:rPr>
                <w:sz w:val="20"/>
                <w:szCs w:val="20"/>
              </w:rPr>
              <w:t>n</w:t>
            </w:r>
            <w:r w:rsidRPr="0098635C">
              <w:rPr>
                <w:sz w:val="20"/>
                <w:szCs w:val="20"/>
              </w:rPr>
              <w:t xml:space="preserve">isms is therefore influenced by the strong binding of copper to the dissolved organic carbon (DOC).  This raised the need to use an availability normalisation process. </w:t>
            </w:r>
            <w:r w:rsidRPr="0098635C">
              <w:rPr>
                <w:b/>
                <w:bCs/>
                <w:i/>
                <w:iCs/>
                <w:sz w:val="20"/>
                <w:szCs w:val="20"/>
              </w:rPr>
              <w:t xml:space="preserve"> </w:t>
            </w:r>
          </w:p>
          <w:p w14:paraId="758B859E" w14:textId="77777777" w:rsidR="002C2BB0" w:rsidRPr="0098635C" w:rsidRDefault="002C2BB0" w:rsidP="002C2BB0">
            <w:pPr>
              <w:pStyle w:val="BodyText"/>
              <w:spacing w:before="120" w:after="0"/>
              <w:rPr>
                <w:sz w:val="20"/>
              </w:rPr>
            </w:pPr>
            <w:r w:rsidRPr="0098635C">
              <w:rPr>
                <w:sz w:val="20"/>
              </w:rPr>
              <w:t>A relationship between the EC</w:t>
            </w:r>
            <w:r w:rsidRPr="0098635C">
              <w:rPr>
                <w:sz w:val="20"/>
                <w:vertAlign w:val="subscript"/>
              </w:rPr>
              <w:t>50</w:t>
            </w:r>
            <w:r w:rsidRPr="0098635C">
              <w:rPr>
                <w:sz w:val="20"/>
              </w:rPr>
              <w:t>s or NOEC/EC</w:t>
            </w:r>
            <w:r w:rsidRPr="0098635C">
              <w:rPr>
                <w:sz w:val="20"/>
                <w:vertAlign w:val="subscript"/>
              </w:rPr>
              <w:t>10</w:t>
            </w:r>
            <w:r w:rsidRPr="0098635C">
              <w:rPr>
                <w:sz w:val="20"/>
              </w:rPr>
              <w:t xml:space="preserve">, values and the DOC levels were assessed for 6 species: </w:t>
            </w:r>
            <w:r w:rsidRPr="0098635C">
              <w:rPr>
                <w:i/>
                <w:iCs/>
                <w:sz w:val="20"/>
              </w:rPr>
              <w:t>F</w:t>
            </w:r>
            <w:r w:rsidRPr="0098635C">
              <w:rPr>
                <w:i/>
                <w:iCs/>
                <w:sz w:val="20"/>
              </w:rPr>
              <w:t>u</w:t>
            </w:r>
            <w:r w:rsidRPr="0098635C">
              <w:rPr>
                <w:i/>
                <w:iCs/>
                <w:sz w:val="20"/>
              </w:rPr>
              <w:t xml:space="preserve">cus vesiculosus, </w:t>
            </w:r>
            <w:r w:rsidRPr="0098635C">
              <w:rPr>
                <w:sz w:val="20"/>
              </w:rPr>
              <w:t xml:space="preserve"> </w:t>
            </w:r>
            <w:r w:rsidRPr="0098635C">
              <w:rPr>
                <w:i/>
                <w:iCs/>
                <w:sz w:val="20"/>
              </w:rPr>
              <w:t>Crassostreas gigas</w:t>
            </w:r>
            <w:r w:rsidRPr="0098635C">
              <w:rPr>
                <w:sz w:val="20"/>
              </w:rPr>
              <w:t xml:space="preserve">, </w:t>
            </w:r>
            <w:r w:rsidRPr="0098635C">
              <w:rPr>
                <w:i/>
                <w:iCs/>
                <w:sz w:val="20"/>
              </w:rPr>
              <w:t>Mytilus galloprovincialis, Dendraster excentricus</w:t>
            </w:r>
            <w:r w:rsidRPr="0098635C">
              <w:rPr>
                <w:sz w:val="20"/>
              </w:rPr>
              <w:t xml:space="preserve">, </w:t>
            </w:r>
            <w:r w:rsidRPr="0098635C">
              <w:rPr>
                <w:i/>
                <w:iCs/>
                <w:sz w:val="20"/>
              </w:rPr>
              <w:t>Strongylocentrotus purpuratu</w:t>
            </w:r>
            <w:r w:rsidRPr="0098635C">
              <w:rPr>
                <w:sz w:val="20"/>
              </w:rPr>
              <w:t>s. Since the six data sets are statistically equivalent, these were combined for deriving an overall d</w:t>
            </w:r>
            <w:r w:rsidRPr="0098635C">
              <w:rPr>
                <w:sz w:val="20"/>
              </w:rPr>
              <w:t>e</w:t>
            </w:r>
            <w:r w:rsidRPr="0098635C">
              <w:rPr>
                <w:sz w:val="20"/>
              </w:rPr>
              <w:t>scriptor of the protective effects of DOC.  This equation was used to translate all NOEC data to stan</w:t>
            </w:r>
            <w:r w:rsidRPr="0098635C">
              <w:rPr>
                <w:sz w:val="20"/>
              </w:rPr>
              <w:t>d</w:t>
            </w:r>
            <w:r w:rsidRPr="0098635C">
              <w:rPr>
                <w:sz w:val="20"/>
              </w:rPr>
              <w:t>ard DOC levels of 2 mg DOC/L for coastal waters and 0.2 mg DOC/L for the open sea.</w:t>
            </w:r>
          </w:p>
          <w:p w14:paraId="0492014D" w14:textId="77777777" w:rsidR="002C2BB0" w:rsidRPr="0098635C" w:rsidRDefault="002C2BB0" w:rsidP="002C2BB0">
            <w:pPr>
              <w:spacing w:before="120" w:after="0"/>
              <w:rPr>
                <w:rStyle w:val="KorrUK"/>
                <w:rFonts w:ascii="Times New Roman" w:hAnsi="Times New Roman" w:cs="Times New Roman"/>
                <w:sz w:val="20"/>
                <w:szCs w:val="20"/>
              </w:rPr>
            </w:pPr>
            <w:r w:rsidRPr="0098635C">
              <w:rPr>
                <w:sz w:val="20"/>
                <w:szCs w:val="20"/>
              </w:rPr>
              <w:t>An organic carbon normalisation was carried out and the HC</w:t>
            </w:r>
            <w:r w:rsidRPr="0098635C">
              <w:rPr>
                <w:sz w:val="20"/>
                <w:szCs w:val="20"/>
                <w:vertAlign w:val="subscript"/>
              </w:rPr>
              <w:t>5,50%</w:t>
            </w:r>
            <w:r w:rsidRPr="0098635C">
              <w:rPr>
                <w:sz w:val="20"/>
                <w:szCs w:val="20"/>
              </w:rPr>
              <w:t xml:space="preserve"> was derived at a DOC levels repr</w:t>
            </w:r>
            <w:r w:rsidRPr="0098635C">
              <w:rPr>
                <w:sz w:val="20"/>
                <w:szCs w:val="20"/>
              </w:rPr>
              <w:t>e</w:t>
            </w:r>
            <w:r w:rsidRPr="0098635C">
              <w:rPr>
                <w:sz w:val="20"/>
                <w:szCs w:val="20"/>
              </w:rPr>
              <w:t>sentative of coastal and open ocean areas (2 and 0.2 mg/L). From the high quality data, HC</w:t>
            </w:r>
            <w:r w:rsidRPr="0098635C">
              <w:rPr>
                <w:sz w:val="20"/>
                <w:szCs w:val="20"/>
                <w:vertAlign w:val="subscript"/>
              </w:rPr>
              <w:t>5,50%</w:t>
            </w:r>
            <w:r w:rsidRPr="0098635C">
              <w:rPr>
                <w:sz w:val="20"/>
                <w:szCs w:val="20"/>
              </w:rPr>
              <w:t xml:space="preserve"> values of respectively 5.2 and 1.3 µg Cu/l, were derived.  </w:t>
            </w:r>
          </w:p>
          <w:p w14:paraId="7048A709" w14:textId="77777777" w:rsidR="002C2BB0" w:rsidRPr="0098635C" w:rsidRDefault="002C2BB0" w:rsidP="002C2BB0">
            <w:pPr>
              <w:spacing w:before="120" w:after="0"/>
              <w:rPr>
                <w:sz w:val="20"/>
                <w:szCs w:val="20"/>
              </w:rPr>
            </w:pPr>
            <w:r w:rsidRPr="0098635C">
              <w:rPr>
                <w:b/>
                <w:bCs/>
                <w:i/>
                <w:iCs/>
                <w:sz w:val="20"/>
                <w:szCs w:val="20"/>
              </w:rPr>
              <w:t>Validation of the HC</w:t>
            </w:r>
            <w:r w:rsidRPr="0098635C">
              <w:rPr>
                <w:b/>
                <w:bCs/>
                <w:i/>
                <w:iCs/>
                <w:sz w:val="20"/>
                <w:szCs w:val="20"/>
                <w:vertAlign w:val="subscript"/>
              </w:rPr>
              <w:t>5,50%</w:t>
            </w:r>
            <w:r w:rsidRPr="0098635C">
              <w:rPr>
                <w:b/>
                <w:bCs/>
                <w:i/>
                <w:iCs/>
                <w:sz w:val="20"/>
                <w:szCs w:val="20"/>
              </w:rPr>
              <w:t xml:space="preserve"> derivation for a marine mesocosm</w:t>
            </w:r>
            <w:r w:rsidRPr="0098635C">
              <w:rPr>
                <w:sz w:val="20"/>
                <w:szCs w:val="20"/>
              </w:rPr>
              <w:t>: A marine mesocosm study resulted in NOEAEC and LOEAEC values of respectively 5.7 and 9.9 µg dissolved Cu/L.  The mesocosm study therefore supports the HC</w:t>
            </w:r>
            <w:r w:rsidRPr="0098635C">
              <w:rPr>
                <w:sz w:val="20"/>
                <w:szCs w:val="20"/>
                <w:vertAlign w:val="subscript"/>
              </w:rPr>
              <w:t>5,50%</w:t>
            </w:r>
            <w:r w:rsidRPr="0098635C">
              <w:rPr>
                <w:sz w:val="20"/>
                <w:szCs w:val="20"/>
              </w:rPr>
              <w:t xml:space="preserve"> obtained from the single-species study. The assessment also confirmed that the DOC- normalised single species HC</w:t>
            </w:r>
            <w:r w:rsidRPr="0098635C">
              <w:rPr>
                <w:sz w:val="20"/>
                <w:szCs w:val="20"/>
                <w:vertAlign w:val="subscript"/>
              </w:rPr>
              <w:t>5,50%</w:t>
            </w:r>
            <w:r w:rsidRPr="0098635C">
              <w:rPr>
                <w:sz w:val="20"/>
                <w:szCs w:val="20"/>
              </w:rPr>
              <w:t xml:space="preserve"> is protective to the ecosystem stru</w:t>
            </w:r>
            <w:r w:rsidRPr="0098635C">
              <w:rPr>
                <w:sz w:val="20"/>
                <w:szCs w:val="20"/>
              </w:rPr>
              <w:t>c</w:t>
            </w:r>
            <w:r w:rsidRPr="0098635C">
              <w:rPr>
                <w:sz w:val="20"/>
                <w:szCs w:val="20"/>
              </w:rPr>
              <w:t xml:space="preserve">ture and function. </w:t>
            </w:r>
          </w:p>
          <w:p w14:paraId="2E3CE9B9" w14:textId="77777777" w:rsidR="002C2BB0" w:rsidRPr="0098635C" w:rsidRDefault="002C2BB0" w:rsidP="002C2BB0">
            <w:pPr>
              <w:spacing w:before="120" w:after="0"/>
              <w:rPr>
                <w:sz w:val="20"/>
                <w:szCs w:val="20"/>
              </w:rPr>
            </w:pPr>
            <w:r w:rsidRPr="0098635C">
              <w:rPr>
                <w:b/>
                <w:bCs/>
                <w:i/>
                <w:iCs/>
                <w:sz w:val="20"/>
                <w:szCs w:val="20"/>
              </w:rPr>
              <w:t xml:space="preserve">Accounting for acclimation: </w:t>
            </w:r>
            <w:r w:rsidRPr="0098635C">
              <w:rPr>
                <w:sz w:val="20"/>
                <w:szCs w:val="20"/>
              </w:rPr>
              <w:t>copper deficiency is a well known phenomenon in open ocean but occurs at le</w:t>
            </w:r>
            <w:r w:rsidRPr="0098635C">
              <w:rPr>
                <w:sz w:val="20"/>
                <w:szCs w:val="20"/>
              </w:rPr>
              <w:t>v</w:t>
            </w:r>
            <w:r w:rsidRPr="0098635C">
              <w:rPr>
                <w:sz w:val="20"/>
                <w:szCs w:val="20"/>
              </w:rPr>
              <w:t>els below the d</w:t>
            </w:r>
            <w:r w:rsidRPr="0098635C">
              <w:rPr>
                <w:sz w:val="20"/>
                <w:szCs w:val="20"/>
              </w:rPr>
              <w:t>e</w:t>
            </w:r>
            <w:r w:rsidRPr="0098635C">
              <w:rPr>
                <w:sz w:val="20"/>
                <w:szCs w:val="20"/>
              </w:rPr>
              <w:t>rived HC</w:t>
            </w:r>
            <w:r w:rsidRPr="0098635C">
              <w:rPr>
                <w:sz w:val="20"/>
                <w:szCs w:val="20"/>
                <w:vertAlign w:val="subscript"/>
              </w:rPr>
              <w:t>5,50%</w:t>
            </w:r>
            <w:r w:rsidRPr="0098635C">
              <w:rPr>
                <w:sz w:val="20"/>
                <w:szCs w:val="20"/>
              </w:rPr>
              <w:t xml:space="preserve"> for open oceans.</w:t>
            </w:r>
          </w:p>
          <w:p w14:paraId="71DF35F2" w14:textId="77777777" w:rsidR="002C2BB0" w:rsidRPr="0098635C" w:rsidRDefault="002C2BB0" w:rsidP="002C2BB0">
            <w:pPr>
              <w:spacing w:before="80" w:after="0"/>
              <w:textAlignment w:val="baseline"/>
              <w:rPr>
                <w:bCs/>
                <w:sz w:val="20"/>
                <w:szCs w:val="20"/>
                <w:u w:val="single"/>
              </w:rPr>
            </w:pPr>
            <w:r w:rsidRPr="0098635C">
              <w:rPr>
                <w:bCs/>
                <w:sz w:val="20"/>
                <w:szCs w:val="20"/>
                <w:u w:val="single"/>
              </w:rPr>
              <w:t>Terrestrial</w:t>
            </w:r>
          </w:p>
          <w:p w14:paraId="1B2579A8" w14:textId="77777777" w:rsidR="002C2BB0" w:rsidRPr="0098635C" w:rsidRDefault="002C2BB0" w:rsidP="002C2BB0">
            <w:pPr>
              <w:spacing w:after="0"/>
              <w:rPr>
                <w:color w:val="000000"/>
                <w:sz w:val="20"/>
                <w:szCs w:val="20"/>
              </w:rPr>
            </w:pPr>
            <w:r w:rsidRPr="0098635C">
              <w:rPr>
                <w:sz w:val="20"/>
                <w:szCs w:val="20"/>
              </w:rPr>
              <w:t>The copper terrestrial effects database contains more than 250 high quality, chronic NOEC/EC</w:t>
            </w:r>
            <w:r w:rsidRPr="0098635C">
              <w:rPr>
                <w:sz w:val="20"/>
                <w:szCs w:val="20"/>
                <w:vertAlign w:val="subscript"/>
              </w:rPr>
              <w:t>10</w:t>
            </w:r>
            <w:r w:rsidRPr="0098635C">
              <w:rPr>
                <w:sz w:val="20"/>
                <w:szCs w:val="20"/>
              </w:rPr>
              <w:t xml:space="preserve"> values. The chronic NOECs/EC</w:t>
            </w:r>
            <w:r w:rsidRPr="0098635C">
              <w:rPr>
                <w:sz w:val="20"/>
                <w:szCs w:val="20"/>
                <w:vertAlign w:val="subscript"/>
              </w:rPr>
              <w:t>10</w:t>
            </w:r>
            <w:r w:rsidRPr="0098635C">
              <w:rPr>
                <w:sz w:val="20"/>
                <w:szCs w:val="20"/>
              </w:rPr>
              <w:t xml:space="preserve">s vary between </w:t>
            </w:r>
            <w:r w:rsidRPr="0098635C">
              <w:rPr>
                <w:color w:val="000000"/>
                <w:sz w:val="20"/>
                <w:szCs w:val="20"/>
              </w:rPr>
              <w:t xml:space="preserve">8.4 mg/kg for </w:t>
            </w:r>
            <w:r w:rsidRPr="0098635C">
              <w:rPr>
                <w:i/>
                <w:iCs/>
                <w:color w:val="000000"/>
                <w:sz w:val="20"/>
                <w:szCs w:val="20"/>
              </w:rPr>
              <w:t>Eisenia andrei (</w:t>
            </w:r>
            <w:r w:rsidRPr="0098635C">
              <w:rPr>
                <w:color w:val="000000"/>
                <w:sz w:val="20"/>
                <w:szCs w:val="20"/>
              </w:rPr>
              <w:t xml:space="preserve">cocoon production) and 2,402 mg/kg (maize respiration). The lowest value is actually below the limit for essentiality for the species.  </w:t>
            </w:r>
          </w:p>
          <w:p w14:paraId="07B8D583" w14:textId="77777777" w:rsidR="002C2BB0" w:rsidRPr="0098635C" w:rsidRDefault="002C2BB0" w:rsidP="002C2BB0">
            <w:pPr>
              <w:spacing w:after="0"/>
              <w:rPr>
                <w:color w:val="000000"/>
                <w:sz w:val="20"/>
                <w:szCs w:val="20"/>
              </w:rPr>
            </w:pPr>
            <w:r w:rsidRPr="0098635C">
              <w:rPr>
                <w:bCs/>
                <w:color w:val="000000"/>
                <w:sz w:val="20"/>
                <w:szCs w:val="20"/>
              </w:rPr>
              <w:t xml:space="preserve">Information on 8 single species studies, in field contaminated soils, and 5 multi-species studies (freshly spiked and field contaminated) </w:t>
            </w:r>
            <w:r w:rsidRPr="0098635C">
              <w:rPr>
                <w:color w:val="000000"/>
                <w:sz w:val="20"/>
                <w:szCs w:val="20"/>
              </w:rPr>
              <w:t>were used as an additional weight of evidence for the terrestrial co</w:t>
            </w:r>
            <w:r w:rsidRPr="0098635C">
              <w:rPr>
                <w:color w:val="000000"/>
                <w:sz w:val="20"/>
                <w:szCs w:val="20"/>
              </w:rPr>
              <w:t>m</w:t>
            </w:r>
            <w:r w:rsidRPr="0098635C">
              <w:rPr>
                <w:color w:val="000000"/>
                <w:sz w:val="20"/>
                <w:szCs w:val="20"/>
              </w:rPr>
              <w:t xml:space="preserve">partment.  </w:t>
            </w:r>
          </w:p>
          <w:p w14:paraId="58E3ADE6" w14:textId="77777777" w:rsidR="002C2BB0" w:rsidRPr="0098635C" w:rsidRDefault="002C2BB0" w:rsidP="002C2BB0">
            <w:pPr>
              <w:spacing w:after="0"/>
              <w:rPr>
                <w:color w:val="000000"/>
                <w:sz w:val="20"/>
                <w:szCs w:val="20"/>
              </w:rPr>
            </w:pPr>
            <w:r w:rsidRPr="0098635C">
              <w:rPr>
                <w:i/>
                <w:iCs/>
                <w:sz w:val="20"/>
                <w:szCs w:val="20"/>
              </w:rPr>
              <w:t xml:space="preserve"> </w:t>
            </w:r>
            <w:r w:rsidRPr="0098635C">
              <w:rPr>
                <w:b/>
                <w:i/>
                <w:iCs/>
                <w:sz w:val="20"/>
                <w:szCs w:val="20"/>
              </w:rPr>
              <w:t>Accounting for species –specific differences</w:t>
            </w:r>
            <w:r w:rsidRPr="0098635C">
              <w:rPr>
                <w:sz w:val="20"/>
                <w:szCs w:val="20"/>
              </w:rPr>
              <w:t xml:space="preserve">: The copper terrestrial effects database contains high quality, chronic NOEC values for 19 species and 9 microbial functions. </w:t>
            </w:r>
          </w:p>
          <w:p w14:paraId="319329F2" w14:textId="77777777" w:rsidR="002C2BB0" w:rsidRPr="0098635C" w:rsidRDefault="002C2BB0" w:rsidP="002C2BB0">
            <w:pPr>
              <w:spacing w:before="80" w:after="0"/>
              <w:rPr>
                <w:sz w:val="20"/>
                <w:szCs w:val="20"/>
              </w:rPr>
            </w:pPr>
            <w:r w:rsidRPr="0098635C">
              <w:rPr>
                <w:b/>
                <w:i/>
                <w:iCs/>
                <w:sz w:val="20"/>
                <w:szCs w:val="20"/>
              </w:rPr>
              <w:t xml:space="preserve"> Accounting for </w:t>
            </w:r>
            <w:r w:rsidRPr="0098635C">
              <w:rPr>
                <w:b/>
                <w:i/>
                <w:sz w:val="20"/>
                <w:szCs w:val="20"/>
                <w:u w:val="single"/>
              </w:rPr>
              <w:t>bioavailability</w:t>
            </w:r>
            <w:r w:rsidRPr="0098635C">
              <w:rPr>
                <w:b/>
                <w:i/>
                <w:iCs/>
                <w:sz w:val="20"/>
                <w:szCs w:val="20"/>
              </w:rPr>
              <w:t xml:space="preserve"> dependence on the soil chara</w:t>
            </w:r>
            <w:r w:rsidRPr="0098635C">
              <w:rPr>
                <w:b/>
                <w:i/>
                <w:iCs/>
                <w:sz w:val="20"/>
                <w:szCs w:val="20"/>
              </w:rPr>
              <w:t>c</w:t>
            </w:r>
            <w:r w:rsidRPr="0098635C">
              <w:rPr>
                <w:b/>
                <w:i/>
                <w:iCs/>
                <w:sz w:val="20"/>
                <w:szCs w:val="20"/>
              </w:rPr>
              <w:t>teristics</w:t>
            </w:r>
            <w:r w:rsidRPr="0098635C">
              <w:rPr>
                <w:b/>
                <w:sz w:val="20"/>
                <w:szCs w:val="20"/>
              </w:rPr>
              <w:t>:</w:t>
            </w:r>
            <w:r w:rsidRPr="0098635C">
              <w:rPr>
                <w:sz w:val="20"/>
                <w:szCs w:val="20"/>
              </w:rPr>
              <w:t xml:space="preserve">  To normalise the bio-availability data for soil type, a total of seven regression models were derived to predict toxicity of copper to terrestrial orga</w:t>
            </w:r>
            <w:r w:rsidRPr="0098635C">
              <w:rPr>
                <w:sz w:val="20"/>
                <w:szCs w:val="20"/>
              </w:rPr>
              <w:t>n</w:t>
            </w:r>
            <w:r w:rsidRPr="0098635C">
              <w:rPr>
                <w:sz w:val="20"/>
                <w:szCs w:val="20"/>
              </w:rPr>
              <w:t xml:space="preserve">isms for a wide range of soil types. For plants, the </w:t>
            </w:r>
            <w:r w:rsidRPr="0098635C">
              <w:rPr>
                <w:i/>
                <w:iCs/>
                <w:sz w:val="20"/>
                <w:szCs w:val="20"/>
              </w:rPr>
              <w:t>L. esculentum</w:t>
            </w:r>
            <w:r w:rsidRPr="0098635C">
              <w:rPr>
                <w:sz w:val="20"/>
                <w:szCs w:val="20"/>
              </w:rPr>
              <w:t xml:space="preserve"> model (endpoint yield) was applied only on data for tomatoes, while all other plant data were normalised using the </w:t>
            </w:r>
            <w:r w:rsidRPr="0098635C">
              <w:rPr>
                <w:i/>
                <w:iCs/>
                <w:sz w:val="20"/>
                <w:szCs w:val="20"/>
              </w:rPr>
              <w:t>H. vulgare</w:t>
            </w:r>
            <w:r w:rsidRPr="0098635C">
              <w:rPr>
                <w:sz w:val="20"/>
                <w:szCs w:val="20"/>
              </w:rPr>
              <w:t xml:space="preserve"> root elongation model b</w:t>
            </w:r>
            <w:r w:rsidRPr="0098635C">
              <w:rPr>
                <w:sz w:val="20"/>
                <w:szCs w:val="20"/>
              </w:rPr>
              <w:t>e</w:t>
            </w:r>
            <w:r w:rsidRPr="0098635C">
              <w:rPr>
                <w:sz w:val="20"/>
                <w:szCs w:val="20"/>
              </w:rPr>
              <w:t>cause this endpoint is the most sensitive for plants. For i</w:t>
            </w:r>
            <w:r w:rsidRPr="0098635C">
              <w:rPr>
                <w:sz w:val="20"/>
                <w:szCs w:val="20"/>
              </w:rPr>
              <w:t>n</w:t>
            </w:r>
            <w:r w:rsidRPr="0098635C">
              <w:rPr>
                <w:sz w:val="20"/>
                <w:szCs w:val="20"/>
              </w:rPr>
              <w:t xml:space="preserve">vertebrates, the </w:t>
            </w:r>
            <w:r w:rsidRPr="0098635C">
              <w:rPr>
                <w:i/>
                <w:iCs/>
                <w:sz w:val="20"/>
                <w:szCs w:val="20"/>
              </w:rPr>
              <w:t>E. fetida</w:t>
            </w:r>
            <w:r w:rsidRPr="0098635C">
              <w:rPr>
                <w:sz w:val="20"/>
                <w:szCs w:val="20"/>
              </w:rPr>
              <w:t xml:space="preserve"> model was used to normalise all soft-bodied species, while the </w:t>
            </w:r>
            <w:r w:rsidRPr="0098635C">
              <w:rPr>
                <w:i/>
                <w:iCs/>
                <w:sz w:val="20"/>
                <w:szCs w:val="20"/>
              </w:rPr>
              <w:t>F. candida</w:t>
            </w:r>
            <w:r w:rsidRPr="0098635C">
              <w:rPr>
                <w:sz w:val="20"/>
                <w:szCs w:val="20"/>
              </w:rPr>
              <w:t xml:space="preserve"> model was used to normalise all hard-bodied species. For the m</w:t>
            </w:r>
            <w:r w:rsidRPr="0098635C">
              <w:rPr>
                <w:sz w:val="20"/>
                <w:szCs w:val="20"/>
              </w:rPr>
              <w:t>i</w:t>
            </w:r>
            <w:r w:rsidRPr="0098635C">
              <w:rPr>
                <w:sz w:val="20"/>
                <w:szCs w:val="20"/>
              </w:rPr>
              <w:t>crobial processes, all NOEC values related to the N-cycle were normalised based on the CEC slope of the nitr</w:t>
            </w:r>
            <w:r w:rsidRPr="0098635C">
              <w:rPr>
                <w:sz w:val="20"/>
                <w:szCs w:val="20"/>
              </w:rPr>
              <w:t>i</w:t>
            </w:r>
            <w:r w:rsidRPr="0098635C">
              <w:rPr>
                <w:sz w:val="20"/>
                <w:szCs w:val="20"/>
              </w:rPr>
              <w:t>fying micro-organisms. The maize respiration model was used for normalisation of all microbial processes u</w:t>
            </w:r>
            <w:r w:rsidRPr="0098635C">
              <w:rPr>
                <w:sz w:val="20"/>
                <w:szCs w:val="20"/>
              </w:rPr>
              <w:t>s</w:t>
            </w:r>
            <w:r w:rsidRPr="0098635C">
              <w:rPr>
                <w:sz w:val="20"/>
                <w:szCs w:val="20"/>
              </w:rPr>
              <w:t>ing a natural substrate. All other microbial processes were normalised using the substrate induced respiration model.</w:t>
            </w:r>
          </w:p>
          <w:p w14:paraId="75BCF723" w14:textId="77777777" w:rsidR="002C2BB0" w:rsidRPr="0098635C" w:rsidRDefault="002C2BB0" w:rsidP="002C2BB0">
            <w:pPr>
              <w:spacing w:before="80" w:after="0"/>
              <w:rPr>
                <w:sz w:val="20"/>
                <w:szCs w:val="20"/>
              </w:rPr>
            </w:pPr>
            <w:r w:rsidRPr="0098635C">
              <w:rPr>
                <w:b/>
                <w:i/>
                <w:iCs/>
                <w:sz w:val="20"/>
                <w:szCs w:val="20"/>
              </w:rPr>
              <w:t>Accounting for soil leaching and ageing</w:t>
            </w:r>
            <w:r w:rsidRPr="0098635C">
              <w:rPr>
                <w:sz w:val="20"/>
                <w:szCs w:val="20"/>
              </w:rPr>
              <w:t xml:space="preserve"> : Observed differences in toxicity of copper to terrestrial organisms, b</w:t>
            </w:r>
            <w:r w:rsidRPr="0098635C">
              <w:rPr>
                <w:sz w:val="20"/>
                <w:szCs w:val="20"/>
              </w:rPr>
              <w:t>e</w:t>
            </w:r>
            <w:r w:rsidRPr="0098635C">
              <w:rPr>
                <w:sz w:val="20"/>
                <w:szCs w:val="20"/>
              </w:rPr>
              <w:t>tween lab spiked soils and field contaminated soils, allowed for the derivation of a leaching-ageing factor of 2, based on the 25-percentile of the ecotoxicity database. This factor was further supported by the mechanistic r</w:t>
            </w:r>
            <w:r w:rsidRPr="0098635C">
              <w:rPr>
                <w:sz w:val="20"/>
                <w:szCs w:val="20"/>
              </w:rPr>
              <w:t>e</w:t>
            </w:r>
            <w:r w:rsidRPr="0098635C">
              <w:rPr>
                <w:sz w:val="20"/>
                <w:szCs w:val="20"/>
              </w:rPr>
              <w:t xml:space="preserve">search on ageing and </w:t>
            </w:r>
            <w:r w:rsidRPr="0098635C">
              <w:rPr>
                <w:sz w:val="20"/>
                <w:szCs w:val="20"/>
              </w:rPr>
              <w:lastRenderedPageBreak/>
              <w:t xml:space="preserve">ionic strength (leaching) effects. </w:t>
            </w:r>
          </w:p>
          <w:p w14:paraId="6D61EBD4" w14:textId="77777777" w:rsidR="002C2BB0" w:rsidRPr="0098635C" w:rsidRDefault="002C2BB0" w:rsidP="002C2BB0">
            <w:pPr>
              <w:spacing w:after="0"/>
              <w:rPr>
                <w:sz w:val="20"/>
                <w:szCs w:val="20"/>
              </w:rPr>
            </w:pPr>
            <w:r w:rsidRPr="0098635C">
              <w:rPr>
                <w:b/>
                <w:i/>
                <w:sz w:val="20"/>
                <w:szCs w:val="20"/>
              </w:rPr>
              <w:t>Deriving HC</w:t>
            </w:r>
            <w:r w:rsidRPr="0098635C">
              <w:rPr>
                <w:b/>
                <w:i/>
                <w:sz w:val="20"/>
                <w:szCs w:val="20"/>
                <w:vertAlign w:val="subscript"/>
              </w:rPr>
              <w:t>5,50%</w:t>
            </w:r>
            <w:r w:rsidRPr="0098635C">
              <w:rPr>
                <w:b/>
                <w:i/>
                <w:sz w:val="20"/>
                <w:szCs w:val="20"/>
              </w:rPr>
              <w:t xml:space="preserve"> values</w:t>
            </w:r>
            <w:r w:rsidRPr="0098635C">
              <w:rPr>
                <w:sz w:val="20"/>
                <w:szCs w:val="20"/>
              </w:rPr>
              <w:t>: Considering bio-availability and ageing, information from a large monitoring dat</w:t>
            </w:r>
            <w:r w:rsidRPr="0098635C">
              <w:rPr>
                <w:sz w:val="20"/>
                <w:szCs w:val="20"/>
              </w:rPr>
              <w:t>a</w:t>
            </w:r>
            <w:r w:rsidRPr="0098635C">
              <w:rPr>
                <w:sz w:val="20"/>
                <w:szCs w:val="20"/>
              </w:rPr>
              <w:t>base allows calculating four HC</w:t>
            </w:r>
            <w:r w:rsidRPr="0098635C">
              <w:rPr>
                <w:sz w:val="20"/>
                <w:szCs w:val="20"/>
                <w:vertAlign w:val="subscript"/>
              </w:rPr>
              <w:t>5,50%</w:t>
            </w:r>
            <w:r w:rsidRPr="0098635C">
              <w:rPr>
                <w:sz w:val="20"/>
                <w:szCs w:val="20"/>
              </w:rPr>
              <w:t xml:space="preserve"> values of copper for soil samples taken from grazing land in European countries. The HC</w:t>
            </w:r>
            <w:r w:rsidRPr="0098635C">
              <w:rPr>
                <w:sz w:val="20"/>
                <w:szCs w:val="20"/>
                <w:vertAlign w:val="subscript"/>
              </w:rPr>
              <w:t>5,50%</w:t>
            </w:r>
            <w:r w:rsidRPr="0098635C">
              <w:rPr>
                <w:sz w:val="20"/>
                <w:szCs w:val="20"/>
              </w:rPr>
              <w:t xml:space="preserve"> values range between 13 and 205 mg Cu/kg dry weight, depending on the soil chemi</w:t>
            </w:r>
            <w:r w:rsidRPr="0098635C">
              <w:rPr>
                <w:sz w:val="20"/>
                <w:szCs w:val="20"/>
              </w:rPr>
              <w:t>s</w:t>
            </w:r>
            <w:r w:rsidRPr="0098635C">
              <w:rPr>
                <w:sz w:val="20"/>
                <w:szCs w:val="20"/>
              </w:rPr>
              <w:t>try.  A reasonable worst case 10th percentile of 69.6 mg Cu/kg dry weight is retained for the grazing land. A reasonable worst case 10</w:t>
            </w:r>
            <w:r w:rsidRPr="0098635C">
              <w:rPr>
                <w:sz w:val="20"/>
                <w:szCs w:val="20"/>
                <w:vertAlign w:val="superscript"/>
              </w:rPr>
              <w:t>th</w:t>
            </w:r>
            <w:r w:rsidRPr="0098635C">
              <w:rPr>
                <w:sz w:val="20"/>
                <w:szCs w:val="20"/>
              </w:rPr>
              <w:t xml:space="preserve"> percentile of 59.5 mg Cu/kg dry weight is retained for the arable land.   The overall soil median reasonable worst case value across the two land-types is 64.6 mg Cu/kg dry weight. </w:t>
            </w:r>
          </w:p>
          <w:p w14:paraId="60A1166E" w14:textId="77777777" w:rsidR="002C2BB0" w:rsidRPr="0098635C" w:rsidRDefault="002C2BB0" w:rsidP="002C2BB0">
            <w:pPr>
              <w:spacing w:after="0"/>
              <w:rPr>
                <w:b/>
                <w:sz w:val="20"/>
                <w:szCs w:val="20"/>
              </w:rPr>
            </w:pPr>
            <w:r w:rsidRPr="0098635C">
              <w:rPr>
                <w:b/>
                <w:sz w:val="20"/>
                <w:szCs w:val="20"/>
              </w:rPr>
              <w:t>Copper and copper compounds may present a hazard for the environment depending on the r</w:t>
            </w:r>
            <w:r w:rsidRPr="0098635C">
              <w:rPr>
                <w:b/>
                <w:sz w:val="20"/>
                <w:szCs w:val="20"/>
              </w:rPr>
              <w:t>e</w:t>
            </w:r>
            <w:r w:rsidRPr="0098635C">
              <w:rPr>
                <w:b/>
                <w:sz w:val="20"/>
                <w:szCs w:val="20"/>
              </w:rPr>
              <w:t>lease/bioaccessibility of copper ions and on the conditions of the receiving environment (pH, hardness, presence and type of organic matter, anions and competing cations). Adequate screening-level data are available to characterize the environmental hazard for the purposes of the Cooperative Chemicals A</w:t>
            </w:r>
            <w:r w:rsidRPr="0098635C">
              <w:rPr>
                <w:b/>
                <w:sz w:val="20"/>
                <w:szCs w:val="20"/>
              </w:rPr>
              <w:t>s</w:t>
            </w:r>
            <w:r w:rsidRPr="0098635C">
              <w:rPr>
                <w:b/>
                <w:sz w:val="20"/>
                <w:szCs w:val="20"/>
              </w:rPr>
              <w:t>sessment Pr</w:t>
            </w:r>
            <w:r w:rsidRPr="0098635C">
              <w:rPr>
                <w:b/>
                <w:sz w:val="20"/>
                <w:szCs w:val="20"/>
              </w:rPr>
              <w:t>o</w:t>
            </w:r>
            <w:r w:rsidRPr="0098635C">
              <w:rPr>
                <w:b/>
                <w:sz w:val="20"/>
                <w:szCs w:val="20"/>
              </w:rPr>
              <w:t>gramme.</w:t>
            </w:r>
          </w:p>
          <w:p w14:paraId="1EE661E4" w14:textId="77777777" w:rsidR="002C2BB0" w:rsidRPr="0098635C" w:rsidRDefault="002C2BB0" w:rsidP="002C2BB0">
            <w:pPr>
              <w:spacing w:after="0"/>
              <w:rPr>
                <w:b/>
                <w:sz w:val="20"/>
                <w:szCs w:val="20"/>
              </w:rPr>
            </w:pPr>
            <w:r w:rsidRPr="0098635C">
              <w:rPr>
                <w:b/>
                <w:sz w:val="20"/>
                <w:szCs w:val="20"/>
              </w:rPr>
              <w:t>Note: A voluntary risk assessment of copper and copper compounds was performed in the co</w:t>
            </w:r>
            <w:r w:rsidRPr="0098635C">
              <w:rPr>
                <w:b/>
                <w:sz w:val="20"/>
                <w:szCs w:val="20"/>
              </w:rPr>
              <w:t>n</w:t>
            </w:r>
            <w:r w:rsidRPr="0098635C">
              <w:rPr>
                <w:b/>
                <w:sz w:val="20"/>
                <w:szCs w:val="20"/>
              </w:rPr>
              <w:t>text of the EU Existing Su</w:t>
            </w:r>
            <w:r w:rsidRPr="0098635C">
              <w:rPr>
                <w:b/>
                <w:sz w:val="20"/>
                <w:szCs w:val="20"/>
              </w:rPr>
              <w:t>b</w:t>
            </w:r>
            <w:r w:rsidRPr="0098635C">
              <w:rPr>
                <w:b/>
                <w:sz w:val="20"/>
                <w:szCs w:val="20"/>
              </w:rPr>
              <w:t>stances Regulation</w:t>
            </w:r>
            <w:r w:rsidRPr="0098635C">
              <w:rPr>
                <w:rStyle w:val="FootnoteReference"/>
                <w:b/>
                <w:sz w:val="20"/>
                <w:szCs w:val="20"/>
              </w:rPr>
              <w:footnoteReference w:id="6"/>
            </w:r>
            <w:r w:rsidRPr="0098635C">
              <w:rPr>
                <w:b/>
                <w:sz w:val="20"/>
                <w:szCs w:val="20"/>
              </w:rPr>
              <w:t>.</w:t>
            </w:r>
          </w:p>
          <w:p w14:paraId="074618D6" w14:textId="77777777" w:rsidR="002C2BB0" w:rsidRPr="0098635C" w:rsidRDefault="002C2BB0" w:rsidP="002C2BB0">
            <w:pPr>
              <w:spacing w:after="0"/>
              <w:rPr>
                <w:sz w:val="20"/>
                <w:szCs w:val="20"/>
              </w:rPr>
            </w:pPr>
          </w:p>
          <w:p w14:paraId="27337547" w14:textId="77777777" w:rsidR="002C2BB0" w:rsidRPr="0098635C" w:rsidRDefault="002C2BB0" w:rsidP="002C2BB0">
            <w:pPr>
              <w:pStyle w:val="BodyText"/>
              <w:spacing w:after="0"/>
              <w:rPr>
                <w:b/>
                <w:color w:val="000000"/>
                <w:sz w:val="20"/>
              </w:rPr>
            </w:pPr>
            <w:r w:rsidRPr="0098635C">
              <w:rPr>
                <w:b/>
                <w:color w:val="000000"/>
                <w:sz w:val="20"/>
              </w:rPr>
              <w:t xml:space="preserve">Exposure </w:t>
            </w:r>
          </w:p>
          <w:p w14:paraId="7C26ECB9" w14:textId="77777777" w:rsidR="002C2BB0" w:rsidRPr="0098635C" w:rsidRDefault="002C2BB0" w:rsidP="002C2BB0">
            <w:pPr>
              <w:pStyle w:val="BodyText"/>
              <w:spacing w:after="0"/>
              <w:rPr>
                <w:b/>
                <w:i/>
                <w:color w:val="000000"/>
                <w:sz w:val="20"/>
                <w:lang w:eastAsia="ja-JP"/>
              </w:rPr>
            </w:pPr>
            <w:r w:rsidRPr="0098635C">
              <w:rPr>
                <w:b/>
                <w:i/>
                <w:color w:val="000000"/>
                <w:sz w:val="20"/>
                <w:lang w:eastAsia="ja-JP"/>
              </w:rPr>
              <w:t>Production and uses - copper - worldwide</w:t>
            </w:r>
          </w:p>
          <w:p w14:paraId="7C545D6E" w14:textId="77777777" w:rsidR="002C2BB0" w:rsidRPr="0098635C" w:rsidRDefault="002C2BB0" w:rsidP="002C2BB0">
            <w:pPr>
              <w:spacing w:before="120" w:after="0"/>
              <w:ind w:left="426"/>
              <w:rPr>
                <w:sz w:val="20"/>
                <w:szCs w:val="20"/>
                <w:lang w:eastAsia="ja-JP"/>
              </w:rPr>
            </w:pPr>
            <w:r w:rsidRPr="0098635C">
              <w:rPr>
                <w:sz w:val="20"/>
                <w:szCs w:val="20"/>
                <w:lang w:eastAsia="ja-JP"/>
              </w:rPr>
              <w:t>The 2012 global production of copper was 25.7 million tonnes. Approximately 20.2 million tonnes was pr</w:t>
            </w:r>
            <w:r w:rsidRPr="0098635C">
              <w:rPr>
                <w:sz w:val="20"/>
                <w:szCs w:val="20"/>
                <w:lang w:eastAsia="ja-JP"/>
              </w:rPr>
              <w:t>o</w:t>
            </w:r>
            <w:r w:rsidRPr="0098635C">
              <w:rPr>
                <w:sz w:val="20"/>
                <w:szCs w:val="20"/>
                <w:lang w:eastAsia="ja-JP"/>
              </w:rPr>
              <w:t>duced from mining (primary production) and the smelting/refining of complex, end of life materials (secon</w:t>
            </w:r>
            <w:r w:rsidRPr="0098635C">
              <w:rPr>
                <w:sz w:val="20"/>
                <w:szCs w:val="20"/>
                <w:lang w:eastAsia="ja-JP"/>
              </w:rPr>
              <w:t>d</w:t>
            </w:r>
            <w:r w:rsidRPr="0098635C">
              <w:rPr>
                <w:sz w:val="20"/>
                <w:szCs w:val="20"/>
                <w:lang w:eastAsia="ja-JP"/>
              </w:rPr>
              <w:t>ary production). Another 5.5 million tonnes, combing offcuts from the value chain and clean, end-of- life scrap, were recycled directly by the producers of semi-fabricated products.</w:t>
            </w:r>
          </w:p>
          <w:p w14:paraId="4B913846" w14:textId="77777777" w:rsidR="002C2BB0" w:rsidRPr="0098635C" w:rsidRDefault="002C2BB0" w:rsidP="002C2BB0">
            <w:pPr>
              <w:spacing w:before="120" w:after="0"/>
              <w:ind w:left="426"/>
              <w:rPr>
                <w:sz w:val="20"/>
                <w:szCs w:val="20"/>
                <w:lang w:eastAsia="ja-JP"/>
              </w:rPr>
            </w:pPr>
            <w:r w:rsidRPr="0098635C">
              <w:rPr>
                <w:sz w:val="20"/>
                <w:szCs w:val="20"/>
                <w:lang w:eastAsia="ja-JP"/>
              </w:rPr>
              <w:t xml:space="preserve">Recognising the locations of today’s copper mines, Latin American is the main exporting region. The major importers are Asia, (particularly China, India and Korea) and, to a lesser extent, Europe. North America is reasonably balanced between production and demand. </w:t>
            </w:r>
          </w:p>
          <w:p w14:paraId="1D28C440" w14:textId="77777777" w:rsidR="002C2BB0" w:rsidRPr="0098635C" w:rsidRDefault="002C2BB0" w:rsidP="002C2BB0">
            <w:pPr>
              <w:pStyle w:val="BodyText"/>
              <w:spacing w:after="0"/>
              <w:rPr>
                <w:b/>
                <w:i/>
                <w:color w:val="000000"/>
                <w:sz w:val="20"/>
                <w:lang w:eastAsia="ja-JP"/>
              </w:rPr>
            </w:pPr>
            <w:r w:rsidRPr="0098635C">
              <w:rPr>
                <w:b/>
                <w:i/>
                <w:color w:val="000000"/>
                <w:sz w:val="20"/>
                <w:lang w:eastAsia="ja-JP"/>
              </w:rPr>
              <w:t>Production and uses - copper – Europe</w:t>
            </w:r>
          </w:p>
          <w:p w14:paraId="3FFD9787" w14:textId="77777777" w:rsidR="002C2BB0" w:rsidRPr="0098635C" w:rsidRDefault="002C2BB0" w:rsidP="002C2BB0">
            <w:pPr>
              <w:spacing w:before="120" w:after="0"/>
              <w:ind w:left="426"/>
              <w:rPr>
                <w:sz w:val="20"/>
                <w:szCs w:val="20"/>
                <w:lang w:eastAsia="ja-JP"/>
              </w:rPr>
            </w:pPr>
            <w:r w:rsidRPr="0098635C">
              <w:rPr>
                <w:sz w:val="20"/>
                <w:szCs w:val="20"/>
                <w:lang w:eastAsia="ja-JP"/>
              </w:rPr>
              <w:t xml:space="preserve">EU production volume in 2012 of copper has stabilised at around 1.5 million tonnes for smelting and 1.8 million tonnes for refining. Additionally, around 1.3 million tonnes of </w:t>
            </w:r>
            <w:r w:rsidRPr="0098635C">
              <w:rPr>
                <w:sz w:val="20"/>
                <w:szCs w:val="20"/>
              </w:rPr>
              <w:t>scrap (secondary recycled raw m</w:t>
            </w:r>
            <w:r w:rsidRPr="0098635C">
              <w:rPr>
                <w:sz w:val="20"/>
                <w:szCs w:val="20"/>
              </w:rPr>
              <w:t>a</w:t>
            </w:r>
            <w:r w:rsidRPr="0098635C">
              <w:rPr>
                <w:sz w:val="20"/>
                <w:szCs w:val="20"/>
              </w:rPr>
              <w:t>terial) is used as feedstock material. Besides the production, about</w:t>
            </w:r>
            <w:r w:rsidRPr="0098635C">
              <w:rPr>
                <w:sz w:val="20"/>
                <w:szCs w:val="20"/>
                <w:lang w:eastAsia="ja-JP"/>
              </w:rPr>
              <w:t xml:space="preserve"> 0.6 million tonnes of refined copper are imported in the EU.  </w:t>
            </w:r>
          </w:p>
          <w:p w14:paraId="7EAAEC6F" w14:textId="77777777" w:rsidR="002C2BB0" w:rsidRPr="0098635C" w:rsidRDefault="002C2BB0" w:rsidP="002C2BB0">
            <w:pPr>
              <w:spacing w:before="120" w:after="0"/>
              <w:ind w:left="426"/>
              <w:rPr>
                <w:sz w:val="20"/>
                <w:szCs w:val="20"/>
                <w:lang w:eastAsia="ja-JP"/>
              </w:rPr>
            </w:pPr>
            <w:r w:rsidRPr="0098635C">
              <w:rPr>
                <w:sz w:val="20"/>
                <w:szCs w:val="20"/>
              </w:rPr>
              <w:t xml:space="preserve">Copper massive forms account for +/- 99.6% of the market. </w:t>
            </w:r>
            <w:r w:rsidRPr="0098635C">
              <w:rPr>
                <w:sz w:val="20"/>
                <w:szCs w:val="20"/>
                <w:lang w:eastAsia="ja-JP"/>
              </w:rPr>
              <w:t>Principal uses include copper wire, for power c</w:t>
            </w:r>
            <w:r w:rsidRPr="0098635C">
              <w:rPr>
                <w:sz w:val="20"/>
                <w:szCs w:val="20"/>
                <w:lang w:eastAsia="ja-JP"/>
              </w:rPr>
              <w:t>a</w:t>
            </w:r>
            <w:r w:rsidRPr="0098635C">
              <w:rPr>
                <w:sz w:val="20"/>
                <w:szCs w:val="20"/>
                <w:lang w:eastAsia="ja-JP"/>
              </w:rPr>
              <w:t>bles, building wire, electric motors and voltage transformers, copper tubes and fittings, for domestic water, gas distribution, water heating systems and air conditioning, strip for the electronics industry and sheets for roofing, gu</w:t>
            </w:r>
            <w:r w:rsidRPr="0098635C">
              <w:rPr>
                <w:sz w:val="20"/>
                <w:szCs w:val="20"/>
                <w:lang w:eastAsia="ja-JP"/>
              </w:rPr>
              <w:t>t</w:t>
            </w:r>
            <w:r w:rsidRPr="0098635C">
              <w:rPr>
                <w:sz w:val="20"/>
                <w:szCs w:val="20"/>
                <w:lang w:eastAsia="ja-JP"/>
              </w:rPr>
              <w:t xml:space="preserve">ters and down-pipes.   </w:t>
            </w:r>
          </w:p>
          <w:p w14:paraId="7E3D48B8" w14:textId="77777777" w:rsidR="002C2BB0" w:rsidRPr="0098635C" w:rsidRDefault="002C2BB0" w:rsidP="002C2BB0">
            <w:pPr>
              <w:spacing w:before="120" w:after="0"/>
              <w:ind w:left="426"/>
              <w:rPr>
                <w:sz w:val="20"/>
                <w:szCs w:val="20"/>
              </w:rPr>
            </w:pPr>
            <w:r w:rsidRPr="0098635C">
              <w:rPr>
                <w:sz w:val="20"/>
                <w:szCs w:val="20"/>
              </w:rPr>
              <w:t>Extrapolating EU data, copper powders are estimated to account for +/- 0.4%. They are mainly used for fri</w:t>
            </w:r>
            <w:r w:rsidRPr="0098635C">
              <w:rPr>
                <w:sz w:val="20"/>
                <w:szCs w:val="20"/>
              </w:rPr>
              <w:t>c</w:t>
            </w:r>
            <w:r w:rsidRPr="0098635C">
              <w:rPr>
                <w:sz w:val="20"/>
                <w:szCs w:val="20"/>
              </w:rPr>
              <w:t>tion materials such as for vehicle brake pads, carbon brushes for electrical motors and sintered parts for eng</w:t>
            </w:r>
            <w:r w:rsidRPr="0098635C">
              <w:rPr>
                <w:sz w:val="20"/>
                <w:szCs w:val="20"/>
              </w:rPr>
              <w:t>i</w:t>
            </w:r>
            <w:r w:rsidRPr="0098635C">
              <w:rPr>
                <w:sz w:val="20"/>
                <w:szCs w:val="20"/>
              </w:rPr>
              <w:t xml:space="preserve">neering components. </w:t>
            </w:r>
          </w:p>
          <w:p w14:paraId="101BB85A" w14:textId="77777777" w:rsidR="002C2BB0" w:rsidRPr="0098635C" w:rsidRDefault="002C2BB0" w:rsidP="002C2BB0">
            <w:pPr>
              <w:spacing w:after="0"/>
              <w:ind w:left="426"/>
              <w:rPr>
                <w:sz w:val="20"/>
                <w:szCs w:val="20"/>
              </w:rPr>
            </w:pPr>
            <w:r w:rsidRPr="0098635C">
              <w:rPr>
                <w:sz w:val="20"/>
                <w:szCs w:val="20"/>
              </w:rPr>
              <w:t>Coated copper flakes represent less than 0.1% and are used mainly as pigments and as an active ingredient in antifouling paints.</w:t>
            </w:r>
          </w:p>
          <w:p w14:paraId="127C11C4" w14:textId="77777777" w:rsidR="002C2BB0" w:rsidRPr="0098635C" w:rsidRDefault="002C2BB0" w:rsidP="002C2BB0">
            <w:pPr>
              <w:spacing w:after="0"/>
              <w:ind w:left="426"/>
              <w:rPr>
                <w:sz w:val="20"/>
                <w:szCs w:val="20"/>
              </w:rPr>
            </w:pPr>
          </w:p>
          <w:p w14:paraId="3CC2411A" w14:textId="77777777" w:rsidR="002C2BB0" w:rsidRPr="0098635C" w:rsidRDefault="002C2BB0" w:rsidP="002C2BB0">
            <w:pPr>
              <w:pStyle w:val="BodyText"/>
              <w:spacing w:after="0"/>
              <w:ind w:left="426"/>
              <w:rPr>
                <w:sz w:val="20"/>
              </w:rPr>
            </w:pPr>
            <w:r w:rsidRPr="0098635C">
              <w:rPr>
                <w:sz w:val="20"/>
              </w:rPr>
              <w:t>Copper oxide is used as wood preservative (biocidal/antimicrobial), catalyst, brake pads, industrial (glass, c</w:t>
            </w:r>
            <w:r w:rsidRPr="0098635C">
              <w:rPr>
                <w:sz w:val="20"/>
              </w:rPr>
              <w:t>e</w:t>
            </w:r>
            <w:r w:rsidRPr="0098635C">
              <w:rPr>
                <w:sz w:val="20"/>
              </w:rPr>
              <w:t>ramics).</w:t>
            </w:r>
          </w:p>
          <w:p w14:paraId="0348656E" w14:textId="77777777" w:rsidR="002C2BB0" w:rsidRPr="0098635C" w:rsidRDefault="002C2BB0" w:rsidP="002C2BB0">
            <w:pPr>
              <w:pStyle w:val="BodyText"/>
              <w:spacing w:after="0"/>
              <w:ind w:left="426"/>
              <w:rPr>
                <w:sz w:val="20"/>
              </w:rPr>
            </w:pPr>
            <w:r w:rsidRPr="0098635C">
              <w:rPr>
                <w:sz w:val="20"/>
              </w:rPr>
              <w:t>Dicopper oxide is used as antifouling (biocidal/antimicrobial), fungicide (agrochemical), catalyst, “hot” indu</w:t>
            </w:r>
            <w:r w:rsidRPr="0098635C">
              <w:rPr>
                <w:sz w:val="20"/>
              </w:rPr>
              <w:t>s</w:t>
            </w:r>
            <w:r w:rsidRPr="0098635C">
              <w:rPr>
                <w:sz w:val="20"/>
              </w:rPr>
              <w:t>trial processes.</w:t>
            </w:r>
          </w:p>
          <w:p w14:paraId="0B67DE6B" w14:textId="77777777" w:rsidR="002C2BB0" w:rsidRPr="0098635C" w:rsidRDefault="002C2BB0" w:rsidP="002C2BB0">
            <w:pPr>
              <w:pStyle w:val="BodyText"/>
              <w:spacing w:after="0"/>
              <w:ind w:left="426"/>
              <w:rPr>
                <w:sz w:val="20"/>
              </w:rPr>
            </w:pPr>
            <w:r w:rsidRPr="0098635C">
              <w:rPr>
                <w:sz w:val="20"/>
              </w:rPr>
              <w:t>Copper sulphate pentahydrate is used as algaecide (biocidal/antimicrobial), fertiliser, raw material use, general industrial uses (dyes, mineral flotation, ceramics, glass), animal feed and foodstuffs.</w:t>
            </w:r>
          </w:p>
          <w:p w14:paraId="2ACC5DDB" w14:textId="77777777" w:rsidR="002C2BB0" w:rsidRPr="0098635C" w:rsidRDefault="002C2BB0" w:rsidP="002C2BB0">
            <w:pPr>
              <w:pStyle w:val="BodyText"/>
              <w:spacing w:after="0"/>
              <w:ind w:left="426"/>
              <w:rPr>
                <w:sz w:val="20"/>
              </w:rPr>
            </w:pPr>
            <w:r w:rsidRPr="0098635C">
              <w:rPr>
                <w:sz w:val="20"/>
              </w:rPr>
              <w:t xml:space="preserve"> Dicopper chloride hydroxide is used as  fungicide (agrochemical), fertiliser and industrial uses e.g. c</w:t>
            </w:r>
            <w:r w:rsidRPr="0098635C">
              <w:rPr>
                <w:sz w:val="20"/>
              </w:rPr>
              <w:t>e</w:t>
            </w:r>
            <w:r w:rsidRPr="0098635C">
              <w:rPr>
                <w:sz w:val="20"/>
              </w:rPr>
              <w:t>ramics</w:t>
            </w:r>
          </w:p>
          <w:p w14:paraId="7D3960C1" w14:textId="77777777" w:rsidR="002C2BB0" w:rsidRPr="0098635C" w:rsidRDefault="002C2BB0" w:rsidP="002C2BB0">
            <w:pPr>
              <w:pStyle w:val="BodyText"/>
              <w:spacing w:after="0"/>
              <w:rPr>
                <w:b/>
                <w:i/>
                <w:color w:val="000000"/>
                <w:sz w:val="20"/>
                <w:lang w:eastAsia="ja-JP"/>
              </w:rPr>
            </w:pPr>
            <w:r w:rsidRPr="0098635C">
              <w:rPr>
                <w:b/>
                <w:i/>
                <w:color w:val="000000"/>
                <w:sz w:val="20"/>
                <w:lang w:eastAsia="ja-JP"/>
              </w:rPr>
              <w:t xml:space="preserve">   EU- exposure</w:t>
            </w:r>
          </w:p>
          <w:p w14:paraId="1D41C4A3" w14:textId="77777777" w:rsidR="002C2BB0" w:rsidRPr="0098635C" w:rsidRDefault="002C2BB0" w:rsidP="002C2BB0">
            <w:pPr>
              <w:pStyle w:val="BodyText"/>
              <w:spacing w:after="0"/>
              <w:ind w:right="215"/>
              <w:rPr>
                <w:i/>
                <w:sz w:val="20"/>
                <w:lang w:eastAsia="ja-JP"/>
              </w:rPr>
            </w:pPr>
            <w:r w:rsidRPr="0098635C">
              <w:rPr>
                <w:i/>
                <w:sz w:val="20"/>
                <w:lang w:eastAsia="ja-JP"/>
              </w:rPr>
              <w:t xml:space="preserve">Sources </w:t>
            </w:r>
          </w:p>
          <w:p w14:paraId="7F216E76" w14:textId="77777777" w:rsidR="002C2BB0" w:rsidRPr="0098635C" w:rsidRDefault="002C2BB0" w:rsidP="002C2BB0">
            <w:pPr>
              <w:pStyle w:val="BodyText"/>
              <w:spacing w:after="0"/>
              <w:ind w:right="215"/>
              <w:rPr>
                <w:i/>
                <w:sz w:val="20"/>
                <w:lang w:eastAsia="ja-JP"/>
              </w:rPr>
            </w:pPr>
          </w:p>
          <w:p w14:paraId="4097AF7C" w14:textId="77777777" w:rsidR="002C2BB0" w:rsidRPr="0098635C" w:rsidRDefault="002C2BB0" w:rsidP="002C2BB0">
            <w:pPr>
              <w:pStyle w:val="BodyText"/>
              <w:spacing w:after="0"/>
              <w:ind w:right="215"/>
              <w:rPr>
                <w:sz w:val="20"/>
              </w:rPr>
            </w:pPr>
            <w:r w:rsidRPr="0098635C">
              <w:rPr>
                <w:sz w:val="20"/>
                <w:lang w:eastAsia="ja-JP"/>
              </w:rPr>
              <w:t xml:space="preserve">Copper is a naturally occurring element that can be found at background levels in water, sediment and soil. </w:t>
            </w:r>
            <w:r w:rsidRPr="0098635C">
              <w:rPr>
                <w:sz w:val="20"/>
              </w:rPr>
              <w:t>T</w:t>
            </w:r>
            <w:r w:rsidRPr="0098635C">
              <w:rPr>
                <w:sz w:val="20"/>
              </w:rPr>
              <w:t>o</w:t>
            </w:r>
            <w:r w:rsidRPr="0098635C">
              <w:rPr>
                <w:sz w:val="20"/>
              </w:rPr>
              <w:t xml:space="preserve">tal copper releases were dominated by agricultural uses (feed additives and fertilizers, 39%) and traffic (mainly brake pads, 43%). </w:t>
            </w:r>
            <w:r w:rsidRPr="0098635C">
              <w:rPr>
                <w:sz w:val="20"/>
                <w:lang w:eastAsia="ja-JP"/>
              </w:rPr>
              <w:t>Massive copper uses (</w:t>
            </w:r>
            <w:r w:rsidRPr="0098635C">
              <w:rPr>
                <w:sz w:val="20"/>
              </w:rPr>
              <w:t xml:space="preserve">wear of overhead wires, corrosion of copper tubes, fittings and taps and external </w:t>
            </w:r>
            <w:r w:rsidRPr="0098635C">
              <w:rPr>
                <w:sz w:val="20"/>
              </w:rPr>
              <w:lastRenderedPageBreak/>
              <w:t>building applications (roofs, gutters, down pipes, facades)) contribute to 15% of the total anthr</w:t>
            </w:r>
            <w:r w:rsidRPr="0098635C">
              <w:rPr>
                <w:sz w:val="20"/>
              </w:rPr>
              <w:t>o</w:t>
            </w:r>
            <w:r w:rsidRPr="0098635C">
              <w:rPr>
                <w:sz w:val="20"/>
              </w:rPr>
              <w:t>pogenic EU emissions. The relative contribution from waste incineration plants and landfill facilities is minor (0.4%). Other minor copper releases, that have been observed include, among others, industry releases, dome</w:t>
            </w:r>
            <w:r w:rsidRPr="0098635C">
              <w:rPr>
                <w:sz w:val="20"/>
              </w:rPr>
              <w:t>s</w:t>
            </w:r>
            <w:r w:rsidRPr="0098635C">
              <w:rPr>
                <w:sz w:val="20"/>
              </w:rPr>
              <w:t>tic and industrial heating, fireworks and dome</w:t>
            </w:r>
            <w:r w:rsidRPr="0098635C">
              <w:rPr>
                <w:sz w:val="20"/>
              </w:rPr>
              <w:t>s</w:t>
            </w:r>
            <w:r w:rsidRPr="0098635C">
              <w:rPr>
                <w:sz w:val="20"/>
              </w:rPr>
              <w:t>tic wastewaters .</w:t>
            </w:r>
          </w:p>
          <w:p w14:paraId="16340363" w14:textId="77777777" w:rsidR="002C2BB0" w:rsidRPr="0098635C" w:rsidRDefault="002C2BB0" w:rsidP="002C2BB0">
            <w:pPr>
              <w:spacing w:after="0"/>
              <w:rPr>
                <w:i/>
                <w:color w:val="000000"/>
                <w:sz w:val="20"/>
                <w:szCs w:val="20"/>
                <w:lang w:eastAsia="ja-JP"/>
              </w:rPr>
            </w:pPr>
          </w:p>
          <w:p w14:paraId="6472B08C" w14:textId="77777777" w:rsidR="002C2BB0" w:rsidRPr="0098635C" w:rsidRDefault="002C2BB0" w:rsidP="002C2BB0">
            <w:pPr>
              <w:spacing w:after="0"/>
              <w:rPr>
                <w:i/>
                <w:color w:val="000000"/>
                <w:sz w:val="20"/>
                <w:szCs w:val="20"/>
                <w:lang w:eastAsia="ja-JP"/>
              </w:rPr>
            </w:pPr>
            <w:r w:rsidRPr="0098635C">
              <w:rPr>
                <w:i/>
                <w:color w:val="000000"/>
                <w:sz w:val="20"/>
                <w:szCs w:val="20"/>
                <w:lang w:eastAsia="ja-JP"/>
              </w:rPr>
              <w:t>Monitoring</w:t>
            </w:r>
          </w:p>
          <w:p w14:paraId="1EEBE4EB" w14:textId="77777777" w:rsidR="002C2BB0" w:rsidRPr="0098635C" w:rsidRDefault="002C2BB0" w:rsidP="002C2BB0">
            <w:pPr>
              <w:spacing w:after="0"/>
              <w:ind w:right="129"/>
              <w:rPr>
                <w:color w:val="000000"/>
                <w:sz w:val="20"/>
                <w:szCs w:val="20"/>
              </w:rPr>
            </w:pPr>
            <w:r w:rsidRPr="0098635C">
              <w:rPr>
                <w:color w:val="000000"/>
                <w:sz w:val="20"/>
                <w:szCs w:val="20"/>
                <w:lang w:eastAsia="ja-JP"/>
              </w:rPr>
              <w:t>Background levels of copper in water, sediment and soil are reported in the EU FOREGS Geochemical Atlas (Forum of European Geological Surveys). Median natural background concentration levels in Europe are 0.88 µg dissolved Cu/L for surface water (rivers and lakes), 14 mg/kg dry weight for river and lake sediment and 12 mg/kg dry weight for topsoil.</w:t>
            </w:r>
            <w:r w:rsidRPr="0098635C">
              <w:rPr>
                <w:color w:val="FF0000"/>
                <w:sz w:val="20"/>
                <w:szCs w:val="20"/>
                <w:lang w:eastAsia="ja-JP"/>
              </w:rPr>
              <w:t xml:space="preserve"> </w:t>
            </w:r>
            <w:r w:rsidRPr="0098635C">
              <w:rPr>
                <w:sz w:val="20"/>
                <w:szCs w:val="20"/>
              </w:rPr>
              <w:t>Region-specific dissolved Cu freshwater PEC va</w:t>
            </w:r>
            <w:r w:rsidRPr="0098635C">
              <w:rPr>
                <w:sz w:val="20"/>
                <w:szCs w:val="20"/>
              </w:rPr>
              <w:t>l</w:t>
            </w:r>
            <w:r w:rsidRPr="0098635C">
              <w:rPr>
                <w:sz w:val="20"/>
                <w:szCs w:val="20"/>
              </w:rPr>
              <w:t xml:space="preserve">ues, derived for Austria, Belgium, Denmark, Finland Barentz area, Germany Elbe, Ireland, Portugal, The Netherlands, Sweden, England, Wales and Scotland ranged between 0.5 and 4.7 μg dissolved Cu/L with a median of 2.7 μg dissolved Cu/L. Measured PECs for the EU-15 </w:t>
            </w:r>
            <w:r w:rsidRPr="0098635C">
              <w:rPr>
                <w:color w:val="000000"/>
                <w:sz w:val="20"/>
                <w:szCs w:val="20"/>
              </w:rPr>
              <w:t xml:space="preserve">are 67,5 mg/kg dw for sediment and 31 mg/kg dw for agricultural soil. </w:t>
            </w:r>
          </w:p>
          <w:p w14:paraId="5AB9E116" w14:textId="77777777" w:rsidR="002C2BB0" w:rsidRPr="0098635C" w:rsidRDefault="002C2BB0" w:rsidP="002C2BB0">
            <w:pPr>
              <w:spacing w:after="0"/>
              <w:rPr>
                <w:i/>
                <w:color w:val="000000"/>
                <w:sz w:val="20"/>
                <w:szCs w:val="20"/>
              </w:rPr>
            </w:pPr>
            <w:r w:rsidRPr="0098635C">
              <w:rPr>
                <w:i/>
                <w:color w:val="000000"/>
                <w:sz w:val="20"/>
                <w:szCs w:val="20"/>
              </w:rPr>
              <w:t>Humans exposed via the environment</w:t>
            </w:r>
          </w:p>
          <w:p w14:paraId="27FD0167" w14:textId="77777777" w:rsidR="002C2BB0" w:rsidRPr="0098635C" w:rsidRDefault="002C2BB0" w:rsidP="002C2BB0">
            <w:pPr>
              <w:spacing w:after="0"/>
              <w:rPr>
                <w:color w:val="FF0000"/>
                <w:sz w:val="20"/>
                <w:szCs w:val="20"/>
              </w:rPr>
            </w:pPr>
            <w:r w:rsidRPr="0098635C">
              <w:rPr>
                <w:color w:val="000000"/>
                <w:sz w:val="20"/>
                <w:szCs w:val="20"/>
              </w:rPr>
              <w:t>The contribution to dietary intake (copper from anthropogenic origin in fruit and vegetables, locally grown, and other foodstuffs) in the local environment was rather low due to the impact of industrial air pollution co</w:t>
            </w:r>
            <w:r w:rsidRPr="0098635C">
              <w:rPr>
                <w:color w:val="000000"/>
                <w:sz w:val="20"/>
                <w:szCs w:val="20"/>
              </w:rPr>
              <w:t>n</w:t>
            </w:r>
            <w:r w:rsidRPr="0098635C">
              <w:rPr>
                <w:color w:val="000000"/>
                <w:sz w:val="20"/>
                <w:szCs w:val="20"/>
              </w:rPr>
              <w:t>trol measures and the effective</w:t>
            </w:r>
            <w:r w:rsidRPr="0098635C">
              <w:rPr>
                <w:sz w:val="20"/>
                <w:szCs w:val="20"/>
              </w:rPr>
              <w:t xml:space="preserve"> homeostatic control of copper uptake by plants. External exposure through i</w:t>
            </w:r>
            <w:r w:rsidRPr="0098635C">
              <w:rPr>
                <w:sz w:val="20"/>
                <w:szCs w:val="20"/>
              </w:rPr>
              <w:t>n</w:t>
            </w:r>
            <w:r w:rsidRPr="0098635C">
              <w:rPr>
                <w:sz w:val="20"/>
                <w:szCs w:val="20"/>
              </w:rPr>
              <w:t>halation is even more limited.</w:t>
            </w:r>
          </w:p>
          <w:p w14:paraId="302BA249" w14:textId="77777777" w:rsidR="002C2BB0" w:rsidRPr="0098635C" w:rsidRDefault="002C2BB0" w:rsidP="002C2BB0">
            <w:pPr>
              <w:spacing w:after="0"/>
              <w:rPr>
                <w:i/>
                <w:color w:val="000000"/>
                <w:sz w:val="20"/>
                <w:szCs w:val="20"/>
              </w:rPr>
            </w:pPr>
            <w:r w:rsidRPr="0098635C">
              <w:rPr>
                <w:i/>
                <w:color w:val="000000"/>
                <w:sz w:val="20"/>
                <w:szCs w:val="20"/>
              </w:rPr>
              <w:t>Occupational exposure</w:t>
            </w:r>
          </w:p>
          <w:p w14:paraId="14FDAA81" w14:textId="77777777" w:rsidR="002C2BB0" w:rsidRPr="0098635C" w:rsidRDefault="002C2BB0" w:rsidP="002C2BB0">
            <w:pPr>
              <w:pStyle w:val="BodyText"/>
              <w:spacing w:after="0"/>
              <w:rPr>
                <w:sz w:val="20"/>
              </w:rPr>
            </w:pPr>
            <w:r w:rsidRPr="0098635C">
              <w:rPr>
                <w:sz w:val="20"/>
              </w:rPr>
              <w:t>The sectors that have been identified for estimating local exposures include: Smelting and Refining, Wirerod &amp; Cables production, Casting Billets and Plates, Production of semi-finished copper shapes, Production of Co</w:t>
            </w:r>
            <w:r w:rsidRPr="0098635C">
              <w:rPr>
                <w:sz w:val="20"/>
              </w:rPr>
              <w:t>p</w:t>
            </w:r>
            <w:r w:rsidRPr="0098635C">
              <w:rPr>
                <w:sz w:val="20"/>
              </w:rPr>
              <w:t>per Powders and Copper Chemicals. For melting and casting of billets and further processing, respirable co</w:t>
            </w:r>
            <w:r w:rsidRPr="0098635C">
              <w:rPr>
                <w:sz w:val="20"/>
              </w:rPr>
              <w:t>p</w:t>
            </w:r>
            <w:r w:rsidRPr="0098635C">
              <w:rPr>
                <w:sz w:val="20"/>
              </w:rPr>
              <w:t>per as a function of total copper ranges from 6-25% with a median value of 9%. For smelting a single value of 13% is given while for non-foundry operations in the manufacture of copper powders the single value of 4%.</w:t>
            </w:r>
          </w:p>
          <w:p w14:paraId="6282E47D" w14:textId="77777777" w:rsidR="002C2BB0" w:rsidRPr="0098635C" w:rsidRDefault="002C2BB0" w:rsidP="002C2BB0">
            <w:pPr>
              <w:spacing w:after="0"/>
              <w:rPr>
                <w:i/>
                <w:color w:val="000000"/>
                <w:sz w:val="20"/>
                <w:szCs w:val="20"/>
              </w:rPr>
            </w:pPr>
            <w:r w:rsidRPr="0098635C">
              <w:rPr>
                <w:i/>
                <w:color w:val="000000"/>
                <w:sz w:val="20"/>
                <w:szCs w:val="20"/>
              </w:rPr>
              <w:t>Consumer exposure</w:t>
            </w:r>
          </w:p>
          <w:p w14:paraId="52847024" w14:textId="77777777" w:rsidR="002C2BB0" w:rsidRPr="0098635C" w:rsidRDefault="002C2BB0" w:rsidP="002C2BB0">
            <w:pPr>
              <w:spacing w:after="0"/>
              <w:rPr>
                <w:sz w:val="20"/>
                <w:szCs w:val="20"/>
              </w:rPr>
            </w:pPr>
            <w:r w:rsidRPr="0098635C">
              <w:rPr>
                <w:sz w:val="20"/>
                <w:szCs w:val="20"/>
              </w:rPr>
              <w:t>Consumer exposure to copper may occur via dermal or oral routes or via inhalation. Dermal exposure occurs mainly through the use of toiletries and cosmetics face cream and hair care products, through coin handling or jewellery. Additional dermal exposure is possible from the use of special paints or from copper containing wood preservatives and pesticides. Oral exposure (other than from food and water) occurs in particular by i</w:t>
            </w:r>
            <w:r w:rsidRPr="0098635C">
              <w:rPr>
                <w:sz w:val="20"/>
                <w:szCs w:val="20"/>
              </w:rPr>
              <w:t>n</w:t>
            </w:r>
            <w:r w:rsidRPr="0098635C">
              <w:rPr>
                <w:sz w:val="20"/>
                <w:szCs w:val="20"/>
              </w:rPr>
              <w:t>gestion of dietary supplements containing copper, inhalation exp</w:t>
            </w:r>
            <w:r w:rsidRPr="0098635C">
              <w:rPr>
                <w:sz w:val="20"/>
                <w:szCs w:val="20"/>
              </w:rPr>
              <w:t>o</w:t>
            </w:r>
            <w:r w:rsidRPr="0098635C">
              <w:rPr>
                <w:sz w:val="20"/>
                <w:szCs w:val="20"/>
              </w:rPr>
              <w:t>sure occurs mainly through cigarette smoke. Internal exposure may also occur with the use of intra-uterine devices. There are no known exposures of co</w:t>
            </w:r>
            <w:r w:rsidRPr="0098635C">
              <w:rPr>
                <w:sz w:val="20"/>
                <w:szCs w:val="20"/>
              </w:rPr>
              <w:t>n</w:t>
            </w:r>
            <w:r w:rsidRPr="0098635C">
              <w:rPr>
                <w:sz w:val="20"/>
                <w:szCs w:val="20"/>
              </w:rPr>
              <w:t>sumers to other copper compounds covered in this cat</w:t>
            </w:r>
            <w:r w:rsidRPr="0098635C">
              <w:rPr>
                <w:sz w:val="20"/>
                <w:szCs w:val="20"/>
              </w:rPr>
              <w:t>e</w:t>
            </w:r>
            <w:r w:rsidRPr="0098635C">
              <w:rPr>
                <w:sz w:val="20"/>
                <w:szCs w:val="20"/>
              </w:rPr>
              <w:t>gory.</w:t>
            </w:r>
          </w:p>
          <w:p w14:paraId="3DCF0206" w14:textId="77777777" w:rsidR="002C2BB0" w:rsidRPr="0098635C" w:rsidRDefault="002C2BB0" w:rsidP="002C2BB0">
            <w:pPr>
              <w:pStyle w:val="Default"/>
              <w:jc w:val="both"/>
              <w:rPr>
                <w:b/>
                <w:color w:val="FF0000"/>
                <w:sz w:val="20"/>
                <w:szCs w:val="20"/>
              </w:rPr>
            </w:pPr>
          </w:p>
        </w:tc>
      </w:tr>
      <w:tr w:rsidR="002C2BB0" w:rsidRPr="0098635C" w14:paraId="4D7C70A6" w14:textId="77777777" w:rsidTr="002C2BB0">
        <w:tc>
          <w:tcPr>
            <w:tcW w:w="9568" w:type="dxa"/>
            <w:gridSpan w:val="2"/>
            <w:tcBorders>
              <w:top w:val="double" w:sz="6" w:space="0" w:color="auto"/>
              <w:left w:val="double" w:sz="6" w:space="0" w:color="auto"/>
              <w:bottom w:val="double" w:sz="6" w:space="0" w:color="auto"/>
              <w:right w:val="double" w:sz="6" w:space="0" w:color="auto"/>
            </w:tcBorders>
          </w:tcPr>
          <w:p w14:paraId="542A1C81" w14:textId="77777777" w:rsidR="002C2BB0" w:rsidRPr="0098635C" w:rsidRDefault="002C2BB0" w:rsidP="002C2BB0">
            <w:pPr>
              <w:spacing w:after="0"/>
              <w:rPr>
                <w:b/>
                <w:i/>
                <w:sz w:val="20"/>
                <w:szCs w:val="20"/>
              </w:rPr>
            </w:pPr>
            <w:r w:rsidRPr="0098635C">
              <w:rPr>
                <w:b/>
                <w:i/>
                <w:sz w:val="20"/>
                <w:szCs w:val="20"/>
              </w:rPr>
              <w:lastRenderedPageBreak/>
              <w:t>Limitations</w:t>
            </w:r>
          </w:p>
          <w:p w14:paraId="6E9461E5" w14:textId="77777777" w:rsidR="002C2BB0" w:rsidRPr="0098635C" w:rsidRDefault="002C2BB0" w:rsidP="002C2BB0">
            <w:pPr>
              <w:spacing w:after="0"/>
              <w:rPr>
                <w:sz w:val="20"/>
                <w:szCs w:val="20"/>
              </w:rPr>
            </w:pPr>
            <w:r w:rsidRPr="0098635C">
              <w:rPr>
                <w:sz w:val="20"/>
                <w:szCs w:val="20"/>
              </w:rPr>
              <w:t>The hazard profile is based on intensive literature searches and targeted research programs carried out for the European hazard classification and risk assessment regulation during the period 2000-2006.  Recent findings are not included.</w:t>
            </w:r>
          </w:p>
        </w:tc>
      </w:tr>
    </w:tbl>
    <w:p w14:paraId="39FA5DDB" w14:textId="77777777" w:rsidR="002C2BB0" w:rsidRPr="0098635C" w:rsidRDefault="002C2BB0" w:rsidP="002C2BB0">
      <w:pPr>
        <w:rPr>
          <w:color w:val="FF0000"/>
          <w:sz w:val="20"/>
          <w:szCs w:val="20"/>
        </w:rPr>
      </w:pPr>
    </w:p>
    <w:p w14:paraId="54EF7452" w14:textId="77777777" w:rsidR="002C2BB0" w:rsidRPr="0098635C" w:rsidRDefault="002C2BB0" w:rsidP="002C2BB0">
      <w:pPr>
        <w:rPr>
          <w:sz w:val="20"/>
          <w:szCs w:val="20"/>
        </w:rPr>
      </w:pPr>
      <w:r w:rsidRPr="0098635C">
        <w:rPr>
          <w:color w:val="FF0000"/>
          <w:sz w:val="20"/>
          <w:szCs w:val="20"/>
        </w:rPr>
        <w:br w:type="page"/>
      </w:r>
      <w:r w:rsidRPr="0098635C">
        <w:rPr>
          <w:sz w:val="20"/>
          <w:szCs w:val="20"/>
        </w:rPr>
        <w:lastRenderedPageBreak/>
        <w:t>ANNEX 1: Standard OECD Solubility of copper compounds</w:t>
      </w:r>
    </w:p>
    <w:p w14:paraId="014E5EDC" w14:textId="77777777" w:rsidR="002C2BB0" w:rsidRPr="0098635C" w:rsidRDefault="002C2BB0" w:rsidP="002C2BB0">
      <w:pPr>
        <w:keepNext/>
        <w:keepLines/>
        <w:spacing w:before="240" w:after="120"/>
        <w:ind w:left="714"/>
        <w:jc w:val="left"/>
        <w:rPr>
          <w:b/>
          <w:sz w:val="20"/>
          <w:szCs w:val="20"/>
        </w:rPr>
      </w:pPr>
    </w:p>
    <w:tbl>
      <w:tblPr>
        <w:tblW w:w="3785" w:type="pct"/>
        <w:jc w:val="center"/>
        <w:tblLayout w:type="fixed"/>
        <w:tblLook w:val="04A0" w:firstRow="1" w:lastRow="0" w:firstColumn="1" w:lastColumn="0" w:noHBand="0" w:noVBand="1"/>
      </w:tblPr>
      <w:tblGrid>
        <w:gridCol w:w="2136"/>
        <w:gridCol w:w="1325"/>
        <w:gridCol w:w="1176"/>
        <w:gridCol w:w="1325"/>
        <w:gridCol w:w="1327"/>
      </w:tblGrid>
      <w:tr w:rsidR="002C2BB0" w:rsidRPr="0098635C" w14:paraId="18C69412" w14:textId="77777777" w:rsidTr="002C2BB0">
        <w:trPr>
          <w:trHeight w:val="288"/>
          <w:jc w:val="center"/>
        </w:trPr>
        <w:tc>
          <w:tcPr>
            <w:tcW w:w="1465" w:type="pct"/>
            <w:vMerge w:val="restart"/>
            <w:tcBorders>
              <w:top w:val="single" w:sz="4" w:space="0" w:color="auto"/>
              <w:left w:val="single" w:sz="4" w:space="0" w:color="auto"/>
              <w:right w:val="single" w:sz="4" w:space="0" w:color="auto"/>
            </w:tcBorders>
            <w:shd w:val="clear" w:color="auto" w:fill="auto"/>
            <w:noWrap/>
            <w:vAlign w:val="center"/>
            <w:hideMark/>
          </w:tcPr>
          <w:p w14:paraId="3699D512" w14:textId="77777777" w:rsidR="002C2BB0" w:rsidRPr="0098635C" w:rsidRDefault="002C2BB0" w:rsidP="002C2BB0">
            <w:pPr>
              <w:keepNext/>
              <w:keepLines/>
              <w:ind w:right="215"/>
              <w:jc w:val="center"/>
              <w:rPr>
                <w:b/>
                <w:bCs/>
                <w:color w:val="000000"/>
                <w:sz w:val="20"/>
                <w:szCs w:val="20"/>
                <w:lang w:eastAsia="en-GB"/>
              </w:rPr>
            </w:pPr>
            <w:r w:rsidRPr="0098635C">
              <w:rPr>
                <w:b/>
                <w:bCs/>
                <w:color w:val="000000"/>
                <w:sz w:val="20"/>
                <w:szCs w:val="20"/>
                <w:lang w:eastAsia="en-GB"/>
              </w:rPr>
              <w:t>Co</w:t>
            </w:r>
            <w:r w:rsidRPr="0098635C">
              <w:rPr>
                <w:b/>
                <w:bCs/>
                <w:color w:val="000000"/>
                <w:sz w:val="20"/>
                <w:szCs w:val="20"/>
                <w:lang w:eastAsia="en-GB"/>
              </w:rPr>
              <w:t>m</w:t>
            </w:r>
            <w:r w:rsidRPr="0098635C">
              <w:rPr>
                <w:b/>
                <w:bCs/>
                <w:color w:val="000000"/>
                <w:sz w:val="20"/>
                <w:szCs w:val="20"/>
                <w:lang w:eastAsia="en-GB"/>
              </w:rPr>
              <w:t>pound</w:t>
            </w:r>
          </w:p>
        </w:tc>
        <w:tc>
          <w:tcPr>
            <w:tcW w:w="3535" w:type="pct"/>
            <w:gridSpan w:val="4"/>
            <w:tcBorders>
              <w:top w:val="single" w:sz="4" w:space="0" w:color="auto"/>
              <w:left w:val="nil"/>
              <w:bottom w:val="single" w:sz="4" w:space="0" w:color="auto"/>
              <w:right w:val="single" w:sz="4" w:space="0" w:color="auto"/>
            </w:tcBorders>
            <w:shd w:val="clear" w:color="auto" w:fill="auto"/>
            <w:noWrap/>
            <w:vAlign w:val="center"/>
            <w:hideMark/>
          </w:tcPr>
          <w:p w14:paraId="468FE164" w14:textId="77777777" w:rsidR="002C2BB0" w:rsidRPr="0098635C" w:rsidRDefault="002C2BB0" w:rsidP="002C2BB0">
            <w:pPr>
              <w:keepNext/>
              <w:keepLines/>
              <w:ind w:right="215"/>
              <w:jc w:val="center"/>
              <w:rPr>
                <w:b/>
                <w:bCs/>
                <w:color w:val="000000"/>
                <w:sz w:val="20"/>
                <w:szCs w:val="20"/>
                <w:lang w:eastAsia="en-GB"/>
              </w:rPr>
            </w:pPr>
            <w:r w:rsidRPr="0098635C">
              <w:rPr>
                <w:b/>
                <w:bCs/>
                <w:color w:val="000000"/>
                <w:sz w:val="20"/>
                <w:szCs w:val="20"/>
                <w:lang w:eastAsia="en-GB"/>
              </w:rPr>
              <w:t>pH range</w:t>
            </w:r>
          </w:p>
        </w:tc>
      </w:tr>
      <w:tr w:rsidR="002C2BB0" w:rsidRPr="0098635C" w14:paraId="6D1D392B" w14:textId="77777777" w:rsidTr="002C2BB0">
        <w:trPr>
          <w:trHeight w:val="271"/>
          <w:jc w:val="center"/>
        </w:trPr>
        <w:tc>
          <w:tcPr>
            <w:tcW w:w="1465" w:type="pct"/>
            <w:vMerge/>
            <w:tcBorders>
              <w:left w:val="single" w:sz="4" w:space="0" w:color="auto"/>
              <w:right w:val="single" w:sz="4" w:space="0" w:color="auto"/>
            </w:tcBorders>
            <w:vAlign w:val="center"/>
            <w:hideMark/>
          </w:tcPr>
          <w:p w14:paraId="152B28BE" w14:textId="77777777" w:rsidR="002C2BB0" w:rsidRPr="0098635C" w:rsidRDefault="002C2BB0" w:rsidP="002C2BB0">
            <w:pPr>
              <w:keepNext/>
              <w:keepLines/>
              <w:ind w:right="215"/>
              <w:rPr>
                <w:b/>
                <w:bCs/>
                <w:color w:val="000000"/>
                <w:sz w:val="20"/>
                <w:szCs w:val="20"/>
                <w:lang w:eastAsia="en-GB"/>
              </w:rPr>
            </w:pPr>
          </w:p>
        </w:tc>
        <w:tc>
          <w:tcPr>
            <w:tcW w:w="909" w:type="pct"/>
            <w:tcBorders>
              <w:top w:val="nil"/>
              <w:left w:val="nil"/>
              <w:bottom w:val="single" w:sz="4" w:space="0" w:color="auto"/>
              <w:right w:val="single" w:sz="4" w:space="0" w:color="auto"/>
            </w:tcBorders>
            <w:shd w:val="clear" w:color="auto" w:fill="auto"/>
            <w:noWrap/>
            <w:vAlign w:val="center"/>
            <w:hideMark/>
          </w:tcPr>
          <w:p w14:paraId="33C6CF53" w14:textId="77777777" w:rsidR="002C2BB0" w:rsidRPr="0098635C" w:rsidRDefault="002C2BB0" w:rsidP="002C2BB0">
            <w:pPr>
              <w:keepNext/>
              <w:keepLines/>
              <w:ind w:right="215"/>
              <w:jc w:val="center"/>
              <w:rPr>
                <w:b/>
                <w:bCs/>
                <w:color w:val="000000"/>
                <w:sz w:val="20"/>
                <w:szCs w:val="20"/>
                <w:lang w:eastAsia="en-GB"/>
              </w:rPr>
            </w:pPr>
            <w:r w:rsidRPr="0098635C">
              <w:rPr>
                <w:b/>
                <w:bCs/>
                <w:color w:val="000000"/>
                <w:sz w:val="20"/>
                <w:szCs w:val="20"/>
                <w:lang w:eastAsia="en-GB"/>
              </w:rPr>
              <w:t>5.5-6.5</w:t>
            </w:r>
          </w:p>
        </w:tc>
        <w:tc>
          <w:tcPr>
            <w:tcW w:w="807" w:type="pct"/>
            <w:tcBorders>
              <w:top w:val="nil"/>
              <w:left w:val="nil"/>
              <w:bottom w:val="single" w:sz="4" w:space="0" w:color="auto"/>
              <w:right w:val="single" w:sz="4" w:space="0" w:color="auto"/>
            </w:tcBorders>
            <w:shd w:val="clear" w:color="auto" w:fill="auto"/>
            <w:noWrap/>
            <w:vAlign w:val="center"/>
            <w:hideMark/>
          </w:tcPr>
          <w:p w14:paraId="6D0C75DF" w14:textId="77777777" w:rsidR="002C2BB0" w:rsidRPr="0098635C" w:rsidRDefault="002C2BB0" w:rsidP="002C2BB0">
            <w:pPr>
              <w:keepNext/>
              <w:keepLines/>
              <w:ind w:left="24" w:right="215"/>
              <w:jc w:val="center"/>
              <w:rPr>
                <w:b/>
                <w:bCs/>
                <w:color w:val="000000"/>
                <w:sz w:val="20"/>
                <w:szCs w:val="20"/>
                <w:lang w:eastAsia="en-GB"/>
              </w:rPr>
            </w:pPr>
            <w:r w:rsidRPr="0098635C">
              <w:rPr>
                <w:b/>
                <w:bCs/>
                <w:color w:val="000000"/>
                <w:sz w:val="20"/>
                <w:szCs w:val="20"/>
                <w:lang w:eastAsia="en-GB"/>
              </w:rPr>
              <w:t>&gt;6.5-7.5</w:t>
            </w:r>
          </w:p>
        </w:tc>
        <w:tc>
          <w:tcPr>
            <w:tcW w:w="909" w:type="pct"/>
            <w:tcBorders>
              <w:top w:val="nil"/>
              <w:left w:val="nil"/>
              <w:bottom w:val="single" w:sz="4" w:space="0" w:color="auto"/>
              <w:right w:val="single" w:sz="4" w:space="0" w:color="auto"/>
            </w:tcBorders>
            <w:shd w:val="clear" w:color="auto" w:fill="auto"/>
            <w:noWrap/>
            <w:vAlign w:val="center"/>
            <w:hideMark/>
          </w:tcPr>
          <w:p w14:paraId="1212DA3C" w14:textId="77777777" w:rsidR="002C2BB0" w:rsidRPr="0098635C" w:rsidRDefault="002C2BB0" w:rsidP="002C2BB0">
            <w:pPr>
              <w:keepNext/>
              <w:keepLines/>
              <w:ind w:left="103" w:right="215"/>
              <w:jc w:val="center"/>
              <w:rPr>
                <w:b/>
                <w:bCs/>
                <w:color w:val="000000"/>
                <w:sz w:val="20"/>
                <w:szCs w:val="20"/>
                <w:lang w:eastAsia="en-GB"/>
              </w:rPr>
            </w:pPr>
            <w:r w:rsidRPr="0098635C">
              <w:rPr>
                <w:b/>
                <w:bCs/>
                <w:color w:val="000000"/>
                <w:sz w:val="20"/>
                <w:szCs w:val="20"/>
                <w:lang w:eastAsia="en-GB"/>
              </w:rPr>
              <w:t>&gt;7.5-8.5</w:t>
            </w:r>
          </w:p>
        </w:tc>
        <w:tc>
          <w:tcPr>
            <w:tcW w:w="911" w:type="pct"/>
            <w:tcBorders>
              <w:top w:val="nil"/>
              <w:left w:val="nil"/>
              <w:bottom w:val="single" w:sz="4" w:space="0" w:color="auto"/>
              <w:right w:val="single" w:sz="4" w:space="0" w:color="auto"/>
            </w:tcBorders>
            <w:shd w:val="clear" w:color="auto" w:fill="auto"/>
            <w:noWrap/>
            <w:vAlign w:val="center"/>
            <w:hideMark/>
          </w:tcPr>
          <w:p w14:paraId="784AEAC3" w14:textId="77777777" w:rsidR="002C2BB0" w:rsidRPr="0098635C" w:rsidRDefault="002C2BB0" w:rsidP="002C2BB0">
            <w:pPr>
              <w:keepNext/>
              <w:keepLines/>
              <w:ind w:right="215"/>
              <w:jc w:val="center"/>
              <w:rPr>
                <w:b/>
                <w:bCs/>
                <w:color w:val="000000"/>
                <w:sz w:val="20"/>
                <w:szCs w:val="20"/>
                <w:lang w:eastAsia="en-GB"/>
              </w:rPr>
            </w:pPr>
            <w:r w:rsidRPr="0098635C">
              <w:rPr>
                <w:b/>
                <w:bCs/>
                <w:color w:val="000000"/>
                <w:sz w:val="20"/>
                <w:szCs w:val="20"/>
                <w:lang w:eastAsia="en-GB"/>
              </w:rPr>
              <w:t>&gt;8.5-10</w:t>
            </w:r>
          </w:p>
        </w:tc>
      </w:tr>
      <w:tr w:rsidR="002C2BB0" w:rsidRPr="0098635C" w14:paraId="060CD967" w14:textId="77777777" w:rsidTr="002C2BB0">
        <w:trPr>
          <w:trHeight w:val="288"/>
          <w:jc w:val="center"/>
        </w:trPr>
        <w:tc>
          <w:tcPr>
            <w:tcW w:w="1465" w:type="pct"/>
            <w:vMerge/>
            <w:tcBorders>
              <w:left w:val="single" w:sz="4" w:space="0" w:color="auto"/>
              <w:bottom w:val="single" w:sz="4" w:space="0" w:color="auto"/>
              <w:right w:val="single" w:sz="4" w:space="0" w:color="auto"/>
            </w:tcBorders>
            <w:shd w:val="clear" w:color="auto" w:fill="auto"/>
            <w:noWrap/>
            <w:vAlign w:val="center"/>
          </w:tcPr>
          <w:p w14:paraId="15270A0E" w14:textId="77777777" w:rsidR="002C2BB0" w:rsidRPr="0098635C" w:rsidRDefault="002C2BB0" w:rsidP="002C2BB0">
            <w:pPr>
              <w:keepNext/>
              <w:keepLines/>
              <w:ind w:right="215"/>
              <w:rPr>
                <w:b/>
                <w:bCs/>
                <w:color w:val="000000"/>
                <w:sz w:val="20"/>
                <w:szCs w:val="20"/>
                <w:lang w:eastAsia="en-GB"/>
              </w:rPr>
            </w:pPr>
          </w:p>
        </w:tc>
        <w:tc>
          <w:tcPr>
            <w:tcW w:w="3535" w:type="pct"/>
            <w:gridSpan w:val="4"/>
            <w:tcBorders>
              <w:top w:val="nil"/>
              <w:left w:val="nil"/>
              <w:bottom w:val="single" w:sz="4" w:space="0" w:color="auto"/>
              <w:right w:val="single" w:sz="4" w:space="0" w:color="auto"/>
            </w:tcBorders>
            <w:shd w:val="clear" w:color="auto" w:fill="auto"/>
            <w:noWrap/>
            <w:vAlign w:val="center"/>
          </w:tcPr>
          <w:p w14:paraId="15B97010" w14:textId="77777777" w:rsidR="002C2BB0" w:rsidRPr="0098635C" w:rsidRDefault="002C2BB0" w:rsidP="002C2BB0">
            <w:pPr>
              <w:keepNext/>
              <w:keepLines/>
              <w:ind w:right="215"/>
              <w:jc w:val="center"/>
              <w:rPr>
                <w:b/>
                <w:color w:val="000000"/>
                <w:sz w:val="20"/>
                <w:szCs w:val="20"/>
                <w:lang w:eastAsia="en-GB"/>
              </w:rPr>
            </w:pPr>
            <w:r w:rsidRPr="0098635C">
              <w:rPr>
                <w:b/>
                <w:color w:val="000000"/>
                <w:sz w:val="20"/>
                <w:szCs w:val="20"/>
                <w:lang w:eastAsia="en-GB"/>
              </w:rPr>
              <w:t>Solubility (mg/L)</w:t>
            </w:r>
          </w:p>
        </w:tc>
      </w:tr>
      <w:tr w:rsidR="002C2BB0" w:rsidRPr="0098635C" w14:paraId="16C455A5" w14:textId="77777777" w:rsidTr="002C2BB0">
        <w:trPr>
          <w:trHeight w:val="288"/>
          <w:jc w:val="center"/>
        </w:trPr>
        <w:tc>
          <w:tcPr>
            <w:tcW w:w="1465" w:type="pct"/>
            <w:tcBorders>
              <w:top w:val="nil"/>
              <w:left w:val="single" w:sz="4" w:space="0" w:color="auto"/>
              <w:bottom w:val="single" w:sz="4" w:space="0" w:color="auto"/>
              <w:right w:val="single" w:sz="4" w:space="0" w:color="auto"/>
            </w:tcBorders>
            <w:shd w:val="clear" w:color="auto" w:fill="auto"/>
            <w:noWrap/>
            <w:vAlign w:val="center"/>
            <w:hideMark/>
          </w:tcPr>
          <w:p w14:paraId="35FCF1C0" w14:textId="77777777" w:rsidR="002C2BB0" w:rsidRPr="0098635C" w:rsidRDefault="002C2BB0" w:rsidP="002C2BB0">
            <w:pPr>
              <w:keepNext/>
              <w:keepLines/>
              <w:ind w:right="215"/>
              <w:rPr>
                <w:b/>
                <w:bCs/>
                <w:color w:val="000000"/>
                <w:sz w:val="20"/>
                <w:szCs w:val="20"/>
                <w:lang w:eastAsia="en-GB"/>
              </w:rPr>
            </w:pPr>
            <w:r w:rsidRPr="0098635C">
              <w:rPr>
                <w:b/>
                <w:bCs/>
                <w:color w:val="000000"/>
                <w:sz w:val="20"/>
                <w:szCs w:val="20"/>
                <w:lang w:eastAsia="en-GB"/>
              </w:rPr>
              <w:t>C</w:t>
            </w:r>
            <w:r w:rsidRPr="0098635C">
              <w:rPr>
                <w:b/>
                <w:bCs/>
                <w:color w:val="000000"/>
                <w:sz w:val="20"/>
                <w:szCs w:val="20"/>
                <w:lang w:eastAsia="en-GB"/>
              </w:rPr>
              <w:t>u</w:t>
            </w:r>
            <w:r w:rsidRPr="0098635C">
              <w:rPr>
                <w:b/>
                <w:bCs/>
                <w:color w:val="000000"/>
                <w:sz w:val="20"/>
                <w:szCs w:val="20"/>
                <w:lang w:eastAsia="en-GB"/>
              </w:rPr>
              <w:t>SO</w:t>
            </w:r>
            <w:r w:rsidRPr="0098635C">
              <w:rPr>
                <w:b/>
                <w:bCs/>
                <w:color w:val="000000"/>
                <w:sz w:val="20"/>
                <w:szCs w:val="20"/>
                <w:vertAlign w:val="subscript"/>
                <w:lang w:eastAsia="en-GB"/>
              </w:rPr>
              <w:t>4</w:t>
            </w:r>
            <w:r w:rsidRPr="0098635C">
              <w:rPr>
                <w:b/>
                <w:bCs/>
                <w:color w:val="000000"/>
                <w:sz w:val="20"/>
                <w:szCs w:val="20"/>
                <w:lang w:eastAsia="en-GB"/>
              </w:rPr>
              <w:t>.5H</w:t>
            </w:r>
            <w:r w:rsidRPr="0098635C">
              <w:rPr>
                <w:b/>
                <w:bCs/>
                <w:color w:val="000000"/>
                <w:sz w:val="20"/>
                <w:szCs w:val="20"/>
                <w:vertAlign w:val="subscript"/>
                <w:lang w:eastAsia="en-GB"/>
              </w:rPr>
              <w:t>2</w:t>
            </w:r>
            <w:r w:rsidRPr="0098635C">
              <w:rPr>
                <w:b/>
                <w:bCs/>
                <w:color w:val="000000"/>
                <w:sz w:val="20"/>
                <w:szCs w:val="20"/>
                <w:lang w:eastAsia="en-GB"/>
              </w:rPr>
              <w:t>O</w:t>
            </w:r>
          </w:p>
        </w:tc>
        <w:tc>
          <w:tcPr>
            <w:tcW w:w="3535" w:type="pct"/>
            <w:gridSpan w:val="4"/>
            <w:tcBorders>
              <w:top w:val="nil"/>
              <w:left w:val="nil"/>
              <w:bottom w:val="single" w:sz="4" w:space="0" w:color="auto"/>
              <w:right w:val="single" w:sz="4" w:space="0" w:color="auto"/>
            </w:tcBorders>
            <w:shd w:val="clear" w:color="auto" w:fill="auto"/>
            <w:noWrap/>
            <w:vAlign w:val="center"/>
            <w:hideMark/>
          </w:tcPr>
          <w:p w14:paraId="43D32878" w14:textId="77777777" w:rsidR="002C2BB0" w:rsidRPr="0098635C" w:rsidRDefault="002C2BB0" w:rsidP="002C2BB0">
            <w:pPr>
              <w:keepNext/>
              <w:keepLines/>
              <w:ind w:right="215"/>
              <w:jc w:val="center"/>
              <w:rPr>
                <w:color w:val="000000"/>
                <w:sz w:val="20"/>
                <w:szCs w:val="20"/>
                <w:lang w:eastAsia="en-GB"/>
              </w:rPr>
            </w:pPr>
            <w:r w:rsidRPr="0098635C">
              <w:rPr>
                <w:color w:val="000000"/>
                <w:sz w:val="20"/>
                <w:szCs w:val="20"/>
                <w:lang w:eastAsia="en-GB"/>
              </w:rPr>
              <w:t>220000</w:t>
            </w:r>
          </w:p>
        </w:tc>
      </w:tr>
      <w:tr w:rsidR="002C2BB0" w:rsidRPr="0098635C" w14:paraId="6F274805" w14:textId="77777777" w:rsidTr="002C2BB0">
        <w:trPr>
          <w:trHeight w:val="288"/>
          <w:jc w:val="center"/>
        </w:trPr>
        <w:tc>
          <w:tcPr>
            <w:tcW w:w="1465" w:type="pct"/>
            <w:tcBorders>
              <w:top w:val="nil"/>
              <w:left w:val="single" w:sz="4" w:space="0" w:color="auto"/>
              <w:bottom w:val="single" w:sz="4" w:space="0" w:color="auto"/>
              <w:right w:val="single" w:sz="4" w:space="0" w:color="auto"/>
            </w:tcBorders>
            <w:shd w:val="clear" w:color="auto" w:fill="auto"/>
            <w:noWrap/>
            <w:vAlign w:val="center"/>
          </w:tcPr>
          <w:p w14:paraId="05164A73" w14:textId="77777777" w:rsidR="002C2BB0" w:rsidRPr="0098635C" w:rsidRDefault="002C2BB0" w:rsidP="002C2BB0">
            <w:pPr>
              <w:keepNext/>
              <w:keepLines/>
              <w:ind w:right="215"/>
              <w:rPr>
                <w:b/>
                <w:bCs/>
                <w:color w:val="000000"/>
                <w:sz w:val="20"/>
                <w:szCs w:val="20"/>
                <w:lang w:eastAsia="en-GB"/>
              </w:rPr>
            </w:pPr>
            <w:r w:rsidRPr="0098635C">
              <w:rPr>
                <w:b/>
                <w:sz w:val="20"/>
                <w:szCs w:val="20"/>
                <w:lang w:val="it-IT"/>
              </w:rPr>
              <w:t>Cu</w:t>
            </w:r>
            <w:r w:rsidRPr="0098635C">
              <w:rPr>
                <w:b/>
                <w:sz w:val="20"/>
                <w:szCs w:val="20"/>
                <w:vertAlign w:val="subscript"/>
                <w:lang w:val="it-IT"/>
              </w:rPr>
              <w:t>2</w:t>
            </w:r>
            <w:r w:rsidRPr="0098635C">
              <w:rPr>
                <w:b/>
                <w:sz w:val="20"/>
                <w:szCs w:val="20"/>
                <w:lang w:val="it-IT"/>
              </w:rPr>
              <w:t>Cl(OH)</w:t>
            </w:r>
            <w:r w:rsidRPr="0098635C">
              <w:rPr>
                <w:b/>
                <w:sz w:val="20"/>
                <w:szCs w:val="20"/>
                <w:vertAlign w:val="subscript"/>
                <w:lang w:val="it-IT"/>
              </w:rPr>
              <w:t>3</w:t>
            </w:r>
          </w:p>
        </w:tc>
        <w:tc>
          <w:tcPr>
            <w:tcW w:w="909" w:type="pct"/>
            <w:tcBorders>
              <w:top w:val="nil"/>
              <w:left w:val="nil"/>
              <w:bottom w:val="single" w:sz="4" w:space="0" w:color="auto"/>
              <w:right w:val="single" w:sz="4" w:space="0" w:color="auto"/>
            </w:tcBorders>
            <w:shd w:val="clear" w:color="auto" w:fill="auto"/>
            <w:noWrap/>
            <w:vAlign w:val="center"/>
          </w:tcPr>
          <w:p w14:paraId="4332D766" w14:textId="77777777" w:rsidR="002C2BB0" w:rsidRPr="0098635C" w:rsidRDefault="002C2BB0" w:rsidP="002C2BB0">
            <w:pPr>
              <w:keepNext/>
              <w:keepLines/>
              <w:ind w:right="215"/>
              <w:jc w:val="center"/>
              <w:rPr>
                <w:color w:val="000000"/>
                <w:sz w:val="20"/>
                <w:szCs w:val="20"/>
                <w:lang w:eastAsia="en-GB"/>
              </w:rPr>
            </w:pPr>
            <w:r w:rsidRPr="0098635C">
              <w:rPr>
                <w:color w:val="000000"/>
                <w:sz w:val="20"/>
                <w:szCs w:val="20"/>
                <w:lang w:eastAsia="en-GB"/>
              </w:rPr>
              <w:t>1.19</w:t>
            </w:r>
          </w:p>
        </w:tc>
        <w:tc>
          <w:tcPr>
            <w:tcW w:w="807" w:type="pct"/>
            <w:tcBorders>
              <w:top w:val="nil"/>
              <w:left w:val="nil"/>
              <w:bottom w:val="single" w:sz="4" w:space="0" w:color="auto"/>
              <w:right w:val="single" w:sz="4" w:space="0" w:color="auto"/>
            </w:tcBorders>
            <w:shd w:val="clear" w:color="auto" w:fill="auto"/>
            <w:noWrap/>
            <w:vAlign w:val="center"/>
          </w:tcPr>
          <w:p w14:paraId="107E31AF" w14:textId="77777777" w:rsidR="002C2BB0" w:rsidRPr="0098635C" w:rsidRDefault="002C2BB0" w:rsidP="002C2BB0">
            <w:pPr>
              <w:keepNext/>
              <w:keepLines/>
              <w:ind w:right="215"/>
              <w:jc w:val="center"/>
              <w:rPr>
                <w:color w:val="000000"/>
                <w:sz w:val="20"/>
                <w:szCs w:val="20"/>
                <w:lang w:eastAsia="en-GB"/>
              </w:rPr>
            </w:pPr>
            <w:r w:rsidRPr="0098635C">
              <w:rPr>
                <w:color w:val="000000"/>
                <w:sz w:val="20"/>
                <w:szCs w:val="20"/>
                <w:lang w:eastAsia="en-GB"/>
              </w:rPr>
              <w:t>-</w:t>
            </w:r>
          </w:p>
        </w:tc>
        <w:tc>
          <w:tcPr>
            <w:tcW w:w="909" w:type="pct"/>
            <w:tcBorders>
              <w:top w:val="nil"/>
              <w:left w:val="nil"/>
              <w:bottom w:val="single" w:sz="4" w:space="0" w:color="auto"/>
              <w:right w:val="single" w:sz="4" w:space="0" w:color="auto"/>
            </w:tcBorders>
            <w:shd w:val="clear" w:color="auto" w:fill="auto"/>
            <w:noWrap/>
            <w:vAlign w:val="center"/>
          </w:tcPr>
          <w:p w14:paraId="5444C0F1" w14:textId="77777777" w:rsidR="002C2BB0" w:rsidRPr="0098635C" w:rsidRDefault="002C2BB0" w:rsidP="002C2BB0">
            <w:pPr>
              <w:keepNext/>
              <w:keepLines/>
              <w:ind w:right="215"/>
              <w:jc w:val="center"/>
              <w:rPr>
                <w:color w:val="000000"/>
                <w:sz w:val="20"/>
                <w:szCs w:val="20"/>
                <w:lang w:eastAsia="en-GB"/>
              </w:rPr>
            </w:pPr>
            <w:r w:rsidRPr="0098635C">
              <w:rPr>
                <w:color w:val="000000"/>
                <w:sz w:val="20"/>
                <w:szCs w:val="20"/>
                <w:lang w:eastAsia="en-GB"/>
              </w:rPr>
              <w:t>-</w:t>
            </w:r>
          </w:p>
        </w:tc>
        <w:tc>
          <w:tcPr>
            <w:tcW w:w="911" w:type="pct"/>
            <w:tcBorders>
              <w:top w:val="nil"/>
              <w:left w:val="nil"/>
              <w:bottom w:val="single" w:sz="4" w:space="0" w:color="auto"/>
              <w:right w:val="single" w:sz="4" w:space="0" w:color="auto"/>
            </w:tcBorders>
            <w:shd w:val="clear" w:color="auto" w:fill="auto"/>
            <w:noWrap/>
            <w:vAlign w:val="center"/>
          </w:tcPr>
          <w:p w14:paraId="6CAACA7E" w14:textId="77777777" w:rsidR="002C2BB0" w:rsidRPr="0098635C" w:rsidRDefault="002C2BB0" w:rsidP="002C2BB0">
            <w:pPr>
              <w:keepNext/>
              <w:keepLines/>
              <w:ind w:right="215"/>
              <w:jc w:val="center"/>
              <w:rPr>
                <w:color w:val="000000"/>
                <w:sz w:val="20"/>
                <w:szCs w:val="20"/>
                <w:lang w:eastAsia="en-GB"/>
              </w:rPr>
            </w:pPr>
            <w:r w:rsidRPr="0098635C">
              <w:rPr>
                <w:color w:val="000000"/>
                <w:sz w:val="20"/>
                <w:szCs w:val="20"/>
                <w:lang w:eastAsia="en-GB"/>
              </w:rPr>
              <w:t>0.525</w:t>
            </w:r>
          </w:p>
        </w:tc>
      </w:tr>
      <w:tr w:rsidR="002C2BB0" w:rsidRPr="0098635C" w14:paraId="3C2D6E6D" w14:textId="77777777" w:rsidTr="002C2BB0">
        <w:trPr>
          <w:trHeight w:val="288"/>
          <w:jc w:val="center"/>
        </w:trPr>
        <w:tc>
          <w:tcPr>
            <w:tcW w:w="1465" w:type="pct"/>
            <w:tcBorders>
              <w:top w:val="nil"/>
              <w:left w:val="single" w:sz="4" w:space="0" w:color="auto"/>
              <w:bottom w:val="single" w:sz="4" w:space="0" w:color="auto"/>
              <w:right w:val="single" w:sz="4" w:space="0" w:color="auto"/>
            </w:tcBorders>
            <w:shd w:val="clear" w:color="auto" w:fill="auto"/>
            <w:noWrap/>
            <w:vAlign w:val="center"/>
          </w:tcPr>
          <w:p w14:paraId="5102D895" w14:textId="77777777" w:rsidR="002C2BB0" w:rsidRPr="0098635C" w:rsidRDefault="002C2BB0" w:rsidP="002C2BB0">
            <w:pPr>
              <w:keepNext/>
              <w:keepLines/>
              <w:ind w:right="215"/>
              <w:rPr>
                <w:b/>
                <w:bCs/>
                <w:color w:val="000000"/>
                <w:sz w:val="20"/>
                <w:szCs w:val="20"/>
                <w:lang w:eastAsia="en-GB"/>
              </w:rPr>
            </w:pPr>
            <w:r w:rsidRPr="0098635C">
              <w:rPr>
                <w:b/>
                <w:bCs/>
                <w:color w:val="000000"/>
                <w:sz w:val="20"/>
                <w:szCs w:val="20"/>
                <w:lang w:eastAsia="en-GB"/>
              </w:rPr>
              <w:t>Cu</w:t>
            </w:r>
            <w:r w:rsidRPr="0098635C">
              <w:rPr>
                <w:b/>
                <w:bCs/>
                <w:color w:val="000000"/>
                <w:sz w:val="20"/>
                <w:szCs w:val="20"/>
                <w:vertAlign w:val="subscript"/>
                <w:lang w:eastAsia="en-GB"/>
              </w:rPr>
              <w:t>2</w:t>
            </w:r>
            <w:r w:rsidRPr="0098635C">
              <w:rPr>
                <w:b/>
                <w:bCs/>
                <w:color w:val="000000"/>
                <w:sz w:val="20"/>
                <w:szCs w:val="20"/>
                <w:lang w:eastAsia="en-GB"/>
              </w:rPr>
              <w:t>O</w:t>
            </w:r>
          </w:p>
        </w:tc>
        <w:tc>
          <w:tcPr>
            <w:tcW w:w="909" w:type="pct"/>
            <w:tcBorders>
              <w:top w:val="nil"/>
              <w:left w:val="nil"/>
              <w:bottom w:val="single" w:sz="4" w:space="0" w:color="auto"/>
              <w:right w:val="single" w:sz="4" w:space="0" w:color="auto"/>
            </w:tcBorders>
            <w:shd w:val="clear" w:color="auto" w:fill="auto"/>
            <w:noWrap/>
            <w:vAlign w:val="center"/>
          </w:tcPr>
          <w:p w14:paraId="753BB434" w14:textId="77777777" w:rsidR="002C2BB0" w:rsidRPr="0098635C" w:rsidRDefault="002C2BB0" w:rsidP="002C2BB0">
            <w:pPr>
              <w:keepNext/>
              <w:keepLines/>
              <w:ind w:right="215"/>
              <w:jc w:val="center"/>
              <w:rPr>
                <w:color w:val="000000"/>
                <w:sz w:val="20"/>
                <w:szCs w:val="20"/>
                <w:lang w:eastAsia="en-GB"/>
              </w:rPr>
            </w:pPr>
            <w:r w:rsidRPr="0098635C">
              <w:rPr>
                <w:color w:val="000000"/>
                <w:sz w:val="20"/>
                <w:szCs w:val="20"/>
                <w:lang w:eastAsia="en-GB"/>
              </w:rPr>
              <w:t>-</w:t>
            </w:r>
          </w:p>
        </w:tc>
        <w:tc>
          <w:tcPr>
            <w:tcW w:w="807" w:type="pct"/>
            <w:tcBorders>
              <w:top w:val="nil"/>
              <w:left w:val="nil"/>
              <w:bottom w:val="single" w:sz="4" w:space="0" w:color="auto"/>
              <w:right w:val="single" w:sz="4" w:space="0" w:color="auto"/>
            </w:tcBorders>
            <w:shd w:val="clear" w:color="auto" w:fill="auto"/>
            <w:noWrap/>
            <w:vAlign w:val="center"/>
          </w:tcPr>
          <w:p w14:paraId="0E7D1432" w14:textId="77777777" w:rsidR="002C2BB0" w:rsidRPr="0098635C" w:rsidRDefault="002C2BB0" w:rsidP="002C2BB0">
            <w:pPr>
              <w:keepNext/>
              <w:keepLines/>
              <w:ind w:right="215"/>
              <w:jc w:val="center"/>
              <w:rPr>
                <w:color w:val="000000"/>
                <w:sz w:val="20"/>
                <w:szCs w:val="20"/>
                <w:lang w:eastAsia="en-GB"/>
              </w:rPr>
            </w:pPr>
            <w:r w:rsidRPr="0098635C">
              <w:rPr>
                <w:color w:val="000000"/>
                <w:sz w:val="20"/>
                <w:szCs w:val="20"/>
                <w:lang w:eastAsia="en-GB"/>
              </w:rPr>
              <w:t>0.639</w:t>
            </w:r>
          </w:p>
        </w:tc>
        <w:tc>
          <w:tcPr>
            <w:tcW w:w="909" w:type="pct"/>
            <w:tcBorders>
              <w:top w:val="nil"/>
              <w:left w:val="nil"/>
              <w:bottom w:val="single" w:sz="4" w:space="0" w:color="auto"/>
              <w:right w:val="single" w:sz="4" w:space="0" w:color="auto"/>
            </w:tcBorders>
            <w:shd w:val="clear" w:color="auto" w:fill="auto"/>
            <w:noWrap/>
            <w:vAlign w:val="center"/>
          </w:tcPr>
          <w:p w14:paraId="6F7C8BD1" w14:textId="77777777" w:rsidR="002C2BB0" w:rsidRPr="0098635C" w:rsidRDefault="002C2BB0" w:rsidP="002C2BB0">
            <w:pPr>
              <w:keepNext/>
              <w:keepLines/>
              <w:ind w:right="215"/>
              <w:jc w:val="center"/>
              <w:rPr>
                <w:color w:val="000000"/>
                <w:sz w:val="20"/>
                <w:szCs w:val="20"/>
                <w:lang w:eastAsia="en-GB"/>
              </w:rPr>
            </w:pPr>
            <w:r w:rsidRPr="0098635C">
              <w:rPr>
                <w:color w:val="000000"/>
                <w:sz w:val="20"/>
                <w:szCs w:val="20"/>
                <w:lang w:eastAsia="en-GB"/>
              </w:rPr>
              <w:t>-</w:t>
            </w:r>
          </w:p>
        </w:tc>
        <w:tc>
          <w:tcPr>
            <w:tcW w:w="911" w:type="pct"/>
            <w:tcBorders>
              <w:top w:val="nil"/>
              <w:left w:val="nil"/>
              <w:bottom w:val="single" w:sz="4" w:space="0" w:color="auto"/>
              <w:right w:val="single" w:sz="4" w:space="0" w:color="auto"/>
            </w:tcBorders>
            <w:shd w:val="clear" w:color="auto" w:fill="auto"/>
            <w:noWrap/>
            <w:vAlign w:val="center"/>
          </w:tcPr>
          <w:p w14:paraId="180CBFF9" w14:textId="77777777" w:rsidR="002C2BB0" w:rsidRPr="0098635C" w:rsidRDefault="002C2BB0" w:rsidP="002C2BB0">
            <w:pPr>
              <w:keepNext/>
              <w:keepLines/>
              <w:ind w:right="215"/>
              <w:jc w:val="center"/>
              <w:rPr>
                <w:color w:val="000000"/>
                <w:sz w:val="20"/>
                <w:szCs w:val="20"/>
                <w:lang w:eastAsia="en-GB"/>
              </w:rPr>
            </w:pPr>
            <w:r w:rsidRPr="0098635C">
              <w:rPr>
                <w:color w:val="000000"/>
                <w:sz w:val="20"/>
                <w:szCs w:val="20"/>
                <w:lang w:eastAsia="en-GB"/>
              </w:rPr>
              <w:t>0.539</w:t>
            </w:r>
          </w:p>
        </w:tc>
      </w:tr>
      <w:tr w:rsidR="002C2BB0" w:rsidRPr="0098635C" w14:paraId="722A5507" w14:textId="77777777" w:rsidTr="002C2BB0">
        <w:trPr>
          <w:trHeight w:val="288"/>
          <w:jc w:val="center"/>
        </w:trPr>
        <w:tc>
          <w:tcPr>
            <w:tcW w:w="14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F22390" w14:textId="77777777" w:rsidR="002C2BB0" w:rsidRPr="0098635C" w:rsidRDefault="002C2BB0" w:rsidP="002C2BB0">
            <w:pPr>
              <w:keepNext/>
              <w:keepLines/>
              <w:ind w:right="215"/>
              <w:rPr>
                <w:b/>
                <w:bCs/>
                <w:color w:val="000000"/>
                <w:sz w:val="20"/>
                <w:szCs w:val="20"/>
                <w:lang w:eastAsia="en-GB"/>
              </w:rPr>
            </w:pPr>
            <w:r w:rsidRPr="0098635C">
              <w:rPr>
                <w:b/>
                <w:bCs/>
                <w:color w:val="000000"/>
                <w:sz w:val="20"/>
                <w:szCs w:val="20"/>
                <w:lang w:eastAsia="en-GB"/>
              </w:rPr>
              <w:t>CuO</w:t>
            </w:r>
          </w:p>
        </w:tc>
        <w:tc>
          <w:tcPr>
            <w:tcW w:w="909" w:type="pct"/>
            <w:tcBorders>
              <w:top w:val="single" w:sz="4" w:space="0" w:color="auto"/>
              <w:left w:val="nil"/>
              <w:bottom w:val="single" w:sz="4" w:space="0" w:color="auto"/>
              <w:right w:val="single" w:sz="4" w:space="0" w:color="auto"/>
            </w:tcBorders>
            <w:shd w:val="clear" w:color="auto" w:fill="auto"/>
            <w:noWrap/>
            <w:vAlign w:val="center"/>
          </w:tcPr>
          <w:p w14:paraId="254B2E98" w14:textId="77777777" w:rsidR="002C2BB0" w:rsidRPr="0098635C" w:rsidRDefault="002C2BB0" w:rsidP="002C2BB0">
            <w:pPr>
              <w:keepNext/>
              <w:keepLines/>
              <w:ind w:right="215"/>
              <w:jc w:val="center"/>
              <w:rPr>
                <w:color w:val="000000"/>
                <w:sz w:val="20"/>
                <w:szCs w:val="20"/>
                <w:lang w:eastAsia="en-GB"/>
              </w:rPr>
            </w:pPr>
            <w:r w:rsidRPr="0098635C">
              <w:rPr>
                <w:color w:val="000000"/>
                <w:sz w:val="20"/>
                <w:szCs w:val="20"/>
                <w:lang w:eastAsia="en-GB"/>
              </w:rPr>
              <w:t>0.394</w:t>
            </w:r>
          </w:p>
        </w:tc>
        <w:tc>
          <w:tcPr>
            <w:tcW w:w="807" w:type="pct"/>
            <w:tcBorders>
              <w:top w:val="single" w:sz="4" w:space="0" w:color="auto"/>
              <w:left w:val="nil"/>
              <w:bottom w:val="single" w:sz="4" w:space="0" w:color="auto"/>
              <w:right w:val="single" w:sz="4" w:space="0" w:color="auto"/>
            </w:tcBorders>
            <w:shd w:val="clear" w:color="auto" w:fill="auto"/>
            <w:noWrap/>
            <w:vAlign w:val="center"/>
          </w:tcPr>
          <w:p w14:paraId="50474A8B" w14:textId="77777777" w:rsidR="002C2BB0" w:rsidRPr="0098635C" w:rsidRDefault="002C2BB0" w:rsidP="002C2BB0">
            <w:pPr>
              <w:keepNext/>
              <w:keepLines/>
              <w:ind w:right="215"/>
              <w:jc w:val="center"/>
              <w:rPr>
                <w:color w:val="000000"/>
                <w:sz w:val="20"/>
                <w:szCs w:val="20"/>
                <w:lang w:eastAsia="en-GB"/>
              </w:rPr>
            </w:pPr>
            <w:r w:rsidRPr="0098635C">
              <w:rPr>
                <w:color w:val="000000"/>
                <w:sz w:val="20"/>
                <w:szCs w:val="20"/>
                <w:lang w:eastAsia="en-GB"/>
              </w:rPr>
              <w:t>-</w:t>
            </w:r>
          </w:p>
        </w:tc>
        <w:tc>
          <w:tcPr>
            <w:tcW w:w="909" w:type="pct"/>
            <w:tcBorders>
              <w:top w:val="single" w:sz="4" w:space="0" w:color="auto"/>
              <w:left w:val="nil"/>
              <w:bottom w:val="single" w:sz="4" w:space="0" w:color="auto"/>
              <w:right w:val="single" w:sz="4" w:space="0" w:color="auto"/>
            </w:tcBorders>
            <w:shd w:val="clear" w:color="auto" w:fill="auto"/>
            <w:noWrap/>
            <w:vAlign w:val="center"/>
          </w:tcPr>
          <w:p w14:paraId="5A03A1B8" w14:textId="77777777" w:rsidR="002C2BB0" w:rsidRPr="0098635C" w:rsidRDefault="002C2BB0" w:rsidP="002C2BB0">
            <w:pPr>
              <w:keepNext/>
              <w:keepLines/>
              <w:ind w:right="215"/>
              <w:jc w:val="center"/>
              <w:rPr>
                <w:color w:val="000000"/>
                <w:sz w:val="20"/>
                <w:szCs w:val="20"/>
                <w:lang w:eastAsia="en-GB"/>
              </w:rPr>
            </w:pPr>
            <w:r w:rsidRPr="0098635C">
              <w:rPr>
                <w:color w:val="000000"/>
                <w:sz w:val="20"/>
                <w:szCs w:val="20"/>
                <w:lang w:eastAsia="en-GB"/>
              </w:rPr>
              <w:t>-</w:t>
            </w:r>
          </w:p>
        </w:tc>
        <w:tc>
          <w:tcPr>
            <w:tcW w:w="911" w:type="pct"/>
            <w:tcBorders>
              <w:top w:val="single" w:sz="4" w:space="0" w:color="auto"/>
              <w:left w:val="nil"/>
              <w:bottom w:val="single" w:sz="4" w:space="0" w:color="auto"/>
              <w:right w:val="single" w:sz="4" w:space="0" w:color="auto"/>
            </w:tcBorders>
            <w:shd w:val="clear" w:color="auto" w:fill="auto"/>
            <w:noWrap/>
            <w:vAlign w:val="center"/>
          </w:tcPr>
          <w:p w14:paraId="585FE6E9" w14:textId="77777777" w:rsidR="002C2BB0" w:rsidRPr="0098635C" w:rsidRDefault="002C2BB0" w:rsidP="002C2BB0">
            <w:pPr>
              <w:keepNext/>
              <w:keepLines/>
              <w:ind w:right="215"/>
              <w:jc w:val="center"/>
              <w:rPr>
                <w:color w:val="000000"/>
                <w:sz w:val="20"/>
                <w:szCs w:val="20"/>
                <w:lang w:eastAsia="en-GB"/>
              </w:rPr>
            </w:pPr>
            <w:r w:rsidRPr="0098635C">
              <w:rPr>
                <w:color w:val="000000"/>
                <w:sz w:val="20"/>
                <w:szCs w:val="20"/>
                <w:lang w:eastAsia="en-GB"/>
              </w:rPr>
              <w:t>0.01</w:t>
            </w:r>
          </w:p>
        </w:tc>
      </w:tr>
    </w:tbl>
    <w:p w14:paraId="5D0CEC52" w14:textId="77777777" w:rsidR="002C2BB0" w:rsidRPr="0098635C" w:rsidRDefault="002C2BB0" w:rsidP="002C2BB0">
      <w:pPr>
        <w:rPr>
          <w:color w:val="FF0000"/>
          <w:sz w:val="20"/>
          <w:szCs w:val="20"/>
        </w:rPr>
      </w:pPr>
    </w:p>
    <w:p w14:paraId="171F7956" w14:textId="14084D35" w:rsidR="002C2BB0" w:rsidRPr="0098635C" w:rsidRDefault="002C2BB0">
      <w:pPr>
        <w:widowControl/>
        <w:autoSpaceDE/>
        <w:autoSpaceDN/>
        <w:adjustRightInd/>
        <w:spacing w:after="0"/>
        <w:jc w:val="left"/>
        <w:rPr>
          <w:rFonts w:ascii="Times New Roman Bold" w:hAnsi="Times New Roman Bold"/>
          <w:b/>
          <w:bCs/>
          <w:color w:val="000000" w:themeColor="text1"/>
          <w:sz w:val="20"/>
          <w:szCs w:val="20"/>
          <w:lang w:val="en-US"/>
        </w:rPr>
      </w:pPr>
      <w:r w:rsidRPr="0098635C">
        <w:rPr>
          <w:color w:val="000000" w:themeColor="text1"/>
          <w:sz w:val="20"/>
          <w:szCs w:val="20"/>
        </w:rPr>
        <w:br w:type="page"/>
      </w:r>
    </w:p>
    <w:p w14:paraId="20637752" w14:textId="2E757F9F" w:rsidR="00453B28" w:rsidRPr="0098635C" w:rsidRDefault="00800666" w:rsidP="0098635C">
      <w:pPr>
        <w:pStyle w:val="Caption"/>
        <w:ind w:left="0"/>
        <w:jc w:val="center"/>
        <w:rPr>
          <w:color w:val="000000" w:themeColor="text1"/>
          <w:sz w:val="32"/>
        </w:rPr>
      </w:pPr>
      <w:r w:rsidRPr="0098635C">
        <w:rPr>
          <w:color w:val="000000" w:themeColor="text1"/>
          <w:sz w:val="32"/>
        </w:rPr>
        <w:lastRenderedPageBreak/>
        <w:t>S</w:t>
      </w:r>
      <w:r w:rsidR="00B05271" w:rsidRPr="0098635C">
        <w:rPr>
          <w:color w:val="000000" w:themeColor="text1"/>
          <w:sz w:val="32"/>
        </w:rPr>
        <w:t>IDS Initial Assessment Report</w:t>
      </w:r>
    </w:p>
    <w:p w14:paraId="22E5471A" w14:textId="6BEDE415" w:rsidR="00B05271" w:rsidRPr="0098635C" w:rsidRDefault="00B05271">
      <w:pPr>
        <w:pStyle w:val="CoverTitle"/>
        <w:rPr>
          <w:color w:val="000000" w:themeColor="text1"/>
          <w:sz w:val="20"/>
        </w:rPr>
      </w:pPr>
      <w:r w:rsidRPr="0098635C">
        <w:rPr>
          <w:color w:val="000000" w:themeColor="text1"/>
          <w:sz w:val="20"/>
        </w:rPr>
        <w:t>For</w:t>
      </w:r>
    </w:p>
    <w:p w14:paraId="0F89D49E" w14:textId="0F1A2D55" w:rsidR="00B05271" w:rsidRDefault="00296880" w:rsidP="00E54D6F">
      <w:pPr>
        <w:pStyle w:val="BodyText"/>
        <w:jc w:val="center"/>
        <w:rPr>
          <w:color w:val="000000" w:themeColor="text1"/>
          <w:sz w:val="20"/>
        </w:rPr>
      </w:pPr>
      <w:r w:rsidRPr="0098635C">
        <w:rPr>
          <w:color w:val="000000" w:themeColor="text1"/>
          <w:sz w:val="20"/>
        </w:rPr>
        <w:t>CoCAM</w:t>
      </w:r>
      <w:r w:rsidR="00B05271" w:rsidRPr="0098635C">
        <w:rPr>
          <w:color w:val="000000" w:themeColor="text1"/>
          <w:sz w:val="20"/>
        </w:rPr>
        <w:t xml:space="preserve"> </w:t>
      </w:r>
      <w:r w:rsidR="0098635C">
        <w:rPr>
          <w:color w:val="000000" w:themeColor="text1"/>
          <w:sz w:val="20"/>
        </w:rPr>
        <w:t>6</w:t>
      </w:r>
    </w:p>
    <w:p w14:paraId="7A49DCAF" w14:textId="4FA326A3" w:rsidR="0098635C" w:rsidRPr="0098635C" w:rsidRDefault="0098635C" w:rsidP="00E54D6F">
      <w:pPr>
        <w:pStyle w:val="BodyText"/>
        <w:jc w:val="center"/>
        <w:rPr>
          <w:color w:val="000000" w:themeColor="text1"/>
          <w:sz w:val="16"/>
        </w:rPr>
      </w:pPr>
      <w:r w:rsidRPr="0098635C">
        <w:rPr>
          <w:sz w:val="20"/>
        </w:rPr>
        <w:t>30 - 03 October, 2014</w:t>
      </w:r>
    </w:p>
    <w:tbl>
      <w:tblPr>
        <w:tblW w:w="9855" w:type="dxa"/>
        <w:tblLayout w:type="fixed"/>
        <w:tblLook w:val="0000" w:firstRow="0" w:lastRow="0" w:firstColumn="0" w:lastColumn="0" w:noHBand="0" w:noVBand="0"/>
      </w:tblPr>
      <w:tblGrid>
        <w:gridCol w:w="3348"/>
        <w:gridCol w:w="6507"/>
      </w:tblGrid>
      <w:tr w:rsidR="00B05271" w:rsidRPr="0098635C" w14:paraId="7D0F615D" w14:textId="77777777" w:rsidTr="0098635C">
        <w:trPr>
          <w:trHeight w:val="1544"/>
        </w:trPr>
        <w:tc>
          <w:tcPr>
            <w:tcW w:w="3348" w:type="dxa"/>
          </w:tcPr>
          <w:p w14:paraId="35AE7D14" w14:textId="77777777" w:rsidR="00B05271" w:rsidRPr="0098635C" w:rsidRDefault="00B05271" w:rsidP="00EA5E4C">
            <w:pPr>
              <w:pStyle w:val="BodyText"/>
              <w:tabs>
                <w:tab w:val="left" w:pos="360"/>
              </w:tabs>
              <w:jc w:val="left"/>
              <w:rPr>
                <w:b/>
                <w:bCs/>
                <w:color w:val="000000" w:themeColor="text1"/>
                <w:sz w:val="20"/>
              </w:rPr>
            </w:pPr>
            <w:r w:rsidRPr="0098635C">
              <w:rPr>
                <w:b/>
                <w:bCs/>
                <w:color w:val="000000" w:themeColor="text1"/>
                <w:sz w:val="20"/>
              </w:rPr>
              <w:t>1</w:t>
            </w:r>
            <w:r w:rsidR="001B0274" w:rsidRPr="0098635C">
              <w:rPr>
                <w:b/>
                <w:bCs/>
                <w:color w:val="000000" w:themeColor="text1"/>
                <w:sz w:val="20"/>
              </w:rPr>
              <w:t>{</w:t>
            </w:r>
            <w:r w:rsidR="00EA5E4C" w:rsidRPr="0098635C">
              <w:rPr>
                <w:b/>
                <w:bCs/>
                <w:color w:val="000000" w:themeColor="text1"/>
                <w:sz w:val="20"/>
              </w:rPr>
              <w:t>a</w:t>
            </w:r>
            <w:r w:rsidR="001B0274" w:rsidRPr="0098635C">
              <w:rPr>
                <w:b/>
                <w:bCs/>
                <w:color w:val="000000" w:themeColor="text1"/>
                <w:sz w:val="20"/>
              </w:rPr>
              <w:t>}</w:t>
            </w:r>
            <w:r w:rsidRPr="0098635C">
              <w:rPr>
                <w:b/>
                <w:bCs/>
                <w:color w:val="000000" w:themeColor="text1"/>
                <w:sz w:val="20"/>
              </w:rPr>
              <w:t>.</w:t>
            </w:r>
            <w:r w:rsidR="00EA5E4C" w:rsidRPr="0098635C">
              <w:rPr>
                <w:b/>
                <w:bCs/>
                <w:color w:val="000000" w:themeColor="text1"/>
                <w:sz w:val="20"/>
              </w:rPr>
              <w:t xml:space="preserve"> </w:t>
            </w:r>
            <w:r w:rsidRPr="0098635C">
              <w:rPr>
                <w:b/>
                <w:bCs/>
                <w:color w:val="000000" w:themeColor="text1"/>
                <w:sz w:val="20"/>
              </w:rPr>
              <w:t>Chemical Name</w:t>
            </w:r>
            <w:r w:rsidR="00AD1CAF" w:rsidRPr="0098635C">
              <w:rPr>
                <w:b/>
                <w:bCs/>
                <w:color w:val="000000" w:themeColor="text1"/>
                <w:sz w:val="20"/>
              </w:rPr>
              <w:t>(s)</w:t>
            </w:r>
            <w:r w:rsidRPr="0098635C">
              <w:rPr>
                <w:b/>
                <w:bCs/>
                <w:color w:val="000000" w:themeColor="text1"/>
                <w:sz w:val="20"/>
              </w:rPr>
              <w:t>:</w:t>
            </w:r>
          </w:p>
        </w:tc>
        <w:tc>
          <w:tcPr>
            <w:tcW w:w="6507" w:type="dxa"/>
          </w:tcPr>
          <w:p w14:paraId="02012D47" w14:textId="5390E190" w:rsidR="00933D01" w:rsidRPr="0098635C" w:rsidRDefault="00933D01" w:rsidP="00E54D6F">
            <w:pPr>
              <w:spacing w:after="0"/>
              <w:rPr>
                <w:color w:val="000000" w:themeColor="text1"/>
                <w:sz w:val="20"/>
                <w:szCs w:val="20"/>
              </w:rPr>
            </w:pPr>
            <w:r w:rsidRPr="0098635C">
              <w:rPr>
                <w:color w:val="000000" w:themeColor="text1"/>
                <w:sz w:val="20"/>
                <w:szCs w:val="20"/>
              </w:rPr>
              <w:t xml:space="preserve">Copper </w:t>
            </w:r>
            <w:r w:rsidR="00FC258F" w:rsidRPr="0098635C">
              <w:rPr>
                <w:color w:val="000000" w:themeColor="text1"/>
                <w:sz w:val="20"/>
                <w:szCs w:val="20"/>
              </w:rPr>
              <w:t>(copper powder and massive</w:t>
            </w:r>
            <w:r w:rsidR="00FC258F" w:rsidRPr="0098635C">
              <w:rPr>
                <w:rStyle w:val="FootnoteReference"/>
                <w:color w:val="000000" w:themeColor="text1"/>
                <w:sz w:val="20"/>
                <w:szCs w:val="20"/>
                <w:lang w:val="fr-FR"/>
              </w:rPr>
              <w:footnoteReference w:id="7"/>
            </w:r>
            <w:r w:rsidR="00FC258F" w:rsidRPr="0098635C">
              <w:rPr>
                <w:color w:val="000000" w:themeColor="text1"/>
                <w:sz w:val="20"/>
                <w:szCs w:val="20"/>
              </w:rPr>
              <w:t>)</w:t>
            </w:r>
          </w:p>
          <w:p w14:paraId="0232BB70" w14:textId="77777777" w:rsidR="00933D01" w:rsidRPr="0098635C" w:rsidRDefault="00933D01" w:rsidP="00E54D6F">
            <w:pPr>
              <w:spacing w:after="0"/>
              <w:rPr>
                <w:color w:val="000000" w:themeColor="text1"/>
                <w:sz w:val="20"/>
                <w:szCs w:val="20"/>
              </w:rPr>
            </w:pPr>
            <w:r w:rsidRPr="0098635C">
              <w:rPr>
                <w:color w:val="000000" w:themeColor="text1"/>
                <w:sz w:val="20"/>
                <w:szCs w:val="20"/>
              </w:rPr>
              <w:t>Copper sulphate</w:t>
            </w:r>
            <w:r w:rsidR="00A15BE7" w:rsidRPr="0098635C">
              <w:rPr>
                <w:color w:val="000000" w:themeColor="text1"/>
                <w:sz w:val="20"/>
                <w:szCs w:val="20"/>
              </w:rPr>
              <w:t xml:space="preserve"> pentahydrate</w:t>
            </w:r>
          </w:p>
          <w:p w14:paraId="6F4D6578" w14:textId="782A375D" w:rsidR="00933D01" w:rsidRPr="0098635C" w:rsidRDefault="00236182" w:rsidP="00E54D6F">
            <w:pPr>
              <w:spacing w:after="0"/>
              <w:rPr>
                <w:color w:val="000000" w:themeColor="text1"/>
                <w:sz w:val="20"/>
                <w:szCs w:val="20"/>
              </w:rPr>
            </w:pPr>
            <w:r w:rsidRPr="0098635C">
              <w:rPr>
                <w:color w:val="000000" w:themeColor="text1"/>
                <w:sz w:val="20"/>
                <w:szCs w:val="20"/>
              </w:rPr>
              <w:t>Copper (II) oxide</w:t>
            </w:r>
          </w:p>
          <w:p w14:paraId="073A9CC3" w14:textId="069AD3C3" w:rsidR="00E54D6F" w:rsidRPr="0098635C" w:rsidRDefault="00236182" w:rsidP="00E54D6F">
            <w:pPr>
              <w:spacing w:after="0"/>
              <w:rPr>
                <w:color w:val="000000" w:themeColor="text1"/>
                <w:sz w:val="20"/>
                <w:szCs w:val="20"/>
              </w:rPr>
            </w:pPr>
            <w:r w:rsidRPr="0098635C">
              <w:rPr>
                <w:color w:val="000000" w:themeColor="text1"/>
                <w:sz w:val="20"/>
                <w:szCs w:val="20"/>
              </w:rPr>
              <w:t>Copper (I) oxide</w:t>
            </w:r>
          </w:p>
          <w:p w14:paraId="6E9C8D86" w14:textId="77777777" w:rsidR="00B05271" w:rsidRPr="0098635C" w:rsidRDefault="00933D01" w:rsidP="00933D01">
            <w:pPr>
              <w:pStyle w:val="BodyText2"/>
              <w:rPr>
                <w:color w:val="000000" w:themeColor="text1"/>
                <w:sz w:val="20"/>
              </w:rPr>
            </w:pPr>
            <w:r w:rsidRPr="0098635C">
              <w:rPr>
                <w:color w:val="000000" w:themeColor="text1"/>
                <w:sz w:val="20"/>
              </w:rPr>
              <w:t>Dicopper chloride trihydroxide</w:t>
            </w:r>
          </w:p>
          <w:p w14:paraId="06EE3FB9" w14:textId="77777777" w:rsidR="00E54D6F" w:rsidRPr="0098635C" w:rsidRDefault="00E54D6F" w:rsidP="00933D01">
            <w:pPr>
              <w:pStyle w:val="BodyText2"/>
              <w:rPr>
                <w:color w:val="000000" w:themeColor="text1"/>
                <w:sz w:val="20"/>
              </w:rPr>
            </w:pPr>
          </w:p>
        </w:tc>
      </w:tr>
      <w:tr w:rsidR="00EA5E4C" w:rsidRPr="0098635C" w14:paraId="2957319D" w14:textId="77777777" w:rsidTr="0098635C">
        <w:tc>
          <w:tcPr>
            <w:tcW w:w="3348" w:type="dxa"/>
          </w:tcPr>
          <w:p w14:paraId="52171FB9" w14:textId="77777777" w:rsidR="00EA5E4C" w:rsidRPr="0098635C" w:rsidRDefault="001B0274" w:rsidP="00EA5E4C">
            <w:pPr>
              <w:pStyle w:val="BodyText"/>
              <w:tabs>
                <w:tab w:val="left" w:pos="360"/>
              </w:tabs>
              <w:jc w:val="left"/>
              <w:rPr>
                <w:b/>
                <w:bCs/>
                <w:color w:val="000000" w:themeColor="text1"/>
                <w:sz w:val="20"/>
              </w:rPr>
            </w:pPr>
            <w:r w:rsidRPr="0098635C">
              <w:rPr>
                <w:b/>
                <w:bCs/>
                <w:color w:val="000000" w:themeColor="text1"/>
                <w:sz w:val="20"/>
              </w:rPr>
              <w:t>{</w:t>
            </w:r>
            <w:r w:rsidR="00EA5E4C" w:rsidRPr="0098635C">
              <w:rPr>
                <w:b/>
                <w:bCs/>
                <w:color w:val="000000" w:themeColor="text1"/>
                <w:sz w:val="20"/>
              </w:rPr>
              <w:t>1b. Category Name:</w:t>
            </w:r>
            <w:r w:rsidRPr="0098635C">
              <w:rPr>
                <w:b/>
                <w:bCs/>
                <w:color w:val="000000" w:themeColor="text1"/>
                <w:sz w:val="20"/>
              </w:rPr>
              <w:t>}</w:t>
            </w:r>
          </w:p>
        </w:tc>
        <w:tc>
          <w:tcPr>
            <w:tcW w:w="6507" w:type="dxa"/>
          </w:tcPr>
          <w:p w14:paraId="5C28EE9F" w14:textId="77777777" w:rsidR="00EA5E4C" w:rsidRPr="0098635C" w:rsidRDefault="00933D01" w:rsidP="00933D01">
            <w:pPr>
              <w:pStyle w:val="BodyText2"/>
              <w:rPr>
                <w:color w:val="000000" w:themeColor="text1"/>
                <w:sz w:val="20"/>
              </w:rPr>
            </w:pPr>
            <w:r w:rsidRPr="0098635C">
              <w:rPr>
                <w:color w:val="000000" w:themeColor="text1"/>
                <w:sz w:val="20"/>
              </w:rPr>
              <w:t>Copper and co</w:t>
            </w:r>
            <w:r w:rsidR="004930D7" w:rsidRPr="0098635C">
              <w:rPr>
                <w:color w:val="000000" w:themeColor="text1"/>
                <w:sz w:val="20"/>
              </w:rPr>
              <w:t>p</w:t>
            </w:r>
            <w:r w:rsidRPr="0098635C">
              <w:rPr>
                <w:color w:val="000000" w:themeColor="text1"/>
                <w:sz w:val="20"/>
              </w:rPr>
              <w:t>per compounds</w:t>
            </w:r>
          </w:p>
        </w:tc>
      </w:tr>
      <w:tr w:rsidR="00B05271" w:rsidRPr="0098635C" w14:paraId="348E5E5D" w14:textId="77777777" w:rsidTr="0098635C">
        <w:tc>
          <w:tcPr>
            <w:tcW w:w="3348" w:type="dxa"/>
          </w:tcPr>
          <w:p w14:paraId="11172470" w14:textId="77777777" w:rsidR="00B05271" w:rsidRPr="0098635C" w:rsidRDefault="00B05271" w:rsidP="00EA5E4C">
            <w:pPr>
              <w:pStyle w:val="BodyText"/>
              <w:tabs>
                <w:tab w:val="left" w:pos="360"/>
              </w:tabs>
              <w:jc w:val="left"/>
              <w:rPr>
                <w:b/>
                <w:bCs/>
                <w:color w:val="000000" w:themeColor="text1"/>
                <w:sz w:val="20"/>
              </w:rPr>
            </w:pPr>
            <w:r w:rsidRPr="0098635C">
              <w:rPr>
                <w:b/>
                <w:bCs/>
                <w:color w:val="000000" w:themeColor="text1"/>
                <w:sz w:val="20"/>
              </w:rPr>
              <w:t>2.</w:t>
            </w:r>
            <w:r w:rsidR="00EA5E4C" w:rsidRPr="0098635C">
              <w:rPr>
                <w:b/>
                <w:bCs/>
                <w:color w:val="000000" w:themeColor="text1"/>
                <w:sz w:val="20"/>
              </w:rPr>
              <w:t xml:space="preserve"> </w:t>
            </w:r>
            <w:r w:rsidRPr="0098635C">
              <w:rPr>
                <w:b/>
                <w:bCs/>
                <w:color w:val="000000" w:themeColor="text1"/>
                <w:sz w:val="20"/>
              </w:rPr>
              <w:t>CAS Number</w:t>
            </w:r>
            <w:r w:rsidR="00AD1CAF" w:rsidRPr="0098635C">
              <w:rPr>
                <w:b/>
                <w:bCs/>
                <w:color w:val="000000" w:themeColor="text1"/>
                <w:sz w:val="20"/>
              </w:rPr>
              <w:t>(s)</w:t>
            </w:r>
            <w:r w:rsidR="006E4B57" w:rsidRPr="0098635C">
              <w:rPr>
                <w:b/>
                <w:bCs/>
                <w:color w:val="000000" w:themeColor="text1"/>
                <w:sz w:val="20"/>
              </w:rPr>
              <w:t xml:space="preserve"> and chemical name</w:t>
            </w:r>
            <w:r w:rsidRPr="0098635C">
              <w:rPr>
                <w:b/>
                <w:bCs/>
                <w:color w:val="000000" w:themeColor="text1"/>
                <w:sz w:val="20"/>
              </w:rPr>
              <w:t>:</w:t>
            </w:r>
          </w:p>
        </w:tc>
        <w:tc>
          <w:tcPr>
            <w:tcW w:w="6507" w:type="dxa"/>
          </w:tcPr>
          <w:p w14:paraId="3FDD8C58" w14:textId="7CBAA5BF" w:rsidR="00933D01" w:rsidRPr="0098635C" w:rsidRDefault="00933D01" w:rsidP="00E54D6F">
            <w:pPr>
              <w:spacing w:after="0"/>
              <w:rPr>
                <w:color w:val="000000" w:themeColor="text1"/>
                <w:sz w:val="20"/>
                <w:szCs w:val="20"/>
                <w:lang w:val="fr-FR"/>
              </w:rPr>
            </w:pPr>
            <w:r w:rsidRPr="0098635C">
              <w:rPr>
                <w:color w:val="000000" w:themeColor="text1"/>
                <w:sz w:val="20"/>
                <w:szCs w:val="20"/>
                <w:lang w:val="fr-FR"/>
              </w:rPr>
              <w:t>CAS 7440-50-8 (copper</w:t>
            </w:r>
            <w:r w:rsidR="00545D79" w:rsidRPr="0098635C">
              <w:rPr>
                <w:color w:val="000000" w:themeColor="text1"/>
                <w:sz w:val="20"/>
                <w:szCs w:val="20"/>
                <w:lang w:val="fr-FR"/>
              </w:rPr>
              <w:t xml:space="preserve"> powder and massive</w:t>
            </w:r>
            <w:r w:rsidR="00FC258F" w:rsidRPr="0098635C">
              <w:rPr>
                <w:color w:val="000000" w:themeColor="text1"/>
                <w:sz w:val="20"/>
                <w:szCs w:val="20"/>
                <w:vertAlign w:val="superscript"/>
                <w:lang w:val="fr-FR"/>
              </w:rPr>
              <w:t>1</w:t>
            </w:r>
            <w:r w:rsidRPr="0098635C">
              <w:rPr>
                <w:color w:val="000000" w:themeColor="text1"/>
                <w:sz w:val="20"/>
                <w:szCs w:val="20"/>
                <w:lang w:val="fr-FR"/>
              </w:rPr>
              <w:t>)</w:t>
            </w:r>
          </w:p>
          <w:p w14:paraId="315DD387" w14:textId="77777777" w:rsidR="00933D01" w:rsidRPr="0098635C" w:rsidRDefault="00933D01" w:rsidP="00E54D6F">
            <w:pPr>
              <w:spacing w:after="0"/>
              <w:rPr>
                <w:color w:val="000000" w:themeColor="text1"/>
                <w:sz w:val="20"/>
                <w:szCs w:val="20"/>
                <w:lang w:val="fr-FR"/>
              </w:rPr>
            </w:pPr>
            <w:r w:rsidRPr="0098635C">
              <w:rPr>
                <w:color w:val="000000" w:themeColor="text1"/>
                <w:sz w:val="20"/>
                <w:szCs w:val="20"/>
                <w:lang w:val="fr-FR"/>
              </w:rPr>
              <w:t>CAS 7758-98-7 (copper sulphate</w:t>
            </w:r>
            <w:r w:rsidR="002D0C31" w:rsidRPr="0098635C">
              <w:rPr>
                <w:color w:val="000000" w:themeColor="text1"/>
                <w:sz w:val="20"/>
                <w:szCs w:val="20"/>
                <w:lang w:val="fr-FR"/>
              </w:rPr>
              <w:t xml:space="preserve"> pentahydrate</w:t>
            </w:r>
            <w:r w:rsidRPr="0098635C">
              <w:rPr>
                <w:color w:val="000000" w:themeColor="text1"/>
                <w:sz w:val="20"/>
                <w:szCs w:val="20"/>
                <w:lang w:val="fr-FR"/>
              </w:rPr>
              <w:t>)</w:t>
            </w:r>
          </w:p>
          <w:p w14:paraId="7788A76C" w14:textId="1F757C49" w:rsidR="00933D01" w:rsidRPr="0098635C" w:rsidRDefault="00933D01" w:rsidP="00E54D6F">
            <w:pPr>
              <w:spacing w:after="0"/>
              <w:rPr>
                <w:color w:val="000000" w:themeColor="text1"/>
                <w:sz w:val="20"/>
                <w:szCs w:val="20"/>
                <w:lang w:val="fr-FR"/>
              </w:rPr>
            </w:pPr>
            <w:r w:rsidRPr="0098635C">
              <w:rPr>
                <w:color w:val="000000" w:themeColor="text1"/>
                <w:sz w:val="20"/>
                <w:szCs w:val="20"/>
                <w:lang w:val="fr-FR"/>
              </w:rPr>
              <w:t>CAS 1317-38-0 (</w:t>
            </w:r>
            <w:r w:rsidR="00236182" w:rsidRPr="0098635C">
              <w:rPr>
                <w:color w:val="000000" w:themeColor="text1"/>
                <w:sz w:val="20"/>
                <w:szCs w:val="20"/>
                <w:lang w:val="fr-FR"/>
              </w:rPr>
              <w:t>copper (II) oxide</w:t>
            </w:r>
            <w:r w:rsidRPr="0098635C">
              <w:rPr>
                <w:color w:val="000000" w:themeColor="text1"/>
                <w:sz w:val="20"/>
                <w:szCs w:val="20"/>
                <w:lang w:val="fr-FR"/>
              </w:rPr>
              <w:t>)</w:t>
            </w:r>
          </w:p>
          <w:p w14:paraId="508BE214" w14:textId="792DC592" w:rsidR="00933D01" w:rsidRPr="0098635C" w:rsidRDefault="00933D01" w:rsidP="00E54D6F">
            <w:pPr>
              <w:spacing w:after="0"/>
              <w:rPr>
                <w:color w:val="000000" w:themeColor="text1"/>
                <w:sz w:val="20"/>
                <w:szCs w:val="20"/>
                <w:lang w:val="fr-FR"/>
              </w:rPr>
            </w:pPr>
            <w:r w:rsidRPr="0098635C">
              <w:rPr>
                <w:color w:val="000000" w:themeColor="text1"/>
                <w:sz w:val="20"/>
                <w:szCs w:val="20"/>
                <w:lang w:val="fr-FR"/>
              </w:rPr>
              <w:t>CAS 1317-39-1 (</w:t>
            </w:r>
            <w:r w:rsidR="00236182" w:rsidRPr="0098635C">
              <w:rPr>
                <w:color w:val="000000" w:themeColor="text1"/>
                <w:sz w:val="20"/>
                <w:szCs w:val="20"/>
                <w:lang w:val="fr-FR"/>
              </w:rPr>
              <w:t>copper (I) oxide</w:t>
            </w:r>
            <w:r w:rsidRPr="0098635C">
              <w:rPr>
                <w:color w:val="000000" w:themeColor="text1"/>
                <w:sz w:val="20"/>
                <w:szCs w:val="20"/>
                <w:lang w:val="fr-FR"/>
              </w:rPr>
              <w:t>)</w:t>
            </w:r>
          </w:p>
          <w:p w14:paraId="216CFF3F" w14:textId="77777777" w:rsidR="00B05271" w:rsidRPr="0098635C" w:rsidRDefault="00933D01" w:rsidP="00E54D6F">
            <w:pPr>
              <w:spacing w:after="0"/>
              <w:rPr>
                <w:color w:val="000000" w:themeColor="text1"/>
                <w:sz w:val="20"/>
                <w:szCs w:val="20"/>
                <w:lang w:val="fr-FR"/>
              </w:rPr>
            </w:pPr>
            <w:r w:rsidRPr="0098635C">
              <w:rPr>
                <w:color w:val="000000" w:themeColor="text1"/>
                <w:sz w:val="20"/>
                <w:szCs w:val="20"/>
                <w:lang w:val="fr-FR"/>
              </w:rPr>
              <w:t>CAS 1332-65-6 (dicopper chloride trihydroxide)</w:t>
            </w:r>
          </w:p>
          <w:p w14:paraId="6D88CF87" w14:textId="77777777" w:rsidR="00E54D6F" w:rsidRPr="0098635C" w:rsidRDefault="00E54D6F" w:rsidP="00E54D6F">
            <w:pPr>
              <w:spacing w:after="0"/>
              <w:rPr>
                <w:color w:val="000000" w:themeColor="text1"/>
                <w:sz w:val="20"/>
                <w:szCs w:val="20"/>
                <w:lang w:val="fr-FR"/>
              </w:rPr>
            </w:pPr>
          </w:p>
        </w:tc>
      </w:tr>
      <w:tr w:rsidR="00B05271" w:rsidRPr="0098635C" w14:paraId="5D411E8F" w14:textId="77777777" w:rsidTr="0098635C">
        <w:tc>
          <w:tcPr>
            <w:tcW w:w="3348" w:type="dxa"/>
          </w:tcPr>
          <w:p w14:paraId="54C6D40D" w14:textId="77777777" w:rsidR="00B05271" w:rsidRPr="0098635C" w:rsidRDefault="00B05271" w:rsidP="00EA5E4C">
            <w:pPr>
              <w:pStyle w:val="BodyText"/>
              <w:tabs>
                <w:tab w:val="left" w:pos="360"/>
              </w:tabs>
              <w:jc w:val="left"/>
              <w:rPr>
                <w:b/>
                <w:bCs/>
                <w:color w:val="000000" w:themeColor="text1"/>
                <w:sz w:val="20"/>
              </w:rPr>
            </w:pPr>
            <w:r w:rsidRPr="0098635C">
              <w:rPr>
                <w:b/>
                <w:bCs/>
                <w:color w:val="000000" w:themeColor="text1"/>
                <w:sz w:val="20"/>
              </w:rPr>
              <w:t>3.</w:t>
            </w:r>
            <w:r w:rsidR="00EA5E4C" w:rsidRPr="0098635C">
              <w:rPr>
                <w:b/>
                <w:bCs/>
                <w:color w:val="000000" w:themeColor="text1"/>
                <w:sz w:val="20"/>
              </w:rPr>
              <w:t xml:space="preserve"> </w:t>
            </w:r>
            <w:r w:rsidRPr="0098635C">
              <w:rPr>
                <w:b/>
                <w:bCs/>
                <w:color w:val="000000" w:themeColor="text1"/>
                <w:sz w:val="20"/>
              </w:rPr>
              <w:t>Sponsor:</w:t>
            </w:r>
          </w:p>
        </w:tc>
        <w:tc>
          <w:tcPr>
            <w:tcW w:w="6507" w:type="dxa"/>
          </w:tcPr>
          <w:p w14:paraId="6AC1CE63" w14:textId="77777777" w:rsidR="00E54D6F" w:rsidRPr="0098635C" w:rsidRDefault="00E54D6F" w:rsidP="00E54D6F">
            <w:pPr>
              <w:pStyle w:val="BodyText2"/>
              <w:rPr>
                <w:color w:val="000000" w:themeColor="text1"/>
                <w:sz w:val="20"/>
                <w:lang w:val="it-IT"/>
              </w:rPr>
            </w:pPr>
            <w:r w:rsidRPr="0098635C">
              <w:rPr>
                <w:color w:val="000000" w:themeColor="text1"/>
                <w:sz w:val="20"/>
                <w:lang w:val="it-IT"/>
              </w:rPr>
              <w:t>Istituto Superiore di Sanita</w:t>
            </w:r>
          </w:p>
          <w:p w14:paraId="281799BD" w14:textId="77777777" w:rsidR="00E54D6F" w:rsidRPr="0098635C" w:rsidRDefault="00E54D6F" w:rsidP="00E54D6F">
            <w:pPr>
              <w:pStyle w:val="BodyText2"/>
              <w:rPr>
                <w:color w:val="000000" w:themeColor="text1"/>
                <w:sz w:val="20"/>
                <w:lang w:val="it-IT"/>
              </w:rPr>
            </w:pPr>
            <w:r w:rsidRPr="0098635C">
              <w:rPr>
                <w:color w:val="000000" w:themeColor="text1"/>
                <w:sz w:val="20"/>
                <w:lang w:val="it-IT"/>
              </w:rPr>
              <w:t>Viale Regina Elena, 299, I-00161 Rome, Italy</w:t>
            </w:r>
          </w:p>
          <w:p w14:paraId="2C719F1C" w14:textId="3F57CCA9" w:rsidR="00E54D6F" w:rsidRPr="0098635C" w:rsidRDefault="00E54D6F" w:rsidP="00E54D6F">
            <w:pPr>
              <w:pStyle w:val="BodyText2"/>
              <w:rPr>
                <w:color w:val="000000" w:themeColor="text1"/>
                <w:sz w:val="20"/>
                <w:lang w:val="it-IT"/>
              </w:rPr>
            </w:pPr>
            <w:r w:rsidRPr="0098635C">
              <w:rPr>
                <w:color w:val="000000" w:themeColor="text1"/>
                <w:sz w:val="20"/>
                <w:lang w:val="it-IT"/>
              </w:rPr>
              <w:t xml:space="preserve">Leonello Attias </w:t>
            </w:r>
            <w:r w:rsidR="0098635C" w:rsidRPr="0098635C">
              <w:rPr>
                <w:color w:val="000000" w:themeColor="text1"/>
                <w:sz w:val="20"/>
                <w:lang w:val="it-IT"/>
              </w:rPr>
              <w:t xml:space="preserve"> </w:t>
            </w:r>
          </w:p>
          <w:p w14:paraId="1DF1B889" w14:textId="77777777" w:rsidR="00E54D6F" w:rsidRPr="0098635C" w:rsidRDefault="00E54D6F" w:rsidP="00E54D6F">
            <w:pPr>
              <w:pStyle w:val="BodyText2"/>
              <w:rPr>
                <w:color w:val="000000" w:themeColor="text1"/>
                <w:sz w:val="20"/>
                <w:lang w:val="it-IT"/>
              </w:rPr>
            </w:pPr>
          </w:p>
        </w:tc>
      </w:tr>
      <w:tr w:rsidR="00B05271" w:rsidRPr="0098635C" w14:paraId="6590E67E" w14:textId="77777777" w:rsidTr="0098635C">
        <w:tc>
          <w:tcPr>
            <w:tcW w:w="3348" w:type="dxa"/>
          </w:tcPr>
          <w:p w14:paraId="263E3608" w14:textId="77777777" w:rsidR="00B05271" w:rsidRPr="0098635C" w:rsidRDefault="00B05271" w:rsidP="00EA5E4C">
            <w:pPr>
              <w:pStyle w:val="BodyText"/>
              <w:tabs>
                <w:tab w:val="left" w:pos="360"/>
              </w:tabs>
              <w:ind w:left="360" w:hanging="360"/>
              <w:jc w:val="left"/>
              <w:rPr>
                <w:b/>
                <w:bCs/>
                <w:color w:val="000000" w:themeColor="text1"/>
                <w:sz w:val="20"/>
              </w:rPr>
            </w:pPr>
            <w:r w:rsidRPr="0098635C">
              <w:rPr>
                <w:b/>
                <w:bCs/>
                <w:color w:val="000000" w:themeColor="text1"/>
                <w:sz w:val="20"/>
              </w:rPr>
              <w:t>4.</w:t>
            </w:r>
            <w:r w:rsidR="00EA5E4C" w:rsidRPr="0098635C">
              <w:rPr>
                <w:b/>
                <w:bCs/>
                <w:color w:val="000000" w:themeColor="text1"/>
                <w:sz w:val="20"/>
              </w:rPr>
              <w:t xml:space="preserve"> </w:t>
            </w:r>
            <w:r w:rsidRPr="0098635C">
              <w:rPr>
                <w:b/>
                <w:bCs/>
                <w:color w:val="000000" w:themeColor="text1"/>
                <w:sz w:val="20"/>
              </w:rPr>
              <w:t>Shared Partnership with:</w:t>
            </w:r>
          </w:p>
        </w:tc>
        <w:tc>
          <w:tcPr>
            <w:tcW w:w="6507" w:type="dxa"/>
          </w:tcPr>
          <w:p w14:paraId="3BABA1D4" w14:textId="77777777" w:rsidR="00E54D6F" w:rsidRPr="0098635C" w:rsidRDefault="00E54D6F" w:rsidP="00E54D6F">
            <w:pPr>
              <w:pStyle w:val="BodyText2"/>
              <w:rPr>
                <w:color w:val="000000" w:themeColor="text1"/>
                <w:sz w:val="20"/>
                <w:lang w:val="nl-NL"/>
              </w:rPr>
            </w:pPr>
            <w:r w:rsidRPr="0098635C">
              <w:rPr>
                <w:color w:val="000000" w:themeColor="text1"/>
                <w:sz w:val="20"/>
                <w:lang w:val="nl-NL"/>
              </w:rPr>
              <w:t>European Copper Institute, Tervurenlaan, 168 - box 10</w:t>
            </w:r>
          </w:p>
          <w:p w14:paraId="426C2273" w14:textId="77777777" w:rsidR="00E54D6F" w:rsidRPr="0098635C" w:rsidRDefault="00E54D6F" w:rsidP="00E54D6F">
            <w:pPr>
              <w:pStyle w:val="BodyText2"/>
              <w:rPr>
                <w:color w:val="000000" w:themeColor="text1"/>
                <w:sz w:val="20"/>
                <w:lang w:val="nl-NL"/>
              </w:rPr>
            </w:pPr>
            <w:r w:rsidRPr="0098635C">
              <w:rPr>
                <w:color w:val="000000" w:themeColor="text1"/>
                <w:sz w:val="20"/>
                <w:lang w:val="nl-NL"/>
              </w:rPr>
              <w:t xml:space="preserve">1150 Brussels, Belgium. </w:t>
            </w:r>
          </w:p>
          <w:p w14:paraId="497266D9" w14:textId="46794B7E" w:rsidR="00E54D6F" w:rsidRPr="0098635C" w:rsidRDefault="00987585" w:rsidP="00E54D6F">
            <w:pPr>
              <w:pStyle w:val="BodyText2"/>
              <w:rPr>
                <w:color w:val="000000" w:themeColor="text1"/>
                <w:sz w:val="20"/>
                <w:lang w:val="nl-BE"/>
              </w:rPr>
            </w:pPr>
            <w:r w:rsidRPr="0098635C">
              <w:rPr>
                <w:color w:val="000000" w:themeColor="text1"/>
                <w:sz w:val="20"/>
                <w:lang w:val="nl-BE"/>
              </w:rPr>
              <w:t>Stijn Baken</w:t>
            </w:r>
            <w:r w:rsidR="00C75248" w:rsidRPr="0098635C">
              <w:rPr>
                <w:color w:val="000000" w:themeColor="text1"/>
                <w:sz w:val="20"/>
                <w:lang w:val="nl-BE"/>
              </w:rPr>
              <w:t>, Katia Lacasse,</w:t>
            </w:r>
            <w:r w:rsidRPr="0098635C">
              <w:rPr>
                <w:color w:val="000000" w:themeColor="text1"/>
                <w:sz w:val="20"/>
                <w:lang w:val="nl-BE"/>
              </w:rPr>
              <w:t xml:space="preserve"> and </w:t>
            </w:r>
            <w:r w:rsidR="00E54D6F" w:rsidRPr="0098635C">
              <w:rPr>
                <w:color w:val="000000" w:themeColor="text1"/>
                <w:sz w:val="20"/>
                <w:lang w:val="nl-BE"/>
              </w:rPr>
              <w:t>Katrien Delbeke</w:t>
            </w:r>
            <w:r w:rsidR="004E4C6D" w:rsidRPr="0098635C">
              <w:rPr>
                <w:color w:val="000000" w:themeColor="text1"/>
                <w:sz w:val="20"/>
                <w:lang w:val="nl-BE"/>
              </w:rPr>
              <w:t>,</w:t>
            </w:r>
            <w:r w:rsidR="00E54D6F" w:rsidRPr="0098635C">
              <w:rPr>
                <w:color w:val="000000" w:themeColor="text1"/>
                <w:sz w:val="20"/>
                <w:lang w:val="nl-BE"/>
              </w:rPr>
              <w:t xml:space="preserve"> </w:t>
            </w:r>
          </w:p>
          <w:p w14:paraId="44E08134" w14:textId="77777777" w:rsidR="00E54D6F" w:rsidRPr="0098635C" w:rsidRDefault="00E54D6F" w:rsidP="00E54D6F">
            <w:pPr>
              <w:pStyle w:val="BodyText2"/>
              <w:rPr>
                <w:color w:val="000000" w:themeColor="text1"/>
                <w:sz w:val="20"/>
                <w:lang w:val="nl-BE"/>
              </w:rPr>
            </w:pPr>
          </w:p>
          <w:p w14:paraId="73C970B8" w14:textId="77777777" w:rsidR="00E54D6F" w:rsidRPr="0098635C" w:rsidRDefault="00E54D6F" w:rsidP="00E54D6F">
            <w:pPr>
              <w:pStyle w:val="BodyText2"/>
              <w:rPr>
                <w:color w:val="000000" w:themeColor="text1"/>
                <w:sz w:val="20"/>
              </w:rPr>
            </w:pPr>
            <w:r w:rsidRPr="0098635C">
              <w:rPr>
                <w:color w:val="000000" w:themeColor="text1"/>
                <w:sz w:val="20"/>
              </w:rPr>
              <w:t>RCL – Regulatory Compliance Limited, secretartia</w:t>
            </w:r>
            <w:r w:rsidR="004E4C6D" w:rsidRPr="0098635C">
              <w:rPr>
                <w:color w:val="000000" w:themeColor="text1"/>
                <w:sz w:val="20"/>
              </w:rPr>
              <w:t>t</w:t>
            </w:r>
            <w:r w:rsidRPr="0098635C">
              <w:rPr>
                <w:color w:val="000000" w:themeColor="text1"/>
                <w:sz w:val="20"/>
              </w:rPr>
              <w:t xml:space="preserve"> for the copper compounds consortium. 5 Telford Gardens</w:t>
            </w:r>
          </w:p>
          <w:p w14:paraId="11F631F7" w14:textId="77777777" w:rsidR="00E54D6F" w:rsidRPr="0098635C" w:rsidRDefault="00E54D6F" w:rsidP="00E54D6F">
            <w:pPr>
              <w:pStyle w:val="BodyText2"/>
              <w:rPr>
                <w:color w:val="000000" w:themeColor="text1"/>
                <w:sz w:val="20"/>
              </w:rPr>
            </w:pPr>
            <w:r w:rsidRPr="0098635C">
              <w:rPr>
                <w:color w:val="000000" w:themeColor="text1"/>
                <w:sz w:val="20"/>
              </w:rPr>
              <w:t xml:space="preserve">Brewood, Staffordshire, UK ST19 9ED. </w:t>
            </w:r>
          </w:p>
          <w:p w14:paraId="4AEF9E18" w14:textId="23A833B1" w:rsidR="00E54D6F" w:rsidRPr="0098635C" w:rsidRDefault="00E54D6F" w:rsidP="0098635C">
            <w:pPr>
              <w:pStyle w:val="BodyText2"/>
              <w:rPr>
                <w:color w:val="000000" w:themeColor="text1"/>
                <w:sz w:val="20"/>
              </w:rPr>
            </w:pPr>
            <w:r w:rsidRPr="0098635C">
              <w:rPr>
                <w:color w:val="000000" w:themeColor="text1"/>
                <w:sz w:val="20"/>
              </w:rPr>
              <w:t>Carol Mackie</w:t>
            </w:r>
            <w:r w:rsidR="004E4C6D" w:rsidRPr="0098635C">
              <w:rPr>
                <w:color w:val="000000" w:themeColor="text1"/>
                <w:sz w:val="20"/>
              </w:rPr>
              <w:t>,</w:t>
            </w:r>
            <w:r w:rsidRPr="0098635C">
              <w:rPr>
                <w:color w:val="000000" w:themeColor="text1"/>
                <w:sz w:val="20"/>
              </w:rPr>
              <w:t xml:space="preserve"> </w:t>
            </w:r>
          </w:p>
        </w:tc>
      </w:tr>
      <w:tr w:rsidR="00B05271" w:rsidRPr="0098635C" w14:paraId="616E50CC" w14:textId="77777777" w:rsidTr="0098635C">
        <w:tc>
          <w:tcPr>
            <w:tcW w:w="3348" w:type="dxa"/>
          </w:tcPr>
          <w:p w14:paraId="02E75F92" w14:textId="77777777" w:rsidR="00B05271" w:rsidRPr="0098635C" w:rsidRDefault="001B0274" w:rsidP="00296880">
            <w:pPr>
              <w:pStyle w:val="BodyText"/>
              <w:tabs>
                <w:tab w:val="left" w:pos="360"/>
              </w:tabs>
              <w:ind w:left="360" w:hanging="360"/>
              <w:jc w:val="left"/>
              <w:rPr>
                <w:b/>
                <w:bCs/>
                <w:color w:val="000000" w:themeColor="text1"/>
                <w:sz w:val="20"/>
              </w:rPr>
            </w:pPr>
            <w:r w:rsidRPr="0098635C">
              <w:rPr>
                <w:b/>
                <w:bCs/>
                <w:color w:val="000000" w:themeColor="text1"/>
                <w:sz w:val="20"/>
              </w:rPr>
              <w:t>5</w:t>
            </w:r>
            <w:r w:rsidR="00B05271" w:rsidRPr="0098635C">
              <w:rPr>
                <w:b/>
                <w:bCs/>
                <w:color w:val="000000" w:themeColor="text1"/>
                <w:sz w:val="20"/>
              </w:rPr>
              <w:t>.</w:t>
            </w:r>
            <w:r w:rsidR="00B05271" w:rsidRPr="0098635C">
              <w:rPr>
                <w:b/>
                <w:bCs/>
                <w:color w:val="000000" w:themeColor="text1"/>
                <w:sz w:val="20"/>
              </w:rPr>
              <w:tab/>
              <w:t xml:space="preserve">Review </w:t>
            </w:r>
            <w:r w:rsidRPr="0098635C">
              <w:rPr>
                <w:b/>
                <w:bCs/>
                <w:color w:val="000000" w:themeColor="text1"/>
                <w:sz w:val="20"/>
              </w:rPr>
              <w:t xml:space="preserve">and Quality Check </w:t>
            </w:r>
            <w:r w:rsidR="00B05271" w:rsidRPr="0098635C">
              <w:rPr>
                <w:b/>
                <w:bCs/>
                <w:color w:val="000000" w:themeColor="text1"/>
                <w:sz w:val="20"/>
              </w:rPr>
              <w:t xml:space="preserve">Process Prior to </w:t>
            </w:r>
            <w:r w:rsidR="00296880" w:rsidRPr="0098635C">
              <w:rPr>
                <w:b/>
                <w:bCs/>
                <w:color w:val="000000" w:themeColor="text1"/>
                <w:sz w:val="20"/>
              </w:rPr>
              <w:t>CoCAM</w:t>
            </w:r>
            <w:r w:rsidR="00B05271" w:rsidRPr="0098635C">
              <w:rPr>
                <w:b/>
                <w:bCs/>
                <w:color w:val="000000" w:themeColor="text1"/>
                <w:sz w:val="20"/>
              </w:rPr>
              <w:t>:</w:t>
            </w:r>
          </w:p>
        </w:tc>
        <w:tc>
          <w:tcPr>
            <w:tcW w:w="6507" w:type="dxa"/>
          </w:tcPr>
          <w:p w14:paraId="014A17D2" w14:textId="3047C796" w:rsidR="00687C7F" w:rsidRPr="0098635C" w:rsidRDefault="00687C7F" w:rsidP="00687C7F">
            <w:pPr>
              <w:pStyle w:val="BodyText2"/>
              <w:rPr>
                <w:color w:val="000000" w:themeColor="text1"/>
                <w:sz w:val="20"/>
              </w:rPr>
            </w:pPr>
            <w:r w:rsidRPr="0098635C">
              <w:rPr>
                <w:color w:val="000000" w:themeColor="text1"/>
                <w:sz w:val="20"/>
              </w:rPr>
              <w:t>TCNES</w:t>
            </w:r>
            <w:r w:rsidR="004C10BC" w:rsidRPr="0098635C">
              <w:rPr>
                <w:color w:val="000000" w:themeColor="text1"/>
                <w:sz w:val="20"/>
              </w:rPr>
              <w:t>,</w:t>
            </w:r>
            <w:r w:rsidR="00C44075" w:rsidRPr="0098635C">
              <w:rPr>
                <w:color w:val="000000" w:themeColor="text1"/>
                <w:sz w:val="20"/>
              </w:rPr>
              <w:t xml:space="preserve"> </w:t>
            </w:r>
            <w:r w:rsidRPr="0098635C">
              <w:rPr>
                <w:color w:val="000000" w:themeColor="text1"/>
                <w:sz w:val="20"/>
              </w:rPr>
              <w:t xml:space="preserve">SCHER </w:t>
            </w:r>
            <w:r w:rsidR="004C10BC" w:rsidRPr="0098635C">
              <w:rPr>
                <w:color w:val="000000" w:themeColor="text1"/>
                <w:sz w:val="20"/>
              </w:rPr>
              <w:t xml:space="preserve"> and the Technical Committee for the Biocidal product Directive</w:t>
            </w:r>
          </w:p>
          <w:p w14:paraId="1280741D" w14:textId="77777777" w:rsidR="00B05271" w:rsidRPr="0098635C" w:rsidRDefault="00687C7F" w:rsidP="00687C7F">
            <w:pPr>
              <w:pStyle w:val="BodyText2"/>
              <w:rPr>
                <w:color w:val="000000" w:themeColor="text1"/>
                <w:sz w:val="20"/>
              </w:rPr>
            </w:pPr>
            <w:r w:rsidRPr="0098635C">
              <w:rPr>
                <w:color w:val="000000" w:themeColor="text1"/>
                <w:sz w:val="20"/>
              </w:rPr>
              <w:t>(</w:t>
            </w:r>
            <w:hyperlink r:id="rId9" w:history="1">
              <w:r w:rsidR="00343A1A" w:rsidRPr="0098635C">
                <w:rPr>
                  <w:rStyle w:val="Hyperlink"/>
                  <w:color w:val="000000" w:themeColor="text1"/>
                </w:rPr>
                <w:t>http://echa.europa.eu/web/guest/information-on-chemicals/transitional-measures/voluntary-risk-assessment-reports</w:t>
              </w:r>
            </w:hyperlink>
            <w:r w:rsidRPr="0098635C">
              <w:rPr>
                <w:color w:val="000000" w:themeColor="text1"/>
                <w:sz w:val="20"/>
              </w:rPr>
              <w:t>)</w:t>
            </w:r>
            <w:r w:rsidR="00343A1A" w:rsidRPr="0098635C">
              <w:rPr>
                <w:color w:val="000000" w:themeColor="text1"/>
                <w:sz w:val="20"/>
              </w:rPr>
              <w:t>; all data prior to 2008 were part of the EU voluntary risk assessment for copper, and were thoroughly evaluated on their quality and usefulness. Information from 2008 onwards were not part of this revaluation process</w:t>
            </w:r>
          </w:p>
          <w:p w14:paraId="64F33613" w14:textId="77777777" w:rsidR="00687C7F" w:rsidRPr="0098635C" w:rsidRDefault="00687C7F" w:rsidP="00687C7F">
            <w:pPr>
              <w:pStyle w:val="BodyText2"/>
              <w:rPr>
                <w:color w:val="000000" w:themeColor="text1"/>
                <w:sz w:val="20"/>
              </w:rPr>
            </w:pPr>
          </w:p>
        </w:tc>
      </w:tr>
      <w:tr w:rsidR="00B05271" w:rsidRPr="0098635C" w14:paraId="04D90E26" w14:textId="77777777" w:rsidTr="0098635C">
        <w:tc>
          <w:tcPr>
            <w:tcW w:w="3348" w:type="dxa"/>
          </w:tcPr>
          <w:p w14:paraId="26F860CD" w14:textId="77777777" w:rsidR="00B05271" w:rsidRPr="0098635C" w:rsidRDefault="001B0274" w:rsidP="001B0274">
            <w:pPr>
              <w:pStyle w:val="BodyText"/>
              <w:tabs>
                <w:tab w:val="left" w:pos="360"/>
              </w:tabs>
              <w:jc w:val="left"/>
              <w:rPr>
                <w:b/>
                <w:bCs/>
                <w:color w:val="000000" w:themeColor="text1"/>
                <w:sz w:val="20"/>
              </w:rPr>
            </w:pPr>
            <w:r w:rsidRPr="0098635C">
              <w:rPr>
                <w:b/>
                <w:bCs/>
                <w:color w:val="000000" w:themeColor="text1"/>
                <w:sz w:val="20"/>
              </w:rPr>
              <w:t>8</w:t>
            </w:r>
            <w:r w:rsidR="00B05271" w:rsidRPr="0098635C">
              <w:rPr>
                <w:b/>
                <w:bCs/>
                <w:color w:val="000000" w:themeColor="text1"/>
                <w:sz w:val="20"/>
              </w:rPr>
              <w:t>.</w:t>
            </w:r>
            <w:r w:rsidR="00EA5E4C" w:rsidRPr="0098635C">
              <w:rPr>
                <w:b/>
                <w:bCs/>
                <w:color w:val="000000" w:themeColor="text1"/>
                <w:sz w:val="20"/>
              </w:rPr>
              <w:t xml:space="preserve"> </w:t>
            </w:r>
            <w:r w:rsidR="00B05271" w:rsidRPr="0098635C">
              <w:rPr>
                <w:b/>
                <w:bCs/>
                <w:color w:val="000000" w:themeColor="text1"/>
                <w:sz w:val="20"/>
              </w:rPr>
              <w:t>Comments:</w:t>
            </w:r>
          </w:p>
        </w:tc>
        <w:tc>
          <w:tcPr>
            <w:tcW w:w="6507" w:type="dxa"/>
          </w:tcPr>
          <w:p w14:paraId="4694B912" w14:textId="77777777" w:rsidR="0098635C" w:rsidRDefault="0098635C" w:rsidP="0098635C">
            <w:r>
              <w:t>The summaries and evaluations contained in this assessment report may be based on unpublished proprietary data submitted for the purpose of the OECD assessment. In many cases, national/regional regulatory authorities will not accept a regulatory submission based on the summaries and evaluation of unpublished proprietary data contained in this [these] assessment report[s] unless they have received the data on which the summaries and evaluation are based, either from:</w:t>
            </w:r>
          </w:p>
          <w:p w14:paraId="528CB28B" w14:textId="77777777" w:rsidR="0098635C" w:rsidRDefault="0098635C" w:rsidP="0059369A">
            <w:pPr>
              <w:pStyle w:val="ListParagraph"/>
              <w:widowControl/>
              <w:numPr>
                <w:ilvl w:val="0"/>
                <w:numId w:val="49"/>
              </w:numPr>
              <w:autoSpaceDE/>
              <w:autoSpaceDN/>
              <w:adjustRightInd/>
              <w:spacing w:after="0"/>
              <w:contextualSpacing w:val="0"/>
            </w:pPr>
            <w:r>
              <w:t>the owner of the data; or</w:t>
            </w:r>
          </w:p>
          <w:p w14:paraId="7AAA5183" w14:textId="77777777" w:rsidR="0098635C" w:rsidRDefault="0098635C" w:rsidP="0059369A">
            <w:pPr>
              <w:pStyle w:val="ListParagraph"/>
              <w:widowControl/>
              <w:numPr>
                <w:ilvl w:val="0"/>
                <w:numId w:val="49"/>
              </w:numPr>
              <w:autoSpaceDE/>
              <w:autoSpaceDN/>
              <w:adjustRightInd/>
              <w:spacing w:after="0"/>
              <w:contextualSpacing w:val="0"/>
            </w:pPr>
            <w:r>
              <w:lastRenderedPageBreak/>
              <w:t>a second party that has obtained permission from the owner of the data for this purpose; or alternatively</w:t>
            </w:r>
          </w:p>
          <w:p w14:paraId="730618AE" w14:textId="77777777" w:rsidR="0098635C" w:rsidRDefault="0098635C" w:rsidP="0059369A">
            <w:pPr>
              <w:pStyle w:val="ListParagraph"/>
              <w:widowControl/>
              <w:numPr>
                <w:ilvl w:val="0"/>
                <w:numId w:val="49"/>
              </w:numPr>
              <w:autoSpaceDE/>
              <w:autoSpaceDN/>
              <w:adjustRightInd/>
              <w:spacing w:after="0"/>
              <w:contextualSpacing w:val="0"/>
            </w:pPr>
            <w:r>
              <w:t>the applicant has received permission from the data owner that the summary and evaluation contained in this [these] assessment report[s] may be used in lieu of the data; or</w:t>
            </w:r>
          </w:p>
          <w:p w14:paraId="4BEDC26C" w14:textId="77777777" w:rsidR="0098635C" w:rsidRDefault="0098635C" w:rsidP="0059369A">
            <w:pPr>
              <w:pStyle w:val="ListParagraph"/>
              <w:widowControl/>
              <w:numPr>
                <w:ilvl w:val="0"/>
                <w:numId w:val="49"/>
              </w:numPr>
              <w:autoSpaceDE/>
              <w:autoSpaceDN/>
              <w:adjustRightInd/>
              <w:spacing w:after="0"/>
              <w:contextualSpacing w:val="0"/>
            </w:pPr>
            <w:r>
              <w:t>following expiry of any period of exclusive use, mandatory compensation, where required, has been offered unless the period of protection for the proprietary data concerned has expired.</w:t>
            </w:r>
          </w:p>
          <w:p w14:paraId="7B4882C5" w14:textId="77777777" w:rsidR="0098635C" w:rsidRDefault="0098635C" w:rsidP="0098635C">
            <w:pPr>
              <w:rPr>
                <w:lang w:val="en-AU"/>
              </w:rPr>
            </w:pPr>
            <w:r>
              <w:rPr>
                <w:lang w:val="en-AU"/>
              </w:rPr>
              <w:t>Applicants who wish to use data in this assessment report should ensure that the use is consistent with the legal requirements in the country/region in which it is proposed to use the data.</w:t>
            </w:r>
          </w:p>
          <w:p w14:paraId="21A6535E" w14:textId="0F04CF63" w:rsidR="00B05271" w:rsidRPr="0098635C" w:rsidRDefault="00B05271">
            <w:pPr>
              <w:pStyle w:val="BodyText2"/>
              <w:rPr>
                <w:color w:val="000000" w:themeColor="text1"/>
                <w:sz w:val="20"/>
                <w:lang w:val="en-AU"/>
              </w:rPr>
            </w:pPr>
          </w:p>
        </w:tc>
      </w:tr>
    </w:tbl>
    <w:p w14:paraId="160088D8" w14:textId="540FDF5E" w:rsidR="0098635C" w:rsidRDefault="0098635C">
      <w:pPr>
        <w:pStyle w:val="CoverTitle"/>
        <w:rPr>
          <w:color w:val="000000" w:themeColor="text1"/>
          <w:sz w:val="20"/>
        </w:rPr>
      </w:pPr>
    </w:p>
    <w:p w14:paraId="7FF907AA" w14:textId="77777777" w:rsidR="0098635C" w:rsidRDefault="0098635C">
      <w:pPr>
        <w:widowControl/>
        <w:autoSpaceDE/>
        <w:autoSpaceDN/>
        <w:adjustRightInd/>
        <w:spacing w:after="0"/>
        <w:jc w:val="left"/>
        <w:rPr>
          <w:rFonts w:ascii="Times New Roman Bold" w:hAnsi="Times New Roman Bold"/>
          <w:b/>
          <w:color w:val="000000" w:themeColor="text1"/>
          <w:sz w:val="20"/>
          <w:szCs w:val="20"/>
        </w:rPr>
      </w:pPr>
      <w:r>
        <w:rPr>
          <w:color w:val="000000" w:themeColor="text1"/>
          <w:sz w:val="20"/>
        </w:rPr>
        <w:br w:type="page"/>
      </w:r>
    </w:p>
    <w:p w14:paraId="2E642C9A" w14:textId="77777777" w:rsidR="000438D2" w:rsidRPr="0098635C" w:rsidRDefault="000438D2">
      <w:pPr>
        <w:pStyle w:val="CoverTitle"/>
        <w:rPr>
          <w:color w:val="000000" w:themeColor="text1"/>
          <w:sz w:val="20"/>
        </w:rPr>
      </w:pPr>
    </w:p>
    <w:p w14:paraId="2D8E936C" w14:textId="77777777" w:rsidR="00453B28" w:rsidRPr="0098635C" w:rsidRDefault="00B05271">
      <w:pPr>
        <w:pStyle w:val="CoverTitle"/>
        <w:rPr>
          <w:color w:val="000000" w:themeColor="text1"/>
          <w:sz w:val="20"/>
        </w:rPr>
      </w:pPr>
      <w:r w:rsidRPr="0098635C">
        <w:rPr>
          <w:color w:val="000000" w:themeColor="text1"/>
          <w:sz w:val="20"/>
        </w:rPr>
        <w:t>SIDS Initial Assessment Report</w:t>
      </w:r>
      <w:r w:rsidR="00453B28" w:rsidRPr="0098635C">
        <w:rPr>
          <w:color w:val="000000" w:themeColor="text1"/>
          <w:sz w:val="20"/>
        </w:rPr>
        <w:t xml:space="preserve"> </w:t>
      </w:r>
    </w:p>
    <w:p w14:paraId="450B3244" w14:textId="486B2C4D" w:rsidR="00B05271" w:rsidRPr="0098635C" w:rsidRDefault="00B05271">
      <w:pPr>
        <w:pStyle w:val="Heading1"/>
        <w:rPr>
          <w:color w:val="000000" w:themeColor="text1"/>
          <w:sz w:val="20"/>
        </w:rPr>
      </w:pPr>
      <w:bookmarkStart w:id="32" w:name="_Toc32726012"/>
      <w:bookmarkStart w:id="33" w:name="_Toc32727195"/>
      <w:bookmarkStart w:id="34" w:name="_Toc43868640"/>
      <w:bookmarkStart w:id="35" w:name="_Toc200358228"/>
      <w:bookmarkStart w:id="36" w:name="_Toc200359244"/>
      <w:bookmarkStart w:id="37" w:name="_Toc471999235"/>
      <w:bookmarkStart w:id="38" w:name="_Toc472250847"/>
      <w:r w:rsidRPr="0098635C">
        <w:rPr>
          <w:color w:val="000000" w:themeColor="text1"/>
          <w:sz w:val="20"/>
        </w:rPr>
        <w:t>identity</w:t>
      </w:r>
      <w:bookmarkEnd w:id="32"/>
      <w:bookmarkEnd w:id="33"/>
      <w:bookmarkEnd w:id="34"/>
      <w:bookmarkEnd w:id="35"/>
      <w:bookmarkEnd w:id="36"/>
      <w:bookmarkEnd w:id="37"/>
      <w:bookmarkEnd w:id="38"/>
    </w:p>
    <w:p w14:paraId="599444BA" w14:textId="77777777" w:rsidR="00B05271" w:rsidRPr="0098635C" w:rsidRDefault="00B05271">
      <w:pPr>
        <w:pStyle w:val="Heading2"/>
        <w:rPr>
          <w:color w:val="000000" w:themeColor="text1"/>
          <w:sz w:val="20"/>
        </w:rPr>
      </w:pPr>
      <w:bookmarkStart w:id="39" w:name="_Toc32726013"/>
      <w:bookmarkStart w:id="40" w:name="_Toc32727196"/>
      <w:bookmarkStart w:id="41" w:name="_Toc43868641"/>
      <w:bookmarkStart w:id="42" w:name="_Toc200358229"/>
      <w:bookmarkStart w:id="43" w:name="_Toc200359245"/>
      <w:bookmarkStart w:id="44" w:name="_Toc471999236"/>
      <w:bookmarkStart w:id="45" w:name="_Toc472250848"/>
      <w:r w:rsidRPr="0098635C">
        <w:rPr>
          <w:color w:val="000000" w:themeColor="text1"/>
          <w:sz w:val="20"/>
        </w:rPr>
        <w:t>Identification of the Substance</w:t>
      </w:r>
      <w:bookmarkEnd w:id="39"/>
      <w:bookmarkEnd w:id="40"/>
      <w:bookmarkEnd w:id="41"/>
      <w:bookmarkEnd w:id="42"/>
      <w:bookmarkEnd w:id="43"/>
      <w:bookmarkEnd w:id="44"/>
      <w:bookmarkEnd w:id="45"/>
    </w:p>
    <w:tbl>
      <w:tblPr>
        <w:tblW w:w="10490" w:type="dxa"/>
        <w:tblInd w:w="-74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437"/>
        <w:gridCol w:w="1115"/>
        <w:gridCol w:w="1843"/>
        <w:gridCol w:w="2126"/>
        <w:gridCol w:w="1985"/>
        <w:gridCol w:w="1984"/>
      </w:tblGrid>
      <w:tr w:rsidR="00343A1A" w:rsidRPr="0098635C" w14:paraId="7B964C5F" w14:textId="77777777" w:rsidTr="0098635C">
        <w:tc>
          <w:tcPr>
            <w:tcW w:w="1437" w:type="dxa"/>
            <w:tcBorders>
              <w:top w:val="single" w:sz="12" w:space="0" w:color="auto"/>
              <w:bottom w:val="single" w:sz="12" w:space="0" w:color="auto"/>
              <w:right w:val="single" w:sz="12" w:space="0" w:color="auto"/>
            </w:tcBorders>
          </w:tcPr>
          <w:p w14:paraId="281D6E3C" w14:textId="77777777" w:rsidR="004C10BC" w:rsidRPr="0098635C" w:rsidRDefault="004C10BC" w:rsidP="00343A1A">
            <w:pPr>
              <w:pStyle w:val="Tabletext"/>
              <w:ind w:left="336" w:hanging="336"/>
              <w:rPr>
                <w:b/>
                <w:bCs/>
                <w:color w:val="000000" w:themeColor="text1"/>
                <w:lang w:val="en-GB"/>
              </w:rPr>
            </w:pPr>
            <w:r w:rsidRPr="0098635C">
              <w:rPr>
                <w:b/>
                <w:bCs/>
                <w:color w:val="000000" w:themeColor="text1"/>
                <w:lang w:val="en-GB"/>
              </w:rPr>
              <w:t>Property</w:t>
            </w:r>
          </w:p>
        </w:tc>
        <w:tc>
          <w:tcPr>
            <w:tcW w:w="1115" w:type="dxa"/>
            <w:tcBorders>
              <w:top w:val="single" w:sz="12" w:space="0" w:color="auto"/>
              <w:left w:val="single" w:sz="12" w:space="0" w:color="auto"/>
              <w:bottom w:val="single" w:sz="12" w:space="0" w:color="auto"/>
              <w:right w:val="single" w:sz="12" w:space="0" w:color="auto"/>
            </w:tcBorders>
          </w:tcPr>
          <w:p w14:paraId="0C1AC566" w14:textId="6C01760F" w:rsidR="004C10BC" w:rsidRPr="0098635C" w:rsidRDefault="004C10BC" w:rsidP="00737294">
            <w:pPr>
              <w:pStyle w:val="Tabletext"/>
              <w:rPr>
                <w:b/>
                <w:bCs/>
                <w:color w:val="000000" w:themeColor="text1"/>
                <w:lang w:val="en-GB"/>
              </w:rPr>
            </w:pPr>
            <w:r w:rsidRPr="0098635C">
              <w:rPr>
                <w:b/>
                <w:bCs/>
                <w:color w:val="000000" w:themeColor="text1"/>
                <w:lang w:val="en-GB"/>
              </w:rPr>
              <w:t xml:space="preserve">Copper </w:t>
            </w:r>
            <w:r w:rsidR="00737294" w:rsidRPr="0098635C">
              <w:rPr>
                <w:b/>
                <w:bCs/>
                <w:color w:val="000000" w:themeColor="text1"/>
                <w:vertAlign w:val="superscript"/>
                <w:lang w:val="en-GB"/>
              </w:rPr>
              <w:t>1</w:t>
            </w:r>
          </w:p>
        </w:tc>
        <w:tc>
          <w:tcPr>
            <w:tcW w:w="1843" w:type="dxa"/>
            <w:tcBorders>
              <w:top w:val="single" w:sz="12" w:space="0" w:color="auto"/>
              <w:left w:val="single" w:sz="12" w:space="0" w:color="auto"/>
              <w:bottom w:val="single" w:sz="12" w:space="0" w:color="auto"/>
              <w:right w:val="single" w:sz="12" w:space="0" w:color="auto"/>
            </w:tcBorders>
          </w:tcPr>
          <w:p w14:paraId="7A13861C" w14:textId="77777777" w:rsidR="004C10BC" w:rsidRPr="0098635C" w:rsidRDefault="004C10BC" w:rsidP="00527694">
            <w:pPr>
              <w:pStyle w:val="Tabletext"/>
              <w:rPr>
                <w:b/>
                <w:bCs/>
                <w:color w:val="000000" w:themeColor="text1"/>
                <w:lang w:val="en-GB"/>
              </w:rPr>
            </w:pPr>
            <w:r w:rsidRPr="0098635C">
              <w:rPr>
                <w:b/>
                <w:bCs/>
                <w:color w:val="000000" w:themeColor="text1"/>
                <w:lang w:val="en-GB"/>
              </w:rPr>
              <w:t>Copper sulphate</w:t>
            </w:r>
          </w:p>
          <w:p w14:paraId="5A0CD8E1" w14:textId="77777777" w:rsidR="002D0C31" w:rsidRPr="0098635C" w:rsidRDefault="002D0C31" w:rsidP="00527694">
            <w:pPr>
              <w:pStyle w:val="Tabletext"/>
              <w:rPr>
                <w:b/>
                <w:bCs/>
                <w:color w:val="000000" w:themeColor="text1"/>
                <w:lang w:val="en-GB"/>
              </w:rPr>
            </w:pPr>
            <w:r w:rsidRPr="0098635C">
              <w:rPr>
                <w:b/>
                <w:bCs/>
                <w:color w:val="000000" w:themeColor="text1"/>
                <w:lang w:val="en-GB"/>
              </w:rPr>
              <w:t>pentahydrate</w:t>
            </w:r>
          </w:p>
        </w:tc>
        <w:tc>
          <w:tcPr>
            <w:tcW w:w="2126" w:type="dxa"/>
            <w:tcBorders>
              <w:top w:val="single" w:sz="12" w:space="0" w:color="auto"/>
              <w:left w:val="single" w:sz="12" w:space="0" w:color="auto"/>
              <w:bottom w:val="single" w:sz="12" w:space="0" w:color="auto"/>
              <w:right w:val="single" w:sz="12" w:space="0" w:color="auto"/>
            </w:tcBorders>
          </w:tcPr>
          <w:p w14:paraId="39E9218E" w14:textId="0F1B1FC1" w:rsidR="004C10BC" w:rsidRPr="0098635C" w:rsidRDefault="00236182" w:rsidP="00527694">
            <w:pPr>
              <w:pStyle w:val="Tabletext"/>
              <w:widowControl w:val="0"/>
              <w:autoSpaceDE w:val="0"/>
              <w:autoSpaceDN w:val="0"/>
              <w:adjustRightInd w:val="0"/>
              <w:jc w:val="both"/>
              <w:rPr>
                <w:b/>
                <w:bCs/>
                <w:color w:val="000000" w:themeColor="text1"/>
                <w:lang w:val="en-GB"/>
              </w:rPr>
            </w:pPr>
            <w:r w:rsidRPr="0098635C">
              <w:rPr>
                <w:b/>
                <w:bCs/>
                <w:color w:val="000000" w:themeColor="text1"/>
                <w:lang w:val="en-GB"/>
              </w:rPr>
              <w:t>Copper (II) oxide</w:t>
            </w:r>
          </w:p>
        </w:tc>
        <w:tc>
          <w:tcPr>
            <w:tcW w:w="1985" w:type="dxa"/>
            <w:tcBorders>
              <w:top w:val="single" w:sz="12" w:space="0" w:color="auto"/>
              <w:left w:val="single" w:sz="12" w:space="0" w:color="auto"/>
              <w:bottom w:val="single" w:sz="12" w:space="0" w:color="auto"/>
              <w:right w:val="single" w:sz="12" w:space="0" w:color="auto"/>
            </w:tcBorders>
          </w:tcPr>
          <w:p w14:paraId="3FB91B0E" w14:textId="1E9DDDCC" w:rsidR="004C10BC" w:rsidRPr="0098635C" w:rsidRDefault="00737294" w:rsidP="00527694">
            <w:pPr>
              <w:pStyle w:val="Tabletext"/>
              <w:widowControl w:val="0"/>
              <w:autoSpaceDE w:val="0"/>
              <w:autoSpaceDN w:val="0"/>
              <w:adjustRightInd w:val="0"/>
              <w:jc w:val="both"/>
              <w:rPr>
                <w:b/>
                <w:bCs/>
                <w:color w:val="000000" w:themeColor="text1"/>
                <w:lang w:val="en-GB"/>
              </w:rPr>
            </w:pPr>
            <w:r w:rsidRPr="0098635C">
              <w:rPr>
                <w:b/>
                <w:bCs/>
                <w:color w:val="000000" w:themeColor="text1"/>
                <w:lang w:val="en-GB"/>
              </w:rPr>
              <w:t xml:space="preserve"> Copp</w:t>
            </w:r>
            <w:r w:rsidR="00236182" w:rsidRPr="0098635C">
              <w:rPr>
                <w:b/>
                <w:bCs/>
                <w:color w:val="000000" w:themeColor="text1"/>
                <w:lang w:val="en-GB"/>
              </w:rPr>
              <w:t>er (I) oxide</w:t>
            </w:r>
          </w:p>
        </w:tc>
        <w:tc>
          <w:tcPr>
            <w:tcW w:w="1984" w:type="dxa"/>
            <w:tcBorders>
              <w:top w:val="single" w:sz="12" w:space="0" w:color="auto"/>
              <w:left w:val="single" w:sz="12" w:space="0" w:color="auto"/>
              <w:bottom w:val="single" w:sz="12" w:space="0" w:color="auto"/>
            </w:tcBorders>
          </w:tcPr>
          <w:p w14:paraId="3B4FB317" w14:textId="77777777" w:rsidR="004C10BC" w:rsidRPr="0098635C" w:rsidRDefault="00D36E6C" w:rsidP="00527694">
            <w:pPr>
              <w:pStyle w:val="Tabletext"/>
              <w:widowControl w:val="0"/>
              <w:autoSpaceDE w:val="0"/>
              <w:autoSpaceDN w:val="0"/>
              <w:adjustRightInd w:val="0"/>
              <w:jc w:val="both"/>
              <w:rPr>
                <w:b/>
                <w:bCs/>
                <w:color w:val="000000" w:themeColor="text1"/>
                <w:lang w:val="en-GB"/>
              </w:rPr>
            </w:pPr>
            <w:r w:rsidRPr="0098635C">
              <w:rPr>
                <w:b/>
                <w:bCs/>
                <w:color w:val="000000" w:themeColor="text1"/>
                <w:lang w:val="en-GB"/>
              </w:rPr>
              <w:t>Dicopper chloride trihydroxide</w:t>
            </w:r>
          </w:p>
        </w:tc>
      </w:tr>
      <w:tr w:rsidR="00343A1A" w:rsidRPr="0098635C" w14:paraId="040BA34E" w14:textId="77777777" w:rsidTr="0098635C">
        <w:tc>
          <w:tcPr>
            <w:tcW w:w="1437" w:type="dxa"/>
            <w:tcBorders>
              <w:top w:val="single" w:sz="12" w:space="0" w:color="auto"/>
            </w:tcBorders>
            <w:vAlign w:val="center"/>
          </w:tcPr>
          <w:p w14:paraId="13EFA1CF" w14:textId="77777777" w:rsidR="001A7904" w:rsidRPr="0098635C" w:rsidRDefault="004C10BC" w:rsidP="00527694">
            <w:pPr>
              <w:pStyle w:val="Tabletext"/>
              <w:rPr>
                <w:color w:val="000000" w:themeColor="text1"/>
                <w:lang w:val="en-GB"/>
              </w:rPr>
            </w:pPr>
            <w:r w:rsidRPr="0098635C">
              <w:rPr>
                <w:color w:val="000000" w:themeColor="text1"/>
                <w:lang w:val="en-GB"/>
              </w:rPr>
              <w:t>CAS N</w:t>
            </w:r>
          </w:p>
          <w:p w14:paraId="4FFCE29B" w14:textId="6B1F3C44" w:rsidR="004C10BC" w:rsidRPr="0098635C" w:rsidRDefault="004C10BC" w:rsidP="00527694">
            <w:pPr>
              <w:pStyle w:val="Tabletext"/>
              <w:rPr>
                <w:color w:val="000000" w:themeColor="text1"/>
                <w:lang w:val="en-GB"/>
              </w:rPr>
            </w:pPr>
            <w:r w:rsidRPr="0098635C">
              <w:rPr>
                <w:color w:val="000000" w:themeColor="text1"/>
                <w:lang w:val="en-GB"/>
              </w:rPr>
              <w:t>umber:</w:t>
            </w:r>
          </w:p>
        </w:tc>
        <w:tc>
          <w:tcPr>
            <w:tcW w:w="1115" w:type="dxa"/>
            <w:tcBorders>
              <w:top w:val="single" w:sz="12" w:space="0" w:color="auto"/>
            </w:tcBorders>
            <w:vAlign w:val="center"/>
          </w:tcPr>
          <w:p w14:paraId="338E2528" w14:textId="77777777" w:rsidR="004C10BC" w:rsidRPr="0098635C" w:rsidRDefault="004C10BC" w:rsidP="00527694">
            <w:pPr>
              <w:pStyle w:val="Tabletext"/>
              <w:rPr>
                <w:color w:val="000000" w:themeColor="text1"/>
                <w:lang w:val="en-GB"/>
              </w:rPr>
            </w:pPr>
            <w:r w:rsidRPr="0098635C">
              <w:rPr>
                <w:color w:val="000000" w:themeColor="text1"/>
                <w:lang w:val="en-GB"/>
              </w:rPr>
              <w:t>7440-50-8</w:t>
            </w:r>
          </w:p>
        </w:tc>
        <w:tc>
          <w:tcPr>
            <w:tcW w:w="1843" w:type="dxa"/>
            <w:tcBorders>
              <w:top w:val="single" w:sz="12" w:space="0" w:color="auto"/>
            </w:tcBorders>
            <w:vAlign w:val="center"/>
          </w:tcPr>
          <w:p w14:paraId="6F3448FE" w14:textId="295294CE" w:rsidR="004C10BC" w:rsidRPr="0098635C" w:rsidRDefault="004C10BC" w:rsidP="00527694">
            <w:pPr>
              <w:pStyle w:val="Tabletext"/>
              <w:rPr>
                <w:color w:val="000000" w:themeColor="text1"/>
                <w:lang w:val="en-GB"/>
              </w:rPr>
            </w:pPr>
            <w:r w:rsidRPr="0098635C">
              <w:rPr>
                <w:color w:val="000000" w:themeColor="text1"/>
                <w:lang w:val="en-GB"/>
              </w:rPr>
              <w:t>7758-98-</w:t>
            </w:r>
            <w:r w:rsidR="008662FA" w:rsidRPr="0098635C">
              <w:rPr>
                <w:color w:val="000000" w:themeColor="text1"/>
                <w:lang w:val="en-GB"/>
              </w:rPr>
              <w:t>8</w:t>
            </w:r>
          </w:p>
        </w:tc>
        <w:tc>
          <w:tcPr>
            <w:tcW w:w="2126" w:type="dxa"/>
            <w:tcBorders>
              <w:top w:val="single" w:sz="12" w:space="0" w:color="auto"/>
            </w:tcBorders>
            <w:vAlign w:val="center"/>
          </w:tcPr>
          <w:p w14:paraId="43E133D5" w14:textId="77777777" w:rsidR="004C10BC" w:rsidRPr="0098635C" w:rsidRDefault="004C10BC" w:rsidP="00527694">
            <w:pPr>
              <w:pStyle w:val="Tabletext"/>
              <w:rPr>
                <w:color w:val="000000" w:themeColor="text1"/>
                <w:lang w:val="en-GB"/>
              </w:rPr>
            </w:pPr>
            <w:r w:rsidRPr="0098635C">
              <w:rPr>
                <w:color w:val="000000" w:themeColor="text1"/>
                <w:lang w:val="en-GB"/>
              </w:rPr>
              <w:t>1317-38-0</w:t>
            </w:r>
          </w:p>
        </w:tc>
        <w:tc>
          <w:tcPr>
            <w:tcW w:w="1985" w:type="dxa"/>
            <w:tcBorders>
              <w:top w:val="single" w:sz="12" w:space="0" w:color="auto"/>
            </w:tcBorders>
            <w:vAlign w:val="center"/>
          </w:tcPr>
          <w:p w14:paraId="318E3A16" w14:textId="77777777" w:rsidR="004C10BC" w:rsidRPr="0098635C" w:rsidRDefault="004C10BC" w:rsidP="00527694">
            <w:pPr>
              <w:pStyle w:val="Tabletext"/>
              <w:ind w:left="34"/>
              <w:rPr>
                <w:color w:val="000000" w:themeColor="text1"/>
                <w:lang w:val="en-GB"/>
              </w:rPr>
            </w:pPr>
            <w:r w:rsidRPr="0098635C">
              <w:rPr>
                <w:color w:val="000000" w:themeColor="text1"/>
                <w:lang w:val="en-GB"/>
              </w:rPr>
              <w:t>1317-39-1</w:t>
            </w:r>
          </w:p>
        </w:tc>
        <w:tc>
          <w:tcPr>
            <w:tcW w:w="1984" w:type="dxa"/>
            <w:tcBorders>
              <w:top w:val="single" w:sz="12" w:space="0" w:color="auto"/>
            </w:tcBorders>
            <w:vAlign w:val="center"/>
          </w:tcPr>
          <w:p w14:paraId="38573150" w14:textId="77777777" w:rsidR="004C10BC" w:rsidRPr="0098635C" w:rsidRDefault="004C10BC" w:rsidP="00527694">
            <w:pPr>
              <w:pStyle w:val="Tabletext"/>
              <w:ind w:left="34"/>
              <w:rPr>
                <w:color w:val="000000" w:themeColor="text1"/>
                <w:lang w:val="en-GB"/>
              </w:rPr>
            </w:pPr>
            <w:r w:rsidRPr="0098635C">
              <w:rPr>
                <w:color w:val="000000" w:themeColor="text1"/>
                <w:lang w:val="en-GB"/>
              </w:rPr>
              <w:t>1332-65-6</w:t>
            </w:r>
          </w:p>
        </w:tc>
      </w:tr>
      <w:tr w:rsidR="00343A1A" w:rsidRPr="0098635C" w14:paraId="607B8F6E" w14:textId="77777777" w:rsidTr="0098635C">
        <w:tc>
          <w:tcPr>
            <w:tcW w:w="1437" w:type="dxa"/>
            <w:vAlign w:val="center"/>
          </w:tcPr>
          <w:p w14:paraId="4D84A7A0" w14:textId="77777777" w:rsidR="004C10BC" w:rsidRPr="0098635C" w:rsidRDefault="004C10BC" w:rsidP="00527694">
            <w:pPr>
              <w:pStyle w:val="Tabletext"/>
              <w:rPr>
                <w:color w:val="000000" w:themeColor="text1"/>
                <w:lang w:val="en-GB"/>
              </w:rPr>
            </w:pPr>
            <w:r w:rsidRPr="0098635C">
              <w:rPr>
                <w:color w:val="000000" w:themeColor="text1"/>
                <w:lang w:val="en-GB"/>
              </w:rPr>
              <w:t>IUPAC Name:</w:t>
            </w:r>
          </w:p>
        </w:tc>
        <w:tc>
          <w:tcPr>
            <w:tcW w:w="1115" w:type="dxa"/>
            <w:vAlign w:val="center"/>
          </w:tcPr>
          <w:p w14:paraId="751F791E" w14:textId="77777777" w:rsidR="004C10BC" w:rsidRPr="0098635C" w:rsidRDefault="004C10BC" w:rsidP="00527694">
            <w:pPr>
              <w:pStyle w:val="Tabletext"/>
              <w:rPr>
                <w:color w:val="000000" w:themeColor="text1"/>
                <w:lang w:val="en-GB"/>
              </w:rPr>
            </w:pPr>
            <w:r w:rsidRPr="0098635C">
              <w:rPr>
                <w:color w:val="000000" w:themeColor="text1"/>
                <w:lang w:val="en-GB"/>
              </w:rPr>
              <w:t>Copper</w:t>
            </w:r>
          </w:p>
        </w:tc>
        <w:tc>
          <w:tcPr>
            <w:tcW w:w="1843" w:type="dxa"/>
            <w:vAlign w:val="center"/>
          </w:tcPr>
          <w:p w14:paraId="5376657D" w14:textId="77777777" w:rsidR="004C10BC" w:rsidRPr="0098635C" w:rsidRDefault="004C10BC" w:rsidP="00527694">
            <w:pPr>
              <w:pStyle w:val="Tabletext"/>
              <w:rPr>
                <w:color w:val="000000" w:themeColor="text1"/>
                <w:lang w:val="en-GB"/>
              </w:rPr>
            </w:pPr>
            <w:r w:rsidRPr="0098635C">
              <w:rPr>
                <w:color w:val="000000" w:themeColor="text1"/>
                <w:lang w:val="en-GB"/>
              </w:rPr>
              <w:t>Copper (II) sulphate</w:t>
            </w:r>
          </w:p>
        </w:tc>
        <w:tc>
          <w:tcPr>
            <w:tcW w:w="2126" w:type="dxa"/>
            <w:vAlign w:val="center"/>
          </w:tcPr>
          <w:p w14:paraId="00205457" w14:textId="77777777" w:rsidR="004C10BC" w:rsidRPr="0098635C" w:rsidRDefault="004C10BC" w:rsidP="00527694">
            <w:pPr>
              <w:pStyle w:val="Tabletext"/>
              <w:rPr>
                <w:color w:val="000000" w:themeColor="text1"/>
                <w:lang w:val="en-GB"/>
              </w:rPr>
            </w:pPr>
            <w:r w:rsidRPr="0098635C">
              <w:rPr>
                <w:color w:val="000000" w:themeColor="text1"/>
                <w:lang w:val="en-GB"/>
              </w:rPr>
              <w:t>Copper(II) oxide</w:t>
            </w:r>
          </w:p>
        </w:tc>
        <w:tc>
          <w:tcPr>
            <w:tcW w:w="1985" w:type="dxa"/>
            <w:vAlign w:val="center"/>
          </w:tcPr>
          <w:p w14:paraId="73503E9B" w14:textId="77777777" w:rsidR="004C10BC" w:rsidRPr="0098635C" w:rsidRDefault="004C10BC" w:rsidP="00527694">
            <w:pPr>
              <w:pStyle w:val="Tabletext"/>
              <w:ind w:left="176" w:hanging="142"/>
              <w:rPr>
                <w:color w:val="000000" w:themeColor="text1"/>
                <w:lang w:val="en-GB"/>
              </w:rPr>
            </w:pPr>
            <w:r w:rsidRPr="0098635C">
              <w:rPr>
                <w:color w:val="000000" w:themeColor="text1"/>
                <w:lang w:val="en-GB"/>
              </w:rPr>
              <w:t>Copper(I) oxide</w:t>
            </w:r>
          </w:p>
        </w:tc>
        <w:tc>
          <w:tcPr>
            <w:tcW w:w="1984" w:type="dxa"/>
            <w:vAlign w:val="center"/>
          </w:tcPr>
          <w:p w14:paraId="687EB891" w14:textId="77777777" w:rsidR="004C10BC" w:rsidRPr="0098635C" w:rsidRDefault="004C10BC" w:rsidP="00527694">
            <w:pPr>
              <w:pStyle w:val="Tabletext"/>
              <w:ind w:left="34"/>
              <w:rPr>
                <w:color w:val="000000" w:themeColor="text1"/>
                <w:lang w:val="en-GB"/>
              </w:rPr>
            </w:pPr>
            <w:r w:rsidRPr="0098635C">
              <w:rPr>
                <w:color w:val="000000" w:themeColor="text1"/>
                <w:lang w:val="en-GB"/>
              </w:rPr>
              <w:t>Dicopper chloride trihydroxide</w:t>
            </w:r>
          </w:p>
        </w:tc>
      </w:tr>
      <w:tr w:rsidR="00343A1A" w:rsidRPr="0098635C" w14:paraId="6D02BDF8" w14:textId="77777777" w:rsidTr="0098635C">
        <w:tc>
          <w:tcPr>
            <w:tcW w:w="1437" w:type="dxa"/>
            <w:vAlign w:val="center"/>
          </w:tcPr>
          <w:p w14:paraId="7F3A595B" w14:textId="77777777" w:rsidR="004C10BC" w:rsidRPr="0098635C" w:rsidRDefault="004C10BC" w:rsidP="00527694">
            <w:pPr>
              <w:pStyle w:val="Tabletext"/>
              <w:rPr>
                <w:color w:val="000000" w:themeColor="text1"/>
                <w:lang w:val="en-GB"/>
              </w:rPr>
            </w:pPr>
            <w:r w:rsidRPr="0098635C">
              <w:rPr>
                <w:color w:val="000000" w:themeColor="text1"/>
                <w:lang w:val="en-GB"/>
              </w:rPr>
              <w:t>Molecular Formula:</w:t>
            </w:r>
          </w:p>
        </w:tc>
        <w:tc>
          <w:tcPr>
            <w:tcW w:w="1115" w:type="dxa"/>
            <w:vAlign w:val="center"/>
          </w:tcPr>
          <w:p w14:paraId="7C82F58F" w14:textId="77777777" w:rsidR="004C10BC" w:rsidRPr="0098635C" w:rsidRDefault="004C10BC" w:rsidP="00527694">
            <w:pPr>
              <w:pStyle w:val="Tabletext"/>
              <w:rPr>
                <w:color w:val="000000" w:themeColor="text1"/>
                <w:lang w:val="en-GB"/>
              </w:rPr>
            </w:pPr>
            <w:r w:rsidRPr="0098635C">
              <w:rPr>
                <w:color w:val="000000" w:themeColor="text1"/>
                <w:lang w:val="en-GB"/>
              </w:rPr>
              <w:t>Cu</w:t>
            </w:r>
          </w:p>
        </w:tc>
        <w:tc>
          <w:tcPr>
            <w:tcW w:w="1843" w:type="dxa"/>
            <w:vAlign w:val="center"/>
          </w:tcPr>
          <w:p w14:paraId="471378BE" w14:textId="77777777" w:rsidR="004C10BC" w:rsidRPr="0098635C" w:rsidRDefault="004C10BC" w:rsidP="00527694">
            <w:pPr>
              <w:pStyle w:val="Tabletext"/>
              <w:rPr>
                <w:color w:val="000000" w:themeColor="text1"/>
                <w:lang w:val="en-GB"/>
              </w:rPr>
            </w:pPr>
            <w:r w:rsidRPr="0098635C">
              <w:rPr>
                <w:color w:val="000000" w:themeColor="text1"/>
                <w:lang w:val="en-GB"/>
              </w:rPr>
              <w:t>CuSO</w:t>
            </w:r>
            <w:r w:rsidRPr="0098635C">
              <w:rPr>
                <w:color w:val="000000" w:themeColor="text1"/>
                <w:vertAlign w:val="subscript"/>
                <w:lang w:val="en-GB"/>
              </w:rPr>
              <w:t>4</w:t>
            </w:r>
            <w:r w:rsidR="002D0C31" w:rsidRPr="0098635C">
              <w:rPr>
                <w:color w:val="000000" w:themeColor="text1"/>
                <w:lang w:val="en-GB"/>
              </w:rPr>
              <w:t>; 5H</w:t>
            </w:r>
            <w:r w:rsidR="00E230FB" w:rsidRPr="0098635C">
              <w:rPr>
                <w:color w:val="000000" w:themeColor="text1"/>
                <w:vertAlign w:val="subscript"/>
                <w:lang w:val="en-GB"/>
              </w:rPr>
              <w:t>2</w:t>
            </w:r>
            <w:r w:rsidR="002D0C31" w:rsidRPr="0098635C">
              <w:rPr>
                <w:color w:val="000000" w:themeColor="text1"/>
                <w:lang w:val="en-GB"/>
              </w:rPr>
              <w:t>O</w:t>
            </w:r>
          </w:p>
        </w:tc>
        <w:tc>
          <w:tcPr>
            <w:tcW w:w="2126" w:type="dxa"/>
            <w:vAlign w:val="center"/>
          </w:tcPr>
          <w:p w14:paraId="510BEC5C" w14:textId="77777777" w:rsidR="004C10BC" w:rsidRPr="0098635C" w:rsidRDefault="004C10BC" w:rsidP="00527694">
            <w:pPr>
              <w:rPr>
                <w:color w:val="000000" w:themeColor="text1"/>
                <w:sz w:val="20"/>
                <w:szCs w:val="20"/>
              </w:rPr>
            </w:pPr>
            <w:r w:rsidRPr="0098635C">
              <w:rPr>
                <w:color w:val="000000" w:themeColor="text1"/>
                <w:sz w:val="20"/>
                <w:szCs w:val="20"/>
              </w:rPr>
              <w:t>CuO</w:t>
            </w:r>
          </w:p>
        </w:tc>
        <w:tc>
          <w:tcPr>
            <w:tcW w:w="1985" w:type="dxa"/>
            <w:vAlign w:val="center"/>
          </w:tcPr>
          <w:p w14:paraId="51776F5F" w14:textId="77777777" w:rsidR="004C10BC" w:rsidRPr="0098635C" w:rsidRDefault="004C10BC" w:rsidP="00527694">
            <w:pPr>
              <w:rPr>
                <w:color w:val="000000" w:themeColor="text1"/>
                <w:sz w:val="20"/>
                <w:szCs w:val="20"/>
              </w:rPr>
            </w:pPr>
            <w:r w:rsidRPr="0098635C">
              <w:rPr>
                <w:color w:val="000000" w:themeColor="text1"/>
                <w:sz w:val="20"/>
                <w:szCs w:val="20"/>
              </w:rPr>
              <w:t>Cu</w:t>
            </w:r>
            <w:r w:rsidRPr="0098635C">
              <w:rPr>
                <w:color w:val="000000" w:themeColor="text1"/>
                <w:sz w:val="20"/>
                <w:szCs w:val="20"/>
                <w:vertAlign w:val="subscript"/>
              </w:rPr>
              <w:t>2</w:t>
            </w:r>
            <w:r w:rsidRPr="0098635C">
              <w:rPr>
                <w:color w:val="000000" w:themeColor="text1"/>
                <w:sz w:val="20"/>
                <w:szCs w:val="20"/>
              </w:rPr>
              <w:t>O</w:t>
            </w:r>
          </w:p>
        </w:tc>
        <w:tc>
          <w:tcPr>
            <w:tcW w:w="1984" w:type="dxa"/>
            <w:vAlign w:val="center"/>
          </w:tcPr>
          <w:p w14:paraId="6DF86334" w14:textId="77777777" w:rsidR="004C10BC" w:rsidRPr="0098635C" w:rsidRDefault="004C10BC" w:rsidP="00527694">
            <w:pPr>
              <w:pStyle w:val="Tabletext"/>
              <w:ind w:left="34"/>
              <w:rPr>
                <w:color w:val="000000" w:themeColor="text1"/>
                <w:lang w:val="en-GB"/>
              </w:rPr>
            </w:pPr>
            <w:r w:rsidRPr="0098635C">
              <w:rPr>
                <w:color w:val="000000" w:themeColor="text1"/>
                <w:lang w:val="en-GB"/>
              </w:rPr>
              <w:t>Cu</w:t>
            </w:r>
            <w:r w:rsidRPr="0098635C">
              <w:rPr>
                <w:color w:val="000000" w:themeColor="text1"/>
                <w:vertAlign w:val="subscript"/>
                <w:lang w:val="en-GB"/>
              </w:rPr>
              <w:t>2</w:t>
            </w:r>
            <w:r w:rsidRPr="0098635C">
              <w:rPr>
                <w:color w:val="000000" w:themeColor="text1"/>
                <w:lang w:val="en-GB"/>
              </w:rPr>
              <w:t>Cl(OH)</w:t>
            </w:r>
            <w:r w:rsidRPr="0098635C">
              <w:rPr>
                <w:color w:val="000000" w:themeColor="text1"/>
                <w:vertAlign w:val="subscript"/>
                <w:lang w:val="en-GB"/>
              </w:rPr>
              <w:t>3</w:t>
            </w:r>
          </w:p>
        </w:tc>
      </w:tr>
      <w:tr w:rsidR="00343A1A" w:rsidRPr="0098635C" w14:paraId="348A15CF" w14:textId="77777777" w:rsidTr="0098635C">
        <w:tc>
          <w:tcPr>
            <w:tcW w:w="1437" w:type="dxa"/>
            <w:vAlign w:val="center"/>
          </w:tcPr>
          <w:p w14:paraId="1D3ECB82" w14:textId="77777777" w:rsidR="004C10BC" w:rsidRPr="0098635C" w:rsidRDefault="004C10BC" w:rsidP="00527694">
            <w:pPr>
              <w:pStyle w:val="Tabletext"/>
              <w:rPr>
                <w:color w:val="000000" w:themeColor="text1"/>
                <w:lang w:val="en-GB"/>
              </w:rPr>
            </w:pPr>
            <w:r w:rsidRPr="0098635C">
              <w:rPr>
                <w:color w:val="000000" w:themeColor="text1"/>
                <w:lang w:val="en-GB"/>
              </w:rPr>
              <w:t>Structural Formula:</w:t>
            </w:r>
          </w:p>
        </w:tc>
        <w:tc>
          <w:tcPr>
            <w:tcW w:w="1115" w:type="dxa"/>
            <w:vAlign w:val="center"/>
          </w:tcPr>
          <w:p w14:paraId="0D11E9CF" w14:textId="77777777" w:rsidR="004C10BC" w:rsidRPr="0098635C" w:rsidRDefault="004C10BC" w:rsidP="00527694">
            <w:pPr>
              <w:pStyle w:val="Tabletext"/>
              <w:rPr>
                <w:color w:val="000000" w:themeColor="text1"/>
                <w:lang w:val="en-GB"/>
              </w:rPr>
            </w:pPr>
            <w:r w:rsidRPr="0098635C">
              <w:rPr>
                <w:noProof/>
                <w:snapToGrid/>
                <w:color w:val="000000" w:themeColor="text1"/>
                <w:lang w:val="en-GB" w:eastAsia="en-GB"/>
              </w:rPr>
              <w:drawing>
                <wp:inline distT="0" distB="0" distL="0" distR="0" wp14:anchorId="4AD6002D" wp14:editId="0ED1A60D">
                  <wp:extent cx="1070610" cy="1070610"/>
                  <wp:effectExtent l="19050" t="0" r="0" b="0"/>
                  <wp:docPr id="35" name="Picture 1" descr="olecular 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lecular Structu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70610" cy="1070610"/>
                          </a:xfrm>
                          <a:prstGeom prst="rect">
                            <a:avLst/>
                          </a:prstGeom>
                          <a:noFill/>
                          <a:ln>
                            <a:noFill/>
                          </a:ln>
                        </pic:spPr>
                      </pic:pic>
                    </a:graphicData>
                  </a:graphic>
                </wp:inline>
              </w:drawing>
            </w:r>
          </w:p>
        </w:tc>
        <w:tc>
          <w:tcPr>
            <w:tcW w:w="1843" w:type="dxa"/>
            <w:vAlign w:val="center"/>
          </w:tcPr>
          <w:p w14:paraId="03436ACB" w14:textId="77777777" w:rsidR="004C10BC" w:rsidRPr="0098635C" w:rsidRDefault="004C10BC" w:rsidP="00527694">
            <w:pPr>
              <w:rPr>
                <w:color w:val="000000" w:themeColor="text1"/>
                <w:sz w:val="20"/>
                <w:szCs w:val="20"/>
              </w:rPr>
            </w:pPr>
            <w:r w:rsidRPr="0098635C">
              <w:rPr>
                <w:noProof/>
                <w:color w:val="000000" w:themeColor="text1"/>
                <w:sz w:val="20"/>
                <w:szCs w:val="20"/>
                <w:lang w:eastAsia="en-GB"/>
              </w:rPr>
              <w:drawing>
                <wp:inline distT="0" distB="0" distL="0" distR="0" wp14:anchorId="1BDC0330" wp14:editId="62730055">
                  <wp:extent cx="1126490" cy="889301"/>
                  <wp:effectExtent l="0" t="0" r="0" b="0"/>
                  <wp:docPr id="36" name="Picture 4" descr="his is a three-dimensional chemical structure of a unit cell of anhydrous copper (II) sulf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is is a three-dimensional chemical structure of a unit cell of anhydrous copper (II) sulfat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26773" cy="889525"/>
                          </a:xfrm>
                          <a:prstGeom prst="rect">
                            <a:avLst/>
                          </a:prstGeom>
                          <a:noFill/>
                          <a:ln>
                            <a:noFill/>
                          </a:ln>
                        </pic:spPr>
                      </pic:pic>
                    </a:graphicData>
                  </a:graphic>
                </wp:inline>
              </w:drawing>
            </w:r>
          </w:p>
        </w:tc>
        <w:tc>
          <w:tcPr>
            <w:tcW w:w="2126" w:type="dxa"/>
            <w:vAlign w:val="center"/>
          </w:tcPr>
          <w:p w14:paraId="4C6490E3" w14:textId="77777777" w:rsidR="004C10BC" w:rsidRPr="0098635C" w:rsidRDefault="004C10BC" w:rsidP="00527694">
            <w:pPr>
              <w:rPr>
                <w:color w:val="000000" w:themeColor="text1"/>
                <w:sz w:val="20"/>
                <w:szCs w:val="20"/>
              </w:rPr>
            </w:pPr>
            <w:r w:rsidRPr="0098635C">
              <w:rPr>
                <w:noProof/>
                <w:color w:val="000000" w:themeColor="text1"/>
                <w:sz w:val="20"/>
                <w:szCs w:val="20"/>
                <w:lang w:eastAsia="en-GB"/>
              </w:rPr>
              <w:drawing>
                <wp:inline distT="0" distB="0" distL="0" distR="0" wp14:anchorId="70E0AA0C" wp14:editId="75E88126">
                  <wp:extent cx="1180796" cy="935990"/>
                  <wp:effectExtent l="0" t="0" r="0" b="3810"/>
                  <wp:docPr id="37" name="irc_mi" descr="Copper%28II%29-oxide-3D-ba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Copper%28II%29-oxide-3D-ball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81112" cy="936241"/>
                          </a:xfrm>
                          <a:prstGeom prst="rect">
                            <a:avLst/>
                          </a:prstGeom>
                          <a:noFill/>
                          <a:ln>
                            <a:noFill/>
                          </a:ln>
                        </pic:spPr>
                      </pic:pic>
                    </a:graphicData>
                  </a:graphic>
                </wp:inline>
              </w:drawing>
            </w:r>
          </w:p>
        </w:tc>
        <w:tc>
          <w:tcPr>
            <w:tcW w:w="1985" w:type="dxa"/>
            <w:vAlign w:val="center"/>
          </w:tcPr>
          <w:p w14:paraId="49173593" w14:textId="77777777" w:rsidR="004C10BC" w:rsidRPr="0098635C" w:rsidRDefault="004C10BC" w:rsidP="00527694">
            <w:pPr>
              <w:rPr>
                <w:color w:val="000000" w:themeColor="text1"/>
                <w:sz w:val="20"/>
                <w:szCs w:val="20"/>
              </w:rPr>
            </w:pPr>
            <w:r w:rsidRPr="0098635C">
              <w:rPr>
                <w:noProof/>
                <w:color w:val="000000" w:themeColor="text1"/>
                <w:sz w:val="20"/>
                <w:szCs w:val="20"/>
                <w:lang w:eastAsia="en-GB"/>
              </w:rPr>
              <w:drawing>
                <wp:inline distT="0" distB="0" distL="0" distR="0" wp14:anchorId="73AF7321" wp14:editId="2CE0C196">
                  <wp:extent cx="1180470" cy="885190"/>
                  <wp:effectExtent l="0" t="0" r="0" b="3810"/>
                  <wp:docPr id="38" name="irc_mi" descr="Cu2O1-1317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Cu2O1-131739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81063" cy="885634"/>
                          </a:xfrm>
                          <a:prstGeom prst="rect">
                            <a:avLst/>
                          </a:prstGeom>
                          <a:noFill/>
                          <a:ln>
                            <a:noFill/>
                          </a:ln>
                        </pic:spPr>
                      </pic:pic>
                    </a:graphicData>
                  </a:graphic>
                </wp:inline>
              </w:drawing>
            </w:r>
          </w:p>
        </w:tc>
        <w:tc>
          <w:tcPr>
            <w:tcW w:w="1984" w:type="dxa"/>
            <w:vAlign w:val="center"/>
          </w:tcPr>
          <w:p w14:paraId="1A6F2278" w14:textId="77777777" w:rsidR="004C10BC" w:rsidRPr="0098635C" w:rsidRDefault="004C10BC" w:rsidP="00527694">
            <w:pPr>
              <w:pStyle w:val="Tabletext"/>
              <w:ind w:left="34"/>
              <w:rPr>
                <w:color w:val="000000" w:themeColor="text1"/>
                <w:lang w:val="en-GB"/>
              </w:rPr>
            </w:pPr>
            <w:r w:rsidRPr="0098635C">
              <w:rPr>
                <w:noProof/>
                <w:snapToGrid/>
                <w:color w:val="000000" w:themeColor="text1"/>
                <w:lang w:val="en-GB" w:eastAsia="en-GB"/>
              </w:rPr>
              <w:drawing>
                <wp:inline distT="0" distB="0" distL="0" distR="0" wp14:anchorId="456F5010" wp14:editId="5A5F54F8">
                  <wp:extent cx="1720215" cy="842010"/>
                  <wp:effectExtent l="0" t="0" r="6985" b="0"/>
                  <wp:docPr id="39" name="Picture 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20215" cy="842010"/>
                          </a:xfrm>
                          <a:prstGeom prst="rect">
                            <a:avLst/>
                          </a:prstGeom>
                          <a:noFill/>
                          <a:ln>
                            <a:noFill/>
                          </a:ln>
                        </pic:spPr>
                      </pic:pic>
                    </a:graphicData>
                  </a:graphic>
                </wp:inline>
              </w:drawing>
            </w:r>
          </w:p>
        </w:tc>
      </w:tr>
      <w:tr w:rsidR="00343A1A" w:rsidRPr="0098635C" w14:paraId="05784ED0" w14:textId="77777777" w:rsidTr="0098635C">
        <w:tc>
          <w:tcPr>
            <w:tcW w:w="1437" w:type="dxa"/>
            <w:vAlign w:val="center"/>
          </w:tcPr>
          <w:p w14:paraId="3073733A" w14:textId="77777777" w:rsidR="004C10BC" w:rsidRPr="0098635C" w:rsidRDefault="004C10BC" w:rsidP="00527694">
            <w:pPr>
              <w:pStyle w:val="Tabletext"/>
              <w:rPr>
                <w:color w:val="000000" w:themeColor="text1"/>
                <w:lang w:val="en-GB"/>
              </w:rPr>
            </w:pPr>
            <w:r w:rsidRPr="0098635C">
              <w:rPr>
                <w:color w:val="000000" w:themeColor="text1"/>
                <w:lang w:val="en-GB"/>
              </w:rPr>
              <w:t>Molecular Weight:</w:t>
            </w:r>
          </w:p>
        </w:tc>
        <w:tc>
          <w:tcPr>
            <w:tcW w:w="1115" w:type="dxa"/>
            <w:vAlign w:val="center"/>
          </w:tcPr>
          <w:p w14:paraId="5818476B" w14:textId="77777777" w:rsidR="004C10BC" w:rsidRPr="0098635C" w:rsidRDefault="004C10BC" w:rsidP="00527694">
            <w:pPr>
              <w:pStyle w:val="Tabletext"/>
              <w:rPr>
                <w:color w:val="000000" w:themeColor="text1"/>
                <w:lang w:val="en-GB"/>
              </w:rPr>
            </w:pPr>
            <w:r w:rsidRPr="0098635C">
              <w:rPr>
                <w:color w:val="000000" w:themeColor="text1"/>
                <w:lang w:val="en-GB"/>
              </w:rPr>
              <w:t>63.546</w:t>
            </w:r>
          </w:p>
        </w:tc>
        <w:tc>
          <w:tcPr>
            <w:tcW w:w="1843" w:type="dxa"/>
            <w:vAlign w:val="center"/>
          </w:tcPr>
          <w:p w14:paraId="3678BB6C" w14:textId="6023776E" w:rsidR="004C10BC" w:rsidRPr="0098635C" w:rsidRDefault="002A3E0F" w:rsidP="00527694">
            <w:pPr>
              <w:pStyle w:val="Tabletext"/>
              <w:rPr>
                <w:color w:val="000000" w:themeColor="text1"/>
                <w:lang w:val="en-GB"/>
              </w:rPr>
            </w:pPr>
            <w:r w:rsidRPr="0098635C">
              <w:rPr>
                <w:color w:val="000000" w:themeColor="text1"/>
                <w:lang w:val="en-GB"/>
              </w:rPr>
              <w:t>249.685</w:t>
            </w:r>
          </w:p>
        </w:tc>
        <w:tc>
          <w:tcPr>
            <w:tcW w:w="2126" w:type="dxa"/>
            <w:vAlign w:val="center"/>
          </w:tcPr>
          <w:p w14:paraId="50BAF91F" w14:textId="77777777" w:rsidR="004C10BC" w:rsidRPr="0098635C" w:rsidRDefault="004C10BC" w:rsidP="00527694">
            <w:pPr>
              <w:pStyle w:val="Tabletext"/>
              <w:rPr>
                <w:color w:val="000000" w:themeColor="text1"/>
                <w:lang w:val="en-GB"/>
              </w:rPr>
            </w:pPr>
            <w:r w:rsidRPr="0098635C">
              <w:rPr>
                <w:color w:val="000000" w:themeColor="text1"/>
                <w:lang w:val="en-GB"/>
              </w:rPr>
              <w:t>79.545</w:t>
            </w:r>
          </w:p>
        </w:tc>
        <w:tc>
          <w:tcPr>
            <w:tcW w:w="1985" w:type="dxa"/>
            <w:vAlign w:val="center"/>
          </w:tcPr>
          <w:p w14:paraId="2FF400C4" w14:textId="77777777" w:rsidR="004C10BC" w:rsidRPr="0098635C" w:rsidRDefault="004C10BC" w:rsidP="00527694">
            <w:pPr>
              <w:pStyle w:val="Tabletext"/>
              <w:ind w:left="176"/>
              <w:rPr>
                <w:color w:val="000000" w:themeColor="text1"/>
                <w:lang w:val="en-GB"/>
              </w:rPr>
            </w:pPr>
            <w:r w:rsidRPr="0098635C">
              <w:rPr>
                <w:color w:val="000000" w:themeColor="text1"/>
                <w:lang w:val="en-GB"/>
              </w:rPr>
              <w:t>143.09</w:t>
            </w:r>
          </w:p>
        </w:tc>
        <w:tc>
          <w:tcPr>
            <w:tcW w:w="1984" w:type="dxa"/>
            <w:vAlign w:val="center"/>
          </w:tcPr>
          <w:p w14:paraId="3ECE2543" w14:textId="77777777" w:rsidR="004C10BC" w:rsidRPr="0098635C" w:rsidRDefault="004C10BC" w:rsidP="00527694">
            <w:pPr>
              <w:pStyle w:val="Tabletext"/>
              <w:ind w:left="34"/>
              <w:rPr>
                <w:color w:val="000000" w:themeColor="text1"/>
                <w:lang w:val="en-GB"/>
              </w:rPr>
            </w:pPr>
            <w:r w:rsidRPr="0098635C">
              <w:rPr>
                <w:color w:val="000000" w:themeColor="text1"/>
                <w:lang w:val="en-GB"/>
              </w:rPr>
              <w:t>213.56</w:t>
            </w:r>
          </w:p>
        </w:tc>
      </w:tr>
      <w:tr w:rsidR="00343A1A" w:rsidRPr="0098635C" w14:paraId="5ACD8018" w14:textId="77777777" w:rsidTr="0098635C">
        <w:tc>
          <w:tcPr>
            <w:tcW w:w="1437" w:type="dxa"/>
            <w:vAlign w:val="center"/>
          </w:tcPr>
          <w:p w14:paraId="7374425F" w14:textId="77777777" w:rsidR="004C10BC" w:rsidRPr="0098635C" w:rsidRDefault="004C10BC" w:rsidP="00527694">
            <w:pPr>
              <w:pStyle w:val="Tabletext"/>
              <w:rPr>
                <w:color w:val="000000" w:themeColor="text1"/>
                <w:lang w:val="en-GB"/>
              </w:rPr>
            </w:pPr>
            <w:r w:rsidRPr="0098635C">
              <w:rPr>
                <w:color w:val="000000" w:themeColor="text1"/>
                <w:lang w:val="en-GB"/>
              </w:rPr>
              <w:t>Synonyms:</w:t>
            </w:r>
          </w:p>
        </w:tc>
        <w:tc>
          <w:tcPr>
            <w:tcW w:w="1115" w:type="dxa"/>
            <w:vAlign w:val="center"/>
          </w:tcPr>
          <w:p w14:paraId="4E233B49" w14:textId="77777777" w:rsidR="004C10BC" w:rsidRPr="0098635C" w:rsidRDefault="004C10BC" w:rsidP="00527694">
            <w:pPr>
              <w:pStyle w:val="Tabletext"/>
              <w:rPr>
                <w:color w:val="000000" w:themeColor="text1"/>
                <w:lang w:val="en-GB"/>
              </w:rPr>
            </w:pPr>
          </w:p>
        </w:tc>
        <w:tc>
          <w:tcPr>
            <w:tcW w:w="1843" w:type="dxa"/>
            <w:vAlign w:val="center"/>
          </w:tcPr>
          <w:p w14:paraId="38A63444" w14:textId="77777777" w:rsidR="004C10BC" w:rsidRPr="0098635C" w:rsidRDefault="004C10BC" w:rsidP="00527694">
            <w:pPr>
              <w:pStyle w:val="Tabletext"/>
              <w:rPr>
                <w:color w:val="000000" w:themeColor="text1"/>
                <w:lang w:val="en-GB"/>
              </w:rPr>
            </w:pPr>
            <w:r w:rsidRPr="0098635C">
              <w:rPr>
                <w:color w:val="000000" w:themeColor="text1"/>
                <w:lang w:val="en-GB"/>
              </w:rPr>
              <w:t>Cupric sulfate</w:t>
            </w:r>
          </w:p>
        </w:tc>
        <w:tc>
          <w:tcPr>
            <w:tcW w:w="2126" w:type="dxa"/>
            <w:vAlign w:val="center"/>
          </w:tcPr>
          <w:p w14:paraId="5B2FD8E3" w14:textId="77777777" w:rsidR="004C10BC" w:rsidRPr="0098635C" w:rsidRDefault="004C10BC" w:rsidP="00527694">
            <w:pPr>
              <w:pStyle w:val="Tabletext"/>
              <w:rPr>
                <w:color w:val="000000" w:themeColor="text1"/>
                <w:lang w:val="en-GB"/>
              </w:rPr>
            </w:pPr>
            <w:r w:rsidRPr="0098635C">
              <w:rPr>
                <w:color w:val="000000" w:themeColor="text1"/>
                <w:lang w:val="en-GB"/>
              </w:rPr>
              <w:t>Cupric oxide</w:t>
            </w:r>
          </w:p>
        </w:tc>
        <w:tc>
          <w:tcPr>
            <w:tcW w:w="1985" w:type="dxa"/>
            <w:vAlign w:val="center"/>
          </w:tcPr>
          <w:p w14:paraId="55A0618B" w14:textId="77777777" w:rsidR="004C10BC" w:rsidRPr="0098635C" w:rsidRDefault="004C10BC" w:rsidP="00527694">
            <w:pPr>
              <w:pStyle w:val="Tabletext"/>
              <w:ind w:left="176"/>
              <w:rPr>
                <w:color w:val="000000" w:themeColor="text1"/>
                <w:lang w:val="en-GB"/>
              </w:rPr>
            </w:pPr>
            <w:r w:rsidRPr="0098635C">
              <w:rPr>
                <w:color w:val="000000" w:themeColor="text1"/>
                <w:lang w:val="en-GB"/>
              </w:rPr>
              <w:t>- Cuprous oxide</w:t>
            </w:r>
          </w:p>
          <w:p w14:paraId="04CAEC9D" w14:textId="77777777" w:rsidR="004C10BC" w:rsidRPr="0098635C" w:rsidRDefault="004C10BC" w:rsidP="00527694">
            <w:pPr>
              <w:pStyle w:val="Tabletext"/>
              <w:ind w:left="176"/>
              <w:rPr>
                <w:color w:val="000000" w:themeColor="text1"/>
                <w:lang w:val="en-GB"/>
              </w:rPr>
            </w:pPr>
            <w:r w:rsidRPr="0098635C">
              <w:rPr>
                <w:color w:val="000000" w:themeColor="text1"/>
                <w:lang w:val="en-GB"/>
              </w:rPr>
              <w:t>- Cuprite</w:t>
            </w:r>
          </w:p>
          <w:p w14:paraId="77E3F1B6" w14:textId="77777777" w:rsidR="004C10BC" w:rsidRPr="0098635C" w:rsidRDefault="004C10BC" w:rsidP="00527694">
            <w:pPr>
              <w:pStyle w:val="Tabletext"/>
              <w:ind w:left="176"/>
              <w:rPr>
                <w:color w:val="000000" w:themeColor="text1"/>
                <w:lang w:val="en-GB"/>
              </w:rPr>
            </w:pPr>
            <w:r w:rsidRPr="0098635C">
              <w:rPr>
                <w:color w:val="000000" w:themeColor="text1"/>
                <w:lang w:val="en-GB"/>
              </w:rPr>
              <w:t>- Red copper oxide</w:t>
            </w:r>
          </w:p>
        </w:tc>
        <w:tc>
          <w:tcPr>
            <w:tcW w:w="1984" w:type="dxa"/>
            <w:vAlign w:val="center"/>
          </w:tcPr>
          <w:p w14:paraId="7EBCD989" w14:textId="77777777" w:rsidR="004C10BC" w:rsidRPr="0098635C" w:rsidRDefault="004C10BC" w:rsidP="00516DBE">
            <w:pPr>
              <w:pStyle w:val="NormalWeb"/>
              <w:spacing w:before="0" w:beforeAutospacing="0" w:after="0" w:afterAutospacing="0"/>
              <w:rPr>
                <w:color w:val="000000" w:themeColor="text1"/>
              </w:rPr>
            </w:pPr>
            <w:r w:rsidRPr="0098635C">
              <w:rPr>
                <w:color w:val="000000" w:themeColor="text1"/>
              </w:rPr>
              <w:t>- Tribasic copper chloride (TBCC)</w:t>
            </w:r>
          </w:p>
          <w:p w14:paraId="2DF257E1" w14:textId="4BA99392" w:rsidR="004C10BC" w:rsidRPr="0098635C" w:rsidRDefault="004C10BC" w:rsidP="00516DBE">
            <w:pPr>
              <w:pStyle w:val="NormalWeb"/>
              <w:spacing w:before="0" w:beforeAutospacing="0" w:after="0" w:afterAutospacing="0"/>
              <w:rPr>
                <w:color w:val="000000" w:themeColor="text1"/>
              </w:rPr>
            </w:pPr>
            <w:r w:rsidRPr="0098635C">
              <w:rPr>
                <w:color w:val="000000" w:themeColor="text1"/>
              </w:rPr>
              <w:t xml:space="preserve">- </w:t>
            </w:r>
          </w:p>
          <w:p w14:paraId="452216FF" w14:textId="77777777" w:rsidR="004C10BC" w:rsidRPr="0098635C" w:rsidRDefault="004C10BC" w:rsidP="00516DBE">
            <w:pPr>
              <w:pStyle w:val="NormalWeb"/>
              <w:spacing w:before="0" w:beforeAutospacing="0" w:after="0" w:afterAutospacing="0"/>
              <w:rPr>
                <w:color w:val="000000" w:themeColor="text1"/>
              </w:rPr>
            </w:pPr>
            <w:r w:rsidRPr="0098635C">
              <w:rPr>
                <w:color w:val="000000" w:themeColor="text1"/>
              </w:rPr>
              <w:t>- Copper Hydroxychloride</w:t>
            </w:r>
          </w:p>
          <w:p w14:paraId="47D920AF" w14:textId="77777777" w:rsidR="004C10BC" w:rsidRPr="0098635C" w:rsidRDefault="004C10BC" w:rsidP="00516DBE">
            <w:pPr>
              <w:pStyle w:val="Tabletext"/>
              <w:spacing w:before="0" w:after="0"/>
              <w:ind w:left="34"/>
              <w:rPr>
                <w:color w:val="000000" w:themeColor="text1"/>
                <w:lang w:val="en-GB"/>
              </w:rPr>
            </w:pPr>
            <w:r w:rsidRPr="0098635C">
              <w:rPr>
                <w:color w:val="000000" w:themeColor="text1"/>
                <w:lang w:val="en-GB"/>
              </w:rPr>
              <w:t>- Copper trihydroxyl chloride</w:t>
            </w:r>
          </w:p>
          <w:p w14:paraId="6FC7B090" w14:textId="438F355C" w:rsidR="00516DBE" w:rsidRPr="0098635C" w:rsidRDefault="00516DBE" w:rsidP="00516DBE">
            <w:pPr>
              <w:pStyle w:val="Tabletext"/>
              <w:spacing w:before="0" w:after="0"/>
              <w:ind w:left="34"/>
              <w:rPr>
                <w:color w:val="000000" w:themeColor="text1"/>
                <w:lang w:val="en-GB"/>
              </w:rPr>
            </w:pPr>
            <w:r w:rsidRPr="0098635C">
              <w:rPr>
                <w:color w:val="000000" w:themeColor="text1"/>
                <w:lang w:val="en-GB"/>
              </w:rPr>
              <w:t>-</w:t>
            </w:r>
            <w:r w:rsidR="00236182" w:rsidRPr="0098635C">
              <w:rPr>
                <w:color w:val="000000" w:themeColor="text1"/>
                <w:lang w:val="en-GB"/>
              </w:rPr>
              <w:t>Dicopper chloride trihydroxide</w:t>
            </w:r>
          </w:p>
        </w:tc>
      </w:tr>
    </w:tbl>
    <w:p w14:paraId="2B651012" w14:textId="7CD0E29A" w:rsidR="00737294" w:rsidRPr="0098635C" w:rsidRDefault="00737294" w:rsidP="00737294">
      <w:pPr>
        <w:pStyle w:val="FootnoteText"/>
        <w:rPr>
          <w:color w:val="000000" w:themeColor="text1"/>
        </w:rPr>
      </w:pPr>
      <w:r w:rsidRPr="0098635C">
        <w:rPr>
          <w:color w:val="000000" w:themeColor="text1"/>
          <w:vertAlign w:val="superscript"/>
        </w:rPr>
        <w:t>1</w:t>
      </w:r>
      <w:r w:rsidRPr="0098635C">
        <w:rPr>
          <w:color w:val="000000" w:themeColor="text1"/>
        </w:rPr>
        <w:t xml:space="preserve"> Copper flakes, coated with aliphatic acids are also included in the dossier </w:t>
      </w:r>
    </w:p>
    <w:p w14:paraId="0FB1FE54" w14:textId="77777777" w:rsidR="00737294" w:rsidRPr="0098635C" w:rsidRDefault="00737294" w:rsidP="00E22AA9">
      <w:pPr>
        <w:pStyle w:val="BodyText"/>
        <w:rPr>
          <w:color w:val="000000" w:themeColor="text1"/>
          <w:sz w:val="20"/>
        </w:rPr>
      </w:pPr>
    </w:p>
    <w:p w14:paraId="6448A4F7" w14:textId="77777777" w:rsidR="00E22AA9" w:rsidRPr="0098635C" w:rsidRDefault="00E22AA9">
      <w:pPr>
        <w:widowControl/>
        <w:autoSpaceDE/>
        <w:autoSpaceDN/>
        <w:adjustRightInd/>
        <w:spacing w:after="0"/>
        <w:jc w:val="left"/>
        <w:rPr>
          <w:rFonts w:ascii="Times New Roman Bold" w:hAnsi="Times New Roman Bold"/>
          <w:b/>
          <w:color w:val="000000" w:themeColor="text1"/>
          <w:sz w:val="20"/>
          <w:szCs w:val="20"/>
        </w:rPr>
      </w:pPr>
      <w:bookmarkStart w:id="46" w:name="_Toc32726014"/>
      <w:bookmarkStart w:id="47" w:name="_Toc32727197"/>
      <w:bookmarkStart w:id="48" w:name="_Toc43868642"/>
      <w:bookmarkStart w:id="49" w:name="_Toc200358230"/>
      <w:bookmarkStart w:id="50" w:name="_Toc200359246"/>
      <w:r w:rsidRPr="0098635C">
        <w:rPr>
          <w:color w:val="000000" w:themeColor="text1"/>
          <w:sz w:val="20"/>
          <w:szCs w:val="20"/>
        </w:rPr>
        <w:br w:type="page"/>
      </w:r>
    </w:p>
    <w:p w14:paraId="51ED7637" w14:textId="77777777" w:rsidR="009B096C" w:rsidRPr="0098635C" w:rsidRDefault="00B05271" w:rsidP="009B096C">
      <w:pPr>
        <w:pStyle w:val="Heading2"/>
        <w:rPr>
          <w:color w:val="000000" w:themeColor="text1"/>
          <w:sz w:val="20"/>
        </w:rPr>
      </w:pPr>
      <w:bookmarkStart w:id="51" w:name="_Toc471999237"/>
      <w:bookmarkStart w:id="52" w:name="_Toc472250849"/>
      <w:r w:rsidRPr="0098635C">
        <w:rPr>
          <w:color w:val="000000" w:themeColor="text1"/>
          <w:sz w:val="20"/>
        </w:rPr>
        <w:lastRenderedPageBreak/>
        <w:t>Purity/Impurities/Additives</w:t>
      </w:r>
      <w:bookmarkEnd w:id="46"/>
      <w:bookmarkEnd w:id="47"/>
      <w:bookmarkEnd w:id="48"/>
      <w:bookmarkEnd w:id="49"/>
      <w:bookmarkEnd w:id="50"/>
      <w:bookmarkEnd w:id="51"/>
      <w:bookmarkEnd w:id="52"/>
    </w:p>
    <w:p w14:paraId="1DDCF7B2" w14:textId="77777777" w:rsidR="00E22AA9" w:rsidRPr="0098635C" w:rsidRDefault="00E22AA9" w:rsidP="00E22AA9">
      <w:pPr>
        <w:pStyle w:val="Heading9"/>
        <w:spacing w:after="0"/>
        <w:rPr>
          <w:b/>
          <w:i w:val="0"/>
          <w:color w:val="000000" w:themeColor="text1"/>
          <w:sz w:val="20"/>
          <w:szCs w:val="20"/>
        </w:rPr>
      </w:pPr>
      <w:r w:rsidRPr="0098635C">
        <w:rPr>
          <w:b/>
          <w:i w:val="0"/>
          <w:color w:val="000000" w:themeColor="text1"/>
          <w:sz w:val="20"/>
          <w:szCs w:val="20"/>
        </w:rPr>
        <w:t xml:space="preserve">Copper Massive </w:t>
      </w:r>
    </w:p>
    <w:p w14:paraId="411727BA" w14:textId="77777777" w:rsidR="00E22AA9" w:rsidRPr="0098635C" w:rsidRDefault="00E22AA9" w:rsidP="00E22AA9">
      <w:pPr>
        <w:pStyle w:val="BodyText"/>
        <w:spacing w:after="0"/>
        <w:rPr>
          <w:color w:val="000000" w:themeColor="text1"/>
          <w:sz w:val="20"/>
        </w:rPr>
      </w:pPr>
      <w:r w:rsidRPr="0098635C">
        <w:rPr>
          <w:color w:val="000000" w:themeColor="text1"/>
          <w:sz w:val="20"/>
        </w:rPr>
        <w:t xml:space="preserve">Purity: 99.9%  Cu </w:t>
      </w:r>
    </w:p>
    <w:p w14:paraId="305BF006" w14:textId="77777777" w:rsidR="00E22AA9" w:rsidRPr="0098635C" w:rsidRDefault="00E54D6F" w:rsidP="00E22AA9">
      <w:pPr>
        <w:pStyle w:val="BodyText"/>
        <w:rPr>
          <w:rFonts w:cs="Arial"/>
          <w:color w:val="000000" w:themeColor="text1"/>
          <w:sz w:val="20"/>
        </w:rPr>
      </w:pPr>
      <w:r w:rsidRPr="0098635C">
        <w:rPr>
          <w:color w:val="000000" w:themeColor="text1"/>
          <w:sz w:val="20"/>
        </w:rPr>
        <w:t xml:space="preserve">Possible </w:t>
      </w:r>
      <w:r w:rsidR="00E22AA9" w:rsidRPr="0098635C">
        <w:rPr>
          <w:color w:val="000000" w:themeColor="text1"/>
          <w:sz w:val="20"/>
        </w:rPr>
        <w:t>Impurities:</w:t>
      </w:r>
      <w:r w:rsidR="00E22AA9" w:rsidRPr="0098635C">
        <w:rPr>
          <w:rFonts w:cs="Arial"/>
          <w:color w:val="000000" w:themeColor="text1"/>
          <w:sz w:val="20"/>
        </w:rPr>
        <w:t xml:space="preserve"> </w:t>
      </w:r>
      <w:r w:rsidRPr="0098635C">
        <w:rPr>
          <w:rFonts w:cs="Arial"/>
          <w:color w:val="000000" w:themeColor="text1"/>
          <w:sz w:val="20"/>
        </w:rPr>
        <w:t xml:space="preserve">trace amounts of inorganic elements </w:t>
      </w:r>
    </w:p>
    <w:p w14:paraId="5213EDC5" w14:textId="77777777" w:rsidR="00E22AA9" w:rsidRPr="0098635C" w:rsidRDefault="00E22AA9" w:rsidP="00E22AA9">
      <w:pPr>
        <w:pStyle w:val="Heading9"/>
        <w:spacing w:after="0"/>
        <w:rPr>
          <w:b/>
          <w:i w:val="0"/>
          <w:color w:val="000000" w:themeColor="text1"/>
          <w:sz w:val="20"/>
          <w:szCs w:val="20"/>
        </w:rPr>
      </w:pPr>
      <w:r w:rsidRPr="0098635C">
        <w:rPr>
          <w:b/>
          <w:i w:val="0"/>
          <w:color w:val="000000" w:themeColor="text1"/>
          <w:sz w:val="20"/>
          <w:szCs w:val="20"/>
        </w:rPr>
        <w:t xml:space="preserve">Copper Powder </w:t>
      </w:r>
    </w:p>
    <w:p w14:paraId="6195855E" w14:textId="77777777" w:rsidR="00E22AA9" w:rsidRPr="0098635C" w:rsidRDefault="00E22AA9" w:rsidP="00E22AA9">
      <w:pPr>
        <w:pStyle w:val="BodyText"/>
        <w:spacing w:after="0"/>
        <w:rPr>
          <w:color w:val="000000" w:themeColor="text1"/>
          <w:sz w:val="20"/>
        </w:rPr>
      </w:pPr>
      <w:r w:rsidRPr="0098635C">
        <w:rPr>
          <w:color w:val="000000" w:themeColor="text1"/>
          <w:sz w:val="20"/>
        </w:rPr>
        <w:t xml:space="preserve">Purity: &gt;95% Cu  </w:t>
      </w:r>
    </w:p>
    <w:p w14:paraId="402A4914" w14:textId="77777777" w:rsidR="00E22AA9" w:rsidRPr="0098635C" w:rsidRDefault="00E22AA9" w:rsidP="00E22AA9">
      <w:pPr>
        <w:pStyle w:val="BodyText"/>
        <w:rPr>
          <w:color w:val="000000" w:themeColor="text1"/>
          <w:sz w:val="20"/>
        </w:rPr>
      </w:pPr>
      <w:r w:rsidRPr="0098635C">
        <w:rPr>
          <w:color w:val="000000" w:themeColor="text1"/>
          <w:sz w:val="20"/>
        </w:rPr>
        <w:t>Impurities: Cu</w:t>
      </w:r>
      <w:r w:rsidRPr="0098635C">
        <w:rPr>
          <w:color w:val="000000" w:themeColor="text1"/>
          <w:sz w:val="20"/>
          <w:vertAlign w:val="subscript"/>
        </w:rPr>
        <w:t>2</w:t>
      </w:r>
      <w:r w:rsidRPr="0098635C">
        <w:rPr>
          <w:color w:val="000000" w:themeColor="text1"/>
          <w:sz w:val="20"/>
        </w:rPr>
        <w:t>O &lt;5%</w:t>
      </w:r>
      <w:r w:rsidR="001D7320" w:rsidRPr="0098635C">
        <w:rPr>
          <w:color w:val="000000" w:themeColor="text1"/>
          <w:sz w:val="20"/>
        </w:rPr>
        <w:t xml:space="preserve">. </w:t>
      </w:r>
      <w:r w:rsidRPr="0098635C">
        <w:rPr>
          <w:color w:val="000000" w:themeColor="text1"/>
          <w:sz w:val="20"/>
        </w:rPr>
        <w:t xml:space="preserve">  Other </w:t>
      </w:r>
      <w:r w:rsidR="0042061F" w:rsidRPr="0098635C">
        <w:rPr>
          <w:color w:val="000000" w:themeColor="text1"/>
          <w:sz w:val="20"/>
        </w:rPr>
        <w:t>relevan</w:t>
      </w:r>
      <w:r w:rsidR="00E54D6F" w:rsidRPr="0098635C">
        <w:rPr>
          <w:color w:val="000000" w:themeColor="text1"/>
          <w:sz w:val="20"/>
        </w:rPr>
        <w:t xml:space="preserve">t </w:t>
      </w:r>
      <w:r w:rsidRPr="0098635C">
        <w:rPr>
          <w:color w:val="000000" w:themeColor="text1"/>
          <w:sz w:val="20"/>
        </w:rPr>
        <w:t xml:space="preserve">impurities: </w:t>
      </w:r>
      <w:r w:rsidR="00E54D6F" w:rsidRPr="0098635C">
        <w:rPr>
          <w:color w:val="000000" w:themeColor="text1"/>
          <w:sz w:val="20"/>
        </w:rPr>
        <w:t xml:space="preserve">Pb, Ni, As, Cd </w:t>
      </w:r>
    </w:p>
    <w:p w14:paraId="31426D9E" w14:textId="77777777" w:rsidR="00E22AA9" w:rsidRPr="0098635C" w:rsidRDefault="00E22AA9" w:rsidP="00E22AA9">
      <w:pPr>
        <w:pStyle w:val="BodyText"/>
        <w:spacing w:after="0"/>
        <w:rPr>
          <w:b/>
          <w:color w:val="000000" w:themeColor="text1"/>
          <w:sz w:val="20"/>
        </w:rPr>
      </w:pPr>
      <w:r w:rsidRPr="0098635C">
        <w:rPr>
          <w:b/>
          <w:color w:val="000000" w:themeColor="text1"/>
          <w:sz w:val="20"/>
        </w:rPr>
        <w:t>Coated copper flake</w:t>
      </w:r>
    </w:p>
    <w:p w14:paraId="5C7408B5" w14:textId="77777777" w:rsidR="00E22AA9" w:rsidRPr="0098635C" w:rsidRDefault="00E22AA9" w:rsidP="00E22AA9">
      <w:pPr>
        <w:pStyle w:val="BodyText"/>
        <w:spacing w:after="0"/>
        <w:rPr>
          <w:color w:val="000000" w:themeColor="text1"/>
          <w:sz w:val="20"/>
        </w:rPr>
      </w:pPr>
      <w:r w:rsidRPr="0098635C">
        <w:rPr>
          <w:color w:val="000000" w:themeColor="text1"/>
          <w:sz w:val="20"/>
        </w:rPr>
        <w:t>Purity : 96% Cu, additive : &lt;3% aliphatic acids</w:t>
      </w:r>
    </w:p>
    <w:p w14:paraId="6A7EFE70" w14:textId="77777777" w:rsidR="00D05142" w:rsidRPr="0098635C" w:rsidRDefault="00E22AA9" w:rsidP="00D05142">
      <w:pPr>
        <w:pStyle w:val="BodyText"/>
        <w:rPr>
          <w:color w:val="000000" w:themeColor="text1"/>
          <w:sz w:val="20"/>
        </w:rPr>
      </w:pPr>
      <w:r w:rsidRPr="0098635C">
        <w:rPr>
          <w:color w:val="000000" w:themeColor="text1"/>
          <w:sz w:val="20"/>
        </w:rPr>
        <w:t>Impurities: CuO (&lt;3%)</w:t>
      </w:r>
      <w:r w:rsidR="001D7320" w:rsidRPr="0098635C">
        <w:rPr>
          <w:color w:val="000000" w:themeColor="text1"/>
          <w:sz w:val="20"/>
        </w:rPr>
        <w:t xml:space="preserve">. </w:t>
      </w:r>
      <w:r w:rsidRPr="0098635C">
        <w:rPr>
          <w:color w:val="000000" w:themeColor="text1"/>
          <w:sz w:val="20"/>
        </w:rPr>
        <w:t xml:space="preserve">Other </w:t>
      </w:r>
      <w:r w:rsidR="00E54D6F" w:rsidRPr="0098635C">
        <w:rPr>
          <w:color w:val="000000" w:themeColor="text1"/>
          <w:sz w:val="20"/>
        </w:rPr>
        <w:t xml:space="preserve">relevant </w:t>
      </w:r>
      <w:r w:rsidRPr="0098635C">
        <w:rPr>
          <w:color w:val="000000" w:themeColor="text1"/>
          <w:sz w:val="20"/>
        </w:rPr>
        <w:t xml:space="preserve">impurities: </w:t>
      </w:r>
      <w:r w:rsidR="00E54D6F" w:rsidRPr="0098635C">
        <w:rPr>
          <w:color w:val="000000" w:themeColor="text1"/>
          <w:sz w:val="20"/>
        </w:rPr>
        <w:t>Pb, Ni, As, Cd</w:t>
      </w:r>
    </w:p>
    <w:p w14:paraId="24F4041A" w14:textId="04156ED8" w:rsidR="00E22AA9" w:rsidRPr="0098635C" w:rsidRDefault="000C7340" w:rsidP="00E22AA9">
      <w:pPr>
        <w:pStyle w:val="Heading9"/>
        <w:spacing w:after="0"/>
        <w:rPr>
          <w:b/>
          <w:i w:val="0"/>
          <w:color w:val="000000" w:themeColor="text1"/>
          <w:sz w:val="20"/>
          <w:szCs w:val="20"/>
        </w:rPr>
      </w:pPr>
      <w:bookmarkStart w:id="53" w:name="OLE_LINK2"/>
      <w:r w:rsidRPr="0098635C">
        <w:rPr>
          <w:b/>
          <w:i w:val="0"/>
          <w:color w:val="000000" w:themeColor="text1"/>
          <w:sz w:val="20"/>
          <w:szCs w:val="20"/>
        </w:rPr>
        <w:t>Copper</w:t>
      </w:r>
      <w:r w:rsidR="00170713" w:rsidRPr="0098635C">
        <w:rPr>
          <w:b/>
          <w:i w:val="0"/>
          <w:color w:val="000000" w:themeColor="text1"/>
          <w:sz w:val="20"/>
          <w:szCs w:val="20"/>
        </w:rPr>
        <w:t xml:space="preserve"> </w:t>
      </w:r>
      <w:r w:rsidRPr="0098635C">
        <w:rPr>
          <w:b/>
          <w:i w:val="0"/>
          <w:color w:val="000000" w:themeColor="text1"/>
          <w:sz w:val="20"/>
          <w:szCs w:val="20"/>
        </w:rPr>
        <w:t>(II)</w:t>
      </w:r>
      <w:r w:rsidR="00170713" w:rsidRPr="0098635C">
        <w:rPr>
          <w:b/>
          <w:i w:val="0"/>
          <w:color w:val="000000" w:themeColor="text1"/>
          <w:sz w:val="20"/>
          <w:szCs w:val="20"/>
        </w:rPr>
        <w:t xml:space="preserve"> </w:t>
      </w:r>
      <w:r w:rsidRPr="0098635C">
        <w:rPr>
          <w:b/>
          <w:i w:val="0"/>
          <w:color w:val="000000" w:themeColor="text1"/>
          <w:sz w:val="20"/>
          <w:szCs w:val="20"/>
        </w:rPr>
        <w:t xml:space="preserve">sulphate pentahydrate </w:t>
      </w:r>
    </w:p>
    <w:p w14:paraId="404E2520" w14:textId="67FEE4C9" w:rsidR="00E22AA9" w:rsidRPr="0098635C" w:rsidRDefault="000C7340" w:rsidP="00E22AA9">
      <w:pPr>
        <w:pStyle w:val="BodyText"/>
        <w:spacing w:after="0"/>
        <w:rPr>
          <w:color w:val="000000" w:themeColor="text1"/>
          <w:sz w:val="20"/>
        </w:rPr>
      </w:pPr>
      <w:r w:rsidRPr="0098635C">
        <w:rPr>
          <w:color w:val="000000" w:themeColor="text1"/>
          <w:sz w:val="20"/>
        </w:rPr>
        <w:t>Purity:  98.5% CuSO</w:t>
      </w:r>
      <w:r w:rsidRPr="0098635C">
        <w:rPr>
          <w:color w:val="000000" w:themeColor="text1"/>
          <w:sz w:val="20"/>
          <w:vertAlign w:val="subscript"/>
        </w:rPr>
        <w:t>4</w:t>
      </w:r>
      <w:r w:rsidRPr="0098635C">
        <w:rPr>
          <w:color w:val="000000" w:themeColor="text1"/>
          <w:sz w:val="20"/>
        </w:rPr>
        <w:t>.5H</w:t>
      </w:r>
      <w:r w:rsidRPr="0098635C">
        <w:rPr>
          <w:color w:val="000000" w:themeColor="text1"/>
          <w:sz w:val="20"/>
          <w:vertAlign w:val="subscript"/>
        </w:rPr>
        <w:t>2</w:t>
      </w:r>
      <w:r w:rsidRPr="0098635C">
        <w:rPr>
          <w:color w:val="000000" w:themeColor="text1"/>
          <w:sz w:val="20"/>
        </w:rPr>
        <w:t>0</w:t>
      </w:r>
      <w:r w:rsidR="004476D1" w:rsidRPr="0098635C">
        <w:rPr>
          <w:color w:val="000000" w:themeColor="text1"/>
          <w:sz w:val="20"/>
        </w:rPr>
        <w:t xml:space="preserve"> </w:t>
      </w:r>
      <w:r w:rsidR="00F544A1" w:rsidRPr="0098635C">
        <w:rPr>
          <w:color w:val="000000" w:themeColor="text1"/>
          <w:sz w:val="20"/>
        </w:rPr>
        <w:t>(</w:t>
      </w:r>
      <w:r w:rsidR="002A3E0F" w:rsidRPr="0098635C">
        <w:rPr>
          <w:color w:val="000000" w:themeColor="text1"/>
          <w:sz w:val="20"/>
        </w:rPr>
        <w:t>25</w:t>
      </w:r>
      <w:r w:rsidR="004476D1" w:rsidRPr="0098635C">
        <w:rPr>
          <w:color w:val="000000" w:themeColor="text1"/>
          <w:sz w:val="20"/>
        </w:rPr>
        <w:t>% Cu</w:t>
      </w:r>
      <w:r w:rsidR="00F544A1" w:rsidRPr="0098635C">
        <w:rPr>
          <w:color w:val="000000" w:themeColor="text1"/>
          <w:sz w:val="20"/>
        </w:rPr>
        <w:t>)</w:t>
      </w:r>
    </w:p>
    <w:p w14:paraId="10F301A3" w14:textId="77777777" w:rsidR="00E22AA9" w:rsidRPr="0098635C" w:rsidRDefault="00E54D6F" w:rsidP="00E22AA9">
      <w:pPr>
        <w:pStyle w:val="BodyText"/>
        <w:rPr>
          <w:color w:val="000000" w:themeColor="text1"/>
          <w:sz w:val="20"/>
        </w:rPr>
      </w:pPr>
      <w:r w:rsidRPr="0098635C">
        <w:rPr>
          <w:color w:val="000000" w:themeColor="text1"/>
          <w:sz w:val="20"/>
        </w:rPr>
        <w:t>Main relevant i</w:t>
      </w:r>
      <w:r w:rsidR="00D05142" w:rsidRPr="0098635C">
        <w:rPr>
          <w:color w:val="000000" w:themeColor="text1"/>
          <w:sz w:val="20"/>
        </w:rPr>
        <w:t>mpurities: Pb, Ni, As</w:t>
      </w:r>
      <w:r w:rsidRPr="0098635C">
        <w:rPr>
          <w:color w:val="000000" w:themeColor="text1"/>
          <w:sz w:val="20"/>
        </w:rPr>
        <w:t>, Cd</w:t>
      </w:r>
      <w:r w:rsidR="00D05142" w:rsidRPr="0098635C">
        <w:rPr>
          <w:color w:val="000000" w:themeColor="text1"/>
          <w:sz w:val="20"/>
        </w:rPr>
        <w:t xml:space="preserve"> </w:t>
      </w:r>
      <w:bookmarkEnd w:id="53"/>
    </w:p>
    <w:p w14:paraId="559288DB" w14:textId="28FA5BF2" w:rsidR="00E22AA9" w:rsidRPr="0098635C" w:rsidRDefault="00236182" w:rsidP="00E22AA9">
      <w:pPr>
        <w:pStyle w:val="Heading9"/>
        <w:spacing w:after="0"/>
        <w:rPr>
          <w:b/>
          <w:i w:val="0"/>
          <w:color w:val="000000" w:themeColor="text1"/>
          <w:sz w:val="20"/>
          <w:szCs w:val="20"/>
        </w:rPr>
      </w:pPr>
      <w:r w:rsidRPr="0098635C">
        <w:rPr>
          <w:b/>
          <w:i w:val="0"/>
          <w:color w:val="000000" w:themeColor="text1"/>
          <w:sz w:val="20"/>
          <w:szCs w:val="20"/>
        </w:rPr>
        <w:t>Copper (I) oxide</w:t>
      </w:r>
      <w:r w:rsidR="00D05142" w:rsidRPr="0098635C">
        <w:rPr>
          <w:b/>
          <w:i w:val="0"/>
          <w:color w:val="000000" w:themeColor="text1"/>
          <w:sz w:val="20"/>
          <w:szCs w:val="20"/>
        </w:rPr>
        <w:t xml:space="preserve"> </w:t>
      </w:r>
    </w:p>
    <w:p w14:paraId="71990DB3" w14:textId="27A6282F" w:rsidR="00E22AA9" w:rsidRPr="0098635C" w:rsidRDefault="000C7340" w:rsidP="00E22AA9">
      <w:pPr>
        <w:pStyle w:val="BodyText"/>
        <w:spacing w:after="0"/>
        <w:rPr>
          <w:color w:val="000000" w:themeColor="text1"/>
          <w:sz w:val="20"/>
        </w:rPr>
      </w:pPr>
      <w:r w:rsidRPr="0098635C">
        <w:rPr>
          <w:color w:val="000000" w:themeColor="text1"/>
          <w:sz w:val="20"/>
        </w:rPr>
        <w:t>Purity: 97.2% Cu(I)O</w:t>
      </w:r>
      <w:r w:rsidR="004476D1" w:rsidRPr="0098635C">
        <w:rPr>
          <w:color w:val="000000" w:themeColor="text1"/>
          <w:sz w:val="20"/>
        </w:rPr>
        <w:t xml:space="preserve"> </w:t>
      </w:r>
      <w:r w:rsidR="00F544A1" w:rsidRPr="0098635C">
        <w:rPr>
          <w:color w:val="000000" w:themeColor="text1"/>
          <w:sz w:val="20"/>
        </w:rPr>
        <w:t>(</w:t>
      </w:r>
      <w:r w:rsidR="004476D1" w:rsidRPr="0098635C">
        <w:rPr>
          <w:color w:val="000000" w:themeColor="text1"/>
          <w:sz w:val="20"/>
        </w:rPr>
        <w:t>87.4% Cu</w:t>
      </w:r>
      <w:r w:rsidR="00F544A1" w:rsidRPr="0098635C">
        <w:rPr>
          <w:color w:val="000000" w:themeColor="text1"/>
          <w:sz w:val="20"/>
        </w:rPr>
        <w:t>)</w:t>
      </w:r>
      <w:r w:rsidR="004476D1" w:rsidRPr="0098635C">
        <w:rPr>
          <w:color w:val="000000" w:themeColor="text1"/>
          <w:sz w:val="20"/>
        </w:rPr>
        <w:t xml:space="preserve"> </w:t>
      </w:r>
    </w:p>
    <w:p w14:paraId="17AF8B8F" w14:textId="77777777" w:rsidR="00E54D6F" w:rsidRPr="0098635C" w:rsidRDefault="00E54D6F" w:rsidP="00E54D6F">
      <w:pPr>
        <w:pStyle w:val="BodyText"/>
        <w:rPr>
          <w:color w:val="000000" w:themeColor="text1"/>
          <w:sz w:val="20"/>
          <w:lang w:val="fr-FR"/>
        </w:rPr>
      </w:pPr>
      <w:r w:rsidRPr="0098635C">
        <w:rPr>
          <w:color w:val="000000" w:themeColor="text1"/>
          <w:sz w:val="20"/>
          <w:lang w:val="fr-FR"/>
        </w:rPr>
        <w:t xml:space="preserve">Main relevant impurities: Pb, Ni, As, Cd </w:t>
      </w:r>
    </w:p>
    <w:p w14:paraId="4489A66B" w14:textId="088FF215" w:rsidR="00E22AA9" w:rsidRPr="0098635C" w:rsidRDefault="00236182" w:rsidP="00E22AA9">
      <w:pPr>
        <w:pStyle w:val="Heading9"/>
        <w:spacing w:after="0"/>
        <w:rPr>
          <w:b/>
          <w:i w:val="0"/>
          <w:color w:val="000000" w:themeColor="text1"/>
          <w:sz w:val="20"/>
          <w:szCs w:val="20"/>
        </w:rPr>
      </w:pPr>
      <w:r w:rsidRPr="0098635C">
        <w:rPr>
          <w:b/>
          <w:i w:val="0"/>
          <w:color w:val="000000" w:themeColor="text1"/>
          <w:sz w:val="20"/>
          <w:szCs w:val="20"/>
        </w:rPr>
        <w:t>Copper (II) oxide</w:t>
      </w:r>
    </w:p>
    <w:p w14:paraId="6FC23CEC" w14:textId="1546C701" w:rsidR="00E22AA9" w:rsidRPr="0098635C" w:rsidRDefault="000C7340" w:rsidP="00E22AA9">
      <w:pPr>
        <w:pStyle w:val="BodyText"/>
        <w:spacing w:after="0"/>
        <w:rPr>
          <w:color w:val="000000" w:themeColor="text1"/>
          <w:sz w:val="20"/>
        </w:rPr>
      </w:pPr>
      <w:r w:rsidRPr="0098635C">
        <w:rPr>
          <w:color w:val="000000" w:themeColor="text1"/>
          <w:sz w:val="20"/>
        </w:rPr>
        <w:t>Purity: 97.5-98.5%</w:t>
      </w:r>
      <w:r w:rsidR="00E54D6F" w:rsidRPr="0098635C">
        <w:rPr>
          <w:color w:val="000000" w:themeColor="text1"/>
          <w:sz w:val="20"/>
        </w:rPr>
        <w:t xml:space="preserve"> CuO</w:t>
      </w:r>
      <w:r w:rsidR="004476D1" w:rsidRPr="0098635C">
        <w:rPr>
          <w:color w:val="000000" w:themeColor="text1"/>
          <w:sz w:val="20"/>
        </w:rPr>
        <w:t xml:space="preserve"> </w:t>
      </w:r>
      <w:r w:rsidR="00F544A1" w:rsidRPr="0098635C">
        <w:rPr>
          <w:color w:val="000000" w:themeColor="text1"/>
          <w:sz w:val="20"/>
        </w:rPr>
        <w:t>(</w:t>
      </w:r>
      <w:r w:rsidR="004476D1" w:rsidRPr="0098635C">
        <w:rPr>
          <w:color w:val="000000" w:themeColor="text1"/>
          <w:sz w:val="20"/>
        </w:rPr>
        <w:t>78% Cu</w:t>
      </w:r>
      <w:r w:rsidR="00F544A1" w:rsidRPr="0098635C">
        <w:rPr>
          <w:color w:val="000000" w:themeColor="text1"/>
          <w:sz w:val="20"/>
        </w:rPr>
        <w:t>)</w:t>
      </w:r>
    </w:p>
    <w:p w14:paraId="09A812B6" w14:textId="77777777" w:rsidR="00E54D6F" w:rsidRPr="0098635C" w:rsidRDefault="00E54D6F" w:rsidP="00E54D6F">
      <w:pPr>
        <w:pStyle w:val="BodyText"/>
        <w:rPr>
          <w:color w:val="000000" w:themeColor="text1"/>
          <w:sz w:val="20"/>
          <w:lang w:val="fr-FR"/>
        </w:rPr>
      </w:pPr>
      <w:r w:rsidRPr="0098635C">
        <w:rPr>
          <w:color w:val="000000" w:themeColor="text1"/>
          <w:sz w:val="20"/>
          <w:lang w:val="fr-FR"/>
        </w:rPr>
        <w:t xml:space="preserve">Main relevant impurities: Pb, Ni, As, Cd </w:t>
      </w:r>
    </w:p>
    <w:p w14:paraId="0FE29607" w14:textId="46E12E63" w:rsidR="00E22AA9" w:rsidRPr="0098635C" w:rsidRDefault="00236182" w:rsidP="00E22AA9">
      <w:pPr>
        <w:pStyle w:val="Heading9"/>
        <w:spacing w:after="0"/>
        <w:rPr>
          <w:b/>
          <w:i w:val="0"/>
          <w:color w:val="000000" w:themeColor="text1"/>
          <w:sz w:val="20"/>
          <w:szCs w:val="20"/>
        </w:rPr>
      </w:pPr>
      <w:r w:rsidRPr="0098635C">
        <w:rPr>
          <w:b/>
          <w:i w:val="0"/>
          <w:color w:val="000000" w:themeColor="text1"/>
          <w:sz w:val="20"/>
          <w:szCs w:val="20"/>
        </w:rPr>
        <w:t>Dicopper chloride trihydroxide</w:t>
      </w:r>
      <w:r w:rsidR="00D05142" w:rsidRPr="0098635C">
        <w:rPr>
          <w:b/>
          <w:i w:val="0"/>
          <w:color w:val="000000" w:themeColor="text1"/>
          <w:sz w:val="20"/>
          <w:szCs w:val="20"/>
        </w:rPr>
        <w:t xml:space="preserve"> </w:t>
      </w:r>
    </w:p>
    <w:p w14:paraId="02A25015" w14:textId="492533EE" w:rsidR="00E22AA9" w:rsidRPr="0098635C" w:rsidRDefault="000C7340" w:rsidP="00E22AA9">
      <w:pPr>
        <w:pStyle w:val="BodyText"/>
        <w:spacing w:after="0"/>
        <w:rPr>
          <w:color w:val="000000" w:themeColor="text1"/>
          <w:sz w:val="20"/>
        </w:rPr>
      </w:pPr>
      <w:r w:rsidRPr="0098635C">
        <w:rPr>
          <w:color w:val="000000" w:themeColor="text1"/>
          <w:sz w:val="20"/>
        </w:rPr>
        <w:t xml:space="preserve">Purity: 96-97% </w:t>
      </w:r>
      <w:r w:rsidR="00236182" w:rsidRPr="0098635C">
        <w:rPr>
          <w:color w:val="000000" w:themeColor="text1"/>
          <w:sz w:val="20"/>
        </w:rPr>
        <w:t>dicopper chloride trihydroxide</w:t>
      </w:r>
      <w:r w:rsidR="00236182" w:rsidRPr="0098635C" w:rsidDel="00236182">
        <w:rPr>
          <w:color w:val="000000" w:themeColor="text1"/>
          <w:sz w:val="20"/>
        </w:rPr>
        <w:t xml:space="preserve"> </w:t>
      </w:r>
      <w:r w:rsidR="004476D1" w:rsidRPr="0098635C">
        <w:rPr>
          <w:color w:val="000000" w:themeColor="text1"/>
          <w:sz w:val="20"/>
        </w:rPr>
        <w:t xml:space="preserve"> </w:t>
      </w:r>
      <w:r w:rsidR="00F544A1" w:rsidRPr="0098635C">
        <w:rPr>
          <w:color w:val="000000" w:themeColor="text1"/>
          <w:sz w:val="20"/>
        </w:rPr>
        <w:t>(</w:t>
      </w:r>
      <w:r w:rsidR="004476D1" w:rsidRPr="0098635C">
        <w:rPr>
          <w:color w:val="000000" w:themeColor="text1"/>
          <w:sz w:val="20"/>
        </w:rPr>
        <w:t>57-58% Cu</w:t>
      </w:r>
      <w:r w:rsidR="00F544A1" w:rsidRPr="0098635C">
        <w:rPr>
          <w:color w:val="000000" w:themeColor="text1"/>
          <w:sz w:val="20"/>
        </w:rPr>
        <w:t>)</w:t>
      </w:r>
    </w:p>
    <w:p w14:paraId="27E6D853" w14:textId="77777777" w:rsidR="00D05142" w:rsidRPr="0098635C" w:rsidRDefault="00E54D6F" w:rsidP="00D05142">
      <w:pPr>
        <w:pStyle w:val="BodyText"/>
        <w:rPr>
          <w:color w:val="000000" w:themeColor="text1"/>
          <w:sz w:val="20"/>
        </w:rPr>
      </w:pPr>
      <w:r w:rsidRPr="0098635C">
        <w:rPr>
          <w:color w:val="000000" w:themeColor="text1"/>
          <w:sz w:val="20"/>
        </w:rPr>
        <w:t>Main relevant impurities: Pb, Ni, As, Cd</w:t>
      </w:r>
      <w:r w:rsidR="00D05142" w:rsidRPr="0098635C">
        <w:rPr>
          <w:color w:val="000000" w:themeColor="text1"/>
          <w:sz w:val="20"/>
        </w:rPr>
        <w:br w:type="page"/>
      </w:r>
    </w:p>
    <w:p w14:paraId="5E059F73" w14:textId="77777777" w:rsidR="009B096C" w:rsidRPr="0098635C" w:rsidRDefault="009B096C" w:rsidP="009B096C">
      <w:pPr>
        <w:pStyle w:val="Heading2"/>
        <w:numPr>
          <w:ilvl w:val="0"/>
          <w:numId w:val="0"/>
        </w:numPr>
        <w:rPr>
          <w:color w:val="000000" w:themeColor="text1"/>
          <w:sz w:val="20"/>
        </w:rPr>
      </w:pPr>
      <w:bookmarkStart w:id="54" w:name="_Toc32726015"/>
      <w:bookmarkStart w:id="55" w:name="_Toc32727198"/>
      <w:bookmarkStart w:id="56" w:name="_Toc43868643"/>
      <w:bookmarkStart w:id="57" w:name="_Toc200358231"/>
      <w:bookmarkStart w:id="58" w:name="_Toc200359247"/>
      <w:bookmarkStart w:id="59" w:name="_Toc471999238"/>
      <w:bookmarkStart w:id="60" w:name="_Toc472250850"/>
      <w:r w:rsidRPr="0098635C">
        <w:rPr>
          <w:color w:val="000000" w:themeColor="text1"/>
          <w:sz w:val="20"/>
        </w:rPr>
        <w:lastRenderedPageBreak/>
        <w:t>1.3</w:t>
      </w:r>
      <w:r w:rsidRPr="0098635C">
        <w:rPr>
          <w:color w:val="000000" w:themeColor="text1"/>
          <w:sz w:val="20"/>
        </w:rPr>
        <w:tab/>
      </w:r>
      <w:r w:rsidR="00B05271" w:rsidRPr="0098635C">
        <w:rPr>
          <w:color w:val="000000" w:themeColor="text1"/>
          <w:sz w:val="20"/>
        </w:rPr>
        <w:t>Physic</w:t>
      </w:r>
      <w:r w:rsidR="00B35104" w:rsidRPr="0098635C">
        <w:rPr>
          <w:color w:val="000000" w:themeColor="text1"/>
          <w:sz w:val="20"/>
        </w:rPr>
        <w:t>al</w:t>
      </w:r>
      <w:r w:rsidR="00B05271" w:rsidRPr="0098635C">
        <w:rPr>
          <w:color w:val="000000" w:themeColor="text1"/>
          <w:sz w:val="20"/>
        </w:rPr>
        <w:t xml:space="preserve">-Chemical </w:t>
      </w:r>
      <w:r w:rsidR="00753BC8" w:rsidRPr="0098635C">
        <w:rPr>
          <w:color w:val="000000" w:themeColor="text1"/>
          <w:sz w:val="20"/>
        </w:rPr>
        <w:t>P</w:t>
      </w:r>
      <w:r w:rsidR="00B05271" w:rsidRPr="0098635C">
        <w:rPr>
          <w:color w:val="000000" w:themeColor="text1"/>
          <w:sz w:val="20"/>
        </w:rPr>
        <w:t>roperties</w:t>
      </w:r>
      <w:bookmarkStart w:id="61" w:name="_Toc43868644"/>
      <w:bookmarkStart w:id="62" w:name="_Toc200358232"/>
      <w:bookmarkStart w:id="63" w:name="_Toc200359248"/>
      <w:bookmarkEnd w:id="54"/>
      <w:bookmarkEnd w:id="55"/>
      <w:bookmarkEnd w:id="56"/>
      <w:bookmarkEnd w:id="57"/>
      <w:bookmarkEnd w:id="58"/>
      <w:bookmarkEnd w:id="59"/>
      <w:bookmarkEnd w:id="60"/>
    </w:p>
    <w:p w14:paraId="18C2F192" w14:textId="33460023" w:rsidR="00E22AA9" w:rsidRPr="0098635C" w:rsidRDefault="00E22AA9" w:rsidP="00144DE3">
      <w:pPr>
        <w:pStyle w:val="BodyText"/>
        <w:rPr>
          <w:color w:val="000000" w:themeColor="text1"/>
          <w:sz w:val="20"/>
        </w:rPr>
      </w:pPr>
      <w:r w:rsidRPr="0098635C">
        <w:rPr>
          <w:color w:val="000000" w:themeColor="text1"/>
          <w:sz w:val="20"/>
        </w:rPr>
        <w:t>The physico-chemical properties of Cu, CuSO</w:t>
      </w:r>
      <w:r w:rsidRPr="0098635C">
        <w:rPr>
          <w:color w:val="000000" w:themeColor="text1"/>
          <w:sz w:val="20"/>
          <w:vertAlign w:val="subscript"/>
        </w:rPr>
        <w:t>4</w:t>
      </w:r>
      <w:r w:rsidRPr="0098635C">
        <w:rPr>
          <w:color w:val="000000" w:themeColor="text1"/>
          <w:sz w:val="20"/>
        </w:rPr>
        <w:t>.5H</w:t>
      </w:r>
      <w:r w:rsidRPr="0098635C">
        <w:rPr>
          <w:color w:val="000000" w:themeColor="text1"/>
          <w:sz w:val="20"/>
          <w:vertAlign w:val="subscript"/>
        </w:rPr>
        <w:t>2</w:t>
      </w:r>
      <w:r w:rsidR="00C44075" w:rsidRPr="0098635C">
        <w:rPr>
          <w:color w:val="000000" w:themeColor="text1"/>
          <w:sz w:val="20"/>
        </w:rPr>
        <w:t>O</w:t>
      </w:r>
      <w:r w:rsidRPr="0098635C">
        <w:rPr>
          <w:color w:val="000000" w:themeColor="text1"/>
          <w:sz w:val="20"/>
        </w:rPr>
        <w:t>, CuO, Cu</w:t>
      </w:r>
      <w:r w:rsidRPr="0098635C">
        <w:rPr>
          <w:color w:val="000000" w:themeColor="text1"/>
          <w:sz w:val="20"/>
          <w:vertAlign w:val="subscript"/>
        </w:rPr>
        <w:t>2</w:t>
      </w:r>
      <w:r w:rsidRPr="0098635C">
        <w:rPr>
          <w:color w:val="000000" w:themeColor="text1"/>
          <w:sz w:val="20"/>
        </w:rPr>
        <w:t>O and Cu</w:t>
      </w:r>
      <w:r w:rsidRPr="0098635C">
        <w:rPr>
          <w:color w:val="000000" w:themeColor="text1"/>
          <w:sz w:val="20"/>
          <w:vertAlign w:val="subscript"/>
        </w:rPr>
        <w:t>2</w:t>
      </w:r>
      <w:r w:rsidRPr="0098635C">
        <w:rPr>
          <w:color w:val="000000" w:themeColor="text1"/>
          <w:sz w:val="20"/>
        </w:rPr>
        <w:t>Cl(OH)</w:t>
      </w:r>
      <w:r w:rsidRPr="0098635C">
        <w:rPr>
          <w:color w:val="000000" w:themeColor="text1"/>
          <w:sz w:val="20"/>
          <w:vertAlign w:val="subscript"/>
        </w:rPr>
        <w:t>3</w:t>
      </w:r>
      <w:r w:rsidRPr="0098635C">
        <w:rPr>
          <w:color w:val="000000" w:themeColor="text1"/>
          <w:sz w:val="20"/>
        </w:rPr>
        <w:t xml:space="preserve">, given in the </w:t>
      </w:r>
      <w:r w:rsidR="00144DE3" w:rsidRPr="0098635C">
        <w:rPr>
          <w:color w:val="000000" w:themeColor="text1"/>
          <w:sz w:val="20"/>
        </w:rPr>
        <w:fldChar w:fldCharType="begin"/>
      </w:r>
      <w:r w:rsidR="00144DE3" w:rsidRPr="0098635C">
        <w:rPr>
          <w:color w:val="000000" w:themeColor="text1"/>
          <w:sz w:val="20"/>
        </w:rPr>
        <w:instrText xml:space="preserve"> REF _Ref471829486 \h </w:instrText>
      </w:r>
      <w:r w:rsidR="00EB7723" w:rsidRPr="0098635C">
        <w:rPr>
          <w:color w:val="000000" w:themeColor="text1"/>
          <w:sz w:val="20"/>
        </w:rPr>
        <w:instrText xml:space="preserve"> \* MERGEFORMAT </w:instrText>
      </w:r>
      <w:r w:rsidR="00144DE3" w:rsidRPr="0098635C">
        <w:rPr>
          <w:color w:val="000000" w:themeColor="text1"/>
          <w:sz w:val="20"/>
        </w:rPr>
      </w:r>
      <w:r w:rsidR="00144DE3" w:rsidRPr="0098635C">
        <w:rPr>
          <w:color w:val="000000" w:themeColor="text1"/>
          <w:sz w:val="20"/>
        </w:rPr>
        <w:fldChar w:fldCharType="separate"/>
      </w:r>
      <w:r w:rsidR="00144DE3" w:rsidRPr="0098635C">
        <w:rPr>
          <w:color w:val="000000" w:themeColor="text1"/>
          <w:sz w:val="20"/>
        </w:rPr>
        <w:t xml:space="preserve">Table </w:t>
      </w:r>
      <w:r w:rsidR="00144DE3" w:rsidRPr="0098635C">
        <w:rPr>
          <w:noProof/>
          <w:color w:val="000000" w:themeColor="text1"/>
          <w:sz w:val="20"/>
        </w:rPr>
        <w:t>1</w:t>
      </w:r>
      <w:r w:rsidR="00144DE3" w:rsidRPr="0098635C">
        <w:rPr>
          <w:color w:val="000000" w:themeColor="text1"/>
          <w:sz w:val="20"/>
        </w:rPr>
        <w:fldChar w:fldCharType="end"/>
      </w:r>
      <w:r w:rsidRPr="0098635C">
        <w:rPr>
          <w:color w:val="000000" w:themeColor="text1"/>
          <w:sz w:val="20"/>
        </w:rPr>
        <w:t xml:space="preserve"> are mainly provided by copper producers.</w:t>
      </w:r>
      <w:r w:rsidR="00813368" w:rsidRPr="0098635C">
        <w:rPr>
          <w:color w:val="000000" w:themeColor="text1"/>
          <w:sz w:val="20"/>
        </w:rPr>
        <w:t xml:space="preserve"> </w:t>
      </w:r>
    </w:p>
    <w:p w14:paraId="6D37D050" w14:textId="671915B0" w:rsidR="00E60AEA" w:rsidRPr="0098635C" w:rsidRDefault="00596170" w:rsidP="0011132B">
      <w:pPr>
        <w:pStyle w:val="Caption"/>
        <w:spacing w:before="0" w:after="0"/>
        <w:ind w:left="851"/>
        <w:jc w:val="center"/>
        <w:rPr>
          <w:b w:val="0"/>
          <w:color w:val="000000" w:themeColor="text1"/>
          <w:sz w:val="20"/>
        </w:rPr>
      </w:pPr>
      <w:bookmarkStart w:id="64" w:name="_Ref471829486"/>
      <w:r w:rsidRPr="0098635C">
        <w:rPr>
          <w:rFonts w:ascii="Times New Roman" w:hAnsi="Times New Roman"/>
          <w:color w:val="000000" w:themeColor="text1"/>
          <w:sz w:val="20"/>
        </w:rPr>
        <w:t xml:space="preserve">Table </w:t>
      </w:r>
      <w:r w:rsidRPr="0098635C">
        <w:rPr>
          <w:rFonts w:ascii="Times New Roman" w:hAnsi="Times New Roman"/>
          <w:color w:val="000000" w:themeColor="text1"/>
          <w:sz w:val="20"/>
        </w:rPr>
        <w:fldChar w:fldCharType="begin"/>
      </w:r>
      <w:r w:rsidRPr="0098635C">
        <w:rPr>
          <w:rFonts w:ascii="Times New Roman" w:hAnsi="Times New Roman"/>
          <w:color w:val="000000" w:themeColor="text1"/>
          <w:sz w:val="20"/>
        </w:rPr>
        <w:instrText xml:space="preserve"> SEQ Table \* ARABIC </w:instrText>
      </w:r>
      <w:r w:rsidRPr="0098635C">
        <w:rPr>
          <w:rFonts w:ascii="Times New Roman" w:hAnsi="Times New Roman"/>
          <w:color w:val="000000" w:themeColor="text1"/>
          <w:sz w:val="20"/>
        </w:rPr>
        <w:fldChar w:fldCharType="separate"/>
      </w:r>
      <w:r w:rsidR="00ED6038" w:rsidRPr="0098635C">
        <w:rPr>
          <w:rFonts w:ascii="Times New Roman" w:hAnsi="Times New Roman"/>
          <w:noProof/>
          <w:color w:val="000000" w:themeColor="text1"/>
          <w:sz w:val="20"/>
        </w:rPr>
        <w:t>1</w:t>
      </w:r>
      <w:r w:rsidRPr="0098635C">
        <w:rPr>
          <w:rFonts w:ascii="Times New Roman" w:hAnsi="Times New Roman"/>
          <w:color w:val="000000" w:themeColor="text1"/>
          <w:sz w:val="20"/>
        </w:rPr>
        <w:fldChar w:fldCharType="end"/>
      </w:r>
      <w:bookmarkEnd w:id="64"/>
      <w:r w:rsidRPr="0098635C">
        <w:rPr>
          <w:rFonts w:ascii="Times New Roman" w:hAnsi="Times New Roman"/>
          <w:color w:val="000000" w:themeColor="text1"/>
          <w:sz w:val="20"/>
        </w:rPr>
        <w:t xml:space="preserve"> : Physico-chemical properties of the substances</w:t>
      </w:r>
    </w:p>
    <w:p w14:paraId="18E5708A" w14:textId="2888324A" w:rsidR="0011132B" w:rsidRPr="0098635C" w:rsidRDefault="0011132B" w:rsidP="0059369A">
      <w:pPr>
        <w:pStyle w:val="Caption"/>
        <w:numPr>
          <w:ilvl w:val="0"/>
          <w:numId w:val="43"/>
        </w:numPr>
        <w:spacing w:before="0" w:after="0"/>
        <w:jc w:val="center"/>
        <w:rPr>
          <w:rFonts w:ascii="Times New Roman" w:hAnsi="Times New Roman"/>
          <w:b w:val="0"/>
          <w:color w:val="000000" w:themeColor="text1"/>
          <w:sz w:val="20"/>
        </w:rPr>
      </w:pPr>
      <w:r w:rsidRPr="0098635C">
        <w:rPr>
          <w:b w:val="0"/>
          <w:color w:val="000000" w:themeColor="text1"/>
          <w:sz w:val="20"/>
        </w:rPr>
        <w:t>copper metal</w:t>
      </w:r>
      <w:r w:rsidR="00E11280" w:rsidRPr="0098635C">
        <w:rPr>
          <w:rFonts w:ascii="Times New Roman" w:hAnsi="Times New Roman"/>
          <w:b w:val="0"/>
          <w:color w:val="000000" w:themeColor="text1"/>
          <w:sz w:val="20"/>
        </w:rPr>
        <w:t xml:space="preserve">; (2) </w:t>
      </w:r>
      <w:r w:rsidRPr="0098635C">
        <w:rPr>
          <w:rFonts w:ascii="Times New Roman" w:hAnsi="Times New Roman"/>
          <w:b w:val="0"/>
          <w:color w:val="000000" w:themeColor="text1"/>
          <w:sz w:val="20"/>
        </w:rPr>
        <w:t>Coated flakes</w:t>
      </w:r>
      <w:r w:rsidR="00D62EB8" w:rsidRPr="0098635C">
        <w:rPr>
          <w:rFonts w:ascii="Times New Roman" w:hAnsi="Times New Roman"/>
          <w:b w:val="0"/>
          <w:color w:val="000000" w:themeColor="text1"/>
          <w:sz w:val="20"/>
        </w:rPr>
        <w:t xml:space="preserve"> </w:t>
      </w:r>
    </w:p>
    <w:p w14:paraId="0BFDFCAE" w14:textId="77777777" w:rsidR="00AC71D6" w:rsidRPr="0098635C" w:rsidRDefault="00AC71D6" w:rsidP="00C44075">
      <w:pPr>
        <w:pStyle w:val="BodyText"/>
        <w:jc w:val="left"/>
        <w:rPr>
          <w:color w:val="000000" w:themeColor="text1"/>
          <w:sz w:val="20"/>
        </w:rPr>
      </w:pPr>
    </w:p>
    <w:p w14:paraId="5E940F2A" w14:textId="77777777" w:rsidR="00AC71D6" w:rsidRPr="0098635C" w:rsidRDefault="00AC71D6" w:rsidP="00AC71D6">
      <w:pPr>
        <w:pStyle w:val="Caption"/>
        <w:spacing w:before="0" w:after="0"/>
        <w:ind w:left="0"/>
        <w:rPr>
          <w:color w:val="000000" w:themeColor="text1"/>
          <w:sz w:val="20"/>
        </w:rPr>
      </w:pPr>
    </w:p>
    <w:tbl>
      <w:tblPr>
        <w:tblStyle w:val="TableGrid"/>
        <w:tblW w:w="9634" w:type="dxa"/>
        <w:tblBorders>
          <w:insideH w:val="single" w:sz="6" w:space="0" w:color="auto"/>
          <w:insideV w:val="single" w:sz="6" w:space="0" w:color="auto"/>
        </w:tblBorders>
        <w:tblLayout w:type="fixed"/>
        <w:tblLook w:val="04A0" w:firstRow="1" w:lastRow="0" w:firstColumn="1" w:lastColumn="0" w:noHBand="0" w:noVBand="1"/>
      </w:tblPr>
      <w:tblGrid>
        <w:gridCol w:w="1413"/>
        <w:gridCol w:w="2352"/>
        <w:gridCol w:w="58"/>
        <w:gridCol w:w="1275"/>
        <w:gridCol w:w="26"/>
        <w:gridCol w:w="1675"/>
        <w:gridCol w:w="10"/>
        <w:gridCol w:w="1399"/>
        <w:gridCol w:w="9"/>
        <w:gridCol w:w="1417"/>
      </w:tblGrid>
      <w:tr w:rsidR="00AC71D6" w:rsidRPr="0098635C" w14:paraId="0FD5A339" w14:textId="77777777" w:rsidTr="004F5C51">
        <w:tc>
          <w:tcPr>
            <w:tcW w:w="1413" w:type="dxa"/>
          </w:tcPr>
          <w:p w14:paraId="7116B47E" w14:textId="77777777" w:rsidR="00AC71D6" w:rsidRPr="0098635C" w:rsidRDefault="00AC71D6" w:rsidP="00AC71D6">
            <w:pPr>
              <w:widowControl/>
              <w:autoSpaceDE/>
              <w:autoSpaceDN/>
              <w:adjustRightInd/>
              <w:spacing w:after="0"/>
              <w:rPr>
                <w:color w:val="000000" w:themeColor="text1"/>
                <w:sz w:val="20"/>
                <w:szCs w:val="20"/>
              </w:rPr>
            </w:pPr>
          </w:p>
        </w:tc>
        <w:tc>
          <w:tcPr>
            <w:tcW w:w="2410" w:type="dxa"/>
            <w:gridSpan w:val="2"/>
          </w:tcPr>
          <w:p w14:paraId="0F1737BE" w14:textId="77777777" w:rsidR="00AC71D6" w:rsidRPr="0098635C" w:rsidRDefault="00AC71D6" w:rsidP="00AC71D6">
            <w:pPr>
              <w:widowControl/>
              <w:autoSpaceDE/>
              <w:autoSpaceDN/>
              <w:adjustRightInd/>
              <w:spacing w:after="0"/>
              <w:jc w:val="center"/>
              <w:rPr>
                <w:b/>
                <w:color w:val="000000" w:themeColor="text1"/>
                <w:sz w:val="20"/>
                <w:szCs w:val="20"/>
              </w:rPr>
            </w:pPr>
            <w:r w:rsidRPr="0098635C">
              <w:rPr>
                <w:b/>
                <w:color w:val="000000" w:themeColor="text1"/>
                <w:sz w:val="20"/>
                <w:szCs w:val="20"/>
              </w:rPr>
              <w:t>Cu metal (1) and coated copper flakes (2)</w:t>
            </w:r>
          </w:p>
        </w:tc>
        <w:tc>
          <w:tcPr>
            <w:tcW w:w="1275" w:type="dxa"/>
          </w:tcPr>
          <w:p w14:paraId="08C23225" w14:textId="77777777" w:rsidR="00AC71D6" w:rsidRPr="0098635C" w:rsidRDefault="00AC71D6" w:rsidP="00AC71D6">
            <w:pPr>
              <w:spacing w:after="0"/>
              <w:jc w:val="center"/>
              <w:rPr>
                <w:b/>
                <w:color w:val="000000" w:themeColor="text1"/>
                <w:sz w:val="20"/>
                <w:szCs w:val="20"/>
              </w:rPr>
            </w:pPr>
            <w:r w:rsidRPr="0098635C">
              <w:rPr>
                <w:b/>
                <w:color w:val="000000" w:themeColor="text1"/>
                <w:sz w:val="20"/>
                <w:szCs w:val="20"/>
              </w:rPr>
              <w:t xml:space="preserve">Copper(II) sulphate pentahydrate </w:t>
            </w:r>
          </w:p>
        </w:tc>
        <w:tc>
          <w:tcPr>
            <w:tcW w:w="1701" w:type="dxa"/>
            <w:gridSpan w:val="2"/>
          </w:tcPr>
          <w:p w14:paraId="1D0A58CF" w14:textId="77777777" w:rsidR="00AC71D6" w:rsidRPr="0098635C" w:rsidRDefault="00AC71D6" w:rsidP="00AC71D6">
            <w:pPr>
              <w:spacing w:after="0"/>
              <w:jc w:val="center"/>
              <w:rPr>
                <w:b/>
                <w:color w:val="000000" w:themeColor="text1"/>
                <w:sz w:val="20"/>
                <w:szCs w:val="20"/>
              </w:rPr>
            </w:pPr>
            <w:r w:rsidRPr="0098635C">
              <w:rPr>
                <w:b/>
                <w:color w:val="000000" w:themeColor="text1"/>
                <w:sz w:val="20"/>
                <w:szCs w:val="20"/>
              </w:rPr>
              <w:t xml:space="preserve">Copper (I) oxide  </w:t>
            </w:r>
          </w:p>
        </w:tc>
        <w:tc>
          <w:tcPr>
            <w:tcW w:w="1418" w:type="dxa"/>
            <w:gridSpan w:val="3"/>
          </w:tcPr>
          <w:p w14:paraId="30FDCCD9" w14:textId="77777777" w:rsidR="00AC71D6" w:rsidRPr="0098635C" w:rsidRDefault="00AC71D6" w:rsidP="00AC71D6">
            <w:pPr>
              <w:spacing w:after="0"/>
              <w:jc w:val="center"/>
              <w:rPr>
                <w:b/>
                <w:color w:val="000000" w:themeColor="text1"/>
                <w:sz w:val="20"/>
                <w:szCs w:val="20"/>
              </w:rPr>
            </w:pPr>
            <w:r w:rsidRPr="0098635C">
              <w:rPr>
                <w:b/>
                <w:color w:val="000000" w:themeColor="text1"/>
                <w:sz w:val="20"/>
                <w:szCs w:val="20"/>
              </w:rPr>
              <w:t>Copper (II) oxide</w:t>
            </w:r>
          </w:p>
          <w:p w14:paraId="13A87DE5" w14:textId="77777777" w:rsidR="00AC71D6" w:rsidRPr="0098635C" w:rsidRDefault="00AC71D6" w:rsidP="00AC71D6">
            <w:pPr>
              <w:spacing w:after="0"/>
              <w:jc w:val="center"/>
              <w:rPr>
                <w:b/>
                <w:color w:val="000000" w:themeColor="text1"/>
                <w:sz w:val="20"/>
                <w:szCs w:val="20"/>
              </w:rPr>
            </w:pPr>
          </w:p>
        </w:tc>
        <w:tc>
          <w:tcPr>
            <w:tcW w:w="1417" w:type="dxa"/>
          </w:tcPr>
          <w:p w14:paraId="41F28498" w14:textId="77777777" w:rsidR="00AC71D6" w:rsidRPr="0098635C" w:rsidRDefault="00AC71D6" w:rsidP="00AC71D6">
            <w:pPr>
              <w:spacing w:after="0"/>
              <w:jc w:val="center"/>
              <w:rPr>
                <w:b/>
                <w:color w:val="000000" w:themeColor="text1"/>
                <w:sz w:val="20"/>
                <w:szCs w:val="20"/>
              </w:rPr>
            </w:pPr>
            <w:r w:rsidRPr="0098635C">
              <w:rPr>
                <w:b/>
                <w:color w:val="000000" w:themeColor="text1"/>
                <w:sz w:val="20"/>
                <w:szCs w:val="20"/>
              </w:rPr>
              <w:t xml:space="preserve">Dicopper chloride trihydroxide </w:t>
            </w:r>
          </w:p>
        </w:tc>
      </w:tr>
      <w:tr w:rsidR="00AC71D6" w:rsidRPr="0098635C" w14:paraId="0229631A" w14:textId="77777777" w:rsidTr="004F5C51">
        <w:tc>
          <w:tcPr>
            <w:tcW w:w="1413" w:type="dxa"/>
          </w:tcPr>
          <w:p w14:paraId="11E379AE" w14:textId="77777777" w:rsidR="00AC71D6" w:rsidRPr="0098635C" w:rsidRDefault="00AC71D6" w:rsidP="00AC71D6">
            <w:pPr>
              <w:widowControl/>
              <w:autoSpaceDE/>
              <w:autoSpaceDN/>
              <w:adjustRightInd/>
              <w:spacing w:after="0"/>
              <w:rPr>
                <w:b/>
                <w:color w:val="000000" w:themeColor="text1"/>
                <w:sz w:val="20"/>
                <w:szCs w:val="20"/>
              </w:rPr>
            </w:pPr>
            <w:r w:rsidRPr="0098635C">
              <w:rPr>
                <w:b/>
                <w:color w:val="000000" w:themeColor="text1"/>
                <w:sz w:val="20"/>
                <w:szCs w:val="20"/>
              </w:rPr>
              <w:t>Physical state</w:t>
            </w:r>
          </w:p>
        </w:tc>
        <w:tc>
          <w:tcPr>
            <w:tcW w:w="2352" w:type="dxa"/>
          </w:tcPr>
          <w:p w14:paraId="5EBFD5FC" w14:textId="77777777" w:rsidR="00AC71D6" w:rsidRPr="0098635C" w:rsidRDefault="00AC71D6" w:rsidP="00AC71D6">
            <w:pPr>
              <w:widowControl/>
              <w:autoSpaceDE/>
              <w:autoSpaceDN/>
              <w:adjustRightInd/>
              <w:spacing w:after="0"/>
              <w:ind w:left="34"/>
              <w:jc w:val="left"/>
              <w:rPr>
                <w:color w:val="000000" w:themeColor="text1"/>
                <w:sz w:val="20"/>
                <w:szCs w:val="20"/>
                <w:lang w:val="fr-FR"/>
              </w:rPr>
            </w:pPr>
            <w:r w:rsidRPr="0098635C">
              <w:rPr>
                <w:color w:val="000000" w:themeColor="text1"/>
                <w:sz w:val="20"/>
                <w:szCs w:val="20"/>
                <w:lang w:val="fr-FR"/>
              </w:rPr>
              <w:t xml:space="preserve">Solid </w:t>
            </w:r>
          </w:p>
          <w:p w14:paraId="00811338" w14:textId="1CF8B3A1" w:rsidR="00AC71D6" w:rsidRPr="0098635C" w:rsidRDefault="00DA0FBE" w:rsidP="00AC71D6">
            <w:pPr>
              <w:widowControl/>
              <w:autoSpaceDE/>
              <w:autoSpaceDN/>
              <w:adjustRightInd/>
              <w:spacing w:after="0"/>
              <w:ind w:left="34"/>
              <w:jc w:val="left"/>
              <w:rPr>
                <w:color w:val="000000" w:themeColor="text1"/>
                <w:sz w:val="20"/>
                <w:szCs w:val="20"/>
                <w:lang w:val="fr-FR"/>
              </w:rPr>
            </w:pPr>
            <w:r w:rsidRPr="0098635C">
              <w:rPr>
                <w:color w:val="000000" w:themeColor="text1"/>
                <w:sz w:val="20"/>
                <w:szCs w:val="20"/>
                <w:lang w:val="fr-FR"/>
              </w:rPr>
              <w:t xml:space="preserve"> (1) Liipo et al 2010a</w:t>
            </w:r>
          </w:p>
          <w:p w14:paraId="72CB09AE" w14:textId="770F278C" w:rsidR="00AC71D6" w:rsidRPr="0098635C" w:rsidRDefault="00AC71D6" w:rsidP="00AC71D6">
            <w:pPr>
              <w:widowControl/>
              <w:autoSpaceDE/>
              <w:autoSpaceDN/>
              <w:adjustRightInd/>
              <w:spacing w:after="0"/>
              <w:ind w:left="34"/>
              <w:jc w:val="left"/>
              <w:rPr>
                <w:color w:val="000000" w:themeColor="text1"/>
                <w:sz w:val="20"/>
                <w:szCs w:val="20"/>
                <w:lang w:val="fr-FR"/>
              </w:rPr>
            </w:pPr>
            <w:r w:rsidRPr="0098635C">
              <w:rPr>
                <w:color w:val="000000" w:themeColor="text1"/>
                <w:sz w:val="20"/>
                <w:szCs w:val="20"/>
                <w:lang w:val="fr-FR"/>
              </w:rPr>
              <w:t xml:space="preserve"> (2) </w:t>
            </w:r>
            <w:r w:rsidR="00DA0FBE" w:rsidRPr="0098635C">
              <w:rPr>
                <w:color w:val="000000" w:themeColor="text1"/>
                <w:sz w:val="20"/>
                <w:szCs w:val="20"/>
                <w:lang w:val="fr-FR"/>
              </w:rPr>
              <w:t xml:space="preserve">Liipo et al. 2010b, </w:t>
            </w:r>
            <w:r w:rsidRPr="0098635C">
              <w:rPr>
                <w:color w:val="000000" w:themeColor="text1"/>
                <w:sz w:val="20"/>
                <w:szCs w:val="20"/>
                <w:lang w:val="fr-FR"/>
              </w:rPr>
              <w:t>Messershmidt 2006a</w:t>
            </w:r>
          </w:p>
        </w:tc>
        <w:tc>
          <w:tcPr>
            <w:tcW w:w="1359" w:type="dxa"/>
            <w:gridSpan w:val="3"/>
          </w:tcPr>
          <w:p w14:paraId="723F5D35"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Solid</w:t>
            </w:r>
          </w:p>
          <w:p w14:paraId="03E7AF85"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Lide DR 2009</w:t>
            </w:r>
          </w:p>
          <w:p w14:paraId="6A453F21" w14:textId="77777777" w:rsidR="00AC71D6" w:rsidRPr="0098635C" w:rsidRDefault="00AC71D6" w:rsidP="00AC71D6">
            <w:pPr>
              <w:spacing w:after="0"/>
              <w:jc w:val="center"/>
              <w:rPr>
                <w:color w:val="000000" w:themeColor="text1"/>
                <w:sz w:val="20"/>
                <w:szCs w:val="20"/>
              </w:rPr>
            </w:pPr>
          </w:p>
          <w:p w14:paraId="7D93CF91" w14:textId="77777777" w:rsidR="00AC71D6" w:rsidRPr="0098635C" w:rsidRDefault="00AC71D6" w:rsidP="00AC71D6">
            <w:pPr>
              <w:spacing w:after="0"/>
              <w:jc w:val="center"/>
              <w:rPr>
                <w:color w:val="000000" w:themeColor="text1"/>
                <w:sz w:val="20"/>
                <w:szCs w:val="20"/>
              </w:rPr>
            </w:pPr>
          </w:p>
        </w:tc>
        <w:tc>
          <w:tcPr>
            <w:tcW w:w="1685" w:type="dxa"/>
            <w:gridSpan w:val="2"/>
          </w:tcPr>
          <w:p w14:paraId="2A8EF42C"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Solid</w:t>
            </w:r>
          </w:p>
          <w:p w14:paraId="493A179F"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(O'Connor B and Mullee D 2003)</w:t>
            </w:r>
          </w:p>
        </w:tc>
        <w:tc>
          <w:tcPr>
            <w:tcW w:w="1399" w:type="dxa"/>
          </w:tcPr>
          <w:p w14:paraId="54A90E38"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Solid</w:t>
            </w:r>
          </w:p>
          <w:p w14:paraId="749363EA"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(Desai LS 1992)</w:t>
            </w:r>
          </w:p>
        </w:tc>
        <w:tc>
          <w:tcPr>
            <w:tcW w:w="1426" w:type="dxa"/>
            <w:gridSpan w:val="2"/>
          </w:tcPr>
          <w:p w14:paraId="556D0596"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Solid</w:t>
            </w:r>
          </w:p>
          <w:p w14:paraId="527C35D1"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(O’Connor BJ and Mullee DM 2003)</w:t>
            </w:r>
          </w:p>
        </w:tc>
      </w:tr>
      <w:tr w:rsidR="00AC71D6" w:rsidRPr="0098635C" w14:paraId="51EAB95F" w14:textId="77777777" w:rsidTr="004F5C51">
        <w:tc>
          <w:tcPr>
            <w:tcW w:w="1413" w:type="dxa"/>
          </w:tcPr>
          <w:p w14:paraId="08CB9D90" w14:textId="77777777" w:rsidR="00AC71D6" w:rsidRPr="0098635C" w:rsidRDefault="00AC71D6" w:rsidP="00AC71D6">
            <w:pPr>
              <w:widowControl/>
              <w:autoSpaceDE/>
              <w:autoSpaceDN/>
              <w:adjustRightInd/>
              <w:spacing w:after="0"/>
              <w:rPr>
                <w:b/>
                <w:color w:val="000000" w:themeColor="text1"/>
                <w:sz w:val="20"/>
                <w:szCs w:val="20"/>
              </w:rPr>
            </w:pPr>
            <w:r w:rsidRPr="0098635C">
              <w:rPr>
                <w:b/>
                <w:color w:val="000000" w:themeColor="text1"/>
                <w:sz w:val="20"/>
                <w:szCs w:val="20"/>
              </w:rPr>
              <w:t>Boiling point</w:t>
            </w:r>
          </w:p>
        </w:tc>
        <w:tc>
          <w:tcPr>
            <w:tcW w:w="2352" w:type="dxa"/>
          </w:tcPr>
          <w:p w14:paraId="06684AE0" w14:textId="77777777" w:rsidR="00AC71D6" w:rsidRPr="0098635C" w:rsidRDefault="00AC71D6" w:rsidP="00AC71D6">
            <w:pPr>
              <w:widowControl/>
              <w:autoSpaceDE/>
              <w:autoSpaceDN/>
              <w:adjustRightInd/>
              <w:spacing w:after="0"/>
              <w:ind w:left="34"/>
              <w:jc w:val="left"/>
              <w:rPr>
                <w:color w:val="000000" w:themeColor="text1"/>
                <w:sz w:val="20"/>
                <w:szCs w:val="20"/>
              </w:rPr>
            </w:pPr>
            <w:r w:rsidRPr="0098635C">
              <w:rPr>
                <w:color w:val="000000" w:themeColor="text1"/>
                <w:sz w:val="20"/>
                <w:szCs w:val="20"/>
              </w:rPr>
              <w:t>Not required *</w:t>
            </w:r>
          </w:p>
        </w:tc>
        <w:tc>
          <w:tcPr>
            <w:tcW w:w="1359" w:type="dxa"/>
            <w:gridSpan w:val="3"/>
          </w:tcPr>
          <w:p w14:paraId="6A0D2843"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Decomposes without boiling at 110°C</w:t>
            </w:r>
          </w:p>
          <w:p w14:paraId="15CE8C6E"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(Lide DR 2009)</w:t>
            </w:r>
          </w:p>
          <w:p w14:paraId="2FEE0EBC" w14:textId="77777777" w:rsidR="00AC71D6" w:rsidRPr="0098635C" w:rsidRDefault="00AC71D6" w:rsidP="00AC71D6">
            <w:pPr>
              <w:spacing w:after="0"/>
              <w:jc w:val="center"/>
              <w:rPr>
                <w:color w:val="000000" w:themeColor="text1"/>
                <w:sz w:val="20"/>
                <w:szCs w:val="20"/>
              </w:rPr>
            </w:pPr>
          </w:p>
        </w:tc>
        <w:tc>
          <w:tcPr>
            <w:tcW w:w="1685" w:type="dxa"/>
            <w:gridSpan w:val="2"/>
          </w:tcPr>
          <w:p w14:paraId="5AB813AB"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Boiling point cannot be determined because of decomposition to at &gt;332°C</w:t>
            </w:r>
          </w:p>
        </w:tc>
        <w:tc>
          <w:tcPr>
            <w:tcW w:w="1399" w:type="dxa"/>
          </w:tcPr>
          <w:p w14:paraId="62D76B00"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not applicable</w:t>
            </w:r>
          </w:p>
        </w:tc>
        <w:tc>
          <w:tcPr>
            <w:tcW w:w="1426" w:type="dxa"/>
            <w:gridSpan w:val="2"/>
          </w:tcPr>
          <w:p w14:paraId="7D30BDB5"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Boiling point cannot be determined because of decomposition (onset temperature 240°C</w:t>
            </w:r>
          </w:p>
        </w:tc>
      </w:tr>
      <w:tr w:rsidR="00AC71D6" w:rsidRPr="0098635C" w14:paraId="2C774B5F" w14:textId="77777777" w:rsidTr="004F5C51">
        <w:tc>
          <w:tcPr>
            <w:tcW w:w="1413" w:type="dxa"/>
          </w:tcPr>
          <w:p w14:paraId="34D64BA7" w14:textId="77777777" w:rsidR="00AC71D6" w:rsidRPr="0098635C" w:rsidRDefault="00AC71D6" w:rsidP="00AC71D6">
            <w:pPr>
              <w:widowControl/>
              <w:autoSpaceDE/>
              <w:autoSpaceDN/>
              <w:adjustRightInd/>
              <w:spacing w:after="0"/>
              <w:rPr>
                <w:b/>
                <w:color w:val="000000" w:themeColor="text1"/>
                <w:sz w:val="20"/>
                <w:szCs w:val="20"/>
              </w:rPr>
            </w:pPr>
            <w:r w:rsidRPr="0098635C">
              <w:rPr>
                <w:b/>
                <w:color w:val="000000" w:themeColor="text1"/>
                <w:sz w:val="20"/>
                <w:szCs w:val="20"/>
              </w:rPr>
              <w:t>Melting point</w:t>
            </w:r>
          </w:p>
        </w:tc>
        <w:tc>
          <w:tcPr>
            <w:tcW w:w="2352" w:type="dxa"/>
          </w:tcPr>
          <w:p w14:paraId="1C210CDA" w14:textId="77777777" w:rsidR="00AC71D6" w:rsidRPr="0098635C" w:rsidRDefault="00AC71D6" w:rsidP="00AC71D6">
            <w:pPr>
              <w:widowControl/>
              <w:autoSpaceDE/>
              <w:autoSpaceDN/>
              <w:adjustRightInd/>
              <w:spacing w:after="0"/>
              <w:ind w:left="34"/>
              <w:jc w:val="left"/>
              <w:rPr>
                <w:color w:val="000000" w:themeColor="text1"/>
                <w:sz w:val="20"/>
                <w:szCs w:val="20"/>
              </w:rPr>
            </w:pPr>
            <w:r w:rsidRPr="0098635C">
              <w:rPr>
                <w:color w:val="000000" w:themeColor="text1"/>
                <w:sz w:val="20"/>
                <w:szCs w:val="20"/>
              </w:rPr>
              <w:t>1059-1069°C</w:t>
            </w:r>
          </w:p>
          <w:p w14:paraId="3AF6D01A" w14:textId="71598B69" w:rsidR="00AC71D6" w:rsidRPr="0098635C" w:rsidRDefault="00DA0FBE" w:rsidP="0059369A">
            <w:pPr>
              <w:widowControl/>
              <w:numPr>
                <w:ilvl w:val="0"/>
                <w:numId w:val="41"/>
              </w:numPr>
              <w:autoSpaceDE/>
              <w:autoSpaceDN/>
              <w:adjustRightInd/>
              <w:spacing w:after="0"/>
              <w:jc w:val="left"/>
              <w:rPr>
                <w:color w:val="000000" w:themeColor="text1"/>
                <w:sz w:val="20"/>
                <w:szCs w:val="20"/>
              </w:rPr>
            </w:pPr>
            <w:r w:rsidRPr="0098635C">
              <w:rPr>
                <w:color w:val="000000" w:themeColor="text1"/>
                <w:sz w:val="20"/>
                <w:szCs w:val="20"/>
              </w:rPr>
              <w:t>Liipo et al. 2010a</w:t>
            </w:r>
          </w:p>
          <w:p w14:paraId="299A452C" w14:textId="6D92FEB3" w:rsidR="00AC71D6" w:rsidRPr="0098635C" w:rsidRDefault="00DA0FBE" w:rsidP="0059369A">
            <w:pPr>
              <w:widowControl/>
              <w:numPr>
                <w:ilvl w:val="0"/>
                <w:numId w:val="41"/>
              </w:numPr>
              <w:autoSpaceDE/>
              <w:autoSpaceDN/>
              <w:adjustRightInd/>
              <w:spacing w:after="0"/>
              <w:jc w:val="left"/>
              <w:rPr>
                <w:color w:val="000000" w:themeColor="text1"/>
                <w:sz w:val="20"/>
                <w:szCs w:val="20"/>
              </w:rPr>
            </w:pPr>
            <w:r w:rsidRPr="0098635C">
              <w:rPr>
                <w:color w:val="000000" w:themeColor="text1"/>
                <w:sz w:val="20"/>
                <w:szCs w:val="20"/>
              </w:rPr>
              <w:t xml:space="preserve">Liipo et al. 2010b, </w:t>
            </w:r>
            <w:r w:rsidR="00AC71D6" w:rsidRPr="0098635C">
              <w:rPr>
                <w:color w:val="000000" w:themeColor="text1"/>
                <w:sz w:val="20"/>
                <w:szCs w:val="20"/>
              </w:rPr>
              <w:t>Franke 2006a</w:t>
            </w:r>
          </w:p>
          <w:p w14:paraId="1E5C66A7" w14:textId="77777777" w:rsidR="00AC71D6" w:rsidRPr="0098635C" w:rsidRDefault="00AC71D6" w:rsidP="00AC71D6">
            <w:pPr>
              <w:widowControl/>
              <w:autoSpaceDE/>
              <w:autoSpaceDN/>
              <w:adjustRightInd/>
              <w:spacing w:after="0"/>
              <w:ind w:left="34"/>
              <w:jc w:val="left"/>
              <w:rPr>
                <w:color w:val="000000" w:themeColor="text1"/>
                <w:sz w:val="20"/>
                <w:szCs w:val="20"/>
              </w:rPr>
            </w:pPr>
          </w:p>
          <w:p w14:paraId="59DADAF3" w14:textId="77777777" w:rsidR="00AC71D6" w:rsidRPr="0098635C" w:rsidRDefault="00AC71D6" w:rsidP="00AC71D6">
            <w:pPr>
              <w:widowControl/>
              <w:autoSpaceDE/>
              <w:autoSpaceDN/>
              <w:adjustRightInd/>
              <w:spacing w:after="0"/>
              <w:ind w:left="34"/>
              <w:jc w:val="left"/>
              <w:rPr>
                <w:color w:val="000000" w:themeColor="text1"/>
                <w:sz w:val="20"/>
                <w:szCs w:val="20"/>
              </w:rPr>
            </w:pPr>
          </w:p>
          <w:p w14:paraId="3C0E84A7" w14:textId="77777777" w:rsidR="00AC71D6" w:rsidRPr="0098635C" w:rsidRDefault="00AC71D6" w:rsidP="00AC71D6">
            <w:pPr>
              <w:widowControl/>
              <w:autoSpaceDE/>
              <w:autoSpaceDN/>
              <w:adjustRightInd/>
              <w:spacing w:after="0"/>
              <w:ind w:left="34"/>
              <w:jc w:val="left"/>
              <w:rPr>
                <w:color w:val="000000" w:themeColor="text1"/>
                <w:sz w:val="20"/>
                <w:szCs w:val="20"/>
              </w:rPr>
            </w:pPr>
          </w:p>
        </w:tc>
        <w:tc>
          <w:tcPr>
            <w:tcW w:w="1359" w:type="dxa"/>
            <w:gridSpan w:val="3"/>
          </w:tcPr>
          <w:p w14:paraId="1403D57C"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Decomposes without boiling at 110°C</w:t>
            </w:r>
          </w:p>
          <w:p w14:paraId="7221AF37"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(Lide DR 2009)</w:t>
            </w:r>
          </w:p>
          <w:p w14:paraId="114BC187" w14:textId="77777777" w:rsidR="00AC71D6" w:rsidRPr="0098635C" w:rsidRDefault="00AC71D6" w:rsidP="00AC71D6">
            <w:pPr>
              <w:spacing w:after="0"/>
              <w:jc w:val="center"/>
              <w:rPr>
                <w:color w:val="000000" w:themeColor="text1"/>
                <w:sz w:val="20"/>
                <w:szCs w:val="20"/>
              </w:rPr>
            </w:pPr>
          </w:p>
        </w:tc>
        <w:tc>
          <w:tcPr>
            <w:tcW w:w="1685" w:type="dxa"/>
            <w:gridSpan w:val="2"/>
          </w:tcPr>
          <w:p w14:paraId="224C04ED"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Melting point cannot be determined because of decomposition to CuO at &gt;332°C</w:t>
            </w:r>
          </w:p>
        </w:tc>
        <w:tc>
          <w:tcPr>
            <w:tcW w:w="1399" w:type="dxa"/>
          </w:tcPr>
          <w:p w14:paraId="5965CA5E" w14:textId="4D744218" w:rsidR="00AC71D6" w:rsidRPr="0098635C" w:rsidRDefault="00AC71D6" w:rsidP="00AC71D6">
            <w:pPr>
              <w:spacing w:after="0"/>
              <w:jc w:val="center"/>
              <w:rPr>
                <w:color w:val="000000" w:themeColor="text1"/>
                <w:sz w:val="20"/>
                <w:szCs w:val="20"/>
              </w:rPr>
            </w:pPr>
            <w:r w:rsidRPr="0098635C">
              <w:rPr>
                <w:color w:val="000000" w:themeColor="text1"/>
                <w:sz w:val="20"/>
                <w:szCs w:val="20"/>
              </w:rPr>
              <w:t>1326°C</w:t>
            </w:r>
          </w:p>
          <w:p w14:paraId="311162EC"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(Lide DR 2003)</w:t>
            </w:r>
          </w:p>
        </w:tc>
        <w:tc>
          <w:tcPr>
            <w:tcW w:w="1426" w:type="dxa"/>
            <w:gridSpan w:val="2"/>
          </w:tcPr>
          <w:p w14:paraId="030CCB5C"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Melting point cannot be determined because of decomposition (onset temperature 240°C)</w:t>
            </w:r>
          </w:p>
          <w:p w14:paraId="1CE230D0"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(O’Connor BJ and Mullee DM 2003)</w:t>
            </w:r>
          </w:p>
        </w:tc>
      </w:tr>
      <w:tr w:rsidR="00AC71D6" w:rsidRPr="0098635C" w14:paraId="3B1A88E1" w14:textId="77777777" w:rsidTr="004F5C51">
        <w:tc>
          <w:tcPr>
            <w:tcW w:w="1413" w:type="dxa"/>
          </w:tcPr>
          <w:p w14:paraId="779341A4" w14:textId="77777777" w:rsidR="00AC71D6" w:rsidRPr="0098635C" w:rsidRDefault="00AC71D6" w:rsidP="00AC71D6">
            <w:pPr>
              <w:widowControl/>
              <w:autoSpaceDE/>
              <w:autoSpaceDN/>
              <w:adjustRightInd/>
              <w:spacing w:after="0"/>
              <w:rPr>
                <w:b/>
                <w:color w:val="000000" w:themeColor="text1"/>
                <w:sz w:val="20"/>
                <w:szCs w:val="20"/>
              </w:rPr>
            </w:pPr>
            <w:r w:rsidRPr="0098635C">
              <w:rPr>
                <w:b/>
                <w:color w:val="000000" w:themeColor="text1"/>
                <w:sz w:val="20"/>
                <w:szCs w:val="20"/>
              </w:rPr>
              <w:t>Relative density</w:t>
            </w:r>
          </w:p>
        </w:tc>
        <w:tc>
          <w:tcPr>
            <w:tcW w:w="2352" w:type="dxa"/>
          </w:tcPr>
          <w:p w14:paraId="674A3161" w14:textId="77777777" w:rsidR="00AC71D6" w:rsidRPr="0098635C" w:rsidRDefault="00AC71D6" w:rsidP="0059369A">
            <w:pPr>
              <w:widowControl/>
              <w:numPr>
                <w:ilvl w:val="0"/>
                <w:numId w:val="45"/>
              </w:numPr>
              <w:tabs>
                <w:tab w:val="left" w:pos="317"/>
              </w:tabs>
              <w:autoSpaceDE/>
              <w:autoSpaceDN/>
              <w:adjustRightInd/>
              <w:spacing w:after="0"/>
              <w:ind w:left="175" w:hanging="141"/>
              <w:jc w:val="left"/>
              <w:rPr>
                <w:color w:val="000000" w:themeColor="text1"/>
                <w:sz w:val="20"/>
                <w:szCs w:val="20"/>
              </w:rPr>
            </w:pPr>
            <w:r w:rsidRPr="0098635C">
              <w:rPr>
                <w:color w:val="000000" w:themeColor="text1"/>
                <w:sz w:val="20"/>
                <w:szCs w:val="20"/>
              </w:rPr>
              <w:t>Relative density Cu metal : 8.94 g.cm-3 at 20 °C (Liipo 2010a)</w:t>
            </w:r>
          </w:p>
          <w:p w14:paraId="2455395F" w14:textId="77777777" w:rsidR="00AC71D6" w:rsidRPr="0098635C" w:rsidRDefault="00AC71D6" w:rsidP="00AC71D6">
            <w:pPr>
              <w:widowControl/>
              <w:autoSpaceDE/>
              <w:autoSpaceDN/>
              <w:adjustRightInd/>
              <w:spacing w:after="0"/>
              <w:ind w:left="175" w:hanging="141"/>
              <w:jc w:val="left"/>
              <w:rPr>
                <w:color w:val="000000" w:themeColor="text1"/>
                <w:sz w:val="20"/>
                <w:szCs w:val="20"/>
              </w:rPr>
            </w:pPr>
            <w:r w:rsidRPr="0098635C">
              <w:rPr>
                <w:color w:val="000000" w:themeColor="text1"/>
                <w:sz w:val="20"/>
                <w:szCs w:val="20"/>
              </w:rPr>
              <w:t xml:space="preserve"> (2) Tap density Coated Cu flakes 0.47 g/ml (Messershmidt 2006a)</w:t>
            </w:r>
          </w:p>
        </w:tc>
        <w:tc>
          <w:tcPr>
            <w:tcW w:w="1359" w:type="dxa"/>
            <w:gridSpan w:val="3"/>
          </w:tcPr>
          <w:p w14:paraId="7486B0E6"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2.29 g cm-3  at 20°C</w:t>
            </w:r>
          </w:p>
          <w:p w14:paraId="6E3D5B04"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(Lide DR 2009)</w:t>
            </w:r>
          </w:p>
          <w:p w14:paraId="42D9A535" w14:textId="77777777" w:rsidR="00AC71D6" w:rsidRPr="0098635C" w:rsidRDefault="00AC71D6" w:rsidP="00AC71D6">
            <w:pPr>
              <w:spacing w:after="0"/>
              <w:jc w:val="center"/>
              <w:rPr>
                <w:color w:val="000000" w:themeColor="text1"/>
                <w:sz w:val="20"/>
                <w:szCs w:val="20"/>
              </w:rPr>
            </w:pPr>
          </w:p>
        </w:tc>
        <w:tc>
          <w:tcPr>
            <w:tcW w:w="1685" w:type="dxa"/>
            <w:gridSpan w:val="2"/>
          </w:tcPr>
          <w:p w14:paraId="32A3CCBA"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5.87 g cm-3 at 20°C</w:t>
            </w:r>
          </w:p>
          <w:p w14:paraId="50F1D9AE"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(O’Connor B and Mullee D 2003)</w:t>
            </w:r>
          </w:p>
        </w:tc>
        <w:tc>
          <w:tcPr>
            <w:tcW w:w="1399" w:type="dxa"/>
          </w:tcPr>
          <w:p w14:paraId="6938C771"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6.32 g cm-3 at 20°C</w:t>
            </w:r>
          </w:p>
          <w:p w14:paraId="42483515"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(Lide DR 2003)</w:t>
            </w:r>
          </w:p>
        </w:tc>
        <w:tc>
          <w:tcPr>
            <w:tcW w:w="1426" w:type="dxa"/>
            <w:gridSpan w:val="2"/>
          </w:tcPr>
          <w:p w14:paraId="67294A35"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3.64 g cm-3 at 20°C</w:t>
            </w:r>
          </w:p>
          <w:p w14:paraId="3610BC74"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(O’Connor BJ and Mullee DM 2003)</w:t>
            </w:r>
          </w:p>
        </w:tc>
      </w:tr>
      <w:tr w:rsidR="00AC71D6" w:rsidRPr="0098635C" w14:paraId="4C13D6DA" w14:textId="77777777" w:rsidTr="004F5C51">
        <w:tc>
          <w:tcPr>
            <w:tcW w:w="1413" w:type="dxa"/>
          </w:tcPr>
          <w:p w14:paraId="0401F84F" w14:textId="77777777" w:rsidR="00AC71D6" w:rsidRPr="0098635C" w:rsidRDefault="00AC71D6" w:rsidP="00AC71D6">
            <w:pPr>
              <w:widowControl/>
              <w:autoSpaceDE/>
              <w:autoSpaceDN/>
              <w:adjustRightInd/>
              <w:spacing w:after="0"/>
              <w:rPr>
                <w:b/>
                <w:color w:val="000000" w:themeColor="text1"/>
                <w:sz w:val="20"/>
                <w:szCs w:val="20"/>
              </w:rPr>
            </w:pPr>
            <w:r w:rsidRPr="0098635C">
              <w:rPr>
                <w:b/>
                <w:color w:val="000000" w:themeColor="text1"/>
                <w:sz w:val="20"/>
                <w:szCs w:val="20"/>
              </w:rPr>
              <w:t>Vapour pressure</w:t>
            </w:r>
          </w:p>
        </w:tc>
        <w:tc>
          <w:tcPr>
            <w:tcW w:w="2352" w:type="dxa"/>
          </w:tcPr>
          <w:p w14:paraId="5A9F96A2" w14:textId="77777777" w:rsidR="00AC71D6" w:rsidRPr="0098635C" w:rsidRDefault="00AC71D6" w:rsidP="0059369A">
            <w:pPr>
              <w:widowControl/>
              <w:numPr>
                <w:ilvl w:val="0"/>
                <w:numId w:val="42"/>
              </w:numPr>
              <w:autoSpaceDE/>
              <w:autoSpaceDN/>
              <w:adjustRightInd/>
              <w:spacing w:after="0"/>
              <w:ind w:left="459"/>
              <w:jc w:val="left"/>
              <w:rPr>
                <w:color w:val="000000" w:themeColor="text1"/>
                <w:sz w:val="20"/>
                <w:szCs w:val="20"/>
              </w:rPr>
            </w:pPr>
            <w:r w:rsidRPr="0098635C">
              <w:rPr>
                <w:color w:val="000000" w:themeColor="text1"/>
                <w:sz w:val="20"/>
                <w:szCs w:val="20"/>
              </w:rPr>
              <w:t>Negligible</w:t>
            </w:r>
          </w:p>
          <w:p w14:paraId="3762BDF0" w14:textId="77777777" w:rsidR="00AC71D6" w:rsidRPr="0098635C" w:rsidRDefault="00AC71D6" w:rsidP="0059369A">
            <w:pPr>
              <w:widowControl/>
              <w:numPr>
                <w:ilvl w:val="0"/>
                <w:numId w:val="42"/>
              </w:numPr>
              <w:autoSpaceDE/>
              <w:autoSpaceDN/>
              <w:adjustRightInd/>
              <w:spacing w:after="0"/>
              <w:ind w:left="459"/>
              <w:jc w:val="left"/>
              <w:rPr>
                <w:color w:val="000000" w:themeColor="text1"/>
                <w:sz w:val="20"/>
                <w:szCs w:val="20"/>
              </w:rPr>
            </w:pPr>
            <w:r w:rsidRPr="0098635C">
              <w:rPr>
                <w:bCs/>
                <w:color w:val="000000" w:themeColor="text1"/>
                <w:sz w:val="20"/>
                <w:szCs w:val="20"/>
                <w:lang w:val="it-IT"/>
              </w:rPr>
              <w:t>7.5e-9 Pa (20°C), 1.8e-8 Pa (25°C) and 8.4e-7 Pa (50°C ( Franke 2006b)</w:t>
            </w:r>
          </w:p>
        </w:tc>
        <w:tc>
          <w:tcPr>
            <w:tcW w:w="1359" w:type="dxa"/>
            <w:gridSpan w:val="3"/>
          </w:tcPr>
          <w:p w14:paraId="621D680B"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Negligible</w:t>
            </w:r>
          </w:p>
        </w:tc>
        <w:tc>
          <w:tcPr>
            <w:tcW w:w="1685" w:type="dxa"/>
            <w:gridSpan w:val="2"/>
          </w:tcPr>
          <w:p w14:paraId="1D2D4F41"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Negligible</w:t>
            </w:r>
          </w:p>
        </w:tc>
        <w:tc>
          <w:tcPr>
            <w:tcW w:w="1399" w:type="dxa"/>
          </w:tcPr>
          <w:p w14:paraId="6E46419C"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Negligible at room temperature</w:t>
            </w:r>
          </w:p>
        </w:tc>
        <w:tc>
          <w:tcPr>
            <w:tcW w:w="1426" w:type="dxa"/>
            <w:gridSpan w:val="2"/>
          </w:tcPr>
          <w:p w14:paraId="184FE513"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Negligible</w:t>
            </w:r>
          </w:p>
        </w:tc>
      </w:tr>
      <w:tr w:rsidR="00AC71D6" w:rsidRPr="0098635C" w14:paraId="675B6519" w14:textId="77777777" w:rsidTr="004F5C51">
        <w:tc>
          <w:tcPr>
            <w:tcW w:w="1413" w:type="dxa"/>
          </w:tcPr>
          <w:p w14:paraId="302657F1" w14:textId="77777777" w:rsidR="00AC71D6" w:rsidRPr="0098635C" w:rsidRDefault="00AC71D6" w:rsidP="00AC71D6">
            <w:pPr>
              <w:widowControl/>
              <w:autoSpaceDE/>
              <w:autoSpaceDN/>
              <w:adjustRightInd/>
              <w:spacing w:after="0"/>
              <w:rPr>
                <w:b/>
                <w:color w:val="000000" w:themeColor="text1"/>
                <w:sz w:val="20"/>
                <w:szCs w:val="20"/>
              </w:rPr>
            </w:pPr>
            <w:r w:rsidRPr="0098635C">
              <w:rPr>
                <w:b/>
                <w:color w:val="000000" w:themeColor="text1"/>
                <w:sz w:val="20"/>
                <w:szCs w:val="20"/>
              </w:rPr>
              <w:t>Water solubility (H</w:t>
            </w:r>
            <w:r w:rsidRPr="0098635C">
              <w:rPr>
                <w:b/>
                <w:color w:val="000000" w:themeColor="text1"/>
                <w:sz w:val="20"/>
                <w:szCs w:val="20"/>
                <w:vertAlign w:val="subscript"/>
              </w:rPr>
              <w:t>2</w:t>
            </w:r>
            <w:r w:rsidRPr="0098635C">
              <w:rPr>
                <w:b/>
                <w:color w:val="000000" w:themeColor="text1"/>
                <w:sz w:val="20"/>
                <w:szCs w:val="20"/>
              </w:rPr>
              <w:t>O)</w:t>
            </w:r>
          </w:p>
        </w:tc>
        <w:tc>
          <w:tcPr>
            <w:tcW w:w="2352" w:type="dxa"/>
          </w:tcPr>
          <w:p w14:paraId="4A087DDC" w14:textId="77777777" w:rsidR="00AC71D6" w:rsidRPr="0098635C" w:rsidRDefault="00AC71D6" w:rsidP="00AC71D6">
            <w:pPr>
              <w:widowControl/>
              <w:autoSpaceDE/>
              <w:autoSpaceDN/>
              <w:adjustRightInd/>
              <w:spacing w:after="0"/>
              <w:ind w:left="34"/>
              <w:jc w:val="center"/>
              <w:rPr>
                <w:color w:val="000000" w:themeColor="text1"/>
                <w:sz w:val="20"/>
                <w:szCs w:val="20"/>
              </w:rPr>
            </w:pPr>
            <w:r w:rsidRPr="0098635C">
              <w:rPr>
                <w:color w:val="000000" w:themeColor="text1"/>
                <w:sz w:val="20"/>
                <w:szCs w:val="20"/>
              </w:rPr>
              <w:t>Insoluble **</w:t>
            </w:r>
          </w:p>
          <w:p w14:paraId="42D13B6F" w14:textId="77777777" w:rsidR="00AC71D6" w:rsidRPr="0098635C" w:rsidRDefault="00AC71D6" w:rsidP="00AC71D6">
            <w:pPr>
              <w:widowControl/>
              <w:autoSpaceDE/>
              <w:autoSpaceDN/>
              <w:adjustRightInd/>
              <w:spacing w:after="0"/>
              <w:ind w:left="34"/>
              <w:jc w:val="center"/>
              <w:rPr>
                <w:color w:val="000000" w:themeColor="text1"/>
                <w:sz w:val="20"/>
                <w:szCs w:val="20"/>
              </w:rPr>
            </w:pPr>
            <w:r w:rsidRPr="0098635C">
              <w:rPr>
                <w:color w:val="000000" w:themeColor="text1"/>
                <w:sz w:val="20"/>
                <w:szCs w:val="20"/>
              </w:rPr>
              <w:t xml:space="preserve"> </w:t>
            </w:r>
          </w:p>
          <w:p w14:paraId="6FE1FB58" w14:textId="77777777" w:rsidR="00AC71D6" w:rsidRPr="0098635C" w:rsidRDefault="00AC71D6" w:rsidP="00AC71D6">
            <w:pPr>
              <w:widowControl/>
              <w:autoSpaceDE/>
              <w:autoSpaceDN/>
              <w:adjustRightInd/>
              <w:spacing w:after="0"/>
              <w:ind w:left="34"/>
              <w:jc w:val="center"/>
              <w:rPr>
                <w:color w:val="000000" w:themeColor="text1"/>
                <w:sz w:val="20"/>
                <w:szCs w:val="20"/>
              </w:rPr>
            </w:pPr>
          </w:p>
        </w:tc>
        <w:tc>
          <w:tcPr>
            <w:tcW w:w="1359" w:type="dxa"/>
            <w:gridSpan w:val="3"/>
          </w:tcPr>
          <w:p w14:paraId="4B745FFF" w14:textId="5FF641A6" w:rsidR="00AC71D6" w:rsidRPr="0098635C" w:rsidRDefault="004E50D2" w:rsidP="00AC71D6">
            <w:pPr>
              <w:spacing w:after="0"/>
              <w:jc w:val="center"/>
              <w:rPr>
                <w:color w:val="000000" w:themeColor="text1"/>
                <w:sz w:val="20"/>
                <w:szCs w:val="20"/>
              </w:rPr>
            </w:pPr>
            <w:r w:rsidRPr="0098635C">
              <w:rPr>
                <w:color w:val="000000" w:themeColor="text1"/>
                <w:sz w:val="20"/>
                <w:szCs w:val="20"/>
              </w:rPr>
              <w:t>22</w:t>
            </w:r>
            <w:r w:rsidR="002E5AA0" w:rsidRPr="0098635C">
              <w:rPr>
                <w:color w:val="000000" w:themeColor="text1"/>
                <w:sz w:val="20"/>
                <w:szCs w:val="20"/>
              </w:rPr>
              <w:t>0</w:t>
            </w:r>
            <w:r w:rsidRPr="0098635C">
              <w:rPr>
                <w:color w:val="000000" w:themeColor="text1"/>
                <w:sz w:val="20"/>
                <w:szCs w:val="20"/>
              </w:rPr>
              <w:t>g/L</w:t>
            </w:r>
          </w:p>
          <w:p w14:paraId="4A938B62"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(Lide DR 2009)</w:t>
            </w:r>
          </w:p>
          <w:p w14:paraId="19570EF6" w14:textId="77777777" w:rsidR="00AC71D6" w:rsidRPr="0098635C" w:rsidRDefault="00AC71D6" w:rsidP="00AC71D6">
            <w:pPr>
              <w:spacing w:after="0"/>
              <w:jc w:val="center"/>
              <w:rPr>
                <w:color w:val="000000" w:themeColor="text1"/>
                <w:sz w:val="20"/>
                <w:szCs w:val="20"/>
              </w:rPr>
            </w:pPr>
          </w:p>
        </w:tc>
        <w:tc>
          <w:tcPr>
            <w:tcW w:w="1685" w:type="dxa"/>
            <w:gridSpan w:val="2"/>
          </w:tcPr>
          <w:p w14:paraId="3BE5BD79" w14:textId="34C5EC1E" w:rsidR="00AC71D6" w:rsidRPr="0098635C" w:rsidRDefault="00AC71D6" w:rsidP="00AC71D6">
            <w:pPr>
              <w:spacing w:after="0"/>
              <w:jc w:val="center"/>
              <w:rPr>
                <w:color w:val="000000" w:themeColor="text1"/>
                <w:sz w:val="20"/>
                <w:szCs w:val="20"/>
              </w:rPr>
            </w:pPr>
            <w:r w:rsidRPr="0098635C">
              <w:rPr>
                <w:color w:val="000000" w:themeColor="text1"/>
                <w:sz w:val="20"/>
                <w:szCs w:val="20"/>
              </w:rPr>
              <w:t>pH 4.0: 28</w:t>
            </w:r>
            <w:r w:rsidRPr="0098635C" w:rsidDel="00881D16">
              <w:rPr>
                <w:color w:val="000000" w:themeColor="text1"/>
                <w:sz w:val="20"/>
                <w:szCs w:val="20"/>
              </w:rPr>
              <w:t>.</w:t>
            </w:r>
            <w:r w:rsidRPr="0098635C">
              <w:rPr>
                <w:color w:val="000000" w:themeColor="text1"/>
                <w:sz w:val="20"/>
                <w:szCs w:val="20"/>
              </w:rPr>
              <w:t>6 g/L at 20°C</w:t>
            </w:r>
          </w:p>
          <w:p w14:paraId="77A29715" w14:textId="0F02F7E5" w:rsidR="00AC71D6" w:rsidRPr="0098635C" w:rsidRDefault="00AC71D6" w:rsidP="00AC71D6">
            <w:pPr>
              <w:spacing w:after="0"/>
              <w:jc w:val="center"/>
              <w:rPr>
                <w:color w:val="000000" w:themeColor="text1"/>
                <w:sz w:val="20"/>
                <w:szCs w:val="20"/>
              </w:rPr>
            </w:pPr>
            <w:r w:rsidRPr="0098635C">
              <w:rPr>
                <w:color w:val="000000" w:themeColor="text1"/>
                <w:sz w:val="20"/>
                <w:szCs w:val="20"/>
              </w:rPr>
              <w:t xml:space="preserve">pH </w:t>
            </w:r>
            <w:r w:rsidR="00DD1B3B" w:rsidRPr="0098635C">
              <w:rPr>
                <w:color w:val="000000" w:themeColor="text1"/>
                <w:sz w:val="20"/>
                <w:szCs w:val="20"/>
              </w:rPr>
              <w:t>6.5-</w:t>
            </w:r>
            <w:r w:rsidRPr="0098635C">
              <w:rPr>
                <w:color w:val="000000" w:themeColor="text1"/>
                <w:sz w:val="20"/>
                <w:szCs w:val="20"/>
              </w:rPr>
              <w:t>6.6: 6.39 x 10</w:t>
            </w:r>
            <w:r w:rsidRPr="0098635C">
              <w:rPr>
                <w:color w:val="000000" w:themeColor="text1"/>
                <w:sz w:val="20"/>
                <w:szCs w:val="20"/>
                <w:vertAlign w:val="superscript"/>
              </w:rPr>
              <w:t>-</w:t>
            </w:r>
            <w:r w:rsidRPr="0098635C" w:rsidDel="00881D16">
              <w:rPr>
                <w:color w:val="000000" w:themeColor="text1"/>
                <w:sz w:val="20"/>
                <w:szCs w:val="20"/>
                <w:vertAlign w:val="superscript"/>
              </w:rPr>
              <w:t>4</w:t>
            </w:r>
            <w:r w:rsidRPr="0098635C">
              <w:rPr>
                <w:color w:val="000000" w:themeColor="text1"/>
                <w:sz w:val="20"/>
                <w:szCs w:val="20"/>
              </w:rPr>
              <w:t xml:space="preserve"> g/L at 20°C</w:t>
            </w:r>
          </w:p>
          <w:p w14:paraId="338AEF73" w14:textId="26F8F44A" w:rsidR="00AC71D6" w:rsidRPr="0098635C" w:rsidRDefault="00AC71D6" w:rsidP="00AC71D6">
            <w:pPr>
              <w:spacing w:after="0"/>
              <w:jc w:val="center"/>
              <w:rPr>
                <w:color w:val="000000" w:themeColor="text1"/>
                <w:sz w:val="20"/>
                <w:szCs w:val="20"/>
              </w:rPr>
            </w:pPr>
            <w:r w:rsidRPr="0098635C">
              <w:rPr>
                <w:color w:val="000000" w:themeColor="text1"/>
                <w:sz w:val="20"/>
                <w:szCs w:val="20"/>
              </w:rPr>
              <w:t xml:space="preserve">pH </w:t>
            </w:r>
            <w:r w:rsidR="00DD1B3B" w:rsidRPr="0098635C">
              <w:rPr>
                <w:color w:val="000000" w:themeColor="text1"/>
                <w:sz w:val="20"/>
                <w:szCs w:val="20"/>
              </w:rPr>
              <w:t>9.7-</w:t>
            </w:r>
            <w:r w:rsidRPr="0098635C">
              <w:rPr>
                <w:color w:val="000000" w:themeColor="text1"/>
                <w:sz w:val="20"/>
                <w:szCs w:val="20"/>
              </w:rPr>
              <w:t xml:space="preserve">9.8: </w:t>
            </w:r>
            <w:r w:rsidR="00DD1B3B" w:rsidRPr="0098635C">
              <w:rPr>
                <w:color w:val="000000" w:themeColor="text1"/>
                <w:sz w:val="20"/>
                <w:szCs w:val="20"/>
              </w:rPr>
              <w:t>&lt;</w:t>
            </w:r>
            <w:r w:rsidRPr="0098635C">
              <w:rPr>
                <w:color w:val="000000" w:themeColor="text1"/>
                <w:sz w:val="20"/>
                <w:szCs w:val="20"/>
              </w:rPr>
              <w:t>5.39 x 10</w:t>
            </w:r>
            <w:r w:rsidRPr="0098635C">
              <w:rPr>
                <w:color w:val="000000" w:themeColor="text1"/>
                <w:sz w:val="20"/>
                <w:szCs w:val="20"/>
                <w:vertAlign w:val="superscript"/>
              </w:rPr>
              <w:t>-</w:t>
            </w:r>
            <w:r w:rsidRPr="0098635C" w:rsidDel="00881D16">
              <w:rPr>
                <w:color w:val="000000" w:themeColor="text1"/>
                <w:sz w:val="20"/>
                <w:szCs w:val="20"/>
                <w:vertAlign w:val="superscript"/>
              </w:rPr>
              <w:t>4</w:t>
            </w:r>
            <w:r w:rsidRPr="0098635C">
              <w:rPr>
                <w:color w:val="000000" w:themeColor="text1"/>
                <w:sz w:val="20"/>
                <w:szCs w:val="20"/>
              </w:rPr>
              <w:t xml:space="preserve"> g/L at 20°C</w:t>
            </w:r>
          </w:p>
          <w:p w14:paraId="7410DB20"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(O’Connor B and Mullee D 2003)</w:t>
            </w:r>
          </w:p>
        </w:tc>
        <w:tc>
          <w:tcPr>
            <w:tcW w:w="1399" w:type="dxa"/>
          </w:tcPr>
          <w:p w14:paraId="45B35E59" w14:textId="6CBB2C91" w:rsidR="00AC71D6" w:rsidRPr="0098635C" w:rsidRDefault="00AC71D6" w:rsidP="00AC71D6">
            <w:pPr>
              <w:spacing w:after="0"/>
              <w:jc w:val="center"/>
              <w:rPr>
                <w:color w:val="000000" w:themeColor="text1"/>
                <w:sz w:val="20"/>
                <w:szCs w:val="20"/>
              </w:rPr>
            </w:pPr>
            <w:r w:rsidRPr="0098635C">
              <w:rPr>
                <w:color w:val="000000" w:themeColor="text1"/>
                <w:sz w:val="20"/>
                <w:szCs w:val="20"/>
              </w:rPr>
              <w:t>pH 5.1-5.5: &gt;</w:t>
            </w:r>
            <w:r w:rsidRPr="0098635C" w:rsidDel="00881D16">
              <w:rPr>
                <w:color w:val="000000" w:themeColor="text1"/>
                <w:sz w:val="20"/>
                <w:szCs w:val="20"/>
              </w:rPr>
              <w:t>0.</w:t>
            </w:r>
            <w:r w:rsidRPr="0098635C">
              <w:rPr>
                <w:color w:val="000000" w:themeColor="text1"/>
                <w:sz w:val="20"/>
                <w:szCs w:val="20"/>
              </w:rPr>
              <w:t>23 g/L at 20°C</w:t>
            </w:r>
          </w:p>
          <w:p w14:paraId="0D3762C3" w14:textId="1252DDBA" w:rsidR="00AC71D6" w:rsidRPr="0098635C" w:rsidRDefault="00AC71D6" w:rsidP="00AC71D6">
            <w:pPr>
              <w:spacing w:after="0"/>
              <w:jc w:val="center"/>
              <w:rPr>
                <w:color w:val="000000" w:themeColor="text1"/>
                <w:sz w:val="20"/>
                <w:szCs w:val="20"/>
              </w:rPr>
            </w:pPr>
            <w:r w:rsidRPr="0098635C">
              <w:rPr>
                <w:color w:val="000000" w:themeColor="text1"/>
                <w:sz w:val="20"/>
                <w:szCs w:val="20"/>
              </w:rPr>
              <w:t xml:space="preserve">pH 9: </w:t>
            </w:r>
            <w:r w:rsidR="00AD1043" w:rsidRPr="0098635C">
              <w:rPr>
                <w:color w:val="000000" w:themeColor="text1"/>
                <w:sz w:val="20"/>
                <w:szCs w:val="20"/>
              </w:rPr>
              <w:t xml:space="preserve"> &lt;</w:t>
            </w:r>
            <w:r w:rsidRPr="0098635C">
              <w:rPr>
                <w:color w:val="000000" w:themeColor="text1"/>
                <w:sz w:val="20"/>
                <w:szCs w:val="20"/>
              </w:rPr>
              <w:t>1.0 x 10</w:t>
            </w:r>
            <w:r w:rsidRPr="0098635C">
              <w:rPr>
                <w:color w:val="000000" w:themeColor="text1"/>
                <w:sz w:val="20"/>
                <w:szCs w:val="20"/>
                <w:vertAlign w:val="superscript"/>
              </w:rPr>
              <w:t>-</w:t>
            </w:r>
            <w:r w:rsidRPr="0098635C" w:rsidDel="00881D16">
              <w:rPr>
                <w:color w:val="000000" w:themeColor="text1"/>
                <w:sz w:val="20"/>
                <w:szCs w:val="20"/>
                <w:vertAlign w:val="superscript"/>
              </w:rPr>
              <w:t>5</w:t>
            </w:r>
            <w:r w:rsidRPr="0098635C">
              <w:rPr>
                <w:color w:val="000000" w:themeColor="text1"/>
                <w:sz w:val="20"/>
                <w:szCs w:val="20"/>
              </w:rPr>
              <w:t xml:space="preserve"> g/L at 20°C</w:t>
            </w:r>
          </w:p>
          <w:p w14:paraId="20D491EF" w14:textId="5879170B" w:rsidR="00AC71D6" w:rsidRPr="0098635C" w:rsidRDefault="00AC71D6" w:rsidP="00AC71D6">
            <w:pPr>
              <w:spacing w:after="0"/>
              <w:jc w:val="center"/>
              <w:rPr>
                <w:color w:val="000000" w:themeColor="text1"/>
                <w:sz w:val="20"/>
                <w:szCs w:val="20"/>
              </w:rPr>
            </w:pPr>
            <w:r w:rsidRPr="0098635C">
              <w:rPr>
                <w:color w:val="000000" w:themeColor="text1"/>
                <w:sz w:val="20"/>
                <w:szCs w:val="20"/>
              </w:rPr>
              <w:t xml:space="preserve">pH 6: </w:t>
            </w:r>
            <w:r w:rsidR="00AD1043" w:rsidRPr="0098635C">
              <w:rPr>
                <w:color w:val="000000" w:themeColor="text1"/>
                <w:sz w:val="20"/>
                <w:szCs w:val="20"/>
              </w:rPr>
              <w:t xml:space="preserve"> </w:t>
            </w:r>
            <w:r w:rsidRPr="0098635C">
              <w:rPr>
                <w:color w:val="000000" w:themeColor="text1"/>
                <w:sz w:val="20"/>
                <w:szCs w:val="20"/>
              </w:rPr>
              <w:t>3.94 x 10</w:t>
            </w:r>
            <w:r w:rsidRPr="0098635C">
              <w:rPr>
                <w:color w:val="000000" w:themeColor="text1"/>
                <w:sz w:val="20"/>
                <w:szCs w:val="20"/>
                <w:vertAlign w:val="superscript"/>
              </w:rPr>
              <w:t>-</w:t>
            </w:r>
            <w:r w:rsidRPr="0098635C" w:rsidDel="00881D16">
              <w:rPr>
                <w:color w:val="000000" w:themeColor="text1"/>
                <w:sz w:val="20"/>
                <w:szCs w:val="20"/>
                <w:vertAlign w:val="superscript"/>
              </w:rPr>
              <w:t>4</w:t>
            </w:r>
            <w:r w:rsidRPr="0098635C">
              <w:rPr>
                <w:color w:val="000000" w:themeColor="text1"/>
                <w:sz w:val="20"/>
                <w:szCs w:val="20"/>
              </w:rPr>
              <w:t xml:space="preserve"> g/L at 20°C</w:t>
            </w:r>
          </w:p>
          <w:p w14:paraId="15EF2F0E"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(O’Connor BJ and Mullee DM 2004)</w:t>
            </w:r>
          </w:p>
        </w:tc>
        <w:tc>
          <w:tcPr>
            <w:tcW w:w="1426" w:type="dxa"/>
            <w:gridSpan w:val="2"/>
          </w:tcPr>
          <w:p w14:paraId="13ECEC87" w14:textId="0909FD7E" w:rsidR="00AC71D6" w:rsidRPr="0098635C" w:rsidRDefault="00AC71D6" w:rsidP="00AC71D6">
            <w:pPr>
              <w:spacing w:after="0"/>
              <w:jc w:val="center"/>
              <w:rPr>
                <w:color w:val="000000" w:themeColor="text1"/>
                <w:sz w:val="20"/>
                <w:szCs w:val="20"/>
              </w:rPr>
            </w:pPr>
            <w:r w:rsidRPr="0098635C">
              <w:rPr>
                <w:color w:val="000000" w:themeColor="text1"/>
                <w:sz w:val="20"/>
                <w:szCs w:val="20"/>
              </w:rPr>
              <w:t>pH 3.1: &gt;101 g/L at 20°C</w:t>
            </w:r>
          </w:p>
          <w:p w14:paraId="033AB29D" w14:textId="62F4BBE9" w:rsidR="00AC71D6" w:rsidRPr="0098635C" w:rsidRDefault="00AC71D6" w:rsidP="00AC71D6">
            <w:pPr>
              <w:spacing w:after="0"/>
              <w:jc w:val="center"/>
              <w:rPr>
                <w:color w:val="000000" w:themeColor="text1"/>
                <w:sz w:val="20"/>
                <w:szCs w:val="20"/>
              </w:rPr>
            </w:pPr>
            <w:r w:rsidRPr="0098635C">
              <w:rPr>
                <w:color w:val="000000" w:themeColor="text1"/>
                <w:sz w:val="20"/>
                <w:szCs w:val="20"/>
              </w:rPr>
              <w:t xml:space="preserve">pH 6.5: 1.19 </w:t>
            </w:r>
            <w:r w:rsidRPr="0098635C" w:rsidDel="00881D16">
              <w:rPr>
                <w:color w:val="000000" w:themeColor="text1"/>
                <w:sz w:val="20"/>
                <w:szCs w:val="20"/>
              </w:rPr>
              <w:t>x 10</w:t>
            </w:r>
            <w:r w:rsidRPr="0098635C" w:rsidDel="00881D16">
              <w:rPr>
                <w:color w:val="000000" w:themeColor="text1"/>
                <w:sz w:val="20"/>
                <w:szCs w:val="20"/>
                <w:vertAlign w:val="superscript"/>
              </w:rPr>
              <w:t>-3</w:t>
            </w:r>
            <w:r w:rsidRPr="0098635C" w:rsidDel="00881D16">
              <w:rPr>
                <w:color w:val="000000" w:themeColor="text1"/>
                <w:sz w:val="20"/>
                <w:szCs w:val="20"/>
              </w:rPr>
              <w:t xml:space="preserve"> </w:t>
            </w:r>
            <w:r w:rsidRPr="0098635C">
              <w:rPr>
                <w:color w:val="000000" w:themeColor="text1"/>
                <w:sz w:val="20"/>
                <w:szCs w:val="20"/>
              </w:rPr>
              <w:t>g/L at 20°C</w:t>
            </w:r>
          </w:p>
          <w:p w14:paraId="7DE2F405" w14:textId="78E9C0A7" w:rsidR="00AC71D6" w:rsidRPr="0098635C" w:rsidRDefault="00AC71D6" w:rsidP="00AC71D6">
            <w:pPr>
              <w:spacing w:after="0"/>
              <w:jc w:val="center"/>
              <w:rPr>
                <w:color w:val="000000" w:themeColor="text1"/>
                <w:sz w:val="20"/>
                <w:szCs w:val="20"/>
              </w:rPr>
            </w:pPr>
            <w:r w:rsidRPr="0098635C">
              <w:rPr>
                <w:color w:val="000000" w:themeColor="text1"/>
                <w:sz w:val="20"/>
                <w:szCs w:val="20"/>
              </w:rPr>
              <w:t>pH 10.1: ≤5.25 x 10</w:t>
            </w:r>
            <w:r w:rsidRPr="0098635C">
              <w:rPr>
                <w:color w:val="000000" w:themeColor="text1"/>
                <w:sz w:val="20"/>
                <w:szCs w:val="20"/>
                <w:vertAlign w:val="superscript"/>
              </w:rPr>
              <w:t>-</w:t>
            </w:r>
            <w:r w:rsidRPr="0098635C" w:rsidDel="00881D16">
              <w:rPr>
                <w:color w:val="000000" w:themeColor="text1"/>
                <w:sz w:val="20"/>
                <w:szCs w:val="20"/>
                <w:vertAlign w:val="superscript"/>
              </w:rPr>
              <w:t>4</w:t>
            </w:r>
            <w:r w:rsidRPr="0098635C">
              <w:rPr>
                <w:color w:val="000000" w:themeColor="text1"/>
                <w:sz w:val="20"/>
                <w:szCs w:val="20"/>
              </w:rPr>
              <w:t xml:space="preserve"> g/L at 20°C</w:t>
            </w:r>
          </w:p>
          <w:p w14:paraId="06B84C7F"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(O’Connor BJ and Mullee DM 2003)</w:t>
            </w:r>
          </w:p>
        </w:tc>
      </w:tr>
      <w:tr w:rsidR="00AC71D6" w:rsidRPr="0098635C" w14:paraId="3EFD6685" w14:textId="77777777" w:rsidTr="004F5C51">
        <w:tc>
          <w:tcPr>
            <w:tcW w:w="1413" w:type="dxa"/>
          </w:tcPr>
          <w:p w14:paraId="38425C6E" w14:textId="77777777" w:rsidR="00AC71D6" w:rsidRPr="0098635C" w:rsidRDefault="00AC71D6" w:rsidP="00AC71D6">
            <w:pPr>
              <w:widowControl/>
              <w:autoSpaceDE/>
              <w:autoSpaceDN/>
              <w:adjustRightInd/>
              <w:spacing w:after="0"/>
              <w:rPr>
                <w:b/>
                <w:color w:val="000000" w:themeColor="text1"/>
                <w:sz w:val="20"/>
                <w:szCs w:val="20"/>
              </w:rPr>
            </w:pPr>
            <w:r w:rsidRPr="0098635C">
              <w:rPr>
                <w:b/>
                <w:color w:val="000000" w:themeColor="text1"/>
                <w:sz w:val="20"/>
                <w:szCs w:val="20"/>
              </w:rPr>
              <w:t>Flash point</w:t>
            </w:r>
          </w:p>
        </w:tc>
        <w:tc>
          <w:tcPr>
            <w:tcW w:w="2352" w:type="dxa"/>
          </w:tcPr>
          <w:p w14:paraId="64E0B476" w14:textId="77777777" w:rsidR="00AC71D6" w:rsidRPr="0098635C" w:rsidRDefault="00AC71D6" w:rsidP="00AC71D6">
            <w:pPr>
              <w:widowControl/>
              <w:autoSpaceDE/>
              <w:autoSpaceDN/>
              <w:adjustRightInd/>
              <w:spacing w:after="0"/>
              <w:ind w:left="34"/>
              <w:jc w:val="center"/>
              <w:rPr>
                <w:color w:val="000000" w:themeColor="text1"/>
                <w:sz w:val="20"/>
                <w:szCs w:val="20"/>
              </w:rPr>
            </w:pPr>
            <w:r w:rsidRPr="0098635C">
              <w:rPr>
                <w:color w:val="000000" w:themeColor="text1"/>
                <w:sz w:val="20"/>
                <w:szCs w:val="20"/>
              </w:rPr>
              <w:t>Not required *</w:t>
            </w:r>
          </w:p>
        </w:tc>
        <w:tc>
          <w:tcPr>
            <w:tcW w:w="1359" w:type="dxa"/>
            <w:gridSpan w:val="3"/>
          </w:tcPr>
          <w:p w14:paraId="1B77FE2B" w14:textId="77777777" w:rsidR="00AC71D6" w:rsidRPr="0098635C" w:rsidRDefault="00AC71D6" w:rsidP="00AC71D6">
            <w:pPr>
              <w:spacing w:after="0"/>
              <w:jc w:val="center"/>
              <w:rPr>
                <w:color w:val="000000" w:themeColor="text1"/>
                <w:sz w:val="20"/>
                <w:szCs w:val="20"/>
                <w:highlight w:val="yellow"/>
              </w:rPr>
            </w:pPr>
            <w:r w:rsidRPr="0098635C">
              <w:rPr>
                <w:color w:val="000000" w:themeColor="text1"/>
                <w:sz w:val="20"/>
                <w:szCs w:val="20"/>
              </w:rPr>
              <w:t>Not required *</w:t>
            </w:r>
          </w:p>
        </w:tc>
        <w:tc>
          <w:tcPr>
            <w:tcW w:w="1685" w:type="dxa"/>
            <w:gridSpan w:val="2"/>
          </w:tcPr>
          <w:p w14:paraId="655E6F4A"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Not required *</w:t>
            </w:r>
          </w:p>
        </w:tc>
        <w:tc>
          <w:tcPr>
            <w:tcW w:w="1399" w:type="dxa"/>
          </w:tcPr>
          <w:p w14:paraId="72E06882"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Not required *</w:t>
            </w:r>
          </w:p>
        </w:tc>
        <w:tc>
          <w:tcPr>
            <w:tcW w:w="1426" w:type="dxa"/>
            <w:gridSpan w:val="2"/>
          </w:tcPr>
          <w:p w14:paraId="26164262"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Not required *</w:t>
            </w:r>
          </w:p>
        </w:tc>
      </w:tr>
      <w:tr w:rsidR="00AC71D6" w:rsidRPr="0098635C" w14:paraId="0337C320" w14:textId="77777777" w:rsidTr="004F5C51">
        <w:tc>
          <w:tcPr>
            <w:tcW w:w="1413" w:type="dxa"/>
          </w:tcPr>
          <w:p w14:paraId="1A52C9A5" w14:textId="77777777" w:rsidR="00AC71D6" w:rsidRPr="0098635C" w:rsidRDefault="00AC71D6" w:rsidP="00AC71D6">
            <w:pPr>
              <w:widowControl/>
              <w:autoSpaceDE/>
              <w:autoSpaceDN/>
              <w:adjustRightInd/>
              <w:spacing w:after="0"/>
              <w:rPr>
                <w:b/>
                <w:color w:val="000000" w:themeColor="text1"/>
                <w:sz w:val="20"/>
                <w:szCs w:val="20"/>
              </w:rPr>
            </w:pPr>
            <w:r w:rsidRPr="0098635C">
              <w:rPr>
                <w:b/>
                <w:color w:val="000000" w:themeColor="text1"/>
                <w:sz w:val="20"/>
                <w:szCs w:val="20"/>
              </w:rPr>
              <w:lastRenderedPageBreak/>
              <w:t>Autoignition and Flammability</w:t>
            </w:r>
          </w:p>
        </w:tc>
        <w:tc>
          <w:tcPr>
            <w:tcW w:w="2352" w:type="dxa"/>
          </w:tcPr>
          <w:p w14:paraId="750E83CC" w14:textId="77777777" w:rsidR="00AC71D6" w:rsidRPr="0098635C" w:rsidRDefault="00AC71D6" w:rsidP="00AC71D6">
            <w:pPr>
              <w:widowControl/>
              <w:autoSpaceDE/>
              <w:autoSpaceDN/>
              <w:adjustRightInd/>
              <w:spacing w:after="0"/>
              <w:ind w:left="34"/>
              <w:jc w:val="left"/>
              <w:rPr>
                <w:color w:val="000000" w:themeColor="text1"/>
                <w:sz w:val="20"/>
                <w:szCs w:val="20"/>
              </w:rPr>
            </w:pPr>
            <w:r w:rsidRPr="0098635C">
              <w:rPr>
                <w:color w:val="000000" w:themeColor="text1"/>
                <w:sz w:val="20"/>
                <w:szCs w:val="20"/>
              </w:rPr>
              <w:t>Non flammable</w:t>
            </w:r>
          </w:p>
          <w:p w14:paraId="48E3268A" w14:textId="00664393" w:rsidR="00AC71D6" w:rsidRPr="0098635C" w:rsidRDefault="00DA0FBE" w:rsidP="0059369A">
            <w:pPr>
              <w:widowControl/>
              <w:numPr>
                <w:ilvl w:val="0"/>
                <w:numId w:val="44"/>
              </w:numPr>
              <w:autoSpaceDE/>
              <w:autoSpaceDN/>
              <w:adjustRightInd/>
              <w:spacing w:after="0"/>
              <w:ind w:left="317" w:hanging="283"/>
              <w:jc w:val="left"/>
              <w:rPr>
                <w:color w:val="000000" w:themeColor="text1"/>
                <w:sz w:val="20"/>
                <w:szCs w:val="20"/>
              </w:rPr>
            </w:pPr>
            <w:r w:rsidRPr="0098635C">
              <w:rPr>
                <w:color w:val="000000" w:themeColor="text1"/>
                <w:sz w:val="20"/>
                <w:szCs w:val="20"/>
              </w:rPr>
              <w:t>Liipo 2010a</w:t>
            </w:r>
          </w:p>
          <w:p w14:paraId="4D4A58AB" w14:textId="35E5296F" w:rsidR="00AC71D6" w:rsidRPr="0098635C" w:rsidRDefault="00AC71D6" w:rsidP="00AC71D6">
            <w:pPr>
              <w:widowControl/>
              <w:autoSpaceDE/>
              <w:autoSpaceDN/>
              <w:adjustRightInd/>
              <w:spacing w:after="0"/>
              <w:ind w:left="317" w:hanging="283"/>
              <w:jc w:val="left"/>
              <w:rPr>
                <w:color w:val="000000" w:themeColor="text1"/>
                <w:sz w:val="20"/>
                <w:szCs w:val="20"/>
              </w:rPr>
            </w:pPr>
            <w:r w:rsidRPr="0098635C">
              <w:rPr>
                <w:color w:val="000000" w:themeColor="text1"/>
                <w:sz w:val="20"/>
                <w:szCs w:val="20"/>
              </w:rPr>
              <w:t xml:space="preserve">(2) </w:t>
            </w:r>
            <w:r w:rsidR="00DA0FBE" w:rsidRPr="0098635C">
              <w:rPr>
                <w:color w:val="000000" w:themeColor="text1"/>
                <w:sz w:val="20"/>
                <w:szCs w:val="20"/>
              </w:rPr>
              <w:t>Liipo et al. 2010b</w:t>
            </w:r>
            <w:r w:rsidRPr="0098635C" w:rsidDel="007F2121">
              <w:rPr>
                <w:color w:val="000000" w:themeColor="text1"/>
                <w:sz w:val="20"/>
                <w:szCs w:val="20"/>
              </w:rPr>
              <w:t xml:space="preserve"> </w:t>
            </w:r>
            <w:r w:rsidRPr="0098635C">
              <w:rPr>
                <w:color w:val="000000" w:themeColor="text1"/>
                <w:sz w:val="20"/>
                <w:szCs w:val="20"/>
              </w:rPr>
              <w:t xml:space="preserve"> </w:t>
            </w:r>
          </w:p>
          <w:p w14:paraId="38387E79" w14:textId="77777777" w:rsidR="00AC71D6" w:rsidRPr="0098635C" w:rsidRDefault="00AC71D6" w:rsidP="00AC71D6">
            <w:pPr>
              <w:widowControl/>
              <w:autoSpaceDE/>
              <w:autoSpaceDN/>
              <w:adjustRightInd/>
              <w:spacing w:after="0"/>
              <w:ind w:left="34"/>
              <w:jc w:val="center"/>
              <w:rPr>
                <w:color w:val="000000" w:themeColor="text1"/>
                <w:sz w:val="20"/>
                <w:szCs w:val="20"/>
              </w:rPr>
            </w:pPr>
          </w:p>
        </w:tc>
        <w:tc>
          <w:tcPr>
            <w:tcW w:w="1359" w:type="dxa"/>
            <w:gridSpan w:val="3"/>
          </w:tcPr>
          <w:p w14:paraId="6A58C670"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Non flammable</w:t>
            </w:r>
          </w:p>
        </w:tc>
        <w:tc>
          <w:tcPr>
            <w:tcW w:w="1685" w:type="dxa"/>
            <w:gridSpan w:val="2"/>
          </w:tcPr>
          <w:p w14:paraId="6AC1B8C3"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Relative self ignition temperature is 234°C</w:t>
            </w:r>
          </w:p>
        </w:tc>
        <w:tc>
          <w:tcPr>
            <w:tcW w:w="1399" w:type="dxa"/>
          </w:tcPr>
          <w:p w14:paraId="24D9F745"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Non flammable</w:t>
            </w:r>
          </w:p>
        </w:tc>
        <w:tc>
          <w:tcPr>
            <w:tcW w:w="1426" w:type="dxa"/>
            <w:gridSpan w:val="2"/>
          </w:tcPr>
          <w:p w14:paraId="58EFD128"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Non flammable</w:t>
            </w:r>
          </w:p>
        </w:tc>
      </w:tr>
      <w:tr w:rsidR="00AC71D6" w:rsidRPr="0098635C" w14:paraId="0EE6F8CB" w14:textId="77777777" w:rsidTr="004F5C51">
        <w:tc>
          <w:tcPr>
            <w:tcW w:w="1413" w:type="dxa"/>
          </w:tcPr>
          <w:p w14:paraId="0D456311" w14:textId="77777777" w:rsidR="00AC71D6" w:rsidRPr="0098635C" w:rsidRDefault="00AC71D6" w:rsidP="00AC71D6">
            <w:pPr>
              <w:widowControl/>
              <w:autoSpaceDE/>
              <w:autoSpaceDN/>
              <w:adjustRightInd/>
              <w:spacing w:after="0"/>
              <w:rPr>
                <w:b/>
                <w:color w:val="000000" w:themeColor="text1"/>
                <w:sz w:val="20"/>
                <w:szCs w:val="20"/>
              </w:rPr>
            </w:pPr>
            <w:r w:rsidRPr="0098635C">
              <w:rPr>
                <w:b/>
                <w:color w:val="000000" w:themeColor="text1"/>
                <w:sz w:val="20"/>
                <w:szCs w:val="20"/>
              </w:rPr>
              <w:t>Explosive</w:t>
            </w:r>
          </w:p>
        </w:tc>
        <w:tc>
          <w:tcPr>
            <w:tcW w:w="2352" w:type="dxa"/>
          </w:tcPr>
          <w:p w14:paraId="39F63EBF" w14:textId="77777777" w:rsidR="00AC71D6" w:rsidRPr="0098635C" w:rsidRDefault="00AC71D6" w:rsidP="00AC71D6">
            <w:pPr>
              <w:widowControl/>
              <w:autoSpaceDE/>
              <w:autoSpaceDN/>
              <w:adjustRightInd/>
              <w:spacing w:after="0"/>
              <w:ind w:left="34"/>
              <w:jc w:val="center"/>
              <w:rPr>
                <w:color w:val="000000" w:themeColor="text1"/>
                <w:sz w:val="20"/>
                <w:szCs w:val="20"/>
              </w:rPr>
            </w:pPr>
            <w:r w:rsidRPr="0098635C">
              <w:rPr>
                <w:color w:val="000000" w:themeColor="text1"/>
                <w:sz w:val="20"/>
                <w:szCs w:val="20"/>
              </w:rPr>
              <w:t>Not explosive</w:t>
            </w:r>
          </w:p>
        </w:tc>
        <w:tc>
          <w:tcPr>
            <w:tcW w:w="1359" w:type="dxa"/>
            <w:gridSpan w:val="3"/>
          </w:tcPr>
          <w:p w14:paraId="36D1FF5E"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Not explosive</w:t>
            </w:r>
          </w:p>
        </w:tc>
        <w:tc>
          <w:tcPr>
            <w:tcW w:w="1685" w:type="dxa"/>
            <w:gridSpan w:val="2"/>
          </w:tcPr>
          <w:p w14:paraId="313E8979"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Not explosive</w:t>
            </w:r>
          </w:p>
        </w:tc>
        <w:tc>
          <w:tcPr>
            <w:tcW w:w="1399" w:type="dxa"/>
          </w:tcPr>
          <w:p w14:paraId="472CB602" w14:textId="4767CF48" w:rsidR="00AC71D6" w:rsidRPr="0098635C" w:rsidRDefault="00AC71D6" w:rsidP="00AC71D6">
            <w:pPr>
              <w:spacing w:after="0"/>
              <w:jc w:val="center"/>
              <w:rPr>
                <w:color w:val="000000" w:themeColor="text1"/>
                <w:sz w:val="20"/>
                <w:szCs w:val="20"/>
              </w:rPr>
            </w:pPr>
            <w:r w:rsidRPr="0098635C">
              <w:rPr>
                <w:color w:val="000000" w:themeColor="text1"/>
                <w:sz w:val="20"/>
                <w:szCs w:val="20"/>
              </w:rPr>
              <w:t>Not explosive</w:t>
            </w:r>
          </w:p>
        </w:tc>
        <w:tc>
          <w:tcPr>
            <w:tcW w:w="1426" w:type="dxa"/>
            <w:gridSpan w:val="2"/>
          </w:tcPr>
          <w:p w14:paraId="194F3668"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Not explosive</w:t>
            </w:r>
          </w:p>
        </w:tc>
      </w:tr>
      <w:tr w:rsidR="00AC71D6" w:rsidRPr="0098635C" w14:paraId="6BEC35FB" w14:textId="77777777" w:rsidTr="004F5C51">
        <w:tc>
          <w:tcPr>
            <w:tcW w:w="1413" w:type="dxa"/>
          </w:tcPr>
          <w:p w14:paraId="4DE34263" w14:textId="77777777" w:rsidR="00AC71D6" w:rsidRPr="0098635C" w:rsidRDefault="00AC71D6" w:rsidP="00AC71D6">
            <w:pPr>
              <w:widowControl/>
              <w:autoSpaceDE/>
              <w:autoSpaceDN/>
              <w:adjustRightInd/>
              <w:spacing w:after="0"/>
              <w:rPr>
                <w:b/>
                <w:color w:val="000000" w:themeColor="text1"/>
                <w:sz w:val="20"/>
                <w:szCs w:val="20"/>
              </w:rPr>
            </w:pPr>
            <w:r w:rsidRPr="0098635C">
              <w:rPr>
                <w:b/>
                <w:color w:val="000000" w:themeColor="text1"/>
                <w:sz w:val="20"/>
                <w:szCs w:val="20"/>
              </w:rPr>
              <w:t>Granulometry ***</w:t>
            </w:r>
          </w:p>
        </w:tc>
        <w:tc>
          <w:tcPr>
            <w:tcW w:w="2410" w:type="dxa"/>
            <w:gridSpan w:val="2"/>
          </w:tcPr>
          <w:p w14:paraId="2276A41D" w14:textId="77777777" w:rsidR="00AC71D6" w:rsidRPr="0098635C" w:rsidRDefault="00AC71D6" w:rsidP="00AC71D6">
            <w:pPr>
              <w:spacing w:after="0"/>
              <w:rPr>
                <w:bCs/>
                <w:color w:val="000000" w:themeColor="text1"/>
                <w:sz w:val="20"/>
                <w:szCs w:val="20"/>
              </w:rPr>
            </w:pPr>
            <w:r w:rsidRPr="0098635C">
              <w:rPr>
                <w:bCs/>
                <w:color w:val="000000" w:themeColor="text1"/>
                <w:sz w:val="20"/>
                <w:szCs w:val="20"/>
              </w:rPr>
              <w:t>Dependent on the form***</w:t>
            </w:r>
          </w:p>
          <w:p w14:paraId="3C829F56" w14:textId="77777777" w:rsidR="00AC71D6" w:rsidRPr="0098635C" w:rsidRDefault="00AC71D6" w:rsidP="00AC71D6">
            <w:pPr>
              <w:spacing w:after="0"/>
              <w:rPr>
                <w:color w:val="000000" w:themeColor="text1"/>
                <w:sz w:val="20"/>
                <w:szCs w:val="20"/>
              </w:rPr>
            </w:pPr>
          </w:p>
        </w:tc>
        <w:tc>
          <w:tcPr>
            <w:tcW w:w="1275" w:type="dxa"/>
          </w:tcPr>
          <w:p w14:paraId="7A2785EC" w14:textId="77777777" w:rsidR="00AC71D6" w:rsidRPr="0098635C" w:rsidRDefault="00AC71D6" w:rsidP="00AC71D6">
            <w:pPr>
              <w:spacing w:after="0"/>
              <w:jc w:val="center"/>
              <w:rPr>
                <w:color w:val="000000" w:themeColor="text1"/>
                <w:sz w:val="20"/>
                <w:szCs w:val="20"/>
              </w:rPr>
            </w:pPr>
            <w:r w:rsidRPr="0098635C">
              <w:rPr>
                <w:color w:val="000000" w:themeColor="text1"/>
                <w:sz w:val="20"/>
                <w:szCs w:val="20"/>
              </w:rPr>
              <w:t>Ranging from stone size to microcrystals.</w:t>
            </w:r>
          </w:p>
        </w:tc>
        <w:tc>
          <w:tcPr>
            <w:tcW w:w="1701" w:type="dxa"/>
            <w:gridSpan w:val="2"/>
          </w:tcPr>
          <w:p w14:paraId="239293D4" w14:textId="57D5859B" w:rsidR="00AC71D6" w:rsidRPr="0098635C" w:rsidRDefault="00CD5C2D" w:rsidP="00CD5C2D">
            <w:pPr>
              <w:spacing w:after="0"/>
              <w:jc w:val="center"/>
              <w:rPr>
                <w:color w:val="000000" w:themeColor="text1"/>
                <w:sz w:val="20"/>
                <w:szCs w:val="20"/>
              </w:rPr>
            </w:pPr>
            <w:r w:rsidRPr="0098635C">
              <w:rPr>
                <w:color w:val="000000" w:themeColor="text1"/>
                <w:sz w:val="20"/>
                <w:szCs w:val="20"/>
              </w:rPr>
              <w:t>Not available</w:t>
            </w:r>
          </w:p>
        </w:tc>
        <w:tc>
          <w:tcPr>
            <w:tcW w:w="1418" w:type="dxa"/>
            <w:gridSpan w:val="3"/>
          </w:tcPr>
          <w:p w14:paraId="5C937A89" w14:textId="6A217EEE" w:rsidR="00AC71D6" w:rsidRPr="0098635C" w:rsidRDefault="00CD5C2D" w:rsidP="00CD5C2D">
            <w:pPr>
              <w:spacing w:after="0"/>
              <w:jc w:val="center"/>
              <w:rPr>
                <w:color w:val="000000" w:themeColor="text1"/>
                <w:sz w:val="20"/>
                <w:szCs w:val="20"/>
              </w:rPr>
            </w:pPr>
            <w:r w:rsidRPr="0098635C">
              <w:rPr>
                <w:color w:val="000000" w:themeColor="text1"/>
                <w:sz w:val="20"/>
                <w:szCs w:val="20"/>
              </w:rPr>
              <w:t>Not available</w:t>
            </w:r>
          </w:p>
        </w:tc>
        <w:tc>
          <w:tcPr>
            <w:tcW w:w="1417" w:type="dxa"/>
          </w:tcPr>
          <w:p w14:paraId="1EC12D4B" w14:textId="77777777" w:rsidR="00CD5C2D" w:rsidRPr="0098635C" w:rsidRDefault="00CD5C2D" w:rsidP="00AC71D6">
            <w:pPr>
              <w:spacing w:after="0"/>
              <w:jc w:val="center"/>
              <w:rPr>
                <w:color w:val="000000" w:themeColor="text1"/>
                <w:sz w:val="20"/>
                <w:szCs w:val="20"/>
              </w:rPr>
            </w:pPr>
            <w:r w:rsidRPr="0098635C">
              <w:rPr>
                <w:color w:val="000000" w:themeColor="text1"/>
                <w:sz w:val="20"/>
                <w:szCs w:val="20"/>
              </w:rPr>
              <w:t>Not available</w:t>
            </w:r>
          </w:p>
          <w:p w14:paraId="6CB1613C" w14:textId="77777777" w:rsidR="00AC71D6" w:rsidRPr="0098635C" w:rsidRDefault="00AC71D6" w:rsidP="00CD5C2D">
            <w:pPr>
              <w:spacing w:after="0"/>
              <w:jc w:val="center"/>
              <w:rPr>
                <w:color w:val="000000" w:themeColor="text1"/>
                <w:sz w:val="20"/>
                <w:szCs w:val="20"/>
              </w:rPr>
            </w:pPr>
          </w:p>
        </w:tc>
      </w:tr>
    </w:tbl>
    <w:p w14:paraId="70B561CC" w14:textId="77777777" w:rsidR="000E2BE9" w:rsidRPr="0098635C" w:rsidRDefault="000E2BE9" w:rsidP="00D05142">
      <w:pPr>
        <w:pStyle w:val="BodyText"/>
        <w:spacing w:after="0" w:line="192" w:lineRule="auto"/>
        <w:rPr>
          <w:color w:val="000000" w:themeColor="text1"/>
          <w:sz w:val="20"/>
        </w:rPr>
      </w:pPr>
    </w:p>
    <w:p w14:paraId="3F8435A8" w14:textId="794620AC" w:rsidR="00B45542" w:rsidRPr="0098635C" w:rsidRDefault="00D05142" w:rsidP="00B45542">
      <w:pPr>
        <w:pStyle w:val="BodyText"/>
        <w:spacing w:after="0" w:line="192" w:lineRule="auto"/>
        <w:ind w:left="426" w:hanging="426"/>
        <w:rPr>
          <w:color w:val="000000" w:themeColor="text1"/>
          <w:sz w:val="20"/>
        </w:rPr>
      </w:pPr>
      <w:r w:rsidRPr="0098635C">
        <w:rPr>
          <w:color w:val="000000" w:themeColor="text1"/>
          <w:sz w:val="20"/>
        </w:rPr>
        <w:t>* Flash point is not required since the active substances are solids and do not melt below 55°C.</w:t>
      </w:r>
      <w:r w:rsidR="00FD2F3F" w:rsidRPr="0098635C">
        <w:rPr>
          <w:color w:val="000000" w:themeColor="text1"/>
          <w:sz w:val="20"/>
        </w:rPr>
        <w:t xml:space="preserve"> Boiling point </w:t>
      </w:r>
      <w:r w:rsidR="00737294" w:rsidRPr="0098635C">
        <w:rPr>
          <w:color w:val="000000" w:themeColor="text1"/>
          <w:sz w:val="20"/>
        </w:rPr>
        <w:t xml:space="preserve">is </w:t>
      </w:r>
      <w:r w:rsidR="00FD2F3F" w:rsidRPr="0098635C">
        <w:rPr>
          <w:color w:val="000000" w:themeColor="text1"/>
          <w:sz w:val="20"/>
        </w:rPr>
        <w:t>not required since the substance is a solid that melts above 300°C</w:t>
      </w:r>
    </w:p>
    <w:p w14:paraId="26586C56" w14:textId="2176B2FB" w:rsidR="00D05142" w:rsidRPr="0098635C" w:rsidRDefault="00D05142" w:rsidP="00B45542">
      <w:pPr>
        <w:pStyle w:val="BodyText"/>
        <w:spacing w:after="0" w:line="192" w:lineRule="auto"/>
        <w:ind w:left="426" w:hanging="426"/>
        <w:rPr>
          <w:color w:val="000000" w:themeColor="text1"/>
          <w:sz w:val="20"/>
        </w:rPr>
      </w:pPr>
      <w:r w:rsidRPr="0098635C">
        <w:rPr>
          <w:color w:val="000000" w:themeColor="text1"/>
          <w:sz w:val="20"/>
        </w:rPr>
        <w:t>**</w:t>
      </w:r>
      <w:r w:rsidR="007D590D" w:rsidRPr="0098635C">
        <w:rPr>
          <w:color w:val="000000" w:themeColor="text1"/>
          <w:sz w:val="20"/>
        </w:rPr>
        <w:t xml:space="preserve"> Copper metal (Cu°) needs to be transformed to Cu+ or Cu++ to become soluble. </w:t>
      </w:r>
      <w:r w:rsidRPr="0098635C">
        <w:rPr>
          <w:color w:val="000000" w:themeColor="text1"/>
          <w:sz w:val="20"/>
        </w:rPr>
        <w:t xml:space="preserve">A special solubility test </w:t>
      </w:r>
      <w:r w:rsidR="007D590D" w:rsidRPr="0098635C">
        <w:rPr>
          <w:color w:val="000000" w:themeColor="text1"/>
          <w:sz w:val="20"/>
        </w:rPr>
        <w:t xml:space="preserve">(transformation/dissoluiotn test) </w:t>
      </w:r>
      <w:r w:rsidRPr="0098635C">
        <w:rPr>
          <w:color w:val="000000" w:themeColor="text1"/>
          <w:sz w:val="20"/>
        </w:rPr>
        <w:t>was developed for the classification of metals for the environment.</w:t>
      </w:r>
    </w:p>
    <w:p w14:paraId="14872E66" w14:textId="1F800DEB" w:rsidR="0023035A" w:rsidRPr="0098635C" w:rsidRDefault="0023035A" w:rsidP="00B45542">
      <w:pPr>
        <w:pStyle w:val="BodyText"/>
        <w:spacing w:after="0" w:line="192" w:lineRule="auto"/>
        <w:ind w:left="426" w:hanging="426"/>
        <w:rPr>
          <w:color w:val="000000" w:themeColor="text1"/>
          <w:sz w:val="20"/>
        </w:rPr>
      </w:pPr>
      <w:r w:rsidRPr="0098635C">
        <w:rPr>
          <w:bCs/>
          <w:color w:val="000000" w:themeColor="text1"/>
          <w:sz w:val="20"/>
        </w:rPr>
        <w:t>***Powders, and particulates d</w:t>
      </w:r>
      <w:r w:rsidRPr="0098635C">
        <w:rPr>
          <w:bCs/>
          <w:color w:val="000000" w:themeColor="text1"/>
          <w:sz w:val="20"/>
          <w:vertAlign w:val="subscript"/>
        </w:rPr>
        <w:t>50</w:t>
      </w:r>
      <w:r w:rsidRPr="0098635C">
        <w:rPr>
          <w:bCs/>
          <w:color w:val="000000" w:themeColor="text1"/>
          <w:sz w:val="20"/>
        </w:rPr>
        <w:t>values</w:t>
      </w:r>
      <w:r w:rsidRPr="0098635C">
        <w:rPr>
          <w:bCs/>
          <w:color w:val="000000" w:themeColor="text1"/>
          <w:sz w:val="20"/>
          <w:u w:val="single" w:color="000000"/>
        </w:rPr>
        <w:t>&gt;</w:t>
      </w:r>
      <w:r w:rsidRPr="0098635C">
        <w:rPr>
          <w:bCs/>
          <w:color w:val="000000" w:themeColor="text1"/>
          <w:sz w:val="20"/>
        </w:rPr>
        <w:t>10 µm to &lt; 1 mm. Massives are categorizes as forms with diameter</w:t>
      </w:r>
      <w:r w:rsidRPr="0098635C">
        <w:rPr>
          <w:bCs/>
          <w:color w:val="000000" w:themeColor="text1"/>
          <w:sz w:val="20"/>
          <w:u w:val="single" w:color="000000"/>
        </w:rPr>
        <w:t>&gt;</w:t>
      </w:r>
      <w:r w:rsidRPr="0098635C">
        <w:rPr>
          <w:bCs/>
          <w:color w:val="000000" w:themeColor="text1"/>
          <w:sz w:val="20"/>
        </w:rPr>
        <w:t>1mm and thus include large particulates</w:t>
      </w:r>
      <w:r w:rsidRPr="0098635C">
        <w:rPr>
          <w:color w:val="000000" w:themeColor="text1"/>
          <w:sz w:val="20"/>
        </w:rPr>
        <w:t xml:space="preserve"> </w:t>
      </w:r>
      <w:r w:rsidRPr="0098635C">
        <w:rPr>
          <w:bCs/>
          <w:color w:val="000000" w:themeColor="text1"/>
          <w:sz w:val="20"/>
        </w:rPr>
        <w:t>Representative powder samples were characterised with d50</w:t>
      </w:r>
      <w:r w:rsidRPr="0098635C">
        <w:rPr>
          <w:bCs/>
          <w:color w:val="000000" w:themeColor="text1"/>
          <w:sz w:val="20"/>
          <w:vertAlign w:val="subscript"/>
        </w:rPr>
        <w:t xml:space="preserve"> </w:t>
      </w:r>
      <w:r w:rsidRPr="0098635C">
        <w:rPr>
          <w:bCs/>
          <w:color w:val="000000" w:themeColor="text1"/>
          <w:sz w:val="20"/>
        </w:rPr>
        <w:t xml:space="preserve">of &lt;50 and 135 µm and specific surface area of 0.024 - 0.107 m2/g, were used as testing material. </w:t>
      </w:r>
    </w:p>
    <w:p w14:paraId="450C4CC0" w14:textId="106BEDE5" w:rsidR="00B45542" w:rsidRPr="0098635C" w:rsidRDefault="0023035A" w:rsidP="00323A4D">
      <w:pPr>
        <w:spacing w:after="0"/>
        <w:ind w:left="426"/>
        <w:rPr>
          <w:color w:val="000000" w:themeColor="text1"/>
          <w:sz w:val="20"/>
          <w:szCs w:val="20"/>
        </w:rPr>
      </w:pPr>
      <w:r w:rsidRPr="0098635C">
        <w:rPr>
          <w:bCs/>
          <w:color w:val="000000" w:themeColor="text1"/>
          <w:sz w:val="20"/>
          <w:szCs w:val="20"/>
        </w:rPr>
        <w:t xml:space="preserve">Coated copper flakes granulometric d50 values range between 5 and </w:t>
      </w:r>
      <w:r w:rsidR="00545A43" w:rsidRPr="0098635C">
        <w:rPr>
          <w:bCs/>
          <w:color w:val="000000" w:themeColor="text1"/>
          <w:sz w:val="20"/>
          <w:szCs w:val="20"/>
        </w:rPr>
        <w:t>&lt;</w:t>
      </w:r>
      <w:r w:rsidRPr="0098635C">
        <w:rPr>
          <w:bCs/>
          <w:color w:val="000000" w:themeColor="text1"/>
          <w:sz w:val="20"/>
          <w:szCs w:val="20"/>
        </w:rPr>
        <w:t xml:space="preserve">100 µm. </w:t>
      </w:r>
      <w:r w:rsidR="00B45542" w:rsidRPr="0098635C">
        <w:rPr>
          <w:bCs/>
          <w:color w:val="000000" w:themeColor="text1"/>
          <w:sz w:val="20"/>
          <w:szCs w:val="20"/>
        </w:rPr>
        <w:t xml:space="preserve">They are characterised by a high surface area. </w:t>
      </w:r>
      <w:r w:rsidRPr="0098635C">
        <w:rPr>
          <w:bCs/>
          <w:color w:val="000000" w:themeColor="text1"/>
          <w:sz w:val="20"/>
          <w:szCs w:val="20"/>
        </w:rPr>
        <w:t xml:space="preserve"> A representative sample of a coated copper flake with a d</w:t>
      </w:r>
      <w:r w:rsidRPr="0098635C">
        <w:rPr>
          <w:bCs/>
          <w:color w:val="000000" w:themeColor="text1"/>
          <w:sz w:val="20"/>
          <w:szCs w:val="20"/>
          <w:vertAlign w:val="subscript"/>
        </w:rPr>
        <w:t>50</w:t>
      </w:r>
      <w:r w:rsidRPr="0098635C">
        <w:rPr>
          <w:bCs/>
          <w:color w:val="000000" w:themeColor="text1"/>
          <w:sz w:val="20"/>
          <w:szCs w:val="20"/>
        </w:rPr>
        <w:t>of 8-11µm and specific surface area of 2.9 m2/g was used for testing</w:t>
      </w:r>
      <w:r w:rsidR="00FD2F3F" w:rsidRPr="0098635C">
        <w:rPr>
          <w:bCs/>
          <w:color w:val="000000" w:themeColor="text1"/>
          <w:sz w:val="20"/>
          <w:szCs w:val="20"/>
        </w:rPr>
        <w:t xml:space="preserve">. </w:t>
      </w:r>
    </w:p>
    <w:p w14:paraId="23A06FB9" w14:textId="77777777" w:rsidR="006C1D26" w:rsidRPr="0098635C" w:rsidRDefault="006C1D26" w:rsidP="00C44075">
      <w:pPr>
        <w:spacing w:after="0"/>
        <w:ind w:left="426"/>
        <w:rPr>
          <w:color w:val="000000" w:themeColor="text1"/>
          <w:sz w:val="20"/>
          <w:szCs w:val="20"/>
        </w:rPr>
      </w:pPr>
      <w:bookmarkStart w:id="65" w:name="_Toc472250851"/>
    </w:p>
    <w:p w14:paraId="303CFB54" w14:textId="650F2BD8" w:rsidR="006C1D26" w:rsidRPr="0098635C" w:rsidRDefault="006C1D26" w:rsidP="006C1D26">
      <w:pPr>
        <w:pStyle w:val="BodyText"/>
        <w:rPr>
          <w:color w:val="000000" w:themeColor="text1"/>
          <w:sz w:val="20"/>
        </w:rPr>
      </w:pPr>
      <w:bookmarkStart w:id="66" w:name="_Toc471999239"/>
      <w:r w:rsidRPr="0098635C">
        <w:rPr>
          <w:color w:val="000000" w:themeColor="text1"/>
          <w:sz w:val="20"/>
        </w:rPr>
        <w:t>Partition coefficient (log Kow)”, “Flash point”, “Explosive”, and “Oxidising properties”, information is not substance-specific and is not critical from the both environmental and human health view-points.  These properties were therefore excluded from Table1.</w:t>
      </w:r>
    </w:p>
    <w:p w14:paraId="2940E6E0" w14:textId="23CF5A06" w:rsidR="00B05271" w:rsidRPr="0098635C" w:rsidRDefault="009B096C" w:rsidP="009B096C">
      <w:pPr>
        <w:pStyle w:val="Heading2"/>
        <w:numPr>
          <w:ilvl w:val="0"/>
          <w:numId w:val="0"/>
        </w:numPr>
        <w:rPr>
          <w:rFonts w:ascii="Times New Roman" w:hAnsi="Times New Roman"/>
          <w:color w:val="000000" w:themeColor="text1"/>
          <w:sz w:val="20"/>
        </w:rPr>
      </w:pPr>
      <w:r w:rsidRPr="0098635C">
        <w:rPr>
          <w:rFonts w:ascii="Times New Roman" w:hAnsi="Times New Roman"/>
          <w:color w:val="000000" w:themeColor="text1"/>
          <w:sz w:val="20"/>
        </w:rPr>
        <w:t>1.4</w:t>
      </w:r>
      <w:r w:rsidRPr="0098635C">
        <w:rPr>
          <w:rFonts w:ascii="Times New Roman" w:hAnsi="Times New Roman"/>
          <w:color w:val="000000" w:themeColor="text1"/>
          <w:sz w:val="20"/>
        </w:rPr>
        <w:tab/>
        <w:t>Ca</w:t>
      </w:r>
      <w:r w:rsidR="00B05271" w:rsidRPr="0098635C">
        <w:rPr>
          <w:rFonts w:ascii="Times New Roman" w:hAnsi="Times New Roman"/>
          <w:color w:val="000000" w:themeColor="text1"/>
          <w:sz w:val="20"/>
        </w:rPr>
        <w:t>tegory</w:t>
      </w:r>
      <w:r w:rsidR="00B35104" w:rsidRPr="0098635C">
        <w:rPr>
          <w:rFonts w:ascii="Times New Roman" w:hAnsi="Times New Roman"/>
          <w:color w:val="000000" w:themeColor="text1"/>
          <w:sz w:val="20"/>
        </w:rPr>
        <w:t xml:space="preserve"> </w:t>
      </w:r>
      <w:r w:rsidR="00B05271" w:rsidRPr="0098635C">
        <w:rPr>
          <w:rFonts w:ascii="Times New Roman" w:hAnsi="Times New Roman"/>
          <w:color w:val="000000" w:themeColor="text1"/>
          <w:sz w:val="20"/>
        </w:rPr>
        <w:t>Justification</w:t>
      </w:r>
      <w:bookmarkEnd w:id="61"/>
      <w:bookmarkEnd w:id="62"/>
      <w:bookmarkEnd w:id="63"/>
      <w:bookmarkEnd w:id="65"/>
      <w:bookmarkEnd w:id="66"/>
    </w:p>
    <w:p w14:paraId="23DA5A30" w14:textId="178A48CA" w:rsidR="00EA78C1" w:rsidRPr="0098635C" w:rsidRDefault="00E230FB" w:rsidP="006C1D26">
      <w:pPr>
        <w:pStyle w:val="Tabletext"/>
        <w:tabs>
          <w:tab w:val="left" w:pos="2753"/>
        </w:tabs>
        <w:spacing w:before="120"/>
        <w:ind w:right="370" w:firstLine="1"/>
        <w:rPr>
          <w:color w:val="000000" w:themeColor="text1"/>
          <w:lang w:val="en-GB"/>
        </w:rPr>
      </w:pPr>
      <w:r w:rsidRPr="0098635C">
        <w:rPr>
          <w:color w:val="000000" w:themeColor="text1"/>
          <w:lang w:val="en-GB"/>
        </w:rPr>
        <w:t>The category includes a group of copper substances whose ecotoxicological and systemic human hazard profiles are related to the release of copper-ions.</w:t>
      </w:r>
      <w:r w:rsidR="00EA78C1" w:rsidRPr="0098635C">
        <w:rPr>
          <w:color w:val="000000" w:themeColor="text1"/>
          <w:lang w:val="en-GB"/>
        </w:rPr>
        <w:t xml:space="preserve"> The proposed category was limited to </w:t>
      </w:r>
      <w:r w:rsidR="0007593D" w:rsidRPr="0098635C">
        <w:rPr>
          <w:color w:val="000000" w:themeColor="text1"/>
          <w:lang w:val="en-GB"/>
        </w:rPr>
        <w:t xml:space="preserve">specific </w:t>
      </w:r>
      <w:r w:rsidR="00EA78C1" w:rsidRPr="0098635C">
        <w:rPr>
          <w:color w:val="000000" w:themeColor="text1"/>
          <w:lang w:val="en-GB"/>
        </w:rPr>
        <w:t>copper compou</w:t>
      </w:r>
      <w:r w:rsidR="00D43F1B" w:rsidRPr="0098635C">
        <w:rPr>
          <w:color w:val="000000" w:themeColor="text1"/>
          <w:lang w:val="en-GB"/>
        </w:rPr>
        <w:t>n</w:t>
      </w:r>
      <w:r w:rsidR="00EA78C1" w:rsidRPr="0098635C">
        <w:rPr>
          <w:color w:val="000000" w:themeColor="text1"/>
          <w:lang w:val="en-GB"/>
        </w:rPr>
        <w:t xml:space="preserve">ds as they </w:t>
      </w:r>
      <w:r w:rsidR="00E01B6E" w:rsidRPr="0098635C">
        <w:rPr>
          <w:color w:val="000000" w:themeColor="text1"/>
          <w:lang w:val="en-GB"/>
        </w:rPr>
        <w:t>were</w:t>
      </w:r>
      <w:r w:rsidR="00EA78C1" w:rsidRPr="0098635C">
        <w:rPr>
          <w:color w:val="000000" w:themeColor="text1"/>
          <w:lang w:val="en-GB"/>
        </w:rPr>
        <w:t xml:space="preserve"> considered</w:t>
      </w:r>
      <w:r w:rsidR="00D43F1B" w:rsidRPr="0098635C">
        <w:rPr>
          <w:color w:val="000000" w:themeColor="text1"/>
          <w:lang w:val="en-GB"/>
        </w:rPr>
        <w:t xml:space="preserve"> </w:t>
      </w:r>
      <w:r w:rsidR="00EA78C1" w:rsidRPr="0098635C">
        <w:rPr>
          <w:color w:val="000000" w:themeColor="text1"/>
          <w:lang w:val="en-GB"/>
        </w:rPr>
        <w:t>as European priorities and were included in the European Copper Voluntary Risk Assessment</w:t>
      </w:r>
      <w:r w:rsidR="00E01B6E" w:rsidRPr="0098635C">
        <w:rPr>
          <w:color w:val="000000" w:themeColor="text1"/>
          <w:lang w:val="en-GB"/>
        </w:rPr>
        <w:t xml:space="preserve"> (2008)</w:t>
      </w:r>
      <w:r w:rsidR="00E01B6E" w:rsidRPr="0098635C">
        <w:rPr>
          <w:rStyle w:val="FootnoteReference"/>
          <w:color w:val="000000" w:themeColor="text1"/>
          <w:sz w:val="20"/>
          <w:lang w:val="en-GB"/>
        </w:rPr>
        <w:footnoteReference w:id="8"/>
      </w:r>
      <w:r w:rsidR="00EA78C1" w:rsidRPr="0098635C">
        <w:rPr>
          <w:color w:val="000000" w:themeColor="text1"/>
          <w:lang w:val="en-GB"/>
        </w:rPr>
        <w:t>.</w:t>
      </w:r>
      <w:r w:rsidR="00BF67DC" w:rsidRPr="0098635C">
        <w:rPr>
          <w:color w:val="000000" w:themeColor="text1"/>
          <w:lang w:val="en-GB"/>
        </w:rPr>
        <w:t xml:space="preserve"> The basis of t</w:t>
      </w:r>
      <w:r w:rsidR="00E01B6E" w:rsidRPr="0098635C">
        <w:rPr>
          <w:color w:val="000000" w:themeColor="text1"/>
          <w:lang w:val="en-GB"/>
        </w:rPr>
        <w:t xml:space="preserve">his dossier and database is the Copper Voluntary Risk Assessment report </w:t>
      </w:r>
      <w:r w:rsidR="00BF67DC" w:rsidRPr="0098635C">
        <w:rPr>
          <w:color w:val="000000" w:themeColor="text1"/>
          <w:lang w:val="en-GB"/>
        </w:rPr>
        <w:t xml:space="preserve">and the use of copper and copper compounds as general chemicals.  </w:t>
      </w:r>
    </w:p>
    <w:p w14:paraId="7FA4712C" w14:textId="021CCBDD" w:rsidR="00EA78C1" w:rsidRPr="0098635C" w:rsidRDefault="00E230FB" w:rsidP="00C44075">
      <w:pPr>
        <w:pStyle w:val="Tabletext"/>
        <w:tabs>
          <w:tab w:val="left" w:pos="2753"/>
        </w:tabs>
        <w:spacing w:before="120"/>
        <w:ind w:right="370" w:firstLine="1"/>
        <w:rPr>
          <w:color w:val="000000" w:themeColor="text1"/>
        </w:rPr>
      </w:pPr>
      <w:r w:rsidRPr="0098635C">
        <w:rPr>
          <w:color w:val="000000" w:themeColor="text1"/>
          <w:lang w:val="en-GB"/>
        </w:rPr>
        <w:t xml:space="preserve">Nanoform copper substances are excluded </w:t>
      </w:r>
      <w:r w:rsidR="000B1BE1" w:rsidRPr="0098635C">
        <w:rPr>
          <w:color w:val="000000" w:themeColor="text1"/>
          <w:lang w:val="en-GB"/>
        </w:rPr>
        <w:t>from</w:t>
      </w:r>
      <w:r w:rsidRPr="0098635C">
        <w:rPr>
          <w:color w:val="000000" w:themeColor="text1"/>
          <w:lang w:val="en-GB"/>
        </w:rPr>
        <w:t xml:space="preserve"> this assessment because the biological effects of nanoform metals can differ from the ionic forms</w:t>
      </w:r>
      <w:r w:rsidR="002D0C31" w:rsidRPr="0098635C">
        <w:rPr>
          <w:color w:val="000000" w:themeColor="text1"/>
          <w:lang w:val="en-GB"/>
        </w:rPr>
        <w:t>.</w:t>
      </w:r>
    </w:p>
    <w:p w14:paraId="066590FC" w14:textId="77777777" w:rsidR="0007593D" w:rsidRPr="0098635C" w:rsidRDefault="0007593D" w:rsidP="00C44075">
      <w:pPr>
        <w:pStyle w:val="Tabletext"/>
        <w:tabs>
          <w:tab w:val="left" w:pos="2753"/>
        </w:tabs>
        <w:spacing w:before="120"/>
        <w:ind w:right="370" w:firstLine="1"/>
        <w:rPr>
          <w:color w:val="000000" w:themeColor="text1"/>
        </w:rPr>
      </w:pPr>
    </w:p>
    <w:p w14:paraId="4D0AAD2D" w14:textId="6128DF99" w:rsidR="004930D7" w:rsidRPr="0098635C" w:rsidRDefault="004930D7" w:rsidP="004930D7">
      <w:pPr>
        <w:rPr>
          <w:rFonts w:eastAsia="Calibri"/>
          <w:color w:val="000000" w:themeColor="text1"/>
          <w:sz w:val="20"/>
          <w:szCs w:val="20"/>
        </w:rPr>
      </w:pPr>
      <w:r w:rsidRPr="0098635C">
        <w:rPr>
          <w:color w:val="000000" w:themeColor="text1"/>
          <w:sz w:val="20"/>
          <w:szCs w:val="20"/>
        </w:rPr>
        <w:t xml:space="preserve">The category includes </w:t>
      </w:r>
      <w:r w:rsidR="004476D1" w:rsidRPr="0098635C">
        <w:rPr>
          <w:color w:val="000000" w:themeColor="text1"/>
          <w:sz w:val="20"/>
          <w:szCs w:val="20"/>
        </w:rPr>
        <w:t xml:space="preserve">5 substances: </w:t>
      </w:r>
      <w:r w:rsidRPr="0098635C">
        <w:rPr>
          <w:color w:val="000000" w:themeColor="text1"/>
          <w:sz w:val="20"/>
          <w:szCs w:val="20"/>
        </w:rPr>
        <w:t xml:space="preserve">soluble copper sulphate, </w:t>
      </w:r>
      <w:r w:rsidR="00593E99" w:rsidRPr="0098635C">
        <w:rPr>
          <w:color w:val="000000" w:themeColor="text1"/>
          <w:sz w:val="20"/>
          <w:szCs w:val="20"/>
        </w:rPr>
        <w:t xml:space="preserve">dicopperchloride trihydroxide, less </w:t>
      </w:r>
      <w:r w:rsidRPr="0098635C">
        <w:rPr>
          <w:color w:val="000000" w:themeColor="text1"/>
          <w:sz w:val="20"/>
          <w:szCs w:val="20"/>
        </w:rPr>
        <w:t xml:space="preserve">soluble </w:t>
      </w:r>
      <w:r w:rsidR="00C274D4" w:rsidRPr="0098635C">
        <w:rPr>
          <w:color w:val="000000" w:themeColor="text1"/>
          <w:sz w:val="20"/>
          <w:szCs w:val="20"/>
        </w:rPr>
        <w:t xml:space="preserve">copper </w:t>
      </w:r>
      <w:r w:rsidR="00811F69" w:rsidRPr="0098635C">
        <w:rPr>
          <w:color w:val="000000" w:themeColor="text1"/>
          <w:sz w:val="20"/>
          <w:szCs w:val="20"/>
        </w:rPr>
        <w:t xml:space="preserve">(I) </w:t>
      </w:r>
      <w:r w:rsidR="00C274D4" w:rsidRPr="0098635C">
        <w:rPr>
          <w:color w:val="000000" w:themeColor="text1"/>
          <w:sz w:val="20"/>
          <w:szCs w:val="20"/>
        </w:rPr>
        <w:t>oxide and copper</w:t>
      </w:r>
      <w:r w:rsidR="00811F69" w:rsidRPr="0098635C">
        <w:rPr>
          <w:color w:val="000000" w:themeColor="text1"/>
          <w:sz w:val="20"/>
          <w:szCs w:val="20"/>
        </w:rPr>
        <w:t xml:space="preserve"> (II)</w:t>
      </w:r>
      <w:r w:rsidR="00C274D4" w:rsidRPr="0098635C">
        <w:rPr>
          <w:color w:val="000000" w:themeColor="text1"/>
          <w:sz w:val="20"/>
          <w:szCs w:val="20"/>
        </w:rPr>
        <w:t xml:space="preserve"> oxide</w:t>
      </w:r>
      <w:r w:rsidRPr="0098635C">
        <w:rPr>
          <w:color w:val="000000" w:themeColor="text1"/>
          <w:sz w:val="20"/>
          <w:szCs w:val="20"/>
        </w:rPr>
        <w:t xml:space="preserve">, and </w:t>
      </w:r>
      <w:r w:rsidRPr="0098635C">
        <w:rPr>
          <w:rFonts w:eastAsia="Calibri"/>
          <w:color w:val="000000" w:themeColor="text1"/>
          <w:sz w:val="20"/>
          <w:szCs w:val="20"/>
        </w:rPr>
        <w:t xml:space="preserve">three forms of </w:t>
      </w:r>
      <w:r w:rsidR="004476D1" w:rsidRPr="0098635C">
        <w:rPr>
          <w:rFonts w:eastAsia="Calibri"/>
          <w:color w:val="000000" w:themeColor="text1"/>
          <w:sz w:val="20"/>
          <w:szCs w:val="20"/>
        </w:rPr>
        <w:t xml:space="preserve">zero valent </w:t>
      </w:r>
      <w:r w:rsidRPr="0098635C">
        <w:rPr>
          <w:rFonts w:eastAsia="Calibri"/>
          <w:color w:val="000000" w:themeColor="text1"/>
          <w:sz w:val="20"/>
          <w:szCs w:val="20"/>
        </w:rPr>
        <w:t>copper materials (Cu°): copper massive, copper powder and coated copper flake</w:t>
      </w:r>
      <w:r w:rsidR="00F72C94" w:rsidRPr="0098635C">
        <w:rPr>
          <w:rStyle w:val="FootnoteReference"/>
          <w:rFonts w:eastAsia="Calibri"/>
          <w:color w:val="000000" w:themeColor="text1"/>
          <w:sz w:val="20"/>
          <w:szCs w:val="20"/>
        </w:rPr>
        <w:footnoteReference w:id="9"/>
      </w:r>
      <w:r w:rsidRPr="0098635C">
        <w:rPr>
          <w:rFonts w:eastAsia="Calibri"/>
          <w:color w:val="000000" w:themeColor="text1"/>
          <w:sz w:val="20"/>
          <w:szCs w:val="20"/>
        </w:rPr>
        <w:t xml:space="preserve">. </w:t>
      </w:r>
      <w:r w:rsidR="00593E99" w:rsidRPr="0098635C">
        <w:rPr>
          <w:rFonts w:eastAsia="Calibri"/>
          <w:color w:val="000000" w:themeColor="text1"/>
          <w:sz w:val="20"/>
          <w:szCs w:val="20"/>
        </w:rPr>
        <w:t xml:space="preserve">Coated copper flakes are </w:t>
      </w:r>
      <w:r w:rsidR="00DD259A" w:rsidRPr="0098635C">
        <w:rPr>
          <w:rFonts w:eastAsia="Calibri"/>
          <w:color w:val="000000" w:themeColor="text1"/>
          <w:sz w:val="20"/>
          <w:szCs w:val="20"/>
        </w:rPr>
        <w:t>added</w:t>
      </w:r>
      <w:r w:rsidR="00593E99" w:rsidRPr="0098635C">
        <w:rPr>
          <w:rFonts w:eastAsia="Calibri"/>
          <w:color w:val="000000" w:themeColor="text1"/>
          <w:sz w:val="20"/>
          <w:szCs w:val="20"/>
        </w:rPr>
        <w:t xml:space="preserve"> to the category because human health haz</w:t>
      </w:r>
      <w:r w:rsidR="00DD259A" w:rsidRPr="0098635C">
        <w:rPr>
          <w:rFonts w:eastAsia="Calibri"/>
          <w:color w:val="000000" w:themeColor="text1"/>
          <w:sz w:val="20"/>
          <w:szCs w:val="20"/>
        </w:rPr>
        <w:t xml:space="preserve">ards are available </w:t>
      </w:r>
      <w:r w:rsidR="00593E99" w:rsidRPr="0098635C">
        <w:rPr>
          <w:rFonts w:eastAsia="Calibri"/>
          <w:color w:val="000000" w:themeColor="text1"/>
          <w:sz w:val="20"/>
          <w:szCs w:val="20"/>
        </w:rPr>
        <w:t>for these coated copper flake</w:t>
      </w:r>
      <w:r w:rsidR="00E15F09" w:rsidRPr="0098635C">
        <w:rPr>
          <w:rFonts w:eastAsia="Calibri"/>
          <w:color w:val="000000" w:themeColor="text1"/>
          <w:sz w:val="20"/>
          <w:szCs w:val="20"/>
        </w:rPr>
        <w:t>s</w:t>
      </w:r>
      <w:r w:rsidR="00593E99" w:rsidRPr="0098635C">
        <w:rPr>
          <w:rStyle w:val="FootnoteReference"/>
          <w:rFonts w:eastAsia="Calibri"/>
          <w:color w:val="000000" w:themeColor="text1"/>
          <w:sz w:val="20"/>
          <w:szCs w:val="20"/>
        </w:rPr>
        <w:footnoteReference w:id="10"/>
      </w:r>
      <w:r w:rsidR="00DD259A" w:rsidRPr="0098635C">
        <w:rPr>
          <w:rFonts w:eastAsia="Calibri"/>
          <w:color w:val="000000" w:themeColor="text1"/>
          <w:sz w:val="20"/>
          <w:szCs w:val="20"/>
        </w:rPr>
        <w:t xml:space="preserve">. </w:t>
      </w:r>
      <w:r w:rsidRPr="0098635C">
        <w:rPr>
          <w:rFonts w:eastAsia="Calibri"/>
          <w:color w:val="000000" w:themeColor="text1"/>
          <w:sz w:val="20"/>
          <w:szCs w:val="20"/>
        </w:rPr>
        <w:t xml:space="preserve"> Where relevant for read-across purposes, information from other copper compounds is included in the assessment. </w:t>
      </w:r>
    </w:p>
    <w:p w14:paraId="2DA2772F" w14:textId="22488A65" w:rsidR="004476D1" w:rsidRPr="0098635C" w:rsidRDefault="004476D1" w:rsidP="004476D1">
      <w:pPr>
        <w:rPr>
          <w:color w:val="000000" w:themeColor="text1"/>
          <w:sz w:val="20"/>
          <w:szCs w:val="20"/>
        </w:rPr>
      </w:pPr>
      <w:r w:rsidRPr="0098635C">
        <w:rPr>
          <w:color w:val="000000" w:themeColor="text1"/>
          <w:sz w:val="20"/>
          <w:szCs w:val="20"/>
        </w:rPr>
        <w:t xml:space="preserve">For the environmental endpoints and systemic health endpoints, the copper ion is considered as the reactive functional group within the category. </w:t>
      </w:r>
      <w:r w:rsidRPr="0098635C">
        <w:rPr>
          <w:color w:val="000000" w:themeColor="text1"/>
          <w:sz w:val="20"/>
          <w:szCs w:val="20"/>
          <w:lang w:eastAsia="ja-JP"/>
        </w:rPr>
        <w:t xml:space="preserve">The counter-ions of the copper salts (i.e. oxygen, sulphate, chloride and  hydroxide), are due to their ubiquitous presence in environmental media and human fluids not considered to contribute to the environmental nor systemic human toxicity of copper salts.   </w:t>
      </w:r>
    </w:p>
    <w:p w14:paraId="4CC305C3" w14:textId="2B65B1EF" w:rsidR="002D0C31" w:rsidRPr="0098635C" w:rsidRDefault="004930D7" w:rsidP="004930D7">
      <w:pPr>
        <w:rPr>
          <w:color w:val="000000" w:themeColor="text1"/>
          <w:sz w:val="20"/>
          <w:szCs w:val="20"/>
        </w:rPr>
      </w:pPr>
      <w:r w:rsidRPr="0098635C">
        <w:rPr>
          <w:color w:val="000000" w:themeColor="text1"/>
          <w:sz w:val="20"/>
          <w:szCs w:val="20"/>
        </w:rPr>
        <w:t>The category implies that the effects assessment is expressed as Cu-ions</w:t>
      </w:r>
      <w:r w:rsidR="002D0C31" w:rsidRPr="0098635C">
        <w:rPr>
          <w:color w:val="000000" w:themeColor="text1"/>
          <w:sz w:val="20"/>
          <w:szCs w:val="20"/>
        </w:rPr>
        <w:t xml:space="preserve"> and that further read-across to</w:t>
      </w:r>
      <w:r w:rsidR="0040260F" w:rsidRPr="0098635C">
        <w:rPr>
          <w:color w:val="000000" w:themeColor="text1"/>
          <w:sz w:val="20"/>
          <w:szCs w:val="20"/>
        </w:rPr>
        <w:t xml:space="preserve"> </w:t>
      </w:r>
      <w:r w:rsidR="002D0C31" w:rsidRPr="0098635C">
        <w:rPr>
          <w:color w:val="000000" w:themeColor="text1"/>
          <w:sz w:val="20"/>
          <w:szCs w:val="20"/>
        </w:rPr>
        <w:t>other copper compounds</w:t>
      </w:r>
      <w:r w:rsidR="00170713" w:rsidRPr="0098635C">
        <w:rPr>
          <w:color w:val="000000" w:themeColor="text1"/>
          <w:sz w:val="20"/>
          <w:szCs w:val="20"/>
        </w:rPr>
        <w:t xml:space="preserve"> is possible on condition that</w:t>
      </w:r>
      <w:r w:rsidR="002D0C31" w:rsidRPr="0098635C">
        <w:rPr>
          <w:color w:val="000000" w:themeColor="text1"/>
          <w:sz w:val="20"/>
          <w:szCs w:val="20"/>
        </w:rPr>
        <w:t xml:space="preserve"> copper ions are driving the toxicity.</w:t>
      </w:r>
    </w:p>
    <w:p w14:paraId="70C0F2D0" w14:textId="6261314E" w:rsidR="004930D7" w:rsidRPr="0098635C" w:rsidRDefault="002D0C31" w:rsidP="004930D7">
      <w:pPr>
        <w:rPr>
          <w:color w:val="000000" w:themeColor="text1"/>
          <w:sz w:val="20"/>
          <w:szCs w:val="20"/>
        </w:rPr>
      </w:pPr>
      <w:r w:rsidRPr="0098635C">
        <w:rPr>
          <w:color w:val="000000" w:themeColor="text1"/>
          <w:sz w:val="20"/>
          <w:szCs w:val="20"/>
        </w:rPr>
        <w:t>Copper is an essential nutrient for humans and non-human organisms</w:t>
      </w:r>
      <w:r w:rsidRPr="0098635C" w:rsidDel="00ED5FEF">
        <w:rPr>
          <w:color w:val="000000" w:themeColor="text1"/>
          <w:sz w:val="20"/>
          <w:szCs w:val="20"/>
        </w:rPr>
        <w:t xml:space="preserve"> </w:t>
      </w:r>
      <w:r w:rsidR="004930D7" w:rsidRPr="0098635C">
        <w:rPr>
          <w:color w:val="000000" w:themeColor="text1"/>
          <w:sz w:val="20"/>
          <w:szCs w:val="20"/>
        </w:rPr>
        <w:t xml:space="preserve">and, therefore, </w:t>
      </w:r>
      <w:r w:rsidR="00593E99" w:rsidRPr="0098635C">
        <w:rPr>
          <w:color w:val="000000" w:themeColor="text1"/>
          <w:sz w:val="20"/>
          <w:szCs w:val="20"/>
        </w:rPr>
        <w:t xml:space="preserve">low concentrations may lead to </w:t>
      </w:r>
      <w:r w:rsidR="00593E99" w:rsidRPr="0098635C">
        <w:rPr>
          <w:color w:val="000000" w:themeColor="text1"/>
          <w:sz w:val="20"/>
          <w:szCs w:val="20"/>
        </w:rPr>
        <w:lastRenderedPageBreak/>
        <w:t>deficiency while</w:t>
      </w:r>
      <w:r w:rsidR="00E15F09" w:rsidRPr="0098635C">
        <w:rPr>
          <w:color w:val="000000" w:themeColor="text1"/>
          <w:sz w:val="20"/>
          <w:szCs w:val="20"/>
        </w:rPr>
        <w:t xml:space="preserve"> </w:t>
      </w:r>
      <w:r w:rsidR="004930D7" w:rsidRPr="0098635C">
        <w:rPr>
          <w:color w:val="000000" w:themeColor="text1"/>
          <w:sz w:val="20"/>
          <w:szCs w:val="20"/>
        </w:rPr>
        <w:t xml:space="preserve">high concentrations of copper ions may lead to copper toxicity. </w:t>
      </w:r>
    </w:p>
    <w:p w14:paraId="0DC05469" w14:textId="38E9FFE2" w:rsidR="00375E59" w:rsidRPr="0098635C" w:rsidRDefault="004930D7" w:rsidP="00E22AA9">
      <w:pPr>
        <w:tabs>
          <w:tab w:val="left" w:pos="2977"/>
        </w:tabs>
        <w:rPr>
          <w:color w:val="000000" w:themeColor="text1"/>
          <w:sz w:val="20"/>
          <w:szCs w:val="20"/>
        </w:rPr>
      </w:pPr>
      <w:r w:rsidRPr="0098635C">
        <w:rPr>
          <w:color w:val="000000" w:themeColor="text1"/>
          <w:sz w:val="20"/>
          <w:szCs w:val="20"/>
        </w:rPr>
        <w:t>Once released to the environment, copper ions have more than one oxidation state and copper is thus characterized as transition metal. The principal ionic forms are cuprous (Cu(I), Cu</w:t>
      </w:r>
      <w:r w:rsidRPr="0098635C">
        <w:rPr>
          <w:color w:val="000000" w:themeColor="text1"/>
          <w:sz w:val="20"/>
          <w:szCs w:val="20"/>
          <w:vertAlign w:val="superscript"/>
        </w:rPr>
        <w:t>+</w:t>
      </w:r>
      <w:r w:rsidRPr="0098635C">
        <w:rPr>
          <w:color w:val="000000" w:themeColor="text1"/>
          <w:sz w:val="20"/>
          <w:szCs w:val="20"/>
        </w:rPr>
        <w:t>) and cupric (Cu(II), Cu</w:t>
      </w:r>
      <w:r w:rsidRPr="0098635C">
        <w:rPr>
          <w:color w:val="000000" w:themeColor="text1"/>
          <w:sz w:val="20"/>
          <w:szCs w:val="20"/>
          <w:vertAlign w:val="superscript"/>
        </w:rPr>
        <w:t>2+</w:t>
      </w:r>
      <w:r w:rsidRPr="0098635C">
        <w:rPr>
          <w:color w:val="000000" w:themeColor="text1"/>
          <w:sz w:val="20"/>
          <w:szCs w:val="20"/>
        </w:rPr>
        <w:t>). The trivalent form (Cu(III), Cu</w:t>
      </w:r>
      <w:r w:rsidRPr="0098635C">
        <w:rPr>
          <w:color w:val="000000" w:themeColor="text1"/>
          <w:sz w:val="20"/>
          <w:szCs w:val="20"/>
          <w:vertAlign w:val="superscript"/>
        </w:rPr>
        <w:t>3+</w:t>
      </w:r>
      <w:r w:rsidRPr="0098635C">
        <w:rPr>
          <w:color w:val="000000" w:themeColor="text1"/>
          <w:sz w:val="20"/>
          <w:szCs w:val="20"/>
        </w:rPr>
        <w:t>) occurs but is relatively unimportant in physical and biological systems. Cu</w:t>
      </w:r>
      <w:r w:rsidRPr="0098635C">
        <w:rPr>
          <w:color w:val="000000" w:themeColor="text1"/>
          <w:sz w:val="20"/>
          <w:szCs w:val="20"/>
          <w:vertAlign w:val="superscript"/>
        </w:rPr>
        <w:t>+</w:t>
      </w:r>
      <w:r w:rsidRPr="0098635C">
        <w:rPr>
          <w:color w:val="000000" w:themeColor="text1"/>
          <w:sz w:val="20"/>
          <w:szCs w:val="20"/>
        </w:rPr>
        <w:t xml:space="preserve"> is unstable in aqueous media and soluble Cu</w:t>
      </w:r>
      <w:r w:rsidRPr="0098635C">
        <w:rPr>
          <w:color w:val="000000" w:themeColor="text1"/>
          <w:sz w:val="20"/>
          <w:szCs w:val="20"/>
          <w:vertAlign w:val="superscript"/>
        </w:rPr>
        <w:t>1+</w:t>
      </w:r>
      <w:r w:rsidRPr="0098635C">
        <w:rPr>
          <w:color w:val="000000" w:themeColor="text1"/>
          <w:sz w:val="20"/>
          <w:szCs w:val="20"/>
        </w:rPr>
        <w:t>-compounds readily transform into soluble Cu</w:t>
      </w:r>
      <w:r w:rsidRPr="0098635C">
        <w:rPr>
          <w:color w:val="000000" w:themeColor="text1"/>
          <w:sz w:val="20"/>
          <w:szCs w:val="20"/>
          <w:vertAlign w:val="superscript"/>
        </w:rPr>
        <w:t>2+</w:t>
      </w:r>
      <w:r w:rsidRPr="0098635C">
        <w:rPr>
          <w:color w:val="000000" w:themeColor="text1"/>
          <w:sz w:val="20"/>
          <w:szCs w:val="20"/>
        </w:rPr>
        <w:t>-ions, compounds and/or insoluble Cu</w:t>
      </w:r>
      <w:r w:rsidRPr="0098635C">
        <w:rPr>
          <w:color w:val="000000" w:themeColor="text1"/>
          <w:sz w:val="20"/>
          <w:szCs w:val="20"/>
          <w:vertAlign w:val="superscript"/>
        </w:rPr>
        <w:t>2+</w:t>
      </w:r>
      <w:r w:rsidRPr="0098635C">
        <w:rPr>
          <w:color w:val="000000" w:themeColor="text1"/>
          <w:sz w:val="20"/>
          <w:szCs w:val="20"/>
        </w:rPr>
        <w:t xml:space="preserve">-ions, compounds (e.g. copper sulphides) that precipitate. </w:t>
      </w:r>
      <w:r w:rsidR="002D0C31" w:rsidRPr="0098635C">
        <w:rPr>
          <w:color w:val="000000" w:themeColor="text1"/>
          <w:sz w:val="20"/>
          <w:szCs w:val="20"/>
        </w:rPr>
        <w:t>Hence Cu</w:t>
      </w:r>
      <w:r w:rsidR="002D0C31" w:rsidRPr="0098635C">
        <w:rPr>
          <w:color w:val="000000" w:themeColor="text1"/>
          <w:sz w:val="20"/>
          <w:szCs w:val="20"/>
          <w:vertAlign w:val="superscript"/>
        </w:rPr>
        <w:t>1+</w:t>
      </w:r>
      <w:r w:rsidR="002D0C31" w:rsidRPr="0098635C">
        <w:rPr>
          <w:color w:val="000000" w:themeColor="text1"/>
          <w:sz w:val="20"/>
          <w:szCs w:val="20"/>
        </w:rPr>
        <w:t>-ions are, due to their instability, considered as a source of Cu</w:t>
      </w:r>
      <w:r w:rsidR="002D0C31" w:rsidRPr="0098635C">
        <w:rPr>
          <w:color w:val="000000" w:themeColor="text1"/>
          <w:sz w:val="20"/>
          <w:szCs w:val="20"/>
          <w:vertAlign w:val="superscript"/>
        </w:rPr>
        <w:t>2+</w:t>
      </w:r>
      <w:r w:rsidR="002D0C31" w:rsidRPr="0098635C">
        <w:rPr>
          <w:color w:val="000000" w:themeColor="text1"/>
          <w:sz w:val="20"/>
          <w:szCs w:val="20"/>
        </w:rPr>
        <w:t xml:space="preserve"> ions for environmental and systemic toxicity</w:t>
      </w:r>
      <w:r w:rsidR="008B534C" w:rsidRPr="0098635C">
        <w:rPr>
          <w:color w:val="000000" w:themeColor="text1"/>
          <w:sz w:val="20"/>
          <w:szCs w:val="20"/>
        </w:rPr>
        <w:t>.</w:t>
      </w:r>
    </w:p>
    <w:p w14:paraId="2113224B" w14:textId="77777777" w:rsidR="004930D7" w:rsidRPr="0098635C" w:rsidRDefault="004930D7" w:rsidP="00E22AA9">
      <w:pPr>
        <w:tabs>
          <w:tab w:val="left" w:pos="2977"/>
        </w:tabs>
        <w:rPr>
          <w:color w:val="000000" w:themeColor="text1"/>
          <w:sz w:val="20"/>
          <w:szCs w:val="20"/>
          <w:lang w:eastAsia="ja-JP"/>
        </w:rPr>
      </w:pPr>
      <w:r w:rsidRPr="0098635C">
        <w:rPr>
          <w:i/>
          <w:color w:val="000000" w:themeColor="text1"/>
          <w:sz w:val="20"/>
          <w:szCs w:val="20"/>
          <w:lang w:eastAsia="ja-JP"/>
        </w:rPr>
        <w:t>Environment</w:t>
      </w:r>
      <w:r w:rsidRPr="0098635C">
        <w:rPr>
          <w:color w:val="000000" w:themeColor="text1"/>
          <w:sz w:val="20"/>
          <w:szCs w:val="20"/>
          <w:lang w:eastAsia="ja-JP"/>
        </w:rPr>
        <w:t>:</w:t>
      </w:r>
    </w:p>
    <w:p w14:paraId="76175030" w14:textId="77777777" w:rsidR="004930D7" w:rsidRPr="0098635C" w:rsidRDefault="004930D7" w:rsidP="00E22AA9">
      <w:pPr>
        <w:tabs>
          <w:tab w:val="left" w:pos="2977"/>
        </w:tabs>
        <w:rPr>
          <w:color w:val="000000" w:themeColor="text1"/>
          <w:sz w:val="20"/>
          <w:szCs w:val="20"/>
        </w:rPr>
      </w:pPr>
      <w:r w:rsidRPr="0098635C">
        <w:rPr>
          <w:color w:val="000000" w:themeColor="text1"/>
          <w:sz w:val="20"/>
          <w:szCs w:val="20"/>
        </w:rPr>
        <w:t xml:space="preserve">The assessment aims at defining the basic hazards profile of soluble and sparingly soluble compounds, copper metal (powder and massive forms) and coated copper flakes. The assessment also aims at deriving safe threshold values for Cu-ions for environmental compartments (freshwater, marine, soil) with due consideration of the “data-richness” and applications of bio-availability models.  </w:t>
      </w:r>
    </w:p>
    <w:p w14:paraId="346D31A5" w14:textId="4EE8D5F5" w:rsidR="00A26E38" w:rsidRPr="0098635C" w:rsidRDefault="00FB0F1B" w:rsidP="00E22AA9">
      <w:pPr>
        <w:tabs>
          <w:tab w:val="left" w:pos="2977"/>
        </w:tabs>
        <w:rPr>
          <w:color w:val="000000" w:themeColor="text1"/>
          <w:sz w:val="20"/>
          <w:szCs w:val="20"/>
        </w:rPr>
      </w:pPr>
      <w:r w:rsidRPr="0098635C">
        <w:rPr>
          <w:rFonts w:eastAsia="Calibri"/>
          <w:color w:val="000000" w:themeColor="text1"/>
          <w:sz w:val="20"/>
          <w:szCs w:val="20"/>
        </w:rPr>
        <w:t>Annex I provides an overview of the category rational matrix for environmental endpoints</w:t>
      </w:r>
    </w:p>
    <w:p w14:paraId="776C436F" w14:textId="77777777" w:rsidR="004930D7" w:rsidRPr="0098635C" w:rsidRDefault="004930D7" w:rsidP="00E22AA9">
      <w:pPr>
        <w:tabs>
          <w:tab w:val="left" w:pos="2977"/>
        </w:tabs>
        <w:rPr>
          <w:i/>
          <w:color w:val="000000" w:themeColor="text1"/>
          <w:sz w:val="20"/>
          <w:szCs w:val="20"/>
        </w:rPr>
      </w:pPr>
      <w:r w:rsidRPr="0098635C">
        <w:rPr>
          <w:i/>
          <w:color w:val="000000" w:themeColor="text1"/>
          <w:sz w:val="20"/>
          <w:szCs w:val="20"/>
        </w:rPr>
        <w:t>Human health:</w:t>
      </w:r>
    </w:p>
    <w:p w14:paraId="0F63FF39" w14:textId="77777777" w:rsidR="004930D7" w:rsidRPr="0098635C" w:rsidRDefault="004930D7" w:rsidP="00E22AA9">
      <w:pPr>
        <w:tabs>
          <w:tab w:val="left" w:pos="2977"/>
        </w:tabs>
        <w:rPr>
          <w:color w:val="000000" w:themeColor="text1"/>
          <w:sz w:val="20"/>
          <w:szCs w:val="20"/>
        </w:rPr>
      </w:pPr>
      <w:r w:rsidRPr="0098635C">
        <w:rPr>
          <w:color w:val="000000" w:themeColor="text1"/>
          <w:sz w:val="20"/>
          <w:szCs w:val="20"/>
        </w:rPr>
        <w:t xml:space="preserve">The human health hazard assessment addresses a large variety of effects and different administration routes. In assessing the human health effects of copper and copper compounds, the essentiality and homeostatic mechanisms have </w:t>
      </w:r>
      <w:r w:rsidR="00593E99" w:rsidRPr="0098635C">
        <w:rPr>
          <w:color w:val="000000" w:themeColor="text1"/>
          <w:sz w:val="20"/>
          <w:szCs w:val="20"/>
        </w:rPr>
        <w:t>to be considered</w:t>
      </w:r>
      <w:r w:rsidRPr="0098635C">
        <w:rPr>
          <w:color w:val="000000" w:themeColor="text1"/>
          <w:sz w:val="20"/>
          <w:szCs w:val="20"/>
        </w:rPr>
        <w:t>.</w:t>
      </w:r>
    </w:p>
    <w:p w14:paraId="242DBB3D" w14:textId="45AD67A9" w:rsidR="00CC3A71" w:rsidRPr="0098635C" w:rsidRDefault="004930D7" w:rsidP="00E22AA9">
      <w:pPr>
        <w:pStyle w:val="BodyText"/>
        <w:tabs>
          <w:tab w:val="left" w:pos="2977"/>
        </w:tabs>
        <w:rPr>
          <w:color w:val="000000" w:themeColor="text1"/>
          <w:sz w:val="20"/>
        </w:rPr>
      </w:pPr>
      <w:r w:rsidRPr="0098635C">
        <w:rPr>
          <w:color w:val="000000" w:themeColor="text1"/>
          <w:sz w:val="20"/>
        </w:rPr>
        <w:t xml:space="preserve">Acute effects are based on tests with the individual substances.  Short term and long term systemic effects are based on tests with the individual </w:t>
      </w:r>
      <w:r w:rsidR="00DD259A" w:rsidRPr="0098635C">
        <w:rPr>
          <w:color w:val="000000" w:themeColor="text1"/>
          <w:sz w:val="20"/>
        </w:rPr>
        <w:t xml:space="preserve">soluble </w:t>
      </w:r>
      <w:r w:rsidRPr="0098635C">
        <w:rPr>
          <w:color w:val="000000" w:themeColor="text1"/>
          <w:sz w:val="20"/>
        </w:rPr>
        <w:t>substances belonging to the category and/or read-across where such data are not available</w:t>
      </w:r>
      <w:r w:rsidR="00FB0F1B" w:rsidRPr="0098635C">
        <w:rPr>
          <w:color w:val="000000" w:themeColor="text1"/>
          <w:sz w:val="20"/>
        </w:rPr>
        <w:t xml:space="preserve">. </w:t>
      </w:r>
    </w:p>
    <w:p w14:paraId="462F726E" w14:textId="20BBF3A3" w:rsidR="00BA425B" w:rsidRPr="0098635C" w:rsidRDefault="00FB0F1B" w:rsidP="00E22AA9">
      <w:pPr>
        <w:pStyle w:val="BodyText"/>
        <w:tabs>
          <w:tab w:val="left" w:pos="2977"/>
        </w:tabs>
        <w:rPr>
          <w:color w:val="000000" w:themeColor="text1"/>
          <w:sz w:val="20"/>
        </w:rPr>
      </w:pPr>
      <w:r w:rsidRPr="0098635C">
        <w:rPr>
          <w:rFonts w:eastAsia="Calibri"/>
          <w:color w:val="000000" w:themeColor="text1"/>
          <w:sz w:val="20"/>
        </w:rPr>
        <w:t xml:space="preserve">Annex II provides an overview of the category rational matrix for human </w:t>
      </w:r>
      <w:r w:rsidR="000B1BE1" w:rsidRPr="0098635C">
        <w:rPr>
          <w:rFonts w:eastAsia="Calibri"/>
          <w:color w:val="000000" w:themeColor="text1"/>
          <w:sz w:val="20"/>
        </w:rPr>
        <w:t>health</w:t>
      </w:r>
      <w:r w:rsidRPr="0098635C">
        <w:rPr>
          <w:rFonts w:eastAsia="Calibri"/>
          <w:color w:val="000000" w:themeColor="text1"/>
          <w:sz w:val="20"/>
        </w:rPr>
        <w:t xml:space="preserve"> endpoints</w:t>
      </w:r>
    </w:p>
    <w:p w14:paraId="2545CC8A" w14:textId="77777777" w:rsidR="00B05271" w:rsidRPr="0098635C" w:rsidRDefault="00B05271" w:rsidP="00E22AA9">
      <w:pPr>
        <w:pStyle w:val="Heading1"/>
        <w:tabs>
          <w:tab w:val="left" w:pos="2977"/>
        </w:tabs>
        <w:rPr>
          <w:color w:val="000000" w:themeColor="text1"/>
          <w:sz w:val="20"/>
        </w:rPr>
      </w:pPr>
      <w:bookmarkStart w:id="67" w:name="_Toc32726016"/>
      <w:bookmarkStart w:id="68" w:name="_Toc32727199"/>
      <w:bookmarkStart w:id="69" w:name="_Toc43868645"/>
      <w:bookmarkStart w:id="70" w:name="_Toc200358233"/>
      <w:bookmarkStart w:id="71" w:name="_Toc200359249"/>
      <w:bookmarkStart w:id="72" w:name="_Toc471999240"/>
      <w:bookmarkStart w:id="73" w:name="_Toc472250852"/>
      <w:r w:rsidRPr="0098635C">
        <w:rPr>
          <w:color w:val="000000" w:themeColor="text1"/>
          <w:sz w:val="20"/>
        </w:rPr>
        <w:t>general information on exposure</w:t>
      </w:r>
      <w:bookmarkEnd w:id="67"/>
      <w:bookmarkEnd w:id="68"/>
      <w:bookmarkEnd w:id="69"/>
      <w:bookmarkEnd w:id="70"/>
      <w:bookmarkEnd w:id="71"/>
      <w:bookmarkEnd w:id="72"/>
      <w:bookmarkEnd w:id="73"/>
    </w:p>
    <w:p w14:paraId="01C4972A" w14:textId="77777777" w:rsidR="00B05271" w:rsidRPr="0098635C" w:rsidRDefault="00B05271" w:rsidP="00E22AA9">
      <w:pPr>
        <w:pStyle w:val="Heading2"/>
        <w:tabs>
          <w:tab w:val="left" w:pos="2977"/>
        </w:tabs>
        <w:rPr>
          <w:color w:val="000000" w:themeColor="text1"/>
          <w:sz w:val="20"/>
        </w:rPr>
      </w:pPr>
      <w:bookmarkStart w:id="74" w:name="_Toc43868646"/>
      <w:bookmarkStart w:id="75" w:name="_Toc200358234"/>
      <w:bookmarkStart w:id="76" w:name="_Toc200359250"/>
      <w:bookmarkStart w:id="77" w:name="_Toc471999241"/>
      <w:bookmarkStart w:id="78" w:name="_Toc472250853"/>
      <w:r w:rsidRPr="0098635C">
        <w:rPr>
          <w:color w:val="000000" w:themeColor="text1"/>
          <w:sz w:val="20"/>
        </w:rPr>
        <w:t>Production Volumes and Use Pattern</w:t>
      </w:r>
      <w:bookmarkEnd w:id="74"/>
      <w:bookmarkEnd w:id="75"/>
      <w:bookmarkEnd w:id="76"/>
      <w:bookmarkEnd w:id="77"/>
      <w:bookmarkEnd w:id="78"/>
    </w:p>
    <w:p w14:paraId="6DE7CF3E" w14:textId="77777777" w:rsidR="00FB4F8B" w:rsidRPr="0098635C" w:rsidRDefault="00FB4F8B" w:rsidP="00E22AA9">
      <w:pPr>
        <w:pStyle w:val="BodyText"/>
        <w:tabs>
          <w:tab w:val="left" w:pos="2977"/>
        </w:tabs>
        <w:rPr>
          <w:b/>
          <w:i/>
          <w:color w:val="000000" w:themeColor="text1"/>
          <w:sz w:val="20"/>
          <w:lang w:eastAsia="ja-JP"/>
        </w:rPr>
      </w:pPr>
      <w:r w:rsidRPr="0098635C">
        <w:rPr>
          <w:b/>
          <w:i/>
          <w:color w:val="000000" w:themeColor="text1"/>
          <w:sz w:val="20"/>
          <w:lang w:eastAsia="ja-JP"/>
        </w:rPr>
        <w:t>Production and uses - copper - worldwide</w:t>
      </w:r>
    </w:p>
    <w:p w14:paraId="71066513" w14:textId="286E8E92" w:rsidR="00FB4F8B" w:rsidRPr="0098635C" w:rsidRDefault="00FB4F8B" w:rsidP="00E22AA9">
      <w:pPr>
        <w:tabs>
          <w:tab w:val="left" w:pos="2977"/>
        </w:tabs>
        <w:spacing w:before="120"/>
        <w:ind w:left="426"/>
        <w:rPr>
          <w:color w:val="000000" w:themeColor="text1"/>
          <w:sz w:val="20"/>
          <w:szCs w:val="20"/>
          <w:lang w:eastAsia="ja-JP"/>
        </w:rPr>
      </w:pPr>
      <w:r w:rsidRPr="0098635C">
        <w:rPr>
          <w:color w:val="000000" w:themeColor="text1"/>
          <w:sz w:val="20"/>
          <w:szCs w:val="20"/>
          <w:lang w:eastAsia="ja-JP"/>
        </w:rPr>
        <w:t>According to the International Copper Study Group (</w:t>
      </w:r>
      <w:r w:rsidR="00BE68A3" w:rsidRPr="0098635C">
        <w:rPr>
          <w:color w:val="000000" w:themeColor="text1"/>
          <w:sz w:val="20"/>
          <w:szCs w:val="20"/>
          <w:lang w:eastAsia="ja-JP"/>
        </w:rPr>
        <w:t>http://www.icsg.org/</w:t>
      </w:r>
      <w:r w:rsidRPr="0098635C">
        <w:rPr>
          <w:color w:val="000000" w:themeColor="text1"/>
          <w:sz w:val="20"/>
          <w:szCs w:val="20"/>
          <w:lang w:eastAsia="ja-JP"/>
        </w:rPr>
        <w:t>), the 2012 global</w:t>
      </w:r>
      <w:r w:rsidR="00170713" w:rsidRPr="0098635C">
        <w:rPr>
          <w:color w:val="000000" w:themeColor="text1"/>
          <w:sz w:val="20"/>
          <w:szCs w:val="20"/>
          <w:lang w:eastAsia="ja-JP"/>
        </w:rPr>
        <w:t xml:space="preserve"> </w:t>
      </w:r>
      <w:r w:rsidR="00011581" w:rsidRPr="0098635C">
        <w:rPr>
          <w:color w:val="000000" w:themeColor="text1"/>
          <w:sz w:val="20"/>
          <w:szCs w:val="20"/>
          <w:lang w:eastAsia="ja-JP"/>
        </w:rPr>
        <w:t xml:space="preserve">production </w:t>
      </w:r>
      <w:r w:rsidRPr="0098635C">
        <w:rPr>
          <w:color w:val="000000" w:themeColor="text1"/>
          <w:sz w:val="20"/>
          <w:szCs w:val="20"/>
          <w:lang w:eastAsia="ja-JP"/>
        </w:rPr>
        <w:t>of copper was 25.7 million tonnes. Approximately 20.2 million tonnes was produced from mining (primary production) and the smelting/refining of complex, end of life materials (secondary production). Another 5.5 million tonnes, combing offcuts from the value chain and clean, end-of- life scrap, were recycled directly by the producers of semi-fabricated products.</w:t>
      </w:r>
    </w:p>
    <w:p w14:paraId="1D607BDF" w14:textId="77777777" w:rsidR="00FB4F8B" w:rsidRPr="0098635C" w:rsidRDefault="00FB4F8B" w:rsidP="00E22AA9">
      <w:pPr>
        <w:tabs>
          <w:tab w:val="left" w:pos="2977"/>
        </w:tabs>
        <w:spacing w:before="120"/>
        <w:ind w:left="426"/>
        <w:rPr>
          <w:color w:val="000000" w:themeColor="text1"/>
          <w:sz w:val="20"/>
          <w:szCs w:val="20"/>
          <w:lang w:eastAsia="ja-JP"/>
        </w:rPr>
      </w:pPr>
      <w:r w:rsidRPr="0098635C">
        <w:rPr>
          <w:color w:val="000000" w:themeColor="text1"/>
          <w:sz w:val="20"/>
          <w:szCs w:val="20"/>
          <w:lang w:eastAsia="ja-JP"/>
        </w:rPr>
        <w:t xml:space="preserve">Recognising the locations of today’s copper mines, Latin American is the main exporting region. The major importers are Asia, particularly China, India and Korea) and, to a lesser extent, Europe. North America is reasonably balanced between production and demand. </w:t>
      </w:r>
    </w:p>
    <w:p w14:paraId="197CD821" w14:textId="77777777" w:rsidR="00FB4F8B" w:rsidRPr="0098635C" w:rsidRDefault="00FB4F8B" w:rsidP="00E22AA9">
      <w:pPr>
        <w:pStyle w:val="BodyText"/>
        <w:tabs>
          <w:tab w:val="left" w:pos="2977"/>
        </w:tabs>
        <w:rPr>
          <w:b/>
          <w:i/>
          <w:color w:val="000000" w:themeColor="text1"/>
          <w:sz w:val="20"/>
          <w:lang w:eastAsia="ja-JP"/>
        </w:rPr>
      </w:pPr>
      <w:r w:rsidRPr="0098635C">
        <w:rPr>
          <w:b/>
          <w:i/>
          <w:color w:val="000000" w:themeColor="text1"/>
          <w:sz w:val="20"/>
          <w:lang w:eastAsia="ja-JP"/>
        </w:rPr>
        <w:t xml:space="preserve">Production </w:t>
      </w:r>
      <w:r w:rsidR="00737503" w:rsidRPr="0098635C">
        <w:rPr>
          <w:b/>
          <w:i/>
          <w:color w:val="000000" w:themeColor="text1"/>
          <w:sz w:val="20"/>
          <w:lang w:eastAsia="ja-JP"/>
        </w:rPr>
        <w:t>and uses</w:t>
      </w:r>
      <w:r w:rsidRPr="0098635C">
        <w:rPr>
          <w:b/>
          <w:i/>
          <w:color w:val="000000" w:themeColor="text1"/>
          <w:sz w:val="20"/>
          <w:lang w:eastAsia="ja-JP"/>
        </w:rPr>
        <w:t xml:space="preserve">- copper – Europe </w:t>
      </w:r>
    </w:p>
    <w:p w14:paraId="657C33B7" w14:textId="77777777" w:rsidR="00737503" w:rsidRPr="0098635C" w:rsidRDefault="00737503" w:rsidP="00E22AA9">
      <w:pPr>
        <w:pStyle w:val="BodyText"/>
        <w:tabs>
          <w:tab w:val="left" w:pos="2977"/>
        </w:tabs>
        <w:rPr>
          <w:b/>
          <w:i/>
          <w:color w:val="000000" w:themeColor="text1"/>
          <w:sz w:val="20"/>
          <w:lang w:eastAsia="ja-JP"/>
        </w:rPr>
      </w:pPr>
      <w:r w:rsidRPr="0098635C">
        <w:rPr>
          <w:b/>
          <w:i/>
          <w:color w:val="000000" w:themeColor="text1"/>
          <w:sz w:val="20"/>
          <w:lang w:eastAsia="ja-JP"/>
        </w:rPr>
        <w:t>EU production tonnage</w:t>
      </w:r>
    </w:p>
    <w:p w14:paraId="68D8E97E" w14:textId="77777777" w:rsidR="007C7E94" w:rsidRPr="0098635C" w:rsidRDefault="00FB4F8B" w:rsidP="00E22AA9">
      <w:pPr>
        <w:tabs>
          <w:tab w:val="left" w:pos="2977"/>
        </w:tabs>
        <w:spacing w:before="120"/>
        <w:ind w:left="426"/>
        <w:rPr>
          <w:color w:val="000000" w:themeColor="text1"/>
          <w:sz w:val="20"/>
          <w:szCs w:val="20"/>
          <w:lang w:eastAsia="ja-JP"/>
        </w:rPr>
      </w:pPr>
      <w:r w:rsidRPr="0098635C">
        <w:rPr>
          <w:color w:val="000000" w:themeColor="text1"/>
          <w:sz w:val="20"/>
          <w:szCs w:val="20"/>
          <w:lang w:eastAsia="ja-JP"/>
        </w:rPr>
        <w:t xml:space="preserve">EU production volume </w:t>
      </w:r>
      <w:r w:rsidR="00040D79" w:rsidRPr="0098635C">
        <w:rPr>
          <w:color w:val="000000" w:themeColor="text1"/>
          <w:sz w:val="20"/>
          <w:szCs w:val="20"/>
          <w:lang w:eastAsia="ja-JP"/>
        </w:rPr>
        <w:t xml:space="preserve">in 2012 </w:t>
      </w:r>
      <w:r w:rsidRPr="0098635C">
        <w:rPr>
          <w:color w:val="000000" w:themeColor="text1"/>
          <w:sz w:val="20"/>
          <w:szCs w:val="20"/>
          <w:lang w:eastAsia="ja-JP"/>
        </w:rPr>
        <w:t>of copper has stabilised at around 1.5 million tonnes for smelting and 1.8 million tonnes for refining. Additionally, around 1.</w:t>
      </w:r>
      <w:r w:rsidR="007A11AA" w:rsidRPr="0098635C">
        <w:rPr>
          <w:color w:val="000000" w:themeColor="text1"/>
          <w:sz w:val="20"/>
          <w:szCs w:val="20"/>
          <w:lang w:eastAsia="ja-JP"/>
        </w:rPr>
        <w:t>3 </w:t>
      </w:r>
      <w:r w:rsidRPr="0098635C">
        <w:rPr>
          <w:color w:val="000000" w:themeColor="text1"/>
          <w:sz w:val="20"/>
          <w:szCs w:val="20"/>
          <w:lang w:eastAsia="ja-JP"/>
        </w:rPr>
        <w:t xml:space="preserve">million tonnes of </w:t>
      </w:r>
      <w:r w:rsidRPr="0098635C">
        <w:rPr>
          <w:color w:val="000000" w:themeColor="text1"/>
          <w:sz w:val="20"/>
          <w:szCs w:val="20"/>
        </w:rPr>
        <w:t>scrap (secondary recycled raw material) is used as feedstock material. Besides the production, about</w:t>
      </w:r>
      <w:r w:rsidRPr="0098635C">
        <w:rPr>
          <w:color w:val="000000" w:themeColor="text1"/>
          <w:sz w:val="20"/>
          <w:szCs w:val="20"/>
          <w:lang w:eastAsia="ja-JP"/>
        </w:rPr>
        <w:t xml:space="preserve"> </w:t>
      </w:r>
      <w:r w:rsidR="007A11AA" w:rsidRPr="0098635C">
        <w:rPr>
          <w:color w:val="000000" w:themeColor="text1"/>
          <w:sz w:val="20"/>
          <w:szCs w:val="20"/>
          <w:lang w:eastAsia="ja-JP"/>
        </w:rPr>
        <w:t>0.6</w:t>
      </w:r>
      <w:r w:rsidRPr="0098635C">
        <w:rPr>
          <w:color w:val="000000" w:themeColor="text1"/>
          <w:sz w:val="20"/>
          <w:szCs w:val="20"/>
          <w:lang w:eastAsia="ja-JP"/>
        </w:rPr>
        <w:t xml:space="preserve"> million tonnes of refined copper are imported in the EU.  </w:t>
      </w:r>
      <w:bookmarkStart w:id="79" w:name="d0e1078"/>
    </w:p>
    <w:p w14:paraId="648263D5" w14:textId="77777777" w:rsidR="007C7E94" w:rsidRPr="0098635C" w:rsidRDefault="001E7CC6" w:rsidP="00E22AA9">
      <w:pPr>
        <w:pStyle w:val="BodyText"/>
        <w:tabs>
          <w:tab w:val="left" w:pos="2977"/>
        </w:tabs>
        <w:rPr>
          <w:b/>
          <w:i/>
          <w:color w:val="000000" w:themeColor="text1"/>
          <w:sz w:val="20"/>
          <w:lang w:eastAsia="ja-JP"/>
        </w:rPr>
      </w:pPr>
      <w:r w:rsidRPr="0098635C">
        <w:rPr>
          <w:b/>
          <w:i/>
          <w:color w:val="000000" w:themeColor="text1"/>
          <w:sz w:val="20"/>
          <w:lang w:eastAsia="ja-JP"/>
        </w:rPr>
        <w:t>EU P</w:t>
      </w:r>
      <w:r w:rsidR="00737503" w:rsidRPr="0098635C">
        <w:rPr>
          <w:b/>
          <w:i/>
          <w:color w:val="000000" w:themeColor="text1"/>
          <w:sz w:val="20"/>
          <w:lang w:eastAsia="ja-JP"/>
        </w:rPr>
        <w:t>roduction process</w:t>
      </w:r>
      <w:bookmarkEnd w:id="79"/>
      <w:r w:rsidR="00737503" w:rsidRPr="0098635C">
        <w:rPr>
          <w:b/>
          <w:i/>
          <w:color w:val="000000" w:themeColor="text1"/>
          <w:sz w:val="20"/>
          <w:lang w:eastAsia="ja-JP"/>
        </w:rPr>
        <w:t xml:space="preserve"> </w:t>
      </w:r>
      <w:r w:rsidRPr="0098635C">
        <w:rPr>
          <w:b/>
          <w:i/>
          <w:color w:val="000000" w:themeColor="text1"/>
          <w:sz w:val="20"/>
          <w:lang w:eastAsia="ja-JP"/>
        </w:rPr>
        <w:t>and production sites</w:t>
      </w:r>
    </w:p>
    <w:p w14:paraId="793CD325" w14:textId="77777777" w:rsidR="007C7E94" w:rsidRPr="0098635C" w:rsidRDefault="0045039C" w:rsidP="0059369A">
      <w:pPr>
        <w:pStyle w:val="BodyText"/>
        <w:numPr>
          <w:ilvl w:val="0"/>
          <w:numId w:val="11"/>
        </w:numPr>
        <w:tabs>
          <w:tab w:val="left" w:pos="2977"/>
        </w:tabs>
        <w:rPr>
          <w:color w:val="000000" w:themeColor="text1"/>
          <w:sz w:val="20"/>
        </w:rPr>
      </w:pPr>
      <w:r w:rsidRPr="0098635C">
        <w:rPr>
          <w:b/>
          <w:color w:val="000000" w:themeColor="text1"/>
          <w:sz w:val="20"/>
          <w:lang w:val="en-US"/>
        </w:rPr>
        <w:t>Mining</w:t>
      </w:r>
      <w:r w:rsidR="00FC60C6" w:rsidRPr="0098635C">
        <w:rPr>
          <w:color w:val="000000" w:themeColor="text1"/>
          <w:sz w:val="20"/>
          <w:lang w:val="en-US"/>
        </w:rPr>
        <w:t xml:space="preserve"> : </w:t>
      </w:r>
      <w:r w:rsidRPr="0098635C">
        <w:rPr>
          <w:color w:val="000000" w:themeColor="text1"/>
          <w:sz w:val="20"/>
          <w:lang w:val="en-US"/>
        </w:rPr>
        <w:t>EU mines are</w:t>
      </w:r>
      <w:r w:rsidR="00FC60C6" w:rsidRPr="0098635C">
        <w:rPr>
          <w:color w:val="000000" w:themeColor="text1"/>
          <w:sz w:val="20"/>
          <w:lang w:val="en-US"/>
        </w:rPr>
        <w:t xml:space="preserve"> situated</w:t>
      </w:r>
      <w:r w:rsidRPr="0098635C">
        <w:rPr>
          <w:color w:val="000000" w:themeColor="text1"/>
          <w:sz w:val="20"/>
          <w:lang w:val="en-US"/>
        </w:rPr>
        <w:t xml:space="preserve"> in Poland, Portugal, Spain </w:t>
      </w:r>
      <w:r w:rsidR="00FC60C6" w:rsidRPr="0098635C">
        <w:rPr>
          <w:color w:val="000000" w:themeColor="text1"/>
          <w:sz w:val="20"/>
          <w:lang w:val="en-US"/>
        </w:rPr>
        <w:t>and</w:t>
      </w:r>
      <w:r w:rsidRPr="0098635C">
        <w:rPr>
          <w:color w:val="000000" w:themeColor="text1"/>
          <w:sz w:val="20"/>
          <w:lang w:val="en-US"/>
        </w:rPr>
        <w:t xml:space="preserve"> Sweden</w:t>
      </w:r>
    </w:p>
    <w:p w14:paraId="2D7D1A71" w14:textId="6A570416" w:rsidR="007C7E94" w:rsidRPr="0098635C" w:rsidRDefault="00737503" w:rsidP="0059369A">
      <w:pPr>
        <w:pStyle w:val="BodyText"/>
        <w:numPr>
          <w:ilvl w:val="0"/>
          <w:numId w:val="11"/>
        </w:numPr>
        <w:tabs>
          <w:tab w:val="left" w:pos="2977"/>
        </w:tabs>
        <w:rPr>
          <w:b/>
          <w:i/>
          <w:color w:val="000000" w:themeColor="text1"/>
          <w:sz w:val="20"/>
          <w:lang w:eastAsia="ja-JP"/>
        </w:rPr>
      </w:pPr>
      <w:r w:rsidRPr="0098635C">
        <w:rPr>
          <w:b/>
          <w:bCs/>
          <w:color w:val="000000" w:themeColor="text1"/>
          <w:sz w:val="20"/>
        </w:rPr>
        <w:lastRenderedPageBreak/>
        <w:t>Hydrometallurgical rout</w:t>
      </w:r>
      <w:r w:rsidR="000B1BE1" w:rsidRPr="0098635C">
        <w:rPr>
          <w:b/>
          <w:bCs/>
          <w:color w:val="000000" w:themeColor="text1"/>
          <w:sz w:val="20"/>
        </w:rPr>
        <w:t>e</w:t>
      </w:r>
      <w:r w:rsidRPr="0098635C">
        <w:rPr>
          <w:b/>
          <w:bCs/>
          <w:color w:val="000000" w:themeColor="text1"/>
          <w:sz w:val="20"/>
        </w:rPr>
        <w:t xml:space="preserve">: </w:t>
      </w:r>
      <w:r w:rsidR="0045039C" w:rsidRPr="0098635C">
        <w:rPr>
          <w:bCs/>
          <w:color w:val="000000" w:themeColor="text1"/>
          <w:sz w:val="20"/>
        </w:rPr>
        <w:t>The primary</w:t>
      </w:r>
      <w:r w:rsidRPr="0098635C">
        <w:rPr>
          <w:rStyle w:val="FootnoteReference"/>
          <w:bCs/>
          <w:color w:val="000000" w:themeColor="text1"/>
          <w:sz w:val="20"/>
        </w:rPr>
        <w:footnoteReference w:id="11"/>
      </w:r>
      <w:r w:rsidR="0045039C" w:rsidRPr="0098635C">
        <w:rPr>
          <w:bCs/>
          <w:color w:val="000000" w:themeColor="text1"/>
          <w:sz w:val="20"/>
        </w:rPr>
        <w:t xml:space="preserve"> and secondary</w:t>
      </w:r>
      <w:r w:rsidRPr="0098635C">
        <w:rPr>
          <w:rStyle w:val="FootnoteReference"/>
          <w:bCs/>
          <w:color w:val="000000" w:themeColor="text1"/>
          <w:sz w:val="20"/>
        </w:rPr>
        <w:footnoteReference w:id="12"/>
      </w:r>
      <w:r w:rsidR="0045039C" w:rsidRPr="0098635C">
        <w:rPr>
          <w:bCs/>
          <w:color w:val="000000" w:themeColor="text1"/>
          <w:sz w:val="20"/>
        </w:rPr>
        <w:t xml:space="preserve"> hydrometallurgical copper production route involves the crushing of the ore followed by leaching using sulphuric acid, sometimes in the presence of biological species, using heap, vat or agitation processes. The liquor produced from leaching is then clarified and purified and concentrated by solvent extraction. A further variation of leaching is possible where black copper</w:t>
      </w:r>
      <w:r w:rsidRPr="0098635C">
        <w:rPr>
          <w:rStyle w:val="FootnoteReference"/>
          <w:bCs/>
          <w:color w:val="000000" w:themeColor="text1"/>
          <w:sz w:val="20"/>
        </w:rPr>
        <w:footnoteReference w:id="13"/>
      </w:r>
      <w:r w:rsidR="0045039C" w:rsidRPr="0098635C">
        <w:rPr>
          <w:bCs/>
          <w:color w:val="000000" w:themeColor="text1"/>
          <w:sz w:val="20"/>
        </w:rPr>
        <w:t xml:space="preserve"> is produced</w:t>
      </w:r>
      <w:r w:rsidRPr="0098635C">
        <w:rPr>
          <w:color w:val="000000" w:themeColor="text1"/>
          <w:sz w:val="20"/>
        </w:rPr>
        <w:t xml:space="preserve"> </w:t>
      </w:r>
      <w:r w:rsidR="0045039C" w:rsidRPr="0098635C">
        <w:rPr>
          <w:bCs/>
          <w:color w:val="000000" w:themeColor="text1"/>
          <w:sz w:val="20"/>
        </w:rPr>
        <w:t>from in an Ausmelt/ISA Smelt furnace. The black copper granules are dissolved in an autoclave</w:t>
      </w:r>
      <w:r w:rsidRPr="0098635C">
        <w:rPr>
          <w:color w:val="000000" w:themeColor="text1"/>
          <w:sz w:val="20"/>
        </w:rPr>
        <w:t xml:space="preserve"> </w:t>
      </w:r>
      <w:r w:rsidR="0045039C" w:rsidRPr="0098635C">
        <w:rPr>
          <w:bCs/>
          <w:color w:val="000000" w:themeColor="text1"/>
          <w:sz w:val="20"/>
        </w:rPr>
        <w:t>and the pure copper is electro-won from the resulting solution. The copper is then removed by electro-winning. The electrowinning process differs from the electrorefining process in the form of the anode. Electrowinning uses an inert anode such as lead titanium and the metal ions are removed from the solution and deposited on the cathode in the same manner as electro-refining. Cathodes are then stripped in the same way if permanent cathode blanks are used. The electrolyte is circulated through a series of cells and finally is depleted of copper. Electrolyte is then returned to the solvent extraction circuit. Some electrolyte is normally bled for the control of impurities, which might have been carried over during solvent extraction.</w:t>
      </w:r>
    </w:p>
    <w:p w14:paraId="336C3F63" w14:textId="10523516" w:rsidR="007C7E94" w:rsidRPr="0098635C" w:rsidRDefault="0045039C" w:rsidP="0059369A">
      <w:pPr>
        <w:pStyle w:val="BodyText"/>
        <w:numPr>
          <w:ilvl w:val="0"/>
          <w:numId w:val="11"/>
        </w:numPr>
        <w:tabs>
          <w:tab w:val="left" w:pos="2977"/>
        </w:tabs>
        <w:rPr>
          <w:b/>
          <w:color w:val="000000" w:themeColor="text1"/>
          <w:sz w:val="20"/>
        </w:rPr>
      </w:pPr>
      <w:r w:rsidRPr="0098635C">
        <w:rPr>
          <w:b/>
          <w:bCs/>
          <w:color w:val="000000" w:themeColor="text1"/>
          <w:sz w:val="20"/>
        </w:rPr>
        <w:t>Pyro metallurgical production route</w:t>
      </w:r>
      <w:r w:rsidR="00737503" w:rsidRPr="0098635C">
        <w:rPr>
          <w:b/>
          <w:bCs/>
          <w:color w:val="000000" w:themeColor="text1"/>
          <w:sz w:val="20"/>
        </w:rPr>
        <w:t>:</w:t>
      </w:r>
      <w:r w:rsidR="00737503" w:rsidRPr="0098635C">
        <w:rPr>
          <w:bCs/>
          <w:color w:val="000000" w:themeColor="text1"/>
          <w:sz w:val="20"/>
        </w:rPr>
        <w:t xml:space="preserve"> </w:t>
      </w:r>
      <w:r w:rsidRPr="0098635C">
        <w:rPr>
          <w:bCs/>
          <w:color w:val="000000" w:themeColor="text1"/>
          <w:sz w:val="20"/>
        </w:rPr>
        <w:t>The production of primary copper starts with the mining of copper ore. In the next step, concentrates are produced at the mining site by crushing, grinding, flotation, filtering and drying ores.</w:t>
      </w:r>
      <w:r w:rsidR="001E7CC6" w:rsidRPr="0098635C">
        <w:rPr>
          <w:bCs/>
          <w:color w:val="000000" w:themeColor="text1"/>
          <w:sz w:val="20"/>
        </w:rPr>
        <w:t xml:space="preserve"> </w:t>
      </w:r>
      <w:r w:rsidRPr="0098635C">
        <w:rPr>
          <w:bCs/>
          <w:color w:val="000000" w:themeColor="text1"/>
          <w:sz w:val="20"/>
        </w:rPr>
        <w:t>Concentrates contain besides copper –</w:t>
      </w:r>
      <w:r w:rsidR="00195D83" w:rsidRPr="0098635C">
        <w:rPr>
          <w:bCs/>
          <w:color w:val="000000" w:themeColor="text1"/>
          <w:sz w:val="20"/>
        </w:rPr>
        <w:t xml:space="preserve"> usually present as copper sulphides </w:t>
      </w:r>
      <w:r w:rsidRPr="0098635C">
        <w:rPr>
          <w:bCs/>
          <w:color w:val="000000" w:themeColor="text1"/>
          <w:sz w:val="20"/>
        </w:rPr>
        <w:t>- various other substances and during the production process, these are separated in a stepwise process, thus increasing the copper content of the remaining material. The process consists of the following steps:</w:t>
      </w:r>
      <w:r w:rsidR="001E7CC6" w:rsidRPr="0098635C">
        <w:rPr>
          <w:bCs/>
          <w:color w:val="000000" w:themeColor="text1"/>
          <w:sz w:val="20"/>
        </w:rPr>
        <w:t xml:space="preserve"> </w:t>
      </w:r>
    </w:p>
    <w:p w14:paraId="5AC886BD" w14:textId="5C07D22E" w:rsidR="007C7E94" w:rsidRPr="0098635C" w:rsidRDefault="00737503" w:rsidP="00E22AA9">
      <w:pPr>
        <w:pStyle w:val="BodyText"/>
        <w:tabs>
          <w:tab w:val="left" w:pos="2977"/>
        </w:tabs>
        <w:ind w:left="720"/>
        <w:rPr>
          <w:b/>
          <w:color w:val="000000" w:themeColor="text1"/>
          <w:sz w:val="20"/>
        </w:rPr>
      </w:pPr>
      <w:r w:rsidRPr="0098635C">
        <w:rPr>
          <w:bCs/>
          <w:color w:val="000000" w:themeColor="text1"/>
          <w:sz w:val="20"/>
        </w:rPr>
        <w:t>Step 1: roasting and smelting of concentrate in a furnace to blister (98% Cu) and further into anodes (99.6% Cu);</w:t>
      </w:r>
      <w:r w:rsidR="001E7CC6" w:rsidRPr="0098635C">
        <w:rPr>
          <w:bCs/>
          <w:color w:val="000000" w:themeColor="text1"/>
          <w:sz w:val="20"/>
        </w:rPr>
        <w:t xml:space="preserve"> </w:t>
      </w:r>
      <w:r w:rsidR="0045039C" w:rsidRPr="0098635C">
        <w:rPr>
          <w:bCs/>
          <w:color w:val="000000" w:themeColor="text1"/>
          <w:sz w:val="20"/>
        </w:rPr>
        <w:t>The concentrate is converted to blister copper in two sub-steps. Both sub-steps are usually performed on the same site. First, copper is concentrated by partial oxidation of the concentrate at around 1250 ºC (smelting). The aim of this step is the removal of Fe and other impurities. Streams of concentrate and product are usually a liquid at this temperature. FeS is partially converted to FeO and SO</w:t>
      </w:r>
      <w:r w:rsidR="00D05142" w:rsidRPr="0098635C">
        <w:rPr>
          <w:bCs/>
          <w:color w:val="000000" w:themeColor="text1"/>
          <w:sz w:val="20"/>
          <w:vertAlign w:val="subscript"/>
        </w:rPr>
        <w:t>2</w:t>
      </w:r>
      <w:r w:rsidR="0045039C" w:rsidRPr="0098635C">
        <w:rPr>
          <w:bCs/>
          <w:color w:val="000000" w:themeColor="text1"/>
          <w:sz w:val="20"/>
        </w:rPr>
        <w:t xml:space="preserve">. </w:t>
      </w:r>
      <w:r w:rsidR="001B67D7" w:rsidRPr="0098635C">
        <w:rPr>
          <w:bCs/>
          <w:color w:val="000000" w:themeColor="text1"/>
          <w:sz w:val="20"/>
        </w:rPr>
        <w:t xml:space="preserve">Copper sulphides (various forms) are </w:t>
      </w:r>
      <w:r w:rsidR="0045039C" w:rsidRPr="0098635C">
        <w:rPr>
          <w:bCs/>
          <w:color w:val="000000" w:themeColor="text1"/>
          <w:sz w:val="20"/>
        </w:rPr>
        <w:t>converted to Cu</w:t>
      </w:r>
      <w:r w:rsidR="00D05142" w:rsidRPr="0098635C">
        <w:rPr>
          <w:bCs/>
          <w:color w:val="000000" w:themeColor="text1"/>
          <w:sz w:val="20"/>
          <w:vertAlign w:val="subscript"/>
        </w:rPr>
        <w:t>2</w:t>
      </w:r>
      <w:r w:rsidR="0045039C" w:rsidRPr="0098635C">
        <w:rPr>
          <w:bCs/>
          <w:color w:val="000000" w:themeColor="text1"/>
          <w:sz w:val="20"/>
        </w:rPr>
        <w:t>S and SO</w:t>
      </w:r>
      <w:r w:rsidR="00D05142" w:rsidRPr="0098635C">
        <w:rPr>
          <w:bCs/>
          <w:color w:val="000000" w:themeColor="text1"/>
          <w:sz w:val="20"/>
          <w:vertAlign w:val="subscript"/>
        </w:rPr>
        <w:t>2</w:t>
      </w:r>
      <w:r w:rsidR="0045039C" w:rsidRPr="0098635C">
        <w:rPr>
          <w:bCs/>
          <w:color w:val="000000" w:themeColor="text1"/>
          <w:sz w:val="20"/>
        </w:rPr>
        <w:t>. The SO</w:t>
      </w:r>
      <w:r w:rsidR="00D05142" w:rsidRPr="0098635C">
        <w:rPr>
          <w:bCs/>
          <w:color w:val="000000" w:themeColor="text1"/>
          <w:sz w:val="20"/>
          <w:vertAlign w:val="subscript"/>
        </w:rPr>
        <w:t>2</w:t>
      </w:r>
      <w:r w:rsidR="0045039C" w:rsidRPr="0098635C">
        <w:rPr>
          <w:bCs/>
          <w:color w:val="000000" w:themeColor="text1"/>
          <w:sz w:val="20"/>
        </w:rPr>
        <w:t xml:space="preserve"> is carried off in the exhaust gases. A Cu</w:t>
      </w:r>
      <w:r w:rsidR="00D05142" w:rsidRPr="0098635C">
        <w:rPr>
          <w:bCs/>
          <w:color w:val="000000" w:themeColor="text1"/>
          <w:sz w:val="20"/>
          <w:vertAlign w:val="subscript"/>
        </w:rPr>
        <w:t>2</w:t>
      </w:r>
      <w:r w:rsidR="0045039C" w:rsidRPr="0098635C">
        <w:rPr>
          <w:bCs/>
          <w:color w:val="000000" w:themeColor="text1"/>
          <w:sz w:val="20"/>
        </w:rPr>
        <w:t>S rich phase (the matte) does not mix with the remaining phase (FeO/ SiO</w:t>
      </w:r>
      <w:r w:rsidR="00D05142" w:rsidRPr="0098635C">
        <w:rPr>
          <w:bCs/>
          <w:color w:val="000000" w:themeColor="text1"/>
          <w:sz w:val="20"/>
          <w:vertAlign w:val="subscript"/>
        </w:rPr>
        <w:t>2</w:t>
      </w:r>
      <w:r w:rsidR="0045039C" w:rsidRPr="0098635C">
        <w:rPr>
          <w:bCs/>
          <w:color w:val="000000" w:themeColor="text1"/>
          <w:sz w:val="20"/>
        </w:rPr>
        <w:t xml:space="preserve"> phase), being tapped off as slag. In the second step, the matte produced is further oxidised in a second pyrometallurgical step (conversion) in a converter at 1250 ºC to metallic Cu, FeO and SO</w:t>
      </w:r>
      <w:r w:rsidR="00D05142" w:rsidRPr="0098635C">
        <w:rPr>
          <w:bCs/>
          <w:color w:val="000000" w:themeColor="text1"/>
          <w:sz w:val="20"/>
          <w:vertAlign w:val="subscript"/>
        </w:rPr>
        <w:t>2</w:t>
      </w:r>
      <w:r w:rsidR="0045039C" w:rsidRPr="0098635C">
        <w:rPr>
          <w:bCs/>
          <w:color w:val="000000" w:themeColor="text1"/>
          <w:sz w:val="20"/>
        </w:rPr>
        <w:t>. The conversion takes place in two stages. In the first stage the remaining FeS is oxidised to FeO/Fe</w:t>
      </w:r>
      <w:r w:rsidR="00D05142" w:rsidRPr="0098635C">
        <w:rPr>
          <w:bCs/>
          <w:color w:val="000000" w:themeColor="text1"/>
          <w:sz w:val="20"/>
          <w:vertAlign w:val="subscript"/>
        </w:rPr>
        <w:t>3</w:t>
      </w:r>
      <w:r w:rsidR="0045039C" w:rsidRPr="0098635C">
        <w:rPr>
          <w:bCs/>
          <w:color w:val="000000" w:themeColor="text1"/>
          <w:sz w:val="20"/>
        </w:rPr>
        <w:t>O</w:t>
      </w:r>
      <w:r w:rsidR="00D05142" w:rsidRPr="0098635C">
        <w:rPr>
          <w:bCs/>
          <w:color w:val="000000" w:themeColor="text1"/>
          <w:sz w:val="20"/>
          <w:vertAlign w:val="subscript"/>
        </w:rPr>
        <w:t>4</w:t>
      </w:r>
      <w:r w:rsidR="0045039C" w:rsidRPr="0098635C">
        <w:rPr>
          <w:bCs/>
          <w:color w:val="000000" w:themeColor="text1"/>
          <w:sz w:val="20"/>
        </w:rPr>
        <w:t>, which after mixing with SiO</w:t>
      </w:r>
      <w:r w:rsidR="00D05142" w:rsidRPr="0098635C">
        <w:rPr>
          <w:bCs/>
          <w:color w:val="000000" w:themeColor="text1"/>
          <w:sz w:val="20"/>
          <w:vertAlign w:val="subscript"/>
        </w:rPr>
        <w:t>2</w:t>
      </w:r>
      <w:r w:rsidR="0045039C" w:rsidRPr="0098635C">
        <w:rPr>
          <w:bCs/>
          <w:color w:val="000000" w:themeColor="text1"/>
          <w:sz w:val="20"/>
        </w:rPr>
        <w:t xml:space="preserve"> is again separated as slag. In the second stage Cu</w:t>
      </w:r>
      <w:r w:rsidR="00D05142" w:rsidRPr="0098635C">
        <w:rPr>
          <w:bCs/>
          <w:color w:val="000000" w:themeColor="text1"/>
          <w:sz w:val="20"/>
          <w:vertAlign w:val="subscript"/>
        </w:rPr>
        <w:t>2</w:t>
      </w:r>
      <w:r w:rsidR="0045039C" w:rsidRPr="0098635C">
        <w:rPr>
          <w:bCs/>
          <w:color w:val="000000" w:themeColor="text1"/>
          <w:sz w:val="20"/>
        </w:rPr>
        <w:t>S is converted into raw metallic copper (blister) and SO</w:t>
      </w:r>
      <w:r w:rsidR="00D05142" w:rsidRPr="0098635C">
        <w:rPr>
          <w:bCs/>
          <w:color w:val="000000" w:themeColor="text1"/>
          <w:sz w:val="20"/>
          <w:vertAlign w:val="subscript"/>
        </w:rPr>
        <w:t>2</w:t>
      </w:r>
      <w:r w:rsidR="0045039C" w:rsidRPr="0098635C">
        <w:rPr>
          <w:bCs/>
          <w:color w:val="000000" w:themeColor="text1"/>
          <w:sz w:val="20"/>
        </w:rPr>
        <w:t>. A small fraction of the copper present in the concentrate comes through to the slag from the smelter or the converter or appears as fly-ash in the waste gases from both processes. If there is a sufficiently high concentration of copper in the slag it is trapped and recirculated to the smelter, thereby increasing the yield of the process.</w:t>
      </w:r>
    </w:p>
    <w:p w14:paraId="59E5EF54" w14:textId="33170B40" w:rsidR="007C7E94" w:rsidRPr="0098635C" w:rsidRDefault="00737503" w:rsidP="00E22AA9">
      <w:pPr>
        <w:tabs>
          <w:tab w:val="left" w:pos="2977"/>
        </w:tabs>
        <w:ind w:left="709"/>
        <w:rPr>
          <w:bCs/>
          <w:color w:val="000000" w:themeColor="text1"/>
          <w:sz w:val="20"/>
          <w:szCs w:val="20"/>
        </w:rPr>
      </w:pPr>
      <w:r w:rsidRPr="0098635C">
        <w:rPr>
          <w:bCs/>
          <w:color w:val="000000" w:themeColor="text1"/>
          <w:sz w:val="20"/>
          <w:szCs w:val="20"/>
        </w:rPr>
        <w:t>Step 2: electro-refining of the anode copper into cathode copper of 99</w:t>
      </w:r>
      <w:r w:rsidR="000B1BE1" w:rsidRPr="0098635C">
        <w:rPr>
          <w:bCs/>
          <w:color w:val="000000" w:themeColor="text1"/>
          <w:sz w:val="20"/>
          <w:szCs w:val="20"/>
        </w:rPr>
        <w:t>.</w:t>
      </w:r>
      <w:r w:rsidRPr="0098635C">
        <w:rPr>
          <w:bCs/>
          <w:color w:val="000000" w:themeColor="text1"/>
          <w:sz w:val="20"/>
          <w:szCs w:val="20"/>
        </w:rPr>
        <w:t>9 % pure copper.</w:t>
      </w:r>
      <w:r w:rsidR="001E7CC6" w:rsidRPr="0098635C">
        <w:rPr>
          <w:color w:val="000000" w:themeColor="text1"/>
          <w:sz w:val="20"/>
          <w:szCs w:val="20"/>
        </w:rPr>
        <w:t xml:space="preserve"> </w:t>
      </w:r>
      <w:r w:rsidRPr="0098635C">
        <w:rPr>
          <w:bCs/>
          <w:color w:val="000000" w:themeColor="text1"/>
          <w:sz w:val="20"/>
          <w:szCs w:val="20"/>
        </w:rPr>
        <w:t>During this step, the copper is purified further by electrolysis in a sulphuric acid solution to a purity of &gt; 99.9%; it is made into cathodes in the electrolysis cell</w:t>
      </w:r>
    </w:p>
    <w:p w14:paraId="651B4E38" w14:textId="77777777" w:rsidR="007C7E94" w:rsidRPr="0098635C" w:rsidRDefault="00737503" w:rsidP="00E22AA9">
      <w:pPr>
        <w:tabs>
          <w:tab w:val="left" w:pos="2977"/>
        </w:tabs>
        <w:ind w:left="567"/>
        <w:rPr>
          <w:color w:val="000000" w:themeColor="text1"/>
          <w:sz w:val="20"/>
          <w:szCs w:val="20"/>
        </w:rPr>
      </w:pPr>
      <w:r w:rsidRPr="0098635C">
        <w:rPr>
          <w:bCs/>
          <w:color w:val="000000" w:themeColor="text1"/>
          <w:sz w:val="20"/>
          <w:szCs w:val="20"/>
        </w:rPr>
        <w:t>Secondary copper is produced through the same process but using scrap as feed material.</w:t>
      </w:r>
    </w:p>
    <w:p w14:paraId="639498FA" w14:textId="185440A6" w:rsidR="00D05142" w:rsidRPr="0098635C" w:rsidRDefault="00C72F3D" w:rsidP="0059369A">
      <w:pPr>
        <w:pStyle w:val="ListParagraph"/>
        <w:numPr>
          <w:ilvl w:val="0"/>
          <w:numId w:val="11"/>
        </w:numPr>
        <w:rPr>
          <w:b/>
          <w:color w:val="000000" w:themeColor="text1"/>
          <w:sz w:val="20"/>
          <w:szCs w:val="20"/>
        </w:rPr>
      </w:pPr>
      <w:r w:rsidRPr="0098635C">
        <w:rPr>
          <w:b/>
          <w:bCs/>
          <w:color w:val="000000" w:themeColor="text1"/>
          <w:sz w:val="20"/>
          <w:szCs w:val="20"/>
        </w:rPr>
        <w:t xml:space="preserve">Production of copper </w:t>
      </w:r>
      <w:r w:rsidR="000B1BE1" w:rsidRPr="0098635C">
        <w:rPr>
          <w:b/>
          <w:bCs/>
          <w:color w:val="000000" w:themeColor="text1"/>
          <w:sz w:val="20"/>
          <w:szCs w:val="20"/>
        </w:rPr>
        <w:t>powder:</w:t>
      </w:r>
      <w:r w:rsidRPr="0098635C">
        <w:rPr>
          <w:b/>
          <w:bCs/>
          <w:color w:val="000000" w:themeColor="text1"/>
          <w:sz w:val="20"/>
          <w:szCs w:val="20"/>
        </w:rPr>
        <w:t xml:space="preserve"> </w:t>
      </w:r>
      <w:r w:rsidRPr="0098635C">
        <w:rPr>
          <w:bCs/>
          <w:color w:val="000000" w:themeColor="text1"/>
          <w:sz w:val="20"/>
          <w:szCs w:val="20"/>
        </w:rPr>
        <w:t>Copper powders are produced mainly by water or air a</w:t>
      </w:r>
      <w:r w:rsidR="00D05142" w:rsidRPr="0098635C">
        <w:rPr>
          <w:bCs/>
          <w:color w:val="000000" w:themeColor="text1"/>
          <w:sz w:val="20"/>
          <w:szCs w:val="20"/>
        </w:rPr>
        <w:t>t</w:t>
      </w:r>
      <w:r w:rsidRPr="0098635C">
        <w:rPr>
          <w:bCs/>
          <w:color w:val="000000" w:themeColor="text1"/>
          <w:sz w:val="20"/>
          <w:szCs w:val="20"/>
        </w:rPr>
        <w:t>omisation and by oxide reduction of molten copper. They can also be made by hydrogen r</w:t>
      </w:r>
      <w:r w:rsidR="00D05142" w:rsidRPr="0098635C">
        <w:rPr>
          <w:bCs/>
          <w:color w:val="000000" w:themeColor="text1"/>
          <w:sz w:val="20"/>
          <w:szCs w:val="20"/>
        </w:rPr>
        <w:t>e</w:t>
      </w:r>
      <w:r w:rsidRPr="0098635C">
        <w:rPr>
          <w:bCs/>
          <w:color w:val="000000" w:themeColor="text1"/>
          <w:sz w:val="20"/>
          <w:szCs w:val="20"/>
        </w:rPr>
        <w:t>duction, chemical and electrolytic processes.</w:t>
      </w:r>
    </w:p>
    <w:p w14:paraId="56BD9878" w14:textId="77777777" w:rsidR="00D05142" w:rsidRPr="0098635C" w:rsidRDefault="00D05142" w:rsidP="00F8344F">
      <w:pPr>
        <w:pStyle w:val="ListParagraph"/>
        <w:rPr>
          <w:b/>
          <w:color w:val="000000" w:themeColor="text1"/>
          <w:sz w:val="20"/>
          <w:szCs w:val="20"/>
        </w:rPr>
      </w:pPr>
    </w:p>
    <w:p w14:paraId="428F11C7" w14:textId="7340D5A7" w:rsidR="00D05142" w:rsidRPr="0098635C" w:rsidRDefault="00D05142" w:rsidP="0059369A">
      <w:pPr>
        <w:pStyle w:val="ListParagraph"/>
        <w:numPr>
          <w:ilvl w:val="0"/>
          <w:numId w:val="11"/>
        </w:numPr>
        <w:spacing w:before="1200" w:after="0"/>
        <w:ind w:left="709" w:hanging="357"/>
        <w:rPr>
          <w:rFonts w:eastAsia="Calibri"/>
          <w:color w:val="000000" w:themeColor="text1"/>
          <w:sz w:val="20"/>
          <w:szCs w:val="20"/>
        </w:rPr>
      </w:pPr>
      <w:r w:rsidRPr="0098635C">
        <w:rPr>
          <w:rFonts w:eastAsia="Calibri"/>
          <w:b/>
          <w:color w:val="000000" w:themeColor="text1"/>
          <w:sz w:val="20"/>
          <w:szCs w:val="20"/>
        </w:rPr>
        <w:t>Production of coated copper flake</w:t>
      </w:r>
      <w:r w:rsidRPr="0098635C">
        <w:rPr>
          <w:rFonts w:eastAsia="Calibri"/>
          <w:color w:val="000000" w:themeColor="text1"/>
          <w:sz w:val="20"/>
          <w:szCs w:val="20"/>
        </w:rPr>
        <w:t xml:space="preserve"> is a special production of copper powders in which the copper has been coated with aliphatic acid (considered as </w:t>
      </w:r>
      <w:r w:rsidR="00C36182" w:rsidRPr="0098635C">
        <w:rPr>
          <w:rFonts w:eastAsia="Calibri"/>
          <w:color w:val="000000" w:themeColor="text1"/>
          <w:sz w:val="20"/>
          <w:szCs w:val="20"/>
        </w:rPr>
        <w:t>non-hazardous</w:t>
      </w:r>
      <w:r w:rsidRPr="0098635C">
        <w:rPr>
          <w:rFonts w:eastAsia="Calibri"/>
          <w:color w:val="000000" w:themeColor="text1"/>
          <w:sz w:val="20"/>
          <w:szCs w:val="20"/>
        </w:rPr>
        <w:t>) to stabilise the flake in small particle sizes, creating a higher surface area and higher Cu-ion releases (needed for specific applications).</w:t>
      </w:r>
    </w:p>
    <w:p w14:paraId="05A9E580" w14:textId="77777777" w:rsidR="00D05142" w:rsidRPr="0098635C" w:rsidRDefault="00D05142" w:rsidP="00F8344F">
      <w:pPr>
        <w:pStyle w:val="ListParagraph"/>
        <w:spacing w:before="1200" w:after="0"/>
        <w:ind w:left="714"/>
        <w:rPr>
          <w:color w:val="000000" w:themeColor="text1"/>
          <w:sz w:val="20"/>
          <w:szCs w:val="20"/>
        </w:rPr>
      </w:pPr>
    </w:p>
    <w:p w14:paraId="61D609AF" w14:textId="5F2DD43F" w:rsidR="00D05142" w:rsidRPr="0098635C" w:rsidRDefault="00D05142" w:rsidP="0059369A">
      <w:pPr>
        <w:pStyle w:val="ListParagraph"/>
        <w:numPr>
          <w:ilvl w:val="0"/>
          <w:numId w:val="11"/>
        </w:numPr>
        <w:spacing w:before="1200" w:after="0"/>
        <w:ind w:left="714" w:hanging="357"/>
        <w:rPr>
          <w:color w:val="000000" w:themeColor="text1"/>
          <w:sz w:val="20"/>
          <w:szCs w:val="20"/>
        </w:rPr>
      </w:pPr>
      <w:r w:rsidRPr="0098635C">
        <w:rPr>
          <w:b/>
          <w:color w:val="000000" w:themeColor="text1"/>
          <w:sz w:val="20"/>
          <w:szCs w:val="20"/>
        </w:rPr>
        <w:t xml:space="preserve">Production of </w:t>
      </w:r>
      <w:r w:rsidR="00236182" w:rsidRPr="0098635C">
        <w:rPr>
          <w:b/>
          <w:color w:val="000000" w:themeColor="text1"/>
          <w:sz w:val="20"/>
          <w:szCs w:val="20"/>
        </w:rPr>
        <w:t>Copper (II) oxide</w:t>
      </w:r>
      <w:r w:rsidR="00593E99" w:rsidRPr="0098635C">
        <w:rPr>
          <w:color w:val="000000" w:themeColor="text1"/>
          <w:sz w:val="20"/>
          <w:szCs w:val="20"/>
        </w:rPr>
        <w:t xml:space="preserve">: Two methods of </w:t>
      </w:r>
      <w:r w:rsidR="00236182" w:rsidRPr="0098635C">
        <w:rPr>
          <w:color w:val="000000" w:themeColor="text1"/>
          <w:sz w:val="20"/>
          <w:szCs w:val="20"/>
        </w:rPr>
        <w:t>Copper (II) oxide</w:t>
      </w:r>
      <w:r w:rsidR="00593E99" w:rsidRPr="0098635C">
        <w:rPr>
          <w:color w:val="000000" w:themeColor="text1"/>
          <w:sz w:val="20"/>
          <w:szCs w:val="20"/>
        </w:rPr>
        <w:t xml:space="preserve"> production have been identified:</w:t>
      </w:r>
    </w:p>
    <w:p w14:paraId="6B3E6287" w14:textId="77777777" w:rsidR="00D05142" w:rsidRPr="0098635C" w:rsidRDefault="00593E99" w:rsidP="00D05142">
      <w:pPr>
        <w:spacing w:after="0"/>
        <w:ind w:left="851"/>
        <w:rPr>
          <w:color w:val="000000" w:themeColor="text1"/>
          <w:sz w:val="20"/>
          <w:szCs w:val="20"/>
        </w:rPr>
      </w:pPr>
      <w:r w:rsidRPr="0098635C">
        <w:rPr>
          <w:color w:val="000000" w:themeColor="text1"/>
          <w:sz w:val="20"/>
          <w:szCs w:val="20"/>
        </w:rPr>
        <w:t xml:space="preserve">1.  Recovery/recycling of various industrial waste streams and secondary materials containing copper. </w:t>
      </w:r>
    </w:p>
    <w:p w14:paraId="5356BAB8" w14:textId="77777777" w:rsidR="00D05142" w:rsidRPr="0098635C" w:rsidRDefault="00593E99" w:rsidP="00D05142">
      <w:pPr>
        <w:spacing w:after="0"/>
        <w:ind w:left="851"/>
        <w:rPr>
          <w:color w:val="000000" w:themeColor="text1"/>
          <w:sz w:val="20"/>
          <w:szCs w:val="20"/>
        </w:rPr>
      </w:pPr>
      <w:r w:rsidRPr="0098635C">
        <w:rPr>
          <w:color w:val="000000" w:themeColor="text1"/>
          <w:sz w:val="20"/>
          <w:szCs w:val="20"/>
        </w:rPr>
        <w:t>2.  Metal acidification.  Copper is dissolved in nitric acid to produce the nitrate solution, or the process starts with a metal nitrate solution, which is treated to precipitate the insoluble carbonate.  The precipitate is heat-treated to convert it to the dry oxide powder.</w:t>
      </w:r>
    </w:p>
    <w:p w14:paraId="4146116A" w14:textId="77777777" w:rsidR="00D05142" w:rsidRPr="0098635C" w:rsidRDefault="00D05142" w:rsidP="00D05142">
      <w:pPr>
        <w:spacing w:after="0"/>
        <w:ind w:left="851"/>
        <w:rPr>
          <w:color w:val="000000" w:themeColor="text1"/>
          <w:sz w:val="20"/>
          <w:szCs w:val="20"/>
        </w:rPr>
      </w:pPr>
    </w:p>
    <w:p w14:paraId="3816F0EA" w14:textId="20B5014D" w:rsidR="00D05142" w:rsidRPr="0098635C" w:rsidRDefault="00593E99" w:rsidP="00D05142">
      <w:pPr>
        <w:spacing w:after="0"/>
        <w:ind w:left="709" w:hanging="283"/>
        <w:rPr>
          <w:color w:val="000000" w:themeColor="text1"/>
          <w:sz w:val="20"/>
          <w:szCs w:val="20"/>
        </w:rPr>
      </w:pPr>
      <w:r w:rsidRPr="0098635C">
        <w:rPr>
          <w:color w:val="000000" w:themeColor="text1"/>
          <w:sz w:val="20"/>
          <w:szCs w:val="20"/>
        </w:rPr>
        <w:lastRenderedPageBreak/>
        <w:t xml:space="preserve">-   </w:t>
      </w:r>
      <w:r w:rsidR="00D05142" w:rsidRPr="0098635C">
        <w:rPr>
          <w:b/>
          <w:color w:val="000000" w:themeColor="text1"/>
          <w:sz w:val="20"/>
          <w:szCs w:val="20"/>
        </w:rPr>
        <w:t xml:space="preserve">Production </w:t>
      </w:r>
      <w:r w:rsidR="00C36182" w:rsidRPr="0098635C">
        <w:rPr>
          <w:b/>
          <w:color w:val="000000" w:themeColor="text1"/>
          <w:sz w:val="20"/>
          <w:szCs w:val="20"/>
        </w:rPr>
        <w:t>of</w:t>
      </w:r>
      <w:r w:rsidR="00C36182" w:rsidRPr="0098635C">
        <w:rPr>
          <w:color w:val="000000" w:themeColor="text1"/>
          <w:sz w:val="20"/>
          <w:szCs w:val="20"/>
        </w:rPr>
        <w:t xml:space="preserve"> </w:t>
      </w:r>
      <w:r w:rsidR="00236182" w:rsidRPr="0098635C">
        <w:rPr>
          <w:b/>
          <w:color w:val="000000" w:themeColor="text1"/>
          <w:sz w:val="20"/>
          <w:szCs w:val="20"/>
        </w:rPr>
        <w:t>Copper (I) oxide</w:t>
      </w:r>
      <w:r w:rsidR="00D05142" w:rsidRPr="0098635C">
        <w:rPr>
          <w:b/>
          <w:color w:val="000000" w:themeColor="text1"/>
          <w:sz w:val="20"/>
          <w:szCs w:val="20"/>
        </w:rPr>
        <w:t>:</w:t>
      </w:r>
      <w:r w:rsidR="00D05142" w:rsidRPr="0098635C">
        <w:rPr>
          <w:color w:val="000000" w:themeColor="text1"/>
          <w:sz w:val="20"/>
          <w:szCs w:val="20"/>
        </w:rPr>
        <w:t xml:space="preserve"> </w:t>
      </w:r>
      <w:r w:rsidRPr="0098635C">
        <w:rPr>
          <w:color w:val="000000" w:themeColor="text1"/>
          <w:sz w:val="20"/>
          <w:szCs w:val="20"/>
        </w:rPr>
        <w:t xml:space="preserve">Production of </w:t>
      </w:r>
      <w:r w:rsidR="00236182" w:rsidRPr="0098635C">
        <w:rPr>
          <w:color w:val="000000" w:themeColor="text1"/>
          <w:sz w:val="20"/>
          <w:szCs w:val="20"/>
        </w:rPr>
        <w:t>copper (I) oxide</w:t>
      </w:r>
      <w:r w:rsidRPr="0098635C">
        <w:rPr>
          <w:color w:val="000000" w:themeColor="text1"/>
          <w:sz w:val="20"/>
          <w:szCs w:val="20"/>
        </w:rPr>
        <w:t xml:space="preserve"> involves oxidation of copper metal in a batch process.  The </w:t>
      </w:r>
      <w:r w:rsidR="00236182" w:rsidRPr="0098635C">
        <w:rPr>
          <w:color w:val="000000" w:themeColor="text1"/>
          <w:sz w:val="20"/>
          <w:szCs w:val="20"/>
        </w:rPr>
        <w:t>copper (I) oxide</w:t>
      </w:r>
      <w:r w:rsidRPr="0098635C">
        <w:rPr>
          <w:color w:val="000000" w:themeColor="text1"/>
          <w:sz w:val="20"/>
          <w:szCs w:val="20"/>
        </w:rPr>
        <w:t xml:space="preserve"> is generated as a solid in a water-suspension.  The product is filtered, </w:t>
      </w:r>
      <w:r w:rsidR="00C36182" w:rsidRPr="0098635C">
        <w:rPr>
          <w:color w:val="000000" w:themeColor="text1"/>
          <w:sz w:val="20"/>
          <w:szCs w:val="20"/>
        </w:rPr>
        <w:t>stabilized</w:t>
      </w:r>
      <w:r w:rsidRPr="0098635C">
        <w:rPr>
          <w:color w:val="000000" w:themeColor="text1"/>
          <w:sz w:val="20"/>
          <w:szCs w:val="20"/>
        </w:rPr>
        <w:t xml:space="preserve"> and dried.</w:t>
      </w:r>
    </w:p>
    <w:p w14:paraId="63251FF1" w14:textId="77777777" w:rsidR="00D05142" w:rsidRPr="0098635C" w:rsidRDefault="00D05142" w:rsidP="00D05142">
      <w:pPr>
        <w:spacing w:after="0"/>
        <w:ind w:left="709" w:hanging="283"/>
        <w:rPr>
          <w:color w:val="000000" w:themeColor="text1"/>
          <w:sz w:val="20"/>
          <w:szCs w:val="20"/>
          <w:u w:val="single"/>
        </w:rPr>
      </w:pPr>
    </w:p>
    <w:p w14:paraId="22473FB6" w14:textId="5AFF9F18" w:rsidR="00D05142" w:rsidRPr="0098635C" w:rsidRDefault="00593E99" w:rsidP="00D05142">
      <w:pPr>
        <w:spacing w:after="0"/>
        <w:ind w:left="709" w:hanging="283"/>
        <w:rPr>
          <w:color w:val="000000" w:themeColor="text1"/>
          <w:sz w:val="20"/>
          <w:szCs w:val="20"/>
          <w:u w:val="single"/>
        </w:rPr>
      </w:pPr>
      <w:r w:rsidRPr="0098635C">
        <w:rPr>
          <w:b/>
          <w:color w:val="000000" w:themeColor="text1"/>
          <w:sz w:val="20"/>
          <w:szCs w:val="20"/>
        </w:rPr>
        <w:t>-    Production of</w:t>
      </w:r>
      <w:r w:rsidR="00D05142" w:rsidRPr="0098635C">
        <w:rPr>
          <w:b/>
          <w:color w:val="000000" w:themeColor="text1"/>
          <w:sz w:val="20"/>
          <w:szCs w:val="20"/>
        </w:rPr>
        <w:t xml:space="preserve"> Copper sulphate</w:t>
      </w:r>
      <w:r w:rsidR="000B168D" w:rsidRPr="0098635C">
        <w:rPr>
          <w:color w:val="000000" w:themeColor="text1"/>
          <w:sz w:val="20"/>
          <w:szCs w:val="20"/>
        </w:rPr>
        <w:t>:</w:t>
      </w:r>
      <w:r w:rsidR="00D05142" w:rsidRPr="0098635C">
        <w:rPr>
          <w:color w:val="000000" w:themeColor="text1"/>
          <w:sz w:val="20"/>
          <w:szCs w:val="20"/>
        </w:rPr>
        <w:t xml:space="preserve"> </w:t>
      </w:r>
      <w:r w:rsidRPr="0098635C">
        <w:rPr>
          <w:color w:val="000000" w:themeColor="text1"/>
          <w:sz w:val="20"/>
          <w:szCs w:val="20"/>
        </w:rPr>
        <w:t>Copper sulphate is manufactured using the following processes:</w:t>
      </w:r>
    </w:p>
    <w:p w14:paraId="2263F6D2" w14:textId="77777777" w:rsidR="00D05142" w:rsidRPr="0098635C" w:rsidRDefault="00593E99" w:rsidP="00D05142">
      <w:pPr>
        <w:spacing w:after="0"/>
        <w:ind w:left="851"/>
        <w:rPr>
          <w:color w:val="000000" w:themeColor="text1"/>
          <w:sz w:val="20"/>
          <w:szCs w:val="20"/>
        </w:rPr>
      </w:pPr>
      <w:r w:rsidRPr="0098635C">
        <w:rPr>
          <w:color w:val="000000" w:themeColor="text1"/>
          <w:sz w:val="20"/>
          <w:szCs w:val="20"/>
        </w:rPr>
        <w:t>1.  As a by-product of electrolytic purification of crude copper.</w:t>
      </w:r>
    </w:p>
    <w:p w14:paraId="700097A0" w14:textId="77777777" w:rsidR="00D05142" w:rsidRPr="0098635C" w:rsidRDefault="00593E99" w:rsidP="00D05142">
      <w:pPr>
        <w:spacing w:after="0"/>
        <w:ind w:left="851"/>
        <w:rPr>
          <w:color w:val="000000" w:themeColor="text1"/>
          <w:sz w:val="20"/>
          <w:szCs w:val="20"/>
        </w:rPr>
      </w:pPr>
      <w:r w:rsidRPr="0098635C">
        <w:rPr>
          <w:color w:val="000000" w:themeColor="text1"/>
          <w:sz w:val="20"/>
          <w:szCs w:val="20"/>
        </w:rPr>
        <w:t>2.  By direct reaction of copper metal and sulphuric acid in a hot and oxidizing media. The resulting solution is then cooled to produce copper sulphate crystals.</w:t>
      </w:r>
    </w:p>
    <w:p w14:paraId="61C5BDF3" w14:textId="77777777" w:rsidR="00D05142" w:rsidRPr="0098635C" w:rsidRDefault="00593E99" w:rsidP="00D05142">
      <w:pPr>
        <w:spacing w:after="0"/>
        <w:ind w:left="851"/>
        <w:rPr>
          <w:color w:val="000000" w:themeColor="text1"/>
          <w:sz w:val="20"/>
          <w:szCs w:val="20"/>
        </w:rPr>
      </w:pPr>
      <w:r w:rsidRPr="0098635C">
        <w:rPr>
          <w:color w:val="000000" w:themeColor="text1"/>
          <w:sz w:val="20"/>
          <w:szCs w:val="20"/>
        </w:rPr>
        <w:t>3.  By ‘chemical synthesis’.</w:t>
      </w:r>
    </w:p>
    <w:p w14:paraId="7A14F19C" w14:textId="77777777" w:rsidR="00D05142" w:rsidRPr="0098635C" w:rsidRDefault="00D05142" w:rsidP="00D05142">
      <w:pPr>
        <w:spacing w:after="0"/>
        <w:ind w:left="851"/>
        <w:rPr>
          <w:color w:val="000000" w:themeColor="text1"/>
          <w:sz w:val="20"/>
          <w:szCs w:val="20"/>
        </w:rPr>
      </w:pPr>
    </w:p>
    <w:p w14:paraId="1085E1D0" w14:textId="2D665D64" w:rsidR="00D05142" w:rsidRPr="0098635C" w:rsidRDefault="00D05142" w:rsidP="00D05142">
      <w:pPr>
        <w:spacing w:after="0"/>
        <w:ind w:left="709" w:hanging="283"/>
        <w:rPr>
          <w:color w:val="000000" w:themeColor="text1"/>
          <w:sz w:val="20"/>
          <w:szCs w:val="20"/>
          <w:u w:val="single"/>
        </w:rPr>
      </w:pPr>
      <w:r w:rsidRPr="0098635C">
        <w:rPr>
          <w:color w:val="000000" w:themeColor="text1"/>
          <w:sz w:val="20"/>
          <w:szCs w:val="20"/>
        </w:rPr>
        <w:t xml:space="preserve">- </w:t>
      </w:r>
      <w:r w:rsidRPr="0098635C">
        <w:rPr>
          <w:b/>
          <w:color w:val="000000" w:themeColor="text1"/>
          <w:sz w:val="20"/>
          <w:szCs w:val="20"/>
        </w:rPr>
        <w:t xml:space="preserve">Production of </w:t>
      </w:r>
      <w:r w:rsidR="00236182" w:rsidRPr="0098635C">
        <w:rPr>
          <w:b/>
          <w:color w:val="000000" w:themeColor="text1"/>
          <w:sz w:val="20"/>
          <w:szCs w:val="20"/>
        </w:rPr>
        <w:t>Dicopper chloride trihydroxide</w:t>
      </w:r>
      <w:r w:rsidRPr="0098635C">
        <w:rPr>
          <w:color w:val="000000" w:themeColor="text1"/>
          <w:sz w:val="20"/>
          <w:szCs w:val="20"/>
        </w:rPr>
        <w:t xml:space="preserve">: </w:t>
      </w:r>
      <w:r w:rsidR="00236182" w:rsidRPr="0098635C">
        <w:rPr>
          <w:color w:val="000000" w:themeColor="text1"/>
          <w:sz w:val="20"/>
          <w:szCs w:val="20"/>
        </w:rPr>
        <w:t>Dicopper chloride trihydroxide</w:t>
      </w:r>
      <w:r w:rsidR="00593E99" w:rsidRPr="0098635C">
        <w:rPr>
          <w:color w:val="000000" w:themeColor="text1"/>
          <w:sz w:val="20"/>
          <w:szCs w:val="20"/>
        </w:rPr>
        <w:t xml:space="preserve"> is produced by the acidification of copper metal prior to oxidation.  Two variations have been identified:  </w:t>
      </w:r>
    </w:p>
    <w:p w14:paraId="7B34B104" w14:textId="77777777" w:rsidR="00D05142" w:rsidRPr="0098635C" w:rsidRDefault="00593E99" w:rsidP="00D05142">
      <w:pPr>
        <w:spacing w:after="0"/>
        <w:ind w:left="1134" w:hanging="283"/>
        <w:rPr>
          <w:color w:val="000000" w:themeColor="text1"/>
          <w:sz w:val="20"/>
          <w:szCs w:val="20"/>
        </w:rPr>
      </w:pPr>
      <w:r w:rsidRPr="0098635C">
        <w:rPr>
          <w:color w:val="000000" w:themeColor="text1"/>
          <w:sz w:val="20"/>
          <w:szCs w:val="20"/>
        </w:rPr>
        <w:t>1. Copper metal is reacted with hydrochloric acid solution in the presence of oxygen. The resulting suspension is then filtered, dried and milled.</w:t>
      </w:r>
    </w:p>
    <w:p w14:paraId="65A7DB34" w14:textId="2CF9D477" w:rsidR="00392FC6" w:rsidRPr="0098635C" w:rsidRDefault="00593E99" w:rsidP="00D05142">
      <w:pPr>
        <w:spacing w:after="0"/>
        <w:ind w:left="1134" w:hanging="283"/>
        <w:rPr>
          <w:color w:val="000000" w:themeColor="text1"/>
          <w:sz w:val="20"/>
          <w:szCs w:val="20"/>
        </w:rPr>
      </w:pPr>
      <w:r w:rsidRPr="0098635C">
        <w:rPr>
          <w:color w:val="000000" w:themeColor="text1"/>
          <w:sz w:val="20"/>
          <w:szCs w:val="20"/>
        </w:rPr>
        <w:t xml:space="preserve">2. Copper metal is mixed with water, to which hydrochloric acid is added to oxidize the copper.  The solution is aerated for 24 hours.  </w:t>
      </w:r>
      <w:r w:rsidR="00236182" w:rsidRPr="0098635C">
        <w:rPr>
          <w:color w:val="000000" w:themeColor="text1"/>
          <w:sz w:val="20"/>
          <w:szCs w:val="20"/>
        </w:rPr>
        <w:t>Dicopper chloride trihydroxide</w:t>
      </w:r>
      <w:r w:rsidRPr="0098635C">
        <w:rPr>
          <w:color w:val="000000" w:themeColor="text1"/>
          <w:sz w:val="20"/>
          <w:szCs w:val="20"/>
        </w:rPr>
        <w:t xml:space="preserve"> is formed once the acid has lixiviated the copper oxide.  The resulting suspension is centrifuged and dried.</w:t>
      </w:r>
    </w:p>
    <w:p w14:paraId="23D04443" w14:textId="77777777" w:rsidR="00E22AA9" w:rsidRPr="0098635C" w:rsidRDefault="00E22AA9" w:rsidP="00F8344F">
      <w:pPr>
        <w:spacing w:after="0"/>
        <w:ind w:left="1134" w:hanging="283"/>
        <w:rPr>
          <w:color w:val="000000" w:themeColor="text1"/>
          <w:sz w:val="20"/>
          <w:szCs w:val="20"/>
          <w:lang w:eastAsia="ja-JP"/>
        </w:rPr>
      </w:pPr>
    </w:p>
    <w:p w14:paraId="07D79051" w14:textId="77777777" w:rsidR="007C7E94" w:rsidRPr="0098635C" w:rsidRDefault="001E7CC6">
      <w:pPr>
        <w:pStyle w:val="BodyText"/>
        <w:ind w:left="360"/>
        <w:rPr>
          <w:b/>
          <w:i/>
          <w:color w:val="000000" w:themeColor="text1"/>
          <w:sz w:val="20"/>
          <w:lang w:eastAsia="ja-JP"/>
        </w:rPr>
      </w:pPr>
      <w:r w:rsidRPr="0098635C">
        <w:rPr>
          <w:b/>
          <w:i/>
          <w:color w:val="000000" w:themeColor="text1"/>
          <w:sz w:val="20"/>
          <w:lang w:eastAsia="ja-JP"/>
        </w:rPr>
        <w:t>EU use pattern</w:t>
      </w:r>
    </w:p>
    <w:p w14:paraId="73C81BF6" w14:textId="16CE6D9F" w:rsidR="00D05142" w:rsidRPr="0098635C" w:rsidRDefault="0039425E" w:rsidP="00D05142">
      <w:pPr>
        <w:pStyle w:val="BodyText"/>
        <w:ind w:left="360"/>
        <w:rPr>
          <w:color w:val="000000" w:themeColor="text1"/>
          <w:sz w:val="20"/>
        </w:rPr>
      </w:pPr>
      <w:r w:rsidRPr="0098635C">
        <w:rPr>
          <w:color w:val="000000" w:themeColor="text1"/>
          <w:sz w:val="20"/>
          <w:lang w:eastAsia="ja-JP"/>
        </w:rPr>
        <w:t>T</w:t>
      </w:r>
      <w:r w:rsidR="001C1EA7" w:rsidRPr="0098635C">
        <w:rPr>
          <w:color w:val="000000" w:themeColor="text1"/>
          <w:sz w:val="20"/>
          <w:lang w:eastAsia="ja-JP"/>
        </w:rPr>
        <w:t xml:space="preserve">he 2012 EU-27 copper market was estimated at </w:t>
      </w:r>
      <w:r w:rsidR="00D05142" w:rsidRPr="0098635C">
        <w:rPr>
          <w:color w:val="000000" w:themeColor="text1"/>
          <w:sz w:val="20"/>
          <w:lang w:eastAsia="ja-JP"/>
        </w:rPr>
        <w:t>3.7</w:t>
      </w:r>
      <w:r w:rsidR="007A11AA" w:rsidRPr="0098635C">
        <w:rPr>
          <w:color w:val="000000" w:themeColor="text1"/>
          <w:sz w:val="20"/>
          <w:lang w:eastAsia="ja-JP"/>
        </w:rPr>
        <w:t>5</w:t>
      </w:r>
      <w:r w:rsidR="001C1EA7" w:rsidRPr="0098635C">
        <w:rPr>
          <w:color w:val="000000" w:themeColor="text1"/>
          <w:sz w:val="20"/>
          <w:lang w:eastAsia="ja-JP"/>
        </w:rPr>
        <w:t xml:space="preserve"> Million tonnes.</w:t>
      </w:r>
      <w:r w:rsidR="00FC60C6" w:rsidRPr="0098635C">
        <w:rPr>
          <w:color w:val="000000" w:themeColor="text1"/>
          <w:sz w:val="20"/>
          <w:lang w:eastAsia="ja-JP"/>
        </w:rPr>
        <w:t xml:space="preserve">   </w:t>
      </w:r>
      <w:r w:rsidR="0045039C" w:rsidRPr="0098635C">
        <w:rPr>
          <w:color w:val="000000" w:themeColor="text1"/>
          <w:sz w:val="20"/>
          <w:lang w:eastAsia="ja-JP"/>
        </w:rPr>
        <w:t xml:space="preserve">The </w:t>
      </w:r>
      <w:r w:rsidR="00687C7F" w:rsidRPr="0098635C">
        <w:rPr>
          <w:color w:val="000000" w:themeColor="text1"/>
          <w:sz w:val="20"/>
          <w:lang w:eastAsia="ja-JP"/>
        </w:rPr>
        <w:t xml:space="preserve">use patterns of copper are illustrated in its supply chain </w:t>
      </w:r>
      <w:r w:rsidR="00212F4F" w:rsidRPr="0098635C">
        <w:rPr>
          <w:color w:val="000000" w:themeColor="text1"/>
          <w:sz w:val="20"/>
          <w:lang w:eastAsia="ja-JP"/>
        </w:rPr>
        <w:t xml:space="preserve">in </w:t>
      </w:r>
      <w:r w:rsidR="00212F4F" w:rsidRPr="0098635C">
        <w:rPr>
          <w:color w:val="000000" w:themeColor="text1"/>
          <w:sz w:val="20"/>
          <w:lang w:eastAsia="ja-JP"/>
        </w:rPr>
        <w:fldChar w:fldCharType="begin"/>
      </w:r>
      <w:r w:rsidR="00212F4F" w:rsidRPr="0098635C">
        <w:rPr>
          <w:color w:val="000000" w:themeColor="text1"/>
          <w:sz w:val="20"/>
          <w:lang w:eastAsia="ja-JP"/>
        </w:rPr>
        <w:instrText xml:space="preserve"> REF _Ref471995138 \h </w:instrText>
      </w:r>
      <w:r w:rsidR="00212F4F" w:rsidRPr="0098635C">
        <w:rPr>
          <w:color w:val="000000" w:themeColor="text1"/>
          <w:sz w:val="20"/>
          <w:lang w:eastAsia="ja-JP"/>
        </w:rPr>
      </w:r>
      <w:r w:rsidR="0098635C">
        <w:rPr>
          <w:color w:val="000000" w:themeColor="text1"/>
          <w:sz w:val="20"/>
          <w:lang w:eastAsia="ja-JP"/>
        </w:rPr>
        <w:instrText xml:space="preserve"> \* MERGEFORMAT </w:instrText>
      </w:r>
      <w:r w:rsidR="00212F4F" w:rsidRPr="0098635C">
        <w:rPr>
          <w:color w:val="000000" w:themeColor="text1"/>
          <w:sz w:val="20"/>
          <w:lang w:eastAsia="ja-JP"/>
        </w:rPr>
        <w:fldChar w:fldCharType="separate"/>
      </w:r>
      <w:r w:rsidR="00212F4F" w:rsidRPr="0098635C">
        <w:rPr>
          <w:color w:val="000000" w:themeColor="text1"/>
          <w:sz w:val="20"/>
        </w:rPr>
        <w:t xml:space="preserve">Figure </w:t>
      </w:r>
      <w:r w:rsidR="00212F4F" w:rsidRPr="0098635C">
        <w:rPr>
          <w:noProof/>
          <w:color w:val="000000" w:themeColor="text1"/>
          <w:sz w:val="20"/>
        </w:rPr>
        <w:t>1</w:t>
      </w:r>
      <w:r w:rsidR="00212F4F" w:rsidRPr="0098635C">
        <w:rPr>
          <w:color w:val="000000" w:themeColor="text1"/>
          <w:sz w:val="20"/>
          <w:lang w:eastAsia="ja-JP"/>
        </w:rPr>
        <w:fldChar w:fldCharType="end"/>
      </w:r>
      <w:r w:rsidR="00FC60C6" w:rsidRPr="0098635C">
        <w:rPr>
          <w:color w:val="000000" w:themeColor="text1"/>
          <w:sz w:val="20"/>
          <w:lang w:eastAsia="ja-JP"/>
        </w:rPr>
        <w:t>.</w:t>
      </w:r>
    </w:p>
    <w:p w14:paraId="5EE59078" w14:textId="00689E55" w:rsidR="00687C7F" w:rsidRPr="0098635C" w:rsidRDefault="007C7E94" w:rsidP="001D0717">
      <w:pPr>
        <w:spacing w:before="120"/>
        <w:ind w:left="426"/>
        <w:rPr>
          <w:color w:val="000000" w:themeColor="text1"/>
          <w:sz w:val="20"/>
          <w:szCs w:val="20"/>
        </w:rPr>
      </w:pPr>
      <w:r w:rsidRPr="0098635C">
        <w:rPr>
          <w:noProof/>
          <w:color w:val="000000" w:themeColor="text1"/>
          <w:sz w:val="20"/>
          <w:szCs w:val="20"/>
          <w:lang w:eastAsia="en-GB"/>
        </w:rPr>
        <w:lastRenderedPageBreak/>
        <w:drawing>
          <wp:inline distT="0" distB="0" distL="0" distR="0" wp14:anchorId="164BA229" wp14:editId="6E98C03B">
            <wp:extent cx="6120765" cy="7352498"/>
            <wp:effectExtent l="38100" t="19050" r="13335" b="19852"/>
            <wp:docPr id="2" name="Picture 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765" cy="7352498"/>
                    </a:xfrm>
                    <a:prstGeom prst="rect">
                      <a:avLst/>
                    </a:prstGeom>
                    <a:ln>
                      <a:solidFill>
                        <a:schemeClr val="tx1"/>
                      </a:solidFill>
                    </a:ln>
                  </pic:spPr>
                </pic:pic>
              </a:graphicData>
            </a:graphic>
          </wp:inline>
        </w:drawing>
      </w:r>
    </w:p>
    <w:p w14:paraId="67CF9B39" w14:textId="681A3BE2" w:rsidR="00BA66B7" w:rsidRPr="0098635C" w:rsidRDefault="008D2151" w:rsidP="0040260F">
      <w:pPr>
        <w:pStyle w:val="Caption"/>
        <w:ind w:left="0" w:firstLine="426"/>
        <w:jc w:val="center"/>
        <w:rPr>
          <w:b w:val="0"/>
          <w:color w:val="000000" w:themeColor="text1"/>
          <w:sz w:val="20"/>
        </w:rPr>
      </w:pPr>
      <w:bookmarkStart w:id="80" w:name="_Ref471995138"/>
      <w:r w:rsidRPr="0098635C">
        <w:rPr>
          <w:color w:val="000000" w:themeColor="text1"/>
          <w:sz w:val="20"/>
        </w:rPr>
        <w:t xml:space="preserve">Figure </w:t>
      </w:r>
      <w:r w:rsidRPr="0098635C">
        <w:rPr>
          <w:color w:val="000000" w:themeColor="text1"/>
          <w:sz w:val="20"/>
        </w:rPr>
        <w:fldChar w:fldCharType="begin"/>
      </w:r>
      <w:r w:rsidRPr="0098635C">
        <w:rPr>
          <w:color w:val="000000" w:themeColor="text1"/>
          <w:sz w:val="20"/>
        </w:rPr>
        <w:instrText xml:space="preserve"> SEQ Figure \* ARABIC </w:instrText>
      </w:r>
      <w:r w:rsidRPr="0098635C">
        <w:rPr>
          <w:color w:val="000000" w:themeColor="text1"/>
          <w:sz w:val="20"/>
        </w:rPr>
        <w:fldChar w:fldCharType="separate"/>
      </w:r>
      <w:r w:rsidR="00E12077" w:rsidRPr="0098635C">
        <w:rPr>
          <w:noProof/>
          <w:color w:val="000000" w:themeColor="text1"/>
          <w:sz w:val="20"/>
        </w:rPr>
        <w:t>1</w:t>
      </w:r>
      <w:r w:rsidRPr="0098635C">
        <w:rPr>
          <w:color w:val="000000" w:themeColor="text1"/>
          <w:sz w:val="20"/>
        </w:rPr>
        <w:fldChar w:fldCharType="end"/>
      </w:r>
      <w:bookmarkEnd w:id="80"/>
      <w:r w:rsidRPr="0098635C">
        <w:rPr>
          <w:color w:val="000000" w:themeColor="text1"/>
          <w:sz w:val="20"/>
        </w:rPr>
        <w:t xml:space="preserve"> : </w:t>
      </w:r>
      <w:r w:rsidR="00A54278" w:rsidRPr="0098635C">
        <w:rPr>
          <w:color w:val="000000" w:themeColor="text1"/>
          <w:sz w:val="20"/>
        </w:rPr>
        <w:t>Copper supply and use chain (from EU REACH registration dossiers -2013)</w:t>
      </w:r>
    </w:p>
    <w:p w14:paraId="27E43F36" w14:textId="03DD3713" w:rsidR="00687C7F" w:rsidRPr="0098635C" w:rsidRDefault="00D05142" w:rsidP="001D0717">
      <w:pPr>
        <w:spacing w:before="120"/>
        <w:ind w:left="426"/>
        <w:rPr>
          <w:color w:val="000000" w:themeColor="text1"/>
          <w:sz w:val="20"/>
          <w:szCs w:val="20"/>
          <w:lang w:eastAsia="ja-JP"/>
        </w:rPr>
      </w:pPr>
      <w:r w:rsidRPr="0098635C">
        <w:rPr>
          <w:b/>
          <w:color w:val="000000" w:themeColor="text1"/>
          <w:sz w:val="20"/>
          <w:szCs w:val="20"/>
        </w:rPr>
        <w:t>Copper massive</w:t>
      </w:r>
      <w:r w:rsidR="00FB4F8B" w:rsidRPr="0098635C">
        <w:rPr>
          <w:color w:val="000000" w:themeColor="text1"/>
          <w:sz w:val="20"/>
          <w:szCs w:val="20"/>
        </w:rPr>
        <w:t xml:space="preserve"> forms</w:t>
      </w:r>
      <w:r w:rsidR="00687C7F" w:rsidRPr="0098635C">
        <w:rPr>
          <w:color w:val="000000" w:themeColor="text1"/>
          <w:sz w:val="20"/>
          <w:szCs w:val="20"/>
        </w:rPr>
        <w:t xml:space="preserve"> </w:t>
      </w:r>
      <w:r w:rsidR="00FB4F8B" w:rsidRPr="0098635C">
        <w:rPr>
          <w:color w:val="000000" w:themeColor="text1"/>
          <w:sz w:val="20"/>
          <w:szCs w:val="20"/>
        </w:rPr>
        <w:t>account for</w:t>
      </w:r>
      <w:r w:rsidR="00FC60C6" w:rsidRPr="0098635C">
        <w:rPr>
          <w:color w:val="000000" w:themeColor="text1"/>
          <w:sz w:val="20"/>
          <w:szCs w:val="20"/>
        </w:rPr>
        <w:t xml:space="preserve"> </w:t>
      </w:r>
      <w:r w:rsidR="00FB4F8B" w:rsidRPr="0098635C">
        <w:rPr>
          <w:color w:val="000000" w:themeColor="text1"/>
          <w:sz w:val="20"/>
          <w:szCs w:val="20"/>
        </w:rPr>
        <w:t xml:space="preserve">99.6% of the market. </w:t>
      </w:r>
      <w:r w:rsidR="00FB4F8B" w:rsidRPr="0098635C">
        <w:rPr>
          <w:color w:val="000000" w:themeColor="text1"/>
          <w:sz w:val="20"/>
          <w:szCs w:val="20"/>
          <w:lang w:eastAsia="ja-JP"/>
        </w:rPr>
        <w:t xml:space="preserve">Principal </w:t>
      </w:r>
      <w:r w:rsidR="00FC60C6" w:rsidRPr="0098635C">
        <w:rPr>
          <w:color w:val="000000" w:themeColor="text1"/>
          <w:sz w:val="20"/>
          <w:szCs w:val="20"/>
          <w:lang w:eastAsia="ja-JP"/>
        </w:rPr>
        <w:t xml:space="preserve">end </w:t>
      </w:r>
      <w:r w:rsidR="00FB4F8B" w:rsidRPr="0098635C">
        <w:rPr>
          <w:color w:val="000000" w:themeColor="text1"/>
          <w:sz w:val="20"/>
          <w:szCs w:val="20"/>
          <w:lang w:eastAsia="ja-JP"/>
        </w:rPr>
        <w:t>uses include copper wire, for power cables, building wire, electric motors and voltage transformers, copper tubes and fittings, for domestic water, gas distribution,</w:t>
      </w:r>
      <w:r w:rsidR="00687C7F" w:rsidRPr="0098635C">
        <w:rPr>
          <w:color w:val="000000" w:themeColor="text1"/>
          <w:sz w:val="20"/>
          <w:szCs w:val="20"/>
          <w:lang w:eastAsia="ja-JP"/>
        </w:rPr>
        <w:t xml:space="preserve"> </w:t>
      </w:r>
      <w:r w:rsidR="00FB4F8B" w:rsidRPr="0098635C">
        <w:rPr>
          <w:color w:val="000000" w:themeColor="text1"/>
          <w:sz w:val="20"/>
          <w:szCs w:val="20"/>
          <w:lang w:eastAsia="ja-JP"/>
        </w:rPr>
        <w:t xml:space="preserve">water heating systems and air conditioning, strip for the electronics industry and sheets for roofing, gutters and down-pipes). </w:t>
      </w:r>
    </w:p>
    <w:p w14:paraId="7A59B881" w14:textId="77777777" w:rsidR="007C7E94" w:rsidRPr="0098635C" w:rsidRDefault="00516DBE" w:rsidP="00240525">
      <w:pPr>
        <w:keepNext/>
        <w:widowControl/>
        <w:autoSpaceDE/>
        <w:autoSpaceDN/>
        <w:adjustRightInd/>
        <w:spacing w:before="120"/>
        <w:jc w:val="center"/>
        <w:rPr>
          <w:color w:val="000000" w:themeColor="text1"/>
          <w:sz w:val="20"/>
          <w:szCs w:val="20"/>
        </w:rPr>
      </w:pPr>
      <w:r w:rsidRPr="0098635C">
        <w:rPr>
          <w:noProof/>
          <w:color w:val="000000" w:themeColor="text1"/>
          <w:sz w:val="20"/>
          <w:szCs w:val="20"/>
          <w:lang w:eastAsia="en-GB"/>
        </w:rPr>
        <w:lastRenderedPageBreak/>
        <w:drawing>
          <wp:inline distT="0" distB="0" distL="0" distR="0" wp14:anchorId="75138041" wp14:editId="082C4251">
            <wp:extent cx="3972560" cy="2423827"/>
            <wp:effectExtent l="19050" t="0" r="889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srcRect/>
                    <a:stretch>
                      <a:fillRect/>
                    </a:stretch>
                  </pic:blipFill>
                  <pic:spPr bwMode="auto">
                    <a:xfrm>
                      <a:off x="0" y="0"/>
                      <a:ext cx="3972453" cy="2423762"/>
                    </a:xfrm>
                    <a:prstGeom prst="rect">
                      <a:avLst/>
                    </a:prstGeom>
                    <a:noFill/>
                    <a:ln w="9525">
                      <a:noFill/>
                      <a:miter lim="800000"/>
                      <a:headEnd/>
                      <a:tailEnd/>
                    </a:ln>
                  </pic:spPr>
                </pic:pic>
              </a:graphicData>
            </a:graphic>
          </wp:inline>
        </w:drawing>
      </w:r>
    </w:p>
    <w:p w14:paraId="2768CFE9" w14:textId="7AFCF6E1" w:rsidR="00A54278" w:rsidRPr="0098635C" w:rsidRDefault="00A54278" w:rsidP="00212F4F">
      <w:pPr>
        <w:pStyle w:val="Caption"/>
        <w:ind w:left="0" w:right="-851"/>
        <w:rPr>
          <w:color w:val="000000" w:themeColor="text1"/>
          <w:sz w:val="20"/>
        </w:rPr>
      </w:pPr>
      <w:r w:rsidRPr="0098635C">
        <w:rPr>
          <w:color w:val="000000" w:themeColor="text1"/>
          <w:sz w:val="20"/>
        </w:rPr>
        <w:t xml:space="preserve">Figure </w:t>
      </w:r>
      <w:r w:rsidRPr="0098635C">
        <w:rPr>
          <w:color w:val="000000" w:themeColor="text1"/>
          <w:sz w:val="20"/>
        </w:rPr>
        <w:fldChar w:fldCharType="begin"/>
      </w:r>
      <w:r w:rsidRPr="0098635C">
        <w:rPr>
          <w:color w:val="000000" w:themeColor="text1"/>
          <w:sz w:val="20"/>
        </w:rPr>
        <w:instrText xml:space="preserve"> SEQ Figure \* ARABIC </w:instrText>
      </w:r>
      <w:r w:rsidRPr="0098635C">
        <w:rPr>
          <w:color w:val="000000" w:themeColor="text1"/>
          <w:sz w:val="20"/>
        </w:rPr>
        <w:fldChar w:fldCharType="separate"/>
      </w:r>
      <w:r w:rsidR="00E12077" w:rsidRPr="0098635C">
        <w:rPr>
          <w:noProof/>
          <w:color w:val="000000" w:themeColor="text1"/>
          <w:sz w:val="20"/>
        </w:rPr>
        <w:t>2</w:t>
      </w:r>
      <w:r w:rsidRPr="0098635C">
        <w:rPr>
          <w:color w:val="000000" w:themeColor="text1"/>
          <w:sz w:val="20"/>
        </w:rPr>
        <w:fldChar w:fldCharType="end"/>
      </w:r>
      <w:r w:rsidRPr="0098635C">
        <w:rPr>
          <w:color w:val="000000" w:themeColor="text1"/>
          <w:sz w:val="20"/>
        </w:rPr>
        <w:t xml:space="preserve"> : Use categories of copper massive and alloys (from EU REACH registration dossiers -2013)</w:t>
      </w:r>
    </w:p>
    <w:p w14:paraId="5E08AAF3" w14:textId="7FDEA63D" w:rsidR="00A54278" w:rsidRPr="0098635C" w:rsidRDefault="00212F4F" w:rsidP="0040260F">
      <w:pPr>
        <w:pStyle w:val="Caption"/>
        <w:ind w:left="0"/>
        <w:rPr>
          <w:rFonts w:ascii="Times New Roman" w:hAnsi="Times New Roman"/>
          <w:b w:val="0"/>
          <w:color w:val="000000" w:themeColor="text1"/>
          <w:sz w:val="20"/>
        </w:rPr>
      </w:pPr>
      <w:r w:rsidRPr="0098635C">
        <w:rPr>
          <w:rFonts w:ascii="Times New Roman" w:hAnsi="Times New Roman"/>
          <w:b w:val="0"/>
          <w:color w:val="000000" w:themeColor="text1"/>
          <w:sz w:val="20"/>
          <w:lang w:val="en-GB"/>
        </w:rPr>
        <w:t xml:space="preserve">Copper powders are estimated to account for 0.4% of the total EU production. They are mainly used for friction materials such as for vehicle brake pads, carbon brushes for electrical motors and sintered parts for engineering components. </w:t>
      </w:r>
    </w:p>
    <w:p w14:paraId="2B5AE874" w14:textId="1B9C646E" w:rsidR="00212F4F" w:rsidRPr="0098635C" w:rsidRDefault="007C7E94" w:rsidP="0040260F">
      <w:pPr>
        <w:pStyle w:val="BodyText"/>
        <w:jc w:val="center"/>
        <w:rPr>
          <w:color w:val="000000" w:themeColor="text1"/>
          <w:sz w:val="20"/>
        </w:rPr>
      </w:pPr>
      <w:r w:rsidRPr="0098635C">
        <w:rPr>
          <w:b/>
          <w:bCs/>
          <w:noProof/>
          <w:color w:val="000000" w:themeColor="text1"/>
          <w:sz w:val="20"/>
          <w:lang w:eastAsia="en-GB"/>
        </w:rPr>
        <w:drawing>
          <wp:inline distT="0" distB="0" distL="0" distR="0" wp14:anchorId="24F8C4EA" wp14:editId="76A71447">
            <wp:extent cx="3857625" cy="2371725"/>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srcRect/>
                    <a:stretch>
                      <a:fillRect/>
                    </a:stretch>
                  </pic:blipFill>
                  <pic:spPr bwMode="auto">
                    <a:xfrm>
                      <a:off x="0" y="0"/>
                      <a:ext cx="3857625" cy="2371725"/>
                    </a:xfrm>
                    <a:prstGeom prst="rect">
                      <a:avLst/>
                    </a:prstGeom>
                    <a:noFill/>
                    <a:ln w="9525">
                      <a:noFill/>
                      <a:miter lim="800000"/>
                      <a:headEnd/>
                      <a:tailEnd/>
                    </a:ln>
                  </pic:spPr>
                </pic:pic>
              </a:graphicData>
            </a:graphic>
          </wp:inline>
        </w:drawing>
      </w:r>
    </w:p>
    <w:p w14:paraId="36A099D0" w14:textId="076ED6D7" w:rsidR="00A54278" w:rsidRPr="0098635C" w:rsidRDefault="00A54278" w:rsidP="0040260F">
      <w:pPr>
        <w:pStyle w:val="Caption"/>
        <w:ind w:left="0"/>
        <w:jc w:val="center"/>
        <w:rPr>
          <w:color w:val="000000" w:themeColor="text1"/>
          <w:sz w:val="20"/>
          <w:lang w:val="en-GB"/>
        </w:rPr>
      </w:pPr>
      <w:r w:rsidRPr="0098635C">
        <w:rPr>
          <w:color w:val="000000" w:themeColor="text1"/>
          <w:sz w:val="20"/>
        </w:rPr>
        <w:t xml:space="preserve">Figure </w:t>
      </w:r>
      <w:r w:rsidR="00C75248" w:rsidRPr="0098635C">
        <w:rPr>
          <w:color w:val="000000" w:themeColor="text1"/>
          <w:sz w:val="20"/>
        </w:rPr>
        <w:fldChar w:fldCharType="begin"/>
      </w:r>
      <w:r w:rsidR="00C75248" w:rsidRPr="0098635C">
        <w:rPr>
          <w:color w:val="000000" w:themeColor="text1"/>
          <w:sz w:val="20"/>
        </w:rPr>
        <w:instrText xml:space="preserve"> SEQ Figure \* ARABIC </w:instrText>
      </w:r>
      <w:r w:rsidR="00C75248" w:rsidRPr="0098635C">
        <w:rPr>
          <w:color w:val="000000" w:themeColor="text1"/>
          <w:sz w:val="20"/>
        </w:rPr>
        <w:fldChar w:fldCharType="separate"/>
      </w:r>
      <w:r w:rsidR="00E12077" w:rsidRPr="0098635C">
        <w:rPr>
          <w:noProof/>
          <w:color w:val="000000" w:themeColor="text1"/>
          <w:sz w:val="20"/>
        </w:rPr>
        <w:t>3</w:t>
      </w:r>
      <w:r w:rsidR="00C75248" w:rsidRPr="0098635C">
        <w:rPr>
          <w:noProof/>
          <w:color w:val="000000" w:themeColor="text1"/>
          <w:sz w:val="20"/>
        </w:rPr>
        <w:fldChar w:fldCharType="end"/>
      </w:r>
      <w:r w:rsidRPr="0098635C">
        <w:rPr>
          <w:color w:val="000000" w:themeColor="text1"/>
          <w:sz w:val="20"/>
        </w:rPr>
        <w:t xml:space="preserve"> : Use categories of copper powders</w:t>
      </w:r>
    </w:p>
    <w:p w14:paraId="1BA0B8BA" w14:textId="77777777" w:rsidR="00A54278" w:rsidRPr="0098635C" w:rsidRDefault="00A54278" w:rsidP="0040260F">
      <w:pPr>
        <w:spacing w:after="0"/>
        <w:jc w:val="center"/>
        <w:rPr>
          <w:b/>
          <w:color w:val="000000" w:themeColor="text1"/>
          <w:sz w:val="20"/>
          <w:szCs w:val="20"/>
        </w:rPr>
      </w:pPr>
    </w:p>
    <w:p w14:paraId="322ACE20" w14:textId="5AB549BB" w:rsidR="001D0717" w:rsidRPr="0098635C" w:rsidRDefault="00D05142" w:rsidP="001D0717">
      <w:pPr>
        <w:pStyle w:val="ListParagraph"/>
        <w:spacing w:after="0"/>
        <w:ind w:left="426"/>
        <w:rPr>
          <w:color w:val="000000" w:themeColor="text1"/>
          <w:sz w:val="20"/>
          <w:szCs w:val="20"/>
        </w:rPr>
      </w:pPr>
      <w:r w:rsidRPr="0098635C">
        <w:rPr>
          <w:b/>
          <w:color w:val="000000" w:themeColor="text1"/>
          <w:sz w:val="20"/>
          <w:szCs w:val="20"/>
        </w:rPr>
        <w:t>Coated copper flakes</w:t>
      </w:r>
      <w:r w:rsidR="0045039C" w:rsidRPr="0098635C">
        <w:rPr>
          <w:color w:val="000000" w:themeColor="text1"/>
          <w:sz w:val="20"/>
          <w:szCs w:val="20"/>
        </w:rPr>
        <w:t xml:space="preserve"> represent less than &lt;0.1% and are used mainly as pigments and </w:t>
      </w:r>
      <w:r w:rsidR="00FB4F8B" w:rsidRPr="0098635C">
        <w:rPr>
          <w:color w:val="000000" w:themeColor="text1"/>
          <w:sz w:val="20"/>
          <w:szCs w:val="20"/>
        </w:rPr>
        <w:t>as an active ingredient in antifouling paints.</w:t>
      </w:r>
    </w:p>
    <w:p w14:paraId="2F327279" w14:textId="77777777" w:rsidR="00886C8C" w:rsidRPr="0098635C" w:rsidRDefault="00886C8C" w:rsidP="001D0717">
      <w:pPr>
        <w:pStyle w:val="ListParagraph"/>
        <w:spacing w:after="0"/>
        <w:ind w:left="426"/>
        <w:rPr>
          <w:color w:val="000000" w:themeColor="text1"/>
          <w:sz w:val="20"/>
          <w:szCs w:val="20"/>
        </w:rPr>
      </w:pPr>
    </w:p>
    <w:p w14:paraId="3D5E656C" w14:textId="77777777" w:rsidR="00E54D6F" w:rsidRPr="0098635C" w:rsidRDefault="00E54D6F" w:rsidP="00A61C92">
      <w:pPr>
        <w:pStyle w:val="BodyText"/>
        <w:ind w:left="426"/>
        <w:rPr>
          <w:color w:val="000000" w:themeColor="text1"/>
          <w:sz w:val="20"/>
        </w:rPr>
      </w:pPr>
      <w:r w:rsidRPr="0098635C">
        <w:rPr>
          <w:color w:val="000000" w:themeColor="text1"/>
          <w:sz w:val="20"/>
        </w:rPr>
        <w:t xml:space="preserve">The main uses of the </w:t>
      </w:r>
      <w:r w:rsidR="00D05142" w:rsidRPr="0098635C">
        <w:rPr>
          <w:b/>
          <w:color w:val="000000" w:themeColor="text1"/>
          <w:sz w:val="20"/>
        </w:rPr>
        <w:t>copper compounds</w:t>
      </w:r>
      <w:r w:rsidRPr="0098635C">
        <w:rPr>
          <w:color w:val="000000" w:themeColor="text1"/>
          <w:sz w:val="20"/>
        </w:rPr>
        <w:t xml:space="preserve"> are as follows:</w:t>
      </w:r>
    </w:p>
    <w:p w14:paraId="6965B56D" w14:textId="5896965D" w:rsidR="00D05142" w:rsidRPr="0098635C" w:rsidRDefault="00E54D6F" w:rsidP="0059369A">
      <w:pPr>
        <w:pStyle w:val="BodyText"/>
        <w:numPr>
          <w:ilvl w:val="0"/>
          <w:numId w:val="11"/>
        </w:numPr>
        <w:rPr>
          <w:color w:val="000000" w:themeColor="text1"/>
          <w:sz w:val="20"/>
        </w:rPr>
      </w:pPr>
      <w:r w:rsidRPr="0098635C">
        <w:rPr>
          <w:color w:val="000000" w:themeColor="text1"/>
          <w:sz w:val="20"/>
        </w:rPr>
        <w:t xml:space="preserve">Copper (II) oxide – wood preservative (biocidal/antimicrobial), catalyst, </w:t>
      </w:r>
      <w:r w:rsidR="00C36182" w:rsidRPr="0098635C">
        <w:rPr>
          <w:color w:val="000000" w:themeColor="text1"/>
          <w:sz w:val="20"/>
        </w:rPr>
        <w:t>brake</w:t>
      </w:r>
      <w:r w:rsidRPr="0098635C">
        <w:rPr>
          <w:color w:val="000000" w:themeColor="text1"/>
          <w:sz w:val="20"/>
        </w:rPr>
        <w:t xml:space="preserve"> pads, industrial (glass, ceramics).</w:t>
      </w:r>
    </w:p>
    <w:p w14:paraId="7DEE0497" w14:textId="77777777" w:rsidR="00D05142" w:rsidRPr="0098635C" w:rsidRDefault="00E54D6F" w:rsidP="0059369A">
      <w:pPr>
        <w:pStyle w:val="BodyText"/>
        <w:numPr>
          <w:ilvl w:val="0"/>
          <w:numId w:val="11"/>
        </w:numPr>
        <w:rPr>
          <w:color w:val="000000" w:themeColor="text1"/>
          <w:sz w:val="20"/>
        </w:rPr>
      </w:pPr>
      <w:r w:rsidRPr="0098635C">
        <w:rPr>
          <w:color w:val="000000" w:themeColor="text1"/>
          <w:sz w:val="20"/>
        </w:rPr>
        <w:t>Copper (I) oxide – antifouling (biocidal/antimicrobial), fungicide (agrochemical), catalyst, “hot” industrial processes.</w:t>
      </w:r>
    </w:p>
    <w:p w14:paraId="2F330792" w14:textId="77777777" w:rsidR="00D05142" w:rsidRPr="0098635C" w:rsidRDefault="00E54D6F" w:rsidP="0059369A">
      <w:pPr>
        <w:pStyle w:val="BodyText"/>
        <w:numPr>
          <w:ilvl w:val="0"/>
          <w:numId w:val="11"/>
        </w:numPr>
        <w:rPr>
          <w:color w:val="000000" w:themeColor="text1"/>
          <w:sz w:val="20"/>
        </w:rPr>
      </w:pPr>
      <w:r w:rsidRPr="0098635C">
        <w:rPr>
          <w:color w:val="000000" w:themeColor="text1"/>
          <w:sz w:val="20"/>
        </w:rPr>
        <w:t>Copper sulphate – algaecide (biocidal/antimicrobial), fertiliser, raw material use, general industrial uses (dyes, mineral floatation, ceramics, glass), animal feed and foodstuffs.</w:t>
      </w:r>
    </w:p>
    <w:p w14:paraId="132D9435" w14:textId="24134C0C" w:rsidR="007C7E94" w:rsidRPr="0098635C" w:rsidRDefault="00236182" w:rsidP="0059369A">
      <w:pPr>
        <w:pStyle w:val="BodyText"/>
        <w:numPr>
          <w:ilvl w:val="0"/>
          <w:numId w:val="11"/>
        </w:numPr>
        <w:rPr>
          <w:color w:val="000000" w:themeColor="text1"/>
          <w:sz w:val="20"/>
        </w:rPr>
      </w:pPr>
      <w:r w:rsidRPr="0098635C">
        <w:rPr>
          <w:color w:val="000000" w:themeColor="text1"/>
          <w:sz w:val="20"/>
        </w:rPr>
        <w:t>Dicopper chloride trihydroxide</w:t>
      </w:r>
      <w:r w:rsidR="00E54D6F" w:rsidRPr="0098635C">
        <w:rPr>
          <w:color w:val="000000" w:themeColor="text1"/>
          <w:sz w:val="20"/>
        </w:rPr>
        <w:t xml:space="preserve"> – fungicide (agrochemical), fertiliser and industrial uses e.g. ceramics</w:t>
      </w:r>
    </w:p>
    <w:p w14:paraId="569B6249" w14:textId="77777777" w:rsidR="00F5012C" w:rsidRPr="0098635C" w:rsidRDefault="00B05271" w:rsidP="00F5012C">
      <w:pPr>
        <w:pStyle w:val="Heading2"/>
        <w:rPr>
          <w:color w:val="000000" w:themeColor="text1"/>
          <w:sz w:val="20"/>
        </w:rPr>
      </w:pPr>
      <w:bookmarkStart w:id="81" w:name="_Toc32726017"/>
      <w:bookmarkStart w:id="82" w:name="_Toc32727200"/>
      <w:bookmarkStart w:id="83" w:name="_Toc43868647"/>
      <w:bookmarkStart w:id="84" w:name="_Toc200358235"/>
      <w:bookmarkStart w:id="85" w:name="_Toc200359251"/>
      <w:bookmarkStart w:id="86" w:name="_Toc471999242"/>
      <w:bookmarkStart w:id="87" w:name="_Toc472250854"/>
      <w:r w:rsidRPr="0098635C">
        <w:rPr>
          <w:color w:val="000000" w:themeColor="text1"/>
          <w:sz w:val="20"/>
        </w:rPr>
        <w:lastRenderedPageBreak/>
        <w:t>Environmental Exposure and Fate</w:t>
      </w:r>
      <w:bookmarkEnd w:id="81"/>
      <w:bookmarkEnd w:id="82"/>
      <w:bookmarkEnd w:id="83"/>
      <w:bookmarkEnd w:id="84"/>
      <w:bookmarkEnd w:id="85"/>
      <w:bookmarkEnd w:id="86"/>
      <w:bookmarkEnd w:id="87"/>
    </w:p>
    <w:p w14:paraId="22166ABB" w14:textId="77777777" w:rsidR="00886C8C" w:rsidRPr="0098635C" w:rsidRDefault="00CA61BE" w:rsidP="002476B6">
      <w:pPr>
        <w:pStyle w:val="BodyText"/>
        <w:rPr>
          <w:color w:val="000000" w:themeColor="text1"/>
          <w:sz w:val="20"/>
        </w:rPr>
      </w:pPr>
      <w:r w:rsidRPr="0098635C">
        <w:rPr>
          <w:color w:val="000000" w:themeColor="text1"/>
          <w:sz w:val="20"/>
        </w:rPr>
        <w:t xml:space="preserve">Copper is a natural element and transition metal with more than one oxidation state. Copper in its metallic form (Cu°) is not </w:t>
      </w:r>
      <w:r w:rsidR="00011581" w:rsidRPr="0098635C">
        <w:rPr>
          <w:color w:val="000000" w:themeColor="text1"/>
          <w:sz w:val="20"/>
        </w:rPr>
        <w:t>bio</w:t>
      </w:r>
      <w:r w:rsidRPr="0098635C">
        <w:rPr>
          <w:color w:val="000000" w:themeColor="text1"/>
          <w:sz w:val="20"/>
        </w:rPr>
        <w:t>available. Copper needs to be transformed to its ionic forms to become available for uptake by living organisms.</w:t>
      </w:r>
      <w:r w:rsidR="002476B6" w:rsidRPr="0098635C">
        <w:rPr>
          <w:color w:val="000000" w:themeColor="text1"/>
          <w:sz w:val="20"/>
        </w:rPr>
        <w:t xml:space="preserve"> </w:t>
      </w:r>
    </w:p>
    <w:p w14:paraId="5109441A" w14:textId="77777777" w:rsidR="00CA61BE" w:rsidRPr="0098635C" w:rsidRDefault="002476B6" w:rsidP="002476B6">
      <w:pPr>
        <w:pStyle w:val="BodyText"/>
        <w:rPr>
          <w:color w:val="000000" w:themeColor="text1"/>
          <w:sz w:val="20"/>
        </w:rPr>
      </w:pPr>
      <w:r w:rsidRPr="0098635C">
        <w:rPr>
          <w:color w:val="000000" w:themeColor="text1"/>
          <w:sz w:val="20"/>
        </w:rPr>
        <w:t xml:space="preserve">It is also an essential element and, in common with other trace metals, copper has a number of physiological roles that may be classified as regulatory, structural and protective.  In the regulatory role they are an essential part of metalloenzymes, acting either as electron donors or acceptors at the active site, or by shaping the enzyme to the configuration necessary for its activity.  The structural functions of </w:t>
      </w:r>
      <w:r w:rsidR="004930D7" w:rsidRPr="0098635C">
        <w:rPr>
          <w:color w:val="000000" w:themeColor="text1"/>
          <w:sz w:val="20"/>
        </w:rPr>
        <w:t>copper include</w:t>
      </w:r>
      <w:r w:rsidRPr="0098635C">
        <w:rPr>
          <w:color w:val="000000" w:themeColor="text1"/>
          <w:sz w:val="20"/>
        </w:rPr>
        <w:t>, for example, membrane integrity or bone structure, and the protective function may involve antioxidant defence or the immune system (Ralph &amp; Mc Ardle, 2001).</w:t>
      </w:r>
      <w:r w:rsidR="002C0998" w:rsidRPr="0098635C">
        <w:rPr>
          <w:color w:val="000000" w:themeColor="text1"/>
          <w:sz w:val="20"/>
        </w:rPr>
        <w:t xml:space="preserve"> </w:t>
      </w:r>
      <w:r w:rsidRPr="0098635C">
        <w:rPr>
          <w:color w:val="000000" w:themeColor="text1"/>
          <w:sz w:val="20"/>
        </w:rPr>
        <w:t>Copper is involved in the reactions and functions of many enzymes, including angiogenesis, neurohormone release, oxygen transport and regulation of genetic expression.  Copper is an allosteric component of several enzymes that have oxidation and reduction activity, functioning as an electron transfer intermediate in redox reactions.</w:t>
      </w:r>
      <w:r w:rsidR="003E4CD1" w:rsidRPr="0098635C">
        <w:rPr>
          <w:color w:val="000000" w:themeColor="text1"/>
          <w:sz w:val="20"/>
        </w:rPr>
        <w:t xml:space="preserve"> </w:t>
      </w:r>
    </w:p>
    <w:p w14:paraId="6B866DD0" w14:textId="77777777" w:rsidR="00B05271" w:rsidRPr="0098635C" w:rsidRDefault="00B05271">
      <w:pPr>
        <w:pStyle w:val="Heading3"/>
        <w:rPr>
          <w:color w:val="000000" w:themeColor="text1"/>
          <w:sz w:val="20"/>
        </w:rPr>
      </w:pPr>
      <w:bookmarkStart w:id="88" w:name="_Toc43868648"/>
      <w:bookmarkStart w:id="89" w:name="_Toc200358236"/>
      <w:bookmarkStart w:id="90" w:name="_Toc200359252"/>
      <w:bookmarkStart w:id="91" w:name="_Toc471999243"/>
      <w:bookmarkStart w:id="92" w:name="_Toc472250855"/>
      <w:r w:rsidRPr="0098635C">
        <w:rPr>
          <w:color w:val="000000" w:themeColor="text1"/>
          <w:sz w:val="20"/>
        </w:rPr>
        <w:t>Sources of Environmental Exposure</w:t>
      </w:r>
      <w:bookmarkEnd w:id="88"/>
      <w:bookmarkEnd w:id="89"/>
      <w:bookmarkEnd w:id="90"/>
      <w:bookmarkEnd w:id="91"/>
      <w:bookmarkEnd w:id="92"/>
    </w:p>
    <w:p w14:paraId="1F2FB2A2" w14:textId="5F73510C" w:rsidR="003E4CD1" w:rsidRPr="0098635C" w:rsidRDefault="004B52B8" w:rsidP="004B52B8">
      <w:pPr>
        <w:pStyle w:val="BodyText"/>
        <w:rPr>
          <w:color w:val="000000" w:themeColor="text1"/>
          <w:sz w:val="20"/>
        </w:rPr>
      </w:pPr>
      <w:r w:rsidRPr="0098635C">
        <w:rPr>
          <w:color w:val="000000" w:themeColor="text1"/>
          <w:sz w:val="20"/>
        </w:rPr>
        <w:t xml:space="preserve">Copper is a </w:t>
      </w:r>
      <w:r w:rsidR="00C93B6F" w:rsidRPr="0098635C">
        <w:rPr>
          <w:color w:val="000000" w:themeColor="text1"/>
          <w:sz w:val="20"/>
        </w:rPr>
        <w:t xml:space="preserve">natural </w:t>
      </w:r>
      <w:r w:rsidRPr="0098635C">
        <w:rPr>
          <w:color w:val="000000" w:themeColor="text1"/>
          <w:sz w:val="20"/>
        </w:rPr>
        <w:t>elemental that can be found at background levels in water, sediment</w:t>
      </w:r>
      <w:r w:rsidR="00011581" w:rsidRPr="0098635C">
        <w:rPr>
          <w:color w:val="000000" w:themeColor="text1"/>
          <w:sz w:val="20"/>
        </w:rPr>
        <w:t>,</w:t>
      </w:r>
      <w:r w:rsidRPr="0098635C">
        <w:rPr>
          <w:color w:val="000000" w:themeColor="text1"/>
          <w:sz w:val="20"/>
        </w:rPr>
        <w:t xml:space="preserve"> soil</w:t>
      </w:r>
      <w:r w:rsidR="00011581" w:rsidRPr="0098635C">
        <w:rPr>
          <w:color w:val="000000" w:themeColor="text1"/>
          <w:sz w:val="20"/>
        </w:rPr>
        <w:t xml:space="preserve"> and biota</w:t>
      </w:r>
      <w:r w:rsidR="003E4CD1" w:rsidRPr="0098635C">
        <w:rPr>
          <w:color w:val="000000" w:themeColor="text1"/>
          <w:sz w:val="20"/>
        </w:rPr>
        <w:t xml:space="preserve">. </w:t>
      </w:r>
    </w:p>
    <w:p w14:paraId="03E4C440" w14:textId="7F3C47FE" w:rsidR="00D3267C" w:rsidRPr="0098635C" w:rsidRDefault="00D3267C" w:rsidP="00D3267C">
      <w:pPr>
        <w:pStyle w:val="BodyText"/>
        <w:rPr>
          <w:color w:val="000000" w:themeColor="text1"/>
          <w:sz w:val="20"/>
        </w:rPr>
      </w:pPr>
      <w:r w:rsidRPr="0098635C">
        <w:rPr>
          <w:color w:val="000000" w:themeColor="text1"/>
          <w:sz w:val="20"/>
        </w:rPr>
        <w:t>A summary of geological copper levels are av</w:t>
      </w:r>
      <w:r w:rsidR="00DA55FF" w:rsidRPr="0098635C">
        <w:rPr>
          <w:color w:val="000000" w:themeColor="text1"/>
          <w:sz w:val="20"/>
        </w:rPr>
        <w:t>ai</w:t>
      </w:r>
      <w:r w:rsidRPr="0098635C">
        <w:rPr>
          <w:color w:val="000000" w:themeColor="text1"/>
          <w:sz w:val="20"/>
        </w:rPr>
        <w:t xml:space="preserve">lable from </w:t>
      </w:r>
      <w:r w:rsidR="004D5121" w:rsidRPr="0098635C">
        <w:rPr>
          <w:color w:val="000000" w:themeColor="text1"/>
          <w:sz w:val="20"/>
        </w:rPr>
        <w:t xml:space="preserve">e.g. </w:t>
      </w:r>
      <w:r w:rsidRPr="0098635C">
        <w:rPr>
          <w:color w:val="000000" w:themeColor="text1"/>
          <w:sz w:val="20"/>
        </w:rPr>
        <w:t>Reimann et al.</w:t>
      </w:r>
      <w:r w:rsidR="005A31E3" w:rsidRPr="0098635C">
        <w:rPr>
          <w:color w:val="000000" w:themeColor="text1"/>
          <w:sz w:val="20"/>
        </w:rPr>
        <w:t xml:space="preserve"> (</w:t>
      </w:r>
      <w:r w:rsidRPr="0098635C">
        <w:rPr>
          <w:color w:val="000000" w:themeColor="text1"/>
          <w:sz w:val="20"/>
        </w:rPr>
        <w:t>2014</w:t>
      </w:r>
      <w:r w:rsidR="005A31E3" w:rsidRPr="0098635C">
        <w:rPr>
          <w:color w:val="000000" w:themeColor="text1"/>
          <w:sz w:val="20"/>
        </w:rPr>
        <w:t>a,b)</w:t>
      </w:r>
      <w:r w:rsidRPr="0098635C">
        <w:rPr>
          <w:color w:val="000000" w:themeColor="text1"/>
          <w:sz w:val="20"/>
        </w:rPr>
        <w:t xml:space="preserve">: </w:t>
      </w:r>
      <w:r w:rsidR="00DA55FF" w:rsidRPr="0098635C">
        <w:rPr>
          <w:color w:val="000000" w:themeColor="text1"/>
          <w:sz w:val="20"/>
        </w:rPr>
        <w:t>c</w:t>
      </w:r>
      <w:r w:rsidRPr="0098635C">
        <w:rPr>
          <w:color w:val="000000" w:themeColor="text1"/>
          <w:sz w:val="20"/>
        </w:rPr>
        <w:t xml:space="preserve">opper </w:t>
      </w:r>
      <w:r w:rsidR="00C36182" w:rsidRPr="0098635C">
        <w:rPr>
          <w:color w:val="000000" w:themeColor="text1"/>
          <w:sz w:val="20"/>
        </w:rPr>
        <w:t>is enriched</w:t>
      </w:r>
      <w:r w:rsidRPr="0098635C">
        <w:rPr>
          <w:color w:val="000000" w:themeColor="text1"/>
          <w:sz w:val="20"/>
        </w:rPr>
        <w:t xml:space="preserve"> in mafic rock (89-90 mg/kg), while intermediate rocks (20 mg/kg) and granite (12 mg/kg) contain less copper. Unmineralized sediments contain low cop</w:t>
      </w:r>
      <w:r w:rsidR="00DA55FF" w:rsidRPr="0098635C">
        <w:rPr>
          <w:color w:val="000000" w:themeColor="text1"/>
          <w:sz w:val="20"/>
        </w:rPr>
        <w:t>per levels (5-20 mg/kg). B</w:t>
      </w:r>
      <w:r w:rsidRPr="0098635C">
        <w:rPr>
          <w:color w:val="000000" w:themeColor="text1"/>
          <w:sz w:val="20"/>
        </w:rPr>
        <w:t>lack shales are enriched in copper (50 mg/kg</w:t>
      </w:r>
      <w:r w:rsidR="00C36182" w:rsidRPr="0098635C">
        <w:rPr>
          <w:color w:val="000000" w:themeColor="text1"/>
          <w:sz w:val="20"/>
        </w:rPr>
        <w:t>).</w:t>
      </w:r>
    </w:p>
    <w:p w14:paraId="7A498517" w14:textId="13F62EAD" w:rsidR="00D3267C" w:rsidRPr="0098635C" w:rsidRDefault="00C36182" w:rsidP="00D3267C">
      <w:pPr>
        <w:pStyle w:val="BodyText"/>
        <w:rPr>
          <w:color w:val="000000" w:themeColor="text1"/>
          <w:sz w:val="20"/>
        </w:rPr>
      </w:pPr>
      <w:r w:rsidRPr="0098635C">
        <w:rPr>
          <w:color w:val="000000" w:themeColor="text1"/>
          <w:sz w:val="20"/>
        </w:rPr>
        <w:t>European</w:t>
      </w:r>
      <w:r w:rsidR="00206D12" w:rsidRPr="0098635C">
        <w:rPr>
          <w:color w:val="000000" w:themeColor="text1"/>
          <w:sz w:val="20"/>
        </w:rPr>
        <w:t xml:space="preserve"> b</w:t>
      </w:r>
      <w:r w:rsidR="00D3267C" w:rsidRPr="0098635C">
        <w:rPr>
          <w:color w:val="000000" w:themeColor="text1"/>
          <w:sz w:val="20"/>
        </w:rPr>
        <w:t>aseline levels of copper in water, sediment and soil are reported in the EU FOREGS Geochemical Atlas (Forum of European Geological Surveys). Typical background concentration levels in European surface waters range between 0.1 and 14 µg Cu/L, with a 10</w:t>
      </w:r>
      <w:r w:rsidR="00D3267C" w:rsidRPr="0098635C">
        <w:rPr>
          <w:color w:val="000000" w:themeColor="text1"/>
          <w:sz w:val="20"/>
          <w:vertAlign w:val="superscript"/>
        </w:rPr>
        <w:t>th</w:t>
      </w:r>
      <w:r w:rsidR="00D3267C" w:rsidRPr="0098635C">
        <w:rPr>
          <w:color w:val="000000" w:themeColor="text1"/>
          <w:sz w:val="20"/>
        </w:rPr>
        <w:t>-90</w:t>
      </w:r>
      <w:r w:rsidR="00D3267C" w:rsidRPr="0098635C">
        <w:rPr>
          <w:color w:val="000000" w:themeColor="text1"/>
          <w:sz w:val="20"/>
          <w:vertAlign w:val="superscript"/>
        </w:rPr>
        <w:t>th</w:t>
      </w:r>
      <w:r w:rsidR="00D3267C" w:rsidRPr="0098635C">
        <w:rPr>
          <w:color w:val="000000" w:themeColor="text1"/>
          <w:sz w:val="20"/>
        </w:rPr>
        <w:t xml:space="preserve"> percentile range of 0.23-2.45 µg Cu/L. The median value of 0.88 µg Cu/L is in line with the dissolved copper background level around Europe of 0.8 µg Cu/L that was reported by Zuurdeeg (2002). </w:t>
      </w:r>
      <w:r w:rsidR="00F061C3" w:rsidRPr="0098635C">
        <w:rPr>
          <w:color w:val="000000" w:themeColor="text1"/>
          <w:sz w:val="20"/>
        </w:rPr>
        <w:t>For the OSPAR regions, dissolved background copper levels, estimated from off shore samples, range between 0.050 and 0.360 µg/L (OSPAR</w:t>
      </w:r>
      <w:r w:rsidRPr="0098635C">
        <w:rPr>
          <w:color w:val="000000" w:themeColor="text1"/>
          <w:sz w:val="20"/>
        </w:rPr>
        <w:t>, 2001</w:t>
      </w:r>
      <w:r w:rsidR="00F061C3" w:rsidRPr="0098635C">
        <w:rPr>
          <w:color w:val="000000" w:themeColor="text1"/>
          <w:sz w:val="20"/>
        </w:rPr>
        <w:t xml:space="preserve">). </w:t>
      </w:r>
      <w:r w:rsidR="00D3267C" w:rsidRPr="0098635C">
        <w:rPr>
          <w:color w:val="000000" w:themeColor="text1"/>
          <w:sz w:val="20"/>
        </w:rPr>
        <w:t>For freshwater sediment, ambient baseline levels for copper range between 1.0 and 998 mg Cu/kg</w:t>
      </w:r>
      <w:r w:rsidR="00D3267C" w:rsidRPr="0098635C">
        <w:rPr>
          <w:color w:val="000000" w:themeColor="text1"/>
          <w:sz w:val="20"/>
          <w:vertAlign w:val="subscript"/>
        </w:rPr>
        <w:t>dw</w:t>
      </w:r>
      <w:r w:rsidR="00D3267C" w:rsidRPr="0098635C">
        <w:rPr>
          <w:color w:val="000000" w:themeColor="text1"/>
          <w:sz w:val="20"/>
        </w:rPr>
        <w:t>, with a 10</w:t>
      </w:r>
      <w:r w:rsidR="00D3267C" w:rsidRPr="0098635C">
        <w:rPr>
          <w:color w:val="000000" w:themeColor="text1"/>
          <w:sz w:val="20"/>
          <w:vertAlign w:val="superscript"/>
        </w:rPr>
        <w:t>th</w:t>
      </w:r>
      <w:r w:rsidR="00D3267C" w:rsidRPr="0098635C">
        <w:rPr>
          <w:color w:val="000000" w:themeColor="text1"/>
          <w:sz w:val="20"/>
        </w:rPr>
        <w:t>/90</w:t>
      </w:r>
      <w:r w:rsidR="00D3267C" w:rsidRPr="0098635C">
        <w:rPr>
          <w:color w:val="000000" w:themeColor="text1"/>
          <w:sz w:val="20"/>
          <w:vertAlign w:val="superscript"/>
        </w:rPr>
        <w:t>th</w:t>
      </w:r>
      <w:r w:rsidR="00D3267C" w:rsidRPr="0098635C">
        <w:rPr>
          <w:color w:val="000000" w:themeColor="text1"/>
          <w:sz w:val="20"/>
        </w:rPr>
        <w:t xml:space="preserve"> percentile of 4 and 44 mg/kg</w:t>
      </w:r>
      <w:r w:rsidR="00D3267C" w:rsidRPr="0098635C">
        <w:rPr>
          <w:color w:val="000000" w:themeColor="text1"/>
          <w:sz w:val="20"/>
          <w:vertAlign w:val="subscript"/>
        </w:rPr>
        <w:t>dw</w:t>
      </w:r>
      <w:r w:rsidR="00D3267C" w:rsidRPr="0098635C">
        <w:rPr>
          <w:color w:val="000000" w:themeColor="text1"/>
          <w:sz w:val="20"/>
        </w:rPr>
        <w:t xml:space="preserve"> and a 50</w:t>
      </w:r>
      <w:r w:rsidR="00D3267C" w:rsidRPr="0098635C">
        <w:rPr>
          <w:color w:val="000000" w:themeColor="text1"/>
          <w:sz w:val="20"/>
          <w:vertAlign w:val="superscript"/>
        </w:rPr>
        <w:t>th</w:t>
      </w:r>
      <w:r w:rsidR="00D3267C" w:rsidRPr="0098635C">
        <w:rPr>
          <w:color w:val="000000" w:themeColor="text1"/>
          <w:sz w:val="20"/>
        </w:rPr>
        <w:t xml:space="preserve"> percentile of 14 mg Cu/kg</w:t>
      </w:r>
      <w:r w:rsidR="00D3267C" w:rsidRPr="0098635C">
        <w:rPr>
          <w:color w:val="000000" w:themeColor="text1"/>
          <w:sz w:val="20"/>
          <w:vertAlign w:val="subscript"/>
        </w:rPr>
        <w:t>dw</w:t>
      </w:r>
      <w:r w:rsidR="00D3267C" w:rsidRPr="0098635C">
        <w:rPr>
          <w:color w:val="000000" w:themeColor="text1"/>
          <w:sz w:val="20"/>
        </w:rPr>
        <w:t>, respectively. Soil baseline levels for copper in FOREGS are situated between 3 and 33 mg Cu/kg</w:t>
      </w:r>
      <w:r w:rsidR="00D3267C" w:rsidRPr="0098635C">
        <w:rPr>
          <w:color w:val="000000" w:themeColor="text1"/>
          <w:sz w:val="20"/>
          <w:vertAlign w:val="subscript"/>
        </w:rPr>
        <w:t>dw</w:t>
      </w:r>
      <w:r w:rsidR="00D3267C" w:rsidRPr="0098635C">
        <w:rPr>
          <w:color w:val="000000" w:themeColor="text1"/>
          <w:sz w:val="20"/>
        </w:rPr>
        <w:t xml:space="preserve"> (10</w:t>
      </w:r>
      <w:r w:rsidR="00D3267C" w:rsidRPr="0098635C">
        <w:rPr>
          <w:color w:val="000000" w:themeColor="text1"/>
          <w:sz w:val="20"/>
          <w:vertAlign w:val="superscript"/>
        </w:rPr>
        <w:t>th</w:t>
      </w:r>
      <w:r w:rsidR="00D3267C" w:rsidRPr="0098635C">
        <w:rPr>
          <w:color w:val="000000" w:themeColor="text1"/>
          <w:sz w:val="20"/>
        </w:rPr>
        <w:t xml:space="preserve"> and 90</w:t>
      </w:r>
      <w:r w:rsidR="00D3267C" w:rsidRPr="0098635C">
        <w:rPr>
          <w:color w:val="000000" w:themeColor="text1"/>
          <w:sz w:val="20"/>
          <w:vertAlign w:val="superscript"/>
        </w:rPr>
        <w:t>th</w:t>
      </w:r>
      <w:r w:rsidR="00D3267C" w:rsidRPr="0098635C">
        <w:rPr>
          <w:color w:val="000000" w:themeColor="text1"/>
          <w:sz w:val="20"/>
        </w:rPr>
        <w:t xml:space="preserve"> percentile, respectively), with a 50</w:t>
      </w:r>
      <w:r w:rsidR="00D3267C" w:rsidRPr="0098635C">
        <w:rPr>
          <w:color w:val="000000" w:themeColor="text1"/>
          <w:sz w:val="20"/>
          <w:vertAlign w:val="superscript"/>
        </w:rPr>
        <w:t>th</w:t>
      </w:r>
      <w:r w:rsidR="00D3267C" w:rsidRPr="0098635C">
        <w:rPr>
          <w:color w:val="000000" w:themeColor="text1"/>
          <w:sz w:val="20"/>
        </w:rPr>
        <w:t xml:space="preserve"> percentile of 12 mg Cu/kg</w:t>
      </w:r>
      <w:r w:rsidR="00D3267C" w:rsidRPr="0098635C">
        <w:rPr>
          <w:color w:val="000000" w:themeColor="text1"/>
          <w:sz w:val="20"/>
          <w:vertAlign w:val="subscript"/>
        </w:rPr>
        <w:t>wd</w:t>
      </w:r>
      <w:r w:rsidR="00D3267C" w:rsidRPr="0098635C">
        <w:rPr>
          <w:color w:val="000000" w:themeColor="text1"/>
          <w:sz w:val="20"/>
        </w:rPr>
        <w:t>. The EU Geological maps for Soils (Reimann et al., 2014</w:t>
      </w:r>
      <w:r w:rsidR="00CA444B" w:rsidRPr="0098635C">
        <w:rPr>
          <w:color w:val="000000" w:themeColor="text1"/>
          <w:sz w:val="20"/>
        </w:rPr>
        <w:t>a,b</w:t>
      </w:r>
      <w:r w:rsidRPr="0098635C">
        <w:rPr>
          <w:color w:val="000000" w:themeColor="text1"/>
          <w:sz w:val="20"/>
        </w:rPr>
        <w:t>) reported</w:t>
      </w:r>
      <w:r w:rsidR="00D3267C" w:rsidRPr="0098635C">
        <w:rPr>
          <w:color w:val="000000" w:themeColor="text1"/>
          <w:sz w:val="20"/>
        </w:rPr>
        <w:t xml:space="preserve"> similar </w:t>
      </w:r>
      <w:r w:rsidR="00DA55FF" w:rsidRPr="0098635C">
        <w:rPr>
          <w:color w:val="000000" w:themeColor="text1"/>
          <w:sz w:val="20"/>
        </w:rPr>
        <w:t xml:space="preserve">copper </w:t>
      </w:r>
      <w:r w:rsidRPr="0098635C">
        <w:rPr>
          <w:color w:val="000000" w:themeColor="text1"/>
          <w:sz w:val="20"/>
        </w:rPr>
        <w:t>concentrations:</w:t>
      </w:r>
      <w:r w:rsidR="00DA55FF" w:rsidRPr="0098635C">
        <w:rPr>
          <w:color w:val="000000" w:themeColor="text1"/>
          <w:sz w:val="20"/>
        </w:rPr>
        <w:t xml:space="preserve"> 10</w:t>
      </w:r>
      <w:r w:rsidR="00DA55FF" w:rsidRPr="0098635C">
        <w:rPr>
          <w:color w:val="000000" w:themeColor="text1"/>
          <w:sz w:val="20"/>
          <w:vertAlign w:val="superscript"/>
        </w:rPr>
        <w:t>th</w:t>
      </w:r>
      <w:r w:rsidR="00DA55FF" w:rsidRPr="0098635C">
        <w:rPr>
          <w:color w:val="000000" w:themeColor="text1"/>
          <w:sz w:val="20"/>
        </w:rPr>
        <w:t xml:space="preserve"> and 90</w:t>
      </w:r>
      <w:r w:rsidR="00DA55FF" w:rsidRPr="0098635C">
        <w:rPr>
          <w:color w:val="000000" w:themeColor="text1"/>
          <w:sz w:val="20"/>
          <w:vertAlign w:val="superscript"/>
        </w:rPr>
        <w:t>th</w:t>
      </w:r>
      <w:r w:rsidR="00DA55FF" w:rsidRPr="0098635C">
        <w:rPr>
          <w:color w:val="000000" w:themeColor="text1"/>
          <w:sz w:val="20"/>
        </w:rPr>
        <w:t xml:space="preserve"> percentile of 4 and 38 mg/kg</w:t>
      </w:r>
      <w:r w:rsidR="00DA55FF" w:rsidRPr="0098635C">
        <w:rPr>
          <w:color w:val="000000" w:themeColor="text1"/>
          <w:sz w:val="20"/>
          <w:vertAlign w:val="subscript"/>
        </w:rPr>
        <w:t>dw</w:t>
      </w:r>
      <w:r w:rsidR="00DA55FF" w:rsidRPr="0098635C">
        <w:rPr>
          <w:color w:val="000000" w:themeColor="text1"/>
          <w:sz w:val="20"/>
        </w:rPr>
        <w:t>), with a 50</w:t>
      </w:r>
      <w:r w:rsidR="00DA55FF" w:rsidRPr="0098635C">
        <w:rPr>
          <w:color w:val="000000" w:themeColor="text1"/>
          <w:sz w:val="20"/>
          <w:vertAlign w:val="superscript"/>
        </w:rPr>
        <w:t>th</w:t>
      </w:r>
      <w:r w:rsidR="00DA55FF" w:rsidRPr="0098635C">
        <w:rPr>
          <w:color w:val="000000" w:themeColor="text1"/>
          <w:sz w:val="20"/>
        </w:rPr>
        <w:t xml:space="preserve"> percentile of 13-15 mg Cu/kg</w:t>
      </w:r>
      <w:r w:rsidR="00500352" w:rsidRPr="0098635C">
        <w:rPr>
          <w:color w:val="000000" w:themeColor="text1"/>
          <w:sz w:val="20"/>
          <w:vertAlign w:val="subscript"/>
        </w:rPr>
        <w:t>dw</w:t>
      </w:r>
      <w:r w:rsidR="00DA55FF" w:rsidRPr="0098635C">
        <w:rPr>
          <w:color w:val="000000" w:themeColor="text1"/>
          <w:sz w:val="20"/>
        </w:rPr>
        <w:t xml:space="preserve">.  Similar concentrations were recorded for </w:t>
      </w:r>
      <w:r w:rsidR="00D3267C" w:rsidRPr="0098635C">
        <w:rPr>
          <w:color w:val="000000" w:themeColor="text1"/>
          <w:sz w:val="20"/>
        </w:rPr>
        <w:t>agricultural soils and grazing land (13-</w:t>
      </w:r>
      <w:r w:rsidR="00DA55FF" w:rsidRPr="0098635C">
        <w:rPr>
          <w:color w:val="000000" w:themeColor="text1"/>
          <w:sz w:val="20"/>
        </w:rPr>
        <w:t>15</w:t>
      </w:r>
      <w:r w:rsidR="00D3267C" w:rsidRPr="0098635C">
        <w:rPr>
          <w:color w:val="000000" w:themeColor="text1"/>
          <w:sz w:val="20"/>
        </w:rPr>
        <w:t xml:space="preserve"> mg/kg in both)</w:t>
      </w:r>
      <w:r w:rsidR="00DA55FF" w:rsidRPr="0098635C">
        <w:rPr>
          <w:color w:val="000000" w:themeColor="text1"/>
          <w:sz w:val="20"/>
        </w:rPr>
        <w:t xml:space="preserve">. </w:t>
      </w:r>
      <w:r w:rsidR="00D3267C" w:rsidRPr="0098635C">
        <w:rPr>
          <w:color w:val="000000" w:themeColor="text1"/>
          <w:sz w:val="20"/>
        </w:rPr>
        <w:t xml:space="preserve"> </w:t>
      </w:r>
      <w:r w:rsidR="00DA55FF" w:rsidRPr="0098635C">
        <w:rPr>
          <w:color w:val="000000" w:themeColor="text1"/>
          <w:sz w:val="20"/>
        </w:rPr>
        <w:t>C</w:t>
      </w:r>
      <w:r w:rsidR="00D3267C" w:rsidRPr="0098635C">
        <w:rPr>
          <w:color w:val="000000" w:themeColor="text1"/>
          <w:sz w:val="20"/>
        </w:rPr>
        <w:t xml:space="preserve">onsiderable concentration differences </w:t>
      </w:r>
      <w:r w:rsidR="00DA55FF" w:rsidRPr="0098635C">
        <w:rPr>
          <w:color w:val="000000" w:themeColor="text1"/>
          <w:sz w:val="20"/>
        </w:rPr>
        <w:t xml:space="preserve">were noted </w:t>
      </w:r>
      <w:r w:rsidR="00D3267C" w:rsidRPr="0098635C">
        <w:rPr>
          <w:color w:val="000000" w:themeColor="text1"/>
          <w:sz w:val="20"/>
        </w:rPr>
        <w:t>between northern (median of 9.4 mg/kg) and southern Europe (median of 19 mg/kg).</w:t>
      </w:r>
      <w:r w:rsidR="00DA55FF" w:rsidRPr="0098635C">
        <w:rPr>
          <w:color w:val="000000" w:themeColor="text1"/>
          <w:sz w:val="20"/>
        </w:rPr>
        <w:t xml:space="preserve"> </w:t>
      </w:r>
    </w:p>
    <w:p w14:paraId="7183CC3F" w14:textId="2F3E4632" w:rsidR="00304A94" w:rsidRPr="0098635C" w:rsidRDefault="007C7E94" w:rsidP="007C7E94">
      <w:pPr>
        <w:pStyle w:val="BodyText"/>
        <w:spacing w:after="0"/>
        <w:ind w:right="215"/>
        <w:rPr>
          <w:color w:val="000000" w:themeColor="text1"/>
          <w:sz w:val="20"/>
        </w:rPr>
      </w:pPr>
      <w:r w:rsidRPr="0098635C">
        <w:rPr>
          <w:color w:val="000000" w:themeColor="text1"/>
          <w:sz w:val="20"/>
        </w:rPr>
        <w:t>Most i</w:t>
      </w:r>
      <w:r w:rsidR="0045039C" w:rsidRPr="0098635C">
        <w:rPr>
          <w:color w:val="000000" w:themeColor="text1"/>
          <w:sz w:val="20"/>
        </w:rPr>
        <w:t xml:space="preserve">mportant </w:t>
      </w:r>
      <w:r w:rsidR="004D5121" w:rsidRPr="0098635C">
        <w:rPr>
          <w:color w:val="000000" w:themeColor="text1"/>
          <w:sz w:val="20"/>
        </w:rPr>
        <w:t>use-</w:t>
      </w:r>
      <w:r w:rsidR="00666B11" w:rsidRPr="0098635C">
        <w:rPr>
          <w:color w:val="000000" w:themeColor="text1"/>
          <w:sz w:val="20"/>
        </w:rPr>
        <w:t xml:space="preserve">related </w:t>
      </w:r>
      <w:r w:rsidR="0045039C" w:rsidRPr="0098635C">
        <w:rPr>
          <w:color w:val="000000" w:themeColor="text1"/>
          <w:sz w:val="20"/>
        </w:rPr>
        <w:t>copper releases are agricultural uses (</w:t>
      </w:r>
      <w:r w:rsidRPr="0098635C">
        <w:rPr>
          <w:color w:val="000000" w:themeColor="text1"/>
          <w:sz w:val="20"/>
        </w:rPr>
        <w:t xml:space="preserve">copper sulphate added as </w:t>
      </w:r>
      <w:r w:rsidR="0045039C" w:rsidRPr="0098635C">
        <w:rPr>
          <w:color w:val="000000" w:themeColor="text1"/>
          <w:sz w:val="20"/>
        </w:rPr>
        <w:t>feed additives and fertilizers, 39% of total EU emiss</w:t>
      </w:r>
      <w:r w:rsidR="004D6539" w:rsidRPr="0098635C">
        <w:rPr>
          <w:color w:val="000000" w:themeColor="text1"/>
          <w:sz w:val="20"/>
        </w:rPr>
        <w:t>i</w:t>
      </w:r>
      <w:r w:rsidR="0045039C" w:rsidRPr="0098635C">
        <w:rPr>
          <w:color w:val="000000" w:themeColor="text1"/>
          <w:sz w:val="20"/>
        </w:rPr>
        <w:t xml:space="preserve">ons) and traffic (mainly </w:t>
      </w:r>
      <w:r w:rsidRPr="0098635C">
        <w:rPr>
          <w:color w:val="000000" w:themeColor="text1"/>
          <w:sz w:val="20"/>
        </w:rPr>
        <w:t xml:space="preserve">from copper powder uses in </w:t>
      </w:r>
      <w:r w:rsidR="0045039C" w:rsidRPr="0098635C">
        <w:rPr>
          <w:color w:val="000000" w:themeColor="text1"/>
          <w:sz w:val="20"/>
        </w:rPr>
        <w:t xml:space="preserve">brake pads, 43% of total EU </w:t>
      </w:r>
      <w:r w:rsidR="003E4CD1" w:rsidRPr="0098635C">
        <w:rPr>
          <w:color w:val="000000" w:themeColor="text1"/>
          <w:sz w:val="20"/>
        </w:rPr>
        <w:t>emissions</w:t>
      </w:r>
      <w:r w:rsidR="0045039C" w:rsidRPr="0098635C">
        <w:rPr>
          <w:color w:val="000000" w:themeColor="text1"/>
          <w:sz w:val="20"/>
        </w:rPr>
        <w:t xml:space="preserve">). </w:t>
      </w:r>
      <w:r w:rsidR="0045039C" w:rsidRPr="0098635C">
        <w:rPr>
          <w:color w:val="000000" w:themeColor="text1"/>
          <w:sz w:val="20"/>
          <w:lang w:eastAsia="ja-JP"/>
        </w:rPr>
        <w:t>Massive copper uses (</w:t>
      </w:r>
      <w:r w:rsidR="0045039C" w:rsidRPr="0098635C">
        <w:rPr>
          <w:color w:val="000000" w:themeColor="text1"/>
          <w:sz w:val="20"/>
        </w:rPr>
        <w:t>wear of overhead wires, corrosion of copper tubes, fittings and taps and external building applications (roofs, gutters, down pipes, facades)) contribute to 15% of the total anthropogenic EU emissions. The relative contribution</w:t>
      </w:r>
      <w:r w:rsidR="00392FC6" w:rsidRPr="0098635C">
        <w:rPr>
          <w:color w:val="000000" w:themeColor="text1"/>
          <w:sz w:val="20"/>
        </w:rPr>
        <w:t xml:space="preserve"> </w:t>
      </w:r>
      <w:r w:rsidR="0045039C" w:rsidRPr="0098635C">
        <w:rPr>
          <w:color w:val="000000" w:themeColor="text1"/>
          <w:sz w:val="20"/>
        </w:rPr>
        <w:t xml:space="preserve">from waste incineration plants and landfill facilities is minor (0.4%). Other minor copper </w:t>
      </w:r>
      <w:r w:rsidR="00C36182" w:rsidRPr="0098635C">
        <w:rPr>
          <w:color w:val="000000" w:themeColor="text1"/>
          <w:sz w:val="20"/>
        </w:rPr>
        <w:t>releases, that</w:t>
      </w:r>
      <w:r w:rsidR="0045039C" w:rsidRPr="0098635C">
        <w:rPr>
          <w:color w:val="000000" w:themeColor="text1"/>
          <w:sz w:val="20"/>
        </w:rPr>
        <w:t xml:space="preserve"> have been observed</w:t>
      </w:r>
      <w:r w:rsidR="00C913DC" w:rsidRPr="0098635C">
        <w:rPr>
          <w:color w:val="000000" w:themeColor="text1"/>
          <w:sz w:val="20"/>
        </w:rPr>
        <w:t>,</w:t>
      </w:r>
      <w:r w:rsidR="0045039C" w:rsidRPr="0098635C">
        <w:rPr>
          <w:color w:val="000000" w:themeColor="text1"/>
          <w:sz w:val="20"/>
        </w:rPr>
        <w:t xml:space="preserve"> include, among others, industry releases, domestic and industrial heating, fireworks and domestic wastewaters (excl. corrosion)</w:t>
      </w:r>
      <w:r w:rsidR="003E4CD1" w:rsidRPr="0098635C">
        <w:rPr>
          <w:rStyle w:val="FootnoteReference"/>
          <w:color w:val="000000" w:themeColor="text1"/>
          <w:sz w:val="20"/>
        </w:rPr>
        <w:footnoteReference w:id="14"/>
      </w:r>
      <w:r w:rsidR="0045039C" w:rsidRPr="0098635C">
        <w:rPr>
          <w:color w:val="000000" w:themeColor="text1"/>
          <w:sz w:val="20"/>
        </w:rPr>
        <w:t>.</w:t>
      </w:r>
      <w:r w:rsidR="00500352" w:rsidRPr="0098635C">
        <w:rPr>
          <w:color w:val="000000" w:themeColor="text1"/>
          <w:sz w:val="20"/>
        </w:rPr>
        <w:t xml:space="preserve"> </w:t>
      </w:r>
    </w:p>
    <w:p w14:paraId="683F87B1" w14:textId="77777777" w:rsidR="007C7E94" w:rsidRPr="0098635C" w:rsidRDefault="007C7E94" w:rsidP="007C7E94">
      <w:pPr>
        <w:pStyle w:val="BodyText"/>
        <w:spacing w:after="0"/>
        <w:ind w:right="215"/>
        <w:rPr>
          <w:color w:val="000000" w:themeColor="text1"/>
          <w:sz w:val="20"/>
        </w:rPr>
      </w:pPr>
    </w:p>
    <w:p w14:paraId="68458669" w14:textId="35CC76D8" w:rsidR="00C93B6F" w:rsidRPr="0098635C" w:rsidRDefault="00304A94" w:rsidP="004B52B8">
      <w:pPr>
        <w:pStyle w:val="BodyText"/>
        <w:rPr>
          <w:color w:val="000000" w:themeColor="text1"/>
          <w:sz w:val="20"/>
        </w:rPr>
      </w:pPr>
      <w:r w:rsidRPr="0098635C">
        <w:rPr>
          <w:color w:val="000000" w:themeColor="text1"/>
          <w:sz w:val="20"/>
        </w:rPr>
        <w:t xml:space="preserve">The anthropogenic input of copper and copper compounds to the environmental compartments have been attributed to agricultural </w:t>
      </w:r>
      <w:r w:rsidR="00C36182" w:rsidRPr="0098635C">
        <w:rPr>
          <w:color w:val="000000" w:themeColor="text1"/>
          <w:sz w:val="20"/>
        </w:rPr>
        <w:t>soil:</w:t>
      </w:r>
      <w:r w:rsidRPr="0098635C">
        <w:rPr>
          <w:color w:val="000000" w:themeColor="text1"/>
          <w:sz w:val="20"/>
        </w:rPr>
        <w:t xml:space="preserve"> 38% of total emission; </w:t>
      </w:r>
      <w:r w:rsidR="00C36182" w:rsidRPr="0098635C">
        <w:rPr>
          <w:color w:val="000000" w:themeColor="text1"/>
          <w:sz w:val="20"/>
        </w:rPr>
        <w:t>air:</w:t>
      </w:r>
      <w:r w:rsidRPr="0098635C">
        <w:rPr>
          <w:color w:val="000000" w:themeColor="text1"/>
          <w:sz w:val="20"/>
        </w:rPr>
        <w:t xml:space="preserve"> 31%; surface </w:t>
      </w:r>
      <w:r w:rsidR="00C36182" w:rsidRPr="0098635C">
        <w:rPr>
          <w:color w:val="000000" w:themeColor="text1"/>
          <w:sz w:val="20"/>
        </w:rPr>
        <w:t>water:</w:t>
      </w:r>
      <w:r w:rsidRPr="0098635C">
        <w:rPr>
          <w:color w:val="000000" w:themeColor="text1"/>
          <w:sz w:val="20"/>
        </w:rPr>
        <w:t xml:space="preserve"> 18% and industrial </w:t>
      </w:r>
      <w:r w:rsidR="00C36182" w:rsidRPr="0098635C">
        <w:rPr>
          <w:color w:val="000000" w:themeColor="text1"/>
          <w:sz w:val="20"/>
        </w:rPr>
        <w:t>soils:</w:t>
      </w:r>
      <w:r w:rsidRPr="0098635C">
        <w:rPr>
          <w:color w:val="000000" w:themeColor="text1"/>
          <w:sz w:val="20"/>
        </w:rPr>
        <w:t xml:space="preserve"> 15</w:t>
      </w:r>
      <w:r w:rsidR="00C36182" w:rsidRPr="0098635C">
        <w:rPr>
          <w:color w:val="000000" w:themeColor="text1"/>
          <w:sz w:val="20"/>
        </w:rPr>
        <w:t xml:space="preserve">%. </w:t>
      </w:r>
    </w:p>
    <w:p w14:paraId="4E4266AD" w14:textId="77777777" w:rsidR="004B52B8" w:rsidRPr="0098635C" w:rsidRDefault="004B52B8" w:rsidP="004B52B8">
      <w:pPr>
        <w:pStyle w:val="BodyText"/>
        <w:rPr>
          <w:color w:val="000000" w:themeColor="text1"/>
          <w:sz w:val="20"/>
        </w:rPr>
      </w:pPr>
      <w:r w:rsidRPr="0098635C">
        <w:rPr>
          <w:color w:val="000000" w:themeColor="text1"/>
          <w:sz w:val="20"/>
        </w:rPr>
        <w:t xml:space="preserve">Extensive datasets with ambient </w:t>
      </w:r>
      <w:r w:rsidR="00C71DDA" w:rsidRPr="0098635C">
        <w:rPr>
          <w:color w:val="000000" w:themeColor="text1"/>
          <w:sz w:val="20"/>
        </w:rPr>
        <w:t>Cu</w:t>
      </w:r>
      <w:r w:rsidRPr="0098635C">
        <w:rPr>
          <w:color w:val="000000" w:themeColor="text1"/>
          <w:sz w:val="20"/>
        </w:rPr>
        <w:t xml:space="preserve">-levels in </w:t>
      </w:r>
      <w:r w:rsidR="00C71DDA" w:rsidRPr="0098635C">
        <w:rPr>
          <w:color w:val="000000" w:themeColor="text1"/>
          <w:sz w:val="20"/>
        </w:rPr>
        <w:t xml:space="preserve">the environment </w:t>
      </w:r>
      <w:r w:rsidRPr="0098635C">
        <w:rPr>
          <w:color w:val="000000" w:themeColor="text1"/>
          <w:sz w:val="20"/>
        </w:rPr>
        <w:t>were received from different EU-countries (</w:t>
      </w:r>
      <w:r w:rsidR="00C71DDA" w:rsidRPr="0098635C">
        <w:rPr>
          <w:color w:val="000000" w:themeColor="text1"/>
          <w:sz w:val="20"/>
        </w:rPr>
        <w:t xml:space="preserve">Austria, </w:t>
      </w:r>
      <w:r w:rsidRPr="0098635C">
        <w:rPr>
          <w:color w:val="000000" w:themeColor="text1"/>
          <w:sz w:val="20"/>
        </w:rPr>
        <w:t xml:space="preserve">Belgium, </w:t>
      </w:r>
      <w:r w:rsidR="00C71DDA" w:rsidRPr="0098635C">
        <w:rPr>
          <w:color w:val="000000" w:themeColor="text1"/>
          <w:sz w:val="20"/>
        </w:rPr>
        <w:t xml:space="preserve">Denmark, </w:t>
      </w:r>
      <w:r w:rsidRPr="0098635C">
        <w:rPr>
          <w:color w:val="000000" w:themeColor="text1"/>
          <w:sz w:val="20"/>
        </w:rPr>
        <w:t xml:space="preserve">Finland, </w:t>
      </w:r>
      <w:r w:rsidR="00C71DDA" w:rsidRPr="0098635C">
        <w:rPr>
          <w:color w:val="000000" w:themeColor="text1"/>
          <w:sz w:val="20"/>
        </w:rPr>
        <w:t xml:space="preserve">France, </w:t>
      </w:r>
      <w:r w:rsidRPr="0098635C">
        <w:rPr>
          <w:color w:val="000000" w:themeColor="text1"/>
          <w:sz w:val="20"/>
        </w:rPr>
        <w:t xml:space="preserve">Germany, </w:t>
      </w:r>
      <w:r w:rsidR="00D73204" w:rsidRPr="0098635C">
        <w:rPr>
          <w:color w:val="000000" w:themeColor="text1"/>
          <w:sz w:val="20"/>
        </w:rPr>
        <w:t xml:space="preserve">Ireland, Norway, </w:t>
      </w:r>
      <w:r w:rsidR="00C71DDA" w:rsidRPr="0098635C">
        <w:rPr>
          <w:color w:val="000000" w:themeColor="text1"/>
          <w:sz w:val="20"/>
        </w:rPr>
        <w:t xml:space="preserve">Portugal, </w:t>
      </w:r>
      <w:r w:rsidRPr="0098635C">
        <w:rPr>
          <w:color w:val="000000" w:themeColor="text1"/>
          <w:sz w:val="20"/>
        </w:rPr>
        <w:t xml:space="preserve">The Netherlands, </w:t>
      </w:r>
      <w:r w:rsidR="00C71DDA" w:rsidRPr="0098635C">
        <w:rPr>
          <w:color w:val="000000" w:themeColor="text1"/>
          <w:sz w:val="20"/>
        </w:rPr>
        <w:t xml:space="preserve">Spain, </w:t>
      </w:r>
      <w:r w:rsidRPr="0098635C">
        <w:rPr>
          <w:color w:val="000000" w:themeColor="text1"/>
          <w:sz w:val="20"/>
        </w:rPr>
        <w:t>Sweden, United Kingdom), and country-specific reasonable worst-case (RWC) ambient levels</w:t>
      </w:r>
      <w:r w:rsidR="000F3302" w:rsidRPr="0098635C">
        <w:rPr>
          <w:color w:val="000000" w:themeColor="text1"/>
          <w:sz w:val="20"/>
        </w:rPr>
        <w:t xml:space="preserve"> in freshwater </w:t>
      </w:r>
      <w:r w:rsidRPr="0098635C">
        <w:rPr>
          <w:color w:val="000000" w:themeColor="text1"/>
          <w:sz w:val="20"/>
        </w:rPr>
        <w:t>were situated between 0.</w:t>
      </w:r>
      <w:r w:rsidR="000F3302" w:rsidRPr="0098635C">
        <w:rPr>
          <w:color w:val="000000" w:themeColor="text1"/>
          <w:sz w:val="20"/>
        </w:rPr>
        <w:t>5</w:t>
      </w:r>
      <w:r w:rsidRPr="0098635C">
        <w:rPr>
          <w:color w:val="000000" w:themeColor="text1"/>
          <w:sz w:val="20"/>
        </w:rPr>
        <w:t xml:space="preserve"> and </w:t>
      </w:r>
      <w:r w:rsidR="000F3302" w:rsidRPr="0098635C">
        <w:rPr>
          <w:color w:val="000000" w:themeColor="text1"/>
          <w:sz w:val="20"/>
        </w:rPr>
        <w:t>4</w:t>
      </w:r>
      <w:r w:rsidRPr="0098635C">
        <w:rPr>
          <w:color w:val="000000" w:themeColor="text1"/>
          <w:sz w:val="20"/>
        </w:rPr>
        <w:t>.</w:t>
      </w:r>
      <w:r w:rsidR="000F3302" w:rsidRPr="0098635C">
        <w:rPr>
          <w:color w:val="000000" w:themeColor="text1"/>
          <w:sz w:val="20"/>
        </w:rPr>
        <w:t>7</w:t>
      </w:r>
      <w:r w:rsidRPr="0098635C">
        <w:rPr>
          <w:color w:val="000000" w:themeColor="text1"/>
          <w:sz w:val="20"/>
        </w:rPr>
        <w:t xml:space="preserve"> µg </w:t>
      </w:r>
      <w:r w:rsidR="000F3302" w:rsidRPr="0098635C">
        <w:rPr>
          <w:color w:val="000000" w:themeColor="text1"/>
          <w:sz w:val="20"/>
        </w:rPr>
        <w:t>Cu</w:t>
      </w:r>
      <w:r w:rsidRPr="0098635C">
        <w:rPr>
          <w:color w:val="000000" w:themeColor="text1"/>
          <w:sz w:val="20"/>
        </w:rPr>
        <w:t>/L (typical EU-value: 2.</w:t>
      </w:r>
      <w:r w:rsidR="000F3302" w:rsidRPr="0098635C">
        <w:rPr>
          <w:color w:val="000000" w:themeColor="text1"/>
          <w:sz w:val="20"/>
        </w:rPr>
        <w:t>9</w:t>
      </w:r>
      <w:r w:rsidRPr="0098635C">
        <w:rPr>
          <w:color w:val="000000" w:themeColor="text1"/>
          <w:sz w:val="20"/>
        </w:rPr>
        <w:t xml:space="preserve"> µg </w:t>
      </w:r>
      <w:r w:rsidR="000F3302" w:rsidRPr="0098635C">
        <w:rPr>
          <w:color w:val="000000" w:themeColor="text1"/>
          <w:sz w:val="20"/>
        </w:rPr>
        <w:t>Cu</w:t>
      </w:r>
      <w:r w:rsidRPr="0098635C">
        <w:rPr>
          <w:color w:val="000000" w:themeColor="text1"/>
          <w:sz w:val="20"/>
        </w:rPr>
        <w:t>/L). The RWC ambient level represents the 90</w:t>
      </w:r>
      <w:r w:rsidRPr="0098635C">
        <w:rPr>
          <w:color w:val="000000" w:themeColor="text1"/>
          <w:sz w:val="20"/>
          <w:vertAlign w:val="superscript"/>
        </w:rPr>
        <w:t>th</w:t>
      </w:r>
      <w:r w:rsidRPr="0098635C">
        <w:rPr>
          <w:color w:val="000000" w:themeColor="text1"/>
          <w:sz w:val="20"/>
        </w:rPr>
        <w:t xml:space="preserve"> percentiles of ambient waters that are not directly affected by point source contamination (diffuse sources only). </w:t>
      </w:r>
      <w:r w:rsidR="000F3302" w:rsidRPr="0098635C">
        <w:rPr>
          <w:color w:val="000000" w:themeColor="text1"/>
          <w:sz w:val="20"/>
        </w:rPr>
        <w:t>Similar data were derived for other environmental compartments: 1.1 µg Cu/L (min-max: 0.8-2.7) for coastal waters, 67 mg Cu/kg</w:t>
      </w:r>
      <w:r w:rsidR="000F3302" w:rsidRPr="0098635C">
        <w:rPr>
          <w:color w:val="000000" w:themeColor="text1"/>
          <w:sz w:val="20"/>
          <w:vertAlign w:val="subscript"/>
        </w:rPr>
        <w:t>dw</w:t>
      </w:r>
      <w:r w:rsidR="000F3302" w:rsidRPr="0098635C">
        <w:rPr>
          <w:color w:val="000000" w:themeColor="text1"/>
          <w:sz w:val="20"/>
        </w:rPr>
        <w:t xml:space="preserve"> (min-max: 46-88) for river and lake freshwater sediment, 16.1 mg Cu/kg</w:t>
      </w:r>
      <w:r w:rsidR="000F3302" w:rsidRPr="0098635C">
        <w:rPr>
          <w:color w:val="000000" w:themeColor="text1"/>
          <w:sz w:val="20"/>
          <w:vertAlign w:val="subscript"/>
        </w:rPr>
        <w:t>dw</w:t>
      </w:r>
      <w:r w:rsidR="000F3302" w:rsidRPr="0098635C">
        <w:rPr>
          <w:color w:val="000000" w:themeColor="text1"/>
          <w:sz w:val="20"/>
        </w:rPr>
        <w:t xml:space="preserve"> (min-max: 4-55) for coastal sediment, 24.4 mg Cu/kg</w:t>
      </w:r>
      <w:r w:rsidR="000F3302" w:rsidRPr="0098635C">
        <w:rPr>
          <w:color w:val="000000" w:themeColor="text1"/>
          <w:sz w:val="20"/>
          <w:vertAlign w:val="subscript"/>
        </w:rPr>
        <w:t>dw</w:t>
      </w:r>
      <w:r w:rsidR="000F3302" w:rsidRPr="0098635C">
        <w:rPr>
          <w:color w:val="000000" w:themeColor="text1"/>
          <w:sz w:val="20"/>
        </w:rPr>
        <w:t xml:space="preserve"> (min-max: 7-40) for forest soils, 32.8 mg Cu/kg</w:t>
      </w:r>
      <w:r w:rsidR="000F3302" w:rsidRPr="0098635C">
        <w:rPr>
          <w:color w:val="000000" w:themeColor="text1"/>
          <w:sz w:val="20"/>
          <w:vertAlign w:val="subscript"/>
        </w:rPr>
        <w:t>dw</w:t>
      </w:r>
      <w:r w:rsidR="000F3302" w:rsidRPr="0098635C">
        <w:rPr>
          <w:color w:val="000000" w:themeColor="text1"/>
          <w:sz w:val="20"/>
        </w:rPr>
        <w:t xml:space="preserve"> (min-max: 28-44) for grassland soils, and 31.2 mg Cu/kg</w:t>
      </w:r>
      <w:r w:rsidR="000F3302" w:rsidRPr="0098635C">
        <w:rPr>
          <w:color w:val="000000" w:themeColor="text1"/>
          <w:sz w:val="20"/>
          <w:vertAlign w:val="subscript"/>
        </w:rPr>
        <w:t>dw</w:t>
      </w:r>
      <w:r w:rsidR="000F3302" w:rsidRPr="0098635C">
        <w:rPr>
          <w:color w:val="000000" w:themeColor="text1"/>
          <w:sz w:val="20"/>
        </w:rPr>
        <w:t xml:space="preserve"> (min-max: 16-58) for agricultural soils. </w:t>
      </w:r>
    </w:p>
    <w:p w14:paraId="6469D057" w14:textId="7650F2B2" w:rsidR="00B05271" w:rsidRPr="0098635C" w:rsidRDefault="00A22066">
      <w:pPr>
        <w:pStyle w:val="Heading3"/>
        <w:rPr>
          <w:color w:val="000000" w:themeColor="text1"/>
          <w:sz w:val="20"/>
        </w:rPr>
      </w:pPr>
      <w:bookmarkStart w:id="93" w:name="_Toc32726018"/>
      <w:bookmarkStart w:id="94" w:name="_Toc32727201"/>
      <w:bookmarkStart w:id="95" w:name="_Toc43868649"/>
      <w:bookmarkStart w:id="96" w:name="_Toc200358237"/>
      <w:bookmarkStart w:id="97" w:name="_Toc200359253"/>
      <w:bookmarkStart w:id="98" w:name="_Toc471999244"/>
      <w:bookmarkStart w:id="99" w:name="_Toc472250856"/>
      <w:r w:rsidRPr="0098635C">
        <w:rPr>
          <w:color w:val="000000" w:themeColor="text1"/>
          <w:sz w:val="20"/>
        </w:rPr>
        <w:lastRenderedPageBreak/>
        <w:t>D</w:t>
      </w:r>
      <w:r w:rsidR="00B05271" w:rsidRPr="0098635C">
        <w:rPr>
          <w:color w:val="000000" w:themeColor="text1"/>
          <w:sz w:val="20"/>
        </w:rPr>
        <w:t>egradation</w:t>
      </w:r>
      <w:bookmarkEnd w:id="93"/>
      <w:bookmarkEnd w:id="94"/>
      <w:bookmarkEnd w:id="95"/>
      <w:bookmarkEnd w:id="96"/>
      <w:bookmarkEnd w:id="97"/>
      <w:bookmarkEnd w:id="98"/>
      <w:bookmarkEnd w:id="99"/>
      <w:r w:rsidR="000D56F7" w:rsidRPr="0098635C">
        <w:rPr>
          <w:color w:val="000000" w:themeColor="text1"/>
          <w:sz w:val="20"/>
        </w:rPr>
        <w:t xml:space="preserve"> and stability in water</w:t>
      </w:r>
    </w:p>
    <w:p w14:paraId="01CBFF99" w14:textId="4D82651F" w:rsidR="00FA7E7A" w:rsidRPr="0098635C" w:rsidRDefault="00FA7E7A" w:rsidP="00907799">
      <w:pPr>
        <w:pStyle w:val="BodyText"/>
        <w:rPr>
          <w:color w:val="000000" w:themeColor="text1"/>
          <w:sz w:val="20"/>
        </w:rPr>
      </w:pPr>
      <w:r w:rsidRPr="0098635C">
        <w:rPr>
          <w:color w:val="000000" w:themeColor="text1"/>
          <w:sz w:val="20"/>
        </w:rPr>
        <w:t xml:space="preserve">In traditional terms, degradation (i.e., hydro-, photo-, and biodegradation) are not applicable to the inorganic Cu compounds which are assessed in this report. </w:t>
      </w:r>
    </w:p>
    <w:p w14:paraId="3E61639C" w14:textId="687755A6" w:rsidR="00CE7A43" w:rsidRPr="0098635C" w:rsidRDefault="00FA7E7A" w:rsidP="00907799">
      <w:pPr>
        <w:pStyle w:val="BodyText"/>
        <w:rPr>
          <w:color w:val="000000" w:themeColor="text1"/>
          <w:sz w:val="20"/>
        </w:rPr>
      </w:pPr>
      <w:r w:rsidRPr="0098635C">
        <w:rPr>
          <w:color w:val="000000" w:themeColor="text1"/>
          <w:sz w:val="20"/>
        </w:rPr>
        <w:t>C</w:t>
      </w:r>
      <w:r w:rsidR="00C7466C" w:rsidRPr="0098635C">
        <w:rPr>
          <w:color w:val="000000" w:themeColor="text1"/>
          <w:sz w:val="20"/>
        </w:rPr>
        <w:t xml:space="preserve">opper metal and inorganic copper compounds are not subject to degradation by hydrolysis. The soluble substances in this category will dissociate upon dissolution, and the less soluble category member will release copper ions in aqueous environments over time at rates dependent on both their properties and the characteristics of the receiving environment. </w:t>
      </w:r>
    </w:p>
    <w:p w14:paraId="1CDCF723" w14:textId="4868F0AC" w:rsidR="00907799" w:rsidRPr="0098635C" w:rsidRDefault="00907799" w:rsidP="00907799">
      <w:pPr>
        <w:pStyle w:val="BodyText"/>
        <w:rPr>
          <w:color w:val="000000" w:themeColor="text1"/>
          <w:sz w:val="20"/>
        </w:rPr>
      </w:pPr>
      <w:r w:rsidRPr="0098635C">
        <w:rPr>
          <w:color w:val="000000" w:themeColor="text1"/>
          <w:sz w:val="20"/>
        </w:rPr>
        <w:t>Once released to the environment, copper ions have more than one oxidation state and copper is thus characterized as transition metal. The principal ionic forms are cuprous (Cu(I), Cu</w:t>
      </w:r>
      <w:r w:rsidRPr="0098635C">
        <w:rPr>
          <w:color w:val="000000" w:themeColor="text1"/>
          <w:sz w:val="20"/>
          <w:vertAlign w:val="superscript"/>
        </w:rPr>
        <w:t>+</w:t>
      </w:r>
      <w:r w:rsidRPr="0098635C">
        <w:rPr>
          <w:color w:val="000000" w:themeColor="text1"/>
          <w:sz w:val="20"/>
        </w:rPr>
        <w:t>) and cupric (Cu(II), Cu</w:t>
      </w:r>
      <w:r w:rsidRPr="0098635C">
        <w:rPr>
          <w:color w:val="000000" w:themeColor="text1"/>
          <w:sz w:val="20"/>
          <w:vertAlign w:val="superscript"/>
        </w:rPr>
        <w:t>2+</w:t>
      </w:r>
      <w:r w:rsidRPr="0098635C">
        <w:rPr>
          <w:color w:val="000000" w:themeColor="text1"/>
          <w:sz w:val="20"/>
        </w:rPr>
        <w:t>). The trivalent form (Cu(III), Cu</w:t>
      </w:r>
      <w:r w:rsidRPr="0098635C">
        <w:rPr>
          <w:color w:val="000000" w:themeColor="text1"/>
          <w:sz w:val="20"/>
          <w:vertAlign w:val="superscript"/>
        </w:rPr>
        <w:t>3+</w:t>
      </w:r>
      <w:r w:rsidRPr="0098635C">
        <w:rPr>
          <w:color w:val="000000" w:themeColor="text1"/>
          <w:sz w:val="20"/>
        </w:rPr>
        <w:t>) occurs but is relatively unimportant in physical and biological systems. Cu</w:t>
      </w:r>
      <w:r w:rsidRPr="0098635C">
        <w:rPr>
          <w:color w:val="000000" w:themeColor="text1"/>
          <w:sz w:val="20"/>
          <w:vertAlign w:val="superscript"/>
        </w:rPr>
        <w:t>+</w:t>
      </w:r>
      <w:r w:rsidRPr="0098635C">
        <w:rPr>
          <w:color w:val="000000" w:themeColor="text1"/>
          <w:sz w:val="20"/>
        </w:rPr>
        <w:t xml:space="preserve"> is unstable in aqueous media and soluble</w:t>
      </w:r>
      <w:r w:rsidR="00510C95" w:rsidRPr="0098635C">
        <w:rPr>
          <w:color w:val="000000" w:themeColor="text1"/>
          <w:sz w:val="20"/>
        </w:rPr>
        <w:t xml:space="preserve"> Cu</w:t>
      </w:r>
      <w:r w:rsidR="00510C95" w:rsidRPr="0098635C">
        <w:rPr>
          <w:color w:val="000000" w:themeColor="text1"/>
          <w:sz w:val="20"/>
          <w:vertAlign w:val="superscript"/>
        </w:rPr>
        <w:t>1+</w:t>
      </w:r>
      <w:r w:rsidR="00510C95" w:rsidRPr="0098635C">
        <w:rPr>
          <w:color w:val="000000" w:themeColor="text1"/>
          <w:sz w:val="20"/>
        </w:rPr>
        <w:t xml:space="preserve"> ions readily transform to Cu</w:t>
      </w:r>
      <w:r w:rsidR="00510C95" w:rsidRPr="0098635C">
        <w:rPr>
          <w:color w:val="000000" w:themeColor="text1"/>
          <w:sz w:val="20"/>
          <w:vertAlign w:val="superscript"/>
        </w:rPr>
        <w:t>2+</w:t>
      </w:r>
      <w:r w:rsidR="00510C95" w:rsidRPr="0098635C">
        <w:rPr>
          <w:color w:val="000000" w:themeColor="text1"/>
          <w:sz w:val="20"/>
        </w:rPr>
        <w:t xml:space="preserve"> ions</w:t>
      </w:r>
      <w:r w:rsidRPr="0098635C">
        <w:rPr>
          <w:color w:val="000000" w:themeColor="text1"/>
          <w:sz w:val="20"/>
        </w:rPr>
        <w:t>. This transformation of Cu</w:t>
      </w:r>
      <w:r w:rsidRPr="0098635C">
        <w:rPr>
          <w:color w:val="000000" w:themeColor="text1"/>
          <w:sz w:val="20"/>
          <w:vertAlign w:val="superscript"/>
        </w:rPr>
        <w:t>+</w:t>
      </w:r>
      <w:r w:rsidRPr="0098635C">
        <w:rPr>
          <w:color w:val="000000" w:themeColor="text1"/>
          <w:sz w:val="20"/>
        </w:rPr>
        <w:t xml:space="preserve"> to Cu</w:t>
      </w:r>
      <w:r w:rsidRPr="0098635C">
        <w:rPr>
          <w:color w:val="000000" w:themeColor="text1"/>
          <w:sz w:val="20"/>
          <w:vertAlign w:val="superscript"/>
        </w:rPr>
        <w:t>2+</w:t>
      </w:r>
      <w:r w:rsidRPr="0098635C">
        <w:rPr>
          <w:color w:val="000000" w:themeColor="text1"/>
          <w:sz w:val="20"/>
        </w:rPr>
        <w:t xml:space="preserve"> is a result of a redox reaction initiated through atmospheric water vapour as well as in aqueous solution. However, monovalent copper cations are only susceptible to such transformation when they are not chemically bound in insoluble compounds or stabilised in complexed forms. </w:t>
      </w:r>
    </w:p>
    <w:p w14:paraId="6401B31C" w14:textId="77777777" w:rsidR="00907799" w:rsidRPr="0098635C" w:rsidRDefault="00907799" w:rsidP="00907799">
      <w:pPr>
        <w:pStyle w:val="BodyText"/>
        <w:rPr>
          <w:color w:val="000000" w:themeColor="text1"/>
          <w:sz w:val="20"/>
        </w:rPr>
      </w:pPr>
      <w:r w:rsidRPr="0098635C">
        <w:rPr>
          <w:color w:val="000000" w:themeColor="text1"/>
          <w:sz w:val="20"/>
        </w:rPr>
        <w:t>Cu (II) is thus the most environmental relevant species. It is further recognised that Cu (II) ions - commonly named free cupric ions- are the most active copper species and that total Cu or Cu(II) concentrations are usually not directly related to ecological effects since exposure of biota may be limited by processes that render Cu unavailable for uptake (ICPS, 1998).</w:t>
      </w:r>
    </w:p>
    <w:p w14:paraId="30411842" w14:textId="77777777" w:rsidR="00B05271" w:rsidRPr="0098635C" w:rsidRDefault="00B05271">
      <w:pPr>
        <w:pStyle w:val="Heading3"/>
        <w:rPr>
          <w:color w:val="000000" w:themeColor="text1"/>
          <w:sz w:val="20"/>
        </w:rPr>
      </w:pPr>
      <w:bookmarkStart w:id="100" w:name="_Toc32726020"/>
      <w:bookmarkStart w:id="101" w:name="_Toc32727203"/>
      <w:bookmarkStart w:id="102" w:name="_Toc43868651"/>
      <w:bookmarkStart w:id="103" w:name="_Toc200358239"/>
      <w:bookmarkStart w:id="104" w:name="_Toc200359255"/>
      <w:bookmarkStart w:id="105" w:name="_Toc471999247"/>
      <w:bookmarkStart w:id="106" w:name="_Toc472250857"/>
      <w:r w:rsidRPr="0098635C">
        <w:rPr>
          <w:color w:val="000000" w:themeColor="text1"/>
          <w:sz w:val="20"/>
        </w:rPr>
        <w:t>Transport between Environmental Compartments</w:t>
      </w:r>
      <w:bookmarkEnd w:id="100"/>
      <w:bookmarkEnd w:id="101"/>
      <w:bookmarkEnd w:id="102"/>
      <w:bookmarkEnd w:id="103"/>
      <w:bookmarkEnd w:id="104"/>
      <w:bookmarkEnd w:id="105"/>
      <w:bookmarkEnd w:id="106"/>
    </w:p>
    <w:p w14:paraId="4C4C62B5" w14:textId="1781514F" w:rsidR="00907799" w:rsidRPr="0098635C" w:rsidRDefault="00907799" w:rsidP="00907799">
      <w:pPr>
        <w:pStyle w:val="BodyText"/>
        <w:rPr>
          <w:color w:val="000000" w:themeColor="text1"/>
          <w:sz w:val="20"/>
        </w:rPr>
      </w:pPr>
      <w:r w:rsidRPr="0098635C">
        <w:rPr>
          <w:color w:val="000000" w:themeColor="text1"/>
          <w:sz w:val="20"/>
        </w:rPr>
        <w:t>Transport and distribution of naturally-occurring elements such as copper over the different environmental compartments are determined by their solubility, their speciation, and their binding affinities to organic matter</w:t>
      </w:r>
      <w:r w:rsidR="00206D12" w:rsidRPr="0098635C">
        <w:rPr>
          <w:color w:val="000000" w:themeColor="text1"/>
          <w:sz w:val="20"/>
        </w:rPr>
        <w:t>, sulphides</w:t>
      </w:r>
      <w:r w:rsidRPr="0098635C">
        <w:rPr>
          <w:color w:val="000000" w:themeColor="text1"/>
          <w:sz w:val="20"/>
        </w:rPr>
        <w:t xml:space="preserve"> and particles that occur in</w:t>
      </w:r>
      <w:r w:rsidR="00206D12" w:rsidRPr="0098635C">
        <w:rPr>
          <w:color w:val="000000" w:themeColor="text1"/>
          <w:sz w:val="20"/>
        </w:rPr>
        <w:t xml:space="preserve"> water, </w:t>
      </w:r>
      <w:r w:rsidRPr="0098635C">
        <w:rPr>
          <w:color w:val="000000" w:themeColor="text1"/>
          <w:sz w:val="20"/>
        </w:rPr>
        <w:t>soil and sediment (e.g., clay particles, particulate organic carbon, precipitated hydroxides). Metal ions do not degrade over time</w:t>
      </w:r>
      <w:r w:rsidR="00EA293D" w:rsidRPr="0098635C">
        <w:rPr>
          <w:color w:val="000000" w:themeColor="text1"/>
          <w:sz w:val="20"/>
        </w:rPr>
        <w:t xml:space="preserve"> but changes in speciation affects their toxicity profile</w:t>
      </w:r>
      <w:r w:rsidRPr="0098635C">
        <w:rPr>
          <w:color w:val="000000" w:themeColor="text1"/>
          <w:sz w:val="20"/>
        </w:rPr>
        <w:t>. The presence of a metal in either a solution or solid phase is determined by its solubili</w:t>
      </w:r>
      <w:r w:rsidR="00EA293D" w:rsidRPr="0098635C">
        <w:rPr>
          <w:color w:val="000000" w:themeColor="text1"/>
          <w:sz w:val="20"/>
        </w:rPr>
        <w:t>zation</w:t>
      </w:r>
      <w:r w:rsidRPr="0098635C">
        <w:rPr>
          <w:color w:val="000000" w:themeColor="text1"/>
          <w:sz w:val="20"/>
        </w:rPr>
        <w:t xml:space="preserve"> under environmentally relevant conditions, and its distribution coefficient.</w:t>
      </w:r>
    </w:p>
    <w:p w14:paraId="2973A594" w14:textId="77777777" w:rsidR="00907799" w:rsidRPr="0098635C" w:rsidRDefault="00907799" w:rsidP="00907799">
      <w:pPr>
        <w:pStyle w:val="BodyText"/>
        <w:rPr>
          <w:color w:val="000000" w:themeColor="text1"/>
          <w:sz w:val="20"/>
        </w:rPr>
      </w:pPr>
      <w:r w:rsidRPr="0098635C">
        <w:rPr>
          <w:color w:val="000000" w:themeColor="text1"/>
          <w:sz w:val="20"/>
        </w:rPr>
        <w:t>After being released into the environment, the Cu(II) ions typically bind to inorganic and organic ligands contained within water, soil, and sediments. In water Cu(II) binds to dissolved organic matter (e. g., humic or fulvic acids). The Cu(II) ion forms stable complexes with -NH2, -SH, and, to a lesser extent, -OH groups in these organic acids. Cu(II) will also bind with varying affinities to inorganic (e.g. high for Mn/Fe oxides in clay, but low for aluminosilicates is salt) and organic components in sediments and soils.</w:t>
      </w:r>
    </w:p>
    <w:p w14:paraId="54A3E0DA" w14:textId="77777777" w:rsidR="00E72EB0" w:rsidRPr="0098635C" w:rsidRDefault="00907799" w:rsidP="00907799">
      <w:pPr>
        <w:pStyle w:val="BodyText"/>
        <w:rPr>
          <w:color w:val="000000" w:themeColor="text1"/>
          <w:sz w:val="20"/>
        </w:rPr>
      </w:pPr>
      <w:r w:rsidRPr="0098635C">
        <w:rPr>
          <w:color w:val="000000" w:themeColor="text1"/>
          <w:sz w:val="20"/>
        </w:rPr>
        <w:t xml:space="preserve">Binding affinities depend </w:t>
      </w:r>
      <w:r w:rsidR="00EA293D" w:rsidRPr="0098635C">
        <w:rPr>
          <w:color w:val="000000" w:themeColor="text1"/>
          <w:sz w:val="20"/>
        </w:rPr>
        <w:t xml:space="preserve">on </w:t>
      </w:r>
      <w:r w:rsidRPr="0098635C">
        <w:rPr>
          <w:color w:val="000000" w:themeColor="text1"/>
          <w:sz w:val="20"/>
        </w:rPr>
        <w:t>pH, oxidation-reduction potential and the presence of competing metal ions and inorganic anions).</w:t>
      </w:r>
    </w:p>
    <w:p w14:paraId="2DF5ECFA" w14:textId="051F93C4" w:rsidR="00FF3389" w:rsidRPr="0098635C" w:rsidRDefault="00907799" w:rsidP="00907799">
      <w:pPr>
        <w:pStyle w:val="BodyText"/>
        <w:rPr>
          <w:color w:val="000000" w:themeColor="text1"/>
          <w:sz w:val="20"/>
        </w:rPr>
      </w:pPr>
      <w:r w:rsidRPr="0098635C">
        <w:rPr>
          <w:color w:val="000000" w:themeColor="text1"/>
          <w:sz w:val="20"/>
        </w:rPr>
        <w:t>Several publication in open literature have reported relevant partitioning coefficients for the different environmental compartments, and these have been summarized in</w:t>
      </w:r>
      <w:r w:rsidR="00CB3F82" w:rsidRPr="0098635C">
        <w:rPr>
          <w:color w:val="000000" w:themeColor="text1"/>
          <w:sz w:val="20"/>
        </w:rPr>
        <w:t xml:space="preserve"> </w:t>
      </w:r>
      <w:r w:rsidR="008D1FC9" w:rsidRPr="0098635C">
        <w:rPr>
          <w:color w:val="000000" w:themeColor="text1"/>
          <w:sz w:val="20"/>
        </w:rPr>
        <w:fldChar w:fldCharType="begin"/>
      </w:r>
      <w:r w:rsidR="008D1FC9" w:rsidRPr="0098635C">
        <w:rPr>
          <w:color w:val="000000" w:themeColor="text1"/>
          <w:sz w:val="20"/>
        </w:rPr>
        <w:instrText xml:space="preserve"> REF _Ref471120990 \h </w:instrText>
      </w:r>
      <w:r w:rsidR="008D1FC9" w:rsidRPr="0098635C">
        <w:rPr>
          <w:color w:val="000000" w:themeColor="text1"/>
          <w:sz w:val="20"/>
        </w:rPr>
      </w:r>
      <w:r w:rsidR="0098635C">
        <w:rPr>
          <w:color w:val="000000" w:themeColor="text1"/>
          <w:sz w:val="20"/>
        </w:rPr>
        <w:instrText xml:space="preserve"> \* MERGEFORMAT </w:instrText>
      </w:r>
      <w:r w:rsidR="008D1FC9" w:rsidRPr="0098635C">
        <w:rPr>
          <w:color w:val="000000" w:themeColor="text1"/>
          <w:sz w:val="20"/>
        </w:rPr>
        <w:fldChar w:fldCharType="separate"/>
      </w:r>
      <w:r w:rsidR="008D1FC9" w:rsidRPr="0098635C">
        <w:rPr>
          <w:color w:val="000000" w:themeColor="text1"/>
          <w:sz w:val="20"/>
        </w:rPr>
        <w:t xml:space="preserve">Table </w:t>
      </w:r>
      <w:r w:rsidR="008D1FC9" w:rsidRPr="0098635C">
        <w:rPr>
          <w:noProof/>
          <w:color w:val="000000" w:themeColor="text1"/>
          <w:sz w:val="20"/>
        </w:rPr>
        <w:t>2</w:t>
      </w:r>
      <w:r w:rsidR="008D1FC9" w:rsidRPr="0098635C">
        <w:rPr>
          <w:color w:val="000000" w:themeColor="text1"/>
          <w:sz w:val="20"/>
        </w:rPr>
        <w:fldChar w:fldCharType="end"/>
      </w:r>
      <w:r w:rsidR="00E230FB" w:rsidRPr="0098635C">
        <w:rPr>
          <w:color w:val="000000" w:themeColor="text1"/>
          <w:sz w:val="20"/>
        </w:rPr>
        <w:fldChar w:fldCharType="begin"/>
      </w:r>
      <w:r w:rsidRPr="0098635C">
        <w:rPr>
          <w:color w:val="000000" w:themeColor="text1"/>
          <w:sz w:val="20"/>
        </w:rPr>
        <w:instrText xml:space="preserve"> REF _Ref260059802 \h </w:instrText>
      </w:r>
      <w:r w:rsidR="00E230FB" w:rsidRPr="0098635C">
        <w:rPr>
          <w:color w:val="000000" w:themeColor="text1"/>
          <w:sz w:val="20"/>
        </w:rPr>
      </w:r>
      <w:r w:rsidR="0098635C">
        <w:rPr>
          <w:color w:val="000000" w:themeColor="text1"/>
          <w:sz w:val="20"/>
        </w:rPr>
        <w:instrText xml:space="preserve"> \* MERGEFORMAT </w:instrText>
      </w:r>
      <w:r w:rsidR="00E230FB" w:rsidRPr="0098635C">
        <w:rPr>
          <w:color w:val="000000" w:themeColor="text1"/>
          <w:sz w:val="20"/>
        </w:rPr>
        <w:fldChar w:fldCharType="end"/>
      </w:r>
      <w:r w:rsidR="00787E4C" w:rsidRPr="0098635C">
        <w:rPr>
          <w:color w:val="000000" w:themeColor="text1"/>
          <w:sz w:val="20"/>
        </w:rPr>
        <w:t xml:space="preserve">.  The detailed overview of the Kds is provided </w:t>
      </w:r>
      <w:r w:rsidR="00E230FB" w:rsidRPr="0098635C">
        <w:rPr>
          <w:color w:val="000000" w:themeColor="text1"/>
          <w:sz w:val="20"/>
        </w:rPr>
        <w:t>in</w:t>
      </w:r>
      <w:r w:rsidR="00FB0F1B" w:rsidRPr="0098635C">
        <w:rPr>
          <w:color w:val="000000" w:themeColor="text1"/>
          <w:sz w:val="20"/>
        </w:rPr>
        <w:t xml:space="preserve"> Annex III</w:t>
      </w:r>
      <w:r w:rsidRPr="0098635C">
        <w:rPr>
          <w:color w:val="000000" w:themeColor="text1"/>
          <w:sz w:val="20"/>
        </w:rPr>
        <w:t xml:space="preserve">. </w:t>
      </w:r>
    </w:p>
    <w:p w14:paraId="2B1603C2" w14:textId="11FF9091" w:rsidR="00392FC6" w:rsidRPr="0098635C" w:rsidRDefault="00CB3F82" w:rsidP="00284FC8">
      <w:pPr>
        <w:pStyle w:val="Caption"/>
        <w:ind w:left="0"/>
        <w:jc w:val="center"/>
        <w:rPr>
          <w:color w:val="000000" w:themeColor="text1"/>
          <w:sz w:val="20"/>
          <w:lang w:val="en-GB"/>
        </w:rPr>
      </w:pPr>
      <w:bookmarkStart w:id="107" w:name="_Ref471120990"/>
      <w:r w:rsidRPr="0098635C">
        <w:rPr>
          <w:color w:val="000000" w:themeColor="text1"/>
          <w:sz w:val="20"/>
        </w:rPr>
        <w:t xml:space="preserve">Table </w:t>
      </w:r>
      <w:r w:rsidRPr="0098635C">
        <w:rPr>
          <w:color w:val="000000" w:themeColor="text1"/>
          <w:sz w:val="20"/>
        </w:rPr>
        <w:fldChar w:fldCharType="begin"/>
      </w:r>
      <w:r w:rsidRPr="0098635C">
        <w:rPr>
          <w:color w:val="000000" w:themeColor="text1"/>
          <w:sz w:val="20"/>
        </w:rPr>
        <w:instrText xml:space="preserve"> SEQ Table \* ARABIC </w:instrText>
      </w:r>
      <w:r w:rsidRPr="0098635C">
        <w:rPr>
          <w:color w:val="000000" w:themeColor="text1"/>
          <w:sz w:val="20"/>
        </w:rPr>
        <w:fldChar w:fldCharType="separate"/>
      </w:r>
      <w:r w:rsidR="00ED6038" w:rsidRPr="0098635C">
        <w:rPr>
          <w:noProof/>
          <w:color w:val="000000" w:themeColor="text1"/>
          <w:sz w:val="20"/>
        </w:rPr>
        <w:t>2</w:t>
      </w:r>
      <w:r w:rsidRPr="0098635C">
        <w:rPr>
          <w:color w:val="000000" w:themeColor="text1"/>
          <w:sz w:val="20"/>
        </w:rPr>
        <w:fldChar w:fldCharType="end"/>
      </w:r>
      <w:bookmarkEnd w:id="107"/>
      <w:r w:rsidR="00787E4C" w:rsidRPr="0098635C">
        <w:rPr>
          <w:color w:val="000000" w:themeColor="text1"/>
          <w:sz w:val="20"/>
          <w:lang w:val="en-GB"/>
        </w:rPr>
        <w:t>: Summary of the partitioning coefficients for different environmental compartments.</w:t>
      </w:r>
    </w:p>
    <w:tbl>
      <w:tblPr>
        <w:tblW w:w="7180" w:type="dxa"/>
        <w:jc w:val="center"/>
        <w:tblLook w:val="04A0" w:firstRow="1" w:lastRow="0" w:firstColumn="1" w:lastColumn="0" w:noHBand="0" w:noVBand="1"/>
      </w:tblPr>
      <w:tblGrid>
        <w:gridCol w:w="4060"/>
        <w:gridCol w:w="3120"/>
      </w:tblGrid>
      <w:tr w:rsidR="00284FC8" w:rsidRPr="0098635C" w14:paraId="51741729" w14:textId="77777777" w:rsidTr="00284FC8">
        <w:trPr>
          <w:trHeight w:val="300"/>
          <w:jc w:val="center"/>
        </w:trPr>
        <w:tc>
          <w:tcPr>
            <w:tcW w:w="406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2DDBDE5A" w14:textId="77777777" w:rsidR="00787E4C" w:rsidRPr="0098635C" w:rsidRDefault="00787E4C" w:rsidP="00787E4C">
            <w:pPr>
              <w:widowControl/>
              <w:autoSpaceDE/>
              <w:autoSpaceDN/>
              <w:adjustRightInd/>
              <w:spacing w:after="0"/>
              <w:jc w:val="center"/>
              <w:rPr>
                <w:color w:val="000000" w:themeColor="text1"/>
                <w:sz w:val="20"/>
                <w:szCs w:val="20"/>
                <w:lang w:eastAsia="en-GB"/>
              </w:rPr>
            </w:pPr>
            <w:bookmarkStart w:id="108" w:name="OLE_LINK4"/>
            <w:r w:rsidRPr="0098635C">
              <w:rPr>
                <w:color w:val="000000" w:themeColor="text1"/>
                <w:sz w:val="20"/>
                <w:szCs w:val="20"/>
                <w:lang w:eastAsia="en-GB"/>
              </w:rPr>
              <w:t> </w:t>
            </w:r>
          </w:p>
        </w:tc>
        <w:tc>
          <w:tcPr>
            <w:tcW w:w="3120" w:type="dxa"/>
            <w:tcBorders>
              <w:top w:val="single" w:sz="8" w:space="0" w:color="auto"/>
              <w:left w:val="nil"/>
              <w:bottom w:val="single" w:sz="4" w:space="0" w:color="auto"/>
              <w:right w:val="single" w:sz="8" w:space="0" w:color="auto"/>
            </w:tcBorders>
            <w:shd w:val="clear" w:color="auto" w:fill="auto"/>
            <w:noWrap/>
            <w:vAlign w:val="bottom"/>
            <w:hideMark/>
          </w:tcPr>
          <w:p w14:paraId="66EDF244" w14:textId="77777777" w:rsidR="00787E4C" w:rsidRPr="0098635C" w:rsidRDefault="00787E4C" w:rsidP="00787E4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Log Kd (l/kg) -50thP (range)</w:t>
            </w:r>
          </w:p>
        </w:tc>
      </w:tr>
      <w:tr w:rsidR="00284FC8" w:rsidRPr="0098635C" w14:paraId="0AC75812" w14:textId="77777777" w:rsidTr="00284FC8">
        <w:trPr>
          <w:trHeight w:val="300"/>
          <w:jc w:val="center"/>
        </w:trPr>
        <w:tc>
          <w:tcPr>
            <w:tcW w:w="4060" w:type="dxa"/>
            <w:tcBorders>
              <w:top w:val="nil"/>
              <w:left w:val="single" w:sz="8" w:space="0" w:color="auto"/>
              <w:bottom w:val="nil"/>
              <w:right w:val="single" w:sz="4" w:space="0" w:color="auto"/>
            </w:tcBorders>
            <w:shd w:val="clear" w:color="auto" w:fill="auto"/>
            <w:noWrap/>
            <w:vAlign w:val="bottom"/>
            <w:hideMark/>
          </w:tcPr>
          <w:p w14:paraId="6DA94E6B" w14:textId="77777777" w:rsidR="00787E4C" w:rsidRPr="0098635C" w:rsidRDefault="00787E4C" w:rsidP="00787E4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Freshwater - suspended solids/dissolved</w:t>
            </w:r>
          </w:p>
        </w:tc>
        <w:tc>
          <w:tcPr>
            <w:tcW w:w="3120" w:type="dxa"/>
            <w:tcBorders>
              <w:top w:val="nil"/>
              <w:left w:val="nil"/>
              <w:bottom w:val="nil"/>
              <w:right w:val="single" w:sz="8" w:space="0" w:color="auto"/>
            </w:tcBorders>
            <w:shd w:val="clear" w:color="auto" w:fill="auto"/>
            <w:noWrap/>
            <w:vAlign w:val="bottom"/>
            <w:hideMark/>
          </w:tcPr>
          <w:p w14:paraId="13324680" w14:textId="77777777" w:rsidR="00787E4C" w:rsidRPr="0098635C" w:rsidRDefault="00787E4C" w:rsidP="00787E4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4.48 (3.3-5.8)</w:t>
            </w:r>
          </w:p>
        </w:tc>
      </w:tr>
      <w:tr w:rsidR="00284FC8" w:rsidRPr="0098635C" w14:paraId="49CCF162" w14:textId="77777777" w:rsidTr="00284FC8">
        <w:trPr>
          <w:trHeight w:val="300"/>
          <w:jc w:val="center"/>
        </w:trPr>
        <w:tc>
          <w:tcPr>
            <w:tcW w:w="4060" w:type="dxa"/>
            <w:tcBorders>
              <w:top w:val="nil"/>
              <w:left w:val="single" w:sz="8" w:space="0" w:color="auto"/>
              <w:bottom w:val="nil"/>
              <w:right w:val="single" w:sz="4" w:space="0" w:color="auto"/>
            </w:tcBorders>
            <w:shd w:val="clear" w:color="auto" w:fill="auto"/>
            <w:noWrap/>
            <w:vAlign w:val="bottom"/>
            <w:hideMark/>
          </w:tcPr>
          <w:p w14:paraId="1C8A6D87" w14:textId="77777777" w:rsidR="00787E4C" w:rsidRPr="0098635C" w:rsidRDefault="00787E4C" w:rsidP="00787E4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Estuarine - suspended solids/dissolved</w:t>
            </w:r>
          </w:p>
        </w:tc>
        <w:tc>
          <w:tcPr>
            <w:tcW w:w="3120" w:type="dxa"/>
            <w:tcBorders>
              <w:top w:val="nil"/>
              <w:left w:val="nil"/>
              <w:bottom w:val="nil"/>
              <w:right w:val="single" w:sz="8" w:space="0" w:color="auto"/>
            </w:tcBorders>
            <w:shd w:val="clear" w:color="auto" w:fill="auto"/>
            <w:noWrap/>
            <w:vAlign w:val="bottom"/>
            <w:hideMark/>
          </w:tcPr>
          <w:p w14:paraId="0598965C" w14:textId="77777777" w:rsidR="00787E4C" w:rsidRPr="0098635C" w:rsidRDefault="00787E4C" w:rsidP="00787E4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4.75 (3-6.5)</w:t>
            </w:r>
          </w:p>
        </w:tc>
      </w:tr>
      <w:tr w:rsidR="00284FC8" w:rsidRPr="0098635C" w14:paraId="5BE80857" w14:textId="77777777" w:rsidTr="00284FC8">
        <w:trPr>
          <w:trHeight w:val="300"/>
          <w:jc w:val="center"/>
        </w:trPr>
        <w:tc>
          <w:tcPr>
            <w:tcW w:w="4060" w:type="dxa"/>
            <w:tcBorders>
              <w:top w:val="nil"/>
              <w:left w:val="single" w:sz="8" w:space="0" w:color="auto"/>
              <w:bottom w:val="nil"/>
              <w:right w:val="single" w:sz="4" w:space="0" w:color="auto"/>
            </w:tcBorders>
            <w:shd w:val="clear" w:color="auto" w:fill="auto"/>
            <w:noWrap/>
            <w:vAlign w:val="bottom"/>
            <w:hideMark/>
          </w:tcPr>
          <w:p w14:paraId="56550BA6" w14:textId="77777777" w:rsidR="00787E4C" w:rsidRPr="0098635C" w:rsidRDefault="00787E4C" w:rsidP="00787E4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Marine - suspended solids/dissolved</w:t>
            </w:r>
          </w:p>
        </w:tc>
        <w:tc>
          <w:tcPr>
            <w:tcW w:w="3120" w:type="dxa"/>
            <w:tcBorders>
              <w:top w:val="nil"/>
              <w:left w:val="nil"/>
              <w:bottom w:val="nil"/>
              <w:right w:val="single" w:sz="8" w:space="0" w:color="auto"/>
            </w:tcBorders>
            <w:shd w:val="clear" w:color="auto" w:fill="auto"/>
            <w:noWrap/>
            <w:vAlign w:val="bottom"/>
            <w:hideMark/>
          </w:tcPr>
          <w:p w14:paraId="17ACD159" w14:textId="77777777" w:rsidR="00787E4C" w:rsidRPr="0098635C" w:rsidRDefault="00787E4C" w:rsidP="00787E4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5.12 (3.7-5.9)</w:t>
            </w:r>
          </w:p>
        </w:tc>
      </w:tr>
      <w:tr w:rsidR="00284FC8" w:rsidRPr="0098635C" w14:paraId="7EE51529" w14:textId="77777777" w:rsidTr="00284FC8">
        <w:trPr>
          <w:trHeight w:val="300"/>
          <w:jc w:val="center"/>
        </w:trPr>
        <w:tc>
          <w:tcPr>
            <w:tcW w:w="4060" w:type="dxa"/>
            <w:tcBorders>
              <w:top w:val="nil"/>
              <w:left w:val="single" w:sz="8" w:space="0" w:color="auto"/>
              <w:bottom w:val="nil"/>
              <w:right w:val="single" w:sz="4" w:space="0" w:color="auto"/>
            </w:tcBorders>
            <w:shd w:val="clear" w:color="auto" w:fill="auto"/>
            <w:noWrap/>
            <w:vAlign w:val="bottom"/>
            <w:hideMark/>
          </w:tcPr>
          <w:p w14:paraId="6F94D69B" w14:textId="77777777" w:rsidR="00787E4C" w:rsidRPr="0098635C" w:rsidRDefault="00787E4C" w:rsidP="00787E4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Freshwater -sediment solids/porewater</w:t>
            </w:r>
          </w:p>
        </w:tc>
        <w:tc>
          <w:tcPr>
            <w:tcW w:w="3120" w:type="dxa"/>
            <w:tcBorders>
              <w:top w:val="nil"/>
              <w:left w:val="nil"/>
              <w:bottom w:val="nil"/>
              <w:right w:val="single" w:sz="8" w:space="0" w:color="auto"/>
            </w:tcBorders>
            <w:shd w:val="clear" w:color="auto" w:fill="auto"/>
            <w:noWrap/>
            <w:vAlign w:val="bottom"/>
            <w:hideMark/>
          </w:tcPr>
          <w:p w14:paraId="3BF9F2D1" w14:textId="77777777" w:rsidR="00787E4C" w:rsidRPr="0098635C" w:rsidRDefault="00787E4C" w:rsidP="00787E4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4.39 (2.7-5.0)</w:t>
            </w:r>
          </w:p>
        </w:tc>
      </w:tr>
      <w:tr w:rsidR="00284FC8" w:rsidRPr="0098635C" w14:paraId="4FD7068C" w14:textId="77777777" w:rsidTr="00284FC8">
        <w:trPr>
          <w:trHeight w:val="315"/>
          <w:jc w:val="center"/>
        </w:trPr>
        <w:tc>
          <w:tcPr>
            <w:tcW w:w="4060" w:type="dxa"/>
            <w:tcBorders>
              <w:top w:val="nil"/>
              <w:left w:val="single" w:sz="8" w:space="0" w:color="auto"/>
              <w:bottom w:val="single" w:sz="8" w:space="0" w:color="auto"/>
              <w:right w:val="single" w:sz="4" w:space="0" w:color="auto"/>
            </w:tcBorders>
            <w:shd w:val="clear" w:color="auto" w:fill="auto"/>
            <w:noWrap/>
            <w:vAlign w:val="bottom"/>
            <w:hideMark/>
          </w:tcPr>
          <w:p w14:paraId="3569D2E9" w14:textId="77777777" w:rsidR="00787E4C" w:rsidRPr="0098635C" w:rsidRDefault="00787E4C" w:rsidP="00787E4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Soil - solids/porewater</w:t>
            </w:r>
          </w:p>
        </w:tc>
        <w:tc>
          <w:tcPr>
            <w:tcW w:w="3120" w:type="dxa"/>
            <w:tcBorders>
              <w:top w:val="nil"/>
              <w:left w:val="nil"/>
              <w:bottom w:val="single" w:sz="8" w:space="0" w:color="auto"/>
              <w:right w:val="single" w:sz="8" w:space="0" w:color="auto"/>
            </w:tcBorders>
            <w:shd w:val="clear" w:color="auto" w:fill="auto"/>
            <w:noWrap/>
            <w:vAlign w:val="bottom"/>
            <w:hideMark/>
          </w:tcPr>
          <w:p w14:paraId="37CD08CA" w14:textId="3C534694" w:rsidR="00787E4C" w:rsidRPr="0098635C" w:rsidRDefault="00E230FB" w:rsidP="007C3499">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3.33 </w:t>
            </w:r>
            <w:r w:rsidR="007C3499" w:rsidRPr="0098635C">
              <w:rPr>
                <w:color w:val="000000" w:themeColor="text1"/>
                <w:sz w:val="20"/>
                <w:szCs w:val="20"/>
                <w:lang w:eastAsia="en-GB"/>
              </w:rPr>
              <w:t>*</w:t>
            </w:r>
          </w:p>
        </w:tc>
      </w:tr>
    </w:tbl>
    <w:bookmarkEnd w:id="108"/>
    <w:p w14:paraId="40E327CB" w14:textId="2F7F1D89" w:rsidR="007C3499" w:rsidRPr="0098635C" w:rsidRDefault="007C3499" w:rsidP="00284FC8">
      <w:pPr>
        <w:pStyle w:val="BodyText"/>
        <w:spacing w:after="0"/>
        <w:ind w:left="1276"/>
        <w:rPr>
          <w:color w:val="000000" w:themeColor="text1"/>
          <w:sz w:val="20"/>
        </w:rPr>
      </w:pPr>
      <w:r w:rsidRPr="0098635C">
        <w:rPr>
          <w:color w:val="000000" w:themeColor="text1"/>
          <w:sz w:val="20"/>
        </w:rPr>
        <w:t>*B</w:t>
      </w:r>
      <w:r w:rsidR="00926259" w:rsidRPr="0098635C">
        <w:rPr>
          <w:color w:val="000000" w:themeColor="text1"/>
          <w:sz w:val="20"/>
        </w:rPr>
        <w:t xml:space="preserve">ased on the data compilation from </w:t>
      </w:r>
      <w:r w:rsidRPr="0098635C">
        <w:rPr>
          <w:color w:val="000000" w:themeColor="text1"/>
          <w:sz w:val="20"/>
        </w:rPr>
        <w:t xml:space="preserve">Sauvé et al., 2000.  </w:t>
      </w:r>
      <w:r w:rsidR="00B35531" w:rsidRPr="0098635C">
        <w:rPr>
          <w:color w:val="000000" w:themeColor="text1"/>
          <w:sz w:val="20"/>
        </w:rPr>
        <w:t>An</w:t>
      </w:r>
      <w:r w:rsidRPr="0098635C">
        <w:rPr>
          <w:color w:val="000000" w:themeColor="text1"/>
          <w:sz w:val="20"/>
        </w:rPr>
        <w:t xml:space="preserve"> empirical regression </w:t>
      </w:r>
      <w:r w:rsidR="00B35531" w:rsidRPr="0098635C">
        <w:rPr>
          <w:color w:val="000000" w:themeColor="text1"/>
          <w:sz w:val="20"/>
        </w:rPr>
        <w:t xml:space="preserve">was derived </w:t>
      </w:r>
      <w:r w:rsidRPr="0098635C">
        <w:rPr>
          <w:color w:val="000000" w:themeColor="text1"/>
          <w:sz w:val="20"/>
        </w:rPr>
        <w:t>to predict Kd for Cu in soil:    Log Kd = 1.75 + 0.21pH</w:t>
      </w:r>
      <w:r w:rsidRPr="0098635C">
        <w:rPr>
          <w:color w:val="000000" w:themeColor="text1"/>
          <w:sz w:val="20"/>
          <w:vertAlign w:val="subscript"/>
        </w:rPr>
        <w:t>(soil solution)</w:t>
      </w:r>
      <w:r w:rsidRPr="0098635C">
        <w:rPr>
          <w:color w:val="000000" w:themeColor="text1"/>
          <w:sz w:val="20"/>
        </w:rPr>
        <w:t xml:space="preserve"> + 0.51log(OC%) (R² = 0.42)</w:t>
      </w:r>
    </w:p>
    <w:p w14:paraId="00000E7C" w14:textId="77777777" w:rsidR="00B05271" w:rsidRPr="0098635C" w:rsidRDefault="00B05271">
      <w:pPr>
        <w:pStyle w:val="Heading3"/>
        <w:rPr>
          <w:color w:val="000000" w:themeColor="text1"/>
          <w:sz w:val="20"/>
        </w:rPr>
      </w:pPr>
      <w:bookmarkStart w:id="109" w:name="_Toc471998145"/>
      <w:bookmarkStart w:id="110" w:name="_Toc471999413"/>
      <w:bookmarkStart w:id="111" w:name="_Toc471998146"/>
      <w:bookmarkStart w:id="112" w:name="_Toc471999414"/>
      <w:bookmarkStart w:id="113" w:name="_Toc32726022"/>
      <w:bookmarkStart w:id="114" w:name="_Toc32727205"/>
      <w:bookmarkStart w:id="115" w:name="_Toc43868653"/>
      <w:bookmarkStart w:id="116" w:name="_Toc200358241"/>
      <w:bookmarkStart w:id="117" w:name="_Toc200359257"/>
      <w:bookmarkStart w:id="118" w:name="_Toc471999415"/>
      <w:bookmarkStart w:id="119" w:name="_Toc472250858"/>
      <w:bookmarkEnd w:id="109"/>
      <w:bookmarkEnd w:id="110"/>
      <w:bookmarkEnd w:id="111"/>
      <w:bookmarkEnd w:id="112"/>
      <w:r w:rsidRPr="0098635C">
        <w:rPr>
          <w:color w:val="000000" w:themeColor="text1"/>
          <w:sz w:val="20"/>
        </w:rPr>
        <w:t>Bioaccumulation</w:t>
      </w:r>
      <w:bookmarkEnd w:id="113"/>
      <w:bookmarkEnd w:id="114"/>
      <w:bookmarkEnd w:id="115"/>
      <w:bookmarkEnd w:id="116"/>
      <w:bookmarkEnd w:id="117"/>
      <w:bookmarkEnd w:id="118"/>
      <w:bookmarkEnd w:id="119"/>
    </w:p>
    <w:p w14:paraId="1D386C89" w14:textId="77777777" w:rsidR="00907799" w:rsidRPr="0098635C" w:rsidRDefault="00577C8B" w:rsidP="00907799">
      <w:pPr>
        <w:pStyle w:val="BodyText"/>
        <w:rPr>
          <w:b/>
          <w:color w:val="000000" w:themeColor="text1"/>
          <w:sz w:val="20"/>
          <w:u w:val="single"/>
        </w:rPr>
      </w:pPr>
      <w:r w:rsidRPr="0098635C">
        <w:rPr>
          <w:b/>
          <w:color w:val="000000" w:themeColor="text1"/>
          <w:sz w:val="20"/>
          <w:u w:val="single"/>
        </w:rPr>
        <w:t>Aquatic environment</w:t>
      </w:r>
    </w:p>
    <w:p w14:paraId="18A8942C" w14:textId="77777777" w:rsidR="00577C8B" w:rsidRPr="0098635C" w:rsidRDefault="00577C8B" w:rsidP="00907799">
      <w:pPr>
        <w:pStyle w:val="BodyText"/>
        <w:rPr>
          <w:i/>
          <w:color w:val="000000" w:themeColor="text1"/>
          <w:sz w:val="20"/>
          <w:u w:val="single"/>
        </w:rPr>
      </w:pPr>
      <w:r w:rsidRPr="0098635C">
        <w:rPr>
          <w:i/>
          <w:color w:val="000000" w:themeColor="text1"/>
          <w:sz w:val="20"/>
          <w:u w:val="single"/>
        </w:rPr>
        <w:t>Bioconcentration/bioaccumulation factors (BCF/BAF)</w:t>
      </w:r>
    </w:p>
    <w:p w14:paraId="1649196E" w14:textId="7DFAF95E" w:rsidR="00A4016E" w:rsidRPr="0098635C" w:rsidRDefault="000D56F7" w:rsidP="00A4016E">
      <w:pPr>
        <w:rPr>
          <w:color w:val="000000" w:themeColor="text1"/>
          <w:sz w:val="20"/>
          <w:szCs w:val="20"/>
        </w:rPr>
      </w:pPr>
      <w:r w:rsidRPr="0098635C">
        <w:rPr>
          <w:color w:val="000000" w:themeColor="text1"/>
          <w:sz w:val="20"/>
          <w:szCs w:val="20"/>
        </w:rPr>
        <w:t xml:space="preserve">For </w:t>
      </w:r>
      <w:r w:rsidR="00A4016E" w:rsidRPr="0098635C">
        <w:rPr>
          <w:color w:val="000000" w:themeColor="text1"/>
          <w:sz w:val="20"/>
          <w:szCs w:val="20"/>
        </w:rPr>
        <w:t xml:space="preserve">inorganic compounds, bioaccumulation factors </w:t>
      </w:r>
      <w:r w:rsidR="002B49FF" w:rsidRPr="0098635C">
        <w:rPr>
          <w:color w:val="000000" w:themeColor="text1"/>
          <w:sz w:val="20"/>
          <w:szCs w:val="20"/>
        </w:rPr>
        <w:t>are</w:t>
      </w:r>
      <w:r w:rsidR="00A4016E" w:rsidRPr="0098635C">
        <w:rPr>
          <w:color w:val="000000" w:themeColor="text1"/>
          <w:sz w:val="20"/>
          <w:szCs w:val="20"/>
        </w:rPr>
        <w:t xml:space="preserve"> not applicable (</w:t>
      </w:r>
      <w:r w:rsidR="00A4016E" w:rsidRPr="0098635C">
        <w:rPr>
          <w:i/>
          <w:iCs/>
          <w:color w:val="000000" w:themeColor="text1"/>
          <w:sz w:val="20"/>
          <w:szCs w:val="20"/>
        </w:rPr>
        <w:t>Document ENV/JM/MONO(2001)</w:t>
      </w:r>
      <w:r w:rsidR="00A4016E" w:rsidRPr="0098635C">
        <w:rPr>
          <w:color w:val="000000" w:themeColor="text1"/>
          <w:sz w:val="20"/>
          <w:szCs w:val="20"/>
        </w:rPr>
        <w:t>.</w:t>
      </w:r>
    </w:p>
    <w:p w14:paraId="673AD1FA" w14:textId="7A13CF75" w:rsidR="00510E70" w:rsidRPr="0098635C" w:rsidRDefault="002B49FF" w:rsidP="00284FC8">
      <w:pPr>
        <w:pStyle w:val="BodyText"/>
        <w:rPr>
          <w:color w:val="000000" w:themeColor="text1"/>
          <w:sz w:val="20"/>
        </w:rPr>
      </w:pPr>
      <w:r w:rsidRPr="0098635C">
        <w:rPr>
          <w:color w:val="000000" w:themeColor="text1"/>
          <w:sz w:val="20"/>
        </w:rPr>
        <w:lastRenderedPageBreak/>
        <w:t>Indeed, f</w:t>
      </w:r>
      <w:r w:rsidR="00E230FB" w:rsidRPr="0098635C">
        <w:rPr>
          <w:color w:val="000000" w:themeColor="text1"/>
          <w:sz w:val="20"/>
        </w:rPr>
        <w:t>or copper as well as for other essential metals, acclimation and homeostatic regulation mechanisms are induced after longer exposure times and these play a role in the copper essenti</w:t>
      </w:r>
      <w:r w:rsidRPr="0098635C">
        <w:rPr>
          <w:color w:val="000000" w:themeColor="text1"/>
          <w:sz w:val="20"/>
        </w:rPr>
        <w:t>ality/toxicity profile. L</w:t>
      </w:r>
      <w:r w:rsidR="00E230FB" w:rsidRPr="0098635C">
        <w:rPr>
          <w:color w:val="000000" w:themeColor="text1"/>
          <w:sz w:val="20"/>
        </w:rPr>
        <w:t>iterature data demonstrated that the species’ homeostatic capacity allows an organism to regulate actively its metabolically required tissues concentration</w:t>
      </w:r>
      <w:r w:rsidRPr="0098635C">
        <w:rPr>
          <w:color w:val="000000" w:themeColor="text1"/>
          <w:sz w:val="20"/>
        </w:rPr>
        <w:t>s</w:t>
      </w:r>
      <w:r w:rsidR="00E230FB" w:rsidRPr="0098635C">
        <w:rPr>
          <w:color w:val="000000" w:themeColor="text1"/>
          <w:sz w:val="20"/>
        </w:rPr>
        <w:t xml:space="preserve"> and maintain optimal levels under varying external concentrations of the essential element (</w:t>
      </w:r>
      <w:r w:rsidR="000D56F7" w:rsidRPr="0098635C">
        <w:rPr>
          <w:color w:val="000000" w:themeColor="text1"/>
          <w:sz w:val="20"/>
        </w:rPr>
        <w:t>e.g.r</w:t>
      </w:r>
      <w:r w:rsidR="00E230FB" w:rsidRPr="0098635C">
        <w:rPr>
          <w:color w:val="000000" w:themeColor="text1"/>
          <w:sz w:val="20"/>
        </w:rPr>
        <w:t>eview papers of Adams et al., 2003</w:t>
      </w:r>
      <w:r w:rsidRPr="0098635C">
        <w:rPr>
          <w:color w:val="000000" w:themeColor="text1"/>
          <w:sz w:val="20"/>
        </w:rPr>
        <w:t>).</w:t>
      </w:r>
    </w:p>
    <w:p w14:paraId="59D8B2DB" w14:textId="650AB4D0" w:rsidR="00510E70" w:rsidRPr="0098635C" w:rsidRDefault="00116417" w:rsidP="00284FC8">
      <w:pPr>
        <w:pStyle w:val="BodyText"/>
        <w:rPr>
          <w:color w:val="000000" w:themeColor="text1"/>
          <w:sz w:val="20"/>
        </w:rPr>
      </w:pPr>
      <w:r w:rsidRPr="0098635C">
        <w:rPr>
          <w:color w:val="000000" w:themeColor="text1"/>
          <w:sz w:val="20"/>
        </w:rPr>
        <w:t>Furthermore, some organisms accumulate copper in a non-</w:t>
      </w:r>
      <w:r w:rsidR="00C36182" w:rsidRPr="0098635C">
        <w:rPr>
          <w:color w:val="000000" w:themeColor="text1"/>
          <w:sz w:val="20"/>
        </w:rPr>
        <w:t xml:space="preserve">bioavailable </w:t>
      </w:r>
      <w:r w:rsidRPr="0098635C">
        <w:rPr>
          <w:color w:val="000000" w:themeColor="text1"/>
          <w:sz w:val="20"/>
        </w:rPr>
        <w:t xml:space="preserve">form by using copper binding and sequestration mechanisms as regulation system. These adaptation and regulation system play a role in the copper essentiality/toxicity profile and therefore, the BCF/BAF are not independent of exposure concentration and have no meaning for a hazard assessment.  </w:t>
      </w:r>
    </w:p>
    <w:p w14:paraId="695270BF" w14:textId="77777777" w:rsidR="00907799" w:rsidRPr="0098635C" w:rsidRDefault="00907799" w:rsidP="00907799">
      <w:pPr>
        <w:pStyle w:val="BodyText"/>
        <w:rPr>
          <w:color w:val="000000" w:themeColor="text1"/>
          <w:sz w:val="20"/>
        </w:rPr>
      </w:pPr>
      <w:r w:rsidRPr="0098635C">
        <w:rPr>
          <w:color w:val="000000" w:themeColor="text1"/>
          <w:sz w:val="20"/>
        </w:rPr>
        <w:t xml:space="preserve">A more mechanistic understanding of copper regulations of accumulations as well as internal copper binding mechanisms and sequestrations are provided by e.g. Borgmann, 1993 and Rainbow (1980, 1985, 1989). </w:t>
      </w:r>
    </w:p>
    <w:p w14:paraId="1FFB22A8" w14:textId="77777777" w:rsidR="00907799" w:rsidRPr="0098635C" w:rsidRDefault="00907799" w:rsidP="00907799">
      <w:pPr>
        <w:pStyle w:val="BodyText"/>
        <w:rPr>
          <w:i/>
          <w:color w:val="000000" w:themeColor="text1"/>
          <w:sz w:val="20"/>
          <w:u w:val="single"/>
        </w:rPr>
      </w:pPr>
      <w:r w:rsidRPr="0098635C">
        <w:rPr>
          <w:i/>
          <w:color w:val="000000" w:themeColor="text1"/>
          <w:sz w:val="20"/>
          <w:u w:val="single"/>
        </w:rPr>
        <w:t>Secondary poisoning</w:t>
      </w:r>
      <w:r w:rsidR="00577C8B" w:rsidRPr="0098635C">
        <w:rPr>
          <w:i/>
          <w:color w:val="000000" w:themeColor="text1"/>
          <w:sz w:val="20"/>
          <w:u w:val="single"/>
        </w:rPr>
        <w:t xml:space="preserve"> - aquatic</w:t>
      </w:r>
    </w:p>
    <w:p w14:paraId="006D514A" w14:textId="01B4F8B9" w:rsidR="00907799" w:rsidRPr="0098635C" w:rsidRDefault="00907799" w:rsidP="00907799">
      <w:pPr>
        <w:pStyle w:val="BodyText"/>
        <w:rPr>
          <w:color w:val="000000" w:themeColor="text1"/>
          <w:sz w:val="20"/>
        </w:rPr>
      </w:pPr>
      <w:r w:rsidRPr="0098635C">
        <w:rPr>
          <w:color w:val="000000" w:themeColor="text1"/>
          <w:sz w:val="20"/>
        </w:rPr>
        <w:t xml:space="preserve">Additional information of relevance to the absence of secondary poisoning is available from several </w:t>
      </w:r>
      <w:r w:rsidR="002E0EC8" w:rsidRPr="0098635C">
        <w:rPr>
          <w:color w:val="000000" w:themeColor="text1"/>
          <w:sz w:val="20"/>
        </w:rPr>
        <w:t>publications</w:t>
      </w:r>
      <w:r w:rsidRPr="0098635C">
        <w:rPr>
          <w:color w:val="000000" w:themeColor="text1"/>
          <w:sz w:val="20"/>
        </w:rPr>
        <w:t xml:space="preserve"> (De Schamphelaere et al, 2004, Kamunde et al, 2005; Taylor, 2000; Kamunde, 2001; Hansen et al, 2004; Allinson, 2002; Nott,1994)</w:t>
      </w:r>
      <w:r w:rsidR="001B3F81" w:rsidRPr="0098635C">
        <w:rPr>
          <w:color w:val="000000" w:themeColor="text1"/>
          <w:sz w:val="20"/>
        </w:rPr>
        <w:t xml:space="preserve">. The results are </w:t>
      </w:r>
      <w:r w:rsidRPr="0098635C">
        <w:rPr>
          <w:color w:val="000000" w:themeColor="text1"/>
          <w:sz w:val="20"/>
        </w:rPr>
        <w:t>clearly relating copper toxicity to waterborne and not dietary exposure route.</w:t>
      </w:r>
      <w:r w:rsidR="00577C8B" w:rsidRPr="0098635C">
        <w:rPr>
          <w:color w:val="000000" w:themeColor="text1"/>
          <w:sz w:val="20"/>
        </w:rPr>
        <w:t xml:space="preserve"> </w:t>
      </w:r>
      <w:r w:rsidRPr="0098635C">
        <w:rPr>
          <w:color w:val="000000" w:themeColor="text1"/>
          <w:sz w:val="20"/>
        </w:rPr>
        <w:t>Importantly, the copper mesocosm studies from Roussel (2007)</w:t>
      </w:r>
      <w:r w:rsidR="007D4D26" w:rsidRPr="0098635C">
        <w:rPr>
          <w:color w:val="000000" w:themeColor="text1"/>
          <w:sz w:val="20"/>
        </w:rPr>
        <w:t xml:space="preserve"> </w:t>
      </w:r>
      <w:r w:rsidRPr="0098635C">
        <w:rPr>
          <w:color w:val="000000" w:themeColor="text1"/>
          <w:sz w:val="20"/>
        </w:rPr>
        <w:t xml:space="preserve">demonstrated a low sensitivity of the predating fish and did not show a concern from secondary poisoning. </w:t>
      </w:r>
    </w:p>
    <w:p w14:paraId="7CD43794" w14:textId="703E5F94" w:rsidR="00577C8B" w:rsidRPr="0098635C" w:rsidRDefault="007D4D26" w:rsidP="00907799">
      <w:pPr>
        <w:pStyle w:val="BodyText"/>
        <w:rPr>
          <w:color w:val="000000" w:themeColor="text1"/>
          <w:sz w:val="20"/>
        </w:rPr>
      </w:pPr>
      <w:r w:rsidRPr="0098635C">
        <w:rPr>
          <w:color w:val="000000" w:themeColor="text1"/>
          <w:sz w:val="20"/>
        </w:rPr>
        <w:t>S</w:t>
      </w:r>
      <w:r w:rsidR="00907799" w:rsidRPr="0098635C">
        <w:rPr>
          <w:color w:val="000000" w:themeColor="text1"/>
          <w:sz w:val="20"/>
        </w:rPr>
        <w:t>econdary poisoning of birds and mammals via fish or mussels was investigated for metals, including copper</w:t>
      </w:r>
      <w:r w:rsidRPr="0098635C">
        <w:rPr>
          <w:color w:val="000000" w:themeColor="text1"/>
          <w:sz w:val="20"/>
        </w:rPr>
        <w:t xml:space="preserve"> </w:t>
      </w:r>
      <w:r w:rsidR="002B49FF" w:rsidRPr="0098635C">
        <w:rPr>
          <w:color w:val="000000" w:themeColor="text1"/>
          <w:sz w:val="20"/>
        </w:rPr>
        <w:t>and</w:t>
      </w:r>
      <w:r w:rsidRPr="0098635C">
        <w:rPr>
          <w:color w:val="000000" w:themeColor="text1"/>
          <w:sz w:val="20"/>
        </w:rPr>
        <w:t xml:space="preserve"> reviewed </w:t>
      </w:r>
      <w:r w:rsidR="00907799" w:rsidRPr="0098635C">
        <w:rPr>
          <w:color w:val="000000" w:themeColor="text1"/>
          <w:sz w:val="20"/>
        </w:rPr>
        <w:t>by RIVM (Smit et al, 2000) who concluded that for copper it was not necessary to integrate secondary poisoning aspects into the</w:t>
      </w:r>
      <w:r w:rsidR="000A2CCE" w:rsidRPr="0098635C">
        <w:rPr>
          <w:color w:val="000000" w:themeColor="text1"/>
          <w:sz w:val="20"/>
        </w:rPr>
        <w:t xml:space="preserve"> </w:t>
      </w:r>
      <w:r w:rsidR="000A2CCE" w:rsidRPr="0098635C">
        <w:rPr>
          <w:color w:val="000000" w:themeColor="text1"/>
          <w:sz w:val="20"/>
          <w:lang w:val="en-US"/>
        </w:rPr>
        <w:t>copper assessment for the aquatic environment</w:t>
      </w:r>
      <w:r w:rsidR="00907799" w:rsidRPr="0098635C">
        <w:rPr>
          <w:color w:val="000000" w:themeColor="text1"/>
          <w:sz w:val="20"/>
        </w:rPr>
        <w:t>.</w:t>
      </w:r>
    </w:p>
    <w:p w14:paraId="746535B4" w14:textId="77777777" w:rsidR="00907799" w:rsidRPr="0098635C" w:rsidRDefault="00577C8B" w:rsidP="00907799">
      <w:pPr>
        <w:pStyle w:val="BodyText"/>
        <w:rPr>
          <w:i/>
          <w:color w:val="000000" w:themeColor="text1"/>
          <w:sz w:val="20"/>
          <w:u w:val="single"/>
        </w:rPr>
      </w:pPr>
      <w:r w:rsidRPr="0098635C">
        <w:rPr>
          <w:i/>
          <w:color w:val="000000" w:themeColor="text1"/>
          <w:sz w:val="20"/>
          <w:u w:val="single"/>
        </w:rPr>
        <w:t>Aquatic b</w:t>
      </w:r>
      <w:r w:rsidR="00907799" w:rsidRPr="0098635C">
        <w:rPr>
          <w:i/>
          <w:color w:val="000000" w:themeColor="text1"/>
          <w:sz w:val="20"/>
          <w:u w:val="single"/>
        </w:rPr>
        <w:t xml:space="preserve">iomagnification factors (BMF) </w:t>
      </w:r>
    </w:p>
    <w:p w14:paraId="69CA3964" w14:textId="77777777" w:rsidR="007D4D26" w:rsidRPr="0098635C" w:rsidRDefault="00907799" w:rsidP="00907799">
      <w:pPr>
        <w:pStyle w:val="BodyText"/>
        <w:rPr>
          <w:b/>
          <w:color w:val="000000" w:themeColor="text1"/>
          <w:sz w:val="20"/>
          <w:u w:val="single"/>
        </w:rPr>
      </w:pPr>
      <w:r w:rsidRPr="0098635C">
        <w:rPr>
          <w:color w:val="000000" w:themeColor="text1"/>
          <w:sz w:val="20"/>
        </w:rPr>
        <w:t>The absence of copper biomagnification, with consistent BMFs&lt;1, was shown from several papers, covering seagrass, several benthic invertebrates, planktonic food chain and insects</w:t>
      </w:r>
      <w:r w:rsidR="00577C8B" w:rsidRPr="0098635C">
        <w:rPr>
          <w:color w:val="000000" w:themeColor="text1"/>
          <w:sz w:val="20"/>
        </w:rPr>
        <w:t xml:space="preserve"> </w:t>
      </w:r>
      <w:r w:rsidRPr="0098635C">
        <w:rPr>
          <w:color w:val="000000" w:themeColor="text1"/>
          <w:sz w:val="20"/>
        </w:rPr>
        <w:t xml:space="preserve">(Barwick and Maher, 2003; Farag et al., 1998; Weis &amp; Weis, 1999; Wang, 2002; Quinn et al., 2003) </w:t>
      </w:r>
    </w:p>
    <w:p w14:paraId="0E08AD0A" w14:textId="77777777" w:rsidR="00907799" w:rsidRPr="0098635C" w:rsidRDefault="00907799" w:rsidP="00907799">
      <w:pPr>
        <w:pStyle w:val="BodyText"/>
        <w:rPr>
          <w:b/>
          <w:color w:val="000000" w:themeColor="text1"/>
          <w:sz w:val="20"/>
          <w:u w:val="single"/>
        </w:rPr>
      </w:pPr>
      <w:r w:rsidRPr="0098635C">
        <w:rPr>
          <w:b/>
          <w:color w:val="000000" w:themeColor="text1"/>
          <w:sz w:val="20"/>
          <w:u w:val="single"/>
        </w:rPr>
        <w:t xml:space="preserve">Terrestrial bioaccumulation </w:t>
      </w:r>
    </w:p>
    <w:p w14:paraId="7DE307D6" w14:textId="36D71CEB" w:rsidR="00907799" w:rsidRPr="0098635C" w:rsidRDefault="00907799" w:rsidP="00907799">
      <w:pPr>
        <w:pStyle w:val="BodyText"/>
        <w:rPr>
          <w:i/>
          <w:color w:val="000000" w:themeColor="text1"/>
          <w:sz w:val="20"/>
          <w:u w:val="single"/>
        </w:rPr>
      </w:pPr>
      <w:r w:rsidRPr="0098635C">
        <w:rPr>
          <w:i/>
          <w:color w:val="000000" w:themeColor="text1"/>
          <w:sz w:val="20"/>
          <w:u w:val="single"/>
        </w:rPr>
        <w:t xml:space="preserve">Terrestrial BCF and BAF </w:t>
      </w:r>
      <w:r w:rsidR="00807B9A" w:rsidRPr="0098635C">
        <w:rPr>
          <w:i/>
          <w:color w:val="000000" w:themeColor="text1"/>
          <w:sz w:val="20"/>
          <w:u w:val="single"/>
        </w:rPr>
        <w:t>and secondary poisoning</w:t>
      </w:r>
      <w:r w:rsidR="001D1B1C" w:rsidRPr="0098635C">
        <w:rPr>
          <w:i/>
          <w:color w:val="000000" w:themeColor="text1"/>
          <w:sz w:val="20"/>
          <w:u w:val="single"/>
        </w:rPr>
        <w:t xml:space="preserve"> and BMF</w:t>
      </w:r>
    </w:p>
    <w:p w14:paraId="6686EB6A" w14:textId="1CC6FA53" w:rsidR="00907799" w:rsidRPr="0098635C" w:rsidRDefault="00807B9A" w:rsidP="00AF22A8">
      <w:pPr>
        <w:pStyle w:val="BodyText"/>
        <w:rPr>
          <w:i/>
          <w:color w:val="000000" w:themeColor="text1"/>
          <w:sz w:val="20"/>
          <w:u w:val="single"/>
        </w:rPr>
      </w:pPr>
      <w:r w:rsidRPr="0098635C">
        <w:rPr>
          <w:color w:val="000000" w:themeColor="text1"/>
          <w:sz w:val="20"/>
        </w:rPr>
        <w:t xml:space="preserve">As for the </w:t>
      </w:r>
      <w:r w:rsidR="00C36182" w:rsidRPr="0098635C">
        <w:rPr>
          <w:color w:val="000000" w:themeColor="text1"/>
          <w:sz w:val="20"/>
        </w:rPr>
        <w:t>aquatic</w:t>
      </w:r>
      <w:r w:rsidRPr="0098635C">
        <w:rPr>
          <w:color w:val="000000" w:themeColor="text1"/>
          <w:sz w:val="20"/>
        </w:rPr>
        <w:t xml:space="preserve"> environment, the data on metals bioaccumulation</w:t>
      </w:r>
      <w:r w:rsidR="00C36182" w:rsidRPr="0098635C">
        <w:rPr>
          <w:color w:val="000000" w:themeColor="text1"/>
          <w:sz w:val="20"/>
        </w:rPr>
        <w:t xml:space="preserve"> </w:t>
      </w:r>
      <w:r w:rsidRPr="0098635C">
        <w:rPr>
          <w:color w:val="000000" w:themeColor="text1"/>
          <w:sz w:val="20"/>
        </w:rPr>
        <w:t>factors (BCF, BAF and Trophic Transfer factors (TTF)) do not support the use of BAF or BCF values when they are used as traditional generic threshold criteria for the hazard potential of inorganic forms of metals since they are not an intrinsic property</w:t>
      </w:r>
      <w:r w:rsidR="001B3F81" w:rsidRPr="0098635C">
        <w:rPr>
          <w:color w:val="000000" w:themeColor="text1"/>
          <w:sz w:val="20"/>
        </w:rPr>
        <w:t>.</w:t>
      </w:r>
      <w:r w:rsidRPr="0098635C">
        <w:rPr>
          <w:color w:val="000000" w:themeColor="text1"/>
          <w:sz w:val="20"/>
        </w:rPr>
        <w:t xml:space="preserve"> </w:t>
      </w:r>
      <w:r w:rsidR="0092013F" w:rsidRPr="0098635C">
        <w:rPr>
          <w:color w:val="000000" w:themeColor="text1"/>
          <w:sz w:val="20"/>
        </w:rPr>
        <w:t xml:space="preserve">Therefore a fixed </w:t>
      </w:r>
      <w:r w:rsidRPr="0098635C">
        <w:rPr>
          <w:color w:val="000000" w:themeColor="text1"/>
          <w:sz w:val="20"/>
        </w:rPr>
        <w:t xml:space="preserve">BCF, </w:t>
      </w:r>
      <w:r w:rsidR="002B49FF" w:rsidRPr="0098635C">
        <w:rPr>
          <w:color w:val="000000" w:themeColor="text1"/>
          <w:sz w:val="20"/>
        </w:rPr>
        <w:t xml:space="preserve">BAF </w:t>
      </w:r>
      <w:r w:rsidR="0092013F" w:rsidRPr="0098635C">
        <w:rPr>
          <w:color w:val="000000" w:themeColor="text1"/>
          <w:sz w:val="20"/>
        </w:rPr>
        <w:t>is considered as not applicable for inorganic copper compounds.</w:t>
      </w:r>
    </w:p>
    <w:p w14:paraId="61022576" w14:textId="77777777" w:rsidR="00907799" w:rsidRPr="0098635C" w:rsidRDefault="00907799" w:rsidP="00907799">
      <w:pPr>
        <w:pStyle w:val="BodyText"/>
        <w:rPr>
          <w:color w:val="000000" w:themeColor="text1"/>
          <w:sz w:val="20"/>
        </w:rPr>
      </w:pPr>
      <w:r w:rsidRPr="0098635C">
        <w:rPr>
          <w:color w:val="000000" w:themeColor="text1"/>
          <w:sz w:val="20"/>
        </w:rPr>
        <w:t>The pattern of biomagnification of Cu in the terrestrial invertebrates’ food web was explored by Lakowski (1991). Based on 37 biomagnification factors representing herbivores, carnivores and detrivores, the slope of the linear regression was less than one suggesting regulation of Cu concentration. Other authors came to a similar conc</w:t>
      </w:r>
      <w:r w:rsidR="00577C8B" w:rsidRPr="0098635C">
        <w:rPr>
          <w:color w:val="000000" w:themeColor="text1"/>
          <w:sz w:val="20"/>
        </w:rPr>
        <w:t>l</w:t>
      </w:r>
      <w:r w:rsidRPr="0098635C">
        <w:rPr>
          <w:color w:val="000000" w:themeColor="text1"/>
          <w:sz w:val="20"/>
        </w:rPr>
        <w:t xml:space="preserve">usion, and some specifically stated that predatory invertebrates had high Cu concentrations only when their prey concentrations were high (Hunter and Johnson, 1982; Heikens et al, 2001; Wittassek, 1987). </w:t>
      </w:r>
    </w:p>
    <w:p w14:paraId="2A64058C" w14:textId="77777777" w:rsidR="0059747A" w:rsidRPr="0098635C" w:rsidRDefault="00D05142" w:rsidP="00907799">
      <w:pPr>
        <w:pStyle w:val="BodyText"/>
        <w:rPr>
          <w:b/>
          <w:i/>
          <w:color w:val="000000" w:themeColor="text1"/>
          <w:sz w:val="20"/>
        </w:rPr>
      </w:pPr>
      <w:r w:rsidRPr="0098635C">
        <w:rPr>
          <w:b/>
          <w:i/>
          <w:color w:val="000000" w:themeColor="text1"/>
          <w:sz w:val="20"/>
        </w:rPr>
        <w:t>Conclusion</w:t>
      </w:r>
      <w:r w:rsidR="0059747A" w:rsidRPr="0098635C">
        <w:rPr>
          <w:b/>
          <w:i/>
          <w:color w:val="000000" w:themeColor="text1"/>
          <w:sz w:val="20"/>
        </w:rPr>
        <w:t xml:space="preserve"> on bio-accumulation, biomagnifications and secondary poisoning</w:t>
      </w:r>
    </w:p>
    <w:p w14:paraId="5A3591FE" w14:textId="187E0BBC" w:rsidR="00907799" w:rsidRPr="0098635C" w:rsidRDefault="00D05142" w:rsidP="00907799">
      <w:pPr>
        <w:pStyle w:val="BodyText"/>
        <w:rPr>
          <w:color w:val="000000" w:themeColor="text1"/>
          <w:sz w:val="20"/>
        </w:rPr>
      </w:pPr>
      <w:r w:rsidRPr="0098635C">
        <w:rPr>
          <w:color w:val="000000" w:themeColor="text1"/>
          <w:sz w:val="20"/>
        </w:rPr>
        <w:t>Available information in open literature demonstrates that copper is well regulated in all living organisms and that the BCF and BAF values have no meaning for a hazard assessment. The data also demonstrate that copper is not biomagnified in the aquatic or terrestrial ecosystems and consequently</w:t>
      </w:r>
      <w:r w:rsidR="00C36182" w:rsidRPr="0098635C">
        <w:rPr>
          <w:color w:val="000000" w:themeColor="text1"/>
          <w:sz w:val="20"/>
        </w:rPr>
        <w:t>, secondary</w:t>
      </w:r>
      <w:r w:rsidRPr="0098635C">
        <w:rPr>
          <w:color w:val="000000" w:themeColor="text1"/>
          <w:sz w:val="20"/>
        </w:rPr>
        <w:t xml:space="preserve"> poisoning is not considered to be an issue for copper. </w:t>
      </w:r>
    </w:p>
    <w:p w14:paraId="542E97B6" w14:textId="77777777" w:rsidR="00B35104" w:rsidRPr="0098635C" w:rsidRDefault="00B05271" w:rsidP="00E974B7">
      <w:pPr>
        <w:pStyle w:val="Heading3"/>
        <w:rPr>
          <w:color w:val="000000" w:themeColor="text1"/>
          <w:sz w:val="20"/>
        </w:rPr>
      </w:pPr>
      <w:bookmarkStart w:id="120" w:name="_Toc32726023"/>
      <w:bookmarkStart w:id="121" w:name="_Toc32727206"/>
      <w:bookmarkStart w:id="122" w:name="_Toc43868654"/>
      <w:bookmarkStart w:id="123" w:name="_Toc200358242"/>
      <w:bookmarkStart w:id="124" w:name="_Toc200359258"/>
      <w:bookmarkStart w:id="125" w:name="_Toc471999416"/>
      <w:bookmarkStart w:id="126" w:name="_Toc472250859"/>
      <w:r w:rsidRPr="0098635C">
        <w:rPr>
          <w:color w:val="000000" w:themeColor="text1"/>
          <w:sz w:val="20"/>
        </w:rPr>
        <w:t>Other Information on Environmental Fate</w:t>
      </w:r>
      <w:bookmarkEnd w:id="120"/>
      <w:bookmarkEnd w:id="121"/>
      <w:bookmarkEnd w:id="122"/>
      <w:bookmarkEnd w:id="123"/>
      <w:bookmarkEnd w:id="124"/>
      <w:bookmarkEnd w:id="125"/>
      <w:bookmarkEnd w:id="126"/>
    </w:p>
    <w:p w14:paraId="1A7F042D" w14:textId="362AB2A6" w:rsidR="003443D4" w:rsidRPr="0098635C" w:rsidRDefault="00E6293B" w:rsidP="003443D4">
      <w:pPr>
        <w:pStyle w:val="BodyText"/>
        <w:rPr>
          <w:color w:val="000000" w:themeColor="text1"/>
          <w:sz w:val="20"/>
        </w:rPr>
      </w:pPr>
      <w:r w:rsidRPr="0098635C">
        <w:rPr>
          <w:color w:val="000000" w:themeColor="text1"/>
          <w:sz w:val="20"/>
        </w:rPr>
        <w:t xml:space="preserve">Copper compounds have variable degrees of solubility.  Copper sulphate and copper oxchloride are fully soluble under </w:t>
      </w:r>
      <w:r w:rsidR="00FA7E7A" w:rsidRPr="0098635C">
        <w:rPr>
          <w:color w:val="000000" w:themeColor="text1"/>
          <w:sz w:val="20"/>
        </w:rPr>
        <w:t xml:space="preserve">relevant </w:t>
      </w:r>
      <w:r w:rsidRPr="0098635C">
        <w:rPr>
          <w:color w:val="000000" w:themeColor="text1"/>
          <w:sz w:val="20"/>
        </w:rPr>
        <w:t>environ</w:t>
      </w:r>
      <w:r w:rsidR="00FA7E7A" w:rsidRPr="0098635C">
        <w:rPr>
          <w:color w:val="000000" w:themeColor="text1"/>
          <w:sz w:val="20"/>
        </w:rPr>
        <w:t xml:space="preserve">mental conditions (pH 5.5-8.5) and </w:t>
      </w:r>
      <w:r w:rsidRPr="0098635C">
        <w:rPr>
          <w:color w:val="000000" w:themeColor="text1"/>
          <w:sz w:val="20"/>
        </w:rPr>
        <w:t>concentrations. CuO and Cu</w:t>
      </w:r>
      <w:r w:rsidRPr="0098635C">
        <w:rPr>
          <w:color w:val="000000" w:themeColor="text1"/>
          <w:sz w:val="20"/>
          <w:vertAlign w:val="subscript"/>
        </w:rPr>
        <w:t>2</w:t>
      </w:r>
      <w:r w:rsidRPr="0098635C">
        <w:rPr>
          <w:color w:val="000000" w:themeColor="text1"/>
          <w:sz w:val="20"/>
        </w:rPr>
        <w:t>O have a lower solubility.</w:t>
      </w:r>
      <w:r w:rsidR="00FA7E7A" w:rsidRPr="0098635C">
        <w:rPr>
          <w:color w:val="000000" w:themeColor="text1"/>
          <w:sz w:val="20"/>
        </w:rPr>
        <w:t xml:space="preserve"> </w:t>
      </w:r>
      <w:r w:rsidRPr="0098635C">
        <w:rPr>
          <w:color w:val="000000" w:themeColor="text1"/>
          <w:sz w:val="20"/>
        </w:rPr>
        <w:t>Copper metal (Cu°) is insoluble and needs to be transformed to its ionic forms (Cu+/Cu2+) to dissolve copper-ions</w:t>
      </w:r>
      <w:r w:rsidR="00FA7E7A" w:rsidRPr="0098635C">
        <w:rPr>
          <w:color w:val="000000" w:themeColor="text1"/>
          <w:sz w:val="20"/>
        </w:rPr>
        <w:t>.</w:t>
      </w:r>
      <w:r w:rsidRPr="0098635C">
        <w:rPr>
          <w:rFonts w:eastAsia="Calibri"/>
          <w:color w:val="000000" w:themeColor="text1"/>
          <w:sz w:val="20"/>
        </w:rPr>
        <w:t xml:space="preserve"> </w:t>
      </w:r>
      <w:r w:rsidR="003443D4" w:rsidRPr="0098635C">
        <w:rPr>
          <w:color w:val="000000" w:themeColor="text1"/>
          <w:sz w:val="20"/>
        </w:rPr>
        <w:t xml:space="preserve">To define the basic hazard profile </w:t>
      </w:r>
      <w:r w:rsidR="00FA7E7A" w:rsidRPr="0098635C">
        <w:rPr>
          <w:color w:val="000000" w:themeColor="text1"/>
          <w:sz w:val="20"/>
        </w:rPr>
        <w:t>of sparingly soluble CuO and various copper forms</w:t>
      </w:r>
      <w:r w:rsidR="003443D4" w:rsidRPr="0098635C">
        <w:rPr>
          <w:color w:val="000000" w:themeColor="text1"/>
          <w:sz w:val="20"/>
        </w:rPr>
        <w:t xml:space="preserve">, transformation/dissolution tests (in accordance to the OECD guidance, Annex 10 of the GHS) were </w:t>
      </w:r>
      <w:r w:rsidR="003E583A" w:rsidRPr="0098635C">
        <w:rPr>
          <w:color w:val="000000" w:themeColor="text1"/>
          <w:sz w:val="20"/>
        </w:rPr>
        <w:t xml:space="preserve">therefore </w:t>
      </w:r>
      <w:r w:rsidR="003443D4" w:rsidRPr="0098635C">
        <w:rPr>
          <w:color w:val="000000" w:themeColor="text1"/>
          <w:sz w:val="20"/>
        </w:rPr>
        <w:t xml:space="preserve">performed. </w:t>
      </w:r>
      <w:r w:rsidR="001D1B1C" w:rsidRPr="0098635C">
        <w:rPr>
          <w:color w:val="000000" w:themeColor="text1"/>
          <w:sz w:val="20"/>
        </w:rPr>
        <w:t xml:space="preserve"> </w:t>
      </w:r>
    </w:p>
    <w:p w14:paraId="15CFEAC6" w14:textId="43AD9779" w:rsidR="003443D4" w:rsidRPr="0098635C" w:rsidRDefault="003443D4" w:rsidP="003443D4">
      <w:pPr>
        <w:pStyle w:val="BodyText"/>
        <w:rPr>
          <w:color w:val="000000" w:themeColor="text1"/>
          <w:sz w:val="20"/>
        </w:rPr>
      </w:pPr>
      <w:r w:rsidRPr="0098635C">
        <w:rPr>
          <w:color w:val="000000" w:themeColor="text1"/>
          <w:sz w:val="20"/>
        </w:rPr>
        <w:t xml:space="preserve"> The study records are </w:t>
      </w:r>
      <w:r w:rsidR="00FA7E7A" w:rsidRPr="0098635C">
        <w:rPr>
          <w:color w:val="000000" w:themeColor="text1"/>
          <w:sz w:val="20"/>
        </w:rPr>
        <w:t xml:space="preserve">included in the IUCLID Section </w:t>
      </w:r>
      <w:r w:rsidRPr="0098635C">
        <w:rPr>
          <w:color w:val="000000" w:themeColor="text1"/>
          <w:sz w:val="20"/>
        </w:rPr>
        <w:t>“Additional information on fate and pathways” and summarized below</w:t>
      </w:r>
      <w:r w:rsidR="00FA7E7A" w:rsidRPr="0098635C">
        <w:rPr>
          <w:color w:val="000000" w:themeColor="text1"/>
          <w:sz w:val="20"/>
        </w:rPr>
        <w:t>.</w:t>
      </w:r>
      <w:r w:rsidRPr="0098635C">
        <w:rPr>
          <w:color w:val="000000" w:themeColor="text1"/>
          <w:sz w:val="20"/>
        </w:rPr>
        <w:t xml:space="preserve"> </w:t>
      </w:r>
    </w:p>
    <w:p w14:paraId="646E58C9" w14:textId="09BF7A84" w:rsidR="00F658E4" w:rsidRPr="0098635C" w:rsidRDefault="00F658E4" w:rsidP="00F658E4">
      <w:pPr>
        <w:pStyle w:val="BodyText"/>
        <w:rPr>
          <w:b/>
          <w:color w:val="000000" w:themeColor="text1"/>
          <w:sz w:val="20"/>
          <w:u w:val="single"/>
        </w:rPr>
      </w:pPr>
      <w:r w:rsidRPr="0098635C">
        <w:rPr>
          <w:b/>
          <w:color w:val="000000" w:themeColor="text1"/>
          <w:sz w:val="20"/>
          <w:u w:val="single"/>
        </w:rPr>
        <w:lastRenderedPageBreak/>
        <w:t>Transformation/dissolution of CuO</w:t>
      </w:r>
    </w:p>
    <w:p w14:paraId="78511353" w14:textId="3A8FB0C6" w:rsidR="007C7E94" w:rsidRPr="0098635C" w:rsidRDefault="007C7E94" w:rsidP="007C7E94">
      <w:pPr>
        <w:pStyle w:val="BodyText"/>
        <w:rPr>
          <w:color w:val="000000" w:themeColor="text1"/>
          <w:sz w:val="20"/>
        </w:rPr>
      </w:pPr>
      <w:r w:rsidRPr="0098635C">
        <w:rPr>
          <w:color w:val="000000" w:themeColor="text1"/>
          <w:sz w:val="20"/>
        </w:rPr>
        <w:t>Transformation/dissolution of CuO was assessed at pH 6, 7 and 8 from transformation/dissolution tests, in accordance to the OECD guidance,</w:t>
      </w:r>
      <w:r w:rsidR="00DC561E" w:rsidRPr="0098635C">
        <w:rPr>
          <w:color w:val="000000" w:themeColor="text1"/>
          <w:sz w:val="20"/>
        </w:rPr>
        <w:t xml:space="preserve"> </w:t>
      </w:r>
      <w:r w:rsidRPr="0098635C">
        <w:rPr>
          <w:color w:val="000000" w:themeColor="text1"/>
          <w:sz w:val="20"/>
        </w:rPr>
        <w:t>Annex 10 of the GHS</w:t>
      </w:r>
      <w:r w:rsidR="00B6487B" w:rsidRPr="0098635C">
        <w:rPr>
          <w:color w:val="000000" w:themeColor="text1"/>
          <w:sz w:val="20"/>
        </w:rPr>
        <w:t xml:space="preserve"> </w:t>
      </w:r>
      <w:r w:rsidR="002B49FF" w:rsidRPr="0098635C">
        <w:rPr>
          <w:color w:val="000000" w:themeColor="text1"/>
          <w:sz w:val="20"/>
        </w:rPr>
        <w:t>(</w:t>
      </w:r>
      <w:r w:rsidR="00A66C58" w:rsidRPr="0098635C">
        <w:rPr>
          <w:color w:val="000000" w:themeColor="text1"/>
          <w:sz w:val="20"/>
        </w:rPr>
        <w:t>Rodriguez et al., 2000</w:t>
      </w:r>
      <w:r w:rsidR="002B49FF" w:rsidRPr="0098635C">
        <w:rPr>
          <w:color w:val="000000" w:themeColor="text1"/>
          <w:sz w:val="20"/>
        </w:rPr>
        <w:t>)</w:t>
      </w:r>
      <w:r w:rsidRPr="0098635C">
        <w:rPr>
          <w:color w:val="000000" w:themeColor="text1"/>
          <w:sz w:val="20"/>
        </w:rPr>
        <w:t xml:space="preserve">. </w:t>
      </w:r>
    </w:p>
    <w:p w14:paraId="595F3E1A" w14:textId="27748405" w:rsidR="00AD1488" w:rsidRPr="0098635C" w:rsidRDefault="00F658E4" w:rsidP="00AD1488">
      <w:pPr>
        <w:keepNext/>
        <w:keepLines/>
        <w:spacing w:after="0"/>
        <w:rPr>
          <w:color w:val="000000" w:themeColor="text1"/>
          <w:sz w:val="20"/>
          <w:szCs w:val="20"/>
        </w:rPr>
      </w:pPr>
      <w:r w:rsidRPr="0098635C">
        <w:rPr>
          <w:color w:val="000000" w:themeColor="text1"/>
          <w:sz w:val="20"/>
          <w:szCs w:val="20"/>
        </w:rPr>
        <w:t xml:space="preserve">Dissolved copper concentrations resulting from 7 and 28 days transformation/dissolution tests at 1mg/L </w:t>
      </w:r>
      <w:r w:rsidR="00A66C58" w:rsidRPr="0098635C">
        <w:rPr>
          <w:color w:val="000000" w:themeColor="text1"/>
          <w:sz w:val="20"/>
          <w:szCs w:val="20"/>
        </w:rPr>
        <w:t xml:space="preserve">at pH 6 are respectively </w:t>
      </w:r>
      <w:r w:rsidR="00DA5CCC" w:rsidRPr="0098635C">
        <w:rPr>
          <w:color w:val="000000" w:themeColor="text1"/>
          <w:sz w:val="20"/>
          <w:szCs w:val="20"/>
        </w:rPr>
        <w:t xml:space="preserve">0.049 and 0.21 mg/L.   The results </w:t>
      </w:r>
      <w:r w:rsidRPr="0098635C">
        <w:rPr>
          <w:color w:val="000000" w:themeColor="text1"/>
          <w:sz w:val="20"/>
          <w:szCs w:val="20"/>
        </w:rPr>
        <w:t>show 10 times higher copper releases at pH 6 compared to pH 7.  Copper releases at pH 8 are around detection limit for 1 mg/L loading</w:t>
      </w:r>
      <w:r w:rsidR="00795276" w:rsidRPr="0098635C">
        <w:rPr>
          <w:color w:val="000000" w:themeColor="text1"/>
          <w:sz w:val="20"/>
          <w:szCs w:val="20"/>
        </w:rPr>
        <w:t xml:space="preserve"> (see also </w:t>
      </w:r>
      <w:r w:rsidR="00795276" w:rsidRPr="0098635C">
        <w:rPr>
          <w:color w:val="000000" w:themeColor="text1"/>
          <w:sz w:val="20"/>
          <w:szCs w:val="20"/>
        </w:rPr>
        <w:fldChar w:fldCharType="begin"/>
      </w:r>
      <w:r w:rsidR="00795276" w:rsidRPr="0098635C">
        <w:rPr>
          <w:color w:val="000000" w:themeColor="text1"/>
          <w:sz w:val="20"/>
          <w:szCs w:val="20"/>
        </w:rPr>
        <w:instrText xml:space="preserve"> REF _Ref471562298 \h </w:instrText>
      </w:r>
      <w:r w:rsidR="00795276" w:rsidRPr="0098635C">
        <w:rPr>
          <w:color w:val="000000" w:themeColor="text1"/>
          <w:sz w:val="20"/>
          <w:szCs w:val="20"/>
        </w:rPr>
      </w:r>
      <w:r w:rsidR="0098635C">
        <w:rPr>
          <w:color w:val="000000" w:themeColor="text1"/>
          <w:sz w:val="20"/>
          <w:szCs w:val="20"/>
        </w:rPr>
        <w:instrText xml:space="preserve"> \* MERGEFORMAT </w:instrText>
      </w:r>
      <w:r w:rsidR="00795276" w:rsidRPr="0098635C">
        <w:rPr>
          <w:color w:val="000000" w:themeColor="text1"/>
          <w:sz w:val="20"/>
          <w:szCs w:val="20"/>
        </w:rPr>
        <w:fldChar w:fldCharType="separate"/>
      </w:r>
      <w:r w:rsidR="00795276" w:rsidRPr="0098635C">
        <w:rPr>
          <w:color w:val="000000" w:themeColor="text1"/>
          <w:sz w:val="20"/>
          <w:szCs w:val="20"/>
        </w:rPr>
        <w:t xml:space="preserve">Table </w:t>
      </w:r>
      <w:r w:rsidR="00795276" w:rsidRPr="0098635C">
        <w:rPr>
          <w:noProof/>
          <w:color w:val="000000" w:themeColor="text1"/>
          <w:sz w:val="20"/>
          <w:szCs w:val="20"/>
        </w:rPr>
        <w:t>3</w:t>
      </w:r>
      <w:r w:rsidR="00795276" w:rsidRPr="0098635C">
        <w:rPr>
          <w:color w:val="000000" w:themeColor="text1"/>
          <w:sz w:val="20"/>
          <w:szCs w:val="20"/>
        </w:rPr>
        <w:fldChar w:fldCharType="end"/>
      </w:r>
      <w:r w:rsidR="00795276" w:rsidRPr="0098635C">
        <w:rPr>
          <w:color w:val="000000" w:themeColor="text1"/>
          <w:sz w:val="20"/>
          <w:szCs w:val="20"/>
        </w:rPr>
        <w:t xml:space="preserve">).   </w:t>
      </w:r>
    </w:p>
    <w:p w14:paraId="5E1EB9EA" w14:textId="1F153F79" w:rsidR="002B49FF" w:rsidRPr="0098635C" w:rsidRDefault="002B49FF" w:rsidP="00AD1488">
      <w:pPr>
        <w:keepNext/>
        <w:keepLines/>
        <w:spacing w:after="0"/>
        <w:rPr>
          <w:color w:val="000000" w:themeColor="text1"/>
          <w:sz w:val="20"/>
          <w:szCs w:val="20"/>
        </w:rPr>
      </w:pPr>
    </w:p>
    <w:p w14:paraId="345CD508" w14:textId="77777777" w:rsidR="00523728" w:rsidRPr="0098635C" w:rsidRDefault="00523728" w:rsidP="00523728">
      <w:pPr>
        <w:pStyle w:val="BodyText"/>
        <w:rPr>
          <w:b/>
          <w:color w:val="000000" w:themeColor="text1"/>
          <w:sz w:val="20"/>
          <w:u w:val="single"/>
        </w:rPr>
      </w:pPr>
      <w:r w:rsidRPr="0098635C">
        <w:rPr>
          <w:b/>
          <w:color w:val="000000" w:themeColor="text1"/>
          <w:sz w:val="20"/>
          <w:u w:val="single"/>
        </w:rPr>
        <w:t xml:space="preserve">Transformation/dissolution of Cu° </w:t>
      </w:r>
    </w:p>
    <w:p w14:paraId="686557CA" w14:textId="340CF0A7" w:rsidR="003F6D7E" w:rsidRPr="0098635C" w:rsidRDefault="00ED1146" w:rsidP="003F6D7E">
      <w:pPr>
        <w:rPr>
          <w:rFonts w:eastAsia="Calibri"/>
          <w:color w:val="000000" w:themeColor="text1"/>
          <w:sz w:val="20"/>
          <w:szCs w:val="20"/>
        </w:rPr>
      </w:pPr>
      <w:r w:rsidRPr="0098635C">
        <w:rPr>
          <w:color w:val="000000" w:themeColor="text1"/>
          <w:sz w:val="20"/>
          <w:szCs w:val="20"/>
        </w:rPr>
        <w:t xml:space="preserve">Copper metal (Cu°) </w:t>
      </w:r>
      <w:r w:rsidR="00E230FB" w:rsidRPr="0098635C">
        <w:rPr>
          <w:color w:val="000000" w:themeColor="text1"/>
          <w:sz w:val="20"/>
          <w:szCs w:val="20"/>
        </w:rPr>
        <w:t xml:space="preserve">is insoluble and </w:t>
      </w:r>
      <w:r w:rsidRPr="0098635C">
        <w:rPr>
          <w:color w:val="000000" w:themeColor="text1"/>
          <w:sz w:val="20"/>
          <w:szCs w:val="20"/>
        </w:rPr>
        <w:t xml:space="preserve">needs to be transformed to its ionic forms (Cu+/Cu2+) to dissolve copper-ions. </w:t>
      </w:r>
      <w:r w:rsidRPr="0098635C">
        <w:rPr>
          <w:rFonts w:eastAsia="Calibri"/>
          <w:color w:val="000000" w:themeColor="text1"/>
          <w:sz w:val="20"/>
          <w:szCs w:val="20"/>
        </w:rPr>
        <w:t>Such transformation/dissolution takes place at the surface of the copper particles and, ther</w:t>
      </w:r>
      <w:r w:rsidR="00A349B9" w:rsidRPr="0098635C">
        <w:rPr>
          <w:rFonts w:eastAsia="Calibri"/>
          <w:color w:val="000000" w:themeColor="text1"/>
          <w:sz w:val="20"/>
          <w:szCs w:val="20"/>
        </w:rPr>
        <w:t>efore copper-ion releases are related to the pH and surface area exposed</w:t>
      </w:r>
      <w:r w:rsidR="00F90F10" w:rsidRPr="0098635C">
        <w:rPr>
          <w:rFonts w:eastAsia="Calibri"/>
          <w:color w:val="000000" w:themeColor="text1"/>
          <w:sz w:val="20"/>
          <w:szCs w:val="20"/>
        </w:rPr>
        <w:t xml:space="preserve"> </w:t>
      </w:r>
      <w:r w:rsidR="00F90F10" w:rsidRPr="0098635C">
        <w:rPr>
          <w:rStyle w:val="FootnoteReference"/>
          <w:rFonts w:eastAsia="Calibri"/>
          <w:color w:val="000000" w:themeColor="text1"/>
          <w:sz w:val="20"/>
          <w:szCs w:val="20"/>
        </w:rPr>
        <w:footnoteReference w:id="15"/>
      </w:r>
      <w:r w:rsidR="00A349B9" w:rsidRPr="0098635C">
        <w:rPr>
          <w:rFonts w:eastAsia="Calibri"/>
          <w:color w:val="000000" w:themeColor="text1"/>
          <w:sz w:val="20"/>
          <w:szCs w:val="20"/>
        </w:rPr>
        <w:t xml:space="preserve">.  </w:t>
      </w:r>
    </w:p>
    <w:p w14:paraId="156788E1" w14:textId="686AE186" w:rsidR="00850743" w:rsidRPr="0098635C" w:rsidRDefault="00AD6C4B" w:rsidP="00850743">
      <w:pPr>
        <w:pStyle w:val="BodyText"/>
        <w:rPr>
          <w:i/>
          <w:color w:val="000000" w:themeColor="text1"/>
          <w:sz w:val="20"/>
          <w:u w:val="single"/>
        </w:rPr>
      </w:pPr>
      <w:r w:rsidRPr="0098635C">
        <w:rPr>
          <w:i/>
          <w:color w:val="000000" w:themeColor="text1"/>
          <w:sz w:val="20"/>
          <w:u w:val="single"/>
        </w:rPr>
        <w:t xml:space="preserve">Surface area </w:t>
      </w:r>
      <w:r w:rsidR="00B03F26" w:rsidRPr="0098635C">
        <w:rPr>
          <w:i/>
          <w:color w:val="000000" w:themeColor="text1"/>
          <w:sz w:val="20"/>
          <w:u w:val="single"/>
        </w:rPr>
        <w:t xml:space="preserve">and pH </w:t>
      </w:r>
      <w:r w:rsidRPr="0098635C">
        <w:rPr>
          <w:i/>
          <w:color w:val="000000" w:themeColor="text1"/>
          <w:sz w:val="20"/>
          <w:u w:val="single"/>
        </w:rPr>
        <w:t xml:space="preserve">dependent releases of dissolved </w:t>
      </w:r>
      <w:r w:rsidR="00D05142" w:rsidRPr="0098635C">
        <w:rPr>
          <w:i/>
          <w:color w:val="000000" w:themeColor="text1"/>
          <w:sz w:val="20"/>
          <w:u w:val="single"/>
        </w:rPr>
        <w:t>coppe</w:t>
      </w:r>
      <w:r w:rsidRPr="0098635C">
        <w:rPr>
          <w:i/>
          <w:color w:val="000000" w:themeColor="text1"/>
          <w:sz w:val="20"/>
          <w:u w:val="single"/>
        </w:rPr>
        <w:t>r from Cu°</w:t>
      </w:r>
    </w:p>
    <w:p w14:paraId="3FFACCEC" w14:textId="7E47BAFD" w:rsidR="00850743" w:rsidRPr="0098635C" w:rsidRDefault="00850743" w:rsidP="00850743">
      <w:pPr>
        <w:pStyle w:val="BodyText"/>
        <w:rPr>
          <w:color w:val="000000" w:themeColor="text1"/>
          <w:sz w:val="20"/>
        </w:rPr>
      </w:pPr>
      <w:r w:rsidRPr="0098635C">
        <w:rPr>
          <w:color w:val="000000" w:themeColor="text1"/>
          <w:sz w:val="20"/>
        </w:rPr>
        <w:t xml:space="preserve">For </w:t>
      </w:r>
      <w:r w:rsidR="00E0184B" w:rsidRPr="0098635C">
        <w:rPr>
          <w:color w:val="000000" w:themeColor="text1"/>
          <w:sz w:val="20"/>
        </w:rPr>
        <w:t xml:space="preserve">pure </w:t>
      </w:r>
      <w:r w:rsidRPr="0098635C">
        <w:rPr>
          <w:color w:val="000000" w:themeColor="text1"/>
          <w:sz w:val="20"/>
        </w:rPr>
        <w:t>copper</w:t>
      </w:r>
      <w:r w:rsidR="00DA5CCC" w:rsidRPr="0098635C">
        <w:rPr>
          <w:color w:val="000000" w:themeColor="text1"/>
          <w:sz w:val="20"/>
        </w:rPr>
        <w:t xml:space="preserve"> metal </w:t>
      </w:r>
      <w:r w:rsidRPr="0098635C">
        <w:rPr>
          <w:color w:val="000000" w:themeColor="text1"/>
          <w:sz w:val="20"/>
        </w:rPr>
        <w:t xml:space="preserve">materials, transformation/dissolution tests were carried out at pH 6, 7 and 8, in accordance to the OECD </w:t>
      </w:r>
      <w:r w:rsidR="009A057B" w:rsidRPr="0098635C">
        <w:rPr>
          <w:color w:val="000000" w:themeColor="text1"/>
          <w:sz w:val="20"/>
        </w:rPr>
        <w:t>guidance</w:t>
      </w:r>
      <w:r w:rsidRPr="0098635C">
        <w:rPr>
          <w:color w:val="000000" w:themeColor="text1"/>
          <w:sz w:val="20"/>
        </w:rPr>
        <w:t xml:space="preserve"> (Annex 10 of GHS) (Rodriguez et al, 2007, </w:t>
      </w:r>
      <w:r w:rsidR="006F1BE2" w:rsidRPr="0098635C">
        <w:rPr>
          <w:color w:val="000000" w:themeColor="text1"/>
          <w:sz w:val="20"/>
        </w:rPr>
        <w:t xml:space="preserve">2008, </w:t>
      </w:r>
      <w:r w:rsidRPr="0098635C">
        <w:rPr>
          <w:color w:val="000000" w:themeColor="text1"/>
          <w:sz w:val="20"/>
        </w:rPr>
        <w:t>2011 and 2012)</w:t>
      </w:r>
      <w:r w:rsidR="002C6F71" w:rsidRPr="0098635C">
        <w:rPr>
          <w:color w:val="000000" w:themeColor="text1"/>
          <w:sz w:val="20"/>
        </w:rPr>
        <w:t xml:space="preserve"> </w:t>
      </w:r>
    </w:p>
    <w:p w14:paraId="39A23F3E" w14:textId="0F299756" w:rsidR="00850743" w:rsidRPr="0098635C" w:rsidRDefault="00850743" w:rsidP="00850743">
      <w:pPr>
        <w:pStyle w:val="BodyText"/>
        <w:rPr>
          <w:color w:val="000000" w:themeColor="text1"/>
          <w:sz w:val="20"/>
        </w:rPr>
      </w:pPr>
      <w:r w:rsidRPr="0098635C">
        <w:rPr>
          <w:color w:val="000000" w:themeColor="text1"/>
          <w:sz w:val="20"/>
        </w:rPr>
        <w:t>Rodriguez et al. (2007</w:t>
      </w:r>
      <w:r w:rsidR="00E2101F" w:rsidRPr="0098635C">
        <w:rPr>
          <w:color w:val="000000" w:themeColor="text1"/>
          <w:sz w:val="20"/>
        </w:rPr>
        <w:t xml:space="preserve">) </w:t>
      </w:r>
      <w:r w:rsidR="00B6487B" w:rsidRPr="0098635C">
        <w:rPr>
          <w:color w:val="000000" w:themeColor="text1"/>
          <w:sz w:val="20"/>
        </w:rPr>
        <w:t>performed</w:t>
      </w:r>
      <w:r w:rsidRPr="0098635C">
        <w:rPr>
          <w:color w:val="000000" w:themeColor="text1"/>
          <w:sz w:val="20"/>
        </w:rPr>
        <w:t xml:space="preserve"> during 7 and 28 days Transformation/Dissolution (T/D) tests</w:t>
      </w:r>
      <w:r w:rsidR="00B6487B" w:rsidRPr="0098635C">
        <w:rPr>
          <w:color w:val="000000" w:themeColor="text1"/>
          <w:sz w:val="20"/>
        </w:rPr>
        <w:t xml:space="preserve"> on </w:t>
      </w:r>
      <w:r w:rsidRPr="0098635C">
        <w:rPr>
          <w:color w:val="000000" w:themeColor="text1"/>
          <w:sz w:val="20"/>
        </w:rPr>
        <w:t>copper wire pieces (99.9% purity) with varying diameters.  The data demonstrated that:</w:t>
      </w:r>
    </w:p>
    <w:p w14:paraId="206102A5" w14:textId="3BF98809" w:rsidR="00D05142" w:rsidRPr="0098635C" w:rsidRDefault="00850743" w:rsidP="0059369A">
      <w:pPr>
        <w:pStyle w:val="BodyText"/>
        <w:numPr>
          <w:ilvl w:val="0"/>
          <w:numId w:val="10"/>
        </w:numPr>
        <w:spacing w:after="0"/>
        <w:rPr>
          <w:color w:val="000000" w:themeColor="text1"/>
          <w:sz w:val="20"/>
        </w:rPr>
      </w:pPr>
      <w:r w:rsidRPr="0098635C">
        <w:rPr>
          <w:color w:val="000000" w:themeColor="text1"/>
          <w:sz w:val="20"/>
        </w:rPr>
        <w:t>Copper ion releases during transformation/dissolution tests are related to the surface</w:t>
      </w:r>
      <w:r w:rsidR="00B614B0" w:rsidRPr="0098635C">
        <w:rPr>
          <w:color w:val="000000" w:themeColor="text1"/>
          <w:sz w:val="20"/>
        </w:rPr>
        <w:t xml:space="preserve"> area</w:t>
      </w:r>
      <w:r w:rsidRPr="0098635C">
        <w:rPr>
          <w:color w:val="000000" w:themeColor="text1"/>
          <w:sz w:val="20"/>
        </w:rPr>
        <w:t xml:space="preserve"> teste</w:t>
      </w:r>
      <w:r w:rsidR="00B614B0" w:rsidRPr="0098635C">
        <w:rPr>
          <w:color w:val="000000" w:themeColor="text1"/>
          <w:sz w:val="20"/>
        </w:rPr>
        <w:t>d</w:t>
      </w:r>
      <w:r w:rsidR="0082700D" w:rsidRPr="0098635C">
        <w:rPr>
          <w:color w:val="000000" w:themeColor="text1"/>
          <w:sz w:val="20"/>
        </w:rPr>
        <w:t xml:space="preserve"> (</w:t>
      </w:r>
      <w:r w:rsidR="0082700D" w:rsidRPr="0098635C">
        <w:rPr>
          <w:color w:val="000000" w:themeColor="text1"/>
          <w:sz w:val="20"/>
        </w:rPr>
        <w:fldChar w:fldCharType="begin"/>
      </w:r>
      <w:r w:rsidR="0082700D" w:rsidRPr="0098635C">
        <w:rPr>
          <w:color w:val="000000" w:themeColor="text1"/>
          <w:sz w:val="20"/>
        </w:rPr>
        <w:instrText xml:space="preserve"> REF _Ref472071661 \h </w:instrText>
      </w:r>
      <w:r w:rsidR="0082700D" w:rsidRPr="0098635C">
        <w:rPr>
          <w:color w:val="000000" w:themeColor="text1"/>
          <w:sz w:val="20"/>
        </w:rPr>
      </w:r>
      <w:r w:rsidR="0098635C">
        <w:rPr>
          <w:color w:val="000000" w:themeColor="text1"/>
          <w:sz w:val="20"/>
        </w:rPr>
        <w:instrText xml:space="preserve"> \* MERGEFORMAT </w:instrText>
      </w:r>
      <w:r w:rsidR="0082700D" w:rsidRPr="0098635C">
        <w:rPr>
          <w:color w:val="000000" w:themeColor="text1"/>
          <w:sz w:val="20"/>
        </w:rPr>
        <w:fldChar w:fldCharType="separate"/>
      </w:r>
      <w:r w:rsidR="0082700D" w:rsidRPr="0098635C">
        <w:rPr>
          <w:b/>
          <w:color w:val="000000" w:themeColor="text1"/>
          <w:sz w:val="20"/>
        </w:rPr>
        <w:t xml:space="preserve">Figure </w:t>
      </w:r>
      <w:r w:rsidR="0082700D" w:rsidRPr="0098635C">
        <w:rPr>
          <w:b/>
          <w:noProof/>
          <w:color w:val="000000" w:themeColor="text1"/>
          <w:sz w:val="20"/>
        </w:rPr>
        <w:t>4</w:t>
      </w:r>
      <w:r w:rsidR="0082700D" w:rsidRPr="0098635C">
        <w:rPr>
          <w:color w:val="000000" w:themeColor="text1"/>
          <w:sz w:val="20"/>
        </w:rPr>
        <w:fldChar w:fldCharType="end"/>
      </w:r>
      <w:r w:rsidR="0082700D" w:rsidRPr="0098635C">
        <w:rPr>
          <w:color w:val="000000" w:themeColor="text1"/>
          <w:sz w:val="20"/>
        </w:rPr>
        <w:t>)</w:t>
      </w:r>
      <w:r w:rsidRPr="0098635C">
        <w:rPr>
          <w:color w:val="000000" w:themeColor="text1"/>
          <w:sz w:val="20"/>
        </w:rPr>
        <w:t xml:space="preserve">. </w:t>
      </w:r>
    </w:p>
    <w:p w14:paraId="3C40A203" w14:textId="6EE4A166" w:rsidR="00E12077" w:rsidRPr="0098635C" w:rsidRDefault="00850743" w:rsidP="0059369A">
      <w:pPr>
        <w:pStyle w:val="BodyText"/>
        <w:numPr>
          <w:ilvl w:val="0"/>
          <w:numId w:val="10"/>
        </w:numPr>
        <w:spacing w:after="0"/>
        <w:rPr>
          <w:color w:val="000000" w:themeColor="text1"/>
          <w:sz w:val="20"/>
        </w:rPr>
      </w:pPr>
      <w:r w:rsidRPr="0098635C">
        <w:rPr>
          <w:color w:val="000000" w:themeColor="text1"/>
          <w:sz w:val="20"/>
        </w:rPr>
        <w:t>Copper ion releases during transformation/dissolution tests are pH-dependent</w:t>
      </w:r>
      <w:r w:rsidR="00E0184B" w:rsidRPr="0098635C">
        <w:rPr>
          <w:color w:val="000000" w:themeColor="text1"/>
          <w:sz w:val="20"/>
        </w:rPr>
        <w:t>.</w:t>
      </w:r>
      <w:r w:rsidRPr="0098635C">
        <w:rPr>
          <w:color w:val="000000" w:themeColor="text1"/>
          <w:sz w:val="20"/>
        </w:rPr>
        <w:t xml:space="preserve"> </w:t>
      </w:r>
      <w:r w:rsidR="006F1BE2" w:rsidRPr="0098635C">
        <w:rPr>
          <w:color w:val="000000" w:themeColor="text1"/>
          <w:sz w:val="20"/>
        </w:rPr>
        <w:t xml:space="preserve">At </w:t>
      </w:r>
      <w:r w:rsidR="00C65BA2" w:rsidRPr="0098635C">
        <w:rPr>
          <w:color w:val="000000" w:themeColor="text1"/>
          <w:sz w:val="20"/>
        </w:rPr>
        <w:t>similar loading (100</w:t>
      </w:r>
      <w:r w:rsidR="006F1BE2" w:rsidRPr="0098635C">
        <w:rPr>
          <w:color w:val="000000" w:themeColor="text1"/>
          <w:sz w:val="20"/>
        </w:rPr>
        <w:t xml:space="preserve"> </w:t>
      </w:r>
      <w:r w:rsidR="00C65BA2" w:rsidRPr="0098635C">
        <w:rPr>
          <w:color w:val="000000" w:themeColor="text1"/>
          <w:sz w:val="20"/>
        </w:rPr>
        <w:t>mg/L)</w:t>
      </w:r>
      <w:r w:rsidR="009D7069" w:rsidRPr="0098635C">
        <w:rPr>
          <w:color w:val="000000" w:themeColor="text1"/>
          <w:sz w:val="20"/>
        </w:rPr>
        <w:t>, 5</w:t>
      </w:r>
      <w:r w:rsidR="00BA4C7D" w:rsidRPr="0098635C">
        <w:rPr>
          <w:color w:val="000000" w:themeColor="text1"/>
          <w:sz w:val="20"/>
        </w:rPr>
        <w:t xml:space="preserve"> </w:t>
      </w:r>
      <w:r w:rsidR="00F410B4" w:rsidRPr="0098635C">
        <w:rPr>
          <w:color w:val="000000" w:themeColor="text1"/>
          <w:sz w:val="20"/>
        </w:rPr>
        <w:t>times higher releases were measured at pH 6 compared to pH 7</w:t>
      </w:r>
      <w:r w:rsidR="007E6CA8" w:rsidRPr="0098635C">
        <w:rPr>
          <w:color w:val="000000" w:themeColor="text1"/>
          <w:sz w:val="20"/>
        </w:rPr>
        <w:t xml:space="preserve"> and 8</w:t>
      </w:r>
      <w:r w:rsidR="0072624D" w:rsidRPr="0098635C">
        <w:rPr>
          <w:color w:val="000000" w:themeColor="text1"/>
          <w:sz w:val="20"/>
        </w:rPr>
        <w:t xml:space="preserve"> (</w:t>
      </w:r>
      <w:r w:rsidR="0082700D" w:rsidRPr="0098635C">
        <w:rPr>
          <w:color w:val="000000" w:themeColor="text1"/>
          <w:sz w:val="20"/>
        </w:rPr>
        <w:fldChar w:fldCharType="begin"/>
      </w:r>
      <w:r w:rsidR="0082700D" w:rsidRPr="0098635C">
        <w:rPr>
          <w:color w:val="000000" w:themeColor="text1"/>
          <w:sz w:val="20"/>
        </w:rPr>
        <w:instrText xml:space="preserve"> REF _Ref472071661 \h </w:instrText>
      </w:r>
      <w:r w:rsidR="0082700D" w:rsidRPr="0098635C">
        <w:rPr>
          <w:color w:val="000000" w:themeColor="text1"/>
          <w:sz w:val="20"/>
        </w:rPr>
      </w:r>
      <w:r w:rsidR="0098635C">
        <w:rPr>
          <w:color w:val="000000" w:themeColor="text1"/>
          <w:sz w:val="20"/>
        </w:rPr>
        <w:instrText xml:space="preserve"> \* MERGEFORMAT </w:instrText>
      </w:r>
      <w:r w:rsidR="0082700D" w:rsidRPr="0098635C">
        <w:rPr>
          <w:color w:val="000000" w:themeColor="text1"/>
          <w:sz w:val="20"/>
        </w:rPr>
        <w:fldChar w:fldCharType="separate"/>
      </w:r>
      <w:r w:rsidR="0082700D" w:rsidRPr="0098635C">
        <w:rPr>
          <w:b/>
          <w:color w:val="000000" w:themeColor="text1"/>
          <w:sz w:val="20"/>
        </w:rPr>
        <w:t xml:space="preserve">Figure </w:t>
      </w:r>
      <w:r w:rsidR="0082700D" w:rsidRPr="0098635C">
        <w:rPr>
          <w:b/>
          <w:noProof/>
          <w:color w:val="000000" w:themeColor="text1"/>
          <w:sz w:val="20"/>
        </w:rPr>
        <w:t>4</w:t>
      </w:r>
      <w:r w:rsidR="0082700D" w:rsidRPr="0098635C">
        <w:rPr>
          <w:color w:val="000000" w:themeColor="text1"/>
          <w:sz w:val="20"/>
        </w:rPr>
        <w:fldChar w:fldCharType="end"/>
      </w:r>
      <w:r w:rsidR="0072624D" w:rsidRPr="0098635C">
        <w:rPr>
          <w:color w:val="000000" w:themeColor="text1"/>
          <w:sz w:val="20"/>
        </w:rPr>
        <w:t xml:space="preserve">).  </w:t>
      </w:r>
    </w:p>
    <w:p w14:paraId="12D3C4F1" w14:textId="5410C7FB" w:rsidR="00392FC6" w:rsidRPr="0098635C" w:rsidRDefault="00D62861" w:rsidP="0059369A">
      <w:pPr>
        <w:pStyle w:val="BodyText"/>
        <w:numPr>
          <w:ilvl w:val="0"/>
          <w:numId w:val="10"/>
        </w:numPr>
        <w:spacing w:after="0"/>
        <w:rPr>
          <w:b/>
          <w:color w:val="000000" w:themeColor="text1"/>
          <w:sz w:val="20"/>
        </w:rPr>
      </w:pPr>
      <w:r w:rsidRPr="0098635C">
        <w:rPr>
          <w:color w:val="000000" w:themeColor="text1"/>
          <w:sz w:val="20"/>
        </w:rPr>
        <w:t xml:space="preserve">Higher stirring rates increased the intra-vessel coefficient of variation and was attributed to </w:t>
      </w:r>
      <w:r w:rsidR="00E12077" w:rsidRPr="0098635C">
        <w:rPr>
          <w:color w:val="000000" w:themeColor="text1"/>
          <w:sz w:val="20"/>
        </w:rPr>
        <w:t xml:space="preserve">abrasion </w:t>
      </w:r>
      <w:r w:rsidRPr="0098635C">
        <w:rPr>
          <w:color w:val="000000" w:themeColor="text1"/>
          <w:sz w:val="20"/>
        </w:rPr>
        <w:t>of the materials</w:t>
      </w:r>
      <w:r w:rsidR="0072624D" w:rsidRPr="0098635C">
        <w:rPr>
          <w:color w:val="000000" w:themeColor="text1"/>
          <w:sz w:val="20"/>
        </w:rPr>
        <w:t xml:space="preserve"> </w:t>
      </w:r>
      <w:r w:rsidR="00E12077" w:rsidRPr="0098635C">
        <w:rPr>
          <w:color w:val="000000" w:themeColor="text1"/>
          <w:sz w:val="20"/>
        </w:rPr>
        <w:t>(</w:t>
      </w:r>
      <w:r w:rsidR="00E12077" w:rsidRPr="0098635C">
        <w:rPr>
          <w:color w:val="000000" w:themeColor="text1"/>
          <w:sz w:val="20"/>
        </w:rPr>
        <w:fldChar w:fldCharType="begin"/>
      </w:r>
      <w:r w:rsidR="00E12077" w:rsidRPr="0098635C">
        <w:rPr>
          <w:color w:val="000000" w:themeColor="text1"/>
          <w:sz w:val="20"/>
        </w:rPr>
        <w:instrText xml:space="preserve"> REF _Ref471561380 \h </w:instrText>
      </w:r>
      <w:r w:rsidR="00E12077" w:rsidRPr="0098635C">
        <w:rPr>
          <w:color w:val="000000" w:themeColor="text1"/>
          <w:sz w:val="20"/>
        </w:rPr>
      </w:r>
      <w:r w:rsidR="0098635C">
        <w:rPr>
          <w:color w:val="000000" w:themeColor="text1"/>
          <w:sz w:val="20"/>
        </w:rPr>
        <w:instrText xml:space="preserve"> \* MERGEFORMAT </w:instrText>
      </w:r>
      <w:r w:rsidR="00E12077" w:rsidRPr="0098635C">
        <w:rPr>
          <w:color w:val="000000" w:themeColor="text1"/>
          <w:sz w:val="20"/>
        </w:rPr>
        <w:fldChar w:fldCharType="separate"/>
      </w:r>
      <w:r w:rsidR="00E12077" w:rsidRPr="0098635C">
        <w:rPr>
          <w:color w:val="000000" w:themeColor="text1"/>
          <w:sz w:val="20"/>
        </w:rPr>
        <w:t xml:space="preserve">Figure </w:t>
      </w:r>
      <w:r w:rsidR="00E12077" w:rsidRPr="0098635C">
        <w:rPr>
          <w:noProof/>
          <w:color w:val="000000" w:themeColor="text1"/>
          <w:sz w:val="20"/>
        </w:rPr>
        <w:t>5</w:t>
      </w:r>
      <w:r w:rsidR="00E12077" w:rsidRPr="0098635C">
        <w:rPr>
          <w:color w:val="000000" w:themeColor="text1"/>
          <w:sz w:val="20"/>
        </w:rPr>
        <w:fldChar w:fldCharType="end"/>
      </w:r>
      <w:r w:rsidR="00E12077" w:rsidRPr="0098635C">
        <w:rPr>
          <w:color w:val="000000" w:themeColor="text1"/>
          <w:sz w:val="20"/>
        </w:rPr>
        <w:t>)</w:t>
      </w:r>
      <w:r w:rsidRPr="0098635C">
        <w:rPr>
          <w:color w:val="000000" w:themeColor="text1"/>
          <w:sz w:val="20"/>
        </w:rPr>
        <w:t xml:space="preserve">. </w:t>
      </w:r>
      <w:r w:rsidR="003E583A" w:rsidRPr="0098635C">
        <w:rPr>
          <w:color w:val="000000" w:themeColor="text1"/>
          <w:sz w:val="20"/>
          <w:lang w:val="en-US"/>
        </w:rPr>
        <w:t xml:space="preserve">Rodriguez et al., 2008 subsequently confirmed the abrasion issue from additional tests </w:t>
      </w:r>
      <w:r w:rsidR="000968CF" w:rsidRPr="0098635C">
        <w:rPr>
          <w:color w:val="000000" w:themeColor="text1"/>
          <w:sz w:val="20"/>
          <w:lang w:val="en-US"/>
        </w:rPr>
        <w:t>and measured</w:t>
      </w:r>
      <w:r w:rsidR="003E583A" w:rsidRPr="0098635C">
        <w:rPr>
          <w:color w:val="000000" w:themeColor="text1"/>
          <w:sz w:val="20"/>
          <w:lang w:val="en-US"/>
        </w:rPr>
        <w:t xml:space="preserve"> 6 times lower releases with </w:t>
      </w:r>
      <w:r w:rsidR="003E583A" w:rsidRPr="0098635C">
        <w:rPr>
          <w:color w:val="000000" w:themeColor="text1"/>
          <w:sz w:val="20"/>
        </w:rPr>
        <w:t>copper wire mounted on polypropylene discs</w:t>
      </w:r>
      <w:r w:rsidR="003E583A" w:rsidRPr="0098635C">
        <w:rPr>
          <w:color w:val="000000" w:themeColor="text1"/>
          <w:sz w:val="20"/>
          <w:lang w:val="en-US"/>
        </w:rPr>
        <w:t xml:space="preserve"> (no abrasion) compared to the original classic test-set-up (with abrasion). </w:t>
      </w:r>
      <w:bookmarkStart w:id="127" w:name="_Ref394929528"/>
    </w:p>
    <w:p w14:paraId="10FC6B03" w14:textId="77777777" w:rsidR="00392FC6" w:rsidRPr="0098635C" w:rsidRDefault="00E12077" w:rsidP="00284FC8">
      <w:pPr>
        <w:pStyle w:val="BodyText"/>
        <w:spacing w:after="0"/>
        <w:jc w:val="center"/>
        <w:rPr>
          <w:b/>
          <w:color w:val="000000" w:themeColor="text1"/>
          <w:sz w:val="20"/>
        </w:rPr>
      </w:pPr>
      <w:r w:rsidRPr="0098635C">
        <w:rPr>
          <w:noProof/>
          <w:color w:val="000000" w:themeColor="text1"/>
          <w:sz w:val="20"/>
          <w:lang w:eastAsia="en-GB"/>
        </w:rPr>
        <w:drawing>
          <wp:inline distT="0" distB="0" distL="0" distR="0" wp14:anchorId="3F80E0BC" wp14:editId="4E3A5085">
            <wp:extent cx="3117850" cy="2375925"/>
            <wp:effectExtent l="0" t="0" r="0" b="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srcRect/>
                    <a:stretch>
                      <a:fillRect/>
                    </a:stretch>
                  </pic:blipFill>
                  <pic:spPr bwMode="auto">
                    <a:xfrm>
                      <a:off x="0" y="0"/>
                      <a:ext cx="3114909" cy="2373684"/>
                    </a:xfrm>
                    <a:prstGeom prst="rect">
                      <a:avLst/>
                    </a:prstGeom>
                    <a:noFill/>
                    <a:ln w="9525">
                      <a:noFill/>
                      <a:miter lim="800000"/>
                      <a:headEnd/>
                      <a:tailEnd/>
                    </a:ln>
                  </pic:spPr>
                </pic:pic>
              </a:graphicData>
            </a:graphic>
          </wp:inline>
        </w:drawing>
      </w:r>
      <w:bookmarkStart w:id="128" w:name="_Ref471561350"/>
    </w:p>
    <w:p w14:paraId="65A39AFF" w14:textId="1BAC22F9" w:rsidR="007F51A5" w:rsidRPr="0098635C" w:rsidRDefault="00EB010E" w:rsidP="00284FC8">
      <w:pPr>
        <w:pStyle w:val="BodyText"/>
        <w:spacing w:after="0"/>
        <w:jc w:val="center"/>
        <w:rPr>
          <w:color w:val="000000" w:themeColor="text1"/>
          <w:sz w:val="20"/>
        </w:rPr>
      </w:pPr>
      <w:bookmarkStart w:id="129" w:name="_Ref472071661"/>
      <w:r w:rsidRPr="0098635C">
        <w:rPr>
          <w:b/>
          <w:color w:val="000000" w:themeColor="text1"/>
          <w:sz w:val="20"/>
        </w:rPr>
        <w:t xml:space="preserve">Figure </w:t>
      </w:r>
      <w:r w:rsidR="008D2151" w:rsidRPr="0098635C">
        <w:rPr>
          <w:b/>
          <w:color w:val="000000" w:themeColor="text1"/>
          <w:sz w:val="20"/>
        </w:rPr>
        <w:fldChar w:fldCharType="begin"/>
      </w:r>
      <w:r w:rsidR="008D2151" w:rsidRPr="0098635C">
        <w:rPr>
          <w:b/>
          <w:color w:val="000000" w:themeColor="text1"/>
          <w:sz w:val="20"/>
        </w:rPr>
        <w:instrText xml:space="preserve"> SEQ Figure \* ARABIC </w:instrText>
      </w:r>
      <w:r w:rsidR="008D2151" w:rsidRPr="0098635C">
        <w:rPr>
          <w:b/>
          <w:color w:val="000000" w:themeColor="text1"/>
          <w:sz w:val="20"/>
        </w:rPr>
        <w:fldChar w:fldCharType="separate"/>
      </w:r>
      <w:r w:rsidR="00E12077" w:rsidRPr="0098635C">
        <w:rPr>
          <w:b/>
          <w:noProof/>
          <w:color w:val="000000" w:themeColor="text1"/>
          <w:sz w:val="20"/>
        </w:rPr>
        <w:t>4</w:t>
      </w:r>
      <w:r w:rsidR="008D2151" w:rsidRPr="0098635C">
        <w:rPr>
          <w:b/>
          <w:color w:val="000000" w:themeColor="text1"/>
          <w:sz w:val="20"/>
        </w:rPr>
        <w:fldChar w:fldCharType="end"/>
      </w:r>
      <w:bookmarkEnd w:id="127"/>
      <w:bookmarkEnd w:id="128"/>
      <w:bookmarkEnd w:id="129"/>
      <w:r w:rsidRPr="0098635C">
        <w:rPr>
          <w:b/>
          <w:color w:val="000000" w:themeColor="text1"/>
          <w:sz w:val="20"/>
        </w:rPr>
        <w:t xml:space="preserve">: </w:t>
      </w:r>
      <w:bookmarkStart w:id="130" w:name="_Ref394929498"/>
      <w:r w:rsidRPr="0098635C">
        <w:rPr>
          <w:b/>
          <w:color w:val="000000" w:themeColor="text1"/>
          <w:sz w:val="20"/>
        </w:rPr>
        <w:t>Copper releases during transformation/dissolution of copper wire pieces at various loadings and surface areas</w:t>
      </w:r>
      <w:bookmarkEnd w:id="130"/>
      <w:r w:rsidRPr="0098635C">
        <w:rPr>
          <w:b/>
          <w:color w:val="000000" w:themeColor="text1"/>
          <w:sz w:val="20"/>
        </w:rPr>
        <w:t xml:space="preserve"> </w:t>
      </w:r>
      <w:r w:rsidR="0055123E" w:rsidRPr="0098635C">
        <w:rPr>
          <w:b/>
          <w:color w:val="000000" w:themeColor="text1"/>
          <w:sz w:val="20"/>
        </w:rPr>
        <w:t>(Rodriguez et al., 2007)</w:t>
      </w:r>
    </w:p>
    <w:p w14:paraId="03F822C1" w14:textId="77777777" w:rsidR="000D48A2" w:rsidRPr="0098635C" w:rsidRDefault="000D48A2" w:rsidP="00284FC8">
      <w:pPr>
        <w:pStyle w:val="BodyText"/>
        <w:spacing w:after="0"/>
        <w:rPr>
          <w:color w:val="000000" w:themeColor="text1"/>
          <w:sz w:val="20"/>
        </w:rPr>
      </w:pPr>
    </w:p>
    <w:p w14:paraId="208A14F0" w14:textId="77777777" w:rsidR="00392FC6" w:rsidRPr="0098635C" w:rsidRDefault="000D48A2" w:rsidP="00284FC8">
      <w:pPr>
        <w:jc w:val="center"/>
        <w:rPr>
          <w:color w:val="000000" w:themeColor="text1"/>
          <w:sz w:val="20"/>
          <w:szCs w:val="20"/>
        </w:rPr>
      </w:pPr>
      <w:r w:rsidRPr="0098635C">
        <w:rPr>
          <w:noProof/>
          <w:color w:val="000000" w:themeColor="text1"/>
          <w:sz w:val="20"/>
          <w:szCs w:val="20"/>
          <w:lang w:eastAsia="en-GB"/>
        </w:rPr>
        <w:lastRenderedPageBreak/>
        <w:drawing>
          <wp:inline distT="0" distB="0" distL="0" distR="0" wp14:anchorId="7DF095F9" wp14:editId="11B6740F">
            <wp:extent cx="2792149" cy="2324100"/>
            <wp:effectExtent l="0" t="0" r="0" b="0"/>
            <wp:docPr id="1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2793356" cy="2325105"/>
                    </a:xfrm>
                    <a:prstGeom prst="rect">
                      <a:avLst/>
                    </a:prstGeom>
                    <a:noFill/>
                    <a:ln w="9525">
                      <a:noFill/>
                      <a:miter lim="800000"/>
                      <a:headEnd/>
                      <a:tailEnd/>
                    </a:ln>
                  </pic:spPr>
                </pic:pic>
              </a:graphicData>
            </a:graphic>
          </wp:inline>
        </w:drawing>
      </w:r>
      <w:bookmarkStart w:id="131" w:name="_Ref471561380"/>
    </w:p>
    <w:p w14:paraId="36B26232" w14:textId="67CF4D69" w:rsidR="000D48A2" w:rsidRPr="0098635C" w:rsidRDefault="00E12077" w:rsidP="0082700D">
      <w:pPr>
        <w:jc w:val="center"/>
        <w:rPr>
          <w:color w:val="000000" w:themeColor="text1"/>
          <w:sz w:val="20"/>
          <w:szCs w:val="20"/>
        </w:rPr>
      </w:pPr>
      <w:r w:rsidRPr="0098635C">
        <w:rPr>
          <w:b/>
          <w:color w:val="000000" w:themeColor="text1"/>
          <w:sz w:val="20"/>
          <w:szCs w:val="20"/>
        </w:rPr>
        <w:t xml:space="preserve">Figure </w:t>
      </w:r>
      <w:r w:rsidRPr="0098635C">
        <w:rPr>
          <w:b/>
          <w:color w:val="000000" w:themeColor="text1"/>
          <w:sz w:val="20"/>
          <w:szCs w:val="20"/>
        </w:rPr>
        <w:fldChar w:fldCharType="begin"/>
      </w:r>
      <w:r w:rsidRPr="0098635C">
        <w:rPr>
          <w:b/>
          <w:color w:val="000000" w:themeColor="text1"/>
          <w:sz w:val="20"/>
          <w:szCs w:val="20"/>
        </w:rPr>
        <w:instrText xml:space="preserve"> SEQ Figure \* ARABIC </w:instrText>
      </w:r>
      <w:r w:rsidRPr="0098635C">
        <w:rPr>
          <w:b/>
          <w:color w:val="000000" w:themeColor="text1"/>
          <w:sz w:val="20"/>
          <w:szCs w:val="20"/>
        </w:rPr>
        <w:fldChar w:fldCharType="separate"/>
      </w:r>
      <w:r w:rsidRPr="0098635C">
        <w:rPr>
          <w:b/>
          <w:noProof/>
          <w:color w:val="000000" w:themeColor="text1"/>
          <w:sz w:val="20"/>
          <w:szCs w:val="20"/>
        </w:rPr>
        <w:t>5</w:t>
      </w:r>
      <w:r w:rsidRPr="0098635C">
        <w:rPr>
          <w:b/>
          <w:color w:val="000000" w:themeColor="text1"/>
          <w:sz w:val="20"/>
          <w:szCs w:val="20"/>
        </w:rPr>
        <w:fldChar w:fldCharType="end"/>
      </w:r>
      <w:bookmarkEnd w:id="131"/>
      <w:r w:rsidRPr="0098635C">
        <w:rPr>
          <w:b/>
          <w:color w:val="000000" w:themeColor="text1"/>
          <w:sz w:val="20"/>
          <w:szCs w:val="20"/>
        </w:rPr>
        <w:t>: Transformation-dissolution of copper (0.16 mm diameter wires) at pH 6.0, 100 mg/L loading for 24 hours, plotted versus the stirring rate (Rodriguez et al., 2007)</w:t>
      </w:r>
    </w:p>
    <w:p w14:paraId="37E8553D" w14:textId="737F8FA2" w:rsidR="000968CF" w:rsidRPr="0098635C" w:rsidRDefault="0045039C" w:rsidP="00284FC8">
      <w:pPr>
        <w:rPr>
          <w:color w:val="000000" w:themeColor="text1"/>
          <w:sz w:val="20"/>
          <w:szCs w:val="20"/>
        </w:rPr>
      </w:pPr>
      <w:r w:rsidRPr="0098635C">
        <w:rPr>
          <w:color w:val="000000" w:themeColor="text1"/>
          <w:sz w:val="20"/>
          <w:szCs w:val="20"/>
        </w:rPr>
        <w:t>Rodriguez et al. (201</w:t>
      </w:r>
      <w:r w:rsidR="00B1698B" w:rsidRPr="0098635C">
        <w:rPr>
          <w:color w:val="000000" w:themeColor="text1"/>
          <w:sz w:val="20"/>
          <w:szCs w:val="20"/>
        </w:rPr>
        <w:t>1 and 2012</w:t>
      </w:r>
      <w:r w:rsidRPr="0098635C">
        <w:rPr>
          <w:color w:val="000000" w:themeColor="text1"/>
          <w:sz w:val="20"/>
          <w:szCs w:val="20"/>
        </w:rPr>
        <w:t xml:space="preserve">) avoided abrasion </w:t>
      </w:r>
      <w:r w:rsidR="00DE361F" w:rsidRPr="0098635C">
        <w:rPr>
          <w:color w:val="000000" w:themeColor="text1"/>
          <w:sz w:val="20"/>
          <w:szCs w:val="20"/>
        </w:rPr>
        <w:t>with</w:t>
      </w:r>
      <w:r w:rsidRPr="0098635C">
        <w:rPr>
          <w:color w:val="000000" w:themeColor="text1"/>
          <w:sz w:val="20"/>
          <w:szCs w:val="20"/>
        </w:rPr>
        <w:t xml:space="preserve"> </w:t>
      </w:r>
      <w:r w:rsidR="00F07823" w:rsidRPr="0098635C">
        <w:rPr>
          <w:color w:val="000000" w:themeColor="text1"/>
          <w:sz w:val="20"/>
          <w:szCs w:val="20"/>
        </w:rPr>
        <w:t xml:space="preserve">2 </w:t>
      </w:r>
      <w:r w:rsidRPr="0098635C">
        <w:rPr>
          <w:color w:val="000000" w:themeColor="text1"/>
          <w:sz w:val="20"/>
          <w:szCs w:val="20"/>
        </w:rPr>
        <w:t>non-abrasion devices</w:t>
      </w:r>
      <w:r w:rsidR="00DA5CCC" w:rsidRPr="0098635C">
        <w:rPr>
          <w:color w:val="000000" w:themeColor="text1"/>
          <w:sz w:val="20"/>
          <w:szCs w:val="20"/>
        </w:rPr>
        <w:t>: copper wire mounted on polypropylene discs and copper massive mounted in epoxy</w:t>
      </w:r>
      <w:r w:rsidR="00B6487B" w:rsidRPr="0098635C">
        <w:rPr>
          <w:color w:val="000000" w:themeColor="text1"/>
          <w:sz w:val="20"/>
          <w:szCs w:val="20"/>
        </w:rPr>
        <w:t xml:space="preserve"> and polished</w:t>
      </w:r>
      <w:r w:rsidR="00DA5CCC" w:rsidRPr="0098635C">
        <w:rPr>
          <w:color w:val="000000" w:themeColor="text1"/>
          <w:sz w:val="20"/>
          <w:szCs w:val="20"/>
        </w:rPr>
        <w:t>.</w:t>
      </w:r>
      <w:r w:rsidR="00CD4DE0" w:rsidRPr="0098635C">
        <w:rPr>
          <w:color w:val="000000" w:themeColor="text1"/>
          <w:sz w:val="20"/>
          <w:szCs w:val="20"/>
        </w:rPr>
        <w:t xml:space="preserve"> </w:t>
      </w:r>
      <w:r w:rsidR="003E583A" w:rsidRPr="0098635C">
        <w:rPr>
          <w:color w:val="000000" w:themeColor="text1"/>
          <w:sz w:val="20"/>
          <w:szCs w:val="20"/>
        </w:rPr>
        <w:t xml:space="preserve">The epoxy mounted tests demonstrated the lowest coefficients of variation and </w:t>
      </w:r>
      <w:r w:rsidR="00A2056B" w:rsidRPr="0098635C">
        <w:rPr>
          <w:color w:val="000000" w:themeColor="text1"/>
          <w:sz w:val="20"/>
          <w:szCs w:val="20"/>
        </w:rPr>
        <w:t>are therefore preferred for</w:t>
      </w:r>
      <w:r w:rsidR="003E583A" w:rsidRPr="0098635C">
        <w:rPr>
          <w:color w:val="000000" w:themeColor="text1"/>
          <w:sz w:val="20"/>
          <w:szCs w:val="20"/>
        </w:rPr>
        <w:t xml:space="preserve"> further </w:t>
      </w:r>
      <w:r w:rsidR="00C36182" w:rsidRPr="0098635C">
        <w:rPr>
          <w:color w:val="000000" w:themeColor="text1"/>
          <w:sz w:val="20"/>
          <w:szCs w:val="20"/>
        </w:rPr>
        <w:t>assessments</w:t>
      </w:r>
      <w:r w:rsidR="003E583A" w:rsidRPr="0098635C">
        <w:rPr>
          <w:color w:val="000000" w:themeColor="text1"/>
          <w:sz w:val="20"/>
          <w:szCs w:val="20"/>
        </w:rPr>
        <w:t xml:space="preserve">/evaluations. </w:t>
      </w:r>
    </w:p>
    <w:p w14:paraId="3DE6C57D" w14:textId="798710F3" w:rsidR="00CD4DE0" w:rsidRPr="0098635C" w:rsidRDefault="00CD4DE0" w:rsidP="0059369A">
      <w:pPr>
        <w:pStyle w:val="ListParagraph"/>
        <w:numPr>
          <w:ilvl w:val="0"/>
          <w:numId w:val="10"/>
        </w:numPr>
        <w:rPr>
          <w:color w:val="000000" w:themeColor="text1"/>
          <w:sz w:val="20"/>
          <w:szCs w:val="20"/>
        </w:rPr>
      </w:pPr>
      <w:r w:rsidRPr="0098635C">
        <w:rPr>
          <w:color w:val="000000" w:themeColor="text1"/>
          <w:sz w:val="20"/>
          <w:szCs w:val="20"/>
        </w:rPr>
        <w:t xml:space="preserve">Rodriguez et al., </w:t>
      </w:r>
      <w:r w:rsidR="00B6487B" w:rsidRPr="0098635C">
        <w:rPr>
          <w:color w:val="000000" w:themeColor="text1"/>
          <w:sz w:val="20"/>
          <w:szCs w:val="20"/>
        </w:rPr>
        <w:t>2011 measured</w:t>
      </w:r>
      <w:r w:rsidR="00385307" w:rsidRPr="0098635C">
        <w:rPr>
          <w:color w:val="000000" w:themeColor="text1"/>
          <w:sz w:val="20"/>
          <w:szCs w:val="20"/>
        </w:rPr>
        <w:t xml:space="preserve"> </w:t>
      </w:r>
      <w:r w:rsidR="00B6487B" w:rsidRPr="0098635C">
        <w:rPr>
          <w:color w:val="000000" w:themeColor="text1"/>
          <w:sz w:val="20"/>
          <w:szCs w:val="20"/>
        </w:rPr>
        <w:t xml:space="preserve">19 µg dissolved Cu/L </w:t>
      </w:r>
      <w:r w:rsidR="00385307" w:rsidRPr="0098635C">
        <w:rPr>
          <w:color w:val="000000" w:themeColor="text1"/>
          <w:sz w:val="20"/>
          <w:szCs w:val="20"/>
        </w:rPr>
        <w:t>after 7 days transformation/</w:t>
      </w:r>
      <w:r w:rsidR="00C36182" w:rsidRPr="0098635C">
        <w:rPr>
          <w:color w:val="000000" w:themeColor="text1"/>
          <w:sz w:val="20"/>
          <w:szCs w:val="20"/>
        </w:rPr>
        <w:t>dissolution of</w:t>
      </w:r>
      <w:r w:rsidR="00FC4B1C" w:rsidRPr="0098635C">
        <w:rPr>
          <w:color w:val="000000" w:themeColor="text1"/>
          <w:sz w:val="20"/>
          <w:szCs w:val="20"/>
        </w:rPr>
        <w:t xml:space="preserve"> </w:t>
      </w:r>
      <w:r w:rsidR="00B6487B" w:rsidRPr="0098635C">
        <w:rPr>
          <w:color w:val="000000" w:themeColor="text1"/>
          <w:sz w:val="20"/>
          <w:szCs w:val="20"/>
        </w:rPr>
        <w:t xml:space="preserve">polished epoxy-mounted copper surfaces </w:t>
      </w:r>
      <w:r w:rsidRPr="0098635C">
        <w:rPr>
          <w:color w:val="000000" w:themeColor="text1"/>
          <w:sz w:val="20"/>
          <w:szCs w:val="20"/>
        </w:rPr>
        <w:t>at</w:t>
      </w:r>
      <w:r w:rsidR="000968CF" w:rsidRPr="0098635C">
        <w:rPr>
          <w:color w:val="000000" w:themeColor="text1"/>
          <w:sz w:val="20"/>
          <w:szCs w:val="20"/>
        </w:rPr>
        <w:t xml:space="preserve"> relative high surface loading (43 mm</w:t>
      </w:r>
      <w:r w:rsidR="000968CF" w:rsidRPr="0098635C">
        <w:rPr>
          <w:color w:val="000000" w:themeColor="text1"/>
          <w:sz w:val="20"/>
          <w:szCs w:val="20"/>
          <w:vertAlign w:val="superscript"/>
        </w:rPr>
        <w:t>2</w:t>
      </w:r>
      <w:r w:rsidR="000968CF" w:rsidRPr="0098635C">
        <w:rPr>
          <w:color w:val="000000" w:themeColor="text1"/>
          <w:sz w:val="20"/>
          <w:szCs w:val="20"/>
        </w:rPr>
        <w:t xml:space="preserve">/L) and </w:t>
      </w:r>
      <w:r w:rsidR="00E034C6" w:rsidRPr="0098635C">
        <w:rPr>
          <w:color w:val="000000" w:themeColor="text1"/>
          <w:sz w:val="20"/>
          <w:szCs w:val="20"/>
        </w:rPr>
        <w:t xml:space="preserve">at </w:t>
      </w:r>
      <w:r w:rsidRPr="0098635C">
        <w:rPr>
          <w:color w:val="000000" w:themeColor="text1"/>
          <w:sz w:val="20"/>
          <w:szCs w:val="20"/>
        </w:rPr>
        <w:t xml:space="preserve">pH 6, corresponding to a surface-specific releases </w:t>
      </w:r>
      <w:r w:rsidR="00C36182" w:rsidRPr="0098635C">
        <w:rPr>
          <w:color w:val="000000" w:themeColor="text1"/>
          <w:sz w:val="20"/>
          <w:szCs w:val="20"/>
        </w:rPr>
        <w:t>of 0.14</w:t>
      </w:r>
      <w:r w:rsidR="00A2056B" w:rsidRPr="0098635C">
        <w:rPr>
          <w:color w:val="000000" w:themeColor="text1"/>
          <w:sz w:val="20"/>
          <w:szCs w:val="20"/>
        </w:rPr>
        <w:t xml:space="preserve"> µg Cu/ 7 days.mm</w:t>
      </w:r>
      <w:r w:rsidR="00A2056B" w:rsidRPr="0098635C">
        <w:rPr>
          <w:color w:val="000000" w:themeColor="text1"/>
          <w:sz w:val="20"/>
          <w:szCs w:val="20"/>
          <w:vertAlign w:val="superscript"/>
        </w:rPr>
        <w:t>2</w:t>
      </w:r>
      <w:r w:rsidR="00B6487B" w:rsidRPr="0098635C">
        <w:rPr>
          <w:color w:val="000000" w:themeColor="text1"/>
          <w:sz w:val="20"/>
          <w:szCs w:val="20"/>
        </w:rPr>
        <w:t xml:space="preserve">. </w:t>
      </w:r>
      <w:r w:rsidR="000968CF" w:rsidRPr="0098635C">
        <w:rPr>
          <w:color w:val="000000" w:themeColor="text1"/>
          <w:sz w:val="20"/>
          <w:szCs w:val="20"/>
        </w:rPr>
        <w:t xml:space="preserve"> When using the copper wire mounted on polypropylene discs (at 47 mm</w:t>
      </w:r>
      <w:r w:rsidR="000968CF" w:rsidRPr="0098635C">
        <w:rPr>
          <w:color w:val="000000" w:themeColor="text1"/>
          <w:sz w:val="20"/>
          <w:szCs w:val="20"/>
          <w:vertAlign w:val="superscript"/>
        </w:rPr>
        <w:t>2</w:t>
      </w:r>
      <w:r w:rsidR="000968CF" w:rsidRPr="0098635C">
        <w:rPr>
          <w:color w:val="000000" w:themeColor="text1"/>
          <w:sz w:val="20"/>
          <w:szCs w:val="20"/>
        </w:rPr>
        <w:t>/L), t</w:t>
      </w:r>
      <w:r w:rsidR="00385307" w:rsidRPr="0098635C">
        <w:rPr>
          <w:color w:val="000000" w:themeColor="text1"/>
          <w:sz w:val="20"/>
          <w:szCs w:val="20"/>
        </w:rPr>
        <w:t xml:space="preserve">hey measured </w:t>
      </w:r>
      <w:r w:rsidR="00B6487B" w:rsidRPr="0098635C">
        <w:rPr>
          <w:color w:val="000000" w:themeColor="text1"/>
          <w:sz w:val="20"/>
          <w:szCs w:val="20"/>
        </w:rPr>
        <w:t>6</w:t>
      </w:r>
      <w:r w:rsidR="00385307" w:rsidRPr="0098635C">
        <w:rPr>
          <w:color w:val="000000" w:themeColor="text1"/>
          <w:sz w:val="20"/>
          <w:szCs w:val="20"/>
        </w:rPr>
        <w:t xml:space="preserve"> µg dissolved Cu/L</w:t>
      </w:r>
      <w:r w:rsidR="00B6487B" w:rsidRPr="0098635C">
        <w:rPr>
          <w:color w:val="000000" w:themeColor="text1"/>
          <w:sz w:val="20"/>
          <w:szCs w:val="20"/>
        </w:rPr>
        <w:t>,</w:t>
      </w:r>
      <w:r w:rsidR="00385307" w:rsidRPr="0098635C">
        <w:rPr>
          <w:color w:val="000000" w:themeColor="text1"/>
          <w:sz w:val="20"/>
          <w:szCs w:val="20"/>
        </w:rPr>
        <w:t xml:space="preserve"> corresponding to </w:t>
      </w:r>
      <w:r w:rsidR="00FC4B1C" w:rsidRPr="0098635C">
        <w:rPr>
          <w:color w:val="000000" w:themeColor="text1"/>
          <w:sz w:val="20"/>
          <w:szCs w:val="20"/>
        </w:rPr>
        <w:t>a surface-specific releases of 0.</w:t>
      </w:r>
      <w:r w:rsidR="00385307" w:rsidRPr="0098635C">
        <w:rPr>
          <w:color w:val="000000" w:themeColor="text1"/>
          <w:sz w:val="20"/>
          <w:szCs w:val="20"/>
        </w:rPr>
        <w:t>14 µg Cu/ 7 days.mm</w:t>
      </w:r>
      <w:r w:rsidR="00385307" w:rsidRPr="0098635C">
        <w:rPr>
          <w:color w:val="000000" w:themeColor="text1"/>
          <w:sz w:val="20"/>
          <w:szCs w:val="20"/>
          <w:vertAlign w:val="superscript"/>
        </w:rPr>
        <w:t>2</w:t>
      </w:r>
      <w:r w:rsidR="00385307" w:rsidRPr="0098635C">
        <w:rPr>
          <w:color w:val="000000" w:themeColor="text1"/>
          <w:sz w:val="20"/>
          <w:szCs w:val="20"/>
        </w:rPr>
        <w:t>.</w:t>
      </w:r>
    </w:p>
    <w:p w14:paraId="455736AB" w14:textId="41546DA9" w:rsidR="00B6487B" w:rsidRPr="0098635C" w:rsidRDefault="00B6487B" w:rsidP="0059369A">
      <w:pPr>
        <w:pStyle w:val="ListParagraph"/>
        <w:numPr>
          <w:ilvl w:val="0"/>
          <w:numId w:val="10"/>
        </w:numPr>
        <w:spacing w:after="0"/>
        <w:rPr>
          <w:color w:val="000000" w:themeColor="text1"/>
          <w:sz w:val="20"/>
          <w:szCs w:val="20"/>
        </w:rPr>
      </w:pPr>
      <w:r w:rsidRPr="0098635C">
        <w:rPr>
          <w:color w:val="000000" w:themeColor="text1"/>
          <w:sz w:val="20"/>
          <w:szCs w:val="20"/>
        </w:rPr>
        <w:t xml:space="preserve">At a </w:t>
      </w:r>
      <w:r w:rsidR="000968CF" w:rsidRPr="0098635C">
        <w:rPr>
          <w:color w:val="000000" w:themeColor="text1"/>
          <w:sz w:val="20"/>
          <w:szCs w:val="20"/>
        </w:rPr>
        <w:t xml:space="preserve">low </w:t>
      </w:r>
      <w:r w:rsidRPr="0098635C">
        <w:rPr>
          <w:color w:val="000000" w:themeColor="text1"/>
          <w:sz w:val="20"/>
          <w:szCs w:val="20"/>
        </w:rPr>
        <w:t xml:space="preserve">surface area </w:t>
      </w:r>
      <w:r w:rsidR="000968CF" w:rsidRPr="0098635C">
        <w:rPr>
          <w:color w:val="000000" w:themeColor="text1"/>
          <w:sz w:val="20"/>
          <w:szCs w:val="20"/>
        </w:rPr>
        <w:t>loading (</w:t>
      </w:r>
      <w:r w:rsidRPr="0098635C">
        <w:rPr>
          <w:color w:val="000000" w:themeColor="text1"/>
          <w:sz w:val="20"/>
          <w:szCs w:val="20"/>
        </w:rPr>
        <w:t>0.67 mm</w:t>
      </w:r>
      <w:r w:rsidRPr="0098635C">
        <w:rPr>
          <w:color w:val="000000" w:themeColor="text1"/>
          <w:sz w:val="20"/>
          <w:szCs w:val="20"/>
          <w:vertAlign w:val="superscript"/>
        </w:rPr>
        <w:t>2</w:t>
      </w:r>
      <w:r w:rsidRPr="0098635C">
        <w:rPr>
          <w:color w:val="000000" w:themeColor="text1"/>
          <w:sz w:val="20"/>
          <w:szCs w:val="20"/>
        </w:rPr>
        <w:t>/L</w:t>
      </w:r>
      <w:r w:rsidR="000968CF" w:rsidRPr="0098635C">
        <w:rPr>
          <w:color w:val="000000" w:themeColor="text1"/>
          <w:sz w:val="20"/>
          <w:szCs w:val="20"/>
        </w:rPr>
        <w:t xml:space="preserve"> - </w:t>
      </w:r>
      <w:r w:rsidRPr="0098635C">
        <w:rPr>
          <w:color w:val="000000" w:themeColor="text1"/>
          <w:sz w:val="20"/>
          <w:szCs w:val="20"/>
        </w:rPr>
        <w:t>epoxy-mounted), Rodriguez et al.,</w:t>
      </w:r>
      <w:r w:rsidR="00E034C6" w:rsidRPr="0098635C">
        <w:rPr>
          <w:color w:val="000000" w:themeColor="text1"/>
          <w:sz w:val="20"/>
          <w:szCs w:val="20"/>
        </w:rPr>
        <w:t xml:space="preserve"> </w:t>
      </w:r>
      <w:r w:rsidRPr="0098635C">
        <w:rPr>
          <w:color w:val="000000" w:themeColor="text1"/>
          <w:sz w:val="20"/>
          <w:szCs w:val="20"/>
        </w:rPr>
        <w:t>2012  measured 1 µg dissolved Cu/L (around detection limit) after 7 days T/D tests at pH 6 and 3.4 µg dissolved Cu/L after 28 days T/D test</w:t>
      </w:r>
      <w:r w:rsidR="000968CF" w:rsidRPr="0098635C">
        <w:rPr>
          <w:color w:val="000000" w:themeColor="text1"/>
          <w:sz w:val="20"/>
          <w:szCs w:val="20"/>
        </w:rPr>
        <w:t xml:space="preserve"> at pH 6</w:t>
      </w:r>
      <w:r w:rsidRPr="0098635C">
        <w:rPr>
          <w:color w:val="000000" w:themeColor="text1"/>
          <w:sz w:val="20"/>
          <w:szCs w:val="20"/>
        </w:rPr>
        <w:t>. The 7 and 28 days release data at relative low mass loading therefore corresponds to a surface-specific releases of respectively 1.5</w:t>
      </w:r>
      <w:r w:rsidR="00E034C6" w:rsidRPr="0098635C">
        <w:rPr>
          <w:color w:val="000000" w:themeColor="text1"/>
          <w:sz w:val="20"/>
          <w:szCs w:val="20"/>
        </w:rPr>
        <w:t xml:space="preserve"> µg Cu </w:t>
      </w:r>
      <w:r w:rsidRPr="0098635C">
        <w:rPr>
          <w:color w:val="000000" w:themeColor="text1"/>
          <w:sz w:val="20"/>
          <w:szCs w:val="20"/>
        </w:rPr>
        <w:t>/ 7 days.mm</w:t>
      </w:r>
      <w:r w:rsidRPr="0098635C">
        <w:rPr>
          <w:color w:val="000000" w:themeColor="text1"/>
          <w:sz w:val="20"/>
          <w:szCs w:val="20"/>
          <w:vertAlign w:val="superscript"/>
        </w:rPr>
        <w:t>2</w:t>
      </w:r>
      <w:r w:rsidRPr="0098635C">
        <w:rPr>
          <w:color w:val="000000" w:themeColor="text1"/>
          <w:sz w:val="20"/>
          <w:szCs w:val="20"/>
        </w:rPr>
        <w:t xml:space="preserve"> and 5 µg Cu/ 28 days.mm</w:t>
      </w:r>
      <w:r w:rsidRPr="0098635C">
        <w:rPr>
          <w:color w:val="000000" w:themeColor="text1"/>
          <w:sz w:val="20"/>
          <w:szCs w:val="20"/>
          <w:vertAlign w:val="superscript"/>
        </w:rPr>
        <w:t>2</w:t>
      </w:r>
      <w:r w:rsidR="00F2122A" w:rsidRPr="0098635C">
        <w:rPr>
          <w:color w:val="000000" w:themeColor="text1"/>
          <w:sz w:val="20"/>
          <w:szCs w:val="20"/>
        </w:rPr>
        <w:t>.</w:t>
      </w:r>
    </w:p>
    <w:p w14:paraId="4D1E396B" w14:textId="77777777" w:rsidR="000968CF" w:rsidRPr="0098635C" w:rsidRDefault="000968CF" w:rsidP="00284FC8">
      <w:pPr>
        <w:rPr>
          <w:color w:val="000000" w:themeColor="text1"/>
          <w:sz w:val="20"/>
          <w:szCs w:val="20"/>
        </w:rPr>
      </w:pPr>
    </w:p>
    <w:p w14:paraId="4A99430A" w14:textId="3B987676" w:rsidR="003C6A54" w:rsidRPr="0098635C" w:rsidRDefault="003C6A54" w:rsidP="00284FC8">
      <w:pPr>
        <w:rPr>
          <w:color w:val="000000" w:themeColor="text1"/>
          <w:sz w:val="20"/>
          <w:szCs w:val="20"/>
        </w:rPr>
      </w:pPr>
      <w:r w:rsidRPr="0098635C">
        <w:rPr>
          <w:color w:val="000000" w:themeColor="text1"/>
          <w:sz w:val="20"/>
          <w:szCs w:val="20"/>
        </w:rPr>
        <w:t>The surface area-specific releases can therefore be used to assess the copper released from various copper forms at various surface and mass loadings. The tests conducted at high surface loading have a slightly lower copper release per unit surface. A similar trend was also noted by Skeaff and Hardy (2005)</w:t>
      </w:r>
      <w:r w:rsidR="00D02CD0" w:rsidRPr="0098635C">
        <w:rPr>
          <w:color w:val="000000" w:themeColor="text1"/>
          <w:sz w:val="20"/>
          <w:szCs w:val="20"/>
        </w:rPr>
        <w:t xml:space="preserve"> (see below)</w:t>
      </w:r>
      <w:r w:rsidRPr="0098635C">
        <w:rPr>
          <w:color w:val="000000" w:themeColor="text1"/>
          <w:sz w:val="20"/>
          <w:szCs w:val="20"/>
        </w:rPr>
        <w:t xml:space="preserve">. For environmental classification, this shows that the most relevant choice is to use transformation-dissolution data obtained at a surface loading relevant </w:t>
      </w:r>
      <w:r w:rsidR="00D02CD0" w:rsidRPr="0098635C">
        <w:rPr>
          <w:color w:val="000000" w:themeColor="text1"/>
          <w:sz w:val="20"/>
          <w:szCs w:val="20"/>
        </w:rPr>
        <w:t>to</w:t>
      </w:r>
      <w:r w:rsidRPr="0098635C">
        <w:rPr>
          <w:color w:val="000000" w:themeColor="text1"/>
          <w:sz w:val="20"/>
          <w:szCs w:val="20"/>
        </w:rPr>
        <w:t xml:space="preserve"> the copper form under consideration. </w:t>
      </w:r>
    </w:p>
    <w:p w14:paraId="30470713" w14:textId="73A88C1C" w:rsidR="00B03F26" w:rsidRPr="0098635C" w:rsidRDefault="00B03F26" w:rsidP="00284FC8">
      <w:pPr>
        <w:pStyle w:val="BodyText"/>
        <w:spacing w:after="0"/>
        <w:ind w:left="-142"/>
        <w:rPr>
          <w:b/>
          <w:color w:val="000000" w:themeColor="text1"/>
          <w:sz w:val="20"/>
        </w:rPr>
      </w:pPr>
      <w:r w:rsidRPr="0098635C">
        <w:rPr>
          <w:b/>
          <w:color w:val="000000" w:themeColor="text1"/>
          <w:sz w:val="20"/>
        </w:rPr>
        <w:t>R</w:t>
      </w:r>
      <w:r w:rsidR="0095485E" w:rsidRPr="0098635C">
        <w:rPr>
          <w:b/>
          <w:color w:val="000000" w:themeColor="text1"/>
          <w:sz w:val="20"/>
        </w:rPr>
        <w:t>eleases from copper massive (&gt; 1 mm</w:t>
      </w:r>
      <w:r w:rsidR="00A2056B" w:rsidRPr="0098635C">
        <w:rPr>
          <w:b/>
          <w:color w:val="000000" w:themeColor="text1"/>
          <w:sz w:val="20"/>
        </w:rPr>
        <w:t>, acco</w:t>
      </w:r>
      <w:r w:rsidR="003C6A54" w:rsidRPr="0098635C">
        <w:rPr>
          <w:b/>
          <w:color w:val="000000" w:themeColor="text1"/>
          <w:sz w:val="20"/>
        </w:rPr>
        <w:t>r</w:t>
      </w:r>
      <w:r w:rsidR="00A2056B" w:rsidRPr="0098635C">
        <w:rPr>
          <w:b/>
          <w:color w:val="000000" w:themeColor="text1"/>
          <w:sz w:val="20"/>
        </w:rPr>
        <w:t>ding to GHS guidance</w:t>
      </w:r>
      <w:r w:rsidR="0095485E" w:rsidRPr="0098635C">
        <w:rPr>
          <w:b/>
          <w:color w:val="000000" w:themeColor="text1"/>
          <w:sz w:val="20"/>
        </w:rPr>
        <w:t>)</w:t>
      </w:r>
    </w:p>
    <w:p w14:paraId="6A6B86D1" w14:textId="77777777" w:rsidR="00B03F26" w:rsidRPr="0098635C" w:rsidRDefault="00B03F26" w:rsidP="00284FC8">
      <w:pPr>
        <w:pStyle w:val="BodyText"/>
        <w:spacing w:after="0"/>
        <w:ind w:left="-142"/>
        <w:rPr>
          <w:b/>
          <w:color w:val="000000" w:themeColor="text1"/>
          <w:sz w:val="20"/>
        </w:rPr>
      </w:pPr>
    </w:p>
    <w:p w14:paraId="7F0D06A8" w14:textId="2A731F5E" w:rsidR="00B03F26" w:rsidRPr="0098635C" w:rsidRDefault="008230F9" w:rsidP="00284FC8">
      <w:pPr>
        <w:pStyle w:val="BodyText"/>
        <w:spacing w:after="0"/>
        <w:ind w:left="-142"/>
        <w:rPr>
          <w:b/>
          <w:color w:val="000000" w:themeColor="text1"/>
          <w:sz w:val="20"/>
        </w:rPr>
      </w:pPr>
      <w:r w:rsidRPr="0098635C">
        <w:rPr>
          <w:color w:val="000000" w:themeColor="text1"/>
          <w:sz w:val="20"/>
        </w:rPr>
        <w:t>T</w:t>
      </w:r>
      <w:r w:rsidR="00FF5E9E" w:rsidRPr="0098635C">
        <w:rPr>
          <w:color w:val="000000" w:themeColor="text1"/>
          <w:sz w:val="20"/>
        </w:rPr>
        <w:t xml:space="preserve">he surface </w:t>
      </w:r>
      <w:r w:rsidR="00F90F10" w:rsidRPr="0098635C">
        <w:rPr>
          <w:color w:val="000000" w:themeColor="text1"/>
          <w:sz w:val="20"/>
        </w:rPr>
        <w:t xml:space="preserve">loadings </w:t>
      </w:r>
      <w:r w:rsidR="00FF5E9E" w:rsidRPr="0098635C">
        <w:rPr>
          <w:color w:val="000000" w:themeColor="text1"/>
          <w:sz w:val="20"/>
        </w:rPr>
        <w:t>of copper spheres with diameter</w:t>
      </w:r>
      <w:r w:rsidR="003C6A54" w:rsidRPr="0098635C">
        <w:rPr>
          <w:color w:val="000000" w:themeColor="text1"/>
          <w:sz w:val="20"/>
        </w:rPr>
        <w:t xml:space="preserve"> of 1mm, at</w:t>
      </w:r>
      <w:r w:rsidR="00F90F10" w:rsidRPr="0098635C">
        <w:rPr>
          <w:color w:val="000000" w:themeColor="text1"/>
          <w:sz w:val="20"/>
        </w:rPr>
        <w:t xml:space="preserve"> mass loadings of</w:t>
      </w:r>
      <w:r w:rsidR="003C6A54" w:rsidRPr="0098635C">
        <w:rPr>
          <w:color w:val="000000" w:themeColor="text1"/>
          <w:sz w:val="20"/>
        </w:rPr>
        <w:t xml:space="preserve"> 1, 10 and 100 mg/L</w:t>
      </w:r>
      <w:r w:rsidR="00F90F10" w:rsidRPr="0098635C">
        <w:rPr>
          <w:color w:val="000000" w:themeColor="text1"/>
          <w:sz w:val="20"/>
        </w:rPr>
        <w:t>,</w:t>
      </w:r>
      <w:r w:rsidR="003C6A54" w:rsidRPr="0098635C">
        <w:rPr>
          <w:color w:val="000000" w:themeColor="text1"/>
          <w:sz w:val="20"/>
        </w:rPr>
        <w:t xml:space="preserve"> </w:t>
      </w:r>
      <w:r w:rsidR="00E034C6" w:rsidRPr="0098635C">
        <w:rPr>
          <w:color w:val="000000" w:themeColor="text1"/>
          <w:sz w:val="20"/>
        </w:rPr>
        <w:t xml:space="preserve">are </w:t>
      </w:r>
      <w:r w:rsidR="00FC4B1C" w:rsidRPr="0098635C">
        <w:rPr>
          <w:color w:val="000000" w:themeColor="text1"/>
          <w:sz w:val="20"/>
        </w:rPr>
        <w:t>calculated as</w:t>
      </w:r>
      <w:r w:rsidR="00FF5E9E" w:rsidRPr="0098635C">
        <w:rPr>
          <w:color w:val="000000" w:themeColor="text1"/>
          <w:sz w:val="20"/>
        </w:rPr>
        <w:t xml:space="preserve"> 0.67, 6.7 and 67 mm</w:t>
      </w:r>
      <w:r w:rsidR="00FF5E9E" w:rsidRPr="0098635C">
        <w:rPr>
          <w:color w:val="000000" w:themeColor="text1"/>
          <w:sz w:val="20"/>
          <w:vertAlign w:val="superscript"/>
        </w:rPr>
        <w:t>2</w:t>
      </w:r>
      <w:r w:rsidR="00B03F26" w:rsidRPr="0098635C">
        <w:rPr>
          <w:color w:val="000000" w:themeColor="text1"/>
          <w:sz w:val="20"/>
        </w:rPr>
        <w:t>/</w:t>
      </w:r>
      <w:r w:rsidR="00F90F10" w:rsidRPr="0098635C">
        <w:rPr>
          <w:color w:val="000000" w:themeColor="text1"/>
          <w:sz w:val="20"/>
        </w:rPr>
        <w:t>L</w:t>
      </w:r>
      <w:r w:rsidR="00B03F26" w:rsidRPr="0098635C">
        <w:rPr>
          <w:color w:val="000000" w:themeColor="text1"/>
          <w:sz w:val="20"/>
        </w:rPr>
        <w:t xml:space="preserve"> (Rodriguez et al.,</w:t>
      </w:r>
      <w:r w:rsidR="00F67B0C" w:rsidRPr="0098635C">
        <w:rPr>
          <w:color w:val="000000" w:themeColor="text1"/>
          <w:sz w:val="20"/>
        </w:rPr>
        <w:t xml:space="preserve"> </w:t>
      </w:r>
      <w:r w:rsidR="00FF5E9E" w:rsidRPr="0098635C">
        <w:rPr>
          <w:color w:val="000000" w:themeColor="text1"/>
          <w:sz w:val="20"/>
        </w:rPr>
        <w:t xml:space="preserve">2007).  </w:t>
      </w:r>
    </w:p>
    <w:p w14:paraId="6F8957A8" w14:textId="77777777" w:rsidR="00B03F26" w:rsidRPr="0098635C" w:rsidRDefault="00B03F26" w:rsidP="00284FC8">
      <w:pPr>
        <w:pStyle w:val="BodyText"/>
        <w:spacing w:after="0"/>
        <w:ind w:left="-142"/>
        <w:rPr>
          <w:b/>
          <w:color w:val="000000" w:themeColor="text1"/>
          <w:sz w:val="20"/>
        </w:rPr>
      </w:pPr>
    </w:p>
    <w:p w14:paraId="5BBE7D54" w14:textId="65D5EFED" w:rsidR="000E36C2" w:rsidRPr="0098635C" w:rsidRDefault="00FD5F2E" w:rsidP="0059369A">
      <w:pPr>
        <w:pStyle w:val="BodyText"/>
        <w:numPr>
          <w:ilvl w:val="0"/>
          <w:numId w:val="39"/>
        </w:numPr>
        <w:spacing w:after="0"/>
        <w:rPr>
          <w:color w:val="000000" w:themeColor="text1"/>
          <w:sz w:val="20"/>
        </w:rPr>
      </w:pPr>
      <w:r w:rsidRPr="0098635C">
        <w:rPr>
          <w:color w:val="000000" w:themeColor="text1"/>
          <w:sz w:val="20"/>
        </w:rPr>
        <w:t xml:space="preserve">At </w:t>
      </w:r>
      <w:r w:rsidR="003C6A54" w:rsidRPr="0098635C">
        <w:rPr>
          <w:color w:val="000000" w:themeColor="text1"/>
          <w:sz w:val="20"/>
        </w:rPr>
        <w:t>low loading (</w:t>
      </w:r>
      <w:r w:rsidR="00C36182" w:rsidRPr="0098635C">
        <w:rPr>
          <w:color w:val="000000" w:themeColor="text1"/>
          <w:sz w:val="20"/>
        </w:rPr>
        <w:t>e.g.</w:t>
      </w:r>
      <w:r w:rsidR="003C6A54" w:rsidRPr="0098635C">
        <w:rPr>
          <w:color w:val="000000" w:themeColor="text1"/>
          <w:sz w:val="20"/>
        </w:rPr>
        <w:t xml:space="preserve"> </w:t>
      </w:r>
      <w:r w:rsidRPr="0098635C">
        <w:rPr>
          <w:color w:val="000000" w:themeColor="text1"/>
          <w:sz w:val="20"/>
        </w:rPr>
        <w:t>1 mg/L</w:t>
      </w:r>
      <w:r w:rsidR="00E034C6" w:rsidRPr="0098635C">
        <w:rPr>
          <w:color w:val="000000" w:themeColor="text1"/>
          <w:sz w:val="20"/>
        </w:rPr>
        <w:t>, 0.67 mm</w:t>
      </w:r>
      <w:r w:rsidR="00E034C6" w:rsidRPr="0098635C">
        <w:rPr>
          <w:color w:val="000000" w:themeColor="text1"/>
          <w:sz w:val="20"/>
          <w:vertAlign w:val="superscript"/>
        </w:rPr>
        <w:t>2</w:t>
      </w:r>
      <w:r w:rsidR="00E034C6" w:rsidRPr="0098635C">
        <w:rPr>
          <w:color w:val="000000" w:themeColor="text1"/>
          <w:sz w:val="20"/>
        </w:rPr>
        <w:t xml:space="preserve"> /L</w:t>
      </w:r>
      <w:r w:rsidR="003C6A54" w:rsidRPr="0098635C">
        <w:rPr>
          <w:color w:val="000000" w:themeColor="text1"/>
          <w:sz w:val="20"/>
        </w:rPr>
        <w:t>)</w:t>
      </w:r>
      <w:r w:rsidRPr="0098635C">
        <w:rPr>
          <w:color w:val="000000" w:themeColor="text1"/>
          <w:sz w:val="20"/>
        </w:rPr>
        <w:t xml:space="preserve"> and pH 6 the data from </w:t>
      </w:r>
      <w:r w:rsidR="000E36C2" w:rsidRPr="0098635C">
        <w:rPr>
          <w:color w:val="000000" w:themeColor="text1"/>
          <w:sz w:val="20"/>
        </w:rPr>
        <w:t>Rodriguez et al.,</w:t>
      </w:r>
      <w:r w:rsidR="00E034C6" w:rsidRPr="0098635C">
        <w:rPr>
          <w:color w:val="000000" w:themeColor="text1"/>
          <w:sz w:val="20"/>
        </w:rPr>
        <w:t xml:space="preserve"> </w:t>
      </w:r>
      <w:r w:rsidR="000E36C2" w:rsidRPr="0098635C">
        <w:rPr>
          <w:color w:val="000000" w:themeColor="text1"/>
          <w:sz w:val="20"/>
        </w:rPr>
        <w:t xml:space="preserve">2012 </w:t>
      </w:r>
      <w:r w:rsidRPr="0098635C">
        <w:rPr>
          <w:color w:val="000000" w:themeColor="text1"/>
          <w:sz w:val="20"/>
        </w:rPr>
        <w:t>can be used</w:t>
      </w:r>
      <w:r w:rsidR="003C6A54" w:rsidRPr="0098635C">
        <w:rPr>
          <w:color w:val="000000" w:themeColor="text1"/>
          <w:sz w:val="20"/>
        </w:rPr>
        <w:t xml:space="preserve"> to assess the release from a copper sphere of 1 mm</w:t>
      </w:r>
      <w:r w:rsidRPr="0098635C">
        <w:rPr>
          <w:color w:val="000000" w:themeColor="text1"/>
          <w:sz w:val="20"/>
        </w:rPr>
        <w:t>:</w:t>
      </w:r>
      <w:r w:rsidR="000E36C2" w:rsidRPr="0098635C">
        <w:rPr>
          <w:color w:val="000000" w:themeColor="text1"/>
          <w:sz w:val="20"/>
        </w:rPr>
        <w:t xml:space="preserve"> </w:t>
      </w:r>
      <w:r w:rsidR="00DD02DA" w:rsidRPr="0098635C">
        <w:rPr>
          <w:color w:val="000000" w:themeColor="text1"/>
          <w:sz w:val="20"/>
        </w:rPr>
        <w:t>around the detection limit (</w:t>
      </w:r>
      <w:r w:rsidR="0037634B" w:rsidRPr="0098635C">
        <w:rPr>
          <w:color w:val="000000" w:themeColor="text1"/>
          <w:sz w:val="20"/>
        </w:rPr>
        <w:t>1</w:t>
      </w:r>
      <w:r w:rsidRPr="0098635C">
        <w:rPr>
          <w:color w:val="000000" w:themeColor="text1"/>
          <w:sz w:val="20"/>
        </w:rPr>
        <w:t xml:space="preserve"> µg dissolved Cu/L</w:t>
      </w:r>
      <w:r w:rsidR="00DD02DA" w:rsidRPr="0098635C">
        <w:rPr>
          <w:color w:val="000000" w:themeColor="text1"/>
          <w:sz w:val="20"/>
        </w:rPr>
        <w:t>)</w:t>
      </w:r>
      <w:r w:rsidR="000E36C2" w:rsidRPr="0098635C">
        <w:rPr>
          <w:color w:val="000000" w:themeColor="text1"/>
          <w:sz w:val="20"/>
        </w:rPr>
        <w:t xml:space="preserve"> after 7 days T/D tests and </w:t>
      </w:r>
      <w:r w:rsidR="0037634B" w:rsidRPr="0098635C">
        <w:rPr>
          <w:color w:val="000000" w:themeColor="text1"/>
          <w:sz w:val="20"/>
        </w:rPr>
        <w:t xml:space="preserve">3 </w:t>
      </w:r>
      <w:r w:rsidR="000E36C2" w:rsidRPr="0098635C">
        <w:rPr>
          <w:color w:val="000000" w:themeColor="text1"/>
          <w:sz w:val="20"/>
        </w:rPr>
        <w:t xml:space="preserve">µg dissolved Cu/L after 28 days T/D test. </w:t>
      </w:r>
    </w:p>
    <w:p w14:paraId="0C2AAEA3" w14:textId="77777777" w:rsidR="000E36C2" w:rsidRPr="0098635C" w:rsidRDefault="000E36C2" w:rsidP="00284FC8">
      <w:pPr>
        <w:pStyle w:val="BodyText"/>
        <w:spacing w:after="0"/>
        <w:ind w:left="-142"/>
        <w:rPr>
          <w:color w:val="000000" w:themeColor="text1"/>
          <w:sz w:val="20"/>
        </w:rPr>
      </w:pPr>
    </w:p>
    <w:p w14:paraId="72FE2C71" w14:textId="25156CBB" w:rsidR="00FD5F2E" w:rsidRPr="0098635C" w:rsidRDefault="00FD5F2E" w:rsidP="0059369A">
      <w:pPr>
        <w:pStyle w:val="BodyText"/>
        <w:numPr>
          <w:ilvl w:val="0"/>
          <w:numId w:val="39"/>
        </w:numPr>
        <w:spacing w:after="0"/>
        <w:rPr>
          <w:color w:val="000000" w:themeColor="text1"/>
          <w:sz w:val="20"/>
        </w:rPr>
      </w:pPr>
      <w:r w:rsidRPr="0098635C">
        <w:rPr>
          <w:color w:val="000000" w:themeColor="text1"/>
          <w:sz w:val="20"/>
        </w:rPr>
        <w:t xml:space="preserve">At </w:t>
      </w:r>
      <w:r w:rsidR="003C6A54" w:rsidRPr="0098635C">
        <w:rPr>
          <w:color w:val="000000" w:themeColor="text1"/>
          <w:sz w:val="20"/>
        </w:rPr>
        <w:t>higher</w:t>
      </w:r>
      <w:r w:rsidR="0037634B" w:rsidRPr="0098635C">
        <w:rPr>
          <w:color w:val="000000" w:themeColor="text1"/>
          <w:sz w:val="20"/>
        </w:rPr>
        <w:t xml:space="preserve"> loading</w:t>
      </w:r>
      <w:r w:rsidRPr="0098635C">
        <w:rPr>
          <w:color w:val="000000" w:themeColor="text1"/>
          <w:sz w:val="20"/>
        </w:rPr>
        <w:t xml:space="preserve"> </w:t>
      </w:r>
      <w:r w:rsidR="003C6A54" w:rsidRPr="0098635C">
        <w:rPr>
          <w:color w:val="000000" w:themeColor="text1"/>
          <w:sz w:val="20"/>
        </w:rPr>
        <w:t>(</w:t>
      </w:r>
      <w:r w:rsidR="00E034C6" w:rsidRPr="0098635C">
        <w:rPr>
          <w:color w:val="000000" w:themeColor="text1"/>
          <w:sz w:val="20"/>
        </w:rPr>
        <w:t>43-47 mm</w:t>
      </w:r>
      <w:r w:rsidR="00E034C6" w:rsidRPr="0098635C">
        <w:rPr>
          <w:color w:val="000000" w:themeColor="text1"/>
          <w:sz w:val="20"/>
          <w:vertAlign w:val="superscript"/>
        </w:rPr>
        <w:t>2</w:t>
      </w:r>
      <w:r w:rsidR="00E034C6" w:rsidRPr="0098635C">
        <w:rPr>
          <w:color w:val="000000" w:themeColor="text1"/>
          <w:sz w:val="20"/>
        </w:rPr>
        <w:t>/L</w:t>
      </w:r>
      <w:r w:rsidR="003C6A54" w:rsidRPr="0098635C">
        <w:rPr>
          <w:color w:val="000000" w:themeColor="text1"/>
          <w:sz w:val="20"/>
        </w:rPr>
        <w:t xml:space="preserve">) </w:t>
      </w:r>
      <w:r w:rsidRPr="0098635C">
        <w:rPr>
          <w:color w:val="000000" w:themeColor="text1"/>
          <w:sz w:val="20"/>
        </w:rPr>
        <w:t>a</w:t>
      </w:r>
      <w:r w:rsidR="00136149" w:rsidRPr="0098635C">
        <w:rPr>
          <w:color w:val="000000" w:themeColor="text1"/>
          <w:sz w:val="20"/>
        </w:rPr>
        <w:t>n</w:t>
      </w:r>
      <w:r w:rsidRPr="0098635C">
        <w:rPr>
          <w:color w:val="000000" w:themeColor="text1"/>
          <w:sz w:val="20"/>
        </w:rPr>
        <w:t xml:space="preserve">d pH 6, </w:t>
      </w:r>
      <w:r w:rsidR="00DD02DA" w:rsidRPr="0098635C">
        <w:rPr>
          <w:color w:val="000000" w:themeColor="text1"/>
          <w:sz w:val="20"/>
        </w:rPr>
        <w:t>7 days release rates of</w:t>
      </w:r>
      <w:r w:rsidR="000E36C2" w:rsidRPr="0098635C">
        <w:rPr>
          <w:color w:val="000000" w:themeColor="text1"/>
          <w:sz w:val="20"/>
        </w:rPr>
        <w:t xml:space="preserve"> 0.14 and </w:t>
      </w:r>
      <w:r w:rsidR="00B03F26" w:rsidRPr="0098635C">
        <w:rPr>
          <w:color w:val="000000" w:themeColor="text1"/>
          <w:sz w:val="20"/>
        </w:rPr>
        <w:t>0.41 µg Cu/mm</w:t>
      </w:r>
      <w:r w:rsidR="00B03F26" w:rsidRPr="0098635C">
        <w:rPr>
          <w:color w:val="000000" w:themeColor="text1"/>
          <w:sz w:val="20"/>
          <w:vertAlign w:val="superscript"/>
        </w:rPr>
        <w:t>2</w:t>
      </w:r>
      <w:r w:rsidR="00B03F26" w:rsidRPr="0098635C">
        <w:rPr>
          <w:color w:val="000000" w:themeColor="text1"/>
          <w:sz w:val="20"/>
        </w:rPr>
        <w:t xml:space="preserve"> </w:t>
      </w:r>
      <w:r w:rsidR="00DD02DA" w:rsidRPr="0098635C">
        <w:rPr>
          <w:color w:val="000000" w:themeColor="text1"/>
          <w:sz w:val="20"/>
        </w:rPr>
        <w:t xml:space="preserve">were measured </w:t>
      </w:r>
      <w:r w:rsidR="00B03F26" w:rsidRPr="0098635C">
        <w:rPr>
          <w:color w:val="000000" w:themeColor="text1"/>
          <w:sz w:val="20"/>
        </w:rPr>
        <w:t>(Rodriguez et.al, 2011)</w:t>
      </w:r>
      <w:r w:rsidR="000E36C2" w:rsidRPr="0098635C">
        <w:rPr>
          <w:color w:val="000000" w:themeColor="text1"/>
          <w:sz w:val="20"/>
        </w:rPr>
        <w:t xml:space="preserve">. These data </w:t>
      </w:r>
      <w:r w:rsidR="003C6A54" w:rsidRPr="0098635C">
        <w:rPr>
          <w:color w:val="000000" w:themeColor="text1"/>
          <w:sz w:val="20"/>
        </w:rPr>
        <w:t xml:space="preserve">can be </w:t>
      </w:r>
      <w:r w:rsidRPr="0098635C">
        <w:rPr>
          <w:color w:val="000000" w:themeColor="text1"/>
          <w:sz w:val="20"/>
        </w:rPr>
        <w:t xml:space="preserve">used </w:t>
      </w:r>
      <w:r w:rsidR="003C6A54" w:rsidRPr="0098635C">
        <w:rPr>
          <w:color w:val="000000" w:themeColor="text1"/>
          <w:sz w:val="20"/>
        </w:rPr>
        <w:t xml:space="preserve">to </w:t>
      </w:r>
      <w:r w:rsidR="00DD02DA" w:rsidRPr="0098635C">
        <w:rPr>
          <w:color w:val="000000" w:themeColor="text1"/>
          <w:sz w:val="20"/>
        </w:rPr>
        <w:t>read across and assess</w:t>
      </w:r>
      <w:r w:rsidR="000E36C2" w:rsidRPr="0098635C">
        <w:rPr>
          <w:color w:val="000000" w:themeColor="text1"/>
          <w:sz w:val="20"/>
        </w:rPr>
        <w:t xml:space="preserve"> the release</w:t>
      </w:r>
      <w:r w:rsidR="00DD02DA" w:rsidRPr="0098635C">
        <w:rPr>
          <w:color w:val="000000" w:themeColor="text1"/>
          <w:sz w:val="20"/>
        </w:rPr>
        <w:t>s</w:t>
      </w:r>
      <w:r w:rsidR="000E36C2" w:rsidRPr="0098635C">
        <w:rPr>
          <w:color w:val="000000" w:themeColor="text1"/>
          <w:sz w:val="20"/>
        </w:rPr>
        <w:t xml:space="preserve"> of dissolved copper </w:t>
      </w:r>
      <w:r w:rsidR="003C6A54" w:rsidRPr="0098635C">
        <w:rPr>
          <w:color w:val="000000" w:themeColor="text1"/>
          <w:sz w:val="20"/>
        </w:rPr>
        <w:t>from a sphere of 1 mm</w:t>
      </w:r>
      <w:r w:rsidR="000E36C2" w:rsidRPr="0098635C">
        <w:rPr>
          <w:color w:val="000000" w:themeColor="text1"/>
          <w:sz w:val="20"/>
        </w:rPr>
        <w:t xml:space="preserve"> at </w:t>
      </w:r>
      <w:r w:rsidRPr="0098635C">
        <w:rPr>
          <w:color w:val="000000" w:themeColor="text1"/>
          <w:sz w:val="20"/>
        </w:rPr>
        <w:t xml:space="preserve">10 and </w:t>
      </w:r>
      <w:r w:rsidR="000E36C2" w:rsidRPr="0098635C">
        <w:rPr>
          <w:color w:val="000000" w:themeColor="text1"/>
          <w:sz w:val="20"/>
        </w:rPr>
        <w:t xml:space="preserve">100 mg/L (surface </w:t>
      </w:r>
      <w:r w:rsidR="00F90F10" w:rsidRPr="0098635C">
        <w:rPr>
          <w:color w:val="000000" w:themeColor="text1"/>
          <w:sz w:val="20"/>
        </w:rPr>
        <w:t xml:space="preserve">loadings </w:t>
      </w:r>
      <w:r w:rsidR="000E36C2" w:rsidRPr="0098635C">
        <w:rPr>
          <w:color w:val="000000" w:themeColor="text1"/>
          <w:sz w:val="20"/>
        </w:rPr>
        <w:t xml:space="preserve">of </w:t>
      </w:r>
      <w:r w:rsidRPr="0098635C">
        <w:rPr>
          <w:color w:val="000000" w:themeColor="text1"/>
          <w:sz w:val="20"/>
        </w:rPr>
        <w:t xml:space="preserve">6.7 and </w:t>
      </w:r>
      <w:r w:rsidR="000E36C2" w:rsidRPr="0098635C">
        <w:rPr>
          <w:color w:val="000000" w:themeColor="text1"/>
          <w:sz w:val="20"/>
        </w:rPr>
        <w:t>67 mm2/</w:t>
      </w:r>
      <w:r w:rsidR="00F90F10" w:rsidRPr="0098635C">
        <w:rPr>
          <w:color w:val="000000" w:themeColor="text1"/>
          <w:sz w:val="20"/>
        </w:rPr>
        <w:t>L</w:t>
      </w:r>
      <w:r w:rsidR="00D02CD0" w:rsidRPr="0098635C">
        <w:rPr>
          <w:color w:val="000000" w:themeColor="text1"/>
          <w:sz w:val="20"/>
        </w:rPr>
        <w:t>)</w:t>
      </w:r>
      <w:r w:rsidR="003C6A54" w:rsidRPr="0098635C">
        <w:rPr>
          <w:color w:val="000000" w:themeColor="text1"/>
          <w:sz w:val="20"/>
        </w:rPr>
        <w:t>:</w:t>
      </w:r>
      <w:r w:rsidRPr="0098635C">
        <w:rPr>
          <w:color w:val="000000" w:themeColor="text1"/>
          <w:sz w:val="20"/>
        </w:rPr>
        <w:t xml:space="preserve"> </w:t>
      </w:r>
      <w:r w:rsidR="00136149" w:rsidRPr="0098635C">
        <w:rPr>
          <w:color w:val="000000" w:themeColor="text1"/>
          <w:sz w:val="20"/>
        </w:rPr>
        <w:t xml:space="preserve">0.9-2.7 </w:t>
      </w:r>
      <w:r w:rsidR="003C6A54" w:rsidRPr="0098635C">
        <w:rPr>
          <w:color w:val="000000" w:themeColor="text1"/>
          <w:sz w:val="20"/>
        </w:rPr>
        <w:t>µg dissolved Cu /L</w:t>
      </w:r>
      <w:r w:rsidR="00136149" w:rsidRPr="0098635C">
        <w:rPr>
          <w:color w:val="000000" w:themeColor="text1"/>
          <w:sz w:val="20"/>
        </w:rPr>
        <w:t xml:space="preserve"> </w:t>
      </w:r>
      <w:r w:rsidR="003C6A54" w:rsidRPr="0098635C">
        <w:rPr>
          <w:color w:val="000000" w:themeColor="text1"/>
          <w:sz w:val="20"/>
        </w:rPr>
        <w:t xml:space="preserve">at 10 mg/L </w:t>
      </w:r>
      <w:r w:rsidR="00136149" w:rsidRPr="0098635C">
        <w:rPr>
          <w:color w:val="000000" w:themeColor="text1"/>
          <w:sz w:val="20"/>
        </w:rPr>
        <w:t xml:space="preserve">and </w:t>
      </w:r>
      <w:r w:rsidR="00FC0C4F" w:rsidRPr="0098635C">
        <w:rPr>
          <w:color w:val="000000" w:themeColor="text1"/>
          <w:sz w:val="20"/>
        </w:rPr>
        <w:t>9</w:t>
      </w:r>
      <w:r w:rsidR="00CB7FCB" w:rsidRPr="0098635C">
        <w:rPr>
          <w:color w:val="000000" w:themeColor="text1"/>
          <w:sz w:val="20"/>
        </w:rPr>
        <w:t>-</w:t>
      </w:r>
      <w:r w:rsidR="00FC0C4F" w:rsidRPr="0098635C">
        <w:rPr>
          <w:color w:val="000000" w:themeColor="text1"/>
          <w:sz w:val="20"/>
        </w:rPr>
        <w:t>27</w:t>
      </w:r>
      <w:r w:rsidR="00CB7FCB" w:rsidRPr="0098635C">
        <w:rPr>
          <w:color w:val="000000" w:themeColor="text1"/>
          <w:sz w:val="20"/>
        </w:rPr>
        <w:t xml:space="preserve"> µ</w:t>
      </w:r>
      <w:r w:rsidR="00FF5E9E" w:rsidRPr="0098635C">
        <w:rPr>
          <w:color w:val="000000" w:themeColor="text1"/>
          <w:sz w:val="20"/>
        </w:rPr>
        <w:t xml:space="preserve">g dissolved </w:t>
      </w:r>
      <w:r w:rsidR="00B03F26" w:rsidRPr="0098635C">
        <w:rPr>
          <w:color w:val="000000" w:themeColor="text1"/>
          <w:sz w:val="20"/>
        </w:rPr>
        <w:t>C</w:t>
      </w:r>
      <w:r w:rsidR="00FF5E9E" w:rsidRPr="0098635C">
        <w:rPr>
          <w:color w:val="000000" w:themeColor="text1"/>
          <w:sz w:val="20"/>
        </w:rPr>
        <w:t>u /L</w:t>
      </w:r>
      <w:r w:rsidR="003C6A54" w:rsidRPr="0098635C">
        <w:rPr>
          <w:color w:val="000000" w:themeColor="text1"/>
          <w:sz w:val="20"/>
        </w:rPr>
        <w:t xml:space="preserve"> at 100 mg/L</w:t>
      </w:r>
      <w:r w:rsidRPr="0098635C">
        <w:rPr>
          <w:color w:val="000000" w:themeColor="text1"/>
          <w:sz w:val="20"/>
        </w:rPr>
        <w:t>.</w:t>
      </w:r>
      <w:r w:rsidR="00136149" w:rsidRPr="0098635C">
        <w:rPr>
          <w:color w:val="000000" w:themeColor="text1"/>
          <w:sz w:val="20"/>
        </w:rPr>
        <w:t xml:space="preserve"> </w:t>
      </w:r>
    </w:p>
    <w:p w14:paraId="7113CBB4" w14:textId="1C558F11" w:rsidR="00EB56C6" w:rsidRPr="0098635C" w:rsidRDefault="00EB56C6" w:rsidP="00284FC8">
      <w:pPr>
        <w:pStyle w:val="BodyText"/>
        <w:spacing w:after="0"/>
        <w:ind w:left="720"/>
        <w:rPr>
          <w:color w:val="000000" w:themeColor="text1"/>
          <w:sz w:val="20"/>
        </w:rPr>
      </w:pPr>
    </w:p>
    <w:p w14:paraId="35AF9BF6" w14:textId="46B28C14" w:rsidR="002E0907" w:rsidRPr="0098635C" w:rsidRDefault="002E0907" w:rsidP="002E0907">
      <w:pPr>
        <w:pStyle w:val="BodyText"/>
        <w:rPr>
          <w:color w:val="000000" w:themeColor="text1"/>
          <w:sz w:val="20"/>
        </w:rPr>
      </w:pPr>
      <w:r w:rsidRPr="0098635C">
        <w:rPr>
          <w:color w:val="000000" w:themeColor="text1"/>
          <w:sz w:val="20"/>
        </w:rPr>
        <w:t>The comparison of the pH-specific release data (Rodriguez, 20</w:t>
      </w:r>
      <w:r w:rsidR="00F4044D" w:rsidRPr="0098635C">
        <w:rPr>
          <w:color w:val="000000" w:themeColor="text1"/>
          <w:sz w:val="20"/>
        </w:rPr>
        <w:t>0</w:t>
      </w:r>
      <w:r w:rsidRPr="0098635C">
        <w:rPr>
          <w:color w:val="000000" w:themeColor="text1"/>
          <w:sz w:val="20"/>
        </w:rPr>
        <w:t xml:space="preserve">7) would indicate that at pH 7 and 8 dissolved copper concentrations would be </w:t>
      </w:r>
      <w:r w:rsidR="00D232DC" w:rsidRPr="0098635C">
        <w:rPr>
          <w:color w:val="000000" w:themeColor="text1"/>
          <w:sz w:val="20"/>
        </w:rPr>
        <w:t>5</w:t>
      </w:r>
      <w:r w:rsidRPr="0098635C">
        <w:rPr>
          <w:color w:val="000000" w:themeColor="text1"/>
          <w:sz w:val="20"/>
        </w:rPr>
        <w:t xml:space="preserve"> times lower. </w:t>
      </w:r>
    </w:p>
    <w:p w14:paraId="2CFF0C94" w14:textId="50809FF8" w:rsidR="00523728" w:rsidRPr="0098635C" w:rsidRDefault="00D05142" w:rsidP="00523728">
      <w:pPr>
        <w:pStyle w:val="BodyText"/>
        <w:rPr>
          <w:i/>
          <w:color w:val="000000" w:themeColor="text1"/>
          <w:sz w:val="20"/>
          <w:u w:val="single"/>
        </w:rPr>
      </w:pPr>
      <w:r w:rsidRPr="0098635C">
        <w:rPr>
          <w:i/>
          <w:color w:val="000000" w:themeColor="text1"/>
          <w:sz w:val="20"/>
          <w:u w:val="single"/>
        </w:rPr>
        <w:t>Copper powder</w:t>
      </w:r>
      <w:r w:rsidR="00FF5E9E" w:rsidRPr="0098635C">
        <w:rPr>
          <w:i/>
          <w:color w:val="000000" w:themeColor="text1"/>
          <w:sz w:val="20"/>
          <w:u w:val="single"/>
        </w:rPr>
        <w:t xml:space="preserve"> (10 µm to 1mm)</w:t>
      </w:r>
    </w:p>
    <w:p w14:paraId="4F9245EF" w14:textId="41F90CB6" w:rsidR="00F12E1A" w:rsidRPr="0098635C" w:rsidRDefault="00523728">
      <w:pPr>
        <w:pStyle w:val="BodyText"/>
        <w:rPr>
          <w:color w:val="000000" w:themeColor="text1"/>
          <w:sz w:val="20"/>
        </w:rPr>
      </w:pPr>
      <w:r w:rsidRPr="0098635C">
        <w:rPr>
          <w:color w:val="000000" w:themeColor="text1"/>
          <w:sz w:val="20"/>
        </w:rPr>
        <w:lastRenderedPageBreak/>
        <w:t>The surface areas of copper powders (10 µm – 1 mm), assumed to be spheres, theoretically range between 67.5 and 0.67 mm</w:t>
      </w:r>
      <w:r w:rsidRPr="0098635C">
        <w:rPr>
          <w:color w:val="000000" w:themeColor="text1"/>
          <w:sz w:val="20"/>
          <w:vertAlign w:val="superscript"/>
        </w:rPr>
        <w:t>2</w:t>
      </w:r>
      <w:r w:rsidRPr="0098635C">
        <w:rPr>
          <w:color w:val="000000" w:themeColor="text1"/>
          <w:sz w:val="20"/>
        </w:rPr>
        <w:t xml:space="preserve">/mg.  </w:t>
      </w:r>
      <w:r w:rsidR="008742FD" w:rsidRPr="0098635C">
        <w:rPr>
          <w:color w:val="000000" w:themeColor="text1"/>
          <w:sz w:val="20"/>
        </w:rPr>
        <w:t>This surface area agrees well with t</w:t>
      </w:r>
      <w:r w:rsidRPr="0098635C">
        <w:rPr>
          <w:color w:val="000000" w:themeColor="text1"/>
          <w:sz w:val="20"/>
        </w:rPr>
        <w:t>he surface area of a fine representative powder</w:t>
      </w:r>
      <w:r w:rsidR="00FC4B1C" w:rsidRPr="0098635C">
        <w:rPr>
          <w:color w:val="000000" w:themeColor="text1"/>
          <w:sz w:val="20"/>
        </w:rPr>
        <w:t xml:space="preserve"> </w:t>
      </w:r>
      <w:r w:rsidR="00F87BF8" w:rsidRPr="0098635C">
        <w:rPr>
          <w:color w:val="000000" w:themeColor="text1"/>
          <w:sz w:val="20"/>
        </w:rPr>
        <w:t xml:space="preserve">(77.3% &lt; 50 </w:t>
      </w:r>
      <w:r w:rsidR="00F87BF8" w:rsidRPr="0098635C">
        <w:rPr>
          <w:color w:val="000000" w:themeColor="text1"/>
          <w:sz w:val="20"/>
        </w:rPr>
        <w:sym w:font="Symbol" w:char="F06D"/>
      </w:r>
      <w:r w:rsidR="00F87BF8" w:rsidRPr="0098635C">
        <w:rPr>
          <w:color w:val="000000" w:themeColor="text1"/>
          <w:sz w:val="20"/>
        </w:rPr>
        <w:t>m)</w:t>
      </w:r>
      <w:r w:rsidR="008742FD" w:rsidRPr="0098635C">
        <w:rPr>
          <w:color w:val="000000" w:themeColor="text1"/>
          <w:sz w:val="20"/>
        </w:rPr>
        <w:t>, which</w:t>
      </w:r>
      <w:r w:rsidR="00F87BF8" w:rsidRPr="0098635C">
        <w:rPr>
          <w:color w:val="000000" w:themeColor="text1"/>
          <w:sz w:val="20"/>
        </w:rPr>
        <w:t xml:space="preserve"> </w:t>
      </w:r>
      <w:r w:rsidRPr="0098635C">
        <w:rPr>
          <w:color w:val="000000" w:themeColor="text1"/>
          <w:sz w:val="20"/>
        </w:rPr>
        <w:t xml:space="preserve">was measured </w:t>
      </w:r>
      <w:r w:rsidR="00F4044D" w:rsidRPr="0098635C">
        <w:rPr>
          <w:color w:val="000000" w:themeColor="text1"/>
          <w:sz w:val="20"/>
        </w:rPr>
        <w:t>as</w:t>
      </w:r>
      <w:r w:rsidRPr="0098635C">
        <w:rPr>
          <w:color w:val="000000" w:themeColor="text1"/>
          <w:sz w:val="20"/>
        </w:rPr>
        <w:t xml:space="preserve"> </w:t>
      </w:r>
      <w:r w:rsidR="008742FD" w:rsidRPr="0098635C">
        <w:rPr>
          <w:color w:val="000000" w:themeColor="text1"/>
          <w:sz w:val="20"/>
        </w:rPr>
        <w:t xml:space="preserve">47 or </w:t>
      </w:r>
      <w:r w:rsidRPr="0098635C">
        <w:rPr>
          <w:color w:val="000000" w:themeColor="text1"/>
          <w:sz w:val="20"/>
        </w:rPr>
        <w:t>107 mm</w:t>
      </w:r>
      <w:r w:rsidRPr="0098635C">
        <w:rPr>
          <w:color w:val="000000" w:themeColor="text1"/>
          <w:sz w:val="20"/>
          <w:vertAlign w:val="superscript"/>
        </w:rPr>
        <w:t>2</w:t>
      </w:r>
      <w:r w:rsidRPr="0098635C">
        <w:rPr>
          <w:color w:val="000000" w:themeColor="text1"/>
          <w:sz w:val="20"/>
        </w:rPr>
        <w:t>/mg</w:t>
      </w:r>
      <w:r w:rsidR="008742FD" w:rsidRPr="0098635C">
        <w:rPr>
          <w:color w:val="000000" w:themeColor="text1"/>
          <w:sz w:val="20"/>
        </w:rPr>
        <w:t>, depending on the analytical technique</w:t>
      </w:r>
      <w:r w:rsidRPr="0098635C">
        <w:rPr>
          <w:color w:val="000000" w:themeColor="text1"/>
          <w:sz w:val="20"/>
        </w:rPr>
        <w:t xml:space="preserve"> (measured by sieving and </w:t>
      </w:r>
      <w:r w:rsidR="00726F5D" w:rsidRPr="0098635C">
        <w:rPr>
          <w:color w:val="000000" w:themeColor="text1"/>
          <w:sz w:val="20"/>
        </w:rPr>
        <w:t>Brunauer–Emmett–Teller theory (BET)</w:t>
      </w:r>
      <w:r w:rsidRPr="0098635C">
        <w:rPr>
          <w:color w:val="000000" w:themeColor="text1"/>
          <w:sz w:val="20"/>
        </w:rPr>
        <w:t>)</w:t>
      </w:r>
      <w:r w:rsidR="001B5822" w:rsidRPr="0098635C">
        <w:rPr>
          <w:color w:val="000000" w:themeColor="text1"/>
          <w:sz w:val="20"/>
        </w:rPr>
        <w:t xml:space="preserve"> </w:t>
      </w:r>
      <w:r w:rsidRPr="0098635C">
        <w:rPr>
          <w:color w:val="000000" w:themeColor="text1"/>
          <w:sz w:val="20"/>
        </w:rPr>
        <w:t xml:space="preserve">(Skeaff and Hardy, 2005). </w:t>
      </w:r>
    </w:p>
    <w:p w14:paraId="3991B632" w14:textId="4F3846D6" w:rsidR="007F51A5" w:rsidRPr="0098635C" w:rsidRDefault="00F12E1A" w:rsidP="00D02CD0">
      <w:pPr>
        <w:pStyle w:val="BodyText"/>
        <w:rPr>
          <w:color w:val="000000" w:themeColor="text1"/>
          <w:sz w:val="20"/>
        </w:rPr>
      </w:pPr>
      <w:r w:rsidRPr="0098635C">
        <w:rPr>
          <w:color w:val="000000" w:themeColor="text1"/>
          <w:sz w:val="20"/>
        </w:rPr>
        <w:t xml:space="preserve">Skeaff and Hardy, 2005 conducted </w:t>
      </w:r>
      <w:r w:rsidR="004B0091" w:rsidRPr="0098635C">
        <w:rPr>
          <w:color w:val="000000" w:themeColor="text1"/>
          <w:sz w:val="20"/>
        </w:rPr>
        <w:t>168 hours (</w:t>
      </w:r>
      <w:r w:rsidR="00523728" w:rsidRPr="0098635C">
        <w:rPr>
          <w:color w:val="000000" w:themeColor="text1"/>
          <w:sz w:val="20"/>
        </w:rPr>
        <w:t>7</w:t>
      </w:r>
      <w:r w:rsidR="00FF2793" w:rsidRPr="0098635C">
        <w:rPr>
          <w:color w:val="000000" w:themeColor="text1"/>
          <w:sz w:val="20"/>
        </w:rPr>
        <w:t xml:space="preserve"> </w:t>
      </w:r>
      <w:r w:rsidR="00523728" w:rsidRPr="0098635C">
        <w:rPr>
          <w:color w:val="000000" w:themeColor="text1"/>
          <w:sz w:val="20"/>
        </w:rPr>
        <w:t>day</w:t>
      </w:r>
      <w:r w:rsidR="00FF2793" w:rsidRPr="0098635C">
        <w:rPr>
          <w:color w:val="000000" w:themeColor="text1"/>
          <w:sz w:val="20"/>
        </w:rPr>
        <w:t>s</w:t>
      </w:r>
      <w:r w:rsidR="004B0091" w:rsidRPr="0098635C">
        <w:rPr>
          <w:color w:val="000000" w:themeColor="text1"/>
          <w:sz w:val="20"/>
        </w:rPr>
        <w:t xml:space="preserve">) </w:t>
      </w:r>
      <w:r w:rsidR="00CD5419" w:rsidRPr="0098635C">
        <w:rPr>
          <w:color w:val="000000" w:themeColor="text1"/>
          <w:sz w:val="20"/>
        </w:rPr>
        <w:t>t</w:t>
      </w:r>
      <w:r w:rsidR="00500352" w:rsidRPr="0098635C">
        <w:rPr>
          <w:color w:val="000000" w:themeColor="text1"/>
          <w:sz w:val="20"/>
        </w:rPr>
        <w:t xml:space="preserve">ransformation/dissolution </w:t>
      </w:r>
      <w:r w:rsidR="00523728" w:rsidRPr="0098635C">
        <w:rPr>
          <w:color w:val="000000" w:themeColor="text1"/>
          <w:sz w:val="20"/>
        </w:rPr>
        <w:t xml:space="preserve">tests </w:t>
      </w:r>
      <w:r w:rsidR="001B5822" w:rsidRPr="0098635C">
        <w:rPr>
          <w:color w:val="000000" w:themeColor="text1"/>
          <w:sz w:val="20"/>
        </w:rPr>
        <w:t>(pH</w:t>
      </w:r>
      <w:r w:rsidR="00136149" w:rsidRPr="0098635C">
        <w:rPr>
          <w:color w:val="000000" w:themeColor="text1"/>
          <w:sz w:val="20"/>
        </w:rPr>
        <w:t xml:space="preserve"> </w:t>
      </w:r>
      <w:r w:rsidR="001B5822" w:rsidRPr="0098635C">
        <w:rPr>
          <w:color w:val="000000" w:themeColor="text1"/>
          <w:sz w:val="20"/>
        </w:rPr>
        <w:t xml:space="preserve">6) </w:t>
      </w:r>
      <w:r w:rsidR="00523728" w:rsidRPr="0098635C">
        <w:rPr>
          <w:color w:val="000000" w:themeColor="text1"/>
          <w:sz w:val="20"/>
        </w:rPr>
        <w:t>on these fine copper powders</w:t>
      </w:r>
      <w:r w:rsidRPr="0098635C">
        <w:rPr>
          <w:color w:val="000000" w:themeColor="text1"/>
          <w:sz w:val="20"/>
        </w:rPr>
        <w:t>, at different lo</w:t>
      </w:r>
      <w:r w:rsidR="00D13141" w:rsidRPr="0098635C">
        <w:rPr>
          <w:color w:val="000000" w:themeColor="text1"/>
          <w:sz w:val="20"/>
        </w:rPr>
        <w:t>a</w:t>
      </w:r>
      <w:r w:rsidRPr="0098635C">
        <w:rPr>
          <w:color w:val="000000" w:themeColor="text1"/>
          <w:sz w:val="20"/>
        </w:rPr>
        <w:t>dings</w:t>
      </w:r>
      <w:r w:rsidR="001B5822" w:rsidRPr="0098635C">
        <w:rPr>
          <w:color w:val="000000" w:themeColor="text1"/>
          <w:sz w:val="20"/>
        </w:rPr>
        <w:t xml:space="preserve"> and reported</w:t>
      </w:r>
      <w:r w:rsidR="00FF2793" w:rsidRPr="0098635C">
        <w:rPr>
          <w:color w:val="000000" w:themeColor="text1"/>
          <w:sz w:val="20"/>
        </w:rPr>
        <w:t xml:space="preserve"> a </w:t>
      </w:r>
      <w:r w:rsidR="00B87612" w:rsidRPr="0098635C">
        <w:rPr>
          <w:color w:val="000000" w:themeColor="text1"/>
          <w:sz w:val="20"/>
        </w:rPr>
        <w:t>non-line</w:t>
      </w:r>
      <w:r w:rsidR="00297D7F" w:rsidRPr="0098635C">
        <w:rPr>
          <w:color w:val="000000" w:themeColor="text1"/>
          <w:sz w:val="20"/>
        </w:rPr>
        <w:t>a</w:t>
      </w:r>
      <w:r w:rsidR="00B87612" w:rsidRPr="0098635C">
        <w:rPr>
          <w:color w:val="000000" w:themeColor="text1"/>
          <w:sz w:val="20"/>
        </w:rPr>
        <w:t>r relationship between the surface loading and the dissolved copper concentration</w:t>
      </w:r>
      <w:r w:rsidR="00136149" w:rsidRPr="0098635C">
        <w:rPr>
          <w:color w:val="000000" w:themeColor="text1"/>
          <w:sz w:val="20"/>
        </w:rPr>
        <w:t xml:space="preserve">. They also reported suspected particle abrasion. The observed release of copper at 1 mg/L loading (7 days) was 82 µg/L.  </w:t>
      </w:r>
    </w:p>
    <w:p w14:paraId="417A7538" w14:textId="456ACF98" w:rsidR="00D05142" w:rsidRPr="0098635C" w:rsidRDefault="004B0091" w:rsidP="00D05142">
      <w:pPr>
        <w:pStyle w:val="BodyText"/>
        <w:spacing w:after="0"/>
        <w:rPr>
          <w:color w:val="000000" w:themeColor="text1"/>
          <w:sz w:val="20"/>
        </w:rPr>
      </w:pPr>
      <w:r w:rsidRPr="0098635C">
        <w:rPr>
          <w:color w:val="000000" w:themeColor="text1"/>
          <w:sz w:val="20"/>
        </w:rPr>
        <w:t xml:space="preserve">Considering the observed particle abrasion in </w:t>
      </w:r>
      <w:r w:rsidR="00A84BBE" w:rsidRPr="0098635C">
        <w:rPr>
          <w:color w:val="000000" w:themeColor="text1"/>
          <w:sz w:val="20"/>
        </w:rPr>
        <w:t>Skeaff and Hardy, 2005 and Rodriguez (200</w:t>
      </w:r>
      <w:r w:rsidR="00306135" w:rsidRPr="0098635C">
        <w:rPr>
          <w:color w:val="000000" w:themeColor="text1"/>
          <w:sz w:val="20"/>
        </w:rPr>
        <w:t>7 and 2008</w:t>
      </w:r>
      <w:r w:rsidR="00A84BBE" w:rsidRPr="0098635C">
        <w:rPr>
          <w:color w:val="000000" w:themeColor="text1"/>
          <w:sz w:val="20"/>
        </w:rPr>
        <w:t>)</w:t>
      </w:r>
      <w:r w:rsidR="00306135" w:rsidRPr="0098635C">
        <w:rPr>
          <w:color w:val="000000" w:themeColor="text1"/>
          <w:sz w:val="20"/>
        </w:rPr>
        <w:t>,</w:t>
      </w:r>
      <w:r w:rsidR="00A84BBE" w:rsidRPr="0098635C">
        <w:rPr>
          <w:color w:val="000000" w:themeColor="text1"/>
          <w:sz w:val="20"/>
        </w:rPr>
        <w:t xml:space="preserve"> </w:t>
      </w:r>
      <w:r w:rsidRPr="0098635C">
        <w:rPr>
          <w:color w:val="000000" w:themeColor="text1"/>
          <w:sz w:val="20"/>
        </w:rPr>
        <w:t>t</w:t>
      </w:r>
      <w:r w:rsidR="00523728" w:rsidRPr="0098635C">
        <w:rPr>
          <w:color w:val="000000" w:themeColor="text1"/>
          <w:sz w:val="20"/>
        </w:rPr>
        <w:t xml:space="preserve">he </w:t>
      </w:r>
      <w:r w:rsidR="0027249C" w:rsidRPr="0098635C">
        <w:rPr>
          <w:color w:val="000000" w:themeColor="text1"/>
          <w:sz w:val="20"/>
        </w:rPr>
        <w:t xml:space="preserve">non-abrasive </w:t>
      </w:r>
      <w:r w:rsidR="00523728" w:rsidRPr="0098635C">
        <w:rPr>
          <w:color w:val="000000" w:themeColor="text1"/>
          <w:sz w:val="20"/>
        </w:rPr>
        <w:t>surface area-specific release rates</w:t>
      </w:r>
      <w:r w:rsidR="00306135" w:rsidRPr="0098635C">
        <w:rPr>
          <w:color w:val="000000" w:themeColor="text1"/>
          <w:sz w:val="20"/>
        </w:rPr>
        <w:t xml:space="preserve"> (0.14-</w:t>
      </w:r>
      <w:r w:rsidR="00306135" w:rsidRPr="0098635C">
        <w:rPr>
          <w:color w:val="000000" w:themeColor="text1"/>
          <w:sz w:val="20"/>
          <w:lang w:eastAsia="en-GB"/>
        </w:rPr>
        <w:t>0.41 µg Cu/mm</w:t>
      </w:r>
      <w:r w:rsidR="00306135" w:rsidRPr="0098635C">
        <w:rPr>
          <w:color w:val="000000" w:themeColor="text1"/>
          <w:sz w:val="20"/>
          <w:vertAlign w:val="superscript"/>
          <w:lang w:eastAsia="en-GB"/>
        </w:rPr>
        <w:t>2</w:t>
      </w:r>
      <w:r w:rsidR="00D02CD0" w:rsidRPr="0098635C">
        <w:rPr>
          <w:strike/>
          <w:color w:val="000000" w:themeColor="text1"/>
          <w:sz w:val="20"/>
        </w:rPr>
        <w:t xml:space="preserve"> </w:t>
      </w:r>
      <w:r w:rsidR="00B87612" w:rsidRPr="0098635C">
        <w:rPr>
          <w:color w:val="000000" w:themeColor="text1"/>
          <w:sz w:val="20"/>
        </w:rPr>
        <w:t>as measured</w:t>
      </w:r>
      <w:r w:rsidR="00523728" w:rsidRPr="0098635C">
        <w:rPr>
          <w:color w:val="000000" w:themeColor="text1"/>
          <w:sz w:val="20"/>
        </w:rPr>
        <w:t xml:space="preserve"> by Rodriguez et al. 2011</w:t>
      </w:r>
      <w:r w:rsidR="00E0184B" w:rsidRPr="0098635C">
        <w:rPr>
          <w:color w:val="000000" w:themeColor="text1"/>
          <w:sz w:val="20"/>
        </w:rPr>
        <w:t xml:space="preserve"> at a surface area of 47 mm</w:t>
      </w:r>
      <w:r w:rsidR="00E0184B" w:rsidRPr="0098635C">
        <w:rPr>
          <w:color w:val="000000" w:themeColor="text1"/>
          <w:sz w:val="20"/>
          <w:vertAlign w:val="superscript"/>
        </w:rPr>
        <w:t>2</w:t>
      </w:r>
      <w:r w:rsidR="00E0184B" w:rsidRPr="0098635C">
        <w:rPr>
          <w:color w:val="000000" w:themeColor="text1"/>
          <w:sz w:val="20"/>
        </w:rPr>
        <w:t>/L)</w:t>
      </w:r>
      <w:r w:rsidR="00523728" w:rsidRPr="0098635C">
        <w:rPr>
          <w:color w:val="000000" w:themeColor="text1"/>
          <w:sz w:val="20"/>
        </w:rPr>
        <w:t>, are</w:t>
      </w:r>
      <w:r w:rsidR="00B87612" w:rsidRPr="0098635C">
        <w:rPr>
          <w:color w:val="000000" w:themeColor="text1"/>
          <w:sz w:val="20"/>
        </w:rPr>
        <w:t xml:space="preserve"> </w:t>
      </w:r>
      <w:r w:rsidR="00523728" w:rsidRPr="0098635C">
        <w:rPr>
          <w:color w:val="000000" w:themeColor="text1"/>
          <w:sz w:val="20"/>
        </w:rPr>
        <w:t xml:space="preserve">considered as relevant for read-across </w:t>
      </w:r>
      <w:r w:rsidR="00B47D5A" w:rsidRPr="0098635C">
        <w:rPr>
          <w:color w:val="000000" w:themeColor="text1"/>
          <w:sz w:val="20"/>
        </w:rPr>
        <w:t>to</w:t>
      </w:r>
      <w:r w:rsidR="00E0184B" w:rsidRPr="0098635C">
        <w:rPr>
          <w:color w:val="000000" w:themeColor="text1"/>
          <w:sz w:val="20"/>
        </w:rPr>
        <w:t xml:space="preserve"> worst case </w:t>
      </w:r>
      <w:r w:rsidR="00523728" w:rsidRPr="0098635C">
        <w:rPr>
          <w:color w:val="000000" w:themeColor="text1"/>
          <w:sz w:val="20"/>
        </w:rPr>
        <w:t>copper powders</w:t>
      </w:r>
      <w:r w:rsidR="00E0184B" w:rsidRPr="0098635C">
        <w:rPr>
          <w:color w:val="000000" w:themeColor="text1"/>
          <w:sz w:val="20"/>
        </w:rPr>
        <w:t xml:space="preserve"> </w:t>
      </w:r>
      <w:r w:rsidR="00842D3B" w:rsidRPr="0098635C">
        <w:rPr>
          <w:color w:val="000000" w:themeColor="text1"/>
          <w:sz w:val="20"/>
        </w:rPr>
        <w:t xml:space="preserve">(10 µm).  </w:t>
      </w:r>
    </w:p>
    <w:p w14:paraId="358A4E3A" w14:textId="53047DB6" w:rsidR="00842D3B" w:rsidRPr="0098635C" w:rsidRDefault="00306135" w:rsidP="0059369A">
      <w:pPr>
        <w:pStyle w:val="NoSpacing"/>
        <w:numPr>
          <w:ilvl w:val="0"/>
          <w:numId w:val="36"/>
        </w:numPr>
        <w:spacing w:line="276" w:lineRule="auto"/>
        <w:ind w:left="426"/>
        <w:rPr>
          <w:rFonts w:ascii="Times New Roman" w:eastAsia="Times New Roman" w:hAnsi="Times New Roman" w:cs="Times New Roman"/>
          <w:color w:val="000000" w:themeColor="text1"/>
          <w:sz w:val="20"/>
          <w:szCs w:val="20"/>
          <w:lang w:val="en-GB" w:eastAsia="en-GB"/>
        </w:rPr>
      </w:pPr>
      <w:r w:rsidRPr="0098635C">
        <w:rPr>
          <w:rFonts w:ascii="Times New Roman" w:hAnsi="Times New Roman" w:cs="Times New Roman"/>
          <w:color w:val="000000" w:themeColor="text1"/>
          <w:sz w:val="20"/>
          <w:szCs w:val="20"/>
        </w:rPr>
        <w:t>At pH</w:t>
      </w:r>
      <w:r w:rsidR="00136149" w:rsidRPr="0098635C">
        <w:rPr>
          <w:rFonts w:ascii="Times New Roman" w:hAnsi="Times New Roman" w:cs="Times New Roman"/>
          <w:color w:val="000000" w:themeColor="text1"/>
          <w:sz w:val="20"/>
          <w:szCs w:val="20"/>
        </w:rPr>
        <w:t xml:space="preserve"> </w:t>
      </w:r>
      <w:r w:rsidRPr="0098635C">
        <w:rPr>
          <w:rFonts w:ascii="Times New Roman" w:hAnsi="Times New Roman" w:cs="Times New Roman"/>
          <w:color w:val="000000" w:themeColor="text1"/>
          <w:sz w:val="20"/>
          <w:szCs w:val="20"/>
        </w:rPr>
        <w:t xml:space="preserve">6, </w:t>
      </w:r>
      <w:r w:rsidR="00523728" w:rsidRPr="0098635C">
        <w:rPr>
          <w:rFonts w:ascii="Times New Roman" w:hAnsi="Times New Roman" w:cs="Times New Roman"/>
          <w:color w:val="000000" w:themeColor="text1"/>
          <w:sz w:val="20"/>
          <w:szCs w:val="20"/>
        </w:rPr>
        <w:t>1</w:t>
      </w:r>
      <w:r w:rsidR="00F12E1A" w:rsidRPr="0098635C">
        <w:rPr>
          <w:rFonts w:ascii="Times New Roman" w:hAnsi="Times New Roman" w:cs="Times New Roman"/>
          <w:color w:val="000000" w:themeColor="text1"/>
          <w:sz w:val="20"/>
          <w:szCs w:val="20"/>
        </w:rPr>
        <w:t xml:space="preserve"> </w:t>
      </w:r>
      <w:r w:rsidR="00523728" w:rsidRPr="0098635C">
        <w:rPr>
          <w:rFonts w:ascii="Times New Roman" w:hAnsi="Times New Roman" w:cs="Times New Roman"/>
          <w:color w:val="000000" w:themeColor="text1"/>
          <w:sz w:val="20"/>
          <w:szCs w:val="20"/>
        </w:rPr>
        <w:t>mg/</w:t>
      </w:r>
      <w:r w:rsidRPr="0098635C">
        <w:rPr>
          <w:rFonts w:ascii="Times New Roman" w:hAnsi="Times New Roman" w:cs="Times New Roman"/>
          <w:color w:val="000000" w:themeColor="text1"/>
          <w:sz w:val="20"/>
          <w:szCs w:val="20"/>
        </w:rPr>
        <w:t xml:space="preserve">L and 7 days TD, a copper release </w:t>
      </w:r>
      <w:r w:rsidR="00523728" w:rsidRPr="0098635C">
        <w:rPr>
          <w:rFonts w:ascii="Times New Roman" w:hAnsi="Times New Roman" w:cs="Times New Roman"/>
          <w:color w:val="000000" w:themeColor="text1"/>
          <w:sz w:val="20"/>
          <w:szCs w:val="20"/>
        </w:rPr>
        <w:t xml:space="preserve">of </w:t>
      </w:r>
      <w:r w:rsidR="00CB7FCB" w:rsidRPr="0098635C">
        <w:rPr>
          <w:rFonts w:ascii="Times New Roman" w:hAnsi="Times New Roman" w:cs="Times New Roman"/>
          <w:color w:val="000000" w:themeColor="text1"/>
          <w:sz w:val="20"/>
          <w:szCs w:val="20"/>
        </w:rPr>
        <w:t>9</w:t>
      </w:r>
      <w:r w:rsidR="00523728" w:rsidRPr="0098635C">
        <w:rPr>
          <w:rFonts w:ascii="Times New Roman" w:hAnsi="Times New Roman" w:cs="Times New Roman"/>
          <w:color w:val="000000" w:themeColor="text1"/>
          <w:sz w:val="20"/>
          <w:szCs w:val="20"/>
        </w:rPr>
        <w:t xml:space="preserve">–44 </w:t>
      </w:r>
      <w:r w:rsidR="00CB7FCB" w:rsidRPr="0098635C">
        <w:rPr>
          <w:rFonts w:ascii="Times New Roman" w:hAnsi="Times New Roman" w:cs="Times New Roman"/>
          <w:color w:val="000000" w:themeColor="text1"/>
          <w:sz w:val="20"/>
          <w:szCs w:val="20"/>
        </w:rPr>
        <w:t>µ</w:t>
      </w:r>
      <w:r w:rsidR="00523728" w:rsidRPr="0098635C">
        <w:rPr>
          <w:rFonts w:ascii="Times New Roman" w:hAnsi="Times New Roman" w:cs="Times New Roman"/>
          <w:color w:val="000000" w:themeColor="text1"/>
          <w:sz w:val="20"/>
          <w:szCs w:val="20"/>
        </w:rPr>
        <w:t>g Cu/L</w:t>
      </w:r>
      <w:r w:rsidR="00B87612" w:rsidRPr="0098635C">
        <w:rPr>
          <w:rFonts w:ascii="Times New Roman" w:hAnsi="Times New Roman" w:cs="Times New Roman"/>
          <w:color w:val="000000" w:themeColor="text1"/>
          <w:sz w:val="20"/>
          <w:szCs w:val="20"/>
          <w:lang w:val="en-GB" w:eastAsia="en-GB"/>
        </w:rPr>
        <w:t xml:space="preserve"> </w:t>
      </w:r>
      <w:r w:rsidR="00B47D5A" w:rsidRPr="0098635C">
        <w:rPr>
          <w:rFonts w:ascii="Times New Roman" w:eastAsia="Times New Roman" w:hAnsi="Times New Roman" w:cs="Times New Roman"/>
          <w:color w:val="000000" w:themeColor="text1"/>
          <w:sz w:val="20"/>
          <w:szCs w:val="20"/>
          <w:lang w:val="en-GB" w:eastAsia="en-GB"/>
        </w:rPr>
        <w:t>is derived</w:t>
      </w:r>
      <w:r w:rsidR="00B87612" w:rsidRPr="0098635C">
        <w:rPr>
          <w:rFonts w:ascii="Times New Roman" w:eastAsia="Times New Roman" w:hAnsi="Times New Roman" w:cs="Times New Roman"/>
          <w:color w:val="000000" w:themeColor="text1"/>
          <w:sz w:val="20"/>
          <w:szCs w:val="20"/>
          <w:lang w:val="en-GB" w:eastAsia="en-GB"/>
        </w:rPr>
        <w:t xml:space="preserve"> for ver</w:t>
      </w:r>
      <w:r w:rsidR="00773852" w:rsidRPr="0098635C">
        <w:rPr>
          <w:rFonts w:ascii="Times New Roman" w:eastAsia="Times New Roman" w:hAnsi="Times New Roman" w:cs="Times New Roman"/>
          <w:color w:val="000000" w:themeColor="text1"/>
          <w:sz w:val="20"/>
          <w:szCs w:val="20"/>
          <w:lang w:val="en-GB" w:eastAsia="en-GB"/>
        </w:rPr>
        <w:t xml:space="preserve">y </w:t>
      </w:r>
      <w:r w:rsidR="00B87612" w:rsidRPr="0098635C">
        <w:rPr>
          <w:rFonts w:ascii="Times New Roman" w:eastAsia="Times New Roman" w:hAnsi="Times New Roman" w:cs="Times New Roman"/>
          <w:color w:val="000000" w:themeColor="text1"/>
          <w:sz w:val="20"/>
          <w:szCs w:val="20"/>
          <w:lang w:val="en-GB" w:eastAsia="en-GB"/>
        </w:rPr>
        <w:t>fine copper powders</w:t>
      </w:r>
      <w:r w:rsidR="00F12E1A" w:rsidRPr="0098635C">
        <w:rPr>
          <w:rFonts w:ascii="Times New Roman" w:eastAsia="Times New Roman" w:hAnsi="Times New Roman" w:cs="Times New Roman"/>
          <w:color w:val="000000" w:themeColor="text1"/>
          <w:sz w:val="20"/>
          <w:szCs w:val="20"/>
          <w:lang w:val="en-GB" w:eastAsia="en-GB"/>
        </w:rPr>
        <w:t xml:space="preserve"> (surface </w:t>
      </w:r>
      <w:r w:rsidRPr="0098635C">
        <w:rPr>
          <w:rFonts w:ascii="Times New Roman" w:hAnsi="Times New Roman" w:cs="Times New Roman"/>
          <w:color w:val="000000" w:themeColor="text1"/>
          <w:sz w:val="20"/>
          <w:szCs w:val="20"/>
          <w:lang w:eastAsia="en-GB"/>
        </w:rPr>
        <w:t xml:space="preserve">loading </w:t>
      </w:r>
      <w:r w:rsidR="00F12E1A" w:rsidRPr="0098635C">
        <w:rPr>
          <w:rFonts w:ascii="Times New Roman" w:hAnsi="Times New Roman" w:cs="Times New Roman"/>
          <w:color w:val="000000" w:themeColor="text1"/>
          <w:sz w:val="20"/>
          <w:szCs w:val="20"/>
          <w:lang w:eastAsia="en-GB"/>
        </w:rPr>
        <w:t xml:space="preserve">67 </w:t>
      </w:r>
      <w:r w:rsidR="00F12E1A" w:rsidRPr="0098635C">
        <w:rPr>
          <w:rFonts w:ascii="Times New Roman" w:hAnsi="Times New Roman" w:cs="Times New Roman"/>
          <w:color w:val="000000" w:themeColor="text1"/>
          <w:sz w:val="20"/>
          <w:szCs w:val="20"/>
        </w:rPr>
        <w:t>mm</w:t>
      </w:r>
      <w:r w:rsidR="00F12E1A" w:rsidRPr="0098635C">
        <w:rPr>
          <w:rFonts w:ascii="Times New Roman" w:hAnsi="Times New Roman" w:cs="Times New Roman"/>
          <w:color w:val="000000" w:themeColor="text1"/>
          <w:sz w:val="20"/>
          <w:szCs w:val="20"/>
          <w:vertAlign w:val="superscript"/>
        </w:rPr>
        <w:t>2</w:t>
      </w:r>
      <w:r w:rsidR="00F12E1A" w:rsidRPr="0098635C">
        <w:rPr>
          <w:rFonts w:ascii="Times New Roman" w:hAnsi="Times New Roman" w:cs="Times New Roman"/>
          <w:color w:val="000000" w:themeColor="text1"/>
          <w:sz w:val="20"/>
          <w:szCs w:val="20"/>
        </w:rPr>
        <w:t>/</w:t>
      </w:r>
      <w:r w:rsidRPr="0098635C">
        <w:rPr>
          <w:rFonts w:ascii="Times New Roman" w:hAnsi="Times New Roman" w:cs="Times New Roman"/>
          <w:color w:val="000000" w:themeColor="text1"/>
          <w:sz w:val="20"/>
          <w:szCs w:val="20"/>
        </w:rPr>
        <w:t>L</w:t>
      </w:r>
      <w:r w:rsidR="00F12E1A" w:rsidRPr="0098635C">
        <w:rPr>
          <w:rFonts w:ascii="Times New Roman" w:hAnsi="Times New Roman" w:cs="Times New Roman"/>
          <w:color w:val="000000" w:themeColor="text1"/>
          <w:sz w:val="20"/>
          <w:szCs w:val="20"/>
        </w:rPr>
        <w:t>)</w:t>
      </w:r>
      <w:r w:rsidR="00B47D5A" w:rsidRPr="0098635C">
        <w:rPr>
          <w:rFonts w:ascii="Times New Roman" w:hAnsi="Times New Roman" w:cs="Times New Roman"/>
          <w:color w:val="000000" w:themeColor="text1"/>
          <w:sz w:val="20"/>
          <w:szCs w:val="20"/>
          <w:lang w:eastAsia="en-GB"/>
        </w:rPr>
        <w:t>.</w:t>
      </w:r>
      <w:r w:rsidR="00D02CD0" w:rsidRPr="0098635C">
        <w:rPr>
          <w:rFonts w:ascii="Times New Roman" w:hAnsi="Times New Roman" w:cs="Times New Roman"/>
          <w:color w:val="000000" w:themeColor="text1"/>
          <w:sz w:val="20"/>
          <w:szCs w:val="20"/>
          <w:lang w:eastAsia="en-GB"/>
        </w:rPr>
        <w:t xml:space="preserve"> R</w:t>
      </w:r>
      <w:r w:rsidR="00842D3B" w:rsidRPr="0098635C">
        <w:rPr>
          <w:rFonts w:ascii="Times New Roman" w:hAnsi="Times New Roman" w:cs="Times New Roman"/>
          <w:color w:val="000000" w:themeColor="text1"/>
          <w:sz w:val="20"/>
          <w:szCs w:val="20"/>
          <w:lang w:eastAsia="en-GB"/>
        </w:rPr>
        <w:t>eleases of copper ions from powders</w:t>
      </w:r>
      <w:r w:rsidR="00136149" w:rsidRPr="0098635C">
        <w:rPr>
          <w:rFonts w:ascii="Times New Roman" w:hAnsi="Times New Roman" w:cs="Times New Roman"/>
          <w:color w:val="000000" w:themeColor="text1"/>
          <w:sz w:val="20"/>
          <w:szCs w:val="20"/>
          <w:lang w:eastAsia="en-GB"/>
        </w:rPr>
        <w:t xml:space="preserve"> at</w:t>
      </w:r>
      <w:r w:rsidR="00842D3B" w:rsidRPr="0098635C">
        <w:rPr>
          <w:rFonts w:ascii="Times New Roman" w:hAnsi="Times New Roman" w:cs="Times New Roman"/>
          <w:color w:val="000000" w:themeColor="text1"/>
          <w:sz w:val="20"/>
          <w:szCs w:val="20"/>
          <w:lang w:eastAsia="en-GB"/>
        </w:rPr>
        <w:t xml:space="preserve"> diffe</w:t>
      </w:r>
      <w:r w:rsidR="00C36182" w:rsidRPr="0098635C">
        <w:rPr>
          <w:rFonts w:ascii="Times New Roman" w:eastAsia="Times New Roman" w:hAnsi="Times New Roman" w:cs="Times New Roman"/>
          <w:color w:val="000000" w:themeColor="text1"/>
          <w:sz w:val="20"/>
          <w:szCs w:val="20"/>
          <w:lang w:val="en-GB" w:eastAsia="en-GB"/>
        </w:rPr>
        <w:t>re</w:t>
      </w:r>
      <w:r w:rsidR="00842D3B" w:rsidRPr="0098635C">
        <w:rPr>
          <w:rFonts w:ascii="Times New Roman" w:hAnsi="Times New Roman" w:cs="Times New Roman"/>
          <w:color w:val="000000" w:themeColor="text1"/>
          <w:sz w:val="20"/>
          <w:szCs w:val="20"/>
          <w:lang w:eastAsia="en-GB"/>
        </w:rPr>
        <w:t xml:space="preserve">nt specific surface area’s and different surface loadings </w:t>
      </w:r>
      <w:r w:rsidR="00D02CD0" w:rsidRPr="0098635C">
        <w:rPr>
          <w:rFonts w:ascii="Times New Roman" w:hAnsi="Times New Roman" w:cs="Times New Roman"/>
          <w:color w:val="000000" w:themeColor="text1"/>
          <w:sz w:val="20"/>
          <w:szCs w:val="20"/>
          <w:lang w:eastAsia="en-GB"/>
        </w:rPr>
        <w:t>(</w:t>
      </w:r>
      <w:r w:rsidR="00C36182" w:rsidRPr="0098635C">
        <w:rPr>
          <w:rFonts w:ascii="Times New Roman" w:eastAsia="Times New Roman" w:hAnsi="Times New Roman" w:cs="Times New Roman"/>
          <w:color w:val="000000" w:themeColor="text1"/>
          <w:sz w:val="20"/>
          <w:szCs w:val="20"/>
          <w:lang w:val="en-GB" w:eastAsia="en-GB"/>
        </w:rPr>
        <w:t>e.g.</w:t>
      </w:r>
      <w:r w:rsidR="00D02CD0" w:rsidRPr="0098635C">
        <w:rPr>
          <w:rFonts w:ascii="Times New Roman" w:hAnsi="Times New Roman" w:cs="Times New Roman"/>
          <w:color w:val="000000" w:themeColor="text1"/>
          <w:sz w:val="20"/>
          <w:szCs w:val="20"/>
          <w:lang w:eastAsia="en-GB"/>
        </w:rPr>
        <w:t xml:space="preserve"> 10 and 100 mg/L) </w:t>
      </w:r>
      <w:r w:rsidR="00842D3B" w:rsidRPr="0098635C">
        <w:rPr>
          <w:rFonts w:ascii="Times New Roman" w:hAnsi="Times New Roman" w:cs="Times New Roman"/>
          <w:color w:val="000000" w:themeColor="text1"/>
          <w:sz w:val="20"/>
          <w:szCs w:val="20"/>
          <w:lang w:eastAsia="en-GB"/>
        </w:rPr>
        <w:t xml:space="preserve">can be calculated </w:t>
      </w:r>
      <w:r w:rsidR="009E0669" w:rsidRPr="0098635C">
        <w:rPr>
          <w:rFonts w:ascii="Times New Roman" w:hAnsi="Times New Roman" w:cs="Times New Roman"/>
          <w:color w:val="000000" w:themeColor="text1"/>
          <w:sz w:val="20"/>
          <w:szCs w:val="20"/>
          <w:lang w:eastAsia="en-GB"/>
        </w:rPr>
        <w:t xml:space="preserve">accordingly </w:t>
      </w:r>
      <w:r w:rsidR="00842D3B" w:rsidRPr="0098635C">
        <w:rPr>
          <w:rFonts w:ascii="Times New Roman" w:hAnsi="Times New Roman" w:cs="Times New Roman"/>
          <w:color w:val="000000" w:themeColor="text1"/>
          <w:sz w:val="20"/>
          <w:szCs w:val="20"/>
          <w:lang w:eastAsia="en-GB"/>
        </w:rPr>
        <w:t xml:space="preserve">using the most </w:t>
      </w:r>
      <w:r w:rsidR="00D02CD0" w:rsidRPr="0098635C">
        <w:rPr>
          <w:rFonts w:ascii="Times New Roman" w:hAnsi="Times New Roman" w:cs="Times New Roman"/>
          <w:color w:val="000000" w:themeColor="text1"/>
          <w:sz w:val="20"/>
          <w:szCs w:val="20"/>
          <w:lang w:eastAsia="en-GB"/>
        </w:rPr>
        <w:t xml:space="preserve">appropriate </w:t>
      </w:r>
      <w:r w:rsidR="009E0669" w:rsidRPr="0098635C">
        <w:rPr>
          <w:rFonts w:ascii="Times New Roman" w:hAnsi="Times New Roman" w:cs="Times New Roman"/>
          <w:color w:val="000000" w:themeColor="text1"/>
          <w:sz w:val="20"/>
          <w:szCs w:val="20"/>
          <w:lang w:eastAsia="en-GB"/>
        </w:rPr>
        <w:t>surface area-specific releases (</w:t>
      </w:r>
      <w:r w:rsidR="009E0669" w:rsidRPr="0098635C">
        <w:rPr>
          <w:rFonts w:ascii="Times New Roman" w:hAnsi="Times New Roman" w:cs="Times New Roman"/>
          <w:color w:val="000000" w:themeColor="text1"/>
          <w:sz w:val="20"/>
          <w:szCs w:val="20"/>
        </w:rPr>
        <w:t>Rodriguez et al. 2011 and 2012)</w:t>
      </w:r>
      <w:r w:rsidR="00842D3B" w:rsidRPr="0098635C">
        <w:rPr>
          <w:rFonts w:ascii="Times New Roman" w:hAnsi="Times New Roman" w:cs="Times New Roman"/>
          <w:color w:val="000000" w:themeColor="text1"/>
          <w:sz w:val="20"/>
          <w:szCs w:val="20"/>
          <w:lang w:eastAsia="en-GB"/>
        </w:rPr>
        <w:t xml:space="preserve">. </w:t>
      </w:r>
    </w:p>
    <w:p w14:paraId="3355B8F7" w14:textId="44F93900" w:rsidR="007F51A5" w:rsidRPr="0098635C" w:rsidRDefault="00306135" w:rsidP="0059369A">
      <w:pPr>
        <w:pStyle w:val="BodyText"/>
        <w:numPr>
          <w:ilvl w:val="0"/>
          <w:numId w:val="36"/>
        </w:numPr>
        <w:ind w:left="426"/>
        <w:rPr>
          <w:color w:val="000000" w:themeColor="text1"/>
          <w:sz w:val="20"/>
        </w:rPr>
      </w:pPr>
      <w:r w:rsidRPr="0098635C">
        <w:rPr>
          <w:color w:val="000000" w:themeColor="text1"/>
          <w:sz w:val="20"/>
        </w:rPr>
        <w:t>At pH</w:t>
      </w:r>
      <w:r w:rsidR="00136149" w:rsidRPr="0098635C">
        <w:rPr>
          <w:color w:val="000000" w:themeColor="text1"/>
          <w:sz w:val="20"/>
        </w:rPr>
        <w:t xml:space="preserve"> </w:t>
      </w:r>
      <w:r w:rsidRPr="0098635C">
        <w:rPr>
          <w:color w:val="000000" w:themeColor="text1"/>
          <w:sz w:val="20"/>
        </w:rPr>
        <w:t>6, 1 mg/L and 28 days TD</w:t>
      </w:r>
      <w:r w:rsidRPr="0098635C" w:rsidDel="00306135">
        <w:rPr>
          <w:color w:val="000000" w:themeColor="text1"/>
          <w:sz w:val="20"/>
        </w:rPr>
        <w:t xml:space="preserve"> </w:t>
      </w:r>
      <w:r w:rsidR="00B47D5A" w:rsidRPr="0098635C">
        <w:rPr>
          <w:color w:val="000000" w:themeColor="text1"/>
          <w:sz w:val="20"/>
        </w:rPr>
        <w:t>releases are derived</w:t>
      </w:r>
      <w:r w:rsidR="00523728" w:rsidRPr="0098635C">
        <w:rPr>
          <w:color w:val="000000" w:themeColor="text1"/>
          <w:sz w:val="20"/>
        </w:rPr>
        <w:t xml:space="preserve"> following linear extrapolation of the above retained 7 days transformation/dissolution test results: </w:t>
      </w:r>
      <w:r w:rsidR="00456A46" w:rsidRPr="0098635C">
        <w:rPr>
          <w:color w:val="000000" w:themeColor="text1"/>
          <w:sz w:val="20"/>
        </w:rPr>
        <w:t>37</w:t>
      </w:r>
      <w:r w:rsidR="00523728" w:rsidRPr="0098635C">
        <w:rPr>
          <w:color w:val="000000" w:themeColor="text1"/>
          <w:sz w:val="20"/>
        </w:rPr>
        <w:t xml:space="preserve">-176 </w:t>
      </w:r>
      <w:r w:rsidR="00CB7FCB" w:rsidRPr="0098635C">
        <w:rPr>
          <w:color w:val="000000" w:themeColor="text1"/>
          <w:sz w:val="20"/>
        </w:rPr>
        <w:t>µ</w:t>
      </w:r>
      <w:r w:rsidR="00523728" w:rsidRPr="0098635C">
        <w:rPr>
          <w:color w:val="000000" w:themeColor="text1"/>
          <w:sz w:val="20"/>
        </w:rPr>
        <w:t>g Cu/L (pH 6)</w:t>
      </w:r>
      <w:r w:rsidR="00A71F90" w:rsidRPr="0098635C">
        <w:rPr>
          <w:color w:val="000000" w:themeColor="text1"/>
          <w:sz w:val="20"/>
        </w:rPr>
        <w:t>.</w:t>
      </w:r>
      <w:r w:rsidR="00523728" w:rsidRPr="0098635C">
        <w:rPr>
          <w:color w:val="000000" w:themeColor="text1"/>
          <w:sz w:val="20"/>
        </w:rPr>
        <w:t xml:space="preserve"> </w:t>
      </w:r>
    </w:p>
    <w:p w14:paraId="17820547" w14:textId="4EAC0B31" w:rsidR="00842D3B" w:rsidRPr="0098635C" w:rsidRDefault="005218F2" w:rsidP="00D05142">
      <w:pPr>
        <w:pStyle w:val="BodyText"/>
        <w:rPr>
          <w:color w:val="000000" w:themeColor="text1"/>
          <w:sz w:val="20"/>
        </w:rPr>
      </w:pPr>
      <w:r w:rsidRPr="0098635C">
        <w:rPr>
          <w:color w:val="000000" w:themeColor="text1"/>
          <w:sz w:val="20"/>
        </w:rPr>
        <w:t xml:space="preserve">The releases at </w:t>
      </w:r>
      <w:r w:rsidR="00482572" w:rsidRPr="0098635C">
        <w:rPr>
          <w:color w:val="000000" w:themeColor="text1"/>
          <w:sz w:val="20"/>
        </w:rPr>
        <w:t>pH</w:t>
      </w:r>
      <w:r w:rsidR="00136149" w:rsidRPr="0098635C">
        <w:rPr>
          <w:color w:val="000000" w:themeColor="text1"/>
          <w:sz w:val="20"/>
        </w:rPr>
        <w:t xml:space="preserve"> </w:t>
      </w:r>
      <w:r w:rsidR="00482572" w:rsidRPr="0098635C">
        <w:rPr>
          <w:color w:val="000000" w:themeColor="text1"/>
          <w:sz w:val="20"/>
        </w:rPr>
        <w:t xml:space="preserve">6 </w:t>
      </w:r>
      <w:r w:rsidRPr="0098635C">
        <w:rPr>
          <w:color w:val="000000" w:themeColor="text1"/>
          <w:sz w:val="20"/>
        </w:rPr>
        <w:t>can be extrapolated</w:t>
      </w:r>
      <w:r w:rsidR="00482572" w:rsidRPr="0098635C">
        <w:rPr>
          <w:color w:val="000000" w:themeColor="text1"/>
          <w:sz w:val="20"/>
        </w:rPr>
        <w:t xml:space="preserve"> to releases at</w:t>
      </w:r>
      <w:r w:rsidRPr="0098635C">
        <w:rPr>
          <w:color w:val="000000" w:themeColor="text1"/>
          <w:sz w:val="20"/>
        </w:rPr>
        <w:t xml:space="preserve"> </w:t>
      </w:r>
      <w:r w:rsidR="00482572" w:rsidRPr="0098635C">
        <w:rPr>
          <w:color w:val="000000" w:themeColor="text1"/>
          <w:sz w:val="20"/>
        </w:rPr>
        <w:t xml:space="preserve">pH 7 and pH 8 </w:t>
      </w:r>
      <w:r w:rsidRPr="0098635C">
        <w:rPr>
          <w:color w:val="000000" w:themeColor="text1"/>
          <w:sz w:val="20"/>
        </w:rPr>
        <w:t xml:space="preserve">by considering the pH dependent difference in </w:t>
      </w:r>
      <w:r w:rsidR="00395AC1" w:rsidRPr="0098635C">
        <w:rPr>
          <w:color w:val="000000" w:themeColor="text1"/>
          <w:sz w:val="20"/>
        </w:rPr>
        <w:t xml:space="preserve">copper </w:t>
      </w:r>
      <w:r w:rsidRPr="0098635C">
        <w:rPr>
          <w:color w:val="000000" w:themeColor="text1"/>
          <w:sz w:val="20"/>
        </w:rPr>
        <w:t>releases (Rodriguez et al., 2007)</w:t>
      </w:r>
      <w:r w:rsidR="008230F9" w:rsidRPr="0098635C">
        <w:rPr>
          <w:color w:val="000000" w:themeColor="text1"/>
          <w:sz w:val="20"/>
        </w:rPr>
        <w:t>.</w:t>
      </w:r>
    </w:p>
    <w:p w14:paraId="41D497FB" w14:textId="77777777" w:rsidR="00523728" w:rsidRPr="0098635C" w:rsidRDefault="00D05142" w:rsidP="00523728">
      <w:pPr>
        <w:pStyle w:val="BodyText"/>
        <w:rPr>
          <w:i/>
          <w:color w:val="000000" w:themeColor="text1"/>
          <w:sz w:val="20"/>
          <w:u w:val="single"/>
        </w:rPr>
      </w:pPr>
      <w:r w:rsidRPr="0098635C">
        <w:rPr>
          <w:i/>
          <w:color w:val="000000" w:themeColor="text1"/>
          <w:sz w:val="20"/>
          <w:u w:val="single"/>
        </w:rPr>
        <w:t>Coated copper flakes</w:t>
      </w:r>
      <w:r w:rsidR="00FF5E9E" w:rsidRPr="0098635C">
        <w:rPr>
          <w:i/>
          <w:color w:val="000000" w:themeColor="text1"/>
          <w:sz w:val="20"/>
          <w:u w:val="single"/>
        </w:rPr>
        <w:t xml:space="preserve"> (5µm to 100µm)</w:t>
      </w:r>
    </w:p>
    <w:p w14:paraId="13D74031" w14:textId="4DF0D396" w:rsidR="00D05142" w:rsidRPr="0098635C" w:rsidRDefault="00523728" w:rsidP="00D05142">
      <w:pPr>
        <w:pStyle w:val="BodyText"/>
        <w:rPr>
          <w:color w:val="000000" w:themeColor="text1"/>
          <w:sz w:val="20"/>
        </w:rPr>
      </w:pPr>
      <w:r w:rsidRPr="0098635C">
        <w:rPr>
          <w:color w:val="000000" w:themeColor="text1"/>
          <w:sz w:val="20"/>
        </w:rPr>
        <w:t>The surface coating of the flakes results in the formation of high particle-specific surface areas (2900 mm</w:t>
      </w:r>
      <w:r w:rsidRPr="0098635C">
        <w:rPr>
          <w:color w:val="000000" w:themeColor="text1"/>
          <w:sz w:val="20"/>
          <w:vertAlign w:val="superscript"/>
        </w:rPr>
        <w:t>2</w:t>
      </w:r>
      <w:r w:rsidRPr="0098635C">
        <w:rPr>
          <w:color w:val="000000" w:themeColor="text1"/>
          <w:sz w:val="20"/>
        </w:rPr>
        <w:t>/mg)</w:t>
      </w:r>
      <w:r w:rsidR="00B47D5A" w:rsidRPr="0098635C">
        <w:rPr>
          <w:color w:val="000000" w:themeColor="text1"/>
          <w:sz w:val="20"/>
        </w:rPr>
        <w:t xml:space="preserve">. </w:t>
      </w:r>
      <w:r w:rsidR="00116417" w:rsidRPr="0098635C">
        <w:rPr>
          <w:color w:val="000000" w:themeColor="text1"/>
          <w:sz w:val="20"/>
        </w:rPr>
        <w:t>Seven</w:t>
      </w:r>
      <w:r w:rsidR="00306135" w:rsidRPr="0098635C">
        <w:rPr>
          <w:color w:val="000000" w:themeColor="text1"/>
          <w:sz w:val="20"/>
        </w:rPr>
        <w:t xml:space="preserve"> and </w:t>
      </w:r>
      <w:r w:rsidR="00116417" w:rsidRPr="0098635C">
        <w:rPr>
          <w:color w:val="000000" w:themeColor="text1"/>
          <w:sz w:val="20"/>
        </w:rPr>
        <w:t>twenty-eight</w:t>
      </w:r>
      <w:r w:rsidR="00D2440E" w:rsidRPr="0098635C">
        <w:rPr>
          <w:color w:val="000000" w:themeColor="text1"/>
          <w:sz w:val="20"/>
        </w:rPr>
        <w:t xml:space="preserve"> days t</w:t>
      </w:r>
      <w:r w:rsidR="00482572" w:rsidRPr="0098635C">
        <w:rPr>
          <w:color w:val="000000" w:themeColor="text1"/>
          <w:sz w:val="20"/>
        </w:rPr>
        <w:t>ransformation/dissolution tests at pH</w:t>
      </w:r>
      <w:r w:rsidR="00AB0AF9" w:rsidRPr="0098635C">
        <w:rPr>
          <w:color w:val="000000" w:themeColor="text1"/>
          <w:sz w:val="20"/>
        </w:rPr>
        <w:t xml:space="preserve"> </w:t>
      </w:r>
      <w:r w:rsidR="00482572" w:rsidRPr="0098635C">
        <w:rPr>
          <w:color w:val="000000" w:themeColor="text1"/>
          <w:sz w:val="20"/>
        </w:rPr>
        <w:t>6</w:t>
      </w:r>
      <w:r w:rsidR="00353AEF" w:rsidRPr="0098635C">
        <w:rPr>
          <w:color w:val="000000" w:themeColor="text1"/>
          <w:sz w:val="20"/>
        </w:rPr>
        <w:t xml:space="preserve"> </w:t>
      </w:r>
      <w:r w:rsidR="00116417" w:rsidRPr="0098635C">
        <w:rPr>
          <w:color w:val="000000" w:themeColor="text1"/>
          <w:sz w:val="20"/>
        </w:rPr>
        <w:t xml:space="preserve">and pH 7 were conducted with </w:t>
      </w:r>
      <w:r w:rsidR="00353AEF" w:rsidRPr="0098635C">
        <w:rPr>
          <w:color w:val="000000" w:themeColor="text1"/>
          <w:sz w:val="20"/>
        </w:rPr>
        <w:t xml:space="preserve">a </w:t>
      </w:r>
      <w:r w:rsidR="00482572" w:rsidRPr="0098635C">
        <w:rPr>
          <w:color w:val="000000" w:themeColor="text1"/>
          <w:sz w:val="20"/>
        </w:rPr>
        <w:t>1</w:t>
      </w:r>
      <w:r w:rsidR="00FB076E" w:rsidRPr="0098635C">
        <w:rPr>
          <w:color w:val="000000" w:themeColor="text1"/>
          <w:sz w:val="20"/>
        </w:rPr>
        <w:t xml:space="preserve"> </w:t>
      </w:r>
      <w:r w:rsidR="00482572" w:rsidRPr="0098635C">
        <w:rPr>
          <w:color w:val="000000" w:themeColor="text1"/>
          <w:sz w:val="20"/>
        </w:rPr>
        <w:t>mg/L</w:t>
      </w:r>
      <w:r w:rsidR="00353AEF" w:rsidRPr="0098635C">
        <w:rPr>
          <w:color w:val="000000" w:themeColor="text1"/>
          <w:sz w:val="20"/>
        </w:rPr>
        <w:t xml:space="preserve"> loading</w:t>
      </w:r>
      <w:r w:rsidR="00482572" w:rsidRPr="0098635C">
        <w:rPr>
          <w:color w:val="000000" w:themeColor="text1"/>
          <w:sz w:val="20"/>
        </w:rPr>
        <w:t xml:space="preserve"> (Schaefer, 2013)</w:t>
      </w:r>
      <w:r w:rsidR="00116417" w:rsidRPr="0098635C">
        <w:rPr>
          <w:color w:val="000000" w:themeColor="text1"/>
          <w:sz w:val="20"/>
        </w:rPr>
        <w:t>, and the</w:t>
      </w:r>
      <w:r w:rsidR="00482572" w:rsidRPr="0098635C">
        <w:rPr>
          <w:color w:val="000000" w:themeColor="text1"/>
          <w:sz w:val="20"/>
        </w:rPr>
        <w:t xml:space="preserve"> following </w:t>
      </w:r>
      <w:r w:rsidR="00FB076E" w:rsidRPr="0098635C">
        <w:rPr>
          <w:color w:val="000000" w:themeColor="text1"/>
          <w:sz w:val="20"/>
        </w:rPr>
        <w:t xml:space="preserve">copper releases </w:t>
      </w:r>
      <w:r w:rsidR="00116417" w:rsidRPr="0098635C">
        <w:rPr>
          <w:color w:val="000000" w:themeColor="text1"/>
          <w:sz w:val="20"/>
        </w:rPr>
        <w:t>were observed:</w:t>
      </w:r>
    </w:p>
    <w:p w14:paraId="43C660A2" w14:textId="303A6452" w:rsidR="00482572" w:rsidRPr="0098635C" w:rsidRDefault="00482572" w:rsidP="0059369A">
      <w:pPr>
        <w:widowControl/>
        <w:numPr>
          <w:ilvl w:val="0"/>
          <w:numId w:val="12"/>
        </w:numPr>
        <w:autoSpaceDE/>
        <w:autoSpaceDN/>
        <w:adjustRightInd/>
        <w:spacing w:after="200" w:line="252" w:lineRule="auto"/>
        <w:jc w:val="left"/>
        <w:rPr>
          <w:color w:val="000000" w:themeColor="text1"/>
          <w:sz w:val="20"/>
          <w:szCs w:val="20"/>
        </w:rPr>
      </w:pPr>
      <w:r w:rsidRPr="0098635C">
        <w:rPr>
          <w:color w:val="000000" w:themeColor="text1"/>
          <w:sz w:val="20"/>
          <w:szCs w:val="20"/>
        </w:rPr>
        <w:t>At pH 6: at a loading of 1 mg/L, the dissolved mean copper concentrations at day 7 (acute)</w:t>
      </w:r>
      <w:r w:rsidR="00D2440E" w:rsidRPr="0098635C">
        <w:rPr>
          <w:color w:val="000000" w:themeColor="text1"/>
          <w:sz w:val="20"/>
          <w:szCs w:val="20"/>
        </w:rPr>
        <w:t xml:space="preserve"> and at day 28</w:t>
      </w:r>
      <w:r w:rsidRPr="0098635C">
        <w:rPr>
          <w:color w:val="000000" w:themeColor="text1"/>
          <w:sz w:val="20"/>
          <w:szCs w:val="20"/>
        </w:rPr>
        <w:t xml:space="preserve"> </w:t>
      </w:r>
      <w:r w:rsidR="00CD5419" w:rsidRPr="0098635C">
        <w:rPr>
          <w:color w:val="000000" w:themeColor="text1"/>
          <w:sz w:val="20"/>
          <w:szCs w:val="20"/>
        </w:rPr>
        <w:t xml:space="preserve">(chronic) </w:t>
      </w:r>
      <w:r w:rsidRPr="0098635C">
        <w:rPr>
          <w:color w:val="000000" w:themeColor="text1"/>
          <w:sz w:val="20"/>
          <w:szCs w:val="20"/>
        </w:rPr>
        <w:t xml:space="preserve">were respectively </w:t>
      </w:r>
      <w:r w:rsidR="00CB7FCB" w:rsidRPr="0098635C">
        <w:rPr>
          <w:color w:val="000000" w:themeColor="text1"/>
          <w:sz w:val="20"/>
          <w:szCs w:val="20"/>
        </w:rPr>
        <w:t>7</w:t>
      </w:r>
      <w:r w:rsidRPr="0098635C">
        <w:rPr>
          <w:color w:val="000000" w:themeColor="text1"/>
          <w:sz w:val="20"/>
          <w:szCs w:val="20"/>
        </w:rPr>
        <w:t xml:space="preserve">21 </w:t>
      </w:r>
      <w:r w:rsidR="00CB7FCB" w:rsidRPr="0098635C">
        <w:rPr>
          <w:color w:val="000000" w:themeColor="text1"/>
          <w:sz w:val="20"/>
          <w:szCs w:val="20"/>
        </w:rPr>
        <w:t>µ</w:t>
      </w:r>
      <w:r w:rsidRPr="0098635C">
        <w:rPr>
          <w:color w:val="000000" w:themeColor="text1"/>
          <w:sz w:val="20"/>
          <w:szCs w:val="20"/>
        </w:rPr>
        <w:t xml:space="preserve">g/l and 773 </w:t>
      </w:r>
      <w:r w:rsidR="00CB7FCB" w:rsidRPr="0098635C">
        <w:rPr>
          <w:color w:val="000000" w:themeColor="text1"/>
          <w:sz w:val="20"/>
          <w:szCs w:val="20"/>
        </w:rPr>
        <w:t>µ</w:t>
      </w:r>
      <w:r w:rsidRPr="0098635C">
        <w:rPr>
          <w:color w:val="000000" w:themeColor="text1"/>
          <w:sz w:val="20"/>
          <w:szCs w:val="20"/>
        </w:rPr>
        <w:t xml:space="preserve">g/l. </w:t>
      </w:r>
    </w:p>
    <w:p w14:paraId="2C75EF9C" w14:textId="77777777" w:rsidR="00D05142" w:rsidRPr="0098635C" w:rsidRDefault="00482572" w:rsidP="0059369A">
      <w:pPr>
        <w:widowControl/>
        <w:numPr>
          <w:ilvl w:val="0"/>
          <w:numId w:val="12"/>
        </w:numPr>
        <w:autoSpaceDE/>
        <w:autoSpaceDN/>
        <w:adjustRightInd/>
        <w:spacing w:after="0" w:line="300" w:lineRule="atLeast"/>
        <w:jc w:val="center"/>
        <w:rPr>
          <w:b/>
          <w:color w:val="000000" w:themeColor="text1"/>
          <w:sz w:val="20"/>
          <w:szCs w:val="20"/>
        </w:rPr>
      </w:pPr>
      <w:r w:rsidRPr="0098635C">
        <w:rPr>
          <w:color w:val="000000" w:themeColor="text1"/>
          <w:sz w:val="20"/>
          <w:szCs w:val="20"/>
        </w:rPr>
        <w:t>At pH 7: at a loading of 1 mg/L, dissolved mean copper concentrations at day 7 (acute) and at</w:t>
      </w:r>
    </w:p>
    <w:p w14:paraId="4375F576" w14:textId="22490173" w:rsidR="00D05142" w:rsidRPr="0098635C" w:rsidRDefault="00CD5419" w:rsidP="00D05142">
      <w:pPr>
        <w:widowControl/>
        <w:autoSpaceDE/>
        <w:autoSpaceDN/>
        <w:adjustRightInd/>
        <w:spacing w:after="0" w:line="300" w:lineRule="atLeast"/>
        <w:ind w:left="360"/>
        <w:rPr>
          <w:b/>
          <w:color w:val="000000" w:themeColor="text1"/>
          <w:sz w:val="20"/>
          <w:szCs w:val="20"/>
        </w:rPr>
      </w:pPr>
      <w:r w:rsidRPr="0098635C">
        <w:rPr>
          <w:color w:val="000000" w:themeColor="text1"/>
          <w:sz w:val="20"/>
          <w:szCs w:val="20"/>
        </w:rPr>
        <w:t xml:space="preserve">day </w:t>
      </w:r>
      <w:r w:rsidR="00D2440E" w:rsidRPr="0098635C">
        <w:rPr>
          <w:color w:val="000000" w:themeColor="text1"/>
          <w:sz w:val="20"/>
          <w:szCs w:val="20"/>
        </w:rPr>
        <w:t xml:space="preserve">28 </w:t>
      </w:r>
      <w:r w:rsidRPr="0098635C">
        <w:rPr>
          <w:color w:val="000000" w:themeColor="text1"/>
          <w:sz w:val="20"/>
          <w:szCs w:val="20"/>
        </w:rPr>
        <w:t>(chronic)</w:t>
      </w:r>
      <w:r w:rsidR="00482572" w:rsidRPr="0098635C">
        <w:rPr>
          <w:color w:val="000000" w:themeColor="text1"/>
          <w:sz w:val="20"/>
          <w:szCs w:val="20"/>
        </w:rPr>
        <w:t xml:space="preserve"> were respectively 363 </w:t>
      </w:r>
      <w:r w:rsidR="00CB7FCB" w:rsidRPr="0098635C">
        <w:rPr>
          <w:color w:val="000000" w:themeColor="text1"/>
          <w:sz w:val="20"/>
          <w:szCs w:val="20"/>
        </w:rPr>
        <w:t>µ</w:t>
      </w:r>
      <w:r w:rsidR="00482572" w:rsidRPr="0098635C">
        <w:rPr>
          <w:color w:val="000000" w:themeColor="text1"/>
          <w:sz w:val="20"/>
          <w:szCs w:val="20"/>
        </w:rPr>
        <w:t xml:space="preserve">g/l and 639 </w:t>
      </w:r>
      <w:r w:rsidR="00CB7FCB" w:rsidRPr="0098635C">
        <w:rPr>
          <w:color w:val="000000" w:themeColor="text1"/>
          <w:sz w:val="20"/>
          <w:szCs w:val="20"/>
        </w:rPr>
        <w:t>µ</w:t>
      </w:r>
      <w:r w:rsidR="00482572" w:rsidRPr="0098635C">
        <w:rPr>
          <w:color w:val="000000" w:themeColor="text1"/>
          <w:sz w:val="20"/>
          <w:szCs w:val="20"/>
        </w:rPr>
        <w:t xml:space="preserve">g/l. </w:t>
      </w:r>
    </w:p>
    <w:p w14:paraId="1F5675C7" w14:textId="77777777" w:rsidR="00D05142" w:rsidRPr="0098635C" w:rsidRDefault="00D05142" w:rsidP="00D05142">
      <w:pPr>
        <w:widowControl/>
        <w:autoSpaceDE/>
        <w:autoSpaceDN/>
        <w:adjustRightInd/>
        <w:spacing w:after="0" w:line="300" w:lineRule="atLeast"/>
        <w:ind w:left="360"/>
        <w:rPr>
          <w:b/>
          <w:color w:val="000000" w:themeColor="text1"/>
          <w:sz w:val="20"/>
          <w:szCs w:val="20"/>
        </w:rPr>
      </w:pPr>
    </w:p>
    <w:p w14:paraId="52F118D3" w14:textId="3A88EF78" w:rsidR="00D05142" w:rsidRPr="0098635C" w:rsidRDefault="00D05142" w:rsidP="00D05142">
      <w:pPr>
        <w:widowControl/>
        <w:autoSpaceDE/>
        <w:autoSpaceDN/>
        <w:adjustRightInd/>
        <w:spacing w:after="0" w:line="300" w:lineRule="atLeast"/>
        <w:rPr>
          <w:rFonts w:cs="Arial"/>
          <w:b/>
          <w:i/>
          <w:color w:val="000000" w:themeColor="text1"/>
          <w:sz w:val="20"/>
          <w:szCs w:val="20"/>
        </w:rPr>
      </w:pPr>
      <w:r w:rsidRPr="0098635C">
        <w:rPr>
          <w:rFonts w:cs="Arial"/>
          <w:b/>
          <w:i/>
          <w:color w:val="000000" w:themeColor="text1"/>
          <w:sz w:val="20"/>
          <w:szCs w:val="20"/>
        </w:rPr>
        <w:t>Conclusion transformation/dissolution of copper</w:t>
      </w:r>
      <w:r w:rsidR="002C6F71" w:rsidRPr="0098635C">
        <w:rPr>
          <w:rFonts w:cs="Arial"/>
          <w:b/>
          <w:i/>
          <w:color w:val="000000" w:themeColor="text1"/>
          <w:sz w:val="20"/>
          <w:szCs w:val="20"/>
        </w:rPr>
        <w:t xml:space="preserve"> and copper compounds</w:t>
      </w:r>
    </w:p>
    <w:p w14:paraId="06524613" w14:textId="77777777" w:rsidR="00D05142" w:rsidRPr="0098635C" w:rsidRDefault="00D05142" w:rsidP="00D05142">
      <w:pPr>
        <w:widowControl/>
        <w:autoSpaceDE/>
        <w:autoSpaceDN/>
        <w:adjustRightInd/>
        <w:spacing w:after="0" w:line="300" w:lineRule="atLeast"/>
        <w:rPr>
          <w:rFonts w:cs="Arial"/>
          <w:color w:val="000000" w:themeColor="text1"/>
          <w:sz w:val="20"/>
          <w:szCs w:val="20"/>
        </w:rPr>
      </w:pPr>
    </w:p>
    <w:p w14:paraId="088D8B67" w14:textId="4304DA36" w:rsidR="002C6F71" w:rsidRPr="0098635C" w:rsidRDefault="00E230FB" w:rsidP="00284FC8">
      <w:pPr>
        <w:pStyle w:val="BodyText"/>
        <w:rPr>
          <w:color w:val="000000" w:themeColor="text1"/>
          <w:sz w:val="20"/>
        </w:rPr>
      </w:pPr>
      <w:r w:rsidRPr="0098635C">
        <w:rPr>
          <w:color w:val="000000" w:themeColor="text1"/>
          <w:sz w:val="20"/>
        </w:rPr>
        <w:t>For copper</w:t>
      </w:r>
      <w:r w:rsidR="00A87CF6" w:rsidRPr="0098635C">
        <w:rPr>
          <w:color w:val="000000" w:themeColor="text1"/>
          <w:sz w:val="20"/>
        </w:rPr>
        <w:t xml:space="preserve"> and copper </w:t>
      </w:r>
      <w:r w:rsidRPr="0098635C">
        <w:rPr>
          <w:color w:val="000000" w:themeColor="text1"/>
          <w:sz w:val="20"/>
        </w:rPr>
        <w:t xml:space="preserve">compounds copper ions release is always higher at </w:t>
      </w:r>
      <w:r w:rsidR="00A87CF6" w:rsidRPr="0098635C">
        <w:rPr>
          <w:color w:val="000000" w:themeColor="text1"/>
          <w:sz w:val="20"/>
        </w:rPr>
        <w:t>lower pHs</w:t>
      </w:r>
      <w:r w:rsidRPr="0098635C">
        <w:rPr>
          <w:color w:val="000000" w:themeColor="text1"/>
          <w:sz w:val="20"/>
        </w:rPr>
        <w:t>. For CuO, the release is 10 times higher at pH</w:t>
      </w:r>
      <w:r w:rsidR="00136149" w:rsidRPr="0098635C">
        <w:rPr>
          <w:color w:val="000000" w:themeColor="text1"/>
          <w:sz w:val="20"/>
        </w:rPr>
        <w:t xml:space="preserve"> </w:t>
      </w:r>
      <w:r w:rsidRPr="0098635C">
        <w:rPr>
          <w:color w:val="000000" w:themeColor="text1"/>
          <w:sz w:val="20"/>
        </w:rPr>
        <w:t>6 than at pH</w:t>
      </w:r>
      <w:r w:rsidR="00136149" w:rsidRPr="0098635C">
        <w:rPr>
          <w:color w:val="000000" w:themeColor="text1"/>
          <w:sz w:val="20"/>
        </w:rPr>
        <w:t xml:space="preserve"> </w:t>
      </w:r>
      <w:r w:rsidRPr="0098635C">
        <w:rPr>
          <w:color w:val="000000" w:themeColor="text1"/>
          <w:sz w:val="20"/>
        </w:rPr>
        <w:t>7. For copper powders/massive the release is 5 times higher at pH 6 than at pH 7</w:t>
      </w:r>
      <w:r w:rsidR="006F1BE2" w:rsidRPr="0098635C">
        <w:rPr>
          <w:color w:val="000000" w:themeColor="text1"/>
          <w:sz w:val="20"/>
        </w:rPr>
        <w:t xml:space="preserve"> and </w:t>
      </w:r>
      <w:r w:rsidR="00136149" w:rsidRPr="0098635C">
        <w:rPr>
          <w:color w:val="000000" w:themeColor="text1"/>
          <w:sz w:val="20"/>
        </w:rPr>
        <w:t xml:space="preserve">pH </w:t>
      </w:r>
      <w:r w:rsidR="006F1BE2" w:rsidRPr="0098635C">
        <w:rPr>
          <w:color w:val="000000" w:themeColor="text1"/>
          <w:sz w:val="20"/>
        </w:rPr>
        <w:t>8</w:t>
      </w:r>
      <w:r w:rsidRPr="0098635C">
        <w:rPr>
          <w:color w:val="000000" w:themeColor="text1"/>
          <w:sz w:val="20"/>
        </w:rPr>
        <w:t xml:space="preserve"> (Rodriguez, 2007). It is only for coated copper flakes that the difference between releases at pH</w:t>
      </w:r>
      <w:r w:rsidR="00136149" w:rsidRPr="0098635C">
        <w:rPr>
          <w:color w:val="000000" w:themeColor="text1"/>
          <w:sz w:val="20"/>
        </w:rPr>
        <w:t xml:space="preserve"> </w:t>
      </w:r>
      <w:r w:rsidRPr="0098635C">
        <w:rPr>
          <w:color w:val="000000" w:themeColor="text1"/>
          <w:sz w:val="20"/>
        </w:rPr>
        <w:t>6 and pH</w:t>
      </w:r>
      <w:r w:rsidR="00136149" w:rsidRPr="0098635C">
        <w:rPr>
          <w:color w:val="000000" w:themeColor="text1"/>
          <w:sz w:val="20"/>
        </w:rPr>
        <w:t xml:space="preserve"> </w:t>
      </w:r>
      <w:r w:rsidRPr="0098635C">
        <w:rPr>
          <w:color w:val="000000" w:themeColor="text1"/>
          <w:sz w:val="20"/>
        </w:rPr>
        <w:t xml:space="preserve">7 is less important, </w:t>
      </w:r>
      <w:r w:rsidR="006F1BE2" w:rsidRPr="0098635C">
        <w:rPr>
          <w:color w:val="000000" w:themeColor="text1"/>
          <w:sz w:val="20"/>
        </w:rPr>
        <w:t xml:space="preserve">after 28 days, </w:t>
      </w:r>
      <w:r w:rsidRPr="0098635C">
        <w:rPr>
          <w:color w:val="000000" w:themeColor="text1"/>
          <w:sz w:val="20"/>
        </w:rPr>
        <w:t>the value at pH</w:t>
      </w:r>
      <w:r w:rsidR="00136149" w:rsidRPr="0098635C">
        <w:rPr>
          <w:color w:val="000000" w:themeColor="text1"/>
          <w:sz w:val="20"/>
        </w:rPr>
        <w:t xml:space="preserve"> </w:t>
      </w:r>
      <w:r w:rsidRPr="0098635C">
        <w:rPr>
          <w:color w:val="000000" w:themeColor="text1"/>
          <w:sz w:val="20"/>
        </w:rPr>
        <w:t>6 be</w:t>
      </w:r>
      <w:r w:rsidR="00A87CF6" w:rsidRPr="0098635C">
        <w:rPr>
          <w:color w:val="000000" w:themeColor="text1"/>
          <w:sz w:val="20"/>
        </w:rPr>
        <w:t>ing</w:t>
      </w:r>
      <w:r w:rsidRPr="0098635C">
        <w:rPr>
          <w:color w:val="000000" w:themeColor="text1"/>
          <w:sz w:val="20"/>
        </w:rPr>
        <w:t xml:space="preserve"> only 20% higher than the value at pH 7</w:t>
      </w:r>
      <w:r w:rsidR="002C6F71" w:rsidRPr="0098635C">
        <w:rPr>
          <w:color w:val="000000" w:themeColor="text1"/>
          <w:sz w:val="20"/>
        </w:rPr>
        <w:t xml:space="preserve">. </w:t>
      </w:r>
      <w:bookmarkStart w:id="132" w:name="_Ref471562298"/>
    </w:p>
    <w:p w14:paraId="79BEA6B4" w14:textId="77777777" w:rsidR="007F51A5" w:rsidRPr="0098635C" w:rsidRDefault="00800666" w:rsidP="00284FC8">
      <w:pPr>
        <w:pStyle w:val="BodyText"/>
        <w:jc w:val="center"/>
        <w:rPr>
          <w:color w:val="000000" w:themeColor="text1"/>
          <w:sz w:val="20"/>
        </w:rPr>
      </w:pPr>
      <w:bookmarkStart w:id="133" w:name="_Ref472069721"/>
      <w:r w:rsidRPr="0098635C">
        <w:rPr>
          <w:b/>
          <w:color w:val="000000" w:themeColor="text1"/>
          <w:sz w:val="20"/>
        </w:rPr>
        <w:t xml:space="preserve">Table </w:t>
      </w:r>
      <w:r w:rsidR="00E230FB" w:rsidRPr="0098635C">
        <w:rPr>
          <w:b/>
          <w:color w:val="000000" w:themeColor="text1"/>
          <w:sz w:val="20"/>
        </w:rPr>
        <w:fldChar w:fldCharType="begin"/>
      </w:r>
      <w:r w:rsidRPr="0098635C">
        <w:rPr>
          <w:b/>
          <w:color w:val="000000" w:themeColor="text1"/>
          <w:sz w:val="20"/>
        </w:rPr>
        <w:instrText xml:space="preserve"> SEQ Table \* ARABIC </w:instrText>
      </w:r>
      <w:r w:rsidR="00E230FB" w:rsidRPr="0098635C">
        <w:rPr>
          <w:b/>
          <w:color w:val="000000" w:themeColor="text1"/>
          <w:sz w:val="20"/>
        </w:rPr>
        <w:fldChar w:fldCharType="separate"/>
      </w:r>
      <w:r w:rsidR="00AD1488" w:rsidRPr="0098635C">
        <w:rPr>
          <w:b/>
          <w:noProof/>
          <w:color w:val="000000" w:themeColor="text1"/>
          <w:sz w:val="20"/>
        </w:rPr>
        <w:t>3</w:t>
      </w:r>
      <w:r w:rsidR="00E230FB" w:rsidRPr="0098635C">
        <w:rPr>
          <w:b/>
          <w:color w:val="000000" w:themeColor="text1"/>
          <w:sz w:val="20"/>
        </w:rPr>
        <w:fldChar w:fldCharType="end"/>
      </w:r>
      <w:bookmarkEnd w:id="132"/>
      <w:bookmarkEnd w:id="133"/>
      <w:r w:rsidR="000C7340" w:rsidRPr="0098635C">
        <w:rPr>
          <w:b/>
          <w:color w:val="000000" w:themeColor="text1"/>
          <w:sz w:val="20"/>
        </w:rPr>
        <w:t>:  Comparative releases of copper-ions during transformation/dissolution tests (pH 6)</w:t>
      </w:r>
    </w:p>
    <w:tbl>
      <w:tblPr>
        <w:tblW w:w="9639" w:type="dxa"/>
        <w:tblInd w:w="-10" w:type="dxa"/>
        <w:tblLook w:val="04A0" w:firstRow="1" w:lastRow="0" w:firstColumn="1" w:lastColumn="0" w:noHBand="0" w:noVBand="1"/>
      </w:tblPr>
      <w:tblGrid>
        <w:gridCol w:w="3686"/>
        <w:gridCol w:w="554"/>
        <w:gridCol w:w="960"/>
        <w:gridCol w:w="1463"/>
        <w:gridCol w:w="1559"/>
        <w:gridCol w:w="1417"/>
      </w:tblGrid>
      <w:tr w:rsidR="00256520" w:rsidRPr="0098635C" w14:paraId="23D4617A" w14:textId="77777777" w:rsidTr="00F2122A">
        <w:trPr>
          <w:trHeight w:val="645"/>
        </w:trPr>
        <w:tc>
          <w:tcPr>
            <w:tcW w:w="3686"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4351B640"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Substance</w:t>
            </w:r>
          </w:p>
        </w:tc>
        <w:tc>
          <w:tcPr>
            <w:tcW w:w="554"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30C98F17"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pH</w:t>
            </w:r>
          </w:p>
        </w:tc>
        <w:tc>
          <w:tcPr>
            <w:tcW w:w="960"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3F833707"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Mass loading (mg/L) </w:t>
            </w:r>
          </w:p>
        </w:tc>
        <w:tc>
          <w:tcPr>
            <w:tcW w:w="1463"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27E2E0EF"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Surface loading      (mm</w:t>
            </w:r>
            <w:r w:rsidRPr="0098635C">
              <w:rPr>
                <w:color w:val="000000" w:themeColor="text1"/>
                <w:sz w:val="20"/>
                <w:szCs w:val="20"/>
                <w:vertAlign w:val="superscript"/>
                <w:lang w:eastAsia="en-GB"/>
              </w:rPr>
              <w:t>2</w:t>
            </w:r>
            <w:r w:rsidRPr="0098635C">
              <w:rPr>
                <w:color w:val="000000" w:themeColor="text1"/>
                <w:sz w:val="20"/>
                <w:szCs w:val="20"/>
                <w:lang w:eastAsia="en-GB"/>
              </w:rPr>
              <w:t>/L)</w:t>
            </w:r>
          </w:p>
        </w:tc>
        <w:tc>
          <w:tcPr>
            <w:tcW w:w="2976" w:type="dxa"/>
            <w:gridSpan w:val="2"/>
            <w:tcBorders>
              <w:top w:val="single" w:sz="8" w:space="0" w:color="auto"/>
              <w:left w:val="nil"/>
              <w:bottom w:val="single" w:sz="4" w:space="0" w:color="auto"/>
              <w:right w:val="single" w:sz="8" w:space="0" w:color="000000"/>
            </w:tcBorders>
            <w:shd w:val="clear" w:color="000000" w:fill="FFFFFF"/>
            <w:vAlign w:val="center"/>
            <w:hideMark/>
          </w:tcPr>
          <w:p w14:paraId="45DBFF0D"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              µg soluble Cu/L</w:t>
            </w:r>
          </w:p>
        </w:tc>
      </w:tr>
      <w:tr w:rsidR="00256520" w:rsidRPr="0098635C" w14:paraId="1147C6AE" w14:textId="77777777" w:rsidTr="00F2122A">
        <w:trPr>
          <w:trHeight w:val="315"/>
        </w:trPr>
        <w:tc>
          <w:tcPr>
            <w:tcW w:w="3686" w:type="dxa"/>
            <w:vMerge/>
            <w:tcBorders>
              <w:top w:val="single" w:sz="8" w:space="0" w:color="auto"/>
              <w:left w:val="single" w:sz="8" w:space="0" w:color="auto"/>
              <w:bottom w:val="single" w:sz="8" w:space="0" w:color="000000"/>
              <w:right w:val="single" w:sz="8" w:space="0" w:color="auto"/>
            </w:tcBorders>
            <w:vAlign w:val="center"/>
            <w:hideMark/>
          </w:tcPr>
          <w:p w14:paraId="25AC514D" w14:textId="77777777" w:rsidR="00385307" w:rsidRPr="0098635C" w:rsidRDefault="00385307" w:rsidP="00385307">
            <w:pPr>
              <w:widowControl/>
              <w:autoSpaceDE/>
              <w:autoSpaceDN/>
              <w:adjustRightInd/>
              <w:spacing w:after="0"/>
              <w:jc w:val="left"/>
              <w:rPr>
                <w:color w:val="000000" w:themeColor="text1"/>
                <w:sz w:val="20"/>
                <w:szCs w:val="20"/>
                <w:lang w:eastAsia="en-GB"/>
              </w:rPr>
            </w:pPr>
          </w:p>
        </w:tc>
        <w:tc>
          <w:tcPr>
            <w:tcW w:w="554" w:type="dxa"/>
            <w:vMerge/>
            <w:tcBorders>
              <w:top w:val="single" w:sz="8" w:space="0" w:color="auto"/>
              <w:left w:val="single" w:sz="8" w:space="0" w:color="auto"/>
              <w:bottom w:val="single" w:sz="8" w:space="0" w:color="000000"/>
              <w:right w:val="single" w:sz="8" w:space="0" w:color="auto"/>
            </w:tcBorders>
            <w:vAlign w:val="center"/>
            <w:hideMark/>
          </w:tcPr>
          <w:p w14:paraId="5EB7B17D" w14:textId="77777777" w:rsidR="00385307" w:rsidRPr="0098635C" w:rsidRDefault="00385307" w:rsidP="00385307">
            <w:pPr>
              <w:widowControl/>
              <w:autoSpaceDE/>
              <w:autoSpaceDN/>
              <w:adjustRightInd/>
              <w:spacing w:after="0"/>
              <w:jc w:val="left"/>
              <w:rPr>
                <w:color w:val="000000" w:themeColor="text1"/>
                <w:sz w:val="20"/>
                <w:szCs w:val="20"/>
                <w:lang w:eastAsia="en-GB"/>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4821034B" w14:textId="77777777" w:rsidR="00385307" w:rsidRPr="0098635C" w:rsidRDefault="00385307" w:rsidP="00385307">
            <w:pPr>
              <w:widowControl/>
              <w:autoSpaceDE/>
              <w:autoSpaceDN/>
              <w:adjustRightInd/>
              <w:spacing w:after="0"/>
              <w:jc w:val="left"/>
              <w:rPr>
                <w:color w:val="000000" w:themeColor="text1"/>
                <w:sz w:val="20"/>
                <w:szCs w:val="20"/>
                <w:lang w:eastAsia="en-GB"/>
              </w:rPr>
            </w:pPr>
          </w:p>
        </w:tc>
        <w:tc>
          <w:tcPr>
            <w:tcW w:w="1463" w:type="dxa"/>
            <w:vMerge/>
            <w:tcBorders>
              <w:top w:val="single" w:sz="8" w:space="0" w:color="auto"/>
              <w:left w:val="single" w:sz="8" w:space="0" w:color="auto"/>
              <w:bottom w:val="single" w:sz="8" w:space="0" w:color="000000"/>
              <w:right w:val="single" w:sz="8" w:space="0" w:color="auto"/>
            </w:tcBorders>
            <w:vAlign w:val="center"/>
            <w:hideMark/>
          </w:tcPr>
          <w:p w14:paraId="358829E4" w14:textId="77777777" w:rsidR="00385307" w:rsidRPr="0098635C" w:rsidRDefault="00385307" w:rsidP="00385307">
            <w:pPr>
              <w:widowControl/>
              <w:autoSpaceDE/>
              <w:autoSpaceDN/>
              <w:adjustRightInd/>
              <w:spacing w:after="0"/>
              <w:jc w:val="left"/>
              <w:rPr>
                <w:color w:val="000000" w:themeColor="text1"/>
                <w:sz w:val="20"/>
                <w:szCs w:val="20"/>
                <w:lang w:eastAsia="en-GB"/>
              </w:rPr>
            </w:pPr>
          </w:p>
        </w:tc>
        <w:tc>
          <w:tcPr>
            <w:tcW w:w="1559" w:type="dxa"/>
            <w:tcBorders>
              <w:top w:val="single" w:sz="4" w:space="0" w:color="auto"/>
              <w:left w:val="nil"/>
              <w:bottom w:val="single" w:sz="8" w:space="0" w:color="auto"/>
              <w:right w:val="single" w:sz="8" w:space="0" w:color="auto"/>
            </w:tcBorders>
            <w:shd w:val="clear" w:color="000000" w:fill="FFFFFF"/>
            <w:vAlign w:val="center"/>
            <w:hideMark/>
          </w:tcPr>
          <w:p w14:paraId="43BBDAE8"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7 days</w:t>
            </w:r>
          </w:p>
        </w:tc>
        <w:tc>
          <w:tcPr>
            <w:tcW w:w="1417" w:type="dxa"/>
            <w:tcBorders>
              <w:top w:val="single" w:sz="4" w:space="0" w:color="auto"/>
              <w:left w:val="nil"/>
              <w:bottom w:val="single" w:sz="8" w:space="0" w:color="auto"/>
              <w:right w:val="single" w:sz="8" w:space="0" w:color="auto"/>
            </w:tcBorders>
            <w:shd w:val="clear" w:color="000000" w:fill="FFFFFF"/>
            <w:vAlign w:val="center"/>
            <w:hideMark/>
          </w:tcPr>
          <w:p w14:paraId="18C9D046"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28 days</w:t>
            </w:r>
          </w:p>
        </w:tc>
      </w:tr>
      <w:tr w:rsidR="00284FC8" w:rsidRPr="0098635C" w14:paraId="384B89AB" w14:textId="77777777" w:rsidTr="00284FC8">
        <w:trPr>
          <w:trHeight w:val="300"/>
        </w:trPr>
        <w:tc>
          <w:tcPr>
            <w:tcW w:w="3686"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99DAC00" w14:textId="77777777" w:rsidR="00385307" w:rsidRPr="0098635C" w:rsidRDefault="00385307" w:rsidP="00385307">
            <w:pPr>
              <w:widowControl/>
              <w:autoSpaceDE/>
              <w:autoSpaceDN/>
              <w:adjustRightInd/>
              <w:spacing w:after="0"/>
              <w:jc w:val="left"/>
              <w:rPr>
                <w:color w:val="000000" w:themeColor="text1"/>
                <w:sz w:val="20"/>
                <w:szCs w:val="20"/>
                <w:lang w:eastAsia="en-GB"/>
              </w:rPr>
            </w:pPr>
            <w:r w:rsidRPr="0098635C">
              <w:rPr>
                <w:color w:val="000000" w:themeColor="text1"/>
                <w:sz w:val="20"/>
                <w:szCs w:val="20"/>
                <w:lang w:eastAsia="en-GB"/>
              </w:rPr>
              <w:t>CuO (1)</w:t>
            </w:r>
          </w:p>
        </w:tc>
        <w:tc>
          <w:tcPr>
            <w:tcW w:w="554" w:type="dxa"/>
            <w:tcBorders>
              <w:top w:val="nil"/>
              <w:left w:val="nil"/>
              <w:bottom w:val="nil"/>
              <w:right w:val="single" w:sz="8" w:space="0" w:color="auto"/>
            </w:tcBorders>
            <w:shd w:val="clear" w:color="000000" w:fill="FFFFFF"/>
            <w:vAlign w:val="center"/>
            <w:hideMark/>
          </w:tcPr>
          <w:p w14:paraId="00DC249E"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6</w:t>
            </w:r>
          </w:p>
        </w:tc>
        <w:tc>
          <w:tcPr>
            <w:tcW w:w="960"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8755FBF"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w:t>
            </w:r>
          </w:p>
        </w:tc>
        <w:tc>
          <w:tcPr>
            <w:tcW w:w="1463"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69E6EB84"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w:t>
            </w:r>
          </w:p>
        </w:tc>
        <w:tc>
          <w:tcPr>
            <w:tcW w:w="1559" w:type="dxa"/>
            <w:tcBorders>
              <w:top w:val="nil"/>
              <w:left w:val="nil"/>
              <w:bottom w:val="nil"/>
              <w:right w:val="single" w:sz="8" w:space="0" w:color="auto"/>
            </w:tcBorders>
            <w:shd w:val="clear" w:color="000000" w:fill="FFFFFF"/>
            <w:vAlign w:val="center"/>
            <w:hideMark/>
          </w:tcPr>
          <w:p w14:paraId="5AE61715"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49</w:t>
            </w:r>
          </w:p>
        </w:tc>
        <w:tc>
          <w:tcPr>
            <w:tcW w:w="1417" w:type="dxa"/>
            <w:tcBorders>
              <w:top w:val="nil"/>
              <w:left w:val="nil"/>
              <w:bottom w:val="nil"/>
              <w:right w:val="single" w:sz="8" w:space="0" w:color="auto"/>
            </w:tcBorders>
            <w:shd w:val="clear" w:color="000000" w:fill="FFFFFF"/>
            <w:vAlign w:val="center"/>
            <w:hideMark/>
          </w:tcPr>
          <w:p w14:paraId="481066FB"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21</w:t>
            </w:r>
          </w:p>
        </w:tc>
      </w:tr>
      <w:tr w:rsidR="00256520" w:rsidRPr="0098635C" w14:paraId="6CFAD221" w14:textId="77777777" w:rsidTr="00256520">
        <w:trPr>
          <w:trHeight w:val="300"/>
        </w:trPr>
        <w:tc>
          <w:tcPr>
            <w:tcW w:w="3686" w:type="dxa"/>
            <w:vMerge/>
            <w:tcBorders>
              <w:top w:val="nil"/>
              <w:left w:val="single" w:sz="8" w:space="0" w:color="auto"/>
              <w:bottom w:val="single" w:sz="8" w:space="0" w:color="000000"/>
              <w:right w:val="single" w:sz="8" w:space="0" w:color="auto"/>
            </w:tcBorders>
            <w:vAlign w:val="center"/>
            <w:hideMark/>
          </w:tcPr>
          <w:p w14:paraId="44ED40D5" w14:textId="77777777" w:rsidR="00385307" w:rsidRPr="0098635C" w:rsidRDefault="00385307" w:rsidP="00385307">
            <w:pPr>
              <w:widowControl/>
              <w:autoSpaceDE/>
              <w:autoSpaceDN/>
              <w:adjustRightInd/>
              <w:spacing w:after="0"/>
              <w:jc w:val="left"/>
              <w:rPr>
                <w:color w:val="000000" w:themeColor="text1"/>
                <w:sz w:val="20"/>
                <w:szCs w:val="20"/>
                <w:lang w:eastAsia="en-GB"/>
              </w:rPr>
            </w:pPr>
          </w:p>
        </w:tc>
        <w:tc>
          <w:tcPr>
            <w:tcW w:w="554" w:type="dxa"/>
            <w:tcBorders>
              <w:top w:val="nil"/>
              <w:left w:val="nil"/>
              <w:bottom w:val="nil"/>
              <w:right w:val="single" w:sz="8" w:space="0" w:color="auto"/>
            </w:tcBorders>
            <w:shd w:val="clear" w:color="000000" w:fill="FFFFFF"/>
            <w:vAlign w:val="center"/>
            <w:hideMark/>
          </w:tcPr>
          <w:p w14:paraId="5CDD11CE"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7</w:t>
            </w:r>
          </w:p>
        </w:tc>
        <w:tc>
          <w:tcPr>
            <w:tcW w:w="960" w:type="dxa"/>
            <w:vMerge/>
            <w:tcBorders>
              <w:top w:val="nil"/>
              <w:left w:val="single" w:sz="8" w:space="0" w:color="auto"/>
              <w:bottom w:val="single" w:sz="8" w:space="0" w:color="000000"/>
              <w:right w:val="single" w:sz="8" w:space="0" w:color="auto"/>
            </w:tcBorders>
            <w:vAlign w:val="center"/>
            <w:hideMark/>
          </w:tcPr>
          <w:p w14:paraId="2800F14A" w14:textId="77777777" w:rsidR="00385307" w:rsidRPr="0098635C" w:rsidRDefault="00385307" w:rsidP="00385307">
            <w:pPr>
              <w:widowControl/>
              <w:autoSpaceDE/>
              <w:autoSpaceDN/>
              <w:adjustRightInd/>
              <w:spacing w:after="0"/>
              <w:jc w:val="left"/>
              <w:rPr>
                <w:color w:val="000000" w:themeColor="text1"/>
                <w:sz w:val="20"/>
                <w:szCs w:val="20"/>
                <w:lang w:eastAsia="en-GB"/>
              </w:rPr>
            </w:pPr>
          </w:p>
        </w:tc>
        <w:tc>
          <w:tcPr>
            <w:tcW w:w="1463" w:type="dxa"/>
            <w:vMerge/>
            <w:tcBorders>
              <w:top w:val="nil"/>
              <w:left w:val="single" w:sz="8" w:space="0" w:color="auto"/>
              <w:bottom w:val="single" w:sz="8" w:space="0" w:color="000000"/>
              <w:right w:val="single" w:sz="8" w:space="0" w:color="auto"/>
            </w:tcBorders>
            <w:vAlign w:val="center"/>
            <w:hideMark/>
          </w:tcPr>
          <w:p w14:paraId="47357B79" w14:textId="77777777" w:rsidR="00385307" w:rsidRPr="0098635C" w:rsidRDefault="00385307" w:rsidP="00385307">
            <w:pPr>
              <w:widowControl/>
              <w:autoSpaceDE/>
              <w:autoSpaceDN/>
              <w:adjustRightInd/>
              <w:spacing w:after="0"/>
              <w:jc w:val="left"/>
              <w:rPr>
                <w:color w:val="000000" w:themeColor="text1"/>
                <w:sz w:val="20"/>
                <w:szCs w:val="20"/>
                <w:lang w:eastAsia="en-GB"/>
              </w:rPr>
            </w:pPr>
          </w:p>
        </w:tc>
        <w:tc>
          <w:tcPr>
            <w:tcW w:w="1559" w:type="dxa"/>
            <w:tcBorders>
              <w:top w:val="nil"/>
              <w:left w:val="nil"/>
              <w:bottom w:val="nil"/>
              <w:right w:val="single" w:sz="8" w:space="0" w:color="auto"/>
            </w:tcBorders>
            <w:shd w:val="clear" w:color="000000" w:fill="FFFFFF"/>
            <w:noWrap/>
            <w:vAlign w:val="center"/>
            <w:hideMark/>
          </w:tcPr>
          <w:p w14:paraId="69CEB7C2"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5</w:t>
            </w:r>
          </w:p>
        </w:tc>
        <w:tc>
          <w:tcPr>
            <w:tcW w:w="1417" w:type="dxa"/>
            <w:tcBorders>
              <w:top w:val="nil"/>
              <w:left w:val="nil"/>
              <w:bottom w:val="nil"/>
              <w:right w:val="single" w:sz="8" w:space="0" w:color="auto"/>
            </w:tcBorders>
            <w:shd w:val="clear" w:color="000000" w:fill="FFFFFF"/>
            <w:noWrap/>
            <w:vAlign w:val="center"/>
            <w:hideMark/>
          </w:tcPr>
          <w:p w14:paraId="3A6C6F69"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9</w:t>
            </w:r>
          </w:p>
        </w:tc>
      </w:tr>
      <w:tr w:rsidR="00256520" w:rsidRPr="0098635C" w14:paraId="32361F3E" w14:textId="77777777" w:rsidTr="00256520">
        <w:trPr>
          <w:trHeight w:val="315"/>
        </w:trPr>
        <w:tc>
          <w:tcPr>
            <w:tcW w:w="3686" w:type="dxa"/>
            <w:vMerge/>
            <w:tcBorders>
              <w:top w:val="nil"/>
              <w:left w:val="single" w:sz="8" w:space="0" w:color="auto"/>
              <w:bottom w:val="single" w:sz="8" w:space="0" w:color="000000"/>
              <w:right w:val="single" w:sz="8" w:space="0" w:color="auto"/>
            </w:tcBorders>
            <w:vAlign w:val="center"/>
            <w:hideMark/>
          </w:tcPr>
          <w:p w14:paraId="6D5C24A9" w14:textId="77777777" w:rsidR="00385307" w:rsidRPr="0098635C" w:rsidRDefault="00385307" w:rsidP="00385307">
            <w:pPr>
              <w:widowControl/>
              <w:autoSpaceDE/>
              <w:autoSpaceDN/>
              <w:adjustRightInd/>
              <w:spacing w:after="0"/>
              <w:jc w:val="left"/>
              <w:rPr>
                <w:color w:val="000000" w:themeColor="text1"/>
                <w:sz w:val="20"/>
                <w:szCs w:val="20"/>
                <w:lang w:eastAsia="en-GB"/>
              </w:rPr>
            </w:pPr>
          </w:p>
        </w:tc>
        <w:tc>
          <w:tcPr>
            <w:tcW w:w="554" w:type="dxa"/>
            <w:tcBorders>
              <w:top w:val="nil"/>
              <w:left w:val="nil"/>
              <w:bottom w:val="nil"/>
              <w:right w:val="single" w:sz="8" w:space="0" w:color="auto"/>
            </w:tcBorders>
            <w:shd w:val="clear" w:color="000000" w:fill="FFFFFF"/>
            <w:vAlign w:val="center"/>
            <w:hideMark/>
          </w:tcPr>
          <w:p w14:paraId="02F75E29"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8</w:t>
            </w:r>
          </w:p>
        </w:tc>
        <w:tc>
          <w:tcPr>
            <w:tcW w:w="960" w:type="dxa"/>
            <w:vMerge/>
            <w:tcBorders>
              <w:top w:val="nil"/>
              <w:left w:val="single" w:sz="8" w:space="0" w:color="auto"/>
              <w:bottom w:val="single" w:sz="8" w:space="0" w:color="000000"/>
              <w:right w:val="single" w:sz="8" w:space="0" w:color="auto"/>
            </w:tcBorders>
            <w:vAlign w:val="center"/>
            <w:hideMark/>
          </w:tcPr>
          <w:p w14:paraId="66E3FA9F" w14:textId="77777777" w:rsidR="00385307" w:rsidRPr="0098635C" w:rsidRDefault="00385307" w:rsidP="00385307">
            <w:pPr>
              <w:widowControl/>
              <w:autoSpaceDE/>
              <w:autoSpaceDN/>
              <w:adjustRightInd/>
              <w:spacing w:after="0"/>
              <w:jc w:val="left"/>
              <w:rPr>
                <w:color w:val="000000" w:themeColor="text1"/>
                <w:sz w:val="20"/>
                <w:szCs w:val="20"/>
                <w:lang w:eastAsia="en-GB"/>
              </w:rPr>
            </w:pPr>
          </w:p>
        </w:tc>
        <w:tc>
          <w:tcPr>
            <w:tcW w:w="1463" w:type="dxa"/>
            <w:vMerge/>
            <w:tcBorders>
              <w:top w:val="nil"/>
              <w:left w:val="single" w:sz="8" w:space="0" w:color="auto"/>
              <w:bottom w:val="single" w:sz="8" w:space="0" w:color="000000"/>
              <w:right w:val="single" w:sz="8" w:space="0" w:color="auto"/>
            </w:tcBorders>
            <w:vAlign w:val="center"/>
            <w:hideMark/>
          </w:tcPr>
          <w:p w14:paraId="53129AA7" w14:textId="77777777" w:rsidR="00385307" w:rsidRPr="0098635C" w:rsidRDefault="00385307" w:rsidP="00385307">
            <w:pPr>
              <w:widowControl/>
              <w:autoSpaceDE/>
              <w:autoSpaceDN/>
              <w:adjustRightInd/>
              <w:spacing w:after="0"/>
              <w:jc w:val="left"/>
              <w:rPr>
                <w:color w:val="000000" w:themeColor="text1"/>
                <w:sz w:val="20"/>
                <w:szCs w:val="20"/>
                <w:lang w:eastAsia="en-GB"/>
              </w:rPr>
            </w:pPr>
          </w:p>
        </w:tc>
        <w:tc>
          <w:tcPr>
            <w:tcW w:w="1559" w:type="dxa"/>
            <w:tcBorders>
              <w:top w:val="nil"/>
              <w:left w:val="nil"/>
              <w:bottom w:val="nil"/>
              <w:right w:val="single" w:sz="8" w:space="0" w:color="auto"/>
            </w:tcBorders>
            <w:shd w:val="clear" w:color="000000" w:fill="FFFFFF"/>
            <w:noWrap/>
            <w:vAlign w:val="center"/>
            <w:hideMark/>
          </w:tcPr>
          <w:p w14:paraId="0BC3D0F0"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&lt;1</w:t>
            </w:r>
          </w:p>
        </w:tc>
        <w:tc>
          <w:tcPr>
            <w:tcW w:w="1417" w:type="dxa"/>
            <w:tcBorders>
              <w:top w:val="nil"/>
              <w:left w:val="nil"/>
              <w:bottom w:val="nil"/>
              <w:right w:val="single" w:sz="8" w:space="0" w:color="auto"/>
            </w:tcBorders>
            <w:shd w:val="clear" w:color="000000" w:fill="FFFFFF"/>
            <w:noWrap/>
            <w:vAlign w:val="center"/>
            <w:hideMark/>
          </w:tcPr>
          <w:p w14:paraId="7233399D"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w:t>
            </w:r>
          </w:p>
        </w:tc>
      </w:tr>
      <w:tr w:rsidR="00284FC8" w:rsidRPr="0098635C" w14:paraId="1FC7882C" w14:textId="77777777" w:rsidTr="00284FC8">
        <w:trPr>
          <w:trHeight w:val="675"/>
        </w:trPr>
        <w:tc>
          <w:tcPr>
            <w:tcW w:w="3686" w:type="dxa"/>
            <w:tcBorders>
              <w:top w:val="nil"/>
              <w:left w:val="single" w:sz="8" w:space="0" w:color="auto"/>
              <w:bottom w:val="single" w:sz="8" w:space="0" w:color="auto"/>
              <w:right w:val="single" w:sz="8" w:space="0" w:color="auto"/>
            </w:tcBorders>
            <w:shd w:val="clear" w:color="000000" w:fill="FFFFFF"/>
            <w:vAlign w:val="center"/>
            <w:hideMark/>
          </w:tcPr>
          <w:p w14:paraId="615953E1" w14:textId="0E73C495" w:rsidR="00385307" w:rsidRPr="0098635C" w:rsidRDefault="00385307" w:rsidP="00385307">
            <w:pPr>
              <w:widowControl/>
              <w:autoSpaceDE/>
              <w:autoSpaceDN/>
              <w:adjustRightInd/>
              <w:spacing w:after="0"/>
              <w:rPr>
                <w:color w:val="000000" w:themeColor="text1"/>
                <w:sz w:val="20"/>
                <w:szCs w:val="20"/>
                <w:lang w:val="fr-FR" w:eastAsia="en-GB"/>
              </w:rPr>
            </w:pPr>
            <w:r w:rsidRPr="0098635C">
              <w:rPr>
                <w:color w:val="000000" w:themeColor="text1"/>
                <w:sz w:val="20"/>
                <w:szCs w:val="20"/>
                <w:lang w:val="fr-FR" w:eastAsia="en-GB"/>
              </w:rPr>
              <w:t>Copper massive  (&gt;1mm) (non-</w:t>
            </w:r>
            <w:r w:rsidR="00F2122A" w:rsidRPr="0098635C">
              <w:rPr>
                <w:color w:val="000000" w:themeColor="text1"/>
                <w:sz w:val="20"/>
                <w:szCs w:val="20"/>
                <w:lang w:val="fr-FR" w:eastAsia="en-GB"/>
              </w:rPr>
              <w:t>abras</w:t>
            </w:r>
            <w:r w:rsidRPr="0098635C">
              <w:rPr>
                <w:color w:val="000000" w:themeColor="text1"/>
                <w:sz w:val="20"/>
                <w:szCs w:val="20"/>
                <w:lang w:val="fr-FR" w:eastAsia="en-GB"/>
              </w:rPr>
              <w:t>ive devices) (2)</w:t>
            </w:r>
          </w:p>
        </w:tc>
        <w:tc>
          <w:tcPr>
            <w:tcW w:w="554" w:type="dxa"/>
            <w:tcBorders>
              <w:top w:val="single" w:sz="8" w:space="0" w:color="auto"/>
              <w:left w:val="nil"/>
              <w:bottom w:val="single" w:sz="8" w:space="0" w:color="auto"/>
              <w:right w:val="single" w:sz="8" w:space="0" w:color="auto"/>
            </w:tcBorders>
            <w:shd w:val="clear" w:color="000000" w:fill="FFFFFF"/>
            <w:vAlign w:val="center"/>
            <w:hideMark/>
          </w:tcPr>
          <w:p w14:paraId="3AF3CE15"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6</w:t>
            </w:r>
          </w:p>
        </w:tc>
        <w:tc>
          <w:tcPr>
            <w:tcW w:w="960" w:type="dxa"/>
            <w:tcBorders>
              <w:top w:val="nil"/>
              <w:left w:val="nil"/>
              <w:bottom w:val="single" w:sz="8" w:space="0" w:color="auto"/>
              <w:right w:val="single" w:sz="8" w:space="0" w:color="auto"/>
            </w:tcBorders>
            <w:shd w:val="clear" w:color="000000" w:fill="FFFFFF"/>
            <w:vAlign w:val="center"/>
            <w:hideMark/>
          </w:tcPr>
          <w:p w14:paraId="3635D252"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100</w:t>
            </w:r>
          </w:p>
        </w:tc>
        <w:tc>
          <w:tcPr>
            <w:tcW w:w="1463" w:type="dxa"/>
            <w:tcBorders>
              <w:top w:val="nil"/>
              <w:left w:val="nil"/>
              <w:bottom w:val="single" w:sz="8" w:space="0" w:color="auto"/>
              <w:right w:val="single" w:sz="8" w:space="0" w:color="auto"/>
            </w:tcBorders>
            <w:shd w:val="clear" w:color="000000" w:fill="FFFFFF"/>
            <w:vAlign w:val="center"/>
            <w:hideMark/>
          </w:tcPr>
          <w:p w14:paraId="49D273B2"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43-47</w:t>
            </w:r>
          </w:p>
        </w:tc>
        <w:tc>
          <w:tcPr>
            <w:tcW w:w="1559" w:type="dxa"/>
            <w:tcBorders>
              <w:top w:val="single" w:sz="8" w:space="0" w:color="auto"/>
              <w:left w:val="nil"/>
              <w:bottom w:val="single" w:sz="8" w:space="0" w:color="auto"/>
              <w:right w:val="single" w:sz="8" w:space="0" w:color="auto"/>
            </w:tcBorders>
            <w:shd w:val="clear" w:color="000000" w:fill="FFFFFF"/>
            <w:vAlign w:val="center"/>
            <w:hideMark/>
          </w:tcPr>
          <w:p w14:paraId="29AD60B0"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6-19</w:t>
            </w:r>
          </w:p>
        </w:tc>
        <w:tc>
          <w:tcPr>
            <w:tcW w:w="1417" w:type="dxa"/>
            <w:tcBorders>
              <w:top w:val="single" w:sz="8" w:space="0" w:color="auto"/>
              <w:left w:val="nil"/>
              <w:bottom w:val="single" w:sz="8" w:space="0" w:color="auto"/>
              <w:right w:val="single" w:sz="8" w:space="0" w:color="auto"/>
            </w:tcBorders>
            <w:shd w:val="clear" w:color="000000" w:fill="FFFFFF"/>
            <w:vAlign w:val="center"/>
            <w:hideMark/>
          </w:tcPr>
          <w:p w14:paraId="7B62FE6D"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w:t>
            </w:r>
          </w:p>
        </w:tc>
      </w:tr>
      <w:tr w:rsidR="00284FC8" w:rsidRPr="0098635C" w14:paraId="4F7AD24E" w14:textId="77777777" w:rsidTr="00284FC8">
        <w:trPr>
          <w:trHeight w:val="796"/>
        </w:trPr>
        <w:tc>
          <w:tcPr>
            <w:tcW w:w="3686" w:type="dxa"/>
            <w:tcBorders>
              <w:top w:val="nil"/>
              <w:left w:val="single" w:sz="8" w:space="0" w:color="auto"/>
              <w:bottom w:val="single" w:sz="8" w:space="0" w:color="auto"/>
              <w:right w:val="single" w:sz="8" w:space="0" w:color="auto"/>
            </w:tcBorders>
            <w:shd w:val="clear" w:color="000000" w:fill="FFFFFF"/>
            <w:vAlign w:val="center"/>
            <w:hideMark/>
          </w:tcPr>
          <w:p w14:paraId="44BFBB1A" w14:textId="77777777" w:rsidR="00385307" w:rsidRPr="0098635C" w:rsidRDefault="00385307" w:rsidP="00385307">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Copper massive (1 mm) (epoxy mounted) (3)</w:t>
            </w:r>
          </w:p>
        </w:tc>
        <w:tc>
          <w:tcPr>
            <w:tcW w:w="554" w:type="dxa"/>
            <w:tcBorders>
              <w:top w:val="nil"/>
              <w:left w:val="nil"/>
              <w:bottom w:val="single" w:sz="8" w:space="0" w:color="auto"/>
              <w:right w:val="single" w:sz="8" w:space="0" w:color="auto"/>
            </w:tcBorders>
            <w:shd w:val="clear" w:color="000000" w:fill="FFFFFF"/>
            <w:vAlign w:val="center"/>
            <w:hideMark/>
          </w:tcPr>
          <w:p w14:paraId="0A79BA5A"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6</w:t>
            </w:r>
          </w:p>
        </w:tc>
        <w:tc>
          <w:tcPr>
            <w:tcW w:w="960" w:type="dxa"/>
            <w:tcBorders>
              <w:top w:val="nil"/>
              <w:left w:val="nil"/>
              <w:bottom w:val="single" w:sz="8" w:space="0" w:color="auto"/>
              <w:right w:val="single" w:sz="8" w:space="0" w:color="auto"/>
            </w:tcBorders>
            <w:shd w:val="clear" w:color="000000" w:fill="FFFFFF"/>
            <w:vAlign w:val="center"/>
            <w:hideMark/>
          </w:tcPr>
          <w:p w14:paraId="7AEEC35E"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w:t>
            </w:r>
          </w:p>
        </w:tc>
        <w:tc>
          <w:tcPr>
            <w:tcW w:w="1463" w:type="dxa"/>
            <w:tcBorders>
              <w:top w:val="nil"/>
              <w:left w:val="nil"/>
              <w:bottom w:val="single" w:sz="8" w:space="0" w:color="auto"/>
              <w:right w:val="single" w:sz="8" w:space="0" w:color="auto"/>
            </w:tcBorders>
            <w:shd w:val="clear" w:color="000000" w:fill="FFFFFF"/>
            <w:vAlign w:val="center"/>
            <w:hideMark/>
          </w:tcPr>
          <w:p w14:paraId="34C9E197"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0.67</w:t>
            </w:r>
          </w:p>
        </w:tc>
        <w:tc>
          <w:tcPr>
            <w:tcW w:w="1559" w:type="dxa"/>
            <w:tcBorders>
              <w:top w:val="nil"/>
              <w:left w:val="nil"/>
              <w:bottom w:val="single" w:sz="8" w:space="0" w:color="auto"/>
              <w:right w:val="single" w:sz="8" w:space="0" w:color="auto"/>
            </w:tcBorders>
            <w:shd w:val="clear" w:color="000000" w:fill="FFFFFF"/>
            <w:vAlign w:val="center"/>
            <w:hideMark/>
          </w:tcPr>
          <w:p w14:paraId="3FE01BD2"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w:t>
            </w:r>
          </w:p>
        </w:tc>
        <w:tc>
          <w:tcPr>
            <w:tcW w:w="1417" w:type="dxa"/>
            <w:tcBorders>
              <w:top w:val="nil"/>
              <w:left w:val="nil"/>
              <w:bottom w:val="single" w:sz="8" w:space="0" w:color="auto"/>
              <w:right w:val="single" w:sz="8" w:space="0" w:color="auto"/>
            </w:tcBorders>
            <w:shd w:val="clear" w:color="000000" w:fill="FFFFFF"/>
            <w:vAlign w:val="center"/>
            <w:hideMark/>
          </w:tcPr>
          <w:p w14:paraId="13982973"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3</w:t>
            </w:r>
          </w:p>
        </w:tc>
      </w:tr>
      <w:tr w:rsidR="00284FC8" w:rsidRPr="0098635C" w14:paraId="32253AE2" w14:textId="77777777" w:rsidTr="00284FC8">
        <w:trPr>
          <w:trHeight w:val="450"/>
        </w:trPr>
        <w:tc>
          <w:tcPr>
            <w:tcW w:w="3686"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35E2D6A6" w14:textId="1428654F" w:rsidR="00385307" w:rsidRPr="0098635C" w:rsidRDefault="00385307" w:rsidP="00385307">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lastRenderedPageBreak/>
              <w:t>Copper massive (&gt;1 mm) (read-across from non-abrasive devices) (2)</w:t>
            </w:r>
          </w:p>
        </w:tc>
        <w:tc>
          <w:tcPr>
            <w:tcW w:w="554" w:type="dxa"/>
            <w:tcBorders>
              <w:top w:val="nil"/>
              <w:left w:val="nil"/>
              <w:bottom w:val="nil"/>
              <w:right w:val="single" w:sz="8" w:space="0" w:color="auto"/>
            </w:tcBorders>
            <w:shd w:val="clear" w:color="000000" w:fill="FFFFFF"/>
            <w:vAlign w:val="center"/>
            <w:hideMark/>
          </w:tcPr>
          <w:p w14:paraId="5A516FC0"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6</w:t>
            </w:r>
          </w:p>
        </w:tc>
        <w:tc>
          <w:tcPr>
            <w:tcW w:w="960" w:type="dxa"/>
            <w:tcBorders>
              <w:top w:val="nil"/>
              <w:left w:val="nil"/>
              <w:bottom w:val="nil"/>
              <w:right w:val="single" w:sz="8" w:space="0" w:color="auto"/>
            </w:tcBorders>
            <w:shd w:val="clear" w:color="000000" w:fill="FFFFFF"/>
            <w:vAlign w:val="center"/>
            <w:hideMark/>
          </w:tcPr>
          <w:p w14:paraId="0139039A"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w:t>
            </w:r>
          </w:p>
        </w:tc>
        <w:tc>
          <w:tcPr>
            <w:tcW w:w="1463" w:type="dxa"/>
            <w:tcBorders>
              <w:top w:val="nil"/>
              <w:left w:val="nil"/>
              <w:bottom w:val="nil"/>
              <w:right w:val="single" w:sz="8" w:space="0" w:color="auto"/>
            </w:tcBorders>
            <w:shd w:val="clear" w:color="000000" w:fill="FFFFFF"/>
            <w:vAlign w:val="center"/>
            <w:hideMark/>
          </w:tcPr>
          <w:p w14:paraId="034BDF2D"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0.67</w:t>
            </w:r>
          </w:p>
        </w:tc>
        <w:tc>
          <w:tcPr>
            <w:tcW w:w="1559" w:type="dxa"/>
            <w:tcBorders>
              <w:top w:val="nil"/>
              <w:left w:val="nil"/>
              <w:bottom w:val="nil"/>
              <w:right w:val="single" w:sz="8" w:space="0" w:color="auto"/>
            </w:tcBorders>
            <w:shd w:val="clear" w:color="000000" w:fill="FFFFFF"/>
            <w:vAlign w:val="center"/>
            <w:hideMark/>
          </w:tcPr>
          <w:p w14:paraId="10BD659E"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&lt;1</w:t>
            </w:r>
          </w:p>
        </w:tc>
        <w:tc>
          <w:tcPr>
            <w:tcW w:w="1417" w:type="dxa"/>
            <w:tcBorders>
              <w:top w:val="nil"/>
              <w:left w:val="nil"/>
              <w:bottom w:val="nil"/>
              <w:right w:val="single" w:sz="8" w:space="0" w:color="auto"/>
            </w:tcBorders>
            <w:shd w:val="clear" w:color="000000" w:fill="FFFFFF"/>
            <w:vAlign w:val="center"/>
            <w:hideMark/>
          </w:tcPr>
          <w:p w14:paraId="4CF01A13"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w:t>
            </w:r>
          </w:p>
        </w:tc>
      </w:tr>
      <w:tr w:rsidR="00284FC8" w:rsidRPr="0098635C" w14:paraId="5C754DD8" w14:textId="77777777" w:rsidTr="00284FC8">
        <w:trPr>
          <w:trHeight w:val="300"/>
        </w:trPr>
        <w:tc>
          <w:tcPr>
            <w:tcW w:w="3686" w:type="dxa"/>
            <w:vMerge/>
            <w:tcBorders>
              <w:top w:val="nil"/>
              <w:left w:val="single" w:sz="8" w:space="0" w:color="auto"/>
              <w:bottom w:val="single" w:sz="8" w:space="0" w:color="000000"/>
              <w:right w:val="single" w:sz="8" w:space="0" w:color="auto"/>
            </w:tcBorders>
            <w:vAlign w:val="center"/>
            <w:hideMark/>
          </w:tcPr>
          <w:p w14:paraId="5950C884" w14:textId="77777777" w:rsidR="00385307" w:rsidRPr="0098635C" w:rsidRDefault="00385307" w:rsidP="00385307">
            <w:pPr>
              <w:widowControl/>
              <w:autoSpaceDE/>
              <w:autoSpaceDN/>
              <w:adjustRightInd/>
              <w:spacing w:after="0"/>
              <w:jc w:val="left"/>
              <w:rPr>
                <w:color w:val="000000" w:themeColor="text1"/>
                <w:sz w:val="20"/>
                <w:szCs w:val="20"/>
                <w:lang w:eastAsia="en-GB"/>
              </w:rPr>
            </w:pPr>
          </w:p>
        </w:tc>
        <w:tc>
          <w:tcPr>
            <w:tcW w:w="554" w:type="dxa"/>
            <w:tcBorders>
              <w:top w:val="nil"/>
              <w:left w:val="nil"/>
              <w:bottom w:val="nil"/>
              <w:right w:val="single" w:sz="8" w:space="0" w:color="auto"/>
            </w:tcBorders>
            <w:shd w:val="clear" w:color="000000" w:fill="FFFFFF"/>
            <w:vAlign w:val="center"/>
            <w:hideMark/>
          </w:tcPr>
          <w:p w14:paraId="0B2956AF"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6</w:t>
            </w:r>
          </w:p>
        </w:tc>
        <w:tc>
          <w:tcPr>
            <w:tcW w:w="960" w:type="dxa"/>
            <w:tcBorders>
              <w:top w:val="nil"/>
              <w:left w:val="nil"/>
              <w:bottom w:val="nil"/>
              <w:right w:val="single" w:sz="8" w:space="0" w:color="auto"/>
            </w:tcBorders>
            <w:shd w:val="clear" w:color="000000" w:fill="FFFFFF"/>
            <w:vAlign w:val="center"/>
            <w:hideMark/>
          </w:tcPr>
          <w:p w14:paraId="4BEF2C2C"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10</w:t>
            </w:r>
          </w:p>
        </w:tc>
        <w:tc>
          <w:tcPr>
            <w:tcW w:w="1463" w:type="dxa"/>
            <w:tcBorders>
              <w:top w:val="nil"/>
              <w:left w:val="nil"/>
              <w:bottom w:val="nil"/>
              <w:right w:val="single" w:sz="8" w:space="0" w:color="auto"/>
            </w:tcBorders>
            <w:shd w:val="clear" w:color="000000" w:fill="FFFFFF"/>
            <w:vAlign w:val="center"/>
            <w:hideMark/>
          </w:tcPr>
          <w:p w14:paraId="317E8175"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6.7</w:t>
            </w:r>
          </w:p>
        </w:tc>
        <w:tc>
          <w:tcPr>
            <w:tcW w:w="1559" w:type="dxa"/>
            <w:tcBorders>
              <w:top w:val="nil"/>
              <w:left w:val="nil"/>
              <w:bottom w:val="nil"/>
              <w:right w:val="single" w:sz="8" w:space="0" w:color="auto"/>
            </w:tcBorders>
            <w:shd w:val="clear" w:color="000000" w:fill="FFFFFF"/>
            <w:vAlign w:val="center"/>
            <w:hideMark/>
          </w:tcPr>
          <w:p w14:paraId="5D392770"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&lt;1-2.7</w:t>
            </w:r>
          </w:p>
        </w:tc>
        <w:tc>
          <w:tcPr>
            <w:tcW w:w="1417" w:type="dxa"/>
            <w:tcBorders>
              <w:top w:val="nil"/>
              <w:left w:val="nil"/>
              <w:bottom w:val="nil"/>
              <w:right w:val="single" w:sz="8" w:space="0" w:color="auto"/>
            </w:tcBorders>
            <w:shd w:val="clear" w:color="000000" w:fill="FFFFFF"/>
            <w:vAlign w:val="center"/>
            <w:hideMark/>
          </w:tcPr>
          <w:p w14:paraId="74AAEDE5" w14:textId="77777777" w:rsidR="00385307" w:rsidRPr="0098635C" w:rsidRDefault="00385307" w:rsidP="00385307">
            <w:pPr>
              <w:widowControl/>
              <w:autoSpaceDE/>
              <w:autoSpaceDN/>
              <w:adjustRightInd/>
              <w:spacing w:after="0"/>
              <w:jc w:val="left"/>
              <w:rPr>
                <w:color w:val="000000" w:themeColor="text1"/>
                <w:sz w:val="20"/>
                <w:szCs w:val="20"/>
                <w:lang w:eastAsia="en-GB"/>
              </w:rPr>
            </w:pPr>
            <w:r w:rsidRPr="0098635C">
              <w:rPr>
                <w:color w:val="000000" w:themeColor="text1"/>
                <w:sz w:val="20"/>
                <w:szCs w:val="20"/>
                <w:lang w:eastAsia="en-GB"/>
              </w:rPr>
              <w:t> </w:t>
            </w:r>
          </w:p>
        </w:tc>
      </w:tr>
      <w:tr w:rsidR="00284FC8" w:rsidRPr="0098635C" w14:paraId="4ABF173E" w14:textId="77777777" w:rsidTr="00284FC8">
        <w:trPr>
          <w:trHeight w:val="315"/>
        </w:trPr>
        <w:tc>
          <w:tcPr>
            <w:tcW w:w="3686" w:type="dxa"/>
            <w:vMerge/>
            <w:tcBorders>
              <w:top w:val="nil"/>
              <w:left w:val="single" w:sz="8" w:space="0" w:color="auto"/>
              <w:bottom w:val="single" w:sz="8" w:space="0" w:color="000000"/>
              <w:right w:val="single" w:sz="8" w:space="0" w:color="auto"/>
            </w:tcBorders>
            <w:vAlign w:val="center"/>
            <w:hideMark/>
          </w:tcPr>
          <w:p w14:paraId="1B3847CA" w14:textId="77777777" w:rsidR="00385307" w:rsidRPr="0098635C" w:rsidRDefault="00385307" w:rsidP="00385307">
            <w:pPr>
              <w:widowControl/>
              <w:autoSpaceDE/>
              <w:autoSpaceDN/>
              <w:adjustRightInd/>
              <w:spacing w:after="0"/>
              <w:jc w:val="left"/>
              <w:rPr>
                <w:color w:val="000000" w:themeColor="text1"/>
                <w:sz w:val="20"/>
                <w:szCs w:val="20"/>
                <w:lang w:eastAsia="en-GB"/>
              </w:rPr>
            </w:pPr>
          </w:p>
        </w:tc>
        <w:tc>
          <w:tcPr>
            <w:tcW w:w="554" w:type="dxa"/>
            <w:tcBorders>
              <w:top w:val="nil"/>
              <w:left w:val="nil"/>
              <w:bottom w:val="single" w:sz="8" w:space="0" w:color="auto"/>
              <w:right w:val="single" w:sz="8" w:space="0" w:color="auto"/>
            </w:tcBorders>
            <w:shd w:val="clear" w:color="000000" w:fill="FFFFFF"/>
            <w:noWrap/>
            <w:vAlign w:val="center"/>
            <w:hideMark/>
          </w:tcPr>
          <w:p w14:paraId="5926CE92"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6</w:t>
            </w:r>
          </w:p>
        </w:tc>
        <w:tc>
          <w:tcPr>
            <w:tcW w:w="960" w:type="dxa"/>
            <w:tcBorders>
              <w:top w:val="nil"/>
              <w:left w:val="nil"/>
              <w:bottom w:val="single" w:sz="8" w:space="0" w:color="auto"/>
              <w:right w:val="single" w:sz="8" w:space="0" w:color="auto"/>
            </w:tcBorders>
            <w:shd w:val="clear" w:color="000000" w:fill="FFFFFF"/>
            <w:noWrap/>
            <w:vAlign w:val="center"/>
            <w:hideMark/>
          </w:tcPr>
          <w:p w14:paraId="40CFAE1A"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100</w:t>
            </w:r>
          </w:p>
        </w:tc>
        <w:tc>
          <w:tcPr>
            <w:tcW w:w="1463" w:type="dxa"/>
            <w:tcBorders>
              <w:top w:val="nil"/>
              <w:left w:val="nil"/>
              <w:bottom w:val="single" w:sz="8" w:space="0" w:color="auto"/>
              <w:right w:val="single" w:sz="8" w:space="0" w:color="auto"/>
            </w:tcBorders>
            <w:shd w:val="clear" w:color="000000" w:fill="FFFFFF"/>
            <w:noWrap/>
            <w:vAlign w:val="center"/>
            <w:hideMark/>
          </w:tcPr>
          <w:p w14:paraId="7A56E6F8"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67</w:t>
            </w:r>
          </w:p>
        </w:tc>
        <w:tc>
          <w:tcPr>
            <w:tcW w:w="1559" w:type="dxa"/>
            <w:tcBorders>
              <w:top w:val="nil"/>
              <w:left w:val="nil"/>
              <w:bottom w:val="single" w:sz="8" w:space="0" w:color="auto"/>
              <w:right w:val="single" w:sz="8" w:space="0" w:color="auto"/>
            </w:tcBorders>
            <w:shd w:val="clear" w:color="000000" w:fill="FFFFFF"/>
            <w:noWrap/>
            <w:vAlign w:val="center"/>
            <w:hideMark/>
          </w:tcPr>
          <w:p w14:paraId="72E7BBE4"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9-27</w:t>
            </w:r>
          </w:p>
        </w:tc>
        <w:tc>
          <w:tcPr>
            <w:tcW w:w="1417" w:type="dxa"/>
            <w:tcBorders>
              <w:top w:val="nil"/>
              <w:left w:val="nil"/>
              <w:bottom w:val="single" w:sz="8" w:space="0" w:color="auto"/>
              <w:right w:val="single" w:sz="8" w:space="0" w:color="auto"/>
            </w:tcBorders>
            <w:shd w:val="clear" w:color="000000" w:fill="FFFFFF"/>
            <w:noWrap/>
            <w:vAlign w:val="center"/>
            <w:hideMark/>
          </w:tcPr>
          <w:p w14:paraId="3F200726"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w:t>
            </w:r>
          </w:p>
        </w:tc>
      </w:tr>
      <w:tr w:rsidR="00284FC8" w:rsidRPr="0098635C" w14:paraId="0B975B67" w14:textId="77777777" w:rsidTr="00284FC8">
        <w:trPr>
          <w:trHeight w:val="915"/>
        </w:trPr>
        <w:tc>
          <w:tcPr>
            <w:tcW w:w="3686" w:type="dxa"/>
            <w:tcBorders>
              <w:top w:val="nil"/>
              <w:left w:val="single" w:sz="8" w:space="0" w:color="auto"/>
              <w:bottom w:val="single" w:sz="8" w:space="0" w:color="auto"/>
              <w:right w:val="single" w:sz="8" w:space="0" w:color="auto"/>
            </w:tcBorders>
            <w:shd w:val="clear" w:color="000000" w:fill="FFFFFF"/>
            <w:vAlign w:val="center"/>
            <w:hideMark/>
          </w:tcPr>
          <w:p w14:paraId="1FEB8895" w14:textId="54D8698C" w:rsidR="00385307" w:rsidRPr="0098635C" w:rsidRDefault="00385307" w:rsidP="00385307">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Fine Copper powders  (10-50µm)   (read-across  from -across from non-</w:t>
            </w:r>
            <w:r w:rsidR="00C36182" w:rsidRPr="0098635C">
              <w:rPr>
                <w:color w:val="000000" w:themeColor="text1"/>
                <w:sz w:val="20"/>
                <w:szCs w:val="20"/>
                <w:lang w:eastAsia="en-GB"/>
              </w:rPr>
              <w:t>abrasive</w:t>
            </w:r>
            <w:r w:rsidRPr="0098635C">
              <w:rPr>
                <w:color w:val="000000" w:themeColor="text1"/>
                <w:sz w:val="20"/>
                <w:szCs w:val="20"/>
                <w:lang w:eastAsia="en-GB"/>
              </w:rPr>
              <w:t xml:space="preserve"> devices) (2)</w:t>
            </w:r>
          </w:p>
        </w:tc>
        <w:tc>
          <w:tcPr>
            <w:tcW w:w="554" w:type="dxa"/>
            <w:tcBorders>
              <w:top w:val="nil"/>
              <w:left w:val="nil"/>
              <w:bottom w:val="single" w:sz="8" w:space="0" w:color="auto"/>
              <w:right w:val="single" w:sz="8" w:space="0" w:color="auto"/>
            </w:tcBorders>
            <w:shd w:val="clear" w:color="000000" w:fill="FFFFFF"/>
            <w:vAlign w:val="center"/>
            <w:hideMark/>
          </w:tcPr>
          <w:p w14:paraId="29E3748D"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6</w:t>
            </w:r>
          </w:p>
        </w:tc>
        <w:tc>
          <w:tcPr>
            <w:tcW w:w="960" w:type="dxa"/>
            <w:tcBorders>
              <w:top w:val="nil"/>
              <w:left w:val="nil"/>
              <w:bottom w:val="single" w:sz="8" w:space="0" w:color="auto"/>
              <w:right w:val="single" w:sz="8" w:space="0" w:color="auto"/>
            </w:tcBorders>
            <w:shd w:val="clear" w:color="000000" w:fill="FFFFFF"/>
            <w:vAlign w:val="center"/>
            <w:hideMark/>
          </w:tcPr>
          <w:p w14:paraId="15FB1673"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w:t>
            </w:r>
          </w:p>
        </w:tc>
        <w:tc>
          <w:tcPr>
            <w:tcW w:w="1463" w:type="dxa"/>
            <w:tcBorders>
              <w:top w:val="nil"/>
              <w:left w:val="nil"/>
              <w:bottom w:val="single" w:sz="8" w:space="0" w:color="auto"/>
              <w:right w:val="single" w:sz="8" w:space="0" w:color="auto"/>
            </w:tcBorders>
            <w:shd w:val="clear" w:color="000000" w:fill="FFFFFF"/>
            <w:vAlign w:val="center"/>
            <w:hideMark/>
          </w:tcPr>
          <w:p w14:paraId="5C98E95B"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67-107</w:t>
            </w:r>
          </w:p>
        </w:tc>
        <w:tc>
          <w:tcPr>
            <w:tcW w:w="1559" w:type="dxa"/>
            <w:tcBorders>
              <w:top w:val="nil"/>
              <w:left w:val="nil"/>
              <w:bottom w:val="single" w:sz="8" w:space="0" w:color="auto"/>
              <w:right w:val="single" w:sz="8" w:space="0" w:color="auto"/>
            </w:tcBorders>
            <w:shd w:val="clear" w:color="000000" w:fill="FFFFFF"/>
            <w:vAlign w:val="center"/>
            <w:hideMark/>
          </w:tcPr>
          <w:p w14:paraId="713D2F02"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9-44</w:t>
            </w:r>
          </w:p>
        </w:tc>
        <w:tc>
          <w:tcPr>
            <w:tcW w:w="1417" w:type="dxa"/>
            <w:tcBorders>
              <w:top w:val="nil"/>
              <w:left w:val="nil"/>
              <w:bottom w:val="single" w:sz="8" w:space="0" w:color="auto"/>
              <w:right w:val="single" w:sz="8" w:space="0" w:color="auto"/>
            </w:tcBorders>
            <w:shd w:val="clear" w:color="000000" w:fill="FFFFFF"/>
            <w:vAlign w:val="center"/>
            <w:hideMark/>
          </w:tcPr>
          <w:p w14:paraId="53414F98"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37-176*</w:t>
            </w:r>
          </w:p>
        </w:tc>
      </w:tr>
      <w:tr w:rsidR="00284FC8" w:rsidRPr="0098635C" w14:paraId="2ACAE61A" w14:textId="77777777" w:rsidTr="00284FC8">
        <w:trPr>
          <w:trHeight w:val="300"/>
        </w:trPr>
        <w:tc>
          <w:tcPr>
            <w:tcW w:w="3686" w:type="dxa"/>
            <w:tcBorders>
              <w:top w:val="nil"/>
              <w:left w:val="single" w:sz="8" w:space="0" w:color="auto"/>
              <w:bottom w:val="nil"/>
              <w:right w:val="single" w:sz="8" w:space="0" w:color="auto"/>
            </w:tcBorders>
            <w:shd w:val="clear" w:color="000000" w:fill="FFFFFF"/>
            <w:noWrap/>
            <w:vAlign w:val="center"/>
            <w:hideMark/>
          </w:tcPr>
          <w:p w14:paraId="489A4872" w14:textId="77777777" w:rsidR="00385307" w:rsidRPr="0098635C" w:rsidRDefault="00385307" w:rsidP="00385307">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Coated copper flakes  (4)</w:t>
            </w:r>
          </w:p>
        </w:tc>
        <w:tc>
          <w:tcPr>
            <w:tcW w:w="554" w:type="dxa"/>
            <w:tcBorders>
              <w:top w:val="nil"/>
              <w:left w:val="nil"/>
              <w:bottom w:val="nil"/>
              <w:right w:val="single" w:sz="8" w:space="0" w:color="auto"/>
            </w:tcBorders>
            <w:shd w:val="clear" w:color="000000" w:fill="FFFFFF"/>
            <w:vAlign w:val="center"/>
            <w:hideMark/>
          </w:tcPr>
          <w:p w14:paraId="61DA28EF"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6</w:t>
            </w:r>
          </w:p>
        </w:tc>
        <w:tc>
          <w:tcPr>
            <w:tcW w:w="960" w:type="dxa"/>
            <w:tcBorders>
              <w:top w:val="nil"/>
              <w:left w:val="nil"/>
              <w:bottom w:val="nil"/>
              <w:right w:val="single" w:sz="8" w:space="0" w:color="auto"/>
            </w:tcBorders>
            <w:shd w:val="clear" w:color="000000" w:fill="FFFFFF"/>
            <w:vAlign w:val="center"/>
            <w:hideMark/>
          </w:tcPr>
          <w:p w14:paraId="09614BC5"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w:t>
            </w:r>
          </w:p>
        </w:tc>
        <w:tc>
          <w:tcPr>
            <w:tcW w:w="1463" w:type="dxa"/>
            <w:tcBorders>
              <w:top w:val="nil"/>
              <w:left w:val="nil"/>
              <w:bottom w:val="nil"/>
              <w:right w:val="single" w:sz="8" w:space="0" w:color="auto"/>
            </w:tcBorders>
            <w:shd w:val="clear" w:color="000000" w:fill="FFFFFF"/>
            <w:vAlign w:val="center"/>
            <w:hideMark/>
          </w:tcPr>
          <w:p w14:paraId="74A46A1A"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2900</w:t>
            </w:r>
          </w:p>
        </w:tc>
        <w:tc>
          <w:tcPr>
            <w:tcW w:w="1559" w:type="dxa"/>
            <w:tcBorders>
              <w:top w:val="nil"/>
              <w:left w:val="nil"/>
              <w:bottom w:val="nil"/>
              <w:right w:val="single" w:sz="8" w:space="0" w:color="auto"/>
            </w:tcBorders>
            <w:shd w:val="clear" w:color="000000" w:fill="FFFFFF"/>
            <w:vAlign w:val="center"/>
            <w:hideMark/>
          </w:tcPr>
          <w:p w14:paraId="628767B9"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721</w:t>
            </w:r>
          </w:p>
        </w:tc>
        <w:tc>
          <w:tcPr>
            <w:tcW w:w="1417" w:type="dxa"/>
            <w:tcBorders>
              <w:top w:val="nil"/>
              <w:left w:val="nil"/>
              <w:bottom w:val="nil"/>
              <w:right w:val="single" w:sz="8" w:space="0" w:color="auto"/>
            </w:tcBorders>
            <w:shd w:val="clear" w:color="000000" w:fill="FFFFFF"/>
            <w:vAlign w:val="center"/>
            <w:hideMark/>
          </w:tcPr>
          <w:p w14:paraId="7FA2FCD8"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773</w:t>
            </w:r>
          </w:p>
        </w:tc>
      </w:tr>
      <w:tr w:rsidR="00284FC8" w:rsidRPr="0098635C" w14:paraId="7070AD75" w14:textId="77777777" w:rsidTr="00284FC8">
        <w:trPr>
          <w:trHeight w:val="315"/>
        </w:trPr>
        <w:tc>
          <w:tcPr>
            <w:tcW w:w="3686" w:type="dxa"/>
            <w:tcBorders>
              <w:top w:val="nil"/>
              <w:left w:val="single" w:sz="8" w:space="0" w:color="auto"/>
              <w:bottom w:val="single" w:sz="8" w:space="0" w:color="auto"/>
              <w:right w:val="single" w:sz="8" w:space="0" w:color="auto"/>
            </w:tcBorders>
            <w:shd w:val="clear" w:color="auto" w:fill="auto"/>
            <w:noWrap/>
            <w:vAlign w:val="center"/>
            <w:hideMark/>
          </w:tcPr>
          <w:p w14:paraId="44EA4232" w14:textId="77777777" w:rsidR="00385307" w:rsidRPr="0098635C" w:rsidRDefault="00385307" w:rsidP="00385307">
            <w:pPr>
              <w:widowControl/>
              <w:autoSpaceDE/>
              <w:autoSpaceDN/>
              <w:adjustRightInd/>
              <w:spacing w:after="0"/>
              <w:jc w:val="left"/>
              <w:rPr>
                <w:color w:val="000000" w:themeColor="text1"/>
                <w:sz w:val="20"/>
                <w:szCs w:val="20"/>
                <w:lang w:eastAsia="en-GB"/>
              </w:rPr>
            </w:pPr>
            <w:r w:rsidRPr="0098635C">
              <w:rPr>
                <w:color w:val="000000" w:themeColor="text1"/>
                <w:sz w:val="20"/>
                <w:szCs w:val="20"/>
                <w:lang w:eastAsia="en-GB"/>
              </w:rPr>
              <w:t> </w:t>
            </w:r>
          </w:p>
        </w:tc>
        <w:tc>
          <w:tcPr>
            <w:tcW w:w="554" w:type="dxa"/>
            <w:tcBorders>
              <w:top w:val="nil"/>
              <w:left w:val="nil"/>
              <w:bottom w:val="single" w:sz="8" w:space="0" w:color="auto"/>
              <w:right w:val="single" w:sz="8" w:space="0" w:color="auto"/>
            </w:tcBorders>
            <w:shd w:val="clear" w:color="000000" w:fill="FFFFFF"/>
            <w:vAlign w:val="center"/>
            <w:hideMark/>
          </w:tcPr>
          <w:p w14:paraId="69FA4E54"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7</w:t>
            </w:r>
          </w:p>
        </w:tc>
        <w:tc>
          <w:tcPr>
            <w:tcW w:w="960" w:type="dxa"/>
            <w:tcBorders>
              <w:top w:val="nil"/>
              <w:left w:val="nil"/>
              <w:bottom w:val="single" w:sz="8" w:space="0" w:color="auto"/>
              <w:right w:val="single" w:sz="8" w:space="0" w:color="auto"/>
            </w:tcBorders>
            <w:shd w:val="clear" w:color="000000" w:fill="FFFFFF"/>
            <w:vAlign w:val="center"/>
            <w:hideMark/>
          </w:tcPr>
          <w:p w14:paraId="429BE85F"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w:t>
            </w:r>
          </w:p>
        </w:tc>
        <w:tc>
          <w:tcPr>
            <w:tcW w:w="1463" w:type="dxa"/>
            <w:tcBorders>
              <w:top w:val="nil"/>
              <w:left w:val="nil"/>
              <w:bottom w:val="single" w:sz="8" w:space="0" w:color="auto"/>
              <w:right w:val="single" w:sz="8" w:space="0" w:color="auto"/>
            </w:tcBorders>
            <w:shd w:val="clear" w:color="000000" w:fill="FFFFFF"/>
            <w:vAlign w:val="center"/>
            <w:hideMark/>
          </w:tcPr>
          <w:p w14:paraId="722E6804"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2900</w:t>
            </w:r>
          </w:p>
        </w:tc>
        <w:tc>
          <w:tcPr>
            <w:tcW w:w="1559" w:type="dxa"/>
            <w:tcBorders>
              <w:top w:val="nil"/>
              <w:left w:val="nil"/>
              <w:bottom w:val="single" w:sz="8" w:space="0" w:color="auto"/>
              <w:right w:val="single" w:sz="8" w:space="0" w:color="auto"/>
            </w:tcBorders>
            <w:shd w:val="clear" w:color="000000" w:fill="FFFFFF"/>
            <w:vAlign w:val="center"/>
            <w:hideMark/>
          </w:tcPr>
          <w:p w14:paraId="795943AE"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363</w:t>
            </w:r>
          </w:p>
        </w:tc>
        <w:tc>
          <w:tcPr>
            <w:tcW w:w="1417" w:type="dxa"/>
            <w:tcBorders>
              <w:top w:val="nil"/>
              <w:left w:val="nil"/>
              <w:bottom w:val="single" w:sz="8" w:space="0" w:color="auto"/>
              <w:right w:val="single" w:sz="8" w:space="0" w:color="auto"/>
            </w:tcBorders>
            <w:shd w:val="clear" w:color="000000" w:fill="FFFFFF"/>
            <w:vAlign w:val="center"/>
            <w:hideMark/>
          </w:tcPr>
          <w:p w14:paraId="70866F81" w14:textId="77777777" w:rsidR="00385307" w:rsidRPr="0098635C" w:rsidRDefault="00385307" w:rsidP="00385307">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639</w:t>
            </w:r>
          </w:p>
        </w:tc>
      </w:tr>
    </w:tbl>
    <w:p w14:paraId="4D21C126" w14:textId="1C84F78F" w:rsidR="00581400" w:rsidRPr="0098635C" w:rsidRDefault="00581400" w:rsidP="00284FC8">
      <w:pPr>
        <w:pStyle w:val="BodyText"/>
        <w:spacing w:after="0"/>
        <w:rPr>
          <w:color w:val="000000" w:themeColor="text1"/>
          <w:sz w:val="20"/>
        </w:rPr>
      </w:pPr>
      <w:r w:rsidRPr="0098635C">
        <w:rPr>
          <w:color w:val="000000" w:themeColor="text1"/>
          <w:sz w:val="20"/>
        </w:rPr>
        <w:t>*</w:t>
      </w:r>
      <w:r w:rsidRPr="0098635C">
        <w:rPr>
          <w:color w:val="000000" w:themeColor="text1"/>
          <w:sz w:val="20"/>
          <w:lang w:val="en-US"/>
        </w:rPr>
        <w:t>linear extrapolation from non-abrasive 7 days data</w:t>
      </w:r>
    </w:p>
    <w:p w14:paraId="5B9D27BE" w14:textId="4E810C62" w:rsidR="00A66C58" w:rsidRPr="0098635C" w:rsidRDefault="00A66C58" w:rsidP="00284FC8">
      <w:pPr>
        <w:spacing w:after="0"/>
        <w:rPr>
          <w:color w:val="000000" w:themeColor="text1"/>
          <w:sz w:val="20"/>
          <w:szCs w:val="20"/>
          <w:lang w:eastAsia="en-GB"/>
        </w:rPr>
      </w:pPr>
      <w:r w:rsidRPr="0098635C">
        <w:rPr>
          <w:color w:val="000000" w:themeColor="text1"/>
          <w:sz w:val="20"/>
          <w:szCs w:val="20"/>
          <w:lang w:eastAsia="en-GB"/>
        </w:rPr>
        <w:t>(1) Rodriguez et al., 2000 - Report available from the copper RAR (2008) (Annex K3)</w:t>
      </w:r>
      <w:r w:rsidR="009E0669" w:rsidRPr="0098635C">
        <w:rPr>
          <w:color w:val="000000" w:themeColor="text1"/>
          <w:sz w:val="20"/>
          <w:szCs w:val="20"/>
          <w:lang w:eastAsia="en-GB"/>
        </w:rPr>
        <w:t xml:space="preserve"> </w:t>
      </w:r>
    </w:p>
    <w:p w14:paraId="370A7CF7" w14:textId="5DF51DAB" w:rsidR="00A349B9" w:rsidRPr="0098635C" w:rsidRDefault="00A66C58" w:rsidP="00284FC8">
      <w:pPr>
        <w:spacing w:after="0"/>
        <w:rPr>
          <w:color w:val="000000" w:themeColor="text1"/>
          <w:sz w:val="20"/>
          <w:szCs w:val="20"/>
          <w:lang w:val="nl-BE" w:eastAsia="en-GB"/>
        </w:rPr>
      </w:pPr>
      <w:r w:rsidRPr="0098635C">
        <w:rPr>
          <w:color w:val="000000" w:themeColor="text1"/>
          <w:sz w:val="20"/>
          <w:szCs w:val="20"/>
          <w:lang w:val="nl-BE" w:eastAsia="en-GB"/>
        </w:rPr>
        <w:t xml:space="preserve">(2) Rodriguez et al., 2011 </w:t>
      </w:r>
    </w:p>
    <w:p w14:paraId="2868DA83" w14:textId="11991E5D" w:rsidR="00A349B9" w:rsidRPr="0098635C" w:rsidRDefault="00A66C58" w:rsidP="00284FC8">
      <w:pPr>
        <w:spacing w:after="0"/>
        <w:rPr>
          <w:color w:val="000000" w:themeColor="text1"/>
          <w:sz w:val="20"/>
          <w:szCs w:val="20"/>
          <w:lang w:val="nl-BE" w:eastAsia="en-GB"/>
        </w:rPr>
      </w:pPr>
      <w:r w:rsidRPr="0098635C">
        <w:rPr>
          <w:color w:val="000000" w:themeColor="text1"/>
          <w:sz w:val="20"/>
          <w:szCs w:val="20"/>
          <w:lang w:val="nl-BE" w:eastAsia="en-GB"/>
        </w:rPr>
        <w:t>(3) Rodriguez et al., 2012</w:t>
      </w:r>
    </w:p>
    <w:p w14:paraId="0D49967D" w14:textId="7B55F71D" w:rsidR="00DB037A" w:rsidRPr="0098635C" w:rsidRDefault="00A66C58" w:rsidP="00284FC8">
      <w:pPr>
        <w:keepNext/>
        <w:keepLines/>
        <w:spacing w:after="0"/>
        <w:rPr>
          <w:color w:val="000000" w:themeColor="text1"/>
          <w:sz w:val="20"/>
          <w:szCs w:val="20"/>
          <w:lang w:eastAsia="en-GB"/>
        </w:rPr>
      </w:pPr>
      <w:r w:rsidRPr="0098635C">
        <w:rPr>
          <w:color w:val="000000" w:themeColor="text1"/>
          <w:sz w:val="20"/>
          <w:szCs w:val="20"/>
          <w:lang w:eastAsia="en-GB"/>
        </w:rPr>
        <w:t xml:space="preserve">(4) </w:t>
      </w:r>
      <w:r w:rsidR="009E0669" w:rsidRPr="0098635C">
        <w:rPr>
          <w:color w:val="000000" w:themeColor="text1"/>
          <w:sz w:val="20"/>
          <w:szCs w:val="20"/>
        </w:rPr>
        <w:t xml:space="preserve">Schaefers and Klawonn, </w:t>
      </w:r>
      <w:r w:rsidRPr="0098635C">
        <w:rPr>
          <w:color w:val="000000" w:themeColor="text1"/>
          <w:sz w:val="20"/>
          <w:szCs w:val="20"/>
        </w:rPr>
        <w:t>2013</w:t>
      </w:r>
      <w:r w:rsidRPr="0098635C">
        <w:rPr>
          <w:color w:val="000000" w:themeColor="text1"/>
          <w:sz w:val="20"/>
          <w:szCs w:val="20"/>
          <w:lang w:eastAsia="en-GB"/>
        </w:rPr>
        <w:t xml:space="preserve"> </w:t>
      </w:r>
    </w:p>
    <w:p w14:paraId="4AEBA3BA" w14:textId="77777777" w:rsidR="00D05142" w:rsidRPr="0098635C" w:rsidRDefault="00D05142" w:rsidP="00D05142">
      <w:pPr>
        <w:widowControl/>
        <w:autoSpaceDE/>
        <w:autoSpaceDN/>
        <w:adjustRightInd/>
        <w:spacing w:after="0"/>
        <w:ind w:left="567"/>
        <w:jc w:val="left"/>
        <w:rPr>
          <w:rFonts w:eastAsia="Calibri"/>
          <w:color w:val="000000" w:themeColor="text1"/>
          <w:sz w:val="20"/>
          <w:szCs w:val="20"/>
        </w:rPr>
      </w:pPr>
    </w:p>
    <w:p w14:paraId="48F4DD68" w14:textId="1741FD79" w:rsidR="0055123E" w:rsidRPr="0098635C" w:rsidRDefault="00E230FB" w:rsidP="00D05142">
      <w:pPr>
        <w:tabs>
          <w:tab w:val="left" w:pos="2694"/>
        </w:tabs>
        <w:ind w:right="271"/>
        <w:rPr>
          <w:rFonts w:eastAsia="Calibri"/>
          <w:color w:val="000000" w:themeColor="text1"/>
          <w:sz w:val="20"/>
          <w:szCs w:val="20"/>
        </w:rPr>
      </w:pPr>
      <w:r w:rsidRPr="0098635C">
        <w:rPr>
          <w:rFonts w:eastAsia="Calibri"/>
          <w:color w:val="000000" w:themeColor="text1"/>
          <w:sz w:val="20"/>
          <w:szCs w:val="20"/>
        </w:rPr>
        <w:t>In conclusion, the information from solubility and transformation/dissolution tests with various copper-bearing materials therefore demonstrate important differences in potential copper releases: Coated copper flakes</w:t>
      </w:r>
      <w:r w:rsidR="00A87CF6" w:rsidRPr="0098635C">
        <w:rPr>
          <w:rFonts w:eastAsia="Calibri"/>
          <w:color w:val="000000" w:themeColor="text1"/>
          <w:sz w:val="20"/>
          <w:szCs w:val="20"/>
        </w:rPr>
        <w:t xml:space="preserve"> (77 % transformed/dissolved in 28 days)</w:t>
      </w:r>
      <w:r w:rsidRPr="0098635C">
        <w:rPr>
          <w:rFonts w:eastAsia="Calibri"/>
          <w:color w:val="000000" w:themeColor="text1"/>
          <w:sz w:val="20"/>
          <w:szCs w:val="20"/>
        </w:rPr>
        <w:t xml:space="preserve"> &gt; CuO &gt; copper powder &gt; </w:t>
      </w:r>
      <w:r w:rsidR="00A87CF6" w:rsidRPr="0098635C">
        <w:rPr>
          <w:rFonts w:eastAsia="Calibri"/>
          <w:color w:val="000000" w:themeColor="text1"/>
          <w:sz w:val="20"/>
          <w:szCs w:val="20"/>
        </w:rPr>
        <w:t xml:space="preserve">1mm </w:t>
      </w:r>
      <w:r w:rsidRPr="0098635C">
        <w:rPr>
          <w:rFonts w:eastAsia="Calibri"/>
          <w:color w:val="000000" w:themeColor="text1"/>
          <w:sz w:val="20"/>
          <w:szCs w:val="20"/>
        </w:rPr>
        <w:t>copper massive</w:t>
      </w:r>
      <w:r w:rsidR="00A87CF6" w:rsidRPr="0098635C">
        <w:rPr>
          <w:rFonts w:eastAsia="Calibri"/>
          <w:color w:val="000000" w:themeColor="text1"/>
          <w:sz w:val="20"/>
          <w:szCs w:val="20"/>
        </w:rPr>
        <w:t xml:space="preserve"> spheres</w:t>
      </w:r>
      <w:r w:rsidRPr="0098635C">
        <w:rPr>
          <w:rFonts w:eastAsia="Calibri"/>
          <w:color w:val="000000" w:themeColor="text1"/>
          <w:sz w:val="20"/>
          <w:szCs w:val="20"/>
        </w:rPr>
        <w:t xml:space="preserve"> (</w:t>
      </w:r>
      <w:r w:rsidR="00A87CF6" w:rsidRPr="0098635C">
        <w:rPr>
          <w:rFonts w:eastAsia="Calibri"/>
          <w:color w:val="000000" w:themeColor="text1"/>
          <w:sz w:val="20"/>
          <w:szCs w:val="20"/>
        </w:rPr>
        <w:t>&lt;</w:t>
      </w:r>
      <w:r w:rsidRPr="0098635C">
        <w:rPr>
          <w:rFonts w:eastAsia="Calibri"/>
          <w:color w:val="000000" w:themeColor="text1"/>
          <w:sz w:val="20"/>
          <w:szCs w:val="20"/>
        </w:rPr>
        <w:t>0.3% transformed/dissolved in 28 days).</w:t>
      </w:r>
      <w:r w:rsidR="001C6E72" w:rsidRPr="0098635C">
        <w:rPr>
          <w:rFonts w:eastAsia="Calibri"/>
          <w:color w:val="000000" w:themeColor="text1"/>
          <w:sz w:val="20"/>
          <w:szCs w:val="20"/>
        </w:rPr>
        <w:t xml:space="preserve"> </w:t>
      </w:r>
    </w:p>
    <w:p w14:paraId="2B391C06" w14:textId="46131829" w:rsidR="0055123E" w:rsidRPr="0098635C" w:rsidRDefault="001C6E72" w:rsidP="00284FC8">
      <w:pPr>
        <w:pStyle w:val="BodyText"/>
        <w:rPr>
          <w:rFonts w:eastAsia="Calibri"/>
          <w:color w:val="000000" w:themeColor="text1"/>
          <w:sz w:val="20"/>
          <w:highlight w:val="cyan"/>
        </w:rPr>
      </w:pPr>
      <w:r w:rsidRPr="0098635C">
        <w:rPr>
          <w:color w:val="000000" w:themeColor="text1"/>
          <w:sz w:val="20"/>
        </w:rPr>
        <w:t>The results of comparing the bio-availability of the Cu-ions in the receiving compartment must therefore be integrated in effects and risk characterisations.</w:t>
      </w:r>
      <w:r w:rsidR="003B0443" w:rsidRPr="0098635C">
        <w:rPr>
          <w:color w:val="000000" w:themeColor="text1"/>
          <w:sz w:val="20"/>
        </w:rPr>
        <w:t xml:space="preserve"> </w:t>
      </w:r>
      <w:r w:rsidR="003B0443" w:rsidRPr="0098635C">
        <w:rPr>
          <w:rFonts w:eastAsia="Calibri"/>
          <w:color w:val="000000" w:themeColor="text1"/>
          <w:sz w:val="20"/>
        </w:rPr>
        <w:t>The solubility and transformation/dissolution data can be used to predict the ecotoxic potential of copper containing materials using available ecotoxicity studies on soluble copper compounds and this is presented further in the environmental toxicity sectio</w:t>
      </w:r>
      <w:r w:rsidR="00327B86" w:rsidRPr="0098635C">
        <w:rPr>
          <w:rFonts w:eastAsia="Calibri"/>
          <w:color w:val="000000" w:themeColor="text1"/>
          <w:sz w:val="20"/>
        </w:rPr>
        <w:t>n. It should be noted that the evaluation of biocidal copper and copper compounds in the EU is still ongoing (2014—2017 and onwards) and was not included in this report.</w:t>
      </w:r>
    </w:p>
    <w:p w14:paraId="46509ED7" w14:textId="5B68159A" w:rsidR="00B05271" w:rsidRPr="0098635C" w:rsidRDefault="00DC53C9" w:rsidP="00F67B0C">
      <w:pPr>
        <w:pStyle w:val="Heading2"/>
        <w:numPr>
          <w:ilvl w:val="0"/>
          <w:numId w:val="0"/>
        </w:numPr>
        <w:ind w:left="839" w:hanging="839"/>
        <w:jc w:val="left"/>
        <w:rPr>
          <w:b w:val="0"/>
          <w:color w:val="000000" w:themeColor="text1"/>
          <w:sz w:val="20"/>
        </w:rPr>
      </w:pPr>
      <w:bookmarkStart w:id="134" w:name="_Toc32726024"/>
      <w:bookmarkStart w:id="135" w:name="_Toc32727207"/>
      <w:bookmarkStart w:id="136" w:name="_Toc43868655"/>
      <w:bookmarkStart w:id="137" w:name="_Toc200358243"/>
      <w:bookmarkStart w:id="138" w:name="_Toc200359259"/>
      <w:bookmarkStart w:id="139" w:name="_Toc471999417"/>
      <w:bookmarkStart w:id="140" w:name="_Toc472250860"/>
      <w:r w:rsidRPr="0098635C">
        <w:rPr>
          <w:b w:val="0"/>
          <w:color w:val="000000" w:themeColor="text1"/>
          <w:sz w:val="20"/>
        </w:rPr>
        <w:t xml:space="preserve">2.3. </w:t>
      </w:r>
      <w:r w:rsidR="00B05271" w:rsidRPr="0098635C">
        <w:rPr>
          <w:b w:val="0"/>
          <w:color w:val="000000" w:themeColor="text1"/>
          <w:sz w:val="20"/>
        </w:rPr>
        <w:t>Human Exposure</w:t>
      </w:r>
      <w:bookmarkEnd w:id="134"/>
      <w:bookmarkEnd w:id="135"/>
      <w:bookmarkEnd w:id="136"/>
      <w:bookmarkEnd w:id="137"/>
      <w:bookmarkEnd w:id="138"/>
      <w:bookmarkEnd w:id="139"/>
      <w:bookmarkEnd w:id="140"/>
    </w:p>
    <w:p w14:paraId="1DEA6BE2" w14:textId="77777777" w:rsidR="00126E92" w:rsidRPr="0098635C" w:rsidRDefault="00126E92" w:rsidP="00126E92">
      <w:pPr>
        <w:pStyle w:val="BodyText"/>
        <w:rPr>
          <w:color w:val="000000" w:themeColor="text1"/>
          <w:sz w:val="20"/>
        </w:rPr>
      </w:pPr>
      <w:r w:rsidRPr="0098635C">
        <w:rPr>
          <w:color w:val="000000" w:themeColor="text1"/>
          <w:sz w:val="20"/>
        </w:rPr>
        <w:t>Exposure to copper arises mainly through ingestion of food and drinking water. Median daily dietary intake for adults is 1.2 mg/day. Typically, copper levels in drinking water are very low with an estimated median intake of 0.11 mg/day, less where bottled water is consumed. However, copper may leach from copper pipes into water depending on a number of factors including the physico-chemical properties of the water, the condition of the distribution network and standing time.</w:t>
      </w:r>
    </w:p>
    <w:p w14:paraId="45398568" w14:textId="77777777" w:rsidR="00126E92" w:rsidRPr="0098635C" w:rsidRDefault="00126E92" w:rsidP="00126E92">
      <w:pPr>
        <w:pStyle w:val="BodyText"/>
        <w:rPr>
          <w:color w:val="000000" w:themeColor="text1"/>
          <w:sz w:val="20"/>
        </w:rPr>
      </w:pPr>
      <w:r w:rsidRPr="0098635C">
        <w:rPr>
          <w:color w:val="000000" w:themeColor="text1"/>
          <w:sz w:val="20"/>
        </w:rPr>
        <w:t>Young children also ingest dust by hand to mouth contact. This exposure may consist of a mixture of house dust and garden dust and is considered to be relevant to the exposure of children and adolescents. Exposure estimates are calculated using the IEUBK dust ingestion data and the copper in household dust data in UK cities with a median value of 250 mg/kg for the city of Birmingham. The assumed typical copper intake is between 3.4 and 21 µg/day (0-12yrs old).</w:t>
      </w:r>
    </w:p>
    <w:p w14:paraId="4ABFCB7C" w14:textId="66E89585" w:rsidR="00126E92" w:rsidRPr="0098635C" w:rsidRDefault="00126E92" w:rsidP="00126E92">
      <w:pPr>
        <w:pStyle w:val="BodyText"/>
        <w:rPr>
          <w:color w:val="000000" w:themeColor="text1"/>
          <w:sz w:val="20"/>
        </w:rPr>
      </w:pPr>
      <w:r w:rsidRPr="0098635C">
        <w:rPr>
          <w:color w:val="000000" w:themeColor="text1"/>
          <w:sz w:val="20"/>
        </w:rPr>
        <w:t xml:space="preserve">It is assumed that a typical consumer is exposed via the dermal route to 0.14 mg Cu/day to coins and to 4.3x10-6 mg Cu/day via hair-care products and via the inhalation route to 0.001 mg Cu/person/day by smoking cigarettes. The contribution to dietary intake (copper </w:t>
      </w:r>
      <w:r w:rsidR="00011581" w:rsidRPr="0098635C">
        <w:rPr>
          <w:color w:val="000000" w:themeColor="text1"/>
          <w:sz w:val="20"/>
        </w:rPr>
        <w:t xml:space="preserve">of anthropogenic origin </w:t>
      </w:r>
      <w:r w:rsidRPr="0098635C">
        <w:rPr>
          <w:color w:val="000000" w:themeColor="text1"/>
          <w:sz w:val="20"/>
        </w:rPr>
        <w:t>from fruit and vegetables, locally grown, and other foodstuffs) in the local environment was rather low due to the impact of industrial air pollution control measures and the effective homeostatic control of copper uptake by plants. External exposure through inhalation is even more limited.</w:t>
      </w:r>
    </w:p>
    <w:p w14:paraId="5F1B26DC" w14:textId="6D8C8FB8" w:rsidR="00126E92" w:rsidRPr="0098635C" w:rsidRDefault="00317CA4" w:rsidP="00F67B0C">
      <w:pPr>
        <w:pStyle w:val="Heading2"/>
        <w:numPr>
          <w:ilvl w:val="0"/>
          <w:numId w:val="0"/>
        </w:numPr>
        <w:tabs>
          <w:tab w:val="left" w:pos="1560"/>
        </w:tabs>
        <w:ind w:left="839" w:hanging="697"/>
        <w:rPr>
          <w:color w:val="000000" w:themeColor="text1"/>
          <w:sz w:val="20"/>
        </w:rPr>
      </w:pPr>
      <w:bookmarkStart w:id="141" w:name="_Toc471999418"/>
      <w:bookmarkStart w:id="142" w:name="_Toc472250861"/>
      <w:bookmarkStart w:id="143" w:name="_Toc260063673"/>
      <w:r w:rsidRPr="0098635C">
        <w:rPr>
          <w:color w:val="000000" w:themeColor="text1"/>
          <w:sz w:val="20"/>
        </w:rPr>
        <w:t>2.3.1 Occupational Exposure</w:t>
      </w:r>
      <w:bookmarkEnd w:id="141"/>
      <w:bookmarkEnd w:id="142"/>
      <w:r w:rsidRPr="0098635C" w:rsidDel="00317CA4">
        <w:rPr>
          <w:color w:val="000000" w:themeColor="text1"/>
          <w:sz w:val="20"/>
        </w:rPr>
        <w:t xml:space="preserve"> </w:t>
      </w:r>
      <w:bookmarkEnd w:id="143"/>
    </w:p>
    <w:p w14:paraId="2FAEA41C" w14:textId="77777777" w:rsidR="00126E92" w:rsidRPr="0098635C" w:rsidRDefault="00126E92" w:rsidP="00126E92">
      <w:pPr>
        <w:rPr>
          <w:color w:val="000000" w:themeColor="text1"/>
          <w:sz w:val="20"/>
          <w:szCs w:val="20"/>
        </w:rPr>
      </w:pPr>
      <w:r w:rsidRPr="0098635C">
        <w:rPr>
          <w:color w:val="000000" w:themeColor="text1"/>
          <w:sz w:val="20"/>
          <w:szCs w:val="20"/>
        </w:rPr>
        <w:t>Workers can be exposed to dusts of copper substances during their manufacture, packaging and cleaning. Primary routes of exposure at the workplace are via inhalation and dermal contact.  Best available techniques and good hygiene measures are assumed to prevent/limit releases, dispersion and exposure to copper and copper compounds. At such workplaces direct exposure of the worker is reduced by risk management measures, such as automation or enclosure of the process or installation of exhaust ventilation systems. If such measures are not applicable – or where necessary, in addition to those measures - personal respiratory protective equipment is used.</w:t>
      </w:r>
    </w:p>
    <w:p w14:paraId="59DA8602" w14:textId="59966D68" w:rsidR="00126E92" w:rsidRPr="0098635C" w:rsidRDefault="00126E92" w:rsidP="00126E92">
      <w:pPr>
        <w:rPr>
          <w:color w:val="000000" w:themeColor="text1"/>
          <w:sz w:val="20"/>
          <w:szCs w:val="20"/>
        </w:rPr>
      </w:pPr>
      <w:r w:rsidRPr="0098635C">
        <w:rPr>
          <w:color w:val="000000" w:themeColor="text1"/>
          <w:sz w:val="20"/>
          <w:szCs w:val="20"/>
        </w:rPr>
        <w:t xml:space="preserve">The sectors that have been identified for estimating local exposures include: Smelting and </w:t>
      </w:r>
      <w:r w:rsidR="00CD0FA6" w:rsidRPr="0098635C">
        <w:rPr>
          <w:color w:val="000000" w:themeColor="text1"/>
          <w:sz w:val="20"/>
          <w:szCs w:val="20"/>
        </w:rPr>
        <w:t>r</w:t>
      </w:r>
      <w:r w:rsidRPr="0098635C">
        <w:rPr>
          <w:color w:val="000000" w:themeColor="text1"/>
          <w:sz w:val="20"/>
          <w:szCs w:val="20"/>
        </w:rPr>
        <w:t xml:space="preserve">efining, </w:t>
      </w:r>
      <w:r w:rsidR="00CD0FA6" w:rsidRPr="0098635C">
        <w:rPr>
          <w:color w:val="000000" w:themeColor="text1"/>
          <w:sz w:val="20"/>
          <w:szCs w:val="20"/>
        </w:rPr>
        <w:t>w</w:t>
      </w:r>
      <w:r w:rsidRPr="0098635C">
        <w:rPr>
          <w:color w:val="000000" w:themeColor="text1"/>
          <w:sz w:val="20"/>
          <w:szCs w:val="20"/>
        </w:rPr>
        <w:t xml:space="preserve">irerod &amp; </w:t>
      </w:r>
      <w:r w:rsidR="00CD0FA6" w:rsidRPr="0098635C">
        <w:rPr>
          <w:color w:val="000000" w:themeColor="text1"/>
          <w:sz w:val="20"/>
          <w:szCs w:val="20"/>
        </w:rPr>
        <w:t>c</w:t>
      </w:r>
      <w:r w:rsidRPr="0098635C">
        <w:rPr>
          <w:color w:val="000000" w:themeColor="text1"/>
          <w:sz w:val="20"/>
          <w:szCs w:val="20"/>
        </w:rPr>
        <w:t xml:space="preserve">ables production, </w:t>
      </w:r>
      <w:r w:rsidR="00CD0FA6" w:rsidRPr="0098635C">
        <w:rPr>
          <w:color w:val="000000" w:themeColor="text1"/>
          <w:sz w:val="20"/>
          <w:szCs w:val="20"/>
        </w:rPr>
        <w:t>c</w:t>
      </w:r>
      <w:r w:rsidRPr="0098635C">
        <w:rPr>
          <w:color w:val="000000" w:themeColor="text1"/>
          <w:sz w:val="20"/>
          <w:szCs w:val="20"/>
        </w:rPr>
        <w:t xml:space="preserve">asting </w:t>
      </w:r>
      <w:r w:rsidR="00CD0FA6" w:rsidRPr="0098635C">
        <w:rPr>
          <w:color w:val="000000" w:themeColor="text1"/>
          <w:sz w:val="20"/>
          <w:szCs w:val="20"/>
        </w:rPr>
        <w:t>b</w:t>
      </w:r>
      <w:r w:rsidRPr="0098635C">
        <w:rPr>
          <w:color w:val="000000" w:themeColor="text1"/>
          <w:sz w:val="20"/>
          <w:szCs w:val="20"/>
        </w:rPr>
        <w:t xml:space="preserve">illets and </w:t>
      </w:r>
      <w:r w:rsidR="00CD0FA6" w:rsidRPr="0098635C">
        <w:rPr>
          <w:color w:val="000000" w:themeColor="text1"/>
          <w:sz w:val="20"/>
          <w:szCs w:val="20"/>
        </w:rPr>
        <w:t>p</w:t>
      </w:r>
      <w:r w:rsidRPr="0098635C">
        <w:rPr>
          <w:color w:val="000000" w:themeColor="text1"/>
          <w:sz w:val="20"/>
          <w:szCs w:val="20"/>
        </w:rPr>
        <w:t xml:space="preserve">lates, </w:t>
      </w:r>
      <w:r w:rsidR="00CD0FA6" w:rsidRPr="0098635C">
        <w:rPr>
          <w:color w:val="000000" w:themeColor="text1"/>
          <w:sz w:val="20"/>
          <w:szCs w:val="20"/>
        </w:rPr>
        <w:t>p</w:t>
      </w:r>
      <w:r w:rsidRPr="0098635C">
        <w:rPr>
          <w:color w:val="000000" w:themeColor="text1"/>
          <w:sz w:val="20"/>
          <w:szCs w:val="20"/>
        </w:rPr>
        <w:t xml:space="preserve">roduction of </w:t>
      </w:r>
      <w:r w:rsidR="00D255FF" w:rsidRPr="0098635C">
        <w:rPr>
          <w:color w:val="000000" w:themeColor="text1"/>
          <w:sz w:val="20"/>
          <w:szCs w:val="20"/>
        </w:rPr>
        <w:t>semi finished copper shapes</w:t>
      </w:r>
      <w:r w:rsidRPr="0098635C">
        <w:rPr>
          <w:color w:val="000000" w:themeColor="text1"/>
          <w:sz w:val="20"/>
          <w:szCs w:val="20"/>
        </w:rPr>
        <w:t xml:space="preserve">, </w:t>
      </w:r>
      <w:r w:rsidR="00CD0FA6" w:rsidRPr="0098635C">
        <w:rPr>
          <w:color w:val="000000" w:themeColor="text1"/>
          <w:sz w:val="20"/>
          <w:szCs w:val="20"/>
        </w:rPr>
        <w:t>p</w:t>
      </w:r>
      <w:r w:rsidRPr="0098635C">
        <w:rPr>
          <w:color w:val="000000" w:themeColor="text1"/>
          <w:sz w:val="20"/>
          <w:szCs w:val="20"/>
        </w:rPr>
        <w:t xml:space="preserve">roduction of </w:t>
      </w:r>
      <w:r w:rsidR="00CD0FA6" w:rsidRPr="0098635C">
        <w:rPr>
          <w:color w:val="000000" w:themeColor="text1"/>
          <w:sz w:val="20"/>
          <w:szCs w:val="20"/>
        </w:rPr>
        <w:t>c</w:t>
      </w:r>
      <w:r w:rsidRPr="0098635C">
        <w:rPr>
          <w:color w:val="000000" w:themeColor="text1"/>
          <w:sz w:val="20"/>
          <w:szCs w:val="20"/>
        </w:rPr>
        <w:t xml:space="preserve">opper </w:t>
      </w:r>
      <w:r w:rsidR="00CD0FA6" w:rsidRPr="0098635C">
        <w:rPr>
          <w:color w:val="000000" w:themeColor="text1"/>
          <w:sz w:val="20"/>
          <w:szCs w:val="20"/>
        </w:rPr>
        <w:t>p</w:t>
      </w:r>
      <w:r w:rsidRPr="0098635C">
        <w:rPr>
          <w:color w:val="000000" w:themeColor="text1"/>
          <w:sz w:val="20"/>
          <w:szCs w:val="20"/>
        </w:rPr>
        <w:t xml:space="preserve">owders and </w:t>
      </w:r>
      <w:r w:rsidR="00CD0FA6" w:rsidRPr="0098635C">
        <w:rPr>
          <w:color w:val="000000" w:themeColor="text1"/>
          <w:sz w:val="20"/>
          <w:szCs w:val="20"/>
        </w:rPr>
        <w:t>c</w:t>
      </w:r>
      <w:r w:rsidRPr="0098635C">
        <w:rPr>
          <w:color w:val="000000" w:themeColor="text1"/>
          <w:sz w:val="20"/>
          <w:szCs w:val="20"/>
        </w:rPr>
        <w:t xml:space="preserve">opper </w:t>
      </w:r>
      <w:r w:rsidR="00CD0FA6" w:rsidRPr="0098635C">
        <w:rPr>
          <w:color w:val="000000" w:themeColor="text1"/>
          <w:sz w:val="20"/>
          <w:szCs w:val="20"/>
        </w:rPr>
        <w:t>c</w:t>
      </w:r>
      <w:r w:rsidRPr="0098635C">
        <w:rPr>
          <w:color w:val="000000" w:themeColor="text1"/>
          <w:sz w:val="20"/>
          <w:szCs w:val="20"/>
        </w:rPr>
        <w:t xml:space="preserve">hemicals. For melting and casting of billets and further processing, respirable copper as a function of total copper </w:t>
      </w:r>
      <w:r w:rsidRPr="0098635C">
        <w:rPr>
          <w:color w:val="000000" w:themeColor="text1"/>
          <w:sz w:val="20"/>
          <w:szCs w:val="20"/>
        </w:rPr>
        <w:lastRenderedPageBreak/>
        <w:t>ranges from 6-25% with a median value of 9%. For smelting a single value of 13% is given while for non-foundry operations in the manufacture of copper powders the single value of 4%</w:t>
      </w:r>
      <w:r w:rsidR="009871F0" w:rsidRPr="0098635C">
        <w:rPr>
          <w:color w:val="000000" w:themeColor="text1"/>
          <w:sz w:val="20"/>
          <w:szCs w:val="20"/>
        </w:rPr>
        <w:t xml:space="preserve"> is proposed</w:t>
      </w:r>
      <w:r w:rsidRPr="0098635C">
        <w:rPr>
          <w:color w:val="000000" w:themeColor="text1"/>
          <w:sz w:val="20"/>
          <w:szCs w:val="20"/>
        </w:rPr>
        <w:t>.</w:t>
      </w:r>
    </w:p>
    <w:p w14:paraId="727AEFA6" w14:textId="6395925E" w:rsidR="00F705BD" w:rsidRPr="0098635C" w:rsidRDefault="00F705BD" w:rsidP="00392FC6">
      <w:pPr>
        <w:pStyle w:val="Heading2"/>
        <w:numPr>
          <w:ilvl w:val="0"/>
          <w:numId w:val="0"/>
        </w:numPr>
        <w:ind w:left="839" w:hanging="839"/>
        <w:rPr>
          <w:color w:val="000000" w:themeColor="text1"/>
          <w:sz w:val="20"/>
        </w:rPr>
      </w:pPr>
      <w:bookmarkStart w:id="144" w:name="_Toc471999419"/>
      <w:bookmarkStart w:id="145" w:name="_Toc472250862"/>
      <w:r w:rsidRPr="0098635C">
        <w:rPr>
          <w:color w:val="000000" w:themeColor="text1"/>
          <w:sz w:val="20"/>
        </w:rPr>
        <w:t>2.3.2 Consumer exposure</w:t>
      </w:r>
      <w:bookmarkEnd w:id="144"/>
      <w:bookmarkEnd w:id="145"/>
      <w:r w:rsidRPr="0098635C" w:rsidDel="00317CA4">
        <w:rPr>
          <w:color w:val="000000" w:themeColor="text1"/>
          <w:sz w:val="20"/>
        </w:rPr>
        <w:t xml:space="preserve"> </w:t>
      </w:r>
    </w:p>
    <w:p w14:paraId="4269DE2B" w14:textId="4ABB3588" w:rsidR="00126E92" w:rsidRPr="0098635C" w:rsidRDefault="00126E92" w:rsidP="00126E92">
      <w:pPr>
        <w:rPr>
          <w:color w:val="000000" w:themeColor="text1"/>
          <w:sz w:val="20"/>
          <w:szCs w:val="20"/>
        </w:rPr>
      </w:pPr>
      <w:r w:rsidRPr="0098635C">
        <w:rPr>
          <w:color w:val="000000" w:themeColor="text1"/>
          <w:sz w:val="20"/>
          <w:szCs w:val="20"/>
        </w:rPr>
        <w:t>Consumer exposure to copper may occur via dermal or oral routes or via inhalation. Dermal expo-sure occurs mainly through the use of toiletries and cosmetics, face cream and hair care products, through coin handling or jewelry. Additional dermal exposure is possible from the use of special paints or from copper containing wood preservatives and pesticides. Oral exposure (other than from food and water) occurs in particular by ingestion of dietary supplements containing copper, inhalation exposure occurs through cigarette smoke. Internal exposure may also occur with the use of intra-uterine devices.</w:t>
      </w:r>
      <w:r w:rsidR="00DC53C9" w:rsidRPr="0098635C">
        <w:rPr>
          <w:color w:val="000000" w:themeColor="text1"/>
          <w:sz w:val="20"/>
          <w:szCs w:val="20"/>
        </w:rPr>
        <w:t xml:space="preserve"> The contribution of inhaled air/dust is generally neglible.</w:t>
      </w:r>
    </w:p>
    <w:p w14:paraId="727CFD4C" w14:textId="77777777" w:rsidR="00126E92" w:rsidRPr="0098635C" w:rsidRDefault="00126E92" w:rsidP="00126E92">
      <w:pPr>
        <w:rPr>
          <w:color w:val="000000" w:themeColor="text1"/>
          <w:sz w:val="20"/>
          <w:szCs w:val="20"/>
          <w:u w:val="single"/>
        </w:rPr>
      </w:pPr>
      <w:r w:rsidRPr="0098635C">
        <w:rPr>
          <w:color w:val="000000" w:themeColor="text1"/>
          <w:sz w:val="20"/>
          <w:szCs w:val="20"/>
          <w:u w:val="single"/>
        </w:rPr>
        <w:t xml:space="preserve">Dermal route </w:t>
      </w:r>
    </w:p>
    <w:p w14:paraId="400E391B" w14:textId="77777777" w:rsidR="00126E92" w:rsidRPr="0098635C" w:rsidRDefault="00126E92" w:rsidP="0059369A">
      <w:pPr>
        <w:pStyle w:val="ListParagraph"/>
        <w:numPr>
          <w:ilvl w:val="0"/>
          <w:numId w:val="14"/>
        </w:numPr>
        <w:spacing w:before="120"/>
        <w:rPr>
          <w:color w:val="000000" w:themeColor="text1"/>
          <w:sz w:val="20"/>
          <w:szCs w:val="20"/>
        </w:rPr>
      </w:pPr>
      <w:r w:rsidRPr="0098635C">
        <w:rPr>
          <w:color w:val="000000" w:themeColor="text1"/>
          <w:sz w:val="20"/>
          <w:szCs w:val="20"/>
        </w:rPr>
        <w:t>Use of face cream and hair care products</w:t>
      </w:r>
    </w:p>
    <w:p w14:paraId="7CB19B3E" w14:textId="77777777" w:rsidR="00126E92" w:rsidRPr="0098635C" w:rsidRDefault="00126E92" w:rsidP="0059369A">
      <w:pPr>
        <w:pStyle w:val="ListParagraph"/>
        <w:numPr>
          <w:ilvl w:val="0"/>
          <w:numId w:val="14"/>
        </w:numPr>
        <w:spacing w:before="120"/>
        <w:rPr>
          <w:color w:val="000000" w:themeColor="text1"/>
          <w:sz w:val="20"/>
          <w:szCs w:val="20"/>
        </w:rPr>
      </w:pPr>
      <w:r w:rsidRPr="0098635C">
        <w:rPr>
          <w:color w:val="000000" w:themeColor="text1"/>
          <w:sz w:val="20"/>
          <w:szCs w:val="20"/>
        </w:rPr>
        <w:t>Wearing of jewellery</w:t>
      </w:r>
    </w:p>
    <w:p w14:paraId="449DA2F1" w14:textId="77777777" w:rsidR="00126E92" w:rsidRPr="0098635C" w:rsidRDefault="00126E92" w:rsidP="0059369A">
      <w:pPr>
        <w:pStyle w:val="ListParagraph"/>
        <w:numPr>
          <w:ilvl w:val="0"/>
          <w:numId w:val="14"/>
        </w:numPr>
        <w:spacing w:before="120"/>
        <w:rPr>
          <w:color w:val="000000" w:themeColor="text1"/>
          <w:sz w:val="20"/>
          <w:szCs w:val="20"/>
        </w:rPr>
      </w:pPr>
      <w:r w:rsidRPr="0098635C">
        <w:rPr>
          <w:color w:val="000000" w:themeColor="text1"/>
          <w:sz w:val="20"/>
          <w:szCs w:val="20"/>
        </w:rPr>
        <w:t>Handling of coins</w:t>
      </w:r>
    </w:p>
    <w:p w14:paraId="6E80D67B" w14:textId="77777777" w:rsidR="00126E92" w:rsidRPr="0098635C" w:rsidRDefault="00126E92" w:rsidP="0059369A">
      <w:pPr>
        <w:pStyle w:val="ListParagraph"/>
        <w:numPr>
          <w:ilvl w:val="0"/>
          <w:numId w:val="14"/>
        </w:numPr>
        <w:spacing w:before="120"/>
        <w:rPr>
          <w:color w:val="000000" w:themeColor="text1"/>
          <w:sz w:val="20"/>
          <w:szCs w:val="20"/>
        </w:rPr>
      </w:pPr>
      <w:r w:rsidRPr="0098635C">
        <w:rPr>
          <w:color w:val="000000" w:themeColor="text1"/>
          <w:sz w:val="20"/>
          <w:szCs w:val="20"/>
        </w:rPr>
        <w:t>Use of special paints</w:t>
      </w:r>
    </w:p>
    <w:p w14:paraId="5FB13234" w14:textId="77777777" w:rsidR="00126E92" w:rsidRPr="0098635C" w:rsidRDefault="00126E92" w:rsidP="0059369A">
      <w:pPr>
        <w:pStyle w:val="ListParagraph"/>
        <w:numPr>
          <w:ilvl w:val="0"/>
          <w:numId w:val="14"/>
        </w:numPr>
        <w:spacing w:before="120"/>
        <w:rPr>
          <w:color w:val="000000" w:themeColor="text1"/>
          <w:sz w:val="20"/>
          <w:szCs w:val="20"/>
        </w:rPr>
      </w:pPr>
      <w:r w:rsidRPr="0098635C">
        <w:rPr>
          <w:color w:val="000000" w:themeColor="text1"/>
          <w:sz w:val="20"/>
          <w:szCs w:val="20"/>
        </w:rPr>
        <w:t>Copper-containing wood preservatives</w:t>
      </w:r>
    </w:p>
    <w:p w14:paraId="2BDFE91B" w14:textId="77777777" w:rsidR="00126E92" w:rsidRPr="0098635C" w:rsidRDefault="00126E92" w:rsidP="0059369A">
      <w:pPr>
        <w:pStyle w:val="ListParagraph"/>
        <w:numPr>
          <w:ilvl w:val="0"/>
          <w:numId w:val="14"/>
        </w:numPr>
        <w:spacing w:before="120"/>
        <w:rPr>
          <w:color w:val="000000" w:themeColor="text1"/>
          <w:sz w:val="20"/>
          <w:szCs w:val="20"/>
        </w:rPr>
      </w:pPr>
      <w:r w:rsidRPr="0098635C">
        <w:rPr>
          <w:color w:val="000000" w:themeColor="text1"/>
          <w:sz w:val="20"/>
          <w:szCs w:val="20"/>
        </w:rPr>
        <w:t>Pesticides</w:t>
      </w:r>
    </w:p>
    <w:p w14:paraId="47FE8015" w14:textId="77777777" w:rsidR="00126E92" w:rsidRPr="0098635C" w:rsidRDefault="00126E92" w:rsidP="00126E92">
      <w:pPr>
        <w:rPr>
          <w:color w:val="000000" w:themeColor="text1"/>
          <w:sz w:val="20"/>
          <w:szCs w:val="20"/>
          <w:u w:val="single"/>
        </w:rPr>
      </w:pPr>
      <w:r w:rsidRPr="0098635C">
        <w:rPr>
          <w:color w:val="000000" w:themeColor="text1"/>
          <w:sz w:val="20"/>
          <w:szCs w:val="20"/>
          <w:u w:val="single"/>
        </w:rPr>
        <w:t xml:space="preserve">Inhalation route </w:t>
      </w:r>
    </w:p>
    <w:p w14:paraId="73F6AE0C" w14:textId="33DC0B86" w:rsidR="00DC53C9" w:rsidRPr="0098635C" w:rsidRDefault="00126E92" w:rsidP="0059369A">
      <w:pPr>
        <w:pStyle w:val="ListParagraph"/>
        <w:numPr>
          <w:ilvl w:val="0"/>
          <w:numId w:val="15"/>
        </w:numPr>
        <w:spacing w:before="120"/>
        <w:rPr>
          <w:color w:val="000000" w:themeColor="text1"/>
          <w:sz w:val="20"/>
          <w:szCs w:val="20"/>
        </w:rPr>
      </w:pPr>
      <w:r w:rsidRPr="0098635C">
        <w:rPr>
          <w:color w:val="000000" w:themeColor="text1"/>
          <w:sz w:val="20"/>
          <w:szCs w:val="20"/>
        </w:rPr>
        <w:t>Cigarette smoke</w:t>
      </w:r>
    </w:p>
    <w:p w14:paraId="3C1DA4A0" w14:textId="77777777" w:rsidR="00126E92" w:rsidRPr="0098635C" w:rsidRDefault="00126E92" w:rsidP="00126E92">
      <w:pPr>
        <w:rPr>
          <w:color w:val="000000" w:themeColor="text1"/>
          <w:sz w:val="20"/>
          <w:szCs w:val="20"/>
          <w:u w:val="single"/>
        </w:rPr>
      </w:pPr>
      <w:r w:rsidRPr="0098635C">
        <w:rPr>
          <w:color w:val="000000" w:themeColor="text1"/>
          <w:sz w:val="20"/>
          <w:szCs w:val="20"/>
          <w:u w:val="single"/>
        </w:rPr>
        <w:t xml:space="preserve">Oral route (other than food and water) </w:t>
      </w:r>
    </w:p>
    <w:p w14:paraId="6215AB31" w14:textId="02E9A2AA" w:rsidR="00126E92" w:rsidRPr="0098635C" w:rsidRDefault="00126E92" w:rsidP="0059369A">
      <w:pPr>
        <w:pStyle w:val="ListParagraph"/>
        <w:numPr>
          <w:ilvl w:val="0"/>
          <w:numId w:val="15"/>
        </w:numPr>
        <w:spacing w:before="120"/>
        <w:rPr>
          <w:color w:val="000000" w:themeColor="text1"/>
          <w:sz w:val="20"/>
          <w:szCs w:val="20"/>
        </w:rPr>
      </w:pPr>
      <w:r w:rsidRPr="0098635C">
        <w:rPr>
          <w:color w:val="000000" w:themeColor="text1"/>
          <w:sz w:val="20"/>
          <w:szCs w:val="20"/>
        </w:rPr>
        <w:t>Dietary supplements containing copper</w:t>
      </w:r>
    </w:p>
    <w:p w14:paraId="74555EE0" w14:textId="77777777" w:rsidR="000E585B" w:rsidRPr="0098635C" w:rsidRDefault="00576A91" w:rsidP="000B6432">
      <w:pPr>
        <w:pStyle w:val="Heading1"/>
        <w:rPr>
          <w:color w:val="000000" w:themeColor="text1"/>
          <w:sz w:val="20"/>
        </w:rPr>
      </w:pPr>
      <w:bookmarkStart w:id="146" w:name="_Toc32726027"/>
      <w:bookmarkStart w:id="147" w:name="_Toc32727210"/>
      <w:bookmarkStart w:id="148" w:name="_Toc43868658"/>
      <w:bookmarkStart w:id="149" w:name="_Toc200358246"/>
      <w:bookmarkStart w:id="150" w:name="_Toc200359262"/>
      <w:bookmarkStart w:id="151" w:name="_Toc471999420"/>
      <w:bookmarkStart w:id="152" w:name="_Toc472250863"/>
      <w:r w:rsidRPr="0098635C">
        <w:rPr>
          <w:color w:val="000000" w:themeColor="text1"/>
          <w:sz w:val="20"/>
        </w:rPr>
        <w:t>human health hazards</w:t>
      </w:r>
      <w:bookmarkEnd w:id="146"/>
      <w:bookmarkEnd w:id="147"/>
      <w:bookmarkEnd w:id="148"/>
      <w:bookmarkEnd w:id="149"/>
      <w:bookmarkEnd w:id="150"/>
      <w:bookmarkEnd w:id="151"/>
      <w:bookmarkEnd w:id="152"/>
    </w:p>
    <w:p w14:paraId="0A259CAF" w14:textId="77777777" w:rsidR="008D1AE9" w:rsidRPr="0098635C" w:rsidRDefault="008D1AE9" w:rsidP="008D1AE9">
      <w:pPr>
        <w:pStyle w:val="BodyText"/>
        <w:rPr>
          <w:color w:val="000000" w:themeColor="text1"/>
          <w:sz w:val="20"/>
        </w:rPr>
      </w:pPr>
      <w:r w:rsidRPr="0098635C">
        <w:rPr>
          <w:color w:val="000000" w:themeColor="text1"/>
          <w:sz w:val="20"/>
        </w:rPr>
        <w:t>Copper is an essential micronutrient, needed for optimal growth and development of microorganisms, plants, animals and humans. In the regulatory role they are an essential part of metalloenzymes, acting either as electron donors or acceptors at the active site, or by shaping the enzyme to the configuration necessary for its activity. Copper is also involved in the reactions and functions of many enzymes, including angiogenesis, neurohormone release, oxygen transport and regulation of genetic expression. Furthermore, copper is an allosteric component of several enzymes that have oxidation and reduction activity, functioning as an electron transfer intermediate in redox reactions.</w:t>
      </w:r>
    </w:p>
    <w:p w14:paraId="0D543422" w14:textId="693C06B8" w:rsidR="00EC2874" w:rsidRPr="0098635C" w:rsidRDefault="008D1AE9" w:rsidP="008D1AE9">
      <w:pPr>
        <w:pStyle w:val="BodyText"/>
        <w:rPr>
          <w:color w:val="000000" w:themeColor="text1"/>
          <w:sz w:val="20"/>
        </w:rPr>
      </w:pPr>
      <w:r w:rsidRPr="0098635C">
        <w:rPr>
          <w:color w:val="000000" w:themeColor="text1"/>
          <w:sz w:val="20"/>
        </w:rPr>
        <w:t>NOTE: There are many studies in the public domain dealing with the repeat and chronic toxicity of copper compounds to several animal species. However, these studies do not meet the higher quality criteria and will therefore not be described in this report.</w:t>
      </w:r>
      <w:r w:rsidR="00EC2874" w:rsidRPr="0098635C">
        <w:rPr>
          <w:color w:val="000000" w:themeColor="text1"/>
          <w:sz w:val="20"/>
        </w:rPr>
        <w:t xml:space="preserve"> </w:t>
      </w:r>
    </w:p>
    <w:p w14:paraId="1F4CF8B3" w14:textId="77777777" w:rsidR="008D1AE9" w:rsidRPr="0098635C" w:rsidRDefault="008D1AE9" w:rsidP="008D1AE9">
      <w:pPr>
        <w:pStyle w:val="Heading2"/>
        <w:rPr>
          <w:color w:val="000000" w:themeColor="text1"/>
          <w:sz w:val="20"/>
        </w:rPr>
      </w:pPr>
      <w:bookmarkStart w:id="153" w:name="_Toc32726028"/>
      <w:bookmarkStart w:id="154" w:name="_Toc32727211"/>
      <w:bookmarkStart w:id="155" w:name="_Toc43868659"/>
      <w:bookmarkStart w:id="156" w:name="_Toc200358247"/>
      <w:bookmarkStart w:id="157" w:name="_Toc200359263"/>
      <w:bookmarkStart w:id="158" w:name="_Toc260063676"/>
      <w:bookmarkStart w:id="159" w:name="_Toc471999421"/>
      <w:bookmarkStart w:id="160" w:name="_Toc472250864"/>
      <w:r w:rsidRPr="0098635C">
        <w:rPr>
          <w:color w:val="000000" w:themeColor="text1"/>
          <w:sz w:val="20"/>
        </w:rPr>
        <w:t>Effects on Human Health</w:t>
      </w:r>
      <w:bookmarkEnd w:id="153"/>
      <w:bookmarkEnd w:id="154"/>
      <w:bookmarkEnd w:id="155"/>
      <w:bookmarkEnd w:id="156"/>
      <w:bookmarkEnd w:id="157"/>
      <w:bookmarkEnd w:id="158"/>
      <w:bookmarkEnd w:id="159"/>
      <w:bookmarkEnd w:id="160"/>
    </w:p>
    <w:p w14:paraId="66EDB50E" w14:textId="77777777" w:rsidR="008D1AE9" w:rsidRPr="0098635C" w:rsidRDefault="008D1AE9" w:rsidP="008D1AE9">
      <w:pPr>
        <w:pStyle w:val="BodyText"/>
        <w:rPr>
          <w:color w:val="000000" w:themeColor="text1"/>
          <w:sz w:val="20"/>
        </w:rPr>
      </w:pPr>
      <w:r w:rsidRPr="0098635C">
        <w:rPr>
          <w:color w:val="000000" w:themeColor="text1"/>
          <w:sz w:val="20"/>
        </w:rPr>
        <w:t>Copper is an essential trace element and its toxicokinetics are regulated by homeostasis. A review of copper toxicokinetics therefore requires consideration of the essentiality of copper and the mechanisms of copper homeostasis. The database on copper toxicokinetics is extensive. Studies included in this section were selected on the basis of (1) relevance to human health and (2) providing relevant information on current understanding of copper toxicokinetics and copper homeostasis.</w:t>
      </w:r>
    </w:p>
    <w:p w14:paraId="4847C59C" w14:textId="77777777" w:rsidR="008D1AE9" w:rsidRPr="0098635C" w:rsidRDefault="008D1AE9" w:rsidP="008D1AE9">
      <w:pPr>
        <w:pStyle w:val="Heading3"/>
        <w:rPr>
          <w:color w:val="000000" w:themeColor="text1"/>
          <w:sz w:val="20"/>
        </w:rPr>
      </w:pPr>
      <w:bookmarkStart w:id="161" w:name="_Toc32726029"/>
      <w:bookmarkStart w:id="162" w:name="_Toc32727212"/>
      <w:bookmarkStart w:id="163" w:name="_Toc43868660"/>
      <w:bookmarkStart w:id="164" w:name="_Toc200358248"/>
      <w:bookmarkStart w:id="165" w:name="_Toc200359264"/>
      <w:bookmarkStart w:id="166" w:name="_Toc260063677"/>
      <w:bookmarkStart w:id="167" w:name="_Toc471999422"/>
      <w:bookmarkStart w:id="168" w:name="_Toc472250865"/>
      <w:r w:rsidRPr="0098635C">
        <w:rPr>
          <w:color w:val="000000" w:themeColor="text1"/>
          <w:sz w:val="20"/>
        </w:rPr>
        <w:t>Toxicokinetics</w:t>
      </w:r>
      <w:bookmarkEnd w:id="161"/>
      <w:bookmarkEnd w:id="162"/>
      <w:bookmarkEnd w:id="163"/>
      <w:bookmarkEnd w:id="164"/>
      <w:bookmarkEnd w:id="165"/>
      <w:bookmarkEnd w:id="166"/>
      <w:bookmarkEnd w:id="167"/>
      <w:bookmarkEnd w:id="168"/>
      <w:r w:rsidRPr="0098635C">
        <w:rPr>
          <w:color w:val="000000" w:themeColor="text1"/>
          <w:sz w:val="20"/>
        </w:rPr>
        <w:t xml:space="preserve"> </w:t>
      </w:r>
    </w:p>
    <w:p w14:paraId="0474BE41" w14:textId="571A436B" w:rsidR="008D1AE9" w:rsidRPr="0098635C" w:rsidRDefault="008D1AE9" w:rsidP="008D1AE9">
      <w:pPr>
        <w:rPr>
          <w:color w:val="000000" w:themeColor="text1"/>
          <w:sz w:val="20"/>
          <w:szCs w:val="20"/>
        </w:rPr>
      </w:pPr>
      <w:r w:rsidRPr="0098635C">
        <w:rPr>
          <w:color w:val="000000" w:themeColor="text1"/>
          <w:sz w:val="20"/>
          <w:szCs w:val="20"/>
        </w:rPr>
        <w:t>The toxicokinetics of essential elements such as copper are regulated to a large degree by homeostatic mechanisms. Homeostasis can be described as the maintenance of a constant internal environment in response to changes in internal and external environments. Homeostatic maintenance requires the tightly coordinated control of copper uptake, distribution and efflux in cells and the organism as a whole. As a result of the presence of a homeostatic mechanism for copper, rat and human metabolism of copper are very similar and are therefore discussed together in the following sections.</w:t>
      </w:r>
    </w:p>
    <w:p w14:paraId="0DB36928" w14:textId="77777777" w:rsidR="008D1AE9" w:rsidRPr="0098635C" w:rsidRDefault="008D1AE9" w:rsidP="008D1AE9">
      <w:pPr>
        <w:pStyle w:val="BodyText"/>
        <w:rPr>
          <w:color w:val="000000" w:themeColor="text1"/>
          <w:sz w:val="20"/>
        </w:rPr>
      </w:pPr>
      <w:r w:rsidRPr="0098635C">
        <w:rPr>
          <w:color w:val="000000" w:themeColor="text1"/>
          <w:sz w:val="20"/>
        </w:rPr>
        <w:lastRenderedPageBreak/>
        <w:t>Most of the data on toxicokinetics comes from studies in which copper was administered as copper sulphate, the most soluble of the copper substances. Read-across from copper sulphate to other less soluble substances is a conservative approach that may result in over-estimation of effects for poorly soluble substances.</w:t>
      </w:r>
    </w:p>
    <w:p w14:paraId="36D5D715" w14:textId="77777777" w:rsidR="008D1AE9" w:rsidRPr="0098635C" w:rsidRDefault="008D1AE9" w:rsidP="00D92F22">
      <w:pPr>
        <w:pStyle w:val="Heading4"/>
        <w:rPr>
          <w:color w:val="000000" w:themeColor="text1"/>
          <w:sz w:val="20"/>
        </w:rPr>
      </w:pPr>
      <w:bookmarkStart w:id="169" w:name="_Toc90773449"/>
      <w:bookmarkStart w:id="170" w:name="_Toc168373857"/>
      <w:r w:rsidRPr="0098635C">
        <w:rPr>
          <w:color w:val="000000" w:themeColor="text1"/>
          <w:sz w:val="20"/>
        </w:rPr>
        <w:t>Essentiality and homeostasis</w:t>
      </w:r>
      <w:bookmarkEnd w:id="169"/>
      <w:bookmarkEnd w:id="170"/>
    </w:p>
    <w:p w14:paraId="44A91945" w14:textId="6E7D367C" w:rsidR="008D1AE9" w:rsidRPr="0098635C" w:rsidRDefault="008D1AE9" w:rsidP="008D1AE9">
      <w:pPr>
        <w:pStyle w:val="BodyText"/>
        <w:rPr>
          <w:color w:val="000000" w:themeColor="text1"/>
          <w:sz w:val="20"/>
        </w:rPr>
      </w:pPr>
      <w:r w:rsidRPr="0098635C">
        <w:rPr>
          <w:color w:val="000000" w:themeColor="text1"/>
          <w:sz w:val="20"/>
        </w:rPr>
        <w:t xml:space="preserve">Copper is an essential metal present in human body tissues and fluids at concentrations of parts per million or parts per billion. In common with other trace metals, copper has a number of physiological roles that may be classified as regulatory, structural and protective. In the regulatory role they are an essential part of metalloenzymes, acting either as electron donors or acceptors at the active site (key role in fundamental redox-reactions), or by shaping the enzyme to the configuration necessary for its activity. </w:t>
      </w:r>
      <w:r w:rsidRPr="0098635C">
        <w:rPr>
          <w:color w:val="000000" w:themeColor="text1"/>
          <w:sz w:val="20"/>
          <w:lang w:val="nl-BE"/>
        </w:rPr>
        <w:t>(Linder and Hazagh-Azam, 1996; Lind</w:t>
      </w:r>
      <w:r w:rsidR="00144950" w:rsidRPr="0098635C">
        <w:rPr>
          <w:color w:val="000000" w:themeColor="text1"/>
          <w:sz w:val="20"/>
          <w:lang w:val="nl-BE"/>
        </w:rPr>
        <w:t>ley 2000; Goldstein et al, 1979; Bordo et al., 2001</w:t>
      </w:r>
      <w:r w:rsidRPr="0098635C">
        <w:rPr>
          <w:color w:val="000000" w:themeColor="text1"/>
          <w:sz w:val="20"/>
          <w:lang w:val="nl-BE"/>
        </w:rPr>
        <w:t xml:space="preserve">; Opsahl et al, 1982; IPCS 1998). </w:t>
      </w:r>
      <w:r w:rsidRPr="0098635C">
        <w:rPr>
          <w:color w:val="000000" w:themeColor="text1"/>
          <w:sz w:val="20"/>
        </w:rPr>
        <w:t>The structural functions of trace metals may be in, for example, membrane integrity or bone structure, and the protective function may involve antioxidant defence or the immune system. Copper is involved in the reactions and functions of many enzymes, including angiogenesis, neurohormone release, oxygen transport and regulation of genetic expression. Copper is an allosteric component of several enzymes that have oxidation and reduction activity, functioning as an electron transfer intermediate in redox reactions.</w:t>
      </w:r>
    </w:p>
    <w:p w14:paraId="263B4156" w14:textId="77777777" w:rsidR="008D1AE9" w:rsidRPr="0098635C" w:rsidRDefault="008D1AE9" w:rsidP="008D1AE9">
      <w:pPr>
        <w:pStyle w:val="BodyText"/>
        <w:rPr>
          <w:color w:val="000000" w:themeColor="text1"/>
          <w:sz w:val="20"/>
        </w:rPr>
      </w:pPr>
      <w:r w:rsidRPr="0098635C">
        <w:rPr>
          <w:color w:val="000000" w:themeColor="text1"/>
          <w:sz w:val="20"/>
        </w:rPr>
        <w:t xml:space="preserve">Major homeostatic control mechanisms, which help to maintain a constant internal environment in response to changes in internal and external environments, involve a regulatory loop between gastrointestinal absorption and biliary excretion via first-pass metabolism in the liver. Because of the homeostatis of body copper, indices of copper status remain stable except under extreme exposure conditions. Since copper is an essential trace element, it is necessary for the maintenance of health and an adequate dietary intake is needed to meet nutritional requirements. Studies conducted in young, healthy adult male volunteers indicate that a dietary intake of 1 mg Cu/day is sufficient to maintain copper balance and normal levels of some cuproenzymes and putative markers of copper status. With regard to chronic copper deficiency, a range of adverse outcomes has been demonstrated in animal studies including anaemia, neutropenia, bone abnormalities, neurological and cardiovascular effects. There are a number of hereditary diseases, which are a result of disorders in copper homeostasis. These diseases are rare and include Menkes disease, a deficiency disorder, and Wilson disease, a toxicity disorder (Mercer et al, 1993; Bull et al, 1993).  </w:t>
      </w:r>
    </w:p>
    <w:p w14:paraId="4A464ED7" w14:textId="471A3720" w:rsidR="008D1AE9" w:rsidRPr="0098635C" w:rsidRDefault="008D1AE9" w:rsidP="008D1AE9">
      <w:pPr>
        <w:pStyle w:val="Heading4"/>
        <w:rPr>
          <w:color w:val="000000" w:themeColor="text1"/>
          <w:sz w:val="20"/>
        </w:rPr>
      </w:pPr>
      <w:bookmarkStart w:id="171" w:name="_Ref260062329"/>
      <w:r w:rsidRPr="0098635C">
        <w:rPr>
          <w:color w:val="000000" w:themeColor="text1"/>
          <w:sz w:val="20"/>
        </w:rPr>
        <w:t xml:space="preserve">Oral </w:t>
      </w:r>
      <w:bookmarkEnd w:id="171"/>
      <w:r w:rsidR="00C36182" w:rsidRPr="0098635C">
        <w:rPr>
          <w:color w:val="000000" w:themeColor="text1"/>
          <w:sz w:val="20"/>
        </w:rPr>
        <w:t>absorption</w:t>
      </w:r>
    </w:p>
    <w:p w14:paraId="064B7CB4" w14:textId="77777777" w:rsidR="008D1AE9" w:rsidRPr="0098635C" w:rsidRDefault="008D1AE9" w:rsidP="008D1AE9">
      <w:pPr>
        <w:rPr>
          <w:i/>
          <w:color w:val="000000" w:themeColor="text1"/>
          <w:sz w:val="20"/>
          <w:szCs w:val="20"/>
        </w:rPr>
      </w:pPr>
      <w:r w:rsidRPr="0098635C">
        <w:rPr>
          <w:i/>
          <w:color w:val="000000" w:themeColor="text1"/>
          <w:sz w:val="20"/>
          <w:szCs w:val="20"/>
        </w:rPr>
        <w:t>In vivo studies in animals</w:t>
      </w:r>
    </w:p>
    <w:p w14:paraId="18FBBCC4" w14:textId="38013FBE" w:rsidR="008D1AE9" w:rsidRPr="0098635C" w:rsidRDefault="008D1AE9" w:rsidP="008D1AE9">
      <w:pPr>
        <w:pStyle w:val="BodyText"/>
        <w:spacing w:before="240"/>
        <w:rPr>
          <w:color w:val="000000" w:themeColor="text1"/>
          <w:sz w:val="20"/>
        </w:rPr>
      </w:pPr>
      <w:r w:rsidRPr="0098635C">
        <w:rPr>
          <w:color w:val="000000" w:themeColor="text1"/>
          <w:sz w:val="20"/>
        </w:rPr>
        <w:t xml:space="preserve">A large quantity of oral absorption data are available for animals, specifically rats, and humans. Most reliable data are shown in </w:t>
      </w:r>
      <w:r w:rsidR="00E230FB" w:rsidRPr="0098635C">
        <w:rPr>
          <w:color w:val="000000" w:themeColor="text1"/>
          <w:sz w:val="20"/>
        </w:rPr>
        <w:fldChar w:fldCharType="begin"/>
      </w:r>
      <w:r w:rsidRPr="0098635C">
        <w:rPr>
          <w:color w:val="000000" w:themeColor="text1"/>
          <w:sz w:val="20"/>
        </w:rPr>
        <w:instrText xml:space="preserve"> REF _Ref257292616 \h </w:instrText>
      </w:r>
      <w:r w:rsidR="000E466E" w:rsidRPr="0098635C">
        <w:rPr>
          <w:b/>
          <w:color w:val="000000" w:themeColor="text1"/>
          <w:sz w:val="20"/>
        </w:rPr>
        <w:instrText xml:space="preserve"> \* MERGEFORMAT </w:instrText>
      </w:r>
      <w:r w:rsidR="00E230FB" w:rsidRPr="0098635C">
        <w:rPr>
          <w:color w:val="000000" w:themeColor="text1"/>
          <w:sz w:val="20"/>
        </w:rPr>
      </w:r>
      <w:r w:rsidR="00E230FB" w:rsidRPr="0098635C">
        <w:rPr>
          <w:color w:val="000000" w:themeColor="text1"/>
          <w:sz w:val="20"/>
        </w:rPr>
        <w:fldChar w:fldCharType="separate"/>
      </w:r>
      <w:r w:rsidR="00A208E5" w:rsidRPr="0098635C">
        <w:rPr>
          <w:color w:val="000000" w:themeColor="text1"/>
          <w:sz w:val="20"/>
        </w:rPr>
        <w:t xml:space="preserve">Table </w:t>
      </w:r>
      <w:r w:rsidR="00A208E5" w:rsidRPr="0098635C">
        <w:rPr>
          <w:noProof/>
          <w:color w:val="000000" w:themeColor="text1"/>
          <w:sz w:val="20"/>
        </w:rPr>
        <w:t>4</w:t>
      </w:r>
      <w:r w:rsidR="00E230FB" w:rsidRPr="0098635C">
        <w:rPr>
          <w:color w:val="000000" w:themeColor="text1"/>
          <w:sz w:val="20"/>
        </w:rPr>
        <w:fldChar w:fldCharType="end"/>
      </w:r>
      <w:r w:rsidRPr="0098635C">
        <w:rPr>
          <w:color w:val="000000" w:themeColor="text1"/>
          <w:sz w:val="20"/>
        </w:rPr>
        <w:t xml:space="preserve">. Van den Berg et al (1994, 1995) reported reliable apparent and true absorption values for orally administered copper in rats. Somewhat less reliable absorption data for rats were reported by Johnson (1988); reported true absorption values related only to a 3-4 day period, which occurred several days after administration of </w:t>
      </w:r>
      <w:r w:rsidRPr="0098635C">
        <w:rPr>
          <w:color w:val="000000" w:themeColor="text1"/>
          <w:sz w:val="20"/>
          <w:vertAlign w:val="superscript"/>
        </w:rPr>
        <w:t>67</w:t>
      </w:r>
      <w:r w:rsidRPr="0098635C">
        <w:rPr>
          <w:color w:val="000000" w:themeColor="text1"/>
          <w:sz w:val="20"/>
        </w:rPr>
        <w:t xml:space="preserve">Cu and therefore may not reflect complete excretion of the administered copper. In addition, </w:t>
      </w:r>
      <w:r w:rsidRPr="0098635C">
        <w:rPr>
          <w:color w:val="000000" w:themeColor="text1"/>
          <w:sz w:val="20"/>
          <w:vertAlign w:val="superscript"/>
        </w:rPr>
        <w:t>67</w:t>
      </w:r>
      <w:r w:rsidRPr="0098635C">
        <w:rPr>
          <w:color w:val="000000" w:themeColor="text1"/>
          <w:sz w:val="20"/>
        </w:rPr>
        <w:t xml:space="preserve">Cu was administered via intramuscular injection which may represent different toxicokinetics. Apparent absorption data have been reported in different other animal studies (Wolf et al, 1998; Rimbach et al, 1995; Yu et al, 1994; Johnson &amp; Murphy, 1988; Johnson and Hove, 1986; Johnson and Flagg, 1986; Johnson and Gratzek, 1986; Johnson and Lee, 1988; Himmelstein, 2003). Overall the findings show that rats adjust to low copper diets by increasing absorption efficiency and reducing biliary excretion.  Increasing dietary copper levels are associated with decreased percentage absorption and increased faecal and endogenous excretion of copper. All these data enable an estimation of true absorption at the relatively high copper intakes used in toxicity studies (see </w:t>
      </w:r>
      <w:r w:rsidR="00E230FB" w:rsidRPr="0098635C">
        <w:rPr>
          <w:color w:val="000000" w:themeColor="text1"/>
          <w:sz w:val="20"/>
        </w:rPr>
        <w:fldChar w:fldCharType="begin"/>
      </w:r>
      <w:r w:rsidRPr="0098635C">
        <w:rPr>
          <w:color w:val="000000" w:themeColor="text1"/>
          <w:sz w:val="20"/>
        </w:rPr>
        <w:instrText xml:space="preserve"> REF _Ref260387809 \h </w:instrText>
      </w:r>
      <w:r w:rsidR="000E466E" w:rsidRPr="0098635C">
        <w:rPr>
          <w:b/>
          <w:color w:val="000000" w:themeColor="text1"/>
          <w:sz w:val="20"/>
        </w:rPr>
        <w:instrText xml:space="preserve"> \* MERGEFORMAT </w:instrText>
      </w:r>
      <w:r w:rsidR="00E230FB" w:rsidRPr="0098635C">
        <w:rPr>
          <w:color w:val="000000" w:themeColor="text1"/>
          <w:sz w:val="20"/>
        </w:rPr>
      </w:r>
      <w:r w:rsidR="00E230FB" w:rsidRPr="0098635C">
        <w:rPr>
          <w:color w:val="000000" w:themeColor="text1"/>
          <w:sz w:val="20"/>
        </w:rPr>
        <w:fldChar w:fldCharType="separate"/>
      </w:r>
      <w:r w:rsidR="00F2122A" w:rsidRPr="0098635C">
        <w:rPr>
          <w:color w:val="000000" w:themeColor="text1"/>
          <w:sz w:val="20"/>
        </w:rPr>
        <w:t xml:space="preserve">Figure </w:t>
      </w:r>
      <w:r w:rsidR="00F2122A" w:rsidRPr="0098635C">
        <w:rPr>
          <w:noProof/>
          <w:color w:val="000000" w:themeColor="text1"/>
          <w:sz w:val="20"/>
        </w:rPr>
        <w:t>6</w:t>
      </w:r>
      <w:r w:rsidR="00E230FB" w:rsidRPr="0098635C">
        <w:rPr>
          <w:color w:val="000000" w:themeColor="text1"/>
          <w:sz w:val="20"/>
        </w:rPr>
        <w:fldChar w:fldCharType="end"/>
      </w:r>
      <w:r w:rsidRPr="0098635C">
        <w:rPr>
          <w:color w:val="000000" w:themeColor="text1"/>
          <w:sz w:val="20"/>
        </w:rPr>
        <w:t>).</w:t>
      </w:r>
    </w:p>
    <w:p w14:paraId="0C856799" w14:textId="61314F69" w:rsidR="008D1AE9" w:rsidRPr="0098635C" w:rsidRDefault="008D1AE9" w:rsidP="008D1AE9">
      <w:pPr>
        <w:rPr>
          <w:color w:val="000000" w:themeColor="text1"/>
          <w:sz w:val="20"/>
          <w:szCs w:val="20"/>
        </w:rPr>
      </w:pPr>
      <w:r w:rsidRPr="0098635C">
        <w:rPr>
          <w:color w:val="000000" w:themeColor="text1"/>
          <w:sz w:val="20"/>
          <w:szCs w:val="20"/>
        </w:rPr>
        <w:t>True absorption was determined as there is a large quantity of data available on the absorption of copper in animals and humans, predominantly relating to oral exposure. In these studies, quantitative data on the a</w:t>
      </w:r>
      <w:r w:rsidR="002622B1" w:rsidRPr="0098635C">
        <w:rPr>
          <w:color w:val="000000" w:themeColor="text1"/>
          <w:sz w:val="20"/>
          <w:szCs w:val="20"/>
        </w:rPr>
        <w:t>b</w:t>
      </w:r>
      <w:r w:rsidRPr="0098635C">
        <w:rPr>
          <w:color w:val="000000" w:themeColor="text1"/>
          <w:sz w:val="20"/>
          <w:szCs w:val="20"/>
        </w:rPr>
        <w:t xml:space="preserve">sorption of copper have been based on faecal monitoring, as faecal excretion is the main excretory route for copper. In several of these studies, the amount absorbed has been determined as the difference between oral intake and faecal excretion. This absorption value represents a measure of apparent absorption only, as faecal copper does not distinguish between unabsorbed copper and endogenous copper losses. Endogenous copper losses may occur from (1) biliary excretion of systemically-absorbed copper that mixes with the endogenous pool and is subsequently excreted, and (2) the fraction absorbed by intestinal mucosa and subsequently eliminated into the GI tract as cells are sloughed off (i.e. without systemic absorption). Apparent absorption thus represents a somewhat crude measure of copper absorption. In order to measure true absorption, which provides a more accurate measure of copper absorption following oral exposure, the percentage of copper intake recovered in the faeces was corrected for endogenous copper losses. </w:t>
      </w:r>
    </w:p>
    <w:p w14:paraId="74E41B7D" w14:textId="77777777" w:rsidR="008D1AE9" w:rsidRPr="0098635C" w:rsidRDefault="008D1AE9" w:rsidP="00F67B0C">
      <w:pPr>
        <w:keepNext/>
        <w:jc w:val="center"/>
        <w:rPr>
          <w:color w:val="000000" w:themeColor="text1"/>
          <w:sz w:val="20"/>
          <w:szCs w:val="20"/>
        </w:rPr>
      </w:pPr>
      <w:r w:rsidRPr="0098635C">
        <w:rPr>
          <w:noProof/>
          <w:color w:val="000000" w:themeColor="text1"/>
          <w:sz w:val="20"/>
          <w:szCs w:val="20"/>
          <w:lang w:eastAsia="en-GB"/>
        </w:rPr>
        <w:lastRenderedPageBreak/>
        <w:drawing>
          <wp:inline distT="0" distB="0" distL="0" distR="0" wp14:anchorId="27A4CEBE" wp14:editId="789C1933">
            <wp:extent cx="3886623" cy="2284153"/>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86623" cy="2284153"/>
                    </a:xfrm>
                    <a:prstGeom prst="rect">
                      <a:avLst/>
                    </a:prstGeom>
                    <a:noFill/>
                    <a:ln>
                      <a:noFill/>
                    </a:ln>
                  </pic:spPr>
                </pic:pic>
              </a:graphicData>
            </a:graphic>
          </wp:inline>
        </w:drawing>
      </w:r>
    </w:p>
    <w:p w14:paraId="00A34D22" w14:textId="0087E154" w:rsidR="008D1AE9" w:rsidRPr="0098635C" w:rsidRDefault="008D1AE9" w:rsidP="00F67B0C">
      <w:pPr>
        <w:pStyle w:val="Caption"/>
        <w:ind w:left="0"/>
        <w:jc w:val="center"/>
        <w:rPr>
          <w:color w:val="000000" w:themeColor="text1"/>
          <w:sz w:val="20"/>
          <w:lang w:val="en-GB"/>
        </w:rPr>
      </w:pPr>
      <w:bookmarkStart w:id="172" w:name="_Ref260387809"/>
      <w:r w:rsidRPr="0098635C">
        <w:rPr>
          <w:b w:val="0"/>
          <w:color w:val="000000" w:themeColor="text1"/>
          <w:sz w:val="20"/>
        </w:rPr>
        <w:t xml:space="preserve">Figure </w:t>
      </w:r>
      <w:r w:rsidR="008D2151" w:rsidRPr="0098635C">
        <w:rPr>
          <w:b w:val="0"/>
          <w:color w:val="000000" w:themeColor="text1"/>
          <w:sz w:val="20"/>
        </w:rPr>
        <w:fldChar w:fldCharType="begin"/>
      </w:r>
      <w:r w:rsidR="008D2151" w:rsidRPr="0098635C">
        <w:rPr>
          <w:b w:val="0"/>
          <w:color w:val="000000" w:themeColor="text1"/>
          <w:sz w:val="20"/>
        </w:rPr>
        <w:instrText xml:space="preserve"> SEQ Figure \* ARABIC </w:instrText>
      </w:r>
      <w:r w:rsidR="008D2151" w:rsidRPr="0098635C">
        <w:rPr>
          <w:b w:val="0"/>
          <w:color w:val="000000" w:themeColor="text1"/>
          <w:sz w:val="20"/>
        </w:rPr>
        <w:fldChar w:fldCharType="separate"/>
      </w:r>
      <w:r w:rsidR="007A3E52" w:rsidRPr="0098635C">
        <w:rPr>
          <w:b w:val="0"/>
          <w:noProof/>
          <w:color w:val="000000" w:themeColor="text1"/>
          <w:sz w:val="20"/>
        </w:rPr>
        <w:t>6</w:t>
      </w:r>
      <w:r w:rsidR="008D2151" w:rsidRPr="0098635C">
        <w:rPr>
          <w:b w:val="0"/>
          <w:color w:val="000000" w:themeColor="text1"/>
          <w:sz w:val="20"/>
        </w:rPr>
        <w:fldChar w:fldCharType="end"/>
      </w:r>
      <w:bookmarkEnd w:id="172"/>
      <w:r w:rsidRPr="0098635C">
        <w:rPr>
          <w:b w:val="0"/>
          <w:color w:val="000000" w:themeColor="text1"/>
          <w:sz w:val="20"/>
        </w:rPr>
        <w:t xml:space="preserve">: </w:t>
      </w:r>
      <w:r w:rsidRPr="0098635C">
        <w:rPr>
          <w:b w:val="0"/>
          <w:color w:val="000000" w:themeColor="text1"/>
          <w:sz w:val="20"/>
          <w:lang w:val="en-GB"/>
        </w:rPr>
        <w:t>True absorption data from pooled animal studies (Van den Berg et al, 1994; Johnson, 1988; Van den Berg &amp; Benyen, 1992; Johnson &amp; Lee, 1988)</w:t>
      </w:r>
    </w:p>
    <w:p w14:paraId="162C5DD5" w14:textId="669679C6" w:rsidR="008D1AE9" w:rsidRPr="0098635C" w:rsidRDefault="008D1AE9" w:rsidP="008D1AE9">
      <w:pPr>
        <w:rPr>
          <w:color w:val="000000" w:themeColor="text1"/>
          <w:sz w:val="20"/>
          <w:szCs w:val="20"/>
        </w:rPr>
      </w:pPr>
      <w:r w:rsidRPr="0098635C">
        <w:rPr>
          <w:color w:val="000000" w:themeColor="text1"/>
          <w:sz w:val="20"/>
          <w:szCs w:val="20"/>
        </w:rPr>
        <w:t>Based on these absorption data, an absorption factor of 25% is taken to be the best estimate of true absorption in rats at the high copper intakes.</w:t>
      </w:r>
    </w:p>
    <w:p w14:paraId="27C75849" w14:textId="77777777" w:rsidR="008D1AE9" w:rsidRPr="0098635C" w:rsidRDefault="008D1AE9" w:rsidP="008D1AE9">
      <w:pPr>
        <w:rPr>
          <w:color w:val="000000" w:themeColor="text1"/>
          <w:sz w:val="20"/>
          <w:szCs w:val="20"/>
        </w:rPr>
      </w:pPr>
    </w:p>
    <w:p w14:paraId="2592BC5E" w14:textId="77777777" w:rsidR="008D1AE9" w:rsidRPr="0098635C" w:rsidRDefault="008D1AE9" w:rsidP="008D1AE9">
      <w:pPr>
        <w:pStyle w:val="Heading9"/>
        <w:rPr>
          <w:b/>
          <w:i w:val="0"/>
          <w:color w:val="000000" w:themeColor="text1"/>
          <w:sz w:val="20"/>
          <w:szCs w:val="20"/>
          <w:lang w:val="en-US"/>
        </w:rPr>
        <w:sectPr w:rsidR="008D1AE9" w:rsidRPr="0098635C" w:rsidSect="004F5C51">
          <w:headerReference w:type="even" r:id="rId21"/>
          <w:headerReference w:type="default" r:id="rId22"/>
          <w:footerReference w:type="even" r:id="rId23"/>
          <w:footerReference w:type="default" r:id="rId24"/>
          <w:headerReference w:type="first" r:id="rId25"/>
          <w:footerReference w:type="first" r:id="rId26"/>
          <w:pgSz w:w="11907" w:h="16840" w:code="9"/>
          <w:pgMar w:top="1418" w:right="1134" w:bottom="1134" w:left="1134" w:header="737" w:footer="737" w:gutter="0"/>
          <w:cols w:space="720"/>
          <w:docGrid w:linePitch="360"/>
        </w:sectPr>
      </w:pPr>
    </w:p>
    <w:p w14:paraId="09511F72" w14:textId="5A5D7F70" w:rsidR="008D1AE9" w:rsidRPr="0098635C" w:rsidRDefault="008D1AE9" w:rsidP="00A208E5">
      <w:pPr>
        <w:pStyle w:val="Caption"/>
        <w:ind w:left="-709"/>
        <w:jc w:val="center"/>
        <w:rPr>
          <w:b w:val="0"/>
          <w:color w:val="000000" w:themeColor="text1"/>
          <w:sz w:val="20"/>
          <w:lang w:val="en-GB"/>
        </w:rPr>
      </w:pPr>
      <w:bookmarkStart w:id="174" w:name="_Ref257292616"/>
      <w:bookmarkStart w:id="175" w:name="_Toc260323653"/>
      <w:r w:rsidRPr="0098635C">
        <w:rPr>
          <w:b w:val="0"/>
          <w:color w:val="000000" w:themeColor="text1"/>
          <w:sz w:val="20"/>
          <w:lang w:val="en-GB"/>
        </w:rPr>
        <w:lastRenderedPageBreak/>
        <w:t xml:space="preserve">Table </w:t>
      </w:r>
      <w:r w:rsidR="00E230FB" w:rsidRPr="0098635C">
        <w:rPr>
          <w:b w:val="0"/>
          <w:color w:val="000000" w:themeColor="text1"/>
          <w:sz w:val="20"/>
          <w:lang w:val="en-GB"/>
        </w:rPr>
        <w:fldChar w:fldCharType="begin"/>
      </w:r>
      <w:r w:rsidRPr="0098635C">
        <w:rPr>
          <w:b w:val="0"/>
          <w:color w:val="000000" w:themeColor="text1"/>
          <w:sz w:val="20"/>
          <w:lang w:val="en-GB"/>
        </w:rPr>
        <w:instrText xml:space="preserve"> SEQ Table \* ARABIC </w:instrText>
      </w:r>
      <w:r w:rsidR="00E230FB" w:rsidRPr="0098635C">
        <w:rPr>
          <w:b w:val="0"/>
          <w:color w:val="000000" w:themeColor="text1"/>
          <w:sz w:val="20"/>
          <w:lang w:val="en-GB"/>
        </w:rPr>
        <w:fldChar w:fldCharType="separate"/>
      </w:r>
      <w:r w:rsidR="00A208E5" w:rsidRPr="0098635C">
        <w:rPr>
          <w:b w:val="0"/>
          <w:noProof/>
          <w:color w:val="000000" w:themeColor="text1"/>
          <w:sz w:val="20"/>
          <w:lang w:val="en-GB"/>
        </w:rPr>
        <w:t>4</w:t>
      </w:r>
      <w:r w:rsidR="00E230FB" w:rsidRPr="0098635C">
        <w:rPr>
          <w:b w:val="0"/>
          <w:color w:val="000000" w:themeColor="text1"/>
          <w:sz w:val="20"/>
          <w:lang w:val="en-GB"/>
        </w:rPr>
        <w:fldChar w:fldCharType="end"/>
      </w:r>
      <w:bookmarkEnd w:id="174"/>
      <w:r w:rsidRPr="0098635C">
        <w:rPr>
          <w:b w:val="0"/>
          <w:color w:val="000000" w:themeColor="text1"/>
          <w:sz w:val="20"/>
          <w:lang w:val="en-GB"/>
        </w:rPr>
        <w:t>: Summary of key animal studies reporting absorption data for dietary copper</w:t>
      </w:r>
      <w:bookmarkEnd w:id="175"/>
    </w:p>
    <w:tbl>
      <w:tblPr>
        <w:tblW w:w="14567"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0"/>
        <w:gridCol w:w="1119"/>
        <w:gridCol w:w="1223"/>
        <w:gridCol w:w="851"/>
        <w:gridCol w:w="1559"/>
        <w:gridCol w:w="992"/>
        <w:gridCol w:w="1701"/>
        <w:gridCol w:w="1545"/>
        <w:gridCol w:w="1378"/>
        <w:gridCol w:w="1024"/>
        <w:gridCol w:w="1865"/>
      </w:tblGrid>
      <w:tr w:rsidR="008D1AE9" w:rsidRPr="0098635C" w14:paraId="7EE6863A" w14:textId="77777777" w:rsidTr="00A208E5">
        <w:trPr>
          <w:tblHeader/>
        </w:trPr>
        <w:tc>
          <w:tcPr>
            <w:tcW w:w="1310" w:type="dxa"/>
            <w:vMerge w:val="restart"/>
            <w:tcMar>
              <w:top w:w="20" w:type="nil"/>
              <w:left w:w="20" w:type="nil"/>
              <w:bottom w:w="20" w:type="nil"/>
              <w:right w:w="20" w:type="nil"/>
            </w:tcMar>
            <w:vAlign w:val="center"/>
          </w:tcPr>
          <w:p w14:paraId="082FFBDC" w14:textId="77777777" w:rsidR="008D1AE9" w:rsidRPr="0098635C" w:rsidRDefault="008D1AE9" w:rsidP="00AF385A">
            <w:pPr>
              <w:pStyle w:val="NoteLevel211"/>
              <w:jc w:val="left"/>
              <w:rPr>
                <w:b/>
                <w:color w:val="000000" w:themeColor="text1"/>
              </w:rPr>
            </w:pPr>
            <w:bookmarkStart w:id="176" w:name="_Toc471999423"/>
            <w:bookmarkStart w:id="177" w:name="_Toc472250866"/>
            <w:r w:rsidRPr="0098635C">
              <w:rPr>
                <w:b/>
                <w:color w:val="000000" w:themeColor="text1"/>
              </w:rPr>
              <w:t>Reference</w:t>
            </w:r>
            <w:bookmarkEnd w:id="176"/>
            <w:bookmarkEnd w:id="177"/>
          </w:p>
        </w:tc>
        <w:tc>
          <w:tcPr>
            <w:tcW w:w="1119" w:type="dxa"/>
            <w:vMerge w:val="restart"/>
            <w:tcMar>
              <w:top w:w="20" w:type="nil"/>
              <w:left w:w="20" w:type="nil"/>
              <w:bottom w:w="20" w:type="nil"/>
              <w:right w:w="20" w:type="nil"/>
            </w:tcMar>
            <w:vAlign w:val="center"/>
          </w:tcPr>
          <w:p w14:paraId="33DDD72D" w14:textId="77777777" w:rsidR="008D1AE9" w:rsidRPr="0098635C" w:rsidRDefault="008D1AE9" w:rsidP="00AF385A">
            <w:pPr>
              <w:pStyle w:val="NoteLevel211"/>
              <w:jc w:val="left"/>
              <w:rPr>
                <w:b/>
                <w:color w:val="000000" w:themeColor="text1"/>
              </w:rPr>
            </w:pPr>
            <w:bookmarkStart w:id="178" w:name="_Toc471999424"/>
            <w:bookmarkStart w:id="179" w:name="_Toc472250867"/>
            <w:r w:rsidRPr="0098635C">
              <w:rPr>
                <w:b/>
                <w:color w:val="000000" w:themeColor="text1"/>
              </w:rPr>
              <w:t>Animal model</w:t>
            </w:r>
            <w:bookmarkEnd w:id="178"/>
            <w:bookmarkEnd w:id="179"/>
          </w:p>
        </w:tc>
        <w:tc>
          <w:tcPr>
            <w:tcW w:w="1223" w:type="dxa"/>
            <w:vMerge w:val="restart"/>
            <w:tcMar>
              <w:top w:w="20" w:type="nil"/>
              <w:left w:w="20" w:type="nil"/>
              <w:bottom w:w="20" w:type="nil"/>
              <w:right w:w="20" w:type="nil"/>
            </w:tcMar>
            <w:vAlign w:val="center"/>
          </w:tcPr>
          <w:p w14:paraId="6094B249" w14:textId="77777777" w:rsidR="008D1AE9" w:rsidRPr="0098635C" w:rsidRDefault="008D1AE9" w:rsidP="00AF385A">
            <w:pPr>
              <w:pStyle w:val="NoteLevel211"/>
              <w:jc w:val="left"/>
              <w:rPr>
                <w:b/>
                <w:color w:val="000000" w:themeColor="text1"/>
              </w:rPr>
            </w:pPr>
            <w:bookmarkStart w:id="180" w:name="_Toc471999425"/>
            <w:bookmarkStart w:id="181" w:name="_Toc472250868"/>
            <w:r w:rsidRPr="0098635C">
              <w:rPr>
                <w:b/>
                <w:color w:val="000000" w:themeColor="text1"/>
              </w:rPr>
              <w:t>Identity of copper</w:t>
            </w:r>
            <w:bookmarkEnd w:id="180"/>
            <w:bookmarkEnd w:id="181"/>
          </w:p>
        </w:tc>
        <w:tc>
          <w:tcPr>
            <w:tcW w:w="3402" w:type="dxa"/>
            <w:gridSpan w:val="3"/>
            <w:tcMar>
              <w:top w:w="20" w:type="nil"/>
              <w:left w:w="20" w:type="nil"/>
              <w:bottom w:w="20" w:type="nil"/>
              <w:right w:w="20" w:type="nil"/>
            </w:tcMar>
            <w:vAlign w:val="center"/>
          </w:tcPr>
          <w:p w14:paraId="43888BA9" w14:textId="77777777" w:rsidR="008D1AE9" w:rsidRPr="0098635C" w:rsidRDefault="008D1AE9" w:rsidP="00AF385A">
            <w:pPr>
              <w:pStyle w:val="NoteLevel211"/>
              <w:jc w:val="left"/>
              <w:rPr>
                <w:b/>
                <w:color w:val="000000" w:themeColor="text1"/>
              </w:rPr>
            </w:pPr>
            <w:bookmarkStart w:id="182" w:name="_Toc471999426"/>
            <w:bookmarkStart w:id="183" w:name="_Toc472250869"/>
            <w:r w:rsidRPr="0098635C">
              <w:rPr>
                <w:b/>
                <w:color w:val="000000" w:themeColor="text1"/>
              </w:rPr>
              <w:t>Dietary Cu</w:t>
            </w:r>
            <w:bookmarkEnd w:id="182"/>
            <w:bookmarkEnd w:id="183"/>
          </w:p>
        </w:tc>
        <w:tc>
          <w:tcPr>
            <w:tcW w:w="1701" w:type="dxa"/>
            <w:vMerge w:val="restart"/>
            <w:tcMar>
              <w:top w:w="20" w:type="nil"/>
              <w:left w:w="20" w:type="nil"/>
              <w:bottom w:w="20" w:type="nil"/>
              <w:right w:w="20" w:type="nil"/>
            </w:tcMar>
            <w:vAlign w:val="center"/>
          </w:tcPr>
          <w:p w14:paraId="6862B6DF" w14:textId="77777777" w:rsidR="008D1AE9" w:rsidRPr="0098635C" w:rsidRDefault="008D1AE9" w:rsidP="00AF385A">
            <w:pPr>
              <w:pStyle w:val="NoteLevel211"/>
              <w:jc w:val="left"/>
              <w:rPr>
                <w:b/>
                <w:color w:val="000000" w:themeColor="text1"/>
              </w:rPr>
            </w:pPr>
            <w:bookmarkStart w:id="184" w:name="_Toc471999427"/>
            <w:bookmarkStart w:id="185" w:name="_Toc472250870"/>
            <w:r w:rsidRPr="0098635C">
              <w:rPr>
                <w:b/>
                <w:color w:val="000000" w:themeColor="text1"/>
              </w:rPr>
              <w:t>Duration of treatment/ measurement</w:t>
            </w:r>
            <w:bookmarkEnd w:id="184"/>
            <w:bookmarkEnd w:id="185"/>
          </w:p>
        </w:tc>
        <w:tc>
          <w:tcPr>
            <w:tcW w:w="1545" w:type="dxa"/>
            <w:vMerge w:val="restart"/>
            <w:tcMar>
              <w:top w:w="20" w:type="nil"/>
              <w:left w:w="20" w:type="nil"/>
              <w:bottom w:w="20" w:type="nil"/>
              <w:right w:w="20" w:type="nil"/>
            </w:tcMar>
            <w:vAlign w:val="center"/>
          </w:tcPr>
          <w:p w14:paraId="2E0E791B" w14:textId="77777777" w:rsidR="008D1AE9" w:rsidRPr="0098635C" w:rsidRDefault="008D1AE9" w:rsidP="00AF385A">
            <w:pPr>
              <w:pStyle w:val="NoteLevel211"/>
              <w:jc w:val="left"/>
              <w:rPr>
                <w:b/>
                <w:color w:val="000000" w:themeColor="text1"/>
              </w:rPr>
            </w:pPr>
            <w:bookmarkStart w:id="186" w:name="_Toc471999428"/>
            <w:bookmarkStart w:id="187" w:name="_Toc472250871"/>
            <w:r w:rsidRPr="0098635C">
              <w:rPr>
                <w:b/>
                <w:color w:val="000000" w:themeColor="text1"/>
              </w:rPr>
              <w:t>Analytical method</w:t>
            </w:r>
            <w:bookmarkEnd w:id="186"/>
            <w:bookmarkEnd w:id="187"/>
          </w:p>
        </w:tc>
        <w:tc>
          <w:tcPr>
            <w:tcW w:w="2402" w:type="dxa"/>
            <w:gridSpan w:val="2"/>
            <w:tcMar>
              <w:top w:w="20" w:type="nil"/>
              <w:left w:w="20" w:type="nil"/>
              <w:bottom w:w="20" w:type="nil"/>
              <w:right w:w="20" w:type="nil"/>
            </w:tcMar>
            <w:vAlign w:val="center"/>
          </w:tcPr>
          <w:p w14:paraId="7C48D074" w14:textId="77777777" w:rsidR="008D1AE9" w:rsidRPr="0098635C" w:rsidRDefault="008D1AE9" w:rsidP="00AF385A">
            <w:pPr>
              <w:pStyle w:val="NoteLevel211"/>
              <w:jc w:val="left"/>
              <w:rPr>
                <w:b/>
                <w:color w:val="000000" w:themeColor="text1"/>
              </w:rPr>
            </w:pPr>
            <w:bookmarkStart w:id="188" w:name="_Toc471999429"/>
            <w:bookmarkStart w:id="189" w:name="_Toc472250872"/>
            <w:r w:rsidRPr="0098635C">
              <w:rPr>
                <w:b/>
                <w:color w:val="000000" w:themeColor="text1"/>
              </w:rPr>
              <w:t>Absorption of Cu (% of intake)</w:t>
            </w:r>
            <w:bookmarkEnd w:id="188"/>
            <w:bookmarkEnd w:id="189"/>
          </w:p>
        </w:tc>
        <w:tc>
          <w:tcPr>
            <w:tcW w:w="1865" w:type="dxa"/>
            <w:vMerge w:val="restart"/>
            <w:tcMar>
              <w:top w:w="20" w:type="nil"/>
              <w:left w:w="20" w:type="nil"/>
              <w:bottom w:w="20" w:type="nil"/>
              <w:right w:w="20" w:type="nil"/>
            </w:tcMar>
            <w:vAlign w:val="center"/>
          </w:tcPr>
          <w:p w14:paraId="1071F591" w14:textId="77777777" w:rsidR="008D1AE9" w:rsidRPr="0098635C" w:rsidRDefault="008D1AE9" w:rsidP="00AF385A">
            <w:pPr>
              <w:pStyle w:val="NoteLevel211"/>
              <w:jc w:val="left"/>
              <w:rPr>
                <w:b/>
                <w:color w:val="000000" w:themeColor="text1"/>
              </w:rPr>
            </w:pPr>
            <w:bookmarkStart w:id="190" w:name="_Toc471999430"/>
            <w:bookmarkStart w:id="191" w:name="_Toc472250873"/>
            <w:r w:rsidRPr="0098635C">
              <w:rPr>
                <w:b/>
                <w:color w:val="000000" w:themeColor="text1"/>
              </w:rPr>
              <w:t>Other information</w:t>
            </w:r>
            <w:bookmarkEnd w:id="190"/>
            <w:bookmarkEnd w:id="191"/>
          </w:p>
        </w:tc>
      </w:tr>
      <w:tr w:rsidR="008D1AE9" w:rsidRPr="0098635C" w14:paraId="59F70A49" w14:textId="77777777" w:rsidTr="00A208E5">
        <w:tc>
          <w:tcPr>
            <w:tcW w:w="1310" w:type="dxa"/>
            <w:vMerge/>
            <w:tcMar>
              <w:top w:w="20" w:type="nil"/>
              <w:left w:w="20" w:type="nil"/>
              <w:bottom w:w="20" w:type="nil"/>
              <w:right w:w="20" w:type="nil"/>
            </w:tcMar>
            <w:vAlign w:val="center"/>
          </w:tcPr>
          <w:p w14:paraId="6CB85501" w14:textId="77777777" w:rsidR="008D1AE9" w:rsidRPr="0098635C" w:rsidRDefault="008D1AE9" w:rsidP="00AF385A">
            <w:pPr>
              <w:pStyle w:val="NoteLevel211"/>
              <w:rPr>
                <w:color w:val="000000" w:themeColor="text1"/>
              </w:rPr>
            </w:pPr>
          </w:p>
        </w:tc>
        <w:tc>
          <w:tcPr>
            <w:tcW w:w="1119" w:type="dxa"/>
            <w:vMerge/>
            <w:tcMar>
              <w:top w:w="20" w:type="nil"/>
              <w:left w:w="20" w:type="nil"/>
              <w:bottom w:w="20" w:type="nil"/>
              <w:right w:w="20" w:type="nil"/>
            </w:tcMar>
            <w:vAlign w:val="center"/>
          </w:tcPr>
          <w:p w14:paraId="76A203F7" w14:textId="77777777" w:rsidR="008D1AE9" w:rsidRPr="0098635C" w:rsidRDefault="008D1AE9" w:rsidP="00AF385A">
            <w:pPr>
              <w:pStyle w:val="NoteLevel211"/>
              <w:rPr>
                <w:color w:val="000000" w:themeColor="text1"/>
              </w:rPr>
            </w:pPr>
          </w:p>
        </w:tc>
        <w:tc>
          <w:tcPr>
            <w:tcW w:w="1223" w:type="dxa"/>
            <w:vMerge/>
            <w:tcMar>
              <w:top w:w="20" w:type="nil"/>
              <w:left w:w="20" w:type="nil"/>
              <w:bottom w:w="20" w:type="nil"/>
              <w:right w:w="20" w:type="nil"/>
            </w:tcMar>
            <w:vAlign w:val="center"/>
          </w:tcPr>
          <w:p w14:paraId="407F1DA1" w14:textId="77777777" w:rsidR="008D1AE9" w:rsidRPr="0098635C" w:rsidRDefault="008D1AE9" w:rsidP="00AF385A">
            <w:pPr>
              <w:pStyle w:val="NoteLevel211"/>
              <w:rPr>
                <w:color w:val="000000" w:themeColor="text1"/>
              </w:rPr>
            </w:pPr>
          </w:p>
        </w:tc>
        <w:tc>
          <w:tcPr>
            <w:tcW w:w="851" w:type="dxa"/>
            <w:tcMar>
              <w:top w:w="20" w:type="nil"/>
              <w:left w:w="20" w:type="nil"/>
              <w:bottom w:w="20" w:type="nil"/>
              <w:right w:w="20" w:type="nil"/>
            </w:tcMar>
            <w:vAlign w:val="center"/>
          </w:tcPr>
          <w:p w14:paraId="67A08FEA" w14:textId="2EE97F72" w:rsidR="008D1AE9" w:rsidRPr="0098635C" w:rsidRDefault="008D1AE9" w:rsidP="00AF385A">
            <w:pPr>
              <w:pStyle w:val="NoteLevel211"/>
              <w:rPr>
                <w:color w:val="000000" w:themeColor="text1"/>
              </w:rPr>
            </w:pPr>
            <w:bookmarkStart w:id="192" w:name="_Toc471999431"/>
            <w:bookmarkStart w:id="193" w:name="_Toc472250874"/>
            <w:r w:rsidRPr="0098635C">
              <w:rPr>
                <w:color w:val="000000" w:themeColor="text1"/>
              </w:rPr>
              <w:t>Mg/kg feed</w:t>
            </w:r>
            <w:bookmarkEnd w:id="192"/>
            <w:bookmarkEnd w:id="193"/>
          </w:p>
        </w:tc>
        <w:tc>
          <w:tcPr>
            <w:tcW w:w="1559" w:type="dxa"/>
            <w:tcMar>
              <w:top w:w="20" w:type="nil"/>
              <w:left w:w="20" w:type="nil"/>
              <w:bottom w:w="20" w:type="nil"/>
              <w:right w:w="20" w:type="nil"/>
            </w:tcMar>
            <w:vAlign w:val="center"/>
          </w:tcPr>
          <w:p w14:paraId="15BDE977" w14:textId="77777777" w:rsidR="008D1AE9" w:rsidRPr="0098635C" w:rsidRDefault="008D1AE9" w:rsidP="00AF385A">
            <w:pPr>
              <w:pStyle w:val="NoteLevel211"/>
              <w:rPr>
                <w:color w:val="000000" w:themeColor="text1"/>
              </w:rPr>
            </w:pPr>
            <w:bookmarkStart w:id="194" w:name="_Toc471999432"/>
            <w:bookmarkStart w:id="195" w:name="_Toc472250875"/>
            <w:r w:rsidRPr="0098635C">
              <w:rPr>
                <w:color w:val="000000" w:themeColor="text1"/>
              </w:rPr>
              <w:t>µg/d</w:t>
            </w:r>
            <w:bookmarkEnd w:id="194"/>
            <w:bookmarkEnd w:id="195"/>
          </w:p>
        </w:tc>
        <w:tc>
          <w:tcPr>
            <w:tcW w:w="992" w:type="dxa"/>
            <w:tcMar>
              <w:top w:w="20" w:type="nil"/>
              <w:left w:w="20" w:type="nil"/>
              <w:bottom w:w="20" w:type="nil"/>
              <w:right w:w="20" w:type="nil"/>
            </w:tcMar>
            <w:vAlign w:val="center"/>
          </w:tcPr>
          <w:p w14:paraId="31B22B76" w14:textId="77777777" w:rsidR="008D1AE9" w:rsidRPr="0098635C" w:rsidRDefault="008D1AE9" w:rsidP="00AF385A">
            <w:pPr>
              <w:pStyle w:val="NoteLevel211"/>
              <w:rPr>
                <w:color w:val="000000" w:themeColor="text1"/>
              </w:rPr>
            </w:pPr>
            <w:bookmarkStart w:id="196" w:name="_Toc471999433"/>
            <w:bookmarkStart w:id="197" w:name="_Toc472250876"/>
            <w:r w:rsidRPr="0098635C">
              <w:rPr>
                <w:color w:val="000000" w:themeColor="text1"/>
              </w:rPr>
              <w:t>Mg/kg bw/d</w:t>
            </w:r>
            <w:bookmarkEnd w:id="196"/>
            <w:bookmarkEnd w:id="197"/>
          </w:p>
        </w:tc>
        <w:tc>
          <w:tcPr>
            <w:tcW w:w="1701" w:type="dxa"/>
            <w:vMerge/>
            <w:tcMar>
              <w:top w:w="20" w:type="nil"/>
              <w:left w:w="20" w:type="nil"/>
              <w:bottom w:w="20" w:type="nil"/>
              <w:right w:w="20" w:type="nil"/>
            </w:tcMar>
            <w:vAlign w:val="center"/>
          </w:tcPr>
          <w:p w14:paraId="1B3A0E4F" w14:textId="77777777" w:rsidR="008D1AE9" w:rsidRPr="0098635C" w:rsidRDefault="008D1AE9" w:rsidP="00AF385A">
            <w:pPr>
              <w:pStyle w:val="NoteLevel211"/>
              <w:rPr>
                <w:color w:val="000000" w:themeColor="text1"/>
              </w:rPr>
            </w:pPr>
          </w:p>
        </w:tc>
        <w:tc>
          <w:tcPr>
            <w:tcW w:w="1545" w:type="dxa"/>
            <w:vMerge/>
            <w:tcMar>
              <w:top w:w="20" w:type="nil"/>
              <w:left w:w="20" w:type="nil"/>
              <w:bottom w:w="20" w:type="nil"/>
              <w:right w:w="20" w:type="nil"/>
            </w:tcMar>
            <w:vAlign w:val="center"/>
          </w:tcPr>
          <w:p w14:paraId="1D43A845" w14:textId="77777777" w:rsidR="008D1AE9" w:rsidRPr="0098635C" w:rsidRDefault="008D1AE9" w:rsidP="00AF385A">
            <w:pPr>
              <w:pStyle w:val="NoteLevel211"/>
              <w:rPr>
                <w:color w:val="000000" w:themeColor="text1"/>
              </w:rPr>
            </w:pPr>
          </w:p>
        </w:tc>
        <w:tc>
          <w:tcPr>
            <w:tcW w:w="1378" w:type="dxa"/>
            <w:tcMar>
              <w:top w:w="20" w:type="nil"/>
              <w:left w:w="20" w:type="nil"/>
              <w:bottom w:w="20" w:type="nil"/>
              <w:right w:w="20" w:type="nil"/>
            </w:tcMar>
            <w:vAlign w:val="center"/>
          </w:tcPr>
          <w:p w14:paraId="479B220D" w14:textId="77777777" w:rsidR="008D1AE9" w:rsidRPr="0098635C" w:rsidRDefault="008D1AE9" w:rsidP="00AF385A">
            <w:pPr>
              <w:pStyle w:val="NoteLevel211"/>
              <w:rPr>
                <w:color w:val="000000" w:themeColor="text1"/>
              </w:rPr>
            </w:pPr>
            <w:bookmarkStart w:id="198" w:name="_Toc471999434"/>
            <w:bookmarkStart w:id="199" w:name="_Toc472250877"/>
            <w:r w:rsidRPr="0098635C">
              <w:rPr>
                <w:color w:val="000000" w:themeColor="text1"/>
              </w:rPr>
              <w:t>Apparent</w:t>
            </w:r>
            <w:bookmarkEnd w:id="198"/>
            <w:bookmarkEnd w:id="199"/>
          </w:p>
        </w:tc>
        <w:tc>
          <w:tcPr>
            <w:tcW w:w="1024" w:type="dxa"/>
            <w:tcMar>
              <w:top w:w="20" w:type="nil"/>
              <w:left w:w="20" w:type="nil"/>
              <w:bottom w:w="20" w:type="nil"/>
              <w:right w:w="20" w:type="nil"/>
            </w:tcMar>
            <w:vAlign w:val="center"/>
          </w:tcPr>
          <w:p w14:paraId="25763566" w14:textId="77777777" w:rsidR="008D1AE9" w:rsidRPr="0098635C" w:rsidRDefault="008D1AE9" w:rsidP="00AF385A">
            <w:pPr>
              <w:pStyle w:val="NoteLevel211"/>
              <w:rPr>
                <w:color w:val="000000" w:themeColor="text1"/>
              </w:rPr>
            </w:pPr>
            <w:bookmarkStart w:id="200" w:name="_Toc471999435"/>
            <w:bookmarkStart w:id="201" w:name="_Toc472250878"/>
            <w:r w:rsidRPr="0098635C">
              <w:rPr>
                <w:color w:val="000000" w:themeColor="text1"/>
              </w:rPr>
              <w:t>True</w:t>
            </w:r>
            <w:bookmarkEnd w:id="200"/>
            <w:bookmarkEnd w:id="201"/>
          </w:p>
        </w:tc>
        <w:tc>
          <w:tcPr>
            <w:tcW w:w="1865" w:type="dxa"/>
            <w:vMerge/>
            <w:tcMar>
              <w:top w:w="20" w:type="nil"/>
              <w:left w:w="20" w:type="nil"/>
              <w:bottom w:w="20" w:type="nil"/>
              <w:right w:w="20" w:type="nil"/>
            </w:tcMar>
            <w:vAlign w:val="center"/>
          </w:tcPr>
          <w:p w14:paraId="42EB5A61" w14:textId="77777777" w:rsidR="008D1AE9" w:rsidRPr="0098635C" w:rsidRDefault="008D1AE9" w:rsidP="00AF385A">
            <w:pPr>
              <w:pStyle w:val="NoteLevel211"/>
              <w:rPr>
                <w:color w:val="000000" w:themeColor="text1"/>
              </w:rPr>
            </w:pPr>
          </w:p>
        </w:tc>
      </w:tr>
      <w:tr w:rsidR="008D1AE9" w:rsidRPr="0098635C" w14:paraId="08817D4E" w14:textId="77777777" w:rsidTr="00A208E5">
        <w:tc>
          <w:tcPr>
            <w:tcW w:w="1310" w:type="dxa"/>
            <w:tcMar>
              <w:top w:w="20" w:type="nil"/>
              <w:left w:w="20" w:type="nil"/>
              <w:bottom w:w="20" w:type="nil"/>
              <w:right w:w="20" w:type="nil"/>
            </w:tcMar>
            <w:vAlign w:val="center"/>
          </w:tcPr>
          <w:p w14:paraId="7552848F" w14:textId="77777777" w:rsidR="008D1AE9" w:rsidRPr="0098635C" w:rsidRDefault="008D1AE9" w:rsidP="00AF385A">
            <w:pPr>
              <w:pStyle w:val="NoteLevel211"/>
              <w:jc w:val="left"/>
              <w:rPr>
                <w:color w:val="000000" w:themeColor="text1"/>
                <w:lang w:val="nl-NL"/>
              </w:rPr>
            </w:pPr>
            <w:bookmarkStart w:id="202" w:name="_Toc471999436"/>
            <w:bookmarkStart w:id="203" w:name="_Toc472250879"/>
            <w:r w:rsidRPr="0098635C">
              <w:rPr>
                <w:color w:val="000000" w:themeColor="text1"/>
                <w:lang w:val="nl-NL"/>
              </w:rPr>
              <w:t xml:space="preserve">Van den Berg </w:t>
            </w:r>
            <w:r w:rsidRPr="0098635C">
              <w:rPr>
                <w:iCs/>
                <w:color w:val="000000" w:themeColor="text1"/>
                <w:lang w:val="nl-NL"/>
              </w:rPr>
              <w:t>et al.,</w:t>
            </w:r>
            <w:r w:rsidRPr="0098635C">
              <w:rPr>
                <w:i/>
                <w:iCs/>
                <w:color w:val="000000" w:themeColor="text1"/>
                <w:lang w:val="nl-NL"/>
              </w:rPr>
              <w:t xml:space="preserve"> </w:t>
            </w:r>
            <w:r w:rsidRPr="0098635C">
              <w:rPr>
                <w:color w:val="000000" w:themeColor="text1"/>
                <w:lang w:val="nl-NL"/>
              </w:rPr>
              <w:t>(1994)</w:t>
            </w:r>
            <w:bookmarkEnd w:id="202"/>
            <w:bookmarkEnd w:id="203"/>
          </w:p>
        </w:tc>
        <w:tc>
          <w:tcPr>
            <w:tcW w:w="1119" w:type="dxa"/>
            <w:tcMar>
              <w:top w:w="20" w:type="nil"/>
              <w:left w:w="20" w:type="nil"/>
              <w:bottom w:w="20" w:type="nil"/>
              <w:right w:w="20" w:type="nil"/>
            </w:tcMar>
            <w:vAlign w:val="center"/>
          </w:tcPr>
          <w:p w14:paraId="79B44D51" w14:textId="505E5D7A" w:rsidR="008D1AE9" w:rsidRPr="0098635C" w:rsidRDefault="008D1AE9" w:rsidP="001A362F">
            <w:pPr>
              <w:pStyle w:val="NoteLevel211"/>
              <w:jc w:val="left"/>
              <w:rPr>
                <w:color w:val="000000" w:themeColor="text1"/>
              </w:rPr>
            </w:pPr>
            <w:bookmarkStart w:id="204" w:name="_Toc471999437"/>
            <w:bookmarkStart w:id="205" w:name="_Toc472250880"/>
            <w:r w:rsidRPr="0098635C">
              <w:rPr>
                <w:color w:val="000000" w:themeColor="text1"/>
              </w:rPr>
              <w:t>Wistar rat (male)</w:t>
            </w:r>
            <w:r w:rsidR="001A362F" w:rsidRPr="0098635C">
              <w:rPr>
                <w:color w:val="000000" w:themeColor="text1"/>
              </w:rPr>
              <w:t xml:space="preserve"> (n=3 to 6 rats/dietary group)</w:t>
            </w:r>
            <w:bookmarkEnd w:id="204"/>
            <w:bookmarkEnd w:id="205"/>
          </w:p>
        </w:tc>
        <w:tc>
          <w:tcPr>
            <w:tcW w:w="1223" w:type="dxa"/>
            <w:tcMar>
              <w:top w:w="20" w:type="nil"/>
              <w:left w:w="20" w:type="nil"/>
              <w:bottom w:w="20" w:type="nil"/>
              <w:right w:w="20" w:type="nil"/>
            </w:tcMar>
            <w:vAlign w:val="center"/>
          </w:tcPr>
          <w:p w14:paraId="150727DF" w14:textId="77777777" w:rsidR="008D1AE9" w:rsidRPr="0098635C" w:rsidRDefault="008D1AE9" w:rsidP="00AF385A">
            <w:pPr>
              <w:pStyle w:val="NoteLevel211"/>
              <w:jc w:val="left"/>
              <w:rPr>
                <w:color w:val="000000" w:themeColor="text1"/>
              </w:rPr>
            </w:pPr>
            <w:bookmarkStart w:id="206" w:name="_Toc471999438"/>
            <w:bookmarkStart w:id="207" w:name="_Toc472250881"/>
            <w:r w:rsidRPr="0098635C">
              <w:rPr>
                <w:color w:val="000000" w:themeColor="text1"/>
              </w:rPr>
              <w:t>CuSO</w:t>
            </w:r>
            <w:r w:rsidRPr="0098635C">
              <w:rPr>
                <w:color w:val="000000" w:themeColor="text1"/>
                <w:position w:val="-4"/>
              </w:rPr>
              <w:t>4</w:t>
            </w:r>
            <w:r w:rsidRPr="0098635C">
              <w:rPr>
                <w:color w:val="000000" w:themeColor="text1"/>
              </w:rPr>
              <w:t xml:space="preserve"> + </w:t>
            </w:r>
            <w:r w:rsidRPr="0098635C">
              <w:rPr>
                <w:color w:val="000000" w:themeColor="text1"/>
                <w:vertAlign w:val="superscript"/>
              </w:rPr>
              <w:t>64</w:t>
            </w:r>
            <w:r w:rsidRPr="0098635C">
              <w:rPr>
                <w:color w:val="000000" w:themeColor="text1"/>
              </w:rPr>
              <w:t>Cu acetate (i.p. or oral)</w:t>
            </w:r>
            <w:bookmarkEnd w:id="206"/>
            <w:bookmarkEnd w:id="207"/>
          </w:p>
        </w:tc>
        <w:tc>
          <w:tcPr>
            <w:tcW w:w="851" w:type="dxa"/>
            <w:tcMar>
              <w:top w:w="20" w:type="nil"/>
              <w:left w:w="20" w:type="nil"/>
              <w:bottom w:w="20" w:type="nil"/>
              <w:right w:w="20" w:type="nil"/>
            </w:tcMar>
            <w:vAlign w:val="center"/>
          </w:tcPr>
          <w:p w14:paraId="4E914AD6" w14:textId="77777777" w:rsidR="008D1AE9" w:rsidRPr="0098635C" w:rsidRDefault="008D1AE9" w:rsidP="00AF385A">
            <w:pPr>
              <w:pStyle w:val="NoteLevel211"/>
              <w:jc w:val="left"/>
              <w:rPr>
                <w:color w:val="000000" w:themeColor="text1"/>
              </w:rPr>
            </w:pPr>
            <w:bookmarkStart w:id="208" w:name="_Toc471999439"/>
            <w:bookmarkStart w:id="209" w:name="_Toc472250882"/>
            <w:r w:rsidRPr="0098635C">
              <w:rPr>
                <w:color w:val="000000" w:themeColor="text1"/>
              </w:rPr>
              <w:t>5.2</w:t>
            </w:r>
            <w:bookmarkEnd w:id="208"/>
            <w:bookmarkEnd w:id="209"/>
          </w:p>
          <w:p w14:paraId="36F0CFC1" w14:textId="77777777" w:rsidR="008D1AE9" w:rsidRPr="0098635C" w:rsidRDefault="008D1AE9" w:rsidP="00AF385A">
            <w:pPr>
              <w:pStyle w:val="NoteLevel211"/>
              <w:jc w:val="left"/>
              <w:rPr>
                <w:color w:val="000000" w:themeColor="text1"/>
              </w:rPr>
            </w:pPr>
          </w:p>
          <w:p w14:paraId="4F5EFB0D" w14:textId="77777777" w:rsidR="008D1AE9" w:rsidRPr="0098635C" w:rsidRDefault="008D1AE9" w:rsidP="00AF385A">
            <w:pPr>
              <w:pStyle w:val="NoteLevel211"/>
              <w:jc w:val="left"/>
              <w:rPr>
                <w:color w:val="000000" w:themeColor="text1"/>
              </w:rPr>
            </w:pPr>
          </w:p>
          <w:p w14:paraId="09D1F6B2" w14:textId="77777777" w:rsidR="008D1AE9" w:rsidRPr="0098635C" w:rsidRDefault="008D1AE9" w:rsidP="00AF385A">
            <w:pPr>
              <w:pStyle w:val="NoteLevel211"/>
              <w:jc w:val="left"/>
              <w:rPr>
                <w:color w:val="000000" w:themeColor="text1"/>
              </w:rPr>
            </w:pPr>
            <w:bookmarkStart w:id="210" w:name="_Toc471999440"/>
            <w:bookmarkStart w:id="211" w:name="_Toc472250883"/>
            <w:r w:rsidRPr="0098635C">
              <w:rPr>
                <w:color w:val="000000" w:themeColor="text1"/>
              </w:rPr>
              <w:t>1.1</w:t>
            </w:r>
            <w:bookmarkEnd w:id="210"/>
            <w:bookmarkEnd w:id="211"/>
          </w:p>
        </w:tc>
        <w:tc>
          <w:tcPr>
            <w:tcW w:w="1559" w:type="dxa"/>
            <w:tcMar>
              <w:top w:w="20" w:type="nil"/>
              <w:left w:w="20" w:type="nil"/>
              <w:bottom w:w="20" w:type="nil"/>
              <w:right w:w="20" w:type="nil"/>
            </w:tcMar>
            <w:vAlign w:val="center"/>
          </w:tcPr>
          <w:p w14:paraId="56F1BD64" w14:textId="77777777" w:rsidR="008D1AE9" w:rsidRPr="0098635C" w:rsidRDefault="008D1AE9" w:rsidP="00AF385A">
            <w:pPr>
              <w:pStyle w:val="NoteLevel211"/>
              <w:jc w:val="left"/>
              <w:rPr>
                <w:color w:val="000000" w:themeColor="text1"/>
              </w:rPr>
            </w:pPr>
            <w:bookmarkStart w:id="212" w:name="_Toc471999441"/>
            <w:bookmarkStart w:id="213" w:name="_Toc472250884"/>
            <w:r w:rsidRPr="0098635C">
              <w:rPr>
                <w:color w:val="000000" w:themeColor="text1"/>
              </w:rPr>
              <w:t>(a) 74 (0-14d) (b) 88 (21-35d)</w:t>
            </w:r>
            <w:bookmarkEnd w:id="212"/>
            <w:bookmarkEnd w:id="213"/>
            <w:r w:rsidRPr="0098635C">
              <w:rPr>
                <w:color w:val="000000" w:themeColor="text1"/>
              </w:rPr>
              <w:t xml:space="preserve"> </w:t>
            </w:r>
          </w:p>
          <w:p w14:paraId="12FB7E0C" w14:textId="77777777" w:rsidR="008D1AE9" w:rsidRPr="0098635C" w:rsidRDefault="008D1AE9" w:rsidP="00AF385A">
            <w:pPr>
              <w:pStyle w:val="NoteLevel211"/>
              <w:jc w:val="left"/>
              <w:rPr>
                <w:color w:val="000000" w:themeColor="text1"/>
              </w:rPr>
            </w:pPr>
            <w:bookmarkStart w:id="214" w:name="_Toc471999442"/>
            <w:bookmarkStart w:id="215" w:name="_Toc472250885"/>
            <w:r w:rsidRPr="0098635C">
              <w:rPr>
                <w:color w:val="000000" w:themeColor="text1"/>
              </w:rPr>
              <w:t>(c) 80 (42-56d)</w:t>
            </w:r>
            <w:bookmarkEnd w:id="214"/>
            <w:bookmarkEnd w:id="215"/>
          </w:p>
          <w:p w14:paraId="551F483B" w14:textId="77777777" w:rsidR="008D1AE9" w:rsidRPr="0098635C" w:rsidRDefault="008D1AE9" w:rsidP="00AF385A">
            <w:pPr>
              <w:pStyle w:val="NoteLevel211"/>
              <w:jc w:val="left"/>
              <w:rPr>
                <w:color w:val="000000" w:themeColor="text1"/>
              </w:rPr>
            </w:pPr>
          </w:p>
          <w:p w14:paraId="2C22F047" w14:textId="77777777" w:rsidR="008D1AE9" w:rsidRPr="0098635C" w:rsidRDefault="008D1AE9" w:rsidP="00AF385A">
            <w:pPr>
              <w:pStyle w:val="NoteLevel211"/>
              <w:jc w:val="left"/>
              <w:rPr>
                <w:color w:val="000000" w:themeColor="text1"/>
              </w:rPr>
            </w:pPr>
            <w:bookmarkStart w:id="216" w:name="_Toc471999443"/>
            <w:bookmarkStart w:id="217" w:name="_Toc472250886"/>
            <w:r w:rsidRPr="0098635C">
              <w:rPr>
                <w:color w:val="000000" w:themeColor="text1"/>
              </w:rPr>
              <w:t>15</w:t>
            </w:r>
            <w:bookmarkEnd w:id="216"/>
            <w:bookmarkEnd w:id="217"/>
            <w:r w:rsidRPr="0098635C">
              <w:rPr>
                <w:color w:val="000000" w:themeColor="text1"/>
              </w:rPr>
              <w:t xml:space="preserve"> </w:t>
            </w:r>
          </w:p>
          <w:p w14:paraId="53689C66" w14:textId="77777777" w:rsidR="008D1AE9" w:rsidRPr="0098635C" w:rsidRDefault="008D1AE9" w:rsidP="00AF385A">
            <w:pPr>
              <w:pStyle w:val="NoteLevel211"/>
              <w:jc w:val="left"/>
              <w:rPr>
                <w:color w:val="000000" w:themeColor="text1"/>
              </w:rPr>
            </w:pPr>
            <w:bookmarkStart w:id="218" w:name="_Toc471999444"/>
            <w:bookmarkStart w:id="219" w:name="_Toc472250887"/>
            <w:r w:rsidRPr="0098635C">
              <w:rPr>
                <w:color w:val="000000" w:themeColor="text1"/>
              </w:rPr>
              <w:t>17</w:t>
            </w:r>
            <w:bookmarkEnd w:id="218"/>
            <w:bookmarkEnd w:id="219"/>
            <w:r w:rsidRPr="0098635C">
              <w:rPr>
                <w:color w:val="000000" w:themeColor="text1"/>
              </w:rPr>
              <w:t xml:space="preserve"> </w:t>
            </w:r>
          </w:p>
          <w:p w14:paraId="6F44CF44" w14:textId="77777777" w:rsidR="008D1AE9" w:rsidRPr="0098635C" w:rsidRDefault="008D1AE9" w:rsidP="00AF385A">
            <w:pPr>
              <w:pStyle w:val="NoteLevel211"/>
              <w:jc w:val="left"/>
              <w:rPr>
                <w:color w:val="000000" w:themeColor="text1"/>
              </w:rPr>
            </w:pPr>
            <w:bookmarkStart w:id="220" w:name="_Toc471999445"/>
            <w:bookmarkStart w:id="221" w:name="_Toc472250888"/>
            <w:r w:rsidRPr="0098635C">
              <w:rPr>
                <w:color w:val="000000" w:themeColor="text1"/>
              </w:rPr>
              <w:t>16</w:t>
            </w:r>
            <w:bookmarkEnd w:id="220"/>
            <w:bookmarkEnd w:id="221"/>
          </w:p>
        </w:tc>
        <w:tc>
          <w:tcPr>
            <w:tcW w:w="992" w:type="dxa"/>
            <w:tcMar>
              <w:top w:w="20" w:type="nil"/>
              <w:left w:w="20" w:type="nil"/>
              <w:bottom w:w="20" w:type="nil"/>
              <w:right w:w="20" w:type="nil"/>
            </w:tcMar>
            <w:vAlign w:val="center"/>
          </w:tcPr>
          <w:p w14:paraId="3DD05838" w14:textId="77777777" w:rsidR="008D1AE9" w:rsidRPr="0098635C" w:rsidRDefault="008D1AE9" w:rsidP="00AF385A">
            <w:pPr>
              <w:pStyle w:val="NoteLevel211"/>
              <w:jc w:val="left"/>
              <w:rPr>
                <w:color w:val="000000" w:themeColor="text1"/>
              </w:rPr>
            </w:pPr>
            <w:bookmarkStart w:id="222" w:name="_Toc471999446"/>
            <w:bookmarkStart w:id="223" w:name="_Toc472250889"/>
            <w:r w:rsidRPr="0098635C">
              <w:rPr>
                <w:color w:val="000000" w:themeColor="text1"/>
              </w:rPr>
              <w:t>0.30</w:t>
            </w:r>
            <w:bookmarkEnd w:id="222"/>
            <w:bookmarkEnd w:id="223"/>
            <w:r w:rsidRPr="0098635C">
              <w:rPr>
                <w:color w:val="000000" w:themeColor="text1"/>
              </w:rPr>
              <w:t xml:space="preserve"> </w:t>
            </w:r>
          </w:p>
          <w:p w14:paraId="7CD52133" w14:textId="77777777" w:rsidR="008D1AE9" w:rsidRPr="0098635C" w:rsidRDefault="008D1AE9" w:rsidP="00AF385A">
            <w:pPr>
              <w:pStyle w:val="NoteLevel211"/>
              <w:jc w:val="left"/>
              <w:rPr>
                <w:color w:val="000000" w:themeColor="text1"/>
              </w:rPr>
            </w:pPr>
            <w:bookmarkStart w:id="224" w:name="_Toc471999447"/>
            <w:bookmarkStart w:id="225" w:name="_Toc472250890"/>
            <w:r w:rsidRPr="0098635C">
              <w:rPr>
                <w:color w:val="000000" w:themeColor="text1"/>
              </w:rPr>
              <w:t>0.35</w:t>
            </w:r>
            <w:bookmarkEnd w:id="224"/>
            <w:bookmarkEnd w:id="225"/>
            <w:r w:rsidRPr="0098635C">
              <w:rPr>
                <w:color w:val="000000" w:themeColor="text1"/>
              </w:rPr>
              <w:t xml:space="preserve"> </w:t>
            </w:r>
          </w:p>
          <w:p w14:paraId="17679EF6" w14:textId="77777777" w:rsidR="008D1AE9" w:rsidRPr="0098635C" w:rsidRDefault="008D1AE9" w:rsidP="00AF385A">
            <w:pPr>
              <w:pStyle w:val="NoteLevel211"/>
              <w:jc w:val="left"/>
              <w:rPr>
                <w:color w:val="000000" w:themeColor="text1"/>
              </w:rPr>
            </w:pPr>
            <w:bookmarkStart w:id="226" w:name="_Toc471999448"/>
            <w:bookmarkStart w:id="227" w:name="_Toc472250891"/>
            <w:r w:rsidRPr="0098635C">
              <w:rPr>
                <w:color w:val="000000" w:themeColor="text1"/>
              </w:rPr>
              <w:t>0.32</w:t>
            </w:r>
            <w:bookmarkEnd w:id="226"/>
            <w:bookmarkEnd w:id="227"/>
          </w:p>
          <w:p w14:paraId="7D49F989" w14:textId="77777777" w:rsidR="008D1AE9" w:rsidRPr="0098635C" w:rsidRDefault="008D1AE9" w:rsidP="00AF385A">
            <w:pPr>
              <w:pStyle w:val="NoteLevel211"/>
              <w:jc w:val="left"/>
              <w:rPr>
                <w:color w:val="000000" w:themeColor="text1"/>
              </w:rPr>
            </w:pPr>
          </w:p>
          <w:p w14:paraId="19F7097D" w14:textId="77777777" w:rsidR="008D1AE9" w:rsidRPr="0098635C" w:rsidRDefault="008D1AE9" w:rsidP="00AF385A">
            <w:pPr>
              <w:pStyle w:val="NoteLevel211"/>
              <w:jc w:val="left"/>
              <w:rPr>
                <w:color w:val="000000" w:themeColor="text1"/>
              </w:rPr>
            </w:pPr>
            <w:bookmarkStart w:id="228" w:name="_Toc471999449"/>
            <w:bookmarkStart w:id="229" w:name="_Toc472250892"/>
            <w:r w:rsidRPr="0098635C">
              <w:rPr>
                <w:color w:val="000000" w:themeColor="text1"/>
              </w:rPr>
              <w:t>0.06</w:t>
            </w:r>
            <w:bookmarkEnd w:id="228"/>
            <w:bookmarkEnd w:id="229"/>
            <w:r w:rsidRPr="0098635C">
              <w:rPr>
                <w:color w:val="000000" w:themeColor="text1"/>
              </w:rPr>
              <w:t xml:space="preserve"> </w:t>
            </w:r>
          </w:p>
          <w:p w14:paraId="3533B8AF" w14:textId="77777777" w:rsidR="008D1AE9" w:rsidRPr="0098635C" w:rsidRDefault="008D1AE9" w:rsidP="00AF385A">
            <w:pPr>
              <w:pStyle w:val="NoteLevel211"/>
              <w:jc w:val="left"/>
              <w:rPr>
                <w:color w:val="000000" w:themeColor="text1"/>
              </w:rPr>
            </w:pPr>
            <w:bookmarkStart w:id="230" w:name="_Toc471999450"/>
            <w:bookmarkStart w:id="231" w:name="_Toc472250893"/>
            <w:r w:rsidRPr="0098635C">
              <w:rPr>
                <w:color w:val="000000" w:themeColor="text1"/>
              </w:rPr>
              <w:t>0.07</w:t>
            </w:r>
            <w:bookmarkEnd w:id="230"/>
            <w:bookmarkEnd w:id="231"/>
            <w:r w:rsidRPr="0098635C">
              <w:rPr>
                <w:color w:val="000000" w:themeColor="text1"/>
              </w:rPr>
              <w:t xml:space="preserve"> </w:t>
            </w:r>
          </w:p>
          <w:p w14:paraId="1C40D4DD" w14:textId="77777777" w:rsidR="008D1AE9" w:rsidRPr="0098635C" w:rsidRDefault="008D1AE9" w:rsidP="00AF385A">
            <w:pPr>
              <w:pStyle w:val="NoteLevel211"/>
              <w:jc w:val="left"/>
              <w:rPr>
                <w:color w:val="000000" w:themeColor="text1"/>
              </w:rPr>
            </w:pPr>
            <w:bookmarkStart w:id="232" w:name="_Toc471999451"/>
            <w:bookmarkStart w:id="233" w:name="_Toc472250894"/>
            <w:r w:rsidRPr="0098635C">
              <w:rPr>
                <w:color w:val="000000" w:themeColor="text1"/>
              </w:rPr>
              <w:t>0.06</w:t>
            </w:r>
            <w:bookmarkEnd w:id="232"/>
            <w:bookmarkEnd w:id="233"/>
          </w:p>
        </w:tc>
        <w:tc>
          <w:tcPr>
            <w:tcW w:w="1701" w:type="dxa"/>
            <w:tcMar>
              <w:top w:w="20" w:type="nil"/>
              <w:left w:w="20" w:type="nil"/>
              <w:bottom w:w="20" w:type="nil"/>
              <w:right w:w="20" w:type="nil"/>
            </w:tcMar>
            <w:vAlign w:val="center"/>
          </w:tcPr>
          <w:p w14:paraId="7E32DA1A" w14:textId="77777777" w:rsidR="008D1AE9" w:rsidRPr="0098635C" w:rsidRDefault="008D1AE9" w:rsidP="00AF385A">
            <w:pPr>
              <w:pStyle w:val="NoteLevel211"/>
              <w:jc w:val="left"/>
              <w:rPr>
                <w:color w:val="000000" w:themeColor="text1"/>
              </w:rPr>
            </w:pPr>
            <w:bookmarkStart w:id="234" w:name="_Toc471999452"/>
            <w:bookmarkStart w:id="235" w:name="_Toc472250895"/>
            <w:r w:rsidRPr="0098635C">
              <w:rPr>
                <w:color w:val="000000" w:themeColor="text1"/>
              </w:rPr>
              <w:t>Up to 56d (treatment)</w:t>
            </w:r>
            <w:bookmarkEnd w:id="234"/>
            <w:bookmarkEnd w:id="235"/>
            <w:r w:rsidRPr="0098635C">
              <w:rPr>
                <w:color w:val="000000" w:themeColor="text1"/>
              </w:rPr>
              <w:t xml:space="preserve"> </w:t>
            </w:r>
          </w:p>
          <w:p w14:paraId="7FE62402" w14:textId="77777777" w:rsidR="008D1AE9" w:rsidRPr="0098635C" w:rsidRDefault="008D1AE9" w:rsidP="00AF385A">
            <w:pPr>
              <w:pStyle w:val="NoteLevel211"/>
              <w:jc w:val="left"/>
              <w:rPr>
                <w:color w:val="000000" w:themeColor="text1"/>
              </w:rPr>
            </w:pPr>
            <w:bookmarkStart w:id="236" w:name="_Toc471999453"/>
            <w:bookmarkStart w:id="237" w:name="_Toc472250896"/>
            <w:r w:rsidRPr="0098635C">
              <w:rPr>
                <w:color w:val="000000" w:themeColor="text1"/>
              </w:rPr>
              <w:t xml:space="preserve">4d (whole-body </w:t>
            </w:r>
            <w:r w:rsidRPr="0098635C">
              <w:rPr>
                <w:color w:val="000000" w:themeColor="text1"/>
                <w:vertAlign w:val="superscript"/>
              </w:rPr>
              <w:t>64</w:t>
            </w:r>
            <w:r w:rsidRPr="0098635C">
              <w:rPr>
                <w:color w:val="000000" w:themeColor="text1"/>
              </w:rPr>
              <w:t>Cu)</w:t>
            </w:r>
            <w:bookmarkEnd w:id="236"/>
            <w:bookmarkEnd w:id="237"/>
            <w:r w:rsidRPr="0098635C">
              <w:rPr>
                <w:color w:val="000000" w:themeColor="text1"/>
              </w:rPr>
              <w:t xml:space="preserve"> </w:t>
            </w:r>
          </w:p>
          <w:p w14:paraId="3B0057A3" w14:textId="77777777" w:rsidR="008D1AE9" w:rsidRPr="0098635C" w:rsidRDefault="008D1AE9" w:rsidP="00AF385A">
            <w:pPr>
              <w:pStyle w:val="NoteLevel211"/>
              <w:jc w:val="left"/>
              <w:rPr>
                <w:color w:val="000000" w:themeColor="text1"/>
              </w:rPr>
            </w:pPr>
            <w:bookmarkStart w:id="238" w:name="_Toc471999454"/>
            <w:bookmarkStart w:id="239" w:name="_Toc472250897"/>
            <w:r w:rsidRPr="0098635C">
              <w:rPr>
                <w:color w:val="000000" w:themeColor="text1"/>
              </w:rPr>
              <w:t>14d (faeces collection)</w:t>
            </w:r>
            <w:bookmarkEnd w:id="238"/>
            <w:bookmarkEnd w:id="239"/>
          </w:p>
        </w:tc>
        <w:tc>
          <w:tcPr>
            <w:tcW w:w="1545" w:type="dxa"/>
            <w:tcMar>
              <w:top w:w="20" w:type="nil"/>
              <w:left w:w="20" w:type="nil"/>
              <w:bottom w:w="20" w:type="nil"/>
              <w:right w:w="20" w:type="nil"/>
            </w:tcMar>
            <w:vAlign w:val="center"/>
          </w:tcPr>
          <w:p w14:paraId="172EEC3F" w14:textId="77777777" w:rsidR="008D1AE9" w:rsidRPr="0098635C" w:rsidRDefault="008D1AE9" w:rsidP="00AF385A">
            <w:pPr>
              <w:pStyle w:val="NoteLevel211"/>
              <w:jc w:val="left"/>
              <w:rPr>
                <w:color w:val="000000" w:themeColor="text1"/>
              </w:rPr>
            </w:pPr>
            <w:bookmarkStart w:id="240" w:name="_Toc471999455"/>
            <w:bookmarkStart w:id="241" w:name="_Toc472250898"/>
            <w:r w:rsidRPr="0098635C">
              <w:rPr>
                <w:color w:val="000000" w:themeColor="text1"/>
              </w:rPr>
              <w:t xml:space="preserve">Whole-body counting of </w:t>
            </w:r>
            <w:r w:rsidRPr="0098635C">
              <w:rPr>
                <w:color w:val="000000" w:themeColor="text1"/>
                <w:vertAlign w:val="superscript"/>
              </w:rPr>
              <w:t>64</w:t>
            </w:r>
            <w:r w:rsidRPr="0098635C">
              <w:rPr>
                <w:color w:val="000000" w:themeColor="text1"/>
              </w:rPr>
              <w:t>Cu  AAS analysis of feed/faecal Cu</w:t>
            </w:r>
            <w:bookmarkEnd w:id="240"/>
            <w:bookmarkEnd w:id="241"/>
          </w:p>
        </w:tc>
        <w:tc>
          <w:tcPr>
            <w:tcW w:w="1378" w:type="dxa"/>
            <w:tcMar>
              <w:top w:w="20" w:type="nil"/>
              <w:left w:w="20" w:type="nil"/>
              <w:bottom w:w="20" w:type="nil"/>
              <w:right w:w="20" w:type="nil"/>
            </w:tcMar>
            <w:vAlign w:val="center"/>
          </w:tcPr>
          <w:p w14:paraId="7E29F32A" w14:textId="77777777" w:rsidR="008D1AE9" w:rsidRPr="0098635C" w:rsidRDefault="008D1AE9" w:rsidP="00AF385A">
            <w:pPr>
              <w:pStyle w:val="NoteLevel211"/>
              <w:jc w:val="left"/>
              <w:rPr>
                <w:color w:val="000000" w:themeColor="text1"/>
              </w:rPr>
            </w:pPr>
            <w:bookmarkStart w:id="242" w:name="_Toc471999456"/>
            <w:bookmarkStart w:id="243" w:name="_Toc472250899"/>
            <w:r w:rsidRPr="0098635C">
              <w:rPr>
                <w:color w:val="000000" w:themeColor="text1"/>
              </w:rPr>
              <w:t>32 ± 2</w:t>
            </w:r>
            <w:bookmarkEnd w:id="242"/>
            <w:bookmarkEnd w:id="243"/>
            <w:r w:rsidRPr="0098635C">
              <w:rPr>
                <w:color w:val="000000" w:themeColor="text1"/>
              </w:rPr>
              <w:t xml:space="preserve"> </w:t>
            </w:r>
          </w:p>
          <w:p w14:paraId="2A62A0FF" w14:textId="77777777" w:rsidR="008D1AE9" w:rsidRPr="0098635C" w:rsidRDefault="008D1AE9" w:rsidP="00AF385A">
            <w:pPr>
              <w:pStyle w:val="NoteLevel211"/>
              <w:jc w:val="left"/>
              <w:rPr>
                <w:color w:val="000000" w:themeColor="text1"/>
              </w:rPr>
            </w:pPr>
            <w:bookmarkStart w:id="244" w:name="_Toc471999457"/>
            <w:bookmarkStart w:id="245" w:name="_Toc472250900"/>
            <w:r w:rsidRPr="0098635C">
              <w:rPr>
                <w:color w:val="000000" w:themeColor="text1"/>
              </w:rPr>
              <w:t>31± 2</w:t>
            </w:r>
            <w:bookmarkEnd w:id="244"/>
            <w:bookmarkEnd w:id="245"/>
            <w:r w:rsidRPr="0098635C">
              <w:rPr>
                <w:color w:val="000000" w:themeColor="text1"/>
              </w:rPr>
              <w:t xml:space="preserve"> </w:t>
            </w:r>
          </w:p>
          <w:p w14:paraId="24C73187" w14:textId="77777777" w:rsidR="008D1AE9" w:rsidRPr="0098635C" w:rsidRDefault="008D1AE9" w:rsidP="00AF385A">
            <w:pPr>
              <w:pStyle w:val="NoteLevel211"/>
              <w:jc w:val="left"/>
              <w:rPr>
                <w:color w:val="000000" w:themeColor="text1"/>
              </w:rPr>
            </w:pPr>
            <w:bookmarkStart w:id="246" w:name="_Toc471999458"/>
            <w:bookmarkStart w:id="247" w:name="_Toc472250901"/>
            <w:r w:rsidRPr="0098635C">
              <w:rPr>
                <w:color w:val="000000" w:themeColor="text1"/>
              </w:rPr>
              <w:t>22 ± 3</w:t>
            </w:r>
            <w:bookmarkEnd w:id="246"/>
            <w:bookmarkEnd w:id="247"/>
          </w:p>
          <w:p w14:paraId="08C3C82F" w14:textId="77777777" w:rsidR="008D1AE9" w:rsidRPr="0098635C" w:rsidRDefault="008D1AE9" w:rsidP="00AF385A">
            <w:pPr>
              <w:pStyle w:val="NoteLevel211"/>
              <w:jc w:val="left"/>
              <w:rPr>
                <w:color w:val="000000" w:themeColor="text1"/>
              </w:rPr>
            </w:pPr>
          </w:p>
          <w:p w14:paraId="59E37922" w14:textId="77777777" w:rsidR="008D1AE9" w:rsidRPr="0098635C" w:rsidRDefault="008D1AE9" w:rsidP="00AF385A">
            <w:pPr>
              <w:pStyle w:val="NoteLevel211"/>
              <w:jc w:val="left"/>
              <w:rPr>
                <w:color w:val="000000" w:themeColor="text1"/>
              </w:rPr>
            </w:pPr>
            <w:bookmarkStart w:id="248" w:name="_Toc471999459"/>
            <w:bookmarkStart w:id="249" w:name="_Toc472250902"/>
            <w:r w:rsidRPr="0098635C">
              <w:rPr>
                <w:color w:val="000000" w:themeColor="text1"/>
              </w:rPr>
              <w:t>46 ± 4</w:t>
            </w:r>
            <w:bookmarkEnd w:id="248"/>
            <w:bookmarkEnd w:id="249"/>
            <w:r w:rsidRPr="0098635C">
              <w:rPr>
                <w:color w:val="000000" w:themeColor="text1"/>
              </w:rPr>
              <w:t xml:space="preserve"> </w:t>
            </w:r>
          </w:p>
          <w:p w14:paraId="06AAE0D3" w14:textId="77777777" w:rsidR="008D1AE9" w:rsidRPr="0098635C" w:rsidRDefault="008D1AE9" w:rsidP="00AF385A">
            <w:pPr>
              <w:pStyle w:val="NoteLevel211"/>
              <w:jc w:val="left"/>
              <w:rPr>
                <w:color w:val="000000" w:themeColor="text1"/>
              </w:rPr>
            </w:pPr>
            <w:bookmarkStart w:id="250" w:name="_Toc471999460"/>
            <w:bookmarkStart w:id="251" w:name="_Toc472250903"/>
            <w:r w:rsidRPr="0098635C">
              <w:rPr>
                <w:color w:val="000000" w:themeColor="text1"/>
              </w:rPr>
              <w:t>48 ± 3</w:t>
            </w:r>
            <w:bookmarkEnd w:id="250"/>
            <w:bookmarkEnd w:id="251"/>
            <w:r w:rsidRPr="0098635C">
              <w:rPr>
                <w:color w:val="000000" w:themeColor="text1"/>
              </w:rPr>
              <w:t xml:space="preserve"> </w:t>
            </w:r>
          </w:p>
          <w:p w14:paraId="647FBF77" w14:textId="77777777" w:rsidR="008D1AE9" w:rsidRPr="0098635C" w:rsidRDefault="008D1AE9" w:rsidP="00AF385A">
            <w:pPr>
              <w:pStyle w:val="NoteLevel211"/>
              <w:jc w:val="left"/>
              <w:rPr>
                <w:color w:val="000000" w:themeColor="text1"/>
              </w:rPr>
            </w:pPr>
            <w:bookmarkStart w:id="252" w:name="_Toc471999461"/>
            <w:bookmarkStart w:id="253" w:name="_Toc472250904"/>
            <w:r w:rsidRPr="0098635C">
              <w:rPr>
                <w:color w:val="000000" w:themeColor="text1"/>
              </w:rPr>
              <w:t>53 ± 3</w:t>
            </w:r>
            <w:bookmarkEnd w:id="252"/>
            <w:bookmarkEnd w:id="253"/>
          </w:p>
        </w:tc>
        <w:tc>
          <w:tcPr>
            <w:tcW w:w="1024" w:type="dxa"/>
            <w:tcMar>
              <w:top w:w="20" w:type="nil"/>
              <w:left w:w="20" w:type="nil"/>
              <w:bottom w:w="20" w:type="nil"/>
              <w:right w:w="20" w:type="nil"/>
            </w:tcMar>
            <w:vAlign w:val="center"/>
          </w:tcPr>
          <w:p w14:paraId="13E116A5" w14:textId="77777777" w:rsidR="008D1AE9" w:rsidRPr="0098635C" w:rsidRDefault="008D1AE9" w:rsidP="00AF385A">
            <w:pPr>
              <w:pStyle w:val="NoteLevel211"/>
              <w:jc w:val="left"/>
              <w:rPr>
                <w:color w:val="000000" w:themeColor="text1"/>
              </w:rPr>
            </w:pPr>
            <w:bookmarkStart w:id="254" w:name="_Toc471999462"/>
            <w:bookmarkStart w:id="255" w:name="_Toc472250905"/>
            <w:r w:rsidRPr="0098635C">
              <w:rPr>
                <w:color w:val="000000" w:themeColor="text1"/>
              </w:rPr>
              <w:t>55 ± 5</w:t>
            </w:r>
            <w:bookmarkEnd w:id="254"/>
            <w:bookmarkEnd w:id="255"/>
            <w:r w:rsidRPr="0098635C">
              <w:rPr>
                <w:color w:val="000000" w:themeColor="text1"/>
              </w:rPr>
              <w:t xml:space="preserve"> </w:t>
            </w:r>
          </w:p>
          <w:p w14:paraId="3D2E6653" w14:textId="77777777" w:rsidR="008D1AE9" w:rsidRPr="0098635C" w:rsidRDefault="008D1AE9" w:rsidP="00AF385A">
            <w:pPr>
              <w:pStyle w:val="NoteLevel211"/>
              <w:jc w:val="left"/>
              <w:rPr>
                <w:color w:val="000000" w:themeColor="text1"/>
              </w:rPr>
            </w:pPr>
            <w:bookmarkStart w:id="256" w:name="_Toc471999463"/>
            <w:bookmarkStart w:id="257" w:name="_Toc472250906"/>
            <w:r w:rsidRPr="0098635C">
              <w:rPr>
                <w:color w:val="000000" w:themeColor="text1"/>
              </w:rPr>
              <w:t>56 ± 13 52 ± 10</w:t>
            </w:r>
            <w:bookmarkEnd w:id="256"/>
            <w:bookmarkEnd w:id="257"/>
          </w:p>
          <w:p w14:paraId="38184257" w14:textId="77777777" w:rsidR="008D1AE9" w:rsidRPr="0098635C" w:rsidRDefault="008D1AE9" w:rsidP="00AF385A">
            <w:pPr>
              <w:pStyle w:val="NoteLevel211"/>
              <w:jc w:val="left"/>
              <w:rPr>
                <w:color w:val="000000" w:themeColor="text1"/>
              </w:rPr>
            </w:pPr>
          </w:p>
          <w:p w14:paraId="15B5C253" w14:textId="77777777" w:rsidR="008D1AE9" w:rsidRPr="0098635C" w:rsidRDefault="008D1AE9" w:rsidP="00AF385A">
            <w:pPr>
              <w:pStyle w:val="NoteLevel211"/>
              <w:jc w:val="left"/>
              <w:rPr>
                <w:color w:val="000000" w:themeColor="text1"/>
              </w:rPr>
            </w:pPr>
            <w:bookmarkStart w:id="258" w:name="_Toc471999464"/>
            <w:bookmarkStart w:id="259" w:name="_Toc472250907"/>
            <w:r w:rsidRPr="0098635C">
              <w:rPr>
                <w:color w:val="000000" w:themeColor="text1"/>
              </w:rPr>
              <w:t>(a) 72 ± 6 (b) 66 ± 3 (c) 58 ± 7</w:t>
            </w:r>
            <w:bookmarkEnd w:id="258"/>
            <w:bookmarkEnd w:id="259"/>
          </w:p>
        </w:tc>
        <w:tc>
          <w:tcPr>
            <w:tcW w:w="1865" w:type="dxa"/>
            <w:tcMar>
              <w:top w:w="20" w:type="nil"/>
              <w:left w:w="20" w:type="nil"/>
              <w:bottom w:w="20" w:type="nil"/>
              <w:right w:w="20" w:type="nil"/>
            </w:tcMar>
            <w:vAlign w:val="center"/>
          </w:tcPr>
          <w:p w14:paraId="78EC9EE6" w14:textId="77777777" w:rsidR="008D1AE9" w:rsidRPr="0098635C" w:rsidRDefault="008D1AE9" w:rsidP="00AF385A">
            <w:pPr>
              <w:pStyle w:val="NoteLevel211"/>
              <w:jc w:val="left"/>
              <w:rPr>
                <w:color w:val="000000" w:themeColor="text1"/>
              </w:rPr>
            </w:pPr>
            <w:bookmarkStart w:id="260" w:name="_Toc471999465"/>
            <w:bookmarkStart w:id="261" w:name="_Toc472250908"/>
            <w:r w:rsidRPr="0098635C">
              <w:rPr>
                <w:color w:val="000000" w:themeColor="text1"/>
              </w:rPr>
              <w:t>Cu T</w:t>
            </w:r>
            <w:r w:rsidRPr="0098635C">
              <w:rPr>
                <w:color w:val="000000" w:themeColor="text1"/>
                <w:position w:val="-4"/>
              </w:rPr>
              <w:t>1/2</w:t>
            </w:r>
            <w:r w:rsidRPr="0098635C">
              <w:rPr>
                <w:color w:val="000000" w:themeColor="text1"/>
              </w:rPr>
              <w:t>: 5.6 ± 0.4 (i.p.)</w:t>
            </w:r>
            <w:bookmarkEnd w:id="260"/>
            <w:bookmarkEnd w:id="261"/>
          </w:p>
          <w:p w14:paraId="2898D8F7" w14:textId="77777777" w:rsidR="008D1AE9" w:rsidRPr="0098635C" w:rsidRDefault="008D1AE9" w:rsidP="00AF385A">
            <w:pPr>
              <w:pStyle w:val="NoteLevel211"/>
              <w:jc w:val="left"/>
              <w:rPr>
                <w:color w:val="000000" w:themeColor="text1"/>
              </w:rPr>
            </w:pPr>
          </w:p>
          <w:p w14:paraId="0AC83581" w14:textId="77777777" w:rsidR="008D1AE9" w:rsidRPr="0098635C" w:rsidRDefault="008D1AE9" w:rsidP="00AF385A">
            <w:pPr>
              <w:pStyle w:val="NoteLevel211"/>
              <w:jc w:val="left"/>
              <w:rPr>
                <w:color w:val="000000" w:themeColor="text1"/>
              </w:rPr>
            </w:pPr>
          </w:p>
          <w:p w14:paraId="3DB94B10" w14:textId="77777777" w:rsidR="008D1AE9" w:rsidRPr="0098635C" w:rsidRDefault="008D1AE9" w:rsidP="00AF385A">
            <w:pPr>
              <w:pStyle w:val="NoteLevel211"/>
              <w:jc w:val="left"/>
              <w:rPr>
                <w:color w:val="000000" w:themeColor="text1"/>
              </w:rPr>
            </w:pPr>
            <w:bookmarkStart w:id="262" w:name="_Toc471999466"/>
            <w:bookmarkStart w:id="263" w:name="_Toc472250909"/>
            <w:r w:rsidRPr="0098635C">
              <w:rPr>
                <w:color w:val="000000" w:themeColor="text1"/>
              </w:rPr>
              <w:t>18.8 ± 1.1 (i.p.)</w:t>
            </w:r>
            <w:bookmarkEnd w:id="262"/>
            <w:bookmarkEnd w:id="263"/>
          </w:p>
        </w:tc>
      </w:tr>
      <w:tr w:rsidR="008D1AE9" w:rsidRPr="0098635C" w14:paraId="198E3237" w14:textId="77777777" w:rsidTr="00A208E5">
        <w:tc>
          <w:tcPr>
            <w:tcW w:w="1310" w:type="dxa"/>
            <w:tcMar>
              <w:top w:w="20" w:type="nil"/>
              <w:left w:w="20" w:type="nil"/>
              <w:bottom w:w="20" w:type="nil"/>
              <w:right w:w="20" w:type="nil"/>
            </w:tcMar>
            <w:vAlign w:val="center"/>
          </w:tcPr>
          <w:p w14:paraId="6AB0E0AA" w14:textId="77777777" w:rsidR="008D1AE9" w:rsidRPr="0098635C" w:rsidRDefault="008D1AE9" w:rsidP="00AF385A">
            <w:pPr>
              <w:pStyle w:val="NoteLevel211"/>
              <w:jc w:val="left"/>
              <w:rPr>
                <w:color w:val="000000" w:themeColor="text1"/>
              </w:rPr>
            </w:pPr>
            <w:bookmarkStart w:id="264" w:name="_Toc471999467"/>
            <w:bookmarkStart w:id="265" w:name="_Toc472250910"/>
            <w:r w:rsidRPr="0098635C">
              <w:rPr>
                <w:color w:val="000000" w:themeColor="text1"/>
              </w:rPr>
              <w:t>Johnson (1988)</w:t>
            </w:r>
            <w:bookmarkEnd w:id="264"/>
            <w:bookmarkEnd w:id="265"/>
          </w:p>
        </w:tc>
        <w:tc>
          <w:tcPr>
            <w:tcW w:w="1119" w:type="dxa"/>
            <w:tcMar>
              <w:top w:w="20" w:type="nil"/>
              <w:left w:w="20" w:type="nil"/>
              <w:bottom w:w="20" w:type="nil"/>
              <w:right w:w="20" w:type="nil"/>
            </w:tcMar>
            <w:vAlign w:val="center"/>
          </w:tcPr>
          <w:p w14:paraId="1EA7D6F7" w14:textId="0991D240" w:rsidR="008D1AE9" w:rsidRPr="0098635C" w:rsidRDefault="008D1AE9" w:rsidP="00AF385A">
            <w:pPr>
              <w:pStyle w:val="NoteLevel211"/>
              <w:jc w:val="left"/>
              <w:rPr>
                <w:color w:val="000000" w:themeColor="text1"/>
              </w:rPr>
            </w:pPr>
            <w:bookmarkStart w:id="266" w:name="_Toc471999468"/>
            <w:bookmarkStart w:id="267" w:name="_Toc472250911"/>
            <w:r w:rsidRPr="0098635C">
              <w:rPr>
                <w:color w:val="000000" w:themeColor="text1"/>
              </w:rPr>
              <w:t>Long-Evans rat (male)</w:t>
            </w:r>
            <w:r w:rsidR="00E46E2D" w:rsidRPr="0098635C">
              <w:rPr>
                <w:color w:val="000000" w:themeColor="text1"/>
              </w:rPr>
              <w:t xml:space="preserve"> (n= 25 rats/dietary group)</w:t>
            </w:r>
            <w:bookmarkEnd w:id="266"/>
            <w:bookmarkEnd w:id="267"/>
          </w:p>
        </w:tc>
        <w:tc>
          <w:tcPr>
            <w:tcW w:w="1223" w:type="dxa"/>
            <w:tcMar>
              <w:top w:w="20" w:type="nil"/>
              <w:left w:w="20" w:type="nil"/>
              <w:bottom w:w="20" w:type="nil"/>
              <w:right w:w="20" w:type="nil"/>
            </w:tcMar>
            <w:vAlign w:val="center"/>
          </w:tcPr>
          <w:p w14:paraId="27EE8937" w14:textId="77777777" w:rsidR="008D1AE9" w:rsidRPr="0098635C" w:rsidRDefault="008D1AE9" w:rsidP="00AF385A">
            <w:pPr>
              <w:pStyle w:val="NoteLevel211"/>
              <w:jc w:val="left"/>
              <w:rPr>
                <w:color w:val="000000" w:themeColor="text1"/>
              </w:rPr>
            </w:pPr>
            <w:bookmarkStart w:id="268" w:name="_Toc471999469"/>
            <w:bookmarkStart w:id="269" w:name="_Toc472250912"/>
            <w:r w:rsidRPr="0098635C">
              <w:rPr>
                <w:color w:val="000000" w:themeColor="text1"/>
              </w:rPr>
              <w:t xml:space="preserve">NR + </w:t>
            </w:r>
            <w:r w:rsidRPr="0098635C">
              <w:rPr>
                <w:color w:val="000000" w:themeColor="text1"/>
                <w:vertAlign w:val="superscript"/>
              </w:rPr>
              <w:t>67</w:t>
            </w:r>
            <w:r w:rsidRPr="0098635C">
              <w:rPr>
                <w:color w:val="000000" w:themeColor="text1"/>
              </w:rPr>
              <w:t>Cu (i.m.)</w:t>
            </w:r>
            <w:bookmarkEnd w:id="268"/>
            <w:bookmarkEnd w:id="269"/>
          </w:p>
        </w:tc>
        <w:tc>
          <w:tcPr>
            <w:tcW w:w="851" w:type="dxa"/>
            <w:tcMar>
              <w:top w:w="20" w:type="nil"/>
              <w:left w:w="20" w:type="nil"/>
              <w:bottom w:w="20" w:type="nil"/>
              <w:right w:w="20" w:type="nil"/>
            </w:tcMar>
            <w:vAlign w:val="center"/>
          </w:tcPr>
          <w:p w14:paraId="0512C166" w14:textId="77777777" w:rsidR="008D1AE9" w:rsidRPr="0098635C" w:rsidRDefault="008D1AE9" w:rsidP="00AF385A">
            <w:pPr>
              <w:pStyle w:val="NoteLevel211"/>
              <w:jc w:val="left"/>
              <w:rPr>
                <w:i/>
                <w:iCs/>
                <w:color w:val="000000" w:themeColor="text1"/>
                <w:position w:val="12"/>
              </w:rPr>
            </w:pPr>
            <w:bookmarkStart w:id="270" w:name="_Toc471999470"/>
            <w:bookmarkStart w:id="271" w:name="_Toc472250913"/>
            <w:r w:rsidRPr="0098635C">
              <w:rPr>
                <w:color w:val="000000" w:themeColor="text1"/>
              </w:rPr>
              <w:t>6.15</w:t>
            </w:r>
            <w:bookmarkEnd w:id="270"/>
            <w:bookmarkEnd w:id="271"/>
            <w:r w:rsidRPr="0098635C">
              <w:rPr>
                <w:i/>
                <w:iCs/>
                <w:color w:val="000000" w:themeColor="text1"/>
                <w:position w:val="12"/>
              </w:rPr>
              <w:t xml:space="preserve"> </w:t>
            </w:r>
          </w:p>
          <w:p w14:paraId="3B92254B" w14:textId="77777777" w:rsidR="008D1AE9" w:rsidRPr="0098635C" w:rsidRDefault="008D1AE9" w:rsidP="00AF385A">
            <w:pPr>
              <w:pStyle w:val="NoteLevel211"/>
              <w:jc w:val="left"/>
              <w:rPr>
                <w:color w:val="000000" w:themeColor="text1"/>
              </w:rPr>
            </w:pPr>
            <w:bookmarkStart w:id="272" w:name="_Toc471999471"/>
            <w:bookmarkStart w:id="273" w:name="_Toc472250914"/>
            <w:r w:rsidRPr="0098635C">
              <w:rPr>
                <w:color w:val="000000" w:themeColor="text1"/>
              </w:rPr>
              <w:t>0.42</w:t>
            </w:r>
            <w:bookmarkEnd w:id="272"/>
            <w:bookmarkEnd w:id="273"/>
            <w:r w:rsidRPr="0098635C">
              <w:rPr>
                <w:color w:val="000000" w:themeColor="text1"/>
              </w:rPr>
              <w:t xml:space="preserve"> </w:t>
            </w:r>
          </w:p>
        </w:tc>
        <w:tc>
          <w:tcPr>
            <w:tcW w:w="1559" w:type="dxa"/>
            <w:tcMar>
              <w:top w:w="20" w:type="nil"/>
              <w:left w:w="20" w:type="nil"/>
              <w:bottom w:w="20" w:type="nil"/>
              <w:right w:w="20" w:type="nil"/>
            </w:tcMar>
            <w:vAlign w:val="center"/>
          </w:tcPr>
          <w:p w14:paraId="70AD93C5" w14:textId="77777777" w:rsidR="008D1AE9" w:rsidRPr="0098635C" w:rsidRDefault="008D1AE9" w:rsidP="00AF385A">
            <w:pPr>
              <w:pStyle w:val="NoteLevel211"/>
              <w:jc w:val="left"/>
              <w:rPr>
                <w:color w:val="000000" w:themeColor="text1"/>
              </w:rPr>
            </w:pPr>
            <w:bookmarkStart w:id="274" w:name="_Toc471999472"/>
            <w:bookmarkStart w:id="275" w:name="_Toc472250915"/>
            <w:r w:rsidRPr="0098635C">
              <w:rPr>
                <w:color w:val="000000" w:themeColor="text1"/>
              </w:rPr>
              <w:t>113</w:t>
            </w:r>
            <w:bookmarkEnd w:id="274"/>
            <w:bookmarkEnd w:id="275"/>
            <w:r w:rsidRPr="0098635C">
              <w:rPr>
                <w:color w:val="000000" w:themeColor="text1"/>
              </w:rPr>
              <w:t xml:space="preserve"> </w:t>
            </w:r>
          </w:p>
          <w:p w14:paraId="4E0AF17D" w14:textId="77777777" w:rsidR="008D1AE9" w:rsidRPr="0098635C" w:rsidRDefault="008D1AE9" w:rsidP="00AF385A">
            <w:pPr>
              <w:pStyle w:val="NoteLevel211"/>
              <w:jc w:val="left"/>
              <w:rPr>
                <w:color w:val="000000" w:themeColor="text1"/>
              </w:rPr>
            </w:pPr>
            <w:bookmarkStart w:id="276" w:name="_Toc471999473"/>
            <w:bookmarkStart w:id="277" w:name="_Toc472250916"/>
            <w:r w:rsidRPr="0098635C">
              <w:rPr>
                <w:color w:val="000000" w:themeColor="text1"/>
              </w:rPr>
              <w:t>7.6</w:t>
            </w:r>
            <w:bookmarkEnd w:id="276"/>
            <w:bookmarkEnd w:id="277"/>
          </w:p>
        </w:tc>
        <w:tc>
          <w:tcPr>
            <w:tcW w:w="992" w:type="dxa"/>
            <w:tcMar>
              <w:top w:w="20" w:type="nil"/>
              <w:left w:w="20" w:type="nil"/>
              <w:bottom w:w="20" w:type="nil"/>
              <w:right w:w="20" w:type="nil"/>
            </w:tcMar>
            <w:vAlign w:val="center"/>
          </w:tcPr>
          <w:p w14:paraId="14DF2B3E" w14:textId="77777777" w:rsidR="008D1AE9" w:rsidRPr="0098635C" w:rsidRDefault="008D1AE9" w:rsidP="00AF385A">
            <w:pPr>
              <w:pStyle w:val="NoteLevel211"/>
              <w:jc w:val="left"/>
              <w:rPr>
                <w:color w:val="000000" w:themeColor="text1"/>
              </w:rPr>
            </w:pPr>
            <w:bookmarkStart w:id="278" w:name="_Toc471999474"/>
            <w:bookmarkStart w:id="279" w:name="_Toc472250917"/>
            <w:r w:rsidRPr="0098635C">
              <w:rPr>
                <w:color w:val="000000" w:themeColor="text1"/>
              </w:rPr>
              <w:t>0.45</w:t>
            </w:r>
            <w:bookmarkEnd w:id="278"/>
            <w:bookmarkEnd w:id="279"/>
            <w:r w:rsidRPr="0098635C">
              <w:rPr>
                <w:color w:val="000000" w:themeColor="text1"/>
              </w:rPr>
              <w:t xml:space="preserve"> </w:t>
            </w:r>
          </w:p>
          <w:p w14:paraId="508AB367" w14:textId="77777777" w:rsidR="008D1AE9" w:rsidRPr="0098635C" w:rsidRDefault="008D1AE9" w:rsidP="00AF385A">
            <w:pPr>
              <w:pStyle w:val="NoteLevel211"/>
              <w:jc w:val="left"/>
              <w:rPr>
                <w:color w:val="000000" w:themeColor="text1"/>
              </w:rPr>
            </w:pPr>
            <w:bookmarkStart w:id="280" w:name="_Toc471999475"/>
            <w:bookmarkStart w:id="281" w:name="_Toc472250918"/>
            <w:r w:rsidRPr="0098635C">
              <w:rPr>
                <w:color w:val="000000" w:themeColor="text1"/>
              </w:rPr>
              <w:t>0.03</w:t>
            </w:r>
            <w:bookmarkEnd w:id="280"/>
            <w:bookmarkEnd w:id="281"/>
          </w:p>
        </w:tc>
        <w:tc>
          <w:tcPr>
            <w:tcW w:w="1701" w:type="dxa"/>
            <w:tcMar>
              <w:top w:w="20" w:type="nil"/>
              <w:left w:w="20" w:type="nil"/>
              <w:bottom w:w="20" w:type="nil"/>
              <w:right w:w="20" w:type="nil"/>
            </w:tcMar>
            <w:vAlign w:val="center"/>
          </w:tcPr>
          <w:p w14:paraId="74115400" w14:textId="77777777" w:rsidR="008D1AE9" w:rsidRPr="0098635C" w:rsidRDefault="008D1AE9" w:rsidP="00AF385A">
            <w:pPr>
              <w:pStyle w:val="NoteLevel211"/>
              <w:jc w:val="left"/>
              <w:rPr>
                <w:color w:val="000000" w:themeColor="text1"/>
              </w:rPr>
            </w:pPr>
            <w:bookmarkStart w:id="282" w:name="_Toc471999476"/>
            <w:bookmarkStart w:id="283" w:name="_Toc472250919"/>
            <w:r w:rsidRPr="0098635C">
              <w:rPr>
                <w:color w:val="000000" w:themeColor="text1"/>
              </w:rPr>
              <w:t>4wk (treatment) 3-4d (faeces collection)</w:t>
            </w:r>
            <w:bookmarkEnd w:id="282"/>
            <w:bookmarkEnd w:id="283"/>
          </w:p>
        </w:tc>
        <w:tc>
          <w:tcPr>
            <w:tcW w:w="1545" w:type="dxa"/>
            <w:tcMar>
              <w:top w:w="20" w:type="nil"/>
              <w:left w:w="20" w:type="nil"/>
              <w:bottom w:w="20" w:type="nil"/>
              <w:right w:w="20" w:type="nil"/>
            </w:tcMar>
            <w:vAlign w:val="center"/>
          </w:tcPr>
          <w:p w14:paraId="57D07F2E" w14:textId="77777777" w:rsidR="008D1AE9" w:rsidRPr="0098635C" w:rsidRDefault="008D1AE9" w:rsidP="00AF385A">
            <w:pPr>
              <w:pStyle w:val="NoteLevel211"/>
              <w:jc w:val="left"/>
              <w:rPr>
                <w:color w:val="000000" w:themeColor="text1"/>
              </w:rPr>
            </w:pPr>
            <w:bookmarkStart w:id="284" w:name="_Toc471999477"/>
            <w:bookmarkStart w:id="285" w:name="_Toc472250920"/>
            <w:r w:rsidRPr="0098635C">
              <w:rPr>
                <w:color w:val="000000" w:themeColor="text1"/>
              </w:rPr>
              <w:t>Radioactivity (liver/kidney &amp; faeces) + isotope dilution AAS analysis of tissue/ faecal Cu</w:t>
            </w:r>
            <w:bookmarkEnd w:id="284"/>
            <w:bookmarkEnd w:id="285"/>
          </w:p>
        </w:tc>
        <w:tc>
          <w:tcPr>
            <w:tcW w:w="1378" w:type="dxa"/>
            <w:tcMar>
              <w:top w:w="20" w:type="nil"/>
              <w:left w:w="20" w:type="nil"/>
              <w:bottom w:w="20" w:type="nil"/>
              <w:right w:w="20" w:type="nil"/>
            </w:tcMar>
            <w:vAlign w:val="center"/>
          </w:tcPr>
          <w:p w14:paraId="74ABF939" w14:textId="77777777" w:rsidR="008D1AE9" w:rsidRPr="0098635C" w:rsidRDefault="008D1AE9" w:rsidP="00AF385A">
            <w:pPr>
              <w:pStyle w:val="NoteLevel211"/>
              <w:jc w:val="left"/>
              <w:rPr>
                <w:color w:val="000000" w:themeColor="text1"/>
              </w:rPr>
            </w:pPr>
            <w:bookmarkStart w:id="286" w:name="_Toc471999478"/>
            <w:bookmarkStart w:id="287" w:name="_Toc472250921"/>
            <w:r w:rsidRPr="0098635C">
              <w:rPr>
                <w:color w:val="000000" w:themeColor="text1"/>
              </w:rPr>
              <w:t>NR</w:t>
            </w:r>
            <w:bookmarkEnd w:id="286"/>
            <w:bookmarkEnd w:id="287"/>
          </w:p>
        </w:tc>
        <w:tc>
          <w:tcPr>
            <w:tcW w:w="1024" w:type="dxa"/>
            <w:tcMar>
              <w:top w:w="20" w:type="nil"/>
              <w:left w:w="20" w:type="nil"/>
              <w:bottom w:w="20" w:type="nil"/>
              <w:right w:w="20" w:type="nil"/>
            </w:tcMar>
            <w:vAlign w:val="center"/>
          </w:tcPr>
          <w:p w14:paraId="04850708" w14:textId="77777777" w:rsidR="008D1AE9" w:rsidRPr="0098635C" w:rsidRDefault="008D1AE9" w:rsidP="00AF385A">
            <w:pPr>
              <w:pStyle w:val="NoteLevel211"/>
              <w:jc w:val="left"/>
              <w:rPr>
                <w:color w:val="000000" w:themeColor="text1"/>
              </w:rPr>
            </w:pPr>
            <w:bookmarkStart w:id="288" w:name="_Toc471999479"/>
            <w:bookmarkStart w:id="289" w:name="_Toc472250922"/>
            <w:r w:rsidRPr="0098635C">
              <w:rPr>
                <w:color w:val="000000" w:themeColor="text1"/>
              </w:rPr>
              <w:t>39 ± 7</w:t>
            </w:r>
            <w:bookmarkEnd w:id="288"/>
            <w:bookmarkEnd w:id="289"/>
            <w:r w:rsidRPr="0098635C">
              <w:rPr>
                <w:color w:val="000000" w:themeColor="text1"/>
              </w:rPr>
              <w:t xml:space="preserve"> </w:t>
            </w:r>
          </w:p>
          <w:p w14:paraId="7E6B732D" w14:textId="77777777" w:rsidR="008D1AE9" w:rsidRPr="0098635C" w:rsidRDefault="008D1AE9" w:rsidP="00AF385A">
            <w:pPr>
              <w:pStyle w:val="NoteLevel211"/>
              <w:jc w:val="left"/>
              <w:rPr>
                <w:color w:val="000000" w:themeColor="text1"/>
              </w:rPr>
            </w:pPr>
            <w:bookmarkStart w:id="290" w:name="_Toc471999480"/>
            <w:bookmarkStart w:id="291" w:name="_Toc472250923"/>
            <w:r w:rsidRPr="0098635C">
              <w:rPr>
                <w:color w:val="000000" w:themeColor="text1"/>
              </w:rPr>
              <w:t>32 ± 10</w:t>
            </w:r>
            <w:bookmarkEnd w:id="290"/>
            <w:bookmarkEnd w:id="291"/>
          </w:p>
        </w:tc>
        <w:tc>
          <w:tcPr>
            <w:tcW w:w="1865" w:type="dxa"/>
            <w:tcMar>
              <w:top w:w="20" w:type="nil"/>
              <w:left w:w="20" w:type="nil"/>
              <w:bottom w:w="20" w:type="nil"/>
              <w:right w:w="20" w:type="nil"/>
            </w:tcMar>
            <w:vAlign w:val="center"/>
          </w:tcPr>
          <w:p w14:paraId="7B2E8B2B" w14:textId="77777777" w:rsidR="008D1AE9" w:rsidRPr="0098635C" w:rsidRDefault="008D1AE9" w:rsidP="00AF385A">
            <w:pPr>
              <w:pStyle w:val="NoteLevel211"/>
              <w:jc w:val="left"/>
              <w:rPr>
                <w:color w:val="000000" w:themeColor="text1"/>
              </w:rPr>
            </w:pPr>
            <w:bookmarkStart w:id="292" w:name="_Toc471999481"/>
            <w:bookmarkStart w:id="293" w:name="_Toc472250924"/>
            <w:r w:rsidRPr="0098635C">
              <w:rPr>
                <w:color w:val="000000" w:themeColor="text1"/>
              </w:rPr>
              <w:t>Balance:</w:t>
            </w:r>
            <w:bookmarkEnd w:id="292"/>
            <w:bookmarkEnd w:id="293"/>
            <w:r w:rsidRPr="0098635C">
              <w:rPr>
                <w:color w:val="000000" w:themeColor="text1"/>
              </w:rPr>
              <w:t xml:space="preserve"> </w:t>
            </w:r>
          </w:p>
          <w:p w14:paraId="439DDA58" w14:textId="77777777" w:rsidR="008D1AE9" w:rsidRPr="0098635C" w:rsidRDefault="008D1AE9" w:rsidP="00AF385A">
            <w:pPr>
              <w:pStyle w:val="NoteLevel211"/>
              <w:jc w:val="left"/>
              <w:rPr>
                <w:color w:val="000000" w:themeColor="text1"/>
              </w:rPr>
            </w:pPr>
            <w:bookmarkStart w:id="294" w:name="_Toc471999482"/>
            <w:bookmarkStart w:id="295" w:name="_Toc472250925"/>
            <w:r w:rsidRPr="0098635C">
              <w:rPr>
                <w:color w:val="000000" w:themeColor="text1"/>
              </w:rPr>
              <w:t>20 ± 7 μg/d</w:t>
            </w:r>
            <w:bookmarkEnd w:id="294"/>
            <w:bookmarkEnd w:id="295"/>
          </w:p>
          <w:p w14:paraId="19CE4733" w14:textId="77777777" w:rsidR="008D1AE9" w:rsidRPr="0098635C" w:rsidRDefault="008D1AE9" w:rsidP="00AF385A">
            <w:pPr>
              <w:pStyle w:val="NoteLevel211"/>
              <w:jc w:val="left"/>
              <w:rPr>
                <w:color w:val="000000" w:themeColor="text1"/>
              </w:rPr>
            </w:pPr>
            <w:bookmarkStart w:id="296" w:name="_Toc471999483"/>
            <w:bookmarkStart w:id="297" w:name="_Toc472250926"/>
            <w:r w:rsidRPr="0098635C">
              <w:rPr>
                <w:color w:val="000000" w:themeColor="text1"/>
              </w:rPr>
              <w:t>0.6 ± 0.5 μg/d</w:t>
            </w:r>
            <w:bookmarkEnd w:id="296"/>
            <w:bookmarkEnd w:id="297"/>
          </w:p>
        </w:tc>
      </w:tr>
      <w:tr w:rsidR="00E81831" w:rsidRPr="0098635C" w14:paraId="19169555" w14:textId="77777777" w:rsidTr="00A208E5">
        <w:tc>
          <w:tcPr>
            <w:tcW w:w="1310" w:type="dxa"/>
            <w:tcMar>
              <w:top w:w="20" w:type="nil"/>
              <w:left w:w="20" w:type="nil"/>
              <w:bottom w:w="20" w:type="nil"/>
              <w:right w:w="20" w:type="nil"/>
            </w:tcMar>
            <w:vAlign w:val="center"/>
          </w:tcPr>
          <w:p w14:paraId="7F2934C7" w14:textId="211F0C35" w:rsidR="00E81831" w:rsidRPr="0098635C" w:rsidRDefault="00E81831" w:rsidP="000F0CE0">
            <w:pPr>
              <w:pStyle w:val="NoteLevel211"/>
              <w:jc w:val="left"/>
              <w:rPr>
                <w:color w:val="000000" w:themeColor="text1"/>
              </w:rPr>
            </w:pPr>
            <w:bookmarkStart w:id="298" w:name="_Toc471999484"/>
            <w:bookmarkStart w:id="299" w:name="_Toc472250927"/>
            <w:r w:rsidRPr="0098635C">
              <w:rPr>
                <w:color w:val="000000" w:themeColor="text1"/>
              </w:rPr>
              <w:t>Van den Berg &amp; Beynen (1992)</w:t>
            </w:r>
            <w:bookmarkEnd w:id="298"/>
            <w:bookmarkEnd w:id="299"/>
          </w:p>
        </w:tc>
        <w:tc>
          <w:tcPr>
            <w:tcW w:w="1119" w:type="dxa"/>
            <w:tcMar>
              <w:top w:w="20" w:type="nil"/>
              <w:left w:w="20" w:type="nil"/>
              <w:bottom w:w="20" w:type="nil"/>
              <w:right w:w="20" w:type="nil"/>
            </w:tcMar>
            <w:vAlign w:val="center"/>
          </w:tcPr>
          <w:p w14:paraId="6ADABD76" w14:textId="4170CD00" w:rsidR="00E81831" w:rsidRPr="0098635C" w:rsidRDefault="00E81831" w:rsidP="00AF385A">
            <w:pPr>
              <w:pStyle w:val="NoteLevel211"/>
              <w:jc w:val="left"/>
              <w:rPr>
                <w:color w:val="000000" w:themeColor="text1"/>
              </w:rPr>
            </w:pPr>
            <w:bookmarkStart w:id="300" w:name="_Toc471999485"/>
            <w:bookmarkStart w:id="301" w:name="_Toc472250928"/>
            <w:r w:rsidRPr="0098635C">
              <w:rPr>
                <w:color w:val="000000" w:themeColor="text1"/>
              </w:rPr>
              <w:t>Wistar rat (male) (n=6 rats/dietary group)</w:t>
            </w:r>
            <w:bookmarkEnd w:id="300"/>
            <w:bookmarkEnd w:id="301"/>
          </w:p>
        </w:tc>
        <w:tc>
          <w:tcPr>
            <w:tcW w:w="1223" w:type="dxa"/>
            <w:tcMar>
              <w:top w:w="20" w:type="nil"/>
              <w:left w:w="20" w:type="nil"/>
              <w:bottom w:w="20" w:type="nil"/>
              <w:right w:w="20" w:type="nil"/>
            </w:tcMar>
            <w:vAlign w:val="center"/>
          </w:tcPr>
          <w:p w14:paraId="64A34BC8" w14:textId="5F123E96" w:rsidR="00E81831" w:rsidRPr="0098635C" w:rsidRDefault="00E81831" w:rsidP="00AF385A">
            <w:pPr>
              <w:pStyle w:val="NoteLevel211"/>
              <w:jc w:val="left"/>
              <w:rPr>
                <w:color w:val="000000" w:themeColor="text1"/>
              </w:rPr>
            </w:pPr>
            <w:bookmarkStart w:id="302" w:name="_Toc471999486"/>
            <w:bookmarkStart w:id="303" w:name="_Toc472250929"/>
            <w:r w:rsidRPr="0098635C">
              <w:rPr>
                <w:color w:val="000000" w:themeColor="text1"/>
              </w:rPr>
              <w:t xml:space="preserve">NR+ </w:t>
            </w:r>
            <w:r w:rsidRPr="0098635C">
              <w:rPr>
                <w:color w:val="000000" w:themeColor="text1"/>
                <w:vertAlign w:val="superscript"/>
              </w:rPr>
              <w:t>64</w:t>
            </w:r>
            <w:r w:rsidRPr="0098635C">
              <w:rPr>
                <w:color w:val="000000" w:themeColor="text1"/>
              </w:rPr>
              <w:t>Cu acetate (i.p. or oral)</w:t>
            </w:r>
            <w:bookmarkEnd w:id="302"/>
            <w:bookmarkEnd w:id="303"/>
          </w:p>
        </w:tc>
        <w:tc>
          <w:tcPr>
            <w:tcW w:w="851" w:type="dxa"/>
            <w:tcMar>
              <w:top w:w="20" w:type="nil"/>
              <w:left w:w="20" w:type="nil"/>
              <w:bottom w:w="20" w:type="nil"/>
              <w:right w:w="20" w:type="nil"/>
            </w:tcMar>
            <w:vAlign w:val="center"/>
          </w:tcPr>
          <w:p w14:paraId="679F117E" w14:textId="77777777" w:rsidR="00E81831" w:rsidRPr="0098635C" w:rsidRDefault="00E81831" w:rsidP="00AF385A">
            <w:pPr>
              <w:pStyle w:val="NoteLevel211"/>
              <w:jc w:val="left"/>
              <w:rPr>
                <w:color w:val="000000" w:themeColor="text1"/>
              </w:rPr>
            </w:pPr>
            <w:bookmarkStart w:id="304" w:name="_Toc471999487"/>
            <w:bookmarkStart w:id="305" w:name="_Toc472250930"/>
            <w:r w:rsidRPr="0098635C">
              <w:rPr>
                <w:noProof/>
                <w:color w:val="000000" w:themeColor="text1"/>
                <w:lang w:eastAsia="en-GB"/>
              </w:rPr>
              <w:drawing>
                <wp:inline distT="0" distB="0" distL="0" distR="0" wp14:anchorId="177FB2FD" wp14:editId="19025853">
                  <wp:extent cx="10160" cy="1016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160" cy="10160"/>
                          </a:xfrm>
                          <a:prstGeom prst="rect">
                            <a:avLst/>
                          </a:prstGeom>
                          <a:noFill/>
                          <a:ln>
                            <a:noFill/>
                          </a:ln>
                        </pic:spPr>
                      </pic:pic>
                    </a:graphicData>
                  </a:graphic>
                </wp:inline>
              </w:drawing>
            </w:r>
            <w:r w:rsidRPr="0098635C">
              <w:rPr>
                <w:color w:val="000000" w:themeColor="text1"/>
              </w:rPr>
              <w:t>5.0</w:t>
            </w:r>
            <w:bookmarkEnd w:id="304"/>
            <w:bookmarkEnd w:id="305"/>
            <w:r w:rsidRPr="0098635C">
              <w:rPr>
                <w:color w:val="000000" w:themeColor="text1"/>
              </w:rPr>
              <w:t xml:space="preserve"> </w:t>
            </w:r>
          </w:p>
          <w:p w14:paraId="5C6F06CF" w14:textId="77777777" w:rsidR="00E81831" w:rsidRPr="0098635C" w:rsidRDefault="00E81831" w:rsidP="00AF385A">
            <w:pPr>
              <w:pStyle w:val="NoteLevel211"/>
              <w:jc w:val="left"/>
              <w:rPr>
                <w:color w:val="000000" w:themeColor="text1"/>
              </w:rPr>
            </w:pPr>
            <w:bookmarkStart w:id="306" w:name="_Toc471999488"/>
            <w:bookmarkStart w:id="307" w:name="_Toc472250931"/>
            <w:r w:rsidRPr="0098635C">
              <w:rPr>
                <w:color w:val="000000" w:themeColor="text1"/>
              </w:rPr>
              <w:t>1.0</w:t>
            </w:r>
            <w:bookmarkEnd w:id="306"/>
            <w:bookmarkEnd w:id="307"/>
          </w:p>
        </w:tc>
        <w:tc>
          <w:tcPr>
            <w:tcW w:w="1559" w:type="dxa"/>
            <w:tcMar>
              <w:top w:w="20" w:type="nil"/>
              <w:left w:w="20" w:type="nil"/>
              <w:bottom w:w="20" w:type="nil"/>
              <w:right w:w="20" w:type="nil"/>
            </w:tcMar>
            <w:vAlign w:val="center"/>
          </w:tcPr>
          <w:p w14:paraId="2A650C97" w14:textId="77777777" w:rsidR="00E81831" w:rsidRPr="0098635C" w:rsidRDefault="00E81831" w:rsidP="00AF385A">
            <w:pPr>
              <w:pStyle w:val="NoteLevel211"/>
              <w:jc w:val="left"/>
              <w:rPr>
                <w:color w:val="000000" w:themeColor="text1"/>
              </w:rPr>
            </w:pPr>
            <w:bookmarkStart w:id="308" w:name="_Toc471999489"/>
            <w:bookmarkStart w:id="309" w:name="_Toc472250932"/>
            <w:r w:rsidRPr="0098635C">
              <w:rPr>
                <w:color w:val="000000" w:themeColor="text1"/>
              </w:rPr>
              <w:t>74</w:t>
            </w:r>
            <w:bookmarkEnd w:id="308"/>
            <w:bookmarkEnd w:id="309"/>
            <w:r w:rsidRPr="0098635C">
              <w:rPr>
                <w:color w:val="000000" w:themeColor="text1"/>
              </w:rPr>
              <w:t xml:space="preserve"> </w:t>
            </w:r>
          </w:p>
          <w:p w14:paraId="01A0CB16" w14:textId="77777777" w:rsidR="00E81831" w:rsidRPr="0098635C" w:rsidRDefault="00E81831" w:rsidP="00AF385A">
            <w:pPr>
              <w:pStyle w:val="NoteLevel211"/>
              <w:jc w:val="left"/>
              <w:rPr>
                <w:color w:val="000000" w:themeColor="text1"/>
              </w:rPr>
            </w:pPr>
            <w:bookmarkStart w:id="310" w:name="_Toc471999490"/>
            <w:bookmarkStart w:id="311" w:name="_Toc472250933"/>
            <w:r w:rsidRPr="0098635C">
              <w:rPr>
                <w:color w:val="000000" w:themeColor="text1"/>
              </w:rPr>
              <w:t>12</w:t>
            </w:r>
            <w:bookmarkEnd w:id="310"/>
            <w:bookmarkEnd w:id="311"/>
          </w:p>
        </w:tc>
        <w:tc>
          <w:tcPr>
            <w:tcW w:w="992" w:type="dxa"/>
            <w:tcMar>
              <w:top w:w="20" w:type="nil"/>
              <w:left w:w="20" w:type="nil"/>
              <w:bottom w:w="20" w:type="nil"/>
              <w:right w:w="20" w:type="nil"/>
            </w:tcMar>
            <w:vAlign w:val="center"/>
          </w:tcPr>
          <w:p w14:paraId="109BB062" w14:textId="77777777" w:rsidR="00E81831" w:rsidRPr="0098635C" w:rsidRDefault="00E81831" w:rsidP="00AF385A">
            <w:pPr>
              <w:pStyle w:val="NoteLevel211"/>
              <w:jc w:val="left"/>
              <w:rPr>
                <w:color w:val="000000" w:themeColor="text1"/>
              </w:rPr>
            </w:pPr>
            <w:bookmarkStart w:id="312" w:name="_Toc471999491"/>
            <w:bookmarkStart w:id="313" w:name="_Toc472250934"/>
            <w:r w:rsidRPr="0098635C">
              <w:rPr>
                <w:color w:val="000000" w:themeColor="text1"/>
              </w:rPr>
              <w:t>0.30</w:t>
            </w:r>
            <w:bookmarkEnd w:id="312"/>
            <w:bookmarkEnd w:id="313"/>
            <w:r w:rsidRPr="0098635C">
              <w:rPr>
                <w:color w:val="000000" w:themeColor="text1"/>
              </w:rPr>
              <w:t xml:space="preserve"> </w:t>
            </w:r>
          </w:p>
          <w:p w14:paraId="3FCA6B95" w14:textId="77777777" w:rsidR="00E81831" w:rsidRPr="0098635C" w:rsidRDefault="00E81831" w:rsidP="00AF385A">
            <w:pPr>
              <w:pStyle w:val="NoteLevel211"/>
              <w:jc w:val="left"/>
              <w:rPr>
                <w:color w:val="000000" w:themeColor="text1"/>
              </w:rPr>
            </w:pPr>
            <w:bookmarkStart w:id="314" w:name="_Toc471999492"/>
            <w:bookmarkStart w:id="315" w:name="_Toc472250935"/>
            <w:r w:rsidRPr="0098635C">
              <w:rPr>
                <w:color w:val="000000" w:themeColor="text1"/>
              </w:rPr>
              <w:t>0.05</w:t>
            </w:r>
            <w:bookmarkEnd w:id="314"/>
            <w:bookmarkEnd w:id="315"/>
          </w:p>
        </w:tc>
        <w:tc>
          <w:tcPr>
            <w:tcW w:w="1701" w:type="dxa"/>
            <w:tcMar>
              <w:top w:w="20" w:type="nil"/>
              <w:left w:w="20" w:type="nil"/>
              <w:bottom w:w="20" w:type="nil"/>
              <w:right w:w="20" w:type="nil"/>
            </w:tcMar>
            <w:vAlign w:val="center"/>
          </w:tcPr>
          <w:p w14:paraId="538DF926" w14:textId="77777777" w:rsidR="00E81831" w:rsidRPr="0098635C" w:rsidRDefault="00E81831" w:rsidP="00AF385A">
            <w:pPr>
              <w:pStyle w:val="NoteLevel211"/>
              <w:jc w:val="left"/>
              <w:rPr>
                <w:color w:val="000000" w:themeColor="text1"/>
              </w:rPr>
            </w:pPr>
            <w:bookmarkStart w:id="316" w:name="_Toc471999493"/>
            <w:bookmarkStart w:id="317" w:name="_Toc472250936"/>
            <w:r w:rsidRPr="0098635C">
              <w:rPr>
                <w:color w:val="000000" w:themeColor="text1"/>
              </w:rPr>
              <w:t>Up to 26d (treatment)</w:t>
            </w:r>
            <w:bookmarkEnd w:id="316"/>
            <w:bookmarkEnd w:id="317"/>
            <w:r w:rsidRPr="0098635C">
              <w:rPr>
                <w:color w:val="000000" w:themeColor="text1"/>
              </w:rPr>
              <w:t xml:space="preserve"> </w:t>
            </w:r>
          </w:p>
          <w:p w14:paraId="089C0A03" w14:textId="77777777" w:rsidR="00E81831" w:rsidRPr="0098635C" w:rsidRDefault="00E81831" w:rsidP="00AF385A">
            <w:pPr>
              <w:pStyle w:val="NoteLevel211"/>
              <w:jc w:val="left"/>
              <w:rPr>
                <w:color w:val="000000" w:themeColor="text1"/>
              </w:rPr>
            </w:pPr>
            <w:bookmarkStart w:id="318" w:name="_Toc471999494"/>
            <w:bookmarkStart w:id="319" w:name="_Toc472250937"/>
            <w:r w:rsidRPr="0098635C">
              <w:rPr>
                <w:color w:val="000000" w:themeColor="text1"/>
              </w:rPr>
              <w:t>2x3d (faeces collection)</w:t>
            </w:r>
            <w:bookmarkEnd w:id="318"/>
            <w:bookmarkEnd w:id="319"/>
          </w:p>
        </w:tc>
        <w:tc>
          <w:tcPr>
            <w:tcW w:w="1545" w:type="dxa"/>
            <w:tcMar>
              <w:top w:w="20" w:type="nil"/>
              <w:left w:w="20" w:type="nil"/>
              <w:bottom w:w="20" w:type="nil"/>
              <w:right w:w="20" w:type="nil"/>
            </w:tcMar>
            <w:vAlign w:val="center"/>
          </w:tcPr>
          <w:p w14:paraId="6538DB72" w14:textId="77777777" w:rsidR="00E81831" w:rsidRPr="0098635C" w:rsidRDefault="00E81831" w:rsidP="00AF385A">
            <w:pPr>
              <w:pStyle w:val="NoteLevel211"/>
              <w:jc w:val="left"/>
              <w:rPr>
                <w:color w:val="000000" w:themeColor="text1"/>
              </w:rPr>
            </w:pPr>
            <w:bookmarkStart w:id="320" w:name="_Toc471999495"/>
            <w:bookmarkStart w:id="321" w:name="_Toc472250938"/>
            <w:r w:rsidRPr="0098635C">
              <w:rPr>
                <w:color w:val="000000" w:themeColor="text1"/>
              </w:rPr>
              <w:t xml:space="preserve">Whole-body counting of </w:t>
            </w:r>
            <w:r w:rsidRPr="0098635C">
              <w:rPr>
                <w:color w:val="000000" w:themeColor="text1"/>
                <w:vertAlign w:val="superscript"/>
              </w:rPr>
              <w:t>64</w:t>
            </w:r>
            <w:r w:rsidRPr="0098635C">
              <w:rPr>
                <w:color w:val="000000" w:themeColor="text1"/>
              </w:rPr>
              <w:t>Cu AAS analysis of feed/faecal Cu</w:t>
            </w:r>
            <w:bookmarkEnd w:id="320"/>
            <w:bookmarkEnd w:id="321"/>
          </w:p>
        </w:tc>
        <w:tc>
          <w:tcPr>
            <w:tcW w:w="1378" w:type="dxa"/>
            <w:tcMar>
              <w:top w:w="20" w:type="nil"/>
              <w:left w:w="20" w:type="nil"/>
              <w:bottom w:w="20" w:type="nil"/>
              <w:right w:w="20" w:type="nil"/>
            </w:tcMar>
            <w:vAlign w:val="center"/>
          </w:tcPr>
          <w:p w14:paraId="514793C2" w14:textId="77777777" w:rsidR="00E81831" w:rsidRPr="0098635C" w:rsidRDefault="00E81831" w:rsidP="00AF385A">
            <w:pPr>
              <w:pStyle w:val="NoteLevel211"/>
              <w:jc w:val="left"/>
              <w:rPr>
                <w:color w:val="000000" w:themeColor="text1"/>
              </w:rPr>
            </w:pPr>
            <w:bookmarkStart w:id="322" w:name="_Toc471999496"/>
            <w:bookmarkStart w:id="323" w:name="_Toc472250939"/>
            <w:r w:rsidRPr="0098635C">
              <w:rPr>
                <w:color w:val="000000" w:themeColor="text1"/>
              </w:rPr>
              <w:t>42</w:t>
            </w:r>
            <w:bookmarkEnd w:id="322"/>
            <w:bookmarkEnd w:id="323"/>
            <w:r w:rsidRPr="0098635C">
              <w:rPr>
                <w:color w:val="000000" w:themeColor="text1"/>
              </w:rPr>
              <w:t xml:space="preserve"> </w:t>
            </w:r>
          </w:p>
          <w:p w14:paraId="41FC502B" w14:textId="77777777" w:rsidR="00E81831" w:rsidRPr="0098635C" w:rsidRDefault="00E81831" w:rsidP="00AF385A">
            <w:pPr>
              <w:pStyle w:val="NoteLevel211"/>
              <w:jc w:val="left"/>
              <w:rPr>
                <w:color w:val="000000" w:themeColor="text1"/>
              </w:rPr>
            </w:pPr>
            <w:bookmarkStart w:id="324" w:name="_Toc471999497"/>
            <w:bookmarkStart w:id="325" w:name="_Toc472250940"/>
            <w:r w:rsidRPr="0098635C">
              <w:rPr>
                <w:color w:val="000000" w:themeColor="text1"/>
              </w:rPr>
              <w:t>70</w:t>
            </w:r>
            <w:bookmarkEnd w:id="324"/>
            <w:bookmarkEnd w:id="325"/>
          </w:p>
        </w:tc>
        <w:tc>
          <w:tcPr>
            <w:tcW w:w="1024" w:type="dxa"/>
            <w:tcMar>
              <w:top w:w="20" w:type="nil"/>
              <w:left w:w="20" w:type="nil"/>
              <w:bottom w:w="20" w:type="nil"/>
              <w:right w:w="20" w:type="nil"/>
            </w:tcMar>
            <w:vAlign w:val="center"/>
          </w:tcPr>
          <w:p w14:paraId="079C6188" w14:textId="77777777" w:rsidR="00E81831" w:rsidRPr="0098635C" w:rsidRDefault="00E81831" w:rsidP="00AF385A">
            <w:pPr>
              <w:pStyle w:val="NoteLevel211"/>
              <w:jc w:val="left"/>
              <w:rPr>
                <w:color w:val="000000" w:themeColor="text1"/>
              </w:rPr>
            </w:pPr>
            <w:bookmarkStart w:id="326" w:name="_Toc471999498"/>
            <w:bookmarkStart w:id="327" w:name="_Toc472250941"/>
            <w:r w:rsidRPr="0098635C">
              <w:rPr>
                <w:color w:val="000000" w:themeColor="text1"/>
              </w:rPr>
              <w:t>62 ± 2 NR</w:t>
            </w:r>
            <w:bookmarkEnd w:id="326"/>
            <w:bookmarkEnd w:id="327"/>
          </w:p>
        </w:tc>
        <w:tc>
          <w:tcPr>
            <w:tcW w:w="1865" w:type="dxa"/>
            <w:tcMar>
              <w:top w:w="20" w:type="nil"/>
              <w:left w:w="20" w:type="nil"/>
              <w:bottom w:w="20" w:type="nil"/>
              <w:right w:w="20" w:type="nil"/>
            </w:tcMar>
            <w:vAlign w:val="center"/>
          </w:tcPr>
          <w:p w14:paraId="15566511" w14:textId="77777777" w:rsidR="00E81831" w:rsidRPr="0098635C" w:rsidRDefault="00E81831" w:rsidP="00AF385A">
            <w:pPr>
              <w:pStyle w:val="NoteLevel211"/>
              <w:jc w:val="left"/>
              <w:rPr>
                <w:color w:val="000000" w:themeColor="text1"/>
              </w:rPr>
            </w:pPr>
            <w:bookmarkStart w:id="328" w:name="_Toc471999499"/>
            <w:bookmarkStart w:id="329" w:name="_Toc472250942"/>
            <w:r w:rsidRPr="0098635C">
              <w:rPr>
                <w:color w:val="000000" w:themeColor="text1"/>
              </w:rPr>
              <w:t>Cu T</w:t>
            </w:r>
            <w:r w:rsidRPr="0098635C">
              <w:rPr>
                <w:color w:val="000000" w:themeColor="text1"/>
                <w:position w:val="-4"/>
              </w:rPr>
              <w:t>1/2</w:t>
            </w:r>
            <w:r w:rsidRPr="0098635C">
              <w:rPr>
                <w:color w:val="000000" w:themeColor="text1"/>
              </w:rPr>
              <w:t>: 4.7 ± 0.3 (oral) </w:t>
            </w:r>
            <w:bookmarkEnd w:id="328"/>
            <w:bookmarkEnd w:id="329"/>
          </w:p>
          <w:p w14:paraId="2E6FFBAB" w14:textId="77777777" w:rsidR="00E81831" w:rsidRPr="0098635C" w:rsidRDefault="00E81831" w:rsidP="00AF385A">
            <w:pPr>
              <w:pStyle w:val="NoteLevel211"/>
              <w:jc w:val="left"/>
              <w:rPr>
                <w:color w:val="000000" w:themeColor="text1"/>
              </w:rPr>
            </w:pPr>
            <w:bookmarkStart w:id="330" w:name="_Toc471999500"/>
            <w:bookmarkStart w:id="331" w:name="_Toc472250943"/>
            <w:r w:rsidRPr="0098635C">
              <w:rPr>
                <w:color w:val="000000" w:themeColor="text1"/>
              </w:rPr>
              <w:t>5.2 ± 0.4 (i.p.)</w:t>
            </w:r>
            <w:bookmarkEnd w:id="330"/>
            <w:bookmarkEnd w:id="331"/>
          </w:p>
        </w:tc>
      </w:tr>
      <w:tr w:rsidR="00E81831" w:rsidRPr="0098635C" w14:paraId="1495CE1F" w14:textId="48F59AB5" w:rsidTr="00A208E5">
        <w:tc>
          <w:tcPr>
            <w:tcW w:w="1310" w:type="dxa"/>
            <w:tcMar>
              <w:top w:w="20" w:type="nil"/>
              <w:left w:w="20" w:type="nil"/>
              <w:bottom w:w="20" w:type="nil"/>
              <w:right w:w="20" w:type="nil"/>
            </w:tcMar>
          </w:tcPr>
          <w:p w14:paraId="75471BDA" w14:textId="6B26A0DE" w:rsidR="00E81831" w:rsidRPr="0098635C" w:rsidRDefault="00E81831" w:rsidP="005366EE">
            <w:pPr>
              <w:pStyle w:val="NoteLevel211"/>
              <w:jc w:val="left"/>
              <w:rPr>
                <w:color w:val="000000" w:themeColor="text1"/>
              </w:rPr>
            </w:pPr>
            <w:bookmarkStart w:id="332" w:name="_Toc471999501"/>
            <w:bookmarkStart w:id="333" w:name="_Toc472250944"/>
            <w:r w:rsidRPr="0098635C">
              <w:rPr>
                <w:color w:val="000000" w:themeColor="text1"/>
              </w:rPr>
              <w:t>Johnson and Lee (1988)</w:t>
            </w:r>
            <w:bookmarkEnd w:id="332"/>
            <w:bookmarkEnd w:id="333"/>
          </w:p>
        </w:tc>
        <w:tc>
          <w:tcPr>
            <w:tcW w:w="1119" w:type="dxa"/>
            <w:tcMar>
              <w:top w:w="20" w:type="nil"/>
              <w:left w:w="20" w:type="nil"/>
              <w:bottom w:w="20" w:type="nil"/>
              <w:right w:w="20" w:type="nil"/>
            </w:tcMar>
          </w:tcPr>
          <w:p w14:paraId="44046DCF" w14:textId="43F65FC1" w:rsidR="00E81831" w:rsidRPr="0098635C" w:rsidRDefault="00E81831" w:rsidP="005366EE">
            <w:pPr>
              <w:pStyle w:val="NoteLevel211"/>
              <w:jc w:val="left"/>
              <w:rPr>
                <w:color w:val="000000" w:themeColor="text1"/>
              </w:rPr>
            </w:pPr>
            <w:bookmarkStart w:id="334" w:name="_Toc471999502"/>
            <w:bookmarkStart w:id="335" w:name="_Toc472250945"/>
            <w:r w:rsidRPr="0098635C">
              <w:rPr>
                <w:color w:val="000000" w:themeColor="text1"/>
              </w:rPr>
              <w:t>Sprague Dawley rat (male)</w:t>
            </w:r>
            <w:bookmarkEnd w:id="334"/>
            <w:bookmarkEnd w:id="335"/>
          </w:p>
        </w:tc>
        <w:tc>
          <w:tcPr>
            <w:tcW w:w="1223" w:type="dxa"/>
            <w:tcMar>
              <w:top w:w="20" w:type="nil"/>
              <w:left w:w="20" w:type="nil"/>
              <w:bottom w:w="20" w:type="nil"/>
              <w:right w:w="20" w:type="nil"/>
            </w:tcMar>
          </w:tcPr>
          <w:p w14:paraId="78F58286" w14:textId="77777777" w:rsidR="00E81831" w:rsidRPr="0098635C" w:rsidRDefault="00E81831" w:rsidP="005366EE">
            <w:pPr>
              <w:pStyle w:val="NoteLevel211"/>
              <w:jc w:val="left"/>
              <w:rPr>
                <w:color w:val="000000" w:themeColor="text1"/>
              </w:rPr>
            </w:pPr>
          </w:p>
        </w:tc>
        <w:tc>
          <w:tcPr>
            <w:tcW w:w="851" w:type="dxa"/>
            <w:tcMar>
              <w:top w:w="20" w:type="nil"/>
              <w:left w:w="20" w:type="nil"/>
              <w:bottom w:w="20" w:type="nil"/>
              <w:right w:w="20" w:type="nil"/>
            </w:tcMar>
          </w:tcPr>
          <w:p w14:paraId="5DC459BC" w14:textId="77777777" w:rsidR="00E81831" w:rsidRPr="0098635C" w:rsidRDefault="00E81831" w:rsidP="005366EE">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0.4</w:t>
            </w:r>
          </w:p>
          <w:p w14:paraId="50B36D58" w14:textId="77777777" w:rsidR="00E81831" w:rsidRPr="0098635C" w:rsidRDefault="00E81831" w:rsidP="005366EE">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1.7</w:t>
            </w:r>
          </w:p>
          <w:p w14:paraId="0E769FF7" w14:textId="77777777" w:rsidR="00E81831" w:rsidRPr="0098635C" w:rsidRDefault="00E81831" w:rsidP="005366EE">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3.5</w:t>
            </w:r>
          </w:p>
          <w:p w14:paraId="77E375C8" w14:textId="77777777" w:rsidR="00E81831" w:rsidRPr="0098635C" w:rsidRDefault="00E81831" w:rsidP="005366EE">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5.4</w:t>
            </w:r>
          </w:p>
          <w:p w14:paraId="6C2A7C8E" w14:textId="77777777" w:rsidR="00E81831" w:rsidRPr="0098635C" w:rsidRDefault="00E81831" w:rsidP="005366EE">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10.6</w:t>
            </w:r>
          </w:p>
          <w:p w14:paraId="7D9D5732" w14:textId="34F93A04" w:rsidR="00E81831" w:rsidRPr="0098635C" w:rsidRDefault="00E81831" w:rsidP="005366EE">
            <w:pPr>
              <w:pStyle w:val="NoteLevel211"/>
              <w:jc w:val="left"/>
              <w:rPr>
                <w:noProof/>
                <w:color w:val="000000" w:themeColor="text1"/>
                <w:lang w:eastAsia="en-GB"/>
              </w:rPr>
            </w:pPr>
            <w:bookmarkStart w:id="336" w:name="_Toc471999503"/>
            <w:bookmarkStart w:id="337" w:name="_Toc472250946"/>
            <w:r w:rsidRPr="0098635C">
              <w:rPr>
                <w:color w:val="000000" w:themeColor="text1"/>
              </w:rPr>
              <w:t>21.1</w:t>
            </w:r>
            <w:bookmarkEnd w:id="336"/>
            <w:bookmarkEnd w:id="337"/>
          </w:p>
        </w:tc>
        <w:tc>
          <w:tcPr>
            <w:tcW w:w="1559" w:type="dxa"/>
            <w:tcMar>
              <w:top w:w="20" w:type="nil"/>
              <w:left w:w="20" w:type="nil"/>
              <w:bottom w:w="20" w:type="nil"/>
              <w:right w:w="20" w:type="nil"/>
            </w:tcMar>
          </w:tcPr>
          <w:p w14:paraId="58336A9E" w14:textId="77777777" w:rsidR="00E81831" w:rsidRPr="0098635C" w:rsidRDefault="00E81831" w:rsidP="005366EE">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7</w:t>
            </w:r>
          </w:p>
          <w:p w14:paraId="478E0DF5" w14:textId="77777777" w:rsidR="00E81831" w:rsidRPr="0098635C" w:rsidRDefault="00E81831" w:rsidP="005366EE">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33</w:t>
            </w:r>
          </w:p>
          <w:p w14:paraId="2FBA52B0" w14:textId="77777777" w:rsidR="00E81831" w:rsidRPr="0098635C" w:rsidRDefault="00E81831" w:rsidP="005366EE">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63</w:t>
            </w:r>
          </w:p>
          <w:p w14:paraId="1A02E5E2" w14:textId="77777777" w:rsidR="00E81831" w:rsidRPr="0098635C" w:rsidRDefault="00E81831" w:rsidP="005366EE">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92</w:t>
            </w:r>
          </w:p>
          <w:p w14:paraId="7C39CE90" w14:textId="77777777" w:rsidR="00E81831" w:rsidRPr="0098635C" w:rsidRDefault="00E81831" w:rsidP="005366EE">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180</w:t>
            </w:r>
          </w:p>
          <w:p w14:paraId="18271792" w14:textId="50B664BF" w:rsidR="00E81831" w:rsidRPr="0098635C" w:rsidRDefault="00E81831" w:rsidP="005366EE">
            <w:pPr>
              <w:pStyle w:val="NoteLevel211"/>
              <w:jc w:val="left"/>
              <w:rPr>
                <w:color w:val="000000" w:themeColor="text1"/>
              </w:rPr>
            </w:pPr>
            <w:bookmarkStart w:id="338" w:name="_Toc471999504"/>
            <w:bookmarkStart w:id="339" w:name="_Toc472250947"/>
            <w:r w:rsidRPr="0098635C">
              <w:rPr>
                <w:color w:val="000000" w:themeColor="text1"/>
              </w:rPr>
              <w:t>403</w:t>
            </w:r>
            <w:bookmarkEnd w:id="338"/>
            <w:bookmarkEnd w:id="339"/>
          </w:p>
        </w:tc>
        <w:tc>
          <w:tcPr>
            <w:tcW w:w="992" w:type="dxa"/>
            <w:tcMar>
              <w:top w:w="20" w:type="nil"/>
              <w:left w:w="20" w:type="nil"/>
              <w:bottom w:w="20" w:type="nil"/>
              <w:right w:w="20" w:type="nil"/>
            </w:tcMar>
          </w:tcPr>
          <w:p w14:paraId="2EC00000" w14:textId="77777777" w:rsidR="00E81831" w:rsidRPr="0098635C" w:rsidRDefault="00E81831" w:rsidP="005366EE">
            <w:pPr>
              <w:pStyle w:val="NoteLevel211"/>
              <w:jc w:val="left"/>
              <w:rPr>
                <w:color w:val="000000" w:themeColor="text1"/>
              </w:rPr>
            </w:pPr>
          </w:p>
        </w:tc>
        <w:tc>
          <w:tcPr>
            <w:tcW w:w="1701" w:type="dxa"/>
            <w:tcMar>
              <w:top w:w="20" w:type="nil"/>
              <w:left w:w="20" w:type="nil"/>
              <w:bottom w:w="20" w:type="nil"/>
              <w:right w:w="20" w:type="nil"/>
            </w:tcMar>
          </w:tcPr>
          <w:p w14:paraId="16CCD02D" w14:textId="0043C5BD" w:rsidR="00E81831" w:rsidRPr="0098635C" w:rsidRDefault="00E81831" w:rsidP="005366EE">
            <w:pPr>
              <w:pStyle w:val="NoteLevel211"/>
              <w:jc w:val="left"/>
              <w:rPr>
                <w:color w:val="000000" w:themeColor="text1"/>
              </w:rPr>
            </w:pPr>
            <w:bookmarkStart w:id="340" w:name="_Toc471999505"/>
            <w:bookmarkStart w:id="341" w:name="_Toc472250948"/>
            <w:r w:rsidRPr="0098635C">
              <w:rPr>
                <w:color w:val="000000" w:themeColor="text1"/>
              </w:rPr>
              <w:t>5d (faeces collection)</w:t>
            </w:r>
            <w:bookmarkEnd w:id="340"/>
            <w:bookmarkEnd w:id="341"/>
          </w:p>
        </w:tc>
        <w:tc>
          <w:tcPr>
            <w:tcW w:w="1545" w:type="dxa"/>
            <w:tcMar>
              <w:top w:w="20" w:type="nil"/>
              <w:left w:w="20" w:type="nil"/>
              <w:bottom w:w="20" w:type="nil"/>
              <w:right w:w="20" w:type="nil"/>
            </w:tcMar>
          </w:tcPr>
          <w:p w14:paraId="4A5B0F76" w14:textId="430588AD" w:rsidR="00E81831" w:rsidRPr="0098635C" w:rsidRDefault="00E81831" w:rsidP="005366EE">
            <w:pPr>
              <w:pStyle w:val="NoteLevel211"/>
              <w:jc w:val="left"/>
              <w:rPr>
                <w:color w:val="000000" w:themeColor="text1"/>
              </w:rPr>
            </w:pPr>
            <w:bookmarkStart w:id="342" w:name="_Toc471999506"/>
            <w:bookmarkStart w:id="343" w:name="_Toc472250949"/>
            <w:r w:rsidRPr="0098635C">
              <w:rPr>
                <w:color w:val="000000" w:themeColor="text1"/>
              </w:rPr>
              <w:t>AAS analysis of feed/faecal Cu</w:t>
            </w:r>
            <w:bookmarkEnd w:id="342"/>
            <w:bookmarkEnd w:id="343"/>
          </w:p>
        </w:tc>
        <w:tc>
          <w:tcPr>
            <w:tcW w:w="1378" w:type="dxa"/>
            <w:tcMar>
              <w:top w:w="20" w:type="nil"/>
              <w:left w:w="20" w:type="nil"/>
              <w:bottom w:w="20" w:type="nil"/>
              <w:right w:w="20" w:type="nil"/>
            </w:tcMar>
          </w:tcPr>
          <w:p w14:paraId="226CF5CA" w14:textId="77777777" w:rsidR="00E81831" w:rsidRPr="0098635C" w:rsidRDefault="00E81831" w:rsidP="005366EE">
            <w:pPr>
              <w:pStyle w:val="NoteLevel211"/>
              <w:jc w:val="left"/>
              <w:rPr>
                <w:color w:val="000000" w:themeColor="text1"/>
              </w:rPr>
            </w:pPr>
          </w:p>
        </w:tc>
        <w:tc>
          <w:tcPr>
            <w:tcW w:w="1024" w:type="dxa"/>
            <w:tcMar>
              <w:top w:w="20" w:type="nil"/>
              <w:left w:w="20" w:type="nil"/>
              <w:bottom w:w="20" w:type="nil"/>
              <w:right w:w="20" w:type="nil"/>
            </w:tcMar>
          </w:tcPr>
          <w:p w14:paraId="46592459" w14:textId="77777777" w:rsidR="00E81831" w:rsidRPr="0098635C" w:rsidRDefault="00E81831" w:rsidP="005366EE">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46</w:t>
            </w:r>
          </w:p>
          <w:p w14:paraId="64D447D7" w14:textId="77777777" w:rsidR="00E81831" w:rsidRPr="0098635C" w:rsidRDefault="00E81831" w:rsidP="005366EE">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40</w:t>
            </w:r>
          </w:p>
          <w:p w14:paraId="3ED4F752" w14:textId="77777777" w:rsidR="00E81831" w:rsidRPr="0098635C" w:rsidRDefault="00E81831" w:rsidP="005366EE">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41</w:t>
            </w:r>
          </w:p>
          <w:p w14:paraId="0B20D411" w14:textId="77777777" w:rsidR="00E81831" w:rsidRPr="0098635C" w:rsidRDefault="00E81831" w:rsidP="005366EE">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30</w:t>
            </w:r>
          </w:p>
          <w:p w14:paraId="05744A66" w14:textId="77777777" w:rsidR="00E81831" w:rsidRPr="0098635C" w:rsidRDefault="00E81831" w:rsidP="005366EE">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23</w:t>
            </w:r>
          </w:p>
          <w:p w14:paraId="491E0AA4" w14:textId="5956E3B3" w:rsidR="00E81831" w:rsidRPr="0098635C" w:rsidRDefault="00E81831" w:rsidP="005366EE">
            <w:pPr>
              <w:pStyle w:val="NoteLevel211"/>
              <w:jc w:val="left"/>
              <w:rPr>
                <w:color w:val="000000" w:themeColor="text1"/>
              </w:rPr>
            </w:pPr>
            <w:bookmarkStart w:id="344" w:name="_Toc471999507"/>
            <w:bookmarkStart w:id="345" w:name="_Toc472250950"/>
            <w:r w:rsidRPr="0098635C">
              <w:rPr>
                <w:color w:val="000000" w:themeColor="text1"/>
              </w:rPr>
              <w:t>22</w:t>
            </w:r>
            <w:bookmarkEnd w:id="344"/>
            <w:bookmarkEnd w:id="345"/>
          </w:p>
        </w:tc>
        <w:tc>
          <w:tcPr>
            <w:tcW w:w="1865" w:type="dxa"/>
            <w:tcMar>
              <w:top w:w="20" w:type="nil"/>
              <w:left w:w="20" w:type="nil"/>
              <w:bottom w:w="20" w:type="nil"/>
              <w:right w:w="20" w:type="nil"/>
            </w:tcMar>
          </w:tcPr>
          <w:p w14:paraId="208B21A1" w14:textId="77777777" w:rsidR="00E81831" w:rsidRPr="0098635C" w:rsidRDefault="00E81831" w:rsidP="005366EE">
            <w:pPr>
              <w:pStyle w:val="NoteLevel211"/>
              <w:jc w:val="left"/>
              <w:rPr>
                <w:color w:val="000000" w:themeColor="text1"/>
              </w:rPr>
            </w:pPr>
          </w:p>
        </w:tc>
      </w:tr>
    </w:tbl>
    <w:p w14:paraId="249DB0D4" w14:textId="77777777" w:rsidR="0048420A" w:rsidRPr="0098635C" w:rsidRDefault="0048420A" w:rsidP="0048420A">
      <w:pPr>
        <w:widowControl/>
        <w:autoSpaceDE/>
        <w:autoSpaceDN/>
        <w:adjustRightInd/>
        <w:spacing w:after="0"/>
        <w:jc w:val="left"/>
        <w:rPr>
          <w:color w:val="000000" w:themeColor="text1"/>
          <w:sz w:val="20"/>
          <w:szCs w:val="20"/>
        </w:rPr>
      </w:pPr>
      <w:r w:rsidRPr="0098635C">
        <w:rPr>
          <w:color w:val="000000" w:themeColor="text1"/>
          <w:sz w:val="20"/>
          <w:szCs w:val="20"/>
        </w:rPr>
        <w:t xml:space="preserve">Values reported are mean values ± (if specified) standard deviation </w:t>
      </w:r>
    </w:p>
    <w:p w14:paraId="7246A347" w14:textId="2AF529ED" w:rsidR="008D1AE9" w:rsidRPr="0098635C" w:rsidRDefault="0048420A" w:rsidP="008D1AE9">
      <w:pPr>
        <w:rPr>
          <w:color w:val="000000" w:themeColor="text1"/>
          <w:sz w:val="20"/>
          <w:szCs w:val="20"/>
        </w:rPr>
      </w:pPr>
      <w:r w:rsidRPr="0098635C">
        <w:rPr>
          <w:color w:val="000000" w:themeColor="text1"/>
          <w:sz w:val="20"/>
          <w:szCs w:val="20"/>
        </w:rPr>
        <w:t>NR – not reported</w:t>
      </w:r>
    </w:p>
    <w:p w14:paraId="1AF2CEDC" w14:textId="77777777" w:rsidR="008D1AE9" w:rsidRPr="0098635C" w:rsidRDefault="008D1AE9" w:rsidP="008D1AE9">
      <w:pPr>
        <w:rPr>
          <w:color w:val="000000" w:themeColor="text1"/>
          <w:sz w:val="20"/>
          <w:szCs w:val="20"/>
        </w:rPr>
      </w:pPr>
    </w:p>
    <w:p w14:paraId="6FF68F55" w14:textId="77777777" w:rsidR="008D1AE9" w:rsidRPr="0098635C" w:rsidRDefault="008D1AE9" w:rsidP="008D1AE9">
      <w:pPr>
        <w:pStyle w:val="Heading9"/>
        <w:rPr>
          <w:color w:val="000000" w:themeColor="text1"/>
          <w:sz w:val="20"/>
          <w:szCs w:val="20"/>
        </w:rPr>
        <w:sectPr w:rsidR="008D1AE9" w:rsidRPr="0098635C" w:rsidSect="000105FA">
          <w:pgSz w:w="16840" w:h="11907" w:orient="landscape" w:code="9"/>
          <w:pgMar w:top="1134" w:right="1418" w:bottom="1134" w:left="1134" w:header="737" w:footer="737" w:gutter="0"/>
          <w:cols w:space="720"/>
          <w:docGrid w:linePitch="360"/>
        </w:sectPr>
      </w:pPr>
    </w:p>
    <w:p w14:paraId="6899CB27" w14:textId="77777777" w:rsidR="008834F0" w:rsidRPr="0098635C" w:rsidRDefault="008834F0" w:rsidP="008834F0">
      <w:pPr>
        <w:pStyle w:val="Heading9"/>
        <w:rPr>
          <w:color w:val="000000" w:themeColor="text1"/>
          <w:sz w:val="20"/>
          <w:szCs w:val="20"/>
        </w:rPr>
      </w:pPr>
      <w:r w:rsidRPr="0098635C">
        <w:rPr>
          <w:color w:val="000000" w:themeColor="text1"/>
          <w:sz w:val="20"/>
          <w:szCs w:val="20"/>
        </w:rPr>
        <w:lastRenderedPageBreak/>
        <w:t>In vivo studies in humans</w:t>
      </w:r>
    </w:p>
    <w:p w14:paraId="6F137FB1" w14:textId="77777777" w:rsidR="008834F0" w:rsidRPr="0098635C" w:rsidRDefault="008834F0" w:rsidP="008834F0">
      <w:pPr>
        <w:pStyle w:val="BodyText"/>
        <w:rPr>
          <w:color w:val="000000" w:themeColor="text1"/>
          <w:sz w:val="20"/>
        </w:rPr>
      </w:pPr>
      <w:r w:rsidRPr="0098635C">
        <w:rPr>
          <w:color w:val="000000" w:themeColor="text1"/>
          <w:sz w:val="20"/>
        </w:rPr>
        <w:t xml:space="preserve">The most reliable human data currently available on copper absorption following oral exposure come from volunteer studies. A number of different methods have been employed in these studies.  The most reliable and informative studies are considered to be those using the stable isotope tracers </w:t>
      </w:r>
      <w:r w:rsidRPr="0098635C">
        <w:rPr>
          <w:color w:val="000000" w:themeColor="text1"/>
          <w:sz w:val="20"/>
          <w:vertAlign w:val="superscript"/>
        </w:rPr>
        <w:t>63</w:t>
      </w:r>
      <w:r w:rsidRPr="0098635C">
        <w:rPr>
          <w:color w:val="000000" w:themeColor="text1"/>
          <w:sz w:val="20"/>
        </w:rPr>
        <w:t xml:space="preserve">Cu and </w:t>
      </w:r>
      <w:r w:rsidRPr="0098635C">
        <w:rPr>
          <w:color w:val="000000" w:themeColor="text1"/>
          <w:sz w:val="20"/>
          <w:vertAlign w:val="superscript"/>
        </w:rPr>
        <w:t>65</w:t>
      </w:r>
      <w:r w:rsidRPr="0098635C">
        <w:rPr>
          <w:color w:val="000000" w:themeColor="text1"/>
          <w:sz w:val="20"/>
        </w:rPr>
        <w:t xml:space="preserve">Cu, in conjunction with TIMS or ICP-MS analytical techniques.  </w:t>
      </w:r>
    </w:p>
    <w:p w14:paraId="5A16920D" w14:textId="1F374048" w:rsidR="008834F0" w:rsidRPr="0098635C" w:rsidRDefault="008834F0" w:rsidP="008834F0">
      <w:pPr>
        <w:pStyle w:val="BodyText"/>
        <w:spacing w:after="0"/>
        <w:rPr>
          <w:color w:val="000000" w:themeColor="text1"/>
          <w:sz w:val="20"/>
        </w:rPr>
      </w:pPr>
      <w:r w:rsidRPr="0098635C">
        <w:rPr>
          <w:color w:val="000000" w:themeColor="text1"/>
          <w:sz w:val="20"/>
        </w:rPr>
        <w:t>Studies reported in this summary (</w:t>
      </w:r>
      <w:r w:rsidRPr="0098635C">
        <w:rPr>
          <w:color w:val="000000" w:themeColor="text1"/>
          <w:sz w:val="20"/>
        </w:rPr>
        <w:fldChar w:fldCharType="begin"/>
      </w:r>
      <w:r w:rsidRPr="0098635C">
        <w:rPr>
          <w:color w:val="000000" w:themeColor="text1"/>
          <w:sz w:val="20"/>
        </w:rPr>
        <w:instrText xml:space="preserve"> REF _Ref260388036 \h  \* MERGEFORMAT </w:instrText>
      </w:r>
      <w:r w:rsidRPr="0098635C">
        <w:rPr>
          <w:color w:val="000000" w:themeColor="text1"/>
          <w:sz w:val="20"/>
        </w:rPr>
      </w:r>
      <w:r w:rsidRPr="0098635C">
        <w:rPr>
          <w:color w:val="000000" w:themeColor="text1"/>
          <w:sz w:val="20"/>
        </w:rPr>
        <w:fldChar w:fldCharType="separate"/>
      </w:r>
      <w:r w:rsidRPr="0098635C">
        <w:rPr>
          <w:color w:val="000000" w:themeColor="text1"/>
          <w:sz w:val="20"/>
        </w:rPr>
        <w:t xml:space="preserve">Table </w:t>
      </w:r>
      <w:r w:rsidRPr="0098635C">
        <w:rPr>
          <w:noProof/>
          <w:color w:val="000000" w:themeColor="text1"/>
          <w:sz w:val="20"/>
        </w:rPr>
        <w:t>5</w:t>
      </w:r>
      <w:r w:rsidRPr="0098635C">
        <w:rPr>
          <w:color w:val="000000" w:themeColor="text1"/>
          <w:sz w:val="20"/>
        </w:rPr>
        <w:fldChar w:fldCharType="end"/>
      </w:r>
      <w:r w:rsidRPr="0098635C">
        <w:rPr>
          <w:color w:val="000000" w:themeColor="text1"/>
          <w:sz w:val="20"/>
        </w:rPr>
        <w:t>) are limited to those which employed parallel administration of a faecal marker (polyethylene glycol (PEG), dysprosium or holmium), ensuring complete faecal collection, or where a minimum faecal collection period of 12 days has been used.</w:t>
      </w:r>
      <w:r w:rsidRPr="0098635C">
        <w:rPr>
          <w:i/>
          <w:color w:val="000000" w:themeColor="text1"/>
          <w:sz w:val="20"/>
        </w:rPr>
        <w:t xml:space="preserve">  </w:t>
      </w:r>
      <w:r w:rsidRPr="0098635C">
        <w:rPr>
          <w:color w:val="000000" w:themeColor="text1"/>
          <w:sz w:val="20"/>
        </w:rPr>
        <w:t xml:space="preserve">Key studies are provided by Turnlund et al (1998; 2005), which use the most reliable methodology currently available to determine both apparent and true absorption data for copper in humans, and by Turnlund et al (1989), which provides reliable apparent absorption data. Other reliable studies are by Harvey et al (2003; 2005), although these are considered to be of secondary importance to the Turnlund studies. </w:t>
      </w:r>
    </w:p>
    <w:p w14:paraId="2EEDD42A" w14:textId="77777777" w:rsidR="008834F0" w:rsidRPr="0098635C" w:rsidRDefault="008834F0" w:rsidP="008834F0">
      <w:pPr>
        <w:pStyle w:val="BodyText"/>
        <w:spacing w:after="0"/>
        <w:rPr>
          <w:color w:val="000000" w:themeColor="text1"/>
          <w:sz w:val="20"/>
        </w:rPr>
      </w:pPr>
    </w:p>
    <w:p w14:paraId="74F1281F" w14:textId="77777777" w:rsidR="008834F0" w:rsidRPr="0098635C" w:rsidRDefault="008834F0" w:rsidP="008834F0">
      <w:pPr>
        <w:pStyle w:val="BodyText"/>
        <w:rPr>
          <w:color w:val="000000" w:themeColor="text1"/>
          <w:sz w:val="20"/>
        </w:rPr>
      </w:pPr>
      <w:r w:rsidRPr="0098635C">
        <w:rPr>
          <w:color w:val="000000" w:themeColor="text1"/>
          <w:sz w:val="20"/>
        </w:rPr>
        <w:t xml:space="preserve">Turnlund et al (1989) determined copper absorption and retention (balance) in eleven young men at three levels of dietary copper. The outcome of these study indicated that similar homeostatic mechanisms operate in humans as in animals, and that absorption appears to represent the initial point of regulation of copper. Data from this study also indicate that prolonged rebound effects following depletion/repletion events are unlikely.  Turnlund et al (1998) further provides reliable apparent absorption data for copper in young men and the best available estimates for true absorption that are currently available. The study also showed that regulation of absorption and endogenous losses are both involved in protecting the body against copper deficiency, although it was noted that these controls did not prevent subjects being in negative balance during the early part of the low-copper periods. In a second study, Turnlund (2005) provided reliable true absorption data associated with relatively high, long-term copper intakes and important findings on copper retention and homeostasis. </w:t>
      </w:r>
    </w:p>
    <w:p w14:paraId="1A381F6B" w14:textId="77777777" w:rsidR="008834F0" w:rsidRPr="0098635C" w:rsidRDefault="008834F0" w:rsidP="008834F0">
      <w:pPr>
        <w:pStyle w:val="BodyText"/>
        <w:rPr>
          <w:color w:val="000000" w:themeColor="text1"/>
          <w:sz w:val="20"/>
        </w:rPr>
      </w:pPr>
      <w:r w:rsidRPr="0098635C">
        <w:rPr>
          <w:color w:val="000000" w:themeColor="text1"/>
          <w:sz w:val="20"/>
        </w:rPr>
        <w:t xml:space="preserve">Harvey and Majsak-Newman (2003) reported apparent absorption rates of 41-45% and true absorption rates of 45-48% in twelve adult males receiving dietary copper intakes of 0.7, 1.6 and 6.0 mg/d, but the lack of any significant effect of copper intake on absorption (apparent or true) and the similarity between apparent and true absorption values at each dietary level are inconsistent with findings of Turnlund et al (1989; 1998; 2005) and available animal data (e.g. Van den Berg et al, 1994).  </w:t>
      </w:r>
    </w:p>
    <w:p w14:paraId="3A2D0DD6" w14:textId="63524FDA" w:rsidR="00E820C4" w:rsidRPr="0098635C" w:rsidRDefault="008834F0" w:rsidP="00F67B0C">
      <w:pPr>
        <w:pStyle w:val="BodyText"/>
        <w:rPr>
          <w:color w:val="000000" w:themeColor="text1"/>
          <w:sz w:val="20"/>
        </w:rPr>
      </w:pPr>
      <w:r w:rsidRPr="0098635C">
        <w:rPr>
          <w:color w:val="000000" w:themeColor="text1"/>
          <w:sz w:val="20"/>
        </w:rPr>
        <w:t xml:space="preserve">In Harvey and Majsak-Newman (2003) the methodology used </w:t>
      </w:r>
      <w:r w:rsidR="00811F69" w:rsidRPr="0098635C">
        <w:rPr>
          <w:color w:val="000000" w:themeColor="text1"/>
          <w:sz w:val="20"/>
        </w:rPr>
        <w:t>was</w:t>
      </w:r>
      <w:r w:rsidRPr="0098635C">
        <w:rPr>
          <w:color w:val="000000" w:themeColor="text1"/>
          <w:sz w:val="20"/>
        </w:rPr>
        <w:t xml:space="preserve"> less well validated </w:t>
      </w:r>
      <w:r w:rsidR="00811F69" w:rsidRPr="0098635C">
        <w:rPr>
          <w:color w:val="000000" w:themeColor="text1"/>
          <w:sz w:val="20"/>
        </w:rPr>
        <w:t xml:space="preserve">and therefore not retained in the database </w:t>
      </w:r>
      <w:r w:rsidRPr="0098635C">
        <w:rPr>
          <w:color w:val="000000" w:themeColor="text1"/>
          <w:sz w:val="20"/>
        </w:rPr>
        <w:t xml:space="preserve">and the true absorption data of Turnlund </w:t>
      </w:r>
      <w:r w:rsidRPr="0098635C">
        <w:rPr>
          <w:i/>
          <w:color w:val="000000" w:themeColor="text1"/>
          <w:sz w:val="20"/>
        </w:rPr>
        <w:t>et al</w:t>
      </w:r>
      <w:r w:rsidRPr="0098635C">
        <w:rPr>
          <w:color w:val="000000" w:themeColor="text1"/>
          <w:sz w:val="20"/>
        </w:rPr>
        <w:t xml:space="preserve"> (1989; 1998; 2005) were </w:t>
      </w:r>
      <w:r w:rsidR="009B5D4D" w:rsidRPr="0098635C">
        <w:rPr>
          <w:color w:val="000000" w:themeColor="text1"/>
          <w:sz w:val="20"/>
        </w:rPr>
        <w:t xml:space="preserve">therefore </w:t>
      </w:r>
      <w:r w:rsidRPr="0098635C">
        <w:rPr>
          <w:color w:val="000000" w:themeColor="text1"/>
          <w:sz w:val="20"/>
        </w:rPr>
        <w:t>retained</w:t>
      </w:r>
      <w:r w:rsidR="00881282" w:rsidRPr="0098635C">
        <w:rPr>
          <w:color w:val="000000" w:themeColor="text1"/>
          <w:sz w:val="20"/>
        </w:rPr>
        <w:t xml:space="preserve"> and integrated in exposure related absorption equations</w:t>
      </w:r>
      <w:r w:rsidRPr="0098635C">
        <w:rPr>
          <w:color w:val="000000" w:themeColor="text1"/>
          <w:sz w:val="20"/>
        </w:rPr>
        <w:t xml:space="preserve"> (</w:t>
      </w:r>
      <w:r w:rsidRPr="0098635C">
        <w:rPr>
          <w:color w:val="000000" w:themeColor="text1"/>
          <w:sz w:val="20"/>
        </w:rPr>
        <w:fldChar w:fldCharType="begin"/>
      </w:r>
      <w:r w:rsidRPr="0098635C">
        <w:rPr>
          <w:color w:val="000000" w:themeColor="text1"/>
          <w:sz w:val="20"/>
        </w:rPr>
        <w:instrText xml:space="preserve"> REF _Ref472063854 \h  \* MERGEFORMAT </w:instrText>
      </w:r>
      <w:r w:rsidRPr="0098635C">
        <w:rPr>
          <w:color w:val="000000" w:themeColor="text1"/>
          <w:sz w:val="20"/>
        </w:rPr>
      </w:r>
      <w:r w:rsidRPr="0098635C">
        <w:rPr>
          <w:color w:val="000000" w:themeColor="text1"/>
          <w:sz w:val="20"/>
        </w:rPr>
        <w:fldChar w:fldCharType="separate"/>
      </w:r>
      <w:r w:rsidRPr="0098635C">
        <w:rPr>
          <w:color w:val="000000" w:themeColor="text1"/>
          <w:sz w:val="20"/>
        </w:rPr>
        <w:t xml:space="preserve">Figure </w:t>
      </w:r>
      <w:r w:rsidRPr="0098635C">
        <w:rPr>
          <w:noProof/>
          <w:color w:val="000000" w:themeColor="text1"/>
          <w:sz w:val="20"/>
        </w:rPr>
        <w:t>7</w:t>
      </w:r>
      <w:r w:rsidRPr="0098635C">
        <w:rPr>
          <w:color w:val="000000" w:themeColor="text1"/>
          <w:sz w:val="20"/>
        </w:rPr>
        <w:fldChar w:fldCharType="end"/>
      </w:r>
      <w:r w:rsidRPr="0098635C">
        <w:rPr>
          <w:color w:val="000000" w:themeColor="text1"/>
          <w:sz w:val="20"/>
        </w:rPr>
        <w:t>).</w:t>
      </w:r>
      <w:r w:rsidR="008D1AE9" w:rsidRPr="0098635C">
        <w:rPr>
          <w:color w:val="000000" w:themeColor="text1"/>
          <w:sz w:val="20"/>
        </w:rPr>
        <w:t xml:space="preserve"> </w:t>
      </w:r>
    </w:p>
    <w:p w14:paraId="2E9574CA" w14:textId="77777777" w:rsidR="00407FEC" w:rsidRPr="0098635C" w:rsidRDefault="00407FEC" w:rsidP="00407FEC">
      <w:pPr>
        <w:spacing w:after="0"/>
        <w:rPr>
          <w:color w:val="000000" w:themeColor="text1"/>
          <w:sz w:val="20"/>
          <w:szCs w:val="20"/>
        </w:rPr>
      </w:pPr>
      <w:r w:rsidRPr="0098635C">
        <w:rPr>
          <w:color w:val="000000" w:themeColor="text1"/>
          <w:sz w:val="20"/>
          <w:szCs w:val="20"/>
        </w:rPr>
        <w:tab/>
        <w:t xml:space="preserve">Equation </w:t>
      </w:r>
      <w:r w:rsidRPr="0098635C">
        <w:rPr>
          <w:color w:val="000000" w:themeColor="text1"/>
          <w:sz w:val="20"/>
          <w:szCs w:val="20"/>
        </w:rPr>
        <w:fldChar w:fldCharType="begin"/>
      </w:r>
      <w:r w:rsidRPr="0098635C">
        <w:rPr>
          <w:color w:val="000000" w:themeColor="text1"/>
          <w:sz w:val="20"/>
          <w:szCs w:val="20"/>
        </w:rPr>
        <w:instrText xml:space="preserve"> SEQ Equation \* ARABIC </w:instrText>
      </w:r>
      <w:r w:rsidRPr="0098635C">
        <w:rPr>
          <w:color w:val="000000" w:themeColor="text1"/>
          <w:sz w:val="20"/>
          <w:szCs w:val="20"/>
        </w:rPr>
        <w:fldChar w:fldCharType="separate"/>
      </w:r>
      <w:r w:rsidRPr="0098635C">
        <w:rPr>
          <w:noProof/>
          <w:color w:val="000000" w:themeColor="text1"/>
          <w:sz w:val="20"/>
          <w:szCs w:val="20"/>
        </w:rPr>
        <w:t>1</w:t>
      </w:r>
      <w:r w:rsidRPr="0098635C">
        <w:rPr>
          <w:color w:val="000000" w:themeColor="text1"/>
          <w:sz w:val="20"/>
          <w:szCs w:val="20"/>
        </w:rPr>
        <w:fldChar w:fldCharType="end"/>
      </w:r>
      <w:r w:rsidRPr="0098635C">
        <w:rPr>
          <w:color w:val="000000" w:themeColor="text1"/>
          <w:sz w:val="20"/>
          <w:szCs w:val="20"/>
        </w:rPr>
        <w:t>:  oral absorption% = -15.04 ln(x) + 63.176</w:t>
      </w:r>
    </w:p>
    <w:p w14:paraId="745C29FE" w14:textId="15F9CB14" w:rsidR="008834F0" w:rsidRPr="0098635C" w:rsidRDefault="00407FEC" w:rsidP="00F67B0C">
      <w:pPr>
        <w:spacing w:after="0"/>
        <w:rPr>
          <w:color w:val="000000" w:themeColor="text1"/>
          <w:sz w:val="20"/>
          <w:szCs w:val="20"/>
          <w:vertAlign w:val="superscript"/>
        </w:rPr>
      </w:pPr>
      <w:r w:rsidRPr="0098635C">
        <w:rPr>
          <w:color w:val="000000" w:themeColor="text1"/>
          <w:sz w:val="20"/>
          <w:szCs w:val="20"/>
        </w:rPr>
        <w:tab/>
        <w:t xml:space="preserve">Equation </w:t>
      </w:r>
      <w:r w:rsidRPr="0098635C">
        <w:rPr>
          <w:color w:val="000000" w:themeColor="text1"/>
          <w:sz w:val="20"/>
          <w:szCs w:val="20"/>
        </w:rPr>
        <w:fldChar w:fldCharType="begin"/>
      </w:r>
      <w:r w:rsidRPr="0098635C">
        <w:rPr>
          <w:color w:val="000000" w:themeColor="text1"/>
          <w:sz w:val="20"/>
          <w:szCs w:val="20"/>
        </w:rPr>
        <w:instrText xml:space="preserve"> SEQ Equation \* ARABIC </w:instrText>
      </w:r>
      <w:r w:rsidRPr="0098635C">
        <w:rPr>
          <w:color w:val="000000" w:themeColor="text1"/>
          <w:sz w:val="20"/>
          <w:szCs w:val="20"/>
        </w:rPr>
        <w:fldChar w:fldCharType="separate"/>
      </w:r>
      <w:r w:rsidRPr="0098635C">
        <w:rPr>
          <w:noProof/>
          <w:color w:val="000000" w:themeColor="text1"/>
          <w:sz w:val="20"/>
          <w:szCs w:val="20"/>
        </w:rPr>
        <w:t>2</w:t>
      </w:r>
      <w:r w:rsidRPr="0098635C">
        <w:rPr>
          <w:color w:val="000000" w:themeColor="text1"/>
          <w:sz w:val="20"/>
          <w:szCs w:val="20"/>
        </w:rPr>
        <w:fldChar w:fldCharType="end"/>
      </w:r>
      <w:r w:rsidRPr="0098635C">
        <w:rPr>
          <w:color w:val="000000" w:themeColor="text1"/>
          <w:sz w:val="20"/>
          <w:szCs w:val="20"/>
        </w:rPr>
        <w:t>:  oral absorption% = 72.287 e</w:t>
      </w:r>
      <w:r w:rsidRPr="0098635C">
        <w:rPr>
          <w:color w:val="000000" w:themeColor="text1"/>
          <w:sz w:val="20"/>
          <w:szCs w:val="20"/>
          <w:vertAlign w:val="superscript"/>
        </w:rPr>
        <w:t>-0.1167</w:t>
      </w:r>
      <w:r w:rsidR="00AB4960" w:rsidRPr="0098635C">
        <w:rPr>
          <w:color w:val="000000" w:themeColor="text1"/>
          <w:sz w:val="20"/>
          <w:szCs w:val="20"/>
          <w:vertAlign w:val="superscript"/>
        </w:rPr>
        <w:t>x</w:t>
      </w:r>
    </w:p>
    <w:p w14:paraId="0EF217F7" w14:textId="77777777" w:rsidR="008834F0" w:rsidRPr="0098635C" w:rsidRDefault="008834F0" w:rsidP="00F67B0C">
      <w:pPr>
        <w:spacing w:after="0"/>
        <w:rPr>
          <w:color w:val="000000" w:themeColor="text1"/>
          <w:sz w:val="20"/>
          <w:szCs w:val="20"/>
          <w:vertAlign w:val="superscript"/>
        </w:rPr>
      </w:pPr>
    </w:p>
    <w:p w14:paraId="788E28E8" w14:textId="77777777" w:rsidR="008834F0" w:rsidRPr="0098635C" w:rsidRDefault="008834F0" w:rsidP="008834F0">
      <w:pPr>
        <w:jc w:val="center"/>
        <w:rPr>
          <w:color w:val="000000" w:themeColor="text1"/>
          <w:sz w:val="20"/>
          <w:szCs w:val="20"/>
        </w:rPr>
      </w:pPr>
      <w:r w:rsidRPr="0098635C">
        <w:rPr>
          <w:noProof/>
          <w:color w:val="000000" w:themeColor="text1"/>
          <w:sz w:val="20"/>
          <w:szCs w:val="20"/>
          <w:lang w:eastAsia="en-GB"/>
        </w:rPr>
        <w:drawing>
          <wp:inline distT="0" distB="0" distL="0" distR="0" wp14:anchorId="04B44E70" wp14:editId="1431CBF3">
            <wp:extent cx="4734560" cy="2661920"/>
            <wp:effectExtent l="25400" t="25400" r="15240" b="3048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34560" cy="2661920"/>
                    </a:xfrm>
                    <a:prstGeom prst="rect">
                      <a:avLst/>
                    </a:prstGeom>
                    <a:noFill/>
                    <a:ln>
                      <a:solidFill>
                        <a:schemeClr val="tx1"/>
                      </a:solidFill>
                    </a:ln>
                  </pic:spPr>
                </pic:pic>
              </a:graphicData>
            </a:graphic>
          </wp:inline>
        </w:drawing>
      </w:r>
    </w:p>
    <w:p w14:paraId="56CEC37B" w14:textId="09C41111" w:rsidR="00881282" w:rsidRPr="0098635C" w:rsidRDefault="008834F0" w:rsidP="00F67B0C">
      <w:pPr>
        <w:spacing w:after="0"/>
        <w:jc w:val="center"/>
        <w:rPr>
          <w:b/>
          <w:color w:val="000000" w:themeColor="text1"/>
          <w:sz w:val="20"/>
          <w:szCs w:val="20"/>
        </w:rPr>
      </w:pPr>
      <w:bookmarkStart w:id="346" w:name="_Ref475440357"/>
      <w:r w:rsidRPr="0098635C">
        <w:rPr>
          <w:b/>
          <w:color w:val="000000" w:themeColor="text1"/>
          <w:sz w:val="20"/>
          <w:szCs w:val="20"/>
        </w:rPr>
        <w:t xml:space="preserve">Figure </w:t>
      </w:r>
      <w:r w:rsidRPr="0098635C">
        <w:rPr>
          <w:b/>
          <w:color w:val="000000" w:themeColor="text1"/>
          <w:sz w:val="20"/>
          <w:szCs w:val="20"/>
        </w:rPr>
        <w:fldChar w:fldCharType="begin"/>
      </w:r>
      <w:r w:rsidRPr="0098635C">
        <w:rPr>
          <w:b/>
          <w:color w:val="000000" w:themeColor="text1"/>
          <w:sz w:val="20"/>
          <w:szCs w:val="20"/>
        </w:rPr>
        <w:instrText xml:space="preserve"> SEQ Figure \* ARABIC </w:instrText>
      </w:r>
      <w:r w:rsidRPr="0098635C">
        <w:rPr>
          <w:b/>
          <w:color w:val="000000" w:themeColor="text1"/>
          <w:sz w:val="20"/>
          <w:szCs w:val="20"/>
        </w:rPr>
        <w:fldChar w:fldCharType="separate"/>
      </w:r>
      <w:r w:rsidR="007A3E52" w:rsidRPr="0098635C">
        <w:rPr>
          <w:b/>
          <w:noProof/>
          <w:color w:val="000000" w:themeColor="text1"/>
          <w:sz w:val="20"/>
          <w:szCs w:val="20"/>
        </w:rPr>
        <w:t>7</w:t>
      </w:r>
      <w:r w:rsidRPr="0098635C">
        <w:rPr>
          <w:b/>
          <w:color w:val="000000" w:themeColor="text1"/>
          <w:sz w:val="20"/>
          <w:szCs w:val="20"/>
        </w:rPr>
        <w:fldChar w:fldCharType="end"/>
      </w:r>
      <w:bookmarkEnd w:id="346"/>
      <w:r w:rsidRPr="0098635C">
        <w:rPr>
          <w:b/>
          <w:color w:val="000000" w:themeColor="text1"/>
          <w:sz w:val="20"/>
          <w:szCs w:val="20"/>
        </w:rPr>
        <w:t>: Oral copper absorption - human data</w:t>
      </w:r>
    </w:p>
    <w:p w14:paraId="6930BEAC" w14:textId="77777777" w:rsidR="00881282" w:rsidRPr="0098635C" w:rsidRDefault="00881282" w:rsidP="00F67B0C">
      <w:pPr>
        <w:spacing w:after="0"/>
        <w:rPr>
          <w:b/>
          <w:color w:val="000000" w:themeColor="text1"/>
          <w:sz w:val="20"/>
          <w:szCs w:val="20"/>
        </w:rPr>
      </w:pPr>
    </w:p>
    <w:p w14:paraId="0C85EC22" w14:textId="77777777" w:rsidR="00881282" w:rsidRPr="0098635C" w:rsidRDefault="00881282" w:rsidP="00881282">
      <w:pPr>
        <w:rPr>
          <w:b/>
          <w:i/>
          <w:color w:val="000000" w:themeColor="text1"/>
          <w:sz w:val="20"/>
          <w:szCs w:val="20"/>
        </w:rPr>
      </w:pPr>
      <w:r w:rsidRPr="0098635C">
        <w:rPr>
          <w:b/>
          <w:i/>
          <w:color w:val="000000" w:themeColor="text1"/>
          <w:sz w:val="20"/>
          <w:szCs w:val="20"/>
        </w:rPr>
        <w:t>Conclusion on oral absorption</w:t>
      </w:r>
    </w:p>
    <w:p w14:paraId="5F1BCB2F" w14:textId="45C1432A" w:rsidR="00881282" w:rsidRPr="0098635C" w:rsidRDefault="00881282" w:rsidP="00F67B0C">
      <w:pPr>
        <w:keepNext/>
        <w:rPr>
          <w:color w:val="000000" w:themeColor="text1"/>
          <w:sz w:val="20"/>
          <w:szCs w:val="20"/>
        </w:rPr>
        <w:sectPr w:rsidR="00881282" w:rsidRPr="0098635C" w:rsidSect="00933D01">
          <w:pgSz w:w="11907" w:h="16840" w:code="9"/>
          <w:pgMar w:top="1418" w:right="1134" w:bottom="1134" w:left="1134" w:header="737" w:footer="737" w:gutter="0"/>
          <w:cols w:space="720"/>
          <w:docGrid w:linePitch="360"/>
        </w:sectPr>
      </w:pPr>
      <w:r w:rsidRPr="0098635C">
        <w:rPr>
          <w:color w:val="000000" w:themeColor="text1"/>
          <w:sz w:val="20"/>
          <w:szCs w:val="20"/>
        </w:rPr>
        <w:t xml:space="preserve">Oral absorption data for humans and rats presented in </w:t>
      </w:r>
      <w:r w:rsidRPr="0098635C">
        <w:rPr>
          <w:color w:val="000000" w:themeColor="text1"/>
          <w:sz w:val="20"/>
          <w:szCs w:val="20"/>
        </w:rPr>
        <w:fldChar w:fldCharType="begin"/>
      </w:r>
      <w:r w:rsidRPr="0098635C">
        <w:rPr>
          <w:color w:val="000000" w:themeColor="text1"/>
          <w:sz w:val="20"/>
          <w:szCs w:val="20"/>
        </w:rPr>
        <w:instrText xml:space="preserve"> REF _Ref260387809 \h </w:instrText>
      </w:r>
      <w:r w:rsidR="000B09A0" w:rsidRPr="0098635C">
        <w:rPr>
          <w:color w:val="000000" w:themeColor="text1"/>
          <w:sz w:val="20"/>
          <w:szCs w:val="20"/>
        </w:rPr>
        <w:instrText xml:space="preserve"> \* MERGEFORMAT </w:instrText>
      </w:r>
      <w:r w:rsidRPr="0098635C">
        <w:rPr>
          <w:color w:val="000000" w:themeColor="text1"/>
          <w:sz w:val="20"/>
          <w:szCs w:val="20"/>
        </w:rPr>
      </w:r>
      <w:r w:rsidRPr="0098635C">
        <w:rPr>
          <w:color w:val="000000" w:themeColor="text1"/>
          <w:sz w:val="20"/>
          <w:szCs w:val="20"/>
        </w:rPr>
        <w:fldChar w:fldCharType="separate"/>
      </w:r>
      <w:r w:rsidR="007A3E52" w:rsidRPr="0098635C">
        <w:rPr>
          <w:color w:val="000000" w:themeColor="text1"/>
          <w:sz w:val="20"/>
          <w:szCs w:val="20"/>
        </w:rPr>
        <w:t xml:space="preserve">Figure </w:t>
      </w:r>
      <w:r w:rsidR="007A3E52" w:rsidRPr="0098635C">
        <w:rPr>
          <w:noProof/>
          <w:color w:val="000000" w:themeColor="text1"/>
          <w:sz w:val="20"/>
          <w:szCs w:val="20"/>
        </w:rPr>
        <w:t>6</w:t>
      </w:r>
      <w:r w:rsidRPr="0098635C">
        <w:rPr>
          <w:color w:val="000000" w:themeColor="text1"/>
          <w:sz w:val="20"/>
          <w:szCs w:val="20"/>
        </w:rPr>
        <w:fldChar w:fldCharType="end"/>
      </w:r>
      <w:r w:rsidRPr="0098635C">
        <w:rPr>
          <w:color w:val="000000" w:themeColor="text1"/>
          <w:sz w:val="20"/>
          <w:szCs w:val="20"/>
        </w:rPr>
        <w:t xml:space="preserve"> and</w:t>
      </w:r>
      <w:r w:rsidR="007A3E52" w:rsidRPr="0098635C">
        <w:rPr>
          <w:color w:val="000000" w:themeColor="text1"/>
          <w:sz w:val="20"/>
          <w:szCs w:val="20"/>
        </w:rPr>
        <w:t xml:space="preserve"> </w:t>
      </w:r>
      <w:r w:rsidR="007A3E52" w:rsidRPr="0098635C">
        <w:rPr>
          <w:color w:val="000000" w:themeColor="text1"/>
          <w:sz w:val="20"/>
          <w:szCs w:val="20"/>
        </w:rPr>
        <w:fldChar w:fldCharType="begin"/>
      </w:r>
      <w:r w:rsidR="007A3E52" w:rsidRPr="0098635C">
        <w:rPr>
          <w:color w:val="000000" w:themeColor="text1"/>
          <w:sz w:val="20"/>
          <w:szCs w:val="20"/>
        </w:rPr>
        <w:instrText xml:space="preserve"> REF _Ref475440357 \h  \* MERGEFORMAT </w:instrText>
      </w:r>
      <w:r w:rsidR="007A3E52" w:rsidRPr="0098635C">
        <w:rPr>
          <w:color w:val="000000" w:themeColor="text1"/>
          <w:sz w:val="20"/>
          <w:szCs w:val="20"/>
        </w:rPr>
      </w:r>
      <w:r w:rsidR="007A3E52" w:rsidRPr="0098635C">
        <w:rPr>
          <w:color w:val="000000" w:themeColor="text1"/>
          <w:sz w:val="20"/>
          <w:szCs w:val="20"/>
        </w:rPr>
        <w:fldChar w:fldCharType="separate"/>
      </w:r>
      <w:r w:rsidR="007A3E52" w:rsidRPr="0098635C">
        <w:rPr>
          <w:color w:val="000000" w:themeColor="text1"/>
          <w:sz w:val="20"/>
          <w:szCs w:val="20"/>
        </w:rPr>
        <w:t xml:space="preserve">Figure </w:t>
      </w:r>
      <w:r w:rsidR="007A3E52" w:rsidRPr="0098635C">
        <w:rPr>
          <w:noProof/>
          <w:color w:val="000000" w:themeColor="text1"/>
          <w:sz w:val="20"/>
          <w:szCs w:val="20"/>
        </w:rPr>
        <w:t>7</w:t>
      </w:r>
      <w:r w:rsidR="007A3E52" w:rsidRPr="0098635C">
        <w:rPr>
          <w:color w:val="000000" w:themeColor="text1"/>
          <w:sz w:val="20"/>
          <w:szCs w:val="20"/>
        </w:rPr>
        <w:fldChar w:fldCharType="end"/>
      </w:r>
      <w:r w:rsidR="007A3E52" w:rsidRPr="0098635C">
        <w:rPr>
          <w:color w:val="000000" w:themeColor="text1"/>
          <w:sz w:val="20"/>
          <w:szCs w:val="20"/>
        </w:rPr>
        <w:t xml:space="preserve"> </w:t>
      </w:r>
      <w:r w:rsidRPr="0098635C">
        <w:rPr>
          <w:color w:val="000000" w:themeColor="text1"/>
          <w:sz w:val="20"/>
          <w:szCs w:val="20"/>
        </w:rPr>
        <w:t xml:space="preserve">show qualitative and quantitative similarities between the two species. In both species, absorption of copper over the range of intakes studied is inversely related to </w:t>
      </w:r>
      <w:r w:rsidRPr="0098635C">
        <w:rPr>
          <w:color w:val="000000" w:themeColor="text1"/>
          <w:sz w:val="20"/>
          <w:szCs w:val="20"/>
        </w:rPr>
        <w:lastRenderedPageBreak/>
        <w:t>copper intake, illustrating the important role of absorption in copper homeostasis. In both species, true absorption of copper from diets containing what are considered as adequate levels of copper (1-10 mg/day in humans; 0.3-0.6 mg/kg bw/day in animals) is in the 30-60% range. The above oral absorption data, and corresponding functions, are based on copper sulphate. Assuming that orally-administered copper will occur in the GIT, at least in part, in the ionic form and therefore be available for absorption, and in view of the solubility of copper sulphate, it is considered appropriate to adopt a conservative approach and to use the oral absorption data for copper sulphate for other less soluble copper species.</w:t>
      </w:r>
    </w:p>
    <w:p w14:paraId="71A32888" w14:textId="647B6064" w:rsidR="008D1AE9" w:rsidRPr="0098635C" w:rsidRDefault="008D1AE9" w:rsidP="00F67B0C">
      <w:pPr>
        <w:spacing w:after="0"/>
        <w:rPr>
          <w:b/>
          <w:color w:val="000000" w:themeColor="text1"/>
          <w:sz w:val="20"/>
          <w:szCs w:val="20"/>
        </w:rPr>
      </w:pPr>
      <w:bookmarkStart w:id="347" w:name="_Ref260388036"/>
      <w:bookmarkStart w:id="348" w:name="_Toc260323654"/>
      <w:r w:rsidRPr="0098635C">
        <w:rPr>
          <w:b/>
          <w:color w:val="000000" w:themeColor="text1"/>
          <w:sz w:val="20"/>
          <w:szCs w:val="20"/>
        </w:rPr>
        <w:lastRenderedPageBreak/>
        <w:t xml:space="preserve">Table </w:t>
      </w:r>
      <w:r w:rsidR="00E230FB" w:rsidRPr="0098635C">
        <w:rPr>
          <w:b/>
          <w:color w:val="000000" w:themeColor="text1"/>
          <w:sz w:val="20"/>
          <w:szCs w:val="20"/>
        </w:rPr>
        <w:fldChar w:fldCharType="begin"/>
      </w:r>
      <w:r w:rsidRPr="0098635C">
        <w:rPr>
          <w:b/>
          <w:color w:val="000000" w:themeColor="text1"/>
          <w:sz w:val="20"/>
          <w:szCs w:val="20"/>
        </w:rPr>
        <w:instrText xml:space="preserve"> SEQ Table \* ARABIC </w:instrText>
      </w:r>
      <w:r w:rsidR="00E230FB" w:rsidRPr="0098635C">
        <w:rPr>
          <w:b/>
          <w:color w:val="000000" w:themeColor="text1"/>
          <w:sz w:val="20"/>
          <w:szCs w:val="20"/>
        </w:rPr>
        <w:fldChar w:fldCharType="separate"/>
      </w:r>
      <w:r w:rsidR="00690E61" w:rsidRPr="0098635C">
        <w:rPr>
          <w:b/>
          <w:noProof/>
          <w:color w:val="000000" w:themeColor="text1"/>
          <w:sz w:val="20"/>
          <w:szCs w:val="20"/>
        </w:rPr>
        <w:t>5</w:t>
      </w:r>
      <w:r w:rsidR="00E230FB" w:rsidRPr="0098635C">
        <w:rPr>
          <w:b/>
          <w:color w:val="000000" w:themeColor="text1"/>
          <w:sz w:val="20"/>
          <w:szCs w:val="20"/>
        </w:rPr>
        <w:fldChar w:fldCharType="end"/>
      </w:r>
      <w:bookmarkEnd w:id="347"/>
      <w:r w:rsidRPr="0098635C">
        <w:rPr>
          <w:b/>
          <w:color w:val="000000" w:themeColor="text1"/>
          <w:sz w:val="20"/>
          <w:szCs w:val="20"/>
        </w:rPr>
        <w:t>: Summary of human studies reporting absorption data for copper from Cu-containing diets</w:t>
      </w:r>
      <w:bookmarkEnd w:id="348"/>
    </w:p>
    <w:tbl>
      <w:tblPr>
        <w:tblStyle w:val="TableGrid"/>
        <w:tblW w:w="11058" w:type="dxa"/>
        <w:tblInd w:w="-998" w:type="dxa"/>
        <w:tblLayout w:type="fixed"/>
        <w:tblLook w:val="01E0" w:firstRow="1" w:lastRow="1" w:firstColumn="1" w:lastColumn="1" w:noHBand="0" w:noVBand="0"/>
      </w:tblPr>
      <w:tblGrid>
        <w:gridCol w:w="1392"/>
        <w:gridCol w:w="1444"/>
        <w:gridCol w:w="1168"/>
        <w:gridCol w:w="1701"/>
        <w:gridCol w:w="1667"/>
        <w:gridCol w:w="851"/>
        <w:gridCol w:w="709"/>
        <w:gridCol w:w="816"/>
        <w:gridCol w:w="1310"/>
      </w:tblGrid>
      <w:tr w:rsidR="009A2F49" w:rsidRPr="0098635C" w14:paraId="3C24A248" w14:textId="77777777" w:rsidTr="005928D8">
        <w:trPr>
          <w:tblHeader/>
        </w:trPr>
        <w:tc>
          <w:tcPr>
            <w:tcW w:w="1392" w:type="dxa"/>
            <w:vMerge w:val="restart"/>
          </w:tcPr>
          <w:p w14:paraId="1B56E4E4" w14:textId="77777777" w:rsidR="008D1AE9" w:rsidRPr="0098635C" w:rsidRDefault="008D1AE9" w:rsidP="005928D8">
            <w:pPr>
              <w:pStyle w:val="NoteLevel211"/>
              <w:rPr>
                <w:rStyle w:val="TablebodyChar"/>
                <w:rFonts w:ascii="Times New Roman" w:hAnsi="Times New Roman"/>
                <w:b/>
                <w:color w:val="000000" w:themeColor="text1"/>
                <w:sz w:val="20"/>
                <w:szCs w:val="20"/>
              </w:rPr>
            </w:pPr>
            <w:bookmarkStart w:id="349" w:name="_Toc471999508"/>
            <w:bookmarkStart w:id="350" w:name="_Toc472250951"/>
            <w:r w:rsidRPr="0098635C">
              <w:rPr>
                <w:rStyle w:val="TablebodyChar"/>
                <w:rFonts w:ascii="Times New Roman" w:hAnsi="Times New Roman"/>
                <w:b/>
                <w:color w:val="000000" w:themeColor="text1"/>
                <w:sz w:val="20"/>
                <w:szCs w:val="20"/>
              </w:rPr>
              <w:t>Reference</w:t>
            </w:r>
            <w:bookmarkEnd w:id="349"/>
            <w:bookmarkEnd w:id="350"/>
          </w:p>
        </w:tc>
        <w:tc>
          <w:tcPr>
            <w:tcW w:w="1444" w:type="dxa"/>
            <w:vMerge w:val="restart"/>
          </w:tcPr>
          <w:p w14:paraId="6F97BF7D" w14:textId="77777777" w:rsidR="008D1AE9" w:rsidRPr="0098635C" w:rsidRDefault="008D1AE9" w:rsidP="005928D8">
            <w:pPr>
              <w:pStyle w:val="NoteLevel211"/>
              <w:rPr>
                <w:rStyle w:val="TablebodyChar"/>
                <w:rFonts w:ascii="Times New Roman" w:hAnsi="Times New Roman"/>
                <w:b/>
                <w:color w:val="000000" w:themeColor="text1"/>
                <w:sz w:val="20"/>
                <w:szCs w:val="20"/>
              </w:rPr>
            </w:pPr>
            <w:bookmarkStart w:id="351" w:name="_Toc471999509"/>
            <w:bookmarkStart w:id="352" w:name="_Toc472250952"/>
            <w:r w:rsidRPr="0098635C">
              <w:rPr>
                <w:rStyle w:val="TablebodyChar"/>
                <w:rFonts w:ascii="Times New Roman" w:hAnsi="Times New Roman"/>
                <w:b/>
                <w:color w:val="000000" w:themeColor="text1"/>
                <w:sz w:val="20"/>
                <w:szCs w:val="20"/>
              </w:rPr>
              <w:t>Study population (age)</w:t>
            </w:r>
            <w:bookmarkEnd w:id="351"/>
            <w:bookmarkEnd w:id="352"/>
          </w:p>
        </w:tc>
        <w:tc>
          <w:tcPr>
            <w:tcW w:w="1168" w:type="dxa"/>
            <w:vMerge w:val="restart"/>
          </w:tcPr>
          <w:p w14:paraId="2B9A153F" w14:textId="77777777" w:rsidR="008D1AE9" w:rsidRPr="0098635C" w:rsidRDefault="008D1AE9" w:rsidP="005928D8">
            <w:pPr>
              <w:pStyle w:val="NoteLevel211"/>
              <w:rPr>
                <w:rStyle w:val="TablebodyChar"/>
                <w:rFonts w:ascii="Times New Roman" w:hAnsi="Times New Roman"/>
                <w:b/>
                <w:color w:val="000000" w:themeColor="text1"/>
                <w:sz w:val="20"/>
                <w:szCs w:val="20"/>
              </w:rPr>
            </w:pPr>
            <w:bookmarkStart w:id="353" w:name="_Toc471999510"/>
            <w:bookmarkStart w:id="354" w:name="_Toc472250953"/>
            <w:r w:rsidRPr="0098635C">
              <w:rPr>
                <w:rStyle w:val="TablebodyChar"/>
                <w:rFonts w:ascii="Times New Roman" w:hAnsi="Times New Roman"/>
                <w:b/>
                <w:color w:val="000000" w:themeColor="text1"/>
                <w:sz w:val="20"/>
                <w:szCs w:val="20"/>
              </w:rPr>
              <w:t>Dietary copper</w:t>
            </w:r>
            <w:bookmarkEnd w:id="353"/>
            <w:bookmarkEnd w:id="354"/>
          </w:p>
          <w:p w14:paraId="512DEF06" w14:textId="77777777" w:rsidR="008D1AE9" w:rsidRPr="0098635C" w:rsidRDefault="008D1AE9" w:rsidP="005928D8">
            <w:pPr>
              <w:pStyle w:val="NoteLevel211"/>
              <w:rPr>
                <w:rStyle w:val="TablebodyChar"/>
                <w:rFonts w:ascii="Times New Roman" w:hAnsi="Times New Roman"/>
                <w:b/>
                <w:color w:val="000000" w:themeColor="text1"/>
                <w:sz w:val="20"/>
                <w:szCs w:val="20"/>
              </w:rPr>
            </w:pPr>
            <w:bookmarkStart w:id="355" w:name="_Toc471999511"/>
            <w:bookmarkStart w:id="356" w:name="_Toc472250954"/>
            <w:r w:rsidRPr="0098635C">
              <w:rPr>
                <w:rStyle w:val="TablebodyChar"/>
                <w:rFonts w:ascii="Times New Roman" w:hAnsi="Times New Roman"/>
                <w:b/>
                <w:color w:val="000000" w:themeColor="text1"/>
                <w:sz w:val="20"/>
                <w:szCs w:val="20"/>
              </w:rPr>
              <w:t>(mg/d)</w:t>
            </w:r>
            <w:bookmarkEnd w:id="355"/>
            <w:bookmarkEnd w:id="356"/>
          </w:p>
        </w:tc>
        <w:tc>
          <w:tcPr>
            <w:tcW w:w="1701" w:type="dxa"/>
            <w:vMerge w:val="restart"/>
          </w:tcPr>
          <w:p w14:paraId="6A378A8D" w14:textId="77777777" w:rsidR="008D1AE9" w:rsidRPr="0098635C" w:rsidRDefault="008D1AE9" w:rsidP="005928D8">
            <w:pPr>
              <w:pStyle w:val="NoteLevel211"/>
              <w:rPr>
                <w:rStyle w:val="TablebodyChar"/>
                <w:rFonts w:ascii="Times New Roman" w:hAnsi="Times New Roman"/>
                <w:b/>
                <w:color w:val="000000" w:themeColor="text1"/>
                <w:sz w:val="20"/>
                <w:szCs w:val="20"/>
              </w:rPr>
            </w:pPr>
            <w:bookmarkStart w:id="357" w:name="_Toc471999512"/>
            <w:bookmarkStart w:id="358" w:name="_Toc472250955"/>
            <w:r w:rsidRPr="0098635C">
              <w:rPr>
                <w:rStyle w:val="TablebodyChar"/>
                <w:rFonts w:ascii="Times New Roman" w:hAnsi="Times New Roman"/>
                <w:b/>
                <w:color w:val="000000" w:themeColor="text1"/>
                <w:sz w:val="20"/>
                <w:szCs w:val="20"/>
              </w:rPr>
              <w:t>Stable isotope (route)</w:t>
            </w:r>
            <w:bookmarkEnd w:id="357"/>
            <w:bookmarkEnd w:id="358"/>
          </w:p>
        </w:tc>
        <w:tc>
          <w:tcPr>
            <w:tcW w:w="1667" w:type="dxa"/>
            <w:vMerge w:val="restart"/>
          </w:tcPr>
          <w:p w14:paraId="6FCB2719" w14:textId="77777777" w:rsidR="008D1AE9" w:rsidRPr="0098635C" w:rsidRDefault="008D1AE9" w:rsidP="005928D8">
            <w:pPr>
              <w:pStyle w:val="NoteLevel211"/>
              <w:rPr>
                <w:rStyle w:val="TablebodyChar"/>
                <w:rFonts w:ascii="Times New Roman" w:hAnsi="Times New Roman"/>
                <w:b/>
                <w:color w:val="000000" w:themeColor="text1"/>
                <w:sz w:val="20"/>
                <w:szCs w:val="20"/>
              </w:rPr>
            </w:pPr>
            <w:bookmarkStart w:id="359" w:name="_Toc471999513"/>
            <w:bookmarkStart w:id="360" w:name="_Toc472250956"/>
            <w:r w:rsidRPr="0098635C">
              <w:rPr>
                <w:rStyle w:val="TablebodyChar"/>
                <w:rFonts w:ascii="Times New Roman" w:hAnsi="Times New Roman"/>
                <w:b/>
                <w:color w:val="000000" w:themeColor="text1"/>
                <w:sz w:val="20"/>
                <w:szCs w:val="20"/>
              </w:rPr>
              <w:t>Duration of treatment or measurement</w:t>
            </w:r>
            <w:bookmarkEnd w:id="359"/>
            <w:bookmarkEnd w:id="360"/>
          </w:p>
        </w:tc>
        <w:tc>
          <w:tcPr>
            <w:tcW w:w="851" w:type="dxa"/>
            <w:vMerge w:val="restart"/>
          </w:tcPr>
          <w:p w14:paraId="5FA7EF27" w14:textId="77777777" w:rsidR="008D1AE9" w:rsidRPr="0098635C" w:rsidRDefault="008D1AE9" w:rsidP="005928D8">
            <w:pPr>
              <w:pStyle w:val="NoteLevel211"/>
              <w:rPr>
                <w:rStyle w:val="TablebodyChar"/>
                <w:rFonts w:ascii="Times New Roman" w:hAnsi="Times New Roman"/>
                <w:b/>
                <w:color w:val="000000" w:themeColor="text1"/>
                <w:sz w:val="20"/>
                <w:szCs w:val="20"/>
              </w:rPr>
            </w:pPr>
            <w:bookmarkStart w:id="361" w:name="_Toc471999514"/>
            <w:bookmarkStart w:id="362" w:name="_Toc472250957"/>
            <w:r w:rsidRPr="0098635C">
              <w:rPr>
                <w:rStyle w:val="TablebodyChar"/>
                <w:rFonts w:ascii="Times New Roman" w:hAnsi="Times New Roman"/>
                <w:b/>
                <w:color w:val="000000" w:themeColor="text1"/>
                <w:sz w:val="20"/>
                <w:szCs w:val="20"/>
              </w:rPr>
              <w:t>Analysis</w:t>
            </w:r>
            <w:bookmarkEnd w:id="361"/>
            <w:bookmarkEnd w:id="362"/>
          </w:p>
        </w:tc>
        <w:tc>
          <w:tcPr>
            <w:tcW w:w="1525" w:type="dxa"/>
            <w:gridSpan w:val="2"/>
          </w:tcPr>
          <w:p w14:paraId="488E9BC9" w14:textId="77777777" w:rsidR="008D1AE9" w:rsidRPr="0098635C" w:rsidRDefault="008D1AE9" w:rsidP="005928D8">
            <w:pPr>
              <w:pStyle w:val="NoteLevel211"/>
              <w:rPr>
                <w:rStyle w:val="TablebodyChar"/>
                <w:rFonts w:ascii="Times New Roman" w:hAnsi="Times New Roman"/>
                <w:b/>
                <w:color w:val="000000" w:themeColor="text1"/>
                <w:sz w:val="20"/>
                <w:szCs w:val="20"/>
              </w:rPr>
            </w:pPr>
            <w:bookmarkStart w:id="363" w:name="_Toc471999515"/>
            <w:bookmarkStart w:id="364" w:name="_Toc472250958"/>
            <w:r w:rsidRPr="0098635C">
              <w:rPr>
                <w:rStyle w:val="TablebodyChar"/>
                <w:rFonts w:ascii="Times New Roman" w:hAnsi="Times New Roman"/>
                <w:b/>
                <w:color w:val="000000" w:themeColor="text1"/>
                <w:sz w:val="20"/>
                <w:szCs w:val="20"/>
              </w:rPr>
              <w:t>Absorption (% of intake)</w:t>
            </w:r>
            <w:bookmarkEnd w:id="363"/>
            <w:bookmarkEnd w:id="364"/>
          </w:p>
        </w:tc>
        <w:tc>
          <w:tcPr>
            <w:tcW w:w="1310" w:type="dxa"/>
            <w:vMerge w:val="restart"/>
          </w:tcPr>
          <w:p w14:paraId="21FB4816" w14:textId="77777777" w:rsidR="008D1AE9" w:rsidRPr="0098635C" w:rsidRDefault="008D1AE9" w:rsidP="005928D8">
            <w:pPr>
              <w:pStyle w:val="NoteLevel211"/>
              <w:rPr>
                <w:rStyle w:val="TablebodyChar"/>
                <w:rFonts w:ascii="Times New Roman" w:hAnsi="Times New Roman"/>
                <w:b/>
                <w:color w:val="000000" w:themeColor="text1"/>
                <w:sz w:val="20"/>
                <w:szCs w:val="20"/>
              </w:rPr>
            </w:pPr>
            <w:bookmarkStart w:id="365" w:name="_Toc471999516"/>
            <w:bookmarkStart w:id="366" w:name="_Toc472250959"/>
            <w:r w:rsidRPr="0098635C">
              <w:rPr>
                <w:rStyle w:val="TablebodyChar"/>
                <w:rFonts w:ascii="Times New Roman" w:hAnsi="Times New Roman"/>
                <w:b/>
                <w:color w:val="000000" w:themeColor="text1"/>
                <w:sz w:val="20"/>
                <w:szCs w:val="20"/>
              </w:rPr>
              <w:t>Cu balance a</w:t>
            </w:r>
            <w:bookmarkEnd w:id="365"/>
            <w:bookmarkEnd w:id="366"/>
          </w:p>
          <w:p w14:paraId="40093435" w14:textId="77777777" w:rsidR="008D1AE9" w:rsidRPr="0098635C" w:rsidRDefault="008D1AE9" w:rsidP="005928D8">
            <w:pPr>
              <w:pStyle w:val="NoteLevel211"/>
              <w:rPr>
                <w:rStyle w:val="TablebodyChar"/>
                <w:rFonts w:ascii="Times New Roman" w:hAnsi="Times New Roman"/>
                <w:b/>
                <w:color w:val="000000" w:themeColor="text1"/>
                <w:sz w:val="20"/>
                <w:szCs w:val="20"/>
              </w:rPr>
            </w:pPr>
            <w:bookmarkStart w:id="367" w:name="_Toc471999517"/>
            <w:bookmarkStart w:id="368" w:name="_Toc472250960"/>
            <w:r w:rsidRPr="0098635C">
              <w:rPr>
                <w:rStyle w:val="TablebodyChar"/>
                <w:rFonts w:ascii="Times New Roman" w:hAnsi="Times New Roman"/>
                <w:b/>
                <w:color w:val="000000" w:themeColor="text1"/>
                <w:sz w:val="20"/>
                <w:szCs w:val="20"/>
              </w:rPr>
              <w:t>(mg/d)</w:t>
            </w:r>
            <w:bookmarkEnd w:id="367"/>
            <w:bookmarkEnd w:id="368"/>
          </w:p>
        </w:tc>
      </w:tr>
      <w:tr w:rsidR="009A2F49" w:rsidRPr="0098635C" w14:paraId="48D66FA1" w14:textId="77777777" w:rsidTr="005928D8">
        <w:tc>
          <w:tcPr>
            <w:tcW w:w="1392" w:type="dxa"/>
            <w:vMerge/>
          </w:tcPr>
          <w:p w14:paraId="64727381" w14:textId="77777777" w:rsidR="008D1AE9" w:rsidRPr="0098635C" w:rsidRDefault="008D1AE9" w:rsidP="005928D8">
            <w:pPr>
              <w:pStyle w:val="NoteLevel211"/>
              <w:rPr>
                <w:rStyle w:val="TablebodyChar"/>
                <w:rFonts w:ascii="Times New Roman" w:hAnsi="Times New Roman"/>
                <w:color w:val="000000" w:themeColor="text1"/>
                <w:sz w:val="20"/>
                <w:szCs w:val="20"/>
              </w:rPr>
            </w:pPr>
          </w:p>
        </w:tc>
        <w:tc>
          <w:tcPr>
            <w:tcW w:w="1444" w:type="dxa"/>
            <w:vMerge/>
          </w:tcPr>
          <w:p w14:paraId="15C6036B" w14:textId="77777777" w:rsidR="008D1AE9" w:rsidRPr="0098635C" w:rsidRDefault="008D1AE9" w:rsidP="005928D8">
            <w:pPr>
              <w:pStyle w:val="NoteLevel211"/>
              <w:rPr>
                <w:rStyle w:val="TablebodyChar"/>
                <w:rFonts w:ascii="Times New Roman" w:hAnsi="Times New Roman"/>
                <w:color w:val="000000" w:themeColor="text1"/>
                <w:sz w:val="20"/>
                <w:szCs w:val="20"/>
              </w:rPr>
            </w:pPr>
          </w:p>
        </w:tc>
        <w:tc>
          <w:tcPr>
            <w:tcW w:w="1168" w:type="dxa"/>
            <w:vMerge/>
          </w:tcPr>
          <w:p w14:paraId="687DD465" w14:textId="77777777" w:rsidR="008D1AE9" w:rsidRPr="0098635C" w:rsidRDefault="008D1AE9" w:rsidP="005928D8">
            <w:pPr>
              <w:pStyle w:val="NoteLevel211"/>
              <w:rPr>
                <w:rStyle w:val="TablebodyChar"/>
                <w:rFonts w:ascii="Times New Roman" w:hAnsi="Times New Roman"/>
                <w:color w:val="000000" w:themeColor="text1"/>
                <w:sz w:val="20"/>
                <w:szCs w:val="20"/>
              </w:rPr>
            </w:pPr>
          </w:p>
        </w:tc>
        <w:tc>
          <w:tcPr>
            <w:tcW w:w="1701" w:type="dxa"/>
            <w:vMerge/>
          </w:tcPr>
          <w:p w14:paraId="3E4A0D32" w14:textId="77777777" w:rsidR="008D1AE9" w:rsidRPr="0098635C" w:rsidRDefault="008D1AE9" w:rsidP="005928D8">
            <w:pPr>
              <w:pStyle w:val="NoteLevel211"/>
              <w:rPr>
                <w:rStyle w:val="TablebodyChar"/>
                <w:rFonts w:ascii="Times New Roman" w:hAnsi="Times New Roman"/>
                <w:color w:val="000000" w:themeColor="text1"/>
                <w:sz w:val="20"/>
                <w:szCs w:val="20"/>
              </w:rPr>
            </w:pPr>
          </w:p>
        </w:tc>
        <w:tc>
          <w:tcPr>
            <w:tcW w:w="1667" w:type="dxa"/>
            <w:vMerge/>
          </w:tcPr>
          <w:p w14:paraId="39E8FD39" w14:textId="77777777" w:rsidR="008D1AE9" w:rsidRPr="0098635C" w:rsidRDefault="008D1AE9" w:rsidP="005928D8">
            <w:pPr>
              <w:pStyle w:val="NoteLevel211"/>
              <w:rPr>
                <w:rStyle w:val="TablebodyChar"/>
                <w:rFonts w:ascii="Times New Roman" w:hAnsi="Times New Roman"/>
                <w:color w:val="000000" w:themeColor="text1"/>
                <w:sz w:val="20"/>
                <w:szCs w:val="20"/>
              </w:rPr>
            </w:pPr>
          </w:p>
        </w:tc>
        <w:tc>
          <w:tcPr>
            <w:tcW w:w="851" w:type="dxa"/>
            <w:vMerge/>
          </w:tcPr>
          <w:p w14:paraId="3A47472E" w14:textId="77777777" w:rsidR="008D1AE9" w:rsidRPr="0098635C" w:rsidRDefault="008D1AE9" w:rsidP="005928D8">
            <w:pPr>
              <w:pStyle w:val="NoteLevel211"/>
              <w:rPr>
                <w:rStyle w:val="TablebodyChar"/>
                <w:rFonts w:ascii="Times New Roman" w:hAnsi="Times New Roman"/>
                <w:color w:val="000000" w:themeColor="text1"/>
                <w:sz w:val="20"/>
                <w:szCs w:val="20"/>
              </w:rPr>
            </w:pPr>
          </w:p>
        </w:tc>
        <w:tc>
          <w:tcPr>
            <w:tcW w:w="709" w:type="dxa"/>
          </w:tcPr>
          <w:p w14:paraId="5B827086" w14:textId="77777777" w:rsidR="008D1AE9" w:rsidRPr="0098635C" w:rsidRDefault="008D1AE9" w:rsidP="005928D8">
            <w:pPr>
              <w:pStyle w:val="NoteLevel211"/>
              <w:rPr>
                <w:rStyle w:val="TablebodyChar"/>
                <w:rFonts w:ascii="Times New Roman" w:hAnsi="Times New Roman"/>
                <w:b/>
                <w:color w:val="000000" w:themeColor="text1"/>
                <w:sz w:val="20"/>
                <w:szCs w:val="20"/>
              </w:rPr>
            </w:pPr>
            <w:bookmarkStart w:id="369" w:name="_Toc471999518"/>
            <w:bookmarkStart w:id="370" w:name="_Toc472250961"/>
            <w:r w:rsidRPr="0098635C">
              <w:rPr>
                <w:rStyle w:val="TablebodyChar"/>
                <w:rFonts w:ascii="Times New Roman" w:hAnsi="Times New Roman"/>
                <w:b/>
                <w:color w:val="000000" w:themeColor="text1"/>
                <w:sz w:val="20"/>
                <w:szCs w:val="20"/>
              </w:rPr>
              <w:t>Apparent</w:t>
            </w:r>
            <w:bookmarkEnd w:id="369"/>
            <w:bookmarkEnd w:id="370"/>
          </w:p>
        </w:tc>
        <w:tc>
          <w:tcPr>
            <w:tcW w:w="816" w:type="dxa"/>
          </w:tcPr>
          <w:p w14:paraId="3623A317" w14:textId="77777777" w:rsidR="008D1AE9" w:rsidRPr="0098635C" w:rsidRDefault="008D1AE9" w:rsidP="005928D8">
            <w:pPr>
              <w:pStyle w:val="NoteLevel211"/>
              <w:rPr>
                <w:rStyle w:val="TablebodyChar"/>
                <w:rFonts w:ascii="Times New Roman" w:hAnsi="Times New Roman"/>
                <w:b/>
                <w:color w:val="000000" w:themeColor="text1"/>
                <w:sz w:val="20"/>
                <w:szCs w:val="20"/>
              </w:rPr>
            </w:pPr>
            <w:bookmarkStart w:id="371" w:name="_Toc471999519"/>
            <w:bookmarkStart w:id="372" w:name="_Toc472250962"/>
            <w:r w:rsidRPr="0098635C">
              <w:rPr>
                <w:rStyle w:val="TablebodyChar"/>
                <w:rFonts w:ascii="Times New Roman" w:hAnsi="Times New Roman"/>
                <w:b/>
                <w:color w:val="000000" w:themeColor="text1"/>
                <w:sz w:val="20"/>
                <w:szCs w:val="20"/>
              </w:rPr>
              <w:t>True</w:t>
            </w:r>
            <w:bookmarkEnd w:id="371"/>
            <w:bookmarkEnd w:id="372"/>
          </w:p>
        </w:tc>
        <w:tc>
          <w:tcPr>
            <w:tcW w:w="1310" w:type="dxa"/>
            <w:vMerge/>
          </w:tcPr>
          <w:p w14:paraId="10347E1A" w14:textId="77777777" w:rsidR="008D1AE9" w:rsidRPr="0098635C" w:rsidRDefault="008D1AE9" w:rsidP="005928D8">
            <w:pPr>
              <w:pStyle w:val="NoteLevel211"/>
              <w:rPr>
                <w:rStyle w:val="TablebodyChar"/>
                <w:rFonts w:ascii="Times New Roman" w:hAnsi="Times New Roman"/>
                <w:b/>
                <w:color w:val="000000" w:themeColor="text1"/>
                <w:sz w:val="20"/>
                <w:szCs w:val="20"/>
              </w:rPr>
            </w:pPr>
          </w:p>
        </w:tc>
      </w:tr>
      <w:tr w:rsidR="009A2F49" w:rsidRPr="0098635C" w14:paraId="2E0778F7" w14:textId="77777777" w:rsidTr="005928D8">
        <w:tc>
          <w:tcPr>
            <w:tcW w:w="1392" w:type="dxa"/>
          </w:tcPr>
          <w:p w14:paraId="65855891"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373" w:name="_Toc471999520"/>
            <w:bookmarkStart w:id="374" w:name="_Toc472250963"/>
            <w:r w:rsidRPr="0098635C">
              <w:rPr>
                <w:rStyle w:val="TablebodyChar"/>
                <w:rFonts w:ascii="Times New Roman" w:hAnsi="Times New Roman"/>
                <w:color w:val="000000" w:themeColor="text1"/>
                <w:sz w:val="20"/>
                <w:szCs w:val="20"/>
              </w:rPr>
              <w:t>Turnlund et al (2005)</w:t>
            </w:r>
            <w:bookmarkEnd w:id="373"/>
            <w:bookmarkEnd w:id="374"/>
          </w:p>
        </w:tc>
        <w:tc>
          <w:tcPr>
            <w:tcW w:w="1444" w:type="dxa"/>
          </w:tcPr>
          <w:p w14:paraId="47A38DCA"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375" w:name="_Toc471999521"/>
            <w:bookmarkStart w:id="376" w:name="_Toc472250964"/>
            <w:r w:rsidRPr="0098635C">
              <w:rPr>
                <w:rStyle w:val="TablebodyChar"/>
                <w:rFonts w:ascii="Times New Roman" w:hAnsi="Times New Roman"/>
                <w:color w:val="000000" w:themeColor="text1"/>
                <w:sz w:val="20"/>
                <w:szCs w:val="20"/>
              </w:rPr>
              <w:t>9 males (26 – 49y)</w:t>
            </w:r>
            <w:bookmarkEnd w:id="375"/>
            <w:bookmarkEnd w:id="376"/>
          </w:p>
        </w:tc>
        <w:tc>
          <w:tcPr>
            <w:tcW w:w="1168" w:type="dxa"/>
          </w:tcPr>
          <w:p w14:paraId="6883536D"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377" w:name="_Toc471999522"/>
            <w:bookmarkStart w:id="378" w:name="_Toc472250965"/>
            <w:r w:rsidRPr="0098635C">
              <w:rPr>
                <w:rStyle w:val="TablebodyChar"/>
                <w:rFonts w:ascii="Times New Roman" w:hAnsi="Times New Roman"/>
                <w:color w:val="000000" w:themeColor="text1"/>
                <w:sz w:val="20"/>
                <w:szCs w:val="20"/>
              </w:rPr>
              <w:t>(a) 1.6</w:t>
            </w:r>
            <w:bookmarkEnd w:id="377"/>
            <w:bookmarkEnd w:id="378"/>
          </w:p>
          <w:p w14:paraId="11245CA9"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379" w:name="_Toc471999523"/>
            <w:bookmarkStart w:id="380" w:name="_Toc472250966"/>
            <w:r w:rsidRPr="0098635C">
              <w:rPr>
                <w:rStyle w:val="TablebodyChar"/>
                <w:rFonts w:ascii="Times New Roman" w:hAnsi="Times New Roman"/>
                <w:color w:val="000000" w:themeColor="text1"/>
                <w:sz w:val="20"/>
                <w:szCs w:val="20"/>
              </w:rPr>
              <w:t>(b) 7.8</w:t>
            </w:r>
            <w:bookmarkEnd w:id="379"/>
            <w:bookmarkEnd w:id="380"/>
          </w:p>
        </w:tc>
        <w:tc>
          <w:tcPr>
            <w:tcW w:w="1701" w:type="dxa"/>
          </w:tcPr>
          <w:p w14:paraId="3B036DA0"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381" w:name="_Toc471999524"/>
            <w:bookmarkStart w:id="382" w:name="_Toc472250967"/>
            <w:r w:rsidRPr="0098635C">
              <w:rPr>
                <w:rStyle w:val="TablebodyChar"/>
                <w:rFonts w:ascii="Times New Roman" w:hAnsi="Times New Roman"/>
                <w:color w:val="000000" w:themeColor="text1"/>
                <w:sz w:val="20"/>
                <w:szCs w:val="20"/>
              </w:rPr>
              <w:t>63Cu (oral in diet or i.v.)</w:t>
            </w:r>
            <w:bookmarkEnd w:id="381"/>
            <w:bookmarkEnd w:id="382"/>
          </w:p>
        </w:tc>
        <w:tc>
          <w:tcPr>
            <w:tcW w:w="1667" w:type="dxa"/>
          </w:tcPr>
          <w:p w14:paraId="0D916FBD"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383" w:name="_Toc471999525"/>
            <w:bookmarkStart w:id="384" w:name="_Toc472250968"/>
            <w:r w:rsidRPr="0098635C">
              <w:rPr>
                <w:rStyle w:val="TablebodyChar"/>
                <w:rFonts w:ascii="Times New Roman" w:hAnsi="Times New Roman"/>
                <w:color w:val="000000" w:themeColor="text1"/>
                <w:sz w:val="20"/>
                <w:szCs w:val="20"/>
              </w:rPr>
              <w:t>Treatment (a) 18d; (b) 129d; (c) 18d</w:t>
            </w:r>
            <w:bookmarkEnd w:id="383"/>
            <w:bookmarkEnd w:id="384"/>
          </w:p>
        </w:tc>
        <w:tc>
          <w:tcPr>
            <w:tcW w:w="851" w:type="dxa"/>
          </w:tcPr>
          <w:p w14:paraId="1F786C9F"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385" w:name="_Toc471999526"/>
            <w:bookmarkStart w:id="386" w:name="_Toc472250969"/>
            <w:r w:rsidRPr="0098635C">
              <w:rPr>
                <w:rStyle w:val="TablebodyChar"/>
                <w:rFonts w:ascii="Times New Roman" w:hAnsi="Times New Roman"/>
                <w:color w:val="000000" w:themeColor="text1"/>
                <w:sz w:val="20"/>
                <w:szCs w:val="20"/>
              </w:rPr>
              <w:t>ICPMS</w:t>
            </w:r>
            <w:bookmarkEnd w:id="385"/>
            <w:bookmarkEnd w:id="386"/>
          </w:p>
        </w:tc>
        <w:tc>
          <w:tcPr>
            <w:tcW w:w="709" w:type="dxa"/>
          </w:tcPr>
          <w:p w14:paraId="69EBC3C2"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387" w:name="_Ref126741941"/>
            <w:bookmarkStart w:id="388" w:name="_Toc471999527"/>
            <w:bookmarkStart w:id="389" w:name="_Toc472250970"/>
            <w:r w:rsidRPr="0098635C">
              <w:rPr>
                <w:rStyle w:val="TablebodyChar"/>
                <w:rFonts w:ascii="Times New Roman" w:hAnsi="Times New Roman"/>
                <w:color w:val="000000" w:themeColor="text1"/>
                <w:sz w:val="20"/>
                <w:szCs w:val="20"/>
              </w:rPr>
              <w:t>a) 29</w:t>
            </w:r>
            <w:bookmarkEnd w:id="387"/>
            <w:bookmarkEnd w:id="388"/>
            <w:bookmarkEnd w:id="389"/>
          </w:p>
          <w:p w14:paraId="14C1EBEE"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390" w:name="_Toc471999528"/>
            <w:bookmarkStart w:id="391" w:name="_Toc472250971"/>
            <w:r w:rsidRPr="0098635C">
              <w:rPr>
                <w:rStyle w:val="TablebodyChar"/>
                <w:rFonts w:ascii="Times New Roman" w:hAnsi="Times New Roman"/>
                <w:color w:val="000000" w:themeColor="text1"/>
                <w:sz w:val="20"/>
                <w:szCs w:val="20"/>
              </w:rPr>
              <w:t>b) 16</w:t>
            </w:r>
            <w:bookmarkEnd w:id="390"/>
            <w:bookmarkEnd w:id="391"/>
          </w:p>
        </w:tc>
        <w:tc>
          <w:tcPr>
            <w:tcW w:w="816" w:type="dxa"/>
          </w:tcPr>
          <w:p w14:paraId="6E84C600"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392" w:name="_Toc471999529"/>
            <w:bookmarkStart w:id="393" w:name="_Toc472250972"/>
            <w:r w:rsidRPr="0098635C">
              <w:rPr>
                <w:rStyle w:val="TablebodyChar"/>
                <w:rFonts w:ascii="Times New Roman" w:hAnsi="Times New Roman"/>
                <w:color w:val="000000" w:themeColor="text1"/>
                <w:sz w:val="20"/>
                <w:szCs w:val="20"/>
              </w:rPr>
              <w:t>40</w:t>
            </w:r>
            <w:bookmarkEnd w:id="392"/>
            <w:bookmarkEnd w:id="393"/>
          </w:p>
          <w:p w14:paraId="76ACE535"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394" w:name="_Toc471999530"/>
            <w:bookmarkStart w:id="395" w:name="_Toc472250973"/>
            <w:r w:rsidRPr="0098635C">
              <w:rPr>
                <w:rStyle w:val="TablebodyChar"/>
                <w:rFonts w:ascii="Times New Roman" w:hAnsi="Times New Roman"/>
                <w:color w:val="000000" w:themeColor="text1"/>
                <w:sz w:val="20"/>
                <w:szCs w:val="20"/>
              </w:rPr>
              <w:t>29</w:t>
            </w:r>
            <w:bookmarkEnd w:id="394"/>
            <w:bookmarkEnd w:id="395"/>
          </w:p>
        </w:tc>
        <w:tc>
          <w:tcPr>
            <w:tcW w:w="1310" w:type="dxa"/>
          </w:tcPr>
          <w:p w14:paraId="61E22228" w14:textId="77777777" w:rsidR="008D1AE9" w:rsidRPr="0098635C" w:rsidRDefault="008D1AE9" w:rsidP="007A3E52">
            <w:pPr>
              <w:pStyle w:val="NoteLevel211"/>
              <w:ind w:right="-108"/>
              <w:rPr>
                <w:rStyle w:val="TablebodyChar"/>
                <w:rFonts w:ascii="Times New Roman" w:hAnsi="Times New Roman"/>
                <w:color w:val="000000" w:themeColor="text1"/>
                <w:sz w:val="20"/>
                <w:szCs w:val="20"/>
              </w:rPr>
            </w:pPr>
            <w:bookmarkStart w:id="396" w:name="_Ref126741944"/>
            <w:bookmarkStart w:id="397" w:name="_Toc471999531"/>
            <w:bookmarkStart w:id="398" w:name="_Toc472250974"/>
            <w:r w:rsidRPr="0098635C">
              <w:rPr>
                <w:rStyle w:val="TablebodyChar"/>
                <w:rFonts w:ascii="Times New Roman" w:hAnsi="Times New Roman"/>
                <w:color w:val="000000" w:themeColor="text1"/>
                <w:sz w:val="20"/>
                <w:szCs w:val="20"/>
              </w:rPr>
              <w:t>a)0.06</w:t>
            </w:r>
            <w:bookmarkEnd w:id="396"/>
            <w:bookmarkEnd w:id="397"/>
            <w:bookmarkEnd w:id="398"/>
          </w:p>
          <w:p w14:paraId="3B4534C5" w14:textId="77777777" w:rsidR="008D1AE9" w:rsidRPr="0098635C" w:rsidRDefault="008D1AE9" w:rsidP="007A3E52">
            <w:pPr>
              <w:pStyle w:val="NoteLevel211"/>
              <w:ind w:right="-108"/>
              <w:rPr>
                <w:rStyle w:val="TablebodyChar"/>
                <w:rFonts w:ascii="Times New Roman" w:hAnsi="Times New Roman"/>
                <w:color w:val="000000" w:themeColor="text1"/>
                <w:sz w:val="20"/>
                <w:szCs w:val="20"/>
              </w:rPr>
            </w:pPr>
            <w:bookmarkStart w:id="399" w:name="_Ref126741947"/>
            <w:bookmarkStart w:id="400" w:name="_Toc471999532"/>
            <w:bookmarkStart w:id="401" w:name="_Toc472250975"/>
            <w:r w:rsidRPr="0098635C">
              <w:rPr>
                <w:rStyle w:val="TablebodyChar"/>
                <w:rFonts w:ascii="Times New Roman" w:hAnsi="Times New Roman"/>
                <w:color w:val="000000" w:themeColor="text1"/>
                <w:sz w:val="20"/>
                <w:szCs w:val="20"/>
              </w:rPr>
              <w:t>b)0.67</w:t>
            </w:r>
            <w:bookmarkEnd w:id="399"/>
            <w:bookmarkEnd w:id="400"/>
            <w:bookmarkEnd w:id="401"/>
          </w:p>
          <w:p w14:paraId="6906340B" w14:textId="77777777" w:rsidR="008D1AE9" w:rsidRPr="0098635C" w:rsidRDefault="008D1AE9" w:rsidP="007A3E52">
            <w:pPr>
              <w:pStyle w:val="NoteLevel211"/>
              <w:ind w:right="-108"/>
              <w:rPr>
                <w:rStyle w:val="TablebodyChar"/>
                <w:rFonts w:ascii="Times New Roman" w:hAnsi="Times New Roman"/>
                <w:color w:val="000000" w:themeColor="text1"/>
                <w:sz w:val="20"/>
                <w:szCs w:val="20"/>
              </w:rPr>
            </w:pPr>
          </w:p>
        </w:tc>
      </w:tr>
      <w:tr w:rsidR="009A2F49" w:rsidRPr="0098635C" w14:paraId="31BB12D3" w14:textId="77777777" w:rsidTr="005928D8">
        <w:tc>
          <w:tcPr>
            <w:tcW w:w="1392" w:type="dxa"/>
          </w:tcPr>
          <w:p w14:paraId="6FB875F1"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02" w:name="_Toc471999533"/>
            <w:bookmarkStart w:id="403" w:name="_Toc472250976"/>
            <w:r w:rsidRPr="0098635C">
              <w:rPr>
                <w:rStyle w:val="TablebodyChar"/>
                <w:rFonts w:ascii="Times New Roman" w:hAnsi="Times New Roman"/>
                <w:color w:val="000000" w:themeColor="text1"/>
                <w:sz w:val="20"/>
                <w:szCs w:val="20"/>
              </w:rPr>
              <w:t>Turnlund et al (1998)</w:t>
            </w:r>
            <w:bookmarkEnd w:id="402"/>
            <w:bookmarkEnd w:id="403"/>
          </w:p>
        </w:tc>
        <w:tc>
          <w:tcPr>
            <w:tcW w:w="1444" w:type="dxa"/>
          </w:tcPr>
          <w:p w14:paraId="12919311"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04" w:name="_Toc471999534"/>
            <w:bookmarkStart w:id="405" w:name="_Toc472250977"/>
            <w:r w:rsidRPr="0098635C">
              <w:rPr>
                <w:rStyle w:val="TablebodyChar"/>
                <w:rFonts w:ascii="Times New Roman" w:hAnsi="Times New Roman"/>
                <w:color w:val="000000" w:themeColor="text1"/>
                <w:sz w:val="20"/>
                <w:szCs w:val="20"/>
              </w:rPr>
              <w:t>11 males (26 ± 4y)</w:t>
            </w:r>
            <w:bookmarkEnd w:id="404"/>
            <w:bookmarkEnd w:id="405"/>
          </w:p>
        </w:tc>
        <w:tc>
          <w:tcPr>
            <w:tcW w:w="1168" w:type="dxa"/>
          </w:tcPr>
          <w:p w14:paraId="75C3B808"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06" w:name="_Toc471999535"/>
            <w:bookmarkStart w:id="407" w:name="_Toc472250978"/>
            <w:r w:rsidRPr="0098635C">
              <w:rPr>
                <w:rStyle w:val="TablebodyChar"/>
                <w:rFonts w:ascii="Times New Roman" w:hAnsi="Times New Roman"/>
                <w:color w:val="000000" w:themeColor="text1"/>
                <w:sz w:val="20"/>
                <w:szCs w:val="20"/>
              </w:rPr>
              <w:t>(a) 0.66</w:t>
            </w:r>
            <w:bookmarkEnd w:id="406"/>
            <w:bookmarkEnd w:id="407"/>
          </w:p>
          <w:p w14:paraId="70780855"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08" w:name="_Toc471999536"/>
            <w:bookmarkStart w:id="409" w:name="_Toc472250979"/>
            <w:r w:rsidRPr="0098635C">
              <w:rPr>
                <w:rStyle w:val="TablebodyChar"/>
                <w:rFonts w:ascii="Times New Roman" w:hAnsi="Times New Roman"/>
                <w:color w:val="000000" w:themeColor="text1"/>
                <w:sz w:val="20"/>
                <w:szCs w:val="20"/>
              </w:rPr>
              <w:t>(b) 0.38</w:t>
            </w:r>
            <w:bookmarkEnd w:id="408"/>
            <w:bookmarkEnd w:id="409"/>
          </w:p>
          <w:p w14:paraId="47E4A7C7"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10" w:name="_Toc471999537"/>
            <w:bookmarkStart w:id="411" w:name="_Toc472250980"/>
            <w:r w:rsidRPr="0098635C">
              <w:rPr>
                <w:rStyle w:val="TablebodyChar"/>
                <w:rFonts w:ascii="Times New Roman" w:hAnsi="Times New Roman"/>
                <w:color w:val="000000" w:themeColor="text1"/>
                <w:sz w:val="20"/>
                <w:szCs w:val="20"/>
              </w:rPr>
              <w:t>(c) 2.49</w:t>
            </w:r>
            <w:bookmarkEnd w:id="410"/>
            <w:bookmarkEnd w:id="411"/>
          </w:p>
        </w:tc>
        <w:tc>
          <w:tcPr>
            <w:tcW w:w="1701" w:type="dxa"/>
          </w:tcPr>
          <w:p w14:paraId="2A0563B9"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12" w:name="_Toc471999538"/>
            <w:bookmarkStart w:id="413" w:name="_Toc472250981"/>
            <w:r w:rsidRPr="0098635C">
              <w:rPr>
                <w:rStyle w:val="TablebodyChar"/>
                <w:rFonts w:ascii="Times New Roman" w:hAnsi="Times New Roman"/>
                <w:color w:val="000000" w:themeColor="text1"/>
                <w:sz w:val="20"/>
                <w:szCs w:val="20"/>
              </w:rPr>
              <w:t>65Cu (oral in diet or i.v.)</w:t>
            </w:r>
            <w:bookmarkEnd w:id="412"/>
            <w:bookmarkEnd w:id="413"/>
          </w:p>
        </w:tc>
        <w:tc>
          <w:tcPr>
            <w:tcW w:w="1667" w:type="dxa"/>
          </w:tcPr>
          <w:p w14:paraId="2BCF6F4C"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14" w:name="_Toc471999539"/>
            <w:bookmarkStart w:id="415" w:name="_Toc472250982"/>
            <w:r w:rsidRPr="0098635C">
              <w:rPr>
                <w:rStyle w:val="TablebodyChar"/>
                <w:rFonts w:ascii="Times New Roman" w:hAnsi="Times New Roman"/>
                <w:color w:val="000000" w:themeColor="text1"/>
                <w:sz w:val="20"/>
                <w:szCs w:val="20"/>
              </w:rPr>
              <w:t>Treatment: (a) 24d; (b) 42d; (c) 24d</w:t>
            </w:r>
            <w:bookmarkEnd w:id="414"/>
            <w:bookmarkEnd w:id="415"/>
          </w:p>
          <w:p w14:paraId="4FED8E33"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16" w:name="_Toc471999540"/>
            <w:bookmarkStart w:id="417" w:name="_Toc472250983"/>
            <w:r w:rsidRPr="0098635C">
              <w:rPr>
                <w:rStyle w:val="TablebodyChar"/>
                <w:rFonts w:ascii="Times New Roman" w:hAnsi="Times New Roman"/>
                <w:color w:val="000000" w:themeColor="text1"/>
                <w:sz w:val="20"/>
                <w:szCs w:val="20"/>
              </w:rPr>
              <w:t>12d (faeces collection)</w:t>
            </w:r>
            <w:bookmarkEnd w:id="416"/>
            <w:bookmarkEnd w:id="417"/>
          </w:p>
        </w:tc>
        <w:tc>
          <w:tcPr>
            <w:tcW w:w="851" w:type="dxa"/>
          </w:tcPr>
          <w:p w14:paraId="67752154"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18" w:name="_Toc471999541"/>
            <w:bookmarkStart w:id="419" w:name="_Toc472250984"/>
            <w:r w:rsidRPr="0098635C">
              <w:rPr>
                <w:rStyle w:val="TablebodyChar"/>
                <w:rFonts w:ascii="Times New Roman" w:hAnsi="Times New Roman"/>
                <w:color w:val="000000" w:themeColor="text1"/>
                <w:sz w:val="20"/>
                <w:szCs w:val="20"/>
              </w:rPr>
              <w:t>TIMS (total Cu &amp; 65Cu)</w:t>
            </w:r>
            <w:bookmarkEnd w:id="418"/>
            <w:bookmarkEnd w:id="419"/>
          </w:p>
        </w:tc>
        <w:tc>
          <w:tcPr>
            <w:tcW w:w="709" w:type="dxa"/>
          </w:tcPr>
          <w:p w14:paraId="138C7573"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20" w:name="_Toc471999542"/>
            <w:bookmarkStart w:id="421" w:name="_Toc472250985"/>
            <w:r w:rsidRPr="0098635C">
              <w:rPr>
                <w:rStyle w:val="TablebodyChar"/>
                <w:rFonts w:ascii="Times New Roman" w:hAnsi="Times New Roman"/>
                <w:color w:val="000000" w:themeColor="text1"/>
                <w:sz w:val="20"/>
                <w:szCs w:val="20"/>
              </w:rPr>
              <w:t>(a) 54</w:t>
            </w:r>
            <w:bookmarkEnd w:id="420"/>
            <w:bookmarkEnd w:id="421"/>
          </w:p>
          <w:p w14:paraId="0E827FC4"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22" w:name="_Toc471999543"/>
            <w:bookmarkStart w:id="423" w:name="_Toc472250986"/>
            <w:r w:rsidRPr="0098635C">
              <w:rPr>
                <w:rStyle w:val="TablebodyChar"/>
                <w:rFonts w:ascii="Times New Roman" w:hAnsi="Times New Roman"/>
                <w:color w:val="000000" w:themeColor="text1"/>
                <w:sz w:val="20"/>
                <w:szCs w:val="20"/>
              </w:rPr>
              <w:t>(b) 67</w:t>
            </w:r>
            <w:bookmarkEnd w:id="422"/>
            <w:bookmarkEnd w:id="423"/>
          </w:p>
          <w:p w14:paraId="3F6C4484"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24" w:name="_Toc471999544"/>
            <w:bookmarkStart w:id="425" w:name="_Toc472250987"/>
            <w:r w:rsidRPr="0098635C">
              <w:rPr>
                <w:rStyle w:val="TablebodyChar"/>
                <w:rFonts w:ascii="Times New Roman" w:hAnsi="Times New Roman"/>
                <w:color w:val="000000" w:themeColor="text1"/>
                <w:sz w:val="20"/>
                <w:szCs w:val="20"/>
              </w:rPr>
              <w:t>(c) 44</w:t>
            </w:r>
            <w:bookmarkEnd w:id="424"/>
            <w:bookmarkEnd w:id="425"/>
          </w:p>
          <w:p w14:paraId="378D4C47" w14:textId="77777777" w:rsidR="008D1AE9" w:rsidRPr="0098635C" w:rsidRDefault="008D1AE9" w:rsidP="005928D8">
            <w:pPr>
              <w:pStyle w:val="NoteLevel211"/>
              <w:rPr>
                <w:rStyle w:val="TablebodyChar"/>
                <w:rFonts w:ascii="Times New Roman" w:hAnsi="Times New Roman"/>
                <w:color w:val="000000" w:themeColor="text1"/>
                <w:sz w:val="20"/>
                <w:szCs w:val="20"/>
              </w:rPr>
            </w:pPr>
          </w:p>
        </w:tc>
        <w:tc>
          <w:tcPr>
            <w:tcW w:w="816" w:type="dxa"/>
          </w:tcPr>
          <w:p w14:paraId="42B40ED8"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26" w:name="_Toc471999545"/>
            <w:bookmarkStart w:id="427" w:name="_Toc472250988"/>
            <w:r w:rsidRPr="0098635C">
              <w:rPr>
                <w:rStyle w:val="TablebodyChar"/>
                <w:rFonts w:ascii="Times New Roman" w:hAnsi="Times New Roman"/>
                <w:color w:val="000000" w:themeColor="text1"/>
                <w:sz w:val="20"/>
                <w:szCs w:val="20"/>
              </w:rPr>
              <w:t>73</w:t>
            </w:r>
            <w:bookmarkEnd w:id="426"/>
            <w:bookmarkEnd w:id="427"/>
          </w:p>
          <w:p w14:paraId="10AA4026"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28" w:name="_Toc471999546"/>
            <w:bookmarkStart w:id="429" w:name="_Toc472250989"/>
            <w:r w:rsidRPr="0098635C">
              <w:rPr>
                <w:rStyle w:val="TablebodyChar"/>
                <w:rFonts w:ascii="Times New Roman" w:hAnsi="Times New Roman"/>
                <w:color w:val="000000" w:themeColor="text1"/>
                <w:sz w:val="20"/>
                <w:szCs w:val="20"/>
              </w:rPr>
              <w:t>77</w:t>
            </w:r>
            <w:bookmarkEnd w:id="428"/>
            <w:bookmarkEnd w:id="429"/>
          </w:p>
          <w:p w14:paraId="6E6BB6D0"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30" w:name="_Toc471999547"/>
            <w:bookmarkStart w:id="431" w:name="_Toc472250990"/>
            <w:r w:rsidRPr="0098635C">
              <w:rPr>
                <w:rStyle w:val="TablebodyChar"/>
                <w:rFonts w:ascii="Times New Roman" w:hAnsi="Times New Roman"/>
                <w:color w:val="000000" w:themeColor="text1"/>
                <w:sz w:val="20"/>
                <w:szCs w:val="20"/>
              </w:rPr>
              <w:t>66</w:t>
            </w:r>
            <w:bookmarkEnd w:id="430"/>
            <w:bookmarkEnd w:id="431"/>
          </w:p>
        </w:tc>
        <w:tc>
          <w:tcPr>
            <w:tcW w:w="1310" w:type="dxa"/>
          </w:tcPr>
          <w:p w14:paraId="35512E91"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32" w:name="_Toc471999548"/>
            <w:bookmarkStart w:id="433" w:name="_Toc472250991"/>
            <w:r w:rsidRPr="0098635C">
              <w:rPr>
                <w:rStyle w:val="TablebodyChar"/>
                <w:rFonts w:ascii="Times New Roman" w:hAnsi="Times New Roman"/>
                <w:color w:val="000000" w:themeColor="text1"/>
                <w:sz w:val="20"/>
                <w:szCs w:val="20"/>
              </w:rPr>
              <w:t>(a) -0.13</w:t>
            </w:r>
            <w:bookmarkEnd w:id="432"/>
            <w:bookmarkEnd w:id="433"/>
          </w:p>
          <w:p w14:paraId="067444D3"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34" w:name="_Toc471999549"/>
            <w:bookmarkStart w:id="435" w:name="_Toc472250992"/>
            <w:r w:rsidRPr="0098635C">
              <w:rPr>
                <w:rStyle w:val="TablebodyChar"/>
                <w:rFonts w:ascii="Times New Roman" w:hAnsi="Times New Roman"/>
                <w:color w:val="000000" w:themeColor="text1"/>
                <w:sz w:val="20"/>
                <w:szCs w:val="20"/>
              </w:rPr>
              <w:t>(b) -0.015</w:t>
            </w:r>
            <w:bookmarkEnd w:id="434"/>
            <w:bookmarkEnd w:id="435"/>
          </w:p>
          <w:p w14:paraId="35810574"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36" w:name="_Toc471999550"/>
            <w:bookmarkStart w:id="437" w:name="_Toc472250993"/>
            <w:r w:rsidRPr="0098635C">
              <w:rPr>
                <w:rStyle w:val="TablebodyChar"/>
                <w:rFonts w:ascii="Times New Roman" w:hAnsi="Times New Roman"/>
                <w:color w:val="000000" w:themeColor="text1"/>
                <w:sz w:val="20"/>
                <w:szCs w:val="20"/>
              </w:rPr>
              <w:t>(c) [511]</w:t>
            </w:r>
            <w:bookmarkEnd w:id="436"/>
            <w:bookmarkEnd w:id="437"/>
          </w:p>
        </w:tc>
      </w:tr>
      <w:tr w:rsidR="009A2F49" w:rsidRPr="0098635C" w14:paraId="583134CE" w14:textId="77777777" w:rsidTr="005928D8">
        <w:tc>
          <w:tcPr>
            <w:tcW w:w="1392" w:type="dxa"/>
          </w:tcPr>
          <w:p w14:paraId="70CE00C4"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38" w:name="_Toc471999551"/>
            <w:bookmarkStart w:id="439" w:name="_Toc472250994"/>
            <w:r w:rsidRPr="0098635C">
              <w:rPr>
                <w:rStyle w:val="TablebodyChar"/>
                <w:rFonts w:ascii="Times New Roman" w:hAnsi="Times New Roman"/>
                <w:color w:val="000000" w:themeColor="text1"/>
                <w:sz w:val="20"/>
                <w:szCs w:val="20"/>
              </w:rPr>
              <w:t>Turnlund et al (1989)</w:t>
            </w:r>
            <w:bookmarkEnd w:id="438"/>
            <w:bookmarkEnd w:id="439"/>
          </w:p>
        </w:tc>
        <w:tc>
          <w:tcPr>
            <w:tcW w:w="1444" w:type="dxa"/>
          </w:tcPr>
          <w:p w14:paraId="2A00506C"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40" w:name="_Toc471999552"/>
            <w:bookmarkStart w:id="441" w:name="_Toc472250995"/>
            <w:r w:rsidRPr="0098635C">
              <w:rPr>
                <w:rStyle w:val="TablebodyChar"/>
                <w:rFonts w:ascii="Times New Roman" w:hAnsi="Times New Roman"/>
                <w:color w:val="000000" w:themeColor="text1"/>
                <w:sz w:val="20"/>
                <w:szCs w:val="20"/>
              </w:rPr>
              <w:t>11 males (22-35y)</w:t>
            </w:r>
            <w:bookmarkEnd w:id="440"/>
            <w:bookmarkEnd w:id="441"/>
          </w:p>
        </w:tc>
        <w:tc>
          <w:tcPr>
            <w:tcW w:w="1168" w:type="dxa"/>
          </w:tcPr>
          <w:p w14:paraId="691A0464"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42" w:name="_Toc471999553"/>
            <w:bookmarkStart w:id="443" w:name="_Toc472250996"/>
            <w:r w:rsidRPr="0098635C">
              <w:rPr>
                <w:rStyle w:val="TablebodyChar"/>
                <w:rFonts w:ascii="Times New Roman" w:hAnsi="Times New Roman"/>
                <w:color w:val="000000" w:themeColor="text1"/>
                <w:sz w:val="20"/>
                <w:szCs w:val="20"/>
              </w:rPr>
              <w:t>(a) 1.68</w:t>
            </w:r>
            <w:bookmarkEnd w:id="442"/>
            <w:bookmarkEnd w:id="443"/>
          </w:p>
          <w:p w14:paraId="26276345"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44" w:name="_Toc471999554"/>
            <w:bookmarkStart w:id="445" w:name="_Toc472250997"/>
            <w:r w:rsidRPr="0098635C">
              <w:rPr>
                <w:rStyle w:val="TablebodyChar"/>
                <w:rFonts w:ascii="Times New Roman" w:hAnsi="Times New Roman"/>
                <w:color w:val="000000" w:themeColor="text1"/>
                <w:sz w:val="20"/>
                <w:szCs w:val="20"/>
              </w:rPr>
              <w:t>(b) 0.79</w:t>
            </w:r>
            <w:bookmarkEnd w:id="444"/>
            <w:bookmarkEnd w:id="445"/>
          </w:p>
          <w:p w14:paraId="501819F8"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46" w:name="_Toc471999555"/>
            <w:bookmarkStart w:id="447" w:name="_Toc472250998"/>
            <w:r w:rsidRPr="0098635C">
              <w:rPr>
                <w:rStyle w:val="TablebodyChar"/>
                <w:rFonts w:ascii="Times New Roman" w:hAnsi="Times New Roman"/>
                <w:color w:val="000000" w:themeColor="text1"/>
                <w:sz w:val="20"/>
                <w:szCs w:val="20"/>
              </w:rPr>
              <w:t>(c) 7.53</w:t>
            </w:r>
            <w:bookmarkEnd w:id="446"/>
            <w:bookmarkEnd w:id="447"/>
          </w:p>
        </w:tc>
        <w:tc>
          <w:tcPr>
            <w:tcW w:w="1701" w:type="dxa"/>
          </w:tcPr>
          <w:p w14:paraId="47A91902"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48" w:name="_Toc471999556"/>
            <w:bookmarkStart w:id="449" w:name="_Toc472250999"/>
            <w:r w:rsidRPr="0098635C">
              <w:rPr>
                <w:rStyle w:val="TablebodyChar"/>
                <w:rFonts w:ascii="Times New Roman" w:hAnsi="Times New Roman"/>
                <w:color w:val="000000" w:themeColor="text1"/>
                <w:sz w:val="20"/>
                <w:szCs w:val="20"/>
              </w:rPr>
              <w:t>65Cu (oral in diet)</w:t>
            </w:r>
            <w:bookmarkEnd w:id="448"/>
            <w:bookmarkEnd w:id="449"/>
          </w:p>
        </w:tc>
        <w:tc>
          <w:tcPr>
            <w:tcW w:w="1667" w:type="dxa"/>
          </w:tcPr>
          <w:p w14:paraId="3D313A5E"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50" w:name="_Toc471999557"/>
            <w:bookmarkStart w:id="451" w:name="_Toc472251000"/>
            <w:r w:rsidRPr="0098635C">
              <w:rPr>
                <w:rStyle w:val="TablebodyChar"/>
                <w:rFonts w:ascii="Times New Roman" w:hAnsi="Times New Roman"/>
                <w:color w:val="000000" w:themeColor="text1"/>
                <w:sz w:val="20"/>
                <w:szCs w:val="20"/>
              </w:rPr>
              <w:t>Treatment: (a) 24d; (b) 42d; (c) 24d</w:t>
            </w:r>
            <w:bookmarkEnd w:id="450"/>
            <w:bookmarkEnd w:id="451"/>
          </w:p>
          <w:p w14:paraId="2498FD6B"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52" w:name="_Toc471999558"/>
            <w:bookmarkStart w:id="453" w:name="_Toc472251001"/>
            <w:r w:rsidRPr="0098635C">
              <w:rPr>
                <w:rStyle w:val="TablebodyChar"/>
                <w:rFonts w:ascii="Times New Roman" w:hAnsi="Times New Roman"/>
                <w:color w:val="000000" w:themeColor="text1"/>
                <w:sz w:val="20"/>
                <w:szCs w:val="20"/>
              </w:rPr>
              <w:t>12d (faeces collection)</w:t>
            </w:r>
            <w:bookmarkEnd w:id="452"/>
            <w:bookmarkEnd w:id="453"/>
          </w:p>
        </w:tc>
        <w:tc>
          <w:tcPr>
            <w:tcW w:w="851" w:type="dxa"/>
          </w:tcPr>
          <w:p w14:paraId="1C3EC079" w14:textId="77777777" w:rsidR="008D1AE9" w:rsidRPr="0098635C" w:rsidRDefault="008D1AE9" w:rsidP="005928D8">
            <w:pPr>
              <w:pStyle w:val="NoteLevel211"/>
              <w:rPr>
                <w:rStyle w:val="TablebodyChar"/>
                <w:rFonts w:ascii="Times New Roman" w:hAnsi="Times New Roman"/>
                <w:color w:val="000000" w:themeColor="text1"/>
                <w:sz w:val="20"/>
                <w:szCs w:val="20"/>
                <w:lang w:val="nl-NL"/>
              </w:rPr>
            </w:pPr>
            <w:bookmarkStart w:id="454" w:name="_Toc471999559"/>
            <w:bookmarkStart w:id="455" w:name="_Toc472251002"/>
            <w:r w:rsidRPr="0098635C">
              <w:rPr>
                <w:rStyle w:val="TablebodyChar"/>
                <w:rFonts w:ascii="Times New Roman" w:hAnsi="Times New Roman"/>
                <w:color w:val="000000" w:themeColor="text1"/>
                <w:sz w:val="20"/>
                <w:szCs w:val="20"/>
                <w:lang w:val="nl-NL"/>
              </w:rPr>
              <w:t>AAS (Cu in diet/faeces)</w:t>
            </w:r>
            <w:bookmarkEnd w:id="454"/>
            <w:bookmarkEnd w:id="455"/>
          </w:p>
          <w:p w14:paraId="2E6AAA30"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56" w:name="_Toc471999560"/>
            <w:bookmarkStart w:id="457" w:name="_Toc472251003"/>
            <w:r w:rsidRPr="0098635C">
              <w:rPr>
                <w:rStyle w:val="TablebodyChar"/>
                <w:rFonts w:ascii="Times New Roman" w:hAnsi="Times New Roman"/>
                <w:color w:val="000000" w:themeColor="text1"/>
                <w:sz w:val="20"/>
                <w:szCs w:val="20"/>
              </w:rPr>
              <w:t>TIMS (65Cu in diet &amp; faeces)</w:t>
            </w:r>
            <w:bookmarkEnd w:id="456"/>
            <w:bookmarkEnd w:id="457"/>
          </w:p>
        </w:tc>
        <w:tc>
          <w:tcPr>
            <w:tcW w:w="709" w:type="dxa"/>
          </w:tcPr>
          <w:p w14:paraId="4D0FD12C"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58" w:name="_Toc471999561"/>
            <w:bookmarkStart w:id="459" w:name="_Toc472251004"/>
            <w:r w:rsidRPr="0098635C">
              <w:rPr>
                <w:rStyle w:val="TablebodyChar"/>
                <w:rFonts w:ascii="Times New Roman" w:hAnsi="Times New Roman"/>
                <w:color w:val="000000" w:themeColor="text1"/>
                <w:sz w:val="20"/>
                <w:szCs w:val="20"/>
              </w:rPr>
              <w:t>(a) 36.3</w:t>
            </w:r>
            <w:bookmarkEnd w:id="458"/>
            <w:bookmarkEnd w:id="459"/>
            <w:r w:rsidRPr="0098635C">
              <w:rPr>
                <w:rStyle w:val="TablebodyChar"/>
                <w:rFonts w:ascii="Times New Roman" w:hAnsi="Times New Roman"/>
                <w:color w:val="000000" w:themeColor="text1"/>
                <w:sz w:val="20"/>
                <w:szCs w:val="20"/>
              </w:rPr>
              <w:t xml:space="preserve"> </w:t>
            </w:r>
          </w:p>
          <w:p w14:paraId="72D867BD"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60" w:name="_Toc471999562"/>
            <w:bookmarkStart w:id="461" w:name="_Toc472251005"/>
            <w:r w:rsidRPr="0098635C">
              <w:rPr>
                <w:rStyle w:val="TablebodyChar"/>
                <w:rFonts w:ascii="Times New Roman" w:hAnsi="Times New Roman"/>
                <w:color w:val="000000" w:themeColor="text1"/>
                <w:sz w:val="20"/>
                <w:szCs w:val="20"/>
              </w:rPr>
              <w:t>(b) 56.2 (early)  55.0 (late)</w:t>
            </w:r>
            <w:bookmarkEnd w:id="460"/>
            <w:bookmarkEnd w:id="461"/>
          </w:p>
          <w:p w14:paraId="7310A6EE"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62" w:name="_Toc471999563"/>
            <w:bookmarkStart w:id="463" w:name="_Toc472251006"/>
            <w:r w:rsidRPr="0098635C">
              <w:rPr>
                <w:rStyle w:val="TablebodyChar"/>
                <w:rFonts w:ascii="Times New Roman" w:hAnsi="Times New Roman"/>
                <w:color w:val="000000" w:themeColor="text1"/>
                <w:sz w:val="20"/>
                <w:szCs w:val="20"/>
              </w:rPr>
              <w:t>(c) 12.4</w:t>
            </w:r>
            <w:bookmarkEnd w:id="462"/>
            <w:bookmarkEnd w:id="463"/>
          </w:p>
        </w:tc>
        <w:tc>
          <w:tcPr>
            <w:tcW w:w="816" w:type="dxa"/>
          </w:tcPr>
          <w:p w14:paraId="60E1009B"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64" w:name="_Toc471999564"/>
            <w:bookmarkStart w:id="465" w:name="_Toc472251007"/>
            <w:r w:rsidRPr="0098635C">
              <w:rPr>
                <w:rStyle w:val="TablebodyChar"/>
                <w:rFonts w:ascii="Times New Roman" w:hAnsi="Times New Roman"/>
                <w:color w:val="000000" w:themeColor="text1"/>
                <w:sz w:val="20"/>
                <w:szCs w:val="20"/>
              </w:rPr>
              <w:t>NR</w:t>
            </w:r>
            <w:bookmarkEnd w:id="464"/>
            <w:bookmarkEnd w:id="465"/>
          </w:p>
        </w:tc>
        <w:tc>
          <w:tcPr>
            <w:tcW w:w="1310" w:type="dxa"/>
          </w:tcPr>
          <w:p w14:paraId="32E115CC"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66" w:name="_Toc471999565"/>
            <w:bookmarkStart w:id="467" w:name="_Toc472251008"/>
            <w:r w:rsidRPr="0098635C">
              <w:rPr>
                <w:rStyle w:val="TablebodyChar"/>
                <w:rFonts w:ascii="Times New Roman" w:hAnsi="Times New Roman"/>
                <w:color w:val="000000" w:themeColor="text1"/>
                <w:sz w:val="20"/>
                <w:szCs w:val="20"/>
              </w:rPr>
              <w:t>(a) 0.17</w:t>
            </w:r>
            <w:bookmarkEnd w:id="466"/>
            <w:bookmarkEnd w:id="467"/>
          </w:p>
          <w:p w14:paraId="000E04A3"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68" w:name="_Toc471999566"/>
            <w:bookmarkStart w:id="469" w:name="_Toc472251009"/>
            <w:r w:rsidRPr="0098635C">
              <w:rPr>
                <w:rStyle w:val="TablebodyChar"/>
                <w:rFonts w:ascii="Times New Roman" w:hAnsi="Times New Roman"/>
                <w:color w:val="000000" w:themeColor="text1"/>
                <w:sz w:val="20"/>
                <w:szCs w:val="20"/>
              </w:rPr>
              <w:t>(b) 0.002</w:t>
            </w:r>
            <w:bookmarkEnd w:id="468"/>
            <w:bookmarkEnd w:id="469"/>
          </w:p>
          <w:p w14:paraId="34D4864E"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70" w:name="_Toc471999567"/>
            <w:bookmarkStart w:id="471" w:name="_Toc472251010"/>
            <w:r w:rsidRPr="0098635C">
              <w:rPr>
                <w:rStyle w:val="TablebodyChar"/>
                <w:rFonts w:ascii="Times New Roman" w:hAnsi="Times New Roman"/>
                <w:color w:val="000000" w:themeColor="text1"/>
                <w:sz w:val="20"/>
                <w:szCs w:val="20"/>
              </w:rPr>
              <w:t>(c) 0.94</w:t>
            </w:r>
            <w:bookmarkEnd w:id="470"/>
            <w:bookmarkEnd w:id="471"/>
          </w:p>
        </w:tc>
      </w:tr>
      <w:tr w:rsidR="009A2F49" w:rsidRPr="0098635C" w14:paraId="0FF5450C" w14:textId="77777777" w:rsidTr="005928D8">
        <w:tc>
          <w:tcPr>
            <w:tcW w:w="1392" w:type="dxa"/>
          </w:tcPr>
          <w:p w14:paraId="72C39B79" w14:textId="67CE4778" w:rsidR="008D1AE9" w:rsidRPr="0098635C" w:rsidRDefault="008D1AE9" w:rsidP="005928D8">
            <w:pPr>
              <w:pStyle w:val="NoteLevel211"/>
              <w:rPr>
                <w:rStyle w:val="TablebodyChar"/>
                <w:rFonts w:ascii="Times New Roman" w:hAnsi="Times New Roman"/>
                <w:color w:val="000000" w:themeColor="text1"/>
                <w:sz w:val="20"/>
                <w:szCs w:val="20"/>
              </w:rPr>
            </w:pPr>
            <w:bookmarkStart w:id="472" w:name="_Toc471999568"/>
            <w:bookmarkStart w:id="473" w:name="_Toc472251011"/>
            <w:r w:rsidRPr="0098635C">
              <w:rPr>
                <w:rStyle w:val="TablebodyChar"/>
                <w:rFonts w:ascii="Times New Roman" w:hAnsi="Times New Roman"/>
                <w:color w:val="000000" w:themeColor="text1"/>
                <w:sz w:val="20"/>
                <w:szCs w:val="20"/>
              </w:rPr>
              <w:t xml:space="preserve">Harvey </w:t>
            </w:r>
            <w:r w:rsidR="004565E0" w:rsidRPr="0098635C">
              <w:rPr>
                <w:rStyle w:val="TablebodyChar"/>
                <w:rFonts w:ascii="Times New Roman" w:hAnsi="Times New Roman"/>
                <w:color w:val="000000" w:themeColor="text1"/>
                <w:sz w:val="20"/>
                <w:szCs w:val="20"/>
              </w:rPr>
              <w:t>and Majsak-Newman</w:t>
            </w:r>
            <w:r w:rsidRPr="0098635C">
              <w:rPr>
                <w:rStyle w:val="TablebodyChar"/>
                <w:rFonts w:ascii="Times New Roman" w:hAnsi="Times New Roman"/>
                <w:color w:val="000000" w:themeColor="text1"/>
                <w:sz w:val="20"/>
                <w:szCs w:val="20"/>
              </w:rPr>
              <w:t xml:space="preserve"> (2003)</w:t>
            </w:r>
            <w:bookmarkEnd w:id="472"/>
            <w:bookmarkEnd w:id="473"/>
          </w:p>
        </w:tc>
        <w:tc>
          <w:tcPr>
            <w:tcW w:w="1444" w:type="dxa"/>
          </w:tcPr>
          <w:p w14:paraId="55306C96"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74" w:name="_Toc471999569"/>
            <w:bookmarkStart w:id="475" w:name="_Toc472251012"/>
            <w:r w:rsidRPr="0098635C">
              <w:rPr>
                <w:rStyle w:val="TablebodyChar"/>
                <w:rFonts w:ascii="Times New Roman" w:hAnsi="Times New Roman"/>
                <w:color w:val="000000" w:themeColor="text1"/>
                <w:sz w:val="20"/>
                <w:szCs w:val="20"/>
              </w:rPr>
              <w:t>12 males (32y ± 11)</w:t>
            </w:r>
            <w:bookmarkEnd w:id="474"/>
            <w:bookmarkEnd w:id="475"/>
          </w:p>
        </w:tc>
        <w:tc>
          <w:tcPr>
            <w:tcW w:w="1168" w:type="dxa"/>
          </w:tcPr>
          <w:p w14:paraId="3DC2AB9B"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76" w:name="_Toc471999570"/>
            <w:bookmarkStart w:id="477" w:name="_Toc472251013"/>
            <w:r w:rsidRPr="0098635C">
              <w:rPr>
                <w:rStyle w:val="TablebodyChar"/>
                <w:rFonts w:ascii="Times New Roman" w:hAnsi="Times New Roman"/>
                <w:color w:val="000000" w:themeColor="text1"/>
                <w:sz w:val="20"/>
                <w:szCs w:val="20"/>
              </w:rPr>
              <w:t>3 dietary periods:</w:t>
            </w:r>
            <w:bookmarkEnd w:id="476"/>
            <w:bookmarkEnd w:id="477"/>
          </w:p>
          <w:p w14:paraId="703E2F79"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78" w:name="_Toc471999571"/>
            <w:bookmarkStart w:id="479" w:name="_Toc472251014"/>
            <w:r w:rsidRPr="0098635C">
              <w:rPr>
                <w:rStyle w:val="TablebodyChar"/>
                <w:rFonts w:ascii="Times New Roman" w:hAnsi="Times New Roman"/>
                <w:color w:val="000000" w:themeColor="text1"/>
                <w:sz w:val="20"/>
                <w:szCs w:val="20"/>
              </w:rPr>
              <w:t>0.7</w:t>
            </w:r>
            <w:bookmarkEnd w:id="478"/>
            <w:bookmarkEnd w:id="479"/>
          </w:p>
          <w:p w14:paraId="1CB030D1"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80" w:name="_Toc471999572"/>
            <w:bookmarkStart w:id="481" w:name="_Toc472251015"/>
            <w:r w:rsidRPr="0098635C">
              <w:rPr>
                <w:rStyle w:val="TablebodyChar"/>
                <w:rFonts w:ascii="Times New Roman" w:hAnsi="Times New Roman"/>
                <w:color w:val="000000" w:themeColor="text1"/>
                <w:sz w:val="20"/>
                <w:szCs w:val="20"/>
              </w:rPr>
              <w:t>1.6</w:t>
            </w:r>
            <w:bookmarkEnd w:id="480"/>
            <w:bookmarkEnd w:id="481"/>
          </w:p>
          <w:p w14:paraId="2E4D7F25"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82" w:name="_Toc471999573"/>
            <w:bookmarkStart w:id="483" w:name="_Toc472251016"/>
            <w:r w:rsidRPr="0098635C">
              <w:rPr>
                <w:rStyle w:val="TablebodyChar"/>
                <w:rFonts w:ascii="Times New Roman" w:hAnsi="Times New Roman"/>
                <w:color w:val="000000" w:themeColor="text1"/>
                <w:sz w:val="20"/>
                <w:szCs w:val="20"/>
              </w:rPr>
              <w:t>(c)   6.0</w:t>
            </w:r>
            <w:bookmarkEnd w:id="482"/>
            <w:bookmarkEnd w:id="483"/>
          </w:p>
        </w:tc>
        <w:tc>
          <w:tcPr>
            <w:tcW w:w="1701" w:type="dxa"/>
          </w:tcPr>
          <w:p w14:paraId="6E137146"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84" w:name="_Toc471999574"/>
            <w:bookmarkStart w:id="485" w:name="_Toc472251017"/>
            <w:r w:rsidRPr="0098635C">
              <w:rPr>
                <w:rStyle w:val="TablebodyChar"/>
                <w:rFonts w:ascii="Times New Roman" w:hAnsi="Times New Roman"/>
                <w:color w:val="000000" w:themeColor="text1"/>
                <w:sz w:val="20"/>
                <w:szCs w:val="20"/>
              </w:rPr>
              <w:t>65Cu (oral in drink)</w:t>
            </w:r>
            <w:bookmarkEnd w:id="484"/>
            <w:bookmarkEnd w:id="485"/>
          </w:p>
        </w:tc>
        <w:tc>
          <w:tcPr>
            <w:tcW w:w="1667" w:type="dxa"/>
          </w:tcPr>
          <w:p w14:paraId="7AED8B87" w14:textId="08655E3C" w:rsidR="008D1AE9" w:rsidRPr="0098635C" w:rsidRDefault="008D1AE9" w:rsidP="005928D8">
            <w:pPr>
              <w:pStyle w:val="NoteLevel211"/>
              <w:rPr>
                <w:rStyle w:val="TablebodyChar"/>
                <w:rFonts w:ascii="Times New Roman" w:hAnsi="Times New Roman"/>
                <w:color w:val="000000" w:themeColor="text1"/>
                <w:sz w:val="20"/>
                <w:szCs w:val="20"/>
              </w:rPr>
            </w:pPr>
            <w:bookmarkStart w:id="486" w:name="_Toc471999575"/>
            <w:bookmarkStart w:id="487" w:name="_Toc472251018"/>
            <w:r w:rsidRPr="0098635C">
              <w:rPr>
                <w:rStyle w:val="TablebodyChar"/>
                <w:rFonts w:ascii="Times New Roman" w:hAnsi="Times New Roman"/>
                <w:color w:val="000000" w:themeColor="text1"/>
                <w:sz w:val="20"/>
                <w:szCs w:val="20"/>
              </w:rPr>
              <w:t xml:space="preserve">Treatment: </w:t>
            </w:r>
            <w:r w:rsidR="00AA795B" w:rsidRPr="0098635C">
              <w:rPr>
                <w:rStyle w:val="TablebodyChar"/>
                <w:rFonts w:ascii="Times New Roman" w:hAnsi="Times New Roman"/>
                <w:color w:val="000000" w:themeColor="text1"/>
                <w:sz w:val="20"/>
                <w:szCs w:val="20"/>
              </w:rPr>
              <w:t xml:space="preserve">42d </w:t>
            </w:r>
            <w:r w:rsidRPr="0098635C">
              <w:rPr>
                <w:rStyle w:val="TablebodyChar"/>
                <w:rFonts w:ascii="Times New Roman" w:hAnsi="Times New Roman"/>
                <w:color w:val="000000" w:themeColor="text1"/>
                <w:sz w:val="20"/>
                <w:szCs w:val="20"/>
              </w:rPr>
              <w:t>each dietary period, separated by &gt;4 wks.</w:t>
            </w:r>
            <w:bookmarkEnd w:id="486"/>
            <w:bookmarkEnd w:id="487"/>
          </w:p>
          <w:p w14:paraId="060EB90D"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88" w:name="_Toc471999576"/>
            <w:bookmarkStart w:id="489" w:name="_Toc472251019"/>
            <w:r w:rsidRPr="0098635C">
              <w:rPr>
                <w:rStyle w:val="TablebodyChar"/>
                <w:rFonts w:ascii="Times New Roman" w:hAnsi="Times New Roman"/>
                <w:color w:val="000000" w:themeColor="text1"/>
                <w:sz w:val="20"/>
                <w:szCs w:val="20"/>
              </w:rPr>
              <w:t>14d (faeces collection).</w:t>
            </w:r>
            <w:bookmarkEnd w:id="488"/>
            <w:bookmarkEnd w:id="489"/>
          </w:p>
        </w:tc>
        <w:tc>
          <w:tcPr>
            <w:tcW w:w="851" w:type="dxa"/>
          </w:tcPr>
          <w:p w14:paraId="7DDDD6B3"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90" w:name="_Toc471999577"/>
            <w:bookmarkStart w:id="491" w:name="_Toc472251020"/>
            <w:r w:rsidRPr="0098635C">
              <w:rPr>
                <w:rStyle w:val="TablebodyChar"/>
                <w:rFonts w:ascii="Times New Roman" w:hAnsi="Times New Roman"/>
                <w:color w:val="000000" w:themeColor="text1"/>
                <w:sz w:val="20"/>
                <w:szCs w:val="20"/>
              </w:rPr>
              <w:t>ICPMS</w:t>
            </w:r>
            <w:bookmarkEnd w:id="490"/>
            <w:bookmarkEnd w:id="491"/>
          </w:p>
        </w:tc>
        <w:tc>
          <w:tcPr>
            <w:tcW w:w="709" w:type="dxa"/>
          </w:tcPr>
          <w:p w14:paraId="42828CF5"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92" w:name="_Toc471999578"/>
            <w:bookmarkStart w:id="493" w:name="_Toc472251021"/>
            <w:r w:rsidRPr="0098635C">
              <w:rPr>
                <w:rStyle w:val="TablebodyChar"/>
                <w:rFonts w:ascii="Times New Roman" w:hAnsi="Times New Roman"/>
                <w:color w:val="000000" w:themeColor="text1"/>
                <w:sz w:val="20"/>
                <w:szCs w:val="20"/>
              </w:rPr>
              <w:t>(a) 41</w:t>
            </w:r>
            <w:bookmarkEnd w:id="492"/>
            <w:bookmarkEnd w:id="493"/>
          </w:p>
          <w:p w14:paraId="25667DA1"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94" w:name="_Toc471999579"/>
            <w:bookmarkStart w:id="495" w:name="_Toc472251022"/>
            <w:r w:rsidRPr="0098635C">
              <w:rPr>
                <w:rStyle w:val="TablebodyChar"/>
                <w:rFonts w:ascii="Times New Roman" w:hAnsi="Times New Roman"/>
                <w:color w:val="000000" w:themeColor="text1"/>
                <w:sz w:val="20"/>
                <w:szCs w:val="20"/>
              </w:rPr>
              <w:t>(b) 42</w:t>
            </w:r>
            <w:bookmarkEnd w:id="494"/>
            <w:bookmarkEnd w:id="495"/>
          </w:p>
          <w:p w14:paraId="67EE4F2B"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96" w:name="_Toc471999580"/>
            <w:bookmarkStart w:id="497" w:name="_Toc472251023"/>
            <w:r w:rsidRPr="0098635C">
              <w:rPr>
                <w:rStyle w:val="TablebodyChar"/>
                <w:rFonts w:ascii="Times New Roman" w:hAnsi="Times New Roman"/>
                <w:color w:val="000000" w:themeColor="text1"/>
                <w:sz w:val="20"/>
                <w:szCs w:val="20"/>
              </w:rPr>
              <w:t>(c) 45</w:t>
            </w:r>
            <w:bookmarkEnd w:id="496"/>
            <w:bookmarkEnd w:id="497"/>
          </w:p>
        </w:tc>
        <w:tc>
          <w:tcPr>
            <w:tcW w:w="816" w:type="dxa"/>
          </w:tcPr>
          <w:p w14:paraId="3C6021FA"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498" w:name="_Toc471999581"/>
            <w:bookmarkStart w:id="499" w:name="_Toc472251024"/>
            <w:r w:rsidRPr="0098635C">
              <w:rPr>
                <w:rStyle w:val="TablebodyChar"/>
                <w:rFonts w:ascii="Times New Roman" w:hAnsi="Times New Roman"/>
                <w:color w:val="000000" w:themeColor="text1"/>
                <w:sz w:val="20"/>
                <w:szCs w:val="20"/>
              </w:rPr>
              <w:t>48</w:t>
            </w:r>
            <w:bookmarkEnd w:id="498"/>
            <w:bookmarkEnd w:id="499"/>
          </w:p>
          <w:p w14:paraId="4F04493D"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500" w:name="_Toc471999582"/>
            <w:bookmarkStart w:id="501" w:name="_Toc472251025"/>
            <w:r w:rsidRPr="0098635C">
              <w:rPr>
                <w:rStyle w:val="TablebodyChar"/>
                <w:rFonts w:ascii="Times New Roman" w:hAnsi="Times New Roman"/>
                <w:color w:val="000000" w:themeColor="text1"/>
                <w:sz w:val="20"/>
                <w:szCs w:val="20"/>
              </w:rPr>
              <w:t>45</w:t>
            </w:r>
            <w:bookmarkEnd w:id="500"/>
            <w:bookmarkEnd w:id="501"/>
          </w:p>
          <w:p w14:paraId="727A85B2"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502" w:name="_Toc471999583"/>
            <w:bookmarkStart w:id="503" w:name="_Toc472251026"/>
            <w:r w:rsidRPr="0098635C">
              <w:rPr>
                <w:rStyle w:val="TablebodyChar"/>
                <w:rFonts w:ascii="Times New Roman" w:hAnsi="Times New Roman"/>
                <w:color w:val="000000" w:themeColor="text1"/>
                <w:sz w:val="20"/>
                <w:szCs w:val="20"/>
              </w:rPr>
              <w:t>48</w:t>
            </w:r>
            <w:bookmarkEnd w:id="502"/>
            <w:bookmarkEnd w:id="503"/>
          </w:p>
          <w:p w14:paraId="6167E404" w14:textId="77777777" w:rsidR="008D1AE9" w:rsidRPr="0098635C" w:rsidRDefault="008D1AE9" w:rsidP="005928D8">
            <w:pPr>
              <w:pStyle w:val="NoteLevel211"/>
              <w:rPr>
                <w:rStyle w:val="TablebodyChar"/>
                <w:rFonts w:ascii="Times New Roman" w:hAnsi="Times New Roman"/>
                <w:color w:val="000000" w:themeColor="text1"/>
                <w:sz w:val="20"/>
                <w:szCs w:val="20"/>
              </w:rPr>
            </w:pPr>
          </w:p>
        </w:tc>
        <w:tc>
          <w:tcPr>
            <w:tcW w:w="1310" w:type="dxa"/>
          </w:tcPr>
          <w:p w14:paraId="69A34C16"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504" w:name="_Toc471999584"/>
            <w:bookmarkStart w:id="505" w:name="_Toc472251027"/>
            <w:r w:rsidRPr="0098635C">
              <w:rPr>
                <w:rStyle w:val="TablebodyChar"/>
                <w:rFonts w:ascii="Times New Roman" w:hAnsi="Times New Roman"/>
                <w:color w:val="000000" w:themeColor="text1"/>
                <w:sz w:val="20"/>
                <w:szCs w:val="20"/>
              </w:rPr>
              <w:t>(a) 0.13</w:t>
            </w:r>
            <w:bookmarkEnd w:id="504"/>
            <w:bookmarkEnd w:id="505"/>
          </w:p>
          <w:p w14:paraId="38AAD1A4"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506" w:name="_Toc471999585"/>
            <w:bookmarkStart w:id="507" w:name="_Toc472251028"/>
            <w:r w:rsidRPr="0098635C">
              <w:rPr>
                <w:rStyle w:val="TablebodyChar"/>
                <w:rFonts w:ascii="Times New Roman" w:hAnsi="Times New Roman"/>
                <w:color w:val="000000" w:themeColor="text1"/>
                <w:sz w:val="20"/>
                <w:szCs w:val="20"/>
              </w:rPr>
              <w:t>(b) 0</w:t>
            </w:r>
            <w:bookmarkEnd w:id="506"/>
            <w:bookmarkEnd w:id="507"/>
          </w:p>
          <w:p w14:paraId="0C395EC4"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508" w:name="_Toc471999586"/>
            <w:bookmarkStart w:id="509" w:name="_Toc472251029"/>
            <w:r w:rsidRPr="0098635C">
              <w:rPr>
                <w:rStyle w:val="TablebodyChar"/>
                <w:rFonts w:ascii="Times New Roman" w:hAnsi="Times New Roman"/>
                <w:color w:val="000000" w:themeColor="text1"/>
                <w:sz w:val="20"/>
                <w:szCs w:val="20"/>
              </w:rPr>
              <w:t>(c) 0.75</w:t>
            </w:r>
            <w:bookmarkEnd w:id="508"/>
            <w:bookmarkEnd w:id="509"/>
          </w:p>
        </w:tc>
      </w:tr>
      <w:tr w:rsidR="009A2F49" w:rsidRPr="0098635C" w14:paraId="0975AA49" w14:textId="77777777" w:rsidTr="005928D8">
        <w:tc>
          <w:tcPr>
            <w:tcW w:w="1392" w:type="dxa"/>
          </w:tcPr>
          <w:p w14:paraId="4F66878B"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510" w:name="_Toc471999587"/>
            <w:bookmarkStart w:id="511" w:name="_Toc472251030"/>
            <w:r w:rsidRPr="0098635C">
              <w:rPr>
                <w:rStyle w:val="TablebodyChar"/>
                <w:rFonts w:ascii="Times New Roman" w:hAnsi="Times New Roman"/>
                <w:color w:val="000000" w:themeColor="text1"/>
                <w:sz w:val="20"/>
                <w:szCs w:val="20"/>
              </w:rPr>
              <w:t>Harvey et al (2005)</w:t>
            </w:r>
            <w:bookmarkEnd w:id="510"/>
            <w:bookmarkEnd w:id="511"/>
          </w:p>
        </w:tc>
        <w:tc>
          <w:tcPr>
            <w:tcW w:w="1444" w:type="dxa"/>
          </w:tcPr>
          <w:p w14:paraId="2B6AC374" w14:textId="77777777" w:rsidR="008D1AE9" w:rsidRPr="0098635C" w:rsidRDefault="008D1AE9" w:rsidP="005928D8">
            <w:pPr>
              <w:pStyle w:val="NoteLevel211"/>
              <w:rPr>
                <w:rStyle w:val="TablebodyChar"/>
                <w:rFonts w:ascii="Times New Roman" w:hAnsi="Times New Roman"/>
                <w:color w:val="000000" w:themeColor="text1"/>
                <w:sz w:val="20"/>
                <w:szCs w:val="20"/>
                <w:lang w:val="fr-FR"/>
              </w:rPr>
            </w:pPr>
            <w:bookmarkStart w:id="512" w:name="_Toc471999588"/>
            <w:bookmarkStart w:id="513" w:name="_Toc472251031"/>
            <w:r w:rsidRPr="0098635C">
              <w:rPr>
                <w:rStyle w:val="TablebodyChar"/>
                <w:rFonts w:ascii="Times New Roman" w:hAnsi="Times New Roman"/>
                <w:color w:val="000000" w:themeColor="text1"/>
                <w:sz w:val="20"/>
                <w:szCs w:val="20"/>
                <w:lang w:val="fr-FR"/>
              </w:rPr>
              <w:t>6 males (mean 39y; range 34-57y)</w:t>
            </w:r>
            <w:bookmarkEnd w:id="512"/>
            <w:bookmarkEnd w:id="513"/>
          </w:p>
        </w:tc>
        <w:tc>
          <w:tcPr>
            <w:tcW w:w="1168" w:type="dxa"/>
          </w:tcPr>
          <w:p w14:paraId="39D8F875"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514" w:name="_Toc471999589"/>
            <w:bookmarkStart w:id="515" w:name="_Toc472251032"/>
            <w:r w:rsidRPr="0098635C">
              <w:rPr>
                <w:rStyle w:val="TablebodyChar"/>
                <w:rFonts w:ascii="Times New Roman" w:hAnsi="Times New Roman"/>
                <w:color w:val="000000" w:themeColor="text1"/>
                <w:sz w:val="20"/>
                <w:szCs w:val="20"/>
              </w:rPr>
              <w:t>1.4</w:t>
            </w:r>
            <w:bookmarkEnd w:id="514"/>
            <w:bookmarkEnd w:id="515"/>
          </w:p>
        </w:tc>
        <w:tc>
          <w:tcPr>
            <w:tcW w:w="1701" w:type="dxa"/>
          </w:tcPr>
          <w:p w14:paraId="53C066A3"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516" w:name="_Toc471999590"/>
            <w:bookmarkStart w:id="517" w:name="_Toc472251033"/>
            <w:r w:rsidRPr="0098635C">
              <w:rPr>
                <w:rStyle w:val="TablebodyChar"/>
                <w:rFonts w:ascii="Times New Roman" w:hAnsi="Times New Roman"/>
                <w:color w:val="000000" w:themeColor="text1"/>
                <w:sz w:val="20"/>
                <w:szCs w:val="20"/>
              </w:rPr>
              <w:t>65Cu (oral or i.v.)</w:t>
            </w:r>
            <w:bookmarkEnd w:id="516"/>
            <w:bookmarkEnd w:id="517"/>
          </w:p>
          <w:p w14:paraId="172E55A8" w14:textId="77777777" w:rsidR="008D1AE9" w:rsidRPr="0098635C" w:rsidRDefault="008D1AE9" w:rsidP="005928D8">
            <w:pPr>
              <w:pStyle w:val="NoteLevel211"/>
              <w:rPr>
                <w:rStyle w:val="TablebodyChar"/>
                <w:rFonts w:ascii="Times New Roman" w:hAnsi="Times New Roman"/>
                <w:color w:val="000000" w:themeColor="text1"/>
                <w:sz w:val="20"/>
                <w:szCs w:val="20"/>
              </w:rPr>
            </w:pPr>
          </w:p>
          <w:p w14:paraId="6798CAB9" w14:textId="77777777" w:rsidR="008D1AE9" w:rsidRPr="0098635C" w:rsidRDefault="008D1AE9" w:rsidP="005928D8">
            <w:pPr>
              <w:pStyle w:val="NoteLevel211"/>
              <w:rPr>
                <w:rStyle w:val="TablebodyChar"/>
                <w:rFonts w:ascii="Times New Roman" w:hAnsi="Times New Roman"/>
                <w:color w:val="000000" w:themeColor="text1"/>
                <w:sz w:val="20"/>
                <w:szCs w:val="20"/>
              </w:rPr>
            </w:pPr>
          </w:p>
        </w:tc>
        <w:tc>
          <w:tcPr>
            <w:tcW w:w="1667" w:type="dxa"/>
          </w:tcPr>
          <w:p w14:paraId="6BA5F9FD"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518" w:name="_Toc471999591"/>
            <w:bookmarkStart w:id="519" w:name="_Toc472251034"/>
            <w:r w:rsidRPr="0098635C">
              <w:rPr>
                <w:rStyle w:val="TablebodyChar"/>
                <w:rFonts w:ascii="Times New Roman" w:hAnsi="Times New Roman"/>
                <w:color w:val="000000" w:themeColor="text1"/>
                <w:sz w:val="20"/>
                <w:szCs w:val="20"/>
              </w:rPr>
              <w:t>14d (faeces collection)</w:t>
            </w:r>
            <w:bookmarkEnd w:id="518"/>
            <w:bookmarkEnd w:id="519"/>
          </w:p>
          <w:p w14:paraId="5974567F"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520" w:name="_Toc471999592"/>
            <w:bookmarkStart w:id="521" w:name="_Toc472251035"/>
            <w:r w:rsidRPr="0098635C">
              <w:rPr>
                <w:rStyle w:val="TablebodyChar"/>
                <w:rFonts w:ascii="Times New Roman" w:hAnsi="Times New Roman"/>
                <w:color w:val="000000" w:themeColor="text1"/>
                <w:sz w:val="20"/>
                <w:szCs w:val="20"/>
              </w:rPr>
              <w:t>7d (urine collection)</w:t>
            </w:r>
            <w:bookmarkEnd w:id="520"/>
            <w:bookmarkEnd w:id="521"/>
          </w:p>
          <w:p w14:paraId="5F271C14" w14:textId="77777777" w:rsidR="008D1AE9" w:rsidRPr="0098635C" w:rsidRDefault="008D1AE9" w:rsidP="005928D8">
            <w:pPr>
              <w:pStyle w:val="NoteLevel211"/>
              <w:rPr>
                <w:rStyle w:val="TablebodyChar"/>
                <w:rFonts w:ascii="Times New Roman" w:hAnsi="Times New Roman"/>
                <w:color w:val="000000" w:themeColor="text1"/>
                <w:sz w:val="20"/>
                <w:szCs w:val="20"/>
              </w:rPr>
            </w:pPr>
          </w:p>
        </w:tc>
        <w:tc>
          <w:tcPr>
            <w:tcW w:w="851" w:type="dxa"/>
          </w:tcPr>
          <w:p w14:paraId="7A6D1237"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522" w:name="_Toc471999593"/>
            <w:bookmarkStart w:id="523" w:name="_Toc472251036"/>
            <w:r w:rsidRPr="0098635C">
              <w:rPr>
                <w:rStyle w:val="TablebodyChar"/>
                <w:rFonts w:ascii="Times New Roman" w:hAnsi="Times New Roman"/>
                <w:color w:val="000000" w:themeColor="text1"/>
                <w:sz w:val="20"/>
                <w:szCs w:val="20"/>
              </w:rPr>
              <w:t>ICPMS</w:t>
            </w:r>
            <w:bookmarkEnd w:id="522"/>
            <w:bookmarkEnd w:id="523"/>
          </w:p>
        </w:tc>
        <w:tc>
          <w:tcPr>
            <w:tcW w:w="709" w:type="dxa"/>
          </w:tcPr>
          <w:p w14:paraId="4560B7D9"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524" w:name="_Toc471999594"/>
            <w:bookmarkStart w:id="525" w:name="_Toc472251037"/>
            <w:r w:rsidRPr="0098635C">
              <w:rPr>
                <w:rStyle w:val="TablebodyChar"/>
                <w:rFonts w:ascii="Times New Roman" w:hAnsi="Times New Roman"/>
                <w:color w:val="000000" w:themeColor="text1"/>
                <w:sz w:val="20"/>
                <w:szCs w:val="20"/>
              </w:rPr>
              <w:t>33 ± 3</w:t>
            </w:r>
            <w:bookmarkEnd w:id="524"/>
            <w:bookmarkEnd w:id="525"/>
          </w:p>
        </w:tc>
        <w:tc>
          <w:tcPr>
            <w:tcW w:w="816" w:type="dxa"/>
          </w:tcPr>
          <w:p w14:paraId="2A79E104"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526" w:name="_Toc471999595"/>
            <w:bookmarkStart w:id="527" w:name="_Toc472251038"/>
            <w:r w:rsidRPr="0098635C">
              <w:rPr>
                <w:rStyle w:val="TablebodyChar"/>
                <w:rFonts w:ascii="Times New Roman" w:hAnsi="Times New Roman"/>
                <w:color w:val="000000" w:themeColor="text1"/>
                <w:sz w:val="20"/>
                <w:szCs w:val="20"/>
              </w:rPr>
              <w:t>49 ± 4 (oral)</w:t>
            </w:r>
            <w:bookmarkEnd w:id="526"/>
            <w:bookmarkEnd w:id="527"/>
          </w:p>
          <w:p w14:paraId="20BA207C"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528" w:name="_Toc471999596"/>
            <w:bookmarkStart w:id="529" w:name="_Toc472251039"/>
            <w:r w:rsidRPr="0098635C">
              <w:rPr>
                <w:rStyle w:val="TablebodyChar"/>
                <w:rFonts w:ascii="Times New Roman" w:hAnsi="Times New Roman"/>
                <w:color w:val="000000" w:themeColor="text1"/>
                <w:sz w:val="20"/>
                <w:szCs w:val="20"/>
              </w:rPr>
              <w:t>48 ± 5 (i.v.)</w:t>
            </w:r>
            <w:bookmarkEnd w:id="528"/>
            <w:bookmarkEnd w:id="529"/>
          </w:p>
          <w:p w14:paraId="1F7CFA35"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530" w:name="_Toc471999597"/>
            <w:bookmarkStart w:id="531" w:name="_Toc472251040"/>
            <w:r w:rsidRPr="0098635C">
              <w:rPr>
                <w:rStyle w:val="TablebodyChar"/>
                <w:rFonts w:ascii="Times New Roman" w:hAnsi="Times New Roman"/>
                <w:color w:val="000000" w:themeColor="text1"/>
                <w:sz w:val="20"/>
                <w:szCs w:val="20"/>
              </w:rPr>
              <w:t>8 ± 2 (simple model)</w:t>
            </w:r>
            <w:bookmarkEnd w:id="530"/>
            <w:bookmarkEnd w:id="531"/>
          </w:p>
        </w:tc>
        <w:tc>
          <w:tcPr>
            <w:tcW w:w="1310" w:type="dxa"/>
          </w:tcPr>
          <w:p w14:paraId="18978FD5" w14:textId="77777777" w:rsidR="008D1AE9" w:rsidRPr="0098635C" w:rsidRDefault="008D1AE9" w:rsidP="005928D8">
            <w:pPr>
              <w:pStyle w:val="NoteLevel211"/>
              <w:rPr>
                <w:rStyle w:val="TablebodyChar"/>
                <w:rFonts w:ascii="Times New Roman" w:hAnsi="Times New Roman"/>
                <w:color w:val="000000" w:themeColor="text1"/>
                <w:sz w:val="20"/>
                <w:szCs w:val="20"/>
              </w:rPr>
            </w:pPr>
            <w:bookmarkStart w:id="532" w:name="_Toc471999598"/>
            <w:bookmarkStart w:id="533" w:name="_Toc472251041"/>
            <w:r w:rsidRPr="0098635C">
              <w:rPr>
                <w:rStyle w:val="TablebodyChar"/>
                <w:rFonts w:ascii="Times New Roman" w:hAnsi="Times New Roman"/>
                <w:color w:val="000000" w:themeColor="text1"/>
                <w:sz w:val="20"/>
                <w:szCs w:val="20"/>
              </w:rPr>
              <w:t>NR</w:t>
            </w:r>
            <w:bookmarkEnd w:id="532"/>
            <w:bookmarkEnd w:id="533"/>
          </w:p>
        </w:tc>
      </w:tr>
    </w:tbl>
    <w:p w14:paraId="0E1B4EFC" w14:textId="37FCCAF9" w:rsidR="008D1AE9" w:rsidRPr="0098635C" w:rsidRDefault="0048420A" w:rsidP="00F67B0C">
      <w:pPr>
        <w:rPr>
          <w:color w:val="000000" w:themeColor="text1"/>
          <w:sz w:val="20"/>
          <w:szCs w:val="20"/>
        </w:rPr>
      </w:pPr>
      <w:r w:rsidRPr="0098635C">
        <w:rPr>
          <w:color w:val="000000" w:themeColor="text1"/>
          <w:sz w:val="20"/>
          <w:szCs w:val="20"/>
        </w:rPr>
        <w:t>NR - not reported.  Absorption and balance values represent mean values</w:t>
      </w:r>
    </w:p>
    <w:p w14:paraId="48B1D8C9" w14:textId="744FE954" w:rsidR="008D1AE9" w:rsidRPr="0098635C" w:rsidRDefault="008D1AE9" w:rsidP="008D1AE9">
      <w:pPr>
        <w:pStyle w:val="Heading4"/>
        <w:rPr>
          <w:color w:val="000000" w:themeColor="text1"/>
          <w:sz w:val="20"/>
        </w:rPr>
      </w:pPr>
      <w:r w:rsidRPr="0098635C">
        <w:rPr>
          <w:color w:val="000000" w:themeColor="text1"/>
          <w:sz w:val="20"/>
        </w:rPr>
        <w:t>Dermal a</w:t>
      </w:r>
      <w:r w:rsidR="002622B1" w:rsidRPr="0098635C">
        <w:rPr>
          <w:color w:val="000000" w:themeColor="text1"/>
          <w:sz w:val="20"/>
        </w:rPr>
        <w:t>b</w:t>
      </w:r>
      <w:r w:rsidRPr="0098635C">
        <w:rPr>
          <w:color w:val="000000" w:themeColor="text1"/>
          <w:sz w:val="20"/>
        </w:rPr>
        <w:t>sorption</w:t>
      </w:r>
      <w:bookmarkStart w:id="534" w:name="_Ref273554283"/>
      <w:bookmarkStart w:id="535" w:name="_Ref273554279"/>
      <w:bookmarkStart w:id="536" w:name="_Toc274238352"/>
    </w:p>
    <w:p w14:paraId="17133B6B" w14:textId="22D4C0D3" w:rsidR="0048420A" w:rsidRPr="0098635C" w:rsidRDefault="008D1AE9" w:rsidP="00F67B0C">
      <w:pPr>
        <w:pStyle w:val="BodyText"/>
        <w:rPr>
          <w:color w:val="000000" w:themeColor="text1"/>
          <w:sz w:val="20"/>
        </w:rPr>
      </w:pPr>
      <w:r w:rsidRPr="0098635C">
        <w:rPr>
          <w:color w:val="000000" w:themeColor="text1"/>
          <w:sz w:val="20"/>
        </w:rPr>
        <w:t xml:space="preserve">Skin penetration by copper has been reviewed by Hostynek and Maibach (2003).  Available data on this subject show that copper compounds and copper metal are capable of penetrating the stratum corneum of human skin. With regard to dermal absorption of copper, two </w:t>
      </w:r>
      <w:r w:rsidRPr="0098635C">
        <w:rPr>
          <w:i/>
          <w:color w:val="000000" w:themeColor="text1"/>
          <w:sz w:val="20"/>
        </w:rPr>
        <w:t>in vitro</w:t>
      </w:r>
      <w:r w:rsidRPr="0098635C">
        <w:rPr>
          <w:color w:val="000000" w:themeColor="text1"/>
          <w:sz w:val="20"/>
        </w:rPr>
        <w:t xml:space="preserve"> studies using human skin provide the best data currently available (</w:t>
      </w:r>
      <w:r w:rsidR="00E230FB" w:rsidRPr="0098635C">
        <w:rPr>
          <w:b/>
          <w:bCs/>
          <w:color w:val="000000" w:themeColor="text1"/>
          <w:sz w:val="20"/>
        </w:rPr>
        <w:fldChar w:fldCharType="begin"/>
      </w:r>
      <w:r w:rsidR="00800666" w:rsidRPr="0098635C">
        <w:rPr>
          <w:color w:val="000000" w:themeColor="text1"/>
          <w:sz w:val="20"/>
        </w:rPr>
        <w:instrText xml:space="preserve"> REF _Ref261182054 \h </w:instrText>
      </w:r>
      <w:r w:rsidR="00E230FB" w:rsidRPr="0098635C">
        <w:rPr>
          <w:b/>
          <w:bCs/>
          <w:color w:val="000000" w:themeColor="text1"/>
          <w:sz w:val="20"/>
        </w:rPr>
      </w:r>
      <w:r w:rsidR="0098635C">
        <w:rPr>
          <w:b/>
          <w:bCs/>
          <w:color w:val="000000" w:themeColor="text1"/>
          <w:sz w:val="20"/>
        </w:rPr>
        <w:instrText xml:space="preserve"> \* MERGEFORMAT </w:instrText>
      </w:r>
      <w:r w:rsidR="00E230FB" w:rsidRPr="0098635C">
        <w:rPr>
          <w:b/>
          <w:bCs/>
          <w:color w:val="000000" w:themeColor="text1"/>
          <w:sz w:val="20"/>
        </w:rPr>
        <w:fldChar w:fldCharType="separate"/>
      </w:r>
      <w:r w:rsidR="00690E61" w:rsidRPr="0098635C">
        <w:rPr>
          <w:color w:val="000000" w:themeColor="text1"/>
          <w:sz w:val="20"/>
        </w:rPr>
        <w:t xml:space="preserve">Table </w:t>
      </w:r>
      <w:r w:rsidR="00690E61" w:rsidRPr="0098635C">
        <w:rPr>
          <w:noProof/>
          <w:color w:val="000000" w:themeColor="text1"/>
          <w:sz w:val="20"/>
        </w:rPr>
        <w:t>6</w:t>
      </w:r>
      <w:r w:rsidR="00E230FB" w:rsidRPr="0098635C">
        <w:rPr>
          <w:b/>
          <w:bCs/>
          <w:color w:val="000000" w:themeColor="text1"/>
          <w:sz w:val="20"/>
        </w:rPr>
        <w:fldChar w:fldCharType="end"/>
      </w:r>
      <w:r w:rsidRPr="0098635C">
        <w:rPr>
          <w:color w:val="000000" w:themeColor="text1"/>
          <w:sz w:val="20"/>
        </w:rPr>
        <w:t xml:space="preserve">). The copper compounds were applied in an aqueous medium (slurry). Roper (2003 – </w:t>
      </w:r>
      <w:r w:rsidRPr="0098635C">
        <w:rPr>
          <w:i/>
          <w:color w:val="000000" w:themeColor="text1"/>
          <w:sz w:val="20"/>
        </w:rPr>
        <w:t>unpublished</w:t>
      </w:r>
      <w:r w:rsidRPr="0098635C">
        <w:rPr>
          <w:color w:val="000000" w:themeColor="text1"/>
          <w:sz w:val="20"/>
        </w:rPr>
        <w:t xml:space="preserve">) reports dermal absorption rates near zero and dermal delivery rates of &lt;0.1% for both copper (I) and </w:t>
      </w:r>
      <w:r w:rsidR="00236182" w:rsidRPr="0098635C">
        <w:rPr>
          <w:color w:val="000000" w:themeColor="text1"/>
          <w:sz w:val="20"/>
        </w:rPr>
        <w:t>dicopper chloride trihydroxide</w:t>
      </w:r>
      <w:r w:rsidRPr="0098635C">
        <w:rPr>
          <w:color w:val="000000" w:themeColor="text1"/>
          <w:sz w:val="20"/>
        </w:rPr>
        <w:t xml:space="preserve">. It should be noted that this study has several limitations, including the lack of mass balance data (applied dose of copper is not fully accounted for) and large standard deviations in the absorption and delivery data. Cage (2003 – unpublished) reported dermal absorption rates of &lt;0.2% for copper (I) oxide and copper sulphate, and &lt;0.1% for copper powder. </w:t>
      </w:r>
      <w:r w:rsidRPr="0098635C">
        <w:rPr>
          <w:iCs/>
          <w:color w:val="000000" w:themeColor="text1"/>
          <w:sz w:val="20"/>
        </w:rPr>
        <w:t xml:space="preserve">Similar to the Roper (2003) study, this </w:t>
      </w:r>
      <w:r w:rsidRPr="0098635C">
        <w:rPr>
          <w:color w:val="000000" w:themeColor="text1"/>
          <w:sz w:val="20"/>
        </w:rPr>
        <w:t xml:space="preserve">study was limited by the absence of mass balance data and the occurrence of fairly large standard deviations. In addition, data concerning copper retained in the skin was also lacking. It is notable that absorption values reported in the Roper study are lower than those reported by Cage. For example, values for copper (I) oxide are 0.001% and 0.157%, respectively.  </w:t>
      </w:r>
    </w:p>
    <w:p w14:paraId="6474E56B" w14:textId="77777777" w:rsidR="008D1AE9" w:rsidRPr="0098635C" w:rsidRDefault="00800666" w:rsidP="007A3E52">
      <w:pPr>
        <w:pStyle w:val="Caption"/>
        <w:ind w:left="0"/>
        <w:jc w:val="center"/>
        <w:rPr>
          <w:b w:val="0"/>
          <w:color w:val="000000" w:themeColor="text1"/>
          <w:sz w:val="20"/>
          <w:lang w:val="en-GB"/>
        </w:rPr>
      </w:pPr>
      <w:bookmarkStart w:id="537" w:name="_Ref261182054"/>
      <w:bookmarkStart w:id="538" w:name="_Toc260323655"/>
      <w:bookmarkEnd w:id="534"/>
      <w:bookmarkEnd w:id="535"/>
      <w:bookmarkEnd w:id="536"/>
      <w:r w:rsidRPr="0098635C">
        <w:rPr>
          <w:color w:val="000000" w:themeColor="text1"/>
          <w:sz w:val="20"/>
        </w:rPr>
        <w:t xml:space="preserve">Table </w:t>
      </w:r>
      <w:r w:rsidR="00E230FB" w:rsidRPr="0098635C">
        <w:rPr>
          <w:color w:val="000000" w:themeColor="text1"/>
          <w:sz w:val="20"/>
        </w:rPr>
        <w:fldChar w:fldCharType="begin"/>
      </w:r>
      <w:r w:rsidR="00540A07" w:rsidRPr="0098635C">
        <w:rPr>
          <w:color w:val="000000" w:themeColor="text1"/>
          <w:sz w:val="20"/>
        </w:rPr>
        <w:instrText xml:space="preserve"> SEQ Table \* ARABIC </w:instrText>
      </w:r>
      <w:r w:rsidR="00E230FB" w:rsidRPr="0098635C">
        <w:rPr>
          <w:color w:val="000000" w:themeColor="text1"/>
          <w:sz w:val="20"/>
        </w:rPr>
        <w:fldChar w:fldCharType="separate"/>
      </w:r>
      <w:r w:rsidR="00690E61" w:rsidRPr="0098635C">
        <w:rPr>
          <w:noProof/>
          <w:color w:val="000000" w:themeColor="text1"/>
          <w:sz w:val="20"/>
        </w:rPr>
        <w:t>6</w:t>
      </w:r>
      <w:r w:rsidR="00E230FB" w:rsidRPr="0098635C">
        <w:rPr>
          <w:noProof/>
          <w:color w:val="000000" w:themeColor="text1"/>
          <w:sz w:val="20"/>
        </w:rPr>
        <w:fldChar w:fldCharType="end"/>
      </w:r>
      <w:bookmarkEnd w:id="537"/>
      <w:r w:rsidR="008D1AE9" w:rsidRPr="0098635C">
        <w:rPr>
          <w:b w:val="0"/>
          <w:color w:val="000000" w:themeColor="text1"/>
          <w:sz w:val="20"/>
          <w:lang w:val="en-GB"/>
        </w:rPr>
        <w:t>: Summary of reliable in vitro dermal absorption</w:t>
      </w:r>
      <w:bookmarkEnd w:id="538"/>
      <w:r w:rsidR="008D1AE9" w:rsidRPr="0098635C">
        <w:rPr>
          <w:b w:val="0"/>
          <w:color w:val="000000" w:themeColor="text1"/>
          <w:sz w:val="20"/>
          <w:lang w:val="en-GB"/>
        </w:rPr>
        <w:t xml:space="preserve"> data</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0"/>
        <w:gridCol w:w="1119"/>
        <w:gridCol w:w="1223"/>
        <w:gridCol w:w="1087"/>
        <w:gridCol w:w="1181"/>
        <w:gridCol w:w="992"/>
        <w:gridCol w:w="1276"/>
        <w:gridCol w:w="1134"/>
      </w:tblGrid>
      <w:tr w:rsidR="008D1AE9" w:rsidRPr="0098635C" w14:paraId="29AB8392" w14:textId="77777777" w:rsidTr="00AF385A">
        <w:trPr>
          <w:tblHeader/>
        </w:trPr>
        <w:tc>
          <w:tcPr>
            <w:tcW w:w="1310" w:type="dxa"/>
            <w:vMerge w:val="restart"/>
            <w:tcMar>
              <w:top w:w="20" w:type="nil"/>
              <w:left w:w="20" w:type="nil"/>
              <w:bottom w:w="20" w:type="nil"/>
              <w:right w:w="20" w:type="nil"/>
            </w:tcMar>
            <w:vAlign w:val="center"/>
          </w:tcPr>
          <w:p w14:paraId="73921C8D" w14:textId="77777777" w:rsidR="008D1AE9" w:rsidRPr="0098635C" w:rsidRDefault="008D1AE9" w:rsidP="00AF385A">
            <w:pPr>
              <w:pStyle w:val="NoteLevel211"/>
              <w:rPr>
                <w:b/>
                <w:color w:val="000000" w:themeColor="text1"/>
              </w:rPr>
            </w:pPr>
            <w:bookmarkStart w:id="539" w:name="_Toc471999599"/>
            <w:bookmarkStart w:id="540" w:name="_Toc472251042"/>
            <w:r w:rsidRPr="0098635C">
              <w:rPr>
                <w:b/>
                <w:color w:val="000000" w:themeColor="text1"/>
              </w:rPr>
              <w:t>Reference</w:t>
            </w:r>
            <w:bookmarkEnd w:id="539"/>
            <w:bookmarkEnd w:id="540"/>
          </w:p>
        </w:tc>
        <w:tc>
          <w:tcPr>
            <w:tcW w:w="1119" w:type="dxa"/>
            <w:vMerge w:val="restart"/>
            <w:tcMar>
              <w:top w:w="20" w:type="nil"/>
              <w:left w:w="20" w:type="nil"/>
              <w:bottom w:w="20" w:type="nil"/>
              <w:right w:w="20" w:type="nil"/>
            </w:tcMar>
            <w:vAlign w:val="center"/>
          </w:tcPr>
          <w:p w14:paraId="475E2F87" w14:textId="77777777" w:rsidR="008D1AE9" w:rsidRPr="0098635C" w:rsidRDefault="008D1AE9" w:rsidP="00AF385A">
            <w:pPr>
              <w:pStyle w:val="NoteLevel211"/>
              <w:rPr>
                <w:b/>
                <w:color w:val="000000" w:themeColor="text1"/>
              </w:rPr>
            </w:pPr>
            <w:bookmarkStart w:id="541" w:name="_Toc471999600"/>
            <w:bookmarkStart w:id="542" w:name="_Toc472251043"/>
            <w:r w:rsidRPr="0098635C">
              <w:rPr>
                <w:b/>
                <w:color w:val="000000" w:themeColor="text1"/>
              </w:rPr>
              <w:t>Substance</w:t>
            </w:r>
            <w:bookmarkEnd w:id="541"/>
            <w:bookmarkEnd w:id="542"/>
          </w:p>
        </w:tc>
        <w:tc>
          <w:tcPr>
            <w:tcW w:w="1223" w:type="dxa"/>
            <w:vMerge w:val="restart"/>
            <w:tcMar>
              <w:top w:w="20" w:type="nil"/>
              <w:left w:w="20" w:type="nil"/>
              <w:bottom w:w="20" w:type="nil"/>
              <w:right w:w="20" w:type="nil"/>
            </w:tcMar>
            <w:vAlign w:val="center"/>
          </w:tcPr>
          <w:p w14:paraId="035233E0" w14:textId="4C5E5D7F" w:rsidR="008D1AE9" w:rsidRPr="0098635C" w:rsidRDefault="00F1194F" w:rsidP="00F1194F">
            <w:pPr>
              <w:pStyle w:val="NoteLevel211"/>
              <w:rPr>
                <w:b/>
                <w:color w:val="000000" w:themeColor="text1"/>
              </w:rPr>
            </w:pPr>
            <w:bookmarkStart w:id="543" w:name="_Toc471999601"/>
            <w:bookmarkStart w:id="544" w:name="_Toc472251044"/>
            <w:r w:rsidRPr="0098635C">
              <w:rPr>
                <w:b/>
                <w:color w:val="000000" w:themeColor="text1"/>
              </w:rPr>
              <w:t>Guideline and a</w:t>
            </w:r>
            <w:r w:rsidR="008D1AE9" w:rsidRPr="0098635C">
              <w:rPr>
                <w:b/>
                <w:color w:val="000000" w:themeColor="text1"/>
              </w:rPr>
              <w:t>nalytical method</w:t>
            </w:r>
            <w:bookmarkEnd w:id="543"/>
            <w:bookmarkEnd w:id="544"/>
          </w:p>
        </w:tc>
        <w:tc>
          <w:tcPr>
            <w:tcW w:w="1087" w:type="dxa"/>
            <w:vMerge w:val="restart"/>
            <w:tcMar>
              <w:top w:w="20" w:type="nil"/>
              <w:left w:w="20" w:type="nil"/>
              <w:bottom w:w="20" w:type="nil"/>
              <w:right w:w="20" w:type="nil"/>
            </w:tcMar>
            <w:vAlign w:val="center"/>
          </w:tcPr>
          <w:p w14:paraId="039CC616" w14:textId="77777777" w:rsidR="008D1AE9" w:rsidRPr="0098635C" w:rsidRDefault="008D1AE9" w:rsidP="00AF385A">
            <w:pPr>
              <w:pStyle w:val="NoteLevel211"/>
              <w:rPr>
                <w:b/>
                <w:color w:val="000000" w:themeColor="text1"/>
              </w:rPr>
            </w:pPr>
            <w:bookmarkStart w:id="545" w:name="_Toc471999602"/>
            <w:bookmarkStart w:id="546" w:name="_Toc472251045"/>
            <w:r w:rsidRPr="0098635C">
              <w:rPr>
                <w:b/>
                <w:color w:val="000000" w:themeColor="text1"/>
              </w:rPr>
              <w:t>Applied dose (mg Cu/cm</w:t>
            </w:r>
            <w:r w:rsidRPr="0098635C">
              <w:rPr>
                <w:b/>
                <w:color w:val="000000" w:themeColor="text1"/>
                <w:vertAlign w:val="superscript"/>
              </w:rPr>
              <w:t>2</w:t>
            </w:r>
            <w:r w:rsidRPr="0098635C">
              <w:rPr>
                <w:b/>
                <w:color w:val="000000" w:themeColor="text1"/>
              </w:rPr>
              <w:t>)</w:t>
            </w:r>
            <w:bookmarkEnd w:id="545"/>
            <w:bookmarkEnd w:id="546"/>
          </w:p>
        </w:tc>
        <w:tc>
          <w:tcPr>
            <w:tcW w:w="2173" w:type="dxa"/>
            <w:gridSpan w:val="2"/>
            <w:vAlign w:val="center"/>
          </w:tcPr>
          <w:p w14:paraId="3067E5D4" w14:textId="77777777" w:rsidR="008D1AE9" w:rsidRPr="0098635C" w:rsidRDefault="008D1AE9" w:rsidP="00AF385A">
            <w:pPr>
              <w:pStyle w:val="NoteLevel211"/>
              <w:rPr>
                <w:b/>
                <w:color w:val="000000" w:themeColor="text1"/>
              </w:rPr>
            </w:pPr>
            <w:bookmarkStart w:id="547" w:name="_Toc471999603"/>
            <w:bookmarkStart w:id="548" w:name="_Toc472251046"/>
            <w:r w:rsidRPr="0098635C">
              <w:rPr>
                <w:b/>
                <w:color w:val="000000" w:themeColor="text1"/>
              </w:rPr>
              <w:t>Absorption</w:t>
            </w:r>
            <w:bookmarkEnd w:id="547"/>
            <w:bookmarkEnd w:id="548"/>
          </w:p>
        </w:tc>
        <w:tc>
          <w:tcPr>
            <w:tcW w:w="2410" w:type="dxa"/>
            <w:gridSpan w:val="2"/>
            <w:tcMar>
              <w:top w:w="20" w:type="nil"/>
              <w:left w:w="20" w:type="nil"/>
              <w:bottom w:w="20" w:type="nil"/>
              <w:right w:w="20" w:type="nil"/>
            </w:tcMar>
            <w:vAlign w:val="center"/>
          </w:tcPr>
          <w:p w14:paraId="1CE8CA74" w14:textId="696D3F3C" w:rsidR="008D1AE9" w:rsidRPr="0098635C" w:rsidRDefault="008D1AE9" w:rsidP="00AF385A">
            <w:pPr>
              <w:pStyle w:val="NoteLevel211"/>
              <w:rPr>
                <w:b/>
                <w:color w:val="000000" w:themeColor="text1"/>
              </w:rPr>
            </w:pPr>
            <w:bookmarkStart w:id="549" w:name="_Toc471999604"/>
            <w:bookmarkStart w:id="550" w:name="_Toc472251047"/>
            <w:r w:rsidRPr="0098635C">
              <w:rPr>
                <w:b/>
                <w:color w:val="000000" w:themeColor="text1"/>
              </w:rPr>
              <w:t>Dermal delivery</w:t>
            </w:r>
            <w:r w:rsidR="007805EE" w:rsidRPr="0098635C">
              <w:rPr>
                <w:b/>
                <w:color w:val="000000" w:themeColor="text1"/>
              </w:rPr>
              <w:t>*</w:t>
            </w:r>
            <w:bookmarkEnd w:id="549"/>
            <w:bookmarkEnd w:id="550"/>
          </w:p>
        </w:tc>
      </w:tr>
      <w:tr w:rsidR="008D1AE9" w:rsidRPr="0098635C" w14:paraId="78E9DE55" w14:textId="77777777" w:rsidTr="00AF385A">
        <w:tc>
          <w:tcPr>
            <w:tcW w:w="1310" w:type="dxa"/>
            <w:vMerge/>
            <w:tcMar>
              <w:top w:w="20" w:type="nil"/>
              <w:left w:w="20" w:type="nil"/>
              <w:bottom w:w="20" w:type="nil"/>
              <w:right w:w="20" w:type="nil"/>
            </w:tcMar>
            <w:vAlign w:val="center"/>
          </w:tcPr>
          <w:p w14:paraId="33E33572" w14:textId="77777777" w:rsidR="008D1AE9" w:rsidRPr="0098635C" w:rsidRDefault="008D1AE9" w:rsidP="00AF385A">
            <w:pPr>
              <w:pStyle w:val="NoteLevel211"/>
              <w:rPr>
                <w:b/>
                <w:color w:val="000000" w:themeColor="text1"/>
              </w:rPr>
            </w:pPr>
          </w:p>
        </w:tc>
        <w:tc>
          <w:tcPr>
            <w:tcW w:w="1119" w:type="dxa"/>
            <w:vMerge/>
            <w:tcMar>
              <w:top w:w="20" w:type="nil"/>
              <w:left w:w="20" w:type="nil"/>
              <w:bottom w:w="20" w:type="nil"/>
              <w:right w:w="20" w:type="nil"/>
            </w:tcMar>
            <w:vAlign w:val="center"/>
          </w:tcPr>
          <w:p w14:paraId="2E86177E" w14:textId="77777777" w:rsidR="008D1AE9" w:rsidRPr="0098635C" w:rsidRDefault="008D1AE9" w:rsidP="00AF385A">
            <w:pPr>
              <w:pStyle w:val="NoteLevel211"/>
              <w:rPr>
                <w:b/>
                <w:color w:val="000000" w:themeColor="text1"/>
              </w:rPr>
            </w:pPr>
          </w:p>
        </w:tc>
        <w:tc>
          <w:tcPr>
            <w:tcW w:w="1223" w:type="dxa"/>
            <w:vMerge/>
            <w:tcMar>
              <w:top w:w="20" w:type="nil"/>
              <w:left w:w="20" w:type="nil"/>
              <w:bottom w:w="20" w:type="nil"/>
              <w:right w:w="20" w:type="nil"/>
            </w:tcMar>
            <w:vAlign w:val="center"/>
          </w:tcPr>
          <w:p w14:paraId="693FFA06" w14:textId="77777777" w:rsidR="008D1AE9" w:rsidRPr="0098635C" w:rsidRDefault="008D1AE9" w:rsidP="00AF385A">
            <w:pPr>
              <w:pStyle w:val="NoteLevel211"/>
              <w:rPr>
                <w:b/>
                <w:color w:val="000000" w:themeColor="text1"/>
              </w:rPr>
            </w:pPr>
          </w:p>
        </w:tc>
        <w:tc>
          <w:tcPr>
            <w:tcW w:w="1087" w:type="dxa"/>
            <w:vMerge/>
            <w:tcMar>
              <w:top w:w="20" w:type="nil"/>
              <w:left w:w="20" w:type="nil"/>
              <w:bottom w:w="20" w:type="nil"/>
              <w:right w:w="20" w:type="nil"/>
            </w:tcMar>
            <w:vAlign w:val="center"/>
          </w:tcPr>
          <w:p w14:paraId="5667B80B" w14:textId="77777777" w:rsidR="008D1AE9" w:rsidRPr="0098635C" w:rsidRDefault="008D1AE9" w:rsidP="00AF385A">
            <w:pPr>
              <w:pStyle w:val="NoteLevel211"/>
              <w:rPr>
                <w:b/>
                <w:color w:val="000000" w:themeColor="text1"/>
              </w:rPr>
            </w:pPr>
          </w:p>
        </w:tc>
        <w:tc>
          <w:tcPr>
            <w:tcW w:w="1181" w:type="dxa"/>
            <w:tcMar>
              <w:top w:w="20" w:type="nil"/>
              <w:left w:w="20" w:type="nil"/>
              <w:bottom w:w="20" w:type="nil"/>
              <w:right w:w="20" w:type="nil"/>
            </w:tcMar>
            <w:vAlign w:val="center"/>
          </w:tcPr>
          <w:p w14:paraId="640C69E4" w14:textId="77777777" w:rsidR="008D1AE9" w:rsidRPr="0098635C" w:rsidRDefault="008D1AE9" w:rsidP="00AF385A">
            <w:pPr>
              <w:pStyle w:val="NoteLevel211"/>
              <w:rPr>
                <w:b/>
                <w:color w:val="000000" w:themeColor="text1"/>
              </w:rPr>
            </w:pPr>
            <w:bookmarkStart w:id="551" w:name="_Toc471999605"/>
            <w:bookmarkStart w:id="552" w:name="_Toc472251048"/>
            <w:r w:rsidRPr="0098635C">
              <w:rPr>
                <w:b/>
                <w:color w:val="000000" w:themeColor="text1"/>
              </w:rPr>
              <w:t>% of applied dose</w:t>
            </w:r>
            <w:bookmarkEnd w:id="551"/>
            <w:bookmarkEnd w:id="552"/>
          </w:p>
        </w:tc>
        <w:tc>
          <w:tcPr>
            <w:tcW w:w="992" w:type="dxa"/>
            <w:tcMar>
              <w:top w:w="20" w:type="nil"/>
              <w:left w:w="20" w:type="nil"/>
              <w:bottom w:w="20" w:type="nil"/>
              <w:right w:w="20" w:type="nil"/>
            </w:tcMar>
            <w:vAlign w:val="center"/>
          </w:tcPr>
          <w:p w14:paraId="4B473F3F" w14:textId="77777777" w:rsidR="008D1AE9" w:rsidRPr="0098635C" w:rsidRDefault="008D1AE9" w:rsidP="00AF385A">
            <w:pPr>
              <w:pStyle w:val="NoteLevel211"/>
              <w:rPr>
                <w:b/>
                <w:color w:val="000000" w:themeColor="text1"/>
              </w:rPr>
            </w:pPr>
            <w:bookmarkStart w:id="553" w:name="_Toc471999606"/>
            <w:bookmarkStart w:id="554" w:name="_Toc472251049"/>
            <w:r w:rsidRPr="0098635C">
              <w:rPr>
                <w:b/>
                <w:color w:val="000000" w:themeColor="text1"/>
              </w:rPr>
              <w:t>Ng/cm</w:t>
            </w:r>
            <w:r w:rsidRPr="0098635C">
              <w:rPr>
                <w:b/>
                <w:color w:val="000000" w:themeColor="text1"/>
                <w:vertAlign w:val="superscript"/>
              </w:rPr>
              <w:t>2</w:t>
            </w:r>
            <w:bookmarkEnd w:id="553"/>
            <w:bookmarkEnd w:id="554"/>
          </w:p>
        </w:tc>
        <w:tc>
          <w:tcPr>
            <w:tcW w:w="1276" w:type="dxa"/>
            <w:tcMar>
              <w:top w:w="20" w:type="nil"/>
              <w:left w:w="20" w:type="nil"/>
              <w:bottom w:w="20" w:type="nil"/>
              <w:right w:w="20" w:type="nil"/>
            </w:tcMar>
            <w:vAlign w:val="center"/>
          </w:tcPr>
          <w:p w14:paraId="0752318D" w14:textId="77777777" w:rsidR="008D1AE9" w:rsidRPr="0098635C" w:rsidRDefault="008D1AE9" w:rsidP="00AF385A">
            <w:pPr>
              <w:pStyle w:val="NoteLevel211"/>
              <w:rPr>
                <w:b/>
                <w:color w:val="000000" w:themeColor="text1"/>
              </w:rPr>
            </w:pPr>
            <w:bookmarkStart w:id="555" w:name="_Toc471999607"/>
            <w:bookmarkStart w:id="556" w:name="_Toc472251050"/>
            <w:r w:rsidRPr="0098635C">
              <w:rPr>
                <w:b/>
                <w:color w:val="000000" w:themeColor="text1"/>
              </w:rPr>
              <w:t>% of applied dose</w:t>
            </w:r>
            <w:bookmarkEnd w:id="555"/>
            <w:bookmarkEnd w:id="556"/>
          </w:p>
        </w:tc>
        <w:tc>
          <w:tcPr>
            <w:tcW w:w="1134" w:type="dxa"/>
            <w:tcMar>
              <w:top w:w="20" w:type="nil"/>
              <w:left w:w="20" w:type="nil"/>
              <w:bottom w:w="20" w:type="nil"/>
              <w:right w:w="20" w:type="nil"/>
            </w:tcMar>
            <w:vAlign w:val="center"/>
          </w:tcPr>
          <w:p w14:paraId="7743A3A5" w14:textId="77777777" w:rsidR="008D1AE9" w:rsidRPr="0098635C" w:rsidRDefault="008D1AE9" w:rsidP="00AF385A">
            <w:pPr>
              <w:pStyle w:val="NoteLevel211"/>
              <w:rPr>
                <w:b/>
                <w:color w:val="000000" w:themeColor="text1"/>
              </w:rPr>
            </w:pPr>
            <w:bookmarkStart w:id="557" w:name="_Toc471999608"/>
            <w:bookmarkStart w:id="558" w:name="_Toc472251051"/>
            <w:r w:rsidRPr="0098635C">
              <w:rPr>
                <w:b/>
                <w:color w:val="000000" w:themeColor="text1"/>
              </w:rPr>
              <w:t>Ng/cm</w:t>
            </w:r>
            <w:r w:rsidRPr="0098635C">
              <w:rPr>
                <w:b/>
                <w:color w:val="000000" w:themeColor="text1"/>
                <w:vertAlign w:val="superscript"/>
              </w:rPr>
              <w:t>2</w:t>
            </w:r>
            <w:bookmarkEnd w:id="557"/>
            <w:bookmarkEnd w:id="558"/>
          </w:p>
        </w:tc>
      </w:tr>
      <w:tr w:rsidR="008D1AE9" w:rsidRPr="0098635C" w14:paraId="2D8CF4CC" w14:textId="77777777" w:rsidTr="00AF385A">
        <w:tc>
          <w:tcPr>
            <w:tcW w:w="1310" w:type="dxa"/>
            <w:tcMar>
              <w:top w:w="20" w:type="nil"/>
              <w:left w:w="20" w:type="nil"/>
              <w:bottom w:w="20" w:type="nil"/>
              <w:right w:w="20" w:type="nil"/>
            </w:tcMar>
            <w:vAlign w:val="center"/>
          </w:tcPr>
          <w:p w14:paraId="3F036A93" w14:textId="77777777" w:rsidR="008D1AE9" w:rsidRPr="0098635C" w:rsidRDefault="008D1AE9" w:rsidP="00AF385A">
            <w:pPr>
              <w:pStyle w:val="NoteLevel211"/>
              <w:rPr>
                <w:color w:val="000000" w:themeColor="text1"/>
              </w:rPr>
            </w:pPr>
            <w:bookmarkStart w:id="559" w:name="_Toc471999609"/>
            <w:bookmarkStart w:id="560" w:name="_Toc472251052"/>
            <w:r w:rsidRPr="0098635C">
              <w:rPr>
                <w:color w:val="000000" w:themeColor="text1"/>
              </w:rPr>
              <w:t>Roper (2003)</w:t>
            </w:r>
            <w:bookmarkEnd w:id="559"/>
            <w:bookmarkEnd w:id="560"/>
          </w:p>
        </w:tc>
        <w:tc>
          <w:tcPr>
            <w:tcW w:w="1119" w:type="dxa"/>
            <w:tcMar>
              <w:top w:w="20" w:type="nil"/>
              <w:left w:w="20" w:type="nil"/>
              <w:bottom w:w="20" w:type="nil"/>
              <w:right w:w="20" w:type="nil"/>
            </w:tcMar>
            <w:vAlign w:val="center"/>
          </w:tcPr>
          <w:p w14:paraId="011C6172" w14:textId="77777777" w:rsidR="008D1AE9" w:rsidRPr="0098635C" w:rsidRDefault="008D1AE9" w:rsidP="00AF385A">
            <w:pPr>
              <w:pStyle w:val="NoteLevel211"/>
              <w:rPr>
                <w:color w:val="000000" w:themeColor="text1"/>
              </w:rPr>
            </w:pPr>
            <w:bookmarkStart w:id="561" w:name="_Toc471999610"/>
            <w:bookmarkStart w:id="562" w:name="_Toc472251053"/>
            <w:r w:rsidRPr="0098635C">
              <w:rPr>
                <w:color w:val="000000" w:themeColor="text1"/>
              </w:rPr>
              <w:t>Copper oxychloride</w:t>
            </w:r>
            <w:bookmarkEnd w:id="561"/>
            <w:bookmarkEnd w:id="562"/>
          </w:p>
        </w:tc>
        <w:tc>
          <w:tcPr>
            <w:tcW w:w="1223" w:type="dxa"/>
            <w:tcMar>
              <w:top w:w="20" w:type="nil"/>
              <w:left w:w="20" w:type="nil"/>
              <w:bottom w:w="20" w:type="nil"/>
              <w:right w:w="20" w:type="nil"/>
            </w:tcMar>
            <w:vAlign w:val="center"/>
          </w:tcPr>
          <w:p w14:paraId="21F515EC" w14:textId="77777777" w:rsidR="00483C6D" w:rsidRPr="0098635C" w:rsidRDefault="00483C6D" w:rsidP="00483C6D">
            <w:pPr>
              <w:pStyle w:val="NoteLevel211"/>
              <w:rPr>
                <w:color w:val="000000" w:themeColor="text1"/>
              </w:rPr>
            </w:pPr>
            <w:bookmarkStart w:id="563" w:name="_Toc471999611"/>
            <w:bookmarkStart w:id="564" w:name="_Toc472251054"/>
            <w:r w:rsidRPr="0098635C">
              <w:rPr>
                <w:color w:val="000000" w:themeColor="text1"/>
              </w:rPr>
              <w:t>OECD 428</w:t>
            </w:r>
            <w:bookmarkEnd w:id="563"/>
            <w:bookmarkEnd w:id="564"/>
          </w:p>
          <w:p w14:paraId="38D3164D" w14:textId="5256D414" w:rsidR="008D1AE9" w:rsidRPr="0098635C" w:rsidRDefault="008D1AE9" w:rsidP="00483C6D">
            <w:pPr>
              <w:pStyle w:val="NoteLevel211"/>
              <w:rPr>
                <w:color w:val="000000" w:themeColor="text1"/>
              </w:rPr>
            </w:pPr>
            <w:bookmarkStart w:id="565" w:name="_Toc471999612"/>
            <w:bookmarkStart w:id="566" w:name="_Toc472251055"/>
            <w:r w:rsidRPr="0098635C">
              <w:rPr>
                <w:color w:val="000000" w:themeColor="text1"/>
              </w:rPr>
              <w:t>ICPMS</w:t>
            </w:r>
            <w:bookmarkEnd w:id="565"/>
            <w:bookmarkEnd w:id="566"/>
            <w:r w:rsidR="00483C6D" w:rsidRPr="0098635C">
              <w:rPr>
                <w:color w:val="000000" w:themeColor="text1"/>
              </w:rPr>
              <w:t xml:space="preserve"> </w:t>
            </w:r>
          </w:p>
        </w:tc>
        <w:tc>
          <w:tcPr>
            <w:tcW w:w="1087" w:type="dxa"/>
            <w:tcMar>
              <w:top w:w="20" w:type="nil"/>
              <w:left w:w="20" w:type="nil"/>
              <w:bottom w:w="20" w:type="nil"/>
              <w:right w:w="20" w:type="nil"/>
            </w:tcMar>
            <w:vAlign w:val="center"/>
          </w:tcPr>
          <w:p w14:paraId="150B512F" w14:textId="77777777" w:rsidR="008D1AE9" w:rsidRPr="0098635C" w:rsidRDefault="008D1AE9" w:rsidP="00AF385A">
            <w:pPr>
              <w:pStyle w:val="NoteLevel211"/>
              <w:rPr>
                <w:color w:val="000000" w:themeColor="text1"/>
              </w:rPr>
            </w:pPr>
            <w:bookmarkStart w:id="567" w:name="_Toc471999613"/>
            <w:bookmarkStart w:id="568" w:name="_Toc472251056"/>
            <w:r w:rsidRPr="0098635C">
              <w:rPr>
                <w:color w:val="000000" w:themeColor="text1"/>
              </w:rPr>
              <w:t>3.34</w:t>
            </w:r>
            <w:bookmarkEnd w:id="567"/>
            <w:bookmarkEnd w:id="568"/>
          </w:p>
        </w:tc>
        <w:tc>
          <w:tcPr>
            <w:tcW w:w="1181" w:type="dxa"/>
            <w:tcMar>
              <w:top w:w="20" w:type="nil"/>
              <w:left w:w="20" w:type="nil"/>
              <w:bottom w:w="20" w:type="nil"/>
              <w:right w:w="20" w:type="nil"/>
            </w:tcMar>
            <w:vAlign w:val="center"/>
          </w:tcPr>
          <w:p w14:paraId="6E362268" w14:textId="00237DAA" w:rsidR="008D1AE9" w:rsidRPr="0098635C" w:rsidRDefault="008D1AE9" w:rsidP="00330AD0">
            <w:pPr>
              <w:pStyle w:val="NoteLevel211"/>
              <w:rPr>
                <w:color w:val="000000" w:themeColor="text1"/>
              </w:rPr>
            </w:pPr>
            <w:bookmarkStart w:id="569" w:name="_Toc471999614"/>
            <w:bookmarkStart w:id="570" w:name="_Toc472251057"/>
            <w:r w:rsidRPr="0098635C">
              <w:rPr>
                <w:color w:val="000000" w:themeColor="text1"/>
              </w:rPr>
              <w:t>0.002 ± 0.01</w:t>
            </w:r>
            <w:bookmarkEnd w:id="569"/>
            <w:bookmarkEnd w:id="570"/>
          </w:p>
        </w:tc>
        <w:tc>
          <w:tcPr>
            <w:tcW w:w="992" w:type="dxa"/>
            <w:tcMar>
              <w:top w:w="20" w:type="nil"/>
              <w:left w:w="20" w:type="nil"/>
              <w:bottom w:w="20" w:type="nil"/>
              <w:right w:w="20" w:type="nil"/>
            </w:tcMar>
            <w:vAlign w:val="center"/>
          </w:tcPr>
          <w:p w14:paraId="2DD2E1AC" w14:textId="77777777" w:rsidR="008D1AE9" w:rsidRPr="0098635C" w:rsidRDefault="008D1AE9" w:rsidP="00AF385A">
            <w:pPr>
              <w:pStyle w:val="NoteLevel211"/>
              <w:rPr>
                <w:color w:val="000000" w:themeColor="text1"/>
              </w:rPr>
            </w:pPr>
            <w:bookmarkStart w:id="571" w:name="_Toc471999615"/>
            <w:bookmarkStart w:id="572" w:name="_Toc472251058"/>
            <w:r w:rsidRPr="0098635C">
              <w:rPr>
                <w:color w:val="000000" w:themeColor="text1"/>
              </w:rPr>
              <w:t>82.98 ± 316.07</w:t>
            </w:r>
            <w:bookmarkEnd w:id="571"/>
            <w:bookmarkEnd w:id="572"/>
          </w:p>
        </w:tc>
        <w:tc>
          <w:tcPr>
            <w:tcW w:w="1276" w:type="dxa"/>
            <w:tcMar>
              <w:top w:w="20" w:type="nil"/>
              <w:left w:w="20" w:type="nil"/>
              <w:bottom w:w="20" w:type="nil"/>
              <w:right w:w="20" w:type="nil"/>
            </w:tcMar>
            <w:vAlign w:val="center"/>
          </w:tcPr>
          <w:p w14:paraId="0E2860EC" w14:textId="77777777" w:rsidR="008D1AE9" w:rsidRPr="0098635C" w:rsidRDefault="008D1AE9" w:rsidP="00AF385A">
            <w:pPr>
              <w:pStyle w:val="NoteLevel211"/>
              <w:rPr>
                <w:color w:val="000000" w:themeColor="text1"/>
              </w:rPr>
            </w:pPr>
            <w:bookmarkStart w:id="573" w:name="_Toc471999616"/>
            <w:bookmarkStart w:id="574" w:name="_Toc472251059"/>
            <w:r w:rsidRPr="0098635C">
              <w:rPr>
                <w:color w:val="000000" w:themeColor="text1"/>
              </w:rPr>
              <w:t>0.08 ± 0.06</w:t>
            </w:r>
            <w:bookmarkEnd w:id="573"/>
            <w:bookmarkEnd w:id="574"/>
          </w:p>
        </w:tc>
        <w:tc>
          <w:tcPr>
            <w:tcW w:w="1134" w:type="dxa"/>
            <w:tcMar>
              <w:top w:w="20" w:type="nil"/>
              <w:left w:w="20" w:type="nil"/>
              <w:bottom w:w="20" w:type="nil"/>
              <w:right w:w="20" w:type="nil"/>
            </w:tcMar>
            <w:vAlign w:val="center"/>
          </w:tcPr>
          <w:p w14:paraId="3E1B049E" w14:textId="77777777" w:rsidR="008D1AE9" w:rsidRPr="0098635C" w:rsidRDefault="008D1AE9" w:rsidP="00AF385A">
            <w:pPr>
              <w:pStyle w:val="NoteLevel211"/>
              <w:rPr>
                <w:color w:val="000000" w:themeColor="text1"/>
              </w:rPr>
            </w:pPr>
            <w:bookmarkStart w:id="575" w:name="_Toc471999617"/>
            <w:bookmarkStart w:id="576" w:name="_Toc472251060"/>
            <w:r w:rsidRPr="0098635C">
              <w:rPr>
                <w:color w:val="000000" w:themeColor="text1"/>
              </w:rPr>
              <w:t>2601.4 ± 1870.2</w:t>
            </w:r>
            <w:bookmarkEnd w:id="575"/>
            <w:bookmarkEnd w:id="576"/>
          </w:p>
        </w:tc>
      </w:tr>
      <w:tr w:rsidR="008D1AE9" w:rsidRPr="0098635C" w14:paraId="51F2D256" w14:textId="77777777" w:rsidTr="00AF385A">
        <w:tc>
          <w:tcPr>
            <w:tcW w:w="1310" w:type="dxa"/>
            <w:tcMar>
              <w:top w:w="20" w:type="nil"/>
              <w:left w:w="20" w:type="nil"/>
              <w:bottom w:w="20" w:type="nil"/>
              <w:right w:w="20" w:type="nil"/>
            </w:tcMar>
            <w:vAlign w:val="center"/>
          </w:tcPr>
          <w:p w14:paraId="1397EFF5" w14:textId="77777777" w:rsidR="008D1AE9" w:rsidRPr="0098635C" w:rsidRDefault="008D1AE9" w:rsidP="00AF385A">
            <w:pPr>
              <w:pStyle w:val="NoteLevel211"/>
              <w:rPr>
                <w:color w:val="000000" w:themeColor="text1"/>
              </w:rPr>
            </w:pPr>
            <w:bookmarkStart w:id="577" w:name="_Toc471999618"/>
            <w:bookmarkStart w:id="578" w:name="_Toc472251061"/>
            <w:r w:rsidRPr="0098635C">
              <w:rPr>
                <w:color w:val="000000" w:themeColor="text1"/>
              </w:rPr>
              <w:t>Roper (2003)</w:t>
            </w:r>
            <w:bookmarkEnd w:id="577"/>
            <w:bookmarkEnd w:id="578"/>
          </w:p>
        </w:tc>
        <w:tc>
          <w:tcPr>
            <w:tcW w:w="1119" w:type="dxa"/>
            <w:tcMar>
              <w:top w:w="20" w:type="nil"/>
              <w:left w:w="20" w:type="nil"/>
              <w:bottom w:w="20" w:type="nil"/>
              <w:right w:w="20" w:type="nil"/>
            </w:tcMar>
            <w:vAlign w:val="center"/>
          </w:tcPr>
          <w:p w14:paraId="46DD462C" w14:textId="77777777" w:rsidR="008D1AE9" w:rsidRPr="0098635C" w:rsidRDefault="008D1AE9" w:rsidP="00AF385A">
            <w:pPr>
              <w:pStyle w:val="NoteLevel211"/>
              <w:rPr>
                <w:color w:val="000000" w:themeColor="text1"/>
              </w:rPr>
            </w:pPr>
            <w:bookmarkStart w:id="579" w:name="_Toc471999619"/>
            <w:bookmarkStart w:id="580" w:name="_Toc472251062"/>
            <w:r w:rsidRPr="0098635C">
              <w:rPr>
                <w:color w:val="000000" w:themeColor="text1"/>
              </w:rPr>
              <w:t xml:space="preserve">Copper (I) </w:t>
            </w:r>
            <w:r w:rsidRPr="0098635C">
              <w:rPr>
                <w:color w:val="000000" w:themeColor="text1"/>
              </w:rPr>
              <w:lastRenderedPageBreak/>
              <w:t>oxide</w:t>
            </w:r>
            <w:bookmarkEnd w:id="579"/>
            <w:bookmarkEnd w:id="580"/>
          </w:p>
        </w:tc>
        <w:tc>
          <w:tcPr>
            <w:tcW w:w="1223" w:type="dxa"/>
            <w:tcMar>
              <w:top w:w="20" w:type="nil"/>
              <w:left w:w="20" w:type="nil"/>
              <w:bottom w:w="20" w:type="nil"/>
              <w:right w:w="20" w:type="nil"/>
            </w:tcMar>
            <w:vAlign w:val="center"/>
          </w:tcPr>
          <w:p w14:paraId="608BC991" w14:textId="77777777" w:rsidR="00483C6D" w:rsidRPr="0098635C" w:rsidRDefault="00483C6D" w:rsidP="00AF385A">
            <w:pPr>
              <w:pStyle w:val="NoteLevel211"/>
              <w:rPr>
                <w:color w:val="000000" w:themeColor="text1"/>
              </w:rPr>
            </w:pPr>
            <w:bookmarkStart w:id="581" w:name="_Toc471999620"/>
            <w:bookmarkStart w:id="582" w:name="_Toc472251063"/>
            <w:r w:rsidRPr="0098635C">
              <w:rPr>
                <w:color w:val="000000" w:themeColor="text1"/>
              </w:rPr>
              <w:lastRenderedPageBreak/>
              <w:t>OECD 428</w:t>
            </w:r>
            <w:bookmarkEnd w:id="581"/>
            <w:bookmarkEnd w:id="582"/>
          </w:p>
          <w:p w14:paraId="31D9DA5B" w14:textId="6DC0BAB5" w:rsidR="008D1AE9" w:rsidRPr="0098635C" w:rsidRDefault="008D1AE9" w:rsidP="00AF385A">
            <w:pPr>
              <w:pStyle w:val="NoteLevel211"/>
              <w:rPr>
                <w:color w:val="000000" w:themeColor="text1"/>
              </w:rPr>
            </w:pPr>
            <w:bookmarkStart w:id="583" w:name="_Toc471999621"/>
            <w:bookmarkStart w:id="584" w:name="_Toc472251064"/>
            <w:r w:rsidRPr="0098635C">
              <w:rPr>
                <w:color w:val="000000" w:themeColor="text1"/>
              </w:rPr>
              <w:lastRenderedPageBreak/>
              <w:t>ICPMS</w:t>
            </w:r>
            <w:bookmarkEnd w:id="583"/>
            <w:bookmarkEnd w:id="584"/>
          </w:p>
        </w:tc>
        <w:tc>
          <w:tcPr>
            <w:tcW w:w="1087" w:type="dxa"/>
            <w:tcMar>
              <w:top w:w="20" w:type="nil"/>
              <w:left w:w="20" w:type="nil"/>
              <w:bottom w:w="20" w:type="nil"/>
              <w:right w:w="20" w:type="nil"/>
            </w:tcMar>
            <w:vAlign w:val="center"/>
          </w:tcPr>
          <w:p w14:paraId="0D9A9CC5" w14:textId="77777777" w:rsidR="008D1AE9" w:rsidRPr="0098635C" w:rsidRDefault="008D1AE9" w:rsidP="00AF385A">
            <w:pPr>
              <w:pStyle w:val="NoteLevel211"/>
              <w:rPr>
                <w:color w:val="000000" w:themeColor="text1"/>
              </w:rPr>
            </w:pPr>
            <w:bookmarkStart w:id="585" w:name="_Toc471999622"/>
            <w:bookmarkStart w:id="586" w:name="_Toc472251065"/>
            <w:r w:rsidRPr="0098635C">
              <w:rPr>
                <w:color w:val="000000" w:themeColor="text1"/>
              </w:rPr>
              <w:lastRenderedPageBreak/>
              <w:t>5.4</w:t>
            </w:r>
            <w:bookmarkEnd w:id="585"/>
            <w:bookmarkEnd w:id="586"/>
          </w:p>
        </w:tc>
        <w:tc>
          <w:tcPr>
            <w:tcW w:w="1181" w:type="dxa"/>
            <w:tcMar>
              <w:top w:w="20" w:type="nil"/>
              <w:left w:w="20" w:type="nil"/>
              <w:bottom w:w="20" w:type="nil"/>
              <w:right w:w="20" w:type="nil"/>
            </w:tcMar>
            <w:vAlign w:val="center"/>
          </w:tcPr>
          <w:p w14:paraId="7F7CDE85" w14:textId="6C989CE6" w:rsidR="008D1AE9" w:rsidRPr="0098635C" w:rsidRDefault="008D1AE9" w:rsidP="00330AD0">
            <w:pPr>
              <w:pStyle w:val="NoteLevel211"/>
              <w:rPr>
                <w:color w:val="000000" w:themeColor="text1"/>
              </w:rPr>
            </w:pPr>
            <w:bookmarkStart w:id="587" w:name="_Toc471999623"/>
            <w:bookmarkStart w:id="588" w:name="_Toc472251066"/>
            <w:r w:rsidRPr="0098635C">
              <w:rPr>
                <w:color w:val="000000" w:themeColor="text1"/>
              </w:rPr>
              <w:t xml:space="preserve">0.001 ± </w:t>
            </w:r>
            <w:r w:rsidRPr="0098635C">
              <w:rPr>
                <w:color w:val="000000" w:themeColor="text1"/>
              </w:rPr>
              <w:lastRenderedPageBreak/>
              <w:t>0.01</w:t>
            </w:r>
            <w:bookmarkEnd w:id="587"/>
            <w:bookmarkEnd w:id="588"/>
          </w:p>
        </w:tc>
        <w:tc>
          <w:tcPr>
            <w:tcW w:w="992" w:type="dxa"/>
            <w:tcMar>
              <w:top w:w="20" w:type="nil"/>
              <w:left w:w="20" w:type="nil"/>
              <w:bottom w:w="20" w:type="nil"/>
              <w:right w:w="20" w:type="nil"/>
            </w:tcMar>
            <w:vAlign w:val="center"/>
          </w:tcPr>
          <w:p w14:paraId="747193EB" w14:textId="77777777" w:rsidR="008D1AE9" w:rsidRPr="0098635C" w:rsidRDefault="008D1AE9" w:rsidP="00AF385A">
            <w:pPr>
              <w:pStyle w:val="NoteLevel211"/>
              <w:rPr>
                <w:color w:val="000000" w:themeColor="text1"/>
              </w:rPr>
            </w:pPr>
            <w:bookmarkStart w:id="589" w:name="_Toc471999624"/>
            <w:bookmarkStart w:id="590" w:name="_Toc472251067"/>
            <w:r w:rsidRPr="0098635C">
              <w:rPr>
                <w:color w:val="000000" w:themeColor="text1"/>
              </w:rPr>
              <w:lastRenderedPageBreak/>
              <w:t xml:space="preserve">55.56 ± </w:t>
            </w:r>
            <w:r w:rsidRPr="0098635C">
              <w:rPr>
                <w:color w:val="000000" w:themeColor="text1"/>
              </w:rPr>
              <w:lastRenderedPageBreak/>
              <w:t>397.7</w:t>
            </w:r>
            <w:bookmarkEnd w:id="589"/>
            <w:bookmarkEnd w:id="590"/>
          </w:p>
        </w:tc>
        <w:tc>
          <w:tcPr>
            <w:tcW w:w="1276" w:type="dxa"/>
            <w:tcMar>
              <w:top w:w="20" w:type="nil"/>
              <w:left w:w="20" w:type="nil"/>
              <w:bottom w:w="20" w:type="nil"/>
              <w:right w:w="20" w:type="nil"/>
            </w:tcMar>
            <w:vAlign w:val="center"/>
          </w:tcPr>
          <w:p w14:paraId="44448519" w14:textId="77777777" w:rsidR="008D1AE9" w:rsidRPr="0098635C" w:rsidRDefault="008D1AE9" w:rsidP="00AF385A">
            <w:pPr>
              <w:pStyle w:val="NoteLevel211"/>
              <w:rPr>
                <w:color w:val="000000" w:themeColor="text1"/>
              </w:rPr>
            </w:pPr>
            <w:bookmarkStart w:id="591" w:name="_Toc471999625"/>
            <w:bookmarkStart w:id="592" w:name="_Toc472251068"/>
            <w:r w:rsidRPr="0098635C">
              <w:rPr>
                <w:color w:val="000000" w:themeColor="text1"/>
              </w:rPr>
              <w:lastRenderedPageBreak/>
              <w:t>0.06 ± 0.04</w:t>
            </w:r>
            <w:bookmarkEnd w:id="591"/>
            <w:bookmarkEnd w:id="592"/>
          </w:p>
        </w:tc>
        <w:tc>
          <w:tcPr>
            <w:tcW w:w="1134" w:type="dxa"/>
            <w:tcMar>
              <w:top w:w="20" w:type="nil"/>
              <w:left w:w="20" w:type="nil"/>
              <w:bottom w:w="20" w:type="nil"/>
              <w:right w:w="20" w:type="nil"/>
            </w:tcMar>
            <w:vAlign w:val="center"/>
          </w:tcPr>
          <w:p w14:paraId="13B2EB1F" w14:textId="77777777" w:rsidR="008D1AE9" w:rsidRPr="0098635C" w:rsidRDefault="008D1AE9" w:rsidP="00AF385A">
            <w:pPr>
              <w:pStyle w:val="NoteLevel211"/>
              <w:rPr>
                <w:color w:val="000000" w:themeColor="text1"/>
              </w:rPr>
            </w:pPr>
            <w:bookmarkStart w:id="593" w:name="_Toc471999626"/>
            <w:bookmarkStart w:id="594" w:name="_Toc472251069"/>
            <w:r w:rsidRPr="0098635C">
              <w:rPr>
                <w:color w:val="000000" w:themeColor="text1"/>
              </w:rPr>
              <w:t xml:space="preserve">3074.1 ± </w:t>
            </w:r>
            <w:r w:rsidRPr="0098635C">
              <w:rPr>
                <w:color w:val="000000" w:themeColor="text1"/>
              </w:rPr>
              <w:lastRenderedPageBreak/>
              <w:t>2261.6</w:t>
            </w:r>
            <w:bookmarkEnd w:id="593"/>
            <w:bookmarkEnd w:id="594"/>
          </w:p>
        </w:tc>
      </w:tr>
      <w:tr w:rsidR="008D1AE9" w:rsidRPr="0098635C" w14:paraId="60F3CFAC" w14:textId="77777777" w:rsidTr="00AF385A">
        <w:tc>
          <w:tcPr>
            <w:tcW w:w="1310" w:type="dxa"/>
            <w:tcMar>
              <w:top w:w="20" w:type="nil"/>
              <w:left w:w="20" w:type="nil"/>
              <w:bottom w:w="20" w:type="nil"/>
              <w:right w:w="20" w:type="nil"/>
            </w:tcMar>
            <w:vAlign w:val="center"/>
          </w:tcPr>
          <w:p w14:paraId="6B7C116B" w14:textId="77777777" w:rsidR="008D1AE9" w:rsidRPr="0098635C" w:rsidRDefault="008D1AE9" w:rsidP="00AF385A">
            <w:pPr>
              <w:pStyle w:val="NoteLevel211"/>
              <w:rPr>
                <w:color w:val="000000" w:themeColor="text1"/>
              </w:rPr>
            </w:pPr>
            <w:bookmarkStart w:id="595" w:name="_Toc471999627"/>
            <w:bookmarkStart w:id="596" w:name="_Toc472251070"/>
            <w:r w:rsidRPr="0098635C">
              <w:rPr>
                <w:color w:val="000000" w:themeColor="text1"/>
              </w:rPr>
              <w:lastRenderedPageBreak/>
              <w:t>Cage (2003)</w:t>
            </w:r>
            <w:bookmarkEnd w:id="595"/>
            <w:bookmarkEnd w:id="596"/>
          </w:p>
        </w:tc>
        <w:tc>
          <w:tcPr>
            <w:tcW w:w="1119" w:type="dxa"/>
            <w:tcMar>
              <w:top w:w="20" w:type="nil"/>
              <w:left w:w="20" w:type="nil"/>
              <w:bottom w:w="20" w:type="nil"/>
              <w:right w:w="20" w:type="nil"/>
            </w:tcMar>
            <w:vAlign w:val="center"/>
          </w:tcPr>
          <w:p w14:paraId="11B53075" w14:textId="77777777" w:rsidR="008D1AE9" w:rsidRPr="0098635C" w:rsidRDefault="008D1AE9" w:rsidP="00AF385A">
            <w:pPr>
              <w:pStyle w:val="NoteLevel211"/>
              <w:rPr>
                <w:color w:val="000000" w:themeColor="text1"/>
              </w:rPr>
            </w:pPr>
            <w:bookmarkStart w:id="597" w:name="_Toc471999628"/>
            <w:bookmarkStart w:id="598" w:name="_Toc472251071"/>
            <w:r w:rsidRPr="0098635C">
              <w:rPr>
                <w:color w:val="000000" w:themeColor="text1"/>
              </w:rPr>
              <w:t>Copper (I) oxide</w:t>
            </w:r>
            <w:bookmarkEnd w:id="597"/>
            <w:bookmarkEnd w:id="598"/>
          </w:p>
        </w:tc>
        <w:tc>
          <w:tcPr>
            <w:tcW w:w="1223" w:type="dxa"/>
            <w:tcMar>
              <w:top w:w="20" w:type="nil"/>
              <w:left w:w="20" w:type="nil"/>
              <w:bottom w:w="20" w:type="nil"/>
              <w:right w:w="20" w:type="nil"/>
            </w:tcMar>
            <w:vAlign w:val="center"/>
          </w:tcPr>
          <w:p w14:paraId="462B4F4F" w14:textId="2B51BDE9" w:rsidR="00F1194F" w:rsidRPr="0098635C" w:rsidRDefault="00F1194F" w:rsidP="00AF385A">
            <w:pPr>
              <w:pStyle w:val="NoteLevel211"/>
              <w:rPr>
                <w:color w:val="000000" w:themeColor="text1"/>
              </w:rPr>
            </w:pPr>
            <w:bookmarkStart w:id="599" w:name="_Toc471999629"/>
            <w:bookmarkStart w:id="600" w:name="_Toc472251072"/>
            <w:r w:rsidRPr="0098635C">
              <w:rPr>
                <w:color w:val="000000" w:themeColor="text1"/>
              </w:rPr>
              <w:t>OECD 428</w:t>
            </w:r>
            <w:bookmarkEnd w:id="599"/>
            <w:bookmarkEnd w:id="600"/>
          </w:p>
          <w:p w14:paraId="6F10B245" w14:textId="77777777" w:rsidR="008D1AE9" w:rsidRPr="0098635C" w:rsidRDefault="008D1AE9" w:rsidP="00AF385A">
            <w:pPr>
              <w:pStyle w:val="NoteLevel211"/>
              <w:rPr>
                <w:color w:val="000000" w:themeColor="text1"/>
              </w:rPr>
            </w:pPr>
            <w:bookmarkStart w:id="601" w:name="_Toc471999630"/>
            <w:bookmarkStart w:id="602" w:name="_Toc472251073"/>
            <w:r w:rsidRPr="0098635C">
              <w:rPr>
                <w:color w:val="000000" w:themeColor="text1"/>
              </w:rPr>
              <w:t>AAS</w:t>
            </w:r>
            <w:bookmarkEnd w:id="601"/>
            <w:bookmarkEnd w:id="602"/>
          </w:p>
        </w:tc>
        <w:tc>
          <w:tcPr>
            <w:tcW w:w="1087" w:type="dxa"/>
            <w:tcMar>
              <w:top w:w="20" w:type="nil"/>
              <w:left w:w="20" w:type="nil"/>
              <w:bottom w:w="20" w:type="nil"/>
              <w:right w:w="20" w:type="nil"/>
            </w:tcMar>
            <w:vAlign w:val="center"/>
          </w:tcPr>
          <w:p w14:paraId="6E9402FD" w14:textId="77777777" w:rsidR="008D1AE9" w:rsidRPr="0098635C" w:rsidRDefault="008D1AE9" w:rsidP="00AF385A">
            <w:pPr>
              <w:pStyle w:val="NoteLevel211"/>
              <w:rPr>
                <w:color w:val="000000" w:themeColor="text1"/>
              </w:rPr>
            </w:pPr>
            <w:bookmarkStart w:id="603" w:name="_Toc471999631"/>
            <w:bookmarkStart w:id="604" w:name="_Toc472251074"/>
            <w:r w:rsidRPr="0098635C">
              <w:rPr>
                <w:color w:val="000000" w:themeColor="text1"/>
              </w:rPr>
              <w:t>1.05</w:t>
            </w:r>
            <w:bookmarkEnd w:id="603"/>
            <w:bookmarkEnd w:id="604"/>
          </w:p>
        </w:tc>
        <w:tc>
          <w:tcPr>
            <w:tcW w:w="1181" w:type="dxa"/>
            <w:tcMar>
              <w:top w:w="20" w:type="nil"/>
              <w:left w:w="20" w:type="nil"/>
              <w:bottom w:w="20" w:type="nil"/>
              <w:right w:w="20" w:type="nil"/>
            </w:tcMar>
            <w:vAlign w:val="center"/>
          </w:tcPr>
          <w:p w14:paraId="3F43A2EA" w14:textId="77777777" w:rsidR="008D1AE9" w:rsidRPr="0098635C" w:rsidRDefault="008D1AE9" w:rsidP="00AF385A">
            <w:pPr>
              <w:pStyle w:val="NoteLevel211"/>
              <w:rPr>
                <w:color w:val="000000" w:themeColor="text1"/>
              </w:rPr>
            </w:pPr>
            <w:bookmarkStart w:id="605" w:name="_Toc471999632"/>
            <w:bookmarkStart w:id="606" w:name="_Toc472251075"/>
            <w:r w:rsidRPr="0098635C">
              <w:rPr>
                <w:color w:val="000000" w:themeColor="text1"/>
              </w:rPr>
              <w:t>0.157 ± 0.026</w:t>
            </w:r>
            <w:bookmarkEnd w:id="605"/>
            <w:bookmarkEnd w:id="606"/>
          </w:p>
        </w:tc>
        <w:tc>
          <w:tcPr>
            <w:tcW w:w="992" w:type="dxa"/>
            <w:tcMar>
              <w:top w:w="20" w:type="nil"/>
              <w:left w:w="20" w:type="nil"/>
              <w:bottom w:w="20" w:type="nil"/>
              <w:right w:w="20" w:type="nil"/>
            </w:tcMar>
            <w:vAlign w:val="center"/>
          </w:tcPr>
          <w:p w14:paraId="20CDC05A" w14:textId="77777777" w:rsidR="008D1AE9" w:rsidRPr="0098635C" w:rsidRDefault="008D1AE9" w:rsidP="00AF385A">
            <w:pPr>
              <w:pStyle w:val="NoteLevel211"/>
              <w:rPr>
                <w:color w:val="000000" w:themeColor="text1"/>
              </w:rPr>
            </w:pPr>
            <w:bookmarkStart w:id="607" w:name="_Toc471999633"/>
            <w:bookmarkStart w:id="608" w:name="_Toc472251076"/>
            <w:r w:rsidRPr="0098635C">
              <w:rPr>
                <w:color w:val="000000" w:themeColor="text1"/>
              </w:rPr>
              <w:t>1647</w:t>
            </w:r>
            <w:bookmarkEnd w:id="607"/>
            <w:bookmarkEnd w:id="608"/>
          </w:p>
        </w:tc>
        <w:tc>
          <w:tcPr>
            <w:tcW w:w="1276" w:type="dxa"/>
            <w:tcMar>
              <w:top w:w="20" w:type="nil"/>
              <w:left w:w="20" w:type="nil"/>
              <w:bottom w:w="20" w:type="nil"/>
              <w:right w:w="20" w:type="nil"/>
            </w:tcMar>
            <w:vAlign w:val="center"/>
          </w:tcPr>
          <w:p w14:paraId="10591244" w14:textId="77777777" w:rsidR="008D1AE9" w:rsidRPr="0098635C" w:rsidRDefault="008D1AE9" w:rsidP="00AF385A">
            <w:pPr>
              <w:pStyle w:val="NoteLevel211"/>
              <w:rPr>
                <w:color w:val="000000" w:themeColor="text1"/>
              </w:rPr>
            </w:pPr>
            <w:bookmarkStart w:id="609" w:name="_Toc471999634"/>
            <w:bookmarkStart w:id="610" w:name="_Toc472251077"/>
            <w:r w:rsidRPr="0098635C">
              <w:rPr>
                <w:color w:val="000000" w:themeColor="text1"/>
              </w:rPr>
              <w:t>ND</w:t>
            </w:r>
            <w:bookmarkEnd w:id="609"/>
            <w:bookmarkEnd w:id="610"/>
          </w:p>
        </w:tc>
        <w:tc>
          <w:tcPr>
            <w:tcW w:w="1134" w:type="dxa"/>
            <w:tcMar>
              <w:top w:w="20" w:type="nil"/>
              <w:left w:w="20" w:type="nil"/>
              <w:bottom w:w="20" w:type="nil"/>
              <w:right w:w="20" w:type="nil"/>
            </w:tcMar>
            <w:vAlign w:val="center"/>
          </w:tcPr>
          <w:p w14:paraId="441E7ED0" w14:textId="77777777" w:rsidR="008D1AE9" w:rsidRPr="0098635C" w:rsidRDefault="008D1AE9" w:rsidP="00AF385A">
            <w:pPr>
              <w:pStyle w:val="NoteLevel211"/>
              <w:rPr>
                <w:color w:val="000000" w:themeColor="text1"/>
              </w:rPr>
            </w:pPr>
            <w:bookmarkStart w:id="611" w:name="_Toc471999635"/>
            <w:bookmarkStart w:id="612" w:name="_Toc472251078"/>
            <w:r w:rsidRPr="0098635C">
              <w:rPr>
                <w:color w:val="000000" w:themeColor="text1"/>
              </w:rPr>
              <w:t>ND</w:t>
            </w:r>
            <w:bookmarkEnd w:id="611"/>
            <w:bookmarkEnd w:id="612"/>
          </w:p>
        </w:tc>
      </w:tr>
      <w:tr w:rsidR="008D1AE9" w:rsidRPr="0098635C" w14:paraId="7B8B5510" w14:textId="77777777" w:rsidTr="00AF385A">
        <w:tc>
          <w:tcPr>
            <w:tcW w:w="1310" w:type="dxa"/>
            <w:tcMar>
              <w:top w:w="20" w:type="nil"/>
              <w:left w:w="20" w:type="nil"/>
              <w:bottom w:w="20" w:type="nil"/>
              <w:right w:w="20" w:type="nil"/>
            </w:tcMar>
            <w:vAlign w:val="center"/>
          </w:tcPr>
          <w:p w14:paraId="0472D8B9" w14:textId="77777777" w:rsidR="008D1AE9" w:rsidRPr="0098635C" w:rsidRDefault="008D1AE9" w:rsidP="00AF385A">
            <w:pPr>
              <w:pStyle w:val="NoteLevel211"/>
              <w:rPr>
                <w:color w:val="000000" w:themeColor="text1"/>
              </w:rPr>
            </w:pPr>
            <w:bookmarkStart w:id="613" w:name="_Toc471999636"/>
            <w:bookmarkStart w:id="614" w:name="_Toc472251079"/>
            <w:r w:rsidRPr="0098635C">
              <w:rPr>
                <w:color w:val="000000" w:themeColor="text1"/>
              </w:rPr>
              <w:t>Cage (2003)</w:t>
            </w:r>
            <w:bookmarkEnd w:id="613"/>
            <w:bookmarkEnd w:id="614"/>
          </w:p>
        </w:tc>
        <w:tc>
          <w:tcPr>
            <w:tcW w:w="1119" w:type="dxa"/>
            <w:tcMar>
              <w:top w:w="20" w:type="nil"/>
              <w:left w:w="20" w:type="nil"/>
              <w:bottom w:w="20" w:type="nil"/>
              <w:right w:w="20" w:type="nil"/>
            </w:tcMar>
            <w:vAlign w:val="center"/>
          </w:tcPr>
          <w:p w14:paraId="44F0DF83" w14:textId="77777777" w:rsidR="008D1AE9" w:rsidRPr="0098635C" w:rsidRDefault="008D1AE9" w:rsidP="00AF385A">
            <w:pPr>
              <w:pStyle w:val="NoteLevel211"/>
              <w:rPr>
                <w:color w:val="000000" w:themeColor="text1"/>
              </w:rPr>
            </w:pPr>
            <w:bookmarkStart w:id="615" w:name="_Toc471999637"/>
            <w:bookmarkStart w:id="616" w:name="_Toc472251080"/>
            <w:r w:rsidRPr="0098635C">
              <w:rPr>
                <w:color w:val="000000" w:themeColor="text1"/>
              </w:rPr>
              <w:t>Copper powder</w:t>
            </w:r>
            <w:bookmarkEnd w:id="615"/>
            <w:bookmarkEnd w:id="616"/>
          </w:p>
        </w:tc>
        <w:tc>
          <w:tcPr>
            <w:tcW w:w="1223" w:type="dxa"/>
            <w:tcMar>
              <w:top w:w="20" w:type="nil"/>
              <w:left w:w="20" w:type="nil"/>
              <w:bottom w:w="20" w:type="nil"/>
              <w:right w:w="20" w:type="nil"/>
            </w:tcMar>
            <w:vAlign w:val="center"/>
          </w:tcPr>
          <w:p w14:paraId="55BA5303" w14:textId="77777777" w:rsidR="00F1194F" w:rsidRPr="0098635C" w:rsidRDefault="00F1194F" w:rsidP="00F1194F">
            <w:pPr>
              <w:pStyle w:val="NoteLevel211"/>
              <w:rPr>
                <w:color w:val="000000" w:themeColor="text1"/>
              </w:rPr>
            </w:pPr>
            <w:bookmarkStart w:id="617" w:name="_Toc471999638"/>
            <w:bookmarkStart w:id="618" w:name="_Toc472251081"/>
            <w:r w:rsidRPr="0098635C">
              <w:rPr>
                <w:color w:val="000000" w:themeColor="text1"/>
              </w:rPr>
              <w:t>OECD 428</w:t>
            </w:r>
            <w:bookmarkEnd w:id="617"/>
            <w:bookmarkEnd w:id="618"/>
          </w:p>
          <w:p w14:paraId="67BB882B" w14:textId="77777777" w:rsidR="008D1AE9" w:rsidRPr="0098635C" w:rsidRDefault="008D1AE9" w:rsidP="00AF385A">
            <w:pPr>
              <w:pStyle w:val="NoteLevel211"/>
              <w:rPr>
                <w:color w:val="000000" w:themeColor="text1"/>
              </w:rPr>
            </w:pPr>
            <w:bookmarkStart w:id="619" w:name="_Toc471999639"/>
            <w:bookmarkStart w:id="620" w:name="_Toc472251082"/>
            <w:r w:rsidRPr="0098635C">
              <w:rPr>
                <w:color w:val="000000" w:themeColor="text1"/>
              </w:rPr>
              <w:t>AAS</w:t>
            </w:r>
            <w:bookmarkEnd w:id="619"/>
            <w:bookmarkEnd w:id="620"/>
          </w:p>
        </w:tc>
        <w:tc>
          <w:tcPr>
            <w:tcW w:w="1087" w:type="dxa"/>
            <w:tcMar>
              <w:top w:w="20" w:type="nil"/>
              <w:left w:w="20" w:type="nil"/>
              <w:bottom w:w="20" w:type="nil"/>
              <w:right w:w="20" w:type="nil"/>
            </w:tcMar>
            <w:vAlign w:val="center"/>
          </w:tcPr>
          <w:p w14:paraId="2063C2D3" w14:textId="77777777" w:rsidR="008D1AE9" w:rsidRPr="0098635C" w:rsidRDefault="008D1AE9" w:rsidP="00AF385A">
            <w:pPr>
              <w:pStyle w:val="NoteLevel211"/>
              <w:rPr>
                <w:color w:val="000000" w:themeColor="text1"/>
              </w:rPr>
            </w:pPr>
            <w:bookmarkStart w:id="621" w:name="_Toc471999640"/>
            <w:bookmarkStart w:id="622" w:name="_Toc472251083"/>
            <w:r w:rsidRPr="0098635C">
              <w:rPr>
                <w:color w:val="000000" w:themeColor="text1"/>
              </w:rPr>
              <w:t>0.974</w:t>
            </w:r>
            <w:bookmarkEnd w:id="621"/>
            <w:bookmarkEnd w:id="622"/>
          </w:p>
        </w:tc>
        <w:tc>
          <w:tcPr>
            <w:tcW w:w="1181" w:type="dxa"/>
            <w:tcMar>
              <w:top w:w="20" w:type="nil"/>
              <w:left w:w="20" w:type="nil"/>
              <w:bottom w:w="20" w:type="nil"/>
              <w:right w:w="20" w:type="nil"/>
            </w:tcMar>
            <w:vAlign w:val="center"/>
          </w:tcPr>
          <w:p w14:paraId="2E35CD07" w14:textId="77777777" w:rsidR="008D1AE9" w:rsidRPr="0098635C" w:rsidRDefault="008D1AE9" w:rsidP="00AF385A">
            <w:pPr>
              <w:pStyle w:val="NoteLevel211"/>
              <w:rPr>
                <w:color w:val="000000" w:themeColor="text1"/>
              </w:rPr>
            </w:pPr>
            <w:bookmarkStart w:id="623" w:name="_Toc471999641"/>
            <w:bookmarkStart w:id="624" w:name="_Toc472251084"/>
            <w:r w:rsidRPr="0098635C">
              <w:rPr>
                <w:color w:val="000000" w:themeColor="text1"/>
              </w:rPr>
              <w:t>0.038 ± 0.006</w:t>
            </w:r>
            <w:bookmarkEnd w:id="623"/>
            <w:bookmarkEnd w:id="624"/>
          </w:p>
        </w:tc>
        <w:tc>
          <w:tcPr>
            <w:tcW w:w="992" w:type="dxa"/>
            <w:tcMar>
              <w:top w:w="20" w:type="nil"/>
              <w:left w:w="20" w:type="nil"/>
              <w:bottom w:w="20" w:type="nil"/>
              <w:right w:w="20" w:type="nil"/>
            </w:tcMar>
            <w:vAlign w:val="center"/>
          </w:tcPr>
          <w:p w14:paraId="61075E1B" w14:textId="77777777" w:rsidR="008D1AE9" w:rsidRPr="0098635C" w:rsidRDefault="008D1AE9" w:rsidP="00AF385A">
            <w:pPr>
              <w:pStyle w:val="NoteLevel211"/>
              <w:rPr>
                <w:color w:val="000000" w:themeColor="text1"/>
              </w:rPr>
            </w:pPr>
            <w:bookmarkStart w:id="625" w:name="_Toc471999642"/>
            <w:bookmarkStart w:id="626" w:name="_Toc472251085"/>
            <w:r w:rsidRPr="0098635C">
              <w:rPr>
                <w:color w:val="000000" w:themeColor="text1"/>
              </w:rPr>
              <w:t>372</w:t>
            </w:r>
            <w:bookmarkEnd w:id="625"/>
            <w:bookmarkEnd w:id="626"/>
          </w:p>
        </w:tc>
        <w:tc>
          <w:tcPr>
            <w:tcW w:w="1276" w:type="dxa"/>
            <w:tcMar>
              <w:top w:w="20" w:type="nil"/>
              <w:left w:w="20" w:type="nil"/>
              <w:bottom w:w="20" w:type="nil"/>
              <w:right w:w="20" w:type="nil"/>
            </w:tcMar>
            <w:vAlign w:val="center"/>
          </w:tcPr>
          <w:p w14:paraId="72B22678" w14:textId="77777777" w:rsidR="008D1AE9" w:rsidRPr="0098635C" w:rsidRDefault="008D1AE9" w:rsidP="00AF385A">
            <w:pPr>
              <w:pStyle w:val="NoteLevel211"/>
              <w:rPr>
                <w:color w:val="000000" w:themeColor="text1"/>
              </w:rPr>
            </w:pPr>
            <w:bookmarkStart w:id="627" w:name="_Toc471999643"/>
            <w:bookmarkStart w:id="628" w:name="_Toc472251086"/>
            <w:r w:rsidRPr="0098635C">
              <w:rPr>
                <w:color w:val="000000" w:themeColor="text1"/>
              </w:rPr>
              <w:t>ND</w:t>
            </w:r>
            <w:bookmarkEnd w:id="627"/>
            <w:bookmarkEnd w:id="628"/>
          </w:p>
        </w:tc>
        <w:tc>
          <w:tcPr>
            <w:tcW w:w="1134" w:type="dxa"/>
            <w:tcMar>
              <w:top w:w="20" w:type="nil"/>
              <w:left w:w="20" w:type="nil"/>
              <w:bottom w:w="20" w:type="nil"/>
              <w:right w:w="20" w:type="nil"/>
            </w:tcMar>
            <w:vAlign w:val="center"/>
          </w:tcPr>
          <w:p w14:paraId="377AC2AE" w14:textId="77777777" w:rsidR="008D1AE9" w:rsidRPr="0098635C" w:rsidRDefault="008D1AE9" w:rsidP="00AF385A">
            <w:pPr>
              <w:pStyle w:val="NoteLevel211"/>
              <w:rPr>
                <w:color w:val="000000" w:themeColor="text1"/>
              </w:rPr>
            </w:pPr>
            <w:bookmarkStart w:id="629" w:name="_Toc471999644"/>
            <w:bookmarkStart w:id="630" w:name="_Toc472251087"/>
            <w:r w:rsidRPr="0098635C">
              <w:rPr>
                <w:color w:val="000000" w:themeColor="text1"/>
              </w:rPr>
              <w:t>ND</w:t>
            </w:r>
            <w:bookmarkEnd w:id="629"/>
            <w:bookmarkEnd w:id="630"/>
          </w:p>
        </w:tc>
      </w:tr>
      <w:tr w:rsidR="008D1AE9" w:rsidRPr="0098635C" w14:paraId="4DA04C0D" w14:textId="77777777" w:rsidTr="00AF385A">
        <w:tc>
          <w:tcPr>
            <w:tcW w:w="1310" w:type="dxa"/>
            <w:tcMar>
              <w:top w:w="20" w:type="nil"/>
              <w:left w:w="20" w:type="nil"/>
              <w:bottom w:w="20" w:type="nil"/>
              <w:right w:w="20" w:type="nil"/>
            </w:tcMar>
            <w:vAlign w:val="center"/>
          </w:tcPr>
          <w:p w14:paraId="2B4B4E6F" w14:textId="77777777" w:rsidR="008D1AE9" w:rsidRPr="0098635C" w:rsidRDefault="008D1AE9" w:rsidP="00AF385A">
            <w:pPr>
              <w:pStyle w:val="NoteLevel211"/>
              <w:rPr>
                <w:color w:val="000000" w:themeColor="text1"/>
              </w:rPr>
            </w:pPr>
            <w:bookmarkStart w:id="631" w:name="_Toc471999645"/>
            <w:bookmarkStart w:id="632" w:name="_Toc472251088"/>
            <w:r w:rsidRPr="0098635C">
              <w:rPr>
                <w:color w:val="000000" w:themeColor="text1"/>
              </w:rPr>
              <w:t>Cage (2003)</w:t>
            </w:r>
            <w:bookmarkEnd w:id="631"/>
            <w:bookmarkEnd w:id="632"/>
          </w:p>
        </w:tc>
        <w:tc>
          <w:tcPr>
            <w:tcW w:w="1119" w:type="dxa"/>
            <w:tcMar>
              <w:top w:w="20" w:type="nil"/>
              <w:left w:w="20" w:type="nil"/>
              <w:bottom w:w="20" w:type="nil"/>
              <w:right w:w="20" w:type="nil"/>
            </w:tcMar>
            <w:vAlign w:val="center"/>
          </w:tcPr>
          <w:p w14:paraId="030CC97A" w14:textId="77777777" w:rsidR="008D1AE9" w:rsidRPr="0098635C" w:rsidRDefault="008D1AE9" w:rsidP="00AF385A">
            <w:pPr>
              <w:pStyle w:val="NoteLevel211"/>
              <w:rPr>
                <w:color w:val="000000" w:themeColor="text1"/>
              </w:rPr>
            </w:pPr>
            <w:bookmarkStart w:id="633" w:name="_Toc471999646"/>
            <w:bookmarkStart w:id="634" w:name="_Toc472251089"/>
            <w:r w:rsidRPr="0098635C">
              <w:rPr>
                <w:color w:val="000000" w:themeColor="text1"/>
              </w:rPr>
              <w:t>Copper sulphate</w:t>
            </w:r>
            <w:bookmarkEnd w:id="633"/>
            <w:bookmarkEnd w:id="634"/>
          </w:p>
        </w:tc>
        <w:tc>
          <w:tcPr>
            <w:tcW w:w="1223" w:type="dxa"/>
            <w:tcMar>
              <w:top w:w="20" w:type="nil"/>
              <w:left w:w="20" w:type="nil"/>
              <w:bottom w:w="20" w:type="nil"/>
              <w:right w:w="20" w:type="nil"/>
            </w:tcMar>
            <w:vAlign w:val="center"/>
          </w:tcPr>
          <w:p w14:paraId="465A0968" w14:textId="77777777" w:rsidR="00F1194F" w:rsidRPr="0098635C" w:rsidRDefault="00F1194F" w:rsidP="00F1194F">
            <w:pPr>
              <w:pStyle w:val="NoteLevel211"/>
              <w:rPr>
                <w:color w:val="000000" w:themeColor="text1"/>
              </w:rPr>
            </w:pPr>
            <w:bookmarkStart w:id="635" w:name="_Toc471999647"/>
            <w:bookmarkStart w:id="636" w:name="_Toc472251090"/>
            <w:r w:rsidRPr="0098635C">
              <w:rPr>
                <w:color w:val="000000" w:themeColor="text1"/>
              </w:rPr>
              <w:t>OECD 428</w:t>
            </w:r>
            <w:bookmarkEnd w:id="635"/>
            <w:bookmarkEnd w:id="636"/>
          </w:p>
          <w:p w14:paraId="1C99F5EF" w14:textId="77777777" w:rsidR="008D1AE9" w:rsidRPr="0098635C" w:rsidRDefault="008D1AE9" w:rsidP="00AF385A">
            <w:pPr>
              <w:pStyle w:val="NoteLevel211"/>
              <w:rPr>
                <w:color w:val="000000" w:themeColor="text1"/>
              </w:rPr>
            </w:pPr>
            <w:bookmarkStart w:id="637" w:name="_Toc471999648"/>
            <w:bookmarkStart w:id="638" w:name="_Toc472251091"/>
            <w:r w:rsidRPr="0098635C">
              <w:rPr>
                <w:color w:val="000000" w:themeColor="text1"/>
              </w:rPr>
              <w:t>AAS</w:t>
            </w:r>
            <w:bookmarkEnd w:id="637"/>
            <w:bookmarkEnd w:id="638"/>
          </w:p>
        </w:tc>
        <w:tc>
          <w:tcPr>
            <w:tcW w:w="1087" w:type="dxa"/>
            <w:tcMar>
              <w:top w:w="20" w:type="nil"/>
              <w:left w:w="20" w:type="nil"/>
              <w:bottom w:w="20" w:type="nil"/>
              <w:right w:w="20" w:type="nil"/>
            </w:tcMar>
            <w:vAlign w:val="center"/>
          </w:tcPr>
          <w:p w14:paraId="597C9689" w14:textId="77777777" w:rsidR="008D1AE9" w:rsidRPr="0098635C" w:rsidRDefault="008D1AE9" w:rsidP="00AF385A">
            <w:pPr>
              <w:pStyle w:val="NoteLevel211"/>
              <w:rPr>
                <w:color w:val="000000" w:themeColor="text1"/>
              </w:rPr>
            </w:pPr>
            <w:bookmarkStart w:id="639" w:name="_Toc471999649"/>
            <w:bookmarkStart w:id="640" w:name="_Toc472251092"/>
            <w:r w:rsidRPr="0098635C">
              <w:rPr>
                <w:color w:val="000000" w:themeColor="text1"/>
              </w:rPr>
              <w:t>0.942</w:t>
            </w:r>
            <w:bookmarkEnd w:id="639"/>
            <w:bookmarkEnd w:id="640"/>
          </w:p>
        </w:tc>
        <w:tc>
          <w:tcPr>
            <w:tcW w:w="1181" w:type="dxa"/>
            <w:tcMar>
              <w:top w:w="20" w:type="nil"/>
              <w:left w:w="20" w:type="nil"/>
              <w:bottom w:w="20" w:type="nil"/>
              <w:right w:w="20" w:type="nil"/>
            </w:tcMar>
            <w:vAlign w:val="center"/>
          </w:tcPr>
          <w:p w14:paraId="1BA7E5E8" w14:textId="77777777" w:rsidR="008D1AE9" w:rsidRPr="0098635C" w:rsidRDefault="008D1AE9" w:rsidP="00AF385A">
            <w:pPr>
              <w:pStyle w:val="NoteLevel211"/>
              <w:rPr>
                <w:color w:val="000000" w:themeColor="text1"/>
              </w:rPr>
            </w:pPr>
            <w:bookmarkStart w:id="641" w:name="_Toc471999650"/>
            <w:bookmarkStart w:id="642" w:name="_Toc472251093"/>
            <w:r w:rsidRPr="0098635C">
              <w:rPr>
                <w:color w:val="000000" w:themeColor="text1"/>
              </w:rPr>
              <w:t>0.136 ± 0.108</w:t>
            </w:r>
            <w:bookmarkEnd w:id="641"/>
            <w:bookmarkEnd w:id="642"/>
          </w:p>
        </w:tc>
        <w:tc>
          <w:tcPr>
            <w:tcW w:w="992" w:type="dxa"/>
            <w:tcMar>
              <w:top w:w="20" w:type="nil"/>
              <w:left w:w="20" w:type="nil"/>
              <w:bottom w:w="20" w:type="nil"/>
              <w:right w:w="20" w:type="nil"/>
            </w:tcMar>
            <w:vAlign w:val="center"/>
          </w:tcPr>
          <w:p w14:paraId="132BAA7C" w14:textId="77777777" w:rsidR="008D1AE9" w:rsidRPr="0098635C" w:rsidRDefault="008D1AE9" w:rsidP="00AF385A">
            <w:pPr>
              <w:pStyle w:val="NoteLevel211"/>
              <w:rPr>
                <w:color w:val="000000" w:themeColor="text1"/>
              </w:rPr>
            </w:pPr>
            <w:bookmarkStart w:id="643" w:name="_Toc471999651"/>
            <w:bookmarkStart w:id="644" w:name="_Toc472251094"/>
            <w:r w:rsidRPr="0098635C">
              <w:rPr>
                <w:color w:val="000000" w:themeColor="text1"/>
              </w:rPr>
              <w:t>1277</w:t>
            </w:r>
            <w:bookmarkEnd w:id="643"/>
            <w:bookmarkEnd w:id="644"/>
          </w:p>
        </w:tc>
        <w:tc>
          <w:tcPr>
            <w:tcW w:w="1276" w:type="dxa"/>
            <w:tcMar>
              <w:top w:w="20" w:type="nil"/>
              <w:left w:w="20" w:type="nil"/>
              <w:bottom w:w="20" w:type="nil"/>
              <w:right w:w="20" w:type="nil"/>
            </w:tcMar>
            <w:vAlign w:val="center"/>
          </w:tcPr>
          <w:p w14:paraId="0D38092D" w14:textId="77777777" w:rsidR="008D1AE9" w:rsidRPr="0098635C" w:rsidRDefault="008D1AE9" w:rsidP="00AF385A">
            <w:pPr>
              <w:pStyle w:val="NoteLevel211"/>
              <w:rPr>
                <w:color w:val="000000" w:themeColor="text1"/>
              </w:rPr>
            </w:pPr>
            <w:bookmarkStart w:id="645" w:name="_Toc471999652"/>
            <w:bookmarkStart w:id="646" w:name="_Toc472251095"/>
            <w:r w:rsidRPr="0098635C">
              <w:rPr>
                <w:color w:val="000000" w:themeColor="text1"/>
              </w:rPr>
              <w:t>ND</w:t>
            </w:r>
            <w:bookmarkEnd w:id="645"/>
            <w:bookmarkEnd w:id="646"/>
          </w:p>
        </w:tc>
        <w:tc>
          <w:tcPr>
            <w:tcW w:w="1134" w:type="dxa"/>
            <w:tcMar>
              <w:top w:w="20" w:type="nil"/>
              <w:left w:w="20" w:type="nil"/>
              <w:bottom w:w="20" w:type="nil"/>
              <w:right w:w="20" w:type="nil"/>
            </w:tcMar>
            <w:vAlign w:val="center"/>
          </w:tcPr>
          <w:p w14:paraId="39C4CAAE" w14:textId="77777777" w:rsidR="008D1AE9" w:rsidRPr="0098635C" w:rsidRDefault="008D1AE9" w:rsidP="00AF385A">
            <w:pPr>
              <w:pStyle w:val="NoteLevel211"/>
              <w:rPr>
                <w:color w:val="000000" w:themeColor="text1"/>
              </w:rPr>
            </w:pPr>
            <w:bookmarkStart w:id="647" w:name="_Toc471999653"/>
            <w:bookmarkStart w:id="648" w:name="_Toc472251096"/>
            <w:r w:rsidRPr="0098635C">
              <w:rPr>
                <w:color w:val="000000" w:themeColor="text1"/>
              </w:rPr>
              <w:t>ND</w:t>
            </w:r>
            <w:bookmarkEnd w:id="647"/>
            <w:bookmarkEnd w:id="648"/>
          </w:p>
        </w:tc>
      </w:tr>
    </w:tbl>
    <w:p w14:paraId="19927C92" w14:textId="1F1FCB59" w:rsidR="008D1AE9" w:rsidRPr="0098635C" w:rsidRDefault="007805EE" w:rsidP="008D1AE9">
      <w:pPr>
        <w:rPr>
          <w:color w:val="000000" w:themeColor="text1"/>
          <w:sz w:val="20"/>
          <w:szCs w:val="20"/>
        </w:rPr>
      </w:pPr>
      <w:r w:rsidRPr="0098635C">
        <w:rPr>
          <w:color w:val="000000" w:themeColor="text1"/>
          <w:sz w:val="20"/>
          <w:szCs w:val="20"/>
        </w:rPr>
        <w:t>*Dermal delivery was determined as the sum of copper in receptor fluid and stripped dermis; mean values were 3074 ng/cm</w:t>
      </w:r>
      <w:r w:rsidRPr="0098635C">
        <w:rPr>
          <w:color w:val="000000" w:themeColor="text1"/>
          <w:sz w:val="20"/>
          <w:szCs w:val="20"/>
          <w:vertAlign w:val="superscript"/>
        </w:rPr>
        <w:t>2</w:t>
      </w:r>
      <w:r w:rsidRPr="0098635C">
        <w:rPr>
          <w:color w:val="000000" w:themeColor="text1"/>
          <w:sz w:val="20"/>
          <w:szCs w:val="20"/>
        </w:rPr>
        <w:t xml:space="preserve"> ± 2261 and 2601 ng/cm</w:t>
      </w:r>
      <w:r w:rsidRPr="0098635C">
        <w:rPr>
          <w:color w:val="000000" w:themeColor="text1"/>
          <w:sz w:val="20"/>
          <w:szCs w:val="20"/>
          <w:vertAlign w:val="superscript"/>
        </w:rPr>
        <w:t>2</w:t>
      </w:r>
      <w:r w:rsidRPr="0098635C">
        <w:rPr>
          <w:color w:val="000000" w:themeColor="text1"/>
          <w:sz w:val="20"/>
          <w:szCs w:val="20"/>
        </w:rPr>
        <w:t xml:space="preserve"> ± 1870, respectively (reported as 0.06% ± 0.04 and 0.08% ± 0.06 of the applied dose, respectively).  </w:t>
      </w:r>
    </w:p>
    <w:p w14:paraId="641D8850" w14:textId="2E6D95BE" w:rsidR="00330AD0" w:rsidRPr="0098635C" w:rsidRDefault="008D1AE9" w:rsidP="00AC71D6">
      <w:pPr>
        <w:pStyle w:val="BodyText"/>
        <w:rPr>
          <w:color w:val="000000" w:themeColor="text1"/>
          <w:sz w:val="20"/>
        </w:rPr>
      </w:pPr>
      <w:r w:rsidRPr="0098635C">
        <w:rPr>
          <w:color w:val="000000" w:themeColor="text1"/>
          <w:sz w:val="20"/>
        </w:rPr>
        <w:t>Quantitative dermal absorption data for humans are also available from two published studies by Pirot et al (1996a; 1996b). Their research showed that penetration resulting from topical formulations (emulsions or ointments) with CuSO</w:t>
      </w:r>
      <w:r w:rsidRPr="0098635C">
        <w:rPr>
          <w:color w:val="000000" w:themeColor="text1"/>
          <w:sz w:val="20"/>
          <w:vertAlign w:val="subscript"/>
        </w:rPr>
        <w:t>4</w:t>
      </w:r>
      <w:r w:rsidRPr="0098635C">
        <w:rPr>
          <w:color w:val="000000" w:themeColor="text1"/>
          <w:position w:val="-4"/>
          <w:sz w:val="20"/>
        </w:rPr>
        <w:t xml:space="preserve"> </w:t>
      </w:r>
      <w:r w:rsidRPr="0098635C">
        <w:rPr>
          <w:color w:val="000000" w:themeColor="text1"/>
          <w:sz w:val="20"/>
        </w:rPr>
        <w:t>showed some dependence on vehicle</w:t>
      </w:r>
      <w:r w:rsidR="00052BD9" w:rsidRPr="0098635C">
        <w:rPr>
          <w:color w:val="000000" w:themeColor="text1"/>
          <w:sz w:val="20"/>
        </w:rPr>
        <w:t>.</w:t>
      </w:r>
    </w:p>
    <w:p w14:paraId="57DB66BE" w14:textId="77777777" w:rsidR="008D1AE9" w:rsidRPr="0098635C" w:rsidRDefault="00D05142" w:rsidP="008D1AE9">
      <w:pPr>
        <w:rPr>
          <w:b/>
          <w:i/>
          <w:color w:val="000000" w:themeColor="text1"/>
          <w:sz w:val="20"/>
          <w:szCs w:val="20"/>
        </w:rPr>
      </w:pPr>
      <w:r w:rsidRPr="0098635C">
        <w:rPr>
          <w:b/>
          <w:i/>
          <w:color w:val="000000" w:themeColor="text1"/>
          <w:sz w:val="20"/>
          <w:szCs w:val="20"/>
        </w:rPr>
        <w:t>Conclusion</w:t>
      </w:r>
      <w:r w:rsidR="0098645E" w:rsidRPr="0098635C">
        <w:rPr>
          <w:b/>
          <w:i/>
          <w:color w:val="000000" w:themeColor="text1"/>
          <w:sz w:val="20"/>
          <w:szCs w:val="20"/>
        </w:rPr>
        <w:t xml:space="preserve"> on dermal absorption</w:t>
      </w:r>
    </w:p>
    <w:p w14:paraId="5194ADFD" w14:textId="3A9BB6F8" w:rsidR="007805EE" w:rsidRPr="0098635C" w:rsidRDefault="008D1AE9" w:rsidP="007805EE">
      <w:pPr>
        <w:pStyle w:val="BodyText"/>
        <w:rPr>
          <w:color w:val="000000" w:themeColor="text1"/>
          <w:sz w:val="20"/>
        </w:rPr>
      </w:pPr>
      <w:r w:rsidRPr="0098635C">
        <w:rPr>
          <w:color w:val="000000" w:themeColor="text1"/>
          <w:sz w:val="20"/>
        </w:rPr>
        <w:t xml:space="preserve">No data are available on dermal absorption of copper in animals. Based on the Roper (2003) and Cage (2003) studies, a dermal absorption factor of 0.3% is derived for insoluble and soluble copper substances in solution or suspension. </w:t>
      </w:r>
      <w:r w:rsidR="007805EE" w:rsidRPr="0098635C">
        <w:rPr>
          <w:color w:val="000000" w:themeColor="text1"/>
          <w:sz w:val="20"/>
        </w:rPr>
        <w:t>This value is derived from the highest value for copper measured in receptor fluid (0.157% for copper (I) oxide reported by Cage</w:t>
      </w:r>
      <w:r w:rsidR="002C32FF" w:rsidRPr="0098635C">
        <w:rPr>
          <w:color w:val="000000" w:themeColor="text1"/>
          <w:sz w:val="20"/>
        </w:rPr>
        <w:t xml:space="preserve"> (2003</w:t>
      </w:r>
      <w:r w:rsidR="007805EE" w:rsidRPr="0098635C">
        <w:rPr>
          <w:color w:val="000000" w:themeColor="text1"/>
          <w:sz w:val="20"/>
        </w:rPr>
        <w:t>), plus a value for copper retained in the skin (mean of 0.07% and 0.05% reported by Rope</w:t>
      </w:r>
      <w:r w:rsidR="002C32FF" w:rsidRPr="0098635C">
        <w:rPr>
          <w:color w:val="000000" w:themeColor="text1"/>
          <w:sz w:val="20"/>
        </w:rPr>
        <w:t>r (2003</w:t>
      </w:r>
      <w:r w:rsidR="007805EE" w:rsidRPr="0098635C">
        <w:rPr>
          <w:color w:val="000000" w:themeColor="text1"/>
          <w:sz w:val="20"/>
        </w:rPr>
        <w:t xml:space="preserve">).  This results in a dermal absorption value of 0.217% ± 0.06. As a conservative approach this value was rounded up to 0.3%.  </w:t>
      </w:r>
    </w:p>
    <w:p w14:paraId="2CAE3BC9" w14:textId="409A9535" w:rsidR="008D1AE9" w:rsidRPr="0098635C" w:rsidRDefault="008D1AE9" w:rsidP="008D1AE9">
      <w:pPr>
        <w:pStyle w:val="BodyText"/>
        <w:rPr>
          <w:color w:val="000000" w:themeColor="text1"/>
          <w:sz w:val="20"/>
        </w:rPr>
      </w:pPr>
      <w:r w:rsidRPr="0098635C">
        <w:rPr>
          <w:color w:val="000000" w:themeColor="text1"/>
          <w:sz w:val="20"/>
        </w:rPr>
        <w:t xml:space="preserve">For dry exposure scenarios, </w:t>
      </w:r>
      <w:r w:rsidR="00AC6EDF" w:rsidRPr="0098635C">
        <w:rPr>
          <w:color w:val="000000" w:themeColor="text1"/>
          <w:sz w:val="20"/>
        </w:rPr>
        <w:t>consistent with the approach used in the OECD Cooperative chemicals Assessment of zinc (and EU risk assessment)</w:t>
      </w:r>
      <w:r w:rsidRPr="0098635C">
        <w:rPr>
          <w:color w:val="000000" w:themeColor="text1"/>
          <w:sz w:val="20"/>
        </w:rPr>
        <w:t>, a 10-fold lower dermal absorption value is proposed (0.03%). In the absence of data to indicate whether copper retained in the skin will become bioavailable or not, the inclusion of copper retained in the skin can be considered as a worst-case approach.</w:t>
      </w:r>
    </w:p>
    <w:p w14:paraId="33384A57" w14:textId="77777777" w:rsidR="008D1AE9" w:rsidRPr="0098635C" w:rsidRDefault="008D1AE9" w:rsidP="008D1AE9">
      <w:pPr>
        <w:pStyle w:val="Heading4"/>
        <w:rPr>
          <w:rFonts w:ascii="Times New Roman" w:hAnsi="Times New Roman"/>
          <w:color w:val="000000" w:themeColor="text1"/>
          <w:sz w:val="20"/>
        </w:rPr>
      </w:pPr>
      <w:r w:rsidRPr="0098635C">
        <w:rPr>
          <w:rFonts w:ascii="Times New Roman" w:hAnsi="Times New Roman"/>
          <w:color w:val="000000" w:themeColor="text1"/>
          <w:sz w:val="20"/>
        </w:rPr>
        <w:t>Inhalation</w:t>
      </w:r>
    </w:p>
    <w:p w14:paraId="1188A78D" w14:textId="055AF1A4" w:rsidR="008D1AE9" w:rsidRPr="0098635C" w:rsidRDefault="008D1AE9" w:rsidP="00F67B0C">
      <w:pPr>
        <w:pStyle w:val="BodyText"/>
        <w:spacing w:before="240"/>
        <w:rPr>
          <w:color w:val="000000" w:themeColor="text1"/>
          <w:sz w:val="20"/>
        </w:rPr>
      </w:pPr>
      <w:r w:rsidRPr="0098635C">
        <w:rPr>
          <w:color w:val="000000" w:themeColor="text1"/>
          <w:sz w:val="20"/>
        </w:rPr>
        <w:t>Published studies that provide substantial relevant information on uptake of copper via inhalation were not identified. Contradictory results on the uptake o</w:t>
      </w:r>
      <w:r w:rsidR="00D32228" w:rsidRPr="0098635C">
        <w:rPr>
          <w:color w:val="000000" w:themeColor="text1"/>
          <w:sz w:val="20"/>
        </w:rPr>
        <w:t>f</w:t>
      </w:r>
      <w:r w:rsidRPr="0098635C">
        <w:rPr>
          <w:color w:val="000000" w:themeColor="text1"/>
          <w:sz w:val="20"/>
        </w:rPr>
        <w:t xml:space="preserve"> copper</w:t>
      </w:r>
      <w:r w:rsidR="00D32228" w:rsidRPr="0098635C">
        <w:rPr>
          <w:color w:val="000000" w:themeColor="text1"/>
          <w:sz w:val="20"/>
        </w:rPr>
        <w:t xml:space="preserve"> by humans</w:t>
      </w:r>
      <w:r w:rsidRPr="0098635C">
        <w:rPr>
          <w:color w:val="000000" w:themeColor="text1"/>
          <w:sz w:val="20"/>
        </w:rPr>
        <w:t xml:space="preserve"> due to smoking were reported by Fisher et al (1990) </w:t>
      </w:r>
      <w:r w:rsidR="00506104" w:rsidRPr="0098635C">
        <w:rPr>
          <w:color w:val="000000" w:themeColor="text1"/>
          <w:sz w:val="20"/>
        </w:rPr>
        <w:t xml:space="preserve">and </w:t>
      </w:r>
      <w:r w:rsidRPr="0098635C">
        <w:rPr>
          <w:color w:val="000000" w:themeColor="text1"/>
          <w:sz w:val="20"/>
        </w:rPr>
        <w:t xml:space="preserve">McMaster et al (1992). The former concluded that smoking had no effect on serum copper or other indices of copper status among male or female subjects of all ages. McMaster et al (1992), however concluded that smoking increased serum copper levels incrementally. Other inconclusive studies on this </w:t>
      </w:r>
      <w:r w:rsidR="00D32228" w:rsidRPr="0098635C">
        <w:rPr>
          <w:color w:val="000000" w:themeColor="text1"/>
          <w:sz w:val="20"/>
        </w:rPr>
        <w:t>route of exposure (i.e. via smoking)</w:t>
      </w:r>
      <w:r w:rsidRPr="0098635C">
        <w:rPr>
          <w:color w:val="000000" w:themeColor="text1"/>
          <w:sz w:val="20"/>
        </w:rPr>
        <w:t xml:space="preserve"> were conducted by Tsuchiyama et al (1997) and Takemoto et al (1991). Srivastava et al (1984) evaluated systemic absorption of copper (in suspended fly ash) from the respiratory tract was investigated in </w:t>
      </w:r>
      <w:r w:rsidR="00D32228" w:rsidRPr="0098635C">
        <w:rPr>
          <w:color w:val="000000" w:themeColor="text1"/>
          <w:sz w:val="20"/>
        </w:rPr>
        <w:t xml:space="preserve">thirty </w:t>
      </w:r>
      <w:r w:rsidRPr="0098635C">
        <w:rPr>
          <w:color w:val="000000" w:themeColor="text1"/>
          <w:sz w:val="20"/>
        </w:rPr>
        <w:t>male Wistar rats. This study demonstrates the potential for systemic absorption of copper following inhalation, but provides no reliable quantitative data.</w:t>
      </w:r>
    </w:p>
    <w:p w14:paraId="42908BB0" w14:textId="56F633EB" w:rsidR="008D1AE9" w:rsidRPr="0098635C" w:rsidRDefault="008D1AE9" w:rsidP="008D1AE9">
      <w:pPr>
        <w:rPr>
          <w:color w:val="000000" w:themeColor="text1"/>
          <w:sz w:val="20"/>
          <w:szCs w:val="20"/>
        </w:rPr>
      </w:pPr>
      <w:r w:rsidRPr="0098635C">
        <w:rPr>
          <w:color w:val="000000" w:themeColor="text1"/>
          <w:sz w:val="20"/>
          <w:szCs w:val="20"/>
        </w:rPr>
        <w:t>In the absence of relevant inhalation absorption data, the inhalation absorption can be calculated using the Multiple Path Model of Particle Deposition (MPPD) developed by RIVM, and the particle size distribution data of the copper and copper compounds. The fractional and regional deposition of copper in the respiratory tract is modelled using the MPPD model (v1.0) (Asgharian &amp; Freijer, 1999). For these calculations, the following model assumptions were used in assessing conditions reflective of workplace conditions (</w:t>
      </w:r>
      <w:r w:rsidR="00E230FB" w:rsidRPr="0098635C">
        <w:rPr>
          <w:color w:val="000000" w:themeColor="text1"/>
          <w:sz w:val="20"/>
          <w:szCs w:val="20"/>
        </w:rPr>
        <w:fldChar w:fldCharType="begin"/>
      </w:r>
      <w:r w:rsidRPr="0098635C">
        <w:rPr>
          <w:color w:val="000000" w:themeColor="text1"/>
          <w:sz w:val="20"/>
          <w:szCs w:val="20"/>
        </w:rPr>
        <w:instrText xml:space="preserve"> REF _Ref259439790 \h </w:instrText>
      </w:r>
      <w:r w:rsidR="00E230FB" w:rsidRPr="0098635C">
        <w:rPr>
          <w:color w:val="000000" w:themeColor="text1"/>
          <w:sz w:val="20"/>
          <w:szCs w:val="20"/>
        </w:rPr>
      </w:r>
      <w:r w:rsidR="0098635C">
        <w:rPr>
          <w:color w:val="000000" w:themeColor="text1"/>
          <w:sz w:val="20"/>
          <w:szCs w:val="20"/>
        </w:rPr>
        <w:instrText xml:space="preserve"> \* MERGEFORMAT </w:instrText>
      </w:r>
      <w:r w:rsidR="00E230FB" w:rsidRPr="0098635C">
        <w:rPr>
          <w:color w:val="000000" w:themeColor="text1"/>
          <w:sz w:val="20"/>
          <w:szCs w:val="20"/>
        </w:rPr>
        <w:fldChar w:fldCharType="separate"/>
      </w:r>
      <w:r w:rsidR="00690E61" w:rsidRPr="0098635C">
        <w:rPr>
          <w:b/>
          <w:color w:val="000000" w:themeColor="text1"/>
          <w:sz w:val="20"/>
          <w:szCs w:val="20"/>
        </w:rPr>
        <w:t xml:space="preserve">Table </w:t>
      </w:r>
      <w:r w:rsidR="00690E61" w:rsidRPr="0098635C">
        <w:rPr>
          <w:b/>
          <w:noProof/>
          <w:color w:val="000000" w:themeColor="text1"/>
          <w:sz w:val="20"/>
          <w:szCs w:val="20"/>
        </w:rPr>
        <w:t>7</w:t>
      </w:r>
      <w:r w:rsidR="00E230FB" w:rsidRPr="0098635C">
        <w:rPr>
          <w:color w:val="000000" w:themeColor="text1"/>
          <w:sz w:val="20"/>
          <w:szCs w:val="20"/>
        </w:rPr>
        <w:fldChar w:fldCharType="end"/>
      </w:r>
      <w:r w:rsidRPr="0098635C">
        <w:rPr>
          <w:color w:val="000000" w:themeColor="text1"/>
          <w:sz w:val="20"/>
          <w:szCs w:val="20"/>
        </w:rPr>
        <w:t>):</w:t>
      </w:r>
    </w:p>
    <w:p w14:paraId="3E4BB302" w14:textId="77777777" w:rsidR="008D1AE9" w:rsidRPr="0098635C" w:rsidRDefault="008D1AE9" w:rsidP="00F67B0C">
      <w:pPr>
        <w:pStyle w:val="Caption"/>
        <w:ind w:left="0"/>
        <w:jc w:val="center"/>
        <w:rPr>
          <w:b w:val="0"/>
          <w:color w:val="000000" w:themeColor="text1"/>
          <w:sz w:val="20"/>
          <w:lang w:val="en-GB"/>
        </w:rPr>
      </w:pPr>
      <w:bookmarkStart w:id="649" w:name="_Ref259439790"/>
      <w:bookmarkStart w:id="650" w:name="_Toc260323656"/>
      <w:r w:rsidRPr="0098635C">
        <w:rPr>
          <w:b w:val="0"/>
          <w:color w:val="000000" w:themeColor="text1"/>
          <w:sz w:val="20"/>
          <w:lang w:val="en-GB"/>
        </w:rPr>
        <w:t xml:space="preserve">Table </w:t>
      </w:r>
      <w:r w:rsidR="00E230FB" w:rsidRPr="0098635C">
        <w:rPr>
          <w:b w:val="0"/>
          <w:color w:val="000000" w:themeColor="text1"/>
          <w:sz w:val="20"/>
          <w:lang w:val="en-GB"/>
        </w:rPr>
        <w:fldChar w:fldCharType="begin"/>
      </w:r>
      <w:r w:rsidRPr="0098635C">
        <w:rPr>
          <w:b w:val="0"/>
          <w:color w:val="000000" w:themeColor="text1"/>
          <w:sz w:val="20"/>
          <w:lang w:val="en-GB"/>
        </w:rPr>
        <w:instrText xml:space="preserve"> SEQ Table \* ARABIC </w:instrText>
      </w:r>
      <w:r w:rsidR="00E230FB" w:rsidRPr="0098635C">
        <w:rPr>
          <w:b w:val="0"/>
          <w:color w:val="000000" w:themeColor="text1"/>
          <w:sz w:val="20"/>
          <w:lang w:val="en-GB"/>
        </w:rPr>
        <w:fldChar w:fldCharType="separate"/>
      </w:r>
      <w:r w:rsidR="00690E61" w:rsidRPr="0098635C">
        <w:rPr>
          <w:b w:val="0"/>
          <w:noProof/>
          <w:color w:val="000000" w:themeColor="text1"/>
          <w:sz w:val="20"/>
          <w:lang w:val="en-GB"/>
        </w:rPr>
        <w:t>7</w:t>
      </w:r>
      <w:r w:rsidR="00E230FB" w:rsidRPr="0098635C">
        <w:rPr>
          <w:b w:val="0"/>
          <w:color w:val="000000" w:themeColor="text1"/>
          <w:sz w:val="20"/>
          <w:lang w:val="en-GB"/>
        </w:rPr>
        <w:fldChar w:fldCharType="end"/>
      </w:r>
      <w:bookmarkEnd w:id="649"/>
      <w:r w:rsidRPr="0098635C">
        <w:rPr>
          <w:b w:val="0"/>
          <w:color w:val="000000" w:themeColor="text1"/>
          <w:sz w:val="20"/>
          <w:lang w:val="en-GB"/>
        </w:rPr>
        <w:t>: MPPD model parameters using the Respicon particle size data</w:t>
      </w:r>
      <w:bookmarkEnd w:id="650"/>
    </w:p>
    <w:tbl>
      <w:tblPr>
        <w:tblStyle w:val="TableGrid"/>
        <w:tblW w:w="0" w:type="auto"/>
        <w:jc w:val="center"/>
        <w:tblLook w:val="04A0" w:firstRow="1" w:lastRow="0" w:firstColumn="1" w:lastColumn="0" w:noHBand="0" w:noVBand="1"/>
      </w:tblPr>
      <w:tblGrid>
        <w:gridCol w:w="2235"/>
        <w:gridCol w:w="9"/>
        <w:gridCol w:w="3421"/>
      </w:tblGrid>
      <w:tr w:rsidR="008D1AE9" w:rsidRPr="0098635C" w14:paraId="58142FDF" w14:textId="77777777" w:rsidTr="00F67B0C">
        <w:trPr>
          <w:jc w:val="center"/>
        </w:trPr>
        <w:tc>
          <w:tcPr>
            <w:tcW w:w="2244" w:type="dxa"/>
            <w:gridSpan w:val="2"/>
          </w:tcPr>
          <w:p w14:paraId="791F25EB" w14:textId="77777777" w:rsidR="008D1AE9" w:rsidRPr="0098635C" w:rsidRDefault="008D1AE9" w:rsidP="00AF385A">
            <w:pPr>
              <w:pStyle w:val="NoteLevel211"/>
              <w:rPr>
                <w:b/>
                <w:color w:val="000000" w:themeColor="text1"/>
                <w:lang w:eastAsia="en-US"/>
              </w:rPr>
            </w:pPr>
            <w:bookmarkStart w:id="651" w:name="_Toc471999654"/>
            <w:bookmarkStart w:id="652" w:name="_Toc472251097"/>
            <w:r w:rsidRPr="0098635C">
              <w:rPr>
                <w:b/>
                <w:color w:val="000000" w:themeColor="text1"/>
                <w:lang w:eastAsia="en-US"/>
              </w:rPr>
              <w:t>Airway morphometry</w:t>
            </w:r>
            <w:bookmarkEnd w:id="651"/>
            <w:bookmarkEnd w:id="652"/>
          </w:p>
        </w:tc>
        <w:tc>
          <w:tcPr>
            <w:tcW w:w="3421" w:type="dxa"/>
          </w:tcPr>
          <w:p w14:paraId="3AFEB28A" w14:textId="77777777" w:rsidR="008D1AE9" w:rsidRPr="0098635C" w:rsidRDefault="008D1AE9" w:rsidP="00AF385A">
            <w:pPr>
              <w:pStyle w:val="NoteLevel211"/>
              <w:rPr>
                <w:b/>
                <w:color w:val="000000" w:themeColor="text1"/>
                <w:lang w:eastAsia="en-US"/>
              </w:rPr>
            </w:pPr>
            <w:bookmarkStart w:id="653" w:name="_Toc471999655"/>
            <w:bookmarkStart w:id="654" w:name="_Toc472251098"/>
            <w:r w:rsidRPr="0098635C">
              <w:rPr>
                <w:b/>
                <w:color w:val="000000" w:themeColor="text1"/>
                <w:lang w:eastAsia="en-US"/>
              </w:rPr>
              <w:t>Human Yeh Schum symmetric model</w:t>
            </w:r>
            <w:bookmarkEnd w:id="653"/>
            <w:bookmarkEnd w:id="654"/>
          </w:p>
        </w:tc>
      </w:tr>
      <w:tr w:rsidR="008D1AE9" w:rsidRPr="0098635C" w14:paraId="557EF7C9" w14:textId="77777777" w:rsidTr="00F67B0C">
        <w:trPr>
          <w:jc w:val="center"/>
        </w:trPr>
        <w:tc>
          <w:tcPr>
            <w:tcW w:w="2235" w:type="dxa"/>
          </w:tcPr>
          <w:p w14:paraId="197D72C1" w14:textId="77777777" w:rsidR="008D1AE9" w:rsidRPr="0098635C" w:rsidRDefault="008D1AE9" w:rsidP="00AF385A">
            <w:pPr>
              <w:pStyle w:val="NoteLevel211"/>
              <w:rPr>
                <w:color w:val="000000" w:themeColor="text1"/>
                <w:lang w:eastAsia="en-US"/>
              </w:rPr>
            </w:pPr>
            <w:bookmarkStart w:id="655" w:name="_Toc471999656"/>
            <w:bookmarkStart w:id="656" w:name="_Toc472251099"/>
            <w:r w:rsidRPr="0098635C">
              <w:rPr>
                <w:color w:val="000000" w:themeColor="text1"/>
                <w:lang w:eastAsia="en-US"/>
              </w:rPr>
              <w:t>Particle density</w:t>
            </w:r>
            <w:bookmarkEnd w:id="655"/>
            <w:bookmarkEnd w:id="656"/>
          </w:p>
        </w:tc>
        <w:tc>
          <w:tcPr>
            <w:tcW w:w="3430" w:type="dxa"/>
            <w:gridSpan w:val="2"/>
          </w:tcPr>
          <w:p w14:paraId="7CA80970" w14:textId="77777777" w:rsidR="008D1AE9" w:rsidRPr="0098635C" w:rsidRDefault="008D1AE9" w:rsidP="00AF385A">
            <w:pPr>
              <w:pStyle w:val="NoteLevel211"/>
              <w:rPr>
                <w:color w:val="000000" w:themeColor="text1"/>
                <w:lang w:eastAsia="en-US"/>
              </w:rPr>
            </w:pPr>
            <w:bookmarkStart w:id="657" w:name="_Toc471999657"/>
            <w:bookmarkStart w:id="658" w:name="_Toc472251100"/>
            <w:r w:rsidRPr="0098635C">
              <w:rPr>
                <w:color w:val="000000" w:themeColor="text1"/>
                <w:lang w:eastAsia="en-US"/>
              </w:rPr>
              <w:t>1 g/cm</w:t>
            </w:r>
            <w:bookmarkEnd w:id="657"/>
            <w:bookmarkEnd w:id="658"/>
          </w:p>
        </w:tc>
      </w:tr>
      <w:tr w:rsidR="008D1AE9" w:rsidRPr="0098635C" w14:paraId="3CC271FE" w14:textId="77777777" w:rsidTr="00F67B0C">
        <w:trPr>
          <w:jc w:val="center"/>
        </w:trPr>
        <w:tc>
          <w:tcPr>
            <w:tcW w:w="2235" w:type="dxa"/>
          </w:tcPr>
          <w:p w14:paraId="02F4BBA8" w14:textId="77777777" w:rsidR="008D1AE9" w:rsidRPr="0098635C" w:rsidRDefault="008D1AE9" w:rsidP="00AF385A">
            <w:pPr>
              <w:pStyle w:val="NoteLevel211"/>
              <w:rPr>
                <w:color w:val="000000" w:themeColor="text1"/>
                <w:lang w:eastAsia="en-US"/>
              </w:rPr>
            </w:pPr>
            <w:bookmarkStart w:id="659" w:name="_Toc471999658"/>
            <w:bookmarkStart w:id="660" w:name="_Toc472251101"/>
            <w:r w:rsidRPr="0098635C">
              <w:rPr>
                <w:color w:val="000000" w:themeColor="text1"/>
                <w:lang w:eastAsia="en-US"/>
              </w:rPr>
              <w:t>Particle diameter</w:t>
            </w:r>
            <w:bookmarkEnd w:id="659"/>
            <w:bookmarkEnd w:id="660"/>
          </w:p>
        </w:tc>
        <w:tc>
          <w:tcPr>
            <w:tcW w:w="3430" w:type="dxa"/>
            <w:gridSpan w:val="2"/>
          </w:tcPr>
          <w:p w14:paraId="01CFC326" w14:textId="77777777" w:rsidR="008D1AE9" w:rsidRPr="0098635C" w:rsidRDefault="008D1AE9" w:rsidP="00AF385A">
            <w:pPr>
              <w:pStyle w:val="NoteLevel211"/>
              <w:rPr>
                <w:color w:val="000000" w:themeColor="text1"/>
                <w:lang w:eastAsia="en-US"/>
              </w:rPr>
            </w:pPr>
            <w:bookmarkStart w:id="661" w:name="_Toc471999659"/>
            <w:bookmarkStart w:id="662" w:name="_Toc472251102"/>
            <w:r w:rsidRPr="0098635C">
              <w:rPr>
                <w:color w:val="000000" w:themeColor="text1"/>
                <w:lang w:eastAsia="en-US"/>
              </w:rPr>
              <w:t>MMAD = 4 µm (respirable)</w:t>
            </w:r>
            <w:bookmarkEnd w:id="661"/>
            <w:bookmarkEnd w:id="662"/>
          </w:p>
          <w:p w14:paraId="1A7E353E" w14:textId="77777777" w:rsidR="008D1AE9" w:rsidRPr="0098635C" w:rsidRDefault="008D1AE9" w:rsidP="00AF385A">
            <w:pPr>
              <w:pStyle w:val="NoteLevel211"/>
              <w:rPr>
                <w:color w:val="000000" w:themeColor="text1"/>
                <w:lang w:eastAsia="en-US"/>
              </w:rPr>
            </w:pPr>
            <w:bookmarkStart w:id="663" w:name="_Toc471999660"/>
            <w:bookmarkStart w:id="664" w:name="_Toc472251103"/>
            <w:r w:rsidRPr="0098635C">
              <w:rPr>
                <w:color w:val="000000" w:themeColor="text1"/>
                <w:lang w:eastAsia="en-US"/>
              </w:rPr>
              <w:t>10 µm (tracheobronchial)</w:t>
            </w:r>
            <w:bookmarkEnd w:id="663"/>
            <w:bookmarkEnd w:id="664"/>
          </w:p>
          <w:p w14:paraId="76CD4AFB" w14:textId="77777777" w:rsidR="008D1AE9" w:rsidRPr="0098635C" w:rsidRDefault="008D1AE9" w:rsidP="00AF385A">
            <w:pPr>
              <w:pStyle w:val="NoteLevel211"/>
              <w:rPr>
                <w:color w:val="000000" w:themeColor="text1"/>
                <w:lang w:eastAsia="en-US"/>
              </w:rPr>
            </w:pPr>
            <w:bookmarkStart w:id="665" w:name="_Toc471999661"/>
            <w:bookmarkStart w:id="666" w:name="_Toc472251104"/>
            <w:r w:rsidRPr="0098635C">
              <w:rPr>
                <w:color w:val="000000" w:themeColor="text1"/>
                <w:lang w:eastAsia="en-US"/>
              </w:rPr>
              <w:t>50 µm (extrathoracic, nominal)</w:t>
            </w:r>
            <w:bookmarkEnd w:id="665"/>
            <w:bookmarkEnd w:id="666"/>
          </w:p>
        </w:tc>
      </w:tr>
      <w:tr w:rsidR="008D1AE9" w:rsidRPr="0098635C" w14:paraId="4143DFB5" w14:textId="77777777" w:rsidTr="00F67B0C">
        <w:trPr>
          <w:jc w:val="center"/>
        </w:trPr>
        <w:tc>
          <w:tcPr>
            <w:tcW w:w="2235" w:type="dxa"/>
          </w:tcPr>
          <w:p w14:paraId="0A9BF9D0" w14:textId="77777777" w:rsidR="008D1AE9" w:rsidRPr="0098635C" w:rsidRDefault="008D1AE9" w:rsidP="00AF385A">
            <w:pPr>
              <w:pStyle w:val="NoteLevel211"/>
              <w:rPr>
                <w:color w:val="000000" w:themeColor="text1"/>
                <w:lang w:eastAsia="en-US"/>
              </w:rPr>
            </w:pPr>
            <w:bookmarkStart w:id="667" w:name="_Toc471999662"/>
            <w:bookmarkStart w:id="668" w:name="_Toc472251105"/>
            <w:r w:rsidRPr="0098635C">
              <w:rPr>
                <w:color w:val="000000" w:themeColor="text1"/>
                <w:lang w:eastAsia="en-US"/>
              </w:rPr>
              <w:t>Inhalability adjustment</w:t>
            </w:r>
            <w:bookmarkEnd w:id="667"/>
            <w:bookmarkEnd w:id="668"/>
          </w:p>
        </w:tc>
        <w:tc>
          <w:tcPr>
            <w:tcW w:w="3430" w:type="dxa"/>
            <w:gridSpan w:val="2"/>
          </w:tcPr>
          <w:p w14:paraId="1CCB608E" w14:textId="77777777" w:rsidR="008D1AE9" w:rsidRPr="0098635C" w:rsidRDefault="008D1AE9" w:rsidP="00AF385A">
            <w:pPr>
              <w:pStyle w:val="NoteLevel211"/>
              <w:rPr>
                <w:color w:val="000000" w:themeColor="text1"/>
                <w:lang w:eastAsia="en-US"/>
              </w:rPr>
            </w:pPr>
            <w:bookmarkStart w:id="669" w:name="_Toc471999663"/>
            <w:bookmarkStart w:id="670" w:name="_Toc472251106"/>
            <w:r w:rsidRPr="0098635C">
              <w:rPr>
                <w:color w:val="000000" w:themeColor="text1"/>
                <w:lang w:eastAsia="en-US"/>
              </w:rPr>
              <w:t>Off</w:t>
            </w:r>
            <w:bookmarkEnd w:id="669"/>
            <w:bookmarkEnd w:id="670"/>
          </w:p>
        </w:tc>
      </w:tr>
      <w:tr w:rsidR="008D1AE9" w:rsidRPr="0098635C" w14:paraId="3A506F7C" w14:textId="77777777" w:rsidTr="00F67B0C">
        <w:trPr>
          <w:jc w:val="center"/>
        </w:trPr>
        <w:tc>
          <w:tcPr>
            <w:tcW w:w="2235" w:type="dxa"/>
          </w:tcPr>
          <w:p w14:paraId="63E9FE77" w14:textId="77777777" w:rsidR="008D1AE9" w:rsidRPr="0098635C" w:rsidRDefault="008D1AE9" w:rsidP="00AF385A">
            <w:pPr>
              <w:pStyle w:val="NoteLevel211"/>
              <w:rPr>
                <w:color w:val="000000" w:themeColor="text1"/>
                <w:lang w:eastAsia="en-US"/>
              </w:rPr>
            </w:pPr>
            <w:bookmarkStart w:id="671" w:name="_Toc471999664"/>
            <w:bookmarkStart w:id="672" w:name="_Toc472251107"/>
            <w:r w:rsidRPr="0098635C">
              <w:rPr>
                <w:color w:val="000000" w:themeColor="text1"/>
                <w:lang w:eastAsia="en-US"/>
              </w:rPr>
              <w:t>GSD</w:t>
            </w:r>
            <w:bookmarkEnd w:id="671"/>
            <w:bookmarkEnd w:id="672"/>
          </w:p>
        </w:tc>
        <w:tc>
          <w:tcPr>
            <w:tcW w:w="3430" w:type="dxa"/>
            <w:gridSpan w:val="2"/>
          </w:tcPr>
          <w:p w14:paraId="22D401A9" w14:textId="77777777" w:rsidR="008D1AE9" w:rsidRPr="0098635C" w:rsidRDefault="008D1AE9" w:rsidP="00AF385A">
            <w:pPr>
              <w:pStyle w:val="NoteLevel211"/>
              <w:rPr>
                <w:color w:val="000000" w:themeColor="text1"/>
                <w:lang w:eastAsia="en-US"/>
              </w:rPr>
            </w:pPr>
            <w:bookmarkStart w:id="673" w:name="_Toc471999665"/>
            <w:bookmarkStart w:id="674" w:name="_Toc472251108"/>
            <w:r w:rsidRPr="0098635C">
              <w:rPr>
                <w:color w:val="000000" w:themeColor="text1"/>
                <w:lang w:eastAsia="en-US"/>
              </w:rPr>
              <w:t>2.0</w:t>
            </w:r>
            <w:bookmarkEnd w:id="673"/>
            <w:bookmarkEnd w:id="674"/>
          </w:p>
        </w:tc>
      </w:tr>
      <w:tr w:rsidR="008D1AE9" w:rsidRPr="0098635C" w14:paraId="0BC6F663" w14:textId="77777777" w:rsidTr="00F67B0C">
        <w:trPr>
          <w:jc w:val="center"/>
        </w:trPr>
        <w:tc>
          <w:tcPr>
            <w:tcW w:w="2235" w:type="dxa"/>
          </w:tcPr>
          <w:p w14:paraId="3AD1BFA4" w14:textId="77777777" w:rsidR="008D1AE9" w:rsidRPr="0098635C" w:rsidRDefault="008D1AE9" w:rsidP="00AF385A">
            <w:pPr>
              <w:pStyle w:val="NoteLevel211"/>
              <w:rPr>
                <w:color w:val="000000" w:themeColor="text1"/>
                <w:lang w:eastAsia="en-US"/>
              </w:rPr>
            </w:pPr>
            <w:bookmarkStart w:id="675" w:name="_Toc471999666"/>
            <w:bookmarkStart w:id="676" w:name="_Toc472251109"/>
            <w:r w:rsidRPr="0098635C">
              <w:rPr>
                <w:color w:val="000000" w:themeColor="text1"/>
                <w:lang w:eastAsia="en-US"/>
              </w:rPr>
              <w:lastRenderedPageBreak/>
              <w:t>Exposure conditions</w:t>
            </w:r>
            <w:bookmarkEnd w:id="675"/>
            <w:bookmarkEnd w:id="676"/>
          </w:p>
        </w:tc>
        <w:tc>
          <w:tcPr>
            <w:tcW w:w="3430" w:type="dxa"/>
            <w:gridSpan w:val="2"/>
          </w:tcPr>
          <w:p w14:paraId="1BB1B705" w14:textId="77777777" w:rsidR="008D1AE9" w:rsidRPr="0098635C" w:rsidRDefault="008D1AE9" w:rsidP="00AF385A">
            <w:pPr>
              <w:pStyle w:val="NoteLevel211"/>
              <w:rPr>
                <w:color w:val="000000" w:themeColor="text1"/>
                <w:lang w:eastAsia="en-US"/>
              </w:rPr>
            </w:pPr>
            <w:bookmarkStart w:id="677" w:name="_Toc471999667"/>
            <w:bookmarkStart w:id="678" w:name="_Toc472251110"/>
            <w:r w:rsidRPr="0098635C">
              <w:rPr>
                <w:color w:val="000000" w:themeColor="text1"/>
                <w:lang w:eastAsia="en-US"/>
              </w:rPr>
              <w:t>Constant</w:t>
            </w:r>
            <w:bookmarkEnd w:id="677"/>
            <w:bookmarkEnd w:id="678"/>
          </w:p>
        </w:tc>
      </w:tr>
      <w:tr w:rsidR="008D1AE9" w:rsidRPr="0098635C" w14:paraId="4B3D510A" w14:textId="77777777" w:rsidTr="00F67B0C">
        <w:trPr>
          <w:jc w:val="center"/>
        </w:trPr>
        <w:tc>
          <w:tcPr>
            <w:tcW w:w="2235" w:type="dxa"/>
          </w:tcPr>
          <w:p w14:paraId="6AE6F6F3" w14:textId="77777777" w:rsidR="008D1AE9" w:rsidRPr="0098635C" w:rsidRDefault="008D1AE9" w:rsidP="00AF385A">
            <w:pPr>
              <w:pStyle w:val="NoteLevel211"/>
              <w:rPr>
                <w:color w:val="000000" w:themeColor="text1"/>
                <w:lang w:eastAsia="en-US"/>
              </w:rPr>
            </w:pPr>
            <w:bookmarkStart w:id="679" w:name="_Toc471999668"/>
            <w:bookmarkStart w:id="680" w:name="_Toc472251111"/>
            <w:r w:rsidRPr="0098635C">
              <w:rPr>
                <w:color w:val="000000" w:themeColor="text1"/>
                <w:lang w:eastAsia="en-US"/>
              </w:rPr>
              <w:t>Aerosol concentration</w:t>
            </w:r>
            <w:bookmarkEnd w:id="679"/>
            <w:bookmarkEnd w:id="680"/>
          </w:p>
        </w:tc>
        <w:tc>
          <w:tcPr>
            <w:tcW w:w="3430" w:type="dxa"/>
            <w:gridSpan w:val="2"/>
          </w:tcPr>
          <w:p w14:paraId="399CB0F4" w14:textId="77777777" w:rsidR="008D1AE9" w:rsidRPr="0098635C" w:rsidRDefault="008D1AE9" w:rsidP="00AF385A">
            <w:pPr>
              <w:pStyle w:val="NoteLevel211"/>
              <w:rPr>
                <w:color w:val="000000" w:themeColor="text1"/>
                <w:lang w:eastAsia="en-US"/>
              </w:rPr>
            </w:pPr>
            <w:bookmarkStart w:id="681" w:name="_Toc471999669"/>
            <w:bookmarkStart w:id="682" w:name="_Toc472251112"/>
            <w:r w:rsidRPr="0098635C">
              <w:rPr>
                <w:color w:val="000000" w:themeColor="text1"/>
                <w:lang w:eastAsia="en-US"/>
              </w:rPr>
              <w:t>1000 µg/m</w:t>
            </w:r>
            <w:bookmarkEnd w:id="681"/>
            <w:bookmarkEnd w:id="682"/>
          </w:p>
        </w:tc>
      </w:tr>
      <w:tr w:rsidR="008D1AE9" w:rsidRPr="0098635C" w14:paraId="74E19E73" w14:textId="77777777" w:rsidTr="00F67B0C">
        <w:trPr>
          <w:jc w:val="center"/>
        </w:trPr>
        <w:tc>
          <w:tcPr>
            <w:tcW w:w="2235" w:type="dxa"/>
          </w:tcPr>
          <w:p w14:paraId="0A5AC2A7" w14:textId="77777777" w:rsidR="008D1AE9" w:rsidRPr="0098635C" w:rsidRDefault="008D1AE9" w:rsidP="00AF385A">
            <w:pPr>
              <w:pStyle w:val="NoteLevel211"/>
              <w:rPr>
                <w:color w:val="000000" w:themeColor="text1"/>
                <w:lang w:eastAsia="en-US"/>
              </w:rPr>
            </w:pPr>
            <w:bookmarkStart w:id="683" w:name="_Toc471999670"/>
            <w:bookmarkStart w:id="684" w:name="_Toc472251113"/>
            <w:r w:rsidRPr="0098635C">
              <w:rPr>
                <w:color w:val="000000" w:themeColor="text1"/>
                <w:lang w:eastAsia="en-US"/>
              </w:rPr>
              <w:t>Breathing mode</w:t>
            </w:r>
            <w:bookmarkEnd w:id="683"/>
            <w:bookmarkEnd w:id="684"/>
          </w:p>
        </w:tc>
        <w:tc>
          <w:tcPr>
            <w:tcW w:w="3430" w:type="dxa"/>
            <w:gridSpan w:val="2"/>
          </w:tcPr>
          <w:p w14:paraId="56EA4839" w14:textId="77777777" w:rsidR="008D1AE9" w:rsidRPr="0098635C" w:rsidRDefault="008D1AE9" w:rsidP="00AF385A">
            <w:pPr>
              <w:pStyle w:val="NoteLevel211"/>
              <w:rPr>
                <w:color w:val="000000" w:themeColor="text1"/>
                <w:lang w:eastAsia="en-US"/>
              </w:rPr>
            </w:pPr>
            <w:bookmarkStart w:id="685" w:name="_Toc471999671"/>
            <w:bookmarkStart w:id="686" w:name="_Toc472251114"/>
            <w:r w:rsidRPr="0098635C">
              <w:rPr>
                <w:color w:val="000000" w:themeColor="text1"/>
                <w:lang w:eastAsia="en-US"/>
              </w:rPr>
              <w:t>Oronasal normal augmenter</w:t>
            </w:r>
            <w:bookmarkEnd w:id="685"/>
            <w:bookmarkEnd w:id="686"/>
          </w:p>
        </w:tc>
      </w:tr>
      <w:tr w:rsidR="008D1AE9" w:rsidRPr="0098635C" w14:paraId="50081AAA" w14:textId="77777777" w:rsidTr="00F67B0C">
        <w:trPr>
          <w:jc w:val="center"/>
        </w:trPr>
        <w:tc>
          <w:tcPr>
            <w:tcW w:w="2235" w:type="dxa"/>
          </w:tcPr>
          <w:p w14:paraId="0E88A9A0" w14:textId="77777777" w:rsidR="008D1AE9" w:rsidRPr="0098635C" w:rsidRDefault="008D1AE9" w:rsidP="00AF385A">
            <w:pPr>
              <w:pStyle w:val="NoteLevel211"/>
              <w:rPr>
                <w:color w:val="000000" w:themeColor="text1"/>
                <w:lang w:eastAsia="en-US"/>
              </w:rPr>
            </w:pPr>
            <w:bookmarkStart w:id="687" w:name="_Toc471999672"/>
            <w:bookmarkStart w:id="688" w:name="_Toc472251115"/>
            <w:r w:rsidRPr="0098635C">
              <w:rPr>
                <w:color w:val="000000" w:themeColor="text1"/>
                <w:lang w:eastAsia="en-US"/>
              </w:rPr>
              <w:t>Shift breathing volume</w:t>
            </w:r>
            <w:bookmarkEnd w:id="687"/>
            <w:bookmarkEnd w:id="688"/>
          </w:p>
        </w:tc>
        <w:tc>
          <w:tcPr>
            <w:tcW w:w="3430" w:type="dxa"/>
            <w:gridSpan w:val="2"/>
          </w:tcPr>
          <w:p w14:paraId="2BE01EBE" w14:textId="77777777" w:rsidR="008D1AE9" w:rsidRPr="0098635C" w:rsidRDefault="008D1AE9" w:rsidP="00AF385A">
            <w:pPr>
              <w:pStyle w:val="NoteLevel211"/>
              <w:rPr>
                <w:color w:val="000000" w:themeColor="text1"/>
                <w:lang w:eastAsia="en-US"/>
              </w:rPr>
            </w:pPr>
            <w:bookmarkStart w:id="689" w:name="_Toc471999673"/>
            <w:bookmarkStart w:id="690" w:name="_Toc472251116"/>
            <w:r w:rsidRPr="0098635C">
              <w:rPr>
                <w:color w:val="000000" w:themeColor="text1"/>
                <w:lang w:eastAsia="en-US"/>
              </w:rPr>
              <w:t>10m/8h*</w:t>
            </w:r>
            <w:bookmarkEnd w:id="689"/>
            <w:bookmarkEnd w:id="690"/>
          </w:p>
        </w:tc>
      </w:tr>
      <w:tr w:rsidR="008D1AE9" w:rsidRPr="0098635C" w14:paraId="5BC7BE33" w14:textId="77777777" w:rsidTr="00F67B0C">
        <w:trPr>
          <w:jc w:val="center"/>
        </w:trPr>
        <w:tc>
          <w:tcPr>
            <w:tcW w:w="2235" w:type="dxa"/>
          </w:tcPr>
          <w:p w14:paraId="61F3DC13" w14:textId="77777777" w:rsidR="008D1AE9" w:rsidRPr="0098635C" w:rsidRDefault="008D1AE9" w:rsidP="00AF385A">
            <w:pPr>
              <w:pStyle w:val="NoteLevel211"/>
              <w:rPr>
                <w:color w:val="000000" w:themeColor="text1"/>
                <w:lang w:eastAsia="en-US"/>
              </w:rPr>
            </w:pPr>
            <w:bookmarkStart w:id="691" w:name="_Toc471999674"/>
            <w:bookmarkStart w:id="692" w:name="_Toc472251117"/>
            <w:r w:rsidRPr="0098635C">
              <w:rPr>
                <w:color w:val="000000" w:themeColor="text1"/>
                <w:lang w:eastAsia="en-US"/>
              </w:rPr>
              <w:t>Breathing frequency</w:t>
            </w:r>
            <w:bookmarkEnd w:id="691"/>
            <w:bookmarkEnd w:id="692"/>
          </w:p>
        </w:tc>
        <w:tc>
          <w:tcPr>
            <w:tcW w:w="3430" w:type="dxa"/>
            <w:gridSpan w:val="2"/>
          </w:tcPr>
          <w:p w14:paraId="634EA974" w14:textId="77777777" w:rsidR="008D1AE9" w:rsidRPr="0098635C" w:rsidRDefault="008D1AE9" w:rsidP="00AF385A">
            <w:pPr>
              <w:pStyle w:val="NoteLevel211"/>
              <w:rPr>
                <w:color w:val="000000" w:themeColor="text1"/>
                <w:lang w:eastAsia="en-US"/>
              </w:rPr>
            </w:pPr>
            <w:bookmarkStart w:id="693" w:name="_Toc471999675"/>
            <w:bookmarkStart w:id="694" w:name="_Toc472251118"/>
            <w:r w:rsidRPr="0098635C">
              <w:rPr>
                <w:color w:val="000000" w:themeColor="text1"/>
                <w:lang w:eastAsia="en-US"/>
              </w:rPr>
              <w:t>18 breaths/min</w:t>
            </w:r>
            <w:bookmarkEnd w:id="693"/>
            <w:bookmarkEnd w:id="694"/>
          </w:p>
        </w:tc>
      </w:tr>
      <w:tr w:rsidR="008D1AE9" w:rsidRPr="0098635C" w14:paraId="0FFAA796" w14:textId="77777777" w:rsidTr="00F67B0C">
        <w:trPr>
          <w:jc w:val="center"/>
        </w:trPr>
        <w:tc>
          <w:tcPr>
            <w:tcW w:w="2235" w:type="dxa"/>
          </w:tcPr>
          <w:p w14:paraId="18D89C6C" w14:textId="60CE9658" w:rsidR="008D1AE9" w:rsidRPr="0098635C" w:rsidRDefault="008D1AE9" w:rsidP="00AF385A">
            <w:pPr>
              <w:pStyle w:val="NoteLevel211"/>
              <w:rPr>
                <w:color w:val="000000" w:themeColor="text1"/>
                <w:lang w:eastAsia="en-US"/>
              </w:rPr>
            </w:pPr>
            <w:bookmarkStart w:id="695" w:name="_Toc471999676"/>
            <w:bookmarkStart w:id="696" w:name="_Toc472251119"/>
            <w:r w:rsidRPr="0098635C">
              <w:rPr>
                <w:color w:val="000000" w:themeColor="text1"/>
                <w:lang w:eastAsia="en-US"/>
              </w:rPr>
              <w:t>Tidal volume</w:t>
            </w:r>
            <w:bookmarkEnd w:id="695"/>
            <w:bookmarkEnd w:id="696"/>
          </w:p>
        </w:tc>
        <w:tc>
          <w:tcPr>
            <w:tcW w:w="3430" w:type="dxa"/>
            <w:gridSpan w:val="2"/>
          </w:tcPr>
          <w:p w14:paraId="48F5924E" w14:textId="77777777" w:rsidR="008D1AE9" w:rsidRPr="0098635C" w:rsidRDefault="008D1AE9" w:rsidP="00AF385A">
            <w:pPr>
              <w:pStyle w:val="NoteLevel211"/>
              <w:rPr>
                <w:color w:val="000000" w:themeColor="text1"/>
                <w:lang w:eastAsia="en-US"/>
              </w:rPr>
            </w:pPr>
            <w:bookmarkStart w:id="697" w:name="_Toc471999677"/>
            <w:bookmarkStart w:id="698" w:name="_Toc472251120"/>
            <w:r w:rsidRPr="0098635C">
              <w:rPr>
                <w:color w:val="000000" w:themeColor="text1"/>
                <w:lang w:eastAsia="en-US"/>
              </w:rPr>
              <w:t>1150 ml</w:t>
            </w:r>
            <w:bookmarkEnd w:id="697"/>
            <w:bookmarkEnd w:id="698"/>
          </w:p>
        </w:tc>
      </w:tr>
    </w:tbl>
    <w:p w14:paraId="39C8CAFB" w14:textId="77777777" w:rsidR="0048420A" w:rsidRPr="0098635C" w:rsidRDefault="0048420A" w:rsidP="008D1AE9">
      <w:pPr>
        <w:rPr>
          <w:color w:val="000000" w:themeColor="text1"/>
          <w:sz w:val="20"/>
          <w:szCs w:val="20"/>
        </w:rPr>
      </w:pPr>
      <w:r w:rsidRPr="0098635C">
        <w:rPr>
          <w:color w:val="000000" w:themeColor="text1"/>
          <w:sz w:val="20"/>
          <w:szCs w:val="20"/>
        </w:rPr>
        <w:t xml:space="preserve">* Occup. breathing volume defined by ICRP as 9.6m/h shift, composed of 7h light exercise, plus 1h heavy exercise </w:t>
      </w:r>
    </w:p>
    <w:p w14:paraId="7D216CFE" w14:textId="0A316734" w:rsidR="008D1AE9" w:rsidRPr="0098635C" w:rsidRDefault="008D1AE9" w:rsidP="008D1AE9">
      <w:pPr>
        <w:rPr>
          <w:color w:val="000000" w:themeColor="text1"/>
          <w:sz w:val="20"/>
          <w:szCs w:val="20"/>
        </w:rPr>
      </w:pPr>
      <w:r w:rsidRPr="0098635C">
        <w:rPr>
          <w:color w:val="000000" w:themeColor="text1"/>
          <w:sz w:val="20"/>
          <w:szCs w:val="20"/>
        </w:rPr>
        <w:t xml:space="preserve">Copper deposited in the alveolar region was assumed to be 100% absorbed (conservative default), and copper deposited in the upper respiratory tracts (ET and TB fractions) was assumed to be translocated to the gut (an overestimation, other clearance mechanisms such as expulsion are more relevant there). Based on these data and the information provided in </w:t>
      </w:r>
      <w:r w:rsidR="00E230FB" w:rsidRPr="0098635C">
        <w:rPr>
          <w:color w:val="000000" w:themeColor="text1"/>
          <w:sz w:val="20"/>
          <w:szCs w:val="20"/>
        </w:rPr>
        <w:fldChar w:fldCharType="begin"/>
      </w:r>
      <w:r w:rsidR="00800666" w:rsidRPr="0098635C">
        <w:rPr>
          <w:color w:val="000000" w:themeColor="text1"/>
          <w:sz w:val="20"/>
          <w:szCs w:val="20"/>
        </w:rPr>
        <w:instrText xml:space="preserve"> REF _Ref259960843 \h </w:instrText>
      </w:r>
      <w:r w:rsidR="00EB22BF" w:rsidRPr="0098635C">
        <w:rPr>
          <w:color w:val="000000" w:themeColor="text1"/>
          <w:sz w:val="20"/>
          <w:szCs w:val="20"/>
        </w:rPr>
        <w:instrText xml:space="preserve"> \* MERGEFORMAT </w:instrText>
      </w:r>
      <w:r w:rsidR="00E230FB" w:rsidRPr="0098635C">
        <w:rPr>
          <w:color w:val="000000" w:themeColor="text1"/>
          <w:sz w:val="20"/>
          <w:szCs w:val="20"/>
        </w:rPr>
      </w:r>
      <w:r w:rsidR="00E230FB" w:rsidRPr="0098635C">
        <w:rPr>
          <w:color w:val="000000" w:themeColor="text1"/>
          <w:sz w:val="20"/>
          <w:szCs w:val="20"/>
        </w:rPr>
        <w:fldChar w:fldCharType="separate"/>
      </w:r>
      <w:r w:rsidR="00690E61" w:rsidRPr="0098635C">
        <w:rPr>
          <w:color w:val="000000" w:themeColor="text1"/>
          <w:sz w:val="20"/>
          <w:szCs w:val="20"/>
        </w:rPr>
        <w:t xml:space="preserve">Table </w:t>
      </w:r>
      <w:r w:rsidR="00690E61" w:rsidRPr="0098635C">
        <w:rPr>
          <w:noProof/>
          <w:color w:val="000000" w:themeColor="text1"/>
          <w:sz w:val="20"/>
          <w:szCs w:val="20"/>
        </w:rPr>
        <w:t>8</w:t>
      </w:r>
      <w:r w:rsidR="00E230FB" w:rsidRPr="0098635C">
        <w:rPr>
          <w:color w:val="000000" w:themeColor="text1"/>
          <w:sz w:val="20"/>
          <w:szCs w:val="20"/>
        </w:rPr>
        <w:fldChar w:fldCharType="end"/>
      </w:r>
      <w:r w:rsidRPr="0098635C">
        <w:rPr>
          <w:color w:val="000000" w:themeColor="text1"/>
          <w:sz w:val="20"/>
          <w:szCs w:val="20"/>
        </w:rPr>
        <w:t xml:space="preserve">, the MPPD model was used to predict fractional deposition </w:t>
      </w:r>
      <w:r w:rsidR="00C36182" w:rsidRPr="0098635C">
        <w:rPr>
          <w:color w:val="000000" w:themeColor="text1"/>
          <w:sz w:val="20"/>
          <w:szCs w:val="20"/>
        </w:rPr>
        <w:t>behavio</w:t>
      </w:r>
      <w:r w:rsidR="008C5286" w:rsidRPr="0098635C">
        <w:rPr>
          <w:color w:val="000000" w:themeColor="text1"/>
          <w:sz w:val="20"/>
          <w:szCs w:val="20"/>
        </w:rPr>
        <w:t>ur</w:t>
      </w:r>
      <w:r w:rsidRPr="0098635C">
        <w:rPr>
          <w:color w:val="000000" w:themeColor="text1"/>
          <w:sz w:val="20"/>
          <w:szCs w:val="20"/>
        </w:rPr>
        <w:t xml:space="preserve"> in the human respiratory tract for workers. </w:t>
      </w:r>
    </w:p>
    <w:p w14:paraId="74D21783" w14:textId="0CF4DCD3" w:rsidR="007B628C" w:rsidRPr="0098635C" w:rsidRDefault="008D1AE9" w:rsidP="00F67B0C">
      <w:pPr>
        <w:pStyle w:val="Caption"/>
        <w:keepLines/>
        <w:spacing w:before="0" w:after="0"/>
        <w:ind w:left="0"/>
        <w:jc w:val="center"/>
        <w:rPr>
          <w:b w:val="0"/>
          <w:color w:val="000000" w:themeColor="text1"/>
          <w:sz w:val="20"/>
          <w:lang w:val="en-GB"/>
        </w:rPr>
      </w:pPr>
      <w:bookmarkStart w:id="699" w:name="_Ref259960843"/>
      <w:bookmarkStart w:id="700" w:name="_Toc260323657"/>
      <w:r w:rsidRPr="0098635C">
        <w:rPr>
          <w:b w:val="0"/>
          <w:color w:val="000000" w:themeColor="text1"/>
          <w:sz w:val="20"/>
          <w:lang w:val="en-GB"/>
        </w:rPr>
        <w:t xml:space="preserve">Table </w:t>
      </w:r>
      <w:r w:rsidR="00E230FB" w:rsidRPr="0098635C">
        <w:rPr>
          <w:b w:val="0"/>
          <w:color w:val="000000" w:themeColor="text1"/>
          <w:sz w:val="20"/>
          <w:lang w:val="en-GB"/>
        </w:rPr>
        <w:fldChar w:fldCharType="begin"/>
      </w:r>
      <w:r w:rsidRPr="0098635C">
        <w:rPr>
          <w:b w:val="0"/>
          <w:color w:val="000000" w:themeColor="text1"/>
          <w:sz w:val="20"/>
          <w:lang w:val="en-GB"/>
        </w:rPr>
        <w:instrText xml:space="preserve"> SEQ Table \* ARABIC </w:instrText>
      </w:r>
      <w:r w:rsidR="00E230FB" w:rsidRPr="0098635C">
        <w:rPr>
          <w:b w:val="0"/>
          <w:color w:val="000000" w:themeColor="text1"/>
          <w:sz w:val="20"/>
          <w:lang w:val="en-GB"/>
        </w:rPr>
        <w:fldChar w:fldCharType="separate"/>
      </w:r>
      <w:r w:rsidR="00690E61" w:rsidRPr="0098635C">
        <w:rPr>
          <w:b w:val="0"/>
          <w:noProof/>
          <w:color w:val="000000" w:themeColor="text1"/>
          <w:sz w:val="20"/>
          <w:lang w:val="en-GB"/>
        </w:rPr>
        <w:t>8</w:t>
      </w:r>
      <w:r w:rsidR="00E230FB" w:rsidRPr="0098635C">
        <w:rPr>
          <w:b w:val="0"/>
          <w:color w:val="000000" w:themeColor="text1"/>
          <w:sz w:val="20"/>
          <w:lang w:val="en-GB"/>
        </w:rPr>
        <w:fldChar w:fldCharType="end"/>
      </w:r>
      <w:bookmarkEnd w:id="699"/>
      <w:r w:rsidRPr="0098635C">
        <w:rPr>
          <w:b w:val="0"/>
          <w:color w:val="000000" w:themeColor="text1"/>
          <w:sz w:val="20"/>
          <w:lang w:val="en-GB"/>
        </w:rPr>
        <w:t>: MPPD model predictions of deposition behaviour in the respiratory tract, and</w:t>
      </w:r>
      <w:r w:rsidR="007B628C" w:rsidRPr="0098635C">
        <w:rPr>
          <w:b w:val="0"/>
          <w:color w:val="000000" w:themeColor="text1"/>
          <w:sz w:val="20"/>
          <w:lang w:val="en-GB"/>
        </w:rPr>
        <w:t xml:space="preserve"> </w:t>
      </w:r>
      <w:r w:rsidRPr="0098635C">
        <w:rPr>
          <w:b w:val="0"/>
          <w:color w:val="000000" w:themeColor="text1"/>
          <w:sz w:val="20"/>
          <w:lang w:val="en-GB"/>
        </w:rPr>
        <w:t>derivation of proposed inhalation absorption factors for five different copper compounds using the particle size distribution data collected in the dustiness test</w:t>
      </w:r>
      <w:bookmarkEnd w:id="700"/>
      <w:r w:rsidR="003C2F99" w:rsidRPr="0098635C">
        <w:rPr>
          <w:b w:val="0"/>
          <w:color w:val="000000" w:themeColor="text1"/>
          <w:sz w:val="20"/>
          <w:lang w:val="en-GB"/>
        </w:rPr>
        <w:t>.</w:t>
      </w:r>
    </w:p>
    <w:p w14:paraId="2A8C6F50" w14:textId="4BE57F90" w:rsidR="00E60AEA" w:rsidRPr="0098635C" w:rsidRDefault="003C2F99" w:rsidP="00F67B0C">
      <w:pPr>
        <w:pStyle w:val="Caption"/>
        <w:keepLines/>
        <w:spacing w:before="0"/>
        <w:ind w:left="0"/>
        <w:jc w:val="center"/>
        <w:rPr>
          <w:rFonts w:ascii="Times New Roman" w:hAnsi="Times New Roman"/>
          <w:b w:val="0"/>
          <w:color w:val="000000" w:themeColor="text1"/>
          <w:sz w:val="20"/>
          <w:lang w:val="en-GB"/>
        </w:rPr>
      </w:pPr>
      <w:r w:rsidRPr="0098635C">
        <w:rPr>
          <w:rFonts w:ascii="Times New Roman" w:hAnsi="Times New Roman"/>
          <w:b w:val="0"/>
          <w:color w:val="000000" w:themeColor="text1"/>
          <w:sz w:val="20"/>
          <w:lang w:val="en-GB"/>
        </w:rPr>
        <w:t>ET =E</w:t>
      </w:r>
      <w:r w:rsidRPr="0098635C">
        <w:rPr>
          <w:rFonts w:ascii="Times New Roman" w:hAnsi="Times New Roman"/>
          <w:b w:val="0"/>
          <w:color w:val="000000" w:themeColor="text1"/>
          <w:sz w:val="20"/>
        </w:rPr>
        <w:t>xtrathoracic</w:t>
      </w:r>
      <w:r w:rsidRPr="0098635C">
        <w:rPr>
          <w:rFonts w:ascii="Times New Roman" w:hAnsi="Times New Roman"/>
          <w:b w:val="0"/>
          <w:color w:val="000000" w:themeColor="text1"/>
          <w:sz w:val="20"/>
          <w:lang w:val="en-GB"/>
        </w:rPr>
        <w:t>; TB=</w:t>
      </w:r>
      <w:r w:rsidRPr="0098635C">
        <w:rPr>
          <w:rFonts w:ascii="Times New Roman" w:hAnsi="Times New Roman"/>
          <w:b w:val="0"/>
          <w:color w:val="000000" w:themeColor="text1"/>
          <w:sz w:val="20"/>
        </w:rPr>
        <w:t xml:space="preserve"> Tracheobronchial</w:t>
      </w:r>
      <w:r w:rsidRPr="0098635C">
        <w:rPr>
          <w:rFonts w:ascii="Times New Roman" w:hAnsi="Times New Roman"/>
          <w:b w:val="0"/>
          <w:color w:val="000000" w:themeColor="text1"/>
          <w:sz w:val="20"/>
          <w:lang w:val="en-GB"/>
        </w:rPr>
        <w:t>; PU=Pulmonary</w:t>
      </w:r>
    </w:p>
    <w:tbl>
      <w:tblPr>
        <w:tblStyle w:val="TableGrid"/>
        <w:tblW w:w="11057" w:type="dxa"/>
        <w:tblInd w:w="-856" w:type="dxa"/>
        <w:tblLayout w:type="fixed"/>
        <w:tblLook w:val="0000" w:firstRow="0" w:lastRow="0" w:firstColumn="0" w:lastColumn="0" w:noHBand="0" w:noVBand="0"/>
      </w:tblPr>
      <w:tblGrid>
        <w:gridCol w:w="3686"/>
        <w:gridCol w:w="1276"/>
        <w:gridCol w:w="938"/>
        <w:gridCol w:w="1134"/>
        <w:gridCol w:w="850"/>
        <w:gridCol w:w="709"/>
        <w:gridCol w:w="567"/>
        <w:gridCol w:w="709"/>
        <w:gridCol w:w="1188"/>
      </w:tblGrid>
      <w:tr w:rsidR="00591288" w:rsidRPr="0098635C" w14:paraId="588C9FC1" w14:textId="77777777" w:rsidTr="00F67B0C">
        <w:trPr>
          <w:trHeight w:val="385"/>
          <w:tblHeader/>
        </w:trPr>
        <w:tc>
          <w:tcPr>
            <w:tcW w:w="3686" w:type="dxa"/>
            <w:vMerge w:val="restart"/>
          </w:tcPr>
          <w:p w14:paraId="1033DF96" w14:textId="77777777" w:rsidR="00591288" w:rsidRPr="0098635C" w:rsidRDefault="00591288" w:rsidP="00AF385A">
            <w:pPr>
              <w:pStyle w:val="NoteLevel211"/>
              <w:keepNext/>
              <w:keepLines/>
              <w:rPr>
                <w:b/>
                <w:color w:val="000000" w:themeColor="text1"/>
              </w:rPr>
            </w:pPr>
            <w:bookmarkStart w:id="701" w:name="_Toc471999678"/>
            <w:bookmarkStart w:id="702" w:name="_Toc472251121"/>
            <w:r w:rsidRPr="0098635C">
              <w:rPr>
                <w:b/>
                <w:color w:val="000000" w:themeColor="text1"/>
              </w:rPr>
              <w:t>Substance</w:t>
            </w:r>
            <w:bookmarkEnd w:id="701"/>
            <w:bookmarkEnd w:id="702"/>
          </w:p>
        </w:tc>
        <w:tc>
          <w:tcPr>
            <w:tcW w:w="1276" w:type="dxa"/>
            <w:vMerge w:val="restart"/>
          </w:tcPr>
          <w:p w14:paraId="31153863" w14:textId="5C133017" w:rsidR="00591288" w:rsidRPr="0098635C" w:rsidRDefault="00591288" w:rsidP="00AF385A">
            <w:pPr>
              <w:pStyle w:val="NoteLevel211"/>
              <w:keepNext/>
              <w:keepLines/>
              <w:rPr>
                <w:b/>
                <w:color w:val="000000" w:themeColor="text1"/>
              </w:rPr>
            </w:pPr>
            <w:bookmarkStart w:id="703" w:name="_Toc471999679"/>
            <w:bookmarkStart w:id="704" w:name="_Toc472251122"/>
            <w:r w:rsidRPr="0098635C">
              <w:rPr>
                <w:b/>
                <w:color w:val="000000" w:themeColor="text1"/>
              </w:rPr>
              <w:t>CAS</w:t>
            </w:r>
            <w:bookmarkEnd w:id="703"/>
            <w:bookmarkEnd w:id="704"/>
          </w:p>
        </w:tc>
        <w:tc>
          <w:tcPr>
            <w:tcW w:w="938" w:type="dxa"/>
            <w:vMerge w:val="restart"/>
          </w:tcPr>
          <w:p w14:paraId="1620FEF7" w14:textId="77777777" w:rsidR="00591288" w:rsidRPr="0098635C" w:rsidRDefault="00591288" w:rsidP="00AF385A">
            <w:pPr>
              <w:pStyle w:val="NoteLevel211"/>
              <w:keepNext/>
              <w:keepLines/>
              <w:rPr>
                <w:b/>
                <w:color w:val="000000" w:themeColor="text1"/>
              </w:rPr>
            </w:pPr>
            <w:bookmarkStart w:id="705" w:name="_Toc471999680"/>
            <w:bookmarkStart w:id="706" w:name="_Toc472251123"/>
            <w:r w:rsidRPr="0098635C">
              <w:rPr>
                <w:b/>
                <w:color w:val="000000" w:themeColor="text1"/>
              </w:rPr>
              <w:t>rel. density [g/cm³]</w:t>
            </w:r>
            <w:bookmarkEnd w:id="705"/>
            <w:bookmarkEnd w:id="706"/>
          </w:p>
        </w:tc>
        <w:tc>
          <w:tcPr>
            <w:tcW w:w="1134" w:type="dxa"/>
            <w:vMerge w:val="restart"/>
          </w:tcPr>
          <w:p w14:paraId="0AE20AC6" w14:textId="77777777" w:rsidR="00591288" w:rsidRPr="0098635C" w:rsidRDefault="00591288" w:rsidP="00AF385A">
            <w:pPr>
              <w:pStyle w:val="NoteLevel211"/>
              <w:keepNext/>
              <w:keepLines/>
              <w:rPr>
                <w:b/>
                <w:color w:val="000000" w:themeColor="text1"/>
              </w:rPr>
            </w:pPr>
            <w:bookmarkStart w:id="707" w:name="_Toc471999681"/>
            <w:bookmarkStart w:id="708" w:name="_Toc472251124"/>
            <w:r w:rsidRPr="0098635C">
              <w:rPr>
                <w:b/>
                <w:color w:val="000000" w:themeColor="text1"/>
              </w:rPr>
              <w:t>D50 [µm]</w:t>
            </w:r>
            <w:r w:rsidRPr="0098635C">
              <w:rPr>
                <w:b/>
                <w:color w:val="000000" w:themeColor="text1"/>
              </w:rPr>
              <w:br/>
              <w:t>MMAD</w:t>
            </w:r>
            <w:r w:rsidRPr="0098635C">
              <w:rPr>
                <w:b/>
                <w:color w:val="000000" w:themeColor="text1"/>
                <w:vertAlign w:val="superscript"/>
              </w:rPr>
              <w:t>(1)</w:t>
            </w:r>
            <w:bookmarkEnd w:id="707"/>
            <w:bookmarkEnd w:id="708"/>
          </w:p>
        </w:tc>
        <w:tc>
          <w:tcPr>
            <w:tcW w:w="850" w:type="dxa"/>
            <w:vMerge w:val="restart"/>
          </w:tcPr>
          <w:p w14:paraId="1CC3F485" w14:textId="77777777" w:rsidR="00591288" w:rsidRPr="0098635C" w:rsidRDefault="00591288" w:rsidP="00AF385A">
            <w:pPr>
              <w:pStyle w:val="NoteLevel211"/>
              <w:keepNext/>
              <w:keepLines/>
              <w:rPr>
                <w:b/>
                <w:color w:val="000000" w:themeColor="text1"/>
              </w:rPr>
            </w:pPr>
            <w:bookmarkStart w:id="709" w:name="_Toc471999682"/>
            <w:bookmarkStart w:id="710" w:name="_Toc472251125"/>
            <w:r w:rsidRPr="0098635C">
              <w:rPr>
                <w:b/>
                <w:color w:val="000000" w:themeColor="text1"/>
              </w:rPr>
              <w:t>D50</w:t>
            </w:r>
            <w:r w:rsidRPr="0098635C">
              <w:rPr>
                <w:b/>
                <w:color w:val="000000" w:themeColor="text1"/>
              </w:rPr>
              <w:br/>
              <w:t>GSD</w:t>
            </w:r>
            <w:r w:rsidRPr="0098635C">
              <w:rPr>
                <w:b/>
                <w:color w:val="000000" w:themeColor="text1"/>
                <w:vertAlign w:val="superscript"/>
              </w:rPr>
              <w:t>(1)</w:t>
            </w:r>
            <w:bookmarkEnd w:id="709"/>
            <w:bookmarkEnd w:id="710"/>
          </w:p>
        </w:tc>
        <w:tc>
          <w:tcPr>
            <w:tcW w:w="1985" w:type="dxa"/>
            <w:gridSpan w:val="3"/>
          </w:tcPr>
          <w:p w14:paraId="24885AB3" w14:textId="77777777" w:rsidR="00591288" w:rsidRPr="0098635C" w:rsidRDefault="00591288" w:rsidP="00AF385A">
            <w:pPr>
              <w:pStyle w:val="NoteLevel211"/>
              <w:keepNext/>
              <w:keepLines/>
              <w:rPr>
                <w:b/>
                <w:color w:val="000000" w:themeColor="text1"/>
              </w:rPr>
            </w:pPr>
            <w:bookmarkStart w:id="711" w:name="_Toc471999683"/>
            <w:bookmarkStart w:id="712" w:name="_Toc472251126"/>
            <w:r w:rsidRPr="0098635C">
              <w:rPr>
                <w:b/>
                <w:color w:val="000000" w:themeColor="text1"/>
              </w:rPr>
              <w:t>Predicted fractional deposition</w:t>
            </w:r>
            <w:bookmarkEnd w:id="711"/>
            <w:bookmarkEnd w:id="712"/>
          </w:p>
        </w:tc>
        <w:tc>
          <w:tcPr>
            <w:tcW w:w="1188" w:type="dxa"/>
            <w:vMerge w:val="restart"/>
          </w:tcPr>
          <w:p w14:paraId="1E0C4A57" w14:textId="77777777" w:rsidR="00591288" w:rsidRPr="0098635C" w:rsidRDefault="00591288" w:rsidP="00AF385A">
            <w:pPr>
              <w:pStyle w:val="NoteLevel211"/>
              <w:keepNext/>
              <w:keepLines/>
              <w:rPr>
                <w:b/>
                <w:color w:val="000000" w:themeColor="text1"/>
              </w:rPr>
            </w:pPr>
            <w:bookmarkStart w:id="713" w:name="_Toc471999684"/>
            <w:bookmarkStart w:id="714" w:name="_Toc472251127"/>
            <w:r w:rsidRPr="0098635C">
              <w:rPr>
                <w:b/>
                <w:color w:val="000000" w:themeColor="text1"/>
              </w:rPr>
              <w:t>Inhalation absorption</w:t>
            </w:r>
            <w:r w:rsidRPr="0098635C">
              <w:rPr>
                <w:b/>
                <w:color w:val="000000" w:themeColor="text1"/>
                <w:vertAlign w:val="superscript"/>
              </w:rPr>
              <w:t>(2)</w:t>
            </w:r>
            <w:r w:rsidRPr="0098635C">
              <w:rPr>
                <w:b/>
                <w:color w:val="000000" w:themeColor="text1"/>
              </w:rPr>
              <w:br/>
              <w:t>[%]</w:t>
            </w:r>
            <w:bookmarkEnd w:id="713"/>
            <w:bookmarkEnd w:id="714"/>
          </w:p>
        </w:tc>
      </w:tr>
      <w:tr w:rsidR="00591288" w:rsidRPr="0098635C" w14:paraId="01979A96" w14:textId="77777777" w:rsidTr="00F67B0C">
        <w:trPr>
          <w:trHeight w:val="385"/>
        </w:trPr>
        <w:tc>
          <w:tcPr>
            <w:tcW w:w="3686" w:type="dxa"/>
            <w:vMerge/>
          </w:tcPr>
          <w:p w14:paraId="25D99924" w14:textId="77777777" w:rsidR="00591288" w:rsidRPr="0098635C" w:rsidRDefault="00591288" w:rsidP="00AF385A">
            <w:pPr>
              <w:pStyle w:val="NoteLevel211"/>
              <w:keepNext/>
              <w:keepLines/>
              <w:rPr>
                <w:b/>
                <w:color w:val="000000" w:themeColor="text1"/>
              </w:rPr>
            </w:pPr>
          </w:p>
        </w:tc>
        <w:tc>
          <w:tcPr>
            <w:tcW w:w="1276" w:type="dxa"/>
            <w:vMerge/>
          </w:tcPr>
          <w:p w14:paraId="27D4AE61" w14:textId="21C2B096" w:rsidR="00591288" w:rsidRPr="0098635C" w:rsidRDefault="00591288" w:rsidP="00AF385A">
            <w:pPr>
              <w:pStyle w:val="NoteLevel211"/>
              <w:keepNext/>
              <w:keepLines/>
              <w:rPr>
                <w:b/>
                <w:color w:val="000000" w:themeColor="text1"/>
              </w:rPr>
            </w:pPr>
          </w:p>
        </w:tc>
        <w:tc>
          <w:tcPr>
            <w:tcW w:w="938" w:type="dxa"/>
            <w:vMerge/>
          </w:tcPr>
          <w:p w14:paraId="253290D6" w14:textId="77777777" w:rsidR="00591288" w:rsidRPr="0098635C" w:rsidRDefault="00591288" w:rsidP="00AF385A">
            <w:pPr>
              <w:pStyle w:val="NoteLevel211"/>
              <w:keepNext/>
              <w:keepLines/>
              <w:rPr>
                <w:b/>
                <w:color w:val="000000" w:themeColor="text1"/>
              </w:rPr>
            </w:pPr>
          </w:p>
        </w:tc>
        <w:tc>
          <w:tcPr>
            <w:tcW w:w="1134" w:type="dxa"/>
            <w:vMerge/>
          </w:tcPr>
          <w:p w14:paraId="1FEB342A" w14:textId="77777777" w:rsidR="00591288" w:rsidRPr="0098635C" w:rsidRDefault="00591288" w:rsidP="00AF385A">
            <w:pPr>
              <w:pStyle w:val="NoteLevel211"/>
              <w:keepNext/>
              <w:keepLines/>
              <w:rPr>
                <w:b/>
                <w:color w:val="000000" w:themeColor="text1"/>
              </w:rPr>
            </w:pPr>
          </w:p>
        </w:tc>
        <w:tc>
          <w:tcPr>
            <w:tcW w:w="850" w:type="dxa"/>
            <w:vMerge/>
          </w:tcPr>
          <w:p w14:paraId="1D3D019B" w14:textId="77777777" w:rsidR="00591288" w:rsidRPr="0098635C" w:rsidRDefault="00591288" w:rsidP="00AF385A">
            <w:pPr>
              <w:pStyle w:val="NoteLevel211"/>
              <w:keepNext/>
              <w:keepLines/>
              <w:rPr>
                <w:b/>
                <w:color w:val="000000" w:themeColor="text1"/>
              </w:rPr>
            </w:pPr>
          </w:p>
        </w:tc>
        <w:tc>
          <w:tcPr>
            <w:tcW w:w="709" w:type="dxa"/>
          </w:tcPr>
          <w:p w14:paraId="487362B0" w14:textId="77777777" w:rsidR="00591288" w:rsidRPr="0098635C" w:rsidRDefault="00591288" w:rsidP="00AF385A">
            <w:pPr>
              <w:pStyle w:val="NoteLevel211"/>
              <w:keepNext/>
              <w:keepLines/>
              <w:rPr>
                <w:b/>
                <w:color w:val="000000" w:themeColor="text1"/>
              </w:rPr>
            </w:pPr>
            <w:bookmarkStart w:id="715" w:name="_Toc471999685"/>
            <w:bookmarkStart w:id="716" w:name="_Toc472251128"/>
            <w:r w:rsidRPr="0098635C">
              <w:rPr>
                <w:b/>
                <w:color w:val="000000" w:themeColor="text1"/>
              </w:rPr>
              <w:t>ET</w:t>
            </w:r>
            <w:bookmarkEnd w:id="715"/>
            <w:bookmarkEnd w:id="716"/>
          </w:p>
        </w:tc>
        <w:tc>
          <w:tcPr>
            <w:tcW w:w="567" w:type="dxa"/>
          </w:tcPr>
          <w:p w14:paraId="0D9DC971" w14:textId="77777777" w:rsidR="00591288" w:rsidRPr="0098635C" w:rsidRDefault="00591288" w:rsidP="00AF385A">
            <w:pPr>
              <w:pStyle w:val="NoteLevel211"/>
              <w:keepNext/>
              <w:keepLines/>
              <w:rPr>
                <w:b/>
                <w:color w:val="000000" w:themeColor="text1"/>
              </w:rPr>
            </w:pPr>
            <w:bookmarkStart w:id="717" w:name="_Toc471999686"/>
            <w:bookmarkStart w:id="718" w:name="_Toc472251129"/>
            <w:r w:rsidRPr="0098635C">
              <w:rPr>
                <w:b/>
                <w:color w:val="000000" w:themeColor="text1"/>
              </w:rPr>
              <w:t>TB</w:t>
            </w:r>
            <w:bookmarkEnd w:id="717"/>
            <w:bookmarkEnd w:id="718"/>
          </w:p>
        </w:tc>
        <w:tc>
          <w:tcPr>
            <w:tcW w:w="709" w:type="dxa"/>
          </w:tcPr>
          <w:p w14:paraId="79459CCF" w14:textId="77777777" w:rsidR="00591288" w:rsidRPr="0098635C" w:rsidRDefault="00591288" w:rsidP="00AF385A">
            <w:pPr>
              <w:pStyle w:val="NoteLevel211"/>
              <w:keepNext/>
              <w:keepLines/>
              <w:rPr>
                <w:b/>
                <w:color w:val="000000" w:themeColor="text1"/>
              </w:rPr>
            </w:pPr>
            <w:bookmarkStart w:id="719" w:name="_Toc471999687"/>
            <w:bookmarkStart w:id="720" w:name="_Toc472251130"/>
            <w:r w:rsidRPr="0098635C">
              <w:rPr>
                <w:b/>
                <w:color w:val="000000" w:themeColor="text1"/>
              </w:rPr>
              <w:t>PU</w:t>
            </w:r>
            <w:bookmarkEnd w:id="719"/>
            <w:bookmarkEnd w:id="720"/>
          </w:p>
        </w:tc>
        <w:tc>
          <w:tcPr>
            <w:tcW w:w="1188" w:type="dxa"/>
            <w:vMerge/>
          </w:tcPr>
          <w:p w14:paraId="7E9DAA34" w14:textId="77777777" w:rsidR="00591288" w:rsidRPr="0098635C" w:rsidRDefault="00591288" w:rsidP="00AF385A">
            <w:pPr>
              <w:pStyle w:val="NoteLevel211"/>
              <w:keepNext/>
              <w:keepLines/>
              <w:rPr>
                <w:b/>
                <w:color w:val="000000" w:themeColor="text1"/>
              </w:rPr>
            </w:pPr>
          </w:p>
        </w:tc>
      </w:tr>
      <w:tr w:rsidR="00591288" w:rsidRPr="0098635C" w14:paraId="0060E30A" w14:textId="77777777" w:rsidTr="00F67B0C">
        <w:tc>
          <w:tcPr>
            <w:tcW w:w="3686" w:type="dxa"/>
          </w:tcPr>
          <w:p w14:paraId="30120C30" w14:textId="77777777" w:rsidR="00591288" w:rsidRPr="0098635C" w:rsidRDefault="00591288" w:rsidP="00AF385A">
            <w:pPr>
              <w:pStyle w:val="NoteLevel211"/>
              <w:keepNext/>
              <w:keepLines/>
              <w:rPr>
                <w:color w:val="000000" w:themeColor="text1"/>
              </w:rPr>
            </w:pPr>
            <w:bookmarkStart w:id="721" w:name="_Toc471999688"/>
            <w:bookmarkStart w:id="722" w:name="_Toc472251131"/>
            <w:r w:rsidRPr="0098635C">
              <w:rPr>
                <w:color w:val="000000" w:themeColor="text1"/>
              </w:rPr>
              <w:t>Copper powder</w:t>
            </w:r>
            <w:bookmarkEnd w:id="721"/>
            <w:bookmarkEnd w:id="722"/>
          </w:p>
        </w:tc>
        <w:tc>
          <w:tcPr>
            <w:tcW w:w="1276" w:type="dxa"/>
          </w:tcPr>
          <w:p w14:paraId="3F6A60E9" w14:textId="41253A38" w:rsidR="00591288" w:rsidRPr="0098635C" w:rsidRDefault="00591288" w:rsidP="00AF385A">
            <w:pPr>
              <w:pStyle w:val="NoteLevel211"/>
              <w:keepNext/>
              <w:keepLines/>
              <w:rPr>
                <w:color w:val="000000" w:themeColor="text1"/>
              </w:rPr>
            </w:pPr>
            <w:bookmarkStart w:id="723" w:name="_Toc471999689"/>
            <w:bookmarkStart w:id="724" w:name="_Toc472251132"/>
            <w:r w:rsidRPr="0098635C">
              <w:rPr>
                <w:color w:val="000000" w:themeColor="text1"/>
              </w:rPr>
              <w:t>7440-50-8</w:t>
            </w:r>
            <w:bookmarkEnd w:id="723"/>
            <w:bookmarkEnd w:id="724"/>
          </w:p>
        </w:tc>
        <w:tc>
          <w:tcPr>
            <w:tcW w:w="938" w:type="dxa"/>
          </w:tcPr>
          <w:p w14:paraId="6F1496F5" w14:textId="77777777" w:rsidR="00591288" w:rsidRPr="0098635C" w:rsidRDefault="00591288" w:rsidP="00AF385A">
            <w:pPr>
              <w:pStyle w:val="NoteLevel211"/>
              <w:keepNext/>
              <w:keepLines/>
              <w:rPr>
                <w:color w:val="000000" w:themeColor="text1"/>
              </w:rPr>
            </w:pPr>
            <w:bookmarkStart w:id="725" w:name="_Toc471999690"/>
            <w:bookmarkStart w:id="726" w:name="_Toc472251133"/>
            <w:r w:rsidRPr="0098635C">
              <w:rPr>
                <w:color w:val="000000" w:themeColor="text1"/>
              </w:rPr>
              <w:t>5.9</w:t>
            </w:r>
            <w:bookmarkEnd w:id="725"/>
            <w:bookmarkEnd w:id="726"/>
          </w:p>
        </w:tc>
        <w:tc>
          <w:tcPr>
            <w:tcW w:w="1134" w:type="dxa"/>
          </w:tcPr>
          <w:p w14:paraId="03F0221A" w14:textId="77777777" w:rsidR="00591288" w:rsidRPr="0098635C" w:rsidRDefault="00591288" w:rsidP="00AF385A">
            <w:pPr>
              <w:pStyle w:val="NoteLevel211"/>
              <w:keepNext/>
              <w:keepLines/>
              <w:rPr>
                <w:color w:val="000000" w:themeColor="text1"/>
              </w:rPr>
            </w:pPr>
            <w:bookmarkStart w:id="727" w:name="_Toc471999691"/>
            <w:bookmarkStart w:id="728" w:name="_Toc472251134"/>
            <w:r w:rsidRPr="0098635C">
              <w:rPr>
                <w:color w:val="000000" w:themeColor="text1"/>
              </w:rPr>
              <w:t>71.7</w:t>
            </w:r>
            <w:bookmarkEnd w:id="727"/>
            <w:bookmarkEnd w:id="728"/>
          </w:p>
        </w:tc>
        <w:tc>
          <w:tcPr>
            <w:tcW w:w="850" w:type="dxa"/>
          </w:tcPr>
          <w:p w14:paraId="2E5904E8" w14:textId="77777777" w:rsidR="00591288" w:rsidRPr="0098635C" w:rsidRDefault="00591288" w:rsidP="00AF385A">
            <w:pPr>
              <w:pStyle w:val="NoteLevel211"/>
              <w:keepNext/>
              <w:keepLines/>
              <w:rPr>
                <w:color w:val="000000" w:themeColor="text1"/>
              </w:rPr>
            </w:pPr>
            <w:bookmarkStart w:id="729" w:name="_Toc471999692"/>
            <w:bookmarkStart w:id="730" w:name="_Toc472251135"/>
            <w:r w:rsidRPr="0098635C">
              <w:rPr>
                <w:color w:val="000000" w:themeColor="text1"/>
              </w:rPr>
              <w:t>3.9</w:t>
            </w:r>
            <w:bookmarkEnd w:id="729"/>
            <w:bookmarkEnd w:id="730"/>
          </w:p>
        </w:tc>
        <w:tc>
          <w:tcPr>
            <w:tcW w:w="709" w:type="dxa"/>
          </w:tcPr>
          <w:p w14:paraId="281DFA5F" w14:textId="77777777" w:rsidR="00591288" w:rsidRPr="0098635C" w:rsidRDefault="00591288" w:rsidP="00AF385A">
            <w:pPr>
              <w:pStyle w:val="NoteLevel211"/>
              <w:keepNext/>
              <w:keepLines/>
              <w:rPr>
                <w:color w:val="000000" w:themeColor="text1"/>
              </w:rPr>
            </w:pPr>
            <w:bookmarkStart w:id="731" w:name="_Toc471999693"/>
            <w:bookmarkStart w:id="732" w:name="_Toc472251136"/>
            <w:r w:rsidRPr="0098635C">
              <w:rPr>
                <w:color w:val="000000" w:themeColor="text1"/>
              </w:rPr>
              <w:t>49.2</w:t>
            </w:r>
            <w:bookmarkEnd w:id="731"/>
            <w:bookmarkEnd w:id="732"/>
          </w:p>
        </w:tc>
        <w:tc>
          <w:tcPr>
            <w:tcW w:w="567" w:type="dxa"/>
          </w:tcPr>
          <w:p w14:paraId="211AC9EF" w14:textId="77777777" w:rsidR="00591288" w:rsidRPr="0098635C" w:rsidRDefault="00591288" w:rsidP="00AF385A">
            <w:pPr>
              <w:pStyle w:val="NoteLevel211"/>
              <w:keepNext/>
              <w:keepLines/>
              <w:rPr>
                <w:color w:val="000000" w:themeColor="text1"/>
              </w:rPr>
            </w:pPr>
            <w:bookmarkStart w:id="733" w:name="_Toc471999694"/>
            <w:bookmarkStart w:id="734" w:name="_Toc472251137"/>
            <w:r w:rsidRPr="0098635C">
              <w:rPr>
                <w:color w:val="000000" w:themeColor="text1"/>
              </w:rPr>
              <w:t>0.9</w:t>
            </w:r>
            <w:bookmarkEnd w:id="733"/>
            <w:bookmarkEnd w:id="734"/>
          </w:p>
        </w:tc>
        <w:tc>
          <w:tcPr>
            <w:tcW w:w="709" w:type="dxa"/>
          </w:tcPr>
          <w:p w14:paraId="1BC18AE0" w14:textId="77777777" w:rsidR="00591288" w:rsidRPr="0098635C" w:rsidRDefault="00591288" w:rsidP="00AF385A">
            <w:pPr>
              <w:pStyle w:val="NoteLevel211"/>
              <w:keepNext/>
              <w:keepLines/>
              <w:rPr>
                <w:color w:val="000000" w:themeColor="text1"/>
              </w:rPr>
            </w:pPr>
            <w:bookmarkStart w:id="735" w:name="_Toc471999695"/>
            <w:bookmarkStart w:id="736" w:name="_Toc472251138"/>
            <w:r w:rsidRPr="0098635C">
              <w:rPr>
                <w:color w:val="000000" w:themeColor="text1"/>
              </w:rPr>
              <w:t>1.2</w:t>
            </w:r>
            <w:bookmarkEnd w:id="735"/>
            <w:bookmarkEnd w:id="736"/>
          </w:p>
        </w:tc>
        <w:tc>
          <w:tcPr>
            <w:tcW w:w="1188" w:type="dxa"/>
          </w:tcPr>
          <w:p w14:paraId="6AF97DED" w14:textId="77777777" w:rsidR="00591288" w:rsidRPr="0098635C" w:rsidRDefault="00591288" w:rsidP="00AF385A">
            <w:pPr>
              <w:pStyle w:val="NoteLevel211"/>
              <w:keepNext/>
              <w:keepLines/>
              <w:rPr>
                <w:color w:val="000000" w:themeColor="text1"/>
              </w:rPr>
            </w:pPr>
            <w:bookmarkStart w:id="737" w:name="_Toc471999696"/>
            <w:bookmarkStart w:id="738" w:name="_Toc472251139"/>
            <w:r w:rsidRPr="0098635C">
              <w:rPr>
                <w:color w:val="000000" w:themeColor="text1"/>
              </w:rPr>
              <w:t>14</w:t>
            </w:r>
            <w:bookmarkEnd w:id="737"/>
            <w:bookmarkEnd w:id="738"/>
          </w:p>
        </w:tc>
      </w:tr>
      <w:tr w:rsidR="00591288" w:rsidRPr="0098635C" w14:paraId="15FC3623" w14:textId="77777777" w:rsidTr="00F67B0C">
        <w:tc>
          <w:tcPr>
            <w:tcW w:w="3686" w:type="dxa"/>
          </w:tcPr>
          <w:p w14:paraId="1FF2A684" w14:textId="77777777" w:rsidR="00591288" w:rsidRPr="0098635C" w:rsidRDefault="00591288" w:rsidP="00AF385A">
            <w:pPr>
              <w:pStyle w:val="NoteLevel211"/>
              <w:rPr>
                <w:color w:val="000000" w:themeColor="text1"/>
              </w:rPr>
            </w:pPr>
            <w:bookmarkStart w:id="739" w:name="_Toc471999697"/>
            <w:bookmarkStart w:id="740" w:name="_Toc472251140"/>
            <w:r w:rsidRPr="0098635C">
              <w:rPr>
                <w:color w:val="000000" w:themeColor="text1"/>
              </w:rPr>
              <w:t>Copper (I) oxide</w:t>
            </w:r>
            <w:bookmarkEnd w:id="739"/>
            <w:bookmarkEnd w:id="740"/>
          </w:p>
        </w:tc>
        <w:tc>
          <w:tcPr>
            <w:tcW w:w="1276" w:type="dxa"/>
          </w:tcPr>
          <w:p w14:paraId="3AEACC0E" w14:textId="7F03A427" w:rsidR="00591288" w:rsidRPr="0098635C" w:rsidRDefault="00591288" w:rsidP="00AF385A">
            <w:pPr>
              <w:pStyle w:val="NoteLevel211"/>
              <w:rPr>
                <w:color w:val="000000" w:themeColor="text1"/>
              </w:rPr>
            </w:pPr>
            <w:bookmarkStart w:id="741" w:name="_Toc471999698"/>
            <w:bookmarkStart w:id="742" w:name="_Toc472251141"/>
            <w:r w:rsidRPr="0098635C">
              <w:rPr>
                <w:color w:val="000000" w:themeColor="text1"/>
              </w:rPr>
              <w:t>1317-39-1</w:t>
            </w:r>
            <w:bookmarkEnd w:id="741"/>
            <w:bookmarkEnd w:id="742"/>
          </w:p>
        </w:tc>
        <w:tc>
          <w:tcPr>
            <w:tcW w:w="938" w:type="dxa"/>
          </w:tcPr>
          <w:p w14:paraId="5CA2FC7E" w14:textId="77777777" w:rsidR="00591288" w:rsidRPr="0098635C" w:rsidRDefault="00591288" w:rsidP="00AF385A">
            <w:pPr>
              <w:pStyle w:val="NoteLevel211"/>
              <w:rPr>
                <w:color w:val="000000" w:themeColor="text1"/>
              </w:rPr>
            </w:pPr>
            <w:bookmarkStart w:id="743" w:name="_Toc471999699"/>
            <w:bookmarkStart w:id="744" w:name="_Toc472251142"/>
            <w:r w:rsidRPr="0098635C">
              <w:rPr>
                <w:color w:val="000000" w:themeColor="text1"/>
              </w:rPr>
              <w:t>6.3</w:t>
            </w:r>
            <w:bookmarkEnd w:id="743"/>
            <w:bookmarkEnd w:id="744"/>
          </w:p>
        </w:tc>
        <w:tc>
          <w:tcPr>
            <w:tcW w:w="1134" w:type="dxa"/>
          </w:tcPr>
          <w:p w14:paraId="73BD4B95" w14:textId="77777777" w:rsidR="00591288" w:rsidRPr="0098635C" w:rsidRDefault="00591288" w:rsidP="00AF385A">
            <w:pPr>
              <w:pStyle w:val="NoteLevel211"/>
              <w:rPr>
                <w:color w:val="000000" w:themeColor="text1"/>
              </w:rPr>
            </w:pPr>
            <w:bookmarkStart w:id="745" w:name="_Toc471999700"/>
            <w:bookmarkStart w:id="746" w:name="_Toc472251143"/>
            <w:r w:rsidRPr="0098635C">
              <w:rPr>
                <w:color w:val="000000" w:themeColor="text1"/>
              </w:rPr>
              <w:t>9.9</w:t>
            </w:r>
            <w:bookmarkEnd w:id="745"/>
            <w:bookmarkEnd w:id="746"/>
          </w:p>
        </w:tc>
        <w:tc>
          <w:tcPr>
            <w:tcW w:w="850" w:type="dxa"/>
          </w:tcPr>
          <w:p w14:paraId="40097CDA" w14:textId="77777777" w:rsidR="00591288" w:rsidRPr="0098635C" w:rsidRDefault="00591288" w:rsidP="00AF385A">
            <w:pPr>
              <w:pStyle w:val="NoteLevel211"/>
              <w:rPr>
                <w:color w:val="000000" w:themeColor="text1"/>
              </w:rPr>
            </w:pPr>
            <w:bookmarkStart w:id="747" w:name="_Toc471999701"/>
            <w:bookmarkStart w:id="748" w:name="_Toc472251144"/>
            <w:r w:rsidRPr="0098635C">
              <w:rPr>
                <w:color w:val="000000" w:themeColor="text1"/>
              </w:rPr>
              <w:t>3.3</w:t>
            </w:r>
            <w:bookmarkEnd w:id="747"/>
            <w:bookmarkEnd w:id="748"/>
          </w:p>
        </w:tc>
        <w:tc>
          <w:tcPr>
            <w:tcW w:w="709" w:type="dxa"/>
          </w:tcPr>
          <w:p w14:paraId="47079C6C" w14:textId="77777777" w:rsidR="00591288" w:rsidRPr="0098635C" w:rsidRDefault="00591288" w:rsidP="00AF385A">
            <w:pPr>
              <w:pStyle w:val="NoteLevel211"/>
              <w:rPr>
                <w:color w:val="000000" w:themeColor="text1"/>
              </w:rPr>
            </w:pPr>
            <w:bookmarkStart w:id="749" w:name="_Toc471999702"/>
            <w:bookmarkStart w:id="750" w:name="_Toc472251145"/>
            <w:r w:rsidRPr="0098635C">
              <w:rPr>
                <w:color w:val="000000" w:themeColor="text1"/>
              </w:rPr>
              <w:t>67.5</w:t>
            </w:r>
            <w:bookmarkEnd w:id="749"/>
            <w:bookmarkEnd w:id="750"/>
          </w:p>
        </w:tc>
        <w:tc>
          <w:tcPr>
            <w:tcW w:w="567" w:type="dxa"/>
          </w:tcPr>
          <w:p w14:paraId="0A08C44A" w14:textId="77777777" w:rsidR="00591288" w:rsidRPr="0098635C" w:rsidRDefault="00591288" w:rsidP="00AF385A">
            <w:pPr>
              <w:pStyle w:val="NoteLevel211"/>
              <w:rPr>
                <w:color w:val="000000" w:themeColor="text1"/>
              </w:rPr>
            </w:pPr>
            <w:bookmarkStart w:id="751" w:name="_Toc471999703"/>
            <w:bookmarkStart w:id="752" w:name="_Toc472251146"/>
            <w:r w:rsidRPr="0098635C">
              <w:rPr>
                <w:color w:val="000000" w:themeColor="text1"/>
              </w:rPr>
              <w:t>1.4</w:t>
            </w:r>
            <w:bookmarkEnd w:id="751"/>
            <w:bookmarkEnd w:id="752"/>
          </w:p>
        </w:tc>
        <w:tc>
          <w:tcPr>
            <w:tcW w:w="709" w:type="dxa"/>
          </w:tcPr>
          <w:p w14:paraId="0D5EF153" w14:textId="77777777" w:rsidR="00591288" w:rsidRPr="0098635C" w:rsidRDefault="00591288" w:rsidP="00AF385A">
            <w:pPr>
              <w:pStyle w:val="NoteLevel211"/>
              <w:rPr>
                <w:color w:val="000000" w:themeColor="text1"/>
              </w:rPr>
            </w:pPr>
            <w:bookmarkStart w:id="753" w:name="_Toc471999704"/>
            <w:bookmarkStart w:id="754" w:name="_Toc472251147"/>
            <w:r w:rsidRPr="0098635C">
              <w:rPr>
                <w:color w:val="000000" w:themeColor="text1"/>
              </w:rPr>
              <w:t>3.8</w:t>
            </w:r>
            <w:bookmarkEnd w:id="753"/>
            <w:bookmarkEnd w:id="754"/>
          </w:p>
        </w:tc>
        <w:tc>
          <w:tcPr>
            <w:tcW w:w="1188" w:type="dxa"/>
          </w:tcPr>
          <w:p w14:paraId="0E5CB79A" w14:textId="77777777" w:rsidR="00591288" w:rsidRPr="0098635C" w:rsidRDefault="00591288" w:rsidP="00AF385A">
            <w:pPr>
              <w:pStyle w:val="NoteLevel211"/>
              <w:rPr>
                <w:color w:val="000000" w:themeColor="text1"/>
              </w:rPr>
            </w:pPr>
            <w:bookmarkStart w:id="755" w:name="_Toc471999705"/>
            <w:bookmarkStart w:id="756" w:name="_Toc472251148"/>
            <w:r w:rsidRPr="0098635C">
              <w:rPr>
                <w:color w:val="000000" w:themeColor="text1"/>
              </w:rPr>
              <w:t>21</w:t>
            </w:r>
            <w:bookmarkEnd w:id="755"/>
            <w:bookmarkEnd w:id="756"/>
          </w:p>
        </w:tc>
      </w:tr>
      <w:tr w:rsidR="00591288" w:rsidRPr="0098635C" w14:paraId="6ACE7DE7" w14:textId="77777777" w:rsidTr="00F67B0C">
        <w:tc>
          <w:tcPr>
            <w:tcW w:w="3686" w:type="dxa"/>
          </w:tcPr>
          <w:p w14:paraId="07B5901F" w14:textId="77777777" w:rsidR="00591288" w:rsidRPr="0098635C" w:rsidRDefault="00591288" w:rsidP="00AF385A">
            <w:pPr>
              <w:pStyle w:val="NoteLevel211"/>
              <w:rPr>
                <w:color w:val="000000" w:themeColor="text1"/>
              </w:rPr>
            </w:pPr>
            <w:bookmarkStart w:id="757" w:name="_Toc471999706"/>
            <w:bookmarkStart w:id="758" w:name="_Toc472251149"/>
            <w:r w:rsidRPr="0098635C">
              <w:rPr>
                <w:color w:val="000000" w:themeColor="text1"/>
              </w:rPr>
              <w:t>Copper (II) oxide</w:t>
            </w:r>
            <w:bookmarkEnd w:id="757"/>
            <w:bookmarkEnd w:id="758"/>
          </w:p>
        </w:tc>
        <w:tc>
          <w:tcPr>
            <w:tcW w:w="1276" w:type="dxa"/>
          </w:tcPr>
          <w:p w14:paraId="5B66999A" w14:textId="7FAECFD0" w:rsidR="00591288" w:rsidRPr="0098635C" w:rsidRDefault="00591288" w:rsidP="00AF385A">
            <w:pPr>
              <w:pStyle w:val="NoteLevel211"/>
              <w:rPr>
                <w:color w:val="000000" w:themeColor="text1"/>
              </w:rPr>
            </w:pPr>
            <w:bookmarkStart w:id="759" w:name="_Toc471999707"/>
            <w:bookmarkStart w:id="760" w:name="_Toc472251150"/>
            <w:r w:rsidRPr="0098635C">
              <w:rPr>
                <w:color w:val="000000" w:themeColor="text1"/>
              </w:rPr>
              <w:t>1317-38-0</w:t>
            </w:r>
            <w:bookmarkEnd w:id="759"/>
            <w:bookmarkEnd w:id="760"/>
          </w:p>
        </w:tc>
        <w:tc>
          <w:tcPr>
            <w:tcW w:w="938" w:type="dxa"/>
          </w:tcPr>
          <w:p w14:paraId="0A1F8676" w14:textId="77777777" w:rsidR="00591288" w:rsidRPr="0098635C" w:rsidRDefault="00591288" w:rsidP="00AF385A">
            <w:pPr>
              <w:pStyle w:val="NoteLevel211"/>
              <w:rPr>
                <w:color w:val="000000" w:themeColor="text1"/>
              </w:rPr>
            </w:pPr>
            <w:bookmarkStart w:id="761" w:name="_Toc471999708"/>
            <w:bookmarkStart w:id="762" w:name="_Toc472251151"/>
            <w:r w:rsidRPr="0098635C">
              <w:rPr>
                <w:color w:val="000000" w:themeColor="text1"/>
              </w:rPr>
              <w:t>2.3</w:t>
            </w:r>
            <w:bookmarkEnd w:id="761"/>
            <w:bookmarkEnd w:id="762"/>
          </w:p>
        </w:tc>
        <w:tc>
          <w:tcPr>
            <w:tcW w:w="1134" w:type="dxa"/>
          </w:tcPr>
          <w:p w14:paraId="7676045A" w14:textId="77777777" w:rsidR="00591288" w:rsidRPr="0098635C" w:rsidRDefault="00591288" w:rsidP="00AF385A">
            <w:pPr>
              <w:pStyle w:val="NoteLevel211"/>
              <w:rPr>
                <w:color w:val="000000" w:themeColor="text1"/>
              </w:rPr>
            </w:pPr>
            <w:bookmarkStart w:id="763" w:name="_Toc471999709"/>
            <w:bookmarkStart w:id="764" w:name="_Toc472251152"/>
            <w:r w:rsidRPr="0098635C">
              <w:rPr>
                <w:color w:val="000000" w:themeColor="text1"/>
              </w:rPr>
              <w:t>60.7</w:t>
            </w:r>
            <w:bookmarkEnd w:id="763"/>
            <w:bookmarkEnd w:id="764"/>
          </w:p>
        </w:tc>
        <w:tc>
          <w:tcPr>
            <w:tcW w:w="850" w:type="dxa"/>
          </w:tcPr>
          <w:p w14:paraId="2891E656" w14:textId="77777777" w:rsidR="00591288" w:rsidRPr="0098635C" w:rsidRDefault="00591288" w:rsidP="00AF385A">
            <w:pPr>
              <w:pStyle w:val="NoteLevel211"/>
              <w:rPr>
                <w:color w:val="000000" w:themeColor="text1"/>
              </w:rPr>
            </w:pPr>
            <w:bookmarkStart w:id="765" w:name="_Toc471999710"/>
            <w:bookmarkStart w:id="766" w:name="_Toc472251153"/>
            <w:r w:rsidRPr="0098635C">
              <w:rPr>
                <w:color w:val="000000" w:themeColor="text1"/>
              </w:rPr>
              <w:t>3.8</w:t>
            </w:r>
            <w:bookmarkEnd w:id="765"/>
            <w:bookmarkEnd w:id="766"/>
          </w:p>
        </w:tc>
        <w:tc>
          <w:tcPr>
            <w:tcW w:w="709" w:type="dxa"/>
          </w:tcPr>
          <w:p w14:paraId="003E2B9E" w14:textId="77777777" w:rsidR="00591288" w:rsidRPr="0098635C" w:rsidRDefault="00591288" w:rsidP="00AF385A">
            <w:pPr>
              <w:pStyle w:val="NoteLevel211"/>
              <w:rPr>
                <w:color w:val="000000" w:themeColor="text1"/>
              </w:rPr>
            </w:pPr>
            <w:bookmarkStart w:id="767" w:name="_Toc471999711"/>
            <w:bookmarkStart w:id="768" w:name="_Toc472251154"/>
            <w:r w:rsidRPr="0098635C">
              <w:rPr>
                <w:color w:val="000000" w:themeColor="text1"/>
              </w:rPr>
              <w:t>49.4</w:t>
            </w:r>
            <w:bookmarkEnd w:id="767"/>
            <w:bookmarkEnd w:id="768"/>
          </w:p>
        </w:tc>
        <w:tc>
          <w:tcPr>
            <w:tcW w:w="567" w:type="dxa"/>
          </w:tcPr>
          <w:p w14:paraId="6C1BEC9E" w14:textId="77777777" w:rsidR="00591288" w:rsidRPr="0098635C" w:rsidRDefault="00591288" w:rsidP="00AF385A">
            <w:pPr>
              <w:pStyle w:val="NoteLevel211"/>
              <w:rPr>
                <w:color w:val="000000" w:themeColor="text1"/>
              </w:rPr>
            </w:pPr>
            <w:bookmarkStart w:id="769" w:name="_Toc471999712"/>
            <w:bookmarkStart w:id="770" w:name="_Toc472251155"/>
            <w:r w:rsidRPr="0098635C">
              <w:rPr>
                <w:color w:val="000000" w:themeColor="text1"/>
              </w:rPr>
              <w:t>0.9</w:t>
            </w:r>
            <w:bookmarkEnd w:id="769"/>
            <w:bookmarkEnd w:id="770"/>
          </w:p>
        </w:tc>
        <w:tc>
          <w:tcPr>
            <w:tcW w:w="709" w:type="dxa"/>
          </w:tcPr>
          <w:p w14:paraId="0651474A" w14:textId="77777777" w:rsidR="00591288" w:rsidRPr="0098635C" w:rsidRDefault="00591288" w:rsidP="00AF385A">
            <w:pPr>
              <w:pStyle w:val="NoteLevel211"/>
              <w:rPr>
                <w:color w:val="000000" w:themeColor="text1"/>
              </w:rPr>
            </w:pPr>
            <w:bookmarkStart w:id="771" w:name="_Toc471999713"/>
            <w:bookmarkStart w:id="772" w:name="_Toc472251156"/>
            <w:r w:rsidRPr="0098635C">
              <w:rPr>
                <w:color w:val="000000" w:themeColor="text1"/>
              </w:rPr>
              <w:t>1.1</w:t>
            </w:r>
            <w:bookmarkEnd w:id="771"/>
            <w:bookmarkEnd w:id="772"/>
          </w:p>
        </w:tc>
        <w:tc>
          <w:tcPr>
            <w:tcW w:w="1188" w:type="dxa"/>
          </w:tcPr>
          <w:p w14:paraId="7728944E" w14:textId="77777777" w:rsidR="00591288" w:rsidRPr="0098635C" w:rsidRDefault="00591288" w:rsidP="00AF385A">
            <w:pPr>
              <w:pStyle w:val="NoteLevel211"/>
              <w:rPr>
                <w:color w:val="000000" w:themeColor="text1"/>
              </w:rPr>
            </w:pPr>
            <w:bookmarkStart w:id="773" w:name="_Toc471999714"/>
            <w:bookmarkStart w:id="774" w:name="_Toc472251157"/>
            <w:r w:rsidRPr="0098635C">
              <w:rPr>
                <w:color w:val="000000" w:themeColor="text1"/>
              </w:rPr>
              <w:t>14</w:t>
            </w:r>
            <w:bookmarkEnd w:id="773"/>
            <w:bookmarkEnd w:id="774"/>
          </w:p>
        </w:tc>
      </w:tr>
      <w:tr w:rsidR="00591288" w:rsidRPr="0098635C" w14:paraId="29E22B19" w14:textId="77777777" w:rsidTr="00F67B0C">
        <w:tc>
          <w:tcPr>
            <w:tcW w:w="3686" w:type="dxa"/>
          </w:tcPr>
          <w:p w14:paraId="0EC0F3A4" w14:textId="77777777" w:rsidR="00591288" w:rsidRPr="0098635C" w:rsidRDefault="00591288" w:rsidP="00AF385A">
            <w:pPr>
              <w:pStyle w:val="NoteLevel211"/>
              <w:rPr>
                <w:color w:val="000000" w:themeColor="text1"/>
              </w:rPr>
            </w:pPr>
            <w:bookmarkStart w:id="775" w:name="_Toc471999715"/>
            <w:bookmarkStart w:id="776" w:name="_Toc472251158"/>
            <w:r w:rsidRPr="0098635C">
              <w:rPr>
                <w:color w:val="000000" w:themeColor="text1"/>
              </w:rPr>
              <w:t>Copper (II) sulphate pentahydrate</w:t>
            </w:r>
            <w:bookmarkEnd w:id="775"/>
            <w:bookmarkEnd w:id="776"/>
          </w:p>
        </w:tc>
        <w:tc>
          <w:tcPr>
            <w:tcW w:w="1276" w:type="dxa"/>
          </w:tcPr>
          <w:p w14:paraId="1B4FA3A3" w14:textId="4A18669A" w:rsidR="00591288" w:rsidRPr="0098635C" w:rsidRDefault="00591288" w:rsidP="00AF385A">
            <w:pPr>
              <w:pStyle w:val="NoteLevel211"/>
              <w:rPr>
                <w:color w:val="000000" w:themeColor="text1"/>
              </w:rPr>
            </w:pPr>
            <w:bookmarkStart w:id="777" w:name="_Toc471999716"/>
            <w:bookmarkStart w:id="778" w:name="_Toc472251159"/>
            <w:r w:rsidRPr="0098635C">
              <w:rPr>
                <w:color w:val="000000" w:themeColor="text1"/>
              </w:rPr>
              <w:t>7758-99-8</w:t>
            </w:r>
            <w:bookmarkEnd w:id="777"/>
            <w:bookmarkEnd w:id="778"/>
          </w:p>
        </w:tc>
        <w:tc>
          <w:tcPr>
            <w:tcW w:w="938" w:type="dxa"/>
          </w:tcPr>
          <w:p w14:paraId="59455B83" w14:textId="77777777" w:rsidR="00591288" w:rsidRPr="0098635C" w:rsidRDefault="00591288" w:rsidP="00AF385A">
            <w:pPr>
              <w:pStyle w:val="NoteLevel211"/>
              <w:rPr>
                <w:color w:val="000000" w:themeColor="text1"/>
              </w:rPr>
            </w:pPr>
            <w:bookmarkStart w:id="779" w:name="_Toc471999717"/>
            <w:bookmarkStart w:id="780" w:name="_Toc472251160"/>
            <w:r w:rsidRPr="0098635C">
              <w:rPr>
                <w:color w:val="000000" w:themeColor="text1"/>
              </w:rPr>
              <w:t>3.6</w:t>
            </w:r>
            <w:bookmarkEnd w:id="779"/>
            <w:bookmarkEnd w:id="780"/>
          </w:p>
        </w:tc>
        <w:tc>
          <w:tcPr>
            <w:tcW w:w="1134" w:type="dxa"/>
          </w:tcPr>
          <w:p w14:paraId="54D48C60" w14:textId="77777777" w:rsidR="00591288" w:rsidRPr="0098635C" w:rsidRDefault="00591288" w:rsidP="00AF385A">
            <w:pPr>
              <w:pStyle w:val="NoteLevel211"/>
              <w:rPr>
                <w:color w:val="000000" w:themeColor="text1"/>
              </w:rPr>
            </w:pPr>
            <w:bookmarkStart w:id="781" w:name="_Toc471999718"/>
            <w:bookmarkStart w:id="782" w:name="_Toc472251161"/>
            <w:r w:rsidRPr="0098635C">
              <w:rPr>
                <w:color w:val="000000" w:themeColor="text1"/>
              </w:rPr>
              <w:t>90.3</w:t>
            </w:r>
            <w:bookmarkEnd w:id="781"/>
            <w:bookmarkEnd w:id="782"/>
          </w:p>
        </w:tc>
        <w:tc>
          <w:tcPr>
            <w:tcW w:w="850" w:type="dxa"/>
          </w:tcPr>
          <w:p w14:paraId="791A2C44" w14:textId="77777777" w:rsidR="00591288" w:rsidRPr="0098635C" w:rsidRDefault="00591288" w:rsidP="00AF385A">
            <w:pPr>
              <w:pStyle w:val="NoteLevel211"/>
              <w:rPr>
                <w:color w:val="000000" w:themeColor="text1"/>
              </w:rPr>
            </w:pPr>
            <w:bookmarkStart w:id="783" w:name="_Toc471999719"/>
            <w:bookmarkStart w:id="784" w:name="_Toc472251162"/>
            <w:r w:rsidRPr="0098635C">
              <w:rPr>
                <w:color w:val="000000" w:themeColor="text1"/>
              </w:rPr>
              <w:t>5.2</w:t>
            </w:r>
            <w:bookmarkEnd w:id="783"/>
            <w:bookmarkEnd w:id="784"/>
          </w:p>
        </w:tc>
        <w:tc>
          <w:tcPr>
            <w:tcW w:w="709" w:type="dxa"/>
          </w:tcPr>
          <w:p w14:paraId="7C213465" w14:textId="77777777" w:rsidR="00591288" w:rsidRPr="0098635C" w:rsidRDefault="00591288" w:rsidP="00AF385A">
            <w:pPr>
              <w:pStyle w:val="NoteLevel211"/>
              <w:rPr>
                <w:color w:val="000000" w:themeColor="text1"/>
              </w:rPr>
            </w:pPr>
            <w:bookmarkStart w:id="785" w:name="_Toc471999720"/>
            <w:bookmarkStart w:id="786" w:name="_Toc472251163"/>
            <w:r w:rsidRPr="0098635C">
              <w:rPr>
                <w:color w:val="000000" w:themeColor="text1"/>
              </w:rPr>
              <w:t>48.6</w:t>
            </w:r>
            <w:bookmarkEnd w:id="785"/>
            <w:bookmarkEnd w:id="786"/>
          </w:p>
        </w:tc>
        <w:tc>
          <w:tcPr>
            <w:tcW w:w="567" w:type="dxa"/>
          </w:tcPr>
          <w:p w14:paraId="20E40519" w14:textId="77777777" w:rsidR="00591288" w:rsidRPr="0098635C" w:rsidRDefault="00591288" w:rsidP="00AF385A">
            <w:pPr>
              <w:pStyle w:val="NoteLevel211"/>
              <w:rPr>
                <w:color w:val="000000" w:themeColor="text1"/>
              </w:rPr>
            </w:pPr>
            <w:bookmarkStart w:id="787" w:name="_Toc471999721"/>
            <w:bookmarkStart w:id="788" w:name="_Toc472251164"/>
            <w:r w:rsidRPr="0098635C">
              <w:rPr>
                <w:color w:val="000000" w:themeColor="text1"/>
              </w:rPr>
              <w:t>1.0</w:t>
            </w:r>
            <w:bookmarkEnd w:id="787"/>
            <w:bookmarkEnd w:id="788"/>
          </w:p>
        </w:tc>
        <w:tc>
          <w:tcPr>
            <w:tcW w:w="709" w:type="dxa"/>
          </w:tcPr>
          <w:p w14:paraId="66A4540A" w14:textId="77777777" w:rsidR="00591288" w:rsidRPr="0098635C" w:rsidRDefault="00591288" w:rsidP="00AF385A">
            <w:pPr>
              <w:pStyle w:val="NoteLevel211"/>
              <w:rPr>
                <w:color w:val="000000" w:themeColor="text1"/>
              </w:rPr>
            </w:pPr>
            <w:bookmarkStart w:id="789" w:name="_Toc471999722"/>
            <w:bookmarkStart w:id="790" w:name="_Toc472251165"/>
            <w:r w:rsidRPr="0098635C">
              <w:rPr>
                <w:color w:val="000000" w:themeColor="text1"/>
              </w:rPr>
              <w:t>1.2</w:t>
            </w:r>
            <w:bookmarkEnd w:id="789"/>
            <w:bookmarkEnd w:id="790"/>
          </w:p>
        </w:tc>
        <w:tc>
          <w:tcPr>
            <w:tcW w:w="1188" w:type="dxa"/>
          </w:tcPr>
          <w:p w14:paraId="4938FA2B" w14:textId="77777777" w:rsidR="00591288" w:rsidRPr="0098635C" w:rsidRDefault="00591288" w:rsidP="00AF385A">
            <w:pPr>
              <w:pStyle w:val="NoteLevel211"/>
              <w:rPr>
                <w:color w:val="000000" w:themeColor="text1"/>
              </w:rPr>
            </w:pPr>
            <w:bookmarkStart w:id="791" w:name="_Toc471999723"/>
            <w:bookmarkStart w:id="792" w:name="_Toc472251166"/>
            <w:r w:rsidRPr="0098635C">
              <w:rPr>
                <w:color w:val="000000" w:themeColor="text1"/>
              </w:rPr>
              <w:t>14</w:t>
            </w:r>
            <w:bookmarkEnd w:id="791"/>
            <w:bookmarkEnd w:id="792"/>
          </w:p>
        </w:tc>
      </w:tr>
      <w:tr w:rsidR="00591288" w:rsidRPr="0098635C" w14:paraId="31F3A380" w14:textId="77777777" w:rsidTr="00F67B0C">
        <w:tc>
          <w:tcPr>
            <w:tcW w:w="3686" w:type="dxa"/>
          </w:tcPr>
          <w:p w14:paraId="649C3200" w14:textId="77777777" w:rsidR="00591288" w:rsidRPr="0098635C" w:rsidRDefault="00591288" w:rsidP="00D92F22">
            <w:pPr>
              <w:pStyle w:val="NoteLevel211"/>
              <w:rPr>
                <w:color w:val="000000" w:themeColor="text1"/>
              </w:rPr>
            </w:pPr>
            <w:bookmarkStart w:id="793" w:name="_Toc471999724"/>
            <w:bookmarkStart w:id="794" w:name="_Toc472251167"/>
            <w:r w:rsidRPr="0098635C">
              <w:rPr>
                <w:color w:val="000000" w:themeColor="text1"/>
              </w:rPr>
              <w:t>Dicopper chloride trihydroxide</w:t>
            </w:r>
            <w:bookmarkEnd w:id="793"/>
            <w:bookmarkEnd w:id="794"/>
          </w:p>
        </w:tc>
        <w:tc>
          <w:tcPr>
            <w:tcW w:w="1276" w:type="dxa"/>
          </w:tcPr>
          <w:p w14:paraId="5737149F" w14:textId="1532B2D6" w:rsidR="00591288" w:rsidRPr="0098635C" w:rsidRDefault="00591288" w:rsidP="00602FD8">
            <w:pPr>
              <w:pStyle w:val="NoteLevel211"/>
              <w:rPr>
                <w:color w:val="000000" w:themeColor="text1"/>
              </w:rPr>
            </w:pPr>
            <w:bookmarkStart w:id="795" w:name="_Toc471999725"/>
            <w:bookmarkStart w:id="796" w:name="_Toc472251168"/>
            <w:r w:rsidRPr="0098635C">
              <w:rPr>
                <w:color w:val="000000" w:themeColor="text1"/>
              </w:rPr>
              <w:t>1332-40-7; 1332-65-7</w:t>
            </w:r>
            <w:bookmarkEnd w:id="795"/>
            <w:bookmarkEnd w:id="796"/>
          </w:p>
        </w:tc>
        <w:tc>
          <w:tcPr>
            <w:tcW w:w="938" w:type="dxa"/>
          </w:tcPr>
          <w:p w14:paraId="771F03CE" w14:textId="77777777" w:rsidR="00591288" w:rsidRPr="0098635C" w:rsidRDefault="00591288" w:rsidP="00602FD8">
            <w:pPr>
              <w:pStyle w:val="NoteLevel211"/>
              <w:rPr>
                <w:color w:val="000000" w:themeColor="text1"/>
              </w:rPr>
            </w:pPr>
            <w:bookmarkStart w:id="797" w:name="_Toc471999726"/>
            <w:bookmarkStart w:id="798" w:name="_Toc472251169"/>
            <w:r w:rsidRPr="0098635C">
              <w:rPr>
                <w:color w:val="000000" w:themeColor="text1"/>
              </w:rPr>
              <w:t>8.9</w:t>
            </w:r>
            <w:bookmarkEnd w:id="797"/>
            <w:bookmarkEnd w:id="798"/>
          </w:p>
        </w:tc>
        <w:tc>
          <w:tcPr>
            <w:tcW w:w="1134" w:type="dxa"/>
          </w:tcPr>
          <w:p w14:paraId="7BE1F330" w14:textId="77777777" w:rsidR="00591288" w:rsidRPr="0098635C" w:rsidRDefault="00591288" w:rsidP="00602FD8">
            <w:pPr>
              <w:pStyle w:val="NoteLevel211"/>
              <w:rPr>
                <w:color w:val="000000" w:themeColor="text1"/>
              </w:rPr>
            </w:pPr>
            <w:bookmarkStart w:id="799" w:name="_Toc471999727"/>
            <w:bookmarkStart w:id="800" w:name="_Toc472251170"/>
            <w:r w:rsidRPr="0098635C">
              <w:rPr>
                <w:color w:val="000000" w:themeColor="text1"/>
              </w:rPr>
              <w:t>12.2</w:t>
            </w:r>
            <w:bookmarkEnd w:id="799"/>
            <w:bookmarkEnd w:id="800"/>
          </w:p>
        </w:tc>
        <w:tc>
          <w:tcPr>
            <w:tcW w:w="850" w:type="dxa"/>
          </w:tcPr>
          <w:p w14:paraId="263B744C" w14:textId="77777777" w:rsidR="00591288" w:rsidRPr="0098635C" w:rsidRDefault="00591288" w:rsidP="00602FD8">
            <w:pPr>
              <w:pStyle w:val="NoteLevel211"/>
              <w:rPr>
                <w:color w:val="000000" w:themeColor="text1"/>
              </w:rPr>
            </w:pPr>
            <w:bookmarkStart w:id="801" w:name="_Toc471999728"/>
            <w:bookmarkStart w:id="802" w:name="_Toc472251171"/>
            <w:r w:rsidRPr="0098635C">
              <w:rPr>
                <w:color w:val="000000" w:themeColor="text1"/>
              </w:rPr>
              <w:t>4.1</w:t>
            </w:r>
            <w:bookmarkEnd w:id="801"/>
            <w:bookmarkEnd w:id="802"/>
          </w:p>
        </w:tc>
        <w:tc>
          <w:tcPr>
            <w:tcW w:w="709" w:type="dxa"/>
          </w:tcPr>
          <w:p w14:paraId="51E944D3" w14:textId="77777777" w:rsidR="00591288" w:rsidRPr="0098635C" w:rsidRDefault="00591288" w:rsidP="00602FD8">
            <w:pPr>
              <w:pStyle w:val="NoteLevel211"/>
              <w:rPr>
                <w:color w:val="000000" w:themeColor="text1"/>
              </w:rPr>
            </w:pPr>
            <w:bookmarkStart w:id="803" w:name="_Toc471999729"/>
            <w:bookmarkStart w:id="804" w:name="_Toc472251172"/>
            <w:r w:rsidRPr="0098635C">
              <w:rPr>
                <w:color w:val="000000" w:themeColor="text1"/>
              </w:rPr>
              <w:t>56.2</w:t>
            </w:r>
            <w:bookmarkEnd w:id="803"/>
            <w:bookmarkEnd w:id="804"/>
          </w:p>
        </w:tc>
        <w:tc>
          <w:tcPr>
            <w:tcW w:w="567" w:type="dxa"/>
          </w:tcPr>
          <w:p w14:paraId="7D023BD9" w14:textId="77777777" w:rsidR="00591288" w:rsidRPr="0098635C" w:rsidRDefault="00591288" w:rsidP="00FC4FF8">
            <w:pPr>
              <w:pStyle w:val="NoteLevel211"/>
              <w:rPr>
                <w:color w:val="000000" w:themeColor="text1"/>
              </w:rPr>
            </w:pPr>
            <w:bookmarkStart w:id="805" w:name="_Toc471999730"/>
            <w:bookmarkStart w:id="806" w:name="_Toc472251173"/>
            <w:r w:rsidRPr="0098635C">
              <w:rPr>
                <w:color w:val="000000" w:themeColor="text1"/>
              </w:rPr>
              <w:t>1.4</w:t>
            </w:r>
            <w:bookmarkEnd w:id="805"/>
            <w:bookmarkEnd w:id="806"/>
          </w:p>
        </w:tc>
        <w:tc>
          <w:tcPr>
            <w:tcW w:w="709" w:type="dxa"/>
          </w:tcPr>
          <w:p w14:paraId="59BEF4EF" w14:textId="77777777" w:rsidR="00591288" w:rsidRPr="0098635C" w:rsidRDefault="00591288" w:rsidP="00FC4FF8">
            <w:pPr>
              <w:pStyle w:val="NoteLevel211"/>
              <w:rPr>
                <w:color w:val="000000" w:themeColor="text1"/>
              </w:rPr>
            </w:pPr>
            <w:bookmarkStart w:id="807" w:name="_Toc471999731"/>
            <w:bookmarkStart w:id="808" w:name="_Toc472251174"/>
            <w:r w:rsidRPr="0098635C">
              <w:rPr>
                <w:color w:val="000000" w:themeColor="text1"/>
              </w:rPr>
              <w:t>3.5</w:t>
            </w:r>
            <w:bookmarkEnd w:id="807"/>
            <w:bookmarkEnd w:id="808"/>
          </w:p>
        </w:tc>
        <w:tc>
          <w:tcPr>
            <w:tcW w:w="1188" w:type="dxa"/>
          </w:tcPr>
          <w:p w14:paraId="0DC74D78" w14:textId="77777777" w:rsidR="00591288" w:rsidRPr="0098635C" w:rsidRDefault="00591288" w:rsidP="00FC4FF8">
            <w:pPr>
              <w:pStyle w:val="NoteLevel211"/>
              <w:rPr>
                <w:color w:val="000000" w:themeColor="text1"/>
              </w:rPr>
            </w:pPr>
            <w:bookmarkStart w:id="809" w:name="_Toc471999732"/>
            <w:bookmarkStart w:id="810" w:name="_Toc472251175"/>
            <w:r w:rsidRPr="0098635C">
              <w:rPr>
                <w:color w:val="000000" w:themeColor="text1"/>
              </w:rPr>
              <w:t>18</w:t>
            </w:r>
            <w:bookmarkEnd w:id="809"/>
            <w:bookmarkEnd w:id="810"/>
          </w:p>
        </w:tc>
      </w:tr>
    </w:tbl>
    <w:p w14:paraId="5E3A1102" w14:textId="77777777" w:rsidR="0048420A" w:rsidRPr="0098635C" w:rsidRDefault="0048420A" w:rsidP="00F67B0C">
      <w:pPr>
        <w:pStyle w:val="TGDBodyText1"/>
        <w:spacing w:before="120" w:after="0"/>
        <w:rPr>
          <w:color w:val="000000" w:themeColor="text1"/>
          <w:sz w:val="20"/>
          <w:szCs w:val="20"/>
        </w:rPr>
      </w:pPr>
      <w:r w:rsidRPr="0098635C">
        <w:rPr>
          <w:color w:val="000000" w:themeColor="text1"/>
          <w:sz w:val="20"/>
          <w:szCs w:val="20"/>
        </w:rPr>
        <w:t xml:space="preserve">(1): MMAD/GSD values above the linear range of the model are reset by default to max. values of 20 µm and 4.0 (GSD); (2): rounded values </w:t>
      </w:r>
    </w:p>
    <w:p w14:paraId="40E47795" w14:textId="77777777" w:rsidR="008D1AE9" w:rsidRPr="0098635C" w:rsidRDefault="008D1AE9" w:rsidP="008D1AE9">
      <w:pPr>
        <w:pStyle w:val="TGDBodyText1"/>
        <w:spacing w:before="240"/>
        <w:rPr>
          <w:color w:val="000000" w:themeColor="text1"/>
          <w:sz w:val="20"/>
          <w:szCs w:val="20"/>
        </w:rPr>
      </w:pPr>
      <w:r w:rsidRPr="0098635C">
        <w:rPr>
          <w:color w:val="000000" w:themeColor="text1"/>
          <w:sz w:val="20"/>
          <w:szCs w:val="20"/>
        </w:rPr>
        <w:t>The predicted inhalation absorption factors vary between 14 and 21%. These values may be considered as conservative for copper powder, copper (II) oxide and copper sulphate pentahydrate. Absorption rates similar to those of skin (i.e., 0.3%) are commonly considered appropriate. As a consequence, the predicted absorption factors of 14% entail an overestimation in assuming full translocation to the GI tract.</w:t>
      </w:r>
    </w:p>
    <w:p w14:paraId="17CC71E3" w14:textId="77777777" w:rsidR="008D1AE9" w:rsidRPr="0098635C" w:rsidRDefault="00D05142" w:rsidP="008D1AE9">
      <w:pPr>
        <w:rPr>
          <w:b/>
          <w:i/>
          <w:color w:val="000000" w:themeColor="text1"/>
          <w:sz w:val="20"/>
          <w:szCs w:val="20"/>
        </w:rPr>
      </w:pPr>
      <w:r w:rsidRPr="0098635C">
        <w:rPr>
          <w:b/>
          <w:i/>
          <w:color w:val="000000" w:themeColor="text1"/>
          <w:sz w:val="20"/>
          <w:szCs w:val="20"/>
        </w:rPr>
        <w:t>Conclusion</w:t>
      </w:r>
      <w:r w:rsidR="0098645E" w:rsidRPr="0098635C">
        <w:rPr>
          <w:b/>
          <w:i/>
          <w:color w:val="000000" w:themeColor="text1"/>
          <w:sz w:val="20"/>
          <w:szCs w:val="20"/>
        </w:rPr>
        <w:t xml:space="preserve"> on inhalation absorption</w:t>
      </w:r>
    </w:p>
    <w:p w14:paraId="5EF29787" w14:textId="76B4F05E" w:rsidR="008C5286" w:rsidRPr="0098635C" w:rsidRDefault="008D1AE9" w:rsidP="00D05142">
      <w:pPr>
        <w:pStyle w:val="TGDBodyText1"/>
        <w:rPr>
          <w:color w:val="000000" w:themeColor="text1"/>
          <w:sz w:val="20"/>
          <w:szCs w:val="20"/>
        </w:rPr>
      </w:pPr>
      <w:r w:rsidRPr="0098635C">
        <w:rPr>
          <w:color w:val="000000" w:themeColor="text1"/>
          <w:sz w:val="20"/>
          <w:szCs w:val="20"/>
        </w:rPr>
        <w:t xml:space="preserve">In absence of relevant systemic absorption data of copper, the MPPD model </w:t>
      </w:r>
      <w:r w:rsidR="008C5286" w:rsidRPr="0098635C">
        <w:rPr>
          <w:color w:val="000000" w:themeColor="text1"/>
          <w:sz w:val="20"/>
          <w:szCs w:val="20"/>
        </w:rPr>
        <w:t xml:space="preserve">can be </w:t>
      </w:r>
      <w:r w:rsidRPr="0098635C">
        <w:rPr>
          <w:color w:val="000000" w:themeColor="text1"/>
          <w:sz w:val="20"/>
          <w:szCs w:val="20"/>
        </w:rPr>
        <w:t>used to predict fractional deposition behaviour in the human respiratory tract</w:t>
      </w:r>
      <w:r w:rsidR="00841CE1" w:rsidRPr="0098635C">
        <w:rPr>
          <w:color w:val="000000" w:themeColor="text1"/>
          <w:sz w:val="20"/>
          <w:szCs w:val="20"/>
        </w:rPr>
        <w:t>.</w:t>
      </w:r>
    </w:p>
    <w:p w14:paraId="5A954895" w14:textId="77777777" w:rsidR="008D1AE9" w:rsidRPr="0098635C" w:rsidRDefault="008D1AE9" w:rsidP="00841CE1">
      <w:pPr>
        <w:pStyle w:val="Heading4"/>
        <w:rPr>
          <w:rFonts w:ascii="Times New Roman" w:hAnsi="Times New Roman"/>
          <w:color w:val="000000" w:themeColor="text1"/>
          <w:sz w:val="20"/>
        </w:rPr>
      </w:pPr>
      <w:r w:rsidRPr="0098635C">
        <w:rPr>
          <w:rFonts w:ascii="Times New Roman" w:hAnsi="Times New Roman"/>
          <w:color w:val="000000" w:themeColor="text1"/>
          <w:sz w:val="20"/>
        </w:rPr>
        <w:t>Distribution</w:t>
      </w:r>
    </w:p>
    <w:p w14:paraId="2C0E5093" w14:textId="77777777" w:rsidR="008D1AE9" w:rsidRPr="0098635C" w:rsidRDefault="008D1AE9" w:rsidP="008D1AE9">
      <w:pPr>
        <w:pStyle w:val="Heading8"/>
        <w:rPr>
          <w:color w:val="000000" w:themeColor="text1"/>
          <w:sz w:val="20"/>
          <w:szCs w:val="20"/>
        </w:rPr>
      </w:pPr>
      <w:bookmarkStart w:id="811" w:name="_Toc90773455"/>
      <w:r w:rsidRPr="0098635C">
        <w:rPr>
          <w:color w:val="000000" w:themeColor="text1"/>
          <w:sz w:val="20"/>
          <w:szCs w:val="20"/>
        </w:rPr>
        <w:t>Distribution and metabolism in animals</w:t>
      </w:r>
      <w:bookmarkEnd w:id="811"/>
    </w:p>
    <w:p w14:paraId="3C35E614" w14:textId="77777777" w:rsidR="008D1AE9" w:rsidRPr="0098635C" w:rsidRDefault="008D1AE9" w:rsidP="008D1AE9">
      <w:pPr>
        <w:pStyle w:val="BodyText"/>
        <w:rPr>
          <w:color w:val="000000" w:themeColor="text1"/>
          <w:sz w:val="20"/>
        </w:rPr>
      </w:pPr>
      <w:r w:rsidRPr="0098635C">
        <w:rPr>
          <w:color w:val="000000" w:themeColor="text1"/>
          <w:sz w:val="20"/>
        </w:rPr>
        <w:t xml:space="preserve">Marceau et al (1970) observed that plasma transport of copper in rats is a saturable process (decline of Cu-levels at high doses). Experiments conducted by Weiss and Linder (1985) support the generally accepted two-stage model of copper transport. The liver is the major organ involved in copper distribution and exerts homeostatic control over extra-hepatic copper by regulating its release (Harris 2000). </w:t>
      </w:r>
    </w:p>
    <w:p w14:paraId="7AC85C76" w14:textId="77777777" w:rsidR="008D1AE9" w:rsidRPr="0098635C" w:rsidRDefault="008D1AE9" w:rsidP="008D1AE9">
      <w:pPr>
        <w:pStyle w:val="Heading8"/>
        <w:rPr>
          <w:color w:val="000000" w:themeColor="text1"/>
          <w:sz w:val="20"/>
          <w:szCs w:val="20"/>
        </w:rPr>
      </w:pPr>
      <w:bookmarkStart w:id="812" w:name="_Toc525553604"/>
      <w:bookmarkStart w:id="813" w:name="_Toc90773456"/>
      <w:r w:rsidRPr="0098635C">
        <w:rPr>
          <w:color w:val="000000" w:themeColor="text1"/>
          <w:sz w:val="20"/>
          <w:szCs w:val="20"/>
        </w:rPr>
        <w:t>Distribution</w:t>
      </w:r>
      <w:bookmarkEnd w:id="812"/>
      <w:r w:rsidRPr="0098635C">
        <w:rPr>
          <w:color w:val="000000" w:themeColor="text1"/>
          <w:sz w:val="20"/>
          <w:szCs w:val="20"/>
        </w:rPr>
        <w:t xml:space="preserve"> and metabolism in humans</w:t>
      </w:r>
      <w:bookmarkEnd w:id="813"/>
    </w:p>
    <w:p w14:paraId="73901AD8" w14:textId="29D2CE90" w:rsidR="008D1AE9" w:rsidRPr="0098635C" w:rsidRDefault="008D1AE9" w:rsidP="008D1AE9">
      <w:pPr>
        <w:pStyle w:val="BodyText"/>
        <w:rPr>
          <w:color w:val="000000" w:themeColor="text1"/>
          <w:sz w:val="20"/>
        </w:rPr>
      </w:pPr>
      <w:r w:rsidRPr="0098635C">
        <w:rPr>
          <w:color w:val="000000" w:themeColor="text1"/>
          <w:sz w:val="20"/>
        </w:rPr>
        <w:t xml:space="preserve">Results from studies investigating copper levels in human tissues and organs are summarised in </w:t>
      </w:r>
      <w:r w:rsidR="00E230FB" w:rsidRPr="0098635C">
        <w:rPr>
          <w:iCs/>
          <w:color w:val="000000" w:themeColor="text1"/>
          <w:sz w:val="20"/>
        </w:rPr>
        <w:fldChar w:fldCharType="begin"/>
      </w:r>
      <w:r w:rsidRPr="0098635C">
        <w:rPr>
          <w:color w:val="000000" w:themeColor="text1"/>
          <w:sz w:val="20"/>
        </w:rPr>
        <w:instrText xml:space="preserve"> REF _Ref259970211 \h </w:instrText>
      </w:r>
      <w:r w:rsidR="003E648B" w:rsidRPr="0098635C">
        <w:rPr>
          <w:iCs/>
          <w:color w:val="000000" w:themeColor="text1"/>
          <w:sz w:val="20"/>
        </w:rPr>
        <w:instrText xml:space="preserve"> \* MERGEFORMAT </w:instrText>
      </w:r>
      <w:r w:rsidR="00E230FB" w:rsidRPr="0098635C">
        <w:rPr>
          <w:iCs/>
          <w:color w:val="000000" w:themeColor="text1"/>
          <w:sz w:val="20"/>
        </w:rPr>
      </w:r>
      <w:r w:rsidR="00E230FB" w:rsidRPr="0098635C">
        <w:rPr>
          <w:iCs/>
          <w:color w:val="000000" w:themeColor="text1"/>
          <w:sz w:val="20"/>
        </w:rPr>
        <w:fldChar w:fldCharType="separate"/>
      </w:r>
      <w:r w:rsidR="00690E61" w:rsidRPr="0098635C">
        <w:rPr>
          <w:color w:val="000000" w:themeColor="text1"/>
          <w:sz w:val="20"/>
        </w:rPr>
        <w:t xml:space="preserve">Table </w:t>
      </w:r>
      <w:r w:rsidR="00690E61" w:rsidRPr="0098635C">
        <w:rPr>
          <w:noProof/>
          <w:color w:val="000000" w:themeColor="text1"/>
          <w:sz w:val="20"/>
        </w:rPr>
        <w:t>9</w:t>
      </w:r>
      <w:r w:rsidR="00E230FB" w:rsidRPr="0098635C">
        <w:rPr>
          <w:iCs/>
          <w:color w:val="000000" w:themeColor="text1"/>
          <w:sz w:val="20"/>
        </w:rPr>
        <w:fldChar w:fldCharType="end"/>
      </w:r>
      <w:r w:rsidRPr="0098635C">
        <w:rPr>
          <w:iCs/>
          <w:color w:val="000000" w:themeColor="text1"/>
          <w:sz w:val="20"/>
        </w:rPr>
        <w:t>.</w:t>
      </w:r>
      <w:r w:rsidRPr="0098635C">
        <w:rPr>
          <w:color w:val="000000" w:themeColor="text1"/>
          <w:sz w:val="20"/>
        </w:rPr>
        <w:t xml:space="preserve">  The data indicate that liver and brain are the organs containing the highest concentrations of copper. </w:t>
      </w:r>
      <w:bookmarkStart w:id="814" w:name="_Toc525553605"/>
    </w:p>
    <w:p w14:paraId="7A62B398" w14:textId="77777777" w:rsidR="008D1AE9" w:rsidRPr="0098635C" w:rsidRDefault="008D1AE9" w:rsidP="008D1AE9">
      <w:pPr>
        <w:pStyle w:val="Heading8"/>
        <w:rPr>
          <w:color w:val="000000" w:themeColor="text1"/>
          <w:sz w:val="20"/>
          <w:szCs w:val="20"/>
        </w:rPr>
      </w:pPr>
      <w:bookmarkStart w:id="815" w:name="_Toc90773457"/>
      <w:r w:rsidRPr="0098635C">
        <w:rPr>
          <w:color w:val="000000" w:themeColor="text1"/>
          <w:sz w:val="20"/>
          <w:szCs w:val="20"/>
        </w:rPr>
        <w:t>Summary of distribution and metabolism</w:t>
      </w:r>
      <w:bookmarkEnd w:id="815"/>
    </w:p>
    <w:p w14:paraId="3790DA69" w14:textId="77777777" w:rsidR="008D1AE9" w:rsidRPr="0098635C" w:rsidRDefault="008D1AE9" w:rsidP="008D1AE9">
      <w:pPr>
        <w:pStyle w:val="BodyText"/>
        <w:rPr>
          <w:color w:val="000000" w:themeColor="text1"/>
          <w:sz w:val="20"/>
        </w:rPr>
      </w:pPr>
      <w:r w:rsidRPr="0098635C">
        <w:rPr>
          <w:color w:val="000000" w:themeColor="text1"/>
          <w:sz w:val="20"/>
        </w:rPr>
        <w:t>On entering interstitial fluid and blood plasma, absorbed copper initially becomes bound to two proteins; albumin and transcuprein. Most of the copper bound to albumin and transcuprein is rapidly transported via portal blood to the liver. Once in the liver, copper is incorporated into ceruloplasmin, which is subsequently released into the systemic circulation for delivery to other tissues.</w:t>
      </w:r>
    </w:p>
    <w:p w14:paraId="4B17C24A" w14:textId="77777777" w:rsidR="008D1AE9" w:rsidRPr="0098635C" w:rsidRDefault="008D1AE9" w:rsidP="008D1AE9">
      <w:pPr>
        <w:rPr>
          <w:color w:val="000000" w:themeColor="text1"/>
          <w:sz w:val="20"/>
          <w:szCs w:val="20"/>
        </w:rPr>
        <w:sectPr w:rsidR="008D1AE9" w:rsidRPr="0098635C" w:rsidSect="00AF385A">
          <w:footerReference w:type="even" r:id="rId29"/>
          <w:pgSz w:w="11909" w:h="16834" w:code="9"/>
          <w:pgMar w:top="1134" w:right="1418" w:bottom="1355" w:left="1418" w:header="720" w:footer="720" w:gutter="0"/>
          <w:cols w:space="720"/>
          <w:docGrid w:linePitch="360"/>
        </w:sectPr>
      </w:pPr>
    </w:p>
    <w:p w14:paraId="69856A0C" w14:textId="77777777" w:rsidR="008D1AE9" w:rsidRPr="0098635C" w:rsidRDefault="008D1AE9" w:rsidP="00F67B0C">
      <w:pPr>
        <w:pStyle w:val="Caption"/>
        <w:ind w:left="0"/>
        <w:jc w:val="center"/>
        <w:rPr>
          <w:b w:val="0"/>
          <w:color w:val="000000" w:themeColor="text1"/>
          <w:sz w:val="20"/>
          <w:lang w:val="en-GB"/>
        </w:rPr>
      </w:pPr>
      <w:bookmarkStart w:id="816" w:name="_Ref259970211"/>
      <w:bookmarkStart w:id="817" w:name="_Toc260323658"/>
      <w:r w:rsidRPr="0098635C">
        <w:rPr>
          <w:b w:val="0"/>
          <w:color w:val="000000" w:themeColor="text1"/>
          <w:sz w:val="20"/>
          <w:lang w:val="en-GB"/>
        </w:rPr>
        <w:lastRenderedPageBreak/>
        <w:t xml:space="preserve">Table </w:t>
      </w:r>
      <w:r w:rsidR="00E230FB" w:rsidRPr="0098635C">
        <w:rPr>
          <w:b w:val="0"/>
          <w:color w:val="000000" w:themeColor="text1"/>
          <w:sz w:val="20"/>
          <w:lang w:val="en-GB"/>
        </w:rPr>
        <w:fldChar w:fldCharType="begin"/>
      </w:r>
      <w:r w:rsidRPr="0098635C">
        <w:rPr>
          <w:b w:val="0"/>
          <w:color w:val="000000" w:themeColor="text1"/>
          <w:sz w:val="20"/>
          <w:lang w:val="en-GB"/>
        </w:rPr>
        <w:instrText xml:space="preserve"> SEQ Table \* ARABIC </w:instrText>
      </w:r>
      <w:r w:rsidR="00E230FB" w:rsidRPr="0098635C">
        <w:rPr>
          <w:b w:val="0"/>
          <w:color w:val="000000" w:themeColor="text1"/>
          <w:sz w:val="20"/>
          <w:lang w:val="en-GB"/>
        </w:rPr>
        <w:fldChar w:fldCharType="separate"/>
      </w:r>
      <w:r w:rsidR="00690E61" w:rsidRPr="0098635C">
        <w:rPr>
          <w:b w:val="0"/>
          <w:noProof/>
          <w:color w:val="000000" w:themeColor="text1"/>
          <w:sz w:val="20"/>
          <w:lang w:val="en-GB"/>
        </w:rPr>
        <w:t>9</w:t>
      </w:r>
      <w:r w:rsidR="00E230FB" w:rsidRPr="0098635C">
        <w:rPr>
          <w:b w:val="0"/>
          <w:color w:val="000000" w:themeColor="text1"/>
          <w:sz w:val="20"/>
          <w:lang w:val="en-GB"/>
        </w:rPr>
        <w:fldChar w:fldCharType="end"/>
      </w:r>
      <w:bookmarkEnd w:id="816"/>
      <w:r w:rsidRPr="0098635C">
        <w:rPr>
          <w:b w:val="0"/>
          <w:color w:val="000000" w:themeColor="text1"/>
          <w:sz w:val="20"/>
          <w:lang w:val="en-GB"/>
        </w:rPr>
        <w:t>: Summary of copper levels in human tissues</w:t>
      </w:r>
      <w:bookmarkEnd w:id="817"/>
    </w:p>
    <w:tbl>
      <w:tblPr>
        <w:tblStyle w:val="TableGrid"/>
        <w:tblW w:w="0" w:type="auto"/>
        <w:tblLook w:val="01E0" w:firstRow="1" w:lastRow="1" w:firstColumn="1" w:lastColumn="1" w:noHBand="0" w:noVBand="0"/>
      </w:tblPr>
      <w:tblGrid>
        <w:gridCol w:w="1195"/>
        <w:gridCol w:w="1027"/>
        <w:gridCol w:w="932"/>
        <w:gridCol w:w="930"/>
        <w:gridCol w:w="936"/>
        <w:gridCol w:w="937"/>
        <w:gridCol w:w="931"/>
        <w:gridCol w:w="926"/>
        <w:gridCol w:w="931"/>
        <w:gridCol w:w="931"/>
        <w:gridCol w:w="935"/>
        <w:gridCol w:w="931"/>
        <w:gridCol w:w="931"/>
        <w:gridCol w:w="931"/>
        <w:gridCol w:w="931"/>
      </w:tblGrid>
      <w:tr w:rsidR="008D1AE9" w:rsidRPr="0098635C" w14:paraId="0048A947" w14:textId="77777777" w:rsidTr="006C1D26">
        <w:trPr>
          <w:trHeight w:val="290"/>
          <w:tblHeader/>
        </w:trPr>
        <w:tc>
          <w:tcPr>
            <w:tcW w:w="1096" w:type="dxa"/>
          </w:tcPr>
          <w:p w14:paraId="3E422E0B" w14:textId="77777777" w:rsidR="008D1AE9" w:rsidRPr="0098635C" w:rsidRDefault="008D1AE9" w:rsidP="00AF385A">
            <w:pPr>
              <w:pStyle w:val="NoteLevel211"/>
              <w:rPr>
                <w:b/>
                <w:color w:val="000000" w:themeColor="text1"/>
              </w:rPr>
            </w:pPr>
            <w:bookmarkStart w:id="818" w:name="_Toc471999733"/>
            <w:bookmarkStart w:id="819" w:name="_Toc472251176"/>
            <w:r w:rsidRPr="0098635C">
              <w:rPr>
                <w:b/>
                <w:color w:val="000000" w:themeColor="text1"/>
              </w:rPr>
              <w:t>Reference</w:t>
            </w:r>
            <w:bookmarkEnd w:id="818"/>
            <w:bookmarkEnd w:id="819"/>
          </w:p>
        </w:tc>
        <w:tc>
          <w:tcPr>
            <w:tcW w:w="945" w:type="dxa"/>
          </w:tcPr>
          <w:p w14:paraId="0BED341E" w14:textId="77777777" w:rsidR="008D1AE9" w:rsidRPr="0098635C" w:rsidRDefault="008D1AE9" w:rsidP="00AF385A">
            <w:pPr>
              <w:pStyle w:val="NoteLevel211"/>
              <w:rPr>
                <w:b/>
                <w:color w:val="000000" w:themeColor="text1"/>
              </w:rPr>
            </w:pPr>
            <w:bookmarkStart w:id="820" w:name="_Toc471999734"/>
            <w:bookmarkStart w:id="821" w:name="_Toc472251177"/>
            <w:r w:rsidRPr="0098635C">
              <w:rPr>
                <w:b/>
                <w:color w:val="000000" w:themeColor="text1"/>
              </w:rPr>
              <w:t>Liver</w:t>
            </w:r>
            <w:bookmarkEnd w:id="820"/>
            <w:bookmarkEnd w:id="821"/>
          </w:p>
        </w:tc>
        <w:tc>
          <w:tcPr>
            <w:tcW w:w="935" w:type="dxa"/>
          </w:tcPr>
          <w:p w14:paraId="25F50764" w14:textId="77777777" w:rsidR="008D1AE9" w:rsidRPr="0098635C" w:rsidRDefault="008D1AE9" w:rsidP="00AF385A">
            <w:pPr>
              <w:pStyle w:val="NoteLevel211"/>
              <w:rPr>
                <w:b/>
                <w:color w:val="000000" w:themeColor="text1"/>
              </w:rPr>
            </w:pPr>
            <w:bookmarkStart w:id="822" w:name="_Toc471999735"/>
            <w:bookmarkStart w:id="823" w:name="_Toc472251178"/>
            <w:r w:rsidRPr="0098635C">
              <w:rPr>
                <w:b/>
                <w:color w:val="000000" w:themeColor="text1"/>
              </w:rPr>
              <w:t>Heart</w:t>
            </w:r>
            <w:bookmarkEnd w:id="822"/>
            <w:bookmarkEnd w:id="823"/>
          </w:p>
        </w:tc>
        <w:tc>
          <w:tcPr>
            <w:tcW w:w="934" w:type="dxa"/>
          </w:tcPr>
          <w:p w14:paraId="44294C69" w14:textId="77777777" w:rsidR="008D1AE9" w:rsidRPr="0098635C" w:rsidRDefault="008D1AE9" w:rsidP="00AF385A">
            <w:pPr>
              <w:pStyle w:val="NoteLevel211"/>
              <w:rPr>
                <w:b/>
                <w:color w:val="000000" w:themeColor="text1"/>
              </w:rPr>
            </w:pPr>
            <w:bookmarkStart w:id="824" w:name="_Toc471999736"/>
            <w:bookmarkStart w:id="825" w:name="_Toc472251179"/>
            <w:r w:rsidRPr="0098635C">
              <w:rPr>
                <w:b/>
                <w:color w:val="000000" w:themeColor="text1"/>
              </w:rPr>
              <w:t>Kidney</w:t>
            </w:r>
            <w:bookmarkEnd w:id="824"/>
            <w:bookmarkEnd w:id="825"/>
          </w:p>
        </w:tc>
        <w:tc>
          <w:tcPr>
            <w:tcW w:w="940" w:type="dxa"/>
          </w:tcPr>
          <w:p w14:paraId="7F65441D" w14:textId="77777777" w:rsidR="008D1AE9" w:rsidRPr="0098635C" w:rsidRDefault="008D1AE9" w:rsidP="00AF385A">
            <w:pPr>
              <w:pStyle w:val="NoteLevel211"/>
              <w:rPr>
                <w:b/>
                <w:color w:val="000000" w:themeColor="text1"/>
              </w:rPr>
            </w:pPr>
            <w:bookmarkStart w:id="826" w:name="_Toc471999737"/>
            <w:bookmarkStart w:id="827" w:name="_Toc472251180"/>
            <w:r w:rsidRPr="0098635C">
              <w:rPr>
                <w:b/>
                <w:color w:val="000000" w:themeColor="text1"/>
              </w:rPr>
              <w:t>Adrenals</w:t>
            </w:r>
            <w:bookmarkEnd w:id="826"/>
            <w:bookmarkEnd w:id="827"/>
          </w:p>
        </w:tc>
        <w:tc>
          <w:tcPr>
            <w:tcW w:w="941" w:type="dxa"/>
          </w:tcPr>
          <w:p w14:paraId="6AF302EB" w14:textId="77777777" w:rsidR="008D1AE9" w:rsidRPr="0098635C" w:rsidRDefault="008D1AE9" w:rsidP="00AF385A">
            <w:pPr>
              <w:pStyle w:val="NoteLevel211"/>
              <w:rPr>
                <w:b/>
                <w:color w:val="000000" w:themeColor="text1"/>
              </w:rPr>
            </w:pPr>
            <w:bookmarkStart w:id="828" w:name="_Toc471999738"/>
            <w:bookmarkStart w:id="829" w:name="_Toc472251181"/>
            <w:r w:rsidRPr="0098635C">
              <w:rPr>
                <w:b/>
                <w:color w:val="000000" w:themeColor="text1"/>
              </w:rPr>
              <w:t>Pancreas</w:t>
            </w:r>
            <w:bookmarkEnd w:id="828"/>
            <w:bookmarkEnd w:id="829"/>
          </w:p>
        </w:tc>
        <w:tc>
          <w:tcPr>
            <w:tcW w:w="935" w:type="dxa"/>
          </w:tcPr>
          <w:p w14:paraId="07C3F147" w14:textId="77777777" w:rsidR="008D1AE9" w:rsidRPr="0098635C" w:rsidRDefault="008D1AE9" w:rsidP="00AF385A">
            <w:pPr>
              <w:pStyle w:val="NoteLevel211"/>
              <w:rPr>
                <w:b/>
                <w:color w:val="000000" w:themeColor="text1"/>
              </w:rPr>
            </w:pPr>
            <w:bookmarkStart w:id="830" w:name="_Toc471999739"/>
            <w:bookmarkStart w:id="831" w:name="_Toc472251182"/>
            <w:r w:rsidRPr="0098635C">
              <w:rPr>
                <w:b/>
                <w:color w:val="000000" w:themeColor="text1"/>
              </w:rPr>
              <w:t>Spleen</w:t>
            </w:r>
            <w:bookmarkEnd w:id="830"/>
            <w:bookmarkEnd w:id="831"/>
          </w:p>
        </w:tc>
        <w:tc>
          <w:tcPr>
            <w:tcW w:w="939" w:type="dxa"/>
          </w:tcPr>
          <w:p w14:paraId="030BE6AC" w14:textId="77777777" w:rsidR="008D1AE9" w:rsidRPr="0098635C" w:rsidRDefault="008D1AE9" w:rsidP="00AF385A">
            <w:pPr>
              <w:pStyle w:val="NoteLevel211"/>
              <w:rPr>
                <w:b/>
                <w:color w:val="000000" w:themeColor="text1"/>
              </w:rPr>
            </w:pPr>
            <w:bookmarkStart w:id="832" w:name="_Toc471999740"/>
            <w:bookmarkStart w:id="833" w:name="_Toc472251183"/>
            <w:r w:rsidRPr="0098635C">
              <w:rPr>
                <w:b/>
                <w:color w:val="000000" w:themeColor="text1"/>
              </w:rPr>
              <w:t>Intestine</w:t>
            </w:r>
            <w:bookmarkEnd w:id="832"/>
            <w:bookmarkEnd w:id="833"/>
          </w:p>
        </w:tc>
        <w:tc>
          <w:tcPr>
            <w:tcW w:w="935" w:type="dxa"/>
          </w:tcPr>
          <w:p w14:paraId="7A9CF899" w14:textId="77777777" w:rsidR="008D1AE9" w:rsidRPr="0098635C" w:rsidRDefault="008D1AE9" w:rsidP="00AF385A">
            <w:pPr>
              <w:pStyle w:val="NoteLevel211"/>
              <w:rPr>
                <w:b/>
                <w:color w:val="000000" w:themeColor="text1"/>
              </w:rPr>
            </w:pPr>
            <w:bookmarkStart w:id="834" w:name="_Toc471999741"/>
            <w:bookmarkStart w:id="835" w:name="_Toc472251184"/>
            <w:r w:rsidRPr="0098635C">
              <w:rPr>
                <w:b/>
                <w:color w:val="000000" w:themeColor="text1"/>
              </w:rPr>
              <w:t>Muscle</w:t>
            </w:r>
            <w:bookmarkEnd w:id="834"/>
            <w:bookmarkEnd w:id="835"/>
          </w:p>
        </w:tc>
        <w:tc>
          <w:tcPr>
            <w:tcW w:w="935" w:type="dxa"/>
          </w:tcPr>
          <w:p w14:paraId="72F9F48D" w14:textId="77777777" w:rsidR="008D1AE9" w:rsidRPr="0098635C" w:rsidRDefault="008D1AE9" w:rsidP="00AF385A">
            <w:pPr>
              <w:pStyle w:val="NoteLevel211"/>
              <w:rPr>
                <w:b/>
                <w:color w:val="000000" w:themeColor="text1"/>
              </w:rPr>
            </w:pPr>
            <w:bookmarkStart w:id="836" w:name="_Toc471999742"/>
            <w:bookmarkStart w:id="837" w:name="_Toc472251185"/>
            <w:r w:rsidRPr="0098635C">
              <w:rPr>
                <w:b/>
                <w:color w:val="000000" w:themeColor="text1"/>
              </w:rPr>
              <w:t>Rib</w:t>
            </w:r>
            <w:bookmarkEnd w:id="836"/>
            <w:bookmarkEnd w:id="837"/>
          </w:p>
        </w:tc>
        <w:tc>
          <w:tcPr>
            <w:tcW w:w="937" w:type="dxa"/>
          </w:tcPr>
          <w:p w14:paraId="7A27B670" w14:textId="77777777" w:rsidR="008D1AE9" w:rsidRPr="0098635C" w:rsidRDefault="008D1AE9" w:rsidP="00AF385A">
            <w:pPr>
              <w:pStyle w:val="NoteLevel211"/>
              <w:rPr>
                <w:b/>
                <w:color w:val="000000" w:themeColor="text1"/>
              </w:rPr>
            </w:pPr>
            <w:bookmarkStart w:id="838" w:name="_Toc471999743"/>
            <w:bookmarkStart w:id="839" w:name="_Toc472251186"/>
            <w:r w:rsidRPr="0098635C">
              <w:rPr>
                <w:b/>
                <w:color w:val="000000" w:themeColor="text1"/>
              </w:rPr>
              <w:t>Lung</w:t>
            </w:r>
            <w:bookmarkEnd w:id="838"/>
            <w:bookmarkEnd w:id="839"/>
          </w:p>
        </w:tc>
        <w:tc>
          <w:tcPr>
            <w:tcW w:w="935" w:type="dxa"/>
          </w:tcPr>
          <w:p w14:paraId="608ED235" w14:textId="77777777" w:rsidR="008D1AE9" w:rsidRPr="0098635C" w:rsidRDefault="008D1AE9" w:rsidP="00AF385A">
            <w:pPr>
              <w:pStyle w:val="NoteLevel211"/>
              <w:rPr>
                <w:b/>
                <w:color w:val="000000" w:themeColor="text1"/>
              </w:rPr>
            </w:pPr>
            <w:bookmarkStart w:id="840" w:name="_Toc471999744"/>
            <w:bookmarkStart w:id="841" w:name="_Toc472251187"/>
            <w:r w:rsidRPr="0098635C">
              <w:rPr>
                <w:b/>
                <w:color w:val="000000" w:themeColor="text1"/>
              </w:rPr>
              <w:t>Brain</w:t>
            </w:r>
            <w:bookmarkEnd w:id="840"/>
            <w:bookmarkEnd w:id="841"/>
          </w:p>
        </w:tc>
        <w:tc>
          <w:tcPr>
            <w:tcW w:w="935" w:type="dxa"/>
          </w:tcPr>
          <w:p w14:paraId="62232E44" w14:textId="77777777" w:rsidR="008D1AE9" w:rsidRPr="0098635C" w:rsidRDefault="008D1AE9" w:rsidP="00AF385A">
            <w:pPr>
              <w:pStyle w:val="NoteLevel211"/>
              <w:rPr>
                <w:b/>
                <w:color w:val="000000" w:themeColor="text1"/>
              </w:rPr>
            </w:pPr>
            <w:bookmarkStart w:id="842" w:name="_Toc471999745"/>
            <w:bookmarkStart w:id="843" w:name="_Toc472251188"/>
            <w:r w:rsidRPr="0098635C">
              <w:rPr>
                <w:b/>
                <w:color w:val="000000" w:themeColor="text1"/>
              </w:rPr>
              <w:t>Testis</w:t>
            </w:r>
            <w:bookmarkEnd w:id="842"/>
            <w:bookmarkEnd w:id="843"/>
          </w:p>
        </w:tc>
        <w:tc>
          <w:tcPr>
            <w:tcW w:w="935" w:type="dxa"/>
          </w:tcPr>
          <w:p w14:paraId="7AB2DFEF" w14:textId="77777777" w:rsidR="008D1AE9" w:rsidRPr="0098635C" w:rsidRDefault="008D1AE9" w:rsidP="00AF385A">
            <w:pPr>
              <w:pStyle w:val="NoteLevel211"/>
              <w:rPr>
                <w:b/>
                <w:color w:val="000000" w:themeColor="text1"/>
              </w:rPr>
            </w:pPr>
            <w:bookmarkStart w:id="844" w:name="_Toc471999746"/>
            <w:bookmarkStart w:id="845" w:name="_Toc472251189"/>
            <w:r w:rsidRPr="0098635C">
              <w:rPr>
                <w:b/>
                <w:color w:val="000000" w:themeColor="text1"/>
              </w:rPr>
              <w:t>Ovary</w:t>
            </w:r>
            <w:bookmarkEnd w:id="844"/>
            <w:bookmarkEnd w:id="845"/>
          </w:p>
        </w:tc>
        <w:tc>
          <w:tcPr>
            <w:tcW w:w="935" w:type="dxa"/>
          </w:tcPr>
          <w:p w14:paraId="3B45CFFB" w14:textId="77777777" w:rsidR="008D1AE9" w:rsidRPr="0098635C" w:rsidRDefault="008D1AE9" w:rsidP="00AF385A">
            <w:pPr>
              <w:pStyle w:val="NoteLevel211"/>
              <w:rPr>
                <w:b/>
                <w:color w:val="000000" w:themeColor="text1"/>
              </w:rPr>
            </w:pPr>
            <w:bookmarkStart w:id="846" w:name="_Toc471999747"/>
            <w:bookmarkStart w:id="847" w:name="_Toc472251190"/>
            <w:r w:rsidRPr="0098635C">
              <w:rPr>
                <w:b/>
                <w:color w:val="000000" w:themeColor="text1"/>
              </w:rPr>
              <w:t>Skin</w:t>
            </w:r>
            <w:bookmarkEnd w:id="846"/>
            <w:bookmarkEnd w:id="847"/>
          </w:p>
        </w:tc>
      </w:tr>
      <w:tr w:rsidR="008D1AE9" w:rsidRPr="0098635C" w14:paraId="6CFB4D33" w14:textId="77777777" w:rsidTr="006C1D26">
        <w:trPr>
          <w:trHeight w:val="707"/>
        </w:trPr>
        <w:tc>
          <w:tcPr>
            <w:tcW w:w="1096" w:type="dxa"/>
          </w:tcPr>
          <w:p w14:paraId="7E92BB24" w14:textId="77777777" w:rsidR="008D1AE9" w:rsidRPr="0098635C" w:rsidRDefault="008D1AE9" w:rsidP="00AF385A">
            <w:pPr>
              <w:pStyle w:val="NoteLevel211"/>
              <w:rPr>
                <w:color w:val="000000" w:themeColor="text1"/>
              </w:rPr>
            </w:pPr>
            <w:bookmarkStart w:id="848" w:name="_Toc471999748"/>
            <w:bookmarkStart w:id="849" w:name="_Toc472251191"/>
            <w:r w:rsidRPr="0098635C">
              <w:rPr>
                <w:color w:val="000000" w:themeColor="text1"/>
              </w:rPr>
              <w:t>Cartwright &amp; Wintrobe (1964)</w:t>
            </w:r>
            <w:bookmarkEnd w:id="848"/>
            <w:bookmarkEnd w:id="849"/>
          </w:p>
        </w:tc>
        <w:tc>
          <w:tcPr>
            <w:tcW w:w="945" w:type="dxa"/>
          </w:tcPr>
          <w:p w14:paraId="5E2256AE" w14:textId="77777777" w:rsidR="008D1AE9" w:rsidRPr="0098635C" w:rsidRDefault="008D1AE9" w:rsidP="00AF385A">
            <w:pPr>
              <w:pStyle w:val="NoteLevel211"/>
              <w:rPr>
                <w:color w:val="000000" w:themeColor="text1"/>
              </w:rPr>
            </w:pPr>
            <w:bookmarkStart w:id="850" w:name="_Toc471999749"/>
            <w:bookmarkStart w:id="851" w:name="_Toc472251192"/>
            <w:r w:rsidRPr="0098635C">
              <w:rPr>
                <w:color w:val="000000" w:themeColor="text1"/>
              </w:rPr>
              <w:t>5.1</w:t>
            </w:r>
            <w:bookmarkEnd w:id="850"/>
            <w:bookmarkEnd w:id="851"/>
          </w:p>
          <w:p w14:paraId="66642A26" w14:textId="77777777" w:rsidR="008D1AE9" w:rsidRPr="0098635C" w:rsidRDefault="008D1AE9" w:rsidP="00AF385A">
            <w:pPr>
              <w:pStyle w:val="NoteLevel211"/>
              <w:rPr>
                <w:color w:val="000000" w:themeColor="text1"/>
              </w:rPr>
            </w:pPr>
            <w:bookmarkStart w:id="852" w:name="_Toc471999750"/>
            <w:bookmarkStart w:id="853" w:name="_Toc472251193"/>
            <w:r w:rsidRPr="0098635C">
              <w:rPr>
                <w:color w:val="000000" w:themeColor="text1"/>
              </w:rPr>
              <w:t>(5)</w:t>
            </w:r>
            <w:bookmarkEnd w:id="852"/>
            <w:bookmarkEnd w:id="853"/>
          </w:p>
        </w:tc>
        <w:tc>
          <w:tcPr>
            <w:tcW w:w="935" w:type="dxa"/>
          </w:tcPr>
          <w:p w14:paraId="2BB1E4F3" w14:textId="77777777" w:rsidR="008D1AE9" w:rsidRPr="0098635C" w:rsidRDefault="008D1AE9" w:rsidP="00AF385A">
            <w:pPr>
              <w:pStyle w:val="NoteLevel211"/>
              <w:rPr>
                <w:color w:val="000000" w:themeColor="text1"/>
              </w:rPr>
            </w:pPr>
            <w:bookmarkStart w:id="854" w:name="_Toc471999751"/>
            <w:bookmarkStart w:id="855" w:name="_Toc472251194"/>
            <w:r w:rsidRPr="0098635C">
              <w:rPr>
                <w:color w:val="000000" w:themeColor="text1"/>
              </w:rPr>
              <w:t>3.0</w:t>
            </w:r>
            <w:bookmarkEnd w:id="854"/>
            <w:bookmarkEnd w:id="855"/>
          </w:p>
          <w:p w14:paraId="62A8FC64" w14:textId="77777777" w:rsidR="008D1AE9" w:rsidRPr="0098635C" w:rsidRDefault="008D1AE9" w:rsidP="00AF385A">
            <w:pPr>
              <w:pStyle w:val="NoteLevel211"/>
              <w:rPr>
                <w:color w:val="000000" w:themeColor="text1"/>
              </w:rPr>
            </w:pPr>
            <w:bookmarkStart w:id="856" w:name="_Toc471999752"/>
            <w:bookmarkStart w:id="857" w:name="_Toc472251195"/>
            <w:r w:rsidRPr="0098635C">
              <w:rPr>
                <w:color w:val="000000" w:themeColor="text1"/>
              </w:rPr>
              <w:t>(5)</w:t>
            </w:r>
            <w:bookmarkEnd w:id="856"/>
            <w:bookmarkEnd w:id="857"/>
          </w:p>
        </w:tc>
        <w:tc>
          <w:tcPr>
            <w:tcW w:w="934" w:type="dxa"/>
          </w:tcPr>
          <w:p w14:paraId="07E7786D" w14:textId="77777777" w:rsidR="008D1AE9" w:rsidRPr="0098635C" w:rsidRDefault="008D1AE9" w:rsidP="00AF385A">
            <w:pPr>
              <w:pStyle w:val="NoteLevel211"/>
              <w:rPr>
                <w:color w:val="000000" w:themeColor="text1"/>
              </w:rPr>
            </w:pPr>
            <w:bookmarkStart w:id="858" w:name="_Toc471999753"/>
            <w:bookmarkStart w:id="859" w:name="_Toc472251196"/>
            <w:r w:rsidRPr="0098635C">
              <w:rPr>
                <w:color w:val="000000" w:themeColor="text1"/>
              </w:rPr>
              <w:t>2.0</w:t>
            </w:r>
            <w:bookmarkEnd w:id="858"/>
            <w:bookmarkEnd w:id="859"/>
          </w:p>
          <w:p w14:paraId="560396E2" w14:textId="77777777" w:rsidR="008D1AE9" w:rsidRPr="0098635C" w:rsidRDefault="008D1AE9" w:rsidP="00AF385A">
            <w:pPr>
              <w:pStyle w:val="NoteLevel211"/>
              <w:rPr>
                <w:color w:val="000000" w:themeColor="text1"/>
              </w:rPr>
            </w:pPr>
            <w:bookmarkStart w:id="860" w:name="_Toc471999754"/>
            <w:bookmarkStart w:id="861" w:name="_Toc472251197"/>
            <w:r w:rsidRPr="0098635C">
              <w:rPr>
                <w:color w:val="000000" w:themeColor="text1"/>
              </w:rPr>
              <w:t>(5)</w:t>
            </w:r>
            <w:bookmarkEnd w:id="860"/>
            <w:bookmarkEnd w:id="861"/>
          </w:p>
        </w:tc>
        <w:tc>
          <w:tcPr>
            <w:tcW w:w="940" w:type="dxa"/>
          </w:tcPr>
          <w:p w14:paraId="62C03929" w14:textId="77777777" w:rsidR="008D1AE9" w:rsidRPr="0098635C" w:rsidRDefault="008D1AE9" w:rsidP="00AF385A">
            <w:pPr>
              <w:pStyle w:val="NoteLevel211"/>
              <w:rPr>
                <w:color w:val="000000" w:themeColor="text1"/>
              </w:rPr>
            </w:pPr>
          </w:p>
        </w:tc>
        <w:tc>
          <w:tcPr>
            <w:tcW w:w="941" w:type="dxa"/>
          </w:tcPr>
          <w:p w14:paraId="035DCAAA" w14:textId="77777777" w:rsidR="008D1AE9" w:rsidRPr="0098635C" w:rsidRDefault="008D1AE9" w:rsidP="00AF385A">
            <w:pPr>
              <w:pStyle w:val="NoteLevel211"/>
              <w:rPr>
                <w:color w:val="000000" w:themeColor="text1"/>
              </w:rPr>
            </w:pPr>
          </w:p>
        </w:tc>
        <w:tc>
          <w:tcPr>
            <w:tcW w:w="935" w:type="dxa"/>
          </w:tcPr>
          <w:p w14:paraId="40349D65" w14:textId="77777777" w:rsidR="008D1AE9" w:rsidRPr="0098635C" w:rsidRDefault="008D1AE9" w:rsidP="00AF385A">
            <w:pPr>
              <w:pStyle w:val="NoteLevel211"/>
              <w:rPr>
                <w:color w:val="000000" w:themeColor="text1"/>
              </w:rPr>
            </w:pPr>
            <w:bookmarkStart w:id="862" w:name="_Toc471999755"/>
            <w:bookmarkStart w:id="863" w:name="_Toc472251198"/>
            <w:r w:rsidRPr="0098635C">
              <w:rPr>
                <w:color w:val="000000" w:themeColor="text1"/>
              </w:rPr>
              <w:t>0.8</w:t>
            </w:r>
            <w:bookmarkEnd w:id="862"/>
            <w:bookmarkEnd w:id="863"/>
          </w:p>
          <w:p w14:paraId="3D870A07" w14:textId="77777777" w:rsidR="008D1AE9" w:rsidRPr="0098635C" w:rsidRDefault="008D1AE9" w:rsidP="00AF385A">
            <w:pPr>
              <w:pStyle w:val="NoteLevel211"/>
              <w:rPr>
                <w:color w:val="000000" w:themeColor="text1"/>
              </w:rPr>
            </w:pPr>
            <w:bookmarkStart w:id="864" w:name="_Toc471999756"/>
            <w:bookmarkStart w:id="865" w:name="_Toc472251199"/>
            <w:r w:rsidRPr="0098635C">
              <w:rPr>
                <w:color w:val="000000" w:themeColor="text1"/>
              </w:rPr>
              <w:t>(5)</w:t>
            </w:r>
            <w:bookmarkEnd w:id="864"/>
            <w:bookmarkEnd w:id="865"/>
          </w:p>
        </w:tc>
        <w:tc>
          <w:tcPr>
            <w:tcW w:w="939" w:type="dxa"/>
          </w:tcPr>
          <w:p w14:paraId="00987C53" w14:textId="77777777" w:rsidR="008D1AE9" w:rsidRPr="0098635C" w:rsidRDefault="008D1AE9" w:rsidP="00AF385A">
            <w:pPr>
              <w:pStyle w:val="NoteLevel211"/>
              <w:rPr>
                <w:color w:val="000000" w:themeColor="text1"/>
              </w:rPr>
            </w:pPr>
          </w:p>
        </w:tc>
        <w:tc>
          <w:tcPr>
            <w:tcW w:w="935" w:type="dxa"/>
          </w:tcPr>
          <w:p w14:paraId="74E61E18" w14:textId="77777777" w:rsidR="008D1AE9" w:rsidRPr="0098635C" w:rsidRDefault="008D1AE9" w:rsidP="00AF385A">
            <w:pPr>
              <w:pStyle w:val="NoteLevel211"/>
              <w:rPr>
                <w:color w:val="000000" w:themeColor="text1"/>
              </w:rPr>
            </w:pPr>
            <w:bookmarkStart w:id="866" w:name="_Toc471999757"/>
            <w:bookmarkStart w:id="867" w:name="_Toc472251200"/>
            <w:r w:rsidRPr="0098635C">
              <w:rPr>
                <w:color w:val="000000" w:themeColor="text1"/>
              </w:rPr>
              <w:t>0.9</w:t>
            </w:r>
            <w:bookmarkEnd w:id="866"/>
            <w:bookmarkEnd w:id="867"/>
          </w:p>
          <w:p w14:paraId="3B1D636D" w14:textId="77777777" w:rsidR="008D1AE9" w:rsidRPr="0098635C" w:rsidRDefault="008D1AE9" w:rsidP="00AF385A">
            <w:pPr>
              <w:pStyle w:val="NoteLevel211"/>
              <w:rPr>
                <w:color w:val="000000" w:themeColor="text1"/>
              </w:rPr>
            </w:pPr>
            <w:bookmarkStart w:id="868" w:name="_Toc471999758"/>
            <w:bookmarkStart w:id="869" w:name="_Toc472251201"/>
            <w:r w:rsidRPr="0098635C">
              <w:rPr>
                <w:color w:val="000000" w:themeColor="text1"/>
              </w:rPr>
              <w:t>(5)</w:t>
            </w:r>
            <w:bookmarkEnd w:id="868"/>
            <w:bookmarkEnd w:id="869"/>
          </w:p>
        </w:tc>
        <w:tc>
          <w:tcPr>
            <w:tcW w:w="935" w:type="dxa"/>
          </w:tcPr>
          <w:p w14:paraId="717C1068" w14:textId="77777777" w:rsidR="008D1AE9" w:rsidRPr="0098635C" w:rsidRDefault="008D1AE9" w:rsidP="00AF385A">
            <w:pPr>
              <w:pStyle w:val="NoteLevel211"/>
              <w:rPr>
                <w:color w:val="000000" w:themeColor="text1"/>
              </w:rPr>
            </w:pPr>
          </w:p>
        </w:tc>
        <w:tc>
          <w:tcPr>
            <w:tcW w:w="937" w:type="dxa"/>
          </w:tcPr>
          <w:p w14:paraId="3F8E4E62" w14:textId="77777777" w:rsidR="008D1AE9" w:rsidRPr="0098635C" w:rsidRDefault="008D1AE9" w:rsidP="00AF385A">
            <w:pPr>
              <w:pStyle w:val="NoteLevel211"/>
              <w:rPr>
                <w:color w:val="000000" w:themeColor="text1"/>
              </w:rPr>
            </w:pPr>
          </w:p>
        </w:tc>
        <w:tc>
          <w:tcPr>
            <w:tcW w:w="935" w:type="dxa"/>
          </w:tcPr>
          <w:p w14:paraId="5161CEF5" w14:textId="77777777" w:rsidR="008D1AE9" w:rsidRPr="0098635C" w:rsidRDefault="008D1AE9" w:rsidP="00AF385A">
            <w:pPr>
              <w:pStyle w:val="NoteLevel211"/>
              <w:rPr>
                <w:color w:val="000000" w:themeColor="text1"/>
              </w:rPr>
            </w:pPr>
            <w:bookmarkStart w:id="870" w:name="_Toc471999759"/>
            <w:bookmarkStart w:id="871" w:name="_Toc472251202"/>
            <w:r w:rsidRPr="0098635C">
              <w:rPr>
                <w:color w:val="000000" w:themeColor="text1"/>
              </w:rPr>
              <w:t>6.3</w:t>
            </w:r>
            <w:bookmarkEnd w:id="870"/>
            <w:bookmarkEnd w:id="871"/>
          </w:p>
          <w:p w14:paraId="304D602D" w14:textId="77777777" w:rsidR="008D1AE9" w:rsidRPr="0098635C" w:rsidRDefault="008D1AE9" w:rsidP="00AF385A">
            <w:pPr>
              <w:pStyle w:val="NoteLevel211"/>
              <w:rPr>
                <w:color w:val="000000" w:themeColor="text1"/>
              </w:rPr>
            </w:pPr>
            <w:bookmarkStart w:id="872" w:name="_Toc471999760"/>
            <w:bookmarkStart w:id="873" w:name="_Toc472251203"/>
            <w:r w:rsidRPr="0098635C">
              <w:rPr>
                <w:color w:val="000000" w:themeColor="text1"/>
              </w:rPr>
              <w:t>(5)</w:t>
            </w:r>
            <w:bookmarkEnd w:id="872"/>
            <w:bookmarkEnd w:id="873"/>
          </w:p>
        </w:tc>
        <w:tc>
          <w:tcPr>
            <w:tcW w:w="935" w:type="dxa"/>
          </w:tcPr>
          <w:p w14:paraId="236F69A7" w14:textId="77777777" w:rsidR="008D1AE9" w:rsidRPr="0098635C" w:rsidRDefault="008D1AE9" w:rsidP="00AF385A">
            <w:pPr>
              <w:pStyle w:val="NoteLevel211"/>
              <w:rPr>
                <w:color w:val="000000" w:themeColor="text1"/>
              </w:rPr>
            </w:pPr>
          </w:p>
        </w:tc>
        <w:tc>
          <w:tcPr>
            <w:tcW w:w="935" w:type="dxa"/>
          </w:tcPr>
          <w:p w14:paraId="0434F434" w14:textId="77777777" w:rsidR="008D1AE9" w:rsidRPr="0098635C" w:rsidRDefault="008D1AE9" w:rsidP="00AF385A">
            <w:pPr>
              <w:pStyle w:val="NoteLevel211"/>
              <w:rPr>
                <w:color w:val="000000" w:themeColor="text1"/>
              </w:rPr>
            </w:pPr>
          </w:p>
        </w:tc>
        <w:tc>
          <w:tcPr>
            <w:tcW w:w="935" w:type="dxa"/>
          </w:tcPr>
          <w:p w14:paraId="7E891BC5" w14:textId="77777777" w:rsidR="008D1AE9" w:rsidRPr="0098635C" w:rsidRDefault="008D1AE9" w:rsidP="00AF385A">
            <w:pPr>
              <w:pStyle w:val="NoteLevel211"/>
              <w:rPr>
                <w:color w:val="000000" w:themeColor="text1"/>
              </w:rPr>
            </w:pPr>
          </w:p>
        </w:tc>
      </w:tr>
      <w:tr w:rsidR="008D1AE9" w:rsidRPr="0098635C" w14:paraId="2471B5BA" w14:textId="77777777" w:rsidTr="006C1D26">
        <w:trPr>
          <w:trHeight w:val="507"/>
        </w:trPr>
        <w:tc>
          <w:tcPr>
            <w:tcW w:w="1096" w:type="dxa"/>
          </w:tcPr>
          <w:p w14:paraId="7FCD8872" w14:textId="77777777" w:rsidR="008D1AE9" w:rsidRPr="0098635C" w:rsidRDefault="008D1AE9" w:rsidP="00AF385A">
            <w:pPr>
              <w:pStyle w:val="NoteLevel211"/>
              <w:rPr>
                <w:color w:val="000000" w:themeColor="text1"/>
              </w:rPr>
            </w:pPr>
            <w:bookmarkStart w:id="874" w:name="_Toc471999761"/>
            <w:bookmarkStart w:id="875" w:name="_Toc472251204"/>
            <w:r w:rsidRPr="0098635C">
              <w:rPr>
                <w:color w:val="000000" w:themeColor="text1"/>
              </w:rPr>
              <w:t>Hamilton et al (1972)</w:t>
            </w:r>
            <w:bookmarkEnd w:id="874"/>
            <w:bookmarkEnd w:id="875"/>
          </w:p>
        </w:tc>
        <w:tc>
          <w:tcPr>
            <w:tcW w:w="945" w:type="dxa"/>
          </w:tcPr>
          <w:p w14:paraId="0AF8856A" w14:textId="77777777" w:rsidR="008D1AE9" w:rsidRPr="0098635C" w:rsidRDefault="008D1AE9" w:rsidP="00AF385A">
            <w:pPr>
              <w:pStyle w:val="NoteLevel211"/>
              <w:rPr>
                <w:color w:val="000000" w:themeColor="text1"/>
              </w:rPr>
            </w:pPr>
            <w:bookmarkStart w:id="876" w:name="_Toc471999762"/>
            <w:bookmarkStart w:id="877" w:name="_Toc472251205"/>
            <w:r w:rsidRPr="0098635C">
              <w:rPr>
                <w:color w:val="000000" w:themeColor="text1"/>
              </w:rPr>
              <w:t>14.7±10.3 (7)</w:t>
            </w:r>
            <w:bookmarkEnd w:id="876"/>
            <w:bookmarkEnd w:id="877"/>
          </w:p>
        </w:tc>
        <w:tc>
          <w:tcPr>
            <w:tcW w:w="935" w:type="dxa"/>
          </w:tcPr>
          <w:p w14:paraId="7B22DAB1" w14:textId="77777777" w:rsidR="008D1AE9" w:rsidRPr="0098635C" w:rsidRDefault="008D1AE9" w:rsidP="00AF385A">
            <w:pPr>
              <w:pStyle w:val="NoteLevel211"/>
              <w:rPr>
                <w:color w:val="000000" w:themeColor="text1"/>
              </w:rPr>
            </w:pPr>
          </w:p>
        </w:tc>
        <w:tc>
          <w:tcPr>
            <w:tcW w:w="934" w:type="dxa"/>
          </w:tcPr>
          <w:p w14:paraId="032CB86F" w14:textId="77777777" w:rsidR="008D1AE9" w:rsidRPr="0098635C" w:rsidRDefault="008D1AE9" w:rsidP="00AF385A">
            <w:pPr>
              <w:pStyle w:val="NoteLevel211"/>
              <w:rPr>
                <w:color w:val="000000" w:themeColor="text1"/>
              </w:rPr>
            </w:pPr>
          </w:p>
        </w:tc>
        <w:tc>
          <w:tcPr>
            <w:tcW w:w="940" w:type="dxa"/>
          </w:tcPr>
          <w:p w14:paraId="65AC1ED0" w14:textId="77777777" w:rsidR="008D1AE9" w:rsidRPr="0098635C" w:rsidRDefault="008D1AE9" w:rsidP="00AF385A">
            <w:pPr>
              <w:pStyle w:val="NoteLevel211"/>
              <w:rPr>
                <w:color w:val="000000" w:themeColor="text1"/>
              </w:rPr>
            </w:pPr>
          </w:p>
        </w:tc>
        <w:tc>
          <w:tcPr>
            <w:tcW w:w="941" w:type="dxa"/>
          </w:tcPr>
          <w:p w14:paraId="1726FD04" w14:textId="77777777" w:rsidR="008D1AE9" w:rsidRPr="0098635C" w:rsidRDefault="008D1AE9" w:rsidP="00AF385A">
            <w:pPr>
              <w:pStyle w:val="NoteLevel211"/>
              <w:rPr>
                <w:color w:val="000000" w:themeColor="text1"/>
              </w:rPr>
            </w:pPr>
          </w:p>
        </w:tc>
        <w:tc>
          <w:tcPr>
            <w:tcW w:w="935" w:type="dxa"/>
          </w:tcPr>
          <w:p w14:paraId="4DC538B3" w14:textId="77777777" w:rsidR="008D1AE9" w:rsidRPr="0098635C" w:rsidRDefault="008D1AE9" w:rsidP="00AF385A">
            <w:pPr>
              <w:pStyle w:val="NoteLevel211"/>
              <w:rPr>
                <w:color w:val="000000" w:themeColor="text1"/>
              </w:rPr>
            </w:pPr>
          </w:p>
        </w:tc>
        <w:tc>
          <w:tcPr>
            <w:tcW w:w="939" w:type="dxa"/>
          </w:tcPr>
          <w:p w14:paraId="221D185A" w14:textId="77777777" w:rsidR="008D1AE9" w:rsidRPr="0098635C" w:rsidRDefault="008D1AE9" w:rsidP="00AF385A">
            <w:pPr>
              <w:pStyle w:val="NoteLevel211"/>
              <w:rPr>
                <w:color w:val="000000" w:themeColor="text1"/>
              </w:rPr>
            </w:pPr>
          </w:p>
        </w:tc>
        <w:tc>
          <w:tcPr>
            <w:tcW w:w="935" w:type="dxa"/>
          </w:tcPr>
          <w:p w14:paraId="513BE8B2" w14:textId="77777777" w:rsidR="008D1AE9" w:rsidRPr="0098635C" w:rsidRDefault="008D1AE9" w:rsidP="00AF385A">
            <w:pPr>
              <w:pStyle w:val="NoteLevel211"/>
              <w:rPr>
                <w:color w:val="000000" w:themeColor="text1"/>
              </w:rPr>
            </w:pPr>
            <w:bookmarkStart w:id="878" w:name="_Toc471999763"/>
            <w:bookmarkStart w:id="879" w:name="_Toc472251206"/>
            <w:r w:rsidRPr="0098635C">
              <w:rPr>
                <w:color w:val="000000" w:themeColor="text1"/>
              </w:rPr>
              <w:t>0.7±0.1 (6)</w:t>
            </w:r>
            <w:bookmarkEnd w:id="878"/>
            <w:bookmarkEnd w:id="879"/>
          </w:p>
        </w:tc>
        <w:tc>
          <w:tcPr>
            <w:tcW w:w="935" w:type="dxa"/>
          </w:tcPr>
          <w:p w14:paraId="025AD0C1" w14:textId="77777777" w:rsidR="008D1AE9" w:rsidRPr="0098635C" w:rsidRDefault="008D1AE9" w:rsidP="00AF385A">
            <w:pPr>
              <w:pStyle w:val="NoteLevel211"/>
              <w:rPr>
                <w:color w:val="000000" w:themeColor="text1"/>
              </w:rPr>
            </w:pPr>
          </w:p>
        </w:tc>
        <w:tc>
          <w:tcPr>
            <w:tcW w:w="937" w:type="dxa"/>
          </w:tcPr>
          <w:p w14:paraId="710738A7" w14:textId="77777777" w:rsidR="008D1AE9" w:rsidRPr="0098635C" w:rsidRDefault="008D1AE9" w:rsidP="00AF385A">
            <w:pPr>
              <w:pStyle w:val="NoteLevel211"/>
              <w:rPr>
                <w:color w:val="000000" w:themeColor="text1"/>
              </w:rPr>
            </w:pPr>
            <w:bookmarkStart w:id="880" w:name="_Toc471999764"/>
            <w:bookmarkStart w:id="881" w:name="_Toc472251207"/>
            <w:r w:rsidRPr="0098635C">
              <w:rPr>
                <w:color w:val="000000" w:themeColor="text1"/>
              </w:rPr>
              <w:t>2.2±0.7 (11)</w:t>
            </w:r>
            <w:bookmarkEnd w:id="880"/>
            <w:bookmarkEnd w:id="881"/>
          </w:p>
        </w:tc>
        <w:tc>
          <w:tcPr>
            <w:tcW w:w="935" w:type="dxa"/>
          </w:tcPr>
          <w:p w14:paraId="3D1555E2" w14:textId="77777777" w:rsidR="008D1AE9" w:rsidRPr="0098635C" w:rsidRDefault="008D1AE9" w:rsidP="00AF385A">
            <w:pPr>
              <w:pStyle w:val="NoteLevel211"/>
              <w:rPr>
                <w:color w:val="000000" w:themeColor="text1"/>
              </w:rPr>
            </w:pPr>
          </w:p>
        </w:tc>
        <w:tc>
          <w:tcPr>
            <w:tcW w:w="935" w:type="dxa"/>
          </w:tcPr>
          <w:p w14:paraId="768C8934" w14:textId="77777777" w:rsidR="008D1AE9" w:rsidRPr="0098635C" w:rsidRDefault="008D1AE9" w:rsidP="00AF385A">
            <w:pPr>
              <w:pStyle w:val="NoteLevel211"/>
              <w:rPr>
                <w:color w:val="000000" w:themeColor="text1"/>
              </w:rPr>
            </w:pPr>
            <w:bookmarkStart w:id="882" w:name="_Toc471999765"/>
            <w:bookmarkStart w:id="883" w:name="_Toc472251208"/>
            <w:r w:rsidRPr="0098635C">
              <w:rPr>
                <w:color w:val="000000" w:themeColor="text1"/>
              </w:rPr>
              <w:t>0.8±0.5 (5)</w:t>
            </w:r>
            <w:bookmarkEnd w:id="882"/>
            <w:bookmarkEnd w:id="883"/>
          </w:p>
        </w:tc>
        <w:tc>
          <w:tcPr>
            <w:tcW w:w="935" w:type="dxa"/>
          </w:tcPr>
          <w:p w14:paraId="08788263" w14:textId="77777777" w:rsidR="008D1AE9" w:rsidRPr="0098635C" w:rsidRDefault="008D1AE9" w:rsidP="00AF385A">
            <w:pPr>
              <w:pStyle w:val="NoteLevel211"/>
              <w:rPr>
                <w:color w:val="000000" w:themeColor="text1"/>
              </w:rPr>
            </w:pPr>
            <w:bookmarkStart w:id="884" w:name="_Toc471999766"/>
            <w:bookmarkStart w:id="885" w:name="_Toc472251209"/>
            <w:r w:rsidRPr="0098635C">
              <w:rPr>
                <w:color w:val="000000" w:themeColor="text1"/>
              </w:rPr>
              <w:t>1.2±0.7 (6)</w:t>
            </w:r>
            <w:bookmarkEnd w:id="884"/>
            <w:bookmarkEnd w:id="885"/>
          </w:p>
        </w:tc>
        <w:tc>
          <w:tcPr>
            <w:tcW w:w="935" w:type="dxa"/>
          </w:tcPr>
          <w:p w14:paraId="122EB20F" w14:textId="77777777" w:rsidR="008D1AE9" w:rsidRPr="0098635C" w:rsidRDefault="008D1AE9" w:rsidP="00AF385A">
            <w:pPr>
              <w:pStyle w:val="NoteLevel211"/>
              <w:rPr>
                <w:color w:val="000000" w:themeColor="text1"/>
              </w:rPr>
            </w:pPr>
          </w:p>
        </w:tc>
      </w:tr>
      <w:tr w:rsidR="008D1AE9" w:rsidRPr="0098635C" w14:paraId="10435E40" w14:textId="77777777" w:rsidTr="006C1D26">
        <w:trPr>
          <w:trHeight w:val="507"/>
        </w:trPr>
        <w:tc>
          <w:tcPr>
            <w:tcW w:w="1096" w:type="dxa"/>
          </w:tcPr>
          <w:p w14:paraId="395576F7" w14:textId="77777777" w:rsidR="008D1AE9" w:rsidRPr="0098635C" w:rsidRDefault="008D1AE9" w:rsidP="00AF385A">
            <w:pPr>
              <w:pStyle w:val="NoteLevel211"/>
              <w:rPr>
                <w:color w:val="000000" w:themeColor="text1"/>
              </w:rPr>
            </w:pPr>
            <w:bookmarkStart w:id="886" w:name="_Toc471999767"/>
            <w:bookmarkStart w:id="887" w:name="_Toc472251210"/>
            <w:r w:rsidRPr="0098635C">
              <w:rPr>
                <w:color w:val="000000" w:themeColor="text1"/>
              </w:rPr>
              <w:t>Sumino et al (1975)</w:t>
            </w:r>
            <w:bookmarkEnd w:id="886"/>
            <w:bookmarkEnd w:id="887"/>
          </w:p>
        </w:tc>
        <w:tc>
          <w:tcPr>
            <w:tcW w:w="945" w:type="dxa"/>
          </w:tcPr>
          <w:p w14:paraId="1EC1A5C5" w14:textId="77777777" w:rsidR="008D1AE9" w:rsidRPr="0098635C" w:rsidRDefault="008D1AE9" w:rsidP="00AF385A">
            <w:pPr>
              <w:pStyle w:val="NoteLevel211"/>
              <w:rPr>
                <w:color w:val="000000" w:themeColor="text1"/>
              </w:rPr>
            </w:pPr>
            <w:bookmarkStart w:id="888" w:name="_Toc471999768"/>
            <w:bookmarkStart w:id="889" w:name="_Toc472251211"/>
            <w:r w:rsidRPr="0098635C">
              <w:rPr>
                <w:color w:val="000000" w:themeColor="text1"/>
              </w:rPr>
              <w:t>9.9±5.5 (30)</w:t>
            </w:r>
            <w:bookmarkEnd w:id="888"/>
            <w:bookmarkEnd w:id="889"/>
          </w:p>
        </w:tc>
        <w:tc>
          <w:tcPr>
            <w:tcW w:w="935" w:type="dxa"/>
          </w:tcPr>
          <w:p w14:paraId="06012759" w14:textId="77777777" w:rsidR="008D1AE9" w:rsidRPr="0098635C" w:rsidRDefault="008D1AE9" w:rsidP="00AF385A">
            <w:pPr>
              <w:pStyle w:val="NoteLevel211"/>
              <w:rPr>
                <w:color w:val="000000" w:themeColor="text1"/>
              </w:rPr>
            </w:pPr>
            <w:bookmarkStart w:id="890" w:name="_Toc471999769"/>
            <w:bookmarkStart w:id="891" w:name="_Toc472251212"/>
            <w:r w:rsidRPr="0098635C">
              <w:rPr>
                <w:color w:val="000000" w:themeColor="text1"/>
              </w:rPr>
              <w:t>3.3±0.7 (29)</w:t>
            </w:r>
            <w:bookmarkEnd w:id="890"/>
            <w:bookmarkEnd w:id="891"/>
          </w:p>
        </w:tc>
        <w:tc>
          <w:tcPr>
            <w:tcW w:w="934" w:type="dxa"/>
          </w:tcPr>
          <w:p w14:paraId="754F3E52" w14:textId="77777777" w:rsidR="008D1AE9" w:rsidRPr="0098635C" w:rsidRDefault="008D1AE9" w:rsidP="00AF385A">
            <w:pPr>
              <w:pStyle w:val="NoteLevel211"/>
              <w:rPr>
                <w:color w:val="000000" w:themeColor="text1"/>
              </w:rPr>
            </w:pPr>
            <w:bookmarkStart w:id="892" w:name="_Toc471999770"/>
            <w:bookmarkStart w:id="893" w:name="_Toc472251213"/>
            <w:r w:rsidRPr="0098635C">
              <w:rPr>
                <w:color w:val="000000" w:themeColor="text1"/>
              </w:rPr>
              <w:t>2.6±0.4 (29)</w:t>
            </w:r>
            <w:bookmarkEnd w:id="892"/>
            <w:bookmarkEnd w:id="893"/>
          </w:p>
        </w:tc>
        <w:tc>
          <w:tcPr>
            <w:tcW w:w="940" w:type="dxa"/>
          </w:tcPr>
          <w:p w14:paraId="7C16CA71" w14:textId="77777777" w:rsidR="008D1AE9" w:rsidRPr="0098635C" w:rsidRDefault="008D1AE9" w:rsidP="00AF385A">
            <w:pPr>
              <w:pStyle w:val="NoteLevel211"/>
              <w:rPr>
                <w:color w:val="000000" w:themeColor="text1"/>
              </w:rPr>
            </w:pPr>
            <w:bookmarkStart w:id="894" w:name="_Toc471999771"/>
            <w:bookmarkStart w:id="895" w:name="_Toc472251214"/>
            <w:r w:rsidRPr="0098635C">
              <w:rPr>
                <w:color w:val="000000" w:themeColor="text1"/>
              </w:rPr>
              <w:t>2.1±0.6 (24)</w:t>
            </w:r>
            <w:bookmarkEnd w:id="894"/>
            <w:bookmarkEnd w:id="895"/>
          </w:p>
        </w:tc>
        <w:tc>
          <w:tcPr>
            <w:tcW w:w="941" w:type="dxa"/>
          </w:tcPr>
          <w:p w14:paraId="11615E98" w14:textId="77777777" w:rsidR="008D1AE9" w:rsidRPr="0098635C" w:rsidRDefault="008D1AE9" w:rsidP="00AF385A">
            <w:pPr>
              <w:pStyle w:val="NoteLevel211"/>
              <w:rPr>
                <w:color w:val="000000" w:themeColor="text1"/>
              </w:rPr>
            </w:pPr>
            <w:bookmarkStart w:id="896" w:name="_Toc471999772"/>
            <w:bookmarkStart w:id="897" w:name="_Toc472251215"/>
            <w:r w:rsidRPr="0098635C">
              <w:rPr>
                <w:color w:val="000000" w:themeColor="text1"/>
              </w:rPr>
              <w:t>1.5±0.3 (20)</w:t>
            </w:r>
            <w:bookmarkEnd w:id="896"/>
            <w:bookmarkEnd w:id="897"/>
          </w:p>
        </w:tc>
        <w:tc>
          <w:tcPr>
            <w:tcW w:w="935" w:type="dxa"/>
          </w:tcPr>
          <w:p w14:paraId="5F76A557" w14:textId="77777777" w:rsidR="008D1AE9" w:rsidRPr="0098635C" w:rsidRDefault="008D1AE9" w:rsidP="00AF385A">
            <w:pPr>
              <w:pStyle w:val="NoteLevel211"/>
              <w:rPr>
                <w:color w:val="000000" w:themeColor="text1"/>
              </w:rPr>
            </w:pPr>
            <w:bookmarkStart w:id="898" w:name="_Toc471999773"/>
            <w:bookmarkStart w:id="899" w:name="_Toc472251216"/>
            <w:r w:rsidRPr="0098635C">
              <w:rPr>
                <w:color w:val="000000" w:themeColor="text1"/>
              </w:rPr>
              <w:t>1.2±0.2 (20)</w:t>
            </w:r>
            <w:bookmarkEnd w:id="898"/>
            <w:bookmarkEnd w:id="899"/>
          </w:p>
        </w:tc>
        <w:tc>
          <w:tcPr>
            <w:tcW w:w="939" w:type="dxa"/>
          </w:tcPr>
          <w:p w14:paraId="65B1D651" w14:textId="77777777" w:rsidR="008D1AE9" w:rsidRPr="0098635C" w:rsidRDefault="008D1AE9" w:rsidP="00AF385A">
            <w:pPr>
              <w:pStyle w:val="NoteLevel211"/>
              <w:rPr>
                <w:color w:val="000000" w:themeColor="text1"/>
              </w:rPr>
            </w:pPr>
            <w:bookmarkStart w:id="900" w:name="_Toc471999774"/>
            <w:bookmarkStart w:id="901" w:name="_Toc472251217"/>
            <w:r w:rsidRPr="0098635C">
              <w:rPr>
                <w:color w:val="000000" w:themeColor="text1"/>
              </w:rPr>
              <w:t>0.5 (26)</w:t>
            </w:r>
            <w:bookmarkEnd w:id="900"/>
            <w:bookmarkEnd w:id="901"/>
          </w:p>
        </w:tc>
        <w:tc>
          <w:tcPr>
            <w:tcW w:w="935" w:type="dxa"/>
          </w:tcPr>
          <w:p w14:paraId="7277C7DA" w14:textId="77777777" w:rsidR="008D1AE9" w:rsidRPr="0098635C" w:rsidRDefault="008D1AE9" w:rsidP="00AF385A">
            <w:pPr>
              <w:pStyle w:val="NoteLevel211"/>
              <w:rPr>
                <w:color w:val="000000" w:themeColor="text1"/>
              </w:rPr>
            </w:pPr>
            <w:bookmarkStart w:id="902" w:name="_Toc471999775"/>
            <w:bookmarkStart w:id="903" w:name="_Toc472251218"/>
            <w:r w:rsidRPr="0098635C">
              <w:rPr>
                <w:color w:val="000000" w:themeColor="text1"/>
              </w:rPr>
              <w:t>0.9±0.3 (27)</w:t>
            </w:r>
            <w:bookmarkEnd w:id="902"/>
            <w:bookmarkEnd w:id="903"/>
          </w:p>
        </w:tc>
        <w:tc>
          <w:tcPr>
            <w:tcW w:w="935" w:type="dxa"/>
          </w:tcPr>
          <w:p w14:paraId="783ADBA5" w14:textId="77777777" w:rsidR="008D1AE9" w:rsidRPr="0098635C" w:rsidRDefault="008D1AE9" w:rsidP="00AF385A">
            <w:pPr>
              <w:pStyle w:val="NoteLevel211"/>
              <w:rPr>
                <w:color w:val="000000" w:themeColor="text1"/>
              </w:rPr>
            </w:pPr>
            <w:bookmarkStart w:id="904" w:name="_Toc471999776"/>
            <w:bookmarkStart w:id="905" w:name="_Toc472251219"/>
            <w:r w:rsidRPr="0098635C">
              <w:rPr>
                <w:color w:val="000000" w:themeColor="text1"/>
              </w:rPr>
              <w:t>0.5±0.2 (8)</w:t>
            </w:r>
            <w:bookmarkEnd w:id="904"/>
            <w:bookmarkEnd w:id="905"/>
          </w:p>
        </w:tc>
        <w:tc>
          <w:tcPr>
            <w:tcW w:w="937" w:type="dxa"/>
          </w:tcPr>
          <w:p w14:paraId="0509470D" w14:textId="77777777" w:rsidR="008D1AE9" w:rsidRPr="0098635C" w:rsidRDefault="008D1AE9" w:rsidP="00AF385A">
            <w:pPr>
              <w:pStyle w:val="NoteLevel211"/>
              <w:rPr>
                <w:color w:val="000000" w:themeColor="text1"/>
              </w:rPr>
            </w:pPr>
            <w:bookmarkStart w:id="906" w:name="_Toc471999777"/>
            <w:bookmarkStart w:id="907" w:name="_Toc472251220"/>
            <w:r w:rsidRPr="0098635C">
              <w:rPr>
                <w:color w:val="000000" w:themeColor="text1"/>
              </w:rPr>
              <w:t>1.3±0.2 (30)</w:t>
            </w:r>
            <w:bookmarkEnd w:id="906"/>
            <w:bookmarkEnd w:id="907"/>
          </w:p>
        </w:tc>
        <w:tc>
          <w:tcPr>
            <w:tcW w:w="935" w:type="dxa"/>
          </w:tcPr>
          <w:p w14:paraId="4FF765CF" w14:textId="77777777" w:rsidR="008D1AE9" w:rsidRPr="0098635C" w:rsidRDefault="008D1AE9" w:rsidP="00AF385A">
            <w:pPr>
              <w:pStyle w:val="NoteLevel211"/>
              <w:rPr>
                <w:color w:val="000000" w:themeColor="text1"/>
              </w:rPr>
            </w:pPr>
            <w:bookmarkStart w:id="908" w:name="_Toc471999778"/>
            <w:bookmarkStart w:id="909" w:name="_Toc472251221"/>
            <w:r w:rsidRPr="0098635C">
              <w:rPr>
                <w:color w:val="000000" w:themeColor="text1"/>
              </w:rPr>
              <w:t>6.2±1.2 (17)</w:t>
            </w:r>
            <w:bookmarkEnd w:id="908"/>
            <w:bookmarkEnd w:id="909"/>
          </w:p>
        </w:tc>
        <w:tc>
          <w:tcPr>
            <w:tcW w:w="935" w:type="dxa"/>
          </w:tcPr>
          <w:p w14:paraId="610996DB" w14:textId="77777777" w:rsidR="008D1AE9" w:rsidRPr="0098635C" w:rsidRDefault="008D1AE9" w:rsidP="00AF385A">
            <w:pPr>
              <w:pStyle w:val="NoteLevel211"/>
              <w:rPr>
                <w:color w:val="000000" w:themeColor="text1"/>
              </w:rPr>
            </w:pPr>
            <w:bookmarkStart w:id="910" w:name="_Toc471999779"/>
            <w:bookmarkStart w:id="911" w:name="_Toc472251222"/>
            <w:r w:rsidRPr="0098635C">
              <w:rPr>
                <w:color w:val="000000" w:themeColor="text1"/>
              </w:rPr>
              <w:t>0.9±0.2 (11)</w:t>
            </w:r>
            <w:bookmarkEnd w:id="910"/>
            <w:bookmarkEnd w:id="911"/>
          </w:p>
        </w:tc>
        <w:tc>
          <w:tcPr>
            <w:tcW w:w="935" w:type="dxa"/>
          </w:tcPr>
          <w:p w14:paraId="47ED3589" w14:textId="77777777" w:rsidR="008D1AE9" w:rsidRPr="0098635C" w:rsidRDefault="008D1AE9" w:rsidP="00AF385A">
            <w:pPr>
              <w:pStyle w:val="NoteLevel211"/>
              <w:rPr>
                <w:color w:val="000000" w:themeColor="text1"/>
              </w:rPr>
            </w:pPr>
            <w:bookmarkStart w:id="912" w:name="_Toc471999780"/>
            <w:bookmarkStart w:id="913" w:name="_Toc472251223"/>
            <w:r w:rsidRPr="0098635C">
              <w:rPr>
                <w:color w:val="000000" w:themeColor="text1"/>
              </w:rPr>
              <w:t>1.0±0.3 (13)</w:t>
            </w:r>
            <w:bookmarkEnd w:id="912"/>
            <w:bookmarkEnd w:id="913"/>
          </w:p>
        </w:tc>
        <w:tc>
          <w:tcPr>
            <w:tcW w:w="935" w:type="dxa"/>
          </w:tcPr>
          <w:p w14:paraId="722BAAC6" w14:textId="77777777" w:rsidR="008D1AE9" w:rsidRPr="0098635C" w:rsidRDefault="008D1AE9" w:rsidP="00AF385A">
            <w:pPr>
              <w:pStyle w:val="NoteLevel211"/>
              <w:rPr>
                <w:color w:val="000000" w:themeColor="text1"/>
              </w:rPr>
            </w:pPr>
            <w:bookmarkStart w:id="914" w:name="_Toc471999781"/>
            <w:bookmarkStart w:id="915" w:name="_Toc472251224"/>
            <w:r w:rsidRPr="0098635C">
              <w:rPr>
                <w:color w:val="000000" w:themeColor="text1"/>
              </w:rPr>
              <w:t>0.7±0.3 (26)</w:t>
            </w:r>
            <w:bookmarkEnd w:id="914"/>
            <w:bookmarkEnd w:id="915"/>
          </w:p>
        </w:tc>
      </w:tr>
      <w:tr w:rsidR="008D1AE9" w:rsidRPr="0098635C" w14:paraId="3F1B8490" w14:textId="77777777" w:rsidTr="006C1D26">
        <w:trPr>
          <w:trHeight w:val="507"/>
        </w:trPr>
        <w:tc>
          <w:tcPr>
            <w:tcW w:w="1096" w:type="dxa"/>
          </w:tcPr>
          <w:p w14:paraId="03837B85" w14:textId="77777777" w:rsidR="008D1AE9" w:rsidRPr="0098635C" w:rsidRDefault="008D1AE9" w:rsidP="00AF385A">
            <w:pPr>
              <w:pStyle w:val="NoteLevel211"/>
              <w:rPr>
                <w:color w:val="000000" w:themeColor="text1"/>
              </w:rPr>
            </w:pPr>
            <w:bookmarkStart w:id="916" w:name="_Toc471999782"/>
            <w:bookmarkStart w:id="917" w:name="_Toc472251225"/>
            <w:r w:rsidRPr="0098635C">
              <w:rPr>
                <w:color w:val="000000" w:themeColor="text1"/>
              </w:rPr>
              <w:t>Bem et al (1988)</w:t>
            </w:r>
            <w:bookmarkEnd w:id="916"/>
            <w:bookmarkEnd w:id="917"/>
          </w:p>
        </w:tc>
        <w:tc>
          <w:tcPr>
            <w:tcW w:w="945" w:type="dxa"/>
          </w:tcPr>
          <w:p w14:paraId="66264E9E" w14:textId="77777777" w:rsidR="008D1AE9" w:rsidRPr="0098635C" w:rsidRDefault="008D1AE9" w:rsidP="00AF385A">
            <w:pPr>
              <w:pStyle w:val="NoteLevel211"/>
              <w:rPr>
                <w:color w:val="000000" w:themeColor="text1"/>
              </w:rPr>
            </w:pPr>
            <w:bookmarkStart w:id="918" w:name="_Toc471999783"/>
            <w:bookmarkStart w:id="919" w:name="_Toc472251226"/>
            <w:r w:rsidRPr="0098635C">
              <w:rPr>
                <w:color w:val="000000" w:themeColor="text1"/>
              </w:rPr>
              <w:t>5.3±1.9 (11)</w:t>
            </w:r>
            <w:bookmarkEnd w:id="918"/>
            <w:bookmarkEnd w:id="919"/>
          </w:p>
        </w:tc>
        <w:tc>
          <w:tcPr>
            <w:tcW w:w="935" w:type="dxa"/>
          </w:tcPr>
          <w:p w14:paraId="66A2F12B" w14:textId="77777777" w:rsidR="008D1AE9" w:rsidRPr="0098635C" w:rsidRDefault="008D1AE9" w:rsidP="00AF385A">
            <w:pPr>
              <w:pStyle w:val="NoteLevel211"/>
              <w:rPr>
                <w:color w:val="000000" w:themeColor="text1"/>
              </w:rPr>
            </w:pPr>
          </w:p>
        </w:tc>
        <w:tc>
          <w:tcPr>
            <w:tcW w:w="934" w:type="dxa"/>
          </w:tcPr>
          <w:p w14:paraId="140ADC6F" w14:textId="77777777" w:rsidR="008D1AE9" w:rsidRPr="0098635C" w:rsidRDefault="008D1AE9" w:rsidP="00AF385A">
            <w:pPr>
              <w:pStyle w:val="NoteLevel211"/>
              <w:rPr>
                <w:color w:val="000000" w:themeColor="text1"/>
              </w:rPr>
            </w:pPr>
          </w:p>
        </w:tc>
        <w:tc>
          <w:tcPr>
            <w:tcW w:w="940" w:type="dxa"/>
          </w:tcPr>
          <w:p w14:paraId="7FB751AE" w14:textId="77777777" w:rsidR="008D1AE9" w:rsidRPr="0098635C" w:rsidRDefault="008D1AE9" w:rsidP="00AF385A">
            <w:pPr>
              <w:pStyle w:val="NoteLevel211"/>
              <w:rPr>
                <w:color w:val="000000" w:themeColor="text1"/>
              </w:rPr>
            </w:pPr>
          </w:p>
        </w:tc>
        <w:tc>
          <w:tcPr>
            <w:tcW w:w="941" w:type="dxa"/>
          </w:tcPr>
          <w:p w14:paraId="36C58BBA" w14:textId="77777777" w:rsidR="008D1AE9" w:rsidRPr="0098635C" w:rsidRDefault="008D1AE9" w:rsidP="00AF385A">
            <w:pPr>
              <w:pStyle w:val="NoteLevel211"/>
              <w:rPr>
                <w:color w:val="000000" w:themeColor="text1"/>
              </w:rPr>
            </w:pPr>
          </w:p>
        </w:tc>
        <w:tc>
          <w:tcPr>
            <w:tcW w:w="935" w:type="dxa"/>
          </w:tcPr>
          <w:p w14:paraId="538E40CD" w14:textId="77777777" w:rsidR="008D1AE9" w:rsidRPr="0098635C" w:rsidRDefault="008D1AE9" w:rsidP="00AF385A">
            <w:pPr>
              <w:pStyle w:val="NoteLevel211"/>
              <w:rPr>
                <w:color w:val="000000" w:themeColor="text1"/>
              </w:rPr>
            </w:pPr>
          </w:p>
        </w:tc>
        <w:tc>
          <w:tcPr>
            <w:tcW w:w="939" w:type="dxa"/>
          </w:tcPr>
          <w:p w14:paraId="1358D756" w14:textId="77777777" w:rsidR="008D1AE9" w:rsidRPr="0098635C" w:rsidRDefault="008D1AE9" w:rsidP="00AF385A">
            <w:pPr>
              <w:pStyle w:val="NoteLevel211"/>
              <w:rPr>
                <w:color w:val="000000" w:themeColor="text1"/>
              </w:rPr>
            </w:pPr>
          </w:p>
        </w:tc>
        <w:tc>
          <w:tcPr>
            <w:tcW w:w="935" w:type="dxa"/>
          </w:tcPr>
          <w:p w14:paraId="5249B012" w14:textId="77777777" w:rsidR="008D1AE9" w:rsidRPr="0098635C" w:rsidRDefault="008D1AE9" w:rsidP="00AF385A">
            <w:pPr>
              <w:pStyle w:val="NoteLevel211"/>
              <w:rPr>
                <w:color w:val="000000" w:themeColor="text1"/>
              </w:rPr>
            </w:pPr>
          </w:p>
        </w:tc>
        <w:tc>
          <w:tcPr>
            <w:tcW w:w="935" w:type="dxa"/>
          </w:tcPr>
          <w:p w14:paraId="6FF4745C" w14:textId="77777777" w:rsidR="008D1AE9" w:rsidRPr="0098635C" w:rsidRDefault="008D1AE9" w:rsidP="00AF385A">
            <w:pPr>
              <w:pStyle w:val="NoteLevel211"/>
              <w:rPr>
                <w:color w:val="000000" w:themeColor="text1"/>
              </w:rPr>
            </w:pPr>
          </w:p>
        </w:tc>
        <w:tc>
          <w:tcPr>
            <w:tcW w:w="937" w:type="dxa"/>
          </w:tcPr>
          <w:p w14:paraId="1020D4C0" w14:textId="77777777" w:rsidR="008D1AE9" w:rsidRPr="0098635C" w:rsidRDefault="008D1AE9" w:rsidP="00AF385A">
            <w:pPr>
              <w:pStyle w:val="NoteLevel211"/>
              <w:rPr>
                <w:color w:val="000000" w:themeColor="text1"/>
              </w:rPr>
            </w:pPr>
          </w:p>
        </w:tc>
        <w:tc>
          <w:tcPr>
            <w:tcW w:w="935" w:type="dxa"/>
          </w:tcPr>
          <w:p w14:paraId="568E8FCF" w14:textId="77777777" w:rsidR="008D1AE9" w:rsidRPr="0098635C" w:rsidRDefault="008D1AE9" w:rsidP="00AF385A">
            <w:pPr>
              <w:pStyle w:val="NoteLevel211"/>
              <w:rPr>
                <w:color w:val="000000" w:themeColor="text1"/>
              </w:rPr>
            </w:pPr>
          </w:p>
        </w:tc>
        <w:tc>
          <w:tcPr>
            <w:tcW w:w="935" w:type="dxa"/>
          </w:tcPr>
          <w:p w14:paraId="362FCBAC" w14:textId="77777777" w:rsidR="008D1AE9" w:rsidRPr="0098635C" w:rsidRDefault="008D1AE9" w:rsidP="00AF385A">
            <w:pPr>
              <w:pStyle w:val="NoteLevel211"/>
              <w:rPr>
                <w:color w:val="000000" w:themeColor="text1"/>
              </w:rPr>
            </w:pPr>
          </w:p>
        </w:tc>
        <w:tc>
          <w:tcPr>
            <w:tcW w:w="935" w:type="dxa"/>
          </w:tcPr>
          <w:p w14:paraId="62A5464C" w14:textId="77777777" w:rsidR="008D1AE9" w:rsidRPr="0098635C" w:rsidRDefault="008D1AE9" w:rsidP="00AF385A">
            <w:pPr>
              <w:pStyle w:val="NoteLevel211"/>
              <w:rPr>
                <w:color w:val="000000" w:themeColor="text1"/>
              </w:rPr>
            </w:pPr>
          </w:p>
        </w:tc>
        <w:tc>
          <w:tcPr>
            <w:tcW w:w="935" w:type="dxa"/>
          </w:tcPr>
          <w:p w14:paraId="7986B004" w14:textId="77777777" w:rsidR="008D1AE9" w:rsidRPr="0098635C" w:rsidRDefault="008D1AE9" w:rsidP="00AF385A">
            <w:pPr>
              <w:pStyle w:val="NoteLevel211"/>
              <w:rPr>
                <w:color w:val="000000" w:themeColor="text1"/>
              </w:rPr>
            </w:pPr>
          </w:p>
        </w:tc>
      </w:tr>
      <w:tr w:rsidR="008D1AE9" w:rsidRPr="0098635C" w14:paraId="5E290F0E" w14:textId="77777777" w:rsidTr="006C1D26">
        <w:trPr>
          <w:trHeight w:val="507"/>
        </w:trPr>
        <w:tc>
          <w:tcPr>
            <w:tcW w:w="1096" w:type="dxa"/>
          </w:tcPr>
          <w:p w14:paraId="1DB94C93" w14:textId="77777777" w:rsidR="008D1AE9" w:rsidRPr="0098635C" w:rsidRDefault="008D1AE9" w:rsidP="00AF385A">
            <w:pPr>
              <w:pStyle w:val="NoteLevel211"/>
              <w:rPr>
                <w:color w:val="000000" w:themeColor="text1"/>
              </w:rPr>
            </w:pPr>
            <w:bookmarkStart w:id="920" w:name="_Toc471999784"/>
            <w:bookmarkStart w:id="921" w:name="_Toc472251227"/>
            <w:r w:rsidRPr="0098635C">
              <w:rPr>
                <w:color w:val="000000" w:themeColor="text1"/>
              </w:rPr>
              <w:t>Xia et al (1989)</w:t>
            </w:r>
            <w:bookmarkEnd w:id="920"/>
            <w:bookmarkEnd w:id="921"/>
          </w:p>
        </w:tc>
        <w:tc>
          <w:tcPr>
            <w:tcW w:w="945" w:type="dxa"/>
          </w:tcPr>
          <w:p w14:paraId="68BB6915" w14:textId="77777777" w:rsidR="008D1AE9" w:rsidRPr="0098635C" w:rsidRDefault="008D1AE9" w:rsidP="00AF385A">
            <w:pPr>
              <w:pStyle w:val="NoteLevel211"/>
              <w:rPr>
                <w:color w:val="000000" w:themeColor="text1"/>
              </w:rPr>
            </w:pPr>
            <w:bookmarkStart w:id="922" w:name="_Toc471999785"/>
            <w:bookmarkStart w:id="923" w:name="_Toc472251228"/>
            <w:r w:rsidRPr="0098635C">
              <w:rPr>
                <w:color w:val="000000" w:themeColor="text1"/>
              </w:rPr>
              <w:t>7.9±4.3 (20)</w:t>
            </w:r>
            <w:bookmarkEnd w:id="922"/>
            <w:bookmarkEnd w:id="923"/>
          </w:p>
        </w:tc>
        <w:tc>
          <w:tcPr>
            <w:tcW w:w="935" w:type="dxa"/>
          </w:tcPr>
          <w:p w14:paraId="78BB47FB" w14:textId="77777777" w:rsidR="008D1AE9" w:rsidRPr="0098635C" w:rsidRDefault="008D1AE9" w:rsidP="00AF385A">
            <w:pPr>
              <w:pStyle w:val="NoteLevel211"/>
              <w:rPr>
                <w:color w:val="000000" w:themeColor="text1"/>
              </w:rPr>
            </w:pPr>
            <w:bookmarkStart w:id="924" w:name="_Toc471999786"/>
            <w:bookmarkStart w:id="925" w:name="_Toc472251229"/>
            <w:r w:rsidRPr="0098635C">
              <w:rPr>
                <w:color w:val="000000" w:themeColor="text1"/>
              </w:rPr>
              <w:t>2.3±1.7 (20)</w:t>
            </w:r>
            <w:bookmarkEnd w:id="924"/>
            <w:bookmarkEnd w:id="925"/>
          </w:p>
        </w:tc>
        <w:tc>
          <w:tcPr>
            <w:tcW w:w="934" w:type="dxa"/>
          </w:tcPr>
          <w:p w14:paraId="43C563F7" w14:textId="77777777" w:rsidR="008D1AE9" w:rsidRPr="0098635C" w:rsidRDefault="008D1AE9" w:rsidP="00AF385A">
            <w:pPr>
              <w:pStyle w:val="NoteLevel211"/>
              <w:rPr>
                <w:color w:val="000000" w:themeColor="text1"/>
              </w:rPr>
            </w:pPr>
            <w:bookmarkStart w:id="926" w:name="_Toc471999787"/>
            <w:bookmarkStart w:id="927" w:name="_Toc472251230"/>
            <w:r w:rsidRPr="0098635C">
              <w:rPr>
                <w:color w:val="000000" w:themeColor="text1"/>
              </w:rPr>
              <w:t>3.2±1.8 (20)</w:t>
            </w:r>
            <w:bookmarkEnd w:id="926"/>
            <w:bookmarkEnd w:id="927"/>
          </w:p>
        </w:tc>
        <w:tc>
          <w:tcPr>
            <w:tcW w:w="940" w:type="dxa"/>
          </w:tcPr>
          <w:p w14:paraId="0698D745" w14:textId="77777777" w:rsidR="008D1AE9" w:rsidRPr="0098635C" w:rsidRDefault="008D1AE9" w:rsidP="00AF385A">
            <w:pPr>
              <w:pStyle w:val="NoteLevel211"/>
              <w:rPr>
                <w:color w:val="000000" w:themeColor="text1"/>
              </w:rPr>
            </w:pPr>
          </w:p>
        </w:tc>
        <w:tc>
          <w:tcPr>
            <w:tcW w:w="941" w:type="dxa"/>
          </w:tcPr>
          <w:p w14:paraId="3087320E" w14:textId="77777777" w:rsidR="008D1AE9" w:rsidRPr="0098635C" w:rsidRDefault="008D1AE9" w:rsidP="00AF385A">
            <w:pPr>
              <w:pStyle w:val="NoteLevel211"/>
              <w:rPr>
                <w:color w:val="000000" w:themeColor="text1"/>
              </w:rPr>
            </w:pPr>
            <w:bookmarkStart w:id="928" w:name="_Toc471999788"/>
            <w:bookmarkStart w:id="929" w:name="_Toc472251231"/>
            <w:r w:rsidRPr="0098635C">
              <w:rPr>
                <w:color w:val="000000" w:themeColor="text1"/>
              </w:rPr>
              <w:t>1.4±0.6 (20)</w:t>
            </w:r>
            <w:bookmarkEnd w:id="928"/>
            <w:bookmarkEnd w:id="929"/>
          </w:p>
        </w:tc>
        <w:tc>
          <w:tcPr>
            <w:tcW w:w="935" w:type="dxa"/>
          </w:tcPr>
          <w:p w14:paraId="4D982192" w14:textId="77777777" w:rsidR="008D1AE9" w:rsidRPr="0098635C" w:rsidRDefault="008D1AE9" w:rsidP="00AF385A">
            <w:pPr>
              <w:pStyle w:val="NoteLevel211"/>
              <w:rPr>
                <w:color w:val="000000" w:themeColor="text1"/>
              </w:rPr>
            </w:pPr>
            <w:bookmarkStart w:id="930" w:name="_Toc471999789"/>
            <w:bookmarkStart w:id="931" w:name="_Toc472251232"/>
            <w:r w:rsidRPr="0098635C">
              <w:rPr>
                <w:color w:val="000000" w:themeColor="text1"/>
              </w:rPr>
              <w:t>1.4±0.7 (20)</w:t>
            </w:r>
            <w:bookmarkEnd w:id="930"/>
            <w:bookmarkEnd w:id="931"/>
          </w:p>
        </w:tc>
        <w:tc>
          <w:tcPr>
            <w:tcW w:w="939" w:type="dxa"/>
          </w:tcPr>
          <w:p w14:paraId="604CB9C0" w14:textId="77777777" w:rsidR="008D1AE9" w:rsidRPr="0098635C" w:rsidRDefault="008D1AE9" w:rsidP="00AF385A">
            <w:pPr>
              <w:pStyle w:val="NoteLevel211"/>
              <w:rPr>
                <w:color w:val="000000" w:themeColor="text1"/>
              </w:rPr>
            </w:pPr>
          </w:p>
        </w:tc>
        <w:tc>
          <w:tcPr>
            <w:tcW w:w="935" w:type="dxa"/>
          </w:tcPr>
          <w:p w14:paraId="7A7EE12C" w14:textId="77777777" w:rsidR="008D1AE9" w:rsidRPr="0098635C" w:rsidRDefault="008D1AE9" w:rsidP="00AF385A">
            <w:pPr>
              <w:pStyle w:val="NoteLevel211"/>
              <w:rPr>
                <w:color w:val="000000" w:themeColor="text1"/>
              </w:rPr>
            </w:pPr>
            <w:bookmarkStart w:id="932" w:name="_Toc471999790"/>
            <w:bookmarkStart w:id="933" w:name="_Toc472251233"/>
            <w:r w:rsidRPr="0098635C">
              <w:rPr>
                <w:color w:val="000000" w:themeColor="text1"/>
              </w:rPr>
              <w:t>1.0±0.4 (20)</w:t>
            </w:r>
            <w:bookmarkEnd w:id="932"/>
            <w:bookmarkEnd w:id="933"/>
          </w:p>
        </w:tc>
        <w:tc>
          <w:tcPr>
            <w:tcW w:w="935" w:type="dxa"/>
          </w:tcPr>
          <w:p w14:paraId="709160CC" w14:textId="77777777" w:rsidR="008D1AE9" w:rsidRPr="0098635C" w:rsidRDefault="008D1AE9" w:rsidP="00AF385A">
            <w:pPr>
              <w:pStyle w:val="NoteLevel211"/>
              <w:rPr>
                <w:color w:val="000000" w:themeColor="text1"/>
              </w:rPr>
            </w:pPr>
            <w:bookmarkStart w:id="934" w:name="_Toc471999791"/>
            <w:bookmarkStart w:id="935" w:name="_Toc472251234"/>
            <w:r w:rsidRPr="0098635C">
              <w:rPr>
                <w:color w:val="000000" w:themeColor="text1"/>
              </w:rPr>
              <w:t>2.7±1.6 (20)</w:t>
            </w:r>
            <w:bookmarkEnd w:id="934"/>
            <w:bookmarkEnd w:id="935"/>
          </w:p>
        </w:tc>
        <w:tc>
          <w:tcPr>
            <w:tcW w:w="937" w:type="dxa"/>
          </w:tcPr>
          <w:p w14:paraId="143B7037" w14:textId="77777777" w:rsidR="008D1AE9" w:rsidRPr="0098635C" w:rsidRDefault="008D1AE9" w:rsidP="00AF385A">
            <w:pPr>
              <w:pStyle w:val="NoteLevel211"/>
              <w:rPr>
                <w:color w:val="000000" w:themeColor="text1"/>
              </w:rPr>
            </w:pPr>
            <w:bookmarkStart w:id="936" w:name="_Toc471999792"/>
            <w:bookmarkStart w:id="937" w:name="_Toc472251235"/>
            <w:r w:rsidRPr="0098635C">
              <w:rPr>
                <w:color w:val="000000" w:themeColor="text1"/>
              </w:rPr>
              <w:t>1.5±0.8 (20)</w:t>
            </w:r>
            <w:bookmarkEnd w:id="936"/>
            <w:bookmarkEnd w:id="937"/>
          </w:p>
        </w:tc>
        <w:tc>
          <w:tcPr>
            <w:tcW w:w="935" w:type="dxa"/>
          </w:tcPr>
          <w:p w14:paraId="474CBC6E" w14:textId="77777777" w:rsidR="008D1AE9" w:rsidRPr="0098635C" w:rsidRDefault="008D1AE9" w:rsidP="00AF385A">
            <w:pPr>
              <w:pStyle w:val="NoteLevel211"/>
              <w:rPr>
                <w:color w:val="000000" w:themeColor="text1"/>
              </w:rPr>
            </w:pPr>
          </w:p>
        </w:tc>
        <w:tc>
          <w:tcPr>
            <w:tcW w:w="935" w:type="dxa"/>
          </w:tcPr>
          <w:p w14:paraId="65E5A89E" w14:textId="77777777" w:rsidR="008D1AE9" w:rsidRPr="0098635C" w:rsidRDefault="008D1AE9" w:rsidP="00AF385A">
            <w:pPr>
              <w:pStyle w:val="NoteLevel211"/>
              <w:rPr>
                <w:color w:val="000000" w:themeColor="text1"/>
              </w:rPr>
            </w:pPr>
          </w:p>
        </w:tc>
        <w:tc>
          <w:tcPr>
            <w:tcW w:w="935" w:type="dxa"/>
          </w:tcPr>
          <w:p w14:paraId="36829B60" w14:textId="77777777" w:rsidR="008D1AE9" w:rsidRPr="0098635C" w:rsidRDefault="008D1AE9" w:rsidP="00AF385A">
            <w:pPr>
              <w:pStyle w:val="NoteLevel211"/>
              <w:rPr>
                <w:color w:val="000000" w:themeColor="text1"/>
              </w:rPr>
            </w:pPr>
          </w:p>
        </w:tc>
        <w:tc>
          <w:tcPr>
            <w:tcW w:w="935" w:type="dxa"/>
          </w:tcPr>
          <w:p w14:paraId="4B8F93E1" w14:textId="77777777" w:rsidR="008D1AE9" w:rsidRPr="0098635C" w:rsidRDefault="008D1AE9" w:rsidP="00AF385A">
            <w:pPr>
              <w:pStyle w:val="NoteLevel211"/>
              <w:rPr>
                <w:color w:val="000000" w:themeColor="text1"/>
              </w:rPr>
            </w:pPr>
          </w:p>
        </w:tc>
      </w:tr>
      <w:tr w:rsidR="008D1AE9" w:rsidRPr="0098635C" w14:paraId="2B9E0CB1" w14:textId="77777777" w:rsidTr="006C1D26">
        <w:trPr>
          <w:trHeight w:val="507"/>
        </w:trPr>
        <w:tc>
          <w:tcPr>
            <w:tcW w:w="1096" w:type="dxa"/>
          </w:tcPr>
          <w:p w14:paraId="683370A3" w14:textId="77777777" w:rsidR="008D1AE9" w:rsidRPr="0098635C" w:rsidRDefault="008D1AE9" w:rsidP="00AF385A">
            <w:pPr>
              <w:pStyle w:val="NoteLevel211"/>
              <w:rPr>
                <w:color w:val="000000" w:themeColor="text1"/>
              </w:rPr>
            </w:pPr>
            <w:bookmarkStart w:id="938" w:name="_Toc471999793"/>
            <w:bookmarkStart w:id="939" w:name="_Toc472251236"/>
            <w:r w:rsidRPr="0098635C">
              <w:rPr>
                <w:color w:val="000000" w:themeColor="text1"/>
              </w:rPr>
              <w:t>Takemoto et al (1991)</w:t>
            </w:r>
            <w:bookmarkEnd w:id="938"/>
            <w:bookmarkEnd w:id="939"/>
          </w:p>
        </w:tc>
        <w:tc>
          <w:tcPr>
            <w:tcW w:w="945" w:type="dxa"/>
          </w:tcPr>
          <w:p w14:paraId="18751447" w14:textId="77777777" w:rsidR="008D1AE9" w:rsidRPr="0098635C" w:rsidRDefault="008D1AE9" w:rsidP="00AF385A">
            <w:pPr>
              <w:pStyle w:val="NoteLevel211"/>
              <w:rPr>
                <w:color w:val="000000" w:themeColor="text1"/>
              </w:rPr>
            </w:pPr>
          </w:p>
        </w:tc>
        <w:tc>
          <w:tcPr>
            <w:tcW w:w="935" w:type="dxa"/>
          </w:tcPr>
          <w:p w14:paraId="5E97B352" w14:textId="77777777" w:rsidR="008D1AE9" w:rsidRPr="0098635C" w:rsidRDefault="008D1AE9" w:rsidP="00AF385A">
            <w:pPr>
              <w:pStyle w:val="NoteLevel211"/>
              <w:rPr>
                <w:color w:val="000000" w:themeColor="text1"/>
              </w:rPr>
            </w:pPr>
          </w:p>
        </w:tc>
        <w:tc>
          <w:tcPr>
            <w:tcW w:w="934" w:type="dxa"/>
          </w:tcPr>
          <w:p w14:paraId="7CC72E39" w14:textId="77777777" w:rsidR="008D1AE9" w:rsidRPr="0098635C" w:rsidRDefault="008D1AE9" w:rsidP="00AF385A">
            <w:pPr>
              <w:pStyle w:val="NoteLevel211"/>
              <w:rPr>
                <w:color w:val="000000" w:themeColor="text1"/>
              </w:rPr>
            </w:pPr>
          </w:p>
        </w:tc>
        <w:tc>
          <w:tcPr>
            <w:tcW w:w="940" w:type="dxa"/>
          </w:tcPr>
          <w:p w14:paraId="00452DF5" w14:textId="77777777" w:rsidR="008D1AE9" w:rsidRPr="0098635C" w:rsidRDefault="008D1AE9" w:rsidP="00AF385A">
            <w:pPr>
              <w:pStyle w:val="NoteLevel211"/>
              <w:rPr>
                <w:color w:val="000000" w:themeColor="text1"/>
              </w:rPr>
            </w:pPr>
          </w:p>
        </w:tc>
        <w:tc>
          <w:tcPr>
            <w:tcW w:w="941" w:type="dxa"/>
          </w:tcPr>
          <w:p w14:paraId="7900BD2F" w14:textId="77777777" w:rsidR="008D1AE9" w:rsidRPr="0098635C" w:rsidRDefault="008D1AE9" w:rsidP="00AF385A">
            <w:pPr>
              <w:pStyle w:val="NoteLevel211"/>
              <w:rPr>
                <w:color w:val="000000" w:themeColor="text1"/>
              </w:rPr>
            </w:pPr>
          </w:p>
        </w:tc>
        <w:tc>
          <w:tcPr>
            <w:tcW w:w="935" w:type="dxa"/>
          </w:tcPr>
          <w:p w14:paraId="2C66A239" w14:textId="77777777" w:rsidR="008D1AE9" w:rsidRPr="0098635C" w:rsidRDefault="008D1AE9" w:rsidP="00AF385A">
            <w:pPr>
              <w:pStyle w:val="NoteLevel211"/>
              <w:rPr>
                <w:color w:val="000000" w:themeColor="text1"/>
              </w:rPr>
            </w:pPr>
          </w:p>
        </w:tc>
        <w:tc>
          <w:tcPr>
            <w:tcW w:w="939" w:type="dxa"/>
          </w:tcPr>
          <w:p w14:paraId="786A2704" w14:textId="77777777" w:rsidR="008D1AE9" w:rsidRPr="0098635C" w:rsidRDefault="008D1AE9" w:rsidP="00AF385A">
            <w:pPr>
              <w:pStyle w:val="NoteLevel211"/>
              <w:rPr>
                <w:color w:val="000000" w:themeColor="text1"/>
              </w:rPr>
            </w:pPr>
          </w:p>
        </w:tc>
        <w:tc>
          <w:tcPr>
            <w:tcW w:w="935" w:type="dxa"/>
          </w:tcPr>
          <w:p w14:paraId="1B67BB24" w14:textId="77777777" w:rsidR="008D1AE9" w:rsidRPr="0098635C" w:rsidRDefault="008D1AE9" w:rsidP="00AF385A">
            <w:pPr>
              <w:pStyle w:val="NoteLevel211"/>
              <w:rPr>
                <w:color w:val="000000" w:themeColor="text1"/>
              </w:rPr>
            </w:pPr>
          </w:p>
        </w:tc>
        <w:tc>
          <w:tcPr>
            <w:tcW w:w="935" w:type="dxa"/>
          </w:tcPr>
          <w:p w14:paraId="75832320" w14:textId="77777777" w:rsidR="008D1AE9" w:rsidRPr="0098635C" w:rsidRDefault="008D1AE9" w:rsidP="00AF385A">
            <w:pPr>
              <w:pStyle w:val="NoteLevel211"/>
              <w:rPr>
                <w:color w:val="000000" w:themeColor="text1"/>
              </w:rPr>
            </w:pPr>
          </w:p>
        </w:tc>
        <w:tc>
          <w:tcPr>
            <w:tcW w:w="937" w:type="dxa"/>
          </w:tcPr>
          <w:p w14:paraId="42E774AB" w14:textId="77777777" w:rsidR="008D1AE9" w:rsidRPr="0098635C" w:rsidRDefault="008D1AE9" w:rsidP="00AF385A">
            <w:pPr>
              <w:pStyle w:val="NoteLevel211"/>
              <w:rPr>
                <w:color w:val="000000" w:themeColor="text1"/>
              </w:rPr>
            </w:pPr>
            <w:bookmarkStart w:id="940" w:name="_Toc471999794"/>
            <w:bookmarkStart w:id="941" w:name="_Toc472251237"/>
            <w:r w:rsidRPr="0098635C">
              <w:rPr>
                <w:color w:val="000000" w:themeColor="text1"/>
              </w:rPr>
              <w:t>2.6±1.2</w:t>
            </w:r>
            <w:r w:rsidRPr="0098635C">
              <w:rPr>
                <w:color w:val="000000" w:themeColor="text1"/>
                <w:vertAlign w:val="superscript"/>
              </w:rPr>
              <w:t>#</w:t>
            </w:r>
            <w:r w:rsidRPr="0098635C">
              <w:rPr>
                <w:color w:val="000000" w:themeColor="text1"/>
              </w:rPr>
              <w:t xml:space="preserve"> (2274)</w:t>
            </w:r>
            <w:bookmarkEnd w:id="940"/>
            <w:bookmarkEnd w:id="941"/>
          </w:p>
        </w:tc>
        <w:tc>
          <w:tcPr>
            <w:tcW w:w="935" w:type="dxa"/>
          </w:tcPr>
          <w:p w14:paraId="44738948" w14:textId="77777777" w:rsidR="008D1AE9" w:rsidRPr="0098635C" w:rsidRDefault="008D1AE9" w:rsidP="00AF385A">
            <w:pPr>
              <w:pStyle w:val="NoteLevel211"/>
              <w:rPr>
                <w:color w:val="000000" w:themeColor="text1"/>
              </w:rPr>
            </w:pPr>
          </w:p>
        </w:tc>
        <w:tc>
          <w:tcPr>
            <w:tcW w:w="935" w:type="dxa"/>
          </w:tcPr>
          <w:p w14:paraId="1F665BBC" w14:textId="77777777" w:rsidR="008D1AE9" w:rsidRPr="0098635C" w:rsidRDefault="008D1AE9" w:rsidP="00AF385A">
            <w:pPr>
              <w:pStyle w:val="NoteLevel211"/>
              <w:rPr>
                <w:color w:val="000000" w:themeColor="text1"/>
              </w:rPr>
            </w:pPr>
          </w:p>
        </w:tc>
        <w:tc>
          <w:tcPr>
            <w:tcW w:w="935" w:type="dxa"/>
          </w:tcPr>
          <w:p w14:paraId="34DA0733" w14:textId="77777777" w:rsidR="008D1AE9" w:rsidRPr="0098635C" w:rsidRDefault="008D1AE9" w:rsidP="00AF385A">
            <w:pPr>
              <w:pStyle w:val="NoteLevel211"/>
              <w:rPr>
                <w:color w:val="000000" w:themeColor="text1"/>
              </w:rPr>
            </w:pPr>
          </w:p>
        </w:tc>
        <w:tc>
          <w:tcPr>
            <w:tcW w:w="935" w:type="dxa"/>
          </w:tcPr>
          <w:p w14:paraId="2B530971" w14:textId="77777777" w:rsidR="008D1AE9" w:rsidRPr="0098635C" w:rsidRDefault="008D1AE9" w:rsidP="00AF385A">
            <w:pPr>
              <w:pStyle w:val="NoteLevel211"/>
              <w:rPr>
                <w:color w:val="000000" w:themeColor="text1"/>
              </w:rPr>
            </w:pPr>
          </w:p>
        </w:tc>
      </w:tr>
      <w:tr w:rsidR="008D1AE9" w:rsidRPr="0098635C" w14:paraId="2164E2C5" w14:textId="77777777" w:rsidTr="006C1D26">
        <w:trPr>
          <w:trHeight w:val="507"/>
        </w:trPr>
        <w:tc>
          <w:tcPr>
            <w:tcW w:w="1096" w:type="dxa"/>
          </w:tcPr>
          <w:p w14:paraId="6959B791" w14:textId="77777777" w:rsidR="008D1AE9" w:rsidRPr="0098635C" w:rsidRDefault="008D1AE9" w:rsidP="00AF385A">
            <w:pPr>
              <w:pStyle w:val="NoteLevel211"/>
              <w:rPr>
                <w:color w:val="000000" w:themeColor="text1"/>
              </w:rPr>
            </w:pPr>
            <w:bookmarkStart w:id="942" w:name="_Toc471999795"/>
            <w:bookmarkStart w:id="943" w:name="_Toc472251238"/>
            <w:r w:rsidRPr="0098635C">
              <w:rPr>
                <w:color w:val="000000" w:themeColor="text1"/>
              </w:rPr>
              <w:t>Bem et al (1993a)</w:t>
            </w:r>
            <w:bookmarkEnd w:id="942"/>
            <w:bookmarkEnd w:id="943"/>
          </w:p>
        </w:tc>
        <w:tc>
          <w:tcPr>
            <w:tcW w:w="945" w:type="dxa"/>
          </w:tcPr>
          <w:p w14:paraId="31E42AA4" w14:textId="77777777" w:rsidR="008D1AE9" w:rsidRPr="0098635C" w:rsidRDefault="008D1AE9" w:rsidP="00AF385A">
            <w:pPr>
              <w:pStyle w:val="NoteLevel211"/>
              <w:rPr>
                <w:color w:val="000000" w:themeColor="text1"/>
              </w:rPr>
            </w:pPr>
            <w:bookmarkStart w:id="944" w:name="_Toc471999796"/>
            <w:bookmarkStart w:id="945" w:name="_Toc472251239"/>
            <w:r w:rsidRPr="0098635C">
              <w:rPr>
                <w:color w:val="000000" w:themeColor="text1"/>
              </w:rPr>
              <w:t>4.5 (75)</w:t>
            </w:r>
            <w:bookmarkEnd w:id="944"/>
            <w:bookmarkEnd w:id="945"/>
          </w:p>
        </w:tc>
        <w:tc>
          <w:tcPr>
            <w:tcW w:w="935" w:type="dxa"/>
          </w:tcPr>
          <w:p w14:paraId="19449DD0" w14:textId="77777777" w:rsidR="008D1AE9" w:rsidRPr="0098635C" w:rsidRDefault="008D1AE9" w:rsidP="00AF385A">
            <w:pPr>
              <w:pStyle w:val="NoteLevel211"/>
              <w:rPr>
                <w:color w:val="000000" w:themeColor="text1"/>
              </w:rPr>
            </w:pPr>
          </w:p>
        </w:tc>
        <w:tc>
          <w:tcPr>
            <w:tcW w:w="934" w:type="dxa"/>
          </w:tcPr>
          <w:p w14:paraId="7866EBEE" w14:textId="77777777" w:rsidR="008D1AE9" w:rsidRPr="0098635C" w:rsidRDefault="008D1AE9" w:rsidP="00AF385A">
            <w:pPr>
              <w:pStyle w:val="NoteLevel211"/>
              <w:rPr>
                <w:color w:val="000000" w:themeColor="text1"/>
              </w:rPr>
            </w:pPr>
            <w:bookmarkStart w:id="946" w:name="_Toc471999797"/>
            <w:bookmarkStart w:id="947" w:name="_Toc472251240"/>
            <w:r w:rsidRPr="0098635C">
              <w:rPr>
                <w:color w:val="000000" w:themeColor="text1"/>
              </w:rPr>
              <w:t>2.2 (75)</w:t>
            </w:r>
            <w:bookmarkEnd w:id="946"/>
            <w:bookmarkEnd w:id="947"/>
          </w:p>
        </w:tc>
        <w:tc>
          <w:tcPr>
            <w:tcW w:w="940" w:type="dxa"/>
          </w:tcPr>
          <w:p w14:paraId="1F761295" w14:textId="77777777" w:rsidR="008D1AE9" w:rsidRPr="0098635C" w:rsidRDefault="008D1AE9" w:rsidP="00AF385A">
            <w:pPr>
              <w:pStyle w:val="NoteLevel211"/>
              <w:rPr>
                <w:color w:val="000000" w:themeColor="text1"/>
              </w:rPr>
            </w:pPr>
          </w:p>
        </w:tc>
        <w:tc>
          <w:tcPr>
            <w:tcW w:w="941" w:type="dxa"/>
          </w:tcPr>
          <w:p w14:paraId="0FB3A131" w14:textId="77777777" w:rsidR="008D1AE9" w:rsidRPr="0098635C" w:rsidRDefault="008D1AE9" w:rsidP="00AF385A">
            <w:pPr>
              <w:pStyle w:val="NoteLevel211"/>
              <w:rPr>
                <w:color w:val="000000" w:themeColor="text1"/>
              </w:rPr>
            </w:pPr>
          </w:p>
        </w:tc>
        <w:tc>
          <w:tcPr>
            <w:tcW w:w="935" w:type="dxa"/>
          </w:tcPr>
          <w:p w14:paraId="793B9E14" w14:textId="77777777" w:rsidR="008D1AE9" w:rsidRPr="0098635C" w:rsidRDefault="008D1AE9" w:rsidP="00AF385A">
            <w:pPr>
              <w:pStyle w:val="NoteLevel211"/>
              <w:rPr>
                <w:color w:val="000000" w:themeColor="text1"/>
              </w:rPr>
            </w:pPr>
          </w:p>
        </w:tc>
        <w:tc>
          <w:tcPr>
            <w:tcW w:w="939" w:type="dxa"/>
          </w:tcPr>
          <w:p w14:paraId="7F2C57D4" w14:textId="77777777" w:rsidR="008D1AE9" w:rsidRPr="0098635C" w:rsidRDefault="008D1AE9" w:rsidP="00AF385A">
            <w:pPr>
              <w:pStyle w:val="NoteLevel211"/>
              <w:rPr>
                <w:color w:val="000000" w:themeColor="text1"/>
              </w:rPr>
            </w:pPr>
          </w:p>
        </w:tc>
        <w:tc>
          <w:tcPr>
            <w:tcW w:w="935" w:type="dxa"/>
          </w:tcPr>
          <w:p w14:paraId="633255E0" w14:textId="77777777" w:rsidR="008D1AE9" w:rsidRPr="0098635C" w:rsidRDefault="008D1AE9" w:rsidP="00AF385A">
            <w:pPr>
              <w:pStyle w:val="NoteLevel211"/>
              <w:rPr>
                <w:color w:val="000000" w:themeColor="text1"/>
              </w:rPr>
            </w:pPr>
          </w:p>
        </w:tc>
        <w:tc>
          <w:tcPr>
            <w:tcW w:w="935" w:type="dxa"/>
          </w:tcPr>
          <w:p w14:paraId="1D1567F1" w14:textId="77777777" w:rsidR="008D1AE9" w:rsidRPr="0098635C" w:rsidRDefault="008D1AE9" w:rsidP="00AF385A">
            <w:pPr>
              <w:pStyle w:val="NoteLevel211"/>
              <w:rPr>
                <w:color w:val="000000" w:themeColor="text1"/>
              </w:rPr>
            </w:pPr>
          </w:p>
        </w:tc>
        <w:tc>
          <w:tcPr>
            <w:tcW w:w="937" w:type="dxa"/>
          </w:tcPr>
          <w:p w14:paraId="59413BCD" w14:textId="77777777" w:rsidR="008D1AE9" w:rsidRPr="0098635C" w:rsidRDefault="008D1AE9" w:rsidP="00AF385A">
            <w:pPr>
              <w:pStyle w:val="NoteLevel211"/>
              <w:rPr>
                <w:color w:val="000000" w:themeColor="text1"/>
              </w:rPr>
            </w:pPr>
          </w:p>
        </w:tc>
        <w:tc>
          <w:tcPr>
            <w:tcW w:w="935" w:type="dxa"/>
          </w:tcPr>
          <w:p w14:paraId="36A00A9B" w14:textId="77777777" w:rsidR="008D1AE9" w:rsidRPr="0098635C" w:rsidRDefault="008D1AE9" w:rsidP="00AF385A">
            <w:pPr>
              <w:pStyle w:val="NoteLevel211"/>
              <w:rPr>
                <w:color w:val="000000" w:themeColor="text1"/>
              </w:rPr>
            </w:pPr>
          </w:p>
        </w:tc>
        <w:tc>
          <w:tcPr>
            <w:tcW w:w="935" w:type="dxa"/>
          </w:tcPr>
          <w:p w14:paraId="34C39BB3" w14:textId="77777777" w:rsidR="008D1AE9" w:rsidRPr="0098635C" w:rsidRDefault="008D1AE9" w:rsidP="00AF385A">
            <w:pPr>
              <w:pStyle w:val="NoteLevel211"/>
              <w:rPr>
                <w:color w:val="000000" w:themeColor="text1"/>
              </w:rPr>
            </w:pPr>
          </w:p>
        </w:tc>
        <w:tc>
          <w:tcPr>
            <w:tcW w:w="935" w:type="dxa"/>
          </w:tcPr>
          <w:p w14:paraId="4F38EF21" w14:textId="77777777" w:rsidR="008D1AE9" w:rsidRPr="0098635C" w:rsidRDefault="008D1AE9" w:rsidP="00AF385A">
            <w:pPr>
              <w:pStyle w:val="NoteLevel211"/>
              <w:rPr>
                <w:color w:val="000000" w:themeColor="text1"/>
              </w:rPr>
            </w:pPr>
          </w:p>
        </w:tc>
        <w:tc>
          <w:tcPr>
            <w:tcW w:w="935" w:type="dxa"/>
          </w:tcPr>
          <w:p w14:paraId="563A9B4E" w14:textId="77777777" w:rsidR="008D1AE9" w:rsidRPr="0098635C" w:rsidRDefault="008D1AE9" w:rsidP="00AF385A">
            <w:pPr>
              <w:pStyle w:val="NoteLevel211"/>
              <w:rPr>
                <w:color w:val="000000" w:themeColor="text1"/>
              </w:rPr>
            </w:pPr>
          </w:p>
        </w:tc>
      </w:tr>
      <w:tr w:rsidR="008D1AE9" w:rsidRPr="0098635C" w14:paraId="700070BC" w14:textId="77777777" w:rsidTr="006C1D26">
        <w:trPr>
          <w:trHeight w:val="507"/>
        </w:trPr>
        <w:tc>
          <w:tcPr>
            <w:tcW w:w="1096" w:type="dxa"/>
          </w:tcPr>
          <w:p w14:paraId="365C5477" w14:textId="77777777" w:rsidR="008D1AE9" w:rsidRPr="0098635C" w:rsidRDefault="008D1AE9" w:rsidP="00AF385A">
            <w:pPr>
              <w:pStyle w:val="NoteLevel211"/>
              <w:rPr>
                <w:color w:val="000000" w:themeColor="text1"/>
              </w:rPr>
            </w:pPr>
            <w:bookmarkStart w:id="948" w:name="_Toc471999798"/>
            <w:bookmarkStart w:id="949" w:name="_Toc472251241"/>
            <w:r w:rsidRPr="0098635C">
              <w:rPr>
                <w:color w:val="000000" w:themeColor="text1"/>
              </w:rPr>
              <w:t>Bem et al (1993b)</w:t>
            </w:r>
            <w:bookmarkEnd w:id="948"/>
            <w:bookmarkEnd w:id="949"/>
          </w:p>
        </w:tc>
        <w:tc>
          <w:tcPr>
            <w:tcW w:w="945" w:type="dxa"/>
          </w:tcPr>
          <w:p w14:paraId="0F213C37" w14:textId="77777777" w:rsidR="008D1AE9" w:rsidRPr="0098635C" w:rsidRDefault="008D1AE9" w:rsidP="00AF385A">
            <w:pPr>
              <w:pStyle w:val="NoteLevel211"/>
              <w:rPr>
                <w:color w:val="000000" w:themeColor="text1"/>
              </w:rPr>
            </w:pPr>
            <w:bookmarkStart w:id="950" w:name="_Toc471999799"/>
            <w:bookmarkStart w:id="951" w:name="_Toc472251242"/>
            <w:r w:rsidRPr="0098635C">
              <w:rPr>
                <w:color w:val="000000" w:themeColor="text1"/>
              </w:rPr>
              <w:t>4.0±2.1 (79)</w:t>
            </w:r>
            <w:bookmarkEnd w:id="950"/>
            <w:bookmarkEnd w:id="951"/>
          </w:p>
        </w:tc>
        <w:tc>
          <w:tcPr>
            <w:tcW w:w="935" w:type="dxa"/>
          </w:tcPr>
          <w:p w14:paraId="090FBB70" w14:textId="77777777" w:rsidR="008D1AE9" w:rsidRPr="0098635C" w:rsidRDefault="008D1AE9" w:rsidP="00AF385A">
            <w:pPr>
              <w:pStyle w:val="NoteLevel211"/>
              <w:rPr>
                <w:color w:val="000000" w:themeColor="text1"/>
              </w:rPr>
            </w:pPr>
          </w:p>
        </w:tc>
        <w:tc>
          <w:tcPr>
            <w:tcW w:w="934" w:type="dxa"/>
          </w:tcPr>
          <w:p w14:paraId="3B9666AB" w14:textId="77777777" w:rsidR="008D1AE9" w:rsidRPr="0098635C" w:rsidRDefault="008D1AE9" w:rsidP="00AF385A">
            <w:pPr>
              <w:pStyle w:val="NoteLevel211"/>
              <w:rPr>
                <w:color w:val="000000" w:themeColor="text1"/>
              </w:rPr>
            </w:pPr>
          </w:p>
        </w:tc>
        <w:tc>
          <w:tcPr>
            <w:tcW w:w="940" w:type="dxa"/>
          </w:tcPr>
          <w:p w14:paraId="13ED83B1" w14:textId="77777777" w:rsidR="008D1AE9" w:rsidRPr="0098635C" w:rsidRDefault="008D1AE9" w:rsidP="00AF385A">
            <w:pPr>
              <w:pStyle w:val="NoteLevel211"/>
              <w:rPr>
                <w:color w:val="000000" w:themeColor="text1"/>
              </w:rPr>
            </w:pPr>
          </w:p>
        </w:tc>
        <w:tc>
          <w:tcPr>
            <w:tcW w:w="941" w:type="dxa"/>
          </w:tcPr>
          <w:p w14:paraId="19E1E16A" w14:textId="77777777" w:rsidR="008D1AE9" w:rsidRPr="0098635C" w:rsidRDefault="008D1AE9" w:rsidP="00AF385A">
            <w:pPr>
              <w:pStyle w:val="NoteLevel211"/>
              <w:rPr>
                <w:color w:val="000000" w:themeColor="text1"/>
              </w:rPr>
            </w:pPr>
          </w:p>
        </w:tc>
        <w:tc>
          <w:tcPr>
            <w:tcW w:w="935" w:type="dxa"/>
          </w:tcPr>
          <w:p w14:paraId="09915742" w14:textId="77777777" w:rsidR="008D1AE9" w:rsidRPr="0098635C" w:rsidRDefault="008D1AE9" w:rsidP="00AF385A">
            <w:pPr>
              <w:pStyle w:val="NoteLevel211"/>
              <w:rPr>
                <w:color w:val="000000" w:themeColor="text1"/>
              </w:rPr>
            </w:pPr>
          </w:p>
        </w:tc>
        <w:tc>
          <w:tcPr>
            <w:tcW w:w="939" w:type="dxa"/>
          </w:tcPr>
          <w:p w14:paraId="27CD37D9" w14:textId="77777777" w:rsidR="008D1AE9" w:rsidRPr="0098635C" w:rsidRDefault="008D1AE9" w:rsidP="00AF385A">
            <w:pPr>
              <w:pStyle w:val="NoteLevel211"/>
              <w:rPr>
                <w:color w:val="000000" w:themeColor="text1"/>
              </w:rPr>
            </w:pPr>
          </w:p>
        </w:tc>
        <w:tc>
          <w:tcPr>
            <w:tcW w:w="935" w:type="dxa"/>
          </w:tcPr>
          <w:p w14:paraId="06E45481" w14:textId="77777777" w:rsidR="008D1AE9" w:rsidRPr="0098635C" w:rsidRDefault="008D1AE9" w:rsidP="00AF385A">
            <w:pPr>
              <w:pStyle w:val="NoteLevel211"/>
              <w:rPr>
                <w:color w:val="000000" w:themeColor="text1"/>
              </w:rPr>
            </w:pPr>
          </w:p>
        </w:tc>
        <w:tc>
          <w:tcPr>
            <w:tcW w:w="935" w:type="dxa"/>
          </w:tcPr>
          <w:p w14:paraId="008A9615" w14:textId="77777777" w:rsidR="008D1AE9" w:rsidRPr="0098635C" w:rsidRDefault="008D1AE9" w:rsidP="00AF385A">
            <w:pPr>
              <w:pStyle w:val="NoteLevel211"/>
              <w:rPr>
                <w:color w:val="000000" w:themeColor="text1"/>
              </w:rPr>
            </w:pPr>
          </w:p>
        </w:tc>
        <w:tc>
          <w:tcPr>
            <w:tcW w:w="937" w:type="dxa"/>
          </w:tcPr>
          <w:p w14:paraId="5FAC6677" w14:textId="77777777" w:rsidR="008D1AE9" w:rsidRPr="0098635C" w:rsidRDefault="008D1AE9" w:rsidP="00AF385A">
            <w:pPr>
              <w:pStyle w:val="NoteLevel211"/>
              <w:rPr>
                <w:color w:val="000000" w:themeColor="text1"/>
              </w:rPr>
            </w:pPr>
          </w:p>
        </w:tc>
        <w:tc>
          <w:tcPr>
            <w:tcW w:w="935" w:type="dxa"/>
          </w:tcPr>
          <w:p w14:paraId="73E3BDF8" w14:textId="77777777" w:rsidR="008D1AE9" w:rsidRPr="0098635C" w:rsidRDefault="008D1AE9" w:rsidP="00AF385A">
            <w:pPr>
              <w:pStyle w:val="NoteLevel211"/>
              <w:rPr>
                <w:color w:val="000000" w:themeColor="text1"/>
              </w:rPr>
            </w:pPr>
          </w:p>
        </w:tc>
        <w:tc>
          <w:tcPr>
            <w:tcW w:w="935" w:type="dxa"/>
          </w:tcPr>
          <w:p w14:paraId="02FBB721" w14:textId="77777777" w:rsidR="008D1AE9" w:rsidRPr="0098635C" w:rsidRDefault="008D1AE9" w:rsidP="00AF385A">
            <w:pPr>
              <w:pStyle w:val="NoteLevel211"/>
              <w:rPr>
                <w:color w:val="000000" w:themeColor="text1"/>
              </w:rPr>
            </w:pPr>
          </w:p>
        </w:tc>
        <w:tc>
          <w:tcPr>
            <w:tcW w:w="935" w:type="dxa"/>
          </w:tcPr>
          <w:p w14:paraId="0DAD0CFC" w14:textId="77777777" w:rsidR="008D1AE9" w:rsidRPr="0098635C" w:rsidRDefault="008D1AE9" w:rsidP="00AF385A">
            <w:pPr>
              <w:pStyle w:val="NoteLevel211"/>
              <w:rPr>
                <w:color w:val="000000" w:themeColor="text1"/>
              </w:rPr>
            </w:pPr>
          </w:p>
        </w:tc>
        <w:tc>
          <w:tcPr>
            <w:tcW w:w="935" w:type="dxa"/>
          </w:tcPr>
          <w:p w14:paraId="42D7E888" w14:textId="77777777" w:rsidR="008D1AE9" w:rsidRPr="0098635C" w:rsidRDefault="008D1AE9" w:rsidP="00AF385A">
            <w:pPr>
              <w:pStyle w:val="NoteLevel211"/>
              <w:rPr>
                <w:color w:val="000000" w:themeColor="text1"/>
              </w:rPr>
            </w:pPr>
          </w:p>
        </w:tc>
      </w:tr>
      <w:tr w:rsidR="008D1AE9" w:rsidRPr="0098635C" w14:paraId="3B3A7BBB" w14:textId="77777777" w:rsidTr="006C1D26">
        <w:trPr>
          <w:trHeight w:val="507"/>
        </w:trPr>
        <w:tc>
          <w:tcPr>
            <w:tcW w:w="1096" w:type="dxa"/>
          </w:tcPr>
          <w:p w14:paraId="5BF1D980" w14:textId="2D5181A9" w:rsidR="008D1AE9" w:rsidRPr="0098635C" w:rsidRDefault="004765C0" w:rsidP="00AF385A">
            <w:pPr>
              <w:pStyle w:val="NoteLevel211"/>
              <w:rPr>
                <w:color w:val="000000" w:themeColor="text1"/>
              </w:rPr>
            </w:pPr>
            <w:bookmarkStart w:id="952" w:name="_Toc471999800"/>
            <w:bookmarkStart w:id="953" w:name="_Toc472251243"/>
            <w:r w:rsidRPr="0098635C">
              <w:rPr>
                <w:color w:val="000000" w:themeColor="text1"/>
              </w:rPr>
              <w:t xml:space="preserve">Piotrowski  </w:t>
            </w:r>
            <w:r w:rsidR="008D1AE9" w:rsidRPr="0098635C">
              <w:rPr>
                <w:color w:val="000000" w:themeColor="text1"/>
              </w:rPr>
              <w:t>et al (1996)</w:t>
            </w:r>
            <w:bookmarkEnd w:id="952"/>
            <w:bookmarkEnd w:id="953"/>
          </w:p>
        </w:tc>
        <w:tc>
          <w:tcPr>
            <w:tcW w:w="945" w:type="dxa"/>
          </w:tcPr>
          <w:p w14:paraId="6831F16B" w14:textId="77777777" w:rsidR="008D1AE9" w:rsidRPr="0098635C" w:rsidRDefault="008D1AE9" w:rsidP="00AF385A">
            <w:pPr>
              <w:pStyle w:val="NoteLevel211"/>
              <w:rPr>
                <w:color w:val="000000" w:themeColor="text1"/>
              </w:rPr>
            </w:pPr>
            <w:bookmarkStart w:id="954" w:name="_Toc471999801"/>
            <w:bookmarkStart w:id="955" w:name="_Toc472251244"/>
            <w:r w:rsidRPr="0098635C">
              <w:rPr>
                <w:color w:val="000000" w:themeColor="text1"/>
              </w:rPr>
              <w:t>4.6±2.2 (60)</w:t>
            </w:r>
            <w:bookmarkEnd w:id="954"/>
            <w:bookmarkEnd w:id="955"/>
          </w:p>
        </w:tc>
        <w:tc>
          <w:tcPr>
            <w:tcW w:w="935" w:type="dxa"/>
          </w:tcPr>
          <w:p w14:paraId="5F07819E" w14:textId="77777777" w:rsidR="008D1AE9" w:rsidRPr="0098635C" w:rsidRDefault="008D1AE9" w:rsidP="00AF385A">
            <w:pPr>
              <w:pStyle w:val="NoteLevel211"/>
              <w:rPr>
                <w:color w:val="000000" w:themeColor="text1"/>
              </w:rPr>
            </w:pPr>
          </w:p>
        </w:tc>
        <w:tc>
          <w:tcPr>
            <w:tcW w:w="934" w:type="dxa"/>
          </w:tcPr>
          <w:p w14:paraId="3E046BE1" w14:textId="77777777" w:rsidR="008D1AE9" w:rsidRPr="0098635C" w:rsidRDefault="008D1AE9" w:rsidP="00AF385A">
            <w:pPr>
              <w:pStyle w:val="NoteLevel211"/>
              <w:rPr>
                <w:color w:val="000000" w:themeColor="text1"/>
              </w:rPr>
            </w:pPr>
            <w:bookmarkStart w:id="956" w:name="_Toc471999802"/>
            <w:bookmarkStart w:id="957" w:name="_Toc472251245"/>
            <w:r w:rsidRPr="0098635C">
              <w:rPr>
                <w:color w:val="000000" w:themeColor="text1"/>
              </w:rPr>
              <w:t>2.3±1.2 (60)</w:t>
            </w:r>
            <w:bookmarkEnd w:id="956"/>
            <w:bookmarkEnd w:id="957"/>
          </w:p>
        </w:tc>
        <w:tc>
          <w:tcPr>
            <w:tcW w:w="940" w:type="dxa"/>
          </w:tcPr>
          <w:p w14:paraId="4AAB7CA4" w14:textId="77777777" w:rsidR="008D1AE9" w:rsidRPr="0098635C" w:rsidRDefault="008D1AE9" w:rsidP="00AF385A">
            <w:pPr>
              <w:pStyle w:val="NoteLevel211"/>
              <w:rPr>
                <w:color w:val="000000" w:themeColor="text1"/>
              </w:rPr>
            </w:pPr>
          </w:p>
        </w:tc>
        <w:tc>
          <w:tcPr>
            <w:tcW w:w="941" w:type="dxa"/>
          </w:tcPr>
          <w:p w14:paraId="2FD97A9E" w14:textId="77777777" w:rsidR="008D1AE9" w:rsidRPr="0098635C" w:rsidRDefault="008D1AE9" w:rsidP="00AF385A">
            <w:pPr>
              <w:pStyle w:val="NoteLevel211"/>
              <w:rPr>
                <w:color w:val="000000" w:themeColor="text1"/>
              </w:rPr>
            </w:pPr>
          </w:p>
        </w:tc>
        <w:tc>
          <w:tcPr>
            <w:tcW w:w="935" w:type="dxa"/>
          </w:tcPr>
          <w:p w14:paraId="4541CD79" w14:textId="77777777" w:rsidR="008D1AE9" w:rsidRPr="0098635C" w:rsidRDefault="008D1AE9" w:rsidP="00AF385A">
            <w:pPr>
              <w:pStyle w:val="NoteLevel211"/>
              <w:rPr>
                <w:color w:val="000000" w:themeColor="text1"/>
              </w:rPr>
            </w:pPr>
          </w:p>
        </w:tc>
        <w:tc>
          <w:tcPr>
            <w:tcW w:w="939" w:type="dxa"/>
          </w:tcPr>
          <w:p w14:paraId="08747F24" w14:textId="77777777" w:rsidR="008D1AE9" w:rsidRPr="0098635C" w:rsidRDefault="008D1AE9" w:rsidP="00AF385A">
            <w:pPr>
              <w:pStyle w:val="NoteLevel211"/>
              <w:rPr>
                <w:color w:val="000000" w:themeColor="text1"/>
              </w:rPr>
            </w:pPr>
          </w:p>
        </w:tc>
        <w:tc>
          <w:tcPr>
            <w:tcW w:w="935" w:type="dxa"/>
          </w:tcPr>
          <w:p w14:paraId="783E35EE" w14:textId="77777777" w:rsidR="008D1AE9" w:rsidRPr="0098635C" w:rsidRDefault="008D1AE9" w:rsidP="00AF385A">
            <w:pPr>
              <w:pStyle w:val="NoteLevel211"/>
              <w:rPr>
                <w:color w:val="000000" w:themeColor="text1"/>
              </w:rPr>
            </w:pPr>
          </w:p>
        </w:tc>
        <w:tc>
          <w:tcPr>
            <w:tcW w:w="935" w:type="dxa"/>
          </w:tcPr>
          <w:p w14:paraId="05A7F1F6" w14:textId="77777777" w:rsidR="008D1AE9" w:rsidRPr="0098635C" w:rsidRDefault="008D1AE9" w:rsidP="00AF385A">
            <w:pPr>
              <w:pStyle w:val="NoteLevel211"/>
              <w:rPr>
                <w:color w:val="000000" w:themeColor="text1"/>
              </w:rPr>
            </w:pPr>
          </w:p>
        </w:tc>
        <w:tc>
          <w:tcPr>
            <w:tcW w:w="937" w:type="dxa"/>
          </w:tcPr>
          <w:p w14:paraId="16FA1FA5" w14:textId="77777777" w:rsidR="008D1AE9" w:rsidRPr="0098635C" w:rsidRDefault="008D1AE9" w:rsidP="00AF385A">
            <w:pPr>
              <w:pStyle w:val="NoteLevel211"/>
              <w:rPr>
                <w:color w:val="000000" w:themeColor="text1"/>
              </w:rPr>
            </w:pPr>
          </w:p>
        </w:tc>
        <w:tc>
          <w:tcPr>
            <w:tcW w:w="935" w:type="dxa"/>
          </w:tcPr>
          <w:p w14:paraId="149CB60A" w14:textId="77777777" w:rsidR="008D1AE9" w:rsidRPr="0098635C" w:rsidRDefault="008D1AE9" w:rsidP="00AF385A">
            <w:pPr>
              <w:pStyle w:val="NoteLevel211"/>
              <w:rPr>
                <w:color w:val="000000" w:themeColor="text1"/>
              </w:rPr>
            </w:pPr>
          </w:p>
        </w:tc>
        <w:tc>
          <w:tcPr>
            <w:tcW w:w="935" w:type="dxa"/>
          </w:tcPr>
          <w:p w14:paraId="5B0060D8" w14:textId="77777777" w:rsidR="008D1AE9" w:rsidRPr="0098635C" w:rsidRDefault="008D1AE9" w:rsidP="00AF385A">
            <w:pPr>
              <w:pStyle w:val="NoteLevel211"/>
              <w:rPr>
                <w:color w:val="000000" w:themeColor="text1"/>
              </w:rPr>
            </w:pPr>
          </w:p>
        </w:tc>
        <w:tc>
          <w:tcPr>
            <w:tcW w:w="935" w:type="dxa"/>
          </w:tcPr>
          <w:p w14:paraId="389015B0" w14:textId="77777777" w:rsidR="008D1AE9" w:rsidRPr="0098635C" w:rsidRDefault="008D1AE9" w:rsidP="00AF385A">
            <w:pPr>
              <w:pStyle w:val="NoteLevel211"/>
              <w:rPr>
                <w:color w:val="000000" w:themeColor="text1"/>
              </w:rPr>
            </w:pPr>
          </w:p>
        </w:tc>
        <w:tc>
          <w:tcPr>
            <w:tcW w:w="935" w:type="dxa"/>
          </w:tcPr>
          <w:p w14:paraId="0A9CC4E7" w14:textId="77777777" w:rsidR="008D1AE9" w:rsidRPr="0098635C" w:rsidRDefault="008D1AE9" w:rsidP="00AF385A">
            <w:pPr>
              <w:pStyle w:val="NoteLevel211"/>
              <w:rPr>
                <w:color w:val="000000" w:themeColor="text1"/>
              </w:rPr>
            </w:pPr>
          </w:p>
        </w:tc>
      </w:tr>
      <w:tr w:rsidR="008D1AE9" w:rsidRPr="0098635C" w14:paraId="44CEDC4D" w14:textId="77777777" w:rsidTr="006C1D26">
        <w:trPr>
          <w:trHeight w:val="507"/>
        </w:trPr>
        <w:tc>
          <w:tcPr>
            <w:tcW w:w="1096" w:type="dxa"/>
          </w:tcPr>
          <w:p w14:paraId="4DA9760C" w14:textId="77777777" w:rsidR="008D1AE9" w:rsidRPr="0098635C" w:rsidRDefault="008D1AE9" w:rsidP="00AF385A">
            <w:pPr>
              <w:pStyle w:val="NoteLevel211"/>
              <w:rPr>
                <w:color w:val="000000" w:themeColor="text1"/>
              </w:rPr>
            </w:pPr>
            <w:bookmarkStart w:id="958" w:name="_Toc471999803"/>
            <w:bookmarkStart w:id="959" w:name="_Toc472251246"/>
            <w:r w:rsidRPr="0098635C">
              <w:rPr>
                <w:color w:val="000000" w:themeColor="text1"/>
              </w:rPr>
              <w:t>Pinheiro et al (1997)</w:t>
            </w:r>
            <w:bookmarkEnd w:id="958"/>
            <w:bookmarkEnd w:id="959"/>
          </w:p>
        </w:tc>
        <w:tc>
          <w:tcPr>
            <w:tcW w:w="945" w:type="dxa"/>
          </w:tcPr>
          <w:p w14:paraId="79227E47" w14:textId="77777777" w:rsidR="008D1AE9" w:rsidRPr="0098635C" w:rsidRDefault="008D1AE9" w:rsidP="00AF385A">
            <w:pPr>
              <w:pStyle w:val="NoteLevel211"/>
              <w:rPr>
                <w:color w:val="000000" w:themeColor="text1"/>
              </w:rPr>
            </w:pPr>
            <w:bookmarkStart w:id="960" w:name="_Toc471999804"/>
            <w:bookmarkStart w:id="961" w:name="_Toc472251247"/>
            <w:r w:rsidRPr="0098635C">
              <w:rPr>
                <w:color w:val="000000" w:themeColor="text1"/>
              </w:rPr>
              <w:t>4.8±0.7 (8)</w:t>
            </w:r>
            <w:bookmarkEnd w:id="960"/>
            <w:bookmarkEnd w:id="961"/>
          </w:p>
        </w:tc>
        <w:tc>
          <w:tcPr>
            <w:tcW w:w="935" w:type="dxa"/>
          </w:tcPr>
          <w:p w14:paraId="3B53546B" w14:textId="77777777" w:rsidR="008D1AE9" w:rsidRPr="0098635C" w:rsidRDefault="008D1AE9" w:rsidP="00AF385A">
            <w:pPr>
              <w:pStyle w:val="NoteLevel211"/>
              <w:rPr>
                <w:color w:val="000000" w:themeColor="text1"/>
              </w:rPr>
            </w:pPr>
          </w:p>
        </w:tc>
        <w:tc>
          <w:tcPr>
            <w:tcW w:w="934" w:type="dxa"/>
          </w:tcPr>
          <w:p w14:paraId="06DA52A2" w14:textId="77777777" w:rsidR="008D1AE9" w:rsidRPr="0098635C" w:rsidRDefault="008D1AE9" w:rsidP="00AF385A">
            <w:pPr>
              <w:pStyle w:val="NoteLevel211"/>
              <w:rPr>
                <w:color w:val="000000" w:themeColor="text1"/>
              </w:rPr>
            </w:pPr>
            <w:bookmarkStart w:id="962" w:name="_Toc471999805"/>
            <w:bookmarkStart w:id="963" w:name="_Toc472251248"/>
            <w:r w:rsidRPr="0098635C">
              <w:rPr>
                <w:color w:val="000000" w:themeColor="text1"/>
              </w:rPr>
              <w:t>2.2±0.5 (8)</w:t>
            </w:r>
            <w:bookmarkEnd w:id="962"/>
            <w:bookmarkEnd w:id="963"/>
          </w:p>
        </w:tc>
        <w:tc>
          <w:tcPr>
            <w:tcW w:w="940" w:type="dxa"/>
          </w:tcPr>
          <w:p w14:paraId="00A0C874" w14:textId="77777777" w:rsidR="008D1AE9" w:rsidRPr="0098635C" w:rsidRDefault="008D1AE9" w:rsidP="00AF385A">
            <w:pPr>
              <w:pStyle w:val="NoteLevel211"/>
              <w:rPr>
                <w:color w:val="000000" w:themeColor="text1"/>
              </w:rPr>
            </w:pPr>
          </w:p>
        </w:tc>
        <w:tc>
          <w:tcPr>
            <w:tcW w:w="941" w:type="dxa"/>
          </w:tcPr>
          <w:p w14:paraId="3336B513" w14:textId="77777777" w:rsidR="008D1AE9" w:rsidRPr="0098635C" w:rsidRDefault="008D1AE9" w:rsidP="00AF385A">
            <w:pPr>
              <w:pStyle w:val="NoteLevel211"/>
              <w:rPr>
                <w:color w:val="000000" w:themeColor="text1"/>
              </w:rPr>
            </w:pPr>
          </w:p>
        </w:tc>
        <w:tc>
          <w:tcPr>
            <w:tcW w:w="935" w:type="dxa"/>
          </w:tcPr>
          <w:p w14:paraId="54CD76D0" w14:textId="77777777" w:rsidR="008D1AE9" w:rsidRPr="0098635C" w:rsidRDefault="008D1AE9" w:rsidP="00AF385A">
            <w:pPr>
              <w:pStyle w:val="NoteLevel211"/>
              <w:rPr>
                <w:color w:val="000000" w:themeColor="text1"/>
              </w:rPr>
            </w:pPr>
          </w:p>
        </w:tc>
        <w:tc>
          <w:tcPr>
            <w:tcW w:w="939" w:type="dxa"/>
          </w:tcPr>
          <w:p w14:paraId="6953F7E4" w14:textId="77777777" w:rsidR="008D1AE9" w:rsidRPr="0098635C" w:rsidRDefault="008D1AE9" w:rsidP="00AF385A">
            <w:pPr>
              <w:pStyle w:val="NoteLevel211"/>
              <w:rPr>
                <w:color w:val="000000" w:themeColor="text1"/>
              </w:rPr>
            </w:pPr>
          </w:p>
        </w:tc>
        <w:tc>
          <w:tcPr>
            <w:tcW w:w="935" w:type="dxa"/>
          </w:tcPr>
          <w:p w14:paraId="5559E4C1" w14:textId="77777777" w:rsidR="008D1AE9" w:rsidRPr="0098635C" w:rsidRDefault="008D1AE9" w:rsidP="00AF385A">
            <w:pPr>
              <w:pStyle w:val="NoteLevel211"/>
              <w:rPr>
                <w:color w:val="000000" w:themeColor="text1"/>
              </w:rPr>
            </w:pPr>
          </w:p>
        </w:tc>
        <w:tc>
          <w:tcPr>
            <w:tcW w:w="935" w:type="dxa"/>
          </w:tcPr>
          <w:p w14:paraId="74A9B4C6" w14:textId="77777777" w:rsidR="008D1AE9" w:rsidRPr="0098635C" w:rsidRDefault="008D1AE9" w:rsidP="00AF385A">
            <w:pPr>
              <w:pStyle w:val="NoteLevel211"/>
              <w:rPr>
                <w:color w:val="000000" w:themeColor="text1"/>
              </w:rPr>
            </w:pPr>
          </w:p>
        </w:tc>
        <w:tc>
          <w:tcPr>
            <w:tcW w:w="937" w:type="dxa"/>
          </w:tcPr>
          <w:p w14:paraId="2D890904" w14:textId="77777777" w:rsidR="008D1AE9" w:rsidRPr="0098635C" w:rsidRDefault="008D1AE9" w:rsidP="00AF385A">
            <w:pPr>
              <w:pStyle w:val="NoteLevel211"/>
              <w:rPr>
                <w:color w:val="000000" w:themeColor="text1"/>
              </w:rPr>
            </w:pPr>
            <w:bookmarkStart w:id="964" w:name="_Toc471999806"/>
            <w:bookmarkStart w:id="965" w:name="_Toc472251249"/>
            <w:r w:rsidRPr="0098635C">
              <w:rPr>
                <w:color w:val="000000" w:themeColor="text1"/>
              </w:rPr>
              <w:t>1.5±0.4 (8)</w:t>
            </w:r>
            <w:bookmarkEnd w:id="964"/>
            <w:bookmarkEnd w:id="965"/>
          </w:p>
        </w:tc>
        <w:tc>
          <w:tcPr>
            <w:tcW w:w="935" w:type="dxa"/>
          </w:tcPr>
          <w:p w14:paraId="7D2BA64E" w14:textId="77777777" w:rsidR="008D1AE9" w:rsidRPr="0098635C" w:rsidRDefault="008D1AE9" w:rsidP="00AF385A">
            <w:pPr>
              <w:pStyle w:val="NoteLevel211"/>
              <w:rPr>
                <w:color w:val="000000" w:themeColor="text1"/>
              </w:rPr>
            </w:pPr>
          </w:p>
        </w:tc>
        <w:tc>
          <w:tcPr>
            <w:tcW w:w="935" w:type="dxa"/>
          </w:tcPr>
          <w:p w14:paraId="0E9805F6" w14:textId="77777777" w:rsidR="008D1AE9" w:rsidRPr="0098635C" w:rsidRDefault="008D1AE9" w:rsidP="00AF385A">
            <w:pPr>
              <w:pStyle w:val="NoteLevel211"/>
              <w:rPr>
                <w:color w:val="000000" w:themeColor="text1"/>
              </w:rPr>
            </w:pPr>
          </w:p>
        </w:tc>
        <w:tc>
          <w:tcPr>
            <w:tcW w:w="935" w:type="dxa"/>
          </w:tcPr>
          <w:p w14:paraId="79295926" w14:textId="77777777" w:rsidR="008D1AE9" w:rsidRPr="0098635C" w:rsidRDefault="008D1AE9" w:rsidP="00AF385A">
            <w:pPr>
              <w:pStyle w:val="NoteLevel211"/>
              <w:rPr>
                <w:color w:val="000000" w:themeColor="text1"/>
              </w:rPr>
            </w:pPr>
          </w:p>
        </w:tc>
        <w:tc>
          <w:tcPr>
            <w:tcW w:w="935" w:type="dxa"/>
          </w:tcPr>
          <w:p w14:paraId="424DFC25" w14:textId="77777777" w:rsidR="008D1AE9" w:rsidRPr="0098635C" w:rsidRDefault="008D1AE9" w:rsidP="00AF385A">
            <w:pPr>
              <w:pStyle w:val="NoteLevel211"/>
              <w:rPr>
                <w:color w:val="000000" w:themeColor="text1"/>
              </w:rPr>
            </w:pPr>
          </w:p>
        </w:tc>
      </w:tr>
      <w:tr w:rsidR="008D1AE9" w:rsidRPr="0098635C" w14:paraId="2A5AF09A" w14:textId="77777777" w:rsidTr="006C1D26">
        <w:trPr>
          <w:trHeight w:val="507"/>
        </w:trPr>
        <w:tc>
          <w:tcPr>
            <w:tcW w:w="1096" w:type="dxa"/>
          </w:tcPr>
          <w:p w14:paraId="4EE64D0A" w14:textId="77777777" w:rsidR="008D1AE9" w:rsidRPr="0098635C" w:rsidRDefault="008D1AE9" w:rsidP="00AF385A">
            <w:pPr>
              <w:pStyle w:val="NoteLevel211"/>
              <w:rPr>
                <w:color w:val="000000" w:themeColor="text1"/>
              </w:rPr>
            </w:pPr>
            <w:bookmarkStart w:id="966" w:name="_Toc471999807"/>
            <w:bookmarkStart w:id="967" w:name="_Toc472251250"/>
            <w:r w:rsidRPr="0098635C">
              <w:rPr>
                <w:color w:val="000000" w:themeColor="text1"/>
              </w:rPr>
              <w:t>Tsuchiyama et al (1997)</w:t>
            </w:r>
            <w:bookmarkEnd w:id="966"/>
            <w:bookmarkEnd w:id="967"/>
          </w:p>
        </w:tc>
        <w:tc>
          <w:tcPr>
            <w:tcW w:w="945" w:type="dxa"/>
          </w:tcPr>
          <w:p w14:paraId="74265504" w14:textId="77777777" w:rsidR="008D1AE9" w:rsidRPr="0098635C" w:rsidRDefault="008D1AE9" w:rsidP="00AF385A">
            <w:pPr>
              <w:pStyle w:val="NoteLevel211"/>
              <w:rPr>
                <w:color w:val="000000" w:themeColor="text1"/>
              </w:rPr>
            </w:pPr>
          </w:p>
        </w:tc>
        <w:tc>
          <w:tcPr>
            <w:tcW w:w="935" w:type="dxa"/>
          </w:tcPr>
          <w:p w14:paraId="7D98793A" w14:textId="77777777" w:rsidR="008D1AE9" w:rsidRPr="0098635C" w:rsidRDefault="008D1AE9" w:rsidP="00AF385A">
            <w:pPr>
              <w:pStyle w:val="NoteLevel211"/>
              <w:rPr>
                <w:color w:val="000000" w:themeColor="text1"/>
              </w:rPr>
            </w:pPr>
          </w:p>
        </w:tc>
        <w:tc>
          <w:tcPr>
            <w:tcW w:w="934" w:type="dxa"/>
          </w:tcPr>
          <w:p w14:paraId="5D6FB329" w14:textId="77777777" w:rsidR="008D1AE9" w:rsidRPr="0098635C" w:rsidRDefault="008D1AE9" w:rsidP="00AF385A">
            <w:pPr>
              <w:pStyle w:val="NoteLevel211"/>
              <w:rPr>
                <w:color w:val="000000" w:themeColor="text1"/>
              </w:rPr>
            </w:pPr>
          </w:p>
        </w:tc>
        <w:tc>
          <w:tcPr>
            <w:tcW w:w="940" w:type="dxa"/>
          </w:tcPr>
          <w:p w14:paraId="213906EF" w14:textId="77777777" w:rsidR="008D1AE9" w:rsidRPr="0098635C" w:rsidRDefault="008D1AE9" w:rsidP="00AF385A">
            <w:pPr>
              <w:pStyle w:val="NoteLevel211"/>
              <w:rPr>
                <w:color w:val="000000" w:themeColor="text1"/>
              </w:rPr>
            </w:pPr>
          </w:p>
        </w:tc>
        <w:tc>
          <w:tcPr>
            <w:tcW w:w="941" w:type="dxa"/>
          </w:tcPr>
          <w:p w14:paraId="23CBCCE7" w14:textId="77777777" w:rsidR="008D1AE9" w:rsidRPr="0098635C" w:rsidRDefault="008D1AE9" w:rsidP="00AF385A">
            <w:pPr>
              <w:pStyle w:val="NoteLevel211"/>
              <w:rPr>
                <w:color w:val="000000" w:themeColor="text1"/>
              </w:rPr>
            </w:pPr>
          </w:p>
        </w:tc>
        <w:tc>
          <w:tcPr>
            <w:tcW w:w="935" w:type="dxa"/>
          </w:tcPr>
          <w:p w14:paraId="5C8077BB" w14:textId="77777777" w:rsidR="008D1AE9" w:rsidRPr="0098635C" w:rsidRDefault="008D1AE9" w:rsidP="00AF385A">
            <w:pPr>
              <w:pStyle w:val="NoteLevel211"/>
              <w:rPr>
                <w:color w:val="000000" w:themeColor="text1"/>
              </w:rPr>
            </w:pPr>
          </w:p>
        </w:tc>
        <w:tc>
          <w:tcPr>
            <w:tcW w:w="939" w:type="dxa"/>
          </w:tcPr>
          <w:p w14:paraId="477E3B84" w14:textId="77777777" w:rsidR="008D1AE9" w:rsidRPr="0098635C" w:rsidRDefault="008D1AE9" w:rsidP="00AF385A">
            <w:pPr>
              <w:pStyle w:val="NoteLevel211"/>
              <w:rPr>
                <w:color w:val="000000" w:themeColor="text1"/>
              </w:rPr>
            </w:pPr>
          </w:p>
        </w:tc>
        <w:tc>
          <w:tcPr>
            <w:tcW w:w="935" w:type="dxa"/>
          </w:tcPr>
          <w:p w14:paraId="50BE1716" w14:textId="77777777" w:rsidR="008D1AE9" w:rsidRPr="0098635C" w:rsidRDefault="008D1AE9" w:rsidP="00AF385A">
            <w:pPr>
              <w:pStyle w:val="NoteLevel211"/>
              <w:rPr>
                <w:color w:val="000000" w:themeColor="text1"/>
              </w:rPr>
            </w:pPr>
          </w:p>
        </w:tc>
        <w:tc>
          <w:tcPr>
            <w:tcW w:w="935" w:type="dxa"/>
          </w:tcPr>
          <w:p w14:paraId="2788828E" w14:textId="77777777" w:rsidR="008D1AE9" w:rsidRPr="0098635C" w:rsidRDefault="008D1AE9" w:rsidP="00AF385A">
            <w:pPr>
              <w:pStyle w:val="NoteLevel211"/>
              <w:rPr>
                <w:color w:val="000000" w:themeColor="text1"/>
              </w:rPr>
            </w:pPr>
          </w:p>
        </w:tc>
        <w:tc>
          <w:tcPr>
            <w:tcW w:w="937" w:type="dxa"/>
          </w:tcPr>
          <w:p w14:paraId="3B055A14" w14:textId="77777777" w:rsidR="008D1AE9" w:rsidRPr="0098635C" w:rsidRDefault="008D1AE9" w:rsidP="00AF385A">
            <w:pPr>
              <w:pStyle w:val="NoteLevel211"/>
              <w:rPr>
                <w:color w:val="000000" w:themeColor="text1"/>
              </w:rPr>
            </w:pPr>
            <w:bookmarkStart w:id="968" w:name="_Toc471999808"/>
            <w:bookmarkStart w:id="969" w:name="_Toc472251251"/>
            <w:r w:rsidRPr="0098635C">
              <w:rPr>
                <w:color w:val="000000" w:themeColor="text1"/>
              </w:rPr>
              <w:t>0.9±0.2</w:t>
            </w:r>
            <w:r w:rsidRPr="0098635C">
              <w:rPr>
                <w:color w:val="000000" w:themeColor="text1"/>
                <w:vertAlign w:val="superscript"/>
              </w:rPr>
              <w:t>#</w:t>
            </w:r>
            <w:r w:rsidRPr="0098635C">
              <w:rPr>
                <w:color w:val="000000" w:themeColor="text1"/>
              </w:rPr>
              <w:t xml:space="preserve"> (17)</w:t>
            </w:r>
            <w:bookmarkEnd w:id="968"/>
            <w:bookmarkEnd w:id="969"/>
          </w:p>
        </w:tc>
        <w:tc>
          <w:tcPr>
            <w:tcW w:w="935" w:type="dxa"/>
          </w:tcPr>
          <w:p w14:paraId="575D7899" w14:textId="77777777" w:rsidR="008D1AE9" w:rsidRPr="0098635C" w:rsidRDefault="008D1AE9" w:rsidP="00AF385A">
            <w:pPr>
              <w:pStyle w:val="NoteLevel211"/>
              <w:rPr>
                <w:color w:val="000000" w:themeColor="text1"/>
              </w:rPr>
            </w:pPr>
          </w:p>
        </w:tc>
        <w:tc>
          <w:tcPr>
            <w:tcW w:w="935" w:type="dxa"/>
          </w:tcPr>
          <w:p w14:paraId="37E85C6D" w14:textId="77777777" w:rsidR="008D1AE9" w:rsidRPr="0098635C" w:rsidRDefault="008D1AE9" w:rsidP="00AF385A">
            <w:pPr>
              <w:pStyle w:val="NoteLevel211"/>
              <w:rPr>
                <w:color w:val="000000" w:themeColor="text1"/>
              </w:rPr>
            </w:pPr>
          </w:p>
        </w:tc>
        <w:tc>
          <w:tcPr>
            <w:tcW w:w="935" w:type="dxa"/>
          </w:tcPr>
          <w:p w14:paraId="682E8914" w14:textId="77777777" w:rsidR="008D1AE9" w:rsidRPr="0098635C" w:rsidRDefault="008D1AE9" w:rsidP="00AF385A">
            <w:pPr>
              <w:pStyle w:val="NoteLevel211"/>
              <w:rPr>
                <w:color w:val="000000" w:themeColor="text1"/>
              </w:rPr>
            </w:pPr>
          </w:p>
        </w:tc>
        <w:tc>
          <w:tcPr>
            <w:tcW w:w="935" w:type="dxa"/>
          </w:tcPr>
          <w:p w14:paraId="5C4DA90B" w14:textId="77777777" w:rsidR="008D1AE9" w:rsidRPr="0098635C" w:rsidRDefault="008D1AE9" w:rsidP="00AF385A">
            <w:pPr>
              <w:pStyle w:val="NoteLevel211"/>
              <w:rPr>
                <w:color w:val="000000" w:themeColor="text1"/>
              </w:rPr>
            </w:pPr>
          </w:p>
        </w:tc>
      </w:tr>
      <w:tr w:rsidR="008D1AE9" w:rsidRPr="0098635C" w14:paraId="6BEABF09" w14:textId="77777777" w:rsidTr="006C1D26">
        <w:trPr>
          <w:trHeight w:val="507"/>
        </w:trPr>
        <w:tc>
          <w:tcPr>
            <w:tcW w:w="1096" w:type="dxa"/>
          </w:tcPr>
          <w:p w14:paraId="7DCD031B" w14:textId="77777777" w:rsidR="008D1AE9" w:rsidRPr="0098635C" w:rsidRDefault="008D1AE9" w:rsidP="00AF385A">
            <w:pPr>
              <w:pStyle w:val="NoteLevel211"/>
              <w:rPr>
                <w:color w:val="000000" w:themeColor="text1"/>
              </w:rPr>
            </w:pPr>
            <w:bookmarkStart w:id="970" w:name="_Toc471999809"/>
            <w:bookmarkStart w:id="971" w:name="_Toc472251252"/>
            <w:r w:rsidRPr="0098635C">
              <w:rPr>
                <w:color w:val="000000" w:themeColor="text1"/>
              </w:rPr>
              <w:t>Treble et al (1998)</w:t>
            </w:r>
            <w:bookmarkEnd w:id="970"/>
            <w:bookmarkEnd w:id="971"/>
          </w:p>
        </w:tc>
        <w:tc>
          <w:tcPr>
            <w:tcW w:w="945" w:type="dxa"/>
          </w:tcPr>
          <w:p w14:paraId="3CFD27BB" w14:textId="77777777" w:rsidR="008D1AE9" w:rsidRPr="0098635C" w:rsidRDefault="008D1AE9" w:rsidP="00AF385A">
            <w:pPr>
              <w:pStyle w:val="NoteLevel211"/>
              <w:rPr>
                <w:color w:val="000000" w:themeColor="text1"/>
              </w:rPr>
            </w:pPr>
            <w:bookmarkStart w:id="972" w:name="_Toc471999810"/>
            <w:bookmarkStart w:id="973" w:name="_Toc472251253"/>
            <w:r w:rsidRPr="0098635C">
              <w:rPr>
                <w:color w:val="000000" w:themeColor="text1"/>
              </w:rPr>
              <w:t>3.7±1.8</w:t>
            </w:r>
            <w:r w:rsidRPr="0098635C">
              <w:rPr>
                <w:color w:val="000000" w:themeColor="text1"/>
                <w:vertAlign w:val="superscript"/>
              </w:rPr>
              <w:t>#</w:t>
            </w:r>
            <w:r w:rsidRPr="0098635C">
              <w:rPr>
                <w:color w:val="000000" w:themeColor="text1"/>
              </w:rPr>
              <w:t xml:space="preserve"> (71)</w:t>
            </w:r>
            <w:bookmarkEnd w:id="972"/>
            <w:bookmarkEnd w:id="973"/>
          </w:p>
        </w:tc>
        <w:tc>
          <w:tcPr>
            <w:tcW w:w="935" w:type="dxa"/>
          </w:tcPr>
          <w:p w14:paraId="56EA13C3" w14:textId="77777777" w:rsidR="008D1AE9" w:rsidRPr="0098635C" w:rsidRDefault="008D1AE9" w:rsidP="00AF385A">
            <w:pPr>
              <w:pStyle w:val="NoteLevel211"/>
              <w:rPr>
                <w:color w:val="000000" w:themeColor="text1"/>
              </w:rPr>
            </w:pPr>
          </w:p>
        </w:tc>
        <w:tc>
          <w:tcPr>
            <w:tcW w:w="934" w:type="dxa"/>
          </w:tcPr>
          <w:p w14:paraId="6D051014" w14:textId="77777777" w:rsidR="008D1AE9" w:rsidRPr="0098635C" w:rsidRDefault="008D1AE9" w:rsidP="00AF385A">
            <w:pPr>
              <w:pStyle w:val="NoteLevel211"/>
              <w:rPr>
                <w:color w:val="000000" w:themeColor="text1"/>
              </w:rPr>
            </w:pPr>
          </w:p>
        </w:tc>
        <w:tc>
          <w:tcPr>
            <w:tcW w:w="940" w:type="dxa"/>
          </w:tcPr>
          <w:p w14:paraId="7646D336" w14:textId="77777777" w:rsidR="008D1AE9" w:rsidRPr="0098635C" w:rsidRDefault="008D1AE9" w:rsidP="00AF385A">
            <w:pPr>
              <w:pStyle w:val="NoteLevel211"/>
              <w:rPr>
                <w:color w:val="000000" w:themeColor="text1"/>
              </w:rPr>
            </w:pPr>
          </w:p>
        </w:tc>
        <w:tc>
          <w:tcPr>
            <w:tcW w:w="941" w:type="dxa"/>
          </w:tcPr>
          <w:p w14:paraId="1621B9E1" w14:textId="77777777" w:rsidR="008D1AE9" w:rsidRPr="0098635C" w:rsidRDefault="008D1AE9" w:rsidP="00AF385A">
            <w:pPr>
              <w:pStyle w:val="NoteLevel211"/>
              <w:rPr>
                <w:color w:val="000000" w:themeColor="text1"/>
              </w:rPr>
            </w:pPr>
          </w:p>
        </w:tc>
        <w:tc>
          <w:tcPr>
            <w:tcW w:w="935" w:type="dxa"/>
          </w:tcPr>
          <w:p w14:paraId="26E49893" w14:textId="77777777" w:rsidR="008D1AE9" w:rsidRPr="0098635C" w:rsidRDefault="008D1AE9" w:rsidP="00AF385A">
            <w:pPr>
              <w:pStyle w:val="NoteLevel211"/>
              <w:rPr>
                <w:color w:val="000000" w:themeColor="text1"/>
              </w:rPr>
            </w:pPr>
          </w:p>
        </w:tc>
        <w:tc>
          <w:tcPr>
            <w:tcW w:w="939" w:type="dxa"/>
          </w:tcPr>
          <w:p w14:paraId="2ABDFCD8" w14:textId="77777777" w:rsidR="008D1AE9" w:rsidRPr="0098635C" w:rsidRDefault="008D1AE9" w:rsidP="00AF385A">
            <w:pPr>
              <w:pStyle w:val="NoteLevel211"/>
              <w:rPr>
                <w:color w:val="000000" w:themeColor="text1"/>
              </w:rPr>
            </w:pPr>
          </w:p>
        </w:tc>
        <w:tc>
          <w:tcPr>
            <w:tcW w:w="935" w:type="dxa"/>
          </w:tcPr>
          <w:p w14:paraId="5599C235" w14:textId="77777777" w:rsidR="008D1AE9" w:rsidRPr="0098635C" w:rsidRDefault="008D1AE9" w:rsidP="00AF385A">
            <w:pPr>
              <w:pStyle w:val="NoteLevel211"/>
              <w:rPr>
                <w:color w:val="000000" w:themeColor="text1"/>
              </w:rPr>
            </w:pPr>
          </w:p>
        </w:tc>
        <w:tc>
          <w:tcPr>
            <w:tcW w:w="935" w:type="dxa"/>
          </w:tcPr>
          <w:p w14:paraId="06BC5FFF" w14:textId="77777777" w:rsidR="008D1AE9" w:rsidRPr="0098635C" w:rsidRDefault="008D1AE9" w:rsidP="00AF385A">
            <w:pPr>
              <w:pStyle w:val="NoteLevel211"/>
              <w:rPr>
                <w:color w:val="000000" w:themeColor="text1"/>
              </w:rPr>
            </w:pPr>
          </w:p>
        </w:tc>
        <w:tc>
          <w:tcPr>
            <w:tcW w:w="937" w:type="dxa"/>
          </w:tcPr>
          <w:p w14:paraId="03BB6CF7" w14:textId="77777777" w:rsidR="008D1AE9" w:rsidRPr="0098635C" w:rsidRDefault="008D1AE9" w:rsidP="00AF385A">
            <w:pPr>
              <w:pStyle w:val="NoteLevel211"/>
              <w:rPr>
                <w:color w:val="000000" w:themeColor="text1"/>
              </w:rPr>
            </w:pPr>
          </w:p>
        </w:tc>
        <w:tc>
          <w:tcPr>
            <w:tcW w:w="935" w:type="dxa"/>
          </w:tcPr>
          <w:p w14:paraId="48500377" w14:textId="77777777" w:rsidR="008D1AE9" w:rsidRPr="0098635C" w:rsidRDefault="008D1AE9" w:rsidP="00AF385A">
            <w:pPr>
              <w:pStyle w:val="NoteLevel211"/>
              <w:rPr>
                <w:color w:val="000000" w:themeColor="text1"/>
              </w:rPr>
            </w:pPr>
          </w:p>
        </w:tc>
        <w:tc>
          <w:tcPr>
            <w:tcW w:w="935" w:type="dxa"/>
          </w:tcPr>
          <w:p w14:paraId="40A1CDDD" w14:textId="77777777" w:rsidR="008D1AE9" w:rsidRPr="0098635C" w:rsidRDefault="008D1AE9" w:rsidP="00AF385A">
            <w:pPr>
              <w:pStyle w:val="NoteLevel211"/>
              <w:rPr>
                <w:color w:val="000000" w:themeColor="text1"/>
              </w:rPr>
            </w:pPr>
          </w:p>
        </w:tc>
        <w:tc>
          <w:tcPr>
            <w:tcW w:w="935" w:type="dxa"/>
          </w:tcPr>
          <w:p w14:paraId="1A6364C3" w14:textId="77777777" w:rsidR="008D1AE9" w:rsidRPr="0098635C" w:rsidRDefault="008D1AE9" w:rsidP="00AF385A">
            <w:pPr>
              <w:pStyle w:val="NoteLevel211"/>
              <w:rPr>
                <w:color w:val="000000" w:themeColor="text1"/>
              </w:rPr>
            </w:pPr>
          </w:p>
        </w:tc>
        <w:tc>
          <w:tcPr>
            <w:tcW w:w="935" w:type="dxa"/>
          </w:tcPr>
          <w:p w14:paraId="721D5FA2" w14:textId="77777777" w:rsidR="008D1AE9" w:rsidRPr="0098635C" w:rsidRDefault="008D1AE9" w:rsidP="00AF385A">
            <w:pPr>
              <w:pStyle w:val="NoteLevel211"/>
              <w:rPr>
                <w:color w:val="000000" w:themeColor="text1"/>
              </w:rPr>
            </w:pPr>
          </w:p>
        </w:tc>
      </w:tr>
    </w:tbl>
    <w:p w14:paraId="27AFBFC5" w14:textId="2AE80883" w:rsidR="008D1AE9" w:rsidRPr="0098635C" w:rsidRDefault="008D1AE9" w:rsidP="008D1AE9">
      <w:pPr>
        <w:pStyle w:val="NoteLevel211"/>
        <w:rPr>
          <w:color w:val="000000" w:themeColor="text1"/>
        </w:rPr>
      </w:pPr>
      <w:bookmarkStart w:id="974" w:name="_Toc471999811"/>
      <w:bookmarkStart w:id="975" w:name="_Toc472251254"/>
      <w:r w:rsidRPr="0098635C">
        <w:rPr>
          <w:color w:val="000000" w:themeColor="text1"/>
        </w:rPr>
        <w:t xml:space="preserve">Copper concentrations are presented as μg Cu/g wet tissue.  Values presented are mean values ± standard deviation.  Number of subjects </w:t>
      </w:r>
      <w:r w:rsidR="00E33A8B" w:rsidRPr="0098635C">
        <w:rPr>
          <w:color w:val="000000" w:themeColor="text1"/>
        </w:rPr>
        <w:t>is</w:t>
      </w:r>
      <w:r w:rsidRPr="0098635C">
        <w:rPr>
          <w:color w:val="000000" w:themeColor="text1"/>
        </w:rPr>
        <w:t xml:space="preserve"> in parentheses.</w:t>
      </w:r>
      <w:bookmarkEnd w:id="974"/>
      <w:bookmarkEnd w:id="975"/>
      <w:r w:rsidRPr="0098635C">
        <w:rPr>
          <w:color w:val="000000" w:themeColor="text1"/>
        </w:rPr>
        <w:t xml:space="preserve">  </w:t>
      </w:r>
    </w:p>
    <w:p w14:paraId="1C5CBA04" w14:textId="77777777" w:rsidR="008D1AE9" w:rsidRPr="0098635C" w:rsidRDefault="008D1AE9" w:rsidP="008D1AE9">
      <w:pPr>
        <w:pStyle w:val="NoteLevel211"/>
        <w:rPr>
          <w:color w:val="000000" w:themeColor="text1"/>
        </w:rPr>
      </w:pPr>
      <w:bookmarkStart w:id="976" w:name="_Toc471999812"/>
      <w:bookmarkStart w:id="977" w:name="_Toc472251255"/>
      <w:r w:rsidRPr="0098635C">
        <w:rPr>
          <w:color w:val="000000" w:themeColor="text1"/>
          <w:vertAlign w:val="superscript"/>
        </w:rPr>
        <w:t>#</w:t>
      </w:r>
      <w:r w:rsidRPr="0098635C">
        <w:rPr>
          <w:color w:val="000000" w:themeColor="text1"/>
        </w:rPr>
        <w:t xml:space="preserve">Copper concentrations in wet tissue estimated from reported dry tissue values using conversion factors in Pinheiro </w:t>
      </w:r>
      <w:r w:rsidRPr="0098635C">
        <w:rPr>
          <w:i/>
          <w:color w:val="000000" w:themeColor="text1"/>
        </w:rPr>
        <w:t>et al</w:t>
      </w:r>
      <w:r w:rsidRPr="0098635C">
        <w:rPr>
          <w:color w:val="000000" w:themeColor="text1"/>
        </w:rPr>
        <w:t xml:space="preserve"> (1997)</w:t>
      </w:r>
      <w:bookmarkEnd w:id="976"/>
      <w:bookmarkEnd w:id="977"/>
    </w:p>
    <w:p w14:paraId="2C58EFF0" w14:textId="77777777" w:rsidR="008D1AE9" w:rsidRPr="0098635C" w:rsidRDefault="008D1AE9" w:rsidP="008D1AE9">
      <w:pPr>
        <w:pStyle w:val="NoteLevel211"/>
        <w:rPr>
          <w:color w:val="000000" w:themeColor="text1"/>
        </w:rPr>
        <w:sectPr w:rsidR="008D1AE9" w:rsidRPr="0098635C" w:rsidSect="00AF385A">
          <w:pgSz w:w="16834" w:h="11909" w:orient="landscape" w:code="9"/>
          <w:pgMar w:top="1418" w:right="1134" w:bottom="1797" w:left="1355" w:header="720" w:footer="720" w:gutter="0"/>
          <w:cols w:space="720"/>
          <w:docGrid w:linePitch="360"/>
        </w:sectPr>
      </w:pPr>
    </w:p>
    <w:bookmarkEnd w:id="814"/>
    <w:p w14:paraId="6AF9A4C6" w14:textId="77777777" w:rsidR="008D1AE9" w:rsidRPr="0098635C" w:rsidRDefault="008D1AE9" w:rsidP="008D1AE9">
      <w:pPr>
        <w:pStyle w:val="Heading4"/>
        <w:jc w:val="both"/>
        <w:rPr>
          <w:rFonts w:ascii="Times New Roman" w:hAnsi="Times New Roman"/>
          <w:color w:val="000000" w:themeColor="text1"/>
          <w:sz w:val="20"/>
        </w:rPr>
      </w:pPr>
      <w:r w:rsidRPr="0098635C">
        <w:rPr>
          <w:rFonts w:ascii="Times New Roman" w:hAnsi="Times New Roman"/>
          <w:color w:val="000000" w:themeColor="text1"/>
          <w:sz w:val="20"/>
        </w:rPr>
        <w:lastRenderedPageBreak/>
        <w:t>Excretion</w:t>
      </w:r>
      <w:bookmarkStart w:id="978" w:name="_Toc90773459"/>
    </w:p>
    <w:p w14:paraId="063330ED" w14:textId="77777777" w:rsidR="008D1AE9" w:rsidRPr="0098635C" w:rsidRDefault="008D1AE9" w:rsidP="008D1AE9">
      <w:pPr>
        <w:pStyle w:val="Heading8"/>
        <w:rPr>
          <w:color w:val="000000" w:themeColor="text1"/>
          <w:sz w:val="20"/>
          <w:szCs w:val="20"/>
        </w:rPr>
      </w:pPr>
      <w:r w:rsidRPr="0098635C">
        <w:rPr>
          <w:color w:val="000000" w:themeColor="text1"/>
          <w:sz w:val="20"/>
          <w:szCs w:val="20"/>
        </w:rPr>
        <w:t>Excretion in animals</w:t>
      </w:r>
      <w:bookmarkEnd w:id="978"/>
    </w:p>
    <w:p w14:paraId="74E8A446" w14:textId="76294837" w:rsidR="008D1AE9" w:rsidRPr="0098635C" w:rsidRDefault="008D1AE9" w:rsidP="008D1AE9">
      <w:pPr>
        <w:pStyle w:val="BodyText"/>
        <w:rPr>
          <w:color w:val="000000" w:themeColor="text1"/>
          <w:sz w:val="20"/>
        </w:rPr>
      </w:pPr>
      <w:r w:rsidRPr="0098635C">
        <w:rPr>
          <w:color w:val="000000" w:themeColor="text1"/>
          <w:sz w:val="20"/>
        </w:rPr>
        <w:t xml:space="preserve">Quantitative data on excretion were reported in the bioequivalence study by Himmelstein (2003 </w:t>
      </w:r>
      <w:r w:rsidRPr="0098635C">
        <w:rPr>
          <w:i/>
          <w:color w:val="000000" w:themeColor="text1"/>
          <w:sz w:val="20"/>
        </w:rPr>
        <w:t>– unpublished</w:t>
      </w:r>
      <w:r w:rsidRPr="0098635C">
        <w:rPr>
          <w:rStyle w:val="FootnoteReference"/>
          <w:i/>
          <w:color w:val="000000" w:themeColor="text1"/>
          <w:sz w:val="20"/>
        </w:rPr>
        <w:footnoteReference w:id="16"/>
      </w:r>
      <w:r w:rsidRPr="0098635C">
        <w:rPr>
          <w:color w:val="000000" w:themeColor="text1"/>
          <w:sz w:val="20"/>
        </w:rPr>
        <w:t>). Th</w:t>
      </w:r>
      <w:r w:rsidR="004A5C58" w:rsidRPr="0098635C">
        <w:rPr>
          <w:color w:val="000000" w:themeColor="text1"/>
          <w:sz w:val="20"/>
        </w:rPr>
        <w:t>is</w:t>
      </w:r>
      <w:r w:rsidRPr="0098635C">
        <w:rPr>
          <w:color w:val="000000" w:themeColor="text1"/>
          <w:sz w:val="20"/>
        </w:rPr>
        <w:t xml:space="preserve"> </w:t>
      </w:r>
      <w:r w:rsidR="004A5C58" w:rsidRPr="0098635C">
        <w:rPr>
          <w:color w:val="000000" w:themeColor="text1"/>
          <w:sz w:val="20"/>
        </w:rPr>
        <w:t>OECD 417</w:t>
      </w:r>
      <w:r w:rsidR="008C5286" w:rsidRPr="0098635C">
        <w:rPr>
          <w:color w:val="000000" w:themeColor="text1"/>
          <w:sz w:val="20"/>
        </w:rPr>
        <w:t xml:space="preserve"> guideline</w:t>
      </w:r>
      <w:r w:rsidR="004A5C58" w:rsidRPr="0098635C">
        <w:rPr>
          <w:color w:val="000000" w:themeColor="text1"/>
          <w:sz w:val="20"/>
        </w:rPr>
        <w:t xml:space="preserve"> </w:t>
      </w:r>
      <w:r w:rsidRPr="0098635C">
        <w:rPr>
          <w:color w:val="000000" w:themeColor="text1"/>
          <w:sz w:val="20"/>
        </w:rPr>
        <w:t>study showed faecal excretion to be the main route of elimination for orally-administered copper, with urinary excretion as a relatively minor route. Biliary copper is recognised to be the main excretory route for orally-administered copper in humans and animals, resulting in measurement of faecal copper in many toxicokinetic/</w:t>
      </w:r>
      <w:r w:rsidR="002622B1" w:rsidRPr="0098635C">
        <w:rPr>
          <w:color w:val="000000" w:themeColor="text1"/>
          <w:sz w:val="20"/>
        </w:rPr>
        <w:t xml:space="preserve">absorption </w:t>
      </w:r>
      <w:r w:rsidRPr="0098635C">
        <w:rPr>
          <w:color w:val="000000" w:themeColor="text1"/>
          <w:sz w:val="20"/>
        </w:rPr>
        <w:t xml:space="preserve">studies. The fate of excess copper was examined in bile-cannulated male Sprague Dawley rats (five per group) following oral administration of a single dose of copper (nominal dose 20 mg Cu/kg BW; actual dose 22-24 mg Cu/kg BW). The substances investigated were copper (I) oxide, copper sulphate, </w:t>
      </w:r>
      <w:r w:rsidR="00236182" w:rsidRPr="0098635C">
        <w:rPr>
          <w:color w:val="000000" w:themeColor="text1"/>
          <w:sz w:val="20"/>
        </w:rPr>
        <w:t>dicopper chloride trihydroxide</w:t>
      </w:r>
      <w:r w:rsidRPr="0098635C">
        <w:rPr>
          <w:color w:val="000000" w:themeColor="text1"/>
          <w:sz w:val="20"/>
        </w:rPr>
        <w:t>, copper hydroxide, tribasic copper sulphate and Bordeaux mixture. Copper levels in excreta during the 24-h period after dosing were as follows: bile 1.54-2.48% of dose; urine 0.20-0.39% of dose; faeces 64-76% of dose (although it is noted that faecal copper will also comprise some absorbed copper). Values were found to be similar for all six substances tested. The results showed faecal excretion to be the main route of elimination for orally-administered copper, with urinary excretion as a relatively minor route.</w:t>
      </w:r>
    </w:p>
    <w:p w14:paraId="1BF309C4" w14:textId="28C4509B" w:rsidR="008D1AE9" w:rsidRPr="0098635C" w:rsidRDefault="008D1AE9" w:rsidP="008D1AE9">
      <w:pPr>
        <w:pStyle w:val="BodyText"/>
        <w:rPr>
          <w:color w:val="000000" w:themeColor="text1"/>
          <w:sz w:val="20"/>
        </w:rPr>
      </w:pPr>
      <w:r w:rsidRPr="0098635C">
        <w:rPr>
          <w:color w:val="000000" w:themeColor="text1"/>
          <w:sz w:val="20"/>
        </w:rPr>
        <w:t xml:space="preserve"> No quantitative data appear to be available for other routes of copper excretion (saliva, sweat and hair) in animals.</w:t>
      </w:r>
    </w:p>
    <w:p w14:paraId="55CA7340" w14:textId="77777777" w:rsidR="008D1AE9" w:rsidRPr="0098635C" w:rsidRDefault="008D1AE9" w:rsidP="008D1AE9">
      <w:pPr>
        <w:pStyle w:val="Heading8"/>
        <w:rPr>
          <w:color w:val="000000" w:themeColor="text1"/>
          <w:sz w:val="20"/>
          <w:szCs w:val="20"/>
        </w:rPr>
      </w:pPr>
      <w:bookmarkStart w:id="979" w:name="_Toc90773460"/>
      <w:r w:rsidRPr="0098635C">
        <w:rPr>
          <w:color w:val="000000" w:themeColor="text1"/>
          <w:sz w:val="20"/>
          <w:szCs w:val="20"/>
        </w:rPr>
        <w:t>Excretion in humans</w:t>
      </w:r>
      <w:bookmarkEnd w:id="979"/>
    </w:p>
    <w:p w14:paraId="52B4504A" w14:textId="70563A22" w:rsidR="008D1AE9" w:rsidRPr="0098635C" w:rsidRDefault="008D1AE9" w:rsidP="008D1AE9">
      <w:pPr>
        <w:pStyle w:val="BodyText"/>
        <w:rPr>
          <w:color w:val="000000" w:themeColor="text1"/>
          <w:sz w:val="20"/>
        </w:rPr>
      </w:pPr>
      <w:r w:rsidRPr="0098635C">
        <w:rPr>
          <w:color w:val="000000" w:themeColor="text1"/>
          <w:sz w:val="20"/>
        </w:rPr>
        <w:t xml:space="preserve">Many studies reporting on the toxicokinetics of copper, specifically its absorption, have measured faecal copper </w:t>
      </w:r>
      <w:r w:rsidR="003E648B" w:rsidRPr="0098635C">
        <w:rPr>
          <w:color w:val="000000" w:themeColor="text1"/>
          <w:sz w:val="20"/>
        </w:rPr>
        <w:t xml:space="preserve">and </w:t>
      </w:r>
      <w:r w:rsidRPr="0098635C">
        <w:rPr>
          <w:color w:val="000000" w:themeColor="text1"/>
          <w:sz w:val="20"/>
        </w:rPr>
        <w:t>biliary copper is recognised to be the main excretory route for orally-administered copper in humans and animals.  Turnlund et al (</w:t>
      </w:r>
      <w:r w:rsidR="008B1945" w:rsidRPr="0098635C">
        <w:rPr>
          <w:color w:val="000000" w:themeColor="text1"/>
          <w:sz w:val="20"/>
        </w:rPr>
        <w:t>2005</w:t>
      </w:r>
      <w:r w:rsidR="00F67B0C" w:rsidRPr="0098635C">
        <w:rPr>
          <w:color w:val="000000" w:themeColor="text1"/>
          <w:sz w:val="20"/>
        </w:rPr>
        <w:t>)</w:t>
      </w:r>
      <w:r w:rsidR="008B1945" w:rsidRPr="0098635C">
        <w:rPr>
          <w:color w:val="000000" w:themeColor="text1"/>
          <w:sz w:val="20"/>
        </w:rPr>
        <w:t xml:space="preserve"> </w:t>
      </w:r>
      <w:r w:rsidRPr="0098635C">
        <w:rPr>
          <w:color w:val="000000" w:themeColor="text1"/>
          <w:sz w:val="20"/>
        </w:rPr>
        <w:t xml:space="preserve">noted that other excretory routes, such as urine, saliva, sweat and integumentary losses, are minor routes of excretion for copper in humans. This was further confirmed in other studies by the same authors (Turnlund et al, 1990, 1997) when evaluating urinary and salivary copper levels as well as copper levels in sweat. </w:t>
      </w:r>
    </w:p>
    <w:p w14:paraId="6A791241" w14:textId="77777777" w:rsidR="008D1AE9" w:rsidRPr="0098635C" w:rsidRDefault="008D1AE9" w:rsidP="008D1AE9">
      <w:pPr>
        <w:pStyle w:val="Heading8"/>
        <w:rPr>
          <w:color w:val="000000" w:themeColor="text1"/>
          <w:sz w:val="20"/>
          <w:szCs w:val="20"/>
        </w:rPr>
      </w:pPr>
      <w:bookmarkStart w:id="980" w:name="_Toc90773461"/>
      <w:r w:rsidRPr="0098635C">
        <w:rPr>
          <w:color w:val="000000" w:themeColor="text1"/>
          <w:sz w:val="20"/>
          <w:szCs w:val="20"/>
        </w:rPr>
        <w:t>Summary of excretion</w:t>
      </w:r>
      <w:bookmarkEnd w:id="980"/>
    </w:p>
    <w:p w14:paraId="37C27D8B" w14:textId="29F8DBE6" w:rsidR="008D1AE9" w:rsidRPr="0098635C" w:rsidRDefault="008D1AE9" w:rsidP="008D1AE9">
      <w:pPr>
        <w:pStyle w:val="BodyText"/>
        <w:rPr>
          <w:color w:val="000000" w:themeColor="text1"/>
          <w:sz w:val="20"/>
        </w:rPr>
      </w:pPr>
      <w:r w:rsidRPr="0098635C">
        <w:rPr>
          <w:color w:val="000000" w:themeColor="text1"/>
          <w:sz w:val="20"/>
        </w:rPr>
        <w:t xml:space="preserve">Biliary excretion, with subsequent elimination in the faeces, represents the main route of excretion for copper in humans and animals. Copper is excreted into the bile in a relatively inabsorbable form. Consequently, little enterohepatic absorption takes place. </w:t>
      </w:r>
    </w:p>
    <w:p w14:paraId="3B5716A9" w14:textId="77777777" w:rsidR="008D1AE9" w:rsidRPr="0098635C" w:rsidRDefault="008D1AE9" w:rsidP="008D1AE9">
      <w:pPr>
        <w:pStyle w:val="Heading4"/>
        <w:jc w:val="both"/>
        <w:rPr>
          <w:rFonts w:ascii="Times New Roman" w:hAnsi="Times New Roman"/>
          <w:color w:val="000000" w:themeColor="text1"/>
          <w:sz w:val="20"/>
        </w:rPr>
      </w:pPr>
      <w:bookmarkStart w:id="981" w:name="_Ref259800114"/>
      <w:r w:rsidRPr="0098635C">
        <w:rPr>
          <w:rFonts w:ascii="Times New Roman" w:hAnsi="Times New Roman"/>
          <w:color w:val="000000" w:themeColor="text1"/>
          <w:sz w:val="20"/>
        </w:rPr>
        <w:t>Comparative biology</w:t>
      </w:r>
      <w:bookmarkEnd w:id="981"/>
    </w:p>
    <w:p w14:paraId="170D3115" w14:textId="77777777" w:rsidR="008D1AE9" w:rsidRPr="0098635C" w:rsidRDefault="008D1AE9" w:rsidP="008D1AE9">
      <w:pPr>
        <w:rPr>
          <w:color w:val="000000" w:themeColor="text1"/>
          <w:sz w:val="20"/>
          <w:szCs w:val="20"/>
        </w:rPr>
      </w:pPr>
      <w:r w:rsidRPr="0098635C">
        <w:rPr>
          <w:color w:val="000000" w:themeColor="text1"/>
          <w:sz w:val="20"/>
          <w:szCs w:val="20"/>
        </w:rPr>
        <w:t>In mammalian toxicity, it is considered that the most toxic form of any copper salt is the Cu</w:t>
      </w:r>
      <w:r w:rsidRPr="0098635C">
        <w:rPr>
          <w:color w:val="000000" w:themeColor="text1"/>
          <w:sz w:val="20"/>
          <w:szCs w:val="20"/>
          <w:vertAlign w:val="superscript"/>
        </w:rPr>
        <w:t>2+</w:t>
      </w:r>
      <w:r w:rsidRPr="0098635C">
        <w:rPr>
          <w:color w:val="000000" w:themeColor="text1"/>
          <w:sz w:val="20"/>
          <w:szCs w:val="20"/>
        </w:rPr>
        <w:t xml:space="preserve"> ion. This can be shown through the comparison of the most soluble (e.g. copper sulphate, copper nitrate) and relatively insoluble copper salts, where the solubility, bioavailability and hence toxicity of these salts can vary – with copper sulphate representing the worst-case scenario. As all suitable short- to long-term available animal copper toxicity studies are derived from oral administration, the use of copper sulphate data would represent a worst-case scenario for the determination of the effect of relatively insoluble copper compounds in mammalian toxicity. </w:t>
      </w:r>
    </w:p>
    <w:p w14:paraId="2F4F0E75" w14:textId="77777777" w:rsidR="008D1AE9" w:rsidRPr="0098635C" w:rsidRDefault="008D1AE9" w:rsidP="008D1AE9">
      <w:pPr>
        <w:rPr>
          <w:color w:val="000000" w:themeColor="text1"/>
          <w:sz w:val="20"/>
          <w:szCs w:val="20"/>
          <w:u w:val="single"/>
        </w:rPr>
      </w:pPr>
      <w:r w:rsidRPr="0098635C">
        <w:rPr>
          <w:i/>
          <w:color w:val="000000" w:themeColor="text1"/>
          <w:sz w:val="20"/>
          <w:szCs w:val="20"/>
          <w:u w:val="single"/>
        </w:rPr>
        <w:t>In vivo</w:t>
      </w:r>
      <w:r w:rsidRPr="0098635C">
        <w:rPr>
          <w:color w:val="000000" w:themeColor="text1"/>
          <w:sz w:val="20"/>
          <w:szCs w:val="20"/>
          <w:u w:val="single"/>
        </w:rPr>
        <w:t xml:space="preserve"> bioavailability</w:t>
      </w:r>
    </w:p>
    <w:p w14:paraId="06EA63AB" w14:textId="4CC384B3" w:rsidR="008D1AE9" w:rsidRPr="0098635C" w:rsidRDefault="008D1AE9" w:rsidP="008D1AE9">
      <w:pPr>
        <w:rPr>
          <w:rFonts w:ascii="Times" w:hAnsi="Times" w:cs="Times"/>
          <w:color w:val="000000" w:themeColor="text1"/>
          <w:sz w:val="20"/>
          <w:szCs w:val="20"/>
        </w:rPr>
      </w:pPr>
      <w:r w:rsidRPr="0098635C">
        <w:rPr>
          <w:color w:val="000000" w:themeColor="text1"/>
          <w:sz w:val="20"/>
          <w:szCs w:val="20"/>
        </w:rPr>
        <w:t xml:space="preserve">Himmelstein (2003 </w:t>
      </w:r>
      <w:r w:rsidRPr="0098635C">
        <w:rPr>
          <w:rFonts w:ascii="Times" w:hAnsi="Times" w:cs="Times"/>
          <w:iCs/>
          <w:color w:val="000000" w:themeColor="text1"/>
          <w:sz w:val="20"/>
          <w:szCs w:val="20"/>
        </w:rPr>
        <w:t>– unpublished</w:t>
      </w:r>
      <w:r w:rsidRPr="0098635C">
        <w:rPr>
          <w:rStyle w:val="FootnoteReference"/>
          <w:color w:val="000000" w:themeColor="text1"/>
          <w:sz w:val="20"/>
          <w:szCs w:val="20"/>
        </w:rPr>
        <w:footnoteReference w:id="17"/>
      </w:r>
      <w:r w:rsidRPr="0098635C">
        <w:rPr>
          <w:color w:val="000000" w:themeColor="text1"/>
          <w:sz w:val="20"/>
          <w:szCs w:val="20"/>
        </w:rPr>
        <w:t xml:space="preserve">) provides relevant information on copper absorption in animals. In this study, absorption, distribution and excretion of several copper substances were investigated in </w:t>
      </w:r>
      <w:r w:rsidR="004A5C58" w:rsidRPr="0098635C">
        <w:rPr>
          <w:color w:val="000000" w:themeColor="text1"/>
          <w:sz w:val="20"/>
          <w:szCs w:val="20"/>
        </w:rPr>
        <w:t xml:space="preserve">thirty-five </w:t>
      </w:r>
      <w:r w:rsidRPr="0098635C">
        <w:rPr>
          <w:color w:val="000000" w:themeColor="text1"/>
          <w:sz w:val="20"/>
          <w:szCs w:val="20"/>
        </w:rPr>
        <w:t xml:space="preserve">male Sprague Dawley rats following oral administration. The copper substances investigated were copper (I) oxide, copper sulphate and </w:t>
      </w:r>
      <w:r w:rsidR="00236182" w:rsidRPr="0098635C">
        <w:rPr>
          <w:color w:val="000000" w:themeColor="text1"/>
          <w:sz w:val="20"/>
          <w:szCs w:val="20"/>
        </w:rPr>
        <w:t>dicopper chloride trihydroxide</w:t>
      </w:r>
      <w:r w:rsidRPr="0098635C">
        <w:rPr>
          <w:color w:val="000000" w:themeColor="text1"/>
          <w:sz w:val="20"/>
          <w:szCs w:val="20"/>
        </w:rPr>
        <w:t xml:space="preserve">, copper hydroxide, tribasic copper sulphate and Bordeaux mixture. The results indicate that absorption, distribution and excretion of a single, orally administered dose of 20 mg Cu/kg BW in male rats was similar for each of the six copper substances tested. Using copper hydroxide as the representative copper compound, plasma copper levels remained fairly stable during 48h post-dosing for treated and control. Liver copper levels increased rapidly after dosing, peaking at 12h, and returning to control levels by 48h. In addition to the study by Himmelstein (2003), several other studies have investigated comparative bioavailability of copper substances, albeit </w:t>
      </w:r>
      <w:r w:rsidR="00C36182" w:rsidRPr="0098635C">
        <w:rPr>
          <w:color w:val="000000" w:themeColor="text1"/>
          <w:sz w:val="20"/>
          <w:szCs w:val="20"/>
        </w:rPr>
        <w:t>focusing</w:t>
      </w:r>
      <w:r w:rsidRPr="0098635C">
        <w:rPr>
          <w:color w:val="000000" w:themeColor="text1"/>
          <w:sz w:val="20"/>
          <w:szCs w:val="20"/>
        </w:rPr>
        <w:t xml:space="preserve"> on agricultural animals (cattle, pigs, sheep, poultry), leading to consistent </w:t>
      </w:r>
      <w:r w:rsidRPr="0098635C">
        <w:rPr>
          <w:color w:val="000000" w:themeColor="text1"/>
          <w:sz w:val="20"/>
          <w:szCs w:val="20"/>
        </w:rPr>
        <w:lastRenderedPageBreak/>
        <w:t>and reproducible results (Kegley and Spears, 1994</w:t>
      </w:r>
      <w:r w:rsidR="0069077C" w:rsidRPr="0098635C">
        <w:rPr>
          <w:color w:val="000000" w:themeColor="text1"/>
          <w:sz w:val="20"/>
          <w:szCs w:val="20"/>
        </w:rPr>
        <w:t xml:space="preserve">, </w:t>
      </w:r>
      <w:r w:rsidRPr="0098635C">
        <w:rPr>
          <w:color w:val="000000" w:themeColor="text1"/>
          <w:sz w:val="20"/>
          <w:szCs w:val="20"/>
        </w:rPr>
        <w:t>Cromwell et al, 1989; Baker et al, 1991; Aoyagi and Baker, 1993; Buescher et al, 1961; Allen et al, 1961) (</w:t>
      </w:r>
      <w:r w:rsidR="00E230FB" w:rsidRPr="0098635C">
        <w:rPr>
          <w:color w:val="000000" w:themeColor="text1"/>
          <w:sz w:val="20"/>
          <w:szCs w:val="20"/>
        </w:rPr>
        <w:fldChar w:fldCharType="begin"/>
      </w:r>
      <w:r w:rsidRPr="0098635C">
        <w:rPr>
          <w:color w:val="000000" w:themeColor="text1"/>
          <w:sz w:val="20"/>
          <w:szCs w:val="20"/>
        </w:rPr>
        <w:instrText xml:space="preserve"> REF _Ref259441276 \h </w:instrText>
      </w:r>
      <w:r w:rsidR="00E60AEA" w:rsidRPr="0098635C">
        <w:rPr>
          <w:color w:val="000000" w:themeColor="text1"/>
          <w:sz w:val="20"/>
          <w:szCs w:val="20"/>
        </w:rPr>
        <w:instrText xml:space="preserve"> \* MERGEFORMAT </w:instrText>
      </w:r>
      <w:r w:rsidR="00E230FB" w:rsidRPr="0098635C">
        <w:rPr>
          <w:color w:val="000000" w:themeColor="text1"/>
          <w:sz w:val="20"/>
          <w:szCs w:val="20"/>
        </w:rPr>
      </w:r>
      <w:r w:rsidR="00E230FB" w:rsidRPr="0098635C">
        <w:rPr>
          <w:color w:val="000000" w:themeColor="text1"/>
          <w:sz w:val="20"/>
          <w:szCs w:val="20"/>
        </w:rPr>
        <w:fldChar w:fldCharType="separate"/>
      </w:r>
      <w:r w:rsidR="00690E61" w:rsidRPr="0098635C">
        <w:rPr>
          <w:color w:val="000000" w:themeColor="text1"/>
          <w:sz w:val="20"/>
          <w:szCs w:val="20"/>
        </w:rPr>
        <w:t xml:space="preserve">Table </w:t>
      </w:r>
      <w:r w:rsidR="00690E61" w:rsidRPr="0098635C">
        <w:rPr>
          <w:noProof/>
          <w:color w:val="000000" w:themeColor="text1"/>
          <w:sz w:val="20"/>
          <w:szCs w:val="20"/>
        </w:rPr>
        <w:t>10</w:t>
      </w:r>
      <w:r w:rsidR="00E230FB" w:rsidRPr="0098635C">
        <w:rPr>
          <w:color w:val="000000" w:themeColor="text1"/>
          <w:sz w:val="20"/>
          <w:szCs w:val="20"/>
        </w:rPr>
        <w:fldChar w:fldCharType="end"/>
      </w:r>
      <w:r w:rsidRPr="0098635C">
        <w:rPr>
          <w:color w:val="000000" w:themeColor="text1"/>
          <w:sz w:val="20"/>
          <w:szCs w:val="20"/>
        </w:rPr>
        <w:t xml:space="preserve">). Overall, these studies demonstrate that copper (II) oxide administered in feed has poor bioavailability compared to copper sulphate, and that copper (I) oxide is similar to copper sulphate. The low bioavailability of copper in </w:t>
      </w:r>
      <w:r w:rsidR="00236182" w:rsidRPr="0098635C">
        <w:rPr>
          <w:color w:val="000000" w:themeColor="text1"/>
          <w:sz w:val="20"/>
          <w:szCs w:val="20"/>
        </w:rPr>
        <w:t>copper (II) oxide</w:t>
      </w:r>
      <w:r w:rsidRPr="0098635C">
        <w:rPr>
          <w:color w:val="000000" w:themeColor="text1"/>
          <w:sz w:val="20"/>
          <w:szCs w:val="20"/>
        </w:rPr>
        <w:t>, relative to that of copper in the sulphate salt, was also demonstrated in the rat following administration at adequate dietary levels (Rojas et al, 1996). In addition, the studies have measured copper levels in the most important organ and body fluid in determining copper a</w:t>
      </w:r>
      <w:r w:rsidR="002622B1" w:rsidRPr="0098635C">
        <w:rPr>
          <w:color w:val="000000" w:themeColor="text1"/>
          <w:sz w:val="20"/>
          <w:szCs w:val="20"/>
        </w:rPr>
        <w:t>b</w:t>
      </w:r>
      <w:r w:rsidRPr="0098635C">
        <w:rPr>
          <w:color w:val="000000" w:themeColor="text1"/>
          <w:sz w:val="20"/>
          <w:szCs w:val="20"/>
        </w:rPr>
        <w:t>sorption from the gastro-intestinal tract, namely the liver and bile.</w:t>
      </w:r>
    </w:p>
    <w:p w14:paraId="68FE3D55" w14:textId="77777777" w:rsidR="008D1AE9" w:rsidRPr="0098635C" w:rsidRDefault="008D1AE9" w:rsidP="00F67B0C">
      <w:pPr>
        <w:pStyle w:val="Caption"/>
        <w:keepLines/>
        <w:ind w:left="0"/>
        <w:jc w:val="center"/>
        <w:rPr>
          <w:b w:val="0"/>
          <w:color w:val="000000" w:themeColor="text1"/>
          <w:sz w:val="20"/>
          <w:lang w:val="en-GB"/>
        </w:rPr>
      </w:pPr>
      <w:bookmarkStart w:id="982" w:name="_Ref259441276"/>
      <w:bookmarkStart w:id="983" w:name="_Toc260323659"/>
      <w:r w:rsidRPr="0098635C">
        <w:rPr>
          <w:b w:val="0"/>
          <w:color w:val="000000" w:themeColor="text1"/>
          <w:sz w:val="20"/>
          <w:lang w:val="en-GB"/>
        </w:rPr>
        <w:t xml:space="preserve">Table </w:t>
      </w:r>
      <w:r w:rsidR="00E230FB" w:rsidRPr="0098635C">
        <w:rPr>
          <w:b w:val="0"/>
          <w:color w:val="000000" w:themeColor="text1"/>
          <w:sz w:val="20"/>
          <w:lang w:val="en-GB"/>
        </w:rPr>
        <w:fldChar w:fldCharType="begin"/>
      </w:r>
      <w:r w:rsidRPr="0098635C">
        <w:rPr>
          <w:b w:val="0"/>
          <w:color w:val="000000" w:themeColor="text1"/>
          <w:sz w:val="20"/>
          <w:lang w:val="en-GB"/>
        </w:rPr>
        <w:instrText xml:space="preserve"> SEQ Table \* ARABIC </w:instrText>
      </w:r>
      <w:r w:rsidR="00E230FB" w:rsidRPr="0098635C">
        <w:rPr>
          <w:b w:val="0"/>
          <w:color w:val="000000" w:themeColor="text1"/>
          <w:sz w:val="20"/>
          <w:lang w:val="en-GB"/>
        </w:rPr>
        <w:fldChar w:fldCharType="separate"/>
      </w:r>
      <w:r w:rsidR="00690E61" w:rsidRPr="0098635C">
        <w:rPr>
          <w:b w:val="0"/>
          <w:noProof/>
          <w:color w:val="000000" w:themeColor="text1"/>
          <w:sz w:val="20"/>
          <w:lang w:val="en-GB"/>
        </w:rPr>
        <w:t>10</w:t>
      </w:r>
      <w:r w:rsidR="00E230FB" w:rsidRPr="0098635C">
        <w:rPr>
          <w:b w:val="0"/>
          <w:color w:val="000000" w:themeColor="text1"/>
          <w:sz w:val="20"/>
          <w:lang w:val="en-GB"/>
        </w:rPr>
        <w:fldChar w:fldCharType="end"/>
      </w:r>
      <w:bookmarkEnd w:id="982"/>
      <w:r w:rsidRPr="0098635C">
        <w:rPr>
          <w:b w:val="0"/>
          <w:color w:val="000000" w:themeColor="text1"/>
          <w:sz w:val="20"/>
          <w:lang w:val="en-GB"/>
        </w:rPr>
        <w:t>: Relative bioavailability of supplemental copper sources</w:t>
      </w:r>
      <w:bookmarkEnd w:id="983"/>
    </w:p>
    <w:tbl>
      <w:tblPr>
        <w:tblStyle w:val="TableGrid"/>
        <w:tblW w:w="9334" w:type="dxa"/>
        <w:tblInd w:w="108" w:type="dxa"/>
        <w:tblLayout w:type="fixed"/>
        <w:tblLook w:val="0000" w:firstRow="0" w:lastRow="0" w:firstColumn="0" w:lastColumn="0" w:noHBand="0" w:noVBand="0"/>
      </w:tblPr>
      <w:tblGrid>
        <w:gridCol w:w="2130"/>
        <w:gridCol w:w="989"/>
        <w:gridCol w:w="850"/>
        <w:gridCol w:w="851"/>
        <w:gridCol w:w="4514"/>
      </w:tblGrid>
      <w:tr w:rsidR="008D1AE9" w:rsidRPr="0098635C" w14:paraId="0A5DDC4D" w14:textId="77777777" w:rsidTr="00AF385A">
        <w:trPr>
          <w:trHeight w:val="346"/>
        </w:trPr>
        <w:tc>
          <w:tcPr>
            <w:tcW w:w="2130" w:type="dxa"/>
            <w:vMerge w:val="restart"/>
          </w:tcPr>
          <w:p w14:paraId="7C83D824" w14:textId="77777777" w:rsidR="008D1AE9" w:rsidRPr="0098635C" w:rsidRDefault="008D1AE9" w:rsidP="00AF385A">
            <w:pPr>
              <w:pStyle w:val="NoteLevel211"/>
              <w:keepNext/>
              <w:keepLines/>
              <w:rPr>
                <w:b/>
                <w:color w:val="000000" w:themeColor="text1"/>
              </w:rPr>
            </w:pPr>
            <w:bookmarkStart w:id="984" w:name="_Toc471999813"/>
            <w:bookmarkStart w:id="985" w:name="_Toc472251256"/>
            <w:r w:rsidRPr="0098635C">
              <w:rPr>
                <w:b/>
                <w:color w:val="000000" w:themeColor="text1"/>
              </w:rPr>
              <w:t>Source of copper</w:t>
            </w:r>
            <w:bookmarkEnd w:id="984"/>
            <w:bookmarkEnd w:id="985"/>
          </w:p>
        </w:tc>
        <w:tc>
          <w:tcPr>
            <w:tcW w:w="2690" w:type="dxa"/>
            <w:gridSpan w:val="3"/>
          </w:tcPr>
          <w:p w14:paraId="6907DD5A" w14:textId="77777777" w:rsidR="008D1AE9" w:rsidRPr="0098635C" w:rsidRDefault="008D1AE9" w:rsidP="00AF385A">
            <w:pPr>
              <w:pStyle w:val="NoteLevel211"/>
              <w:keepNext/>
              <w:keepLines/>
              <w:jc w:val="center"/>
              <w:rPr>
                <w:b/>
                <w:color w:val="000000" w:themeColor="text1"/>
              </w:rPr>
            </w:pPr>
            <w:bookmarkStart w:id="986" w:name="_Toc471999814"/>
            <w:bookmarkStart w:id="987" w:name="_Toc472251257"/>
            <w:r w:rsidRPr="0098635C">
              <w:rPr>
                <w:b/>
                <w:color w:val="000000" w:themeColor="text1"/>
              </w:rPr>
              <w:t>Species</w:t>
            </w:r>
            <w:bookmarkEnd w:id="986"/>
            <w:bookmarkEnd w:id="987"/>
          </w:p>
        </w:tc>
        <w:tc>
          <w:tcPr>
            <w:tcW w:w="4514" w:type="dxa"/>
            <w:vMerge w:val="restart"/>
          </w:tcPr>
          <w:p w14:paraId="6DC3C4B2" w14:textId="77777777" w:rsidR="008D1AE9" w:rsidRPr="0098635C" w:rsidRDefault="008D1AE9" w:rsidP="00AF385A">
            <w:pPr>
              <w:pStyle w:val="NoteLevel211"/>
              <w:keepNext/>
              <w:keepLines/>
              <w:rPr>
                <w:b/>
                <w:color w:val="000000" w:themeColor="text1"/>
              </w:rPr>
            </w:pPr>
            <w:bookmarkStart w:id="988" w:name="_Toc471999815"/>
            <w:bookmarkStart w:id="989" w:name="_Toc472251258"/>
            <w:r w:rsidRPr="0098635C">
              <w:rPr>
                <w:b/>
                <w:color w:val="000000" w:themeColor="text1"/>
              </w:rPr>
              <w:t>References (and applicable species)</w:t>
            </w:r>
            <w:bookmarkEnd w:id="988"/>
            <w:bookmarkEnd w:id="989"/>
          </w:p>
        </w:tc>
      </w:tr>
      <w:tr w:rsidR="008D1AE9" w:rsidRPr="0098635C" w14:paraId="6DE31A50" w14:textId="77777777" w:rsidTr="00AF385A">
        <w:trPr>
          <w:trHeight w:val="355"/>
        </w:trPr>
        <w:tc>
          <w:tcPr>
            <w:tcW w:w="2130" w:type="dxa"/>
            <w:vMerge/>
          </w:tcPr>
          <w:p w14:paraId="4DD91E5C" w14:textId="77777777" w:rsidR="008D1AE9" w:rsidRPr="0098635C" w:rsidRDefault="008D1AE9" w:rsidP="00AF385A">
            <w:pPr>
              <w:pStyle w:val="NoteLevel211"/>
              <w:keepNext/>
              <w:keepLines/>
              <w:rPr>
                <w:b/>
                <w:color w:val="000000" w:themeColor="text1"/>
              </w:rPr>
            </w:pPr>
          </w:p>
        </w:tc>
        <w:tc>
          <w:tcPr>
            <w:tcW w:w="989" w:type="dxa"/>
          </w:tcPr>
          <w:p w14:paraId="1D6E8598" w14:textId="77777777" w:rsidR="008D1AE9" w:rsidRPr="0098635C" w:rsidRDefault="008D1AE9" w:rsidP="00AF385A">
            <w:pPr>
              <w:pStyle w:val="NoteLevel211"/>
              <w:keepNext/>
              <w:keepLines/>
              <w:rPr>
                <w:b/>
                <w:color w:val="000000" w:themeColor="text1"/>
              </w:rPr>
            </w:pPr>
            <w:bookmarkStart w:id="990" w:name="_Toc471999816"/>
            <w:bookmarkStart w:id="991" w:name="_Toc472251259"/>
            <w:r w:rsidRPr="0098635C">
              <w:rPr>
                <w:b/>
                <w:color w:val="000000" w:themeColor="text1"/>
              </w:rPr>
              <w:t>Poultry</w:t>
            </w:r>
            <w:bookmarkEnd w:id="990"/>
            <w:bookmarkEnd w:id="991"/>
          </w:p>
        </w:tc>
        <w:tc>
          <w:tcPr>
            <w:tcW w:w="850" w:type="dxa"/>
          </w:tcPr>
          <w:p w14:paraId="3407C75A" w14:textId="77777777" w:rsidR="008D1AE9" w:rsidRPr="0098635C" w:rsidRDefault="008D1AE9" w:rsidP="00AF385A">
            <w:pPr>
              <w:pStyle w:val="NoteLevel211"/>
              <w:keepNext/>
              <w:keepLines/>
              <w:rPr>
                <w:b/>
                <w:color w:val="000000" w:themeColor="text1"/>
              </w:rPr>
            </w:pPr>
            <w:bookmarkStart w:id="992" w:name="_Toc471999817"/>
            <w:bookmarkStart w:id="993" w:name="_Toc472251260"/>
            <w:r w:rsidRPr="0098635C">
              <w:rPr>
                <w:b/>
                <w:color w:val="000000" w:themeColor="text1"/>
              </w:rPr>
              <w:t>Swine</w:t>
            </w:r>
            <w:bookmarkEnd w:id="992"/>
            <w:bookmarkEnd w:id="993"/>
          </w:p>
        </w:tc>
        <w:tc>
          <w:tcPr>
            <w:tcW w:w="851" w:type="dxa"/>
          </w:tcPr>
          <w:p w14:paraId="297784D7" w14:textId="77777777" w:rsidR="008D1AE9" w:rsidRPr="0098635C" w:rsidRDefault="008D1AE9" w:rsidP="00AF385A">
            <w:pPr>
              <w:pStyle w:val="NoteLevel211"/>
              <w:keepNext/>
              <w:keepLines/>
              <w:rPr>
                <w:b/>
                <w:color w:val="000000" w:themeColor="text1"/>
              </w:rPr>
            </w:pPr>
            <w:bookmarkStart w:id="994" w:name="_Toc471999818"/>
            <w:bookmarkStart w:id="995" w:name="_Toc472251261"/>
            <w:r w:rsidRPr="0098635C">
              <w:rPr>
                <w:b/>
                <w:color w:val="000000" w:themeColor="text1"/>
              </w:rPr>
              <w:t>Cattle</w:t>
            </w:r>
            <w:bookmarkEnd w:id="994"/>
            <w:bookmarkEnd w:id="995"/>
          </w:p>
        </w:tc>
        <w:tc>
          <w:tcPr>
            <w:tcW w:w="4514" w:type="dxa"/>
            <w:vMerge/>
          </w:tcPr>
          <w:p w14:paraId="692FE7F9" w14:textId="77777777" w:rsidR="008D1AE9" w:rsidRPr="0098635C" w:rsidRDefault="008D1AE9" w:rsidP="00AF385A">
            <w:pPr>
              <w:pStyle w:val="NoteLevel211"/>
              <w:keepNext/>
              <w:keepLines/>
              <w:rPr>
                <w:color w:val="000000" w:themeColor="text1"/>
              </w:rPr>
            </w:pPr>
          </w:p>
        </w:tc>
      </w:tr>
      <w:tr w:rsidR="008D1AE9" w:rsidRPr="0098635C" w14:paraId="4FEB5C38" w14:textId="77777777" w:rsidTr="00AF385A">
        <w:trPr>
          <w:trHeight w:val="352"/>
        </w:trPr>
        <w:tc>
          <w:tcPr>
            <w:tcW w:w="2130" w:type="dxa"/>
          </w:tcPr>
          <w:p w14:paraId="3C756D9E" w14:textId="77777777" w:rsidR="008D1AE9" w:rsidRPr="0098635C" w:rsidRDefault="008D1AE9" w:rsidP="00AF385A">
            <w:pPr>
              <w:pStyle w:val="NoteLevel211"/>
              <w:keepNext/>
              <w:keepLines/>
              <w:rPr>
                <w:color w:val="000000" w:themeColor="text1"/>
              </w:rPr>
            </w:pPr>
            <w:bookmarkStart w:id="996" w:name="_Toc471999819"/>
            <w:bookmarkStart w:id="997" w:name="_Toc472251262"/>
            <w:r w:rsidRPr="0098635C">
              <w:rPr>
                <w:color w:val="000000" w:themeColor="text1"/>
              </w:rPr>
              <w:t>Copper sulphate</w:t>
            </w:r>
            <w:bookmarkEnd w:id="996"/>
            <w:bookmarkEnd w:id="997"/>
          </w:p>
        </w:tc>
        <w:tc>
          <w:tcPr>
            <w:tcW w:w="989" w:type="dxa"/>
          </w:tcPr>
          <w:p w14:paraId="7FFB184B" w14:textId="77777777" w:rsidR="008D1AE9" w:rsidRPr="0098635C" w:rsidRDefault="008D1AE9" w:rsidP="00AF385A">
            <w:pPr>
              <w:pStyle w:val="NoteLevel211"/>
              <w:keepNext/>
              <w:keepLines/>
              <w:rPr>
                <w:color w:val="000000" w:themeColor="text1"/>
              </w:rPr>
            </w:pPr>
            <w:bookmarkStart w:id="998" w:name="_Toc471999820"/>
            <w:bookmarkStart w:id="999" w:name="_Toc472251263"/>
            <w:r w:rsidRPr="0098635C">
              <w:rPr>
                <w:color w:val="000000" w:themeColor="text1"/>
              </w:rPr>
              <w:t>100</w:t>
            </w:r>
            <w:bookmarkEnd w:id="998"/>
            <w:bookmarkEnd w:id="999"/>
          </w:p>
        </w:tc>
        <w:tc>
          <w:tcPr>
            <w:tcW w:w="850" w:type="dxa"/>
          </w:tcPr>
          <w:p w14:paraId="5EDFE38A" w14:textId="77777777" w:rsidR="008D1AE9" w:rsidRPr="0098635C" w:rsidRDefault="008D1AE9" w:rsidP="00AF385A">
            <w:pPr>
              <w:pStyle w:val="NoteLevel211"/>
              <w:keepNext/>
              <w:keepLines/>
              <w:rPr>
                <w:color w:val="000000" w:themeColor="text1"/>
              </w:rPr>
            </w:pPr>
            <w:bookmarkStart w:id="1000" w:name="_Toc471999821"/>
            <w:bookmarkStart w:id="1001" w:name="_Toc472251264"/>
            <w:r w:rsidRPr="0098635C">
              <w:rPr>
                <w:color w:val="000000" w:themeColor="text1"/>
              </w:rPr>
              <w:t>100</w:t>
            </w:r>
            <w:bookmarkEnd w:id="1000"/>
            <w:bookmarkEnd w:id="1001"/>
          </w:p>
        </w:tc>
        <w:tc>
          <w:tcPr>
            <w:tcW w:w="851" w:type="dxa"/>
          </w:tcPr>
          <w:p w14:paraId="4E290D5C" w14:textId="77777777" w:rsidR="008D1AE9" w:rsidRPr="0098635C" w:rsidRDefault="008D1AE9" w:rsidP="00AF385A">
            <w:pPr>
              <w:pStyle w:val="NoteLevel211"/>
              <w:keepNext/>
              <w:keepLines/>
              <w:rPr>
                <w:color w:val="000000" w:themeColor="text1"/>
              </w:rPr>
            </w:pPr>
            <w:bookmarkStart w:id="1002" w:name="_Toc471999822"/>
            <w:bookmarkStart w:id="1003" w:name="_Toc472251265"/>
            <w:r w:rsidRPr="0098635C">
              <w:rPr>
                <w:color w:val="000000" w:themeColor="text1"/>
              </w:rPr>
              <w:t>100</w:t>
            </w:r>
            <w:bookmarkEnd w:id="1002"/>
            <w:bookmarkEnd w:id="1003"/>
          </w:p>
        </w:tc>
        <w:tc>
          <w:tcPr>
            <w:tcW w:w="4514" w:type="dxa"/>
            <w:vMerge w:val="restart"/>
          </w:tcPr>
          <w:p w14:paraId="17F24F4D" w14:textId="77777777" w:rsidR="008D1AE9" w:rsidRPr="0098635C" w:rsidRDefault="008D1AE9" w:rsidP="00AF385A">
            <w:pPr>
              <w:pStyle w:val="NoteLevel211"/>
              <w:keepNext/>
              <w:keepLines/>
              <w:rPr>
                <w:color w:val="000000" w:themeColor="text1"/>
              </w:rPr>
            </w:pPr>
            <w:bookmarkStart w:id="1004" w:name="_Toc471999823"/>
            <w:bookmarkStart w:id="1005" w:name="_Toc472251266"/>
            <w:r w:rsidRPr="0098635C">
              <w:rPr>
                <w:color w:val="000000" w:themeColor="text1"/>
              </w:rPr>
              <w:t>Aoyagi and Baker, 1993 (poultry)</w:t>
            </w:r>
            <w:bookmarkEnd w:id="1004"/>
            <w:bookmarkEnd w:id="1005"/>
          </w:p>
          <w:p w14:paraId="45D8FE63" w14:textId="77777777" w:rsidR="008D1AE9" w:rsidRPr="0098635C" w:rsidRDefault="008D1AE9" w:rsidP="00AF385A">
            <w:pPr>
              <w:pStyle w:val="NoteLevel211"/>
              <w:keepNext/>
              <w:keepLines/>
              <w:rPr>
                <w:color w:val="000000" w:themeColor="text1"/>
              </w:rPr>
            </w:pPr>
            <w:bookmarkStart w:id="1006" w:name="_Toc471999824"/>
            <w:bookmarkStart w:id="1007" w:name="_Toc472251267"/>
            <w:r w:rsidRPr="0098635C">
              <w:rPr>
                <w:color w:val="000000" w:themeColor="text1"/>
              </w:rPr>
              <w:t>Baker et al, 1991 (poultry)</w:t>
            </w:r>
            <w:bookmarkEnd w:id="1006"/>
            <w:bookmarkEnd w:id="1007"/>
          </w:p>
          <w:p w14:paraId="30A3E565" w14:textId="77777777" w:rsidR="008D1AE9" w:rsidRPr="0098635C" w:rsidRDefault="008D1AE9" w:rsidP="00AF385A">
            <w:pPr>
              <w:pStyle w:val="NoteLevel211"/>
              <w:keepNext/>
              <w:keepLines/>
              <w:rPr>
                <w:color w:val="000000" w:themeColor="text1"/>
                <w:lang w:val="fr-FR"/>
              </w:rPr>
            </w:pPr>
            <w:bookmarkStart w:id="1008" w:name="_Toc471999825"/>
            <w:bookmarkStart w:id="1009" w:name="_Toc472251268"/>
            <w:r w:rsidRPr="0098635C">
              <w:rPr>
                <w:color w:val="000000" w:themeColor="text1"/>
                <w:lang w:val="fr-FR"/>
              </w:rPr>
              <w:t>Buescher et al, 1961 (swine)</w:t>
            </w:r>
            <w:bookmarkEnd w:id="1008"/>
            <w:bookmarkEnd w:id="1009"/>
          </w:p>
          <w:p w14:paraId="1AA42DD5" w14:textId="77777777" w:rsidR="008D1AE9" w:rsidRPr="0098635C" w:rsidRDefault="008D1AE9" w:rsidP="00AF385A">
            <w:pPr>
              <w:pStyle w:val="NoteLevel211"/>
              <w:keepNext/>
              <w:keepLines/>
              <w:rPr>
                <w:color w:val="000000" w:themeColor="text1"/>
                <w:lang w:val="fr-FR"/>
              </w:rPr>
            </w:pPr>
            <w:bookmarkStart w:id="1010" w:name="_Toc471999826"/>
            <w:bookmarkStart w:id="1011" w:name="_Toc472251269"/>
            <w:r w:rsidRPr="0098635C">
              <w:rPr>
                <w:color w:val="000000" w:themeColor="text1"/>
                <w:lang w:val="fr-FR"/>
              </w:rPr>
              <w:t>Cromwell et al, 1989 (swine)</w:t>
            </w:r>
            <w:bookmarkEnd w:id="1010"/>
            <w:bookmarkEnd w:id="1011"/>
          </w:p>
          <w:p w14:paraId="277F0B90" w14:textId="77777777" w:rsidR="008D1AE9" w:rsidRPr="0098635C" w:rsidRDefault="008D1AE9" w:rsidP="00AF385A">
            <w:pPr>
              <w:pStyle w:val="NoteLevel211"/>
              <w:keepNext/>
              <w:keepLines/>
              <w:rPr>
                <w:color w:val="000000" w:themeColor="text1"/>
              </w:rPr>
            </w:pPr>
            <w:bookmarkStart w:id="1012" w:name="_Toc471999827"/>
            <w:bookmarkStart w:id="1013" w:name="_Toc472251270"/>
            <w:r w:rsidRPr="0098635C">
              <w:rPr>
                <w:color w:val="000000" w:themeColor="text1"/>
              </w:rPr>
              <w:t>Kegley and Spears, 1994 (cattle)</w:t>
            </w:r>
            <w:bookmarkEnd w:id="1012"/>
            <w:bookmarkEnd w:id="1013"/>
          </w:p>
        </w:tc>
      </w:tr>
      <w:tr w:rsidR="008D1AE9" w:rsidRPr="0098635C" w14:paraId="6371BE25" w14:textId="77777777" w:rsidTr="00AF385A">
        <w:tc>
          <w:tcPr>
            <w:tcW w:w="2130" w:type="dxa"/>
          </w:tcPr>
          <w:p w14:paraId="133DA012" w14:textId="03C6B327" w:rsidR="008D1AE9" w:rsidRPr="0098635C" w:rsidRDefault="00236182" w:rsidP="00AF385A">
            <w:pPr>
              <w:pStyle w:val="NoteLevel211"/>
              <w:rPr>
                <w:color w:val="000000" w:themeColor="text1"/>
              </w:rPr>
            </w:pPr>
            <w:r w:rsidRPr="0098635C">
              <w:rPr>
                <w:color w:val="000000" w:themeColor="text1"/>
              </w:rPr>
              <w:t>Copper (II) oxide</w:t>
            </w:r>
          </w:p>
        </w:tc>
        <w:tc>
          <w:tcPr>
            <w:tcW w:w="989" w:type="dxa"/>
          </w:tcPr>
          <w:p w14:paraId="3E329035" w14:textId="77777777" w:rsidR="008D1AE9" w:rsidRPr="0098635C" w:rsidRDefault="008D1AE9" w:rsidP="00AF385A">
            <w:pPr>
              <w:pStyle w:val="NoteLevel211"/>
              <w:rPr>
                <w:color w:val="000000" w:themeColor="text1"/>
              </w:rPr>
            </w:pPr>
            <w:bookmarkStart w:id="1014" w:name="_Toc471999829"/>
            <w:bookmarkStart w:id="1015" w:name="_Toc472251272"/>
            <w:r w:rsidRPr="0098635C">
              <w:rPr>
                <w:color w:val="000000" w:themeColor="text1"/>
              </w:rPr>
              <w:t>0 (3)</w:t>
            </w:r>
            <w:bookmarkEnd w:id="1014"/>
            <w:bookmarkEnd w:id="1015"/>
          </w:p>
        </w:tc>
        <w:tc>
          <w:tcPr>
            <w:tcW w:w="850" w:type="dxa"/>
          </w:tcPr>
          <w:p w14:paraId="34D3078A" w14:textId="77777777" w:rsidR="008D1AE9" w:rsidRPr="0098635C" w:rsidRDefault="008D1AE9" w:rsidP="00AF385A">
            <w:pPr>
              <w:pStyle w:val="NoteLevel211"/>
              <w:rPr>
                <w:color w:val="000000" w:themeColor="text1"/>
              </w:rPr>
            </w:pPr>
            <w:bookmarkStart w:id="1016" w:name="_Toc471999830"/>
            <w:bookmarkStart w:id="1017" w:name="_Toc472251273"/>
            <w:r w:rsidRPr="0098635C">
              <w:rPr>
                <w:color w:val="000000" w:themeColor="text1"/>
              </w:rPr>
              <w:t>30 (4)</w:t>
            </w:r>
            <w:bookmarkEnd w:id="1016"/>
            <w:bookmarkEnd w:id="1017"/>
          </w:p>
        </w:tc>
        <w:tc>
          <w:tcPr>
            <w:tcW w:w="851" w:type="dxa"/>
          </w:tcPr>
          <w:p w14:paraId="1ED4FB26" w14:textId="77777777" w:rsidR="008D1AE9" w:rsidRPr="0098635C" w:rsidRDefault="008D1AE9" w:rsidP="00AF385A">
            <w:pPr>
              <w:pStyle w:val="NoteLevel211"/>
              <w:rPr>
                <w:color w:val="000000" w:themeColor="text1"/>
              </w:rPr>
            </w:pPr>
            <w:bookmarkStart w:id="1018" w:name="_Toc471999831"/>
            <w:bookmarkStart w:id="1019" w:name="_Toc472251274"/>
            <w:r w:rsidRPr="0098635C">
              <w:rPr>
                <w:color w:val="000000" w:themeColor="text1"/>
              </w:rPr>
              <w:t>15 (2)</w:t>
            </w:r>
            <w:bookmarkEnd w:id="1018"/>
            <w:bookmarkEnd w:id="1019"/>
          </w:p>
        </w:tc>
        <w:tc>
          <w:tcPr>
            <w:tcW w:w="4514" w:type="dxa"/>
            <w:vMerge/>
          </w:tcPr>
          <w:p w14:paraId="6BB39541" w14:textId="77777777" w:rsidR="008D1AE9" w:rsidRPr="0098635C" w:rsidRDefault="008D1AE9" w:rsidP="00AF385A">
            <w:pPr>
              <w:pStyle w:val="NoteLevel211"/>
              <w:rPr>
                <w:color w:val="000000" w:themeColor="text1"/>
              </w:rPr>
            </w:pPr>
          </w:p>
        </w:tc>
      </w:tr>
      <w:tr w:rsidR="008D1AE9" w:rsidRPr="0098635C" w14:paraId="3143A9E6" w14:textId="77777777" w:rsidTr="00AF385A">
        <w:trPr>
          <w:trHeight w:val="352"/>
        </w:trPr>
        <w:tc>
          <w:tcPr>
            <w:tcW w:w="2130" w:type="dxa"/>
          </w:tcPr>
          <w:p w14:paraId="1D988210" w14:textId="77777777" w:rsidR="008D1AE9" w:rsidRPr="0098635C" w:rsidRDefault="008D1AE9" w:rsidP="00AF385A">
            <w:pPr>
              <w:pStyle w:val="NoteLevel211"/>
              <w:rPr>
                <w:color w:val="000000" w:themeColor="text1"/>
              </w:rPr>
            </w:pPr>
            <w:bookmarkStart w:id="1020" w:name="_Toc471999832"/>
            <w:bookmarkStart w:id="1021" w:name="_Toc472251275"/>
            <w:r w:rsidRPr="0098635C">
              <w:rPr>
                <w:color w:val="000000" w:themeColor="text1"/>
              </w:rPr>
              <w:t>Cuprous oxide</w:t>
            </w:r>
            <w:bookmarkEnd w:id="1020"/>
            <w:bookmarkEnd w:id="1021"/>
          </w:p>
        </w:tc>
        <w:tc>
          <w:tcPr>
            <w:tcW w:w="989" w:type="dxa"/>
          </w:tcPr>
          <w:p w14:paraId="7EC25382" w14:textId="77777777" w:rsidR="008D1AE9" w:rsidRPr="0098635C" w:rsidRDefault="008D1AE9" w:rsidP="00AF385A">
            <w:pPr>
              <w:pStyle w:val="NoteLevel211"/>
              <w:rPr>
                <w:color w:val="000000" w:themeColor="text1"/>
              </w:rPr>
            </w:pPr>
            <w:bookmarkStart w:id="1022" w:name="_Toc471999833"/>
            <w:bookmarkStart w:id="1023" w:name="_Toc472251276"/>
            <w:r w:rsidRPr="0098635C">
              <w:rPr>
                <w:color w:val="000000" w:themeColor="text1"/>
              </w:rPr>
              <w:t>95.2 (2)</w:t>
            </w:r>
            <w:bookmarkEnd w:id="1022"/>
            <w:bookmarkEnd w:id="1023"/>
          </w:p>
        </w:tc>
        <w:tc>
          <w:tcPr>
            <w:tcW w:w="850" w:type="dxa"/>
          </w:tcPr>
          <w:p w14:paraId="000AAF2C" w14:textId="77777777" w:rsidR="008D1AE9" w:rsidRPr="0098635C" w:rsidRDefault="008D1AE9" w:rsidP="00AF385A">
            <w:pPr>
              <w:pStyle w:val="NoteLevel211"/>
              <w:rPr>
                <w:color w:val="000000" w:themeColor="text1"/>
              </w:rPr>
            </w:pPr>
          </w:p>
        </w:tc>
        <w:tc>
          <w:tcPr>
            <w:tcW w:w="851" w:type="dxa"/>
          </w:tcPr>
          <w:p w14:paraId="34EED1B9" w14:textId="77777777" w:rsidR="008D1AE9" w:rsidRPr="0098635C" w:rsidRDefault="008D1AE9" w:rsidP="00AF385A">
            <w:pPr>
              <w:pStyle w:val="NoteLevel211"/>
              <w:rPr>
                <w:color w:val="000000" w:themeColor="text1"/>
              </w:rPr>
            </w:pPr>
          </w:p>
        </w:tc>
        <w:tc>
          <w:tcPr>
            <w:tcW w:w="4514" w:type="dxa"/>
          </w:tcPr>
          <w:p w14:paraId="48F07C87" w14:textId="77777777" w:rsidR="008D1AE9" w:rsidRPr="0098635C" w:rsidRDefault="008D1AE9" w:rsidP="00AF385A">
            <w:pPr>
              <w:pStyle w:val="NoteLevel211"/>
              <w:rPr>
                <w:color w:val="000000" w:themeColor="text1"/>
              </w:rPr>
            </w:pPr>
            <w:bookmarkStart w:id="1024" w:name="_Toc471999834"/>
            <w:bookmarkStart w:id="1025" w:name="_Toc472251277"/>
            <w:r w:rsidRPr="0098635C">
              <w:rPr>
                <w:color w:val="000000" w:themeColor="text1"/>
              </w:rPr>
              <w:t>Aoyagi and Baker, 1993 (poultry)</w:t>
            </w:r>
            <w:bookmarkEnd w:id="1024"/>
            <w:bookmarkEnd w:id="1025"/>
          </w:p>
          <w:p w14:paraId="4CE611BF" w14:textId="77777777" w:rsidR="008D1AE9" w:rsidRPr="0098635C" w:rsidRDefault="008D1AE9" w:rsidP="00AF385A">
            <w:pPr>
              <w:pStyle w:val="NoteLevel211"/>
              <w:rPr>
                <w:color w:val="000000" w:themeColor="text1"/>
              </w:rPr>
            </w:pPr>
            <w:bookmarkStart w:id="1026" w:name="_Toc471999835"/>
            <w:bookmarkStart w:id="1027" w:name="_Toc472251278"/>
            <w:r w:rsidRPr="0098635C">
              <w:rPr>
                <w:color w:val="000000" w:themeColor="text1"/>
              </w:rPr>
              <w:t>Baker et al, 1991 (poultry)</w:t>
            </w:r>
            <w:bookmarkEnd w:id="1026"/>
            <w:bookmarkEnd w:id="1027"/>
          </w:p>
        </w:tc>
      </w:tr>
      <w:tr w:rsidR="008D1AE9" w:rsidRPr="0098635C" w14:paraId="0D3B47B2" w14:textId="77777777" w:rsidTr="00AF385A">
        <w:trPr>
          <w:trHeight w:val="352"/>
        </w:trPr>
        <w:tc>
          <w:tcPr>
            <w:tcW w:w="2130" w:type="dxa"/>
          </w:tcPr>
          <w:p w14:paraId="0BD9AA69" w14:textId="77777777" w:rsidR="008D1AE9" w:rsidRPr="0098635C" w:rsidRDefault="008D1AE9" w:rsidP="00AF385A">
            <w:pPr>
              <w:pStyle w:val="NoteLevel211"/>
              <w:rPr>
                <w:color w:val="000000" w:themeColor="text1"/>
              </w:rPr>
            </w:pPr>
            <w:bookmarkStart w:id="1028" w:name="_Toc471999836"/>
            <w:bookmarkStart w:id="1029" w:name="_Toc472251279"/>
            <w:r w:rsidRPr="0098635C">
              <w:rPr>
                <w:color w:val="000000" w:themeColor="text1"/>
              </w:rPr>
              <w:t>Basic copper carbonate</w:t>
            </w:r>
            <w:bookmarkEnd w:id="1028"/>
            <w:bookmarkEnd w:id="1029"/>
          </w:p>
        </w:tc>
        <w:tc>
          <w:tcPr>
            <w:tcW w:w="989" w:type="dxa"/>
          </w:tcPr>
          <w:p w14:paraId="386B270E" w14:textId="25CEB630" w:rsidR="008D1AE9" w:rsidRPr="0098635C" w:rsidRDefault="008C5286" w:rsidP="008C5286">
            <w:pPr>
              <w:pStyle w:val="NoteLevel211"/>
              <w:rPr>
                <w:color w:val="000000" w:themeColor="text1"/>
              </w:rPr>
            </w:pPr>
            <w:bookmarkStart w:id="1030" w:name="_Toc471999837"/>
            <w:bookmarkStart w:id="1031" w:name="_Toc472251280"/>
            <w:r w:rsidRPr="0098635C">
              <w:rPr>
                <w:color w:val="000000" w:themeColor="text1"/>
              </w:rPr>
              <w:t>113</w:t>
            </w:r>
            <w:r w:rsidR="008D1AE9" w:rsidRPr="0098635C">
              <w:rPr>
                <w:color w:val="000000" w:themeColor="text1"/>
              </w:rPr>
              <w:t>(1)</w:t>
            </w:r>
            <w:bookmarkEnd w:id="1030"/>
            <w:bookmarkEnd w:id="1031"/>
          </w:p>
        </w:tc>
        <w:tc>
          <w:tcPr>
            <w:tcW w:w="850" w:type="dxa"/>
          </w:tcPr>
          <w:p w14:paraId="01C624AC" w14:textId="77777777" w:rsidR="008D1AE9" w:rsidRPr="0098635C" w:rsidRDefault="008D1AE9" w:rsidP="00AF385A">
            <w:pPr>
              <w:pStyle w:val="NoteLevel211"/>
              <w:rPr>
                <w:color w:val="000000" w:themeColor="text1"/>
              </w:rPr>
            </w:pPr>
            <w:bookmarkStart w:id="1032" w:name="_Toc471999838"/>
            <w:bookmarkStart w:id="1033" w:name="_Toc472251281"/>
            <w:r w:rsidRPr="0098635C">
              <w:rPr>
                <w:color w:val="000000" w:themeColor="text1"/>
              </w:rPr>
              <w:t>60 (1)</w:t>
            </w:r>
            <w:bookmarkEnd w:id="1032"/>
            <w:bookmarkEnd w:id="1033"/>
          </w:p>
        </w:tc>
        <w:tc>
          <w:tcPr>
            <w:tcW w:w="851" w:type="dxa"/>
          </w:tcPr>
          <w:p w14:paraId="29799322" w14:textId="77777777" w:rsidR="008D1AE9" w:rsidRPr="0098635C" w:rsidRDefault="008D1AE9" w:rsidP="00AF385A">
            <w:pPr>
              <w:pStyle w:val="NoteLevel211"/>
              <w:rPr>
                <w:color w:val="000000" w:themeColor="text1"/>
              </w:rPr>
            </w:pPr>
          </w:p>
        </w:tc>
        <w:tc>
          <w:tcPr>
            <w:tcW w:w="4514" w:type="dxa"/>
          </w:tcPr>
          <w:p w14:paraId="380E3F1E" w14:textId="77777777" w:rsidR="008D1AE9" w:rsidRPr="0098635C" w:rsidRDefault="008D1AE9" w:rsidP="00AF385A">
            <w:pPr>
              <w:pStyle w:val="NoteLevel211"/>
              <w:rPr>
                <w:color w:val="000000" w:themeColor="text1"/>
              </w:rPr>
            </w:pPr>
            <w:bookmarkStart w:id="1034" w:name="_Toc471999839"/>
            <w:bookmarkStart w:id="1035" w:name="_Toc472251282"/>
            <w:r w:rsidRPr="0098635C">
              <w:rPr>
                <w:color w:val="000000" w:themeColor="text1"/>
              </w:rPr>
              <w:t>Allen et al, 1961 (swine)</w:t>
            </w:r>
            <w:bookmarkEnd w:id="1034"/>
            <w:bookmarkEnd w:id="1035"/>
          </w:p>
          <w:p w14:paraId="1598427C" w14:textId="77777777" w:rsidR="008D1AE9" w:rsidRPr="0098635C" w:rsidRDefault="008D1AE9" w:rsidP="00AF385A">
            <w:pPr>
              <w:pStyle w:val="NoteLevel211"/>
              <w:rPr>
                <w:color w:val="000000" w:themeColor="text1"/>
              </w:rPr>
            </w:pPr>
            <w:bookmarkStart w:id="1036" w:name="_Toc471999840"/>
            <w:bookmarkStart w:id="1037" w:name="_Toc472251283"/>
            <w:r w:rsidRPr="0098635C">
              <w:rPr>
                <w:color w:val="000000" w:themeColor="text1"/>
              </w:rPr>
              <w:t>Aoyagi and Baker, 1993 (poultry)</w:t>
            </w:r>
            <w:bookmarkEnd w:id="1036"/>
            <w:bookmarkEnd w:id="1037"/>
          </w:p>
        </w:tc>
      </w:tr>
      <w:tr w:rsidR="008D1AE9" w:rsidRPr="0098635C" w14:paraId="0F259BE2" w14:textId="77777777" w:rsidTr="00AF385A">
        <w:trPr>
          <w:trHeight w:val="352"/>
        </w:trPr>
        <w:tc>
          <w:tcPr>
            <w:tcW w:w="2130" w:type="dxa"/>
          </w:tcPr>
          <w:p w14:paraId="363A376E" w14:textId="77777777" w:rsidR="008D1AE9" w:rsidRPr="0098635C" w:rsidRDefault="008D1AE9" w:rsidP="00AF385A">
            <w:pPr>
              <w:pStyle w:val="NoteLevel211"/>
              <w:rPr>
                <w:color w:val="000000" w:themeColor="text1"/>
              </w:rPr>
            </w:pPr>
            <w:bookmarkStart w:id="1038" w:name="_Toc471999841"/>
            <w:bookmarkStart w:id="1039" w:name="_Toc472251284"/>
            <w:r w:rsidRPr="0098635C">
              <w:rPr>
                <w:color w:val="000000" w:themeColor="text1"/>
              </w:rPr>
              <w:t>Copper carbonate</w:t>
            </w:r>
            <w:bookmarkEnd w:id="1038"/>
            <w:bookmarkEnd w:id="1039"/>
          </w:p>
        </w:tc>
        <w:tc>
          <w:tcPr>
            <w:tcW w:w="989" w:type="dxa"/>
          </w:tcPr>
          <w:p w14:paraId="726D408A" w14:textId="77777777" w:rsidR="008D1AE9" w:rsidRPr="0098635C" w:rsidRDefault="008D1AE9" w:rsidP="00AF385A">
            <w:pPr>
              <w:pStyle w:val="NoteLevel211"/>
              <w:rPr>
                <w:color w:val="000000" w:themeColor="text1"/>
              </w:rPr>
            </w:pPr>
          </w:p>
        </w:tc>
        <w:tc>
          <w:tcPr>
            <w:tcW w:w="850" w:type="dxa"/>
          </w:tcPr>
          <w:p w14:paraId="6451D635" w14:textId="77777777" w:rsidR="008D1AE9" w:rsidRPr="0098635C" w:rsidRDefault="008D1AE9" w:rsidP="00AF385A">
            <w:pPr>
              <w:pStyle w:val="NoteLevel211"/>
              <w:rPr>
                <w:color w:val="000000" w:themeColor="text1"/>
              </w:rPr>
            </w:pPr>
            <w:bookmarkStart w:id="1040" w:name="_Toc471999842"/>
            <w:bookmarkStart w:id="1041" w:name="_Toc472251285"/>
            <w:r w:rsidRPr="0098635C">
              <w:rPr>
                <w:color w:val="000000" w:themeColor="text1"/>
              </w:rPr>
              <w:t>95 (1)</w:t>
            </w:r>
            <w:bookmarkEnd w:id="1040"/>
            <w:bookmarkEnd w:id="1041"/>
          </w:p>
        </w:tc>
        <w:tc>
          <w:tcPr>
            <w:tcW w:w="851" w:type="dxa"/>
          </w:tcPr>
          <w:p w14:paraId="329394A2" w14:textId="77777777" w:rsidR="008D1AE9" w:rsidRPr="0098635C" w:rsidRDefault="008D1AE9" w:rsidP="00AF385A">
            <w:pPr>
              <w:pStyle w:val="NoteLevel211"/>
              <w:rPr>
                <w:color w:val="000000" w:themeColor="text1"/>
              </w:rPr>
            </w:pPr>
          </w:p>
        </w:tc>
        <w:tc>
          <w:tcPr>
            <w:tcW w:w="4514" w:type="dxa"/>
          </w:tcPr>
          <w:p w14:paraId="62B9DB79" w14:textId="77777777" w:rsidR="008D1AE9" w:rsidRPr="0098635C" w:rsidRDefault="008D1AE9" w:rsidP="00AF385A">
            <w:pPr>
              <w:pStyle w:val="NoteLevel211"/>
              <w:rPr>
                <w:color w:val="000000" w:themeColor="text1"/>
              </w:rPr>
            </w:pPr>
            <w:bookmarkStart w:id="1042" w:name="_Toc471999843"/>
            <w:bookmarkStart w:id="1043" w:name="_Toc472251286"/>
            <w:r w:rsidRPr="0098635C">
              <w:rPr>
                <w:color w:val="000000" w:themeColor="text1"/>
              </w:rPr>
              <w:t>Buescher et al, 1961 (swine)</w:t>
            </w:r>
            <w:bookmarkEnd w:id="1042"/>
            <w:bookmarkEnd w:id="1043"/>
          </w:p>
        </w:tc>
      </w:tr>
    </w:tbl>
    <w:p w14:paraId="32B1721E" w14:textId="41F48046" w:rsidR="008D1AE9" w:rsidRPr="0098635C" w:rsidRDefault="008D1AE9" w:rsidP="00F67B0C">
      <w:pPr>
        <w:rPr>
          <w:b/>
          <w:color w:val="000000" w:themeColor="text1"/>
          <w:sz w:val="20"/>
          <w:szCs w:val="20"/>
        </w:rPr>
      </w:pPr>
      <w:r w:rsidRPr="0098635C">
        <w:rPr>
          <w:color w:val="000000" w:themeColor="text1"/>
          <w:sz w:val="20"/>
          <w:szCs w:val="20"/>
        </w:rPr>
        <w:t xml:space="preserve">Average numbers rounded to the nearest ‘5’ and expressed relative to response obtained with copper sulphate. Number of studies or samples involved indicated within parenthesis. </w:t>
      </w:r>
    </w:p>
    <w:p w14:paraId="5C73BFD0" w14:textId="77777777" w:rsidR="008D1AE9" w:rsidRPr="0098635C" w:rsidRDefault="008D1AE9" w:rsidP="008D1AE9">
      <w:pPr>
        <w:keepNext/>
        <w:keepLines/>
        <w:rPr>
          <w:color w:val="000000" w:themeColor="text1"/>
          <w:sz w:val="20"/>
          <w:szCs w:val="20"/>
          <w:u w:val="single"/>
        </w:rPr>
      </w:pPr>
      <w:r w:rsidRPr="0098635C">
        <w:rPr>
          <w:i/>
          <w:color w:val="000000" w:themeColor="text1"/>
          <w:sz w:val="20"/>
          <w:szCs w:val="20"/>
          <w:u w:val="single"/>
        </w:rPr>
        <w:t>In vitro</w:t>
      </w:r>
      <w:r w:rsidRPr="0098635C">
        <w:rPr>
          <w:color w:val="000000" w:themeColor="text1"/>
          <w:sz w:val="20"/>
          <w:szCs w:val="20"/>
          <w:u w:val="single"/>
        </w:rPr>
        <w:t xml:space="preserve"> bioavailability</w:t>
      </w:r>
    </w:p>
    <w:p w14:paraId="5F928360" w14:textId="33B61B17" w:rsidR="008D1AE9" w:rsidRPr="0098635C" w:rsidRDefault="008D1AE9" w:rsidP="008D1AE9">
      <w:pPr>
        <w:rPr>
          <w:rFonts w:ascii="Times" w:hAnsi="Times" w:cs="Times"/>
          <w:color w:val="000000" w:themeColor="text1"/>
          <w:sz w:val="20"/>
          <w:szCs w:val="20"/>
        </w:rPr>
      </w:pPr>
      <w:r w:rsidRPr="0098635C">
        <w:rPr>
          <w:color w:val="000000" w:themeColor="text1"/>
          <w:sz w:val="20"/>
          <w:szCs w:val="20"/>
        </w:rPr>
        <w:t xml:space="preserve">The comparative bioavailability between copper salts can also be observed by the dermal route when evaluating the </w:t>
      </w:r>
      <w:r w:rsidRPr="0098635C">
        <w:rPr>
          <w:rFonts w:ascii="Times" w:hAnsi="Times" w:cs="Times"/>
          <w:i/>
          <w:iCs/>
          <w:color w:val="000000" w:themeColor="text1"/>
          <w:sz w:val="20"/>
          <w:szCs w:val="20"/>
        </w:rPr>
        <w:t xml:space="preserve">in vitro </w:t>
      </w:r>
      <w:r w:rsidRPr="0098635C">
        <w:rPr>
          <w:color w:val="000000" w:themeColor="text1"/>
          <w:sz w:val="20"/>
          <w:szCs w:val="20"/>
        </w:rPr>
        <w:t>dermal penetration study of Cage (2003). Findings are presented in</w:t>
      </w:r>
      <w:r w:rsidR="00962227" w:rsidRPr="0098635C">
        <w:rPr>
          <w:color w:val="000000" w:themeColor="text1"/>
          <w:sz w:val="20"/>
          <w:szCs w:val="20"/>
        </w:rPr>
        <w:t xml:space="preserve"> </w:t>
      </w:r>
      <w:r w:rsidR="00E230FB" w:rsidRPr="0098635C">
        <w:rPr>
          <w:color w:val="000000" w:themeColor="text1"/>
          <w:sz w:val="20"/>
          <w:szCs w:val="20"/>
        </w:rPr>
        <w:fldChar w:fldCharType="begin"/>
      </w:r>
      <w:r w:rsidR="00962227" w:rsidRPr="0098635C">
        <w:rPr>
          <w:color w:val="000000" w:themeColor="text1"/>
          <w:sz w:val="20"/>
          <w:szCs w:val="20"/>
        </w:rPr>
        <w:instrText xml:space="preserve"> REF _Ref259441794 \h </w:instrText>
      </w:r>
      <w:r w:rsidR="003E648B" w:rsidRPr="0098635C">
        <w:rPr>
          <w:b/>
          <w:color w:val="000000" w:themeColor="text1"/>
          <w:sz w:val="20"/>
          <w:szCs w:val="20"/>
        </w:rPr>
        <w:instrText xml:space="preserve"> \* MERGEFORMAT </w:instrText>
      </w:r>
      <w:r w:rsidR="00E230FB" w:rsidRPr="0098635C">
        <w:rPr>
          <w:color w:val="000000" w:themeColor="text1"/>
          <w:sz w:val="20"/>
          <w:szCs w:val="20"/>
        </w:rPr>
      </w:r>
      <w:r w:rsidR="00E230FB" w:rsidRPr="0098635C">
        <w:rPr>
          <w:color w:val="000000" w:themeColor="text1"/>
          <w:sz w:val="20"/>
          <w:szCs w:val="20"/>
        </w:rPr>
        <w:fldChar w:fldCharType="separate"/>
      </w:r>
      <w:r w:rsidR="007A3E52" w:rsidRPr="0098635C">
        <w:rPr>
          <w:color w:val="000000" w:themeColor="text1"/>
          <w:sz w:val="20"/>
          <w:szCs w:val="20"/>
        </w:rPr>
        <w:t xml:space="preserve">Table </w:t>
      </w:r>
      <w:r w:rsidR="007A3E52" w:rsidRPr="0098635C">
        <w:rPr>
          <w:noProof/>
          <w:color w:val="000000" w:themeColor="text1"/>
          <w:sz w:val="20"/>
          <w:szCs w:val="20"/>
        </w:rPr>
        <w:t>11</w:t>
      </w:r>
      <w:r w:rsidR="00E230FB" w:rsidRPr="0098635C">
        <w:rPr>
          <w:color w:val="000000" w:themeColor="text1"/>
          <w:sz w:val="20"/>
          <w:szCs w:val="20"/>
        </w:rPr>
        <w:fldChar w:fldCharType="end"/>
      </w:r>
      <w:r w:rsidRPr="0098635C">
        <w:rPr>
          <w:color w:val="000000" w:themeColor="text1"/>
          <w:sz w:val="20"/>
          <w:szCs w:val="20"/>
        </w:rPr>
        <w:t xml:space="preserve">. These data indicate that it is possible to read-across toxicity data on copper sulphate as a worst case in comparison to copper (I) oxide, copper thiocyanate and copper powder. In addition, it will be possible to calculate the route-to-route exposure from available oral toxicity studies on copper sulphate and using dermal penetration studies on insoluble copper compounds. Therefore an equivalent but realistic determination of dermal toxicity may be derived from available sub-chronic oral exposure studies on copper sulphate, permissible systemic copper levels and </w:t>
      </w:r>
      <w:r w:rsidRPr="0098635C">
        <w:rPr>
          <w:rFonts w:ascii="Times" w:hAnsi="Times" w:cs="Times"/>
          <w:i/>
          <w:iCs/>
          <w:color w:val="000000" w:themeColor="text1"/>
          <w:sz w:val="20"/>
          <w:szCs w:val="20"/>
        </w:rPr>
        <w:t xml:space="preserve">in vitro </w:t>
      </w:r>
      <w:r w:rsidRPr="0098635C">
        <w:rPr>
          <w:color w:val="000000" w:themeColor="text1"/>
          <w:sz w:val="20"/>
          <w:szCs w:val="20"/>
        </w:rPr>
        <w:t>dermal penetration studies on copper sulphate and insoluble copper compounds (NTP, 1993; Cage, 2003).</w:t>
      </w:r>
      <w:r w:rsidR="00962227" w:rsidRPr="0098635C">
        <w:rPr>
          <w:color w:val="000000" w:themeColor="text1"/>
          <w:sz w:val="20"/>
          <w:szCs w:val="20"/>
        </w:rPr>
        <w:t xml:space="preserve"> </w:t>
      </w:r>
    </w:p>
    <w:p w14:paraId="12C6DA89" w14:textId="14C89750" w:rsidR="008D1AE9" w:rsidRPr="0098635C" w:rsidRDefault="008D1AE9" w:rsidP="007A3E52">
      <w:pPr>
        <w:pStyle w:val="Caption"/>
        <w:ind w:left="0"/>
        <w:jc w:val="center"/>
        <w:rPr>
          <w:b w:val="0"/>
          <w:color w:val="000000" w:themeColor="text1"/>
          <w:sz w:val="20"/>
          <w:lang w:val="en-GB"/>
        </w:rPr>
      </w:pPr>
      <w:bookmarkStart w:id="1044" w:name="_Ref259441794"/>
      <w:bookmarkStart w:id="1045" w:name="_Toc260323660"/>
      <w:r w:rsidRPr="0098635C">
        <w:rPr>
          <w:b w:val="0"/>
          <w:color w:val="000000" w:themeColor="text1"/>
          <w:sz w:val="20"/>
          <w:lang w:val="en-GB"/>
        </w:rPr>
        <w:t xml:space="preserve">Table </w:t>
      </w:r>
      <w:r w:rsidR="00E230FB" w:rsidRPr="0098635C">
        <w:rPr>
          <w:b w:val="0"/>
          <w:color w:val="000000" w:themeColor="text1"/>
          <w:sz w:val="20"/>
          <w:lang w:val="en-GB"/>
        </w:rPr>
        <w:fldChar w:fldCharType="begin"/>
      </w:r>
      <w:r w:rsidRPr="0098635C">
        <w:rPr>
          <w:b w:val="0"/>
          <w:color w:val="000000" w:themeColor="text1"/>
          <w:sz w:val="20"/>
          <w:lang w:val="en-GB"/>
        </w:rPr>
        <w:instrText xml:space="preserve"> SEQ Table \* ARABIC </w:instrText>
      </w:r>
      <w:r w:rsidR="00E230FB" w:rsidRPr="0098635C">
        <w:rPr>
          <w:b w:val="0"/>
          <w:color w:val="000000" w:themeColor="text1"/>
          <w:sz w:val="20"/>
          <w:lang w:val="en-GB"/>
        </w:rPr>
        <w:fldChar w:fldCharType="separate"/>
      </w:r>
      <w:r w:rsidR="007A3E52" w:rsidRPr="0098635C">
        <w:rPr>
          <w:b w:val="0"/>
          <w:noProof/>
          <w:color w:val="000000" w:themeColor="text1"/>
          <w:sz w:val="20"/>
          <w:lang w:val="en-GB"/>
        </w:rPr>
        <w:t>11</w:t>
      </w:r>
      <w:r w:rsidR="00E230FB" w:rsidRPr="0098635C">
        <w:rPr>
          <w:b w:val="0"/>
          <w:color w:val="000000" w:themeColor="text1"/>
          <w:sz w:val="20"/>
          <w:lang w:val="en-GB"/>
        </w:rPr>
        <w:fldChar w:fldCharType="end"/>
      </w:r>
      <w:bookmarkEnd w:id="1044"/>
      <w:r w:rsidRPr="0098635C">
        <w:rPr>
          <w:b w:val="0"/>
          <w:color w:val="000000" w:themeColor="text1"/>
          <w:sz w:val="20"/>
          <w:lang w:val="en-GB"/>
        </w:rPr>
        <w:t>: Comparative bioavailability between copper salts</w:t>
      </w:r>
      <w:bookmarkEnd w:id="1045"/>
      <w:r w:rsidR="003E648B" w:rsidRPr="0098635C">
        <w:rPr>
          <w:b w:val="0"/>
          <w:color w:val="000000" w:themeColor="text1"/>
          <w:sz w:val="20"/>
          <w:lang w:val="en-GB"/>
        </w:rPr>
        <w:t xml:space="preserve"> (data from Cage, 2003)</w:t>
      </w:r>
    </w:p>
    <w:tbl>
      <w:tblPr>
        <w:tblStyle w:val="TableGrid"/>
        <w:tblW w:w="0" w:type="auto"/>
        <w:jc w:val="center"/>
        <w:tblLook w:val="04A0" w:firstRow="1" w:lastRow="0" w:firstColumn="1" w:lastColumn="0" w:noHBand="0" w:noVBand="1"/>
      </w:tblPr>
      <w:tblGrid>
        <w:gridCol w:w="2515"/>
        <w:gridCol w:w="1704"/>
        <w:gridCol w:w="992"/>
      </w:tblGrid>
      <w:tr w:rsidR="008D1AE9" w:rsidRPr="0098635C" w14:paraId="496256AE" w14:textId="77777777" w:rsidTr="007A3E52">
        <w:trPr>
          <w:trHeight w:val="256"/>
          <w:jc w:val="center"/>
        </w:trPr>
        <w:tc>
          <w:tcPr>
            <w:tcW w:w="2515" w:type="dxa"/>
          </w:tcPr>
          <w:p w14:paraId="71BA7962" w14:textId="77777777" w:rsidR="008D1AE9" w:rsidRPr="0098635C" w:rsidRDefault="008D1AE9" w:rsidP="00AF385A">
            <w:pPr>
              <w:pStyle w:val="NoteLevel211"/>
              <w:rPr>
                <w:b/>
                <w:color w:val="000000" w:themeColor="text1"/>
                <w:lang w:eastAsia="en-US"/>
              </w:rPr>
            </w:pPr>
            <w:bookmarkStart w:id="1046" w:name="_Toc471999844"/>
            <w:bookmarkStart w:id="1047" w:name="_Toc472251287"/>
            <w:r w:rsidRPr="0098635C">
              <w:rPr>
                <w:b/>
                <w:color w:val="000000" w:themeColor="text1"/>
                <w:lang w:eastAsia="en-US"/>
              </w:rPr>
              <w:t>Product name</w:t>
            </w:r>
            <w:bookmarkEnd w:id="1046"/>
            <w:bookmarkEnd w:id="1047"/>
          </w:p>
        </w:tc>
        <w:tc>
          <w:tcPr>
            <w:tcW w:w="1704" w:type="dxa"/>
          </w:tcPr>
          <w:p w14:paraId="19CF869C" w14:textId="77777777" w:rsidR="008D1AE9" w:rsidRPr="0098635C" w:rsidRDefault="008D1AE9" w:rsidP="00AF385A">
            <w:pPr>
              <w:pStyle w:val="NoteLevel211"/>
              <w:rPr>
                <w:b/>
                <w:color w:val="000000" w:themeColor="text1"/>
                <w:lang w:eastAsia="en-US"/>
              </w:rPr>
            </w:pPr>
            <w:bookmarkStart w:id="1048" w:name="_Toc471999845"/>
            <w:bookmarkStart w:id="1049" w:name="_Toc472251288"/>
            <w:r w:rsidRPr="0098635C">
              <w:rPr>
                <w:b/>
                <w:color w:val="000000" w:themeColor="text1"/>
                <w:lang w:eastAsia="en-US"/>
              </w:rPr>
              <w:t>% applied dose</w:t>
            </w:r>
            <w:bookmarkEnd w:id="1048"/>
            <w:bookmarkEnd w:id="1049"/>
          </w:p>
        </w:tc>
        <w:tc>
          <w:tcPr>
            <w:tcW w:w="992" w:type="dxa"/>
          </w:tcPr>
          <w:p w14:paraId="496BD8A0" w14:textId="77777777" w:rsidR="008D1AE9" w:rsidRPr="0098635C" w:rsidRDefault="008D1AE9" w:rsidP="00AF385A">
            <w:pPr>
              <w:pStyle w:val="NoteLevel211"/>
              <w:rPr>
                <w:b/>
                <w:color w:val="000000" w:themeColor="text1"/>
                <w:lang w:eastAsia="en-US"/>
              </w:rPr>
            </w:pPr>
            <w:bookmarkStart w:id="1050" w:name="_Toc471999846"/>
            <w:bookmarkStart w:id="1051" w:name="_Toc472251289"/>
            <w:r w:rsidRPr="0098635C">
              <w:rPr>
                <w:b/>
                <w:color w:val="000000" w:themeColor="text1"/>
                <w:lang w:eastAsia="en-US"/>
              </w:rPr>
              <w:t>Ratio</w:t>
            </w:r>
            <w:bookmarkEnd w:id="1050"/>
            <w:bookmarkEnd w:id="1051"/>
          </w:p>
        </w:tc>
      </w:tr>
      <w:tr w:rsidR="008D1AE9" w:rsidRPr="0098635C" w14:paraId="6C5D021D" w14:textId="77777777" w:rsidTr="007A3E52">
        <w:trPr>
          <w:trHeight w:val="239"/>
          <w:jc w:val="center"/>
        </w:trPr>
        <w:tc>
          <w:tcPr>
            <w:tcW w:w="2515" w:type="dxa"/>
          </w:tcPr>
          <w:p w14:paraId="5CA421E8" w14:textId="1BD6A1B6" w:rsidR="008D1AE9" w:rsidRPr="0098635C" w:rsidRDefault="008D1AE9" w:rsidP="008C5286">
            <w:pPr>
              <w:pStyle w:val="NoteLevel211"/>
              <w:rPr>
                <w:color w:val="000000" w:themeColor="text1"/>
                <w:lang w:eastAsia="en-US"/>
              </w:rPr>
            </w:pPr>
            <w:bookmarkStart w:id="1052" w:name="_Toc471999847"/>
            <w:bookmarkStart w:id="1053" w:name="_Toc472251290"/>
            <w:r w:rsidRPr="0098635C">
              <w:rPr>
                <w:color w:val="000000" w:themeColor="text1"/>
                <w:lang w:eastAsia="en-US"/>
              </w:rPr>
              <w:t xml:space="preserve">Cuprous oxide </w:t>
            </w:r>
            <w:bookmarkEnd w:id="1052"/>
            <w:bookmarkEnd w:id="1053"/>
            <w:r w:rsidR="008C5286" w:rsidRPr="0098635C">
              <w:rPr>
                <w:color w:val="000000" w:themeColor="text1"/>
                <w:lang w:eastAsia="en-US"/>
              </w:rPr>
              <w:t>composite</w:t>
            </w:r>
          </w:p>
        </w:tc>
        <w:tc>
          <w:tcPr>
            <w:tcW w:w="1704" w:type="dxa"/>
          </w:tcPr>
          <w:p w14:paraId="1FB5B32D" w14:textId="77777777" w:rsidR="008D1AE9" w:rsidRPr="0098635C" w:rsidRDefault="008D1AE9" w:rsidP="00AF385A">
            <w:pPr>
              <w:pStyle w:val="NoteLevel211"/>
              <w:rPr>
                <w:color w:val="000000" w:themeColor="text1"/>
                <w:lang w:eastAsia="en-US"/>
              </w:rPr>
            </w:pPr>
            <w:bookmarkStart w:id="1054" w:name="_Toc471999848"/>
            <w:bookmarkStart w:id="1055" w:name="_Toc472251291"/>
            <w:r w:rsidRPr="0098635C">
              <w:rPr>
                <w:color w:val="000000" w:themeColor="text1"/>
                <w:lang w:eastAsia="en-US"/>
              </w:rPr>
              <w:t>0.157</w:t>
            </w:r>
            <w:bookmarkEnd w:id="1054"/>
            <w:bookmarkEnd w:id="1055"/>
          </w:p>
        </w:tc>
        <w:tc>
          <w:tcPr>
            <w:tcW w:w="992" w:type="dxa"/>
          </w:tcPr>
          <w:p w14:paraId="18A77C6C" w14:textId="77777777" w:rsidR="008D1AE9" w:rsidRPr="0098635C" w:rsidRDefault="008D1AE9" w:rsidP="00AF385A">
            <w:pPr>
              <w:pStyle w:val="NoteLevel211"/>
              <w:rPr>
                <w:color w:val="000000" w:themeColor="text1"/>
                <w:lang w:eastAsia="en-US"/>
              </w:rPr>
            </w:pPr>
            <w:bookmarkStart w:id="1056" w:name="_Toc471999849"/>
            <w:bookmarkStart w:id="1057" w:name="_Toc472251292"/>
            <w:r w:rsidRPr="0098635C">
              <w:rPr>
                <w:color w:val="000000" w:themeColor="text1"/>
                <w:lang w:eastAsia="en-US"/>
              </w:rPr>
              <w:t>1.15</w:t>
            </w:r>
            <w:bookmarkEnd w:id="1056"/>
            <w:bookmarkEnd w:id="1057"/>
          </w:p>
        </w:tc>
      </w:tr>
      <w:tr w:rsidR="008D1AE9" w:rsidRPr="0098635C" w14:paraId="60FEB9BE" w14:textId="77777777" w:rsidTr="007A3E52">
        <w:trPr>
          <w:trHeight w:val="256"/>
          <w:jc w:val="center"/>
        </w:trPr>
        <w:tc>
          <w:tcPr>
            <w:tcW w:w="2515" w:type="dxa"/>
          </w:tcPr>
          <w:p w14:paraId="47270C4B" w14:textId="77777777" w:rsidR="008D1AE9" w:rsidRPr="0098635C" w:rsidRDefault="008D1AE9" w:rsidP="00AF385A">
            <w:pPr>
              <w:pStyle w:val="NoteLevel211"/>
              <w:rPr>
                <w:color w:val="000000" w:themeColor="text1"/>
                <w:lang w:eastAsia="en-US"/>
              </w:rPr>
            </w:pPr>
            <w:bookmarkStart w:id="1058" w:name="_Toc471999850"/>
            <w:bookmarkStart w:id="1059" w:name="_Toc472251293"/>
            <w:r w:rsidRPr="0098635C">
              <w:rPr>
                <w:color w:val="000000" w:themeColor="text1"/>
                <w:lang w:eastAsia="en-US"/>
              </w:rPr>
              <w:t>Cuprous thiocyanate</w:t>
            </w:r>
            <w:bookmarkEnd w:id="1058"/>
            <w:bookmarkEnd w:id="1059"/>
          </w:p>
        </w:tc>
        <w:tc>
          <w:tcPr>
            <w:tcW w:w="1704" w:type="dxa"/>
          </w:tcPr>
          <w:p w14:paraId="400F7987" w14:textId="77777777" w:rsidR="008D1AE9" w:rsidRPr="0098635C" w:rsidRDefault="008D1AE9" w:rsidP="00AF385A">
            <w:pPr>
              <w:pStyle w:val="NoteLevel211"/>
              <w:rPr>
                <w:color w:val="000000" w:themeColor="text1"/>
                <w:lang w:eastAsia="en-US"/>
              </w:rPr>
            </w:pPr>
            <w:bookmarkStart w:id="1060" w:name="_Toc471999851"/>
            <w:bookmarkStart w:id="1061" w:name="_Toc472251294"/>
            <w:r w:rsidRPr="0098635C">
              <w:rPr>
                <w:color w:val="000000" w:themeColor="text1"/>
                <w:lang w:eastAsia="en-US"/>
              </w:rPr>
              <w:t>0.126</w:t>
            </w:r>
            <w:bookmarkEnd w:id="1060"/>
            <w:bookmarkEnd w:id="1061"/>
          </w:p>
        </w:tc>
        <w:tc>
          <w:tcPr>
            <w:tcW w:w="992" w:type="dxa"/>
          </w:tcPr>
          <w:p w14:paraId="2CB6198B" w14:textId="77777777" w:rsidR="008D1AE9" w:rsidRPr="0098635C" w:rsidRDefault="008D1AE9" w:rsidP="00AF385A">
            <w:pPr>
              <w:pStyle w:val="NoteLevel211"/>
              <w:rPr>
                <w:color w:val="000000" w:themeColor="text1"/>
                <w:lang w:eastAsia="en-US"/>
              </w:rPr>
            </w:pPr>
            <w:bookmarkStart w:id="1062" w:name="_Toc471999852"/>
            <w:bookmarkStart w:id="1063" w:name="_Toc472251295"/>
            <w:r w:rsidRPr="0098635C">
              <w:rPr>
                <w:color w:val="000000" w:themeColor="text1"/>
                <w:lang w:eastAsia="en-US"/>
              </w:rPr>
              <w:t>0.92</w:t>
            </w:r>
            <w:bookmarkEnd w:id="1062"/>
            <w:bookmarkEnd w:id="1063"/>
          </w:p>
        </w:tc>
      </w:tr>
      <w:tr w:rsidR="008D1AE9" w:rsidRPr="0098635C" w14:paraId="263DB2AE" w14:textId="77777777" w:rsidTr="007A3E52">
        <w:trPr>
          <w:trHeight w:val="239"/>
          <w:jc w:val="center"/>
        </w:trPr>
        <w:tc>
          <w:tcPr>
            <w:tcW w:w="2515" w:type="dxa"/>
          </w:tcPr>
          <w:p w14:paraId="27289C78" w14:textId="3A866190" w:rsidR="008D1AE9" w:rsidRPr="0098635C" w:rsidRDefault="00F35D64" w:rsidP="00AF385A">
            <w:pPr>
              <w:pStyle w:val="NoteLevel211"/>
              <w:rPr>
                <w:color w:val="000000" w:themeColor="text1"/>
                <w:lang w:eastAsia="en-US"/>
              </w:rPr>
            </w:pPr>
            <w:r w:rsidRPr="0098635C">
              <w:rPr>
                <w:color w:val="000000" w:themeColor="text1"/>
                <w:lang w:eastAsia="en-US"/>
              </w:rPr>
              <w:t>Coated copper flakes</w:t>
            </w:r>
          </w:p>
        </w:tc>
        <w:tc>
          <w:tcPr>
            <w:tcW w:w="1704" w:type="dxa"/>
          </w:tcPr>
          <w:p w14:paraId="5C077764" w14:textId="77777777" w:rsidR="008D1AE9" w:rsidRPr="0098635C" w:rsidRDefault="008D1AE9" w:rsidP="00AF385A">
            <w:pPr>
              <w:pStyle w:val="NoteLevel211"/>
              <w:rPr>
                <w:color w:val="000000" w:themeColor="text1"/>
                <w:lang w:eastAsia="en-US"/>
              </w:rPr>
            </w:pPr>
            <w:bookmarkStart w:id="1064" w:name="_Toc471999854"/>
            <w:bookmarkStart w:id="1065" w:name="_Toc472251297"/>
            <w:r w:rsidRPr="0098635C">
              <w:rPr>
                <w:color w:val="000000" w:themeColor="text1"/>
                <w:lang w:eastAsia="en-US"/>
              </w:rPr>
              <w:t>0.038</w:t>
            </w:r>
            <w:bookmarkEnd w:id="1064"/>
            <w:bookmarkEnd w:id="1065"/>
          </w:p>
        </w:tc>
        <w:tc>
          <w:tcPr>
            <w:tcW w:w="992" w:type="dxa"/>
          </w:tcPr>
          <w:p w14:paraId="257C2254" w14:textId="77777777" w:rsidR="008D1AE9" w:rsidRPr="0098635C" w:rsidRDefault="008D1AE9" w:rsidP="00AF385A">
            <w:pPr>
              <w:pStyle w:val="NoteLevel211"/>
              <w:rPr>
                <w:color w:val="000000" w:themeColor="text1"/>
                <w:lang w:eastAsia="en-US"/>
              </w:rPr>
            </w:pPr>
            <w:bookmarkStart w:id="1066" w:name="_Toc471999855"/>
            <w:bookmarkStart w:id="1067" w:name="_Toc472251298"/>
            <w:r w:rsidRPr="0098635C">
              <w:rPr>
                <w:color w:val="000000" w:themeColor="text1"/>
                <w:lang w:eastAsia="en-US"/>
              </w:rPr>
              <w:t>0.28</w:t>
            </w:r>
            <w:bookmarkEnd w:id="1066"/>
            <w:bookmarkEnd w:id="1067"/>
          </w:p>
        </w:tc>
      </w:tr>
      <w:tr w:rsidR="008D1AE9" w:rsidRPr="0098635C" w14:paraId="07874764" w14:textId="77777777" w:rsidTr="007A3E52">
        <w:trPr>
          <w:trHeight w:val="256"/>
          <w:jc w:val="center"/>
        </w:trPr>
        <w:tc>
          <w:tcPr>
            <w:tcW w:w="2515" w:type="dxa"/>
          </w:tcPr>
          <w:p w14:paraId="27FC7F99" w14:textId="77777777" w:rsidR="008D1AE9" w:rsidRPr="0098635C" w:rsidRDefault="008D1AE9" w:rsidP="00AF385A">
            <w:pPr>
              <w:pStyle w:val="NoteLevel211"/>
              <w:rPr>
                <w:color w:val="000000" w:themeColor="text1"/>
                <w:lang w:eastAsia="en-US"/>
              </w:rPr>
            </w:pPr>
            <w:bookmarkStart w:id="1068" w:name="_Toc471999856"/>
            <w:bookmarkStart w:id="1069" w:name="_Toc472251299"/>
            <w:r w:rsidRPr="0098635C">
              <w:rPr>
                <w:color w:val="000000" w:themeColor="text1"/>
                <w:lang w:eastAsia="en-US"/>
              </w:rPr>
              <w:t>Cupric sulphate</w:t>
            </w:r>
            <w:bookmarkEnd w:id="1068"/>
            <w:bookmarkEnd w:id="1069"/>
          </w:p>
        </w:tc>
        <w:tc>
          <w:tcPr>
            <w:tcW w:w="1704" w:type="dxa"/>
          </w:tcPr>
          <w:p w14:paraId="1CB7E7E0" w14:textId="77777777" w:rsidR="008D1AE9" w:rsidRPr="0098635C" w:rsidRDefault="008D1AE9" w:rsidP="00AF385A">
            <w:pPr>
              <w:pStyle w:val="NoteLevel211"/>
              <w:rPr>
                <w:color w:val="000000" w:themeColor="text1"/>
                <w:lang w:eastAsia="en-US"/>
              </w:rPr>
            </w:pPr>
            <w:bookmarkStart w:id="1070" w:name="_Toc471999857"/>
            <w:bookmarkStart w:id="1071" w:name="_Toc472251300"/>
            <w:r w:rsidRPr="0098635C">
              <w:rPr>
                <w:color w:val="000000" w:themeColor="text1"/>
                <w:lang w:eastAsia="en-US"/>
              </w:rPr>
              <w:t>0.136</w:t>
            </w:r>
            <w:bookmarkEnd w:id="1070"/>
            <w:bookmarkEnd w:id="1071"/>
          </w:p>
        </w:tc>
        <w:tc>
          <w:tcPr>
            <w:tcW w:w="992" w:type="dxa"/>
          </w:tcPr>
          <w:p w14:paraId="5647474D" w14:textId="77777777" w:rsidR="008D1AE9" w:rsidRPr="0098635C" w:rsidRDefault="008D1AE9" w:rsidP="00AF385A">
            <w:pPr>
              <w:pStyle w:val="NoteLevel211"/>
              <w:rPr>
                <w:color w:val="000000" w:themeColor="text1"/>
                <w:lang w:eastAsia="en-US"/>
              </w:rPr>
            </w:pPr>
            <w:bookmarkStart w:id="1072" w:name="_Toc471999858"/>
            <w:bookmarkStart w:id="1073" w:name="_Toc472251301"/>
            <w:r w:rsidRPr="0098635C">
              <w:rPr>
                <w:color w:val="000000" w:themeColor="text1"/>
                <w:lang w:eastAsia="en-US"/>
              </w:rPr>
              <w:t>1.00</w:t>
            </w:r>
            <w:bookmarkEnd w:id="1072"/>
            <w:bookmarkEnd w:id="1073"/>
          </w:p>
        </w:tc>
      </w:tr>
    </w:tbl>
    <w:p w14:paraId="53EF8A53" w14:textId="3E32B356" w:rsidR="008D1AE9" w:rsidRPr="0098635C" w:rsidRDefault="008D1AE9" w:rsidP="008D1AE9">
      <w:pPr>
        <w:spacing w:before="240"/>
        <w:rPr>
          <w:rFonts w:eastAsia="Calibri"/>
          <w:color w:val="000000" w:themeColor="text1"/>
          <w:sz w:val="20"/>
          <w:szCs w:val="20"/>
        </w:rPr>
      </w:pPr>
      <w:r w:rsidRPr="0098635C">
        <w:rPr>
          <w:rFonts w:eastAsia="Calibri"/>
          <w:color w:val="000000" w:themeColor="text1"/>
          <w:sz w:val="20"/>
          <w:szCs w:val="20"/>
        </w:rPr>
        <w:t>Rodriguez et al, 2010a,</w:t>
      </w:r>
      <w:r w:rsidR="00980F1F" w:rsidRPr="0098635C">
        <w:rPr>
          <w:rFonts w:eastAsia="Calibri"/>
          <w:i/>
          <w:color w:val="000000" w:themeColor="text1"/>
          <w:sz w:val="20"/>
          <w:szCs w:val="20"/>
        </w:rPr>
        <w:t xml:space="preserve"> </w:t>
      </w:r>
      <w:r w:rsidRPr="0098635C">
        <w:rPr>
          <w:rFonts w:eastAsia="Calibri"/>
          <w:color w:val="000000" w:themeColor="text1"/>
          <w:sz w:val="20"/>
          <w:szCs w:val="20"/>
        </w:rPr>
        <w:t xml:space="preserve">assessed the release/dissolution of copper ions from copper materials and copper compounds in </w:t>
      </w:r>
      <w:r w:rsidR="004C52F8" w:rsidRPr="0098635C">
        <w:rPr>
          <w:rFonts w:eastAsia="Calibri"/>
          <w:color w:val="000000" w:themeColor="text1"/>
          <w:sz w:val="20"/>
          <w:szCs w:val="20"/>
        </w:rPr>
        <w:t xml:space="preserve">biological </w:t>
      </w:r>
      <w:r w:rsidRPr="0098635C">
        <w:rPr>
          <w:rFonts w:eastAsia="Calibri"/>
          <w:color w:val="000000" w:themeColor="text1"/>
          <w:sz w:val="20"/>
          <w:szCs w:val="20"/>
        </w:rPr>
        <w:t>fl</w:t>
      </w:r>
      <w:r w:rsidR="00C6098B" w:rsidRPr="0098635C">
        <w:rPr>
          <w:rFonts w:eastAsia="Calibri"/>
          <w:color w:val="000000" w:themeColor="text1"/>
          <w:sz w:val="20"/>
          <w:szCs w:val="20"/>
        </w:rPr>
        <w:t>u</w:t>
      </w:r>
      <w:r w:rsidR="004C52F8" w:rsidRPr="0098635C">
        <w:rPr>
          <w:rFonts w:eastAsia="Calibri"/>
          <w:color w:val="000000" w:themeColor="text1"/>
          <w:sz w:val="20"/>
          <w:szCs w:val="20"/>
        </w:rPr>
        <w:t>id,</w:t>
      </w:r>
      <w:r w:rsidR="004F14F9" w:rsidRPr="0098635C">
        <w:rPr>
          <w:rFonts w:eastAsia="Calibri"/>
          <w:color w:val="000000" w:themeColor="text1"/>
          <w:sz w:val="20"/>
          <w:szCs w:val="20"/>
        </w:rPr>
        <w:t xml:space="preserve"> </w:t>
      </w:r>
      <w:r w:rsidR="008C5286" w:rsidRPr="0098635C">
        <w:rPr>
          <w:rFonts w:eastAsia="Calibri"/>
          <w:color w:val="000000" w:themeColor="text1"/>
          <w:sz w:val="20"/>
          <w:szCs w:val="20"/>
        </w:rPr>
        <w:t>simulating</w:t>
      </w:r>
      <w:r w:rsidRPr="0098635C">
        <w:rPr>
          <w:rFonts w:eastAsia="Calibri"/>
          <w:color w:val="000000" w:themeColor="text1"/>
          <w:sz w:val="20"/>
          <w:szCs w:val="20"/>
        </w:rPr>
        <w:t xml:space="preserve"> oral </w:t>
      </w:r>
      <w:r w:rsidR="00F35D64" w:rsidRPr="0098635C">
        <w:rPr>
          <w:rFonts w:eastAsia="Calibri"/>
          <w:color w:val="000000" w:themeColor="text1"/>
          <w:sz w:val="20"/>
          <w:szCs w:val="20"/>
        </w:rPr>
        <w:t>exposure.</w:t>
      </w:r>
      <w:r w:rsidR="00F35D64" w:rsidRPr="0098635C">
        <w:rPr>
          <w:color w:val="000000" w:themeColor="text1"/>
          <w:sz w:val="20"/>
          <w:szCs w:val="20"/>
        </w:rPr>
        <w:t xml:space="preserve"> The</w:t>
      </w:r>
      <w:r w:rsidRPr="0098635C">
        <w:rPr>
          <w:color w:val="000000" w:themeColor="text1"/>
          <w:sz w:val="20"/>
          <w:szCs w:val="20"/>
        </w:rPr>
        <w:t xml:space="preserve"> results are summarized in</w:t>
      </w:r>
      <w:r w:rsidR="007B7573" w:rsidRPr="0098635C">
        <w:rPr>
          <w:color w:val="000000" w:themeColor="text1"/>
          <w:sz w:val="20"/>
          <w:szCs w:val="20"/>
        </w:rPr>
        <w:t xml:space="preserve"> </w:t>
      </w:r>
      <w:r w:rsidR="007B7573" w:rsidRPr="0098635C">
        <w:rPr>
          <w:color w:val="000000" w:themeColor="text1"/>
          <w:sz w:val="20"/>
          <w:szCs w:val="20"/>
        </w:rPr>
        <w:fldChar w:fldCharType="begin"/>
      </w:r>
      <w:r w:rsidR="007B7573" w:rsidRPr="0098635C">
        <w:rPr>
          <w:color w:val="000000" w:themeColor="text1"/>
          <w:sz w:val="20"/>
          <w:szCs w:val="20"/>
        </w:rPr>
        <w:instrText xml:space="preserve"> REF _Ref259441570 \h </w:instrText>
      </w:r>
      <w:r w:rsidR="007B7573" w:rsidRPr="0098635C">
        <w:rPr>
          <w:color w:val="000000" w:themeColor="text1"/>
          <w:sz w:val="20"/>
          <w:szCs w:val="20"/>
        </w:rPr>
      </w:r>
      <w:r w:rsidR="0098635C">
        <w:rPr>
          <w:color w:val="000000" w:themeColor="text1"/>
          <w:sz w:val="20"/>
          <w:szCs w:val="20"/>
        </w:rPr>
        <w:instrText xml:space="preserve"> \* MERGEFORMAT </w:instrText>
      </w:r>
      <w:r w:rsidR="007B7573" w:rsidRPr="0098635C">
        <w:rPr>
          <w:color w:val="000000" w:themeColor="text1"/>
          <w:sz w:val="20"/>
          <w:szCs w:val="20"/>
        </w:rPr>
        <w:fldChar w:fldCharType="separate"/>
      </w:r>
      <w:r w:rsidR="007B7573" w:rsidRPr="0098635C">
        <w:rPr>
          <w:b/>
          <w:color w:val="000000" w:themeColor="text1"/>
          <w:sz w:val="20"/>
          <w:szCs w:val="20"/>
        </w:rPr>
        <w:t xml:space="preserve">Table </w:t>
      </w:r>
      <w:r w:rsidR="007B7573" w:rsidRPr="0098635C">
        <w:rPr>
          <w:b/>
          <w:noProof/>
          <w:color w:val="000000" w:themeColor="text1"/>
          <w:sz w:val="20"/>
          <w:szCs w:val="20"/>
        </w:rPr>
        <w:t>12</w:t>
      </w:r>
      <w:r w:rsidR="007B7573" w:rsidRPr="0098635C">
        <w:rPr>
          <w:color w:val="000000" w:themeColor="text1"/>
          <w:sz w:val="20"/>
          <w:szCs w:val="20"/>
        </w:rPr>
        <w:fldChar w:fldCharType="end"/>
      </w:r>
      <w:r w:rsidRPr="0098635C">
        <w:rPr>
          <w:color w:val="000000" w:themeColor="text1"/>
          <w:sz w:val="20"/>
          <w:szCs w:val="20"/>
        </w:rPr>
        <w:t>, and demonstrate the highest solubility of CuSO</w:t>
      </w:r>
      <w:r w:rsidRPr="0098635C">
        <w:rPr>
          <w:color w:val="000000" w:themeColor="text1"/>
          <w:sz w:val="20"/>
          <w:szCs w:val="20"/>
          <w:vertAlign w:val="subscript"/>
        </w:rPr>
        <w:t>4</w:t>
      </w:r>
      <w:r w:rsidRPr="0098635C">
        <w:rPr>
          <w:color w:val="000000" w:themeColor="text1"/>
          <w:sz w:val="20"/>
          <w:szCs w:val="20"/>
        </w:rPr>
        <w:t xml:space="preserve"> and CuCl. Comparison of the results for CuO from the in vitro gastric biosolubility tests</w:t>
      </w:r>
      <w:r w:rsidR="007B7573" w:rsidRPr="0098635C">
        <w:rPr>
          <w:color w:val="000000" w:themeColor="text1"/>
          <w:sz w:val="20"/>
          <w:szCs w:val="20"/>
        </w:rPr>
        <w:t xml:space="preserve"> (</w:t>
      </w:r>
      <w:r w:rsidRPr="0098635C">
        <w:rPr>
          <w:color w:val="000000" w:themeColor="text1"/>
          <w:sz w:val="20"/>
          <w:szCs w:val="20"/>
        </w:rPr>
        <w:t>) with in vivo bioavailability studies (</w:t>
      </w:r>
      <w:r w:rsidR="00E230FB" w:rsidRPr="0098635C">
        <w:rPr>
          <w:color w:val="000000" w:themeColor="text1"/>
          <w:sz w:val="20"/>
          <w:szCs w:val="20"/>
        </w:rPr>
        <w:fldChar w:fldCharType="begin"/>
      </w:r>
      <w:r w:rsidRPr="0098635C">
        <w:rPr>
          <w:color w:val="000000" w:themeColor="text1"/>
          <w:sz w:val="20"/>
          <w:szCs w:val="20"/>
        </w:rPr>
        <w:instrText xml:space="preserve"> REF _Ref259441276 \h </w:instrText>
      </w:r>
      <w:r w:rsidR="004F14F9" w:rsidRPr="0098635C">
        <w:rPr>
          <w:color w:val="000000" w:themeColor="text1"/>
          <w:sz w:val="20"/>
          <w:szCs w:val="20"/>
        </w:rPr>
        <w:instrText xml:space="preserve"> \* MERGEFORMAT </w:instrText>
      </w:r>
      <w:r w:rsidR="00E230FB" w:rsidRPr="0098635C">
        <w:rPr>
          <w:color w:val="000000" w:themeColor="text1"/>
          <w:sz w:val="20"/>
          <w:szCs w:val="20"/>
        </w:rPr>
      </w:r>
      <w:r w:rsidR="00E230FB" w:rsidRPr="0098635C">
        <w:rPr>
          <w:color w:val="000000" w:themeColor="text1"/>
          <w:sz w:val="20"/>
          <w:szCs w:val="20"/>
        </w:rPr>
        <w:fldChar w:fldCharType="separate"/>
      </w:r>
      <w:r w:rsidR="00690E61" w:rsidRPr="0098635C">
        <w:rPr>
          <w:color w:val="000000" w:themeColor="text1"/>
          <w:sz w:val="20"/>
          <w:szCs w:val="20"/>
        </w:rPr>
        <w:t xml:space="preserve">Table </w:t>
      </w:r>
      <w:r w:rsidR="00690E61" w:rsidRPr="0098635C">
        <w:rPr>
          <w:noProof/>
          <w:color w:val="000000" w:themeColor="text1"/>
          <w:sz w:val="20"/>
          <w:szCs w:val="20"/>
        </w:rPr>
        <w:t>10</w:t>
      </w:r>
      <w:r w:rsidR="00E230FB" w:rsidRPr="0098635C">
        <w:rPr>
          <w:color w:val="000000" w:themeColor="text1"/>
          <w:sz w:val="20"/>
          <w:szCs w:val="20"/>
        </w:rPr>
        <w:fldChar w:fldCharType="end"/>
      </w:r>
      <w:r w:rsidRPr="0098635C">
        <w:rPr>
          <w:color w:val="000000" w:themeColor="text1"/>
          <w:sz w:val="20"/>
          <w:szCs w:val="20"/>
        </w:rPr>
        <w:t>) demonstrate the conservative nature of the gastric biosolubility tests.</w:t>
      </w:r>
    </w:p>
    <w:p w14:paraId="279A683F" w14:textId="77777777" w:rsidR="008D1AE9" w:rsidRPr="0098635C" w:rsidRDefault="008D1AE9" w:rsidP="007B7573">
      <w:pPr>
        <w:pStyle w:val="Caption"/>
        <w:ind w:left="0"/>
        <w:jc w:val="center"/>
        <w:rPr>
          <w:b w:val="0"/>
          <w:color w:val="000000" w:themeColor="text1"/>
          <w:sz w:val="20"/>
          <w:lang w:val="en-GB"/>
        </w:rPr>
      </w:pPr>
      <w:bookmarkStart w:id="1074" w:name="_Ref259441570"/>
      <w:bookmarkStart w:id="1075" w:name="_Ref259364925"/>
      <w:bookmarkStart w:id="1076" w:name="_Toc260323661"/>
      <w:r w:rsidRPr="0098635C">
        <w:rPr>
          <w:b w:val="0"/>
          <w:color w:val="000000" w:themeColor="text1"/>
          <w:sz w:val="20"/>
          <w:lang w:val="en-GB"/>
        </w:rPr>
        <w:t xml:space="preserve">Table </w:t>
      </w:r>
      <w:r w:rsidR="00E230FB" w:rsidRPr="0098635C">
        <w:rPr>
          <w:b w:val="0"/>
          <w:color w:val="000000" w:themeColor="text1"/>
          <w:sz w:val="20"/>
          <w:lang w:val="en-GB"/>
        </w:rPr>
        <w:fldChar w:fldCharType="begin"/>
      </w:r>
      <w:r w:rsidRPr="0098635C">
        <w:rPr>
          <w:b w:val="0"/>
          <w:color w:val="000000" w:themeColor="text1"/>
          <w:sz w:val="20"/>
          <w:lang w:val="en-GB"/>
        </w:rPr>
        <w:instrText xml:space="preserve"> SEQ Table \* ARABIC </w:instrText>
      </w:r>
      <w:r w:rsidR="00E230FB" w:rsidRPr="0098635C">
        <w:rPr>
          <w:b w:val="0"/>
          <w:color w:val="000000" w:themeColor="text1"/>
          <w:sz w:val="20"/>
          <w:lang w:val="en-GB"/>
        </w:rPr>
        <w:fldChar w:fldCharType="separate"/>
      </w:r>
      <w:r w:rsidR="00690E61" w:rsidRPr="0098635C">
        <w:rPr>
          <w:b w:val="0"/>
          <w:noProof/>
          <w:color w:val="000000" w:themeColor="text1"/>
          <w:sz w:val="20"/>
          <w:lang w:val="en-GB"/>
        </w:rPr>
        <w:t>12</w:t>
      </w:r>
      <w:r w:rsidR="00E230FB" w:rsidRPr="0098635C">
        <w:rPr>
          <w:b w:val="0"/>
          <w:color w:val="000000" w:themeColor="text1"/>
          <w:sz w:val="20"/>
          <w:lang w:val="en-GB"/>
        </w:rPr>
        <w:fldChar w:fldCharType="end"/>
      </w:r>
      <w:bookmarkEnd w:id="1074"/>
      <w:r w:rsidRPr="0098635C">
        <w:rPr>
          <w:b w:val="0"/>
          <w:color w:val="000000" w:themeColor="text1"/>
          <w:sz w:val="20"/>
          <w:lang w:val="en-GB"/>
        </w:rPr>
        <w:t>: Relative bio-accessibility of copper and copper compounds, assessed from the recovery of copper after bioelution tests in gastric fluids (pH 1.5, 2 hours) in accordance to ASTM D 5517-07</w:t>
      </w:r>
      <w:bookmarkEnd w:id="1075"/>
      <w:bookmarkEnd w:id="1076"/>
    </w:p>
    <w:tbl>
      <w:tblPr>
        <w:tblStyle w:val="TableGrid"/>
        <w:tblW w:w="9242" w:type="dxa"/>
        <w:tblLayout w:type="fixed"/>
        <w:tblLook w:val="04A0" w:firstRow="1" w:lastRow="0" w:firstColumn="1" w:lastColumn="0" w:noHBand="0" w:noVBand="1"/>
      </w:tblPr>
      <w:tblGrid>
        <w:gridCol w:w="3313"/>
        <w:gridCol w:w="3543"/>
        <w:gridCol w:w="2386"/>
      </w:tblGrid>
      <w:tr w:rsidR="008D1AE9" w:rsidRPr="0098635C" w14:paraId="2F512593" w14:textId="77777777" w:rsidTr="00AF385A">
        <w:trPr>
          <w:tblHeader/>
        </w:trPr>
        <w:tc>
          <w:tcPr>
            <w:tcW w:w="3313" w:type="dxa"/>
          </w:tcPr>
          <w:p w14:paraId="699E0769" w14:textId="77777777" w:rsidR="008D1AE9" w:rsidRPr="0098635C" w:rsidRDefault="008D1AE9" w:rsidP="00AF385A">
            <w:pPr>
              <w:pStyle w:val="NoteLevel211"/>
              <w:rPr>
                <w:rFonts w:eastAsia="Calibri"/>
                <w:b/>
                <w:color w:val="000000" w:themeColor="text1"/>
              </w:rPr>
            </w:pPr>
            <w:bookmarkStart w:id="1077" w:name="_Toc471999859"/>
            <w:bookmarkStart w:id="1078" w:name="_Toc472251302"/>
            <w:r w:rsidRPr="0098635C">
              <w:rPr>
                <w:rFonts w:eastAsia="Calibri"/>
                <w:b/>
                <w:color w:val="000000" w:themeColor="text1"/>
              </w:rPr>
              <w:t>Material Tested</w:t>
            </w:r>
            <w:bookmarkEnd w:id="1077"/>
            <w:bookmarkEnd w:id="1078"/>
          </w:p>
        </w:tc>
        <w:tc>
          <w:tcPr>
            <w:tcW w:w="3543" w:type="dxa"/>
          </w:tcPr>
          <w:p w14:paraId="6E8F2EC5" w14:textId="77777777" w:rsidR="008D1AE9" w:rsidRPr="0098635C" w:rsidRDefault="008D1AE9" w:rsidP="00AF385A">
            <w:pPr>
              <w:pStyle w:val="NoteLevel211"/>
              <w:rPr>
                <w:rFonts w:eastAsia="Calibri"/>
                <w:b/>
                <w:color w:val="000000" w:themeColor="text1"/>
              </w:rPr>
            </w:pPr>
            <w:bookmarkStart w:id="1079" w:name="_Toc471999860"/>
            <w:bookmarkStart w:id="1080" w:name="_Toc472251303"/>
            <w:r w:rsidRPr="0098635C">
              <w:rPr>
                <w:rFonts w:eastAsia="Calibri"/>
                <w:b/>
                <w:color w:val="000000" w:themeColor="text1"/>
              </w:rPr>
              <w:t>Composition</w:t>
            </w:r>
            <w:bookmarkEnd w:id="1079"/>
            <w:bookmarkEnd w:id="1080"/>
          </w:p>
        </w:tc>
        <w:tc>
          <w:tcPr>
            <w:tcW w:w="2386" w:type="dxa"/>
          </w:tcPr>
          <w:p w14:paraId="06021D6D" w14:textId="77777777" w:rsidR="008D1AE9" w:rsidRPr="0098635C" w:rsidRDefault="008D1AE9" w:rsidP="00AF385A">
            <w:pPr>
              <w:pStyle w:val="NoteLevel211"/>
              <w:rPr>
                <w:rFonts w:eastAsia="Calibri"/>
                <w:b/>
                <w:color w:val="000000" w:themeColor="text1"/>
              </w:rPr>
            </w:pPr>
            <w:bookmarkStart w:id="1081" w:name="_Toc471999861"/>
            <w:bookmarkStart w:id="1082" w:name="_Toc472251304"/>
            <w:r w:rsidRPr="0098635C">
              <w:rPr>
                <w:rFonts w:eastAsia="Calibri"/>
                <w:b/>
                <w:color w:val="000000" w:themeColor="text1"/>
              </w:rPr>
              <w:t>Bioelution recovery</w:t>
            </w:r>
            <w:bookmarkEnd w:id="1081"/>
            <w:bookmarkEnd w:id="1082"/>
            <w:r w:rsidRPr="0098635C">
              <w:rPr>
                <w:rFonts w:eastAsia="Calibri"/>
                <w:b/>
                <w:color w:val="000000" w:themeColor="text1"/>
              </w:rPr>
              <w:t xml:space="preserve"> </w:t>
            </w:r>
          </w:p>
          <w:p w14:paraId="1A2F9AC5" w14:textId="77777777" w:rsidR="008D1AE9" w:rsidRPr="0098635C" w:rsidRDefault="008D1AE9" w:rsidP="00AF385A">
            <w:pPr>
              <w:pStyle w:val="NoteLevel211"/>
              <w:rPr>
                <w:rFonts w:eastAsia="Calibri"/>
                <w:b/>
                <w:color w:val="000000" w:themeColor="text1"/>
              </w:rPr>
            </w:pPr>
            <w:bookmarkStart w:id="1083" w:name="_Toc471999862"/>
            <w:bookmarkStart w:id="1084" w:name="_Toc472251305"/>
            <w:r w:rsidRPr="0098635C">
              <w:rPr>
                <w:rFonts w:eastAsia="Calibri"/>
                <w:b/>
                <w:color w:val="000000" w:themeColor="text1"/>
              </w:rPr>
              <w:t>(as % of Cu content)</w:t>
            </w:r>
            <w:bookmarkEnd w:id="1083"/>
            <w:bookmarkEnd w:id="1084"/>
          </w:p>
        </w:tc>
      </w:tr>
      <w:tr w:rsidR="008D1AE9" w:rsidRPr="0098635C" w14:paraId="74EC75BD" w14:textId="77777777" w:rsidTr="00AF385A">
        <w:tc>
          <w:tcPr>
            <w:tcW w:w="3313" w:type="dxa"/>
          </w:tcPr>
          <w:p w14:paraId="571B401C" w14:textId="77777777" w:rsidR="008D1AE9" w:rsidRPr="0098635C" w:rsidRDefault="008D1AE9" w:rsidP="00AF385A">
            <w:pPr>
              <w:pStyle w:val="NoteLevel211"/>
              <w:rPr>
                <w:rFonts w:eastAsia="Calibri"/>
                <w:color w:val="000000" w:themeColor="text1"/>
              </w:rPr>
            </w:pPr>
            <w:bookmarkStart w:id="1085" w:name="_Toc471999863"/>
            <w:bookmarkStart w:id="1086" w:name="_Toc472251306"/>
            <w:r w:rsidRPr="0098635C">
              <w:rPr>
                <w:rFonts w:eastAsia="Calibri"/>
                <w:color w:val="000000" w:themeColor="text1"/>
              </w:rPr>
              <w:t>Cu massive</w:t>
            </w:r>
            <w:bookmarkEnd w:id="1085"/>
            <w:bookmarkEnd w:id="1086"/>
          </w:p>
        </w:tc>
        <w:tc>
          <w:tcPr>
            <w:tcW w:w="3543" w:type="dxa"/>
          </w:tcPr>
          <w:p w14:paraId="4B77457E" w14:textId="77777777" w:rsidR="008D1AE9" w:rsidRPr="0098635C" w:rsidRDefault="008D1AE9" w:rsidP="00AF385A">
            <w:pPr>
              <w:pStyle w:val="NoteLevel211"/>
              <w:rPr>
                <w:rFonts w:eastAsia="Calibri"/>
                <w:color w:val="000000" w:themeColor="text1"/>
              </w:rPr>
            </w:pPr>
            <w:bookmarkStart w:id="1087" w:name="_Toc471999864"/>
            <w:bookmarkStart w:id="1088" w:name="_Toc472251307"/>
            <w:r w:rsidRPr="0098635C">
              <w:rPr>
                <w:rFonts w:eastAsia="Calibri"/>
                <w:color w:val="000000" w:themeColor="text1"/>
              </w:rPr>
              <w:t>&gt;99.9% Cu</w:t>
            </w:r>
            <w:bookmarkEnd w:id="1087"/>
            <w:bookmarkEnd w:id="1088"/>
          </w:p>
        </w:tc>
        <w:tc>
          <w:tcPr>
            <w:tcW w:w="2386" w:type="dxa"/>
          </w:tcPr>
          <w:p w14:paraId="39B1CC04" w14:textId="77777777" w:rsidR="008D1AE9" w:rsidRPr="0098635C" w:rsidRDefault="008D1AE9" w:rsidP="00AF385A">
            <w:pPr>
              <w:pStyle w:val="NoteLevel211"/>
              <w:jc w:val="center"/>
              <w:rPr>
                <w:rFonts w:eastAsia="Calibri"/>
                <w:color w:val="000000" w:themeColor="text1"/>
              </w:rPr>
            </w:pPr>
            <w:bookmarkStart w:id="1089" w:name="_Toc471999865"/>
            <w:bookmarkStart w:id="1090" w:name="_Toc472251308"/>
            <w:r w:rsidRPr="0098635C">
              <w:rPr>
                <w:rFonts w:eastAsia="Calibri"/>
                <w:color w:val="000000" w:themeColor="text1"/>
              </w:rPr>
              <w:t>0.096 – 0.105</w:t>
            </w:r>
            <w:bookmarkEnd w:id="1089"/>
            <w:bookmarkEnd w:id="1090"/>
          </w:p>
        </w:tc>
      </w:tr>
      <w:tr w:rsidR="008D1AE9" w:rsidRPr="0098635C" w14:paraId="740400FD" w14:textId="77777777" w:rsidTr="00AF385A">
        <w:tc>
          <w:tcPr>
            <w:tcW w:w="3313" w:type="dxa"/>
          </w:tcPr>
          <w:p w14:paraId="2E6DCE05" w14:textId="77777777" w:rsidR="008D1AE9" w:rsidRPr="0098635C" w:rsidRDefault="008D1AE9" w:rsidP="00AF385A">
            <w:pPr>
              <w:pStyle w:val="NoteLevel211"/>
              <w:rPr>
                <w:rFonts w:eastAsia="Calibri"/>
                <w:color w:val="000000" w:themeColor="text1"/>
              </w:rPr>
            </w:pPr>
            <w:bookmarkStart w:id="1091" w:name="_Toc471999866"/>
            <w:bookmarkStart w:id="1092" w:name="_Toc472251309"/>
            <w:r w:rsidRPr="0098635C">
              <w:rPr>
                <w:rFonts w:eastAsia="Calibri"/>
                <w:color w:val="000000" w:themeColor="text1"/>
              </w:rPr>
              <w:t>Cu powder</w:t>
            </w:r>
            <w:bookmarkEnd w:id="1091"/>
            <w:bookmarkEnd w:id="1092"/>
          </w:p>
        </w:tc>
        <w:tc>
          <w:tcPr>
            <w:tcW w:w="3543" w:type="dxa"/>
          </w:tcPr>
          <w:p w14:paraId="4585611F" w14:textId="77777777" w:rsidR="008D1AE9" w:rsidRPr="0098635C" w:rsidRDefault="008D1AE9" w:rsidP="00AF385A">
            <w:pPr>
              <w:pStyle w:val="NoteLevel211"/>
              <w:rPr>
                <w:rFonts w:eastAsia="Calibri"/>
                <w:color w:val="000000" w:themeColor="text1"/>
              </w:rPr>
            </w:pPr>
            <w:bookmarkStart w:id="1093" w:name="_Toc471999867"/>
            <w:bookmarkStart w:id="1094" w:name="_Toc472251310"/>
            <w:r w:rsidRPr="0098635C">
              <w:rPr>
                <w:rFonts w:eastAsia="Calibri"/>
                <w:color w:val="000000" w:themeColor="text1"/>
              </w:rPr>
              <w:t>99.7% Cu, 0.3% Cu</w:t>
            </w:r>
            <w:r w:rsidRPr="0098635C">
              <w:rPr>
                <w:rFonts w:eastAsia="Calibri"/>
                <w:color w:val="000000" w:themeColor="text1"/>
                <w:vertAlign w:val="subscript"/>
              </w:rPr>
              <w:t>2</w:t>
            </w:r>
            <w:r w:rsidRPr="0098635C">
              <w:rPr>
                <w:rFonts w:eastAsia="Calibri"/>
                <w:color w:val="000000" w:themeColor="text1"/>
              </w:rPr>
              <w:t>O</w:t>
            </w:r>
            <w:bookmarkEnd w:id="1093"/>
            <w:bookmarkEnd w:id="1094"/>
          </w:p>
        </w:tc>
        <w:tc>
          <w:tcPr>
            <w:tcW w:w="2386" w:type="dxa"/>
          </w:tcPr>
          <w:p w14:paraId="28EBAACB" w14:textId="77777777" w:rsidR="008D1AE9" w:rsidRPr="0098635C" w:rsidRDefault="008D1AE9" w:rsidP="00AF385A">
            <w:pPr>
              <w:pStyle w:val="NoteLevel211"/>
              <w:jc w:val="center"/>
              <w:rPr>
                <w:rFonts w:eastAsia="Calibri"/>
                <w:color w:val="000000" w:themeColor="text1"/>
              </w:rPr>
            </w:pPr>
            <w:bookmarkStart w:id="1095" w:name="_Toc471999868"/>
            <w:bookmarkStart w:id="1096" w:name="_Toc472251311"/>
            <w:r w:rsidRPr="0098635C">
              <w:rPr>
                <w:rFonts w:eastAsia="Calibri"/>
                <w:color w:val="000000" w:themeColor="text1"/>
              </w:rPr>
              <w:t>1.1 – (7.3*)</w:t>
            </w:r>
            <w:bookmarkEnd w:id="1095"/>
            <w:bookmarkEnd w:id="1096"/>
          </w:p>
        </w:tc>
      </w:tr>
      <w:tr w:rsidR="008D1AE9" w:rsidRPr="0098635C" w14:paraId="59AEA578" w14:textId="77777777" w:rsidTr="00AF385A">
        <w:tc>
          <w:tcPr>
            <w:tcW w:w="3313" w:type="dxa"/>
          </w:tcPr>
          <w:p w14:paraId="58A6E28B" w14:textId="77777777" w:rsidR="008D1AE9" w:rsidRPr="0098635C" w:rsidRDefault="008D1AE9" w:rsidP="00AF385A">
            <w:pPr>
              <w:pStyle w:val="NoteLevel211"/>
              <w:rPr>
                <w:rFonts w:eastAsia="Calibri"/>
                <w:color w:val="000000" w:themeColor="text1"/>
              </w:rPr>
            </w:pPr>
            <w:bookmarkStart w:id="1097" w:name="_Toc471999869"/>
            <w:bookmarkStart w:id="1098" w:name="_Toc472251312"/>
            <w:r w:rsidRPr="0098635C">
              <w:rPr>
                <w:rFonts w:eastAsia="Calibri"/>
                <w:color w:val="000000" w:themeColor="text1"/>
              </w:rPr>
              <w:lastRenderedPageBreak/>
              <w:t>Cu flake – biocidal product</w:t>
            </w:r>
            <w:bookmarkEnd w:id="1097"/>
            <w:bookmarkEnd w:id="1098"/>
          </w:p>
        </w:tc>
        <w:tc>
          <w:tcPr>
            <w:tcW w:w="3543" w:type="dxa"/>
          </w:tcPr>
          <w:p w14:paraId="154DD96C" w14:textId="77777777" w:rsidR="008D1AE9" w:rsidRPr="0098635C" w:rsidRDefault="008D1AE9" w:rsidP="00AF385A">
            <w:pPr>
              <w:pStyle w:val="NoteLevel211"/>
              <w:rPr>
                <w:rFonts w:eastAsia="Calibri"/>
                <w:color w:val="000000" w:themeColor="text1"/>
              </w:rPr>
            </w:pPr>
            <w:bookmarkStart w:id="1099" w:name="_Toc471999870"/>
            <w:bookmarkStart w:id="1100" w:name="_Toc472251313"/>
            <w:r w:rsidRPr="0098635C">
              <w:rPr>
                <w:rFonts w:eastAsia="Calibri"/>
                <w:color w:val="000000" w:themeColor="text1"/>
              </w:rPr>
              <w:t>93.7% Cu, 2.6% Cu</w:t>
            </w:r>
            <w:r w:rsidRPr="0098635C">
              <w:rPr>
                <w:rFonts w:eastAsia="Calibri"/>
                <w:color w:val="000000" w:themeColor="text1"/>
                <w:vertAlign w:val="subscript"/>
              </w:rPr>
              <w:t>2</w:t>
            </w:r>
            <w:r w:rsidRPr="0098635C">
              <w:rPr>
                <w:rFonts w:eastAsia="Calibri"/>
                <w:color w:val="000000" w:themeColor="text1"/>
              </w:rPr>
              <w:t>O, 3.9% LOI**</w:t>
            </w:r>
            <w:bookmarkEnd w:id="1099"/>
            <w:bookmarkEnd w:id="1100"/>
          </w:p>
        </w:tc>
        <w:tc>
          <w:tcPr>
            <w:tcW w:w="2386" w:type="dxa"/>
          </w:tcPr>
          <w:p w14:paraId="669ABF6D" w14:textId="77777777" w:rsidR="008D1AE9" w:rsidRPr="0098635C" w:rsidRDefault="008D1AE9" w:rsidP="00AF385A">
            <w:pPr>
              <w:pStyle w:val="NoteLevel211"/>
              <w:jc w:val="center"/>
              <w:rPr>
                <w:rFonts w:eastAsia="Calibri"/>
                <w:color w:val="000000" w:themeColor="text1"/>
              </w:rPr>
            </w:pPr>
            <w:bookmarkStart w:id="1101" w:name="_Toc471999871"/>
            <w:bookmarkStart w:id="1102" w:name="_Toc472251314"/>
            <w:r w:rsidRPr="0098635C">
              <w:rPr>
                <w:rFonts w:eastAsia="Calibri"/>
                <w:color w:val="000000" w:themeColor="text1"/>
              </w:rPr>
              <w:t>42 – 71</w:t>
            </w:r>
            <w:bookmarkEnd w:id="1101"/>
            <w:bookmarkEnd w:id="1102"/>
          </w:p>
        </w:tc>
      </w:tr>
      <w:tr w:rsidR="008D1AE9" w:rsidRPr="0098635C" w14:paraId="2E5A9C03" w14:textId="77777777" w:rsidTr="00AF385A">
        <w:tc>
          <w:tcPr>
            <w:tcW w:w="3313" w:type="dxa"/>
          </w:tcPr>
          <w:p w14:paraId="1C0EC383" w14:textId="77777777" w:rsidR="008D1AE9" w:rsidRPr="0098635C" w:rsidRDefault="008D1AE9" w:rsidP="00AF385A">
            <w:pPr>
              <w:pStyle w:val="NoteLevel211"/>
              <w:rPr>
                <w:rFonts w:eastAsia="Calibri"/>
                <w:color w:val="000000" w:themeColor="text1"/>
              </w:rPr>
            </w:pPr>
            <w:bookmarkStart w:id="1103" w:name="_Toc471999872"/>
            <w:bookmarkStart w:id="1104" w:name="_Toc472251315"/>
            <w:r w:rsidRPr="0098635C">
              <w:rPr>
                <w:rFonts w:eastAsia="Calibri"/>
                <w:color w:val="000000" w:themeColor="text1"/>
              </w:rPr>
              <w:t>Cu flake – non-biocidal product</w:t>
            </w:r>
            <w:bookmarkEnd w:id="1103"/>
            <w:bookmarkEnd w:id="1104"/>
          </w:p>
        </w:tc>
        <w:tc>
          <w:tcPr>
            <w:tcW w:w="3543" w:type="dxa"/>
          </w:tcPr>
          <w:p w14:paraId="7D6F4709" w14:textId="77777777" w:rsidR="008D1AE9" w:rsidRPr="0098635C" w:rsidRDefault="008D1AE9" w:rsidP="00AF385A">
            <w:pPr>
              <w:pStyle w:val="NoteLevel211"/>
              <w:rPr>
                <w:rFonts w:eastAsia="Calibri"/>
                <w:color w:val="000000" w:themeColor="text1"/>
              </w:rPr>
            </w:pPr>
            <w:bookmarkStart w:id="1105" w:name="_Toc471999873"/>
            <w:bookmarkStart w:id="1106" w:name="_Toc472251316"/>
            <w:r w:rsidRPr="0098635C">
              <w:rPr>
                <w:rFonts w:eastAsia="Calibri"/>
                <w:color w:val="000000" w:themeColor="text1"/>
              </w:rPr>
              <w:t>96.3% Cu, 1% Cu</w:t>
            </w:r>
            <w:r w:rsidRPr="0098635C">
              <w:rPr>
                <w:rFonts w:eastAsia="Calibri"/>
                <w:color w:val="000000" w:themeColor="text1"/>
                <w:vertAlign w:val="subscript"/>
              </w:rPr>
              <w:t>2</w:t>
            </w:r>
            <w:r w:rsidRPr="0098635C">
              <w:rPr>
                <w:rFonts w:eastAsia="Calibri"/>
                <w:color w:val="000000" w:themeColor="text1"/>
              </w:rPr>
              <w:t>O, 2.8% LOI**</w:t>
            </w:r>
            <w:bookmarkEnd w:id="1105"/>
            <w:bookmarkEnd w:id="1106"/>
          </w:p>
        </w:tc>
        <w:tc>
          <w:tcPr>
            <w:tcW w:w="2386" w:type="dxa"/>
          </w:tcPr>
          <w:p w14:paraId="31052B4B" w14:textId="77777777" w:rsidR="008D1AE9" w:rsidRPr="0098635C" w:rsidRDefault="008D1AE9" w:rsidP="00AF385A">
            <w:pPr>
              <w:pStyle w:val="NoteLevel211"/>
              <w:jc w:val="center"/>
              <w:rPr>
                <w:rFonts w:eastAsia="Calibri"/>
                <w:color w:val="000000" w:themeColor="text1"/>
              </w:rPr>
            </w:pPr>
            <w:bookmarkStart w:id="1107" w:name="_Toc471999874"/>
            <w:bookmarkStart w:id="1108" w:name="_Toc472251317"/>
            <w:r w:rsidRPr="0098635C">
              <w:rPr>
                <w:rFonts w:eastAsia="Calibri"/>
                <w:color w:val="000000" w:themeColor="text1"/>
              </w:rPr>
              <w:t>44 – 60</w:t>
            </w:r>
            <w:bookmarkEnd w:id="1107"/>
            <w:bookmarkEnd w:id="1108"/>
          </w:p>
        </w:tc>
      </w:tr>
      <w:tr w:rsidR="008D1AE9" w:rsidRPr="0098635C" w14:paraId="52C10C3F" w14:textId="77777777" w:rsidTr="00AF385A">
        <w:tc>
          <w:tcPr>
            <w:tcW w:w="3313" w:type="dxa"/>
          </w:tcPr>
          <w:p w14:paraId="651FE8AB" w14:textId="77777777" w:rsidR="008D1AE9" w:rsidRPr="0098635C" w:rsidRDefault="008D1AE9" w:rsidP="00AF385A">
            <w:pPr>
              <w:pStyle w:val="NoteLevel211"/>
              <w:rPr>
                <w:rFonts w:eastAsia="Calibri"/>
                <w:color w:val="000000" w:themeColor="text1"/>
              </w:rPr>
            </w:pPr>
            <w:bookmarkStart w:id="1109" w:name="_Toc471999875"/>
            <w:bookmarkStart w:id="1110" w:name="_Toc472251318"/>
            <w:r w:rsidRPr="0098635C">
              <w:rPr>
                <w:rFonts w:eastAsia="Calibri"/>
                <w:color w:val="000000" w:themeColor="text1"/>
              </w:rPr>
              <w:t>CuO</w:t>
            </w:r>
            <w:bookmarkEnd w:id="1109"/>
            <w:bookmarkEnd w:id="1110"/>
          </w:p>
        </w:tc>
        <w:tc>
          <w:tcPr>
            <w:tcW w:w="3543" w:type="dxa"/>
          </w:tcPr>
          <w:p w14:paraId="142DD033" w14:textId="77777777" w:rsidR="008D1AE9" w:rsidRPr="0098635C" w:rsidRDefault="008D1AE9" w:rsidP="00AF385A">
            <w:pPr>
              <w:pStyle w:val="NoteLevel211"/>
              <w:rPr>
                <w:rFonts w:eastAsia="Calibri"/>
                <w:color w:val="000000" w:themeColor="text1"/>
              </w:rPr>
            </w:pPr>
            <w:bookmarkStart w:id="1111" w:name="_Toc471999876"/>
            <w:bookmarkStart w:id="1112" w:name="_Toc472251319"/>
            <w:r w:rsidRPr="0098635C">
              <w:rPr>
                <w:rFonts w:eastAsia="Calibri"/>
                <w:color w:val="000000" w:themeColor="text1"/>
              </w:rPr>
              <w:t>79.89% Cu</w:t>
            </w:r>
            <w:bookmarkEnd w:id="1111"/>
            <w:bookmarkEnd w:id="1112"/>
          </w:p>
        </w:tc>
        <w:tc>
          <w:tcPr>
            <w:tcW w:w="2386" w:type="dxa"/>
          </w:tcPr>
          <w:p w14:paraId="3C98F378" w14:textId="77777777" w:rsidR="008D1AE9" w:rsidRPr="0098635C" w:rsidRDefault="008D1AE9" w:rsidP="00AF385A">
            <w:pPr>
              <w:pStyle w:val="NoteLevel211"/>
              <w:jc w:val="center"/>
              <w:rPr>
                <w:rFonts w:eastAsia="Calibri"/>
                <w:color w:val="000000" w:themeColor="text1"/>
              </w:rPr>
            </w:pPr>
            <w:bookmarkStart w:id="1113" w:name="_Toc471999877"/>
            <w:bookmarkStart w:id="1114" w:name="_Toc472251320"/>
            <w:r w:rsidRPr="0098635C">
              <w:rPr>
                <w:rFonts w:eastAsia="Calibri"/>
                <w:color w:val="000000" w:themeColor="text1"/>
              </w:rPr>
              <w:t>68 – 84</w:t>
            </w:r>
            <w:bookmarkEnd w:id="1113"/>
            <w:bookmarkEnd w:id="1114"/>
          </w:p>
        </w:tc>
      </w:tr>
      <w:tr w:rsidR="008D1AE9" w:rsidRPr="0098635C" w14:paraId="7817769D" w14:textId="77777777" w:rsidTr="00AF385A">
        <w:tc>
          <w:tcPr>
            <w:tcW w:w="3313" w:type="dxa"/>
          </w:tcPr>
          <w:p w14:paraId="52FFBBEE" w14:textId="77777777" w:rsidR="008D1AE9" w:rsidRPr="0098635C" w:rsidRDefault="008D1AE9" w:rsidP="00AF385A">
            <w:pPr>
              <w:pStyle w:val="NoteLevel211"/>
              <w:rPr>
                <w:rFonts w:eastAsia="Calibri"/>
                <w:color w:val="000000" w:themeColor="text1"/>
              </w:rPr>
            </w:pPr>
            <w:bookmarkStart w:id="1115" w:name="_Toc471999878"/>
            <w:bookmarkStart w:id="1116" w:name="_Toc472251321"/>
            <w:r w:rsidRPr="0098635C">
              <w:rPr>
                <w:rFonts w:eastAsia="Calibri"/>
                <w:color w:val="000000" w:themeColor="text1"/>
              </w:rPr>
              <w:t>CuCl</w:t>
            </w:r>
            <w:bookmarkEnd w:id="1115"/>
            <w:bookmarkEnd w:id="1116"/>
          </w:p>
        </w:tc>
        <w:tc>
          <w:tcPr>
            <w:tcW w:w="3543" w:type="dxa"/>
          </w:tcPr>
          <w:p w14:paraId="37D97AA5" w14:textId="77777777" w:rsidR="008D1AE9" w:rsidRPr="0098635C" w:rsidRDefault="008D1AE9" w:rsidP="00AF385A">
            <w:pPr>
              <w:pStyle w:val="NoteLevel211"/>
              <w:rPr>
                <w:rFonts w:eastAsia="Calibri"/>
                <w:color w:val="000000" w:themeColor="text1"/>
              </w:rPr>
            </w:pPr>
            <w:bookmarkStart w:id="1117" w:name="_Toc471999879"/>
            <w:bookmarkStart w:id="1118" w:name="_Toc472251322"/>
            <w:r w:rsidRPr="0098635C">
              <w:rPr>
                <w:rFonts w:eastAsia="Calibri"/>
                <w:color w:val="000000" w:themeColor="text1"/>
              </w:rPr>
              <w:t>63.78% Cu</w:t>
            </w:r>
            <w:bookmarkEnd w:id="1117"/>
            <w:bookmarkEnd w:id="1118"/>
          </w:p>
        </w:tc>
        <w:tc>
          <w:tcPr>
            <w:tcW w:w="2386" w:type="dxa"/>
          </w:tcPr>
          <w:p w14:paraId="2D42D5F9" w14:textId="3C111FA5" w:rsidR="008D1AE9" w:rsidRPr="0098635C" w:rsidRDefault="00BC7404" w:rsidP="00AF385A">
            <w:pPr>
              <w:pStyle w:val="NoteLevel211"/>
              <w:jc w:val="center"/>
              <w:rPr>
                <w:rFonts w:eastAsia="Calibri"/>
                <w:color w:val="000000" w:themeColor="text1"/>
              </w:rPr>
            </w:pPr>
            <w:bookmarkStart w:id="1119" w:name="_Toc471999880"/>
            <w:bookmarkStart w:id="1120" w:name="_Toc472251323"/>
            <w:r w:rsidRPr="0098635C">
              <w:rPr>
                <w:rFonts w:eastAsia="Calibri"/>
                <w:color w:val="000000" w:themeColor="text1"/>
              </w:rPr>
              <w:t>7</w:t>
            </w:r>
            <w:r w:rsidR="008D1AE9" w:rsidRPr="0098635C">
              <w:rPr>
                <w:rFonts w:eastAsia="Calibri"/>
                <w:color w:val="000000" w:themeColor="text1"/>
              </w:rPr>
              <w:t>7 – 94</w:t>
            </w:r>
            <w:bookmarkEnd w:id="1119"/>
            <w:bookmarkEnd w:id="1120"/>
          </w:p>
        </w:tc>
      </w:tr>
      <w:tr w:rsidR="008D1AE9" w:rsidRPr="0098635C" w14:paraId="0B3D3DB0" w14:textId="77777777" w:rsidTr="00AF385A">
        <w:tc>
          <w:tcPr>
            <w:tcW w:w="3313" w:type="dxa"/>
          </w:tcPr>
          <w:p w14:paraId="372E57FA" w14:textId="77777777" w:rsidR="008D1AE9" w:rsidRPr="0098635C" w:rsidRDefault="008D1AE9" w:rsidP="00AF385A">
            <w:pPr>
              <w:pStyle w:val="NoteLevel211"/>
              <w:rPr>
                <w:rFonts w:eastAsia="Calibri"/>
                <w:color w:val="000000" w:themeColor="text1"/>
              </w:rPr>
            </w:pPr>
            <w:bookmarkStart w:id="1121" w:name="_Toc471999881"/>
            <w:bookmarkStart w:id="1122" w:name="_Toc472251324"/>
            <w:r w:rsidRPr="0098635C">
              <w:rPr>
                <w:rFonts w:eastAsia="Calibri"/>
                <w:color w:val="000000" w:themeColor="text1"/>
              </w:rPr>
              <w:t>CuSO</w:t>
            </w:r>
            <w:r w:rsidRPr="0098635C">
              <w:rPr>
                <w:rFonts w:eastAsia="Calibri"/>
                <w:color w:val="000000" w:themeColor="text1"/>
                <w:vertAlign w:val="subscript"/>
              </w:rPr>
              <w:t>4</w:t>
            </w:r>
            <w:bookmarkEnd w:id="1121"/>
            <w:bookmarkEnd w:id="1122"/>
          </w:p>
        </w:tc>
        <w:tc>
          <w:tcPr>
            <w:tcW w:w="3543" w:type="dxa"/>
          </w:tcPr>
          <w:p w14:paraId="07F1DDE0" w14:textId="77777777" w:rsidR="008D1AE9" w:rsidRPr="0098635C" w:rsidRDefault="008D1AE9" w:rsidP="00AF385A">
            <w:pPr>
              <w:pStyle w:val="NoteLevel211"/>
              <w:rPr>
                <w:rFonts w:eastAsia="Calibri"/>
                <w:color w:val="000000" w:themeColor="text1"/>
              </w:rPr>
            </w:pPr>
            <w:bookmarkStart w:id="1123" w:name="_Toc471999882"/>
            <w:bookmarkStart w:id="1124" w:name="_Toc472251325"/>
            <w:r w:rsidRPr="0098635C">
              <w:rPr>
                <w:rFonts w:eastAsia="Calibri"/>
                <w:color w:val="000000" w:themeColor="text1"/>
              </w:rPr>
              <w:t>25.45% Cu</w:t>
            </w:r>
            <w:bookmarkEnd w:id="1123"/>
            <w:bookmarkEnd w:id="1124"/>
          </w:p>
        </w:tc>
        <w:tc>
          <w:tcPr>
            <w:tcW w:w="2386" w:type="dxa"/>
          </w:tcPr>
          <w:p w14:paraId="64D99BDC" w14:textId="77777777" w:rsidR="008D1AE9" w:rsidRPr="0098635C" w:rsidRDefault="008D1AE9" w:rsidP="00AF385A">
            <w:pPr>
              <w:pStyle w:val="NoteLevel211"/>
              <w:jc w:val="center"/>
              <w:rPr>
                <w:rFonts w:eastAsia="Calibri"/>
                <w:color w:val="000000" w:themeColor="text1"/>
              </w:rPr>
            </w:pPr>
            <w:bookmarkStart w:id="1125" w:name="_Toc471999883"/>
            <w:bookmarkStart w:id="1126" w:name="_Toc472251326"/>
            <w:r w:rsidRPr="0098635C">
              <w:rPr>
                <w:rFonts w:eastAsia="Calibri"/>
                <w:color w:val="000000" w:themeColor="text1"/>
              </w:rPr>
              <w:t>100</w:t>
            </w:r>
            <w:bookmarkEnd w:id="1125"/>
            <w:bookmarkEnd w:id="1126"/>
          </w:p>
        </w:tc>
      </w:tr>
    </w:tbl>
    <w:p w14:paraId="46E4E189" w14:textId="77777777" w:rsidR="00891D78" w:rsidRPr="0098635C" w:rsidRDefault="008D1AE9" w:rsidP="00891D78">
      <w:pPr>
        <w:spacing w:after="0"/>
        <w:rPr>
          <w:rFonts w:eastAsia="Calibri"/>
          <w:color w:val="000000" w:themeColor="text1"/>
          <w:sz w:val="20"/>
          <w:szCs w:val="20"/>
        </w:rPr>
      </w:pPr>
      <w:r w:rsidRPr="0098635C">
        <w:rPr>
          <w:rFonts w:eastAsia="Calibri"/>
          <w:color w:val="000000" w:themeColor="text1"/>
          <w:sz w:val="20"/>
          <w:szCs w:val="20"/>
        </w:rPr>
        <w:t xml:space="preserve">*The results at the higher loading rate show unacceptably high variability (CV of 66%), possibly related to abrasion of the particles during the test.  The results of this test are therefore not considered as reliable.  </w:t>
      </w:r>
    </w:p>
    <w:p w14:paraId="61A9FCC7" w14:textId="78711E70" w:rsidR="00D92F22" w:rsidRPr="0098635C" w:rsidRDefault="008D1AE9" w:rsidP="00891D78">
      <w:pPr>
        <w:pStyle w:val="NoteLevel211"/>
        <w:rPr>
          <w:rFonts w:eastAsia="Calibri"/>
          <w:color w:val="000000" w:themeColor="text1"/>
        </w:rPr>
      </w:pPr>
      <w:bookmarkStart w:id="1127" w:name="_Toc472251327"/>
      <w:r w:rsidRPr="0098635C">
        <w:rPr>
          <w:rFonts w:eastAsia="Calibri"/>
          <w:color w:val="000000" w:themeColor="text1"/>
        </w:rPr>
        <w:t xml:space="preserve">** Loss if ignition, as a measure of the organic content </w:t>
      </w:r>
      <w:bookmarkEnd w:id="1127"/>
    </w:p>
    <w:p w14:paraId="5D043C5D" w14:textId="0DE36100" w:rsidR="008D1AE9" w:rsidRPr="0098635C" w:rsidRDefault="008D1AE9" w:rsidP="008D1AE9">
      <w:pPr>
        <w:spacing w:before="240"/>
        <w:rPr>
          <w:rFonts w:eastAsia="Calibri"/>
          <w:b/>
          <w:color w:val="000000" w:themeColor="text1"/>
          <w:sz w:val="20"/>
          <w:szCs w:val="20"/>
        </w:rPr>
      </w:pPr>
      <w:r w:rsidRPr="0098635C">
        <w:rPr>
          <w:color w:val="000000" w:themeColor="text1"/>
          <w:sz w:val="20"/>
          <w:szCs w:val="20"/>
        </w:rPr>
        <w:t>For the Cu° materials</w:t>
      </w:r>
      <w:r w:rsidR="00980F1F" w:rsidRPr="0098635C">
        <w:rPr>
          <w:color w:val="000000" w:themeColor="text1"/>
          <w:sz w:val="20"/>
          <w:szCs w:val="20"/>
        </w:rPr>
        <w:t xml:space="preserve"> the data in Rodriguez et al, 2010 further </w:t>
      </w:r>
      <w:r w:rsidRPr="0098635C">
        <w:rPr>
          <w:rFonts w:eastAsia="Calibri"/>
          <w:color w:val="000000" w:themeColor="text1"/>
          <w:sz w:val="20"/>
          <w:szCs w:val="20"/>
        </w:rPr>
        <w:t>show</w:t>
      </w:r>
      <w:r w:rsidRPr="0098635C">
        <w:rPr>
          <w:rFonts w:eastAsia="Calibri"/>
          <w:b/>
          <w:color w:val="000000" w:themeColor="text1"/>
          <w:sz w:val="20"/>
          <w:szCs w:val="20"/>
        </w:rPr>
        <w:t xml:space="preserve"> </w:t>
      </w:r>
      <w:r w:rsidR="00AB4960" w:rsidRPr="0098635C">
        <w:rPr>
          <w:color w:val="000000" w:themeColor="text1"/>
          <w:sz w:val="20"/>
          <w:szCs w:val="20"/>
        </w:rPr>
        <w:t>(</w:t>
      </w:r>
      <w:r w:rsidR="00980F1F" w:rsidRPr="0098635C">
        <w:rPr>
          <w:rFonts w:eastAsia="Calibri"/>
          <w:color w:val="000000" w:themeColor="text1"/>
          <w:sz w:val="20"/>
          <w:szCs w:val="20"/>
        </w:rPr>
        <w:fldChar w:fldCharType="begin"/>
      </w:r>
      <w:r w:rsidR="00980F1F" w:rsidRPr="0098635C">
        <w:rPr>
          <w:rFonts w:eastAsia="Calibri"/>
          <w:color w:val="000000" w:themeColor="text1"/>
          <w:sz w:val="20"/>
          <w:szCs w:val="20"/>
        </w:rPr>
        <w:instrText xml:space="preserve"> REF _Ref259365066 \h </w:instrText>
      </w:r>
      <w:r w:rsidR="004C52F8" w:rsidRPr="0098635C">
        <w:rPr>
          <w:rFonts w:eastAsia="Calibri"/>
          <w:color w:val="000000" w:themeColor="text1"/>
          <w:sz w:val="20"/>
          <w:szCs w:val="20"/>
        </w:rPr>
        <w:instrText xml:space="preserve"> \* MERGEFORMAT </w:instrText>
      </w:r>
      <w:r w:rsidR="00980F1F" w:rsidRPr="0098635C">
        <w:rPr>
          <w:rFonts w:eastAsia="Calibri"/>
          <w:color w:val="000000" w:themeColor="text1"/>
          <w:sz w:val="20"/>
          <w:szCs w:val="20"/>
        </w:rPr>
      </w:r>
      <w:r w:rsidR="00980F1F" w:rsidRPr="0098635C">
        <w:rPr>
          <w:rFonts w:eastAsia="Calibri"/>
          <w:color w:val="000000" w:themeColor="text1"/>
          <w:sz w:val="20"/>
          <w:szCs w:val="20"/>
        </w:rPr>
        <w:fldChar w:fldCharType="separate"/>
      </w:r>
      <w:r w:rsidR="00980F1F" w:rsidRPr="0098635C">
        <w:rPr>
          <w:color w:val="000000" w:themeColor="text1"/>
          <w:sz w:val="20"/>
          <w:szCs w:val="20"/>
        </w:rPr>
        <w:t xml:space="preserve">Figure </w:t>
      </w:r>
      <w:r w:rsidR="00980F1F" w:rsidRPr="0098635C">
        <w:rPr>
          <w:noProof/>
          <w:color w:val="000000" w:themeColor="text1"/>
          <w:sz w:val="20"/>
          <w:szCs w:val="20"/>
        </w:rPr>
        <w:t>8</w:t>
      </w:r>
      <w:r w:rsidR="00980F1F" w:rsidRPr="0098635C">
        <w:rPr>
          <w:rFonts w:eastAsia="Calibri"/>
          <w:color w:val="000000" w:themeColor="text1"/>
          <w:sz w:val="20"/>
          <w:szCs w:val="20"/>
        </w:rPr>
        <w:fldChar w:fldCharType="end"/>
      </w:r>
      <w:r w:rsidR="00AB4960" w:rsidRPr="0098635C">
        <w:rPr>
          <w:rFonts w:eastAsia="Calibri"/>
          <w:color w:val="000000" w:themeColor="text1"/>
          <w:sz w:val="20"/>
          <w:szCs w:val="20"/>
        </w:rPr>
        <w:t>)</w:t>
      </w:r>
      <w:r w:rsidR="00980F1F" w:rsidRPr="0098635C">
        <w:rPr>
          <w:rFonts w:eastAsia="Calibri"/>
          <w:color w:val="000000" w:themeColor="text1"/>
          <w:sz w:val="20"/>
          <w:szCs w:val="20"/>
        </w:rPr>
        <w:t xml:space="preserve"> </w:t>
      </w:r>
      <w:r w:rsidRPr="0098635C">
        <w:rPr>
          <w:rFonts w:eastAsia="Calibri"/>
          <w:color w:val="000000" w:themeColor="text1"/>
          <w:sz w:val="20"/>
          <w:szCs w:val="20"/>
        </w:rPr>
        <w:t xml:space="preserve">that the relation between the release of Cu-ions and the surface area exposed is well described by a power function: </w:t>
      </w:r>
      <w:r w:rsidRPr="0098635C">
        <w:rPr>
          <w:rFonts w:eastAsia="Calibri"/>
          <w:b/>
          <w:color w:val="000000" w:themeColor="text1"/>
          <w:sz w:val="20"/>
          <w:szCs w:val="20"/>
        </w:rPr>
        <w:t xml:space="preserve">  </w:t>
      </w:r>
    </w:p>
    <w:p w14:paraId="63D90EAC" w14:textId="21EF2639" w:rsidR="00212F4F" w:rsidRPr="0098635C" w:rsidRDefault="00212F4F" w:rsidP="00586794">
      <w:pPr>
        <w:spacing w:before="240"/>
        <w:ind w:left="284"/>
        <w:jc w:val="left"/>
        <w:rPr>
          <w:rFonts w:eastAsia="Calibri"/>
          <w:b/>
          <w:color w:val="000000" w:themeColor="text1"/>
          <w:sz w:val="20"/>
          <w:szCs w:val="20"/>
        </w:rPr>
      </w:pPr>
      <w:r w:rsidRPr="0098635C">
        <w:rPr>
          <w:rFonts w:eastAsia="Calibri"/>
          <w:b/>
          <w:color w:val="000000" w:themeColor="text1"/>
          <w:sz w:val="20"/>
          <w:szCs w:val="20"/>
        </w:rPr>
        <w:t xml:space="preserve">Bioaccessible copper ions = 1.94 surface loading (mm2/L) </w:t>
      </w:r>
      <w:r w:rsidRPr="0098635C">
        <w:rPr>
          <w:rFonts w:eastAsia="Calibri"/>
          <w:b/>
          <w:color w:val="000000" w:themeColor="text1"/>
          <w:sz w:val="20"/>
          <w:szCs w:val="20"/>
          <w:vertAlign w:val="superscript"/>
        </w:rPr>
        <w:t>0.84</w:t>
      </w:r>
    </w:p>
    <w:p w14:paraId="5EE1186B" w14:textId="10D23EF5" w:rsidR="008D1AE9" w:rsidRPr="0098635C" w:rsidRDefault="00F231FB" w:rsidP="00586794">
      <w:pPr>
        <w:ind w:left="142"/>
        <w:jc w:val="center"/>
        <w:rPr>
          <w:color w:val="000000" w:themeColor="text1"/>
          <w:sz w:val="20"/>
          <w:szCs w:val="20"/>
        </w:rPr>
      </w:pPr>
      <w:r w:rsidRPr="0098635C">
        <w:rPr>
          <w:rFonts w:eastAsia="Calibri"/>
          <w:noProof/>
          <w:color w:val="000000" w:themeColor="text1"/>
          <w:sz w:val="20"/>
          <w:szCs w:val="20"/>
          <w:lang w:eastAsia="en-GB"/>
        </w:rPr>
        <mc:AlternateContent>
          <mc:Choice Requires="wps">
            <w:drawing>
              <wp:anchor distT="0" distB="0" distL="114300" distR="114300" simplePos="0" relativeHeight="251661312" behindDoc="0" locked="0" layoutInCell="1" allowOverlap="1" wp14:anchorId="7EF5C65B" wp14:editId="22E09BC7">
                <wp:simplePos x="0" y="0"/>
                <wp:positionH relativeFrom="column">
                  <wp:posOffset>3886200</wp:posOffset>
                </wp:positionH>
                <wp:positionV relativeFrom="paragraph">
                  <wp:posOffset>351155</wp:posOffset>
                </wp:positionV>
                <wp:extent cx="2024380" cy="1257300"/>
                <wp:effectExtent l="0" t="0" r="0" b="12700"/>
                <wp:wrapSquare wrapText="bothSides"/>
                <wp:docPr id="66"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24380" cy="12573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cx5="http://schemas.microsoft.com/office/drawing/2016/5/11/chartex" xmlns:cx4="http://schemas.microsoft.com/office/drawing/2016/5/10/chartex" xmlns:cx3="http://schemas.microsoft.com/office/drawing/2016/5/9/chartex" xmlns:cx2="http://schemas.microsoft.com/office/drawing/2015/10/21/chartex"/>
                          </a:ext>
                        </a:extLst>
                      </wps:spPr>
                      <wps:style>
                        <a:lnRef idx="0">
                          <a:schemeClr val="accent1"/>
                        </a:lnRef>
                        <a:fillRef idx="0">
                          <a:schemeClr val="accent1"/>
                        </a:fillRef>
                        <a:effectRef idx="0">
                          <a:schemeClr val="accent1"/>
                        </a:effectRef>
                        <a:fontRef idx="minor">
                          <a:schemeClr val="dk1"/>
                        </a:fontRef>
                      </wps:style>
                      <wps:txbx>
                        <w:txbxContent>
                          <w:p w14:paraId="68602698" w14:textId="77777777" w:rsidR="002C2BB0" w:rsidRDefault="002C2BB0" w:rsidP="008D1AE9">
                            <w:pPr>
                              <w:spacing w:after="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65B" id="_x0000_t202" coordsize="21600,21600" o:spt="202" path="m,l,21600r21600,l21600,xe">
                <v:stroke joinstyle="miter"/>
                <v:path gradientshapeok="t" o:connecttype="rect"/>
              </v:shapetype>
              <v:shape id="Text Box 66" o:spid="_x0000_s1026" type="#_x0000_t202" style="position:absolute;left:0;text-align:left;margin-left:306pt;margin-top:27.65pt;width:159.4pt;height:9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" filled="f" stroked="f">
                <v:path arrowok="t"/>
                <v:textbox>
                  <w:txbxContent>
                    <w:p w14:paraId="68602698" w14:textId="77777777" w:rsidR="002C2BB0" w:rsidRDefault="002C2BB0" w:rsidP="008D1AE9">
                      <w:pPr>
                        <w:spacing w:after="0"/>
                      </w:pPr>
                    </w:p>
                  </w:txbxContent>
                </v:textbox>
                <w10:wrap type="square"/>
              </v:shape>
            </w:pict>
          </mc:Fallback>
        </mc:AlternateContent>
      </w:r>
      <w:r w:rsidR="008D1AE9" w:rsidRPr="0098635C">
        <w:rPr>
          <w:rFonts w:eastAsia="Calibri"/>
          <w:noProof/>
          <w:color w:val="000000" w:themeColor="text1"/>
          <w:sz w:val="20"/>
          <w:szCs w:val="20"/>
          <w:lang w:eastAsia="en-GB"/>
        </w:rPr>
        <w:drawing>
          <wp:inline distT="0" distB="0" distL="0" distR="0" wp14:anchorId="35C78CEA" wp14:editId="6EA4915B">
            <wp:extent cx="3616960" cy="1987550"/>
            <wp:effectExtent l="0" t="0" r="2540" b="12700"/>
            <wp:docPr id="52"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C72AD37" w14:textId="3718BABD" w:rsidR="00EB010E" w:rsidRPr="0098635C" w:rsidRDefault="008D1AE9" w:rsidP="00586794">
      <w:pPr>
        <w:pStyle w:val="Caption"/>
        <w:ind w:left="0"/>
        <w:jc w:val="center"/>
        <w:rPr>
          <w:b w:val="0"/>
          <w:color w:val="000000" w:themeColor="text1"/>
          <w:sz w:val="20"/>
        </w:rPr>
      </w:pPr>
      <w:bookmarkStart w:id="1128" w:name="_Ref259365066"/>
      <w:r w:rsidRPr="0098635C">
        <w:rPr>
          <w:b w:val="0"/>
          <w:color w:val="000000" w:themeColor="text1"/>
          <w:sz w:val="20"/>
          <w:lang w:val="en-GB"/>
        </w:rPr>
        <w:t xml:space="preserve">Figure </w:t>
      </w:r>
      <w:r w:rsidR="008D2151" w:rsidRPr="0098635C">
        <w:rPr>
          <w:b w:val="0"/>
          <w:color w:val="000000" w:themeColor="text1"/>
          <w:sz w:val="20"/>
          <w:lang w:val="en-GB"/>
        </w:rPr>
        <w:fldChar w:fldCharType="begin"/>
      </w:r>
      <w:r w:rsidR="008D2151" w:rsidRPr="0098635C">
        <w:rPr>
          <w:b w:val="0"/>
          <w:color w:val="000000" w:themeColor="text1"/>
          <w:sz w:val="20"/>
          <w:lang w:val="en-GB"/>
        </w:rPr>
        <w:instrText xml:space="preserve"> SEQ Figure \* ARABIC </w:instrText>
      </w:r>
      <w:r w:rsidR="008D2151" w:rsidRPr="0098635C">
        <w:rPr>
          <w:b w:val="0"/>
          <w:color w:val="000000" w:themeColor="text1"/>
          <w:sz w:val="20"/>
          <w:lang w:val="en-GB"/>
        </w:rPr>
        <w:fldChar w:fldCharType="separate"/>
      </w:r>
      <w:r w:rsidR="00690E61" w:rsidRPr="0098635C">
        <w:rPr>
          <w:b w:val="0"/>
          <w:noProof/>
          <w:color w:val="000000" w:themeColor="text1"/>
          <w:sz w:val="20"/>
          <w:lang w:val="en-GB"/>
        </w:rPr>
        <w:t>8</w:t>
      </w:r>
      <w:r w:rsidR="008D2151" w:rsidRPr="0098635C">
        <w:rPr>
          <w:b w:val="0"/>
          <w:color w:val="000000" w:themeColor="text1"/>
          <w:sz w:val="20"/>
          <w:lang w:val="en-GB"/>
        </w:rPr>
        <w:fldChar w:fldCharType="end"/>
      </w:r>
      <w:bookmarkEnd w:id="1128"/>
      <w:r w:rsidRPr="0098635C">
        <w:rPr>
          <w:b w:val="0"/>
          <w:color w:val="000000" w:themeColor="text1"/>
          <w:sz w:val="20"/>
          <w:lang w:val="en-GB"/>
        </w:rPr>
        <w:t xml:space="preserve">: Release of copper with different amounts of surface exposed to the gastric mimetic fluid </w:t>
      </w:r>
      <w:r w:rsidR="00EB010E" w:rsidRPr="0098635C">
        <w:rPr>
          <w:b w:val="0"/>
          <w:color w:val="000000" w:themeColor="text1"/>
          <w:sz w:val="20"/>
        </w:rPr>
        <w:t>(Square = copper powder tested at 5 g/L. excluded from the regression because of high variability among replica’s (see text))</w:t>
      </w:r>
    </w:p>
    <w:p w14:paraId="566C09D8" w14:textId="77777777" w:rsidR="008D1AE9" w:rsidRPr="0098635C" w:rsidRDefault="008D1AE9" w:rsidP="008D1AE9">
      <w:pPr>
        <w:spacing w:before="240"/>
        <w:rPr>
          <w:rFonts w:eastAsia="Calibri"/>
          <w:color w:val="000000" w:themeColor="text1"/>
          <w:sz w:val="20"/>
          <w:szCs w:val="20"/>
          <w:u w:val="single"/>
        </w:rPr>
      </w:pPr>
      <w:r w:rsidRPr="0098635C">
        <w:rPr>
          <w:rFonts w:eastAsia="Calibri"/>
          <w:color w:val="000000" w:themeColor="text1"/>
          <w:sz w:val="20"/>
          <w:szCs w:val="20"/>
          <w:u w:val="single"/>
        </w:rPr>
        <w:t>Conclusion</w:t>
      </w:r>
    </w:p>
    <w:p w14:paraId="09C28ED8" w14:textId="77777777" w:rsidR="008D1AE9" w:rsidRPr="0098635C" w:rsidRDefault="008D1AE9" w:rsidP="008D1AE9">
      <w:pPr>
        <w:spacing w:before="240"/>
        <w:rPr>
          <w:rFonts w:eastAsia="Calibri"/>
          <w:color w:val="000000" w:themeColor="text1"/>
          <w:sz w:val="20"/>
          <w:szCs w:val="20"/>
        </w:rPr>
      </w:pPr>
      <w:r w:rsidRPr="0098635C">
        <w:rPr>
          <w:rFonts w:eastAsia="Calibri"/>
          <w:color w:val="000000" w:themeColor="text1"/>
          <w:sz w:val="20"/>
          <w:szCs w:val="20"/>
        </w:rPr>
        <w:t xml:space="preserve">The </w:t>
      </w:r>
      <w:r w:rsidRPr="0098635C">
        <w:rPr>
          <w:rFonts w:eastAsia="Calibri"/>
          <w:i/>
          <w:color w:val="000000" w:themeColor="text1"/>
          <w:sz w:val="20"/>
          <w:szCs w:val="20"/>
        </w:rPr>
        <w:t>in vitro</w:t>
      </w:r>
      <w:r w:rsidRPr="0098635C">
        <w:rPr>
          <w:rFonts w:eastAsia="Calibri"/>
          <w:color w:val="000000" w:themeColor="text1"/>
          <w:sz w:val="20"/>
          <w:szCs w:val="20"/>
        </w:rPr>
        <w:t xml:space="preserve"> gastric bioelution tests with various copper-bearing materials demonstrate important differences in bio-accessibility in gastric fluids with CuS0</w:t>
      </w:r>
      <w:r w:rsidRPr="0098635C">
        <w:rPr>
          <w:rFonts w:eastAsia="Calibri"/>
          <w:color w:val="000000" w:themeColor="text1"/>
          <w:sz w:val="20"/>
          <w:szCs w:val="20"/>
          <w:vertAlign w:val="subscript"/>
        </w:rPr>
        <w:t>4</w:t>
      </w:r>
      <w:r w:rsidRPr="0098635C">
        <w:rPr>
          <w:rFonts w:eastAsia="Calibri"/>
          <w:color w:val="000000" w:themeColor="text1"/>
          <w:sz w:val="20"/>
          <w:szCs w:val="20"/>
        </w:rPr>
        <w:t xml:space="preserve"> (100%) being the most bio-accessible copper compound and copper massive the least bio-accessible one. Bio-accessibility of Cu° is related to surface area. Using the coated copper flakes as reference substance, the relative bio-accessibility of a typical copper powder (0.024 m</w:t>
      </w:r>
      <w:r w:rsidRPr="0098635C">
        <w:rPr>
          <w:rFonts w:eastAsia="Calibri"/>
          <w:color w:val="000000" w:themeColor="text1"/>
          <w:sz w:val="20"/>
          <w:szCs w:val="20"/>
          <w:vertAlign w:val="superscript"/>
        </w:rPr>
        <w:t>2</w:t>
      </w:r>
      <w:r w:rsidRPr="0098635C">
        <w:rPr>
          <w:rFonts w:eastAsia="Calibri"/>
          <w:color w:val="000000" w:themeColor="text1"/>
          <w:sz w:val="20"/>
          <w:szCs w:val="20"/>
        </w:rPr>
        <w:t>/g) and reasonable worst-case 10 µm powder (of 0.067 m²/mg) are therefore respectively 1.9% and 4.9% (data taken from section 2.2.7). These data can be used to predict the acute oral toxicity of copper and copper powder using available toxicity studies on other forms of copper and copper compounds and this is presented further in the acute toxicity section.</w:t>
      </w:r>
    </w:p>
    <w:p w14:paraId="07EEB31D" w14:textId="77777777" w:rsidR="008D1AE9" w:rsidRPr="0098635C" w:rsidRDefault="008D1AE9" w:rsidP="008D1AE9">
      <w:pPr>
        <w:pStyle w:val="Heading4"/>
        <w:rPr>
          <w:rFonts w:eastAsia="Calibri"/>
          <w:color w:val="000000" w:themeColor="text1"/>
          <w:sz w:val="20"/>
        </w:rPr>
      </w:pPr>
      <w:r w:rsidRPr="0098635C">
        <w:rPr>
          <w:rFonts w:eastAsia="Calibri"/>
          <w:color w:val="000000" w:themeColor="text1"/>
          <w:sz w:val="20"/>
        </w:rPr>
        <w:t>Conclusion</w:t>
      </w:r>
      <w:r w:rsidR="0098645E" w:rsidRPr="0098635C">
        <w:rPr>
          <w:rFonts w:eastAsia="Calibri"/>
          <w:color w:val="000000" w:themeColor="text1"/>
          <w:sz w:val="20"/>
        </w:rPr>
        <w:t xml:space="preserve"> on toxicokinetics </w:t>
      </w:r>
    </w:p>
    <w:p w14:paraId="6B5A0D50" w14:textId="425D45E5" w:rsidR="008D1AE9" w:rsidRPr="0098635C" w:rsidRDefault="008D1AE9" w:rsidP="008D1AE9">
      <w:pPr>
        <w:rPr>
          <w:rFonts w:ascii="Times" w:hAnsi="Times" w:cs="Times"/>
          <w:color w:val="000000" w:themeColor="text1"/>
          <w:sz w:val="20"/>
          <w:szCs w:val="20"/>
        </w:rPr>
      </w:pPr>
      <w:r w:rsidRPr="0098635C">
        <w:rPr>
          <w:color w:val="000000" w:themeColor="text1"/>
          <w:sz w:val="20"/>
          <w:szCs w:val="20"/>
        </w:rPr>
        <w:t xml:space="preserve">Copper is an essential metal present in human body tissues and fluids at concentrations of parts per million or parts per billion. From the toxicokinetics studies, a value of 25% oral absorption was chosen for risk assessment purposes. </w:t>
      </w:r>
      <w:r w:rsidR="004C52F8" w:rsidRPr="0098635C">
        <w:rPr>
          <w:color w:val="000000" w:themeColor="text1"/>
          <w:sz w:val="20"/>
          <w:szCs w:val="20"/>
        </w:rPr>
        <w:t>D</w:t>
      </w:r>
      <w:r w:rsidRPr="0098635C">
        <w:rPr>
          <w:color w:val="000000" w:themeColor="text1"/>
          <w:sz w:val="20"/>
          <w:szCs w:val="20"/>
        </w:rPr>
        <w:t>ermal absorption factor</w:t>
      </w:r>
      <w:r w:rsidR="004C52F8" w:rsidRPr="0098635C">
        <w:rPr>
          <w:color w:val="000000" w:themeColor="text1"/>
          <w:sz w:val="20"/>
          <w:szCs w:val="20"/>
        </w:rPr>
        <w:t>s</w:t>
      </w:r>
      <w:r w:rsidRPr="0098635C">
        <w:rPr>
          <w:color w:val="000000" w:themeColor="text1"/>
          <w:sz w:val="20"/>
          <w:szCs w:val="20"/>
        </w:rPr>
        <w:t xml:space="preserve"> of </w:t>
      </w:r>
      <w:r w:rsidR="004C52F8" w:rsidRPr="0098635C">
        <w:rPr>
          <w:color w:val="000000" w:themeColor="text1"/>
          <w:sz w:val="20"/>
          <w:szCs w:val="20"/>
        </w:rPr>
        <w:t xml:space="preserve">respectively 0.3% and </w:t>
      </w:r>
      <w:r w:rsidRPr="0098635C">
        <w:rPr>
          <w:color w:val="000000" w:themeColor="text1"/>
          <w:sz w:val="20"/>
          <w:szCs w:val="20"/>
        </w:rPr>
        <w:t xml:space="preserve">0.03% </w:t>
      </w:r>
      <w:r w:rsidR="004C52F8" w:rsidRPr="0098635C">
        <w:rPr>
          <w:color w:val="000000" w:themeColor="text1"/>
          <w:sz w:val="20"/>
          <w:szCs w:val="20"/>
        </w:rPr>
        <w:t xml:space="preserve">are </w:t>
      </w:r>
      <w:r w:rsidRPr="0098635C">
        <w:rPr>
          <w:color w:val="000000" w:themeColor="text1"/>
          <w:sz w:val="20"/>
          <w:szCs w:val="20"/>
        </w:rPr>
        <w:t xml:space="preserve">proposed for </w:t>
      </w:r>
      <w:r w:rsidR="004C52F8" w:rsidRPr="0098635C">
        <w:rPr>
          <w:color w:val="000000" w:themeColor="text1"/>
          <w:sz w:val="20"/>
          <w:szCs w:val="20"/>
        </w:rPr>
        <w:t xml:space="preserve">wet and </w:t>
      </w:r>
      <w:r w:rsidRPr="0098635C">
        <w:rPr>
          <w:color w:val="000000" w:themeColor="text1"/>
          <w:sz w:val="20"/>
          <w:szCs w:val="20"/>
        </w:rPr>
        <w:t>dry exposure scenarios.</w:t>
      </w:r>
    </w:p>
    <w:p w14:paraId="78BDB596" w14:textId="26AB6738" w:rsidR="008D1AE9" w:rsidRPr="0098635C" w:rsidRDefault="008D1AE9" w:rsidP="008D1AE9">
      <w:pPr>
        <w:rPr>
          <w:rFonts w:ascii="Times" w:hAnsi="Times" w:cs="Times"/>
          <w:color w:val="000000" w:themeColor="text1"/>
          <w:sz w:val="20"/>
          <w:szCs w:val="20"/>
        </w:rPr>
      </w:pPr>
      <w:r w:rsidRPr="0098635C">
        <w:rPr>
          <w:color w:val="000000" w:themeColor="text1"/>
          <w:sz w:val="20"/>
          <w:szCs w:val="20"/>
        </w:rPr>
        <w:t xml:space="preserve">Comparative bioavailability, solubility and toxicity studies have shown that relatively insoluble copper and sparingly soluble </w:t>
      </w:r>
      <w:r w:rsidR="00236182" w:rsidRPr="0098635C">
        <w:rPr>
          <w:color w:val="000000" w:themeColor="text1"/>
          <w:sz w:val="20"/>
          <w:szCs w:val="20"/>
        </w:rPr>
        <w:t>copper (II) oxide</w:t>
      </w:r>
      <w:r w:rsidRPr="0098635C">
        <w:rPr>
          <w:color w:val="000000" w:themeColor="text1"/>
          <w:sz w:val="20"/>
          <w:szCs w:val="20"/>
        </w:rPr>
        <w:t xml:space="preserve"> are less bioavailable than the more soluble copper salts, e.g. copper sulphate pentahydrate and </w:t>
      </w:r>
      <w:r w:rsidR="000B64FE" w:rsidRPr="0098635C">
        <w:rPr>
          <w:color w:val="000000" w:themeColor="text1"/>
          <w:sz w:val="20"/>
          <w:szCs w:val="20"/>
        </w:rPr>
        <w:t xml:space="preserve">copper (I) </w:t>
      </w:r>
      <w:r w:rsidRPr="0098635C">
        <w:rPr>
          <w:color w:val="000000" w:themeColor="text1"/>
          <w:sz w:val="20"/>
          <w:szCs w:val="20"/>
        </w:rPr>
        <w:t xml:space="preserve">oxide. The available toxicological information on copper-sulphate, </w:t>
      </w:r>
      <w:r w:rsidR="00236182" w:rsidRPr="0098635C">
        <w:rPr>
          <w:color w:val="000000" w:themeColor="text1"/>
          <w:sz w:val="20"/>
          <w:szCs w:val="20"/>
        </w:rPr>
        <w:t>copper (II) oxide</w:t>
      </w:r>
      <w:r w:rsidRPr="0098635C">
        <w:rPr>
          <w:color w:val="000000" w:themeColor="text1"/>
          <w:sz w:val="20"/>
          <w:szCs w:val="20"/>
        </w:rPr>
        <w:t xml:space="preserve"> and copper are used in combination with the toxicokinetics to allow for read- across where necessary.</w:t>
      </w:r>
    </w:p>
    <w:p w14:paraId="22A0E311" w14:textId="77777777" w:rsidR="008D1AE9" w:rsidRPr="0098635C" w:rsidRDefault="008D1AE9" w:rsidP="008D1AE9">
      <w:pPr>
        <w:pStyle w:val="Heading3"/>
        <w:rPr>
          <w:color w:val="000000" w:themeColor="text1"/>
          <w:sz w:val="20"/>
        </w:rPr>
      </w:pPr>
      <w:bookmarkStart w:id="1129" w:name="_Toc471998644"/>
      <w:bookmarkStart w:id="1130" w:name="_Toc471999912"/>
      <w:bookmarkStart w:id="1131" w:name="_Toc32726030"/>
      <w:bookmarkStart w:id="1132" w:name="_Toc32727213"/>
      <w:bookmarkStart w:id="1133" w:name="_Toc43868661"/>
      <w:bookmarkStart w:id="1134" w:name="_Toc200358249"/>
      <w:bookmarkStart w:id="1135" w:name="_Toc200359265"/>
      <w:bookmarkStart w:id="1136" w:name="_Toc260063678"/>
      <w:bookmarkStart w:id="1137" w:name="_Toc471999913"/>
      <w:bookmarkStart w:id="1138" w:name="_Toc472251355"/>
      <w:bookmarkEnd w:id="1129"/>
      <w:bookmarkEnd w:id="1130"/>
      <w:r w:rsidRPr="0098635C">
        <w:rPr>
          <w:color w:val="000000" w:themeColor="text1"/>
          <w:sz w:val="20"/>
        </w:rPr>
        <w:lastRenderedPageBreak/>
        <w:t>Acute Toxicity</w:t>
      </w:r>
      <w:bookmarkEnd w:id="1131"/>
      <w:bookmarkEnd w:id="1132"/>
      <w:bookmarkEnd w:id="1133"/>
      <w:bookmarkEnd w:id="1134"/>
      <w:bookmarkEnd w:id="1135"/>
      <w:bookmarkEnd w:id="1136"/>
      <w:bookmarkEnd w:id="1137"/>
      <w:bookmarkEnd w:id="1138"/>
    </w:p>
    <w:p w14:paraId="1133CCC2" w14:textId="77777777" w:rsidR="008D1AE9" w:rsidRPr="0098635C" w:rsidRDefault="008D1AE9" w:rsidP="008D1AE9">
      <w:pPr>
        <w:pStyle w:val="Heading4"/>
        <w:rPr>
          <w:color w:val="000000" w:themeColor="text1"/>
          <w:sz w:val="20"/>
        </w:rPr>
      </w:pPr>
      <w:r w:rsidRPr="0098635C">
        <w:rPr>
          <w:color w:val="000000" w:themeColor="text1"/>
          <w:sz w:val="20"/>
        </w:rPr>
        <w:t>Inhalation</w:t>
      </w:r>
    </w:p>
    <w:p w14:paraId="0B42F031" w14:textId="77777777" w:rsidR="008D1AE9" w:rsidRPr="0098635C" w:rsidRDefault="008D1AE9" w:rsidP="008D1AE9">
      <w:pPr>
        <w:pStyle w:val="Heading8"/>
        <w:rPr>
          <w:color w:val="000000" w:themeColor="text1"/>
          <w:sz w:val="20"/>
          <w:szCs w:val="20"/>
        </w:rPr>
      </w:pPr>
      <w:r w:rsidRPr="0098635C">
        <w:rPr>
          <w:color w:val="000000" w:themeColor="text1"/>
          <w:sz w:val="20"/>
          <w:szCs w:val="20"/>
        </w:rPr>
        <w:t>Studies in Animals</w:t>
      </w:r>
    </w:p>
    <w:p w14:paraId="220546BE" w14:textId="33FD5F2C" w:rsidR="008D1AE9" w:rsidRPr="0098635C" w:rsidRDefault="008D1AE9" w:rsidP="00CA1566">
      <w:pPr>
        <w:tabs>
          <w:tab w:val="left" w:pos="2977"/>
        </w:tabs>
        <w:rPr>
          <w:color w:val="000000" w:themeColor="text1"/>
          <w:sz w:val="20"/>
          <w:szCs w:val="20"/>
        </w:rPr>
      </w:pPr>
      <w:r w:rsidRPr="0098635C">
        <w:rPr>
          <w:color w:val="000000" w:themeColor="text1"/>
          <w:sz w:val="20"/>
          <w:szCs w:val="20"/>
        </w:rPr>
        <w:t xml:space="preserve">Several high quality studies on copper compounds and copper are available. Three additional studies on coated copper flakes were submitted thereafter. </w:t>
      </w:r>
      <w:r w:rsidR="00FB0F1B" w:rsidRPr="0098635C">
        <w:rPr>
          <w:color w:val="000000" w:themeColor="text1"/>
          <w:sz w:val="20"/>
          <w:szCs w:val="20"/>
        </w:rPr>
        <w:t xml:space="preserve"> The summary of the acute </w:t>
      </w:r>
      <w:r w:rsidR="00371054" w:rsidRPr="0098635C">
        <w:rPr>
          <w:color w:val="000000" w:themeColor="text1"/>
          <w:sz w:val="20"/>
          <w:szCs w:val="20"/>
        </w:rPr>
        <w:t xml:space="preserve">inhalation </w:t>
      </w:r>
      <w:r w:rsidR="00FB0F1B" w:rsidRPr="0098635C">
        <w:rPr>
          <w:color w:val="000000" w:themeColor="text1"/>
          <w:sz w:val="20"/>
          <w:szCs w:val="20"/>
        </w:rPr>
        <w:t xml:space="preserve">toxicity data in animals is provided in </w:t>
      </w:r>
      <w:r w:rsidR="00FB0F1B" w:rsidRPr="0098635C">
        <w:rPr>
          <w:rFonts w:eastAsia="Calibri"/>
          <w:color w:val="000000" w:themeColor="text1"/>
          <w:sz w:val="20"/>
          <w:szCs w:val="20"/>
        </w:rPr>
        <w:t>Annex IV.</w:t>
      </w:r>
    </w:p>
    <w:p w14:paraId="14D11EAF" w14:textId="7C14DEC1" w:rsidR="004A5C58" w:rsidRPr="0098635C" w:rsidRDefault="008D1AE9" w:rsidP="008D1AE9">
      <w:pPr>
        <w:pStyle w:val="BodyText"/>
        <w:rPr>
          <w:color w:val="000000" w:themeColor="text1"/>
          <w:sz w:val="20"/>
        </w:rPr>
      </w:pPr>
      <w:r w:rsidRPr="0098635C">
        <w:rPr>
          <w:color w:val="000000" w:themeColor="text1"/>
          <w:sz w:val="20"/>
        </w:rPr>
        <w:t xml:space="preserve">Acute inhalation toxicity data are available for copper (I) oxide, </w:t>
      </w:r>
      <w:r w:rsidR="00236182" w:rsidRPr="0098635C">
        <w:rPr>
          <w:color w:val="000000" w:themeColor="text1"/>
          <w:sz w:val="20"/>
        </w:rPr>
        <w:t>dicopper chloride trihydroxide</w:t>
      </w:r>
      <w:r w:rsidRPr="0098635C">
        <w:rPr>
          <w:color w:val="000000" w:themeColor="text1"/>
          <w:sz w:val="20"/>
        </w:rPr>
        <w:t xml:space="preserve"> and copper sulphate. Published data on the acute inhalation toxicity of copper compounds in animals are limited to two studies (Skornik and Brain, 1983; Drummond et al, 1986). Seven unpublished reports of acute inhalation toxicity tests in rats are also available</w:t>
      </w:r>
      <w:r w:rsidRPr="0098635C">
        <w:rPr>
          <w:rStyle w:val="FootnoteReference"/>
          <w:color w:val="000000" w:themeColor="text1"/>
          <w:sz w:val="20"/>
        </w:rPr>
        <w:footnoteReference w:id="18"/>
      </w:r>
      <w:r w:rsidRPr="0098635C">
        <w:rPr>
          <w:color w:val="000000" w:themeColor="text1"/>
          <w:sz w:val="20"/>
        </w:rPr>
        <w:t xml:space="preserve">, five using cuprous (I) oxide, one using </w:t>
      </w:r>
      <w:r w:rsidR="00236182" w:rsidRPr="0098635C">
        <w:rPr>
          <w:color w:val="000000" w:themeColor="text1"/>
          <w:sz w:val="20"/>
        </w:rPr>
        <w:t>dicopper chloride trihydroxide</w:t>
      </w:r>
      <w:r w:rsidRPr="0098635C">
        <w:rPr>
          <w:color w:val="000000" w:themeColor="text1"/>
          <w:sz w:val="20"/>
        </w:rPr>
        <w:t xml:space="preserve"> and one using copper sulphate.  A summary of these studies are presented in Annex</w:t>
      </w:r>
      <w:r w:rsidR="00683B68" w:rsidRPr="0098635C">
        <w:rPr>
          <w:color w:val="000000" w:themeColor="text1"/>
          <w:sz w:val="20"/>
        </w:rPr>
        <w:t xml:space="preserve"> IV</w:t>
      </w:r>
      <w:r w:rsidRPr="0098635C">
        <w:rPr>
          <w:color w:val="000000" w:themeColor="text1"/>
          <w:sz w:val="20"/>
        </w:rPr>
        <w:t>.  Key studies in this section are considered to be those of Greenough and McDonald (1985</w:t>
      </w:r>
      <w:r w:rsidR="006C759A" w:rsidRPr="0098635C">
        <w:rPr>
          <w:color w:val="000000" w:themeColor="text1"/>
          <w:sz w:val="20"/>
        </w:rPr>
        <w:t xml:space="preserve"> a and b</w:t>
      </w:r>
      <w:r w:rsidRPr="0098635C">
        <w:rPr>
          <w:color w:val="000000" w:themeColor="text1"/>
          <w:sz w:val="20"/>
        </w:rPr>
        <w:t>), Blagden (</w:t>
      </w:r>
      <w:r w:rsidR="001B6AE9" w:rsidRPr="0098635C">
        <w:rPr>
          <w:color w:val="000000" w:themeColor="text1"/>
          <w:sz w:val="20"/>
        </w:rPr>
        <w:t>1999</w:t>
      </w:r>
      <w:r w:rsidRPr="0098635C">
        <w:rPr>
          <w:color w:val="000000" w:themeColor="text1"/>
          <w:sz w:val="20"/>
        </w:rPr>
        <w:t xml:space="preserve">), Wesson (2003) and Holbert (1994), which were conducted in accordance with OECD (No. 403) Test </w:t>
      </w:r>
      <w:r w:rsidR="000B64FE" w:rsidRPr="0098635C">
        <w:rPr>
          <w:color w:val="000000" w:themeColor="text1"/>
          <w:sz w:val="20"/>
        </w:rPr>
        <w:t>Guideline</w:t>
      </w:r>
      <w:r w:rsidRPr="0098635C">
        <w:rPr>
          <w:color w:val="000000" w:themeColor="text1"/>
          <w:sz w:val="20"/>
        </w:rPr>
        <w:t>.</w:t>
      </w:r>
    </w:p>
    <w:p w14:paraId="2BF3FC32" w14:textId="77777777" w:rsidR="008D1AE9" w:rsidRPr="0098635C" w:rsidRDefault="008D1AE9" w:rsidP="008D1AE9">
      <w:pPr>
        <w:spacing w:before="240"/>
        <w:rPr>
          <w:i/>
          <w:color w:val="000000" w:themeColor="text1"/>
          <w:sz w:val="20"/>
          <w:szCs w:val="20"/>
        </w:rPr>
      </w:pPr>
      <w:r w:rsidRPr="0098635C">
        <w:rPr>
          <w:i/>
          <w:color w:val="000000" w:themeColor="text1"/>
          <w:sz w:val="20"/>
          <w:szCs w:val="20"/>
        </w:rPr>
        <w:t xml:space="preserve">Coated copper flakes </w:t>
      </w:r>
    </w:p>
    <w:p w14:paraId="4BBC5AB1" w14:textId="0A0FD8EB" w:rsidR="00ED2610" w:rsidRPr="0098635C" w:rsidRDefault="00ED2610" w:rsidP="00ED2610">
      <w:pPr>
        <w:rPr>
          <w:color w:val="000000" w:themeColor="text1"/>
          <w:sz w:val="20"/>
          <w:szCs w:val="20"/>
        </w:rPr>
      </w:pPr>
      <w:r w:rsidRPr="0098635C">
        <w:rPr>
          <w:color w:val="000000" w:themeColor="text1"/>
          <w:sz w:val="20"/>
          <w:szCs w:val="20"/>
        </w:rPr>
        <w:t xml:space="preserve">Coated </w:t>
      </w:r>
      <w:r w:rsidR="008D1AE9" w:rsidRPr="0098635C">
        <w:rPr>
          <w:color w:val="000000" w:themeColor="text1"/>
          <w:sz w:val="20"/>
          <w:szCs w:val="20"/>
        </w:rPr>
        <w:t>Copper flakes were found to be non-toxic to rats with an LC</w:t>
      </w:r>
      <w:r w:rsidR="008D1AE9" w:rsidRPr="0098635C">
        <w:rPr>
          <w:color w:val="000000" w:themeColor="text1"/>
          <w:position w:val="-4"/>
          <w:sz w:val="20"/>
          <w:szCs w:val="20"/>
        </w:rPr>
        <w:t xml:space="preserve">50 </w:t>
      </w:r>
      <w:r w:rsidR="008D1AE9" w:rsidRPr="0098635C">
        <w:rPr>
          <w:color w:val="000000" w:themeColor="text1"/>
          <w:sz w:val="20"/>
          <w:szCs w:val="20"/>
        </w:rPr>
        <w:t>&gt;5</w:t>
      </w:r>
      <w:r w:rsidR="002178DA" w:rsidRPr="0098635C">
        <w:rPr>
          <w:color w:val="000000" w:themeColor="text1"/>
          <w:sz w:val="20"/>
          <w:szCs w:val="20"/>
        </w:rPr>
        <w:t>.11</w:t>
      </w:r>
      <w:r w:rsidR="008D1AE9" w:rsidRPr="0098635C">
        <w:rPr>
          <w:color w:val="000000" w:themeColor="text1"/>
          <w:sz w:val="20"/>
          <w:szCs w:val="20"/>
        </w:rPr>
        <w:t xml:space="preserve"> mg/L (Leuschner, 2011). </w:t>
      </w:r>
      <w:r w:rsidR="000B64FE" w:rsidRPr="0098635C">
        <w:rPr>
          <w:color w:val="000000" w:themeColor="text1"/>
          <w:sz w:val="20"/>
          <w:szCs w:val="20"/>
        </w:rPr>
        <w:t xml:space="preserve">However, </w:t>
      </w:r>
      <w:r w:rsidRPr="0098635C">
        <w:rPr>
          <w:color w:val="000000" w:themeColor="text1"/>
          <w:sz w:val="20"/>
          <w:szCs w:val="20"/>
        </w:rPr>
        <w:t>Wesson (2001)</w:t>
      </w:r>
      <w:r w:rsidR="000B64FE" w:rsidRPr="0098635C">
        <w:rPr>
          <w:color w:val="000000" w:themeColor="text1"/>
          <w:sz w:val="20"/>
          <w:szCs w:val="20"/>
        </w:rPr>
        <w:t xml:space="preserve"> reported</w:t>
      </w:r>
      <w:r w:rsidRPr="0098635C">
        <w:rPr>
          <w:color w:val="000000" w:themeColor="text1"/>
          <w:sz w:val="20"/>
          <w:szCs w:val="20"/>
        </w:rPr>
        <w:t xml:space="preserve"> that coated copper flake w</w:t>
      </w:r>
      <w:r w:rsidR="000B64FE" w:rsidRPr="0098635C">
        <w:rPr>
          <w:color w:val="000000" w:themeColor="text1"/>
          <w:sz w:val="20"/>
          <w:szCs w:val="20"/>
        </w:rPr>
        <w:t>as</w:t>
      </w:r>
      <w:r w:rsidRPr="0098635C">
        <w:rPr>
          <w:color w:val="000000" w:themeColor="text1"/>
          <w:sz w:val="20"/>
          <w:szCs w:val="20"/>
        </w:rPr>
        <w:t xml:space="preserve"> toxic by inhalation </w:t>
      </w:r>
      <w:r w:rsidR="003E4BFB" w:rsidRPr="0098635C">
        <w:rPr>
          <w:color w:val="000000" w:themeColor="text1"/>
          <w:sz w:val="20"/>
          <w:szCs w:val="20"/>
        </w:rPr>
        <w:t>and</w:t>
      </w:r>
      <w:r w:rsidRPr="0098635C">
        <w:rPr>
          <w:color w:val="000000" w:themeColor="text1"/>
          <w:sz w:val="20"/>
          <w:szCs w:val="20"/>
        </w:rPr>
        <w:t xml:space="preserve"> reported </w:t>
      </w:r>
      <w:r w:rsidRPr="0098635C">
        <w:rPr>
          <w:rFonts w:eastAsiaTheme="minorEastAsia"/>
          <w:bCs/>
          <w:color w:val="000000" w:themeColor="text1"/>
          <w:sz w:val="20"/>
          <w:szCs w:val="20"/>
          <w:lang w:eastAsia="en-GB"/>
        </w:rPr>
        <w:t>LC50 (4 h</w:t>
      </w:r>
      <w:r w:rsidR="000B64FE" w:rsidRPr="0098635C">
        <w:rPr>
          <w:rFonts w:eastAsiaTheme="minorEastAsia"/>
          <w:bCs/>
          <w:color w:val="000000" w:themeColor="text1"/>
          <w:sz w:val="20"/>
          <w:szCs w:val="20"/>
          <w:lang w:eastAsia="en-GB"/>
        </w:rPr>
        <w:t xml:space="preserve">) of </w:t>
      </w:r>
      <w:r w:rsidRPr="0098635C">
        <w:rPr>
          <w:rFonts w:eastAsiaTheme="minorEastAsia"/>
          <w:bCs/>
          <w:color w:val="000000" w:themeColor="text1"/>
          <w:sz w:val="20"/>
          <w:szCs w:val="20"/>
          <w:lang w:eastAsia="en-GB"/>
        </w:rPr>
        <w:t>1.03 mg/L air (analytical) (male/female</w:t>
      </w:r>
      <w:r w:rsidR="000B64FE" w:rsidRPr="0098635C">
        <w:rPr>
          <w:rFonts w:eastAsiaTheme="minorEastAsia"/>
          <w:bCs/>
          <w:color w:val="000000" w:themeColor="text1"/>
          <w:sz w:val="20"/>
          <w:szCs w:val="20"/>
          <w:lang w:eastAsia="en-GB"/>
        </w:rPr>
        <w:t xml:space="preserve"> combined</w:t>
      </w:r>
      <w:r w:rsidRPr="0098635C">
        <w:rPr>
          <w:rFonts w:eastAsiaTheme="minorEastAsia"/>
          <w:bCs/>
          <w:color w:val="000000" w:themeColor="text1"/>
          <w:sz w:val="20"/>
          <w:szCs w:val="20"/>
          <w:lang w:eastAsia="en-GB"/>
        </w:rPr>
        <w:t>)</w:t>
      </w:r>
      <w:r w:rsidR="000B64FE" w:rsidRPr="0098635C">
        <w:rPr>
          <w:rFonts w:eastAsiaTheme="minorEastAsia"/>
          <w:bCs/>
          <w:color w:val="000000" w:themeColor="text1"/>
          <w:sz w:val="20"/>
          <w:szCs w:val="20"/>
          <w:lang w:eastAsia="en-GB"/>
        </w:rPr>
        <w:t xml:space="preserve"> in rats</w:t>
      </w:r>
      <w:r w:rsidR="000B64FE" w:rsidRPr="0098635C">
        <w:rPr>
          <w:color w:val="000000" w:themeColor="text1"/>
          <w:sz w:val="20"/>
          <w:szCs w:val="20"/>
        </w:rPr>
        <w:t xml:space="preserve"> [</w:t>
      </w:r>
      <w:r w:rsidRPr="0098635C">
        <w:rPr>
          <w:rFonts w:eastAsiaTheme="minorEastAsia"/>
          <w:bCs/>
          <w:color w:val="000000" w:themeColor="text1"/>
          <w:sz w:val="20"/>
          <w:szCs w:val="20"/>
          <w:lang w:eastAsia="en-GB"/>
        </w:rPr>
        <w:t>LC50 (4 h): 0.733 mg/L air (analytical) (male)</w:t>
      </w:r>
      <w:r w:rsidRPr="0098635C">
        <w:rPr>
          <w:color w:val="000000" w:themeColor="text1"/>
          <w:sz w:val="20"/>
          <w:szCs w:val="20"/>
        </w:rPr>
        <w:t xml:space="preserve">; </w:t>
      </w:r>
      <w:r w:rsidRPr="0098635C">
        <w:rPr>
          <w:rFonts w:eastAsiaTheme="minorEastAsia"/>
          <w:bCs/>
          <w:color w:val="000000" w:themeColor="text1"/>
          <w:sz w:val="20"/>
          <w:szCs w:val="20"/>
          <w:lang w:eastAsia="en-GB"/>
        </w:rPr>
        <w:t>LC50 (4 h): 1.67 mg/L air (analytical) (female)</w:t>
      </w:r>
      <w:r w:rsidR="000B64FE" w:rsidRPr="0098635C">
        <w:rPr>
          <w:rFonts w:eastAsiaTheme="minorEastAsia"/>
          <w:bCs/>
          <w:color w:val="000000" w:themeColor="text1"/>
          <w:sz w:val="20"/>
          <w:szCs w:val="20"/>
          <w:lang w:eastAsia="en-GB"/>
        </w:rPr>
        <w:t>}</w:t>
      </w:r>
      <w:r w:rsidRPr="0098635C">
        <w:rPr>
          <w:rFonts w:eastAsiaTheme="minorEastAsia"/>
          <w:bCs/>
          <w:color w:val="000000" w:themeColor="text1"/>
          <w:sz w:val="20"/>
          <w:szCs w:val="20"/>
          <w:lang w:eastAsia="en-GB"/>
        </w:rPr>
        <w:t xml:space="preserve">. </w:t>
      </w:r>
    </w:p>
    <w:p w14:paraId="7635BE4B" w14:textId="26BF6DC3" w:rsidR="003E4BFB" w:rsidRPr="0098635C" w:rsidRDefault="003E4BFB" w:rsidP="00586794">
      <w:pPr>
        <w:pStyle w:val="BodyText"/>
        <w:spacing w:line="236" w:lineRule="auto"/>
        <w:ind w:right="104"/>
        <w:rPr>
          <w:color w:val="000000" w:themeColor="text1"/>
          <w:spacing w:val="-3"/>
          <w:sz w:val="20"/>
        </w:rPr>
      </w:pPr>
      <w:r w:rsidRPr="0098635C">
        <w:rPr>
          <w:color w:val="000000" w:themeColor="text1"/>
          <w:sz w:val="20"/>
        </w:rPr>
        <w:t xml:space="preserve">Both studies used copper flakes, coated with aliphatic acid. </w:t>
      </w:r>
      <w:r w:rsidR="00ED2610" w:rsidRPr="0098635C">
        <w:rPr>
          <w:color w:val="000000" w:themeColor="text1"/>
          <w:sz w:val="20"/>
        </w:rPr>
        <w:t>For</w:t>
      </w:r>
      <w:r w:rsidR="00ED2610" w:rsidRPr="0098635C">
        <w:rPr>
          <w:color w:val="000000" w:themeColor="text1"/>
          <w:spacing w:val="-10"/>
          <w:sz w:val="20"/>
        </w:rPr>
        <w:t xml:space="preserve"> </w:t>
      </w:r>
      <w:r w:rsidR="00ED2610" w:rsidRPr="0098635C">
        <w:rPr>
          <w:color w:val="000000" w:themeColor="text1"/>
          <w:spacing w:val="1"/>
          <w:sz w:val="20"/>
        </w:rPr>
        <w:t>the</w:t>
      </w:r>
      <w:r w:rsidR="00ED2610" w:rsidRPr="0098635C">
        <w:rPr>
          <w:color w:val="000000" w:themeColor="text1"/>
          <w:spacing w:val="-10"/>
          <w:sz w:val="20"/>
        </w:rPr>
        <w:t xml:space="preserve"> </w:t>
      </w:r>
      <w:r w:rsidR="00ED2610" w:rsidRPr="0098635C">
        <w:rPr>
          <w:color w:val="000000" w:themeColor="text1"/>
          <w:sz w:val="20"/>
        </w:rPr>
        <w:t>Leuschner</w:t>
      </w:r>
      <w:r w:rsidR="00ED2610" w:rsidRPr="0098635C">
        <w:rPr>
          <w:color w:val="000000" w:themeColor="text1"/>
          <w:spacing w:val="-10"/>
          <w:sz w:val="20"/>
        </w:rPr>
        <w:t xml:space="preserve"> </w:t>
      </w:r>
      <w:r w:rsidR="00ED2610" w:rsidRPr="0098635C">
        <w:rPr>
          <w:color w:val="000000" w:themeColor="text1"/>
          <w:sz w:val="20"/>
        </w:rPr>
        <w:t>(2011)</w:t>
      </w:r>
      <w:r w:rsidR="00ED2610" w:rsidRPr="0098635C">
        <w:rPr>
          <w:color w:val="000000" w:themeColor="text1"/>
          <w:spacing w:val="-6"/>
          <w:sz w:val="20"/>
        </w:rPr>
        <w:t xml:space="preserve"> </w:t>
      </w:r>
      <w:r w:rsidR="00ED2610" w:rsidRPr="0098635C">
        <w:rPr>
          <w:color w:val="000000" w:themeColor="text1"/>
          <w:sz w:val="20"/>
        </w:rPr>
        <w:t>study</w:t>
      </w:r>
      <w:r w:rsidR="00ED2610" w:rsidRPr="0098635C">
        <w:rPr>
          <w:color w:val="000000" w:themeColor="text1"/>
          <w:spacing w:val="-9"/>
          <w:sz w:val="20"/>
        </w:rPr>
        <w:t xml:space="preserve"> </w:t>
      </w:r>
      <w:r w:rsidR="00ED2610" w:rsidRPr="0098635C">
        <w:rPr>
          <w:color w:val="000000" w:themeColor="text1"/>
          <w:sz w:val="20"/>
        </w:rPr>
        <w:t>the</w:t>
      </w:r>
      <w:r w:rsidR="00ED2610" w:rsidRPr="0098635C">
        <w:rPr>
          <w:color w:val="000000" w:themeColor="text1"/>
          <w:spacing w:val="-10"/>
          <w:sz w:val="20"/>
        </w:rPr>
        <w:t xml:space="preserve"> </w:t>
      </w:r>
      <w:r w:rsidR="00ED2610" w:rsidRPr="0098635C">
        <w:rPr>
          <w:color w:val="000000" w:themeColor="text1"/>
          <w:sz w:val="20"/>
        </w:rPr>
        <w:t>MMAD</w:t>
      </w:r>
      <w:r w:rsidR="00ED2610" w:rsidRPr="0098635C">
        <w:rPr>
          <w:color w:val="000000" w:themeColor="text1"/>
          <w:spacing w:val="60"/>
          <w:w w:val="99"/>
          <w:sz w:val="20"/>
        </w:rPr>
        <w:t xml:space="preserve"> </w:t>
      </w:r>
      <w:r w:rsidR="00ED2610" w:rsidRPr="0098635C">
        <w:rPr>
          <w:color w:val="000000" w:themeColor="text1"/>
          <w:spacing w:val="-1"/>
          <w:sz w:val="20"/>
        </w:rPr>
        <w:t>(3.477</w:t>
      </w:r>
      <w:r w:rsidR="00ED2610" w:rsidRPr="0098635C">
        <w:rPr>
          <w:color w:val="000000" w:themeColor="text1"/>
          <w:spacing w:val="24"/>
          <w:sz w:val="20"/>
        </w:rPr>
        <w:t xml:space="preserve"> </w:t>
      </w:r>
      <w:r w:rsidR="00ED2610" w:rsidRPr="0098635C">
        <w:rPr>
          <w:color w:val="000000" w:themeColor="text1"/>
          <w:spacing w:val="-1"/>
          <w:sz w:val="20"/>
        </w:rPr>
        <w:t>µm)</w:t>
      </w:r>
      <w:r w:rsidR="00ED2610" w:rsidRPr="0098635C">
        <w:rPr>
          <w:color w:val="000000" w:themeColor="text1"/>
          <w:spacing w:val="27"/>
          <w:sz w:val="20"/>
        </w:rPr>
        <w:t xml:space="preserve"> </w:t>
      </w:r>
      <w:r w:rsidR="00ED2610" w:rsidRPr="0098635C">
        <w:rPr>
          <w:color w:val="000000" w:themeColor="text1"/>
          <w:sz w:val="20"/>
        </w:rPr>
        <w:t>and</w:t>
      </w:r>
      <w:r w:rsidR="00ED2610" w:rsidRPr="0098635C">
        <w:rPr>
          <w:color w:val="000000" w:themeColor="text1"/>
          <w:spacing w:val="24"/>
          <w:sz w:val="20"/>
        </w:rPr>
        <w:t xml:space="preserve"> </w:t>
      </w:r>
      <w:r w:rsidR="00ED2610" w:rsidRPr="0098635C">
        <w:rPr>
          <w:color w:val="000000" w:themeColor="text1"/>
          <w:sz w:val="20"/>
        </w:rPr>
        <w:t>GSD</w:t>
      </w:r>
      <w:r w:rsidR="00ED2610" w:rsidRPr="0098635C">
        <w:rPr>
          <w:color w:val="000000" w:themeColor="text1"/>
          <w:spacing w:val="24"/>
          <w:sz w:val="20"/>
        </w:rPr>
        <w:t xml:space="preserve"> </w:t>
      </w:r>
      <w:r w:rsidR="00ED2610" w:rsidRPr="0098635C">
        <w:rPr>
          <w:color w:val="000000" w:themeColor="text1"/>
          <w:sz w:val="20"/>
        </w:rPr>
        <w:t>(2.61-2.77)</w:t>
      </w:r>
      <w:r w:rsidR="00ED2610" w:rsidRPr="0098635C">
        <w:rPr>
          <w:color w:val="000000" w:themeColor="text1"/>
          <w:spacing w:val="24"/>
          <w:sz w:val="20"/>
        </w:rPr>
        <w:t xml:space="preserve"> </w:t>
      </w:r>
      <w:r w:rsidR="00ED2610" w:rsidRPr="0098635C">
        <w:rPr>
          <w:color w:val="000000" w:themeColor="text1"/>
          <w:sz w:val="20"/>
        </w:rPr>
        <w:t>were</w:t>
      </w:r>
      <w:r w:rsidR="00ED2610" w:rsidRPr="0098635C">
        <w:rPr>
          <w:color w:val="000000" w:themeColor="text1"/>
          <w:spacing w:val="25"/>
          <w:sz w:val="20"/>
        </w:rPr>
        <w:t xml:space="preserve"> </w:t>
      </w:r>
      <w:r w:rsidR="00ED2610" w:rsidRPr="0098635C">
        <w:rPr>
          <w:color w:val="000000" w:themeColor="text1"/>
          <w:sz w:val="20"/>
        </w:rPr>
        <w:t>within</w:t>
      </w:r>
      <w:r w:rsidR="00ED2610" w:rsidRPr="0098635C">
        <w:rPr>
          <w:color w:val="000000" w:themeColor="text1"/>
          <w:spacing w:val="23"/>
          <w:sz w:val="20"/>
        </w:rPr>
        <w:t xml:space="preserve"> </w:t>
      </w:r>
      <w:r w:rsidR="00ED2610" w:rsidRPr="0098635C">
        <w:rPr>
          <w:color w:val="000000" w:themeColor="text1"/>
          <w:sz w:val="20"/>
        </w:rPr>
        <w:t>the</w:t>
      </w:r>
      <w:r w:rsidR="006F5C7C" w:rsidRPr="0098635C">
        <w:rPr>
          <w:color w:val="000000" w:themeColor="text1"/>
          <w:sz w:val="20"/>
        </w:rPr>
        <w:t xml:space="preserve"> required OECD </w:t>
      </w:r>
      <w:r w:rsidR="00ED2610" w:rsidRPr="0098635C">
        <w:rPr>
          <w:color w:val="000000" w:themeColor="text1"/>
          <w:spacing w:val="-1"/>
          <w:sz w:val="20"/>
        </w:rPr>
        <w:t>specifications.</w:t>
      </w:r>
      <w:r w:rsidR="00ED2610" w:rsidRPr="0098635C">
        <w:rPr>
          <w:color w:val="000000" w:themeColor="text1"/>
          <w:spacing w:val="24"/>
          <w:sz w:val="20"/>
        </w:rPr>
        <w:t xml:space="preserve"> </w:t>
      </w:r>
      <w:r w:rsidRPr="0098635C">
        <w:rPr>
          <w:color w:val="000000" w:themeColor="text1"/>
          <w:spacing w:val="-2"/>
          <w:sz w:val="20"/>
        </w:rPr>
        <w:t>In</w:t>
      </w:r>
      <w:r w:rsidRPr="0098635C">
        <w:rPr>
          <w:color w:val="000000" w:themeColor="text1"/>
          <w:sz w:val="20"/>
        </w:rPr>
        <w:t xml:space="preserve"> the</w:t>
      </w:r>
      <w:r w:rsidRPr="0098635C">
        <w:rPr>
          <w:color w:val="000000" w:themeColor="text1"/>
          <w:spacing w:val="-1"/>
          <w:sz w:val="20"/>
        </w:rPr>
        <w:t xml:space="preserve"> </w:t>
      </w:r>
      <w:r w:rsidRPr="0098635C">
        <w:rPr>
          <w:color w:val="000000" w:themeColor="text1"/>
          <w:sz w:val="20"/>
        </w:rPr>
        <w:t>Wesson (2001)</w:t>
      </w:r>
      <w:r w:rsidRPr="0098635C">
        <w:rPr>
          <w:color w:val="000000" w:themeColor="text1"/>
          <w:spacing w:val="54"/>
          <w:w w:val="99"/>
          <w:sz w:val="20"/>
        </w:rPr>
        <w:t xml:space="preserve"> </w:t>
      </w:r>
      <w:r w:rsidRPr="0098635C">
        <w:rPr>
          <w:color w:val="000000" w:themeColor="text1"/>
          <w:spacing w:val="-1"/>
          <w:sz w:val="20"/>
        </w:rPr>
        <w:t xml:space="preserve">study a </w:t>
      </w:r>
      <w:r w:rsidRPr="0098635C">
        <w:rPr>
          <w:color w:val="000000" w:themeColor="text1"/>
          <w:sz w:val="20"/>
        </w:rPr>
        <w:t>particle</w:t>
      </w:r>
      <w:r w:rsidRPr="0098635C">
        <w:rPr>
          <w:color w:val="000000" w:themeColor="text1"/>
          <w:spacing w:val="-15"/>
          <w:sz w:val="20"/>
        </w:rPr>
        <w:t xml:space="preserve"> </w:t>
      </w:r>
      <w:r w:rsidRPr="0098635C">
        <w:rPr>
          <w:color w:val="000000" w:themeColor="text1"/>
          <w:sz w:val="20"/>
        </w:rPr>
        <w:t>size</w:t>
      </w:r>
      <w:r w:rsidRPr="0098635C">
        <w:rPr>
          <w:color w:val="000000" w:themeColor="text1"/>
          <w:spacing w:val="-14"/>
          <w:sz w:val="20"/>
        </w:rPr>
        <w:t xml:space="preserve"> </w:t>
      </w:r>
      <w:r w:rsidRPr="0098635C">
        <w:rPr>
          <w:color w:val="000000" w:themeColor="text1"/>
          <w:sz w:val="20"/>
        </w:rPr>
        <w:t>MMAD</w:t>
      </w:r>
      <w:r w:rsidRPr="0098635C">
        <w:rPr>
          <w:color w:val="000000" w:themeColor="text1"/>
          <w:spacing w:val="52"/>
          <w:w w:val="99"/>
          <w:sz w:val="20"/>
        </w:rPr>
        <w:t xml:space="preserve"> </w:t>
      </w:r>
      <w:r w:rsidRPr="0098635C">
        <w:rPr>
          <w:color w:val="000000" w:themeColor="text1"/>
          <w:spacing w:val="-1"/>
          <w:sz w:val="20"/>
        </w:rPr>
        <w:t>of</w:t>
      </w:r>
      <w:r w:rsidRPr="0098635C">
        <w:rPr>
          <w:color w:val="000000" w:themeColor="text1"/>
          <w:spacing w:val="-24"/>
          <w:sz w:val="20"/>
        </w:rPr>
        <w:t xml:space="preserve"> </w:t>
      </w:r>
      <w:r w:rsidRPr="0098635C">
        <w:rPr>
          <w:color w:val="000000" w:themeColor="text1"/>
          <w:sz w:val="20"/>
        </w:rPr>
        <w:t>around</w:t>
      </w:r>
      <w:r w:rsidRPr="0098635C">
        <w:rPr>
          <w:color w:val="000000" w:themeColor="text1"/>
          <w:spacing w:val="-23"/>
          <w:sz w:val="20"/>
        </w:rPr>
        <w:t xml:space="preserve"> </w:t>
      </w:r>
      <w:r w:rsidRPr="0098635C">
        <w:rPr>
          <w:color w:val="000000" w:themeColor="text1"/>
          <w:sz w:val="20"/>
        </w:rPr>
        <w:t>5</w:t>
      </w:r>
      <w:r w:rsidRPr="0098635C">
        <w:rPr>
          <w:color w:val="000000" w:themeColor="text1"/>
          <w:spacing w:val="-23"/>
          <w:sz w:val="20"/>
        </w:rPr>
        <w:t xml:space="preserve"> </w:t>
      </w:r>
      <w:r w:rsidRPr="0098635C">
        <w:rPr>
          <w:color w:val="000000" w:themeColor="text1"/>
          <w:spacing w:val="-1"/>
          <w:sz w:val="20"/>
        </w:rPr>
        <w:t>µm</w:t>
      </w:r>
      <w:r w:rsidRPr="0098635C">
        <w:rPr>
          <w:color w:val="000000" w:themeColor="text1"/>
          <w:spacing w:val="-21"/>
          <w:sz w:val="20"/>
        </w:rPr>
        <w:t xml:space="preserve"> </w:t>
      </w:r>
      <w:r w:rsidRPr="0098635C">
        <w:rPr>
          <w:color w:val="000000" w:themeColor="text1"/>
          <w:sz w:val="20"/>
        </w:rPr>
        <w:t>(4.49-5.86</w:t>
      </w:r>
      <w:r w:rsidRPr="0098635C">
        <w:rPr>
          <w:color w:val="000000" w:themeColor="text1"/>
          <w:spacing w:val="-23"/>
          <w:sz w:val="20"/>
        </w:rPr>
        <w:t xml:space="preserve"> </w:t>
      </w:r>
      <w:r w:rsidRPr="0098635C">
        <w:rPr>
          <w:color w:val="000000" w:themeColor="text1"/>
          <w:spacing w:val="-1"/>
          <w:sz w:val="20"/>
        </w:rPr>
        <w:t>µm,</w:t>
      </w:r>
      <w:r w:rsidRPr="0098635C">
        <w:rPr>
          <w:color w:val="000000" w:themeColor="text1"/>
          <w:spacing w:val="-24"/>
          <w:sz w:val="20"/>
        </w:rPr>
        <w:t xml:space="preserve"> </w:t>
      </w:r>
      <w:r w:rsidRPr="0098635C">
        <w:rPr>
          <w:color w:val="000000" w:themeColor="text1"/>
          <w:sz w:val="20"/>
        </w:rPr>
        <w:t>geometric</w:t>
      </w:r>
      <w:r w:rsidRPr="0098635C">
        <w:rPr>
          <w:color w:val="000000" w:themeColor="text1"/>
          <w:spacing w:val="-25"/>
          <w:sz w:val="20"/>
        </w:rPr>
        <w:t xml:space="preserve"> </w:t>
      </w:r>
      <w:r w:rsidRPr="0098635C">
        <w:rPr>
          <w:color w:val="000000" w:themeColor="text1"/>
          <w:sz w:val="20"/>
        </w:rPr>
        <w:t>mean</w:t>
      </w:r>
      <w:r w:rsidRPr="0098635C">
        <w:rPr>
          <w:color w:val="000000" w:themeColor="text1"/>
          <w:spacing w:val="-23"/>
          <w:sz w:val="20"/>
        </w:rPr>
        <w:t xml:space="preserve"> </w:t>
      </w:r>
      <w:r w:rsidRPr="0098635C">
        <w:rPr>
          <w:color w:val="000000" w:themeColor="text1"/>
          <w:spacing w:val="-1"/>
          <w:sz w:val="20"/>
        </w:rPr>
        <w:t>standard</w:t>
      </w:r>
      <w:r w:rsidRPr="0098635C">
        <w:rPr>
          <w:color w:val="000000" w:themeColor="text1"/>
          <w:spacing w:val="-23"/>
          <w:sz w:val="20"/>
        </w:rPr>
        <w:t xml:space="preserve"> </w:t>
      </w:r>
      <w:r w:rsidRPr="0098635C">
        <w:rPr>
          <w:color w:val="000000" w:themeColor="text1"/>
          <w:sz w:val="20"/>
        </w:rPr>
        <w:t>deviation</w:t>
      </w:r>
      <w:r w:rsidRPr="0098635C">
        <w:rPr>
          <w:color w:val="000000" w:themeColor="text1"/>
          <w:spacing w:val="-23"/>
          <w:sz w:val="20"/>
        </w:rPr>
        <w:t xml:space="preserve"> </w:t>
      </w:r>
      <w:r w:rsidRPr="0098635C">
        <w:rPr>
          <w:color w:val="000000" w:themeColor="text1"/>
          <w:spacing w:val="-1"/>
          <w:sz w:val="20"/>
        </w:rPr>
        <w:t>(GSD)</w:t>
      </w:r>
      <w:r w:rsidRPr="0098635C">
        <w:rPr>
          <w:color w:val="000000" w:themeColor="text1"/>
          <w:spacing w:val="-22"/>
          <w:sz w:val="20"/>
        </w:rPr>
        <w:t xml:space="preserve"> </w:t>
      </w:r>
      <w:r w:rsidRPr="0098635C">
        <w:rPr>
          <w:color w:val="000000" w:themeColor="text1"/>
          <w:spacing w:val="-1"/>
          <w:sz w:val="20"/>
        </w:rPr>
        <w:t>2.73-3.25)</w:t>
      </w:r>
      <w:r w:rsidRPr="0098635C">
        <w:rPr>
          <w:color w:val="000000" w:themeColor="text1"/>
          <w:spacing w:val="-23"/>
          <w:sz w:val="20"/>
        </w:rPr>
        <w:t xml:space="preserve"> </w:t>
      </w:r>
      <w:r w:rsidRPr="0098635C">
        <w:rPr>
          <w:color w:val="000000" w:themeColor="text1"/>
          <w:sz w:val="20"/>
        </w:rPr>
        <w:t>was</w:t>
      </w:r>
      <w:r w:rsidRPr="0098635C">
        <w:rPr>
          <w:color w:val="000000" w:themeColor="text1"/>
          <w:spacing w:val="-25"/>
          <w:sz w:val="20"/>
        </w:rPr>
        <w:t xml:space="preserve"> </w:t>
      </w:r>
      <w:r w:rsidRPr="0098635C">
        <w:rPr>
          <w:color w:val="000000" w:themeColor="text1"/>
          <w:sz w:val="20"/>
        </w:rPr>
        <w:t xml:space="preserve">tested, but with a </w:t>
      </w:r>
      <w:r w:rsidR="000B64FE" w:rsidRPr="0098635C">
        <w:rPr>
          <w:color w:val="000000" w:themeColor="text1"/>
          <w:sz w:val="20"/>
        </w:rPr>
        <w:t xml:space="preserve">proportion </w:t>
      </w:r>
      <w:r w:rsidRPr="0098635C">
        <w:rPr>
          <w:color w:val="000000" w:themeColor="text1"/>
          <w:sz w:val="20"/>
        </w:rPr>
        <w:t>of very fine particles</w:t>
      </w:r>
      <w:r w:rsidR="000B64FE" w:rsidRPr="0098635C">
        <w:rPr>
          <w:color w:val="000000" w:themeColor="text1"/>
          <w:sz w:val="20"/>
        </w:rPr>
        <w:t xml:space="preserve"> present</w:t>
      </w:r>
      <w:r w:rsidRPr="0098635C">
        <w:rPr>
          <w:color w:val="000000" w:themeColor="text1"/>
          <w:sz w:val="20"/>
        </w:rPr>
        <w:t>,</w:t>
      </w:r>
      <w:r w:rsidR="006F5C7C" w:rsidRPr="0098635C">
        <w:rPr>
          <w:color w:val="000000" w:themeColor="text1"/>
          <w:sz w:val="20"/>
        </w:rPr>
        <w:t>).</w:t>
      </w:r>
      <w:r w:rsidRPr="0098635C">
        <w:rPr>
          <w:color w:val="000000" w:themeColor="text1"/>
          <w:sz w:val="20"/>
        </w:rPr>
        <w:t xml:space="preserve">  The</w:t>
      </w:r>
      <w:r w:rsidR="00ED2610" w:rsidRPr="0098635C">
        <w:rPr>
          <w:color w:val="000000" w:themeColor="text1"/>
          <w:spacing w:val="22"/>
          <w:sz w:val="20"/>
        </w:rPr>
        <w:t xml:space="preserve"> </w:t>
      </w:r>
      <w:r w:rsidR="00ED2610" w:rsidRPr="0098635C">
        <w:rPr>
          <w:color w:val="000000" w:themeColor="text1"/>
          <w:spacing w:val="-1"/>
          <w:sz w:val="20"/>
        </w:rPr>
        <w:t>test</w:t>
      </w:r>
      <w:r w:rsidR="00ED2610" w:rsidRPr="0098635C">
        <w:rPr>
          <w:color w:val="000000" w:themeColor="text1"/>
          <w:spacing w:val="24"/>
          <w:sz w:val="20"/>
        </w:rPr>
        <w:t xml:space="preserve"> </w:t>
      </w:r>
      <w:r w:rsidR="00ED2610" w:rsidRPr="0098635C">
        <w:rPr>
          <w:color w:val="000000" w:themeColor="text1"/>
          <w:sz w:val="20"/>
        </w:rPr>
        <w:t>concentrations</w:t>
      </w:r>
      <w:r w:rsidR="00ED2610" w:rsidRPr="0098635C">
        <w:rPr>
          <w:color w:val="000000" w:themeColor="text1"/>
          <w:spacing w:val="22"/>
          <w:sz w:val="20"/>
        </w:rPr>
        <w:t xml:space="preserve"> </w:t>
      </w:r>
      <w:r w:rsidR="00ED2610" w:rsidRPr="0098635C">
        <w:rPr>
          <w:color w:val="000000" w:themeColor="text1"/>
          <w:spacing w:val="1"/>
          <w:sz w:val="20"/>
        </w:rPr>
        <w:t>in</w:t>
      </w:r>
      <w:r w:rsidR="00ED2610" w:rsidRPr="0098635C">
        <w:rPr>
          <w:color w:val="000000" w:themeColor="text1"/>
          <w:spacing w:val="24"/>
          <w:sz w:val="20"/>
        </w:rPr>
        <w:t xml:space="preserve"> </w:t>
      </w:r>
      <w:r w:rsidR="00ED2610" w:rsidRPr="0098635C">
        <w:rPr>
          <w:color w:val="000000" w:themeColor="text1"/>
          <w:spacing w:val="-1"/>
          <w:sz w:val="20"/>
        </w:rPr>
        <w:t>the</w:t>
      </w:r>
      <w:r w:rsidR="00ED2610" w:rsidRPr="0098635C">
        <w:rPr>
          <w:color w:val="000000" w:themeColor="text1"/>
          <w:spacing w:val="22"/>
          <w:sz w:val="20"/>
        </w:rPr>
        <w:t xml:space="preserve"> </w:t>
      </w:r>
      <w:r w:rsidR="00ED2610" w:rsidRPr="0098635C">
        <w:rPr>
          <w:color w:val="000000" w:themeColor="text1"/>
          <w:spacing w:val="-1"/>
          <w:sz w:val="20"/>
        </w:rPr>
        <w:t>Wesson</w:t>
      </w:r>
      <w:r w:rsidR="00ED2610" w:rsidRPr="0098635C">
        <w:rPr>
          <w:color w:val="000000" w:themeColor="text1"/>
          <w:spacing w:val="24"/>
          <w:sz w:val="20"/>
        </w:rPr>
        <w:t xml:space="preserve"> </w:t>
      </w:r>
      <w:r w:rsidR="00ED2610" w:rsidRPr="0098635C">
        <w:rPr>
          <w:color w:val="000000" w:themeColor="text1"/>
          <w:sz w:val="20"/>
        </w:rPr>
        <w:t>(2001)</w:t>
      </w:r>
      <w:r w:rsidR="00ED2610" w:rsidRPr="0098635C">
        <w:rPr>
          <w:color w:val="000000" w:themeColor="text1"/>
          <w:spacing w:val="58"/>
          <w:w w:val="99"/>
          <w:sz w:val="20"/>
        </w:rPr>
        <w:t xml:space="preserve"> </w:t>
      </w:r>
      <w:r w:rsidR="00ED2610" w:rsidRPr="0098635C">
        <w:rPr>
          <w:color w:val="000000" w:themeColor="text1"/>
          <w:sz w:val="20"/>
        </w:rPr>
        <w:t>study</w:t>
      </w:r>
      <w:r w:rsidR="00ED2610" w:rsidRPr="0098635C">
        <w:rPr>
          <w:color w:val="000000" w:themeColor="text1"/>
          <w:spacing w:val="70"/>
          <w:sz w:val="20"/>
        </w:rPr>
        <w:t xml:space="preserve"> </w:t>
      </w:r>
      <w:r w:rsidR="00ED2610" w:rsidRPr="0098635C">
        <w:rPr>
          <w:color w:val="000000" w:themeColor="text1"/>
          <w:sz w:val="20"/>
        </w:rPr>
        <w:t>were</w:t>
      </w:r>
      <w:r w:rsidRPr="0098635C">
        <w:rPr>
          <w:color w:val="000000" w:themeColor="text1"/>
          <w:spacing w:val="69"/>
          <w:sz w:val="20"/>
        </w:rPr>
        <w:t xml:space="preserve"> </w:t>
      </w:r>
      <w:r w:rsidRPr="0098635C">
        <w:rPr>
          <w:color w:val="000000" w:themeColor="text1"/>
          <w:sz w:val="20"/>
        </w:rPr>
        <w:t>not</w:t>
      </w:r>
      <w:r w:rsidR="00ED2610" w:rsidRPr="0098635C">
        <w:rPr>
          <w:color w:val="000000" w:themeColor="text1"/>
          <w:spacing w:val="3"/>
          <w:sz w:val="20"/>
        </w:rPr>
        <w:t xml:space="preserve"> </w:t>
      </w:r>
      <w:r w:rsidR="000B64FE" w:rsidRPr="0098635C">
        <w:rPr>
          <w:color w:val="000000" w:themeColor="text1"/>
          <w:sz w:val="20"/>
        </w:rPr>
        <w:t>within the guideline requirements</w:t>
      </w:r>
      <w:r w:rsidR="00ED2610" w:rsidRPr="0098635C">
        <w:rPr>
          <w:color w:val="000000" w:themeColor="text1"/>
          <w:sz w:val="20"/>
        </w:rPr>
        <w:t>:</w:t>
      </w:r>
      <w:r w:rsidR="00ED2610" w:rsidRPr="0098635C">
        <w:rPr>
          <w:color w:val="000000" w:themeColor="text1"/>
          <w:spacing w:val="1"/>
          <w:sz w:val="20"/>
        </w:rPr>
        <w:t xml:space="preserve"> </w:t>
      </w:r>
      <w:r w:rsidR="00ED2610" w:rsidRPr="0098635C">
        <w:rPr>
          <w:color w:val="000000" w:themeColor="text1"/>
          <w:sz w:val="20"/>
        </w:rPr>
        <w:t>all</w:t>
      </w:r>
      <w:r w:rsidR="00ED2610" w:rsidRPr="0098635C">
        <w:rPr>
          <w:color w:val="000000" w:themeColor="text1"/>
          <w:spacing w:val="2"/>
          <w:sz w:val="20"/>
        </w:rPr>
        <w:t xml:space="preserve"> </w:t>
      </w:r>
      <w:r w:rsidR="00ED2610" w:rsidRPr="0098635C">
        <w:rPr>
          <w:color w:val="000000" w:themeColor="text1"/>
          <w:spacing w:val="-1"/>
          <w:sz w:val="20"/>
        </w:rPr>
        <w:t>exceeded</w:t>
      </w:r>
      <w:r w:rsidR="00ED2610" w:rsidRPr="0098635C">
        <w:rPr>
          <w:color w:val="000000" w:themeColor="text1"/>
          <w:spacing w:val="1"/>
          <w:sz w:val="20"/>
        </w:rPr>
        <w:t xml:space="preserve"> the</w:t>
      </w:r>
      <w:r w:rsidR="00ED2610" w:rsidRPr="0098635C">
        <w:rPr>
          <w:color w:val="000000" w:themeColor="text1"/>
          <w:spacing w:val="2"/>
          <w:sz w:val="20"/>
        </w:rPr>
        <w:t xml:space="preserve"> </w:t>
      </w:r>
      <w:r w:rsidR="000B64FE" w:rsidRPr="0098635C">
        <w:rPr>
          <w:color w:val="000000" w:themeColor="text1"/>
          <w:sz w:val="20"/>
        </w:rPr>
        <w:t>stated</w:t>
      </w:r>
      <w:r w:rsidR="000B64FE" w:rsidRPr="0098635C">
        <w:rPr>
          <w:color w:val="000000" w:themeColor="text1"/>
          <w:spacing w:val="1"/>
          <w:sz w:val="20"/>
        </w:rPr>
        <w:t xml:space="preserve"> </w:t>
      </w:r>
      <w:r w:rsidR="00ED2610" w:rsidRPr="0098635C">
        <w:rPr>
          <w:color w:val="000000" w:themeColor="text1"/>
          <w:spacing w:val="-1"/>
          <w:sz w:val="20"/>
        </w:rPr>
        <w:t>±15</w:t>
      </w:r>
      <w:r w:rsidR="00ED2610" w:rsidRPr="0098635C">
        <w:rPr>
          <w:color w:val="000000" w:themeColor="text1"/>
          <w:spacing w:val="3"/>
          <w:sz w:val="20"/>
        </w:rPr>
        <w:t xml:space="preserve"> </w:t>
      </w:r>
      <w:r w:rsidR="00ED2610" w:rsidRPr="0098635C">
        <w:rPr>
          <w:color w:val="000000" w:themeColor="text1"/>
          <w:spacing w:val="-1"/>
          <w:sz w:val="20"/>
        </w:rPr>
        <w:t>or</w:t>
      </w:r>
      <w:r w:rsidR="00ED2610" w:rsidRPr="0098635C">
        <w:rPr>
          <w:color w:val="000000" w:themeColor="text1"/>
          <w:spacing w:val="1"/>
          <w:sz w:val="20"/>
        </w:rPr>
        <w:t xml:space="preserve"> </w:t>
      </w:r>
      <w:r w:rsidR="00ED2610" w:rsidRPr="0098635C">
        <w:rPr>
          <w:color w:val="000000" w:themeColor="text1"/>
          <w:sz w:val="20"/>
        </w:rPr>
        <w:t>±25%</w:t>
      </w:r>
      <w:r w:rsidR="00ED2610" w:rsidRPr="0098635C">
        <w:rPr>
          <w:color w:val="000000" w:themeColor="text1"/>
          <w:spacing w:val="2"/>
          <w:sz w:val="20"/>
        </w:rPr>
        <w:t xml:space="preserve"> </w:t>
      </w:r>
      <w:r w:rsidR="00ED2610" w:rsidRPr="0098635C">
        <w:rPr>
          <w:color w:val="000000" w:themeColor="text1"/>
          <w:spacing w:val="-1"/>
          <w:sz w:val="20"/>
        </w:rPr>
        <w:t>of</w:t>
      </w:r>
      <w:r w:rsidR="00ED2610" w:rsidRPr="0098635C">
        <w:rPr>
          <w:color w:val="000000" w:themeColor="text1"/>
          <w:spacing w:val="2"/>
          <w:sz w:val="20"/>
        </w:rPr>
        <w:t xml:space="preserve"> </w:t>
      </w:r>
      <w:r w:rsidR="00ED2610" w:rsidRPr="0098635C">
        <w:rPr>
          <w:color w:val="000000" w:themeColor="text1"/>
          <w:sz w:val="20"/>
        </w:rPr>
        <w:t>the</w:t>
      </w:r>
      <w:r w:rsidR="00ED2610" w:rsidRPr="0098635C">
        <w:rPr>
          <w:color w:val="000000" w:themeColor="text1"/>
          <w:spacing w:val="2"/>
          <w:sz w:val="20"/>
        </w:rPr>
        <w:t xml:space="preserve"> </w:t>
      </w:r>
      <w:r w:rsidR="00ED2610" w:rsidRPr="0098635C">
        <w:rPr>
          <w:color w:val="000000" w:themeColor="text1"/>
          <w:sz w:val="20"/>
        </w:rPr>
        <w:t>mean achieved</w:t>
      </w:r>
      <w:r w:rsidR="00ED2610" w:rsidRPr="0098635C">
        <w:rPr>
          <w:color w:val="000000" w:themeColor="text1"/>
          <w:spacing w:val="38"/>
          <w:w w:val="99"/>
          <w:sz w:val="20"/>
        </w:rPr>
        <w:t xml:space="preserve"> </w:t>
      </w:r>
      <w:r w:rsidR="00ED2610" w:rsidRPr="0098635C">
        <w:rPr>
          <w:color w:val="000000" w:themeColor="text1"/>
          <w:sz w:val="20"/>
        </w:rPr>
        <w:t>concentration</w:t>
      </w:r>
      <w:r w:rsidR="00ED2610" w:rsidRPr="0098635C">
        <w:rPr>
          <w:color w:val="000000" w:themeColor="text1"/>
          <w:spacing w:val="12"/>
          <w:sz w:val="20"/>
        </w:rPr>
        <w:t xml:space="preserve"> </w:t>
      </w:r>
      <w:r w:rsidR="00ED2610" w:rsidRPr="0098635C">
        <w:rPr>
          <w:color w:val="000000" w:themeColor="text1"/>
          <w:sz w:val="20"/>
        </w:rPr>
        <w:t>at</w:t>
      </w:r>
      <w:r w:rsidR="00ED2610" w:rsidRPr="0098635C">
        <w:rPr>
          <w:color w:val="000000" w:themeColor="text1"/>
          <w:spacing w:val="13"/>
          <w:sz w:val="20"/>
        </w:rPr>
        <w:t xml:space="preserve"> </w:t>
      </w:r>
      <w:r w:rsidR="00ED2610" w:rsidRPr="0098635C">
        <w:rPr>
          <w:color w:val="000000" w:themeColor="text1"/>
          <w:sz w:val="20"/>
        </w:rPr>
        <w:t>various</w:t>
      </w:r>
      <w:r w:rsidR="00ED2610" w:rsidRPr="0098635C">
        <w:rPr>
          <w:color w:val="000000" w:themeColor="text1"/>
          <w:spacing w:val="11"/>
          <w:sz w:val="20"/>
        </w:rPr>
        <w:t xml:space="preserve"> </w:t>
      </w:r>
      <w:r w:rsidR="00ED2610" w:rsidRPr="0098635C">
        <w:rPr>
          <w:color w:val="000000" w:themeColor="text1"/>
          <w:sz w:val="20"/>
        </w:rPr>
        <w:t>time</w:t>
      </w:r>
      <w:r w:rsidR="00ED2610" w:rsidRPr="0098635C">
        <w:rPr>
          <w:color w:val="000000" w:themeColor="text1"/>
          <w:spacing w:val="12"/>
          <w:sz w:val="20"/>
        </w:rPr>
        <w:t xml:space="preserve"> </w:t>
      </w:r>
      <w:r w:rsidR="00ED2610" w:rsidRPr="0098635C">
        <w:rPr>
          <w:color w:val="000000" w:themeColor="text1"/>
          <w:spacing w:val="-1"/>
          <w:sz w:val="20"/>
        </w:rPr>
        <w:t>points</w:t>
      </w:r>
      <w:r w:rsidR="00ED2610" w:rsidRPr="0098635C">
        <w:rPr>
          <w:color w:val="000000" w:themeColor="text1"/>
          <w:spacing w:val="11"/>
          <w:sz w:val="20"/>
        </w:rPr>
        <w:t xml:space="preserve"> </w:t>
      </w:r>
      <w:r w:rsidR="00ED2610" w:rsidRPr="0098635C">
        <w:rPr>
          <w:color w:val="000000" w:themeColor="text1"/>
          <w:sz w:val="20"/>
        </w:rPr>
        <w:t>during</w:t>
      </w:r>
      <w:r w:rsidR="00ED2610" w:rsidRPr="0098635C">
        <w:rPr>
          <w:color w:val="000000" w:themeColor="text1"/>
          <w:spacing w:val="10"/>
          <w:sz w:val="20"/>
        </w:rPr>
        <w:t xml:space="preserve"> </w:t>
      </w:r>
      <w:r w:rsidR="00ED2610" w:rsidRPr="0098635C">
        <w:rPr>
          <w:color w:val="000000" w:themeColor="text1"/>
          <w:spacing w:val="-1"/>
          <w:sz w:val="20"/>
        </w:rPr>
        <w:t>the</w:t>
      </w:r>
      <w:r w:rsidR="00ED2610" w:rsidRPr="0098635C">
        <w:rPr>
          <w:color w:val="000000" w:themeColor="text1"/>
          <w:spacing w:val="11"/>
          <w:sz w:val="20"/>
        </w:rPr>
        <w:t xml:space="preserve"> </w:t>
      </w:r>
      <w:r w:rsidR="00ED2610" w:rsidRPr="0098635C">
        <w:rPr>
          <w:color w:val="000000" w:themeColor="text1"/>
          <w:spacing w:val="-1"/>
          <w:sz w:val="20"/>
        </w:rPr>
        <w:t>exposure</w:t>
      </w:r>
      <w:r w:rsidR="00ED2610" w:rsidRPr="0098635C">
        <w:rPr>
          <w:color w:val="000000" w:themeColor="text1"/>
          <w:spacing w:val="11"/>
          <w:sz w:val="20"/>
        </w:rPr>
        <w:t xml:space="preserve"> </w:t>
      </w:r>
      <w:r w:rsidR="00ED2610" w:rsidRPr="0098635C">
        <w:rPr>
          <w:color w:val="000000" w:themeColor="text1"/>
          <w:sz w:val="20"/>
        </w:rPr>
        <w:t>period,</w:t>
      </w:r>
      <w:r w:rsidR="00ED2610" w:rsidRPr="0098635C">
        <w:rPr>
          <w:color w:val="000000" w:themeColor="text1"/>
          <w:spacing w:val="12"/>
          <w:sz w:val="20"/>
        </w:rPr>
        <w:t xml:space="preserve"> </w:t>
      </w:r>
      <w:r w:rsidR="00ED2610" w:rsidRPr="0098635C">
        <w:rPr>
          <w:color w:val="000000" w:themeColor="text1"/>
          <w:sz w:val="20"/>
        </w:rPr>
        <w:t>and</w:t>
      </w:r>
      <w:r w:rsidR="00ED2610" w:rsidRPr="0098635C">
        <w:rPr>
          <w:color w:val="000000" w:themeColor="text1"/>
          <w:spacing w:val="15"/>
          <w:sz w:val="20"/>
        </w:rPr>
        <w:t xml:space="preserve"> </w:t>
      </w:r>
      <w:r w:rsidR="00ED2610" w:rsidRPr="0098635C">
        <w:rPr>
          <w:color w:val="000000" w:themeColor="text1"/>
          <w:sz w:val="20"/>
        </w:rPr>
        <w:t>were</w:t>
      </w:r>
      <w:r w:rsidR="00ED2610" w:rsidRPr="0098635C">
        <w:rPr>
          <w:color w:val="000000" w:themeColor="text1"/>
          <w:spacing w:val="11"/>
          <w:sz w:val="20"/>
        </w:rPr>
        <w:t xml:space="preserve"> </w:t>
      </w:r>
      <w:r w:rsidR="00ED2610" w:rsidRPr="0098635C">
        <w:rPr>
          <w:color w:val="000000" w:themeColor="text1"/>
          <w:sz w:val="20"/>
        </w:rPr>
        <w:t>also</w:t>
      </w:r>
      <w:r w:rsidR="00ED2610" w:rsidRPr="0098635C">
        <w:rPr>
          <w:color w:val="000000" w:themeColor="text1"/>
          <w:spacing w:val="11"/>
          <w:sz w:val="20"/>
        </w:rPr>
        <w:t xml:space="preserve"> </w:t>
      </w:r>
      <w:r w:rsidR="00ED2610" w:rsidRPr="0098635C">
        <w:rPr>
          <w:color w:val="000000" w:themeColor="text1"/>
          <w:sz w:val="20"/>
        </w:rPr>
        <w:t>high</w:t>
      </w:r>
      <w:r w:rsidR="00ED2610" w:rsidRPr="0098635C">
        <w:rPr>
          <w:color w:val="000000" w:themeColor="text1"/>
          <w:spacing w:val="11"/>
          <w:sz w:val="20"/>
        </w:rPr>
        <w:t xml:space="preserve"> </w:t>
      </w:r>
      <w:r w:rsidR="00ED2610" w:rsidRPr="0098635C">
        <w:rPr>
          <w:color w:val="000000" w:themeColor="text1"/>
          <w:spacing w:val="-1"/>
          <w:sz w:val="20"/>
        </w:rPr>
        <w:t>(15-70%</w:t>
      </w:r>
      <w:r w:rsidR="00ED2610" w:rsidRPr="0098635C">
        <w:rPr>
          <w:color w:val="000000" w:themeColor="text1"/>
          <w:spacing w:val="60"/>
          <w:w w:val="99"/>
          <w:sz w:val="20"/>
        </w:rPr>
        <w:t xml:space="preserve"> </w:t>
      </w:r>
      <w:r w:rsidR="00ED2610" w:rsidRPr="0098635C">
        <w:rPr>
          <w:color w:val="000000" w:themeColor="text1"/>
          <w:sz w:val="20"/>
        </w:rPr>
        <w:t>above</w:t>
      </w:r>
      <w:r w:rsidR="00ED2610" w:rsidRPr="0098635C">
        <w:rPr>
          <w:color w:val="000000" w:themeColor="text1"/>
          <w:spacing w:val="-16"/>
          <w:sz w:val="20"/>
        </w:rPr>
        <w:t xml:space="preserve"> </w:t>
      </w:r>
      <w:r w:rsidR="00ED2610" w:rsidRPr="0098635C">
        <w:rPr>
          <w:color w:val="000000" w:themeColor="text1"/>
          <w:sz w:val="20"/>
        </w:rPr>
        <w:t>the</w:t>
      </w:r>
      <w:r w:rsidR="00ED2610" w:rsidRPr="0098635C">
        <w:rPr>
          <w:color w:val="000000" w:themeColor="text1"/>
          <w:spacing w:val="-13"/>
          <w:sz w:val="20"/>
        </w:rPr>
        <w:t xml:space="preserve"> </w:t>
      </w:r>
      <w:r w:rsidR="00ED2610" w:rsidRPr="0098635C">
        <w:rPr>
          <w:color w:val="000000" w:themeColor="text1"/>
          <w:sz w:val="20"/>
        </w:rPr>
        <w:t>mean</w:t>
      </w:r>
      <w:r w:rsidR="00ED2610" w:rsidRPr="0098635C">
        <w:rPr>
          <w:color w:val="000000" w:themeColor="text1"/>
          <w:spacing w:val="-13"/>
          <w:sz w:val="20"/>
        </w:rPr>
        <w:t xml:space="preserve"> </w:t>
      </w:r>
      <w:r w:rsidR="00ED2610" w:rsidRPr="0098635C">
        <w:rPr>
          <w:color w:val="000000" w:themeColor="text1"/>
          <w:sz w:val="20"/>
        </w:rPr>
        <w:t>value)</w:t>
      </w:r>
      <w:r w:rsidR="00ED2610" w:rsidRPr="0098635C">
        <w:rPr>
          <w:color w:val="000000" w:themeColor="text1"/>
          <w:spacing w:val="-12"/>
          <w:sz w:val="20"/>
        </w:rPr>
        <w:t xml:space="preserve"> </w:t>
      </w:r>
      <w:r w:rsidR="00ED2610" w:rsidRPr="0098635C">
        <w:rPr>
          <w:color w:val="000000" w:themeColor="text1"/>
          <w:sz w:val="20"/>
        </w:rPr>
        <w:t>at</w:t>
      </w:r>
      <w:r w:rsidR="00ED2610" w:rsidRPr="0098635C">
        <w:rPr>
          <w:color w:val="000000" w:themeColor="text1"/>
          <w:spacing w:val="-14"/>
          <w:sz w:val="20"/>
        </w:rPr>
        <w:t xml:space="preserve"> </w:t>
      </w:r>
      <w:r w:rsidR="00ED2610" w:rsidRPr="0098635C">
        <w:rPr>
          <w:color w:val="000000" w:themeColor="text1"/>
          <w:sz w:val="20"/>
        </w:rPr>
        <w:t>the</w:t>
      </w:r>
      <w:r w:rsidR="00ED2610" w:rsidRPr="0098635C">
        <w:rPr>
          <w:color w:val="000000" w:themeColor="text1"/>
          <w:spacing w:val="-15"/>
          <w:sz w:val="20"/>
        </w:rPr>
        <w:t xml:space="preserve"> </w:t>
      </w:r>
      <w:r w:rsidR="00ED2610" w:rsidRPr="0098635C">
        <w:rPr>
          <w:color w:val="000000" w:themeColor="text1"/>
          <w:sz w:val="20"/>
        </w:rPr>
        <w:t>beginning</w:t>
      </w:r>
      <w:r w:rsidR="000B64FE" w:rsidRPr="0098635C">
        <w:rPr>
          <w:color w:val="000000" w:themeColor="text1"/>
          <w:sz w:val="20"/>
        </w:rPr>
        <w:t xml:space="preserve"> of the study</w:t>
      </w:r>
      <w:r w:rsidR="00ED2610" w:rsidRPr="0098635C">
        <w:rPr>
          <w:color w:val="000000" w:themeColor="text1"/>
          <w:sz w:val="20"/>
        </w:rPr>
        <w:t>.</w:t>
      </w:r>
      <w:r w:rsidRPr="0098635C">
        <w:rPr>
          <w:color w:val="000000" w:themeColor="text1"/>
          <w:spacing w:val="-3"/>
          <w:sz w:val="20"/>
        </w:rPr>
        <w:t xml:space="preserve">   </w:t>
      </w:r>
      <w:r w:rsidR="000B64FE" w:rsidRPr="0098635C">
        <w:rPr>
          <w:color w:val="000000" w:themeColor="text1"/>
          <w:spacing w:val="-3"/>
          <w:sz w:val="20"/>
        </w:rPr>
        <w:t xml:space="preserve">In making a final decision on the classification of coated copper flake, the uncertainties around </w:t>
      </w:r>
      <w:r w:rsidR="00F16880" w:rsidRPr="0098635C">
        <w:rPr>
          <w:color w:val="000000" w:themeColor="text1"/>
          <w:spacing w:val="-3"/>
          <w:sz w:val="20"/>
        </w:rPr>
        <w:t>the</w:t>
      </w:r>
      <w:r w:rsidR="000B64FE" w:rsidRPr="0098635C">
        <w:rPr>
          <w:color w:val="000000" w:themeColor="text1"/>
          <w:spacing w:val="-3"/>
          <w:sz w:val="20"/>
        </w:rPr>
        <w:t xml:space="preserve"> Wesson study</w:t>
      </w:r>
      <w:r w:rsidR="00666F84" w:rsidRPr="0098635C">
        <w:rPr>
          <w:color w:val="000000" w:themeColor="text1"/>
          <w:spacing w:val="-3"/>
          <w:sz w:val="20"/>
        </w:rPr>
        <w:t xml:space="preserve"> </w:t>
      </w:r>
      <w:r w:rsidR="006F5C7C" w:rsidRPr="0098635C">
        <w:rPr>
          <w:color w:val="000000" w:themeColor="text1"/>
          <w:spacing w:val="-3"/>
          <w:sz w:val="20"/>
        </w:rPr>
        <w:t xml:space="preserve">not considered </w:t>
      </w:r>
      <w:r w:rsidR="006F5C7C" w:rsidRPr="0098635C">
        <w:rPr>
          <w:color w:val="000000" w:themeColor="text1"/>
          <w:spacing w:val="-1"/>
          <w:sz w:val="20"/>
        </w:rPr>
        <w:t>sufficient</w:t>
      </w:r>
      <w:r w:rsidR="006F5C7C" w:rsidRPr="0098635C">
        <w:rPr>
          <w:color w:val="000000" w:themeColor="text1"/>
          <w:spacing w:val="35"/>
          <w:sz w:val="20"/>
        </w:rPr>
        <w:t xml:space="preserve"> </w:t>
      </w:r>
      <w:r w:rsidR="006F5C7C" w:rsidRPr="0098635C">
        <w:rPr>
          <w:color w:val="000000" w:themeColor="text1"/>
          <w:sz w:val="20"/>
        </w:rPr>
        <w:t>to</w:t>
      </w:r>
      <w:r w:rsidR="006F5C7C" w:rsidRPr="0098635C">
        <w:rPr>
          <w:color w:val="000000" w:themeColor="text1"/>
          <w:spacing w:val="33"/>
          <w:sz w:val="20"/>
        </w:rPr>
        <w:t xml:space="preserve"> </w:t>
      </w:r>
      <w:r w:rsidR="002E76B8" w:rsidRPr="0098635C">
        <w:rPr>
          <w:color w:val="000000" w:themeColor="text1"/>
          <w:sz w:val="20"/>
        </w:rPr>
        <w:t>dismiss</w:t>
      </w:r>
      <w:r w:rsidR="002E76B8" w:rsidRPr="0098635C">
        <w:rPr>
          <w:color w:val="000000" w:themeColor="text1"/>
          <w:spacing w:val="35"/>
          <w:sz w:val="20"/>
        </w:rPr>
        <w:t xml:space="preserve"> </w:t>
      </w:r>
      <w:r w:rsidR="006F5C7C" w:rsidRPr="0098635C">
        <w:rPr>
          <w:color w:val="000000" w:themeColor="text1"/>
          <w:sz w:val="20"/>
        </w:rPr>
        <w:t>the</w:t>
      </w:r>
      <w:r w:rsidR="006F5C7C" w:rsidRPr="0098635C">
        <w:rPr>
          <w:color w:val="000000" w:themeColor="text1"/>
          <w:spacing w:val="33"/>
          <w:sz w:val="20"/>
        </w:rPr>
        <w:t xml:space="preserve"> </w:t>
      </w:r>
      <w:r w:rsidR="006F5C7C" w:rsidRPr="0098635C">
        <w:rPr>
          <w:color w:val="000000" w:themeColor="text1"/>
          <w:sz w:val="20"/>
        </w:rPr>
        <w:t>results</w:t>
      </w:r>
      <w:r w:rsidR="006F5C7C" w:rsidRPr="0098635C">
        <w:rPr>
          <w:color w:val="000000" w:themeColor="text1"/>
          <w:spacing w:val="34"/>
          <w:sz w:val="20"/>
        </w:rPr>
        <w:t xml:space="preserve"> </w:t>
      </w:r>
      <w:r w:rsidR="006F5C7C" w:rsidRPr="0098635C">
        <w:rPr>
          <w:color w:val="000000" w:themeColor="text1"/>
          <w:sz w:val="20"/>
        </w:rPr>
        <w:t xml:space="preserve">and coated copper flakes are considered </w:t>
      </w:r>
      <w:r w:rsidR="006F5C7C" w:rsidRPr="0098635C">
        <w:rPr>
          <w:color w:val="000000" w:themeColor="text1"/>
          <w:sz w:val="20"/>
          <w:lang w:eastAsia="ja-JP"/>
        </w:rPr>
        <w:t>hazardous by the inhalation route</w:t>
      </w:r>
      <w:r w:rsidR="00A432B0" w:rsidRPr="0098635C">
        <w:rPr>
          <w:color w:val="000000" w:themeColor="text1"/>
          <w:sz w:val="20"/>
          <w:lang w:eastAsia="ja-JP"/>
        </w:rPr>
        <w:t>, according to GHS</w:t>
      </w:r>
      <w:r w:rsidR="00F16880" w:rsidRPr="0098635C">
        <w:rPr>
          <w:color w:val="000000" w:themeColor="text1"/>
          <w:sz w:val="20"/>
          <w:lang w:eastAsia="ja-JP"/>
        </w:rPr>
        <w:t>.</w:t>
      </w:r>
    </w:p>
    <w:p w14:paraId="1C0FC3B4" w14:textId="47B2958A" w:rsidR="008D1AE9" w:rsidRPr="0098635C" w:rsidRDefault="008D1AE9" w:rsidP="008D1AE9">
      <w:pPr>
        <w:spacing w:before="240"/>
        <w:rPr>
          <w:i/>
          <w:color w:val="000000" w:themeColor="text1"/>
          <w:sz w:val="20"/>
          <w:szCs w:val="20"/>
        </w:rPr>
      </w:pPr>
      <w:r w:rsidRPr="0098635C">
        <w:rPr>
          <w:i/>
          <w:color w:val="000000" w:themeColor="text1"/>
          <w:sz w:val="20"/>
          <w:szCs w:val="20"/>
        </w:rPr>
        <w:t>Copper sulphate</w:t>
      </w:r>
    </w:p>
    <w:p w14:paraId="23D39CAB" w14:textId="3C57C483" w:rsidR="008D1AE9" w:rsidRPr="0098635C" w:rsidRDefault="008D1AE9" w:rsidP="008D1AE9">
      <w:pPr>
        <w:spacing w:before="240"/>
        <w:rPr>
          <w:color w:val="000000" w:themeColor="text1"/>
          <w:sz w:val="20"/>
          <w:szCs w:val="20"/>
        </w:rPr>
      </w:pPr>
      <w:r w:rsidRPr="0098635C">
        <w:rPr>
          <w:color w:val="000000" w:themeColor="text1"/>
          <w:sz w:val="20"/>
          <w:szCs w:val="20"/>
        </w:rPr>
        <w:t xml:space="preserve">An acute inhalation toxicity study for copper sulphate has been made available (Holbert, 1994 – </w:t>
      </w:r>
      <w:r w:rsidRPr="0098635C">
        <w:rPr>
          <w:i/>
          <w:color w:val="000000" w:themeColor="text1"/>
          <w:sz w:val="20"/>
          <w:szCs w:val="20"/>
        </w:rPr>
        <w:t>unpublished</w:t>
      </w:r>
      <w:r w:rsidRPr="0098635C">
        <w:rPr>
          <w:color w:val="000000" w:themeColor="text1"/>
          <w:sz w:val="20"/>
          <w:szCs w:val="20"/>
        </w:rPr>
        <w:t>), and an LC</w:t>
      </w:r>
      <w:r w:rsidRPr="0098635C">
        <w:rPr>
          <w:color w:val="000000" w:themeColor="text1"/>
          <w:sz w:val="20"/>
          <w:szCs w:val="20"/>
          <w:vertAlign w:val="subscript"/>
        </w:rPr>
        <w:t>50</w:t>
      </w:r>
      <w:r w:rsidRPr="0098635C">
        <w:rPr>
          <w:color w:val="000000" w:themeColor="text1"/>
          <w:sz w:val="20"/>
          <w:szCs w:val="20"/>
        </w:rPr>
        <w:t xml:space="preserve"> of &gt;2.95 mg/L was reported for males and females</w:t>
      </w:r>
      <w:r w:rsidR="00666F84" w:rsidRPr="0098635C">
        <w:rPr>
          <w:color w:val="000000" w:themeColor="text1"/>
          <w:sz w:val="20"/>
          <w:szCs w:val="20"/>
        </w:rPr>
        <w:t xml:space="preserve">. </w:t>
      </w:r>
      <w:r w:rsidRPr="0098635C">
        <w:rPr>
          <w:color w:val="000000" w:themeColor="text1"/>
          <w:sz w:val="20"/>
          <w:szCs w:val="20"/>
        </w:rPr>
        <w:t xml:space="preserve"> Adverse effects of inhaled CuSO</w:t>
      </w:r>
      <w:r w:rsidRPr="0098635C">
        <w:rPr>
          <w:color w:val="000000" w:themeColor="text1"/>
          <w:sz w:val="20"/>
          <w:szCs w:val="20"/>
          <w:vertAlign w:val="subscript"/>
        </w:rPr>
        <w:t>4</w:t>
      </w:r>
      <w:r w:rsidRPr="0098635C">
        <w:rPr>
          <w:color w:val="000000" w:themeColor="text1"/>
          <w:sz w:val="20"/>
          <w:szCs w:val="20"/>
        </w:rPr>
        <w:t xml:space="preserve"> on male Syrian golden hamsters (Skornik and Brain, 1983) and CD</w:t>
      </w:r>
      <w:r w:rsidRPr="0098635C">
        <w:rPr>
          <w:color w:val="000000" w:themeColor="text1"/>
          <w:sz w:val="20"/>
          <w:szCs w:val="20"/>
          <w:vertAlign w:val="subscript"/>
        </w:rPr>
        <w:t>1</w:t>
      </w:r>
      <w:r w:rsidRPr="0098635C">
        <w:rPr>
          <w:color w:val="000000" w:themeColor="text1"/>
          <w:sz w:val="20"/>
          <w:szCs w:val="20"/>
        </w:rPr>
        <w:t xml:space="preserve"> mice (Drummond et al, 1986) were also investigated (endpoints: abundance and function of pulmonary macrophages, respiratory responses to bacterial challenge). Taking into consideration all available data, it was concluded that copper sulphate pentahydrate is not toxic by inhalation.</w:t>
      </w:r>
    </w:p>
    <w:p w14:paraId="082E2284" w14:textId="77777777" w:rsidR="008D1AE9" w:rsidRPr="0098635C" w:rsidRDefault="008D1AE9" w:rsidP="008D1AE9">
      <w:pPr>
        <w:pStyle w:val="Heading9"/>
        <w:rPr>
          <w:color w:val="000000" w:themeColor="text1"/>
          <w:sz w:val="20"/>
          <w:szCs w:val="20"/>
        </w:rPr>
      </w:pPr>
      <w:r w:rsidRPr="0098635C">
        <w:rPr>
          <w:color w:val="000000" w:themeColor="text1"/>
          <w:sz w:val="20"/>
          <w:szCs w:val="20"/>
        </w:rPr>
        <w:t>Copper (I) oxide</w:t>
      </w:r>
    </w:p>
    <w:p w14:paraId="6CEEE5FC" w14:textId="0E1AABB0" w:rsidR="008D1AE9" w:rsidRPr="0098635C" w:rsidRDefault="008D1AE9" w:rsidP="008D1AE9">
      <w:pPr>
        <w:pStyle w:val="BodyText"/>
        <w:rPr>
          <w:color w:val="000000" w:themeColor="text1"/>
          <w:sz w:val="20"/>
        </w:rPr>
      </w:pPr>
      <w:r w:rsidRPr="0098635C">
        <w:rPr>
          <w:color w:val="000000" w:themeColor="text1"/>
          <w:sz w:val="20"/>
        </w:rPr>
        <w:t>The two most reliable inhalation rat studies with copper (I) oxide resulted in a 4h-LC</w:t>
      </w:r>
      <w:r w:rsidRPr="0098635C">
        <w:rPr>
          <w:color w:val="000000" w:themeColor="text1"/>
          <w:sz w:val="20"/>
          <w:vertAlign w:val="subscript"/>
        </w:rPr>
        <w:t>50</w:t>
      </w:r>
      <w:r w:rsidRPr="0098635C">
        <w:rPr>
          <w:color w:val="000000" w:themeColor="text1"/>
          <w:sz w:val="20"/>
        </w:rPr>
        <w:t xml:space="preserve"> of 5.63 mg/L for rats (Greenough and McDonald, 1985</w:t>
      </w:r>
      <w:r w:rsidR="006C759A" w:rsidRPr="0098635C">
        <w:rPr>
          <w:color w:val="000000" w:themeColor="text1"/>
          <w:sz w:val="20"/>
        </w:rPr>
        <w:t>b</w:t>
      </w:r>
      <w:r w:rsidRPr="0098635C">
        <w:rPr>
          <w:color w:val="000000" w:themeColor="text1"/>
          <w:sz w:val="20"/>
        </w:rPr>
        <w:t xml:space="preserve"> – </w:t>
      </w:r>
      <w:r w:rsidRPr="0098635C">
        <w:rPr>
          <w:i/>
          <w:color w:val="000000" w:themeColor="text1"/>
          <w:sz w:val="20"/>
        </w:rPr>
        <w:t>unpublished</w:t>
      </w:r>
      <w:r w:rsidRPr="0098635C">
        <w:rPr>
          <w:color w:val="000000" w:themeColor="text1"/>
          <w:sz w:val="20"/>
        </w:rPr>
        <w:t>), and in a 4h-LC</w:t>
      </w:r>
      <w:r w:rsidRPr="0098635C">
        <w:rPr>
          <w:color w:val="000000" w:themeColor="text1"/>
          <w:sz w:val="20"/>
          <w:vertAlign w:val="subscript"/>
        </w:rPr>
        <w:t>50</w:t>
      </w:r>
      <w:r w:rsidRPr="0098635C">
        <w:rPr>
          <w:color w:val="000000" w:themeColor="text1"/>
          <w:sz w:val="20"/>
        </w:rPr>
        <w:t xml:space="preserve"> of 3.34 mg/L (Blagden </w:t>
      </w:r>
      <w:r w:rsidR="005B0450" w:rsidRPr="0098635C">
        <w:rPr>
          <w:color w:val="000000" w:themeColor="text1"/>
          <w:sz w:val="20"/>
        </w:rPr>
        <w:t>1999</w:t>
      </w:r>
      <w:r w:rsidRPr="0098635C">
        <w:rPr>
          <w:color w:val="000000" w:themeColor="text1"/>
          <w:sz w:val="20"/>
        </w:rPr>
        <w:t xml:space="preserve"> – </w:t>
      </w:r>
      <w:r w:rsidRPr="0098635C">
        <w:rPr>
          <w:i/>
          <w:color w:val="000000" w:themeColor="text1"/>
          <w:sz w:val="20"/>
        </w:rPr>
        <w:t>unpublished</w:t>
      </w:r>
      <w:r w:rsidRPr="0098635C">
        <w:rPr>
          <w:color w:val="000000" w:themeColor="text1"/>
          <w:sz w:val="20"/>
        </w:rPr>
        <w:t xml:space="preserve">). Endpoints included respiratory depression during </w:t>
      </w:r>
      <w:r w:rsidR="004A5C58" w:rsidRPr="0098635C">
        <w:rPr>
          <w:color w:val="000000" w:themeColor="text1"/>
          <w:sz w:val="20"/>
        </w:rPr>
        <w:t xml:space="preserve">the nose-only </w:t>
      </w:r>
      <w:r w:rsidRPr="0098635C">
        <w:rPr>
          <w:color w:val="000000" w:themeColor="text1"/>
          <w:sz w:val="20"/>
        </w:rPr>
        <w:t>exposure, lung effects (enlargement, discolouration and presence of fluid) and some effects in the kidneys, liver and intestines.</w:t>
      </w:r>
      <w:r w:rsidR="004A5C58" w:rsidRPr="0098635C">
        <w:rPr>
          <w:color w:val="000000" w:themeColor="text1"/>
          <w:sz w:val="20"/>
        </w:rPr>
        <w:t xml:space="preserve"> </w:t>
      </w:r>
      <w:r w:rsidRPr="0098635C">
        <w:rPr>
          <w:color w:val="000000" w:themeColor="text1"/>
          <w:sz w:val="20"/>
        </w:rPr>
        <w:t>Difference between these two values may be attributed to the different particle sizes used in the two studies. Exposure by inhalation to smaller particles would be expected to be associated with greater toxicity and a lower LC</w:t>
      </w:r>
      <w:r w:rsidRPr="0098635C">
        <w:rPr>
          <w:color w:val="000000" w:themeColor="text1"/>
          <w:sz w:val="20"/>
          <w:vertAlign w:val="subscript"/>
        </w:rPr>
        <w:t>50</w:t>
      </w:r>
      <w:r w:rsidRPr="0098635C">
        <w:rPr>
          <w:color w:val="000000" w:themeColor="text1"/>
          <w:sz w:val="20"/>
        </w:rPr>
        <w:t xml:space="preserve"> value. A less reliable study (lack of proper description on test substance properties) resulted in a 4h- LC</w:t>
      </w:r>
      <w:r w:rsidRPr="0098635C">
        <w:rPr>
          <w:color w:val="000000" w:themeColor="text1"/>
          <w:sz w:val="20"/>
          <w:vertAlign w:val="subscript"/>
        </w:rPr>
        <w:t>50</w:t>
      </w:r>
      <w:r w:rsidRPr="0098635C">
        <w:rPr>
          <w:color w:val="000000" w:themeColor="text1"/>
          <w:sz w:val="20"/>
        </w:rPr>
        <w:t xml:space="preserve"> of &gt;5 mg/litre (Fulfs 1990 – </w:t>
      </w:r>
      <w:r w:rsidRPr="0098635C">
        <w:rPr>
          <w:i/>
          <w:color w:val="000000" w:themeColor="text1"/>
          <w:sz w:val="20"/>
        </w:rPr>
        <w:t>unpublished</w:t>
      </w:r>
      <w:r w:rsidRPr="0098635C">
        <w:rPr>
          <w:color w:val="000000" w:themeColor="text1"/>
          <w:sz w:val="20"/>
        </w:rPr>
        <w:t>. Other reported 4h-LC</w:t>
      </w:r>
      <w:r w:rsidRPr="0098635C">
        <w:rPr>
          <w:color w:val="000000" w:themeColor="text1"/>
          <w:sz w:val="20"/>
          <w:vertAlign w:val="subscript"/>
        </w:rPr>
        <w:t>50</w:t>
      </w:r>
      <w:r w:rsidRPr="0098635C">
        <w:rPr>
          <w:color w:val="000000" w:themeColor="text1"/>
          <w:sz w:val="20"/>
        </w:rPr>
        <w:t xml:space="preserve">s for rats was &gt;30 mg/L (Dickhaus 1988b - </w:t>
      </w:r>
      <w:r w:rsidRPr="0098635C">
        <w:rPr>
          <w:i/>
          <w:color w:val="000000" w:themeColor="text1"/>
          <w:sz w:val="20"/>
        </w:rPr>
        <w:t>unpublished</w:t>
      </w:r>
      <w:r w:rsidRPr="0098635C">
        <w:rPr>
          <w:color w:val="000000" w:themeColor="text1"/>
          <w:sz w:val="20"/>
        </w:rPr>
        <w:t>).</w:t>
      </w:r>
    </w:p>
    <w:p w14:paraId="23F9F20E" w14:textId="250958C3" w:rsidR="008D1AE9" w:rsidRPr="0098635C" w:rsidRDefault="008D1AE9" w:rsidP="008D1AE9">
      <w:pPr>
        <w:pStyle w:val="BodyText"/>
        <w:rPr>
          <w:i/>
          <w:color w:val="000000" w:themeColor="text1"/>
          <w:sz w:val="20"/>
        </w:rPr>
      </w:pPr>
      <w:r w:rsidRPr="0098635C">
        <w:rPr>
          <w:color w:val="000000" w:themeColor="text1"/>
          <w:sz w:val="20"/>
        </w:rPr>
        <w:lastRenderedPageBreak/>
        <w:t>Taking the results of the Blagden (</w:t>
      </w:r>
      <w:r w:rsidR="005B0450" w:rsidRPr="0098635C">
        <w:rPr>
          <w:color w:val="000000" w:themeColor="text1"/>
          <w:sz w:val="20"/>
        </w:rPr>
        <w:t>1999</w:t>
      </w:r>
      <w:r w:rsidRPr="0098635C">
        <w:rPr>
          <w:color w:val="000000" w:themeColor="text1"/>
          <w:sz w:val="20"/>
        </w:rPr>
        <w:t xml:space="preserve">) study as representing the worst case, animal studies indicate that copper (I) oxide is </w:t>
      </w:r>
      <w:r w:rsidR="00F16880" w:rsidRPr="0098635C">
        <w:rPr>
          <w:color w:val="000000" w:themeColor="text1"/>
          <w:sz w:val="20"/>
        </w:rPr>
        <w:t xml:space="preserve">hazardous </w:t>
      </w:r>
      <w:r w:rsidRPr="0098635C">
        <w:rPr>
          <w:color w:val="000000" w:themeColor="text1"/>
          <w:sz w:val="20"/>
        </w:rPr>
        <w:t xml:space="preserve">by </w:t>
      </w:r>
      <w:r w:rsidR="00F16880" w:rsidRPr="0098635C">
        <w:rPr>
          <w:color w:val="000000" w:themeColor="text1"/>
          <w:sz w:val="20"/>
        </w:rPr>
        <w:t xml:space="preserve">the </w:t>
      </w:r>
      <w:r w:rsidRPr="0098635C">
        <w:rPr>
          <w:color w:val="000000" w:themeColor="text1"/>
          <w:sz w:val="20"/>
        </w:rPr>
        <w:t>inhalation</w:t>
      </w:r>
      <w:r w:rsidR="00F16880" w:rsidRPr="0098635C">
        <w:rPr>
          <w:color w:val="000000" w:themeColor="text1"/>
          <w:sz w:val="20"/>
        </w:rPr>
        <w:t xml:space="preserve"> route</w:t>
      </w:r>
      <w:r w:rsidRPr="0098635C">
        <w:rPr>
          <w:color w:val="000000" w:themeColor="text1"/>
          <w:sz w:val="20"/>
        </w:rPr>
        <w:t xml:space="preserve">.  </w:t>
      </w:r>
    </w:p>
    <w:p w14:paraId="46C7C027" w14:textId="77777777" w:rsidR="008D1AE9" w:rsidRPr="0098635C" w:rsidRDefault="008D1AE9" w:rsidP="008D1AE9">
      <w:pPr>
        <w:pStyle w:val="Heading9"/>
        <w:rPr>
          <w:color w:val="000000" w:themeColor="text1"/>
          <w:sz w:val="20"/>
          <w:szCs w:val="20"/>
        </w:rPr>
      </w:pPr>
      <w:r w:rsidRPr="0098635C">
        <w:rPr>
          <w:color w:val="000000" w:themeColor="text1"/>
          <w:sz w:val="20"/>
          <w:szCs w:val="20"/>
        </w:rPr>
        <w:t>Copper (II) oxide</w:t>
      </w:r>
    </w:p>
    <w:p w14:paraId="7823736D" w14:textId="6AECDC4D" w:rsidR="008D1AE9" w:rsidRPr="0098635C" w:rsidRDefault="008D1AE9" w:rsidP="008D1AE9">
      <w:pPr>
        <w:pStyle w:val="BodyText"/>
        <w:rPr>
          <w:color w:val="000000" w:themeColor="text1"/>
          <w:sz w:val="20"/>
        </w:rPr>
      </w:pPr>
      <w:r w:rsidRPr="0098635C">
        <w:rPr>
          <w:color w:val="000000" w:themeColor="text1"/>
          <w:sz w:val="20"/>
        </w:rPr>
        <w:t xml:space="preserve">Acute inhalation toxicity of copper (II) oxide is determined to a large extent by particle size and solubility. </w:t>
      </w:r>
      <w:r w:rsidR="007652BA" w:rsidRPr="0098635C">
        <w:rPr>
          <w:color w:val="000000" w:themeColor="text1"/>
          <w:sz w:val="20"/>
        </w:rPr>
        <w:t>C</w:t>
      </w:r>
      <w:r w:rsidRPr="0098635C">
        <w:rPr>
          <w:color w:val="000000" w:themeColor="text1"/>
          <w:sz w:val="20"/>
        </w:rPr>
        <w:t>opper (II) oxide and copper powder</w:t>
      </w:r>
      <w:r w:rsidR="007652BA" w:rsidRPr="0098635C">
        <w:rPr>
          <w:color w:val="000000" w:themeColor="text1"/>
          <w:sz w:val="20"/>
        </w:rPr>
        <w:t xml:space="preserve"> </w:t>
      </w:r>
      <w:r w:rsidR="002E76B8" w:rsidRPr="0098635C">
        <w:rPr>
          <w:color w:val="000000" w:themeColor="text1"/>
          <w:sz w:val="20"/>
        </w:rPr>
        <w:t>are</w:t>
      </w:r>
      <w:r w:rsidR="007652BA" w:rsidRPr="0098635C">
        <w:rPr>
          <w:color w:val="000000" w:themeColor="text1"/>
          <w:sz w:val="20"/>
        </w:rPr>
        <w:t xml:space="preserve"> sparingly soluble</w:t>
      </w:r>
      <w:r w:rsidRPr="0098635C">
        <w:rPr>
          <w:color w:val="000000" w:themeColor="text1"/>
          <w:sz w:val="20"/>
        </w:rPr>
        <w:t xml:space="preserve"> substances. Experimental particle size distribution data (reported in an unpublished study) showed that &lt;5 % of the samples tested had a particle size of 10 μm or below (</w:t>
      </w:r>
      <w:r w:rsidR="00DD1CE6" w:rsidRPr="0098635C">
        <w:rPr>
          <w:color w:val="000000" w:themeColor="text1"/>
          <w:sz w:val="20"/>
        </w:rPr>
        <w:t>Battersby</w:t>
      </w:r>
      <w:r w:rsidR="006C759A" w:rsidRPr="0098635C">
        <w:rPr>
          <w:color w:val="000000" w:themeColor="text1"/>
          <w:sz w:val="20"/>
        </w:rPr>
        <w:t>,</w:t>
      </w:r>
      <w:r w:rsidRPr="0098635C">
        <w:rPr>
          <w:color w:val="000000" w:themeColor="text1"/>
          <w:sz w:val="20"/>
        </w:rPr>
        <w:t xml:space="preserve"> </w:t>
      </w:r>
      <w:r w:rsidR="006C759A" w:rsidRPr="0098635C">
        <w:rPr>
          <w:color w:val="000000" w:themeColor="text1"/>
          <w:sz w:val="20"/>
        </w:rPr>
        <w:t>2004</w:t>
      </w:r>
      <w:r w:rsidRPr="0098635C">
        <w:rPr>
          <w:rStyle w:val="FootnoteReference"/>
          <w:color w:val="000000" w:themeColor="text1"/>
          <w:sz w:val="20"/>
        </w:rPr>
        <w:footnoteReference w:id="19"/>
      </w:r>
      <w:r w:rsidRPr="0098635C">
        <w:rPr>
          <w:color w:val="000000" w:themeColor="text1"/>
          <w:sz w:val="20"/>
        </w:rPr>
        <w:t xml:space="preserve">). Therefore, based on physical and chemical properties, copper (II) oxide is considered not toxic by inhalation. </w:t>
      </w:r>
    </w:p>
    <w:p w14:paraId="031025F2" w14:textId="3039271A" w:rsidR="008D1AE9" w:rsidRPr="0098635C" w:rsidRDefault="00236182" w:rsidP="008D1AE9">
      <w:pPr>
        <w:pStyle w:val="Heading9"/>
        <w:rPr>
          <w:color w:val="000000" w:themeColor="text1"/>
          <w:sz w:val="20"/>
          <w:szCs w:val="20"/>
        </w:rPr>
      </w:pPr>
      <w:r w:rsidRPr="0098635C">
        <w:rPr>
          <w:color w:val="000000" w:themeColor="text1"/>
          <w:sz w:val="20"/>
          <w:szCs w:val="20"/>
        </w:rPr>
        <w:t>Dicopper chloride trihydroxide</w:t>
      </w:r>
    </w:p>
    <w:p w14:paraId="1D8C6672" w14:textId="02A11D5D" w:rsidR="008D1AE9" w:rsidRPr="0098635C" w:rsidRDefault="008D1AE9" w:rsidP="008D1AE9">
      <w:pPr>
        <w:pStyle w:val="BodyText"/>
        <w:rPr>
          <w:color w:val="000000" w:themeColor="text1"/>
          <w:sz w:val="20"/>
        </w:rPr>
      </w:pPr>
      <w:r w:rsidRPr="0098635C">
        <w:rPr>
          <w:color w:val="000000" w:themeColor="text1"/>
          <w:sz w:val="20"/>
        </w:rPr>
        <w:t xml:space="preserve">An acute </w:t>
      </w:r>
      <w:r w:rsidR="00FB30A9" w:rsidRPr="0098635C">
        <w:rPr>
          <w:color w:val="000000" w:themeColor="text1"/>
          <w:sz w:val="20"/>
        </w:rPr>
        <w:t xml:space="preserve">whole body </w:t>
      </w:r>
      <w:r w:rsidRPr="0098635C">
        <w:rPr>
          <w:color w:val="000000" w:themeColor="text1"/>
          <w:sz w:val="20"/>
        </w:rPr>
        <w:t>inhalation 1h-LC</w:t>
      </w:r>
      <w:r w:rsidRPr="0098635C">
        <w:rPr>
          <w:color w:val="000000" w:themeColor="text1"/>
          <w:sz w:val="20"/>
          <w:vertAlign w:val="subscript"/>
        </w:rPr>
        <w:t>50</w:t>
      </w:r>
      <w:r w:rsidRPr="0098635C">
        <w:rPr>
          <w:color w:val="000000" w:themeColor="text1"/>
          <w:sz w:val="20"/>
        </w:rPr>
        <w:t xml:space="preserve"> for </w:t>
      </w:r>
      <w:r w:rsidR="00236182" w:rsidRPr="0098635C">
        <w:rPr>
          <w:color w:val="000000" w:themeColor="text1"/>
          <w:sz w:val="20"/>
        </w:rPr>
        <w:t>dicopper chloride trihydroxide</w:t>
      </w:r>
      <w:r w:rsidRPr="0098635C">
        <w:rPr>
          <w:color w:val="000000" w:themeColor="text1"/>
          <w:sz w:val="20"/>
        </w:rPr>
        <w:t xml:space="preserve"> was reported to be &gt; 11.4 mg/L (Holbert, 1993 - </w:t>
      </w:r>
      <w:r w:rsidRPr="0098635C">
        <w:rPr>
          <w:i/>
          <w:color w:val="000000" w:themeColor="text1"/>
          <w:sz w:val="20"/>
        </w:rPr>
        <w:t>unpublished</w:t>
      </w:r>
      <w:r w:rsidRPr="0098635C">
        <w:rPr>
          <w:color w:val="000000" w:themeColor="text1"/>
          <w:sz w:val="20"/>
        </w:rPr>
        <w:t>). Observed effects included discoloration and swelling of lungs, discoloured mucous abdomen and discoloured contents of the GI tract. Another acute</w:t>
      </w:r>
      <w:r w:rsidR="00FB30A9" w:rsidRPr="0098635C">
        <w:rPr>
          <w:color w:val="000000" w:themeColor="text1"/>
          <w:sz w:val="20"/>
        </w:rPr>
        <w:t xml:space="preserve"> nose-only</w:t>
      </w:r>
      <w:r w:rsidRPr="0098635C">
        <w:rPr>
          <w:color w:val="000000" w:themeColor="text1"/>
          <w:sz w:val="20"/>
        </w:rPr>
        <w:t xml:space="preserve"> inhalation toxicity study with rats, fully conformed to OECD </w:t>
      </w:r>
      <w:r w:rsidR="00266C00" w:rsidRPr="0098635C">
        <w:rPr>
          <w:color w:val="000000" w:themeColor="text1"/>
          <w:sz w:val="20"/>
        </w:rPr>
        <w:t xml:space="preserve">403 </w:t>
      </w:r>
      <w:r w:rsidRPr="0098635C">
        <w:rPr>
          <w:color w:val="000000" w:themeColor="text1"/>
          <w:sz w:val="20"/>
        </w:rPr>
        <w:t>Test Guidelines, was conducted by Wesson (2003 – unpublished) and resulted in 4h-LC</w:t>
      </w:r>
      <w:r w:rsidRPr="0098635C">
        <w:rPr>
          <w:color w:val="000000" w:themeColor="text1"/>
          <w:sz w:val="20"/>
          <w:vertAlign w:val="subscript"/>
        </w:rPr>
        <w:t>50</w:t>
      </w:r>
      <w:r w:rsidRPr="0098635C">
        <w:rPr>
          <w:color w:val="000000" w:themeColor="text1"/>
          <w:sz w:val="20"/>
        </w:rPr>
        <w:t xml:space="preserve"> of 2.83 mg/L for males and &gt;2.77 mg/L females (combined: 4.74 mg/L). Observed effects were lung abnormalities</w:t>
      </w:r>
      <w:r w:rsidR="009222BE" w:rsidRPr="0098635C">
        <w:rPr>
          <w:color w:val="000000" w:themeColor="text1"/>
          <w:sz w:val="20"/>
        </w:rPr>
        <w:t>. T</w:t>
      </w:r>
      <w:r w:rsidRPr="0098635C">
        <w:rPr>
          <w:color w:val="000000" w:themeColor="text1"/>
          <w:sz w:val="20"/>
        </w:rPr>
        <w:t xml:space="preserve">he data for </w:t>
      </w:r>
      <w:r w:rsidR="00236182" w:rsidRPr="0098635C">
        <w:rPr>
          <w:color w:val="000000" w:themeColor="text1"/>
          <w:sz w:val="20"/>
        </w:rPr>
        <w:t>dicopper chloride trihydroxide</w:t>
      </w:r>
      <w:r w:rsidRPr="0098635C">
        <w:rPr>
          <w:color w:val="000000" w:themeColor="text1"/>
          <w:sz w:val="20"/>
        </w:rPr>
        <w:t xml:space="preserve"> show that </w:t>
      </w:r>
      <w:r w:rsidR="00236182" w:rsidRPr="0098635C">
        <w:rPr>
          <w:color w:val="000000" w:themeColor="text1"/>
          <w:sz w:val="20"/>
        </w:rPr>
        <w:t>dicopper chloride trihydroxide</w:t>
      </w:r>
      <w:r w:rsidRPr="0098635C">
        <w:rPr>
          <w:color w:val="000000" w:themeColor="text1"/>
          <w:sz w:val="20"/>
        </w:rPr>
        <w:t xml:space="preserve"> is </w:t>
      </w:r>
      <w:r w:rsidR="00F16880" w:rsidRPr="0098635C">
        <w:rPr>
          <w:color w:val="000000" w:themeColor="text1"/>
          <w:sz w:val="20"/>
        </w:rPr>
        <w:t>hazardous by the inhalation route.</w:t>
      </w:r>
    </w:p>
    <w:p w14:paraId="3131A6C5" w14:textId="77777777" w:rsidR="005D6ABA" w:rsidRPr="0098635C" w:rsidRDefault="005D6ABA" w:rsidP="005D6ABA">
      <w:pPr>
        <w:pStyle w:val="Heading9"/>
        <w:spacing w:before="240"/>
        <w:rPr>
          <w:color w:val="000000" w:themeColor="text1"/>
          <w:sz w:val="20"/>
          <w:szCs w:val="20"/>
        </w:rPr>
      </w:pPr>
      <w:r w:rsidRPr="0098635C">
        <w:rPr>
          <w:color w:val="000000" w:themeColor="text1"/>
          <w:sz w:val="20"/>
          <w:szCs w:val="20"/>
        </w:rPr>
        <w:t>Copper powder</w:t>
      </w:r>
    </w:p>
    <w:p w14:paraId="58D79DF8" w14:textId="08C2F595" w:rsidR="005D6ABA" w:rsidRPr="0098635C" w:rsidRDefault="005D6ABA" w:rsidP="005D6ABA">
      <w:pPr>
        <w:pStyle w:val="BodyText"/>
        <w:rPr>
          <w:color w:val="000000" w:themeColor="text1"/>
          <w:sz w:val="20"/>
        </w:rPr>
      </w:pPr>
      <w:r w:rsidRPr="0098635C">
        <w:rPr>
          <w:color w:val="000000" w:themeColor="text1"/>
          <w:sz w:val="20"/>
        </w:rPr>
        <w:t>Acute inhalation toxicity of copper powder will be determined to a large extent by particle size and solubility. Based on physical and chemical properties (</w:t>
      </w:r>
      <w:r w:rsidR="00DD1CE6" w:rsidRPr="0098635C">
        <w:rPr>
          <w:color w:val="000000" w:themeColor="text1"/>
          <w:sz w:val="20"/>
        </w:rPr>
        <w:t>Battersby 2004</w:t>
      </w:r>
      <w:r w:rsidRPr="0098635C">
        <w:rPr>
          <w:color w:val="000000" w:themeColor="text1"/>
          <w:sz w:val="20"/>
        </w:rPr>
        <w:t xml:space="preserve"> </w:t>
      </w:r>
      <w:r w:rsidRPr="0098635C">
        <w:rPr>
          <w:i/>
          <w:color w:val="000000" w:themeColor="text1"/>
          <w:sz w:val="20"/>
        </w:rPr>
        <w:t>– unpublished study)</w:t>
      </w:r>
      <w:r w:rsidRPr="0098635C">
        <w:rPr>
          <w:color w:val="000000" w:themeColor="text1"/>
          <w:sz w:val="20"/>
        </w:rPr>
        <w:t>.</w:t>
      </w:r>
    </w:p>
    <w:p w14:paraId="5F5971D5" w14:textId="66F12AE6" w:rsidR="007652BA" w:rsidRPr="0098635C" w:rsidRDefault="007652BA" w:rsidP="00586794">
      <w:pPr>
        <w:pStyle w:val="BodyText"/>
        <w:rPr>
          <w:color w:val="000000" w:themeColor="text1"/>
          <w:sz w:val="20"/>
        </w:rPr>
      </w:pPr>
      <w:r w:rsidRPr="0098635C">
        <w:rPr>
          <w:color w:val="000000" w:themeColor="text1"/>
          <w:sz w:val="20"/>
        </w:rPr>
        <w:t xml:space="preserve">Considering the low solubility and bioaccessibility and the higher particle size of copper powders, compared to coated copper flakes and copper (II) oxide and copper sulphate, the available information leads to the conclusion that copper powder (and copper massive) is not </w:t>
      </w:r>
      <w:r w:rsidR="00F16880" w:rsidRPr="0098635C">
        <w:rPr>
          <w:color w:val="000000" w:themeColor="text1"/>
          <w:sz w:val="20"/>
        </w:rPr>
        <w:t xml:space="preserve">hazardous by the inhalation route. </w:t>
      </w:r>
    </w:p>
    <w:p w14:paraId="471B6C44" w14:textId="2BDFD428" w:rsidR="008D1AE9" w:rsidRPr="0098635C" w:rsidRDefault="007652BA" w:rsidP="00586794">
      <w:pPr>
        <w:pStyle w:val="BodyText"/>
        <w:rPr>
          <w:color w:val="000000" w:themeColor="text1"/>
          <w:sz w:val="20"/>
        </w:rPr>
      </w:pPr>
      <w:r w:rsidRPr="0098635C">
        <w:rPr>
          <w:color w:val="000000" w:themeColor="text1"/>
          <w:sz w:val="20"/>
        </w:rPr>
        <w:t xml:space="preserve">Little </w:t>
      </w:r>
      <w:r w:rsidR="008D1AE9" w:rsidRPr="0098635C">
        <w:rPr>
          <w:color w:val="000000" w:themeColor="text1"/>
          <w:sz w:val="20"/>
        </w:rPr>
        <w:t xml:space="preserve">information is available on acute effects in humans and inhalation of copper-containing materials. Borak </w:t>
      </w:r>
      <w:r w:rsidR="008D1AE9" w:rsidRPr="0098635C">
        <w:rPr>
          <w:i/>
          <w:color w:val="000000" w:themeColor="text1"/>
          <w:sz w:val="20"/>
        </w:rPr>
        <w:t>et al</w:t>
      </w:r>
      <w:r w:rsidR="008D1AE9" w:rsidRPr="0098635C">
        <w:rPr>
          <w:color w:val="000000" w:themeColor="text1"/>
          <w:sz w:val="20"/>
        </w:rPr>
        <w:t xml:space="preserve"> (2000) extensively reviewed seven reports metal fume fever (MFF)</w:t>
      </w:r>
      <w:r w:rsidR="008D1AE9" w:rsidRPr="0098635C">
        <w:rPr>
          <w:rStyle w:val="FootnoteReference"/>
          <w:color w:val="000000" w:themeColor="text1"/>
          <w:sz w:val="20"/>
        </w:rPr>
        <w:footnoteReference w:id="20"/>
      </w:r>
      <w:r w:rsidR="008D1AE9" w:rsidRPr="0098635C">
        <w:rPr>
          <w:color w:val="000000" w:themeColor="text1"/>
          <w:sz w:val="20"/>
        </w:rPr>
        <w:t xml:space="preserve"> –related effects and its possible association with copper exposure, but none of the seven studies provided adequate exposure data, qualitative or quantitative, to enable identification of the causative agent(s) associated with the reported symptoms. Therefore there is insufficient evidence to conclude that exposure to copper dust or fume is </w:t>
      </w:r>
      <w:r w:rsidR="00F16880" w:rsidRPr="0098635C">
        <w:rPr>
          <w:color w:val="000000" w:themeColor="text1"/>
          <w:sz w:val="20"/>
        </w:rPr>
        <w:t>hazardous</w:t>
      </w:r>
      <w:r w:rsidR="008D1AE9" w:rsidRPr="0098635C">
        <w:rPr>
          <w:color w:val="000000" w:themeColor="text1"/>
          <w:sz w:val="20"/>
        </w:rPr>
        <w:t>.</w:t>
      </w:r>
    </w:p>
    <w:p w14:paraId="02153C5B" w14:textId="77777777" w:rsidR="008D1AE9" w:rsidRPr="0098635C" w:rsidRDefault="008D1AE9" w:rsidP="008D1AE9">
      <w:pPr>
        <w:pStyle w:val="Heading4"/>
        <w:rPr>
          <w:color w:val="000000" w:themeColor="text1"/>
          <w:sz w:val="20"/>
        </w:rPr>
      </w:pPr>
      <w:r w:rsidRPr="0098635C">
        <w:rPr>
          <w:color w:val="000000" w:themeColor="text1"/>
          <w:sz w:val="20"/>
        </w:rPr>
        <w:t>Dermal</w:t>
      </w:r>
    </w:p>
    <w:p w14:paraId="03B925C3" w14:textId="77777777" w:rsidR="008D1AE9" w:rsidRPr="0098635C" w:rsidRDefault="008D1AE9" w:rsidP="008D1AE9">
      <w:pPr>
        <w:pStyle w:val="Heading8"/>
        <w:spacing w:before="240"/>
        <w:rPr>
          <w:color w:val="000000" w:themeColor="text1"/>
          <w:sz w:val="20"/>
          <w:szCs w:val="20"/>
        </w:rPr>
      </w:pPr>
      <w:r w:rsidRPr="0098635C">
        <w:rPr>
          <w:color w:val="000000" w:themeColor="text1"/>
          <w:sz w:val="20"/>
          <w:szCs w:val="20"/>
        </w:rPr>
        <w:t>Studies in animals</w:t>
      </w:r>
    </w:p>
    <w:p w14:paraId="70EA4DE1" w14:textId="339B6995" w:rsidR="008D1AE9" w:rsidRPr="0098635C" w:rsidRDefault="008D1AE9" w:rsidP="00586794">
      <w:pPr>
        <w:tabs>
          <w:tab w:val="left" w:pos="2977"/>
        </w:tabs>
        <w:rPr>
          <w:color w:val="000000" w:themeColor="text1"/>
          <w:sz w:val="20"/>
          <w:szCs w:val="20"/>
        </w:rPr>
      </w:pPr>
      <w:r w:rsidRPr="0098635C">
        <w:rPr>
          <w:color w:val="000000" w:themeColor="text1"/>
          <w:sz w:val="20"/>
          <w:szCs w:val="20"/>
        </w:rPr>
        <w:t xml:space="preserve">No published data are available on the acute dermal toxicity of copper compounds in animals.  Unpublished reports of acute dermal toxicity tests for several copper compounds and for </w:t>
      </w:r>
      <w:r w:rsidR="00B72A87" w:rsidRPr="0098635C">
        <w:rPr>
          <w:color w:val="000000" w:themeColor="text1"/>
          <w:sz w:val="20"/>
          <w:szCs w:val="20"/>
        </w:rPr>
        <w:t xml:space="preserve">coated </w:t>
      </w:r>
      <w:r w:rsidRPr="0098635C">
        <w:rPr>
          <w:color w:val="000000" w:themeColor="text1"/>
          <w:sz w:val="20"/>
          <w:szCs w:val="20"/>
        </w:rPr>
        <w:t xml:space="preserve">copper </w:t>
      </w:r>
      <w:r w:rsidR="00B72A87" w:rsidRPr="0098635C">
        <w:rPr>
          <w:color w:val="000000" w:themeColor="text1"/>
          <w:sz w:val="20"/>
          <w:szCs w:val="20"/>
        </w:rPr>
        <w:t>flakes</w:t>
      </w:r>
      <w:r w:rsidRPr="0098635C">
        <w:rPr>
          <w:color w:val="000000" w:themeColor="text1"/>
          <w:sz w:val="20"/>
          <w:szCs w:val="20"/>
        </w:rPr>
        <w:t>, which have been conducted according to OECD (No. 402) guidelines, have been made available. This type of test the test involves the assessment of toxicity in rats or rabbits following single application of the test substance for 24 hours to intact, shaved skin amounting to approximately 10% of the total body surface.  Effects are assessed during the 14-day period after exposure. Studies were conducted with coated copper flakes</w:t>
      </w:r>
      <w:r w:rsidR="00B72A87" w:rsidRPr="0098635C">
        <w:rPr>
          <w:color w:val="000000" w:themeColor="text1"/>
          <w:sz w:val="20"/>
          <w:szCs w:val="20"/>
        </w:rPr>
        <w:t xml:space="preserve">, </w:t>
      </w:r>
      <w:r w:rsidR="002E76B8" w:rsidRPr="0098635C">
        <w:rPr>
          <w:color w:val="000000" w:themeColor="text1"/>
          <w:sz w:val="20"/>
          <w:szCs w:val="20"/>
        </w:rPr>
        <w:t>copper (II) oxide</w:t>
      </w:r>
      <w:r w:rsidRPr="0098635C">
        <w:rPr>
          <w:color w:val="000000" w:themeColor="text1"/>
          <w:sz w:val="20"/>
          <w:szCs w:val="20"/>
        </w:rPr>
        <w:t xml:space="preserve">, copper sulphate, copper (I) oxide, copper (II) oxide and </w:t>
      </w:r>
      <w:r w:rsidR="00236182" w:rsidRPr="0098635C">
        <w:rPr>
          <w:color w:val="000000" w:themeColor="text1"/>
          <w:sz w:val="20"/>
          <w:szCs w:val="20"/>
        </w:rPr>
        <w:t>dicopper chloride trihydroxide</w:t>
      </w:r>
      <w:r w:rsidRPr="0098635C">
        <w:rPr>
          <w:color w:val="000000" w:themeColor="text1"/>
          <w:sz w:val="20"/>
          <w:szCs w:val="20"/>
        </w:rPr>
        <w:t xml:space="preserve"> (e.g., Nitka, 1991</w:t>
      </w:r>
      <w:r w:rsidR="00586794" w:rsidRPr="0098635C">
        <w:rPr>
          <w:color w:val="000000" w:themeColor="text1"/>
          <w:sz w:val="20"/>
          <w:szCs w:val="20"/>
        </w:rPr>
        <w:t>a</w:t>
      </w:r>
      <w:r w:rsidRPr="0098635C">
        <w:rPr>
          <w:color w:val="000000" w:themeColor="text1"/>
          <w:sz w:val="20"/>
          <w:szCs w:val="20"/>
        </w:rPr>
        <w:t>; Sterner and Chibanguza, 1988</w:t>
      </w:r>
      <w:r w:rsidR="00476C4D" w:rsidRPr="0098635C">
        <w:rPr>
          <w:color w:val="000000" w:themeColor="text1"/>
          <w:sz w:val="20"/>
          <w:szCs w:val="20"/>
        </w:rPr>
        <w:t>a and b</w:t>
      </w:r>
      <w:r w:rsidRPr="0098635C">
        <w:rPr>
          <w:color w:val="000000" w:themeColor="text1"/>
          <w:sz w:val="20"/>
          <w:szCs w:val="20"/>
        </w:rPr>
        <w:t>; Lheritier, 1993; Kukulinski, 1976</w:t>
      </w:r>
      <w:r w:rsidR="00061FD7" w:rsidRPr="0098635C">
        <w:rPr>
          <w:color w:val="000000" w:themeColor="text1"/>
          <w:sz w:val="20"/>
          <w:szCs w:val="20"/>
        </w:rPr>
        <w:t xml:space="preserve"> and Forster and Luperi, 1987b</w:t>
      </w:r>
      <w:r w:rsidRPr="0098635C">
        <w:rPr>
          <w:color w:val="000000" w:themeColor="text1"/>
          <w:sz w:val="20"/>
          <w:szCs w:val="20"/>
        </w:rPr>
        <w:t>). In each of the studies, the LD</w:t>
      </w:r>
      <w:r w:rsidRPr="0098635C">
        <w:rPr>
          <w:color w:val="000000" w:themeColor="text1"/>
          <w:sz w:val="20"/>
          <w:szCs w:val="20"/>
          <w:vertAlign w:val="subscript"/>
        </w:rPr>
        <w:t>50</w:t>
      </w:r>
      <w:r w:rsidRPr="0098635C">
        <w:rPr>
          <w:color w:val="000000" w:themeColor="text1"/>
          <w:sz w:val="20"/>
          <w:szCs w:val="20"/>
        </w:rPr>
        <w:t xml:space="preserve"> value was &gt; 2000 mg/kg bw, irrespective of their sexes. </w:t>
      </w:r>
      <w:r w:rsidR="00FB0F1B" w:rsidRPr="0098635C">
        <w:rPr>
          <w:color w:val="000000" w:themeColor="text1"/>
          <w:sz w:val="20"/>
          <w:szCs w:val="20"/>
        </w:rPr>
        <w:t xml:space="preserve">The summary of the acute dermal toxicity data in animals is provided in </w:t>
      </w:r>
      <w:r w:rsidR="00FB0F1B" w:rsidRPr="0098635C">
        <w:rPr>
          <w:rFonts w:eastAsia="Calibri"/>
          <w:color w:val="000000" w:themeColor="text1"/>
          <w:sz w:val="20"/>
          <w:szCs w:val="20"/>
        </w:rPr>
        <w:t>Annex V.</w:t>
      </w:r>
    </w:p>
    <w:p w14:paraId="67BAAFBB" w14:textId="77777777" w:rsidR="008D1AE9" w:rsidRPr="0098635C" w:rsidRDefault="008D1AE9" w:rsidP="008D1AE9">
      <w:pPr>
        <w:pStyle w:val="Heading8"/>
        <w:spacing w:before="240"/>
        <w:rPr>
          <w:color w:val="000000" w:themeColor="text1"/>
          <w:sz w:val="20"/>
          <w:szCs w:val="20"/>
        </w:rPr>
      </w:pPr>
      <w:r w:rsidRPr="0098635C">
        <w:rPr>
          <w:color w:val="000000" w:themeColor="text1"/>
          <w:sz w:val="20"/>
          <w:szCs w:val="20"/>
        </w:rPr>
        <w:lastRenderedPageBreak/>
        <w:t>Studies in Humans</w:t>
      </w:r>
    </w:p>
    <w:p w14:paraId="62ACC787" w14:textId="3AAB96F9" w:rsidR="008D1AE9" w:rsidRPr="0098635C" w:rsidRDefault="008D1AE9" w:rsidP="006C1D26">
      <w:pPr>
        <w:pStyle w:val="BodyText"/>
        <w:rPr>
          <w:color w:val="000000" w:themeColor="text1"/>
          <w:sz w:val="20"/>
        </w:rPr>
      </w:pPr>
      <w:r w:rsidRPr="0098635C">
        <w:rPr>
          <w:color w:val="000000" w:themeColor="text1"/>
          <w:sz w:val="20"/>
        </w:rPr>
        <w:t>There are no published data on acute dermal effects of copper or copper compounds.</w:t>
      </w:r>
    </w:p>
    <w:p w14:paraId="196F6D5F" w14:textId="77777777" w:rsidR="008D1AE9" w:rsidRPr="0098635C" w:rsidRDefault="008D1AE9" w:rsidP="008D1AE9">
      <w:pPr>
        <w:pStyle w:val="Heading4"/>
        <w:rPr>
          <w:color w:val="000000" w:themeColor="text1"/>
          <w:sz w:val="20"/>
        </w:rPr>
      </w:pPr>
      <w:r w:rsidRPr="0098635C">
        <w:rPr>
          <w:color w:val="000000" w:themeColor="text1"/>
          <w:sz w:val="20"/>
        </w:rPr>
        <w:t>Oral</w:t>
      </w:r>
    </w:p>
    <w:p w14:paraId="62C39B7E" w14:textId="77777777" w:rsidR="008D1AE9" w:rsidRPr="0098635C" w:rsidRDefault="008D1AE9" w:rsidP="008D1AE9">
      <w:pPr>
        <w:pStyle w:val="Heading8"/>
        <w:spacing w:before="240"/>
        <w:rPr>
          <w:color w:val="000000" w:themeColor="text1"/>
          <w:sz w:val="20"/>
          <w:szCs w:val="20"/>
        </w:rPr>
      </w:pPr>
      <w:r w:rsidRPr="0098635C">
        <w:rPr>
          <w:color w:val="000000" w:themeColor="text1"/>
          <w:sz w:val="20"/>
          <w:szCs w:val="20"/>
        </w:rPr>
        <w:t>Studies in animals</w:t>
      </w:r>
    </w:p>
    <w:p w14:paraId="053123A4" w14:textId="444692E6" w:rsidR="008D1AE9" w:rsidRPr="0098635C" w:rsidRDefault="008D1AE9" w:rsidP="008D1AE9">
      <w:pPr>
        <w:pStyle w:val="BodyText"/>
        <w:rPr>
          <w:strike/>
          <w:color w:val="000000" w:themeColor="text1"/>
          <w:sz w:val="20"/>
        </w:rPr>
      </w:pPr>
      <w:r w:rsidRPr="0098635C">
        <w:rPr>
          <w:color w:val="000000" w:themeColor="text1"/>
          <w:sz w:val="20"/>
        </w:rPr>
        <w:t xml:space="preserve">Acute oral toxicity data are available for copper (I) oxide, copper (II) oxide, copper sulphate and </w:t>
      </w:r>
      <w:r w:rsidR="00236182" w:rsidRPr="0098635C">
        <w:rPr>
          <w:color w:val="000000" w:themeColor="text1"/>
          <w:sz w:val="20"/>
        </w:rPr>
        <w:t>dicopper chloride trihydroxide</w:t>
      </w:r>
      <w:r w:rsidRPr="0098635C">
        <w:rPr>
          <w:color w:val="000000" w:themeColor="text1"/>
          <w:sz w:val="20"/>
        </w:rPr>
        <w:t xml:space="preserve">.  No acute oral toxicity data are available for copper powder.  </w:t>
      </w:r>
    </w:p>
    <w:p w14:paraId="69B53087" w14:textId="46890A67" w:rsidR="00371054" w:rsidRPr="0098635C" w:rsidRDefault="008D1AE9" w:rsidP="00371054">
      <w:pPr>
        <w:tabs>
          <w:tab w:val="left" w:pos="2977"/>
        </w:tabs>
        <w:rPr>
          <w:color w:val="000000" w:themeColor="text1"/>
          <w:sz w:val="20"/>
          <w:szCs w:val="20"/>
        </w:rPr>
      </w:pPr>
      <w:r w:rsidRPr="0098635C">
        <w:rPr>
          <w:color w:val="000000" w:themeColor="text1"/>
          <w:sz w:val="20"/>
          <w:szCs w:val="20"/>
        </w:rPr>
        <w:t>Oral LD</w:t>
      </w:r>
      <w:r w:rsidRPr="0098635C">
        <w:rPr>
          <w:color w:val="000000" w:themeColor="text1"/>
          <w:sz w:val="20"/>
          <w:szCs w:val="20"/>
          <w:vertAlign w:val="subscript"/>
        </w:rPr>
        <w:t>50</w:t>
      </w:r>
      <w:r w:rsidRPr="0098635C">
        <w:rPr>
          <w:color w:val="000000" w:themeColor="text1"/>
          <w:sz w:val="20"/>
          <w:szCs w:val="20"/>
        </w:rPr>
        <w:t xml:space="preserve"> values for several copper compounds in rats have been reported in a number of published studies, some of which have been summarised</w:t>
      </w:r>
      <w:r w:rsidR="00A915DF" w:rsidRPr="0098635C">
        <w:rPr>
          <w:color w:val="000000" w:themeColor="text1"/>
          <w:sz w:val="20"/>
          <w:szCs w:val="20"/>
        </w:rPr>
        <w:t xml:space="preserve"> </w:t>
      </w:r>
      <w:r w:rsidRPr="0098635C">
        <w:rPr>
          <w:color w:val="000000" w:themeColor="text1"/>
          <w:sz w:val="20"/>
          <w:szCs w:val="20"/>
        </w:rPr>
        <w:t xml:space="preserve">elsewhere (IPCS 1998).  In addition to these published data, several unpublished study reports of acute oral toxicity tests are available.  These tests have been conducted according to OECD </w:t>
      </w:r>
      <w:r w:rsidR="002E76B8" w:rsidRPr="0098635C">
        <w:rPr>
          <w:color w:val="000000" w:themeColor="text1"/>
          <w:sz w:val="20"/>
          <w:szCs w:val="20"/>
        </w:rPr>
        <w:t xml:space="preserve">guideline </w:t>
      </w:r>
      <w:r w:rsidRPr="0098635C">
        <w:rPr>
          <w:color w:val="000000" w:themeColor="text1"/>
          <w:sz w:val="20"/>
          <w:szCs w:val="20"/>
        </w:rPr>
        <w:t xml:space="preserve">or Fixed Dose methods, and provide good quality data for several copper compounds. </w:t>
      </w:r>
      <w:r w:rsidR="00371054" w:rsidRPr="0098635C">
        <w:rPr>
          <w:color w:val="000000" w:themeColor="text1"/>
          <w:sz w:val="20"/>
          <w:szCs w:val="20"/>
        </w:rPr>
        <w:t xml:space="preserve">The summary of the acute oral toxicity data in animals is provided in </w:t>
      </w:r>
      <w:r w:rsidR="00371054" w:rsidRPr="0098635C">
        <w:rPr>
          <w:rFonts w:eastAsia="Calibri"/>
          <w:color w:val="000000" w:themeColor="text1"/>
          <w:sz w:val="20"/>
          <w:szCs w:val="20"/>
        </w:rPr>
        <w:t>Annex VI.</w:t>
      </w:r>
    </w:p>
    <w:p w14:paraId="535FFE4F" w14:textId="627E6DD3" w:rsidR="00407FEC" w:rsidRPr="0098635C" w:rsidRDefault="00236182" w:rsidP="00586794">
      <w:pPr>
        <w:rPr>
          <w:i/>
          <w:color w:val="000000" w:themeColor="text1"/>
          <w:sz w:val="20"/>
          <w:szCs w:val="20"/>
        </w:rPr>
      </w:pPr>
      <w:r w:rsidRPr="0098635C">
        <w:rPr>
          <w:i/>
          <w:color w:val="000000" w:themeColor="text1"/>
          <w:sz w:val="20"/>
          <w:szCs w:val="20"/>
        </w:rPr>
        <w:t>Copper (I) oxide</w:t>
      </w:r>
    </w:p>
    <w:p w14:paraId="189C2145" w14:textId="08F9C0CC" w:rsidR="008D1AE9" w:rsidRPr="0098635C" w:rsidRDefault="008D1AE9" w:rsidP="00586794">
      <w:pPr>
        <w:rPr>
          <w:color w:val="000000" w:themeColor="text1"/>
          <w:sz w:val="20"/>
          <w:szCs w:val="20"/>
        </w:rPr>
      </w:pPr>
      <w:r w:rsidRPr="0098635C">
        <w:rPr>
          <w:color w:val="000000" w:themeColor="text1"/>
          <w:sz w:val="20"/>
          <w:szCs w:val="20"/>
        </w:rPr>
        <w:t xml:space="preserve">The most reliable data on oral toxicity of copper (I) oxide on rats were reported by Collier (1984 </w:t>
      </w:r>
      <w:r w:rsidR="00076C88" w:rsidRPr="0098635C">
        <w:rPr>
          <w:color w:val="000000" w:themeColor="text1"/>
          <w:sz w:val="20"/>
          <w:szCs w:val="20"/>
        </w:rPr>
        <w:t>c</w:t>
      </w:r>
      <w:r w:rsidRPr="0098635C">
        <w:rPr>
          <w:color w:val="000000" w:themeColor="text1"/>
          <w:sz w:val="20"/>
          <w:szCs w:val="20"/>
        </w:rPr>
        <w:t xml:space="preserve">- </w:t>
      </w:r>
      <w:r w:rsidRPr="0098635C">
        <w:rPr>
          <w:i/>
          <w:color w:val="000000" w:themeColor="text1"/>
          <w:sz w:val="20"/>
          <w:szCs w:val="20"/>
        </w:rPr>
        <w:t>unpublished</w:t>
      </w:r>
      <w:r w:rsidRPr="0098635C">
        <w:rPr>
          <w:color w:val="000000" w:themeColor="text1"/>
          <w:sz w:val="20"/>
          <w:szCs w:val="20"/>
        </w:rPr>
        <w:t xml:space="preserve">) and Cuthbert and Carr (1986 - </w:t>
      </w:r>
      <w:r w:rsidRPr="0098635C">
        <w:rPr>
          <w:i/>
          <w:color w:val="000000" w:themeColor="text1"/>
          <w:sz w:val="20"/>
          <w:szCs w:val="20"/>
        </w:rPr>
        <w:t>unpublished</w:t>
      </w:r>
      <w:r w:rsidRPr="0098635C">
        <w:rPr>
          <w:color w:val="000000" w:themeColor="text1"/>
          <w:sz w:val="20"/>
          <w:szCs w:val="20"/>
        </w:rPr>
        <w:t>). LD</w:t>
      </w:r>
      <w:r w:rsidRPr="0098635C">
        <w:rPr>
          <w:color w:val="000000" w:themeColor="text1"/>
          <w:sz w:val="20"/>
          <w:szCs w:val="20"/>
          <w:vertAlign w:val="subscript"/>
        </w:rPr>
        <w:t>50</w:t>
      </w:r>
      <w:r w:rsidRPr="0098635C">
        <w:rPr>
          <w:color w:val="000000" w:themeColor="text1"/>
          <w:sz w:val="20"/>
          <w:szCs w:val="20"/>
        </w:rPr>
        <w:t>-values of 1625 mg/kg bw (male LD</w:t>
      </w:r>
      <w:r w:rsidRPr="0098635C">
        <w:rPr>
          <w:color w:val="000000" w:themeColor="text1"/>
          <w:position w:val="-4"/>
          <w:sz w:val="20"/>
          <w:szCs w:val="20"/>
        </w:rPr>
        <w:t>50</w:t>
      </w:r>
      <w:r w:rsidRPr="0098635C">
        <w:rPr>
          <w:color w:val="000000" w:themeColor="text1"/>
          <w:sz w:val="20"/>
          <w:szCs w:val="20"/>
        </w:rPr>
        <w:t>), 928-2000 mg/kg bw (female LD</w:t>
      </w:r>
      <w:r w:rsidRPr="0098635C">
        <w:rPr>
          <w:color w:val="000000" w:themeColor="text1"/>
          <w:position w:val="-4"/>
          <w:sz w:val="20"/>
          <w:szCs w:val="20"/>
        </w:rPr>
        <w:t>50</w:t>
      </w:r>
      <w:r w:rsidRPr="0098635C">
        <w:rPr>
          <w:color w:val="000000" w:themeColor="text1"/>
          <w:sz w:val="20"/>
          <w:szCs w:val="20"/>
        </w:rPr>
        <w:t>), and 1340 mg/kg bw (male/female LD</w:t>
      </w:r>
      <w:r w:rsidRPr="0098635C">
        <w:rPr>
          <w:color w:val="000000" w:themeColor="text1"/>
          <w:position w:val="-4"/>
          <w:sz w:val="20"/>
          <w:szCs w:val="20"/>
        </w:rPr>
        <w:t>50</w:t>
      </w:r>
      <w:r w:rsidRPr="0098635C">
        <w:rPr>
          <w:color w:val="000000" w:themeColor="text1"/>
          <w:sz w:val="20"/>
          <w:szCs w:val="20"/>
        </w:rPr>
        <w:t>). A similar LD</w:t>
      </w:r>
      <w:r w:rsidRPr="0098635C">
        <w:rPr>
          <w:color w:val="000000" w:themeColor="text1"/>
          <w:sz w:val="20"/>
          <w:szCs w:val="20"/>
          <w:vertAlign w:val="subscript"/>
        </w:rPr>
        <w:t>50</w:t>
      </w:r>
      <w:r w:rsidRPr="0098635C">
        <w:rPr>
          <w:color w:val="000000" w:themeColor="text1"/>
          <w:sz w:val="20"/>
          <w:szCs w:val="20"/>
        </w:rPr>
        <w:t xml:space="preserve"> value of 1291 mg/kg BW was reported by Cuthbert and Carr (1986) (male and female combined). Driscoll (1999a - </w:t>
      </w:r>
      <w:r w:rsidRPr="0098635C">
        <w:rPr>
          <w:i/>
          <w:color w:val="000000" w:themeColor="text1"/>
          <w:sz w:val="20"/>
          <w:szCs w:val="20"/>
        </w:rPr>
        <w:t>unpublished</w:t>
      </w:r>
      <w:r w:rsidRPr="0098635C">
        <w:rPr>
          <w:color w:val="000000" w:themeColor="text1"/>
          <w:sz w:val="20"/>
          <w:szCs w:val="20"/>
        </w:rPr>
        <w:t>) estimated an LD</w:t>
      </w:r>
      <w:r w:rsidRPr="0098635C">
        <w:rPr>
          <w:color w:val="000000" w:themeColor="text1"/>
          <w:sz w:val="20"/>
          <w:szCs w:val="20"/>
          <w:vertAlign w:val="subscript"/>
        </w:rPr>
        <w:t>50</w:t>
      </w:r>
      <w:r w:rsidRPr="0098635C">
        <w:rPr>
          <w:color w:val="000000" w:themeColor="text1"/>
          <w:sz w:val="20"/>
          <w:szCs w:val="20"/>
        </w:rPr>
        <w:t xml:space="preserve"> value between 300 and 500 mg/kg BW (male and female combined).  This LD</w:t>
      </w:r>
      <w:r w:rsidRPr="0098635C">
        <w:rPr>
          <w:color w:val="000000" w:themeColor="text1"/>
          <w:sz w:val="20"/>
          <w:szCs w:val="20"/>
          <w:vertAlign w:val="subscript"/>
        </w:rPr>
        <w:t>50</w:t>
      </w:r>
      <w:r w:rsidRPr="0098635C">
        <w:rPr>
          <w:color w:val="000000" w:themeColor="text1"/>
          <w:sz w:val="20"/>
          <w:szCs w:val="20"/>
        </w:rPr>
        <w:t xml:space="preserve"> range is much lower than the LD</w:t>
      </w:r>
      <w:r w:rsidRPr="0098635C">
        <w:rPr>
          <w:color w:val="000000" w:themeColor="text1"/>
          <w:sz w:val="20"/>
          <w:szCs w:val="20"/>
          <w:vertAlign w:val="subscript"/>
        </w:rPr>
        <w:t>50</w:t>
      </w:r>
      <w:r w:rsidRPr="0098635C">
        <w:rPr>
          <w:color w:val="000000" w:themeColor="text1"/>
          <w:sz w:val="20"/>
          <w:szCs w:val="20"/>
        </w:rPr>
        <w:t xml:space="preserve"> value reported in the previous studies and may be explained by different particle sizes of the different grades of copper (I) oxide tested and/or different vehicle used for administering the test substance. </w:t>
      </w:r>
    </w:p>
    <w:p w14:paraId="38B51ED8" w14:textId="2748238D" w:rsidR="008D1AE9" w:rsidRPr="0098635C" w:rsidRDefault="008D1AE9" w:rsidP="008D1AE9">
      <w:pPr>
        <w:pStyle w:val="BodyText"/>
        <w:keepNext/>
        <w:keepLines/>
        <w:rPr>
          <w:color w:val="000000" w:themeColor="text1"/>
          <w:sz w:val="20"/>
        </w:rPr>
      </w:pPr>
      <w:r w:rsidRPr="0098635C">
        <w:rPr>
          <w:color w:val="000000" w:themeColor="text1"/>
          <w:sz w:val="20"/>
        </w:rPr>
        <w:t xml:space="preserve">Current studies confirm </w:t>
      </w:r>
      <w:r w:rsidR="00236182" w:rsidRPr="0098635C">
        <w:rPr>
          <w:color w:val="000000" w:themeColor="text1"/>
          <w:sz w:val="20"/>
        </w:rPr>
        <w:t>copper (I) oxide</w:t>
      </w:r>
      <w:r w:rsidRPr="0098635C">
        <w:rPr>
          <w:color w:val="000000" w:themeColor="text1"/>
          <w:sz w:val="20"/>
        </w:rPr>
        <w:t xml:space="preserve"> is harmful after acute oral administration.</w:t>
      </w:r>
    </w:p>
    <w:p w14:paraId="176D28F3" w14:textId="1588A148" w:rsidR="008D1AE9" w:rsidRPr="0098635C" w:rsidRDefault="00236182" w:rsidP="008D1AE9">
      <w:pPr>
        <w:spacing w:before="240"/>
        <w:rPr>
          <w:i/>
          <w:color w:val="000000" w:themeColor="text1"/>
          <w:sz w:val="20"/>
          <w:szCs w:val="20"/>
        </w:rPr>
      </w:pPr>
      <w:r w:rsidRPr="0098635C">
        <w:rPr>
          <w:i/>
          <w:color w:val="000000" w:themeColor="text1"/>
          <w:sz w:val="20"/>
          <w:szCs w:val="20"/>
        </w:rPr>
        <w:t>Copper (II) oxide</w:t>
      </w:r>
    </w:p>
    <w:p w14:paraId="51C8BC02" w14:textId="55F183ED" w:rsidR="008D1AE9" w:rsidRPr="0098635C" w:rsidRDefault="008D1AE9" w:rsidP="008D1AE9">
      <w:pPr>
        <w:pStyle w:val="BodyText"/>
        <w:rPr>
          <w:b/>
          <w:i/>
          <w:color w:val="000000" w:themeColor="text1"/>
          <w:sz w:val="20"/>
        </w:rPr>
      </w:pPr>
      <w:r w:rsidRPr="0098635C">
        <w:rPr>
          <w:color w:val="000000" w:themeColor="text1"/>
          <w:sz w:val="20"/>
        </w:rPr>
        <w:t>Available oral toxicity data for copper (II) oxide on rats indicate no harmful effects (Sanders, 2002</w:t>
      </w:r>
      <w:r w:rsidR="00657426" w:rsidRPr="0098635C">
        <w:rPr>
          <w:color w:val="000000" w:themeColor="text1"/>
          <w:sz w:val="20"/>
        </w:rPr>
        <w:t>b</w:t>
      </w:r>
      <w:r w:rsidRPr="0098635C">
        <w:rPr>
          <w:color w:val="000000" w:themeColor="text1"/>
          <w:sz w:val="20"/>
        </w:rPr>
        <w:t xml:space="preserve"> – </w:t>
      </w:r>
      <w:r w:rsidRPr="0098635C">
        <w:rPr>
          <w:i/>
          <w:color w:val="000000" w:themeColor="text1"/>
          <w:sz w:val="20"/>
        </w:rPr>
        <w:t>unpublished</w:t>
      </w:r>
      <w:r w:rsidRPr="0098635C">
        <w:rPr>
          <w:color w:val="000000" w:themeColor="text1"/>
          <w:sz w:val="20"/>
        </w:rPr>
        <w:t>) as a single oral dose of substance of 2</w:t>
      </w:r>
      <w:r w:rsidR="0030462E" w:rsidRPr="0098635C">
        <w:rPr>
          <w:color w:val="000000" w:themeColor="text1"/>
          <w:sz w:val="20"/>
        </w:rPr>
        <w:t>5</w:t>
      </w:r>
      <w:r w:rsidRPr="0098635C">
        <w:rPr>
          <w:color w:val="000000" w:themeColor="text1"/>
          <w:sz w:val="20"/>
        </w:rPr>
        <w:t xml:space="preserve">00 mg/kg BW caused no deaths, signs of systemic toxicity, effect on weight gain or abnormalities at necropsy. </w:t>
      </w:r>
    </w:p>
    <w:p w14:paraId="1CE16861" w14:textId="77777777" w:rsidR="008D1AE9" w:rsidRPr="0098635C" w:rsidRDefault="008D1AE9" w:rsidP="008D1AE9">
      <w:pPr>
        <w:spacing w:before="240"/>
        <w:rPr>
          <w:i/>
          <w:color w:val="000000" w:themeColor="text1"/>
          <w:sz w:val="20"/>
          <w:szCs w:val="20"/>
        </w:rPr>
      </w:pPr>
      <w:r w:rsidRPr="0098635C">
        <w:rPr>
          <w:i/>
          <w:color w:val="000000" w:themeColor="text1"/>
          <w:sz w:val="20"/>
          <w:szCs w:val="20"/>
        </w:rPr>
        <w:t>Coated copper flakes</w:t>
      </w:r>
    </w:p>
    <w:p w14:paraId="0E6E07F0" w14:textId="77777777" w:rsidR="008D1AE9" w:rsidRPr="0098635C" w:rsidRDefault="008D1AE9" w:rsidP="008D1AE9">
      <w:pPr>
        <w:spacing w:before="240"/>
        <w:rPr>
          <w:color w:val="000000" w:themeColor="text1"/>
          <w:sz w:val="20"/>
          <w:szCs w:val="20"/>
        </w:rPr>
      </w:pPr>
      <w:r w:rsidRPr="0098635C">
        <w:rPr>
          <w:color w:val="000000" w:themeColor="text1"/>
          <w:sz w:val="20"/>
          <w:szCs w:val="20"/>
        </w:rPr>
        <w:t xml:space="preserve">Based on the available acute oral toxicity data, coated copper flakes are harmful after acute oral administration. </w:t>
      </w:r>
    </w:p>
    <w:p w14:paraId="2E334C98" w14:textId="1D901F44" w:rsidR="008D1AE9" w:rsidRPr="0098635C" w:rsidRDefault="008D1AE9" w:rsidP="008D1AE9">
      <w:pPr>
        <w:spacing w:before="240"/>
        <w:rPr>
          <w:i/>
          <w:color w:val="000000" w:themeColor="text1"/>
          <w:sz w:val="20"/>
          <w:szCs w:val="20"/>
        </w:rPr>
      </w:pPr>
      <w:r w:rsidRPr="0098635C">
        <w:rPr>
          <w:i/>
          <w:color w:val="000000" w:themeColor="text1"/>
          <w:sz w:val="20"/>
          <w:szCs w:val="20"/>
        </w:rPr>
        <w:t>Copper sulphate</w:t>
      </w:r>
      <w:r w:rsidR="00FD41E3" w:rsidRPr="0098635C">
        <w:rPr>
          <w:i/>
          <w:color w:val="000000" w:themeColor="text1"/>
          <w:sz w:val="20"/>
          <w:szCs w:val="20"/>
        </w:rPr>
        <w:t xml:space="preserve"> pentahydrate</w:t>
      </w:r>
    </w:p>
    <w:p w14:paraId="010E24DC" w14:textId="77777777" w:rsidR="008D1AE9" w:rsidRPr="0098635C" w:rsidRDefault="008D1AE9" w:rsidP="008D1AE9">
      <w:pPr>
        <w:pStyle w:val="BodyText"/>
        <w:rPr>
          <w:color w:val="000000" w:themeColor="text1"/>
          <w:sz w:val="20"/>
        </w:rPr>
      </w:pPr>
      <w:r w:rsidRPr="0098635C">
        <w:rPr>
          <w:color w:val="000000" w:themeColor="text1"/>
          <w:sz w:val="20"/>
        </w:rPr>
        <w:t>Data from animal studies indicate that copper sulphate pentahydrate is harmful if swallowed. Lehritier (1994) reported a LD</w:t>
      </w:r>
      <w:r w:rsidRPr="0098635C">
        <w:rPr>
          <w:color w:val="000000" w:themeColor="text1"/>
          <w:sz w:val="20"/>
          <w:vertAlign w:val="subscript"/>
        </w:rPr>
        <w:t>50</w:t>
      </w:r>
      <w:r w:rsidRPr="0098635C">
        <w:rPr>
          <w:color w:val="000000" w:themeColor="text1"/>
          <w:sz w:val="20"/>
        </w:rPr>
        <w:t xml:space="preserve"> value in rats (m/f) of 482 mg/kg BW. Manciaux (1998) reported a slightly higher LD</w:t>
      </w:r>
      <w:r w:rsidRPr="0098635C">
        <w:rPr>
          <w:color w:val="000000" w:themeColor="text1"/>
          <w:sz w:val="20"/>
          <w:vertAlign w:val="subscript"/>
        </w:rPr>
        <w:t>50</w:t>
      </w:r>
      <w:r w:rsidRPr="0098635C">
        <w:rPr>
          <w:color w:val="000000" w:themeColor="text1"/>
          <w:sz w:val="20"/>
        </w:rPr>
        <w:t xml:space="preserve"> value of 666 mg/kg BW in female rats.</w:t>
      </w:r>
    </w:p>
    <w:p w14:paraId="61C70343" w14:textId="2D5F087F" w:rsidR="008D1AE9" w:rsidRPr="0098635C" w:rsidRDefault="00236182" w:rsidP="008D1AE9">
      <w:pPr>
        <w:pStyle w:val="Heading9"/>
        <w:rPr>
          <w:color w:val="000000" w:themeColor="text1"/>
          <w:sz w:val="20"/>
          <w:szCs w:val="20"/>
        </w:rPr>
      </w:pPr>
      <w:r w:rsidRPr="0098635C">
        <w:rPr>
          <w:color w:val="000000" w:themeColor="text1"/>
          <w:sz w:val="20"/>
          <w:szCs w:val="20"/>
        </w:rPr>
        <w:t>Dicopper chloride trihydroxide</w:t>
      </w:r>
    </w:p>
    <w:p w14:paraId="2AD508F8" w14:textId="6D1202C6" w:rsidR="008D1AE9" w:rsidRPr="0098635C" w:rsidRDefault="008D1AE9" w:rsidP="008D1AE9">
      <w:pPr>
        <w:pStyle w:val="BodyText"/>
        <w:rPr>
          <w:color w:val="000000" w:themeColor="text1"/>
          <w:sz w:val="20"/>
        </w:rPr>
      </w:pPr>
      <w:r w:rsidRPr="0098635C">
        <w:rPr>
          <w:color w:val="000000" w:themeColor="text1"/>
          <w:sz w:val="20"/>
        </w:rPr>
        <w:t>In rats, LD</w:t>
      </w:r>
      <w:r w:rsidRPr="0098635C">
        <w:rPr>
          <w:color w:val="000000" w:themeColor="text1"/>
          <w:sz w:val="20"/>
          <w:vertAlign w:val="subscript"/>
        </w:rPr>
        <w:t>50</w:t>
      </w:r>
      <w:r w:rsidRPr="0098635C">
        <w:rPr>
          <w:color w:val="000000" w:themeColor="text1"/>
          <w:sz w:val="20"/>
        </w:rPr>
        <w:t xml:space="preserve"> values range from 950 to 2006 mg/kg (Deenihan 1987; Forster and Luperi, 1987</w:t>
      </w:r>
      <w:r w:rsidR="00B03383" w:rsidRPr="0098635C">
        <w:rPr>
          <w:color w:val="000000" w:themeColor="text1"/>
          <w:sz w:val="20"/>
        </w:rPr>
        <w:t>a</w:t>
      </w:r>
      <w:r w:rsidRPr="0098635C">
        <w:rPr>
          <w:color w:val="000000" w:themeColor="text1"/>
          <w:sz w:val="20"/>
        </w:rPr>
        <w:t>; Jackson 1994</w:t>
      </w:r>
      <w:r w:rsidR="009133B8" w:rsidRPr="0098635C">
        <w:rPr>
          <w:color w:val="000000" w:themeColor="text1"/>
          <w:sz w:val="20"/>
        </w:rPr>
        <w:t>a</w:t>
      </w:r>
      <w:r w:rsidRPr="0098635C">
        <w:rPr>
          <w:color w:val="000000" w:themeColor="text1"/>
          <w:sz w:val="20"/>
        </w:rPr>
        <w:t>). A lower LD</w:t>
      </w:r>
      <w:r w:rsidRPr="0098635C">
        <w:rPr>
          <w:color w:val="000000" w:themeColor="text1"/>
          <w:sz w:val="20"/>
          <w:vertAlign w:val="subscript"/>
        </w:rPr>
        <w:t>50</w:t>
      </w:r>
      <w:r w:rsidRPr="0098635C">
        <w:rPr>
          <w:color w:val="000000" w:themeColor="text1"/>
          <w:sz w:val="20"/>
        </w:rPr>
        <w:t xml:space="preserve"> value (299 mg/kg) was reported in mice exposed to </w:t>
      </w:r>
      <w:r w:rsidR="00236182" w:rsidRPr="0098635C">
        <w:rPr>
          <w:color w:val="000000" w:themeColor="text1"/>
          <w:sz w:val="20"/>
        </w:rPr>
        <w:t>dicopper chloride trihydroxide</w:t>
      </w:r>
      <w:r w:rsidRPr="0098635C">
        <w:rPr>
          <w:color w:val="000000" w:themeColor="text1"/>
          <w:sz w:val="20"/>
        </w:rPr>
        <w:t xml:space="preserve"> (Haynes 1998). From these results it is concluded that </w:t>
      </w:r>
      <w:r w:rsidR="00236182" w:rsidRPr="0098635C">
        <w:rPr>
          <w:color w:val="000000" w:themeColor="text1"/>
          <w:sz w:val="20"/>
        </w:rPr>
        <w:t>dicopper chloride trihydroxide</w:t>
      </w:r>
      <w:r w:rsidRPr="0098635C">
        <w:rPr>
          <w:color w:val="000000" w:themeColor="text1"/>
          <w:sz w:val="20"/>
        </w:rPr>
        <w:t xml:space="preserve"> is </w:t>
      </w:r>
      <w:r w:rsidR="00A915DF" w:rsidRPr="0098635C">
        <w:rPr>
          <w:color w:val="000000" w:themeColor="text1"/>
          <w:sz w:val="20"/>
        </w:rPr>
        <w:t>hazardous by the oral route.</w:t>
      </w:r>
    </w:p>
    <w:p w14:paraId="7F63EFCE" w14:textId="566A6CFD" w:rsidR="00151CAE" w:rsidRPr="0098635C" w:rsidRDefault="00151CAE" w:rsidP="00151CAE">
      <w:pPr>
        <w:spacing w:before="240"/>
        <w:rPr>
          <w:i/>
          <w:color w:val="000000" w:themeColor="text1"/>
          <w:sz w:val="20"/>
          <w:szCs w:val="20"/>
        </w:rPr>
      </w:pPr>
      <w:r w:rsidRPr="0098635C">
        <w:rPr>
          <w:i/>
          <w:color w:val="000000" w:themeColor="text1"/>
          <w:sz w:val="20"/>
          <w:szCs w:val="20"/>
        </w:rPr>
        <w:t xml:space="preserve">Copper powder </w:t>
      </w:r>
      <w:r w:rsidR="00226263" w:rsidRPr="0098635C">
        <w:rPr>
          <w:i/>
          <w:color w:val="000000" w:themeColor="text1"/>
          <w:sz w:val="20"/>
          <w:szCs w:val="20"/>
        </w:rPr>
        <w:t>and copper massive</w:t>
      </w:r>
    </w:p>
    <w:p w14:paraId="4AA80B0D" w14:textId="2C3A45E3" w:rsidR="00226263" w:rsidRPr="0098635C" w:rsidRDefault="00151CAE" w:rsidP="00F771A7">
      <w:pPr>
        <w:spacing w:after="0"/>
        <w:rPr>
          <w:rFonts w:ascii="Times" w:hAnsi="Times" w:cs="Times"/>
          <w:color w:val="000000" w:themeColor="text1"/>
          <w:sz w:val="20"/>
          <w:szCs w:val="20"/>
        </w:rPr>
      </w:pPr>
      <w:r w:rsidRPr="0098635C">
        <w:rPr>
          <w:color w:val="000000" w:themeColor="text1"/>
          <w:sz w:val="20"/>
          <w:szCs w:val="20"/>
        </w:rPr>
        <w:t xml:space="preserve">No acute oral toxicity data for copper powder were identified. </w:t>
      </w:r>
    </w:p>
    <w:p w14:paraId="446CD5E0" w14:textId="77777777" w:rsidR="008D1AE9" w:rsidRPr="0098635C" w:rsidRDefault="008D1AE9" w:rsidP="008D1AE9">
      <w:pPr>
        <w:pStyle w:val="Heading8"/>
        <w:spacing w:before="240"/>
        <w:rPr>
          <w:color w:val="000000" w:themeColor="text1"/>
          <w:sz w:val="20"/>
          <w:szCs w:val="20"/>
        </w:rPr>
      </w:pPr>
      <w:r w:rsidRPr="0098635C">
        <w:rPr>
          <w:color w:val="000000" w:themeColor="text1"/>
          <w:sz w:val="20"/>
          <w:szCs w:val="20"/>
        </w:rPr>
        <w:t>Studies in Humans</w:t>
      </w:r>
    </w:p>
    <w:p w14:paraId="1E55B8CF" w14:textId="2A62D17A" w:rsidR="008D1AE9" w:rsidRPr="0098635C" w:rsidRDefault="008D1AE9" w:rsidP="008D1AE9">
      <w:pPr>
        <w:rPr>
          <w:color w:val="000000" w:themeColor="text1"/>
          <w:sz w:val="20"/>
          <w:szCs w:val="20"/>
        </w:rPr>
      </w:pPr>
      <w:r w:rsidRPr="0098635C">
        <w:rPr>
          <w:color w:val="000000" w:themeColor="text1"/>
          <w:sz w:val="20"/>
          <w:szCs w:val="20"/>
        </w:rPr>
        <w:t>Araya et al (2001, 2003) conducted two well-controlled, oral exposure studies with human volunteers (</w:t>
      </w:r>
      <w:r w:rsidR="00E230FB" w:rsidRPr="0098635C">
        <w:rPr>
          <w:color w:val="000000" w:themeColor="text1"/>
          <w:sz w:val="20"/>
          <w:szCs w:val="20"/>
        </w:rPr>
        <w:fldChar w:fldCharType="begin"/>
      </w:r>
      <w:r w:rsidRPr="0098635C">
        <w:rPr>
          <w:color w:val="000000" w:themeColor="text1"/>
          <w:sz w:val="20"/>
          <w:szCs w:val="20"/>
        </w:rPr>
        <w:instrText xml:space="preserve"> REF _Ref259863318 \h </w:instrText>
      </w:r>
      <w:r w:rsidR="002E1A5D" w:rsidRPr="0098635C">
        <w:rPr>
          <w:color w:val="000000" w:themeColor="text1"/>
          <w:sz w:val="20"/>
          <w:szCs w:val="20"/>
        </w:rPr>
        <w:instrText xml:space="preserve"> \* MERGEFORMAT </w:instrText>
      </w:r>
      <w:r w:rsidR="00E230FB" w:rsidRPr="0098635C">
        <w:rPr>
          <w:color w:val="000000" w:themeColor="text1"/>
          <w:sz w:val="20"/>
          <w:szCs w:val="20"/>
        </w:rPr>
      </w:r>
      <w:r w:rsidR="00E230FB" w:rsidRPr="0098635C">
        <w:rPr>
          <w:color w:val="000000" w:themeColor="text1"/>
          <w:sz w:val="20"/>
          <w:szCs w:val="20"/>
        </w:rPr>
        <w:fldChar w:fldCharType="separate"/>
      </w:r>
      <w:r w:rsidR="005E5161" w:rsidRPr="0098635C">
        <w:rPr>
          <w:color w:val="000000" w:themeColor="text1"/>
          <w:sz w:val="20"/>
          <w:szCs w:val="20"/>
        </w:rPr>
        <w:t xml:space="preserve">Table </w:t>
      </w:r>
      <w:r w:rsidR="005E5161" w:rsidRPr="0098635C">
        <w:rPr>
          <w:noProof/>
          <w:color w:val="000000" w:themeColor="text1"/>
          <w:sz w:val="20"/>
          <w:szCs w:val="20"/>
        </w:rPr>
        <w:t>13</w:t>
      </w:r>
      <w:r w:rsidR="00E230FB" w:rsidRPr="0098635C">
        <w:rPr>
          <w:color w:val="000000" w:themeColor="text1"/>
          <w:sz w:val="20"/>
          <w:szCs w:val="20"/>
        </w:rPr>
        <w:fldChar w:fldCharType="end"/>
      </w:r>
      <w:r w:rsidRPr="0098635C">
        <w:rPr>
          <w:color w:val="000000" w:themeColor="text1"/>
          <w:sz w:val="20"/>
          <w:szCs w:val="20"/>
        </w:rPr>
        <w:t xml:space="preserve">). Both studies showed a concentration-related increase in gastrointestinal symptoms which were associated with </w:t>
      </w:r>
      <w:r w:rsidRPr="0098635C">
        <w:rPr>
          <w:color w:val="000000" w:themeColor="text1"/>
          <w:sz w:val="20"/>
          <w:szCs w:val="20"/>
        </w:rPr>
        <w:lastRenderedPageBreak/>
        <w:t xml:space="preserve">single oral exposure to copper in drinking water. </w:t>
      </w:r>
    </w:p>
    <w:p w14:paraId="599FAD25" w14:textId="0E624132" w:rsidR="008D1AE9" w:rsidRPr="0098635C" w:rsidRDefault="008D1AE9" w:rsidP="00586794">
      <w:pPr>
        <w:pStyle w:val="Caption"/>
        <w:ind w:left="0"/>
        <w:jc w:val="center"/>
        <w:rPr>
          <w:b w:val="0"/>
          <w:color w:val="000000" w:themeColor="text1"/>
          <w:sz w:val="20"/>
          <w:lang w:val="en-GB"/>
        </w:rPr>
      </w:pPr>
      <w:bookmarkStart w:id="1139" w:name="_Ref259863318"/>
      <w:bookmarkStart w:id="1140" w:name="_Toc260323667"/>
      <w:r w:rsidRPr="0098635C">
        <w:rPr>
          <w:b w:val="0"/>
          <w:color w:val="000000" w:themeColor="text1"/>
          <w:sz w:val="20"/>
          <w:lang w:val="en-GB"/>
        </w:rPr>
        <w:t xml:space="preserve">Table </w:t>
      </w:r>
      <w:r w:rsidR="00E230FB" w:rsidRPr="0098635C">
        <w:rPr>
          <w:b w:val="0"/>
          <w:color w:val="000000" w:themeColor="text1"/>
          <w:sz w:val="20"/>
          <w:lang w:val="en-GB"/>
        </w:rPr>
        <w:fldChar w:fldCharType="begin"/>
      </w:r>
      <w:r w:rsidRPr="0098635C">
        <w:rPr>
          <w:b w:val="0"/>
          <w:color w:val="000000" w:themeColor="text1"/>
          <w:sz w:val="20"/>
          <w:lang w:val="en-GB"/>
        </w:rPr>
        <w:instrText xml:space="preserve"> SEQ Table \* ARABIC </w:instrText>
      </w:r>
      <w:r w:rsidR="00E230FB" w:rsidRPr="0098635C">
        <w:rPr>
          <w:b w:val="0"/>
          <w:color w:val="000000" w:themeColor="text1"/>
          <w:sz w:val="20"/>
          <w:lang w:val="en-GB"/>
        </w:rPr>
        <w:fldChar w:fldCharType="separate"/>
      </w:r>
      <w:r w:rsidR="005E5161" w:rsidRPr="0098635C">
        <w:rPr>
          <w:b w:val="0"/>
          <w:noProof/>
          <w:color w:val="000000" w:themeColor="text1"/>
          <w:sz w:val="20"/>
          <w:lang w:val="en-GB"/>
        </w:rPr>
        <w:t>13</w:t>
      </w:r>
      <w:r w:rsidR="00E230FB" w:rsidRPr="0098635C">
        <w:rPr>
          <w:b w:val="0"/>
          <w:color w:val="000000" w:themeColor="text1"/>
          <w:sz w:val="20"/>
          <w:lang w:val="en-GB"/>
        </w:rPr>
        <w:fldChar w:fldCharType="end"/>
      </w:r>
      <w:bookmarkEnd w:id="1139"/>
      <w:r w:rsidRPr="0098635C">
        <w:rPr>
          <w:b w:val="0"/>
          <w:color w:val="000000" w:themeColor="text1"/>
          <w:sz w:val="20"/>
          <w:lang w:val="en-GB"/>
        </w:rPr>
        <w:t>: Summary of acute oral toxicity in humans</w:t>
      </w:r>
      <w:bookmarkEnd w:id="1140"/>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9"/>
        <w:gridCol w:w="1677"/>
        <w:gridCol w:w="1223"/>
        <w:gridCol w:w="1838"/>
        <w:gridCol w:w="2126"/>
      </w:tblGrid>
      <w:tr w:rsidR="008D1AE9" w:rsidRPr="0098635C" w14:paraId="4AA5D3C7" w14:textId="77777777" w:rsidTr="00AF385A">
        <w:trPr>
          <w:trHeight w:val="576"/>
          <w:tblHeader/>
        </w:trPr>
        <w:tc>
          <w:tcPr>
            <w:tcW w:w="1749" w:type="dxa"/>
            <w:tcMar>
              <w:top w:w="20" w:type="nil"/>
              <w:left w:w="20" w:type="nil"/>
              <w:bottom w:w="20" w:type="nil"/>
              <w:right w:w="20" w:type="nil"/>
            </w:tcMar>
            <w:vAlign w:val="center"/>
          </w:tcPr>
          <w:p w14:paraId="5DC25D60" w14:textId="77777777" w:rsidR="008D1AE9" w:rsidRPr="0098635C" w:rsidRDefault="008D1AE9" w:rsidP="00AF385A">
            <w:pPr>
              <w:pStyle w:val="NoteLevel211"/>
              <w:jc w:val="left"/>
              <w:rPr>
                <w:b/>
                <w:color w:val="000000" w:themeColor="text1"/>
              </w:rPr>
            </w:pPr>
            <w:bookmarkStart w:id="1141" w:name="_Toc471999914"/>
            <w:bookmarkStart w:id="1142" w:name="_Toc472251356"/>
            <w:r w:rsidRPr="0098635C">
              <w:rPr>
                <w:b/>
                <w:color w:val="000000" w:themeColor="text1"/>
              </w:rPr>
              <w:t>Reference</w:t>
            </w:r>
            <w:bookmarkEnd w:id="1141"/>
            <w:bookmarkEnd w:id="1142"/>
          </w:p>
        </w:tc>
        <w:tc>
          <w:tcPr>
            <w:tcW w:w="1677" w:type="dxa"/>
            <w:tcMar>
              <w:top w:w="20" w:type="nil"/>
              <w:left w:w="20" w:type="nil"/>
              <w:bottom w:w="20" w:type="nil"/>
              <w:right w:w="20" w:type="nil"/>
            </w:tcMar>
            <w:vAlign w:val="center"/>
          </w:tcPr>
          <w:p w14:paraId="04850C29" w14:textId="77777777" w:rsidR="008D1AE9" w:rsidRPr="0098635C" w:rsidRDefault="008D1AE9" w:rsidP="00AF385A">
            <w:pPr>
              <w:pStyle w:val="NoteLevel211"/>
              <w:jc w:val="left"/>
              <w:rPr>
                <w:b/>
                <w:color w:val="000000" w:themeColor="text1"/>
              </w:rPr>
            </w:pPr>
            <w:bookmarkStart w:id="1143" w:name="_Toc471999915"/>
            <w:bookmarkStart w:id="1144" w:name="_Toc472251357"/>
            <w:r w:rsidRPr="0098635C">
              <w:rPr>
                <w:b/>
                <w:color w:val="000000" w:themeColor="text1"/>
              </w:rPr>
              <w:t>Substance</w:t>
            </w:r>
            <w:bookmarkEnd w:id="1143"/>
            <w:bookmarkEnd w:id="1144"/>
          </w:p>
        </w:tc>
        <w:tc>
          <w:tcPr>
            <w:tcW w:w="1223" w:type="dxa"/>
            <w:tcMar>
              <w:top w:w="20" w:type="nil"/>
              <w:left w:w="20" w:type="nil"/>
              <w:bottom w:w="20" w:type="nil"/>
              <w:right w:w="20" w:type="nil"/>
            </w:tcMar>
            <w:vAlign w:val="center"/>
          </w:tcPr>
          <w:p w14:paraId="7F304407" w14:textId="77777777" w:rsidR="008D1AE9" w:rsidRPr="0098635C" w:rsidRDefault="008D1AE9" w:rsidP="00AF385A">
            <w:pPr>
              <w:pStyle w:val="NoteLevel211"/>
              <w:jc w:val="left"/>
              <w:rPr>
                <w:b/>
                <w:color w:val="000000" w:themeColor="text1"/>
              </w:rPr>
            </w:pPr>
            <w:bookmarkStart w:id="1145" w:name="_Toc471999916"/>
            <w:bookmarkStart w:id="1146" w:name="_Toc472251358"/>
            <w:r w:rsidRPr="0098635C">
              <w:rPr>
                <w:b/>
                <w:color w:val="000000" w:themeColor="text1"/>
              </w:rPr>
              <w:t>Method</w:t>
            </w:r>
            <w:bookmarkEnd w:id="1145"/>
            <w:bookmarkEnd w:id="1146"/>
          </w:p>
        </w:tc>
        <w:tc>
          <w:tcPr>
            <w:tcW w:w="1838" w:type="dxa"/>
            <w:vAlign w:val="center"/>
          </w:tcPr>
          <w:p w14:paraId="79AEB727" w14:textId="77777777" w:rsidR="008D1AE9" w:rsidRPr="0098635C" w:rsidRDefault="008D1AE9" w:rsidP="00AF385A">
            <w:pPr>
              <w:pStyle w:val="NoteLevel211"/>
              <w:rPr>
                <w:b/>
                <w:color w:val="000000" w:themeColor="text1"/>
              </w:rPr>
            </w:pPr>
            <w:bookmarkStart w:id="1147" w:name="_Toc471999917"/>
            <w:bookmarkStart w:id="1148" w:name="_Toc472251359"/>
            <w:r w:rsidRPr="0098635C">
              <w:rPr>
                <w:b/>
                <w:color w:val="000000" w:themeColor="text1"/>
              </w:rPr>
              <w:t>Dose levels</w:t>
            </w:r>
            <w:bookmarkEnd w:id="1147"/>
            <w:bookmarkEnd w:id="1148"/>
          </w:p>
        </w:tc>
        <w:tc>
          <w:tcPr>
            <w:tcW w:w="2126" w:type="dxa"/>
            <w:tcMar>
              <w:top w:w="20" w:type="nil"/>
              <w:left w:w="20" w:type="nil"/>
              <w:bottom w:w="20" w:type="nil"/>
              <w:right w:w="20" w:type="nil"/>
            </w:tcMar>
            <w:vAlign w:val="center"/>
          </w:tcPr>
          <w:p w14:paraId="3EB541B0" w14:textId="77777777" w:rsidR="008D1AE9" w:rsidRPr="0098635C" w:rsidRDefault="008D1AE9" w:rsidP="00AF385A">
            <w:pPr>
              <w:pStyle w:val="NoteLevel211"/>
              <w:rPr>
                <w:b/>
                <w:color w:val="000000" w:themeColor="text1"/>
              </w:rPr>
            </w:pPr>
            <w:bookmarkStart w:id="1149" w:name="_Toc471999918"/>
            <w:bookmarkStart w:id="1150" w:name="_Toc472251360"/>
            <w:r w:rsidRPr="0098635C">
              <w:rPr>
                <w:b/>
                <w:color w:val="000000" w:themeColor="text1"/>
              </w:rPr>
              <w:t>Results</w:t>
            </w:r>
            <w:bookmarkEnd w:id="1149"/>
            <w:bookmarkEnd w:id="1150"/>
          </w:p>
        </w:tc>
      </w:tr>
      <w:tr w:rsidR="008D1AE9" w:rsidRPr="0098635C" w14:paraId="2EDF2FE2" w14:textId="77777777" w:rsidTr="00AF385A">
        <w:tc>
          <w:tcPr>
            <w:tcW w:w="1749" w:type="dxa"/>
            <w:tcMar>
              <w:top w:w="20" w:type="nil"/>
              <w:left w:w="20" w:type="nil"/>
              <w:bottom w:w="20" w:type="nil"/>
              <w:right w:w="20" w:type="nil"/>
            </w:tcMar>
          </w:tcPr>
          <w:p w14:paraId="56BA6723" w14:textId="77777777" w:rsidR="008D1AE9" w:rsidRPr="0098635C" w:rsidRDefault="008D1AE9" w:rsidP="00AF385A">
            <w:pPr>
              <w:pStyle w:val="NoteLevel211"/>
              <w:jc w:val="left"/>
              <w:rPr>
                <w:color w:val="000000" w:themeColor="text1"/>
              </w:rPr>
            </w:pPr>
            <w:bookmarkStart w:id="1151" w:name="_Toc471999919"/>
            <w:bookmarkStart w:id="1152" w:name="_Toc472251361"/>
            <w:r w:rsidRPr="0098635C">
              <w:rPr>
                <w:color w:val="000000" w:themeColor="text1"/>
              </w:rPr>
              <w:t>Araya et al, 2001</w:t>
            </w:r>
            <w:bookmarkEnd w:id="1151"/>
            <w:bookmarkEnd w:id="1152"/>
          </w:p>
        </w:tc>
        <w:tc>
          <w:tcPr>
            <w:tcW w:w="1677" w:type="dxa"/>
            <w:tcMar>
              <w:top w:w="20" w:type="nil"/>
              <w:left w:w="20" w:type="nil"/>
              <w:bottom w:w="20" w:type="nil"/>
              <w:right w:w="20" w:type="nil"/>
            </w:tcMar>
          </w:tcPr>
          <w:p w14:paraId="48138E7E" w14:textId="3E195B3A" w:rsidR="008D1AE9" w:rsidRPr="0098635C" w:rsidRDefault="00796296" w:rsidP="00AF385A">
            <w:pPr>
              <w:pStyle w:val="NoteLevel211"/>
              <w:jc w:val="left"/>
              <w:rPr>
                <w:color w:val="000000" w:themeColor="text1"/>
              </w:rPr>
            </w:pPr>
            <w:bookmarkStart w:id="1153" w:name="_Toc471999920"/>
            <w:bookmarkStart w:id="1154" w:name="_Toc472251362"/>
            <w:r w:rsidRPr="0098635C">
              <w:rPr>
                <w:rFonts w:eastAsia="Calibri"/>
                <w:color w:val="000000" w:themeColor="text1"/>
              </w:rPr>
              <w:t>CuSO</w:t>
            </w:r>
            <w:r w:rsidRPr="0098635C">
              <w:rPr>
                <w:rFonts w:eastAsia="Calibri"/>
                <w:color w:val="000000" w:themeColor="text1"/>
                <w:vertAlign w:val="subscript"/>
              </w:rPr>
              <w:t>4</w:t>
            </w:r>
            <w:bookmarkEnd w:id="1153"/>
            <w:bookmarkEnd w:id="1154"/>
          </w:p>
        </w:tc>
        <w:tc>
          <w:tcPr>
            <w:tcW w:w="1223" w:type="dxa"/>
            <w:tcMar>
              <w:top w:w="20" w:type="nil"/>
              <w:left w:w="20" w:type="nil"/>
              <w:bottom w:w="20" w:type="nil"/>
              <w:right w:w="20" w:type="nil"/>
            </w:tcMar>
          </w:tcPr>
          <w:p w14:paraId="314E5D61" w14:textId="77777777" w:rsidR="008D1AE9" w:rsidRPr="0098635C" w:rsidRDefault="008D1AE9" w:rsidP="00AF385A">
            <w:pPr>
              <w:pStyle w:val="NoteLevel211"/>
              <w:jc w:val="left"/>
              <w:rPr>
                <w:color w:val="000000" w:themeColor="text1"/>
              </w:rPr>
            </w:pPr>
            <w:bookmarkStart w:id="1155" w:name="_Toc471999921"/>
            <w:bookmarkStart w:id="1156" w:name="_Toc472251363"/>
            <w:r w:rsidRPr="0098635C">
              <w:rPr>
                <w:color w:val="000000" w:themeColor="text1"/>
              </w:rPr>
              <w:t>m/f</w:t>
            </w:r>
            <w:bookmarkEnd w:id="1155"/>
            <w:bookmarkEnd w:id="1156"/>
          </w:p>
        </w:tc>
        <w:tc>
          <w:tcPr>
            <w:tcW w:w="1838" w:type="dxa"/>
          </w:tcPr>
          <w:p w14:paraId="26611168" w14:textId="77777777" w:rsidR="008D1AE9" w:rsidRPr="0098635C" w:rsidRDefault="008D1AE9" w:rsidP="00AF385A">
            <w:pPr>
              <w:pStyle w:val="NoteLevel211"/>
              <w:rPr>
                <w:color w:val="000000" w:themeColor="text1"/>
              </w:rPr>
            </w:pPr>
            <w:bookmarkStart w:id="1157" w:name="_Toc471999922"/>
            <w:bookmarkStart w:id="1158" w:name="_Toc472251364"/>
            <w:r w:rsidRPr="0098635C">
              <w:rPr>
                <w:color w:val="000000" w:themeColor="text1"/>
                <w:lang w:eastAsia="en-US"/>
              </w:rPr>
              <w:t>0, 2, 4, 6, 8 mg Cu/L</w:t>
            </w:r>
            <w:bookmarkEnd w:id="1157"/>
            <w:bookmarkEnd w:id="1158"/>
          </w:p>
        </w:tc>
        <w:tc>
          <w:tcPr>
            <w:tcW w:w="2126" w:type="dxa"/>
            <w:tcMar>
              <w:top w:w="20" w:type="nil"/>
              <w:left w:w="20" w:type="nil"/>
              <w:bottom w:w="20" w:type="nil"/>
              <w:right w:w="20" w:type="nil"/>
            </w:tcMar>
          </w:tcPr>
          <w:p w14:paraId="74E57AF9" w14:textId="77777777" w:rsidR="008D1AE9" w:rsidRPr="0098635C" w:rsidRDefault="008D1AE9" w:rsidP="00AF385A">
            <w:pPr>
              <w:pStyle w:val="NoteLevel211"/>
              <w:rPr>
                <w:color w:val="000000" w:themeColor="text1"/>
              </w:rPr>
            </w:pPr>
            <w:bookmarkStart w:id="1159" w:name="_Toc471999923"/>
            <w:bookmarkStart w:id="1160" w:name="_Toc472251365"/>
            <w:r w:rsidRPr="0098635C">
              <w:rPr>
                <w:color w:val="000000" w:themeColor="text1"/>
              </w:rPr>
              <w:t>LOAEL: 6 mg Cu/L</w:t>
            </w:r>
            <w:bookmarkEnd w:id="1159"/>
            <w:bookmarkEnd w:id="1160"/>
          </w:p>
          <w:p w14:paraId="22ABAB81" w14:textId="77777777" w:rsidR="008D1AE9" w:rsidRPr="0098635C" w:rsidRDefault="008D1AE9" w:rsidP="00AF385A">
            <w:pPr>
              <w:pStyle w:val="NoteLevel211"/>
              <w:rPr>
                <w:color w:val="000000" w:themeColor="text1"/>
              </w:rPr>
            </w:pPr>
            <w:bookmarkStart w:id="1161" w:name="_Toc471999924"/>
            <w:bookmarkStart w:id="1162" w:name="_Toc472251366"/>
            <w:r w:rsidRPr="0098635C">
              <w:rPr>
                <w:color w:val="000000" w:themeColor="text1"/>
              </w:rPr>
              <w:t>NOAEL: 4 mg Cu/L</w:t>
            </w:r>
            <w:bookmarkEnd w:id="1161"/>
            <w:bookmarkEnd w:id="1162"/>
          </w:p>
        </w:tc>
      </w:tr>
      <w:tr w:rsidR="008D1AE9" w:rsidRPr="0098635C" w14:paraId="16DD41C7" w14:textId="77777777" w:rsidTr="00AF385A">
        <w:tc>
          <w:tcPr>
            <w:tcW w:w="1749" w:type="dxa"/>
            <w:tcMar>
              <w:top w:w="20" w:type="nil"/>
              <w:left w:w="20" w:type="nil"/>
              <w:bottom w:w="20" w:type="nil"/>
              <w:right w:w="20" w:type="nil"/>
            </w:tcMar>
          </w:tcPr>
          <w:p w14:paraId="433CB789" w14:textId="77777777" w:rsidR="008D1AE9" w:rsidRPr="0098635C" w:rsidRDefault="008D1AE9" w:rsidP="00AF385A">
            <w:pPr>
              <w:pStyle w:val="NoteLevel211"/>
              <w:jc w:val="left"/>
              <w:rPr>
                <w:color w:val="000000" w:themeColor="text1"/>
              </w:rPr>
            </w:pPr>
            <w:bookmarkStart w:id="1163" w:name="_Toc471999925"/>
            <w:bookmarkStart w:id="1164" w:name="_Toc472251367"/>
            <w:r w:rsidRPr="0098635C">
              <w:rPr>
                <w:color w:val="000000" w:themeColor="text1"/>
              </w:rPr>
              <w:t>Araya et al, 2003</w:t>
            </w:r>
            <w:bookmarkEnd w:id="1163"/>
            <w:bookmarkEnd w:id="1164"/>
          </w:p>
        </w:tc>
        <w:tc>
          <w:tcPr>
            <w:tcW w:w="1677" w:type="dxa"/>
            <w:tcMar>
              <w:top w:w="20" w:type="nil"/>
              <w:left w:w="20" w:type="nil"/>
              <w:bottom w:w="20" w:type="nil"/>
              <w:right w:w="20" w:type="nil"/>
            </w:tcMar>
          </w:tcPr>
          <w:p w14:paraId="0B59D2B9" w14:textId="57A28551" w:rsidR="008D1AE9" w:rsidRPr="0098635C" w:rsidRDefault="00796296" w:rsidP="00AF385A">
            <w:pPr>
              <w:pStyle w:val="NoteLevel211"/>
              <w:jc w:val="left"/>
              <w:rPr>
                <w:color w:val="000000" w:themeColor="text1"/>
              </w:rPr>
            </w:pPr>
            <w:bookmarkStart w:id="1165" w:name="_Toc471999926"/>
            <w:bookmarkStart w:id="1166" w:name="_Toc472251368"/>
            <w:r w:rsidRPr="0098635C">
              <w:rPr>
                <w:rFonts w:eastAsia="Calibri"/>
                <w:color w:val="000000" w:themeColor="text1"/>
              </w:rPr>
              <w:t>CuSO</w:t>
            </w:r>
            <w:r w:rsidRPr="0098635C">
              <w:rPr>
                <w:rFonts w:eastAsia="Calibri"/>
                <w:color w:val="000000" w:themeColor="text1"/>
                <w:vertAlign w:val="subscript"/>
              </w:rPr>
              <w:t>4</w:t>
            </w:r>
            <w:bookmarkEnd w:id="1165"/>
            <w:bookmarkEnd w:id="1166"/>
          </w:p>
        </w:tc>
        <w:tc>
          <w:tcPr>
            <w:tcW w:w="1223" w:type="dxa"/>
            <w:tcMar>
              <w:top w:w="20" w:type="nil"/>
              <w:left w:w="20" w:type="nil"/>
              <w:bottom w:w="20" w:type="nil"/>
              <w:right w:w="20" w:type="nil"/>
            </w:tcMar>
          </w:tcPr>
          <w:p w14:paraId="0FF5AF6B" w14:textId="77777777" w:rsidR="008D1AE9" w:rsidRPr="0098635C" w:rsidRDefault="008D1AE9" w:rsidP="00AF385A">
            <w:pPr>
              <w:pStyle w:val="NoteLevel211"/>
              <w:jc w:val="left"/>
              <w:rPr>
                <w:color w:val="000000" w:themeColor="text1"/>
              </w:rPr>
            </w:pPr>
            <w:bookmarkStart w:id="1167" w:name="_Toc471999927"/>
            <w:bookmarkStart w:id="1168" w:name="_Toc472251369"/>
            <w:r w:rsidRPr="0098635C">
              <w:rPr>
                <w:color w:val="000000" w:themeColor="text1"/>
              </w:rPr>
              <w:t>f only</w:t>
            </w:r>
            <w:bookmarkEnd w:id="1167"/>
            <w:bookmarkEnd w:id="1168"/>
          </w:p>
        </w:tc>
        <w:tc>
          <w:tcPr>
            <w:tcW w:w="1838" w:type="dxa"/>
          </w:tcPr>
          <w:p w14:paraId="5F5755CA" w14:textId="77777777" w:rsidR="008D1AE9" w:rsidRPr="0098635C" w:rsidRDefault="008D1AE9" w:rsidP="00AF385A">
            <w:pPr>
              <w:pStyle w:val="NoteLevel211"/>
              <w:rPr>
                <w:color w:val="000000" w:themeColor="text1"/>
              </w:rPr>
            </w:pPr>
            <w:bookmarkStart w:id="1169" w:name="_Toc471999928"/>
            <w:bookmarkStart w:id="1170" w:name="_Toc472251370"/>
            <w:r w:rsidRPr="0098635C">
              <w:rPr>
                <w:color w:val="000000" w:themeColor="text1"/>
                <w:lang w:eastAsia="en-US"/>
              </w:rPr>
              <w:t>0, 2, 4, 6 and 8 mg Cu/L</w:t>
            </w:r>
            <w:bookmarkEnd w:id="1169"/>
            <w:bookmarkEnd w:id="1170"/>
          </w:p>
        </w:tc>
        <w:tc>
          <w:tcPr>
            <w:tcW w:w="2126" w:type="dxa"/>
            <w:tcMar>
              <w:top w:w="20" w:type="nil"/>
              <w:left w:w="20" w:type="nil"/>
              <w:bottom w:w="20" w:type="nil"/>
              <w:right w:w="20" w:type="nil"/>
            </w:tcMar>
          </w:tcPr>
          <w:p w14:paraId="34830FE2" w14:textId="77777777" w:rsidR="008D1AE9" w:rsidRPr="0098635C" w:rsidRDefault="008D1AE9" w:rsidP="00AF385A">
            <w:pPr>
              <w:pStyle w:val="NoteLevel211"/>
              <w:rPr>
                <w:color w:val="000000" w:themeColor="text1"/>
              </w:rPr>
            </w:pPr>
            <w:bookmarkStart w:id="1171" w:name="_Toc471999929"/>
            <w:bookmarkStart w:id="1172" w:name="_Toc472251371"/>
            <w:r w:rsidRPr="0098635C">
              <w:rPr>
                <w:color w:val="000000" w:themeColor="text1"/>
              </w:rPr>
              <w:t>LOAEL: 6 mg Cu/L</w:t>
            </w:r>
            <w:bookmarkEnd w:id="1171"/>
            <w:bookmarkEnd w:id="1172"/>
          </w:p>
          <w:p w14:paraId="2305215A" w14:textId="77777777" w:rsidR="008D1AE9" w:rsidRPr="0098635C" w:rsidRDefault="008D1AE9" w:rsidP="00AF385A">
            <w:pPr>
              <w:pStyle w:val="NoteLevel211"/>
              <w:rPr>
                <w:color w:val="000000" w:themeColor="text1"/>
              </w:rPr>
            </w:pPr>
            <w:bookmarkStart w:id="1173" w:name="_Toc471999930"/>
            <w:bookmarkStart w:id="1174" w:name="_Toc472251372"/>
            <w:r w:rsidRPr="0098635C">
              <w:rPr>
                <w:color w:val="000000" w:themeColor="text1"/>
              </w:rPr>
              <w:t>NOAEL: 4 mg Cu/L</w:t>
            </w:r>
            <w:bookmarkEnd w:id="1173"/>
            <w:bookmarkEnd w:id="1174"/>
          </w:p>
        </w:tc>
      </w:tr>
    </w:tbl>
    <w:p w14:paraId="41313F18" w14:textId="58FB932A" w:rsidR="008D1AE9" w:rsidRPr="0098635C" w:rsidRDefault="008D1AE9" w:rsidP="008D1AE9">
      <w:pPr>
        <w:spacing w:before="240"/>
        <w:rPr>
          <w:rFonts w:ascii="Times" w:hAnsi="Times" w:cs="Times"/>
          <w:color w:val="000000" w:themeColor="text1"/>
          <w:sz w:val="20"/>
          <w:szCs w:val="20"/>
        </w:rPr>
      </w:pPr>
      <w:r w:rsidRPr="0098635C">
        <w:rPr>
          <w:color w:val="000000" w:themeColor="text1"/>
          <w:sz w:val="20"/>
          <w:szCs w:val="20"/>
        </w:rPr>
        <w:t xml:space="preserve">Nausea was the most frequently reported symptom in both studies, and generally occurred within 15 minutes of administration. </w:t>
      </w:r>
      <w:r w:rsidR="00B1405B" w:rsidRPr="0098635C">
        <w:rPr>
          <w:color w:val="000000" w:themeColor="text1"/>
          <w:sz w:val="20"/>
          <w:szCs w:val="20"/>
        </w:rPr>
        <w:t xml:space="preserve">Other gastrointestinal symptoms that were tracked and observed included vomiting, diarrhea, and abdominal pain. </w:t>
      </w:r>
      <w:r w:rsidRPr="0098635C">
        <w:rPr>
          <w:color w:val="000000" w:themeColor="text1"/>
          <w:sz w:val="20"/>
          <w:szCs w:val="20"/>
        </w:rPr>
        <w:t>A single dose-response curve for subjects reporting one or more gastrointestinal symptoms or nausea alone was generated using a logistic regression model. Reported gastrointestinal symptoms or nausea alone was shown to be significantly increased in subjects consuming water containing copper at 6 mg/L and above, compared to no copper (logistic regression model, p&lt;0.05). The LOAEL and NOAEL for gastrointestinal symptoms and for nausea alone were 6 mg Cu/L and 4 mg Cu/L, respectively, for copper in drinking water. Derived LOAEL and NOAEL were identical in both studies.</w:t>
      </w:r>
    </w:p>
    <w:p w14:paraId="194E405B" w14:textId="77777777" w:rsidR="008D1AE9" w:rsidRPr="0098635C" w:rsidRDefault="008D1AE9" w:rsidP="008D1AE9">
      <w:pPr>
        <w:rPr>
          <w:color w:val="000000" w:themeColor="text1"/>
          <w:sz w:val="20"/>
          <w:szCs w:val="20"/>
        </w:rPr>
      </w:pPr>
      <w:r w:rsidRPr="0098635C">
        <w:rPr>
          <w:color w:val="000000" w:themeColor="text1"/>
          <w:sz w:val="20"/>
          <w:szCs w:val="20"/>
        </w:rPr>
        <w:t xml:space="preserve">A slightly lower LOAEL of 4 mg/L was determined in a later study by the same authors (Araya et al, 2004)., but in view of the well-controlled methodology used in Araya </w:t>
      </w:r>
      <w:r w:rsidRPr="0098635C">
        <w:rPr>
          <w:i/>
          <w:color w:val="000000" w:themeColor="text1"/>
          <w:sz w:val="20"/>
          <w:szCs w:val="20"/>
        </w:rPr>
        <w:t>et al</w:t>
      </w:r>
      <w:r w:rsidRPr="0098635C">
        <w:rPr>
          <w:color w:val="000000" w:themeColor="text1"/>
          <w:sz w:val="20"/>
          <w:szCs w:val="20"/>
        </w:rPr>
        <w:t xml:space="preserve"> (2001 and 2003), the LOAEL and NOAEL identified in these studies (6 mg/L and 4 mg/L, respectively) are considered to represent the most robust quantitative data on acute effects of copper currently available.</w:t>
      </w:r>
    </w:p>
    <w:p w14:paraId="6A07A538" w14:textId="40D03863" w:rsidR="008D1AE9" w:rsidRPr="0098635C" w:rsidRDefault="008D1AE9" w:rsidP="008D1AE9">
      <w:pPr>
        <w:pStyle w:val="BodyText"/>
        <w:rPr>
          <w:color w:val="000000" w:themeColor="text1"/>
          <w:sz w:val="20"/>
        </w:rPr>
      </w:pPr>
      <w:r w:rsidRPr="0098635C">
        <w:rPr>
          <w:color w:val="000000" w:themeColor="text1"/>
          <w:sz w:val="20"/>
        </w:rPr>
        <w:t xml:space="preserve">Olivares </w:t>
      </w:r>
      <w:r w:rsidRPr="0098635C">
        <w:rPr>
          <w:i/>
          <w:color w:val="000000" w:themeColor="text1"/>
          <w:sz w:val="20"/>
        </w:rPr>
        <w:t>et al</w:t>
      </w:r>
      <w:r w:rsidRPr="0098635C">
        <w:rPr>
          <w:color w:val="000000" w:themeColor="text1"/>
          <w:sz w:val="20"/>
        </w:rPr>
        <w:t xml:space="preserve"> (2001) conducted a study with the objective of determining a nausea threshold in adults who received drinking water containing graded concentrations of copper and concluded that masking the copper taste (addition of orange-</w:t>
      </w:r>
      <w:r w:rsidR="00F35D64" w:rsidRPr="0098635C">
        <w:rPr>
          <w:color w:val="000000" w:themeColor="text1"/>
          <w:sz w:val="20"/>
        </w:rPr>
        <w:t>flavour</w:t>
      </w:r>
      <w:r w:rsidRPr="0098635C">
        <w:rPr>
          <w:color w:val="000000" w:themeColor="text1"/>
          <w:sz w:val="20"/>
        </w:rPr>
        <w:t xml:space="preserve">) increased the NOAEL from 2 mg/L to 6 mg/L (endpoint: nausea). Zacharias et al (2001) reported a taste threshold for copper in drinking water of 2.6 mg/L (Zacarias </w:t>
      </w:r>
      <w:r w:rsidRPr="0098635C">
        <w:rPr>
          <w:i/>
          <w:color w:val="000000" w:themeColor="text1"/>
          <w:sz w:val="20"/>
        </w:rPr>
        <w:t xml:space="preserve">et al, </w:t>
      </w:r>
      <w:r w:rsidRPr="0098635C">
        <w:rPr>
          <w:color w:val="000000" w:themeColor="text1"/>
          <w:sz w:val="20"/>
        </w:rPr>
        <w:t xml:space="preserve">2001), which is in line with the findings of Olivares et al (2001). </w:t>
      </w:r>
    </w:p>
    <w:p w14:paraId="425A3E18" w14:textId="77777777" w:rsidR="008D1AE9" w:rsidRPr="0098635C" w:rsidRDefault="008D1AE9" w:rsidP="008D1AE9">
      <w:pPr>
        <w:pStyle w:val="BodyText"/>
        <w:rPr>
          <w:color w:val="000000" w:themeColor="text1"/>
          <w:sz w:val="20"/>
        </w:rPr>
      </w:pPr>
      <w:r w:rsidRPr="0098635C">
        <w:rPr>
          <w:color w:val="000000" w:themeColor="text1"/>
          <w:sz w:val="20"/>
        </w:rPr>
        <w:t xml:space="preserve">In an earlier study, the same research group examined GIT effects associated with different ratios of soluble/insoluble copper compounds in drinking water (Pizarro et al, 2001). Using a similar study design to a previous study (Pizarro et al, 1999), adult female volunteers received drinking water containing 5 mg Cu/L for one-week study periods. The drinking water was prepared using different ratios of copper sulphate and copper (II) oxide. The findings show that acute GIT symptoms of a similar nature can be caused by copper sulphate, a soluble compound, or by copper (II) oxide, an insoluble compound.  The results indicate that the ionic form of copper formed in the stomach is responsible for acute GIT effects. </w:t>
      </w:r>
    </w:p>
    <w:p w14:paraId="1B0CF603" w14:textId="77777777" w:rsidR="008D1AE9" w:rsidRPr="0098635C" w:rsidRDefault="008D1AE9" w:rsidP="008D1AE9">
      <w:pPr>
        <w:pStyle w:val="BodyText"/>
        <w:rPr>
          <w:color w:val="000000" w:themeColor="text1"/>
          <w:sz w:val="20"/>
        </w:rPr>
      </w:pPr>
      <w:r w:rsidRPr="0098635C">
        <w:rPr>
          <w:color w:val="000000" w:themeColor="text1"/>
          <w:sz w:val="20"/>
        </w:rPr>
        <w:t xml:space="preserve">In line with all of these studies, Wyllie (1957) reported gastrointestinal disturbances resulting from an estimated copper dose of 5.3 mg/L. </w:t>
      </w:r>
    </w:p>
    <w:p w14:paraId="3EDC37DE" w14:textId="2F0BC013" w:rsidR="008D1AE9" w:rsidRPr="0098635C" w:rsidRDefault="008D1AE9" w:rsidP="00F771A7">
      <w:pPr>
        <w:pStyle w:val="BodyText"/>
        <w:rPr>
          <w:color w:val="000000" w:themeColor="text1"/>
          <w:sz w:val="20"/>
        </w:rPr>
      </w:pPr>
      <w:r w:rsidRPr="0098635C">
        <w:rPr>
          <w:color w:val="000000" w:themeColor="text1"/>
          <w:sz w:val="20"/>
        </w:rPr>
        <w:t xml:space="preserve">The results of a population-based study (Pettersson </w:t>
      </w:r>
      <w:r w:rsidRPr="0098635C">
        <w:rPr>
          <w:i/>
          <w:color w:val="000000" w:themeColor="text1"/>
          <w:sz w:val="20"/>
        </w:rPr>
        <w:t>et al</w:t>
      </w:r>
      <w:r w:rsidRPr="0098635C">
        <w:rPr>
          <w:color w:val="000000" w:themeColor="text1"/>
          <w:sz w:val="20"/>
        </w:rPr>
        <w:t>, 2003) showed no association between the mean daily intake of copper or the maximal copper concentration in drinking water and the risk of either diarrhoea or vomiting in young children (mean age: 11.8 months).  Copper levels in consumed water ranged from 0.01 to 5.0 mg/L.</w:t>
      </w:r>
    </w:p>
    <w:p w14:paraId="21582780" w14:textId="77777777" w:rsidR="008D1AE9" w:rsidRPr="0098635C" w:rsidRDefault="008D1AE9" w:rsidP="008D1AE9">
      <w:pPr>
        <w:pStyle w:val="Heading8"/>
        <w:rPr>
          <w:color w:val="000000" w:themeColor="text1"/>
          <w:sz w:val="20"/>
          <w:szCs w:val="20"/>
        </w:rPr>
      </w:pPr>
      <w:r w:rsidRPr="0098635C">
        <w:rPr>
          <w:color w:val="000000" w:themeColor="text1"/>
          <w:sz w:val="20"/>
          <w:szCs w:val="20"/>
        </w:rPr>
        <w:t>Conclusion</w:t>
      </w:r>
    </w:p>
    <w:p w14:paraId="4C1D1986" w14:textId="77777777" w:rsidR="008C615A" w:rsidRPr="0098635C" w:rsidRDefault="00407FEC" w:rsidP="008D1AE9">
      <w:pPr>
        <w:rPr>
          <w:rFonts w:eastAsia="Calibri"/>
          <w:i/>
          <w:color w:val="000000" w:themeColor="text1"/>
          <w:sz w:val="20"/>
          <w:szCs w:val="20"/>
        </w:rPr>
      </w:pPr>
      <w:r w:rsidRPr="0098635C">
        <w:rPr>
          <w:rFonts w:eastAsia="Calibri"/>
          <w:i/>
          <w:color w:val="000000" w:themeColor="text1"/>
          <w:sz w:val="20"/>
          <w:szCs w:val="20"/>
        </w:rPr>
        <w:t xml:space="preserve">The following is concluded from </w:t>
      </w:r>
      <w:r w:rsidR="008042E3" w:rsidRPr="0098635C">
        <w:rPr>
          <w:rFonts w:eastAsia="Calibri"/>
          <w:i/>
          <w:color w:val="000000" w:themeColor="text1"/>
          <w:sz w:val="20"/>
          <w:szCs w:val="20"/>
        </w:rPr>
        <w:t>the animal test data</w:t>
      </w:r>
    </w:p>
    <w:p w14:paraId="38F848E1" w14:textId="2B6F10F7" w:rsidR="008C615A" w:rsidRPr="0098635C" w:rsidRDefault="008C615A" w:rsidP="0059369A">
      <w:pPr>
        <w:pStyle w:val="ListParagraph"/>
        <w:numPr>
          <w:ilvl w:val="0"/>
          <w:numId w:val="40"/>
        </w:numPr>
        <w:rPr>
          <w:rFonts w:eastAsia="Calibri"/>
          <w:color w:val="000000" w:themeColor="text1"/>
          <w:sz w:val="20"/>
          <w:szCs w:val="20"/>
        </w:rPr>
      </w:pPr>
      <w:r w:rsidRPr="0098635C">
        <w:rPr>
          <w:rFonts w:eastAsia="Calibri"/>
          <w:color w:val="000000" w:themeColor="text1"/>
          <w:sz w:val="20"/>
          <w:szCs w:val="20"/>
        </w:rPr>
        <w:t>Copper</w:t>
      </w:r>
      <w:r w:rsidR="00F35D64" w:rsidRPr="0098635C">
        <w:rPr>
          <w:rFonts w:eastAsia="Calibri"/>
          <w:color w:val="000000" w:themeColor="text1"/>
          <w:sz w:val="20"/>
          <w:szCs w:val="20"/>
        </w:rPr>
        <w:t xml:space="preserve"> </w:t>
      </w:r>
      <w:r w:rsidRPr="0098635C">
        <w:rPr>
          <w:rFonts w:eastAsia="Calibri"/>
          <w:color w:val="000000" w:themeColor="text1"/>
          <w:sz w:val="20"/>
          <w:szCs w:val="20"/>
        </w:rPr>
        <w:t>(I)</w:t>
      </w:r>
      <w:r w:rsidR="00F35D64" w:rsidRPr="0098635C">
        <w:rPr>
          <w:rFonts w:eastAsia="Calibri"/>
          <w:color w:val="000000" w:themeColor="text1"/>
          <w:sz w:val="20"/>
          <w:szCs w:val="20"/>
        </w:rPr>
        <w:t xml:space="preserve"> </w:t>
      </w:r>
      <w:r w:rsidRPr="0098635C">
        <w:rPr>
          <w:rFonts w:eastAsia="Calibri"/>
          <w:color w:val="000000" w:themeColor="text1"/>
          <w:sz w:val="20"/>
          <w:szCs w:val="20"/>
        </w:rPr>
        <w:t>oxide</w:t>
      </w:r>
      <w:r w:rsidR="00A915DF" w:rsidRPr="0098635C">
        <w:rPr>
          <w:rFonts w:eastAsia="Calibri"/>
          <w:color w:val="000000" w:themeColor="text1"/>
          <w:sz w:val="20"/>
          <w:szCs w:val="20"/>
        </w:rPr>
        <w:t>,</w:t>
      </w:r>
      <w:r w:rsidRPr="0098635C">
        <w:rPr>
          <w:rFonts w:eastAsia="Calibri"/>
          <w:color w:val="000000" w:themeColor="text1"/>
          <w:sz w:val="20"/>
          <w:szCs w:val="20"/>
        </w:rPr>
        <w:t xml:space="preserve"> </w:t>
      </w:r>
      <w:r w:rsidR="00236182" w:rsidRPr="0098635C">
        <w:rPr>
          <w:rFonts w:eastAsia="Calibri"/>
          <w:color w:val="000000" w:themeColor="text1"/>
          <w:sz w:val="20"/>
          <w:szCs w:val="20"/>
        </w:rPr>
        <w:t>dicopper chloride trihydroxide</w:t>
      </w:r>
      <w:r w:rsidRPr="0098635C">
        <w:rPr>
          <w:rFonts w:eastAsia="Calibri"/>
          <w:color w:val="000000" w:themeColor="text1"/>
          <w:sz w:val="20"/>
          <w:szCs w:val="20"/>
        </w:rPr>
        <w:t xml:space="preserve"> and coated copper flakes are </w:t>
      </w:r>
      <w:r w:rsidR="00A915DF" w:rsidRPr="0098635C">
        <w:rPr>
          <w:rFonts w:eastAsia="Calibri"/>
          <w:color w:val="000000" w:themeColor="text1"/>
          <w:sz w:val="20"/>
          <w:szCs w:val="20"/>
        </w:rPr>
        <w:t>hazardous by the inhalation route</w:t>
      </w:r>
      <w:r w:rsidRPr="0098635C">
        <w:rPr>
          <w:rFonts w:eastAsia="Calibri"/>
          <w:color w:val="000000" w:themeColor="text1"/>
          <w:sz w:val="20"/>
          <w:szCs w:val="20"/>
        </w:rPr>
        <w:t xml:space="preserve">. Copper sulphate pentahydrate is not considered </w:t>
      </w:r>
      <w:r w:rsidR="00A915DF" w:rsidRPr="0098635C">
        <w:rPr>
          <w:rFonts w:eastAsia="Calibri"/>
          <w:color w:val="000000" w:themeColor="text1"/>
          <w:sz w:val="20"/>
          <w:szCs w:val="20"/>
        </w:rPr>
        <w:t>hazardous by the inhalation route</w:t>
      </w:r>
      <w:r w:rsidRPr="0098635C">
        <w:rPr>
          <w:rFonts w:eastAsia="Calibri"/>
          <w:color w:val="000000" w:themeColor="text1"/>
          <w:sz w:val="20"/>
          <w:szCs w:val="20"/>
        </w:rPr>
        <w:t>.</w:t>
      </w:r>
    </w:p>
    <w:p w14:paraId="6676DB39" w14:textId="4C14F83C" w:rsidR="008042E3" w:rsidRPr="0098635C" w:rsidRDefault="008C615A" w:rsidP="0059369A">
      <w:pPr>
        <w:pStyle w:val="ListParagraph"/>
        <w:numPr>
          <w:ilvl w:val="0"/>
          <w:numId w:val="40"/>
        </w:numPr>
        <w:rPr>
          <w:rFonts w:eastAsia="Calibri"/>
          <w:color w:val="000000" w:themeColor="text1"/>
          <w:sz w:val="20"/>
          <w:szCs w:val="20"/>
        </w:rPr>
      </w:pPr>
      <w:r w:rsidRPr="0098635C">
        <w:rPr>
          <w:rFonts w:eastAsia="Calibri"/>
          <w:color w:val="000000" w:themeColor="text1"/>
          <w:sz w:val="20"/>
          <w:szCs w:val="20"/>
        </w:rPr>
        <w:t xml:space="preserve">Coated copper flakes, copper sulphate pentahydrate, </w:t>
      </w:r>
      <w:r w:rsidR="00F35D64" w:rsidRPr="0098635C">
        <w:rPr>
          <w:rFonts w:eastAsia="Calibri"/>
          <w:color w:val="000000" w:themeColor="text1"/>
          <w:sz w:val="20"/>
          <w:szCs w:val="20"/>
        </w:rPr>
        <w:t>copper (</w:t>
      </w:r>
      <w:r w:rsidRPr="0098635C">
        <w:rPr>
          <w:rFonts w:eastAsia="Calibri"/>
          <w:color w:val="000000" w:themeColor="text1"/>
          <w:sz w:val="20"/>
          <w:szCs w:val="20"/>
        </w:rPr>
        <w:t>I</w:t>
      </w:r>
      <w:r w:rsidR="00F35D64" w:rsidRPr="0098635C">
        <w:rPr>
          <w:rFonts w:eastAsia="Calibri"/>
          <w:color w:val="000000" w:themeColor="text1"/>
          <w:sz w:val="20"/>
          <w:szCs w:val="20"/>
        </w:rPr>
        <w:t>) oxide</w:t>
      </w:r>
      <w:r w:rsidRPr="0098635C">
        <w:rPr>
          <w:rFonts w:eastAsia="Calibri"/>
          <w:color w:val="000000" w:themeColor="text1"/>
          <w:sz w:val="20"/>
          <w:szCs w:val="20"/>
        </w:rPr>
        <w:t xml:space="preserve"> and copper oxychloride are </w:t>
      </w:r>
      <w:r w:rsidR="00A915DF" w:rsidRPr="0098635C">
        <w:rPr>
          <w:rFonts w:eastAsia="Calibri"/>
          <w:color w:val="000000" w:themeColor="text1"/>
          <w:sz w:val="20"/>
          <w:szCs w:val="20"/>
        </w:rPr>
        <w:t xml:space="preserve">hazardous </w:t>
      </w:r>
      <w:r w:rsidRPr="0098635C">
        <w:rPr>
          <w:rFonts w:eastAsia="Calibri"/>
          <w:color w:val="000000" w:themeColor="text1"/>
          <w:sz w:val="20"/>
          <w:szCs w:val="20"/>
        </w:rPr>
        <w:t xml:space="preserve">by the oral </w:t>
      </w:r>
      <w:r w:rsidR="00F35D64" w:rsidRPr="0098635C">
        <w:rPr>
          <w:rFonts w:eastAsia="Calibri"/>
          <w:color w:val="000000" w:themeColor="text1"/>
          <w:sz w:val="20"/>
          <w:szCs w:val="20"/>
        </w:rPr>
        <w:t>administration</w:t>
      </w:r>
      <w:r w:rsidRPr="0098635C">
        <w:rPr>
          <w:rFonts w:eastAsia="Calibri"/>
          <w:color w:val="000000" w:themeColor="text1"/>
          <w:sz w:val="20"/>
          <w:szCs w:val="20"/>
        </w:rPr>
        <w:t xml:space="preserve"> route. </w:t>
      </w:r>
      <w:r w:rsidR="00236182" w:rsidRPr="0098635C">
        <w:rPr>
          <w:rFonts w:eastAsia="Calibri"/>
          <w:color w:val="000000" w:themeColor="text1"/>
          <w:sz w:val="20"/>
          <w:szCs w:val="20"/>
        </w:rPr>
        <w:t>Copper (II) oxide</w:t>
      </w:r>
      <w:r w:rsidRPr="0098635C">
        <w:rPr>
          <w:rFonts w:eastAsia="Calibri"/>
          <w:color w:val="000000" w:themeColor="text1"/>
          <w:sz w:val="20"/>
          <w:szCs w:val="20"/>
        </w:rPr>
        <w:t xml:space="preserve"> is not considered </w:t>
      </w:r>
      <w:r w:rsidR="00A915DF" w:rsidRPr="0098635C">
        <w:rPr>
          <w:rFonts w:eastAsia="Calibri"/>
          <w:color w:val="000000" w:themeColor="text1"/>
          <w:sz w:val="20"/>
          <w:szCs w:val="20"/>
        </w:rPr>
        <w:t>hazardous by the inhalation route</w:t>
      </w:r>
      <w:r w:rsidRPr="0098635C">
        <w:rPr>
          <w:rFonts w:eastAsia="Calibri"/>
          <w:color w:val="000000" w:themeColor="text1"/>
          <w:sz w:val="20"/>
          <w:szCs w:val="20"/>
        </w:rPr>
        <w:t>.</w:t>
      </w:r>
      <w:r w:rsidR="008042E3" w:rsidRPr="0098635C">
        <w:rPr>
          <w:rFonts w:eastAsia="Calibri"/>
          <w:color w:val="000000" w:themeColor="text1"/>
          <w:sz w:val="20"/>
          <w:szCs w:val="20"/>
        </w:rPr>
        <w:t xml:space="preserve"> </w:t>
      </w:r>
    </w:p>
    <w:p w14:paraId="2BB53FC0" w14:textId="6820991A" w:rsidR="008042E3" w:rsidRPr="0098635C" w:rsidRDefault="008042E3" w:rsidP="008042E3">
      <w:pPr>
        <w:spacing w:after="0"/>
        <w:rPr>
          <w:i/>
          <w:color w:val="000000" w:themeColor="text1"/>
          <w:sz w:val="20"/>
          <w:szCs w:val="20"/>
          <w:lang w:eastAsia="ja-JP"/>
        </w:rPr>
      </w:pPr>
      <w:r w:rsidRPr="0098635C">
        <w:rPr>
          <w:i/>
          <w:color w:val="000000" w:themeColor="text1"/>
          <w:sz w:val="20"/>
          <w:szCs w:val="20"/>
          <w:lang w:eastAsia="ja-JP"/>
        </w:rPr>
        <w:t xml:space="preserve">Read across </w:t>
      </w:r>
      <w:r w:rsidR="00226263" w:rsidRPr="0098635C">
        <w:rPr>
          <w:i/>
          <w:color w:val="000000" w:themeColor="text1"/>
          <w:sz w:val="20"/>
          <w:szCs w:val="20"/>
          <w:lang w:eastAsia="ja-JP"/>
        </w:rPr>
        <w:t xml:space="preserve">approach </w:t>
      </w:r>
      <w:r w:rsidRPr="0098635C">
        <w:rPr>
          <w:i/>
          <w:color w:val="000000" w:themeColor="text1"/>
          <w:sz w:val="20"/>
          <w:szCs w:val="20"/>
          <w:lang w:eastAsia="ja-JP"/>
        </w:rPr>
        <w:t>for acute oral toxicity</w:t>
      </w:r>
      <w:r w:rsidR="00407FEC" w:rsidRPr="0098635C">
        <w:rPr>
          <w:i/>
          <w:color w:val="000000" w:themeColor="text1"/>
          <w:sz w:val="20"/>
          <w:szCs w:val="20"/>
          <w:lang w:eastAsia="ja-JP"/>
        </w:rPr>
        <w:t xml:space="preserve"> is applied to copper </w:t>
      </w:r>
    </w:p>
    <w:p w14:paraId="6FDA2803" w14:textId="77777777" w:rsidR="00ED6038" w:rsidRPr="0098635C" w:rsidRDefault="00ED6038" w:rsidP="008042E3">
      <w:pPr>
        <w:spacing w:after="0"/>
        <w:rPr>
          <w:color w:val="000000" w:themeColor="text1"/>
          <w:sz w:val="20"/>
          <w:szCs w:val="20"/>
          <w:lang w:eastAsia="ja-JP"/>
        </w:rPr>
      </w:pPr>
    </w:p>
    <w:p w14:paraId="1F3DFD05" w14:textId="77777777" w:rsidR="00ED6038" w:rsidRPr="0098635C" w:rsidRDefault="008042E3" w:rsidP="008042E3">
      <w:pPr>
        <w:spacing w:after="0"/>
        <w:rPr>
          <w:color w:val="000000" w:themeColor="text1"/>
          <w:sz w:val="20"/>
          <w:szCs w:val="20"/>
          <w:lang w:eastAsia="ja-JP"/>
        </w:rPr>
      </w:pPr>
      <w:r w:rsidRPr="0098635C">
        <w:rPr>
          <w:color w:val="000000" w:themeColor="text1"/>
          <w:sz w:val="20"/>
          <w:szCs w:val="20"/>
          <w:lang w:eastAsia="ja-JP"/>
        </w:rPr>
        <w:t xml:space="preserve">For copper massive and uncoated copper powder, the acute oral toxicity can be predicted using </w:t>
      </w:r>
      <w:r w:rsidRPr="0098635C">
        <w:rPr>
          <w:i/>
          <w:color w:val="000000" w:themeColor="text1"/>
          <w:sz w:val="20"/>
          <w:szCs w:val="20"/>
          <w:lang w:eastAsia="ja-JP"/>
        </w:rPr>
        <w:t>in vitro</w:t>
      </w:r>
      <w:r w:rsidRPr="0098635C">
        <w:rPr>
          <w:color w:val="000000" w:themeColor="text1"/>
          <w:sz w:val="20"/>
          <w:szCs w:val="20"/>
          <w:lang w:eastAsia="ja-JP"/>
        </w:rPr>
        <w:t xml:space="preserve"> studies and available toxicity studies on other forms of copper and copper compounds.  </w:t>
      </w:r>
    </w:p>
    <w:p w14:paraId="65C013A0" w14:textId="77777777" w:rsidR="00407FEC" w:rsidRPr="0098635C" w:rsidRDefault="00407FEC" w:rsidP="008042E3">
      <w:pPr>
        <w:spacing w:after="0"/>
        <w:rPr>
          <w:color w:val="000000" w:themeColor="text1"/>
          <w:sz w:val="20"/>
          <w:szCs w:val="20"/>
          <w:lang w:eastAsia="ja-JP"/>
        </w:rPr>
      </w:pPr>
    </w:p>
    <w:p w14:paraId="635B7BB2" w14:textId="28205B18" w:rsidR="008042E3" w:rsidRPr="0098635C" w:rsidRDefault="008042E3" w:rsidP="008042E3">
      <w:pPr>
        <w:spacing w:after="0"/>
        <w:rPr>
          <w:rFonts w:eastAsia="Calibri"/>
          <w:color w:val="000000" w:themeColor="text1"/>
          <w:sz w:val="20"/>
          <w:szCs w:val="20"/>
        </w:rPr>
      </w:pPr>
      <w:r w:rsidRPr="0098635C">
        <w:rPr>
          <w:rFonts w:eastAsia="Calibri"/>
          <w:i/>
          <w:color w:val="000000" w:themeColor="text1"/>
          <w:sz w:val="20"/>
          <w:szCs w:val="20"/>
        </w:rPr>
        <w:lastRenderedPageBreak/>
        <w:t>In vivo</w:t>
      </w:r>
      <w:r w:rsidRPr="0098635C">
        <w:rPr>
          <w:rFonts w:eastAsia="Calibri"/>
          <w:color w:val="000000" w:themeColor="text1"/>
          <w:sz w:val="20"/>
          <w:szCs w:val="20"/>
        </w:rPr>
        <w:t xml:space="preserve"> acute oral toxicity tests are available for several copper bearing materials. The results of the appropriate oral toxicity studies are summarised below.  These include data on 2 substances, dicopper chloride and dicopper sulphide, which are not included in this OECD CoCam review programme.</w:t>
      </w:r>
    </w:p>
    <w:p w14:paraId="47A5386D" w14:textId="77777777" w:rsidR="008042E3" w:rsidRPr="0098635C" w:rsidRDefault="008042E3" w:rsidP="0059369A">
      <w:pPr>
        <w:numPr>
          <w:ilvl w:val="0"/>
          <w:numId w:val="28"/>
        </w:numPr>
        <w:autoSpaceDE/>
        <w:autoSpaceDN/>
        <w:spacing w:after="0" w:line="276" w:lineRule="auto"/>
        <w:ind w:left="709"/>
        <w:contextualSpacing/>
        <w:textAlignment w:val="baseline"/>
        <w:rPr>
          <w:rFonts w:eastAsia="Calibri"/>
          <w:color w:val="000000" w:themeColor="text1"/>
          <w:sz w:val="20"/>
          <w:szCs w:val="20"/>
        </w:rPr>
      </w:pPr>
      <w:r w:rsidRPr="0098635C">
        <w:rPr>
          <w:rFonts w:eastAsia="Calibri"/>
          <w:color w:val="000000" w:themeColor="text1"/>
          <w:sz w:val="20"/>
          <w:szCs w:val="20"/>
        </w:rPr>
        <w:t>The acute oral effects - LD</w:t>
      </w:r>
      <w:r w:rsidRPr="0098635C">
        <w:rPr>
          <w:rFonts w:eastAsia="Calibri"/>
          <w:color w:val="000000" w:themeColor="text1"/>
          <w:sz w:val="20"/>
          <w:szCs w:val="20"/>
          <w:vertAlign w:val="subscript"/>
        </w:rPr>
        <w:t>50</w:t>
      </w:r>
      <w:r w:rsidRPr="0098635C">
        <w:rPr>
          <w:rFonts w:eastAsia="Calibri"/>
          <w:color w:val="000000" w:themeColor="text1"/>
          <w:sz w:val="20"/>
          <w:szCs w:val="20"/>
        </w:rPr>
        <w:t xml:space="preserve"> - observed for coated copper flakes are between 300 and 500 mg/kg.</w:t>
      </w:r>
    </w:p>
    <w:p w14:paraId="2872827E" w14:textId="77777777" w:rsidR="008042E3" w:rsidRPr="0098635C" w:rsidRDefault="008042E3" w:rsidP="0059369A">
      <w:pPr>
        <w:numPr>
          <w:ilvl w:val="0"/>
          <w:numId w:val="28"/>
        </w:numPr>
        <w:autoSpaceDE/>
        <w:autoSpaceDN/>
        <w:spacing w:after="0" w:line="276" w:lineRule="auto"/>
        <w:ind w:left="709"/>
        <w:contextualSpacing/>
        <w:textAlignment w:val="baseline"/>
        <w:rPr>
          <w:rFonts w:eastAsia="Calibri"/>
          <w:color w:val="000000" w:themeColor="text1"/>
          <w:sz w:val="20"/>
          <w:szCs w:val="20"/>
        </w:rPr>
      </w:pPr>
      <w:r w:rsidRPr="0098635C">
        <w:rPr>
          <w:rFonts w:eastAsia="Calibri"/>
          <w:color w:val="000000" w:themeColor="text1"/>
          <w:sz w:val="20"/>
          <w:szCs w:val="20"/>
        </w:rPr>
        <w:t>The acute oral effects - LD</w:t>
      </w:r>
      <w:r w:rsidRPr="0098635C">
        <w:rPr>
          <w:rFonts w:eastAsia="Calibri"/>
          <w:color w:val="000000" w:themeColor="text1"/>
          <w:sz w:val="20"/>
          <w:szCs w:val="20"/>
          <w:vertAlign w:val="subscript"/>
        </w:rPr>
        <w:t>50</w:t>
      </w:r>
      <w:r w:rsidRPr="0098635C">
        <w:rPr>
          <w:rFonts w:eastAsia="Calibri"/>
          <w:color w:val="000000" w:themeColor="text1"/>
          <w:sz w:val="20"/>
          <w:szCs w:val="20"/>
        </w:rPr>
        <w:t xml:space="preserve"> - observed for copper sulphate pentahydrate:  481 mg/kg.</w:t>
      </w:r>
    </w:p>
    <w:p w14:paraId="4C04EDE5" w14:textId="77777777" w:rsidR="008042E3" w:rsidRPr="0098635C" w:rsidRDefault="008042E3" w:rsidP="0059369A">
      <w:pPr>
        <w:numPr>
          <w:ilvl w:val="0"/>
          <w:numId w:val="28"/>
        </w:numPr>
        <w:autoSpaceDE/>
        <w:autoSpaceDN/>
        <w:spacing w:after="0" w:line="276" w:lineRule="auto"/>
        <w:ind w:left="709"/>
        <w:contextualSpacing/>
        <w:textAlignment w:val="baseline"/>
        <w:rPr>
          <w:rFonts w:eastAsia="Calibri"/>
          <w:color w:val="000000" w:themeColor="text1"/>
          <w:sz w:val="20"/>
          <w:szCs w:val="20"/>
        </w:rPr>
      </w:pPr>
      <w:r w:rsidRPr="0098635C">
        <w:rPr>
          <w:rFonts w:eastAsia="Calibri"/>
          <w:color w:val="000000" w:themeColor="text1"/>
          <w:sz w:val="20"/>
          <w:szCs w:val="20"/>
        </w:rPr>
        <w:t>The acute oral lethal effects - LD</w:t>
      </w:r>
      <w:r w:rsidRPr="0098635C">
        <w:rPr>
          <w:rFonts w:eastAsia="Calibri"/>
          <w:color w:val="000000" w:themeColor="text1"/>
          <w:sz w:val="20"/>
          <w:szCs w:val="20"/>
          <w:vertAlign w:val="subscript"/>
        </w:rPr>
        <w:t>50</w:t>
      </w:r>
      <w:r w:rsidRPr="0098635C">
        <w:rPr>
          <w:rFonts w:eastAsia="Calibri"/>
          <w:color w:val="000000" w:themeColor="text1"/>
          <w:sz w:val="20"/>
          <w:szCs w:val="20"/>
        </w:rPr>
        <w:t xml:space="preserve"> - observed for copper chloride:  336 mg/kg.</w:t>
      </w:r>
    </w:p>
    <w:p w14:paraId="74274706" w14:textId="459E6EE2" w:rsidR="008042E3" w:rsidRPr="0098635C" w:rsidRDefault="008042E3" w:rsidP="0059369A">
      <w:pPr>
        <w:numPr>
          <w:ilvl w:val="0"/>
          <w:numId w:val="28"/>
        </w:numPr>
        <w:autoSpaceDE/>
        <w:autoSpaceDN/>
        <w:spacing w:after="0" w:line="276" w:lineRule="auto"/>
        <w:ind w:left="709"/>
        <w:contextualSpacing/>
        <w:textAlignment w:val="baseline"/>
        <w:rPr>
          <w:rFonts w:eastAsia="Calibri"/>
          <w:color w:val="000000" w:themeColor="text1"/>
          <w:sz w:val="20"/>
          <w:szCs w:val="20"/>
        </w:rPr>
      </w:pPr>
      <w:r w:rsidRPr="0098635C">
        <w:rPr>
          <w:rFonts w:eastAsia="Calibri"/>
          <w:color w:val="000000" w:themeColor="text1"/>
          <w:sz w:val="20"/>
          <w:szCs w:val="20"/>
        </w:rPr>
        <w:t>The acute oral lethal effects - LD</w:t>
      </w:r>
      <w:r w:rsidRPr="0098635C">
        <w:rPr>
          <w:rFonts w:eastAsia="Calibri"/>
          <w:color w:val="000000" w:themeColor="text1"/>
          <w:sz w:val="20"/>
          <w:szCs w:val="20"/>
          <w:vertAlign w:val="subscript"/>
        </w:rPr>
        <w:t>50</w:t>
      </w:r>
      <w:r w:rsidRPr="0098635C">
        <w:rPr>
          <w:rFonts w:eastAsia="Calibri"/>
          <w:color w:val="000000" w:themeColor="text1"/>
          <w:sz w:val="20"/>
          <w:szCs w:val="20"/>
        </w:rPr>
        <w:t xml:space="preserve"> - observed for </w:t>
      </w:r>
      <w:r w:rsidR="00236182" w:rsidRPr="0098635C">
        <w:rPr>
          <w:rFonts w:eastAsia="Calibri"/>
          <w:color w:val="000000" w:themeColor="text1"/>
          <w:sz w:val="20"/>
          <w:szCs w:val="20"/>
        </w:rPr>
        <w:t>copper (II) oxide</w:t>
      </w:r>
      <w:r w:rsidRPr="0098635C">
        <w:rPr>
          <w:rFonts w:eastAsia="Calibri"/>
          <w:color w:val="000000" w:themeColor="text1"/>
          <w:sz w:val="20"/>
          <w:szCs w:val="20"/>
        </w:rPr>
        <w:t xml:space="preserve"> is &gt;2000 mg/kg </w:t>
      </w:r>
    </w:p>
    <w:p w14:paraId="21DCB368" w14:textId="77777777" w:rsidR="008042E3" w:rsidRPr="0098635C" w:rsidRDefault="008042E3" w:rsidP="0059369A">
      <w:pPr>
        <w:numPr>
          <w:ilvl w:val="0"/>
          <w:numId w:val="28"/>
        </w:numPr>
        <w:autoSpaceDE/>
        <w:autoSpaceDN/>
        <w:spacing w:after="0" w:line="276" w:lineRule="auto"/>
        <w:ind w:left="709"/>
        <w:contextualSpacing/>
        <w:textAlignment w:val="baseline"/>
        <w:rPr>
          <w:rFonts w:eastAsia="Calibri"/>
          <w:color w:val="000000" w:themeColor="text1"/>
          <w:sz w:val="20"/>
          <w:szCs w:val="20"/>
        </w:rPr>
      </w:pPr>
      <w:r w:rsidRPr="0098635C">
        <w:rPr>
          <w:rFonts w:eastAsia="Calibri"/>
          <w:color w:val="000000" w:themeColor="text1"/>
          <w:sz w:val="20"/>
          <w:szCs w:val="20"/>
        </w:rPr>
        <w:t>The acute oral lethal effects - LD</w:t>
      </w:r>
      <w:r w:rsidRPr="0098635C">
        <w:rPr>
          <w:rFonts w:eastAsia="Calibri"/>
          <w:color w:val="000000" w:themeColor="text1"/>
          <w:sz w:val="20"/>
          <w:szCs w:val="20"/>
          <w:vertAlign w:val="subscript"/>
        </w:rPr>
        <w:t>50</w:t>
      </w:r>
      <w:r w:rsidRPr="0098635C">
        <w:rPr>
          <w:rFonts w:eastAsia="Calibri"/>
          <w:color w:val="000000" w:themeColor="text1"/>
          <w:sz w:val="20"/>
          <w:szCs w:val="20"/>
        </w:rPr>
        <w:t xml:space="preserve"> - observed for dicopper sulphide is &gt;2000 mg/kg</w:t>
      </w:r>
    </w:p>
    <w:p w14:paraId="47F59DE5" w14:textId="77777777" w:rsidR="00ED6038" w:rsidRPr="0098635C" w:rsidRDefault="00ED6038" w:rsidP="008042E3">
      <w:pPr>
        <w:spacing w:after="0"/>
        <w:rPr>
          <w:rFonts w:eastAsia="Calibri"/>
          <w:color w:val="000000" w:themeColor="text1"/>
          <w:sz w:val="20"/>
          <w:szCs w:val="20"/>
        </w:rPr>
      </w:pPr>
    </w:p>
    <w:p w14:paraId="678D6824" w14:textId="6A10B847" w:rsidR="00633AD6" w:rsidRPr="0098635C" w:rsidRDefault="008042E3" w:rsidP="00586794">
      <w:pPr>
        <w:spacing w:after="0"/>
        <w:rPr>
          <w:rFonts w:eastAsia="Calibri"/>
          <w:color w:val="000000" w:themeColor="text1"/>
          <w:sz w:val="20"/>
          <w:szCs w:val="20"/>
        </w:rPr>
      </w:pPr>
      <w:r w:rsidRPr="0098635C">
        <w:rPr>
          <w:rFonts w:eastAsia="Calibri"/>
          <w:color w:val="000000" w:themeColor="text1"/>
          <w:sz w:val="20"/>
          <w:szCs w:val="20"/>
        </w:rPr>
        <w:t xml:space="preserve">The acute oral data indicate the importance of bio-availability/bio-accessibility:  </w:t>
      </w:r>
      <w:r w:rsidRPr="0098635C">
        <w:rPr>
          <w:rFonts w:eastAsia="Calibri"/>
          <w:i/>
          <w:color w:val="000000" w:themeColor="text1"/>
          <w:sz w:val="20"/>
          <w:szCs w:val="20"/>
        </w:rPr>
        <w:t>in vivo</w:t>
      </w:r>
      <w:r w:rsidRPr="0098635C">
        <w:rPr>
          <w:rFonts w:eastAsia="Calibri"/>
          <w:color w:val="000000" w:themeColor="text1"/>
          <w:sz w:val="20"/>
          <w:szCs w:val="20"/>
        </w:rPr>
        <w:t xml:space="preserve"> exposure to highly bio-accessible copper compounds (coated copper flakes, copper sulphate pentahydrate and copper chloride) results in a higher acute toxicity than </w:t>
      </w:r>
      <w:r w:rsidRPr="0098635C">
        <w:rPr>
          <w:rFonts w:eastAsia="Calibri"/>
          <w:i/>
          <w:color w:val="000000" w:themeColor="text1"/>
          <w:sz w:val="20"/>
          <w:szCs w:val="20"/>
        </w:rPr>
        <w:t>in vivo</w:t>
      </w:r>
      <w:r w:rsidRPr="0098635C">
        <w:rPr>
          <w:rFonts w:eastAsia="Calibri"/>
          <w:color w:val="000000" w:themeColor="text1"/>
          <w:sz w:val="20"/>
          <w:szCs w:val="20"/>
        </w:rPr>
        <w:t xml:space="preserve"> exposure to less bioaccessible/bioavailable </w:t>
      </w:r>
      <w:r w:rsidR="00236182" w:rsidRPr="0098635C">
        <w:rPr>
          <w:rFonts w:eastAsia="Calibri"/>
          <w:color w:val="000000" w:themeColor="text1"/>
          <w:sz w:val="20"/>
          <w:szCs w:val="20"/>
        </w:rPr>
        <w:t>copper (II) oxide</w:t>
      </w:r>
      <w:r w:rsidRPr="0098635C">
        <w:rPr>
          <w:rFonts w:eastAsia="Calibri"/>
          <w:color w:val="000000" w:themeColor="text1"/>
          <w:sz w:val="20"/>
          <w:szCs w:val="20"/>
        </w:rPr>
        <w:t xml:space="preserve"> and dicopper sulphide.  As read-across approach, the measured LD</w:t>
      </w:r>
      <w:r w:rsidRPr="0098635C">
        <w:rPr>
          <w:rFonts w:eastAsia="Calibri"/>
          <w:color w:val="000000" w:themeColor="text1"/>
          <w:sz w:val="20"/>
          <w:szCs w:val="20"/>
          <w:vertAlign w:val="subscript"/>
        </w:rPr>
        <w:t>50</w:t>
      </w:r>
      <w:r w:rsidRPr="0098635C">
        <w:rPr>
          <w:rFonts w:eastAsia="Calibri"/>
          <w:color w:val="000000" w:themeColor="text1"/>
          <w:sz w:val="20"/>
          <w:szCs w:val="20"/>
        </w:rPr>
        <w:t xml:space="preserve"> values of the all source materials (coated flakes, CuS0</w:t>
      </w:r>
      <w:r w:rsidRPr="0098635C">
        <w:rPr>
          <w:rFonts w:eastAsia="Calibri"/>
          <w:color w:val="000000" w:themeColor="text1"/>
          <w:sz w:val="20"/>
          <w:szCs w:val="20"/>
          <w:vertAlign w:val="subscript"/>
        </w:rPr>
        <w:t>4.</w:t>
      </w:r>
      <w:r w:rsidRPr="0098635C">
        <w:rPr>
          <w:rFonts w:eastAsia="Calibri"/>
          <w:color w:val="000000" w:themeColor="text1"/>
          <w:sz w:val="20"/>
          <w:szCs w:val="20"/>
        </w:rPr>
        <w:t>5H</w:t>
      </w:r>
      <w:r w:rsidRPr="0098635C">
        <w:rPr>
          <w:rFonts w:eastAsia="Calibri"/>
          <w:color w:val="000000" w:themeColor="text1"/>
          <w:sz w:val="20"/>
          <w:szCs w:val="20"/>
          <w:vertAlign w:val="subscript"/>
        </w:rPr>
        <w:t>2</w:t>
      </w:r>
      <w:r w:rsidRPr="0098635C">
        <w:rPr>
          <w:rFonts w:eastAsia="Calibri"/>
          <w:color w:val="000000" w:themeColor="text1"/>
          <w:sz w:val="20"/>
          <w:szCs w:val="20"/>
        </w:rPr>
        <w:t>O and CuCl) were expressed as mg bio-accessible Cu/kg bw and combined with the % bio-accessible Cu released from the various copper bearing materials to predict the LD</w:t>
      </w:r>
      <w:r w:rsidRPr="0098635C">
        <w:rPr>
          <w:rFonts w:eastAsia="Calibri"/>
          <w:color w:val="000000" w:themeColor="text1"/>
          <w:sz w:val="20"/>
          <w:szCs w:val="20"/>
          <w:vertAlign w:val="subscript"/>
        </w:rPr>
        <w:t>50</w:t>
      </w:r>
      <w:r w:rsidRPr="0098635C">
        <w:rPr>
          <w:rFonts w:eastAsia="Calibri"/>
          <w:color w:val="000000" w:themeColor="text1"/>
          <w:sz w:val="20"/>
          <w:szCs w:val="20"/>
        </w:rPr>
        <w:t xml:space="preserve"> values. The results are given below. </w:t>
      </w:r>
      <w:bookmarkStart w:id="1175" w:name="_Ref471740291"/>
    </w:p>
    <w:p w14:paraId="6B708BC5" w14:textId="3215F25A" w:rsidR="008042E3" w:rsidRPr="0098635C" w:rsidRDefault="00ED6038" w:rsidP="00586794">
      <w:pPr>
        <w:jc w:val="center"/>
        <w:rPr>
          <w:rFonts w:eastAsia="Calibri"/>
          <w:b/>
          <w:color w:val="000000" w:themeColor="text1"/>
          <w:sz w:val="20"/>
          <w:szCs w:val="20"/>
        </w:rPr>
      </w:pPr>
      <w:r w:rsidRPr="0098635C">
        <w:rPr>
          <w:b/>
          <w:color w:val="000000" w:themeColor="text1"/>
          <w:sz w:val="20"/>
          <w:szCs w:val="20"/>
        </w:rPr>
        <w:t xml:space="preserve">Table </w:t>
      </w:r>
      <w:r w:rsidRPr="0098635C">
        <w:rPr>
          <w:b/>
          <w:color w:val="000000" w:themeColor="text1"/>
          <w:sz w:val="20"/>
          <w:szCs w:val="20"/>
        </w:rPr>
        <w:fldChar w:fldCharType="begin"/>
      </w:r>
      <w:r w:rsidRPr="0098635C">
        <w:rPr>
          <w:b/>
          <w:color w:val="000000" w:themeColor="text1"/>
          <w:sz w:val="20"/>
          <w:szCs w:val="20"/>
        </w:rPr>
        <w:instrText xml:space="preserve"> SEQ Table \* ARABIC </w:instrText>
      </w:r>
      <w:r w:rsidRPr="0098635C">
        <w:rPr>
          <w:b/>
          <w:color w:val="000000" w:themeColor="text1"/>
          <w:sz w:val="20"/>
          <w:szCs w:val="20"/>
        </w:rPr>
        <w:fldChar w:fldCharType="separate"/>
      </w:r>
      <w:r w:rsidR="005E5161" w:rsidRPr="0098635C">
        <w:rPr>
          <w:b/>
          <w:noProof/>
          <w:color w:val="000000" w:themeColor="text1"/>
          <w:sz w:val="20"/>
          <w:szCs w:val="20"/>
        </w:rPr>
        <w:t>14</w:t>
      </w:r>
      <w:r w:rsidRPr="0098635C">
        <w:rPr>
          <w:b/>
          <w:color w:val="000000" w:themeColor="text1"/>
          <w:sz w:val="20"/>
          <w:szCs w:val="20"/>
        </w:rPr>
        <w:fldChar w:fldCharType="end"/>
      </w:r>
      <w:bookmarkEnd w:id="1175"/>
      <w:r w:rsidRPr="0098635C">
        <w:rPr>
          <w:b/>
          <w:color w:val="000000" w:themeColor="text1"/>
          <w:sz w:val="20"/>
          <w:szCs w:val="20"/>
        </w:rPr>
        <w:t xml:space="preserve"> : </w:t>
      </w:r>
      <w:r w:rsidR="008042E3" w:rsidRPr="0098635C">
        <w:rPr>
          <w:rFonts w:eastAsia="Calibri"/>
          <w:b/>
          <w:color w:val="000000" w:themeColor="text1"/>
          <w:sz w:val="20"/>
          <w:szCs w:val="20"/>
        </w:rPr>
        <w:t>Oral LD50 values for the various copper materials</w:t>
      </w:r>
    </w:p>
    <w:tbl>
      <w:tblPr>
        <w:tblW w:w="9160" w:type="dxa"/>
        <w:tblLayout w:type="fixed"/>
        <w:tblLook w:val="04A0" w:firstRow="1" w:lastRow="0" w:firstColumn="1" w:lastColumn="0" w:noHBand="0" w:noVBand="1"/>
      </w:tblPr>
      <w:tblGrid>
        <w:gridCol w:w="2240"/>
        <w:gridCol w:w="960"/>
        <w:gridCol w:w="1260"/>
        <w:gridCol w:w="1420"/>
        <w:gridCol w:w="1580"/>
        <w:gridCol w:w="1700"/>
      </w:tblGrid>
      <w:tr w:rsidR="008042E3" w:rsidRPr="0098635C" w14:paraId="7DFF0CB2" w14:textId="77777777" w:rsidTr="00330AD0">
        <w:trPr>
          <w:trHeight w:val="510"/>
        </w:trPr>
        <w:tc>
          <w:tcPr>
            <w:tcW w:w="2240" w:type="dxa"/>
            <w:tcBorders>
              <w:top w:val="single" w:sz="4" w:space="0" w:color="auto"/>
              <w:left w:val="single" w:sz="8" w:space="0" w:color="auto"/>
              <w:bottom w:val="single" w:sz="8" w:space="0" w:color="000000"/>
              <w:right w:val="single" w:sz="8" w:space="0" w:color="auto"/>
            </w:tcBorders>
            <w:vAlign w:val="center"/>
          </w:tcPr>
          <w:p w14:paraId="57AEE513" w14:textId="77777777" w:rsidR="008042E3" w:rsidRPr="0098635C" w:rsidRDefault="008042E3" w:rsidP="00330AD0">
            <w:pPr>
              <w:spacing w:after="0"/>
              <w:rPr>
                <w:b/>
                <w:bCs/>
                <w:color w:val="000000" w:themeColor="text1"/>
                <w:sz w:val="20"/>
                <w:szCs w:val="20"/>
                <w:lang w:eastAsia="en-GB"/>
              </w:rPr>
            </w:pPr>
            <w:r w:rsidRPr="0098635C">
              <w:rPr>
                <w:b/>
                <w:bCs/>
                <w:color w:val="000000" w:themeColor="text1"/>
                <w:sz w:val="20"/>
                <w:szCs w:val="20"/>
                <w:lang w:eastAsia="en-GB"/>
              </w:rPr>
              <w:t>Cu Material</w:t>
            </w:r>
          </w:p>
        </w:tc>
        <w:tc>
          <w:tcPr>
            <w:tcW w:w="960" w:type="dxa"/>
            <w:tcBorders>
              <w:top w:val="single" w:sz="4" w:space="0" w:color="auto"/>
              <w:left w:val="nil"/>
              <w:bottom w:val="single" w:sz="8" w:space="0" w:color="auto"/>
              <w:right w:val="single" w:sz="8" w:space="0" w:color="auto"/>
            </w:tcBorders>
            <w:shd w:val="clear" w:color="auto" w:fill="auto"/>
            <w:vAlign w:val="bottom"/>
          </w:tcPr>
          <w:p w14:paraId="6B96E1F1" w14:textId="77777777" w:rsidR="008042E3" w:rsidRPr="0098635C" w:rsidRDefault="008042E3" w:rsidP="00330AD0">
            <w:pPr>
              <w:spacing w:after="0"/>
              <w:jc w:val="center"/>
              <w:rPr>
                <w:b/>
                <w:bCs/>
                <w:color w:val="000000" w:themeColor="text1"/>
                <w:sz w:val="20"/>
                <w:szCs w:val="20"/>
                <w:lang w:eastAsia="en-GB"/>
              </w:rPr>
            </w:pPr>
            <w:r w:rsidRPr="0098635C">
              <w:rPr>
                <w:b/>
                <w:bCs/>
                <w:color w:val="000000" w:themeColor="text1"/>
                <w:sz w:val="20"/>
                <w:szCs w:val="20"/>
                <w:lang w:eastAsia="en-GB"/>
              </w:rPr>
              <w:t>Copper content</w:t>
            </w:r>
          </w:p>
          <w:p w14:paraId="1666C4CD" w14:textId="77777777" w:rsidR="008042E3" w:rsidRPr="0098635C" w:rsidRDefault="008042E3" w:rsidP="00330AD0">
            <w:pPr>
              <w:spacing w:after="0"/>
              <w:jc w:val="center"/>
              <w:rPr>
                <w:b/>
                <w:bCs/>
                <w:color w:val="000000" w:themeColor="text1"/>
                <w:sz w:val="20"/>
                <w:szCs w:val="20"/>
                <w:lang w:eastAsia="en-GB"/>
              </w:rPr>
            </w:pPr>
            <w:r w:rsidRPr="0098635C">
              <w:rPr>
                <w:b/>
                <w:bCs/>
                <w:color w:val="000000" w:themeColor="text1"/>
                <w:sz w:val="20"/>
                <w:szCs w:val="20"/>
                <w:lang w:eastAsia="en-GB"/>
              </w:rPr>
              <w:t>%</w:t>
            </w:r>
          </w:p>
        </w:tc>
        <w:tc>
          <w:tcPr>
            <w:tcW w:w="1260" w:type="dxa"/>
            <w:tcBorders>
              <w:top w:val="single" w:sz="4" w:space="0" w:color="auto"/>
              <w:left w:val="nil"/>
              <w:bottom w:val="single" w:sz="8" w:space="0" w:color="auto"/>
              <w:right w:val="single" w:sz="8" w:space="0" w:color="auto"/>
            </w:tcBorders>
            <w:shd w:val="clear" w:color="auto" w:fill="auto"/>
            <w:vAlign w:val="bottom"/>
          </w:tcPr>
          <w:p w14:paraId="7F98B5D3" w14:textId="77777777" w:rsidR="008042E3" w:rsidRPr="0098635C" w:rsidRDefault="008042E3" w:rsidP="00330AD0">
            <w:pPr>
              <w:spacing w:after="0"/>
              <w:jc w:val="center"/>
              <w:rPr>
                <w:b/>
                <w:bCs/>
                <w:color w:val="000000" w:themeColor="text1"/>
                <w:sz w:val="20"/>
                <w:szCs w:val="20"/>
                <w:vertAlign w:val="superscript"/>
                <w:lang w:eastAsia="en-GB"/>
              </w:rPr>
            </w:pPr>
            <w:r w:rsidRPr="0098635C">
              <w:rPr>
                <w:b/>
                <w:bCs/>
                <w:color w:val="000000" w:themeColor="text1"/>
                <w:sz w:val="20"/>
                <w:szCs w:val="20"/>
                <w:lang w:eastAsia="en-GB"/>
              </w:rPr>
              <w:t>Bio-accessible/ bio-availability Cu %</w:t>
            </w:r>
            <w:r w:rsidRPr="0098635C">
              <w:rPr>
                <w:b/>
                <w:bCs/>
                <w:color w:val="000000" w:themeColor="text1"/>
                <w:sz w:val="20"/>
                <w:szCs w:val="20"/>
                <w:vertAlign w:val="superscript"/>
                <w:lang w:eastAsia="en-GB"/>
              </w:rPr>
              <w:t>(1)</w:t>
            </w:r>
          </w:p>
        </w:tc>
        <w:tc>
          <w:tcPr>
            <w:tcW w:w="1420" w:type="dxa"/>
            <w:tcBorders>
              <w:top w:val="single" w:sz="4" w:space="0" w:color="auto"/>
              <w:left w:val="nil"/>
              <w:bottom w:val="single" w:sz="8" w:space="0" w:color="auto"/>
              <w:right w:val="single" w:sz="8" w:space="0" w:color="auto"/>
            </w:tcBorders>
            <w:shd w:val="clear" w:color="auto" w:fill="auto"/>
            <w:vAlign w:val="bottom"/>
          </w:tcPr>
          <w:p w14:paraId="20845930" w14:textId="77777777" w:rsidR="008042E3" w:rsidRPr="0098635C" w:rsidRDefault="008042E3" w:rsidP="00330AD0">
            <w:pPr>
              <w:spacing w:after="0"/>
              <w:jc w:val="center"/>
              <w:rPr>
                <w:b/>
                <w:bCs/>
                <w:color w:val="000000" w:themeColor="text1"/>
                <w:sz w:val="20"/>
                <w:szCs w:val="20"/>
                <w:lang w:eastAsia="en-GB"/>
              </w:rPr>
            </w:pPr>
            <w:r w:rsidRPr="0098635C">
              <w:rPr>
                <w:b/>
                <w:bCs/>
                <w:color w:val="000000" w:themeColor="text1"/>
                <w:sz w:val="20"/>
                <w:szCs w:val="20"/>
                <w:lang w:eastAsia="en-GB"/>
              </w:rPr>
              <w:t>LD</w:t>
            </w:r>
            <w:r w:rsidRPr="0098635C">
              <w:rPr>
                <w:b/>
                <w:bCs/>
                <w:color w:val="000000" w:themeColor="text1"/>
                <w:sz w:val="20"/>
                <w:szCs w:val="20"/>
                <w:vertAlign w:val="subscript"/>
                <w:lang w:eastAsia="en-GB"/>
              </w:rPr>
              <w:t>50</w:t>
            </w:r>
            <w:r w:rsidRPr="0098635C">
              <w:rPr>
                <w:b/>
                <w:bCs/>
                <w:color w:val="000000" w:themeColor="text1"/>
                <w:sz w:val="20"/>
                <w:szCs w:val="20"/>
                <w:lang w:eastAsia="en-GB"/>
              </w:rPr>
              <w:t xml:space="preserve"> as bio-accessible Cu</w:t>
            </w:r>
          </w:p>
          <w:p w14:paraId="105E51E5" w14:textId="77777777" w:rsidR="008042E3" w:rsidRPr="0098635C" w:rsidRDefault="008042E3" w:rsidP="00330AD0">
            <w:pPr>
              <w:spacing w:after="0"/>
              <w:jc w:val="center"/>
              <w:rPr>
                <w:b/>
                <w:bCs/>
                <w:color w:val="000000" w:themeColor="text1"/>
                <w:sz w:val="20"/>
                <w:szCs w:val="20"/>
                <w:vertAlign w:val="superscript"/>
                <w:lang w:eastAsia="en-GB"/>
              </w:rPr>
            </w:pPr>
            <w:r w:rsidRPr="0098635C">
              <w:rPr>
                <w:b/>
                <w:bCs/>
                <w:color w:val="000000" w:themeColor="text1"/>
                <w:sz w:val="20"/>
                <w:szCs w:val="20"/>
                <w:lang w:eastAsia="en-GB"/>
              </w:rPr>
              <w:t xml:space="preserve">(mg Cu/kg bw) </w:t>
            </w:r>
            <w:r w:rsidRPr="0098635C">
              <w:rPr>
                <w:b/>
                <w:bCs/>
                <w:color w:val="000000" w:themeColor="text1"/>
                <w:sz w:val="20"/>
                <w:szCs w:val="20"/>
                <w:vertAlign w:val="superscript"/>
                <w:lang w:eastAsia="en-GB"/>
              </w:rPr>
              <w:t>(2)</w:t>
            </w:r>
          </w:p>
        </w:tc>
        <w:tc>
          <w:tcPr>
            <w:tcW w:w="1580" w:type="dxa"/>
            <w:tcBorders>
              <w:top w:val="single" w:sz="4" w:space="0" w:color="auto"/>
              <w:left w:val="nil"/>
              <w:bottom w:val="single" w:sz="8" w:space="0" w:color="auto"/>
              <w:right w:val="single" w:sz="8" w:space="0" w:color="auto"/>
            </w:tcBorders>
            <w:shd w:val="clear" w:color="auto" w:fill="auto"/>
            <w:vAlign w:val="bottom"/>
          </w:tcPr>
          <w:p w14:paraId="0D786E4C" w14:textId="77777777" w:rsidR="008042E3" w:rsidRPr="0098635C" w:rsidRDefault="008042E3" w:rsidP="00330AD0">
            <w:pPr>
              <w:spacing w:after="0"/>
              <w:jc w:val="center"/>
              <w:rPr>
                <w:b/>
                <w:bCs/>
                <w:color w:val="000000" w:themeColor="text1"/>
                <w:sz w:val="20"/>
                <w:szCs w:val="20"/>
                <w:vertAlign w:val="subscript"/>
                <w:lang w:eastAsia="en-GB"/>
              </w:rPr>
            </w:pPr>
            <w:r w:rsidRPr="0098635C">
              <w:rPr>
                <w:b/>
                <w:bCs/>
                <w:color w:val="000000" w:themeColor="text1"/>
                <w:sz w:val="20"/>
                <w:szCs w:val="20"/>
                <w:lang w:eastAsia="en-GB"/>
              </w:rPr>
              <w:t>Measured LD</w:t>
            </w:r>
            <w:r w:rsidRPr="0098635C">
              <w:rPr>
                <w:b/>
                <w:bCs/>
                <w:color w:val="000000" w:themeColor="text1"/>
                <w:sz w:val="20"/>
                <w:szCs w:val="20"/>
                <w:vertAlign w:val="subscript"/>
                <w:lang w:eastAsia="en-GB"/>
              </w:rPr>
              <w:t>50</w:t>
            </w:r>
          </w:p>
          <w:p w14:paraId="602C249C" w14:textId="77777777" w:rsidR="008042E3" w:rsidRPr="0098635C" w:rsidRDefault="008042E3" w:rsidP="00330AD0">
            <w:pPr>
              <w:spacing w:after="0"/>
              <w:jc w:val="center"/>
              <w:rPr>
                <w:b/>
                <w:bCs/>
                <w:color w:val="000000" w:themeColor="text1"/>
                <w:sz w:val="20"/>
                <w:szCs w:val="20"/>
                <w:lang w:eastAsia="en-GB"/>
              </w:rPr>
            </w:pPr>
            <w:r w:rsidRPr="0098635C">
              <w:rPr>
                <w:b/>
                <w:bCs/>
                <w:color w:val="000000" w:themeColor="text1"/>
                <w:sz w:val="20"/>
                <w:szCs w:val="20"/>
                <w:lang w:eastAsia="en-GB"/>
              </w:rPr>
              <w:t>LD</w:t>
            </w:r>
            <w:r w:rsidRPr="0098635C">
              <w:rPr>
                <w:b/>
                <w:bCs/>
                <w:color w:val="000000" w:themeColor="text1"/>
                <w:sz w:val="20"/>
                <w:szCs w:val="20"/>
                <w:vertAlign w:val="subscript"/>
                <w:lang w:eastAsia="en-GB"/>
              </w:rPr>
              <w:t>50</w:t>
            </w:r>
            <w:r w:rsidRPr="0098635C">
              <w:rPr>
                <w:b/>
                <w:bCs/>
                <w:color w:val="000000" w:themeColor="text1"/>
                <w:sz w:val="20"/>
                <w:szCs w:val="20"/>
                <w:lang w:eastAsia="en-GB"/>
              </w:rPr>
              <w:t xml:space="preserve"> (mg substance/kg bw)</w:t>
            </w:r>
          </w:p>
        </w:tc>
        <w:tc>
          <w:tcPr>
            <w:tcW w:w="1700" w:type="dxa"/>
            <w:tcBorders>
              <w:top w:val="single" w:sz="4" w:space="0" w:color="auto"/>
              <w:left w:val="nil"/>
              <w:bottom w:val="single" w:sz="8" w:space="0" w:color="auto"/>
              <w:right w:val="single" w:sz="8" w:space="0" w:color="auto"/>
            </w:tcBorders>
            <w:shd w:val="clear" w:color="auto" w:fill="auto"/>
            <w:vAlign w:val="bottom"/>
          </w:tcPr>
          <w:p w14:paraId="18856E0F" w14:textId="77777777" w:rsidR="008042E3" w:rsidRPr="0098635C" w:rsidRDefault="008042E3" w:rsidP="00330AD0">
            <w:pPr>
              <w:spacing w:after="0"/>
              <w:jc w:val="center"/>
              <w:rPr>
                <w:b/>
                <w:bCs/>
                <w:color w:val="000000" w:themeColor="text1"/>
                <w:sz w:val="20"/>
                <w:szCs w:val="20"/>
                <w:lang w:eastAsia="en-GB"/>
              </w:rPr>
            </w:pPr>
            <w:r w:rsidRPr="0098635C">
              <w:rPr>
                <w:b/>
                <w:bCs/>
                <w:color w:val="000000" w:themeColor="text1"/>
                <w:sz w:val="20"/>
                <w:szCs w:val="20"/>
                <w:lang w:eastAsia="en-GB"/>
              </w:rPr>
              <w:t>Calculated  LD</w:t>
            </w:r>
            <w:r w:rsidRPr="0098635C">
              <w:rPr>
                <w:b/>
                <w:bCs/>
                <w:color w:val="000000" w:themeColor="text1"/>
                <w:sz w:val="20"/>
                <w:szCs w:val="20"/>
                <w:vertAlign w:val="subscript"/>
                <w:lang w:eastAsia="en-GB"/>
              </w:rPr>
              <w:t xml:space="preserve">50 </w:t>
            </w:r>
          </w:p>
          <w:p w14:paraId="51DBF2D1" w14:textId="77777777" w:rsidR="008042E3" w:rsidRPr="0098635C" w:rsidRDefault="008042E3" w:rsidP="00330AD0">
            <w:pPr>
              <w:spacing w:after="0"/>
              <w:jc w:val="center"/>
              <w:rPr>
                <w:b/>
                <w:bCs/>
                <w:color w:val="000000" w:themeColor="text1"/>
                <w:sz w:val="20"/>
                <w:szCs w:val="20"/>
                <w:vertAlign w:val="superscript"/>
                <w:lang w:eastAsia="en-GB"/>
              </w:rPr>
            </w:pPr>
            <w:r w:rsidRPr="0098635C">
              <w:rPr>
                <w:b/>
                <w:bCs/>
                <w:color w:val="000000" w:themeColor="text1"/>
                <w:sz w:val="20"/>
                <w:szCs w:val="20"/>
                <w:lang w:eastAsia="en-GB"/>
              </w:rPr>
              <w:t>LD</w:t>
            </w:r>
            <w:r w:rsidRPr="0098635C">
              <w:rPr>
                <w:b/>
                <w:bCs/>
                <w:color w:val="000000" w:themeColor="text1"/>
                <w:sz w:val="20"/>
                <w:szCs w:val="20"/>
                <w:vertAlign w:val="subscript"/>
                <w:lang w:eastAsia="en-GB"/>
              </w:rPr>
              <w:t>50</w:t>
            </w:r>
            <w:r w:rsidRPr="0098635C">
              <w:rPr>
                <w:b/>
                <w:bCs/>
                <w:color w:val="000000" w:themeColor="text1"/>
                <w:sz w:val="20"/>
                <w:szCs w:val="20"/>
                <w:lang w:eastAsia="en-GB"/>
              </w:rPr>
              <w:t xml:space="preserve"> (mg substance/kg bw) </w:t>
            </w:r>
            <w:r w:rsidRPr="0098635C">
              <w:rPr>
                <w:b/>
                <w:bCs/>
                <w:color w:val="000000" w:themeColor="text1"/>
                <w:sz w:val="20"/>
                <w:szCs w:val="20"/>
                <w:vertAlign w:val="superscript"/>
                <w:lang w:eastAsia="en-GB"/>
              </w:rPr>
              <w:t>(3)</w:t>
            </w:r>
          </w:p>
        </w:tc>
      </w:tr>
      <w:tr w:rsidR="008042E3" w:rsidRPr="0098635C" w14:paraId="7B91F9B1" w14:textId="77777777" w:rsidTr="00330AD0">
        <w:trPr>
          <w:trHeight w:val="300"/>
        </w:trPr>
        <w:tc>
          <w:tcPr>
            <w:tcW w:w="2240" w:type="dxa"/>
            <w:tcBorders>
              <w:top w:val="nil"/>
              <w:left w:val="single" w:sz="8" w:space="0" w:color="auto"/>
              <w:bottom w:val="single" w:sz="4" w:space="0" w:color="auto"/>
              <w:right w:val="single" w:sz="8" w:space="0" w:color="auto"/>
            </w:tcBorders>
            <w:shd w:val="clear" w:color="auto" w:fill="auto"/>
            <w:hideMark/>
          </w:tcPr>
          <w:p w14:paraId="3C970186" w14:textId="77777777" w:rsidR="008042E3" w:rsidRPr="0098635C" w:rsidRDefault="008042E3" w:rsidP="00330AD0">
            <w:pPr>
              <w:spacing w:after="0"/>
              <w:jc w:val="center"/>
              <w:rPr>
                <w:color w:val="000000" w:themeColor="text1"/>
                <w:sz w:val="20"/>
                <w:szCs w:val="20"/>
                <w:lang w:eastAsia="en-GB"/>
              </w:rPr>
            </w:pPr>
            <w:r w:rsidRPr="0098635C">
              <w:rPr>
                <w:color w:val="000000" w:themeColor="text1"/>
                <w:sz w:val="20"/>
                <w:szCs w:val="20"/>
                <w:lang w:eastAsia="en-GB"/>
              </w:rPr>
              <w:t>Coated  flakes (2.9m2/g)</w:t>
            </w:r>
          </w:p>
        </w:tc>
        <w:tc>
          <w:tcPr>
            <w:tcW w:w="960" w:type="dxa"/>
            <w:tcBorders>
              <w:top w:val="nil"/>
              <w:left w:val="nil"/>
              <w:bottom w:val="single" w:sz="4" w:space="0" w:color="auto"/>
              <w:right w:val="single" w:sz="8" w:space="0" w:color="auto"/>
            </w:tcBorders>
            <w:shd w:val="clear" w:color="auto" w:fill="auto"/>
            <w:hideMark/>
          </w:tcPr>
          <w:p w14:paraId="08224B13" w14:textId="77777777" w:rsidR="008042E3" w:rsidRPr="0098635C" w:rsidRDefault="008042E3" w:rsidP="00330AD0">
            <w:pPr>
              <w:spacing w:after="0"/>
              <w:jc w:val="center"/>
              <w:rPr>
                <w:color w:val="000000" w:themeColor="text1"/>
                <w:sz w:val="20"/>
                <w:szCs w:val="20"/>
                <w:lang w:eastAsia="en-GB"/>
              </w:rPr>
            </w:pPr>
            <w:r w:rsidRPr="0098635C">
              <w:rPr>
                <w:color w:val="000000" w:themeColor="text1"/>
                <w:sz w:val="20"/>
                <w:szCs w:val="20"/>
                <w:lang w:eastAsia="en-GB"/>
              </w:rPr>
              <w:t>99.7</w:t>
            </w:r>
          </w:p>
        </w:tc>
        <w:tc>
          <w:tcPr>
            <w:tcW w:w="1260" w:type="dxa"/>
            <w:tcBorders>
              <w:top w:val="nil"/>
              <w:left w:val="nil"/>
              <w:bottom w:val="single" w:sz="4" w:space="0" w:color="auto"/>
              <w:right w:val="single" w:sz="8" w:space="0" w:color="auto"/>
            </w:tcBorders>
            <w:shd w:val="clear" w:color="auto" w:fill="auto"/>
            <w:hideMark/>
          </w:tcPr>
          <w:p w14:paraId="26A6BFC4" w14:textId="77777777" w:rsidR="008042E3" w:rsidRPr="0098635C" w:rsidRDefault="008042E3" w:rsidP="00330AD0">
            <w:pPr>
              <w:spacing w:after="0"/>
              <w:jc w:val="center"/>
              <w:rPr>
                <w:color w:val="000000" w:themeColor="text1"/>
                <w:sz w:val="20"/>
                <w:szCs w:val="20"/>
                <w:lang w:eastAsia="en-GB"/>
              </w:rPr>
            </w:pPr>
            <w:r w:rsidRPr="0098635C">
              <w:rPr>
                <w:color w:val="000000" w:themeColor="text1"/>
                <w:sz w:val="20"/>
                <w:szCs w:val="20"/>
                <w:lang w:eastAsia="en-GB"/>
              </w:rPr>
              <w:t>57</w:t>
            </w:r>
          </w:p>
        </w:tc>
        <w:tc>
          <w:tcPr>
            <w:tcW w:w="1420" w:type="dxa"/>
            <w:tcBorders>
              <w:top w:val="nil"/>
              <w:left w:val="nil"/>
              <w:bottom w:val="single" w:sz="4" w:space="0" w:color="auto"/>
              <w:right w:val="single" w:sz="8" w:space="0" w:color="auto"/>
            </w:tcBorders>
            <w:shd w:val="clear" w:color="000000" w:fill="FFFFFF"/>
            <w:hideMark/>
          </w:tcPr>
          <w:p w14:paraId="66178DF4" w14:textId="77777777" w:rsidR="008042E3" w:rsidRPr="0098635C" w:rsidRDefault="008042E3" w:rsidP="00330AD0">
            <w:pPr>
              <w:spacing w:after="0"/>
              <w:jc w:val="center"/>
              <w:rPr>
                <w:color w:val="000000" w:themeColor="text1"/>
                <w:sz w:val="20"/>
                <w:szCs w:val="20"/>
                <w:lang w:eastAsia="en-GB"/>
              </w:rPr>
            </w:pPr>
            <w:r w:rsidRPr="0098635C">
              <w:rPr>
                <w:color w:val="000000" w:themeColor="text1"/>
                <w:sz w:val="20"/>
                <w:szCs w:val="20"/>
                <w:lang w:eastAsia="en-GB"/>
              </w:rPr>
              <w:t>227</w:t>
            </w:r>
          </w:p>
        </w:tc>
        <w:tc>
          <w:tcPr>
            <w:tcW w:w="1580" w:type="dxa"/>
            <w:tcBorders>
              <w:top w:val="nil"/>
              <w:left w:val="nil"/>
              <w:bottom w:val="single" w:sz="4" w:space="0" w:color="auto"/>
              <w:right w:val="single" w:sz="8" w:space="0" w:color="auto"/>
            </w:tcBorders>
            <w:shd w:val="clear" w:color="auto" w:fill="auto"/>
            <w:hideMark/>
          </w:tcPr>
          <w:p w14:paraId="30ADBBFC" w14:textId="77777777" w:rsidR="008042E3" w:rsidRPr="0098635C" w:rsidRDefault="008042E3" w:rsidP="00330AD0">
            <w:pPr>
              <w:spacing w:after="0"/>
              <w:jc w:val="center"/>
              <w:rPr>
                <w:b/>
                <w:bCs/>
                <w:color w:val="000000" w:themeColor="text1"/>
                <w:sz w:val="20"/>
                <w:szCs w:val="20"/>
                <w:lang w:eastAsia="en-GB"/>
              </w:rPr>
            </w:pPr>
            <w:r w:rsidRPr="0098635C">
              <w:rPr>
                <w:b/>
                <w:bCs/>
                <w:color w:val="000000" w:themeColor="text1"/>
                <w:sz w:val="20"/>
                <w:szCs w:val="20"/>
                <w:lang w:eastAsia="en-GB"/>
              </w:rPr>
              <w:t>400 (mid value of 300 -500 mg/kg)</w:t>
            </w:r>
          </w:p>
        </w:tc>
        <w:tc>
          <w:tcPr>
            <w:tcW w:w="1700" w:type="dxa"/>
            <w:tcBorders>
              <w:top w:val="nil"/>
              <w:left w:val="nil"/>
              <w:bottom w:val="single" w:sz="4" w:space="0" w:color="auto"/>
              <w:right w:val="single" w:sz="8" w:space="0" w:color="auto"/>
            </w:tcBorders>
            <w:shd w:val="clear" w:color="auto" w:fill="auto"/>
            <w:hideMark/>
          </w:tcPr>
          <w:p w14:paraId="14116D12" w14:textId="77777777" w:rsidR="008042E3" w:rsidRPr="0098635C" w:rsidRDefault="008042E3" w:rsidP="00330AD0">
            <w:pPr>
              <w:spacing w:after="0"/>
              <w:jc w:val="center"/>
              <w:rPr>
                <w:color w:val="000000" w:themeColor="text1"/>
                <w:sz w:val="20"/>
                <w:szCs w:val="20"/>
                <w:lang w:eastAsia="en-GB"/>
              </w:rPr>
            </w:pPr>
            <w:r w:rsidRPr="0098635C">
              <w:rPr>
                <w:color w:val="000000" w:themeColor="text1"/>
                <w:sz w:val="20"/>
                <w:szCs w:val="20"/>
                <w:lang w:eastAsia="en-GB"/>
              </w:rPr>
              <w:t>215-401</w:t>
            </w:r>
          </w:p>
        </w:tc>
      </w:tr>
      <w:tr w:rsidR="008042E3" w:rsidRPr="0098635C" w14:paraId="27A9A21A" w14:textId="77777777" w:rsidTr="00330AD0">
        <w:trPr>
          <w:trHeight w:val="300"/>
        </w:trPr>
        <w:tc>
          <w:tcPr>
            <w:tcW w:w="2240" w:type="dxa"/>
            <w:tcBorders>
              <w:top w:val="nil"/>
              <w:left w:val="single" w:sz="8" w:space="0" w:color="auto"/>
              <w:bottom w:val="single" w:sz="4" w:space="0" w:color="auto"/>
              <w:right w:val="single" w:sz="8" w:space="0" w:color="auto"/>
            </w:tcBorders>
            <w:shd w:val="clear" w:color="auto" w:fill="auto"/>
            <w:hideMark/>
          </w:tcPr>
          <w:p w14:paraId="2A24F74F" w14:textId="77777777" w:rsidR="008042E3" w:rsidRPr="0098635C" w:rsidRDefault="008042E3" w:rsidP="00330AD0">
            <w:pPr>
              <w:spacing w:after="0"/>
              <w:jc w:val="center"/>
              <w:rPr>
                <w:color w:val="000000" w:themeColor="text1"/>
                <w:sz w:val="20"/>
                <w:szCs w:val="20"/>
                <w:lang w:eastAsia="en-GB"/>
              </w:rPr>
            </w:pPr>
            <w:r w:rsidRPr="0098635C">
              <w:rPr>
                <w:color w:val="000000" w:themeColor="text1"/>
                <w:sz w:val="20"/>
                <w:szCs w:val="20"/>
                <w:lang w:eastAsia="en-GB"/>
              </w:rPr>
              <w:t>CuSO</w:t>
            </w:r>
            <w:r w:rsidRPr="0098635C">
              <w:rPr>
                <w:color w:val="000000" w:themeColor="text1"/>
                <w:sz w:val="20"/>
                <w:szCs w:val="20"/>
                <w:vertAlign w:val="subscript"/>
                <w:lang w:eastAsia="en-GB"/>
              </w:rPr>
              <w:t>4</w:t>
            </w:r>
            <w:r w:rsidRPr="0098635C">
              <w:rPr>
                <w:color w:val="000000" w:themeColor="text1"/>
                <w:sz w:val="20"/>
                <w:szCs w:val="20"/>
                <w:lang w:eastAsia="en-GB"/>
              </w:rPr>
              <w:t>.5H</w:t>
            </w:r>
            <w:r w:rsidRPr="0098635C">
              <w:rPr>
                <w:color w:val="000000" w:themeColor="text1"/>
                <w:sz w:val="20"/>
                <w:szCs w:val="20"/>
                <w:vertAlign w:val="subscript"/>
                <w:lang w:eastAsia="en-GB"/>
              </w:rPr>
              <w:t>2</w:t>
            </w:r>
            <w:r w:rsidRPr="0098635C">
              <w:rPr>
                <w:color w:val="000000" w:themeColor="text1"/>
                <w:sz w:val="20"/>
                <w:szCs w:val="20"/>
                <w:lang w:eastAsia="en-GB"/>
              </w:rPr>
              <w:t>0</w:t>
            </w:r>
          </w:p>
        </w:tc>
        <w:tc>
          <w:tcPr>
            <w:tcW w:w="960" w:type="dxa"/>
            <w:tcBorders>
              <w:top w:val="nil"/>
              <w:left w:val="nil"/>
              <w:bottom w:val="single" w:sz="4" w:space="0" w:color="auto"/>
              <w:right w:val="single" w:sz="8" w:space="0" w:color="auto"/>
            </w:tcBorders>
            <w:shd w:val="clear" w:color="auto" w:fill="auto"/>
            <w:hideMark/>
          </w:tcPr>
          <w:p w14:paraId="67305CDA" w14:textId="77777777" w:rsidR="008042E3" w:rsidRPr="0098635C" w:rsidRDefault="008042E3" w:rsidP="00330AD0">
            <w:pPr>
              <w:spacing w:after="0"/>
              <w:jc w:val="center"/>
              <w:rPr>
                <w:color w:val="000000" w:themeColor="text1"/>
                <w:sz w:val="20"/>
                <w:szCs w:val="20"/>
                <w:lang w:eastAsia="en-GB"/>
              </w:rPr>
            </w:pPr>
            <w:r w:rsidRPr="0098635C">
              <w:rPr>
                <w:color w:val="000000" w:themeColor="text1"/>
                <w:sz w:val="20"/>
                <w:szCs w:val="20"/>
                <w:lang w:eastAsia="en-GB"/>
              </w:rPr>
              <w:t>25.4</w:t>
            </w:r>
          </w:p>
        </w:tc>
        <w:tc>
          <w:tcPr>
            <w:tcW w:w="1260" w:type="dxa"/>
            <w:tcBorders>
              <w:top w:val="nil"/>
              <w:left w:val="nil"/>
              <w:bottom w:val="single" w:sz="4" w:space="0" w:color="auto"/>
              <w:right w:val="single" w:sz="8" w:space="0" w:color="auto"/>
            </w:tcBorders>
            <w:shd w:val="clear" w:color="auto" w:fill="auto"/>
            <w:hideMark/>
          </w:tcPr>
          <w:p w14:paraId="4566F827" w14:textId="77777777" w:rsidR="008042E3" w:rsidRPr="0098635C" w:rsidRDefault="008042E3" w:rsidP="00330AD0">
            <w:pPr>
              <w:spacing w:after="0"/>
              <w:jc w:val="center"/>
              <w:rPr>
                <w:color w:val="000000" w:themeColor="text1"/>
                <w:sz w:val="20"/>
                <w:szCs w:val="20"/>
                <w:lang w:eastAsia="en-GB"/>
              </w:rPr>
            </w:pPr>
            <w:r w:rsidRPr="0098635C">
              <w:rPr>
                <w:color w:val="000000" w:themeColor="text1"/>
                <w:sz w:val="20"/>
                <w:szCs w:val="20"/>
                <w:lang w:eastAsia="en-GB"/>
              </w:rPr>
              <w:t>25</w:t>
            </w:r>
          </w:p>
        </w:tc>
        <w:tc>
          <w:tcPr>
            <w:tcW w:w="1420" w:type="dxa"/>
            <w:tcBorders>
              <w:top w:val="nil"/>
              <w:left w:val="nil"/>
              <w:bottom w:val="single" w:sz="4" w:space="0" w:color="auto"/>
              <w:right w:val="single" w:sz="8" w:space="0" w:color="auto"/>
            </w:tcBorders>
            <w:shd w:val="clear" w:color="auto" w:fill="auto"/>
            <w:hideMark/>
          </w:tcPr>
          <w:p w14:paraId="1A4ACBA8" w14:textId="77777777" w:rsidR="008042E3" w:rsidRPr="0098635C" w:rsidRDefault="008042E3" w:rsidP="00330AD0">
            <w:pPr>
              <w:spacing w:after="0"/>
              <w:jc w:val="center"/>
              <w:rPr>
                <w:color w:val="000000" w:themeColor="text1"/>
                <w:sz w:val="20"/>
                <w:szCs w:val="20"/>
                <w:lang w:eastAsia="en-GB"/>
              </w:rPr>
            </w:pPr>
            <w:r w:rsidRPr="0098635C">
              <w:rPr>
                <w:color w:val="000000" w:themeColor="text1"/>
                <w:sz w:val="20"/>
                <w:szCs w:val="20"/>
                <w:lang w:eastAsia="en-GB"/>
              </w:rPr>
              <w:t>122</w:t>
            </w:r>
          </w:p>
        </w:tc>
        <w:tc>
          <w:tcPr>
            <w:tcW w:w="1580" w:type="dxa"/>
            <w:tcBorders>
              <w:top w:val="nil"/>
              <w:left w:val="nil"/>
              <w:bottom w:val="single" w:sz="4" w:space="0" w:color="auto"/>
              <w:right w:val="single" w:sz="8" w:space="0" w:color="auto"/>
            </w:tcBorders>
            <w:shd w:val="clear" w:color="auto" w:fill="auto"/>
            <w:hideMark/>
          </w:tcPr>
          <w:p w14:paraId="4273BD8E" w14:textId="77777777" w:rsidR="008042E3" w:rsidRPr="0098635C" w:rsidRDefault="008042E3" w:rsidP="00330AD0">
            <w:pPr>
              <w:spacing w:after="0"/>
              <w:jc w:val="center"/>
              <w:rPr>
                <w:b/>
                <w:bCs/>
                <w:color w:val="000000" w:themeColor="text1"/>
                <w:sz w:val="20"/>
                <w:szCs w:val="20"/>
                <w:lang w:eastAsia="en-GB"/>
              </w:rPr>
            </w:pPr>
            <w:r w:rsidRPr="0098635C">
              <w:rPr>
                <w:b/>
                <w:bCs/>
                <w:color w:val="000000" w:themeColor="text1"/>
                <w:sz w:val="20"/>
                <w:szCs w:val="20"/>
                <w:lang w:eastAsia="en-GB"/>
              </w:rPr>
              <w:t>481</w:t>
            </w:r>
          </w:p>
        </w:tc>
        <w:tc>
          <w:tcPr>
            <w:tcW w:w="1700" w:type="dxa"/>
            <w:tcBorders>
              <w:top w:val="nil"/>
              <w:left w:val="nil"/>
              <w:bottom w:val="single" w:sz="4" w:space="0" w:color="auto"/>
              <w:right w:val="single" w:sz="8" w:space="0" w:color="auto"/>
            </w:tcBorders>
            <w:shd w:val="clear" w:color="auto" w:fill="auto"/>
            <w:hideMark/>
          </w:tcPr>
          <w:p w14:paraId="6D3BBC09" w14:textId="77777777" w:rsidR="008042E3" w:rsidRPr="0098635C" w:rsidRDefault="008042E3" w:rsidP="00330AD0">
            <w:pPr>
              <w:spacing w:after="0"/>
              <w:jc w:val="center"/>
              <w:rPr>
                <w:color w:val="000000" w:themeColor="text1"/>
                <w:sz w:val="20"/>
                <w:szCs w:val="20"/>
                <w:lang w:eastAsia="en-GB"/>
              </w:rPr>
            </w:pPr>
            <w:r w:rsidRPr="0098635C">
              <w:rPr>
                <w:color w:val="000000" w:themeColor="text1"/>
                <w:sz w:val="20"/>
                <w:szCs w:val="20"/>
                <w:lang w:eastAsia="en-GB"/>
              </w:rPr>
              <w:t>480-894</w:t>
            </w:r>
          </w:p>
        </w:tc>
      </w:tr>
      <w:tr w:rsidR="008042E3" w:rsidRPr="0098635C" w14:paraId="56D3321A" w14:textId="77777777" w:rsidTr="00330AD0">
        <w:trPr>
          <w:trHeight w:val="300"/>
        </w:trPr>
        <w:tc>
          <w:tcPr>
            <w:tcW w:w="2240" w:type="dxa"/>
            <w:tcBorders>
              <w:top w:val="nil"/>
              <w:left w:val="single" w:sz="8" w:space="0" w:color="auto"/>
              <w:bottom w:val="single" w:sz="4" w:space="0" w:color="auto"/>
              <w:right w:val="single" w:sz="8" w:space="0" w:color="auto"/>
            </w:tcBorders>
            <w:shd w:val="clear" w:color="auto" w:fill="auto"/>
            <w:hideMark/>
          </w:tcPr>
          <w:p w14:paraId="31BC8A99" w14:textId="77777777" w:rsidR="008042E3" w:rsidRPr="0098635C" w:rsidRDefault="008042E3" w:rsidP="00330AD0">
            <w:pPr>
              <w:spacing w:after="0"/>
              <w:jc w:val="center"/>
              <w:rPr>
                <w:color w:val="000000" w:themeColor="text1"/>
                <w:sz w:val="20"/>
                <w:szCs w:val="20"/>
                <w:lang w:eastAsia="en-GB"/>
              </w:rPr>
            </w:pPr>
            <w:r w:rsidRPr="0098635C">
              <w:rPr>
                <w:color w:val="000000" w:themeColor="text1"/>
                <w:sz w:val="20"/>
                <w:szCs w:val="20"/>
                <w:lang w:eastAsia="en-GB"/>
              </w:rPr>
              <w:t>CuCl</w:t>
            </w:r>
          </w:p>
        </w:tc>
        <w:tc>
          <w:tcPr>
            <w:tcW w:w="960" w:type="dxa"/>
            <w:tcBorders>
              <w:top w:val="nil"/>
              <w:left w:val="nil"/>
              <w:bottom w:val="single" w:sz="4" w:space="0" w:color="auto"/>
              <w:right w:val="single" w:sz="8" w:space="0" w:color="auto"/>
            </w:tcBorders>
            <w:shd w:val="clear" w:color="auto" w:fill="auto"/>
            <w:hideMark/>
          </w:tcPr>
          <w:p w14:paraId="291DF08A" w14:textId="77777777" w:rsidR="008042E3" w:rsidRPr="0098635C" w:rsidRDefault="008042E3" w:rsidP="00330AD0">
            <w:pPr>
              <w:spacing w:after="0"/>
              <w:jc w:val="center"/>
              <w:rPr>
                <w:color w:val="000000" w:themeColor="text1"/>
                <w:sz w:val="20"/>
                <w:szCs w:val="20"/>
                <w:lang w:eastAsia="en-GB"/>
              </w:rPr>
            </w:pPr>
            <w:r w:rsidRPr="0098635C">
              <w:rPr>
                <w:color w:val="000000" w:themeColor="text1"/>
                <w:sz w:val="20"/>
                <w:szCs w:val="20"/>
                <w:lang w:eastAsia="en-GB"/>
              </w:rPr>
              <w:t>63.78</w:t>
            </w:r>
          </w:p>
        </w:tc>
        <w:tc>
          <w:tcPr>
            <w:tcW w:w="1260" w:type="dxa"/>
            <w:tcBorders>
              <w:top w:val="nil"/>
              <w:left w:val="nil"/>
              <w:bottom w:val="single" w:sz="4" w:space="0" w:color="auto"/>
              <w:right w:val="single" w:sz="8" w:space="0" w:color="auto"/>
            </w:tcBorders>
            <w:shd w:val="clear" w:color="auto" w:fill="auto"/>
            <w:hideMark/>
          </w:tcPr>
          <w:p w14:paraId="7CA1B99E" w14:textId="77777777" w:rsidR="008042E3" w:rsidRPr="0098635C" w:rsidRDefault="008042E3" w:rsidP="00330AD0">
            <w:pPr>
              <w:spacing w:after="0"/>
              <w:jc w:val="center"/>
              <w:rPr>
                <w:color w:val="000000" w:themeColor="text1"/>
                <w:sz w:val="20"/>
                <w:szCs w:val="20"/>
                <w:lang w:eastAsia="en-GB"/>
              </w:rPr>
            </w:pPr>
            <w:r w:rsidRPr="0098635C">
              <w:rPr>
                <w:color w:val="000000" w:themeColor="text1"/>
                <w:sz w:val="20"/>
                <w:szCs w:val="20"/>
                <w:lang w:eastAsia="en-GB"/>
              </w:rPr>
              <w:t>51</w:t>
            </w:r>
          </w:p>
        </w:tc>
        <w:tc>
          <w:tcPr>
            <w:tcW w:w="1420" w:type="dxa"/>
            <w:tcBorders>
              <w:top w:val="nil"/>
              <w:left w:val="nil"/>
              <w:bottom w:val="single" w:sz="4" w:space="0" w:color="auto"/>
              <w:right w:val="single" w:sz="8" w:space="0" w:color="auto"/>
            </w:tcBorders>
            <w:shd w:val="clear" w:color="auto" w:fill="auto"/>
            <w:hideMark/>
          </w:tcPr>
          <w:p w14:paraId="635ADA48" w14:textId="77777777" w:rsidR="008042E3" w:rsidRPr="0098635C" w:rsidRDefault="008042E3" w:rsidP="00330AD0">
            <w:pPr>
              <w:spacing w:after="0"/>
              <w:jc w:val="center"/>
              <w:rPr>
                <w:color w:val="000000" w:themeColor="text1"/>
                <w:sz w:val="20"/>
                <w:szCs w:val="20"/>
                <w:lang w:eastAsia="en-GB"/>
              </w:rPr>
            </w:pPr>
            <w:r w:rsidRPr="0098635C">
              <w:rPr>
                <w:color w:val="000000" w:themeColor="text1"/>
                <w:sz w:val="20"/>
                <w:szCs w:val="20"/>
                <w:lang w:eastAsia="en-GB"/>
              </w:rPr>
              <w:t>173</w:t>
            </w:r>
          </w:p>
        </w:tc>
        <w:tc>
          <w:tcPr>
            <w:tcW w:w="1580" w:type="dxa"/>
            <w:tcBorders>
              <w:top w:val="nil"/>
              <w:left w:val="nil"/>
              <w:bottom w:val="single" w:sz="4" w:space="0" w:color="auto"/>
              <w:right w:val="single" w:sz="8" w:space="0" w:color="auto"/>
            </w:tcBorders>
            <w:shd w:val="clear" w:color="auto" w:fill="auto"/>
            <w:hideMark/>
          </w:tcPr>
          <w:p w14:paraId="2F74EDF9" w14:textId="77777777" w:rsidR="008042E3" w:rsidRPr="0098635C" w:rsidRDefault="008042E3" w:rsidP="00330AD0">
            <w:pPr>
              <w:spacing w:after="0"/>
              <w:jc w:val="center"/>
              <w:rPr>
                <w:b/>
                <w:bCs/>
                <w:color w:val="000000" w:themeColor="text1"/>
                <w:sz w:val="20"/>
                <w:szCs w:val="20"/>
                <w:lang w:eastAsia="en-GB"/>
              </w:rPr>
            </w:pPr>
            <w:r w:rsidRPr="0098635C">
              <w:rPr>
                <w:b/>
                <w:bCs/>
                <w:color w:val="000000" w:themeColor="text1"/>
                <w:sz w:val="20"/>
                <w:szCs w:val="20"/>
                <w:lang w:eastAsia="en-GB"/>
              </w:rPr>
              <w:t>336</w:t>
            </w:r>
          </w:p>
        </w:tc>
        <w:tc>
          <w:tcPr>
            <w:tcW w:w="1700" w:type="dxa"/>
            <w:tcBorders>
              <w:top w:val="nil"/>
              <w:left w:val="nil"/>
              <w:bottom w:val="single" w:sz="4" w:space="0" w:color="auto"/>
              <w:right w:val="single" w:sz="8" w:space="0" w:color="auto"/>
            </w:tcBorders>
            <w:shd w:val="clear" w:color="auto" w:fill="auto"/>
            <w:hideMark/>
          </w:tcPr>
          <w:p w14:paraId="33DA3FED" w14:textId="77777777" w:rsidR="008042E3" w:rsidRPr="0098635C" w:rsidRDefault="008042E3" w:rsidP="00330AD0">
            <w:pPr>
              <w:spacing w:after="0"/>
              <w:jc w:val="center"/>
              <w:rPr>
                <w:color w:val="000000" w:themeColor="text1"/>
                <w:sz w:val="20"/>
                <w:szCs w:val="20"/>
                <w:lang w:eastAsia="en-GB"/>
              </w:rPr>
            </w:pPr>
            <w:r w:rsidRPr="0098635C">
              <w:rPr>
                <w:color w:val="000000" w:themeColor="text1"/>
                <w:sz w:val="20"/>
                <w:szCs w:val="20"/>
                <w:lang w:eastAsia="en-GB"/>
              </w:rPr>
              <w:t>232-442</w:t>
            </w:r>
          </w:p>
        </w:tc>
      </w:tr>
      <w:tr w:rsidR="008042E3" w:rsidRPr="0098635C" w14:paraId="0AD28990" w14:textId="77777777" w:rsidTr="00330AD0">
        <w:trPr>
          <w:trHeight w:val="300"/>
        </w:trPr>
        <w:tc>
          <w:tcPr>
            <w:tcW w:w="2240" w:type="dxa"/>
            <w:tcBorders>
              <w:top w:val="nil"/>
              <w:left w:val="single" w:sz="8" w:space="0" w:color="auto"/>
              <w:bottom w:val="single" w:sz="4" w:space="0" w:color="auto"/>
              <w:right w:val="single" w:sz="8" w:space="0" w:color="auto"/>
            </w:tcBorders>
            <w:shd w:val="clear" w:color="auto" w:fill="auto"/>
            <w:hideMark/>
          </w:tcPr>
          <w:p w14:paraId="7F35E276" w14:textId="77777777" w:rsidR="008042E3" w:rsidRPr="0098635C" w:rsidRDefault="008042E3" w:rsidP="00330AD0">
            <w:pPr>
              <w:spacing w:after="0"/>
              <w:jc w:val="center"/>
              <w:rPr>
                <w:color w:val="000000" w:themeColor="text1"/>
                <w:sz w:val="20"/>
                <w:szCs w:val="20"/>
                <w:lang w:eastAsia="en-GB"/>
              </w:rPr>
            </w:pPr>
            <w:r w:rsidRPr="0098635C">
              <w:rPr>
                <w:color w:val="000000" w:themeColor="text1"/>
                <w:sz w:val="20"/>
                <w:szCs w:val="20"/>
                <w:lang w:eastAsia="en-GB"/>
              </w:rPr>
              <w:t>CuO*</w:t>
            </w:r>
          </w:p>
        </w:tc>
        <w:tc>
          <w:tcPr>
            <w:tcW w:w="960" w:type="dxa"/>
            <w:tcBorders>
              <w:top w:val="nil"/>
              <w:left w:val="nil"/>
              <w:bottom w:val="single" w:sz="4" w:space="0" w:color="auto"/>
              <w:right w:val="single" w:sz="8" w:space="0" w:color="auto"/>
            </w:tcBorders>
            <w:shd w:val="clear" w:color="auto" w:fill="auto"/>
            <w:hideMark/>
          </w:tcPr>
          <w:p w14:paraId="513DD2F6" w14:textId="77777777" w:rsidR="008042E3" w:rsidRPr="0098635C" w:rsidRDefault="008042E3" w:rsidP="00330AD0">
            <w:pPr>
              <w:spacing w:after="0"/>
              <w:jc w:val="center"/>
              <w:rPr>
                <w:color w:val="000000" w:themeColor="text1"/>
                <w:sz w:val="20"/>
                <w:szCs w:val="20"/>
                <w:lang w:eastAsia="en-GB"/>
              </w:rPr>
            </w:pPr>
            <w:r w:rsidRPr="0098635C">
              <w:rPr>
                <w:color w:val="000000" w:themeColor="text1"/>
                <w:sz w:val="20"/>
                <w:szCs w:val="20"/>
                <w:lang w:eastAsia="en-GB"/>
              </w:rPr>
              <w:t>80</w:t>
            </w:r>
          </w:p>
        </w:tc>
        <w:tc>
          <w:tcPr>
            <w:tcW w:w="1260" w:type="dxa"/>
            <w:tcBorders>
              <w:top w:val="nil"/>
              <w:left w:val="nil"/>
              <w:bottom w:val="single" w:sz="4" w:space="0" w:color="auto"/>
              <w:right w:val="single" w:sz="8" w:space="0" w:color="auto"/>
            </w:tcBorders>
            <w:shd w:val="clear" w:color="auto" w:fill="auto"/>
            <w:hideMark/>
          </w:tcPr>
          <w:p w14:paraId="4BD2F837" w14:textId="77777777" w:rsidR="008042E3" w:rsidRPr="0098635C" w:rsidRDefault="008042E3" w:rsidP="00330AD0">
            <w:pPr>
              <w:spacing w:after="0"/>
              <w:jc w:val="center"/>
              <w:rPr>
                <w:color w:val="000000" w:themeColor="text1"/>
                <w:sz w:val="20"/>
                <w:szCs w:val="20"/>
                <w:lang w:eastAsia="en-GB"/>
              </w:rPr>
            </w:pPr>
            <w:r w:rsidRPr="0098635C">
              <w:rPr>
                <w:color w:val="000000" w:themeColor="text1"/>
                <w:sz w:val="20"/>
                <w:szCs w:val="20"/>
                <w:lang w:eastAsia="en-GB"/>
              </w:rPr>
              <w:t>15-76</w:t>
            </w:r>
          </w:p>
        </w:tc>
        <w:tc>
          <w:tcPr>
            <w:tcW w:w="1420" w:type="dxa"/>
            <w:tcBorders>
              <w:top w:val="nil"/>
              <w:left w:val="nil"/>
              <w:bottom w:val="single" w:sz="4" w:space="0" w:color="auto"/>
              <w:right w:val="single" w:sz="8" w:space="0" w:color="auto"/>
            </w:tcBorders>
            <w:shd w:val="clear" w:color="auto" w:fill="auto"/>
            <w:hideMark/>
          </w:tcPr>
          <w:p w14:paraId="77892F71" w14:textId="77777777" w:rsidR="008042E3" w:rsidRPr="0098635C" w:rsidRDefault="008042E3" w:rsidP="00330AD0">
            <w:pPr>
              <w:spacing w:after="0"/>
              <w:jc w:val="center"/>
              <w:rPr>
                <w:color w:val="000000" w:themeColor="text1"/>
                <w:sz w:val="20"/>
                <w:szCs w:val="20"/>
                <w:lang w:eastAsia="en-GB"/>
              </w:rPr>
            </w:pPr>
          </w:p>
        </w:tc>
        <w:tc>
          <w:tcPr>
            <w:tcW w:w="1580" w:type="dxa"/>
            <w:tcBorders>
              <w:top w:val="nil"/>
              <w:left w:val="nil"/>
              <w:bottom w:val="single" w:sz="4" w:space="0" w:color="auto"/>
              <w:right w:val="single" w:sz="8" w:space="0" w:color="auto"/>
            </w:tcBorders>
            <w:shd w:val="clear" w:color="auto" w:fill="auto"/>
            <w:hideMark/>
          </w:tcPr>
          <w:p w14:paraId="64EDFD9B" w14:textId="77777777" w:rsidR="008042E3" w:rsidRPr="0098635C" w:rsidRDefault="008042E3" w:rsidP="00330AD0">
            <w:pPr>
              <w:spacing w:after="0"/>
              <w:jc w:val="center"/>
              <w:rPr>
                <w:b/>
                <w:bCs/>
                <w:color w:val="000000" w:themeColor="text1"/>
                <w:sz w:val="20"/>
                <w:szCs w:val="20"/>
                <w:lang w:eastAsia="en-GB"/>
              </w:rPr>
            </w:pPr>
            <w:r w:rsidRPr="0098635C">
              <w:rPr>
                <w:b/>
                <w:bCs/>
                <w:color w:val="000000" w:themeColor="text1"/>
                <w:sz w:val="20"/>
                <w:szCs w:val="20"/>
                <w:lang w:eastAsia="en-GB"/>
              </w:rPr>
              <w:t>&gt;2000</w:t>
            </w:r>
          </w:p>
        </w:tc>
        <w:tc>
          <w:tcPr>
            <w:tcW w:w="1700" w:type="dxa"/>
            <w:tcBorders>
              <w:top w:val="nil"/>
              <w:left w:val="nil"/>
              <w:bottom w:val="single" w:sz="4" w:space="0" w:color="auto"/>
              <w:right w:val="single" w:sz="8" w:space="0" w:color="auto"/>
            </w:tcBorders>
            <w:shd w:val="clear" w:color="auto" w:fill="auto"/>
            <w:hideMark/>
          </w:tcPr>
          <w:p w14:paraId="19271162" w14:textId="77777777" w:rsidR="008042E3" w:rsidRPr="0098635C" w:rsidRDefault="008042E3" w:rsidP="00330AD0">
            <w:pPr>
              <w:spacing w:after="0"/>
              <w:jc w:val="center"/>
              <w:rPr>
                <w:color w:val="000000" w:themeColor="text1"/>
                <w:sz w:val="20"/>
                <w:szCs w:val="20"/>
                <w:lang w:eastAsia="en-GB"/>
              </w:rPr>
            </w:pPr>
            <w:r w:rsidRPr="0098635C">
              <w:rPr>
                <w:color w:val="000000" w:themeColor="text1"/>
                <w:sz w:val="20"/>
                <w:szCs w:val="20"/>
                <w:lang w:eastAsia="en-GB"/>
              </w:rPr>
              <w:t>160-1513</w:t>
            </w:r>
          </w:p>
        </w:tc>
      </w:tr>
      <w:tr w:rsidR="008042E3" w:rsidRPr="0098635C" w14:paraId="735866E2" w14:textId="77777777" w:rsidTr="00330AD0">
        <w:trPr>
          <w:trHeight w:val="315"/>
        </w:trPr>
        <w:tc>
          <w:tcPr>
            <w:tcW w:w="2240" w:type="dxa"/>
            <w:tcBorders>
              <w:top w:val="nil"/>
              <w:left w:val="single" w:sz="8" w:space="0" w:color="auto"/>
              <w:bottom w:val="single" w:sz="8" w:space="0" w:color="auto"/>
              <w:right w:val="single" w:sz="8" w:space="0" w:color="auto"/>
            </w:tcBorders>
            <w:shd w:val="clear" w:color="auto" w:fill="auto"/>
            <w:hideMark/>
          </w:tcPr>
          <w:p w14:paraId="49F40C30" w14:textId="77777777" w:rsidR="008042E3" w:rsidRPr="0098635C" w:rsidRDefault="008042E3" w:rsidP="00330AD0">
            <w:pPr>
              <w:spacing w:after="0"/>
              <w:jc w:val="center"/>
              <w:rPr>
                <w:color w:val="000000" w:themeColor="text1"/>
                <w:sz w:val="20"/>
                <w:szCs w:val="20"/>
                <w:lang w:eastAsia="en-GB"/>
              </w:rPr>
            </w:pPr>
            <w:r w:rsidRPr="0098635C">
              <w:rPr>
                <w:color w:val="000000" w:themeColor="text1"/>
                <w:sz w:val="20"/>
                <w:szCs w:val="20"/>
                <w:lang w:eastAsia="en-GB"/>
              </w:rPr>
              <w:t>Cu</w:t>
            </w:r>
            <w:r w:rsidRPr="0098635C">
              <w:rPr>
                <w:color w:val="000000" w:themeColor="text1"/>
                <w:sz w:val="20"/>
                <w:szCs w:val="20"/>
                <w:vertAlign w:val="subscript"/>
                <w:lang w:eastAsia="en-GB"/>
              </w:rPr>
              <w:t>2</w:t>
            </w:r>
            <w:r w:rsidRPr="0098635C">
              <w:rPr>
                <w:color w:val="000000" w:themeColor="text1"/>
                <w:sz w:val="20"/>
                <w:szCs w:val="20"/>
                <w:lang w:eastAsia="en-GB"/>
              </w:rPr>
              <w:t>S</w:t>
            </w:r>
          </w:p>
        </w:tc>
        <w:tc>
          <w:tcPr>
            <w:tcW w:w="960" w:type="dxa"/>
            <w:tcBorders>
              <w:top w:val="nil"/>
              <w:left w:val="nil"/>
              <w:bottom w:val="single" w:sz="8" w:space="0" w:color="auto"/>
              <w:right w:val="single" w:sz="8" w:space="0" w:color="auto"/>
            </w:tcBorders>
            <w:shd w:val="clear" w:color="auto" w:fill="auto"/>
            <w:hideMark/>
          </w:tcPr>
          <w:p w14:paraId="32847417" w14:textId="77777777" w:rsidR="008042E3" w:rsidRPr="0098635C" w:rsidRDefault="008042E3" w:rsidP="00330AD0">
            <w:pPr>
              <w:spacing w:after="0"/>
              <w:jc w:val="center"/>
              <w:rPr>
                <w:color w:val="000000" w:themeColor="text1"/>
                <w:sz w:val="20"/>
                <w:szCs w:val="20"/>
                <w:lang w:eastAsia="en-GB"/>
              </w:rPr>
            </w:pPr>
            <w:r w:rsidRPr="0098635C">
              <w:rPr>
                <w:color w:val="000000" w:themeColor="text1"/>
                <w:sz w:val="20"/>
                <w:szCs w:val="20"/>
                <w:lang w:eastAsia="en-GB"/>
              </w:rPr>
              <w:t>78.9</w:t>
            </w:r>
          </w:p>
        </w:tc>
        <w:tc>
          <w:tcPr>
            <w:tcW w:w="1260" w:type="dxa"/>
            <w:tcBorders>
              <w:top w:val="nil"/>
              <w:left w:val="nil"/>
              <w:bottom w:val="single" w:sz="8" w:space="0" w:color="auto"/>
              <w:right w:val="single" w:sz="8" w:space="0" w:color="auto"/>
            </w:tcBorders>
            <w:shd w:val="clear" w:color="auto" w:fill="auto"/>
            <w:hideMark/>
          </w:tcPr>
          <w:p w14:paraId="1E666A5A" w14:textId="77777777" w:rsidR="008042E3" w:rsidRPr="0098635C" w:rsidRDefault="008042E3" w:rsidP="00330AD0">
            <w:pPr>
              <w:spacing w:after="0"/>
              <w:jc w:val="center"/>
              <w:rPr>
                <w:color w:val="000000" w:themeColor="text1"/>
                <w:sz w:val="20"/>
                <w:szCs w:val="20"/>
                <w:lang w:eastAsia="en-GB"/>
              </w:rPr>
            </w:pPr>
            <w:r w:rsidRPr="0098635C">
              <w:rPr>
                <w:color w:val="000000" w:themeColor="text1"/>
                <w:sz w:val="20"/>
                <w:szCs w:val="20"/>
                <w:lang w:eastAsia="en-GB"/>
              </w:rPr>
              <w:t>2.7</w:t>
            </w:r>
          </w:p>
        </w:tc>
        <w:tc>
          <w:tcPr>
            <w:tcW w:w="1420" w:type="dxa"/>
            <w:tcBorders>
              <w:top w:val="nil"/>
              <w:left w:val="nil"/>
              <w:bottom w:val="single" w:sz="8" w:space="0" w:color="auto"/>
              <w:right w:val="single" w:sz="8" w:space="0" w:color="auto"/>
            </w:tcBorders>
            <w:shd w:val="clear" w:color="auto" w:fill="auto"/>
            <w:hideMark/>
          </w:tcPr>
          <w:p w14:paraId="5A0AC9EC" w14:textId="77777777" w:rsidR="008042E3" w:rsidRPr="0098635C" w:rsidRDefault="008042E3" w:rsidP="00330AD0">
            <w:pPr>
              <w:spacing w:after="0"/>
              <w:jc w:val="center"/>
              <w:rPr>
                <w:color w:val="000000" w:themeColor="text1"/>
                <w:sz w:val="20"/>
                <w:szCs w:val="20"/>
                <w:lang w:eastAsia="en-GB"/>
              </w:rPr>
            </w:pPr>
          </w:p>
        </w:tc>
        <w:tc>
          <w:tcPr>
            <w:tcW w:w="1580" w:type="dxa"/>
            <w:tcBorders>
              <w:top w:val="nil"/>
              <w:left w:val="nil"/>
              <w:bottom w:val="single" w:sz="8" w:space="0" w:color="auto"/>
              <w:right w:val="single" w:sz="8" w:space="0" w:color="auto"/>
            </w:tcBorders>
            <w:shd w:val="clear" w:color="auto" w:fill="auto"/>
            <w:hideMark/>
          </w:tcPr>
          <w:p w14:paraId="6AF14AA8" w14:textId="77777777" w:rsidR="008042E3" w:rsidRPr="0098635C" w:rsidRDefault="008042E3" w:rsidP="00330AD0">
            <w:pPr>
              <w:spacing w:after="0"/>
              <w:jc w:val="center"/>
              <w:rPr>
                <w:b/>
                <w:bCs/>
                <w:color w:val="000000" w:themeColor="text1"/>
                <w:sz w:val="20"/>
                <w:szCs w:val="20"/>
                <w:lang w:eastAsia="en-GB"/>
              </w:rPr>
            </w:pPr>
            <w:r w:rsidRPr="0098635C">
              <w:rPr>
                <w:b/>
                <w:bCs/>
                <w:color w:val="000000" w:themeColor="text1"/>
                <w:sz w:val="20"/>
                <w:szCs w:val="20"/>
                <w:lang w:eastAsia="en-GB"/>
              </w:rPr>
              <w:t>&gt;2000</w:t>
            </w:r>
          </w:p>
        </w:tc>
        <w:tc>
          <w:tcPr>
            <w:tcW w:w="1700" w:type="dxa"/>
            <w:tcBorders>
              <w:top w:val="nil"/>
              <w:left w:val="nil"/>
              <w:bottom w:val="single" w:sz="8" w:space="0" w:color="auto"/>
              <w:right w:val="single" w:sz="8" w:space="0" w:color="auto"/>
            </w:tcBorders>
            <w:shd w:val="clear" w:color="auto" w:fill="auto"/>
            <w:hideMark/>
          </w:tcPr>
          <w:p w14:paraId="45CA0CC3" w14:textId="77777777" w:rsidR="008042E3" w:rsidRPr="0098635C" w:rsidRDefault="008042E3" w:rsidP="00330AD0">
            <w:pPr>
              <w:spacing w:after="0"/>
              <w:jc w:val="center"/>
              <w:rPr>
                <w:color w:val="000000" w:themeColor="text1"/>
                <w:sz w:val="20"/>
                <w:szCs w:val="20"/>
                <w:lang w:eastAsia="en-GB"/>
              </w:rPr>
            </w:pPr>
            <w:r w:rsidRPr="0098635C">
              <w:rPr>
                <w:color w:val="000000" w:themeColor="text1"/>
                <w:sz w:val="20"/>
                <w:szCs w:val="20"/>
                <w:lang w:eastAsia="en-GB"/>
              </w:rPr>
              <w:t>4685-8718</w:t>
            </w:r>
          </w:p>
        </w:tc>
      </w:tr>
      <w:tr w:rsidR="008042E3" w:rsidRPr="0098635C" w14:paraId="61C7397D" w14:textId="77777777" w:rsidTr="00330AD0">
        <w:trPr>
          <w:trHeight w:val="267"/>
        </w:trPr>
        <w:tc>
          <w:tcPr>
            <w:tcW w:w="2240" w:type="dxa"/>
            <w:tcBorders>
              <w:top w:val="single" w:sz="4" w:space="0" w:color="auto"/>
              <w:left w:val="single" w:sz="8" w:space="0" w:color="auto"/>
              <w:bottom w:val="single" w:sz="4" w:space="0" w:color="auto"/>
              <w:right w:val="single" w:sz="8" w:space="0" w:color="auto"/>
            </w:tcBorders>
            <w:shd w:val="clear" w:color="auto" w:fill="auto"/>
            <w:hideMark/>
          </w:tcPr>
          <w:p w14:paraId="216FE856" w14:textId="77777777" w:rsidR="008042E3" w:rsidRPr="0098635C" w:rsidRDefault="008042E3" w:rsidP="00330AD0">
            <w:pPr>
              <w:spacing w:after="0"/>
              <w:jc w:val="center"/>
              <w:rPr>
                <w:color w:val="000000" w:themeColor="text1"/>
                <w:sz w:val="20"/>
                <w:szCs w:val="20"/>
                <w:lang w:eastAsia="en-GB"/>
              </w:rPr>
            </w:pPr>
            <w:r w:rsidRPr="0098635C">
              <w:rPr>
                <w:color w:val="000000" w:themeColor="text1"/>
                <w:sz w:val="20"/>
                <w:szCs w:val="20"/>
                <w:lang w:eastAsia="en-GB"/>
              </w:rPr>
              <w:t>Copper powder (0.024m2/g)</w:t>
            </w:r>
          </w:p>
        </w:tc>
        <w:tc>
          <w:tcPr>
            <w:tcW w:w="960" w:type="dxa"/>
            <w:tcBorders>
              <w:top w:val="single" w:sz="4" w:space="0" w:color="auto"/>
              <w:left w:val="nil"/>
              <w:bottom w:val="single" w:sz="4" w:space="0" w:color="auto"/>
              <w:right w:val="single" w:sz="8" w:space="0" w:color="auto"/>
            </w:tcBorders>
            <w:shd w:val="clear" w:color="auto" w:fill="auto"/>
            <w:hideMark/>
          </w:tcPr>
          <w:p w14:paraId="5D30E503" w14:textId="77777777" w:rsidR="008042E3" w:rsidRPr="0098635C" w:rsidRDefault="008042E3" w:rsidP="00330AD0">
            <w:pPr>
              <w:spacing w:after="0"/>
              <w:jc w:val="center"/>
              <w:rPr>
                <w:color w:val="000000" w:themeColor="text1"/>
                <w:sz w:val="20"/>
                <w:szCs w:val="20"/>
                <w:lang w:eastAsia="en-GB"/>
              </w:rPr>
            </w:pPr>
            <w:r w:rsidRPr="0098635C">
              <w:rPr>
                <w:color w:val="000000" w:themeColor="text1"/>
                <w:sz w:val="20"/>
                <w:szCs w:val="20"/>
                <w:lang w:eastAsia="en-GB"/>
              </w:rPr>
              <w:t>100</w:t>
            </w:r>
          </w:p>
        </w:tc>
        <w:tc>
          <w:tcPr>
            <w:tcW w:w="1260" w:type="dxa"/>
            <w:tcBorders>
              <w:top w:val="nil"/>
              <w:left w:val="nil"/>
              <w:bottom w:val="single" w:sz="4" w:space="0" w:color="auto"/>
              <w:right w:val="single" w:sz="8" w:space="0" w:color="auto"/>
            </w:tcBorders>
            <w:shd w:val="clear" w:color="auto" w:fill="auto"/>
            <w:noWrap/>
            <w:vAlign w:val="bottom"/>
            <w:hideMark/>
          </w:tcPr>
          <w:p w14:paraId="37CE7FA7" w14:textId="77777777" w:rsidR="008042E3" w:rsidRPr="0098635C" w:rsidRDefault="008042E3" w:rsidP="00330AD0">
            <w:pPr>
              <w:spacing w:after="0"/>
              <w:jc w:val="center"/>
              <w:rPr>
                <w:color w:val="000000" w:themeColor="text1"/>
                <w:sz w:val="20"/>
                <w:szCs w:val="20"/>
                <w:lang w:eastAsia="en-GB"/>
              </w:rPr>
            </w:pPr>
            <w:r w:rsidRPr="0098635C">
              <w:rPr>
                <w:color w:val="000000" w:themeColor="text1"/>
                <w:sz w:val="20"/>
                <w:szCs w:val="20"/>
                <w:lang w:eastAsia="en-GB"/>
              </w:rPr>
              <w:t>1.1</w:t>
            </w:r>
          </w:p>
        </w:tc>
        <w:tc>
          <w:tcPr>
            <w:tcW w:w="1420" w:type="dxa"/>
            <w:tcBorders>
              <w:top w:val="nil"/>
              <w:left w:val="nil"/>
              <w:bottom w:val="single" w:sz="4" w:space="0" w:color="auto"/>
              <w:right w:val="single" w:sz="8" w:space="0" w:color="auto"/>
            </w:tcBorders>
            <w:shd w:val="clear" w:color="auto" w:fill="auto"/>
            <w:noWrap/>
            <w:vAlign w:val="bottom"/>
            <w:hideMark/>
          </w:tcPr>
          <w:p w14:paraId="08040229" w14:textId="77777777" w:rsidR="008042E3" w:rsidRPr="0098635C" w:rsidRDefault="008042E3" w:rsidP="00330AD0">
            <w:pPr>
              <w:spacing w:after="0"/>
              <w:jc w:val="center"/>
              <w:rPr>
                <w:color w:val="000000" w:themeColor="text1"/>
                <w:sz w:val="20"/>
                <w:szCs w:val="20"/>
                <w:lang w:eastAsia="en-GB"/>
              </w:rPr>
            </w:pPr>
          </w:p>
        </w:tc>
        <w:tc>
          <w:tcPr>
            <w:tcW w:w="1580" w:type="dxa"/>
            <w:tcBorders>
              <w:top w:val="nil"/>
              <w:left w:val="nil"/>
              <w:bottom w:val="single" w:sz="4" w:space="0" w:color="auto"/>
              <w:right w:val="single" w:sz="8" w:space="0" w:color="auto"/>
            </w:tcBorders>
            <w:shd w:val="clear" w:color="auto" w:fill="auto"/>
            <w:noWrap/>
            <w:vAlign w:val="bottom"/>
            <w:hideMark/>
          </w:tcPr>
          <w:p w14:paraId="1CD3A63B" w14:textId="77777777" w:rsidR="008042E3" w:rsidRPr="0098635C" w:rsidRDefault="008042E3" w:rsidP="00330AD0">
            <w:pPr>
              <w:spacing w:after="0"/>
              <w:jc w:val="center"/>
              <w:rPr>
                <w:color w:val="000000" w:themeColor="text1"/>
                <w:sz w:val="20"/>
                <w:szCs w:val="20"/>
                <w:lang w:eastAsia="en-GB"/>
              </w:rPr>
            </w:pPr>
          </w:p>
        </w:tc>
        <w:tc>
          <w:tcPr>
            <w:tcW w:w="1700" w:type="dxa"/>
            <w:tcBorders>
              <w:top w:val="nil"/>
              <w:left w:val="nil"/>
              <w:bottom w:val="single" w:sz="4" w:space="0" w:color="auto"/>
              <w:right w:val="single" w:sz="8" w:space="0" w:color="auto"/>
            </w:tcBorders>
            <w:shd w:val="clear" w:color="auto" w:fill="auto"/>
            <w:noWrap/>
            <w:vAlign w:val="bottom"/>
            <w:hideMark/>
          </w:tcPr>
          <w:p w14:paraId="7E9CD5E9" w14:textId="77777777" w:rsidR="008042E3" w:rsidRPr="0098635C" w:rsidRDefault="008042E3" w:rsidP="00330AD0">
            <w:pPr>
              <w:spacing w:after="0"/>
              <w:jc w:val="center"/>
              <w:rPr>
                <w:b/>
                <w:bCs/>
                <w:color w:val="000000" w:themeColor="text1"/>
                <w:sz w:val="20"/>
                <w:szCs w:val="20"/>
                <w:lang w:eastAsia="en-GB"/>
              </w:rPr>
            </w:pPr>
            <w:r w:rsidRPr="0098635C">
              <w:rPr>
                <w:b/>
                <w:bCs/>
                <w:color w:val="000000" w:themeColor="text1"/>
                <w:sz w:val="20"/>
                <w:szCs w:val="20"/>
                <w:lang w:eastAsia="en-GB"/>
              </w:rPr>
              <w:t>11091-20636</w:t>
            </w:r>
          </w:p>
        </w:tc>
      </w:tr>
      <w:tr w:rsidR="008042E3" w:rsidRPr="0098635C" w14:paraId="2D5A5F5B" w14:textId="77777777" w:rsidTr="00330AD0">
        <w:trPr>
          <w:trHeight w:val="465"/>
        </w:trPr>
        <w:tc>
          <w:tcPr>
            <w:tcW w:w="2240" w:type="dxa"/>
            <w:tcBorders>
              <w:top w:val="nil"/>
              <w:left w:val="single" w:sz="8" w:space="0" w:color="auto"/>
              <w:bottom w:val="single" w:sz="4" w:space="0" w:color="auto"/>
              <w:right w:val="single" w:sz="8" w:space="0" w:color="auto"/>
            </w:tcBorders>
            <w:shd w:val="clear" w:color="auto" w:fill="auto"/>
            <w:hideMark/>
          </w:tcPr>
          <w:p w14:paraId="32F55557" w14:textId="77777777" w:rsidR="008042E3" w:rsidRPr="0098635C" w:rsidRDefault="008042E3" w:rsidP="00330AD0">
            <w:pPr>
              <w:spacing w:after="0"/>
              <w:jc w:val="center"/>
              <w:rPr>
                <w:color w:val="000000" w:themeColor="text1"/>
                <w:sz w:val="20"/>
                <w:szCs w:val="20"/>
                <w:lang w:eastAsia="en-GB"/>
              </w:rPr>
            </w:pPr>
            <w:r w:rsidRPr="0098635C">
              <w:rPr>
                <w:color w:val="000000" w:themeColor="text1"/>
                <w:sz w:val="20"/>
                <w:szCs w:val="20"/>
                <w:lang w:eastAsia="en-GB"/>
              </w:rPr>
              <w:t>10 µm copper powder (0.067m2/g)</w:t>
            </w:r>
          </w:p>
        </w:tc>
        <w:tc>
          <w:tcPr>
            <w:tcW w:w="960" w:type="dxa"/>
            <w:tcBorders>
              <w:top w:val="nil"/>
              <w:left w:val="nil"/>
              <w:bottom w:val="single" w:sz="8" w:space="0" w:color="auto"/>
              <w:right w:val="single" w:sz="8" w:space="0" w:color="auto"/>
            </w:tcBorders>
            <w:shd w:val="clear" w:color="auto" w:fill="auto"/>
            <w:hideMark/>
          </w:tcPr>
          <w:p w14:paraId="08D7B7C9" w14:textId="77777777" w:rsidR="008042E3" w:rsidRPr="0098635C" w:rsidRDefault="008042E3" w:rsidP="00330AD0">
            <w:pPr>
              <w:spacing w:after="0"/>
              <w:jc w:val="center"/>
              <w:rPr>
                <w:color w:val="000000" w:themeColor="text1"/>
                <w:sz w:val="20"/>
                <w:szCs w:val="20"/>
                <w:lang w:eastAsia="en-GB"/>
              </w:rPr>
            </w:pPr>
            <w:r w:rsidRPr="0098635C">
              <w:rPr>
                <w:color w:val="000000" w:themeColor="text1"/>
                <w:sz w:val="20"/>
                <w:szCs w:val="20"/>
                <w:lang w:eastAsia="en-GB"/>
              </w:rPr>
              <w:t>100</w:t>
            </w:r>
          </w:p>
        </w:tc>
        <w:tc>
          <w:tcPr>
            <w:tcW w:w="1260" w:type="dxa"/>
            <w:tcBorders>
              <w:top w:val="nil"/>
              <w:left w:val="nil"/>
              <w:bottom w:val="single" w:sz="8" w:space="0" w:color="auto"/>
              <w:right w:val="single" w:sz="8" w:space="0" w:color="auto"/>
            </w:tcBorders>
            <w:shd w:val="clear" w:color="auto" w:fill="auto"/>
            <w:noWrap/>
            <w:vAlign w:val="bottom"/>
            <w:hideMark/>
          </w:tcPr>
          <w:p w14:paraId="56B250F1" w14:textId="77777777" w:rsidR="008042E3" w:rsidRPr="0098635C" w:rsidRDefault="008042E3" w:rsidP="00330AD0">
            <w:pPr>
              <w:spacing w:after="0"/>
              <w:jc w:val="center"/>
              <w:rPr>
                <w:color w:val="000000" w:themeColor="text1"/>
                <w:sz w:val="20"/>
                <w:szCs w:val="20"/>
                <w:lang w:eastAsia="en-GB"/>
              </w:rPr>
            </w:pPr>
            <w:r w:rsidRPr="0098635C">
              <w:rPr>
                <w:color w:val="000000" w:themeColor="text1"/>
                <w:sz w:val="20"/>
                <w:szCs w:val="20"/>
                <w:lang w:eastAsia="en-GB"/>
              </w:rPr>
              <w:t>2.8</w:t>
            </w:r>
          </w:p>
        </w:tc>
        <w:tc>
          <w:tcPr>
            <w:tcW w:w="1420" w:type="dxa"/>
            <w:tcBorders>
              <w:top w:val="nil"/>
              <w:left w:val="nil"/>
              <w:bottom w:val="single" w:sz="8" w:space="0" w:color="auto"/>
              <w:right w:val="single" w:sz="8" w:space="0" w:color="auto"/>
            </w:tcBorders>
            <w:shd w:val="clear" w:color="auto" w:fill="auto"/>
            <w:noWrap/>
            <w:vAlign w:val="bottom"/>
            <w:hideMark/>
          </w:tcPr>
          <w:p w14:paraId="11D80CDD" w14:textId="77777777" w:rsidR="008042E3" w:rsidRPr="0098635C" w:rsidRDefault="008042E3" w:rsidP="00330AD0">
            <w:pPr>
              <w:spacing w:after="0"/>
              <w:jc w:val="center"/>
              <w:rPr>
                <w:color w:val="000000" w:themeColor="text1"/>
                <w:sz w:val="20"/>
                <w:szCs w:val="20"/>
                <w:lang w:eastAsia="en-GB"/>
              </w:rPr>
            </w:pPr>
          </w:p>
        </w:tc>
        <w:tc>
          <w:tcPr>
            <w:tcW w:w="1580" w:type="dxa"/>
            <w:tcBorders>
              <w:top w:val="nil"/>
              <w:left w:val="nil"/>
              <w:bottom w:val="single" w:sz="8" w:space="0" w:color="auto"/>
              <w:right w:val="single" w:sz="8" w:space="0" w:color="auto"/>
            </w:tcBorders>
            <w:shd w:val="clear" w:color="auto" w:fill="auto"/>
            <w:noWrap/>
            <w:vAlign w:val="bottom"/>
            <w:hideMark/>
          </w:tcPr>
          <w:p w14:paraId="28722F90" w14:textId="77777777" w:rsidR="008042E3" w:rsidRPr="0098635C" w:rsidRDefault="008042E3" w:rsidP="00330AD0">
            <w:pPr>
              <w:spacing w:after="0"/>
              <w:jc w:val="center"/>
              <w:rPr>
                <w:color w:val="000000" w:themeColor="text1"/>
                <w:sz w:val="20"/>
                <w:szCs w:val="20"/>
                <w:lang w:eastAsia="en-GB"/>
              </w:rPr>
            </w:pPr>
          </w:p>
        </w:tc>
        <w:tc>
          <w:tcPr>
            <w:tcW w:w="1700" w:type="dxa"/>
            <w:tcBorders>
              <w:top w:val="nil"/>
              <w:left w:val="nil"/>
              <w:bottom w:val="single" w:sz="8" w:space="0" w:color="auto"/>
              <w:right w:val="single" w:sz="8" w:space="0" w:color="auto"/>
            </w:tcBorders>
            <w:shd w:val="clear" w:color="auto" w:fill="auto"/>
            <w:noWrap/>
            <w:vAlign w:val="bottom"/>
            <w:hideMark/>
          </w:tcPr>
          <w:p w14:paraId="3F976069" w14:textId="77777777" w:rsidR="008042E3" w:rsidRPr="0098635C" w:rsidRDefault="008042E3" w:rsidP="00330AD0">
            <w:pPr>
              <w:spacing w:after="0"/>
              <w:jc w:val="center"/>
              <w:rPr>
                <w:b/>
                <w:bCs/>
                <w:color w:val="000000" w:themeColor="text1"/>
                <w:sz w:val="20"/>
                <w:szCs w:val="20"/>
                <w:lang w:eastAsia="en-GB"/>
              </w:rPr>
            </w:pPr>
            <w:r w:rsidRPr="0098635C">
              <w:rPr>
                <w:b/>
                <w:bCs/>
                <w:color w:val="000000" w:themeColor="text1"/>
                <w:sz w:val="20"/>
                <w:szCs w:val="20"/>
                <w:lang w:eastAsia="en-GB"/>
              </w:rPr>
              <w:t>4357-8107</w:t>
            </w:r>
          </w:p>
        </w:tc>
      </w:tr>
    </w:tbl>
    <w:p w14:paraId="7F08FD46" w14:textId="77777777" w:rsidR="008042E3" w:rsidRPr="0098635C" w:rsidRDefault="008042E3" w:rsidP="008042E3">
      <w:pPr>
        <w:spacing w:after="0"/>
        <w:rPr>
          <w:rFonts w:eastAsia="Calibri"/>
          <w:color w:val="000000" w:themeColor="text1"/>
          <w:sz w:val="20"/>
          <w:szCs w:val="20"/>
        </w:rPr>
      </w:pPr>
      <w:r w:rsidRPr="0098635C">
        <w:rPr>
          <w:rFonts w:eastAsia="Calibri"/>
          <w:color w:val="000000" w:themeColor="text1"/>
          <w:sz w:val="20"/>
          <w:szCs w:val="20"/>
        </w:rPr>
        <w:t xml:space="preserve">(1) Obtained from bioelution test or </w:t>
      </w:r>
      <w:r w:rsidRPr="0098635C">
        <w:rPr>
          <w:rFonts w:eastAsia="Calibri"/>
          <w:i/>
          <w:color w:val="000000" w:themeColor="text1"/>
          <w:sz w:val="20"/>
          <w:szCs w:val="20"/>
        </w:rPr>
        <w:t>in vivo</w:t>
      </w:r>
      <w:r w:rsidRPr="0098635C">
        <w:rPr>
          <w:rFonts w:eastAsia="Calibri"/>
          <w:color w:val="000000" w:themeColor="text1"/>
          <w:sz w:val="20"/>
          <w:szCs w:val="20"/>
        </w:rPr>
        <w:t xml:space="preserve"> bioavailability test</w:t>
      </w:r>
    </w:p>
    <w:p w14:paraId="16E950C1" w14:textId="77777777" w:rsidR="008042E3" w:rsidRPr="0098635C" w:rsidRDefault="008042E3" w:rsidP="008042E3">
      <w:pPr>
        <w:spacing w:after="0"/>
        <w:rPr>
          <w:rFonts w:eastAsia="Calibri"/>
          <w:color w:val="000000" w:themeColor="text1"/>
          <w:sz w:val="20"/>
          <w:szCs w:val="20"/>
        </w:rPr>
      </w:pPr>
      <w:r w:rsidRPr="0098635C">
        <w:rPr>
          <w:rFonts w:eastAsia="Calibri"/>
          <w:color w:val="000000" w:themeColor="text1"/>
          <w:sz w:val="20"/>
          <w:szCs w:val="20"/>
        </w:rPr>
        <w:t>(2) Measured LD</w:t>
      </w:r>
      <w:r w:rsidRPr="0098635C">
        <w:rPr>
          <w:rFonts w:eastAsia="Calibri"/>
          <w:color w:val="000000" w:themeColor="text1"/>
          <w:sz w:val="20"/>
          <w:szCs w:val="20"/>
          <w:vertAlign w:val="subscript"/>
        </w:rPr>
        <w:t>50</w:t>
      </w:r>
      <w:r w:rsidRPr="0098635C">
        <w:rPr>
          <w:rFonts w:eastAsia="Calibri"/>
          <w:color w:val="000000" w:themeColor="text1"/>
          <w:sz w:val="20"/>
          <w:szCs w:val="20"/>
        </w:rPr>
        <w:t xml:space="preserve">  / (1)</w:t>
      </w:r>
    </w:p>
    <w:p w14:paraId="0FCBCC5D" w14:textId="77777777" w:rsidR="008042E3" w:rsidRPr="0098635C" w:rsidRDefault="008042E3" w:rsidP="008042E3">
      <w:pPr>
        <w:spacing w:after="0"/>
        <w:rPr>
          <w:rFonts w:eastAsia="Calibri"/>
          <w:color w:val="000000" w:themeColor="text1"/>
          <w:sz w:val="20"/>
          <w:szCs w:val="20"/>
        </w:rPr>
      </w:pPr>
      <w:r w:rsidRPr="0098635C">
        <w:rPr>
          <w:rFonts w:eastAsia="Calibri"/>
          <w:color w:val="000000" w:themeColor="text1"/>
          <w:sz w:val="20"/>
          <w:szCs w:val="20"/>
        </w:rPr>
        <w:t>(3) Min-Max range (2) / (1)</w:t>
      </w:r>
      <w:r w:rsidRPr="0098635C">
        <w:rPr>
          <w:rFonts w:eastAsia="Calibri"/>
          <w:color w:val="000000" w:themeColor="text1"/>
          <w:sz w:val="20"/>
          <w:szCs w:val="20"/>
        </w:rPr>
        <w:tab/>
      </w:r>
    </w:p>
    <w:p w14:paraId="186BD3DE" w14:textId="77777777" w:rsidR="008042E3" w:rsidRPr="0098635C" w:rsidRDefault="008042E3" w:rsidP="008042E3">
      <w:pPr>
        <w:spacing w:after="0"/>
        <w:textAlignment w:val="baseline"/>
        <w:rPr>
          <w:rFonts w:eastAsia="Calibri"/>
          <w:color w:val="000000" w:themeColor="text1"/>
          <w:sz w:val="20"/>
          <w:szCs w:val="20"/>
        </w:rPr>
      </w:pPr>
    </w:p>
    <w:p w14:paraId="223D2900" w14:textId="3A16B279" w:rsidR="005E5161" w:rsidRPr="0098635C" w:rsidRDefault="00ED6038" w:rsidP="00586794">
      <w:pPr>
        <w:spacing w:after="0"/>
        <w:rPr>
          <w:rFonts w:eastAsia="Calibri"/>
          <w:color w:val="000000" w:themeColor="text1"/>
          <w:sz w:val="20"/>
          <w:szCs w:val="20"/>
        </w:rPr>
      </w:pPr>
      <w:r w:rsidRPr="0098635C">
        <w:rPr>
          <w:rFonts w:eastAsia="Calibri"/>
          <w:color w:val="000000" w:themeColor="text1"/>
          <w:sz w:val="20"/>
          <w:szCs w:val="20"/>
        </w:rPr>
        <w:fldChar w:fldCharType="begin"/>
      </w:r>
      <w:r w:rsidRPr="0098635C">
        <w:rPr>
          <w:rFonts w:eastAsia="Calibri"/>
          <w:color w:val="000000" w:themeColor="text1"/>
          <w:sz w:val="20"/>
          <w:szCs w:val="20"/>
        </w:rPr>
        <w:instrText xml:space="preserve"> REF _Ref471740291 \h </w:instrText>
      </w:r>
      <w:r w:rsidRPr="0098635C">
        <w:rPr>
          <w:rFonts w:eastAsia="Calibri"/>
          <w:color w:val="000000" w:themeColor="text1"/>
          <w:sz w:val="20"/>
          <w:szCs w:val="20"/>
        </w:rPr>
      </w:r>
      <w:r w:rsidR="0098635C">
        <w:rPr>
          <w:rFonts w:eastAsia="Calibri"/>
          <w:color w:val="000000" w:themeColor="text1"/>
          <w:sz w:val="20"/>
          <w:szCs w:val="20"/>
        </w:rPr>
        <w:instrText xml:space="preserve"> \* MERGEFORMAT </w:instrText>
      </w:r>
      <w:r w:rsidRPr="0098635C">
        <w:rPr>
          <w:rFonts w:eastAsia="Calibri"/>
          <w:color w:val="000000" w:themeColor="text1"/>
          <w:sz w:val="20"/>
          <w:szCs w:val="20"/>
        </w:rPr>
        <w:fldChar w:fldCharType="separate"/>
      </w:r>
    </w:p>
    <w:p w14:paraId="7BABBB72" w14:textId="720E2CB0" w:rsidR="008042E3" w:rsidRPr="0098635C" w:rsidRDefault="005E5161" w:rsidP="008042E3">
      <w:pPr>
        <w:spacing w:after="0"/>
        <w:rPr>
          <w:rFonts w:eastAsia="Calibri"/>
          <w:color w:val="000000" w:themeColor="text1"/>
          <w:sz w:val="20"/>
          <w:szCs w:val="20"/>
        </w:rPr>
      </w:pPr>
      <w:r w:rsidRPr="0098635C">
        <w:rPr>
          <w:b/>
          <w:color w:val="000000" w:themeColor="text1"/>
          <w:sz w:val="20"/>
          <w:szCs w:val="20"/>
        </w:rPr>
        <w:t xml:space="preserve">Table </w:t>
      </w:r>
      <w:r w:rsidRPr="0098635C">
        <w:rPr>
          <w:b/>
          <w:noProof/>
          <w:color w:val="000000" w:themeColor="text1"/>
          <w:sz w:val="20"/>
          <w:szCs w:val="20"/>
        </w:rPr>
        <w:t>14</w:t>
      </w:r>
      <w:r w:rsidR="00ED6038" w:rsidRPr="0098635C">
        <w:rPr>
          <w:rFonts w:eastAsia="Calibri"/>
          <w:color w:val="000000" w:themeColor="text1"/>
          <w:sz w:val="20"/>
          <w:szCs w:val="20"/>
        </w:rPr>
        <w:fldChar w:fldCharType="end"/>
      </w:r>
      <w:r w:rsidR="00ED6038" w:rsidRPr="0098635C">
        <w:rPr>
          <w:rFonts w:eastAsia="Calibri"/>
          <w:color w:val="000000" w:themeColor="text1"/>
          <w:sz w:val="20"/>
          <w:szCs w:val="20"/>
        </w:rPr>
        <w:t xml:space="preserve"> </w:t>
      </w:r>
      <w:r w:rsidR="008042E3" w:rsidRPr="0098635C">
        <w:rPr>
          <w:rFonts w:eastAsia="Calibri"/>
          <w:color w:val="000000" w:themeColor="text1"/>
          <w:sz w:val="20"/>
          <w:szCs w:val="20"/>
        </w:rPr>
        <w:t>shows comparable bioavailable/bioaccessible LD</w:t>
      </w:r>
      <w:r w:rsidR="008042E3" w:rsidRPr="0098635C">
        <w:rPr>
          <w:rFonts w:eastAsia="Calibri"/>
          <w:color w:val="000000" w:themeColor="text1"/>
          <w:sz w:val="20"/>
          <w:szCs w:val="20"/>
          <w:vertAlign w:val="subscript"/>
        </w:rPr>
        <w:t>50</w:t>
      </w:r>
      <w:r w:rsidR="008042E3" w:rsidRPr="0098635C">
        <w:rPr>
          <w:rFonts w:eastAsia="Calibri"/>
          <w:color w:val="000000" w:themeColor="text1"/>
          <w:sz w:val="20"/>
          <w:szCs w:val="20"/>
        </w:rPr>
        <w:t xml:space="preserve"> values for the 3 substances with bound LD</w:t>
      </w:r>
      <w:r w:rsidR="008042E3" w:rsidRPr="0098635C">
        <w:rPr>
          <w:rFonts w:eastAsia="Calibri"/>
          <w:color w:val="000000" w:themeColor="text1"/>
          <w:sz w:val="20"/>
          <w:szCs w:val="20"/>
          <w:vertAlign w:val="subscript"/>
        </w:rPr>
        <w:t>50</w:t>
      </w:r>
      <w:r w:rsidR="008042E3" w:rsidRPr="0098635C">
        <w:rPr>
          <w:rFonts w:eastAsia="Calibri"/>
          <w:color w:val="000000" w:themeColor="text1"/>
          <w:sz w:val="20"/>
          <w:szCs w:val="20"/>
        </w:rPr>
        <w:t xml:space="preserve"> data (122 to 227 mg bio-available mg Cu/kg bw).  The calculated LD</w:t>
      </w:r>
      <w:r w:rsidR="008042E3" w:rsidRPr="0098635C">
        <w:rPr>
          <w:rFonts w:eastAsia="Calibri"/>
          <w:color w:val="000000" w:themeColor="text1"/>
          <w:sz w:val="20"/>
          <w:szCs w:val="20"/>
          <w:vertAlign w:val="subscript"/>
        </w:rPr>
        <w:t>50</w:t>
      </w:r>
      <w:r w:rsidR="008042E3" w:rsidRPr="0098635C">
        <w:rPr>
          <w:rFonts w:eastAsia="Calibri"/>
          <w:color w:val="000000" w:themeColor="text1"/>
          <w:sz w:val="20"/>
          <w:szCs w:val="20"/>
        </w:rPr>
        <w:t xml:space="preserve"> values for these materials (copper coated flakes, CuSO</w:t>
      </w:r>
      <w:r w:rsidR="008042E3" w:rsidRPr="0098635C">
        <w:rPr>
          <w:rFonts w:eastAsia="Calibri"/>
          <w:color w:val="000000" w:themeColor="text1"/>
          <w:sz w:val="20"/>
          <w:szCs w:val="20"/>
          <w:vertAlign w:val="subscript"/>
        </w:rPr>
        <w:t>4.</w:t>
      </w:r>
      <w:r w:rsidR="008042E3" w:rsidRPr="0098635C">
        <w:rPr>
          <w:rFonts w:eastAsia="Calibri"/>
          <w:color w:val="000000" w:themeColor="text1"/>
          <w:sz w:val="20"/>
          <w:szCs w:val="20"/>
        </w:rPr>
        <w:t>5H</w:t>
      </w:r>
      <w:r w:rsidR="008042E3" w:rsidRPr="0098635C">
        <w:rPr>
          <w:rFonts w:eastAsia="Calibri"/>
          <w:color w:val="000000" w:themeColor="text1"/>
          <w:sz w:val="20"/>
          <w:szCs w:val="20"/>
          <w:vertAlign w:val="subscript"/>
        </w:rPr>
        <w:t>2</w:t>
      </w:r>
      <w:r w:rsidR="008042E3" w:rsidRPr="0098635C">
        <w:rPr>
          <w:rFonts w:eastAsia="Calibri"/>
          <w:color w:val="000000" w:themeColor="text1"/>
          <w:sz w:val="20"/>
          <w:szCs w:val="20"/>
        </w:rPr>
        <w:t>0 and CuCl) correspond to the measured hazard profile of these materials (LD</w:t>
      </w:r>
      <w:r w:rsidR="008042E3" w:rsidRPr="0098635C">
        <w:rPr>
          <w:rFonts w:eastAsia="Calibri"/>
          <w:color w:val="000000" w:themeColor="text1"/>
          <w:sz w:val="20"/>
          <w:szCs w:val="20"/>
          <w:vertAlign w:val="subscript"/>
        </w:rPr>
        <w:t>50</w:t>
      </w:r>
      <w:r w:rsidR="008042E3" w:rsidRPr="0098635C">
        <w:rPr>
          <w:rFonts w:eastAsia="Calibri"/>
          <w:color w:val="000000" w:themeColor="text1"/>
          <w:sz w:val="20"/>
          <w:szCs w:val="20"/>
        </w:rPr>
        <w:t xml:space="preserve"> &lt; 2,000 mg/kg and &gt; 200 mg/kg bw)</w:t>
      </w:r>
      <w:r w:rsidR="00A432B0" w:rsidRPr="0098635C">
        <w:rPr>
          <w:rFonts w:eastAsia="Calibri"/>
          <w:color w:val="000000" w:themeColor="text1"/>
          <w:sz w:val="20"/>
          <w:szCs w:val="20"/>
        </w:rPr>
        <w:t>, according to GHS</w:t>
      </w:r>
      <w:r w:rsidR="008042E3" w:rsidRPr="0098635C">
        <w:rPr>
          <w:rFonts w:eastAsia="Calibri"/>
          <w:color w:val="000000" w:themeColor="text1"/>
          <w:sz w:val="20"/>
          <w:szCs w:val="20"/>
        </w:rPr>
        <w:t>. Correct predictions are also observed for Cu</w:t>
      </w:r>
      <w:r w:rsidR="008042E3" w:rsidRPr="0098635C">
        <w:rPr>
          <w:rFonts w:eastAsia="Calibri"/>
          <w:color w:val="000000" w:themeColor="text1"/>
          <w:sz w:val="20"/>
          <w:szCs w:val="20"/>
          <w:vertAlign w:val="subscript"/>
        </w:rPr>
        <w:t>2</w:t>
      </w:r>
      <w:r w:rsidR="008042E3" w:rsidRPr="0098635C">
        <w:rPr>
          <w:rFonts w:eastAsia="Calibri"/>
          <w:color w:val="000000" w:themeColor="text1"/>
          <w:sz w:val="20"/>
          <w:szCs w:val="20"/>
        </w:rPr>
        <w:t>S (i.e. LD</w:t>
      </w:r>
      <w:r w:rsidR="008042E3" w:rsidRPr="0098635C">
        <w:rPr>
          <w:rFonts w:eastAsia="Calibri"/>
          <w:color w:val="000000" w:themeColor="text1"/>
          <w:sz w:val="20"/>
          <w:szCs w:val="20"/>
          <w:vertAlign w:val="subscript"/>
        </w:rPr>
        <w:t>50</w:t>
      </w:r>
      <w:r w:rsidR="008042E3" w:rsidRPr="0098635C">
        <w:rPr>
          <w:rFonts w:eastAsia="Calibri"/>
          <w:color w:val="000000" w:themeColor="text1"/>
          <w:sz w:val="20"/>
          <w:szCs w:val="20"/>
        </w:rPr>
        <w:t xml:space="preserve"> &gt; 2,000 mg/kg). For CuO, the predicted LD</w:t>
      </w:r>
      <w:r w:rsidR="008042E3" w:rsidRPr="0098635C">
        <w:rPr>
          <w:rFonts w:eastAsia="Calibri"/>
          <w:color w:val="000000" w:themeColor="text1"/>
          <w:sz w:val="20"/>
          <w:szCs w:val="20"/>
          <w:vertAlign w:val="subscript"/>
        </w:rPr>
        <w:t>50</w:t>
      </w:r>
      <w:r w:rsidR="008042E3" w:rsidRPr="0098635C">
        <w:rPr>
          <w:rFonts w:eastAsia="Calibri"/>
          <w:color w:val="000000" w:themeColor="text1"/>
          <w:sz w:val="20"/>
          <w:szCs w:val="20"/>
        </w:rPr>
        <w:t xml:space="preserve"> values are below the observed LD</w:t>
      </w:r>
      <w:r w:rsidR="008042E3" w:rsidRPr="0098635C">
        <w:rPr>
          <w:rFonts w:eastAsia="Calibri"/>
          <w:color w:val="000000" w:themeColor="text1"/>
          <w:sz w:val="20"/>
          <w:szCs w:val="20"/>
          <w:vertAlign w:val="subscript"/>
        </w:rPr>
        <w:t>50</w:t>
      </w:r>
      <w:r w:rsidR="008042E3" w:rsidRPr="0098635C">
        <w:rPr>
          <w:rFonts w:eastAsia="Calibri"/>
          <w:color w:val="000000" w:themeColor="text1"/>
          <w:sz w:val="20"/>
          <w:szCs w:val="20"/>
        </w:rPr>
        <w:t xml:space="preserve"> and therefore, calculations are conservative. </w:t>
      </w:r>
    </w:p>
    <w:p w14:paraId="41CF967C" w14:textId="77777777" w:rsidR="00ED6038" w:rsidRPr="0098635C" w:rsidRDefault="00ED6038" w:rsidP="008042E3">
      <w:pPr>
        <w:spacing w:after="0"/>
        <w:rPr>
          <w:rFonts w:eastAsia="Calibri"/>
          <w:color w:val="000000" w:themeColor="text1"/>
          <w:sz w:val="20"/>
          <w:szCs w:val="20"/>
        </w:rPr>
      </w:pPr>
    </w:p>
    <w:p w14:paraId="5AE6C3DF" w14:textId="3BF201E3" w:rsidR="008042E3" w:rsidRPr="0098635C" w:rsidRDefault="008042E3" w:rsidP="008042E3">
      <w:pPr>
        <w:spacing w:after="0"/>
        <w:rPr>
          <w:rFonts w:eastAsia="Calibri"/>
          <w:color w:val="000000" w:themeColor="text1"/>
          <w:sz w:val="20"/>
          <w:szCs w:val="20"/>
        </w:rPr>
      </w:pPr>
      <w:r w:rsidRPr="0098635C">
        <w:rPr>
          <w:rFonts w:eastAsia="Calibri"/>
          <w:color w:val="000000" w:themeColor="text1"/>
          <w:sz w:val="20"/>
          <w:szCs w:val="20"/>
        </w:rPr>
        <w:t>The data therefore support the concept that bio-available copper ions are responsible for the observed acute toxicity profiles of CuSO</w:t>
      </w:r>
      <w:r w:rsidRPr="0098635C">
        <w:rPr>
          <w:rFonts w:eastAsia="Calibri"/>
          <w:color w:val="000000" w:themeColor="text1"/>
          <w:sz w:val="20"/>
          <w:szCs w:val="20"/>
          <w:vertAlign w:val="subscript"/>
        </w:rPr>
        <w:t>4</w:t>
      </w:r>
      <w:r w:rsidRPr="0098635C">
        <w:rPr>
          <w:rFonts w:eastAsia="Calibri"/>
          <w:color w:val="000000" w:themeColor="text1"/>
          <w:sz w:val="20"/>
          <w:szCs w:val="20"/>
        </w:rPr>
        <w:t>.5H</w:t>
      </w:r>
      <w:r w:rsidRPr="0098635C">
        <w:rPr>
          <w:rFonts w:eastAsia="Calibri"/>
          <w:color w:val="000000" w:themeColor="text1"/>
          <w:sz w:val="20"/>
          <w:szCs w:val="20"/>
          <w:vertAlign w:val="subscript"/>
        </w:rPr>
        <w:t>2</w:t>
      </w:r>
      <w:r w:rsidRPr="0098635C">
        <w:rPr>
          <w:rFonts w:eastAsia="Calibri"/>
          <w:color w:val="000000" w:themeColor="text1"/>
          <w:sz w:val="20"/>
          <w:szCs w:val="20"/>
        </w:rPr>
        <w:t>0, CuCl, Coated copper flakes CuO and Cu</w:t>
      </w:r>
      <w:r w:rsidRPr="0098635C">
        <w:rPr>
          <w:rFonts w:eastAsia="Calibri"/>
          <w:color w:val="000000" w:themeColor="text1"/>
          <w:sz w:val="20"/>
          <w:szCs w:val="20"/>
          <w:vertAlign w:val="subscript"/>
        </w:rPr>
        <w:t>2</w:t>
      </w:r>
      <w:r w:rsidRPr="0098635C">
        <w:rPr>
          <w:rFonts w:eastAsia="Calibri"/>
          <w:color w:val="000000" w:themeColor="text1"/>
          <w:sz w:val="20"/>
          <w:szCs w:val="20"/>
        </w:rPr>
        <w:t xml:space="preserve">S and that </w:t>
      </w:r>
      <w:r w:rsidRPr="0098635C">
        <w:rPr>
          <w:rFonts w:eastAsia="Calibri"/>
          <w:i/>
          <w:color w:val="000000" w:themeColor="text1"/>
          <w:sz w:val="20"/>
          <w:szCs w:val="20"/>
        </w:rPr>
        <w:t>in vitro</w:t>
      </w:r>
      <w:r w:rsidRPr="0098635C">
        <w:rPr>
          <w:rFonts w:eastAsia="Calibri"/>
          <w:color w:val="000000" w:themeColor="text1"/>
          <w:sz w:val="20"/>
          <w:szCs w:val="20"/>
        </w:rPr>
        <w:t xml:space="preserve"> bioaccessibility data can be used as read-across parameter.  Therefore, following the read-across approach,  the </w:t>
      </w:r>
      <w:r w:rsidRPr="0098635C">
        <w:rPr>
          <w:rFonts w:eastAsia="Calibri"/>
          <w:i/>
          <w:color w:val="000000" w:themeColor="text1"/>
          <w:sz w:val="20"/>
          <w:szCs w:val="20"/>
        </w:rPr>
        <w:t>in vivo</w:t>
      </w:r>
      <w:r w:rsidRPr="0098635C">
        <w:rPr>
          <w:rFonts w:eastAsia="Calibri"/>
          <w:color w:val="000000" w:themeColor="text1"/>
          <w:sz w:val="20"/>
          <w:szCs w:val="20"/>
        </w:rPr>
        <w:t xml:space="preserve"> toxicity of coated copper flakes and copper compounds were combined with the relative bio-accessibility of copper powders and massive to derive the classification of copper powders/massive.   From the assessment it was concluded that copper powder (typical powder and worst case 10µm powder) and therefore also copper massive follow the same hazard profile as CuO and Cu</w:t>
      </w:r>
      <w:r w:rsidRPr="0098635C">
        <w:rPr>
          <w:rFonts w:eastAsia="Calibri"/>
          <w:color w:val="000000" w:themeColor="text1"/>
          <w:sz w:val="20"/>
          <w:szCs w:val="20"/>
          <w:vertAlign w:val="subscript"/>
        </w:rPr>
        <w:t>2</w:t>
      </w:r>
      <w:r w:rsidRPr="0098635C">
        <w:rPr>
          <w:rFonts w:eastAsia="Calibri"/>
          <w:color w:val="000000" w:themeColor="text1"/>
          <w:sz w:val="20"/>
          <w:szCs w:val="20"/>
        </w:rPr>
        <w:t>S (LD</w:t>
      </w:r>
      <w:r w:rsidRPr="0098635C">
        <w:rPr>
          <w:rFonts w:eastAsia="Calibri"/>
          <w:color w:val="000000" w:themeColor="text1"/>
          <w:sz w:val="20"/>
          <w:szCs w:val="20"/>
          <w:vertAlign w:val="subscript"/>
        </w:rPr>
        <w:t>50</w:t>
      </w:r>
      <w:r w:rsidRPr="0098635C">
        <w:rPr>
          <w:rFonts w:eastAsia="Calibri"/>
          <w:color w:val="000000" w:themeColor="text1"/>
          <w:sz w:val="20"/>
          <w:szCs w:val="20"/>
        </w:rPr>
        <w:t xml:space="preserve"> &gt; 2,000 mg/kg)</w:t>
      </w:r>
      <w:r w:rsidR="00A432B0" w:rsidRPr="0098635C">
        <w:rPr>
          <w:rFonts w:eastAsia="Calibri"/>
          <w:color w:val="000000" w:themeColor="text1"/>
          <w:sz w:val="20"/>
          <w:szCs w:val="20"/>
        </w:rPr>
        <w:t>, according to GHS</w:t>
      </w:r>
      <w:r w:rsidRPr="0098635C">
        <w:rPr>
          <w:rFonts w:eastAsia="Calibri"/>
          <w:color w:val="000000" w:themeColor="text1"/>
          <w:sz w:val="20"/>
          <w:szCs w:val="20"/>
        </w:rPr>
        <w:t xml:space="preserve">: they do not </w:t>
      </w:r>
      <w:r w:rsidR="00226263" w:rsidRPr="0098635C">
        <w:rPr>
          <w:rFonts w:eastAsia="Calibri"/>
          <w:color w:val="000000" w:themeColor="text1"/>
          <w:sz w:val="20"/>
          <w:szCs w:val="20"/>
        </w:rPr>
        <w:t xml:space="preserve">present an </w:t>
      </w:r>
      <w:r w:rsidRPr="0098635C">
        <w:rPr>
          <w:rFonts w:eastAsia="Calibri"/>
          <w:color w:val="000000" w:themeColor="text1"/>
          <w:sz w:val="20"/>
          <w:szCs w:val="20"/>
        </w:rPr>
        <w:t xml:space="preserve">acute oral </w:t>
      </w:r>
      <w:r w:rsidR="00226263" w:rsidRPr="0098635C">
        <w:rPr>
          <w:rFonts w:eastAsia="Calibri"/>
          <w:color w:val="000000" w:themeColor="text1"/>
          <w:sz w:val="20"/>
          <w:szCs w:val="20"/>
        </w:rPr>
        <w:t>hazard</w:t>
      </w:r>
      <w:r w:rsidRPr="0098635C">
        <w:rPr>
          <w:rFonts w:eastAsia="Calibri"/>
          <w:color w:val="000000" w:themeColor="text1"/>
          <w:sz w:val="20"/>
          <w:szCs w:val="20"/>
        </w:rPr>
        <w:t>.</w:t>
      </w:r>
      <w:r w:rsidR="00ED6038" w:rsidRPr="0098635C">
        <w:rPr>
          <w:rFonts w:eastAsia="Calibri"/>
          <w:color w:val="000000" w:themeColor="text1"/>
          <w:sz w:val="20"/>
          <w:szCs w:val="20"/>
        </w:rPr>
        <w:t xml:space="preserve"> </w:t>
      </w:r>
      <w:r w:rsidRPr="0098635C">
        <w:rPr>
          <w:rFonts w:eastAsia="Calibri"/>
          <w:color w:val="000000" w:themeColor="text1"/>
          <w:sz w:val="20"/>
          <w:szCs w:val="20"/>
        </w:rPr>
        <w:t>Consideration of available acute oral toxicity data leads to the conclusion that coated copper flakes have the same hazard as the soluble copper compounds (CuSO</w:t>
      </w:r>
      <w:r w:rsidRPr="0098635C">
        <w:rPr>
          <w:rFonts w:eastAsia="Calibri"/>
          <w:color w:val="000000" w:themeColor="text1"/>
          <w:sz w:val="20"/>
          <w:szCs w:val="20"/>
          <w:vertAlign w:val="subscript"/>
        </w:rPr>
        <w:t>4</w:t>
      </w:r>
      <w:r w:rsidRPr="0098635C">
        <w:rPr>
          <w:rFonts w:eastAsia="Calibri"/>
          <w:color w:val="000000" w:themeColor="text1"/>
          <w:sz w:val="20"/>
          <w:szCs w:val="20"/>
        </w:rPr>
        <w:t>.5H</w:t>
      </w:r>
      <w:r w:rsidRPr="0098635C">
        <w:rPr>
          <w:rFonts w:eastAsia="Calibri"/>
          <w:color w:val="000000" w:themeColor="text1"/>
          <w:sz w:val="20"/>
          <w:szCs w:val="20"/>
          <w:vertAlign w:val="subscript"/>
        </w:rPr>
        <w:t>2</w:t>
      </w:r>
      <w:r w:rsidRPr="0098635C">
        <w:rPr>
          <w:rFonts w:eastAsia="Calibri"/>
          <w:color w:val="000000" w:themeColor="text1"/>
          <w:sz w:val="20"/>
          <w:szCs w:val="20"/>
        </w:rPr>
        <w:t>0 and CuCl).   CuO and Cu</w:t>
      </w:r>
      <w:r w:rsidRPr="0098635C">
        <w:rPr>
          <w:rFonts w:eastAsia="Calibri"/>
          <w:color w:val="000000" w:themeColor="text1"/>
          <w:sz w:val="20"/>
          <w:szCs w:val="20"/>
          <w:vertAlign w:val="subscript"/>
        </w:rPr>
        <w:t>2</w:t>
      </w:r>
      <w:r w:rsidRPr="0098635C">
        <w:rPr>
          <w:rFonts w:eastAsia="Calibri"/>
          <w:color w:val="000000" w:themeColor="text1"/>
          <w:sz w:val="20"/>
          <w:szCs w:val="20"/>
        </w:rPr>
        <w:t>S and copper powder/massive do not present a hazard by the oral route.</w:t>
      </w:r>
    </w:p>
    <w:p w14:paraId="26A015F3" w14:textId="77777777" w:rsidR="008042E3" w:rsidRPr="0098635C" w:rsidRDefault="008042E3" w:rsidP="008042E3">
      <w:pPr>
        <w:spacing w:after="0"/>
        <w:rPr>
          <w:rFonts w:eastAsia="Calibri"/>
          <w:color w:val="000000" w:themeColor="text1"/>
          <w:sz w:val="20"/>
          <w:szCs w:val="20"/>
        </w:rPr>
      </w:pPr>
    </w:p>
    <w:p w14:paraId="61F5194D" w14:textId="77777777" w:rsidR="008042E3" w:rsidRPr="0098635C" w:rsidRDefault="008042E3" w:rsidP="008042E3">
      <w:pPr>
        <w:spacing w:after="0"/>
        <w:rPr>
          <w:rFonts w:eastAsia="Calibri"/>
          <w:color w:val="000000" w:themeColor="text1"/>
          <w:sz w:val="20"/>
          <w:szCs w:val="20"/>
        </w:rPr>
      </w:pPr>
      <w:r w:rsidRPr="0098635C">
        <w:rPr>
          <w:rFonts w:eastAsia="Calibri"/>
          <w:color w:val="000000" w:themeColor="text1"/>
          <w:sz w:val="20"/>
          <w:szCs w:val="20"/>
        </w:rPr>
        <w:t>Conclusion on the acute oral, dermal and inhalation routes</w:t>
      </w:r>
    </w:p>
    <w:p w14:paraId="12D89044" w14:textId="6DBFDA73" w:rsidR="008042E3" w:rsidRPr="0098635C" w:rsidRDefault="008042E3" w:rsidP="0059369A">
      <w:pPr>
        <w:widowControl/>
        <w:numPr>
          <w:ilvl w:val="0"/>
          <w:numId w:val="38"/>
        </w:numPr>
        <w:autoSpaceDE/>
        <w:autoSpaceDN/>
        <w:adjustRightInd/>
        <w:spacing w:after="0"/>
        <w:ind w:right="215"/>
        <w:rPr>
          <w:color w:val="000000" w:themeColor="text1"/>
          <w:sz w:val="20"/>
          <w:szCs w:val="20"/>
        </w:rPr>
      </w:pPr>
      <w:r w:rsidRPr="0098635C">
        <w:rPr>
          <w:color w:val="000000" w:themeColor="text1"/>
          <w:sz w:val="20"/>
          <w:szCs w:val="20"/>
          <w:lang w:eastAsia="ja-JP"/>
        </w:rPr>
        <w:lastRenderedPageBreak/>
        <w:t xml:space="preserve">Oral: the release of copper ions drive the acute oral toxicity. </w:t>
      </w:r>
      <w:r w:rsidR="00236182" w:rsidRPr="0098635C">
        <w:rPr>
          <w:color w:val="000000" w:themeColor="text1"/>
          <w:sz w:val="20"/>
          <w:szCs w:val="20"/>
          <w:lang w:eastAsia="ja-JP"/>
        </w:rPr>
        <w:t>Copper (I) oxide</w:t>
      </w:r>
      <w:r w:rsidRPr="0098635C">
        <w:rPr>
          <w:color w:val="000000" w:themeColor="text1"/>
          <w:sz w:val="20"/>
          <w:szCs w:val="20"/>
          <w:lang w:eastAsia="ja-JP"/>
        </w:rPr>
        <w:t xml:space="preserve">, copper sulphate pentahydrate, </w:t>
      </w:r>
      <w:r w:rsidRPr="0098635C">
        <w:rPr>
          <w:color w:val="000000" w:themeColor="text1"/>
          <w:sz w:val="20"/>
          <w:szCs w:val="20"/>
        </w:rPr>
        <w:t>dicopper chloride hydroxide</w:t>
      </w:r>
      <w:r w:rsidRPr="0098635C" w:rsidDel="00546100">
        <w:rPr>
          <w:color w:val="000000" w:themeColor="text1"/>
          <w:sz w:val="20"/>
          <w:szCs w:val="20"/>
          <w:lang w:eastAsia="ja-JP"/>
        </w:rPr>
        <w:t xml:space="preserve"> </w:t>
      </w:r>
      <w:r w:rsidRPr="0098635C">
        <w:rPr>
          <w:color w:val="000000" w:themeColor="text1"/>
          <w:sz w:val="20"/>
          <w:szCs w:val="20"/>
          <w:lang w:eastAsia="ja-JP"/>
        </w:rPr>
        <w:t xml:space="preserve">and coated copper flakes present a hazard by the oral route. </w:t>
      </w:r>
      <w:r w:rsidR="00236182" w:rsidRPr="0098635C">
        <w:rPr>
          <w:color w:val="000000" w:themeColor="text1"/>
          <w:sz w:val="20"/>
          <w:szCs w:val="20"/>
          <w:lang w:eastAsia="ja-JP"/>
        </w:rPr>
        <w:t>Copper (II) oxide</w:t>
      </w:r>
      <w:r w:rsidRPr="0098635C">
        <w:rPr>
          <w:color w:val="000000" w:themeColor="text1"/>
          <w:sz w:val="20"/>
          <w:szCs w:val="20"/>
          <w:lang w:eastAsia="ja-JP"/>
        </w:rPr>
        <w:t>, copper powder and copper massive are not hazardous by the oral route.</w:t>
      </w:r>
    </w:p>
    <w:p w14:paraId="19234CC2" w14:textId="77777777" w:rsidR="008042E3" w:rsidRPr="0098635C" w:rsidRDefault="008042E3" w:rsidP="008042E3">
      <w:pPr>
        <w:spacing w:after="0"/>
        <w:ind w:left="1004" w:right="215"/>
        <w:rPr>
          <w:color w:val="000000" w:themeColor="text1"/>
          <w:sz w:val="20"/>
          <w:szCs w:val="20"/>
        </w:rPr>
      </w:pPr>
    </w:p>
    <w:p w14:paraId="7A446FF6" w14:textId="77777777" w:rsidR="008042E3" w:rsidRPr="0098635C" w:rsidRDefault="008042E3" w:rsidP="0059369A">
      <w:pPr>
        <w:widowControl/>
        <w:numPr>
          <w:ilvl w:val="0"/>
          <w:numId w:val="38"/>
        </w:numPr>
        <w:autoSpaceDE/>
        <w:autoSpaceDN/>
        <w:adjustRightInd/>
        <w:spacing w:after="0"/>
        <w:ind w:right="215"/>
        <w:rPr>
          <w:color w:val="000000" w:themeColor="text1"/>
          <w:sz w:val="20"/>
          <w:szCs w:val="20"/>
        </w:rPr>
      </w:pPr>
      <w:r w:rsidRPr="0098635C">
        <w:rPr>
          <w:color w:val="000000" w:themeColor="text1"/>
          <w:sz w:val="20"/>
          <w:szCs w:val="20"/>
          <w:lang w:eastAsia="ja-JP"/>
        </w:rPr>
        <w:t xml:space="preserve">Dermal: all tested substances within the category are not hazardous by the dermal route. Considering the lower solubility and bioaccessability of copper powders/massives compared to the tested copper substances, copper powders/massive forms do not present a hazard by the dermal route. </w:t>
      </w:r>
    </w:p>
    <w:p w14:paraId="2E882721" w14:textId="77777777" w:rsidR="008042E3" w:rsidRPr="0098635C" w:rsidRDefault="008042E3" w:rsidP="008042E3">
      <w:pPr>
        <w:spacing w:after="0"/>
        <w:ind w:right="215"/>
        <w:rPr>
          <w:color w:val="000000" w:themeColor="text1"/>
          <w:sz w:val="20"/>
          <w:szCs w:val="20"/>
        </w:rPr>
      </w:pPr>
    </w:p>
    <w:p w14:paraId="3851F315" w14:textId="7545ABF7" w:rsidR="008042E3" w:rsidRPr="0098635C" w:rsidRDefault="008042E3" w:rsidP="0059369A">
      <w:pPr>
        <w:widowControl/>
        <w:numPr>
          <w:ilvl w:val="0"/>
          <w:numId w:val="38"/>
        </w:numPr>
        <w:autoSpaceDE/>
        <w:autoSpaceDN/>
        <w:adjustRightInd/>
        <w:spacing w:after="0"/>
        <w:ind w:right="215"/>
        <w:rPr>
          <w:color w:val="000000" w:themeColor="text1"/>
          <w:sz w:val="20"/>
          <w:szCs w:val="20"/>
        </w:rPr>
      </w:pPr>
      <w:r w:rsidRPr="0098635C">
        <w:rPr>
          <w:color w:val="000000" w:themeColor="text1"/>
          <w:sz w:val="20"/>
          <w:szCs w:val="20"/>
          <w:lang w:eastAsia="ja-JP"/>
        </w:rPr>
        <w:t xml:space="preserve">Inhalation: </w:t>
      </w:r>
      <w:r w:rsidR="00236182" w:rsidRPr="0098635C">
        <w:rPr>
          <w:color w:val="000000" w:themeColor="text1"/>
          <w:sz w:val="20"/>
          <w:szCs w:val="20"/>
          <w:lang w:eastAsia="ja-JP"/>
        </w:rPr>
        <w:t>Copper (I) oxide</w:t>
      </w:r>
      <w:r w:rsidRPr="0098635C">
        <w:rPr>
          <w:color w:val="000000" w:themeColor="text1"/>
          <w:sz w:val="20"/>
          <w:szCs w:val="20"/>
          <w:lang w:eastAsia="ja-JP"/>
        </w:rPr>
        <w:t xml:space="preserve">, </w:t>
      </w:r>
      <w:r w:rsidRPr="0098635C">
        <w:rPr>
          <w:color w:val="000000" w:themeColor="text1"/>
          <w:sz w:val="20"/>
          <w:szCs w:val="20"/>
        </w:rPr>
        <w:t>dicopper chloride hydroxide</w:t>
      </w:r>
      <w:r w:rsidRPr="0098635C" w:rsidDel="00546100">
        <w:rPr>
          <w:color w:val="000000" w:themeColor="text1"/>
          <w:sz w:val="20"/>
          <w:szCs w:val="20"/>
          <w:lang w:eastAsia="ja-JP"/>
        </w:rPr>
        <w:t xml:space="preserve"> </w:t>
      </w:r>
      <w:r w:rsidRPr="0098635C">
        <w:rPr>
          <w:color w:val="000000" w:themeColor="text1"/>
          <w:sz w:val="20"/>
          <w:szCs w:val="20"/>
          <w:lang w:eastAsia="ja-JP"/>
        </w:rPr>
        <w:t xml:space="preserve">and </w:t>
      </w:r>
      <w:r w:rsidRPr="0098635C">
        <w:rPr>
          <w:color w:val="000000" w:themeColor="text1"/>
          <w:sz w:val="20"/>
          <w:szCs w:val="20"/>
        </w:rPr>
        <w:t>copper flakes</w:t>
      </w:r>
      <w:r w:rsidRPr="0098635C">
        <w:rPr>
          <w:color w:val="000000" w:themeColor="text1"/>
          <w:sz w:val="20"/>
          <w:szCs w:val="20"/>
          <w:lang w:eastAsia="ja-JP"/>
        </w:rPr>
        <w:t xml:space="preserve"> are considered hazardous by the inhalation route.</w:t>
      </w:r>
      <w:r w:rsidRPr="0098635C">
        <w:rPr>
          <w:color w:val="000000" w:themeColor="text1"/>
          <w:sz w:val="20"/>
          <w:szCs w:val="20"/>
        </w:rPr>
        <w:t xml:space="preserve">  Copper sulphate pentahydrate, </w:t>
      </w:r>
      <w:r w:rsidR="00236182" w:rsidRPr="0098635C">
        <w:rPr>
          <w:color w:val="000000" w:themeColor="text1"/>
          <w:sz w:val="20"/>
          <w:szCs w:val="20"/>
        </w:rPr>
        <w:t>copper (II) oxide</w:t>
      </w:r>
      <w:r w:rsidRPr="0098635C">
        <w:rPr>
          <w:color w:val="000000" w:themeColor="text1"/>
          <w:sz w:val="20"/>
          <w:szCs w:val="20"/>
        </w:rPr>
        <w:t xml:space="preserve"> and copper powder/massive are not hazardous by inhalation route</w:t>
      </w:r>
    </w:p>
    <w:p w14:paraId="3D8C5886" w14:textId="77777777" w:rsidR="00B8039F" w:rsidRPr="0098635C" w:rsidRDefault="00B8039F" w:rsidP="00B8039F">
      <w:pPr>
        <w:pStyle w:val="Heading3"/>
        <w:rPr>
          <w:color w:val="000000" w:themeColor="text1"/>
          <w:sz w:val="20"/>
        </w:rPr>
      </w:pPr>
      <w:bookmarkStart w:id="1176" w:name="_Toc471998663"/>
      <w:bookmarkStart w:id="1177" w:name="_Toc471999931"/>
      <w:bookmarkStart w:id="1178" w:name="_Toc471998666"/>
      <w:bookmarkStart w:id="1179" w:name="_Toc471999934"/>
      <w:bookmarkStart w:id="1180" w:name="_Toc471998674"/>
      <w:bookmarkStart w:id="1181" w:name="_Toc471999942"/>
      <w:bookmarkStart w:id="1182" w:name="_Toc471998733"/>
      <w:bookmarkStart w:id="1183" w:name="_Toc472000001"/>
      <w:bookmarkStart w:id="1184" w:name="_Toc471998737"/>
      <w:bookmarkStart w:id="1185" w:name="_Toc472000005"/>
      <w:bookmarkStart w:id="1186" w:name="_Toc471998740"/>
      <w:bookmarkStart w:id="1187" w:name="_Toc472000008"/>
      <w:bookmarkStart w:id="1188" w:name="_Toc471998741"/>
      <w:bookmarkStart w:id="1189" w:name="_Toc472000009"/>
      <w:bookmarkStart w:id="1190" w:name="_Toc472000010"/>
      <w:bookmarkStart w:id="1191" w:name="_Toc472251373"/>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r w:rsidRPr="0098635C">
        <w:rPr>
          <w:color w:val="000000" w:themeColor="text1"/>
          <w:sz w:val="20"/>
        </w:rPr>
        <w:t>Irritation</w:t>
      </w:r>
      <w:bookmarkEnd w:id="1190"/>
      <w:bookmarkEnd w:id="1191"/>
    </w:p>
    <w:p w14:paraId="4C2CE864" w14:textId="481BCDB4" w:rsidR="00B8039F" w:rsidRPr="0098635C" w:rsidRDefault="00B8039F" w:rsidP="00B8039F">
      <w:pPr>
        <w:rPr>
          <w:color w:val="000000" w:themeColor="text1"/>
          <w:sz w:val="20"/>
          <w:szCs w:val="20"/>
        </w:rPr>
      </w:pPr>
      <w:r w:rsidRPr="0098635C">
        <w:rPr>
          <w:color w:val="000000" w:themeColor="text1"/>
          <w:sz w:val="20"/>
          <w:szCs w:val="20"/>
        </w:rPr>
        <w:t>Unpublished data, comprising a number of complete study reports of dermal irritation tests, have been made available</w:t>
      </w:r>
      <w:r w:rsidRPr="0098635C">
        <w:rPr>
          <w:rStyle w:val="FootnoteReference"/>
          <w:color w:val="000000" w:themeColor="text1"/>
          <w:sz w:val="20"/>
          <w:szCs w:val="20"/>
        </w:rPr>
        <w:footnoteReference w:id="21"/>
      </w:r>
      <w:r w:rsidRPr="0098635C">
        <w:rPr>
          <w:color w:val="000000" w:themeColor="text1"/>
          <w:sz w:val="20"/>
          <w:szCs w:val="20"/>
        </w:rPr>
        <w:t xml:space="preserve">. These tests have mostly been conducted in accordance with EU Method B4 and OECD 404 </w:t>
      </w:r>
      <w:r w:rsidR="00FD41E3" w:rsidRPr="0098635C">
        <w:rPr>
          <w:color w:val="000000" w:themeColor="text1"/>
          <w:sz w:val="20"/>
          <w:szCs w:val="20"/>
        </w:rPr>
        <w:t xml:space="preserve">guidelines </w:t>
      </w:r>
      <w:r w:rsidRPr="0098635C">
        <w:rPr>
          <w:color w:val="000000" w:themeColor="text1"/>
          <w:sz w:val="20"/>
          <w:szCs w:val="20"/>
        </w:rPr>
        <w:t>and provide good quality data on the skin irritant properties of several copper compounds and copper powder. A summary of the relevant studies is reported below.</w:t>
      </w:r>
    </w:p>
    <w:p w14:paraId="71DC2AC1" w14:textId="6561A6F2" w:rsidR="00B8039F" w:rsidRPr="0098635C" w:rsidRDefault="00602FD8" w:rsidP="00602FD8">
      <w:pPr>
        <w:pStyle w:val="Heading4"/>
        <w:rPr>
          <w:color w:val="000000" w:themeColor="text1"/>
          <w:sz w:val="20"/>
        </w:rPr>
      </w:pPr>
      <w:r w:rsidRPr="0098635C">
        <w:rPr>
          <w:color w:val="000000" w:themeColor="text1"/>
          <w:sz w:val="20"/>
        </w:rPr>
        <w:t>Skin Irritation</w:t>
      </w:r>
    </w:p>
    <w:p w14:paraId="26611391" w14:textId="77777777" w:rsidR="00B8039F" w:rsidRPr="0098635C" w:rsidRDefault="00B8039F" w:rsidP="00B8039F">
      <w:pPr>
        <w:pStyle w:val="Heading9"/>
        <w:rPr>
          <w:i w:val="0"/>
          <w:color w:val="000000" w:themeColor="text1"/>
          <w:sz w:val="20"/>
          <w:szCs w:val="20"/>
          <w:u w:val="single"/>
        </w:rPr>
      </w:pPr>
      <w:r w:rsidRPr="0098635C">
        <w:rPr>
          <w:i w:val="0"/>
          <w:color w:val="000000" w:themeColor="text1"/>
          <w:sz w:val="20"/>
          <w:szCs w:val="20"/>
          <w:u w:val="single"/>
        </w:rPr>
        <w:t>Studies in Animals</w:t>
      </w:r>
    </w:p>
    <w:p w14:paraId="7538796A" w14:textId="13C9A9B2" w:rsidR="00B8039F" w:rsidRPr="0098635C" w:rsidRDefault="00B8039F" w:rsidP="00B8039F">
      <w:pPr>
        <w:pStyle w:val="BodyText"/>
        <w:rPr>
          <w:color w:val="000000" w:themeColor="text1"/>
          <w:sz w:val="20"/>
        </w:rPr>
      </w:pPr>
      <w:r w:rsidRPr="0098635C">
        <w:rPr>
          <w:color w:val="000000" w:themeColor="text1"/>
          <w:sz w:val="20"/>
        </w:rPr>
        <w:t>No published data are available on skin irritant properties of copper compounds in animals. Unpublished data, comprising a number of complete study reports of dermal irritation tests, have been made available</w:t>
      </w:r>
      <w:r w:rsidRPr="0098635C">
        <w:rPr>
          <w:rStyle w:val="FootnoteReference"/>
          <w:color w:val="000000" w:themeColor="text1"/>
          <w:sz w:val="20"/>
        </w:rPr>
        <w:footnoteReference w:id="22"/>
      </w:r>
      <w:r w:rsidRPr="0098635C">
        <w:rPr>
          <w:color w:val="000000" w:themeColor="text1"/>
          <w:sz w:val="20"/>
        </w:rPr>
        <w:t>. A summary of these studies is presented in</w:t>
      </w:r>
      <w:r w:rsidR="00F771A7" w:rsidRPr="0098635C">
        <w:rPr>
          <w:color w:val="000000" w:themeColor="text1"/>
          <w:sz w:val="20"/>
        </w:rPr>
        <w:t xml:space="preserve"> </w:t>
      </w:r>
      <w:r w:rsidR="00F771A7" w:rsidRPr="0098635C">
        <w:rPr>
          <w:color w:val="000000" w:themeColor="text1"/>
          <w:sz w:val="20"/>
        </w:rPr>
        <w:fldChar w:fldCharType="begin"/>
      </w:r>
      <w:r w:rsidR="00F771A7" w:rsidRPr="0098635C">
        <w:rPr>
          <w:color w:val="000000" w:themeColor="text1"/>
          <w:sz w:val="20"/>
        </w:rPr>
        <w:instrText xml:space="preserve"> REF _Ref475442025 \h </w:instrText>
      </w:r>
      <w:r w:rsidR="00F771A7" w:rsidRPr="0098635C">
        <w:rPr>
          <w:color w:val="000000" w:themeColor="text1"/>
          <w:sz w:val="20"/>
        </w:rPr>
      </w:r>
      <w:r w:rsidR="0098635C">
        <w:rPr>
          <w:color w:val="000000" w:themeColor="text1"/>
          <w:sz w:val="20"/>
        </w:rPr>
        <w:instrText xml:space="preserve"> \* MERGEFORMAT </w:instrText>
      </w:r>
      <w:r w:rsidR="00F771A7" w:rsidRPr="0098635C">
        <w:rPr>
          <w:color w:val="000000" w:themeColor="text1"/>
          <w:sz w:val="20"/>
        </w:rPr>
        <w:fldChar w:fldCharType="separate"/>
      </w:r>
      <w:r w:rsidR="005E5161" w:rsidRPr="0098635C">
        <w:rPr>
          <w:b/>
          <w:color w:val="000000" w:themeColor="text1"/>
          <w:sz w:val="20"/>
        </w:rPr>
        <w:t xml:space="preserve">Table </w:t>
      </w:r>
      <w:r w:rsidR="005E5161" w:rsidRPr="0098635C">
        <w:rPr>
          <w:b/>
          <w:noProof/>
          <w:color w:val="000000" w:themeColor="text1"/>
          <w:sz w:val="20"/>
        </w:rPr>
        <w:t>15</w:t>
      </w:r>
      <w:r w:rsidR="00F771A7" w:rsidRPr="0098635C">
        <w:rPr>
          <w:color w:val="000000" w:themeColor="text1"/>
          <w:sz w:val="20"/>
        </w:rPr>
        <w:fldChar w:fldCharType="end"/>
      </w:r>
      <w:r w:rsidRPr="0098635C">
        <w:rPr>
          <w:color w:val="000000" w:themeColor="text1"/>
          <w:sz w:val="20"/>
        </w:rPr>
        <w:t xml:space="preserve">. </w:t>
      </w:r>
    </w:p>
    <w:p w14:paraId="1296CC40" w14:textId="3960F652" w:rsidR="00B8039F" w:rsidRPr="0098635C" w:rsidRDefault="00B8039F" w:rsidP="00586794">
      <w:pPr>
        <w:pStyle w:val="Caption"/>
        <w:ind w:left="0"/>
        <w:jc w:val="center"/>
        <w:rPr>
          <w:b w:val="0"/>
          <w:color w:val="000000" w:themeColor="text1"/>
          <w:sz w:val="20"/>
          <w:lang w:val="en-GB"/>
        </w:rPr>
      </w:pPr>
      <w:bookmarkStart w:id="1192" w:name="_Ref475442025"/>
      <w:r w:rsidRPr="0098635C">
        <w:rPr>
          <w:b w:val="0"/>
          <w:color w:val="000000" w:themeColor="text1"/>
          <w:sz w:val="20"/>
          <w:lang w:val="en-GB"/>
        </w:rPr>
        <w:t xml:space="preserve">Table </w:t>
      </w:r>
      <w:r w:rsidRPr="0098635C">
        <w:rPr>
          <w:b w:val="0"/>
          <w:color w:val="000000" w:themeColor="text1"/>
          <w:sz w:val="20"/>
          <w:lang w:val="en-GB"/>
        </w:rPr>
        <w:fldChar w:fldCharType="begin"/>
      </w:r>
      <w:r w:rsidRPr="0098635C">
        <w:rPr>
          <w:b w:val="0"/>
          <w:color w:val="000000" w:themeColor="text1"/>
          <w:sz w:val="20"/>
          <w:lang w:val="en-GB"/>
        </w:rPr>
        <w:instrText xml:space="preserve"> SEQ Table \* ARABIC </w:instrText>
      </w:r>
      <w:r w:rsidRPr="0098635C">
        <w:rPr>
          <w:b w:val="0"/>
          <w:color w:val="000000" w:themeColor="text1"/>
          <w:sz w:val="20"/>
          <w:lang w:val="en-GB"/>
        </w:rPr>
        <w:fldChar w:fldCharType="separate"/>
      </w:r>
      <w:r w:rsidR="005E5161" w:rsidRPr="0098635C">
        <w:rPr>
          <w:b w:val="0"/>
          <w:noProof/>
          <w:color w:val="000000" w:themeColor="text1"/>
          <w:sz w:val="20"/>
          <w:lang w:val="en-GB"/>
        </w:rPr>
        <w:t>15</w:t>
      </w:r>
      <w:r w:rsidRPr="0098635C">
        <w:rPr>
          <w:b w:val="0"/>
          <w:color w:val="000000" w:themeColor="text1"/>
          <w:sz w:val="20"/>
          <w:lang w:val="en-GB"/>
        </w:rPr>
        <w:fldChar w:fldCharType="end"/>
      </w:r>
      <w:bookmarkEnd w:id="1192"/>
      <w:r w:rsidRPr="0098635C">
        <w:rPr>
          <w:b w:val="0"/>
          <w:color w:val="000000" w:themeColor="text1"/>
          <w:sz w:val="20"/>
          <w:lang w:val="en-GB"/>
        </w:rPr>
        <w:t>: Overview of experimental studies on skin irritation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0"/>
        <w:gridCol w:w="1355"/>
        <w:gridCol w:w="1459"/>
        <w:gridCol w:w="1701"/>
        <w:gridCol w:w="1843"/>
        <w:gridCol w:w="2079"/>
      </w:tblGrid>
      <w:tr w:rsidR="00EC4FED" w:rsidRPr="0098635C" w14:paraId="07AF105C" w14:textId="77777777" w:rsidTr="00197989">
        <w:trPr>
          <w:trHeight w:val="576"/>
          <w:tblHeader/>
        </w:trPr>
        <w:tc>
          <w:tcPr>
            <w:tcW w:w="1310" w:type="dxa"/>
            <w:tcMar>
              <w:top w:w="20" w:type="nil"/>
              <w:left w:w="20" w:type="nil"/>
              <w:bottom w:w="20" w:type="nil"/>
              <w:right w:w="20" w:type="nil"/>
            </w:tcMar>
            <w:vAlign w:val="center"/>
          </w:tcPr>
          <w:p w14:paraId="3E2666BA" w14:textId="77777777" w:rsidR="00EC4FED" w:rsidRPr="0098635C" w:rsidRDefault="00EC4FED" w:rsidP="009B2B28">
            <w:pPr>
              <w:pStyle w:val="NoteLevel211"/>
              <w:jc w:val="left"/>
              <w:rPr>
                <w:b/>
                <w:color w:val="000000" w:themeColor="text1"/>
              </w:rPr>
            </w:pPr>
            <w:bookmarkStart w:id="1193" w:name="_Toc472000011"/>
            <w:bookmarkStart w:id="1194" w:name="_Toc472251374"/>
            <w:r w:rsidRPr="0098635C">
              <w:rPr>
                <w:b/>
                <w:color w:val="000000" w:themeColor="text1"/>
              </w:rPr>
              <w:t>Reference</w:t>
            </w:r>
            <w:bookmarkEnd w:id="1193"/>
            <w:bookmarkEnd w:id="1194"/>
          </w:p>
        </w:tc>
        <w:tc>
          <w:tcPr>
            <w:tcW w:w="1355" w:type="dxa"/>
            <w:tcMar>
              <w:top w:w="20" w:type="nil"/>
              <w:left w:w="20" w:type="nil"/>
              <w:bottom w:w="20" w:type="nil"/>
              <w:right w:w="20" w:type="nil"/>
            </w:tcMar>
            <w:vAlign w:val="center"/>
          </w:tcPr>
          <w:p w14:paraId="623FBF3E" w14:textId="60F04B18" w:rsidR="00EC4FED" w:rsidRPr="0098635C" w:rsidRDefault="00EC4FED" w:rsidP="009B2B28">
            <w:pPr>
              <w:pStyle w:val="NoteLevel211"/>
              <w:jc w:val="left"/>
              <w:rPr>
                <w:b/>
                <w:color w:val="000000" w:themeColor="text1"/>
              </w:rPr>
            </w:pPr>
            <w:bookmarkStart w:id="1195" w:name="_Toc472000012"/>
            <w:bookmarkStart w:id="1196" w:name="_Toc472251375"/>
            <w:r w:rsidRPr="0098635C">
              <w:rPr>
                <w:b/>
                <w:color w:val="000000" w:themeColor="text1"/>
              </w:rPr>
              <w:t>Substance</w:t>
            </w:r>
            <w:bookmarkEnd w:id="1195"/>
            <w:bookmarkEnd w:id="1196"/>
          </w:p>
        </w:tc>
        <w:tc>
          <w:tcPr>
            <w:tcW w:w="1459" w:type="dxa"/>
            <w:tcMar>
              <w:top w:w="20" w:type="nil"/>
              <w:left w:w="20" w:type="nil"/>
              <w:bottom w:w="20" w:type="nil"/>
              <w:right w:w="20" w:type="nil"/>
            </w:tcMar>
            <w:vAlign w:val="center"/>
          </w:tcPr>
          <w:p w14:paraId="429886EA" w14:textId="77777777" w:rsidR="00EC4FED" w:rsidRPr="0098635C" w:rsidRDefault="00EC4FED" w:rsidP="009B2B28">
            <w:pPr>
              <w:pStyle w:val="NoteLevel211"/>
              <w:jc w:val="left"/>
              <w:rPr>
                <w:b/>
                <w:color w:val="000000" w:themeColor="text1"/>
              </w:rPr>
            </w:pPr>
            <w:bookmarkStart w:id="1197" w:name="_Toc472000013"/>
            <w:bookmarkStart w:id="1198" w:name="_Toc472251376"/>
            <w:r w:rsidRPr="0098635C">
              <w:rPr>
                <w:b/>
                <w:color w:val="000000" w:themeColor="text1"/>
              </w:rPr>
              <w:t>Method</w:t>
            </w:r>
            <w:bookmarkEnd w:id="1197"/>
            <w:bookmarkEnd w:id="1198"/>
          </w:p>
        </w:tc>
        <w:tc>
          <w:tcPr>
            <w:tcW w:w="1701" w:type="dxa"/>
            <w:vAlign w:val="center"/>
          </w:tcPr>
          <w:p w14:paraId="707C8D3B" w14:textId="77777777" w:rsidR="00EC4FED" w:rsidRPr="0098635C" w:rsidRDefault="00EC4FED" w:rsidP="009B2B28">
            <w:pPr>
              <w:pStyle w:val="NoteLevel211"/>
              <w:jc w:val="left"/>
              <w:rPr>
                <w:b/>
                <w:color w:val="000000" w:themeColor="text1"/>
              </w:rPr>
            </w:pPr>
            <w:bookmarkStart w:id="1199" w:name="_Toc472000014"/>
            <w:bookmarkStart w:id="1200" w:name="_Toc472251377"/>
            <w:r w:rsidRPr="0098635C">
              <w:rPr>
                <w:b/>
                <w:color w:val="000000" w:themeColor="text1"/>
              </w:rPr>
              <w:t>Test animals</w:t>
            </w:r>
            <w:bookmarkEnd w:id="1199"/>
            <w:bookmarkEnd w:id="1200"/>
          </w:p>
        </w:tc>
        <w:tc>
          <w:tcPr>
            <w:tcW w:w="1843" w:type="dxa"/>
            <w:vAlign w:val="center"/>
          </w:tcPr>
          <w:p w14:paraId="7543028C" w14:textId="77777777" w:rsidR="00EC4FED" w:rsidRPr="0098635C" w:rsidRDefault="00EC4FED" w:rsidP="009B2B28">
            <w:pPr>
              <w:pStyle w:val="NoteLevel211"/>
              <w:rPr>
                <w:b/>
                <w:color w:val="000000" w:themeColor="text1"/>
              </w:rPr>
            </w:pPr>
            <w:bookmarkStart w:id="1201" w:name="_Toc472000015"/>
            <w:bookmarkStart w:id="1202" w:name="_Toc472251378"/>
            <w:r w:rsidRPr="0098635C">
              <w:rPr>
                <w:b/>
                <w:color w:val="000000" w:themeColor="text1"/>
              </w:rPr>
              <w:t>Dose levels</w:t>
            </w:r>
            <w:bookmarkEnd w:id="1201"/>
            <w:bookmarkEnd w:id="1202"/>
          </w:p>
        </w:tc>
        <w:tc>
          <w:tcPr>
            <w:tcW w:w="2079" w:type="dxa"/>
            <w:tcMar>
              <w:top w:w="20" w:type="nil"/>
              <w:left w:w="20" w:type="nil"/>
              <w:bottom w:w="20" w:type="nil"/>
              <w:right w:w="20" w:type="nil"/>
            </w:tcMar>
            <w:vAlign w:val="center"/>
          </w:tcPr>
          <w:p w14:paraId="26C5A747" w14:textId="77777777" w:rsidR="00EC4FED" w:rsidRPr="0098635C" w:rsidRDefault="00EC4FED" w:rsidP="009B2B28">
            <w:pPr>
              <w:pStyle w:val="NoteLevel211"/>
              <w:rPr>
                <w:b/>
                <w:color w:val="000000" w:themeColor="text1"/>
              </w:rPr>
            </w:pPr>
            <w:bookmarkStart w:id="1203" w:name="_Toc472000016"/>
            <w:bookmarkStart w:id="1204" w:name="_Toc472251379"/>
            <w:r w:rsidRPr="0098635C">
              <w:rPr>
                <w:b/>
                <w:color w:val="000000" w:themeColor="text1"/>
              </w:rPr>
              <w:t>Results</w:t>
            </w:r>
            <w:bookmarkEnd w:id="1203"/>
            <w:bookmarkEnd w:id="1204"/>
          </w:p>
        </w:tc>
      </w:tr>
      <w:tr w:rsidR="00EC4FED" w:rsidRPr="0098635C" w14:paraId="763B2BCF" w14:textId="77777777" w:rsidTr="00197989">
        <w:trPr>
          <w:trHeight w:val="2036"/>
        </w:trPr>
        <w:tc>
          <w:tcPr>
            <w:tcW w:w="1310" w:type="dxa"/>
            <w:tcMar>
              <w:top w:w="20" w:type="nil"/>
              <w:left w:w="20" w:type="nil"/>
              <w:bottom w:w="20" w:type="nil"/>
              <w:right w:w="20" w:type="nil"/>
            </w:tcMar>
          </w:tcPr>
          <w:p w14:paraId="62134A6C" w14:textId="77777777" w:rsidR="00EC4FED" w:rsidRPr="0098635C" w:rsidRDefault="00EC4FED" w:rsidP="009B2B28">
            <w:pPr>
              <w:pStyle w:val="NoteLevel211"/>
              <w:jc w:val="left"/>
              <w:rPr>
                <w:color w:val="000000" w:themeColor="text1"/>
              </w:rPr>
            </w:pPr>
            <w:bookmarkStart w:id="1205" w:name="_Toc472000017"/>
            <w:bookmarkStart w:id="1206" w:name="_Toc472251380"/>
            <w:r w:rsidRPr="0098635C">
              <w:rPr>
                <w:color w:val="000000" w:themeColor="text1"/>
              </w:rPr>
              <w:t>Dickhaus and Heisler, 1988a</w:t>
            </w:r>
            <w:bookmarkEnd w:id="1205"/>
            <w:bookmarkEnd w:id="1206"/>
          </w:p>
        </w:tc>
        <w:tc>
          <w:tcPr>
            <w:tcW w:w="1355" w:type="dxa"/>
            <w:tcMar>
              <w:top w:w="20" w:type="nil"/>
              <w:left w:w="20" w:type="nil"/>
              <w:bottom w:w="20" w:type="nil"/>
              <w:right w:w="20" w:type="nil"/>
            </w:tcMar>
          </w:tcPr>
          <w:p w14:paraId="191B097F" w14:textId="5C1CB515" w:rsidR="00EC4FED" w:rsidRPr="0098635C" w:rsidRDefault="00EC4FED" w:rsidP="009B2B28">
            <w:pPr>
              <w:pStyle w:val="NoteLevel211"/>
              <w:jc w:val="left"/>
              <w:rPr>
                <w:color w:val="000000" w:themeColor="text1"/>
              </w:rPr>
            </w:pPr>
            <w:r w:rsidRPr="0098635C">
              <w:rPr>
                <w:color w:val="000000" w:themeColor="text1"/>
              </w:rPr>
              <w:t xml:space="preserve"> </w:t>
            </w:r>
            <w:bookmarkStart w:id="1207" w:name="_Toc472000018"/>
            <w:bookmarkStart w:id="1208" w:name="_Toc472251381"/>
            <w:r w:rsidRPr="0098635C">
              <w:rPr>
                <w:color w:val="000000" w:themeColor="text1"/>
              </w:rPr>
              <w:t>Copper (I) oxide</w:t>
            </w:r>
            <w:bookmarkEnd w:id="1207"/>
            <w:bookmarkEnd w:id="1208"/>
          </w:p>
        </w:tc>
        <w:tc>
          <w:tcPr>
            <w:tcW w:w="1459" w:type="dxa"/>
            <w:tcMar>
              <w:top w:w="20" w:type="nil"/>
              <w:left w:w="20" w:type="nil"/>
              <w:bottom w:w="20" w:type="nil"/>
              <w:right w:w="20" w:type="nil"/>
            </w:tcMar>
          </w:tcPr>
          <w:p w14:paraId="3D481512" w14:textId="77777777" w:rsidR="00EC4FED" w:rsidRPr="0098635C" w:rsidRDefault="00EC4FED" w:rsidP="009B2B28">
            <w:pPr>
              <w:pStyle w:val="NoteLevel211"/>
              <w:jc w:val="left"/>
              <w:rPr>
                <w:color w:val="000000" w:themeColor="text1"/>
              </w:rPr>
            </w:pPr>
            <w:bookmarkStart w:id="1209" w:name="_Toc472000019"/>
            <w:bookmarkStart w:id="1210" w:name="_Toc472251382"/>
            <w:r w:rsidRPr="0098635C">
              <w:rPr>
                <w:color w:val="000000" w:themeColor="text1"/>
              </w:rPr>
              <w:t>OECD 404</w:t>
            </w:r>
            <w:bookmarkEnd w:id="1209"/>
            <w:bookmarkEnd w:id="1210"/>
          </w:p>
        </w:tc>
        <w:tc>
          <w:tcPr>
            <w:tcW w:w="1701" w:type="dxa"/>
          </w:tcPr>
          <w:p w14:paraId="115D1567" w14:textId="77777777" w:rsidR="00EC4FED" w:rsidRPr="0098635C" w:rsidRDefault="00EC4FED" w:rsidP="009B2B28">
            <w:pPr>
              <w:pStyle w:val="NoteLevel211"/>
              <w:jc w:val="left"/>
              <w:rPr>
                <w:color w:val="000000" w:themeColor="text1"/>
              </w:rPr>
            </w:pPr>
            <w:bookmarkStart w:id="1211" w:name="_Toc472000020"/>
            <w:bookmarkStart w:id="1212" w:name="_Toc472251383"/>
            <w:r w:rsidRPr="0098635C">
              <w:rPr>
                <w:color w:val="000000" w:themeColor="text1"/>
              </w:rPr>
              <w:t>Rabbit, New Zeland white</w:t>
            </w:r>
            <w:bookmarkEnd w:id="1211"/>
            <w:bookmarkEnd w:id="1212"/>
            <w:r w:rsidRPr="0098635C">
              <w:rPr>
                <w:color w:val="000000" w:themeColor="text1"/>
              </w:rPr>
              <w:t xml:space="preserve"> </w:t>
            </w:r>
          </w:p>
        </w:tc>
        <w:tc>
          <w:tcPr>
            <w:tcW w:w="1843" w:type="dxa"/>
          </w:tcPr>
          <w:p w14:paraId="3B0ADD4C" w14:textId="77777777" w:rsidR="00EC4FED" w:rsidRPr="0098635C" w:rsidRDefault="00EC4FED" w:rsidP="009B2B28">
            <w:pPr>
              <w:pStyle w:val="NoteLevel211"/>
              <w:rPr>
                <w:color w:val="000000" w:themeColor="text1"/>
              </w:rPr>
            </w:pPr>
            <w:bookmarkStart w:id="1213" w:name="_Toc472000021"/>
            <w:bookmarkStart w:id="1214" w:name="_Toc472251384"/>
            <w:r w:rsidRPr="0098635C">
              <w:rPr>
                <w:color w:val="000000" w:themeColor="text1"/>
              </w:rPr>
              <w:t>0.5 ml of test substance applied. Test 1: substance applied as powder and wetted with water 1:1. Test 2: substance tested as 10% suspension in tylose</w:t>
            </w:r>
            <w:bookmarkEnd w:id="1213"/>
            <w:bookmarkEnd w:id="1214"/>
          </w:p>
        </w:tc>
        <w:tc>
          <w:tcPr>
            <w:tcW w:w="2079" w:type="dxa"/>
            <w:tcMar>
              <w:top w:w="20" w:type="nil"/>
              <w:left w:w="20" w:type="nil"/>
              <w:bottom w:w="20" w:type="nil"/>
              <w:right w:w="20" w:type="nil"/>
            </w:tcMar>
          </w:tcPr>
          <w:p w14:paraId="2AD86E06" w14:textId="77777777" w:rsidR="00EC4FED" w:rsidRPr="0098635C" w:rsidRDefault="00EC4FED" w:rsidP="009B2B28">
            <w:pPr>
              <w:pStyle w:val="NoteLevel211"/>
              <w:rPr>
                <w:color w:val="000000" w:themeColor="text1"/>
              </w:rPr>
            </w:pPr>
            <w:bookmarkStart w:id="1215" w:name="_Toc472000022"/>
            <w:bookmarkStart w:id="1216" w:name="_Toc472251385"/>
            <w:r w:rsidRPr="0098635C">
              <w:rPr>
                <w:color w:val="000000" w:themeColor="text1"/>
              </w:rPr>
              <w:t>Erythema: 0</w:t>
            </w:r>
            <w:bookmarkEnd w:id="1215"/>
            <w:bookmarkEnd w:id="1216"/>
          </w:p>
          <w:p w14:paraId="4C01A59C" w14:textId="77777777" w:rsidR="00EC4FED" w:rsidRPr="0098635C" w:rsidRDefault="00EC4FED" w:rsidP="009B2B28">
            <w:pPr>
              <w:pStyle w:val="NoteLevel211"/>
              <w:rPr>
                <w:color w:val="000000" w:themeColor="text1"/>
              </w:rPr>
            </w:pPr>
            <w:bookmarkStart w:id="1217" w:name="_Toc472000023"/>
            <w:bookmarkStart w:id="1218" w:name="_Toc472251386"/>
            <w:r w:rsidRPr="0098635C">
              <w:rPr>
                <w:color w:val="000000" w:themeColor="text1"/>
              </w:rPr>
              <w:t>Oedema: 0</w:t>
            </w:r>
            <w:bookmarkEnd w:id="1217"/>
            <w:bookmarkEnd w:id="1218"/>
          </w:p>
        </w:tc>
      </w:tr>
      <w:tr w:rsidR="00EC4FED" w:rsidRPr="0098635C" w14:paraId="0E6C1184" w14:textId="77777777" w:rsidTr="00197989">
        <w:tc>
          <w:tcPr>
            <w:tcW w:w="1310" w:type="dxa"/>
            <w:tcMar>
              <w:top w:w="20" w:type="nil"/>
              <w:left w:w="20" w:type="nil"/>
              <w:bottom w:w="20" w:type="nil"/>
              <w:right w:w="20" w:type="nil"/>
            </w:tcMar>
          </w:tcPr>
          <w:p w14:paraId="570C91BE" w14:textId="1C7D0BA9" w:rsidR="00EC4FED" w:rsidRPr="0098635C" w:rsidRDefault="00EC4FED" w:rsidP="009B2B28">
            <w:pPr>
              <w:pStyle w:val="NoteLevel211"/>
              <w:jc w:val="left"/>
              <w:rPr>
                <w:color w:val="000000" w:themeColor="text1"/>
              </w:rPr>
            </w:pPr>
          </w:p>
        </w:tc>
        <w:tc>
          <w:tcPr>
            <w:tcW w:w="1355" w:type="dxa"/>
            <w:tcMar>
              <w:top w:w="20" w:type="nil"/>
              <w:left w:w="20" w:type="nil"/>
              <w:bottom w:w="20" w:type="nil"/>
              <w:right w:w="20" w:type="nil"/>
            </w:tcMar>
          </w:tcPr>
          <w:p w14:paraId="18401572" w14:textId="66808903" w:rsidR="00EC4FED" w:rsidRPr="0098635C" w:rsidRDefault="00EC4FED" w:rsidP="009B2B28">
            <w:pPr>
              <w:pStyle w:val="NoteLevel211"/>
              <w:jc w:val="left"/>
              <w:rPr>
                <w:color w:val="000000" w:themeColor="text1"/>
              </w:rPr>
            </w:pPr>
          </w:p>
        </w:tc>
        <w:tc>
          <w:tcPr>
            <w:tcW w:w="1459" w:type="dxa"/>
            <w:tcMar>
              <w:top w:w="20" w:type="nil"/>
              <w:left w:w="20" w:type="nil"/>
              <w:bottom w:w="20" w:type="nil"/>
              <w:right w:w="20" w:type="nil"/>
            </w:tcMar>
          </w:tcPr>
          <w:p w14:paraId="6D836DB5" w14:textId="4F64B0A5" w:rsidR="00EC4FED" w:rsidRPr="0098635C" w:rsidRDefault="00EC4FED" w:rsidP="009B2B28">
            <w:pPr>
              <w:pStyle w:val="NoteLevel211"/>
              <w:jc w:val="left"/>
              <w:rPr>
                <w:color w:val="000000" w:themeColor="text1"/>
              </w:rPr>
            </w:pPr>
          </w:p>
        </w:tc>
        <w:tc>
          <w:tcPr>
            <w:tcW w:w="1701" w:type="dxa"/>
          </w:tcPr>
          <w:p w14:paraId="6614BAE7" w14:textId="578FFEEF" w:rsidR="00EC4FED" w:rsidRPr="0098635C" w:rsidRDefault="00EC4FED" w:rsidP="009B2B28">
            <w:pPr>
              <w:pStyle w:val="NoteLevel211"/>
              <w:jc w:val="left"/>
              <w:rPr>
                <w:color w:val="000000" w:themeColor="text1"/>
              </w:rPr>
            </w:pPr>
          </w:p>
        </w:tc>
        <w:tc>
          <w:tcPr>
            <w:tcW w:w="1843" w:type="dxa"/>
          </w:tcPr>
          <w:p w14:paraId="44531D63" w14:textId="77777777" w:rsidR="00EC4FED" w:rsidRPr="0098635C" w:rsidRDefault="00EC4FED" w:rsidP="009B2B28">
            <w:pPr>
              <w:pStyle w:val="NoteLevel211"/>
              <w:rPr>
                <w:color w:val="000000" w:themeColor="text1"/>
              </w:rPr>
            </w:pPr>
          </w:p>
        </w:tc>
        <w:tc>
          <w:tcPr>
            <w:tcW w:w="2079" w:type="dxa"/>
            <w:tcMar>
              <w:top w:w="20" w:type="nil"/>
              <w:left w:w="20" w:type="nil"/>
              <w:bottom w:w="20" w:type="nil"/>
              <w:right w:w="20" w:type="nil"/>
            </w:tcMar>
          </w:tcPr>
          <w:p w14:paraId="3709CF8C" w14:textId="18059FA3" w:rsidR="00EC4FED" w:rsidRPr="0098635C" w:rsidRDefault="00EC4FED" w:rsidP="009B2B28">
            <w:pPr>
              <w:pStyle w:val="NoteLevel211"/>
              <w:rPr>
                <w:color w:val="000000" w:themeColor="text1"/>
              </w:rPr>
            </w:pPr>
          </w:p>
        </w:tc>
      </w:tr>
      <w:tr w:rsidR="00EC4FED" w:rsidRPr="0098635C" w14:paraId="7ED7DBFE" w14:textId="77777777" w:rsidTr="00197989">
        <w:tc>
          <w:tcPr>
            <w:tcW w:w="1310" w:type="dxa"/>
            <w:tcMar>
              <w:top w:w="20" w:type="nil"/>
              <w:left w:w="20" w:type="nil"/>
              <w:bottom w:w="20" w:type="nil"/>
              <w:right w:w="20" w:type="nil"/>
            </w:tcMar>
          </w:tcPr>
          <w:p w14:paraId="62E8BEC1" w14:textId="77777777" w:rsidR="00EC4FED" w:rsidRPr="0098635C" w:rsidRDefault="00EC4FED" w:rsidP="009B2B28">
            <w:pPr>
              <w:pStyle w:val="NoteLevel211"/>
              <w:jc w:val="left"/>
              <w:rPr>
                <w:color w:val="000000" w:themeColor="text1"/>
              </w:rPr>
            </w:pPr>
            <w:bookmarkStart w:id="1219" w:name="_Toc472000030"/>
            <w:bookmarkStart w:id="1220" w:name="_Toc472251393"/>
            <w:r w:rsidRPr="0098635C">
              <w:rPr>
                <w:color w:val="000000" w:themeColor="text1"/>
              </w:rPr>
              <w:t>Collier &amp; Wilson  (1984b)</w:t>
            </w:r>
            <w:r w:rsidRPr="0098635C">
              <w:rPr>
                <w:color w:val="000000" w:themeColor="text1"/>
                <w:vertAlign w:val="superscript"/>
              </w:rPr>
              <w:t>#</w:t>
            </w:r>
            <w:bookmarkEnd w:id="1219"/>
            <w:bookmarkEnd w:id="1220"/>
          </w:p>
        </w:tc>
        <w:tc>
          <w:tcPr>
            <w:tcW w:w="1355" w:type="dxa"/>
            <w:tcMar>
              <w:top w:w="20" w:type="nil"/>
              <w:left w:w="20" w:type="nil"/>
              <w:bottom w:w="20" w:type="nil"/>
              <w:right w:w="20" w:type="nil"/>
            </w:tcMar>
          </w:tcPr>
          <w:p w14:paraId="15EAEF19" w14:textId="5003EB5D" w:rsidR="00EC4FED" w:rsidRPr="0098635C" w:rsidRDefault="00EC4FED" w:rsidP="009B2B28">
            <w:pPr>
              <w:pStyle w:val="NoteLevel211"/>
              <w:jc w:val="left"/>
              <w:rPr>
                <w:color w:val="000000" w:themeColor="text1"/>
              </w:rPr>
            </w:pPr>
            <w:bookmarkStart w:id="1221" w:name="_Toc472000031"/>
            <w:bookmarkStart w:id="1222" w:name="_Toc472251394"/>
            <w:r w:rsidRPr="0098635C">
              <w:rPr>
                <w:color w:val="000000" w:themeColor="text1"/>
              </w:rPr>
              <w:t>Copper (I) oxide</w:t>
            </w:r>
            <w:bookmarkEnd w:id="1221"/>
            <w:bookmarkEnd w:id="1222"/>
          </w:p>
        </w:tc>
        <w:tc>
          <w:tcPr>
            <w:tcW w:w="1459" w:type="dxa"/>
            <w:tcMar>
              <w:top w:w="20" w:type="nil"/>
              <w:left w:w="20" w:type="nil"/>
              <w:bottom w:w="20" w:type="nil"/>
              <w:right w:w="20" w:type="nil"/>
            </w:tcMar>
          </w:tcPr>
          <w:p w14:paraId="70E344A8" w14:textId="77777777" w:rsidR="00EC4FED" w:rsidRPr="0098635C" w:rsidRDefault="00EC4FED" w:rsidP="009B2B28">
            <w:pPr>
              <w:pStyle w:val="NoteLevel211"/>
              <w:jc w:val="left"/>
              <w:rPr>
                <w:color w:val="000000" w:themeColor="text1"/>
              </w:rPr>
            </w:pPr>
            <w:bookmarkStart w:id="1223" w:name="_Toc472000032"/>
            <w:bookmarkStart w:id="1224" w:name="_Toc472251395"/>
            <w:r w:rsidRPr="0098635C">
              <w:rPr>
                <w:color w:val="000000" w:themeColor="text1"/>
              </w:rPr>
              <w:t>EU Method B4</w:t>
            </w:r>
            <w:bookmarkEnd w:id="1223"/>
            <w:bookmarkEnd w:id="1224"/>
          </w:p>
        </w:tc>
        <w:tc>
          <w:tcPr>
            <w:tcW w:w="1701" w:type="dxa"/>
          </w:tcPr>
          <w:p w14:paraId="59CDD22C" w14:textId="77777777" w:rsidR="00EC4FED" w:rsidRPr="0098635C" w:rsidRDefault="00EC4FED" w:rsidP="009B2B28">
            <w:pPr>
              <w:pStyle w:val="NoteLevel211"/>
              <w:jc w:val="left"/>
              <w:rPr>
                <w:color w:val="000000" w:themeColor="text1"/>
              </w:rPr>
            </w:pPr>
            <w:bookmarkStart w:id="1225" w:name="_Toc472000033"/>
            <w:bookmarkStart w:id="1226" w:name="_Toc472251396"/>
            <w:r w:rsidRPr="0098635C">
              <w:rPr>
                <w:color w:val="000000" w:themeColor="text1"/>
              </w:rPr>
              <w:t>Rabbit, New Zeland white</w:t>
            </w:r>
            <w:bookmarkEnd w:id="1225"/>
            <w:bookmarkEnd w:id="1226"/>
          </w:p>
        </w:tc>
        <w:tc>
          <w:tcPr>
            <w:tcW w:w="1843" w:type="dxa"/>
          </w:tcPr>
          <w:p w14:paraId="4804C69D" w14:textId="77777777" w:rsidR="00EC4FED" w:rsidRPr="0098635C" w:rsidRDefault="00EC4FED" w:rsidP="009B2B28">
            <w:pPr>
              <w:pStyle w:val="NoteLevel211"/>
              <w:rPr>
                <w:color w:val="000000" w:themeColor="text1"/>
              </w:rPr>
            </w:pPr>
          </w:p>
        </w:tc>
        <w:tc>
          <w:tcPr>
            <w:tcW w:w="2079" w:type="dxa"/>
            <w:tcMar>
              <w:top w:w="20" w:type="nil"/>
              <w:left w:w="20" w:type="nil"/>
              <w:bottom w:w="20" w:type="nil"/>
              <w:right w:w="20" w:type="nil"/>
            </w:tcMar>
          </w:tcPr>
          <w:p w14:paraId="7A444CB3" w14:textId="77777777" w:rsidR="00EC4FED" w:rsidRPr="0098635C" w:rsidRDefault="00EC4FED" w:rsidP="009B2B28">
            <w:pPr>
              <w:pStyle w:val="NoteLevel211"/>
              <w:rPr>
                <w:color w:val="000000" w:themeColor="text1"/>
              </w:rPr>
            </w:pPr>
            <w:bookmarkStart w:id="1227" w:name="_Toc472000034"/>
            <w:bookmarkStart w:id="1228" w:name="_Toc472251397"/>
            <w:r w:rsidRPr="0098635C">
              <w:rPr>
                <w:color w:val="000000" w:themeColor="text1"/>
              </w:rPr>
              <w:t>Erythema: 0</w:t>
            </w:r>
            <w:bookmarkEnd w:id="1227"/>
            <w:bookmarkEnd w:id="1228"/>
          </w:p>
          <w:p w14:paraId="293F5CCD" w14:textId="77777777" w:rsidR="00EC4FED" w:rsidRPr="0098635C" w:rsidRDefault="00EC4FED" w:rsidP="009B2B28">
            <w:pPr>
              <w:pStyle w:val="NoteLevel211"/>
              <w:rPr>
                <w:color w:val="000000" w:themeColor="text1"/>
              </w:rPr>
            </w:pPr>
            <w:bookmarkStart w:id="1229" w:name="_Toc472000035"/>
            <w:bookmarkStart w:id="1230" w:name="_Toc472251398"/>
            <w:r w:rsidRPr="0098635C">
              <w:rPr>
                <w:color w:val="000000" w:themeColor="text1"/>
              </w:rPr>
              <w:t>Oedema: 0</w:t>
            </w:r>
            <w:bookmarkEnd w:id="1229"/>
            <w:bookmarkEnd w:id="1230"/>
          </w:p>
        </w:tc>
      </w:tr>
      <w:tr w:rsidR="00EC4FED" w:rsidRPr="0098635C" w14:paraId="2EC93000" w14:textId="77777777" w:rsidTr="00197989">
        <w:tc>
          <w:tcPr>
            <w:tcW w:w="1310" w:type="dxa"/>
            <w:tcMar>
              <w:top w:w="20" w:type="nil"/>
              <w:left w:w="20" w:type="nil"/>
              <w:bottom w:w="20" w:type="nil"/>
              <w:right w:w="20" w:type="nil"/>
            </w:tcMar>
          </w:tcPr>
          <w:p w14:paraId="3A1F8FF7" w14:textId="77777777" w:rsidR="00EC4FED" w:rsidRPr="0098635C" w:rsidRDefault="00EC4FED" w:rsidP="009B2B28">
            <w:pPr>
              <w:pStyle w:val="NoteLevel211"/>
              <w:jc w:val="left"/>
              <w:rPr>
                <w:color w:val="000000" w:themeColor="text1"/>
              </w:rPr>
            </w:pPr>
            <w:bookmarkStart w:id="1231" w:name="_Toc472000036"/>
            <w:bookmarkStart w:id="1232" w:name="_Toc472251399"/>
            <w:r w:rsidRPr="0098635C">
              <w:rPr>
                <w:color w:val="000000" w:themeColor="text1"/>
              </w:rPr>
              <w:t>Driscoll (1999c)</w:t>
            </w:r>
            <w:r w:rsidRPr="0098635C">
              <w:rPr>
                <w:color w:val="000000" w:themeColor="text1"/>
                <w:vertAlign w:val="superscript"/>
              </w:rPr>
              <w:t>#</w:t>
            </w:r>
            <w:bookmarkEnd w:id="1231"/>
            <w:bookmarkEnd w:id="1232"/>
          </w:p>
        </w:tc>
        <w:tc>
          <w:tcPr>
            <w:tcW w:w="1355" w:type="dxa"/>
            <w:tcMar>
              <w:top w:w="20" w:type="nil"/>
              <w:left w:w="20" w:type="nil"/>
              <w:bottom w:w="20" w:type="nil"/>
              <w:right w:w="20" w:type="nil"/>
            </w:tcMar>
          </w:tcPr>
          <w:p w14:paraId="67E2D7C3" w14:textId="7AAFCF23" w:rsidR="00EC4FED" w:rsidRPr="0098635C" w:rsidRDefault="00EC4FED" w:rsidP="009B2B28">
            <w:pPr>
              <w:pStyle w:val="NoteLevel211"/>
              <w:jc w:val="left"/>
              <w:rPr>
                <w:color w:val="000000" w:themeColor="text1"/>
              </w:rPr>
            </w:pPr>
            <w:bookmarkStart w:id="1233" w:name="_Toc472000037"/>
            <w:bookmarkStart w:id="1234" w:name="_Toc472251400"/>
            <w:r w:rsidRPr="0098635C">
              <w:rPr>
                <w:color w:val="000000" w:themeColor="text1"/>
              </w:rPr>
              <w:t>Copper (I) oxide</w:t>
            </w:r>
            <w:bookmarkEnd w:id="1233"/>
            <w:bookmarkEnd w:id="1234"/>
          </w:p>
        </w:tc>
        <w:tc>
          <w:tcPr>
            <w:tcW w:w="1459" w:type="dxa"/>
            <w:tcMar>
              <w:top w:w="20" w:type="nil"/>
              <w:left w:w="20" w:type="nil"/>
              <w:bottom w:w="20" w:type="nil"/>
              <w:right w:w="20" w:type="nil"/>
            </w:tcMar>
          </w:tcPr>
          <w:p w14:paraId="047C364D" w14:textId="77777777" w:rsidR="00EC4FED" w:rsidRPr="0098635C" w:rsidRDefault="00EC4FED" w:rsidP="009B2B28">
            <w:pPr>
              <w:pStyle w:val="NoteLevel211"/>
              <w:jc w:val="left"/>
              <w:rPr>
                <w:color w:val="000000" w:themeColor="text1"/>
              </w:rPr>
            </w:pPr>
            <w:bookmarkStart w:id="1235" w:name="_Toc472000038"/>
            <w:bookmarkStart w:id="1236" w:name="_Toc472251401"/>
            <w:r w:rsidRPr="0098635C">
              <w:rPr>
                <w:color w:val="000000" w:themeColor="text1"/>
              </w:rPr>
              <w:t>OECD 404</w:t>
            </w:r>
            <w:bookmarkEnd w:id="1235"/>
            <w:bookmarkEnd w:id="1236"/>
          </w:p>
          <w:p w14:paraId="2C3BCF03" w14:textId="77777777" w:rsidR="00EC4FED" w:rsidRPr="0098635C" w:rsidRDefault="00EC4FED" w:rsidP="009B2B28">
            <w:pPr>
              <w:pStyle w:val="NoteLevel211"/>
              <w:jc w:val="left"/>
              <w:rPr>
                <w:color w:val="000000" w:themeColor="text1"/>
              </w:rPr>
            </w:pPr>
            <w:bookmarkStart w:id="1237" w:name="_Toc472000039"/>
            <w:bookmarkStart w:id="1238" w:name="_Toc472251402"/>
            <w:r w:rsidRPr="0098635C">
              <w:rPr>
                <w:color w:val="000000" w:themeColor="text1"/>
              </w:rPr>
              <w:t>EU Method B4</w:t>
            </w:r>
            <w:bookmarkEnd w:id="1237"/>
            <w:bookmarkEnd w:id="1238"/>
          </w:p>
        </w:tc>
        <w:tc>
          <w:tcPr>
            <w:tcW w:w="1701" w:type="dxa"/>
          </w:tcPr>
          <w:p w14:paraId="0D8171EC" w14:textId="77777777" w:rsidR="00EC4FED" w:rsidRPr="0098635C" w:rsidRDefault="00EC4FED" w:rsidP="009B2B28">
            <w:pPr>
              <w:pStyle w:val="NoteLevel211"/>
              <w:jc w:val="left"/>
              <w:rPr>
                <w:color w:val="000000" w:themeColor="text1"/>
              </w:rPr>
            </w:pPr>
            <w:bookmarkStart w:id="1239" w:name="_Toc472000040"/>
            <w:bookmarkStart w:id="1240" w:name="_Toc472251403"/>
            <w:r w:rsidRPr="0098635C">
              <w:rPr>
                <w:color w:val="000000" w:themeColor="text1"/>
              </w:rPr>
              <w:t>Rabbit, New Zeland white</w:t>
            </w:r>
            <w:bookmarkEnd w:id="1239"/>
            <w:bookmarkEnd w:id="1240"/>
          </w:p>
        </w:tc>
        <w:tc>
          <w:tcPr>
            <w:tcW w:w="1843" w:type="dxa"/>
          </w:tcPr>
          <w:p w14:paraId="39FC1751" w14:textId="77777777" w:rsidR="00EC4FED" w:rsidRPr="0098635C" w:rsidRDefault="00EC4FED" w:rsidP="009B2B28">
            <w:pPr>
              <w:pStyle w:val="NoteLevel211"/>
              <w:rPr>
                <w:color w:val="000000" w:themeColor="text1"/>
              </w:rPr>
            </w:pPr>
          </w:p>
        </w:tc>
        <w:tc>
          <w:tcPr>
            <w:tcW w:w="2079" w:type="dxa"/>
            <w:tcMar>
              <w:top w:w="20" w:type="nil"/>
              <w:left w:w="20" w:type="nil"/>
              <w:bottom w:w="20" w:type="nil"/>
              <w:right w:w="20" w:type="nil"/>
            </w:tcMar>
          </w:tcPr>
          <w:p w14:paraId="17175B31" w14:textId="77777777" w:rsidR="00EC4FED" w:rsidRPr="0098635C" w:rsidRDefault="00EC4FED" w:rsidP="009B2B28">
            <w:pPr>
              <w:pStyle w:val="NoteLevel211"/>
              <w:rPr>
                <w:color w:val="000000" w:themeColor="text1"/>
              </w:rPr>
            </w:pPr>
            <w:bookmarkStart w:id="1241" w:name="_Toc472000041"/>
            <w:bookmarkStart w:id="1242" w:name="_Toc472251404"/>
            <w:r w:rsidRPr="0098635C">
              <w:rPr>
                <w:color w:val="000000" w:themeColor="text1"/>
              </w:rPr>
              <w:t>Erythema: 0</w:t>
            </w:r>
            <w:bookmarkEnd w:id="1241"/>
            <w:bookmarkEnd w:id="1242"/>
          </w:p>
          <w:p w14:paraId="76121554" w14:textId="77777777" w:rsidR="00EC4FED" w:rsidRPr="0098635C" w:rsidRDefault="00EC4FED" w:rsidP="009B2B28">
            <w:pPr>
              <w:pStyle w:val="NoteLevel211"/>
              <w:rPr>
                <w:color w:val="000000" w:themeColor="text1"/>
              </w:rPr>
            </w:pPr>
            <w:bookmarkStart w:id="1243" w:name="_Toc472000042"/>
            <w:bookmarkStart w:id="1244" w:name="_Toc472251405"/>
            <w:r w:rsidRPr="0098635C">
              <w:rPr>
                <w:color w:val="000000" w:themeColor="text1"/>
              </w:rPr>
              <w:t>Oedema: 0</w:t>
            </w:r>
            <w:bookmarkEnd w:id="1243"/>
            <w:bookmarkEnd w:id="1244"/>
          </w:p>
        </w:tc>
      </w:tr>
      <w:tr w:rsidR="00EC4FED" w:rsidRPr="0098635C" w14:paraId="129EF727" w14:textId="77777777" w:rsidTr="00197989">
        <w:tc>
          <w:tcPr>
            <w:tcW w:w="1310" w:type="dxa"/>
            <w:tcMar>
              <w:top w:w="20" w:type="nil"/>
              <w:left w:w="20" w:type="nil"/>
              <w:bottom w:w="20" w:type="nil"/>
              <w:right w:w="20" w:type="nil"/>
            </w:tcMar>
          </w:tcPr>
          <w:p w14:paraId="77434CD5" w14:textId="77777777" w:rsidR="00EC4FED" w:rsidRPr="0098635C" w:rsidRDefault="00EC4FED" w:rsidP="009B2B28">
            <w:pPr>
              <w:pStyle w:val="NoteLevel211"/>
              <w:jc w:val="left"/>
              <w:rPr>
                <w:color w:val="000000" w:themeColor="text1"/>
              </w:rPr>
            </w:pPr>
            <w:bookmarkStart w:id="1245" w:name="_Toc472000043"/>
            <w:bookmarkStart w:id="1246" w:name="_Toc472251406"/>
            <w:r w:rsidRPr="0098635C">
              <w:rPr>
                <w:color w:val="000000" w:themeColor="text1"/>
              </w:rPr>
              <w:t>Sanders, 2002c</w:t>
            </w:r>
            <w:bookmarkEnd w:id="1245"/>
            <w:bookmarkEnd w:id="1246"/>
          </w:p>
        </w:tc>
        <w:tc>
          <w:tcPr>
            <w:tcW w:w="1355" w:type="dxa"/>
            <w:tcMar>
              <w:top w:w="20" w:type="nil"/>
              <w:left w:w="20" w:type="nil"/>
              <w:bottom w:w="20" w:type="nil"/>
              <w:right w:w="20" w:type="nil"/>
            </w:tcMar>
          </w:tcPr>
          <w:p w14:paraId="6BE7899A" w14:textId="37934E1A" w:rsidR="00EC4FED" w:rsidRPr="0098635C" w:rsidRDefault="00EC4FED" w:rsidP="009B2B28">
            <w:pPr>
              <w:pStyle w:val="NoteLevel211"/>
              <w:jc w:val="left"/>
              <w:rPr>
                <w:color w:val="000000" w:themeColor="text1"/>
              </w:rPr>
            </w:pPr>
            <w:bookmarkStart w:id="1247" w:name="_Toc472000044"/>
            <w:bookmarkStart w:id="1248" w:name="_Toc472251407"/>
            <w:r w:rsidRPr="0098635C">
              <w:rPr>
                <w:color w:val="000000" w:themeColor="text1"/>
              </w:rPr>
              <w:t>Copper (II) oxide</w:t>
            </w:r>
            <w:bookmarkEnd w:id="1247"/>
            <w:bookmarkEnd w:id="1248"/>
          </w:p>
        </w:tc>
        <w:tc>
          <w:tcPr>
            <w:tcW w:w="1459" w:type="dxa"/>
            <w:tcMar>
              <w:top w:w="20" w:type="nil"/>
              <w:left w:w="20" w:type="nil"/>
              <w:bottom w:w="20" w:type="nil"/>
              <w:right w:w="20" w:type="nil"/>
            </w:tcMar>
          </w:tcPr>
          <w:p w14:paraId="2C96CD76" w14:textId="77777777" w:rsidR="00EC4FED" w:rsidRPr="0098635C" w:rsidRDefault="00EC4FED" w:rsidP="009B2B28">
            <w:pPr>
              <w:pStyle w:val="NoteLevel211"/>
              <w:jc w:val="left"/>
              <w:rPr>
                <w:color w:val="000000" w:themeColor="text1"/>
              </w:rPr>
            </w:pPr>
            <w:bookmarkStart w:id="1249" w:name="_Toc472000045"/>
            <w:bookmarkStart w:id="1250" w:name="_Toc472251408"/>
            <w:r w:rsidRPr="0098635C">
              <w:rPr>
                <w:color w:val="000000" w:themeColor="text1"/>
              </w:rPr>
              <w:t>OECD 404</w:t>
            </w:r>
            <w:bookmarkEnd w:id="1249"/>
            <w:bookmarkEnd w:id="1250"/>
          </w:p>
        </w:tc>
        <w:tc>
          <w:tcPr>
            <w:tcW w:w="1701" w:type="dxa"/>
          </w:tcPr>
          <w:p w14:paraId="3054ECBA" w14:textId="77777777" w:rsidR="00EC4FED" w:rsidRPr="0098635C" w:rsidRDefault="00EC4FED" w:rsidP="009B2B28">
            <w:pPr>
              <w:pStyle w:val="NoteLevel211"/>
              <w:jc w:val="left"/>
              <w:rPr>
                <w:color w:val="000000" w:themeColor="text1"/>
              </w:rPr>
            </w:pPr>
            <w:bookmarkStart w:id="1251" w:name="_Toc472000046"/>
            <w:bookmarkStart w:id="1252" w:name="_Toc472251409"/>
            <w:r w:rsidRPr="0098635C">
              <w:rPr>
                <w:color w:val="000000" w:themeColor="text1"/>
              </w:rPr>
              <w:t>Rabbit, New Zeland white, m</w:t>
            </w:r>
            <w:bookmarkEnd w:id="1251"/>
            <w:bookmarkEnd w:id="1252"/>
          </w:p>
        </w:tc>
        <w:tc>
          <w:tcPr>
            <w:tcW w:w="1843" w:type="dxa"/>
          </w:tcPr>
          <w:p w14:paraId="450A72A3" w14:textId="77777777" w:rsidR="00EC4FED" w:rsidRPr="0098635C" w:rsidRDefault="00EC4FED" w:rsidP="009B2B28">
            <w:pPr>
              <w:pStyle w:val="NoteLevel211"/>
              <w:rPr>
                <w:color w:val="000000" w:themeColor="text1"/>
              </w:rPr>
            </w:pPr>
            <w:bookmarkStart w:id="1253" w:name="_Toc472000047"/>
            <w:bookmarkStart w:id="1254" w:name="_Toc472251410"/>
            <w:r w:rsidRPr="0098635C">
              <w:rPr>
                <w:color w:val="000000" w:themeColor="text1"/>
              </w:rPr>
              <w:t>0.5g test substance moistened with 0.5ml distilled water</w:t>
            </w:r>
            <w:bookmarkEnd w:id="1253"/>
            <w:bookmarkEnd w:id="1254"/>
          </w:p>
        </w:tc>
        <w:tc>
          <w:tcPr>
            <w:tcW w:w="2079" w:type="dxa"/>
            <w:tcMar>
              <w:top w:w="20" w:type="nil"/>
              <w:left w:w="20" w:type="nil"/>
              <w:bottom w:w="20" w:type="nil"/>
              <w:right w:w="20" w:type="nil"/>
            </w:tcMar>
          </w:tcPr>
          <w:p w14:paraId="3CDCB39A" w14:textId="77777777" w:rsidR="00EC4FED" w:rsidRPr="0098635C" w:rsidRDefault="00EC4FED" w:rsidP="009B2B28">
            <w:pPr>
              <w:pStyle w:val="NoteLevel211"/>
              <w:rPr>
                <w:color w:val="000000" w:themeColor="text1"/>
              </w:rPr>
            </w:pPr>
            <w:bookmarkStart w:id="1255" w:name="_Toc472000048"/>
            <w:bookmarkStart w:id="1256" w:name="_Toc472251411"/>
            <w:r w:rsidRPr="0098635C">
              <w:rPr>
                <w:color w:val="000000" w:themeColor="text1"/>
              </w:rPr>
              <w:t>Erythema: 0</w:t>
            </w:r>
            <w:bookmarkEnd w:id="1255"/>
            <w:bookmarkEnd w:id="1256"/>
          </w:p>
          <w:p w14:paraId="79E2F35C" w14:textId="77777777" w:rsidR="00EC4FED" w:rsidRPr="0098635C" w:rsidRDefault="00EC4FED" w:rsidP="009B2B28">
            <w:pPr>
              <w:pStyle w:val="NoteLevel211"/>
              <w:rPr>
                <w:color w:val="000000" w:themeColor="text1"/>
              </w:rPr>
            </w:pPr>
            <w:bookmarkStart w:id="1257" w:name="_Toc472000049"/>
            <w:bookmarkStart w:id="1258" w:name="_Toc472251412"/>
            <w:r w:rsidRPr="0098635C">
              <w:rPr>
                <w:color w:val="000000" w:themeColor="text1"/>
              </w:rPr>
              <w:t>Oedema: 0</w:t>
            </w:r>
            <w:bookmarkEnd w:id="1257"/>
            <w:bookmarkEnd w:id="1258"/>
          </w:p>
        </w:tc>
      </w:tr>
      <w:tr w:rsidR="00EC4FED" w:rsidRPr="0098635C" w14:paraId="44222A94" w14:textId="77777777" w:rsidTr="00197989">
        <w:tc>
          <w:tcPr>
            <w:tcW w:w="1310" w:type="dxa"/>
            <w:tcMar>
              <w:top w:w="20" w:type="nil"/>
              <w:left w:w="20" w:type="nil"/>
              <w:bottom w:w="20" w:type="nil"/>
              <w:right w:w="20" w:type="nil"/>
            </w:tcMar>
          </w:tcPr>
          <w:p w14:paraId="777C47D7" w14:textId="77777777" w:rsidR="00EC4FED" w:rsidRPr="0098635C" w:rsidRDefault="00EC4FED" w:rsidP="009B2B28">
            <w:pPr>
              <w:pStyle w:val="NoteLevel211"/>
              <w:jc w:val="left"/>
              <w:rPr>
                <w:color w:val="000000" w:themeColor="text1"/>
              </w:rPr>
            </w:pPr>
            <w:bookmarkStart w:id="1259" w:name="_Toc472000050"/>
            <w:bookmarkStart w:id="1260" w:name="_Toc472251413"/>
            <w:r w:rsidRPr="0098635C">
              <w:rPr>
                <w:color w:val="000000" w:themeColor="text1"/>
              </w:rPr>
              <w:t>Sanders, 2001c</w:t>
            </w:r>
            <w:bookmarkEnd w:id="1259"/>
            <w:bookmarkEnd w:id="1260"/>
          </w:p>
        </w:tc>
        <w:tc>
          <w:tcPr>
            <w:tcW w:w="1355" w:type="dxa"/>
            <w:tcMar>
              <w:top w:w="20" w:type="nil"/>
              <w:left w:w="20" w:type="nil"/>
              <w:bottom w:w="20" w:type="nil"/>
              <w:right w:w="20" w:type="nil"/>
            </w:tcMar>
          </w:tcPr>
          <w:p w14:paraId="75DCF78B" w14:textId="7EF3E3A6" w:rsidR="00EC4FED" w:rsidRPr="0098635C" w:rsidRDefault="00EC4FED" w:rsidP="009B2B28">
            <w:pPr>
              <w:pStyle w:val="NoteLevel211"/>
              <w:jc w:val="left"/>
              <w:rPr>
                <w:color w:val="000000" w:themeColor="text1"/>
              </w:rPr>
            </w:pPr>
            <w:bookmarkStart w:id="1261" w:name="_Toc472000051"/>
            <w:bookmarkStart w:id="1262" w:name="_Toc472251414"/>
            <w:r w:rsidRPr="0098635C">
              <w:rPr>
                <w:color w:val="000000" w:themeColor="text1"/>
              </w:rPr>
              <w:t>Coated copper flakes</w:t>
            </w:r>
            <w:bookmarkEnd w:id="1261"/>
            <w:bookmarkEnd w:id="1262"/>
          </w:p>
        </w:tc>
        <w:tc>
          <w:tcPr>
            <w:tcW w:w="1459" w:type="dxa"/>
            <w:tcMar>
              <w:top w:w="20" w:type="nil"/>
              <w:left w:w="20" w:type="nil"/>
              <w:bottom w:w="20" w:type="nil"/>
              <w:right w:w="20" w:type="nil"/>
            </w:tcMar>
          </w:tcPr>
          <w:p w14:paraId="391173D3" w14:textId="77777777" w:rsidR="00EC4FED" w:rsidRPr="0098635C" w:rsidRDefault="00EC4FED" w:rsidP="009B2B28">
            <w:pPr>
              <w:pStyle w:val="NoteLevel211"/>
              <w:jc w:val="left"/>
              <w:rPr>
                <w:color w:val="000000" w:themeColor="text1"/>
              </w:rPr>
            </w:pPr>
            <w:bookmarkStart w:id="1263" w:name="_Toc472000052"/>
            <w:bookmarkStart w:id="1264" w:name="_Toc472251415"/>
            <w:r w:rsidRPr="0098635C">
              <w:rPr>
                <w:color w:val="000000" w:themeColor="text1"/>
              </w:rPr>
              <w:t>OECD 404</w:t>
            </w:r>
            <w:bookmarkEnd w:id="1263"/>
            <w:bookmarkEnd w:id="1264"/>
          </w:p>
          <w:p w14:paraId="6D9547E2" w14:textId="77777777" w:rsidR="00EC4FED" w:rsidRPr="0098635C" w:rsidRDefault="00EC4FED" w:rsidP="009B2B28">
            <w:pPr>
              <w:pStyle w:val="NoteLevel211"/>
              <w:jc w:val="left"/>
              <w:rPr>
                <w:color w:val="000000" w:themeColor="text1"/>
              </w:rPr>
            </w:pPr>
            <w:bookmarkStart w:id="1265" w:name="_Toc472000053"/>
            <w:bookmarkStart w:id="1266" w:name="_Toc472251416"/>
            <w:r w:rsidRPr="0098635C">
              <w:rPr>
                <w:color w:val="000000" w:themeColor="text1"/>
              </w:rPr>
              <w:t>EU Method B4</w:t>
            </w:r>
            <w:bookmarkEnd w:id="1265"/>
            <w:bookmarkEnd w:id="1266"/>
          </w:p>
        </w:tc>
        <w:tc>
          <w:tcPr>
            <w:tcW w:w="1701" w:type="dxa"/>
          </w:tcPr>
          <w:p w14:paraId="12F387F7" w14:textId="77777777" w:rsidR="00EC4FED" w:rsidRPr="0098635C" w:rsidRDefault="00EC4FED" w:rsidP="009B2B28">
            <w:pPr>
              <w:pStyle w:val="NoteLevel211"/>
              <w:jc w:val="left"/>
              <w:rPr>
                <w:color w:val="000000" w:themeColor="text1"/>
              </w:rPr>
            </w:pPr>
            <w:bookmarkStart w:id="1267" w:name="_Toc472000054"/>
            <w:bookmarkStart w:id="1268" w:name="_Toc472251417"/>
            <w:r w:rsidRPr="0098635C">
              <w:rPr>
                <w:color w:val="000000" w:themeColor="text1"/>
              </w:rPr>
              <w:t>Rabbit, New Zeland white</w:t>
            </w:r>
            <w:bookmarkEnd w:id="1267"/>
            <w:bookmarkEnd w:id="1268"/>
          </w:p>
        </w:tc>
        <w:tc>
          <w:tcPr>
            <w:tcW w:w="1843" w:type="dxa"/>
          </w:tcPr>
          <w:p w14:paraId="23B3C0B6" w14:textId="77777777" w:rsidR="00EC4FED" w:rsidRPr="0098635C" w:rsidRDefault="00EC4FED" w:rsidP="009B2B28">
            <w:pPr>
              <w:pStyle w:val="NoteLevel211"/>
              <w:rPr>
                <w:color w:val="000000" w:themeColor="text1"/>
              </w:rPr>
            </w:pPr>
          </w:p>
        </w:tc>
        <w:tc>
          <w:tcPr>
            <w:tcW w:w="2079" w:type="dxa"/>
            <w:tcMar>
              <w:top w:w="20" w:type="nil"/>
              <w:left w:w="20" w:type="nil"/>
              <w:bottom w:w="20" w:type="nil"/>
              <w:right w:w="20" w:type="nil"/>
            </w:tcMar>
          </w:tcPr>
          <w:p w14:paraId="41F4BF83" w14:textId="77777777" w:rsidR="00EC4FED" w:rsidRPr="0098635C" w:rsidRDefault="00EC4FED" w:rsidP="009B2B28">
            <w:pPr>
              <w:pStyle w:val="NoteLevel211"/>
              <w:rPr>
                <w:color w:val="000000" w:themeColor="text1"/>
              </w:rPr>
            </w:pPr>
            <w:bookmarkStart w:id="1269" w:name="_Toc472000055"/>
            <w:bookmarkStart w:id="1270" w:name="_Toc472251418"/>
            <w:r w:rsidRPr="0098635C">
              <w:rPr>
                <w:color w:val="000000" w:themeColor="text1"/>
              </w:rPr>
              <w:t>Erythema: 0</w:t>
            </w:r>
            <w:bookmarkEnd w:id="1269"/>
            <w:bookmarkEnd w:id="1270"/>
          </w:p>
          <w:p w14:paraId="6563E3AC" w14:textId="77777777" w:rsidR="00EC4FED" w:rsidRPr="0098635C" w:rsidRDefault="00EC4FED" w:rsidP="009B2B28">
            <w:pPr>
              <w:pStyle w:val="NoteLevel211"/>
              <w:rPr>
                <w:color w:val="000000" w:themeColor="text1"/>
              </w:rPr>
            </w:pPr>
            <w:bookmarkStart w:id="1271" w:name="_Toc472000056"/>
            <w:bookmarkStart w:id="1272" w:name="_Toc472251419"/>
            <w:r w:rsidRPr="0098635C">
              <w:rPr>
                <w:color w:val="000000" w:themeColor="text1"/>
              </w:rPr>
              <w:t>Oedema: 0</w:t>
            </w:r>
            <w:bookmarkEnd w:id="1271"/>
            <w:bookmarkEnd w:id="1272"/>
          </w:p>
        </w:tc>
      </w:tr>
      <w:tr w:rsidR="00EC4FED" w:rsidRPr="0098635C" w14:paraId="11D280CA" w14:textId="77777777" w:rsidTr="00197989">
        <w:tc>
          <w:tcPr>
            <w:tcW w:w="1310" w:type="dxa"/>
            <w:tcMar>
              <w:top w:w="20" w:type="nil"/>
              <w:left w:w="20" w:type="nil"/>
              <w:bottom w:w="20" w:type="nil"/>
              <w:right w:w="20" w:type="nil"/>
            </w:tcMar>
          </w:tcPr>
          <w:p w14:paraId="6DC85B96" w14:textId="77777777" w:rsidR="00EC4FED" w:rsidRPr="0098635C" w:rsidRDefault="00EC4FED" w:rsidP="009B2B28">
            <w:pPr>
              <w:pStyle w:val="NoteLevel211"/>
              <w:jc w:val="left"/>
              <w:rPr>
                <w:color w:val="000000" w:themeColor="text1"/>
              </w:rPr>
            </w:pPr>
            <w:bookmarkStart w:id="1273" w:name="_Toc472000057"/>
            <w:bookmarkStart w:id="1274" w:name="_Toc472251420"/>
            <w:r w:rsidRPr="0098635C">
              <w:rPr>
                <w:color w:val="000000" w:themeColor="text1"/>
              </w:rPr>
              <w:lastRenderedPageBreak/>
              <w:t>Mercier, 1994c</w:t>
            </w:r>
            <w:bookmarkEnd w:id="1273"/>
            <w:bookmarkEnd w:id="1274"/>
          </w:p>
        </w:tc>
        <w:tc>
          <w:tcPr>
            <w:tcW w:w="1355" w:type="dxa"/>
            <w:tcMar>
              <w:top w:w="20" w:type="nil"/>
              <w:left w:w="20" w:type="nil"/>
              <w:bottom w:w="20" w:type="nil"/>
              <w:right w:w="20" w:type="nil"/>
            </w:tcMar>
          </w:tcPr>
          <w:p w14:paraId="3A6E71F1" w14:textId="2FEF0B48" w:rsidR="00EC4FED" w:rsidRPr="0098635C" w:rsidRDefault="00EC4FED" w:rsidP="009B2B28">
            <w:pPr>
              <w:pStyle w:val="NoteLevel211"/>
              <w:jc w:val="left"/>
              <w:rPr>
                <w:color w:val="000000" w:themeColor="text1"/>
              </w:rPr>
            </w:pPr>
            <w:bookmarkStart w:id="1275" w:name="_Toc472000058"/>
            <w:bookmarkStart w:id="1276" w:name="_Toc472251421"/>
            <w:r w:rsidRPr="0098635C">
              <w:rPr>
                <w:color w:val="000000" w:themeColor="text1"/>
              </w:rPr>
              <w:t>Copper sulphate pentahydrate</w:t>
            </w:r>
            <w:bookmarkEnd w:id="1275"/>
            <w:bookmarkEnd w:id="1276"/>
          </w:p>
        </w:tc>
        <w:tc>
          <w:tcPr>
            <w:tcW w:w="1459" w:type="dxa"/>
            <w:tcMar>
              <w:top w:w="20" w:type="nil"/>
              <w:left w:w="20" w:type="nil"/>
              <w:bottom w:w="20" w:type="nil"/>
              <w:right w:w="20" w:type="nil"/>
            </w:tcMar>
          </w:tcPr>
          <w:p w14:paraId="3A160C7C" w14:textId="77777777" w:rsidR="00EC4FED" w:rsidRPr="0098635C" w:rsidRDefault="00EC4FED" w:rsidP="009B2B28">
            <w:pPr>
              <w:pStyle w:val="NoteLevel211"/>
              <w:jc w:val="left"/>
              <w:rPr>
                <w:color w:val="000000" w:themeColor="text1"/>
              </w:rPr>
            </w:pPr>
            <w:bookmarkStart w:id="1277" w:name="_Toc472000059"/>
            <w:bookmarkStart w:id="1278" w:name="_Toc472251422"/>
            <w:r w:rsidRPr="0098635C">
              <w:rPr>
                <w:color w:val="000000" w:themeColor="text1"/>
              </w:rPr>
              <w:t>OECD 404</w:t>
            </w:r>
            <w:bookmarkEnd w:id="1277"/>
            <w:bookmarkEnd w:id="1278"/>
          </w:p>
          <w:p w14:paraId="7AE9B408" w14:textId="77777777" w:rsidR="00EC4FED" w:rsidRPr="0098635C" w:rsidRDefault="00EC4FED" w:rsidP="009B2B28">
            <w:pPr>
              <w:pStyle w:val="NoteLevel211"/>
              <w:jc w:val="left"/>
              <w:rPr>
                <w:color w:val="000000" w:themeColor="text1"/>
              </w:rPr>
            </w:pPr>
            <w:bookmarkStart w:id="1279" w:name="_Toc472000060"/>
            <w:bookmarkStart w:id="1280" w:name="_Toc472251423"/>
            <w:r w:rsidRPr="0098635C">
              <w:rPr>
                <w:color w:val="000000" w:themeColor="text1"/>
              </w:rPr>
              <w:t>EU Method B4</w:t>
            </w:r>
            <w:bookmarkEnd w:id="1279"/>
            <w:bookmarkEnd w:id="1280"/>
          </w:p>
        </w:tc>
        <w:tc>
          <w:tcPr>
            <w:tcW w:w="1701" w:type="dxa"/>
          </w:tcPr>
          <w:p w14:paraId="72AC7F94" w14:textId="77777777" w:rsidR="00EC4FED" w:rsidRPr="0098635C" w:rsidRDefault="00EC4FED" w:rsidP="009B2B28">
            <w:pPr>
              <w:pStyle w:val="NoteLevel211"/>
              <w:jc w:val="left"/>
              <w:rPr>
                <w:color w:val="000000" w:themeColor="text1"/>
              </w:rPr>
            </w:pPr>
            <w:bookmarkStart w:id="1281" w:name="_Toc472000061"/>
            <w:bookmarkStart w:id="1282" w:name="_Toc472251424"/>
            <w:r w:rsidRPr="0098635C">
              <w:rPr>
                <w:color w:val="000000" w:themeColor="text1"/>
              </w:rPr>
              <w:t>Rabbit, New Zeland white, m</w:t>
            </w:r>
            <w:bookmarkEnd w:id="1281"/>
            <w:bookmarkEnd w:id="1282"/>
          </w:p>
        </w:tc>
        <w:tc>
          <w:tcPr>
            <w:tcW w:w="1843" w:type="dxa"/>
          </w:tcPr>
          <w:p w14:paraId="5EA74787" w14:textId="77777777" w:rsidR="00EC4FED" w:rsidRPr="0098635C" w:rsidRDefault="00EC4FED" w:rsidP="009B2B28">
            <w:pPr>
              <w:pStyle w:val="NoteLevel211"/>
              <w:rPr>
                <w:color w:val="000000" w:themeColor="text1"/>
              </w:rPr>
            </w:pPr>
            <w:bookmarkStart w:id="1283" w:name="_Toc472000062"/>
            <w:bookmarkStart w:id="1284" w:name="_Toc472251425"/>
            <w:r w:rsidRPr="0098635C">
              <w:rPr>
                <w:color w:val="000000" w:themeColor="text1"/>
              </w:rPr>
              <w:t>0.5g with 0.07g of purified water</w:t>
            </w:r>
            <w:bookmarkEnd w:id="1283"/>
            <w:bookmarkEnd w:id="1284"/>
          </w:p>
        </w:tc>
        <w:tc>
          <w:tcPr>
            <w:tcW w:w="2079" w:type="dxa"/>
            <w:tcMar>
              <w:top w:w="20" w:type="nil"/>
              <w:left w:w="20" w:type="nil"/>
              <w:bottom w:w="20" w:type="nil"/>
              <w:right w:w="20" w:type="nil"/>
            </w:tcMar>
          </w:tcPr>
          <w:p w14:paraId="526FDC23" w14:textId="77777777" w:rsidR="00EC4FED" w:rsidRPr="0098635C" w:rsidRDefault="00EC4FED" w:rsidP="009B2B28">
            <w:pPr>
              <w:pStyle w:val="NoteLevel211"/>
              <w:rPr>
                <w:color w:val="000000" w:themeColor="text1"/>
              </w:rPr>
            </w:pPr>
            <w:bookmarkStart w:id="1285" w:name="_Toc472000063"/>
            <w:bookmarkStart w:id="1286" w:name="_Toc472251426"/>
            <w:r w:rsidRPr="0098635C">
              <w:rPr>
                <w:color w:val="000000" w:themeColor="text1"/>
              </w:rPr>
              <w:t>Erythema: 0.22</w:t>
            </w:r>
            <w:bookmarkEnd w:id="1285"/>
            <w:bookmarkEnd w:id="1286"/>
          </w:p>
          <w:p w14:paraId="285CF93E" w14:textId="77777777" w:rsidR="00EC4FED" w:rsidRPr="0098635C" w:rsidRDefault="00EC4FED" w:rsidP="009B2B28">
            <w:pPr>
              <w:pStyle w:val="NoteLevel211"/>
              <w:rPr>
                <w:color w:val="000000" w:themeColor="text1"/>
              </w:rPr>
            </w:pPr>
            <w:bookmarkStart w:id="1287" w:name="_Toc472000064"/>
            <w:bookmarkStart w:id="1288" w:name="_Toc472251427"/>
            <w:r w:rsidRPr="0098635C">
              <w:rPr>
                <w:color w:val="000000" w:themeColor="text1"/>
              </w:rPr>
              <w:t>Oedema: 0</w:t>
            </w:r>
            <w:bookmarkEnd w:id="1287"/>
            <w:bookmarkEnd w:id="1288"/>
          </w:p>
        </w:tc>
      </w:tr>
      <w:tr w:rsidR="00EC4FED" w:rsidRPr="0098635C" w14:paraId="53BC138E" w14:textId="77777777" w:rsidTr="00197989">
        <w:tc>
          <w:tcPr>
            <w:tcW w:w="1310" w:type="dxa"/>
            <w:tcMar>
              <w:top w:w="20" w:type="nil"/>
              <w:left w:w="20" w:type="nil"/>
              <w:bottom w:w="20" w:type="nil"/>
              <w:right w:w="20" w:type="nil"/>
            </w:tcMar>
          </w:tcPr>
          <w:p w14:paraId="53A380E0" w14:textId="77777777" w:rsidR="00EC4FED" w:rsidRPr="0098635C" w:rsidRDefault="00EC4FED" w:rsidP="009B2B28">
            <w:pPr>
              <w:pStyle w:val="NoteLevel211"/>
              <w:jc w:val="left"/>
              <w:rPr>
                <w:color w:val="000000" w:themeColor="text1"/>
              </w:rPr>
            </w:pPr>
            <w:bookmarkStart w:id="1289" w:name="_Toc472000065"/>
            <w:bookmarkStart w:id="1290" w:name="_Toc472251428"/>
            <w:r w:rsidRPr="0098635C">
              <w:rPr>
                <w:color w:val="000000" w:themeColor="text1"/>
              </w:rPr>
              <w:t>Dickhaus and Heisler, 1987</w:t>
            </w:r>
            <w:bookmarkEnd w:id="1289"/>
            <w:bookmarkEnd w:id="1290"/>
          </w:p>
        </w:tc>
        <w:tc>
          <w:tcPr>
            <w:tcW w:w="1355" w:type="dxa"/>
            <w:tcMar>
              <w:top w:w="20" w:type="nil"/>
              <w:left w:w="20" w:type="nil"/>
              <w:bottom w:w="20" w:type="nil"/>
              <w:right w:w="20" w:type="nil"/>
            </w:tcMar>
          </w:tcPr>
          <w:p w14:paraId="4293F3C2" w14:textId="4FF9664E" w:rsidR="00EC4FED" w:rsidRPr="0098635C" w:rsidRDefault="00236182" w:rsidP="009B2B28">
            <w:pPr>
              <w:pStyle w:val="NoteLevel211"/>
              <w:jc w:val="left"/>
              <w:rPr>
                <w:color w:val="000000" w:themeColor="text1"/>
              </w:rPr>
            </w:pPr>
            <w:r w:rsidRPr="0098635C">
              <w:rPr>
                <w:color w:val="000000" w:themeColor="text1"/>
              </w:rPr>
              <w:t>Dicopper chloride trihydroxide</w:t>
            </w:r>
          </w:p>
          <w:p w14:paraId="40FB1FE9" w14:textId="77777777" w:rsidR="00EC4FED" w:rsidRPr="0098635C" w:rsidRDefault="00EC4FED" w:rsidP="009B2B28">
            <w:pPr>
              <w:pStyle w:val="NoteLevel211"/>
              <w:jc w:val="left"/>
              <w:rPr>
                <w:color w:val="000000" w:themeColor="text1"/>
              </w:rPr>
            </w:pPr>
          </w:p>
        </w:tc>
        <w:tc>
          <w:tcPr>
            <w:tcW w:w="1459" w:type="dxa"/>
            <w:tcMar>
              <w:top w:w="20" w:type="nil"/>
              <w:left w:w="20" w:type="nil"/>
              <w:bottom w:w="20" w:type="nil"/>
              <w:right w:w="20" w:type="nil"/>
            </w:tcMar>
          </w:tcPr>
          <w:p w14:paraId="7D03FD97" w14:textId="77777777" w:rsidR="00EC4FED" w:rsidRPr="0098635C" w:rsidRDefault="00EC4FED" w:rsidP="009B2B28">
            <w:pPr>
              <w:pStyle w:val="NoteLevel211"/>
              <w:jc w:val="left"/>
              <w:rPr>
                <w:color w:val="000000" w:themeColor="text1"/>
              </w:rPr>
            </w:pPr>
            <w:bookmarkStart w:id="1291" w:name="_Toc472000067"/>
            <w:bookmarkStart w:id="1292" w:name="_Toc472251430"/>
            <w:r w:rsidRPr="0098635C">
              <w:rPr>
                <w:color w:val="000000" w:themeColor="text1"/>
              </w:rPr>
              <w:t>OECD 404</w:t>
            </w:r>
            <w:bookmarkEnd w:id="1291"/>
            <w:bookmarkEnd w:id="1292"/>
          </w:p>
        </w:tc>
        <w:tc>
          <w:tcPr>
            <w:tcW w:w="1701" w:type="dxa"/>
          </w:tcPr>
          <w:p w14:paraId="1D2482CB" w14:textId="77777777" w:rsidR="00EC4FED" w:rsidRPr="0098635C" w:rsidRDefault="00EC4FED" w:rsidP="009B2B28">
            <w:pPr>
              <w:pStyle w:val="NoteLevel211"/>
              <w:jc w:val="left"/>
              <w:rPr>
                <w:color w:val="000000" w:themeColor="text1"/>
              </w:rPr>
            </w:pPr>
            <w:bookmarkStart w:id="1293" w:name="_Toc472000068"/>
            <w:bookmarkStart w:id="1294" w:name="_Toc472251431"/>
            <w:r w:rsidRPr="0098635C">
              <w:rPr>
                <w:color w:val="000000" w:themeColor="text1"/>
              </w:rPr>
              <w:t>Rabbit, New Zealand White</w:t>
            </w:r>
            <w:bookmarkEnd w:id="1293"/>
            <w:bookmarkEnd w:id="1294"/>
          </w:p>
        </w:tc>
        <w:tc>
          <w:tcPr>
            <w:tcW w:w="1843" w:type="dxa"/>
          </w:tcPr>
          <w:p w14:paraId="1CBA5FD1" w14:textId="77777777" w:rsidR="00EC4FED" w:rsidRPr="0098635C" w:rsidRDefault="00EC4FED" w:rsidP="009B2B28">
            <w:pPr>
              <w:pStyle w:val="NoteLevel211"/>
              <w:rPr>
                <w:color w:val="000000" w:themeColor="text1"/>
              </w:rPr>
            </w:pPr>
          </w:p>
        </w:tc>
        <w:tc>
          <w:tcPr>
            <w:tcW w:w="2079" w:type="dxa"/>
            <w:tcMar>
              <w:top w:w="20" w:type="nil"/>
              <w:left w:w="20" w:type="nil"/>
              <w:bottom w:w="20" w:type="nil"/>
              <w:right w:w="20" w:type="nil"/>
            </w:tcMar>
          </w:tcPr>
          <w:p w14:paraId="34FAA600" w14:textId="77777777" w:rsidR="00EC4FED" w:rsidRPr="0098635C" w:rsidRDefault="00EC4FED" w:rsidP="009B2B28">
            <w:pPr>
              <w:pStyle w:val="NoteLevel211"/>
              <w:rPr>
                <w:color w:val="000000" w:themeColor="text1"/>
              </w:rPr>
            </w:pPr>
            <w:bookmarkStart w:id="1295" w:name="_Toc472000069"/>
            <w:bookmarkStart w:id="1296" w:name="_Toc472251432"/>
            <w:r w:rsidRPr="0098635C">
              <w:rPr>
                <w:color w:val="000000" w:themeColor="text1"/>
              </w:rPr>
              <w:t>Erythema: 0 (mean)</w:t>
            </w:r>
            <w:bookmarkEnd w:id="1295"/>
            <w:bookmarkEnd w:id="1296"/>
          </w:p>
          <w:p w14:paraId="0EBF1602" w14:textId="77777777" w:rsidR="00EC4FED" w:rsidRPr="0098635C" w:rsidRDefault="00EC4FED" w:rsidP="009B2B28">
            <w:pPr>
              <w:pStyle w:val="NoteLevel211"/>
              <w:rPr>
                <w:color w:val="000000" w:themeColor="text1"/>
              </w:rPr>
            </w:pPr>
            <w:bookmarkStart w:id="1297" w:name="_Toc472000070"/>
            <w:bookmarkStart w:id="1298" w:name="_Toc472251433"/>
            <w:r w:rsidRPr="0098635C">
              <w:rPr>
                <w:color w:val="000000" w:themeColor="text1"/>
              </w:rPr>
              <w:t>Oedema: 0 (mean)</w:t>
            </w:r>
            <w:bookmarkEnd w:id="1297"/>
            <w:bookmarkEnd w:id="1298"/>
          </w:p>
        </w:tc>
      </w:tr>
      <w:tr w:rsidR="00EC4FED" w:rsidRPr="0098635C" w14:paraId="4F574031" w14:textId="77777777" w:rsidTr="00197989">
        <w:tc>
          <w:tcPr>
            <w:tcW w:w="1310" w:type="dxa"/>
            <w:tcMar>
              <w:top w:w="20" w:type="nil"/>
              <w:left w:w="20" w:type="nil"/>
              <w:bottom w:w="20" w:type="nil"/>
              <w:right w:w="20" w:type="nil"/>
            </w:tcMar>
          </w:tcPr>
          <w:p w14:paraId="71471DB4" w14:textId="77777777" w:rsidR="00EC4FED" w:rsidRPr="0098635C" w:rsidRDefault="00EC4FED" w:rsidP="009B2B28">
            <w:pPr>
              <w:pStyle w:val="NoteLevel211"/>
              <w:jc w:val="left"/>
              <w:rPr>
                <w:color w:val="000000" w:themeColor="text1"/>
              </w:rPr>
            </w:pPr>
            <w:bookmarkStart w:id="1299" w:name="_Toc472000071"/>
            <w:bookmarkStart w:id="1300" w:name="_Toc472251434"/>
            <w:r w:rsidRPr="0098635C">
              <w:rPr>
                <w:color w:val="000000" w:themeColor="text1"/>
              </w:rPr>
              <w:t>Forster and Luperi, 1987c</w:t>
            </w:r>
            <w:bookmarkEnd w:id="1299"/>
            <w:bookmarkEnd w:id="1300"/>
          </w:p>
        </w:tc>
        <w:tc>
          <w:tcPr>
            <w:tcW w:w="1355" w:type="dxa"/>
            <w:tcMar>
              <w:top w:w="20" w:type="nil"/>
              <w:left w:w="20" w:type="nil"/>
              <w:bottom w:w="20" w:type="nil"/>
              <w:right w:w="20" w:type="nil"/>
            </w:tcMar>
          </w:tcPr>
          <w:p w14:paraId="504B6A8A" w14:textId="0E5BE367" w:rsidR="00EC4FED" w:rsidRPr="0098635C" w:rsidRDefault="00236182" w:rsidP="009B2B28">
            <w:pPr>
              <w:pStyle w:val="NoteLevel211"/>
              <w:jc w:val="left"/>
              <w:rPr>
                <w:color w:val="000000" w:themeColor="text1"/>
              </w:rPr>
            </w:pPr>
            <w:r w:rsidRPr="0098635C">
              <w:rPr>
                <w:color w:val="000000" w:themeColor="text1"/>
              </w:rPr>
              <w:t>Dicopper chloride trihydroxide</w:t>
            </w:r>
          </w:p>
          <w:p w14:paraId="78431C8D" w14:textId="77777777" w:rsidR="00EC4FED" w:rsidRPr="0098635C" w:rsidRDefault="00EC4FED" w:rsidP="009B2B28">
            <w:pPr>
              <w:pStyle w:val="NoteLevel211"/>
              <w:jc w:val="left"/>
              <w:rPr>
                <w:color w:val="000000" w:themeColor="text1"/>
              </w:rPr>
            </w:pPr>
          </w:p>
        </w:tc>
        <w:tc>
          <w:tcPr>
            <w:tcW w:w="1459" w:type="dxa"/>
            <w:tcMar>
              <w:top w:w="20" w:type="nil"/>
              <w:left w:w="20" w:type="nil"/>
              <w:bottom w:w="20" w:type="nil"/>
              <w:right w:w="20" w:type="nil"/>
            </w:tcMar>
          </w:tcPr>
          <w:p w14:paraId="41AB470E" w14:textId="77777777" w:rsidR="00EC4FED" w:rsidRPr="0098635C" w:rsidRDefault="00EC4FED" w:rsidP="009B2B28">
            <w:pPr>
              <w:pStyle w:val="NoteLevel211"/>
              <w:jc w:val="left"/>
              <w:rPr>
                <w:color w:val="000000" w:themeColor="text1"/>
                <w:lang w:val="nl-BE"/>
              </w:rPr>
            </w:pPr>
            <w:bookmarkStart w:id="1301" w:name="_Toc472000073"/>
            <w:bookmarkStart w:id="1302" w:name="_Toc472251436"/>
            <w:r w:rsidRPr="0098635C">
              <w:rPr>
                <w:color w:val="000000" w:themeColor="text1"/>
                <w:lang w:val="nl-BE"/>
              </w:rPr>
              <w:t>OECD 404</w:t>
            </w:r>
            <w:bookmarkEnd w:id="1301"/>
            <w:bookmarkEnd w:id="1302"/>
          </w:p>
          <w:p w14:paraId="62D1CB69" w14:textId="77777777" w:rsidR="00EC4FED" w:rsidRPr="0098635C" w:rsidRDefault="00EC4FED" w:rsidP="009B2B28">
            <w:pPr>
              <w:pStyle w:val="NoteLevel211"/>
              <w:jc w:val="left"/>
              <w:rPr>
                <w:color w:val="000000" w:themeColor="text1"/>
                <w:lang w:val="nl-BE"/>
              </w:rPr>
            </w:pPr>
            <w:bookmarkStart w:id="1303" w:name="_Toc472000074"/>
            <w:bookmarkStart w:id="1304" w:name="_Toc472251437"/>
            <w:r w:rsidRPr="0098635C">
              <w:rPr>
                <w:color w:val="000000" w:themeColor="text1"/>
                <w:lang w:val="nl-BE"/>
              </w:rPr>
              <w:t>EU Method B4</w:t>
            </w:r>
            <w:bookmarkEnd w:id="1303"/>
            <w:bookmarkEnd w:id="1304"/>
          </w:p>
          <w:p w14:paraId="2575677E" w14:textId="77777777" w:rsidR="00EC4FED" w:rsidRPr="0098635C" w:rsidRDefault="00EC4FED" w:rsidP="009B2B28">
            <w:pPr>
              <w:pStyle w:val="NoteLevel211"/>
              <w:jc w:val="left"/>
              <w:rPr>
                <w:color w:val="000000" w:themeColor="text1"/>
                <w:lang w:val="nl-BE"/>
              </w:rPr>
            </w:pPr>
            <w:bookmarkStart w:id="1305" w:name="_Toc472000075"/>
            <w:bookmarkStart w:id="1306" w:name="_Toc472251438"/>
            <w:r w:rsidRPr="0098635C">
              <w:rPr>
                <w:color w:val="000000" w:themeColor="text1"/>
                <w:lang w:val="nl-BE"/>
              </w:rPr>
              <w:t>EPA OTS 798.4470</w:t>
            </w:r>
            <w:bookmarkEnd w:id="1305"/>
            <w:bookmarkEnd w:id="1306"/>
          </w:p>
        </w:tc>
        <w:tc>
          <w:tcPr>
            <w:tcW w:w="1701" w:type="dxa"/>
          </w:tcPr>
          <w:p w14:paraId="24101947" w14:textId="77777777" w:rsidR="00EC4FED" w:rsidRPr="0098635C" w:rsidRDefault="00EC4FED" w:rsidP="009B2B28">
            <w:pPr>
              <w:pStyle w:val="NoteLevel211"/>
              <w:jc w:val="left"/>
              <w:rPr>
                <w:color w:val="000000" w:themeColor="text1"/>
              </w:rPr>
            </w:pPr>
            <w:bookmarkStart w:id="1307" w:name="_Toc472000076"/>
            <w:bookmarkStart w:id="1308" w:name="_Toc472251439"/>
            <w:r w:rsidRPr="0098635C">
              <w:rPr>
                <w:color w:val="000000" w:themeColor="text1"/>
              </w:rPr>
              <w:t>Rabbit, New Zealand White</w:t>
            </w:r>
            <w:bookmarkEnd w:id="1307"/>
            <w:bookmarkEnd w:id="1308"/>
          </w:p>
        </w:tc>
        <w:tc>
          <w:tcPr>
            <w:tcW w:w="1843" w:type="dxa"/>
          </w:tcPr>
          <w:p w14:paraId="18A67DBB" w14:textId="77777777" w:rsidR="00EC4FED" w:rsidRPr="0098635C" w:rsidRDefault="00EC4FED" w:rsidP="009B2B28">
            <w:pPr>
              <w:pStyle w:val="NoteLevel211"/>
              <w:rPr>
                <w:color w:val="000000" w:themeColor="text1"/>
              </w:rPr>
            </w:pPr>
          </w:p>
        </w:tc>
        <w:tc>
          <w:tcPr>
            <w:tcW w:w="2079" w:type="dxa"/>
            <w:tcMar>
              <w:top w:w="20" w:type="nil"/>
              <w:left w:w="20" w:type="nil"/>
              <w:bottom w:w="20" w:type="nil"/>
              <w:right w:w="20" w:type="nil"/>
            </w:tcMar>
          </w:tcPr>
          <w:p w14:paraId="4632269B" w14:textId="77777777" w:rsidR="00EC4FED" w:rsidRPr="0098635C" w:rsidRDefault="00EC4FED" w:rsidP="009B2B28">
            <w:pPr>
              <w:pStyle w:val="NoteLevel211"/>
              <w:rPr>
                <w:color w:val="000000" w:themeColor="text1"/>
              </w:rPr>
            </w:pPr>
            <w:bookmarkStart w:id="1309" w:name="_Toc472000077"/>
            <w:bookmarkStart w:id="1310" w:name="_Toc472251440"/>
            <w:r w:rsidRPr="0098635C">
              <w:rPr>
                <w:color w:val="000000" w:themeColor="text1"/>
              </w:rPr>
              <w:t>Erythema: 0.1 (mean)</w:t>
            </w:r>
            <w:bookmarkEnd w:id="1309"/>
            <w:bookmarkEnd w:id="1310"/>
          </w:p>
          <w:p w14:paraId="0CFFE094" w14:textId="77777777" w:rsidR="00EC4FED" w:rsidRPr="0098635C" w:rsidRDefault="00EC4FED" w:rsidP="009B2B28">
            <w:pPr>
              <w:pStyle w:val="NoteLevel211"/>
              <w:rPr>
                <w:color w:val="000000" w:themeColor="text1"/>
              </w:rPr>
            </w:pPr>
            <w:bookmarkStart w:id="1311" w:name="_Toc472000078"/>
            <w:bookmarkStart w:id="1312" w:name="_Toc472251441"/>
            <w:r w:rsidRPr="0098635C">
              <w:rPr>
                <w:color w:val="000000" w:themeColor="text1"/>
              </w:rPr>
              <w:t>Oedema: 0 (mean)</w:t>
            </w:r>
            <w:bookmarkEnd w:id="1311"/>
            <w:bookmarkEnd w:id="1312"/>
          </w:p>
        </w:tc>
      </w:tr>
      <w:tr w:rsidR="00EC4FED" w:rsidRPr="0098635C" w14:paraId="245C092F" w14:textId="77777777" w:rsidTr="00197989">
        <w:tc>
          <w:tcPr>
            <w:tcW w:w="1310" w:type="dxa"/>
            <w:tcMar>
              <w:top w:w="20" w:type="nil"/>
              <w:left w:w="20" w:type="nil"/>
              <w:bottom w:w="20" w:type="nil"/>
              <w:right w:w="20" w:type="nil"/>
            </w:tcMar>
          </w:tcPr>
          <w:p w14:paraId="61467B01" w14:textId="77777777" w:rsidR="00EC4FED" w:rsidRPr="0098635C" w:rsidRDefault="00EC4FED" w:rsidP="009B2B28">
            <w:pPr>
              <w:pStyle w:val="NoteLevel211"/>
              <w:jc w:val="left"/>
              <w:rPr>
                <w:color w:val="000000" w:themeColor="text1"/>
              </w:rPr>
            </w:pPr>
            <w:bookmarkStart w:id="1313" w:name="_Toc472000079"/>
            <w:bookmarkStart w:id="1314" w:name="_Toc472251442"/>
            <w:r w:rsidRPr="0098635C">
              <w:rPr>
                <w:color w:val="000000" w:themeColor="text1"/>
              </w:rPr>
              <w:t>Jackson, 1994c</w:t>
            </w:r>
            <w:bookmarkEnd w:id="1313"/>
            <w:bookmarkEnd w:id="1314"/>
          </w:p>
        </w:tc>
        <w:tc>
          <w:tcPr>
            <w:tcW w:w="1355" w:type="dxa"/>
            <w:tcMar>
              <w:top w:w="20" w:type="nil"/>
              <w:left w:w="20" w:type="nil"/>
              <w:bottom w:w="20" w:type="nil"/>
              <w:right w:w="20" w:type="nil"/>
            </w:tcMar>
          </w:tcPr>
          <w:p w14:paraId="67E9C215" w14:textId="04B6D728" w:rsidR="00EC4FED" w:rsidRPr="0098635C" w:rsidRDefault="00236182" w:rsidP="009B2B28">
            <w:pPr>
              <w:pStyle w:val="NoteLevel211"/>
              <w:jc w:val="left"/>
              <w:rPr>
                <w:color w:val="000000" w:themeColor="text1"/>
              </w:rPr>
            </w:pPr>
            <w:r w:rsidRPr="0098635C">
              <w:rPr>
                <w:color w:val="000000" w:themeColor="text1"/>
              </w:rPr>
              <w:t>Dicopper chloride trihydroxide</w:t>
            </w:r>
          </w:p>
          <w:p w14:paraId="0DC78EFA" w14:textId="77777777" w:rsidR="00EC4FED" w:rsidRPr="0098635C" w:rsidRDefault="00EC4FED" w:rsidP="009B2B28">
            <w:pPr>
              <w:pStyle w:val="NoteLevel211"/>
              <w:jc w:val="left"/>
              <w:rPr>
                <w:color w:val="000000" w:themeColor="text1"/>
              </w:rPr>
            </w:pPr>
          </w:p>
        </w:tc>
        <w:tc>
          <w:tcPr>
            <w:tcW w:w="1459" w:type="dxa"/>
            <w:tcMar>
              <w:top w:w="20" w:type="nil"/>
              <w:left w:w="20" w:type="nil"/>
              <w:bottom w:w="20" w:type="nil"/>
              <w:right w:w="20" w:type="nil"/>
            </w:tcMar>
          </w:tcPr>
          <w:p w14:paraId="3BC4BD26" w14:textId="77777777" w:rsidR="00EC4FED" w:rsidRPr="0098635C" w:rsidRDefault="00EC4FED" w:rsidP="009B2B28">
            <w:pPr>
              <w:pStyle w:val="NoteLevel211"/>
              <w:jc w:val="left"/>
              <w:rPr>
                <w:color w:val="000000" w:themeColor="text1"/>
              </w:rPr>
            </w:pPr>
            <w:bookmarkStart w:id="1315" w:name="_Toc472000081"/>
            <w:bookmarkStart w:id="1316" w:name="_Toc472251444"/>
            <w:r w:rsidRPr="0098635C">
              <w:rPr>
                <w:color w:val="000000" w:themeColor="text1"/>
              </w:rPr>
              <w:t>OECD 404</w:t>
            </w:r>
            <w:bookmarkEnd w:id="1315"/>
            <w:bookmarkEnd w:id="1316"/>
          </w:p>
          <w:p w14:paraId="05993AB7" w14:textId="77777777" w:rsidR="00EC4FED" w:rsidRPr="0098635C" w:rsidRDefault="00EC4FED" w:rsidP="009B2B28">
            <w:pPr>
              <w:pStyle w:val="NoteLevel211"/>
              <w:jc w:val="left"/>
              <w:rPr>
                <w:color w:val="000000" w:themeColor="text1"/>
              </w:rPr>
            </w:pPr>
            <w:bookmarkStart w:id="1317" w:name="_Toc472000082"/>
            <w:bookmarkStart w:id="1318" w:name="_Toc472251445"/>
            <w:r w:rsidRPr="0098635C">
              <w:rPr>
                <w:color w:val="000000" w:themeColor="text1"/>
              </w:rPr>
              <w:t>EU Method B4</w:t>
            </w:r>
            <w:bookmarkEnd w:id="1317"/>
            <w:bookmarkEnd w:id="1318"/>
          </w:p>
        </w:tc>
        <w:tc>
          <w:tcPr>
            <w:tcW w:w="1701" w:type="dxa"/>
          </w:tcPr>
          <w:p w14:paraId="626E4523" w14:textId="77777777" w:rsidR="00EC4FED" w:rsidRPr="0098635C" w:rsidRDefault="00EC4FED" w:rsidP="009B2B28">
            <w:pPr>
              <w:pStyle w:val="NoteLevel211"/>
              <w:jc w:val="left"/>
              <w:rPr>
                <w:color w:val="000000" w:themeColor="text1"/>
              </w:rPr>
            </w:pPr>
            <w:bookmarkStart w:id="1319" w:name="_Toc472000083"/>
            <w:bookmarkStart w:id="1320" w:name="_Toc472251446"/>
            <w:r w:rsidRPr="0098635C">
              <w:rPr>
                <w:color w:val="000000" w:themeColor="text1"/>
              </w:rPr>
              <w:t>Rabbit, New Zealand White</w:t>
            </w:r>
            <w:bookmarkEnd w:id="1319"/>
            <w:bookmarkEnd w:id="1320"/>
          </w:p>
        </w:tc>
        <w:tc>
          <w:tcPr>
            <w:tcW w:w="1843" w:type="dxa"/>
          </w:tcPr>
          <w:p w14:paraId="3B5F3492" w14:textId="77777777" w:rsidR="00EC4FED" w:rsidRPr="0098635C" w:rsidRDefault="00EC4FED" w:rsidP="009B2B28">
            <w:pPr>
              <w:pStyle w:val="NoteLevel211"/>
              <w:rPr>
                <w:color w:val="000000" w:themeColor="text1"/>
              </w:rPr>
            </w:pPr>
          </w:p>
        </w:tc>
        <w:tc>
          <w:tcPr>
            <w:tcW w:w="2079" w:type="dxa"/>
            <w:tcMar>
              <w:top w:w="20" w:type="nil"/>
              <w:left w:w="20" w:type="nil"/>
              <w:bottom w:w="20" w:type="nil"/>
              <w:right w:w="20" w:type="nil"/>
            </w:tcMar>
          </w:tcPr>
          <w:p w14:paraId="4E708B3F" w14:textId="77777777" w:rsidR="00EC4FED" w:rsidRPr="0098635C" w:rsidRDefault="00EC4FED" w:rsidP="009B2B28">
            <w:pPr>
              <w:pStyle w:val="NoteLevel211"/>
              <w:rPr>
                <w:color w:val="000000" w:themeColor="text1"/>
              </w:rPr>
            </w:pPr>
            <w:bookmarkStart w:id="1321" w:name="_Toc472000084"/>
            <w:bookmarkStart w:id="1322" w:name="_Toc472251447"/>
            <w:r w:rsidRPr="0098635C">
              <w:rPr>
                <w:color w:val="000000" w:themeColor="text1"/>
              </w:rPr>
              <w:t>Erythema: 0 (mean)</w:t>
            </w:r>
            <w:bookmarkEnd w:id="1321"/>
            <w:bookmarkEnd w:id="1322"/>
          </w:p>
          <w:p w14:paraId="4E9AD14B" w14:textId="77777777" w:rsidR="00EC4FED" w:rsidRPr="0098635C" w:rsidRDefault="00EC4FED" w:rsidP="009B2B28">
            <w:pPr>
              <w:pStyle w:val="NoteLevel211"/>
              <w:rPr>
                <w:color w:val="000000" w:themeColor="text1"/>
              </w:rPr>
            </w:pPr>
            <w:bookmarkStart w:id="1323" w:name="_Toc472000085"/>
            <w:bookmarkStart w:id="1324" w:name="_Toc472251448"/>
            <w:r w:rsidRPr="0098635C">
              <w:rPr>
                <w:color w:val="000000" w:themeColor="text1"/>
              </w:rPr>
              <w:t>Oedema: 0 (mean)</w:t>
            </w:r>
            <w:bookmarkEnd w:id="1323"/>
            <w:bookmarkEnd w:id="1324"/>
          </w:p>
        </w:tc>
      </w:tr>
      <w:tr w:rsidR="00EC4FED" w:rsidRPr="0098635C" w14:paraId="366273E7" w14:textId="77777777" w:rsidTr="00197989">
        <w:tc>
          <w:tcPr>
            <w:tcW w:w="1310" w:type="dxa"/>
            <w:tcMar>
              <w:top w:w="20" w:type="nil"/>
              <w:left w:w="20" w:type="nil"/>
              <w:bottom w:w="20" w:type="nil"/>
              <w:right w:w="20" w:type="nil"/>
            </w:tcMar>
          </w:tcPr>
          <w:p w14:paraId="79D908DE" w14:textId="77777777" w:rsidR="00EC4FED" w:rsidRPr="0098635C" w:rsidRDefault="00EC4FED" w:rsidP="009B2B28">
            <w:pPr>
              <w:pStyle w:val="NoteLevel211"/>
              <w:jc w:val="left"/>
              <w:rPr>
                <w:color w:val="000000" w:themeColor="text1"/>
              </w:rPr>
            </w:pPr>
            <w:bookmarkStart w:id="1325" w:name="_Toc472000086"/>
            <w:bookmarkStart w:id="1326" w:name="_Toc472251449"/>
            <w:r w:rsidRPr="0098635C">
              <w:rPr>
                <w:color w:val="000000" w:themeColor="text1"/>
              </w:rPr>
              <w:t>Deenihan, 1987</w:t>
            </w:r>
            <w:bookmarkEnd w:id="1325"/>
            <w:bookmarkEnd w:id="1326"/>
          </w:p>
        </w:tc>
        <w:tc>
          <w:tcPr>
            <w:tcW w:w="1355" w:type="dxa"/>
            <w:tcMar>
              <w:top w:w="20" w:type="nil"/>
              <w:left w:w="20" w:type="nil"/>
              <w:bottom w:w="20" w:type="nil"/>
              <w:right w:w="20" w:type="nil"/>
            </w:tcMar>
          </w:tcPr>
          <w:p w14:paraId="163620B7" w14:textId="3C7A1D2B" w:rsidR="00EC4FED" w:rsidRPr="0098635C" w:rsidRDefault="00236182" w:rsidP="009B2B28">
            <w:pPr>
              <w:pStyle w:val="NoteLevel211"/>
              <w:jc w:val="left"/>
              <w:rPr>
                <w:color w:val="000000" w:themeColor="text1"/>
              </w:rPr>
            </w:pPr>
            <w:r w:rsidRPr="0098635C">
              <w:rPr>
                <w:color w:val="000000" w:themeColor="text1"/>
              </w:rPr>
              <w:t>Dicopper chloride trihydroxide</w:t>
            </w:r>
          </w:p>
          <w:p w14:paraId="3591CDE5" w14:textId="77777777" w:rsidR="00EC4FED" w:rsidRPr="0098635C" w:rsidRDefault="00EC4FED" w:rsidP="009B2B28">
            <w:pPr>
              <w:pStyle w:val="NoteLevel211"/>
              <w:jc w:val="left"/>
              <w:rPr>
                <w:color w:val="000000" w:themeColor="text1"/>
              </w:rPr>
            </w:pPr>
          </w:p>
        </w:tc>
        <w:tc>
          <w:tcPr>
            <w:tcW w:w="1459" w:type="dxa"/>
            <w:tcMar>
              <w:top w:w="20" w:type="nil"/>
              <w:left w:w="20" w:type="nil"/>
              <w:bottom w:w="20" w:type="nil"/>
              <w:right w:w="20" w:type="nil"/>
            </w:tcMar>
          </w:tcPr>
          <w:p w14:paraId="3594939F" w14:textId="77777777" w:rsidR="00EC4FED" w:rsidRPr="0098635C" w:rsidRDefault="00EC4FED" w:rsidP="009B2B28">
            <w:pPr>
              <w:pStyle w:val="NoteLevel211"/>
              <w:jc w:val="left"/>
              <w:rPr>
                <w:color w:val="000000" w:themeColor="text1"/>
              </w:rPr>
            </w:pPr>
            <w:bookmarkStart w:id="1327" w:name="_Toc472000088"/>
            <w:bookmarkStart w:id="1328" w:name="_Toc472251451"/>
            <w:r w:rsidRPr="0098635C">
              <w:rPr>
                <w:color w:val="000000" w:themeColor="text1"/>
              </w:rPr>
              <w:t>EPA OPP 81-5</w:t>
            </w:r>
            <w:bookmarkEnd w:id="1327"/>
            <w:bookmarkEnd w:id="1328"/>
          </w:p>
        </w:tc>
        <w:tc>
          <w:tcPr>
            <w:tcW w:w="1701" w:type="dxa"/>
          </w:tcPr>
          <w:p w14:paraId="1FF014E7" w14:textId="77777777" w:rsidR="00EC4FED" w:rsidRPr="0098635C" w:rsidRDefault="00EC4FED" w:rsidP="009B2B28">
            <w:pPr>
              <w:pStyle w:val="NoteLevel211"/>
              <w:jc w:val="left"/>
              <w:rPr>
                <w:color w:val="000000" w:themeColor="text1"/>
              </w:rPr>
            </w:pPr>
            <w:bookmarkStart w:id="1329" w:name="_Toc472000089"/>
            <w:bookmarkStart w:id="1330" w:name="_Toc472251452"/>
            <w:r w:rsidRPr="0098635C">
              <w:rPr>
                <w:color w:val="000000" w:themeColor="text1"/>
              </w:rPr>
              <w:t>Rabbit, New Zealand White</w:t>
            </w:r>
            <w:bookmarkEnd w:id="1329"/>
            <w:bookmarkEnd w:id="1330"/>
          </w:p>
        </w:tc>
        <w:tc>
          <w:tcPr>
            <w:tcW w:w="1843" w:type="dxa"/>
          </w:tcPr>
          <w:p w14:paraId="585EA919" w14:textId="77777777" w:rsidR="00EC4FED" w:rsidRPr="0098635C" w:rsidRDefault="00EC4FED" w:rsidP="009B2B28">
            <w:pPr>
              <w:pStyle w:val="NoteLevel211"/>
              <w:rPr>
                <w:color w:val="000000" w:themeColor="text1"/>
              </w:rPr>
            </w:pPr>
          </w:p>
        </w:tc>
        <w:tc>
          <w:tcPr>
            <w:tcW w:w="2079" w:type="dxa"/>
            <w:tcMar>
              <w:top w:w="20" w:type="nil"/>
              <w:left w:w="20" w:type="nil"/>
              <w:bottom w:w="20" w:type="nil"/>
              <w:right w:w="20" w:type="nil"/>
            </w:tcMar>
          </w:tcPr>
          <w:p w14:paraId="428A135A" w14:textId="77777777" w:rsidR="00EC4FED" w:rsidRPr="0098635C" w:rsidRDefault="00EC4FED" w:rsidP="009B2B28">
            <w:pPr>
              <w:pStyle w:val="NoteLevel211"/>
              <w:rPr>
                <w:color w:val="000000" w:themeColor="text1"/>
              </w:rPr>
            </w:pPr>
            <w:bookmarkStart w:id="1331" w:name="_Toc472000090"/>
            <w:bookmarkStart w:id="1332" w:name="_Toc472251453"/>
            <w:r w:rsidRPr="0098635C">
              <w:rPr>
                <w:color w:val="000000" w:themeColor="text1"/>
              </w:rPr>
              <w:t>Erythema: 0 (mean)</w:t>
            </w:r>
            <w:bookmarkEnd w:id="1331"/>
            <w:bookmarkEnd w:id="1332"/>
          </w:p>
          <w:p w14:paraId="4615336B" w14:textId="77777777" w:rsidR="00EC4FED" w:rsidRPr="0098635C" w:rsidRDefault="00EC4FED" w:rsidP="009B2B28">
            <w:pPr>
              <w:pStyle w:val="NoteLevel211"/>
              <w:rPr>
                <w:color w:val="000000" w:themeColor="text1"/>
              </w:rPr>
            </w:pPr>
            <w:bookmarkStart w:id="1333" w:name="_Toc472000091"/>
            <w:bookmarkStart w:id="1334" w:name="_Toc472251454"/>
            <w:r w:rsidRPr="0098635C">
              <w:rPr>
                <w:color w:val="000000" w:themeColor="text1"/>
              </w:rPr>
              <w:t>Oedema: 0 (mean)</w:t>
            </w:r>
            <w:bookmarkEnd w:id="1333"/>
            <w:bookmarkEnd w:id="1334"/>
          </w:p>
        </w:tc>
      </w:tr>
      <w:tr w:rsidR="00EC4FED" w:rsidRPr="0098635C" w14:paraId="02D10458" w14:textId="77777777" w:rsidTr="00197989">
        <w:tc>
          <w:tcPr>
            <w:tcW w:w="1310" w:type="dxa"/>
            <w:tcMar>
              <w:top w:w="20" w:type="nil"/>
              <w:left w:w="20" w:type="nil"/>
              <w:bottom w:w="20" w:type="nil"/>
              <w:right w:w="20" w:type="nil"/>
            </w:tcMar>
          </w:tcPr>
          <w:p w14:paraId="7A052B33" w14:textId="77777777" w:rsidR="00EC4FED" w:rsidRPr="0098635C" w:rsidRDefault="00EC4FED" w:rsidP="009B2B28">
            <w:pPr>
              <w:pStyle w:val="NoteLevel211"/>
              <w:jc w:val="left"/>
              <w:rPr>
                <w:color w:val="000000" w:themeColor="text1"/>
              </w:rPr>
            </w:pPr>
            <w:bookmarkStart w:id="1335" w:name="_Toc472000092"/>
            <w:bookmarkStart w:id="1336" w:name="_Toc472251455"/>
            <w:r w:rsidRPr="0098635C">
              <w:rPr>
                <w:color w:val="000000" w:themeColor="text1"/>
              </w:rPr>
              <w:t>Sterner and Chibanguza</w:t>
            </w:r>
            <w:bookmarkEnd w:id="1335"/>
            <w:bookmarkEnd w:id="1336"/>
          </w:p>
          <w:p w14:paraId="33572BE7" w14:textId="77777777" w:rsidR="00EC4FED" w:rsidRPr="0098635C" w:rsidRDefault="00EC4FED" w:rsidP="009B2B28">
            <w:pPr>
              <w:pStyle w:val="NoteLevel211"/>
              <w:jc w:val="left"/>
              <w:rPr>
                <w:color w:val="000000" w:themeColor="text1"/>
              </w:rPr>
            </w:pPr>
            <w:bookmarkStart w:id="1337" w:name="_Toc472000093"/>
            <w:bookmarkStart w:id="1338" w:name="_Toc472251456"/>
            <w:r w:rsidRPr="0098635C">
              <w:rPr>
                <w:color w:val="000000" w:themeColor="text1"/>
              </w:rPr>
              <w:t>1988c</w:t>
            </w:r>
            <w:bookmarkEnd w:id="1337"/>
            <w:bookmarkEnd w:id="1338"/>
          </w:p>
        </w:tc>
        <w:tc>
          <w:tcPr>
            <w:tcW w:w="1355" w:type="dxa"/>
            <w:tcMar>
              <w:top w:w="20" w:type="nil"/>
              <w:left w:w="20" w:type="nil"/>
              <w:bottom w:w="20" w:type="nil"/>
              <w:right w:w="20" w:type="nil"/>
            </w:tcMar>
          </w:tcPr>
          <w:p w14:paraId="323C17CF" w14:textId="56069D6C" w:rsidR="00EC4FED" w:rsidRPr="0098635C" w:rsidRDefault="00236182" w:rsidP="009B2B28">
            <w:pPr>
              <w:pStyle w:val="NoteLevel211"/>
              <w:jc w:val="left"/>
              <w:rPr>
                <w:color w:val="000000" w:themeColor="text1"/>
              </w:rPr>
            </w:pPr>
            <w:r w:rsidRPr="0098635C">
              <w:rPr>
                <w:color w:val="000000" w:themeColor="text1"/>
              </w:rPr>
              <w:t>Dicopper chloride trihydroxide</w:t>
            </w:r>
          </w:p>
          <w:p w14:paraId="466A2056" w14:textId="77777777" w:rsidR="00EC4FED" w:rsidRPr="0098635C" w:rsidRDefault="00EC4FED" w:rsidP="009B2B28">
            <w:pPr>
              <w:pStyle w:val="NoteLevel211"/>
              <w:jc w:val="left"/>
              <w:rPr>
                <w:color w:val="000000" w:themeColor="text1"/>
              </w:rPr>
            </w:pPr>
          </w:p>
        </w:tc>
        <w:tc>
          <w:tcPr>
            <w:tcW w:w="1459" w:type="dxa"/>
            <w:tcMar>
              <w:top w:w="20" w:type="nil"/>
              <w:left w:w="20" w:type="nil"/>
              <w:bottom w:w="20" w:type="nil"/>
              <w:right w:w="20" w:type="nil"/>
            </w:tcMar>
          </w:tcPr>
          <w:p w14:paraId="70676FA9" w14:textId="77777777" w:rsidR="00EC4FED" w:rsidRPr="0098635C" w:rsidRDefault="00EC4FED" w:rsidP="009B2B28">
            <w:pPr>
              <w:pStyle w:val="NoteLevel211"/>
              <w:jc w:val="left"/>
              <w:rPr>
                <w:color w:val="000000" w:themeColor="text1"/>
              </w:rPr>
            </w:pPr>
            <w:bookmarkStart w:id="1339" w:name="_Toc472000095"/>
            <w:bookmarkStart w:id="1340" w:name="_Toc472251458"/>
            <w:r w:rsidRPr="0098635C">
              <w:rPr>
                <w:color w:val="000000" w:themeColor="text1"/>
              </w:rPr>
              <w:t>EU Method B4</w:t>
            </w:r>
            <w:bookmarkEnd w:id="1339"/>
            <w:bookmarkEnd w:id="1340"/>
          </w:p>
          <w:p w14:paraId="4B33A03A" w14:textId="77777777" w:rsidR="00EC4FED" w:rsidRPr="0098635C" w:rsidRDefault="00EC4FED" w:rsidP="009B2B28">
            <w:pPr>
              <w:pStyle w:val="NoteLevel211"/>
              <w:jc w:val="left"/>
              <w:rPr>
                <w:color w:val="000000" w:themeColor="text1"/>
              </w:rPr>
            </w:pPr>
            <w:bookmarkStart w:id="1341" w:name="_Toc472000096"/>
            <w:bookmarkStart w:id="1342" w:name="_Toc472251459"/>
            <w:r w:rsidRPr="0098635C">
              <w:rPr>
                <w:color w:val="000000" w:themeColor="text1"/>
              </w:rPr>
              <w:t>OECD 404</w:t>
            </w:r>
            <w:bookmarkEnd w:id="1341"/>
            <w:bookmarkEnd w:id="1342"/>
          </w:p>
        </w:tc>
        <w:tc>
          <w:tcPr>
            <w:tcW w:w="1701" w:type="dxa"/>
          </w:tcPr>
          <w:p w14:paraId="1696B866" w14:textId="77777777" w:rsidR="00EC4FED" w:rsidRPr="0098635C" w:rsidRDefault="00EC4FED" w:rsidP="009B2B28">
            <w:pPr>
              <w:pStyle w:val="NoteLevel211"/>
              <w:jc w:val="left"/>
              <w:rPr>
                <w:color w:val="000000" w:themeColor="text1"/>
              </w:rPr>
            </w:pPr>
            <w:bookmarkStart w:id="1343" w:name="_Toc472000097"/>
            <w:bookmarkStart w:id="1344" w:name="_Toc472251460"/>
            <w:r w:rsidRPr="0098635C">
              <w:rPr>
                <w:color w:val="000000" w:themeColor="text1"/>
              </w:rPr>
              <w:t>Rabbit, New Zealand White</w:t>
            </w:r>
            <w:bookmarkEnd w:id="1343"/>
            <w:bookmarkEnd w:id="1344"/>
          </w:p>
        </w:tc>
        <w:tc>
          <w:tcPr>
            <w:tcW w:w="1843" w:type="dxa"/>
          </w:tcPr>
          <w:p w14:paraId="2F2CE70A" w14:textId="77777777" w:rsidR="00EC4FED" w:rsidRPr="0098635C" w:rsidRDefault="00EC4FED" w:rsidP="009B2B28">
            <w:pPr>
              <w:pStyle w:val="NoteLevel211"/>
              <w:rPr>
                <w:color w:val="000000" w:themeColor="text1"/>
              </w:rPr>
            </w:pPr>
          </w:p>
        </w:tc>
        <w:tc>
          <w:tcPr>
            <w:tcW w:w="2079" w:type="dxa"/>
            <w:tcMar>
              <w:top w:w="20" w:type="nil"/>
              <w:left w:w="20" w:type="nil"/>
              <w:bottom w:w="20" w:type="nil"/>
              <w:right w:w="20" w:type="nil"/>
            </w:tcMar>
          </w:tcPr>
          <w:p w14:paraId="68A83722" w14:textId="77777777" w:rsidR="00EC4FED" w:rsidRPr="0098635C" w:rsidRDefault="00EC4FED" w:rsidP="009B2B28">
            <w:pPr>
              <w:pStyle w:val="NoteLevel211"/>
              <w:rPr>
                <w:color w:val="000000" w:themeColor="text1"/>
              </w:rPr>
            </w:pPr>
            <w:bookmarkStart w:id="1345" w:name="_Toc472000098"/>
            <w:bookmarkStart w:id="1346" w:name="_Toc472251461"/>
            <w:r w:rsidRPr="0098635C">
              <w:rPr>
                <w:color w:val="000000" w:themeColor="text1"/>
              </w:rPr>
              <w:t>Erythema: 0 (mean)</w:t>
            </w:r>
            <w:bookmarkEnd w:id="1345"/>
            <w:bookmarkEnd w:id="1346"/>
          </w:p>
          <w:p w14:paraId="1857FEA7" w14:textId="77777777" w:rsidR="00EC4FED" w:rsidRPr="0098635C" w:rsidRDefault="00EC4FED" w:rsidP="009B2B28">
            <w:pPr>
              <w:pStyle w:val="NoteLevel211"/>
              <w:rPr>
                <w:color w:val="000000" w:themeColor="text1"/>
              </w:rPr>
            </w:pPr>
            <w:bookmarkStart w:id="1347" w:name="_Toc472000099"/>
            <w:bookmarkStart w:id="1348" w:name="_Toc472251462"/>
            <w:r w:rsidRPr="0098635C">
              <w:rPr>
                <w:color w:val="000000" w:themeColor="text1"/>
              </w:rPr>
              <w:t>Oedema: 0 (mean)</w:t>
            </w:r>
            <w:bookmarkEnd w:id="1347"/>
            <w:bookmarkEnd w:id="1348"/>
          </w:p>
        </w:tc>
      </w:tr>
    </w:tbl>
    <w:p w14:paraId="4A5E43BA" w14:textId="77777777" w:rsidR="008D1AE9" w:rsidRPr="0098635C" w:rsidRDefault="008D1AE9" w:rsidP="008D1AE9">
      <w:pPr>
        <w:pStyle w:val="NoteLevel211"/>
        <w:rPr>
          <w:color w:val="000000" w:themeColor="text1"/>
        </w:rPr>
      </w:pPr>
      <w:bookmarkStart w:id="1349" w:name="_Toc471998832"/>
      <w:bookmarkStart w:id="1350" w:name="_Toc472000100"/>
      <w:bookmarkStart w:id="1351" w:name="_Toc472251463"/>
      <w:r w:rsidRPr="0098635C">
        <w:rPr>
          <w:rStyle w:val="FootnoteReference"/>
          <w:color w:val="000000" w:themeColor="text1"/>
          <w:sz w:val="20"/>
        </w:rPr>
        <w:t>#  unpublished study.</w:t>
      </w:r>
      <w:bookmarkEnd w:id="1349"/>
      <w:bookmarkEnd w:id="1350"/>
      <w:bookmarkEnd w:id="1351"/>
      <w:r w:rsidRPr="0098635C">
        <w:rPr>
          <w:rStyle w:val="FootnoteReference"/>
          <w:color w:val="000000" w:themeColor="text1"/>
          <w:sz w:val="20"/>
        </w:rPr>
        <w:tab/>
      </w:r>
    </w:p>
    <w:p w14:paraId="1D5913A2" w14:textId="77777777" w:rsidR="008D1AE9" w:rsidRPr="0098635C" w:rsidRDefault="008D1AE9" w:rsidP="008D1AE9">
      <w:pPr>
        <w:pStyle w:val="NoteLevel211"/>
        <w:rPr>
          <w:color w:val="000000" w:themeColor="text1"/>
        </w:rPr>
      </w:pPr>
    </w:p>
    <w:p w14:paraId="7D52F840" w14:textId="77777777" w:rsidR="008D1AE9" w:rsidRPr="0098635C" w:rsidRDefault="008D1AE9" w:rsidP="008D1AE9">
      <w:pPr>
        <w:pStyle w:val="BodyText"/>
        <w:rPr>
          <w:i/>
          <w:color w:val="000000" w:themeColor="text1"/>
          <w:sz w:val="20"/>
        </w:rPr>
      </w:pPr>
      <w:r w:rsidRPr="0098635C">
        <w:rPr>
          <w:i/>
          <w:color w:val="000000" w:themeColor="text1"/>
          <w:sz w:val="20"/>
        </w:rPr>
        <w:t xml:space="preserve">Copper sulphate pentahydrate </w:t>
      </w:r>
    </w:p>
    <w:p w14:paraId="730ABD9C" w14:textId="22BA8DB8" w:rsidR="008D1AE9" w:rsidRPr="0098635C" w:rsidRDefault="008D1AE9" w:rsidP="008D1AE9">
      <w:pPr>
        <w:pStyle w:val="BodyText"/>
        <w:rPr>
          <w:color w:val="000000" w:themeColor="text1"/>
          <w:sz w:val="20"/>
        </w:rPr>
      </w:pPr>
      <w:r w:rsidRPr="0098635C">
        <w:rPr>
          <w:color w:val="000000" w:themeColor="text1"/>
          <w:sz w:val="20"/>
        </w:rPr>
        <w:t>Copper sulphate pentahydrate caused a very slight skin response in New Zealand white rabbits (Mercier 1994</w:t>
      </w:r>
      <w:r w:rsidR="00B03383" w:rsidRPr="0098635C">
        <w:rPr>
          <w:color w:val="000000" w:themeColor="text1"/>
          <w:sz w:val="20"/>
        </w:rPr>
        <w:t>c</w:t>
      </w:r>
      <w:r w:rsidRPr="0098635C">
        <w:rPr>
          <w:color w:val="000000" w:themeColor="text1"/>
          <w:sz w:val="20"/>
        </w:rPr>
        <w:t xml:space="preserve"> </w:t>
      </w:r>
      <w:r w:rsidRPr="0098635C">
        <w:rPr>
          <w:i/>
          <w:color w:val="000000" w:themeColor="text1"/>
          <w:sz w:val="20"/>
        </w:rPr>
        <w:t>– unpublished</w:t>
      </w:r>
      <w:r w:rsidRPr="0098635C">
        <w:rPr>
          <w:color w:val="000000" w:themeColor="text1"/>
          <w:sz w:val="20"/>
        </w:rPr>
        <w:t>). Very slight erythema/eschar formation (grade 1) occurred in 1/3 animals after 1 hour and in 2/3 animals after 24 hours. Absence of lesions at 72 hours showed this weak irritant effect to be reversible.  Copper sulphate was therefore not considered skin irritant.</w:t>
      </w:r>
    </w:p>
    <w:p w14:paraId="7E190E5E" w14:textId="77777777" w:rsidR="008D1AE9" w:rsidRPr="0098635C" w:rsidRDefault="008D1AE9" w:rsidP="008D1AE9">
      <w:pPr>
        <w:pStyle w:val="BodyText"/>
        <w:rPr>
          <w:i/>
          <w:color w:val="000000" w:themeColor="text1"/>
          <w:sz w:val="20"/>
        </w:rPr>
      </w:pPr>
      <w:r w:rsidRPr="0098635C">
        <w:rPr>
          <w:i/>
          <w:color w:val="000000" w:themeColor="text1"/>
          <w:sz w:val="20"/>
        </w:rPr>
        <w:t>Copper (II) oxide</w:t>
      </w:r>
    </w:p>
    <w:p w14:paraId="2249205D" w14:textId="77777777" w:rsidR="008D1AE9" w:rsidRPr="0098635C" w:rsidRDefault="008D1AE9" w:rsidP="008D1AE9">
      <w:pPr>
        <w:pStyle w:val="BodyText"/>
        <w:rPr>
          <w:color w:val="000000" w:themeColor="text1"/>
          <w:sz w:val="20"/>
        </w:rPr>
      </w:pPr>
      <w:r w:rsidRPr="0098635C">
        <w:rPr>
          <w:color w:val="000000" w:themeColor="text1"/>
          <w:sz w:val="20"/>
        </w:rPr>
        <w:t>Copper (II) oxide produced no signs of skin irritation (erythema/eschar formation, oedema formation ) in three New Zealand White rabbits in a dermal irritation study (Sanders 2002 – unpublished). Copper (II) oxide was therefore not considered skin irritant.</w:t>
      </w:r>
    </w:p>
    <w:p w14:paraId="6A6B5F22" w14:textId="77777777" w:rsidR="008D1AE9" w:rsidRPr="0098635C" w:rsidRDefault="008D1AE9" w:rsidP="008D1AE9">
      <w:pPr>
        <w:pStyle w:val="Heading9"/>
        <w:ind w:left="720" w:hanging="720"/>
        <w:rPr>
          <w:color w:val="000000" w:themeColor="text1"/>
          <w:sz w:val="20"/>
          <w:szCs w:val="20"/>
        </w:rPr>
      </w:pPr>
      <w:r w:rsidRPr="0098635C">
        <w:rPr>
          <w:color w:val="000000" w:themeColor="text1"/>
          <w:sz w:val="20"/>
          <w:szCs w:val="20"/>
        </w:rPr>
        <w:t>Copper (I) oxide</w:t>
      </w:r>
    </w:p>
    <w:p w14:paraId="342D82E7" w14:textId="6CE62B87" w:rsidR="008D1AE9" w:rsidRPr="0098635C" w:rsidRDefault="008D1AE9" w:rsidP="008D1AE9">
      <w:pPr>
        <w:pStyle w:val="BodyText"/>
        <w:rPr>
          <w:color w:val="000000" w:themeColor="text1"/>
          <w:sz w:val="20"/>
        </w:rPr>
      </w:pPr>
      <w:r w:rsidRPr="0098635C">
        <w:rPr>
          <w:color w:val="000000" w:themeColor="text1"/>
          <w:sz w:val="20"/>
        </w:rPr>
        <w:t xml:space="preserve">Copper (I) oxide is not considered skin irritant. Application of cuprous (I) oxide to intact, shaved skin of New Zealand White rabbits caused very slight erythema in all three animals and very slight oedema in one animal at one hour post-exposure (Collier and Wilson, 1984 </w:t>
      </w:r>
      <w:r w:rsidR="00076C88" w:rsidRPr="0098635C">
        <w:rPr>
          <w:color w:val="000000" w:themeColor="text1"/>
          <w:sz w:val="20"/>
        </w:rPr>
        <w:t>b</w:t>
      </w:r>
      <w:r w:rsidRPr="0098635C">
        <w:rPr>
          <w:i/>
          <w:color w:val="000000" w:themeColor="text1"/>
          <w:sz w:val="20"/>
        </w:rPr>
        <w:t>- unpublished</w:t>
      </w:r>
      <w:r w:rsidRPr="0098635C">
        <w:rPr>
          <w:color w:val="000000" w:themeColor="text1"/>
          <w:sz w:val="20"/>
        </w:rPr>
        <w:t xml:space="preserve">).  At all other time-points after exposure there was no sign of either erythema/eschar formation or oedema formation. </w:t>
      </w:r>
      <w:r w:rsidR="00030EFA" w:rsidRPr="0098635C">
        <w:rPr>
          <w:color w:val="000000" w:themeColor="text1"/>
          <w:sz w:val="20"/>
        </w:rPr>
        <w:t>O</w:t>
      </w:r>
      <w:r w:rsidRPr="0098635C">
        <w:rPr>
          <w:color w:val="000000" w:themeColor="text1"/>
          <w:sz w:val="20"/>
        </w:rPr>
        <w:t xml:space="preserve">ther studies with rabbits produced no signs of skin irritation (Dickhaus, 1988a; Driscoll 1999c – unpublished; Hixson 1973). Dickhaus (1988a), however, recorded grade 1 oedema in 2/5 animals at 24 hours when administered to abraded skin. </w:t>
      </w:r>
    </w:p>
    <w:p w14:paraId="5103B2CE" w14:textId="5520BB39" w:rsidR="008D1AE9" w:rsidRPr="0098635C" w:rsidRDefault="00236182" w:rsidP="008D1AE9">
      <w:pPr>
        <w:pStyle w:val="Heading9"/>
        <w:ind w:left="720" w:hanging="720"/>
        <w:rPr>
          <w:color w:val="000000" w:themeColor="text1"/>
          <w:sz w:val="20"/>
          <w:szCs w:val="20"/>
        </w:rPr>
      </w:pPr>
      <w:r w:rsidRPr="0098635C">
        <w:rPr>
          <w:color w:val="000000" w:themeColor="text1"/>
          <w:sz w:val="20"/>
          <w:szCs w:val="20"/>
        </w:rPr>
        <w:t>Dicopper chloride trihydroxide</w:t>
      </w:r>
    </w:p>
    <w:p w14:paraId="15EF6F57" w14:textId="191C6CC7" w:rsidR="008D1AE9" w:rsidRPr="0098635C" w:rsidRDefault="008D1AE9" w:rsidP="008D1AE9">
      <w:pPr>
        <w:pStyle w:val="BodyText"/>
        <w:rPr>
          <w:color w:val="000000" w:themeColor="text1"/>
          <w:sz w:val="20"/>
        </w:rPr>
      </w:pPr>
      <w:r w:rsidRPr="0098635C">
        <w:rPr>
          <w:color w:val="000000" w:themeColor="text1"/>
          <w:sz w:val="20"/>
        </w:rPr>
        <w:t xml:space="preserve">Application of </w:t>
      </w:r>
      <w:r w:rsidR="00236182" w:rsidRPr="0098635C">
        <w:rPr>
          <w:color w:val="000000" w:themeColor="text1"/>
          <w:sz w:val="20"/>
        </w:rPr>
        <w:t>dicopper chloride trihydroxide</w:t>
      </w:r>
      <w:r w:rsidRPr="0098635C">
        <w:rPr>
          <w:color w:val="000000" w:themeColor="text1"/>
          <w:sz w:val="20"/>
        </w:rPr>
        <w:t xml:space="preserve"> to intact, shaved skin of New Zealand rabbits caused slight erythema in one animal after 30 min and in two animals after 1 and 24 hours (Forster and Luperi, 1987c - </w:t>
      </w:r>
      <w:r w:rsidRPr="0098635C">
        <w:rPr>
          <w:i/>
          <w:color w:val="000000" w:themeColor="text1"/>
          <w:sz w:val="20"/>
        </w:rPr>
        <w:t>unpublished</w:t>
      </w:r>
      <w:r w:rsidRPr="0098635C">
        <w:rPr>
          <w:color w:val="000000" w:themeColor="text1"/>
          <w:sz w:val="20"/>
        </w:rPr>
        <w:t xml:space="preserve">). No erythema occurred at 48 and 72 hours. There were no signs of oedema at any time point. In four other skin irritation studies, </w:t>
      </w:r>
      <w:r w:rsidR="00236182" w:rsidRPr="0098635C">
        <w:rPr>
          <w:color w:val="000000" w:themeColor="text1"/>
          <w:sz w:val="20"/>
        </w:rPr>
        <w:t>dicopper chloride trihydroxide</w:t>
      </w:r>
      <w:r w:rsidRPr="0098635C">
        <w:rPr>
          <w:color w:val="000000" w:themeColor="text1"/>
          <w:sz w:val="20"/>
        </w:rPr>
        <w:t xml:space="preserve"> failed to cause any signs of skin irritation (erythema or oedema) in rabbits (Deenihan 1987; Jackson 1994c; Sterner and Chibanguza, 1988c – </w:t>
      </w:r>
      <w:r w:rsidRPr="0098635C">
        <w:rPr>
          <w:i/>
          <w:color w:val="000000" w:themeColor="text1"/>
          <w:sz w:val="20"/>
        </w:rPr>
        <w:t xml:space="preserve">unpublished; </w:t>
      </w:r>
      <w:r w:rsidRPr="0098635C">
        <w:rPr>
          <w:color w:val="000000" w:themeColor="text1"/>
          <w:sz w:val="20"/>
        </w:rPr>
        <w:t xml:space="preserve">Dickhaus and Heisler, 1987a - </w:t>
      </w:r>
      <w:r w:rsidRPr="0098635C">
        <w:rPr>
          <w:i/>
          <w:color w:val="000000" w:themeColor="text1"/>
          <w:sz w:val="20"/>
        </w:rPr>
        <w:t>unpublished</w:t>
      </w:r>
      <w:r w:rsidRPr="0098635C">
        <w:rPr>
          <w:color w:val="000000" w:themeColor="text1"/>
          <w:sz w:val="20"/>
        </w:rPr>
        <w:t xml:space="preserve">). </w:t>
      </w:r>
      <w:r w:rsidR="00236182" w:rsidRPr="0098635C">
        <w:rPr>
          <w:color w:val="000000" w:themeColor="text1"/>
          <w:sz w:val="20"/>
        </w:rPr>
        <w:t>Dicopper chloride trihydroxide</w:t>
      </w:r>
      <w:r w:rsidRPr="0098635C">
        <w:rPr>
          <w:color w:val="000000" w:themeColor="text1"/>
          <w:sz w:val="20"/>
        </w:rPr>
        <w:t xml:space="preserve"> is not considered skin irritant.</w:t>
      </w:r>
    </w:p>
    <w:p w14:paraId="1D8F22AA" w14:textId="77777777" w:rsidR="008D1AE9" w:rsidRPr="0098635C" w:rsidRDefault="008D1AE9" w:rsidP="008D1AE9">
      <w:pPr>
        <w:pStyle w:val="Heading9"/>
        <w:rPr>
          <w:color w:val="000000" w:themeColor="text1"/>
          <w:sz w:val="20"/>
          <w:szCs w:val="20"/>
        </w:rPr>
      </w:pPr>
      <w:r w:rsidRPr="0098635C">
        <w:rPr>
          <w:color w:val="000000" w:themeColor="text1"/>
          <w:sz w:val="20"/>
          <w:szCs w:val="20"/>
        </w:rPr>
        <w:lastRenderedPageBreak/>
        <w:t>Coated copper flake</w:t>
      </w:r>
    </w:p>
    <w:p w14:paraId="66E9433F" w14:textId="1B9B237F" w:rsidR="008D1AE9" w:rsidRPr="0098635C" w:rsidRDefault="00FD41E3" w:rsidP="008D1AE9">
      <w:pPr>
        <w:pStyle w:val="BodyText"/>
        <w:rPr>
          <w:color w:val="000000" w:themeColor="text1"/>
          <w:sz w:val="20"/>
        </w:rPr>
      </w:pPr>
      <w:r w:rsidRPr="0098635C">
        <w:rPr>
          <w:color w:val="000000" w:themeColor="text1"/>
          <w:sz w:val="20"/>
        </w:rPr>
        <w:t>Coated c</w:t>
      </w:r>
      <w:r w:rsidR="008D1AE9" w:rsidRPr="0098635C">
        <w:rPr>
          <w:color w:val="000000" w:themeColor="text1"/>
          <w:sz w:val="20"/>
        </w:rPr>
        <w:t xml:space="preserve">opper </w:t>
      </w:r>
      <w:r w:rsidR="00B72A87" w:rsidRPr="0098635C">
        <w:rPr>
          <w:color w:val="000000" w:themeColor="text1"/>
          <w:sz w:val="20"/>
        </w:rPr>
        <w:t xml:space="preserve">flakes </w:t>
      </w:r>
      <w:r w:rsidR="008D1AE9" w:rsidRPr="0098635C">
        <w:rPr>
          <w:color w:val="000000" w:themeColor="text1"/>
          <w:sz w:val="20"/>
        </w:rPr>
        <w:t>caused no signs of skin irritation (erythema/eschar formation, oedema formation) in New Zealand White rabbits (Sanders 2001</w:t>
      </w:r>
      <w:r w:rsidR="00657426" w:rsidRPr="0098635C">
        <w:rPr>
          <w:color w:val="000000" w:themeColor="text1"/>
          <w:sz w:val="20"/>
        </w:rPr>
        <w:t>c</w:t>
      </w:r>
      <w:r w:rsidR="008D1AE9" w:rsidRPr="0098635C">
        <w:rPr>
          <w:color w:val="000000" w:themeColor="text1"/>
          <w:sz w:val="20"/>
        </w:rPr>
        <w:t xml:space="preserve"> </w:t>
      </w:r>
      <w:r w:rsidR="008D1AE9" w:rsidRPr="0098635C">
        <w:rPr>
          <w:i/>
          <w:color w:val="000000" w:themeColor="text1"/>
          <w:sz w:val="20"/>
        </w:rPr>
        <w:t>– unpublished</w:t>
      </w:r>
      <w:r w:rsidR="008D1AE9" w:rsidRPr="0098635C">
        <w:rPr>
          <w:color w:val="000000" w:themeColor="text1"/>
          <w:sz w:val="20"/>
        </w:rPr>
        <w:t>). Consequently</w:t>
      </w:r>
      <w:r w:rsidR="00DE583B" w:rsidRPr="0098635C">
        <w:rPr>
          <w:color w:val="000000" w:themeColor="text1"/>
          <w:sz w:val="20"/>
        </w:rPr>
        <w:t xml:space="preserve">, coated </w:t>
      </w:r>
      <w:r w:rsidR="008D1AE9" w:rsidRPr="0098635C">
        <w:rPr>
          <w:color w:val="000000" w:themeColor="text1"/>
          <w:sz w:val="20"/>
        </w:rPr>
        <w:t xml:space="preserve">copper </w:t>
      </w:r>
      <w:r w:rsidR="00DE583B" w:rsidRPr="0098635C">
        <w:rPr>
          <w:color w:val="000000" w:themeColor="text1"/>
          <w:sz w:val="20"/>
        </w:rPr>
        <w:t>flake</w:t>
      </w:r>
      <w:r w:rsidR="008D1AE9" w:rsidRPr="0098635C">
        <w:rPr>
          <w:color w:val="000000" w:themeColor="text1"/>
          <w:sz w:val="20"/>
        </w:rPr>
        <w:t xml:space="preserve"> is not considered </w:t>
      </w:r>
      <w:r w:rsidR="00DE583B" w:rsidRPr="0098635C">
        <w:rPr>
          <w:color w:val="000000" w:themeColor="text1"/>
          <w:sz w:val="20"/>
        </w:rPr>
        <w:t xml:space="preserve">a </w:t>
      </w:r>
      <w:r w:rsidR="008D1AE9" w:rsidRPr="0098635C">
        <w:rPr>
          <w:color w:val="000000" w:themeColor="text1"/>
          <w:sz w:val="20"/>
        </w:rPr>
        <w:t>skin irritant</w:t>
      </w:r>
      <w:r w:rsidR="00DE583B" w:rsidRPr="0098635C">
        <w:rPr>
          <w:color w:val="000000" w:themeColor="text1"/>
          <w:sz w:val="20"/>
        </w:rPr>
        <w:t>.</w:t>
      </w:r>
    </w:p>
    <w:p w14:paraId="1DC5A64C" w14:textId="77777777" w:rsidR="008D1AE9" w:rsidRPr="0098635C" w:rsidRDefault="008D1AE9" w:rsidP="008D1AE9">
      <w:pPr>
        <w:pStyle w:val="Heading9"/>
        <w:rPr>
          <w:i w:val="0"/>
          <w:color w:val="000000" w:themeColor="text1"/>
          <w:sz w:val="20"/>
          <w:szCs w:val="20"/>
          <w:u w:val="single"/>
        </w:rPr>
      </w:pPr>
      <w:r w:rsidRPr="0098635C">
        <w:rPr>
          <w:i w:val="0"/>
          <w:color w:val="000000" w:themeColor="text1"/>
          <w:sz w:val="20"/>
          <w:szCs w:val="20"/>
          <w:u w:val="single"/>
        </w:rPr>
        <w:t>Studies in Humans</w:t>
      </w:r>
    </w:p>
    <w:p w14:paraId="30F4153F" w14:textId="5DCDB4B4" w:rsidR="008D1AE9" w:rsidRPr="0098635C" w:rsidRDefault="008D1AE9" w:rsidP="00586794">
      <w:pPr>
        <w:pStyle w:val="BodyText"/>
        <w:rPr>
          <w:color w:val="000000" w:themeColor="text1"/>
          <w:sz w:val="20"/>
        </w:rPr>
      </w:pPr>
      <w:r w:rsidRPr="0098635C">
        <w:rPr>
          <w:color w:val="000000" w:themeColor="text1"/>
          <w:sz w:val="20"/>
        </w:rPr>
        <w:t xml:space="preserve">There is no published information available concerning the skin irritant properties of copper or copper compounds in humans. </w:t>
      </w:r>
      <w:bookmarkStart w:id="1352" w:name="_Toc90272802"/>
    </w:p>
    <w:p w14:paraId="1EDFD09B" w14:textId="77777777" w:rsidR="008D1AE9" w:rsidRPr="0098635C" w:rsidRDefault="008D1AE9" w:rsidP="008D1AE9">
      <w:pPr>
        <w:pStyle w:val="Heading8"/>
        <w:rPr>
          <w:color w:val="000000" w:themeColor="text1"/>
          <w:sz w:val="20"/>
          <w:szCs w:val="20"/>
        </w:rPr>
      </w:pPr>
      <w:r w:rsidRPr="0098635C">
        <w:rPr>
          <w:color w:val="000000" w:themeColor="text1"/>
          <w:sz w:val="20"/>
          <w:szCs w:val="20"/>
        </w:rPr>
        <w:t>Summary of skin irritation</w:t>
      </w:r>
      <w:bookmarkEnd w:id="1352"/>
      <w:r w:rsidRPr="0098635C">
        <w:rPr>
          <w:color w:val="000000" w:themeColor="text1"/>
          <w:sz w:val="20"/>
          <w:szCs w:val="20"/>
        </w:rPr>
        <w:t xml:space="preserve"> </w:t>
      </w:r>
    </w:p>
    <w:p w14:paraId="76E1377D" w14:textId="00EE0B70" w:rsidR="008D1AE9" w:rsidRPr="0098635C" w:rsidRDefault="008D1AE9" w:rsidP="008D1AE9">
      <w:pPr>
        <w:pStyle w:val="BodyText"/>
        <w:rPr>
          <w:color w:val="000000" w:themeColor="text1"/>
          <w:sz w:val="20"/>
        </w:rPr>
      </w:pPr>
      <w:r w:rsidRPr="0098635C">
        <w:rPr>
          <w:color w:val="000000" w:themeColor="text1"/>
          <w:sz w:val="20"/>
        </w:rPr>
        <w:t xml:space="preserve">There are no published data available concerning the skin irritant properties of copper compounds in animals. Several unpublished reports of skin irritation tests conducted in animals have been made available. These studies provide good quality data on the skin irritant properties of copper (I) oxide, copper (II) oxide, copper sulphate, </w:t>
      </w:r>
      <w:r w:rsidR="00236182" w:rsidRPr="0098635C">
        <w:rPr>
          <w:color w:val="000000" w:themeColor="text1"/>
          <w:sz w:val="20"/>
        </w:rPr>
        <w:t>dicopper chloride trihydroxide</w:t>
      </w:r>
      <w:r w:rsidRPr="0098635C">
        <w:rPr>
          <w:color w:val="000000" w:themeColor="text1"/>
          <w:sz w:val="20"/>
        </w:rPr>
        <w:t xml:space="preserve"> and </w:t>
      </w:r>
      <w:r w:rsidR="00B72A87" w:rsidRPr="0098635C">
        <w:rPr>
          <w:color w:val="000000" w:themeColor="text1"/>
          <w:sz w:val="20"/>
        </w:rPr>
        <w:t xml:space="preserve">coated </w:t>
      </w:r>
      <w:r w:rsidRPr="0098635C">
        <w:rPr>
          <w:color w:val="000000" w:themeColor="text1"/>
          <w:sz w:val="20"/>
        </w:rPr>
        <w:t xml:space="preserve">copper </w:t>
      </w:r>
      <w:r w:rsidR="00B72A87" w:rsidRPr="0098635C">
        <w:rPr>
          <w:color w:val="000000" w:themeColor="text1"/>
          <w:sz w:val="20"/>
        </w:rPr>
        <w:t>flakes</w:t>
      </w:r>
      <w:r w:rsidRPr="0098635C">
        <w:rPr>
          <w:color w:val="000000" w:themeColor="text1"/>
          <w:sz w:val="20"/>
        </w:rPr>
        <w:t xml:space="preserve">. To summarise the results of these studies, copper (II) oxide, </w:t>
      </w:r>
      <w:r w:rsidR="00236182" w:rsidRPr="0098635C">
        <w:rPr>
          <w:color w:val="000000" w:themeColor="text1"/>
          <w:sz w:val="20"/>
        </w:rPr>
        <w:t>dicopper chloride trihydroxide</w:t>
      </w:r>
      <w:r w:rsidRPr="0098635C">
        <w:rPr>
          <w:color w:val="000000" w:themeColor="text1"/>
          <w:sz w:val="20"/>
        </w:rPr>
        <w:t xml:space="preserve"> and </w:t>
      </w:r>
      <w:r w:rsidR="00B72A87" w:rsidRPr="0098635C">
        <w:rPr>
          <w:color w:val="000000" w:themeColor="text1"/>
          <w:sz w:val="20"/>
        </w:rPr>
        <w:t xml:space="preserve">coated </w:t>
      </w:r>
      <w:r w:rsidRPr="0098635C">
        <w:rPr>
          <w:color w:val="000000" w:themeColor="text1"/>
          <w:sz w:val="20"/>
        </w:rPr>
        <w:t xml:space="preserve">copper </w:t>
      </w:r>
      <w:r w:rsidR="00B72A87" w:rsidRPr="0098635C">
        <w:rPr>
          <w:color w:val="000000" w:themeColor="text1"/>
          <w:sz w:val="20"/>
        </w:rPr>
        <w:t xml:space="preserve">flakes </w:t>
      </w:r>
      <w:r w:rsidRPr="0098635C">
        <w:rPr>
          <w:color w:val="000000" w:themeColor="text1"/>
          <w:sz w:val="20"/>
        </w:rPr>
        <w:t>all caused no signs of skin irritation in rabbits during the 72-hour period after exposure. Copper (I) oxide caused very slight, transient skin irritation (erythema and oedema) soon after exposure in one study. Copper sulphate pentahydrate caused very slight irritation in one study which had resolved by 72 hours. There are no data available to indicate that copper compounds are skin irritant.</w:t>
      </w:r>
    </w:p>
    <w:p w14:paraId="391ABCD5" w14:textId="77777777" w:rsidR="008D1AE9" w:rsidRPr="0098635C" w:rsidRDefault="008D1AE9" w:rsidP="008D1AE9">
      <w:pPr>
        <w:pStyle w:val="Heading4"/>
        <w:rPr>
          <w:color w:val="000000" w:themeColor="text1"/>
          <w:sz w:val="20"/>
        </w:rPr>
      </w:pPr>
      <w:r w:rsidRPr="0098635C">
        <w:rPr>
          <w:color w:val="000000" w:themeColor="text1"/>
          <w:sz w:val="20"/>
        </w:rPr>
        <w:t>Eye Irritation</w:t>
      </w:r>
    </w:p>
    <w:p w14:paraId="51CB0C1F" w14:textId="77777777" w:rsidR="008D1AE9" w:rsidRPr="0098635C" w:rsidRDefault="008D1AE9" w:rsidP="008D1AE9">
      <w:pPr>
        <w:pStyle w:val="Heading9"/>
        <w:rPr>
          <w:i w:val="0"/>
          <w:color w:val="000000" w:themeColor="text1"/>
          <w:sz w:val="20"/>
          <w:szCs w:val="20"/>
          <w:u w:val="single"/>
        </w:rPr>
      </w:pPr>
      <w:r w:rsidRPr="0098635C">
        <w:rPr>
          <w:i w:val="0"/>
          <w:color w:val="000000" w:themeColor="text1"/>
          <w:sz w:val="20"/>
          <w:szCs w:val="20"/>
          <w:u w:val="single"/>
        </w:rPr>
        <w:t>Studies in Animals</w:t>
      </w:r>
    </w:p>
    <w:p w14:paraId="759CEBCF" w14:textId="1B73D0CD" w:rsidR="008D1AE9" w:rsidRPr="0098635C" w:rsidRDefault="008D1AE9" w:rsidP="008D1AE9">
      <w:pPr>
        <w:pStyle w:val="BodyText"/>
        <w:rPr>
          <w:color w:val="000000" w:themeColor="text1"/>
          <w:sz w:val="20"/>
        </w:rPr>
      </w:pPr>
      <w:r w:rsidRPr="0098635C">
        <w:rPr>
          <w:color w:val="000000" w:themeColor="text1"/>
          <w:sz w:val="20"/>
        </w:rPr>
        <w:t>No published data are available on the eye irritant properties of copper or copper compounds in animals. Unpublished data have been made available</w:t>
      </w:r>
      <w:r w:rsidRPr="0098635C">
        <w:rPr>
          <w:rStyle w:val="FootnoteReference"/>
          <w:color w:val="000000" w:themeColor="text1"/>
          <w:sz w:val="20"/>
        </w:rPr>
        <w:footnoteReference w:id="23"/>
      </w:r>
      <w:r w:rsidRPr="0098635C">
        <w:rPr>
          <w:color w:val="000000" w:themeColor="text1"/>
          <w:sz w:val="20"/>
        </w:rPr>
        <w:t>, comprising complete reports of eye irritation tests (</w:t>
      </w:r>
      <w:r w:rsidR="00E230FB" w:rsidRPr="0098635C">
        <w:rPr>
          <w:i/>
          <w:color w:val="000000" w:themeColor="text1"/>
          <w:sz w:val="20"/>
        </w:rPr>
        <w:fldChar w:fldCharType="begin"/>
      </w:r>
      <w:r w:rsidRPr="0098635C">
        <w:rPr>
          <w:color w:val="000000" w:themeColor="text1"/>
          <w:sz w:val="20"/>
        </w:rPr>
        <w:instrText xml:space="preserve"> REF _Ref260318488 \h </w:instrText>
      </w:r>
      <w:r w:rsidR="00E6616F" w:rsidRPr="0098635C">
        <w:rPr>
          <w:b/>
          <w:i/>
          <w:color w:val="000000" w:themeColor="text1"/>
          <w:sz w:val="20"/>
        </w:rPr>
        <w:instrText xml:space="preserve"> \* MERGEFORMAT </w:instrText>
      </w:r>
      <w:r w:rsidR="00E230FB" w:rsidRPr="0098635C">
        <w:rPr>
          <w:i/>
          <w:color w:val="000000" w:themeColor="text1"/>
          <w:sz w:val="20"/>
        </w:rPr>
      </w:r>
      <w:r w:rsidR="00E230FB" w:rsidRPr="0098635C">
        <w:rPr>
          <w:i/>
          <w:color w:val="000000" w:themeColor="text1"/>
          <w:sz w:val="20"/>
        </w:rPr>
        <w:fldChar w:fldCharType="separate"/>
      </w:r>
      <w:r w:rsidR="005E5161" w:rsidRPr="0098635C">
        <w:rPr>
          <w:color w:val="000000" w:themeColor="text1"/>
          <w:sz w:val="20"/>
        </w:rPr>
        <w:t xml:space="preserve">Table </w:t>
      </w:r>
      <w:r w:rsidR="005E5161" w:rsidRPr="0098635C">
        <w:rPr>
          <w:noProof/>
          <w:color w:val="000000" w:themeColor="text1"/>
          <w:sz w:val="20"/>
        </w:rPr>
        <w:t>16</w:t>
      </w:r>
      <w:r w:rsidR="00E230FB" w:rsidRPr="0098635C">
        <w:rPr>
          <w:i/>
          <w:color w:val="000000" w:themeColor="text1"/>
          <w:sz w:val="20"/>
        </w:rPr>
        <w:fldChar w:fldCharType="end"/>
      </w:r>
      <w:r w:rsidRPr="0098635C">
        <w:rPr>
          <w:color w:val="000000" w:themeColor="text1"/>
          <w:sz w:val="20"/>
        </w:rPr>
        <w:t xml:space="preserve">). </w:t>
      </w:r>
    </w:p>
    <w:p w14:paraId="200F4948" w14:textId="3BDCD815" w:rsidR="008D1AE9" w:rsidRPr="0098635C" w:rsidRDefault="008D1AE9" w:rsidP="00586794">
      <w:pPr>
        <w:pStyle w:val="Caption"/>
        <w:ind w:left="0"/>
        <w:jc w:val="center"/>
        <w:rPr>
          <w:b w:val="0"/>
          <w:color w:val="000000" w:themeColor="text1"/>
          <w:sz w:val="20"/>
        </w:rPr>
      </w:pPr>
      <w:bookmarkStart w:id="1353" w:name="_Ref260318488"/>
      <w:bookmarkStart w:id="1354" w:name="_Toc260323670"/>
      <w:r w:rsidRPr="0098635C">
        <w:rPr>
          <w:b w:val="0"/>
          <w:color w:val="000000" w:themeColor="text1"/>
          <w:sz w:val="20"/>
        </w:rPr>
        <w:t xml:space="preserve">Table </w:t>
      </w:r>
      <w:r w:rsidR="00E230FB" w:rsidRPr="0098635C">
        <w:rPr>
          <w:b w:val="0"/>
          <w:color w:val="000000" w:themeColor="text1"/>
          <w:sz w:val="20"/>
        </w:rPr>
        <w:fldChar w:fldCharType="begin"/>
      </w:r>
      <w:r w:rsidRPr="0098635C">
        <w:rPr>
          <w:b w:val="0"/>
          <w:color w:val="000000" w:themeColor="text1"/>
          <w:sz w:val="20"/>
        </w:rPr>
        <w:instrText xml:space="preserve"> SEQ Table \* ARABIC </w:instrText>
      </w:r>
      <w:r w:rsidR="00E230FB" w:rsidRPr="0098635C">
        <w:rPr>
          <w:b w:val="0"/>
          <w:color w:val="000000" w:themeColor="text1"/>
          <w:sz w:val="20"/>
        </w:rPr>
        <w:fldChar w:fldCharType="separate"/>
      </w:r>
      <w:r w:rsidR="005E5161" w:rsidRPr="0098635C">
        <w:rPr>
          <w:b w:val="0"/>
          <w:noProof/>
          <w:color w:val="000000" w:themeColor="text1"/>
          <w:sz w:val="20"/>
        </w:rPr>
        <w:t>16</w:t>
      </w:r>
      <w:r w:rsidR="00E230FB" w:rsidRPr="0098635C">
        <w:rPr>
          <w:b w:val="0"/>
          <w:noProof/>
          <w:color w:val="000000" w:themeColor="text1"/>
          <w:sz w:val="20"/>
        </w:rPr>
        <w:fldChar w:fldCharType="end"/>
      </w:r>
      <w:bookmarkEnd w:id="1353"/>
      <w:r w:rsidRPr="0098635C">
        <w:rPr>
          <w:b w:val="0"/>
          <w:noProof/>
          <w:color w:val="000000" w:themeColor="text1"/>
          <w:sz w:val="20"/>
        </w:rPr>
        <w:t>:</w:t>
      </w:r>
      <w:r w:rsidRPr="0098635C">
        <w:rPr>
          <w:b w:val="0"/>
          <w:color w:val="000000" w:themeColor="text1"/>
          <w:sz w:val="20"/>
        </w:rPr>
        <w:t xml:space="preserve"> Summary of eye irritation studies in animals</w:t>
      </w:r>
      <w:bookmarkEnd w:id="1354"/>
    </w:p>
    <w:tbl>
      <w:tblPr>
        <w:tblW w:w="974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1101"/>
        <w:gridCol w:w="992"/>
        <w:gridCol w:w="1417"/>
        <w:gridCol w:w="993"/>
        <w:gridCol w:w="992"/>
        <w:gridCol w:w="992"/>
        <w:gridCol w:w="992"/>
        <w:gridCol w:w="2268"/>
      </w:tblGrid>
      <w:tr w:rsidR="008D1AE9" w:rsidRPr="0098635C" w14:paraId="44996CD9" w14:textId="77777777" w:rsidTr="00AF385A">
        <w:trPr>
          <w:cantSplit/>
          <w:tblHeader/>
        </w:trPr>
        <w:tc>
          <w:tcPr>
            <w:tcW w:w="1101" w:type="dxa"/>
            <w:vMerge w:val="restart"/>
          </w:tcPr>
          <w:p w14:paraId="057B03FC" w14:textId="77777777" w:rsidR="008D1AE9" w:rsidRPr="0098635C" w:rsidRDefault="008D1AE9" w:rsidP="00AF385A">
            <w:pPr>
              <w:pStyle w:val="NoteLevel211"/>
              <w:rPr>
                <w:b/>
                <w:color w:val="000000" w:themeColor="text1"/>
              </w:rPr>
            </w:pPr>
            <w:bookmarkStart w:id="1355" w:name="_Toc472000101"/>
            <w:bookmarkStart w:id="1356" w:name="_Toc472251464"/>
            <w:r w:rsidRPr="0098635C">
              <w:rPr>
                <w:b/>
                <w:color w:val="000000" w:themeColor="text1"/>
              </w:rPr>
              <w:t>Reference</w:t>
            </w:r>
            <w:bookmarkEnd w:id="1355"/>
            <w:bookmarkEnd w:id="1356"/>
          </w:p>
        </w:tc>
        <w:tc>
          <w:tcPr>
            <w:tcW w:w="992" w:type="dxa"/>
            <w:vMerge w:val="restart"/>
          </w:tcPr>
          <w:p w14:paraId="5B549032" w14:textId="77777777" w:rsidR="008D1AE9" w:rsidRPr="0098635C" w:rsidRDefault="008D1AE9" w:rsidP="00AF385A">
            <w:pPr>
              <w:pStyle w:val="NoteLevel211"/>
              <w:rPr>
                <w:b/>
                <w:color w:val="000000" w:themeColor="text1"/>
              </w:rPr>
            </w:pPr>
            <w:bookmarkStart w:id="1357" w:name="_Toc472000102"/>
            <w:bookmarkStart w:id="1358" w:name="_Toc472251465"/>
            <w:r w:rsidRPr="0098635C">
              <w:rPr>
                <w:b/>
                <w:color w:val="000000" w:themeColor="text1"/>
              </w:rPr>
              <w:t>Substance</w:t>
            </w:r>
            <w:bookmarkEnd w:id="1357"/>
            <w:bookmarkEnd w:id="1358"/>
          </w:p>
          <w:p w14:paraId="562CAA1A" w14:textId="77777777" w:rsidR="008D1AE9" w:rsidRPr="0098635C" w:rsidRDefault="008D1AE9" w:rsidP="00AF385A">
            <w:pPr>
              <w:pStyle w:val="NoteLevel211"/>
              <w:rPr>
                <w:b/>
                <w:color w:val="000000" w:themeColor="text1"/>
              </w:rPr>
            </w:pPr>
            <w:bookmarkStart w:id="1359" w:name="_Toc472000103"/>
            <w:bookmarkStart w:id="1360" w:name="_Toc472251466"/>
            <w:r w:rsidRPr="0098635C">
              <w:rPr>
                <w:b/>
                <w:color w:val="000000" w:themeColor="text1"/>
              </w:rPr>
              <w:t>Identity</w:t>
            </w:r>
            <w:bookmarkEnd w:id="1359"/>
            <w:bookmarkEnd w:id="1360"/>
          </w:p>
        </w:tc>
        <w:tc>
          <w:tcPr>
            <w:tcW w:w="1417" w:type="dxa"/>
            <w:vMerge w:val="restart"/>
          </w:tcPr>
          <w:p w14:paraId="0A867C6B" w14:textId="77777777" w:rsidR="008D1AE9" w:rsidRPr="0098635C" w:rsidRDefault="008D1AE9" w:rsidP="00AF385A">
            <w:pPr>
              <w:pStyle w:val="NoteLevel211"/>
              <w:rPr>
                <w:b/>
                <w:color w:val="000000" w:themeColor="text1"/>
              </w:rPr>
            </w:pPr>
            <w:bookmarkStart w:id="1361" w:name="_Toc472000104"/>
            <w:bookmarkStart w:id="1362" w:name="_Toc472251467"/>
            <w:r w:rsidRPr="0098635C">
              <w:rPr>
                <w:b/>
                <w:color w:val="000000" w:themeColor="text1"/>
              </w:rPr>
              <w:t>Test method</w:t>
            </w:r>
            <w:bookmarkEnd w:id="1361"/>
            <w:bookmarkEnd w:id="1362"/>
          </w:p>
        </w:tc>
        <w:tc>
          <w:tcPr>
            <w:tcW w:w="3969" w:type="dxa"/>
            <w:gridSpan w:val="4"/>
          </w:tcPr>
          <w:p w14:paraId="645FC798" w14:textId="77777777" w:rsidR="008D1AE9" w:rsidRPr="0098635C" w:rsidRDefault="008D1AE9" w:rsidP="00AF385A">
            <w:pPr>
              <w:pStyle w:val="NoteLevel211"/>
              <w:rPr>
                <w:b/>
                <w:color w:val="000000" w:themeColor="text1"/>
              </w:rPr>
            </w:pPr>
            <w:bookmarkStart w:id="1363" w:name="_Toc472000105"/>
            <w:bookmarkStart w:id="1364" w:name="_Toc472251468"/>
            <w:r w:rsidRPr="0098635C">
              <w:rPr>
                <w:b/>
                <w:color w:val="000000" w:themeColor="text1"/>
              </w:rPr>
              <w:t>Ocular effects</w:t>
            </w:r>
            <w:bookmarkEnd w:id="1363"/>
            <w:bookmarkEnd w:id="1364"/>
            <w:r w:rsidRPr="0098635C">
              <w:rPr>
                <w:b/>
                <w:color w:val="000000" w:themeColor="text1"/>
              </w:rPr>
              <w:t xml:space="preserve"> </w:t>
            </w:r>
          </w:p>
        </w:tc>
        <w:tc>
          <w:tcPr>
            <w:tcW w:w="2268" w:type="dxa"/>
            <w:vMerge w:val="restart"/>
          </w:tcPr>
          <w:p w14:paraId="4979114C" w14:textId="77777777" w:rsidR="008D1AE9" w:rsidRPr="0098635C" w:rsidRDefault="008D1AE9" w:rsidP="00AF385A">
            <w:pPr>
              <w:pStyle w:val="NoteLevel211"/>
              <w:rPr>
                <w:b/>
                <w:color w:val="000000" w:themeColor="text1"/>
              </w:rPr>
            </w:pPr>
            <w:bookmarkStart w:id="1365" w:name="_Toc472000106"/>
            <w:bookmarkStart w:id="1366" w:name="_Toc472251469"/>
            <w:r w:rsidRPr="0098635C">
              <w:rPr>
                <w:b/>
                <w:color w:val="000000" w:themeColor="text1"/>
              </w:rPr>
              <w:t>Persistent effects (duration)</w:t>
            </w:r>
            <w:bookmarkEnd w:id="1365"/>
            <w:bookmarkEnd w:id="1366"/>
          </w:p>
        </w:tc>
      </w:tr>
      <w:tr w:rsidR="008D1AE9" w:rsidRPr="0098635C" w14:paraId="4A7EC672" w14:textId="77777777" w:rsidTr="00AF385A">
        <w:trPr>
          <w:cantSplit/>
          <w:tblHeader/>
        </w:trPr>
        <w:tc>
          <w:tcPr>
            <w:tcW w:w="1101" w:type="dxa"/>
            <w:vMerge/>
          </w:tcPr>
          <w:p w14:paraId="4CF18B4F" w14:textId="77777777" w:rsidR="008D1AE9" w:rsidRPr="0098635C" w:rsidRDefault="008D1AE9" w:rsidP="00AF385A">
            <w:pPr>
              <w:pStyle w:val="NoteLevel211"/>
              <w:rPr>
                <w:color w:val="000000" w:themeColor="text1"/>
              </w:rPr>
            </w:pPr>
          </w:p>
        </w:tc>
        <w:tc>
          <w:tcPr>
            <w:tcW w:w="992" w:type="dxa"/>
            <w:vMerge/>
          </w:tcPr>
          <w:p w14:paraId="697A44AA" w14:textId="77777777" w:rsidR="008D1AE9" w:rsidRPr="0098635C" w:rsidRDefault="008D1AE9" w:rsidP="00AF385A">
            <w:pPr>
              <w:pStyle w:val="NoteLevel211"/>
              <w:rPr>
                <w:b/>
                <w:color w:val="000000" w:themeColor="text1"/>
              </w:rPr>
            </w:pPr>
          </w:p>
        </w:tc>
        <w:tc>
          <w:tcPr>
            <w:tcW w:w="1417" w:type="dxa"/>
            <w:vMerge/>
          </w:tcPr>
          <w:p w14:paraId="12A92E56" w14:textId="77777777" w:rsidR="008D1AE9" w:rsidRPr="0098635C" w:rsidRDefault="008D1AE9" w:rsidP="00AF385A">
            <w:pPr>
              <w:pStyle w:val="NoteLevel211"/>
              <w:rPr>
                <w:color w:val="000000" w:themeColor="text1"/>
              </w:rPr>
            </w:pPr>
          </w:p>
        </w:tc>
        <w:tc>
          <w:tcPr>
            <w:tcW w:w="993" w:type="dxa"/>
          </w:tcPr>
          <w:p w14:paraId="7F636764" w14:textId="77777777" w:rsidR="008D1AE9" w:rsidRPr="0098635C" w:rsidRDefault="008D1AE9" w:rsidP="00AF385A">
            <w:pPr>
              <w:pStyle w:val="NoteLevel211"/>
              <w:rPr>
                <w:b/>
                <w:color w:val="000000" w:themeColor="text1"/>
              </w:rPr>
            </w:pPr>
            <w:bookmarkStart w:id="1367" w:name="_Toc472000107"/>
            <w:bookmarkStart w:id="1368" w:name="_Toc472251470"/>
            <w:r w:rsidRPr="0098635C">
              <w:rPr>
                <w:b/>
                <w:color w:val="000000" w:themeColor="text1"/>
              </w:rPr>
              <w:t>Corneal opacity</w:t>
            </w:r>
            <w:bookmarkEnd w:id="1367"/>
            <w:bookmarkEnd w:id="1368"/>
          </w:p>
        </w:tc>
        <w:tc>
          <w:tcPr>
            <w:tcW w:w="992" w:type="dxa"/>
          </w:tcPr>
          <w:p w14:paraId="2382527A" w14:textId="77777777" w:rsidR="008D1AE9" w:rsidRPr="0098635C" w:rsidRDefault="008D1AE9" w:rsidP="00AF385A">
            <w:pPr>
              <w:pStyle w:val="NoteLevel211"/>
              <w:rPr>
                <w:b/>
                <w:color w:val="000000" w:themeColor="text1"/>
              </w:rPr>
            </w:pPr>
            <w:bookmarkStart w:id="1369" w:name="_Toc472000108"/>
            <w:bookmarkStart w:id="1370" w:name="_Toc472251471"/>
            <w:r w:rsidRPr="0098635C">
              <w:rPr>
                <w:b/>
                <w:color w:val="000000" w:themeColor="text1"/>
              </w:rPr>
              <w:t>Iris congestion</w:t>
            </w:r>
            <w:bookmarkEnd w:id="1369"/>
            <w:bookmarkEnd w:id="1370"/>
          </w:p>
        </w:tc>
        <w:tc>
          <w:tcPr>
            <w:tcW w:w="992" w:type="dxa"/>
          </w:tcPr>
          <w:p w14:paraId="59A2E291" w14:textId="77777777" w:rsidR="008D1AE9" w:rsidRPr="0098635C" w:rsidRDefault="008D1AE9" w:rsidP="00AF385A">
            <w:pPr>
              <w:pStyle w:val="NoteLevel211"/>
              <w:rPr>
                <w:b/>
                <w:color w:val="000000" w:themeColor="text1"/>
              </w:rPr>
            </w:pPr>
            <w:bookmarkStart w:id="1371" w:name="_Toc472000109"/>
            <w:bookmarkStart w:id="1372" w:name="_Toc472251472"/>
            <w:r w:rsidRPr="0098635C">
              <w:rPr>
                <w:b/>
                <w:color w:val="000000" w:themeColor="text1"/>
              </w:rPr>
              <w:t>Conjunctival redness</w:t>
            </w:r>
            <w:bookmarkEnd w:id="1371"/>
            <w:bookmarkEnd w:id="1372"/>
          </w:p>
        </w:tc>
        <w:tc>
          <w:tcPr>
            <w:tcW w:w="992" w:type="dxa"/>
          </w:tcPr>
          <w:p w14:paraId="58DAC31E" w14:textId="77777777" w:rsidR="008D1AE9" w:rsidRPr="0098635C" w:rsidRDefault="008D1AE9" w:rsidP="00AF385A">
            <w:pPr>
              <w:pStyle w:val="NoteLevel211"/>
              <w:rPr>
                <w:b/>
                <w:color w:val="000000" w:themeColor="text1"/>
              </w:rPr>
            </w:pPr>
            <w:bookmarkStart w:id="1373" w:name="_Toc472000110"/>
            <w:bookmarkStart w:id="1374" w:name="_Toc472251473"/>
            <w:r w:rsidRPr="0098635C">
              <w:rPr>
                <w:b/>
                <w:color w:val="000000" w:themeColor="text1"/>
              </w:rPr>
              <w:t>Conjunctival chemosis</w:t>
            </w:r>
            <w:bookmarkEnd w:id="1373"/>
            <w:bookmarkEnd w:id="1374"/>
          </w:p>
        </w:tc>
        <w:tc>
          <w:tcPr>
            <w:tcW w:w="2268" w:type="dxa"/>
            <w:vMerge/>
          </w:tcPr>
          <w:p w14:paraId="5B7C4C0F" w14:textId="77777777" w:rsidR="008D1AE9" w:rsidRPr="0098635C" w:rsidRDefault="008D1AE9" w:rsidP="00AF385A">
            <w:pPr>
              <w:pStyle w:val="NoteLevel211"/>
              <w:rPr>
                <w:color w:val="000000" w:themeColor="text1"/>
              </w:rPr>
            </w:pPr>
          </w:p>
        </w:tc>
      </w:tr>
      <w:tr w:rsidR="008D1AE9" w:rsidRPr="0098635C" w14:paraId="0F1632FD" w14:textId="77777777" w:rsidTr="00AF385A">
        <w:tc>
          <w:tcPr>
            <w:tcW w:w="1101" w:type="dxa"/>
          </w:tcPr>
          <w:p w14:paraId="7C8FEBF0" w14:textId="453FE506" w:rsidR="008D1AE9" w:rsidRPr="0098635C" w:rsidRDefault="008D1AE9" w:rsidP="00AF385A">
            <w:pPr>
              <w:pStyle w:val="NoteLevel211"/>
              <w:rPr>
                <w:color w:val="000000" w:themeColor="text1"/>
              </w:rPr>
            </w:pPr>
            <w:bookmarkStart w:id="1375" w:name="_Toc472000111"/>
            <w:bookmarkStart w:id="1376" w:name="_Toc472251474"/>
            <w:r w:rsidRPr="0098635C">
              <w:rPr>
                <w:color w:val="000000" w:themeColor="text1"/>
              </w:rPr>
              <w:t>Collier &amp; Wilson (1984</w:t>
            </w:r>
            <w:r w:rsidR="00076C88" w:rsidRPr="0098635C">
              <w:rPr>
                <w:color w:val="000000" w:themeColor="text1"/>
              </w:rPr>
              <w:t xml:space="preserve"> a</w:t>
            </w:r>
            <w:r w:rsidRPr="0098635C">
              <w:rPr>
                <w:color w:val="000000" w:themeColor="text1"/>
              </w:rPr>
              <w:t>)</w:t>
            </w:r>
            <w:r w:rsidRPr="0098635C">
              <w:rPr>
                <w:b/>
                <w:i/>
                <w:color w:val="000000" w:themeColor="text1"/>
                <w:vertAlign w:val="superscript"/>
              </w:rPr>
              <w:t xml:space="preserve"> #</w:t>
            </w:r>
            <w:bookmarkEnd w:id="1375"/>
            <w:bookmarkEnd w:id="1376"/>
          </w:p>
        </w:tc>
        <w:tc>
          <w:tcPr>
            <w:tcW w:w="992" w:type="dxa"/>
          </w:tcPr>
          <w:p w14:paraId="385B3EF0" w14:textId="77777777" w:rsidR="008D1AE9" w:rsidRPr="0098635C" w:rsidRDefault="008D1AE9" w:rsidP="00AF385A">
            <w:pPr>
              <w:pStyle w:val="NoteLevel211"/>
              <w:rPr>
                <w:color w:val="000000" w:themeColor="text1"/>
              </w:rPr>
            </w:pPr>
            <w:bookmarkStart w:id="1377" w:name="_Toc472000112"/>
            <w:bookmarkStart w:id="1378" w:name="_Toc472251475"/>
            <w:r w:rsidRPr="0098635C">
              <w:rPr>
                <w:color w:val="000000" w:themeColor="text1"/>
              </w:rPr>
              <w:t>Copper (I) oxide</w:t>
            </w:r>
            <w:bookmarkEnd w:id="1377"/>
            <w:bookmarkEnd w:id="1378"/>
          </w:p>
        </w:tc>
        <w:tc>
          <w:tcPr>
            <w:tcW w:w="1417" w:type="dxa"/>
          </w:tcPr>
          <w:p w14:paraId="1F8A54A2" w14:textId="77777777" w:rsidR="008D1AE9" w:rsidRPr="0098635C" w:rsidRDefault="008D1AE9" w:rsidP="00AF385A">
            <w:pPr>
              <w:pStyle w:val="NoteLevel211"/>
              <w:rPr>
                <w:color w:val="000000" w:themeColor="text1"/>
              </w:rPr>
            </w:pPr>
            <w:bookmarkStart w:id="1379" w:name="_Toc472000113"/>
            <w:bookmarkStart w:id="1380" w:name="_Toc472251476"/>
            <w:r w:rsidRPr="0098635C">
              <w:rPr>
                <w:color w:val="000000" w:themeColor="text1"/>
              </w:rPr>
              <w:t>OECD 405</w:t>
            </w:r>
            <w:bookmarkEnd w:id="1379"/>
            <w:bookmarkEnd w:id="1380"/>
          </w:p>
        </w:tc>
        <w:tc>
          <w:tcPr>
            <w:tcW w:w="993" w:type="dxa"/>
          </w:tcPr>
          <w:p w14:paraId="18DD7D5B" w14:textId="77777777" w:rsidR="008D1AE9" w:rsidRPr="0098635C" w:rsidRDefault="008D1AE9" w:rsidP="00AF385A">
            <w:pPr>
              <w:pStyle w:val="NoteLevel211"/>
              <w:rPr>
                <w:color w:val="000000" w:themeColor="text1"/>
              </w:rPr>
            </w:pPr>
            <w:bookmarkStart w:id="1381" w:name="_Toc472000114"/>
            <w:bookmarkStart w:id="1382" w:name="_Toc472251477"/>
            <w:r w:rsidRPr="0098635C">
              <w:rPr>
                <w:color w:val="000000" w:themeColor="text1"/>
              </w:rPr>
              <w:t>2, 2, 2</w:t>
            </w:r>
            <w:bookmarkEnd w:id="1381"/>
            <w:bookmarkEnd w:id="1382"/>
          </w:p>
        </w:tc>
        <w:tc>
          <w:tcPr>
            <w:tcW w:w="992" w:type="dxa"/>
          </w:tcPr>
          <w:p w14:paraId="041ECFDF" w14:textId="77777777" w:rsidR="008D1AE9" w:rsidRPr="0098635C" w:rsidRDefault="008D1AE9" w:rsidP="00AF385A">
            <w:pPr>
              <w:pStyle w:val="NoteLevel211"/>
              <w:rPr>
                <w:color w:val="000000" w:themeColor="text1"/>
              </w:rPr>
            </w:pPr>
            <w:bookmarkStart w:id="1383" w:name="_Toc472000115"/>
            <w:bookmarkStart w:id="1384" w:name="_Toc472251478"/>
            <w:r w:rsidRPr="0098635C">
              <w:rPr>
                <w:color w:val="000000" w:themeColor="text1"/>
              </w:rPr>
              <w:t>1, 1, 1</w:t>
            </w:r>
            <w:bookmarkEnd w:id="1383"/>
            <w:bookmarkEnd w:id="1384"/>
          </w:p>
        </w:tc>
        <w:tc>
          <w:tcPr>
            <w:tcW w:w="992" w:type="dxa"/>
          </w:tcPr>
          <w:p w14:paraId="2D196040" w14:textId="77777777" w:rsidR="008D1AE9" w:rsidRPr="0098635C" w:rsidRDefault="008D1AE9" w:rsidP="00AF385A">
            <w:pPr>
              <w:pStyle w:val="NoteLevel211"/>
              <w:rPr>
                <w:color w:val="000000" w:themeColor="text1"/>
              </w:rPr>
            </w:pPr>
            <w:bookmarkStart w:id="1385" w:name="_Toc472000116"/>
            <w:bookmarkStart w:id="1386" w:name="_Toc472251479"/>
            <w:r w:rsidRPr="0098635C">
              <w:rPr>
                <w:color w:val="000000" w:themeColor="text1"/>
              </w:rPr>
              <w:t>2.7, 2.7,  2.7</w:t>
            </w:r>
            <w:bookmarkEnd w:id="1385"/>
            <w:bookmarkEnd w:id="1386"/>
          </w:p>
        </w:tc>
        <w:tc>
          <w:tcPr>
            <w:tcW w:w="992" w:type="dxa"/>
          </w:tcPr>
          <w:p w14:paraId="418E409B" w14:textId="77777777" w:rsidR="008D1AE9" w:rsidRPr="0098635C" w:rsidRDefault="008D1AE9" w:rsidP="00AF385A">
            <w:pPr>
              <w:pStyle w:val="NoteLevel211"/>
              <w:rPr>
                <w:color w:val="000000" w:themeColor="text1"/>
              </w:rPr>
            </w:pPr>
            <w:bookmarkStart w:id="1387" w:name="_Toc472000117"/>
            <w:bookmarkStart w:id="1388" w:name="_Toc472251480"/>
            <w:r w:rsidRPr="0098635C">
              <w:rPr>
                <w:color w:val="000000" w:themeColor="text1"/>
              </w:rPr>
              <w:t>2, 3,  2</w:t>
            </w:r>
            <w:bookmarkEnd w:id="1387"/>
            <w:bookmarkEnd w:id="1388"/>
          </w:p>
        </w:tc>
        <w:tc>
          <w:tcPr>
            <w:tcW w:w="2268" w:type="dxa"/>
          </w:tcPr>
          <w:p w14:paraId="09514D7C" w14:textId="77777777" w:rsidR="008D1AE9" w:rsidRPr="0098635C" w:rsidRDefault="008D1AE9" w:rsidP="00AF385A">
            <w:pPr>
              <w:pStyle w:val="NoteLevel211"/>
              <w:rPr>
                <w:color w:val="000000" w:themeColor="text1"/>
              </w:rPr>
            </w:pPr>
            <w:bookmarkStart w:id="1389" w:name="_Toc472000118"/>
            <w:bookmarkStart w:id="1390" w:name="_Toc472251481"/>
            <w:r w:rsidRPr="0098635C">
              <w:rPr>
                <w:color w:val="000000" w:themeColor="text1"/>
              </w:rPr>
              <w:t>Ocular irritation was seen in all 3 test rabbits</w:t>
            </w:r>
            <w:bookmarkEnd w:id="1389"/>
            <w:bookmarkEnd w:id="1390"/>
          </w:p>
        </w:tc>
      </w:tr>
      <w:tr w:rsidR="008D1AE9" w:rsidRPr="0098635C" w14:paraId="6194EEE0" w14:textId="77777777" w:rsidTr="00AF385A">
        <w:tc>
          <w:tcPr>
            <w:tcW w:w="1101" w:type="dxa"/>
          </w:tcPr>
          <w:p w14:paraId="61AEDC70" w14:textId="77777777" w:rsidR="008D1AE9" w:rsidRPr="0098635C" w:rsidRDefault="008D1AE9" w:rsidP="00AF385A">
            <w:pPr>
              <w:pStyle w:val="NoteLevel211"/>
              <w:rPr>
                <w:color w:val="000000" w:themeColor="text1"/>
              </w:rPr>
            </w:pPr>
            <w:bookmarkStart w:id="1391" w:name="_Toc472000119"/>
            <w:bookmarkStart w:id="1392" w:name="_Toc472251482"/>
            <w:r w:rsidRPr="0098635C">
              <w:rPr>
                <w:color w:val="000000" w:themeColor="text1"/>
              </w:rPr>
              <w:t>Kuhn (1994)</w:t>
            </w:r>
            <w:r w:rsidRPr="0098635C">
              <w:rPr>
                <w:b/>
                <w:i/>
                <w:color w:val="000000" w:themeColor="text1"/>
                <w:vertAlign w:val="superscript"/>
              </w:rPr>
              <w:t xml:space="preserve"> #</w:t>
            </w:r>
            <w:bookmarkEnd w:id="1391"/>
            <w:bookmarkEnd w:id="1392"/>
          </w:p>
        </w:tc>
        <w:tc>
          <w:tcPr>
            <w:tcW w:w="992" w:type="dxa"/>
          </w:tcPr>
          <w:p w14:paraId="0C4BAE4D" w14:textId="77777777" w:rsidR="008D1AE9" w:rsidRPr="0098635C" w:rsidRDefault="008D1AE9" w:rsidP="00AF385A">
            <w:pPr>
              <w:pStyle w:val="NoteLevel211"/>
              <w:rPr>
                <w:color w:val="000000" w:themeColor="text1"/>
              </w:rPr>
            </w:pPr>
            <w:bookmarkStart w:id="1393" w:name="_Toc472000120"/>
            <w:bookmarkStart w:id="1394" w:name="_Toc472251483"/>
            <w:r w:rsidRPr="0098635C">
              <w:rPr>
                <w:color w:val="000000" w:themeColor="text1"/>
              </w:rPr>
              <w:t>Copper (I) oxide</w:t>
            </w:r>
            <w:bookmarkEnd w:id="1393"/>
            <w:bookmarkEnd w:id="1394"/>
            <w:r w:rsidRPr="0098635C">
              <w:rPr>
                <w:color w:val="000000" w:themeColor="text1"/>
              </w:rPr>
              <w:t xml:space="preserve"> </w:t>
            </w:r>
          </w:p>
        </w:tc>
        <w:tc>
          <w:tcPr>
            <w:tcW w:w="1417" w:type="dxa"/>
          </w:tcPr>
          <w:p w14:paraId="4E6A6BE1" w14:textId="77777777" w:rsidR="008D1AE9" w:rsidRPr="0098635C" w:rsidRDefault="008D1AE9" w:rsidP="00AF385A">
            <w:pPr>
              <w:pStyle w:val="NoteLevel211"/>
              <w:rPr>
                <w:color w:val="000000" w:themeColor="text1"/>
              </w:rPr>
            </w:pPr>
            <w:bookmarkStart w:id="1395" w:name="_Toc472000121"/>
            <w:bookmarkStart w:id="1396" w:name="_Toc472251484"/>
            <w:r w:rsidRPr="0098635C">
              <w:rPr>
                <w:color w:val="000000" w:themeColor="text1"/>
              </w:rPr>
              <w:t>EPA OPP 81-4, equivalent to OECD 405</w:t>
            </w:r>
            <w:bookmarkEnd w:id="1395"/>
            <w:bookmarkEnd w:id="1396"/>
          </w:p>
        </w:tc>
        <w:tc>
          <w:tcPr>
            <w:tcW w:w="993" w:type="dxa"/>
          </w:tcPr>
          <w:p w14:paraId="63B98182" w14:textId="77777777" w:rsidR="008D1AE9" w:rsidRPr="0098635C" w:rsidRDefault="008D1AE9" w:rsidP="00AF385A">
            <w:pPr>
              <w:pStyle w:val="NoteLevel211"/>
              <w:rPr>
                <w:color w:val="000000" w:themeColor="text1"/>
              </w:rPr>
            </w:pPr>
            <w:bookmarkStart w:id="1397" w:name="_Toc472000122"/>
            <w:bookmarkStart w:id="1398" w:name="_Toc472251485"/>
            <w:r w:rsidRPr="0098635C">
              <w:rPr>
                <w:color w:val="000000" w:themeColor="text1"/>
              </w:rPr>
              <w:t>0.4</w:t>
            </w:r>
            <w:bookmarkEnd w:id="1397"/>
            <w:bookmarkEnd w:id="1398"/>
          </w:p>
        </w:tc>
        <w:tc>
          <w:tcPr>
            <w:tcW w:w="992" w:type="dxa"/>
          </w:tcPr>
          <w:p w14:paraId="5EAA5235" w14:textId="77777777" w:rsidR="008D1AE9" w:rsidRPr="0098635C" w:rsidRDefault="008D1AE9" w:rsidP="00AF385A">
            <w:pPr>
              <w:pStyle w:val="NoteLevel211"/>
              <w:rPr>
                <w:color w:val="000000" w:themeColor="text1"/>
              </w:rPr>
            </w:pPr>
            <w:bookmarkStart w:id="1399" w:name="_Toc472000123"/>
            <w:bookmarkStart w:id="1400" w:name="_Toc472251486"/>
            <w:r w:rsidRPr="0098635C">
              <w:rPr>
                <w:color w:val="000000" w:themeColor="text1"/>
              </w:rPr>
              <w:t>0</w:t>
            </w:r>
            <w:bookmarkEnd w:id="1399"/>
            <w:bookmarkEnd w:id="1400"/>
          </w:p>
        </w:tc>
        <w:tc>
          <w:tcPr>
            <w:tcW w:w="992" w:type="dxa"/>
          </w:tcPr>
          <w:p w14:paraId="4720B05E" w14:textId="77777777" w:rsidR="008D1AE9" w:rsidRPr="0098635C" w:rsidRDefault="008D1AE9" w:rsidP="00AF385A">
            <w:pPr>
              <w:pStyle w:val="NoteLevel211"/>
              <w:rPr>
                <w:color w:val="000000" w:themeColor="text1"/>
              </w:rPr>
            </w:pPr>
            <w:bookmarkStart w:id="1401" w:name="_Toc472000124"/>
            <w:bookmarkStart w:id="1402" w:name="_Toc472251487"/>
            <w:r w:rsidRPr="0098635C">
              <w:rPr>
                <w:color w:val="000000" w:themeColor="text1"/>
              </w:rPr>
              <w:t>0.9</w:t>
            </w:r>
            <w:bookmarkEnd w:id="1401"/>
            <w:bookmarkEnd w:id="1402"/>
          </w:p>
        </w:tc>
        <w:tc>
          <w:tcPr>
            <w:tcW w:w="992" w:type="dxa"/>
          </w:tcPr>
          <w:p w14:paraId="4C1ADC51" w14:textId="77777777" w:rsidR="008D1AE9" w:rsidRPr="0098635C" w:rsidRDefault="008D1AE9" w:rsidP="00AF385A">
            <w:pPr>
              <w:pStyle w:val="NoteLevel211"/>
              <w:rPr>
                <w:color w:val="000000" w:themeColor="text1"/>
              </w:rPr>
            </w:pPr>
            <w:bookmarkStart w:id="1403" w:name="_Toc472000125"/>
            <w:bookmarkStart w:id="1404" w:name="_Toc472251488"/>
            <w:r w:rsidRPr="0098635C">
              <w:rPr>
                <w:color w:val="000000" w:themeColor="text1"/>
              </w:rPr>
              <w:t>0.9</w:t>
            </w:r>
            <w:bookmarkEnd w:id="1403"/>
            <w:bookmarkEnd w:id="1404"/>
          </w:p>
        </w:tc>
        <w:tc>
          <w:tcPr>
            <w:tcW w:w="2268" w:type="dxa"/>
          </w:tcPr>
          <w:p w14:paraId="3D82E4EB" w14:textId="77777777" w:rsidR="008D1AE9" w:rsidRPr="0098635C" w:rsidRDefault="008D1AE9" w:rsidP="00AF385A">
            <w:pPr>
              <w:pStyle w:val="NoteLevel211"/>
              <w:rPr>
                <w:color w:val="000000" w:themeColor="text1"/>
              </w:rPr>
            </w:pPr>
            <w:bookmarkStart w:id="1405" w:name="_Toc472000126"/>
            <w:bookmarkStart w:id="1406" w:name="_Toc472251489"/>
            <w:r w:rsidRPr="0098635C">
              <w:rPr>
                <w:color w:val="000000" w:themeColor="text1"/>
              </w:rPr>
              <w:t>Slight potential to induce eye irritation. Conjunctival redness is all washed eyes after 1h, conjunctioval redness and chemosis in all non-washed eyes.</w:t>
            </w:r>
            <w:bookmarkEnd w:id="1405"/>
            <w:bookmarkEnd w:id="1406"/>
          </w:p>
        </w:tc>
      </w:tr>
      <w:tr w:rsidR="008D1AE9" w:rsidRPr="0098635C" w14:paraId="157E5960" w14:textId="77777777" w:rsidTr="00AF385A">
        <w:tc>
          <w:tcPr>
            <w:tcW w:w="1101" w:type="dxa"/>
          </w:tcPr>
          <w:p w14:paraId="299CE99C" w14:textId="77777777" w:rsidR="008D1AE9" w:rsidRPr="0098635C" w:rsidRDefault="008D1AE9" w:rsidP="00AF385A">
            <w:pPr>
              <w:pStyle w:val="NoteLevel211"/>
              <w:rPr>
                <w:color w:val="000000" w:themeColor="text1"/>
              </w:rPr>
            </w:pPr>
            <w:bookmarkStart w:id="1407" w:name="_Toc472000127"/>
            <w:bookmarkStart w:id="1408" w:name="_Toc472251490"/>
            <w:r w:rsidRPr="0098635C">
              <w:rPr>
                <w:color w:val="000000" w:themeColor="text1"/>
              </w:rPr>
              <w:t>Kuhn (1994)</w:t>
            </w:r>
            <w:r w:rsidRPr="0098635C">
              <w:rPr>
                <w:b/>
                <w:i/>
                <w:color w:val="000000" w:themeColor="text1"/>
                <w:vertAlign w:val="superscript"/>
              </w:rPr>
              <w:t xml:space="preserve"> #</w:t>
            </w:r>
            <w:bookmarkEnd w:id="1407"/>
            <w:bookmarkEnd w:id="1408"/>
          </w:p>
        </w:tc>
        <w:tc>
          <w:tcPr>
            <w:tcW w:w="992" w:type="dxa"/>
          </w:tcPr>
          <w:p w14:paraId="03BABE2C" w14:textId="77777777" w:rsidR="008D1AE9" w:rsidRPr="0098635C" w:rsidRDefault="008D1AE9" w:rsidP="00AF385A">
            <w:pPr>
              <w:pStyle w:val="NoteLevel211"/>
              <w:rPr>
                <w:color w:val="000000" w:themeColor="text1"/>
              </w:rPr>
            </w:pPr>
            <w:bookmarkStart w:id="1409" w:name="_Toc472000128"/>
            <w:bookmarkStart w:id="1410" w:name="_Toc472251491"/>
            <w:r w:rsidRPr="0098635C">
              <w:rPr>
                <w:color w:val="000000" w:themeColor="text1"/>
              </w:rPr>
              <w:t>Copper (I) oxide</w:t>
            </w:r>
            <w:bookmarkEnd w:id="1409"/>
            <w:bookmarkEnd w:id="1410"/>
            <w:r w:rsidRPr="0098635C">
              <w:rPr>
                <w:color w:val="000000" w:themeColor="text1"/>
              </w:rPr>
              <w:t xml:space="preserve"> </w:t>
            </w:r>
          </w:p>
        </w:tc>
        <w:tc>
          <w:tcPr>
            <w:tcW w:w="1417" w:type="dxa"/>
          </w:tcPr>
          <w:p w14:paraId="2E1E4FD0" w14:textId="77777777" w:rsidR="008D1AE9" w:rsidRPr="0098635C" w:rsidRDefault="008D1AE9" w:rsidP="00AF385A">
            <w:pPr>
              <w:pStyle w:val="NoteLevel211"/>
              <w:rPr>
                <w:color w:val="000000" w:themeColor="text1"/>
              </w:rPr>
            </w:pPr>
            <w:bookmarkStart w:id="1411" w:name="_Toc472000129"/>
            <w:bookmarkStart w:id="1412" w:name="_Toc472251492"/>
            <w:r w:rsidRPr="0098635C">
              <w:rPr>
                <w:color w:val="000000" w:themeColor="text1"/>
              </w:rPr>
              <w:t>Annex V B.5 (washout after 30s)</w:t>
            </w:r>
            <w:bookmarkEnd w:id="1411"/>
            <w:bookmarkEnd w:id="1412"/>
          </w:p>
        </w:tc>
        <w:tc>
          <w:tcPr>
            <w:tcW w:w="993" w:type="dxa"/>
          </w:tcPr>
          <w:p w14:paraId="5BE8B062" w14:textId="77777777" w:rsidR="008D1AE9" w:rsidRPr="0098635C" w:rsidRDefault="008D1AE9" w:rsidP="00AF385A">
            <w:pPr>
              <w:pStyle w:val="NoteLevel211"/>
              <w:rPr>
                <w:color w:val="000000" w:themeColor="text1"/>
              </w:rPr>
            </w:pPr>
            <w:bookmarkStart w:id="1413" w:name="_Toc472000130"/>
            <w:bookmarkStart w:id="1414" w:name="_Toc472251493"/>
            <w:r w:rsidRPr="0098635C">
              <w:rPr>
                <w:color w:val="000000" w:themeColor="text1"/>
              </w:rPr>
              <w:t>0, 0, 0</w:t>
            </w:r>
            <w:bookmarkEnd w:id="1413"/>
            <w:bookmarkEnd w:id="1414"/>
          </w:p>
        </w:tc>
        <w:tc>
          <w:tcPr>
            <w:tcW w:w="992" w:type="dxa"/>
          </w:tcPr>
          <w:p w14:paraId="08C386EE" w14:textId="77777777" w:rsidR="008D1AE9" w:rsidRPr="0098635C" w:rsidRDefault="008D1AE9" w:rsidP="00AF385A">
            <w:pPr>
              <w:pStyle w:val="NoteLevel211"/>
              <w:rPr>
                <w:color w:val="000000" w:themeColor="text1"/>
              </w:rPr>
            </w:pPr>
            <w:bookmarkStart w:id="1415" w:name="_Toc472000131"/>
            <w:bookmarkStart w:id="1416" w:name="_Toc472251494"/>
            <w:r w:rsidRPr="0098635C">
              <w:rPr>
                <w:color w:val="000000" w:themeColor="text1"/>
              </w:rPr>
              <w:t>0, 0, 0</w:t>
            </w:r>
            <w:bookmarkEnd w:id="1415"/>
            <w:bookmarkEnd w:id="1416"/>
          </w:p>
        </w:tc>
        <w:tc>
          <w:tcPr>
            <w:tcW w:w="992" w:type="dxa"/>
          </w:tcPr>
          <w:p w14:paraId="501C1E71" w14:textId="77777777" w:rsidR="008D1AE9" w:rsidRPr="0098635C" w:rsidRDefault="008D1AE9" w:rsidP="00AF385A">
            <w:pPr>
              <w:pStyle w:val="NoteLevel211"/>
              <w:rPr>
                <w:color w:val="000000" w:themeColor="text1"/>
              </w:rPr>
            </w:pPr>
            <w:bookmarkStart w:id="1417" w:name="_Toc472000132"/>
            <w:bookmarkStart w:id="1418" w:name="_Toc472251495"/>
            <w:r w:rsidRPr="0098635C">
              <w:rPr>
                <w:color w:val="000000" w:themeColor="text1"/>
              </w:rPr>
              <w:t>0, 0, 0</w:t>
            </w:r>
            <w:bookmarkEnd w:id="1417"/>
            <w:bookmarkEnd w:id="1418"/>
          </w:p>
        </w:tc>
        <w:tc>
          <w:tcPr>
            <w:tcW w:w="992" w:type="dxa"/>
          </w:tcPr>
          <w:p w14:paraId="61C8C7EA" w14:textId="77777777" w:rsidR="008D1AE9" w:rsidRPr="0098635C" w:rsidRDefault="008D1AE9" w:rsidP="00AF385A">
            <w:pPr>
              <w:pStyle w:val="NoteLevel211"/>
              <w:rPr>
                <w:color w:val="000000" w:themeColor="text1"/>
              </w:rPr>
            </w:pPr>
            <w:bookmarkStart w:id="1419" w:name="_Toc472000133"/>
            <w:bookmarkStart w:id="1420" w:name="_Toc472251496"/>
            <w:r w:rsidRPr="0098635C">
              <w:rPr>
                <w:color w:val="000000" w:themeColor="text1"/>
              </w:rPr>
              <w:t>0, 0, 0</w:t>
            </w:r>
            <w:bookmarkEnd w:id="1419"/>
            <w:bookmarkEnd w:id="1420"/>
          </w:p>
        </w:tc>
        <w:tc>
          <w:tcPr>
            <w:tcW w:w="2268" w:type="dxa"/>
          </w:tcPr>
          <w:p w14:paraId="6EAA474D" w14:textId="0930BDBC" w:rsidR="008D1AE9" w:rsidRPr="0098635C" w:rsidRDefault="008D1AE9" w:rsidP="00C46BC5">
            <w:pPr>
              <w:pStyle w:val="NoteLevel211"/>
              <w:rPr>
                <w:color w:val="000000" w:themeColor="text1"/>
              </w:rPr>
            </w:pPr>
            <w:bookmarkStart w:id="1421" w:name="_Toc472000134"/>
            <w:bookmarkStart w:id="1422" w:name="_Toc472251497"/>
            <w:r w:rsidRPr="0098635C">
              <w:rPr>
                <w:color w:val="000000" w:themeColor="text1"/>
              </w:rPr>
              <w:t>None</w:t>
            </w:r>
            <w:bookmarkEnd w:id="1421"/>
            <w:bookmarkEnd w:id="1422"/>
          </w:p>
        </w:tc>
      </w:tr>
      <w:tr w:rsidR="008D1AE9" w:rsidRPr="0098635C" w14:paraId="32CD9446" w14:textId="77777777" w:rsidTr="00AF385A">
        <w:tc>
          <w:tcPr>
            <w:tcW w:w="1101" w:type="dxa"/>
          </w:tcPr>
          <w:p w14:paraId="2B3769DB" w14:textId="77777777" w:rsidR="008D1AE9" w:rsidRPr="0098635C" w:rsidRDefault="008D1AE9" w:rsidP="00AF385A">
            <w:pPr>
              <w:pStyle w:val="NoteLevel211"/>
              <w:rPr>
                <w:color w:val="000000" w:themeColor="text1"/>
              </w:rPr>
            </w:pPr>
            <w:bookmarkStart w:id="1423" w:name="_Toc472000135"/>
            <w:bookmarkStart w:id="1424" w:name="_Toc472251498"/>
            <w:r w:rsidRPr="0098635C">
              <w:rPr>
                <w:color w:val="000000" w:themeColor="text1"/>
              </w:rPr>
              <w:t>Dickhaus &amp; Heisler (1988b)</w:t>
            </w:r>
            <w:r w:rsidRPr="0098635C">
              <w:rPr>
                <w:b/>
                <w:i/>
                <w:color w:val="000000" w:themeColor="text1"/>
                <w:vertAlign w:val="superscript"/>
              </w:rPr>
              <w:t xml:space="preserve"> #</w:t>
            </w:r>
            <w:bookmarkEnd w:id="1423"/>
            <w:bookmarkEnd w:id="1424"/>
          </w:p>
        </w:tc>
        <w:tc>
          <w:tcPr>
            <w:tcW w:w="992" w:type="dxa"/>
          </w:tcPr>
          <w:p w14:paraId="07E4AFF5" w14:textId="5BDA97A5" w:rsidR="008D1AE9" w:rsidRPr="0098635C" w:rsidRDefault="008D1AE9" w:rsidP="00AF385A">
            <w:pPr>
              <w:pStyle w:val="NoteLevel211"/>
              <w:rPr>
                <w:color w:val="000000" w:themeColor="text1"/>
              </w:rPr>
            </w:pPr>
            <w:bookmarkStart w:id="1425" w:name="_Toc472000136"/>
            <w:bookmarkStart w:id="1426" w:name="_Toc472251499"/>
            <w:r w:rsidRPr="0098635C">
              <w:rPr>
                <w:color w:val="000000" w:themeColor="text1"/>
              </w:rPr>
              <w:t>Copper</w:t>
            </w:r>
            <w:r w:rsidR="00822E30" w:rsidRPr="0098635C">
              <w:rPr>
                <w:color w:val="000000" w:themeColor="text1"/>
              </w:rPr>
              <w:t xml:space="preserve"> </w:t>
            </w:r>
            <w:r w:rsidRPr="0098635C">
              <w:rPr>
                <w:color w:val="000000" w:themeColor="text1"/>
              </w:rPr>
              <w:t>(I) oxide</w:t>
            </w:r>
            <w:bookmarkEnd w:id="1425"/>
            <w:bookmarkEnd w:id="1426"/>
          </w:p>
        </w:tc>
        <w:tc>
          <w:tcPr>
            <w:tcW w:w="1417" w:type="dxa"/>
          </w:tcPr>
          <w:p w14:paraId="6B3F02B9" w14:textId="77777777" w:rsidR="008D1AE9" w:rsidRPr="0098635C" w:rsidRDefault="008D1AE9" w:rsidP="00AF385A">
            <w:pPr>
              <w:pStyle w:val="NoteLevel211"/>
              <w:rPr>
                <w:color w:val="000000" w:themeColor="text1"/>
              </w:rPr>
            </w:pPr>
            <w:bookmarkStart w:id="1427" w:name="_Toc472000137"/>
            <w:bookmarkStart w:id="1428" w:name="_Toc472251500"/>
            <w:r w:rsidRPr="0098635C">
              <w:rPr>
                <w:color w:val="000000" w:themeColor="text1"/>
              </w:rPr>
              <w:t>OECD 405</w:t>
            </w:r>
            <w:bookmarkEnd w:id="1427"/>
            <w:bookmarkEnd w:id="1428"/>
          </w:p>
        </w:tc>
        <w:tc>
          <w:tcPr>
            <w:tcW w:w="993" w:type="dxa"/>
          </w:tcPr>
          <w:p w14:paraId="6B58604D" w14:textId="77777777" w:rsidR="008D1AE9" w:rsidRPr="0098635C" w:rsidRDefault="008D1AE9" w:rsidP="00AF385A">
            <w:pPr>
              <w:pStyle w:val="NoteLevel211"/>
              <w:rPr>
                <w:color w:val="000000" w:themeColor="text1"/>
              </w:rPr>
            </w:pPr>
            <w:bookmarkStart w:id="1429" w:name="_Toc472000138"/>
            <w:bookmarkStart w:id="1430" w:name="_Toc472251501"/>
            <w:r w:rsidRPr="0098635C">
              <w:rPr>
                <w:color w:val="000000" w:themeColor="text1"/>
              </w:rPr>
              <w:t>0, 0, 0</w:t>
            </w:r>
            <w:bookmarkEnd w:id="1429"/>
            <w:bookmarkEnd w:id="1430"/>
          </w:p>
        </w:tc>
        <w:tc>
          <w:tcPr>
            <w:tcW w:w="992" w:type="dxa"/>
          </w:tcPr>
          <w:p w14:paraId="387355CC" w14:textId="77777777" w:rsidR="008D1AE9" w:rsidRPr="0098635C" w:rsidRDefault="008D1AE9" w:rsidP="00AF385A">
            <w:pPr>
              <w:pStyle w:val="NoteLevel211"/>
              <w:rPr>
                <w:color w:val="000000" w:themeColor="text1"/>
              </w:rPr>
            </w:pPr>
            <w:bookmarkStart w:id="1431" w:name="_Toc472000139"/>
            <w:bookmarkStart w:id="1432" w:name="_Toc472251502"/>
            <w:r w:rsidRPr="0098635C">
              <w:rPr>
                <w:color w:val="000000" w:themeColor="text1"/>
              </w:rPr>
              <w:t>0, 0, 0</w:t>
            </w:r>
            <w:bookmarkEnd w:id="1431"/>
            <w:bookmarkEnd w:id="1432"/>
          </w:p>
        </w:tc>
        <w:tc>
          <w:tcPr>
            <w:tcW w:w="992" w:type="dxa"/>
          </w:tcPr>
          <w:p w14:paraId="3BAF3546" w14:textId="77777777" w:rsidR="008D1AE9" w:rsidRPr="0098635C" w:rsidRDefault="008D1AE9" w:rsidP="00AF385A">
            <w:pPr>
              <w:pStyle w:val="NoteLevel211"/>
              <w:rPr>
                <w:color w:val="000000" w:themeColor="text1"/>
              </w:rPr>
            </w:pPr>
            <w:bookmarkStart w:id="1433" w:name="_Toc472000140"/>
            <w:bookmarkStart w:id="1434" w:name="_Toc472251503"/>
            <w:r w:rsidRPr="0098635C">
              <w:rPr>
                <w:color w:val="000000" w:themeColor="text1"/>
              </w:rPr>
              <w:t>2, 2, 2</w:t>
            </w:r>
            <w:bookmarkEnd w:id="1433"/>
            <w:bookmarkEnd w:id="1434"/>
          </w:p>
        </w:tc>
        <w:tc>
          <w:tcPr>
            <w:tcW w:w="992" w:type="dxa"/>
          </w:tcPr>
          <w:p w14:paraId="4B9B80D1" w14:textId="77777777" w:rsidR="008D1AE9" w:rsidRPr="0098635C" w:rsidRDefault="008D1AE9" w:rsidP="00AF385A">
            <w:pPr>
              <w:pStyle w:val="NoteLevel211"/>
              <w:rPr>
                <w:color w:val="000000" w:themeColor="text1"/>
              </w:rPr>
            </w:pPr>
            <w:bookmarkStart w:id="1435" w:name="_Toc472000141"/>
            <w:bookmarkStart w:id="1436" w:name="_Toc472251504"/>
            <w:r w:rsidRPr="0098635C">
              <w:rPr>
                <w:color w:val="000000" w:themeColor="text1"/>
              </w:rPr>
              <w:t>1.7, 2, 1</w:t>
            </w:r>
            <w:bookmarkEnd w:id="1435"/>
            <w:bookmarkEnd w:id="1436"/>
          </w:p>
        </w:tc>
        <w:tc>
          <w:tcPr>
            <w:tcW w:w="2268" w:type="dxa"/>
          </w:tcPr>
          <w:p w14:paraId="27A9A938" w14:textId="77777777" w:rsidR="008D1AE9" w:rsidRPr="0098635C" w:rsidRDefault="008D1AE9" w:rsidP="00AF385A">
            <w:pPr>
              <w:pStyle w:val="NoteLevel211"/>
              <w:rPr>
                <w:color w:val="000000" w:themeColor="text1"/>
              </w:rPr>
            </w:pPr>
            <w:bookmarkStart w:id="1437" w:name="_Toc472000142"/>
            <w:bookmarkStart w:id="1438" w:name="_Toc472251505"/>
            <w:r w:rsidRPr="0098635C">
              <w:rPr>
                <w:color w:val="000000" w:themeColor="text1"/>
              </w:rPr>
              <w:t>Slight potential to induce eye irritation. Reversibility has not been fully evaluated.</w:t>
            </w:r>
            <w:bookmarkEnd w:id="1437"/>
            <w:bookmarkEnd w:id="1438"/>
          </w:p>
        </w:tc>
      </w:tr>
      <w:tr w:rsidR="008D1AE9" w:rsidRPr="0098635C" w14:paraId="4980A4D1" w14:textId="77777777" w:rsidTr="00AF385A">
        <w:tc>
          <w:tcPr>
            <w:tcW w:w="1101" w:type="dxa"/>
          </w:tcPr>
          <w:p w14:paraId="13BE0D7C" w14:textId="77777777" w:rsidR="008D1AE9" w:rsidRPr="0098635C" w:rsidRDefault="008D1AE9" w:rsidP="00AF385A">
            <w:pPr>
              <w:pStyle w:val="NoteLevel211"/>
              <w:rPr>
                <w:color w:val="000000" w:themeColor="text1"/>
              </w:rPr>
            </w:pPr>
            <w:bookmarkStart w:id="1439" w:name="_Toc472000143"/>
            <w:bookmarkStart w:id="1440" w:name="_Toc472251506"/>
            <w:r w:rsidRPr="0098635C">
              <w:rPr>
                <w:color w:val="000000" w:themeColor="text1"/>
              </w:rPr>
              <w:t>Driscoll (1999d)</w:t>
            </w:r>
            <w:r w:rsidRPr="0098635C">
              <w:rPr>
                <w:b/>
                <w:i/>
                <w:color w:val="000000" w:themeColor="text1"/>
                <w:vertAlign w:val="superscript"/>
              </w:rPr>
              <w:t xml:space="preserve"> #</w:t>
            </w:r>
            <w:bookmarkEnd w:id="1439"/>
            <w:bookmarkEnd w:id="1440"/>
          </w:p>
        </w:tc>
        <w:tc>
          <w:tcPr>
            <w:tcW w:w="992" w:type="dxa"/>
          </w:tcPr>
          <w:p w14:paraId="7D180F88" w14:textId="77777777" w:rsidR="008D1AE9" w:rsidRPr="0098635C" w:rsidRDefault="008D1AE9" w:rsidP="00AF385A">
            <w:pPr>
              <w:pStyle w:val="NoteLevel211"/>
              <w:rPr>
                <w:color w:val="000000" w:themeColor="text1"/>
              </w:rPr>
            </w:pPr>
            <w:bookmarkStart w:id="1441" w:name="_Toc472000144"/>
            <w:bookmarkStart w:id="1442" w:name="_Toc472251507"/>
            <w:r w:rsidRPr="0098635C">
              <w:rPr>
                <w:color w:val="000000" w:themeColor="text1"/>
              </w:rPr>
              <w:t>Copper (I) oxide</w:t>
            </w:r>
            <w:bookmarkEnd w:id="1441"/>
            <w:bookmarkEnd w:id="1442"/>
          </w:p>
        </w:tc>
        <w:tc>
          <w:tcPr>
            <w:tcW w:w="1417" w:type="dxa"/>
          </w:tcPr>
          <w:p w14:paraId="1F18CB2C" w14:textId="77777777" w:rsidR="008D1AE9" w:rsidRPr="0098635C" w:rsidRDefault="008D1AE9" w:rsidP="00AF385A">
            <w:pPr>
              <w:pStyle w:val="NoteLevel211"/>
              <w:rPr>
                <w:color w:val="000000" w:themeColor="text1"/>
              </w:rPr>
            </w:pPr>
            <w:bookmarkStart w:id="1443" w:name="_Toc472000145"/>
            <w:bookmarkStart w:id="1444" w:name="_Toc472251508"/>
            <w:r w:rsidRPr="0098635C">
              <w:rPr>
                <w:color w:val="000000" w:themeColor="text1"/>
              </w:rPr>
              <w:t>Annex V B.5; OECD 405 (no washout)</w:t>
            </w:r>
            <w:bookmarkEnd w:id="1443"/>
            <w:bookmarkEnd w:id="1444"/>
          </w:p>
        </w:tc>
        <w:tc>
          <w:tcPr>
            <w:tcW w:w="993" w:type="dxa"/>
          </w:tcPr>
          <w:p w14:paraId="153706B7" w14:textId="77777777" w:rsidR="008D1AE9" w:rsidRPr="0098635C" w:rsidRDefault="008D1AE9" w:rsidP="00AF385A">
            <w:pPr>
              <w:pStyle w:val="NoteLevel211"/>
              <w:rPr>
                <w:color w:val="000000" w:themeColor="text1"/>
              </w:rPr>
            </w:pPr>
            <w:bookmarkStart w:id="1445" w:name="_Toc472000146"/>
            <w:bookmarkStart w:id="1446" w:name="_Toc472251509"/>
            <w:r w:rsidRPr="0098635C">
              <w:rPr>
                <w:color w:val="000000" w:themeColor="text1"/>
              </w:rPr>
              <w:t>0.7, 0.7, 0.7</w:t>
            </w:r>
            <w:bookmarkEnd w:id="1445"/>
            <w:bookmarkEnd w:id="1446"/>
          </w:p>
        </w:tc>
        <w:tc>
          <w:tcPr>
            <w:tcW w:w="992" w:type="dxa"/>
          </w:tcPr>
          <w:p w14:paraId="7B096901" w14:textId="77777777" w:rsidR="008D1AE9" w:rsidRPr="0098635C" w:rsidRDefault="008D1AE9" w:rsidP="00AF385A">
            <w:pPr>
              <w:pStyle w:val="NoteLevel211"/>
              <w:rPr>
                <w:color w:val="000000" w:themeColor="text1"/>
              </w:rPr>
            </w:pPr>
            <w:bookmarkStart w:id="1447" w:name="_Toc472000147"/>
            <w:bookmarkStart w:id="1448" w:name="_Toc472251510"/>
            <w:r w:rsidRPr="0098635C">
              <w:rPr>
                <w:color w:val="000000" w:themeColor="text1"/>
              </w:rPr>
              <w:t>0.7, 0.3, 0.3</w:t>
            </w:r>
            <w:bookmarkEnd w:id="1447"/>
            <w:bookmarkEnd w:id="1448"/>
          </w:p>
        </w:tc>
        <w:tc>
          <w:tcPr>
            <w:tcW w:w="992" w:type="dxa"/>
          </w:tcPr>
          <w:p w14:paraId="330E32FD" w14:textId="77777777" w:rsidR="008D1AE9" w:rsidRPr="0098635C" w:rsidRDefault="008D1AE9" w:rsidP="00AF385A">
            <w:pPr>
              <w:pStyle w:val="NoteLevel211"/>
              <w:rPr>
                <w:color w:val="000000" w:themeColor="text1"/>
              </w:rPr>
            </w:pPr>
            <w:bookmarkStart w:id="1449" w:name="_Toc472000148"/>
            <w:bookmarkStart w:id="1450" w:name="_Toc472251511"/>
            <w:r w:rsidRPr="0098635C">
              <w:rPr>
                <w:color w:val="000000" w:themeColor="text1"/>
              </w:rPr>
              <w:t>1.7, 2, 2</w:t>
            </w:r>
            <w:bookmarkEnd w:id="1449"/>
            <w:bookmarkEnd w:id="1450"/>
          </w:p>
        </w:tc>
        <w:tc>
          <w:tcPr>
            <w:tcW w:w="992" w:type="dxa"/>
          </w:tcPr>
          <w:p w14:paraId="42C6F5D7" w14:textId="77777777" w:rsidR="008D1AE9" w:rsidRPr="0098635C" w:rsidRDefault="008D1AE9" w:rsidP="00AF385A">
            <w:pPr>
              <w:pStyle w:val="NoteLevel211"/>
              <w:rPr>
                <w:color w:val="000000" w:themeColor="text1"/>
              </w:rPr>
            </w:pPr>
            <w:bookmarkStart w:id="1451" w:name="_Toc472000149"/>
            <w:bookmarkStart w:id="1452" w:name="_Toc472251512"/>
            <w:r w:rsidRPr="0098635C">
              <w:rPr>
                <w:color w:val="000000" w:themeColor="text1"/>
              </w:rPr>
              <w:t>1.3, 1.7, 1.7</w:t>
            </w:r>
            <w:bookmarkEnd w:id="1451"/>
            <w:bookmarkEnd w:id="1452"/>
          </w:p>
        </w:tc>
        <w:tc>
          <w:tcPr>
            <w:tcW w:w="2268" w:type="dxa"/>
          </w:tcPr>
          <w:p w14:paraId="65D22274" w14:textId="77777777" w:rsidR="008D1AE9" w:rsidRPr="0098635C" w:rsidRDefault="008D1AE9" w:rsidP="00AF385A">
            <w:pPr>
              <w:pStyle w:val="NoteLevel211"/>
              <w:rPr>
                <w:color w:val="000000" w:themeColor="text1"/>
              </w:rPr>
            </w:pPr>
            <w:bookmarkStart w:id="1453" w:name="_Toc472000150"/>
            <w:bookmarkStart w:id="1454" w:name="_Toc472251513"/>
            <w:r w:rsidRPr="0098635C">
              <w:rPr>
                <w:color w:val="000000" w:themeColor="text1"/>
              </w:rPr>
              <w:t>None</w:t>
            </w:r>
            <w:bookmarkEnd w:id="1453"/>
            <w:bookmarkEnd w:id="1454"/>
          </w:p>
        </w:tc>
      </w:tr>
      <w:tr w:rsidR="008D1AE9" w:rsidRPr="0098635C" w14:paraId="09344D54" w14:textId="77777777" w:rsidTr="00AF385A">
        <w:tc>
          <w:tcPr>
            <w:tcW w:w="1101" w:type="dxa"/>
          </w:tcPr>
          <w:p w14:paraId="673FB63F" w14:textId="0F835853" w:rsidR="008D1AE9" w:rsidRPr="0098635C" w:rsidRDefault="008D1AE9" w:rsidP="00AF385A">
            <w:pPr>
              <w:pStyle w:val="NoteLevel211"/>
              <w:rPr>
                <w:color w:val="000000" w:themeColor="text1"/>
              </w:rPr>
            </w:pPr>
            <w:bookmarkStart w:id="1455" w:name="_Toc472000151"/>
            <w:bookmarkStart w:id="1456" w:name="_Toc472251514"/>
            <w:r w:rsidRPr="0098635C">
              <w:rPr>
                <w:color w:val="000000" w:themeColor="text1"/>
              </w:rPr>
              <w:lastRenderedPageBreak/>
              <w:t>Sanders (2002</w:t>
            </w:r>
            <w:r w:rsidR="00657426" w:rsidRPr="0098635C">
              <w:rPr>
                <w:color w:val="000000" w:themeColor="text1"/>
              </w:rPr>
              <w:t>d</w:t>
            </w:r>
            <w:r w:rsidRPr="0098635C">
              <w:rPr>
                <w:color w:val="000000" w:themeColor="text1"/>
              </w:rPr>
              <w:t>)</w:t>
            </w:r>
            <w:r w:rsidRPr="0098635C">
              <w:rPr>
                <w:b/>
                <w:i/>
                <w:color w:val="000000" w:themeColor="text1"/>
                <w:vertAlign w:val="superscript"/>
              </w:rPr>
              <w:t xml:space="preserve"> #</w:t>
            </w:r>
            <w:bookmarkEnd w:id="1455"/>
            <w:bookmarkEnd w:id="1456"/>
          </w:p>
        </w:tc>
        <w:tc>
          <w:tcPr>
            <w:tcW w:w="992" w:type="dxa"/>
          </w:tcPr>
          <w:p w14:paraId="123F844D" w14:textId="77777777" w:rsidR="008D1AE9" w:rsidRPr="0098635C" w:rsidRDefault="008D1AE9" w:rsidP="00AF385A">
            <w:pPr>
              <w:pStyle w:val="NoteLevel211"/>
              <w:rPr>
                <w:color w:val="000000" w:themeColor="text1"/>
              </w:rPr>
            </w:pPr>
            <w:bookmarkStart w:id="1457" w:name="_Toc472000152"/>
            <w:bookmarkStart w:id="1458" w:name="_Toc472251515"/>
            <w:r w:rsidRPr="0098635C">
              <w:rPr>
                <w:color w:val="000000" w:themeColor="text1"/>
              </w:rPr>
              <w:t>Copper (II) oxide</w:t>
            </w:r>
            <w:bookmarkEnd w:id="1457"/>
            <w:bookmarkEnd w:id="1458"/>
          </w:p>
        </w:tc>
        <w:tc>
          <w:tcPr>
            <w:tcW w:w="1417" w:type="dxa"/>
          </w:tcPr>
          <w:p w14:paraId="29C349A7" w14:textId="77777777" w:rsidR="008D1AE9" w:rsidRPr="0098635C" w:rsidRDefault="008D1AE9" w:rsidP="00AF385A">
            <w:pPr>
              <w:pStyle w:val="NoteLevel211"/>
              <w:rPr>
                <w:color w:val="000000" w:themeColor="text1"/>
              </w:rPr>
            </w:pPr>
            <w:bookmarkStart w:id="1459" w:name="_Toc472000153"/>
            <w:bookmarkStart w:id="1460" w:name="_Toc472251516"/>
            <w:r w:rsidRPr="0098635C">
              <w:rPr>
                <w:color w:val="000000" w:themeColor="text1"/>
              </w:rPr>
              <w:t>EU Method B5</w:t>
            </w:r>
            <w:bookmarkEnd w:id="1459"/>
            <w:bookmarkEnd w:id="1460"/>
          </w:p>
          <w:p w14:paraId="43ED50AD" w14:textId="77777777" w:rsidR="008D1AE9" w:rsidRPr="0098635C" w:rsidRDefault="008D1AE9" w:rsidP="00AF385A">
            <w:pPr>
              <w:pStyle w:val="NoteLevel211"/>
              <w:rPr>
                <w:color w:val="000000" w:themeColor="text1"/>
              </w:rPr>
            </w:pPr>
            <w:bookmarkStart w:id="1461" w:name="_Toc472000154"/>
            <w:bookmarkStart w:id="1462" w:name="_Toc472251517"/>
            <w:r w:rsidRPr="0098635C">
              <w:rPr>
                <w:color w:val="000000" w:themeColor="text1"/>
              </w:rPr>
              <w:t>OECD 405 (no washout)</w:t>
            </w:r>
            <w:bookmarkEnd w:id="1461"/>
            <w:bookmarkEnd w:id="1462"/>
          </w:p>
        </w:tc>
        <w:tc>
          <w:tcPr>
            <w:tcW w:w="993" w:type="dxa"/>
          </w:tcPr>
          <w:p w14:paraId="023CE1DB" w14:textId="77777777" w:rsidR="008D1AE9" w:rsidRPr="0098635C" w:rsidRDefault="008D1AE9" w:rsidP="00AF385A">
            <w:pPr>
              <w:pStyle w:val="NoteLevel211"/>
              <w:rPr>
                <w:color w:val="000000" w:themeColor="text1"/>
              </w:rPr>
            </w:pPr>
            <w:bookmarkStart w:id="1463" w:name="_Toc472000155"/>
            <w:bookmarkStart w:id="1464" w:name="_Toc472251518"/>
            <w:r w:rsidRPr="0098635C">
              <w:rPr>
                <w:color w:val="000000" w:themeColor="text1"/>
              </w:rPr>
              <w:t>0, 0, 1</w:t>
            </w:r>
            <w:bookmarkEnd w:id="1463"/>
            <w:bookmarkEnd w:id="1464"/>
          </w:p>
        </w:tc>
        <w:tc>
          <w:tcPr>
            <w:tcW w:w="992" w:type="dxa"/>
          </w:tcPr>
          <w:p w14:paraId="74B13C56" w14:textId="77777777" w:rsidR="008D1AE9" w:rsidRPr="0098635C" w:rsidRDefault="008D1AE9" w:rsidP="00AF385A">
            <w:pPr>
              <w:pStyle w:val="NoteLevel211"/>
              <w:rPr>
                <w:color w:val="000000" w:themeColor="text1"/>
              </w:rPr>
            </w:pPr>
            <w:bookmarkStart w:id="1465" w:name="_Toc472000156"/>
            <w:bookmarkStart w:id="1466" w:name="_Toc472251519"/>
            <w:r w:rsidRPr="0098635C">
              <w:rPr>
                <w:color w:val="000000" w:themeColor="text1"/>
              </w:rPr>
              <w:t>0, 0, 0.7</w:t>
            </w:r>
            <w:bookmarkEnd w:id="1465"/>
            <w:bookmarkEnd w:id="1466"/>
          </w:p>
        </w:tc>
        <w:tc>
          <w:tcPr>
            <w:tcW w:w="992" w:type="dxa"/>
          </w:tcPr>
          <w:p w14:paraId="4E64AEC6" w14:textId="77777777" w:rsidR="008D1AE9" w:rsidRPr="0098635C" w:rsidRDefault="008D1AE9" w:rsidP="00AF385A">
            <w:pPr>
              <w:pStyle w:val="NoteLevel211"/>
              <w:rPr>
                <w:color w:val="000000" w:themeColor="text1"/>
              </w:rPr>
            </w:pPr>
            <w:bookmarkStart w:id="1467" w:name="_Toc472000157"/>
            <w:bookmarkStart w:id="1468" w:name="_Toc472251520"/>
            <w:r w:rsidRPr="0098635C">
              <w:rPr>
                <w:color w:val="000000" w:themeColor="text1"/>
              </w:rPr>
              <w:t>0.3, 0.3, 1.7</w:t>
            </w:r>
            <w:bookmarkEnd w:id="1467"/>
            <w:bookmarkEnd w:id="1468"/>
          </w:p>
        </w:tc>
        <w:tc>
          <w:tcPr>
            <w:tcW w:w="992" w:type="dxa"/>
          </w:tcPr>
          <w:p w14:paraId="0791B255" w14:textId="77777777" w:rsidR="008D1AE9" w:rsidRPr="0098635C" w:rsidRDefault="008D1AE9" w:rsidP="00AF385A">
            <w:pPr>
              <w:pStyle w:val="NoteLevel211"/>
              <w:rPr>
                <w:color w:val="000000" w:themeColor="text1"/>
              </w:rPr>
            </w:pPr>
            <w:bookmarkStart w:id="1469" w:name="_Toc472000158"/>
            <w:bookmarkStart w:id="1470" w:name="_Toc472251521"/>
            <w:r w:rsidRPr="0098635C">
              <w:rPr>
                <w:color w:val="000000" w:themeColor="text1"/>
              </w:rPr>
              <w:t>0, 0, 1.3</w:t>
            </w:r>
            <w:bookmarkEnd w:id="1469"/>
            <w:bookmarkEnd w:id="1470"/>
          </w:p>
        </w:tc>
        <w:tc>
          <w:tcPr>
            <w:tcW w:w="2268" w:type="dxa"/>
          </w:tcPr>
          <w:p w14:paraId="7B731688" w14:textId="77777777" w:rsidR="008D1AE9" w:rsidRPr="0098635C" w:rsidRDefault="008D1AE9" w:rsidP="00AF385A">
            <w:pPr>
              <w:pStyle w:val="NoteLevel211"/>
              <w:rPr>
                <w:color w:val="000000" w:themeColor="text1"/>
              </w:rPr>
            </w:pPr>
            <w:bookmarkStart w:id="1471" w:name="_Toc472000159"/>
            <w:bookmarkStart w:id="1472" w:name="_Toc472251522"/>
            <w:r w:rsidRPr="0098635C">
              <w:rPr>
                <w:color w:val="000000" w:themeColor="text1"/>
              </w:rPr>
              <w:t>One application of test material resulted in scattered or diffuse corneal opacity in one treated eye up to the 72h time point, as well as iridial inflammation up to the 48h time point.</w:t>
            </w:r>
            <w:bookmarkEnd w:id="1471"/>
            <w:bookmarkEnd w:id="1472"/>
          </w:p>
        </w:tc>
      </w:tr>
      <w:tr w:rsidR="008D1AE9" w:rsidRPr="0098635C" w14:paraId="31D4D9B0" w14:textId="77777777" w:rsidTr="00AF385A">
        <w:tc>
          <w:tcPr>
            <w:tcW w:w="1101" w:type="dxa"/>
          </w:tcPr>
          <w:p w14:paraId="368754FA" w14:textId="69DB95B9" w:rsidR="008D1AE9" w:rsidRPr="0098635C" w:rsidRDefault="008D1AE9" w:rsidP="00AF385A">
            <w:pPr>
              <w:pStyle w:val="NoteLevel211"/>
              <w:rPr>
                <w:color w:val="000000" w:themeColor="text1"/>
              </w:rPr>
            </w:pPr>
            <w:bookmarkStart w:id="1473" w:name="_Toc472000160"/>
            <w:bookmarkStart w:id="1474" w:name="_Toc472251523"/>
            <w:r w:rsidRPr="0098635C">
              <w:rPr>
                <w:color w:val="000000" w:themeColor="text1"/>
              </w:rPr>
              <w:t>Mercier (1994</w:t>
            </w:r>
            <w:r w:rsidR="00B03383" w:rsidRPr="0098635C">
              <w:rPr>
                <w:color w:val="000000" w:themeColor="text1"/>
              </w:rPr>
              <w:t>b</w:t>
            </w:r>
            <w:r w:rsidRPr="0098635C">
              <w:rPr>
                <w:color w:val="000000" w:themeColor="text1"/>
              </w:rPr>
              <w:t>)</w:t>
            </w:r>
            <w:r w:rsidRPr="0098635C">
              <w:rPr>
                <w:b/>
                <w:i/>
                <w:color w:val="000000" w:themeColor="text1"/>
                <w:vertAlign w:val="superscript"/>
              </w:rPr>
              <w:t xml:space="preserve"> #</w:t>
            </w:r>
            <w:bookmarkEnd w:id="1473"/>
            <w:bookmarkEnd w:id="1474"/>
          </w:p>
        </w:tc>
        <w:tc>
          <w:tcPr>
            <w:tcW w:w="992" w:type="dxa"/>
          </w:tcPr>
          <w:p w14:paraId="00D3BCE9" w14:textId="77777777" w:rsidR="008D1AE9" w:rsidRPr="0098635C" w:rsidRDefault="008D1AE9" w:rsidP="00AF385A">
            <w:pPr>
              <w:pStyle w:val="NoteLevel211"/>
              <w:rPr>
                <w:color w:val="000000" w:themeColor="text1"/>
              </w:rPr>
            </w:pPr>
            <w:bookmarkStart w:id="1475" w:name="_Toc472000161"/>
            <w:bookmarkStart w:id="1476" w:name="_Toc472251524"/>
            <w:r w:rsidRPr="0098635C">
              <w:rPr>
                <w:color w:val="000000" w:themeColor="text1"/>
              </w:rPr>
              <w:t>Copper sulphate pentahydrate</w:t>
            </w:r>
            <w:bookmarkEnd w:id="1475"/>
            <w:bookmarkEnd w:id="1476"/>
          </w:p>
        </w:tc>
        <w:tc>
          <w:tcPr>
            <w:tcW w:w="1417" w:type="dxa"/>
          </w:tcPr>
          <w:p w14:paraId="5602F210" w14:textId="77777777" w:rsidR="008D1AE9" w:rsidRPr="0098635C" w:rsidRDefault="008D1AE9" w:rsidP="00AF385A">
            <w:pPr>
              <w:pStyle w:val="NoteLevel211"/>
              <w:rPr>
                <w:color w:val="000000" w:themeColor="text1"/>
              </w:rPr>
            </w:pPr>
            <w:bookmarkStart w:id="1477" w:name="_Toc472000162"/>
            <w:bookmarkStart w:id="1478" w:name="_Toc472251525"/>
            <w:r w:rsidRPr="0098635C">
              <w:rPr>
                <w:color w:val="000000" w:themeColor="text1"/>
              </w:rPr>
              <w:t>OECD 405</w:t>
            </w:r>
            <w:bookmarkEnd w:id="1477"/>
            <w:bookmarkEnd w:id="1478"/>
          </w:p>
          <w:p w14:paraId="4A0D2B3A" w14:textId="77777777" w:rsidR="008D1AE9" w:rsidRPr="0098635C" w:rsidRDefault="008D1AE9" w:rsidP="00AF385A">
            <w:pPr>
              <w:pStyle w:val="NoteLevel211"/>
              <w:rPr>
                <w:color w:val="000000" w:themeColor="text1"/>
              </w:rPr>
            </w:pPr>
            <w:bookmarkStart w:id="1479" w:name="_Toc472000163"/>
            <w:bookmarkStart w:id="1480" w:name="_Toc472251526"/>
            <w:r w:rsidRPr="0098635C">
              <w:rPr>
                <w:color w:val="000000" w:themeColor="text1"/>
              </w:rPr>
              <w:t>EU Method B5 (no washout)</w:t>
            </w:r>
            <w:bookmarkEnd w:id="1479"/>
            <w:bookmarkEnd w:id="1480"/>
          </w:p>
        </w:tc>
        <w:tc>
          <w:tcPr>
            <w:tcW w:w="993" w:type="dxa"/>
          </w:tcPr>
          <w:p w14:paraId="76402616" w14:textId="77777777" w:rsidR="008D1AE9" w:rsidRPr="0098635C" w:rsidRDefault="008D1AE9" w:rsidP="00AF385A">
            <w:pPr>
              <w:pStyle w:val="NoteLevel211"/>
              <w:rPr>
                <w:color w:val="000000" w:themeColor="text1"/>
              </w:rPr>
            </w:pPr>
            <w:bookmarkStart w:id="1481" w:name="_Toc472000164"/>
            <w:bookmarkStart w:id="1482" w:name="_Toc472251527"/>
            <w:r w:rsidRPr="0098635C">
              <w:rPr>
                <w:color w:val="000000" w:themeColor="text1"/>
              </w:rPr>
              <w:t>2.3, 2, 3.3</w:t>
            </w:r>
            <w:bookmarkEnd w:id="1481"/>
            <w:bookmarkEnd w:id="1482"/>
          </w:p>
        </w:tc>
        <w:tc>
          <w:tcPr>
            <w:tcW w:w="992" w:type="dxa"/>
          </w:tcPr>
          <w:p w14:paraId="160207EA" w14:textId="77777777" w:rsidR="008D1AE9" w:rsidRPr="0098635C" w:rsidRDefault="008D1AE9" w:rsidP="00AF385A">
            <w:pPr>
              <w:pStyle w:val="NoteLevel211"/>
              <w:rPr>
                <w:color w:val="000000" w:themeColor="text1"/>
              </w:rPr>
            </w:pPr>
            <w:bookmarkStart w:id="1483" w:name="_Toc472000165"/>
            <w:bookmarkStart w:id="1484" w:name="_Toc472251528"/>
            <w:r w:rsidRPr="0098635C">
              <w:rPr>
                <w:color w:val="000000" w:themeColor="text1"/>
              </w:rPr>
              <w:t>1, 1, 1</w:t>
            </w:r>
            <w:bookmarkEnd w:id="1483"/>
            <w:bookmarkEnd w:id="1484"/>
          </w:p>
        </w:tc>
        <w:tc>
          <w:tcPr>
            <w:tcW w:w="992" w:type="dxa"/>
          </w:tcPr>
          <w:p w14:paraId="66F66177" w14:textId="77777777" w:rsidR="008D1AE9" w:rsidRPr="0098635C" w:rsidRDefault="008D1AE9" w:rsidP="00AF385A">
            <w:pPr>
              <w:pStyle w:val="NoteLevel211"/>
              <w:rPr>
                <w:color w:val="000000" w:themeColor="text1"/>
              </w:rPr>
            </w:pPr>
            <w:bookmarkStart w:id="1485" w:name="_Toc472000166"/>
            <w:bookmarkStart w:id="1486" w:name="_Toc472251529"/>
            <w:r w:rsidRPr="0098635C">
              <w:rPr>
                <w:color w:val="000000" w:themeColor="text1"/>
              </w:rPr>
              <w:t>2, 2, 2</w:t>
            </w:r>
            <w:bookmarkEnd w:id="1485"/>
            <w:bookmarkEnd w:id="1486"/>
          </w:p>
        </w:tc>
        <w:tc>
          <w:tcPr>
            <w:tcW w:w="992" w:type="dxa"/>
          </w:tcPr>
          <w:p w14:paraId="1505FAAF" w14:textId="77777777" w:rsidR="008D1AE9" w:rsidRPr="0098635C" w:rsidRDefault="008D1AE9" w:rsidP="00AF385A">
            <w:pPr>
              <w:pStyle w:val="NoteLevel211"/>
              <w:rPr>
                <w:color w:val="000000" w:themeColor="text1"/>
              </w:rPr>
            </w:pPr>
            <w:bookmarkStart w:id="1487" w:name="_Toc472000167"/>
            <w:bookmarkStart w:id="1488" w:name="_Toc472251530"/>
            <w:r w:rsidRPr="0098635C">
              <w:rPr>
                <w:color w:val="000000" w:themeColor="text1"/>
              </w:rPr>
              <w:t>4, 4, 3.3</w:t>
            </w:r>
            <w:bookmarkEnd w:id="1487"/>
            <w:bookmarkEnd w:id="1488"/>
          </w:p>
        </w:tc>
        <w:tc>
          <w:tcPr>
            <w:tcW w:w="2268" w:type="dxa"/>
          </w:tcPr>
          <w:p w14:paraId="216EC6FF" w14:textId="14C1CD71" w:rsidR="008D1AE9" w:rsidRPr="0098635C" w:rsidRDefault="008D1AE9" w:rsidP="00AF385A">
            <w:pPr>
              <w:pStyle w:val="NoteLevel211"/>
              <w:rPr>
                <w:color w:val="000000" w:themeColor="text1"/>
              </w:rPr>
            </w:pPr>
            <w:bookmarkStart w:id="1489" w:name="_Toc472000168"/>
            <w:bookmarkStart w:id="1490" w:name="_Toc472251531"/>
            <w:r w:rsidRPr="0098635C">
              <w:rPr>
                <w:color w:val="000000" w:themeColor="text1"/>
              </w:rPr>
              <w:t xml:space="preserve">Lesions observed at 72h were still present in the 3 rabbits after 21d. The test material showed severe </w:t>
            </w:r>
            <w:r w:rsidR="00F35D64" w:rsidRPr="0098635C">
              <w:rPr>
                <w:color w:val="000000" w:themeColor="text1"/>
              </w:rPr>
              <w:t>ocular</w:t>
            </w:r>
            <w:r w:rsidRPr="0098635C">
              <w:rPr>
                <w:color w:val="000000" w:themeColor="text1"/>
              </w:rPr>
              <w:t xml:space="preserve"> irritation and other lesions.</w:t>
            </w:r>
            <w:bookmarkEnd w:id="1489"/>
            <w:bookmarkEnd w:id="1490"/>
          </w:p>
        </w:tc>
      </w:tr>
      <w:tr w:rsidR="008D1AE9" w:rsidRPr="0098635C" w14:paraId="505AAA47" w14:textId="77777777" w:rsidTr="00AF385A">
        <w:tc>
          <w:tcPr>
            <w:tcW w:w="1101" w:type="dxa"/>
          </w:tcPr>
          <w:p w14:paraId="4DAFFF7E" w14:textId="77777777" w:rsidR="008D1AE9" w:rsidRPr="0098635C" w:rsidRDefault="008D1AE9" w:rsidP="00AF385A">
            <w:pPr>
              <w:pStyle w:val="NoteLevel211"/>
              <w:rPr>
                <w:color w:val="000000" w:themeColor="text1"/>
              </w:rPr>
            </w:pPr>
            <w:bookmarkStart w:id="1491" w:name="_Toc472000169"/>
            <w:bookmarkStart w:id="1492" w:name="_Toc472251532"/>
            <w:r w:rsidRPr="0098635C">
              <w:rPr>
                <w:color w:val="000000" w:themeColor="text1"/>
              </w:rPr>
              <w:t>Luperi &amp; Forster (1987d)</w:t>
            </w:r>
            <w:r w:rsidRPr="0098635C">
              <w:rPr>
                <w:b/>
                <w:i/>
                <w:color w:val="000000" w:themeColor="text1"/>
                <w:vertAlign w:val="superscript"/>
              </w:rPr>
              <w:t xml:space="preserve"> #</w:t>
            </w:r>
            <w:bookmarkEnd w:id="1491"/>
            <w:bookmarkEnd w:id="1492"/>
          </w:p>
        </w:tc>
        <w:tc>
          <w:tcPr>
            <w:tcW w:w="992" w:type="dxa"/>
          </w:tcPr>
          <w:p w14:paraId="73E95458" w14:textId="333B20BD" w:rsidR="008D1AE9" w:rsidRPr="0098635C" w:rsidRDefault="00236182" w:rsidP="00AF385A">
            <w:pPr>
              <w:pStyle w:val="NoteLevel211"/>
              <w:rPr>
                <w:color w:val="000000" w:themeColor="text1"/>
              </w:rPr>
            </w:pPr>
            <w:r w:rsidRPr="0098635C">
              <w:rPr>
                <w:color w:val="000000" w:themeColor="text1"/>
              </w:rPr>
              <w:t>Dicopper chloride trihydroxide</w:t>
            </w:r>
          </w:p>
        </w:tc>
        <w:tc>
          <w:tcPr>
            <w:tcW w:w="1417" w:type="dxa"/>
          </w:tcPr>
          <w:p w14:paraId="5955B06C" w14:textId="77777777" w:rsidR="008D1AE9" w:rsidRPr="0098635C" w:rsidRDefault="008D1AE9" w:rsidP="00AF385A">
            <w:pPr>
              <w:pStyle w:val="NoteLevel211"/>
              <w:rPr>
                <w:color w:val="000000" w:themeColor="text1"/>
                <w:lang w:val="nl-BE"/>
              </w:rPr>
            </w:pPr>
            <w:bookmarkStart w:id="1493" w:name="_Toc472000171"/>
            <w:bookmarkStart w:id="1494" w:name="_Toc472251534"/>
            <w:r w:rsidRPr="0098635C">
              <w:rPr>
                <w:color w:val="000000" w:themeColor="text1"/>
                <w:lang w:val="nl-BE"/>
              </w:rPr>
              <w:t>EU Method B5</w:t>
            </w:r>
            <w:bookmarkEnd w:id="1493"/>
            <w:bookmarkEnd w:id="1494"/>
          </w:p>
          <w:p w14:paraId="475E1433" w14:textId="77777777" w:rsidR="008D1AE9" w:rsidRPr="0098635C" w:rsidRDefault="008D1AE9" w:rsidP="00AF385A">
            <w:pPr>
              <w:pStyle w:val="NoteLevel211"/>
              <w:rPr>
                <w:color w:val="000000" w:themeColor="text1"/>
                <w:lang w:val="nl-BE"/>
              </w:rPr>
            </w:pPr>
            <w:bookmarkStart w:id="1495" w:name="_Toc472000172"/>
            <w:bookmarkStart w:id="1496" w:name="_Toc472251535"/>
            <w:r w:rsidRPr="0098635C">
              <w:rPr>
                <w:color w:val="000000" w:themeColor="text1"/>
                <w:lang w:val="nl-BE"/>
              </w:rPr>
              <w:t>OECD 405</w:t>
            </w:r>
            <w:bookmarkEnd w:id="1495"/>
            <w:bookmarkEnd w:id="1496"/>
          </w:p>
          <w:p w14:paraId="7F39B0C1" w14:textId="77777777" w:rsidR="008D1AE9" w:rsidRPr="0098635C" w:rsidRDefault="008D1AE9" w:rsidP="00AF385A">
            <w:pPr>
              <w:pStyle w:val="NoteLevel211"/>
              <w:rPr>
                <w:color w:val="000000" w:themeColor="text1"/>
                <w:lang w:val="nl-BE"/>
              </w:rPr>
            </w:pPr>
            <w:bookmarkStart w:id="1497" w:name="_Toc472000173"/>
            <w:bookmarkStart w:id="1498" w:name="_Toc472251536"/>
            <w:r w:rsidRPr="0098635C">
              <w:rPr>
                <w:color w:val="000000" w:themeColor="text1"/>
                <w:lang w:val="nl-BE"/>
              </w:rPr>
              <w:t>EPA OTS 798.4500</w:t>
            </w:r>
            <w:bookmarkEnd w:id="1497"/>
            <w:bookmarkEnd w:id="1498"/>
          </w:p>
        </w:tc>
        <w:tc>
          <w:tcPr>
            <w:tcW w:w="993" w:type="dxa"/>
          </w:tcPr>
          <w:p w14:paraId="633EE036" w14:textId="77777777" w:rsidR="008D1AE9" w:rsidRPr="0098635C" w:rsidRDefault="008D1AE9" w:rsidP="00AF385A">
            <w:pPr>
              <w:pStyle w:val="NoteLevel211"/>
              <w:rPr>
                <w:color w:val="000000" w:themeColor="text1"/>
              </w:rPr>
            </w:pPr>
            <w:bookmarkStart w:id="1499" w:name="_Toc472000174"/>
            <w:bookmarkStart w:id="1500" w:name="_Toc472251537"/>
            <w:r w:rsidRPr="0098635C">
              <w:rPr>
                <w:color w:val="000000" w:themeColor="text1"/>
              </w:rPr>
              <w:t>1.0</w:t>
            </w:r>
            <w:bookmarkEnd w:id="1499"/>
            <w:bookmarkEnd w:id="1500"/>
          </w:p>
        </w:tc>
        <w:tc>
          <w:tcPr>
            <w:tcW w:w="992" w:type="dxa"/>
          </w:tcPr>
          <w:p w14:paraId="7E2C5A72" w14:textId="77777777" w:rsidR="008D1AE9" w:rsidRPr="0098635C" w:rsidRDefault="008D1AE9" w:rsidP="00AF385A">
            <w:pPr>
              <w:pStyle w:val="NoteLevel211"/>
              <w:rPr>
                <w:color w:val="000000" w:themeColor="text1"/>
              </w:rPr>
            </w:pPr>
            <w:bookmarkStart w:id="1501" w:name="_Toc472000175"/>
            <w:bookmarkStart w:id="1502" w:name="_Toc472251538"/>
            <w:r w:rsidRPr="0098635C">
              <w:rPr>
                <w:color w:val="000000" w:themeColor="text1"/>
              </w:rPr>
              <w:t>0.4</w:t>
            </w:r>
            <w:bookmarkEnd w:id="1501"/>
            <w:bookmarkEnd w:id="1502"/>
          </w:p>
        </w:tc>
        <w:tc>
          <w:tcPr>
            <w:tcW w:w="992" w:type="dxa"/>
          </w:tcPr>
          <w:p w14:paraId="0696B7A9" w14:textId="77777777" w:rsidR="008D1AE9" w:rsidRPr="0098635C" w:rsidRDefault="008D1AE9" w:rsidP="00AF385A">
            <w:pPr>
              <w:pStyle w:val="NoteLevel211"/>
              <w:rPr>
                <w:color w:val="000000" w:themeColor="text1"/>
              </w:rPr>
            </w:pPr>
            <w:bookmarkStart w:id="1503" w:name="_Toc472000176"/>
            <w:bookmarkStart w:id="1504" w:name="_Toc472251539"/>
            <w:r w:rsidRPr="0098635C">
              <w:rPr>
                <w:color w:val="000000" w:themeColor="text1"/>
              </w:rPr>
              <w:t>0.9</w:t>
            </w:r>
            <w:bookmarkEnd w:id="1503"/>
            <w:bookmarkEnd w:id="1504"/>
          </w:p>
        </w:tc>
        <w:tc>
          <w:tcPr>
            <w:tcW w:w="992" w:type="dxa"/>
          </w:tcPr>
          <w:p w14:paraId="5F1085C4" w14:textId="77777777" w:rsidR="008D1AE9" w:rsidRPr="0098635C" w:rsidRDefault="008D1AE9" w:rsidP="00AF385A">
            <w:pPr>
              <w:pStyle w:val="NoteLevel211"/>
              <w:rPr>
                <w:color w:val="000000" w:themeColor="text1"/>
              </w:rPr>
            </w:pPr>
            <w:bookmarkStart w:id="1505" w:name="_Toc472000177"/>
            <w:bookmarkStart w:id="1506" w:name="_Toc472251540"/>
            <w:r w:rsidRPr="0098635C">
              <w:rPr>
                <w:color w:val="000000" w:themeColor="text1"/>
              </w:rPr>
              <w:t>1.3</w:t>
            </w:r>
            <w:bookmarkEnd w:id="1505"/>
            <w:bookmarkEnd w:id="1506"/>
          </w:p>
        </w:tc>
        <w:tc>
          <w:tcPr>
            <w:tcW w:w="2268" w:type="dxa"/>
          </w:tcPr>
          <w:p w14:paraId="17E892F6" w14:textId="77777777" w:rsidR="008D1AE9" w:rsidRPr="0098635C" w:rsidRDefault="008D1AE9" w:rsidP="00AF385A">
            <w:pPr>
              <w:pStyle w:val="NoteLevel211"/>
              <w:rPr>
                <w:color w:val="000000" w:themeColor="text1"/>
              </w:rPr>
            </w:pPr>
            <w:bookmarkStart w:id="1507" w:name="_Toc472000178"/>
            <w:bookmarkStart w:id="1508" w:name="_Toc472251541"/>
            <w:r w:rsidRPr="0098635C">
              <w:rPr>
                <w:color w:val="000000" w:themeColor="text1"/>
              </w:rPr>
              <w:t>Corneal effects (day 14)</w:t>
            </w:r>
            <w:bookmarkEnd w:id="1507"/>
            <w:bookmarkEnd w:id="1508"/>
          </w:p>
        </w:tc>
      </w:tr>
      <w:tr w:rsidR="008D1AE9" w:rsidRPr="0098635C" w14:paraId="7272BA14" w14:textId="77777777" w:rsidTr="00AF385A">
        <w:tc>
          <w:tcPr>
            <w:tcW w:w="1101" w:type="dxa"/>
          </w:tcPr>
          <w:p w14:paraId="41434780" w14:textId="77777777" w:rsidR="008D1AE9" w:rsidRPr="0098635C" w:rsidRDefault="008D1AE9" w:rsidP="00AF385A">
            <w:pPr>
              <w:pStyle w:val="NoteLevel211"/>
              <w:rPr>
                <w:color w:val="000000" w:themeColor="text1"/>
              </w:rPr>
            </w:pPr>
            <w:bookmarkStart w:id="1509" w:name="_Toc472000179"/>
            <w:bookmarkStart w:id="1510" w:name="_Toc472251542"/>
            <w:r w:rsidRPr="0098635C">
              <w:rPr>
                <w:color w:val="000000" w:themeColor="text1"/>
              </w:rPr>
              <w:t>Deenihan (1987d)</w:t>
            </w:r>
            <w:r w:rsidRPr="0098635C">
              <w:rPr>
                <w:b/>
                <w:i/>
                <w:color w:val="000000" w:themeColor="text1"/>
                <w:vertAlign w:val="superscript"/>
              </w:rPr>
              <w:t xml:space="preserve"> #</w:t>
            </w:r>
            <w:bookmarkEnd w:id="1509"/>
            <w:bookmarkEnd w:id="1510"/>
          </w:p>
        </w:tc>
        <w:tc>
          <w:tcPr>
            <w:tcW w:w="992" w:type="dxa"/>
          </w:tcPr>
          <w:p w14:paraId="4D1ACDF2" w14:textId="49E08B9B" w:rsidR="008D1AE9" w:rsidRPr="0098635C" w:rsidRDefault="00236182" w:rsidP="00AF385A">
            <w:pPr>
              <w:pStyle w:val="NoteLevel211"/>
              <w:rPr>
                <w:color w:val="000000" w:themeColor="text1"/>
              </w:rPr>
            </w:pPr>
            <w:r w:rsidRPr="0098635C">
              <w:rPr>
                <w:color w:val="000000" w:themeColor="text1"/>
              </w:rPr>
              <w:t>Dicopper chloride trihydroxide</w:t>
            </w:r>
          </w:p>
        </w:tc>
        <w:tc>
          <w:tcPr>
            <w:tcW w:w="1417" w:type="dxa"/>
          </w:tcPr>
          <w:p w14:paraId="185B8B97" w14:textId="69DD3689" w:rsidR="008D1AE9" w:rsidRPr="0098635C" w:rsidRDefault="008D1AE9" w:rsidP="00AF385A">
            <w:pPr>
              <w:pStyle w:val="NoteLevel211"/>
              <w:rPr>
                <w:color w:val="000000" w:themeColor="text1"/>
              </w:rPr>
            </w:pPr>
            <w:bookmarkStart w:id="1511" w:name="_Toc472000181"/>
            <w:bookmarkStart w:id="1512" w:name="_Toc472251544"/>
            <w:r w:rsidRPr="0098635C">
              <w:rPr>
                <w:color w:val="000000" w:themeColor="text1"/>
              </w:rPr>
              <w:t xml:space="preserve">US EPA </w:t>
            </w:r>
            <w:r w:rsidR="00214E8E" w:rsidRPr="0098635C">
              <w:rPr>
                <w:color w:val="000000" w:themeColor="text1"/>
              </w:rPr>
              <w:t xml:space="preserve">OPP </w:t>
            </w:r>
            <w:r w:rsidRPr="0098635C">
              <w:rPr>
                <w:color w:val="000000" w:themeColor="text1"/>
              </w:rPr>
              <w:t>81-4 (washing after 24h)</w:t>
            </w:r>
            <w:bookmarkEnd w:id="1511"/>
            <w:bookmarkEnd w:id="1512"/>
          </w:p>
        </w:tc>
        <w:tc>
          <w:tcPr>
            <w:tcW w:w="993" w:type="dxa"/>
          </w:tcPr>
          <w:p w14:paraId="0B06EF0F" w14:textId="77777777" w:rsidR="008D1AE9" w:rsidRPr="0098635C" w:rsidRDefault="008D1AE9" w:rsidP="00AF385A">
            <w:pPr>
              <w:pStyle w:val="NoteLevel211"/>
              <w:rPr>
                <w:color w:val="000000" w:themeColor="text1"/>
              </w:rPr>
            </w:pPr>
            <w:bookmarkStart w:id="1513" w:name="_Toc472000182"/>
            <w:bookmarkStart w:id="1514" w:name="_Toc472251545"/>
            <w:r w:rsidRPr="0098635C">
              <w:rPr>
                <w:color w:val="000000" w:themeColor="text1"/>
              </w:rPr>
              <w:t>0.8</w:t>
            </w:r>
            <w:bookmarkEnd w:id="1513"/>
            <w:bookmarkEnd w:id="1514"/>
          </w:p>
        </w:tc>
        <w:tc>
          <w:tcPr>
            <w:tcW w:w="992" w:type="dxa"/>
          </w:tcPr>
          <w:p w14:paraId="240DC5B4" w14:textId="77777777" w:rsidR="008D1AE9" w:rsidRPr="0098635C" w:rsidRDefault="008D1AE9" w:rsidP="00AF385A">
            <w:pPr>
              <w:pStyle w:val="NoteLevel211"/>
              <w:rPr>
                <w:color w:val="000000" w:themeColor="text1"/>
              </w:rPr>
            </w:pPr>
            <w:bookmarkStart w:id="1515" w:name="_Toc472000183"/>
            <w:bookmarkStart w:id="1516" w:name="_Toc472251546"/>
            <w:r w:rsidRPr="0098635C">
              <w:rPr>
                <w:color w:val="000000" w:themeColor="text1"/>
              </w:rPr>
              <w:t>0.4</w:t>
            </w:r>
            <w:bookmarkEnd w:id="1515"/>
            <w:bookmarkEnd w:id="1516"/>
          </w:p>
        </w:tc>
        <w:tc>
          <w:tcPr>
            <w:tcW w:w="992" w:type="dxa"/>
          </w:tcPr>
          <w:p w14:paraId="3F664728" w14:textId="77777777" w:rsidR="008D1AE9" w:rsidRPr="0098635C" w:rsidRDefault="008D1AE9" w:rsidP="00AF385A">
            <w:pPr>
              <w:pStyle w:val="NoteLevel211"/>
              <w:rPr>
                <w:color w:val="000000" w:themeColor="text1"/>
              </w:rPr>
            </w:pPr>
            <w:bookmarkStart w:id="1517" w:name="_Toc472000184"/>
            <w:bookmarkStart w:id="1518" w:name="_Toc472251547"/>
            <w:r w:rsidRPr="0098635C">
              <w:rPr>
                <w:color w:val="000000" w:themeColor="text1"/>
              </w:rPr>
              <w:t>1.9</w:t>
            </w:r>
            <w:bookmarkEnd w:id="1517"/>
            <w:bookmarkEnd w:id="1518"/>
          </w:p>
        </w:tc>
        <w:tc>
          <w:tcPr>
            <w:tcW w:w="992" w:type="dxa"/>
          </w:tcPr>
          <w:p w14:paraId="51C4AF48" w14:textId="77777777" w:rsidR="008D1AE9" w:rsidRPr="0098635C" w:rsidRDefault="008D1AE9" w:rsidP="00AF385A">
            <w:pPr>
              <w:pStyle w:val="NoteLevel211"/>
              <w:rPr>
                <w:color w:val="000000" w:themeColor="text1"/>
              </w:rPr>
            </w:pPr>
            <w:bookmarkStart w:id="1519" w:name="_Toc472000185"/>
            <w:bookmarkStart w:id="1520" w:name="_Toc472251548"/>
            <w:r w:rsidRPr="0098635C">
              <w:rPr>
                <w:color w:val="000000" w:themeColor="text1"/>
              </w:rPr>
              <w:t>1.2</w:t>
            </w:r>
            <w:bookmarkEnd w:id="1519"/>
            <w:bookmarkEnd w:id="1520"/>
          </w:p>
        </w:tc>
        <w:tc>
          <w:tcPr>
            <w:tcW w:w="2268" w:type="dxa"/>
          </w:tcPr>
          <w:p w14:paraId="018550A0" w14:textId="77777777" w:rsidR="008D1AE9" w:rsidRPr="0098635C" w:rsidRDefault="008D1AE9" w:rsidP="00AF385A">
            <w:pPr>
              <w:pStyle w:val="NoteLevel211"/>
              <w:rPr>
                <w:color w:val="000000" w:themeColor="text1"/>
              </w:rPr>
            </w:pPr>
            <w:bookmarkStart w:id="1521" w:name="_Toc472000186"/>
            <w:bookmarkStart w:id="1522" w:name="_Toc472251549"/>
            <w:r w:rsidRPr="0098635C">
              <w:rPr>
                <w:color w:val="000000" w:themeColor="text1"/>
              </w:rPr>
              <w:t>Corneal and conjunctival effects (day 7)</w:t>
            </w:r>
            <w:bookmarkEnd w:id="1521"/>
            <w:bookmarkEnd w:id="1522"/>
          </w:p>
        </w:tc>
      </w:tr>
      <w:tr w:rsidR="008D1AE9" w:rsidRPr="0098635C" w14:paraId="6EEE085F" w14:textId="77777777" w:rsidTr="00AF385A">
        <w:tc>
          <w:tcPr>
            <w:tcW w:w="1101" w:type="dxa"/>
          </w:tcPr>
          <w:p w14:paraId="365974B3" w14:textId="77777777" w:rsidR="008D1AE9" w:rsidRPr="0098635C" w:rsidRDefault="008D1AE9" w:rsidP="00AF385A">
            <w:pPr>
              <w:pStyle w:val="NoteLevel211"/>
              <w:rPr>
                <w:color w:val="000000" w:themeColor="text1"/>
              </w:rPr>
            </w:pPr>
            <w:bookmarkStart w:id="1523" w:name="_Toc472000187"/>
            <w:bookmarkStart w:id="1524" w:name="_Toc472251550"/>
            <w:r w:rsidRPr="0098635C">
              <w:rPr>
                <w:color w:val="000000" w:themeColor="text1"/>
              </w:rPr>
              <w:t>Jackson (1994d)</w:t>
            </w:r>
            <w:r w:rsidRPr="0098635C">
              <w:rPr>
                <w:b/>
                <w:i/>
                <w:color w:val="000000" w:themeColor="text1"/>
                <w:vertAlign w:val="superscript"/>
              </w:rPr>
              <w:t xml:space="preserve"> #</w:t>
            </w:r>
            <w:bookmarkEnd w:id="1523"/>
            <w:bookmarkEnd w:id="1524"/>
          </w:p>
        </w:tc>
        <w:tc>
          <w:tcPr>
            <w:tcW w:w="992" w:type="dxa"/>
          </w:tcPr>
          <w:p w14:paraId="20DEB78B" w14:textId="3928047D" w:rsidR="008D1AE9" w:rsidRPr="0098635C" w:rsidRDefault="00236182" w:rsidP="00AF385A">
            <w:pPr>
              <w:pStyle w:val="NoteLevel211"/>
              <w:rPr>
                <w:color w:val="000000" w:themeColor="text1"/>
              </w:rPr>
            </w:pPr>
            <w:r w:rsidRPr="0098635C">
              <w:rPr>
                <w:color w:val="000000" w:themeColor="text1"/>
              </w:rPr>
              <w:t>Dicopper chloride trihydroxide</w:t>
            </w:r>
          </w:p>
        </w:tc>
        <w:tc>
          <w:tcPr>
            <w:tcW w:w="1417" w:type="dxa"/>
          </w:tcPr>
          <w:p w14:paraId="1B341209" w14:textId="77777777" w:rsidR="008D1AE9" w:rsidRPr="0098635C" w:rsidRDefault="008D1AE9" w:rsidP="00AF385A">
            <w:pPr>
              <w:pStyle w:val="NoteLevel211"/>
              <w:rPr>
                <w:color w:val="000000" w:themeColor="text1"/>
              </w:rPr>
            </w:pPr>
            <w:bookmarkStart w:id="1525" w:name="_Toc472000189"/>
            <w:bookmarkStart w:id="1526" w:name="_Toc472251552"/>
            <w:r w:rsidRPr="0098635C">
              <w:rPr>
                <w:color w:val="000000" w:themeColor="text1"/>
              </w:rPr>
              <w:t>EU Method B5</w:t>
            </w:r>
            <w:bookmarkEnd w:id="1525"/>
            <w:bookmarkEnd w:id="1526"/>
          </w:p>
          <w:p w14:paraId="37A4A223" w14:textId="77777777" w:rsidR="008D1AE9" w:rsidRPr="0098635C" w:rsidRDefault="008D1AE9" w:rsidP="00AF385A">
            <w:pPr>
              <w:pStyle w:val="NoteLevel211"/>
              <w:rPr>
                <w:color w:val="000000" w:themeColor="text1"/>
              </w:rPr>
            </w:pPr>
            <w:bookmarkStart w:id="1527" w:name="_Toc472000190"/>
            <w:bookmarkStart w:id="1528" w:name="_Toc472251553"/>
            <w:r w:rsidRPr="0098635C">
              <w:rPr>
                <w:color w:val="000000" w:themeColor="text1"/>
              </w:rPr>
              <w:t>OECD 405 (no washing)</w:t>
            </w:r>
            <w:bookmarkEnd w:id="1527"/>
            <w:bookmarkEnd w:id="1528"/>
          </w:p>
        </w:tc>
        <w:tc>
          <w:tcPr>
            <w:tcW w:w="993" w:type="dxa"/>
          </w:tcPr>
          <w:p w14:paraId="41ECDB67" w14:textId="77777777" w:rsidR="008D1AE9" w:rsidRPr="0098635C" w:rsidRDefault="008D1AE9" w:rsidP="00AF385A">
            <w:pPr>
              <w:pStyle w:val="NoteLevel211"/>
              <w:rPr>
                <w:color w:val="000000" w:themeColor="text1"/>
              </w:rPr>
            </w:pPr>
            <w:bookmarkStart w:id="1529" w:name="_Toc472000191"/>
            <w:bookmarkStart w:id="1530" w:name="_Toc472251554"/>
            <w:r w:rsidRPr="0098635C">
              <w:rPr>
                <w:color w:val="000000" w:themeColor="text1"/>
              </w:rPr>
              <w:t>0, 0, 0</w:t>
            </w:r>
            <w:bookmarkEnd w:id="1529"/>
            <w:bookmarkEnd w:id="1530"/>
          </w:p>
        </w:tc>
        <w:tc>
          <w:tcPr>
            <w:tcW w:w="992" w:type="dxa"/>
          </w:tcPr>
          <w:p w14:paraId="36A9CB38" w14:textId="77777777" w:rsidR="008D1AE9" w:rsidRPr="0098635C" w:rsidRDefault="008D1AE9" w:rsidP="00AF385A">
            <w:pPr>
              <w:pStyle w:val="NoteLevel211"/>
              <w:rPr>
                <w:color w:val="000000" w:themeColor="text1"/>
              </w:rPr>
            </w:pPr>
            <w:bookmarkStart w:id="1531" w:name="_Toc472000192"/>
            <w:bookmarkStart w:id="1532" w:name="_Toc472251555"/>
            <w:r w:rsidRPr="0098635C">
              <w:rPr>
                <w:color w:val="000000" w:themeColor="text1"/>
              </w:rPr>
              <w:t>0.3, 0, 1</w:t>
            </w:r>
            <w:bookmarkEnd w:id="1531"/>
            <w:bookmarkEnd w:id="1532"/>
          </w:p>
        </w:tc>
        <w:tc>
          <w:tcPr>
            <w:tcW w:w="992" w:type="dxa"/>
          </w:tcPr>
          <w:p w14:paraId="2AE60427" w14:textId="77777777" w:rsidR="008D1AE9" w:rsidRPr="0098635C" w:rsidRDefault="008D1AE9" w:rsidP="00AF385A">
            <w:pPr>
              <w:pStyle w:val="NoteLevel211"/>
              <w:rPr>
                <w:color w:val="000000" w:themeColor="text1"/>
              </w:rPr>
            </w:pPr>
            <w:bookmarkStart w:id="1533" w:name="_Toc472000193"/>
            <w:bookmarkStart w:id="1534" w:name="_Toc472251556"/>
            <w:r w:rsidRPr="0098635C">
              <w:rPr>
                <w:color w:val="000000" w:themeColor="text1"/>
              </w:rPr>
              <w:t>0.3, 0.3, 0.7</w:t>
            </w:r>
            <w:bookmarkEnd w:id="1533"/>
            <w:bookmarkEnd w:id="1534"/>
          </w:p>
        </w:tc>
        <w:tc>
          <w:tcPr>
            <w:tcW w:w="992" w:type="dxa"/>
          </w:tcPr>
          <w:p w14:paraId="553A19B8" w14:textId="77777777" w:rsidR="008D1AE9" w:rsidRPr="0098635C" w:rsidRDefault="008D1AE9" w:rsidP="00AF385A">
            <w:pPr>
              <w:pStyle w:val="NoteLevel211"/>
              <w:rPr>
                <w:color w:val="000000" w:themeColor="text1"/>
              </w:rPr>
            </w:pPr>
            <w:bookmarkStart w:id="1535" w:name="_Toc472000194"/>
            <w:bookmarkStart w:id="1536" w:name="_Toc472251557"/>
            <w:r w:rsidRPr="0098635C">
              <w:rPr>
                <w:color w:val="000000" w:themeColor="text1"/>
              </w:rPr>
              <w:t>0, 0, 0</w:t>
            </w:r>
            <w:bookmarkEnd w:id="1535"/>
            <w:bookmarkEnd w:id="1536"/>
          </w:p>
        </w:tc>
        <w:tc>
          <w:tcPr>
            <w:tcW w:w="2268" w:type="dxa"/>
          </w:tcPr>
          <w:p w14:paraId="30F9819C" w14:textId="77777777" w:rsidR="008D1AE9" w:rsidRPr="0098635C" w:rsidRDefault="008D1AE9" w:rsidP="00AF385A">
            <w:pPr>
              <w:pStyle w:val="NoteLevel211"/>
              <w:rPr>
                <w:color w:val="000000" w:themeColor="text1"/>
              </w:rPr>
            </w:pPr>
            <w:bookmarkStart w:id="1537" w:name="_Toc472000195"/>
            <w:bookmarkStart w:id="1538" w:name="_Toc472251558"/>
            <w:r w:rsidRPr="0098635C">
              <w:rPr>
                <w:color w:val="000000" w:themeColor="text1"/>
              </w:rPr>
              <w:t>Conjunctival effects (day 5)</w:t>
            </w:r>
            <w:bookmarkEnd w:id="1537"/>
            <w:bookmarkEnd w:id="1538"/>
          </w:p>
        </w:tc>
      </w:tr>
      <w:tr w:rsidR="008D1AE9" w:rsidRPr="0098635C" w14:paraId="416AF6D9" w14:textId="77777777" w:rsidTr="00AF385A">
        <w:tc>
          <w:tcPr>
            <w:tcW w:w="1101" w:type="dxa"/>
          </w:tcPr>
          <w:p w14:paraId="3CC42863" w14:textId="77777777" w:rsidR="008D1AE9" w:rsidRPr="0098635C" w:rsidRDefault="008D1AE9" w:rsidP="00AF385A">
            <w:pPr>
              <w:pStyle w:val="NoteLevel211"/>
              <w:rPr>
                <w:color w:val="000000" w:themeColor="text1"/>
              </w:rPr>
            </w:pPr>
            <w:bookmarkStart w:id="1539" w:name="_Toc472000196"/>
            <w:bookmarkStart w:id="1540" w:name="_Toc472251559"/>
            <w:r w:rsidRPr="0098635C">
              <w:rPr>
                <w:color w:val="000000" w:themeColor="text1"/>
              </w:rPr>
              <w:t>Dickhaus &amp; Heisler (1987b)</w:t>
            </w:r>
            <w:r w:rsidRPr="0098635C">
              <w:rPr>
                <w:b/>
                <w:i/>
                <w:color w:val="000000" w:themeColor="text1"/>
                <w:vertAlign w:val="superscript"/>
              </w:rPr>
              <w:t xml:space="preserve"> #</w:t>
            </w:r>
            <w:bookmarkEnd w:id="1539"/>
            <w:bookmarkEnd w:id="1540"/>
          </w:p>
        </w:tc>
        <w:tc>
          <w:tcPr>
            <w:tcW w:w="992" w:type="dxa"/>
          </w:tcPr>
          <w:p w14:paraId="4C4E2BD1" w14:textId="2C615EC6" w:rsidR="008D1AE9" w:rsidRPr="0098635C" w:rsidRDefault="00236182" w:rsidP="00AF385A">
            <w:pPr>
              <w:pStyle w:val="NoteLevel211"/>
              <w:rPr>
                <w:color w:val="000000" w:themeColor="text1"/>
              </w:rPr>
            </w:pPr>
            <w:r w:rsidRPr="0098635C">
              <w:rPr>
                <w:color w:val="000000" w:themeColor="text1"/>
              </w:rPr>
              <w:t>Dicopper chloride trihydroxide</w:t>
            </w:r>
          </w:p>
        </w:tc>
        <w:tc>
          <w:tcPr>
            <w:tcW w:w="1417" w:type="dxa"/>
          </w:tcPr>
          <w:p w14:paraId="6DF3C033" w14:textId="77777777" w:rsidR="008D1AE9" w:rsidRPr="0098635C" w:rsidRDefault="008D1AE9" w:rsidP="00AF385A">
            <w:pPr>
              <w:pStyle w:val="NoteLevel211"/>
              <w:rPr>
                <w:color w:val="000000" w:themeColor="text1"/>
              </w:rPr>
            </w:pPr>
            <w:bookmarkStart w:id="1541" w:name="_Toc472000198"/>
            <w:bookmarkStart w:id="1542" w:name="_Toc472251561"/>
            <w:r w:rsidRPr="0098635C">
              <w:rPr>
                <w:color w:val="000000" w:themeColor="text1"/>
              </w:rPr>
              <w:t>OECD 405 (no washing)</w:t>
            </w:r>
            <w:bookmarkEnd w:id="1541"/>
            <w:bookmarkEnd w:id="1542"/>
          </w:p>
        </w:tc>
        <w:tc>
          <w:tcPr>
            <w:tcW w:w="993" w:type="dxa"/>
          </w:tcPr>
          <w:p w14:paraId="3B21451C" w14:textId="77777777" w:rsidR="008D1AE9" w:rsidRPr="0098635C" w:rsidRDefault="008D1AE9" w:rsidP="00AF385A">
            <w:pPr>
              <w:pStyle w:val="NoteLevel211"/>
              <w:rPr>
                <w:color w:val="000000" w:themeColor="text1"/>
              </w:rPr>
            </w:pPr>
            <w:bookmarkStart w:id="1543" w:name="_Toc472000199"/>
            <w:bookmarkStart w:id="1544" w:name="_Toc472251562"/>
            <w:r w:rsidRPr="0098635C">
              <w:rPr>
                <w:color w:val="000000" w:themeColor="text1"/>
              </w:rPr>
              <w:t>0</w:t>
            </w:r>
            <w:bookmarkEnd w:id="1543"/>
            <w:bookmarkEnd w:id="1544"/>
          </w:p>
        </w:tc>
        <w:tc>
          <w:tcPr>
            <w:tcW w:w="992" w:type="dxa"/>
          </w:tcPr>
          <w:p w14:paraId="06652242" w14:textId="77777777" w:rsidR="008D1AE9" w:rsidRPr="0098635C" w:rsidRDefault="008D1AE9" w:rsidP="00AF385A">
            <w:pPr>
              <w:pStyle w:val="NoteLevel211"/>
              <w:rPr>
                <w:color w:val="000000" w:themeColor="text1"/>
              </w:rPr>
            </w:pPr>
            <w:bookmarkStart w:id="1545" w:name="_Toc472000200"/>
            <w:bookmarkStart w:id="1546" w:name="_Toc472251563"/>
            <w:r w:rsidRPr="0098635C">
              <w:rPr>
                <w:color w:val="000000" w:themeColor="text1"/>
              </w:rPr>
              <w:t>0</w:t>
            </w:r>
            <w:bookmarkEnd w:id="1545"/>
            <w:bookmarkEnd w:id="1546"/>
          </w:p>
        </w:tc>
        <w:tc>
          <w:tcPr>
            <w:tcW w:w="992" w:type="dxa"/>
          </w:tcPr>
          <w:p w14:paraId="70E004B5" w14:textId="77777777" w:rsidR="008D1AE9" w:rsidRPr="0098635C" w:rsidRDefault="008D1AE9" w:rsidP="00AF385A">
            <w:pPr>
              <w:pStyle w:val="NoteLevel211"/>
              <w:rPr>
                <w:color w:val="000000" w:themeColor="text1"/>
              </w:rPr>
            </w:pPr>
            <w:bookmarkStart w:id="1547" w:name="_Toc472000201"/>
            <w:bookmarkStart w:id="1548" w:name="_Toc472251564"/>
            <w:r w:rsidRPr="0098635C">
              <w:rPr>
                <w:color w:val="000000" w:themeColor="text1"/>
              </w:rPr>
              <w:t>1.2</w:t>
            </w:r>
            <w:bookmarkEnd w:id="1547"/>
            <w:bookmarkEnd w:id="1548"/>
          </w:p>
        </w:tc>
        <w:tc>
          <w:tcPr>
            <w:tcW w:w="992" w:type="dxa"/>
          </w:tcPr>
          <w:p w14:paraId="5D217F93" w14:textId="77777777" w:rsidR="008D1AE9" w:rsidRPr="0098635C" w:rsidRDefault="008D1AE9" w:rsidP="00AF385A">
            <w:pPr>
              <w:pStyle w:val="NoteLevel211"/>
              <w:rPr>
                <w:color w:val="000000" w:themeColor="text1"/>
              </w:rPr>
            </w:pPr>
            <w:bookmarkStart w:id="1549" w:name="_Toc472000202"/>
            <w:bookmarkStart w:id="1550" w:name="_Toc472251565"/>
            <w:r w:rsidRPr="0098635C">
              <w:rPr>
                <w:color w:val="000000" w:themeColor="text1"/>
              </w:rPr>
              <w:t>0.3</w:t>
            </w:r>
            <w:bookmarkEnd w:id="1549"/>
            <w:bookmarkEnd w:id="1550"/>
          </w:p>
        </w:tc>
        <w:tc>
          <w:tcPr>
            <w:tcW w:w="2268" w:type="dxa"/>
          </w:tcPr>
          <w:p w14:paraId="692812ED" w14:textId="77777777" w:rsidR="008D1AE9" w:rsidRPr="0098635C" w:rsidRDefault="008D1AE9" w:rsidP="00AF385A">
            <w:pPr>
              <w:pStyle w:val="NoteLevel211"/>
              <w:rPr>
                <w:color w:val="000000" w:themeColor="text1"/>
              </w:rPr>
            </w:pPr>
            <w:bookmarkStart w:id="1551" w:name="_Toc472000203"/>
            <w:bookmarkStart w:id="1552" w:name="_Toc472251566"/>
            <w:r w:rsidRPr="0098635C">
              <w:rPr>
                <w:color w:val="000000" w:themeColor="text1"/>
              </w:rPr>
              <w:t>None</w:t>
            </w:r>
            <w:bookmarkEnd w:id="1551"/>
            <w:bookmarkEnd w:id="1552"/>
          </w:p>
        </w:tc>
      </w:tr>
      <w:tr w:rsidR="008D1AE9" w:rsidRPr="0098635C" w14:paraId="5434079E" w14:textId="77777777" w:rsidTr="00AF385A">
        <w:tc>
          <w:tcPr>
            <w:tcW w:w="1101" w:type="dxa"/>
          </w:tcPr>
          <w:p w14:paraId="3F8CBA20" w14:textId="22DA31A0" w:rsidR="008D1AE9" w:rsidRPr="0098635C" w:rsidRDefault="008D1AE9" w:rsidP="00AF385A">
            <w:pPr>
              <w:pStyle w:val="NoteLevel211"/>
              <w:rPr>
                <w:color w:val="000000" w:themeColor="text1"/>
              </w:rPr>
            </w:pPr>
            <w:bookmarkStart w:id="1553" w:name="_Toc472000204"/>
            <w:bookmarkStart w:id="1554" w:name="_Toc472251567"/>
            <w:r w:rsidRPr="0098635C">
              <w:rPr>
                <w:color w:val="000000" w:themeColor="text1"/>
              </w:rPr>
              <w:t>Sanders (2001</w:t>
            </w:r>
            <w:r w:rsidR="00657426" w:rsidRPr="0098635C">
              <w:rPr>
                <w:color w:val="000000" w:themeColor="text1"/>
              </w:rPr>
              <w:t>d</w:t>
            </w:r>
            <w:r w:rsidRPr="0098635C">
              <w:rPr>
                <w:color w:val="000000" w:themeColor="text1"/>
              </w:rPr>
              <w:t>)</w:t>
            </w:r>
            <w:r w:rsidRPr="0098635C">
              <w:rPr>
                <w:b/>
                <w:i/>
                <w:color w:val="000000" w:themeColor="text1"/>
                <w:vertAlign w:val="superscript"/>
              </w:rPr>
              <w:t xml:space="preserve"> #</w:t>
            </w:r>
            <w:bookmarkEnd w:id="1553"/>
            <w:bookmarkEnd w:id="1554"/>
          </w:p>
        </w:tc>
        <w:tc>
          <w:tcPr>
            <w:tcW w:w="992" w:type="dxa"/>
          </w:tcPr>
          <w:p w14:paraId="14CD288E" w14:textId="77777777" w:rsidR="008D1AE9" w:rsidRPr="0098635C" w:rsidRDefault="008D1AE9" w:rsidP="00AF385A">
            <w:pPr>
              <w:pStyle w:val="NoteLevel211"/>
              <w:rPr>
                <w:color w:val="000000" w:themeColor="text1"/>
              </w:rPr>
            </w:pPr>
            <w:bookmarkStart w:id="1555" w:name="_Toc472000205"/>
            <w:bookmarkStart w:id="1556" w:name="_Toc472251568"/>
            <w:r w:rsidRPr="0098635C">
              <w:rPr>
                <w:color w:val="000000" w:themeColor="text1"/>
              </w:rPr>
              <w:t>Coated copper flake</w:t>
            </w:r>
            <w:bookmarkEnd w:id="1555"/>
            <w:bookmarkEnd w:id="1556"/>
          </w:p>
        </w:tc>
        <w:tc>
          <w:tcPr>
            <w:tcW w:w="1417" w:type="dxa"/>
          </w:tcPr>
          <w:p w14:paraId="66820D8B" w14:textId="77777777" w:rsidR="008D1AE9" w:rsidRPr="0098635C" w:rsidRDefault="008D1AE9" w:rsidP="00AF385A">
            <w:pPr>
              <w:pStyle w:val="NoteLevel211"/>
              <w:rPr>
                <w:color w:val="000000" w:themeColor="text1"/>
              </w:rPr>
            </w:pPr>
            <w:bookmarkStart w:id="1557" w:name="_Toc472000206"/>
            <w:bookmarkStart w:id="1558" w:name="_Toc472251569"/>
            <w:r w:rsidRPr="0098635C">
              <w:rPr>
                <w:color w:val="000000" w:themeColor="text1"/>
              </w:rPr>
              <w:t>Annex V B.5 (no washout)</w:t>
            </w:r>
            <w:bookmarkEnd w:id="1557"/>
            <w:bookmarkEnd w:id="1558"/>
          </w:p>
          <w:p w14:paraId="49462AB7" w14:textId="77777777" w:rsidR="00214E8E" w:rsidRPr="0098635C" w:rsidRDefault="00214E8E" w:rsidP="00214E8E">
            <w:pPr>
              <w:pStyle w:val="NoteLevel211"/>
              <w:rPr>
                <w:color w:val="000000" w:themeColor="text1"/>
                <w:lang w:val="nl-BE"/>
              </w:rPr>
            </w:pPr>
            <w:bookmarkStart w:id="1559" w:name="_Toc472000207"/>
            <w:bookmarkStart w:id="1560" w:name="_Toc472251570"/>
            <w:r w:rsidRPr="0098635C">
              <w:rPr>
                <w:color w:val="000000" w:themeColor="text1"/>
                <w:lang w:val="nl-BE"/>
              </w:rPr>
              <w:t>EU Method B5</w:t>
            </w:r>
            <w:bookmarkEnd w:id="1559"/>
            <w:bookmarkEnd w:id="1560"/>
          </w:p>
          <w:p w14:paraId="1D999BA4" w14:textId="1C7157E6" w:rsidR="00214E8E" w:rsidRPr="0098635C" w:rsidRDefault="00214E8E" w:rsidP="00AF385A">
            <w:pPr>
              <w:pStyle w:val="NoteLevel211"/>
              <w:rPr>
                <w:color w:val="000000" w:themeColor="text1"/>
                <w:lang w:val="nl-BE"/>
              </w:rPr>
            </w:pPr>
            <w:bookmarkStart w:id="1561" w:name="_Toc472000208"/>
            <w:bookmarkStart w:id="1562" w:name="_Toc472251571"/>
            <w:r w:rsidRPr="0098635C">
              <w:rPr>
                <w:color w:val="000000" w:themeColor="text1"/>
                <w:lang w:val="nl-BE"/>
              </w:rPr>
              <w:t>OECD 405</w:t>
            </w:r>
            <w:bookmarkEnd w:id="1561"/>
            <w:bookmarkEnd w:id="1562"/>
          </w:p>
        </w:tc>
        <w:tc>
          <w:tcPr>
            <w:tcW w:w="993" w:type="dxa"/>
          </w:tcPr>
          <w:p w14:paraId="28F4A411" w14:textId="77777777" w:rsidR="008D1AE9" w:rsidRPr="0098635C" w:rsidRDefault="008D1AE9" w:rsidP="00AF385A">
            <w:pPr>
              <w:pStyle w:val="NoteLevel211"/>
              <w:rPr>
                <w:color w:val="000000" w:themeColor="text1"/>
              </w:rPr>
            </w:pPr>
            <w:bookmarkStart w:id="1563" w:name="_Toc472000209"/>
            <w:bookmarkStart w:id="1564" w:name="_Toc472251572"/>
            <w:r w:rsidRPr="0098635C">
              <w:rPr>
                <w:color w:val="000000" w:themeColor="text1"/>
              </w:rPr>
              <w:t>0, 1, 2</w:t>
            </w:r>
            <w:bookmarkEnd w:id="1563"/>
            <w:bookmarkEnd w:id="1564"/>
          </w:p>
        </w:tc>
        <w:tc>
          <w:tcPr>
            <w:tcW w:w="992" w:type="dxa"/>
          </w:tcPr>
          <w:p w14:paraId="4C46F093" w14:textId="77777777" w:rsidR="008D1AE9" w:rsidRPr="0098635C" w:rsidRDefault="008D1AE9" w:rsidP="00AF385A">
            <w:pPr>
              <w:pStyle w:val="NoteLevel211"/>
              <w:rPr>
                <w:color w:val="000000" w:themeColor="text1"/>
              </w:rPr>
            </w:pPr>
            <w:bookmarkStart w:id="1565" w:name="_Toc472000210"/>
            <w:bookmarkStart w:id="1566" w:name="_Toc472251573"/>
            <w:r w:rsidRPr="0098635C">
              <w:rPr>
                <w:color w:val="000000" w:themeColor="text1"/>
              </w:rPr>
              <w:t>0, 0.7, 1</w:t>
            </w:r>
            <w:bookmarkEnd w:id="1565"/>
            <w:bookmarkEnd w:id="1566"/>
          </w:p>
        </w:tc>
        <w:tc>
          <w:tcPr>
            <w:tcW w:w="992" w:type="dxa"/>
          </w:tcPr>
          <w:p w14:paraId="58880D6B" w14:textId="77777777" w:rsidR="008D1AE9" w:rsidRPr="0098635C" w:rsidRDefault="008D1AE9" w:rsidP="00AF385A">
            <w:pPr>
              <w:pStyle w:val="NoteLevel211"/>
              <w:rPr>
                <w:color w:val="000000" w:themeColor="text1"/>
              </w:rPr>
            </w:pPr>
            <w:bookmarkStart w:id="1567" w:name="_Toc472000211"/>
            <w:bookmarkStart w:id="1568" w:name="_Toc472251574"/>
            <w:r w:rsidRPr="0098635C">
              <w:rPr>
                <w:color w:val="000000" w:themeColor="text1"/>
              </w:rPr>
              <w:t>1.7, 1.7, 2</w:t>
            </w:r>
            <w:bookmarkEnd w:id="1567"/>
            <w:bookmarkEnd w:id="1568"/>
          </w:p>
        </w:tc>
        <w:tc>
          <w:tcPr>
            <w:tcW w:w="992" w:type="dxa"/>
          </w:tcPr>
          <w:p w14:paraId="7677AFCA" w14:textId="77777777" w:rsidR="008D1AE9" w:rsidRPr="0098635C" w:rsidRDefault="008D1AE9" w:rsidP="00AF385A">
            <w:pPr>
              <w:pStyle w:val="NoteLevel211"/>
              <w:rPr>
                <w:color w:val="000000" w:themeColor="text1"/>
              </w:rPr>
            </w:pPr>
            <w:bookmarkStart w:id="1569" w:name="_Toc472000212"/>
            <w:bookmarkStart w:id="1570" w:name="_Toc472251575"/>
            <w:r w:rsidRPr="0098635C">
              <w:rPr>
                <w:color w:val="000000" w:themeColor="text1"/>
              </w:rPr>
              <w:t>0.7, 1, 1.7</w:t>
            </w:r>
            <w:bookmarkEnd w:id="1569"/>
            <w:bookmarkEnd w:id="1570"/>
          </w:p>
        </w:tc>
        <w:tc>
          <w:tcPr>
            <w:tcW w:w="2268" w:type="dxa"/>
          </w:tcPr>
          <w:p w14:paraId="689FC421" w14:textId="77777777" w:rsidR="008D1AE9" w:rsidRPr="0098635C" w:rsidRDefault="008D1AE9" w:rsidP="00AF385A">
            <w:pPr>
              <w:pStyle w:val="NoteLevel211"/>
              <w:rPr>
                <w:color w:val="000000" w:themeColor="text1"/>
              </w:rPr>
            </w:pPr>
            <w:bookmarkStart w:id="1571" w:name="_Toc472000213"/>
            <w:bookmarkStart w:id="1572" w:name="_Toc472251576"/>
            <w:r w:rsidRPr="0098635C">
              <w:rPr>
                <w:color w:val="000000" w:themeColor="text1"/>
              </w:rPr>
              <w:t>Corneal effects (day 7); conjunctival effects (day 7)</w:t>
            </w:r>
            <w:bookmarkEnd w:id="1571"/>
            <w:bookmarkEnd w:id="1572"/>
          </w:p>
        </w:tc>
      </w:tr>
    </w:tbl>
    <w:p w14:paraId="79264F53" w14:textId="3FC08F02" w:rsidR="00EC4FED" w:rsidRPr="0098635C" w:rsidRDefault="008D1AE9" w:rsidP="00586794">
      <w:pPr>
        <w:pStyle w:val="BodyText"/>
        <w:rPr>
          <w:color w:val="000000" w:themeColor="text1"/>
          <w:sz w:val="20"/>
        </w:rPr>
      </w:pPr>
      <w:r w:rsidRPr="0098635C">
        <w:rPr>
          <w:b/>
          <w:i/>
          <w:color w:val="000000" w:themeColor="text1"/>
          <w:sz w:val="20"/>
          <w:vertAlign w:val="superscript"/>
        </w:rPr>
        <w:t>#</w:t>
      </w:r>
      <w:r w:rsidRPr="0098635C">
        <w:rPr>
          <w:color w:val="000000" w:themeColor="text1"/>
          <w:sz w:val="20"/>
        </w:rPr>
        <w:t xml:space="preserve">  unpublished study</w:t>
      </w:r>
    </w:p>
    <w:p w14:paraId="264EF2F5" w14:textId="77777777" w:rsidR="008D1AE9" w:rsidRPr="0098635C" w:rsidRDefault="008D1AE9" w:rsidP="00586794">
      <w:pPr>
        <w:pStyle w:val="Tablenote"/>
        <w:ind w:hanging="697"/>
        <w:rPr>
          <w:color w:val="000000" w:themeColor="text1"/>
        </w:rPr>
      </w:pPr>
    </w:p>
    <w:p w14:paraId="3DCB6FE7" w14:textId="77777777" w:rsidR="008D1AE9" w:rsidRPr="0098635C" w:rsidRDefault="008D1AE9" w:rsidP="008D1AE9">
      <w:pPr>
        <w:pStyle w:val="Heading9"/>
        <w:ind w:left="720" w:hanging="720"/>
        <w:rPr>
          <w:color w:val="000000" w:themeColor="text1"/>
          <w:sz w:val="20"/>
          <w:szCs w:val="20"/>
        </w:rPr>
      </w:pPr>
      <w:r w:rsidRPr="0098635C">
        <w:rPr>
          <w:color w:val="000000" w:themeColor="text1"/>
          <w:sz w:val="20"/>
          <w:szCs w:val="20"/>
        </w:rPr>
        <w:t>Copper (I) oxide</w:t>
      </w:r>
    </w:p>
    <w:p w14:paraId="4090D506" w14:textId="1CC5C9E4" w:rsidR="008D1AE9" w:rsidRPr="0098635C" w:rsidRDefault="00236182" w:rsidP="008D1AE9">
      <w:pPr>
        <w:pStyle w:val="BodyText"/>
        <w:rPr>
          <w:color w:val="000000" w:themeColor="text1"/>
          <w:sz w:val="20"/>
        </w:rPr>
      </w:pPr>
      <w:r w:rsidRPr="0098635C">
        <w:rPr>
          <w:color w:val="000000" w:themeColor="text1"/>
          <w:sz w:val="20"/>
        </w:rPr>
        <w:t>Copper (I) oxide</w:t>
      </w:r>
      <w:r w:rsidR="008D1AE9" w:rsidRPr="0098635C">
        <w:rPr>
          <w:color w:val="000000" w:themeColor="text1"/>
          <w:sz w:val="20"/>
        </w:rPr>
        <w:t xml:space="preserve"> caused eye irritation in rabbits in a number of tests, mostly of mild to moderate severity and involving the conjunctiva and, to a lesser extent, the cornea and iris. Instillation of cuprous (I) oxide in one eye of each of three New Zealand White rabbits produced ocular lesions affecting the cornea, iris and conjunctiva in all treated eyes (Collier and Wilson 1984</w:t>
      </w:r>
      <w:r w:rsidR="00076C88" w:rsidRPr="0098635C">
        <w:rPr>
          <w:color w:val="000000" w:themeColor="text1"/>
          <w:sz w:val="20"/>
        </w:rPr>
        <w:t xml:space="preserve"> a</w:t>
      </w:r>
      <w:r w:rsidR="008D1AE9" w:rsidRPr="0098635C">
        <w:rPr>
          <w:color w:val="000000" w:themeColor="text1"/>
          <w:sz w:val="20"/>
        </w:rPr>
        <w:t xml:space="preserve"> -</w:t>
      </w:r>
      <w:r w:rsidR="008D1AE9" w:rsidRPr="0098635C">
        <w:rPr>
          <w:i/>
          <w:color w:val="000000" w:themeColor="text1"/>
          <w:sz w:val="20"/>
        </w:rPr>
        <w:t xml:space="preserve"> unpublished</w:t>
      </w:r>
      <w:r w:rsidR="008D1AE9" w:rsidRPr="0098635C">
        <w:rPr>
          <w:color w:val="000000" w:themeColor="text1"/>
          <w:sz w:val="20"/>
        </w:rPr>
        <w:t xml:space="preserve">). In another study, cuprous (I) oxide was similarly placed in the conjunctival sac of the left eye of male and female rabbits (Kuhn 1994 </w:t>
      </w:r>
      <w:r w:rsidR="008D1AE9" w:rsidRPr="0098635C">
        <w:rPr>
          <w:i/>
          <w:color w:val="000000" w:themeColor="text1"/>
          <w:sz w:val="20"/>
        </w:rPr>
        <w:t>– unpublished</w:t>
      </w:r>
      <w:r w:rsidR="008D1AE9" w:rsidRPr="0098635C">
        <w:rPr>
          <w:color w:val="000000" w:themeColor="text1"/>
          <w:sz w:val="20"/>
        </w:rPr>
        <w:t>).</w:t>
      </w:r>
      <w:r w:rsidR="00C46BC5" w:rsidRPr="0098635C">
        <w:rPr>
          <w:color w:val="000000" w:themeColor="text1"/>
          <w:sz w:val="20"/>
        </w:rPr>
        <w:t>No ocular effects were observed.</w:t>
      </w:r>
      <w:r w:rsidR="008D1AE9" w:rsidRPr="0098635C">
        <w:rPr>
          <w:color w:val="000000" w:themeColor="text1"/>
          <w:sz w:val="20"/>
        </w:rPr>
        <w:t xml:space="preserve"> Eye irritant properties of copper (I) oxide were also investigated in another study (Dickhaus and Heisler 1988b). Driscoll (1999d) examined eye irritant properties of copper (I) oxide in three rabbits in a further study. Based on the available data, copper (I) oxide is irritant to the eye. </w:t>
      </w:r>
    </w:p>
    <w:p w14:paraId="0F49146F" w14:textId="77777777" w:rsidR="008D1AE9" w:rsidRPr="0098635C" w:rsidRDefault="008D1AE9" w:rsidP="008D1AE9">
      <w:pPr>
        <w:pStyle w:val="Heading9"/>
        <w:ind w:left="720" w:hanging="720"/>
        <w:rPr>
          <w:color w:val="000000" w:themeColor="text1"/>
          <w:sz w:val="20"/>
          <w:szCs w:val="20"/>
        </w:rPr>
      </w:pPr>
      <w:r w:rsidRPr="0098635C">
        <w:rPr>
          <w:color w:val="000000" w:themeColor="text1"/>
          <w:sz w:val="20"/>
          <w:szCs w:val="20"/>
        </w:rPr>
        <w:t>Copper (II) oxide</w:t>
      </w:r>
    </w:p>
    <w:p w14:paraId="01A1A438" w14:textId="3CE01B41" w:rsidR="008D1AE9" w:rsidRPr="0098635C" w:rsidRDefault="008D1AE9" w:rsidP="008D1AE9">
      <w:pPr>
        <w:pStyle w:val="BodyText"/>
        <w:rPr>
          <w:color w:val="000000" w:themeColor="text1"/>
          <w:sz w:val="20"/>
        </w:rPr>
      </w:pPr>
      <w:r w:rsidRPr="0098635C">
        <w:rPr>
          <w:color w:val="000000" w:themeColor="text1"/>
          <w:sz w:val="20"/>
        </w:rPr>
        <w:t>Eye irritant properties of copper (II) oxide were investigated in rabbits (Sanders 2002</w:t>
      </w:r>
      <w:r w:rsidR="00657426" w:rsidRPr="0098635C">
        <w:rPr>
          <w:color w:val="000000" w:themeColor="text1"/>
          <w:sz w:val="20"/>
        </w:rPr>
        <w:t>d</w:t>
      </w:r>
      <w:r w:rsidRPr="0098635C">
        <w:rPr>
          <w:color w:val="000000" w:themeColor="text1"/>
          <w:sz w:val="20"/>
        </w:rPr>
        <w:t xml:space="preserve"> </w:t>
      </w:r>
      <w:r w:rsidRPr="0098635C">
        <w:rPr>
          <w:i/>
          <w:color w:val="000000" w:themeColor="text1"/>
          <w:sz w:val="20"/>
        </w:rPr>
        <w:t>– unpublished</w:t>
      </w:r>
      <w:r w:rsidRPr="0098635C">
        <w:rPr>
          <w:color w:val="000000" w:themeColor="text1"/>
          <w:sz w:val="20"/>
        </w:rPr>
        <w:t>). No ocular effects occurred at later time-points. Copper (II) oxide is not considered eye irritant.</w:t>
      </w:r>
    </w:p>
    <w:p w14:paraId="3125AD2B" w14:textId="77777777" w:rsidR="008D1AE9" w:rsidRPr="0098635C" w:rsidRDefault="008D1AE9" w:rsidP="008D1AE9">
      <w:pPr>
        <w:pStyle w:val="Heading9"/>
        <w:ind w:left="720" w:hanging="720"/>
        <w:rPr>
          <w:color w:val="000000" w:themeColor="text1"/>
          <w:sz w:val="20"/>
          <w:szCs w:val="20"/>
        </w:rPr>
      </w:pPr>
      <w:r w:rsidRPr="0098635C">
        <w:rPr>
          <w:color w:val="000000" w:themeColor="text1"/>
          <w:sz w:val="20"/>
          <w:szCs w:val="20"/>
        </w:rPr>
        <w:lastRenderedPageBreak/>
        <w:t>Copper sulphate</w:t>
      </w:r>
    </w:p>
    <w:p w14:paraId="0D7126A3" w14:textId="05A674D5" w:rsidR="008D1AE9" w:rsidRPr="0098635C" w:rsidRDefault="008D1AE9" w:rsidP="008D1AE9">
      <w:pPr>
        <w:pStyle w:val="BodyText"/>
        <w:rPr>
          <w:color w:val="000000" w:themeColor="text1"/>
          <w:sz w:val="20"/>
        </w:rPr>
      </w:pPr>
      <w:r w:rsidRPr="0098635C">
        <w:rPr>
          <w:color w:val="000000" w:themeColor="text1"/>
          <w:sz w:val="20"/>
        </w:rPr>
        <w:t>Copper sulphate pentahydrate was investigated in an eye irritation test by Mercier (1994</w:t>
      </w:r>
      <w:r w:rsidR="00B03383" w:rsidRPr="0098635C">
        <w:rPr>
          <w:color w:val="000000" w:themeColor="text1"/>
          <w:sz w:val="20"/>
        </w:rPr>
        <w:t>b</w:t>
      </w:r>
      <w:r w:rsidRPr="0098635C">
        <w:rPr>
          <w:color w:val="000000" w:themeColor="text1"/>
          <w:sz w:val="20"/>
        </w:rPr>
        <w:t xml:space="preserve"> </w:t>
      </w:r>
      <w:r w:rsidRPr="0098635C">
        <w:rPr>
          <w:i/>
          <w:color w:val="000000" w:themeColor="text1"/>
          <w:sz w:val="20"/>
        </w:rPr>
        <w:t>– unpublished</w:t>
      </w:r>
      <w:r w:rsidRPr="0098635C">
        <w:rPr>
          <w:color w:val="000000" w:themeColor="text1"/>
          <w:sz w:val="20"/>
        </w:rPr>
        <w:t>). Lesions in the cornea, iris and conjunctiva occurred in all treated eyes. Copper sulphate was considered to be an eye irritant.</w:t>
      </w:r>
    </w:p>
    <w:p w14:paraId="48E3FC4A" w14:textId="6ADEF6A2" w:rsidR="008D1AE9" w:rsidRPr="0098635C" w:rsidRDefault="00236182" w:rsidP="008D1AE9">
      <w:pPr>
        <w:pStyle w:val="Heading9"/>
        <w:ind w:left="720" w:hanging="720"/>
        <w:rPr>
          <w:color w:val="000000" w:themeColor="text1"/>
          <w:sz w:val="20"/>
          <w:szCs w:val="20"/>
        </w:rPr>
      </w:pPr>
      <w:r w:rsidRPr="0098635C">
        <w:rPr>
          <w:color w:val="000000" w:themeColor="text1"/>
          <w:sz w:val="20"/>
          <w:szCs w:val="20"/>
        </w:rPr>
        <w:t>Dicopper chloride trihydroxide</w:t>
      </w:r>
    </w:p>
    <w:p w14:paraId="6D52867F" w14:textId="624F706F" w:rsidR="008D1AE9" w:rsidRPr="0098635C" w:rsidRDefault="008D1AE9" w:rsidP="008D1AE9">
      <w:pPr>
        <w:pStyle w:val="BodyText"/>
        <w:rPr>
          <w:color w:val="000000" w:themeColor="text1"/>
          <w:sz w:val="20"/>
        </w:rPr>
      </w:pPr>
      <w:r w:rsidRPr="0098635C">
        <w:rPr>
          <w:color w:val="000000" w:themeColor="text1"/>
          <w:sz w:val="20"/>
        </w:rPr>
        <w:t xml:space="preserve">Eye irritant properties of </w:t>
      </w:r>
      <w:r w:rsidR="00236182" w:rsidRPr="0098635C">
        <w:rPr>
          <w:color w:val="000000" w:themeColor="text1"/>
          <w:sz w:val="20"/>
        </w:rPr>
        <w:t>dicopper chloride trihydroxide</w:t>
      </w:r>
      <w:r w:rsidRPr="0098635C">
        <w:rPr>
          <w:color w:val="000000" w:themeColor="text1"/>
          <w:sz w:val="20"/>
        </w:rPr>
        <w:t xml:space="preserve"> were examined in rabbits (Luperi and Forster, 1987d – </w:t>
      </w:r>
      <w:r w:rsidRPr="0098635C">
        <w:rPr>
          <w:i/>
          <w:color w:val="000000" w:themeColor="text1"/>
          <w:sz w:val="20"/>
        </w:rPr>
        <w:t>unpublished</w:t>
      </w:r>
      <w:r w:rsidRPr="0098635C">
        <w:rPr>
          <w:color w:val="000000" w:themeColor="text1"/>
          <w:sz w:val="20"/>
        </w:rPr>
        <w:t xml:space="preserve">). Corneal opacity (grade 1) persisted in one animal up to day 7 and another animal up to day 14. All ocular lesions had resolved by day 21. Several other authors reported on eye irritant properties of </w:t>
      </w:r>
      <w:r w:rsidR="00236182" w:rsidRPr="0098635C">
        <w:rPr>
          <w:color w:val="000000" w:themeColor="text1"/>
          <w:sz w:val="20"/>
        </w:rPr>
        <w:t>dicopper chloride trihydroxide</w:t>
      </w:r>
      <w:r w:rsidRPr="0098635C">
        <w:rPr>
          <w:color w:val="000000" w:themeColor="text1"/>
          <w:sz w:val="20"/>
        </w:rPr>
        <w:t xml:space="preserve"> (e.g., Deenihan, 1987d – </w:t>
      </w:r>
      <w:r w:rsidRPr="0098635C">
        <w:rPr>
          <w:i/>
          <w:color w:val="000000" w:themeColor="text1"/>
          <w:sz w:val="20"/>
        </w:rPr>
        <w:t>unpublished</w:t>
      </w:r>
      <w:r w:rsidRPr="0098635C">
        <w:rPr>
          <w:color w:val="000000" w:themeColor="text1"/>
          <w:sz w:val="20"/>
        </w:rPr>
        <w:t xml:space="preserve"> ; Jackson, 1994d; Dickhaus and Heisler, 1987b), but reported effects such as corneal opacity, conjunctival redness  and ocular lesions resolved over time. </w:t>
      </w:r>
      <w:r w:rsidR="00236182" w:rsidRPr="0098635C">
        <w:rPr>
          <w:color w:val="000000" w:themeColor="text1"/>
          <w:sz w:val="20"/>
        </w:rPr>
        <w:t>Dicopper chloride trihydroxide</w:t>
      </w:r>
      <w:r w:rsidRPr="0098635C">
        <w:rPr>
          <w:color w:val="000000" w:themeColor="text1"/>
          <w:sz w:val="20"/>
        </w:rPr>
        <w:t xml:space="preserve"> was thus considered not an eye irritant.</w:t>
      </w:r>
    </w:p>
    <w:p w14:paraId="11FEB5F8" w14:textId="77777777" w:rsidR="008D1AE9" w:rsidRPr="0098635C" w:rsidRDefault="008D1AE9" w:rsidP="008D1AE9">
      <w:pPr>
        <w:pStyle w:val="Heading9"/>
        <w:ind w:left="720" w:hanging="720"/>
        <w:rPr>
          <w:color w:val="000000" w:themeColor="text1"/>
          <w:sz w:val="20"/>
          <w:szCs w:val="20"/>
        </w:rPr>
      </w:pPr>
      <w:r w:rsidRPr="0098635C">
        <w:rPr>
          <w:color w:val="000000" w:themeColor="text1"/>
          <w:sz w:val="20"/>
          <w:szCs w:val="20"/>
        </w:rPr>
        <w:t>Coated copper flake</w:t>
      </w:r>
    </w:p>
    <w:p w14:paraId="57CB1E41" w14:textId="6F2F9F26" w:rsidR="008E10D6" w:rsidRPr="0098635C" w:rsidRDefault="008D1AE9" w:rsidP="008E10D6">
      <w:pPr>
        <w:widowControl/>
        <w:rPr>
          <w:color w:val="000000" w:themeColor="text1"/>
          <w:sz w:val="20"/>
          <w:szCs w:val="20"/>
          <w:lang w:eastAsia="en-GB"/>
        </w:rPr>
      </w:pPr>
      <w:r w:rsidRPr="0098635C">
        <w:rPr>
          <w:color w:val="000000" w:themeColor="text1"/>
          <w:sz w:val="20"/>
          <w:szCs w:val="20"/>
        </w:rPr>
        <w:t xml:space="preserve">Eye irritant properties of </w:t>
      </w:r>
      <w:r w:rsidR="00B72A87" w:rsidRPr="0098635C">
        <w:rPr>
          <w:color w:val="000000" w:themeColor="text1"/>
          <w:sz w:val="20"/>
          <w:szCs w:val="20"/>
        </w:rPr>
        <w:t xml:space="preserve">the </w:t>
      </w:r>
      <w:r w:rsidR="006419A7" w:rsidRPr="0098635C">
        <w:rPr>
          <w:color w:val="000000" w:themeColor="text1"/>
          <w:sz w:val="20"/>
          <w:szCs w:val="20"/>
        </w:rPr>
        <w:t>coated copper flakes</w:t>
      </w:r>
      <w:r w:rsidRPr="0098635C">
        <w:rPr>
          <w:color w:val="000000" w:themeColor="text1"/>
          <w:sz w:val="20"/>
          <w:szCs w:val="20"/>
        </w:rPr>
        <w:t xml:space="preserve"> were investigated in rabbits (Sanders 2001</w:t>
      </w:r>
      <w:r w:rsidR="00657426" w:rsidRPr="0098635C">
        <w:rPr>
          <w:color w:val="000000" w:themeColor="text1"/>
          <w:sz w:val="20"/>
          <w:szCs w:val="20"/>
        </w:rPr>
        <w:t>d</w:t>
      </w:r>
      <w:r w:rsidRPr="0098635C">
        <w:rPr>
          <w:color w:val="000000" w:themeColor="text1"/>
          <w:sz w:val="20"/>
          <w:szCs w:val="20"/>
        </w:rPr>
        <w:t xml:space="preserve"> </w:t>
      </w:r>
      <w:r w:rsidRPr="0098635C">
        <w:rPr>
          <w:i/>
          <w:color w:val="000000" w:themeColor="text1"/>
          <w:sz w:val="20"/>
          <w:szCs w:val="20"/>
        </w:rPr>
        <w:t>– unpublished</w:t>
      </w:r>
      <w:r w:rsidRPr="0098635C">
        <w:rPr>
          <w:color w:val="000000" w:themeColor="text1"/>
          <w:sz w:val="20"/>
          <w:szCs w:val="20"/>
        </w:rPr>
        <w:t xml:space="preserve">). </w:t>
      </w:r>
      <w:r w:rsidR="008E10D6" w:rsidRPr="0098635C">
        <w:rPr>
          <w:color w:val="000000" w:themeColor="text1"/>
          <w:sz w:val="20"/>
          <w:szCs w:val="20"/>
        </w:rPr>
        <w:t xml:space="preserve"> </w:t>
      </w:r>
      <w:r w:rsidR="008E10D6" w:rsidRPr="0098635C">
        <w:rPr>
          <w:color w:val="000000" w:themeColor="text1"/>
          <w:sz w:val="20"/>
          <w:szCs w:val="20"/>
          <w:lang w:eastAsia="en-GB"/>
        </w:rPr>
        <w:t xml:space="preserve">Coated copper flakes caused signs of irritation in the available eye irritation study. All effects were shown to be reversible within 21 days. Whereas the mean scores over 24-72 h were below the threshold values for classification for iritis, conjunctival redness and chemosis (≥1, ≥2 and ≥2, respectively), the mean score for corneal opacity over 24-72 h was ≥1 in 2 of the 3 tested animals. The mean score over all three animals (1) was also at this threshold value. Coated copper flake </w:t>
      </w:r>
      <w:r w:rsidR="00DE583B" w:rsidRPr="0098635C">
        <w:rPr>
          <w:color w:val="000000" w:themeColor="text1"/>
          <w:sz w:val="20"/>
          <w:szCs w:val="20"/>
        </w:rPr>
        <w:t xml:space="preserve">is </w:t>
      </w:r>
      <w:r w:rsidR="00946164" w:rsidRPr="0098635C">
        <w:rPr>
          <w:color w:val="000000" w:themeColor="text1"/>
          <w:sz w:val="20"/>
          <w:szCs w:val="20"/>
        </w:rPr>
        <w:t xml:space="preserve">therefore </w:t>
      </w:r>
      <w:r w:rsidR="008E10D6" w:rsidRPr="0098635C">
        <w:rPr>
          <w:color w:val="000000" w:themeColor="text1"/>
          <w:sz w:val="20"/>
          <w:szCs w:val="20"/>
        </w:rPr>
        <w:t xml:space="preserve">considered as </w:t>
      </w:r>
      <w:r w:rsidR="00F35D64" w:rsidRPr="0098635C">
        <w:rPr>
          <w:color w:val="000000" w:themeColor="text1"/>
          <w:sz w:val="20"/>
          <w:szCs w:val="20"/>
        </w:rPr>
        <w:t>an</w:t>
      </w:r>
      <w:r w:rsidR="008E10D6" w:rsidRPr="0098635C">
        <w:rPr>
          <w:color w:val="000000" w:themeColor="text1"/>
          <w:sz w:val="20"/>
          <w:szCs w:val="20"/>
        </w:rPr>
        <w:t xml:space="preserve"> eye irritant</w:t>
      </w:r>
    </w:p>
    <w:p w14:paraId="19FEA079" w14:textId="77777777" w:rsidR="008D1AE9" w:rsidRPr="0098635C" w:rsidRDefault="008D1AE9" w:rsidP="008D1AE9">
      <w:pPr>
        <w:pStyle w:val="Heading9"/>
        <w:rPr>
          <w:i w:val="0"/>
          <w:color w:val="000000" w:themeColor="text1"/>
          <w:sz w:val="20"/>
          <w:szCs w:val="20"/>
          <w:u w:val="single"/>
        </w:rPr>
      </w:pPr>
      <w:r w:rsidRPr="0098635C">
        <w:rPr>
          <w:i w:val="0"/>
          <w:color w:val="000000" w:themeColor="text1"/>
          <w:sz w:val="20"/>
          <w:szCs w:val="20"/>
          <w:u w:val="single"/>
        </w:rPr>
        <w:t>Studies in Humans</w:t>
      </w:r>
    </w:p>
    <w:p w14:paraId="507E5807" w14:textId="4A092E3E" w:rsidR="008D1AE9" w:rsidRPr="0098635C" w:rsidRDefault="008D1AE9" w:rsidP="00586794">
      <w:pPr>
        <w:rPr>
          <w:color w:val="000000" w:themeColor="text1"/>
          <w:sz w:val="20"/>
          <w:szCs w:val="20"/>
        </w:rPr>
      </w:pPr>
      <w:r w:rsidRPr="0098635C">
        <w:rPr>
          <w:color w:val="000000" w:themeColor="text1"/>
          <w:sz w:val="20"/>
          <w:szCs w:val="20"/>
        </w:rPr>
        <w:t xml:space="preserve">No published data appear to be available regarding the eye irritant properties of copper or copper compounds in humans. </w:t>
      </w:r>
    </w:p>
    <w:p w14:paraId="1A03DB8A" w14:textId="77777777" w:rsidR="008D1AE9" w:rsidRPr="0098635C" w:rsidRDefault="008D1AE9" w:rsidP="008D1AE9">
      <w:pPr>
        <w:pStyle w:val="Heading4"/>
        <w:rPr>
          <w:color w:val="000000" w:themeColor="text1"/>
          <w:sz w:val="20"/>
        </w:rPr>
      </w:pPr>
      <w:r w:rsidRPr="0098635C">
        <w:rPr>
          <w:color w:val="000000" w:themeColor="text1"/>
          <w:sz w:val="20"/>
        </w:rPr>
        <w:t>Respiratory Tract Irritation</w:t>
      </w:r>
    </w:p>
    <w:p w14:paraId="14B6C9FA" w14:textId="7694A8D9" w:rsidR="008D1AE9" w:rsidRPr="0098635C" w:rsidRDefault="008D1AE9" w:rsidP="008D1AE9">
      <w:pPr>
        <w:pStyle w:val="BodyText"/>
        <w:rPr>
          <w:color w:val="000000" w:themeColor="text1"/>
          <w:sz w:val="20"/>
        </w:rPr>
      </w:pPr>
      <w:r w:rsidRPr="0098635C">
        <w:rPr>
          <w:color w:val="000000" w:themeColor="text1"/>
          <w:sz w:val="20"/>
        </w:rPr>
        <w:t xml:space="preserve">No published studies are available which report on the potential respiratory irritant effects of copper or its compounds. </w:t>
      </w:r>
    </w:p>
    <w:p w14:paraId="436F3BCF" w14:textId="77777777" w:rsidR="008D1AE9" w:rsidRPr="0098635C" w:rsidRDefault="008D1AE9" w:rsidP="008D1AE9">
      <w:pPr>
        <w:pStyle w:val="Heading4"/>
        <w:rPr>
          <w:color w:val="000000" w:themeColor="text1"/>
          <w:sz w:val="20"/>
        </w:rPr>
      </w:pPr>
      <w:r w:rsidRPr="0098635C">
        <w:rPr>
          <w:color w:val="000000" w:themeColor="text1"/>
          <w:sz w:val="20"/>
        </w:rPr>
        <w:t>Conclusion</w:t>
      </w:r>
    </w:p>
    <w:p w14:paraId="36B8D9F3" w14:textId="65DDCB31" w:rsidR="008D1AE9" w:rsidRPr="0098635C" w:rsidRDefault="008D1AE9" w:rsidP="008D1AE9">
      <w:pPr>
        <w:pStyle w:val="BodyText"/>
        <w:rPr>
          <w:color w:val="000000" w:themeColor="text1"/>
          <w:sz w:val="20"/>
        </w:rPr>
      </w:pPr>
      <w:r w:rsidRPr="0098635C">
        <w:rPr>
          <w:color w:val="000000" w:themeColor="text1"/>
          <w:sz w:val="20"/>
        </w:rPr>
        <w:t>It is concluded that coated copper flakes is not</w:t>
      </w:r>
      <w:r w:rsidR="00DE583B" w:rsidRPr="0098635C">
        <w:rPr>
          <w:color w:val="000000" w:themeColor="text1"/>
          <w:sz w:val="20"/>
        </w:rPr>
        <w:t xml:space="preserve"> a</w:t>
      </w:r>
      <w:r w:rsidRPr="0098635C">
        <w:rPr>
          <w:color w:val="000000" w:themeColor="text1"/>
          <w:sz w:val="20"/>
        </w:rPr>
        <w:t xml:space="preserve"> skin </w:t>
      </w:r>
      <w:r w:rsidR="00E6616F" w:rsidRPr="0098635C">
        <w:rPr>
          <w:color w:val="000000" w:themeColor="text1"/>
          <w:sz w:val="20"/>
        </w:rPr>
        <w:t xml:space="preserve">irritant but is an </w:t>
      </w:r>
      <w:r w:rsidRPr="0098635C">
        <w:rPr>
          <w:color w:val="000000" w:themeColor="text1"/>
          <w:sz w:val="20"/>
        </w:rPr>
        <w:t>eye irritant.. Copper (II) oxide and Dicopper chloride trihydroxide are not skin nor eye irritant</w:t>
      </w:r>
      <w:r w:rsidR="00DE583B" w:rsidRPr="0098635C">
        <w:rPr>
          <w:color w:val="000000" w:themeColor="text1"/>
          <w:sz w:val="20"/>
        </w:rPr>
        <w:t>s</w:t>
      </w:r>
      <w:r w:rsidRPr="0098635C">
        <w:rPr>
          <w:color w:val="000000" w:themeColor="text1"/>
          <w:sz w:val="20"/>
        </w:rPr>
        <w:t>. Copper sulphate is not skin irritant</w:t>
      </w:r>
      <w:r w:rsidR="00DE583B" w:rsidRPr="0098635C">
        <w:rPr>
          <w:color w:val="000000" w:themeColor="text1"/>
          <w:sz w:val="20"/>
        </w:rPr>
        <w:t>, h</w:t>
      </w:r>
      <w:r w:rsidRPr="0098635C">
        <w:rPr>
          <w:color w:val="000000" w:themeColor="text1"/>
          <w:sz w:val="20"/>
        </w:rPr>
        <w:t xml:space="preserve">owever, it is severe eye irritant. </w:t>
      </w:r>
      <w:r w:rsidR="00236182" w:rsidRPr="0098635C">
        <w:rPr>
          <w:color w:val="000000" w:themeColor="text1"/>
          <w:sz w:val="20"/>
        </w:rPr>
        <w:t>Copper (I) oxide</w:t>
      </w:r>
      <w:r w:rsidRPr="0098635C">
        <w:rPr>
          <w:color w:val="000000" w:themeColor="text1"/>
          <w:sz w:val="20"/>
        </w:rPr>
        <w:t xml:space="preserve">, is </w:t>
      </w:r>
      <w:r w:rsidR="00DE583B" w:rsidRPr="0098635C">
        <w:rPr>
          <w:color w:val="000000" w:themeColor="text1"/>
          <w:sz w:val="20"/>
        </w:rPr>
        <w:t xml:space="preserve">an </w:t>
      </w:r>
      <w:r w:rsidRPr="0098635C">
        <w:rPr>
          <w:color w:val="000000" w:themeColor="text1"/>
          <w:sz w:val="20"/>
        </w:rPr>
        <w:t xml:space="preserve">eye irritant but not </w:t>
      </w:r>
      <w:r w:rsidR="00DE583B" w:rsidRPr="0098635C">
        <w:rPr>
          <w:color w:val="000000" w:themeColor="text1"/>
          <w:sz w:val="20"/>
        </w:rPr>
        <w:t xml:space="preserve">a </w:t>
      </w:r>
      <w:r w:rsidRPr="0098635C">
        <w:rPr>
          <w:color w:val="000000" w:themeColor="text1"/>
          <w:sz w:val="20"/>
        </w:rPr>
        <w:t>skin irritant</w:t>
      </w:r>
      <w:r w:rsidR="00E6616F" w:rsidRPr="0098635C">
        <w:rPr>
          <w:color w:val="000000" w:themeColor="text1"/>
          <w:sz w:val="20"/>
        </w:rPr>
        <w:t xml:space="preserve">. Considering the lower solubility and bioaccessibility of copper powders compared to copper (II) oxide and </w:t>
      </w:r>
      <w:r w:rsidR="00DE583B" w:rsidRPr="0098635C">
        <w:rPr>
          <w:color w:val="000000" w:themeColor="text1"/>
          <w:sz w:val="20"/>
        </w:rPr>
        <w:t xml:space="preserve">coated </w:t>
      </w:r>
      <w:r w:rsidR="00E6616F" w:rsidRPr="0098635C">
        <w:rPr>
          <w:color w:val="000000" w:themeColor="text1"/>
          <w:sz w:val="20"/>
        </w:rPr>
        <w:t>copper flakes, the data from copper (II) oxide are read-across to copper powders and massive forms</w:t>
      </w:r>
      <w:r w:rsidR="00EB4C24" w:rsidRPr="0098635C">
        <w:rPr>
          <w:color w:val="000000" w:themeColor="text1"/>
          <w:sz w:val="20"/>
        </w:rPr>
        <w:t>.</w:t>
      </w:r>
    </w:p>
    <w:p w14:paraId="6C8DFE5D" w14:textId="77777777" w:rsidR="008D1AE9" w:rsidRPr="0098635C" w:rsidRDefault="008D1AE9" w:rsidP="008D1AE9">
      <w:pPr>
        <w:pStyle w:val="Heading3"/>
        <w:rPr>
          <w:color w:val="000000" w:themeColor="text1"/>
          <w:sz w:val="20"/>
        </w:rPr>
      </w:pPr>
      <w:bookmarkStart w:id="1573" w:name="_Toc32726032"/>
      <w:bookmarkStart w:id="1574" w:name="_Toc32727215"/>
      <w:bookmarkStart w:id="1575" w:name="_Toc43868663"/>
      <w:bookmarkStart w:id="1576" w:name="_Toc200358251"/>
      <w:bookmarkStart w:id="1577" w:name="_Toc200359267"/>
      <w:bookmarkStart w:id="1578" w:name="_Toc260063680"/>
      <w:bookmarkStart w:id="1579" w:name="_Toc472000214"/>
      <w:bookmarkStart w:id="1580" w:name="_Toc472251577"/>
      <w:r w:rsidRPr="0098635C">
        <w:rPr>
          <w:color w:val="000000" w:themeColor="text1"/>
          <w:sz w:val="20"/>
        </w:rPr>
        <w:t>Sensitisation</w:t>
      </w:r>
      <w:bookmarkEnd w:id="1573"/>
      <w:bookmarkEnd w:id="1574"/>
      <w:bookmarkEnd w:id="1575"/>
      <w:bookmarkEnd w:id="1576"/>
      <w:bookmarkEnd w:id="1577"/>
      <w:bookmarkEnd w:id="1578"/>
      <w:bookmarkEnd w:id="1579"/>
      <w:bookmarkEnd w:id="1580"/>
    </w:p>
    <w:p w14:paraId="60D760EA" w14:textId="18B4B8F7" w:rsidR="00602FD8" w:rsidRPr="0098635C" w:rsidRDefault="00602FD8" w:rsidP="00586794">
      <w:pPr>
        <w:pStyle w:val="Heading4"/>
        <w:rPr>
          <w:color w:val="000000" w:themeColor="text1"/>
          <w:sz w:val="20"/>
        </w:rPr>
      </w:pPr>
      <w:r w:rsidRPr="0098635C">
        <w:rPr>
          <w:color w:val="000000" w:themeColor="text1"/>
          <w:sz w:val="20"/>
        </w:rPr>
        <w:t>Skin Sensitisation</w:t>
      </w:r>
    </w:p>
    <w:p w14:paraId="0521C08A" w14:textId="3D134179" w:rsidR="008D1AE9" w:rsidRPr="0098635C" w:rsidRDefault="00602FD8" w:rsidP="008D1AE9">
      <w:pPr>
        <w:pStyle w:val="Heading8"/>
        <w:rPr>
          <w:color w:val="000000" w:themeColor="text1"/>
          <w:sz w:val="20"/>
          <w:szCs w:val="20"/>
        </w:rPr>
      </w:pPr>
      <w:r w:rsidRPr="0098635C">
        <w:rPr>
          <w:color w:val="000000" w:themeColor="text1"/>
          <w:sz w:val="20"/>
          <w:szCs w:val="20"/>
        </w:rPr>
        <w:t>-</w:t>
      </w:r>
      <w:r w:rsidR="008D1AE9" w:rsidRPr="0098635C">
        <w:rPr>
          <w:color w:val="000000" w:themeColor="text1"/>
          <w:sz w:val="20"/>
          <w:szCs w:val="20"/>
        </w:rPr>
        <w:t>Studies in Animals</w:t>
      </w:r>
    </w:p>
    <w:p w14:paraId="7AE430AA" w14:textId="3A7FCE0F" w:rsidR="008D1AE9" w:rsidRPr="0098635C" w:rsidRDefault="008D1AE9" w:rsidP="008D1AE9">
      <w:pPr>
        <w:pStyle w:val="BodyText"/>
        <w:rPr>
          <w:color w:val="000000" w:themeColor="text1"/>
          <w:sz w:val="20"/>
        </w:rPr>
      </w:pPr>
      <w:r w:rsidRPr="0098635C">
        <w:rPr>
          <w:color w:val="000000" w:themeColor="text1"/>
          <w:sz w:val="20"/>
        </w:rPr>
        <w:t>No published studies are available which report on the potential of copper or its compounds to cause skin sensitisation in animals. A number of available unpublished reports of skin sensitisation</w:t>
      </w:r>
      <w:r w:rsidRPr="0098635C">
        <w:rPr>
          <w:rStyle w:val="FootnoteReference"/>
          <w:color w:val="000000" w:themeColor="text1"/>
          <w:sz w:val="20"/>
        </w:rPr>
        <w:footnoteReference w:id="24"/>
      </w:r>
      <w:r w:rsidRPr="0098635C">
        <w:rPr>
          <w:color w:val="000000" w:themeColor="text1"/>
          <w:sz w:val="20"/>
        </w:rPr>
        <w:t xml:space="preserve"> provide good quality data on the skin sensitising potential of copper and some copper compounds. In most of these studies, the test method used was the guinea pig maximisation test (GPMT) of Magnusson and Kligman. In one study, the Buehler test was used (Walker 1990).  In most cases, tests were conducted according to EU Method B6 and OECD </w:t>
      </w:r>
      <w:r w:rsidR="00EB4C24" w:rsidRPr="0098635C">
        <w:rPr>
          <w:color w:val="000000" w:themeColor="text1"/>
          <w:sz w:val="20"/>
        </w:rPr>
        <w:t>guidelines</w:t>
      </w:r>
      <w:r w:rsidRPr="0098635C">
        <w:rPr>
          <w:color w:val="000000" w:themeColor="text1"/>
          <w:sz w:val="20"/>
        </w:rPr>
        <w:t xml:space="preserve">.  A summary of these studies is presented in </w:t>
      </w:r>
      <w:r w:rsidR="00E230FB" w:rsidRPr="0098635C">
        <w:rPr>
          <w:b/>
          <w:i/>
          <w:color w:val="000000" w:themeColor="text1"/>
          <w:sz w:val="20"/>
        </w:rPr>
        <w:fldChar w:fldCharType="begin"/>
      </w:r>
      <w:r w:rsidRPr="0098635C">
        <w:rPr>
          <w:b/>
          <w:color w:val="000000" w:themeColor="text1"/>
          <w:sz w:val="20"/>
        </w:rPr>
        <w:instrText xml:space="preserve"> REF _Ref260321581 \h </w:instrText>
      </w:r>
      <w:r w:rsidR="00E230FB" w:rsidRPr="0098635C">
        <w:rPr>
          <w:b/>
          <w:i/>
          <w:color w:val="000000" w:themeColor="text1"/>
          <w:sz w:val="20"/>
        </w:rPr>
      </w:r>
      <w:r w:rsidR="0098635C">
        <w:rPr>
          <w:b/>
          <w:i/>
          <w:color w:val="000000" w:themeColor="text1"/>
          <w:sz w:val="20"/>
        </w:rPr>
        <w:instrText xml:space="preserve"> \* MERGEFORMAT </w:instrText>
      </w:r>
      <w:r w:rsidR="00E230FB" w:rsidRPr="0098635C">
        <w:rPr>
          <w:b/>
          <w:i/>
          <w:color w:val="000000" w:themeColor="text1"/>
          <w:sz w:val="20"/>
        </w:rPr>
        <w:fldChar w:fldCharType="separate"/>
      </w:r>
      <w:r w:rsidR="005E5161" w:rsidRPr="0098635C">
        <w:rPr>
          <w:color w:val="000000" w:themeColor="text1"/>
          <w:sz w:val="20"/>
        </w:rPr>
        <w:t xml:space="preserve">Table </w:t>
      </w:r>
      <w:r w:rsidR="005E5161" w:rsidRPr="0098635C">
        <w:rPr>
          <w:noProof/>
          <w:color w:val="000000" w:themeColor="text1"/>
          <w:sz w:val="20"/>
        </w:rPr>
        <w:t>17</w:t>
      </w:r>
      <w:r w:rsidR="00E230FB" w:rsidRPr="0098635C">
        <w:rPr>
          <w:b/>
          <w:i/>
          <w:color w:val="000000" w:themeColor="text1"/>
          <w:sz w:val="20"/>
        </w:rPr>
        <w:fldChar w:fldCharType="end"/>
      </w:r>
      <w:r w:rsidRPr="0098635C">
        <w:rPr>
          <w:color w:val="000000" w:themeColor="text1"/>
          <w:sz w:val="20"/>
        </w:rPr>
        <w:t>.</w:t>
      </w:r>
    </w:p>
    <w:p w14:paraId="1F2BF55A" w14:textId="7675D002" w:rsidR="008D1AE9" w:rsidRPr="0098635C" w:rsidRDefault="008D1AE9" w:rsidP="008D1AE9">
      <w:pPr>
        <w:pStyle w:val="Caption"/>
        <w:rPr>
          <w:color w:val="000000" w:themeColor="text1"/>
          <w:sz w:val="20"/>
          <w:lang w:val="en-GB"/>
        </w:rPr>
      </w:pPr>
      <w:bookmarkStart w:id="1581" w:name="_Ref260321581"/>
      <w:bookmarkStart w:id="1582" w:name="_Toc260323671"/>
      <w:r w:rsidRPr="0098635C">
        <w:rPr>
          <w:color w:val="000000" w:themeColor="text1"/>
          <w:sz w:val="20"/>
          <w:lang w:val="en-GB"/>
        </w:rPr>
        <w:lastRenderedPageBreak/>
        <w:t xml:space="preserve">Table </w:t>
      </w:r>
      <w:r w:rsidR="00E230FB" w:rsidRPr="0098635C">
        <w:rPr>
          <w:color w:val="000000" w:themeColor="text1"/>
          <w:sz w:val="20"/>
          <w:lang w:val="en-GB"/>
        </w:rPr>
        <w:fldChar w:fldCharType="begin"/>
      </w:r>
      <w:r w:rsidRPr="0098635C">
        <w:rPr>
          <w:color w:val="000000" w:themeColor="text1"/>
          <w:sz w:val="20"/>
          <w:lang w:val="en-GB"/>
        </w:rPr>
        <w:instrText xml:space="preserve"> SEQ Table \* ARABIC </w:instrText>
      </w:r>
      <w:r w:rsidR="00E230FB" w:rsidRPr="0098635C">
        <w:rPr>
          <w:color w:val="000000" w:themeColor="text1"/>
          <w:sz w:val="20"/>
          <w:lang w:val="en-GB"/>
        </w:rPr>
        <w:fldChar w:fldCharType="separate"/>
      </w:r>
      <w:r w:rsidR="005E5161" w:rsidRPr="0098635C">
        <w:rPr>
          <w:noProof/>
          <w:color w:val="000000" w:themeColor="text1"/>
          <w:sz w:val="20"/>
          <w:lang w:val="en-GB"/>
        </w:rPr>
        <w:t>17</w:t>
      </w:r>
      <w:r w:rsidR="00E230FB" w:rsidRPr="0098635C">
        <w:rPr>
          <w:color w:val="000000" w:themeColor="text1"/>
          <w:sz w:val="20"/>
          <w:lang w:val="en-GB"/>
        </w:rPr>
        <w:fldChar w:fldCharType="end"/>
      </w:r>
      <w:bookmarkEnd w:id="1581"/>
      <w:r w:rsidRPr="0098635C">
        <w:rPr>
          <w:color w:val="000000" w:themeColor="text1"/>
          <w:sz w:val="20"/>
          <w:lang w:val="en-GB"/>
        </w:rPr>
        <w:t>: Overview of experimental studies on skin sensiti</w:t>
      </w:r>
      <w:r w:rsidR="00EB4C24" w:rsidRPr="0098635C">
        <w:rPr>
          <w:color w:val="000000" w:themeColor="text1"/>
          <w:sz w:val="20"/>
          <w:lang w:val="en-GB"/>
        </w:rPr>
        <w:t>s</w:t>
      </w:r>
      <w:r w:rsidRPr="0098635C">
        <w:rPr>
          <w:color w:val="000000" w:themeColor="text1"/>
          <w:sz w:val="20"/>
          <w:lang w:val="en-GB"/>
        </w:rPr>
        <w:t>ation</w:t>
      </w:r>
      <w:bookmarkEnd w:id="1582"/>
      <w:r w:rsidRPr="0098635C">
        <w:rPr>
          <w:color w:val="000000" w:themeColor="text1"/>
          <w:sz w:val="20"/>
          <w:lang w:val="en-GB"/>
        </w:rPr>
        <w:t xml:space="preserve"> </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0"/>
        <w:gridCol w:w="1119"/>
        <w:gridCol w:w="1223"/>
        <w:gridCol w:w="1701"/>
        <w:gridCol w:w="1843"/>
        <w:gridCol w:w="2864"/>
      </w:tblGrid>
      <w:tr w:rsidR="008D1AE9" w:rsidRPr="0098635C" w14:paraId="73D4DC15" w14:textId="77777777" w:rsidTr="00586794">
        <w:trPr>
          <w:trHeight w:val="576"/>
          <w:tblHeader/>
        </w:trPr>
        <w:tc>
          <w:tcPr>
            <w:tcW w:w="1310" w:type="dxa"/>
            <w:tcMar>
              <w:top w:w="20" w:type="nil"/>
              <w:left w:w="20" w:type="nil"/>
              <w:bottom w:w="20" w:type="nil"/>
              <w:right w:w="20" w:type="nil"/>
            </w:tcMar>
            <w:vAlign w:val="center"/>
          </w:tcPr>
          <w:p w14:paraId="74704074" w14:textId="77777777" w:rsidR="008D1AE9" w:rsidRPr="0098635C" w:rsidRDefault="008D1AE9" w:rsidP="00AF385A">
            <w:pPr>
              <w:pStyle w:val="NoteLevel211"/>
              <w:jc w:val="left"/>
              <w:rPr>
                <w:b/>
                <w:color w:val="000000" w:themeColor="text1"/>
              </w:rPr>
            </w:pPr>
            <w:bookmarkStart w:id="1583" w:name="_Toc472000215"/>
            <w:bookmarkStart w:id="1584" w:name="_Toc472251578"/>
            <w:r w:rsidRPr="0098635C">
              <w:rPr>
                <w:b/>
                <w:color w:val="000000" w:themeColor="text1"/>
              </w:rPr>
              <w:t>Reference</w:t>
            </w:r>
            <w:bookmarkEnd w:id="1583"/>
            <w:bookmarkEnd w:id="1584"/>
          </w:p>
        </w:tc>
        <w:tc>
          <w:tcPr>
            <w:tcW w:w="1119" w:type="dxa"/>
            <w:tcMar>
              <w:top w:w="20" w:type="nil"/>
              <w:left w:w="20" w:type="nil"/>
              <w:bottom w:w="20" w:type="nil"/>
              <w:right w:w="20" w:type="nil"/>
            </w:tcMar>
            <w:vAlign w:val="center"/>
          </w:tcPr>
          <w:p w14:paraId="11659C47" w14:textId="77777777" w:rsidR="008D1AE9" w:rsidRPr="0098635C" w:rsidRDefault="008D1AE9" w:rsidP="00AF385A">
            <w:pPr>
              <w:pStyle w:val="NoteLevel211"/>
              <w:jc w:val="left"/>
              <w:rPr>
                <w:b/>
                <w:color w:val="000000" w:themeColor="text1"/>
              </w:rPr>
            </w:pPr>
            <w:bookmarkStart w:id="1585" w:name="_Toc472000216"/>
            <w:bookmarkStart w:id="1586" w:name="_Toc472251579"/>
            <w:r w:rsidRPr="0098635C">
              <w:rPr>
                <w:b/>
                <w:color w:val="000000" w:themeColor="text1"/>
              </w:rPr>
              <w:t>Substance</w:t>
            </w:r>
            <w:bookmarkEnd w:id="1585"/>
            <w:bookmarkEnd w:id="1586"/>
          </w:p>
        </w:tc>
        <w:tc>
          <w:tcPr>
            <w:tcW w:w="1223" w:type="dxa"/>
            <w:tcMar>
              <w:top w:w="20" w:type="nil"/>
              <w:left w:w="20" w:type="nil"/>
              <w:bottom w:w="20" w:type="nil"/>
              <w:right w:w="20" w:type="nil"/>
            </w:tcMar>
            <w:vAlign w:val="center"/>
          </w:tcPr>
          <w:p w14:paraId="02290645" w14:textId="77777777" w:rsidR="008D1AE9" w:rsidRPr="0098635C" w:rsidRDefault="008D1AE9" w:rsidP="00AF385A">
            <w:pPr>
              <w:pStyle w:val="NoteLevel211"/>
              <w:jc w:val="left"/>
              <w:rPr>
                <w:b/>
                <w:color w:val="000000" w:themeColor="text1"/>
              </w:rPr>
            </w:pPr>
            <w:bookmarkStart w:id="1587" w:name="_Toc472000217"/>
            <w:bookmarkStart w:id="1588" w:name="_Toc472251580"/>
            <w:r w:rsidRPr="0098635C">
              <w:rPr>
                <w:b/>
                <w:color w:val="000000" w:themeColor="text1"/>
              </w:rPr>
              <w:t>Method</w:t>
            </w:r>
            <w:bookmarkEnd w:id="1587"/>
            <w:bookmarkEnd w:id="1588"/>
          </w:p>
        </w:tc>
        <w:tc>
          <w:tcPr>
            <w:tcW w:w="1701" w:type="dxa"/>
            <w:vAlign w:val="center"/>
          </w:tcPr>
          <w:p w14:paraId="7AE23A90" w14:textId="77777777" w:rsidR="008D1AE9" w:rsidRPr="0098635C" w:rsidRDefault="008D1AE9" w:rsidP="00AF385A">
            <w:pPr>
              <w:pStyle w:val="NoteLevel211"/>
              <w:jc w:val="left"/>
              <w:rPr>
                <w:b/>
                <w:color w:val="000000" w:themeColor="text1"/>
              </w:rPr>
            </w:pPr>
            <w:bookmarkStart w:id="1589" w:name="_Toc472000218"/>
            <w:bookmarkStart w:id="1590" w:name="_Toc472251581"/>
            <w:r w:rsidRPr="0098635C">
              <w:rPr>
                <w:b/>
                <w:color w:val="000000" w:themeColor="text1"/>
              </w:rPr>
              <w:t>Test animals</w:t>
            </w:r>
            <w:bookmarkEnd w:id="1589"/>
            <w:bookmarkEnd w:id="1590"/>
          </w:p>
        </w:tc>
        <w:tc>
          <w:tcPr>
            <w:tcW w:w="1843" w:type="dxa"/>
            <w:vAlign w:val="center"/>
          </w:tcPr>
          <w:p w14:paraId="53ED9AAD" w14:textId="77777777" w:rsidR="008D1AE9" w:rsidRPr="0098635C" w:rsidRDefault="008D1AE9" w:rsidP="00AF385A">
            <w:pPr>
              <w:pStyle w:val="NoteLevel211"/>
              <w:rPr>
                <w:b/>
                <w:color w:val="000000" w:themeColor="text1"/>
              </w:rPr>
            </w:pPr>
            <w:bookmarkStart w:id="1591" w:name="_Toc472000219"/>
            <w:bookmarkStart w:id="1592" w:name="_Toc472251582"/>
            <w:r w:rsidRPr="0098635C">
              <w:rPr>
                <w:b/>
                <w:color w:val="000000" w:themeColor="text1"/>
              </w:rPr>
              <w:t>Dose levels</w:t>
            </w:r>
            <w:bookmarkEnd w:id="1591"/>
            <w:bookmarkEnd w:id="1592"/>
          </w:p>
        </w:tc>
        <w:tc>
          <w:tcPr>
            <w:tcW w:w="2864" w:type="dxa"/>
            <w:tcMar>
              <w:top w:w="20" w:type="nil"/>
              <w:left w:w="20" w:type="nil"/>
              <w:bottom w:w="20" w:type="nil"/>
              <w:right w:w="20" w:type="nil"/>
            </w:tcMar>
            <w:vAlign w:val="center"/>
          </w:tcPr>
          <w:p w14:paraId="5D53D30F" w14:textId="77777777" w:rsidR="008D1AE9" w:rsidRPr="0098635C" w:rsidRDefault="008D1AE9" w:rsidP="00AF385A">
            <w:pPr>
              <w:pStyle w:val="NoteLevel211"/>
              <w:rPr>
                <w:b/>
                <w:color w:val="000000" w:themeColor="text1"/>
              </w:rPr>
            </w:pPr>
            <w:bookmarkStart w:id="1593" w:name="_Toc472000220"/>
            <w:bookmarkStart w:id="1594" w:name="_Toc472251583"/>
            <w:r w:rsidRPr="0098635C">
              <w:rPr>
                <w:b/>
                <w:color w:val="000000" w:themeColor="text1"/>
              </w:rPr>
              <w:t>Results</w:t>
            </w:r>
            <w:bookmarkEnd w:id="1593"/>
            <w:bookmarkEnd w:id="1594"/>
          </w:p>
        </w:tc>
      </w:tr>
      <w:tr w:rsidR="00822E30" w:rsidRPr="0098635C" w14:paraId="4D0BCA84" w14:textId="77777777" w:rsidTr="00586794">
        <w:tc>
          <w:tcPr>
            <w:tcW w:w="1310" w:type="dxa"/>
            <w:tcMar>
              <w:top w:w="20" w:type="nil"/>
              <w:left w:w="20" w:type="nil"/>
              <w:bottom w:w="20" w:type="nil"/>
              <w:right w:w="20" w:type="nil"/>
            </w:tcMar>
          </w:tcPr>
          <w:p w14:paraId="480C1893" w14:textId="77777777" w:rsidR="00822E30" w:rsidRPr="0098635C" w:rsidRDefault="00822E30" w:rsidP="00822E30">
            <w:pPr>
              <w:pStyle w:val="NoteLevel211"/>
              <w:jc w:val="left"/>
              <w:rPr>
                <w:color w:val="000000" w:themeColor="text1"/>
              </w:rPr>
            </w:pPr>
            <w:bookmarkStart w:id="1595" w:name="_Toc472000221"/>
            <w:bookmarkStart w:id="1596" w:name="_Toc472251584"/>
            <w:r w:rsidRPr="0098635C">
              <w:rPr>
                <w:color w:val="000000" w:themeColor="text1"/>
              </w:rPr>
              <w:t>Bien, 1993</w:t>
            </w:r>
            <w:bookmarkEnd w:id="1595"/>
            <w:bookmarkEnd w:id="1596"/>
          </w:p>
        </w:tc>
        <w:tc>
          <w:tcPr>
            <w:tcW w:w="1119" w:type="dxa"/>
            <w:tcMar>
              <w:top w:w="20" w:type="nil"/>
              <w:left w:w="20" w:type="nil"/>
              <w:bottom w:w="20" w:type="nil"/>
              <w:right w:w="20" w:type="nil"/>
            </w:tcMar>
          </w:tcPr>
          <w:p w14:paraId="13179E7D" w14:textId="3CF005F3" w:rsidR="00822E30" w:rsidRPr="0098635C" w:rsidRDefault="00822E30" w:rsidP="00822E30">
            <w:pPr>
              <w:pStyle w:val="NoteLevel211"/>
              <w:jc w:val="left"/>
              <w:rPr>
                <w:color w:val="000000" w:themeColor="text1"/>
              </w:rPr>
            </w:pPr>
            <w:bookmarkStart w:id="1597" w:name="_Toc472000222"/>
            <w:bookmarkStart w:id="1598" w:name="_Toc472251585"/>
            <w:r w:rsidRPr="0098635C">
              <w:rPr>
                <w:color w:val="000000" w:themeColor="text1"/>
              </w:rPr>
              <w:t>Copper (I) oxide</w:t>
            </w:r>
            <w:bookmarkEnd w:id="1597"/>
            <w:bookmarkEnd w:id="1598"/>
          </w:p>
        </w:tc>
        <w:tc>
          <w:tcPr>
            <w:tcW w:w="1223" w:type="dxa"/>
            <w:tcMar>
              <w:top w:w="20" w:type="nil"/>
              <w:left w:w="20" w:type="nil"/>
              <w:bottom w:w="20" w:type="nil"/>
              <w:right w:w="20" w:type="nil"/>
            </w:tcMar>
          </w:tcPr>
          <w:p w14:paraId="0C27E825" w14:textId="77777777" w:rsidR="00822E30" w:rsidRPr="0098635C" w:rsidRDefault="00822E30" w:rsidP="00822E30">
            <w:pPr>
              <w:pStyle w:val="NoteLevel211"/>
              <w:jc w:val="left"/>
              <w:rPr>
                <w:color w:val="000000" w:themeColor="text1"/>
              </w:rPr>
            </w:pPr>
            <w:bookmarkStart w:id="1599" w:name="_Toc472000223"/>
            <w:bookmarkStart w:id="1600" w:name="_Toc472251586"/>
            <w:r w:rsidRPr="0098635C">
              <w:rPr>
                <w:color w:val="000000" w:themeColor="text1"/>
              </w:rPr>
              <w:t>OECD 406</w:t>
            </w:r>
            <w:bookmarkEnd w:id="1599"/>
            <w:bookmarkEnd w:id="1600"/>
          </w:p>
        </w:tc>
        <w:tc>
          <w:tcPr>
            <w:tcW w:w="1701" w:type="dxa"/>
          </w:tcPr>
          <w:p w14:paraId="720198E6" w14:textId="77777777" w:rsidR="00822E30" w:rsidRPr="0098635C" w:rsidRDefault="00822E30" w:rsidP="00822E30">
            <w:pPr>
              <w:pStyle w:val="NoteLevel211"/>
              <w:jc w:val="left"/>
              <w:rPr>
                <w:color w:val="000000" w:themeColor="text1"/>
              </w:rPr>
            </w:pPr>
            <w:bookmarkStart w:id="1601" w:name="_Toc472000224"/>
            <w:bookmarkStart w:id="1602" w:name="_Toc472251587"/>
            <w:r w:rsidRPr="0098635C">
              <w:rPr>
                <w:color w:val="000000" w:themeColor="text1"/>
              </w:rPr>
              <w:t>Guinea pig, Pirbright-Hartley, m/f</w:t>
            </w:r>
            <w:bookmarkEnd w:id="1601"/>
            <w:bookmarkEnd w:id="1602"/>
          </w:p>
          <w:p w14:paraId="71621967" w14:textId="08C8F3F1" w:rsidR="00822E30" w:rsidRPr="0098635C" w:rsidRDefault="00822E30" w:rsidP="008A24B5">
            <w:pPr>
              <w:pStyle w:val="NoteLevel211"/>
              <w:jc w:val="left"/>
              <w:rPr>
                <w:color w:val="000000" w:themeColor="text1"/>
              </w:rPr>
            </w:pPr>
            <w:bookmarkStart w:id="1603" w:name="_Toc472000225"/>
            <w:bookmarkStart w:id="1604" w:name="_Toc472251588"/>
            <w:r w:rsidRPr="0098635C">
              <w:rPr>
                <w:color w:val="000000" w:themeColor="text1"/>
              </w:rPr>
              <w:t xml:space="preserve">(20 controls, </w:t>
            </w:r>
            <w:r w:rsidR="004E50D2" w:rsidRPr="0098635C">
              <w:rPr>
                <w:color w:val="000000" w:themeColor="text1"/>
              </w:rPr>
              <w:t>20</w:t>
            </w:r>
            <w:r w:rsidR="008A24B5" w:rsidRPr="0098635C">
              <w:rPr>
                <w:color w:val="000000" w:themeColor="text1"/>
              </w:rPr>
              <w:t xml:space="preserve"> </w:t>
            </w:r>
            <w:r w:rsidRPr="0098635C">
              <w:rPr>
                <w:color w:val="000000" w:themeColor="text1"/>
              </w:rPr>
              <w:t>test animals)</w:t>
            </w:r>
            <w:bookmarkEnd w:id="1603"/>
            <w:bookmarkEnd w:id="1604"/>
          </w:p>
          <w:p w14:paraId="42539801" w14:textId="07C64AF9" w:rsidR="004E50D2" w:rsidRPr="0098635C" w:rsidRDefault="004E50D2" w:rsidP="008A24B5">
            <w:pPr>
              <w:pStyle w:val="NoteLevel211"/>
              <w:jc w:val="left"/>
              <w:rPr>
                <w:color w:val="000000" w:themeColor="text1"/>
              </w:rPr>
            </w:pPr>
            <w:r w:rsidRPr="0098635C">
              <w:rPr>
                <w:color w:val="000000" w:themeColor="text1"/>
              </w:rPr>
              <w:t>One animal in each group died during challenge</w:t>
            </w:r>
          </w:p>
        </w:tc>
        <w:tc>
          <w:tcPr>
            <w:tcW w:w="1843" w:type="dxa"/>
          </w:tcPr>
          <w:p w14:paraId="1BFB404C" w14:textId="77777777" w:rsidR="00822E30" w:rsidRPr="0098635C" w:rsidRDefault="00822E30" w:rsidP="00822E30">
            <w:pPr>
              <w:pStyle w:val="NoteLevel211"/>
              <w:rPr>
                <w:color w:val="000000" w:themeColor="text1"/>
              </w:rPr>
            </w:pPr>
            <w:bookmarkStart w:id="1605" w:name="_Toc472000226"/>
            <w:bookmarkStart w:id="1606" w:name="_Toc472251589"/>
            <w:r w:rsidRPr="0098635C">
              <w:rPr>
                <w:color w:val="000000" w:themeColor="text1"/>
              </w:rPr>
              <w:t>0.1 ml FCZ 50% (w/w) diluted in aqua ad inject, 0.1 ml test article diluted in CMC (final conc 0.25%), 0.1 ml test article diluted in FCA/CMC (final conc 0.25%)</w:t>
            </w:r>
            <w:bookmarkEnd w:id="1605"/>
            <w:bookmarkEnd w:id="1606"/>
          </w:p>
        </w:tc>
        <w:tc>
          <w:tcPr>
            <w:tcW w:w="2864" w:type="dxa"/>
            <w:tcMar>
              <w:top w:w="20" w:type="nil"/>
              <w:left w:w="20" w:type="nil"/>
              <w:bottom w:w="20" w:type="nil"/>
              <w:right w:w="20" w:type="nil"/>
            </w:tcMar>
          </w:tcPr>
          <w:p w14:paraId="10DE6699" w14:textId="77777777" w:rsidR="00822E30" w:rsidRPr="0098635C" w:rsidRDefault="00822E30" w:rsidP="00822E30">
            <w:pPr>
              <w:pStyle w:val="NoteLevel211"/>
              <w:rPr>
                <w:color w:val="000000" w:themeColor="text1"/>
              </w:rPr>
            </w:pPr>
          </w:p>
          <w:p w14:paraId="3F12BDE5" w14:textId="77777777" w:rsidR="00822E30" w:rsidRPr="0098635C" w:rsidRDefault="00822E30" w:rsidP="00822E30">
            <w:pPr>
              <w:pStyle w:val="NoteLevel211"/>
              <w:rPr>
                <w:color w:val="000000" w:themeColor="text1"/>
              </w:rPr>
            </w:pPr>
            <w:bookmarkStart w:id="1607" w:name="_Toc472000227"/>
            <w:bookmarkStart w:id="1608" w:name="_Toc472251590"/>
            <w:r w:rsidRPr="0098635C">
              <w:rPr>
                <w:color w:val="000000" w:themeColor="text1"/>
              </w:rPr>
              <w:t>0/19 animals sensitized</w:t>
            </w:r>
            <w:bookmarkEnd w:id="1607"/>
            <w:bookmarkEnd w:id="1608"/>
          </w:p>
        </w:tc>
      </w:tr>
      <w:tr w:rsidR="00822E30" w:rsidRPr="0098635C" w14:paraId="7613DD21" w14:textId="77777777" w:rsidTr="00926614">
        <w:tc>
          <w:tcPr>
            <w:tcW w:w="1310" w:type="dxa"/>
            <w:tcMar>
              <w:top w:w="20" w:type="nil"/>
              <w:left w:w="20" w:type="nil"/>
              <w:bottom w:w="20" w:type="nil"/>
              <w:right w:w="20" w:type="nil"/>
            </w:tcMar>
          </w:tcPr>
          <w:p w14:paraId="5864F900" w14:textId="77777777" w:rsidR="00822E30" w:rsidRPr="0098635C" w:rsidRDefault="00822E30" w:rsidP="00822E30">
            <w:pPr>
              <w:pStyle w:val="NoteLevel211"/>
              <w:jc w:val="left"/>
              <w:rPr>
                <w:color w:val="000000" w:themeColor="text1"/>
              </w:rPr>
            </w:pPr>
            <w:bookmarkStart w:id="1609" w:name="_Toc472000228"/>
            <w:bookmarkStart w:id="1610" w:name="_Toc472251591"/>
            <w:r w:rsidRPr="0098635C">
              <w:rPr>
                <w:color w:val="000000" w:themeColor="text1"/>
              </w:rPr>
              <w:t>Driscoll (1999e)</w:t>
            </w:r>
            <w:bookmarkEnd w:id="1609"/>
            <w:bookmarkEnd w:id="1610"/>
            <w:r w:rsidRPr="0098635C">
              <w:rPr>
                <w:i/>
                <w:color w:val="000000" w:themeColor="text1"/>
                <w:vertAlign w:val="superscript"/>
              </w:rPr>
              <w:t xml:space="preserve"> </w:t>
            </w:r>
          </w:p>
        </w:tc>
        <w:tc>
          <w:tcPr>
            <w:tcW w:w="1119" w:type="dxa"/>
            <w:tcMar>
              <w:top w:w="20" w:type="nil"/>
              <w:left w:w="20" w:type="nil"/>
              <w:bottom w:w="20" w:type="nil"/>
              <w:right w:w="20" w:type="nil"/>
            </w:tcMar>
          </w:tcPr>
          <w:p w14:paraId="34B1670B" w14:textId="44F45195" w:rsidR="00822E30" w:rsidRPr="0098635C" w:rsidRDefault="00236182" w:rsidP="00822E30">
            <w:pPr>
              <w:pStyle w:val="NoteLevel211"/>
              <w:jc w:val="left"/>
              <w:rPr>
                <w:color w:val="000000" w:themeColor="text1"/>
              </w:rPr>
            </w:pPr>
            <w:r w:rsidRPr="0098635C">
              <w:rPr>
                <w:color w:val="000000" w:themeColor="text1"/>
              </w:rPr>
              <w:t>Copper (I) oxide</w:t>
            </w:r>
          </w:p>
        </w:tc>
        <w:tc>
          <w:tcPr>
            <w:tcW w:w="1223" w:type="dxa"/>
            <w:tcMar>
              <w:top w:w="20" w:type="nil"/>
              <w:left w:w="20" w:type="nil"/>
              <w:bottom w:w="20" w:type="nil"/>
              <w:right w:w="20" w:type="nil"/>
            </w:tcMar>
          </w:tcPr>
          <w:p w14:paraId="14CAD602" w14:textId="77777777" w:rsidR="00822E30" w:rsidRPr="0098635C" w:rsidRDefault="00822E30" w:rsidP="00822E30">
            <w:pPr>
              <w:pStyle w:val="NoteLevel211"/>
              <w:jc w:val="left"/>
              <w:rPr>
                <w:color w:val="000000" w:themeColor="text1"/>
              </w:rPr>
            </w:pPr>
            <w:bookmarkStart w:id="1611" w:name="_Toc472000230"/>
            <w:bookmarkStart w:id="1612" w:name="_Toc472251593"/>
            <w:r w:rsidRPr="0098635C">
              <w:rPr>
                <w:color w:val="000000" w:themeColor="text1"/>
              </w:rPr>
              <w:t>OECD 406</w:t>
            </w:r>
            <w:bookmarkEnd w:id="1611"/>
            <w:bookmarkEnd w:id="1612"/>
          </w:p>
          <w:p w14:paraId="4480C95E" w14:textId="77777777" w:rsidR="00822E30" w:rsidRPr="0098635C" w:rsidRDefault="00822E30" w:rsidP="00822E30">
            <w:pPr>
              <w:pStyle w:val="NoteLevel211"/>
              <w:jc w:val="left"/>
              <w:rPr>
                <w:color w:val="000000" w:themeColor="text1"/>
              </w:rPr>
            </w:pPr>
            <w:bookmarkStart w:id="1613" w:name="_Toc472000231"/>
            <w:bookmarkStart w:id="1614" w:name="_Toc472251594"/>
            <w:r w:rsidRPr="0098635C">
              <w:rPr>
                <w:color w:val="000000" w:themeColor="text1"/>
              </w:rPr>
              <w:t>EU Method B6</w:t>
            </w:r>
            <w:bookmarkEnd w:id="1613"/>
            <w:bookmarkEnd w:id="1614"/>
          </w:p>
        </w:tc>
        <w:tc>
          <w:tcPr>
            <w:tcW w:w="1701" w:type="dxa"/>
          </w:tcPr>
          <w:p w14:paraId="1BB9EF4C" w14:textId="77777777" w:rsidR="00822E30" w:rsidRPr="0098635C" w:rsidRDefault="00822E30" w:rsidP="00822E30">
            <w:pPr>
              <w:pStyle w:val="NoteLevel211"/>
              <w:jc w:val="left"/>
              <w:rPr>
                <w:color w:val="000000" w:themeColor="text1"/>
              </w:rPr>
            </w:pPr>
            <w:bookmarkStart w:id="1615" w:name="_Toc472000232"/>
            <w:bookmarkStart w:id="1616" w:name="_Toc472251595"/>
            <w:r w:rsidRPr="0098635C">
              <w:rPr>
                <w:color w:val="000000" w:themeColor="text1"/>
              </w:rPr>
              <w:t>Guinea pig (Dunkin-Hartley)</w:t>
            </w:r>
            <w:bookmarkEnd w:id="1615"/>
            <w:bookmarkEnd w:id="1616"/>
          </w:p>
        </w:tc>
        <w:tc>
          <w:tcPr>
            <w:tcW w:w="1843" w:type="dxa"/>
          </w:tcPr>
          <w:p w14:paraId="40D25340" w14:textId="77777777" w:rsidR="006352DB" w:rsidRPr="0098635C" w:rsidRDefault="006352DB" w:rsidP="006352DB">
            <w:pPr>
              <w:pStyle w:val="NoteLevel211"/>
              <w:rPr>
                <w:color w:val="000000" w:themeColor="text1"/>
              </w:rPr>
            </w:pPr>
            <w:bookmarkStart w:id="1617" w:name="_Toc472000233"/>
            <w:bookmarkStart w:id="1618" w:name="_Toc472251596"/>
            <w:r w:rsidRPr="0098635C">
              <w:rPr>
                <w:color w:val="000000" w:themeColor="text1"/>
              </w:rPr>
              <w:t>0.05% and topical application of 75% (w/w in distilled water)</w:t>
            </w:r>
            <w:bookmarkEnd w:id="1617"/>
            <w:bookmarkEnd w:id="1618"/>
            <w:r w:rsidRPr="0098635C">
              <w:rPr>
                <w:color w:val="000000" w:themeColor="text1"/>
              </w:rPr>
              <w:t xml:space="preserve"> </w:t>
            </w:r>
          </w:p>
          <w:p w14:paraId="471DE969" w14:textId="5BFE1E34" w:rsidR="00822E30" w:rsidRPr="0098635C" w:rsidRDefault="006352DB" w:rsidP="006352DB">
            <w:pPr>
              <w:pStyle w:val="NoteLevel211"/>
              <w:rPr>
                <w:color w:val="000000" w:themeColor="text1"/>
              </w:rPr>
            </w:pPr>
            <w:bookmarkStart w:id="1619" w:name="_Toc472000234"/>
            <w:bookmarkStart w:id="1620" w:name="_Toc472251597"/>
            <w:r w:rsidRPr="0098635C">
              <w:rPr>
                <w:color w:val="000000" w:themeColor="text1"/>
              </w:rPr>
              <w:t>topical challenge was 25% and 10% w/w in distilled water</w:t>
            </w:r>
            <w:bookmarkEnd w:id="1619"/>
            <w:bookmarkEnd w:id="1620"/>
          </w:p>
        </w:tc>
        <w:tc>
          <w:tcPr>
            <w:tcW w:w="2864" w:type="dxa"/>
            <w:tcMar>
              <w:top w:w="20" w:type="nil"/>
              <w:left w:w="20" w:type="nil"/>
              <w:bottom w:w="20" w:type="nil"/>
              <w:right w:w="20" w:type="nil"/>
            </w:tcMar>
          </w:tcPr>
          <w:p w14:paraId="619040D4" w14:textId="77777777" w:rsidR="00822E30" w:rsidRPr="0098635C" w:rsidRDefault="00822E30" w:rsidP="00822E30">
            <w:pPr>
              <w:pStyle w:val="NoteLevel211"/>
              <w:rPr>
                <w:color w:val="000000" w:themeColor="text1"/>
              </w:rPr>
            </w:pPr>
            <w:bookmarkStart w:id="1621" w:name="_Toc472000235"/>
            <w:bookmarkStart w:id="1622" w:name="_Toc472251598"/>
            <w:r w:rsidRPr="0098635C">
              <w:rPr>
                <w:color w:val="000000" w:themeColor="text1"/>
              </w:rPr>
              <w:t>No skin response after challenge</w:t>
            </w:r>
            <w:bookmarkEnd w:id="1621"/>
            <w:bookmarkEnd w:id="1622"/>
          </w:p>
        </w:tc>
      </w:tr>
      <w:tr w:rsidR="008D1AE9" w:rsidRPr="0098635C" w14:paraId="06D811DF" w14:textId="77777777" w:rsidTr="00926614">
        <w:tc>
          <w:tcPr>
            <w:tcW w:w="1310" w:type="dxa"/>
            <w:tcMar>
              <w:top w:w="20" w:type="nil"/>
              <w:left w:w="20" w:type="nil"/>
              <w:bottom w:w="20" w:type="nil"/>
              <w:right w:w="20" w:type="nil"/>
            </w:tcMar>
          </w:tcPr>
          <w:p w14:paraId="73172C34" w14:textId="77777777" w:rsidR="008D1AE9" w:rsidRPr="0098635C" w:rsidRDefault="008D1AE9" w:rsidP="00AF385A">
            <w:pPr>
              <w:pStyle w:val="NoteLevel211"/>
              <w:jc w:val="left"/>
              <w:rPr>
                <w:color w:val="000000" w:themeColor="text1"/>
              </w:rPr>
            </w:pPr>
            <w:bookmarkStart w:id="1623" w:name="_Toc472000236"/>
            <w:bookmarkStart w:id="1624" w:name="_Toc472251599"/>
            <w:r w:rsidRPr="0098635C">
              <w:rPr>
                <w:color w:val="000000" w:themeColor="text1"/>
              </w:rPr>
              <w:t>Smith (1986)</w:t>
            </w:r>
            <w:bookmarkEnd w:id="1623"/>
            <w:bookmarkEnd w:id="1624"/>
            <w:r w:rsidRPr="0098635C">
              <w:rPr>
                <w:i/>
                <w:color w:val="000000" w:themeColor="text1"/>
                <w:vertAlign w:val="superscript"/>
              </w:rPr>
              <w:t xml:space="preserve"> </w:t>
            </w:r>
          </w:p>
        </w:tc>
        <w:tc>
          <w:tcPr>
            <w:tcW w:w="1119" w:type="dxa"/>
            <w:tcMar>
              <w:top w:w="20" w:type="nil"/>
              <w:left w:w="20" w:type="nil"/>
              <w:bottom w:w="20" w:type="nil"/>
              <w:right w:w="20" w:type="nil"/>
            </w:tcMar>
          </w:tcPr>
          <w:p w14:paraId="5B07B269" w14:textId="2200CBB7" w:rsidR="008D1AE9" w:rsidRPr="0098635C" w:rsidRDefault="00F35D64" w:rsidP="00AF385A">
            <w:pPr>
              <w:pStyle w:val="NoteLevel211"/>
              <w:jc w:val="left"/>
              <w:rPr>
                <w:color w:val="000000" w:themeColor="text1"/>
              </w:rPr>
            </w:pPr>
            <w:r w:rsidRPr="0098635C">
              <w:rPr>
                <w:color w:val="000000" w:themeColor="text1"/>
              </w:rPr>
              <w:t>Copper (I) oxide</w:t>
            </w:r>
          </w:p>
        </w:tc>
        <w:tc>
          <w:tcPr>
            <w:tcW w:w="1223" w:type="dxa"/>
            <w:tcMar>
              <w:top w:w="20" w:type="nil"/>
              <w:left w:w="20" w:type="nil"/>
              <w:bottom w:w="20" w:type="nil"/>
              <w:right w:w="20" w:type="nil"/>
            </w:tcMar>
          </w:tcPr>
          <w:p w14:paraId="51545929" w14:textId="1393FB35" w:rsidR="008D1AE9" w:rsidRPr="0098635C" w:rsidRDefault="008D1AE9" w:rsidP="00AF385A">
            <w:pPr>
              <w:pStyle w:val="NoteLevel211"/>
              <w:jc w:val="left"/>
              <w:rPr>
                <w:color w:val="000000" w:themeColor="text1"/>
              </w:rPr>
            </w:pPr>
            <w:bookmarkStart w:id="1625" w:name="_Toc472000238"/>
            <w:bookmarkStart w:id="1626" w:name="_Toc472251601"/>
            <w:r w:rsidRPr="0098635C">
              <w:rPr>
                <w:color w:val="000000" w:themeColor="text1"/>
              </w:rPr>
              <w:t xml:space="preserve">EPA </w:t>
            </w:r>
            <w:r w:rsidR="009A057B" w:rsidRPr="0098635C">
              <w:rPr>
                <w:color w:val="000000" w:themeColor="text1"/>
              </w:rPr>
              <w:t>guidance</w:t>
            </w:r>
            <w:r w:rsidRPr="0098635C">
              <w:rPr>
                <w:color w:val="000000" w:themeColor="text1"/>
              </w:rPr>
              <w:t>s - modification of Buehler</w:t>
            </w:r>
            <w:bookmarkEnd w:id="1625"/>
            <w:bookmarkEnd w:id="1626"/>
          </w:p>
        </w:tc>
        <w:tc>
          <w:tcPr>
            <w:tcW w:w="1701" w:type="dxa"/>
          </w:tcPr>
          <w:p w14:paraId="2BED4CC4" w14:textId="77777777" w:rsidR="008D1AE9" w:rsidRPr="0098635C" w:rsidRDefault="008D1AE9" w:rsidP="00AF385A">
            <w:pPr>
              <w:pStyle w:val="NoteLevel211"/>
              <w:jc w:val="left"/>
              <w:rPr>
                <w:color w:val="000000" w:themeColor="text1"/>
              </w:rPr>
            </w:pPr>
            <w:bookmarkStart w:id="1627" w:name="_Toc472000239"/>
            <w:bookmarkStart w:id="1628" w:name="_Toc472251602"/>
            <w:r w:rsidRPr="0098635C">
              <w:rPr>
                <w:color w:val="000000" w:themeColor="text1"/>
              </w:rPr>
              <w:t>Guinea pig</w:t>
            </w:r>
            <w:bookmarkEnd w:id="1627"/>
            <w:bookmarkEnd w:id="1628"/>
          </w:p>
        </w:tc>
        <w:tc>
          <w:tcPr>
            <w:tcW w:w="1843" w:type="dxa"/>
          </w:tcPr>
          <w:p w14:paraId="49A6D0FF" w14:textId="2F1DA112" w:rsidR="008D1AE9" w:rsidRPr="0098635C" w:rsidRDefault="006352DB" w:rsidP="00AF385A">
            <w:pPr>
              <w:pStyle w:val="NoteLevel211"/>
              <w:rPr>
                <w:color w:val="000000" w:themeColor="text1"/>
              </w:rPr>
            </w:pPr>
            <w:bookmarkStart w:id="1629" w:name="_Toc472000240"/>
            <w:bookmarkStart w:id="1630" w:name="_Toc472251603"/>
            <w:r w:rsidRPr="0098635C">
              <w:rPr>
                <w:color w:val="000000" w:themeColor="text1"/>
              </w:rPr>
              <w:t>500 mg of test substance (100%; moistened with propylene glycol)</w:t>
            </w:r>
            <w:bookmarkEnd w:id="1629"/>
            <w:bookmarkEnd w:id="1630"/>
          </w:p>
        </w:tc>
        <w:tc>
          <w:tcPr>
            <w:tcW w:w="2864" w:type="dxa"/>
            <w:tcMar>
              <w:top w:w="20" w:type="nil"/>
              <w:left w:w="20" w:type="nil"/>
              <w:bottom w:w="20" w:type="nil"/>
              <w:right w:w="20" w:type="nil"/>
            </w:tcMar>
          </w:tcPr>
          <w:p w14:paraId="1FAC9FA7" w14:textId="77777777" w:rsidR="008D1AE9" w:rsidRPr="0098635C" w:rsidRDefault="008D1AE9" w:rsidP="00AF385A">
            <w:pPr>
              <w:pStyle w:val="NoteLevel211"/>
              <w:rPr>
                <w:color w:val="000000" w:themeColor="text1"/>
              </w:rPr>
            </w:pPr>
            <w:bookmarkStart w:id="1631" w:name="_Toc472000241"/>
            <w:bookmarkStart w:id="1632" w:name="_Toc472251604"/>
            <w:r w:rsidRPr="0098635C">
              <w:rPr>
                <w:color w:val="000000" w:themeColor="text1"/>
              </w:rPr>
              <w:t>Very slight erythema at 24h (3/10 animals) and 48h (1/10 animals).</w:t>
            </w:r>
            <w:bookmarkEnd w:id="1631"/>
            <w:bookmarkEnd w:id="1632"/>
          </w:p>
          <w:p w14:paraId="3C759B6A" w14:textId="77777777" w:rsidR="008D1AE9" w:rsidRPr="0098635C" w:rsidRDefault="008D1AE9" w:rsidP="00AF385A">
            <w:pPr>
              <w:pStyle w:val="NoteLevel211"/>
              <w:rPr>
                <w:color w:val="000000" w:themeColor="text1"/>
              </w:rPr>
            </w:pPr>
            <w:bookmarkStart w:id="1633" w:name="_Toc472000242"/>
            <w:bookmarkStart w:id="1634" w:name="_Toc472251605"/>
            <w:r w:rsidRPr="0098635C">
              <w:rPr>
                <w:color w:val="000000" w:themeColor="text1"/>
              </w:rPr>
              <w:t>Slight erythrema also reported in 2/10 negative control animals</w:t>
            </w:r>
            <w:bookmarkEnd w:id="1633"/>
            <w:bookmarkEnd w:id="1634"/>
          </w:p>
        </w:tc>
      </w:tr>
      <w:tr w:rsidR="008D1AE9" w:rsidRPr="0098635C" w14:paraId="6C50ACDF" w14:textId="77777777" w:rsidTr="00926614">
        <w:tc>
          <w:tcPr>
            <w:tcW w:w="1310" w:type="dxa"/>
            <w:tcMar>
              <w:top w:w="20" w:type="nil"/>
              <w:left w:w="20" w:type="nil"/>
              <w:bottom w:w="20" w:type="nil"/>
              <w:right w:w="20" w:type="nil"/>
            </w:tcMar>
          </w:tcPr>
          <w:p w14:paraId="2A323BC1" w14:textId="77777777" w:rsidR="008D1AE9" w:rsidRPr="0098635C" w:rsidRDefault="008D1AE9" w:rsidP="00AF385A">
            <w:pPr>
              <w:pStyle w:val="NoteLevel211"/>
              <w:jc w:val="left"/>
              <w:rPr>
                <w:color w:val="000000" w:themeColor="text1"/>
              </w:rPr>
            </w:pPr>
            <w:bookmarkStart w:id="1635" w:name="_Toc472000243"/>
            <w:bookmarkStart w:id="1636" w:name="_Toc472251606"/>
            <w:r w:rsidRPr="0098635C">
              <w:rPr>
                <w:color w:val="000000" w:themeColor="text1"/>
              </w:rPr>
              <w:t>Leuschner, 2005</w:t>
            </w:r>
            <w:bookmarkEnd w:id="1635"/>
            <w:bookmarkEnd w:id="1636"/>
          </w:p>
        </w:tc>
        <w:tc>
          <w:tcPr>
            <w:tcW w:w="1119" w:type="dxa"/>
            <w:tcMar>
              <w:top w:w="20" w:type="nil"/>
              <w:left w:w="20" w:type="nil"/>
              <w:bottom w:w="20" w:type="nil"/>
              <w:right w:w="20" w:type="nil"/>
            </w:tcMar>
          </w:tcPr>
          <w:p w14:paraId="642B273D" w14:textId="45090771" w:rsidR="008D1AE9" w:rsidRPr="0098635C" w:rsidRDefault="00236182" w:rsidP="00AF385A">
            <w:pPr>
              <w:pStyle w:val="NoteLevel211"/>
              <w:jc w:val="left"/>
              <w:rPr>
                <w:color w:val="000000" w:themeColor="text1"/>
              </w:rPr>
            </w:pPr>
            <w:r w:rsidRPr="0098635C">
              <w:rPr>
                <w:color w:val="000000" w:themeColor="text1"/>
              </w:rPr>
              <w:t>Dicopper chloride trihydroxide</w:t>
            </w:r>
          </w:p>
        </w:tc>
        <w:tc>
          <w:tcPr>
            <w:tcW w:w="1223" w:type="dxa"/>
            <w:tcMar>
              <w:top w:w="20" w:type="nil"/>
              <w:left w:w="20" w:type="nil"/>
              <w:bottom w:w="20" w:type="nil"/>
              <w:right w:w="20" w:type="nil"/>
            </w:tcMar>
          </w:tcPr>
          <w:p w14:paraId="668D3DFA" w14:textId="77777777" w:rsidR="008D1AE9" w:rsidRPr="0098635C" w:rsidRDefault="008D1AE9" w:rsidP="00AF385A">
            <w:pPr>
              <w:pStyle w:val="NoteLevel211"/>
              <w:jc w:val="left"/>
              <w:rPr>
                <w:color w:val="000000" w:themeColor="text1"/>
              </w:rPr>
            </w:pPr>
            <w:bookmarkStart w:id="1637" w:name="_Toc472000245"/>
            <w:bookmarkStart w:id="1638" w:name="_Toc472251608"/>
            <w:r w:rsidRPr="0098635C">
              <w:rPr>
                <w:color w:val="000000" w:themeColor="text1"/>
              </w:rPr>
              <w:t>OECD 406</w:t>
            </w:r>
            <w:bookmarkEnd w:id="1637"/>
            <w:bookmarkEnd w:id="1638"/>
          </w:p>
          <w:p w14:paraId="538F9276" w14:textId="77777777" w:rsidR="008D1AE9" w:rsidRPr="0098635C" w:rsidRDefault="008D1AE9" w:rsidP="00AF385A">
            <w:pPr>
              <w:pStyle w:val="NoteLevel211"/>
              <w:jc w:val="left"/>
              <w:rPr>
                <w:color w:val="000000" w:themeColor="text1"/>
              </w:rPr>
            </w:pPr>
            <w:bookmarkStart w:id="1639" w:name="_Toc472000246"/>
            <w:bookmarkStart w:id="1640" w:name="_Toc472251609"/>
            <w:r w:rsidRPr="0098635C">
              <w:rPr>
                <w:color w:val="000000" w:themeColor="text1"/>
              </w:rPr>
              <w:t>EU Method B6</w:t>
            </w:r>
            <w:bookmarkEnd w:id="1639"/>
            <w:bookmarkEnd w:id="1640"/>
          </w:p>
        </w:tc>
        <w:tc>
          <w:tcPr>
            <w:tcW w:w="1701" w:type="dxa"/>
          </w:tcPr>
          <w:p w14:paraId="45F28F42" w14:textId="304CFD4B" w:rsidR="008D1AE9" w:rsidRPr="0098635C" w:rsidRDefault="00214E8E" w:rsidP="00AF385A">
            <w:pPr>
              <w:pStyle w:val="NoteLevel211"/>
              <w:jc w:val="left"/>
              <w:rPr>
                <w:color w:val="000000" w:themeColor="text1"/>
              </w:rPr>
            </w:pPr>
            <w:bookmarkStart w:id="1641" w:name="_Toc472000247"/>
            <w:bookmarkStart w:id="1642" w:name="_Toc472251610"/>
            <w:r w:rsidRPr="0098635C">
              <w:rPr>
                <w:color w:val="000000" w:themeColor="text1"/>
              </w:rPr>
              <w:t xml:space="preserve">Male </w:t>
            </w:r>
            <w:r w:rsidR="008D1AE9" w:rsidRPr="0098635C">
              <w:rPr>
                <w:color w:val="000000" w:themeColor="text1"/>
              </w:rPr>
              <w:t>Guinea pig (Dunkin-Hartley)</w:t>
            </w:r>
            <w:bookmarkEnd w:id="1641"/>
            <w:bookmarkEnd w:id="1642"/>
          </w:p>
        </w:tc>
        <w:tc>
          <w:tcPr>
            <w:tcW w:w="1843" w:type="dxa"/>
          </w:tcPr>
          <w:p w14:paraId="056EC161" w14:textId="36445402" w:rsidR="008D1AE9" w:rsidRPr="0098635C" w:rsidRDefault="003D6E45" w:rsidP="003D6E45">
            <w:pPr>
              <w:pStyle w:val="NoteLevel211"/>
              <w:rPr>
                <w:color w:val="000000" w:themeColor="text1"/>
              </w:rPr>
            </w:pPr>
            <w:bookmarkStart w:id="1643" w:name="_Toc472000248"/>
            <w:bookmarkStart w:id="1644" w:name="_Toc472251611"/>
            <w:r w:rsidRPr="0098635C">
              <w:rPr>
                <w:color w:val="000000" w:themeColor="text1"/>
              </w:rPr>
              <w:t>50% v/v</w:t>
            </w:r>
            <w:bookmarkEnd w:id="1643"/>
            <w:bookmarkEnd w:id="1644"/>
          </w:p>
        </w:tc>
        <w:tc>
          <w:tcPr>
            <w:tcW w:w="2864" w:type="dxa"/>
            <w:tcMar>
              <w:top w:w="20" w:type="nil"/>
              <w:left w:w="20" w:type="nil"/>
              <w:bottom w:w="20" w:type="nil"/>
              <w:right w:w="20" w:type="nil"/>
            </w:tcMar>
          </w:tcPr>
          <w:p w14:paraId="04FD5705" w14:textId="77777777" w:rsidR="008D1AE9" w:rsidRPr="0098635C" w:rsidRDefault="008D1AE9" w:rsidP="00AF385A">
            <w:pPr>
              <w:pStyle w:val="NoteLevel211"/>
              <w:rPr>
                <w:color w:val="000000" w:themeColor="text1"/>
              </w:rPr>
            </w:pPr>
            <w:bookmarkStart w:id="1645" w:name="_Toc472000249"/>
            <w:bookmarkStart w:id="1646" w:name="_Toc472251612"/>
            <w:r w:rsidRPr="0098635C">
              <w:rPr>
                <w:color w:val="000000" w:themeColor="text1"/>
              </w:rPr>
              <w:t>1</w:t>
            </w:r>
            <w:r w:rsidRPr="0098635C">
              <w:rPr>
                <w:color w:val="000000" w:themeColor="text1"/>
                <w:vertAlign w:val="superscript"/>
              </w:rPr>
              <w:t>st</w:t>
            </w:r>
            <w:r w:rsidRPr="0098635C">
              <w:rPr>
                <w:color w:val="000000" w:themeColor="text1"/>
              </w:rPr>
              <w:t xml:space="preserve"> reading: 0/10</w:t>
            </w:r>
            <w:bookmarkEnd w:id="1645"/>
            <w:bookmarkEnd w:id="1646"/>
          </w:p>
          <w:p w14:paraId="060017D0" w14:textId="77777777" w:rsidR="008D1AE9" w:rsidRPr="0098635C" w:rsidRDefault="008D1AE9" w:rsidP="00AF385A">
            <w:pPr>
              <w:pStyle w:val="NoteLevel211"/>
              <w:rPr>
                <w:color w:val="000000" w:themeColor="text1"/>
              </w:rPr>
            </w:pPr>
            <w:bookmarkStart w:id="1647" w:name="_Toc472000250"/>
            <w:bookmarkStart w:id="1648" w:name="_Toc472251613"/>
            <w:r w:rsidRPr="0098635C">
              <w:rPr>
                <w:color w:val="000000" w:themeColor="text1"/>
              </w:rPr>
              <w:t>2</w:t>
            </w:r>
            <w:r w:rsidRPr="0098635C">
              <w:rPr>
                <w:color w:val="000000" w:themeColor="text1"/>
                <w:vertAlign w:val="superscript"/>
              </w:rPr>
              <w:t>nd</w:t>
            </w:r>
            <w:r w:rsidRPr="0098635C">
              <w:rPr>
                <w:color w:val="000000" w:themeColor="text1"/>
              </w:rPr>
              <w:t xml:space="preserve"> reading: 0/10</w:t>
            </w:r>
            <w:bookmarkEnd w:id="1647"/>
            <w:bookmarkEnd w:id="1648"/>
          </w:p>
          <w:p w14:paraId="4C9E347E" w14:textId="77777777" w:rsidR="008D1AE9" w:rsidRPr="0098635C" w:rsidRDefault="008D1AE9" w:rsidP="00AF385A">
            <w:pPr>
              <w:pStyle w:val="NoteLevel211"/>
              <w:rPr>
                <w:color w:val="000000" w:themeColor="text1"/>
              </w:rPr>
            </w:pPr>
            <w:bookmarkStart w:id="1649" w:name="_Toc472000251"/>
            <w:bookmarkStart w:id="1650" w:name="_Toc472251614"/>
            <w:r w:rsidRPr="0098635C">
              <w:rPr>
                <w:color w:val="000000" w:themeColor="text1"/>
              </w:rPr>
              <w:t>negative control: 0/5</w:t>
            </w:r>
            <w:bookmarkEnd w:id="1649"/>
            <w:bookmarkEnd w:id="1650"/>
          </w:p>
        </w:tc>
      </w:tr>
      <w:tr w:rsidR="008D1AE9" w:rsidRPr="0098635C" w14:paraId="0B2999C4" w14:textId="77777777" w:rsidTr="00926614">
        <w:tc>
          <w:tcPr>
            <w:tcW w:w="1310" w:type="dxa"/>
            <w:tcMar>
              <w:top w:w="20" w:type="nil"/>
              <w:left w:w="20" w:type="nil"/>
              <w:bottom w:w="20" w:type="nil"/>
              <w:right w:w="20" w:type="nil"/>
            </w:tcMar>
          </w:tcPr>
          <w:p w14:paraId="6E04E4D0" w14:textId="77777777" w:rsidR="008D1AE9" w:rsidRPr="0098635C" w:rsidRDefault="008D1AE9" w:rsidP="00AF385A">
            <w:pPr>
              <w:pStyle w:val="NoteLevel211"/>
              <w:jc w:val="left"/>
              <w:rPr>
                <w:color w:val="000000" w:themeColor="text1"/>
              </w:rPr>
            </w:pPr>
            <w:bookmarkStart w:id="1651" w:name="_Toc472000252"/>
            <w:bookmarkStart w:id="1652" w:name="_Toc472251615"/>
            <w:r w:rsidRPr="0098635C">
              <w:rPr>
                <w:color w:val="000000" w:themeColor="text1"/>
              </w:rPr>
              <w:t>Walker, 1990</w:t>
            </w:r>
            <w:bookmarkEnd w:id="1651"/>
            <w:bookmarkEnd w:id="1652"/>
          </w:p>
        </w:tc>
        <w:tc>
          <w:tcPr>
            <w:tcW w:w="1119" w:type="dxa"/>
            <w:tcMar>
              <w:top w:w="20" w:type="nil"/>
              <w:left w:w="20" w:type="nil"/>
              <w:bottom w:w="20" w:type="nil"/>
              <w:right w:w="20" w:type="nil"/>
            </w:tcMar>
          </w:tcPr>
          <w:p w14:paraId="4CCAFEDD" w14:textId="0109D7CE" w:rsidR="008D1AE9" w:rsidRPr="0098635C" w:rsidRDefault="00236182" w:rsidP="00AF385A">
            <w:pPr>
              <w:pStyle w:val="NoteLevel211"/>
              <w:jc w:val="left"/>
              <w:rPr>
                <w:color w:val="000000" w:themeColor="text1"/>
              </w:rPr>
            </w:pPr>
            <w:r w:rsidRPr="0098635C">
              <w:rPr>
                <w:color w:val="000000" w:themeColor="text1"/>
              </w:rPr>
              <w:t>Dicopper chloride trihydroxide</w:t>
            </w:r>
          </w:p>
        </w:tc>
        <w:tc>
          <w:tcPr>
            <w:tcW w:w="1223" w:type="dxa"/>
            <w:tcMar>
              <w:top w:w="20" w:type="nil"/>
              <w:left w:w="20" w:type="nil"/>
              <w:bottom w:w="20" w:type="nil"/>
              <w:right w:w="20" w:type="nil"/>
            </w:tcMar>
          </w:tcPr>
          <w:p w14:paraId="22A05581" w14:textId="77777777" w:rsidR="008D1AE9" w:rsidRPr="0098635C" w:rsidRDefault="008D1AE9" w:rsidP="00AF385A">
            <w:pPr>
              <w:pStyle w:val="NoteLevel211"/>
              <w:jc w:val="left"/>
              <w:rPr>
                <w:color w:val="000000" w:themeColor="text1"/>
              </w:rPr>
            </w:pPr>
            <w:bookmarkStart w:id="1653" w:name="_Toc472000254"/>
            <w:bookmarkStart w:id="1654" w:name="_Toc472251617"/>
            <w:r w:rsidRPr="0098635C">
              <w:rPr>
                <w:color w:val="000000" w:themeColor="text1"/>
              </w:rPr>
              <w:t>Equivalent to EU Method B6</w:t>
            </w:r>
            <w:bookmarkEnd w:id="1653"/>
            <w:bookmarkEnd w:id="1654"/>
          </w:p>
        </w:tc>
        <w:tc>
          <w:tcPr>
            <w:tcW w:w="1701" w:type="dxa"/>
          </w:tcPr>
          <w:p w14:paraId="7BFCFAF2" w14:textId="149DF825" w:rsidR="008D1AE9" w:rsidRPr="0098635C" w:rsidRDefault="00214E8E" w:rsidP="00AF385A">
            <w:pPr>
              <w:pStyle w:val="NoteLevel211"/>
              <w:jc w:val="left"/>
              <w:rPr>
                <w:color w:val="000000" w:themeColor="text1"/>
              </w:rPr>
            </w:pPr>
            <w:bookmarkStart w:id="1655" w:name="_Toc472000255"/>
            <w:bookmarkStart w:id="1656" w:name="_Toc472251618"/>
            <w:r w:rsidRPr="0098635C">
              <w:rPr>
                <w:color w:val="000000" w:themeColor="text1"/>
              </w:rPr>
              <w:t xml:space="preserve">Female </w:t>
            </w:r>
            <w:r w:rsidR="008D1AE9" w:rsidRPr="0098635C">
              <w:rPr>
                <w:color w:val="000000" w:themeColor="text1"/>
              </w:rPr>
              <w:t>Guinea pig (Dunkin-Hartley)</w:t>
            </w:r>
            <w:bookmarkEnd w:id="1655"/>
            <w:bookmarkEnd w:id="1656"/>
          </w:p>
        </w:tc>
        <w:tc>
          <w:tcPr>
            <w:tcW w:w="1843" w:type="dxa"/>
          </w:tcPr>
          <w:p w14:paraId="333401E3" w14:textId="2C28E1A9" w:rsidR="008D1AE9" w:rsidRPr="0098635C" w:rsidRDefault="003D6E45" w:rsidP="00AF385A">
            <w:pPr>
              <w:pStyle w:val="NoteLevel211"/>
              <w:rPr>
                <w:color w:val="000000" w:themeColor="text1"/>
              </w:rPr>
            </w:pPr>
            <w:bookmarkStart w:id="1657" w:name="_Toc472000256"/>
            <w:bookmarkStart w:id="1658" w:name="_Toc472251619"/>
            <w:r w:rsidRPr="0098635C">
              <w:rPr>
                <w:color w:val="000000" w:themeColor="text1"/>
              </w:rPr>
              <w:t>50% w/w</w:t>
            </w:r>
            <w:bookmarkEnd w:id="1657"/>
            <w:bookmarkEnd w:id="1658"/>
          </w:p>
        </w:tc>
        <w:tc>
          <w:tcPr>
            <w:tcW w:w="2864" w:type="dxa"/>
            <w:tcMar>
              <w:top w:w="20" w:type="nil"/>
              <w:left w:w="20" w:type="nil"/>
              <w:bottom w:w="20" w:type="nil"/>
              <w:right w:w="20" w:type="nil"/>
            </w:tcMar>
          </w:tcPr>
          <w:p w14:paraId="6D393190" w14:textId="77777777" w:rsidR="008D1AE9" w:rsidRPr="0098635C" w:rsidRDefault="008D1AE9" w:rsidP="00AF385A">
            <w:pPr>
              <w:pStyle w:val="NoteLevel211"/>
              <w:rPr>
                <w:color w:val="000000" w:themeColor="text1"/>
              </w:rPr>
            </w:pPr>
            <w:bookmarkStart w:id="1659" w:name="_Toc472000257"/>
            <w:bookmarkStart w:id="1660" w:name="_Toc472251620"/>
            <w:r w:rsidRPr="0098635C">
              <w:rPr>
                <w:color w:val="000000" w:themeColor="text1"/>
              </w:rPr>
              <w:t>1</w:t>
            </w:r>
            <w:r w:rsidRPr="0098635C">
              <w:rPr>
                <w:color w:val="000000" w:themeColor="text1"/>
                <w:vertAlign w:val="superscript"/>
              </w:rPr>
              <w:t>st</w:t>
            </w:r>
            <w:r w:rsidRPr="0098635C">
              <w:rPr>
                <w:color w:val="000000" w:themeColor="text1"/>
              </w:rPr>
              <w:t xml:space="preserve"> reading: 0/20</w:t>
            </w:r>
            <w:bookmarkEnd w:id="1659"/>
            <w:bookmarkEnd w:id="1660"/>
          </w:p>
          <w:p w14:paraId="462F41D2" w14:textId="77777777" w:rsidR="008D1AE9" w:rsidRPr="0098635C" w:rsidRDefault="008D1AE9" w:rsidP="00AF385A">
            <w:pPr>
              <w:pStyle w:val="NoteLevel211"/>
              <w:rPr>
                <w:color w:val="000000" w:themeColor="text1"/>
              </w:rPr>
            </w:pPr>
            <w:bookmarkStart w:id="1661" w:name="_Toc472000258"/>
            <w:bookmarkStart w:id="1662" w:name="_Toc472251621"/>
            <w:r w:rsidRPr="0098635C">
              <w:rPr>
                <w:color w:val="000000" w:themeColor="text1"/>
              </w:rPr>
              <w:t>2</w:t>
            </w:r>
            <w:r w:rsidRPr="0098635C">
              <w:rPr>
                <w:color w:val="000000" w:themeColor="text1"/>
                <w:vertAlign w:val="superscript"/>
              </w:rPr>
              <w:t>nd</w:t>
            </w:r>
            <w:r w:rsidRPr="0098635C">
              <w:rPr>
                <w:color w:val="000000" w:themeColor="text1"/>
              </w:rPr>
              <w:t xml:space="preserve"> reading: 0/20</w:t>
            </w:r>
            <w:bookmarkEnd w:id="1661"/>
            <w:bookmarkEnd w:id="1662"/>
          </w:p>
          <w:p w14:paraId="1DFCED55" w14:textId="77777777" w:rsidR="008D1AE9" w:rsidRPr="0098635C" w:rsidRDefault="008D1AE9" w:rsidP="00AF385A">
            <w:pPr>
              <w:pStyle w:val="NoteLevel211"/>
              <w:rPr>
                <w:color w:val="000000" w:themeColor="text1"/>
              </w:rPr>
            </w:pPr>
            <w:bookmarkStart w:id="1663" w:name="_Toc472000259"/>
            <w:bookmarkStart w:id="1664" w:name="_Toc472251622"/>
            <w:r w:rsidRPr="0098635C">
              <w:rPr>
                <w:color w:val="000000" w:themeColor="text1"/>
              </w:rPr>
              <w:t>negative control: 0/20</w:t>
            </w:r>
            <w:bookmarkEnd w:id="1663"/>
            <w:bookmarkEnd w:id="1664"/>
          </w:p>
        </w:tc>
      </w:tr>
      <w:tr w:rsidR="008D1AE9" w:rsidRPr="0098635C" w14:paraId="78CC7472" w14:textId="77777777" w:rsidTr="00926614">
        <w:tc>
          <w:tcPr>
            <w:tcW w:w="1310" w:type="dxa"/>
            <w:tcMar>
              <w:top w:w="20" w:type="nil"/>
              <w:left w:w="20" w:type="nil"/>
              <w:bottom w:w="20" w:type="nil"/>
              <w:right w:w="20" w:type="nil"/>
            </w:tcMar>
          </w:tcPr>
          <w:p w14:paraId="55FCBD68" w14:textId="5DDCC9F9" w:rsidR="008D1AE9" w:rsidRPr="0098635C" w:rsidRDefault="008D1AE9" w:rsidP="00AF385A">
            <w:pPr>
              <w:pStyle w:val="NoteLevel211"/>
              <w:jc w:val="left"/>
              <w:rPr>
                <w:color w:val="000000" w:themeColor="text1"/>
              </w:rPr>
            </w:pPr>
            <w:bookmarkStart w:id="1665" w:name="_Toc472000260"/>
            <w:bookmarkStart w:id="1666" w:name="_Toc472251623"/>
            <w:r w:rsidRPr="0098635C">
              <w:rPr>
                <w:color w:val="000000" w:themeColor="text1"/>
              </w:rPr>
              <w:t>Mercier, 1994</w:t>
            </w:r>
            <w:r w:rsidR="00B03383" w:rsidRPr="0098635C">
              <w:rPr>
                <w:color w:val="000000" w:themeColor="text1"/>
              </w:rPr>
              <w:t>a</w:t>
            </w:r>
            <w:bookmarkEnd w:id="1665"/>
            <w:bookmarkEnd w:id="1666"/>
          </w:p>
        </w:tc>
        <w:tc>
          <w:tcPr>
            <w:tcW w:w="1119" w:type="dxa"/>
            <w:tcMar>
              <w:top w:w="20" w:type="nil"/>
              <w:left w:w="20" w:type="nil"/>
              <w:bottom w:w="20" w:type="nil"/>
              <w:right w:w="20" w:type="nil"/>
            </w:tcMar>
          </w:tcPr>
          <w:p w14:paraId="5BFB2A60" w14:textId="77777777" w:rsidR="008D1AE9" w:rsidRPr="0098635C" w:rsidRDefault="008D1AE9" w:rsidP="00AF385A">
            <w:pPr>
              <w:pStyle w:val="NoteLevel211"/>
              <w:jc w:val="left"/>
              <w:rPr>
                <w:color w:val="000000" w:themeColor="text1"/>
              </w:rPr>
            </w:pPr>
            <w:bookmarkStart w:id="1667" w:name="_Toc472000261"/>
            <w:bookmarkStart w:id="1668" w:name="_Toc472251624"/>
            <w:r w:rsidRPr="0098635C">
              <w:rPr>
                <w:color w:val="000000" w:themeColor="text1"/>
              </w:rPr>
              <w:t>Copper sulphate pentahydrate</w:t>
            </w:r>
            <w:bookmarkEnd w:id="1667"/>
            <w:bookmarkEnd w:id="1668"/>
          </w:p>
        </w:tc>
        <w:tc>
          <w:tcPr>
            <w:tcW w:w="1223" w:type="dxa"/>
            <w:tcMar>
              <w:top w:w="20" w:type="nil"/>
              <w:left w:w="20" w:type="nil"/>
              <w:bottom w:w="20" w:type="nil"/>
              <w:right w:w="20" w:type="nil"/>
            </w:tcMar>
          </w:tcPr>
          <w:p w14:paraId="4D959EC8" w14:textId="77777777" w:rsidR="008D1AE9" w:rsidRPr="0098635C" w:rsidRDefault="008D1AE9" w:rsidP="00AF385A">
            <w:pPr>
              <w:pStyle w:val="NoteLevel211"/>
              <w:jc w:val="left"/>
              <w:rPr>
                <w:color w:val="000000" w:themeColor="text1"/>
                <w:lang w:val="nl-BE"/>
              </w:rPr>
            </w:pPr>
            <w:bookmarkStart w:id="1669" w:name="_Toc472000262"/>
            <w:bookmarkStart w:id="1670" w:name="_Toc472251625"/>
            <w:r w:rsidRPr="0098635C">
              <w:rPr>
                <w:color w:val="000000" w:themeColor="text1"/>
                <w:lang w:val="nl-BE"/>
              </w:rPr>
              <w:t>OECD 406</w:t>
            </w:r>
            <w:bookmarkEnd w:id="1669"/>
            <w:bookmarkEnd w:id="1670"/>
          </w:p>
          <w:p w14:paraId="0B456B60" w14:textId="77777777" w:rsidR="008D1AE9" w:rsidRPr="0098635C" w:rsidRDefault="008D1AE9" w:rsidP="00AF385A">
            <w:pPr>
              <w:pStyle w:val="NoteLevel211"/>
              <w:jc w:val="left"/>
              <w:rPr>
                <w:color w:val="000000" w:themeColor="text1"/>
                <w:lang w:val="nl-BE"/>
              </w:rPr>
            </w:pPr>
            <w:bookmarkStart w:id="1671" w:name="_Toc472000263"/>
            <w:bookmarkStart w:id="1672" w:name="_Toc472251626"/>
            <w:r w:rsidRPr="0098635C">
              <w:rPr>
                <w:color w:val="000000" w:themeColor="text1"/>
                <w:lang w:val="nl-BE"/>
              </w:rPr>
              <w:t>EU Method B6</w:t>
            </w:r>
            <w:bookmarkEnd w:id="1671"/>
            <w:bookmarkEnd w:id="1672"/>
          </w:p>
          <w:p w14:paraId="7FF94CCC" w14:textId="013503BE" w:rsidR="00214E8E" w:rsidRPr="0098635C" w:rsidRDefault="00214E8E" w:rsidP="00AF385A">
            <w:pPr>
              <w:pStyle w:val="NoteLevel211"/>
              <w:jc w:val="left"/>
              <w:rPr>
                <w:color w:val="000000" w:themeColor="text1"/>
                <w:lang w:val="nl-BE"/>
              </w:rPr>
            </w:pPr>
            <w:bookmarkStart w:id="1673" w:name="_Toc472000264"/>
            <w:bookmarkStart w:id="1674" w:name="_Toc472251627"/>
            <w:r w:rsidRPr="0098635C">
              <w:rPr>
                <w:color w:val="000000" w:themeColor="text1"/>
                <w:lang w:val="nl-BE"/>
              </w:rPr>
              <w:t>EPA OTS 798.4100</w:t>
            </w:r>
            <w:bookmarkEnd w:id="1673"/>
            <w:bookmarkEnd w:id="1674"/>
          </w:p>
        </w:tc>
        <w:tc>
          <w:tcPr>
            <w:tcW w:w="1701" w:type="dxa"/>
          </w:tcPr>
          <w:p w14:paraId="1A042EC4" w14:textId="77777777" w:rsidR="008D1AE9" w:rsidRPr="0098635C" w:rsidRDefault="008D1AE9" w:rsidP="00AF385A">
            <w:pPr>
              <w:pStyle w:val="NoteLevel211"/>
              <w:jc w:val="left"/>
              <w:rPr>
                <w:color w:val="000000" w:themeColor="text1"/>
              </w:rPr>
            </w:pPr>
            <w:bookmarkStart w:id="1675" w:name="_Toc472000265"/>
            <w:bookmarkStart w:id="1676" w:name="_Toc472251628"/>
            <w:r w:rsidRPr="0098635C">
              <w:rPr>
                <w:color w:val="000000" w:themeColor="text1"/>
              </w:rPr>
              <w:t>Guinea pig (Hartley), m/f</w:t>
            </w:r>
            <w:bookmarkEnd w:id="1675"/>
            <w:bookmarkEnd w:id="1676"/>
          </w:p>
        </w:tc>
        <w:tc>
          <w:tcPr>
            <w:tcW w:w="1843" w:type="dxa"/>
          </w:tcPr>
          <w:p w14:paraId="2D82C409" w14:textId="77777777" w:rsidR="008D1AE9" w:rsidRPr="0098635C" w:rsidRDefault="008D1AE9" w:rsidP="00AF385A">
            <w:pPr>
              <w:pStyle w:val="NoteLevel211"/>
              <w:rPr>
                <w:color w:val="000000" w:themeColor="text1"/>
              </w:rPr>
            </w:pPr>
            <w:bookmarkStart w:id="1677" w:name="_Toc472000266"/>
            <w:bookmarkStart w:id="1678" w:name="_Toc472251629"/>
            <w:r w:rsidRPr="0098635C">
              <w:rPr>
                <w:color w:val="000000" w:themeColor="text1"/>
              </w:rPr>
              <w:t>Induction concentration: 0.1% w/w in water or 10% w/w formulation in water</w:t>
            </w:r>
            <w:bookmarkEnd w:id="1677"/>
            <w:bookmarkEnd w:id="1678"/>
          </w:p>
          <w:p w14:paraId="0CA754E8" w14:textId="77777777" w:rsidR="008D1AE9" w:rsidRPr="0098635C" w:rsidRDefault="008D1AE9" w:rsidP="00AF385A">
            <w:pPr>
              <w:pStyle w:val="NoteLevel211"/>
              <w:rPr>
                <w:color w:val="000000" w:themeColor="text1"/>
              </w:rPr>
            </w:pPr>
            <w:bookmarkStart w:id="1679" w:name="_Toc472000267"/>
            <w:bookmarkStart w:id="1680" w:name="_Toc472251630"/>
            <w:r w:rsidRPr="0098635C">
              <w:rPr>
                <w:color w:val="000000" w:themeColor="text1"/>
              </w:rPr>
              <w:t>Challenge concentration: 10% w/w</w:t>
            </w:r>
            <w:bookmarkEnd w:id="1679"/>
            <w:bookmarkEnd w:id="1680"/>
          </w:p>
        </w:tc>
        <w:tc>
          <w:tcPr>
            <w:tcW w:w="2864" w:type="dxa"/>
            <w:tcMar>
              <w:top w:w="20" w:type="nil"/>
              <w:left w:w="20" w:type="nil"/>
              <w:bottom w:w="20" w:type="nil"/>
              <w:right w:w="20" w:type="nil"/>
            </w:tcMar>
          </w:tcPr>
          <w:p w14:paraId="0A70EE46" w14:textId="77777777" w:rsidR="008D1AE9" w:rsidRPr="0098635C" w:rsidRDefault="008D1AE9" w:rsidP="00AF385A">
            <w:pPr>
              <w:pStyle w:val="NoteLevel211"/>
              <w:rPr>
                <w:color w:val="000000" w:themeColor="text1"/>
              </w:rPr>
            </w:pPr>
            <w:bookmarkStart w:id="1681" w:name="_Toc472000268"/>
            <w:bookmarkStart w:id="1682" w:name="_Toc472251631"/>
            <w:r w:rsidRPr="0098635C">
              <w:rPr>
                <w:color w:val="000000" w:themeColor="text1"/>
              </w:rPr>
              <w:t>0/20 animals sensitised</w:t>
            </w:r>
            <w:bookmarkEnd w:id="1681"/>
            <w:bookmarkEnd w:id="1682"/>
          </w:p>
          <w:p w14:paraId="2971AA6E" w14:textId="77777777" w:rsidR="008D1AE9" w:rsidRPr="0098635C" w:rsidRDefault="008D1AE9" w:rsidP="00AF385A">
            <w:pPr>
              <w:pStyle w:val="NoteLevel211"/>
              <w:rPr>
                <w:color w:val="000000" w:themeColor="text1"/>
              </w:rPr>
            </w:pPr>
          </w:p>
          <w:p w14:paraId="08A3FDE1" w14:textId="77777777" w:rsidR="008D1AE9" w:rsidRPr="0098635C" w:rsidRDefault="008D1AE9" w:rsidP="00AF385A">
            <w:pPr>
              <w:pStyle w:val="NoteLevel211"/>
              <w:rPr>
                <w:color w:val="000000" w:themeColor="text1"/>
              </w:rPr>
            </w:pPr>
            <w:bookmarkStart w:id="1683" w:name="_Toc472000269"/>
            <w:bookmarkStart w:id="1684" w:name="_Toc472251632"/>
            <w:r w:rsidRPr="0098635C">
              <w:rPr>
                <w:color w:val="000000" w:themeColor="text1"/>
              </w:rPr>
              <w:t>Slight skin response (1 animal) at 24h; no response at 48h</w:t>
            </w:r>
            <w:bookmarkEnd w:id="1683"/>
            <w:bookmarkEnd w:id="1684"/>
          </w:p>
          <w:p w14:paraId="164F51E5" w14:textId="77777777" w:rsidR="008D1AE9" w:rsidRPr="0098635C" w:rsidRDefault="008D1AE9" w:rsidP="00AF385A">
            <w:pPr>
              <w:pStyle w:val="NoteLevel211"/>
              <w:rPr>
                <w:color w:val="000000" w:themeColor="text1"/>
              </w:rPr>
            </w:pPr>
          </w:p>
          <w:p w14:paraId="7C0577A8" w14:textId="77777777" w:rsidR="008D1AE9" w:rsidRPr="0098635C" w:rsidRDefault="008D1AE9" w:rsidP="00AF385A">
            <w:pPr>
              <w:pStyle w:val="NoteLevel211"/>
              <w:rPr>
                <w:color w:val="000000" w:themeColor="text1"/>
              </w:rPr>
            </w:pPr>
          </w:p>
        </w:tc>
      </w:tr>
      <w:tr w:rsidR="008D1AE9" w:rsidRPr="0098635C" w14:paraId="695DFE20" w14:textId="77777777" w:rsidTr="00926614">
        <w:tc>
          <w:tcPr>
            <w:tcW w:w="1310" w:type="dxa"/>
            <w:tcMar>
              <w:top w:w="20" w:type="nil"/>
              <w:left w:w="20" w:type="nil"/>
              <w:bottom w:w="20" w:type="nil"/>
              <w:right w:w="20" w:type="nil"/>
            </w:tcMar>
          </w:tcPr>
          <w:p w14:paraId="569C228A" w14:textId="249F3654" w:rsidR="00D05142" w:rsidRPr="0098635C" w:rsidRDefault="008D1AE9" w:rsidP="00D05142">
            <w:pPr>
              <w:pStyle w:val="NoteLevel211"/>
              <w:jc w:val="left"/>
              <w:rPr>
                <w:b/>
                <w:caps/>
                <w:color w:val="000000" w:themeColor="text1"/>
              </w:rPr>
            </w:pPr>
            <w:bookmarkStart w:id="1685" w:name="_Toc472000270"/>
            <w:bookmarkStart w:id="1686" w:name="_Toc472251633"/>
            <w:r w:rsidRPr="0098635C">
              <w:rPr>
                <w:color w:val="000000" w:themeColor="text1"/>
              </w:rPr>
              <w:t xml:space="preserve">Sanders, </w:t>
            </w:r>
            <w:r w:rsidR="006B553F" w:rsidRPr="0098635C">
              <w:rPr>
                <w:color w:val="000000" w:themeColor="text1"/>
              </w:rPr>
              <w:t>2001</w:t>
            </w:r>
            <w:r w:rsidR="00657426" w:rsidRPr="0098635C">
              <w:rPr>
                <w:color w:val="000000" w:themeColor="text1"/>
              </w:rPr>
              <w:t>e</w:t>
            </w:r>
            <w:bookmarkEnd w:id="1685"/>
            <w:bookmarkEnd w:id="1686"/>
          </w:p>
        </w:tc>
        <w:tc>
          <w:tcPr>
            <w:tcW w:w="1119" w:type="dxa"/>
            <w:tcMar>
              <w:top w:w="20" w:type="nil"/>
              <w:left w:w="20" w:type="nil"/>
              <w:bottom w:w="20" w:type="nil"/>
              <w:right w:w="20" w:type="nil"/>
            </w:tcMar>
          </w:tcPr>
          <w:p w14:paraId="3EE5DBFA" w14:textId="77777777" w:rsidR="008D1AE9" w:rsidRPr="0098635C" w:rsidRDefault="008D1AE9" w:rsidP="00AF385A">
            <w:pPr>
              <w:pStyle w:val="NoteLevel211"/>
              <w:jc w:val="left"/>
              <w:rPr>
                <w:color w:val="000000" w:themeColor="text1"/>
              </w:rPr>
            </w:pPr>
            <w:bookmarkStart w:id="1687" w:name="_Toc472000271"/>
            <w:bookmarkStart w:id="1688" w:name="_Toc472251634"/>
            <w:r w:rsidRPr="0098635C">
              <w:rPr>
                <w:color w:val="000000" w:themeColor="text1"/>
              </w:rPr>
              <w:t>Coated copper flakes</w:t>
            </w:r>
            <w:bookmarkEnd w:id="1687"/>
            <w:bookmarkEnd w:id="1688"/>
          </w:p>
        </w:tc>
        <w:tc>
          <w:tcPr>
            <w:tcW w:w="1223" w:type="dxa"/>
            <w:tcMar>
              <w:top w:w="20" w:type="nil"/>
              <w:left w:w="20" w:type="nil"/>
              <w:bottom w:w="20" w:type="nil"/>
              <w:right w:w="20" w:type="nil"/>
            </w:tcMar>
          </w:tcPr>
          <w:p w14:paraId="1334E97A" w14:textId="77777777" w:rsidR="008D1AE9" w:rsidRPr="0098635C" w:rsidRDefault="008D1AE9" w:rsidP="00AF385A">
            <w:pPr>
              <w:pStyle w:val="NoteLevel211"/>
              <w:jc w:val="left"/>
              <w:rPr>
                <w:color w:val="000000" w:themeColor="text1"/>
              </w:rPr>
            </w:pPr>
            <w:bookmarkStart w:id="1689" w:name="_Toc472000272"/>
            <w:bookmarkStart w:id="1690" w:name="_Toc472251635"/>
            <w:r w:rsidRPr="0098635C">
              <w:rPr>
                <w:color w:val="000000" w:themeColor="text1"/>
              </w:rPr>
              <w:t>OECD 406</w:t>
            </w:r>
            <w:bookmarkEnd w:id="1689"/>
            <w:bookmarkEnd w:id="1690"/>
          </w:p>
          <w:p w14:paraId="6FEDB71F" w14:textId="77777777" w:rsidR="008D1AE9" w:rsidRPr="0098635C" w:rsidRDefault="008D1AE9" w:rsidP="00AF385A">
            <w:pPr>
              <w:pStyle w:val="NoteLevel211"/>
              <w:jc w:val="left"/>
              <w:rPr>
                <w:color w:val="000000" w:themeColor="text1"/>
              </w:rPr>
            </w:pPr>
            <w:bookmarkStart w:id="1691" w:name="_Toc472000273"/>
            <w:bookmarkStart w:id="1692" w:name="_Toc472251636"/>
            <w:r w:rsidRPr="0098635C">
              <w:rPr>
                <w:color w:val="000000" w:themeColor="text1"/>
              </w:rPr>
              <w:t>EU Method B6</w:t>
            </w:r>
            <w:bookmarkEnd w:id="1691"/>
            <w:bookmarkEnd w:id="1692"/>
          </w:p>
        </w:tc>
        <w:tc>
          <w:tcPr>
            <w:tcW w:w="1701" w:type="dxa"/>
          </w:tcPr>
          <w:p w14:paraId="0D971D3F" w14:textId="77777777" w:rsidR="008D1AE9" w:rsidRPr="0098635C" w:rsidRDefault="008D1AE9" w:rsidP="00AF385A">
            <w:pPr>
              <w:pStyle w:val="NoteLevel211"/>
              <w:jc w:val="left"/>
              <w:rPr>
                <w:color w:val="000000" w:themeColor="text1"/>
              </w:rPr>
            </w:pPr>
            <w:bookmarkStart w:id="1693" w:name="_Toc472000274"/>
            <w:bookmarkStart w:id="1694" w:name="_Toc472251637"/>
            <w:r w:rsidRPr="0098635C">
              <w:rPr>
                <w:color w:val="000000" w:themeColor="text1"/>
              </w:rPr>
              <w:t>Guinea pig (Dunkin-Hartley), m</w:t>
            </w:r>
            <w:bookmarkEnd w:id="1693"/>
            <w:bookmarkEnd w:id="1694"/>
          </w:p>
        </w:tc>
        <w:tc>
          <w:tcPr>
            <w:tcW w:w="1843" w:type="dxa"/>
          </w:tcPr>
          <w:p w14:paraId="7949AC76" w14:textId="77777777" w:rsidR="008D1AE9" w:rsidRPr="0098635C" w:rsidRDefault="008D1AE9" w:rsidP="00AF385A">
            <w:pPr>
              <w:pStyle w:val="NoteLevel211"/>
              <w:rPr>
                <w:color w:val="000000" w:themeColor="text1"/>
              </w:rPr>
            </w:pPr>
          </w:p>
        </w:tc>
        <w:tc>
          <w:tcPr>
            <w:tcW w:w="2864" w:type="dxa"/>
            <w:tcMar>
              <w:top w:w="20" w:type="nil"/>
              <w:left w:w="20" w:type="nil"/>
              <w:bottom w:w="20" w:type="nil"/>
              <w:right w:w="20" w:type="nil"/>
            </w:tcMar>
          </w:tcPr>
          <w:p w14:paraId="1A6A1C03" w14:textId="77777777" w:rsidR="008D1AE9" w:rsidRPr="0098635C" w:rsidRDefault="008D1AE9" w:rsidP="00AF385A">
            <w:pPr>
              <w:pStyle w:val="NoteLevel211"/>
              <w:rPr>
                <w:color w:val="000000" w:themeColor="text1"/>
              </w:rPr>
            </w:pPr>
            <w:bookmarkStart w:id="1695" w:name="_Toc472000275"/>
            <w:bookmarkStart w:id="1696" w:name="_Toc472251638"/>
            <w:r w:rsidRPr="0098635C">
              <w:rPr>
                <w:color w:val="000000" w:themeColor="text1"/>
              </w:rPr>
              <w:t>1</w:t>
            </w:r>
            <w:r w:rsidRPr="0098635C">
              <w:rPr>
                <w:color w:val="000000" w:themeColor="text1"/>
                <w:vertAlign w:val="superscript"/>
              </w:rPr>
              <w:t>st</w:t>
            </w:r>
            <w:r w:rsidRPr="0098635C">
              <w:rPr>
                <w:color w:val="000000" w:themeColor="text1"/>
              </w:rPr>
              <w:t xml:space="preserve"> reading: 0/10</w:t>
            </w:r>
            <w:bookmarkEnd w:id="1695"/>
            <w:bookmarkEnd w:id="1696"/>
          </w:p>
          <w:p w14:paraId="73C15D5A" w14:textId="77777777" w:rsidR="008D1AE9" w:rsidRPr="0098635C" w:rsidRDefault="008D1AE9" w:rsidP="00AF385A">
            <w:pPr>
              <w:pStyle w:val="NoteLevel211"/>
              <w:rPr>
                <w:color w:val="000000" w:themeColor="text1"/>
              </w:rPr>
            </w:pPr>
            <w:bookmarkStart w:id="1697" w:name="_Toc472000276"/>
            <w:bookmarkStart w:id="1698" w:name="_Toc472251639"/>
            <w:r w:rsidRPr="0098635C">
              <w:rPr>
                <w:color w:val="000000" w:themeColor="text1"/>
              </w:rPr>
              <w:t>2</w:t>
            </w:r>
            <w:r w:rsidRPr="0098635C">
              <w:rPr>
                <w:color w:val="000000" w:themeColor="text1"/>
                <w:vertAlign w:val="superscript"/>
              </w:rPr>
              <w:t>nd</w:t>
            </w:r>
            <w:r w:rsidRPr="0098635C">
              <w:rPr>
                <w:color w:val="000000" w:themeColor="text1"/>
              </w:rPr>
              <w:t xml:space="preserve"> reading: 0/10</w:t>
            </w:r>
            <w:bookmarkEnd w:id="1697"/>
            <w:bookmarkEnd w:id="1698"/>
          </w:p>
          <w:p w14:paraId="5C2743B9" w14:textId="77777777" w:rsidR="008D1AE9" w:rsidRPr="0098635C" w:rsidRDefault="008D1AE9" w:rsidP="00AF385A">
            <w:pPr>
              <w:pStyle w:val="NoteLevel211"/>
              <w:rPr>
                <w:color w:val="000000" w:themeColor="text1"/>
              </w:rPr>
            </w:pPr>
            <w:bookmarkStart w:id="1699" w:name="_Toc472000277"/>
            <w:bookmarkStart w:id="1700" w:name="_Toc472251640"/>
            <w:r w:rsidRPr="0098635C">
              <w:rPr>
                <w:color w:val="000000" w:themeColor="text1"/>
              </w:rPr>
              <w:t>negative control: 0/5</w:t>
            </w:r>
            <w:bookmarkEnd w:id="1699"/>
            <w:bookmarkEnd w:id="1700"/>
          </w:p>
        </w:tc>
      </w:tr>
      <w:tr w:rsidR="008D1AE9" w:rsidRPr="0098635C" w14:paraId="009E9179" w14:textId="77777777" w:rsidTr="00926614">
        <w:tc>
          <w:tcPr>
            <w:tcW w:w="1310" w:type="dxa"/>
            <w:tcMar>
              <w:top w:w="20" w:type="nil"/>
              <w:left w:w="20" w:type="nil"/>
              <w:bottom w:w="20" w:type="nil"/>
              <w:right w:w="20" w:type="nil"/>
            </w:tcMar>
          </w:tcPr>
          <w:p w14:paraId="55EAFD5F" w14:textId="77777777" w:rsidR="008D1AE9" w:rsidRPr="0098635C" w:rsidRDefault="008D1AE9" w:rsidP="00AF385A">
            <w:pPr>
              <w:pStyle w:val="NoteLevel211"/>
              <w:jc w:val="left"/>
              <w:rPr>
                <w:color w:val="000000" w:themeColor="text1"/>
              </w:rPr>
            </w:pPr>
            <w:bookmarkStart w:id="1701" w:name="_Toc472000278"/>
            <w:bookmarkStart w:id="1702" w:name="_Toc472251641"/>
            <w:r w:rsidRPr="0098635C">
              <w:rPr>
                <w:color w:val="000000" w:themeColor="text1"/>
              </w:rPr>
              <w:t>Sanders, 2002e</w:t>
            </w:r>
            <w:bookmarkEnd w:id="1701"/>
            <w:bookmarkEnd w:id="1702"/>
          </w:p>
        </w:tc>
        <w:tc>
          <w:tcPr>
            <w:tcW w:w="1119" w:type="dxa"/>
            <w:tcMar>
              <w:top w:w="20" w:type="nil"/>
              <w:left w:w="20" w:type="nil"/>
              <w:bottom w:w="20" w:type="nil"/>
              <w:right w:w="20" w:type="nil"/>
            </w:tcMar>
          </w:tcPr>
          <w:p w14:paraId="330706FF" w14:textId="77F2743B" w:rsidR="008D1AE9" w:rsidRPr="0098635C" w:rsidRDefault="00822E30" w:rsidP="00AF385A">
            <w:pPr>
              <w:pStyle w:val="NoteLevel211"/>
              <w:jc w:val="left"/>
              <w:rPr>
                <w:color w:val="000000" w:themeColor="text1"/>
              </w:rPr>
            </w:pPr>
            <w:bookmarkStart w:id="1703" w:name="_Toc472000279"/>
            <w:bookmarkStart w:id="1704" w:name="_Toc472251642"/>
            <w:r w:rsidRPr="0098635C">
              <w:rPr>
                <w:color w:val="000000" w:themeColor="text1"/>
              </w:rPr>
              <w:t>Copper (II) oxide</w:t>
            </w:r>
            <w:bookmarkEnd w:id="1703"/>
            <w:bookmarkEnd w:id="1704"/>
          </w:p>
        </w:tc>
        <w:tc>
          <w:tcPr>
            <w:tcW w:w="1223" w:type="dxa"/>
            <w:tcMar>
              <w:top w:w="20" w:type="nil"/>
              <w:left w:w="20" w:type="nil"/>
              <w:bottom w:w="20" w:type="nil"/>
              <w:right w:w="20" w:type="nil"/>
            </w:tcMar>
          </w:tcPr>
          <w:p w14:paraId="2FA4242D" w14:textId="77777777" w:rsidR="008D1AE9" w:rsidRPr="0098635C" w:rsidRDefault="008D1AE9" w:rsidP="00AF385A">
            <w:pPr>
              <w:pStyle w:val="NoteLevel211"/>
              <w:jc w:val="left"/>
              <w:rPr>
                <w:color w:val="000000" w:themeColor="text1"/>
              </w:rPr>
            </w:pPr>
            <w:bookmarkStart w:id="1705" w:name="_Toc472000280"/>
            <w:bookmarkStart w:id="1706" w:name="_Toc472251643"/>
            <w:r w:rsidRPr="0098635C">
              <w:rPr>
                <w:color w:val="000000" w:themeColor="text1"/>
              </w:rPr>
              <w:t>OECD 406</w:t>
            </w:r>
            <w:bookmarkEnd w:id="1705"/>
            <w:bookmarkEnd w:id="1706"/>
          </w:p>
          <w:p w14:paraId="470CAD63" w14:textId="77777777" w:rsidR="008D1AE9" w:rsidRPr="0098635C" w:rsidRDefault="008D1AE9" w:rsidP="00AF385A">
            <w:pPr>
              <w:pStyle w:val="NoteLevel211"/>
              <w:jc w:val="left"/>
              <w:rPr>
                <w:color w:val="000000" w:themeColor="text1"/>
              </w:rPr>
            </w:pPr>
            <w:bookmarkStart w:id="1707" w:name="_Toc472000281"/>
            <w:bookmarkStart w:id="1708" w:name="_Toc472251644"/>
            <w:r w:rsidRPr="0098635C">
              <w:rPr>
                <w:color w:val="000000" w:themeColor="text1"/>
              </w:rPr>
              <w:t>EU Method B6</w:t>
            </w:r>
            <w:bookmarkEnd w:id="1707"/>
            <w:bookmarkEnd w:id="1708"/>
          </w:p>
        </w:tc>
        <w:tc>
          <w:tcPr>
            <w:tcW w:w="1701" w:type="dxa"/>
          </w:tcPr>
          <w:p w14:paraId="4C647D0A" w14:textId="77777777" w:rsidR="008D1AE9" w:rsidRPr="0098635C" w:rsidRDefault="008D1AE9" w:rsidP="00AF385A">
            <w:pPr>
              <w:pStyle w:val="NoteLevel211"/>
              <w:jc w:val="left"/>
              <w:rPr>
                <w:color w:val="000000" w:themeColor="text1"/>
              </w:rPr>
            </w:pPr>
            <w:bookmarkStart w:id="1709" w:name="_Toc472000282"/>
            <w:bookmarkStart w:id="1710" w:name="_Toc472251645"/>
            <w:r w:rsidRPr="0098635C">
              <w:rPr>
                <w:color w:val="000000" w:themeColor="text1"/>
              </w:rPr>
              <w:t>Guinea pig (Dunkin-Hartley), m/f</w:t>
            </w:r>
            <w:bookmarkEnd w:id="1709"/>
            <w:bookmarkEnd w:id="1710"/>
          </w:p>
        </w:tc>
        <w:tc>
          <w:tcPr>
            <w:tcW w:w="1843" w:type="dxa"/>
          </w:tcPr>
          <w:p w14:paraId="461DCCD0" w14:textId="77777777" w:rsidR="008D1AE9" w:rsidRPr="0098635C" w:rsidRDefault="008D1AE9" w:rsidP="00AF385A">
            <w:pPr>
              <w:pStyle w:val="NoteLevel211"/>
              <w:rPr>
                <w:color w:val="000000" w:themeColor="text1"/>
              </w:rPr>
            </w:pPr>
            <w:bookmarkStart w:id="1711" w:name="_Toc472000283"/>
            <w:bookmarkStart w:id="1712" w:name="_Toc472251646"/>
            <w:r w:rsidRPr="0098635C">
              <w:rPr>
                <w:color w:val="000000" w:themeColor="text1"/>
              </w:rPr>
              <w:t>Induction concentration: 0.1% w/w in distilled water and 75% w/w formulation in distilled water</w:t>
            </w:r>
            <w:bookmarkEnd w:id="1711"/>
            <w:bookmarkEnd w:id="1712"/>
          </w:p>
          <w:p w14:paraId="00471BC9" w14:textId="77777777" w:rsidR="008D1AE9" w:rsidRPr="0098635C" w:rsidRDefault="008D1AE9" w:rsidP="00AF385A">
            <w:pPr>
              <w:pStyle w:val="NoteLevel211"/>
              <w:rPr>
                <w:color w:val="000000" w:themeColor="text1"/>
              </w:rPr>
            </w:pPr>
            <w:bookmarkStart w:id="1713" w:name="_Toc472000284"/>
            <w:bookmarkStart w:id="1714" w:name="_Toc472251647"/>
            <w:r w:rsidRPr="0098635C">
              <w:rPr>
                <w:color w:val="000000" w:themeColor="text1"/>
              </w:rPr>
              <w:t>Challenge concentration: 10% w/w and 5% w/w in arachis oil BP</w:t>
            </w:r>
            <w:bookmarkEnd w:id="1713"/>
            <w:bookmarkEnd w:id="1714"/>
          </w:p>
        </w:tc>
        <w:tc>
          <w:tcPr>
            <w:tcW w:w="2864" w:type="dxa"/>
            <w:tcMar>
              <w:top w:w="20" w:type="nil"/>
              <w:left w:w="20" w:type="nil"/>
              <w:bottom w:w="20" w:type="nil"/>
              <w:right w:w="20" w:type="nil"/>
            </w:tcMar>
          </w:tcPr>
          <w:p w14:paraId="4301A7CA" w14:textId="77777777" w:rsidR="008D1AE9" w:rsidRPr="0098635C" w:rsidRDefault="008D1AE9" w:rsidP="00AF385A">
            <w:pPr>
              <w:pStyle w:val="NoteLevel211"/>
              <w:rPr>
                <w:color w:val="000000" w:themeColor="text1"/>
              </w:rPr>
            </w:pPr>
            <w:bookmarkStart w:id="1715" w:name="_Toc472000285"/>
            <w:bookmarkStart w:id="1716" w:name="_Toc472251648"/>
            <w:r w:rsidRPr="0098635C">
              <w:rPr>
                <w:color w:val="000000" w:themeColor="text1"/>
              </w:rPr>
              <w:t>0/10 animals sensitised</w:t>
            </w:r>
            <w:bookmarkEnd w:id="1715"/>
            <w:bookmarkEnd w:id="1716"/>
          </w:p>
          <w:p w14:paraId="318ECBF3" w14:textId="77777777" w:rsidR="008D1AE9" w:rsidRPr="0098635C" w:rsidRDefault="008D1AE9" w:rsidP="00AF385A">
            <w:pPr>
              <w:pStyle w:val="NoteLevel211"/>
              <w:rPr>
                <w:color w:val="000000" w:themeColor="text1"/>
              </w:rPr>
            </w:pPr>
          </w:p>
          <w:p w14:paraId="4E32E9CA" w14:textId="77777777" w:rsidR="008D1AE9" w:rsidRPr="0098635C" w:rsidRDefault="008D1AE9" w:rsidP="00AF385A">
            <w:pPr>
              <w:pStyle w:val="NoteLevel211"/>
              <w:rPr>
                <w:color w:val="000000" w:themeColor="text1"/>
              </w:rPr>
            </w:pPr>
            <w:bookmarkStart w:id="1717" w:name="_Toc472000286"/>
            <w:bookmarkStart w:id="1718" w:name="_Toc472251649"/>
            <w:r w:rsidRPr="0098635C">
              <w:rPr>
                <w:color w:val="000000" w:themeColor="text1"/>
              </w:rPr>
              <w:t>Mild skin response:</w:t>
            </w:r>
            <w:bookmarkEnd w:id="1717"/>
            <w:bookmarkEnd w:id="1718"/>
          </w:p>
          <w:p w14:paraId="123FD349" w14:textId="77777777" w:rsidR="008D1AE9" w:rsidRPr="0098635C" w:rsidRDefault="008D1AE9" w:rsidP="00AF385A">
            <w:pPr>
              <w:pStyle w:val="NoteLevel211"/>
              <w:rPr>
                <w:color w:val="000000" w:themeColor="text1"/>
              </w:rPr>
            </w:pPr>
            <w:bookmarkStart w:id="1719" w:name="_Toc472000287"/>
            <w:bookmarkStart w:id="1720" w:name="_Toc472251650"/>
            <w:r w:rsidRPr="0098635C">
              <w:rPr>
                <w:color w:val="000000" w:themeColor="text1"/>
              </w:rPr>
              <w:t>- 10% w/w: discrete or patchy erythrema at challenge sites in 4/10 animals) at 24h; no skin reaction at 48h.</w:t>
            </w:r>
            <w:bookmarkEnd w:id="1719"/>
            <w:bookmarkEnd w:id="1720"/>
          </w:p>
          <w:p w14:paraId="35995663" w14:textId="77777777" w:rsidR="008D1AE9" w:rsidRPr="0098635C" w:rsidRDefault="008D1AE9" w:rsidP="00AF385A">
            <w:pPr>
              <w:pStyle w:val="NoteLevel211"/>
              <w:rPr>
                <w:color w:val="000000" w:themeColor="text1"/>
              </w:rPr>
            </w:pPr>
            <w:bookmarkStart w:id="1721" w:name="_Toc472000288"/>
            <w:bookmarkStart w:id="1722" w:name="_Toc472251651"/>
            <w:r w:rsidRPr="0098635C">
              <w:rPr>
                <w:color w:val="000000" w:themeColor="text1"/>
              </w:rPr>
              <w:t>- 5% w/w: discrete or patchy erythrema at challenge sites in 2/10 animals) at 24h; no skin reaction at 48h.</w:t>
            </w:r>
            <w:bookmarkEnd w:id="1721"/>
            <w:bookmarkEnd w:id="1722"/>
          </w:p>
          <w:p w14:paraId="5693D6A6" w14:textId="77777777" w:rsidR="008D1AE9" w:rsidRPr="0098635C" w:rsidRDefault="008D1AE9" w:rsidP="00AF385A">
            <w:pPr>
              <w:pStyle w:val="NoteLevel211"/>
              <w:rPr>
                <w:color w:val="000000" w:themeColor="text1"/>
              </w:rPr>
            </w:pPr>
          </w:p>
        </w:tc>
      </w:tr>
    </w:tbl>
    <w:p w14:paraId="5E3F8966" w14:textId="77777777" w:rsidR="008D1AE9" w:rsidRPr="0098635C" w:rsidRDefault="008D1AE9" w:rsidP="008D1AE9">
      <w:pPr>
        <w:pStyle w:val="BodyText"/>
        <w:rPr>
          <w:color w:val="000000" w:themeColor="text1"/>
          <w:sz w:val="20"/>
        </w:rPr>
      </w:pPr>
    </w:p>
    <w:p w14:paraId="468701F8" w14:textId="77777777" w:rsidR="008D1AE9" w:rsidRPr="0098635C" w:rsidRDefault="008D1AE9" w:rsidP="008D1AE9">
      <w:pPr>
        <w:pStyle w:val="Heading9"/>
        <w:ind w:left="720" w:hanging="720"/>
        <w:rPr>
          <w:color w:val="000000" w:themeColor="text1"/>
          <w:sz w:val="20"/>
          <w:szCs w:val="20"/>
        </w:rPr>
      </w:pPr>
      <w:r w:rsidRPr="0098635C">
        <w:rPr>
          <w:color w:val="000000" w:themeColor="text1"/>
          <w:sz w:val="20"/>
          <w:szCs w:val="20"/>
        </w:rPr>
        <w:lastRenderedPageBreak/>
        <w:t>Copper (I) oxide</w:t>
      </w:r>
    </w:p>
    <w:p w14:paraId="44636C52" w14:textId="0BF17D29" w:rsidR="008D1AE9" w:rsidRPr="0098635C" w:rsidRDefault="008D1AE9" w:rsidP="008D1AE9">
      <w:pPr>
        <w:pStyle w:val="BodyText"/>
        <w:rPr>
          <w:color w:val="000000" w:themeColor="text1"/>
          <w:sz w:val="20"/>
        </w:rPr>
      </w:pPr>
      <w:r w:rsidRPr="0098635C">
        <w:rPr>
          <w:color w:val="000000" w:themeColor="text1"/>
          <w:sz w:val="20"/>
        </w:rPr>
        <w:t xml:space="preserve">Skin sensitising potential of copper (I) oxide was investigated (Bien 1993 </w:t>
      </w:r>
      <w:r w:rsidRPr="0098635C">
        <w:rPr>
          <w:i/>
          <w:color w:val="000000" w:themeColor="text1"/>
          <w:sz w:val="20"/>
        </w:rPr>
        <w:t>– unpublished</w:t>
      </w:r>
      <w:r w:rsidRPr="0098635C">
        <w:rPr>
          <w:color w:val="000000" w:themeColor="text1"/>
          <w:sz w:val="20"/>
        </w:rPr>
        <w:t xml:space="preserve">). No skin reaction was seen in treated or control animals at both the first induction phase (intradermal injection with cuprous oxide on t=0), and the second induction phase (topical application of copper (I) oxide for 48 hours on day 7). The findings of this study show that copper (I) oxide is not a skin </w:t>
      </w:r>
      <w:r w:rsidR="00F35D64" w:rsidRPr="0098635C">
        <w:rPr>
          <w:color w:val="000000" w:themeColor="text1"/>
          <w:sz w:val="20"/>
        </w:rPr>
        <w:t>sensiti</w:t>
      </w:r>
      <w:r w:rsidR="00DE583B" w:rsidRPr="0098635C">
        <w:rPr>
          <w:color w:val="000000" w:themeColor="text1"/>
          <w:sz w:val="20"/>
        </w:rPr>
        <w:t>s</w:t>
      </w:r>
      <w:r w:rsidR="00F35D64" w:rsidRPr="0098635C">
        <w:rPr>
          <w:color w:val="000000" w:themeColor="text1"/>
          <w:sz w:val="20"/>
        </w:rPr>
        <w:t>er</w:t>
      </w:r>
      <w:r w:rsidRPr="0098635C">
        <w:rPr>
          <w:color w:val="000000" w:themeColor="text1"/>
          <w:sz w:val="20"/>
        </w:rPr>
        <w:t xml:space="preserve"> under the conditions of this test. Copper (I) oxide similarly failed to induce skin sensitisation in another GPMT test with guinea pigs (Driscoll 1999e </w:t>
      </w:r>
      <w:r w:rsidRPr="0098635C">
        <w:rPr>
          <w:i/>
          <w:color w:val="000000" w:themeColor="text1"/>
          <w:sz w:val="20"/>
        </w:rPr>
        <w:t>- unpublished</w:t>
      </w:r>
      <w:r w:rsidRPr="0098635C">
        <w:rPr>
          <w:color w:val="000000" w:themeColor="text1"/>
          <w:sz w:val="20"/>
        </w:rPr>
        <w:t>)</w:t>
      </w:r>
      <w:r w:rsidR="00ED3327" w:rsidRPr="0098635C">
        <w:rPr>
          <w:color w:val="000000" w:themeColor="text1"/>
          <w:sz w:val="20"/>
        </w:rPr>
        <w:t xml:space="preserve"> and in a Bueller test conducted to EPA requirements</w:t>
      </w:r>
      <w:r w:rsidR="00F31AA3" w:rsidRPr="0098635C">
        <w:rPr>
          <w:color w:val="000000" w:themeColor="text1"/>
          <w:sz w:val="20"/>
        </w:rPr>
        <w:t xml:space="preserve"> (Smith 1986)</w:t>
      </w:r>
      <w:r w:rsidR="007A4FDB" w:rsidRPr="0098635C">
        <w:rPr>
          <w:color w:val="000000" w:themeColor="text1"/>
          <w:sz w:val="20"/>
        </w:rPr>
        <w:t xml:space="preserve">.  </w:t>
      </w:r>
    </w:p>
    <w:p w14:paraId="353F6ED7" w14:textId="77777777" w:rsidR="008D1AE9" w:rsidRPr="0098635C" w:rsidRDefault="008D1AE9" w:rsidP="008D1AE9">
      <w:pPr>
        <w:pStyle w:val="Heading9"/>
        <w:ind w:left="720" w:hanging="720"/>
        <w:rPr>
          <w:color w:val="000000" w:themeColor="text1"/>
          <w:sz w:val="20"/>
          <w:szCs w:val="20"/>
        </w:rPr>
      </w:pPr>
      <w:r w:rsidRPr="0098635C">
        <w:rPr>
          <w:color w:val="000000" w:themeColor="text1"/>
          <w:sz w:val="20"/>
          <w:szCs w:val="20"/>
        </w:rPr>
        <w:t>Copper (II) oxide</w:t>
      </w:r>
    </w:p>
    <w:p w14:paraId="5D8BFAE8" w14:textId="77777777" w:rsidR="008D1AE9" w:rsidRPr="0098635C" w:rsidRDefault="008D1AE9" w:rsidP="008D1AE9">
      <w:pPr>
        <w:pStyle w:val="BodyText"/>
        <w:rPr>
          <w:color w:val="000000" w:themeColor="text1"/>
          <w:sz w:val="20"/>
        </w:rPr>
      </w:pPr>
      <w:r w:rsidRPr="0098635C">
        <w:rPr>
          <w:color w:val="000000" w:themeColor="text1"/>
          <w:sz w:val="20"/>
        </w:rPr>
        <w:t xml:space="preserve">Copper (II) oxide failed to induce skin sensitisation in a guinea pig maximisation test (Sanders 2002e – </w:t>
      </w:r>
      <w:r w:rsidRPr="0098635C">
        <w:rPr>
          <w:i/>
          <w:color w:val="000000" w:themeColor="text1"/>
          <w:sz w:val="20"/>
        </w:rPr>
        <w:t>unpublished</w:t>
      </w:r>
      <w:r w:rsidRPr="0098635C">
        <w:rPr>
          <w:color w:val="000000" w:themeColor="text1"/>
          <w:sz w:val="20"/>
        </w:rPr>
        <w:t xml:space="preserve">). It is concluded that copper (II) oxide produced a 0% sensitisation rate in this test and is therefore considered to have no skin sensitising potential in guinea pigs. </w:t>
      </w:r>
    </w:p>
    <w:p w14:paraId="5E257716" w14:textId="77777777" w:rsidR="008D1AE9" w:rsidRPr="0098635C" w:rsidRDefault="008D1AE9" w:rsidP="008D1AE9">
      <w:pPr>
        <w:pStyle w:val="Heading9"/>
        <w:ind w:left="720" w:hanging="720"/>
        <w:rPr>
          <w:color w:val="000000" w:themeColor="text1"/>
          <w:sz w:val="20"/>
          <w:szCs w:val="20"/>
        </w:rPr>
      </w:pPr>
      <w:r w:rsidRPr="0098635C">
        <w:rPr>
          <w:color w:val="000000" w:themeColor="text1"/>
          <w:sz w:val="20"/>
          <w:szCs w:val="20"/>
        </w:rPr>
        <w:t>Copper sulphate</w:t>
      </w:r>
    </w:p>
    <w:p w14:paraId="5E567AE8" w14:textId="77777777" w:rsidR="008D1AE9" w:rsidRPr="0098635C" w:rsidRDefault="008D1AE9" w:rsidP="008D1AE9">
      <w:pPr>
        <w:pStyle w:val="BodyText"/>
        <w:rPr>
          <w:color w:val="000000" w:themeColor="text1"/>
          <w:sz w:val="20"/>
        </w:rPr>
      </w:pPr>
      <w:r w:rsidRPr="0098635C">
        <w:rPr>
          <w:color w:val="000000" w:themeColor="text1"/>
          <w:sz w:val="20"/>
        </w:rPr>
        <w:t>Copper sulphate pentahydrate failed to induce skin sensitisation in a GPMT (Mercier 1994 a</w:t>
      </w:r>
      <w:r w:rsidRPr="0098635C">
        <w:rPr>
          <w:i/>
          <w:color w:val="000000" w:themeColor="text1"/>
          <w:sz w:val="20"/>
        </w:rPr>
        <w:t>– unpublished</w:t>
      </w:r>
      <w:r w:rsidRPr="0098635C">
        <w:rPr>
          <w:color w:val="000000" w:themeColor="text1"/>
          <w:sz w:val="20"/>
        </w:rPr>
        <w:t xml:space="preserve">). Copper sulphate pentahydrate produced a 0% sensitisation rate under the conditions of this test and is therefore considered to have no skin sensitising potential in guinea pigs.  </w:t>
      </w:r>
    </w:p>
    <w:p w14:paraId="36B5F00C" w14:textId="2B61E190" w:rsidR="008D1AE9" w:rsidRPr="0098635C" w:rsidRDefault="00236182" w:rsidP="008D1AE9">
      <w:pPr>
        <w:pStyle w:val="Heading9"/>
        <w:ind w:left="720" w:hanging="720"/>
        <w:rPr>
          <w:color w:val="000000" w:themeColor="text1"/>
          <w:sz w:val="20"/>
          <w:szCs w:val="20"/>
        </w:rPr>
      </w:pPr>
      <w:r w:rsidRPr="0098635C">
        <w:rPr>
          <w:color w:val="000000" w:themeColor="text1"/>
          <w:sz w:val="20"/>
          <w:szCs w:val="20"/>
        </w:rPr>
        <w:t>Dicopper chloride trihydroxide</w:t>
      </w:r>
    </w:p>
    <w:p w14:paraId="7CC6C70F" w14:textId="427264C6" w:rsidR="008D1AE9" w:rsidRPr="0098635C" w:rsidRDefault="00236182" w:rsidP="008D1AE9">
      <w:pPr>
        <w:pStyle w:val="BodyText"/>
        <w:rPr>
          <w:color w:val="000000" w:themeColor="text1"/>
          <w:sz w:val="20"/>
        </w:rPr>
      </w:pPr>
      <w:r w:rsidRPr="0098635C">
        <w:rPr>
          <w:color w:val="000000" w:themeColor="text1"/>
          <w:sz w:val="20"/>
        </w:rPr>
        <w:t>Dicopper chloride trihydroxide</w:t>
      </w:r>
      <w:r w:rsidR="008D1AE9" w:rsidRPr="0098635C">
        <w:rPr>
          <w:color w:val="000000" w:themeColor="text1"/>
          <w:sz w:val="20"/>
        </w:rPr>
        <w:t xml:space="preserve"> </w:t>
      </w:r>
      <w:r w:rsidR="00AA0377" w:rsidRPr="0098635C">
        <w:rPr>
          <w:color w:val="000000" w:themeColor="text1"/>
          <w:sz w:val="20"/>
        </w:rPr>
        <w:t xml:space="preserve">was negaitive in a </w:t>
      </w:r>
      <w:r w:rsidR="008D1AE9" w:rsidRPr="0098635C">
        <w:rPr>
          <w:color w:val="000000" w:themeColor="text1"/>
          <w:sz w:val="20"/>
        </w:rPr>
        <w:t xml:space="preserve"> skin sensitisation </w:t>
      </w:r>
      <w:r w:rsidR="00AA0377" w:rsidRPr="0098635C">
        <w:rPr>
          <w:color w:val="000000" w:themeColor="text1"/>
          <w:sz w:val="20"/>
        </w:rPr>
        <w:t xml:space="preserve">test </w:t>
      </w:r>
      <w:r w:rsidR="008D1AE9" w:rsidRPr="0098635C">
        <w:rPr>
          <w:color w:val="000000" w:themeColor="text1"/>
          <w:sz w:val="20"/>
        </w:rPr>
        <w:t xml:space="preserve">(24h or 48h after challenge) in guinea pigs in a Buehler test (Walker 1990 – </w:t>
      </w:r>
      <w:r w:rsidR="008D1AE9" w:rsidRPr="0098635C">
        <w:rPr>
          <w:i/>
          <w:color w:val="000000" w:themeColor="text1"/>
          <w:sz w:val="20"/>
        </w:rPr>
        <w:t>unpublished</w:t>
      </w:r>
      <w:r w:rsidR="008D1AE9" w:rsidRPr="0098635C">
        <w:rPr>
          <w:color w:val="000000" w:themeColor="text1"/>
          <w:sz w:val="20"/>
        </w:rPr>
        <w:t xml:space="preserve">).    </w:t>
      </w:r>
      <w:r w:rsidR="008A24B5" w:rsidRPr="0098635C">
        <w:rPr>
          <w:color w:val="000000" w:themeColor="text1"/>
          <w:sz w:val="20"/>
        </w:rPr>
        <w:t>Another study (Leuschner 2005-</w:t>
      </w:r>
      <w:r w:rsidR="008A24B5" w:rsidRPr="0098635C">
        <w:rPr>
          <w:i/>
          <w:color w:val="000000" w:themeColor="text1"/>
          <w:sz w:val="20"/>
        </w:rPr>
        <w:t>– unpublished</w:t>
      </w:r>
      <w:r w:rsidR="008A24B5" w:rsidRPr="0098635C">
        <w:rPr>
          <w:color w:val="000000" w:themeColor="text1"/>
          <w:sz w:val="20"/>
        </w:rPr>
        <w:t xml:space="preserve">) </w:t>
      </w:r>
      <w:r w:rsidR="00F35D64" w:rsidRPr="0098635C">
        <w:rPr>
          <w:color w:val="000000" w:themeColor="text1"/>
          <w:sz w:val="20"/>
        </w:rPr>
        <w:t>reported that</w:t>
      </w:r>
      <w:r w:rsidR="008A24B5" w:rsidRPr="0098635C">
        <w:rPr>
          <w:color w:val="000000" w:themeColor="text1"/>
          <w:sz w:val="20"/>
        </w:rPr>
        <w:t xml:space="preserve"> </w:t>
      </w:r>
      <w:r w:rsidRPr="0098635C">
        <w:rPr>
          <w:color w:val="000000" w:themeColor="text1"/>
          <w:sz w:val="20"/>
        </w:rPr>
        <w:t>dicopper chloride trihydroxide</w:t>
      </w:r>
      <w:r w:rsidR="008A24B5" w:rsidRPr="0098635C">
        <w:rPr>
          <w:color w:val="000000" w:themeColor="text1"/>
          <w:sz w:val="20"/>
        </w:rPr>
        <w:t xml:space="preserve"> did not induce skin sensitisation in the guinea pig in the Magnusson and Kligman Maximisation test.  </w:t>
      </w:r>
    </w:p>
    <w:p w14:paraId="70CF8E52" w14:textId="77777777" w:rsidR="008D1AE9" w:rsidRPr="0098635C" w:rsidRDefault="006B553F" w:rsidP="008D1AE9">
      <w:pPr>
        <w:pStyle w:val="Heading9"/>
        <w:ind w:left="720" w:hanging="720"/>
        <w:rPr>
          <w:color w:val="000000" w:themeColor="text1"/>
          <w:sz w:val="20"/>
          <w:szCs w:val="20"/>
        </w:rPr>
      </w:pPr>
      <w:r w:rsidRPr="0098635C">
        <w:rPr>
          <w:color w:val="000000" w:themeColor="text1"/>
          <w:sz w:val="20"/>
          <w:szCs w:val="20"/>
        </w:rPr>
        <w:t>Coated copper flakes</w:t>
      </w:r>
    </w:p>
    <w:p w14:paraId="6593D400" w14:textId="77777777" w:rsidR="008D1AE9" w:rsidRPr="0098635C" w:rsidRDefault="008D1AE9" w:rsidP="008D1AE9">
      <w:pPr>
        <w:pStyle w:val="BodyText"/>
        <w:rPr>
          <w:color w:val="000000" w:themeColor="text1"/>
          <w:sz w:val="20"/>
        </w:rPr>
      </w:pPr>
      <w:r w:rsidRPr="0098635C">
        <w:rPr>
          <w:color w:val="000000" w:themeColor="text1"/>
          <w:sz w:val="20"/>
        </w:rPr>
        <w:t>No skin reaction (0% sensitisation rate) in a GPMT was observed with guinea pigs at challenge sites in any test or control animals at 24 or 48 hours</w:t>
      </w:r>
      <w:r w:rsidR="006B553F" w:rsidRPr="0098635C">
        <w:rPr>
          <w:color w:val="000000" w:themeColor="text1"/>
          <w:sz w:val="20"/>
        </w:rPr>
        <w:t xml:space="preserve"> </w:t>
      </w:r>
      <w:r w:rsidRPr="0098635C">
        <w:rPr>
          <w:color w:val="000000" w:themeColor="text1"/>
          <w:sz w:val="20"/>
        </w:rPr>
        <w:t xml:space="preserve">(Sanders 2001d </w:t>
      </w:r>
      <w:r w:rsidRPr="0098635C">
        <w:rPr>
          <w:i/>
          <w:color w:val="000000" w:themeColor="text1"/>
          <w:sz w:val="20"/>
        </w:rPr>
        <w:t>– unpublished</w:t>
      </w:r>
      <w:r w:rsidRPr="0098635C">
        <w:rPr>
          <w:color w:val="000000" w:themeColor="text1"/>
          <w:sz w:val="20"/>
        </w:rPr>
        <w:t xml:space="preserve">).  In Copper is therefore considered to have no skin sensitising potential in guinea pigs. </w:t>
      </w:r>
    </w:p>
    <w:p w14:paraId="7338F9B6" w14:textId="77777777" w:rsidR="008D1AE9" w:rsidRPr="0098635C" w:rsidRDefault="006B553F" w:rsidP="008D1AE9">
      <w:pPr>
        <w:pStyle w:val="BodyText"/>
        <w:rPr>
          <w:i/>
          <w:color w:val="000000" w:themeColor="text1"/>
          <w:sz w:val="20"/>
        </w:rPr>
      </w:pPr>
      <w:r w:rsidRPr="0098635C">
        <w:rPr>
          <w:i/>
          <w:color w:val="000000" w:themeColor="text1"/>
          <w:sz w:val="20"/>
        </w:rPr>
        <w:t>Copper powder</w:t>
      </w:r>
    </w:p>
    <w:p w14:paraId="6BD0A2AA" w14:textId="3990E11D" w:rsidR="00D05142" w:rsidRPr="0098635C" w:rsidRDefault="008D1AE9" w:rsidP="00D05142">
      <w:pPr>
        <w:rPr>
          <w:color w:val="000000" w:themeColor="text1"/>
          <w:sz w:val="20"/>
          <w:szCs w:val="20"/>
        </w:rPr>
      </w:pPr>
      <w:r w:rsidRPr="0098635C">
        <w:rPr>
          <w:color w:val="000000" w:themeColor="text1"/>
          <w:sz w:val="20"/>
          <w:szCs w:val="20"/>
        </w:rPr>
        <w:t xml:space="preserve">Considering the lower solubility and bioaccessibility compared to </w:t>
      </w:r>
      <w:r w:rsidR="00236182" w:rsidRPr="0098635C">
        <w:rPr>
          <w:color w:val="000000" w:themeColor="text1"/>
          <w:sz w:val="20"/>
          <w:szCs w:val="20"/>
        </w:rPr>
        <w:t>copper (II) oxide</w:t>
      </w:r>
      <w:r w:rsidRPr="0098635C">
        <w:rPr>
          <w:color w:val="000000" w:themeColor="text1"/>
          <w:sz w:val="20"/>
          <w:szCs w:val="20"/>
        </w:rPr>
        <w:t xml:space="preserve">s and </w:t>
      </w:r>
      <w:r w:rsidR="00AA0377" w:rsidRPr="0098635C">
        <w:rPr>
          <w:color w:val="000000" w:themeColor="text1"/>
          <w:sz w:val="20"/>
          <w:szCs w:val="20"/>
        </w:rPr>
        <w:t xml:space="preserve">coated </w:t>
      </w:r>
      <w:r w:rsidRPr="0098635C">
        <w:rPr>
          <w:color w:val="000000" w:themeColor="text1"/>
          <w:sz w:val="20"/>
          <w:szCs w:val="20"/>
        </w:rPr>
        <w:t xml:space="preserve">copper flakes (see section 3.1.1.7), read-across to copper (powders and massive forms) is applied. </w:t>
      </w:r>
    </w:p>
    <w:p w14:paraId="3DFD5529" w14:textId="77777777" w:rsidR="008D1AE9" w:rsidRPr="0098635C" w:rsidRDefault="008D1AE9" w:rsidP="008D1AE9">
      <w:pPr>
        <w:pStyle w:val="Heading8"/>
        <w:rPr>
          <w:color w:val="000000" w:themeColor="text1"/>
          <w:sz w:val="20"/>
          <w:szCs w:val="20"/>
        </w:rPr>
      </w:pPr>
      <w:r w:rsidRPr="0098635C">
        <w:rPr>
          <w:color w:val="000000" w:themeColor="text1"/>
          <w:sz w:val="20"/>
          <w:szCs w:val="20"/>
        </w:rPr>
        <w:t>Studies in Humans</w:t>
      </w:r>
    </w:p>
    <w:p w14:paraId="5FAB9524" w14:textId="034582D7" w:rsidR="008D1AE9" w:rsidRPr="0098635C" w:rsidRDefault="008D1AE9" w:rsidP="008D1AE9">
      <w:pPr>
        <w:pStyle w:val="BodyText"/>
        <w:rPr>
          <w:color w:val="000000" w:themeColor="text1"/>
          <w:sz w:val="20"/>
        </w:rPr>
      </w:pPr>
      <w:r w:rsidRPr="0098635C">
        <w:rPr>
          <w:color w:val="000000" w:themeColor="text1"/>
          <w:sz w:val="20"/>
        </w:rPr>
        <w:t xml:space="preserve">The few cases of skin sensitisation from exposure to copper or its compounds reported in the literature are restricted to clinical case reports involving small numbers of patients, and in evaluation of a case-series of patients from dermatology clinics.  A review by Barranco (1972) showed that only six cases of allergic contact dermatitis to copper had been reported at that point in time.  </w:t>
      </w:r>
      <w:r w:rsidR="00622F60" w:rsidRPr="0098635C">
        <w:rPr>
          <w:color w:val="000000" w:themeColor="text1"/>
          <w:sz w:val="20"/>
        </w:rPr>
        <w:t>Three</w:t>
      </w:r>
      <w:r w:rsidRPr="0098635C">
        <w:rPr>
          <w:color w:val="000000" w:themeColor="text1"/>
          <w:sz w:val="20"/>
        </w:rPr>
        <w:t xml:space="preserve"> cases occurred as a result of contact with brass (copper and zinc alloy). The other cases were due in each case to CuSO</w:t>
      </w:r>
      <w:r w:rsidRPr="0098635C">
        <w:rPr>
          <w:color w:val="000000" w:themeColor="text1"/>
          <w:sz w:val="20"/>
          <w:vertAlign w:val="subscript"/>
        </w:rPr>
        <w:t>4</w:t>
      </w:r>
      <w:r w:rsidRPr="0098635C">
        <w:rPr>
          <w:color w:val="000000" w:themeColor="text1"/>
          <w:sz w:val="20"/>
        </w:rPr>
        <w:t xml:space="preserve">, copper metal, and copper in jewellery respectively. Motolese et al (1993) assessed 190 enamellers and decorators by patch tests, and only a single case of a positive patch test to red copper oxide in the group was observed. Sterry and Schmoll (1985) described contact urticaria with a positive patch test in a patient exposed to copper (II)-acetyl acetonate used in self-adhesive disinfection pads applied to the skin.  </w:t>
      </w:r>
    </w:p>
    <w:p w14:paraId="54857C8A" w14:textId="77777777" w:rsidR="008D1AE9" w:rsidRPr="0098635C" w:rsidRDefault="008D1AE9" w:rsidP="008D1AE9">
      <w:pPr>
        <w:pStyle w:val="Heading9"/>
        <w:rPr>
          <w:color w:val="000000" w:themeColor="text1"/>
          <w:sz w:val="20"/>
          <w:szCs w:val="20"/>
        </w:rPr>
      </w:pPr>
      <w:r w:rsidRPr="0098635C">
        <w:rPr>
          <w:color w:val="000000" w:themeColor="text1"/>
          <w:sz w:val="20"/>
          <w:szCs w:val="20"/>
        </w:rPr>
        <w:t>Cross-reactivity</w:t>
      </w:r>
    </w:p>
    <w:p w14:paraId="5EC45D9E" w14:textId="1CB91852" w:rsidR="008D1AE9" w:rsidRPr="0098635C" w:rsidRDefault="008D1AE9" w:rsidP="008D1AE9">
      <w:pPr>
        <w:pStyle w:val="BodyText"/>
        <w:rPr>
          <w:color w:val="000000" w:themeColor="text1"/>
          <w:sz w:val="20"/>
        </w:rPr>
      </w:pPr>
      <w:r w:rsidRPr="0098635C">
        <w:rPr>
          <w:color w:val="000000" w:themeColor="text1"/>
          <w:sz w:val="20"/>
        </w:rPr>
        <w:t xml:space="preserve">Metal objects such as spectacle frames have caused dermatitis (Gaul, 1958), but the role of copper in these cases is uncertain, as there is often concomitant exposure to other known </w:t>
      </w:r>
      <w:r w:rsidR="00F35D64" w:rsidRPr="0098635C">
        <w:rPr>
          <w:color w:val="000000" w:themeColor="text1"/>
          <w:sz w:val="20"/>
        </w:rPr>
        <w:t>sensiti</w:t>
      </w:r>
      <w:r w:rsidR="00AA0377" w:rsidRPr="0098635C">
        <w:rPr>
          <w:color w:val="000000" w:themeColor="text1"/>
          <w:sz w:val="20"/>
        </w:rPr>
        <w:t>s</w:t>
      </w:r>
      <w:r w:rsidR="00F35D64" w:rsidRPr="0098635C">
        <w:rPr>
          <w:color w:val="000000" w:themeColor="text1"/>
          <w:sz w:val="20"/>
        </w:rPr>
        <w:t>ers</w:t>
      </w:r>
      <w:r w:rsidRPr="0098635C">
        <w:rPr>
          <w:color w:val="000000" w:themeColor="text1"/>
          <w:sz w:val="20"/>
        </w:rPr>
        <w:t xml:space="preserve"> such as nickel compounds. Some cases of cross-reactivity between copper and other metal </w:t>
      </w:r>
      <w:r w:rsidR="00F35D64" w:rsidRPr="0098635C">
        <w:rPr>
          <w:color w:val="000000" w:themeColor="text1"/>
          <w:sz w:val="20"/>
        </w:rPr>
        <w:t>sensiti</w:t>
      </w:r>
      <w:r w:rsidR="00AA0377" w:rsidRPr="0098635C">
        <w:rPr>
          <w:color w:val="000000" w:themeColor="text1"/>
          <w:sz w:val="20"/>
        </w:rPr>
        <w:t>s</w:t>
      </w:r>
      <w:r w:rsidR="00F35D64" w:rsidRPr="0098635C">
        <w:rPr>
          <w:color w:val="000000" w:themeColor="text1"/>
          <w:sz w:val="20"/>
        </w:rPr>
        <w:t>ers</w:t>
      </w:r>
      <w:r w:rsidRPr="0098635C">
        <w:rPr>
          <w:color w:val="000000" w:themeColor="text1"/>
          <w:sz w:val="20"/>
        </w:rPr>
        <w:t xml:space="preserve"> have been documented between Pd-NiSO</w:t>
      </w:r>
      <w:r w:rsidRPr="0098635C">
        <w:rPr>
          <w:color w:val="000000" w:themeColor="text1"/>
          <w:sz w:val="20"/>
          <w:vertAlign w:val="subscript"/>
        </w:rPr>
        <w:t>4</w:t>
      </w:r>
      <w:r w:rsidRPr="0098635C">
        <w:rPr>
          <w:color w:val="000000" w:themeColor="text1"/>
          <w:sz w:val="20"/>
        </w:rPr>
        <w:t>-CuSO</w:t>
      </w:r>
      <w:r w:rsidRPr="0098635C">
        <w:rPr>
          <w:color w:val="000000" w:themeColor="text1"/>
          <w:sz w:val="20"/>
          <w:vertAlign w:val="subscript"/>
        </w:rPr>
        <w:t>4</w:t>
      </w:r>
      <w:r w:rsidRPr="0098635C">
        <w:rPr>
          <w:color w:val="000000" w:themeColor="text1"/>
          <w:sz w:val="20"/>
        </w:rPr>
        <w:t xml:space="preserve"> (Hackel et al, 1991) and between CuSO</w:t>
      </w:r>
      <w:r w:rsidRPr="0098635C">
        <w:rPr>
          <w:color w:val="000000" w:themeColor="text1"/>
          <w:sz w:val="20"/>
          <w:vertAlign w:val="subscript"/>
        </w:rPr>
        <w:t>4</w:t>
      </w:r>
      <w:r w:rsidRPr="0098635C">
        <w:rPr>
          <w:color w:val="000000" w:themeColor="text1"/>
          <w:sz w:val="20"/>
        </w:rPr>
        <w:t xml:space="preserve"> and mercuric chloride (Nordlind</w:t>
      </w:r>
      <w:r w:rsidR="005E733F" w:rsidRPr="0098635C">
        <w:rPr>
          <w:color w:val="000000" w:themeColor="text1"/>
          <w:sz w:val="20"/>
        </w:rPr>
        <w:t xml:space="preserve"> and Liden</w:t>
      </w:r>
      <w:r w:rsidRPr="0098635C">
        <w:rPr>
          <w:color w:val="000000" w:themeColor="text1"/>
          <w:sz w:val="20"/>
        </w:rPr>
        <w:t>, 1992).</w:t>
      </w:r>
    </w:p>
    <w:p w14:paraId="2E4860A6" w14:textId="77777777" w:rsidR="008D1AE9" w:rsidRPr="0098635C" w:rsidRDefault="008D1AE9" w:rsidP="008D1AE9">
      <w:pPr>
        <w:pStyle w:val="Heading9"/>
        <w:rPr>
          <w:color w:val="000000" w:themeColor="text1"/>
          <w:sz w:val="20"/>
          <w:szCs w:val="20"/>
        </w:rPr>
      </w:pPr>
      <w:r w:rsidRPr="0098635C">
        <w:rPr>
          <w:color w:val="000000" w:themeColor="text1"/>
          <w:sz w:val="20"/>
          <w:szCs w:val="20"/>
        </w:rPr>
        <w:t>Skin reactions following use of copper IUD</w:t>
      </w:r>
    </w:p>
    <w:p w14:paraId="74982BD2" w14:textId="03E6CDB3" w:rsidR="008D1AE9" w:rsidRPr="0098635C" w:rsidRDefault="008D1AE9" w:rsidP="00926614">
      <w:pPr>
        <w:pStyle w:val="Heading9"/>
        <w:rPr>
          <w:color w:val="000000" w:themeColor="text1"/>
          <w:sz w:val="20"/>
          <w:szCs w:val="20"/>
        </w:rPr>
      </w:pPr>
      <w:r w:rsidRPr="0098635C">
        <w:rPr>
          <w:color w:val="000000" w:themeColor="text1"/>
          <w:sz w:val="20"/>
          <w:szCs w:val="20"/>
        </w:rPr>
        <w:t xml:space="preserve">Several studies reported adverse skin effects (dermatitis, urticaria, papulo-erythematous skin lesions, non-pruritic skin eruption, abdominal pain) upon insertion of a copper-based intra-uterine contraceptive device (IUD) (Barkoff, 1976; Romaguera and Grimalt, 1981; Barranco, 1972; Frenz and Teilum, 1980; Rongioletti et al, </w:t>
      </w:r>
      <w:r w:rsidRPr="0098635C">
        <w:rPr>
          <w:color w:val="000000" w:themeColor="text1"/>
          <w:sz w:val="20"/>
          <w:szCs w:val="20"/>
        </w:rPr>
        <w:lastRenderedPageBreak/>
        <w:t>1985; Pujol et al, 1998), and relation to the Cu-content was further demonstrated with either patch tests or scratch tests with CuSO</w:t>
      </w:r>
      <w:r w:rsidRPr="0098635C">
        <w:rPr>
          <w:color w:val="000000" w:themeColor="text1"/>
          <w:sz w:val="20"/>
          <w:szCs w:val="20"/>
          <w:vertAlign w:val="subscript"/>
        </w:rPr>
        <w:t>4</w:t>
      </w:r>
      <w:r w:rsidRPr="0098635C">
        <w:rPr>
          <w:color w:val="000000" w:themeColor="text1"/>
          <w:sz w:val="20"/>
          <w:szCs w:val="20"/>
        </w:rPr>
        <w:t xml:space="preserve"> as test substance. </w:t>
      </w:r>
    </w:p>
    <w:p w14:paraId="0CD61133" w14:textId="77777777" w:rsidR="008D1AE9" w:rsidRPr="0098635C" w:rsidRDefault="008D1AE9" w:rsidP="008D1AE9">
      <w:pPr>
        <w:pStyle w:val="Heading9"/>
        <w:rPr>
          <w:color w:val="000000" w:themeColor="text1"/>
          <w:sz w:val="20"/>
          <w:szCs w:val="20"/>
        </w:rPr>
      </w:pPr>
      <w:r w:rsidRPr="0098635C">
        <w:rPr>
          <w:color w:val="000000" w:themeColor="text1"/>
          <w:sz w:val="20"/>
          <w:szCs w:val="20"/>
        </w:rPr>
        <w:t>Prevalence of allergic dermatitis from copper salts</w:t>
      </w:r>
    </w:p>
    <w:p w14:paraId="472F25DC" w14:textId="340F33E5" w:rsidR="008D1AE9" w:rsidRPr="0098635C" w:rsidRDefault="008D1AE9" w:rsidP="008D1AE9">
      <w:pPr>
        <w:pStyle w:val="BodyText"/>
        <w:rPr>
          <w:color w:val="000000" w:themeColor="text1"/>
          <w:sz w:val="20"/>
        </w:rPr>
      </w:pPr>
      <w:r w:rsidRPr="0098635C">
        <w:rPr>
          <w:color w:val="000000" w:themeColor="text1"/>
          <w:sz w:val="20"/>
        </w:rPr>
        <w:t xml:space="preserve">Findings by Lisi </w:t>
      </w:r>
      <w:r w:rsidRPr="0098635C">
        <w:rPr>
          <w:i/>
          <w:color w:val="000000" w:themeColor="text1"/>
          <w:sz w:val="20"/>
        </w:rPr>
        <w:t>et al</w:t>
      </w:r>
      <w:r w:rsidRPr="0098635C">
        <w:rPr>
          <w:color w:val="000000" w:themeColor="text1"/>
          <w:sz w:val="20"/>
        </w:rPr>
        <w:t xml:space="preserve"> (1987) and Karlberg (1983) give clear indication on the relative rarity of copper compounds in comparison to other metals as a cause of allergic contact dermatitis. The former observed no irritant reaction to CuSO</w:t>
      </w:r>
      <w:r w:rsidRPr="0098635C">
        <w:rPr>
          <w:color w:val="000000" w:themeColor="text1"/>
          <w:sz w:val="20"/>
          <w:vertAlign w:val="subscript"/>
        </w:rPr>
        <w:t>4</w:t>
      </w:r>
      <w:r w:rsidRPr="0098635C">
        <w:rPr>
          <w:color w:val="000000" w:themeColor="text1"/>
          <w:sz w:val="20"/>
        </w:rPr>
        <w:t xml:space="preserve"> in 564 subjects while studying allergic contact dermatitis from pesticides, whereas the latter observed a reaction to CuSO</w:t>
      </w:r>
      <w:r w:rsidRPr="0098635C">
        <w:rPr>
          <w:color w:val="000000" w:themeColor="text1"/>
          <w:sz w:val="20"/>
          <w:vertAlign w:val="subscript"/>
        </w:rPr>
        <w:t>4</w:t>
      </w:r>
      <w:r w:rsidRPr="0098635C">
        <w:rPr>
          <w:color w:val="000000" w:themeColor="text1"/>
          <w:sz w:val="20"/>
        </w:rPr>
        <w:t xml:space="preserve"> in only 13 eczema patients out of the 1190 that were exposed over a three-year period. </w:t>
      </w:r>
    </w:p>
    <w:p w14:paraId="76CC39EB" w14:textId="77777777" w:rsidR="008D1AE9" w:rsidRPr="0098635C" w:rsidRDefault="008D1AE9" w:rsidP="008D1AE9">
      <w:pPr>
        <w:pStyle w:val="Heading4"/>
        <w:rPr>
          <w:color w:val="000000" w:themeColor="text1"/>
          <w:sz w:val="20"/>
        </w:rPr>
      </w:pPr>
      <w:r w:rsidRPr="0098635C">
        <w:rPr>
          <w:color w:val="000000" w:themeColor="text1"/>
          <w:sz w:val="20"/>
        </w:rPr>
        <w:t>Respiratory tract</w:t>
      </w:r>
    </w:p>
    <w:p w14:paraId="33871FE2" w14:textId="4646B960" w:rsidR="008D1AE9" w:rsidRPr="0098635C" w:rsidRDefault="008D1AE9" w:rsidP="008D1AE9">
      <w:pPr>
        <w:pStyle w:val="BodyText"/>
        <w:rPr>
          <w:color w:val="000000" w:themeColor="text1"/>
          <w:sz w:val="20"/>
        </w:rPr>
      </w:pPr>
      <w:r w:rsidRPr="0098635C">
        <w:rPr>
          <w:color w:val="000000" w:themeColor="text1"/>
          <w:sz w:val="20"/>
        </w:rPr>
        <w:t xml:space="preserve">No information is available from animal/human studies concerning respiratory sensitisation and exposure to copper. </w:t>
      </w:r>
    </w:p>
    <w:p w14:paraId="61DEE97B" w14:textId="77777777" w:rsidR="008D1AE9" w:rsidRPr="0098635C" w:rsidRDefault="008D1AE9" w:rsidP="008D1AE9">
      <w:pPr>
        <w:pStyle w:val="Heading4"/>
        <w:rPr>
          <w:color w:val="000000" w:themeColor="text1"/>
          <w:sz w:val="20"/>
        </w:rPr>
      </w:pPr>
      <w:r w:rsidRPr="0098635C">
        <w:rPr>
          <w:color w:val="000000" w:themeColor="text1"/>
          <w:sz w:val="20"/>
        </w:rPr>
        <w:t>Conclusion</w:t>
      </w:r>
    </w:p>
    <w:p w14:paraId="5DE42092" w14:textId="3CA563EB" w:rsidR="008D1AE9" w:rsidRPr="0098635C" w:rsidRDefault="008D1AE9" w:rsidP="00586794">
      <w:pPr>
        <w:pStyle w:val="BodyText"/>
        <w:rPr>
          <w:color w:val="000000" w:themeColor="text1"/>
          <w:sz w:val="20"/>
        </w:rPr>
      </w:pPr>
      <w:r w:rsidRPr="0098635C">
        <w:rPr>
          <w:color w:val="000000" w:themeColor="text1"/>
          <w:sz w:val="20"/>
        </w:rPr>
        <w:t xml:space="preserve">Available unpublished studies on the skin sensitising potential of copper (I) oxide, copper (II) oxide, copper sulphate pentahydrate, </w:t>
      </w:r>
      <w:r w:rsidR="00236182" w:rsidRPr="0098635C">
        <w:rPr>
          <w:color w:val="000000" w:themeColor="text1"/>
          <w:sz w:val="20"/>
        </w:rPr>
        <w:t>dicopper chloride trihydroxide</w:t>
      </w:r>
      <w:r w:rsidRPr="0098635C">
        <w:rPr>
          <w:color w:val="000000" w:themeColor="text1"/>
          <w:sz w:val="20"/>
        </w:rPr>
        <w:t xml:space="preserve"> and </w:t>
      </w:r>
      <w:r w:rsidR="00286BF8" w:rsidRPr="0098635C">
        <w:rPr>
          <w:color w:val="000000" w:themeColor="text1"/>
          <w:sz w:val="20"/>
        </w:rPr>
        <w:t>coated copper flakes</w:t>
      </w:r>
      <w:r w:rsidRPr="0098635C">
        <w:rPr>
          <w:color w:val="000000" w:themeColor="text1"/>
          <w:sz w:val="20"/>
        </w:rPr>
        <w:t xml:space="preserve"> demonstrated the absence of skin sensitisation in guinea pigs. Given the extensive use of copper, and the potential for continuous and/or intermittent skin contact, human case-reports of skin sensitisation due to copper or its compounds are rare and may be due to cross-reactivity.</w:t>
      </w:r>
    </w:p>
    <w:p w14:paraId="13C26B11" w14:textId="77777777" w:rsidR="008D1AE9" w:rsidRPr="0098635C" w:rsidRDefault="008D1AE9" w:rsidP="008D1AE9">
      <w:pPr>
        <w:pStyle w:val="Heading3"/>
        <w:rPr>
          <w:color w:val="000000" w:themeColor="text1"/>
          <w:sz w:val="20"/>
        </w:rPr>
      </w:pPr>
      <w:bookmarkStart w:id="1723" w:name="_Toc32726033"/>
      <w:bookmarkStart w:id="1724" w:name="_Toc32727216"/>
      <w:bookmarkStart w:id="1725" w:name="_Toc43868664"/>
      <w:bookmarkStart w:id="1726" w:name="_Toc200358252"/>
      <w:bookmarkStart w:id="1727" w:name="_Toc200359268"/>
      <w:bookmarkStart w:id="1728" w:name="_Toc260063681"/>
      <w:bookmarkStart w:id="1729" w:name="_Toc472000289"/>
      <w:bookmarkStart w:id="1730" w:name="_Toc472251652"/>
      <w:r w:rsidRPr="0098635C">
        <w:rPr>
          <w:color w:val="000000" w:themeColor="text1"/>
          <w:sz w:val="20"/>
        </w:rPr>
        <w:t>Repeated Dose Toxicity</w:t>
      </w:r>
      <w:bookmarkEnd w:id="1723"/>
      <w:bookmarkEnd w:id="1724"/>
      <w:bookmarkEnd w:id="1725"/>
      <w:bookmarkEnd w:id="1726"/>
      <w:bookmarkEnd w:id="1727"/>
      <w:bookmarkEnd w:id="1728"/>
      <w:bookmarkEnd w:id="1729"/>
      <w:bookmarkEnd w:id="1730"/>
    </w:p>
    <w:p w14:paraId="24921F7A" w14:textId="2FF70477" w:rsidR="008D1AE9" w:rsidRPr="0098635C" w:rsidRDefault="008D1AE9" w:rsidP="008D1AE9">
      <w:pPr>
        <w:rPr>
          <w:color w:val="000000" w:themeColor="text1"/>
          <w:sz w:val="20"/>
          <w:szCs w:val="20"/>
        </w:rPr>
      </w:pPr>
      <w:r w:rsidRPr="0098635C">
        <w:rPr>
          <w:color w:val="000000" w:themeColor="text1"/>
          <w:sz w:val="20"/>
          <w:szCs w:val="20"/>
        </w:rPr>
        <w:t xml:space="preserve">When interpreting studies of essential trace elements, it needs to be remembered that these elements also play a role in many biological functions, have tight homeostatic control, and are closely linked to physiology with (haematological) effects caused by excess exposure as well as deficiency (e.g., </w:t>
      </w:r>
      <w:r w:rsidR="00BE38B4" w:rsidRPr="0098635C">
        <w:rPr>
          <w:color w:val="000000" w:themeColor="text1"/>
          <w:sz w:val="20"/>
          <w:szCs w:val="20"/>
        </w:rPr>
        <w:t>W</w:t>
      </w:r>
      <w:r w:rsidRPr="0098635C">
        <w:rPr>
          <w:color w:val="000000" w:themeColor="text1"/>
          <w:sz w:val="20"/>
          <w:szCs w:val="20"/>
        </w:rPr>
        <w:t xml:space="preserve">ang </w:t>
      </w:r>
      <w:r w:rsidRPr="0098635C">
        <w:rPr>
          <w:rFonts w:ascii="Times" w:hAnsi="Times" w:cs="Times"/>
          <w:iCs/>
          <w:color w:val="000000" w:themeColor="text1"/>
          <w:sz w:val="20"/>
          <w:szCs w:val="20"/>
        </w:rPr>
        <w:t>et al</w:t>
      </w:r>
      <w:r w:rsidRPr="0098635C">
        <w:rPr>
          <w:color w:val="000000" w:themeColor="text1"/>
          <w:sz w:val="20"/>
          <w:szCs w:val="20"/>
        </w:rPr>
        <w:t xml:space="preserve">. 2012). </w:t>
      </w:r>
    </w:p>
    <w:p w14:paraId="4BCF75CB" w14:textId="13A5AC56" w:rsidR="008D1AE9" w:rsidRPr="0098635C" w:rsidRDefault="008D1AE9" w:rsidP="00586794">
      <w:pPr>
        <w:pStyle w:val="BodyText"/>
        <w:rPr>
          <w:color w:val="000000" w:themeColor="text1"/>
          <w:sz w:val="20"/>
        </w:rPr>
      </w:pPr>
      <w:r w:rsidRPr="0098635C">
        <w:rPr>
          <w:color w:val="000000" w:themeColor="text1"/>
          <w:sz w:val="20"/>
        </w:rPr>
        <w:t xml:space="preserve">Repeated dose (oral) toxicity data in animals are based largely on copper sulphate.  No data are available for copper (I) oxide, copper (II) oxide, </w:t>
      </w:r>
      <w:r w:rsidR="00236182" w:rsidRPr="0098635C">
        <w:rPr>
          <w:color w:val="000000" w:themeColor="text1"/>
          <w:sz w:val="20"/>
        </w:rPr>
        <w:t>dicopper chloride trihydroxide</w:t>
      </w:r>
      <w:r w:rsidRPr="0098635C">
        <w:rPr>
          <w:color w:val="000000" w:themeColor="text1"/>
          <w:sz w:val="20"/>
        </w:rPr>
        <w:t xml:space="preserve"> and copper </w:t>
      </w:r>
      <w:r w:rsidR="00B4163E" w:rsidRPr="0098635C">
        <w:rPr>
          <w:color w:val="000000" w:themeColor="text1"/>
          <w:sz w:val="20"/>
        </w:rPr>
        <w:t>metal</w:t>
      </w:r>
      <w:r w:rsidRPr="0098635C">
        <w:rPr>
          <w:color w:val="000000" w:themeColor="text1"/>
          <w:sz w:val="20"/>
        </w:rPr>
        <w:t xml:space="preserve">.  With regard to repeated oral exposure, it is assumed that copper in the gastro-intestinal tract will occur, at least in part, in the ionic form and will therefore be available for absorption.  Whilst bioavailability data exist for several copper substances in addition to copper sulphate (copper (I) oxide, copper (II) oxide, </w:t>
      </w:r>
      <w:r w:rsidR="00236182" w:rsidRPr="0098635C">
        <w:rPr>
          <w:color w:val="000000" w:themeColor="text1"/>
          <w:sz w:val="20"/>
        </w:rPr>
        <w:t>dicopper chloride trihydroxide</w:t>
      </w:r>
      <w:r w:rsidRPr="0098635C">
        <w:rPr>
          <w:color w:val="000000" w:themeColor="text1"/>
          <w:sz w:val="20"/>
        </w:rPr>
        <w:t xml:space="preserve">), the database is limited in terms of quality and/or relevance to human risk assessment (reviewed in </w:t>
      </w:r>
      <w:r w:rsidRPr="0098635C">
        <w:rPr>
          <w:b/>
          <w:color w:val="000000" w:themeColor="text1"/>
          <w:sz w:val="20"/>
        </w:rPr>
        <w:t>‘Toxicokinetics’</w:t>
      </w:r>
      <w:r w:rsidRPr="0098635C">
        <w:rPr>
          <w:color w:val="000000" w:themeColor="text1"/>
          <w:sz w:val="20"/>
        </w:rPr>
        <w:t>). it is considered appropriate to read-across from copper sulphate, on the basis that this is the most soluble and apparently bioavailable substance covered here, and the most well-characterised with respect to toxicokinetics and repeated dose toxicity.</w:t>
      </w:r>
    </w:p>
    <w:p w14:paraId="70E6BF17" w14:textId="77777777" w:rsidR="008D1AE9" w:rsidRPr="0098635C" w:rsidRDefault="008D1AE9" w:rsidP="008D1AE9">
      <w:pPr>
        <w:pStyle w:val="Heading8"/>
        <w:rPr>
          <w:color w:val="000000" w:themeColor="text1"/>
          <w:sz w:val="20"/>
          <w:szCs w:val="20"/>
        </w:rPr>
      </w:pPr>
      <w:r w:rsidRPr="0098635C">
        <w:rPr>
          <w:color w:val="000000" w:themeColor="text1"/>
          <w:sz w:val="20"/>
          <w:szCs w:val="20"/>
        </w:rPr>
        <w:t>Animal Studies</w:t>
      </w:r>
    </w:p>
    <w:p w14:paraId="5F3DC718" w14:textId="77777777" w:rsidR="008D1AE9" w:rsidRPr="0098635C" w:rsidRDefault="008D1AE9" w:rsidP="008D1AE9">
      <w:pPr>
        <w:pStyle w:val="BodyText"/>
        <w:rPr>
          <w:color w:val="000000" w:themeColor="text1"/>
          <w:sz w:val="20"/>
        </w:rPr>
      </w:pPr>
      <w:r w:rsidRPr="0098635C">
        <w:rPr>
          <w:color w:val="000000" w:themeColor="text1"/>
          <w:sz w:val="20"/>
        </w:rPr>
        <w:t xml:space="preserve">A large number of studies are available which have investigated the effects of repeated exposure in animals. </w:t>
      </w:r>
    </w:p>
    <w:p w14:paraId="600BD9BB" w14:textId="77777777" w:rsidR="008D1AE9" w:rsidRPr="0098635C" w:rsidRDefault="008D1AE9" w:rsidP="008D1AE9">
      <w:pPr>
        <w:pStyle w:val="Heading9"/>
        <w:rPr>
          <w:color w:val="000000" w:themeColor="text1"/>
          <w:sz w:val="20"/>
          <w:szCs w:val="20"/>
          <w:u w:val="single"/>
        </w:rPr>
      </w:pPr>
      <w:r w:rsidRPr="0098635C">
        <w:rPr>
          <w:color w:val="000000" w:themeColor="text1"/>
          <w:sz w:val="20"/>
          <w:szCs w:val="20"/>
          <w:u w:val="single"/>
        </w:rPr>
        <w:t>Inhalation</w:t>
      </w:r>
    </w:p>
    <w:p w14:paraId="41ACB7FF" w14:textId="546A3AF4" w:rsidR="008D1AE9" w:rsidRPr="0098635C" w:rsidRDefault="008D1AE9" w:rsidP="008D1AE9">
      <w:pPr>
        <w:spacing w:before="240"/>
        <w:rPr>
          <w:color w:val="000000" w:themeColor="text1"/>
          <w:sz w:val="20"/>
          <w:szCs w:val="20"/>
        </w:rPr>
      </w:pPr>
      <w:r w:rsidRPr="0098635C">
        <w:rPr>
          <w:color w:val="000000" w:themeColor="text1"/>
          <w:sz w:val="20"/>
          <w:szCs w:val="20"/>
        </w:rPr>
        <w:t>Kirkpatrick (2010) reports a 28 days repeated dose inhalation study on Cu</w:t>
      </w:r>
      <w:r w:rsidRPr="0098635C">
        <w:rPr>
          <w:color w:val="000000" w:themeColor="text1"/>
          <w:sz w:val="20"/>
          <w:szCs w:val="20"/>
          <w:vertAlign w:val="subscript"/>
        </w:rPr>
        <w:t>2</w:t>
      </w:r>
      <w:r w:rsidRPr="0098635C">
        <w:rPr>
          <w:color w:val="000000" w:themeColor="text1"/>
          <w:sz w:val="20"/>
          <w:szCs w:val="20"/>
        </w:rPr>
        <w:t xml:space="preserve">O, carried out according to OECD </w:t>
      </w:r>
      <w:r w:rsidR="00AA0377" w:rsidRPr="0098635C">
        <w:rPr>
          <w:color w:val="000000" w:themeColor="text1"/>
          <w:sz w:val="20"/>
          <w:szCs w:val="20"/>
        </w:rPr>
        <w:t>Guideline</w:t>
      </w:r>
      <w:r w:rsidRPr="0098635C">
        <w:rPr>
          <w:color w:val="000000" w:themeColor="text1"/>
          <w:sz w:val="20"/>
          <w:szCs w:val="20"/>
        </w:rPr>
        <w:t xml:space="preserve"> 412, with the addition of a 13 week recovery period and evaluation of adaptation to the test substance (intermediate time points at 0, 1 and 2 weeks). Further additional study endpoints were measurements of copper levels in lung tissue, lung lavage fluid, liver, brain, as well as wet/dry lung weight ratio and clinical chemistry and cytology of bronchoalveolar lavage fluid of all animals. The additional study endpoints were designed to aid in the interpretation of any test substance effects. </w:t>
      </w:r>
    </w:p>
    <w:p w14:paraId="1A1B7C0B" w14:textId="734E5F58" w:rsidR="008D1AE9" w:rsidRPr="0098635C" w:rsidRDefault="008D1AE9" w:rsidP="00586794">
      <w:pPr>
        <w:pStyle w:val="Caption"/>
        <w:ind w:left="0"/>
        <w:jc w:val="center"/>
        <w:rPr>
          <w:b w:val="0"/>
          <w:color w:val="000000" w:themeColor="text1"/>
          <w:sz w:val="20"/>
          <w:lang w:val="en-GB"/>
        </w:rPr>
      </w:pPr>
      <w:bookmarkStart w:id="1731" w:name="_Ref259458878"/>
      <w:bookmarkStart w:id="1732" w:name="_Toc260063718"/>
      <w:r w:rsidRPr="0098635C">
        <w:rPr>
          <w:b w:val="0"/>
          <w:color w:val="000000" w:themeColor="text1"/>
          <w:sz w:val="20"/>
          <w:lang w:val="en-GB"/>
        </w:rPr>
        <w:t xml:space="preserve">Table </w:t>
      </w:r>
      <w:r w:rsidR="00E230FB" w:rsidRPr="0098635C">
        <w:rPr>
          <w:b w:val="0"/>
          <w:color w:val="000000" w:themeColor="text1"/>
          <w:sz w:val="20"/>
          <w:lang w:val="en-GB"/>
        </w:rPr>
        <w:fldChar w:fldCharType="begin"/>
      </w:r>
      <w:r w:rsidRPr="0098635C">
        <w:rPr>
          <w:b w:val="0"/>
          <w:color w:val="000000" w:themeColor="text1"/>
          <w:sz w:val="20"/>
          <w:lang w:val="en-GB"/>
        </w:rPr>
        <w:instrText xml:space="preserve"> SEQ Table \* ARABIC </w:instrText>
      </w:r>
      <w:r w:rsidR="00E230FB" w:rsidRPr="0098635C">
        <w:rPr>
          <w:b w:val="0"/>
          <w:color w:val="000000" w:themeColor="text1"/>
          <w:sz w:val="20"/>
          <w:lang w:val="en-GB"/>
        </w:rPr>
        <w:fldChar w:fldCharType="separate"/>
      </w:r>
      <w:r w:rsidR="005E5161" w:rsidRPr="0098635C">
        <w:rPr>
          <w:b w:val="0"/>
          <w:noProof/>
          <w:color w:val="000000" w:themeColor="text1"/>
          <w:sz w:val="20"/>
          <w:lang w:val="en-GB"/>
        </w:rPr>
        <w:t>18</w:t>
      </w:r>
      <w:r w:rsidR="00E230FB" w:rsidRPr="0098635C">
        <w:rPr>
          <w:b w:val="0"/>
          <w:color w:val="000000" w:themeColor="text1"/>
          <w:sz w:val="20"/>
          <w:lang w:val="en-GB"/>
        </w:rPr>
        <w:fldChar w:fldCharType="end"/>
      </w:r>
      <w:bookmarkEnd w:id="1731"/>
      <w:r w:rsidRPr="0098635C">
        <w:rPr>
          <w:b w:val="0"/>
          <w:color w:val="000000" w:themeColor="text1"/>
          <w:sz w:val="20"/>
          <w:lang w:val="en-GB"/>
        </w:rPr>
        <w:t>: Studies on repeated dose toxicity after inhalation exposure</w:t>
      </w:r>
      <w:bookmarkEnd w:id="1732"/>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2"/>
        <w:gridCol w:w="1134"/>
        <w:gridCol w:w="1134"/>
        <w:gridCol w:w="1276"/>
        <w:gridCol w:w="2126"/>
        <w:gridCol w:w="2410"/>
      </w:tblGrid>
      <w:tr w:rsidR="008D1AE9" w:rsidRPr="0098635C" w14:paraId="5EA01E41" w14:textId="77777777" w:rsidTr="00AF385A">
        <w:trPr>
          <w:trHeight w:val="576"/>
          <w:tblHeader/>
        </w:trPr>
        <w:tc>
          <w:tcPr>
            <w:tcW w:w="1242" w:type="dxa"/>
            <w:tcMar>
              <w:top w:w="20" w:type="nil"/>
              <w:left w:w="20" w:type="nil"/>
              <w:bottom w:w="20" w:type="nil"/>
              <w:right w:w="20" w:type="nil"/>
            </w:tcMar>
            <w:vAlign w:val="center"/>
          </w:tcPr>
          <w:p w14:paraId="2B7273A3" w14:textId="77777777" w:rsidR="008D1AE9" w:rsidRPr="0098635C" w:rsidRDefault="008D1AE9" w:rsidP="00AF385A">
            <w:pPr>
              <w:pStyle w:val="NoteLevel211"/>
              <w:jc w:val="left"/>
              <w:rPr>
                <w:b/>
                <w:color w:val="000000" w:themeColor="text1"/>
              </w:rPr>
            </w:pPr>
            <w:bookmarkStart w:id="1733" w:name="_Toc472000290"/>
            <w:bookmarkStart w:id="1734" w:name="_Toc472251653"/>
            <w:r w:rsidRPr="0098635C">
              <w:rPr>
                <w:b/>
                <w:color w:val="000000" w:themeColor="text1"/>
              </w:rPr>
              <w:t>Reference</w:t>
            </w:r>
            <w:bookmarkEnd w:id="1733"/>
            <w:bookmarkEnd w:id="1734"/>
          </w:p>
        </w:tc>
        <w:tc>
          <w:tcPr>
            <w:tcW w:w="1134" w:type="dxa"/>
            <w:tcMar>
              <w:top w:w="20" w:type="nil"/>
              <w:left w:w="20" w:type="nil"/>
              <w:bottom w:w="20" w:type="nil"/>
              <w:right w:w="20" w:type="nil"/>
            </w:tcMar>
            <w:vAlign w:val="center"/>
          </w:tcPr>
          <w:p w14:paraId="60CAEC2F" w14:textId="77777777" w:rsidR="008D1AE9" w:rsidRPr="0098635C" w:rsidRDefault="008D1AE9" w:rsidP="00AF385A">
            <w:pPr>
              <w:pStyle w:val="NoteLevel211"/>
              <w:jc w:val="left"/>
              <w:rPr>
                <w:b/>
                <w:color w:val="000000" w:themeColor="text1"/>
              </w:rPr>
            </w:pPr>
            <w:bookmarkStart w:id="1735" w:name="_Toc472000291"/>
            <w:bookmarkStart w:id="1736" w:name="_Toc472251654"/>
            <w:r w:rsidRPr="0098635C">
              <w:rPr>
                <w:b/>
                <w:color w:val="000000" w:themeColor="text1"/>
              </w:rPr>
              <w:t>Substance</w:t>
            </w:r>
            <w:bookmarkEnd w:id="1735"/>
            <w:bookmarkEnd w:id="1736"/>
          </w:p>
        </w:tc>
        <w:tc>
          <w:tcPr>
            <w:tcW w:w="1134" w:type="dxa"/>
            <w:tcMar>
              <w:top w:w="20" w:type="nil"/>
              <w:left w:w="20" w:type="nil"/>
              <w:bottom w:w="20" w:type="nil"/>
              <w:right w:w="20" w:type="nil"/>
            </w:tcMar>
            <w:vAlign w:val="center"/>
          </w:tcPr>
          <w:p w14:paraId="63D3BB36" w14:textId="77777777" w:rsidR="008D1AE9" w:rsidRPr="0098635C" w:rsidRDefault="008D1AE9" w:rsidP="00AF385A">
            <w:pPr>
              <w:pStyle w:val="NoteLevel211"/>
              <w:jc w:val="left"/>
              <w:rPr>
                <w:b/>
                <w:color w:val="000000" w:themeColor="text1"/>
              </w:rPr>
            </w:pPr>
            <w:bookmarkStart w:id="1737" w:name="_Toc472000292"/>
            <w:bookmarkStart w:id="1738" w:name="_Toc472251655"/>
            <w:r w:rsidRPr="0098635C">
              <w:rPr>
                <w:b/>
                <w:color w:val="000000" w:themeColor="text1"/>
              </w:rPr>
              <w:t>Method</w:t>
            </w:r>
            <w:bookmarkEnd w:id="1737"/>
            <w:bookmarkEnd w:id="1738"/>
          </w:p>
        </w:tc>
        <w:tc>
          <w:tcPr>
            <w:tcW w:w="1276" w:type="dxa"/>
            <w:vAlign w:val="center"/>
          </w:tcPr>
          <w:p w14:paraId="4CC1F549" w14:textId="77777777" w:rsidR="008D1AE9" w:rsidRPr="0098635C" w:rsidRDefault="008D1AE9" w:rsidP="00AF385A">
            <w:pPr>
              <w:pStyle w:val="NoteLevel211"/>
              <w:jc w:val="left"/>
              <w:rPr>
                <w:b/>
                <w:color w:val="000000" w:themeColor="text1"/>
              </w:rPr>
            </w:pPr>
            <w:bookmarkStart w:id="1739" w:name="_Toc472000293"/>
            <w:bookmarkStart w:id="1740" w:name="_Toc472251656"/>
            <w:r w:rsidRPr="0098635C">
              <w:rPr>
                <w:b/>
                <w:color w:val="000000" w:themeColor="text1"/>
              </w:rPr>
              <w:t>Test animals</w:t>
            </w:r>
            <w:bookmarkEnd w:id="1739"/>
            <w:bookmarkEnd w:id="1740"/>
          </w:p>
        </w:tc>
        <w:tc>
          <w:tcPr>
            <w:tcW w:w="2126" w:type="dxa"/>
            <w:vAlign w:val="center"/>
          </w:tcPr>
          <w:p w14:paraId="47EBD639" w14:textId="77777777" w:rsidR="008D1AE9" w:rsidRPr="0098635C" w:rsidRDefault="008D1AE9" w:rsidP="00AF385A">
            <w:pPr>
              <w:pStyle w:val="NoteLevel211"/>
              <w:rPr>
                <w:b/>
                <w:color w:val="000000" w:themeColor="text1"/>
              </w:rPr>
            </w:pPr>
            <w:bookmarkStart w:id="1741" w:name="_Toc472000294"/>
            <w:bookmarkStart w:id="1742" w:name="_Toc472251657"/>
            <w:r w:rsidRPr="0098635C">
              <w:rPr>
                <w:b/>
                <w:color w:val="000000" w:themeColor="text1"/>
              </w:rPr>
              <w:t>Dose levels</w:t>
            </w:r>
            <w:bookmarkEnd w:id="1741"/>
            <w:bookmarkEnd w:id="1742"/>
          </w:p>
        </w:tc>
        <w:tc>
          <w:tcPr>
            <w:tcW w:w="2410" w:type="dxa"/>
            <w:tcMar>
              <w:top w:w="20" w:type="nil"/>
              <w:left w:w="20" w:type="nil"/>
              <w:bottom w:w="20" w:type="nil"/>
              <w:right w:w="20" w:type="nil"/>
            </w:tcMar>
            <w:vAlign w:val="center"/>
          </w:tcPr>
          <w:p w14:paraId="3D862758" w14:textId="77777777" w:rsidR="008D1AE9" w:rsidRPr="0098635C" w:rsidRDefault="008D1AE9" w:rsidP="00AF385A">
            <w:pPr>
              <w:pStyle w:val="NoteLevel211"/>
              <w:rPr>
                <w:b/>
                <w:color w:val="000000" w:themeColor="text1"/>
              </w:rPr>
            </w:pPr>
            <w:bookmarkStart w:id="1743" w:name="_Toc472000295"/>
            <w:bookmarkStart w:id="1744" w:name="_Toc472251658"/>
            <w:r w:rsidRPr="0098635C">
              <w:rPr>
                <w:b/>
                <w:color w:val="000000" w:themeColor="text1"/>
              </w:rPr>
              <w:t>Results</w:t>
            </w:r>
            <w:bookmarkEnd w:id="1743"/>
            <w:bookmarkEnd w:id="1744"/>
          </w:p>
        </w:tc>
      </w:tr>
      <w:tr w:rsidR="008D1AE9" w:rsidRPr="0098635C" w14:paraId="04EEF177" w14:textId="77777777" w:rsidTr="00AF385A">
        <w:tc>
          <w:tcPr>
            <w:tcW w:w="1242" w:type="dxa"/>
            <w:tcMar>
              <w:top w:w="20" w:type="nil"/>
              <w:left w:w="20" w:type="nil"/>
              <w:bottom w:w="20" w:type="nil"/>
              <w:right w:w="20" w:type="nil"/>
            </w:tcMar>
          </w:tcPr>
          <w:p w14:paraId="3FB581CC" w14:textId="77777777" w:rsidR="008D1AE9" w:rsidRPr="0098635C" w:rsidRDefault="008D1AE9" w:rsidP="00AF385A">
            <w:pPr>
              <w:pStyle w:val="NoteLevel211"/>
              <w:jc w:val="left"/>
              <w:rPr>
                <w:color w:val="000000" w:themeColor="text1"/>
              </w:rPr>
            </w:pPr>
            <w:bookmarkStart w:id="1745" w:name="_Toc472000296"/>
            <w:bookmarkStart w:id="1746" w:name="_Toc472251659"/>
            <w:r w:rsidRPr="0098635C">
              <w:rPr>
                <w:color w:val="000000" w:themeColor="text1"/>
              </w:rPr>
              <w:t>Kirkpatrick D (2010)</w:t>
            </w:r>
            <w:bookmarkEnd w:id="1745"/>
            <w:bookmarkEnd w:id="1746"/>
          </w:p>
        </w:tc>
        <w:tc>
          <w:tcPr>
            <w:tcW w:w="1134" w:type="dxa"/>
            <w:tcMar>
              <w:top w:w="20" w:type="nil"/>
              <w:left w:w="20" w:type="nil"/>
              <w:bottom w:w="20" w:type="nil"/>
              <w:right w:w="20" w:type="nil"/>
            </w:tcMar>
          </w:tcPr>
          <w:p w14:paraId="31415550" w14:textId="77777777" w:rsidR="008D1AE9" w:rsidRPr="0098635C" w:rsidRDefault="008D1AE9" w:rsidP="00AF385A">
            <w:pPr>
              <w:pStyle w:val="NoteLevel211"/>
              <w:jc w:val="left"/>
              <w:rPr>
                <w:color w:val="000000" w:themeColor="text1"/>
              </w:rPr>
            </w:pPr>
            <w:bookmarkStart w:id="1747" w:name="_Toc472000297"/>
            <w:bookmarkStart w:id="1748" w:name="_Toc472251660"/>
            <w:r w:rsidRPr="0098635C">
              <w:rPr>
                <w:color w:val="000000" w:themeColor="text1"/>
              </w:rPr>
              <w:t>Cu</w:t>
            </w:r>
            <w:r w:rsidRPr="0098635C">
              <w:rPr>
                <w:color w:val="000000" w:themeColor="text1"/>
                <w:vertAlign w:val="superscript"/>
              </w:rPr>
              <w:t xml:space="preserve">2+ </w:t>
            </w:r>
            <w:r w:rsidRPr="0098635C">
              <w:rPr>
                <w:color w:val="000000" w:themeColor="text1"/>
              </w:rPr>
              <w:t>as cuprous oxide</w:t>
            </w:r>
            <w:bookmarkEnd w:id="1747"/>
            <w:bookmarkEnd w:id="1748"/>
          </w:p>
        </w:tc>
        <w:tc>
          <w:tcPr>
            <w:tcW w:w="1134" w:type="dxa"/>
            <w:tcMar>
              <w:top w:w="20" w:type="nil"/>
              <w:left w:w="20" w:type="nil"/>
              <w:bottom w:w="20" w:type="nil"/>
              <w:right w:w="20" w:type="nil"/>
            </w:tcMar>
          </w:tcPr>
          <w:p w14:paraId="3272AE9D" w14:textId="77777777" w:rsidR="008D1AE9" w:rsidRPr="0098635C" w:rsidRDefault="008D1AE9" w:rsidP="00AF385A">
            <w:pPr>
              <w:pStyle w:val="NoteLevel211"/>
              <w:jc w:val="left"/>
              <w:rPr>
                <w:color w:val="000000" w:themeColor="text1"/>
              </w:rPr>
            </w:pPr>
            <w:bookmarkStart w:id="1749" w:name="_Toc472000298"/>
            <w:bookmarkStart w:id="1750" w:name="_Toc472251661"/>
            <w:r w:rsidRPr="0098635C">
              <w:rPr>
                <w:color w:val="000000" w:themeColor="text1"/>
              </w:rPr>
              <w:t>OECD 412</w:t>
            </w:r>
            <w:bookmarkEnd w:id="1749"/>
            <w:bookmarkEnd w:id="1750"/>
          </w:p>
          <w:p w14:paraId="74A17AA0" w14:textId="4345C488" w:rsidR="008D1AE9" w:rsidRPr="0098635C" w:rsidRDefault="008D1AE9" w:rsidP="00AF385A">
            <w:pPr>
              <w:pStyle w:val="NoteLevel211"/>
              <w:jc w:val="left"/>
              <w:rPr>
                <w:color w:val="000000" w:themeColor="text1"/>
              </w:rPr>
            </w:pPr>
            <w:bookmarkStart w:id="1751" w:name="_Toc472000299"/>
            <w:bookmarkStart w:id="1752" w:name="_Toc472251662"/>
            <w:r w:rsidRPr="0098635C">
              <w:rPr>
                <w:color w:val="000000" w:themeColor="text1"/>
              </w:rPr>
              <w:t xml:space="preserve">- subactute </w:t>
            </w:r>
            <w:r w:rsidR="00214E8E" w:rsidRPr="0098635C">
              <w:rPr>
                <w:color w:val="000000" w:themeColor="text1"/>
              </w:rPr>
              <w:t xml:space="preserve">whole </w:t>
            </w:r>
            <w:r w:rsidR="00214E8E" w:rsidRPr="0098635C">
              <w:rPr>
                <w:color w:val="000000" w:themeColor="text1"/>
              </w:rPr>
              <w:lastRenderedPageBreak/>
              <w:t xml:space="preserve">body </w:t>
            </w:r>
            <w:r w:rsidRPr="0098635C">
              <w:rPr>
                <w:color w:val="000000" w:themeColor="text1"/>
              </w:rPr>
              <w:t>inhalation</w:t>
            </w:r>
            <w:bookmarkEnd w:id="1751"/>
            <w:bookmarkEnd w:id="1752"/>
          </w:p>
          <w:p w14:paraId="71EA31CD" w14:textId="77777777" w:rsidR="008D1AE9" w:rsidRPr="0098635C" w:rsidRDefault="008D1AE9" w:rsidP="00AF385A">
            <w:pPr>
              <w:pStyle w:val="NoteLevel211"/>
              <w:jc w:val="left"/>
              <w:rPr>
                <w:color w:val="000000" w:themeColor="text1"/>
              </w:rPr>
            </w:pPr>
            <w:bookmarkStart w:id="1753" w:name="_Toc472000300"/>
            <w:bookmarkStart w:id="1754" w:name="_Toc472251663"/>
            <w:r w:rsidRPr="0098635C">
              <w:rPr>
                <w:color w:val="000000" w:themeColor="text1"/>
              </w:rPr>
              <w:t>vehicle: air</w:t>
            </w:r>
            <w:bookmarkEnd w:id="1753"/>
            <w:bookmarkEnd w:id="1754"/>
          </w:p>
        </w:tc>
        <w:tc>
          <w:tcPr>
            <w:tcW w:w="1276" w:type="dxa"/>
          </w:tcPr>
          <w:p w14:paraId="4085720B" w14:textId="41294307" w:rsidR="00214E8E" w:rsidRPr="0098635C" w:rsidRDefault="008D1AE9" w:rsidP="00AA0377">
            <w:pPr>
              <w:pStyle w:val="NoteLevel211"/>
              <w:jc w:val="left"/>
              <w:rPr>
                <w:color w:val="000000" w:themeColor="text1"/>
              </w:rPr>
            </w:pPr>
            <w:bookmarkStart w:id="1755" w:name="_Toc472000301"/>
            <w:bookmarkStart w:id="1756" w:name="_Toc472251664"/>
            <w:r w:rsidRPr="0098635C">
              <w:rPr>
                <w:color w:val="000000" w:themeColor="text1"/>
              </w:rPr>
              <w:lastRenderedPageBreak/>
              <w:t xml:space="preserve">Rat, Sprague-Dawley, </w:t>
            </w:r>
            <w:bookmarkEnd w:id="1755"/>
            <w:bookmarkEnd w:id="1756"/>
          </w:p>
        </w:tc>
        <w:tc>
          <w:tcPr>
            <w:tcW w:w="2126" w:type="dxa"/>
          </w:tcPr>
          <w:p w14:paraId="2DF7B3E7" w14:textId="77777777" w:rsidR="008D1AE9" w:rsidRPr="0098635C" w:rsidRDefault="008D1AE9" w:rsidP="00AF385A">
            <w:pPr>
              <w:pStyle w:val="NoteLevel211"/>
              <w:rPr>
                <w:color w:val="000000" w:themeColor="text1"/>
              </w:rPr>
            </w:pPr>
            <w:bookmarkStart w:id="1757" w:name="_Toc472000302"/>
            <w:bookmarkStart w:id="1758" w:name="_Toc472251665"/>
            <w:r w:rsidRPr="0098635C">
              <w:rPr>
                <w:color w:val="000000" w:themeColor="text1"/>
              </w:rPr>
              <w:t>0.2, 0.4, 0.8 and 2.0 mg</w:t>
            </w:r>
            <w:r w:rsidR="00610089" w:rsidRPr="0098635C">
              <w:rPr>
                <w:color w:val="000000" w:themeColor="text1"/>
              </w:rPr>
              <w:t xml:space="preserve"> Cu</w:t>
            </w:r>
            <w:r w:rsidR="00610089" w:rsidRPr="0098635C">
              <w:rPr>
                <w:color w:val="000000" w:themeColor="text1"/>
                <w:vertAlign w:val="subscript"/>
              </w:rPr>
              <w:t>2</w:t>
            </w:r>
            <w:r w:rsidR="00610089" w:rsidRPr="0098635C">
              <w:rPr>
                <w:color w:val="000000" w:themeColor="text1"/>
              </w:rPr>
              <w:t>O</w:t>
            </w:r>
            <w:r w:rsidRPr="0098635C">
              <w:rPr>
                <w:color w:val="000000" w:themeColor="text1"/>
              </w:rPr>
              <w:t>/m</w:t>
            </w:r>
            <w:r w:rsidRPr="0098635C">
              <w:rPr>
                <w:color w:val="000000" w:themeColor="text1"/>
                <w:vertAlign w:val="superscript"/>
              </w:rPr>
              <w:t>3</w:t>
            </w:r>
            <w:r w:rsidRPr="0098635C">
              <w:rPr>
                <w:color w:val="000000" w:themeColor="text1"/>
              </w:rPr>
              <w:t xml:space="preserve"> (nominal conc)</w:t>
            </w:r>
            <w:bookmarkEnd w:id="1757"/>
            <w:bookmarkEnd w:id="1758"/>
          </w:p>
          <w:p w14:paraId="5A74F17A" w14:textId="56934037" w:rsidR="00610089" w:rsidRPr="0098635C" w:rsidRDefault="00610089" w:rsidP="00610089">
            <w:pPr>
              <w:pStyle w:val="NoteLevel211"/>
              <w:rPr>
                <w:color w:val="000000" w:themeColor="text1"/>
              </w:rPr>
            </w:pPr>
            <w:bookmarkStart w:id="1759" w:name="_Toc472000303"/>
            <w:bookmarkStart w:id="1760" w:name="_Toc472251666"/>
            <w:r w:rsidRPr="0098635C">
              <w:rPr>
                <w:color w:val="000000" w:themeColor="text1"/>
              </w:rPr>
              <w:lastRenderedPageBreak/>
              <w:t>0.18, 0.36, 0.71 and 1.8 mg Cu/m</w:t>
            </w:r>
            <w:r w:rsidRPr="0098635C">
              <w:rPr>
                <w:color w:val="000000" w:themeColor="text1"/>
                <w:vertAlign w:val="superscript"/>
              </w:rPr>
              <w:t>3</w:t>
            </w:r>
            <w:r w:rsidRPr="0098635C">
              <w:rPr>
                <w:color w:val="000000" w:themeColor="text1"/>
              </w:rPr>
              <w:t xml:space="preserve"> (nominal conc)</w:t>
            </w:r>
            <w:bookmarkEnd w:id="1759"/>
            <w:bookmarkEnd w:id="1760"/>
          </w:p>
        </w:tc>
        <w:tc>
          <w:tcPr>
            <w:tcW w:w="2410" w:type="dxa"/>
            <w:tcMar>
              <w:top w:w="20" w:type="nil"/>
              <w:left w:w="20" w:type="nil"/>
              <w:bottom w:w="20" w:type="nil"/>
              <w:right w:w="20" w:type="nil"/>
            </w:tcMar>
          </w:tcPr>
          <w:p w14:paraId="5360BB39" w14:textId="731458A0" w:rsidR="008D1AE9" w:rsidRPr="0098635C" w:rsidRDefault="008D1AE9" w:rsidP="00AF385A">
            <w:pPr>
              <w:pStyle w:val="NoteLevel211"/>
              <w:rPr>
                <w:color w:val="000000" w:themeColor="text1"/>
              </w:rPr>
            </w:pPr>
            <w:bookmarkStart w:id="1761" w:name="_Toc472000304"/>
            <w:bookmarkStart w:id="1762" w:name="_Toc472251667"/>
            <w:r w:rsidRPr="0098635C">
              <w:rPr>
                <w:color w:val="000000" w:themeColor="text1"/>
              </w:rPr>
              <w:lastRenderedPageBreak/>
              <w:t xml:space="preserve">NOAEL: </w:t>
            </w:r>
            <w:r w:rsidRPr="0098635C">
              <w:rPr>
                <w:rStyle w:val="st"/>
                <w:color w:val="000000" w:themeColor="text1"/>
              </w:rPr>
              <w:t>≥</w:t>
            </w:r>
            <w:r w:rsidRPr="0098635C">
              <w:rPr>
                <w:color w:val="000000" w:themeColor="text1"/>
              </w:rPr>
              <w:t xml:space="preserve"> 2 mg</w:t>
            </w:r>
            <w:r w:rsidR="00610089" w:rsidRPr="0098635C">
              <w:rPr>
                <w:color w:val="000000" w:themeColor="text1"/>
              </w:rPr>
              <w:t>Cu</w:t>
            </w:r>
            <w:r w:rsidR="00610089" w:rsidRPr="0098635C">
              <w:rPr>
                <w:color w:val="000000" w:themeColor="text1"/>
                <w:vertAlign w:val="subscript"/>
              </w:rPr>
              <w:t>2</w:t>
            </w:r>
            <w:r w:rsidR="00610089" w:rsidRPr="0098635C">
              <w:rPr>
                <w:color w:val="000000" w:themeColor="text1"/>
              </w:rPr>
              <w:t>O/</w:t>
            </w:r>
            <w:r w:rsidR="00610089" w:rsidRPr="0098635C" w:rsidDel="00622F60">
              <w:rPr>
                <w:color w:val="000000" w:themeColor="text1"/>
              </w:rPr>
              <w:t xml:space="preserve"> </w:t>
            </w:r>
            <w:r w:rsidR="00622F60" w:rsidRPr="0098635C">
              <w:rPr>
                <w:color w:val="000000" w:themeColor="text1"/>
              </w:rPr>
              <w:t>m</w:t>
            </w:r>
            <w:r w:rsidR="00622F60" w:rsidRPr="0098635C">
              <w:rPr>
                <w:color w:val="000000" w:themeColor="text1"/>
                <w:vertAlign w:val="superscript"/>
              </w:rPr>
              <w:t>3</w:t>
            </w:r>
            <w:r w:rsidR="00622F60" w:rsidRPr="0098635C">
              <w:rPr>
                <w:color w:val="000000" w:themeColor="text1"/>
              </w:rPr>
              <w:t xml:space="preserve"> </w:t>
            </w:r>
            <w:r w:rsidRPr="0098635C">
              <w:rPr>
                <w:color w:val="000000" w:themeColor="text1"/>
              </w:rPr>
              <w:t>air (m/f)</w:t>
            </w:r>
            <w:r w:rsidR="00610089" w:rsidRPr="0098635C">
              <w:rPr>
                <w:color w:val="000000" w:themeColor="text1"/>
              </w:rPr>
              <w:t xml:space="preserve"> ; 1.8 mg Cu</w:t>
            </w:r>
            <w:r w:rsidR="00610089" w:rsidRPr="0098635C" w:rsidDel="00622F60">
              <w:rPr>
                <w:color w:val="000000" w:themeColor="text1"/>
              </w:rPr>
              <w:t xml:space="preserve"> </w:t>
            </w:r>
            <w:r w:rsidR="00610089" w:rsidRPr="0098635C">
              <w:rPr>
                <w:color w:val="000000" w:themeColor="text1"/>
              </w:rPr>
              <w:t>/m</w:t>
            </w:r>
            <w:r w:rsidR="00610089" w:rsidRPr="0098635C">
              <w:rPr>
                <w:color w:val="000000" w:themeColor="text1"/>
                <w:vertAlign w:val="superscript"/>
              </w:rPr>
              <w:t>3</w:t>
            </w:r>
            <w:r w:rsidR="00610089" w:rsidRPr="0098635C">
              <w:rPr>
                <w:color w:val="000000" w:themeColor="text1"/>
              </w:rPr>
              <w:t xml:space="preserve"> air (m/f)</w:t>
            </w:r>
            <w:bookmarkEnd w:id="1761"/>
            <w:bookmarkEnd w:id="1762"/>
          </w:p>
          <w:p w14:paraId="40FB54BF" w14:textId="50C649E5" w:rsidR="008D1AE9" w:rsidRPr="0098635C" w:rsidRDefault="008D1AE9" w:rsidP="00AF385A">
            <w:pPr>
              <w:pStyle w:val="NoteLevel211"/>
              <w:rPr>
                <w:color w:val="000000" w:themeColor="text1"/>
              </w:rPr>
            </w:pPr>
            <w:bookmarkStart w:id="1763" w:name="_Toc472000305"/>
            <w:bookmarkStart w:id="1764" w:name="_Toc472251668"/>
            <w:r w:rsidRPr="0098635C">
              <w:rPr>
                <w:color w:val="000000" w:themeColor="text1"/>
              </w:rPr>
              <w:lastRenderedPageBreak/>
              <w:t>LOEL: 0.2 mg</w:t>
            </w:r>
            <w:r w:rsidR="00610089" w:rsidRPr="0098635C">
              <w:rPr>
                <w:color w:val="000000" w:themeColor="text1"/>
              </w:rPr>
              <w:t xml:space="preserve"> Cu</w:t>
            </w:r>
            <w:r w:rsidR="00610089" w:rsidRPr="0098635C">
              <w:rPr>
                <w:color w:val="000000" w:themeColor="text1"/>
                <w:vertAlign w:val="subscript"/>
              </w:rPr>
              <w:t>2</w:t>
            </w:r>
            <w:r w:rsidR="00610089" w:rsidRPr="0098635C">
              <w:rPr>
                <w:color w:val="000000" w:themeColor="text1"/>
              </w:rPr>
              <w:t xml:space="preserve">O </w:t>
            </w:r>
            <w:r w:rsidRPr="0098635C">
              <w:rPr>
                <w:color w:val="000000" w:themeColor="text1"/>
              </w:rPr>
              <w:t>/</w:t>
            </w:r>
            <w:r w:rsidR="00622F60" w:rsidRPr="0098635C">
              <w:rPr>
                <w:color w:val="000000" w:themeColor="text1"/>
              </w:rPr>
              <w:t>m</w:t>
            </w:r>
            <w:r w:rsidR="00622F60" w:rsidRPr="0098635C">
              <w:rPr>
                <w:color w:val="000000" w:themeColor="text1"/>
                <w:vertAlign w:val="superscript"/>
              </w:rPr>
              <w:t>3</w:t>
            </w:r>
            <w:r w:rsidRPr="0098635C">
              <w:rPr>
                <w:color w:val="000000" w:themeColor="text1"/>
              </w:rPr>
              <w:t xml:space="preserve"> air (m/f)</w:t>
            </w:r>
            <w:r w:rsidR="00610089" w:rsidRPr="0098635C">
              <w:rPr>
                <w:color w:val="000000" w:themeColor="text1"/>
              </w:rPr>
              <w:t>; 0.18 mg/m</w:t>
            </w:r>
            <w:r w:rsidR="00610089" w:rsidRPr="0098635C">
              <w:rPr>
                <w:color w:val="000000" w:themeColor="text1"/>
                <w:vertAlign w:val="superscript"/>
              </w:rPr>
              <w:t>3</w:t>
            </w:r>
            <w:r w:rsidR="00610089" w:rsidRPr="0098635C">
              <w:rPr>
                <w:color w:val="000000" w:themeColor="text1"/>
              </w:rPr>
              <w:t xml:space="preserve"> air (m/f)</w:t>
            </w:r>
            <w:bookmarkEnd w:id="1763"/>
            <w:bookmarkEnd w:id="1764"/>
          </w:p>
        </w:tc>
      </w:tr>
    </w:tbl>
    <w:p w14:paraId="3AEBCBC0" w14:textId="77777777" w:rsidR="00B4163E" w:rsidRPr="0098635C" w:rsidRDefault="00B4163E" w:rsidP="008D1AE9">
      <w:pPr>
        <w:rPr>
          <w:color w:val="000000" w:themeColor="text1"/>
          <w:sz w:val="20"/>
          <w:szCs w:val="20"/>
        </w:rPr>
      </w:pPr>
    </w:p>
    <w:p w14:paraId="5DB2200B" w14:textId="64D535FF" w:rsidR="008D1AE9" w:rsidRPr="0098635C" w:rsidRDefault="008D1AE9" w:rsidP="008D1AE9">
      <w:pPr>
        <w:rPr>
          <w:rFonts w:ascii="Times" w:hAnsi="Times" w:cs="Times"/>
          <w:color w:val="000000" w:themeColor="text1"/>
          <w:sz w:val="20"/>
          <w:szCs w:val="20"/>
        </w:rPr>
      </w:pPr>
      <w:r w:rsidRPr="0098635C">
        <w:rPr>
          <w:color w:val="000000" w:themeColor="text1"/>
          <w:sz w:val="20"/>
          <w:szCs w:val="20"/>
        </w:rPr>
        <w:t>There were no histopathological findings in the lung (e.g. no tissue damage). The occurrence of increased collagen levels in high dose animals (an indication of fibrosis) was defined as not toxicologically relevant, as there was minimal and occasionally mild staining also in the control groups. Re-examination for a qualitative histopathological peer-review by German pathologists (Or. Ernst and Or. Rittinghausen, Fraunhofer Institute and Böttner, Histovia</w:t>
      </w:r>
      <w:r w:rsidR="00E64FDF" w:rsidRPr="0098635C">
        <w:rPr>
          <w:color w:val="000000" w:themeColor="text1"/>
          <w:sz w:val="20"/>
          <w:szCs w:val="20"/>
        </w:rPr>
        <w:t xml:space="preserve"> 2010</w:t>
      </w:r>
      <w:r w:rsidRPr="0098635C">
        <w:rPr>
          <w:color w:val="000000" w:themeColor="text1"/>
          <w:sz w:val="20"/>
          <w:szCs w:val="20"/>
        </w:rPr>
        <w:t>) led to the conclusion that the effects on increased collagen formation were "very slight" (Fraunhofer) and "mild to moderate" (Histovia) in the high dose animals, with full reversal of the findings after the recovery period. Only the Histovia report concluded that these findings were statistically significant. Computerized analysis confirmed that there is no significant effect on collagen content of the lung.</w:t>
      </w:r>
    </w:p>
    <w:p w14:paraId="0DAE4DE7" w14:textId="3E8B8544" w:rsidR="008D1AE9" w:rsidRPr="0098635C" w:rsidRDefault="008D1AE9" w:rsidP="00926614">
      <w:pPr>
        <w:keepNext/>
        <w:keepLines/>
        <w:rPr>
          <w:rFonts w:ascii="Times" w:hAnsi="Times" w:cs="Times"/>
          <w:bCs/>
          <w:color w:val="000000" w:themeColor="text1"/>
          <w:sz w:val="20"/>
          <w:szCs w:val="20"/>
        </w:rPr>
      </w:pPr>
      <w:r w:rsidRPr="0098635C">
        <w:rPr>
          <w:color w:val="000000" w:themeColor="text1"/>
          <w:sz w:val="20"/>
          <w:szCs w:val="20"/>
        </w:rPr>
        <w:t xml:space="preserve">In this study there was also no indication of persistent, chronic inflammation. The pattern of responses in the lung and lung-draining lymph nodes in this study following </w:t>
      </w:r>
      <w:r w:rsidR="005653EE" w:rsidRPr="0098635C">
        <w:rPr>
          <w:color w:val="000000" w:themeColor="text1"/>
          <w:sz w:val="20"/>
          <w:szCs w:val="20"/>
        </w:rPr>
        <w:t>copper (I) oxide</w:t>
      </w:r>
      <w:r w:rsidRPr="0098635C">
        <w:rPr>
          <w:color w:val="000000" w:themeColor="text1"/>
          <w:sz w:val="20"/>
          <w:szCs w:val="20"/>
        </w:rPr>
        <w:t xml:space="preserve"> exposure is typical for inhalation exposure to aerosol particles in general (i.e., no substance-specific response). An effect on neutrophil numbers (blood or BALF) was noted in all exposure levels, but the observed increase in numbers in the absence of an immunotoxic endpoint or evidence of injury to lung epithelium, is not necessarily adverse. Neutrophils are highly motile and attracted by various factors, including the presence of macrophages, and have a number of mechanisms to defend the host, such as phagocytosis, release of granule proteins, or "respiratory burst". </w:t>
      </w:r>
      <w:r w:rsidRPr="0098635C">
        <w:rPr>
          <w:rFonts w:ascii="Times" w:hAnsi="Times" w:cs="Times"/>
          <w:bCs/>
          <w:color w:val="000000" w:themeColor="text1"/>
          <w:sz w:val="20"/>
          <w:szCs w:val="20"/>
        </w:rPr>
        <w:t>It is therefore concluded that the overall NOAEL for this study is &gt;2 mg</w:t>
      </w:r>
      <w:r w:rsidR="00960D66" w:rsidRPr="0098635C">
        <w:rPr>
          <w:rFonts w:ascii="Times" w:hAnsi="Times" w:cs="Times"/>
          <w:bCs/>
          <w:color w:val="000000" w:themeColor="text1"/>
          <w:sz w:val="20"/>
          <w:szCs w:val="20"/>
        </w:rPr>
        <w:t xml:space="preserve"> Cu</w:t>
      </w:r>
      <w:r w:rsidR="00960D66" w:rsidRPr="0098635C">
        <w:rPr>
          <w:rFonts w:ascii="Times" w:hAnsi="Times" w:cs="Times"/>
          <w:bCs/>
          <w:color w:val="000000" w:themeColor="text1"/>
          <w:sz w:val="20"/>
          <w:szCs w:val="20"/>
          <w:vertAlign w:val="subscript"/>
        </w:rPr>
        <w:t>2</w:t>
      </w:r>
      <w:r w:rsidR="00960D66" w:rsidRPr="0098635C">
        <w:rPr>
          <w:rFonts w:ascii="Times" w:hAnsi="Times" w:cs="Times"/>
          <w:bCs/>
          <w:color w:val="000000" w:themeColor="text1"/>
          <w:sz w:val="20"/>
          <w:szCs w:val="20"/>
        </w:rPr>
        <w:t>O</w:t>
      </w:r>
      <w:r w:rsidRPr="0098635C">
        <w:rPr>
          <w:rFonts w:ascii="Times" w:hAnsi="Times" w:cs="Times"/>
          <w:bCs/>
          <w:color w:val="000000" w:themeColor="text1"/>
          <w:sz w:val="20"/>
          <w:szCs w:val="20"/>
        </w:rPr>
        <w:t>/m</w:t>
      </w:r>
      <w:r w:rsidRPr="0098635C">
        <w:rPr>
          <w:rFonts w:ascii="Times" w:hAnsi="Times" w:cs="Times"/>
          <w:bCs/>
          <w:color w:val="000000" w:themeColor="text1"/>
          <w:sz w:val="20"/>
          <w:szCs w:val="20"/>
          <w:vertAlign w:val="superscript"/>
        </w:rPr>
        <w:t>3</w:t>
      </w:r>
      <w:r w:rsidR="00960D66" w:rsidRPr="0098635C">
        <w:rPr>
          <w:rFonts w:ascii="Times" w:hAnsi="Times" w:cs="Times"/>
          <w:bCs/>
          <w:color w:val="000000" w:themeColor="text1"/>
          <w:sz w:val="20"/>
          <w:szCs w:val="20"/>
        </w:rPr>
        <w:t xml:space="preserve"> (&gt;1.8 mg Cu/m</w:t>
      </w:r>
      <w:r w:rsidR="00960D66" w:rsidRPr="0098635C">
        <w:rPr>
          <w:rFonts w:ascii="Times" w:hAnsi="Times" w:cs="Times"/>
          <w:bCs/>
          <w:color w:val="000000" w:themeColor="text1"/>
          <w:sz w:val="20"/>
          <w:szCs w:val="20"/>
          <w:vertAlign w:val="superscript"/>
        </w:rPr>
        <w:t>3</w:t>
      </w:r>
      <w:r w:rsidR="00960D66" w:rsidRPr="0098635C">
        <w:rPr>
          <w:rFonts w:ascii="Times" w:hAnsi="Times" w:cs="Times"/>
          <w:bCs/>
          <w:color w:val="000000" w:themeColor="text1"/>
          <w:sz w:val="20"/>
          <w:szCs w:val="20"/>
        </w:rPr>
        <w:t xml:space="preserve">). </w:t>
      </w:r>
      <w:r w:rsidRPr="0098635C">
        <w:rPr>
          <w:rFonts w:ascii="Times" w:hAnsi="Times" w:cs="Times"/>
          <w:bCs/>
          <w:color w:val="000000" w:themeColor="text1"/>
          <w:sz w:val="20"/>
          <w:szCs w:val="20"/>
        </w:rPr>
        <w:t>No serious adverse effects were observed at the maximum tested concentration (2 m</w:t>
      </w:r>
      <w:r w:rsidR="00960D66" w:rsidRPr="0098635C">
        <w:rPr>
          <w:rFonts w:ascii="Times" w:hAnsi="Times" w:cs="Times"/>
          <w:bCs/>
          <w:color w:val="000000" w:themeColor="text1"/>
          <w:sz w:val="20"/>
          <w:szCs w:val="20"/>
        </w:rPr>
        <w:t xml:space="preserve"> Cu</w:t>
      </w:r>
      <w:r w:rsidR="00960D66" w:rsidRPr="0098635C">
        <w:rPr>
          <w:rFonts w:ascii="Times" w:hAnsi="Times" w:cs="Times"/>
          <w:bCs/>
          <w:color w:val="000000" w:themeColor="text1"/>
          <w:sz w:val="20"/>
          <w:szCs w:val="20"/>
          <w:vertAlign w:val="subscript"/>
        </w:rPr>
        <w:t>2</w:t>
      </w:r>
      <w:r w:rsidR="00960D66" w:rsidRPr="0098635C">
        <w:rPr>
          <w:rFonts w:ascii="Times" w:hAnsi="Times" w:cs="Times"/>
          <w:bCs/>
          <w:color w:val="000000" w:themeColor="text1"/>
          <w:sz w:val="20"/>
          <w:szCs w:val="20"/>
        </w:rPr>
        <w:t>O</w:t>
      </w:r>
      <w:r w:rsidRPr="0098635C">
        <w:rPr>
          <w:rFonts w:ascii="Times" w:hAnsi="Times" w:cs="Times"/>
          <w:bCs/>
          <w:color w:val="000000" w:themeColor="text1"/>
          <w:sz w:val="20"/>
          <w:szCs w:val="20"/>
        </w:rPr>
        <w:t>/m</w:t>
      </w:r>
      <w:r w:rsidRPr="0098635C">
        <w:rPr>
          <w:rFonts w:ascii="Times" w:hAnsi="Times" w:cs="Times"/>
          <w:bCs/>
          <w:color w:val="000000" w:themeColor="text1"/>
          <w:sz w:val="20"/>
          <w:szCs w:val="20"/>
          <w:vertAlign w:val="superscript"/>
        </w:rPr>
        <w:t>3</w:t>
      </w:r>
      <w:r w:rsidR="00960D66" w:rsidRPr="0098635C">
        <w:rPr>
          <w:rFonts w:ascii="Times" w:hAnsi="Times" w:cs="Times"/>
          <w:bCs/>
          <w:color w:val="000000" w:themeColor="text1"/>
          <w:sz w:val="20"/>
          <w:szCs w:val="20"/>
        </w:rPr>
        <w:t xml:space="preserve"> or &gt;1.8 mg Cu/m</w:t>
      </w:r>
      <w:r w:rsidR="00960D66" w:rsidRPr="0098635C">
        <w:rPr>
          <w:rFonts w:ascii="Times" w:hAnsi="Times" w:cs="Times"/>
          <w:bCs/>
          <w:color w:val="000000" w:themeColor="text1"/>
          <w:sz w:val="20"/>
          <w:szCs w:val="20"/>
          <w:vertAlign w:val="superscript"/>
        </w:rPr>
        <w:t>3</w:t>
      </w:r>
      <w:r w:rsidR="00960D66" w:rsidRPr="0098635C">
        <w:rPr>
          <w:rFonts w:ascii="Times" w:hAnsi="Times" w:cs="Times"/>
          <w:bCs/>
          <w:color w:val="000000" w:themeColor="text1"/>
          <w:sz w:val="20"/>
          <w:szCs w:val="20"/>
        </w:rPr>
        <w:t>)</w:t>
      </w:r>
      <w:r w:rsidRPr="0098635C">
        <w:rPr>
          <w:rFonts w:ascii="Times" w:hAnsi="Times" w:cs="Times"/>
          <w:bCs/>
          <w:color w:val="000000" w:themeColor="text1"/>
          <w:sz w:val="20"/>
          <w:szCs w:val="20"/>
        </w:rPr>
        <w:t xml:space="preserve">. </w:t>
      </w:r>
    </w:p>
    <w:p w14:paraId="72EF4C1D" w14:textId="77777777" w:rsidR="008D1AE9" w:rsidRPr="0098635C" w:rsidRDefault="008D1AE9" w:rsidP="008D1AE9">
      <w:pPr>
        <w:pStyle w:val="BodyText"/>
        <w:rPr>
          <w:color w:val="000000" w:themeColor="text1"/>
          <w:sz w:val="20"/>
        </w:rPr>
      </w:pPr>
      <w:r w:rsidRPr="0098635C">
        <w:rPr>
          <w:color w:val="000000" w:themeColor="text1"/>
          <w:sz w:val="20"/>
        </w:rPr>
        <w:t xml:space="preserve">In addition there are two animal studies available which have investigated effects following repeated exposure to copper compounds by inhalation (Drummond et al, 1986; Johansson et al, 1984), but neither study was considered reliable and no NOAEL/LOAEL could be determined for these studies. </w:t>
      </w:r>
    </w:p>
    <w:p w14:paraId="6147F363" w14:textId="335470B7" w:rsidR="008D1AE9" w:rsidRPr="0098635C" w:rsidRDefault="008D1AE9" w:rsidP="008D1AE9">
      <w:pPr>
        <w:pStyle w:val="BodyText"/>
        <w:rPr>
          <w:color w:val="000000" w:themeColor="text1"/>
          <w:sz w:val="20"/>
        </w:rPr>
      </w:pPr>
      <w:r w:rsidRPr="0098635C">
        <w:rPr>
          <w:color w:val="000000" w:themeColor="text1"/>
          <w:sz w:val="20"/>
        </w:rPr>
        <w:t>Effects on the respiratory system were investigated by in CD</w:t>
      </w:r>
      <w:r w:rsidRPr="0098635C">
        <w:rPr>
          <w:color w:val="000000" w:themeColor="text1"/>
          <w:sz w:val="20"/>
          <w:vertAlign w:val="subscript"/>
        </w:rPr>
        <w:t>1</w:t>
      </w:r>
      <w:r w:rsidRPr="0098635C">
        <w:rPr>
          <w:color w:val="000000" w:themeColor="text1"/>
          <w:sz w:val="20"/>
        </w:rPr>
        <w:t xml:space="preserve"> mice and Syrian hamsters repeatedly exposed by inhalation to CuSO</w:t>
      </w:r>
      <w:r w:rsidRPr="0098635C">
        <w:rPr>
          <w:color w:val="000000" w:themeColor="text1"/>
          <w:sz w:val="20"/>
          <w:vertAlign w:val="subscript"/>
        </w:rPr>
        <w:t>4</w:t>
      </w:r>
      <w:r w:rsidRPr="0098635C">
        <w:rPr>
          <w:color w:val="000000" w:themeColor="text1"/>
          <w:sz w:val="20"/>
        </w:rPr>
        <w:t xml:space="preserve"> aerosol (0.12- 0.13 mg Cu.m</w:t>
      </w:r>
      <w:r w:rsidRPr="0098635C">
        <w:rPr>
          <w:color w:val="000000" w:themeColor="text1"/>
          <w:sz w:val="20"/>
          <w:vertAlign w:val="superscript"/>
        </w:rPr>
        <w:t>-3</w:t>
      </w:r>
      <w:r w:rsidRPr="0098635C">
        <w:rPr>
          <w:color w:val="000000" w:themeColor="text1"/>
          <w:sz w:val="20"/>
        </w:rPr>
        <w:t>)</w:t>
      </w:r>
      <w:r w:rsidR="00E048E7" w:rsidRPr="0098635C">
        <w:rPr>
          <w:color w:val="000000" w:themeColor="text1"/>
          <w:sz w:val="20"/>
        </w:rPr>
        <w:t xml:space="preserve"> (Drummond </w:t>
      </w:r>
      <w:r w:rsidR="00E048E7" w:rsidRPr="0098635C">
        <w:rPr>
          <w:i/>
          <w:color w:val="000000" w:themeColor="text1"/>
          <w:sz w:val="20"/>
        </w:rPr>
        <w:t>et al</w:t>
      </w:r>
      <w:r w:rsidR="00E048E7" w:rsidRPr="0098635C">
        <w:rPr>
          <w:color w:val="000000" w:themeColor="text1"/>
          <w:sz w:val="20"/>
        </w:rPr>
        <w:t>, 1986)</w:t>
      </w:r>
      <w:r w:rsidRPr="0098635C">
        <w:rPr>
          <w:color w:val="000000" w:themeColor="text1"/>
          <w:sz w:val="20"/>
        </w:rPr>
        <w:t>. In hamsters exposed for five or ten days, there appeared to be no significant effect on tracheal ciliary activity or on tracheal morphology compared to controls. Repeated exposure of mice by inhalation to CuSO</w:t>
      </w:r>
      <w:r w:rsidRPr="0098635C">
        <w:rPr>
          <w:color w:val="000000" w:themeColor="text1"/>
          <w:sz w:val="20"/>
          <w:vertAlign w:val="subscript"/>
        </w:rPr>
        <w:t>4</w:t>
      </w:r>
      <w:r w:rsidRPr="0098635C">
        <w:rPr>
          <w:color w:val="000000" w:themeColor="text1"/>
          <w:sz w:val="20"/>
        </w:rPr>
        <w:t xml:space="preserve"> aerosol for five or ten days had an effect on a number of respiratory effect parameters (bacteria-induced mortality rate, tracheal and alveolar morphology).  However, poor respiratory health of control animals raises uncertainties regarding the reliability of these </w:t>
      </w:r>
      <w:r w:rsidR="00F35D64" w:rsidRPr="0098635C">
        <w:rPr>
          <w:color w:val="000000" w:themeColor="text1"/>
          <w:sz w:val="20"/>
        </w:rPr>
        <w:t>findings</w:t>
      </w:r>
      <w:r w:rsidRPr="0098635C">
        <w:rPr>
          <w:color w:val="000000" w:themeColor="text1"/>
          <w:sz w:val="20"/>
        </w:rPr>
        <w:t xml:space="preserve"> and the authors themselves concluded that the strain of mice used (CD</w:t>
      </w:r>
      <w:r w:rsidRPr="0098635C">
        <w:rPr>
          <w:color w:val="000000" w:themeColor="text1"/>
          <w:sz w:val="20"/>
          <w:vertAlign w:val="subscript"/>
        </w:rPr>
        <w:t>1</w:t>
      </w:r>
      <w:r w:rsidRPr="0098635C">
        <w:rPr>
          <w:color w:val="000000" w:themeColor="text1"/>
          <w:sz w:val="20"/>
        </w:rPr>
        <w:t xml:space="preserve">) did not appear to be appropriate for this type of study. </w:t>
      </w:r>
    </w:p>
    <w:p w14:paraId="6015AC1B" w14:textId="4974F14D" w:rsidR="008D1AE9" w:rsidRPr="0098635C" w:rsidRDefault="008D1AE9" w:rsidP="00586794">
      <w:pPr>
        <w:pStyle w:val="BodyText"/>
        <w:rPr>
          <w:color w:val="000000" w:themeColor="text1"/>
          <w:sz w:val="20"/>
        </w:rPr>
      </w:pPr>
      <w:r w:rsidRPr="0098635C">
        <w:rPr>
          <w:color w:val="000000" w:themeColor="text1"/>
          <w:sz w:val="20"/>
        </w:rPr>
        <w:t xml:space="preserve">An inhalation study </w:t>
      </w:r>
      <w:r w:rsidR="00622F60" w:rsidRPr="0098635C">
        <w:rPr>
          <w:color w:val="000000" w:themeColor="text1"/>
          <w:sz w:val="20"/>
        </w:rPr>
        <w:t xml:space="preserve">for 4-6 wk </w:t>
      </w:r>
      <w:r w:rsidRPr="0098635C">
        <w:rPr>
          <w:color w:val="000000" w:themeColor="text1"/>
          <w:sz w:val="20"/>
        </w:rPr>
        <w:t xml:space="preserve">with rabbits was conducted by Johansson </w:t>
      </w:r>
      <w:r w:rsidRPr="0098635C">
        <w:rPr>
          <w:i/>
          <w:color w:val="000000" w:themeColor="text1"/>
          <w:sz w:val="20"/>
        </w:rPr>
        <w:t>et al (</w:t>
      </w:r>
      <w:r w:rsidRPr="0098635C">
        <w:rPr>
          <w:color w:val="000000" w:themeColor="text1"/>
          <w:sz w:val="20"/>
        </w:rPr>
        <w:t>1984); using copper chloride as test substance (0.6 mg Cu.m</w:t>
      </w:r>
      <w:r w:rsidRPr="0098635C">
        <w:rPr>
          <w:color w:val="000000" w:themeColor="text1"/>
          <w:sz w:val="20"/>
          <w:vertAlign w:val="superscript"/>
        </w:rPr>
        <w:t>-3</w:t>
      </w:r>
      <w:r w:rsidRPr="0098635C">
        <w:rPr>
          <w:color w:val="000000" w:themeColor="text1"/>
          <w:sz w:val="20"/>
        </w:rPr>
        <w:t xml:space="preserve"> </w:t>
      </w:r>
      <w:r w:rsidRPr="0098635C">
        <w:rPr>
          <w:color w:val="000000" w:themeColor="text1"/>
          <w:sz w:val="20"/>
        </w:rPr>
        <w:sym w:font="Symbol" w:char="F0B1"/>
      </w:r>
      <w:r w:rsidRPr="0098635C">
        <w:rPr>
          <w:color w:val="000000" w:themeColor="text1"/>
          <w:sz w:val="20"/>
        </w:rPr>
        <w:t xml:space="preserve"> 0.3). Histopathological examination of lung tissue showed no significant differences between CuCl</w:t>
      </w:r>
      <w:r w:rsidRPr="0098635C">
        <w:rPr>
          <w:color w:val="000000" w:themeColor="text1"/>
          <w:sz w:val="20"/>
          <w:vertAlign w:val="subscript"/>
        </w:rPr>
        <w:t>2</w:t>
      </w:r>
      <w:r w:rsidRPr="0098635C">
        <w:rPr>
          <w:color w:val="000000" w:themeColor="text1"/>
          <w:sz w:val="20"/>
        </w:rPr>
        <w:t>-treated animals and controls. Some changes in the alveolar region of the lungs could only be detected by electron microscopy. The results of this study, are not useful as the study design did not meet some critical quality criteria (e.g. number of animals, species, number of exposure concentrations, absence of haematological and clinical biochemistry data, and extent of histopathological examination).</w:t>
      </w:r>
    </w:p>
    <w:p w14:paraId="3A787188" w14:textId="77777777" w:rsidR="008D1AE9" w:rsidRPr="0098635C" w:rsidRDefault="008D1AE9" w:rsidP="008D1AE9">
      <w:pPr>
        <w:pStyle w:val="Heading9"/>
        <w:rPr>
          <w:color w:val="000000" w:themeColor="text1"/>
          <w:sz w:val="20"/>
          <w:szCs w:val="20"/>
          <w:u w:val="single"/>
        </w:rPr>
      </w:pPr>
      <w:r w:rsidRPr="0098635C">
        <w:rPr>
          <w:color w:val="000000" w:themeColor="text1"/>
          <w:sz w:val="20"/>
          <w:szCs w:val="20"/>
          <w:u w:val="single"/>
        </w:rPr>
        <w:t>Dermal</w:t>
      </w:r>
    </w:p>
    <w:p w14:paraId="39A8538F" w14:textId="77777777" w:rsidR="008D1AE9" w:rsidRPr="0098635C" w:rsidRDefault="008D1AE9" w:rsidP="008D1AE9">
      <w:pPr>
        <w:rPr>
          <w:color w:val="000000" w:themeColor="text1"/>
          <w:sz w:val="20"/>
          <w:szCs w:val="20"/>
        </w:rPr>
      </w:pPr>
      <w:r w:rsidRPr="0098635C">
        <w:rPr>
          <w:color w:val="000000" w:themeColor="text1"/>
          <w:sz w:val="20"/>
          <w:szCs w:val="20"/>
        </w:rPr>
        <w:t>The dermal route of exposure is the most significant route there is no evidence to indicate that copper or copper compounds can cause toxicity or indeed pass through intact skin at significant levels. Acute dermal toxicity studies showed no toxic effects up to and including the highest dose tested. Therefore an accurate and realistic determination of dermal toxicity can be derived from available sub-chronic oral exposure studies, permissible systemic copper levels and in vitro dermal penetration studies on copper and copper compounds.</w:t>
      </w:r>
    </w:p>
    <w:p w14:paraId="099A7709" w14:textId="77777777" w:rsidR="008D1AE9" w:rsidRPr="0098635C" w:rsidRDefault="008D1AE9" w:rsidP="008D1AE9">
      <w:pPr>
        <w:pStyle w:val="Heading9"/>
        <w:rPr>
          <w:color w:val="000000" w:themeColor="text1"/>
          <w:sz w:val="20"/>
          <w:szCs w:val="20"/>
          <w:u w:val="single"/>
        </w:rPr>
      </w:pPr>
      <w:r w:rsidRPr="0098635C">
        <w:rPr>
          <w:color w:val="000000" w:themeColor="text1"/>
          <w:sz w:val="20"/>
          <w:szCs w:val="20"/>
          <w:u w:val="single"/>
        </w:rPr>
        <w:t>Oral</w:t>
      </w:r>
    </w:p>
    <w:p w14:paraId="05D53ED5" w14:textId="085FA698" w:rsidR="008D1AE9" w:rsidRPr="0098635C" w:rsidRDefault="008D1AE9" w:rsidP="008D1AE9">
      <w:pPr>
        <w:pStyle w:val="BodyText"/>
        <w:rPr>
          <w:color w:val="000000" w:themeColor="text1"/>
          <w:sz w:val="20"/>
        </w:rPr>
      </w:pPr>
      <w:r w:rsidRPr="0098635C">
        <w:rPr>
          <w:color w:val="000000" w:themeColor="text1"/>
          <w:sz w:val="20"/>
        </w:rPr>
        <w:t xml:space="preserve">The effects of repeated ingestion of </w:t>
      </w:r>
      <w:r w:rsidR="00FE5CC1" w:rsidRPr="0098635C">
        <w:rPr>
          <w:color w:val="000000" w:themeColor="text1"/>
          <w:sz w:val="20"/>
        </w:rPr>
        <w:t>copper sulphate pentahydrate w</w:t>
      </w:r>
      <w:r w:rsidRPr="0098635C">
        <w:rPr>
          <w:color w:val="000000" w:themeColor="text1"/>
          <w:sz w:val="20"/>
        </w:rPr>
        <w:t>ere investigated in two-week drinking water and feeding studies and in a 13-week feeding study using Fischer 344/N rats and B6C3F</w:t>
      </w:r>
      <w:r w:rsidRPr="0098635C">
        <w:rPr>
          <w:color w:val="000000" w:themeColor="text1"/>
          <w:sz w:val="20"/>
          <w:vertAlign w:val="subscript"/>
        </w:rPr>
        <w:t>1</w:t>
      </w:r>
      <w:r w:rsidRPr="0098635C">
        <w:rPr>
          <w:color w:val="000000" w:themeColor="text1"/>
          <w:sz w:val="20"/>
        </w:rPr>
        <w:t xml:space="preserve"> mice, conducted under the National Toxicology Program (NTP)</w:t>
      </w:r>
      <w:r w:rsidR="00086456" w:rsidRPr="0098635C">
        <w:rPr>
          <w:color w:val="000000" w:themeColor="text1"/>
          <w:sz w:val="20"/>
        </w:rPr>
        <w:t>.  Tests were similar to EU Method B.26 (Sub-Chronic Oral Toxicity Test: Repeated Dose 90-Day Oral Toxicity Study in Rodents)</w:t>
      </w:r>
      <w:r w:rsidRPr="0098635C">
        <w:rPr>
          <w:color w:val="000000" w:themeColor="text1"/>
          <w:sz w:val="20"/>
        </w:rPr>
        <w:t xml:space="preserve"> (Hébert </w:t>
      </w:r>
      <w:r w:rsidRPr="0098635C">
        <w:rPr>
          <w:i/>
          <w:color w:val="000000" w:themeColor="text1"/>
          <w:sz w:val="20"/>
        </w:rPr>
        <w:t xml:space="preserve">et al </w:t>
      </w:r>
      <w:r w:rsidRPr="0098635C">
        <w:rPr>
          <w:color w:val="000000" w:themeColor="text1"/>
          <w:sz w:val="20"/>
        </w:rPr>
        <w:t xml:space="preserve">1993; Hébert 1993).  Dose levels for the 13-week study were based on findings of the two-week dietary study.  Repeated administration of </w:t>
      </w:r>
      <w:r w:rsidR="00FE5CC1" w:rsidRPr="0098635C">
        <w:rPr>
          <w:color w:val="000000" w:themeColor="text1"/>
          <w:sz w:val="20"/>
        </w:rPr>
        <w:t xml:space="preserve">copper sulphate </w:t>
      </w:r>
      <w:r w:rsidR="00FE5CC1" w:rsidRPr="0098635C">
        <w:rPr>
          <w:color w:val="000000" w:themeColor="text1"/>
          <w:sz w:val="20"/>
        </w:rPr>
        <w:lastRenderedPageBreak/>
        <w:t xml:space="preserve">pentahydrate </w:t>
      </w:r>
      <w:r w:rsidRPr="0098635C">
        <w:rPr>
          <w:color w:val="000000" w:themeColor="text1"/>
          <w:sz w:val="20"/>
        </w:rPr>
        <w:t>in the drinking water for two weeks caused clinical signs of toxicity and fatalities in rats and mice and histopathological changes in mice at 762 mg Cu/litre and above (45 and 31 mg</w:t>
      </w:r>
      <w:r w:rsidR="001966DF" w:rsidRPr="0098635C">
        <w:rPr>
          <w:color w:val="000000" w:themeColor="text1"/>
          <w:sz w:val="20"/>
        </w:rPr>
        <w:t xml:space="preserve"> Cu</w:t>
      </w:r>
      <w:r w:rsidRPr="0098635C">
        <w:rPr>
          <w:color w:val="000000" w:themeColor="text1"/>
          <w:sz w:val="20"/>
        </w:rPr>
        <w:t>/kgBW/day in male and female rats, respectively; 58 and 62 mg</w:t>
      </w:r>
      <w:r w:rsidR="001966DF" w:rsidRPr="0098635C">
        <w:rPr>
          <w:color w:val="000000" w:themeColor="text1"/>
          <w:sz w:val="20"/>
        </w:rPr>
        <w:t xml:space="preserve"> Cu</w:t>
      </w:r>
      <w:r w:rsidRPr="0098635C">
        <w:rPr>
          <w:color w:val="000000" w:themeColor="text1"/>
          <w:sz w:val="20"/>
        </w:rPr>
        <w:t>/kgBW/day in male and female mice, respectively).  These effects appear to be a result of dehydration due to reduced intake of treated drinking water and associated reduced weight gain rather than direct toxicity of the compound. Repeated administration of CuSO</w:t>
      </w:r>
      <w:r w:rsidRPr="0098635C">
        <w:rPr>
          <w:color w:val="000000" w:themeColor="text1"/>
          <w:sz w:val="20"/>
          <w:vertAlign w:val="subscript"/>
        </w:rPr>
        <w:t>4</w:t>
      </w:r>
      <w:r w:rsidRPr="0098635C">
        <w:rPr>
          <w:color w:val="000000" w:themeColor="text1"/>
          <w:sz w:val="20"/>
        </w:rPr>
        <w:t xml:space="preserve"> in the diet for two weeks produced effects in the forestomach, liver, kidney and bone marrow in rats and in the forestomach in mice.  When expressed as a dietary concentration, the lowest NOAEL in both species occurred in respect of forestomach lesions corresponding to a dietary concentration of 1000 mg CuSO</w:t>
      </w:r>
      <w:r w:rsidRPr="0098635C">
        <w:rPr>
          <w:color w:val="000000" w:themeColor="text1"/>
          <w:sz w:val="20"/>
          <w:vertAlign w:val="subscript"/>
        </w:rPr>
        <w:t>4</w:t>
      </w:r>
      <w:r w:rsidRPr="0098635C">
        <w:rPr>
          <w:color w:val="000000" w:themeColor="text1"/>
          <w:sz w:val="20"/>
        </w:rPr>
        <w:t>/kg diet (255 mg Cu/kg).  When expressed as dietary copper consumption as a function of body mass, the NOAEL was lower for rats than for mice (23.4 mg</w:t>
      </w:r>
      <w:r w:rsidR="001966DF" w:rsidRPr="0098635C">
        <w:rPr>
          <w:color w:val="000000" w:themeColor="text1"/>
          <w:sz w:val="20"/>
        </w:rPr>
        <w:t xml:space="preserve"> Cu</w:t>
      </w:r>
      <w:r w:rsidRPr="0098635C">
        <w:rPr>
          <w:color w:val="000000" w:themeColor="text1"/>
          <w:sz w:val="20"/>
        </w:rPr>
        <w:t>/kgBW/day added to feed for male rats; 22.7 mg</w:t>
      </w:r>
      <w:r w:rsidR="001966DF" w:rsidRPr="0098635C">
        <w:rPr>
          <w:color w:val="000000" w:themeColor="text1"/>
          <w:sz w:val="20"/>
        </w:rPr>
        <w:t xml:space="preserve"> Cu</w:t>
      </w:r>
      <w:r w:rsidRPr="0098635C">
        <w:rPr>
          <w:color w:val="000000" w:themeColor="text1"/>
          <w:sz w:val="20"/>
        </w:rPr>
        <w:t xml:space="preserve">/kgBW/day for females). </w:t>
      </w:r>
    </w:p>
    <w:p w14:paraId="4A9AF23E" w14:textId="30FDA6BC" w:rsidR="002D04C6" w:rsidRPr="0098635C" w:rsidRDefault="008D1AE9" w:rsidP="008D1AE9">
      <w:pPr>
        <w:pStyle w:val="BodyText"/>
        <w:rPr>
          <w:color w:val="000000" w:themeColor="text1"/>
          <w:sz w:val="20"/>
        </w:rPr>
      </w:pPr>
      <w:r w:rsidRPr="0098635C">
        <w:rPr>
          <w:color w:val="000000" w:themeColor="text1"/>
          <w:sz w:val="20"/>
        </w:rPr>
        <w:t>The 13wk feeding study described repeated administration of CuSO</w:t>
      </w:r>
      <w:r w:rsidRPr="0098635C">
        <w:rPr>
          <w:color w:val="000000" w:themeColor="text1"/>
          <w:sz w:val="20"/>
          <w:vertAlign w:val="subscript"/>
        </w:rPr>
        <w:t>4</w:t>
      </w:r>
      <w:r w:rsidRPr="0098635C">
        <w:rPr>
          <w:color w:val="000000" w:themeColor="text1"/>
          <w:sz w:val="20"/>
        </w:rPr>
        <w:t xml:space="preserve"> in the feed for 13 weeks produced effects in the forestomach, liver and kidney in rats. Effects also occurred in the haematopoietic system, although these were considered to be transient changes secondary to alterations in iron metabolism that were within the range of homeostatic control. The treatment had no effect on a number of reproductive parameters. Forestomach lesions consisted of hyperplasia of the squamous mucosa of the limiting ridge at the junction of the forestomach and glandular stomach. Hepatic changes consisted of histopathological changes (chronic active inflammation) plus significant alterations in several clinical chemistry parameters. Hepatic changes appeared most pronounced in males. Renal toxicity consisted of histopathological changes (increase in cytoplasmic droplets), together with significant alterations in some urinary parameters. Kidney changes were most marked in males. The NOAEL for effects in the forestomach, liver and kidney was 1000 mg CuSO</w:t>
      </w:r>
      <w:r w:rsidRPr="0098635C">
        <w:rPr>
          <w:color w:val="000000" w:themeColor="text1"/>
          <w:sz w:val="20"/>
          <w:vertAlign w:val="subscript"/>
        </w:rPr>
        <w:t>4</w:t>
      </w:r>
      <w:r w:rsidRPr="0098635C">
        <w:rPr>
          <w:color w:val="000000" w:themeColor="text1"/>
          <w:sz w:val="20"/>
        </w:rPr>
        <w:t xml:space="preserve">/kg diet [255 mg Cu/kg diet; 16.3 and 17.3 mg Cu/kg bw/day added to feed in males and females, respectively]. The liver is the critical organ for copper. Minimal to moderate effects (forestomach, liver, kidney) were observed at </w:t>
      </w:r>
      <w:r w:rsidR="002D04C6" w:rsidRPr="0098635C">
        <w:rPr>
          <w:color w:val="000000" w:themeColor="text1"/>
          <w:sz w:val="20"/>
        </w:rPr>
        <w:t>2000 mg CuSO</w:t>
      </w:r>
      <w:r w:rsidR="002D04C6" w:rsidRPr="0098635C">
        <w:rPr>
          <w:color w:val="000000" w:themeColor="text1"/>
          <w:sz w:val="20"/>
          <w:vertAlign w:val="subscript"/>
        </w:rPr>
        <w:t>4</w:t>
      </w:r>
      <w:r w:rsidR="002D04C6" w:rsidRPr="0098635C">
        <w:rPr>
          <w:color w:val="000000" w:themeColor="text1"/>
          <w:sz w:val="20"/>
        </w:rPr>
        <w:t xml:space="preserve">/kg diet </w:t>
      </w:r>
      <w:r w:rsidRPr="0098635C">
        <w:rPr>
          <w:color w:val="000000" w:themeColor="text1"/>
          <w:sz w:val="20"/>
        </w:rPr>
        <w:t>[</w:t>
      </w:r>
      <w:r w:rsidR="002D04C6" w:rsidRPr="0098635C">
        <w:rPr>
          <w:color w:val="000000" w:themeColor="text1"/>
          <w:sz w:val="20"/>
        </w:rPr>
        <w:t xml:space="preserve">509 </w:t>
      </w:r>
      <w:r w:rsidRPr="0098635C">
        <w:rPr>
          <w:color w:val="000000" w:themeColor="text1"/>
          <w:sz w:val="20"/>
        </w:rPr>
        <w:t>mg Cu</w:t>
      </w:r>
      <w:r w:rsidR="002D04C6" w:rsidRPr="0098635C">
        <w:rPr>
          <w:color w:val="000000" w:themeColor="text1"/>
          <w:sz w:val="20"/>
        </w:rPr>
        <w:t>/kg diet</w:t>
      </w:r>
      <w:r w:rsidRPr="0098635C">
        <w:rPr>
          <w:color w:val="000000" w:themeColor="text1"/>
          <w:sz w:val="20"/>
        </w:rPr>
        <w:t xml:space="preserve">/; </w:t>
      </w:r>
      <w:r w:rsidR="002D04C6" w:rsidRPr="0098635C">
        <w:rPr>
          <w:color w:val="000000" w:themeColor="text1"/>
          <w:sz w:val="20"/>
        </w:rPr>
        <w:t xml:space="preserve">33 and 34 </w:t>
      </w:r>
      <w:r w:rsidRPr="0098635C">
        <w:rPr>
          <w:color w:val="000000" w:themeColor="text1"/>
          <w:sz w:val="20"/>
        </w:rPr>
        <w:t xml:space="preserve">mg Cu/kg bw/day, </w:t>
      </w:r>
      <w:r w:rsidR="002D04C6" w:rsidRPr="0098635C">
        <w:rPr>
          <w:color w:val="000000" w:themeColor="text1"/>
          <w:sz w:val="20"/>
        </w:rPr>
        <w:t xml:space="preserve">added to feed in males and females, </w:t>
      </w:r>
      <w:r w:rsidRPr="0098635C">
        <w:rPr>
          <w:color w:val="000000" w:themeColor="text1"/>
          <w:sz w:val="20"/>
        </w:rPr>
        <w:t xml:space="preserve">respectively]. The incidence and severity of the effects were dose-dependent. Inflammation of the liver occurred in male and female animals at </w:t>
      </w:r>
      <w:r w:rsidR="002D04C6" w:rsidRPr="0098635C">
        <w:rPr>
          <w:color w:val="000000" w:themeColor="text1"/>
          <w:sz w:val="20"/>
        </w:rPr>
        <w:t>4000 mg CuSO</w:t>
      </w:r>
      <w:r w:rsidR="002D04C6" w:rsidRPr="0098635C">
        <w:rPr>
          <w:color w:val="000000" w:themeColor="text1"/>
          <w:sz w:val="20"/>
          <w:vertAlign w:val="subscript"/>
        </w:rPr>
        <w:t>4</w:t>
      </w:r>
      <w:r w:rsidR="002D04C6" w:rsidRPr="0098635C">
        <w:rPr>
          <w:color w:val="000000" w:themeColor="text1"/>
          <w:sz w:val="20"/>
        </w:rPr>
        <w:t>/kg diet [</w:t>
      </w:r>
      <w:r w:rsidRPr="0098635C">
        <w:rPr>
          <w:color w:val="000000" w:themeColor="text1"/>
          <w:sz w:val="20"/>
        </w:rPr>
        <w:t>1018 mg</w:t>
      </w:r>
      <w:r w:rsidR="002D04C6" w:rsidRPr="0098635C">
        <w:rPr>
          <w:color w:val="000000" w:themeColor="text1"/>
          <w:sz w:val="20"/>
        </w:rPr>
        <w:t xml:space="preserve"> Cu</w:t>
      </w:r>
      <w:r w:rsidRPr="0098635C">
        <w:rPr>
          <w:color w:val="000000" w:themeColor="text1"/>
          <w:sz w:val="20"/>
        </w:rPr>
        <w:t>/kg</w:t>
      </w:r>
      <w:r w:rsidR="002D04C6" w:rsidRPr="0098635C">
        <w:rPr>
          <w:color w:val="000000" w:themeColor="text1"/>
          <w:sz w:val="20"/>
        </w:rPr>
        <w:t xml:space="preserve"> diet</w:t>
      </w:r>
      <w:r w:rsidRPr="0098635C">
        <w:rPr>
          <w:color w:val="000000" w:themeColor="text1"/>
          <w:sz w:val="20"/>
        </w:rPr>
        <w:t xml:space="preserve"> 260 mg CuSO</w:t>
      </w:r>
      <w:r w:rsidRPr="0098635C">
        <w:rPr>
          <w:color w:val="000000" w:themeColor="text1"/>
          <w:sz w:val="20"/>
          <w:vertAlign w:val="subscript"/>
        </w:rPr>
        <w:t>4</w:t>
      </w:r>
      <w:r w:rsidRPr="0098635C">
        <w:rPr>
          <w:color w:val="000000" w:themeColor="text1"/>
          <w:sz w:val="20"/>
        </w:rPr>
        <w:t>/kg bw/day</w:t>
      </w:r>
      <w:r w:rsidR="008C615A" w:rsidRPr="0098635C">
        <w:rPr>
          <w:color w:val="000000" w:themeColor="text1"/>
          <w:sz w:val="20"/>
        </w:rPr>
        <w:t xml:space="preserve">; </w:t>
      </w:r>
      <w:r w:rsidR="002D04C6" w:rsidRPr="0098635C">
        <w:rPr>
          <w:color w:val="000000" w:themeColor="text1"/>
          <w:sz w:val="20"/>
        </w:rPr>
        <w:t xml:space="preserve">66 and 68 </w:t>
      </w:r>
      <w:r w:rsidRPr="0098635C">
        <w:rPr>
          <w:color w:val="000000" w:themeColor="text1"/>
          <w:sz w:val="20"/>
        </w:rPr>
        <w:t xml:space="preserve">mg Cu/kg bw/day, </w:t>
      </w:r>
      <w:r w:rsidR="002D04C6" w:rsidRPr="0098635C">
        <w:rPr>
          <w:color w:val="000000" w:themeColor="text1"/>
          <w:sz w:val="20"/>
        </w:rPr>
        <w:t xml:space="preserve">added to feed in males and females </w:t>
      </w:r>
      <w:r w:rsidRPr="0098635C">
        <w:rPr>
          <w:color w:val="000000" w:themeColor="text1"/>
          <w:sz w:val="20"/>
        </w:rPr>
        <w:t xml:space="preserve">respectively] and above. </w:t>
      </w:r>
    </w:p>
    <w:p w14:paraId="60D82B72" w14:textId="453E92D0" w:rsidR="008D1AE9" w:rsidRPr="0098635C" w:rsidRDefault="008D1AE9" w:rsidP="008D1AE9">
      <w:pPr>
        <w:pStyle w:val="BodyText"/>
        <w:rPr>
          <w:color w:val="000000" w:themeColor="text1"/>
          <w:sz w:val="20"/>
        </w:rPr>
      </w:pPr>
      <w:r w:rsidRPr="0098635C">
        <w:rPr>
          <w:color w:val="000000" w:themeColor="text1"/>
          <w:sz w:val="20"/>
        </w:rPr>
        <w:t xml:space="preserve">No exposure-related deaths occurred in the 13-week mouse feeding study with  B6C3F1 mice.  Final body weight gain was significantly depressed in both sexes at </w:t>
      </w:r>
      <w:r w:rsidR="005F6EAF" w:rsidRPr="0098635C">
        <w:rPr>
          <w:color w:val="000000" w:themeColor="text1"/>
          <w:sz w:val="20"/>
        </w:rPr>
        <w:t>4000 mg CuSO4/kg diet  [</w:t>
      </w:r>
      <w:r w:rsidRPr="0098635C">
        <w:rPr>
          <w:color w:val="000000" w:themeColor="text1"/>
          <w:sz w:val="20"/>
        </w:rPr>
        <w:t>1018 mg</w:t>
      </w:r>
      <w:r w:rsidR="002D04C6" w:rsidRPr="0098635C">
        <w:rPr>
          <w:color w:val="000000" w:themeColor="text1"/>
          <w:sz w:val="20"/>
        </w:rPr>
        <w:t xml:space="preserve"> Cu</w:t>
      </w:r>
      <w:r w:rsidRPr="0098635C">
        <w:rPr>
          <w:color w:val="000000" w:themeColor="text1"/>
          <w:sz w:val="20"/>
        </w:rPr>
        <w:t>/kg</w:t>
      </w:r>
      <w:r w:rsidR="005F6EAF" w:rsidRPr="0098635C">
        <w:rPr>
          <w:color w:val="000000" w:themeColor="text1"/>
          <w:sz w:val="20"/>
        </w:rPr>
        <w:t xml:space="preserve"> diet;</w:t>
      </w:r>
      <w:r w:rsidRPr="0098635C">
        <w:rPr>
          <w:color w:val="000000" w:themeColor="text1"/>
          <w:sz w:val="20"/>
        </w:rPr>
        <w:t xml:space="preserve"> 187 and 267 mg</w:t>
      </w:r>
      <w:r w:rsidR="001966DF" w:rsidRPr="0098635C">
        <w:rPr>
          <w:color w:val="000000" w:themeColor="text1"/>
          <w:sz w:val="20"/>
        </w:rPr>
        <w:t xml:space="preserve"> Cu</w:t>
      </w:r>
      <w:r w:rsidRPr="0098635C">
        <w:rPr>
          <w:color w:val="000000" w:themeColor="text1"/>
          <w:sz w:val="20"/>
        </w:rPr>
        <w:t xml:space="preserve">/kgBW/day] and above, and in male mice also at </w:t>
      </w:r>
      <w:r w:rsidR="005F6EAF" w:rsidRPr="0098635C">
        <w:rPr>
          <w:color w:val="000000" w:themeColor="text1"/>
          <w:sz w:val="20"/>
        </w:rPr>
        <w:t>2000 mg CuSO</w:t>
      </w:r>
      <w:r w:rsidR="005F6EAF" w:rsidRPr="0098635C">
        <w:rPr>
          <w:color w:val="000000" w:themeColor="text1"/>
          <w:sz w:val="20"/>
          <w:vertAlign w:val="subscript"/>
        </w:rPr>
        <w:t>4</w:t>
      </w:r>
      <w:r w:rsidR="005F6EAF" w:rsidRPr="0098635C">
        <w:rPr>
          <w:color w:val="000000" w:themeColor="text1"/>
          <w:sz w:val="20"/>
        </w:rPr>
        <w:t>/kg diet [</w:t>
      </w:r>
      <w:r w:rsidRPr="0098635C">
        <w:rPr>
          <w:color w:val="000000" w:themeColor="text1"/>
          <w:sz w:val="20"/>
        </w:rPr>
        <w:t>509 mg</w:t>
      </w:r>
      <w:r w:rsidR="002D04C6" w:rsidRPr="0098635C">
        <w:rPr>
          <w:color w:val="000000" w:themeColor="text1"/>
          <w:sz w:val="20"/>
        </w:rPr>
        <w:t xml:space="preserve"> Cu</w:t>
      </w:r>
      <w:r w:rsidRPr="0098635C">
        <w:rPr>
          <w:color w:val="000000" w:themeColor="text1"/>
          <w:sz w:val="20"/>
        </w:rPr>
        <w:t>/kg</w:t>
      </w:r>
      <w:r w:rsidR="005F6EAF" w:rsidRPr="0098635C">
        <w:rPr>
          <w:color w:val="000000" w:themeColor="text1"/>
          <w:sz w:val="20"/>
        </w:rPr>
        <w:t>;</w:t>
      </w:r>
      <w:r w:rsidRPr="0098635C">
        <w:rPr>
          <w:color w:val="000000" w:themeColor="text1"/>
          <w:sz w:val="20"/>
        </w:rPr>
        <w:t xml:space="preserve"> 97 </w:t>
      </w:r>
      <w:r w:rsidR="002D04C6" w:rsidRPr="0098635C">
        <w:rPr>
          <w:color w:val="000000" w:themeColor="text1"/>
          <w:sz w:val="20"/>
        </w:rPr>
        <w:t xml:space="preserve"> and 126 </w:t>
      </w:r>
      <w:r w:rsidRPr="0098635C">
        <w:rPr>
          <w:color w:val="000000" w:themeColor="text1"/>
          <w:sz w:val="20"/>
        </w:rPr>
        <w:t>mg</w:t>
      </w:r>
      <w:r w:rsidR="001966DF" w:rsidRPr="0098635C">
        <w:rPr>
          <w:color w:val="000000" w:themeColor="text1"/>
          <w:sz w:val="20"/>
        </w:rPr>
        <w:t xml:space="preserve"> Cu</w:t>
      </w:r>
      <w:r w:rsidRPr="0098635C">
        <w:rPr>
          <w:color w:val="000000" w:themeColor="text1"/>
          <w:sz w:val="20"/>
        </w:rPr>
        <w:t>/kgBW/day]</w:t>
      </w:r>
      <w:r w:rsidR="002D04C6" w:rsidRPr="0098635C">
        <w:rPr>
          <w:color w:val="000000" w:themeColor="text1"/>
          <w:sz w:val="20"/>
        </w:rPr>
        <w:t>, added to feed in males and females</w:t>
      </w:r>
      <w:r w:rsidRPr="0098635C">
        <w:rPr>
          <w:color w:val="000000" w:themeColor="text1"/>
          <w:sz w:val="20"/>
        </w:rPr>
        <w:t>. Forestomach lesions in mice were similar to those seen in the rat (NOAEL</w:t>
      </w:r>
      <w:r w:rsidRPr="0098635C">
        <w:rPr>
          <w:color w:val="000000" w:themeColor="text1"/>
          <w:sz w:val="20"/>
          <w:vertAlign w:val="subscript"/>
        </w:rPr>
        <w:t>mice</w:t>
      </w:r>
      <w:r w:rsidR="00F35D64" w:rsidRPr="0098635C">
        <w:rPr>
          <w:color w:val="000000" w:themeColor="text1"/>
          <w:sz w:val="20"/>
          <w:vertAlign w:val="subscript"/>
        </w:rPr>
        <w:t>, lesions</w:t>
      </w:r>
      <w:r w:rsidRPr="0098635C">
        <w:rPr>
          <w:color w:val="000000" w:themeColor="text1"/>
          <w:sz w:val="20"/>
        </w:rPr>
        <w:t>: 2000 mg CuSO4/kg diet</w:t>
      </w:r>
      <w:r w:rsidR="001966DF" w:rsidRPr="0098635C">
        <w:rPr>
          <w:color w:val="000000" w:themeColor="text1"/>
          <w:sz w:val="20"/>
        </w:rPr>
        <w:t xml:space="preserve">  [</w:t>
      </w:r>
      <w:r w:rsidR="00F35D64" w:rsidRPr="0098635C">
        <w:rPr>
          <w:color w:val="000000" w:themeColor="text1"/>
          <w:sz w:val="20"/>
        </w:rPr>
        <w:t>97 and</w:t>
      </w:r>
      <w:r w:rsidR="006139A2" w:rsidRPr="0098635C">
        <w:rPr>
          <w:color w:val="000000" w:themeColor="text1"/>
          <w:sz w:val="20"/>
        </w:rPr>
        <w:t xml:space="preserve"> 126 </w:t>
      </w:r>
      <w:r w:rsidR="001966DF" w:rsidRPr="0098635C">
        <w:rPr>
          <w:color w:val="000000" w:themeColor="text1"/>
          <w:sz w:val="20"/>
        </w:rPr>
        <w:t>mg Cu/kgBW/day</w:t>
      </w:r>
      <w:r w:rsidR="006139A2" w:rsidRPr="0098635C">
        <w:rPr>
          <w:color w:val="000000" w:themeColor="text1"/>
          <w:sz w:val="20"/>
        </w:rPr>
        <w:t xml:space="preserve"> for males </w:t>
      </w:r>
      <w:r w:rsidR="00F35D64" w:rsidRPr="0098635C">
        <w:rPr>
          <w:color w:val="000000" w:themeColor="text1"/>
          <w:sz w:val="20"/>
        </w:rPr>
        <w:t>and</w:t>
      </w:r>
      <w:r w:rsidR="006139A2" w:rsidRPr="0098635C">
        <w:rPr>
          <w:color w:val="000000" w:themeColor="text1"/>
          <w:sz w:val="20"/>
        </w:rPr>
        <w:t xml:space="preserve"> females respectively</w:t>
      </w:r>
      <w:r w:rsidR="001966DF" w:rsidRPr="0098635C">
        <w:rPr>
          <w:color w:val="000000" w:themeColor="text1"/>
          <w:sz w:val="20"/>
        </w:rPr>
        <w:t>]</w:t>
      </w:r>
      <w:r w:rsidR="006139A2" w:rsidRPr="0098635C">
        <w:rPr>
          <w:color w:val="000000" w:themeColor="text1"/>
          <w:sz w:val="20"/>
        </w:rPr>
        <w:t xml:space="preserve"> </w:t>
      </w:r>
      <w:r w:rsidRPr="0098635C">
        <w:rPr>
          <w:color w:val="000000" w:themeColor="text1"/>
          <w:sz w:val="20"/>
        </w:rPr>
        <w:t>), but in contrast to the rat, no effects were seen in the liver or kidneys.   No effect on reproductive parameters were measured at doses up to and including 68 (rats) and 536 mg Cu/kg</w:t>
      </w:r>
      <w:r w:rsidR="006139A2" w:rsidRPr="0098635C">
        <w:rPr>
          <w:color w:val="000000" w:themeColor="text1"/>
          <w:sz w:val="20"/>
        </w:rPr>
        <w:t xml:space="preserve">  bw/day</w:t>
      </w:r>
      <w:r w:rsidRPr="0098635C">
        <w:rPr>
          <w:color w:val="000000" w:themeColor="text1"/>
          <w:sz w:val="20"/>
        </w:rPr>
        <w:t xml:space="preserve"> (mice).</w:t>
      </w:r>
    </w:p>
    <w:p w14:paraId="6007ABD9" w14:textId="5410D85C" w:rsidR="008D1AE9" w:rsidRPr="0098635C" w:rsidRDefault="008D1AE9" w:rsidP="008D1AE9">
      <w:pPr>
        <w:rPr>
          <w:color w:val="000000" w:themeColor="text1"/>
          <w:sz w:val="20"/>
          <w:szCs w:val="20"/>
        </w:rPr>
      </w:pPr>
      <w:r w:rsidRPr="0098635C">
        <w:rPr>
          <w:color w:val="000000" w:themeColor="text1"/>
          <w:sz w:val="20"/>
          <w:szCs w:val="20"/>
        </w:rPr>
        <w:t>The results of these studies (</w:t>
      </w:r>
      <w:r w:rsidR="00E230FB" w:rsidRPr="0098635C">
        <w:rPr>
          <w:color w:val="000000" w:themeColor="text1"/>
          <w:sz w:val="20"/>
          <w:szCs w:val="20"/>
        </w:rPr>
        <w:fldChar w:fldCharType="begin"/>
      </w:r>
      <w:r w:rsidRPr="0098635C">
        <w:rPr>
          <w:color w:val="000000" w:themeColor="text1"/>
          <w:sz w:val="20"/>
          <w:szCs w:val="20"/>
        </w:rPr>
        <w:instrText xml:space="preserve"> REF _Ref260389705 \h </w:instrText>
      </w:r>
      <w:r w:rsidR="00E230FB" w:rsidRPr="0098635C">
        <w:rPr>
          <w:color w:val="000000" w:themeColor="text1"/>
          <w:sz w:val="20"/>
          <w:szCs w:val="20"/>
        </w:rPr>
      </w:r>
      <w:r w:rsidR="0098635C">
        <w:rPr>
          <w:color w:val="000000" w:themeColor="text1"/>
          <w:sz w:val="20"/>
          <w:szCs w:val="20"/>
        </w:rPr>
        <w:instrText xml:space="preserve"> \* MERGEFORMAT </w:instrText>
      </w:r>
      <w:r w:rsidR="00E230FB" w:rsidRPr="0098635C">
        <w:rPr>
          <w:color w:val="000000" w:themeColor="text1"/>
          <w:sz w:val="20"/>
          <w:szCs w:val="20"/>
        </w:rPr>
        <w:fldChar w:fldCharType="separate"/>
      </w:r>
      <w:r w:rsidR="005E5161" w:rsidRPr="0098635C">
        <w:rPr>
          <w:b/>
          <w:color w:val="000000" w:themeColor="text1"/>
          <w:sz w:val="20"/>
          <w:szCs w:val="20"/>
        </w:rPr>
        <w:t xml:space="preserve">Table </w:t>
      </w:r>
      <w:r w:rsidR="005E5161" w:rsidRPr="0098635C">
        <w:rPr>
          <w:b/>
          <w:noProof/>
          <w:color w:val="000000" w:themeColor="text1"/>
          <w:sz w:val="20"/>
          <w:szCs w:val="20"/>
        </w:rPr>
        <w:t>19</w:t>
      </w:r>
      <w:r w:rsidR="00E230FB" w:rsidRPr="0098635C">
        <w:rPr>
          <w:color w:val="000000" w:themeColor="text1"/>
          <w:sz w:val="20"/>
          <w:szCs w:val="20"/>
        </w:rPr>
        <w:fldChar w:fldCharType="end"/>
      </w:r>
      <w:r w:rsidRPr="0098635C">
        <w:rPr>
          <w:color w:val="000000" w:themeColor="text1"/>
          <w:sz w:val="20"/>
          <w:szCs w:val="20"/>
        </w:rPr>
        <w:t>) therefore demonstrate minimal to moderate effects at &gt;100 mg CuSO</w:t>
      </w:r>
      <w:r w:rsidRPr="0098635C">
        <w:rPr>
          <w:color w:val="000000" w:themeColor="text1"/>
          <w:sz w:val="20"/>
          <w:szCs w:val="20"/>
          <w:vertAlign w:val="subscript"/>
        </w:rPr>
        <w:t>4</w:t>
      </w:r>
      <w:r w:rsidRPr="0098635C">
        <w:rPr>
          <w:color w:val="000000" w:themeColor="text1"/>
          <w:sz w:val="20"/>
          <w:szCs w:val="20"/>
        </w:rPr>
        <w:t>/ kg bw/day and severe effects of CuSO</w:t>
      </w:r>
      <w:r w:rsidRPr="0098635C">
        <w:rPr>
          <w:color w:val="000000" w:themeColor="text1"/>
          <w:sz w:val="20"/>
          <w:szCs w:val="20"/>
          <w:vertAlign w:val="subscript"/>
        </w:rPr>
        <w:t>4</w:t>
      </w:r>
      <w:r w:rsidRPr="0098635C">
        <w:rPr>
          <w:color w:val="000000" w:themeColor="text1"/>
          <w:sz w:val="20"/>
          <w:szCs w:val="20"/>
        </w:rPr>
        <w:t xml:space="preserve"> in the kidney and liver &gt; 200 mg CuSO</w:t>
      </w:r>
      <w:r w:rsidRPr="0098635C">
        <w:rPr>
          <w:color w:val="000000" w:themeColor="text1"/>
          <w:sz w:val="20"/>
          <w:szCs w:val="20"/>
          <w:vertAlign w:val="subscript"/>
        </w:rPr>
        <w:t xml:space="preserve">4 </w:t>
      </w:r>
      <w:r w:rsidRPr="0098635C">
        <w:rPr>
          <w:color w:val="000000" w:themeColor="text1"/>
          <w:sz w:val="20"/>
          <w:szCs w:val="20"/>
        </w:rPr>
        <w:t>/kg bw/day. This study is considered to be the pivotal study for Cu</w:t>
      </w:r>
      <w:r w:rsidRPr="0098635C">
        <w:rPr>
          <w:color w:val="000000" w:themeColor="text1"/>
          <w:sz w:val="20"/>
          <w:szCs w:val="20"/>
          <w:vertAlign w:val="superscript"/>
        </w:rPr>
        <w:t>2+</w:t>
      </w:r>
      <w:r w:rsidRPr="0098635C">
        <w:rPr>
          <w:color w:val="000000" w:themeColor="text1"/>
          <w:position w:val="16"/>
          <w:sz w:val="20"/>
          <w:szCs w:val="20"/>
        </w:rPr>
        <w:t xml:space="preserve"> </w:t>
      </w:r>
      <w:r w:rsidRPr="0098635C">
        <w:rPr>
          <w:color w:val="000000" w:themeColor="text1"/>
          <w:sz w:val="20"/>
          <w:szCs w:val="20"/>
        </w:rPr>
        <w:t xml:space="preserve">presented as copper sulphate pentahydrate and results in an NOAEL of 16.7 mg Cu /kg/bw/day in the rat. </w:t>
      </w:r>
    </w:p>
    <w:p w14:paraId="3EAFE5D3" w14:textId="1AF27DAD" w:rsidR="006139A2" w:rsidRPr="0098635C" w:rsidRDefault="00D05142" w:rsidP="006139A2">
      <w:pPr>
        <w:pStyle w:val="Default"/>
        <w:rPr>
          <w:color w:val="000000" w:themeColor="text1"/>
          <w:sz w:val="20"/>
          <w:szCs w:val="20"/>
        </w:rPr>
      </w:pPr>
      <w:r w:rsidRPr="0098635C">
        <w:rPr>
          <w:color w:val="000000" w:themeColor="text1"/>
          <w:sz w:val="20"/>
          <w:szCs w:val="20"/>
        </w:rPr>
        <w:t>In repeated dose toxicity study performed according to OECD TG 422, copper monochloride was given orally (gavage) to Sprague-Dawley rats for 30 days to males and for 39 – 51 days to females at concentrations of 0, 1.3, 5.0, 20, and 80 mg</w:t>
      </w:r>
      <w:r w:rsidR="006139A2" w:rsidRPr="0098635C">
        <w:rPr>
          <w:color w:val="000000" w:themeColor="text1"/>
          <w:sz w:val="20"/>
          <w:szCs w:val="20"/>
        </w:rPr>
        <w:t xml:space="preserve"> copper monochloride </w:t>
      </w:r>
      <w:r w:rsidRPr="0098635C">
        <w:rPr>
          <w:color w:val="000000" w:themeColor="text1"/>
          <w:sz w:val="20"/>
          <w:szCs w:val="20"/>
        </w:rPr>
        <w:t>/kg bw/day</w:t>
      </w:r>
      <w:r w:rsidR="00E673F6" w:rsidRPr="0098635C">
        <w:rPr>
          <w:color w:val="000000" w:themeColor="text1"/>
          <w:sz w:val="20"/>
          <w:szCs w:val="20"/>
        </w:rPr>
        <w:t xml:space="preserve"> (Chung et al., 200</w:t>
      </w:r>
      <w:r w:rsidR="00632865" w:rsidRPr="0098635C">
        <w:rPr>
          <w:color w:val="000000" w:themeColor="text1"/>
          <w:sz w:val="20"/>
          <w:szCs w:val="20"/>
        </w:rPr>
        <w:t>9</w:t>
      </w:r>
      <w:r w:rsidR="00E673F6" w:rsidRPr="0098635C">
        <w:rPr>
          <w:color w:val="000000" w:themeColor="text1"/>
          <w:sz w:val="20"/>
          <w:szCs w:val="20"/>
        </w:rPr>
        <w:t>)</w:t>
      </w:r>
      <w:r w:rsidR="006139A2" w:rsidRPr="0098635C">
        <w:rPr>
          <w:color w:val="000000" w:themeColor="text1"/>
          <w:sz w:val="20"/>
          <w:szCs w:val="20"/>
        </w:rPr>
        <w:t>. With regard to general effects of repeated exposure, systemic toxicity was evident at 80 mg copper monochloride /kg bw/d</w:t>
      </w:r>
      <w:r w:rsidR="00086456" w:rsidRPr="0098635C">
        <w:rPr>
          <w:color w:val="000000" w:themeColor="text1"/>
          <w:sz w:val="20"/>
          <w:szCs w:val="20"/>
        </w:rPr>
        <w:t xml:space="preserve">  (corresp</w:t>
      </w:r>
      <w:r w:rsidR="00E673F6" w:rsidRPr="0098635C">
        <w:rPr>
          <w:color w:val="000000" w:themeColor="text1"/>
          <w:sz w:val="20"/>
          <w:szCs w:val="20"/>
        </w:rPr>
        <w:t>onding to 48 mg Cu /kg bw/d)</w:t>
      </w:r>
      <w:r w:rsidR="006139A2" w:rsidRPr="0098635C">
        <w:rPr>
          <w:color w:val="000000" w:themeColor="text1"/>
          <w:sz w:val="20"/>
          <w:szCs w:val="20"/>
        </w:rPr>
        <w:t>,</w:t>
      </w:r>
      <w:r w:rsidR="00E673F6" w:rsidRPr="0098635C">
        <w:rPr>
          <w:color w:val="000000" w:themeColor="text1"/>
          <w:sz w:val="20"/>
          <w:szCs w:val="20"/>
        </w:rPr>
        <w:t xml:space="preserve"> </w:t>
      </w:r>
      <w:r w:rsidR="006139A2" w:rsidRPr="0098635C">
        <w:rPr>
          <w:color w:val="000000" w:themeColor="text1"/>
          <w:sz w:val="20"/>
          <w:szCs w:val="20"/>
        </w:rPr>
        <w:t xml:space="preserve"> consisting of some altered haematological parameters (males and females), changes in some biochemical parameters (males only) and increased incidence of femoral marrow hyperplasia (males only). Squamous cell hyperplasia of the stomach showed a significant, dose-related increase in males at 20 mg</w:t>
      </w:r>
      <w:r w:rsidR="007A181A" w:rsidRPr="0098635C">
        <w:rPr>
          <w:color w:val="000000" w:themeColor="text1"/>
          <w:sz w:val="20"/>
          <w:szCs w:val="20"/>
        </w:rPr>
        <w:t xml:space="preserve"> copper monochloride </w:t>
      </w:r>
      <w:r w:rsidR="006139A2" w:rsidRPr="0098635C">
        <w:rPr>
          <w:color w:val="000000" w:themeColor="text1"/>
          <w:sz w:val="20"/>
          <w:szCs w:val="20"/>
        </w:rPr>
        <w:t>/kg bw/d and above and in females at 5 mg</w:t>
      </w:r>
      <w:r w:rsidR="007A181A" w:rsidRPr="0098635C">
        <w:rPr>
          <w:color w:val="000000" w:themeColor="text1"/>
          <w:sz w:val="20"/>
          <w:szCs w:val="20"/>
        </w:rPr>
        <w:t xml:space="preserve"> copper monochloride </w:t>
      </w:r>
      <w:r w:rsidR="006139A2" w:rsidRPr="0098635C">
        <w:rPr>
          <w:color w:val="000000" w:themeColor="text1"/>
          <w:sz w:val="20"/>
          <w:szCs w:val="20"/>
        </w:rPr>
        <w:t xml:space="preserve">/kg bw/d and above. These effects, which were considered to be a direct effect of the </w:t>
      </w:r>
      <w:r w:rsidR="00981670" w:rsidRPr="0098635C">
        <w:rPr>
          <w:color w:val="000000" w:themeColor="text1"/>
          <w:sz w:val="20"/>
          <w:szCs w:val="20"/>
        </w:rPr>
        <w:t xml:space="preserve">corrosive </w:t>
      </w:r>
      <w:r w:rsidR="006139A2" w:rsidRPr="0098635C">
        <w:rPr>
          <w:color w:val="000000" w:themeColor="text1"/>
          <w:sz w:val="20"/>
          <w:szCs w:val="20"/>
        </w:rPr>
        <w:t xml:space="preserve">properties of copper chloride, are not consider relevant for the hazard profile of </w:t>
      </w:r>
      <w:r w:rsidR="007A181A" w:rsidRPr="0098635C">
        <w:rPr>
          <w:color w:val="000000" w:themeColor="text1"/>
          <w:sz w:val="20"/>
          <w:szCs w:val="20"/>
        </w:rPr>
        <w:t>other copper containing materials</w:t>
      </w:r>
      <w:r w:rsidR="006139A2" w:rsidRPr="0098635C">
        <w:rPr>
          <w:color w:val="000000" w:themeColor="text1"/>
          <w:sz w:val="20"/>
          <w:szCs w:val="20"/>
        </w:rPr>
        <w:t xml:space="preserve">.  </w:t>
      </w:r>
    </w:p>
    <w:p w14:paraId="5DED9DB8" w14:textId="63CC0E6B" w:rsidR="008D1AE9" w:rsidRPr="0098635C" w:rsidRDefault="006139A2" w:rsidP="008D1AE9">
      <w:pPr>
        <w:spacing w:after="0"/>
        <w:rPr>
          <w:color w:val="000000" w:themeColor="text1"/>
          <w:sz w:val="20"/>
          <w:szCs w:val="20"/>
        </w:rPr>
      </w:pPr>
      <w:r w:rsidRPr="0098635C">
        <w:rPr>
          <w:color w:val="000000" w:themeColor="text1"/>
          <w:sz w:val="20"/>
          <w:szCs w:val="20"/>
        </w:rPr>
        <w:t xml:space="preserve"> </w:t>
      </w:r>
    </w:p>
    <w:p w14:paraId="7FC88AF5" w14:textId="35FDBEE8" w:rsidR="008D1AE9" w:rsidRPr="0098635C" w:rsidRDefault="008D1AE9" w:rsidP="008D1AE9">
      <w:pPr>
        <w:pStyle w:val="BodyText"/>
        <w:rPr>
          <w:color w:val="000000" w:themeColor="text1"/>
          <w:sz w:val="20"/>
        </w:rPr>
      </w:pPr>
      <w:r w:rsidRPr="0098635C">
        <w:rPr>
          <w:color w:val="000000" w:themeColor="text1"/>
          <w:sz w:val="20"/>
        </w:rPr>
        <w:t xml:space="preserve">Aburto et al (2001) investigated the hepatic effects of repeated exposure to dietary copper </w:t>
      </w:r>
      <w:r w:rsidR="00CA5628" w:rsidRPr="0098635C">
        <w:rPr>
          <w:color w:val="000000" w:themeColor="text1"/>
          <w:sz w:val="20"/>
        </w:rPr>
        <w:t>(administered as CuSO</w:t>
      </w:r>
      <w:r w:rsidR="00CA5628" w:rsidRPr="0098635C">
        <w:rPr>
          <w:color w:val="000000" w:themeColor="text1"/>
          <w:sz w:val="20"/>
          <w:vertAlign w:val="subscript"/>
        </w:rPr>
        <w:t>4</w:t>
      </w:r>
      <w:r w:rsidR="00CA5628" w:rsidRPr="0098635C">
        <w:rPr>
          <w:color w:val="000000" w:themeColor="text1"/>
          <w:sz w:val="20"/>
        </w:rPr>
        <w:t>)</w:t>
      </w:r>
      <w:r w:rsidRPr="0098635C">
        <w:rPr>
          <w:color w:val="000000" w:themeColor="text1"/>
          <w:sz w:val="20"/>
        </w:rPr>
        <w:t xml:space="preserve"> in Fischer 344 rats. The results show that repeated exposure to dietary copper at 1500 mg</w:t>
      </w:r>
      <w:r w:rsidR="00CA5628" w:rsidRPr="0098635C">
        <w:rPr>
          <w:color w:val="000000" w:themeColor="text1"/>
          <w:sz w:val="20"/>
        </w:rPr>
        <w:t xml:space="preserve"> Cu</w:t>
      </w:r>
      <w:r w:rsidRPr="0098635C">
        <w:rPr>
          <w:color w:val="000000" w:themeColor="text1"/>
          <w:sz w:val="20"/>
        </w:rPr>
        <w:t>/kg and above for three months caused significant hepatotoxicity (increased number of parenchymal necro-inflammatory foci in a defined area) and reduced weight gain in rats.  Based on these conclusions, the NOAEL for this effect would be 1250 mg</w:t>
      </w:r>
      <w:r w:rsidR="00CA5628" w:rsidRPr="0098635C">
        <w:rPr>
          <w:color w:val="000000" w:themeColor="text1"/>
          <w:sz w:val="20"/>
        </w:rPr>
        <w:t xml:space="preserve"> Cu</w:t>
      </w:r>
      <w:r w:rsidRPr="0098635C">
        <w:rPr>
          <w:color w:val="000000" w:themeColor="text1"/>
          <w:sz w:val="20"/>
        </w:rPr>
        <w:t>/kg (103 mg/kgBW/day).   However, in view of the dose-related increase in histopathological changes which occurred with all treatments (750 to 2000 mg</w:t>
      </w:r>
      <w:r w:rsidR="00CA5628" w:rsidRPr="0098635C">
        <w:rPr>
          <w:color w:val="000000" w:themeColor="text1"/>
          <w:sz w:val="20"/>
        </w:rPr>
        <w:t xml:space="preserve"> Cu</w:t>
      </w:r>
      <w:r w:rsidRPr="0098635C">
        <w:rPr>
          <w:color w:val="000000" w:themeColor="text1"/>
          <w:sz w:val="20"/>
        </w:rPr>
        <w:t xml:space="preserve">/kg), it is not possible to identify a NOAEL from this study; The derived LOAEL for this study </w:t>
      </w:r>
      <w:r w:rsidR="00484E4D" w:rsidRPr="0098635C">
        <w:rPr>
          <w:color w:val="000000" w:themeColor="text1"/>
          <w:sz w:val="20"/>
        </w:rPr>
        <w:t xml:space="preserve">with a Reliability Score of 2 </w:t>
      </w:r>
      <w:r w:rsidRPr="0098635C">
        <w:rPr>
          <w:color w:val="000000" w:themeColor="text1"/>
          <w:sz w:val="20"/>
        </w:rPr>
        <w:t>was 62 mg/kgBW/d.</w:t>
      </w:r>
    </w:p>
    <w:p w14:paraId="4B87E784" w14:textId="07A2BEC7" w:rsidR="008D1AE9" w:rsidRPr="0098635C" w:rsidRDefault="008D1AE9" w:rsidP="008D1AE9">
      <w:pPr>
        <w:pStyle w:val="BodyText"/>
        <w:rPr>
          <w:color w:val="000000" w:themeColor="text1"/>
          <w:sz w:val="20"/>
        </w:rPr>
      </w:pPr>
      <w:r w:rsidRPr="0098635C">
        <w:rPr>
          <w:color w:val="000000" w:themeColor="text1"/>
          <w:sz w:val="20"/>
        </w:rPr>
        <w:lastRenderedPageBreak/>
        <w:t>Other, less reliable studies investigating the effects of repeated oral exposure to copper confirm the findings of the Hébert studies, namely that the liver is the target organ for copper-related toxicity, and that effects are the same irrespective of strain. Cristofori et al (1992) demonstrated significant copper accumulation in liver, kidney and paw tissue in female Sprague Dawley rats fed a diet containing 200 mg</w:t>
      </w:r>
      <w:r w:rsidR="00CA5628" w:rsidRPr="0098635C">
        <w:rPr>
          <w:color w:val="000000" w:themeColor="text1"/>
          <w:sz w:val="20"/>
        </w:rPr>
        <w:t xml:space="preserve"> Cu</w:t>
      </w:r>
      <w:r w:rsidRPr="0098635C">
        <w:rPr>
          <w:color w:val="000000" w:themeColor="text1"/>
          <w:sz w:val="20"/>
        </w:rPr>
        <w:t>/kg</w:t>
      </w:r>
      <w:r w:rsidR="00CA5628" w:rsidRPr="0098635C">
        <w:rPr>
          <w:color w:val="000000" w:themeColor="text1"/>
          <w:sz w:val="20"/>
        </w:rPr>
        <w:t xml:space="preserve"> diet</w:t>
      </w:r>
      <w:r w:rsidRPr="0098635C">
        <w:rPr>
          <w:color w:val="000000" w:themeColor="text1"/>
          <w:sz w:val="20"/>
        </w:rPr>
        <w:t xml:space="preserve">  (20 mg</w:t>
      </w:r>
      <w:r w:rsidR="00CA5628" w:rsidRPr="0098635C">
        <w:rPr>
          <w:color w:val="000000" w:themeColor="text1"/>
          <w:sz w:val="20"/>
        </w:rPr>
        <w:t xml:space="preserve"> Cu</w:t>
      </w:r>
      <w:r w:rsidRPr="0098635C">
        <w:rPr>
          <w:color w:val="000000" w:themeColor="text1"/>
          <w:sz w:val="20"/>
        </w:rPr>
        <w:t>/kgBW/day) copper without any signs of associated toxicity.  Based on the absence of toxicity at the dose level investigated, a NOAEL of 20 mg</w:t>
      </w:r>
      <w:r w:rsidR="00CA5628" w:rsidRPr="0098635C">
        <w:rPr>
          <w:color w:val="000000" w:themeColor="text1"/>
          <w:sz w:val="20"/>
        </w:rPr>
        <w:t xml:space="preserve"> Cu</w:t>
      </w:r>
      <w:r w:rsidRPr="0098635C">
        <w:rPr>
          <w:color w:val="000000" w:themeColor="text1"/>
          <w:sz w:val="20"/>
        </w:rPr>
        <w:t>/kgBW/day can be determined for this study. Other dietary studies with limited reliability for which no NOAEL could be derived, were published by Haywood (1980; effects of repeated ingestion of copper on the liver and kidney of male rats), Haywood and Comerford  (</w:t>
      </w:r>
      <w:r w:rsidR="00622F60" w:rsidRPr="0098635C">
        <w:rPr>
          <w:color w:val="000000" w:themeColor="text1"/>
          <w:sz w:val="20"/>
        </w:rPr>
        <w:t>1</w:t>
      </w:r>
      <w:r w:rsidRPr="0098635C">
        <w:rPr>
          <w:color w:val="000000" w:themeColor="text1"/>
          <w:sz w:val="20"/>
        </w:rPr>
        <w:t>980; effects of repeated ingestion of copper on blood and plasma levels of copper, ceruloplasmin activity, and biochemical indicators of liver damage and haemolysis), Haywood and Loughran (1985; induced tolerance to high copper levels in rats, leading to reduced liver damage), Fuentealba et al (2000; copper-induced liver damage as a function of age and sex differences), Fuentealba et al (1989; copper accumulation in liver and associated effects),  and by Liu and Medeiros (1986; the effects of excess dietary copper on blood pressure and haematological parameters). All these studies have reported LOAELs for hepatotoxicity in rats of 40 mg Cu/kgBW/day and above, which are not at variance with the findings of the NTP study</w:t>
      </w:r>
    </w:p>
    <w:p w14:paraId="37C99F60" w14:textId="62918C71" w:rsidR="008D1AE9" w:rsidRPr="0098635C" w:rsidRDefault="008D1AE9" w:rsidP="008D1AE9">
      <w:pPr>
        <w:pStyle w:val="BodyText"/>
        <w:rPr>
          <w:color w:val="000000" w:themeColor="text1"/>
          <w:sz w:val="20"/>
        </w:rPr>
      </w:pPr>
      <w:r w:rsidRPr="0098635C">
        <w:rPr>
          <w:color w:val="000000" w:themeColor="text1"/>
          <w:sz w:val="20"/>
        </w:rPr>
        <w:t>Finally, Rana and Kumar (1980) investigated effects on liver and kidney histopathology and haematological parameters in male albino rats repeatedly treated by gavage with a single fixed dos</w:t>
      </w:r>
      <w:r w:rsidR="00F35D64" w:rsidRPr="0098635C">
        <w:rPr>
          <w:color w:val="000000" w:themeColor="text1"/>
          <w:sz w:val="20"/>
        </w:rPr>
        <w:t>e</w:t>
      </w:r>
      <w:r w:rsidRPr="0098635C">
        <w:rPr>
          <w:color w:val="000000" w:themeColor="text1"/>
          <w:sz w:val="20"/>
        </w:rPr>
        <w:t xml:space="preserve"> of CuSO</w:t>
      </w:r>
      <w:r w:rsidRPr="0098635C">
        <w:rPr>
          <w:color w:val="000000" w:themeColor="text1"/>
          <w:sz w:val="20"/>
          <w:vertAlign w:val="subscript"/>
        </w:rPr>
        <w:t>4</w:t>
      </w:r>
      <w:r w:rsidRPr="0098635C">
        <w:rPr>
          <w:color w:val="000000" w:themeColor="text1"/>
          <w:sz w:val="20"/>
        </w:rPr>
        <w:t xml:space="preserve"> during 20 days (40 mg</w:t>
      </w:r>
      <w:r w:rsidR="00CA5628" w:rsidRPr="0098635C">
        <w:rPr>
          <w:color w:val="000000" w:themeColor="text1"/>
          <w:sz w:val="20"/>
        </w:rPr>
        <w:t xml:space="preserve"> Cu</w:t>
      </w:r>
      <w:r w:rsidRPr="0098635C">
        <w:rPr>
          <w:color w:val="000000" w:themeColor="text1"/>
          <w:sz w:val="20"/>
        </w:rPr>
        <w:t>/kgBW/day). This study demonstrated hepatotoxicity, renal toxicity and some haemotological changes in rats, but due to the absence of a no-effect dosis, no NOAEL could be determined for this study.</w:t>
      </w:r>
    </w:p>
    <w:p w14:paraId="4CF3F958" w14:textId="77777777" w:rsidR="008D1AE9" w:rsidRPr="0098635C" w:rsidRDefault="008D1AE9" w:rsidP="008D1AE9">
      <w:pPr>
        <w:rPr>
          <w:color w:val="000000" w:themeColor="text1"/>
          <w:sz w:val="20"/>
          <w:szCs w:val="20"/>
        </w:rPr>
      </w:pPr>
    </w:p>
    <w:p w14:paraId="46B18C25" w14:textId="77777777" w:rsidR="008D1AE9" w:rsidRPr="0098635C" w:rsidRDefault="008D1AE9" w:rsidP="008D1AE9">
      <w:pPr>
        <w:spacing w:before="240"/>
        <w:rPr>
          <w:color w:val="000000" w:themeColor="text1"/>
          <w:sz w:val="20"/>
          <w:szCs w:val="20"/>
        </w:rPr>
        <w:sectPr w:rsidR="008D1AE9" w:rsidRPr="0098635C" w:rsidSect="00AF385A">
          <w:footerReference w:type="even" r:id="rId31"/>
          <w:pgSz w:w="11909" w:h="16834" w:code="9"/>
          <w:pgMar w:top="1418" w:right="1418" w:bottom="1418" w:left="1418" w:header="720" w:footer="720" w:gutter="0"/>
          <w:cols w:space="720"/>
        </w:sectPr>
      </w:pPr>
    </w:p>
    <w:p w14:paraId="245A45DA" w14:textId="629A9757" w:rsidR="008D1AE9" w:rsidRPr="0098635C" w:rsidRDefault="008D1AE9" w:rsidP="00926614">
      <w:pPr>
        <w:pStyle w:val="Caption"/>
        <w:ind w:left="0"/>
        <w:jc w:val="center"/>
        <w:rPr>
          <w:b w:val="0"/>
          <w:color w:val="000000" w:themeColor="text1"/>
          <w:sz w:val="20"/>
          <w:lang w:val="en-GB"/>
        </w:rPr>
      </w:pPr>
      <w:bookmarkStart w:id="1765" w:name="_Ref260389705"/>
      <w:r w:rsidRPr="0098635C">
        <w:rPr>
          <w:b w:val="0"/>
          <w:color w:val="000000" w:themeColor="text1"/>
          <w:sz w:val="20"/>
        </w:rPr>
        <w:lastRenderedPageBreak/>
        <w:t xml:space="preserve">Table </w:t>
      </w:r>
      <w:r w:rsidR="00E230FB" w:rsidRPr="0098635C">
        <w:rPr>
          <w:b w:val="0"/>
          <w:color w:val="000000" w:themeColor="text1"/>
          <w:sz w:val="20"/>
        </w:rPr>
        <w:fldChar w:fldCharType="begin"/>
      </w:r>
      <w:r w:rsidRPr="0098635C">
        <w:rPr>
          <w:b w:val="0"/>
          <w:color w:val="000000" w:themeColor="text1"/>
          <w:sz w:val="20"/>
        </w:rPr>
        <w:instrText xml:space="preserve"> SEQ Table \* ARABIC </w:instrText>
      </w:r>
      <w:r w:rsidR="00E230FB" w:rsidRPr="0098635C">
        <w:rPr>
          <w:b w:val="0"/>
          <w:color w:val="000000" w:themeColor="text1"/>
          <w:sz w:val="20"/>
        </w:rPr>
        <w:fldChar w:fldCharType="separate"/>
      </w:r>
      <w:r w:rsidR="005E5161" w:rsidRPr="0098635C">
        <w:rPr>
          <w:b w:val="0"/>
          <w:noProof/>
          <w:color w:val="000000" w:themeColor="text1"/>
          <w:sz w:val="20"/>
        </w:rPr>
        <w:t>19</w:t>
      </w:r>
      <w:r w:rsidR="00E230FB" w:rsidRPr="0098635C">
        <w:rPr>
          <w:b w:val="0"/>
          <w:color w:val="000000" w:themeColor="text1"/>
          <w:sz w:val="20"/>
        </w:rPr>
        <w:fldChar w:fldCharType="end"/>
      </w:r>
      <w:bookmarkEnd w:id="1765"/>
      <w:r w:rsidRPr="0098635C">
        <w:rPr>
          <w:b w:val="0"/>
          <w:color w:val="000000" w:themeColor="text1"/>
          <w:sz w:val="20"/>
        </w:rPr>
        <w:t xml:space="preserve">: </w:t>
      </w:r>
      <w:r w:rsidRPr="0098635C">
        <w:rPr>
          <w:b w:val="0"/>
          <w:color w:val="000000" w:themeColor="text1"/>
          <w:sz w:val="20"/>
          <w:lang w:val="en-GB"/>
        </w:rPr>
        <w:t>Summary of studies investigating repeated dose toxicity in animals</w:t>
      </w:r>
    </w:p>
    <w:tbl>
      <w:tblPr>
        <w:tblW w:w="1371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93"/>
        <w:gridCol w:w="1184"/>
        <w:gridCol w:w="815"/>
        <w:gridCol w:w="1452"/>
        <w:gridCol w:w="1111"/>
        <w:gridCol w:w="666"/>
        <w:gridCol w:w="790"/>
        <w:gridCol w:w="3608"/>
        <w:gridCol w:w="2134"/>
        <w:gridCol w:w="861"/>
      </w:tblGrid>
      <w:tr w:rsidR="000E40C4" w:rsidRPr="0098635C" w14:paraId="039B9EBF" w14:textId="77777777" w:rsidTr="00926614">
        <w:trPr>
          <w:cantSplit/>
          <w:trHeight w:val="330"/>
          <w:tblHeader/>
        </w:trPr>
        <w:tc>
          <w:tcPr>
            <w:tcW w:w="0" w:type="auto"/>
            <w:vMerge w:val="restart"/>
          </w:tcPr>
          <w:p w14:paraId="363690F1" w14:textId="77777777" w:rsidR="008D1AE9" w:rsidRPr="0098635C" w:rsidRDefault="008D1AE9" w:rsidP="00AF385A">
            <w:pPr>
              <w:pStyle w:val="Tableheading"/>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Reference</w:t>
            </w:r>
          </w:p>
        </w:tc>
        <w:tc>
          <w:tcPr>
            <w:tcW w:w="0" w:type="auto"/>
            <w:vMerge w:val="restart"/>
          </w:tcPr>
          <w:p w14:paraId="666331BC" w14:textId="77777777" w:rsidR="008D1AE9" w:rsidRPr="0098635C" w:rsidRDefault="008D1AE9" w:rsidP="00AF385A">
            <w:pPr>
              <w:pStyle w:val="Tableheading"/>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Species/strain</w:t>
            </w:r>
          </w:p>
        </w:tc>
        <w:tc>
          <w:tcPr>
            <w:tcW w:w="0" w:type="auto"/>
            <w:vMerge w:val="restart"/>
          </w:tcPr>
          <w:p w14:paraId="0677DE61" w14:textId="77777777" w:rsidR="008D1AE9" w:rsidRPr="0098635C" w:rsidRDefault="008D1AE9" w:rsidP="00AF385A">
            <w:pPr>
              <w:pStyle w:val="Tableheading"/>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Exposure</w:t>
            </w:r>
          </w:p>
          <w:p w14:paraId="3F9AE3FD" w14:textId="77777777" w:rsidR="008D1AE9" w:rsidRPr="0098635C" w:rsidRDefault="008D1AE9" w:rsidP="00AF385A">
            <w:pPr>
              <w:pStyle w:val="Tableheading"/>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Route</w:t>
            </w:r>
          </w:p>
        </w:tc>
        <w:tc>
          <w:tcPr>
            <w:tcW w:w="1452" w:type="dxa"/>
            <w:vMerge w:val="restart"/>
          </w:tcPr>
          <w:p w14:paraId="342935F4" w14:textId="77777777" w:rsidR="008D1AE9" w:rsidRPr="0098635C" w:rsidRDefault="008D1AE9" w:rsidP="00AF385A">
            <w:pPr>
              <w:pStyle w:val="Tableheading"/>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Treatment</w:t>
            </w:r>
          </w:p>
        </w:tc>
        <w:tc>
          <w:tcPr>
            <w:tcW w:w="2567" w:type="dxa"/>
            <w:gridSpan w:val="3"/>
          </w:tcPr>
          <w:p w14:paraId="2C07B1B3" w14:textId="77777777" w:rsidR="008D1AE9" w:rsidRPr="0098635C" w:rsidRDefault="008D1AE9" w:rsidP="00AF385A">
            <w:pPr>
              <w:pStyle w:val="Tableheading"/>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Oral dose of copper</w:t>
            </w:r>
          </w:p>
        </w:tc>
        <w:tc>
          <w:tcPr>
            <w:tcW w:w="0" w:type="auto"/>
            <w:vMerge w:val="restart"/>
          </w:tcPr>
          <w:p w14:paraId="3E38F49F" w14:textId="77777777" w:rsidR="008D1AE9" w:rsidRPr="0098635C" w:rsidRDefault="008D1AE9" w:rsidP="00AF385A">
            <w:pPr>
              <w:pStyle w:val="Tableheading"/>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Results</w:t>
            </w:r>
          </w:p>
        </w:tc>
        <w:tc>
          <w:tcPr>
            <w:tcW w:w="2134" w:type="dxa"/>
            <w:vMerge w:val="restart"/>
          </w:tcPr>
          <w:p w14:paraId="2A0D5460" w14:textId="77777777" w:rsidR="008D1AE9" w:rsidRPr="0098635C" w:rsidRDefault="008D1AE9" w:rsidP="00AF385A">
            <w:pPr>
              <w:pStyle w:val="Tableheading"/>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LOAEL/NOAEL</w:t>
            </w:r>
          </w:p>
        </w:tc>
        <w:tc>
          <w:tcPr>
            <w:tcW w:w="861" w:type="dxa"/>
            <w:vMerge w:val="restart"/>
          </w:tcPr>
          <w:p w14:paraId="5C6AADD5" w14:textId="77777777" w:rsidR="008D1AE9" w:rsidRPr="0098635C" w:rsidRDefault="008D1AE9" w:rsidP="00AF385A">
            <w:pPr>
              <w:pStyle w:val="Tableheading"/>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Study rating</w:t>
            </w:r>
            <w:r w:rsidRPr="0098635C">
              <w:rPr>
                <w:rFonts w:ascii="Times New Roman" w:hAnsi="Times New Roman" w:cs="Times New Roman"/>
                <w:i/>
                <w:color w:val="000000" w:themeColor="text1"/>
                <w:sz w:val="20"/>
                <w:szCs w:val="20"/>
                <w:vertAlign w:val="superscript"/>
              </w:rPr>
              <w:t>a</w:t>
            </w:r>
          </w:p>
        </w:tc>
      </w:tr>
      <w:tr w:rsidR="000E40C4" w:rsidRPr="0098635C" w14:paraId="12E9B606" w14:textId="77777777" w:rsidTr="00926614">
        <w:trPr>
          <w:cantSplit/>
          <w:trHeight w:val="330"/>
          <w:tblHeader/>
        </w:trPr>
        <w:tc>
          <w:tcPr>
            <w:tcW w:w="0" w:type="auto"/>
            <w:vMerge/>
          </w:tcPr>
          <w:p w14:paraId="0425BB1D" w14:textId="77777777" w:rsidR="008D1AE9" w:rsidRPr="0098635C" w:rsidRDefault="008D1AE9" w:rsidP="00AF385A">
            <w:pPr>
              <w:pStyle w:val="Tablebody"/>
              <w:rPr>
                <w:rFonts w:ascii="Times New Roman" w:hAnsi="Times New Roman"/>
                <w:color w:val="000000" w:themeColor="text1"/>
                <w:sz w:val="20"/>
                <w:szCs w:val="20"/>
              </w:rPr>
            </w:pPr>
          </w:p>
        </w:tc>
        <w:tc>
          <w:tcPr>
            <w:tcW w:w="0" w:type="auto"/>
            <w:vMerge/>
          </w:tcPr>
          <w:p w14:paraId="36880414" w14:textId="77777777" w:rsidR="008D1AE9" w:rsidRPr="0098635C" w:rsidRDefault="008D1AE9" w:rsidP="00AF385A">
            <w:pPr>
              <w:pStyle w:val="Tablebody"/>
              <w:rPr>
                <w:rFonts w:ascii="Times New Roman" w:hAnsi="Times New Roman"/>
                <w:color w:val="000000" w:themeColor="text1"/>
                <w:sz w:val="20"/>
                <w:szCs w:val="20"/>
              </w:rPr>
            </w:pPr>
          </w:p>
        </w:tc>
        <w:tc>
          <w:tcPr>
            <w:tcW w:w="0" w:type="auto"/>
            <w:vMerge/>
          </w:tcPr>
          <w:p w14:paraId="1B11441E" w14:textId="77777777" w:rsidR="008D1AE9" w:rsidRPr="0098635C" w:rsidRDefault="008D1AE9" w:rsidP="00AF385A">
            <w:pPr>
              <w:pStyle w:val="Tablebody"/>
              <w:rPr>
                <w:rFonts w:ascii="Times New Roman" w:hAnsi="Times New Roman"/>
                <w:color w:val="000000" w:themeColor="text1"/>
                <w:sz w:val="20"/>
                <w:szCs w:val="20"/>
              </w:rPr>
            </w:pPr>
          </w:p>
        </w:tc>
        <w:tc>
          <w:tcPr>
            <w:tcW w:w="1452" w:type="dxa"/>
            <w:vMerge/>
          </w:tcPr>
          <w:p w14:paraId="006EE601" w14:textId="77777777" w:rsidR="008D1AE9" w:rsidRPr="0098635C" w:rsidRDefault="008D1AE9" w:rsidP="00AF385A">
            <w:pPr>
              <w:pStyle w:val="Tablebody"/>
              <w:rPr>
                <w:rFonts w:ascii="Times New Roman" w:hAnsi="Times New Roman"/>
                <w:color w:val="000000" w:themeColor="text1"/>
                <w:sz w:val="20"/>
                <w:szCs w:val="20"/>
              </w:rPr>
            </w:pPr>
          </w:p>
        </w:tc>
        <w:tc>
          <w:tcPr>
            <w:tcW w:w="1111" w:type="dxa"/>
          </w:tcPr>
          <w:p w14:paraId="397A6332" w14:textId="77777777" w:rsidR="008D1AE9" w:rsidRPr="0098635C" w:rsidRDefault="008D1AE9" w:rsidP="00AF385A">
            <w:pPr>
              <w:pStyle w:val="Tableheading"/>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mg/kg diet</w:t>
            </w:r>
          </w:p>
        </w:tc>
        <w:tc>
          <w:tcPr>
            <w:tcW w:w="0" w:type="auto"/>
            <w:gridSpan w:val="2"/>
          </w:tcPr>
          <w:p w14:paraId="273C3CCC" w14:textId="77777777" w:rsidR="008D1AE9" w:rsidRPr="0098635C" w:rsidRDefault="008D1AE9" w:rsidP="00AF385A">
            <w:pPr>
              <w:pStyle w:val="Tableheading"/>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mg/kgBW/day</w:t>
            </w:r>
          </w:p>
        </w:tc>
        <w:tc>
          <w:tcPr>
            <w:tcW w:w="0" w:type="auto"/>
            <w:vMerge/>
          </w:tcPr>
          <w:p w14:paraId="4CF535ED" w14:textId="77777777" w:rsidR="008D1AE9" w:rsidRPr="0098635C" w:rsidRDefault="008D1AE9" w:rsidP="00AF385A">
            <w:pPr>
              <w:pStyle w:val="Tablebody"/>
              <w:rPr>
                <w:rFonts w:ascii="Times New Roman" w:hAnsi="Times New Roman"/>
                <w:color w:val="000000" w:themeColor="text1"/>
                <w:sz w:val="20"/>
                <w:szCs w:val="20"/>
              </w:rPr>
            </w:pPr>
          </w:p>
        </w:tc>
        <w:tc>
          <w:tcPr>
            <w:tcW w:w="2134" w:type="dxa"/>
            <w:vMerge/>
          </w:tcPr>
          <w:p w14:paraId="76229A70" w14:textId="77777777" w:rsidR="008D1AE9" w:rsidRPr="0098635C" w:rsidRDefault="008D1AE9" w:rsidP="00AF385A">
            <w:pPr>
              <w:pStyle w:val="Tablebody"/>
              <w:rPr>
                <w:rFonts w:ascii="Times New Roman" w:hAnsi="Times New Roman"/>
                <w:color w:val="000000" w:themeColor="text1"/>
                <w:sz w:val="20"/>
                <w:szCs w:val="20"/>
              </w:rPr>
            </w:pPr>
          </w:p>
        </w:tc>
        <w:tc>
          <w:tcPr>
            <w:tcW w:w="861" w:type="dxa"/>
            <w:vMerge/>
          </w:tcPr>
          <w:p w14:paraId="288BB69F" w14:textId="77777777" w:rsidR="008D1AE9" w:rsidRPr="0098635C" w:rsidRDefault="008D1AE9" w:rsidP="00AF385A">
            <w:pPr>
              <w:pStyle w:val="Tablebody"/>
              <w:rPr>
                <w:rFonts w:ascii="Times New Roman" w:hAnsi="Times New Roman"/>
                <w:color w:val="000000" w:themeColor="text1"/>
                <w:sz w:val="20"/>
                <w:szCs w:val="20"/>
              </w:rPr>
            </w:pPr>
          </w:p>
        </w:tc>
      </w:tr>
      <w:tr w:rsidR="000E40C4" w:rsidRPr="0098635C" w14:paraId="3B79AFCA" w14:textId="77777777" w:rsidTr="00926614">
        <w:trPr>
          <w:cantSplit/>
        </w:trPr>
        <w:tc>
          <w:tcPr>
            <w:tcW w:w="0" w:type="auto"/>
          </w:tcPr>
          <w:p w14:paraId="2AF8C9DD"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Hébert </w:t>
            </w:r>
            <w:r w:rsidRPr="0098635C">
              <w:rPr>
                <w:rFonts w:ascii="Times New Roman" w:hAnsi="Times New Roman"/>
                <w:i/>
                <w:color w:val="000000" w:themeColor="text1"/>
                <w:sz w:val="20"/>
                <w:szCs w:val="20"/>
              </w:rPr>
              <w:t>et al</w:t>
            </w:r>
            <w:r w:rsidRPr="0098635C">
              <w:rPr>
                <w:rFonts w:ascii="Times New Roman" w:hAnsi="Times New Roman"/>
                <w:color w:val="000000" w:themeColor="text1"/>
                <w:sz w:val="20"/>
                <w:szCs w:val="20"/>
              </w:rPr>
              <w:t xml:space="preserve"> (1993); </w:t>
            </w:r>
          </w:p>
          <w:p w14:paraId="2564FA47"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Hébert (1993)</w:t>
            </w:r>
          </w:p>
        </w:tc>
        <w:tc>
          <w:tcPr>
            <w:tcW w:w="0" w:type="auto"/>
          </w:tcPr>
          <w:p w14:paraId="2DE24B36"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Fischer rat </w:t>
            </w:r>
          </w:p>
          <w:p w14:paraId="5D6C3327" w14:textId="77777777" w:rsidR="008D1AE9" w:rsidRPr="0098635C" w:rsidRDefault="008D1AE9" w:rsidP="00AF385A">
            <w:pPr>
              <w:pStyle w:val="Tablebody"/>
              <w:rPr>
                <w:rFonts w:ascii="Times New Roman" w:hAnsi="Times New Roman"/>
                <w:color w:val="000000" w:themeColor="text1"/>
                <w:sz w:val="20"/>
                <w:szCs w:val="20"/>
              </w:rPr>
            </w:pPr>
          </w:p>
          <w:p w14:paraId="1AF34586" w14:textId="77777777" w:rsidR="008D1AE9" w:rsidRPr="0098635C" w:rsidRDefault="008D1AE9" w:rsidP="00AF385A">
            <w:pPr>
              <w:pStyle w:val="Tablebody"/>
              <w:rPr>
                <w:rFonts w:ascii="Times New Roman" w:hAnsi="Times New Roman"/>
                <w:color w:val="000000" w:themeColor="text1"/>
                <w:sz w:val="20"/>
                <w:szCs w:val="20"/>
              </w:rPr>
            </w:pPr>
          </w:p>
          <w:p w14:paraId="01BEDDCE" w14:textId="77777777" w:rsidR="008D1AE9" w:rsidRPr="0098635C" w:rsidRDefault="008D1AE9" w:rsidP="00AF385A">
            <w:pPr>
              <w:pStyle w:val="Tablebody"/>
              <w:rPr>
                <w:rFonts w:ascii="Times New Roman" w:hAnsi="Times New Roman"/>
                <w:color w:val="000000" w:themeColor="text1"/>
                <w:sz w:val="20"/>
                <w:szCs w:val="20"/>
              </w:rPr>
            </w:pPr>
          </w:p>
          <w:p w14:paraId="124FDD30" w14:textId="77777777" w:rsidR="008D1AE9" w:rsidRPr="0098635C" w:rsidRDefault="008D1AE9" w:rsidP="00AF385A">
            <w:pPr>
              <w:pStyle w:val="Tablebody"/>
              <w:rPr>
                <w:rFonts w:ascii="Times New Roman" w:hAnsi="Times New Roman"/>
                <w:color w:val="000000" w:themeColor="text1"/>
                <w:sz w:val="20"/>
                <w:szCs w:val="20"/>
              </w:rPr>
            </w:pPr>
          </w:p>
        </w:tc>
        <w:tc>
          <w:tcPr>
            <w:tcW w:w="0" w:type="auto"/>
          </w:tcPr>
          <w:p w14:paraId="1CE53A82"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Oral</w:t>
            </w:r>
          </w:p>
        </w:tc>
        <w:tc>
          <w:tcPr>
            <w:tcW w:w="1452" w:type="dxa"/>
          </w:tcPr>
          <w:p w14:paraId="21023CF5"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CuSO</w:t>
            </w:r>
            <w:r w:rsidRPr="0098635C">
              <w:rPr>
                <w:rFonts w:ascii="Times New Roman" w:hAnsi="Times New Roman"/>
                <w:color w:val="000000" w:themeColor="text1"/>
                <w:sz w:val="20"/>
                <w:szCs w:val="20"/>
                <w:vertAlign w:val="subscript"/>
              </w:rPr>
              <w:t>4</w:t>
            </w:r>
            <w:r w:rsidRPr="0098635C">
              <w:rPr>
                <w:rFonts w:ascii="Times New Roman" w:hAnsi="Times New Roman"/>
                <w:color w:val="000000" w:themeColor="text1"/>
                <w:sz w:val="20"/>
                <w:szCs w:val="20"/>
              </w:rPr>
              <w:t xml:space="preserve"> in drinking water for 15d</w:t>
            </w:r>
          </w:p>
        </w:tc>
        <w:tc>
          <w:tcPr>
            <w:tcW w:w="1111" w:type="dxa"/>
          </w:tcPr>
          <w:p w14:paraId="6DE95187" w14:textId="77777777" w:rsidR="008D1AE9" w:rsidRPr="0098635C" w:rsidRDefault="008D1AE9" w:rsidP="00AF385A">
            <w:pPr>
              <w:pStyle w:val="Tablebody"/>
              <w:rPr>
                <w:rFonts w:ascii="Times New Roman" w:hAnsi="Times New Roman"/>
                <w:color w:val="000000" w:themeColor="text1"/>
                <w:sz w:val="20"/>
                <w:szCs w:val="20"/>
              </w:rPr>
            </w:pPr>
          </w:p>
          <w:p w14:paraId="2AE98FAC"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76 mg/L</w:t>
            </w:r>
          </w:p>
          <w:p w14:paraId="5D39750D"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254</w:t>
            </w:r>
          </w:p>
          <w:p w14:paraId="004C5D13"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762</w:t>
            </w:r>
          </w:p>
          <w:p w14:paraId="0C9B6438"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2543</w:t>
            </w:r>
          </w:p>
          <w:p w14:paraId="4060624E"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7629</w:t>
            </w:r>
          </w:p>
        </w:tc>
        <w:tc>
          <w:tcPr>
            <w:tcW w:w="0" w:type="auto"/>
          </w:tcPr>
          <w:p w14:paraId="4CA827C3" w14:textId="77777777" w:rsidR="008D1AE9" w:rsidRPr="0098635C" w:rsidRDefault="008D1AE9" w:rsidP="00AF385A">
            <w:pPr>
              <w:pStyle w:val="Tablebody"/>
              <w:rPr>
                <w:rFonts w:ascii="Times New Roman" w:hAnsi="Times New Roman"/>
                <w:color w:val="000000" w:themeColor="text1"/>
                <w:sz w:val="20"/>
                <w:szCs w:val="20"/>
                <w:u w:val="single"/>
              </w:rPr>
            </w:pPr>
            <w:r w:rsidRPr="0098635C">
              <w:rPr>
                <w:rFonts w:ascii="Times New Roman" w:hAnsi="Times New Roman"/>
                <w:color w:val="000000" w:themeColor="text1"/>
                <w:sz w:val="20"/>
                <w:szCs w:val="20"/>
                <w:u w:val="single"/>
              </w:rPr>
              <w:t>Male</w:t>
            </w:r>
          </w:p>
          <w:p w14:paraId="6A0A41CC"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10</w:t>
            </w:r>
          </w:p>
          <w:p w14:paraId="268B26C6"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29</w:t>
            </w:r>
          </w:p>
          <w:p w14:paraId="435B307A"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45</w:t>
            </w:r>
          </w:p>
          <w:p w14:paraId="1C5F9B27"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36</w:t>
            </w:r>
          </w:p>
          <w:p w14:paraId="1ACFF10D"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97</w:t>
            </w:r>
          </w:p>
        </w:tc>
        <w:tc>
          <w:tcPr>
            <w:tcW w:w="0" w:type="auto"/>
          </w:tcPr>
          <w:p w14:paraId="365F36F2" w14:textId="77777777" w:rsidR="008D1AE9" w:rsidRPr="0098635C" w:rsidRDefault="008D1AE9" w:rsidP="00AF385A">
            <w:pPr>
              <w:pStyle w:val="Tablebody"/>
              <w:rPr>
                <w:rFonts w:ascii="Times New Roman" w:hAnsi="Times New Roman"/>
                <w:color w:val="000000" w:themeColor="text1"/>
                <w:sz w:val="20"/>
                <w:szCs w:val="20"/>
                <w:u w:val="single"/>
              </w:rPr>
            </w:pPr>
            <w:r w:rsidRPr="0098635C">
              <w:rPr>
                <w:rFonts w:ascii="Times New Roman" w:hAnsi="Times New Roman"/>
                <w:color w:val="000000" w:themeColor="text1"/>
                <w:sz w:val="20"/>
                <w:szCs w:val="20"/>
                <w:u w:val="single"/>
              </w:rPr>
              <w:t>Female</w:t>
            </w:r>
          </w:p>
          <w:p w14:paraId="7DCBB6BB"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10</w:t>
            </w:r>
          </w:p>
          <w:p w14:paraId="0B2E1574"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26</w:t>
            </w:r>
          </w:p>
          <w:p w14:paraId="01F9BDD0"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31</w:t>
            </w:r>
          </w:p>
          <w:p w14:paraId="64F390A7"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31</w:t>
            </w:r>
          </w:p>
          <w:p w14:paraId="6F014A6F"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71</w:t>
            </w:r>
          </w:p>
        </w:tc>
        <w:tc>
          <w:tcPr>
            <w:tcW w:w="0" w:type="auto"/>
          </w:tcPr>
          <w:p w14:paraId="1F916728"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Increased mortality and clinical signs of toxicity at 762 mg/L and above.  Effects attributed to reduced water consumption.</w:t>
            </w:r>
          </w:p>
          <w:p w14:paraId="282F337D" w14:textId="77777777" w:rsidR="008D1AE9" w:rsidRPr="0098635C" w:rsidRDefault="008D1AE9" w:rsidP="00AF385A">
            <w:pPr>
              <w:pStyle w:val="Tablebody"/>
              <w:rPr>
                <w:rFonts w:ascii="Times New Roman" w:hAnsi="Times New Roman"/>
                <w:color w:val="000000" w:themeColor="text1"/>
                <w:sz w:val="20"/>
                <w:szCs w:val="20"/>
              </w:rPr>
            </w:pPr>
          </w:p>
        </w:tc>
        <w:tc>
          <w:tcPr>
            <w:tcW w:w="2134" w:type="dxa"/>
          </w:tcPr>
          <w:p w14:paraId="35D7009A" w14:textId="77777777" w:rsidR="008D1AE9" w:rsidRPr="0098635C" w:rsidRDefault="008D1AE9" w:rsidP="00AF385A">
            <w:pPr>
              <w:pStyle w:val="Tablebody"/>
              <w:rPr>
                <w:rFonts w:ascii="Times New Roman" w:hAnsi="Times New Roman"/>
                <w:color w:val="000000" w:themeColor="text1"/>
                <w:sz w:val="20"/>
                <w:szCs w:val="20"/>
              </w:rPr>
            </w:pPr>
          </w:p>
          <w:p w14:paraId="143EE4A5"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ND</w:t>
            </w:r>
          </w:p>
        </w:tc>
        <w:tc>
          <w:tcPr>
            <w:tcW w:w="861" w:type="dxa"/>
          </w:tcPr>
          <w:p w14:paraId="4BD65978" w14:textId="77777777" w:rsidR="008D1AE9" w:rsidRPr="0098635C" w:rsidRDefault="008D1AE9" w:rsidP="00AF385A">
            <w:pPr>
              <w:pStyle w:val="Tablebody"/>
              <w:rPr>
                <w:rFonts w:ascii="Times New Roman" w:hAnsi="Times New Roman"/>
                <w:color w:val="000000" w:themeColor="text1"/>
                <w:sz w:val="20"/>
                <w:szCs w:val="20"/>
              </w:rPr>
            </w:pPr>
          </w:p>
          <w:p w14:paraId="79332E07"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w:t>
            </w:r>
          </w:p>
        </w:tc>
      </w:tr>
      <w:tr w:rsidR="000E40C4" w:rsidRPr="0098635C" w14:paraId="5E2803A1" w14:textId="77777777" w:rsidTr="00926614">
        <w:trPr>
          <w:cantSplit/>
        </w:trPr>
        <w:tc>
          <w:tcPr>
            <w:tcW w:w="0" w:type="auto"/>
          </w:tcPr>
          <w:p w14:paraId="4659ABEE"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Hébert et al (1993); </w:t>
            </w:r>
          </w:p>
          <w:p w14:paraId="7925913D"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Hébert (1993)</w:t>
            </w:r>
          </w:p>
        </w:tc>
        <w:tc>
          <w:tcPr>
            <w:tcW w:w="0" w:type="auto"/>
          </w:tcPr>
          <w:p w14:paraId="3141D1D0"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B6C3F</w:t>
            </w:r>
            <w:r w:rsidRPr="0098635C">
              <w:rPr>
                <w:rFonts w:ascii="Times New Roman" w:hAnsi="Times New Roman"/>
                <w:color w:val="000000" w:themeColor="text1"/>
                <w:sz w:val="20"/>
                <w:szCs w:val="20"/>
                <w:vertAlign w:val="subscript"/>
              </w:rPr>
              <w:t>1</w:t>
            </w:r>
            <w:r w:rsidRPr="0098635C">
              <w:rPr>
                <w:rFonts w:ascii="Times New Roman" w:hAnsi="Times New Roman"/>
                <w:color w:val="000000" w:themeColor="text1"/>
                <w:sz w:val="20"/>
                <w:szCs w:val="20"/>
              </w:rPr>
              <w:t xml:space="preserve"> mouse</w:t>
            </w:r>
          </w:p>
        </w:tc>
        <w:tc>
          <w:tcPr>
            <w:tcW w:w="0" w:type="auto"/>
          </w:tcPr>
          <w:p w14:paraId="451AEDC2"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Oral</w:t>
            </w:r>
          </w:p>
        </w:tc>
        <w:tc>
          <w:tcPr>
            <w:tcW w:w="1452" w:type="dxa"/>
          </w:tcPr>
          <w:p w14:paraId="351FF31C"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CuSO</w:t>
            </w:r>
            <w:r w:rsidRPr="0098635C">
              <w:rPr>
                <w:rFonts w:ascii="Times New Roman" w:hAnsi="Times New Roman"/>
                <w:color w:val="000000" w:themeColor="text1"/>
                <w:sz w:val="20"/>
                <w:szCs w:val="20"/>
                <w:vertAlign w:val="subscript"/>
              </w:rPr>
              <w:t>4</w:t>
            </w:r>
            <w:r w:rsidRPr="0098635C">
              <w:rPr>
                <w:rFonts w:ascii="Times New Roman" w:hAnsi="Times New Roman"/>
                <w:color w:val="000000" w:themeColor="text1"/>
                <w:sz w:val="20"/>
                <w:szCs w:val="20"/>
              </w:rPr>
              <w:t xml:space="preserve"> in drinking water for 15d</w:t>
            </w:r>
          </w:p>
        </w:tc>
        <w:tc>
          <w:tcPr>
            <w:tcW w:w="1111" w:type="dxa"/>
          </w:tcPr>
          <w:p w14:paraId="25BE4587"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76 mg/L</w:t>
            </w:r>
          </w:p>
          <w:p w14:paraId="0F7E030B"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254</w:t>
            </w:r>
          </w:p>
          <w:p w14:paraId="70477CE8"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762</w:t>
            </w:r>
          </w:p>
          <w:p w14:paraId="018FCE2A"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2543</w:t>
            </w:r>
          </w:p>
          <w:p w14:paraId="04E4DABB"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7629</w:t>
            </w:r>
          </w:p>
        </w:tc>
        <w:tc>
          <w:tcPr>
            <w:tcW w:w="0" w:type="auto"/>
          </w:tcPr>
          <w:p w14:paraId="5AA7F79F"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10</w:t>
            </w:r>
          </w:p>
          <w:p w14:paraId="78D3833B"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24</w:t>
            </w:r>
          </w:p>
          <w:p w14:paraId="655E61AC"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58</w:t>
            </w:r>
          </w:p>
          <w:p w14:paraId="70D5EB68"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n/a</w:t>
            </w:r>
          </w:p>
          <w:p w14:paraId="59B4F282"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367</w:t>
            </w:r>
          </w:p>
        </w:tc>
        <w:tc>
          <w:tcPr>
            <w:tcW w:w="0" w:type="auto"/>
          </w:tcPr>
          <w:p w14:paraId="0DC85DA4"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15</w:t>
            </w:r>
          </w:p>
          <w:p w14:paraId="5ABD0C15"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36</w:t>
            </w:r>
          </w:p>
          <w:p w14:paraId="2185619D"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62</w:t>
            </w:r>
          </w:p>
          <w:p w14:paraId="14FE91AA"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n/a</w:t>
            </w:r>
          </w:p>
          <w:p w14:paraId="0526E122"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330</w:t>
            </w:r>
          </w:p>
        </w:tc>
        <w:tc>
          <w:tcPr>
            <w:tcW w:w="0" w:type="auto"/>
          </w:tcPr>
          <w:p w14:paraId="3F977592"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Increased mortality and clinical signs of toxicity at 762 mg/L and above.  Effects attributed to reduced water consumption.</w:t>
            </w:r>
          </w:p>
        </w:tc>
        <w:tc>
          <w:tcPr>
            <w:tcW w:w="2134" w:type="dxa"/>
          </w:tcPr>
          <w:p w14:paraId="30863FED"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ND</w:t>
            </w:r>
          </w:p>
        </w:tc>
        <w:tc>
          <w:tcPr>
            <w:tcW w:w="861" w:type="dxa"/>
          </w:tcPr>
          <w:p w14:paraId="294F316E"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w:t>
            </w:r>
          </w:p>
        </w:tc>
      </w:tr>
      <w:tr w:rsidR="000E40C4" w:rsidRPr="0098635C" w14:paraId="2F5456E0" w14:textId="77777777" w:rsidTr="00926614">
        <w:trPr>
          <w:cantSplit/>
        </w:trPr>
        <w:tc>
          <w:tcPr>
            <w:tcW w:w="0" w:type="auto"/>
          </w:tcPr>
          <w:p w14:paraId="402019F2"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Hébert </w:t>
            </w:r>
            <w:r w:rsidRPr="0098635C">
              <w:rPr>
                <w:rFonts w:ascii="Times New Roman" w:hAnsi="Times New Roman"/>
                <w:i/>
                <w:color w:val="000000" w:themeColor="text1"/>
                <w:sz w:val="20"/>
                <w:szCs w:val="20"/>
              </w:rPr>
              <w:t>et al</w:t>
            </w:r>
            <w:r w:rsidRPr="0098635C">
              <w:rPr>
                <w:rFonts w:ascii="Times New Roman" w:hAnsi="Times New Roman"/>
                <w:color w:val="000000" w:themeColor="text1"/>
                <w:sz w:val="20"/>
                <w:szCs w:val="20"/>
              </w:rPr>
              <w:t xml:space="preserve"> (1993); </w:t>
            </w:r>
          </w:p>
          <w:p w14:paraId="2A902651"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Hébert (1993)</w:t>
            </w:r>
          </w:p>
        </w:tc>
        <w:tc>
          <w:tcPr>
            <w:tcW w:w="0" w:type="auto"/>
          </w:tcPr>
          <w:p w14:paraId="771ABD40"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Fischer rat</w:t>
            </w:r>
          </w:p>
        </w:tc>
        <w:tc>
          <w:tcPr>
            <w:tcW w:w="0" w:type="auto"/>
          </w:tcPr>
          <w:p w14:paraId="57DB398F"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Oral</w:t>
            </w:r>
          </w:p>
        </w:tc>
        <w:tc>
          <w:tcPr>
            <w:tcW w:w="1452" w:type="dxa"/>
          </w:tcPr>
          <w:p w14:paraId="103BFFCA"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CuSO</w:t>
            </w:r>
            <w:r w:rsidRPr="0098635C">
              <w:rPr>
                <w:rFonts w:ascii="Times New Roman" w:hAnsi="Times New Roman"/>
                <w:color w:val="000000" w:themeColor="text1"/>
                <w:sz w:val="20"/>
                <w:szCs w:val="20"/>
                <w:vertAlign w:val="subscript"/>
              </w:rPr>
              <w:t>4</w:t>
            </w:r>
            <w:r w:rsidRPr="0098635C">
              <w:rPr>
                <w:rFonts w:ascii="Times New Roman" w:hAnsi="Times New Roman"/>
                <w:color w:val="000000" w:themeColor="text1"/>
                <w:sz w:val="20"/>
                <w:szCs w:val="20"/>
              </w:rPr>
              <w:t xml:space="preserve"> in feed for 15d</w:t>
            </w:r>
          </w:p>
        </w:tc>
        <w:tc>
          <w:tcPr>
            <w:tcW w:w="1111" w:type="dxa"/>
          </w:tcPr>
          <w:p w14:paraId="68D09DE1"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255</w:t>
            </w:r>
          </w:p>
          <w:p w14:paraId="2645B51B"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509</w:t>
            </w:r>
          </w:p>
          <w:p w14:paraId="5B4183A8"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1018</w:t>
            </w:r>
          </w:p>
          <w:p w14:paraId="7B649C5E"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2036</w:t>
            </w:r>
          </w:p>
          <w:p w14:paraId="5DCFC845"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4072 </w:t>
            </w:r>
          </w:p>
        </w:tc>
        <w:tc>
          <w:tcPr>
            <w:tcW w:w="0" w:type="auto"/>
          </w:tcPr>
          <w:p w14:paraId="0742DE4E"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23.4</w:t>
            </w:r>
          </w:p>
          <w:p w14:paraId="2B5704A5"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45.8</w:t>
            </w:r>
          </w:p>
          <w:p w14:paraId="4459EB28"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92.4</w:t>
            </w:r>
          </w:p>
          <w:p w14:paraId="489F46BB"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197.8</w:t>
            </w:r>
          </w:p>
          <w:p w14:paraId="21694EAD"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324.5</w:t>
            </w:r>
          </w:p>
        </w:tc>
        <w:tc>
          <w:tcPr>
            <w:tcW w:w="0" w:type="auto"/>
          </w:tcPr>
          <w:p w14:paraId="5FFBF50C"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22.7</w:t>
            </w:r>
          </w:p>
          <w:p w14:paraId="5FF4C205"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44.3</w:t>
            </w:r>
          </w:p>
          <w:p w14:paraId="4BC432E6"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93.4</w:t>
            </w:r>
          </w:p>
          <w:p w14:paraId="40E18FC6"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195.7</w:t>
            </w:r>
          </w:p>
          <w:p w14:paraId="28558030"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285.3</w:t>
            </w:r>
          </w:p>
          <w:p w14:paraId="7323826F" w14:textId="77777777" w:rsidR="008D1AE9" w:rsidRPr="0098635C" w:rsidRDefault="008D1AE9" w:rsidP="00AF385A">
            <w:pPr>
              <w:pStyle w:val="Tablebody"/>
              <w:rPr>
                <w:rFonts w:ascii="Times New Roman" w:hAnsi="Times New Roman"/>
                <w:color w:val="000000" w:themeColor="text1"/>
                <w:sz w:val="20"/>
                <w:szCs w:val="20"/>
              </w:rPr>
            </w:pPr>
          </w:p>
        </w:tc>
        <w:tc>
          <w:tcPr>
            <w:tcW w:w="0" w:type="auto"/>
          </w:tcPr>
          <w:p w14:paraId="344FC3BA"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Histopathological changes in forestomach, liver, kidney and bone marrow.  </w:t>
            </w:r>
          </w:p>
          <w:p w14:paraId="73148385" w14:textId="77777777" w:rsidR="008D1AE9" w:rsidRPr="0098635C" w:rsidRDefault="008D1AE9" w:rsidP="00AF385A">
            <w:pPr>
              <w:pStyle w:val="Tablebody"/>
              <w:rPr>
                <w:rFonts w:ascii="Times New Roman" w:hAnsi="Times New Roman"/>
                <w:color w:val="000000" w:themeColor="text1"/>
                <w:sz w:val="20"/>
                <w:szCs w:val="20"/>
              </w:rPr>
            </w:pPr>
          </w:p>
        </w:tc>
        <w:tc>
          <w:tcPr>
            <w:tcW w:w="2134" w:type="dxa"/>
          </w:tcPr>
          <w:p w14:paraId="7506740F"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NOAEL (forestomach lesions):</w:t>
            </w:r>
          </w:p>
          <w:p w14:paraId="139F4F46"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23.4 mg/kgBW/d (M)</w:t>
            </w:r>
          </w:p>
          <w:p w14:paraId="61B0F297"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22.7 mg/kgBW/d (F)</w:t>
            </w:r>
          </w:p>
        </w:tc>
        <w:tc>
          <w:tcPr>
            <w:tcW w:w="861" w:type="dxa"/>
          </w:tcPr>
          <w:p w14:paraId="5C57739B" w14:textId="77777777" w:rsidR="008D1AE9" w:rsidRPr="0098635C" w:rsidRDefault="008D1AE9" w:rsidP="00AF385A">
            <w:pPr>
              <w:pStyle w:val="Tablebody"/>
              <w:rPr>
                <w:rFonts w:ascii="Times New Roman" w:hAnsi="Times New Roman"/>
                <w:color w:val="000000" w:themeColor="text1"/>
                <w:sz w:val="20"/>
                <w:szCs w:val="20"/>
              </w:rPr>
            </w:pPr>
          </w:p>
          <w:p w14:paraId="21FAD89A"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w:t>
            </w:r>
          </w:p>
        </w:tc>
      </w:tr>
      <w:tr w:rsidR="000E40C4" w:rsidRPr="0098635C" w14:paraId="02B538B3" w14:textId="77777777" w:rsidTr="00926614">
        <w:trPr>
          <w:cantSplit/>
        </w:trPr>
        <w:tc>
          <w:tcPr>
            <w:tcW w:w="0" w:type="auto"/>
          </w:tcPr>
          <w:p w14:paraId="51959B6D"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Hébert </w:t>
            </w:r>
            <w:r w:rsidRPr="0098635C">
              <w:rPr>
                <w:rFonts w:ascii="Times New Roman" w:hAnsi="Times New Roman"/>
                <w:i/>
                <w:color w:val="000000" w:themeColor="text1"/>
                <w:sz w:val="20"/>
                <w:szCs w:val="20"/>
              </w:rPr>
              <w:t>et al</w:t>
            </w:r>
            <w:r w:rsidRPr="0098635C">
              <w:rPr>
                <w:rFonts w:ascii="Times New Roman" w:hAnsi="Times New Roman"/>
                <w:color w:val="000000" w:themeColor="text1"/>
                <w:sz w:val="20"/>
                <w:szCs w:val="20"/>
              </w:rPr>
              <w:t xml:space="preserve"> (1993); </w:t>
            </w:r>
          </w:p>
          <w:p w14:paraId="73788C72"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Hébert (1993)</w:t>
            </w:r>
          </w:p>
        </w:tc>
        <w:tc>
          <w:tcPr>
            <w:tcW w:w="0" w:type="auto"/>
          </w:tcPr>
          <w:p w14:paraId="72B0E82C"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B6C3F</w:t>
            </w:r>
            <w:r w:rsidRPr="0098635C">
              <w:rPr>
                <w:rFonts w:ascii="Times New Roman" w:hAnsi="Times New Roman"/>
                <w:color w:val="000000" w:themeColor="text1"/>
                <w:sz w:val="20"/>
                <w:szCs w:val="20"/>
                <w:vertAlign w:val="subscript"/>
              </w:rPr>
              <w:t>1</w:t>
            </w:r>
            <w:r w:rsidRPr="0098635C">
              <w:rPr>
                <w:rFonts w:ascii="Times New Roman" w:hAnsi="Times New Roman"/>
                <w:color w:val="000000" w:themeColor="text1"/>
                <w:sz w:val="20"/>
                <w:szCs w:val="20"/>
              </w:rPr>
              <w:t xml:space="preserve"> mouse</w:t>
            </w:r>
          </w:p>
        </w:tc>
        <w:tc>
          <w:tcPr>
            <w:tcW w:w="0" w:type="auto"/>
          </w:tcPr>
          <w:p w14:paraId="07C7DC72"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Oral</w:t>
            </w:r>
          </w:p>
        </w:tc>
        <w:tc>
          <w:tcPr>
            <w:tcW w:w="1452" w:type="dxa"/>
          </w:tcPr>
          <w:p w14:paraId="1960A9A7"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CuSO</w:t>
            </w:r>
            <w:r w:rsidRPr="0098635C">
              <w:rPr>
                <w:rFonts w:ascii="Times New Roman" w:hAnsi="Times New Roman"/>
                <w:color w:val="000000" w:themeColor="text1"/>
                <w:sz w:val="20"/>
                <w:szCs w:val="20"/>
                <w:vertAlign w:val="subscript"/>
              </w:rPr>
              <w:t>4</w:t>
            </w:r>
            <w:r w:rsidRPr="0098635C">
              <w:rPr>
                <w:rFonts w:ascii="Times New Roman" w:hAnsi="Times New Roman"/>
                <w:color w:val="000000" w:themeColor="text1"/>
                <w:sz w:val="20"/>
                <w:szCs w:val="20"/>
              </w:rPr>
              <w:t xml:space="preserve"> in feed for 15d</w:t>
            </w:r>
          </w:p>
        </w:tc>
        <w:tc>
          <w:tcPr>
            <w:tcW w:w="1111" w:type="dxa"/>
          </w:tcPr>
          <w:p w14:paraId="2C5933E6"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255</w:t>
            </w:r>
          </w:p>
          <w:p w14:paraId="7528DC49"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509</w:t>
            </w:r>
          </w:p>
          <w:p w14:paraId="3B97E5A4"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1018</w:t>
            </w:r>
          </w:p>
          <w:p w14:paraId="4D5187A3"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2036</w:t>
            </w:r>
          </w:p>
          <w:p w14:paraId="4BCD67DC"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4072 </w:t>
            </w:r>
          </w:p>
        </w:tc>
        <w:tc>
          <w:tcPr>
            <w:tcW w:w="0" w:type="auto"/>
          </w:tcPr>
          <w:p w14:paraId="22162F20"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42.8</w:t>
            </w:r>
          </w:p>
          <w:p w14:paraId="481AAE0C"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92.1</w:t>
            </w:r>
          </w:p>
          <w:p w14:paraId="4293F0E1"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196.8</w:t>
            </w:r>
          </w:p>
          <w:p w14:paraId="408CBE81"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293.7</w:t>
            </w:r>
          </w:p>
          <w:p w14:paraId="727541BD"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717</w:t>
            </w:r>
          </w:p>
        </w:tc>
        <w:tc>
          <w:tcPr>
            <w:tcW w:w="0" w:type="auto"/>
          </w:tcPr>
          <w:p w14:paraId="1767D890"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53.5</w:t>
            </w:r>
          </w:p>
          <w:p w14:paraId="05EBCB2E"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103.8</w:t>
            </w:r>
          </w:p>
          <w:p w14:paraId="41DE6666"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216.1</w:t>
            </w:r>
          </w:p>
          <w:p w14:paraId="0C0B23DC"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397.8</w:t>
            </w:r>
          </w:p>
          <w:p w14:paraId="226B695E"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780.8</w:t>
            </w:r>
          </w:p>
          <w:p w14:paraId="0DB608B4" w14:textId="77777777" w:rsidR="008D1AE9" w:rsidRPr="0098635C" w:rsidRDefault="008D1AE9" w:rsidP="00AF385A">
            <w:pPr>
              <w:pStyle w:val="Tablebody"/>
              <w:rPr>
                <w:rFonts w:ascii="Times New Roman" w:hAnsi="Times New Roman"/>
                <w:color w:val="000000" w:themeColor="text1"/>
                <w:sz w:val="20"/>
                <w:szCs w:val="20"/>
              </w:rPr>
            </w:pPr>
          </w:p>
        </w:tc>
        <w:tc>
          <w:tcPr>
            <w:tcW w:w="0" w:type="auto"/>
          </w:tcPr>
          <w:p w14:paraId="1B7894CB"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Histopathological changes in forestomach.</w:t>
            </w:r>
          </w:p>
          <w:p w14:paraId="7BF0FA72" w14:textId="77777777" w:rsidR="008D1AE9" w:rsidRPr="0098635C" w:rsidRDefault="008D1AE9" w:rsidP="00AF385A">
            <w:pPr>
              <w:pStyle w:val="Tablebody"/>
              <w:rPr>
                <w:rFonts w:ascii="Times New Roman" w:hAnsi="Times New Roman"/>
                <w:color w:val="000000" w:themeColor="text1"/>
                <w:sz w:val="20"/>
                <w:szCs w:val="20"/>
              </w:rPr>
            </w:pPr>
          </w:p>
        </w:tc>
        <w:tc>
          <w:tcPr>
            <w:tcW w:w="2134" w:type="dxa"/>
          </w:tcPr>
          <w:p w14:paraId="66C4EB49"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NOAEL (forestomach lesions):</w:t>
            </w:r>
          </w:p>
          <w:p w14:paraId="2B8343BC"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42.8 mg/kgBW/d (M)</w:t>
            </w:r>
          </w:p>
          <w:p w14:paraId="65CA5292"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53.5 mg/kgBW/d (F)</w:t>
            </w:r>
          </w:p>
        </w:tc>
        <w:tc>
          <w:tcPr>
            <w:tcW w:w="861" w:type="dxa"/>
          </w:tcPr>
          <w:p w14:paraId="1DCE8BA0" w14:textId="77777777" w:rsidR="008D1AE9" w:rsidRPr="0098635C" w:rsidRDefault="008D1AE9" w:rsidP="00AF385A">
            <w:pPr>
              <w:pStyle w:val="Tablebody"/>
              <w:rPr>
                <w:rFonts w:ascii="Times New Roman" w:hAnsi="Times New Roman"/>
                <w:color w:val="000000" w:themeColor="text1"/>
                <w:sz w:val="20"/>
                <w:szCs w:val="20"/>
              </w:rPr>
            </w:pPr>
          </w:p>
          <w:p w14:paraId="17CF31C6"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w:t>
            </w:r>
          </w:p>
        </w:tc>
      </w:tr>
      <w:tr w:rsidR="000E40C4" w:rsidRPr="0098635C" w14:paraId="019C3C48" w14:textId="77777777" w:rsidTr="00926614">
        <w:trPr>
          <w:cantSplit/>
          <w:trHeight w:val="288"/>
        </w:trPr>
        <w:tc>
          <w:tcPr>
            <w:tcW w:w="0" w:type="auto"/>
          </w:tcPr>
          <w:p w14:paraId="7D4CCE3D"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lastRenderedPageBreak/>
              <w:t xml:space="preserve">Hébert </w:t>
            </w:r>
            <w:r w:rsidRPr="0098635C">
              <w:rPr>
                <w:rFonts w:ascii="Times New Roman" w:hAnsi="Times New Roman"/>
                <w:i/>
                <w:color w:val="000000" w:themeColor="text1"/>
                <w:sz w:val="20"/>
                <w:szCs w:val="20"/>
              </w:rPr>
              <w:t>et al</w:t>
            </w:r>
            <w:r w:rsidRPr="0098635C">
              <w:rPr>
                <w:rFonts w:ascii="Times New Roman" w:hAnsi="Times New Roman"/>
                <w:color w:val="000000" w:themeColor="text1"/>
                <w:sz w:val="20"/>
                <w:szCs w:val="20"/>
              </w:rPr>
              <w:t xml:space="preserve"> (1993); </w:t>
            </w:r>
          </w:p>
          <w:p w14:paraId="0691089B"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Hébert (1993)</w:t>
            </w:r>
          </w:p>
        </w:tc>
        <w:tc>
          <w:tcPr>
            <w:tcW w:w="0" w:type="auto"/>
          </w:tcPr>
          <w:p w14:paraId="0503D1E4"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Fischer rat</w:t>
            </w:r>
          </w:p>
        </w:tc>
        <w:tc>
          <w:tcPr>
            <w:tcW w:w="0" w:type="auto"/>
          </w:tcPr>
          <w:p w14:paraId="7E97D86A"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Oral</w:t>
            </w:r>
          </w:p>
        </w:tc>
        <w:tc>
          <w:tcPr>
            <w:tcW w:w="1452" w:type="dxa"/>
          </w:tcPr>
          <w:p w14:paraId="22564A61"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CuSO</w:t>
            </w:r>
            <w:r w:rsidRPr="0098635C">
              <w:rPr>
                <w:rFonts w:ascii="Times New Roman" w:hAnsi="Times New Roman"/>
                <w:color w:val="000000" w:themeColor="text1"/>
                <w:sz w:val="20"/>
                <w:szCs w:val="20"/>
                <w:vertAlign w:val="subscript"/>
              </w:rPr>
              <w:t>4</w:t>
            </w:r>
            <w:r w:rsidRPr="0098635C">
              <w:rPr>
                <w:rFonts w:ascii="Times New Roman" w:hAnsi="Times New Roman"/>
                <w:color w:val="000000" w:themeColor="text1"/>
                <w:sz w:val="20"/>
                <w:szCs w:val="20"/>
              </w:rPr>
              <w:t xml:space="preserve"> in feed for 92d</w:t>
            </w:r>
          </w:p>
        </w:tc>
        <w:tc>
          <w:tcPr>
            <w:tcW w:w="1111" w:type="dxa"/>
          </w:tcPr>
          <w:p w14:paraId="6370260E"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127</w:t>
            </w:r>
          </w:p>
          <w:p w14:paraId="6070D77A"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255</w:t>
            </w:r>
          </w:p>
          <w:p w14:paraId="64074ED7"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509</w:t>
            </w:r>
          </w:p>
          <w:p w14:paraId="0768810D"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1018</w:t>
            </w:r>
          </w:p>
          <w:p w14:paraId="4F2B7543"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2036</w:t>
            </w:r>
          </w:p>
        </w:tc>
        <w:tc>
          <w:tcPr>
            <w:tcW w:w="0" w:type="auto"/>
          </w:tcPr>
          <w:p w14:paraId="513E6541"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8.1</w:t>
            </w:r>
          </w:p>
          <w:p w14:paraId="61BF4740"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16.3</w:t>
            </w:r>
          </w:p>
          <w:p w14:paraId="021D5DE3"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32.8</w:t>
            </w:r>
          </w:p>
          <w:p w14:paraId="3BA775B4"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65.9</w:t>
            </w:r>
          </w:p>
          <w:p w14:paraId="225B42A0"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140.2</w:t>
            </w:r>
          </w:p>
        </w:tc>
        <w:tc>
          <w:tcPr>
            <w:tcW w:w="0" w:type="auto"/>
          </w:tcPr>
          <w:p w14:paraId="2217C281"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8.7</w:t>
            </w:r>
          </w:p>
          <w:p w14:paraId="048D8231"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17.3</w:t>
            </w:r>
          </w:p>
          <w:p w14:paraId="43C85589"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34.4</w:t>
            </w:r>
          </w:p>
          <w:p w14:paraId="77864A66"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68.0</w:t>
            </w:r>
          </w:p>
          <w:p w14:paraId="75E11EE4"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134.4</w:t>
            </w:r>
          </w:p>
        </w:tc>
        <w:tc>
          <w:tcPr>
            <w:tcW w:w="0" w:type="auto"/>
          </w:tcPr>
          <w:p w14:paraId="586B0A23"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Histopathological changes in forestomach, liver and kidney.  </w:t>
            </w:r>
          </w:p>
          <w:p w14:paraId="1D70BD8E"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Changes in clinical chemistry and urine analysis.  </w:t>
            </w:r>
          </w:p>
          <w:p w14:paraId="0924A617"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No effects on reproductive parameters. </w:t>
            </w:r>
          </w:p>
        </w:tc>
        <w:tc>
          <w:tcPr>
            <w:tcW w:w="2134" w:type="dxa"/>
          </w:tcPr>
          <w:p w14:paraId="5E0467FE"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NOAEL (forestomach lesions):</w:t>
            </w:r>
          </w:p>
          <w:p w14:paraId="6A16587B"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16.3 mg/kgBW/d (M)</w:t>
            </w:r>
          </w:p>
          <w:p w14:paraId="764D6562"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17.3 mg/kgBW/d (F)</w:t>
            </w:r>
          </w:p>
          <w:p w14:paraId="123766BA"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NOAEL (liver toxicity):</w:t>
            </w:r>
          </w:p>
          <w:p w14:paraId="726CA670"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16.3 mg/kgBW/d (M)</w:t>
            </w:r>
          </w:p>
          <w:p w14:paraId="4D3A11B8"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NOAEL (kidney toxicity):</w:t>
            </w:r>
          </w:p>
          <w:p w14:paraId="47C6A393"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16.3 mg/kgBW/d (M)</w:t>
            </w:r>
          </w:p>
          <w:p w14:paraId="2A7E0F2D" w14:textId="77777777" w:rsidR="008D1AE9" w:rsidRPr="0098635C" w:rsidRDefault="008D1AE9" w:rsidP="00AF385A">
            <w:pPr>
              <w:pStyle w:val="Tablebody"/>
              <w:rPr>
                <w:rFonts w:ascii="Times New Roman" w:hAnsi="Times New Roman"/>
                <w:color w:val="000000" w:themeColor="text1"/>
                <w:sz w:val="20"/>
                <w:szCs w:val="20"/>
              </w:rPr>
            </w:pPr>
          </w:p>
        </w:tc>
        <w:tc>
          <w:tcPr>
            <w:tcW w:w="861" w:type="dxa"/>
          </w:tcPr>
          <w:p w14:paraId="411903D8" w14:textId="77777777" w:rsidR="008D1AE9" w:rsidRPr="0098635C" w:rsidRDefault="008D1AE9" w:rsidP="00AF385A">
            <w:pPr>
              <w:pStyle w:val="Tablebody"/>
              <w:rPr>
                <w:rFonts w:ascii="Times New Roman" w:hAnsi="Times New Roman"/>
                <w:color w:val="000000" w:themeColor="text1"/>
                <w:sz w:val="20"/>
                <w:szCs w:val="20"/>
              </w:rPr>
            </w:pPr>
          </w:p>
          <w:p w14:paraId="77B54EC8"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w:t>
            </w:r>
          </w:p>
        </w:tc>
      </w:tr>
      <w:tr w:rsidR="000E40C4" w:rsidRPr="0098635C" w14:paraId="48C8275A" w14:textId="77777777" w:rsidTr="00926614">
        <w:trPr>
          <w:cantSplit/>
        </w:trPr>
        <w:tc>
          <w:tcPr>
            <w:tcW w:w="0" w:type="auto"/>
          </w:tcPr>
          <w:p w14:paraId="61C13FBD"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Hébert </w:t>
            </w:r>
            <w:r w:rsidRPr="0098635C">
              <w:rPr>
                <w:rFonts w:ascii="Times New Roman" w:hAnsi="Times New Roman"/>
                <w:i/>
                <w:color w:val="000000" w:themeColor="text1"/>
                <w:sz w:val="20"/>
                <w:szCs w:val="20"/>
              </w:rPr>
              <w:t>et al</w:t>
            </w:r>
            <w:r w:rsidRPr="0098635C">
              <w:rPr>
                <w:rFonts w:ascii="Times New Roman" w:hAnsi="Times New Roman"/>
                <w:color w:val="000000" w:themeColor="text1"/>
                <w:sz w:val="20"/>
                <w:szCs w:val="20"/>
              </w:rPr>
              <w:t xml:space="preserve"> (1993); </w:t>
            </w:r>
          </w:p>
          <w:p w14:paraId="4DB72E98"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Hébert (1993)</w:t>
            </w:r>
          </w:p>
        </w:tc>
        <w:tc>
          <w:tcPr>
            <w:tcW w:w="0" w:type="auto"/>
          </w:tcPr>
          <w:p w14:paraId="078368F8"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B6C3F</w:t>
            </w:r>
            <w:r w:rsidRPr="0098635C">
              <w:rPr>
                <w:rFonts w:ascii="Times New Roman" w:hAnsi="Times New Roman"/>
                <w:color w:val="000000" w:themeColor="text1"/>
                <w:sz w:val="20"/>
                <w:szCs w:val="20"/>
                <w:vertAlign w:val="subscript"/>
              </w:rPr>
              <w:t>1</w:t>
            </w:r>
            <w:r w:rsidRPr="0098635C">
              <w:rPr>
                <w:rFonts w:ascii="Times New Roman" w:hAnsi="Times New Roman"/>
                <w:color w:val="000000" w:themeColor="text1"/>
                <w:sz w:val="20"/>
                <w:szCs w:val="20"/>
              </w:rPr>
              <w:t xml:space="preserve"> mouse</w:t>
            </w:r>
          </w:p>
        </w:tc>
        <w:tc>
          <w:tcPr>
            <w:tcW w:w="0" w:type="auto"/>
          </w:tcPr>
          <w:p w14:paraId="575EAD36"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Oral</w:t>
            </w:r>
          </w:p>
        </w:tc>
        <w:tc>
          <w:tcPr>
            <w:tcW w:w="1452" w:type="dxa"/>
          </w:tcPr>
          <w:p w14:paraId="6627D685"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CuSO</w:t>
            </w:r>
            <w:r w:rsidRPr="0098635C">
              <w:rPr>
                <w:rFonts w:ascii="Times New Roman" w:hAnsi="Times New Roman"/>
                <w:color w:val="000000" w:themeColor="text1"/>
                <w:sz w:val="20"/>
                <w:szCs w:val="20"/>
                <w:vertAlign w:val="subscript"/>
              </w:rPr>
              <w:t>4</w:t>
            </w:r>
            <w:r w:rsidRPr="0098635C">
              <w:rPr>
                <w:rFonts w:ascii="Times New Roman" w:hAnsi="Times New Roman"/>
                <w:color w:val="000000" w:themeColor="text1"/>
                <w:sz w:val="20"/>
                <w:szCs w:val="20"/>
              </w:rPr>
              <w:t xml:space="preserve"> in feed for 92d</w:t>
            </w:r>
          </w:p>
        </w:tc>
        <w:tc>
          <w:tcPr>
            <w:tcW w:w="1111" w:type="dxa"/>
          </w:tcPr>
          <w:p w14:paraId="215D875B"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255</w:t>
            </w:r>
          </w:p>
          <w:p w14:paraId="1C1E7C23"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509</w:t>
            </w:r>
          </w:p>
          <w:p w14:paraId="588D0888"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1018</w:t>
            </w:r>
          </w:p>
          <w:p w14:paraId="358D1DA0"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2036</w:t>
            </w:r>
          </w:p>
          <w:p w14:paraId="01B66343"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4072</w:t>
            </w:r>
          </w:p>
          <w:p w14:paraId="4D0AB68A" w14:textId="77777777" w:rsidR="008D1AE9" w:rsidRPr="0098635C" w:rsidRDefault="008D1AE9" w:rsidP="00AF385A">
            <w:pPr>
              <w:pStyle w:val="Tablebody"/>
              <w:rPr>
                <w:rFonts w:ascii="Times New Roman" w:hAnsi="Times New Roman"/>
                <w:color w:val="000000" w:themeColor="text1"/>
                <w:sz w:val="20"/>
                <w:szCs w:val="20"/>
              </w:rPr>
            </w:pPr>
          </w:p>
        </w:tc>
        <w:tc>
          <w:tcPr>
            <w:tcW w:w="0" w:type="auto"/>
          </w:tcPr>
          <w:p w14:paraId="2F09A4A0"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44</w:t>
            </w:r>
          </w:p>
          <w:p w14:paraId="1FFD6C76"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97.2</w:t>
            </w:r>
          </w:p>
          <w:p w14:paraId="5836B8A4"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187.3</w:t>
            </w:r>
          </w:p>
          <w:p w14:paraId="46565A3F"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397.8</w:t>
            </w:r>
          </w:p>
          <w:p w14:paraId="79D10796"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814.7</w:t>
            </w:r>
          </w:p>
        </w:tc>
        <w:tc>
          <w:tcPr>
            <w:tcW w:w="0" w:type="auto"/>
          </w:tcPr>
          <w:p w14:paraId="631D0A7D"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52.2</w:t>
            </w:r>
          </w:p>
          <w:p w14:paraId="6C284722"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125.7</w:t>
            </w:r>
          </w:p>
          <w:p w14:paraId="603DC881"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266.7</w:t>
            </w:r>
          </w:p>
          <w:p w14:paraId="3D41DF18"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536</w:t>
            </w:r>
          </w:p>
          <w:p w14:paraId="23187A94"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1058</w:t>
            </w:r>
          </w:p>
        </w:tc>
        <w:tc>
          <w:tcPr>
            <w:tcW w:w="0" w:type="auto"/>
          </w:tcPr>
          <w:p w14:paraId="7D2357F4"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Histopathological changes in forestomach.</w:t>
            </w:r>
          </w:p>
          <w:p w14:paraId="4FF223D3"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No effects on reproductive parameters</w:t>
            </w:r>
          </w:p>
        </w:tc>
        <w:tc>
          <w:tcPr>
            <w:tcW w:w="2134" w:type="dxa"/>
          </w:tcPr>
          <w:p w14:paraId="17553CFB"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NOAEL (forestomach lesions):</w:t>
            </w:r>
          </w:p>
          <w:p w14:paraId="3C112F2B"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97.2 mg/kgBW/d (M)</w:t>
            </w:r>
          </w:p>
          <w:p w14:paraId="7A4B511F"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125.7 mg/kgBW/d (F)</w:t>
            </w:r>
          </w:p>
          <w:p w14:paraId="3673FD8F" w14:textId="77777777" w:rsidR="008D1AE9" w:rsidRPr="0098635C" w:rsidRDefault="008D1AE9" w:rsidP="00AF385A">
            <w:pPr>
              <w:pStyle w:val="Tablebody"/>
              <w:rPr>
                <w:rFonts w:ascii="Times New Roman" w:hAnsi="Times New Roman"/>
                <w:color w:val="000000" w:themeColor="text1"/>
                <w:sz w:val="20"/>
                <w:szCs w:val="20"/>
              </w:rPr>
            </w:pPr>
          </w:p>
        </w:tc>
        <w:tc>
          <w:tcPr>
            <w:tcW w:w="861" w:type="dxa"/>
          </w:tcPr>
          <w:p w14:paraId="1AD334FD" w14:textId="77777777" w:rsidR="008D1AE9" w:rsidRPr="0098635C" w:rsidRDefault="008D1AE9" w:rsidP="00AF385A">
            <w:pPr>
              <w:pStyle w:val="Tablebody"/>
              <w:rPr>
                <w:rFonts w:ascii="Times New Roman" w:hAnsi="Times New Roman"/>
                <w:color w:val="000000" w:themeColor="text1"/>
                <w:sz w:val="20"/>
                <w:szCs w:val="20"/>
              </w:rPr>
            </w:pPr>
          </w:p>
          <w:p w14:paraId="33A47FD0"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1</w:t>
            </w:r>
          </w:p>
        </w:tc>
      </w:tr>
    </w:tbl>
    <w:p w14:paraId="419A8AE7" w14:textId="77777777" w:rsidR="008D1AE9" w:rsidRPr="0098635C" w:rsidRDefault="008D1AE9" w:rsidP="008D1AE9">
      <w:pPr>
        <w:spacing w:before="240"/>
        <w:rPr>
          <w:color w:val="000000" w:themeColor="text1"/>
          <w:sz w:val="20"/>
          <w:szCs w:val="20"/>
        </w:rPr>
        <w:sectPr w:rsidR="008D1AE9" w:rsidRPr="0098635C" w:rsidSect="00AF385A">
          <w:pgSz w:w="16840" w:h="11900" w:orient="landscape" w:code="9"/>
          <w:pgMar w:top="1418" w:right="1418" w:bottom="1418" w:left="1418" w:header="720" w:footer="720" w:gutter="0"/>
          <w:cols w:space="720"/>
        </w:sectPr>
      </w:pPr>
    </w:p>
    <w:p w14:paraId="145F1AC7" w14:textId="77777777" w:rsidR="008D1AE9" w:rsidRPr="0098635C" w:rsidRDefault="008D1AE9" w:rsidP="008D1AE9">
      <w:pPr>
        <w:pStyle w:val="Heading8"/>
        <w:rPr>
          <w:color w:val="000000" w:themeColor="text1"/>
          <w:sz w:val="20"/>
          <w:szCs w:val="20"/>
        </w:rPr>
      </w:pPr>
      <w:r w:rsidRPr="0098635C">
        <w:rPr>
          <w:color w:val="000000" w:themeColor="text1"/>
          <w:sz w:val="20"/>
          <w:szCs w:val="20"/>
        </w:rPr>
        <w:lastRenderedPageBreak/>
        <w:t>Studies in Humans</w:t>
      </w:r>
    </w:p>
    <w:p w14:paraId="1F92F4A0" w14:textId="77777777" w:rsidR="008D1AE9" w:rsidRPr="0098635C" w:rsidRDefault="008D1AE9" w:rsidP="008D1AE9">
      <w:pPr>
        <w:pStyle w:val="Heading8"/>
        <w:rPr>
          <w:i/>
          <w:color w:val="000000" w:themeColor="text1"/>
          <w:sz w:val="20"/>
          <w:szCs w:val="20"/>
        </w:rPr>
      </w:pPr>
      <w:r w:rsidRPr="0098635C">
        <w:rPr>
          <w:i/>
          <w:color w:val="000000" w:themeColor="text1"/>
          <w:sz w:val="20"/>
          <w:szCs w:val="20"/>
        </w:rPr>
        <w:t>Inhalation</w:t>
      </w:r>
    </w:p>
    <w:p w14:paraId="63BF57AB" w14:textId="77777777" w:rsidR="008D1AE9" w:rsidRPr="0098635C" w:rsidRDefault="008D1AE9" w:rsidP="008D1AE9">
      <w:pPr>
        <w:pStyle w:val="BodyText"/>
        <w:rPr>
          <w:color w:val="000000" w:themeColor="text1"/>
          <w:sz w:val="20"/>
        </w:rPr>
      </w:pPr>
      <w:r w:rsidRPr="0098635C">
        <w:rPr>
          <w:color w:val="000000" w:themeColor="text1"/>
          <w:sz w:val="20"/>
        </w:rPr>
        <w:t>Three studies are available concerning the health of vineyard sprayers exposed to ‘Bordeaux mixture’ fungicide by inhalation. Pimental and Menezes (1975, 1977) described pulmonary and liver lesions related to the exposure of vineyard sprayers to ‘Bordeaux mixture</w:t>
      </w:r>
      <w:r w:rsidRPr="0098635C">
        <w:rPr>
          <w:rStyle w:val="FootnoteReference"/>
          <w:color w:val="000000" w:themeColor="text1"/>
          <w:sz w:val="20"/>
        </w:rPr>
        <w:footnoteReference w:id="25"/>
      </w:r>
      <w:r w:rsidRPr="0098635C">
        <w:rPr>
          <w:color w:val="000000" w:themeColor="text1"/>
          <w:sz w:val="20"/>
        </w:rPr>
        <w:t xml:space="preserve">’ fungicide for 3 to 15 years. Data on exposure (mixture composition, exposure concentrations), were not available, and taking into account some of the reported confounding factors (“alcoholic”, “moderate drinking habits”, no information on smoking habits), this report provides no clear indication of the causative agent(s) which may be associated with the reported health effects (hepatic changes such as proliferation and swelling of Kupffer cells, development of histiocytic or sarcoid granulomas, liver fibrosis, angiosarcoma, and micronodular cirrhosis or fatty liver which are related to alcohol consumption. Consequently, it is difficult to draw conclusions based on the findings of this study. </w:t>
      </w:r>
    </w:p>
    <w:p w14:paraId="3E932824" w14:textId="77777777" w:rsidR="008D1AE9" w:rsidRPr="0098635C" w:rsidRDefault="008D1AE9" w:rsidP="008D1AE9">
      <w:pPr>
        <w:pStyle w:val="BodyText"/>
        <w:rPr>
          <w:color w:val="000000" w:themeColor="text1"/>
          <w:sz w:val="20"/>
        </w:rPr>
      </w:pPr>
      <w:r w:rsidRPr="0098635C">
        <w:rPr>
          <w:color w:val="000000" w:themeColor="text1"/>
          <w:sz w:val="20"/>
        </w:rPr>
        <w:t>A study by Plamenac</w:t>
      </w:r>
      <w:r w:rsidRPr="0098635C">
        <w:rPr>
          <w:i/>
          <w:color w:val="000000" w:themeColor="text1"/>
          <w:sz w:val="20"/>
        </w:rPr>
        <w:t xml:space="preserve"> et al </w:t>
      </w:r>
      <w:r w:rsidRPr="0098635C">
        <w:rPr>
          <w:color w:val="000000" w:themeColor="text1"/>
          <w:sz w:val="20"/>
        </w:rPr>
        <w:t>(1985) provides evidence of cytological changes in the respiratory epithelium among vineyard sprayers in the former republic of Yugoslavia who were exposed on a regular basis to ‘Bordeaux mixture’ by inhalation.  The reported cytological changes do not provide a clear indication as to whether the underlying mechanism for the respiratory changes has an immunological (increased eosinophilia) or irritant (increased respiratory spirals) basis.  As no exposure data were presented in this study, the respiratory effects reported cannot be attributed to either a specific causal agent in the ‘Bordeaux mixture’ or to specific levels of exposure.</w:t>
      </w:r>
    </w:p>
    <w:p w14:paraId="2E77D1EF" w14:textId="77777777" w:rsidR="008D1AE9" w:rsidRPr="0098635C" w:rsidRDefault="008D1AE9" w:rsidP="008D1AE9">
      <w:pPr>
        <w:pStyle w:val="BodyText"/>
        <w:rPr>
          <w:color w:val="000000" w:themeColor="text1"/>
          <w:sz w:val="20"/>
        </w:rPr>
      </w:pPr>
      <w:r w:rsidRPr="0098635C">
        <w:rPr>
          <w:color w:val="000000" w:themeColor="text1"/>
          <w:sz w:val="20"/>
        </w:rPr>
        <w:t>No significant effects on respiratory health was observed by Ostiguy</w:t>
      </w:r>
      <w:r w:rsidRPr="0098635C">
        <w:rPr>
          <w:i/>
          <w:color w:val="000000" w:themeColor="text1"/>
          <w:sz w:val="20"/>
        </w:rPr>
        <w:t xml:space="preserve"> et al (</w:t>
      </w:r>
      <w:r w:rsidRPr="0098635C">
        <w:rPr>
          <w:color w:val="000000" w:themeColor="text1"/>
          <w:sz w:val="20"/>
        </w:rPr>
        <w:t>1995) among copper refinery workers exposed by inhalation to metal dusts including copper dust, asbestos, other dusts and foundry fumes. Srivastava</w:t>
      </w:r>
      <w:r w:rsidRPr="0098635C">
        <w:rPr>
          <w:i/>
          <w:color w:val="000000" w:themeColor="text1"/>
          <w:sz w:val="20"/>
        </w:rPr>
        <w:t xml:space="preserve"> et al </w:t>
      </w:r>
      <w:r w:rsidRPr="0098635C">
        <w:rPr>
          <w:color w:val="000000" w:themeColor="text1"/>
          <w:sz w:val="20"/>
        </w:rPr>
        <w:t xml:space="preserve">(1992) conducted a cross-sectional study of paper mill workers potentially exposed to copper, chromium and zinc fumes, xylol and sulphuric acid. The study provided some indication of increased prevalence of respiratory effects in exposed subjects compared to controls. Clinical examination showed significantly increased prevalence of emphysema, decreased red blood cell count and decreased erythrocyte sedimentation However, given their exposure to several chemicals with recognised toxicities, together with the absence of quantitative exposure data, this study does not provide a clear indication of the causative agent(s) or the levels of exposure associated with such effects. </w:t>
      </w:r>
    </w:p>
    <w:p w14:paraId="127F0851" w14:textId="25BC9962" w:rsidR="008D1AE9" w:rsidRPr="0098635C" w:rsidRDefault="008D1AE9" w:rsidP="008D1AE9">
      <w:pPr>
        <w:pStyle w:val="BodyText"/>
        <w:rPr>
          <w:color w:val="000000" w:themeColor="text1"/>
          <w:sz w:val="20"/>
        </w:rPr>
      </w:pPr>
      <w:r w:rsidRPr="0098635C">
        <w:rPr>
          <w:color w:val="000000" w:themeColor="text1"/>
          <w:sz w:val="20"/>
        </w:rPr>
        <w:t>Finally, Askergen and Mellgren (1975) focussed on changes in the mucous membranes of the nose and throat of Sheet-metal workers exposed to dust from patinated copper. The study does provides some evidence of atrophic changes in the nasal mucosa of workers associated with occupational exposure to patinated copper dust, but provides no supportive quantitative exposure data.</w:t>
      </w:r>
    </w:p>
    <w:p w14:paraId="2E6EC3FF" w14:textId="77777777" w:rsidR="008D1AE9" w:rsidRPr="0098635C" w:rsidRDefault="008D1AE9" w:rsidP="008D1AE9">
      <w:pPr>
        <w:pStyle w:val="Heading8"/>
        <w:rPr>
          <w:i/>
          <w:color w:val="000000" w:themeColor="text1"/>
          <w:sz w:val="20"/>
          <w:szCs w:val="20"/>
        </w:rPr>
      </w:pPr>
      <w:r w:rsidRPr="0098635C">
        <w:rPr>
          <w:i/>
          <w:color w:val="000000" w:themeColor="text1"/>
          <w:sz w:val="20"/>
          <w:szCs w:val="20"/>
        </w:rPr>
        <w:t>Dermal</w:t>
      </w:r>
    </w:p>
    <w:p w14:paraId="448A9101" w14:textId="4F5515F9" w:rsidR="00407FEC" w:rsidRPr="0098635C" w:rsidRDefault="008D1AE9" w:rsidP="008D1AE9">
      <w:pPr>
        <w:pStyle w:val="BodyText"/>
        <w:rPr>
          <w:color w:val="000000" w:themeColor="text1"/>
          <w:sz w:val="20"/>
        </w:rPr>
      </w:pPr>
      <w:r w:rsidRPr="0098635C">
        <w:rPr>
          <w:color w:val="000000" w:themeColor="text1"/>
          <w:sz w:val="20"/>
        </w:rPr>
        <w:t>No studies are available which have investigated the effects of repeated dermal exposure to copper compounds in humans.</w:t>
      </w:r>
    </w:p>
    <w:p w14:paraId="5025BBE6" w14:textId="77777777" w:rsidR="008D1AE9" w:rsidRPr="0098635C" w:rsidRDefault="008D1AE9" w:rsidP="00586794">
      <w:pPr>
        <w:pStyle w:val="BodyText"/>
        <w:rPr>
          <w:color w:val="000000" w:themeColor="text1"/>
          <w:sz w:val="20"/>
        </w:rPr>
      </w:pPr>
      <w:r w:rsidRPr="0098635C">
        <w:rPr>
          <w:color w:val="000000" w:themeColor="text1"/>
          <w:sz w:val="20"/>
          <w:u w:val="single"/>
        </w:rPr>
        <w:t>Oral</w:t>
      </w:r>
    </w:p>
    <w:p w14:paraId="52A64F61" w14:textId="77777777" w:rsidR="008D1AE9" w:rsidRPr="0098635C" w:rsidRDefault="008D1AE9" w:rsidP="008D1AE9">
      <w:pPr>
        <w:pStyle w:val="Heading9"/>
        <w:rPr>
          <w:b/>
          <w:color w:val="000000" w:themeColor="text1"/>
          <w:sz w:val="20"/>
          <w:szCs w:val="20"/>
        </w:rPr>
      </w:pPr>
      <w:bookmarkStart w:id="1766" w:name="_Toc90336876"/>
      <w:r w:rsidRPr="0098635C">
        <w:rPr>
          <w:b/>
          <w:color w:val="000000" w:themeColor="text1"/>
          <w:sz w:val="20"/>
          <w:szCs w:val="20"/>
        </w:rPr>
        <w:t>Investigations of copper toxicity in children, with emphasis on hepatotoxicity</w:t>
      </w:r>
      <w:bookmarkEnd w:id="1766"/>
    </w:p>
    <w:p w14:paraId="51401A7F" w14:textId="77777777" w:rsidR="008D1AE9" w:rsidRPr="0098635C" w:rsidRDefault="008D1AE9" w:rsidP="008D1AE9">
      <w:pPr>
        <w:pStyle w:val="BodyText"/>
        <w:rPr>
          <w:color w:val="000000" w:themeColor="text1"/>
          <w:sz w:val="20"/>
        </w:rPr>
      </w:pPr>
      <w:r w:rsidRPr="0098635C">
        <w:rPr>
          <w:color w:val="000000" w:themeColor="text1"/>
          <w:sz w:val="20"/>
        </w:rPr>
        <w:t xml:space="preserve">Several publications are available, including cohort studies, cluster analysis studies and case-reports, which have investigated liver toxicity among young children associated with chronic ingestion of copper.  Interest in this subject has been prompted by reported cases of childhood cirrhosis associated with excessive accumulation of copper.  One form of the disease is referred to as ‘Indian childhood cirrhosis’ (ICC), as a result of its occurrence in India where it was once a major cause of infant mortality.  Other terms have been used for what appears to be a similar condition, including Non-Indian Childhood Cirrhosis (NICC), Copper-Associated Childhood Cirrhosis (CACC), Copper Storage Disease (CDS), Idiopathic Copper Toxicosis (ICT), Early Childhood Cirrhosis (ECC), ‘copper-associated liver disease in childhood’ and ‘exogenous infantile copper intoxication’. </w:t>
      </w:r>
    </w:p>
    <w:p w14:paraId="2345674F" w14:textId="77777777" w:rsidR="008D1AE9" w:rsidRPr="0098635C" w:rsidRDefault="008D1AE9" w:rsidP="008D1AE9">
      <w:pPr>
        <w:pStyle w:val="BodyText"/>
        <w:rPr>
          <w:color w:val="000000" w:themeColor="text1"/>
          <w:sz w:val="20"/>
        </w:rPr>
      </w:pPr>
      <w:r w:rsidRPr="0098635C">
        <w:rPr>
          <w:color w:val="000000" w:themeColor="text1"/>
          <w:sz w:val="20"/>
        </w:rPr>
        <w:t xml:space="preserve">Tanner et al (1979), for instance, provided evidence of very high copper concentrations in liver tissue of Indian children with ICC, but not with other types of liver disease. In a follow-up study by Tanner et al (1983), there were significant indications that relate the occurrence of ICC with the use of copper-containing vessels for the storage and heating of milk/water. One of the conclusions of these authors was that copper intake would be 6- to 20 fold lower for breast-fed </w:t>
      </w:r>
      <w:r w:rsidRPr="0098635C">
        <w:rPr>
          <w:color w:val="000000" w:themeColor="text1"/>
          <w:sz w:val="20"/>
        </w:rPr>
        <w:lastRenderedPageBreak/>
        <w:t xml:space="preserve">infants (absence of copper-containing vessels). Increase of Cu-content in milk due to Cu-release from brass containers was also confirmed by O’Neill and Tanner (1989). </w:t>
      </w:r>
    </w:p>
    <w:p w14:paraId="62BFC5F4" w14:textId="0E38D557" w:rsidR="008D1AE9" w:rsidRPr="0098635C" w:rsidRDefault="008D1AE9" w:rsidP="00586794">
      <w:pPr>
        <w:pStyle w:val="BodyText"/>
        <w:rPr>
          <w:color w:val="000000" w:themeColor="text1"/>
          <w:sz w:val="20"/>
        </w:rPr>
      </w:pPr>
      <w:r w:rsidRPr="0098635C">
        <w:rPr>
          <w:color w:val="000000" w:themeColor="text1"/>
          <w:sz w:val="20"/>
        </w:rPr>
        <w:t xml:space="preserve">Current understanding of the aetiology of these conditions is that they involve elevated exposure to copper from drinking water or food, possibly combined with a, as yet unproven, genetic predisposition to copper accumulation (IPCS 1998).  The relative importance of the role of these two factors is currently undetermined.  </w:t>
      </w:r>
    </w:p>
    <w:p w14:paraId="721A03CB" w14:textId="77777777" w:rsidR="008D1AE9" w:rsidRPr="0098635C" w:rsidRDefault="008D1AE9" w:rsidP="008D1AE9">
      <w:pPr>
        <w:rPr>
          <w:rFonts w:ascii="Times" w:hAnsi="Times" w:cs="Times"/>
          <w:b/>
          <w:i/>
          <w:color w:val="000000" w:themeColor="text1"/>
          <w:sz w:val="20"/>
          <w:szCs w:val="20"/>
        </w:rPr>
      </w:pPr>
      <w:r w:rsidRPr="0098635C">
        <w:rPr>
          <w:rFonts w:ascii="Times" w:hAnsi="Times" w:cs="Times"/>
          <w:b/>
          <w:bCs/>
          <w:i/>
          <w:color w:val="000000" w:themeColor="text1"/>
          <w:sz w:val="20"/>
          <w:szCs w:val="20"/>
        </w:rPr>
        <w:t>Cohort studies in children</w:t>
      </w:r>
    </w:p>
    <w:p w14:paraId="6B1080FF" w14:textId="59DF5FC0" w:rsidR="008D1AE9" w:rsidRPr="0098635C" w:rsidRDefault="008D1AE9" w:rsidP="008D1AE9">
      <w:pPr>
        <w:rPr>
          <w:color w:val="000000" w:themeColor="text1"/>
          <w:sz w:val="20"/>
          <w:szCs w:val="20"/>
        </w:rPr>
      </w:pPr>
      <w:r w:rsidRPr="0098635C">
        <w:rPr>
          <w:color w:val="000000" w:themeColor="text1"/>
          <w:sz w:val="20"/>
          <w:szCs w:val="20"/>
        </w:rPr>
        <w:t xml:space="preserve">The effect of copper supplementation in the drinking water at the then provisional WHO </w:t>
      </w:r>
      <w:r w:rsidR="00981670" w:rsidRPr="0098635C">
        <w:rPr>
          <w:color w:val="000000" w:themeColor="text1"/>
          <w:sz w:val="20"/>
          <w:szCs w:val="20"/>
        </w:rPr>
        <w:t>Guideline</w:t>
      </w:r>
      <w:r w:rsidRPr="0098635C">
        <w:rPr>
          <w:color w:val="000000" w:themeColor="text1"/>
          <w:sz w:val="20"/>
          <w:szCs w:val="20"/>
        </w:rPr>
        <w:t xml:space="preserve"> level of 2 mg/L was investigated in formula-fed and breast-fed infants from 3 to 12 months old in Chile (Olivares </w:t>
      </w:r>
      <w:r w:rsidRPr="0098635C">
        <w:rPr>
          <w:rFonts w:ascii="Times" w:hAnsi="Times" w:cs="Times"/>
          <w:iCs/>
          <w:color w:val="000000" w:themeColor="text1"/>
          <w:sz w:val="20"/>
          <w:szCs w:val="20"/>
        </w:rPr>
        <w:t>et al.,</w:t>
      </w:r>
      <w:r w:rsidRPr="0098635C">
        <w:rPr>
          <w:rFonts w:ascii="Times" w:hAnsi="Times" w:cs="Times"/>
          <w:i/>
          <w:iCs/>
          <w:color w:val="000000" w:themeColor="text1"/>
          <w:sz w:val="20"/>
          <w:szCs w:val="20"/>
        </w:rPr>
        <w:t xml:space="preserve"> </w:t>
      </w:r>
      <w:r w:rsidRPr="0098635C">
        <w:rPr>
          <w:color w:val="000000" w:themeColor="text1"/>
          <w:sz w:val="20"/>
          <w:szCs w:val="20"/>
        </w:rPr>
        <w:t>1998). Estimated total copper consumption (excluding breast milk at 4-6 months) in the control group ranged from 0.8 to 1.6 mg/day, comparable to adult intakes. This study failed to demonstrate any adverse effects in infants who had consumed water with a copper content of 2 mg/</w:t>
      </w:r>
      <w:r w:rsidR="00981670" w:rsidRPr="0098635C">
        <w:rPr>
          <w:color w:val="000000" w:themeColor="text1"/>
          <w:sz w:val="20"/>
          <w:szCs w:val="20"/>
        </w:rPr>
        <w:t>litre</w:t>
      </w:r>
      <w:r w:rsidRPr="0098635C">
        <w:rPr>
          <w:color w:val="000000" w:themeColor="text1"/>
          <w:sz w:val="20"/>
          <w:szCs w:val="20"/>
        </w:rPr>
        <w:t xml:space="preserve"> during the first 12 months of life. Based on this repeat-dosing study, a NOAEL of 2 mg Cu/</w:t>
      </w:r>
      <w:r w:rsidR="00981670" w:rsidRPr="0098635C">
        <w:rPr>
          <w:color w:val="000000" w:themeColor="text1"/>
          <w:sz w:val="20"/>
          <w:szCs w:val="20"/>
        </w:rPr>
        <w:t>litre</w:t>
      </w:r>
      <w:r w:rsidRPr="0098635C">
        <w:rPr>
          <w:color w:val="000000" w:themeColor="text1"/>
          <w:sz w:val="20"/>
          <w:szCs w:val="20"/>
        </w:rPr>
        <w:t xml:space="preserve"> drinking water can be identified for adverse effects in infants, including liver toxicity and GIT effects. Copper in drinking water at concentrations above 2 mg/L was not investigated in this study.</w:t>
      </w:r>
    </w:p>
    <w:p w14:paraId="7331B962" w14:textId="24282BFD" w:rsidR="008D1AE9" w:rsidRPr="0098635C" w:rsidRDefault="008D1AE9" w:rsidP="008D1AE9">
      <w:pPr>
        <w:rPr>
          <w:color w:val="000000" w:themeColor="text1"/>
          <w:sz w:val="20"/>
          <w:szCs w:val="20"/>
        </w:rPr>
      </w:pPr>
      <w:r w:rsidRPr="0098635C">
        <w:rPr>
          <w:color w:val="000000" w:themeColor="text1"/>
          <w:sz w:val="20"/>
          <w:szCs w:val="20"/>
        </w:rPr>
        <w:t xml:space="preserve">Two German epidemiological studies with infants from household with copper plumbing (Zietz </w:t>
      </w:r>
      <w:r w:rsidRPr="0098635C">
        <w:rPr>
          <w:iCs/>
          <w:color w:val="000000" w:themeColor="text1"/>
          <w:sz w:val="20"/>
          <w:szCs w:val="20"/>
        </w:rPr>
        <w:t xml:space="preserve">et al., </w:t>
      </w:r>
      <w:r w:rsidRPr="0098635C">
        <w:rPr>
          <w:color w:val="000000" w:themeColor="text1"/>
          <w:sz w:val="20"/>
          <w:szCs w:val="20"/>
        </w:rPr>
        <w:t>2003a; 2003b) demonstrated no evidence of liver disease among infants living in households where copper levels in drinking water were ≥0.8 mg/</w:t>
      </w:r>
      <w:r w:rsidR="00981670" w:rsidRPr="0098635C">
        <w:rPr>
          <w:color w:val="000000" w:themeColor="text1"/>
          <w:sz w:val="20"/>
          <w:szCs w:val="20"/>
        </w:rPr>
        <w:t>litre</w:t>
      </w:r>
      <w:r w:rsidRPr="0098635C">
        <w:rPr>
          <w:color w:val="000000" w:themeColor="text1"/>
          <w:sz w:val="20"/>
          <w:szCs w:val="20"/>
        </w:rPr>
        <w:t>, with maximum values of ~4 mg/</w:t>
      </w:r>
      <w:r w:rsidR="00F35D64" w:rsidRPr="0098635C">
        <w:rPr>
          <w:color w:val="000000" w:themeColor="text1"/>
          <w:sz w:val="20"/>
          <w:szCs w:val="20"/>
        </w:rPr>
        <w:t>l</w:t>
      </w:r>
      <w:r w:rsidR="00E64FDF" w:rsidRPr="0098635C">
        <w:rPr>
          <w:color w:val="000000" w:themeColor="text1"/>
          <w:sz w:val="20"/>
          <w:szCs w:val="20"/>
        </w:rPr>
        <w:t>itre</w:t>
      </w:r>
      <w:r w:rsidRPr="0098635C">
        <w:rPr>
          <w:color w:val="000000" w:themeColor="text1"/>
          <w:sz w:val="20"/>
          <w:szCs w:val="20"/>
        </w:rPr>
        <w:t xml:space="preserve"> reported in the wider study. These authors also conducted a fairly similar investigation in Lower Saxony with a smaller population of infants (aged up to 12 months). Among these infants, no evidence of liver malfunction was detected and none were affected by corresponding symptoms of nausea or vomiting. This additional investigation failed to demonstrate any signs of liver disease among infants living in households where copper levels in water were ≥0.8 mg/</w:t>
      </w:r>
      <w:r w:rsidR="00981670" w:rsidRPr="0098635C">
        <w:rPr>
          <w:color w:val="000000" w:themeColor="text1"/>
          <w:sz w:val="20"/>
          <w:szCs w:val="20"/>
        </w:rPr>
        <w:t>litre</w:t>
      </w:r>
      <w:r w:rsidRPr="0098635C">
        <w:rPr>
          <w:color w:val="000000" w:themeColor="text1"/>
          <w:sz w:val="20"/>
          <w:szCs w:val="20"/>
        </w:rPr>
        <w:t>, with maximum levels of ~6 mg/</w:t>
      </w:r>
      <w:r w:rsidR="00981670" w:rsidRPr="0098635C">
        <w:rPr>
          <w:color w:val="000000" w:themeColor="text1"/>
          <w:sz w:val="20"/>
          <w:szCs w:val="20"/>
        </w:rPr>
        <w:t>litre</w:t>
      </w:r>
      <w:r w:rsidRPr="0098635C">
        <w:rPr>
          <w:color w:val="000000" w:themeColor="text1"/>
          <w:sz w:val="20"/>
          <w:szCs w:val="20"/>
        </w:rPr>
        <w:t xml:space="preserve"> reported in the wider study.</w:t>
      </w:r>
    </w:p>
    <w:p w14:paraId="677AB5EC" w14:textId="3297A822" w:rsidR="00085B10" w:rsidRPr="0098635C" w:rsidRDefault="008D1AE9" w:rsidP="00085B10">
      <w:pPr>
        <w:tabs>
          <w:tab w:val="left" w:pos="2977"/>
        </w:tabs>
        <w:rPr>
          <w:color w:val="000000" w:themeColor="text1"/>
          <w:sz w:val="20"/>
          <w:szCs w:val="20"/>
        </w:rPr>
      </w:pPr>
      <w:r w:rsidRPr="0098635C">
        <w:rPr>
          <w:color w:val="000000" w:themeColor="text1"/>
          <w:sz w:val="20"/>
          <w:szCs w:val="20"/>
        </w:rPr>
        <w:t>Some other individual case-studies of copper toxicity in youn</w:t>
      </w:r>
      <w:r w:rsidR="00622F60" w:rsidRPr="0098635C">
        <w:rPr>
          <w:color w:val="000000" w:themeColor="text1"/>
          <w:sz w:val="20"/>
          <w:szCs w:val="20"/>
        </w:rPr>
        <w:t>g</w:t>
      </w:r>
      <w:r w:rsidRPr="0098635C">
        <w:rPr>
          <w:color w:val="000000" w:themeColor="text1"/>
          <w:sz w:val="20"/>
          <w:szCs w:val="20"/>
        </w:rPr>
        <w:t xml:space="preserve"> children were identified in open literature, but are not discussed here in detail (Salmon and Wright, 1971; Walker-Smith and Blomfield, 1973; Bhandariand Sharda, 1982; Müller-Höcker et al, 1988; Adamson et al, 1992; Baker et al, 1995; Trollman et al, 1999)</w:t>
      </w:r>
      <w:r w:rsidR="00085B10" w:rsidRPr="0098635C">
        <w:rPr>
          <w:color w:val="000000" w:themeColor="text1"/>
          <w:sz w:val="20"/>
          <w:szCs w:val="20"/>
        </w:rPr>
        <w:t xml:space="preserve"> (see </w:t>
      </w:r>
      <w:r w:rsidR="00085B10" w:rsidRPr="0098635C">
        <w:rPr>
          <w:rFonts w:eastAsia="Calibri"/>
          <w:color w:val="000000" w:themeColor="text1"/>
          <w:sz w:val="20"/>
          <w:szCs w:val="20"/>
        </w:rPr>
        <w:t>Annex VII)</w:t>
      </w:r>
    </w:p>
    <w:p w14:paraId="55A1E374" w14:textId="7046CEDC" w:rsidR="008D1AE9" w:rsidRPr="0098635C" w:rsidRDefault="008D1AE9" w:rsidP="008D1AE9">
      <w:pPr>
        <w:rPr>
          <w:color w:val="000000" w:themeColor="text1"/>
          <w:sz w:val="20"/>
          <w:szCs w:val="20"/>
        </w:rPr>
      </w:pPr>
    </w:p>
    <w:p w14:paraId="3E9FC6E9" w14:textId="77777777" w:rsidR="008D1AE9" w:rsidRPr="0098635C" w:rsidRDefault="008D1AE9" w:rsidP="008D1AE9">
      <w:pPr>
        <w:pStyle w:val="Heading9"/>
        <w:rPr>
          <w:color w:val="000000" w:themeColor="text1"/>
          <w:sz w:val="20"/>
          <w:szCs w:val="20"/>
        </w:rPr>
      </w:pPr>
    </w:p>
    <w:p w14:paraId="129EB675" w14:textId="77777777" w:rsidR="008D1AE9" w:rsidRPr="0098635C" w:rsidRDefault="008D1AE9" w:rsidP="008D1AE9">
      <w:pPr>
        <w:pStyle w:val="Heading9"/>
        <w:rPr>
          <w:b/>
          <w:color w:val="000000" w:themeColor="text1"/>
          <w:sz w:val="20"/>
          <w:szCs w:val="20"/>
        </w:rPr>
      </w:pPr>
      <w:bookmarkStart w:id="1767" w:name="_Toc90336877"/>
      <w:r w:rsidRPr="0098635C">
        <w:rPr>
          <w:b/>
          <w:color w:val="000000" w:themeColor="text1"/>
          <w:sz w:val="20"/>
          <w:szCs w:val="20"/>
        </w:rPr>
        <w:t>Investigations of hepatotoxicity, gastrointestinal and/or other effects in adults</w:t>
      </w:r>
      <w:bookmarkEnd w:id="1767"/>
    </w:p>
    <w:p w14:paraId="094C2871" w14:textId="7F19EC66" w:rsidR="008D1AE9" w:rsidRPr="0098635C" w:rsidRDefault="008D1AE9" w:rsidP="008D1AE9">
      <w:pPr>
        <w:pStyle w:val="BodyText"/>
        <w:rPr>
          <w:color w:val="000000" w:themeColor="text1"/>
          <w:sz w:val="20"/>
        </w:rPr>
      </w:pPr>
      <w:r w:rsidRPr="0098635C">
        <w:rPr>
          <w:color w:val="000000" w:themeColor="text1"/>
          <w:sz w:val="20"/>
        </w:rPr>
        <w:t>Several studies have been published which have investigated hepatotoxicity, GIT and/or other effects in adults</w:t>
      </w:r>
      <w:r w:rsidR="00F35D64" w:rsidRPr="0098635C">
        <w:rPr>
          <w:color w:val="000000" w:themeColor="text1"/>
          <w:sz w:val="20"/>
        </w:rPr>
        <w:t>,</w:t>
      </w:r>
      <w:r w:rsidRPr="0098635C">
        <w:rPr>
          <w:color w:val="000000" w:themeColor="text1"/>
          <w:sz w:val="20"/>
        </w:rPr>
        <w:t xml:space="preserve"> exposed repeatedly to copper in drinking water, feed or copper supplementation.  Whilst GIT effects in relation to copper exposure are recognised to be acute effects, the pattern of exposure in the following studies is that of repeated exposure.  Consequently, these studies are reviewed both in this section and in the </w:t>
      </w:r>
      <w:r w:rsidRPr="0098635C">
        <w:rPr>
          <w:b/>
          <w:color w:val="000000" w:themeColor="text1"/>
          <w:sz w:val="20"/>
        </w:rPr>
        <w:t xml:space="preserve">Acute toxicity </w:t>
      </w:r>
      <w:r w:rsidRPr="0098635C">
        <w:rPr>
          <w:color w:val="000000" w:themeColor="text1"/>
          <w:sz w:val="20"/>
        </w:rPr>
        <w:t>section.  Only studies which have included quantitative exposure data for copper have been reviewed here.</w:t>
      </w:r>
    </w:p>
    <w:p w14:paraId="49B832EB" w14:textId="77777777" w:rsidR="008D1AE9" w:rsidRPr="0098635C" w:rsidRDefault="008D1AE9" w:rsidP="008D1AE9">
      <w:pPr>
        <w:pStyle w:val="Heading9"/>
        <w:rPr>
          <w:iCs/>
          <w:color w:val="000000" w:themeColor="text1"/>
          <w:sz w:val="20"/>
          <w:szCs w:val="20"/>
        </w:rPr>
      </w:pPr>
      <w:r w:rsidRPr="0098635C">
        <w:rPr>
          <w:iCs/>
          <w:color w:val="000000" w:themeColor="text1"/>
          <w:sz w:val="20"/>
          <w:szCs w:val="20"/>
        </w:rPr>
        <w:t>Cohort studies in adults</w:t>
      </w:r>
    </w:p>
    <w:p w14:paraId="3A86403B" w14:textId="77777777" w:rsidR="008D1AE9" w:rsidRPr="0098635C" w:rsidRDefault="008D1AE9" w:rsidP="008D1AE9">
      <w:pPr>
        <w:pStyle w:val="BodyText"/>
        <w:rPr>
          <w:color w:val="000000" w:themeColor="text1"/>
          <w:sz w:val="20"/>
        </w:rPr>
      </w:pPr>
      <w:r w:rsidRPr="0098635C">
        <w:rPr>
          <w:color w:val="000000" w:themeColor="text1"/>
          <w:sz w:val="20"/>
        </w:rPr>
        <w:t xml:space="preserve">An investigation of the effects of copper supplementation in drinking water among healthy Chilean women was conducted by Pizarro </w:t>
      </w:r>
      <w:r w:rsidRPr="0098635C">
        <w:rPr>
          <w:i/>
          <w:color w:val="000000" w:themeColor="text1"/>
          <w:sz w:val="20"/>
        </w:rPr>
        <w:t xml:space="preserve">et al </w:t>
      </w:r>
      <w:r w:rsidRPr="0098635C">
        <w:rPr>
          <w:color w:val="000000" w:themeColor="text1"/>
          <w:sz w:val="20"/>
        </w:rPr>
        <w:t xml:space="preserve">(1999). The findings of this study resulted in a NOAEL of 5 mg/litre for copper in drinking water for chronic effects, specifically effects on liver function as indicated by enzyme markers.  At 5 mg/litre, total copper consumption (including copper from water and copper from diet) was reported to be 9.8 mg/day. </w:t>
      </w:r>
    </w:p>
    <w:p w14:paraId="0B89913E" w14:textId="208F1345" w:rsidR="008D1AE9" w:rsidRPr="0098635C" w:rsidRDefault="00B51D57" w:rsidP="00586794">
      <w:pPr>
        <w:rPr>
          <w:color w:val="000000" w:themeColor="text1"/>
          <w:sz w:val="20"/>
          <w:szCs w:val="20"/>
        </w:rPr>
      </w:pPr>
      <w:r w:rsidRPr="0098635C">
        <w:rPr>
          <w:color w:val="000000" w:themeColor="text1"/>
          <w:sz w:val="20"/>
          <w:szCs w:val="20"/>
        </w:rPr>
        <w:t xml:space="preserve">Pratt </w:t>
      </w:r>
      <w:r w:rsidRPr="0098635C">
        <w:rPr>
          <w:i/>
          <w:color w:val="000000" w:themeColor="text1"/>
          <w:sz w:val="20"/>
          <w:szCs w:val="20"/>
        </w:rPr>
        <w:t>et al</w:t>
      </w:r>
      <w:r w:rsidRPr="0098635C">
        <w:rPr>
          <w:color w:val="000000" w:themeColor="text1"/>
          <w:sz w:val="20"/>
          <w:szCs w:val="20"/>
        </w:rPr>
        <w:t xml:space="preserve">, 1985 assessed, as part of a double-blind study of back pain management, 7 adult patients, receiving an oral dose of 5 mg copper (as copper gluconate capsules) twice a day for 12 weeks.  Seven others received a placebo capsule over the exposure period.  Subjects were seen every 2 weeks to evaluate their progress.  There was no toxicologically significant change in the level of copper, zinc or magnesium of the serum, urine or hair samples of the seven subjects during the 12 weeks of the study.  Similarly, there was no toxicologically significant change in the haematocrit, mean corpuscular volume, serum cholesterol, serum triglyceride, SGOT, serum alkaline phosphatase, serum GGT, or serum LDH.Serum potassium changed from a mean of 4.3 mEq/L to 4.0 mEq/L.  The incidence of nausea, diarrhoea, and heartburn was the same in subjects receiving copper gluconate as it was in the control group. The </w:t>
      </w:r>
      <w:r w:rsidR="008D1AE9" w:rsidRPr="0098635C">
        <w:rPr>
          <w:color w:val="000000" w:themeColor="text1"/>
          <w:sz w:val="20"/>
          <w:szCs w:val="20"/>
        </w:rPr>
        <w:t xml:space="preserve">briefly reported study by Pratt </w:t>
      </w:r>
      <w:r w:rsidR="008D1AE9" w:rsidRPr="0098635C">
        <w:rPr>
          <w:iCs/>
          <w:color w:val="000000" w:themeColor="text1"/>
          <w:sz w:val="20"/>
          <w:szCs w:val="20"/>
        </w:rPr>
        <w:t xml:space="preserve">et al </w:t>
      </w:r>
      <w:r w:rsidR="008D1AE9" w:rsidRPr="0098635C">
        <w:rPr>
          <w:color w:val="000000" w:themeColor="text1"/>
          <w:sz w:val="20"/>
          <w:szCs w:val="20"/>
        </w:rPr>
        <w:t xml:space="preserve">(1985) </w:t>
      </w:r>
      <w:r w:rsidRPr="0098635C">
        <w:rPr>
          <w:color w:val="000000" w:themeColor="text1"/>
          <w:sz w:val="20"/>
          <w:szCs w:val="20"/>
        </w:rPr>
        <w:t xml:space="preserve">therefore </w:t>
      </w:r>
      <w:r w:rsidR="008D1AE9" w:rsidRPr="0098635C">
        <w:rPr>
          <w:color w:val="000000" w:themeColor="text1"/>
          <w:sz w:val="20"/>
          <w:szCs w:val="20"/>
        </w:rPr>
        <w:t xml:space="preserve">concluded that a repeated oral intake of 10 mg Cu/day as a supplement in adults does not cause any health effects (acute and chronic NOAEL), but the report presented few details of the methodology and only reported few results. It is noted that the NOAEL of 10 mg Cu/day from this study has been used as the basis of the Scientific </w:t>
      </w:r>
      <w:r w:rsidR="008D1AE9" w:rsidRPr="0098635C">
        <w:rPr>
          <w:color w:val="000000" w:themeColor="text1"/>
          <w:sz w:val="20"/>
          <w:szCs w:val="20"/>
        </w:rPr>
        <w:lastRenderedPageBreak/>
        <w:t>Committee on Food’s Tolerable Upper Intake Level for copper</w:t>
      </w:r>
      <w:r w:rsidR="008D1AE9" w:rsidRPr="0098635C">
        <w:rPr>
          <w:rStyle w:val="FootnoteReference"/>
          <w:color w:val="000000" w:themeColor="text1"/>
          <w:sz w:val="20"/>
          <w:szCs w:val="20"/>
        </w:rPr>
        <w:footnoteReference w:id="26"/>
      </w:r>
      <w:r w:rsidR="008D1AE9" w:rsidRPr="0098635C">
        <w:rPr>
          <w:color w:val="000000" w:themeColor="text1"/>
          <w:sz w:val="20"/>
          <w:szCs w:val="20"/>
        </w:rPr>
        <w:t>.Two other studies with low reliability were conducted by Buchanan et al (1999) and Turnlund et al (2004), and no high-quality NOAELs  could be derived from these studies.</w:t>
      </w:r>
    </w:p>
    <w:p w14:paraId="3795BD95" w14:textId="77777777" w:rsidR="008D1AE9" w:rsidRPr="0098635C" w:rsidRDefault="008D1AE9" w:rsidP="008D1AE9">
      <w:pPr>
        <w:pStyle w:val="Heading9"/>
        <w:rPr>
          <w:iCs/>
          <w:color w:val="000000" w:themeColor="text1"/>
          <w:sz w:val="20"/>
          <w:szCs w:val="20"/>
        </w:rPr>
      </w:pPr>
      <w:r w:rsidRPr="0098635C">
        <w:rPr>
          <w:iCs/>
          <w:color w:val="000000" w:themeColor="text1"/>
          <w:sz w:val="20"/>
          <w:szCs w:val="20"/>
        </w:rPr>
        <w:t>Cluster analysis reports</w:t>
      </w:r>
    </w:p>
    <w:p w14:paraId="62CD64C2" w14:textId="2BE30E9E" w:rsidR="008D1AE9" w:rsidRPr="0098635C" w:rsidRDefault="008D1AE9" w:rsidP="008D1AE9">
      <w:pPr>
        <w:pStyle w:val="BodyText"/>
        <w:rPr>
          <w:color w:val="000000" w:themeColor="text1"/>
          <w:sz w:val="20"/>
        </w:rPr>
      </w:pPr>
      <w:r w:rsidRPr="0098635C">
        <w:rPr>
          <w:color w:val="000000" w:themeColor="text1"/>
          <w:sz w:val="20"/>
        </w:rPr>
        <w:t xml:space="preserve">A series of cluster analysis studies in the USA have been reported by (Knobeloch </w:t>
      </w:r>
      <w:r w:rsidRPr="0098635C">
        <w:rPr>
          <w:i/>
          <w:color w:val="000000" w:themeColor="text1"/>
          <w:sz w:val="20"/>
        </w:rPr>
        <w:t>et al,</w:t>
      </w:r>
      <w:r w:rsidRPr="0098635C">
        <w:rPr>
          <w:color w:val="000000" w:themeColor="text1"/>
          <w:sz w:val="20"/>
        </w:rPr>
        <w:t xml:space="preserve"> 1994). Most studies reported on adverse gastro-intestinal effects (abdominal cramps, nausea, diarrhoea, vomiting) related to elevated concentrations of copper in drinking water. The different cases on this publication reported maximum Cu-levels 1.3 mg/Cu/L, 5.0-87.7 mg Cu/L, 1.3 mg Cu/L, 3.6 mg Cu/L; some of these values exceed the WHA guideline value of 2 mg Cu/L;</w:t>
      </w:r>
    </w:p>
    <w:p w14:paraId="7C9F44E2" w14:textId="77777777" w:rsidR="008D1AE9" w:rsidRPr="0098635C" w:rsidRDefault="008D1AE9" w:rsidP="008D1AE9">
      <w:pPr>
        <w:pStyle w:val="Heading9"/>
        <w:rPr>
          <w:iCs/>
          <w:color w:val="000000" w:themeColor="text1"/>
          <w:sz w:val="20"/>
          <w:szCs w:val="20"/>
        </w:rPr>
      </w:pPr>
      <w:r w:rsidRPr="0098635C">
        <w:rPr>
          <w:iCs/>
          <w:color w:val="000000" w:themeColor="text1"/>
          <w:sz w:val="20"/>
          <w:szCs w:val="20"/>
        </w:rPr>
        <w:t>Reported individual cases</w:t>
      </w:r>
    </w:p>
    <w:p w14:paraId="05228D36" w14:textId="77777777" w:rsidR="008D1AE9" w:rsidRPr="0098635C" w:rsidRDefault="008D1AE9" w:rsidP="008D1AE9">
      <w:pPr>
        <w:pStyle w:val="BodyText"/>
        <w:rPr>
          <w:color w:val="000000" w:themeColor="text1"/>
          <w:sz w:val="20"/>
        </w:rPr>
      </w:pPr>
      <w:r w:rsidRPr="0098635C">
        <w:rPr>
          <w:color w:val="000000" w:themeColor="text1"/>
          <w:sz w:val="20"/>
        </w:rPr>
        <w:t>O’Donohue</w:t>
      </w:r>
      <w:r w:rsidRPr="0098635C">
        <w:rPr>
          <w:i/>
          <w:color w:val="000000" w:themeColor="text1"/>
          <w:sz w:val="20"/>
        </w:rPr>
        <w:t xml:space="preserve"> et al </w:t>
      </w:r>
      <w:r w:rsidRPr="0098635C">
        <w:rPr>
          <w:color w:val="000000" w:themeColor="text1"/>
          <w:sz w:val="20"/>
        </w:rPr>
        <w:t>(1993) described a case of chronic copper intoxication (intake of Cu tablets on a regular basis for approximately three years) leading to liver failure.This single case study provides evidence of hepatotoxicity in an adult associated with long-term oral exposure to copper at 30 or 60 mg/day.  This dose corresponds to 0.43 or 0.86 mg/kg/day, assuming a bodyweight of 70 kg.</w:t>
      </w:r>
    </w:p>
    <w:p w14:paraId="477DC16C" w14:textId="178B19FE" w:rsidR="008D1AE9" w:rsidRPr="0098635C" w:rsidRDefault="008D1AE9" w:rsidP="008D1AE9">
      <w:pPr>
        <w:pStyle w:val="BodyText"/>
        <w:rPr>
          <w:color w:val="000000" w:themeColor="text1"/>
          <w:sz w:val="20"/>
        </w:rPr>
      </w:pPr>
      <w:r w:rsidRPr="0098635C">
        <w:rPr>
          <w:color w:val="000000" w:themeColor="text1"/>
          <w:sz w:val="20"/>
        </w:rPr>
        <w:t xml:space="preserve">A study in the US identified a family where the father and two daughters suffered repeated gastrointestinal symptoms, mainly vomiting and abdominal pains, for a period in excess of one year (Spitalny </w:t>
      </w:r>
      <w:r w:rsidRPr="0098635C">
        <w:rPr>
          <w:i/>
          <w:color w:val="000000" w:themeColor="text1"/>
          <w:sz w:val="20"/>
        </w:rPr>
        <w:t xml:space="preserve">et al, </w:t>
      </w:r>
      <w:r w:rsidRPr="0098635C">
        <w:rPr>
          <w:color w:val="000000" w:themeColor="text1"/>
          <w:sz w:val="20"/>
        </w:rPr>
        <w:t xml:space="preserve">1984) and effects were associated with the consumptions of tap water </w:t>
      </w:r>
      <w:r w:rsidR="00F35D64" w:rsidRPr="0098635C">
        <w:rPr>
          <w:color w:val="000000" w:themeColor="text1"/>
          <w:sz w:val="20"/>
        </w:rPr>
        <w:t>containing</w:t>
      </w:r>
      <w:r w:rsidRPr="0098635C">
        <w:rPr>
          <w:color w:val="000000" w:themeColor="text1"/>
          <w:sz w:val="20"/>
        </w:rPr>
        <w:t xml:space="preserve"> a </w:t>
      </w:r>
      <w:r w:rsidR="00F35D64" w:rsidRPr="0098635C">
        <w:rPr>
          <w:color w:val="000000" w:themeColor="text1"/>
          <w:sz w:val="20"/>
        </w:rPr>
        <w:t>median</w:t>
      </w:r>
      <w:r w:rsidRPr="0098635C">
        <w:rPr>
          <w:color w:val="000000" w:themeColor="text1"/>
          <w:sz w:val="20"/>
        </w:rPr>
        <w:t xml:space="preserve"> concentration of 3.07 mg Cu/L. Complete remission from the recurrent symptoms occurred when consumption of the tap water was terminated. </w:t>
      </w:r>
      <w:bookmarkStart w:id="1768" w:name="_Toc526757054"/>
      <w:bookmarkStart w:id="1769" w:name="_Toc90336878"/>
    </w:p>
    <w:p w14:paraId="3E72233A" w14:textId="77777777" w:rsidR="008D1AE9" w:rsidRPr="0098635C" w:rsidRDefault="008D1AE9" w:rsidP="008D1AE9">
      <w:pPr>
        <w:pStyle w:val="Heading9"/>
        <w:rPr>
          <w:b/>
          <w:color w:val="000000" w:themeColor="text1"/>
          <w:sz w:val="20"/>
          <w:szCs w:val="20"/>
        </w:rPr>
      </w:pPr>
      <w:r w:rsidRPr="0098635C">
        <w:rPr>
          <w:b/>
          <w:color w:val="000000" w:themeColor="text1"/>
          <w:sz w:val="20"/>
          <w:szCs w:val="20"/>
        </w:rPr>
        <w:t>Investigations of cardiovascular effects in adults</w:t>
      </w:r>
    </w:p>
    <w:bookmarkEnd w:id="1768"/>
    <w:bookmarkEnd w:id="1769"/>
    <w:p w14:paraId="3BBE3D7D" w14:textId="77777777" w:rsidR="008D1AE9" w:rsidRPr="0098635C" w:rsidRDefault="008D1AE9" w:rsidP="008D1AE9">
      <w:pPr>
        <w:pStyle w:val="BodyText"/>
        <w:rPr>
          <w:color w:val="000000" w:themeColor="text1"/>
          <w:sz w:val="20"/>
        </w:rPr>
      </w:pPr>
      <w:r w:rsidRPr="0098635C">
        <w:rPr>
          <w:color w:val="000000" w:themeColor="text1"/>
          <w:sz w:val="20"/>
        </w:rPr>
        <w:t xml:space="preserve">A large number of studies are available which have investigated copper and its involvement in cardiovascular disease.  The only study that provides quantitative exposure data for copper is that of Punsar </w:t>
      </w:r>
      <w:r w:rsidRPr="0098635C">
        <w:rPr>
          <w:i/>
          <w:color w:val="000000" w:themeColor="text1"/>
          <w:sz w:val="20"/>
        </w:rPr>
        <w:t>et al</w:t>
      </w:r>
      <w:r w:rsidRPr="0098635C">
        <w:rPr>
          <w:color w:val="000000" w:themeColor="text1"/>
          <w:sz w:val="20"/>
        </w:rPr>
        <w:t xml:space="preserve"> (1975), which present data on copper levels in drinking water.  Consequently, this appears to be a key study in this sub-section.  </w:t>
      </w:r>
    </w:p>
    <w:p w14:paraId="047BEA45" w14:textId="34222B55" w:rsidR="008D1AE9" w:rsidRPr="0098635C" w:rsidRDefault="008D1AE9" w:rsidP="008D1AE9">
      <w:pPr>
        <w:pStyle w:val="BodyText"/>
        <w:rPr>
          <w:color w:val="000000" w:themeColor="text1"/>
          <w:sz w:val="20"/>
        </w:rPr>
      </w:pPr>
      <w:r w:rsidRPr="0098635C">
        <w:rPr>
          <w:color w:val="000000" w:themeColor="text1"/>
          <w:sz w:val="20"/>
        </w:rPr>
        <w:t>A 10-year follow-up study was conducted to search for a hypothetical factor in drinking-water that might explain the markedly different coronary heart disease (CHD) mortality rates in two regions of Finland and that might influence the development of CHD (Punsar</w:t>
      </w:r>
      <w:r w:rsidRPr="0098635C">
        <w:rPr>
          <w:i/>
          <w:color w:val="000000" w:themeColor="text1"/>
          <w:sz w:val="20"/>
        </w:rPr>
        <w:t xml:space="preserve"> et al, </w:t>
      </w:r>
      <w:r w:rsidRPr="0098635C">
        <w:rPr>
          <w:color w:val="000000" w:themeColor="text1"/>
          <w:sz w:val="20"/>
        </w:rPr>
        <w:t xml:space="preserve">1975).  Copper was one of 22 drinking water factors investigated in the study. The study, however, revealed no significant correlation between CHD risks factors and copper in drinking water, although some significant correlations were demonstrated for other drinking water constituents. </w:t>
      </w:r>
    </w:p>
    <w:p w14:paraId="20D71131" w14:textId="77777777" w:rsidR="008D1AE9" w:rsidRPr="0098635C" w:rsidRDefault="008D1AE9" w:rsidP="008D1AE9">
      <w:pPr>
        <w:pStyle w:val="Heading9"/>
        <w:rPr>
          <w:b/>
          <w:color w:val="000000" w:themeColor="text1"/>
          <w:sz w:val="20"/>
          <w:szCs w:val="20"/>
        </w:rPr>
      </w:pPr>
      <w:r w:rsidRPr="0098635C">
        <w:rPr>
          <w:b/>
          <w:color w:val="000000" w:themeColor="text1"/>
          <w:sz w:val="20"/>
          <w:szCs w:val="20"/>
        </w:rPr>
        <w:t>Investigations of neurotoxic effects in adults</w:t>
      </w:r>
    </w:p>
    <w:p w14:paraId="2AB2AA3C" w14:textId="3EB13E66" w:rsidR="008D1AE9" w:rsidRPr="0098635C" w:rsidRDefault="008D1AE9" w:rsidP="008D1AE9">
      <w:pPr>
        <w:rPr>
          <w:color w:val="000000" w:themeColor="text1"/>
          <w:sz w:val="20"/>
          <w:szCs w:val="20"/>
        </w:rPr>
      </w:pPr>
      <w:r w:rsidRPr="0098635C">
        <w:rPr>
          <w:color w:val="000000" w:themeColor="text1"/>
          <w:sz w:val="20"/>
          <w:szCs w:val="20"/>
        </w:rPr>
        <w:t xml:space="preserve">A number of studies have been published by a research group from Japan which have investigated the combined effects of copper, lead and zinc on the </w:t>
      </w:r>
      <w:r w:rsidR="00F35D64" w:rsidRPr="0098635C">
        <w:rPr>
          <w:color w:val="000000" w:themeColor="text1"/>
          <w:sz w:val="20"/>
          <w:szCs w:val="20"/>
        </w:rPr>
        <w:t>nervous</w:t>
      </w:r>
      <w:r w:rsidRPr="0098635C">
        <w:rPr>
          <w:color w:val="000000" w:themeColor="text1"/>
          <w:sz w:val="20"/>
          <w:szCs w:val="20"/>
        </w:rPr>
        <w:t xml:space="preserve"> system in occupationally-exposed humans (Murata</w:t>
      </w:r>
      <w:r w:rsidRPr="0098635C">
        <w:rPr>
          <w:i/>
          <w:color w:val="000000" w:themeColor="text1"/>
          <w:sz w:val="20"/>
          <w:szCs w:val="20"/>
        </w:rPr>
        <w:t xml:space="preserve"> et al </w:t>
      </w:r>
      <w:r w:rsidRPr="0098635C">
        <w:rPr>
          <w:color w:val="000000" w:themeColor="text1"/>
          <w:sz w:val="20"/>
          <w:szCs w:val="20"/>
        </w:rPr>
        <w:t>1987; Araki</w:t>
      </w:r>
      <w:r w:rsidRPr="0098635C">
        <w:rPr>
          <w:i/>
          <w:color w:val="000000" w:themeColor="text1"/>
          <w:sz w:val="20"/>
          <w:szCs w:val="20"/>
        </w:rPr>
        <w:t xml:space="preserve"> et al </w:t>
      </w:r>
      <w:r w:rsidRPr="0098635C">
        <w:rPr>
          <w:color w:val="000000" w:themeColor="text1"/>
          <w:sz w:val="20"/>
          <w:szCs w:val="20"/>
        </w:rPr>
        <w:t>1987; Murata</w:t>
      </w:r>
      <w:r w:rsidR="00F0003A" w:rsidRPr="0098635C">
        <w:rPr>
          <w:i/>
          <w:color w:val="000000" w:themeColor="text1"/>
          <w:sz w:val="20"/>
          <w:szCs w:val="20"/>
        </w:rPr>
        <w:t xml:space="preserve"> and Araki</w:t>
      </w:r>
      <w:r w:rsidR="00F35D64" w:rsidRPr="0098635C">
        <w:rPr>
          <w:i/>
          <w:color w:val="000000" w:themeColor="text1"/>
          <w:sz w:val="20"/>
          <w:szCs w:val="20"/>
        </w:rPr>
        <w:t xml:space="preserve">, </w:t>
      </w:r>
      <w:r w:rsidRPr="0098635C">
        <w:rPr>
          <w:color w:val="000000" w:themeColor="text1"/>
          <w:sz w:val="20"/>
          <w:szCs w:val="20"/>
        </w:rPr>
        <w:t>1991; Araki</w:t>
      </w:r>
      <w:r w:rsidRPr="0098635C">
        <w:rPr>
          <w:i/>
          <w:color w:val="000000" w:themeColor="text1"/>
          <w:sz w:val="20"/>
          <w:szCs w:val="20"/>
        </w:rPr>
        <w:t xml:space="preserve"> et al </w:t>
      </w:r>
      <w:r w:rsidRPr="0098635C">
        <w:rPr>
          <w:color w:val="000000" w:themeColor="text1"/>
          <w:sz w:val="20"/>
          <w:szCs w:val="20"/>
        </w:rPr>
        <w:t xml:space="preserve">1993).  In all of these studies, the focus has been on lead-induced neurotoxicity and the possible antagonistic effects of copper and zinc, rather than on the neurological effects of copper </w:t>
      </w:r>
      <w:r w:rsidRPr="0098635C">
        <w:rPr>
          <w:i/>
          <w:color w:val="000000" w:themeColor="text1"/>
          <w:sz w:val="20"/>
          <w:szCs w:val="20"/>
        </w:rPr>
        <w:t>per se</w:t>
      </w:r>
      <w:r w:rsidRPr="0098635C">
        <w:rPr>
          <w:color w:val="000000" w:themeColor="text1"/>
          <w:sz w:val="20"/>
          <w:szCs w:val="20"/>
        </w:rPr>
        <w:t xml:space="preserve">.  None of these studies provide any useful information concerning the effects of repeated exposure to copper.  </w:t>
      </w:r>
    </w:p>
    <w:p w14:paraId="23397EF7" w14:textId="77777777" w:rsidR="008D1AE9" w:rsidRPr="0098635C" w:rsidRDefault="008D1AE9" w:rsidP="008D1AE9">
      <w:pPr>
        <w:rPr>
          <w:b/>
          <w:color w:val="000000" w:themeColor="text1"/>
          <w:sz w:val="20"/>
          <w:szCs w:val="20"/>
          <w:u w:val="single"/>
        </w:rPr>
      </w:pPr>
      <w:r w:rsidRPr="0098635C">
        <w:rPr>
          <w:b/>
          <w:color w:val="000000" w:themeColor="text1"/>
          <w:sz w:val="20"/>
          <w:szCs w:val="20"/>
          <w:u w:val="single"/>
        </w:rPr>
        <w:t>Conclusion</w:t>
      </w:r>
    </w:p>
    <w:p w14:paraId="6FC881ED" w14:textId="77777777" w:rsidR="008D1AE9" w:rsidRPr="0098635C" w:rsidRDefault="008D1AE9" w:rsidP="008D1AE9">
      <w:pPr>
        <w:rPr>
          <w:color w:val="000000" w:themeColor="text1"/>
          <w:sz w:val="20"/>
          <w:szCs w:val="20"/>
        </w:rPr>
      </w:pPr>
      <w:r w:rsidRPr="0098635C">
        <w:rPr>
          <w:color w:val="000000" w:themeColor="text1"/>
          <w:sz w:val="20"/>
          <w:szCs w:val="20"/>
        </w:rPr>
        <w:t xml:space="preserve">The NTP studies by Hébert </w:t>
      </w:r>
      <w:r w:rsidRPr="0098635C">
        <w:rPr>
          <w:i/>
          <w:color w:val="000000" w:themeColor="text1"/>
          <w:sz w:val="20"/>
          <w:szCs w:val="20"/>
        </w:rPr>
        <w:t>et al (</w:t>
      </w:r>
      <w:r w:rsidRPr="0098635C">
        <w:rPr>
          <w:color w:val="000000" w:themeColor="text1"/>
          <w:sz w:val="20"/>
          <w:szCs w:val="20"/>
        </w:rPr>
        <w:t>1993) and Hébert (1993) are considered to be the pivotal study for Cu</w:t>
      </w:r>
      <w:r w:rsidRPr="0098635C">
        <w:rPr>
          <w:color w:val="000000" w:themeColor="text1"/>
          <w:sz w:val="20"/>
          <w:szCs w:val="20"/>
          <w:vertAlign w:val="superscript"/>
        </w:rPr>
        <w:t>2+</w:t>
      </w:r>
      <w:r w:rsidRPr="0098635C">
        <w:rPr>
          <w:color w:val="000000" w:themeColor="text1"/>
          <w:position w:val="16"/>
          <w:sz w:val="20"/>
          <w:szCs w:val="20"/>
        </w:rPr>
        <w:t xml:space="preserve"> </w:t>
      </w:r>
      <w:r w:rsidRPr="0098635C">
        <w:rPr>
          <w:color w:val="000000" w:themeColor="text1"/>
          <w:sz w:val="20"/>
          <w:szCs w:val="20"/>
        </w:rPr>
        <w:t>presented as copper sulphate pentahydrate and results in an NOAEL of 16.7 mg Cu Cu</w:t>
      </w:r>
      <w:r w:rsidRPr="0098635C">
        <w:rPr>
          <w:color w:val="000000" w:themeColor="text1"/>
          <w:sz w:val="20"/>
          <w:szCs w:val="20"/>
          <w:vertAlign w:val="superscript"/>
        </w:rPr>
        <w:t>2+</w:t>
      </w:r>
      <w:r w:rsidRPr="0098635C">
        <w:rPr>
          <w:color w:val="000000" w:themeColor="text1"/>
          <w:sz w:val="20"/>
          <w:szCs w:val="20"/>
        </w:rPr>
        <w:t xml:space="preserve">/kg/bw/day in the rat. With regard to repeated dose oral toxicity of other copper substances, it is considered appropriate to adopt a conservative approach and use the data from copper sulphate, on the basis that this is the most soluble and apparently bioavailable copper substance covered here, and the most well-characterised with respect to toxicokinetics and repeated dose toxicity. </w:t>
      </w:r>
    </w:p>
    <w:p w14:paraId="63B7E71C" w14:textId="30B3B602" w:rsidR="00E673F6" w:rsidRPr="0098635C" w:rsidRDefault="00E673F6" w:rsidP="00E673F6">
      <w:pPr>
        <w:pStyle w:val="Default"/>
        <w:rPr>
          <w:color w:val="000000" w:themeColor="text1"/>
          <w:sz w:val="20"/>
          <w:szCs w:val="20"/>
        </w:rPr>
      </w:pPr>
      <w:r w:rsidRPr="0098635C">
        <w:rPr>
          <w:color w:val="000000" w:themeColor="text1"/>
          <w:sz w:val="20"/>
          <w:szCs w:val="20"/>
        </w:rPr>
        <w:t>The data from Chung</w:t>
      </w:r>
      <w:r w:rsidR="002213D7" w:rsidRPr="0098635C">
        <w:rPr>
          <w:color w:val="000000" w:themeColor="text1"/>
          <w:sz w:val="20"/>
          <w:szCs w:val="20"/>
        </w:rPr>
        <w:t xml:space="preserve"> </w:t>
      </w:r>
      <w:r w:rsidR="002213D7" w:rsidRPr="0098635C">
        <w:rPr>
          <w:i/>
          <w:color w:val="000000" w:themeColor="text1"/>
          <w:sz w:val="20"/>
          <w:szCs w:val="20"/>
        </w:rPr>
        <w:t>et al</w:t>
      </w:r>
      <w:r w:rsidRPr="0098635C">
        <w:rPr>
          <w:color w:val="000000" w:themeColor="text1"/>
          <w:sz w:val="20"/>
          <w:szCs w:val="20"/>
        </w:rPr>
        <w:t xml:space="preserve"> </w:t>
      </w:r>
      <w:r w:rsidR="002213D7" w:rsidRPr="0098635C">
        <w:rPr>
          <w:color w:val="000000" w:themeColor="text1"/>
          <w:sz w:val="20"/>
          <w:szCs w:val="20"/>
        </w:rPr>
        <w:t>(</w:t>
      </w:r>
      <w:r w:rsidRPr="0098635C">
        <w:rPr>
          <w:color w:val="000000" w:themeColor="text1"/>
          <w:sz w:val="20"/>
          <w:szCs w:val="20"/>
        </w:rPr>
        <w:t>200</w:t>
      </w:r>
      <w:r w:rsidR="00BD620F" w:rsidRPr="0098635C">
        <w:rPr>
          <w:color w:val="000000" w:themeColor="text1"/>
          <w:sz w:val="20"/>
          <w:szCs w:val="20"/>
        </w:rPr>
        <w:t>9</w:t>
      </w:r>
      <w:r w:rsidR="002213D7" w:rsidRPr="0098635C">
        <w:rPr>
          <w:color w:val="000000" w:themeColor="text1"/>
          <w:sz w:val="20"/>
          <w:szCs w:val="20"/>
        </w:rPr>
        <w:t>)</w:t>
      </w:r>
      <w:r w:rsidR="00F35D64" w:rsidRPr="0098635C">
        <w:rPr>
          <w:color w:val="000000" w:themeColor="text1"/>
          <w:sz w:val="20"/>
          <w:szCs w:val="20"/>
        </w:rPr>
        <w:t>, with</w:t>
      </w:r>
      <w:r w:rsidRPr="0098635C">
        <w:rPr>
          <w:color w:val="000000" w:themeColor="text1"/>
          <w:sz w:val="20"/>
          <w:szCs w:val="20"/>
        </w:rPr>
        <w:t xml:space="preserve"> an observed general effects of repeated exposure, systemic toxicity at 48 mg Cu /kg bw/d  provide supportive evidence. The  observed local effects at lower doses (squamous cell hyperplasia of the stomach), are considered to be a direct effect of the </w:t>
      </w:r>
      <w:r w:rsidR="00981670" w:rsidRPr="0098635C">
        <w:rPr>
          <w:color w:val="000000" w:themeColor="text1"/>
          <w:sz w:val="20"/>
          <w:szCs w:val="20"/>
        </w:rPr>
        <w:t xml:space="preserve">corrosive </w:t>
      </w:r>
      <w:r w:rsidRPr="0098635C">
        <w:rPr>
          <w:color w:val="000000" w:themeColor="text1"/>
          <w:sz w:val="20"/>
          <w:szCs w:val="20"/>
        </w:rPr>
        <w:t>properties of copper chloride</w:t>
      </w:r>
      <w:r w:rsidR="002213D7" w:rsidRPr="0098635C">
        <w:rPr>
          <w:color w:val="000000" w:themeColor="text1"/>
          <w:sz w:val="20"/>
          <w:szCs w:val="20"/>
        </w:rPr>
        <w:t xml:space="preserve"> and are therefore not</w:t>
      </w:r>
      <w:r w:rsidRPr="0098635C">
        <w:rPr>
          <w:color w:val="000000" w:themeColor="text1"/>
          <w:sz w:val="20"/>
          <w:szCs w:val="20"/>
        </w:rPr>
        <w:t xml:space="preserve"> relevant for the </w:t>
      </w:r>
      <w:r w:rsidR="002213D7" w:rsidRPr="0098635C">
        <w:rPr>
          <w:color w:val="000000" w:themeColor="text1"/>
          <w:sz w:val="20"/>
          <w:szCs w:val="20"/>
        </w:rPr>
        <w:t xml:space="preserve">repeat dose </w:t>
      </w:r>
      <w:r w:rsidRPr="0098635C">
        <w:rPr>
          <w:color w:val="000000" w:themeColor="text1"/>
          <w:sz w:val="20"/>
          <w:szCs w:val="20"/>
        </w:rPr>
        <w:t>hazard profile of other copper containing materials in the category</w:t>
      </w:r>
      <w:r w:rsidR="002213D7" w:rsidRPr="0098635C">
        <w:rPr>
          <w:color w:val="000000" w:themeColor="text1"/>
          <w:sz w:val="20"/>
          <w:szCs w:val="20"/>
        </w:rPr>
        <w:t>.</w:t>
      </w:r>
      <w:r w:rsidRPr="0098635C">
        <w:rPr>
          <w:color w:val="000000" w:themeColor="text1"/>
          <w:sz w:val="20"/>
          <w:szCs w:val="20"/>
        </w:rPr>
        <w:t xml:space="preserve">  </w:t>
      </w:r>
    </w:p>
    <w:p w14:paraId="26845276" w14:textId="23DCABCF" w:rsidR="00E673F6" w:rsidRPr="0098635C" w:rsidRDefault="00E673F6" w:rsidP="008D1AE9">
      <w:pPr>
        <w:rPr>
          <w:color w:val="000000" w:themeColor="text1"/>
          <w:sz w:val="20"/>
          <w:szCs w:val="20"/>
        </w:rPr>
      </w:pPr>
    </w:p>
    <w:p w14:paraId="7A2D43C6" w14:textId="77777777" w:rsidR="008D1AE9" w:rsidRPr="0098635C" w:rsidRDefault="008D1AE9" w:rsidP="008D1AE9">
      <w:pPr>
        <w:rPr>
          <w:color w:val="000000" w:themeColor="text1"/>
          <w:sz w:val="20"/>
          <w:szCs w:val="20"/>
        </w:rPr>
      </w:pPr>
      <w:r w:rsidRPr="0098635C">
        <w:rPr>
          <w:color w:val="000000" w:themeColor="text1"/>
          <w:sz w:val="20"/>
          <w:szCs w:val="20"/>
        </w:rPr>
        <w:t xml:space="preserve">Repeated dose NOAELs derived from human oral-dosing studies, namely 5 mg Cu/L drinking water (Pizarro </w:t>
      </w:r>
      <w:r w:rsidRPr="0098635C">
        <w:rPr>
          <w:i/>
          <w:color w:val="000000" w:themeColor="text1"/>
          <w:sz w:val="20"/>
          <w:szCs w:val="20"/>
        </w:rPr>
        <w:t>et al</w:t>
      </w:r>
      <w:r w:rsidRPr="0098635C">
        <w:rPr>
          <w:color w:val="000000" w:themeColor="text1"/>
          <w:sz w:val="20"/>
          <w:szCs w:val="20"/>
        </w:rPr>
        <w:t xml:space="preserve">, 1999) and 10 mg Cu/day as a dietary supplement (Pratt </w:t>
      </w:r>
      <w:r w:rsidRPr="0098635C">
        <w:rPr>
          <w:i/>
          <w:color w:val="000000" w:themeColor="text1"/>
          <w:sz w:val="20"/>
          <w:szCs w:val="20"/>
        </w:rPr>
        <w:t>et al</w:t>
      </w:r>
      <w:r w:rsidRPr="0098635C">
        <w:rPr>
          <w:color w:val="000000" w:themeColor="text1"/>
          <w:sz w:val="20"/>
          <w:szCs w:val="20"/>
        </w:rPr>
        <w:t xml:space="preserve">, 1985), are considered to be less robust than the animal data from </w:t>
      </w:r>
      <w:r w:rsidRPr="0098635C">
        <w:rPr>
          <w:color w:val="000000" w:themeColor="text1"/>
          <w:sz w:val="20"/>
          <w:szCs w:val="20"/>
        </w:rPr>
        <w:lastRenderedPageBreak/>
        <w:t xml:space="preserve">Hébert </w:t>
      </w:r>
      <w:r w:rsidRPr="0098635C">
        <w:rPr>
          <w:i/>
          <w:color w:val="000000" w:themeColor="text1"/>
          <w:sz w:val="20"/>
          <w:szCs w:val="20"/>
        </w:rPr>
        <w:t>et al</w:t>
      </w:r>
      <w:r w:rsidRPr="0098635C">
        <w:rPr>
          <w:color w:val="000000" w:themeColor="text1"/>
          <w:sz w:val="20"/>
          <w:szCs w:val="20"/>
        </w:rPr>
        <w:t xml:space="preserve"> (1993) and are viewed as supporting data. </w:t>
      </w:r>
    </w:p>
    <w:p w14:paraId="358E0BAD" w14:textId="77777777" w:rsidR="008D1AE9" w:rsidRPr="0098635C" w:rsidRDefault="008D1AE9" w:rsidP="008D1AE9">
      <w:pPr>
        <w:rPr>
          <w:rFonts w:ascii="Times" w:hAnsi="Times" w:cs="Times"/>
          <w:color w:val="000000" w:themeColor="text1"/>
          <w:sz w:val="20"/>
          <w:szCs w:val="20"/>
        </w:rPr>
      </w:pPr>
      <w:r w:rsidRPr="0098635C">
        <w:rPr>
          <w:color w:val="000000" w:themeColor="text1"/>
          <w:sz w:val="20"/>
          <w:szCs w:val="20"/>
        </w:rPr>
        <w:t>With regard to repeated dose toxicity following either inhalation or dermal exposure, no reliable animal or human data are available which clearly indicate a hazard via these exposure routes. In the 4-weeks study by inhalation in rat (Kirkpatrick 2010), no serious adverse effects were observed at the maximum tested concentration (2 mg/m</w:t>
      </w:r>
      <w:r w:rsidRPr="0098635C">
        <w:rPr>
          <w:color w:val="000000" w:themeColor="text1"/>
          <w:sz w:val="20"/>
          <w:szCs w:val="20"/>
          <w:vertAlign w:val="superscript"/>
        </w:rPr>
        <w:t>3</w:t>
      </w:r>
      <w:r w:rsidRPr="0098635C">
        <w:rPr>
          <w:color w:val="000000" w:themeColor="text1"/>
          <w:sz w:val="20"/>
          <w:szCs w:val="20"/>
        </w:rPr>
        <w:t xml:space="preserve">). </w:t>
      </w:r>
    </w:p>
    <w:p w14:paraId="2562B25B" w14:textId="77777777" w:rsidR="008D1AE9" w:rsidRPr="0098635C" w:rsidRDefault="008D1AE9" w:rsidP="008D1AE9">
      <w:pPr>
        <w:pStyle w:val="Heading3"/>
        <w:rPr>
          <w:color w:val="000000" w:themeColor="text1"/>
          <w:sz w:val="20"/>
        </w:rPr>
      </w:pPr>
      <w:bookmarkStart w:id="1770" w:name="_Toc32726034"/>
      <w:bookmarkStart w:id="1771" w:name="_Toc32727217"/>
      <w:bookmarkStart w:id="1772" w:name="_Toc43868665"/>
      <w:bookmarkStart w:id="1773" w:name="_Toc200358253"/>
      <w:bookmarkStart w:id="1774" w:name="_Toc200359269"/>
      <w:bookmarkStart w:id="1775" w:name="_Ref259781426"/>
      <w:bookmarkStart w:id="1776" w:name="_Ref259781436"/>
      <w:bookmarkStart w:id="1777" w:name="_Ref259781440"/>
      <w:bookmarkStart w:id="1778" w:name="_Toc260063682"/>
      <w:bookmarkStart w:id="1779" w:name="_Toc472000306"/>
      <w:bookmarkStart w:id="1780" w:name="_Toc472251669"/>
      <w:r w:rsidRPr="0098635C">
        <w:rPr>
          <w:color w:val="000000" w:themeColor="text1"/>
          <w:sz w:val="20"/>
        </w:rPr>
        <w:t>Mutagenicity</w:t>
      </w:r>
      <w:bookmarkEnd w:id="1770"/>
      <w:bookmarkEnd w:id="1771"/>
      <w:bookmarkEnd w:id="1772"/>
      <w:bookmarkEnd w:id="1773"/>
      <w:bookmarkEnd w:id="1774"/>
      <w:bookmarkEnd w:id="1775"/>
      <w:bookmarkEnd w:id="1776"/>
      <w:bookmarkEnd w:id="1777"/>
      <w:bookmarkEnd w:id="1778"/>
      <w:bookmarkEnd w:id="1779"/>
      <w:bookmarkEnd w:id="1780"/>
    </w:p>
    <w:p w14:paraId="566123F9" w14:textId="77777777" w:rsidR="008D1AE9" w:rsidRPr="0098635C" w:rsidRDefault="008D1AE9" w:rsidP="008D1AE9">
      <w:pPr>
        <w:pStyle w:val="BodyText"/>
        <w:rPr>
          <w:snapToGrid w:val="0"/>
          <w:color w:val="000000" w:themeColor="text1"/>
          <w:sz w:val="20"/>
        </w:rPr>
      </w:pPr>
      <w:r w:rsidRPr="0098635C">
        <w:rPr>
          <w:snapToGrid w:val="0"/>
          <w:color w:val="000000" w:themeColor="text1"/>
          <w:sz w:val="20"/>
        </w:rPr>
        <w:t xml:space="preserve">Mechanistic </w:t>
      </w:r>
      <w:r w:rsidRPr="0098635C">
        <w:rPr>
          <w:i/>
          <w:snapToGrid w:val="0"/>
          <w:color w:val="000000" w:themeColor="text1"/>
          <w:sz w:val="20"/>
        </w:rPr>
        <w:t>in vitro</w:t>
      </w:r>
      <w:r w:rsidRPr="0098635C">
        <w:rPr>
          <w:snapToGrid w:val="0"/>
          <w:color w:val="000000" w:themeColor="text1"/>
          <w:sz w:val="20"/>
        </w:rPr>
        <w:t xml:space="preserve"> studies have shown that free copper (II) ions are able to redox cycle and catalyse the generation of reactive oxygen species (Kadiska </w:t>
      </w:r>
      <w:r w:rsidRPr="0098635C">
        <w:rPr>
          <w:i/>
          <w:snapToGrid w:val="0"/>
          <w:color w:val="000000" w:themeColor="text1"/>
          <w:sz w:val="20"/>
        </w:rPr>
        <w:t>et al</w:t>
      </w:r>
      <w:r w:rsidRPr="0098635C">
        <w:rPr>
          <w:snapToGrid w:val="0"/>
          <w:color w:val="000000" w:themeColor="text1"/>
          <w:sz w:val="20"/>
        </w:rPr>
        <w:t xml:space="preserve">, 1992; Cai </w:t>
      </w:r>
      <w:r w:rsidRPr="0098635C">
        <w:rPr>
          <w:i/>
          <w:snapToGrid w:val="0"/>
          <w:color w:val="000000" w:themeColor="text1"/>
          <w:sz w:val="20"/>
        </w:rPr>
        <w:t>et al</w:t>
      </w:r>
      <w:r w:rsidRPr="0098635C">
        <w:rPr>
          <w:snapToGrid w:val="0"/>
          <w:color w:val="000000" w:themeColor="text1"/>
          <w:sz w:val="20"/>
        </w:rPr>
        <w:t xml:space="preserve">, 1995; Milne </w:t>
      </w:r>
      <w:r w:rsidRPr="0098635C">
        <w:rPr>
          <w:i/>
          <w:snapToGrid w:val="0"/>
          <w:color w:val="000000" w:themeColor="text1"/>
          <w:sz w:val="20"/>
        </w:rPr>
        <w:t>et al</w:t>
      </w:r>
      <w:r w:rsidRPr="0098635C">
        <w:rPr>
          <w:snapToGrid w:val="0"/>
          <w:color w:val="000000" w:themeColor="text1"/>
          <w:sz w:val="20"/>
        </w:rPr>
        <w:t xml:space="preserve">, 1993; Toyokuni </w:t>
      </w:r>
      <w:r w:rsidRPr="0098635C">
        <w:rPr>
          <w:i/>
          <w:snapToGrid w:val="0"/>
          <w:color w:val="000000" w:themeColor="text1"/>
          <w:sz w:val="20"/>
        </w:rPr>
        <w:t>et al</w:t>
      </w:r>
      <w:r w:rsidRPr="0098635C">
        <w:rPr>
          <w:snapToGrid w:val="0"/>
          <w:color w:val="000000" w:themeColor="text1"/>
          <w:sz w:val="20"/>
        </w:rPr>
        <w:t xml:space="preserve">, 1994).  These reactive oxygen species are capable of damaging DNA, providing a mechanism by which copper may indirectly cause genetic damage in cells.  </w:t>
      </w:r>
      <w:r w:rsidRPr="0098635C">
        <w:rPr>
          <w:i/>
          <w:snapToGrid w:val="0"/>
          <w:color w:val="000000" w:themeColor="text1"/>
          <w:sz w:val="20"/>
        </w:rPr>
        <w:t>In vitro</w:t>
      </w:r>
      <w:r w:rsidRPr="0098635C">
        <w:rPr>
          <w:snapToGrid w:val="0"/>
          <w:color w:val="000000" w:themeColor="text1"/>
          <w:sz w:val="20"/>
        </w:rPr>
        <w:t xml:space="preserve"> experiments have also shown that copper can affect the fidelity of DNA-repair (Porter </w:t>
      </w:r>
      <w:r w:rsidRPr="0098635C">
        <w:rPr>
          <w:i/>
          <w:snapToGrid w:val="0"/>
          <w:color w:val="000000" w:themeColor="text1"/>
          <w:sz w:val="20"/>
        </w:rPr>
        <w:t>et al</w:t>
      </w:r>
      <w:r w:rsidRPr="0098635C">
        <w:rPr>
          <w:snapToGrid w:val="0"/>
          <w:color w:val="000000" w:themeColor="text1"/>
          <w:sz w:val="20"/>
        </w:rPr>
        <w:t>, 1997).</w:t>
      </w:r>
    </w:p>
    <w:p w14:paraId="18B3C3BA" w14:textId="3DEE526D" w:rsidR="008D1AE9" w:rsidRPr="0098635C" w:rsidRDefault="008D1AE9" w:rsidP="008D1AE9">
      <w:pPr>
        <w:pStyle w:val="BodyText"/>
        <w:rPr>
          <w:color w:val="000000" w:themeColor="text1"/>
          <w:sz w:val="20"/>
        </w:rPr>
      </w:pPr>
      <w:r w:rsidRPr="0098635C">
        <w:rPr>
          <w:snapToGrid w:val="0"/>
          <w:color w:val="000000" w:themeColor="text1"/>
          <w:sz w:val="20"/>
        </w:rPr>
        <w:t xml:space="preserve">Under normal physiological conditions which occur </w:t>
      </w:r>
      <w:r w:rsidRPr="0098635C">
        <w:rPr>
          <w:i/>
          <w:snapToGrid w:val="0"/>
          <w:color w:val="000000" w:themeColor="text1"/>
          <w:sz w:val="20"/>
        </w:rPr>
        <w:t>in vivo</w:t>
      </w:r>
      <w:r w:rsidRPr="0098635C">
        <w:rPr>
          <w:snapToGrid w:val="0"/>
          <w:color w:val="000000" w:themeColor="text1"/>
          <w:sz w:val="20"/>
        </w:rPr>
        <w:t xml:space="preserve">, the concentration of free copper is extremely low, i.e., less than one free copper atom per cell (Rae </w:t>
      </w:r>
      <w:r w:rsidRPr="0098635C">
        <w:rPr>
          <w:i/>
          <w:snapToGrid w:val="0"/>
          <w:color w:val="000000" w:themeColor="text1"/>
          <w:sz w:val="20"/>
        </w:rPr>
        <w:t>et al</w:t>
      </w:r>
      <w:r w:rsidRPr="0098635C">
        <w:rPr>
          <w:snapToGrid w:val="0"/>
          <w:color w:val="000000" w:themeColor="text1"/>
          <w:sz w:val="20"/>
        </w:rPr>
        <w:t xml:space="preserve"> 1999). Consequently, under normal physiological conditions it seems unlikely that copper-induced oxidative damage to DNA will occur.  </w:t>
      </w:r>
    </w:p>
    <w:p w14:paraId="4368762F" w14:textId="77777777" w:rsidR="008D1AE9" w:rsidRPr="0098635C" w:rsidRDefault="008D1AE9" w:rsidP="008D1AE9">
      <w:pPr>
        <w:pStyle w:val="BodyText"/>
        <w:rPr>
          <w:i/>
          <w:color w:val="000000" w:themeColor="text1"/>
          <w:sz w:val="20"/>
          <w:u w:val="single"/>
        </w:rPr>
      </w:pPr>
      <w:r w:rsidRPr="0098635C">
        <w:rPr>
          <w:i/>
          <w:color w:val="000000" w:themeColor="text1"/>
          <w:sz w:val="20"/>
          <w:u w:val="single"/>
        </w:rPr>
        <w:t>In vitro in cell mutation assays (bacterial, mammalian)</w:t>
      </w:r>
    </w:p>
    <w:p w14:paraId="7C9DAE94" w14:textId="25492321" w:rsidR="008D1AE9" w:rsidRPr="0098635C" w:rsidRDefault="008D1AE9" w:rsidP="008D1AE9">
      <w:pPr>
        <w:pStyle w:val="BodyText"/>
        <w:rPr>
          <w:color w:val="000000" w:themeColor="text1"/>
          <w:sz w:val="20"/>
        </w:rPr>
      </w:pPr>
      <w:r w:rsidRPr="0098635C">
        <w:rPr>
          <w:color w:val="000000" w:themeColor="text1"/>
          <w:sz w:val="20"/>
        </w:rPr>
        <w:t xml:space="preserve">Available data on the mutagenicity of copper substances are largely based on studies of copper sulphate. In view of current understanding of copper-associated DNA damage, namely that it may be caused indirectly by free copper ions, and taking into consideration toxicokinetic data and acute/repeated-dose toxicity data for copper sulphate, it is considered appropriate to read across from copper sulphate to other copper substances. The most reliable studies </w:t>
      </w:r>
      <w:r w:rsidR="00484E4D" w:rsidRPr="0098635C">
        <w:rPr>
          <w:color w:val="000000" w:themeColor="text1"/>
          <w:sz w:val="20"/>
        </w:rPr>
        <w:t>(Reliability Scores of 1 and 2</w:t>
      </w:r>
      <w:r w:rsidRPr="0098635C">
        <w:rPr>
          <w:color w:val="000000" w:themeColor="text1"/>
          <w:sz w:val="20"/>
        </w:rPr>
        <w:t xml:space="preserve">) are shown in </w:t>
      </w:r>
      <w:r w:rsidR="00E230FB" w:rsidRPr="0098635C">
        <w:rPr>
          <w:color w:val="000000" w:themeColor="text1"/>
          <w:sz w:val="20"/>
        </w:rPr>
        <w:fldChar w:fldCharType="begin"/>
      </w:r>
      <w:r w:rsidRPr="0098635C">
        <w:rPr>
          <w:color w:val="000000" w:themeColor="text1"/>
          <w:sz w:val="20"/>
        </w:rPr>
        <w:instrText xml:space="preserve"> REF _Ref260389823 \h </w:instrText>
      </w:r>
      <w:r w:rsidR="00E230FB" w:rsidRPr="0098635C">
        <w:rPr>
          <w:color w:val="000000" w:themeColor="text1"/>
          <w:sz w:val="20"/>
        </w:rPr>
      </w:r>
      <w:r w:rsidR="0098635C">
        <w:rPr>
          <w:color w:val="000000" w:themeColor="text1"/>
          <w:sz w:val="20"/>
        </w:rPr>
        <w:instrText xml:space="preserve"> \* MERGEFORMAT </w:instrText>
      </w:r>
      <w:r w:rsidR="00E230FB" w:rsidRPr="0098635C">
        <w:rPr>
          <w:color w:val="000000" w:themeColor="text1"/>
          <w:sz w:val="20"/>
        </w:rPr>
        <w:fldChar w:fldCharType="separate"/>
      </w:r>
      <w:r w:rsidR="005E5161" w:rsidRPr="0098635C">
        <w:rPr>
          <w:b/>
          <w:color w:val="000000" w:themeColor="text1"/>
          <w:sz w:val="20"/>
        </w:rPr>
        <w:t xml:space="preserve">Table </w:t>
      </w:r>
      <w:r w:rsidR="005E5161" w:rsidRPr="0098635C">
        <w:rPr>
          <w:b/>
          <w:noProof/>
          <w:color w:val="000000" w:themeColor="text1"/>
          <w:sz w:val="20"/>
        </w:rPr>
        <w:t>20</w:t>
      </w:r>
      <w:r w:rsidR="00E230FB" w:rsidRPr="0098635C">
        <w:rPr>
          <w:color w:val="000000" w:themeColor="text1"/>
          <w:sz w:val="20"/>
        </w:rPr>
        <w:fldChar w:fldCharType="end"/>
      </w:r>
      <w:r w:rsidRPr="0098635C">
        <w:rPr>
          <w:color w:val="000000" w:themeColor="text1"/>
          <w:sz w:val="20"/>
        </w:rPr>
        <w:t xml:space="preserve">.  A total of eleven bacterial cell studies showed a negative result with regard to mutagenicity of copper (Ballantyne, 1994; Marzin and Phi, 1985; Moriya et al, 1983; Tso and Fung, 1981; Wong, 1988; Codina et al, 1995; Kanematsu et al, 1980; Nishioka, 1975; Riley, 1994; Ward, 1994; Tinwell and Ashby, 1990). Dose-dependent increase in UDS was noted in one study with primary rat hepatocytes (Denizeu and Marion, 1989), whereas effect only at cytotoxic concentrations were found in three studies with non-transformed human fibroblasts and Chinese Hamster Ovary cells, rat hepatocytes (Olin et al, 1996; Sina et al, 1983; Bhunya and Pati, 1987)). Dose-dependent increase in chromosome aberrations were observed by Agarwal et al (1990) Bhunya and Pati (1987). All </w:t>
      </w:r>
      <w:r w:rsidR="00FE1563" w:rsidRPr="0098635C">
        <w:rPr>
          <w:color w:val="000000" w:themeColor="text1"/>
          <w:sz w:val="20"/>
        </w:rPr>
        <w:t xml:space="preserve">the </w:t>
      </w:r>
      <w:r w:rsidRPr="0098635C">
        <w:rPr>
          <w:color w:val="000000" w:themeColor="text1"/>
          <w:sz w:val="20"/>
        </w:rPr>
        <w:t xml:space="preserve">bacterial cell studies were conducted with either copper sulphate or copper nitrate. </w:t>
      </w:r>
    </w:p>
    <w:p w14:paraId="483F6EAF" w14:textId="524539A3" w:rsidR="008D1AE9" w:rsidRPr="0098635C" w:rsidRDefault="008D1AE9" w:rsidP="00586794">
      <w:pPr>
        <w:pStyle w:val="Caption"/>
        <w:ind w:left="-284"/>
        <w:jc w:val="center"/>
        <w:rPr>
          <w:b w:val="0"/>
          <w:color w:val="000000" w:themeColor="text1"/>
          <w:sz w:val="20"/>
        </w:rPr>
      </w:pPr>
      <w:bookmarkStart w:id="1781" w:name="_Ref260389823"/>
      <w:r w:rsidRPr="0098635C">
        <w:rPr>
          <w:b w:val="0"/>
          <w:color w:val="000000" w:themeColor="text1"/>
          <w:sz w:val="20"/>
        </w:rPr>
        <w:t xml:space="preserve">Table </w:t>
      </w:r>
      <w:r w:rsidR="00E230FB" w:rsidRPr="0098635C">
        <w:rPr>
          <w:b w:val="0"/>
          <w:color w:val="000000" w:themeColor="text1"/>
          <w:sz w:val="20"/>
        </w:rPr>
        <w:fldChar w:fldCharType="begin"/>
      </w:r>
      <w:r w:rsidRPr="0098635C">
        <w:rPr>
          <w:b w:val="0"/>
          <w:color w:val="000000" w:themeColor="text1"/>
          <w:sz w:val="20"/>
        </w:rPr>
        <w:instrText xml:space="preserve"> SEQ Table \* ARABIC </w:instrText>
      </w:r>
      <w:r w:rsidR="00E230FB" w:rsidRPr="0098635C">
        <w:rPr>
          <w:b w:val="0"/>
          <w:color w:val="000000" w:themeColor="text1"/>
          <w:sz w:val="20"/>
        </w:rPr>
        <w:fldChar w:fldCharType="separate"/>
      </w:r>
      <w:r w:rsidR="005E5161" w:rsidRPr="0098635C">
        <w:rPr>
          <w:b w:val="0"/>
          <w:noProof/>
          <w:color w:val="000000" w:themeColor="text1"/>
          <w:sz w:val="20"/>
        </w:rPr>
        <w:t>20</w:t>
      </w:r>
      <w:r w:rsidR="00E230FB" w:rsidRPr="0098635C">
        <w:rPr>
          <w:b w:val="0"/>
          <w:color w:val="000000" w:themeColor="text1"/>
          <w:sz w:val="20"/>
        </w:rPr>
        <w:fldChar w:fldCharType="end"/>
      </w:r>
      <w:bookmarkEnd w:id="1781"/>
      <w:r w:rsidRPr="0098635C">
        <w:rPr>
          <w:b w:val="0"/>
          <w:color w:val="000000" w:themeColor="text1"/>
          <w:sz w:val="20"/>
        </w:rPr>
        <w:t>: Summary of reliable (</w:t>
      </w:r>
      <w:r w:rsidR="00B60035" w:rsidRPr="0098635C">
        <w:rPr>
          <w:b w:val="0"/>
          <w:color w:val="000000" w:themeColor="text1"/>
          <w:sz w:val="20"/>
        </w:rPr>
        <w:t>R1</w:t>
      </w:r>
      <w:r w:rsidRPr="0098635C">
        <w:rPr>
          <w:b w:val="0"/>
          <w:color w:val="000000" w:themeColor="text1"/>
          <w:sz w:val="20"/>
        </w:rPr>
        <w:t xml:space="preserve">, </w:t>
      </w:r>
      <w:r w:rsidR="00B60035" w:rsidRPr="0098635C">
        <w:rPr>
          <w:b w:val="0"/>
          <w:color w:val="000000" w:themeColor="text1"/>
          <w:sz w:val="20"/>
        </w:rPr>
        <w:t>R2</w:t>
      </w:r>
      <w:r w:rsidRPr="0098635C">
        <w:rPr>
          <w:b w:val="0"/>
          <w:color w:val="000000" w:themeColor="text1"/>
          <w:sz w:val="20"/>
        </w:rPr>
        <w:t>) studies investigating mutagenicity of copper compounds</w:t>
      </w:r>
    </w:p>
    <w:tbl>
      <w:tblPr>
        <w:tblW w:w="962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987"/>
        <w:gridCol w:w="1105"/>
        <w:gridCol w:w="1560"/>
        <w:gridCol w:w="1701"/>
        <w:gridCol w:w="1276"/>
        <w:gridCol w:w="1701"/>
        <w:gridCol w:w="1294"/>
      </w:tblGrid>
      <w:tr w:rsidR="008D1AE9" w:rsidRPr="0098635C" w14:paraId="1C79275E" w14:textId="77777777" w:rsidTr="00586794">
        <w:trPr>
          <w:cantSplit/>
          <w:trHeight w:val="310"/>
          <w:tblHeader/>
        </w:trPr>
        <w:tc>
          <w:tcPr>
            <w:tcW w:w="987" w:type="dxa"/>
            <w:vMerge w:val="restart"/>
          </w:tcPr>
          <w:p w14:paraId="4486006C" w14:textId="77777777" w:rsidR="008D1AE9" w:rsidRPr="0098635C" w:rsidRDefault="008D1AE9" w:rsidP="00AF385A">
            <w:pPr>
              <w:pStyle w:val="Tableheading"/>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Reference</w:t>
            </w:r>
          </w:p>
        </w:tc>
        <w:tc>
          <w:tcPr>
            <w:tcW w:w="1105" w:type="dxa"/>
            <w:vMerge w:val="restart"/>
          </w:tcPr>
          <w:p w14:paraId="63CB08B2" w14:textId="77777777" w:rsidR="008D1AE9" w:rsidRPr="0098635C" w:rsidRDefault="008D1AE9" w:rsidP="00AF385A">
            <w:pPr>
              <w:pStyle w:val="Tableheading"/>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Substance</w:t>
            </w:r>
          </w:p>
        </w:tc>
        <w:tc>
          <w:tcPr>
            <w:tcW w:w="4537" w:type="dxa"/>
            <w:gridSpan w:val="3"/>
          </w:tcPr>
          <w:p w14:paraId="7F199038" w14:textId="77777777" w:rsidR="008D1AE9" w:rsidRPr="0098635C" w:rsidRDefault="008D1AE9" w:rsidP="00AF385A">
            <w:pPr>
              <w:pStyle w:val="Tableheading"/>
              <w:jc w:val="center"/>
              <w:rPr>
                <w:rFonts w:ascii="Times New Roman" w:hAnsi="Times New Roman" w:cs="Times New Roman"/>
                <w:color w:val="000000" w:themeColor="text1"/>
                <w:sz w:val="20"/>
                <w:szCs w:val="20"/>
              </w:rPr>
            </w:pPr>
            <w:r w:rsidRPr="0098635C">
              <w:rPr>
                <w:rFonts w:ascii="Times New Roman" w:hAnsi="Times New Roman" w:cs="Times New Roman"/>
                <w:i/>
                <w:color w:val="000000" w:themeColor="text1"/>
                <w:sz w:val="20"/>
                <w:szCs w:val="20"/>
              </w:rPr>
              <w:t xml:space="preserve">In vitro </w:t>
            </w:r>
            <w:r w:rsidRPr="0098635C">
              <w:rPr>
                <w:rFonts w:ascii="Times New Roman" w:hAnsi="Times New Roman" w:cs="Times New Roman"/>
                <w:color w:val="000000" w:themeColor="text1"/>
                <w:sz w:val="20"/>
                <w:szCs w:val="20"/>
              </w:rPr>
              <w:t>test</w:t>
            </w:r>
          </w:p>
        </w:tc>
        <w:tc>
          <w:tcPr>
            <w:tcW w:w="1701" w:type="dxa"/>
            <w:vMerge w:val="restart"/>
          </w:tcPr>
          <w:p w14:paraId="12BEA257" w14:textId="77777777" w:rsidR="008D1AE9" w:rsidRPr="0098635C" w:rsidRDefault="008D1AE9" w:rsidP="00AF385A">
            <w:pPr>
              <w:pStyle w:val="Tableheading"/>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Result</w:t>
            </w:r>
          </w:p>
        </w:tc>
        <w:tc>
          <w:tcPr>
            <w:tcW w:w="1294" w:type="dxa"/>
            <w:vMerge w:val="restart"/>
          </w:tcPr>
          <w:p w14:paraId="3666AFF5" w14:textId="77777777" w:rsidR="008D1AE9" w:rsidRPr="0098635C" w:rsidRDefault="008D1AE9" w:rsidP="00AF385A">
            <w:pPr>
              <w:pStyle w:val="Tableheading"/>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Study rating</w:t>
            </w:r>
          </w:p>
        </w:tc>
      </w:tr>
      <w:tr w:rsidR="008D1AE9" w:rsidRPr="0098635C" w14:paraId="11E529A9" w14:textId="77777777" w:rsidTr="00586794">
        <w:trPr>
          <w:cantSplit/>
          <w:trHeight w:val="310"/>
          <w:tblHeader/>
        </w:trPr>
        <w:tc>
          <w:tcPr>
            <w:tcW w:w="987" w:type="dxa"/>
            <w:vMerge/>
          </w:tcPr>
          <w:p w14:paraId="6EE8010F" w14:textId="77777777" w:rsidR="008D1AE9" w:rsidRPr="0098635C" w:rsidRDefault="008D1AE9" w:rsidP="00AF385A">
            <w:pPr>
              <w:pStyle w:val="Tableheading"/>
              <w:jc w:val="center"/>
              <w:rPr>
                <w:rFonts w:ascii="Times New Roman" w:hAnsi="Times New Roman" w:cs="Times New Roman"/>
                <w:color w:val="000000" w:themeColor="text1"/>
                <w:sz w:val="20"/>
                <w:szCs w:val="20"/>
              </w:rPr>
            </w:pPr>
          </w:p>
        </w:tc>
        <w:tc>
          <w:tcPr>
            <w:tcW w:w="1105" w:type="dxa"/>
            <w:vMerge/>
          </w:tcPr>
          <w:p w14:paraId="557D9A54" w14:textId="77777777" w:rsidR="008D1AE9" w:rsidRPr="0098635C" w:rsidRDefault="008D1AE9" w:rsidP="00AF385A">
            <w:pPr>
              <w:pStyle w:val="Tableheading"/>
              <w:jc w:val="center"/>
              <w:rPr>
                <w:rFonts w:ascii="Times New Roman" w:hAnsi="Times New Roman" w:cs="Times New Roman"/>
                <w:color w:val="000000" w:themeColor="text1"/>
                <w:sz w:val="20"/>
                <w:szCs w:val="20"/>
              </w:rPr>
            </w:pPr>
          </w:p>
        </w:tc>
        <w:tc>
          <w:tcPr>
            <w:tcW w:w="1560" w:type="dxa"/>
          </w:tcPr>
          <w:p w14:paraId="4E966859" w14:textId="77777777" w:rsidR="008D1AE9" w:rsidRPr="0098635C" w:rsidRDefault="008D1AE9" w:rsidP="00AF385A">
            <w:pPr>
              <w:pStyle w:val="Tableheading"/>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Method</w:t>
            </w:r>
          </w:p>
        </w:tc>
        <w:tc>
          <w:tcPr>
            <w:tcW w:w="1701" w:type="dxa"/>
          </w:tcPr>
          <w:p w14:paraId="7B2E0462" w14:textId="77777777" w:rsidR="008D1AE9" w:rsidRPr="0098635C" w:rsidRDefault="008D1AE9" w:rsidP="00AF385A">
            <w:pPr>
              <w:pStyle w:val="Tableheading"/>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Cell type</w:t>
            </w:r>
          </w:p>
        </w:tc>
        <w:tc>
          <w:tcPr>
            <w:tcW w:w="1276" w:type="dxa"/>
          </w:tcPr>
          <w:p w14:paraId="2F6B0C94" w14:textId="77777777" w:rsidR="008D1AE9" w:rsidRPr="0098635C" w:rsidRDefault="008D1AE9" w:rsidP="00AF385A">
            <w:pPr>
              <w:pStyle w:val="Tableheading"/>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Route of administration</w:t>
            </w:r>
          </w:p>
        </w:tc>
        <w:tc>
          <w:tcPr>
            <w:tcW w:w="1701" w:type="dxa"/>
            <w:vMerge/>
          </w:tcPr>
          <w:p w14:paraId="38CE4FAD" w14:textId="77777777" w:rsidR="008D1AE9" w:rsidRPr="0098635C" w:rsidRDefault="008D1AE9" w:rsidP="00AF385A">
            <w:pPr>
              <w:pStyle w:val="Tablebody"/>
              <w:rPr>
                <w:rFonts w:ascii="Times New Roman" w:hAnsi="Times New Roman"/>
                <w:color w:val="000000" w:themeColor="text1"/>
                <w:sz w:val="20"/>
                <w:szCs w:val="20"/>
              </w:rPr>
            </w:pPr>
          </w:p>
        </w:tc>
        <w:tc>
          <w:tcPr>
            <w:tcW w:w="1294" w:type="dxa"/>
            <w:vMerge/>
          </w:tcPr>
          <w:p w14:paraId="5DD36561" w14:textId="77777777" w:rsidR="008D1AE9" w:rsidRPr="0098635C" w:rsidRDefault="008D1AE9" w:rsidP="00AF385A">
            <w:pPr>
              <w:pStyle w:val="Tablebody"/>
              <w:rPr>
                <w:rFonts w:ascii="Times New Roman" w:hAnsi="Times New Roman"/>
                <w:color w:val="000000" w:themeColor="text1"/>
                <w:sz w:val="20"/>
                <w:szCs w:val="20"/>
              </w:rPr>
            </w:pPr>
          </w:p>
        </w:tc>
      </w:tr>
      <w:tr w:rsidR="008D1AE9" w:rsidRPr="0098635C" w14:paraId="4783CAC7" w14:textId="77777777" w:rsidTr="00586794">
        <w:tc>
          <w:tcPr>
            <w:tcW w:w="987" w:type="dxa"/>
          </w:tcPr>
          <w:p w14:paraId="1F7BEFB2"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Ballantyne (1994)</w:t>
            </w:r>
          </w:p>
        </w:tc>
        <w:tc>
          <w:tcPr>
            <w:tcW w:w="1105" w:type="dxa"/>
          </w:tcPr>
          <w:p w14:paraId="70A73516"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Copper sulphate</w:t>
            </w:r>
          </w:p>
        </w:tc>
        <w:tc>
          <w:tcPr>
            <w:tcW w:w="1560" w:type="dxa"/>
          </w:tcPr>
          <w:p w14:paraId="59AC7A63" w14:textId="77777777" w:rsidR="008D1AE9" w:rsidRPr="0098635C" w:rsidRDefault="008D1AE9" w:rsidP="00AF385A">
            <w:pPr>
              <w:pStyle w:val="Tablebody"/>
              <w:jc w:val="center"/>
              <w:rPr>
                <w:rFonts w:ascii="Times New Roman" w:hAnsi="Times New Roman"/>
                <w:color w:val="000000" w:themeColor="text1"/>
                <w:sz w:val="20"/>
                <w:szCs w:val="20"/>
              </w:rPr>
            </w:pPr>
            <w:r w:rsidRPr="0098635C">
              <w:rPr>
                <w:rFonts w:ascii="Times New Roman" w:hAnsi="Times New Roman"/>
                <w:color w:val="000000" w:themeColor="text1"/>
                <w:sz w:val="20"/>
                <w:szCs w:val="20"/>
              </w:rPr>
              <w:t>Reverse mutation assay</w:t>
            </w:r>
          </w:p>
        </w:tc>
        <w:tc>
          <w:tcPr>
            <w:tcW w:w="1701" w:type="dxa"/>
          </w:tcPr>
          <w:p w14:paraId="48E0094C" w14:textId="77777777" w:rsidR="008D1AE9" w:rsidRPr="0098635C" w:rsidRDefault="008D1AE9" w:rsidP="00AF385A">
            <w:pPr>
              <w:pStyle w:val="Tablebody"/>
              <w:jc w:val="center"/>
              <w:rPr>
                <w:rFonts w:ascii="Times New Roman" w:hAnsi="Times New Roman"/>
                <w:color w:val="000000" w:themeColor="text1"/>
                <w:sz w:val="20"/>
                <w:szCs w:val="20"/>
              </w:rPr>
            </w:pPr>
            <w:r w:rsidRPr="0098635C">
              <w:rPr>
                <w:rFonts w:ascii="Times New Roman" w:hAnsi="Times New Roman"/>
                <w:color w:val="000000" w:themeColor="text1"/>
                <w:sz w:val="20"/>
                <w:szCs w:val="20"/>
              </w:rPr>
              <w:t>S. typh. (TA98, 100, 1535, 1537, 102)</w:t>
            </w:r>
          </w:p>
        </w:tc>
        <w:tc>
          <w:tcPr>
            <w:tcW w:w="1276" w:type="dxa"/>
          </w:tcPr>
          <w:p w14:paraId="55D18093" w14:textId="77777777" w:rsidR="008D1AE9" w:rsidRPr="0098635C" w:rsidRDefault="008D1AE9" w:rsidP="00AF385A">
            <w:pPr>
              <w:pStyle w:val="Tablebody"/>
              <w:jc w:val="center"/>
              <w:rPr>
                <w:rFonts w:ascii="Times New Roman" w:hAnsi="Times New Roman"/>
                <w:color w:val="000000" w:themeColor="text1"/>
                <w:sz w:val="20"/>
                <w:szCs w:val="20"/>
              </w:rPr>
            </w:pPr>
            <w:r w:rsidRPr="0098635C">
              <w:rPr>
                <w:rFonts w:ascii="Times New Roman" w:hAnsi="Times New Roman"/>
                <w:color w:val="000000" w:themeColor="text1"/>
                <w:sz w:val="20"/>
                <w:szCs w:val="20"/>
              </w:rPr>
              <w:t>-</w:t>
            </w:r>
          </w:p>
        </w:tc>
        <w:tc>
          <w:tcPr>
            <w:tcW w:w="1701" w:type="dxa"/>
          </w:tcPr>
          <w:p w14:paraId="613E6AAE" w14:textId="77777777" w:rsidR="008D1AE9" w:rsidRPr="0098635C" w:rsidRDefault="008D1AE9" w:rsidP="00AF385A">
            <w:pPr>
              <w:pStyle w:val="Tablebody"/>
              <w:jc w:val="center"/>
              <w:rPr>
                <w:rFonts w:ascii="Times New Roman" w:hAnsi="Times New Roman"/>
                <w:color w:val="000000" w:themeColor="text1"/>
                <w:sz w:val="20"/>
                <w:szCs w:val="20"/>
              </w:rPr>
            </w:pPr>
            <w:r w:rsidRPr="0098635C">
              <w:rPr>
                <w:rFonts w:ascii="Times New Roman" w:hAnsi="Times New Roman"/>
                <w:color w:val="000000" w:themeColor="text1"/>
                <w:sz w:val="20"/>
                <w:szCs w:val="20"/>
              </w:rPr>
              <w:t>Negative</w:t>
            </w:r>
          </w:p>
        </w:tc>
        <w:tc>
          <w:tcPr>
            <w:tcW w:w="1294" w:type="dxa"/>
          </w:tcPr>
          <w:p w14:paraId="328F88E7" w14:textId="77777777" w:rsidR="008D1AE9" w:rsidRPr="0098635C" w:rsidRDefault="008D1AE9" w:rsidP="00AF385A">
            <w:pPr>
              <w:pStyle w:val="Tablebody"/>
              <w:jc w:val="center"/>
              <w:rPr>
                <w:rFonts w:ascii="Times New Roman" w:hAnsi="Times New Roman"/>
                <w:color w:val="000000" w:themeColor="text1"/>
                <w:sz w:val="20"/>
                <w:szCs w:val="20"/>
              </w:rPr>
            </w:pPr>
            <w:r w:rsidRPr="0098635C">
              <w:rPr>
                <w:rFonts w:ascii="Times New Roman" w:hAnsi="Times New Roman"/>
                <w:color w:val="000000" w:themeColor="text1"/>
                <w:sz w:val="20"/>
                <w:szCs w:val="20"/>
              </w:rPr>
              <w:t>1</w:t>
            </w:r>
            <w:r w:rsidRPr="0098635C">
              <w:rPr>
                <w:rFonts w:ascii="Times New Roman" w:hAnsi="Times New Roman"/>
                <w:i/>
                <w:color w:val="000000" w:themeColor="text1"/>
                <w:sz w:val="20"/>
                <w:szCs w:val="20"/>
                <w:vertAlign w:val="superscript"/>
              </w:rPr>
              <w:t>c</w:t>
            </w:r>
          </w:p>
        </w:tc>
      </w:tr>
      <w:tr w:rsidR="008D1AE9" w:rsidRPr="0098635C" w14:paraId="4F9CD60A" w14:textId="77777777" w:rsidTr="00586794">
        <w:tc>
          <w:tcPr>
            <w:tcW w:w="987" w:type="dxa"/>
          </w:tcPr>
          <w:p w14:paraId="26070B5D"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Moriya </w:t>
            </w:r>
            <w:r w:rsidRPr="0098635C">
              <w:rPr>
                <w:rFonts w:ascii="Times New Roman" w:hAnsi="Times New Roman"/>
                <w:i/>
                <w:color w:val="000000" w:themeColor="text1"/>
                <w:sz w:val="20"/>
                <w:szCs w:val="20"/>
              </w:rPr>
              <w:t>et al</w:t>
            </w:r>
            <w:r w:rsidRPr="0098635C">
              <w:rPr>
                <w:rFonts w:ascii="Times New Roman" w:hAnsi="Times New Roman"/>
                <w:color w:val="000000" w:themeColor="text1"/>
                <w:sz w:val="20"/>
                <w:szCs w:val="20"/>
              </w:rPr>
              <w:t xml:space="preserve"> (1983)</w:t>
            </w:r>
          </w:p>
        </w:tc>
        <w:tc>
          <w:tcPr>
            <w:tcW w:w="1105" w:type="dxa"/>
          </w:tcPr>
          <w:p w14:paraId="774BA4CE"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Copper sulphate</w:t>
            </w:r>
          </w:p>
        </w:tc>
        <w:tc>
          <w:tcPr>
            <w:tcW w:w="1560" w:type="dxa"/>
          </w:tcPr>
          <w:p w14:paraId="2BFE719E" w14:textId="77777777" w:rsidR="008D1AE9" w:rsidRPr="0098635C" w:rsidRDefault="008D1AE9" w:rsidP="00AF385A">
            <w:pPr>
              <w:pStyle w:val="Tablebody"/>
              <w:jc w:val="center"/>
              <w:rPr>
                <w:rFonts w:ascii="Times New Roman" w:hAnsi="Times New Roman"/>
                <w:color w:val="000000" w:themeColor="text1"/>
                <w:sz w:val="20"/>
                <w:szCs w:val="20"/>
              </w:rPr>
            </w:pPr>
            <w:r w:rsidRPr="0098635C">
              <w:rPr>
                <w:rFonts w:ascii="Times New Roman" w:hAnsi="Times New Roman"/>
                <w:color w:val="000000" w:themeColor="text1"/>
                <w:sz w:val="20"/>
                <w:szCs w:val="20"/>
              </w:rPr>
              <w:t>Reverse mutation assay</w:t>
            </w:r>
          </w:p>
        </w:tc>
        <w:tc>
          <w:tcPr>
            <w:tcW w:w="1701" w:type="dxa"/>
          </w:tcPr>
          <w:p w14:paraId="5B597AC3" w14:textId="77777777" w:rsidR="008D1AE9" w:rsidRPr="0098635C" w:rsidRDefault="008D1AE9" w:rsidP="00AF385A">
            <w:pPr>
              <w:pStyle w:val="Tablebody"/>
              <w:jc w:val="center"/>
              <w:rPr>
                <w:rFonts w:ascii="Times New Roman" w:hAnsi="Times New Roman"/>
                <w:color w:val="000000" w:themeColor="text1"/>
                <w:sz w:val="20"/>
                <w:szCs w:val="20"/>
              </w:rPr>
            </w:pPr>
            <w:r w:rsidRPr="0098635C">
              <w:rPr>
                <w:rFonts w:ascii="Times New Roman" w:hAnsi="Times New Roman"/>
                <w:color w:val="000000" w:themeColor="text1"/>
                <w:sz w:val="20"/>
                <w:szCs w:val="20"/>
              </w:rPr>
              <w:t>S.typh. (TA98, 100)</w:t>
            </w:r>
          </w:p>
        </w:tc>
        <w:tc>
          <w:tcPr>
            <w:tcW w:w="1276" w:type="dxa"/>
          </w:tcPr>
          <w:p w14:paraId="12C765CE" w14:textId="77777777" w:rsidR="008D1AE9" w:rsidRPr="0098635C" w:rsidRDefault="008D1AE9" w:rsidP="00AF385A">
            <w:pPr>
              <w:pStyle w:val="Tablebody"/>
              <w:jc w:val="center"/>
              <w:rPr>
                <w:rFonts w:ascii="Times New Roman" w:hAnsi="Times New Roman"/>
                <w:color w:val="000000" w:themeColor="text1"/>
                <w:sz w:val="20"/>
                <w:szCs w:val="20"/>
              </w:rPr>
            </w:pPr>
            <w:r w:rsidRPr="0098635C">
              <w:rPr>
                <w:rFonts w:ascii="Times New Roman" w:hAnsi="Times New Roman"/>
                <w:color w:val="000000" w:themeColor="text1"/>
                <w:sz w:val="20"/>
                <w:szCs w:val="20"/>
              </w:rPr>
              <w:t>-</w:t>
            </w:r>
          </w:p>
        </w:tc>
        <w:tc>
          <w:tcPr>
            <w:tcW w:w="1701" w:type="dxa"/>
          </w:tcPr>
          <w:p w14:paraId="069956F2" w14:textId="77777777" w:rsidR="008D1AE9" w:rsidRPr="0098635C" w:rsidRDefault="008D1AE9" w:rsidP="00AF385A">
            <w:pPr>
              <w:pStyle w:val="Tablebody"/>
              <w:jc w:val="center"/>
              <w:rPr>
                <w:rFonts w:ascii="Times New Roman" w:hAnsi="Times New Roman"/>
                <w:color w:val="000000" w:themeColor="text1"/>
                <w:sz w:val="20"/>
                <w:szCs w:val="20"/>
              </w:rPr>
            </w:pPr>
            <w:r w:rsidRPr="0098635C">
              <w:rPr>
                <w:rFonts w:ascii="Times New Roman" w:hAnsi="Times New Roman"/>
                <w:color w:val="000000" w:themeColor="text1"/>
                <w:sz w:val="20"/>
                <w:szCs w:val="20"/>
              </w:rPr>
              <w:t>Negative</w:t>
            </w:r>
          </w:p>
        </w:tc>
        <w:tc>
          <w:tcPr>
            <w:tcW w:w="1294" w:type="dxa"/>
          </w:tcPr>
          <w:p w14:paraId="43A943DA" w14:textId="77777777" w:rsidR="008D1AE9" w:rsidRPr="0098635C" w:rsidRDefault="008D1AE9" w:rsidP="00AF385A">
            <w:pPr>
              <w:pStyle w:val="Tablebody"/>
              <w:jc w:val="center"/>
              <w:rPr>
                <w:rFonts w:ascii="Times New Roman" w:hAnsi="Times New Roman"/>
                <w:color w:val="000000" w:themeColor="text1"/>
                <w:sz w:val="20"/>
                <w:szCs w:val="20"/>
              </w:rPr>
            </w:pPr>
            <w:r w:rsidRPr="0098635C">
              <w:rPr>
                <w:rFonts w:ascii="Times New Roman" w:hAnsi="Times New Roman"/>
                <w:color w:val="000000" w:themeColor="text1"/>
                <w:sz w:val="20"/>
                <w:szCs w:val="20"/>
              </w:rPr>
              <w:t>2</w:t>
            </w:r>
          </w:p>
        </w:tc>
      </w:tr>
      <w:tr w:rsidR="008D1AE9" w:rsidRPr="0098635C" w14:paraId="661780CC" w14:textId="77777777" w:rsidTr="00586794">
        <w:tc>
          <w:tcPr>
            <w:tcW w:w="987" w:type="dxa"/>
          </w:tcPr>
          <w:p w14:paraId="4ECC2149"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Codina </w:t>
            </w:r>
            <w:r w:rsidRPr="0098635C">
              <w:rPr>
                <w:rFonts w:ascii="Times New Roman" w:hAnsi="Times New Roman"/>
                <w:i/>
                <w:color w:val="000000" w:themeColor="text1"/>
                <w:sz w:val="20"/>
                <w:szCs w:val="20"/>
              </w:rPr>
              <w:t>et al</w:t>
            </w:r>
            <w:r w:rsidRPr="0098635C">
              <w:rPr>
                <w:rFonts w:ascii="Times New Roman" w:hAnsi="Times New Roman"/>
                <w:color w:val="000000" w:themeColor="text1"/>
                <w:sz w:val="20"/>
                <w:szCs w:val="20"/>
              </w:rPr>
              <w:t xml:space="preserve"> (1995)</w:t>
            </w:r>
          </w:p>
        </w:tc>
        <w:tc>
          <w:tcPr>
            <w:tcW w:w="1105" w:type="dxa"/>
          </w:tcPr>
          <w:p w14:paraId="0825DDB1"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Copper chloride</w:t>
            </w:r>
          </w:p>
        </w:tc>
        <w:tc>
          <w:tcPr>
            <w:tcW w:w="1560" w:type="dxa"/>
          </w:tcPr>
          <w:p w14:paraId="2FB67F8E" w14:textId="77777777" w:rsidR="008D1AE9" w:rsidRPr="0098635C" w:rsidRDefault="008D1AE9" w:rsidP="00AF385A">
            <w:pPr>
              <w:pStyle w:val="Tablebody"/>
              <w:jc w:val="center"/>
              <w:rPr>
                <w:rFonts w:ascii="Times New Roman" w:hAnsi="Times New Roman"/>
                <w:color w:val="000000" w:themeColor="text1"/>
                <w:sz w:val="20"/>
                <w:szCs w:val="20"/>
              </w:rPr>
            </w:pPr>
            <w:r w:rsidRPr="0098635C">
              <w:rPr>
                <w:rFonts w:ascii="Times New Roman" w:hAnsi="Times New Roman"/>
                <w:color w:val="000000" w:themeColor="text1"/>
                <w:sz w:val="20"/>
                <w:szCs w:val="20"/>
              </w:rPr>
              <w:t>Reverse mutation assay</w:t>
            </w:r>
          </w:p>
        </w:tc>
        <w:tc>
          <w:tcPr>
            <w:tcW w:w="1701" w:type="dxa"/>
          </w:tcPr>
          <w:p w14:paraId="07484388" w14:textId="77777777" w:rsidR="008D1AE9" w:rsidRPr="0098635C" w:rsidRDefault="008D1AE9" w:rsidP="00AF385A">
            <w:pPr>
              <w:pStyle w:val="Tablebody"/>
              <w:jc w:val="center"/>
              <w:rPr>
                <w:rFonts w:ascii="Times New Roman" w:hAnsi="Times New Roman"/>
                <w:color w:val="000000" w:themeColor="text1"/>
                <w:sz w:val="20"/>
                <w:szCs w:val="20"/>
                <w:lang w:val="fr-FR"/>
              </w:rPr>
            </w:pPr>
            <w:r w:rsidRPr="0098635C">
              <w:rPr>
                <w:rFonts w:ascii="Times New Roman" w:hAnsi="Times New Roman"/>
                <w:color w:val="000000" w:themeColor="text1"/>
                <w:sz w:val="20"/>
                <w:szCs w:val="20"/>
                <w:lang w:val="fr-FR"/>
              </w:rPr>
              <w:t>S.typh. (TA98, 100)</w:t>
            </w:r>
          </w:p>
          <w:p w14:paraId="7A535CD1" w14:textId="77777777" w:rsidR="008D1AE9" w:rsidRPr="0098635C" w:rsidRDefault="008D1AE9" w:rsidP="00AF385A">
            <w:pPr>
              <w:pStyle w:val="Tablebody"/>
              <w:jc w:val="center"/>
              <w:rPr>
                <w:rFonts w:ascii="Times New Roman" w:hAnsi="Times New Roman"/>
                <w:color w:val="000000" w:themeColor="text1"/>
                <w:sz w:val="20"/>
                <w:szCs w:val="20"/>
                <w:lang w:val="fr-FR"/>
              </w:rPr>
            </w:pPr>
            <w:r w:rsidRPr="0098635C">
              <w:rPr>
                <w:rFonts w:ascii="Times New Roman" w:hAnsi="Times New Roman"/>
                <w:color w:val="000000" w:themeColor="text1"/>
                <w:sz w:val="20"/>
                <w:szCs w:val="20"/>
                <w:lang w:val="fr-FR"/>
              </w:rPr>
              <w:t>E.Coli (WP2)</w:t>
            </w:r>
          </w:p>
        </w:tc>
        <w:tc>
          <w:tcPr>
            <w:tcW w:w="1276" w:type="dxa"/>
          </w:tcPr>
          <w:p w14:paraId="6B1CC8C4" w14:textId="77777777" w:rsidR="008D1AE9" w:rsidRPr="0098635C" w:rsidRDefault="008D1AE9" w:rsidP="00AF385A">
            <w:pPr>
              <w:pStyle w:val="Tablebody"/>
              <w:jc w:val="center"/>
              <w:rPr>
                <w:rFonts w:ascii="Times New Roman" w:hAnsi="Times New Roman"/>
                <w:color w:val="000000" w:themeColor="text1"/>
                <w:sz w:val="20"/>
                <w:szCs w:val="20"/>
              </w:rPr>
            </w:pPr>
            <w:r w:rsidRPr="0098635C">
              <w:rPr>
                <w:rFonts w:ascii="Times New Roman" w:hAnsi="Times New Roman"/>
                <w:color w:val="000000" w:themeColor="text1"/>
                <w:sz w:val="20"/>
                <w:szCs w:val="20"/>
              </w:rPr>
              <w:t>-</w:t>
            </w:r>
          </w:p>
        </w:tc>
        <w:tc>
          <w:tcPr>
            <w:tcW w:w="1701" w:type="dxa"/>
          </w:tcPr>
          <w:p w14:paraId="4A4EF75F" w14:textId="77777777" w:rsidR="008D1AE9" w:rsidRPr="0098635C" w:rsidRDefault="008D1AE9" w:rsidP="00AF385A">
            <w:pPr>
              <w:pStyle w:val="Tablebody"/>
              <w:jc w:val="center"/>
              <w:rPr>
                <w:rFonts w:ascii="Times New Roman" w:hAnsi="Times New Roman"/>
                <w:color w:val="000000" w:themeColor="text1"/>
                <w:sz w:val="20"/>
                <w:szCs w:val="20"/>
              </w:rPr>
            </w:pPr>
            <w:r w:rsidRPr="0098635C">
              <w:rPr>
                <w:rFonts w:ascii="Times New Roman" w:hAnsi="Times New Roman"/>
                <w:color w:val="000000" w:themeColor="text1"/>
                <w:sz w:val="20"/>
                <w:szCs w:val="20"/>
              </w:rPr>
              <w:t>Negative</w:t>
            </w:r>
          </w:p>
        </w:tc>
        <w:tc>
          <w:tcPr>
            <w:tcW w:w="1294" w:type="dxa"/>
          </w:tcPr>
          <w:p w14:paraId="5274CE34" w14:textId="77777777" w:rsidR="008D1AE9" w:rsidRPr="0098635C" w:rsidRDefault="008D1AE9" w:rsidP="00AF385A">
            <w:pPr>
              <w:pStyle w:val="Tablebody"/>
              <w:jc w:val="center"/>
              <w:rPr>
                <w:rFonts w:ascii="Times New Roman" w:hAnsi="Times New Roman"/>
                <w:color w:val="000000" w:themeColor="text1"/>
                <w:sz w:val="20"/>
                <w:szCs w:val="20"/>
              </w:rPr>
            </w:pPr>
            <w:r w:rsidRPr="0098635C">
              <w:rPr>
                <w:rFonts w:ascii="Times New Roman" w:hAnsi="Times New Roman"/>
                <w:color w:val="000000" w:themeColor="text1"/>
                <w:sz w:val="20"/>
                <w:szCs w:val="20"/>
              </w:rPr>
              <w:t>2</w:t>
            </w:r>
          </w:p>
        </w:tc>
      </w:tr>
      <w:tr w:rsidR="008D1AE9" w:rsidRPr="0098635C" w14:paraId="41A4E354" w14:textId="77777777" w:rsidTr="00586794">
        <w:tc>
          <w:tcPr>
            <w:tcW w:w="2092" w:type="dxa"/>
            <w:gridSpan w:val="2"/>
            <w:vMerge w:val="restart"/>
          </w:tcPr>
          <w:p w14:paraId="2EB4FF22" w14:textId="77777777" w:rsidR="008D1AE9" w:rsidRPr="0098635C" w:rsidRDefault="008D1AE9" w:rsidP="00AF385A">
            <w:pPr>
              <w:pStyle w:val="Tablebody"/>
              <w:rPr>
                <w:rFonts w:ascii="Times New Roman" w:hAnsi="Times New Roman"/>
                <w:color w:val="000000" w:themeColor="text1"/>
                <w:sz w:val="20"/>
                <w:szCs w:val="20"/>
              </w:rPr>
            </w:pPr>
          </w:p>
        </w:tc>
        <w:tc>
          <w:tcPr>
            <w:tcW w:w="4537" w:type="dxa"/>
            <w:gridSpan w:val="3"/>
          </w:tcPr>
          <w:p w14:paraId="70AC79D7" w14:textId="77777777" w:rsidR="008D1AE9" w:rsidRPr="0098635C" w:rsidRDefault="008D1AE9" w:rsidP="00AF385A">
            <w:pPr>
              <w:pStyle w:val="Tablebody"/>
              <w:jc w:val="center"/>
              <w:rPr>
                <w:rFonts w:ascii="Times New Roman" w:hAnsi="Times New Roman"/>
                <w:b/>
                <w:color w:val="000000" w:themeColor="text1"/>
                <w:sz w:val="20"/>
                <w:szCs w:val="20"/>
              </w:rPr>
            </w:pPr>
            <w:r w:rsidRPr="0098635C">
              <w:rPr>
                <w:rFonts w:ascii="Times New Roman" w:hAnsi="Times New Roman"/>
                <w:b/>
                <w:i/>
                <w:color w:val="000000" w:themeColor="text1"/>
                <w:sz w:val="20"/>
                <w:szCs w:val="20"/>
              </w:rPr>
              <w:t>In vivo</w:t>
            </w:r>
            <w:r w:rsidRPr="0098635C">
              <w:rPr>
                <w:rFonts w:ascii="Times New Roman" w:hAnsi="Times New Roman"/>
                <w:b/>
                <w:color w:val="000000" w:themeColor="text1"/>
                <w:sz w:val="20"/>
                <w:szCs w:val="20"/>
              </w:rPr>
              <w:t xml:space="preserve"> test</w:t>
            </w:r>
          </w:p>
        </w:tc>
        <w:tc>
          <w:tcPr>
            <w:tcW w:w="2995" w:type="dxa"/>
            <w:gridSpan w:val="2"/>
            <w:vMerge w:val="restart"/>
          </w:tcPr>
          <w:p w14:paraId="23CB19AE" w14:textId="77777777" w:rsidR="008D1AE9" w:rsidRPr="0098635C" w:rsidRDefault="008D1AE9" w:rsidP="00AF385A">
            <w:pPr>
              <w:pStyle w:val="Tablebody"/>
              <w:jc w:val="center"/>
              <w:rPr>
                <w:rFonts w:ascii="Times New Roman" w:hAnsi="Times New Roman"/>
                <w:color w:val="000000" w:themeColor="text1"/>
                <w:sz w:val="20"/>
                <w:szCs w:val="20"/>
              </w:rPr>
            </w:pPr>
          </w:p>
        </w:tc>
      </w:tr>
      <w:tr w:rsidR="008D1AE9" w:rsidRPr="0098635C" w14:paraId="776C5C76" w14:textId="77777777" w:rsidTr="00586794">
        <w:tc>
          <w:tcPr>
            <w:tcW w:w="2092" w:type="dxa"/>
            <w:gridSpan w:val="2"/>
            <w:vMerge/>
          </w:tcPr>
          <w:p w14:paraId="6DB1F36A" w14:textId="77777777" w:rsidR="008D1AE9" w:rsidRPr="0098635C" w:rsidRDefault="008D1AE9" w:rsidP="00AF385A">
            <w:pPr>
              <w:pStyle w:val="Tablebody"/>
              <w:rPr>
                <w:rFonts w:ascii="Times New Roman" w:hAnsi="Times New Roman"/>
                <w:color w:val="000000" w:themeColor="text1"/>
                <w:sz w:val="20"/>
                <w:szCs w:val="20"/>
              </w:rPr>
            </w:pPr>
          </w:p>
        </w:tc>
        <w:tc>
          <w:tcPr>
            <w:tcW w:w="1560" w:type="dxa"/>
          </w:tcPr>
          <w:p w14:paraId="5ED42AE8" w14:textId="77777777" w:rsidR="008D1AE9" w:rsidRPr="0098635C" w:rsidRDefault="008D1AE9" w:rsidP="00AF385A">
            <w:pPr>
              <w:pStyle w:val="Tablebody"/>
              <w:jc w:val="center"/>
              <w:rPr>
                <w:rFonts w:ascii="Times New Roman" w:hAnsi="Times New Roman"/>
                <w:b/>
                <w:color w:val="000000" w:themeColor="text1"/>
                <w:sz w:val="20"/>
                <w:szCs w:val="20"/>
              </w:rPr>
            </w:pPr>
            <w:r w:rsidRPr="0098635C">
              <w:rPr>
                <w:rFonts w:ascii="Times New Roman" w:hAnsi="Times New Roman"/>
                <w:b/>
                <w:color w:val="000000" w:themeColor="text1"/>
                <w:sz w:val="20"/>
                <w:szCs w:val="20"/>
              </w:rPr>
              <w:t>Method</w:t>
            </w:r>
          </w:p>
        </w:tc>
        <w:tc>
          <w:tcPr>
            <w:tcW w:w="1701" w:type="dxa"/>
          </w:tcPr>
          <w:p w14:paraId="0C7EFACC" w14:textId="77777777" w:rsidR="008D1AE9" w:rsidRPr="0098635C" w:rsidRDefault="008D1AE9" w:rsidP="00AF385A">
            <w:pPr>
              <w:pStyle w:val="Tablebody"/>
              <w:jc w:val="center"/>
              <w:rPr>
                <w:rFonts w:ascii="Times New Roman" w:hAnsi="Times New Roman"/>
                <w:b/>
                <w:color w:val="000000" w:themeColor="text1"/>
                <w:sz w:val="20"/>
                <w:szCs w:val="20"/>
              </w:rPr>
            </w:pPr>
            <w:r w:rsidRPr="0098635C">
              <w:rPr>
                <w:rFonts w:ascii="Times New Roman" w:hAnsi="Times New Roman"/>
                <w:b/>
                <w:color w:val="000000" w:themeColor="text1"/>
                <w:sz w:val="20"/>
                <w:szCs w:val="20"/>
              </w:rPr>
              <w:t>Animal model</w:t>
            </w:r>
          </w:p>
        </w:tc>
        <w:tc>
          <w:tcPr>
            <w:tcW w:w="1276" w:type="dxa"/>
          </w:tcPr>
          <w:p w14:paraId="7E6828E4" w14:textId="77777777" w:rsidR="008D1AE9" w:rsidRPr="0098635C" w:rsidRDefault="008D1AE9" w:rsidP="00AF385A">
            <w:pPr>
              <w:pStyle w:val="Tablebody"/>
              <w:jc w:val="center"/>
              <w:rPr>
                <w:rFonts w:ascii="Times New Roman" w:hAnsi="Times New Roman"/>
                <w:b/>
                <w:color w:val="000000" w:themeColor="text1"/>
                <w:sz w:val="20"/>
                <w:szCs w:val="20"/>
              </w:rPr>
            </w:pPr>
            <w:r w:rsidRPr="0098635C">
              <w:rPr>
                <w:rFonts w:ascii="Times New Roman" w:hAnsi="Times New Roman"/>
                <w:b/>
                <w:color w:val="000000" w:themeColor="text1"/>
                <w:sz w:val="20"/>
                <w:szCs w:val="20"/>
              </w:rPr>
              <w:t>Route of administration</w:t>
            </w:r>
          </w:p>
        </w:tc>
        <w:tc>
          <w:tcPr>
            <w:tcW w:w="2995" w:type="dxa"/>
            <w:gridSpan w:val="2"/>
            <w:vMerge/>
          </w:tcPr>
          <w:p w14:paraId="7CF5A949" w14:textId="77777777" w:rsidR="008D1AE9" w:rsidRPr="0098635C" w:rsidRDefault="008D1AE9" w:rsidP="00AF385A">
            <w:pPr>
              <w:pStyle w:val="Tablebody"/>
              <w:jc w:val="center"/>
              <w:rPr>
                <w:rFonts w:ascii="Times New Roman" w:hAnsi="Times New Roman"/>
                <w:color w:val="000000" w:themeColor="text1"/>
                <w:sz w:val="20"/>
                <w:szCs w:val="20"/>
              </w:rPr>
            </w:pPr>
          </w:p>
        </w:tc>
      </w:tr>
      <w:tr w:rsidR="008D1AE9" w:rsidRPr="0098635C" w14:paraId="7C9EFCA7" w14:textId="77777777" w:rsidTr="00586794">
        <w:tc>
          <w:tcPr>
            <w:tcW w:w="987" w:type="dxa"/>
          </w:tcPr>
          <w:p w14:paraId="13242051"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Riley (1994)</w:t>
            </w:r>
          </w:p>
        </w:tc>
        <w:tc>
          <w:tcPr>
            <w:tcW w:w="1105" w:type="dxa"/>
          </w:tcPr>
          <w:p w14:paraId="6BF88A3B"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Copper sulphate</w:t>
            </w:r>
          </w:p>
        </w:tc>
        <w:tc>
          <w:tcPr>
            <w:tcW w:w="1560" w:type="dxa"/>
          </w:tcPr>
          <w:p w14:paraId="38DBEC39" w14:textId="77777777" w:rsidR="008D1AE9" w:rsidRPr="0098635C" w:rsidRDefault="008D1AE9" w:rsidP="00AF385A">
            <w:pPr>
              <w:pStyle w:val="Tablebody"/>
              <w:jc w:val="center"/>
              <w:rPr>
                <w:rFonts w:ascii="Times New Roman" w:hAnsi="Times New Roman"/>
                <w:color w:val="000000" w:themeColor="text1"/>
                <w:sz w:val="20"/>
                <w:szCs w:val="20"/>
              </w:rPr>
            </w:pPr>
            <w:r w:rsidRPr="0098635C">
              <w:rPr>
                <w:rFonts w:ascii="Times New Roman" w:hAnsi="Times New Roman"/>
                <w:color w:val="000000" w:themeColor="text1"/>
                <w:sz w:val="20"/>
                <w:szCs w:val="20"/>
              </w:rPr>
              <w:t>Micronucleus test</w:t>
            </w:r>
          </w:p>
        </w:tc>
        <w:tc>
          <w:tcPr>
            <w:tcW w:w="1701" w:type="dxa"/>
          </w:tcPr>
          <w:p w14:paraId="68022B09" w14:textId="77777777" w:rsidR="008D1AE9" w:rsidRPr="0098635C" w:rsidRDefault="008D1AE9" w:rsidP="00AF385A">
            <w:pPr>
              <w:pStyle w:val="Tablebody"/>
              <w:jc w:val="center"/>
              <w:rPr>
                <w:rFonts w:ascii="Times New Roman" w:hAnsi="Times New Roman"/>
                <w:color w:val="000000" w:themeColor="text1"/>
                <w:sz w:val="20"/>
                <w:szCs w:val="20"/>
              </w:rPr>
            </w:pPr>
            <w:r w:rsidRPr="0098635C">
              <w:rPr>
                <w:rFonts w:ascii="Times New Roman" w:hAnsi="Times New Roman"/>
                <w:color w:val="000000" w:themeColor="text1"/>
                <w:sz w:val="20"/>
                <w:szCs w:val="20"/>
              </w:rPr>
              <w:t>CD-1 mice</w:t>
            </w:r>
          </w:p>
        </w:tc>
        <w:tc>
          <w:tcPr>
            <w:tcW w:w="1276" w:type="dxa"/>
          </w:tcPr>
          <w:p w14:paraId="3639DA6D" w14:textId="77777777" w:rsidR="008D1AE9" w:rsidRPr="0098635C" w:rsidRDefault="008D1AE9" w:rsidP="00AF385A">
            <w:pPr>
              <w:pStyle w:val="Tablebody"/>
              <w:jc w:val="center"/>
              <w:rPr>
                <w:rFonts w:ascii="Times New Roman" w:hAnsi="Times New Roman"/>
                <w:color w:val="000000" w:themeColor="text1"/>
                <w:sz w:val="20"/>
                <w:szCs w:val="20"/>
              </w:rPr>
            </w:pPr>
            <w:r w:rsidRPr="0098635C">
              <w:rPr>
                <w:rFonts w:ascii="Times New Roman" w:hAnsi="Times New Roman"/>
                <w:color w:val="000000" w:themeColor="text1"/>
                <w:sz w:val="20"/>
                <w:szCs w:val="20"/>
              </w:rPr>
              <w:t>Oral (gavage)</w:t>
            </w:r>
          </w:p>
        </w:tc>
        <w:tc>
          <w:tcPr>
            <w:tcW w:w="1701" w:type="dxa"/>
          </w:tcPr>
          <w:p w14:paraId="647D5F7D"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No increase in micronucleus formation</w:t>
            </w:r>
          </w:p>
        </w:tc>
        <w:tc>
          <w:tcPr>
            <w:tcW w:w="1294" w:type="dxa"/>
          </w:tcPr>
          <w:p w14:paraId="38C51AB9" w14:textId="77777777" w:rsidR="008D1AE9" w:rsidRPr="0098635C" w:rsidRDefault="008D1AE9" w:rsidP="00AF385A">
            <w:pPr>
              <w:pStyle w:val="Tablebody"/>
              <w:jc w:val="center"/>
              <w:rPr>
                <w:rFonts w:ascii="Times New Roman" w:hAnsi="Times New Roman"/>
                <w:color w:val="000000" w:themeColor="text1"/>
                <w:sz w:val="20"/>
                <w:szCs w:val="20"/>
              </w:rPr>
            </w:pPr>
            <w:r w:rsidRPr="0098635C">
              <w:rPr>
                <w:rFonts w:ascii="Times New Roman" w:hAnsi="Times New Roman"/>
                <w:color w:val="000000" w:themeColor="text1"/>
                <w:sz w:val="20"/>
                <w:szCs w:val="20"/>
              </w:rPr>
              <w:t>1</w:t>
            </w:r>
          </w:p>
        </w:tc>
      </w:tr>
      <w:tr w:rsidR="008D1AE9" w:rsidRPr="0098635C" w14:paraId="45664AE8" w14:textId="77777777" w:rsidTr="00586794">
        <w:tc>
          <w:tcPr>
            <w:tcW w:w="987" w:type="dxa"/>
          </w:tcPr>
          <w:p w14:paraId="7A4F7D83"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Ward (1994)</w:t>
            </w:r>
          </w:p>
        </w:tc>
        <w:tc>
          <w:tcPr>
            <w:tcW w:w="1105" w:type="dxa"/>
          </w:tcPr>
          <w:p w14:paraId="568F0BB1"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Copper sulphate</w:t>
            </w:r>
          </w:p>
        </w:tc>
        <w:tc>
          <w:tcPr>
            <w:tcW w:w="1560" w:type="dxa"/>
          </w:tcPr>
          <w:p w14:paraId="48C05DF1" w14:textId="77777777" w:rsidR="008D1AE9" w:rsidRPr="0098635C" w:rsidRDefault="008D1AE9" w:rsidP="00AF385A">
            <w:pPr>
              <w:pStyle w:val="Tablebody"/>
              <w:jc w:val="center"/>
              <w:rPr>
                <w:rFonts w:ascii="Times New Roman" w:hAnsi="Times New Roman"/>
                <w:color w:val="000000" w:themeColor="text1"/>
                <w:sz w:val="20"/>
                <w:szCs w:val="20"/>
              </w:rPr>
            </w:pPr>
            <w:r w:rsidRPr="0098635C">
              <w:rPr>
                <w:rFonts w:ascii="Times New Roman" w:hAnsi="Times New Roman"/>
                <w:color w:val="000000" w:themeColor="text1"/>
                <w:sz w:val="20"/>
                <w:szCs w:val="20"/>
              </w:rPr>
              <w:t>UDS test (hepatocytes)</w:t>
            </w:r>
          </w:p>
        </w:tc>
        <w:tc>
          <w:tcPr>
            <w:tcW w:w="1701" w:type="dxa"/>
          </w:tcPr>
          <w:p w14:paraId="16E0BBD2" w14:textId="77777777" w:rsidR="008D1AE9" w:rsidRPr="0098635C" w:rsidRDefault="008D1AE9" w:rsidP="00AF385A">
            <w:pPr>
              <w:pStyle w:val="Tablebody"/>
              <w:jc w:val="center"/>
              <w:rPr>
                <w:rFonts w:ascii="Times New Roman" w:hAnsi="Times New Roman"/>
                <w:color w:val="000000" w:themeColor="text1"/>
                <w:sz w:val="20"/>
                <w:szCs w:val="20"/>
              </w:rPr>
            </w:pPr>
            <w:r w:rsidRPr="0098635C">
              <w:rPr>
                <w:rFonts w:ascii="Times New Roman" w:hAnsi="Times New Roman"/>
                <w:color w:val="000000" w:themeColor="text1"/>
                <w:sz w:val="20"/>
                <w:szCs w:val="20"/>
              </w:rPr>
              <w:t>Wistar rats</w:t>
            </w:r>
          </w:p>
        </w:tc>
        <w:tc>
          <w:tcPr>
            <w:tcW w:w="1276" w:type="dxa"/>
          </w:tcPr>
          <w:p w14:paraId="469235E4" w14:textId="77777777" w:rsidR="008D1AE9" w:rsidRPr="0098635C" w:rsidRDefault="008D1AE9" w:rsidP="00AF385A">
            <w:pPr>
              <w:pStyle w:val="Tablebody"/>
              <w:jc w:val="center"/>
              <w:rPr>
                <w:rFonts w:ascii="Times New Roman" w:hAnsi="Times New Roman"/>
                <w:color w:val="000000" w:themeColor="text1"/>
                <w:sz w:val="20"/>
                <w:szCs w:val="20"/>
              </w:rPr>
            </w:pPr>
            <w:r w:rsidRPr="0098635C">
              <w:rPr>
                <w:rFonts w:ascii="Times New Roman" w:hAnsi="Times New Roman"/>
                <w:color w:val="000000" w:themeColor="text1"/>
                <w:sz w:val="20"/>
                <w:szCs w:val="20"/>
              </w:rPr>
              <w:t>Oral (gavage)</w:t>
            </w:r>
          </w:p>
        </w:tc>
        <w:tc>
          <w:tcPr>
            <w:tcW w:w="1701" w:type="dxa"/>
          </w:tcPr>
          <w:p w14:paraId="722A340E"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No induction of UDS</w:t>
            </w:r>
          </w:p>
        </w:tc>
        <w:tc>
          <w:tcPr>
            <w:tcW w:w="1294" w:type="dxa"/>
          </w:tcPr>
          <w:p w14:paraId="581C012F" w14:textId="77777777" w:rsidR="008D1AE9" w:rsidRPr="0098635C" w:rsidRDefault="008D1AE9" w:rsidP="00AF385A">
            <w:pPr>
              <w:pStyle w:val="Tablebody"/>
              <w:jc w:val="center"/>
              <w:rPr>
                <w:rFonts w:ascii="Times New Roman" w:hAnsi="Times New Roman"/>
                <w:color w:val="000000" w:themeColor="text1"/>
                <w:sz w:val="20"/>
                <w:szCs w:val="20"/>
              </w:rPr>
            </w:pPr>
            <w:r w:rsidRPr="0098635C">
              <w:rPr>
                <w:rFonts w:ascii="Times New Roman" w:hAnsi="Times New Roman"/>
                <w:color w:val="000000" w:themeColor="text1"/>
                <w:sz w:val="20"/>
                <w:szCs w:val="20"/>
              </w:rPr>
              <w:t>1</w:t>
            </w:r>
          </w:p>
        </w:tc>
      </w:tr>
      <w:tr w:rsidR="008D1AE9" w:rsidRPr="0098635C" w14:paraId="02CB3762" w14:textId="77777777" w:rsidTr="00586794">
        <w:tc>
          <w:tcPr>
            <w:tcW w:w="987" w:type="dxa"/>
          </w:tcPr>
          <w:p w14:paraId="0054702A"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lastRenderedPageBreak/>
              <w:t xml:space="preserve">Agarwal </w:t>
            </w:r>
            <w:r w:rsidRPr="0098635C">
              <w:rPr>
                <w:rFonts w:ascii="Times New Roman" w:hAnsi="Times New Roman"/>
                <w:i/>
                <w:color w:val="000000" w:themeColor="text1"/>
                <w:sz w:val="20"/>
                <w:szCs w:val="20"/>
              </w:rPr>
              <w:t>et al</w:t>
            </w:r>
            <w:r w:rsidRPr="0098635C">
              <w:rPr>
                <w:rFonts w:ascii="Times New Roman" w:hAnsi="Times New Roman"/>
                <w:color w:val="000000" w:themeColor="text1"/>
                <w:sz w:val="20"/>
                <w:szCs w:val="20"/>
              </w:rPr>
              <w:t xml:space="preserve"> (1990)</w:t>
            </w:r>
          </w:p>
        </w:tc>
        <w:tc>
          <w:tcPr>
            <w:tcW w:w="1105" w:type="dxa"/>
          </w:tcPr>
          <w:p w14:paraId="425FB27B"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Copper sulphate</w:t>
            </w:r>
          </w:p>
        </w:tc>
        <w:tc>
          <w:tcPr>
            <w:tcW w:w="1560" w:type="dxa"/>
          </w:tcPr>
          <w:p w14:paraId="6C4EED80" w14:textId="77777777" w:rsidR="008D1AE9" w:rsidRPr="0098635C" w:rsidRDefault="008D1AE9" w:rsidP="00AF385A">
            <w:pPr>
              <w:pStyle w:val="Tablebody"/>
              <w:jc w:val="center"/>
              <w:rPr>
                <w:rFonts w:ascii="Times New Roman" w:hAnsi="Times New Roman"/>
                <w:color w:val="000000" w:themeColor="text1"/>
                <w:sz w:val="20"/>
                <w:szCs w:val="20"/>
              </w:rPr>
            </w:pPr>
            <w:r w:rsidRPr="0098635C">
              <w:rPr>
                <w:rFonts w:ascii="Times New Roman" w:hAnsi="Times New Roman"/>
                <w:color w:val="000000" w:themeColor="text1"/>
                <w:sz w:val="20"/>
                <w:szCs w:val="20"/>
              </w:rPr>
              <w:t>Bone marrow cytogenetic test</w:t>
            </w:r>
          </w:p>
        </w:tc>
        <w:tc>
          <w:tcPr>
            <w:tcW w:w="1701" w:type="dxa"/>
          </w:tcPr>
          <w:p w14:paraId="2AFA4767" w14:textId="77777777" w:rsidR="008D1AE9" w:rsidRPr="0098635C" w:rsidRDefault="008D1AE9" w:rsidP="00AF385A">
            <w:pPr>
              <w:pStyle w:val="Tablebody"/>
              <w:jc w:val="center"/>
              <w:rPr>
                <w:rFonts w:ascii="Times New Roman" w:hAnsi="Times New Roman"/>
                <w:color w:val="000000" w:themeColor="text1"/>
                <w:sz w:val="20"/>
                <w:szCs w:val="20"/>
              </w:rPr>
            </w:pPr>
            <w:r w:rsidRPr="0098635C">
              <w:rPr>
                <w:rFonts w:ascii="Times New Roman" w:hAnsi="Times New Roman"/>
                <w:color w:val="000000" w:themeColor="text1"/>
                <w:sz w:val="20"/>
                <w:szCs w:val="20"/>
              </w:rPr>
              <w:t>Swiss albino mice</w:t>
            </w:r>
          </w:p>
        </w:tc>
        <w:tc>
          <w:tcPr>
            <w:tcW w:w="1276" w:type="dxa"/>
          </w:tcPr>
          <w:p w14:paraId="5E9216A7" w14:textId="77777777" w:rsidR="008D1AE9" w:rsidRPr="0098635C" w:rsidRDefault="008D1AE9" w:rsidP="00AF385A">
            <w:pPr>
              <w:pStyle w:val="Tablebody"/>
              <w:jc w:val="center"/>
              <w:rPr>
                <w:rFonts w:ascii="Times New Roman" w:hAnsi="Times New Roman"/>
                <w:color w:val="000000" w:themeColor="text1"/>
                <w:sz w:val="20"/>
                <w:szCs w:val="20"/>
              </w:rPr>
            </w:pPr>
            <w:r w:rsidRPr="0098635C">
              <w:rPr>
                <w:rFonts w:ascii="Times New Roman" w:hAnsi="Times New Roman"/>
                <w:color w:val="000000" w:themeColor="text1"/>
                <w:sz w:val="20"/>
                <w:szCs w:val="20"/>
              </w:rPr>
              <w:t>i.p. injection</w:t>
            </w:r>
          </w:p>
        </w:tc>
        <w:tc>
          <w:tcPr>
            <w:tcW w:w="1701" w:type="dxa"/>
          </w:tcPr>
          <w:p w14:paraId="257BF583"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Dose-dependent increase in chromosome aberrations</w:t>
            </w:r>
          </w:p>
        </w:tc>
        <w:tc>
          <w:tcPr>
            <w:tcW w:w="1294" w:type="dxa"/>
          </w:tcPr>
          <w:p w14:paraId="1F866B33" w14:textId="77777777" w:rsidR="008D1AE9" w:rsidRPr="0098635C" w:rsidRDefault="008D1AE9" w:rsidP="00AF385A">
            <w:pPr>
              <w:pStyle w:val="Tablebody"/>
              <w:jc w:val="center"/>
              <w:rPr>
                <w:rFonts w:ascii="Times New Roman" w:hAnsi="Times New Roman"/>
                <w:color w:val="000000" w:themeColor="text1"/>
                <w:sz w:val="20"/>
                <w:szCs w:val="20"/>
              </w:rPr>
            </w:pPr>
            <w:r w:rsidRPr="0098635C">
              <w:rPr>
                <w:rFonts w:ascii="Times New Roman" w:hAnsi="Times New Roman"/>
                <w:color w:val="000000" w:themeColor="text1"/>
                <w:sz w:val="20"/>
                <w:szCs w:val="20"/>
              </w:rPr>
              <w:t>2</w:t>
            </w:r>
          </w:p>
        </w:tc>
      </w:tr>
      <w:tr w:rsidR="008D1AE9" w:rsidRPr="0098635C" w14:paraId="310FCD31" w14:textId="77777777" w:rsidTr="00586794">
        <w:tc>
          <w:tcPr>
            <w:tcW w:w="987" w:type="dxa"/>
          </w:tcPr>
          <w:p w14:paraId="49185263"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Tinwell and Ashby (1990)</w:t>
            </w:r>
          </w:p>
        </w:tc>
        <w:tc>
          <w:tcPr>
            <w:tcW w:w="1105" w:type="dxa"/>
          </w:tcPr>
          <w:p w14:paraId="451D8B1D"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Copper sulphate</w:t>
            </w:r>
          </w:p>
        </w:tc>
        <w:tc>
          <w:tcPr>
            <w:tcW w:w="1560" w:type="dxa"/>
          </w:tcPr>
          <w:p w14:paraId="196EBEA4" w14:textId="77777777" w:rsidR="008D1AE9" w:rsidRPr="0098635C" w:rsidRDefault="008D1AE9" w:rsidP="00AF385A">
            <w:pPr>
              <w:pStyle w:val="Tablebody"/>
              <w:jc w:val="center"/>
              <w:rPr>
                <w:rFonts w:ascii="Times New Roman" w:hAnsi="Times New Roman"/>
                <w:color w:val="000000" w:themeColor="text1"/>
                <w:sz w:val="20"/>
                <w:szCs w:val="20"/>
              </w:rPr>
            </w:pPr>
            <w:r w:rsidRPr="0098635C">
              <w:rPr>
                <w:rFonts w:ascii="Times New Roman" w:hAnsi="Times New Roman"/>
                <w:color w:val="000000" w:themeColor="text1"/>
                <w:sz w:val="20"/>
                <w:szCs w:val="20"/>
              </w:rPr>
              <w:t>Micronucleus test</w:t>
            </w:r>
          </w:p>
        </w:tc>
        <w:tc>
          <w:tcPr>
            <w:tcW w:w="1701" w:type="dxa"/>
          </w:tcPr>
          <w:p w14:paraId="48944AA8" w14:textId="77777777" w:rsidR="008D1AE9" w:rsidRPr="0098635C" w:rsidRDefault="008D1AE9" w:rsidP="00AF385A">
            <w:pPr>
              <w:pStyle w:val="Tablebody"/>
              <w:jc w:val="center"/>
              <w:rPr>
                <w:rFonts w:ascii="Times New Roman" w:hAnsi="Times New Roman"/>
                <w:color w:val="000000" w:themeColor="text1"/>
                <w:sz w:val="20"/>
                <w:szCs w:val="20"/>
              </w:rPr>
            </w:pPr>
            <w:r w:rsidRPr="0098635C">
              <w:rPr>
                <w:rFonts w:ascii="Times New Roman" w:hAnsi="Times New Roman"/>
                <w:color w:val="000000" w:themeColor="text1"/>
                <w:sz w:val="20"/>
                <w:szCs w:val="20"/>
              </w:rPr>
              <w:t>CBA mice</w:t>
            </w:r>
          </w:p>
        </w:tc>
        <w:tc>
          <w:tcPr>
            <w:tcW w:w="1276" w:type="dxa"/>
          </w:tcPr>
          <w:p w14:paraId="7C00E7E5" w14:textId="77777777" w:rsidR="008D1AE9" w:rsidRPr="0098635C" w:rsidRDefault="008D1AE9" w:rsidP="00AF385A">
            <w:pPr>
              <w:pStyle w:val="Tablebody"/>
              <w:jc w:val="center"/>
              <w:rPr>
                <w:rFonts w:ascii="Times New Roman" w:hAnsi="Times New Roman"/>
                <w:color w:val="000000" w:themeColor="text1"/>
                <w:sz w:val="20"/>
                <w:szCs w:val="20"/>
              </w:rPr>
            </w:pPr>
            <w:r w:rsidRPr="0098635C">
              <w:rPr>
                <w:rFonts w:ascii="Times New Roman" w:hAnsi="Times New Roman"/>
                <w:color w:val="000000" w:themeColor="text1"/>
                <w:sz w:val="20"/>
                <w:szCs w:val="20"/>
              </w:rPr>
              <w:t>i.p. injection</w:t>
            </w:r>
          </w:p>
        </w:tc>
        <w:tc>
          <w:tcPr>
            <w:tcW w:w="1701" w:type="dxa"/>
          </w:tcPr>
          <w:p w14:paraId="49CD265D"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No increase in micronucleus formation</w:t>
            </w:r>
          </w:p>
        </w:tc>
        <w:tc>
          <w:tcPr>
            <w:tcW w:w="1294" w:type="dxa"/>
          </w:tcPr>
          <w:p w14:paraId="5E45A675" w14:textId="77777777" w:rsidR="008D1AE9" w:rsidRPr="0098635C" w:rsidRDefault="008D1AE9" w:rsidP="00AF385A">
            <w:pPr>
              <w:pStyle w:val="Tablebody"/>
              <w:jc w:val="center"/>
              <w:rPr>
                <w:rFonts w:ascii="Times New Roman" w:hAnsi="Times New Roman"/>
                <w:color w:val="000000" w:themeColor="text1"/>
                <w:sz w:val="20"/>
                <w:szCs w:val="20"/>
              </w:rPr>
            </w:pPr>
            <w:r w:rsidRPr="0098635C">
              <w:rPr>
                <w:rFonts w:ascii="Times New Roman" w:hAnsi="Times New Roman"/>
                <w:color w:val="000000" w:themeColor="text1"/>
                <w:sz w:val="20"/>
                <w:szCs w:val="20"/>
              </w:rPr>
              <w:t>2</w:t>
            </w:r>
          </w:p>
        </w:tc>
      </w:tr>
    </w:tbl>
    <w:p w14:paraId="47F7C74A" w14:textId="77777777" w:rsidR="00407FEC" w:rsidRPr="0098635C" w:rsidRDefault="00407FEC" w:rsidP="008D1AE9">
      <w:pPr>
        <w:pStyle w:val="BodyText"/>
        <w:rPr>
          <w:color w:val="000000" w:themeColor="text1"/>
          <w:sz w:val="20"/>
        </w:rPr>
      </w:pPr>
    </w:p>
    <w:p w14:paraId="11E439E0" w14:textId="3902E8BC" w:rsidR="008D1AE9" w:rsidRPr="0098635C" w:rsidRDefault="008D1AE9" w:rsidP="008D1AE9">
      <w:pPr>
        <w:pStyle w:val="BodyText"/>
        <w:rPr>
          <w:color w:val="000000" w:themeColor="text1"/>
          <w:sz w:val="20"/>
        </w:rPr>
      </w:pPr>
      <w:r w:rsidRPr="0098635C">
        <w:rPr>
          <w:color w:val="000000" w:themeColor="text1"/>
          <w:sz w:val="20"/>
        </w:rPr>
        <w:t xml:space="preserve">Two publications reported on </w:t>
      </w:r>
      <w:r w:rsidRPr="0098635C">
        <w:rPr>
          <w:i/>
          <w:color w:val="000000" w:themeColor="text1"/>
          <w:sz w:val="20"/>
        </w:rPr>
        <w:t>in vitro</w:t>
      </w:r>
      <w:r w:rsidRPr="0098635C">
        <w:rPr>
          <w:color w:val="000000" w:themeColor="text1"/>
          <w:sz w:val="20"/>
        </w:rPr>
        <w:t xml:space="preserve"> cell mutagenicity studies with another copper compound: Sideris et al (1988</w:t>
      </w:r>
      <w:r w:rsidR="00F35D64" w:rsidRPr="0098635C">
        <w:rPr>
          <w:color w:val="000000" w:themeColor="text1"/>
          <w:sz w:val="20"/>
        </w:rPr>
        <w:t xml:space="preserve">) </w:t>
      </w:r>
      <w:r w:rsidR="00BC1E0D" w:rsidRPr="0098635C">
        <w:rPr>
          <w:color w:val="000000" w:themeColor="text1"/>
          <w:sz w:val="20"/>
        </w:rPr>
        <w:t xml:space="preserve">(reliability rating: R3) </w:t>
      </w:r>
      <w:r w:rsidRPr="0098635C">
        <w:rPr>
          <w:color w:val="000000" w:themeColor="text1"/>
          <w:sz w:val="20"/>
        </w:rPr>
        <w:t xml:space="preserve">reported dose-dependent increase in mutation frequency for copper nitrate in Chinese hamster V79 cells, whereas Rusov et al (1997) reported </w:t>
      </w:r>
      <w:r w:rsidR="00BC1E0D" w:rsidRPr="0098635C">
        <w:rPr>
          <w:color w:val="000000" w:themeColor="text1"/>
          <w:sz w:val="20"/>
        </w:rPr>
        <w:t xml:space="preserve">(reliability rating: R3) </w:t>
      </w:r>
      <w:r w:rsidRPr="0098635C">
        <w:rPr>
          <w:color w:val="000000" w:themeColor="text1"/>
          <w:sz w:val="20"/>
        </w:rPr>
        <w:t>dose-dependent increase in micronucleus formation for copper acetate without any indication of cytotoxicity.</w:t>
      </w:r>
    </w:p>
    <w:p w14:paraId="6CFA939A" w14:textId="77777777" w:rsidR="008D1AE9" w:rsidRPr="0098635C" w:rsidRDefault="008D1AE9" w:rsidP="00586794">
      <w:pPr>
        <w:rPr>
          <w:color w:val="000000" w:themeColor="text1"/>
          <w:sz w:val="20"/>
          <w:szCs w:val="20"/>
        </w:rPr>
      </w:pPr>
    </w:p>
    <w:p w14:paraId="63FD7574" w14:textId="77777777" w:rsidR="008D1AE9" w:rsidRPr="0098635C" w:rsidRDefault="008D1AE9" w:rsidP="008D1AE9">
      <w:pPr>
        <w:pStyle w:val="Heading9"/>
        <w:spacing w:before="240"/>
        <w:rPr>
          <w:color w:val="000000" w:themeColor="text1"/>
          <w:sz w:val="20"/>
          <w:szCs w:val="20"/>
          <w:u w:val="single"/>
        </w:rPr>
      </w:pPr>
      <w:r w:rsidRPr="0098635C">
        <w:rPr>
          <w:color w:val="000000" w:themeColor="text1"/>
          <w:sz w:val="20"/>
          <w:szCs w:val="20"/>
          <w:u w:val="single"/>
        </w:rPr>
        <w:t>In vivo studies</w:t>
      </w:r>
    </w:p>
    <w:p w14:paraId="0D8FBC62" w14:textId="58F492BF" w:rsidR="008D1AE9" w:rsidRPr="0098635C" w:rsidRDefault="008D1AE9" w:rsidP="008D1AE9">
      <w:pPr>
        <w:pStyle w:val="BodyText"/>
        <w:rPr>
          <w:snapToGrid w:val="0"/>
          <w:color w:val="000000" w:themeColor="text1"/>
          <w:sz w:val="20"/>
        </w:rPr>
      </w:pPr>
      <w:r w:rsidRPr="0098635C">
        <w:rPr>
          <w:snapToGrid w:val="0"/>
          <w:color w:val="000000" w:themeColor="text1"/>
          <w:sz w:val="20"/>
        </w:rPr>
        <w:t xml:space="preserve">The most reliable </w:t>
      </w:r>
      <w:r w:rsidRPr="0098635C">
        <w:rPr>
          <w:i/>
          <w:snapToGrid w:val="0"/>
          <w:color w:val="000000" w:themeColor="text1"/>
          <w:sz w:val="20"/>
        </w:rPr>
        <w:t>in vivo</w:t>
      </w:r>
      <w:r w:rsidRPr="0098635C">
        <w:rPr>
          <w:snapToGrid w:val="0"/>
          <w:color w:val="000000" w:themeColor="text1"/>
          <w:sz w:val="20"/>
        </w:rPr>
        <w:t xml:space="preserve"> data come from two unpublished, oral-dosing studies with copper sulphate as test substance</w:t>
      </w:r>
      <w:r w:rsidR="00E64FDF" w:rsidRPr="0098635C">
        <w:rPr>
          <w:snapToGrid w:val="0"/>
          <w:color w:val="000000" w:themeColor="text1"/>
          <w:sz w:val="20"/>
        </w:rPr>
        <w:t>.</w:t>
      </w:r>
      <w:r w:rsidRPr="0098635C">
        <w:rPr>
          <w:snapToGrid w:val="0"/>
          <w:color w:val="000000" w:themeColor="text1"/>
          <w:sz w:val="20"/>
        </w:rPr>
        <w:t xml:space="preserve"> An unpublished, full report (Riley, 1994 – </w:t>
      </w:r>
      <w:r w:rsidRPr="0098635C">
        <w:rPr>
          <w:i/>
          <w:snapToGrid w:val="0"/>
          <w:color w:val="000000" w:themeColor="text1"/>
          <w:sz w:val="20"/>
        </w:rPr>
        <w:t>unpublished</w:t>
      </w:r>
      <w:r w:rsidRPr="0098635C">
        <w:rPr>
          <w:snapToGrid w:val="0"/>
          <w:color w:val="000000" w:themeColor="text1"/>
          <w:sz w:val="20"/>
        </w:rPr>
        <w:t xml:space="preserve">) concluded that copper sulphate failed to increase micronucleus formation in polychromatic erythrocytes from bone marrow of CD-1 mice (5 males, 5 females) treated orally with 447 mg/kg/day copper sulphate (113.76 mg Cu/kg/day) for two consecutive days, a dose which caused some toxicity. A second unpublished study of an </w:t>
      </w:r>
      <w:r w:rsidRPr="0098635C">
        <w:rPr>
          <w:i/>
          <w:snapToGrid w:val="0"/>
          <w:color w:val="000000" w:themeColor="text1"/>
          <w:sz w:val="20"/>
        </w:rPr>
        <w:t>in vivo</w:t>
      </w:r>
      <w:r w:rsidRPr="0098635C">
        <w:rPr>
          <w:snapToGrid w:val="0"/>
          <w:color w:val="000000" w:themeColor="text1"/>
          <w:sz w:val="20"/>
        </w:rPr>
        <w:t xml:space="preserve"> UDS test for copper sulphate with male Wistar rats (Ward, 1994)</w:t>
      </w:r>
      <w:r w:rsidRPr="0098635C">
        <w:rPr>
          <w:i/>
          <w:snapToGrid w:val="0"/>
          <w:color w:val="000000" w:themeColor="text1"/>
          <w:sz w:val="20"/>
        </w:rPr>
        <w:t xml:space="preserve"> - unpublished</w:t>
      </w:r>
      <w:r w:rsidRPr="0098635C">
        <w:rPr>
          <w:snapToGrid w:val="0"/>
          <w:color w:val="000000" w:themeColor="text1"/>
          <w:sz w:val="20"/>
        </w:rPr>
        <w:t xml:space="preserve">) showed that oral treatment of rats with copper sulphate at doses up to 2000 mg/kg (509 mg Cu/kg) failed to induce UDS in hepatocytes isolated </w:t>
      </w:r>
      <w:r w:rsidRPr="0098635C">
        <w:rPr>
          <w:i/>
          <w:snapToGrid w:val="0"/>
          <w:color w:val="000000" w:themeColor="text1"/>
          <w:sz w:val="20"/>
        </w:rPr>
        <w:t>ex vivo</w:t>
      </w:r>
      <w:r w:rsidRPr="0098635C">
        <w:rPr>
          <w:snapToGrid w:val="0"/>
          <w:color w:val="000000" w:themeColor="text1"/>
          <w:sz w:val="20"/>
        </w:rPr>
        <w:t xml:space="preserve"> 12-14 or 2-4 hours after dosing (no DNA damage was observed).</w:t>
      </w:r>
    </w:p>
    <w:p w14:paraId="5E3ABBE3" w14:textId="77777777" w:rsidR="008D1AE9" w:rsidRPr="0098635C" w:rsidRDefault="008D1AE9" w:rsidP="008D1AE9">
      <w:pPr>
        <w:pStyle w:val="BodyText"/>
        <w:rPr>
          <w:color w:val="000000" w:themeColor="text1"/>
          <w:sz w:val="20"/>
        </w:rPr>
      </w:pPr>
      <w:r w:rsidRPr="0098635C">
        <w:rPr>
          <w:color w:val="000000" w:themeColor="text1"/>
          <w:sz w:val="20"/>
        </w:rPr>
        <w:t>No high quality human data available on the genotoxic potential of copper and copper compounds in humans were identified in open literature</w:t>
      </w:r>
    </w:p>
    <w:p w14:paraId="0E46EDD3" w14:textId="72A04AAC" w:rsidR="008D1AE9" w:rsidRPr="0098635C" w:rsidRDefault="008D1AE9" w:rsidP="008D1AE9">
      <w:pPr>
        <w:pStyle w:val="Caption"/>
        <w:rPr>
          <w:b w:val="0"/>
          <w:color w:val="000000" w:themeColor="text1"/>
          <w:sz w:val="20"/>
          <w:lang w:val="en-GB"/>
        </w:rPr>
      </w:pPr>
      <w:bookmarkStart w:id="1782" w:name="_Ref259780041"/>
      <w:bookmarkStart w:id="1783" w:name="_Toc260063728"/>
      <w:r w:rsidRPr="0098635C">
        <w:rPr>
          <w:b w:val="0"/>
          <w:color w:val="000000" w:themeColor="text1"/>
          <w:sz w:val="20"/>
          <w:lang w:val="en-GB"/>
        </w:rPr>
        <w:t xml:space="preserve">Table </w:t>
      </w:r>
      <w:r w:rsidR="00E230FB" w:rsidRPr="0098635C">
        <w:rPr>
          <w:b w:val="0"/>
          <w:color w:val="000000" w:themeColor="text1"/>
          <w:sz w:val="20"/>
          <w:lang w:val="en-GB"/>
        </w:rPr>
        <w:fldChar w:fldCharType="begin"/>
      </w:r>
      <w:r w:rsidRPr="0098635C">
        <w:rPr>
          <w:b w:val="0"/>
          <w:color w:val="000000" w:themeColor="text1"/>
          <w:sz w:val="20"/>
          <w:lang w:val="en-GB"/>
        </w:rPr>
        <w:instrText xml:space="preserve"> SEQ Table \* ARABIC </w:instrText>
      </w:r>
      <w:r w:rsidR="00E230FB" w:rsidRPr="0098635C">
        <w:rPr>
          <w:b w:val="0"/>
          <w:color w:val="000000" w:themeColor="text1"/>
          <w:sz w:val="20"/>
          <w:lang w:val="en-GB"/>
        </w:rPr>
        <w:fldChar w:fldCharType="separate"/>
      </w:r>
      <w:r w:rsidR="005E5161" w:rsidRPr="0098635C">
        <w:rPr>
          <w:b w:val="0"/>
          <w:noProof/>
          <w:color w:val="000000" w:themeColor="text1"/>
          <w:sz w:val="20"/>
          <w:lang w:val="en-GB"/>
        </w:rPr>
        <w:t>21</w:t>
      </w:r>
      <w:r w:rsidR="00E230FB" w:rsidRPr="0098635C">
        <w:rPr>
          <w:b w:val="0"/>
          <w:color w:val="000000" w:themeColor="text1"/>
          <w:sz w:val="20"/>
          <w:lang w:val="en-GB"/>
        </w:rPr>
        <w:fldChar w:fldCharType="end"/>
      </w:r>
      <w:bookmarkEnd w:id="1782"/>
      <w:r w:rsidRPr="0098635C">
        <w:rPr>
          <w:b w:val="0"/>
          <w:color w:val="000000" w:themeColor="text1"/>
          <w:sz w:val="20"/>
          <w:lang w:val="en-GB"/>
        </w:rPr>
        <w:t>: Overview of experimental studies on in vivo genotoxicity</w:t>
      </w:r>
      <w:bookmarkEnd w:id="1783"/>
      <w:r w:rsidRPr="0098635C">
        <w:rPr>
          <w:b w:val="0"/>
          <w:color w:val="000000" w:themeColor="text1"/>
          <w:sz w:val="20"/>
          <w:lang w:val="en-GB"/>
        </w:rPr>
        <w:t xml:space="preserve">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0"/>
        <w:gridCol w:w="1633"/>
        <w:gridCol w:w="1560"/>
        <w:gridCol w:w="1417"/>
        <w:gridCol w:w="2552"/>
        <w:gridCol w:w="1275"/>
      </w:tblGrid>
      <w:tr w:rsidR="008D1AE9" w:rsidRPr="0098635C" w14:paraId="4B45DFD6" w14:textId="77777777" w:rsidTr="00AF385A">
        <w:trPr>
          <w:trHeight w:val="576"/>
          <w:tblHeader/>
        </w:trPr>
        <w:tc>
          <w:tcPr>
            <w:tcW w:w="1310" w:type="dxa"/>
            <w:tcMar>
              <w:top w:w="20" w:type="nil"/>
              <w:left w:w="20" w:type="nil"/>
              <w:bottom w:w="20" w:type="nil"/>
              <w:right w:w="20" w:type="nil"/>
            </w:tcMar>
            <w:vAlign w:val="center"/>
          </w:tcPr>
          <w:p w14:paraId="521E82E1" w14:textId="77777777" w:rsidR="008D1AE9" w:rsidRPr="0098635C" w:rsidRDefault="008D1AE9" w:rsidP="00AF385A">
            <w:pPr>
              <w:pStyle w:val="NoteLevel211"/>
              <w:jc w:val="left"/>
              <w:rPr>
                <w:b/>
                <w:color w:val="000000" w:themeColor="text1"/>
              </w:rPr>
            </w:pPr>
            <w:bookmarkStart w:id="1784" w:name="_Toc472000307"/>
            <w:bookmarkStart w:id="1785" w:name="_Toc472251670"/>
            <w:r w:rsidRPr="0098635C">
              <w:rPr>
                <w:b/>
                <w:color w:val="000000" w:themeColor="text1"/>
              </w:rPr>
              <w:t>Reference</w:t>
            </w:r>
            <w:bookmarkEnd w:id="1784"/>
            <w:bookmarkEnd w:id="1785"/>
          </w:p>
        </w:tc>
        <w:tc>
          <w:tcPr>
            <w:tcW w:w="1633" w:type="dxa"/>
            <w:tcMar>
              <w:top w:w="20" w:type="nil"/>
              <w:left w:w="20" w:type="nil"/>
              <w:bottom w:w="20" w:type="nil"/>
              <w:right w:w="20" w:type="nil"/>
            </w:tcMar>
            <w:vAlign w:val="center"/>
          </w:tcPr>
          <w:p w14:paraId="778FD9A9" w14:textId="77777777" w:rsidR="008D1AE9" w:rsidRPr="0098635C" w:rsidRDefault="008D1AE9" w:rsidP="00AF385A">
            <w:pPr>
              <w:pStyle w:val="NoteLevel211"/>
              <w:jc w:val="left"/>
              <w:rPr>
                <w:b/>
                <w:color w:val="000000" w:themeColor="text1"/>
              </w:rPr>
            </w:pPr>
            <w:bookmarkStart w:id="1786" w:name="_Toc472000308"/>
            <w:bookmarkStart w:id="1787" w:name="_Toc472251671"/>
            <w:r w:rsidRPr="0098635C">
              <w:rPr>
                <w:b/>
                <w:color w:val="000000" w:themeColor="text1"/>
              </w:rPr>
              <w:t>Substance</w:t>
            </w:r>
            <w:bookmarkEnd w:id="1786"/>
            <w:bookmarkEnd w:id="1787"/>
          </w:p>
        </w:tc>
        <w:tc>
          <w:tcPr>
            <w:tcW w:w="1560" w:type="dxa"/>
            <w:tcMar>
              <w:top w:w="20" w:type="nil"/>
              <w:left w:w="20" w:type="nil"/>
              <w:bottom w:w="20" w:type="nil"/>
              <w:right w:w="20" w:type="nil"/>
            </w:tcMar>
            <w:vAlign w:val="center"/>
          </w:tcPr>
          <w:p w14:paraId="649E261F" w14:textId="77777777" w:rsidR="008D1AE9" w:rsidRPr="0098635C" w:rsidRDefault="008D1AE9" w:rsidP="00AF385A">
            <w:pPr>
              <w:pStyle w:val="NoteLevel211"/>
              <w:jc w:val="left"/>
              <w:rPr>
                <w:b/>
                <w:color w:val="000000" w:themeColor="text1"/>
              </w:rPr>
            </w:pPr>
            <w:bookmarkStart w:id="1788" w:name="_Toc472000309"/>
            <w:bookmarkStart w:id="1789" w:name="_Toc472251672"/>
            <w:r w:rsidRPr="0098635C">
              <w:rPr>
                <w:b/>
                <w:color w:val="000000" w:themeColor="text1"/>
              </w:rPr>
              <w:t>Method</w:t>
            </w:r>
            <w:bookmarkEnd w:id="1788"/>
            <w:bookmarkEnd w:id="1789"/>
          </w:p>
        </w:tc>
        <w:tc>
          <w:tcPr>
            <w:tcW w:w="1417" w:type="dxa"/>
            <w:vAlign w:val="center"/>
          </w:tcPr>
          <w:p w14:paraId="22296BAC" w14:textId="77777777" w:rsidR="008D1AE9" w:rsidRPr="0098635C" w:rsidRDefault="008D1AE9" w:rsidP="00AF385A">
            <w:pPr>
              <w:pStyle w:val="NoteLevel211"/>
              <w:jc w:val="left"/>
              <w:rPr>
                <w:b/>
                <w:color w:val="000000" w:themeColor="text1"/>
              </w:rPr>
            </w:pPr>
            <w:bookmarkStart w:id="1790" w:name="_Toc472000310"/>
            <w:bookmarkStart w:id="1791" w:name="_Toc472251673"/>
            <w:r w:rsidRPr="0098635C">
              <w:rPr>
                <w:b/>
                <w:color w:val="000000" w:themeColor="text1"/>
              </w:rPr>
              <w:t>Test animals</w:t>
            </w:r>
            <w:bookmarkEnd w:id="1790"/>
            <w:bookmarkEnd w:id="1791"/>
          </w:p>
        </w:tc>
        <w:tc>
          <w:tcPr>
            <w:tcW w:w="2552" w:type="dxa"/>
            <w:vAlign w:val="center"/>
          </w:tcPr>
          <w:p w14:paraId="2A147B5B" w14:textId="77777777" w:rsidR="008D1AE9" w:rsidRPr="0098635C" w:rsidRDefault="008D1AE9" w:rsidP="00AF385A">
            <w:pPr>
              <w:pStyle w:val="NoteLevel211"/>
              <w:rPr>
                <w:b/>
                <w:color w:val="000000" w:themeColor="text1"/>
              </w:rPr>
            </w:pPr>
            <w:bookmarkStart w:id="1792" w:name="_Toc472000311"/>
            <w:bookmarkStart w:id="1793" w:name="_Toc472251674"/>
            <w:r w:rsidRPr="0098635C">
              <w:rPr>
                <w:b/>
                <w:color w:val="000000" w:themeColor="text1"/>
              </w:rPr>
              <w:t>Dose levels</w:t>
            </w:r>
            <w:bookmarkEnd w:id="1792"/>
            <w:bookmarkEnd w:id="1793"/>
          </w:p>
        </w:tc>
        <w:tc>
          <w:tcPr>
            <w:tcW w:w="1275" w:type="dxa"/>
            <w:tcMar>
              <w:top w:w="20" w:type="nil"/>
              <w:left w:w="20" w:type="nil"/>
              <w:bottom w:w="20" w:type="nil"/>
              <w:right w:w="20" w:type="nil"/>
            </w:tcMar>
            <w:vAlign w:val="center"/>
          </w:tcPr>
          <w:p w14:paraId="6ECD0BAD" w14:textId="77777777" w:rsidR="008D1AE9" w:rsidRPr="0098635C" w:rsidRDefault="008D1AE9" w:rsidP="00AF385A">
            <w:pPr>
              <w:pStyle w:val="NoteLevel211"/>
              <w:rPr>
                <w:b/>
                <w:color w:val="000000" w:themeColor="text1"/>
              </w:rPr>
            </w:pPr>
            <w:bookmarkStart w:id="1794" w:name="_Toc472000312"/>
            <w:bookmarkStart w:id="1795" w:name="_Toc472251675"/>
            <w:r w:rsidRPr="0098635C">
              <w:rPr>
                <w:b/>
                <w:color w:val="000000" w:themeColor="text1"/>
              </w:rPr>
              <w:t>Results</w:t>
            </w:r>
            <w:bookmarkEnd w:id="1794"/>
            <w:bookmarkEnd w:id="1795"/>
          </w:p>
        </w:tc>
      </w:tr>
      <w:tr w:rsidR="008D1AE9" w:rsidRPr="0098635C" w14:paraId="4A9D27BB" w14:textId="77777777" w:rsidTr="00AF385A">
        <w:tc>
          <w:tcPr>
            <w:tcW w:w="1310" w:type="dxa"/>
            <w:tcMar>
              <w:top w:w="20" w:type="nil"/>
              <w:left w:w="20" w:type="nil"/>
              <w:bottom w:w="20" w:type="nil"/>
              <w:right w:w="20" w:type="nil"/>
            </w:tcMar>
          </w:tcPr>
          <w:p w14:paraId="52A8F579" w14:textId="77777777" w:rsidR="008D1AE9" w:rsidRPr="0098635C" w:rsidRDefault="008D1AE9" w:rsidP="00AF385A">
            <w:pPr>
              <w:pStyle w:val="NoteLevel211"/>
              <w:jc w:val="left"/>
              <w:rPr>
                <w:color w:val="000000" w:themeColor="text1"/>
              </w:rPr>
            </w:pPr>
            <w:bookmarkStart w:id="1796" w:name="_Toc472000313"/>
            <w:bookmarkStart w:id="1797" w:name="_Toc472251676"/>
            <w:r w:rsidRPr="0098635C">
              <w:rPr>
                <w:color w:val="000000" w:themeColor="text1"/>
              </w:rPr>
              <w:t>Ward PJ (1994)</w:t>
            </w:r>
            <w:bookmarkEnd w:id="1796"/>
            <w:bookmarkEnd w:id="1797"/>
          </w:p>
        </w:tc>
        <w:tc>
          <w:tcPr>
            <w:tcW w:w="1633" w:type="dxa"/>
            <w:tcMar>
              <w:top w:w="20" w:type="nil"/>
              <w:left w:w="20" w:type="nil"/>
              <w:bottom w:w="20" w:type="nil"/>
              <w:right w:w="20" w:type="nil"/>
            </w:tcMar>
          </w:tcPr>
          <w:p w14:paraId="36DE0FE7" w14:textId="77777777" w:rsidR="008D1AE9" w:rsidRPr="0098635C" w:rsidRDefault="008D1AE9" w:rsidP="00AF385A">
            <w:pPr>
              <w:pStyle w:val="NoteLevel211"/>
              <w:jc w:val="left"/>
              <w:rPr>
                <w:color w:val="000000" w:themeColor="text1"/>
              </w:rPr>
            </w:pPr>
            <w:bookmarkStart w:id="1798" w:name="_Toc472000314"/>
            <w:bookmarkStart w:id="1799" w:name="_Toc472251677"/>
            <w:r w:rsidRPr="0098635C">
              <w:rPr>
                <w:color w:val="000000" w:themeColor="text1"/>
              </w:rPr>
              <w:t>Cu</w:t>
            </w:r>
            <w:r w:rsidRPr="0098635C">
              <w:rPr>
                <w:color w:val="000000" w:themeColor="text1"/>
                <w:vertAlign w:val="superscript"/>
              </w:rPr>
              <w:t>2+</w:t>
            </w:r>
            <w:r w:rsidRPr="0098635C">
              <w:rPr>
                <w:color w:val="000000" w:themeColor="text1"/>
              </w:rPr>
              <w:t xml:space="preserve"> as copper sulphate pentahydrate</w:t>
            </w:r>
            <w:bookmarkEnd w:id="1798"/>
            <w:bookmarkEnd w:id="1799"/>
          </w:p>
        </w:tc>
        <w:tc>
          <w:tcPr>
            <w:tcW w:w="1560" w:type="dxa"/>
            <w:tcMar>
              <w:top w:w="20" w:type="nil"/>
              <w:left w:w="20" w:type="nil"/>
              <w:bottom w:w="20" w:type="nil"/>
              <w:right w:w="20" w:type="nil"/>
            </w:tcMar>
          </w:tcPr>
          <w:p w14:paraId="0014EECF" w14:textId="77777777" w:rsidR="008D1AE9" w:rsidRPr="0098635C" w:rsidRDefault="008D1AE9" w:rsidP="00AF385A">
            <w:pPr>
              <w:pStyle w:val="NoteLevel211"/>
              <w:jc w:val="left"/>
              <w:rPr>
                <w:color w:val="000000" w:themeColor="text1"/>
              </w:rPr>
            </w:pPr>
            <w:bookmarkStart w:id="1800" w:name="_Toc472000315"/>
            <w:bookmarkStart w:id="1801" w:name="_Toc472251678"/>
            <w:r w:rsidRPr="0098635C">
              <w:rPr>
                <w:color w:val="000000" w:themeColor="text1"/>
              </w:rPr>
              <w:t>Equivalent to OECD 486 - unscheduled DNA synthesis</w:t>
            </w:r>
            <w:bookmarkEnd w:id="1800"/>
            <w:bookmarkEnd w:id="1801"/>
          </w:p>
        </w:tc>
        <w:tc>
          <w:tcPr>
            <w:tcW w:w="1417" w:type="dxa"/>
          </w:tcPr>
          <w:p w14:paraId="3E1A1F2A" w14:textId="316A651C" w:rsidR="008D1AE9" w:rsidRPr="0098635C" w:rsidRDefault="008D1AE9" w:rsidP="00AF385A">
            <w:pPr>
              <w:pStyle w:val="NoteLevel211"/>
              <w:jc w:val="left"/>
              <w:rPr>
                <w:color w:val="000000" w:themeColor="text1"/>
              </w:rPr>
            </w:pPr>
            <w:bookmarkStart w:id="1802" w:name="_Toc472000316"/>
            <w:bookmarkStart w:id="1803" w:name="_Toc472251679"/>
            <w:r w:rsidRPr="0098635C">
              <w:rPr>
                <w:color w:val="000000" w:themeColor="text1"/>
              </w:rPr>
              <w:t xml:space="preserve">Rat, Wistar, </w:t>
            </w:r>
            <w:r w:rsidR="00495DD6" w:rsidRPr="0098635C">
              <w:rPr>
                <w:color w:val="000000" w:themeColor="text1"/>
              </w:rPr>
              <w:t>6</w:t>
            </w:r>
            <w:r w:rsidRPr="0098635C">
              <w:rPr>
                <w:color w:val="000000" w:themeColor="text1"/>
              </w:rPr>
              <w:t>m</w:t>
            </w:r>
            <w:bookmarkEnd w:id="1802"/>
            <w:bookmarkEnd w:id="1803"/>
          </w:p>
        </w:tc>
        <w:tc>
          <w:tcPr>
            <w:tcW w:w="2552" w:type="dxa"/>
          </w:tcPr>
          <w:p w14:paraId="0B2A6F4B" w14:textId="77777777" w:rsidR="008D1AE9" w:rsidRPr="0098635C" w:rsidRDefault="008D1AE9" w:rsidP="00AF385A">
            <w:pPr>
              <w:pStyle w:val="NoteLevel211"/>
              <w:rPr>
                <w:color w:val="000000" w:themeColor="text1"/>
              </w:rPr>
            </w:pPr>
            <w:bookmarkStart w:id="1804" w:name="_Toc472000317"/>
            <w:bookmarkStart w:id="1805" w:name="_Toc472251680"/>
            <w:r w:rsidRPr="0098635C">
              <w:rPr>
                <w:color w:val="000000" w:themeColor="text1"/>
              </w:rPr>
              <w:t>Oral: gavage</w:t>
            </w:r>
            <w:bookmarkEnd w:id="1804"/>
            <w:bookmarkEnd w:id="1805"/>
          </w:p>
          <w:p w14:paraId="75FC59F9" w14:textId="77777777" w:rsidR="008D1AE9" w:rsidRPr="0098635C" w:rsidRDefault="008D1AE9" w:rsidP="00AF385A">
            <w:pPr>
              <w:pStyle w:val="NoteLevel211"/>
              <w:rPr>
                <w:color w:val="000000" w:themeColor="text1"/>
              </w:rPr>
            </w:pPr>
            <w:bookmarkStart w:id="1806" w:name="_Toc472000318"/>
            <w:bookmarkStart w:id="1807" w:name="_Toc472251681"/>
            <w:r w:rsidRPr="0098635C">
              <w:rPr>
                <w:color w:val="000000" w:themeColor="text1"/>
              </w:rPr>
              <w:t>632.5 or 2000 mg/kg</w:t>
            </w:r>
            <w:bookmarkEnd w:id="1806"/>
            <w:bookmarkEnd w:id="1807"/>
          </w:p>
        </w:tc>
        <w:tc>
          <w:tcPr>
            <w:tcW w:w="1275" w:type="dxa"/>
            <w:tcMar>
              <w:top w:w="20" w:type="nil"/>
              <w:left w:w="20" w:type="nil"/>
              <w:bottom w:w="20" w:type="nil"/>
              <w:right w:w="20" w:type="nil"/>
            </w:tcMar>
          </w:tcPr>
          <w:p w14:paraId="6D149B77" w14:textId="77777777" w:rsidR="008D1AE9" w:rsidRPr="0098635C" w:rsidRDefault="008D1AE9" w:rsidP="00AF385A">
            <w:pPr>
              <w:pStyle w:val="NoteLevel211"/>
              <w:rPr>
                <w:color w:val="000000" w:themeColor="text1"/>
              </w:rPr>
            </w:pPr>
            <w:bookmarkStart w:id="1808" w:name="_Toc472000319"/>
            <w:bookmarkStart w:id="1809" w:name="_Toc472251682"/>
            <w:r w:rsidRPr="0098635C">
              <w:rPr>
                <w:color w:val="000000" w:themeColor="text1"/>
              </w:rPr>
              <w:t>Negative</w:t>
            </w:r>
            <w:bookmarkEnd w:id="1808"/>
            <w:bookmarkEnd w:id="1809"/>
          </w:p>
        </w:tc>
      </w:tr>
      <w:tr w:rsidR="008D1AE9" w:rsidRPr="0098635C" w14:paraId="083A8257" w14:textId="77777777" w:rsidTr="00AF385A">
        <w:tc>
          <w:tcPr>
            <w:tcW w:w="1310" w:type="dxa"/>
            <w:tcMar>
              <w:top w:w="20" w:type="nil"/>
              <w:left w:w="20" w:type="nil"/>
              <w:bottom w:w="20" w:type="nil"/>
              <w:right w:w="20" w:type="nil"/>
            </w:tcMar>
          </w:tcPr>
          <w:p w14:paraId="0A0A0262" w14:textId="77777777" w:rsidR="008D1AE9" w:rsidRPr="0098635C" w:rsidRDefault="008D1AE9" w:rsidP="00AF385A">
            <w:pPr>
              <w:pStyle w:val="NoteLevel211"/>
              <w:jc w:val="left"/>
              <w:rPr>
                <w:color w:val="000000" w:themeColor="text1"/>
              </w:rPr>
            </w:pPr>
            <w:bookmarkStart w:id="1810" w:name="_Toc472000320"/>
            <w:bookmarkStart w:id="1811" w:name="_Toc472251683"/>
            <w:r w:rsidRPr="0098635C">
              <w:rPr>
                <w:color w:val="000000" w:themeColor="text1"/>
              </w:rPr>
              <w:t>Riley SE (1994)</w:t>
            </w:r>
            <w:bookmarkEnd w:id="1810"/>
            <w:bookmarkEnd w:id="1811"/>
          </w:p>
        </w:tc>
        <w:tc>
          <w:tcPr>
            <w:tcW w:w="1633" w:type="dxa"/>
            <w:tcMar>
              <w:top w:w="20" w:type="nil"/>
              <w:left w:w="20" w:type="nil"/>
              <w:bottom w:w="20" w:type="nil"/>
              <w:right w:w="20" w:type="nil"/>
            </w:tcMar>
          </w:tcPr>
          <w:p w14:paraId="3D0A2E16" w14:textId="77777777" w:rsidR="008D1AE9" w:rsidRPr="0098635C" w:rsidRDefault="008D1AE9" w:rsidP="00AF385A">
            <w:pPr>
              <w:pStyle w:val="NoteLevel211"/>
              <w:jc w:val="left"/>
              <w:rPr>
                <w:color w:val="000000" w:themeColor="text1"/>
              </w:rPr>
            </w:pPr>
            <w:bookmarkStart w:id="1812" w:name="_Toc472000321"/>
            <w:bookmarkStart w:id="1813" w:name="_Toc472251684"/>
            <w:r w:rsidRPr="0098635C">
              <w:rPr>
                <w:color w:val="000000" w:themeColor="text1"/>
              </w:rPr>
              <w:t>Cu</w:t>
            </w:r>
            <w:r w:rsidRPr="0098635C">
              <w:rPr>
                <w:color w:val="000000" w:themeColor="text1"/>
                <w:vertAlign w:val="superscript"/>
              </w:rPr>
              <w:t>2+</w:t>
            </w:r>
            <w:r w:rsidRPr="0098635C">
              <w:rPr>
                <w:color w:val="000000" w:themeColor="text1"/>
              </w:rPr>
              <w:t xml:space="preserve"> as copper sulphate pentahydrate</w:t>
            </w:r>
            <w:bookmarkEnd w:id="1812"/>
            <w:bookmarkEnd w:id="1813"/>
          </w:p>
        </w:tc>
        <w:tc>
          <w:tcPr>
            <w:tcW w:w="1560" w:type="dxa"/>
            <w:tcMar>
              <w:top w:w="20" w:type="nil"/>
              <w:left w:w="20" w:type="nil"/>
              <w:bottom w:w="20" w:type="nil"/>
              <w:right w:w="20" w:type="nil"/>
            </w:tcMar>
          </w:tcPr>
          <w:p w14:paraId="4A96DC95" w14:textId="77777777" w:rsidR="008D1AE9" w:rsidRPr="0098635C" w:rsidRDefault="008D1AE9" w:rsidP="00AF385A">
            <w:pPr>
              <w:pStyle w:val="NoteLevel211"/>
              <w:jc w:val="left"/>
              <w:rPr>
                <w:color w:val="000000" w:themeColor="text1"/>
                <w:lang w:val="fr-FR"/>
              </w:rPr>
            </w:pPr>
            <w:bookmarkStart w:id="1814" w:name="_Toc472000322"/>
            <w:bookmarkStart w:id="1815" w:name="_Toc472251685"/>
            <w:r w:rsidRPr="0098635C">
              <w:rPr>
                <w:color w:val="000000" w:themeColor="text1"/>
                <w:lang w:val="fr-FR"/>
              </w:rPr>
              <w:t>EU method B.12 - micronucleus assay</w:t>
            </w:r>
            <w:bookmarkEnd w:id="1814"/>
            <w:bookmarkEnd w:id="1815"/>
          </w:p>
        </w:tc>
        <w:tc>
          <w:tcPr>
            <w:tcW w:w="1417" w:type="dxa"/>
          </w:tcPr>
          <w:p w14:paraId="5A71CC16" w14:textId="5BE0CB78" w:rsidR="008D1AE9" w:rsidRPr="0098635C" w:rsidRDefault="008D1AE9" w:rsidP="00AF385A">
            <w:pPr>
              <w:pStyle w:val="NoteLevel211"/>
              <w:jc w:val="left"/>
              <w:rPr>
                <w:color w:val="000000" w:themeColor="text1"/>
              </w:rPr>
            </w:pPr>
            <w:bookmarkStart w:id="1816" w:name="_Toc472000323"/>
            <w:bookmarkStart w:id="1817" w:name="_Toc472251686"/>
            <w:r w:rsidRPr="0098635C">
              <w:rPr>
                <w:color w:val="000000" w:themeColor="text1"/>
              </w:rPr>
              <w:t xml:space="preserve">Mouse CD-1 </w:t>
            </w:r>
            <w:r w:rsidR="00495DD6" w:rsidRPr="0098635C">
              <w:rPr>
                <w:color w:val="000000" w:themeColor="text1"/>
              </w:rPr>
              <w:t>15</w:t>
            </w:r>
            <w:r w:rsidRPr="0098635C">
              <w:rPr>
                <w:color w:val="000000" w:themeColor="text1"/>
              </w:rPr>
              <w:t>m</w:t>
            </w:r>
            <w:r w:rsidR="00495DD6" w:rsidRPr="0098635C">
              <w:rPr>
                <w:color w:val="000000" w:themeColor="text1"/>
              </w:rPr>
              <w:t xml:space="preserve"> and 15</w:t>
            </w:r>
            <w:r w:rsidRPr="0098635C">
              <w:rPr>
                <w:color w:val="000000" w:themeColor="text1"/>
              </w:rPr>
              <w:t>f</w:t>
            </w:r>
            <w:bookmarkEnd w:id="1816"/>
            <w:bookmarkEnd w:id="1817"/>
          </w:p>
          <w:p w14:paraId="18990AC3" w14:textId="65D181B8" w:rsidR="00495DD6" w:rsidRPr="0098635C" w:rsidRDefault="00495DD6" w:rsidP="00495DD6">
            <w:pPr>
              <w:pStyle w:val="NoteLevel211"/>
              <w:jc w:val="left"/>
              <w:rPr>
                <w:color w:val="000000" w:themeColor="text1"/>
              </w:rPr>
            </w:pPr>
          </w:p>
        </w:tc>
        <w:tc>
          <w:tcPr>
            <w:tcW w:w="2552" w:type="dxa"/>
          </w:tcPr>
          <w:p w14:paraId="423E8B05" w14:textId="77777777" w:rsidR="008D1AE9" w:rsidRPr="0098635C" w:rsidRDefault="008D1AE9" w:rsidP="00AF385A">
            <w:pPr>
              <w:pStyle w:val="NoteLevel211"/>
              <w:rPr>
                <w:color w:val="000000" w:themeColor="text1"/>
              </w:rPr>
            </w:pPr>
            <w:bookmarkStart w:id="1818" w:name="_Toc472000324"/>
            <w:bookmarkStart w:id="1819" w:name="_Toc472251687"/>
            <w:r w:rsidRPr="0098635C">
              <w:rPr>
                <w:color w:val="000000" w:themeColor="text1"/>
              </w:rPr>
              <w:t>Oral: gavage</w:t>
            </w:r>
            <w:bookmarkEnd w:id="1818"/>
            <w:bookmarkEnd w:id="1819"/>
          </w:p>
          <w:p w14:paraId="746810C9" w14:textId="77777777" w:rsidR="008D1AE9" w:rsidRPr="0098635C" w:rsidRDefault="008D1AE9" w:rsidP="00AF385A">
            <w:pPr>
              <w:pStyle w:val="NoteLevel211"/>
              <w:rPr>
                <w:color w:val="000000" w:themeColor="text1"/>
              </w:rPr>
            </w:pPr>
            <w:bookmarkStart w:id="1820" w:name="_Toc472000325"/>
            <w:bookmarkStart w:id="1821" w:name="_Toc472251688"/>
            <w:r w:rsidRPr="0098635C">
              <w:rPr>
                <w:color w:val="000000" w:themeColor="text1"/>
              </w:rPr>
              <w:t>447 mg/kg</w:t>
            </w:r>
            <w:bookmarkEnd w:id="1820"/>
            <w:bookmarkEnd w:id="1821"/>
          </w:p>
        </w:tc>
        <w:tc>
          <w:tcPr>
            <w:tcW w:w="1275" w:type="dxa"/>
            <w:tcMar>
              <w:top w:w="20" w:type="nil"/>
              <w:left w:w="20" w:type="nil"/>
              <w:bottom w:w="20" w:type="nil"/>
              <w:right w:w="20" w:type="nil"/>
            </w:tcMar>
          </w:tcPr>
          <w:p w14:paraId="5758E448" w14:textId="77777777" w:rsidR="008D1AE9" w:rsidRPr="0098635C" w:rsidRDefault="008D1AE9" w:rsidP="00AF385A">
            <w:pPr>
              <w:pStyle w:val="NoteLevel211"/>
              <w:rPr>
                <w:color w:val="000000" w:themeColor="text1"/>
              </w:rPr>
            </w:pPr>
            <w:bookmarkStart w:id="1822" w:name="_Toc472000326"/>
            <w:bookmarkStart w:id="1823" w:name="_Toc472251689"/>
            <w:r w:rsidRPr="0098635C">
              <w:rPr>
                <w:color w:val="000000" w:themeColor="text1"/>
              </w:rPr>
              <w:t>Negative</w:t>
            </w:r>
            <w:bookmarkEnd w:id="1822"/>
            <w:bookmarkEnd w:id="1823"/>
          </w:p>
        </w:tc>
      </w:tr>
    </w:tbl>
    <w:p w14:paraId="47A6F176" w14:textId="77777777" w:rsidR="008D1AE9" w:rsidRPr="0098635C" w:rsidRDefault="008D1AE9" w:rsidP="008D1AE9">
      <w:pPr>
        <w:pStyle w:val="Heading9"/>
        <w:rPr>
          <w:iCs/>
          <w:color w:val="000000" w:themeColor="text1"/>
          <w:sz w:val="20"/>
          <w:szCs w:val="20"/>
        </w:rPr>
      </w:pPr>
    </w:p>
    <w:p w14:paraId="43FCB44B" w14:textId="77777777" w:rsidR="00A352A5" w:rsidRPr="0098635C" w:rsidRDefault="008D1AE9" w:rsidP="00970650">
      <w:pPr>
        <w:rPr>
          <w:color w:val="000000" w:themeColor="text1"/>
          <w:sz w:val="20"/>
          <w:szCs w:val="20"/>
        </w:rPr>
      </w:pPr>
      <w:r w:rsidRPr="0098635C">
        <w:rPr>
          <w:color w:val="000000" w:themeColor="text1"/>
          <w:sz w:val="20"/>
          <w:szCs w:val="20"/>
        </w:rPr>
        <w:t xml:space="preserve">Based on these findings it can be concluded that copper sulphate pentahydrate, copper and other copper compounds are not considered genotoxic. </w:t>
      </w:r>
    </w:p>
    <w:p w14:paraId="4F610790" w14:textId="33C1A0B7" w:rsidR="008D1AE9" w:rsidRPr="0098635C" w:rsidRDefault="008D1AE9" w:rsidP="00970650">
      <w:pPr>
        <w:rPr>
          <w:color w:val="000000" w:themeColor="text1"/>
          <w:sz w:val="20"/>
          <w:szCs w:val="20"/>
        </w:rPr>
      </w:pPr>
      <w:r w:rsidRPr="0098635C">
        <w:rPr>
          <w:color w:val="000000" w:themeColor="text1"/>
          <w:sz w:val="20"/>
          <w:szCs w:val="20"/>
        </w:rPr>
        <w:t xml:space="preserve">Additional </w:t>
      </w:r>
      <w:r w:rsidRPr="0098635C">
        <w:rPr>
          <w:rFonts w:ascii="Times" w:hAnsi="Times" w:cs="Times"/>
          <w:i/>
          <w:iCs/>
          <w:color w:val="000000" w:themeColor="text1"/>
          <w:sz w:val="20"/>
          <w:szCs w:val="20"/>
        </w:rPr>
        <w:t xml:space="preserve">in vivo </w:t>
      </w:r>
      <w:r w:rsidRPr="0098635C">
        <w:rPr>
          <w:color w:val="000000" w:themeColor="text1"/>
          <w:sz w:val="20"/>
          <w:szCs w:val="20"/>
        </w:rPr>
        <w:t xml:space="preserve">genotoxicity studies have been identified in open literature, but these studies do not meet the high-quality criteria and are only mentioned for reasons of completeness, e.g. studies conducted by </w:t>
      </w:r>
      <w:r w:rsidRPr="0098635C">
        <w:rPr>
          <w:snapToGrid w:val="0"/>
          <w:color w:val="000000" w:themeColor="text1"/>
          <w:sz w:val="20"/>
          <w:szCs w:val="20"/>
        </w:rPr>
        <w:t xml:space="preserve">Agarwal </w:t>
      </w:r>
      <w:r w:rsidRPr="0098635C">
        <w:rPr>
          <w:i/>
          <w:snapToGrid w:val="0"/>
          <w:color w:val="000000" w:themeColor="text1"/>
          <w:sz w:val="20"/>
          <w:szCs w:val="20"/>
        </w:rPr>
        <w:t>et al,</w:t>
      </w:r>
      <w:r w:rsidRPr="0098635C">
        <w:rPr>
          <w:snapToGrid w:val="0"/>
          <w:color w:val="000000" w:themeColor="text1"/>
          <w:sz w:val="20"/>
          <w:szCs w:val="20"/>
        </w:rPr>
        <w:t xml:space="preserve"> (1990), Tinwell and Ashby (1990), Bhunya and Pati (1987), and Rusov et al (1997) who administered cupric (I) acetate via ip injections. </w:t>
      </w:r>
      <w:r w:rsidR="001370E9" w:rsidRPr="0098635C">
        <w:rPr>
          <w:color w:val="000000" w:themeColor="text1"/>
          <w:sz w:val="20"/>
          <w:szCs w:val="20"/>
        </w:rPr>
        <w:t>When toxicity studies are conducted with i.p. route of administration, they bypass the normal uptake and distribution mechanism that is specifically designed to protect the a</w:t>
      </w:r>
      <w:r w:rsidR="00A4569E" w:rsidRPr="0098635C">
        <w:rPr>
          <w:color w:val="000000" w:themeColor="text1"/>
          <w:sz w:val="20"/>
          <w:szCs w:val="20"/>
        </w:rPr>
        <w:t>nimal from the toxic/reactive copper</w:t>
      </w:r>
      <w:r w:rsidR="001370E9" w:rsidRPr="0098635C">
        <w:rPr>
          <w:color w:val="000000" w:themeColor="text1"/>
          <w:sz w:val="20"/>
          <w:szCs w:val="20"/>
        </w:rPr>
        <w:t xml:space="preserve"> ion. </w:t>
      </w:r>
      <w:r w:rsidR="00970650" w:rsidRPr="0098635C">
        <w:rPr>
          <w:color w:val="000000" w:themeColor="text1"/>
          <w:sz w:val="20"/>
          <w:szCs w:val="20"/>
        </w:rPr>
        <w:t xml:space="preserve">The VRAR (2008) provides a full review of these studies and the </w:t>
      </w:r>
      <w:r w:rsidR="003C1105" w:rsidRPr="0098635C">
        <w:rPr>
          <w:color w:val="000000" w:themeColor="text1"/>
          <w:sz w:val="20"/>
          <w:szCs w:val="20"/>
        </w:rPr>
        <w:t>discussion on the unsuitability</w:t>
      </w:r>
      <w:r w:rsidR="00970650" w:rsidRPr="0098635C">
        <w:rPr>
          <w:color w:val="000000" w:themeColor="text1"/>
          <w:sz w:val="20"/>
          <w:szCs w:val="20"/>
        </w:rPr>
        <w:t xml:space="preserve"> of these studies.</w:t>
      </w:r>
      <w:r w:rsidRPr="0098635C">
        <w:rPr>
          <w:snapToGrid w:val="0"/>
          <w:color w:val="000000" w:themeColor="text1"/>
          <w:sz w:val="20"/>
          <w:szCs w:val="20"/>
        </w:rPr>
        <w:t xml:space="preserve"> </w:t>
      </w:r>
    </w:p>
    <w:p w14:paraId="586BF7CD" w14:textId="77777777" w:rsidR="008D1AE9" w:rsidRPr="0098635C" w:rsidRDefault="008D1AE9" w:rsidP="008D1AE9">
      <w:pPr>
        <w:pStyle w:val="Heading8"/>
        <w:rPr>
          <w:color w:val="000000" w:themeColor="text1"/>
          <w:sz w:val="20"/>
          <w:szCs w:val="20"/>
        </w:rPr>
      </w:pPr>
      <w:r w:rsidRPr="0098635C">
        <w:rPr>
          <w:color w:val="000000" w:themeColor="text1"/>
          <w:sz w:val="20"/>
          <w:szCs w:val="20"/>
        </w:rPr>
        <w:lastRenderedPageBreak/>
        <w:t>Conclusion</w:t>
      </w:r>
    </w:p>
    <w:p w14:paraId="6B148F17" w14:textId="6F2CBA9C" w:rsidR="00407FEC" w:rsidRPr="0098635C" w:rsidRDefault="008D1AE9" w:rsidP="001370E9">
      <w:pPr>
        <w:pStyle w:val="BodyText"/>
        <w:rPr>
          <w:color w:val="000000" w:themeColor="text1"/>
          <w:sz w:val="20"/>
        </w:rPr>
      </w:pPr>
      <w:r w:rsidRPr="0098635C">
        <w:rPr>
          <w:color w:val="000000" w:themeColor="text1"/>
          <w:sz w:val="20"/>
        </w:rPr>
        <w:t xml:space="preserve">Consideration of the weight of evidence from </w:t>
      </w:r>
      <w:r w:rsidRPr="0098635C">
        <w:rPr>
          <w:i/>
          <w:color w:val="000000" w:themeColor="text1"/>
          <w:sz w:val="20"/>
        </w:rPr>
        <w:t>in vitro</w:t>
      </w:r>
      <w:r w:rsidRPr="0098635C">
        <w:rPr>
          <w:color w:val="000000" w:themeColor="text1"/>
          <w:sz w:val="20"/>
        </w:rPr>
        <w:t xml:space="preserve"> and </w:t>
      </w:r>
      <w:r w:rsidRPr="0098635C">
        <w:rPr>
          <w:i/>
          <w:color w:val="000000" w:themeColor="text1"/>
          <w:sz w:val="20"/>
        </w:rPr>
        <w:t>in vivo</w:t>
      </w:r>
      <w:r w:rsidRPr="0098635C">
        <w:rPr>
          <w:color w:val="000000" w:themeColor="text1"/>
          <w:sz w:val="20"/>
        </w:rPr>
        <w:t xml:space="preserve"> tests, with greatest emphasis being placed on those </w:t>
      </w:r>
      <w:r w:rsidRPr="0098635C">
        <w:rPr>
          <w:i/>
          <w:color w:val="000000" w:themeColor="text1"/>
          <w:sz w:val="20"/>
        </w:rPr>
        <w:t>in vivo</w:t>
      </w:r>
      <w:r w:rsidRPr="0098635C">
        <w:rPr>
          <w:color w:val="000000" w:themeColor="text1"/>
          <w:sz w:val="20"/>
        </w:rPr>
        <w:t xml:space="preserve"> tests which had the highest study rating, leads to the conclusion that copper sulphate is not mutagenic. </w:t>
      </w:r>
      <w:r w:rsidRPr="0098635C">
        <w:rPr>
          <w:snapToGrid w:val="0"/>
          <w:color w:val="000000" w:themeColor="text1"/>
          <w:sz w:val="20"/>
        </w:rPr>
        <w:t xml:space="preserve">Results from </w:t>
      </w:r>
      <w:r w:rsidRPr="0098635C">
        <w:rPr>
          <w:i/>
          <w:snapToGrid w:val="0"/>
          <w:color w:val="000000" w:themeColor="text1"/>
          <w:sz w:val="20"/>
        </w:rPr>
        <w:t>in vitro</w:t>
      </w:r>
      <w:r w:rsidRPr="0098635C">
        <w:rPr>
          <w:snapToGrid w:val="0"/>
          <w:color w:val="000000" w:themeColor="text1"/>
          <w:sz w:val="20"/>
        </w:rPr>
        <w:t xml:space="preserve"> mammalian cell tests show that copper sulphate is genotoxic only at high, cytotoxic concentrations.  </w:t>
      </w:r>
      <w:r w:rsidRPr="0098635C">
        <w:rPr>
          <w:color w:val="000000" w:themeColor="text1"/>
          <w:sz w:val="20"/>
        </w:rPr>
        <w:t>Taking into account the acute and repeated dose toxicity data reviewed in this report, and in consideration of toxicokinetic data, read across from copper sulphate to the other copper substances is justified</w:t>
      </w:r>
      <w:r w:rsidR="006651BC" w:rsidRPr="0098635C">
        <w:rPr>
          <w:color w:val="000000" w:themeColor="text1"/>
          <w:sz w:val="20"/>
        </w:rPr>
        <w:t>.</w:t>
      </w:r>
      <w:r w:rsidR="001370E9" w:rsidRPr="0098635C">
        <w:rPr>
          <w:color w:val="000000" w:themeColor="text1"/>
          <w:sz w:val="20"/>
        </w:rPr>
        <w:t xml:space="preserve"> </w:t>
      </w:r>
    </w:p>
    <w:p w14:paraId="5EB6EDB6" w14:textId="77777777" w:rsidR="008D1AE9" w:rsidRPr="0098635C" w:rsidRDefault="008D1AE9" w:rsidP="008D1AE9">
      <w:pPr>
        <w:pStyle w:val="Heading3"/>
        <w:rPr>
          <w:color w:val="000000" w:themeColor="text1"/>
          <w:sz w:val="20"/>
        </w:rPr>
      </w:pPr>
      <w:bookmarkStart w:id="1824" w:name="_Toc32726035"/>
      <w:bookmarkStart w:id="1825" w:name="_Toc32727218"/>
      <w:bookmarkStart w:id="1826" w:name="_Toc43868666"/>
      <w:bookmarkStart w:id="1827" w:name="_Toc200358254"/>
      <w:bookmarkStart w:id="1828" w:name="_Toc200359270"/>
      <w:bookmarkStart w:id="1829" w:name="_Toc260063683"/>
      <w:bookmarkStart w:id="1830" w:name="_Toc472000327"/>
      <w:bookmarkStart w:id="1831" w:name="_Toc472251690"/>
      <w:r w:rsidRPr="0098635C">
        <w:rPr>
          <w:color w:val="000000" w:themeColor="text1"/>
          <w:sz w:val="20"/>
        </w:rPr>
        <w:t>Carcinogenicity</w:t>
      </w:r>
      <w:bookmarkEnd w:id="1824"/>
      <w:bookmarkEnd w:id="1825"/>
      <w:bookmarkEnd w:id="1826"/>
      <w:bookmarkEnd w:id="1827"/>
      <w:bookmarkEnd w:id="1828"/>
      <w:bookmarkEnd w:id="1829"/>
      <w:bookmarkEnd w:id="1830"/>
      <w:bookmarkEnd w:id="1831"/>
    </w:p>
    <w:p w14:paraId="2ACA43E6" w14:textId="77777777" w:rsidR="008D1AE9" w:rsidRPr="0098635C" w:rsidRDefault="008D1AE9" w:rsidP="008D1AE9">
      <w:pPr>
        <w:pStyle w:val="Heading8"/>
        <w:rPr>
          <w:color w:val="000000" w:themeColor="text1"/>
          <w:sz w:val="20"/>
          <w:szCs w:val="20"/>
        </w:rPr>
      </w:pPr>
      <w:r w:rsidRPr="0098635C">
        <w:rPr>
          <w:i/>
          <w:iCs/>
          <w:color w:val="000000" w:themeColor="text1"/>
          <w:sz w:val="20"/>
          <w:szCs w:val="20"/>
        </w:rPr>
        <w:t>In vitro</w:t>
      </w:r>
      <w:r w:rsidRPr="0098635C">
        <w:rPr>
          <w:color w:val="000000" w:themeColor="text1"/>
          <w:sz w:val="20"/>
          <w:szCs w:val="20"/>
        </w:rPr>
        <w:t xml:space="preserve"> Studies</w:t>
      </w:r>
    </w:p>
    <w:p w14:paraId="2C9B8DCC" w14:textId="77777777" w:rsidR="008D1AE9" w:rsidRPr="0098635C" w:rsidRDefault="008D1AE9" w:rsidP="008D1AE9">
      <w:pPr>
        <w:pStyle w:val="BodyText"/>
        <w:rPr>
          <w:color w:val="000000" w:themeColor="text1"/>
          <w:sz w:val="20"/>
        </w:rPr>
      </w:pPr>
      <w:r w:rsidRPr="0098635C">
        <w:rPr>
          <w:color w:val="000000" w:themeColor="text1"/>
          <w:sz w:val="20"/>
        </w:rPr>
        <w:t>There are no data available for this type of tests</w:t>
      </w:r>
    </w:p>
    <w:p w14:paraId="669B8A46" w14:textId="77777777" w:rsidR="008D1AE9" w:rsidRPr="0098635C" w:rsidRDefault="008D1AE9" w:rsidP="008D1AE9">
      <w:pPr>
        <w:pStyle w:val="Heading8"/>
        <w:rPr>
          <w:color w:val="000000" w:themeColor="text1"/>
          <w:sz w:val="20"/>
          <w:szCs w:val="20"/>
        </w:rPr>
      </w:pPr>
      <w:r w:rsidRPr="0098635C">
        <w:rPr>
          <w:i/>
          <w:iCs/>
          <w:color w:val="000000" w:themeColor="text1"/>
          <w:sz w:val="20"/>
          <w:szCs w:val="20"/>
        </w:rPr>
        <w:t>In vivo</w:t>
      </w:r>
      <w:r w:rsidRPr="0098635C">
        <w:rPr>
          <w:color w:val="000000" w:themeColor="text1"/>
          <w:sz w:val="20"/>
          <w:szCs w:val="20"/>
        </w:rPr>
        <w:t xml:space="preserve"> Studies in Animals</w:t>
      </w:r>
    </w:p>
    <w:p w14:paraId="78147DFC" w14:textId="7C481323" w:rsidR="008D1AE9" w:rsidRPr="0098635C" w:rsidRDefault="008D1AE9" w:rsidP="008D1AE9">
      <w:pPr>
        <w:pStyle w:val="BodyText"/>
        <w:rPr>
          <w:color w:val="000000" w:themeColor="text1"/>
          <w:sz w:val="20"/>
        </w:rPr>
      </w:pPr>
      <w:r w:rsidRPr="0098635C">
        <w:rPr>
          <w:color w:val="000000" w:themeColor="text1"/>
          <w:sz w:val="20"/>
        </w:rPr>
        <w:t xml:space="preserve">The potential carcinogenicity of copper compounds in animals has not been well studied.  Available studies on the carcinogenicity of copper compounds in animals are listed in </w:t>
      </w:r>
      <w:r w:rsidR="00E230FB" w:rsidRPr="0098635C">
        <w:rPr>
          <w:color w:val="000000" w:themeColor="text1"/>
          <w:sz w:val="20"/>
        </w:rPr>
        <w:fldChar w:fldCharType="begin"/>
      </w:r>
      <w:r w:rsidRPr="0098635C">
        <w:rPr>
          <w:color w:val="000000" w:themeColor="text1"/>
          <w:sz w:val="20"/>
        </w:rPr>
        <w:instrText xml:space="preserve"> REF _Ref260389935 \h </w:instrText>
      </w:r>
      <w:r w:rsidR="00F0480E" w:rsidRPr="0098635C">
        <w:rPr>
          <w:color w:val="000000" w:themeColor="text1"/>
          <w:sz w:val="20"/>
        </w:rPr>
        <w:instrText xml:space="preserve"> \* MERGEFORMAT </w:instrText>
      </w:r>
      <w:r w:rsidR="00E230FB" w:rsidRPr="0098635C">
        <w:rPr>
          <w:color w:val="000000" w:themeColor="text1"/>
          <w:sz w:val="20"/>
        </w:rPr>
      </w:r>
      <w:r w:rsidR="00E230FB" w:rsidRPr="0098635C">
        <w:rPr>
          <w:color w:val="000000" w:themeColor="text1"/>
          <w:sz w:val="20"/>
        </w:rPr>
        <w:fldChar w:fldCharType="separate"/>
      </w:r>
      <w:r w:rsidR="005E5161" w:rsidRPr="0098635C">
        <w:rPr>
          <w:color w:val="000000" w:themeColor="text1"/>
          <w:sz w:val="20"/>
        </w:rPr>
        <w:t xml:space="preserve">Table </w:t>
      </w:r>
      <w:r w:rsidR="005E5161" w:rsidRPr="0098635C">
        <w:rPr>
          <w:noProof/>
          <w:color w:val="000000" w:themeColor="text1"/>
          <w:sz w:val="20"/>
        </w:rPr>
        <w:t>22</w:t>
      </w:r>
      <w:r w:rsidR="00E230FB" w:rsidRPr="0098635C">
        <w:rPr>
          <w:color w:val="000000" w:themeColor="text1"/>
          <w:sz w:val="20"/>
        </w:rPr>
        <w:fldChar w:fldCharType="end"/>
      </w:r>
      <w:r w:rsidRPr="0098635C">
        <w:rPr>
          <w:color w:val="000000" w:themeColor="text1"/>
          <w:sz w:val="20"/>
        </w:rPr>
        <w:t xml:space="preserve"> together with a rating based on the evaluation criteria developed by Klimisch et al (1997). The poor design of these studies (inadequate numbers of animals, inappropriate exposure route, insufficient dose levels, and/or limited histopathological investigations) severely limits the conclusions that can be drawn.  Nonetheless, the available studies give no indication that copper compounds are carcinogenic in rats or mice.  </w:t>
      </w:r>
    </w:p>
    <w:p w14:paraId="45323597" w14:textId="20FCC8E0" w:rsidR="008D1AE9" w:rsidRPr="0098635C" w:rsidRDefault="008D1AE9" w:rsidP="00586794">
      <w:pPr>
        <w:pStyle w:val="Caption"/>
        <w:ind w:left="0"/>
        <w:jc w:val="center"/>
        <w:rPr>
          <w:rStyle w:val="TableheadingChar"/>
          <w:b/>
          <w:bCs/>
          <w:color w:val="000000" w:themeColor="text1"/>
          <w:sz w:val="20"/>
          <w:szCs w:val="20"/>
        </w:rPr>
      </w:pPr>
      <w:bookmarkStart w:id="1832" w:name="_Ref260389935"/>
      <w:r w:rsidRPr="0098635C">
        <w:rPr>
          <w:b w:val="0"/>
          <w:color w:val="000000" w:themeColor="text1"/>
          <w:sz w:val="20"/>
        </w:rPr>
        <w:t xml:space="preserve">Table </w:t>
      </w:r>
      <w:r w:rsidR="00E230FB" w:rsidRPr="0098635C">
        <w:rPr>
          <w:b w:val="0"/>
          <w:color w:val="000000" w:themeColor="text1"/>
          <w:sz w:val="20"/>
        </w:rPr>
        <w:fldChar w:fldCharType="begin"/>
      </w:r>
      <w:r w:rsidRPr="0098635C">
        <w:rPr>
          <w:b w:val="0"/>
          <w:color w:val="000000" w:themeColor="text1"/>
          <w:sz w:val="20"/>
        </w:rPr>
        <w:instrText xml:space="preserve"> SEQ Table \* ARABIC </w:instrText>
      </w:r>
      <w:r w:rsidR="00E230FB" w:rsidRPr="0098635C">
        <w:rPr>
          <w:b w:val="0"/>
          <w:color w:val="000000" w:themeColor="text1"/>
          <w:sz w:val="20"/>
        </w:rPr>
        <w:fldChar w:fldCharType="separate"/>
      </w:r>
      <w:r w:rsidR="005E5161" w:rsidRPr="0098635C">
        <w:rPr>
          <w:b w:val="0"/>
          <w:noProof/>
          <w:color w:val="000000" w:themeColor="text1"/>
          <w:sz w:val="20"/>
        </w:rPr>
        <w:t>22</w:t>
      </w:r>
      <w:r w:rsidR="00E230FB" w:rsidRPr="0098635C">
        <w:rPr>
          <w:b w:val="0"/>
          <w:color w:val="000000" w:themeColor="text1"/>
          <w:sz w:val="20"/>
        </w:rPr>
        <w:fldChar w:fldCharType="end"/>
      </w:r>
      <w:bookmarkEnd w:id="1832"/>
      <w:r w:rsidRPr="0098635C">
        <w:rPr>
          <w:b w:val="0"/>
          <w:color w:val="000000" w:themeColor="text1"/>
          <w:sz w:val="20"/>
        </w:rPr>
        <w:t>: Summary of carcinogenicity studies</w:t>
      </w:r>
    </w:p>
    <w:tbl>
      <w:tblPr>
        <w:tblW w:w="10083" w:type="dxa"/>
        <w:tblInd w:w="-1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3704"/>
        <w:gridCol w:w="4394"/>
      </w:tblGrid>
      <w:tr w:rsidR="008D1AE9" w:rsidRPr="0098635C" w14:paraId="57BBAD31" w14:textId="77777777" w:rsidTr="00926614">
        <w:tc>
          <w:tcPr>
            <w:tcW w:w="1985" w:type="dxa"/>
          </w:tcPr>
          <w:p w14:paraId="323EC43D" w14:textId="77777777" w:rsidR="008D1AE9" w:rsidRPr="0098635C" w:rsidRDefault="008D1AE9" w:rsidP="00AF385A">
            <w:pPr>
              <w:pStyle w:val="Tablebody"/>
              <w:rPr>
                <w:rFonts w:ascii="Times New Roman" w:hAnsi="Times New Roman"/>
                <w:b/>
                <w:color w:val="000000" w:themeColor="text1"/>
                <w:sz w:val="20"/>
                <w:szCs w:val="20"/>
              </w:rPr>
            </w:pPr>
            <w:r w:rsidRPr="0098635C">
              <w:rPr>
                <w:rFonts w:ascii="Times New Roman" w:hAnsi="Times New Roman"/>
                <w:b/>
                <w:color w:val="000000" w:themeColor="text1"/>
                <w:sz w:val="20"/>
                <w:szCs w:val="20"/>
              </w:rPr>
              <w:t>Reference</w:t>
            </w:r>
          </w:p>
        </w:tc>
        <w:tc>
          <w:tcPr>
            <w:tcW w:w="3704" w:type="dxa"/>
          </w:tcPr>
          <w:p w14:paraId="2CFB1E98" w14:textId="77777777" w:rsidR="008D1AE9" w:rsidRPr="0098635C" w:rsidRDefault="008D1AE9" w:rsidP="00AF385A">
            <w:pPr>
              <w:pStyle w:val="Tablebody"/>
              <w:rPr>
                <w:rFonts w:ascii="Times New Roman" w:hAnsi="Times New Roman"/>
                <w:b/>
                <w:color w:val="000000" w:themeColor="text1"/>
                <w:sz w:val="20"/>
                <w:szCs w:val="20"/>
              </w:rPr>
            </w:pPr>
            <w:r w:rsidRPr="0098635C">
              <w:rPr>
                <w:rFonts w:ascii="Times New Roman" w:hAnsi="Times New Roman"/>
                <w:b/>
                <w:color w:val="000000" w:themeColor="text1"/>
                <w:sz w:val="20"/>
                <w:szCs w:val="20"/>
              </w:rPr>
              <w:t>Species</w:t>
            </w:r>
          </w:p>
        </w:tc>
        <w:tc>
          <w:tcPr>
            <w:tcW w:w="4394" w:type="dxa"/>
          </w:tcPr>
          <w:p w14:paraId="38D17D2B" w14:textId="77777777" w:rsidR="008D1AE9" w:rsidRPr="0098635C" w:rsidRDefault="008D1AE9" w:rsidP="00AF385A">
            <w:pPr>
              <w:pStyle w:val="Tablebody"/>
              <w:rPr>
                <w:rFonts w:ascii="Times New Roman" w:hAnsi="Times New Roman"/>
                <w:b/>
                <w:color w:val="000000" w:themeColor="text1"/>
                <w:sz w:val="20"/>
                <w:szCs w:val="20"/>
              </w:rPr>
            </w:pPr>
            <w:r w:rsidRPr="0098635C">
              <w:rPr>
                <w:rFonts w:ascii="Times New Roman" w:hAnsi="Times New Roman"/>
                <w:b/>
                <w:color w:val="000000" w:themeColor="text1"/>
                <w:sz w:val="20"/>
                <w:szCs w:val="20"/>
              </w:rPr>
              <w:t>Conclusions</w:t>
            </w:r>
          </w:p>
        </w:tc>
      </w:tr>
      <w:tr w:rsidR="008D1AE9" w:rsidRPr="0098635C" w14:paraId="1E203432" w14:textId="77777777" w:rsidTr="00926614">
        <w:tc>
          <w:tcPr>
            <w:tcW w:w="1985" w:type="dxa"/>
          </w:tcPr>
          <w:p w14:paraId="55F01115"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Stoner </w:t>
            </w:r>
            <w:r w:rsidRPr="0098635C">
              <w:rPr>
                <w:rFonts w:ascii="Times New Roman" w:hAnsi="Times New Roman"/>
                <w:i/>
                <w:color w:val="000000" w:themeColor="text1"/>
                <w:sz w:val="20"/>
                <w:szCs w:val="20"/>
              </w:rPr>
              <w:t>et al</w:t>
            </w:r>
            <w:r w:rsidRPr="0098635C">
              <w:rPr>
                <w:rFonts w:ascii="Times New Roman" w:hAnsi="Times New Roman"/>
                <w:color w:val="000000" w:themeColor="text1"/>
                <w:sz w:val="20"/>
                <w:szCs w:val="20"/>
              </w:rPr>
              <w:t xml:space="preserve"> (1976)</w:t>
            </w:r>
          </w:p>
          <w:p w14:paraId="75CC3C20" w14:textId="21FFE35E" w:rsidR="008D1AE9" w:rsidRPr="0098635C" w:rsidRDefault="008D1AE9" w:rsidP="00484E4D">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w:t>
            </w:r>
            <w:r w:rsidR="00484E4D" w:rsidRPr="0098635C">
              <w:rPr>
                <w:rFonts w:ascii="Times New Roman" w:hAnsi="Times New Roman"/>
                <w:color w:val="000000" w:themeColor="text1"/>
                <w:sz w:val="20"/>
                <w:szCs w:val="20"/>
              </w:rPr>
              <w:t>Reliability Score</w:t>
            </w:r>
            <w:r w:rsidRPr="0098635C">
              <w:rPr>
                <w:rFonts w:ascii="Times New Roman" w:hAnsi="Times New Roman"/>
                <w:color w:val="000000" w:themeColor="text1"/>
                <w:sz w:val="20"/>
                <w:szCs w:val="20"/>
              </w:rPr>
              <w:t xml:space="preserve"> 3)</w:t>
            </w:r>
          </w:p>
        </w:tc>
        <w:tc>
          <w:tcPr>
            <w:tcW w:w="3704" w:type="dxa"/>
          </w:tcPr>
          <w:p w14:paraId="01186030"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Strain A mice (groups of 10 males and 10 females)</w:t>
            </w:r>
          </w:p>
          <w:p w14:paraId="372B8E3D" w14:textId="605935C6" w:rsidR="00E42886" w:rsidRPr="0098635C" w:rsidRDefault="00E42886"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Intraperitoneal injection of copper acetate, 3 times a week for 8 weeks at total doses of 0, 36, 90 and 180mg/kg body weight.  Mice sacrificed 22 weeks after final injection.</w:t>
            </w:r>
          </w:p>
        </w:tc>
        <w:tc>
          <w:tcPr>
            <w:tcW w:w="4394" w:type="dxa"/>
          </w:tcPr>
          <w:p w14:paraId="1CFC8252"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Inadequate evidence to suggest an effect of copper on the frequency of spontaneous lung cancers in this highly susceptible strain of mouse</w:t>
            </w:r>
          </w:p>
        </w:tc>
      </w:tr>
      <w:tr w:rsidR="008D1AE9" w:rsidRPr="0098635C" w14:paraId="79E0E78D" w14:textId="77777777" w:rsidTr="00926614">
        <w:tc>
          <w:tcPr>
            <w:tcW w:w="1985" w:type="dxa"/>
          </w:tcPr>
          <w:p w14:paraId="547F22AD"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Llewellyn </w:t>
            </w:r>
            <w:r w:rsidRPr="0098635C">
              <w:rPr>
                <w:rFonts w:ascii="Times New Roman" w:hAnsi="Times New Roman"/>
                <w:i/>
                <w:color w:val="000000" w:themeColor="text1"/>
                <w:sz w:val="20"/>
                <w:szCs w:val="20"/>
              </w:rPr>
              <w:t>et al</w:t>
            </w:r>
            <w:r w:rsidRPr="0098635C">
              <w:rPr>
                <w:rFonts w:ascii="Times New Roman" w:hAnsi="Times New Roman"/>
                <w:color w:val="000000" w:themeColor="text1"/>
                <w:sz w:val="20"/>
                <w:szCs w:val="20"/>
              </w:rPr>
              <w:t xml:space="preserve"> (1985)</w:t>
            </w:r>
          </w:p>
          <w:p w14:paraId="2C622FC0" w14:textId="70C247D1"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w:t>
            </w:r>
            <w:r w:rsidR="00484E4D" w:rsidRPr="0098635C">
              <w:rPr>
                <w:rFonts w:ascii="Times New Roman" w:hAnsi="Times New Roman"/>
                <w:color w:val="000000" w:themeColor="text1"/>
                <w:sz w:val="20"/>
                <w:szCs w:val="20"/>
              </w:rPr>
              <w:t>Reliability Score</w:t>
            </w:r>
            <w:r w:rsidRPr="0098635C">
              <w:rPr>
                <w:rFonts w:ascii="Times New Roman" w:hAnsi="Times New Roman"/>
                <w:color w:val="000000" w:themeColor="text1"/>
                <w:sz w:val="20"/>
                <w:szCs w:val="20"/>
              </w:rPr>
              <w:t xml:space="preserve"> 3)</w:t>
            </w:r>
          </w:p>
        </w:tc>
        <w:tc>
          <w:tcPr>
            <w:tcW w:w="3704" w:type="dxa"/>
          </w:tcPr>
          <w:p w14:paraId="726BA88A" w14:textId="79D72026" w:rsidR="008D1AE9" w:rsidRPr="0098635C" w:rsidRDefault="00495DD6"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Holzman rats</w:t>
            </w:r>
            <w:r w:rsidR="008D1AE9" w:rsidRPr="0098635C">
              <w:rPr>
                <w:rFonts w:ascii="Times New Roman" w:hAnsi="Times New Roman"/>
                <w:color w:val="000000" w:themeColor="text1"/>
                <w:sz w:val="20"/>
                <w:szCs w:val="20"/>
              </w:rPr>
              <w:t>(groups of 10)</w:t>
            </w:r>
          </w:p>
          <w:p w14:paraId="099B4B17" w14:textId="2056EBF4" w:rsidR="00E42886" w:rsidRPr="0098635C" w:rsidRDefault="00E42886"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Control group fed 18mg Cu/kg diet.  Treated group fed 2600mg Cu/kg diet for 21 weeks</w:t>
            </w:r>
          </w:p>
        </w:tc>
        <w:tc>
          <w:tcPr>
            <w:tcW w:w="4394" w:type="dxa"/>
          </w:tcPr>
          <w:p w14:paraId="259C57CC"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Only one toxic dose tested. No evidence of neoplastic effects</w:t>
            </w:r>
          </w:p>
        </w:tc>
      </w:tr>
      <w:tr w:rsidR="008D1AE9" w:rsidRPr="0098635C" w14:paraId="63E0A65F" w14:textId="77777777" w:rsidTr="00926614">
        <w:tc>
          <w:tcPr>
            <w:tcW w:w="1985" w:type="dxa"/>
          </w:tcPr>
          <w:p w14:paraId="44200023"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Greene </w:t>
            </w:r>
            <w:r w:rsidRPr="0098635C">
              <w:rPr>
                <w:rFonts w:ascii="Times New Roman" w:hAnsi="Times New Roman"/>
                <w:i/>
                <w:color w:val="000000" w:themeColor="text1"/>
                <w:sz w:val="20"/>
                <w:szCs w:val="20"/>
              </w:rPr>
              <w:t>et al</w:t>
            </w:r>
            <w:r w:rsidRPr="0098635C">
              <w:rPr>
                <w:rFonts w:ascii="Times New Roman" w:hAnsi="Times New Roman"/>
                <w:color w:val="000000" w:themeColor="text1"/>
                <w:sz w:val="20"/>
                <w:szCs w:val="20"/>
              </w:rPr>
              <w:t xml:space="preserve"> (1987)</w:t>
            </w:r>
          </w:p>
          <w:p w14:paraId="1AB2188E" w14:textId="4CF951EE"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w:t>
            </w:r>
            <w:r w:rsidR="00484E4D" w:rsidRPr="0098635C">
              <w:rPr>
                <w:rFonts w:ascii="Times New Roman" w:hAnsi="Times New Roman"/>
                <w:color w:val="000000" w:themeColor="text1"/>
                <w:sz w:val="20"/>
                <w:szCs w:val="20"/>
              </w:rPr>
              <w:t>Reliability Score</w:t>
            </w:r>
            <w:r w:rsidRPr="0098635C">
              <w:rPr>
                <w:rFonts w:ascii="Times New Roman" w:hAnsi="Times New Roman"/>
                <w:color w:val="000000" w:themeColor="text1"/>
                <w:sz w:val="20"/>
                <w:szCs w:val="20"/>
              </w:rPr>
              <w:t xml:space="preserve"> 3)</w:t>
            </w:r>
          </w:p>
        </w:tc>
        <w:tc>
          <w:tcPr>
            <w:tcW w:w="3704" w:type="dxa"/>
          </w:tcPr>
          <w:p w14:paraId="2F3CE202"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Sprague Dawley rats (groups of 10)</w:t>
            </w:r>
          </w:p>
          <w:p w14:paraId="3D64D142" w14:textId="312AC601" w:rsidR="00E42886" w:rsidRPr="0098635C" w:rsidRDefault="00E42886"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rats fed 0.6, 25, 100mg Cu/kg diet for 25 weeks.</w:t>
            </w:r>
          </w:p>
        </w:tc>
        <w:tc>
          <w:tcPr>
            <w:tcW w:w="4394" w:type="dxa"/>
          </w:tcPr>
          <w:p w14:paraId="5FBCAA5D" w14:textId="77777777" w:rsidR="008D1AE9" w:rsidRPr="0098635C" w:rsidRDefault="008D1AE9" w:rsidP="00AF385A">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No conclusions regarding the potential carcinogenicity of copper can be drawn from this study</w:t>
            </w:r>
          </w:p>
        </w:tc>
      </w:tr>
    </w:tbl>
    <w:p w14:paraId="3C5B7CA1" w14:textId="77777777" w:rsidR="008D1AE9" w:rsidRPr="0098635C" w:rsidRDefault="008D1AE9" w:rsidP="008D1AE9">
      <w:pPr>
        <w:pStyle w:val="BodyText"/>
        <w:rPr>
          <w:color w:val="000000" w:themeColor="text1"/>
          <w:sz w:val="20"/>
        </w:rPr>
      </w:pPr>
    </w:p>
    <w:p w14:paraId="1CC8F878" w14:textId="486EE83A" w:rsidR="008D1AE9" w:rsidRPr="0098635C" w:rsidRDefault="00E230FB" w:rsidP="008D1AE9">
      <w:pPr>
        <w:spacing w:before="240"/>
        <w:rPr>
          <w:color w:val="000000" w:themeColor="text1"/>
          <w:sz w:val="20"/>
          <w:szCs w:val="20"/>
        </w:rPr>
      </w:pPr>
      <w:r w:rsidRPr="0098635C">
        <w:rPr>
          <w:color w:val="000000" w:themeColor="text1"/>
          <w:sz w:val="20"/>
          <w:szCs w:val="20"/>
        </w:rPr>
        <w:fldChar w:fldCharType="begin"/>
      </w:r>
      <w:r w:rsidR="008D1AE9" w:rsidRPr="0098635C">
        <w:rPr>
          <w:color w:val="000000" w:themeColor="text1"/>
          <w:sz w:val="20"/>
          <w:szCs w:val="20"/>
        </w:rPr>
        <w:instrText xml:space="preserve"> REF _Ref259781086 \h </w:instrText>
      </w:r>
      <w:r w:rsidR="00F0480E" w:rsidRPr="0098635C">
        <w:rPr>
          <w:color w:val="000000" w:themeColor="text1"/>
          <w:sz w:val="20"/>
          <w:szCs w:val="20"/>
        </w:rPr>
        <w:instrText xml:space="preserve"> \* MERGEFORMAT </w:instrText>
      </w:r>
      <w:r w:rsidRPr="0098635C">
        <w:rPr>
          <w:color w:val="000000" w:themeColor="text1"/>
          <w:sz w:val="20"/>
          <w:szCs w:val="20"/>
        </w:rPr>
      </w:r>
      <w:r w:rsidRPr="0098635C">
        <w:rPr>
          <w:color w:val="000000" w:themeColor="text1"/>
          <w:sz w:val="20"/>
          <w:szCs w:val="20"/>
        </w:rPr>
        <w:fldChar w:fldCharType="separate"/>
      </w:r>
      <w:r w:rsidR="005E5161" w:rsidRPr="0098635C">
        <w:rPr>
          <w:color w:val="000000" w:themeColor="text1"/>
          <w:sz w:val="20"/>
          <w:szCs w:val="20"/>
        </w:rPr>
        <w:t xml:space="preserve">Table </w:t>
      </w:r>
      <w:r w:rsidR="005E5161" w:rsidRPr="0098635C">
        <w:rPr>
          <w:noProof/>
          <w:color w:val="000000" w:themeColor="text1"/>
          <w:sz w:val="20"/>
          <w:szCs w:val="20"/>
        </w:rPr>
        <w:t>23</w:t>
      </w:r>
      <w:r w:rsidRPr="0098635C">
        <w:rPr>
          <w:color w:val="000000" w:themeColor="text1"/>
          <w:sz w:val="20"/>
          <w:szCs w:val="20"/>
        </w:rPr>
        <w:fldChar w:fldCharType="end"/>
      </w:r>
      <w:r w:rsidR="008D1AE9" w:rsidRPr="0098635C">
        <w:rPr>
          <w:color w:val="000000" w:themeColor="text1"/>
          <w:sz w:val="20"/>
          <w:szCs w:val="20"/>
        </w:rPr>
        <w:t xml:space="preserve"> gives an overview of available studies on potential carcinogenic effects via oral exposure. It should be noted that no high quality data are available with regard to inhalation or dermal exposure. The presented oral studies indicate that copper sulphate and other copper salts do not appear to have carcinogenic potential even at very high dose levels of up to 120 mg Cu/kg/bw/day (Harrison </w:t>
      </w:r>
      <w:r w:rsidR="008D1AE9" w:rsidRPr="0098635C">
        <w:rPr>
          <w:rFonts w:ascii="Times" w:hAnsi="Times" w:cs="Times"/>
          <w:iCs/>
          <w:color w:val="000000" w:themeColor="text1"/>
          <w:sz w:val="20"/>
          <w:szCs w:val="20"/>
        </w:rPr>
        <w:t xml:space="preserve">et al., </w:t>
      </w:r>
      <w:r w:rsidR="008D1AE9" w:rsidRPr="0098635C">
        <w:rPr>
          <w:color w:val="000000" w:themeColor="text1"/>
          <w:sz w:val="20"/>
          <w:szCs w:val="20"/>
        </w:rPr>
        <w:t>1954)</w:t>
      </w:r>
      <w:r w:rsidR="00E42886" w:rsidRPr="0098635C">
        <w:rPr>
          <w:color w:val="000000" w:themeColor="text1"/>
          <w:sz w:val="20"/>
          <w:szCs w:val="20"/>
        </w:rPr>
        <w:t xml:space="preserve">. </w:t>
      </w:r>
      <w:r w:rsidR="008D1AE9" w:rsidRPr="0098635C">
        <w:rPr>
          <w:color w:val="000000" w:themeColor="text1"/>
          <w:sz w:val="20"/>
          <w:szCs w:val="20"/>
        </w:rPr>
        <w:t xml:space="preserve"> Based on the observations in some of these (and other) studies  it can be concluded that excess copper may have a protective effect on known carcinogens (e.g.</w:t>
      </w:r>
      <w:r w:rsidR="009B264F" w:rsidRPr="0098635C">
        <w:rPr>
          <w:color w:val="000000" w:themeColor="text1"/>
          <w:sz w:val="20"/>
          <w:szCs w:val="20"/>
        </w:rPr>
        <w:t xml:space="preserve"> </w:t>
      </w:r>
      <w:r w:rsidR="008D1AE9" w:rsidRPr="0098635C">
        <w:rPr>
          <w:color w:val="000000" w:themeColor="text1"/>
          <w:sz w:val="20"/>
          <w:szCs w:val="20"/>
        </w:rPr>
        <w:t>Carlton and Price, 1973). In addition, the available genotoxicity studies support the indication that copper compounds have no carcinogenic potential.</w:t>
      </w:r>
    </w:p>
    <w:p w14:paraId="64F0CE1C" w14:textId="236C942D" w:rsidR="008D1AE9" w:rsidRPr="0098635C" w:rsidRDefault="008D1AE9" w:rsidP="00926614">
      <w:pPr>
        <w:pStyle w:val="Caption"/>
        <w:jc w:val="center"/>
        <w:rPr>
          <w:b w:val="0"/>
          <w:color w:val="000000" w:themeColor="text1"/>
          <w:sz w:val="20"/>
          <w:lang w:val="en-GB"/>
        </w:rPr>
      </w:pPr>
      <w:bookmarkStart w:id="1833" w:name="_Ref259781086"/>
      <w:bookmarkStart w:id="1834" w:name="_Toc260063731"/>
      <w:r w:rsidRPr="0098635C">
        <w:rPr>
          <w:b w:val="0"/>
          <w:color w:val="000000" w:themeColor="text1"/>
          <w:sz w:val="20"/>
          <w:lang w:val="en-GB"/>
        </w:rPr>
        <w:t xml:space="preserve">Table </w:t>
      </w:r>
      <w:r w:rsidR="00E230FB" w:rsidRPr="0098635C">
        <w:rPr>
          <w:b w:val="0"/>
          <w:color w:val="000000" w:themeColor="text1"/>
          <w:sz w:val="20"/>
          <w:lang w:val="en-GB"/>
        </w:rPr>
        <w:fldChar w:fldCharType="begin"/>
      </w:r>
      <w:r w:rsidRPr="0098635C">
        <w:rPr>
          <w:b w:val="0"/>
          <w:color w:val="000000" w:themeColor="text1"/>
          <w:sz w:val="20"/>
          <w:lang w:val="en-GB"/>
        </w:rPr>
        <w:instrText xml:space="preserve"> SEQ Table \* ARABIC </w:instrText>
      </w:r>
      <w:r w:rsidR="00E230FB" w:rsidRPr="0098635C">
        <w:rPr>
          <w:b w:val="0"/>
          <w:color w:val="000000" w:themeColor="text1"/>
          <w:sz w:val="20"/>
          <w:lang w:val="en-GB"/>
        </w:rPr>
        <w:fldChar w:fldCharType="separate"/>
      </w:r>
      <w:r w:rsidR="005E5161" w:rsidRPr="0098635C">
        <w:rPr>
          <w:b w:val="0"/>
          <w:noProof/>
          <w:color w:val="000000" w:themeColor="text1"/>
          <w:sz w:val="20"/>
          <w:lang w:val="en-GB"/>
        </w:rPr>
        <w:t>23</w:t>
      </w:r>
      <w:r w:rsidR="00E230FB" w:rsidRPr="0098635C">
        <w:rPr>
          <w:b w:val="0"/>
          <w:color w:val="000000" w:themeColor="text1"/>
          <w:sz w:val="20"/>
          <w:lang w:val="en-GB"/>
        </w:rPr>
        <w:fldChar w:fldCharType="end"/>
      </w:r>
      <w:bookmarkEnd w:id="1833"/>
      <w:r w:rsidRPr="0098635C">
        <w:rPr>
          <w:b w:val="0"/>
          <w:color w:val="000000" w:themeColor="text1"/>
          <w:sz w:val="20"/>
          <w:lang w:val="en-GB"/>
        </w:rPr>
        <w:t>: Overview of experimental studies on carcinogenicity</w:t>
      </w:r>
      <w:bookmarkEnd w:id="1834"/>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0"/>
        <w:gridCol w:w="1208"/>
        <w:gridCol w:w="1418"/>
        <w:gridCol w:w="1275"/>
        <w:gridCol w:w="4111"/>
      </w:tblGrid>
      <w:tr w:rsidR="008D1AE9" w:rsidRPr="0098635C" w14:paraId="1F0DA786" w14:textId="77777777" w:rsidTr="00AF385A">
        <w:trPr>
          <w:trHeight w:val="576"/>
          <w:tblHeader/>
        </w:trPr>
        <w:tc>
          <w:tcPr>
            <w:tcW w:w="1310" w:type="dxa"/>
            <w:tcMar>
              <w:top w:w="20" w:type="nil"/>
              <w:left w:w="20" w:type="nil"/>
              <w:bottom w:w="20" w:type="nil"/>
              <w:right w:w="20" w:type="nil"/>
            </w:tcMar>
            <w:vAlign w:val="center"/>
          </w:tcPr>
          <w:p w14:paraId="0520030F" w14:textId="77777777" w:rsidR="008D1AE9" w:rsidRPr="0098635C" w:rsidRDefault="008D1AE9" w:rsidP="00AF385A">
            <w:pPr>
              <w:pStyle w:val="NoteLevel211"/>
              <w:jc w:val="left"/>
              <w:rPr>
                <w:b/>
                <w:color w:val="000000" w:themeColor="text1"/>
              </w:rPr>
            </w:pPr>
            <w:bookmarkStart w:id="1835" w:name="_Toc472000328"/>
            <w:bookmarkStart w:id="1836" w:name="_Toc472251691"/>
            <w:r w:rsidRPr="0098635C">
              <w:rPr>
                <w:b/>
                <w:color w:val="000000" w:themeColor="text1"/>
              </w:rPr>
              <w:t>Reference</w:t>
            </w:r>
            <w:bookmarkEnd w:id="1835"/>
            <w:bookmarkEnd w:id="1836"/>
          </w:p>
        </w:tc>
        <w:tc>
          <w:tcPr>
            <w:tcW w:w="1208" w:type="dxa"/>
            <w:tcMar>
              <w:top w:w="20" w:type="nil"/>
              <w:left w:w="20" w:type="nil"/>
              <w:bottom w:w="20" w:type="nil"/>
              <w:right w:w="20" w:type="nil"/>
            </w:tcMar>
            <w:vAlign w:val="center"/>
          </w:tcPr>
          <w:p w14:paraId="382205BB" w14:textId="77777777" w:rsidR="008D1AE9" w:rsidRPr="0098635C" w:rsidRDefault="008D1AE9" w:rsidP="00AF385A">
            <w:pPr>
              <w:pStyle w:val="NoteLevel211"/>
              <w:jc w:val="left"/>
              <w:rPr>
                <w:b/>
                <w:color w:val="000000" w:themeColor="text1"/>
              </w:rPr>
            </w:pPr>
            <w:bookmarkStart w:id="1837" w:name="_Toc472000329"/>
            <w:bookmarkStart w:id="1838" w:name="_Toc472251692"/>
            <w:r w:rsidRPr="0098635C">
              <w:rPr>
                <w:b/>
                <w:color w:val="000000" w:themeColor="text1"/>
              </w:rPr>
              <w:t>Route</w:t>
            </w:r>
            <w:bookmarkEnd w:id="1837"/>
            <w:bookmarkEnd w:id="1838"/>
          </w:p>
        </w:tc>
        <w:tc>
          <w:tcPr>
            <w:tcW w:w="1418" w:type="dxa"/>
            <w:vAlign w:val="center"/>
          </w:tcPr>
          <w:p w14:paraId="0C42A204" w14:textId="77777777" w:rsidR="008D1AE9" w:rsidRPr="0098635C" w:rsidRDefault="008D1AE9" w:rsidP="00AF385A">
            <w:pPr>
              <w:pStyle w:val="NoteLevel211"/>
              <w:jc w:val="left"/>
              <w:rPr>
                <w:b/>
                <w:color w:val="000000" w:themeColor="text1"/>
              </w:rPr>
            </w:pPr>
            <w:bookmarkStart w:id="1839" w:name="_Toc472000330"/>
            <w:bookmarkStart w:id="1840" w:name="_Toc472251693"/>
            <w:r w:rsidRPr="0098635C">
              <w:rPr>
                <w:b/>
                <w:color w:val="000000" w:themeColor="text1"/>
              </w:rPr>
              <w:t>Test animals</w:t>
            </w:r>
            <w:bookmarkEnd w:id="1839"/>
            <w:bookmarkEnd w:id="1840"/>
          </w:p>
        </w:tc>
        <w:tc>
          <w:tcPr>
            <w:tcW w:w="1275" w:type="dxa"/>
            <w:vAlign w:val="center"/>
          </w:tcPr>
          <w:p w14:paraId="734E2713" w14:textId="77777777" w:rsidR="008D1AE9" w:rsidRPr="0098635C" w:rsidRDefault="008D1AE9" w:rsidP="00AF385A">
            <w:pPr>
              <w:pStyle w:val="NoteLevel211"/>
              <w:rPr>
                <w:b/>
                <w:color w:val="000000" w:themeColor="text1"/>
              </w:rPr>
            </w:pPr>
            <w:bookmarkStart w:id="1841" w:name="_Toc472000331"/>
            <w:bookmarkStart w:id="1842" w:name="_Toc472251694"/>
            <w:r w:rsidRPr="0098635C">
              <w:rPr>
                <w:b/>
                <w:color w:val="000000" w:themeColor="text1"/>
              </w:rPr>
              <w:t>Dose levels</w:t>
            </w:r>
            <w:bookmarkEnd w:id="1841"/>
            <w:bookmarkEnd w:id="1842"/>
          </w:p>
        </w:tc>
        <w:tc>
          <w:tcPr>
            <w:tcW w:w="4111" w:type="dxa"/>
            <w:tcMar>
              <w:top w:w="20" w:type="nil"/>
              <w:left w:w="20" w:type="nil"/>
              <w:bottom w:w="20" w:type="nil"/>
              <w:right w:w="20" w:type="nil"/>
            </w:tcMar>
            <w:vAlign w:val="center"/>
          </w:tcPr>
          <w:p w14:paraId="183E09E0" w14:textId="77777777" w:rsidR="008D1AE9" w:rsidRPr="0098635C" w:rsidRDefault="008D1AE9" w:rsidP="00AF385A">
            <w:pPr>
              <w:pStyle w:val="NoteLevel211"/>
              <w:rPr>
                <w:b/>
                <w:color w:val="000000" w:themeColor="text1"/>
              </w:rPr>
            </w:pPr>
            <w:bookmarkStart w:id="1843" w:name="_Toc472000332"/>
            <w:bookmarkStart w:id="1844" w:name="_Toc472251695"/>
            <w:r w:rsidRPr="0098635C">
              <w:rPr>
                <w:b/>
                <w:color w:val="000000" w:themeColor="text1"/>
              </w:rPr>
              <w:t>Tumours</w:t>
            </w:r>
            <w:bookmarkEnd w:id="1843"/>
            <w:bookmarkEnd w:id="1844"/>
          </w:p>
        </w:tc>
      </w:tr>
      <w:tr w:rsidR="008D1AE9" w:rsidRPr="0098635C" w14:paraId="6E84BB91" w14:textId="77777777" w:rsidTr="00AF385A">
        <w:tc>
          <w:tcPr>
            <w:tcW w:w="1310" w:type="dxa"/>
            <w:tcMar>
              <w:top w:w="20" w:type="nil"/>
              <w:left w:w="20" w:type="nil"/>
              <w:bottom w:w="20" w:type="nil"/>
              <w:right w:w="20" w:type="nil"/>
            </w:tcMar>
          </w:tcPr>
          <w:p w14:paraId="69E08EA7" w14:textId="13C908AE" w:rsidR="008D1AE9" w:rsidRPr="0098635C" w:rsidRDefault="008D1AE9" w:rsidP="00355324">
            <w:pPr>
              <w:pStyle w:val="NoteLevel211"/>
              <w:jc w:val="left"/>
              <w:rPr>
                <w:color w:val="000000" w:themeColor="text1"/>
              </w:rPr>
            </w:pPr>
            <w:bookmarkStart w:id="1845" w:name="_Toc472000333"/>
            <w:bookmarkStart w:id="1846" w:name="_Toc472251696"/>
            <w:r w:rsidRPr="0098635C">
              <w:rPr>
                <w:color w:val="000000" w:themeColor="text1"/>
              </w:rPr>
              <w:t xml:space="preserve">Carlton </w:t>
            </w:r>
            <w:r w:rsidR="00355324" w:rsidRPr="0098635C">
              <w:rPr>
                <w:color w:val="000000" w:themeColor="text1"/>
              </w:rPr>
              <w:t xml:space="preserve">and Price </w:t>
            </w:r>
            <w:r w:rsidRPr="0098635C">
              <w:rPr>
                <w:color w:val="000000" w:themeColor="text1"/>
              </w:rPr>
              <w:t xml:space="preserve"> (1973)</w:t>
            </w:r>
            <w:bookmarkEnd w:id="1845"/>
            <w:bookmarkEnd w:id="1846"/>
          </w:p>
        </w:tc>
        <w:tc>
          <w:tcPr>
            <w:tcW w:w="1208" w:type="dxa"/>
            <w:tcMar>
              <w:top w:w="20" w:type="nil"/>
              <w:left w:w="20" w:type="nil"/>
              <w:bottom w:w="20" w:type="nil"/>
              <w:right w:w="20" w:type="nil"/>
            </w:tcMar>
          </w:tcPr>
          <w:p w14:paraId="66CD87BD" w14:textId="77777777" w:rsidR="008D1AE9" w:rsidRPr="0098635C" w:rsidRDefault="008D1AE9" w:rsidP="00AF385A">
            <w:pPr>
              <w:pStyle w:val="NoteLevel211"/>
              <w:jc w:val="left"/>
              <w:rPr>
                <w:color w:val="000000" w:themeColor="text1"/>
              </w:rPr>
            </w:pPr>
            <w:bookmarkStart w:id="1847" w:name="_Toc472000334"/>
            <w:bookmarkStart w:id="1848" w:name="_Toc472251697"/>
            <w:r w:rsidRPr="0098635C">
              <w:rPr>
                <w:color w:val="000000" w:themeColor="text1"/>
              </w:rPr>
              <w:t>Oral, diet, 9 months</w:t>
            </w:r>
            <w:bookmarkEnd w:id="1847"/>
            <w:bookmarkEnd w:id="1848"/>
          </w:p>
        </w:tc>
        <w:tc>
          <w:tcPr>
            <w:tcW w:w="1418" w:type="dxa"/>
          </w:tcPr>
          <w:p w14:paraId="75DD4D27" w14:textId="77777777" w:rsidR="008D1AE9" w:rsidRPr="0098635C" w:rsidRDefault="008D1AE9" w:rsidP="00AF385A">
            <w:pPr>
              <w:pStyle w:val="NoteLevel211"/>
              <w:jc w:val="left"/>
              <w:rPr>
                <w:color w:val="000000" w:themeColor="text1"/>
              </w:rPr>
            </w:pPr>
            <w:bookmarkStart w:id="1849" w:name="_Toc472000335"/>
            <w:bookmarkStart w:id="1850" w:name="_Toc472251698"/>
            <w:r w:rsidRPr="0098635C">
              <w:rPr>
                <w:color w:val="000000" w:themeColor="text1"/>
              </w:rPr>
              <w:t>Rat, Sprague-Dawley, m</w:t>
            </w:r>
            <w:bookmarkEnd w:id="1849"/>
            <w:bookmarkEnd w:id="1850"/>
          </w:p>
        </w:tc>
        <w:tc>
          <w:tcPr>
            <w:tcW w:w="1275" w:type="dxa"/>
          </w:tcPr>
          <w:p w14:paraId="45E5B5CC" w14:textId="77777777" w:rsidR="008D1AE9" w:rsidRPr="0098635C" w:rsidRDefault="008D1AE9" w:rsidP="00AF385A">
            <w:pPr>
              <w:pStyle w:val="NoteLevel211"/>
              <w:rPr>
                <w:color w:val="000000" w:themeColor="text1"/>
              </w:rPr>
            </w:pPr>
            <w:bookmarkStart w:id="1851" w:name="_Toc472000336"/>
            <w:bookmarkStart w:id="1852" w:name="_Toc472251699"/>
            <w:r w:rsidRPr="0098635C">
              <w:rPr>
                <w:color w:val="000000" w:themeColor="text1"/>
              </w:rPr>
              <w:t>1 ppm, 800 ppm</w:t>
            </w:r>
            <w:bookmarkEnd w:id="1851"/>
            <w:bookmarkEnd w:id="1852"/>
          </w:p>
        </w:tc>
        <w:tc>
          <w:tcPr>
            <w:tcW w:w="4111" w:type="dxa"/>
            <w:tcMar>
              <w:top w:w="20" w:type="nil"/>
              <w:left w:w="20" w:type="nil"/>
              <w:bottom w:w="20" w:type="nil"/>
              <w:right w:w="20" w:type="nil"/>
            </w:tcMar>
          </w:tcPr>
          <w:p w14:paraId="187C2ADA" w14:textId="77777777" w:rsidR="008D1AE9" w:rsidRPr="0098635C" w:rsidRDefault="008D1AE9" w:rsidP="00AF385A">
            <w:pPr>
              <w:pStyle w:val="NoteLevel211"/>
              <w:rPr>
                <w:color w:val="000000" w:themeColor="text1"/>
              </w:rPr>
            </w:pPr>
            <w:bookmarkStart w:id="1853" w:name="_Toc472000337"/>
            <w:bookmarkStart w:id="1854" w:name="_Toc472251700"/>
            <w:r w:rsidRPr="0098635C">
              <w:rPr>
                <w:color w:val="000000" w:themeColor="text1"/>
                <w:lang w:eastAsia="en-US"/>
              </w:rPr>
              <w:t>one kidney tumour (1/42, though not significant) was observed in the low copper group</w:t>
            </w:r>
            <w:bookmarkEnd w:id="1853"/>
            <w:bookmarkEnd w:id="1854"/>
          </w:p>
        </w:tc>
      </w:tr>
      <w:tr w:rsidR="008D1AE9" w:rsidRPr="0098635C" w14:paraId="66B51823" w14:textId="77777777" w:rsidTr="00AF385A">
        <w:tc>
          <w:tcPr>
            <w:tcW w:w="1310" w:type="dxa"/>
            <w:tcMar>
              <w:top w:w="20" w:type="nil"/>
              <w:left w:w="20" w:type="nil"/>
              <w:bottom w:w="20" w:type="nil"/>
              <w:right w:w="20" w:type="nil"/>
            </w:tcMar>
          </w:tcPr>
          <w:p w14:paraId="751CA9BA" w14:textId="77777777" w:rsidR="008D1AE9" w:rsidRPr="0098635C" w:rsidRDefault="008D1AE9" w:rsidP="00AF385A">
            <w:pPr>
              <w:pStyle w:val="NoteLevel211"/>
              <w:jc w:val="left"/>
              <w:rPr>
                <w:color w:val="000000" w:themeColor="text1"/>
              </w:rPr>
            </w:pPr>
            <w:bookmarkStart w:id="1855" w:name="_Toc472000338"/>
            <w:bookmarkStart w:id="1856" w:name="_Toc472251701"/>
            <w:r w:rsidRPr="0098635C">
              <w:rPr>
                <w:color w:val="000000" w:themeColor="text1"/>
              </w:rPr>
              <w:t>Burki &amp; Okita (1969)</w:t>
            </w:r>
            <w:bookmarkEnd w:id="1855"/>
            <w:bookmarkEnd w:id="1856"/>
          </w:p>
        </w:tc>
        <w:tc>
          <w:tcPr>
            <w:tcW w:w="1208" w:type="dxa"/>
            <w:tcMar>
              <w:top w:w="20" w:type="nil"/>
              <w:left w:w="20" w:type="nil"/>
              <w:bottom w:w="20" w:type="nil"/>
              <w:right w:w="20" w:type="nil"/>
            </w:tcMar>
          </w:tcPr>
          <w:p w14:paraId="67A82EBE" w14:textId="77777777" w:rsidR="008D1AE9" w:rsidRPr="0098635C" w:rsidRDefault="008D1AE9" w:rsidP="00AF385A">
            <w:pPr>
              <w:pStyle w:val="NoteLevel211"/>
              <w:jc w:val="left"/>
              <w:rPr>
                <w:color w:val="000000" w:themeColor="text1"/>
              </w:rPr>
            </w:pPr>
            <w:bookmarkStart w:id="1857" w:name="_Toc472000339"/>
            <w:bookmarkStart w:id="1858" w:name="_Toc472251702"/>
            <w:r w:rsidRPr="0098635C">
              <w:rPr>
                <w:color w:val="000000" w:themeColor="text1"/>
              </w:rPr>
              <w:t>Oral, drinking water, 46 weeks</w:t>
            </w:r>
            <w:bookmarkEnd w:id="1857"/>
            <w:bookmarkEnd w:id="1858"/>
          </w:p>
        </w:tc>
        <w:tc>
          <w:tcPr>
            <w:tcW w:w="1418" w:type="dxa"/>
          </w:tcPr>
          <w:p w14:paraId="3A1617B3" w14:textId="77777777" w:rsidR="008D1AE9" w:rsidRPr="0098635C" w:rsidRDefault="008D1AE9" w:rsidP="00AF385A">
            <w:pPr>
              <w:pStyle w:val="NoteLevel211"/>
              <w:jc w:val="left"/>
              <w:rPr>
                <w:color w:val="000000" w:themeColor="text1"/>
              </w:rPr>
            </w:pPr>
            <w:bookmarkStart w:id="1859" w:name="_Toc472000340"/>
            <w:bookmarkStart w:id="1860" w:name="_Toc472251703"/>
            <w:r w:rsidRPr="0098635C">
              <w:rPr>
                <w:color w:val="000000" w:themeColor="text1"/>
              </w:rPr>
              <w:t>Mouse, C57BL/6J, f</w:t>
            </w:r>
            <w:bookmarkEnd w:id="1859"/>
            <w:bookmarkEnd w:id="1860"/>
          </w:p>
        </w:tc>
        <w:tc>
          <w:tcPr>
            <w:tcW w:w="1275" w:type="dxa"/>
          </w:tcPr>
          <w:p w14:paraId="7C97FE59" w14:textId="77777777" w:rsidR="008D1AE9" w:rsidRPr="0098635C" w:rsidRDefault="008D1AE9" w:rsidP="00AF385A">
            <w:pPr>
              <w:pStyle w:val="NoteLevel211"/>
              <w:rPr>
                <w:color w:val="000000" w:themeColor="text1"/>
              </w:rPr>
            </w:pPr>
            <w:bookmarkStart w:id="1861" w:name="_Toc472000341"/>
            <w:bookmarkStart w:id="1862" w:name="_Toc472251704"/>
            <w:r w:rsidRPr="0098635C">
              <w:rPr>
                <w:color w:val="000000" w:themeColor="text1"/>
              </w:rPr>
              <w:t>198 mg/L</w:t>
            </w:r>
            <w:bookmarkEnd w:id="1861"/>
            <w:bookmarkEnd w:id="1862"/>
          </w:p>
        </w:tc>
        <w:tc>
          <w:tcPr>
            <w:tcW w:w="4111" w:type="dxa"/>
            <w:tcMar>
              <w:top w:w="20" w:type="nil"/>
              <w:left w:w="20" w:type="nil"/>
              <w:bottom w:w="20" w:type="nil"/>
              <w:right w:w="20" w:type="nil"/>
            </w:tcMar>
          </w:tcPr>
          <w:p w14:paraId="6E0591BE" w14:textId="77777777" w:rsidR="008D1AE9" w:rsidRPr="0098635C" w:rsidRDefault="008D1AE9" w:rsidP="00AF385A">
            <w:pPr>
              <w:pStyle w:val="NoteLevel211"/>
              <w:rPr>
                <w:color w:val="000000" w:themeColor="text1"/>
                <w:lang w:eastAsia="en-US"/>
              </w:rPr>
            </w:pPr>
            <w:bookmarkStart w:id="1863" w:name="_Toc472000342"/>
            <w:bookmarkStart w:id="1864" w:name="_Toc472251705"/>
            <w:r w:rsidRPr="0098635C">
              <w:rPr>
                <w:color w:val="000000" w:themeColor="text1"/>
                <w:lang w:eastAsia="en-US"/>
              </w:rPr>
              <w:t>Data suggest that copper sulphate may possibly inhibit DMBA-induced tumour development. CuSO4 had no effect on the incidence of DMBA-</w:t>
            </w:r>
            <w:r w:rsidRPr="0098635C">
              <w:rPr>
                <w:color w:val="000000" w:themeColor="text1"/>
                <w:lang w:eastAsia="en-US"/>
              </w:rPr>
              <w:lastRenderedPageBreak/>
              <w:t>induced adenomas of the lung, lymphomas and breast tumours.</w:t>
            </w:r>
            <w:bookmarkEnd w:id="1863"/>
            <w:bookmarkEnd w:id="1864"/>
          </w:p>
        </w:tc>
      </w:tr>
      <w:tr w:rsidR="008D1AE9" w:rsidRPr="0098635C" w14:paraId="5BDE09C7" w14:textId="77777777" w:rsidTr="00AF385A">
        <w:tc>
          <w:tcPr>
            <w:tcW w:w="1310" w:type="dxa"/>
            <w:tcMar>
              <w:top w:w="20" w:type="nil"/>
              <w:left w:w="20" w:type="nil"/>
              <w:bottom w:w="20" w:type="nil"/>
              <w:right w:w="20" w:type="nil"/>
            </w:tcMar>
          </w:tcPr>
          <w:p w14:paraId="4C6BE921" w14:textId="77777777" w:rsidR="008D1AE9" w:rsidRPr="0098635C" w:rsidRDefault="008D1AE9" w:rsidP="00AF385A">
            <w:pPr>
              <w:pStyle w:val="NoteLevel211"/>
              <w:jc w:val="left"/>
              <w:rPr>
                <w:color w:val="000000" w:themeColor="text1"/>
              </w:rPr>
            </w:pPr>
            <w:bookmarkStart w:id="1865" w:name="_Toc472000343"/>
            <w:bookmarkStart w:id="1866" w:name="_Toc472251706"/>
            <w:r w:rsidRPr="0098635C">
              <w:rPr>
                <w:color w:val="000000" w:themeColor="text1"/>
              </w:rPr>
              <w:t>Harrison et al (1954)</w:t>
            </w:r>
            <w:bookmarkEnd w:id="1865"/>
            <w:bookmarkEnd w:id="1866"/>
          </w:p>
        </w:tc>
        <w:tc>
          <w:tcPr>
            <w:tcW w:w="1208" w:type="dxa"/>
            <w:tcMar>
              <w:top w:w="20" w:type="nil"/>
              <w:left w:w="20" w:type="nil"/>
              <w:bottom w:w="20" w:type="nil"/>
              <w:right w:w="20" w:type="nil"/>
            </w:tcMar>
          </w:tcPr>
          <w:p w14:paraId="62DB7ED6" w14:textId="77777777" w:rsidR="008D1AE9" w:rsidRPr="0098635C" w:rsidRDefault="008D1AE9" w:rsidP="00AF385A">
            <w:pPr>
              <w:pStyle w:val="NoteLevel211"/>
              <w:jc w:val="left"/>
              <w:rPr>
                <w:color w:val="000000" w:themeColor="text1"/>
              </w:rPr>
            </w:pPr>
            <w:bookmarkStart w:id="1867" w:name="_Toc472000344"/>
            <w:bookmarkStart w:id="1868" w:name="_Toc472251707"/>
            <w:r w:rsidRPr="0098635C">
              <w:rPr>
                <w:color w:val="000000" w:themeColor="text1"/>
              </w:rPr>
              <w:t>Oral, diet, 30-44 weeks</w:t>
            </w:r>
            <w:bookmarkEnd w:id="1867"/>
            <w:bookmarkEnd w:id="1868"/>
          </w:p>
        </w:tc>
        <w:tc>
          <w:tcPr>
            <w:tcW w:w="1418" w:type="dxa"/>
          </w:tcPr>
          <w:p w14:paraId="199DCE82" w14:textId="77777777" w:rsidR="008D1AE9" w:rsidRPr="0098635C" w:rsidRDefault="008D1AE9" w:rsidP="00AF385A">
            <w:pPr>
              <w:pStyle w:val="NoteLevel211"/>
              <w:jc w:val="left"/>
              <w:rPr>
                <w:color w:val="000000" w:themeColor="text1"/>
              </w:rPr>
            </w:pPr>
            <w:bookmarkStart w:id="1869" w:name="_Toc472000345"/>
            <w:bookmarkStart w:id="1870" w:name="_Toc472251708"/>
            <w:r w:rsidRPr="0098635C">
              <w:rPr>
                <w:color w:val="000000" w:themeColor="text1"/>
              </w:rPr>
              <w:t>Rat, Sprague-Dawley, m/f</w:t>
            </w:r>
            <w:bookmarkEnd w:id="1869"/>
            <w:bookmarkEnd w:id="1870"/>
          </w:p>
        </w:tc>
        <w:tc>
          <w:tcPr>
            <w:tcW w:w="1275" w:type="dxa"/>
          </w:tcPr>
          <w:p w14:paraId="560800E1" w14:textId="77777777" w:rsidR="008D1AE9" w:rsidRPr="0098635C" w:rsidRDefault="008D1AE9" w:rsidP="00AF385A">
            <w:pPr>
              <w:pStyle w:val="NoteLevel211"/>
              <w:rPr>
                <w:color w:val="000000" w:themeColor="text1"/>
              </w:rPr>
            </w:pPr>
            <w:bookmarkStart w:id="1871" w:name="_Toc472000346"/>
            <w:bookmarkStart w:id="1872" w:name="_Toc472251709"/>
            <w:r w:rsidRPr="0098635C">
              <w:rPr>
                <w:color w:val="000000" w:themeColor="text1"/>
              </w:rPr>
              <w:t>0, 530 or 1600 ppm Cu</w:t>
            </w:r>
            <w:bookmarkEnd w:id="1871"/>
            <w:bookmarkEnd w:id="1872"/>
          </w:p>
        </w:tc>
        <w:tc>
          <w:tcPr>
            <w:tcW w:w="4111" w:type="dxa"/>
            <w:tcMar>
              <w:top w:w="20" w:type="nil"/>
              <w:left w:w="20" w:type="nil"/>
              <w:bottom w:w="20" w:type="nil"/>
              <w:right w:w="20" w:type="nil"/>
            </w:tcMar>
          </w:tcPr>
          <w:p w14:paraId="0C16A5A9" w14:textId="13E2D3B1" w:rsidR="008D1AE9" w:rsidRPr="0098635C" w:rsidRDefault="008D1AE9" w:rsidP="00AF385A">
            <w:pPr>
              <w:pStyle w:val="NoteLevel211"/>
              <w:rPr>
                <w:color w:val="000000" w:themeColor="text1"/>
                <w:lang w:eastAsia="en-US"/>
              </w:rPr>
            </w:pPr>
            <w:bookmarkStart w:id="1873" w:name="_Toc472000347"/>
            <w:bookmarkStart w:id="1874" w:name="_Toc472251710"/>
            <w:r w:rsidRPr="0098635C">
              <w:rPr>
                <w:color w:val="000000" w:themeColor="text1"/>
                <w:lang w:eastAsia="en-US"/>
              </w:rPr>
              <w:t xml:space="preserve">Several histopathological </w:t>
            </w:r>
            <w:r w:rsidR="00F35D64" w:rsidRPr="0098635C">
              <w:rPr>
                <w:color w:val="000000" w:themeColor="text1"/>
                <w:lang w:eastAsia="en-US"/>
              </w:rPr>
              <w:t>effects</w:t>
            </w:r>
            <w:r w:rsidRPr="0098635C">
              <w:rPr>
                <w:color w:val="000000" w:themeColor="text1"/>
                <w:lang w:eastAsia="en-US"/>
              </w:rPr>
              <w:t xml:space="preserve"> were observed at the highest dose, but there were no reports of evidence of neoplasms in </w:t>
            </w:r>
            <w:r w:rsidRPr="0098635C">
              <w:rPr>
                <w:bCs/>
                <w:color w:val="000000" w:themeColor="text1"/>
                <w:lang w:eastAsia="en-US"/>
              </w:rPr>
              <w:t>any treatment group.</w:t>
            </w:r>
            <w:bookmarkEnd w:id="1873"/>
            <w:bookmarkEnd w:id="1874"/>
          </w:p>
        </w:tc>
      </w:tr>
    </w:tbl>
    <w:p w14:paraId="1539A9D6" w14:textId="1237ED1B" w:rsidR="008D1AE9" w:rsidRPr="0098635C" w:rsidRDefault="008D1AE9" w:rsidP="008D1AE9">
      <w:pPr>
        <w:spacing w:before="240"/>
        <w:rPr>
          <w:rFonts w:ascii="Times" w:hAnsi="Times" w:cs="Times"/>
          <w:color w:val="000000" w:themeColor="text1"/>
          <w:sz w:val="20"/>
          <w:szCs w:val="20"/>
        </w:rPr>
      </w:pPr>
      <w:r w:rsidRPr="0098635C">
        <w:rPr>
          <w:color w:val="000000" w:themeColor="text1"/>
          <w:sz w:val="20"/>
          <w:szCs w:val="20"/>
        </w:rPr>
        <w:t>The findings of these studies do not raise concerns with respect to carcinogenic activity.</w:t>
      </w:r>
    </w:p>
    <w:p w14:paraId="60352B6A" w14:textId="77777777" w:rsidR="008D1AE9" w:rsidRPr="0098635C" w:rsidRDefault="008D1AE9" w:rsidP="008D1AE9">
      <w:pPr>
        <w:pStyle w:val="Heading8"/>
        <w:rPr>
          <w:color w:val="000000" w:themeColor="text1"/>
          <w:sz w:val="20"/>
          <w:szCs w:val="20"/>
        </w:rPr>
      </w:pPr>
      <w:r w:rsidRPr="0098635C">
        <w:rPr>
          <w:color w:val="000000" w:themeColor="text1"/>
          <w:sz w:val="20"/>
          <w:szCs w:val="20"/>
        </w:rPr>
        <w:t>Studies in Humans</w:t>
      </w:r>
    </w:p>
    <w:p w14:paraId="72CF75F2" w14:textId="71B33944" w:rsidR="008D1AE9" w:rsidRPr="0098635C" w:rsidRDefault="008D1AE9" w:rsidP="008D1AE9">
      <w:pPr>
        <w:pStyle w:val="BodyText"/>
        <w:rPr>
          <w:color w:val="000000" w:themeColor="text1"/>
          <w:sz w:val="20"/>
        </w:rPr>
      </w:pPr>
      <w:r w:rsidRPr="0098635C">
        <w:rPr>
          <w:color w:val="000000" w:themeColor="text1"/>
          <w:sz w:val="20"/>
        </w:rPr>
        <w:t>A number of epidemiological studies have investigated the health hazards, including cancers (most frequently lung cancer) and non-malignant diseases, associated with occupational exposures in the copper mining, copper smelting and refining, and copper alloy industries.  Most of these studies are confounded by numerous factors including co-occurring exposures to known carcinogenic compounds (e.g., arsenic compounds, SO</w:t>
      </w:r>
      <w:r w:rsidRPr="0098635C">
        <w:rPr>
          <w:color w:val="000000" w:themeColor="text1"/>
          <w:sz w:val="20"/>
          <w:vertAlign w:val="subscript"/>
        </w:rPr>
        <w:t>2</w:t>
      </w:r>
      <w:r w:rsidRPr="0098635C">
        <w:rPr>
          <w:color w:val="000000" w:themeColor="text1"/>
          <w:sz w:val="20"/>
        </w:rPr>
        <w:t xml:space="preserve">, Pb, Se, Cad oxide fumes, acid mist,…) or other parameters that may increase the incidence of cancer (e.g. failure to consider smoking status) (Chen </w:t>
      </w:r>
      <w:r w:rsidR="001A32B4" w:rsidRPr="0098635C">
        <w:rPr>
          <w:color w:val="000000" w:themeColor="text1"/>
          <w:sz w:val="20"/>
        </w:rPr>
        <w:t xml:space="preserve">et al, </w:t>
      </w:r>
      <w:r w:rsidRPr="0098635C">
        <w:rPr>
          <w:color w:val="000000" w:themeColor="text1"/>
          <w:sz w:val="20"/>
        </w:rPr>
        <w:t>1993, 1995; Pinto</w:t>
      </w:r>
      <w:r w:rsidR="00382830" w:rsidRPr="0098635C">
        <w:rPr>
          <w:color w:val="000000" w:themeColor="text1"/>
          <w:sz w:val="20"/>
        </w:rPr>
        <w:t xml:space="preserve"> et al</w:t>
      </w:r>
      <w:r w:rsidRPr="0098635C">
        <w:rPr>
          <w:color w:val="000000" w:themeColor="text1"/>
          <w:sz w:val="20"/>
        </w:rPr>
        <w:t>, 1978; Welch</w:t>
      </w:r>
      <w:r w:rsidR="004B5C91" w:rsidRPr="0098635C">
        <w:rPr>
          <w:color w:val="000000" w:themeColor="text1"/>
          <w:sz w:val="20"/>
        </w:rPr>
        <w:t xml:space="preserve"> et al.</w:t>
      </w:r>
      <w:r w:rsidRPr="0098635C">
        <w:rPr>
          <w:color w:val="000000" w:themeColor="text1"/>
          <w:sz w:val="20"/>
        </w:rPr>
        <w:t>, 1982; Viren</w:t>
      </w:r>
      <w:r w:rsidR="004B5C91" w:rsidRPr="0098635C">
        <w:rPr>
          <w:color w:val="000000" w:themeColor="text1"/>
          <w:sz w:val="20"/>
        </w:rPr>
        <w:t xml:space="preserve"> &amp; Silvers</w:t>
      </w:r>
      <w:r w:rsidRPr="0098635C">
        <w:rPr>
          <w:color w:val="000000" w:themeColor="text1"/>
          <w:sz w:val="20"/>
        </w:rPr>
        <w:t>, 1994; Lubin</w:t>
      </w:r>
      <w:r w:rsidR="004B5C91" w:rsidRPr="0098635C">
        <w:rPr>
          <w:color w:val="000000" w:themeColor="text1"/>
          <w:sz w:val="20"/>
        </w:rPr>
        <w:t xml:space="preserve"> et al.</w:t>
      </w:r>
      <w:r w:rsidRPr="0098635C">
        <w:rPr>
          <w:color w:val="000000" w:themeColor="text1"/>
          <w:sz w:val="20"/>
        </w:rPr>
        <w:t>, 2000; Enterline</w:t>
      </w:r>
      <w:r w:rsidR="009B264F" w:rsidRPr="0098635C">
        <w:rPr>
          <w:color w:val="000000" w:themeColor="text1"/>
          <w:sz w:val="20"/>
        </w:rPr>
        <w:t xml:space="preserve"> et al.</w:t>
      </w:r>
      <w:r w:rsidRPr="0098635C">
        <w:rPr>
          <w:color w:val="000000" w:themeColor="text1"/>
          <w:sz w:val="20"/>
        </w:rPr>
        <w:t>, 1995; Kar</w:t>
      </w:r>
      <w:r w:rsidR="004B5C91" w:rsidRPr="0098635C">
        <w:rPr>
          <w:color w:val="000000" w:themeColor="text1"/>
          <w:sz w:val="20"/>
        </w:rPr>
        <w:t>j</w:t>
      </w:r>
      <w:r w:rsidRPr="0098635C">
        <w:rPr>
          <w:color w:val="000000" w:themeColor="text1"/>
          <w:sz w:val="20"/>
        </w:rPr>
        <w:t>a</w:t>
      </w:r>
      <w:r w:rsidR="004B5C91" w:rsidRPr="0098635C">
        <w:rPr>
          <w:color w:val="000000" w:themeColor="text1"/>
          <w:sz w:val="20"/>
        </w:rPr>
        <w:t>l</w:t>
      </w:r>
      <w:r w:rsidRPr="0098635C">
        <w:rPr>
          <w:color w:val="000000" w:themeColor="text1"/>
          <w:sz w:val="20"/>
        </w:rPr>
        <w:t>ainen</w:t>
      </w:r>
      <w:r w:rsidR="004B5C91" w:rsidRPr="0098635C">
        <w:rPr>
          <w:color w:val="000000" w:themeColor="text1"/>
          <w:sz w:val="20"/>
        </w:rPr>
        <w:t xml:space="preserve"> et al., 1992</w:t>
      </w:r>
      <w:r w:rsidRPr="0098635C">
        <w:rPr>
          <w:color w:val="000000" w:themeColor="text1"/>
          <w:sz w:val="20"/>
        </w:rPr>
        <w:t>;  Logue</w:t>
      </w:r>
      <w:r w:rsidR="004B5C91" w:rsidRPr="0098635C">
        <w:rPr>
          <w:color w:val="000000" w:themeColor="text1"/>
          <w:sz w:val="20"/>
        </w:rPr>
        <w:t xml:space="preserve"> et al.</w:t>
      </w:r>
      <w:r w:rsidRPr="0098635C">
        <w:rPr>
          <w:color w:val="000000" w:themeColor="text1"/>
          <w:sz w:val="20"/>
        </w:rPr>
        <w:t xml:space="preserve"> 1982; Sorahan</w:t>
      </w:r>
      <w:r w:rsidR="004B5C91" w:rsidRPr="0098635C">
        <w:rPr>
          <w:color w:val="000000" w:themeColor="text1"/>
          <w:sz w:val="20"/>
        </w:rPr>
        <w:t xml:space="preserve"> et al</w:t>
      </w:r>
      <w:r w:rsidRPr="0098635C">
        <w:rPr>
          <w:color w:val="000000" w:themeColor="text1"/>
          <w:sz w:val="20"/>
        </w:rPr>
        <w:t>, 1995). For example, ten of these studies examined cancer risk in copper smelter workers, but effects were related to As-exposure, and potential involvement of copper in cancer mortality did not feature in any of these studies.</w:t>
      </w:r>
    </w:p>
    <w:p w14:paraId="2E542B8A" w14:textId="03A8DD98" w:rsidR="00F35D64" w:rsidRPr="0098635C" w:rsidRDefault="008D1AE9" w:rsidP="00F35D64">
      <w:pPr>
        <w:pStyle w:val="BodyText"/>
        <w:rPr>
          <w:color w:val="000000" w:themeColor="text1"/>
          <w:sz w:val="20"/>
        </w:rPr>
      </w:pPr>
      <w:r w:rsidRPr="0098635C">
        <w:rPr>
          <w:snapToGrid w:val="0"/>
          <w:color w:val="000000" w:themeColor="text1"/>
          <w:sz w:val="20"/>
        </w:rPr>
        <w:t xml:space="preserve">Other human studies have looked at the association between serum copper levels and cancer risk, but the few prospective studies where copper serum levels were measured prior to diagnosis, there is no convincing evidence that dietary intake or serum-copper levels play an aetiological role in carcinogenesis (Coates </w:t>
      </w:r>
      <w:r w:rsidRPr="0098635C">
        <w:rPr>
          <w:i/>
          <w:snapToGrid w:val="0"/>
          <w:color w:val="000000" w:themeColor="text1"/>
          <w:sz w:val="20"/>
        </w:rPr>
        <w:t>et al</w:t>
      </w:r>
      <w:r w:rsidRPr="0098635C">
        <w:rPr>
          <w:snapToGrid w:val="0"/>
          <w:color w:val="000000" w:themeColor="text1"/>
          <w:sz w:val="20"/>
        </w:rPr>
        <w:t xml:space="preserve">, 1989; </w:t>
      </w:r>
      <w:r w:rsidRPr="0098635C">
        <w:rPr>
          <w:color w:val="000000" w:themeColor="text1"/>
          <w:sz w:val="20"/>
        </w:rPr>
        <w:t xml:space="preserve">Overvad </w:t>
      </w:r>
      <w:r w:rsidRPr="0098635C">
        <w:rPr>
          <w:i/>
          <w:color w:val="000000" w:themeColor="text1"/>
          <w:sz w:val="20"/>
        </w:rPr>
        <w:t>et al,</w:t>
      </w:r>
      <w:r w:rsidRPr="0098635C">
        <w:rPr>
          <w:color w:val="000000" w:themeColor="text1"/>
          <w:sz w:val="20"/>
        </w:rPr>
        <w:t xml:space="preserve"> 1993). Elevated copper serum levels, however, </w:t>
      </w:r>
      <w:r w:rsidRPr="0098635C">
        <w:rPr>
          <w:snapToGrid w:val="0"/>
          <w:color w:val="000000" w:themeColor="text1"/>
          <w:sz w:val="20"/>
        </w:rPr>
        <w:t>may be a potential marker of disease-state</w:t>
      </w:r>
      <w:r w:rsidR="00586794" w:rsidRPr="0098635C">
        <w:rPr>
          <w:snapToGrid w:val="0"/>
          <w:color w:val="000000" w:themeColor="text1"/>
          <w:sz w:val="20"/>
        </w:rPr>
        <w:t>.</w:t>
      </w:r>
    </w:p>
    <w:p w14:paraId="1CC8A432" w14:textId="77777777" w:rsidR="008D1AE9" w:rsidRPr="0098635C" w:rsidRDefault="008D1AE9" w:rsidP="008D1AE9">
      <w:pPr>
        <w:pStyle w:val="Heading8"/>
        <w:rPr>
          <w:color w:val="000000" w:themeColor="text1"/>
          <w:sz w:val="20"/>
          <w:szCs w:val="20"/>
        </w:rPr>
      </w:pPr>
      <w:r w:rsidRPr="0098635C">
        <w:rPr>
          <w:color w:val="000000" w:themeColor="text1"/>
          <w:sz w:val="20"/>
          <w:szCs w:val="20"/>
        </w:rPr>
        <w:t>Conclusion</w:t>
      </w:r>
    </w:p>
    <w:p w14:paraId="69484CAB" w14:textId="2C7EB82C" w:rsidR="00AE0C21" w:rsidRPr="0098635C" w:rsidRDefault="008D1AE9" w:rsidP="00AE0C21">
      <w:pPr>
        <w:rPr>
          <w:color w:val="000000" w:themeColor="text1"/>
          <w:sz w:val="20"/>
          <w:szCs w:val="20"/>
        </w:rPr>
      </w:pPr>
      <w:r w:rsidRPr="0098635C">
        <w:rPr>
          <w:color w:val="000000" w:themeColor="text1"/>
          <w:sz w:val="20"/>
          <w:szCs w:val="20"/>
        </w:rPr>
        <w:t>None of the available studies provide convincing evidence that copper plays an aetiological role in the development of cancer in humans.  It is acknowledged that available animal and human data on the carcinogenicity of copper and its compounds are deficient in several respects, but the findings do not raise concerns with respect to carcinogenic activity. It is concluded that the available data for copper compounds do not meet the criteria requiring classification for carcinogenicity. These results further indicate that the NOAEL values derived from the sub-chronic effects observed in the NTP study, 1993 could be regarded as worst case</w:t>
      </w:r>
    </w:p>
    <w:p w14:paraId="08D06004" w14:textId="77777777" w:rsidR="002B2163" w:rsidRPr="0098635C" w:rsidRDefault="002B2163" w:rsidP="002B2163">
      <w:pPr>
        <w:pStyle w:val="Heading3"/>
        <w:rPr>
          <w:color w:val="000000" w:themeColor="text1"/>
          <w:sz w:val="20"/>
        </w:rPr>
      </w:pPr>
      <w:bookmarkStart w:id="1875" w:name="_Toc472251711"/>
      <w:r w:rsidRPr="0098635C">
        <w:rPr>
          <w:color w:val="000000" w:themeColor="text1"/>
          <w:sz w:val="20"/>
        </w:rPr>
        <w:t>Toxicity for Reproduction</w:t>
      </w:r>
      <w:bookmarkEnd w:id="1875"/>
    </w:p>
    <w:p w14:paraId="3D003C37" w14:textId="77777777" w:rsidR="002B2163" w:rsidRPr="0098635C" w:rsidRDefault="002B2163" w:rsidP="002B2163">
      <w:pPr>
        <w:rPr>
          <w:color w:val="000000" w:themeColor="text1"/>
          <w:sz w:val="20"/>
          <w:szCs w:val="20"/>
        </w:rPr>
      </w:pPr>
      <w:r w:rsidRPr="0098635C">
        <w:rPr>
          <w:color w:val="000000" w:themeColor="text1"/>
          <w:sz w:val="20"/>
          <w:szCs w:val="20"/>
        </w:rPr>
        <w:t>There are several studies in the public domain that investigate the reproductive toxicity potential of copper and copper compounds. In many of these studies, positive or equivocal findings have been reported. However, on investigation, it has been shown that these positive findings have been the result of inappropriate routes of administration. These are namely intra peritoneal (i.p.) and intravenous (i.v.) routes. Neither of these routes of administration is representative of exposure of copper and copper compounds through normal production and use. When toxicity studies are conducted with either i.p. and i.v. routes of administration, they bypass the normal uptake and distribution mechanism that is specifically designed to protect the animal from the toxic/reactive Cu</w:t>
      </w:r>
      <w:r w:rsidRPr="0098635C">
        <w:rPr>
          <w:color w:val="000000" w:themeColor="text1"/>
          <w:sz w:val="20"/>
          <w:szCs w:val="20"/>
          <w:vertAlign w:val="superscript"/>
        </w:rPr>
        <w:t>2+</w:t>
      </w:r>
      <w:r w:rsidRPr="0098635C">
        <w:rPr>
          <w:color w:val="000000" w:themeColor="text1"/>
          <w:position w:val="16"/>
          <w:sz w:val="20"/>
          <w:szCs w:val="20"/>
        </w:rPr>
        <w:t xml:space="preserve"> </w:t>
      </w:r>
      <w:r w:rsidRPr="0098635C">
        <w:rPr>
          <w:color w:val="000000" w:themeColor="text1"/>
          <w:sz w:val="20"/>
          <w:szCs w:val="20"/>
        </w:rPr>
        <w:t xml:space="preserve">ion. </w:t>
      </w:r>
    </w:p>
    <w:p w14:paraId="4D12DDC0" w14:textId="77777777" w:rsidR="002B2163" w:rsidRPr="0098635C" w:rsidRDefault="002B2163" w:rsidP="002B2163">
      <w:pPr>
        <w:pStyle w:val="BodyText"/>
        <w:rPr>
          <w:color w:val="000000" w:themeColor="text1"/>
          <w:sz w:val="20"/>
        </w:rPr>
      </w:pPr>
      <w:r w:rsidRPr="0098635C">
        <w:rPr>
          <w:color w:val="000000" w:themeColor="text1"/>
          <w:sz w:val="20"/>
        </w:rPr>
        <w:t xml:space="preserve">The most reliable data on the effects of reproduction come from an oral-dosing two-generation reproduction toxicity study using copper sulphate and an oral-dosing teratogenicity study using copper hydroxide.  Some supporting data are provided by studies using copper sulphate.  </w:t>
      </w:r>
    </w:p>
    <w:p w14:paraId="05E6F84D" w14:textId="26BD6E2B" w:rsidR="002B2163" w:rsidRPr="0098635C" w:rsidRDefault="002B2163" w:rsidP="008D1AE9">
      <w:pPr>
        <w:pStyle w:val="BodyText"/>
        <w:rPr>
          <w:color w:val="000000" w:themeColor="text1"/>
          <w:sz w:val="20"/>
        </w:rPr>
      </w:pPr>
      <w:r w:rsidRPr="0098635C">
        <w:rPr>
          <w:color w:val="000000" w:themeColor="text1"/>
          <w:sz w:val="20"/>
        </w:rPr>
        <w:t xml:space="preserve">It is assumed that copper in the gastro-intestinal tract will occur, at least in part, in the ionic form and will therefore be available for absorption, and thus potentially available to cause effects on reproduction. The section on toxicokinetics refers to data for copper hydroxide from a bioequivalence study, indicating similarities with several copper substances (copper (I) oxide, </w:t>
      </w:r>
      <w:r w:rsidR="00236182" w:rsidRPr="0098635C">
        <w:rPr>
          <w:color w:val="000000" w:themeColor="text1"/>
          <w:sz w:val="20"/>
        </w:rPr>
        <w:t>dicopper chloride trihydroxide</w:t>
      </w:r>
      <w:r w:rsidRPr="0098635C">
        <w:rPr>
          <w:color w:val="000000" w:themeColor="text1"/>
          <w:sz w:val="20"/>
        </w:rPr>
        <w:t xml:space="preserve"> and copper sulphate). Hence, read-across from copper hydroxide to these substances is considered appropriate.  In the case of data on reproductive toxicity from copper sulphate, it is also considered appropriate to adopt a conservative approach and read-across to less soluble substances.    </w:t>
      </w:r>
    </w:p>
    <w:p w14:paraId="61A3C9DF" w14:textId="77777777" w:rsidR="002B2163" w:rsidRPr="0098635C" w:rsidRDefault="002B2163" w:rsidP="002B2163">
      <w:pPr>
        <w:pStyle w:val="Heading8"/>
        <w:rPr>
          <w:color w:val="000000" w:themeColor="text1"/>
          <w:sz w:val="20"/>
          <w:szCs w:val="20"/>
        </w:rPr>
      </w:pPr>
      <w:r w:rsidRPr="0098635C">
        <w:rPr>
          <w:color w:val="000000" w:themeColor="text1"/>
          <w:sz w:val="20"/>
          <w:szCs w:val="20"/>
        </w:rPr>
        <w:lastRenderedPageBreak/>
        <w:t>Studies in Animals</w:t>
      </w:r>
    </w:p>
    <w:p w14:paraId="638460B4" w14:textId="77777777" w:rsidR="002B2163" w:rsidRPr="0098635C" w:rsidRDefault="002B2163" w:rsidP="002B2163">
      <w:pPr>
        <w:pStyle w:val="Heading9"/>
        <w:rPr>
          <w:color w:val="000000" w:themeColor="text1"/>
          <w:sz w:val="20"/>
          <w:szCs w:val="20"/>
        </w:rPr>
      </w:pPr>
      <w:r w:rsidRPr="0098635C">
        <w:rPr>
          <w:color w:val="000000" w:themeColor="text1"/>
          <w:sz w:val="20"/>
          <w:szCs w:val="20"/>
        </w:rPr>
        <w:t>Effects on Fertility</w:t>
      </w:r>
    </w:p>
    <w:p w14:paraId="687EBA6C" w14:textId="77777777" w:rsidR="002B2163" w:rsidRPr="0098635C" w:rsidRDefault="002B2163" w:rsidP="002B2163">
      <w:pPr>
        <w:rPr>
          <w:color w:val="000000" w:themeColor="text1"/>
          <w:sz w:val="20"/>
          <w:szCs w:val="20"/>
        </w:rPr>
      </w:pPr>
      <w:r w:rsidRPr="0098635C">
        <w:rPr>
          <w:color w:val="000000" w:themeColor="text1"/>
          <w:sz w:val="20"/>
          <w:szCs w:val="20"/>
        </w:rPr>
        <w:t>Available public domain studies on the fertility of copper are of limited value to ascertain the reprotoxic potential copper compounds over multi-generations. These studies have a lower reliability rating but are reported in the table below.</w:t>
      </w:r>
    </w:p>
    <w:p w14:paraId="60C2A3B0" w14:textId="0AB1DA03" w:rsidR="002B2163" w:rsidRPr="0098635C" w:rsidRDefault="002B2163" w:rsidP="002B2163">
      <w:pPr>
        <w:spacing w:before="240" w:after="0"/>
        <w:rPr>
          <w:color w:val="000000" w:themeColor="text1"/>
          <w:sz w:val="20"/>
          <w:szCs w:val="20"/>
        </w:rPr>
      </w:pPr>
      <w:r w:rsidRPr="0098635C">
        <w:rPr>
          <w:color w:val="000000" w:themeColor="text1"/>
          <w:sz w:val="20"/>
          <w:szCs w:val="20"/>
        </w:rPr>
        <w:t>Mylchreest (2005) conducted a reliable (reliability rating R1</w:t>
      </w:r>
      <w:r w:rsidR="00F35D64" w:rsidRPr="0098635C">
        <w:rPr>
          <w:color w:val="000000" w:themeColor="text1"/>
          <w:sz w:val="20"/>
          <w:szCs w:val="20"/>
        </w:rPr>
        <w:t>) two</w:t>
      </w:r>
      <w:r w:rsidRPr="0098635C">
        <w:rPr>
          <w:color w:val="000000" w:themeColor="text1"/>
          <w:sz w:val="20"/>
          <w:szCs w:val="20"/>
        </w:rPr>
        <w:t xml:space="preserve">-generation oral reproduction study (performed in accordance with OECD test guidance 416, see </w:t>
      </w:r>
      <w:r w:rsidRPr="0098635C">
        <w:rPr>
          <w:color w:val="000000" w:themeColor="text1"/>
          <w:sz w:val="20"/>
          <w:szCs w:val="20"/>
        </w:rPr>
        <w:fldChar w:fldCharType="begin"/>
      </w:r>
      <w:r w:rsidRPr="0098635C">
        <w:rPr>
          <w:color w:val="000000" w:themeColor="text1"/>
          <w:sz w:val="20"/>
          <w:szCs w:val="20"/>
        </w:rPr>
        <w:instrText xml:space="preserve"> REF _Ref260390002 \h </w:instrText>
      </w:r>
      <w:r w:rsidR="00696E32" w:rsidRPr="0098635C">
        <w:rPr>
          <w:color w:val="000000" w:themeColor="text1"/>
          <w:sz w:val="20"/>
          <w:szCs w:val="20"/>
        </w:rPr>
        <w:instrText xml:space="preserve"> \* MERGEFORMAT </w:instrText>
      </w:r>
      <w:r w:rsidRPr="0098635C">
        <w:rPr>
          <w:color w:val="000000" w:themeColor="text1"/>
          <w:sz w:val="20"/>
          <w:szCs w:val="20"/>
        </w:rPr>
      </w:r>
      <w:r w:rsidRPr="0098635C">
        <w:rPr>
          <w:color w:val="000000" w:themeColor="text1"/>
          <w:sz w:val="20"/>
          <w:szCs w:val="20"/>
        </w:rPr>
        <w:fldChar w:fldCharType="separate"/>
      </w:r>
      <w:r w:rsidR="005E5161" w:rsidRPr="0098635C">
        <w:rPr>
          <w:b/>
          <w:color w:val="000000" w:themeColor="text1"/>
          <w:sz w:val="20"/>
          <w:szCs w:val="20"/>
        </w:rPr>
        <w:t>Table</w:t>
      </w:r>
      <w:r w:rsidR="005E5161" w:rsidRPr="0098635C">
        <w:rPr>
          <w:color w:val="000000" w:themeColor="text1"/>
          <w:sz w:val="20"/>
          <w:szCs w:val="20"/>
        </w:rPr>
        <w:t xml:space="preserve"> </w:t>
      </w:r>
      <w:r w:rsidR="005E5161" w:rsidRPr="0098635C">
        <w:rPr>
          <w:noProof/>
          <w:color w:val="000000" w:themeColor="text1"/>
          <w:sz w:val="20"/>
          <w:szCs w:val="20"/>
        </w:rPr>
        <w:t>24</w:t>
      </w:r>
      <w:r w:rsidRPr="0098635C">
        <w:rPr>
          <w:color w:val="000000" w:themeColor="text1"/>
          <w:sz w:val="20"/>
          <w:szCs w:val="20"/>
        </w:rPr>
        <w:fldChar w:fldCharType="end"/>
      </w:r>
      <w:r w:rsidRPr="0098635C">
        <w:rPr>
          <w:color w:val="000000" w:themeColor="text1"/>
          <w:sz w:val="20"/>
          <w:szCs w:val="20"/>
        </w:rPr>
        <w:t>), and reported a reduced spleen weight. The OECD document ENV/JM/MONO(2001) “Definition of reproductive toxicity” states that the spleen effect cannot be considered a reproductive effect; for a compound to be considered to be a reproductive toxin ‘</w:t>
      </w:r>
      <w:r w:rsidRPr="0098635C">
        <w:rPr>
          <w:i/>
          <w:color w:val="000000" w:themeColor="text1"/>
          <w:sz w:val="20"/>
          <w:szCs w:val="20"/>
        </w:rPr>
        <w:t>data for animal studies ideally should provide clear evidence of specific reproductive toxicity in the absence of other, systemic, toxic effects’</w:t>
      </w:r>
      <w:r w:rsidRPr="0098635C">
        <w:rPr>
          <w:color w:val="000000" w:themeColor="text1"/>
          <w:sz w:val="20"/>
          <w:szCs w:val="20"/>
        </w:rPr>
        <w:t>. As the results of this study do not indicate specific reproductive toxicity at the highest dose level tested, it is proposed that copper sulphate and, after read-across, copper and copper compounds, are not toxic to reproduction.</w:t>
      </w:r>
    </w:p>
    <w:p w14:paraId="260E8AB4" w14:textId="77777777" w:rsidR="002B2163" w:rsidRPr="0098635C" w:rsidRDefault="002B2163" w:rsidP="002B2163">
      <w:pPr>
        <w:spacing w:after="0"/>
        <w:rPr>
          <w:rFonts w:ascii="Times" w:hAnsi="Times" w:cs="Times"/>
          <w:color w:val="000000" w:themeColor="text1"/>
          <w:sz w:val="20"/>
          <w:szCs w:val="20"/>
        </w:rPr>
      </w:pPr>
      <w:r w:rsidRPr="0098635C">
        <w:rPr>
          <w:color w:val="000000" w:themeColor="text1"/>
          <w:sz w:val="20"/>
          <w:szCs w:val="20"/>
        </w:rPr>
        <w:t>The results of the multigeneration study should be interpreted in conjunction with the rest of the toxicology database for copper. The following findings are considered relevant when evaluating the reproductive and developmental toxicity potential of the test substance:</w:t>
      </w:r>
    </w:p>
    <w:p w14:paraId="16EBE739" w14:textId="77777777" w:rsidR="002B2163" w:rsidRPr="0098635C" w:rsidRDefault="002B2163" w:rsidP="0059369A">
      <w:pPr>
        <w:pStyle w:val="ListParagraph"/>
        <w:numPr>
          <w:ilvl w:val="0"/>
          <w:numId w:val="29"/>
        </w:numPr>
        <w:ind w:left="714" w:hanging="357"/>
        <w:rPr>
          <w:rFonts w:ascii="Times" w:hAnsi="Times" w:cs="Times"/>
          <w:color w:val="000000" w:themeColor="text1"/>
          <w:sz w:val="20"/>
          <w:szCs w:val="20"/>
        </w:rPr>
      </w:pPr>
      <w:r w:rsidRPr="0098635C">
        <w:rPr>
          <w:color w:val="000000" w:themeColor="text1"/>
          <w:sz w:val="20"/>
          <w:szCs w:val="20"/>
        </w:rPr>
        <w:t>Subchronic and chronic studies show no adverse effects on reproductive organs or endocrine functions,</w:t>
      </w:r>
    </w:p>
    <w:p w14:paraId="73122249" w14:textId="77777777" w:rsidR="002B2163" w:rsidRPr="0098635C" w:rsidRDefault="002B2163" w:rsidP="0059369A">
      <w:pPr>
        <w:pStyle w:val="ListParagraph"/>
        <w:numPr>
          <w:ilvl w:val="0"/>
          <w:numId w:val="29"/>
        </w:numPr>
        <w:spacing w:before="120"/>
        <w:rPr>
          <w:rFonts w:ascii="Times" w:hAnsi="Times" w:cs="Times"/>
          <w:color w:val="000000" w:themeColor="text1"/>
          <w:sz w:val="20"/>
          <w:szCs w:val="20"/>
        </w:rPr>
      </w:pPr>
      <w:r w:rsidRPr="0098635C">
        <w:rPr>
          <w:color w:val="000000" w:themeColor="text1"/>
          <w:sz w:val="20"/>
          <w:szCs w:val="20"/>
        </w:rPr>
        <w:t>Copper salts show no indication of genotoxicity.</w:t>
      </w:r>
    </w:p>
    <w:p w14:paraId="48864221" w14:textId="77777777" w:rsidR="002B2163" w:rsidRPr="0098635C" w:rsidRDefault="002B2163" w:rsidP="008D1AE9">
      <w:pPr>
        <w:pStyle w:val="BodyText"/>
        <w:rPr>
          <w:color w:val="000000" w:themeColor="text1"/>
          <w:sz w:val="20"/>
          <w:lang w:val="en-US"/>
        </w:rPr>
      </w:pPr>
    </w:p>
    <w:p w14:paraId="732F1DD1" w14:textId="77777777" w:rsidR="00696E32" w:rsidRPr="0098635C" w:rsidRDefault="00696E32" w:rsidP="00696E32">
      <w:pPr>
        <w:pStyle w:val="BodyText"/>
        <w:rPr>
          <w:color w:val="000000" w:themeColor="text1"/>
          <w:sz w:val="20"/>
        </w:rPr>
      </w:pPr>
      <w:r w:rsidRPr="0098635C">
        <w:rPr>
          <w:color w:val="000000" w:themeColor="text1"/>
          <w:sz w:val="20"/>
        </w:rPr>
        <w:t>In addition, a repeated dose toxicity study by Hébert (1993) showed no effect on reproductive parameters measured at doses up to and including 68 (rats) and 536 mg Cu/kg diet (mice) (endpoints: male reproductive organ weights, spermatid or spematozoal measurements, oestrous cycle length or proportion of oestrous cycle spent in each stage).</w:t>
      </w:r>
    </w:p>
    <w:p w14:paraId="09A257F6" w14:textId="77777777" w:rsidR="00696E32" w:rsidRPr="0098635C" w:rsidRDefault="00696E32" w:rsidP="008D1AE9">
      <w:pPr>
        <w:pStyle w:val="BodyText"/>
        <w:rPr>
          <w:color w:val="000000" w:themeColor="text1"/>
          <w:sz w:val="20"/>
          <w:lang w:val="en-US"/>
        </w:rPr>
        <w:sectPr w:rsidR="00696E32" w:rsidRPr="0098635C">
          <w:pgSz w:w="11907" w:h="16840" w:code="9"/>
          <w:pgMar w:top="1418" w:right="1134" w:bottom="1134" w:left="1134" w:header="737" w:footer="737" w:gutter="0"/>
          <w:cols w:space="720"/>
          <w:docGrid w:linePitch="360"/>
        </w:sectPr>
      </w:pPr>
    </w:p>
    <w:p w14:paraId="7612FD41" w14:textId="51BF0813" w:rsidR="008D1AE9" w:rsidRPr="0098635C" w:rsidRDefault="008D1AE9" w:rsidP="00AE0C21">
      <w:pPr>
        <w:pStyle w:val="Caption"/>
        <w:ind w:left="0"/>
        <w:jc w:val="center"/>
        <w:rPr>
          <w:b w:val="0"/>
          <w:color w:val="000000" w:themeColor="text1"/>
          <w:sz w:val="20"/>
          <w:lang w:val="en-GB"/>
        </w:rPr>
      </w:pPr>
      <w:bookmarkStart w:id="1876" w:name="_Toc471999080"/>
      <w:bookmarkStart w:id="1877" w:name="_Toc472000348"/>
      <w:bookmarkStart w:id="1878" w:name="_Ref260390002"/>
      <w:bookmarkStart w:id="1879" w:name="_Toc260063734"/>
      <w:bookmarkEnd w:id="1876"/>
      <w:bookmarkEnd w:id="1877"/>
      <w:r w:rsidRPr="0098635C">
        <w:rPr>
          <w:b w:val="0"/>
          <w:color w:val="000000" w:themeColor="text1"/>
          <w:sz w:val="20"/>
          <w:lang w:val="en-GB"/>
        </w:rPr>
        <w:lastRenderedPageBreak/>
        <w:t xml:space="preserve">Table </w:t>
      </w:r>
      <w:r w:rsidR="00E230FB" w:rsidRPr="0098635C">
        <w:rPr>
          <w:b w:val="0"/>
          <w:color w:val="000000" w:themeColor="text1"/>
          <w:sz w:val="20"/>
          <w:lang w:val="en-GB"/>
        </w:rPr>
        <w:fldChar w:fldCharType="begin"/>
      </w:r>
      <w:r w:rsidRPr="0098635C">
        <w:rPr>
          <w:b w:val="0"/>
          <w:color w:val="000000" w:themeColor="text1"/>
          <w:sz w:val="20"/>
          <w:lang w:val="en-GB"/>
        </w:rPr>
        <w:instrText xml:space="preserve"> SEQ Table \* ARABIC </w:instrText>
      </w:r>
      <w:r w:rsidR="00E230FB" w:rsidRPr="0098635C">
        <w:rPr>
          <w:b w:val="0"/>
          <w:color w:val="000000" w:themeColor="text1"/>
          <w:sz w:val="20"/>
          <w:lang w:val="en-GB"/>
        </w:rPr>
        <w:fldChar w:fldCharType="separate"/>
      </w:r>
      <w:r w:rsidR="005E5161" w:rsidRPr="0098635C">
        <w:rPr>
          <w:b w:val="0"/>
          <w:noProof/>
          <w:color w:val="000000" w:themeColor="text1"/>
          <w:sz w:val="20"/>
          <w:lang w:val="en-GB"/>
        </w:rPr>
        <w:t>24</w:t>
      </w:r>
      <w:r w:rsidR="00E230FB" w:rsidRPr="0098635C">
        <w:rPr>
          <w:b w:val="0"/>
          <w:color w:val="000000" w:themeColor="text1"/>
          <w:sz w:val="20"/>
          <w:lang w:val="en-GB"/>
        </w:rPr>
        <w:fldChar w:fldCharType="end"/>
      </w:r>
      <w:bookmarkEnd w:id="1878"/>
      <w:r w:rsidRPr="0098635C">
        <w:rPr>
          <w:b w:val="0"/>
          <w:color w:val="000000" w:themeColor="text1"/>
          <w:sz w:val="20"/>
          <w:lang w:val="en-GB"/>
        </w:rPr>
        <w:t>: Overview of experimental studies on reproduction</w:t>
      </w:r>
      <w:bookmarkEnd w:id="1879"/>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0"/>
        <w:gridCol w:w="1633"/>
        <w:gridCol w:w="1560"/>
        <w:gridCol w:w="1417"/>
        <w:gridCol w:w="1276"/>
        <w:gridCol w:w="2551"/>
      </w:tblGrid>
      <w:tr w:rsidR="008D1AE9" w:rsidRPr="0098635C" w14:paraId="49701AC7" w14:textId="77777777" w:rsidTr="00AF385A">
        <w:trPr>
          <w:trHeight w:val="576"/>
          <w:tblHeader/>
        </w:trPr>
        <w:tc>
          <w:tcPr>
            <w:tcW w:w="1310" w:type="dxa"/>
            <w:tcMar>
              <w:top w:w="20" w:type="nil"/>
              <w:left w:w="20" w:type="nil"/>
              <w:bottom w:w="20" w:type="nil"/>
              <w:right w:w="20" w:type="nil"/>
            </w:tcMar>
            <w:vAlign w:val="center"/>
          </w:tcPr>
          <w:p w14:paraId="518A8D30" w14:textId="77777777" w:rsidR="008D1AE9" w:rsidRPr="0098635C" w:rsidRDefault="008D1AE9" w:rsidP="00AF385A">
            <w:pPr>
              <w:pStyle w:val="NoteLevel211"/>
              <w:jc w:val="left"/>
              <w:rPr>
                <w:b/>
                <w:color w:val="000000" w:themeColor="text1"/>
              </w:rPr>
            </w:pPr>
            <w:bookmarkStart w:id="1880" w:name="_Toc472000350"/>
            <w:bookmarkStart w:id="1881" w:name="_Toc472251712"/>
            <w:r w:rsidRPr="0098635C">
              <w:rPr>
                <w:b/>
                <w:color w:val="000000" w:themeColor="text1"/>
              </w:rPr>
              <w:t>Reference</w:t>
            </w:r>
            <w:bookmarkEnd w:id="1880"/>
            <w:bookmarkEnd w:id="1881"/>
          </w:p>
        </w:tc>
        <w:tc>
          <w:tcPr>
            <w:tcW w:w="1633" w:type="dxa"/>
            <w:tcMar>
              <w:top w:w="20" w:type="nil"/>
              <w:left w:w="20" w:type="nil"/>
              <w:bottom w:w="20" w:type="nil"/>
              <w:right w:w="20" w:type="nil"/>
            </w:tcMar>
            <w:vAlign w:val="center"/>
          </w:tcPr>
          <w:p w14:paraId="4B575DE7" w14:textId="77777777" w:rsidR="008D1AE9" w:rsidRPr="0098635C" w:rsidRDefault="008D1AE9" w:rsidP="00AF385A">
            <w:pPr>
              <w:pStyle w:val="NoteLevel211"/>
              <w:jc w:val="left"/>
              <w:rPr>
                <w:b/>
                <w:color w:val="000000" w:themeColor="text1"/>
              </w:rPr>
            </w:pPr>
            <w:bookmarkStart w:id="1882" w:name="_Toc472000351"/>
            <w:bookmarkStart w:id="1883" w:name="_Toc472251713"/>
            <w:r w:rsidRPr="0098635C">
              <w:rPr>
                <w:b/>
                <w:color w:val="000000" w:themeColor="text1"/>
              </w:rPr>
              <w:t>Substance</w:t>
            </w:r>
            <w:bookmarkEnd w:id="1882"/>
            <w:bookmarkEnd w:id="1883"/>
          </w:p>
        </w:tc>
        <w:tc>
          <w:tcPr>
            <w:tcW w:w="1560" w:type="dxa"/>
            <w:tcMar>
              <w:top w:w="20" w:type="nil"/>
              <w:left w:w="20" w:type="nil"/>
              <w:bottom w:w="20" w:type="nil"/>
              <w:right w:w="20" w:type="nil"/>
            </w:tcMar>
            <w:vAlign w:val="center"/>
          </w:tcPr>
          <w:p w14:paraId="71BA3D3C" w14:textId="77777777" w:rsidR="008D1AE9" w:rsidRPr="0098635C" w:rsidRDefault="008D1AE9" w:rsidP="00AF385A">
            <w:pPr>
              <w:pStyle w:val="NoteLevel211"/>
              <w:jc w:val="left"/>
              <w:rPr>
                <w:b/>
                <w:color w:val="000000" w:themeColor="text1"/>
              </w:rPr>
            </w:pPr>
            <w:bookmarkStart w:id="1884" w:name="_Toc472000352"/>
            <w:bookmarkStart w:id="1885" w:name="_Toc472251714"/>
            <w:r w:rsidRPr="0098635C">
              <w:rPr>
                <w:b/>
                <w:color w:val="000000" w:themeColor="text1"/>
              </w:rPr>
              <w:t>Method</w:t>
            </w:r>
            <w:bookmarkEnd w:id="1884"/>
            <w:bookmarkEnd w:id="1885"/>
          </w:p>
        </w:tc>
        <w:tc>
          <w:tcPr>
            <w:tcW w:w="1417" w:type="dxa"/>
            <w:vAlign w:val="center"/>
          </w:tcPr>
          <w:p w14:paraId="10CC0A3B" w14:textId="77777777" w:rsidR="008D1AE9" w:rsidRPr="0098635C" w:rsidRDefault="008D1AE9" w:rsidP="00AF385A">
            <w:pPr>
              <w:pStyle w:val="NoteLevel211"/>
              <w:jc w:val="left"/>
              <w:rPr>
                <w:b/>
                <w:color w:val="000000" w:themeColor="text1"/>
              </w:rPr>
            </w:pPr>
            <w:bookmarkStart w:id="1886" w:name="_Toc472000353"/>
            <w:bookmarkStart w:id="1887" w:name="_Toc472251715"/>
            <w:r w:rsidRPr="0098635C">
              <w:rPr>
                <w:b/>
                <w:color w:val="000000" w:themeColor="text1"/>
              </w:rPr>
              <w:t>Test animals</w:t>
            </w:r>
            <w:bookmarkEnd w:id="1886"/>
            <w:bookmarkEnd w:id="1887"/>
          </w:p>
        </w:tc>
        <w:tc>
          <w:tcPr>
            <w:tcW w:w="1276" w:type="dxa"/>
            <w:vAlign w:val="center"/>
          </w:tcPr>
          <w:p w14:paraId="7EB12E68" w14:textId="77777777" w:rsidR="008D1AE9" w:rsidRPr="0098635C" w:rsidRDefault="008D1AE9" w:rsidP="00AF385A">
            <w:pPr>
              <w:pStyle w:val="NoteLevel211"/>
              <w:rPr>
                <w:b/>
                <w:color w:val="000000" w:themeColor="text1"/>
              </w:rPr>
            </w:pPr>
            <w:bookmarkStart w:id="1888" w:name="_Toc472000354"/>
            <w:bookmarkStart w:id="1889" w:name="_Toc472251716"/>
            <w:r w:rsidRPr="0098635C">
              <w:rPr>
                <w:b/>
                <w:color w:val="000000" w:themeColor="text1"/>
              </w:rPr>
              <w:t>Dose levels</w:t>
            </w:r>
            <w:bookmarkEnd w:id="1888"/>
            <w:bookmarkEnd w:id="1889"/>
          </w:p>
        </w:tc>
        <w:tc>
          <w:tcPr>
            <w:tcW w:w="2551" w:type="dxa"/>
            <w:tcMar>
              <w:top w:w="20" w:type="nil"/>
              <w:left w:w="20" w:type="nil"/>
              <w:bottom w:w="20" w:type="nil"/>
              <w:right w:w="20" w:type="nil"/>
            </w:tcMar>
            <w:vAlign w:val="center"/>
          </w:tcPr>
          <w:p w14:paraId="6E4E35BA" w14:textId="77777777" w:rsidR="008D1AE9" w:rsidRPr="0098635C" w:rsidRDefault="008D1AE9" w:rsidP="00AF385A">
            <w:pPr>
              <w:pStyle w:val="NoteLevel211"/>
              <w:rPr>
                <w:b/>
                <w:color w:val="000000" w:themeColor="text1"/>
              </w:rPr>
            </w:pPr>
            <w:bookmarkStart w:id="1890" w:name="_Toc472000355"/>
            <w:bookmarkStart w:id="1891" w:name="_Toc472251717"/>
            <w:r w:rsidRPr="0098635C">
              <w:rPr>
                <w:b/>
                <w:color w:val="000000" w:themeColor="text1"/>
              </w:rPr>
              <w:t>Results</w:t>
            </w:r>
            <w:bookmarkEnd w:id="1890"/>
            <w:bookmarkEnd w:id="1891"/>
          </w:p>
        </w:tc>
      </w:tr>
      <w:tr w:rsidR="008D1AE9" w:rsidRPr="0098635C" w14:paraId="1A39BE1F" w14:textId="77777777" w:rsidTr="00AF385A">
        <w:tc>
          <w:tcPr>
            <w:tcW w:w="1310" w:type="dxa"/>
            <w:tcMar>
              <w:top w:w="20" w:type="nil"/>
              <w:left w:w="20" w:type="nil"/>
              <w:bottom w:w="20" w:type="nil"/>
              <w:right w:w="20" w:type="nil"/>
            </w:tcMar>
          </w:tcPr>
          <w:p w14:paraId="6CC02805" w14:textId="77777777" w:rsidR="008D1AE9" w:rsidRPr="0098635C" w:rsidRDefault="008D1AE9" w:rsidP="00AF385A">
            <w:pPr>
              <w:pStyle w:val="NoteLevel211"/>
              <w:jc w:val="left"/>
              <w:rPr>
                <w:color w:val="000000" w:themeColor="text1"/>
              </w:rPr>
            </w:pPr>
            <w:bookmarkStart w:id="1892" w:name="_Toc472000356"/>
            <w:bookmarkStart w:id="1893" w:name="_Toc472251718"/>
            <w:r w:rsidRPr="0098635C">
              <w:rPr>
                <w:color w:val="000000" w:themeColor="text1"/>
              </w:rPr>
              <w:t>Mylchreest (2005)</w:t>
            </w:r>
            <w:bookmarkEnd w:id="1892"/>
            <w:bookmarkEnd w:id="1893"/>
          </w:p>
        </w:tc>
        <w:tc>
          <w:tcPr>
            <w:tcW w:w="1633" w:type="dxa"/>
            <w:tcMar>
              <w:top w:w="20" w:type="nil"/>
              <w:left w:w="20" w:type="nil"/>
              <w:bottom w:w="20" w:type="nil"/>
              <w:right w:w="20" w:type="nil"/>
            </w:tcMar>
          </w:tcPr>
          <w:p w14:paraId="22CC3EF4" w14:textId="77777777" w:rsidR="008D1AE9" w:rsidRPr="0098635C" w:rsidRDefault="008D1AE9" w:rsidP="00AF385A">
            <w:pPr>
              <w:pStyle w:val="NoteLevel211"/>
              <w:jc w:val="left"/>
              <w:rPr>
                <w:color w:val="000000" w:themeColor="text1"/>
              </w:rPr>
            </w:pPr>
            <w:bookmarkStart w:id="1894" w:name="_Toc472000357"/>
            <w:bookmarkStart w:id="1895" w:name="_Toc472251719"/>
            <w:r w:rsidRPr="0098635C">
              <w:rPr>
                <w:color w:val="000000" w:themeColor="text1"/>
              </w:rPr>
              <w:t>Cu</w:t>
            </w:r>
            <w:r w:rsidRPr="0098635C">
              <w:rPr>
                <w:color w:val="000000" w:themeColor="text1"/>
                <w:vertAlign w:val="superscript"/>
              </w:rPr>
              <w:t>2+</w:t>
            </w:r>
            <w:r w:rsidRPr="0098635C">
              <w:rPr>
                <w:color w:val="000000" w:themeColor="text1"/>
              </w:rPr>
              <w:t xml:space="preserve"> as copper sulphate pentahydrate</w:t>
            </w:r>
            <w:bookmarkEnd w:id="1894"/>
            <w:bookmarkEnd w:id="1895"/>
          </w:p>
        </w:tc>
        <w:tc>
          <w:tcPr>
            <w:tcW w:w="1560" w:type="dxa"/>
            <w:tcMar>
              <w:top w:w="20" w:type="nil"/>
              <w:left w:w="20" w:type="nil"/>
              <w:bottom w:w="20" w:type="nil"/>
              <w:right w:w="20" w:type="nil"/>
            </w:tcMar>
          </w:tcPr>
          <w:p w14:paraId="1097E94A" w14:textId="77777777" w:rsidR="008D1AE9" w:rsidRPr="0098635C" w:rsidRDefault="008D1AE9" w:rsidP="00AF385A">
            <w:pPr>
              <w:pStyle w:val="NoteLevel211"/>
              <w:jc w:val="left"/>
              <w:rPr>
                <w:color w:val="000000" w:themeColor="text1"/>
              </w:rPr>
            </w:pPr>
            <w:bookmarkStart w:id="1896" w:name="_Toc472000358"/>
            <w:bookmarkStart w:id="1897" w:name="_Toc472251720"/>
            <w:r w:rsidRPr="0098635C">
              <w:rPr>
                <w:color w:val="000000" w:themeColor="text1"/>
              </w:rPr>
              <w:t>EPA OPPTS 870.3800</w:t>
            </w:r>
            <w:r w:rsidRPr="0098635C">
              <w:rPr>
                <w:color w:val="000000" w:themeColor="text1"/>
              </w:rPr>
              <w:br/>
              <w:t>OECD 416</w:t>
            </w:r>
            <w:r w:rsidRPr="0098635C">
              <w:rPr>
                <w:color w:val="000000" w:themeColor="text1"/>
              </w:rPr>
              <w:br/>
              <w:t>oral: feed</w:t>
            </w:r>
            <w:bookmarkEnd w:id="1896"/>
            <w:bookmarkEnd w:id="1897"/>
          </w:p>
        </w:tc>
        <w:tc>
          <w:tcPr>
            <w:tcW w:w="1417" w:type="dxa"/>
          </w:tcPr>
          <w:p w14:paraId="63B1B12C" w14:textId="4C3832A0" w:rsidR="008D1AE9" w:rsidRPr="0098635C" w:rsidRDefault="00B22998" w:rsidP="00AF385A">
            <w:pPr>
              <w:pStyle w:val="NoteLevel211"/>
              <w:jc w:val="left"/>
              <w:rPr>
                <w:color w:val="000000" w:themeColor="text1"/>
              </w:rPr>
            </w:pPr>
            <w:bookmarkStart w:id="1898" w:name="_Toc472000359"/>
            <w:bookmarkStart w:id="1899" w:name="_Toc472251721"/>
            <w:r w:rsidRPr="0098635C">
              <w:rPr>
                <w:color w:val="000000" w:themeColor="text1"/>
              </w:rPr>
              <w:t>Holzman rats</w:t>
            </w:r>
            <w:r w:rsidRPr="0098635C" w:rsidDel="00B22998">
              <w:rPr>
                <w:color w:val="000000" w:themeColor="text1"/>
              </w:rPr>
              <w:t xml:space="preserve"> </w:t>
            </w:r>
            <w:r w:rsidR="008D1AE9" w:rsidRPr="0098635C">
              <w:rPr>
                <w:color w:val="000000" w:themeColor="text1"/>
              </w:rPr>
              <w:t>(Crl:CD®(SD)IGS BR), m/f</w:t>
            </w:r>
            <w:bookmarkEnd w:id="1898"/>
            <w:bookmarkEnd w:id="1899"/>
          </w:p>
          <w:p w14:paraId="2EDD7CC6" w14:textId="32E6D394" w:rsidR="00B22998" w:rsidRPr="0098635C" w:rsidRDefault="00B22998" w:rsidP="00AF385A">
            <w:pPr>
              <w:pStyle w:val="NoteLevel211"/>
              <w:jc w:val="left"/>
              <w:rPr>
                <w:color w:val="000000" w:themeColor="text1"/>
              </w:rPr>
            </w:pPr>
            <w:bookmarkStart w:id="1900" w:name="_Toc472000360"/>
            <w:bookmarkStart w:id="1901" w:name="_Toc472251722"/>
            <w:r w:rsidRPr="0098635C">
              <w:rPr>
                <w:color w:val="000000" w:themeColor="text1"/>
              </w:rPr>
              <w:t>10 animals/group</w:t>
            </w:r>
            <w:bookmarkEnd w:id="1900"/>
            <w:bookmarkEnd w:id="1901"/>
          </w:p>
        </w:tc>
        <w:tc>
          <w:tcPr>
            <w:tcW w:w="1276" w:type="dxa"/>
          </w:tcPr>
          <w:p w14:paraId="020876F3" w14:textId="77777777" w:rsidR="008D1AE9" w:rsidRPr="0098635C" w:rsidRDefault="008D1AE9" w:rsidP="00AF385A">
            <w:pPr>
              <w:pStyle w:val="NoteLevel211"/>
              <w:rPr>
                <w:color w:val="000000" w:themeColor="text1"/>
              </w:rPr>
            </w:pPr>
            <w:bookmarkStart w:id="1902" w:name="_Toc472000361"/>
            <w:bookmarkStart w:id="1903" w:name="_Toc472251723"/>
            <w:r w:rsidRPr="0098635C">
              <w:rPr>
                <w:color w:val="000000" w:themeColor="text1"/>
              </w:rPr>
              <w:t>0, 100, 500, 1000 and 1500 ppm</w:t>
            </w:r>
            <w:bookmarkEnd w:id="1902"/>
            <w:bookmarkEnd w:id="1903"/>
          </w:p>
        </w:tc>
        <w:tc>
          <w:tcPr>
            <w:tcW w:w="2551" w:type="dxa"/>
            <w:tcMar>
              <w:top w:w="20" w:type="nil"/>
              <w:left w:w="20" w:type="nil"/>
              <w:bottom w:w="20" w:type="nil"/>
              <w:right w:w="20" w:type="nil"/>
            </w:tcMar>
          </w:tcPr>
          <w:p w14:paraId="19C7F28A" w14:textId="77777777" w:rsidR="008D1AE9" w:rsidRPr="0098635C" w:rsidRDefault="008D1AE9" w:rsidP="00AF385A">
            <w:pPr>
              <w:pStyle w:val="NoteLevel211"/>
              <w:rPr>
                <w:color w:val="000000" w:themeColor="text1"/>
              </w:rPr>
            </w:pPr>
            <w:bookmarkStart w:id="1904" w:name="_Toc472000362"/>
            <w:bookmarkStart w:id="1905" w:name="_Toc472251724"/>
            <w:r w:rsidRPr="0098635C">
              <w:rPr>
                <w:color w:val="000000" w:themeColor="text1"/>
              </w:rPr>
              <w:t>LOAEL (P): &gt;1500 ppm (m)</w:t>
            </w:r>
            <w:bookmarkEnd w:id="1904"/>
            <w:bookmarkEnd w:id="1905"/>
          </w:p>
          <w:p w14:paraId="26B05CB2" w14:textId="77777777" w:rsidR="008D1AE9" w:rsidRPr="0098635C" w:rsidRDefault="008D1AE9" w:rsidP="00AF385A">
            <w:pPr>
              <w:pStyle w:val="NoteLevel211"/>
              <w:rPr>
                <w:color w:val="000000" w:themeColor="text1"/>
              </w:rPr>
            </w:pPr>
            <w:bookmarkStart w:id="1906" w:name="_Toc472000363"/>
            <w:bookmarkStart w:id="1907" w:name="_Toc472251725"/>
            <w:r w:rsidRPr="0098635C">
              <w:rPr>
                <w:color w:val="000000" w:themeColor="text1"/>
              </w:rPr>
              <w:t>LOAEL (P): 1500 ppm (f)</w:t>
            </w:r>
            <w:bookmarkEnd w:id="1906"/>
            <w:bookmarkEnd w:id="1907"/>
          </w:p>
          <w:p w14:paraId="56E0EADC" w14:textId="77777777" w:rsidR="008D1AE9" w:rsidRPr="0098635C" w:rsidRDefault="008D1AE9" w:rsidP="00AF385A">
            <w:pPr>
              <w:pStyle w:val="NoteLevel211"/>
              <w:rPr>
                <w:color w:val="000000" w:themeColor="text1"/>
              </w:rPr>
            </w:pPr>
            <w:bookmarkStart w:id="1908" w:name="_Toc472000364"/>
            <w:bookmarkStart w:id="1909" w:name="_Toc472251726"/>
            <w:r w:rsidRPr="0098635C">
              <w:rPr>
                <w:color w:val="000000" w:themeColor="text1"/>
              </w:rPr>
              <w:t>LOAEL (F1): 1500 ppm (m)</w:t>
            </w:r>
            <w:bookmarkEnd w:id="1908"/>
            <w:bookmarkEnd w:id="1909"/>
          </w:p>
          <w:p w14:paraId="0D9EDDBB" w14:textId="77777777" w:rsidR="008D1AE9" w:rsidRPr="0098635C" w:rsidRDefault="008D1AE9" w:rsidP="00AF385A">
            <w:pPr>
              <w:pStyle w:val="NoteLevel211"/>
              <w:rPr>
                <w:color w:val="000000" w:themeColor="text1"/>
              </w:rPr>
            </w:pPr>
            <w:bookmarkStart w:id="1910" w:name="_Toc472000365"/>
            <w:bookmarkStart w:id="1911" w:name="_Toc472251727"/>
            <w:r w:rsidRPr="0098635C">
              <w:rPr>
                <w:color w:val="000000" w:themeColor="text1"/>
              </w:rPr>
              <w:t>LOAEL (F1): 1500 ppm (f)</w:t>
            </w:r>
            <w:bookmarkEnd w:id="1910"/>
            <w:bookmarkEnd w:id="1911"/>
          </w:p>
          <w:p w14:paraId="22AD0050" w14:textId="77777777" w:rsidR="008D1AE9" w:rsidRPr="0098635C" w:rsidRDefault="008D1AE9" w:rsidP="00AF385A">
            <w:pPr>
              <w:pStyle w:val="NoteLevel211"/>
              <w:rPr>
                <w:color w:val="000000" w:themeColor="text1"/>
              </w:rPr>
            </w:pPr>
            <w:bookmarkStart w:id="1912" w:name="_Toc472000366"/>
            <w:bookmarkStart w:id="1913" w:name="_Toc472251728"/>
            <w:r w:rsidRPr="0098635C">
              <w:rPr>
                <w:color w:val="000000" w:themeColor="text1"/>
              </w:rPr>
              <w:t>LOAEL (F2): 1500 ppm</w:t>
            </w:r>
            <w:bookmarkEnd w:id="1912"/>
            <w:bookmarkEnd w:id="1913"/>
          </w:p>
          <w:p w14:paraId="61F1CB70" w14:textId="77777777" w:rsidR="008D1AE9" w:rsidRPr="0098635C" w:rsidRDefault="008D1AE9" w:rsidP="00AF385A">
            <w:pPr>
              <w:pStyle w:val="NoteLevel211"/>
              <w:rPr>
                <w:color w:val="000000" w:themeColor="text1"/>
              </w:rPr>
            </w:pPr>
            <w:bookmarkStart w:id="1914" w:name="_Toc472000367"/>
            <w:bookmarkStart w:id="1915" w:name="_Toc472251729"/>
            <w:r w:rsidRPr="0098635C">
              <w:rPr>
                <w:color w:val="000000" w:themeColor="text1"/>
              </w:rPr>
              <w:t>LOAEL (F2): 1500 ppm (f)</w:t>
            </w:r>
            <w:bookmarkEnd w:id="1914"/>
            <w:bookmarkEnd w:id="1915"/>
          </w:p>
          <w:p w14:paraId="14166161" w14:textId="77777777" w:rsidR="008D1AE9" w:rsidRPr="0098635C" w:rsidRDefault="008D1AE9" w:rsidP="00AF385A">
            <w:pPr>
              <w:pStyle w:val="NoteLevel211"/>
              <w:rPr>
                <w:color w:val="000000" w:themeColor="text1"/>
              </w:rPr>
            </w:pPr>
            <w:bookmarkStart w:id="1916" w:name="_Toc472000368"/>
            <w:bookmarkStart w:id="1917" w:name="_Toc472251730"/>
            <w:r w:rsidRPr="0098635C">
              <w:rPr>
                <w:color w:val="000000" w:themeColor="text1"/>
              </w:rPr>
              <w:t>NOAEL (P): 1500 ppm (m)</w:t>
            </w:r>
            <w:bookmarkEnd w:id="1916"/>
            <w:bookmarkEnd w:id="1917"/>
          </w:p>
          <w:p w14:paraId="39A289F9" w14:textId="77777777" w:rsidR="008D1AE9" w:rsidRPr="0098635C" w:rsidRDefault="008D1AE9" w:rsidP="00AF385A">
            <w:pPr>
              <w:pStyle w:val="NoteLevel211"/>
              <w:rPr>
                <w:color w:val="000000" w:themeColor="text1"/>
              </w:rPr>
            </w:pPr>
            <w:bookmarkStart w:id="1918" w:name="_Toc472000369"/>
            <w:bookmarkStart w:id="1919" w:name="_Toc472251731"/>
            <w:r w:rsidRPr="0098635C">
              <w:rPr>
                <w:color w:val="000000" w:themeColor="text1"/>
              </w:rPr>
              <w:t>NOAEL (P): 1000 ppm (f)</w:t>
            </w:r>
            <w:bookmarkEnd w:id="1918"/>
            <w:bookmarkEnd w:id="1919"/>
          </w:p>
          <w:p w14:paraId="2B93F717" w14:textId="77777777" w:rsidR="008D1AE9" w:rsidRPr="0098635C" w:rsidRDefault="008D1AE9" w:rsidP="00AF385A">
            <w:pPr>
              <w:pStyle w:val="NoteLevel211"/>
              <w:rPr>
                <w:color w:val="000000" w:themeColor="text1"/>
              </w:rPr>
            </w:pPr>
            <w:bookmarkStart w:id="1920" w:name="_Toc472000370"/>
            <w:bookmarkStart w:id="1921" w:name="_Toc472251732"/>
            <w:r w:rsidRPr="0098635C">
              <w:rPr>
                <w:color w:val="000000" w:themeColor="text1"/>
              </w:rPr>
              <w:t>NOAEL (F1): 1000 ppm (f)</w:t>
            </w:r>
            <w:bookmarkEnd w:id="1920"/>
            <w:bookmarkEnd w:id="1921"/>
          </w:p>
          <w:p w14:paraId="667AFAD4" w14:textId="77777777" w:rsidR="008D1AE9" w:rsidRPr="0098635C" w:rsidRDefault="008D1AE9" w:rsidP="00AF385A">
            <w:pPr>
              <w:pStyle w:val="NoteLevel211"/>
              <w:rPr>
                <w:color w:val="000000" w:themeColor="text1"/>
              </w:rPr>
            </w:pPr>
            <w:bookmarkStart w:id="1922" w:name="_Toc472000371"/>
            <w:bookmarkStart w:id="1923" w:name="_Toc472251733"/>
            <w:r w:rsidRPr="0098635C">
              <w:rPr>
                <w:color w:val="000000" w:themeColor="text1"/>
              </w:rPr>
              <w:t>NOAEL (F1): 1000 ppm (f)</w:t>
            </w:r>
            <w:bookmarkEnd w:id="1922"/>
            <w:bookmarkEnd w:id="1923"/>
          </w:p>
          <w:p w14:paraId="16F5902D" w14:textId="77777777" w:rsidR="008D1AE9" w:rsidRPr="0098635C" w:rsidRDefault="008D1AE9" w:rsidP="00AF385A">
            <w:pPr>
              <w:pStyle w:val="NoteLevel211"/>
              <w:rPr>
                <w:color w:val="000000" w:themeColor="text1"/>
              </w:rPr>
            </w:pPr>
            <w:bookmarkStart w:id="1924" w:name="_Toc472000372"/>
            <w:bookmarkStart w:id="1925" w:name="_Toc472251734"/>
            <w:r w:rsidRPr="0098635C">
              <w:rPr>
                <w:color w:val="000000" w:themeColor="text1"/>
              </w:rPr>
              <w:t>NOAEL (F2): 1000 ppm</w:t>
            </w:r>
            <w:bookmarkEnd w:id="1924"/>
            <w:bookmarkEnd w:id="1925"/>
          </w:p>
          <w:p w14:paraId="65A8DD2C" w14:textId="77777777" w:rsidR="008D1AE9" w:rsidRPr="0098635C" w:rsidRDefault="008D1AE9" w:rsidP="00AF385A">
            <w:pPr>
              <w:pStyle w:val="NoteLevel211"/>
              <w:rPr>
                <w:color w:val="000000" w:themeColor="text1"/>
              </w:rPr>
            </w:pPr>
            <w:bookmarkStart w:id="1926" w:name="_Toc472000373"/>
            <w:bookmarkStart w:id="1927" w:name="_Toc472251735"/>
            <w:r w:rsidRPr="0098635C">
              <w:rPr>
                <w:color w:val="000000" w:themeColor="text1"/>
              </w:rPr>
              <w:t>NOAEL (F2): 1000 ppm (f)</w:t>
            </w:r>
            <w:bookmarkEnd w:id="1926"/>
            <w:bookmarkEnd w:id="1927"/>
          </w:p>
        </w:tc>
      </w:tr>
    </w:tbl>
    <w:p w14:paraId="343F7CA3" w14:textId="77777777" w:rsidR="008D1AE9" w:rsidRPr="0098635C" w:rsidRDefault="008D1AE9" w:rsidP="008D1AE9">
      <w:pPr>
        <w:spacing w:before="240" w:after="0"/>
        <w:rPr>
          <w:rFonts w:ascii="Times" w:hAnsi="Times" w:cs="Times"/>
          <w:color w:val="000000" w:themeColor="text1"/>
          <w:sz w:val="20"/>
          <w:szCs w:val="20"/>
        </w:rPr>
      </w:pPr>
    </w:p>
    <w:p w14:paraId="19BA4DA6" w14:textId="57DF398A" w:rsidR="002B2163" w:rsidRPr="0098635C" w:rsidRDefault="00D05142" w:rsidP="008D1AE9">
      <w:pPr>
        <w:pStyle w:val="Default"/>
        <w:rPr>
          <w:color w:val="000000" w:themeColor="text1"/>
          <w:sz w:val="20"/>
          <w:szCs w:val="20"/>
        </w:rPr>
      </w:pPr>
      <w:r w:rsidRPr="0098635C">
        <w:rPr>
          <w:color w:val="000000" w:themeColor="text1"/>
          <w:sz w:val="20"/>
          <w:szCs w:val="20"/>
        </w:rPr>
        <w:t>A further high quality study is available by Chung et al (200</w:t>
      </w:r>
      <w:r w:rsidR="00BD620F" w:rsidRPr="0098635C">
        <w:rPr>
          <w:color w:val="000000" w:themeColor="text1"/>
          <w:sz w:val="20"/>
          <w:szCs w:val="20"/>
        </w:rPr>
        <w:t>9</w:t>
      </w:r>
      <w:r w:rsidRPr="0098635C">
        <w:rPr>
          <w:color w:val="000000" w:themeColor="text1"/>
          <w:sz w:val="20"/>
          <w:szCs w:val="20"/>
        </w:rPr>
        <w:t xml:space="preserve">).  This study is a combined repeat dose and reproduction/developmental screening test, which is intended to investigate effects of repeated exposure over a relatively limited time-period and to provide initial information on effects on male and female reproductive performance. The study was conducted according to OECD test </w:t>
      </w:r>
      <w:r w:rsidR="00981670" w:rsidRPr="0098635C">
        <w:rPr>
          <w:color w:val="000000" w:themeColor="text1"/>
          <w:sz w:val="20"/>
          <w:szCs w:val="20"/>
        </w:rPr>
        <w:t>Guideline</w:t>
      </w:r>
      <w:r w:rsidRPr="0098635C">
        <w:rPr>
          <w:color w:val="000000" w:themeColor="text1"/>
          <w:sz w:val="20"/>
          <w:szCs w:val="20"/>
        </w:rPr>
        <w:t xml:space="preserve"> (no. 422) </w:t>
      </w:r>
      <w:r w:rsidR="00BD0986" w:rsidRPr="0098635C">
        <w:rPr>
          <w:color w:val="000000" w:themeColor="text1"/>
          <w:sz w:val="20"/>
          <w:szCs w:val="20"/>
        </w:rPr>
        <w:t xml:space="preserve">using Sprague-Dawley rats </w:t>
      </w:r>
      <w:r w:rsidRPr="0098635C">
        <w:rPr>
          <w:color w:val="000000" w:themeColor="text1"/>
          <w:sz w:val="20"/>
          <w:szCs w:val="20"/>
        </w:rPr>
        <w:t xml:space="preserve">and is considered to be of high quality. In this study, male rats were treated with copper chloride two weeks prior to mating and during the mating period (total of 30 days). Female rats were treated two weeks prior to mating, throughout mating and gestation, and until day 3 of lactation (estimated duration ~50 days). Copper chloride was administered daily as an aqueous suspension by gavage at 1.3, 5, 20 and 80 mg/kg bw/d (calculated as 0.8, 3.2, 12.9 and 51.7 mg Cu/kg bw/d). With regard to general effects of repeated exposure, systemic toxicity was evident at 80 mg/kg bw/d, consisting of some altered haematological parameters (males and females), changes in some biochemical parameters (males only) and increased incidence of femoral marrow hyperplasia (males only). Squamous cell hyperplasia of the stomach, which was considered to be a direct effect of the irritant properties of copper chloride, showed a significant, dose-related increase in males at 20 mg/kg bw/d and above and in females at 5 mg/kg bw/d and above (12.9 and 3.2 mg Cu/kg bw/d, respectively). With regard to reproduction/developmental effects, there were no effects on any male or female reproductive parameters investigated in this study. Effects on two developmental parameters were reported: numbers of pups with gross (icteric) lesions and numbers of runt pups, both of which were significantly increased at 80 mg/kg bw/d (51.7 mg Cu/kg bw/d).  In conclusion, </w:t>
      </w:r>
      <w:r w:rsidR="00067113" w:rsidRPr="0098635C">
        <w:rPr>
          <w:color w:val="000000" w:themeColor="text1"/>
          <w:sz w:val="20"/>
          <w:szCs w:val="20"/>
        </w:rPr>
        <w:t xml:space="preserve">reproductive toxicity was only </w:t>
      </w:r>
      <w:r w:rsidR="00981670" w:rsidRPr="0098635C">
        <w:rPr>
          <w:color w:val="000000" w:themeColor="text1"/>
          <w:sz w:val="20"/>
          <w:szCs w:val="20"/>
        </w:rPr>
        <w:t>observed</w:t>
      </w:r>
      <w:r w:rsidR="00067113" w:rsidRPr="0098635C">
        <w:rPr>
          <w:color w:val="000000" w:themeColor="text1"/>
          <w:sz w:val="20"/>
          <w:szCs w:val="20"/>
        </w:rPr>
        <w:t xml:space="preserve"> when </w:t>
      </w:r>
      <w:r w:rsidRPr="0098635C">
        <w:rPr>
          <w:color w:val="000000" w:themeColor="text1"/>
          <w:sz w:val="20"/>
          <w:szCs w:val="20"/>
        </w:rPr>
        <w:t xml:space="preserve">systemic </w:t>
      </w:r>
      <w:r w:rsidR="00067113" w:rsidRPr="0098635C">
        <w:rPr>
          <w:color w:val="000000" w:themeColor="text1"/>
          <w:sz w:val="20"/>
          <w:szCs w:val="20"/>
        </w:rPr>
        <w:t xml:space="preserve">maternal </w:t>
      </w:r>
      <w:r w:rsidRPr="0098635C">
        <w:rPr>
          <w:color w:val="000000" w:themeColor="text1"/>
          <w:sz w:val="20"/>
          <w:szCs w:val="20"/>
        </w:rPr>
        <w:t xml:space="preserve">toxicity was </w:t>
      </w:r>
      <w:r w:rsidR="00981670" w:rsidRPr="0098635C">
        <w:rPr>
          <w:color w:val="000000" w:themeColor="text1"/>
          <w:sz w:val="20"/>
          <w:szCs w:val="20"/>
        </w:rPr>
        <w:t>evident</w:t>
      </w:r>
      <w:r w:rsidR="00EF2BA2" w:rsidRPr="0098635C">
        <w:rPr>
          <w:color w:val="000000" w:themeColor="text1"/>
          <w:sz w:val="20"/>
          <w:szCs w:val="20"/>
        </w:rPr>
        <w:t xml:space="preserve"> </w:t>
      </w:r>
      <w:r w:rsidR="00067113" w:rsidRPr="0098635C">
        <w:rPr>
          <w:color w:val="000000" w:themeColor="text1"/>
          <w:sz w:val="20"/>
          <w:szCs w:val="20"/>
        </w:rPr>
        <w:t>(at</w:t>
      </w:r>
      <w:r w:rsidRPr="0098635C">
        <w:rPr>
          <w:color w:val="000000" w:themeColor="text1"/>
          <w:sz w:val="20"/>
          <w:szCs w:val="20"/>
        </w:rPr>
        <w:t xml:space="preserve"> 80 mg/kg bw/d.</w:t>
      </w:r>
      <w:r w:rsidR="00982B8A" w:rsidRPr="0098635C">
        <w:rPr>
          <w:rStyle w:val="FootnoteReference"/>
          <w:color w:val="000000" w:themeColor="text1"/>
          <w:sz w:val="20"/>
          <w:szCs w:val="20"/>
        </w:rPr>
        <w:footnoteReference w:id="27"/>
      </w:r>
      <w:r w:rsidR="00067113" w:rsidRPr="0098635C">
        <w:rPr>
          <w:color w:val="000000" w:themeColor="text1"/>
          <w:sz w:val="20"/>
          <w:szCs w:val="20"/>
        </w:rPr>
        <w:t>)</w:t>
      </w:r>
    </w:p>
    <w:p w14:paraId="644982A4" w14:textId="77777777" w:rsidR="008D1AE9" w:rsidRPr="0098635C" w:rsidRDefault="008D1AE9" w:rsidP="00926614">
      <w:pPr>
        <w:pStyle w:val="Default"/>
        <w:rPr>
          <w:color w:val="000000" w:themeColor="text1"/>
          <w:sz w:val="20"/>
          <w:szCs w:val="20"/>
        </w:rPr>
      </w:pPr>
    </w:p>
    <w:p w14:paraId="7325BE32" w14:textId="77777777" w:rsidR="008D1AE9" w:rsidRPr="0098635C" w:rsidRDefault="008D1AE9" w:rsidP="008D1AE9">
      <w:pPr>
        <w:pStyle w:val="Heading9"/>
        <w:rPr>
          <w:color w:val="000000" w:themeColor="text1"/>
          <w:sz w:val="20"/>
          <w:szCs w:val="20"/>
        </w:rPr>
      </w:pPr>
      <w:r w:rsidRPr="0098635C">
        <w:rPr>
          <w:color w:val="000000" w:themeColor="text1"/>
          <w:sz w:val="20"/>
          <w:szCs w:val="20"/>
        </w:rPr>
        <w:t>Developmental Toxicity</w:t>
      </w:r>
    </w:p>
    <w:p w14:paraId="09FE753C" w14:textId="01D57D70" w:rsidR="008D1AE9" w:rsidRPr="0098635C" w:rsidRDefault="008D1AE9" w:rsidP="008D1AE9">
      <w:pPr>
        <w:pStyle w:val="BodyText"/>
        <w:rPr>
          <w:color w:val="000000" w:themeColor="text1"/>
          <w:sz w:val="20"/>
        </w:rPr>
      </w:pPr>
      <w:r w:rsidRPr="0098635C">
        <w:rPr>
          <w:color w:val="000000" w:themeColor="text1"/>
          <w:sz w:val="20"/>
        </w:rPr>
        <w:t xml:space="preserve">Several animal studies investigated the effects of copper on fetal or embryonic development, but only one of these studies, an unpublished study by Munley (2003), conforms to OECD methods for a teratogenicity test (OECD method 414, see </w:t>
      </w:r>
      <w:r w:rsidR="00E230FB" w:rsidRPr="0098635C">
        <w:rPr>
          <w:color w:val="000000" w:themeColor="text1"/>
          <w:sz w:val="20"/>
        </w:rPr>
        <w:fldChar w:fldCharType="begin"/>
      </w:r>
      <w:r w:rsidRPr="0098635C">
        <w:rPr>
          <w:color w:val="000000" w:themeColor="text1"/>
          <w:sz w:val="20"/>
        </w:rPr>
        <w:instrText xml:space="preserve"> REF _Ref260390026 \h </w:instrText>
      </w:r>
      <w:r w:rsidR="00E230FB" w:rsidRPr="0098635C">
        <w:rPr>
          <w:color w:val="000000" w:themeColor="text1"/>
          <w:sz w:val="20"/>
        </w:rPr>
      </w:r>
      <w:r w:rsidR="0098635C">
        <w:rPr>
          <w:color w:val="000000" w:themeColor="text1"/>
          <w:sz w:val="20"/>
        </w:rPr>
        <w:instrText xml:space="preserve"> \* MERGEFORMAT </w:instrText>
      </w:r>
      <w:r w:rsidR="00E230FB" w:rsidRPr="0098635C">
        <w:rPr>
          <w:color w:val="000000" w:themeColor="text1"/>
          <w:sz w:val="20"/>
        </w:rPr>
        <w:fldChar w:fldCharType="separate"/>
      </w:r>
      <w:r w:rsidR="005E5161" w:rsidRPr="0098635C">
        <w:rPr>
          <w:b/>
          <w:color w:val="000000" w:themeColor="text1"/>
          <w:sz w:val="20"/>
        </w:rPr>
        <w:t xml:space="preserve">Table </w:t>
      </w:r>
      <w:r w:rsidR="005E5161" w:rsidRPr="0098635C">
        <w:rPr>
          <w:b/>
          <w:noProof/>
          <w:color w:val="000000" w:themeColor="text1"/>
          <w:sz w:val="20"/>
        </w:rPr>
        <w:t>25</w:t>
      </w:r>
      <w:r w:rsidR="00E230FB" w:rsidRPr="0098635C">
        <w:rPr>
          <w:color w:val="000000" w:themeColor="text1"/>
          <w:sz w:val="20"/>
        </w:rPr>
        <w:fldChar w:fldCharType="end"/>
      </w:r>
      <w:r w:rsidRPr="0098635C">
        <w:rPr>
          <w:color w:val="000000" w:themeColor="text1"/>
          <w:sz w:val="20"/>
        </w:rPr>
        <w:t xml:space="preserve">).  This study provides the most reliable animal data concerning the developmental toxicity of copper.  </w:t>
      </w:r>
    </w:p>
    <w:p w14:paraId="2AF932A3" w14:textId="6CBAD5DC" w:rsidR="008D1AE9" w:rsidRPr="0098635C" w:rsidRDefault="008D1AE9" w:rsidP="008D1AE9">
      <w:pPr>
        <w:pStyle w:val="BodyText"/>
        <w:rPr>
          <w:color w:val="000000" w:themeColor="text1"/>
          <w:sz w:val="20"/>
        </w:rPr>
      </w:pPr>
      <w:r w:rsidRPr="0098635C">
        <w:rPr>
          <w:color w:val="000000" w:themeColor="text1"/>
          <w:sz w:val="20"/>
        </w:rPr>
        <w:t xml:space="preserve">Groups of 22 female NZW rabbits were treated orally by gavage on days 7 to 28 of pregnancy with copper hydroxide in this developmental toxicity study. The outcome of this study demonstrated maternal toxicity (initial weight loss and reduced food intake) and effects on the fetus (increased incidence of a common skeletal abnormality) following oral exposure of rabbits to copper hydroxide at 9 mg Cu/kgBW/day and above during pregnancy.  There were no indications of fetal abnormalities associated with treatment at up to maternally toxic levels (endpoint: initial weight loss and inappetance).  The NOAEL for maternal toxicity and developmental effects in rabbits in this study was 6 mg Cu/kgBW/day.  Effects on the fetus were considered to be secondary to maternal toxicity and consequently not a specific effect of copper on reproduction.  </w:t>
      </w:r>
    </w:p>
    <w:p w14:paraId="3518625F" w14:textId="011C007A" w:rsidR="008D1AE9" w:rsidRPr="0098635C" w:rsidRDefault="008D1AE9" w:rsidP="00851F58">
      <w:pPr>
        <w:pStyle w:val="Caption"/>
        <w:ind w:left="0"/>
        <w:jc w:val="center"/>
        <w:rPr>
          <w:b w:val="0"/>
          <w:color w:val="000000" w:themeColor="text1"/>
          <w:sz w:val="20"/>
          <w:lang w:val="en-GB"/>
        </w:rPr>
      </w:pPr>
      <w:bookmarkStart w:id="1928" w:name="_Ref260390026"/>
      <w:bookmarkStart w:id="1929" w:name="_Toc260063735"/>
      <w:r w:rsidRPr="0098635C">
        <w:rPr>
          <w:b w:val="0"/>
          <w:color w:val="000000" w:themeColor="text1"/>
          <w:sz w:val="20"/>
          <w:lang w:val="en-GB"/>
        </w:rPr>
        <w:lastRenderedPageBreak/>
        <w:t xml:space="preserve">Table </w:t>
      </w:r>
      <w:r w:rsidR="00E230FB" w:rsidRPr="0098635C">
        <w:rPr>
          <w:b w:val="0"/>
          <w:color w:val="000000" w:themeColor="text1"/>
          <w:sz w:val="20"/>
          <w:lang w:val="en-GB"/>
        </w:rPr>
        <w:fldChar w:fldCharType="begin"/>
      </w:r>
      <w:r w:rsidRPr="0098635C">
        <w:rPr>
          <w:b w:val="0"/>
          <w:color w:val="000000" w:themeColor="text1"/>
          <w:sz w:val="20"/>
          <w:lang w:val="en-GB"/>
        </w:rPr>
        <w:instrText xml:space="preserve"> SEQ Table \* ARABIC </w:instrText>
      </w:r>
      <w:r w:rsidR="00E230FB" w:rsidRPr="0098635C">
        <w:rPr>
          <w:b w:val="0"/>
          <w:color w:val="000000" w:themeColor="text1"/>
          <w:sz w:val="20"/>
          <w:lang w:val="en-GB"/>
        </w:rPr>
        <w:fldChar w:fldCharType="separate"/>
      </w:r>
      <w:r w:rsidR="005E5161" w:rsidRPr="0098635C">
        <w:rPr>
          <w:b w:val="0"/>
          <w:noProof/>
          <w:color w:val="000000" w:themeColor="text1"/>
          <w:sz w:val="20"/>
          <w:lang w:val="en-GB"/>
        </w:rPr>
        <w:t>25</w:t>
      </w:r>
      <w:r w:rsidR="00E230FB" w:rsidRPr="0098635C">
        <w:rPr>
          <w:b w:val="0"/>
          <w:color w:val="000000" w:themeColor="text1"/>
          <w:sz w:val="20"/>
          <w:lang w:val="en-GB"/>
        </w:rPr>
        <w:fldChar w:fldCharType="end"/>
      </w:r>
      <w:bookmarkEnd w:id="1928"/>
      <w:r w:rsidRPr="0098635C">
        <w:rPr>
          <w:b w:val="0"/>
          <w:color w:val="000000" w:themeColor="text1"/>
          <w:sz w:val="20"/>
          <w:lang w:val="en-GB"/>
        </w:rPr>
        <w:t>: Summary of a reliable experimental study on developmental toxicity</w:t>
      </w:r>
      <w:bookmarkEnd w:id="1929"/>
    </w:p>
    <w:tbl>
      <w:tblPr>
        <w:tblW w:w="99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0"/>
        <w:gridCol w:w="1066"/>
        <w:gridCol w:w="1701"/>
        <w:gridCol w:w="1512"/>
        <w:gridCol w:w="1182"/>
        <w:gridCol w:w="3212"/>
      </w:tblGrid>
      <w:tr w:rsidR="008D1AE9" w:rsidRPr="0098635C" w14:paraId="26B6D00C" w14:textId="77777777" w:rsidTr="00AF385A">
        <w:trPr>
          <w:trHeight w:val="576"/>
          <w:tblHeader/>
        </w:trPr>
        <w:tc>
          <w:tcPr>
            <w:tcW w:w="1310" w:type="dxa"/>
            <w:tcMar>
              <w:top w:w="20" w:type="nil"/>
              <w:left w:w="20" w:type="nil"/>
              <w:bottom w:w="20" w:type="nil"/>
              <w:right w:w="20" w:type="nil"/>
            </w:tcMar>
            <w:vAlign w:val="center"/>
          </w:tcPr>
          <w:p w14:paraId="0382A81D" w14:textId="77777777" w:rsidR="008D1AE9" w:rsidRPr="0098635C" w:rsidRDefault="008D1AE9" w:rsidP="00AF385A">
            <w:pPr>
              <w:pStyle w:val="NoteLevel211"/>
              <w:jc w:val="left"/>
              <w:rPr>
                <w:b/>
                <w:color w:val="000000" w:themeColor="text1"/>
              </w:rPr>
            </w:pPr>
            <w:bookmarkStart w:id="1930" w:name="_Toc472000374"/>
            <w:bookmarkStart w:id="1931" w:name="_Toc472251736"/>
            <w:r w:rsidRPr="0098635C">
              <w:rPr>
                <w:b/>
                <w:color w:val="000000" w:themeColor="text1"/>
              </w:rPr>
              <w:t>Reference</w:t>
            </w:r>
            <w:bookmarkEnd w:id="1930"/>
            <w:bookmarkEnd w:id="1931"/>
          </w:p>
        </w:tc>
        <w:tc>
          <w:tcPr>
            <w:tcW w:w="1066" w:type="dxa"/>
            <w:tcMar>
              <w:top w:w="20" w:type="nil"/>
              <w:left w:w="20" w:type="nil"/>
              <w:bottom w:w="20" w:type="nil"/>
              <w:right w:w="20" w:type="nil"/>
            </w:tcMar>
            <w:vAlign w:val="center"/>
          </w:tcPr>
          <w:p w14:paraId="46780C98" w14:textId="77777777" w:rsidR="008D1AE9" w:rsidRPr="0098635C" w:rsidRDefault="008D1AE9" w:rsidP="00AF385A">
            <w:pPr>
              <w:pStyle w:val="NoteLevel211"/>
              <w:jc w:val="left"/>
              <w:rPr>
                <w:b/>
                <w:color w:val="000000" w:themeColor="text1"/>
              </w:rPr>
            </w:pPr>
            <w:bookmarkStart w:id="1932" w:name="_Toc472000375"/>
            <w:bookmarkStart w:id="1933" w:name="_Toc472251737"/>
            <w:r w:rsidRPr="0098635C">
              <w:rPr>
                <w:b/>
                <w:color w:val="000000" w:themeColor="text1"/>
              </w:rPr>
              <w:t>Substance</w:t>
            </w:r>
            <w:bookmarkEnd w:id="1932"/>
            <w:bookmarkEnd w:id="1933"/>
          </w:p>
        </w:tc>
        <w:tc>
          <w:tcPr>
            <w:tcW w:w="1701" w:type="dxa"/>
            <w:tcMar>
              <w:top w:w="20" w:type="nil"/>
              <w:left w:w="20" w:type="nil"/>
              <w:bottom w:w="20" w:type="nil"/>
              <w:right w:w="20" w:type="nil"/>
            </w:tcMar>
            <w:vAlign w:val="center"/>
          </w:tcPr>
          <w:p w14:paraId="0687F592" w14:textId="77777777" w:rsidR="008D1AE9" w:rsidRPr="0098635C" w:rsidRDefault="008D1AE9" w:rsidP="00AF385A">
            <w:pPr>
              <w:pStyle w:val="NoteLevel211"/>
              <w:jc w:val="left"/>
              <w:rPr>
                <w:b/>
                <w:color w:val="000000" w:themeColor="text1"/>
              </w:rPr>
            </w:pPr>
            <w:bookmarkStart w:id="1934" w:name="_Toc472000376"/>
            <w:bookmarkStart w:id="1935" w:name="_Toc472251738"/>
            <w:r w:rsidRPr="0098635C">
              <w:rPr>
                <w:b/>
                <w:color w:val="000000" w:themeColor="text1"/>
              </w:rPr>
              <w:t>Method</w:t>
            </w:r>
            <w:bookmarkEnd w:id="1934"/>
            <w:bookmarkEnd w:id="1935"/>
          </w:p>
        </w:tc>
        <w:tc>
          <w:tcPr>
            <w:tcW w:w="1512" w:type="dxa"/>
            <w:vAlign w:val="center"/>
          </w:tcPr>
          <w:p w14:paraId="28E4870E" w14:textId="77777777" w:rsidR="008D1AE9" w:rsidRPr="0098635C" w:rsidRDefault="008D1AE9" w:rsidP="00AF385A">
            <w:pPr>
              <w:pStyle w:val="NoteLevel211"/>
              <w:jc w:val="left"/>
              <w:rPr>
                <w:b/>
                <w:color w:val="000000" w:themeColor="text1"/>
              </w:rPr>
            </w:pPr>
            <w:bookmarkStart w:id="1936" w:name="_Toc472000377"/>
            <w:bookmarkStart w:id="1937" w:name="_Toc472251739"/>
            <w:r w:rsidRPr="0098635C">
              <w:rPr>
                <w:b/>
                <w:color w:val="000000" w:themeColor="text1"/>
              </w:rPr>
              <w:t>Test animals</w:t>
            </w:r>
            <w:bookmarkEnd w:id="1936"/>
            <w:bookmarkEnd w:id="1937"/>
          </w:p>
        </w:tc>
        <w:tc>
          <w:tcPr>
            <w:tcW w:w="1182" w:type="dxa"/>
            <w:vAlign w:val="center"/>
          </w:tcPr>
          <w:p w14:paraId="621DF395" w14:textId="77777777" w:rsidR="008D1AE9" w:rsidRPr="0098635C" w:rsidRDefault="008D1AE9" w:rsidP="00AF385A">
            <w:pPr>
              <w:pStyle w:val="NoteLevel211"/>
              <w:rPr>
                <w:b/>
                <w:color w:val="000000" w:themeColor="text1"/>
              </w:rPr>
            </w:pPr>
            <w:bookmarkStart w:id="1938" w:name="_Toc472000378"/>
            <w:bookmarkStart w:id="1939" w:name="_Toc472251740"/>
            <w:r w:rsidRPr="0098635C">
              <w:rPr>
                <w:b/>
                <w:color w:val="000000" w:themeColor="text1"/>
              </w:rPr>
              <w:t>Dose levels</w:t>
            </w:r>
            <w:bookmarkEnd w:id="1938"/>
            <w:bookmarkEnd w:id="1939"/>
          </w:p>
        </w:tc>
        <w:tc>
          <w:tcPr>
            <w:tcW w:w="3212" w:type="dxa"/>
            <w:tcMar>
              <w:top w:w="20" w:type="nil"/>
              <w:left w:w="20" w:type="nil"/>
              <w:bottom w:w="20" w:type="nil"/>
              <w:right w:w="20" w:type="nil"/>
            </w:tcMar>
            <w:vAlign w:val="center"/>
          </w:tcPr>
          <w:p w14:paraId="3216909E" w14:textId="77777777" w:rsidR="008D1AE9" w:rsidRPr="0098635C" w:rsidRDefault="008D1AE9" w:rsidP="00AF385A">
            <w:pPr>
              <w:pStyle w:val="NoteLevel211"/>
              <w:rPr>
                <w:b/>
                <w:color w:val="000000" w:themeColor="text1"/>
              </w:rPr>
            </w:pPr>
            <w:bookmarkStart w:id="1940" w:name="_Toc472000379"/>
            <w:bookmarkStart w:id="1941" w:name="_Toc472251741"/>
            <w:r w:rsidRPr="0098635C">
              <w:rPr>
                <w:b/>
                <w:color w:val="000000" w:themeColor="text1"/>
              </w:rPr>
              <w:t>Results</w:t>
            </w:r>
            <w:bookmarkEnd w:id="1940"/>
            <w:bookmarkEnd w:id="1941"/>
          </w:p>
        </w:tc>
      </w:tr>
      <w:tr w:rsidR="008D1AE9" w:rsidRPr="0098635C" w14:paraId="244EBD67" w14:textId="77777777" w:rsidTr="00AF385A">
        <w:tc>
          <w:tcPr>
            <w:tcW w:w="1310" w:type="dxa"/>
            <w:tcMar>
              <w:top w:w="20" w:type="nil"/>
              <w:left w:w="20" w:type="nil"/>
              <w:bottom w:w="20" w:type="nil"/>
              <w:right w:w="20" w:type="nil"/>
            </w:tcMar>
          </w:tcPr>
          <w:p w14:paraId="4E581D3F" w14:textId="4307EB06" w:rsidR="008D1AE9" w:rsidRPr="0098635C" w:rsidRDefault="008D1AE9" w:rsidP="00AF385A">
            <w:pPr>
              <w:pStyle w:val="NoteLevel211"/>
              <w:jc w:val="left"/>
              <w:rPr>
                <w:color w:val="000000" w:themeColor="text1"/>
              </w:rPr>
            </w:pPr>
            <w:bookmarkStart w:id="1942" w:name="_Toc472000380"/>
            <w:bookmarkStart w:id="1943" w:name="_Toc472251742"/>
            <w:r w:rsidRPr="0098635C">
              <w:rPr>
                <w:color w:val="000000" w:themeColor="text1"/>
              </w:rPr>
              <w:t>Munley SM (2003)</w:t>
            </w:r>
            <w:bookmarkEnd w:id="1942"/>
            <w:bookmarkEnd w:id="1943"/>
          </w:p>
        </w:tc>
        <w:tc>
          <w:tcPr>
            <w:tcW w:w="1066" w:type="dxa"/>
            <w:tcMar>
              <w:top w:w="20" w:type="nil"/>
              <w:left w:w="20" w:type="nil"/>
              <w:bottom w:w="20" w:type="nil"/>
              <w:right w:w="20" w:type="nil"/>
            </w:tcMar>
          </w:tcPr>
          <w:p w14:paraId="2566DF44" w14:textId="77777777" w:rsidR="008D1AE9" w:rsidRPr="0098635C" w:rsidRDefault="008D1AE9" w:rsidP="00AF385A">
            <w:pPr>
              <w:pStyle w:val="NoteLevel211"/>
              <w:jc w:val="left"/>
              <w:rPr>
                <w:color w:val="000000" w:themeColor="text1"/>
              </w:rPr>
            </w:pPr>
            <w:bookmarkStart w:id="1944" w:name="_Toc472000381"/>
            <w:bookmarkStart w:id="1945" w:name="_Toc472251743"/>
            <w:r w:rsidRPr="0098635C">
              <w:rPr>
                <w:color w:val="000000" w:themeColor="text1"/>
              </w:rPr>
              <w:t>Copper hydroxide</w:t>
            </w:r>
            <w:bookmarkEnd w:id="1944"/>
            <w:bookmarkEnd w:id="1945"/>
          </w:p>
        </w:tc>
        <w:tc>
          <w:tcPr>
            <w:tcW w:w="1701" w:type="dxa"/>
            <w:tcMar>
              <w:top w:w="20" w:type="nil"/>
              <w:left w:w="20" w:type="nil"/>
              <w:bottom w:w="20" w:type="nil"/>
              <w:right w:w="20" w:type="nil"/>
            </w:tcMar>
          </w:tcPr>
          <w:p w14:paraId="581742CE" w14:textId="77777777" w:rsidR="008D1AE9" w:rsidRPr="0098635C" w:rsidRDefault="008D1AE9" w:rsidP="00AF385A">
            <w:pPr>
              <w:pStyle w:val="NoteLevel211"/>
              <w:jc w:val="left"/>
              <w:rPr>
                <w:color w:val="000000" w:themeColor="text1"/>
                <w:lang w:val="nl-BE"/>
              </w:rPr>
            </w:pPr>
            <w:bookmarkStart w:id="1946" w:name="_Toc472000382"/>
            <w:bookmarkStart w:id="1947" w:name="_Toc472251744"/>
            <w:r w:rsidRPr="0098635C">
              <w:rPr>
                <w:color w:val="000000" w:themeColor="text1"/>
                <w:lang w:val="nl-BE"/>
              </w:rPr>
              <w:t>OECD 414</w:t>
            </w:r>
            <w:r w:rsidRPr="0098635C">
              <w:rPr>
                <w:color w:val="000000" w:themeColor="text1"/>
                <w:lang w:val="nl-BE"/>
              </w:rPr>
              <w:br/>
              <w:t>EPA OPPTS 870.3700</w:t>
            </w:r>
            <w:r w:rsidRPr="0098635C">
              <w:rPr>
                <w:color w:val="000000" w:themeColor="text1"/>
                <w:lang w:val="nl-BE"/>
              </w:rPr>
              <w:br/>
              <w:t>MAFF 59</w:t>
            </w:r>
            <w:r w:rsidRPr="0098635C">
              <w:rPr>
                <w:color w:val="000000" w:themeColor="text1"/>
                <w:lang w:val="nl-BE"/>
              </w:rPr>
              <w:br/>
              <w:t>EU Method B.31</w:t>
            </w:r>
            <w:bookmarkEnd w:id="1946"/>
            <w:bookmarkEnd w:id="1947"/>
          </w:p>
          <w:p w14:paraId="76900453" w14:textId="0F6AAE68" w:rsidR="00BD0986" w:rsidRPr="0098635C" w:rsidRDefault="00BD0986" w:rsidP="00AF385A">
            <w:pPr>
              <w:pStyle w:val="NoteLevel211"/>
              <w:jc w:val="left"/>
              <w:rPr>
                <w:color w:val="000000" w:themeColor="text1"/>
                <w:lang w:val="nl-BE"/>
              </w:rPr>
            </w:pPr>
            <w:bookmarkStart w:id="1948" w:name="_Toc472000383"/>
            <w:bookmarkStart w:id="1949" w:name="_Toc472251745"/>
            <w:r w:rsidRPr="0098635C">
              <w:rPr>
                <w:color w:val="000000" w:themeColor="text1"/>
                <w:lang w:val="nl-BE"/>
              </w:rPr>
              <w:t>NohSan NP. 4200</w:t>
            </w:r>
            <w:bookmarkEnd w:id="1948"/>
            <w:bookmarkEnd w:id="1949"/>
          </w:p>
        </w:tc>
        <w:tc>
          <w:tcPr>
            <w:tcW w:w="1512" w:type="dxa"/>
          </w:tcPr>
          <w:p w14:paraId="0E02CF14" w14:textId="77777777" w:rsidR="008D1AE9" w:rsidRPr="0098635C" w:rsidRDefault="008D1AE9" w:rsidP="00AF385A">
            <w:pPr>
              <w:pStyle w:val="NoteLevel211"/>
              <w:jc w:val="left"/>
              <w:rPr>
                <w:color w:val="000000" w:themeColor="text1"/>
              </w:rPr>
            </w:pPr>
            <w:bookmarkStart w:id="1950" w:name="_Toc472000384"/>
            <w:bookmarkStart w:id="1951" w:name="_Toc472251746"/>
            <w:r w:rsidRPr="0098635C">
              <w:rPr>
                <w:color w:val="000000" w:themeColor="text1"/>
              </w:rPr>
              <w:t>Rabbit, New Zealand White, f</w:t>
            </w:r>
            <w:bookmarkEnd w:id="1950"/>
            <w:bookmarkEnd w:id="1951"/>
          </w:p>
        </w:tc>
        <w:tc>
          <w:tcPr>
            <w:tcW w:w="1182" w:type="dxa"/>
          </w:tcPr>
          <w:p w14:paraId="1CCEED89" w14:textId="77777777" w:rsidR="008D1AE9" w:rsidRPr="0098635C" w:rsidRDefault="008D1AE9" w:rsidP="00AF385A">
            <w:pPr>
              <w:pStyle w:val="NoteLevel211"/>
              <w:rPr>
                <w:color w:val="000000" w:themeColor="text1"/>
              </w:rPr>
            </w:pPr>
            <w:bookmarkStart w:id="1952" w:name="_Toc472000385"/>
            <w:bookmarkStart w:id="1953" w:name="_Toc472251747"/>
            <w:r w:rsidRPr="0098635C">
              <w:rPr>
                <w:color w:val="000000" w:themeColor="text1"/>
              </w:rPr>
              <w:t>6, 9, 18 mg Cu/kg bw/day</w:t>
            </w:r>
            <w:bookmarkEnd w:id="1952"/>
            <w:bookmarkEnd w:id="1953"/>
          </w:p>
        </w:tc>
        <w:tc>
          <w:tcPr>
            <w:tcW w:w="3212" w:type="dxa"/>
            <w:tcMar>
              <w:top w:w="20" w:type="nil"/>
              <w:left w:w="20" w:type="nil"/>
              <w:bottom w:w="20" w:type="nil"/>
              <w:right w:w="20" w:type="nil"/>
            </w:tcMar>
          </w:tcPr>
          <w:p w14:paraId="497B6E3F" w14:textId="77777777" w:rsidR="008D1AE9" w:rsidRPr="0098635C" w:rsidRDefault="008D1AE9" w:rsidP="00AF385A">
            <w:pPr>
              <w:pStyle w:val="NoteLevel211"/>
              <w:rPr>
                <w:rFonts w:ascii="Times" w:hAnsi="Times" w:cs="Times"/>
                <w:color w:val="000000" w:themeColor="text1"/>
                <w:lang w:eastAsia="en-US"/>
              </w:rPr>
            </w:pPr>
            <w:bookmarkStart w:id="1954" w:name="_Toc472000386"/>
            <w:bookmarkStart w:id="1955" w:name="_Toc472251748"/>
            <w:r w:rsidRPr="0098635C">
              <w:rPr>
                <w:color w:val="000000" w:themeColor="text1"/>
                <w:lang w:eastAsia="en-US"/>
              </w:rPr>
              <w:t>NOAEL maternal toxicity: 6 mg/kg bw/day</w:t>
            </w:r>
            <w:bookmarkEnd w:id="1954"/>
            <w:bookmarkEnd w:id="1955"/>
          </w:p>
          <w:p w14:paraId="1F4139AF" w14:textId="77777777" w:rsidR="008D1AE9" w:rsidRPr="0098635C" w:rsidRDefault="008D1AE9" w:rsidP="00AF385A">
            <w:pPr>
              <w:pStyle w:val="NoteLevel211"/>
              <w:rPr>
                <w:color w:val="000000" w:themeColor="text1"/>
              </w:rPr>
            </w:pPr>
            <w:bookmarkStart w:id="1956" w:name="_Toc472000387"/>
            <w:bookmarkStart w:id="1957" w:name="_Toc472251749"/>
            <w:r w:rsidRPr="0098635C">
              <w:rPr>
                <w:color w:val="000000" w:themeColor="text1"/>
                <w:lang w:eastAsia="en-US"/>
              </w:rPr>
              <w:t>NOAEL teratogenicity: 6 mg/kg bw/day</w:t>
            </w:r>
            <w:bookmarkEnd w:id="1956"/>
            <w:bookmarkEnd w:id="1957"/>
          </w:p>
        </w:tc>
      </w:tr>
    </w:tbl>
    <w:p w14:paraId="7BC4CF30" w14:textId="77777777" w:rsidR="008D1AE9" w:rsidRPr="0098635C" w:rsidRDefault="008D1AE9" w:rsidP="008D1AE9">
      <w:pPr>
        <w:spacing w:after="0"/>
        <w:rPr>
          <w:color w:val="000000" w:themeColor="text1"/>
          <w:sz w:val="20"/>
          <w:szCs w:val="20"/>
        </w:rPr>
      </w:pPr>
    </w:p>
    <w:p w14:paraId="5AD5E803" w14:textId="671C3EC8" w:rsidR="008D1AE9" w:rsidRPr="0098635C" w:rsidRDefault="008D1AE9" w:rsidP="00851F58">
      <w:pPr>
        <w:pStyle w:val="BodyText"/>
        <w:rPr>
          <w:color w:val="000000" w:themeColor="text1"/>
          <w:sz w:val="20"/>
        </w:rPr>
      </w:pPr>
      <w:r w:rsidRPr="0098635C">
        <w:rPr>
          <w:color w:val="000000" w:themeColor="text1"/>
          <w:sz w:val="20"/>
        </w:rPr>
        <w:t>Other studies investigating developmental effects in animals have significant deficiencies in methodology and/or reporting</w:t>
      </w:r>
      <w:r w:rsidR="00981670" w:rsidRPr="0098635C">
        <w:rPr>
          <w:color w:val="000000" w:themeColor="text1"/>
          <w:sz w:val="20"/>
        </w:rPr>
        <w:t xml:space="preserve"> </w:t>
      </w:r>
      <w:r w:rsidR="00D060F2" w:rsidRPr="0098635C">
        <w:rPr>
          <w:color w:val="000000" w:themeColor="text1"/>
          <w:sz w:val="20"/>
        </w:rPr>
        <w:t xml:space="preserve">reliability ratings 3 or 4) </w:t>
      </w:r>
      <w:r w:rsidRPr="0098635C">
        <w:rPr>
          <w:color w:val="000000" w:themeColor="text1"/>
          <w:sz w:val="20"/>
        </w:rPr>
        <w:t xml:space="preserve">(Lecyk, 1980; Keen et al, 1982; Haddad et al, 1991; Aulerich et al, 1982; Ferm and Hanlon, 1974; Di Carlo, 1980; Reinstein et al, 1984; Barlow et al, 1981; Chang </w:t>
      </w:r>
      <w:r w:rsidR="005603B1" w:rsidRPr="0098635C">
        <w:rPr>
          <w:color w:val="000000" w:themeColor="text1"/>
          <w:sz w:val="20"/>
        </w:rPr>
        <w:t xml:space="preserve">and Tatum, </w:t>
      </w:r>
      <w:r w:rsidRPr="0098635C">
        <w:rPr>
          <w:color w:val="000000" w:themeColor="text1"/>
          <w:sz w:val="20"/>
        </w:rPr>
        <w:t xml:space="preserve">, 1973). Observed effects could be related to confounding factors other than copper exposure (e.g., maternal toxicity, reduced food intake, irrelevant exposure route, </w:t>
      </w:r>
      <w:r w:rsidR="00F35D64" w:rsidRPr="0098635C">
        <w:rPr>
          <w:color w:val="000000" w:themeColor="text1"/>
          <w:sz w:val="20"/>
        </w:rPr>
        <w:t>and zinc</w:t>
      </w:r>
      <w:r w:rsidRPr="0098635C">
        <w:rPr>
          <w:color w:val="000000" w:themeColor="text1"/>
          <w:sz w:val="20"/>
        </w:rPr>
        <w:t xml:space="preserve"> deficiency). Consequently, these studies provide little useful information concerning the developmental effects of copper compounds which are relevant to human hazard assessment.</w:t>
      </w:r>
    </w:p>
    <w:p w14:paraId="5B32A7BC" w14:textId="77777777" w:rsidR="008D1AE9" w:rsidRPr="0098635C" w:rsidRDefault="008D1AE9" w:rsidP="008D1AE9">
      <w:pPr>
        <w:pStyle w:val="Heading8"/>
        <w:rPr>
          <w:color w:val="000000" w:themeColor="text1"/>
          <w:sz w:val="20"/>
          <w:szCs w:val="20"/>
        </w:rPr>
      </w:pPr>
      <w:r w:rsidRPr="0098635C">
        <w:rPr>
          <w:color w:val="000000" w:themeColor="text1"/>
          <w:sz w:val="20"/>
          <w:szCs w:val="20"/>
        </w:rPr>
        <w:t>Studies in Humans</w:t>
      </w:r>
    </w:p>
    <w:p w14:paraId="4159BFAC" w14:textId="77777777" w:rsidR="008D1AE9" w:rsidRPr="0098635C" w:rsidRDefault="008D1AE9" w:rsidP="008D1AE9">
      <w:pPr>
        <w:pStyle w:val="BodyText"/>
        <w:rPr>
          <w:i/>
          <w:color w:val="000000" w:themeColor="text1"/>
          <w:sz w:val="20"/>
        </w:rPr>
      </w:pPr>
      <w:r w:rsidRPr="0098635C">
        <w:rPr>
          <w:i/>
          <w:color w:val="000000" w:themeColor="text1"/>
          <w:sz w:val="20"/>
        </w:rPr>
        <w:t>Effects on Fertility</w:t>
      </w:r>
    </w:p>
    <w:p w14:paraId="2B1B044D" w14:textId="77777777" w:rsidR="008D1AE9" w:rsidRPr="0098635C" w:rsidRDefault="008D1AE9" w:rsidP="008D1AE9">
      <w:pPr>
        <w:pStyle w:val="BodyText"/>
        <w:rPr>
          <w:color w:val="000000" w:themeColor="text1"/>
          <w:sz w:val="20"/>
        </w:rPr>
      </w:pPr>
      <w:r w:rsidRPr="0098635C">
        <w:rPr>
          <w:color w:val="000000" w:themeColor="text1"/>
          <w:sz w:val="20"/>
        </w:rPr>
        <w:t xml:space="preserve">A limited amount of epidemiological data for humans on Cu-related reproductive toxicity have identified. Scott and Speakman (1991) reported a negative correlation between serum copper and sperm count in a study of male patients attending a fertility clinic. The study report, however, provided too few details to enable further evaluation of the results.  Aschengrau </w:t>
      </w:r>
      <w:r w:rsidRPr="0098635C">
        <w:rPr>
          <w:i/>
          <w:color w:val="000000" w:themeColor="text1"/>
          <w:sz w:val="20"/>
        </w:rPr>
        <w:t>et al</w:t>
      </w:r>
      <w:r w:rsidRPr="0098635C">
        <w:rPr>
          <w:color w:val="000000" w:themeColor="text1"/>
          <w:sz w:val="20"/>
        </w:rPr>
        <w:t xml:space="preserve"> (1989; 1993) published on the relationship between drinking water quality and adverse pregnancy outcomes in two studies. Both studies failed to demonstrate any association between copper in drinking water and adverse pregnancy outcomes.</w:t>
      </w:r>
    </w:p>
    <w:p w14:paraId="4680B725" w14:textId="77777777" w:rsidR="008D1AE9" w:rsidRPr="0098635C" w:rsidRDefault="008D1AE9" w:rsidP="008D1AE9">
      <w:pPr>
        <w:pStyle w:val="BodyText"/>
        <w:rPr>
          <w:i/>
          <w:color w:val="000000" w:themeColor="text1"/>
          <w:sz w:val="20"/>
        </w:rPr>
      </w:pPr>
      <w:r w:rsidRPr="0098635C">
        <w:rPr>
          <w:i/>
          <w:color w:val="000000" w:themeColor="text1"/>
          <w:sz w:val="20"/>
        </w:rPr>
        <w:t>Developmental Toxicity</w:t>
      </w:r>
    </w:p>
    <w:p w14:paraId="149636DC" w14:textId="41A161B6" w:rsidR="008D1AE9" w:rsidRPr="0098635C" w:rsidRDefault="008D1AE9" w:rsidP="008D1AE9">
      <w:pPr>
        <w:pStyle w:val="BodyText"/>
        <w:rPr>
          <w:color w:val="000000" w:themeColor="text1"/>
          <w:sz w:val="20"/>
        </w:rPr>
      </w:pPr>
      <w:r w:rsidRPr="0098635C">
        <w:rPr>
          <w:color w:val="000000" w:themeColor="text1"/>
          <w:sz w:val="20"/>
        </w:rPr>
        <w:t>A brief report by Morton</w:t>
      </w:r>
      <w:r w:rsidRPr="0098635C">
        <w:rPr>
          <w:i/>
          <w:color w:val="000000" w:themeColor="text1"/>
          <w:sz w:val="20"/>
        </w:rPr>
        <w:t xml:space="preserve"> et al </w:t>
      </w:r>
      <w:r w:rsidRPr="0098635C">
        <w:rPr>
          <w:color w:val="000000" w:themeColor="text1"/>
          <w:sz w:val="20"/>
        </w:rPr>
        <w:t xml:space="preserve">(1976) investigated the relationship between the incidence of CNS malformations in the 48 local authorities and trace elements in water, and observed significant negative correlations for three elements (copper, calcium, and barium).  However, the brevity of this report precludes critical evaluation of the study and the reliability of the results is therefore uncertain. A brief study by Barash </w:t>
      </w:r>
      <w:r w:rsidRPr="0098635C">
        <w:rPr>
          <w:i/>
          <w:color w:val="000000" w:themeColor="text1"/>
          <w:sz w:val="20"/>
        </w:rPr>
        <w:t xml:space="preserve">et al </w:t>
      </w:r>
      <w:r w:rsidRPr="0098635C">
        <w:rPr>
          <w:color w:val="000000" w:themeColor="text1"/>
          <w:sz w:val="20"/>
        </w:rPr>
        <w:t>(1990) reported no evidence of teratogenic effects associated with copper IUDs, nor any evidence that copper is distributed to placental or embryonic tissue.</w:t>
      </w:r>
    </w:p>
    <w:p w14:paraId="61C35A41" w14:textId="77777777" w:rsidR="008D1AE9" w:rsidRPr="0098635C" w:rsidRDefault="008D1AE9" w:rsidP="008D1AE9">
      <w:pPr>
        <w:pStyle w:val="Heading8"/>
        <w:rPr>
          <w:color w:val="000000" w:themeColor="text1"/>
          <w:sz w:val="20"/>
          <w:szCs w:val="20"/>
        </w:rPr>
      </w:pPr>
      <w:r w:rsidRPr="0098635C">
        <w:rPr>
          <w:color w:val="000000" w:themeColor="text1"/>
          <w:sz w:val="20"/>
          <w:szCs w:val="20"/>
        </w:rPr>
        <w:t>Conclusion</w:t>
      </w:r>
    </w:p>
    <w:p w14:paraId="1E6A62A1" w14:textId="796EAC23" w:rsidR="008D1AE9" w:rsidRPr="0098635C" w:rsidRDefault="008D1AE9" w:rsidP="008D1AE9">
      <w:pPr>
        <w:pStyle w:val="BodyText"/>
        <w:rPr>
          <w:color w:val="000000" w:themeColor="text1"/>
          <w:sz w:val="20"/>
        </w:rPr>
      </w:pPr>
      <w:r w:rsidRPr="0098635C">
        <w:rPr>
          <w:color w:val="000000" w:themeColor="text1"/>
          <w:sz w:val="20"/>
        </w:rPr>
        <w:t>Available animal and human data on the reproductive effects of copper and its compounds</w:t>
      </w:r>
      <w:r w:rsidR="006651BC" w:rsidRPr="0098635C">
        <w:rPr>
          <w:color w:val="000000" w:themeColor="text1"/>
          <w:sz w:val="20"/>
        </w:rPr>
        <w:t xml:space="preserve"> do not raise concerns for developmental or reproductive </w:t>
      </w:r>
      <w:r w:rsidR="00F35D64" w:rsidRPr="0098635C">
        <w:rPr>
          <w:color w:val="000000" w:themeColor="text1"/>
          <w:sz w:val="20"/>
        </w:rPr>
        <w:t>toxicity</w:t>
      </w:r>
      <w:r w:rsidRPr="0098635C">
        <w:rPr>
          <w:color w:val="000000" w:themeColor="text1"/>
          <w:sz w:val="20"/>
        </w:rPr>
        <w:t xml:space="preserve">.  The most reliable data for developmental toxicity indicate that developmental effects occur only in the presence of maternal toxicity. Results of a two-generation reproduction toxicity test showed no treatment-related reproductive effects up to 1500 ppm dietary copper sulphate pentahydrate, the highest concentration tested. </w:t>
      </w:r>
      <w:r w:rsidR="006651BC" w:rsidRPr="0098635C">
        <w:rPr>
          <w:color w:val="000000" w:themeColor="text1"/>
          <w:sz w:val="20"/>
        </w:rPr>
        <w:t xml:space="preserve"> </w:t>
      </w:r>
    </w:p>
    <w:p w14:paraId="72568D5B" w14:textId="77777777" w:rsidR="008D1AE9" w:rsidRPr="0098635C" w:rsidRDefault="008D1AE9" w:rsidP="008D1AE9">
      <w:pPr>
        <w:pStyle w:val="BodyText"/>
        <w:rPr>
          <w:color w:val="000000" w:themeColor="text1"/>
          <w:sz w:val="20"/>
        </w:rPr>
      </w:pPr>
      <w:r w:rsidRPr="0098635C">
        <w:rPr>
          <w:color w:val="000000" w:themeColor="text1"/>
          <w:sz w:val="20"/>
        </w:rPr>
        <w:t>The available data concerning reproductive effects of copper in humans are sparse.  Of the four human studies which have been reviewed here, two have major deficiencies which make the reliability of their findings uncertain.  The remaining two studies, both drinking water studies, failed to demonstrate any association between copper levels in drinking water and adverse pregnancy outcome.</w:t>
      </w:r>
    </w:p>
    <w:p w14:paraId="34457E55" w14:textId="50D22985" w:rsidR="008D1AE9" w:rsidRPr="0098635C" w:rsidRDefault="008D1AE9" w:rsidP="008D1AE9">
      <w:pPr>
        <w:rPr>
          <w:rFonts w:ascii="Times" w:hAnsi="Times" w:cs="Times"/>
          <w:color w:val="000000" w:themeColor="text1"/>
          <w:sz w:val="20"/>
          <w:szCs w:val="20"/>
        </w:rPr>
      </w:pPr>
      <w:r w:rsidRPr="0098635C">
        <w:rPr>
          <w:color w:val="000000" w:themeColor="text1"/>
          <w:sz w:val="20"/>
          <w:szCs w:val="20"/>
        </w:rPr>
        <w:t>It is also important to consider that copper is an essential element and many countries recommend an increased dietary intake of copper during pregnancy. This increased recommendation is because a foetus requires copper levels up to 10 times adult levels. The copper is absorbed across the placenta and is required for healthy growth and development, especially in blood maturation, bone development, heart development and function, brain development and function and the function of 20 key enzymes (Ralph &amp; McArdle, 2001). The existing toxicology data package therefore supports the conclusion that copper has no reproductive or developmental toxicity potential.</w:t>
      </w:r>
    </w:p>
    <w:p w14:paraId="15F56291" w14:textId="21B5D4CE" w:rsidR="008D1AE9" w:rsidRPr="0098635C" w:rsidRDefault="008D1AE9" w:rsidP="00851F58">
      <w:pPr>
        <w:pStyle w:val="Heading2"/>
        <w:rPr>
          <w:color w:val="000000" w:themeColor="text1"/>
          <w:sz w:val="20"/>
        </w:rPr>
      </w:pPr>
      <w:bookmarkStart w:id="1958" w:name="_Toc260063685"/>
      <w:bookmarkStart w:id="1959" w:name="_Toc472000388"/>
      <w:bookmarkStart w:id="1960" w:name="_Toc472251750"/>
      <w:r w:rsidRPr="0098635C">
        <w:rPr>
          <w:rFonts w:ascii="Times New Roman" w:hAnsi="Times New Roman"/>
          <w:b w:val="0"/>
          <w:color w:val="000000" w:themeColor="text1"/>
          <w:sz w:val="20"/>
        </w:rPr>
        <w:t>Conclusion</w:t>
      </w:r>
      <w:bookmarkStart w:id="1961" w:name="_Toc472000389"/>
      <w:bookmarkEnd w:id="1958"/>
      <w:bookmarkEnd w:id="1959"/>
      <w:bookmarkEnd w:id="1960"/>
      <w:bookmarkEnd w:id="1961"/>
    </w:p>
    <w:p w14:paraId="01D31DA9" w14:textId="065021D9" w:rsidR="008D1AE9" w:rsidRPr="0098635C" w:rsidRDefault="00D05142" w:rsidP="008D1AE9">
      <w:pPr>
        <w:pStyle w:val="BodyText"/>
        <w:rPr>
          <w:color w:val="000000" w:themeColor="text1"/>
          <w:sz w:val="20"/>
        </w:rPr>
      </w:pPr>
      <w:r w:rsidRPr="0098635C">
        <w:rPr>
          <w:color w:val="000000" w:themeColor="text1"/>
          <w:sz w:val="20"/>
        </w:rPr>
        <w:t xml:space="preserve">Copper is an essential nutrient present in human body fluids and tissues at concentrations of parts per mil-lion or parts per billion. It has a number of physiolgical roles that may be classified as regulatory, </w:t>
      </w:r>
      <w:r w:rsidR="00F35D64" w:rsidRPr="0098635C">
        <w:rPr>
          <w:color w:val="000000" w:themeColor="text1"/>
          <w:sz w:val="20"/>
        </w:rPr>
        <w:t>structural</w:t>
      </w:r>
      <w:r w:rsidRPr="0098635C">
        <w:rPr>
          <w:color w:val="000000" w:themeColor="text1"/>
          <w:sz w:val="20"/>
        </w:rPr>
        <w:t xml:space="preserve"> and protective. From the available toxicokinetic studies, a value of 25% true oral </w:t>
      </w:r>
      <w:r w:rsidR="00F35D64" w:rsidRPr="0098635C">
        <w:rPr>
          <w:color w:val="000000" w:themeColor="text1"/>
          <w:sz w:val="20"/>
        </w:rPr>
        <w:t>absorption</w:t>
      </w:r>
      <w:r w:rsidRPr="0098635C">
        <w:rPr>
          <w:color w:val="000000" w:themeColor="text1"/>
          <w:sz w:val="20"/>
        </w:rPr>
        <w:t xml:space="preserve"> was determined in the rat and 20% true oral absorption in humans.</w:t>
      </w:r>
    </w:p>
    <w:p w14:paraId="1B258CBA" w14:textId="6BB59989" w:rsidR="008D1AE9" w:rsidRPr="0098635C" w:rsidRDefault="00D05142" w:rsidP="008D1AE9">
      <w:pPr>
        <w:pStyle w:val="BodyText"/>
        <w:rPr>
          <w:color w:val="000000" w:themeColor="text1"/>
          <w:sz w:val="20"/>
        </w:rPr>
      </w:pPr>
      <w:r w:rsidRPr="0098635C">
        <w:rPr>
          <w:color w:val="000000" w:themeColor="text1"/>
          <w:sz w:val="20"/>
        </w:rPr>
        <w:lastRenderedPageBreak/>
        <w:t xml:space="preserve">Both </w:t>
      </w:r>
      <w:r w:rsidRPr="0098635C">
        <w:rPr>
          <w:i/>
          <w:color w:val="000000" w:themeColor="text1"/>
          <w:sz w:val="20"/>
        </w:rPr>
        <w:t>in vitro</w:t>
      </w:r>
      <w:r w:rsidRPr="0098635C">
        <w:rPr>
          <w:color w:val="000000" w:themeColor="text1"/>
          <w:sz w:val="20"/>
        </w:rPr>
        <w:t xml:space="preserve"> and </w:t>
      </w:r>
      <w:r w:rsidRPr="0098635C">
        <w:rPr>
          <w:i/>
          <w:color w:val="000000" w:themeColor="text1"/>
          <w:sz w:val="20"/>
        </w:rPr>
        <w:t>in vivo</w:t>
      </w:r>
      <w:r w:rsidRPr="0098635C">
        <w:rPr>
          <w:color w:val="000000" w:themeColor="text1"/>
          <w:sz w:val="20"/>
        </w:rPr>
        <w:t xml:space="preserve"> bioavailability studies have shown that relatively insoluble copper powder and sparingly soluble copper compounds e.g. dicopper sulphide and </w:t>
      </w:r>
      <w:r w:rsidR="00236182" w:rsidRPr="0098635C">
        <w:rPr>
          <w:color w:val="000000" w:themeColor="text1"/>
          <w:sz w:val="20"/>
        </w:rPr>
        <w:t>copper (II) oxide</w:t>
      </w:r>
      <w:r w:rsidRPr="0098635C">
        <w:rPr>
          <w:color w:val="000000" w:themeColor="text1"/>
          <w:sz w:val="20"/>
        </w:rPr>
        <w:t>, are less bioavailable than the more soluble copper salts e.g. copper sulphate pentahydrate and cuprous oxide.</w:t>
      </w:r>
    </w:p>
    <w:p w14:paraId="6E25707A" w14:textId="3798D4CC" w:rsidR="00933F6A" w:rsidRPr="0098635C" w:rsidRDefault="00D05142" w:rsidP="00926614">
      <w:pPr>
        <w:pStyle w:val="BodyText"/>
        <w:rPr>
          <w:color w:val="000000" w:themeColor="text1"/>
          <w:sz w:val="20"/>
        </w:rPr>
      </w:pPr>
      <w:r w:rsidRPr="0098635C">
        <w:rPr>
          <w:color w:val="000000" w:themeColor="text1"/>
          <w:sz w:val="20"/>
        </w:rPr>
        <w:t>Copper and copper compounds are not mutagenic, carcinogenic or a reproductive toxicant. There is no specific target organ toxicity effects observed that would warrant classification as an acute or repeat STOT under Global Harmonisation System</w:t>
      </w:r>
    </w:p>
    <w:p w14:paraId="7972F885" w14:textId="13B6FD70" w:rsidR="00BF67DC" w:rsidRPr="0098635C" w:rsidRDefault="00F35D64" w:rsidP="00BF67DC">
      <w:pPr>
        <w:spacing w:after="0"/>
        <w:rPr>
          <w:color w:val="000000" w:themeColor="text1"/>
          <w:sz w:val="20"/>
          <w:szCs w:val="20"/>
        </w:rPr>
      </w:pPr>
      <w:r w:rsidRPr="0098635C">
        <w:rPr>
          <w:color w:val="000000" w:themeColor="text1"/>
          <w:sz w:val="20"/>
          <w:szCs w:val="20"/>
        </w:rPr>
        <w:t>Three</w:t>
      </w:r>
      <w:r w:rsidR="00BF67DC" w:rsidRPr="0098635C">
        <w:rPr>
          <w:color w:val="000000" w:themeColor="text1"/>
          <w:sz w:val="20"/>
          <w:szCs w:val="20"/>
        </w:rPr>
        <w:t xml:space="preserve"> of the substances and one form of zero valent copper in this category present a hazard for human health, based notably on the release/bioaccessibility of copper ions. </w:t>
      </w:r>
    </w:p>
    <w:p w14:paraId="4AB4F24A" w14:textId="7D287411" w:rsidR="00BF67DC" w:rsidRPr="0098635C" w:rsidRDefault="00BF67DC" w:rsidP="0059369A">
      <w:pPr>
        <w:widowControl/>
        <w:numPr>
          <w:ilvl w:val="0"/>
          <w:numId w:val="37"/>
        </w:numPr>
        <w:autoSpaceDE/>
        <w:autoSpaceDN/>
        <w:adjustRightInd/>
        <w:spacing w:after="0"/>
        <w:ind w:right="214"/>
        <w:rPr>
          <w:color w:val="000000" w:themeColor="text1"/>
          <w:sz w:val="20"/>
          <w:szCs w:val="20"/>
        </w:rPr>
      </w:pPr>
      <w:r w:rsidRPr="0098635C">
        <w:rPr>
          <w:color w:val="000000" w:themeColor="text1"/>
          <w:sz w:val="20"/>
          <w:szCs w:val="20"/>
        </w:rPr>
        <w:t xml:space="preserve">Copper sulphate pentahydrate: severe eye </w:t>
      </w:r>
      <w:r w:rsidR="006D6DCD" w:rsidRPr="0098635C">
        <w:rPr>
          <w:color w:val="000000" w:themeColor="text1"/>
          <w:sz w:val="20"/>
          <w:szCs w:val="20"/>
        </w:rPr>
        <w:t>irritation</w:t>
      </w:r>
      <w:r w:rsidRPr="0098635C">
        <w:rPr>
          <w:color w:val="000000" w:themeColor="text1"/>
          <w:sz w:val="20"/>
          <w:szCs w:val="20"/>
        </w:rPr>
        <w:t xml:space="preserve">and acute hazard by the oral route. </w:t>
      </w:r>
    </w:p>
    <w:p w14:paraId="1ABFD0FC" w14:textId="44ACAAC3" w:rsidR="00BF67DC" w:rsidRPr="0098635C" w:rsidRDefault="00236182" w:rsidP="0059369A">
      <w:pPr>
        <w:widowControl/>
        <w:numPr>
          <w:ilvl w:val="0"/>
          <w:numId w:val="37"/>
        </w:numPr>
        <w:autoSpaceDE/>
        <w:autoSpaceDN/>
        <w:adjustRightInd/>
        <w:spacing w:after="0"/>
        <w:ind w:right="214"/>
        <w:rPr>
          <w:color w:val="000000" w:themeColor="text1"/>
          <w:sz w:val="20"/>
          <w:szCs w:val="20"/>
        </w:rPr>
      </w:pPr>
      <w:r w:rsidRPr="0098635C">
        <w:rPr>
          <w:color w:val="000000" w:themeColor="text1"/>
          <w:sz w:val="20"/>
          <w:szCs w:val="20"/>
        </w:rPr>
        <w:t>Copper (I) oxide</w:t>
      </w:r>
      <w:r w:rsidR="00BF67DC" w:rsidRPr="0098635C">
        <w:rPr>
          <w:color w:val="000000" w:themeColor="text1"/>
          <w:sz w:val="20"/>
          <w:szCs w:val="20"/>
        </w:rPr>
        <w:t xml:space="preserve">: severe eye </w:t>
      </w:r>
      <w:r w:rsidR="006D6DCD" w:rsidRPr="0098635C">
        <w:rPr>
          <w:color w:val="000000" w:themeColor="text1"/>
          <w:sz w:val="20"/>
          <w:szCs w:val="20"/>
        </w:rPr>
        <w:t>irritation,</w:t>
      </w:r>
      <w:r w:rsidR="00BF67DC" w:rsidRPr="0098635C">
        <w:rPr>
          <w:color w:val="000000" w:themeColor="text1"/>
          <w:sz w:val="20"/>
          <w:szCs w:val="20"/>
        </w:rPr>
        <w:t xml:space="preserve"> acute hazard by the oral and inhalation routes. </w:t>
      </w:r>
    </w:p>
    <w:p w14:paraId="4BC10DB1" w14:textId="77777777" w:rsidR="00BF67DC" w:rsidRPr="0098635C" w:rsidRDefault="00BF67DC" w:rsidP="0059369A">
      <w:pPr>
        <w:widowControl/>
        <w:numPr>
          <w:ilvl w:val="0"/>
          <w:numId w:val="37"/>
        </w:numPr>
        <w:autoSpaceDE/>
        <w:autoSpaceDN/>
        <w:adjustRightInd/>
        <w:spacing w:after="0"/>
        <w:ind w:right="214"/>
        <w:rPr>
          <w:color w:val="000000" w:themeColor="text1"/>
          <w:sz w:val="20"/>
          <w:szCs w:val="20"/>
        </w:rPr>
      </w:pPr>
      <w:r w:rsidRPr="0098635C">
        <w:rPr>
          <w:color w:val="000000" w:themeColor="text1"/>
          <w:sz w:val="20"/>
          <w:szCs w:val="20"/>
        </w:rPr>
        <w:t xml:space="preserve">Dicopper chloride hydroxide: acute hazard by the oral and inhalation route. </w:t>
      </w:r>
    </w:p>
    <w:p w14:paraId="48371757" w14:textId="77777777" w:rsidR="00BF67DC" w:rsidRPr="0098635C" w:rsidRDefault="00BF67DC" w:rsidP="0059369A">
      <w:pPr>
        <w:widowControl/>
        <w:numPr>
          <w:ilvl w:val="0"/>
          <w:numId w:val="37"/>
        </w:numPr>
        <w:autoSpaceDE/>
        <w:autoSpaceDN/>
        <w:adjustRightInd/>
        <w:spacing w:after="0"/>
        <w:ind w:right="214"/>
        <w:rPr>
          <w:color w:val="000000" w:themeColor="text1"/>
          <w:sz w:val="20"/>
          <w:szCs w:val="20"/>
        </w:rPr>
      </w:pPr>
      <w:r w:rsidRPr="0098635C">
        <w:rPr>
          <w:color w:val="000000" w:themeColor="text1"/>
          <w:sz w:val="20"/>
          <w:szCs w:val="20"/>
        </w:rPr>
        <w:t xml:space="preserve">Coated copper flakes: eye irritation, acute hazard by the oral and inhalation routes. </w:t>
      </w:r>
    </w:p>
    <w:p w14:paraId="1FB66595" w14:textId="77777777" w:rsidR="00BF67DC" w:rsidRPr="0098635C" w:rsidRDefault="00BF67DC" w:rsidP="00BF67DC">
      <w:pPr>
        <w:spacing w:after="0"/>
        <w:ind w:left="644"/>
        <w:rPr>
          <w:color w:val="000000" w:themeColor="text1"/>
          <w:sz w:val="20"/>
          <w:szCs w:val="20"/>
        </w:rPr>
      </w:pPr>
    </w:p>
    <w:p w14:paraId="3363B90E" w14:textId="12DECA04" w:rsidR="00BF67DC" w:rsidRPr="0098635C" w:rsidRDefault="00236182" w:rsidP="00BF67DC">
      <w:pPr>
        <w:spacing w:after="0"/>
        <w:ind w:left="644"/>
        <w:rPr>
          <w:color w:val="000000" w:themeColor="text1"/>
          <w:sz w:val="20"/>
          <w:szCs w:val="20"/>
        </w:rPr>
      </w:pPr>
      <w:r w:rsidRPr="0098635C">
        <w:rPr>
          <w:color w:val="000000" w:themeColor="text1"/>
          <w:sz w:val="20"/>
          <w:szCs w:val="20"/>
        </w:rPr>
        <w:t>Copper (II) oxide</w:t>
      </w:r>
      <w:r w:rsidR="00BF67DC" w:rsidRPr="0098635C">
        <w:rPr>
          <w:color w:val="000000" w:themeColor="text1"/>
          <w:sz w:val="20"/>
          <w:szCs w:val="20"/>
        </w:rPr>
        <w:t xml:space="preserve">, copper powder and copper massive do not pose a hazard to human health. </w:t>
      </w:r>
    </w:p>
    <w:p w14:paraId="26B668EB" w14:textId="77777777" w:rsidR="00BF67DC" w:rsidRPr="0098635C" w:rsidRDefault="00BF67DC" w:rsidP="00BF67DC">
      <w:pPr>
        <w:spacing w:after="0"/>
        <w:ind w:left="644"/>
        <w:rPr>
          <w:color w:val="000000" w:themeColor="text1"/>
          <w:sz w:val="20"/>
          <w:szCs w:val="20"/>
        </w:rPr>
      </w:pPr>
    </w:p>
    <w:p w14:paraId="4B6FB02E" w14:textId="77777777" w:rsidR="00933F6A" w:rsidRPr="0098635C" w:rsidRDefault="00933F6A" w:rsidP="006D6DCD">
      <w:pPr>
        <w:spacing w:after="0"/>
        <w:ind w:left="644"/>
        <w:rPr>
          <w:color w:val="000000" w:themeColor="text1"/>
          <w:sz w:val="20"/>
          <w:szCs w:val="20"/>
        </w:rPr>
      </w:pPr>
    </w:p>
    <w:p w14:paraId="1CA087EA" w14:textId="77777777" w:rsidR="009B096C" w:rsidRPr="0098635C" w:rsidRDefault="009B096C" w:rsidP="00926614">
      <w:pPr>
        <w:pStyle w:val="BodyText"/>
        <w:rPr>
          <w:color w:val="000000" w:themeColor="text1"/>
          <w:sz w:val="20"/>
        </w:rPr>
      </w:pPr>
    </w:p>
    <w:p w14:paraId="558AE789" w14:textId="77777777" w:rsidR="00B05271" w:rsidRPr="0098635C" w:rsidRDefault="00B05271">
      <w:pPr>
        <w:pStyle w:val="Heading1"/>
        <w:rPr>
          <w:color w:val="000000" w:themeColor="text1"/>
          <w:sz w:val="20"/>
        </w:rPr>
      </w:pPr>
      <w:bookmarkStart w:id="1962" w:name="_Toc32726038"/>
      <w:bookmarkStart w:id="1963" w:name="_Toc32727221"/>
      <w:bookmarkStart w:id="1964" w:name="_Toc43868669"/>
      <w:bookmarkStart w:id="1965" w:name="_Toc200358256"/>
      <w:bookmarkStart w:id="1966" w:name="_Toc200359272"/>
      <w:bookmarkStart w:id="1967" w:name="_Toc472000390"/>
      <w:bookmarkStart w:id="1968" w:name="_Toc472251751"/>
      <w:r w:rsidRPr="0098635C">
        <w:rPr>
          <w:color w:val="000000" w:themeColor="text1"/>
          <w:sz w:val="20"/>
        </w:rPr>
        <w:t>hazards to the environment</w:t>
      </w:r>
      <w:bookmarkEnd w:id="1962"/>
      <w:bookmarkEnd w:id="1963"/>
      <w:bookmarkEnd w:id="1964"/>
      <w:bookmarkEnd w:id="1965"/>
      <w:bookmarkEnd w:id="1966"/>
      <w:bookmarkEnd w:id="1967"/>
      <w:bookmarkEnd w:id="1968"/>
    </w:p>
    <w:p w14:paraId="6469546F" w14:textId="57146C46" w:rsidR="00BF67DC" w:rsidRPr="0098635C" w:rsidRDefault="00666B11" w:rsidP="00D05142">
      <w:pPr>
        <w:pStyle w:val="BodyText"/>
        <w:rPr>
          <w:rStyle w:val="KorrUK"/>
          <w:rFonts w:ascii="Times New Roman" w:hAnsi="Times New Roman" w:cs="Times New Roman"/>
          <w:color w:val="000000" w:themeColor="text1"/>
          <w:sz w:val="20"/>
          <w:szCs w:val="20"/>
        </w:rPr>
      </w:pPr>
      <w:bookmarkStart w:id="1969" w:name="_Toc32726039"/>
      <w:bookmarkStart w:id="1970" w:name="_Toc32727222"/>
      <w:bookmarkStart w:id="1971" w:name="_Toc43868670"/>
      <w:bookmarkStart w:id="1972" w:name="_Toc200358257"/>
      <w:bookmarkStart w:id="1973" w:name="_Toc200359273"/>
      <w:r w:rsidRPr="0098635C">
        <w:rPr>
          <w:rStyle w:val="KorrUK"/>
          <w:rFonts w:ascii="Times New Roman" w:hAnsi="Times New Roman" w:cs="Times New Roman"/>
          <w:color w:val="000000" w:themeColor="text1"/>
          <w:sz w:val="20"/>
          <w:szCs w:val="20"/>
        </w:rPr>
        <w:t>Different metal species are used as test substances in various ecotoxicity tests (e.g. CuSO4, CuCl2, CuO). Considering that the metal ion (Cu2+) drives the ecotoxicity, only tests with soluble inorganic copper compounds were retained. Acute and chronic toxicity data from the various soluble com-pounds (e.g. CuSO4, CuCl2) were combined and expressed as metal ion concentrations (μg dis-solved Cu/L</w:t>
      </w:r>
      <w:r w:rsidR="00851F58" w:rsidRPr="0098635C">
        <w:rPr>
          <w:rStyle w:val="KorrUK"/>
          <w:rFonts w:ascii="Times New Roman" w:hAnsi="Times New Roman" w:cs="Times New Roman"/>
          <w:color w:val="000000" w:themeColor="text1"/>
          <w:sz w:val="20"/>
          <w:szCs w:val="20"/>
        </w:rPr>
        <w:t>).</w:t>
      </w:r>
    </w:p>
    <w:p w14:paraId="17C161BB" w14:textId="6BA899BA" w:rsidR="007F1FBF" w:rsidRPr="0098635C" w:rsidRDefault="00666B11" w:rsidP="00D05142">
      <w:pPr>
        <w:pStyle w:val="BodyText"/>
        <w:rPr>
          <w:rStyle w:val="KorrUK"/>
          <w:rFonts w:ascii="Times New Roman" w:hAnsi="Times New Roman" w:cs="Times New Roman"/>
          <w:color w:val="000000" w:themeColor="text1"/>
          <w:sz w:val="20"/>
          <w:szCs w:val="20"/>
        </w:rPr>
      </w:pPr>
      <w:r w:rsidRPr="0098635C">
        <w:rPr>
          <w:rStyle w:val="KorrUK"/>
          <w:rFonts w:ascii="Times New Roman" w:hAnsi="Times New Roman" w:cs="Times New Roman"/>
          <w:color w:val="000000" w:themeColor="text1"/>
          <w:sz w:val="20"/>
          <w:szCs w:val="20"/>
        </w:rPr>
        <w:t>The selected studies were further screened, using reliability and quality criteria. All data reported are measured values (µg dissolved Cu/L).</w:t>
      </w:r>
    </w:p>
    <w:p w14:paraId="316D92A7" w14:textId="051086D8" w:rsidR="00184EF4" w:rsidRPr="0098635C" w:rsidRDefault="007F1FBF" w:rsidP="00D05142">
      <w:pPr>
        <w:pStyle w:val="BodyText"/>
        <w:rPr>
          <w:rStyle w:val="KorrUK"/>
          <w:rFonts w:ascii="Times New Roman" w:hAnsi="Times New Roman" w:cs="Times New Roman"/>
          <w:color w:val="000000" w:themeColor="text1"/>
          <w:sz w:val="20"/>
          <w:szCs w:val="20"/>
        </w:rPr>
      </w:pPr>
      <w:r w:rsidRPr="0098635C">
        <w:rPr>
          <w:rStyle w:val="KorrUK"/>
          <w:rFonts w:ascii="Times New Roman" w:hAnsi="Times New Roman" w:cs="Times New Roman"/>
          <w:color w:val="000000" w:themeColor="text1"/>
          <w:sz w:val="20"/>
          <w:szCs w:val="20"/>
        </w:rPr>
        <w:t>The core database was developed between 2000-2006 as a co-operation between consultants, the copper industry and the Italian Istituto</w:t>
      </w:r>
      <w:r w:rsidR="005F7CEC" w:rsidRPr="0098635C">
        <w:rPr>
          <w:rStyle w:val="KorrUK"/>
          <w:rFonts w:ascii="Times New Roman" w:hAnsi="Times New Roman" w:cs="Times New Roman"/>
          <w:color w:val="000000" w:themeColor="text1"/>
          <w:sz w:val="20"/>
          <w:szCs w:val="20"/>
        </w:rPr>
        <w:t xml:space="preserve"> Superiori Di Sanita. The data-set and conclusions were reviewed in 2004-2007 by the European Technical Committee for New and Existing Substances (TCNES). Further reviews were done by the European Scientific Committee for Health and Environment Risk (SCHER) in 2008</w:t>
      </w:r>
      <w:r w:rsidR="00A97FE6" w:rsidRPr="0098635C">
        <w:rPr>
          <w:rStyle w:val="KorrUK"/>
          <w:rFonts w:ascii="Times New Roman" w:hAnsi="Times New Roman" w:cs="Times New Roman"/>
          <w:color w:val="000000" w:themeColor="text1"/>
          <w:sz w:val="20"/>
          <w:szCs w:val="20"/>
        </w:rPr>
        <w:t>.</w:t>
      </w:r>
      <w:r w:rsidR="005F7CEC" w:rsidRPr="0098635C">
        <w:rPr>
          <w:rStyle w:val="KorrUK"/>
          <w:rFonts w:ascii="Times New Roman" w:hAnsi="Times New Roman" w:cs="Times New Roman"/>
          <w:color w:val="000000" w:themeColor="text1"/>
          <w:sz w:val="20"/>
          <w:szCs w:val="20"/>
        </w:rPr>
        <w:t xml:space="preserve"> </w:t>
      </w:r>
      <w:r w:rsidR="0008036E" w:rsidRPr="0098635C">
        <w:rPr>
          <w:rStyle w:val="KorrUK"/>
          <w:rFonts w:ascii="Times New Roman" w:hAnsi="Times New Roman" w:cs="Times New Roman"/>
          <w:color w:val="000000" w:themeColor="text1"/>
          <w:sz w:val="20"/>
          <w:szCs w:val="20"/>
        </w:rPr>
        <w:t>The Technical</w:t>
      </w:r>
      <w:r w:rsidR="005F7CEC" w:rsidRPr="0098635C">
        <w:rPr>
          <w:rStyle w:val="KorrUK"/>
          <w:rFonts w:ascii="Times New Roman" w:hAnsi="Times New Roman" w:cs="Times New Roman"/>
          <w:color w:val="000000" w:themeColor="text1"/>
          <w:sz w:val="20"/>
          <w:szCs w:val="20"/>
        </w:rPr>
        <w:t xml:space="preserve"> Meeting on Biocidal Products in 2008</w:t>
      </w:r>
      <w:r w:rsidR="00A97FE6" w:rsidRPr="0098635C">
        <w:rPr>
          <w:rStyle w:val="KorrUK"/>
          <w:rFonts w:ascii="Times New Roman" w:hAnsi="Times New Roman" w:cs="Times New Roman"/>
          <w:color w:val="000000" w:themeColor="text1"/>
          <w:sz w:val="20"/>
          <w:szCs w:val="20"/>
        </w:rPr>
        <w:t xml:space="preserve"> reviewed the data for</w:t>
      </w:r>
      <w:r w:rsidR="00014473" w:rsidRPr="0098635C">
        <w:rPr>
          <w:rStyle w:val="KorrUK"/>
          <w:rFonts w:ascii="Times New Roman" w:hAnsi="Times New Roman" w:cs="Times New Roman"/>
          <w:color w:val="000000" w:themeColor="text1"/>
          <w:sz w:val="20"/>
          <w:szCs w:val="20"/>
        </w:rPr>
        <w:t xml:space="preserve"> copper sulphate pentahydrate, </w:t>
      </w:r>
      <w:r w:rsidR="00236182" w:rsidRPr="0098635C">
        <w:rPr>
          <w:rStyle w:val="KorrUK"/>
          <w:rFonts w:ascii="Times New Roman" w:hAnsi="Times New Roman" w:cs="Times New Roman"/>
          <w:color w:val="000000" w:themeColor="text1"/>
          <w:sz w:val="20"/>
          <w:szCs w:val="20"/>
        </w:rPr>
        <w:t>copper (II) oxide</w:t>
      </w:r>
      <w:r w:rsidR="00014473" w:rsidRPr="0098635C">
        <w:rPr>
          <w:rStyle w:val="KorrUK"/>
          <w:rFonts w:ascii="Times New Roman" w:hAnsi="Times New Roman" w:cs="Times New Roman"/>
          <w:color w:val="000000" w:themeColor="text1"/>
          <w:sz w:val="20"/>
          <w:szCs w:val="20"/>
        </w:rPr>
        <w:t xml:space="preserve"> and </w:t>
      </w:r>
      <w:r w:rsidR="00236182" w:rsidRPr="0098635C">
        <w:rPr>
          <w:rStyle w:val="KorrUK"/>
          <w:rFonts w:ascii="Times New Roman" w:hAnsi="Times New Roman" w:cs="Times New Roman"/>
          <w:color w:val="000000" w:themeColor="text1"/>
          <w:sz w:val="20"/>
          <w:szCs w:val="20"/>
        </w:rPr>
        <w:t>dicopper chloride trihydroxide</w:t>
      </w:r>
      <w:r w:rsidR="00FF15C0" w:rsidRPr="0098635C">
        <w:rPr>
          <w:rStyle w:val="FootnoteReference"/>
          <w:color w:val="000000" w:themeColor="text1"/>
          <w:sz w:val="20"/>
        </w:rPr>
        <w:footnoteReference w:id="28"/>
      </w:r>
      <w:r w:rsidR="005F7CEC" w:rsidRPr="0098635C">
        <w:rPr>
          <w:rStyle w:val="KorrUK"/>
          <w:rFonts w:ascii="Times New Roman" w:hAnsi="Times New Roman" w:cs="Times New Roman"/>
          <w:color w:val="000000" w:themeColor="text1"/>
          <w:sz w:val="20"/>
          <w:szCs w:val="20"/>
        </w:rPr>
        <w:t>. As follow-up of the final comments from TCNES, SCHER a</w:t>
      </w:r>
      <w:r w:rsidR="00134730" w:rsidRPr="0098635C">
        <w:rPr>
          <w:rStyle w:val="KorrUK"/>
          <w:rFonts w:ascii="Times New Roman" w:hAnsi="Times New Roman" w:cs="Times New Roman"/>
          <w:color w:val="000000" w:themeColor="text1"/>
          <w:sz w:val="20"/>
          <w:szCs w:val="20"/>
        </w:rPr>
        <w:t>n</w:t>
      </w:r>
      <w:r w:rsidR="005F7CEC" w:rsidRPr="0098635C">
        <w:rPr>
          <w:rStyle w:val="KorrUK"/>
          <w:rFonts w:ascii="Times New Roman" w:hAnsi="Times New Roman" w:cs="Times New Roman"/>
          <w:color w:val="000000" w:themeColor="text1"/>
          <w:sz w:val="20"/>
          <w:szCs w:val="20"/>
        </w:rPr>
        <w:t>d the Biocidal technical meetings, some focussed follow-up research was carried out and included in the REACH and CoCam dossiers.</w:t>
      </w:r>
      <w:r w:rsidR="00184EF4" w:rsidRPr="0098635C">
        <w:rPr>
          <w:rStyle w:val="KorrUK"/>
          <w:rFonts w:ascii="Times New Roman" w:hAnsi="Times New Roman" w:cs="Times New Roman"/>
          <w:color w:val="000000" w:themeColor="text1"/>
          <w:sz w:val="20"/>
          <w:szCs w:val="20"/>
        </w:rPr>
        <w:t xml:space="preserve">It should be noted that the data on hazard </w:t>
      </w:r>
      <w:r w:rsidR="00287758" w:rsidRPr="0098635C">
        <w:rPr>
          <w:rStyle w:val="KorrUK"/>
          <w:rFonts w:ascii="Times New Roman" w:hAnsi="Times New Roman" w:cs="Times New Roman"/>
          <w:color w:val="000000" w:themeColor="text1"/>
          <w:sz w:val="20"/>
          <w:szCs w:val="20"/>
        </w:rPr>
        <w:t xml:space="preserve">classification </w:t>
      </w:r>
      <w:r w:rsidR="00184EF4" w:rsidRPr="0098635C">
        <w:rPr>
          <w:color w:val="000000" w:themeColor="text1"/>
          <w:sz w:val="20"/>
        </w:rPr>
        <w:t>are further discussed during the discussions on harmonized classification of biocidal copper forms and compounds (2014—2017</w:t>
      </w:r>
      <w:r w:rsidR="00287758" w:rsidRPr="0098635C">
        <w:rPr>
          <w:color w:val="000000" w:themeColor="text1"/>
          <w:sz w:val="20"/>
        </w:rPr>
        <w:t xml:space="preserve"> and onwards</w:t>
      </w:r>
      <w:r w:rsidR="00184EF4" w:rsidRPr="0098635C">
        <w:rPr>
          <w:color w:val="000000" w:themeColor="text1"/>
          <w:sz w:val="20"/>
        </w:rPr>
        <w:t>) in the EU.</w:t>
      </w:r>
    </w:p>
    <w:p w14:paraId="4CE15034" w14:textId="74234C1A" w:rsidR="00D05142" w:rsidRPr="0098635C" w:rsidRDefault="00D05142" w:rsidP="00D05142">
      <w:pPr>
        <w:pStyle w:val="BodyText"/>
        <w:rPr>
          <w:rStyle w:val="KorrUK"/>
          <w:rFonts w:ascii="Times New Roman" w:hAnsi="Times New Roman" w:cs="Times New Roman"/>
          <w:b/>
          <w:caps/>
          <w:color w:val="000000" w:themeColor="text1"/>
          <w:sz w:val="20"/>
          <w:szCs w:val="20"/>
        </w:rPr>
      </w:pPr>
    </w:p>
    <w:p w14:paraId="4DFEF5C6" w14:textId="092B7956" w:rsidR="009300C1" w:rsidRPr="0098635C" w:rsidRDefault="009300C1" w:rsidP="009300C1">
      <w:pPr>
        <w:pStyle w:val="Heading2"/>
        <w:rPr>
          <w:color w:val="000000" w:themeColor="text1"/>
          <w:sz w:val="20"/>
        </w:rPr>
      </w:pPr>
      <w:bookmarkStart w:id="1974" w:name="_Toc472000391"/>
      <w:bookmarkStart w:id="1975" w:name="_Toc472251752"/>
      <w:bookmarkEnd w:id="1969"/>
      <w:bookmarkEnd w:id="1970"/>
      <w:bookmarkEnd w:id="1971"/>
      <w:bookmarkEnd w:id="1972"/>
      <w:bookmarkEnd w:id="1973"/>
      <w:r w:rsidRPr="0098635C">
        <w:rPr>
          <w:color w:val="000000" w:themeColor="text1"/>
          <w:sz w:val="20"/>
        </w:rPr>
        <w:t xml:space="preserve">Effects to </w:t>
      </w:r>
      <w:bookmarkEnd w:id="1974"/>
      <w:bookmarkEnd w:id="1975"/>
      <w:r w:rsidR="0008036E" w:rsidRPr="0098635C">
        <w:rPr>
          <w:color w:val="000000" w:themeColor="text1"/>
          <w:sz w:val="20"/>
        </w:rPr>
        <w:t>Freshwater</w:t>
      </w:r>
      <w:r w:rsidRPr="0098635C">
        <w:rPr>
          <w:color w:val="000000" w:themeColor="text1"/>
          <w:sz w:val="20"/>
        </w:rPr>
        <w:t xml:space="preserve"> </w:t>
      </w:r>
    </w:p>
    <w:p w14:paraId="5A1AA5FD" w14:textId="659BF204" w:rsidR="009300C1" w:rsidRPr="0098635C" w:rsidRDefault="009300C1" w:rsidP="009300C1">
      <w:pPr>
        <w:pStyle w:val="Heading3"/>
        <w:rPr>
          <w:color w:val="000000" w:themeColor="text1"/>
          <w:sz w:val="20"/>
        </w:rPr>
      </w:pPr>
      <w:bookmarkStart w:id="1976" w:name="_Toc472000392"/>
      <w:bookmarkStart w:id="1977" w:name="_Toc472251753"/>
      <w:r w:rsidRPr="0098635C">
        <w:rPr>
          <w:color w:val="000000" w:themeColor="text1"/>
          <w:sz w:val="20"/>
        </w:rPr>
        <w:t>Introduction</w:t>
      </w:r>
      <w:bookmarkEnd w:id="1976"/>
      <w:bookmarkEnd w:id="1977"/>
    </w:p>
    <w:p w14:paraId="5DFDC63E" w14:textId="77777777" w:rsidR="009300C1" w:rsidRPr="0098635C" w:rsidRDefault="009300C1" w:rsidP="009300C1">
      <w:pPr>
        <w:pStyle w:val="BodyText"/>
        <w:spacing w:after="0"/>
        <w:rPr>
          <w:rStyle w:val="KorrUK"/>
          <w:rFonts w:ascii="Times New Roman" w:hAnsi="Times New Roman" w:cs="Times New Roman"/>
          <w:color w:val="000000" w:themeColor="text1"/>
          <w:sz w:val="20"/>
          <w:szCs w:val="20"/>
        </w:rPr>
      </w:pPr>
      <w:r w:rsidRPr="0098635C">
        <w:rPr>
          <w:rStyle w:val="KorrUK"/>
          <w:rFonts w:ascii="Times New Roman" w:hAnsi="Times New Roman" w:cs="Times New Roman"/>
          <w:color w:val="000000" w:themeColor="text1"/>
          <w:sz w:val="20"/>
          <w:szCs w:val="20"/>
        </w:rPr>
        <w:t>Considering that copper is a natural element, essential for all life forms, different studies have quantified levels of homeostasis and deficiency in invertebrates, fish and amphibian – examples are provided below</w:t>
      </w:r>
    </w:p>
    <w:p w14:paraId="3F64250E" w14:textId="77777777" w:rsidR="009300C1" w:rsidRPr="0098635C" w:rsidRDefault="009300C1" w:rsidP="009300C1">
      <w:pPr>
        <w:pStyle w:val="BodyText"/>
        <w:spacing w:after="0"/>
        <w:rPr>
          <w:rStyle w:val="KorrUK"/>
          <w:rFonts w:ascii="Times New Roman" w:hAnsi="Times New Roman" w:cs="Times New Roman"/>
          <w:i/>
          <w:color w:val="000000" w:themeColor="text1"/>
          <w:sz w:val="20"/>
          <w:szCs w:val="20"/>
        </w:rPr>
      </w:pPr>
    </w:p>
    <w:p w14:paraId="6D50A474" w14:textId="191C19C2" w:rsidR="00D05142" w:rsidRPr="0098635C" w:rsidRDefault="00E230FB" w:rsidP="0059369A">
      <w:pPr>
        <w:pStyle w:val="BodyText"/>
        <w:numPr>
          <w:ilvl w:val="0"/>
          <w:numId w:val="18"/>
        </w:numPr>
        <w:spacing w:after="0"/>
        <w:rPr>
          <w:rStyle w:val="KorrUK"/>
          <w:rFonts w:ascii="Times New Roman" w:hAnsi="Times New Roman" w:cs="Times New Roman"/>
          <w:b/>
          <w:i/>
          <w:color w:val="000000" w:themeColor="text1"/>
          <w:sz w:val="20"/>
          <w:szCs w:val="20"/>
        </w:rPr>
      </w:pPr>
      <w:r w:rsidRPr="0098635C">
        <w:rPr>
          <w:rStyle w:val="KorrUK"/>
          <w:rFonts w:ascii="Times New Roman" w:hAnsi="Times New Roman" w:cs="Times New Roman"/>
          <w:color w:val="000000" w:themeColor="text1"/>
          <w:sz w:val="20"/>
          <w:szCs w:val="20"/>
        </w:rPr>
        <w:t>Bossuyt et al</w:t>
      </w:r>
      <w:r w:rsidR="00134730" w:rsidRPr="0098635C">
        <w:rPr>
          <w:rStyle w:val="KorrUK"/>
          <w:rFonts w:ascii="Times New Roman" w:hAnsi="Times New Roman" w:cs="Times New Roman"/>
          <w:color w:val="000000" w:themeColor="text1"/>
          <w:sz w:val="20"/>
          <w:szCs w:val="20"/>
        </w:rPr>
        <w:t xml:space="preserve"> (</w:t>
      </w:r>
      <w:r w:rsidRPr="0098635C">
        <w:rPr>
          <w:rStyle w:val="KorrUK"/>
          <w:rFonts w:ascii="Times New Roman" w:hAnsi="Times New Roman" w:cs="Times New Roman"/>
          <w:color w:val="000000" w:themeColor="text1"/>
          <w:sz w:val="20"/>
          <w:szCs w:val="20"/>
        </w:rPr>
        <w:t>2004</w:t>
      </w:r>
      <w:r w:rsidR="00134730" w:rsidRPr="0098635C">
        <w:rPr>
          <w:rStyle w:val="KorrUK"/>
          <w:rFonts w:ascii="Times New Roman" w:hAnsi="Times New Roman" w:cs="Times New Roman"/>
          <w:color w:val="000000" w:themeColor="text1"/>
          <w:sz w:val="20"/>
          <w:szCs w:val="20"/>
        </w:rPr>
        <w:t>)</w:t>
      </w:r>
      <w:r w:rsidRPr="0098635C">
        <w:rPr>
          <w:rStyle w:val="KorrUK"/>
          <w:rFonts w:ascii="Times New Roman" w:hAnsi="Times New Roman" w:cs="Times New Roman"/>
          <w:color w:val="000000" w:themeColor="text1"/>
          <w:sz w:val="20"/>
          <w:szCs w:val="20"/>
        </w:rPr>
        <w:t xml:space="preserve"> performed acclimation experiments with </w:t>
      </w:r>
      <w:r w:rsidRPr="0098635C">
        <w:rPr>
          <w:rStyle w:val="KorrUK"/>
          <w:rFonts w:ascii="Times New Roman" w:hAnsi="Times New Roman" w:cs="Times New Roman"/>
          <w:i/>
          <w:color w:val="000000" w:themeColor="text1"/>
          <w:sz w:val="20"/>
          <w:szCs w:val="20"/>
        </w:rPr>
        <w:t>D. magna</w:t>
      </w:r>
      <w:r w:rsidRPr="0098635C">
        <w:rPr>
          <w:rStyle w:val="KorrUK"/>
          <w:rFonts w:ascii="Times New Roman" w:hAnsi="Times New Roman" w:cs="Times New Roman"/>
          <w:color w:val="000000" w:themeColor="text1"/>
          <w:sz w:val="20"/>
          <w:szCs w:val="20"/>
        </w:rPr>
        <w:t xml:space="preserve"> and showed that after three generation of acclimation, the optimal concentration ranges (from energy reserves and number of offsprings) remained </w:t>
      </w:r>
      <w:r w:rsidRPr="0098635C">
        <w:rPr>
          <w:rStyle w:val="KorrUK"/>
          <w:rFonts w:ascii="Times New Roman" w:hAnsi="Times New Roman" w:cs="Times New Roman"/>
          <w:color w:val="000000" w:themeColor="text1"/>
          <w:sz w:val="20"/>
          <w:szCs w:val="20"/>
        </w:rPr>
        <w:lastRenderedPageBreak/>
        <w:t xml:space="preserve">constant between 1 and 35 µg Cu/L. Below 1 µg Cu/L (a concentration often used as background copper concentration in the ecotoxicity media), copper deficiency was clearly observed, and the optimal concentration (highest energy reserve) was observed at 11 µg Cu/L. Toxicity was observed above 35 µg Cu/L.  </w:t>
      </w:r>
    </w:p>
    <w:p w14:paraId="49C1DFA4" w14:textId="77777777" w:rsidR="00D05142" w:rsidRPr="0098635C" w:rsidRDefault="00E230FB" w:rsidP="0059369A">
      <w:pPr>
        <w:pStyle w:val="ListParagraph"/>
        <w:numPr>
          <w:ilvl w:val="0"/>
          <w:numId w:val="18"/>
        </w:numPr>
        <w:spacing w:after="0"/>
        <w:rPr>
          <w:color w:val="000000" w:themeColor="text1"/>
          <w:sz w:val="20"/>
          <w:szCs w:val="20"/>
        </w:rPr>
      </w:pPr>
      <w:r w:rsidRPr="0098635C">
        <w:rPr>
          <w:color w:val="000000" w:themeColor="text1"/>
          <w:sz w:val="20"/>
          <w:szCs w:val="20"/>
        </w:rPr>
        <w:t xml:space="preserve">A </w:t>
      </w:r>
      <w:r w:rsidRPr="0098635C">
        <w:rPr>
          <w:color w:val="000000" w:themeColor="text1"/>
          <w:sz w:val="20"/>
          <w:szCs w:val="20"/>
          <w:lang w:val="en-US"/>
        </w:rPr>
        <w:t xml:space="preserve">decreased growth of </w:t>
      </w:r>
      <w:r w:rsidRPr="0098635C">
        <w:rPr>
          <w:i/>
          <w:color w:val="000000" w:themeColor="text1"/>
          <w:sz w:val="20"/>
          <w:szCs w:val="20"/>
          <w:lang w:val="en-US"/>
        </w:rPr>
        <w:t>O. mykiss</w:t>
      </w:r>
      <w:r w:rsidRPr="0098635C">
        <w:rPr>
          <w:color w:val="000000" w:themeColor="text1"/>
          <w:sz w:val="20"/>
          <w:szCs w:val="20"/>
          <w:lang w:val="en-US"/>
        </w:rPr>
        <w:t xml:space="preserve"> below 7.8 µg Cu/l and above 16 µg Cu/l indicated a copper optimal concentration range between 8 &amp; 16 µg Cu /l (Seim et al, 1984).</w:t>
      </w:r>
    </w:p>
    <w:p w14:paraId="2DAD66D4" w14:textId="6614F207" w:rsidR="007F51A5" w:rsidRPr="0098635C" w:rsidRDefault="00E230FB" w:rsidP="0059369A">
      <w:pPr>
        <w:pStyle w:val="ListParagraph"/>
        <w:numPr>
          <w:ilvl w:val="0"/>
          <w:numId w:val="18"/>
        </w:numPr>
        <w:rPr>
          <w:rStyle w:val="KorrUK"/>
          <w:rFonts w:ascii="Times New Roman" w:hAnsi="Times New Roman" w:cs="Times New Roman"/>
          <w:color w:val="000000" w:themeColor="text1"/>
          <w:sz w:val="20"/>
          <w:szCs w:val="20"/>
        </w:rPr>
      </w:pPr>
      <w:r w:rsidRPr="0098635C">
        <w:rPr>
          <w:rStyle w:val="KorrUK"/>
          <w:rFonts w:ascii="Times New Roman" w:hAnsi="Times New Roman" w:cs="Times New Roman"/>
          <w:color w:val="000000" w:themeColor="text1"/>
          <w:sz w:val="20"/>
          <w:szCs w:val="20"/>
        </w:rPr>
        <w:t>Fort et al</w:t>
      </w:r>
      <w:r w:rsidR="00134730" w:rsidRPr="0098635C">
        <w:rPr>
          <w:rStyle w:val="KorrUK"/>
          <w:rFonts w:ascii="Times New Roman" w:hAnsi="Times New Roman" w:cs="Times New Roman"/>
          <w:color w:val="000000" w:themeColor="text1"/>
          <w:sz w:val="20"/>
          <w:szCs w:val="20"/>
        </w:rPr>
        <w:t xml:space="preserve"> (</w:t>
      </w:r>
      <w:r w:rsidRPr="0098635C">
        <w:rPr>
          <w:rStyle w:val="KorrUK"/>
          <w:rFonts w:ascii="Times New Roman" w:hAnsi="Times New Roman" w:cs="Times New Roman"/>
          <w:color w:val="000000" w:themeColor="text1"/>
          <w:sz w:val="20"/>
          <w:szCs w:val="20"/>
        </w:rPr>
        <w:t>2000</w:t>
      </w:r>
      <w:r w:rsidR="00134730" w:rsidRPr="0098635C">
        <w:rPr>
          <w:rStyle w:val="KorrUK"/>
          <w:rFonts w:ascii="Times New Roman" w:hAnsi="Times New Roman" w:cs="Times New Roman"/>
          <w:color w:val="000000" w:themeColor="text1"/>
          <w:sz w:val="20"/>
          <w:szCs w:val="20"/>
        </w:rPr>
        <w:t>)</w:t>
      </w:r>
      <w:r w:rsidRPr="0098635C">
        <w:rPr>
          <w:rStyle w:val="KorrUK"/>
          <w:rFonts w:ascii="Times New Roman" w:hAnsi="Times New Roman" w:cs="Times New Roman"/>
          <w:color w:val="000000" w:themeColor="text1"/>
          <w:sz w:val="20"/>
          <w:szCs w:val="20"/>
        </w:rPr>
        <w:t xml:space="preserve"> determined optimal copper concentration ranges for the early life stages of the amphibia </w:t>
      </w:r>
      <w:r w:rsidRPr="0098635C">
        <w:rPr>
          <w:rStyle w:val="KorrUK"/>
          <w:rFonts w:ascii="Times New Roman" w:hAnsi="Times New Roman" w:cs="Times New Roman"/>
          <w:i/>
          <w:color w:val="000000" w:themeColor="text1"/>
          <w:sz w:val="20"/>
          <w:szCs w:val="20"/>
        </w:rPr>
        <w:t>X. laevis</w:t>
      </w:r>
      <w:r w:rsidRPr="0098635C">
        <w:rPr>
          <w:rStyle w:val="KorrUK"/>
          <w:rFonts w:ascii="Times New Roman" w:hAnsi="Times New Roman" w:cs="Times New Roman"/>
          <w:color w:val="000000" w:themeColor="text1"/>
          <w:sz w:val="20"/>
          <w:szCs w:val="20"/>
        </w:rPr>
        <w:t xml:space="preserve"> : 1 to 10 µg Cu/L</w:t>
      </w:r>
    </w:p>
    <w:p w14:paraId="12A0DDE2" w14:textId="7E90A0D0" w:rsidR="007F51A5" w:rsidRPr="0098635C" w:rsidRDefault="007F51A5" w:rsidP="0059369A">
      <w:pPr>
        <w:pStyle w:val="ListParagraph"/>
        <w:numPr>
          <w:ilvl w:val="0"/>
          <w:numId w:val="18"/>
        </w:numPr>
        <w:rPr>
          <w:color w:val="000000" w:themeColor="text1"/>
          <w:sz w:val="20"/>
          <w:szCs w:val="20"/>
        </w:rPr>
      </w:pPr>
      <w:r w:rsidRPr="0098635C">
        <w:rPr>
          <w:color w:val="000000" w:themeColor="text1"/>
          <w:sz w:val="20"/>
          <w:szCs w:val="20"/>
        </w:rPr>
        <w:t>On the other hand, for example, Johnson et al (2007) showed that neither of the two acclimated microalgae (</w:t>
      </w:r>
      <w:r w:rsidRPr="0098635C">
        <w:rPr>
          <w:i/>
          <w:color w:val="000000" w:themeColor="text1"/>
          <w:sz w:val="20"/>
          <w:szCs w:val="20"/>
        </w:rPr>
        <w:t xml:space="preserve">Nitzschia </w:t>
      </w:r>
      <w:r w:rsidR="0008036E" w:rsidRPr="0098635C">
        <w:rPr>
          <w:i/>
          <w:color w:val="000000" w:themeColor="text1"/>
          <w:sz w:val="20"/>
          <w:szCs w:val="20"/>
        </w:rPr>
        <w:t>closterium</w:t>
      </w:r>
      <w:r w:rsidR="0008036E" w:rsidRPr="0098635C">
        <w:rPr>
          <w:color w:val="000000" w:themeColor="text1"/>
          <w:sz w:val="20"/>
          <w:szCs w:val="20"/>
        </w:rPr>
        <w:t xml:space="preserve"> acclimated</w:t>
      </w:r>
      <w:r w:rsidR="00D9052C" w:rsidRPr="0098635C">
        <w:rPr>
          <w:color w:val="000000" w:themeColor="text1"/>
          <w:sz w:val="20"/>
          <w:szCs w:val="20"/>
        </w:rPr>
        <w:t xml:space="preserve"> to 25 µg Cu/L </w:t>
      </w:r>
      <w:r w:rsidRPr="0098635C">
        <w:rPr>
          <w:color w:val="000000" w:themeColor="text1"/>
          <w:sz w:val="20"/>
          <w:szCs w:val="20"/>
        </w:rPr>
        <w:t xml:space="preserve">and </w:t>
      </w:r>
      <w:r w:rsidRPr="0098635C">
        <w:rPr>
          <w:i/>
          <w:color w:val="000000" w:themeColor="text1"/>
          <w:sz w:val="20"/>
          <w:szCs w:val="20"/>
        </w:rPr>
        <w:t>Chlorella sp.</w:t>
      </w:r>
      <w:r w:rsidR="00D9052C" w:rsidRPr="0098635C">
        <w:rPr>
          <w:i/>
          <w:color w:val="000000" w:themeColor="text1"/>
          <w:sz w:val="20"/>
          <w:szCs w:val="20"/>
        </w:rPr>
        <w:t xml:space="preserve"> </w:t>
      </w:r>
      <w:r w:rsidR="00D9052C" w:rsidRPr="0098635C">
        <w:rPr>
          <w:color w:val="000000" w:themeColor="text1"/>
          <w:sz w:val="20"/>
          <w:szCs w:val="20"/>
        </w:rPr>
        <w:t>acclimated to 4 µg/L)</w:t>
      </w:r>
      <w:r w:rsidR="00D9052C" w:rsidRPr="0098635C">
        <w:rPr>
          <w:i/>
          <w:color w:val="000000" w:themeColor="text1"/>
          <w:sz w:val="20"/>
          <w:szCs w:val="20"/>
        </w:rPr>
        <w:t xml:space="preserve"> </w:t>
      </w:r>
      <w:r w:rsidRPr="0098635C">
        <w:rPr>
          <w:color w:val="000000" w:themeColor="text1"/>
          <w:sz w:val="20"/>
          <w:szCs w:val="20"/>
        </w:rPr>
        <w:t xml:space="preserve">  had increased copper tolerance</w:t>
      </w:r>
      <w:r w:rsidR="00D9052C" w:rsidRPr="0098635C">
        <w:rPr>
          <w:color w:val="000000" w:themeColor="text1"/>
          <w:sz w:val="20"/>
          <w:szCs w:val="20"/>
        </w:rPr>
        <w:t xml:space="preserve"> </w:t>
      </w:r>
      <w:r w:rsidRPr="0098635C">
        <w:rPr>
          <w:color w:val="000000" w:themeColor="text1"/>
          <w:sz w:val="20"/>
          <w:szCs w:val="20"/>
        </w:rPr>
        <w:t>compared with that of the non-acclimated algae, nor were there any changes in control growth rates.</w:t>
      </w:r>
    </w:p>
    <w:p w14:paraId="406CEBD0" w14:textId="0D76598E" w:rsidR="00D05142" w:rsidRPr="0098635C" w:rsidRDefault="00047D99" w:rsidP="00D05142">
      <w:pPr>
        <w:rPr>
          <w:color w:val="000000" w:themeColor="text1"/>
          <w:sz w:val="20"/>
          <w:szCs w:val="20"/>
        </w:rPr>
      </w:pPr>
      <w:r w:rsidRPr="0098635C">
        <w:rPr>
          <w:color w:val="000000" w:themeColor="text1"/>
          <w:sz w:val="20"/>
          <w:szCs w:val="20"/>
        </w:rPr>
        <w:t>The cellular mechanism of copper toxicity/deficiency, as well as the cellular mechanisms of copper homeostasis are largely preserved through evolution. The molecular mechanism of copper homeo-stasis, is related to 2 key elements: P-type ATPases that can pump copper across biological mem-branes in either direction and copper chaperones</w:t>
      </w:r>
      <w:r w:rsidR="00536B59" w:rsidRPr="0098635C">
        <w:rPr>
          <w:color w:val="000000" w:themeColor="text1"/>
          <w:sz w:val="20"/>
          <w:szCs w:val="20"/>
        </w:rPr>
        <w:t xml:space="preserve"> are</w:t>
      </w:r>
      <w:r w:rsidRPr="0098635C">
        <w:rPr>
          <w:color w:val="000000" w:themeColor="text1"/>
          <w:sz w:val="20"/>
          <w:szCs w:val="20"/>
        </w:rPr>
        <w:t xml:space="preserve"> important for the intracellular copper homeostasis (Odermatt et al, 1992). This cellular copper homeostasis mechanism is considered as being univer-sal as the sequences of copper chaperones are highly conserved between species (Wunderli et al. 1999).  Besides these active regulation mechanisms, some groups of organisms have developed ad-ditional internal regulation mechanism (molecular binding and sequestration) as a strategy to cope against copper excess (Rainbow, 1998; Marsden and Rainbow, 2004). Vertebrate dietary copper exposure studies (fish, mammals and birds) further demonstrated that intestinal a</w:t>
      </w:r>
      <w:r w:rsidR="002622B1" w:rsidRPr="0098635C">
        <w:rPr>
          <w:color w:val="000000" w:themeColor="text1"/>
          <w:sz w:val="20"/>
          <w:szCs w:val="20"/>
        </w:rPr>
        <w:t>b</w:t>
      </w:r>
      <w:r w:rsidRPr="0098635C">
        <w:rPr>
          <w:color w:val="000000" w:themeColor="text1"/>
          <w:sz w:val="20"/>
          <w:szCs w:val="20"/>
        </w:rPr>
        <w:t>sorption/biliary excretion of copper is regulated with varying dietary intakes (WHO, 1998).</w:t>
      </w:r>
    </w:p>
    <w:p w14:paraId="2D9F53B2" w14:textId="5B80B984" w:rsidR="00D05142" w:rsidRPr="0098635C" w:rsidRDefault="00047D99" w:rsidP="00D05142">
      <w:pPr>
        <w:rPr>
          <w:color w:val="000000" w:themeColor="text1"/>
          <w:sz w:val="20"/>
          <w:szCs w:val="20"/>
        </w:rPr>
      </w:pPr>
      <w:r w:rsidRPr="0098635C">
        <w:rPr>
          <w:color w:val="000000" w:themeColor="text1"/>
          <w:sz w:val="20"/>
          <w:szCs w:val="20"/>
        </w:rPr>
        <w:t xml:space="preserve">The key indicator of copper toxicity is disturbance of the sodium homeostasis. The key target tissue for copper toxicity is therefore the water/organism interface, with cell wall and gill-like surfaces acting as target biotic </w:t>
      </w:r>
      <w:r w:rsidR="0008036E" w:rsidRPr="0098635C">
        <w:rPr>
          <w:color w:val="000000" w:themeColor="text1"/>
          <w:sz w:val="20"/>
          <w:szCs w:val="20"/>
        </w:rPr>
        <w:t>ligands (</w:t>
      </w:r>
      <w:r w:rsidRPr="0098635C">
        <w:rPr>
          <w:color w:val="000000" w:themeColor="text1"/>
          <w:sz w:val="20"/>
          <w:szCs w:val="20"/>
        </w:rPr>
        <w:t>Playle</w:t>
      </w:r>
      <w:r w:rsidR="0008036E" w:rsidRPr="0098635C">
        <w:rPr>
          <w:color w:val="000000" w:themeColor="text1"/>
          <w:sz w:val="20"/>
          <w:szCs w:val="20"/>
        </w:rPr>
        <w:t>, 1993</w:t>
      </w:r>
      <w:r w:rsidRPr="0098635C">
        <w:rPr>
          <w:color w:val="000000" w:themeColor="text1"/>
          <w:sz w:val="20"/>
          <w:szCs w:val="20"/>
        </w:rPr>
        <w:t xml:space="preserve">). </w:t>
      </w:r>
    </w:p>
    <w:p w14:paraId="545A91EE" w14:textId="14A190A8" w:rsidR="00972247" w:rsidRPr="0098635C" w:rsidRDefault="00EE0A06" w:rsidP="00F12E1A">
      <w:pPr>
        <w:pStyle w:val="BodyText"/>
        <w:rPr>
          <w:rStyle w:val="KorrUK"/>
          <w:rFonts w:ascii="Times New Roman" w:hAnsi="Times New Roman" w:cs="Times New Roman"/>
          <w:color w:val="000000" w:themeColor="text1"/>
          <w:sz w:val="20"/>
          <w:szCs w:val="20"/>
        </w:rPr>
      </w:pPr>
      <w:r w:rsidRPr="0098635C">
        <w:rPr>
          <w:color w:val="000000" w:themeColor="text1"/>
          <w:sz w:val="20"/>
        </w:rPr>
        <w:t>The aquatic hazard assessment</w:t>
      </w:r>
      <w:r w:rsidR="00F12E1A" w:rsidRPr="0098635C">
        <w:rPr>
          <w:color w:val="000000" w:themeColor="text1"/>
          <w:sz w:val="20"/>
        </w:rPr>
        <w:t xml:space="preserve"> related to copper excess</w:t>
      </w:r>
      <w:r w:rsidRPr="0098635C">
        <w:rPr>
          <w:color w:val="000000" w:themeColor="text1"/>
          <w:sz w:val="20"/>
        </w:rPr>
        <w:t xml:space="preserve"> is based on the results of tests that were carried out with soluble copper compounds, having </w:t>
      </w:r>
      <w:r w:rsidR="0065295F" w:rsidRPr="0098635C">
        <w:rPr>
          <w:color w:val="000000" w:themeColor="text1"/>
          <w:sz w:val="20"/>
        </w:rPr>
        <w:t xml:space="preserve">Reliability  </w:t>
      </w:r>
      <w:r w:rsidRPr="0098635C">
        <w:rPr>
          <w:color w:val="000000" w:themeColor="text1"/>
          <w:sz w:val="20"/>
        </w:rPr>
        <w:t>scores 1 or 2, and expressed as Cu</w:t>
      </w:r>
      <w:r w:rsidRPr="0098635C">
        <w:rPr>
          <w:color w:val="000000" w:themeColor="text1"/>
          <w:sz w:val="20"/>
          <w:vertAlign w:val="superscript"/>
        </w:rPr>
        <w:t>2+</w:t>
      </w:r>
      <w:r w:rsidRPr="0098635C">
        <w:rPr>
          <w:color w:val="000000" w:themeColor="text1"/>
          <w:sz w:val="20"/>
          <w:vertAlign w:val="subscript"/>
        </w:rPr>
        <w:t xml:space="preserve"> </w:t>
      </w:r>
      <w:r w:rsidRPr="0098635C">
        <w:rPr>
          <w:color w:val="000000" w:themeColor="text1"/>
          <w:sz w:val="20"/>
        </w:rPr>
        <w:t xml:space="preserve">in a quantitative way (i.e., based on measured values). </w:t>
      </w:r>
      <w:r w:rsidR="00F12E1A" w:rsidRPr="0098635C">
        <w:rPr>
          <w:rStyle w:val="KorrUK"/>
          <w:rFonts w:ascii="Times New Roman" w:hAnsi="Times New Roman" w:cs="Times New Roman"/>
          <w:color w:val="000000" w:themeColor="text1"/>
          <w:sz w:val="20"/>
          <w:szCs w:val="20"/>
        </w:rPr>
        <w:t xml:space="preserve">Tests carried out with organisms that were acclimated to low copper concentration have not been used as a selection criterium. </w:t>
      </w:r>
      <w:r w:rsidR="00972247" w:rsidRPr="0098635C">
        <w:rPr>
          <w:rStyle w:val="KorrUK"/>
          <w:rFonts w:ascii="Times New Roman" w:hAnsi="Times New Roman" w:cs="Times New Roman"/>
          <w:color w:val="000000" w:themeColor="text1"/>
          <w:sz w:val="20"/>
          <w:szCs w:val="20"/>
        </w:rPr>
        <w:t xml:space="preserve">Other parameters that were considered for assigning the </w:t>
      </w:r>
      <w:r w:rsidR="0065295F" w:rsidRPr="0098635C">
        <w:rPr>
          <w:rStyle w:val="KorrUK"/>
          <w:rFonts w:ascii="Times New Roman" w:hAnsi="Times New Roman" w:cs="Times New Roman"/>
          <w:color w:val="000000" w:themeColor="text1"/>
          <w:sz w:val="20"/>
          <w:szCs w:val="20"/>
        </w:rPr>
        <w:t xml:space="preserve">Reliability </w:t>
      </w:r>
      <w:r w:rsidR="00972247" w:rsidRPr="0098635C">
        <w:rPr>
          <w:rStyle w:val="KorrUK"/>
          <w:rFonts w:ascii="Times New Roman" w:hAnsi="Times New Roman" w:cs="Times New Roman"/>
          <w:color w:val="000000" w:themeColor="text1"/>
          <w:sz w:val="20"/>
          <w:szCs w:val="20"/>
        </w:rPr>
        <w:t xml:space="preserve">score included the use of soluble test compound, use of standard test species in test that are conducted in line with standard </w:t>
      </w:r>
      <w:r w:rsidR="009A057B" w:rsidRPr="0098635C">
        <w:rPr>
          <w:rStyle w:val="KorrUK"/>
          <w:rFonts w:ascii="Times New Roman" w:hAnsi="Times New Roman" w:cs="Times New Roman"/>
          <w:color w:val="000000" w:themeColor="text1"/>
          <w:sz w:val="20"/>
          <w:szCs w:val="20"/>
        </w:rPr>
        <w:t>guidance</w:t>
      </w:r>
      <w:r w:rsidR="00972247" w:rsidRPr="0098635C">
        <w:rPr>
          <w:rStyle w:val="KorrUK"/>
          <w:rFonts w:ascii="Times New Roman" w:hAnsi="Times New Roman" w:cs="Times New Roman"/>
          <w:color w:val="000000" w:themeColor="text1"/>
          <w:sz w:val="20"/>
          <w:szCs w:val="20"/>
        </w:rPr>
        <w:t xml:space="preserve">s, the presence of clear concentration-response relationships, the use of </w:t>
      </w:r>
      <w:r w:rsidR="0065295F" w:rsidRPr="0098635C">
        <w:rPr>
          <w:rStyle w:val="KorrUK"/>
          <w:rFonts w:ascii="Times New Roman" w:hAnsi="Times New Roman" w:cs="Times New Roman"/>
          <w:color w:val="000000" w:themeColor="text1"/>
          <w:sz w:val="20"/>
          <w:szCs w:val="20"/>
        </w:rPr>
        <w:t xml:space="preserve">ecotoxicological relevant </w:t>
      </w:r>
      <w:r w:rsidR="00972247" w:rsidRPr="0098635C">
        <w:rPr>
          <w:rStyle w:val="KorrUK"/>
          <w:rFonts w:ascii="Times New Roman" w:hAnsi="Times New Roman" w:cs="Times New Roman"/>
          <w:color w:val="000000" w:themeColor="text1"/>
          <w:sz w:val="20"/>
          <w:szCs w:val="20"/>
        </w:rPr>
        <w:t xml:space="preserve">endpoints (e.g. mortality, reproduction, growth and development) and the absence of confounding parameters that may affect the outcome of the test. </w:t>
      </w:r>
    </w:p>
    <w:p w14:paraId="319D2F21" w14:textId="77777777" w:rsidR="00D05142" w:rsidRPr="0098635C" w:rsidRDefault="00D05142" w:rsidP="00D05142">
      <w:pPr>
        <w:pStyle w:val="Heading3"/>
        <w:rPr>
          <w:color w:val="000000" w:themeColor="text1"/>
          <w:sz w:val="20"/>
        </w:rPr>
      </w:pPr>
      <w:bookmarkStart w:id="1978" w:name="_Toc472000393"/>
      <w:bookmarkStart w:id="1979" w:name="_Toc472251754"/>
      <w:r w:rsidRPr="0098635C">
        <w:rPr>
          <w:color w:val="000000" w:themeColor="text1"/>
          <w:sz w:val="20"/>
        </w:rPr>
        <w:t>Acute Toxicity Test Results</w:t>
      </w:r>
      <w:r w:rsidR="00982B8A" w:rsidRPr="0098635C">
        <w:rPr>
          <w:color w:val="000000" w:themeColor="text1"/>
          <w:sz w:val="20"/>
        </w:rPr>
        <w:t xml:space="preserve"> and hazard identification</w:t>
      </w:r>
      <w:bookmarkEnd w:id="1978"/>
      <w:bookmarkEnd w:id="1979"/>
      <w:r w:rsidR="00982B8A" w:rsidRPr="0098635C">
        <w:rPr>
          <w:color w:val="000000" w:themeColor="text1"/>
          <w:sz w:val="20"/>
        </w:rPr>
        <w:t xml:space="preserve"> </w:t>
      </w:r>
    </w:p>
    <w:p w14:paraId="7625CC64" w14:textId="534D2F37" w:rsidR="005407DC" w:rsidRPr="0098635C" w:rsidRDefault="00B31630" w:rsidP="005407DC">
      <w:pPr>
        <w:rPr>
          <w:color w:val="000000" w:themeColor="text1"/>
          <w:sz w:val="20"/>
          <w:szCs w:val="20"/>
        </w:rPr>
      </w:pPr>
      <w:r w:rsidRPr="0098635C">
        <w:rPr>
          <w:color w:val="000000" w:themeColor="text1"/>
          <w:sz w:val="20"/>
          <w:szCs w:val="20"/>
        </w:rPr>
        <w:t>To identify the acute aquatic haz</w:t>
      </w:r>
      <w:r w:rsidR="00AF141D" w:rsidRPr="0098635C">
        <w:rPr>
          <w:color w:val="000000" w:themeColor="text1"/>
          <w:sz w:val="20"/>
          <w:szCs w:val="20"/>
        </w:rPr>
        <w:t>a</w:t>
      </w:r>
      <w:r w:rsidRPr="0098635C">
        <w:rPr>
          <w:color w:val="000000" w:themeColor="text1"/>
          <w:sz w:val="20"/>
          <w:szCs w:val="20"/>
        </w:rPr>
        <w:t>rd of copper and copper compounds, literature</w:t>
      </w:r>
      <w:r w:rsidR="00C1070F" w:rsidRPr="0098635C">
        <w:rPr>
          <w:color w:val="000000" w:themeColor="text1"/>
          <w:sz w:val="20"/>
          <w:szCs w:val="20"/>
        </w:rPr>
        <w:t xml:space="preserve"> searches have including key citation indices (</w:t>
      </w:r>
      <w:r w:rsidR="0008036E" w:rsidRPr="0098635C">
        <w:rPr>
          <w:color w:val="000000" w:themeColor="text1"/>
          <w:sz w:val="20"/>
          <w:szCs w:val="20"/>
        </w:rPr>
        <w:t>Biological</w:t>
      </w:r>
      <w:r w:rsidR="00C1070F" w:rsidRPr="0098635C">
        <w:rPr>
          <w:color w:val="000000" w:themeColor="text1"/>
          <w:sz w:val="20"/>
          <w:szCs w:val="20"/>
        </w:rPr>
        <w:t xml:space="preserve"> abstracts, Poltox, Science citation index</w:t>
      </w:r>
      <w:r w:rsidRPr="0098635C">
        <w:rPr>
          <w:color w:val="000000" w:themeColor="text1"/>
          <w:sz w:val="20"/>
          <w:szCs w:val="20"/>
        </w:rPr>
        <w:t xml:space="preserve"> </w:t>
      </w:r>
      <w:r w:rsidR="00C1070F" w:rsidRPr="0098635C">
        <w:rPr>
          <w:color w:val="000000" w:themeColor="text1"/>
          <w:sz w:val="20"/>
          <w:szCs w:val="20"/>
        </w:rPr>
        <w:t xml:space="preserve">1988-2001) as well searches </w:t>
      </w:r>
      <w:r w:rsidR="00470F2C" w:rsidRPr="0098635C">
        <w:rPr>
          <w:color w:val="000000" w:themeColor="text1"/>
          <w:sz w:val="20"/>
          <w:szCs w:val="20"/>
        </w:rPr>
        <w:t xml:space="preserve">through the </w:t>
      </w:r>
      <w:r w:rsidR="00C1070F" w:rsidRPr="0098635C">
        <w:rPr>
          <w:color w:val="000000" w:themeColor="text1"/>
          <w:sz w:val="20"/>
          <w:szCs w:val="20"/>
        </w:rPr>
        <w:t>Copper Research Information Forum (Univ. British Colombia, USA</w:t>
      </w:r>
      <w:r w:rsidRPr="0098635C">
        <w:rPr>
          <w:color w:val="000000" w:themeColor="text1"/>
          <w:sz w:val="20"/>
          <w:szCs w:val="20"/>
        </w:rPr>
        <w:t xml:space="preserve"> –up to 2006). O</w:t>
      </w:r>
      <w:r w:rsidR="00C1070F" w:rsidRPr="0098635C">
        <w:rPr>
          <w:color w:val="000000" w:themeColor="text1"/>
          <w:sz w:val="20"/>
          <w:szCs w:val="20"/>
        </w:rPr>
        <w:t>ver 5000 separate acute copper values</w:t>
      </w:r>
      <w:r w:rsidRPr="0098635C">
        <w:rPr>
          <w:color w:val="000000" w:themeColor="text1"/>
          <w:sz w:val="20"/>
          <w:szCs w:val="20"/>
        </w:rPr>
        <w:t>,</w:t>
      </w:r>
      <w:r w:rsidR="00C1070F" w:rsidRPr="0098635C">
        <w:rPr>
          <w:color w:val="000000" w:themeColor="text1"/>
          <w:sz w:val="20"/>
          <w:szCs w:val="20"/>
        </w:rPr>
        <w:t xml:space="preserve"> </w:t>
      </w:r>
      <w:r w:rsidR="0008036E" w:rsidRPr="0098635C">
        <w:rPr>
          <w:color w:val="000000" w:themeColor="text1"/>
          <w:sz w:val="20"/>
          <w:szCs w:val="20"/>
        </w:rPr>
        <w:t>ranging</w:t>
      </w:r>
      <w:r w:rsidR="005407DC" w:rsidRPr="0098635C">
        <w:rPr>
          <w:color w:val="000000" w:themeColor="text1"/>
          <w:sz w:val="20"/>
          <w:szCs w:val="20"/>
        </w:rPr>
        <w:t xml:space="preserve"> between 0.2 µg/</w:t>
      </w:r>
      <w:r w:rsidR="0008036E" w:rsidRPr="0098635C">
        <w:rPr>
          <w:color w:val="000000" w:themeColor="text1"/>
          <w:sz w:val="20"/>
          <w:szCs w:val="20"/>
        </w:rPr>
        <w:t>L (</w:t>
      </w:r>
      <w:r w:rsidR="005407DC" w:rsidRPr="0098635C">
        <w:rPr>
          <w:i/>
          <w:color w:val="000000" w:themeColor="text1"/>
          <w:sz w:val="20"/>
          <w:szCs w:val="20"/>
        </w:rPr>
        <w:t>Daphna magna</w:t>
      </w:r>
      <w:r w:rsidR="005407DC" w:rsidRPr="0098635C">
        <w:rPr>
          <w:color w:val="000000" w:themeColor="text1"/>
          <w:sz w:val="20"/>
          <w:szCs w:val="20"/>
        </w:rPr>
        <w:t xml:space="preserve"> 72hr LC</w:t>
      </w:r>
      <w:r w:rsidR="005407DC" w:rsidRPr="0098635C">
        <w:rPr>
          <w:color w:val="000000" w:themeColor="text1"/>
          <w:sz w:val="20"/>
          <w:szCs w:val="20"/>
          <w:vertAlign w:val="subscript"/>
        </w:rPr>
        <w:t>50</w:t>
      </w:r>
      <w:r w:rsidR="005407DC" w:rsidRPr="0098635C">
        <w:rPr>
          <w:color w:val="000000" w:themeColor="text1"/>
          <w:sz w:val="20"/>
          <w:szCs w:val="20"/>
        </w:rPr>
        <w:t>) and 20,000 µg/L (</w:t>
      </w:r>
      <w:r w:rsidR="005407DC" w:rsidRPr="0098635C">
        <w:rPr>
          <w:i/>
          <w:color w:val="000000" w:themeColor="text1"/>
          <w:sz w:val="20"/>
          <w:szCs w:val="20"/>
        </w:rPr>
        <w:t>Pimephales promelas</w:t>
      </w:r>
      <w:r w:rsidR="005407DC" w:rsidRPr="0098635C">
        <w:rPr>
          <w:color w:val="000000" w:themeColor="text1"/>
          <w:sz w:val="20"/>
          <w:szCs w:val="20"/>
        </w:rPr>
        <w:t xml:space="preserve"> 96 h LC</w:t>
      </w:r>
      <w:r w:rsidR="005407DC" w:rsidRPr="0098635C">
        <w:rPr>
          <w:color w:val="000000" w:themeColor="text1"/>
          <w:sz w:val="20"/>
          <w:szCs w:val="20"/>
          <w:vertAlign w:val="subscript"/>
        </w:rPr>
        <w:t>50</w:t>
      </w:r>
      <w:r w:rsidR="005407DC" w:rsidRPr="0098635C">
        <w:rPr>
          <w:color w:val="000000" w:themeColor="text1"/>
          <w:sz w:val="20"/>
          <w:szCs w:val="20"/>
        </w:rPr>
        <w:t>)</w:t>
      </w:r>
      <w:r w:rsidR="00AE09C4" w:rsidRPr="0098635C">
        <w:rPr>
          <w:color w:val="000000" w:themeColor="text1"/>
          <w:sz w:val="20"/>
          <w:szCs w:val="20"/>
        </w:rPr>
        <w:t xml:space="preserve"> were re</w:t>
      </w:r>
      <w:r w:rsidRPr="0098635C">
        <w:rPr>
          <w:color w:val="000000" w:themeColor="text1"/>
          <w:sz w:val="20"/>
          <w:szCs w:val="20"/>
        </w:rPr>
        <w:t>tained</w:t>
      </w:r>
      <w:r w:rsidR="00484E4D" w:rsidRPr="0098635C">
        <w:rPr>
          <w:color w:val="000000" w:themeColor="text1"/>
          <w:sz w:val="20"/>
          <w:szCs w:val="20"/>
        </w:rPr>
        <w:t>.</w:t>
      </w:r>
    </w:p>
    <w:p w14:paraId="231F1C81" w14:textId="531932D6" w:rsidR="007F51A5" w:rsidRPr="0098635C" w:rsidRDefault="00235BA9" w:rsidP="00851F58">
      <w:pPr>
        <w:spacing w:after="0"/>
        <w:rPr>
          <w:color w:val="000000" w:themeColor="text1"/>
          <w:sz w:val="20"/>
          <w:szCs w:val="20"/>
        </w:rPr>
      </w:pPr>
      <w:r w:rsidRPr="0098635C">
        <w:rPr>
          <w:color w:val="000000" w:themeColor="text1"/>
          <w:sz w:val="20"/>
          <w:szCs w:val="20"/>
        </w:rPr>
        <w:t xml:space="preserve">To </w:t>
      </w:r>
      <w:r w:rsidR="00B31630" w:rsidRPr="0098635C">
        <w:rPr>
          <w:color w:val="000000" w:themeColor="text1"/>
          <w:sz w:val="20"/>
          <w:szCs w:val="20"/>
        </w:rPr>
        <w:t xml:space="preserve">derive </w:t>
      </w:r>
      <w:r w:rsidRPr="0098635C">
        <w:rPr>
          <w:color w:val="000000" w:themeColor="text1"/>
          <w:sz w:val="20"/>
          <w:szCs w:val="20"/>
        </w:rPr>
        <w:t>a</w:t>
      </w:r>
      <w:r w:rsidR="00B31630" w:rsidRPr="0098635C">
        <w:rPr>
          <w:color w:val="000000" w:themeColor="text1"/>
          <w:sz w:val="20"/>
          <w:szCs w:val="20"/>
        </w:rPr>
        <w:t xml:space="preserve"> reliable baseline</w:t>
      </w:r>
      <w:r w:rsidRPr="0098635C">
        <w:rPr>
          <w:color w:val="000000" w:themeColor="text1"/>
          <w:sz w:val="20"/>
          <w:szCs w:val="20"/>
        </w:rPr>
        <w:t xml:space="preserve"> data-set, only </w:t>
      </w:r>
      <w:r w:rsidR="00B31630" w:rsidRPr="0098635C">
        <w:rPr>
          <w:color w:val="000000" w:themeColor="text1"/>
          <w:sz w:val="20"/>
          <w:szCs w:val="20"/>
        </w:rPr>
        <w:t xml:space="preserve">high quality </w:t>
      </w:r>
      <w:r w:rsidRPr="0098635C">
        <w:rPr>
          <w:color w:val="000000" w:themeColor="text1"/>
          <w:sz w:val="20"/>
          <w:szCs w:val="20"/>
        </w:rPr>
        <w:t xml:space="preserve">data obtained for the standard OECD test species and endpoints were retained for further </w:t>
      </w:r>
      <w:r w:rsidR="0008036E" w:rsidRPr="0098635C">
        <w:rPr>
          <w:color w:val="000000" w:themeColor="text1"/>
          <w:sz w:val="20"/>
          <w:szCs w:val="20"/>
        </w:rPr>
        <w:t>assessment</w:t>
      </w:r>
      <w:r w:rsidR="00C1070F" w:rsidRPr="0098635C">
        <w:rPr>
          <w:color w:val="000000" w:themeColor="text1"/>
          <w:sz w:val="20"/>
          <w:szCs w:val="20"/>
        </w:rPr>
        <w:t>:</w:t>
      </w:r>
    </w:p>
    <w:p w14:paraId="7B954438" w14:textId="77777777" w:rsidR="007F51A5" w:rsidRPr="0098635C" w:rsidRDefault="00E230FB" w:rsidP="0059369A">
      <w:pPr>
        <w:pStyle w:val="ListParagraph"/>
        <w:numPr>
          <w:ilvl w:val="0"/>
          <w:numId w:val="34"/>
        </w:numPr>
        <w:spacing w:after="0"/>
        <w:rPr>
          <w:color w:val="000000" w:themeColor="text1"/>
          <w:sz w:val="20"/>
          <w:szCs w:val="20"/>
        </w:rPr>
      </w:pPr>
      <w:r w:rsidRPr="0098635C">
        <w:rPr>
          <w:color w:val="000000" w:themeColor="text1"/>
          <w:sz w:val="20"/>
          <w:szCs w:val="20"/>
        </w:rPr>
        <w:t xml:space="preserve">Fish </w:t>
      </w:r>
      <w:r w:rsidR="005407DC" w:rsidRPr="0098635C">
        <w:rPr>
          <w:i/>
          <w:color w:val="000000" w:themeColor="text1"/>
          <w:sz w:val="20"/>
          <w:szCs w:val="20"/>
        </w:rPr>
        <w:t>Oncorhynchus mykiss, Brachydanio rerio, Cyprinus carpio, Pimephales promelas, Lepomis macrochirus</w:t>
      </w:r>
      <w:r w:rsidR="00E03E7A" w:rsidRPr="0098635C">
        <w:rPr>
          <w:color w:val="000000" w:themeColor="text1"/>
          <w:sz w:val="20"/>
          <w:szCs w:val="20"/>
        </w:rPr>
        <w:t xml:space="preserve">: </w:t>
      </w:r>
      <w:r w:rsidRPr="0098635C">
        <w:rPr>
          <w:color w:val="000000" w:themeColor="text1"/>
          <w:sz w:val="20"/>
          <w:szCs w:val="20"/>
        </w:rPr>
        <w:t>LC</w:t>
      </w:r>
      <w:r w:rsidRPr="0098635C">
        <w:rPr>
          <w:color w:val="000000" w:themeColor="text1"/>
          <w:sz w:val="20"/>
          <w:szCs w:val="20"/>
          <w:vertAlign w:val="subscript"/>
        </w:rPr>
        <w:t>50</w:t>
      </w:r>
      <w:r w:rsidRPr="0098635C">
        <w:rPr>
          <w:color w:val="000000" w:themeColor="text1"/>
          <w:sz w:val="20"/>
          <w:szCs w:val="20"/>
        </w:rPr>
        <w:t xml:space="preserve"> values from 96 hours exposure duration</w:t>
      </w:r>
    </w:p>
    <w:p w14:paraId="286723DD" w14:textId="77777777" w:rsidR="007F51A5" w:rsidRPr="0098635C" w:rsidRDefault="005407DC" w:rsidP="0059369A">
      <w:pPr>
        <w:pStyle w:val="ListParagraph"/>
        <w:numPr>
          <w:ilvl w:val="0"/>
          <w:numId w:val="34"/>
        </w:numPr>
        <w:spacing w:after="0"/>
        <w:rPr>
          <w:color w:val="000000" w:themeColor="text1"/>
          <w:sz w:val="20"/>
          <w:szCs w:val="20"/>
        </w:rPr>
      </w:pPr>
      <w:r w:rsidRPr="0098635C">
        <w:rPr>
          <w:color w:val="000000" w:themeColor="text1"/>
          <w:sz w:val="20"/>
          <w:szCs w:val="20"/>
        </w:rPr>
        <w:t>Crustacaea</w:t>
      </w:r>
      <w:r w:rsidR="00E230FB" w:rsidRPr="0098635C">
        <w:rPr>
          <w:color w:val="000000" w:themeColor="text1"/>
          <w:sz w:val="20"/>
          <w:szCs w:val="20"/>
        </w:rPr>
        <w:t xml:space="preserve"> </w:t>
      </w:r>
      <w:r w:rsidRPr="0098635C">
        <w:rPr>
          <w:color w:val="000000" w:themeColor="text1"/>
          <w:sz w:val="20"/>
          <w:szCs w:val="20"/>
        </w:rPr>
        <w:t xml:space="preserve"> </w:t>
      </w:r>
      <w:r w:rsidRPr="0098635C">
        <w:rPr>
          <w:i/>
          <w:color w:val="000000" w:themeColor="text1"/>
          <w:sz w:val="20"/>
          <w:szCs w:val="20"/>
        </w:rPr>
        <w:t>Daphnia magna</w:t>
      </w:r>
      <w:r w:rsidR="00235BA9" w:rsidRPr="0098635C">
        <w:rPr>
          <w:i/>
          <w:color w:val="000000" w:themeColor="text1"/>
          <w:sz w:val="20"/>
          <w:szCs w:val="20"/>
        </w:rPr>
        <w:t xml:space="preserve"> and C</w:t>
      </w:r>
      <w:r w:rsidRPr="0098635C">
        <w:rPr>
          <w:i/>
          <w:color w:val="000000" w:themeColor="text1"/>
          <w:sz w:val="20"/>
          <w:szCs w:val="20"/>
        </w:rPr>
        <w:t>eriodaphnia</w:t>
      </w:r>
      <w:r w:rsidR="00E03E7A" w:rsidRPr="0098635C">
        <w:rPr>
          <w:i/>
          <w:color w:val="000000" w:themeColor="text1"/>
          <w:sz w:val="20"/>
          <w:szCs w:val="20"/>
        </w:rPr>
        <w:t xml:space="preserve"> dubia</w:t>
      </w:r>
      <w:r w:rsidR="00E03E7A" w:rsidRPr="0098635C">
        <w:rPr>
          <w:color w:val="000000" w:themeColor="text1"/>
          <w:sz w:val="20"/>
          <w:szCs w:val="20"/>
        </w:rPr>
        <w:t xml:space="preserve">: </w:t>
      </w:r>
      <w:r w:rsidR="00E230FB" w:rsidRPr="0098635C">
        <w:rPr>
          <w:color w:val="000000" w:themeColor="text1"/>
          <w:sz w:val="20"/>
          <w:szCs w:val="20"/>
        </w:rPr>
        <w:t xml:space="preserve"> L(I)C</w:t>
      </w:r>
      <w:r w:rsidR="00E230FB" w:rsidRPr="0098635C">
        <w:rPr>
          <w:color w:val="000000" w:themeColor="text1"/>
          <w:sz w:val="20"/>
          <w:szCs w:val="20"/>
          <w:vertAlign w:val="subscript"/>
        </w:rPr>
        <w:t>50</w:t>
      </w:r>
      <w:r w:rsidR="00E230FB" w:rsidRPr="0098635C">
        <w:rPr>
          <w:color w:val="000000" w:themeColor="text1"/>
          <w:sz w:val="20"/>
          <w:szCs w:val="20"/>
        </w:rPr>
        <w:t xml:space="preserve"> values from 48 hours exposure duration</w:t>
      </w:r>
    </w:p>
    <w:p w14:paraId="1E658DA8" w14:textId="07A1BC42" w:rsidR="00A57A22" w:rsidRPr="0098635C" w:rsidRDefault="00E03E7A" w:rsidP="0059369A">
      <w:pPr>
        <w:pStyle w:val="ListParagraph"/>
        <w:numPr>
          <w:ilvl w:val="0"/>
          <w:numId w:val="34"/>
        </w:numPr>
        <w:spacing w:after="0"/>
        <w:rPr>
          <w:color w:val="000000" w:themeColor="text1"/>
          <w:sz w:val="20"/>
          <w:szCs w:val="20"/>
        </w:rPr>
      </w:pPr>
      <w:r w:rsidRPr="0098635C">
        <w:rPr>
          <w:color w:val="000000" w:themeColor="text1"/>
          <w:sz w:val="20"/>
          <w:szCs w:val="20"/>
        </w:rPr>
        <w:t>Algae</w:t>
      </w:r>
      <w:r w:rsidR="00B31630" w:rsidRPr="0098635C">
        <w:rPr>
          <w:color w:val="000000" w:themeColor="text1"/>
          <w:sz w:val="20"/>
          <w:szCs w:val="20"/>
        </w:rPr>
        <w:t xml:space="preserve"> and higher plants: </w:t>
      </w:r>
      <w:r w:rsidR="00B31630" w:rsidRPr="0098635C">
        <w:rPr>
          <w:i/>
          <w:color w:val="000000" w:themeColor="text1"/>
          <w:sz w:val="20"/>
          <w:szCs w:val="20"/>
        </w:rPr>
        <w:t>Pseudokirchneriella subcapitata</w:t>
      </w:r>
      <w:r w:rsidR="00B31630" w:rsidRPr="0098635C">
        <w:rPr>
          <w:color w:val="000000" w:themeColor="text1"/>
          <w:sz w:val="20"/>
          <w:szCs w:val="20"/>
        </w:rPr>
        <w:t xml:space="preserve">, </w:t>
      </w:r>
      <w:r w:rsidR="00B31630" w:rsidRPr="0098635C">
        <w:rPr>
          <w:i/>
          <w:color w:val="000000" w:themeColor="text1"/>
          <w:sz w:val="20"/>
          <w:szCs w:val="20"/>
        </w:rPr>
        <w:t>Chlamydomonas reinhardtii</w:t>
      </w:r>
      <w:r w:rsidR="00B31630" w:rsidRPr="0098635C">
        <w:rPr>
          <w:color w:val="000000" w:themeColor="text1"/>
          <w:sz w:val="20"/>
          <w:szCs w:val="20"/>
        </w:rPr>
        <w:t xml:space="preserve">, </w:t>
      </w:r>
      <w:r w:rsidR="00B31630" w:rsidRPr="0098635C">
        <w:rPr>
          <w:i/>
          <w:color w:val="000000" w:themeColor="text1"/>
          <w:sz w:val="20"/>
          <w:szCs w:val="20"/>
        </w:rPr>
        <w:t>Chlorella vulgaris, Lemna minor</w:t>
      </w:r>
      <w:r w:rsidRPr="0098635C">
        <w:rPr>
          <w:color w:val="000000" w:themeColor="text1"/>
          <w:sz w:val="20"/>
          <w:szCs w:val="20"/>
        </w:rPr>
        <w:t>: EC</w:t>
      </w:r>
      <w:r w:rsidR="00E230FB" w:rsidRPr="0098635C">
        <w:rPr>
          <w:color w:val="000000" w:themeColor="text1"/>
          <w:sz w:val="20"/>
          <w:szCs w:val="20"/>
          <w:vertAlign w:val="subscript"/>
        </w:rPr>
        <w:t>50</w:t>
      </w:r>
      <w:r w:rsidR="00E230FB" w:rsidRPr="0098635C">
        <w:rPr>
          <w:color w:val="000000" w:themeColor="text1"/>
          <w:sz w:val="20"/>
          <w:szCs w:val="20"/>
        </w:rPr>
        <w:t xml:space="preserve"> (growth rate) from minimal exposure duration of 24 hour.</w:t>
      </w:r>
    </w:p>
    <w:p w14:paraId="455238BC" w14:textId="7B875526" w:rsidR="007F51A5" w:rsidRPr="0098635C" w:rsidRDefault="007F51A5" w:rsidP="00851F58">
      <w:pPr>
        <w:spacing w:after="0"/>
        <w:rPr>
          <w:color w:val="000000" w:themeColor="text1"/>
          <w:sz w:val="20"/>
          <w:szCs w:val="20"/>
        </w:rPr>
      </w:pPr>
    </w:p>
    <w:p w14:paraId="7E57561D" w14:textId="539DEC51" w:rsidR="00D05142" w:rsidRPr="0098635C" w:rsidRDefault="00500352" w:rsidP="00C1070F">
      <w:pPr>
        <w:widowControl/>
        <w:autoSpaceDE/>
        <w:autoSpaceDN/>
        <w:adjustRightInd/>
        <w:spacing w:after="0"/>
        <w:rPr>
          <w:color w:val="000000" w:themeColor="text1"/>
          <w:sz w:val="20"/>
          <w:szCs w:val="20"/>
        </w:rPr>
      </w:pPr>
      <w:r w:rsidRPr="0098635C">
        <w:rPr>
          <w:color w:val="000000" w:themeColor="text1"/>
          <w:sz w:val="20"/>
          <w:szCs w:val="20"/>
        </w:rPr>
        <w:t>The quality criteria</w:t>
      </w:r>
      <w:r w:rsidR="00EE0A06" w:rsidRPr="0098635C">
        <w:rPr>
          <w:color w:val="000000" w:themeColor="text1"/>
          <w:sz w:val="20"/>
          <w:szCs w:val="20"/>
        </w:rPr>
        <w:t xml:space="preserve"> used for </w:t>
      </w:r>
      <w:r w:rsidR="00E03E7A" w:rsidRPr="0098635C">
        <w:rPr>
          <w:color w:val="000000" w:themeColor="text1"/>
          <w:sz w:val="20"/>
          <w:szCs w:val="20"/>
        </w:rPr>
        <w:t xml:space="preserve">retaining </w:t>
      </w:r>
      <w:r w:rsidR="00EE0A06" w:rsidRPr="0098635C">
        <w:rPr>
          <w:color w:val="000000" w:themeColor="text1"/>
          <w:sz w:val="20"/>
          <w:szCs w:val="20"/>
        </w:rPr>
        <w:t>acute toxicity test</w:t>
      </w:r>
      <w:r w:rsidR="00186E91" w:rsidRPr="0098635C">
        <w:rPr>
          <w:color w:val="000000" w:themeColor="text1"/>
          <w:sz w:val="20"/>
          <w:szCs w:val="20"/>
        </w:rPr>
        <w:t xml:space="preserve"> </w:t>
      </w:r>
      <w:r w:rsidRPr="0098635C">
        <w:rPr>
          <w:color w:val="000000" w:themeColor="text1"/>
          <w:sz w:val="20"/>
          <w:szCs w:val="20"/>
        </w:rPr>
        <w:t>include:</w:t>
      </w:r>
      <w:r w:rsidR="00EE0A06" w:rsidRPr="0098635C">
        <w:rPr>
          <w:color w:val="000000" w:themeColor="text1"/>
          <w:sz w:val="20"/>
          <w:szCs w:val="20"/>
        </w:rPr>
        <w:t xml:space="preserve"> </w:t>
      </w:r>
      <w:r w:rsidR="005956AE" w:rsidRPr="0098635C">
        <w:rPr>
          <w:color w:val="000000" w:themeColor="text1"/>
          <w:sz w:val="20"/>
          <w:szCs w:val="20"/>
        </w:rPr>
        <w:t xml:space="preserve">well described test set-up and </w:t>
      </w:r>
      <w:r w:rsidR="00603550" w:rsidRPr="0098635C">
        <w:rPr>
          <w:color w:val="000000" w:themeColor="text1"/>
          <w:sz w:val="20"/>
          <w:szCs w:val="20"/>
        </w:rPr>
        <w:t>test media characteristics</w:t>
      </w:r>
      <w:r w:rsidR="005956AE" w:rsidRPr="0098635C">
        <w:rPr>
          <w:color w:val="000000" w:themeColor="text1"/>
          <w:sz w:val="20"/>
          <w:szCs w:val="20"/>
        </w:rPr>
        <w:t xml:space="preserve">, </w:t>
      </w:r>
      <w:r w:rsidR="00603550" w:rsidRPr="0098635C">
        <w:rPr>
          <w:color w:val="000000" w:themeColor="text1"/>
          <w:sz w:val="20"/>
          <w:szCs w:val="20"/>
        </w:rPr>
        <w:t>pH and hardn</w:t>
      </w:r>
      <w:r w:rsidR="005956AE" w:rsidRPr="0098635C">
        <w:rPr>
          <w:color w:val="000000" w:themeColor="text1"/>
          <w:sz w:val="20"/>
          <w:szCs w:val="20"/>
        </w:rPr>
        <w:t>ess</w:t>
      </w:r>
      <w:r w:rsidR="00186E91" w:rsidRPr="0098635C">
        <w:rPr>
          <w:color w:val="000000" w:themeColor="text1"/>
          <w:sz w:val="20"/>
          <w:szCs w:val="20"/>
        </w:rPr>
        <w:t xml:space="preserve"> </w:t>
      </w:r>
      <w:r w:rsidR="00603550" w:rsidRPr="0098635C">
        <w:rPr>
          <w:color w:val="000000" w:themeColor="text1"/>
          <w:sz w:val="20"/>
          <w:szCs w:val="20"/>
        </w:rPr>
        <w:t xml:space="preserve">within the range of the OECD test-protocols, </w:t>
      </w:r>
      <w:r w:rsidR="00E03E7A" w:rsidRPr="0098635C">
        <w:rPr>
          <w:color w:val="000000" w:themeColor="text1"/>
          <w:sz w:val="20"/>
          <w:szCs w:val="20"/>
        </w:rPr>
        <w:t>quantified dose-</w:t>
      </w:r>
      <w:r w:rsidR="0008036E" w:rsidRPr="0098635C">
        <w:rPr>
          <w:color w:val="000000" w:themeColor="text1"/>
          <w:sz w:val="20"/>
          <w:szCs w:val="20"/>
        </w:rPr>
        <w:t>response</w:t>
      </w:r>
      <w:r w:rsidR="00E03E7A" w:rsidRPr="0098635C">
        <w:rPr>
          <w:color w:val="000000" w:themeColor="text1"/>
          <w:sz w:val="20"/>
          <w:szCs w:val="20"/>
        </w:rPr>
        <w:t xml:space="preserve"> relationship and </w:t>
      </w:r>
      <w:r w:rsidR="00186E91" w:rsidRPr="0098635C">
        <w:rPr>
          <w:color w:val="000000" w:themeColor="text1"/>
          <w:sz w:val="20"/>
          <w:szCs w:val="20"/>
        </w:rPr>
        <w:t xml:space="preserve">reported </w:t>
      </w:r>
      <w:r w:rsidR="0008036E" w:rsidRPr="0098635C">
        <w:rPr>
          <w:color w:val="000000" w:themeColor="text1"/>
          <w:sz w:val="20"/>
          <w:szCs w:val="20"/>
        </w:rPr>
        <w:t>L(</w:t>
      </w:r>
      <w:r w:rsidR="00186E91" w:rsidRPr="0098635C">
        <w:rPr>
          <w:color w:val="000000" w:themeColor="text1"/>
          <w:sz w:val="20"/>
          <w:szCs w:val="20"/>
        </w:rPr>
        <w:t>E)C</w:t>
      </w:r>
      <w:r w:rsidR="00186E91" w:rsidRPr="0098635C">
        <w:rPr>
          <w:color w:val="000000" w:themeColor="text1"/>
          <w:sz w:val="20"/>
          <w:szCs w:val="20"/>
          <w:vertAlign w:val="subscript"/>
        </w:rPr>
        <w:t>50</w:t>
      </w:r>
      <w:r w:rsidR="00186E91" w:rsidRPr="0098635C">
        <w:rPr>
          <w:color w:val="000000" w:themeColor="text1"/>
          <w:sz w:val="20"/>
          <w:szCs w:val="20"/>
        </w:rPr>
        <w:t xml:space="preserve"> value</w:t>
      </w:r>
      <w:r w:rsidR="005956AE" w:rsidRPr="0098635C">
        <w:rPr>
          <w:color w:val="000000" w:themeColor="text1"/>
          <w:sz w:val="20"/>
          <w:szCs w:val="20"/>
        </w:rPr>
        <w:t xml:space="preserve"> as measured test concentrations</w:t>
      </w:r>
      <w:r w:rsidR="00186E91" w:rsidRPr="0098635C">
        <w:rPr>
          <w:color w:val="000000" w:themeColor="text1"/>
          <w:sz w:val="20"/>
          <w:szCs w:val="20"/>
        </w:rPr>
        <w:t xml:space="preserve">. </w:t>
      </w:r>
      <w:r w:rsidR="00996087" w:rsidRPr="0098635C">
        <w:rPr>
          <w:color w:val="000000" w:themeColor="text1"/>
          <w:sz w:val="20"/>
          <w:szCs w:val="20"/>
        </w:rPr>
        <w:t xml:space="preserve"> </w:t>
      </w:r>
      <w:r w:rsidR="00996087" w:rsidRPr="0098635C">
        <w:rPr>
          <w:rFonts w:eastAsia="Calibri"/>
          <w:color w:val="000000" w:themeColor="text1"/>
          <w:sz w:val="20"/>
          <w:szCs w:val="20"/>
        </w:rPr>
        <w:t>Annex VIII provides an overview of the retained acute toxicity data.</w:t>
      </w:r>
    </w:p>
    <w:p w14:paraId="778FA439" w14:textId="77777777" w:rsidR="00D05142" w:rsidRPr="0098635C" w:rsidRDefault="00D05142" w:rsidP="00D05142">
      <w:pPr>
        <w:widowControl/>
        <w:autoSpaceDE/>
        <w:autoSpaceDN/>
        <w:adjustRightInd/>
        <w:spacing w:after="0"/>
        <w:rPr>
          <w:color w:val="000000" w:themeColor="text1"/>
          <w:sz w:val="20"/>
          <w:szCs w:val="20"/>
        </w:rPr>
      </w:pPr>
    </w:p>
    <w:p w14:paraId="5C9C0B20" w14:textId="2A209088" w:rsidR="00E5417E" w:rsidRPr="0098635C" w:rsidRDefault="00E5417E" w:rsidP="00E5417E">
      <w:pPr>
        <w:pStyle w:val="BodyText"/>
        <w:rPr>
          <w:color w:val="000000" w:themeColor="text1"/>
          <w:sz w:val="20"/>
        </w:rPr>
      </w:pPr>
      <w:r w:rsidRPr="0098635C">
        <w:rPr>
          <w:color w:val="000000" w:themeColor="text1"/>
          <w:sz w:val="20"/>
        </w:rPr>
        <w:t>In total, 451 high quality acute dat</w:t>
      </w:r>
      <w:r w:rsidR="006C0AEE" w:rsidRPr="0098635C">
        <w:rPr>
          <w:color w:val="000000" w:themeColor="text1"/>
          <w:sz w:val="20"/>
        </w:rPr>
        <w:t xml:space="preserve">a points were retained. For </w:t>
      </w:r>
      <w:r w:rsidRPr="0098635C">
        <w:rPr>
          <w:color w:val="000000" w:themeColor="text1"/>
          <w:sz w:val="20"/>
        </w:rPr>
        <w:t>the fish 262 individual data points were selected for 5 standard species. For the invertebrates 123 individual data points were selected for 2 standard species and for the algae 66 individual data points were selected for 3 standard species</w:t>
      </w:r>
      <w:r w:rsidR="006C0AEE" w:rsidRPr="0098635C">
        <w:rPr>
          <w:color w:val="000000" w:themeColor="text1"/>
          <w:sz w:val="20"/>
        </w:rPr>
        <w:t>.</w:t>
      </w:r>
      <w:r w:rsidR="00C56C9C" w:rsidRPr="0098635C">
        <w:rPr>
          <w:color w:val="000000" w:themeColor="text1"/>
          <w:sz w:val="20"/>
        </w:rPr>
        <w:t xml:space="preserve"> Considering that the data were obtained from open literature instead of GLP tests, t</w:t>
      </w:r>
      <w:r w:rsidR="00E03E7A" w:rsidRPr="0098635C">
        <w:rPr>
          <w:color w:val="000000" w:themeColor="text1"/>
          <w:sz w:val="20"/>
        </w:rPr>
        <w:t>heir re</w:t>
      </w:r>
      <w:r w:rsidR="00484E4D" w:rsidRPr="0098635C">
        <w:rPr>
          <w:color w:val="000000" w:themeColor="text1"/>
          <w:sz w:val="20"/>
        </w:rPr>
        <w:t>l</w:t>
      </w:r>
      <w:r w:rsidR="00E03E7A" w:rsidRPr="0098635C">
        <w:rPr>
          <w:color w:val="000000" w:themeColor="text1"/>
          <w:sz w:val="20"/>
        </w:rPr>
        <w:t>iability is</w:t>
      </w:r>
      <w:r w:rsidR="00C56C9C" w:rsidRPr="0098635C">
        <w:rPr>
          <w:color w:val="000000" w:themeColor="text1"/>
          <w:sz w:val="20"/>
        </w:rPr>
        <w:t xml:space="preserve"> </w:t>
      </w:r>
      <w:r w:rsidR="00E03E7A" w:rsidRPr="0098635C">
        <w:rPr>
          <w:color w:val="000000" w:themeColor="text1"/>
          <w:sz w:val="20"/>
        </w:rPr>
        <w:t xml:space="preserve">described as reliability </w:t>
      </w:r>
      <w:r w:rsidR="00C56C9C" w:rsidRPr="0098635C">
        <w:rPr>
          <w:color w:val="000000" w:themeColor="text1"/>
          <w:sz w:val="20"/>
        </w:rPr>
        <w:t>2</w:t>
      </w:r>
      <w:r w:rsidR="00E03E7A" w:rsidRPr="0098635C">
        <w:rPr>
          <w:color w:val="000000" w:themeColor="text1"/>
          <w:sz w:val="20"/>
        </w:rPr>
        <w:t>.</w:t>
      </w:r>
    </w:p>
    <w:p w14:paraId="52A5D794" w14:textId="6DEAE167" w:rsidR="00E37B3B" w:rsidRPr="0098635C" w:rsidRDefault="0085254A" w:rsidP="00E37B3B">
      <w:pPr>
        <w:spacing w:after="0"/>
        <w:rPr>
          <w:color w:val="000000" w:themeColor="text1"/>
          <w:sz w:val="20"/>
          <w:szCs w:val="20"/>
          <w:lang w:eastAsia="en-GB"/>
        </w:rPr>
      </w:pPr>
      <w:r w:rsidRPr="0098635C">
        <w:rPr>
          <w:color w:val="000000" w:themeColor="text1"/>
          <w:sz w:val="20"/>
          <w:szCs w:val="20"/>
        </w:rPr>
        <w:t>Reliable L(E)C</w:t>
      </w:r>
      <w:r w:rsidRPr="0098635C">
        <w:rPr>
          <w:color w:val="000000" w:themeColor="text1"/>
          <w:sz w:val="20"/>
          <w:szCs w:val="20"/>
          <w:vertAlign w:val="subscript"/>
        </w:rPr>
        <w:t>50</w:t>
      </w:r>
      <w:r w:rsidRPr="0098635C">
        <w:rPr>
          <w:color w:val="000000" w:themeColor="text1"/>
          <w:sz w:val="20"/>
          <w:szCs w:val="20"/>
        </w:rPr>
        <w:t xml:space="preserve"> values for the standard test species range between 3 and 9,150 µg Cu/L (</w:t>
      </w:r>
      <w:r w:rsidRPr="0098635C">
        <w:rPr>
          <w:i/>
          <w:iCs/>
          <w:color w:val="000000" w:themeColor="text1"/>
          <w:sz w:val="20"/>
          <w:szCs w:val="20"/>
        </w:rPr>
        <w:t>Pseudokirchneriella subcapitata</w:t>
      </w:r>
      <w:r w:rsidRPr="0098635C">
        <w:rPr>
          <w:i/>
          <w:color w:val="000000" w:themeColor="text1"/>
          <w:sz w:val="20"/>
          <w:szCs w:val="20"/>
        </w:rPr>
        <w:t xml:space="preserve">, </w:t>
      </w:r>
      <w:r w:rsidRPr="0098635C">
        <w:rPr>
          <w:i/>
          <w:iCs/>
          <w:color w:val="000000" w:themeColor="text1"/>
          <w:sz w:val="20"/>
          <w:szCs w:val="20"/>
        </w:rPr>
        <w:t>Chlamydomonas reinhardtii</w:t>
      </w:r>
      <w:r w:rsidRPr="0098635C">
        <w:rPr>
          <w:iCs/>
          <w:color w:val="000000" w:themeColor="text1"/>
          <w:sz w:val="20"/>
          <w:szCs w:val="20"/>
        </w:rPr>
        <w:t xml:space="preserve">, </w:t>
      </w:r>
      <w:r w:rsidRPr="0098635C">
        <w:rPr>
          <w:i/>
          <w:iCs/>
          <w:color w:val="000000" w:themeColor="text1"/>
          <w:sz w:val="20"/>
          <w:szCs w:val="20"/>
        </w:rPr>
        <w:t>Chlorella vulgaris</w:t>
      </w:r>
      <w:r w:rsidRPr="0098635C">
        <w:rPr>
          <w:color w:val="000000" w:themeColor="text1"/>
          <w:sz w:val="20"/>
          <w:szCs w:val="20"/>
        </w:rPr>
        <w:t xml:space="preserve">, </w:t>
      </w:r>
      <w:r w:rsidRPr="0098635C">
        <w:rPr>
          <w:i/>
          <w:iCs/>
          <w:color w:val="000000" w:themeColor="text1"/>
          <w:sz w:val="20"/>
          <w:szCs w:val="20"/>
        </w:rPr>
        <w:t>Ceriodaphnia dubia</w:t>
      </w:r>
      <w:r w:rsidRPr="0098635C">
        <w:rPr>
          <w:iCs/>
          <w:color w:val="000000" w:themeColor="text1"/>
          <w:sz w:val="20"/>
          <w:szCs w:val="20"/>
        </w:rPr>
        <w:t xml:space="preserve">, </w:t>
      </w:r>
      <w:r w:rsidRPr="0098635C">
        <w:rPr>
          <w:i/>
          <w:iCs/>
          <w:color w:val="000000" w:themeColor="text1"/>
          <w:sz w:val="20"/>
          <w:szCs w:val="20"/>
        </w:rPr>
        <w:t>Daphnia magna, Oncorhynchus mykiss</w:t>
      </w:r>
      <w:r w:rsidRPr="0098635C">
        <w:rPr>
          <w:iCs/>
          <w:color w:val="000000" w:themeColor="text1"/>
          <w:sz w:val="20"/>
          <w:szCs w:val="20"/>
        </w:rPr>
        <w:t xml:space="preserve">, </w:t>
      </w:r>
      <w:r w:rsidRPr="0098635C">
        <w:rPr>
          <w:i/>
          <w:iCs/>
          <w:color w:val="000000" w:themeColor="text1"/>
          <w:sz w:val="20"/>
          <w:szCs w:val="20"/>
        </w:rPr>
        <w:t xml:space="preserve">Pimephales promelas, Lepomis macrochirus, Brachydanio rerio </w:t>
      </w:r>
      <w:r w:rsidRPr="0098635C">
        <w:rPr>
          <w:color w:val="000000" w:themeColor="text1"/>
          <w:sz w:val="20"/>
          <w:szCs w:val="20"/>
        </w:rPr>
        <w:t>and</w:t>
      </w:r>
      <w:r w:rsidRPr="0098635C">
        <w:rPr>
          <w:i/>
          <w:color w:val="000000" w:themeColor="text1"/>
          <w:sz w:val="20"/>
          <w:szCs w:val="20"/>
        </w:rPr>
        <w:t xml:space="preserve"> </w:t>
      </w:r>
      <w:r w:rsidRPr="0098635C">
        <w:rPr>
          <w:i/>
          <w:iCs/>
          <w:color w:val="000000" w:themeColor="text1"/>
          <w:sz w:val="20"/>
          <w:szCs w:val="20"/>
        </w:rPr>
        <w:t xml:space="preserve">Cyprinus </w:t>
      </w:r>
      <w:r w:rsidRPr="0098635C">
        <w:rPr>
          <w:i/>
          <w:color w:val="000000" w:themeColor="text1"/>
          <w:sz w:val="20"/>
          <w:szCs w:val="20"/>
        </w:rPr>
        <w:t>carpio)</w:t>
      </w:r>
      <w:r w:rsidRPr="0098635C">
        <w:rPr>
          <w:color w:val="000000" w:themeColor="text1"/>
          <w:sz w:val="20"/>
          <w:szCs w:val="20"/>
        </w:rPr>
        <w:t xml:space="preserve">.  </w:t>
      </w:r>
    </w:p>
    <w:p w14:paraId="492186C8" w14:textId="0813A35A" w:rsidR="008652AD" w:rsidRPr="0098635C" w:rsidRDefault="008652AD" w:rsidP="00851F58">
      <w:pPr>
        <w:spacing w:after="0"/>
        <w:rPr>
          <w:color w:val="000000" w:themeColor="text1"/>
          <w:sz w:val="20"/>
          <w:szCs w:val="20"/>
        </w:rPr>
      </w:pPr>
    </w:p>
    <w:p w14:paraId="16E42E90" w14:textId="7668EAEC" w:rsidR="00C83BF6" w:rsidRPr="0098635C" w:rsidRDefault="004E1534" w:rsidP="00851F58">
      <w:pPr>
        <w:rPr>
          <w:color w:val="000000" w:themeColor="text1"/>
          <w:sz w:val="20"/>
          <w:szCs w:val="20"/>
        </w:rPr>
      </w:pPr>
      <w:r w:rsidRPr="0098635C">
        <w:rPr>
          <w:color w:val="000000" w:themeColor="text1"/>
          <w:sz w:val="20"/>
          <w:szCs w:val="20"/>
        </w:rPr>
        <w:t xml:space="preserve">For most species a large variation among effect values for the same test species and effect parameter is observed, and this </w:t>
      </w:r>
      <w:r w:rsidRPr="0098635C">
        <w:rPr>
          <w:color w:val="000000" w:themeColor="text1"/>
          <w:sz w:val="20"/>
          <w:szCs w:val="20"/>
        </w:rPr>
        <w:lastRenderedPageBreak/>
        <w:t xml:space="preserve">variation can be explained </w:t>
      </w:r>
      <w:r w:rsidR="00396E8B" w:rsidRPr="0098635C">
        <w:rPr>
          <w:color w:val="000000" w:themeColor="text1"/>
          <w:sz w:val="20"/>
          <w:szCs w:val="20"/>
        </w:rPr>
        <w:t>by</w:t>
      </w:r>
      <w:r w:rsidRPr="0098635C">
        <w:rPr>
          <w:color w:val="000000" w:themeColor="text1"/>
          <w:sz w:val="20"/>
          <w:szCs w:val="20"/>
        </w:rPr>
        <w:t xml:space="preserve"> the observed variation of the abiotic condit</w:t>
      </w:r>
      <w:r w:rsidR="00E5417E" w:rsidRPr="0098635C">
        <w:rPr>
          <w:color w:val="000000" w:themeColor="text1"/>
          <w:sz w:val="20"/>
          <w:szCs w:val="20"/>
        </w:rPr>
        <w:t>i</w:t>
      </w:r>
      <w:r w:rsidRPr="0098635C">
        <w:rPr>
          <w:color w:val="000000" w:themeColor="text1"/>
          <w:sz w:val="20"/>
          <w:szCs w:val="20"/>
        </w:rPr>
        <w:t>ons of the test media such as pH, hardness, and dissolved organic carbon. Each of these parameters affect the bioavailability an</w:t>
      </w:r>
      <w:r w:rsidR="004A4869" w:rsidRPr="0098635C">
        <w:rPr>
          <w:color w:val="000000" w:themeColor="text1"/>
          <w:sz w:val="20"/>
          <w:szCs w:val="20"/>
        </w:rPr>
        <w:t>d</w:t>
      </w:r>
      <w:r w:rsidRPr="0098635C">
        <w:rPr>
          <w:color w:val="000000" w:themeColor="text1"/>
          <w:sz w:val="20"/>
          <w:szCs w:val="20"/>
        </w:rPr>
        <w:t xml:space="preserve"> toxicity of free copper ion, and should therefore be considered when interpreting copper effects data. Several studies investigated the relationship between (speciation-dependent) copper toxicity to fish and physicochemical parameters (such as pH, dissolved organic carbon, hardness), and concluded that observed variation in copper toxicity was related to changes of one or more of these properties of the test medium (e.g. Waiwood et al, 1978; Ryan et al, 2004; Erikson et al, 2004; Grosell et al, 2007).</w:t>
      </w:r>
      <w:r w:rsidR="00396E8B" w:rsidRPr="0098635C">
        <w:rPr>
          <w:color w:val="000000" w:themeColor="text1"/>
          <w:sz w:val="20"/>
          <w:szCs w:val="20"/>
        </w:rPr>
        <w:t xml:space="preserve">  </w:t>
      </w:r>
    </w:p>
    <w:p w14:paraId="33C0B64B" w14:textId="6C7FB002" w:rsidR="00435497" w:rsidRPr="0098635C" w:rsidRDefault="00C83BF6" w:rsidP="00851F58">
      <w:pPr>
        <w:widowControl/>
        <w:spacing w:after="0"/>
        <w:rPr>
          <w:color w:val="000000" w:themeColor="text1"/>
          <w:sz w:val="20"/>
          <w:szCs w:val="20"/>
        </w:rPr>
      </w:pPr>
      <w:r w:rsidRPr="0098635C">
        <w:rPr>
          <w:color w:val="000000" w:themeColor="text1"/>
          <w:sz w:val="20"/>
          <w:szCs w:val="20"/>
        </w:rPr>
        <w:fldChar w:fldCharType="begin"/>
      </w:r>
      <w:r w:rsidRPr="0098635C">
        <w:rPr>
          <w:color w:val="000000" w:themeColor="text1"/>
          <w:sz w:val="20"/>
          <w:szCs w:val="20"/>
        </w:rPr>
        <w:instrText xml:space="preserve"> REF _Ref471558563 \h </w:instrText>
      </w:r>
      <w:r w:rsidR="009003E0" w:rsidRPr="0098635C">
        <w:rPr>
          <w:color w:val="000000" w:themeColor="text1"/>
          <w:sz w:val="20"/>
          <w:szCs w:val="20"/>
        </w:rPr>
        <w:instrText xml:space="preserve"> \* MERGEFORMAT </w:instrText>
      </w:r>
      <w:r w:rsidRPr="0098635C">
        <w:rPr>
          <w:color w:val="000000" w:themeColor="text1"/>
          <w:sz w:val="20"/>
          <w:szCs w:val="20"/>
        </w:rPr>
      </w:r>
      <w:r w:rsidRPr="0098635C">
        <w:rPr>
          <w:color w:val="000000" w:themeColor="text1"/>
          <w:sz w:val="20"/>
          <w:szCs w:val="20"/>
        </w:rPr>
        <w:fldChar w:fldCharType="separate"/>
      </w:r>
      <w:r w:rsidR="005E5161" w:rsidRPr="0098635C">
        <w:rPr>
          <w:color w:val="000000" w:themeColor="text1"/>
          <w:sz w:val="20"/>
          <w:szCs w:val="20"/>
        </w:rPr>
        <w:t xml:space="preserve">Table </w:t>
      </w:r>
      <w:r w:rsidR="005E5161" w:rsidRPr="0098635C">
        <w:rPr>
          <w:noProof/>
          <w:color w:val="000000" w:themeColor="text1"/>
          <w:sz w:val="20"/>
          <w:szCs w:val="20"/>
        </w:rPr>
        <w:t>26</w:t>
      </w:r>
      <w:r w:rsidRPr="0098635C">
        <w:rPr>
          <w:color w:val="000000" w:themeColor="text1"/>
          <w:sz w:val="20"/>
          <w:szCs w:val="20"/>
        </w:rPr>
        <w:fldChar w:fldCharType="end"/>
      </w:r>
      <w:r w:rsidR="00435497" w:rsidRPr="0098635C">
        <w:rPr>
          <w:color w:val="000000" w:themeColor="text1"/>
          <w:sz w:val="20"/>
          <w:szCs w:val="20"/>
        </w:rPr>
        <w:t xml:space="preserve"> </w:t>
      </w:r>
      <w:r w:rsidR="00A815CB" w:rsidRPr="0098635C">
        <w:rPr>
          <w:color w:val="000000" w:themeColor="text1"/>
          <w:sz w:val="20"/>
          <w:szCs w:val="20"/>
        </w:rPr>
        <w:t xml:space="preserve">summarizes the acute toxicity for </w:t>
      </w:r>
      <w:r w:rsidR="00C55A2F" w:rsidRPr="0098635C">
        <w:rPr>
          <w:color w:val="000000" w:themeColor="text1"/>
          <w:sz w:val="20"/>
          <w:szCs w:val="20"/>
        </w:rPr>
        <w:t xml:space="preserve">10 standard </w:t>
      </w:r>
      <w:r w:rsidR="00A815CB" w:rsidRPr="0098635C">
        <w:rPr>
          <w:color w:val="000000" w:themeColor="text1"/>
          <w:sz w:val="20"/>
          <w:szCs w:val="20"/>
        </w:rPr>
        <w:t>species</w:t>
      </w:r>
      <w:r w:rsidRPr="0098635C">
        <w:rPr>
          <w:color w:val="000000" w:themeColor="text1"/>
          <w:sz w:val="20"/>
          <w:szCs w:val="20"/>
        </w:rPr>
        <w:t xml:space="preserve"> </w:t>
      </w:r>
      <w:r w:rsidR="00304846" w:rsidRPr="0098635C">
        <w:rPr>
          <w:color w:val="000000" w:themeColor="text1"/>
          <w:sz w:val="20"/>
          <w:szCs w:val="20"/>
        </w:rPr>
        <w:t>under standard pH conditions (</w:t>
      </w:r>
      <w:r w:rsidRPr="0098635C">
        <w:rPr>
          <w:color w:val="000000" w:themeColor="text1"/>
          <w:sz w:val="20"/>
          <w:szCs w:val="20"/>
        </w:rPr>
        <w:t>between pH 5.5 and 8.5</w:t>
      </w:r>
      <w:r w:rsidR="00304846" w:rsidRPr="0098635C">
        <w:rPr>
          <w:color w:val="000000" w:themeColor="text1"/>
          <w:sz w:val="20"/>
          <w:szCs w:val="20"/>
        </w:rPr>
        <w:t>)</w:t>
      </w:r>
      <w:r w:rsidR="00A815CB" w:rsidRPr="0098635C">
        <w:rPr>
          <w:color w:val="000000" w:themeColor="text1"/>
          <w:sz w:val="20"/>
          <w:szCs w:val="20"/>
        </w:rPr>
        <w:t>.</w:t>
      </w:r>
      <w:r w:rsidR="00175A0C" w:rsidRPr="0098635C">
        <w:rPr>
          <w:color w:val="000000" w:themeColor="text1"/>
          <w:sz w:val="20"/>
          <w:szCs w:val="20"/>
        </w:rPr>
        <w:t xml:space="preserve"> </w:t>
      </w:r>
      <w:r w:rsidR="004A4869" w:rsidRPr="0098635C">
        <w:rPr>
          <w:color w:val="000000" w:themeColor="text1"/>
          <w:sz w:val="20"/>
          <w:szCs w:val="20"/>
        </w:rPr>
        <w:t>The data</w:t>
      </w:r>
      <w:r w:rsidR="00435497" w:rsidRPr="0098635C">
        <w:rPr>
          <w:color w:val="000000" w:themeColor="text1"/>
          <w:sz w:val="20"/>
          <w:szCs w:val="20"/>
        </w:rPr>
        <w:t xml:space="preserve"> across pH ranges (pH 5.5-8.5) </w:t>
      </w:r>
      <w:r w:rsidR="00A05673" w:rsidRPr="0098635C">
        <w:rPr>
          <w:color w:val="000000" w:themeColor="text1"/>
          <w:sz w:val="20"/>
          <w:szCs w:val="20"/>
        </w:rPr>
        <w:t>show</w:t>
      </w:r>
      <w:r w:rsidR="004A4869" w:rsidRPr="0098635C">
        <w:rPr>
          <w:color w:val="000000" w:themeColor="text1"/>
          <w:sz w:val="20"/>
          <w:szCs w:val="20"/>
        </w:rPr>
        <w:t xml:space="preserve"> </w:t>
      </w:r>
      <w:r w:rsidR="00A05673" w:rsidRPr="0098635C">
        <w:rPr>
          <w:color w:val="000000" w:themeColor="text1"/>
          <w:sz w:val="20"/>
          <w:szCs w:val="20"/>
        </w:rPr>
        <w:t xml:space="preserve">species-specific geometric mean values </w:t>
      </w:r>
      <w:r w:rsidR="0008036E" w:rsidRPr="0098635C">
        <w:rPr>
          <w:color w:val="000000" w:themeColor="text1"/>
          <w:sz w:val="20"/>
          <w:szCs w:val="20"/>
        </w:rPr>
        <w:t>ranging</w:t>
      </w:r>
      <w:r w:rsidR="00A05673" w:rsidRPr="0098635C">
        <w:rPr>
          <w:color w:val="000000" w:themeColor="text1"/>
          <w:sz w:val="20"/>
          <w:szCs w:val="20"/>
        </w:rPr>
        <w:t xml:space="preserve"> between 34 µg Cu/L (</w:t>
      </w:r>
      <w:r w:rsidR="00A05673" w:rsidRPr="0098635C">
        <w:rPr>
          <w:i/>
          <w:color w:val="000000" w:themeColor="text1"/>
          <w:sz w:val="20"/>
          <w:szCs w:val="20"/>
        </w:rPr>
        <w:t>Ceriodaphnia dubia</w:t>
      </w:r>
      <w:r w:rsidR="00A05673" w:rsidRPr="0098635C">
        <w:rPr>
          <w:color w:val="000000" w:themeColor="text1"/>
          <w:sz w:val="20"/>
          <w:szCs w:val="20"/>
        </w:rPr>
        <w:t>) and 2837 µg Cu/L (</w:t>
      </w:r>
      <w:r w:rsidR="00A05673" w:rsidRPr="0098635C">
        <w:rPr>
          <w:i/>
          <w:color w:val="000000" w:themeColor="text1"/>
          <w:sz w:val="20"/>
          <w:szCs w:val="20"/>
        </w:rPr>
        <w:t>Lepomis macrochirus</w:t>
      </w:r>
      <w:r w:rsidR="00A05673" w:rsidRPr="0098635C">
        <w:rPr>
          <w:color w:val="000000" w:themeColor="text1"/>
          <w:sz w:val="20"/>
          <w:szCs w:val="20"/>
        </w:rPr>
        <w:t>).  The data also show that</w:t>
      </w:r>
      <w:r w:rsidR="004A4869" w:rsidRPr="0098635C">
        <w:rPr>
          <w:color w:val="000000" w:themeColor="text1"/>
          <w:sz w:val="20"/>
          <w:szCs w:val="20"/>
        </w:rPr>
        <w:t xml:space="preserve"> </w:t>
      </w:r>
      <w:r w:rsidR="00304846" w:rsidRPr="0098635C">
        <w:rPr>
          <w:color w:val="000000" w:themeColor="text1"/>
          <w:sz w:val="20"/>
          <w:szCs w:val="20"/>
        </w:rPr>
        <w:t xml:space="preserve">intra-species </w:t>
      </w:r>
      <w:r w:rsidR="004A4869" w:rsidRPr="0098635C">
        <w:rPr>
          <w:color w:val="000000" w:themeColor="text1"/>
          <w:sz w:val="20"/>
          <w:szCs w:val="20"/>
        </w:rPr>
        <w:t>acute hazard</w:t>
      </w:r>
      <w:r w:rsidR="00A05673" w:rsidRPr="0098635C">
        <w:rPr>
          <w:color w:val="000000" w:themeColor="text1"/>
          <w:sz w:val="20"/>
          <w:szCs w:val="20"/>
        </w:rPr>
        <w:t>s</w:t>
      </w:r>
      <w:r w:rsidR="004A4869" w:rsidRPr="0098635C">
        <w:rPr>
          <w:color w:val="000000" w:themeColor="text1"/>
          <w:sz w:val="20"/>
          <w:szCs w:val="20"/>
        </w:rPr>
        <w:t xml:space="preserve"> </w:t>
      </w:r>
      <w:r w:rsidR="00A05673" w:rsidRPr="0098635C">
        <w:rPr>
          <w:color w:val="000000" w:themeColor="text1"/>
          <w:sz w:val="20"/>
          <w:szCs w:val="20"/>
        </w:rPr>
        <w:t xml:space="preserve">from soluble </w:t>
      </w:r>
      <w:r w:rsidR="004A4869" w:rsidRPr="0098635C">
        <w:rPr>
          <w:color w:val="000000" w:themeColor="text1"/>
          <w:sz w:val="20"/>
          <w:szCs w:val="20"/>
        </w:rPr>
        <w:t>copper</w:t>
      </w:r>
      <w:r w:rsidR="007C4C91" w:rsidRPr="0098635C">
        <w:rPr>
          <w:color w:val="000000" w:themeColor="text1"/>
          <w:sz w:val="20"/>
          <w:szCs w:val="20"/>
        </w:rPr>
        <w:t xml:space="preserve"> </w:t>
      </w:r>
      <w:r w:rsidR="00304846" w:rsidRPr="0098635C">
        <w:rPr>
          <w:color w:val="000000" w:themeColor="text1"/>
          <w:sz w:val="20"/>
          <w:szCs w:val="20"/>
        </w:rPr>
        <w:t xml:space="preserve">can </w:t>
      </w:r>
      <w:r w:rsidR="004A4869" w:rsidRPr="0098635C">
        <w:rPr>
          <w:color w:val="000000" w:themeColor="text1"/>
          <w:sz w:val="20"/>
          <w:szCs w:val="20"/>
        </w:rPr>
        <w:t xml:space="preserve">vary </w:t>
      </w:r>
      <w:r w:rsidR="00304846" w:rsidRPr="0098635C">
        <w:rPr>
          <w:color w:val="000000" w:themeColor="text1"/>
          <w:sz w:val="20"/>
          <w:szCs w:val="20"/>
        </w:rPr>
        <w:t>with</w:t>
      </w:r>
      <w:r w:rsidR="005956AE" w:rsidRPr="0098635C">
        <w:rPr>
          <w:color w:val="000000" w:themeColor="text1"/>
          <w:sz w:val="20"/>
          <w:szCs w:val="20"/>
        </w:rPr>
        <w:t xml:space="preserve"> </w:t>
      </w:r>
      <w:r w:rsidR="004A4869" w:rsidRPr="0098635C">
        <w:rPr>
          <w:color w:val="000000" w:themeColor="text1"/>
          <w:sz w:val="20"/>
          <w:szCs w:val="20"/>
        </w:rPr>
        <w:t>orders of magnitude</w:t>
      </w:r>
      <w:r w:rsidR="00481EAE" w:rsidRPr="0098635C">
        <w:rPr>
          <w:color w:val="000000" w:themeColor="text1"/>
          <w:sz w:val="20"/>
          <w:szCs w:val="20"/>
        </w:rPr>
        <w:t xml:space="preserve">. </w:t>
      </w:r>
      <w:r w:rsidR="004A4869" w:rsidRPr="0098635C">
        <w:rPr>
          <w:color w:val="000000" w:themeColor="text1"/>
          <w:sz w:val="20"/>
          <w:szCs w:val="20"/>
        </w:rPr>
        <w:t xml:space="preserve"> </w:t>
      </w:r>
      <w:bookmarkStart w:id="1980" w:name="_Ref471559122"/>
    </w:p>
    <w:bookmarkEnd w:id="1980"/>
    <w:p w14:paraId="6171CB19" w14:textId="6BC29C09" w:rsidR="00A57A22" w:rsidRPr="0098635C" w:rsidRDefault="00FC2BF7" w:rsidP="00851F58">
      <w:pPr>
        <w:pStyle w:val="Caption"/>
        <w:ind w:left="0"/>
        <w:rPr>
          <w:color w:val="000000" w:themeColor="text1"/>
          <w:sz w:val="20"/>
        </w:rPr>
      </w:pPr>
      <w:r w:rsidRPr="0098635C">
        <w:rPr>
          <w:color w:val="000000" w:themeColor="text1"/>
          <w:sz w:val="20"/>
        </w:rPr>
        <w:t xml:space="preserve"> </w:t>
      </w:r>
      <w:r w:rsidR="00313CD4" w:rsidRPr="0098635C">
        <w:rPr>
          <w:color w:val="000000" w:themeColor="text1"/>
          <w:sz w:val="20"/>
        </w:rPr>
        <w:t xml:space="preserve"> </w:t>
      </w:r>
      <w:bookmarkStart w:id="1981" w:name="_Ref471558563"/>
      <w:r w:rsidR="00E37B3B" w:rsidRPr="0098635C">
        <w:rPr>
          <w:color w:val="000000" w:themeColor="text1"/>
          <w:sz w:val="20"/>
        </w:rPr>
        <w:t xml:space="preserve">Table </w:t>
      </w:r>
      <w:r w:rsidR="00E37B3B" w:rsidRPr="0098635C">
        <w:rPr>
          <w:color w:val="000000" w:themeColor="text1"/>
          <w:sz w:val="20"/>
        </w:rPr>
        <w:fldChar w:fldCharType="begin"/>
      </w:r>
      <w:r w:rsidR="00E37B3B" w:rsidRPr="0098635C">
        <w:rPr>
          <w:color w:val="000000" w:themeColor="text1"/>
          <w:sz w:val="20"/>
        </w:rPr>
        <w:instrText xml:space="preserve"> SEQ Table \* ARABIC </w:instrText>
      </w:r>
      <w:r w:rsidR="00E37B3B" w:rsidRPr="0098635C">
        <w:rPr>
          <w:color w:val="000000" w:themeColor="text1"/>
          <w:sz w:val="20"/>
        </w:rPr>
        <w:fldChar w:fldCharType="separate"/>
      </w:r>
      <w:r w:rsidR="005E5161" w:rsidRPr="0098635C">
        <w:rPr>
          <w:noProof/>
          <w:color w:val="000000" w:themeColor="text1"/>
          <w:sz w:val="20"/>
        </w:rPr>
        <w:t>26</w:t>
      </w:r>
      <w:r w:rsidR="00E37B3B" w:rsidRPr="0098635C">
        <w:rPr>
          <w:color w:val="000000" w:themeColor="text1"/>
          <w:sz w:val="20"/>
        </w:rPr>
        <w:fldChar w:fldCharType="end"/>
      </w:r>
      <w:bookmarkEnd w:id="1981"/>
      <w:r w:rsidR="00E37B3B" w:rsidRPr="0098635C">
        <w:rPr>
          <w:color w:val="000000" w:themeColor="text1"/>
          <w:sz w:val="20"/>
        </w:rPr>
        <w:t xml:space="preserve"> : </w:t>
      </w:r>
      <w:r w:rsidR="00A57A22" w:rsidRPr="0098635C">
        <w:rPr>
          <w:b w:val="0"/>
          <w:bCs w:val="0"/>
          <w:color w:val="000000" w:themeColor="text1"/>
          <w:sz w:val="20"/>
          <w:lang w:val="en-GB"/>
        </w:rPr>
        <w:t>Overview of the acute freshwater L</w:t>
      </w:r>
      <w:r w:rsidR="00E37B3B" w:rsidRPr="0098635C">
        <w:rPr>
          <w:b w:val="0"/>
          <w:bCs w:val="0"/>
          <w:color w:val="000000" w:themeColor="text1"/>
          <w:sz w:val="20"/>
          <w:lang w:val="en-GB"/>
        </w:rPr>
        <w:t>(E</w:t>
      </w:r>
      <w:r w:rsidR="00A57A22" w:rsidRPr="0098635C">
        <w:rPr>
          <w:b w:val="0"/>
          <w:bCs w:val="0"/>
          <w:color w:val="000000" w:themeColor="text1"/>
          <w:sz w:val="20"/>
          <w:lang w:val="en-GB"/>
        </w:rPr>
        <w:t>)C50  values</w:t>
      </w:r>
      <w:r w:rsidR="00AE28BD" w:rsidRPr="0098635C">
        <w:rPr>
          <w:b w:val="0"/>
          <w:bCs w:val="0"/>
          <w:color w:val="000000" w:themeColor="text1"/>
          <w:sz w:val="20"/>
          <w:lang w:val="en-GB"/>
        </w:rPr>
        <w:t xml:space="preserve">  at different pH ranges</w:t>
      </w:r>
      <w:r w:rsidR="00A57A22" w:rsidRPr="0098635C">
        <w:rPr>
          <w:b w:val="0"/>
          <w:bCs w:val="0"/>
          <w:color w:val="000000" w:themeColor="text1"/>
          <w:sz w:val="20"/>
          <w:lang w:val="en-GB"/>
        </w:rPr>
        <w:t xml:space="preserve"> </w:t>
      </w:r>
    </w:p>
    <w:tbl>
      <w:tblPr>
        <w:tblW w:w="10098" w:type="dxa"/>
        <w:tblInd w:w="98" w:type="dxa"/>
        <w:tblLayout w:type="fixed"/>
        <w:tblLook w:val="04A0" w:firstRow="1" w:lastRow="0" w:firstColumn="1" w:lastColumn="0" w:noHBand="0" w:noVBand="1"/>
      </w:tblPr>
      <w:tblGrid>
        <w:gridCol w:w="1286"/>
        <w:gridCol w:w="2268"/>
        <w:gridCol w:w="1985"/>
        <w:gridCol w:w="2126"/>
        <w:gridCol w:w="2433"/>
      </w:tblGrid>
      <w:tr w:rsidR="00A57A22" w:rsidRPr="0098635C" w14:paraId="79F180D1" w14:textId="77777777" w:rsidTr="00690E61">
        <w:trPr>
          <w:trHeight w:val="360"/>
        </w:trPr>
        <w:tc>
          <w:tcPr>
            <w:tcW w:w="10098" w:type="dxa"/>
            <w:gridSpan w:val="5"/>
            <w:tcBorders>
              <w:top w:val="double" w:sz="4" w:space="0" w:color="auto"/>
              <w:left w:val="single" w:sz="8" w:space="0" w:color="auto"/>
              <w:bottom w:val="double" w:sz="4" w:space="0" w:color="auto"/>
              <w:right w:val="single" w:sz="4" w:space="0" w:color="auto"/>
            </w:tcBorders>
            <w:shd w:val="clear" w:color="auto" w:fill="auto"/>
            <w:noWrap/>
            <w:vAlign w:val="bottom"/>
          </w:tcPr>
          <w:p w14:paraId="658969FA" w14:textId="119C3E37" w:rsidR="00A57A22" w:rsidRPr="0098635C" w:rsidRDefault="00A57A22" w:rsidP="00690E61">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Acute  L(E)C50 – values for standard species and endpoints  - µg dissolved Cu/L</w:t>
            </w:r>
          </w:p>
          <w:p w14:paraId="63B38B3D" w14:textId="77777777" w:rsidR="00A57A22" w:rsidRPr="0098635C" w:rsidRDefault="00A57A22" w:rsidP="00690E61">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Geomean values  (ranges, number of data)</w:t>
            </w:r>
          </w:p>
        </w:tc>
      </w:tr>
      <w:tr w:rsidR="00A57A22" w:rsidRPr="0098635C" w14:paraId="1CD82478" w14:textId="77777777" w:rsidTr="00690E61">
        <w:trPr>
          <w:trHeight w:val="360"/>
        </w:trPr>
        <w:tc>
          <w:tcPr>
            <w:tcW w:w="1286" w:type="dxa"/>
            <w:tcBorders>
              <w:top w:val="double" w:sz="4" w:space="0" w:color="auto"/>
              <w:left w:val="single" w:sz="8" w:space="0" w:color="auto"/>
              <w:bottom w:val="double" w:sz="4" w:space="0" w:color="auto"/>
              <w:right w:val="single" w:sz="4" w:space="0" w:color="auto"/>
            </w:tcBorders>
            <w:shd w:val="clear" w:color="auto" w:fill="auto"/>
            <w:noWrap/>
            <w:vAlign w:val="bottom"/>
            <w:hideMark/>
          </w:tcPr>
          <w:p w14:paraId="40E7D414" w14:textId="77777777" w:rsidR="00A57A22" w:rsidRPr="0098635C" w:rsidRDefault="00A57A22" w:rsidP="00690E61">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 xml:space="preserve">Species &amp; </w:t>
            </w:r>
          </w:p>
          <w:p w14:paraId="18BFCA60"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b/>
                <w:bCs/>
                <w:color w:val="000000" w:themeColor="text1"/>
                <w:sz w:val="20"/>
                <w:szCs w:val="20"/>
                <w:lang w:eastAsia="en-GB"/>
              </w:rPr>
              <w:t xml:space="preserve">Endpoint </w:t>
            </w:r>
          </w:p>
        </w:tc>
        <w:tc>
          <w:tcPr>
            <w:tcW w:w="2268" w:type="dxa"/>
            <w:tcBorders>
              <w:top w:val="double" w:sz="4" w:space="0" w:color="auto"/>
              <w:left w:val="nil"/>
              <w:bottom w:val="double" w:sz="4" w:space="0" w:color="auto"/>
              <w:right w:val="single" w:sz="4" w:space="0" w:color="auto"/>
            </w:tcBorders>
            <w:shd w:val="clear" w:color="auto" w:fill="auto"/>
            <w:noWrap/>
            <w:vAlign w:val="bottom"/>
            <w:hideMark/>
          </w:tcPr>
          <w:p w14:paraId="10C386D1"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b/>
                <w:bCs/>
                <w:color w:val="000000" w:themeColor="text1"/>
                <w:sz w:val="20"/>
                <w:szCs w:val="20"/>
                <w:lang w:eastAsia="en-GB"/>
              </w:rPr>
              <w:t>pH 5.5-6.5</w:t>
            </w:r>
          </w:p>
        </w:tc>
        <w:tc>
          <w:tcPr>
            <w:tcW w:w="1985" w:type="dxa"/>
            <w:tcBorders>
              <w:top w:val="double" w:sz="4" w:space="0" w:color="auto"/>
              <w:left w:val="nil"/>
              <w:bottom w:val="double" w:sz="4" w:space="0" w:color="auto"/>
              <w:right w:val="single" w:sz="4" w:space="0" w:color="auto"/>
            </w:tcBorders>
            <w:shd w:val="clear" w:color="auto" w:fill="auto"/>
            <w:vAlign w:val="bottom"/>
            <w:hideMark/>
          </w:tcPr>
          <w:p w14:paraId="3817AD68"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b/>
                <w:bCs/>
                <w:color w:val="000000" w:themeColor="text1"/>
                <w:sz w:val="20"/>
                <w:szCs w:val="20"/>
                <w:lang w:eastAsia="en-GB"/>
              </w:rPr>
              <w:t>pH 6.5-7.5</w:t>
            </w:r>
          </w:p>
        </w:tc>
        <w:tc>
          <w:tcPr>
            <w:tcW w:w="2126" w:type="dxa"/>
            <w:tcBorders>
              <w:top w:val="double" w:sz="4" w:space="0" w:color="auto"/>
              <w:left w:val="nil"/>
              <w:bottom w:val="double" w:sz="4" w:space="0" w:color="auto"/>
              <w:right w:val="single" w:sz="4" w:space="0" w:color="auto"/>
            </w:tcBorders>
            <w:shd w:val="clear" w:color="000000" w:fill="FFFFFF"/>
            <w:vAlign w:val="bottom"/>
            <w:hideMark/>
          </w:tcPr>
          <w:p w14:paraId="7F64526F" w14:textId="77777777" w:rsidR="00A57A22" w:rsidRPr="0098635C" w:rsidRDefault="00A57A22" w:rsidP="00690E61">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pH 7.5-8.5</w:t>
            </w:r>
          </w:p>
        </w:tc>
        <w:tc>
          <w:tcPr>
            <w:tcW w:w="2433" w:type="dxa"/>
            <w:tcBorders>
              <w:top w:val="double" w:sz="4" w:space="0" w:color="auto"/>
              <w:left w:val="nil"/>
              <w:bottom w:val="double" w:sz="4" w:space="0" w:color="auto"/>
              <w:right w:val="single" w:sz="4" w:space="0" w:color="auto"/>
            </w:tcBorders>
            <w:shd w:val="clear" w:color="000000" w:fill="FFFFFF"/>
            <w:vAlign w:val="bottom"/>
            <w:hideMark/>
          </w:tcPr>
          <w:p w14:paraId="46BB5C7E" w14:textId="77777777" w:rsidR="00A57A22" w:rsidRPr="0098635C" w:rsidRDefault="00A57A22" w:rsidP="00690E61">
            <w:pPr>
              <w:widowControl/>
              <w:autoSpaceDE/>
              <w:autoSpaceDN/>
              <w:adjustRightInd/>
              <w:spacing w:after="0"/>
              <w:jc w:val="center"/>
              <w:rPr>
                <w:b/>
                <w:color w:val="000000" w:themeColor="text1"/>
                <w:sz w:val="20"/>
                <w:szCs w:val="20"/>
                <w:lang w:eastAsia="en-GB"/>
              </w:rPr>
            </w:pPr>
            <w:r w:rsidRPr="0098635C">
              <w:rPr>
                <w:b/>
                <w:bCs/>
                <w:color w:val="000000" w:themeColor="text1"/>
                <w:sz w:val="20"/>
                <w:szCs w:val="20"/>
                <w:lang w:eastAsia="en-GB"/>
              </w:rPr>
              <w:t xml:space="preserve">pH  5.5-8.5 </w:t>
            </w:r>
          </w:p>
        </w:tc>
      </w:tr>
      <w:tr w:rsidR="00A57A22" w:rsidRPr="0098635C" w14:paraId="3D3A8127" w14:textId="77777777" w:rsidTr="00690E61">
        <w:trPr>
          <w:trHeight w:val="63"/>
        </w:trPr>
        <w:tc>
          <w:tcPr>
            <w:tcW w:w="10098" w:type="dxa"/>
            <w:gridSpan w:val="5"/>
            <w:tcBorders>
              <w:top w:val="double" w:sz="4" w:space="0" w:color="auto"/>
              <w:left w:val="single" w:sz="8" w:space="0" w:color="auto"/>
              <w:bottom w:val="single" w:sz="4" w:space="0" w:color="auto"/>
              <w:right w:val="single" w:sz="4" w:space="0" w:color="auto"/>
            </w:tcBorders>
            <w:shd w:val="clear" w:color="auto" w:fill="auto"/>
            <w:noWrap/>
            <w:vAlign w:val="bottom"/>
            <w:hideMark/>
          </w:tcPr>
          <w:p w14:paraId="2AFBC924" w14:textId="77777777" w:rsidR="00A57A22" w:rsidRPr="0098635C" w:rsidRDefault="00A57A22" w:rsidP="00690E61">
            <w:pPr>
              <w:widowControl/>
              <w:autoSpaceDE/>
              <w:autoSpaceDN/>
              <w:adjustRightInd/>
              <w:spacing w:after="0"/>
              <w:jc w:val="left"/>
              <w:rPr>
                <w:b/>
                <w:bCs/>
                <w:i/>
                <w:iCs/>
                <w:color w:val="000000" w:themeColor="text1"/>
                <w:sz w:val="20"/>
                <w:szCs w:val="20"/>
                <w:u w:val="single"/>
                <w:lang w:eastAsia="en-GB"/>
              </w:rPr>
            </w:pPr>
          </w:p>
          <w:p w14:paraId="186030BD" w14:textId="77777777" w:rsidR="00A57A22" w:rsidRPr="0098635C" w:rsidRDefault="00A57A22" w:rsidP="00690E61">
            <w:pPr>
              <w:widowControl/>
              <w:autoSpaceDE/>
              <w:autoSpaceDN/>
              <w:adjustRightInd/>
              <w:spacing w:after="0"/>
              <w:jc w:val="left"/>
              <w:rPr>
                <w:b/>
                <w:color w:val="000000" w:themeColor="text1"/>
                <w:sz w:val="20"/>
                <w:szCs w:val="20"/>
                <w:lang w:eastAsia="en-GB"/>
              </w:rPr>
            </w:pPr>
            <w:r w:rsidRPr="0098635C">
              <w:rPr>
                <w:b/>
                <w:bCs/>
                <w:i/>
                <w:iCs/>
                <w:color w:val="000000" w:themeColor="text1"/>
                <w:sz w:val="20"/>
                <w:szCs w:val="20"/>
                <w:u w:val="single"/>
                <w:lang w:eastAsia="en-GB"/>
              </w:rPr>
              <w:t>Pseudokircheriella subcapitata</w:t>
            </w:r>
          </w:p>
        </w:tc>
      </w:tr>
      <w:tr w:rsidR="00A57A22" w:rsidRPr="0098635C" w14:paraId="24051419" w14:textId="77777777" w:rsidTr="00690E61">
        <w:trPr>
          <w:trHeight w:val="63"/>
        </w:trPr>
        <w:tc>
          <w:tcPr>
            <w:tcW w:w="1286"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08797B61"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i/>
                <w:iCs/>
                <w:color w:val="000000" w:themeColor="text1"/>
                <w:sz w:val="20"/>
                <w:szCs w:val="20"/>
                <w:lang w:eastAsia="en-GB"/>
              </w:rPr>
              <w:t>Biomass growth</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14:paraId="377EF348"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116.6 (84-194, n=3)</w:t>
            </w:r>
          </w:p>
          <w:p w14:paraId="1C47F018"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c>
          <w:tcPr>
            <w:tcW w:w="1985" w:type="dxa"/>
            <w:tcBorders>
              <w:top w:val="single" w:sz="4" w:space="0" w:color="auto"/>
              <w:left w:val="nil"/>
              <w:bottom w:val="single" w:sz="4" w:space="0" w:color="auto"/>
              <w:right w:val="single" w:sz="4" w:space="0" w:color="auto"/>
            </w:tcBorders>
            <w:shd w:val="clear" w:color="auto" w:fill="auto"/>
            <w:vAlign w:val="bottom"/>
            <w:hideMark/>
          </w:tcPr>
          <w:p w14:paraId="0ED28185"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118.1 (32-245, n=4)</w:t>
            </w:r>
          </w:p>
          <w:p w14:paraId="3CBF72A7"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c>
          <w:tcPr>
            <w:tcW w:w="2126" w:type="dxa"/>
            <w:tcBorders>
              <w:top w:val="single" w:sz="4" w:space="0" w:color="auto"/>
              <w:left w:val="nil"/>
              <w:bottom w:val="single" w:sz="4" w:space="0" w:color="auto"/>
              <w:right w:val="single" w:sz="4" w:space="0" w:color="auto"/>
            </w:tcBorders>
            <w:shd w:val="clear" w:color="000000" w:fill="FFFFFF"/>
            <w:vAlign w:val="bottom"/>
            <w:hideMark/>
          </w:tcPr>
          <w:p w14:paraId="179E585F"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50.8 (16.5-113, n=7)</w:t>
            </w:r>
          </w:p>
          <w:p w14:paraId="30B0F6F9" w14:textId="77777777" w:rsidR="00A57A22" w:rsidRPr="0098635C" w:rsidRDefault="00A57A22" w:rsidP="00690E61">
            <w:pPr>
              <w:widowControl/>
              <w:autoSpaceDE/>
              <w:autoSpaceDN/>
              <w:adjustRightInd/>
              <w:spacing w:after="0"/>
              <w:jc w:val="center"/>
              <w:rPr>
                <w:b/>
                <w:bCs/>
                <w:color w:val="000000" w:themeColor="text1"/>
                <w:sz w:val="20"/>
                <w:szCs w:val="20"/>
                <w:lang w:eastAsia="en-GB"/>
              </w:rPr>
            </w:pPr>
          </w:p>
        </w:tc>
        <w:tc>
          <w:tcPr>
            <w:tcW w:w="2433" w:type="dxa"/>
            <w:tcBorders>
              <w:top w:val="single" w:sz="4" w:space="0" w:color="auto"/>
              <w:left w:val="nil"/>
              <w:bottom w:val="single" w:sz="4" w:space="0" w:color="auto"/>
              <w:right w:val="single" w:sz="4" w:space="0" w:color="auto"/>
            </w:tcBorders>
            <w:shd w:val="clear" w:color="000000" w:fill="FFFFFF"/>
            <w:vAlign w:val="bottom"/>
            <w:hideMark/>
          </w:tcPr>
          <w:p w14:paraId="0FFF8CB8"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77.2 (84-245, n=14)</w:t>
            </w:r>
          </w:p>
          <w:p w14:paraId="59C635A6" w14:textId="77777777" w:rsidR="00A57A22" w:rsidRPr="0098635C" w:rsidRDefault="00A57A22" w:rsidP="00690E61">
            <w:pPr>
              <w:widowControl/>
              <w:autoSpaceDE/>
              <w:autoSpaceDN/>
              <w:adjustRightInd/>
              <w:spacing w:after="0"/>
              <w:jc w:val="center"/>
              <w:rPr>
                <w:b/>
                <w:color w:val="000000" w:themeColor="text1"/>
                <w:sz w:val="20"/>
                <w:szCs w:val="20"/>
                <w:lang w:eastAsia="en-GB"/>
              </w:rPr>
            </w:pPr>
          </w:p>
        </w:tc>
      </w:tr>
      <w:tr w:rsidR="00A57A22" w:rsidRPr="0098635C" w14:paraId="47907DB9" w14:textId="77777777" w:rsidTr="00690E61">
        <w:trPr>
          <w:trHeight w:val="63"/>
        </w:trPr>
        <w:tc>
          <w:tcPr>
            <w:tcW w:w="1286" w:type="dxa"/>
            <w:tcBorders>
              <w:top w:val="single" w:sz="4" w:space="0" w:color="auto"/>
              <w:left w:val="single" w:sz="8" w:space="0" w:color="auto"/>
              <w:bottom w:val="single" w:sz="4" w:space="0" w:color="auto"/>
              <w:right w:val="single" w:sz="4" w:space="0" w:color="auto"/>
            </w:tcBorders>
            <w:shd w:val="clear" w:color="auto" w:fill="auto"/>
            <w:noWrap/>
            <w:vAlign w:val="bottom"/>
          </w:tcPr>
          <w:p w14:paraId="71E0C10C" w14:textId="77777777" w:rsidR="00A57A22" w:rsidRPr="0098635C" w:rsidRDefault="00A57A22" w:rsidP="00690E61">
            <w:pPr>
              <w:widowControl/>
              <w:autoSpaceDE/>
              <w:autoSpaceDN/>
              <w:adjustRightInd/>
              <w:spacing w:after="0"/>
              <w:jc w:val="center"/>
              <w:rPr>
                <w:i/>
                <w:iCs/>
                <w:color w:val="000000" w:themeColor="text1"/>
                <w:sz w:val="20"/>
                <w:szCs w:val="20"/>
                <w:lang w:eastAsia="en-GB"/>
              </w:rPr>
            </w:pPr>
            <w:r w:rsidRPr="0098635C">
              <w:rPr>
                <w:i/>
                <w:iCs/>
                <w:color w:val="000000" w:themeColor="text1"/>
                <w:sz w:val="20"/>
                <w:szCs w:val="20"/>
                <w:lang w:eastAsia="en-GB"/>
              </w:rPr>
              <w:t>Growth rate – BLM data</w:t>
            </w:r>
          </w:p>
        </w:tc>
        <w:tc>
          <w:tcPr>
            <w:tcW w:w="2268" w:type="dxa"/>
            <w:tcBorders>
              <w:top w:val="single" w:sz="4" w:space="0" w:color="auto"/>
              <w:left w:val="nil"/>
              <w:bottom w:val="single" w:sz="4" w:space="0" w:color="auto"/>
              <w:right w:val="single" w:sz="4" w:space="0" w:color="auto"/>
            </w:tcBorders>
            <w:shd w:val="clear" w:color="auto" w:fill="auto"/>
            <w:noWrap/>
            <w:vAlign w:val="bottom"/>
          </w:tcPr>
          <w:p w14:paraId="565ACB84"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347.8 (122-824, n=8)</w:t>
            </w:r>
          </w:p>
          <w:p w14:paraId="743E5EFE"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c>
          <w:tcPr>
            <w:tcW w:w="1985" w:type="dxa"/>
            <w:tcBorders>
              <w:top w:val="single" w:sz="4" w:space="0" w:color="auto"/>
              <w:left w:val="nil"/>
              <w:bottom w:val="single" w:sz="4" w:space="0" w:color="auto"/>
              <w:right w:val="single" w:sz="4" w:space="0" w:color="auto"/>
            </w:tcBorders>
            <w:shd w:val="clear" w:color="auto" w:fill="auto"/>
            <w:vAlign w:val="bottom"/>
          </w:tcPr>
          <w:p w14:paraId="17CF2086"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131.4 (35-685, n=15)</w:t>
            </w:r>
          </w:p>
          <w:p w14:paraId="001F7E0A"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c>
          <w:tcPr>
            <w:tcW w:w="2126" w:type="dxa"/>
            <w:tcBorders>
              <w:top w:val="single" w:sz="4" w:space="0" w:color="auto"/>
              <w:left w:val="nil"/>
              <w:bottom w:val="single" w:sz="4" w:space="0" w:color="auto"/>
              <w:right w:val="single" w:sz="4" w:space="0" w:color="auto"/>
            </w:tcBorders>
            <w:shd w:val="clear" w:color="000000" w:fill="FFFFFF"/>
            <w:vAlign w:val="bottom"/>
          </w:tcPr>
          <w:p w14:paraId="5332F270"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138.8 (51-346, n=10)</w:t>
            </w:r>
          </w:p>
          <w:p w14:paraId="648BA45A"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c>
          <w:tcPr>
            <w:tcW w:w="2433" w:type="dxa"/>
            <w:tcBorders>
              <w:top w:val="single" w:sz="4" w:space="0" w:color="auto"/>
              <w:left w:val="nil"/>
              <w:bottom w:val="single" w:sz="4" w:space="0" w:color="auto"/>
              <w:right w:val="single" w:sz="4" w:space="0" w:color="auto"/>
            </w:tcBorders>
            <w:shd w:val="clear" w:color="000000" w:fill="FFFFFF"/>
            <w:vAlign w:val="bottom"/>
          </w:tcPr>
          <w:p w14:paraId="5C2D0DF9"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169.2 (35-824, n=33)</w:t>
            </w:r>
          </w:p>
          <w:p w14:paraId="477DFE45"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r>
      <w:tr w:rsidR="00A57A22" w:rsidRPr="0098635C" w14:paraId="263D5096" w14:textId="77777777" w:rsidTr="00690E61">
        <w:trPr>
          <w:trHeight w:val="63"/>
        </w:trPr>
        <w:tc>
          <w:tcPr>
            <w:tcW w:w="10098" w:type="dxa"/>
            <w:gridSpan w:val="5"/>
            <w:tcBorders>
              <w:top w:val="single" w:sz="4" w:space="0" w:color="auto"/>
              <w:left w:val="single" w:sz="8" w:space="0" w:color="auto"/>
              <w:bottom w:val="single" w:sz="4" w:space="0" w:color="auto"/>
              <w:right w:val="single" w:sz="4" w:space="0" w:color="auto"/>
            </w:tcBorders>
            <w:shd w:val="clear" w:color="auto" w:fill="auto"/>
            <w:noWrap/>
            <w:vAlign w:val="bottom"/>
          </w:tcPr>
          <w:p w14:paraId="0D340830" w14:textId="77777777" w:rsidR="00A57A22" w:rsidRPr="0098635C" w:rsidRDefault="00A57A22" w:rsidP="00690E61">
            <w:pPr>
              <w:widowControl/>
              <w:autoSpaceDE/>
              <w:autoSpaceDN/>
              <w:adjustRightInd/>
              <w:spacing w:after="0"/>
              <w:jc w:val="left"/>
              <w:rPr>
                <w:b/>
                <w:bCs/>
                <w:i/>
                <w:iCs/>
                <w:color w:val="000000" w:themeColor="text1"/>
                <w:sz w:val="20"/>
                <w:szCs w:val="20"/>
                <w:u w:val="single"/>
                <w:lang w:eastAsia="en-GB"/>
              </w:rPr>
            </w:pPr>
          </w:p>
          <w:p w14:paraId="202AD515" w14:textId="77777777" w:rsidR="00A57A22" w:rsidRPr="0098635C" w:rsidRDefault="00A57A22" w:rsidP="00690E61">
            <w:pPr>
              <w:widowControl/>
              <w:autoSpaceDE/>
              <w:autoSpaceDN/>
              <w:adjustRightInd/>
              <w:spacing w:after="0"/>
              <w:jc w:val="left"/>
              <w:rPr>
                <w:color w:val="000000" w:themeColor="text1"/>
                <w:sz w:val="20"/>
                <w:szCs w:val="20"/>
                <w:lang w:eastAsia="en-GB"/>
              </w:rPr>
            </w:pPr>
            <w:r w:rsidRPr="0098635C">
              <w:rPr>
                <w:b/>
                <w:bCs/>
                <w:i/>
                <w:iCs/>
                <w:color w:val="000000" w:themeColor="text1"/>
                <w:sz w:val="20"/>
                <w:szCs w:val="20"/>
                <w:u w:val="single"/>
                <w:lang w:eastAsia="en-GB"/>
              </w:rPr>
              <w:t>Chlamydomonas reinhardtii</w:t>
            </w:r>
          </w:p>
        </w:tc>
      </w:tr>
      <w:tr w:rsidR="00A57A22" w:rsidRPr="0098635C" w14:paraId="42C54453" w14:textId="77777777" w:rsidTr="00690E61">
        <w:trPr>
          <w:trHeight w:val="139"/>
        </w:trPr>
        <w:tc>
          <w:tcPr>
            <w:tcW w:w="1286" w:type="dxa"/>
            <w:tcBorders>
              <w:top w:val="single" w:sz="4" w:space="0" w:color="auto"/>
              <w:left w:val="single" w:sz="8" w:space="0" w:color="auto"/>
              <w:bottom w:val="single" w:sz="4" w:space="0" w:color="auto"/>
              <w:right w:val="single" w:sz="4" w:space="0" w:color="auto"/>
            </w:tcBorders>
            <w:shd w:val="clear" w:color="auto" w:fill="auto"/>
            <w:noWrap/>
            <w:vAlign w:val="bottom"/>
          </w:tcPr>
          <w:p w14:paraId="194948AF" w14:textId="77777777" w:rsidR="00A57A22" w:rsidRPr="0098635C" w:rsidRDefault="00A57A22" w:rsidP="00690E61">
            <w:pPr>
              <w:widowControl/>
              <w:autoSpaceDE/>
              <w:autoSpaceDN/>
              <w:adjustRightInd/>
              <w:spacing w:after="0"/>
              <w:jc w:val="center"/>
              <w:rPr>
                <w:i/>
                <w:iCs/>
                <w:color w:val="000000" w:themeColor="text1"/>
                <w:sz w:val="20"/>
                <w:szCs w:val="20"/>
                <w:lang w:eastAsia="en-GB"/>
              </w:rPr>
            </w:pPr>
            <w:r w:rsidRPr="0098635C">
              <w:rPr>
                <w:i/>
                <w:iCs/>
                <w:color w:val="000000" w:themeColor="text1"/>
                <w:sz w:val="20"/>
                <w:szCs w:val="20"/>
                <w:lang w:eastAsia="en-GB"/>
              </w:rPr>
              <w:t>Growth rate</w:t>
            </w:r>
          </w:p>
          <w:p w14:paraId="2B763246" w14:textId="77777777" w:rsidR="00A57A22" w:rsidRPr="0098635C" w:rsidRDefault="00A57A22" w:rsidP="00690E61">
            <w:pPr>
              <w:widowControl/>
              <w:autoSpaceDE/>
              <w:autoSpaceDN/>
              <w:adjustRightInd/>
              <w:spacing w:after="0"/>
              <w:jc w:val="center"/>
              <w:rPr>
                <w:i/>
                <w:iCs/>
                <w:color w:val="000000" w:themeColor="text1"/>
                <w:sz w:val="20"/>
                <w:szCs w:val="20"/>
                <w:lang w:eastAsia="en-GB"/>
              </w:rPr>
            </w:pPr>
          </w:p>
        </w:tc>
        <w:tc>
          <w:tcPr>
            <w:tcW w:w="2268" w:type="dxa"/>
            <w:tcBorders>
              <w:top w:val="single" w:sz="4" w:space="0" w:color="auto"/>
              <w:left w:val="nil"/>
              <w:bottom w:val="single" w:sz="4" w:space="0" w:color="auto"/>
              <w:right w:val="single" w:sz="4" w:space="0" w:color="auto"/>
            </w:tcBorders>
            <w:shd w:val="clear" w:color="auto" w:fill="auto"/>
            <w:noWrap/>
            <w:vAlign w:val="bottom"/>
          </w:tcPr>
          <w:p w14:paraId="707372F4"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380.0 (---, n=1)</w:t>
            </w:r>
          </w:p>
          <w:p w14:paraId="180DFE71"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c>
          <w:tcPr>
            <w:tcW w:w="1985" w:type="dxa"/>
            <w:tcBorders>
              <w:top w:val="single" w:sz="4" w:space="0" w:color="auto"/>
              <w:left w:val="nil"/>
              <w:bottom w:val="single" w:sz="4" w:space="0" w:color="auto"/>
              <w:right w:val="single" w:sz="4" w:space="0" w:color="auto"/>
            </w:tcBorders>
            <w:shd w:val="clear" w:color="auto" w:fill="auto"/>
            <w:vAlign w:val="bottom"/>
          </w:tcPr>
          <w:p w14:paraId="6BE6FC01"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315.0 (---, n=1)</w:t>
            </w:r>
          </w:p>
          <w:p w14:paraId="175EB318"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c>
          <w:tcPr>
            <w:tcW w:w="2126" w:type="dxa"/>
            <w:tcBorders>
              <w:top w:val="single" w:sz="4" w:space="0" w:color="auto"/>
              <w:left w:val="nil"/>
              <w:bottom w:val="single" w:sz="4" w:space="0" w:color="auto"/>
              <w:right w:val="single" w:sz="4" w:space="0" w:color="auto"/>
            </w:tcBorders>
            <w:shd w:val="clear" w:color="000000" w:fill="FFFFFF"/>
            <w:vAlign w:val="bottom"/>
          </w:tcPr>
          <w:p w14:paraId="27095598"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146.0 (---, n=1)</w:t>
            </w:r>
          </w:p>
          <w:p w14:paraId="2C2572B3"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c>
          <w:tcPr>
            <w:tcW w:w="2433" w:type="dxa"/>
            <w:tcBorders>
              <w:top w:val="single" w:sz="4" w:space="0" w:color="auto"/>
              <w:left w:val="nil"/>
              <w:bottom w:val="single" w:sz="4" w:space="0" w:color="auto"/>
              <w:right w:val="single" w:sz="4" w:space="0" w:color="auto"/>
            </w:tcBorders>
            <w:shd w:val="clear" w:color="000000" w:fill="FFFFFF"/>
            <w:vAlign w:val="bottom"/>
          </w:tcPr>
          <w:p w14:paraId="33AE05A2"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259.5 (146-380, n=3)</w:t>
            </w:r>
          </w:p>
          <w:p w14:paraId="361AF211" w14:textId="77777777" w:rsidR="00A57A22" w:rsidRPr="0098635C" w:rsidRDefault="00A57A22" w:rsidP="00690E61">
            <w:pPr>
              <w:widowControl/>
              <w:autoSpaceDE/>
              <w:autoSpaceDN/>
              <w:adjustRightInd/>
              <w:spacing w:after="0"/>
              <w:jc w:val="center"/>
              <w:rPr>
                <w:i/>
                <w:color w:val="000000" w:themeColor="text1"/>
                <w:sz w:val="20"/>
                <w:szCs w:val="20"/>
                <w:lang w:eastAsia="en-GB"/>
              </w:rPr>
            </w:pPr>
          </w:p>
        </w:tc>
      </w:tr>
      <w:tr w:rsidR="00A57A22" w:rsidRPr="0098635C" w14:paraId="6B560C0B" w14:textId="77777777" w:rsidTr="00690E61">
        <w:trPr>
          <w:trHeight w:val="171"/>
        </w:trPr>
        <w:tc>
          <w:tcPr>
            <w:tcW w:w="10098" w:type="dxa"/>
            <w:gridSpan w:val="5"/>
            <w:tcBorders>
              <w:top w:val="single" w:sz="4" w:space="0" w:color="auto"/>
              <w:left w:val="single" w:sz="8" w:space="0" w:color="auto"/>
              <w:bottom w:val="single" w:sz="4" w:space="0" w:color="auto"/>
              <w:right w:val="single" w:sz="4" w:space="0" w:color="auto"/>
            </w:tcBorders>
            <w:shd w:val="clear" w:color="auto" w:fill="auto"/>
            <w:noWrap/>
            <w:vAlign w:val="bottom"/>
          </w:tcPr>
          <w:p w14:paraId="24DB0F4D" w14:textId="77777777" w:rsidR="00A57A22" w:rsidRPr="0098635C" w:rsidRDefault="00A57A22" w:rsidP="00690E61">
            <w:pPr>
              <w:widowControl/>
              <w:autoSpaceDE/>
              <w:autoSpaceDN/>
              <w:adjustRightInd/>
              <w:spacing w:after="0"/>
              <w:jc w:val="left"/>
              <w:rPr>
                <w:b/>
                <w:bCs/>
                <w:i/>
                <w:iCs/>
                <w:color w:val="000000" w:themeColor="text1"/>
                <w:sz w:val="20"/>
                <w:szCs w:val="20"/>
                <w:u w:val="single"/>
                <w:lang w:eastAsia="en-GB"/>
              </w:rPr>
            </w:pPr>
          </w:p>
          <w:p w14:paraId="02E6CD13" w14:textId="77777777" w:rsidR="00A57A22" w:rsidRPr="0098635C" w:rsidRDefault="00A57A22" w:rsidP="00690E61">
            <w:pPr>
              <w:widowControl/>
              <w:autoSpaceDE/>
              <w:autoSpaceDN/>
              <w:adjustRightInd/>
              <w:spacing w:after="0"/>
              <w:jc w:val="left"/>
              <w:rPr>
                <w:color w:val="000000" w:themeColor="text1"/>
                <w:sz w:val="20"/>
                <w:szCs w:val="20"/>
                <w:lang w:eastAsia="en-GB"/>
              </w:rPr>
            </w:pPr>
            <w:r w:rsidRPr="0098635C">
              <w:rPr>
                <w:b/>
                <w:bCs/>
                <w:i/>
                <w:iCs/>
                <w:color w:val="000000" w:themeColor="text1"/>
                <w:sz w:val="20"/>
                <w:szCs w:val="20"/>
                <w:u w:val="single"/>
                <w:lang w:eastAsia="en-GB"/>
              </w:rPr>
              <w:t>Chlorella vulgaris</w:t>
            </w:r>
          </w:p>
        </w:tc>
      </w:tr>
      <w:tr w:rsidR="00A57A22" w:rsidRPr="0098635C" w14:paraId="32097890" w14:textId="77777777" w:rsidTr="00690E61">
        <w:trPr>
          <w:trHeight w:val="75"/>
        </w:trPr>
        <w:tc>
          <w:tcPr>
            <w:tcW w:w="1286" w:type="dxa"/>
            <w:tcBorders>
              <w:top w:val="single" w:sz="4" w:space="0" w:color="auto"/>
              <w:left w:val="single" w:sz="8" w:space="0" w:color="auto"/>
              <w:bottom w:val="single" w:sz="4" w:space="0" w:color="auto"/>
              <w:right w:val="single" w:sz="4" w:space="0" w:color="auto"/>
            </w:tcBorders>
            <w:shd w:val="clear" w:color="auto" w:fill="auto"/>
            <w:noWrap/>
            <w:vAlign w:val="bottom"/>
          </w:tcPr>
          <w:p w14:paraId="5F190067" w14:textId="77777777" w:rsidR="00A57A22" w:rsidRPr="0098635C" w:rsidRDefault="00A57A22" w:rsidP="00690E61">
            <w:pPr>
              <w:widowControl/>
              <w:autoSpaceDE/>
              <w:autoSpaceDN/>
              <w:adjustRightInd/>
              <w:spacing w:after="0"/>
              <w:jc w:val="center"/>
              <w:rPr>
                <w:i/>
                <w:iCs/>
                <w:color w:val="000000" w:themeColor="text1"/>
                <w:sz w:val="20"/>
                <w:szCs w:val="20"/>
                <w:lang w:eastAsia="en-GB"/>
              </w:rPr>
            </w:pPr>
            <w:r w:rsidRPr="0098635C">
              <w:rPr>
                <w:i/>
                <w:iCs/>
                <w:color w:val="000000" w:themeColor="text1"/>
                <w:sz w:val="20"/>
                <w:szCs w:val="20"/>
                <w:lang w:eastAsia="en-GB"/>
              </w:rPr>
              <w:t>Growth rate</w:t>
            </w:r>
          </w:p>
          <w:p w14:paraId="5D314A4E" w14:textId="77777777" w:rsidR="00A57A22" w:rsidRPr="0098635C" w:rsidRDefault="00A57A22" w:rsidP="00690E61">
            <w:pPr>
              <w:widowControl/>
              <w:autoSpaceDE/>
              <w:autoSpaceDN/>
              <w:adjustRightInd/>
              <w:spacing w:after="0"/>
              <w:jc w:val="center"/>
              <w:rPr>
                <w:i/>
                <w:iCs/>
                <w:color w:val="000000" w:themeColor="text1"/>
                <w:sz w:val="20"/>
                <w:szCs w:val="20"/>
                <w:lang w:eastAsia="en-GB"/>
              </w:rPr>
            </w:pPr>
          </w:p>
        </w:tc>
        <w:tc>
          <w:tcPr>
            <w:tcW w:w="2268" w:type="dxa"/>
            <w:tcBorders>
              <w:top w:val="single" w:sz="4" w:space="0" w:color="auto"/>
              <w:left w:val="nil"/>
              <w:bottom w:val="single" w:sz="4" w:space="0" w:color="auto"/>
              <w:right w:val="single" w:sz="4" w:space="0" w:color="auto"/>
            </w:tcBorders>
            <w:shd w:val="clear" w:color="auto" w:fill="auto"/>
            <w:noWrap/>
            <w:vAlign w:val="bottom"/>
          </w:tcPr>
          <w:p w14:paraId="46FC78D6"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582.9 (333-987, n=5)</w:t>
            </w:r>
          </w:p>
          <w:p w14:paraId="5EB49629"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c>
          <w:tcPr>
            <w:tcW w:w="1985" w:type="dxa"/>
            <w:tcBorders>
              <w:top w:val="single" w:sz="4" w:space="0" w:color="auto"/>
              <w:left w:val="nil"/>
              <w:bottom w:val="single" w:sz="4" w:space="0" w:color="auto"/>
              <w:right w:val="single" w:sz="4" w:space="0" w:color="auto"/>
            </w:tcBorders>
            <w:shd w:val="clear" w:color="auto" w:fill="auto"/>
            <w:vAlign w:val="bottom"/>
          </w:tcPr>
          <w:p w14:paraId="50F19CBA"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232.7 (60-446, n=7)</w:t>
            </w:r>
          </w:p>
          <w:p w14:paraId="601672BF"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c>
          <w:tcPr>
            <w:tcW w:w="2126" w:type="dxa"/>
            <w:tcBorders>
              <w:top w:val="single" w:sz="4" w:space="0" w:color="auto"/>
              <w:left w:val="nil"/>
              <w:bottom w:val="single" w:sz="4" w:space="0" w:color="auto"/>
              <w:right w:val="single" w:sz="4" w:space="0" w:color="auto"/>
            </w:tcBorders>
            <w:shd w:val="clear" w:color="000000" w:fill="FFFFFF"/>
            <w:vAlign w:val="bottom"/>
          </w:tcPr>
          <w:p w14:paraId="583CE7CC"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214.4 (99-506, n=4)</w:t>
            </w:r>
          </w:p>
          <w:p w14:paraId="339551DB"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c>
          <w:tcPr>
            <w:tcW w:w="2433" w:type="dxa"/>
            <w:tcBorders>
              <w:top w:val="single" w:sz="4" w:space="0" w:color="auto"/>
              <w:left w:val="nil"/>
              <w:bottom w:val="single" w:sz="4" w:space="0" w:color="auto"/>
              <w:right w:val="single" w:sz="4" w:space="0" w:color="auto"/>
            </w:tcBorders>
            <w:shd w:val="clear" w:color="000000" w:fill="FFFFFF"/>
            <w:vAlign w:val="bottom"/>
          </w:tcPr>
          <w:p w14:paraId="027202BF"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296.1 (60-987, n=16)</w:t>
            </w:r>
          </w:p>
          <w:p w14:paraId="6AE01819" w14:textId="77777777" w:rsidR="00A57A22" w:rsidRPr="0098635C" w:rsidRDefault="00A57A22" w:rsidP="00690E61">
            <w:pPr>
              <w:widowControl/>
              <w:autoSpaceDE/>
              <w:autoSpaceDN/>
              <w:adjustRightInd/>
              <w:spacing w:after="0"/>
              <w:rPr>
                <w:color w:val="000000" w:themeColor="text1"/>
                <w:sz w:val="20"/>
                <w:szCs w:val="20"/>
                <w:lang w:eastAsia="en-GB"/>
              </w:rPr>
            </w:pPr>
          </w:p>
        </w:tc>
      </w:tr>
      <w:tr w:rsidR="00A57A22" w:rsidRPr="0098635C" w14:paraId="66CE4D7A" w14:textId="77777777" w:rsidTr="00690E61">
        <w:trPr>
          <w:trHeight w:val="75"/>
        </w:trPr>
        <w:tc>
          <w:tcPr>
            <w:tcW w:w="1286" w:type="dxa"/>
            <w:tcBorders>
              <w:top w:val="single" w:sz="4" w:space="0" w:color="auto"/>
              <w:left w:val="single" w:sz="8" w:space="0" w:color="auto"/>
              <w:bottom w:val="single" w:sz="4" w:space="0" w:color="auto"/>
              <w:right w:val="single" w:sz="4" w:space="0" w:color="auto"/>
            </w:tcBorders>
            <w:shd w:val="clear" w:color="auto" w:fill="E6E6E6"/>
            <w:noWrap/>
            <w:vAlign w:val="bottom"/>
          </w:tcPr>
          <w:p w14:paraId="3062F212" w14:textId="77777777" w:rsidR="00A57A22" w:rsidRPr="0098635C" w:rsidRDefault="00A57A22" w:rsidP="00690E61">
            <w:pPr>
              <w:widowControl/>
              <w:autoSpaceDE/>
              <w:autoSpaceDN/>
              <w:adjustRightInd/>
              <w:spacing w:after="0"/>
              <w:jc w:val="center"/>
              <w:rPr>
                <w:b/>
                <w:i/>
                <w:iCs/>
                <w:color w:val="000000" w:themeColor="text1"/>
                <w:sz w:val="20"/>
                <w:szCs w:val="20"/>
                <w:u w:val="single"/>
                <w:lang w:eastAsia="en-GB"/>
              </w:rPr>
            </w:pPr>
          </w:p>
          <w:p w14:paraId="5EED7A7F" w14:textId="77777777" w:rsidR="00A57A22" w:rsidRPr="0098635C" w:rsidRDefault="00A57A22" w:rsidP="00690E61">
            <w:pPr>
              <w:widowControl/>
              <w:autoSpaceDE/>
              <w:autoSpaceDN/>
              <w:adjustRightInd/>
              <w:spacing w:after="0"/>
              <w:jc w:val="center"/>
              <w:rPr>
                <w:b/>
                <w:i/>
                <w:iCs/>
                <w:color w:val="000000" w:themeColor="text1"/>
                <w:sz w:val="20"/>
                <w:szCs w:val="20"/>
                <w:u w:val="single"/>
                <w:lang w:eastAsia="en-GB"/>
              </w:rPr>
            </w:pPr>
            <w:r w:rsidRPr="0098635C">
              <w:rPr>
                <w:b/>
                <w:i/>
                <w:iCs/>
                <w:color w:val="000000" w:themeColor="text1"/>
                <w:sz w:val="20"/>
                <w:szCs w:val="20"/>
                <w:u w:val="single"/>
                <w:lang w:eastAsia="en-GB"/>
              </w:rPr>
              <w:t>Plants</w:t>
            </w:r>
          </w:p>
          <w:p w14:paraId="578151CC" w14:textId="77777777" w:rsidR="00A57A22" w:rsidRPr="0098635C" w:rsidRDefault="00A57A22" w:rsidP="00690E61">
            <w:pPr>
              <w:widowControl/>
              <w:autoSpaceDE/>
              <w:autoSpaceDN/>
              <w:adjustRightInd/>
              <w:spacing w:after="0"/>
              <w:jc w:val="center"/>
              <w:rPr>
                <w:iCs/>
                <w:color w:val="000000" w:themeColor="text1"/>
                <w:sz w:val="20"/>
                <w:szCs w:val="20"/>
                <w:lang w:eastAsia="en-GB"/>
              </w:rPr>
            </w:pPr>
            <w:r w:rsidRPr="0098635C">
              <w:rPr>
                <w:iCs/>
                <w:color w:val="000000" w:themeColor="text1"/>
                <w:sz w:val="20"/>
                <w:szCs w:val="20"/>
                <w:lang w:eastAsia="en-GB"/>
              </w:rPr>
              <w:t>Biomass</w:t>
            </w:r>
          </w:p>
          <w:p w14:paraId="172BDC06" w14:textId="77777777" w:rsidR="00A57A22" w:rsidRPr="0098635C" w:rsidRDefault="00A57A22" w:rsidP="00690E61">
            <w:pPr>
              <w:widowControl/>
              <w:autoSpaceDE/>
              <w:autoSpaceDN/>
              <w:adjustRightInd/>
              <w:spacing w:after="0"/>
              <w:jc w:val="center"/>
              <w:rPr>
                <w:i/>
                <w:iCs/>
                <w:color w:val="000000" w:themeColor="text1"/>
                <w:sz w:val="20"/>
                <w:szCs w:val="20"/>
                <w:lang w:eastAsia="en-GB"/>
              </w:rPr>
            </w:pPr>
            <w:r w:rsidRPr="0098635C">
              <w:rPr>
                <w:iCs/>
                <w:color w:val="000000" w:themeColor="text1"/>
                <w:sz w:val="20"/>
                <w:szCs w:val="20"/>
                <w:lang w:eastAsia="en-GB"/>
              </w:rPr>
              <w:t>Growth rate</w:t>
            </w:r>
          </w:p>
        </w:tc>
        <w:tc>
          <w:tcPr>
            <w:tcW w:w="2268" w:type="dxa"/>
            <w:tcBorders>
              <w:top w:val="single" w:sz="4" w:space="0" w:color="auto"/>
              <w:left w:val="nil"/>
              <w:bottom w:val="single" w:sz="4" w:space="0" w:color="auto"/>
              <w:right w:val="single" w:sz="4" w:space="0" w:color="auto"/>
            </w:tcBorders>
            <w:shd w:val="clear" w:color="auto" w:fill="E6E6E6"/>
            <w:noWrap/>
            <w:vAlign w:val="bottom"/>
          </w:tcPr>
          <w:p w14:paraId="08A48EA7"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(84-194, n=3)</w:t>
            </w:r>
          </w:p>
          <w:p w14:paraId="2C01402F"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(122-987, n=14)</w:t>
            </w:r>
          </w:p>
        </w:tc>
        <w:tc>
          <w:tcPr>
            <w:tcW w:w="1985" w:type="dxa"/>
            <w:tcBorders>
              <w:top w:val="single" w:sz="4" w:space="0" w:color="auto"/>
              <w:left w:val="nil"/>
              <w:bottom w:val="single" w:sz="4" w:space="0" w:color="auto"/>
              <w:right w:val="single" w:sz="4" w:space="0" w:color="auto"/>
            </w:tcBorders>
            <w:shd w:val="clear" w:color="auto" w:fill="E6E6E6"/>
            <w:vAlign w:val="bottom"/>
          </w:tcPr>
          <w:p w14:paraId="470828A9"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118.1 (32-245, n=4)</w:t>
            </w:r>
          </w:p>
          <w:p w14:paraId="1F0CB037"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(35-685, n=23)</w:t>
            </w:r>
          </w:p>
        </w:tc>
        <w:tc>
          <w:tcPr>
            <w:tcW w:w="2126" w:type="dxa"/>
            <w:tcBorders>
              <w:top w:val="single" w:sz="4" w:space="0" w:color="auto"/>
              <w:left w:val="nil"/>
              <w:bottom w:val="single" w:sz="4" w:space="0" w:color="auto"/>
              <w:right w:val="single" w:sz="4" w:space="0" w:color="auto"/>
            </w:tcBorders>
            <w:shd w:val="clear" w:color="auto" w:fill="E6E6E6"/>
            <w:vAlign w:val="bottom"/>
          </w:tcPr>
          <w:p w14:paraId="44D0F922" w14:textId="77777777" w:rsidR="00A57A22" w:rsidRPr="0098635C" w:rsidRDefault="00A57A22" w:rsidP="00690E61">
            <w:pPr>
              <w:widowControl/>
              <w:autoSpaceDE/>
              <w:autoSpaceDN/>
              <w:adjustRightInd/>
              <w:spacing w:after="0"/>
              <w:jc w:val="center"/>
              <w:rPr>
                <w:color w:val="000000" w:themeColor="text1"/>
                <w:sz w:val="20"/>
                <w:szCs w:val="20"/>
                <w:lang w:eastAsia="en-GB"/>
              </w:rPr>
            </w:pPr>
          </w:p>
          <w:p w14:paraId="1FF26E50"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 (16.5-113, n=7)</w:t>
            </w:r>
          </w:p>
          <w:p w14:paraId="327EA830" w14:textId="77777777" w:rsidR="00A57A22" w:rsidRPr="0098635C" w:rsidRDefault="00A57A22" w:rsidP="00690E61">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(51-506, n=15)</w:t>
            </w:r>
          </w:p>
        </w:tc>
        <w:tc>
          <w:tcPr>
            <w:tcW w:w="2433" w:type="dxa"/>
            <w:tcBorders>
              <w:top w:val="single" w:sz="4" w:space="0" w:color="auto"/>
              <w:left w:val="nil"/>
              <w:bottom w:val="single" w:sz="4" w:space="0" w:color="auto"/>
              <w:right w:val="single" w:sz="4" w:space="0" w:color="auto"/>
            </w:tcBorders>
            <w:shd w:val="clear" w:color="auto" w:fill="E6E6E6"/>
            <w:vAlign w:val="bottom"/>
          </w:tcPr>
          <w:p w14:paraId="40070AF6" w14:textId="77777777" w:rsidR="00A57A22" w:rsidRPr="0098635C" w:rsidRDefault="00A57A22" w:rsidP="00690E61">
            <w:pPr>
              <w:widowControl/>
              <w:autoSpaceDE/>
              <w:autoSpaceDN/>
              <w:adjustRightInd/>
              <w:spacing w:after="0"/>
              <w:jc w:val="center"/>
              <w:rPr>
                <w:color w:val="000000" w:themeColor="text1"/>
                <w:sz w:val="20"/>
                <w:szCs w:val="20"/>
                <w:lang w:eastAsia="en-GB"/>
              </w:rPr>
            </w:pPr>
          </w:p>
          <w:p w14:paraId="693C4AD1"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 (84-245, n=14)</w:t>
            </w:r>
          </w:p>
          <w:p w14:paraId="490F30C2"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(35-987, n=52)</w:t>
            </w:r>
          </w:p>
        </w:tc>
      </w:tr>
      <w:tr w:rsidR="00A57A22" w:rsidRPr="0098635C" w14:paraId="66114908" w14:textId="77777777" w:rsidTr="00690E61">
        <w:trPr>
          <w:trHeight w:val="122"/>
        </w:trPr>
        <w:tc>
          <w:tcPr>
            <w:tcW w:w="10098" w:type="dxa"/>
            <w:gridSpan w:val="5"/>
            <w:tcBorders>
              <w:top w:val="single" w:sz="4" w:space="0" w:color="auto"/>
              <w:left w:val="single" w:sz="8" w:space="0" w:color="auto"/>
              <w:bottom w:val="single" w:sz="4" w:space="0" w:color="auto"/>
              <w:right w:val="single" w:sz="4" w:space="0" w:color="auto"/>
            </w:tcBorders>
            <w:shd w:val="clear" w:color="auto" w:fill="auto"/>
            <w:noWrap/>
            <w:vAlign w:val="bottom"/>
          </w:tcPr>
          <w:p w14:paraId="137F3AB5" w14:textId="77777777" w:rsidR="00A57A22" w:rsidRPr="0098635C" w:rsidRDefault="00A57A22" w:rsidP="00690E61">
            <w:pPr>
              <w:widowControl/>
              <w:autoSpaceDE/>
              <w:autoSpaceDN/>
              <w:adjustRightInd/>
              <w:spacing w:after="0"/>
              <w:jc w:val="left"/>
              <w:rPr>
                <w:b/>
                <w:bCs/>
                <w:i/>
                <w:iCs/>
                <w:color w:val="000000" w:themeColor="text1"/>
                <w:sz w:val="20"/>
                <w:szCs w:val="20"/>
                <w:u w:val="single"/>
                <w:lang w:eastAsia="en-GB"/>
              </w:rPr>
            </w:pPr>
          </w:p>
          <w:p w14:paraId="12FBEF20" w14:textId="77777777" w:rsidR="00A57A22" w:rsidRPr="0098635C" w:rsidRDefault="00A57A22" w:rsidP="00690E61">
            <w:pPr>
              <w:widowControl/>
              <w:autoSpaceDE/>
              <w:autoSpaceDN/>
              <w:adjustRightInd/>
              <w:spacing w:after="0"/>
              <w:jc w:val="left"/>
              <w:rPr>
                <w:color w:val="000000" w:themeColor="text1"/>
                <w:sz w:val="20"/>
                <w:szCs w:val="20"/>
                <w:lang w:eastAsia="en-GB"/>
              </w:rPr>
            </w:pPr>
            <w:r w:rsidRPr="0098635C">
              <w:rPr>
                <w:b/>
                <w:bCs/>
                <w:i/>
                <w:iCs/>
                <w:color w:val="000000" w:themeColor="text1"/>
                <w:sz w:val="20"/>
                <w:szCs w:val="20"/>
                <w:u w:val="single"/>
                <w:lang w:eastAsia="en-GB"/>
              </w:rPr>
              <w:t>Daphnia magna</w:t>
            </w:r>
          </w:p>
        </w:tc>
      </w:tr>
      <w:tr w:rsidR="00A57A22" w:rsidRPr="0098635C" w14:paraId="014C4FB9" w14:textId="77777777" w:rsidTr="00690E61">
        <w:trPr>
          <w:trHeight w:val="63"/>
        </w:trPr>
        <w:tc>
          <w:tcPr>
            <w:tcW w:w="1286" w:type="dxa"/>
            <w:tcBorders>
              <w:top w:val="single" w:sz="4" w:space="0" w:color="auto"/>
              <w:left w:val="single" w:sz="8" w:space="0" w:color="auto"/>
              <w:bottom w:val="single" w:sz="4" w:space="0" w:color="auto"/>
              <w:right w:val="single" w:sz="4" w:space="0" w:color="auto"/>
            </w:tcBorders>
            <w:shd w:val="clear" w:color="auto" w:fill="auto"/>
            <w:noWrap/>
            <w:vAlign w:val="bottom"/>
          </w:tcPr>
          <w:p w14:paraId="402BB0C4" w14:textId="77777777" w:rsidR="00A57A22" w:rsidRPr="0098635C" w:rsidRDefault="00A57A22" w:rsidP="00690E61">
            <w:pPr>
              <w:widowControl/>
              <w:autoSpaceDE/>
              <w:autoSpaceDN/>
              <w:adjustRightInd/>
              <w:spacing w:after="0"/>
              <w:jc w:val="center"/>
              <w:rPr>
                <w:i/>
                <w:iCs/>
                <w:color w:val="000000" w:themeColor="text1"/>
                <w:sz w:val="20"/>
                <w:szCs w:val="20"/>
                <w:lang w:eastAsia="en-GB"/>
              </w:rPr>
            </w:pPr>
            <w:r w:rsidRPr="0098635C">
              <w:rPr>
                <w:i/>
                <w:iCs/>
                <w:color w:val="000000" w:themeColor="text1"/>
                <w:sz w:val="20"/>
                <w:szCs w:val="20"/>
                <w:lang w:eastAsia="en-GB"/>
              </w:rPr>
              <w:t>Mortality</w:t>
            </w:r>
          </w:p>
          <w:p w14:paraId="67292884" w14:textId="77777777" w:rsidR="00A57A22" w:rsidRPr="0098635C" w:rsidRDefault="00A57A22" w:rsidP="00690E61">
            <w:pPr>
              <w:widowControl/>
              <w:autoSpaceDE/>
              <w:autoSpaceDN/>
              <w:adjustRightInd/>
              <w:spacing w:after="0"/>
              <w:jc w:val="center"/>
              <w:rPr>
                <w:i/>
                <w:iCs/>
                <w:color w:val="000000" w:themeColor="text1"/>
                <w:sz w:val="20"/>
                <w:szCs w:val="20"/>
                <w:lang w:eastAsia="en-GB"/>
              </w:rPr>
            </w:pPr>
          </w:p>
        </w:tc>
        <w:tc>
          <w:tcPr>
            <w:tcW w:w="2268" w:type="dxa"/>
            <w:tcBorders>
              <w:top w:val="single" w:sz="4" w:space="0" w:color="auto"/>
              <w:left w:val="nil"/>
              <w:bottom w:val="single" w:sz="4" w:space="0" w:color="auto"/>
              <w:right w:val="single" w:sz="4" w:space="0" w:color="auto"/>
            </w:tcBorders>
            <w:shd w:val="clear" w:color="auto" w:fill="auto"/>
            <w:noWrap/>
            <w:vAlign w:val="bottom"/>
          </w:tcPr>
          <w:p w14:paraId="31043D93"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36.9 (33.8-40.9, n=4)</w:t>
            </w:r>
          </w:p>
          <w:p w14:paraId="0ABB0048"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c>
          <w:tcPr>
            <w:tcW w:w="1985" w:type="dxa"/>
            <w:tcBorders>
              <w:top w:val="single" w:sz="4" w:space="0" w:color="auto"/>
              <w:left w:val="nil"/>
              <w:bottom w:val="single" w:sz="4" w:space="0" w:color="auto"/>
              <w:right w:val="single" w:sz="4" w:space="0" w:color="auto"/>
            </w:tcBorders>
            <w:shd w:val="clear" w:color="auto" w:fill="auto"/>
            <w:vAlign w:val="bottom"/>
          </w:tcPr>
          <w:p w14:paraId="43066F65"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92.9 (7-792, n=10)</w:t>
            </w:r>
          </w:p>
          <w:p w14:paraId="68EC5A18" w14:textId="77777777" w:rsidR="00A57A22" w:rsidRPr="0098635C" w:rsidRDefault="00A57A22" w:rsidP="00690E61">
            <w:pPr>
              <w:widowControl/>
              <w:autoSpaceDE/>
              <w:autoSpaceDN/>
              <w:adjustRightInd/>
              <w:spacing w:after="0"/>
              <w:jc w:val="center"/>
              <w:rPr>
                <w:i/>
                <w:color w:val="000000" w:themeColor="text1"/>
                <w:sz w:val="20"/>
                <w:szCs w:val="20"/>
                <w:lang w:eastAsia="en-GB"/>
              </w:rPr>
            </w:pPr>
          </w:p>
        </w:tc>
        <w:tc>
          <w:tcPr>
            <w:tcW w:w="2126" w:type="dxa"/>
            <w:tcBorders>
              <w:top w:val="single" w:sz="4" w:space="0" w:color="auto"/>
              <w:left w:val="nil"/>
              <w:bottom w:val="single" w:sz="4" w:space="0" w:color="auto"/>
              <w:right w:val="single" w:sz="4" w:space="0" w:color="auto"/>
            </w:tcBorders>
            <w:shd w:val="clear" w:color="000000" w:fill="FFFFFF"/>
            <w:vAlign w:val="bottom"/>
          </w:tcPr>
          <w:p w14:paraId="4E4933D8"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52.1 (9.8-529, n=63)</w:t>
            </w:r>
          </w:p>
          <w:p w14:paraId="6956B93D"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c>
          <w:tcPr>
            <w:tcW w:w="2433" w:type="dxa"/>
            <w:tcBorders>
              <w:top w:val="single" w:sz="4" w:space="0" w:color="auto"/>
              <w:left w:val="nil"/>
              <w:bottom w:val="single" w:sz="4" w:space="0" w:color="auto"/>
              <w:right w:val="single" w:sz="4" w:space="0" w:color="auto"/>
            </w:tcBorders>
            <w:shd w:val="clear" w:color="000000" w:fill="FFFFFF"/>
            <w:vAlign w:val="bottom"/>
          </w:tcPr>
          <w:p w14:paraId="3F0D35D9"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55.1 (7-792, n=77)</w:t>
            </w:r>
          </w:p>
          <w:p w14:paraId="78D793C1"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r>
      <w:tr w:rsidR="00A57A22" w:rsidRPr="0098635C" w14:paraId="6A4315AD" w14:textId="77777777" w:rsidTr="00690E61">
        <w:trPr>
          <w:trHeight w:val="63"/>
        </w:trPr>
        <w:tc>
          <w:tcPr>
            <w:tcW w:w="1286" w:type="dxa"/>
            <w:tcBorders>
              <w:top w:val="single" w:sz="4" w:space="0" w:color="auto"/>
              <w:left w:val="single" w:sz="8" w:space="0" w:color="auto"/>
              <w:bottom w:val="single" w:sz="4" w:space="0" w:color="auto"/>
              <w:right w:val="single" w:sz="4" w:space="0" w:color="auto"/>
            </w:tcBorders>
            <w:shd w:val="clear" w:color="auto" w:fill="auto"/>
            <w:noWrap/>
            <w:vAlign w:val="bottom"/>
          </w:tcPr>
          <w:p w14:paraId="679B2261" w14:textId="77777777" w:rsidR="00A57A22" w:rsidRPr="0098635C" w:rsidRDefault="00A57A22" w:rsidP="00690E61">
            <w:pPr>
              <w:widowControl/>
              <w:autoSpaceDE/>
              <w:autoSpaceDN/>
              <w:adjustRightInd/>
              <w:spacing w:after="0"/>
              <w:jc w:val="center"/>
              <w:rPr>
                <w:i/>
                <w:iCs/>
                <w:color w:val="000000" w:themeColor="text1"/>
                <w:sz w:val="20"/>
                <w:szCs w:val="20"/>
                <w:lang w:eastAsia="en-GB"/>
              </w:rPr>
            </w:pPr>
            <w:r w:rsidRPr="0098635C">
              <w:rPr>
                <w:i/>
                <w:iCs/>
                <w:color w:val="000000" w:themeColor="text1"/>
                <w:sz w:val="20"/>
                <w:szCs w:val="20"/>
                <w:lang w:eastAsia="en-GB"/>
              </w:rPr>
              <w:t>Mortality – BLM data</w:t>
            </w:r>
          </w:p>
        </w:tc>
        <w:tc>
          <w:tcPr>
            <w:tcW w:w="2268" w:type="dxa"/>
            <w:tcBorders>
              <w:top w:val="single" w:sz="4" w:space="0" w:color="auto"/>
              <w:left w:val="nil"/>
              <w:bottom w:val="single" w:sz="4" w:space="0" w:color="auto"/>
              <w:right w:val="single" w:sz="4" w:space="0" w:color="auto"/>
            </w:tcBorders>
            <w:shd w:val="clear" w:color="auto" w:fill="auto"/>
            <w:noWrap/>
            <w:vAlign w:val="bottom"/>
          </w:tcPr>
          <w:p w14:paraId="4582C997"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279.0 (106-465, n=4)</w:t>
            </w:r>
          </w:p>
          <w:p w14:paraId="457C8FCE"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c>
          <w:tcPr>
            <w:tcW w:w="1985" w:type="dxa"/>
            <w:tcBorders>
              <w:top w:val="single" w:sz="4" w:space="0" w:color="auto"/>
              <w:left w:val="nil"/>
              <w:bottom w:val="single" w:sz="4" w:space="0" w:color="auto"/>
              <w:right w:val="single" w:sz="4" w:space="0" w:color="auto"/>
            </w:tcBorders>
            <w:shd w:val="clear" w:color="auto" w:fill="auto"/>
            <w:vAlign w:val="bottom"/>
          </w:tcPr>
          <w:p w14:paraId="56A5A588"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203.1 (92.6-1213, n=9)</w:t>
            </w:r>
          </w:p>
        </w:tc>
        <w:tc>
          <w:tcPr>
            <w:tcW w:w="2126" w:type="dxa"/>
            <w:tcBorders>
              <w:top w:val="single" w:sz="4" w:space="0" w:color="auto"/>
              <w:left w:val="nil"/>
              <w:bottom w:val="single" w:sz="4" w:space="0" w:color="auto"/>
              <w:right w:val="single" w:sz="4" w:space="0" w:color="auto"/>
            </w:tcBorders>
            <w:shd w:val="clear" w:color="000000" w:fill="FFFFFF"/>
            <w:vAlign w:val="bottom"/>
          </w:tcPr>
          <w:p w14:paraId="2BCC2820"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298.4 (100-826, n=12)</w:t>
            </w:r>
          </w:p>
          <w:p w14:paraId="522C25AC"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c>
          <w:tcPr>
            <w:tcW w:w="2433" w:type="dxa"/>
            <w:tcBorders>
              <w:top w:val="single" w:sz="4" w:space="0" w:color="auto"/>
              <w:left w:val="nil"/>
              <w:bottom w:val="single" w:sz="4" w:space="0" w:color="auto"/>
              <w:right w:val="single" w:sz="4" w:space="0" w:color="auto"/>
            </w:tcBorders>
            <w:shd w:val="clear" w:color="000000" w:fill="FFFFFF"/>
            <w:vAlign w:val="bottom"/>
          </w:tcPr>
          <w:p w14:paraId="02AE0D5B"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259.5 (92.6-1213, n=25)</w:t>
            </w:r>
          </w:p>
        </w:tc>
      </w:tr>
      <w:tr w:rsidR="00A57A22" w:rsidRPr="0098635C" w14:paraId="196EBA34" w14:textId="77777777" w:rsidTr="00690E61">
        <w:trPr>
          <w:trHeight w:val="72"/>
        </w:trPr>
        <w:tc>
          <w:tcPr>
            <w:tcW w:w="10098" w:type="dxa"/>
            <w:gridSpan w:val="5"/>
            <w:tcBorders>
              <w:top w:val="single" w:sz="4" w:space="0" w:color="auto"/>
              <w:left w:val="single" w:sz="8" w:space="0" w:color="auto"/>
              <w:bottom w:val="single" w:sz="4" w:space="0" w:color="auto"/>
              <w:right w:val="single" w:sz="4" w:space="0" w:color="auto"/>
            </w:tcBorders>
            <w:shd w:val="clear" w:color="auto" w:fill="auto"/>
            <w:noWrap/>
            <w:vAlign w:val="bottom"/>
          </w:tcPr>
          <w:p w14:paraId="2AA381D7" w14:textId="77777777" w:rsidR="00A57A22" w:rsidRPr="0098635C" w:rsidRDefault="00A57A22" w:rsidP="00690E61">
            <w:pPr>
              <w:widowControl/>
              <w:autoSpaceDE/>
              <w:autoSpaceDN/>
              <w:adjustRightInd/>
              <w:spacing w:after="0"/>
              <w:jc w:val="left"/>
              <w:rPr>
                <w:b/>
                <w:bCs/>
                <w:i/>
                <w:iCs/>
                <w:color w:val="000000" w:themeColor="text1"/>
                <w:sz w:val="20"/>
                <w:szCs w:val="20"/>
                <w:u w:val="single"/>
                <w:lang w:eastAsia="en-GB"/>
              </w:rPr>
            </w:pPr>
          </w:p>
          <w:p w14:paraId="5DB8E67A" w14:textId="77777777" w:rsidR="00A57A22" w:rsidRPr="0098635C" w:rsidRDefault="00A57A22" w:rsidP="00690E61">
            <w:pPr>
              <w:widowControl/>
              <w:autoSpaceDE/>
              <w:autoSpaceDN/>
              <w:adjustRightInd/>
              <w:spacing w:after="0"/>
              <w:jc w:val="left"/>
              <w:rPr>
                <w:color w:val="000000" w:themeColor="text1"/>
                <w:sz w:val="20"/>
                <w:szCs w:val="20"/>
                <w:lang w:eastAsia="en-GB"/>
              </w:rPr>
            </w:pPr>
            <w:r w:rsidRPr="0098635C">
              <w:rPr>
                <w:b/>
                <w:bCs/>
                <w:i/>
                <w:iCs/>
                <w:color w:val="000000" w:themeColor="text1"/>
                <w:sz w:val="20"/>
                <w:szCs w:val="20"/>
                <w:u w:val="single"/>
                <w:lang w:eastAsia="en-GB"/>
              </w:rPr>
              <w:t>Ceriodaphnia dubia</w:t>
            </w:r>
          </w:p>
        </w:tc>
      </w:tr>
      <w:tr w:rsidR="00A57A22" w:rsidRPr="0098635C" w14:paraId="7D262EB5" w14:textId="77777777" w:rsidTr="00690E61">
        <w:trPr>
          <w:trHeight w:val="77"/>
        </w:trPr>
        <w:tc>
          <w:tcPr>
            <w:tcW w:w="1286" w:type="dxa"/>
            <w:tcBorders>
              <w:top w:val="single" w:sz="4" w:space="0" w:color="auto"/>
              <w:left w:val="single" w:sz="8" w:space="0" w:color="auto"/>
              <w:bottom w:val="single" w:sz="4" w:space="0" w:color="auto"/>
              <w:right w:val="single" w:sz="4" w:space="0" w:color="auto"/>
            </w:tcBorders>
            <w:shd w:val="clear" w:color="auto" w:fill="auto"/>
            <w:noWrap/>
            <w:vAlign w:val="bottom"/>
          </w:tcPr>
          <w:p w14:paraId="47EA153D" w14:textId="77777777" w:rsidR="00A57A22" w:rsidRPr="0098635C" w:rsidRDefault="00A57A22" w:rsidP="00690E61">
            <w:pPr>
              <w:widowControl/>
              <w:autoSpaceDE/>
              <w:autoSpaceDN/>
              <w:adjustRightInd/>
              <w:spacing w:after="0"/>
              <w:jc w:val="center"/>
              <w:rPr>
                <w:i/>
                <w:iCs/>
                <w:color w:val="000000" w:themeColor="text1"/>
                <w:sz w:val="20"/>
                <w:szCs w:val="20"/>
                <w:lang w:eastAsia="en-GB"/>
              </w:rPr>
            </w:pPr>
            <w:r w:rsidRPr="0098635C">
              <w:rPr>
                <w:i/>
                <w:iCs/>
                <w:color w:val="000000" w:themeColor="text1"/>
                <w:sz w:val="20"/>
                <w:szCs w:val="20"/>
                <w:lang w:eastAsia="en-GB"/>
              </w:rPr>
              <w:t>Mortality</w:t>
            </w:r>
          </w:p>
          <w:p w14:paraId="7A3D8F69" w14:textId="77777777" w:rsidR="00A57A22" w:rsidRPr="0098635C" w:rsidRDefault="00A57A22" w:rsidP="00690E61">
            <w:pPr>
              <w:widowControl/>
              <w:autoSpaceDE/>
              <w:autoSpaceDN/>
              <w:adjustRightInd/>
              <w:spacing w:after="0"/>
              <w:jc w:val="center"/>
              <w:rPr>
                <w:i/>
                <w:iCs/>
                <w:color w:val="000000" w:themeColor="text1"/>
                <w:sz w:val="20"/>
                <w:szCs w:val="20"/>
                <w:lang w:eastAsia="en-GB"/>
              </w:rPr>
            </w:pPr>
          </w:p>
        </w:tc>
        <w:tc>
          <w:tcPr>
            <w:tcW w:w="2268" w:type="dxa"/>
            <w:tcBorders>
              <w:top w:val="single" w:sz="4" w:space="0" w:color="auto"/>
              <w:left w:val="nil"/>
              <w:bottom w:val="single" w:sz="4" w:space="0" w:color="auto"/>
              <w:right w:val="single" w:sz="4" w:space="0" w:color="auto"/>
            </w:tcBorders>
            <w:shd w:val="clear" w:color="auto" w:fill="auto"/>
            <w:noWrap/>
            <w:vAlign w:val="bottom"/>
          </w:tcPr>
          <w:p w14:paraId="26B3AF93"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25.0 (9.5-56, n=4)</w:t>
            </w:r>
          </w:p>
          <w:p w14:paraId="56635AC4"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c>
          <w:tcPr>
            <w:tcW w:w="1985" w:type="dxa"/>
            <w:tcBorders>
              <w:top w:val="single" w:sz="4" w:space="0" w:color="auto"/>
              <w:left w:val="nil"/>
              <w:bottom w:val="single" w:sz="4" w:space="0" w:color="auto"/>
              <w:right w:val="single" w:sz="4" w:space="0" w:color="auto"/>
            </w:tcBorders>
            <w:shd w:val="clear" w:color="auto" w:fill="auto"/>
            <w:vAlign w:val="bottom"/>
          </w:tcPr>
          <w:p w14:paraId="3C9DEC2B"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47.3 (28-84, n=4)</w:t>
            </w:r>
          </w:p>
          <w:p w14:paraId="1179F4BB"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c>
          <w:tcPr>
            <w:tcW w:w="2126" w:type="dxa"/>
            <w:tcBorders>
              <w:top w:val="single" w:sz="4" w:space="0" w:color="auto"/>
              <w:left w:val="nil"/>
              <w:bottom w:val="single" w:sz="4" w:space="0" w:color="auto"/>
              <w:right w:val="single" w:sz="4" w:space="0" w:color="auto"/>
            </w:tcBorders>
            <w:shd w:val="clear" w:color="000000" w:fill="FFFFFF"/>
            <w:vAlign w:val="bottom"/>
          </w:tcPr>
          <w:p w14:paraId="0EAE6BE0"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29.8 (8.5-200, n=13)</w:t>
            </w:r>
          </w:p>
          <w:p w14:paraId="546D1DDB"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c>
          <w:tcPr>
            <w:tcW w:w="2433" w:type="dxa"/>
            <w:tcBorders>
              <w:top w:val="single" w:sz="4" w:space="0" w:color="auto"/>
              <w:left w:val="nil"/>
              <w:bottom w:val="single" w:sz="4" w:space="0" w:color="auto"/>
              <w:right w:val="single" w:sz="4" w:space="0" w:color="auto"/>
            </w:tcBorders>
            <w:shd w:val="clear" w:color="000000" w:fill="FFFFFF"/>
            <w:vAlign w:val="bottom"/>
          </w:tcPr>
          <w:p w14:paraId="791F3E36"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34.4 (8.5-200, n=21)</w:t>
            </w:r>
          </w:p>
          <w:p w14:paraId="3EA28DC9"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r>
      <w:tr w:rsidR="00A57A22" w:rsidRPr="0098635C" w14:paraId="2F293393" w14:textId="77777777" w:rsidTr="00690E61">
        <w:trPr>
          <w:trHeight w:val="77"/>
        </w:trPr>
        <w:tc>
          <w:tcPr>
            <w:tcW w:w="1286" w:type="dxa"/>
            <w:tcBorders>
              <w:top w:val="single" w:sz="4" w:space="0" w:color="auto"/>
              <w:left w:val="single" w:sz="8" w:space="0" w:color="auto"/>
              <w:bottom w:val="single" w:sz="4" w:space="0" w:color="auto"/>
              <w:right w:val="single" w:sz="4" w:space="0" w:color="auto"/>
            </w:tcBorders>
            <w:shd w:val="clear" w:color="auto" w:fill="E6E6E6"/>
            <w:noWrap/>
            <w:vAlign w:val="bottom"/>
          </w:tcPr>
          <w:p w14:paraId="3CDADC07" w14:textId="77777777" w:rsidR="00A57A22" w:rsidRPr="0098635C" w:rsidRDefault="00A57A22" w:rsidP="00690E61">
            <w:pPr>
              <w:widowControl/>
              <w:autoSpaceDE/>
              <w:autoSpaceDN/>
              <w:adjustRightInd/>
              <w:spacing w:after="0"/>
              <w:jc w:val="center"/>
              <w:rPr>
                <w:b/>
                <w:iCs/>
                <w:color w:val="000000" w:themeColor="text1"/>
                <w:sz w:val="20"/>
                <w:szCs w:val="20"/>
                <w:u w:val="single"/>
                <w:lang w:eastAsia="en-GB"/>
              </w:rPr>
            </w:pPr>
            <w:r w:rsidRPr="0098635C">
              <w:rPr>
                <w:b/>
                <w:iCs/>
                <w:color w:val="000000" w:themeColor="text1"/>
                <w:sz w:val="20"/>
                <w:szCs w:val="20"/>
                <w:u w:val="single"/>
                <w:lang w:eastAsia="en-GB"/>
              </w:rPr>
              <w:t>Invertebrates</w:t>
            </w:r>
          </w:p>
          <w:p w14:paraId="3337BF34" w14:textId="77777777" w:rsidR="00A57A22" w:rsidRPr="0098635C" w:rsidRDefault="00A57A22" w:rsidP="00690E61">
            <w:pPr>
              <w:widowControl/>
              <w:autoSpaceDE/>
              <w:autoSpaceDN/>
              <w:adjustRightInd/>
              <w:spacing w:after="0"/>
              <w:jc w:val="center"/>
              <w:rPr>
                <w:iCs/>
                <w:color w:val="000000" w:themeColor="text1"/>
                <w:sz w:val="20"/>
                <w:szCs w:val="20"/>
                <w:lang w:eastAsia="en-GB"/>
              </w:rPr>
            </w:pPr>
            <w:r w:rsidRPr="0098635C">
              <w:rPr>
                <w:iCs/>
                <w:color w:val="000000" w:themeColor="text1"/>
                <w:sz w:val="20"/>
                <w:szCs w:val="20"/>
                <w:lang w:eastAsia="en-GB"/>
              </w:rPr>
              <w:t>Mortality</w:t>
            </w:r>
          </w:p>
        </w:tc>
        <w:tc>
          <w:tcPr>
            <w:tcW w:w="2268" w:type="dxa"/>
            <w:tcBorders>
              <w:top w:val="single" w:sz="4" w:space="0" w:color="auto"/>
              <w:left w:val="nil"/>
              <w:bottom w:val="single" w:sz="4" w:space="0" w:color="auto"/>
              <w:right w:val="single" w:sz="4" w:space="0" w:color="auto"/>
            </w:tcBorders>
            <w:shd w:val="clear" w:color="auto" w:fill="E6E6E6"/>
            <w:noWrap/>
            <w:vAlign w:val="bottom"/>
          </w:tcPr>
          <w:p w14:paraId="7CAEEC61"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(9.5-465, n=12)</w:t>
            </w:r>
          </w:p>
        </w:tc>
        <w:tc>
          <w:tcPr>
            <w:tcW w:w="1985" w:type="dxa"/>
            <w:tcBorders>
              <w:top w:val="single" w:sz="4" w:space="0" w:color="auto"/>
              <w:left w:val="nil"/>
              <w:bottom w:val="single" w:sz="4" w:space="0" w:color="auto"/>
              <w:right w:val="single" w:sz="4" w:space="0" w:color="auto"/>
            </w:tcBorders>
            <w:shd w:val="clear" w:color="auto" w:fill="E6E6E6"/>
            <w:vAlign w:val="bottom"/>
          </w:tcPr>
          <w:p w14:paraId="5DAF31CF"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(7-1213, n=23)</w:t>
            </w:r>
          </w:p>
        </w:tc>
        <w:tc>
          <w:tcPr>
            <w:tcW w:w="2126" w:type="dxa"/>
            <w:tcBorders>
              <w:top w:val="single" w:sz="4" w:space="0" w:color="auto"/>
              <w:left w:val="nil"/>
              <w:bottom w:val="single" w:sz="4" w:space="0" w:color="auto"/>
              <w:right w:val="single" w:sz="4" w:space="0" w:color="auto"/>
            </w:tcBorders>
            <w:shd w:val="clear" w:color="auto" w:fill="E6E6E6"/>
            <w:vAlign w:val="bottom"/>
          </w:tcPr>
          <w:p w14:paraId="2516B3AF"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(8.5-826, n=88)</w:t>
            </w:r>
          </w:p>
        </w:tc>
        <w:tc>
          <w:tcPr>
            <w:tcW w:w="2433" w:type="dxa"/>
            <w:tcBorders>
              <w:top w:val="single" w:sz="4" w:space="0" w:color="auto"/>
              <w:left w:val="nil"/>
              <w:bottom w:val="single" w:sz="4" w:space="0" w:color="auto"/>
              <w:right w:val="single" w:sz="4" w:space="0" w:color="auto"/>
            </w:tcBorders>
            <w:shd w:val="clear" w:color="auto" w:fill="E6E6E6"/>
            <w:vAlign w:val="bottom"/>
          </w:tcPr>
          <w:p w14:paraId="72F8001C"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(7-1213, n=123)</w:t>
            </w:r>
          </w:p>
        </w:tc>
      </w:tr>
      <w:tr w:rsidR="00A57A22" w:rsidRPr="0098635C" w14:paraId="1981A49D" w14:textId="77777777" w:rsidTr="00690E61">
        <w:trPr>
          <w:trHeight w:val="63"/>
        </w:trPr>
        <w:tc>
          <w:tcPr>
            <w:tcW w:w="10098" w:type="dxa"/>
            <w:gridSpan w:val="5"/>
            <w:tcBorders>
              <w:top w:val="single" w:sz="4" w:space="0" w:color="auto"/>
              <w:left w:val="single" w:sz="8" w:space="0" w:color="auto"/>
              <w:bottom w:val="single" w:sz="4" w:space="0" w:color="auto"/>
              <w:right w:val="single" w:sz="4" w:space="0" w:color="auto"/>
            </w:tcBorders>
            <w:shd w:val="clear" w:color="auto" w:fill="auto"/>
            <w:noWrap/>
            <w:vAlign w:val="bottom"/>
          </w:tcPr>
          <w:p w14:paraId="5AAC5C8D" w14:textId="77777777" w:rsidR="00A57A22" w:rsidRPr="0098635C" w:rsidRDefault="00A57A22" w:rsidP="00690E61">
            <w:pPr>
              <w:widowControl/>
              <w:autoSpaceDE/>
              <w:autoSpaceDN/>
              <w:adjustRightInd/>
              <w:spacing w:after="0"/>
              <w:jc w:val="left"/>
              <w:rPr>
                <w:b/>
                <w:bCs/>
                <w:i/>
                <w:iCs/>
                <w:color w:val="000000" w:themeColor="text1"/>
                <w:sz w:val="20"/>
                <w:szCs w:val="20"/>
                <w:u w:val="single"/>
                <w:lang w:eastAsia="en-GB"/>
              </w:rPr>
            </w:pPr>
          </w:p>
          <w:p w14:paraId="2167785F" w14:textId="77777777" w:rsidR="00A57A22" w:rsidRPr="0098635C" w:rsidRDefault="00A57A22" w:rsidP="00690E61">
            <w:pPr>
              <w:widowControl/>
              <w:autoSpaceDE/>
              <w:autoSpaceDN/>
              <w:adjustRightInd/>
              <w:spacing w:after="0"/>
              <w:jc w:val="left"/>
              <w:rPr>
                <w:color w:val="000000" w:themeColor="text1"/>
                <w:sz w:val="20"/>
                <w:szCs w:val="20"/>
                <w:lang w:eastAsia="en-GB"/>
              </w:rPr>
            </w:pPr>
            <w:r w:rsidRPr="0098635C">
              <w:rPr>
                <w:b/>
                <w:bCs/>
                <w:i/>
                <w:iCs/>
                <w:color w:val="000000" w:themeColor="text1"/>
                <w:sz w:val="20"/>
                <w:szCs w:val="20"/>
                <w:u w:val="single"/>
                <w:lang w:eastAsia="en-GB"/>
              </w:rPr>
              <w:t>Oncorhynchus mykiss</w:t>
            </w:r>
          </w:p>
        </w:tc>
      </w:tr>
      <w:tr w:rsidR="00A57A22" w:rsidRPr="0098635C" w14:paraId="26BA0CDA" w14:textId="77777777" w:rsidTr="00690E61">
        <w:trPr>
          <w:trHeight w:val="195"/>
        </w:trPr>
        <w:tc>
          <w:tcPr>
            <w:tcW w:w="1286" w:type="dxa"/>
            <w:tcBorders>
              <w:top w:val="single" w:sz="4" w:space="0" w:color="auto"/>
              <w:left w:val="single" w:sz="8" w:space="0" w:color="auto"/>
              <w:bottom w:val="single" w:sz="4" w:space="0" w:color="auto"/>
              <w:right w:val="single" w:sz="4" w:space="0" w:color="auto"/>
            </w:tcBorders>
            <w:shd w:val="clear" w:color="auto" w:fill="auto"/>
            <w:noWrap/>
            <w:vAlign w:val="bottom"/>
          </w:tcPr>
          <w:p w14:paraId="1D94D52F" w14:textId="77777777" w:rsidR="00A57A22" w:rsidRPr="0098635C" w:rsidRDefault="00A57A22" w:rsidP="00690E61">
            <w:pPr>
              <w:widowControl/>
              <w:autoSpaceDE/>
              <w:autoSpaceDN/>
              <w:adjustRightInd/>
              <w:spacing w:after="0"/>
              <w:jc w:val="center"/>
              <w:rPr>
                <w:i/>
                <w:iCs/>
                <w:color w:val="000000" w:themeColor="text1"/>
                <w:sz w:val="20"/>
                <w:szCs w:val="20"/>
                <w:lang w:eastAsia="en-GB"/>
              </w:rPr>
            </w:pPr>
            <w:r w:rsidRPr="0098635C">
              <w:rPr>
                <w:i/>
                <w:iCs/>
                <w:color w:val="000000" w:themeColor="text1"/>
                <w:sz w:val="20"/>
                <w:szCs w:val="20"/>
                <w:lang w:eastAsia="en-GB"/>
              </w:rPr>
              <w:t>Mortality</w:t>
            </w:r>
          </w:p>
          <w:p w14:paraId="71C31DC0" w14:textId="77777777" w:rsidR="00A57A22" w:rsidRPr="0098635C" w:rsidRDefault="00A57A22" w:rsidP="00690E61">
            <w:pPr>
              <w:widowControl/>
              <w:autoSpaceDE/>
              <w:autoSpaceDN/>
              <w:adjustRightInd/>
              <w:spacing w:after="0"/>
              <w:jc w:val="center"/>
              <w:rPr>
                <w:i/>
                <w:iCs/>
                <w:color w:val="000000" w:themeColor="text1"/>
                <w:sz w:val="20"/>
                <w:szCs w:val="20"/>
                <w:lang w:eastAsia="en-GB"/>
              </w:rPr>
            </w:pPr>
          </w:p>
        </w:tc>
        <w:tc>
          <w:tcPr>
            <w:tcW w:w="2268" w:type="dxa"/>
            <w:tcBorders>
              <w:top w:val="single" w:sz="4" w:space="0" w:color="auto"/>
              <w:left w:val="nil"/>
              <w:bottom w:val="single" w:sz="4" w:space="0" w:color="auto"/>
              <w:right w:val="single" w:sz="4" w:space="0" w:color="auto"/>
            </w:tcBorders>
            <w:shd w:val="clear" w:color="auto" w:fill="auto"/>
            <w:noWrap/>
            <w:vAlign w:val="bottom"/>
          </w:tcPr>
          <w:p w14:paraId="655938FF"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29.6 (4.2-82.2, n=7)</w:t>
            </w:r>
          </w:p>
          <w:p w14:paraId="2AEC7E5B"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c>
          <w:tcPr>
            <w:tcW w:w="1985" w:type="dxa"/>
            <w:tcBorders>
              <w:top w:val="single" w:sz="4" w:space="0" w:color="auto"/>
              <w:left w:val="nil"/>
              <w:bottom w:val="single" w:sz="4" w:space="0" w:color="auto"/>
              <w:right w:val="single" w:sz="4" w:space="0" w:color="auto"/>
            </w:tcBorders>
            <w:shd w:val="clear" w:color="auto" w:fill="auto"/>
            <w:vAlign w:val="bottom"/>
          </w:tcPr>
          <w:p w14:paraId="4DB83C3A"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61.25(2.8-890, n=18)</w:t>
            </w:r>
          </w:p>
          <w:p w14:paraId="2FEB6EBD"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c>
          <w:tcPr>
            <w:tcW w:w="2126" w:type="dxa"/>
            <w:tcBorders>
              <w:top w:val="single" w:sz="4" w:space="0" w:color="auto"/>
              <w:left w:val="nil"/>
              <w:bottom w:val="single" w:sz="4" w:space="0" w:color="auto"/>
              <w:right w:val="single" w:sz="4" w:space="0" w:color="auto"/>
            </w:tcBorders>
            <w:shd w:val="clear" w:color="000000" w:fill="FFFFFF"/>
            <w:vAlign w:val="bottom"/>
          </w:tcPr>
          <w:p w14:paraId="76041130"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95.4 (9.5-516, n=25)</w:t>
            </w:r>
          </w:p>
          <w:p w14:paraId="1514580D"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c>
          <w:tcPr>
            <w:tcW w:w="2433" w:type="dxa"/>
            <w:tcBorders>
              <w:top w:val="single" w:sz="4" w:space="0" w:color="auto"/>
              <w:left w:val="nil"/>
              <w:bottom w:val="single" w:sz="4" w:space="0" w:color="auto"/>
              <w:right w:val="single" w:sz="4" w:space="0" w:color="auto"/>
            </w:tcBorders>
            <w:shd w:val="clear" w:color="000000" w:fill="FFFFFF"/>
            <w:vAlign w:val="bottom"/>
          </w:tcPr>
          <w:p w14:paraId="488296B5"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69.2 (2.8-890, n=50)</w:t>
            </w:r>
          </w:p>
          <w:p w14:paraId="54DC6921"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r>
      <w:tr w:rsidR="00A57A22" w:rsidRPr="0098635C" w14:paraId="1C2DBB94" w14:textId="77777777" w:rsidTr="00690E61">
        <w:trPr>
          <w:trHeight w:val="99"/>
        </w:trPr>
        <w:tc>
          <w:tcPr>
            <w:tcW w:w="10098" w:type="dxa"/>
            <w:gridSpan w:val="5"/>
            <w:tcBorders>
              <w:top w:val="single" w:sz="4" w:space="0" w:color="auto"/>
              <w:left w:val="single" w:sz="8" w:space="0" w:color="auto"/>
              <w:bottom w:val="single" w:sz="4" w:space="0" w:color="auto"/>
              <w:right w:val="single" w:sz="4" w:space="0" w:color="auto"/>
            </w:tcBorders>
            <w:shd w:val="clear" w:color="auto" w:fill="auto"/>
            <w:noWrap/>
            <w:vAlign w:val="bottom"/>
          </w:tcPr>
          <w:p w14:paraId="4A8BD652" w14:textId="77777777" w:rsidR="00A57A22" w:rsidRPr="0098635C" w:rsidRDefault="00A57A22" w:rsidP="00690E61">
            <w:pPr>
              <w:widowControl/>
              <w:autoSpaceDE/>
              <w:autoSpaceDN/>
              <w:adjustRightInd/>
              <w:spacing w:after="0"/>
              <w:jc w:val="left"/>
              <w:rPr>
                <w:b/>
                <w:bCs/>
                <w:i/>
                <w:iCs/>
                <w:color w:val="000000" w:themeColor="text1"/>
                <w:sz w:val="20"/>
                <w:szCs w:val="20"/>
                <w:u w:val="single"/>
                <w:lang w:eastAsia="en-GB"/>
              </w:rPr>
            </w:pPr>
          </w:p>
          <w:p w14:paraId="71A9DA6F" w14:textId="77777777" w:rsidR="00A57A22" w:rsidRPr="0098635C" w:rsidRDefault="00A57A22" w:rsidP="00690E61">
            <w:pPr>
              <w:widowControl/>
              <w:autoSpaceDE/>
              <w:autoSpaceDN/>
              <w:adjustRightInd/>
              <w:spacing w:after="0"/>
              <w:jc w:val="left"/>
              <w:rPr>
                <w:color w:val="000000" w:themeColor="text1"/>
                <w:sz w:val="20"/>
                <w:szCs w:val="20"/>
                <w:lang w:eastAsia="en-GB"/>
              </w:rPr>
            </w:pPr>
            <w:r w:rsidRPr="0098635C">
              <w:rPr>
                <w:b/>
                <w:bCs/>
                <w:i/>
                <w:iCs/>
                <w:color w:val="000000" w:themeColor="text1"/>
                <w:sz w:val="20"/>
                <w:szCs w:val="20"/>
                <w:u w:val="single"/>
                <w:lang w:eastAsia="en-GB"/>
              </w:rPr>
              <w:t>Brachydanio rerio</w:t>
            </w:r>
          </w:p>
        </w:tc>
      </w:tr>
      <w:tr w:rsidR="00A57A22" w:rsidRPr="0098635C" w14:paraId="760D0E21" w14:textId="77777777" w:rsidTr="00690E61">
        <w:trPr>
          <w:trHeight w:val="63"/>
        </w:trPr>
        <w:tc>
          <w:tcPr>
            <w:tcW w:w="1286" w:type="dxa"/>
            <w:tcBorders>
              <w:top w:val="single" w:sz="4" w:space="0" w:color="auto"/>
              <w:left w:val="single" w:sz="8" w:space="0" w:color="auto"/>
              <w:bottom w:val="single" w:sz="4" w:space="0" w:color="auto"/>
              <w:right w:val="single" w:sz="4" w:space="0" w:color="auto"/>
            </w:tcBorders>
            <w:shd w:val="clear" w:color="auto" w:fill="auto"/>
            <w:noWrap/>
            <w:vAlign w:val="bottom"/>
          </w:tcPr>
          <w:p w14:paraId="2181DBEF" w14:textId="77777777" w:rsidR="00A57A22" w:rsidRPr="0098635C" w:rsidRDefault="00A57A22" w:rsidP="00690E61">
            <w:pPr>
              <w:widowControl/>
              <w:autoSpaceDE/>
              <w:autoSpaceDN/>
              <w:adjustRightInd/>
              <w:spacing w:after="0"/>
              <w:jc w:val="center"/>
              <w:rPr>
                <w:i/>
                <w:iCs/>
                <w:color w:val="000000" w:themeColor="text1"/>
                <w:sz w:val="20"/>
                <w:szCs w:val="20"/>
                <w:lang w:eastAsia="en-GB"/>
              </w:rPr>
            </w:pPr>
            <w:r w:rsidRPr="0098635C">
              <w:rPr>
                <w:i/>
                <w:iCs/>
                <w:color w:val="000000" w:themeColor="text1"/>
                <w:sz w:val="20"/>
                <w:szCs w:val="20"/>
                <w:lang w:eastAsia="en-GB"/>
              </w:rPr>
              <w:t>Mortality</w:t>
            </w:r>
          </w:p>
          <w:p w14:paraId="0DDF1806" w14:textId="77777777" w:rsidR="00A57A22" w:rsidRPr="0098635C" w:rsidRDefault="00A57A22" w:rsidP="00690E61">
            <w:pPr>
              <w:widowControl/>
              <w:autoSpaceDE/>
              <w:autoSpaceDN/>
              <w:adjustRightInd/>
              <w:spacing w:after="0"/>
              <w:jc w:val="center"/>
              <w:rPr>
                <w:i/>
                <w:iCs/>
                <w:color w:val="000000" w:themeColor="text1"/>
                <w:sz w:val="20"/>
                <w:szCs w:val="20"/>
                <w:lang w:eastAsia="en-GB"/>
              </w:rPr>
            </w:pPr>
          </w:p>
        </w:tc>
        <w:tc>
          <w:tcPr>
            <w:tcW w:w="2268" w:type="dxa"/>
            <w:tcBorders>
              <w:top w:val="single" w:sz="4" w:space="0" w:color="auto"/>
              <w:left w:val="nil"/>
              <w:bottom w:val="single" w:sz="4" w:space="0" w:color="auto"/>
              <w:right w:val="single" w:sz="4" w:space="0" w:color="auto"/>
            </w:tcBorders>
            <w:shd w:val="clear" w:color="auto" w:fill="auto"/>
            <w:noWrap/>
            <w:vAlign w:val="bottom"/>
          </w:tcPr>
          <w:p w14:paraId="42A95A7F"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w:t>
            </w:r>
          </w:p>
          <w:p w14:paraId="76019C71"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c>
          <w:tcPr>
            <w:tcW w:w="1985" w:type="dxa"/>
            <w:tcBorders>
              <w:top w:val="single" w:sz="4" w:space="0" w:color="auto"/>
              <w:left w:val="nil"/>
              <w:bottom w:val="single" w:sz="4" w:space="0" w:color="auto"/>
              <w:right w:val="single" w:sz="4" w:space="0" w:color="auto"/>
            </w:tcBorders>
            <w:shd w:val="clear" w:color="auto" w:fill="auto"/>
            <w:vAlign w:val="bottom"/>
          </w:tcPr>
          <w:p w14:paraId="36DB80E1"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35.0 (---, n=1)</w:t>
            </w:r>
          </w:p>
          <w:p w14:paraId="1DEC0BE3"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c>
          <w:tcPr>
            <w:tcW w:w="2126" w:type="dxa"/>
            <w:tcBorders>
              <w:top w:val="single" w:sz="4" w:space="0" w:color="auto"/>
              <w:left w:val="nil"/>
              <w:bottom w:val="single" w:sz="4" w:space="0" w:color="auto"/>
              <w:right w:val="single" w:sz="4" w:space="0" w:color="auto"/>
            </w:tcBorders>
            <w:shd w:val="clear" w:color="000000" w:fill="FFFFFF"/>
            <w:vAlign w:val="bottom"/>
          </w:tcPr>
          <w:p w14:paraId="0390B645"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149.0 (---, n=1)</w:t>
            </w:r>
          </w:p>
          <w:p w14:paraId="61AD2E63"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c>
          <w:tcPr>
            <w:tcW w:w="2433" w:type="dxa"/>
            <w:tcBorders>
              <w:top w:val="single" w:sz="4" w:space="0" w:color="auto"/>
              <w:left w:val="nil"/>
              <w:bottom w:val="single" w:sz="4" w:space="0" w:color="auto"/>
              <w:right w:val="single" w:sz="4" w:space="0" w:color="auto"/>
            </w:tcBorders>
            <w:shd w:val="clear" w:color="000000" w:fill="FFFFFF"/>
            <w:vAlign w:val="bottom"/>
          </w:tcPr>
          <w:p w14:paraId="4BD96415"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72.2 (35-149, n=2)</w:t>
            </w:r>
          </w:p>
          <w:p w14:paraId="6DE1447B" w14:textId="77777777" w:rsidR="00A57A22" w:rsidRPr="0098635C" w:rsidRDefault="00A57A22" w:rsidP="00690E61">
            <w:pPr>
              <w:widowControl/>
              <w:autoSpaceDE/>
              <w:autoSpaceDN/>
              <w:adjustRightInd/>
              <w:spacing w:after="0"/>
              <w:jc w:val="center"/>
              <w:rPr>
                <w:i/>
                <w:color w:val="000000" w:themeColor="text1"/>
                <w:sz w:val="20"/>
                <w:szCs w:val="20"/>
                <w:lang w:eastAsia="en-GB"/>
              </w:rPr>
            </w:pPr>
          </w:p>
        </w:tc>
      </w:tr>
      <w:tr w:rsidR="00A57A22" w:rsidRPr="0098635C" w14:paraId="17C62D99" w14:textId="77777777" w:rsidTr="00690E61">
        <w:trPr>
          <w:trHeight w:val="63"/>
        </w:trPr>
        <w:tc>
          <w:tcPr>
            <w:tcW w:w="10098" w:type="dxa"/>
            <w:gridSpan w:val="5"/>
            <w:tcBorders>
              <w:top w:val="single" w:sz="4" w:space="0" w:color="auto"/>
              <w:left w:val="single" w:sz="8" w:space="0" w:color="auto"/>
              <w:bottom w:val="single" w:sz="4" w:space="0" w:color="auto"/>
              <w:right w:val="single" w:sz="4" w:space="0" w:color="auto"/>
            </w:tcBorders>
            <w:shd w:val="clear" w:color="auto" w:fill="auto"/>
            <w:noWrap/>
            <w:vAlign w:val="bottom"/>
          </w:tcPr>
          <w:p w14:paraId="6DE3F41B" w14:textId="77777777" w:rsidR="00A57A22" w:rsidRPr="0098635C" w:rsidRDefault="00A57A22" w:rsidP="00690E61">
            <w:pPr>
              <w:widowControl/>
              <w:autoSpaceDE/>
              <w:autoSpaceDN/>
              <w:adjustRightInd/>
              <w:spacing w:after="0"/>
              <w:jc w:val="left"/>
              <w:rPr>
                <w:b/>
                <w:bCs/>
                <w:i/>
                <w:iCs/>
                <w:color w:val="000000" w:themeColor="text1"/>
                <w:sz w:val="20"/>
                <w:szCs w:val="20"/>
                <w:u w:val="single"/>
                <w:lang w:eastAsia="en-GB"/>
              </w:rPr>
            </w:pPr>
          </w:p>
          <w:p w14:paraId="5D18B435" w14:textId="77777777" w:rsidR="00A57A22" w:rsidRPr="0098635C" w:rsidRDefault="00A57A22" w:rsidP="00690E61">
            <w:pPr>
              <w:widowControl/>
              <w:autoSpaceDE/>
              <w:autoSpaceDN/>
              <w:adjustRightInd/>
              <w:spacing w:after="0"/>
              <w:jc w:val="left"/>
              <w:rPr>
                <w:color w:val="000000" w:themeColor="text1"/>
                <w:sz w:val="20"/>
                <w:szCs w:val="20"/>
                <w:lang w:eastAsia="en-GB"/>
              </w:rPr>
            </w:pPr>
            <w:r w:rsidRPr="0098635C">
              <w:rPr>
                <w:b/>
                <w:bCs/>
                <w:i/>
                <w:iCs/>
                <w:color w:val="000000" w:themeColor="text1"/>
                <w:sz w:val="20"/>
                <w:szCs w:val="20"/>
                <w:u w:val="single"/>
                <w:lang w:eastAsia="en-GB"/>
              </w:rPr>
              <w:t>Cyprinus carpio</w:t>
            </w:r>
          </w:p>
        </w:tc>
      </w:tr>
      <w:tr w:rsidR="00A57A22" w:rsidRPr="0098635C" w14:paraId="54B91F95" w14:textId="77777777" w:rsidTr="00690E61">
        <w:trPr>
          <w:trHeight w:val="63"/>
        </w:trPr>
        <w:tc>
          <w:tcPr>
            <w:tcW w:w="1286" w:type="dxa"/>
            <w:tcBorders>
              <w:top w:val="single" w:sz="4" w:space="0" w:color="auto"/>
              <w:left w:val="single" w:sz="8" w:space="0" w:color="auto"/>
              <w:bottom w:val="single" w:sz="4" w:space="0" w:color="auto"/>
              <w:right w:val="single" w:sz="4" w:space="0" w:color="auto"/>
            </w:tcBorders>
            <w:shd w:val="clear" w:color="auto" w:fill="auto"/>
            <w:noWrap/>
            <w:vAlign w:val="bottom"/>
          </w:tcPr>
          <w:p w14:paraId="28CFFFFB" w14:textId="77777777" w:rsidR="00A57A22" w:rsidRPr="0098635C" w:rsidRDefault="00A57A22" w:rsidP="00690E61">
            <w:pPr>
              <w:widowControl/>
              <w:autoSpaceDE/>
              <w:autoSpaceDN/>
              <w:adjustRightInd/>
              <w:spacing w:after="0"/>
              <w:jc w:val="center"/>
              <w:rPr>
                <w:i/>
                <w:iCs/>
                <w:color w:val="000000" w:themeColor="text1"/>
                <w:sz w:val="20"/>
                <w:szCs w:val="20"/>
                <w:lang w:eastAsia="en-GB"/>
              </w:rPr>
            </w:pPr>
            <w:r w:rsidRPr="0098635C">
              <w:rPr>
                <w:i/>
                <w:iCs/>
                <w:color w:val="000000" w:themeColor="text1"/>
                <w:sz w:val="20"/>
                <w:szCs w:val="20"/>
                <w:lang w:eastAsia="en-GB"/>
              </w:rPr>
              <w:lastRenderedPageBreak/>
              <w:t>Mortality</w:t>
            </w:r>
          </w:p>
          <w:p w14:paraId="4E9BF8E7" w14:textId="77777777" w:rsidR="00A57A22" w:rsidRPr="0098635C" w:rsidRDefault="00A57A22" w:rsidP="00690E61">
            <w:pPr>
              <w:widowControl/>
              <w:autoSpaceDE/>
              <w:autoSpaceDN/>
              <w:adjustRightInd/>
              <w:spacing w:after="0"/>
              <w:jc w:val="center"/>
              <w:rPr>
                <w:i/>
                <w:iCs/>
                <w:color w:val="000000" w:themeColor="text1"/>
                <w:sz w:val="20"/>
                <w:szCs w:val="20"/>
                <w:lang w:eastAsia="en-GB"/>
              </w:rPr>
            </w:pPr>
          </w:p>
        </w:tc>
        <w:tc>
          <w:tcPr>
            <w:tcW w:w="2268" w:type="dxa"/>
            <w:tcBorders>
              <w:top w:val="single" w:sz="4" w:space="0" w:color="auto"/>
              <w:left w:val="nil"/>
              <w:bottom w:val="single" w:sz="4" w:space="0" w:color="auto"/>
              <w:right w:val="single" w:sz="4" w:space="0" w:color="auto"/>
            </w:tcBorders>
            <w:shd w:val="clear" w:color="auto" w:fill="auto"/>
            <w:noWrap/>
            <w:vAlign w:val="bottom"/>
          </w:tcPr>
          <w:p w14:paraId="50A8A303"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w:t>
            </w:r>
          </w:p>
          <w:p w14:paraId="708295E9"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c>
          <w:tcPr>
            <w:tcW w:w="1985" w:type="dxa"/>
            <w:tcBorders>
              <w:top w:val="single" w:sz="4" w:space="0" w:color="auto"/>
              <w:left w:val="nil"/>
              <w:bottom w:val="single" w:sz="4" w:space="0" w:color="auto"/>
              <w:right w:val="single" w:sz="4" w:space="0" w:color="auto"/>
            </w:tcBorders>
            <w:shd w:val="clear" w:color="auto" w:fill="auto"/>
            <w:vAlign w:val="bottom"/>
          </w:tcPr>
          <w:p w14:paraId="5CBDF418"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w:t>
            </w:r>
          </w:p>
          <w:p w14:paraId="7E4A1EA6"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c>
          <w:tcPr>
            <w:tcW w:w="2126" w:type="dxa"/>
            <w:tcBorders>
              <w:top w:val="single" w:sz="4" w:space="0" w:color="auto"/>
              <w:left w:val="nil"/>
              <w:bottom w:val="single" w:sz="4" w:space="0" w:color="auto"/>
              <w:right w:val="single" w:sz="4" w:space="0" w:color="auto"/>
            </w:tcBorders>
            <w:shd w:val="clear" w:color="000000" w:fill="FFFFFF"/>
            <w:vAlign w:val="bottom"/>
          </w:tcPr>
          <w:p w14:paraId="7C86AFA7"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805 (800-810, n=2)</w:t>
            </w:r>
          </w:p>
          <w:p w14:paraId="560D827E"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c>
          <w:tcPr>
            <w:tcW w:w="2433" w:type="dxa"/>
            <w:tcBorders>
              <w:top w:val="single" w:sz="4" w:space="0" w:color="auto"/>
              <w:left w:val="nil"/>
              <w:bottom w:val="single" w:sz="4" w:space="0" w:color="auto"/>
              <w:right w:val="single" w:sz="4" w:space="0" w:color="auto"/>
            </w:tcBorders>
            <w:shd w:val="clear" w:color="000000" w:fill="FFFFFF"/>
            <w:vAlign w:val="bottom"/>
          </w:tcPr>
          <w:p w14:paraId="5F53FA1B"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805 (800-810, n=2)</w:t>
            </w:r>
          </w:p>
          <w:p w14:paraId="33AED1F3" w14:textId="77777777" w:rsidR="00A57A22" w:rsidRPr="0098635C" w:rsidRDefault="00A57A22" w:rsidP="00690E61">
            <w:pPr>
              <w:widowControl/>
              <w:autoSpaceDE/>
              <w:autoSpaceDN/>
              <w:adjustRightInd/>
              <w:spacing w:after="0"/>
              <w:jc w:val="center"/>
              <w:rPr>
                <w:i/>
                <w:color w:val="000000" w:themeColor="text1"/>
                <w:sz w:val="20"/>
                <w:szCs w:val="20"/>
                <w:lang w:eastAsia="en-GB"/>
              </w:rPr>
            </w:pPr>
          </w:p>
        </w:tc>
      </w:tr>
      <w:tr w:rsidR="00A57A22" w:rsidRPr="0098635C" w14:paraId="0C2351BE" w14:textId="77777777" w:rsidTr="00690E61">
        <w:trPr>
          <w:trHeight w:val="63"/>
        </w:trPr>
        <w:tc>
          <w:tcPr>
            <w:tcW w:w="10098" w:type="dxa"/>
            <w:gridSpan w:val="5"/>
            <w:tcBorders>
              <w:top w:val="single" w:sz="4" w:space="0" w:color="auto"/>
              <w:left w:val="single" w:sz="8" w:space="0" w:color="auto"/>
              <w:bottom w:val="single" w:sz="4" w:space="0" w:color="auto"/>
              <w:right w:val="single" w:sz="4" w:space="0" w:color="auto"/>
            </w:tcBorders>
            <w:shd w:val="clear" w:color="auto" w:fill="auto"/>
            <w:noWrap/>
            <w:vAlign w:val="bottom"/>
          </w:tcPr>
          <w:p w14:paraId="5CFD7BD5" w14:textId="77777777" w:rsidR="00A57A22" w:rsidRPr="0098635C" w:rsidRDefault="00A57A22" w:rsidP="00690E61">
            <w:pPr>
              <w:widowControl/>
              <w:autoSpaceDE/>
              <w:autoSpaceDN/>
              <w:adjustRightInd/>
              <w:spacing w:after="0"/>
              <w:jc w:val="left"/>
              <w:rPr>
                <w:b/>
                <w:bCs/>
                <w:i/>
                <w:iCs/>
                <w:color w:val="000000" w:themeColor="text1"/>
                <w:sz w:val="20"/>
                <w:szCs w:val="20"/>
                <w:u w:val="single"/>
                <w:lang w:eastAsia="en-GB"/>
              </w:rPr>
            </w:pPr>
          </w:p>
          <w:p w14:paraId="03847904" w14:textId="77777777" w:rsidR="00A57A22" w:rsidRPr="0098635C" w:rsidRDefault="00A57A22" w:rsidP="00690E61">
            <w:pPr>
              <w:widowControl/>
              <w:autoSpaceDE/>
              <w:autoSpaceDN/>
              <w:adjustRightInd/>
              <w:spacing w:after="0"/>
              <w:jc w:val="left"/>
              <w:rPr>
                <w:color w:val="000000" w:themeColor="text1"/>
                <w:sz w:val="20"/>
                <w:szCs w:val="20"/>
                <w:lang w:eastAsia="en-GB"/>
              </w:rPr>
            </w:pPr>
            <w:r w:rsidRPr="0098635C">
              <w:rPr>
                <w:b/>
                <w:bCs/>
                <w:i/>
                <w:iCs/>
                <w:color w:val="000000" w:themeColor="text1"/>
                <w:sz w:val="20"/>
                <w:szCs w:val="20"/>
                <w:u w:val="single"/>
                <w:lang w:eastAsia="en-GB"/>
              </w:rPr>
              <w:t>Pimephales promelas</w:t>
            </w:r>
          </w:p>
        </w:tc>
      </w:tr>
      <w:tr w:rsidR="00A57A22" w:rsidRPr="0098635C" w14:paraId="22277273" w14:textId="77777777" w:rsidTr="00690E61">
        <w:trPr>
          <w:trHeight w:val="315"/>
        </w:trPr>
        <w:tc>
          <w:tcPr>
            <w:tcW w:w="1286" w:type="dxa"/>
            <w:tcBorders>
              <w:top w:val="single" w:sz="4" w:space="0" w:color="auto"/>
              <w:left w:val="single" w:sz="8" w:space="0" w:color="auto"/>
              <w:bottom w:val="single" w:sz="4" w:space="0" w:color="auto"/>
              <w:right w:val="single" w:sz="4" w:space="0" w:color="auto"/>
            </w:tcBorders>
            <w:shd w:val="clear" w:color="auto" w:fill="auto"/>
            <w:noWrap/>
            <w:vAlign w:val="bottom"/>
          </w:tcPr>
          <w:p w14:paraId="42039DD8" w14:textId="77777777" w:rsidR="00A57A22" w:rsidRPr="0098635C" w:rsidRDefault="00A57A22" w:rsidP="00690E61">
            <w:pPr>
              <w:widowControl/>
              <w:autoSpaceDE/>
              <w:autoSpaceDN/>
              <w:adjustRightInd/>
              <w:spacing w:after="0"/>
              <w:jc w:val="center"/>
              <w:rPr>
                <w:i/>
                <w:iCs/>
                <w:color w:val="000000" w:themeColor="text1"/>
                <w:sz w:val="20"/>
                <w:szCs w:val="20"/>
                <w:lang w:eastAsia="en-GB"/>
              </w:rPr>
            </w:pPr>
            <w:r w:rsidRPr="0098635C">
              <w:rPr>
                <w:i/>
                <w:iCs/>
                <w:color w:val="000000" w:themeColor="text1"/>
                <w:sz w:val="20"/>
                <w:szCs w:val="20"/>
                <w:lang w:eastAsia="en-GB"/>
              </w:rPr>
              <w:t>Mortality</w:t>
            </w:r>
            <w:r w:rsidRPr="0098635C">
              <w:rPr>
                <w:rStyle w:val="FootnoteReference"/>
                <w:i/>
                <w:iCs/>
                <w:color w:val="000000" w:themeColor="text1"/>
                <w:sz w:val="20"/>
                <w:szCs w:val="20"/>
                <w:lang w:eastAsia="en-GB"/>
              </w:rPr>
              <w:footnoteReference w:id="29"/>
            </w:r>
          </w:p>
          <w:p w14:paraId="1FCB4DAC" w14:textId="77777777" w:rsidR="00A57A22" w:rsidRPr="0098635C" w:rsidRDefault="00A57A22" w:rsidP="00690E61">
            <w:pPr>
              <w:widowControl/>
              <w:autoSpaceDE/>
              <w:autoSpaceDN/>
              <w:adjustRightInd/>
              <w:spacing w:after="0"/>
              <w:jc w:val="center"/>
              <w:rPr>
                <w:i/>
                <w:iCs/>
                <w:color w:val="000000" w:themeColor="text1"/>
                <w:sz w:val="20"/>
                <w:szCs w:val="20"/>
                <w:lang w:eastAsia="en-GB"/>
              </w:rPr>
            </w:pPr>
          </w:p>
        </w:tc>
        <w:tc>
          <w:tcPr>
            <w:tcW w:w="2268" w:type="dxa"/>
            <w:tcBorders>
              <w:top w:val="single" w:sz="4" w:space="0" w:color="auto"/>
              <w:left w:val="nil"/>
              <w:bottom w:val="single" w:sz="4" w:space="0" w:color="auto"/>
              <w:right w:val="single" w:sz="4" w:space="0" w:color="auto"/>
            </w:tcBorders>
            <w:shd w:val="clear" w:color="auto" w:fill="auto"/>
            <w:noWrap/>
            <w:vAlign w:val="bottom"/>
          </w:tcPr>
          <w:p w14:paraId="556F9008"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8.1 (4.4-15, n=2)</w:t>
            </w:r>
            <w:r w:rsidRPr="0098635C">
              <w:rPr>
                <w:rStyle w:val="FootnoteReference"/>
                <w:color w:val="000000" w:themeColor="text1"/>
                <w:sz w:val="20"/>
                <w:szCs w:val="20"/>
                <w:lang w:eastAsia="en-GB"/>
              </w:rPr>
              <w:footnoteReference w:id="30"/>
            </w:r>
          </w:p>
          <w:p w14:paraId="33F566DD" w14:textId="77777777" w:rsidR="00A57A22" w:rsidRPr="0098635C" w:rsidRDefault="00A57A22" w:rsidP="00690E61">
            <w:pPr>
              <w:widowControl/>
              <w:autoSpaceDE/>
              <w:autoSpaceDN/>
              <w:adjustRightInd/>
              <w:spacing w:after="0"/>
              <w:jc w:val="center"/>
              <w:rPr>
                <w:i/>
                <w:color w:val="000000" w:themeColor="text1"/>
                <w:sz w:val="20"/>
                <w:szCs w:val="20"/>
                <w:lang w:eastAsia="en-GB"/>
              </w:rPr>
            </w:pPr>
          </w:p>
        </w:tc>
        <w:tc>
          <w:tcPr>
            <w:tcW w:w="1985" w:type="dxa"/>
            <w:tcBorders>
              <w:top w:val="single" w:sz="4" w:space="0" w:color="auto"/>
              <w:left w:val="nil"/>
              <w:bottom w:val="single" w:sz="4" w:space="0" w:color="auto"/>
              <w:right w:val="single" w:sz="4" w:space="0" w:color="auto"/>
            </w:tcBorders>
            <w:shd w:val="clear" w:color="auto" w:fill="auto"/>
            <w:vAlign w:val="bottom"/>
          </w:tcPr>
          <w:p w14:paraId="6877EB99"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151.2 (5.9-1400, n=33)</w:t>
            </w:r>
          </w:p>
        </w:tc>
        <w:tc>
          <w:tcPr>
            <w:tcW w:w="2126" w:type="dxa"/>
            <w:tcBorders>
              <w:top w:val="single" w:sz="4" w:space="0" w:color="auto"/>
              <w:left w:val="nil"/>
              <w:bottom w:val="single" w:sz="4" w:space="0" w:color="auto"/>
              <w:right w:val="single" w:sz="4" w:space="0" w:color="auto"/>
            </w:tcBorders>
            <w:shd w:val="clear" w:color="000000" w:fill="FFFFFF"/>
            <w:vAlign w:val="bottom"/>
          </w:tcPr>
          <w:p w14:paraId="5B963914"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225.2 (12.4-1060, n=161)</w:t>
            </w:r>
          </w:p>
        </w:tc>
        <w:tc>
          <w:tcPr>
            <w:tcW w:w="2433" w:type="dxa"/>
            <w:tcBorders>
              <w:top w:val="single" w:sz="4" w:space="0" w:color="auto"/>
              <w:left w:val="nil"/>
              <w:bottom w:val="single" w:sz="4" w:space="0" w:color="auto"/>
              <w:right w:val="single" w:sz="4" w:space="0" w:color="auto"/>
            </w:tcBorders>
            <w:shd w:val="clear" w:color="000000" w:fill="FFFFFF"/>
            <w:vAlign w:val="bottom"/>
          </w:tcPr>
          <w:p w14:paraId="2D188EB5"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203.5 (4.4-1400, n=196)</w:t>
            </w:r>
          </w:p>
        </w:tc>
      </w:tr>
      <w:tr w:rsidR="00A57A22" w:rsidRPr="0098635C" w14:paraId="6073EAB1" w14:textId="77777777" w:rsidTr="00690E61">
        <w:trPr>
          <w:trHeight w:val="123"/>
        </w:trPr>
        <w:tc>
          <w:tcPr>
            <w:tcW w:w="10098" w:type="dxa"/>
            <w:gridSpan w:val="5"/>
            <w:tcBorders>
              <w:top w:val="single" w:sz="4" w:space="0" w:color="auto"/>
              <w:left w:val="single" w:sz="8" w:space="0" w:color="auto"/>
              <w:bottom w:val="single" w:sz="4" w:space="0" w:color="auto"/>
              <w:right w:val="single" w:sz="4" w:space="0" w:color="auto"/>
            </w:tcBorders>
            <w:shd w:val="clear" w:color="auto" w:fill="auto"/>
            <w:noWrap/>
            <w:vAlign w:val="bottom"/>
          </w:tcPr>
          <w:p w14:paraId="5E5E5E32" w14:textId="77777777" w:rsidR="00A57A22" w:rsidRPr="0098635C" w:rsidRDefault="00A57A22" w:rsidP="00690E61">
            <w:pPr>
              <w:widowControl/>
              <w:autoSpaceDE/>
              <w:autoSpaceDN/>
              <w:adjustRightInd/>
              <w:spacing w:after="0"/>
              <w:jc w:val="left"/>
              <w:rPr>
                <w:b/>
                <w:bCs/>
                <w:i/>
                <w:iCs/>
                <w:color w:val="000000" w:themeColor="text1"/>
                <w:sz w:val="20"/>
                <w:szCs w:val="20"/>
                <w:u w:val="single"/>
                <w:lang w:eastAsia="en-GB"/>
              </w:rPr>
            </w:pPr>
          </w:p>
          <w:p w14:paraId="65509BBF" w14:textId="77777777" w:rsidR="00A57A22" w:rsidRPr="0098635C" w:rsidRDefault="00A57A22" w:rsidP="00690E61">
            <w:pPr>
              <w:widowControl/>
              <w:autoSpaceDE/>
              <w:autoSpaceDN/>
              <w:adjustRightInd/>
              <w:spacing w:after="0"/>
              <w:jc w:val="left"/>
              <w:rPr>
                <w:color w:val="000000" w:themeColor="text1"/>
                <w:sz w:val="20"/>
                <w:szCs w:val="20"/>
                <w:lang w:eastAsia="en-GB"/>
              </w:rPr>
            </w:pPr>
            <w:r w:rsidRPr="0098635C">
              <w:rPr>
                <w:b/>
                <w:bCs/>
                <w:i/>
                <w:iCs/>
                <w:color w:val="000000" w:themeColor="text1"/>
                <w:sz w:val="20"/>
                <w:szCs w:val="20"/>
                <w:u w:val="single"/>
                <w:lang w:eastAsia="en-GB"/>
              </w:rPr>
              <w:t>Lepomis macrochirus</w:t>
            </w:r>
          </w:p>
        </w:tc>
      </w:tr>
      <w:tr w:rsidR="00A57A22" w:rsidRPr="0098635C" w14:paraId="519CACCC" w14:textId="77777777" w:rsidTr="00690E61">
        <w:trPr>
          <w:trHeight w:val="405"/>
        </w:trPr>
        <w:tc>
          <w:tcPr>
            <w:tcW w:w="1286" w:type="dxa"/>
            <w:tcBorders>
              <w:top w:val="single" w:sz="4" w:space="0" w:color="auto"/>
              <w:left w:val="single" w:sz="8" w:space="0" w:color="auto"/>
              <w:bottom w:val="single" w:sz="4" w:space="0" w:color="auto"/>
              <w:right w:val="single" w:sz="4" w:space="0" w:color="auto"/>
            </w:tcBorders>
            <w:shd w:val="clear" w:color="auto" w:fill="auto"/>
            <w:noWrap/>
            <w:vAlign w:val="bottom"/>
          </w:tcPr>
          <w:p w14:paraId="59FF6F40" w14:textId="77777777" w:rsidR="00A57A22" w:rsidRPr="0098635C" w:rsidRDefault="00A57A22" w:rsidP="00690E61">
            <w:pPr>
              <w:widowControl/>
              <w:autoSpaceDE/>
              <w:autoSpaceDN/>
              <w:adjustRightInd/>
              <w:spacing w:after="0"/>
              <w:jc w:val="center"/>
              <w:rPr>
                <w:i/>
                <w:iCs/>
                <w:color w:val="000000" w:themeColor="text1"/>
                <w:sz w:val="20"/>
                <w:szCs w:val="20"/>
                <w:lang w:eastAsia="en-GB"/>
              </w:rPr>
            </w:pPr>
            <w:r w:rsidRPr="0098635C">
              <w:rPr>
                <w:i/>
                <w:iCs/>
                <w:color w:val="000000" w:themeColor="text1"/>
                <w:sz w:val="20"/>
                <w:szCs w:val="20"/>
                <w:lang w:eastAsia="en-GB"/>
              </w:rPr>
              <w:t>Mortality</w:t>
            </w:r>
          </w:p>
          <w:p w14:paraId="375BDA1E" w14:textId="77777777" w:rsidR="00A57A22" w:rsidRPr="0098635C" w:rsidRDefault="00A57A22" w:rsidP="00690E61">
            <w:pPr>
              <w:widowControl/>
              <w:autoSpaceDE/>
              <w:autoSpaceDN/>
              <w:adjustRightInd/>
              <w:spacing w:after="0"/>
              <w:jc w:val="center"/>
              <w:rPr>
                <w:i/>
                <w:iCs/>
                <w:color w:val="000000" w:themeColor="text1"/>
                <w:sz w:val="20"/>
                <w:szCs w:val="20"/>
                <w:lang w:eastAsia="en-GB"/>
              </w:rPr>
            </w:pPr>
          </w:p>
          <w:p w14:paraId="59CB9201" w14:textId="77777777" w:rsidR="00A57A22" w:rsidRPr="0098635C" w:rsidRDefault="00A57A22" w:rsidP="00690E61">
            <w:pPr>
              <w:widowControl/>
              <w:autoSpaceDE/>
              <w:autoSpaceDN/>
              <w:adjustRightInd/>
              <w:spacing w:after="0"/>
              <w:jc w:val="center"/>
              <w:rPr>
                <w:i/>
                <w:iCs/>
                <w:color w:val="000000" w:themeColor="text1"/>
                <w:sz w:val="20"/>
                <w:szCs w:val="20"/>
                <w:lang w:eastAsia="en-GB"/>
              </w:rPr>
            </w:pPr>
          </w:p>
        </w:tc>
        <w:tc>
          <w:tcPr>
            <w:tcW w:w="2268" w:type="dxa"/>
            <w:tcBorders>
              <w:top w:val="single" w:sz="4" w:space="0" w:color="auto"/>
              <w:left w:val="nil"/>
              <w:bottom w:val="single" w:sz="4" w:space="0" w:color="auto"/>
              <w:right w:val="single" w:sz="4" w:space="0" w:color="auto"/>
            </w:tcBorders>
            <w:shd w:val="clear" w:color="auto" w:fill="auto"/>
            <w:noWrap/>
            <w:vAlign w:val="bottom"/>
          </w:tcPr>
          <w:p w14:paraId="71AD19C9"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w:t>
            </w:r>
          </w:p>
          <w:p w14:paraId="18C323AA" w14:textId="77777777" w:rsidR="00A57A22" w:rsidRPr="0098635C" w:rsidRDefault="00A57A22" w:rsidP="00690E61">
            <w:pPr>
              <w:widowControl/>
              <w:autoSpaceDE/>
              <w:autoSpaceDN/>
              <w:adjustRightInd/>
              <w:spacing w:after="0"/>
              <w:jc w:val="center"/>
              <w:rPr>
                <w:color w:val="000000" w:themeColor="text1"/>
                <w:sz w:val="20"/>
                <w:szCs w:val="20"/>
                <w:lang w:eastAsia="en-GB"/>
              </w:rPr>
            </w:pPr>
          </w:p>
          <w:p w14:paraId="113BFD1D"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c>
          <w:tcPr>
            <w:tcW w:w="1985" w:type="dxa"/>
            <w:tcBorders>
              <w:top w:val="single" w:sz="4" w:space="0" w:color="auto"/>
              <w:left w:val="nil"/>
              <w:bottom w:val="single" w:sz="4" w:space="0" w:color="auto"/>
              <w:right w:val="single" w:sz="4" w:space="0" w:color="auto"/>
            </w:tcBorders>
            <w:shd w:val="clear" w:color="auto" w:fill="auto"/>
            <w:vAlign w:val="bottom"/>
          </w:tcPr>
          <w:p w14:paraId="4569F888"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1005 (1000-1010, n=2)</w:t>
            </w:r>
          </w:p>
          <w:p w14:paraId="0D705FB0" w14:textId="77777777" w:rsidR="00A57A22" w:rsidRPr="0098635C" w:rsidRDefault="00A57A22" w:rsidP="00690E61">
            <w:pPr>
              <w:widowControl/>
              <w:autoSpaceDE/>
              <w:autoSpaceDN/>
              <w:adjustRightInd/>
              <w:spacing w:after="0"/>
              <w:jc w:val="center"/>
              <w:rPr>
                <w:i/>
                <w:color w:val="000000" w:themeColor="text1"/>
                <w:sz w:val="20"/>
                <w:szCs w:val="20"/>
                <w:lang w:eastAsia="en-GB"/>
              </w:rPr>
            </w:pPr>
          </w:p>
        </w:tc>
        <w:tc>
          <w:tcPr>
            <w:tcW w:w="2126" w:type="dxa"/>
            <w:tcBorders>
              <w:top w:val="single" w:sz="4" w:space="0" w:color="auto"/>
              <w:left w:val="nil"/>
              <w:bottom w:val="single" w:sz="4" w:space="0" w:color="auto"/>
              <w:right w:val="single" w:sz="4" w:space="0" w:color="auto"/>
            </w:tcBorders>
            <w:shd w:val="clear" w:color="000000" w:fill="FFFFFF"/>
            <w:vAlign w:val="bottom"/>
          </w:tcPr>
          <w:p w14:paraId="2B139418"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5509 (4250-9150, n=3)</w:t>
            </w:r>
          </w:p>
          <w:p w14:paraId="29251631"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c>
          <w:tcPr>
            <w:tcW w:w="2433" w:type="dxa"/>
            <w:tcBorders>
              <w:top w:val="single" w:sz="4" w:space="0" w:color="auto"/>
              <w:left w:val="nil"/>
              <w:bottom w:val="single" w:sz="4" w:space="0" w:color="auto"/>
              <w:right w:val="single" w:sz="4" w:space="0" w:color="auto"/>
            </w:tcBorders>
            <w:shd w:val="clear" w:color="000000" w:fill="FFFFFF"/>
            <w:vAlign w:val="bottom"/>
          </w:tcPr>
          <w:p w14:paraId="0ED1157E"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2837.5 (1000-9150, n=5)</w:t>
            </w:r>
          </w:p>
          <w:p w14:paraId="06324563" w14:textId="77777777" w:rsidR="00A57A22" w:rsidRPr="0098635C" w:rsidRDefault="00A57A22" w:rsidP="00690E61">
            <w:pPr>
              <w:widowControl/>
              <w:autoSpaceDE/>
              <w:autoSpaceDN/>
              <w:adjustRightInd/>
              <w:spacing w:after="0"/>
              <w:jc w:val="center"/>
              <w:rPr>
                <w:color w:val="000000" w:themeColor="text1"/>
                <w:sz w:val="20"/>
                <w:szCs w:val="20"/>
                <w:lang w:eastAsia="en-GB"/>
              </w:rPr>
            </w:pPr>
          </w:p>
        </w:tc>
      </w:tr>
      <w:tr w:rsidR="00A57A22" w:rsidRPr="0098635C" w14:paraId="2104AB25" w14:textId="77777777" w:rsidTr="00690E61">
        <w:trPr>
          <w:trHeight w:val="405"/>
        </w:trPr>
        <w:tc>
          <w:tcPr>
            <w:tcW w:w="1286" w:type="dxa"/>
            <w:tcBorders>
              <w:top w:val="single" w:sz="4" w:space="0" w:color="auto"/>
              <w:left w:val="single" w:sz="8" w:space="0" w:color="auto"/>
              <w:bottom w:val="double" w:sz="4" w:space="0" w:color="auto"/>
              <w:right w:val="single" w:sz="4" w:space="0" w:color="auto"/>
            </w:tcBorders>
            <w:shd w:val="clear" w:color="auto" w:fill="E6E6E6"/>
            <w:noWrap/>
            <w:vAlign w:val="bottom"/>
          </w:tcPr>
          <w:p w14:paraId="029DF30B" w14:textId="77777777" w:rsidR="00A57A22" w:rsidRPr="0098635C" w:rsidRDefault="00A57A22" w:rsidP="00690E61">
            <w:pPr>
              <w:widowControl/>
              <w:autoSpaceDE/>
              <w:autoSpaceDN/>
              <w:adjustRightInd/>
              <w:spacing w:after="0"/>
              <w:jc w:val="center"/>
              <w:rPr>
                <w:b/>
                <w:iCs/>
                <w:color w:val="000000" w:themeColor="text1"/>
                <w:sz w:val="20"/>
                <w:szCs w:val="20"/>
                <w:u w:val="single"/>
                <w:lang w:eastAsia="en-GB"/>
              </w:rPr>
            </w:pPr>
          </w:p>
          <w:p w14:paraId="008193D0" w14:textId="77777777" w:rsidR="00A57A22" w:rsidRPr="0098635C" w:rsidRDefault="00A57A22" w:rsidP="00690E61">
            <w:pPr>
              <w:widowControl/>
              <w:autoSpaceDE/>
              <w:autoSpaceDN/>
              <w:adjustRightInd/>
              <w:spacing w:after="0"/>
              <w:jc w:val="center"/>
              <w:rPr>
                <w:b/>
                <w:iCs/>
                <w:color w:val="000000" w:themeColor="text1"/>
                <w:sz w:val="20"/>
                <w:szCs w:val="20"/>
                <w:u w:val="single"/>
                <w:lang w:eastAsia="en-GB"/>
              </w:rPr>
            </w:pPr>
            <w:r w:rsidRPr="0098635C">
              <w:rPr>
                <w:b/>
                <w:iCs/>
                <w:color w:val="000000" w:themeColor="text1"/>
                <w:sz w:val="20"/>
                <w:szCs w:val="20"/>
                <w:u w:val="single"/>
                <w:lang w:eastAsia="en-GB"/>
              </w:rPr>
              <w:t>Fish</w:t>
            </w:r>
          </w:p>
          <w:p w14:paraId="0610497E" w14:textId="77777777" w:rsidR="00A57A22" w:rsidRPr="0098635C" w:rsidRDefault="00A57A22" w:rsidP="00690E61">
            <w:pPr>
              <w:widowControl/>
              <w:autoSpaceDE/>
              <w:autoSpaceDN/>
              <w:adjustRightInd/>
              <w:spacing w:after="0"/>
              <w:jc w:val="center"/>
              <w:rPr>
                <w:iCs/>
                <w:color w:val="000000" w:themeColor="text1"/>
                <w:sz w:val="20"/>
                <w:szCs w:val="20"/>
                <w:lang w:eastAsia="en-GB"/>
              </w:rPr>
            </w:pPr>
            <w:r w:rsidRPr="0098635C">
              <w:rPr>
                <w:iCs/>
                <w:color w:val="000000" w:themeColor="text1"/>
                <w:sz w:val="20"/>
                <w:szCs w:val="20"/>
                <w:lang w:eastAsia="en-GB"/>
              </w:rPr>
              <w:t>Mortality</w:t>
            </w:r>
          </w:p>
        </w:tc>
        <w:tc>
          <w:tcPr>
            <w:tcW w:w="2268" w:type="dxa"/>
            <w:tcBorders>
              <w:top w:val="single" w:sz="4" w:space="0" w:color="auto"/>
              <w:left w:val="nil"/>
              <w:bottom w:val="double" w:sz="4" w:space="0" w:color="auto"/>
              <w:right w:val="single" w:sz="4" w:space="0" w:color="auto"/>
            </w:tcBorders>
            <w:shd w:val="clear" w:color="auto" w:fill="E6E6E6"/>
            <w:noWrap/>
            <w:vAlign w:val="bottom"/>
          </w:tcPr>
          <w:p w14:paraId="39E0105A"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(4.2-82.2, n=9)</w:t>
            </w:r>
          </w:p>
        </w:tc>
        <w:tc>
          <w:tcPr>
            <w:tcW w:w="1985" w:type="dxa"/>
            <w:tcBorders>
              <w:top w:val="single" w:sz="4" w:space="0" w:color="auto"/>
              <w:left w:val="nil"/>
              <w:bottom w:val="double" w:sz="4" w:space="0" w:color="auto"/>
              <w:right w:val="single" w:sz="4" w:space="0" w:color="auto"/>
            </w:tcBorders>
            <w:shd w:val="clear" w:color="auto" w:fill="E6E6E6"/>
            <w:vAlign w:val="bottom"/>
          </w:tcPr>
          <w:p w14:paraId="63E03281"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(2.8-1400, n=54)</w:t>
            </w:r>
          </w:p>
        </w:tc>
        <w:tc>
          <w:tcPr>
            <w:tcW w:w="2126" w:type="dxa"/>
            <w:tcBorders>
              <w:top w:val="single" w:sz="4" w:space="0" w:color="auto"/>
              <w:left w:val="nil"/>
              <w:bottom w:val="double" w:sz="4" w:space="0" w:color="auto"/>
              <w:right w:val="single" w:sz="4" w:space="0" w:color="auto"/>
            </w:tcBorders>
            <w:shd w:val="clear" w:color="auto" w:fill="E6E6E6"/>
            <w:vAlign w:val="bottom"/>
          </w:tcPr>
          <w:p w14:paraId="2AFE5ACD"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(9.5-9150, n=192)</w:t>
            </w:r>
          </w:p>
        </w:tc>
        <w:tc>
          <w:tcPr>
            <w:tcW w:w="2433" w:type="dxa"/>
            <w:tcBorders>
              <w:top w:val="single" w:sz="4" w:space="0" w:color="auto"/>
              <w:left w:val="nil"/>
              <w:bottom w:val="double" w:sz="4" w:space="0" w:color="auto"/>
              <w:right w:val="single" w:sz="4" w:space="0" w:color="auto"/>
            </w:tcBorders>
            <w:shd w:val="clear" w:color="auto" w:fill="E6E6E6"/>
            <w:vAlign w:val="bottom"/>
          </w:tcPr>
          <w:p w14:paraId="7AEE3F70" w14:textId="77777777" w:rsidR="00A57A22" w:rsidRPr="0098635C" w:rsidRDefault="00A57A22" w:rsidP="00690E61">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(2.8-9150, n=255)</w:t>
            </w:r>
          </w:p>
        </w:tc>
      </w:tr>
    </w:tbl>
    <w:p w14:paraId="4B265CDE" w14:textId="77777777" w:rsidR="00A57A22" w:rsidRPr="0098635C" w:rsidRDefault="00A57A22" w:rsidP="00A57A22">
      <w:pPr>
        <w:pStyle w:val="BodyText"/>
        <w:rPr>
          <w:color w:val="000000" w:themeColor="text1"/>
          <w:sz w:val="20"/>
        </w:rPr>
      </w:pPr>
    </w:p>
    <w:p w14:paraId="54FD4B7E" w14:textId="246D0134" w:rsidR="00673BD5" w:rsidRPr="0098635C" w:rsidRDefault="00FA6753" w:rsidP="008B34B0">
      <w:pPr>
        <w:pStyle w:val="BodyText"/>
        <w:rPr>
          <w:color w:val="000000" w:themeColor="text1"/>
          <w:sz w:val="20"/>
        </w:rPr>
      </w:pPr>
      <w:r w:rsidRPr="0098635C">
        <w:rPr>
          <w:color w:val="000000" w:themeColor="text1"/>
          <w:sz w:val="20"/>
        </w:rPr>
        <w:fldChar w:fldCharType="begin"/>
      </w:r>
      <w:r w:rsidRPr="0098635C">
        <w:rPr>
          <w:color w:val="000000" w:themeColor="text1"/>
          <w:sz w:val="20"/>
        </w:rPr>
        <w:instrText xml:space="preserve"> REF _Ref472069194 \h </w:instrText>
      </w:r>
      <w:r w:rsidR="009003E0" w:rsidRPr="0098635C">
        <w:rPr>
          <w:color w:val="000000" w:themeColor="text1"/>
          <w:sz w:val="20"/>
        </w:rPr>
        <w:instrText xml:space="preserve"> \* MERGEFORMAT </w:instrText>
      </w:r>
      <w:r w:rsidRPr="0098635C">
        <w:rPr>
          <w:color w:val="000000" w:themeColor="text1"/>
          <w:sz w:val="20"/>
        </w:rPr>
      </w:r>
      <w:r w:rsidRPr="0098635C">
        <w:rPr>
          <w:color w:val="000000" w:themeColor="text1"/>
          <w:sz w:val="20"/>
        </w:rPr>
        <w:fldChar w:fldCharType="separate"/>
      </w:r>
      <w:r w:rsidR="005E5161" w:rsidRPr="0098635C">
        <w:rPr>
          <w:color w:val="000000" w:themeColor="text1"/>
          <w:sz w:val="20"/>
        </w:rPr>
        <w:t xml:space="preserve">Table </w:t>
      </w:r>
      <w:r w:rsidR="005E5161" w:rsidRPr="0098635C">
        <w:rPr>
          <w:noProof/>
          <w:color w:val="000000" w:themeColor="text1"/>
          <w:sz w:val="20"/>
        </w:rPr>
        <w:t>27</w:t>
      </w:r>
      <w:r w:rsidRPr="0098635C">
        <w:rPr>
          <w:color w:val="000000" w:themeColor="text1"/>
          <w:sz w:val="20"/>
        </w:rPr>
        <w:fldChar w:fldCharType="end"/>
      </w:r>
      <w:r w:rsidRPr="0098635C">
        <w:rPr>
          <w:color w:val="000000" w:themeColor="text1"/>
          <w:sz w:val="20"/>
        </w:rPr>
        <w:t xml:space="preserve"> summarizes </w:t>
      </w:r>
      <w:r w:rsidR="00E37B3B" w:rsidRPr="0098635C">
        <w:rPr>
          <w:color w:val="000000" w:themeColor="text1"/>
          <w:sz w:val="20"/>
        </w:rPr>
        <w:t xml:space="preserve">the </w:t>
      </w:r>
      <w:r w:rsidRPr="0098635C">
        <w:rPr>
          <w:color w:val="000000" w:themeColor="text1"/>
          <w:sz w:val="20"/>
        </w:rPr>
        <w:t xml:space="preserve">pH-specific </w:t>
      </w:r>
      <w:r w:rsidR="00E37B3B" w:rsidRPr="0098635C">
        <w:rPr>
          <w:color w:val="000000" w:themeColor="text1"/>
          <w:sz w:val="20"/>
        </w:rPr>
        <w:t>ecotoxicity data</w:t>
      </w:r>
      <w:r w:rsidRPr="0098635C">
        <w:rPr>
          <w:color w:val="000000" w:themeColor="text1"/>
          <w:sz w:val="20"/>
        </w:rPr>
        <w:t xml:space="preserve"> </w:t>
      </w:r>
      <w:r w:rsidR="00F61F38" w:rsidRPr="0098635C">
        <w:rPr>
          <w:color w:val="000000" w:themeColor="text1"/>
          <w:sz w:val="20"/>
        </w:rPr>
        <w:t>obtai</w:t>
      </w:r>
      <w:r w:rsidRPr="0098635C">
        <w:rPr>
          <w:color w:val="000000" w:themeColor="text1"/>
          <w:sz w:val="20"/>
        </w:rPr>
        <w:t>ned from soluble copper compounds (</w:t>
      </w:r>
      <w:r w:rsidRPr="0098635C">
        <w:rPr>
          <w:color w:val="000000" w:themeColor="text1"/>
          <w:sz w:val="20"/>
        </w:rPr>
        <w:fldChar w:fldCharType="begin"/>
      </w:r>
      <w:r w:rsidRPr="0098635C">
        <w:rPr>
          <w:color w:val="000000" w:themeColor="text1"/>
          <w:sz w:val="20"/>
        </w:rPr>
        <w:instrText xml:space="preserve"> REF _Ref471558563 \h </w:instrText>
      </w:r>
      <w:r w:rsidRPr="0098635C">
        <w:rPr>
          <w:color w:val="000000" w:themeColor="text1"/>
          <w:sz w:val="20"/>
        </w:rPr>
      </w:r>
      <w:r w:rsidR="0098635C">
        <w:rPr>
          <w:color w:val="000000" w:themeColor="text1"/>
          <w:sz w:val="20"/>
        </w:rPr>
        <w:instrText xml:space="preserve"> \* MERGEFORMAT </w:instrText>
      </w:r>
      <w:r w:rsidRPr="0098635C">
        <w:rPr>
          <w:color w:val="000000" w:themeColor="text1"/>
          <w:sz w:val="20"/>
        </w:rPr>
        <w:fldChar w:fldCharType="separate"/>
      </w:r>
      <w:r w:rsidR="005E5161" w:rsidRPr="0098635C">
        <w:rPr>
          <w:color w:val="000000" w:themeColor="text1"/>
          <w:sz w:val="20"/>
        </w:rPr>
        <w:t xml:space="preserve">Table </w:t>
      </w:r>
      <w:r w:rsidR="005E5161" w:rsidRPr="0098635C">
        <w:rPr>
          <w:noProof/>
          <w:color w:val="000000" w:themeColor="text1"/>
          <w:sz w:val="20"/>
        </w:rPr>
        <w:t>26</w:t>
      </w:r>
      <w:r w:rsidRPr="0098635C">
        <w:rPr>
          <w:color w:val="000000" w:themeColor="text1"/>
          <w:sz w:val="20"/>
        </w:rPr>
        <w:fldChar w:fldCharType="end"/>
      </w:r>
      <w:r w:rsidRPr="0098635C">
        <w:rPr>
          <w:color w:val="000000" w:themeColor="text1"/>
          <w:sz w:val="20"/>
        </w:rPr>
        <w:t>)</w:t>
      </w:r>
      <w:r w:rsidR="00E37B3B" w:rsidRPr="0098635C">
        <w:rPr>
          <w:color w:val="000000" w:themeColor="text1"/>
          <w:sz w:val="20"/>
        </w:rPr>
        <w:t xml:space="preserve">, </w:t>
      </w:r>
      <w:r w:rsidRPr="0098635C">
        <w:rPr>
          <w:color w:val="000000" w:themeColor="text1"/>
          <w:sz w:val="20"/>
        </w:rPr>
        <w:t>with the transformation/dissolution data of sparingly soluble CuO and Copper-metal (</w:t>
      </w:r>
      <w:r w:rsidRPr="0098635C">
        <w:rPr>
          <w:color w:val="000000" w:themeColor="text1"/>
          <w:sz w:val="20"/>
        </w:rPr>
        <w:fldChar w:fldCharType="begin"/>
      </w:r>
      <w:r w:rsidRPr="0098635C">
        <w:rPr>
          <w:color w:val="000000" w:themeColor="text1"/>
          <w:sz w:val="20"/>
        </w:rPr>
        <w:instrText xml:space="preserve"> REF _Ref472069721 \h  \* MERGEFORMAT </w:instrText>
      </w:r>
      <w:r w:rsidRPr="0098635C">
        <w:rPr>
          <w:color w:val="000000" w:themeColor="text1"/>
          <w:sz w:val="20"/>
        </w:rPr>
      </w:r>
      <w:r w:rsidRPr="0098635C">
        <w:rPr>
          <w:color w:val="000000" w:themeColor="text1"/>
          <w:sz w:val="20"/>
        </w:rPr>
        <w:fldChar w:fldCharType="separate"/>
      </w:r>
      <w:r w:rsidR="005E5161" w:rsidRPr="0098635C">
        <w:rPr>
          <w:color w:val="000000" w:themeColor="text1"/>
          <w:sz w:val="20"/>
        </w:rPr>
        <w:t xml:space="preserve">Table </w:t>
      </w:r>
      <w:r w:rsidR="005E5161" w:rsidRPr="0098635C">
        <w:rPr>
          <w:noProof/>
          <w:color w:val="000000" w:themeColor="text1"/>
          <w:sz w:val="20"/>
        </w:rPr>
        <w:t>3</w:t>
      </w:r>
      <w:r w:rsidRPr="0098635C">
        <w:rPr>
          <w:color w:val="000000" w:themeColor="text1"/>
          <w:sz w:val="20"/>
        </w:rPr>
        <w:fldChar w:fldCharType="end"/>
      </w:r>
      <w:r w:rsidRPr="0098635C">
        <w:rPr>
          <w:color w:val="000000" w:themeColor="text1"/>
          <w:sz w:val="20"/>
        </w:rPr>
        <w:t xml:space="preserve">). </w:t>
      </w:r>
      <w:r w:rsidR="00FC2BF7" w:rsidRPr="0098635C">
        <w:rPr>
          <w:color w:val="000000" w:themeColor="text1"/>
          <w:sz w:val="20"/>
        </w:rPr>
        <w:t xml:space="preserve">The </w:t>
      </w:r>
      <w:r w:rsidR="00F8502A" w:rsidRPr="0098635C">
        <w:rPr>
          <w:color w:val="000000" w:themeColor="text1"/>
          <w:sz w:val="20"/>
        </w:rPr>
        <w:t xml:space="preserve">lowest species-specific geometric mean </w:t>
      </w:r>
      <w:r w:rsidR="007E471E" w:rsidRPr="0098635C">
        <w:rPr>
          <w:color w:val="000000" w:themeColor="text1"/>
          <w:sz w:val="20"/>
        </w:rPr>
        <w:t>L(E)C</w:t>
      </w:r>
      <w:r w:rsidR="007E471E" w:rsidRPr="0098635C">
        <w:rPr>
          <w:color w:val="000000" w:themeColor="text1"/>
          <w:sz w:val="20"/>
          <w:vertAlign w:val="subscript"/>
        </w:rPr>
        <w:t>50</w:t>
      </w:r>
      <w:r w:rsidR="007E471E" w:rsidRPr="0098635C">
        <w:rPr>
          <w:color w:val="000000" w:themeColor="text1"/>
          <w:sz w:val="20"/>
        </w:rPr>
        <w:t xml:space="preserve"> </w:t>
      </w:r>
      <w:r w:rsidR="00F8502A" w:rsidRPr="0098635C">
        <w:rPr>
          <w:color w:val="000000" w:themeColor="text1"/>
          <w:sz w:val="20"/>
        </w:rPr>
        <w:t xml:space="preserve">values </w:t>
      </w:r>
      <w:r w:rsidR="00FC2BF7" w:rsidRPr="0098635C">
        <w:rPr>
          <w:color w:val="000000" w:themeColor="text1"/>
          <w:sz w:val="20"/>
        </w:rPr>
        <w:t xml:space="preserve">recorded at </w:t>
      </w:r>
      <w:r w:rsidR="00F8502A" w:rsidRPr="0098635C">
        <w:rPr>
          <w:color w:val="000000" w:themeColor="text1"/>
          <w:sz w:val="20"/>
        </w:rPr>
        <w:t xml:space="preserve">pH </w:t>
      </w:r>
      <w:r w:rsidR="00FC2BF7" w:rsidRPr="0098635C">
        <w:rPr>
          <w:color w:val="000000" w:themeColor="text1"/>
          <w:sz w:val="20"/>
        </w:rPr>
        <w:t>5.5-6.5</w:t>
      </w:r>
      <w:r w:rsidR="00F8502A" w:rsidRPr="0098635C">
        <w:rPr>
          <w:color w:val="000000" w:themeColor="text1"/>
          <w:sz w:val="20"/>
        </w:rPr>
        <w:t xml:space="preserve">, </w:t>
      </w:r>
      <w:r w:rsidR="00FC2BF7" w:rsidRPr="0098635C">
        <w:rPr>
          <w:color w:val="000000" w:themeColor="text1"/>
          <w:sz w:val="20"/>
        </w:rPr>
        <w:t>6.5-7.5</w:t>
      </w:r>
      <w:r w:rsidR="00F8502A" w:rsidRPr="0098635C">
        <w:rPr>
          <w:color w:val="000000" w:themeColor="text1"/>
          <w:sz w:val="20"/>
        </w:rPr>
        <w:t xml:space="preserve"> and </w:t>
      </w:r>
      <w:r w:rsidR="00FC2BF7" w:rsidRPr="0098635C">
        <w:rPr>
          <w:color w:val="000000" w:themeColor="text1"/>
          <w:sz w:val="20"/>
        </w:rPr>
        <w:t>7.5-8.5</w:t>
      </w:r>
      <w:r w:rsidR="00F8502A" w:rsidRPr="0098635C">
        <w:rPr>
          <w:color w:val="000000" w:themeColor="text1"/>
          <w:sz w:val="20"/>
        </w:rPr>
        <w:t xml:space="preserve"> </w:t>
      </w:r>
      <w:r w:rsidR="00AF31F0" w:rsidRPr="0098635C">
        <w:rPr>
          <w:color w:val="000000" w:themeColor="text1"/>
          <w:sz w:val="20"/>
        </w:rPr>
        <w:t>(</w:t>
      </w:r>
      <w:r w:rsidR="00AF31F0" w:rsidRPr="0098635C">
        <w:rPr>
          <w:color w:val="000000" w:themeColor="text1"/>
          <w:sz w:val="20"/>
        </w:rPr>
        <w:fldChar w:fldCharType="begin"/>
      </w:r>
      <w:r w:rsidR="00AF31F0" w:rsidRPr="0098635C">
        <w:rPr>
          <w:color w:val="000000" w:themeColor="text1"/>
          <w:sz w:val="20"/>
        </w:rPr>
        <w:instrText xml:space="preserve"> REF _Ref471558563 \h </w:instrText>
      </w:r>
      <w:r w:rsidR="00AF31F0" w:rsidRPr="0098635C">
        <w:rPr>
          <w:color w:val="000000" w:themeColor="text1"/>
          <w:sz w:val="20"/>
        </w:rPr>
      </w:r>
      <w:r w:rsidR="0098635C">
        <w:rPr>
          <w:color w:val="000000" w:themeColor="text1"/>
          <w:sz w:val="20"/>
        </w:rPr>
        <w:instrText xml:space="preserve"> \* MERGEFORMAT </w:instrText>
      </w:r>
      <w:r w:rsidR="00AF31F0" w:rsidRPr="0098635C">
        <w:rPr>
          <w:color w:val="000000" w:themeColor="text1"/>
          <w:sz w:val="20"/>
        </w:rPr>
        <w:fldChar w:fldCharType="separate"/>
      </w:r>
      <w:r w:rsidR="005E5161" w:rsidRPr="0098635C">
        <w:rPr>
          <w:color w:val="000000" w:themeColor="text1"/>
          <w:sz w:val="20"/>
        </w:rPr>
        <w:t xml:space="preserve">Table </w:t>
      </w:r>
      <w:r w:rsidR="005E5161" w:rsidRPr="0098635C">
        <w:rPr>
          <w:noProof/>
          <w:color w:val="000000" w:themeColor="text1"/>
          <w:sz w:val="20"/>
        </w:rPr>
        <w:t>26</w:t>
      </w:r>
      <w:r w:rsidR="00AF31F0" w:rsidRPr="0098635C">
        <w:rPr>
          <w:color w:val="000000" w:themeColor="text1"/>
          <w:sz w:val="20"/>
        </w:rPr>
        <w:fldChar w:fldCharType="end"/>
      </w:r>
      <w:r w:rsidR="00AF31F0" w:rsidRPr="0098635C">
        <w:rPr>
          <w:color w:val="000000" w:themeColor="text1"/>
          <w:sz w:val="20"/>
        </w:rPr>
        <w:t xml:space="preserve">) </w:t>
      </w:r>
      <w:r w:rsidR="00F61F38" w:rsidRPr="0098635C">
        <w:rPr>
          <w:color w:val="000000" w:themeColor="text1"/>
          <w:sz w:val="20"/>
        </w:rPr>
        <w:t xml:space="preserve">are </w:t>
      </w:r>
      <w:r w:rsidR="00F8502A" w:rsidRPr="0098635C">
        <w:rPr>
          <w:color w:val="000000" w:themeColor="text1"/>
          <w:sz w:val="20"/>
        </w:rPr>
        <w:t>respectively 25, 35 and 30 µg Cu</w:t>
      </w:r>
      <w:r w:rsidR="003E0032" w:rsidRPr="0098635C">
        <w:rPr>
          <w:color w:val="000000" w:themeColor="text1"/>
          <w:sz w:val="20"/>
        </w:rPr>
        <w:t>-ions</w:t>
      </w:r>
      <w:r w:rsidR="00F8502A" w:rsidRPr="0098635C">
        <w:rPr>
          <w:color w:val="000000" w:themeColor="text1"/>
          <w:sz w:val="20"/>
        </w:rPr>
        <w:t>/L</w:t>
      </w:r>
      <w:r w:rsidR="00F61F38" w:rsidRPr="0098635C">
        <w:rPr>
          <w:color w:val="000000" w:themeColor="text1"/>
          <w:sz w:val="20"/>
        </w:rPr>
        <w:t xml:space="preserve"> </w:t>
      </w:r>
      <w:r w:rsidR="000F4696" w:rsidRPr="0098635C">
        <w:rPr>
          <w:color w:val="000000" w:themeColor="text1"/>
          <w:sz w:val="20"/>
        </w:rPr>
        <w:t xml:space="preserve">and </w:t>
      </w:r>
      <w:r w:rsidR="00F61F38" w:rsidRPr="0098635C">
        <w:rPr>
          <w:color w:val="000000" w:themeColor="text1"/>
          <w:sz w:val="20"/>
        </w:rPr>
        <w:t xml:space="preserve">considered </w:t>
      </w:r>
      <w:r w:rsidR="000F4696" w:rsidRPr="0098635C">
        <w:rPr>
          <w:color w:val="000000" w:themeColor="text1"/>
          <w:sz w:val="20"/>
        </w:rPr>
        <w:t>as acute Environmental Reference Value</w:t>
      </w:r>
      <w:r w:rsidR="00F61F38" w:rsidRPr="0098635C">
        <w:rPr>
          <w:color w:val="000000" w:themeColor="text1"/>
          <w:sz w:val="20"/>
        </w:rPr>
        <w:t>s</w:t>
      </w:r>
      <w:r w:rsidR="007E471E" w:rsidRPr="0098635C">
        <w:rPr>
          <w:color w:val="000000" w:themeColor="text1"/>
          <w:sz w:val="20"/>
        </w:rPr>
        <w:t xml:space="preserve"> for Cu-ions</w:t>
      </w:r>
      <w:r w:rsidR="000F4696" w:rsidRPr="0098635C">
        <w:rPr>
          <w:color w:val="000000" w:themeColor="text1"/>
          <w:sz w:val="20"/>
        </w:rPr>
        <w:t xml:space="preserve"> (acute ERVs</w:t>
      </w:r>
      <w:r w:rsidR="007E471E" w:rsidRPr="0098635C">
        <w:rPr>
          <w:color w:val="000000" w:themeColor="text1"/>
          <w:sz w:val="20"/>
        </w:rPr>
        <w:t xml:space="preserve"> Cu-ion</w:t>
      </w:r>
      <w:r w:rsidR="000F4696" w:rsidRPr="0098635C">
        <w:rPr>
          <w:color w:val="000000" w:themeColor="text1"/>
          <w:sz w:val="20"/>
        </w:rPr>
        <w:t xml:space="preserve">).  </w:t>
      </w:r>
      <w:r w:rsidR="003147CA" w:rsidRPr="0098635C">
        <w:rPr>
          <w:color w:val="000000" w:themeColor="text1"/>
          <w:sz w:val="20"/>
        </w:rPr>
        <w:t xml:space="preserve">The </w:t>
      </w:r>
      <w:r w:rsidR="00F61F38" w:rsidRPr="0098635C">
        <w:rPr>
          <w:color w:val="000000" w:themeColor="text1"/>
          <w:sz w:val="20"/>
        </w:rPr>
        <w:t xml:space="preserve">comparative </w:t>
      </w:r>
      <w:r w:rsidR="003147CA" w:rsidRPr="0098635C">
        <w:rPr>
          <w:color w:val="000000" w:themeColor="text1"/>
          <w:sz w:val="20"/>
        </w:rPr>
        <w:t xml:space="preserve">acute environmental hazard profile of the soluble </w:t>
      </w:r>
      <w:r w:rsidR="00FC0C37" w:rsidRPr="0098635C">
        <w:rPr>
          <w:color w:val="000000" w:themeColor="text1"/>
          <w:sz w:val="20"/>
        </w:rPr>
        <w:t xml:space="preserve">copper </w:t>
      </w:r>
      <w:r w:rsidR="003147CA" w:rsidRPr="0098635C">
        <w:rPr>
          <w:color w:val="000000" w:themeColor="text1"/>
          <w:sz w:val="20"/>
        </w:rPr>
        <w:t xml:space="preserve">compounds </w:t>
      </w:r>
      <w:r w:rsidR="009003E0" w:rsidRPr="0098635C">
        <w:rPr>
          <w:color w:val="000000" w:themeColor="text1"/>
          <w:sz w:val="20"/>
        </w:rPr>
        <w:t xml:space="preserve">can </w:t>
      </w:r>
      <w:r w:rsidR="00AF31F0" w:rsidRPr="0098635C">
        <w:rPr>
          <w:color w:val="000000" w:themeColor="text1"/>
          <w:sz w:val="20"/>
        </w:rPr>
        <w:t xml:space="preserve">then </w:t>
      </w:r>
      <w:r w:rsidR="009003E0" w:rsidRPr="0098635C">
        <w:rPr>
          <w:color w:val="000000" w:themeColor="text1"/>
          <w:sz w:val="20"/>
        </w:rPr>
        <w:t xml:space="preserve">be </w:t>
      </w:r>
      <w:r w:rsidR="003147CA" w:rsidRPr="0098635C">
        <w:rPr>
          <w:color w:val="000000" w:themeColor="text1"/>
          <w:sz w:val="20"/>
        </w:rPr>
        <w:t>derived through molecular weight translation</w:t>
      </w:r>
      <w:r w:rsidR="00F61F38" w:rsidRPr="0098635C">
        <w:rPr>
          <w:color w:val="000000" w:themeColor="text1"/>
          <w:sz w:val="20"/>
        </w:rPr>
        <w:t>s</w:t>
      </w:r>
      <w:r w:rsidR="003147CA" w:rsidRPr="0098635C">
        <w:rPr>
          <w:color w:val="000000" w:themeColor="text1"/>
          <w:sz w:val="20"/>
        </w:rPr>
        <w:t xml:space="preserve"> of the</w:t>
      </w:r>
      <w:r w:rsidR="00F61F38" w:rsidRPr="0098635C">
        <w:rPr>
          <w:color w:val="000000" w:themeColor="text1"/>
          <w:sz w:val="20"/>
        </w:rPr>
        <w:t xml:space="preserve"> acute </w:t>
      </w:r>
      <w:r w:rsidR="003147CA" w:rsidRPr="0098635C">
        <w:rPr>
          <w:color w:val="000000" w:themeColor="text1"/>
          <w:sz w:val="20"/>
        </w:rPr>
        <w:t xml:space="preserve">ERVs Cu-ion.  </w:t>
      </w:r>
      <w:r w:rsidR="00AF31F0" w:rsidRPr="0098635C">
        <w:rPr>
          <w:color w:val="000000" w:themeColor="text1"/>
          <w:sz w:val="20"/>
        </w:rPr>
        <w:t>The c</w:t>
      </w:r>
      <w:r w:rsidR="009122B2" w:rsidRPr="0098635C">
        <w:rPr>
          <w:color w:val="000000" w:themeColor="text1"/>
          <w:sz w:val="20"/>
        </w:rPr>
        <w:t xml:space="preserve">omparative </w:t>
      </w:r>
      <w:r w:rsidR="003147CA" w:rsidRPr="0098635C">
        <w:rPr>
          <w:color w:val="000000" w:themeColor="text1"/>
          <w:sz w:val="20"/>
        </w:rPr>
        <w:t xml:space="preserve">acute environmental hazard profile for </w:t>
      </w:r>
      <w:r w:rsidR="00AF31F0" w:rsidRPr="0098635C">
        <w:rPr>
          <w:color w:val="000000" w:themeColor="text1"/>
          <w:sz w:val="20"/>
        </w:rPr>
        <w:t xml:space="preserve">sparingly soluble </w:t>
      </w:r>
      <w:r w:rsidR="003147CA" w:rsidRPr="0098635C">
        <w:rPr>
          <w:color w:val="000000" w:themeColor="text1"/>
          <w:sz w:val="20"/>
        </w:rPr>
        <w:t xml:space="preserve">CuO and copper </w:t>
      </w:r>
      <w:r w:rsidR="009003E0" w:rsidRPr="0098635C">
        <w:rPr>
          <w:color w:val="000000" w:themeColor="text1"/>
          <w:sz w:val="20"/>
        </w:rPr>
        <w:t xml:space="preserve">can be </w:t>
      </w:r>
      <w:r w:rsidR="003147CA" w:rsidRPr="0098635C">
        <w:rPr>
          <w:color w:val="000000" w:themeColor="text1"/>
          <w:sz w:val="20"/>
        </w:rPr>
        <w:t xml:space="preserve">derived from </w:t>
      </w:r>
      <w:r w:rsidR="00F61F38" w:rsidRPr="0098635C">
        <w:rPr>
          <w:color w:val="000000" w:themeColor="text1"/>
          <w:sz w:val="20"/>
        </w:rPr>
        <w:t>the ratio between</w:t>
      </w:r>
      <w:r w:rsidR="00FD0B98" w:rsidRPr="0098635C">
        <w:rPr>
          <w:color w:val="000000" w:themeColor="text1"/>
          <w:sz w:val="20"/>
        </w:rPr>
        <w:t xml:space="preserve"> the transformation/dissolution and </w:t>
      </w:r>
      <w:r w:rsidR="00DE5286" w:rsidRPr="0098635C">
        <w:rPr>
          <w:color w:val="000000" w:themeColor="text1"/>
          <w:sz w:val="20"/>
        </w:rPr>
        <w:t xml:space="preserve">the </w:t>
      </w:r>
      <w:r w:rsidR="00F61F38" w:rsidRPr="0098635C">
        <w:rPr>
          <w:color w:val="000000" w:themeColor="text1"/>
          <w:sz w:val="20"/>
        </w:rPr>
        <w:t xml:space="preserve">acute </w:t>
      </w:r>
      <w:r w:rsidR="00DE5286" w:rsidRPr="0098635C">
        <w:rPr>
          <w:color w:val="000000" w:themeColor="text1"/>
          <w:sz w:val="20"/>
        </w:rPr>
        <w:t>ERV</w:t>
      </w:r>
      <w:r w:rsidR="00FC0C37" w:rsidRPr="0098635C">
        <w:rPr>
          <w:color w:val="000000" w:themeColor="text1"/>
          <w:sz w:val="20"/>
        </w:rPr>
        <w:t>-Cu-ion</w:t>
      </w:r>
      <w:r w:rsidR="00F61F38" w:rsidRPr="0098635C">
        <w:rPr>
          <w:color w:val="000000" w:themeColor="text1"/>
          <w:sz w:val="20"/>
        </w:rPr>
        <w:t>.</w:t>
      </w:r>
    </w:p>
    <w:p w14:paraId="0FE6F9B9" w14:textId="42B3F0CC" w:rsidR="00F61F38" w:rsidRPr="0098635C" w:rsidRDefault="00F61F38" w:rsidP="008B34B0">
      <w:pPr>
        <w:pStyle w:val="BodyText"/>
        <w:rPr>
          <w:color w:val="000000" w:themeColor="text1"/>
          <w:sz w:val="20"/>
        </w:rPr>
      </w:pPr>
      <w:r w:rsidRPr="0098635C">
        <w:rPr>
          <w:color w:val="000000" w:themeColor="text1"/>
          <w:sz w:val="20"/>
        </w:rPr>
        <w:t xml:space="preserve">The hazard assessment of the substances in the category, derived from the </w:t>
      </w:r>
      <w:r w:rsidR="00B1362D" w:rsidRPr="0098635C">
        <w:rPr>
          <w:color w:val="000000" w:themeColor="text1"/>
          <w:sz w:val="20"/>
        </w:rPr>
        <w:t>L(E)C</w:t>
      </w:r>
      <w:r w:rsidR="00B1362D" w:rsidRPr="0098635C">
        <w:rPr>
          <w:color w:val="000000" w:themeColor="text1"/>
          <w:sz w:val="20"/>
          <w:vertAlign w:val="subscript"/>
        </w:rPr>
        <w:t>50</w:t>
      </w:r>
      <w:r w:rsidR="00B1362D" w:rsidRPr="0098635C">
        <w:rPr>
          <w:color w:val="000000" w:themeColor="text1"/>
          <w:sz w:val="20"/>
        </w:rPr>
        <w:t xml:space="preserve"> values </w:t>
      </w:r>
      <w:r w:rsidRPr="0098635C">
        <w:rPr>
          <w:color w:val="000000" w:themeColor="text1"/>
          <w:sz w:val="20"/>
        </w:rPr>
        <w:t xml:space="preserve">(µg dissolved Cu/L) and a molecular weight translation or the results from transformation/dissolution </w:t>
      </w:r>
      <w:r w:rsidR="009003E0" w:rsidRPr="0098635C">
        <w:rPr>
          <w:color w:val="000000" w:themeColor="text1"/>
          <w:sz w:val="20"/>
        </w:rPr>
        <w:t>tests, show</w:t>
      </w:r>
      <w:r w:rsidRPr="0098635C">
        <w:rPr>
          <w:color w:val="000000" w:themeColor="text1"/>
          <w:sz w:val="20"/>
        </w:rPr>
        <w:t xml:space="preserve"> that the copper compounds and the fine copper powders do pose a hazard to the environment. Coarse granules and massive copper materials release less copper ions and therefore pose less or no hazard to the environment under typical environmental conditions. The assessment shows that due to the differences in copper releases from the various copper compounds, coated flakes, copper powder and copper massive distinct hazard profiles can be distinguished.</w:t>
      </w:r>
    </w:p>
    <w:p w14:paraId="2C1D19C5" w14:textId="77777777" w:rsidR="005E5161" w:rsidRPr="0098635C" w:rsidRDefault="005B7C8E" w:rsidP="00284FC8">
      <w:pPr>
        <w:pStyle w:val="BodyText"/>
        <w:rPr>
          <w:b/>
          <w:noProof/>
          <w:color w:val="000000" w:themeColor="text1"/>
          <w:sz w:val="20"/>
        </w:rPr>
      </w:pPr>
      <w:bookmarkStart w:id="1982" w:name="_Ref472069194"/>
      <w:r w:rsidRPr="0098635C">
        <w:rPr>
          <w:b/>
          <w:color w:val="000000" w:themeColor="text1"/>
          <w:sz w:val="20"/>
        </w:rPr>
        <w:t xml:space="preserve">Table </w:t>
      </w:r>
      <w:r w:rsidRPr="0098635C">
        <w:rPr>
          <w:b/>
          <w:color w:val="000000" w:themeColor="text1"/>
          <w:sz w:val="20"/>
        </w:rPr>
        <w:fldChar w:fldCharType="begin"/>
      </w:r>
      <w:r w:rsidRPr="0098635C">
        <w:rPr>
          <w:b/>
          <w:color w:val="000000" w:themeColor="text1"/>
          <w:sz w:val="20"/>
        </w:rPr>
        <w:instrText xml:space="preserve"> SEQ Table \* ARABIC </w:instrText>
      </w:r>
      <w:r w:rsidRPr="0098635C">
        <w:rPr>
          <w:b/>
          <w:color w:val="000000" w:themeColor="text1"/>
          <w:sz w:val="20"/>
        </w:rPr>
        <w:fldChar w:fldCharType="separate"/>
      </w:r>
      <w:r w:rsidR="005E5161" w:rsidRPr="0098635C">
        <w:rPr>
          <w:b/>
          <w:noProof/>
          <w:color w:val="000000" w:themeColor="text1"/>
          <w:sz w:val="20"/>
        </w:rPr>
        <w:t>27</w:t>
      </w:r>
      <w:r w:rsidRPr="0098635C">
        <w:rPr>
          <w:b/>
          <w:color w:val="000000" w:themeColor="text1"/>
          <w:sz w:val="20"/>
        </w:rPr>
        <w:fldChar w:fldCharType="end"/>
      </w:r>
      <w:bookmarkEnd w:id="1982"/>
      <w:r w:rsidRPr="0098635C">
        <w:rPr>
          <w:b/>
          <w:color w:val="000000" w:themeColor="text1"/>
          <w:sz w:val="20"/>
        </w:rPr>
        <w:t xml:space="preserve"> :  </w:t>
      </w:r>
      <w:bookmarkStart w:id="1983" w:name="_Ref471562088"/>
      <w:r w:rsidRPr="0098635C">
        <w:rPr>
          <w:b/>
          <w:color w:val="000000" w:themeColor="text1"/>
          <w:sz w:val="20"/>
        </w:rPr>
        <w:t xml:space="preserve">Acute hazard identification of Cu materials considering </w:t>
      </w:r>
      <w:bookmarkEnd w:id="1983"/>
      <w:r w:rsidR="00A002D9" w:rsidRPr="0098635C">
        <w:rPr>
          <w:b/>
          <w:color w:val="000000" w:themeColor="text1"/>
          <w:sz w:val="20"/>
        </w:rPr>
        <w:t xml:space="preserve">molecular weight translation or transformation/dissolution tests (from </w:t>
      </w:r>
      <w:r w:rsidR="00A002D9" w:rsidRPr="0098635C">
        <w:rPr>
          <w:b/>
          <w:color w:val="000000" w:themeColor="text1"/>
          <w:sz w:val="20"/>
        </w:rPr>
        <w:fldChar w:fldCharType="begin"/>
      </w:r>
      <w:r w:rsidR="00A002D9" w:rsidRPr="0098635C">
        <w:rPr>
          <w:b/>
          <w:color w:val="000000" w:themeColor="text1"/>
          <w:sz w:val="20"/>
        </w:rPr>
        <w:instrText xml:space="preserve"> REF _Ref471562298 \h </w:instrText>
      </w:r>
      <w:r w:rsidR="00EA073D" w:rsidRPr="0098635C">
        <w:rPr>
          <w:b/>
          <w:color w:val="000000" w:themeColor="text1"/>
          <w:sz w:val="20"/>
        </w:rPr>
        <w:instrText xml:space="preserve"> \* MERGEFORMAT </w:instrText>
      </w:r>
      <w:r w:rsidR="00A002D9" w:rsidRPr="0098635C">
        <w:rPr>
          <w:b/>
          <w:color w:val="000000" w:themeColor="text1"/>
          <w:sz w:val="20"/>
        </w:rPr>
      </w:r>
      <w:r w:rsidR="00A002D9" w:rsidRPr="0098635C">
        <w:rPr>
          <w:b/>
          <w:color w:val="000000" w:themeColor="text1"/>
          <w:sz w:val="20"/>
        </w:rPr>
        <w:fldChar w:fldCharType="separate"/>
      </w:r>
    </w:p>
    <w:p w14:paraId="1CD0F9F6" w14:textId="04D3F226" w:rsidR="00EA073D" w:rsidRPr="0098635C" w:rsidRDefault="005E5161" w:rsidP="008B34B0">
      <w:pPr>
        <w:pStyle w:val="BodyText"/>
        <w:rPr>
          <w:b/>
          <w:noProof/>
          <w:color w:val="000000" w:themeColor="text1"/>
          <w:sz w:val="20"/>
        </w:rPr>
      </w:pPr>
      <w:r w:rsidRPr="0098635C">
        <w:rPr>
          <w:b/>
          <w:noProof/>
          <w:color w:val="000000" w:themeColor="text1"/>
          <w:sz w:val="20"/>
        </w:rPr>
        <w:t>Table 3</w:t>
      </w:r>
      <w:r w:rsidR="00A002D9" w:rsidRPr="0098635C">
        <w:rPr>
          <w:b/>
          <w:color w:val="000000" w:themeColor="text1"/>
          <w:sz w:val="20"/>
        </w:rPr>
        <w:fldChar w:fldCharType="end"/>
      </w:r>
      <w:r w:rsidR="008B34B0" w:rsidRPr="0098635C">
        <w:rPr>
          <w:b/>
          <w:color w:val="000000" w:themeColor="text1"/>
          <w:sz w:val="20"/>
        </w:rPr>
        <w:t xml:space="preserve"> and </w:t>
      </w:r>
      <w:r w:rsidR="008B34B0" w:rsidRPr="0098635C">
        <w:rPr>
          <w:b/>
          <w:color w:val="000000" w:themeColor="text1"/>
          <w:sz w:val="20"/>
        </w:rPr>
        <w:fldChar w:fldCharType="begin"/>
      </w:r>
      <w:r w:rsidR="008B34B0" w:rsidRPr="0098635C">
        <w:rPr>
          <w:b/>
          <w:color w:val="000000" w:themeColor="text1"/>
          <w:sz w:val="20"/>
        </w:rPr>
        <w:instrText xml:space="preserve"> REF _Ref472071661 \h </w:instrText>
      </w:r>
      <w:r w:rsidR="008B34B0" w:rsidRPr="0098635C">
        <w:rPr>
          <w:b/>
          <w:color w:val="000000" w:themeColor="text1"/>
          <w:sz w:val="20"/>
        </w:rPr>
      </w:r>
      <w:r w:rsidR="0098635C">
        <w:rPr>
          <w:b/>
          <w:color w:val="000000" w:themeColor="text1"/>
          <w:sz w:val="20"/>
        </w:rPr>
        <w:instrText xml:space="preserve"> \* MERGEFORMAT </w:instrText>
      </w:r>
      <w:r w:rsidR="008B34B0" w:rsidRPr="0098635C">
        <w:rPr>
          <w:b/>
          <w:color w:val="000000" w:themeColor="text1"/>
          <w:sz w:val="20"/>
        </w:rPr>
        <w:fldChar w:fldCharType="separate"/>
      </w:r>
      <w:r w:rsidRPr="0098635C">
        <w:rPr>
          <w:b/>
          <w:color w:val="000000" w:themeColor="text1"/>
          <w:sz w:val="20"/>
        </w:rPr>
        <w:t xml:space="preserve">Figure </w:t>
      </w:r>
      <w:r w:rsidRPr="0098635C">
        <w:rPr>
          <w:b/>
          <w:noProof/>
          <w:color w:val="000000" w:themeColor="text1"/>
          <w:sz w:val="20"/>
        </w:rPr>
        <w:t>4</w:t>
      </w:r>
      <w:r w:rsidR="008B34B0" w:rsidRPr="0098635C">
        <w:rPr>
          <w:b/>
          <w:color w:val="000000" w:themeColor="text1"/>
          <w:sz w:val="20"/>
        </w:rPr>
        <w:fldChar w:fldCharType="end"/>
      </w:r>
      <w:r w:rsidR="00A002D9" w:rsidRPr="0098635C">
        <w:rPr>
          <w:b/>
          <w:color w:val="000000" w:themeColor="text1"/>
          <w:sz w:val="20"/>
        </w:rPr>
        <w:t xml:space="preserve">) </w:t>
      </w:r>
      <w:r w:rsidR="005B7C8E" w:rsidRPr="0098635C">
        <w:rPr>
          <w:b/>
          <w:color w:val="000000" w:themeColor="text1"/>
          <w:sz w:val="20"/>
        </w:rPr>
        <w:t>and acute ecotoxicity re</w:t>
      </w:r>
      <w:r w:rsidR="0008036E" w:rsidRPr="0098635C">
        <w:rPr>
          <w:b/>
          <w:color w:val="000000" w:themeColor="text1"/>
          <w:sz w:val="20"/>
        </w:rPr>
        <w:t>fe</w:t>
      </w:r>
      <w:r w:rsidR="005B7C8E" w:rsidRPr="0098635C">
        <w:rPr>
          <w:b/>
          <w:color w:val="000000" w:themeColor="text1"/>
          <w:sz w:val="20"/>
        </w:rPr>
        <w:t>rence values</w:t>
      </w:r>
      <w:r w:rsidR="00FC1D81" w:rsidRPr="0098635C">
        <w:rPr>
          <w:b/>
          <w:color w:val="000000" w:themeColor="text1"/>
          <w:sz w:val="20"/>
        </w:rPr>
        <w:t xml:space="preserve"> </w:t>
      </w:r>
      <w:r w:rsidR="005B7C8E" w:rsidRPr="0098635C">
        <w:rPr>
          <w:b/>
          <w:color w:val="000000" w:themeColor="text1"/>
          <w:sz w:val="20"/>
        </w:rPr>
        <w:t xml:space="preserve">(from </w:t>
      </w:r>
      <w:r w:rsidR="00743317" w:rsidRPr="0098635C">
        <w:rPr>
          <w:b/>
          <w:color w:val="000000" w:themeColor="text1"/>
          <w:sz w:val="20"/>
        </w:rPr>
        <w:fldChar w:fldCharType="begin"/>
      </w:r>
      <w:r w:rsidR="00743317" w:rsidRPr="0098635C">
        <w:rPr>
          <w:b/>
          <w:color w:val="000000" w:themeColor="text1"/>
          <w:sz w:val="20"/>
        </w:rPr>
        <w:instrText xml:space="preserve"> REF _Ref471558563 \h </w:instrText>
      </w:r>
      <w:r w:rsidR="00EA073D" w:rsidRPr="0098635C">
        <w:rPr>
          <w:b/>
          <w:color w:val="000000" w:themeColor="text1"/>
          <w:sz w:val="20"/>
        </w:rPr>
        <w:instrText xml:space="preserve"> \* MERGEFORMAT </w:instrText>
      </w:r>
      <w:r w:rsidR="00743317" w:rsidRPr="0098635C">
        <w:rPr>
          <w:b/>
          <w:color w:val="000000" w:themeColor="text1"/>
          <w:sz w:val="20"/>
        </w:rPr>
      </w:r>
      <w:r w:rsidR="00743317" w:rsidRPr="0098635C">
        <w:rPr>
          <w:b/>
          <w:color w:val="000000" w:themeColor="text1"/>
          <w:sz w:val="20"/>
        </w:rPr>
        <w:fldChar w:fldCharType="separate"/>
      </w:r>
      <w:r w:rsidRPr="0098635C">
        <w:rPr>
          <w:b/>
          <w:color w:val="000000" w:themeColor="text1"/>
          <w:sz w:val="20"/>
        </w:rPr>
        <w:t xml:space="preserve">Table </w:t>
      </w:r>
      <w:r w:rsidRPr="0098635C">
        <w:rPr>
          <w:b/>
          <w:noProof/>
          <w:color w:val="000000" w:themeColor="text1"/>
          <w:sz w:val="20"/>
        </w:rPr>
        <w:t>26</w:t>
      </w:r>
      <w:r w:rsidR="00743317" w:rsidRPr="0098635C">
        <w:rPr>
          <w:b/>
          <w:color w:val="000000" w:themeColor="text1"/>
          <w:sz w:val="20"/>
        </w:rPr>
        <w:fldChar w:fldCharType="end"/>
      </w:r>
      <w:r w:rsidR="005B7C8E" w:rsidRPr="0098635C">
        <w:rPr>
          <w:b/>
          <w:color w:val="000000" w:themeColor="text1"/>
          <w:sz w:val="20"/>
        </w:rPr>
        <w:t>)</w:t>
      </w:r>
      <w:r w:rsidR="00673BD5" w:rsidRPr="0098635C">
        <w:rPr>
          <w:b/>
          <w:color w:val="000000" w:themeColor="text1"/>
          <w:sz w:val="20"/>
        </w:rPr>
        <w:t>.</w:t>
      </w:r>
    </w:p>
    <w:tbl>
      <w:tblPr>
        <w:tblW w:w="10123" w:type="dxa"/>
        <w:tblLook w:val="04A0" w:firstRow="1" w:lastRow="0" w:firstColumn="1" w:lastColumn="0" w:noHBand="0" w:noVBand="1"/>
      </w:tblPr>
      <w:tblGrid>
        <w:gridCol w:w="2684"/>
        <w:gridCol w:w="1134"/>
        <w:gridCol w:w="2732"/>
        <w:gridCol w:w="960"/>
        <w:gridCol w:w="2613"/>
      </w:tblGrid>
      <w:tr w:rsidR="008B34B0" w:rsidRPr="0098635C" w14:paraId="7491909A" w14:textId="77777777" w:rsidTr="00926614">
        <w:trPr>
          <w:trHeight w:val="510"/>
        </w:trPr>
        <w:tc>
          <w:tcPr>
            <w:tcW w:w="2684" w:type="dxa"/>
            <w:tcBorders>
              <w:top w:val="single" w:sz="8" w:space="0" w:color="auto"/>
              <w:left w:val="single" w:sz="8" w:space="0" w:color="auto"/>
              <w:bottom w:val="nil"/>
              <w:right w:val="single" w:sz="8" w:space="0" w:color="auto"/>
            </w:tcBorders>
            <w:shd w:val="clear" w:color="auto" w:fill="auto"/>
            <w:vAlign w:val="center"/>
            <w:hideMark/>
          </w:tcPr>
          <w:p w14:paraId="77D50F59"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w:t>
            </w:r>
          </w:p>
        </w:tc>
        <w:tc>
          <w:tcPr>
            <w:tcW w:w="1134" w:type="dxa"/>
            <w:tcBorders>
              <w:top w:val="single" w:sz="8" w:space="0" w:color="auto"/>
              <w:left w:val="nil"/>
              <w:bottom w:val="nil"/>
              <w:right w:val="single" w:sz="8" w:space="0" w:color="auto"/>
            </w:tcBorders>
            <w:shd w:val="clear" w:color="auto" w:fill="auto"/>
            <w:noWrap/>
            <w:vAlign w:val="center"/>
            <w:hideMark/>
          </w:tcPr>
          <w:p w14:paraId="43BACE68"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w:t>
            </w:r>
          </w:p>
        </w:tc>
        <w:tc>
          <w:tcPr>
            <w:tcW w:w="2732" w:type="dxa"/>
            <w:tcBorders>
              <w:top w:val="single" w:sz="8" w:space="0" w:color="auto"/>
              <w:left w:val="nil"/>
              <w:bottom w:val="nil"/>
              <w:right w:val="single" w:sz="8" w:space="0" w:color="auto"/>
            </w:tcBorders>
            <w:shd w:val="clear" w:color="auto" w:fill="auto"/>
            <w:vAlign w:val="center"/>
            <w:hideMark/>
          </w:tcPr>
          <w:p w14:paraId="708D3608" w14:textId="77777777" w:rsidR="008B34B0" w:rsidRPr="0098635C" w:rsidRDefault="008B34B0" w:rsidP="008B34B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Acute ERV</w:t>
            </w:r>
            <w:r w:rsidRPr="0098635C">
              <w:rPr>
                <w:color w:val="000000" w:themeColor="text1"/>
                <w:sz w:val="20"/>
                <w:szCs w:val="20"/>
                <w:lang w:eastAsia="en-GB"/>
              </w:rPr>
              <w:t> </w:t>
            </w:r>
            <w:r w:rsidRPr="0098635C">
              <w:rPr>
                <w:b/>
                <w:bCs/>
                <w:color w:val="000000" w:themeColor="text1"/>
                <w:sz w:val="20"/>
                <w:szCs w:val="20"/>
                <w:lang w:eastAsia="en-GB"/>
              </w:rPr>
              <w:t xml:space="preserve"> at different pHs between 5.5 and 8.5</w:t>
            </w:r>
          </w:p>
        </w:tc>
        <w:tc>
          <w:tcPr>
            <w:tcW w:w="3573" w:type="dxa"/>
            <w:gridSpan w:val="2"/>
            <w:tcBorders>
              <w:top w:val="single" w:sz="8" w:space="0" w:color="auto"/>
              <w:left w:val="nil"/>
              <w:bottom w:val="nil"/>
              <w:right w:val="single" w:sz="8" w:space="0" w:color="000000"/>
            </w:tcBorders>
            <w:shd w:val="clear" w:color="000000" w:fill="FFFFFF"/>
            <w:vAlign w:val="center"/>
            <w:hideMark/>
          </w:tcPr>
          <w:p w14:paraId="745ED155" w14:textId="7D8FD44D" w:rsidR="008B34B0" w:rsidRPr="0098635C" w:rsidRDefault="008B34B0" w:rsidP="0053571F">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7 days tr</w:t>
            </w:r>
            <w:r w:rsidR="00673BD5" w:rsidRPr="0098635C">
              <w:rPr>
                <w:b/>
                <w:bCs/>
                <w:color w:val="000000" w:themeColor="text1"/>
                <w:sz w:val="20"/>
                <w:szCs w:val="20"/>
                <w:lang w:eastAsia="en-GB"/>
              </w:rPr>
              <w:t xml:space="preserve">ansformation/dissolution </w:t>
            </w:r>
            <w:r w:rsidRPr="0098635C">
              <w:rPr>
                <w:b/>
                <w:bCs/>
                <w:color w:val="000000" w:themeColor="text1"/>
                <w:sz w:val="20"/>
                <w:szCs w:val="20"/>
                <w:lang w:eastAsia="en-GB"/>
              </w:rPr>
              <w:t xml:space="preserve"> </w:t>
            </w:r>
          </w:p>
        </w:tc>
      </w:tr>
      <w:tr w:rsidR="008B34B0" w:rsidRPr="0098635C" w14:paraId="589E9A0E" w14:textId="77777777" w:rsidTr="00926614">
        <w:trPr>
          <w:trHeight w:val="300"/>
        </w:trPr>
        <w:tc>
          <w:tcPr>
            <w:tcW w:w="2684" w:type="dxa"/>
            <w:tcBorders>
              <w:top w:val="nil"/>
              <w:left w:val="single" w:sz="8" w:space="0" w:color="auto"/>
              <w:bottom w:val="nil"/>
              <w:right w:val="single" w:sz="8" w:space="0" w:color="auto"/>
            </w:tcBorders>
            <w:shd w:val="clear" w:color="auto" w:fill="auto"/>
            <w:vAlign w:val="center"/>
            <w:hideMark/>
          </w:tcPr>
          <w:p w14:paraId="0F65655A"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Material </w:t>
            </w:r>
          </w:p>
        </w:tc>
        <w:tc>
          <w:tcPr>
            <w:tcW w:w="1134" w:type="dxa"/>
            <w:tcBorders>
              <w:top w:val="nil"/>
              <w:left w:val="nil"/>
              <w:bottom w:val="nil"/>
              <w:right w:val="single" w:sz="8" w:space="0" w:color="auto"/>
            </w:tcBorders>
            <w:shd w:val="clear" w:color="auto" w:fill="auto"/>
            <w:noWrap/>
            <w:vAlign w:val="center"/>
            <w:hideMark/>
          </w:tcPr>
          <w:p w14:paraId="3FEDD57C"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Molecular weight</w:t>
            </w:r>
          </w:p>
        </w:tc>
        <w:tc>
          <w:tcPr>
            <w:tcW w:w="2732" w:type="dxa"/>
            <w:tcBorders>
              <w:top w:val="nil"/>
              <w:left w:val="nil"/>
              <w:bottom w:val="nil"/>
              <w:right w:val="single" w:sz="8" w:space="0" w:color="auto"/>
            </w:tcBorders>
            <w:shd w:val="clear" w:color="auto" w:fill="auto"/>
            <w:noWrap/>
            <w:vAlign w:val="center"/>
            <w:hideMark/>
          </w:tcPr>
          <w:p w14:paraId="2223BAD5"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   L(E)C50</w:t>
            </w:r>
          </w:p>
        </w:tc>
        <w:tc>
          <w:tcPr>
            <w:tcW w:w="960" w:type="dxa"/>
            <w:tcBorders>
              <w:top w:val="nil"/>
              <w:left w:val="nil"/>
              <w:bottom w:val="nil"/>
              <w:right w:val="single" w:sz="8" w:space="0" w:color="auto"/>
            </w:tcBorders>
            <w:shd w:val="clear" w:color="auto" w:fill="auto"/>
            <w:vAlign w:val="center"/>
            <w:hideMark/>
          </w:tcPr>
          <w:p w14:paraId="4FC34D7A" w14:textId="77777777" w:rsidR="008B34B0" w:rsidRPr="0098635C" w:rsidRDefault="008B34B0" w:rsidP="008B34B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Loading</w:t>
            </w:r>
          </w:p>
        </w:tc>
        <w:tc>
          <w:tcPr>
            <w:tcW w:w="2613" w:type="dxa"/>
            <w:tcBorders>
              <w:top w:val="nil"/>
              <w:left w:val="nil"/>
              <w:bottom w:val="nil"/>
              <w:right w:val="single" w:sz="8" w:space="0" w:color="auto"/>
            </w:tcBorders>
            <w:shd w:val="clear" w:color="auto" w:fill="auto"/>
            <w:noWrap/>
            <w:vAlign w:val="center"/>
            <w:hideMark/>
          </w:tcPr>
          <w:p w14:paraId="128021D5" w14:textId="77777777" w:rsidR="008B34B0" w:rsidRPr="0098635C" w:rsidRDefault="008B34B0" w:rsidP="008B34B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Test result</w:t>
            </w:r>
          </w:p>
        </w:tc>
      </w:tr>
      <w:tr w:rsidR="008B34B0" w:rsidRPr="0098635C" w14:paraId="24C72CED" w14:textId="77777777" w:rsidTr="00926614">
        <w:trPr>
          <w:trHeight w:val="315"/>
        </w:trPr>
        <w:tc>
          <w:tcPr>
            <w:tcW w:w="2684" w:type="dxa"/>
            <w:tcBorders>
              <w:top w:val="nil"/>
              <w:left w:val="single" w:sz="8" w:space="0" w:color="auto"/>
              <w:bottom w:val="single" w:sz="8" w:space="0" w:color="auto"/>
              <w:right w:val="single" w:sz="8" w:space="0" w:color="auto"/>
            </w:tcBorders>
            <w:shd w:val="clear" w:color="auto" w:fill="auto"/>
            <w:vAlign w:val="center"/>
            <w:hideMark/>
          </w:tcPr>
          <w:p w14:paraId="5788F555"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w:t>
            </w:r>
          </w:p>
        </w:tc>
        <w:tc>
          <w:tcPr>
            <w:tcW w:w="1134" w:type="dxa"/>
            <w:tcBorders>
              <w:top w:val="nil"/>
              <w:left w:val="nil"/>
              <w:bottom w:val="single" w:sz="8" w:space="0" w:color="auto"/>
              <w:right w:val="single" w:sz="8" w:space="0" w:color="auto"/>
            </w:tcBorders>
            <w:shd w:val="clear" w:color="auto" w:fill="auto"/>
            <w:noWrap/>
            <w:vAlign w:val="center"/>
            <w:hideMark/>
          </w:tcPr>
          <w:p w14:paraId="3C38AD73"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w:t>
            </w:r>
          </w:p>
        </w:tc>
        <w:tc>
          <w:tcPr>
            <w:tcW w:w="2732" w:type="dxa"/>
            <w:tcBorders>
              <w:top w:val="nil"/>
              <w:left w:val="nil"/>
              <w:bottom w:val="single" w:sz="8" w:space="0" w:color="auto"/>
              <w:right w:val="single" w:sz="8" w:space="0" w:color="auto"/>
            </w:tcBorders>
            <w:shd w:val="clear" w:color="auto" w:fill="auto"/>
            <w:vAlign w:val="center"/>
            <w:hideMark/>
          </w:tcPr>
          <w:p w14:paraId="6562DA02" w14:textId="77777777" w:rsidR="008B34B0" w:rsidRPr="0098635C" w:rsidRDefault="008B34B0" w:rsidP="008B34B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µg/L</w:t>
            </w:r>
          </w:p>
        </w:tc>
        <w:tc>
          <w:tcPr>
            <w:tcW w:w="960" w:type="dxa"/>
            <w:tcBorders>
              <w:top w:val="nil"/>
              <w:left w:val="nil"/>
              <w:bottom w:val="single" w:sz="8" w:space="0" w:color="auto"/>
              <w:right w:val="single" w:sz="8" w:space="0" w:color="auto"/>
            </w:tcBorders>
            <w:shd w:val="clear" w:color="auto" w:fill="auto"/>
            <w:vAlign w:val="center"/>
            <w:hideMark/>
          </w:tcPr>
          <w:p w14:paraId="1C5278A3" w14:textId="77777777" w:rsidR="008B34B0" w:rsidRPr="0098635C" w:rsidRDefault="008B34B0" w:rsidP="008B34B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mg Cu/l</w:t>
            </w:r>
          </w:p>
        </w:tc>
        <w:tc>
          <w:tcPr>
            <w:tcW w:w="2613" w:type="dxa"/>
            <w:tcBorders>
              <w:top w:val="nil"/>
              <w:left w:val="nil"/>
              <w:bottom w:val="single" w:sz="8" w:space="0" w:color="auto"/>
              <w:right w:val="single" w:sz="8" w:space="0" w:color="auto"/>
            </w:tcBorders>
            <w:shd w:val="clear" w:color="auto" w:fill="auto"/>
            <w:vAlign w:val="center"/>
            <w:hideMark/>
          </w:tcPr>
          <w:p w14:paraId="22EACD00" w14:textId="77777777" w:rsidR="008B34B0" w:rsidRPr="0098635C" w:rsidRDefault="008B34B0" w:rsidP="008B34B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 xml:space="preserve">µg dissolved Cu/l </w:t>
            </w:r>
          </w:p>
        </w:tc>
      </w:tr>
      <w:tr w:rsidR="008B34B0" w:rsidRPr="0098635C" w14:paraId="15BB4B64" w14:textId="77777777" w:rsidTr="00926614">
        <w:trPr>
          <w:trHeight w:val="342"/>
        </w:trPr>
        <w:tc>
          <w:tcPr>
            <w:tcW w:w="2684" w:type="dxa"/>
            <w:tcBorders>
              <w:top w:val="nil"/>
              <w:left w:val="single" w:sz="8" w:space="0" w:color="auto"/>
              <w:bottom w:val="single" w:sz="8" w:space="0" w:color="auto"/>
              <w:right w:val="single" w:sz="8" w:space="0" w:color="auto"/>
            </w:tcBorders>
            <w:shd w:val="clear" w:color="auto" w:fill="auto"/>
            <w:vAlign w:val="center"/>
            <w:hideMark/>
          </w:tcPr>
          <w:p w14:paraId="08135538"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CuSO</w:t>
            </w:r>
            <w:r w:rsidRPr="0098635C">
              <w:rPr>
                <w:color w:val="000000" w:themeColor="text1"/>
                <w:sz w:val="20"/>
                <w:szCs w:val="20"/>
                <w:vertAlign w:val="subscript"/>
                <w:lang w:eastAsia="en-GB"/>
              </w:rPr>
              <w:t>4</w:t>
            </w:r>
            <w:r w:rsidRPr="0098635C">
              <w:rPr>
                <w:color w:val="000000" w:themeColor="text1"/>
                <w:sz w:val="20"/>
                <w:szCs w:val="20"/>
                <w:lang w:eastAsia="en-GB"/>
              </w:rPr>
              <w:t>.5H</w:t>
            </w:r>
            <w:r w:rsidRPr="0098635C">
              <w:rPr>
                <w:color w:val="000000" w:themeColor="text1"/>
                <w:sz w:val="20"/>
                <w:szCs w:val="20"/>
                <w:vertAlign w:val="subscript"/>
                <w:lang w:eastAsia="en-GB"/>
              </w:rPr>
              <w:t>2</w:t>
            </w:r>
            <w:r w:rsidRPr="0098635C">
              <w:rPr>
                <w:color w:val="000000" w:themeColor="text1"/>
                <w:sz w:val="20"/>
                <w:szCs w:val="20"/>
                <w:lang w:eastAsia="en-GB"/>
              </w:rPr>
              <w:t>O</w:t>
            </w:r>
          </w:p>
        </w:tc>
        <w:tc>
          <w:tcPr>
            <w:tcW w:w="1134" w:type="dxa"/>
            <w:tcBorders>
              <w:top w:val="nil"/>
              <w:left w:val="nil"/>
              <w:bottom w:val="single" w:sz="8" w:space="0" w:color="auto"/>
              <w:right w:val="single" w:sz="8" w:space="0" w:color="auto"/>
            </w:tcBorders>
            <w:shd w:val="clear" w:color="auto" w:fill="auto"/>
            <w:noWrap/>
            <w:vAlign w:val="center"/>
            <w:hideMark/>
          </w:tcPr>
          <w:p w14:paraId="68B90601"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249.7</w:t>
            </w:r>
          </w:p>
        </w:tc>
        <w:tc>
          <w:tcPr>
            <w:tcW w:w="2732" w:type="dxa"/>
            <w:tcBorders>
              <w:top w:val="nil"/>
              <w:left w:val="nil"/>
              <w:bottom w:val="single" w:sz="8" w:space="0" w:color="auto"/>
              <w:right w:val="single" w:sz="8" w:space="0" w:color="auto"/>
            </w:tcBorders>
            <w:shd w:val="clear" w:color="auto" w:fill="auto"/>
            <w:vAlign w:val="center"/>
            <w:hideMark/>
          </w:tcPr>
          <w:p w14:paraId="1D284B34"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98 (pH6), 137(pH7),118 (pH8)</w:t>
            </w:r>
          </w:p>
        </w:tc>
        <w:tc>
          <w:tcPr>
            <w:tcW w:w="3573" w:type="dxa"/>
            <w:gridSpan w:val="2"/>
            <w:tcBorders>
              <w:top w:val="nil"/>
              <w:left w:val="nil"/>
              <w:bottom w:val="single" w:sz="8" w:space="0" w:color="auto"/>
              <w:right w:val="single" w:sz="8" w:space="0" w:color="000000"/>
            </w:tcBorders>
            <w:shd w:val="clear" w:color="000000" w:fill="FFFFFF"/>
            <w:vAlign w:val="center"/>
            <w:hideMark/>
          </w:tcPr>
          <w:p w14:paraId="2DD9C084"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Fully soluble</w:t>
            </w:r>
          </w:p>
        </w:tc>
      </w:tr>
      <w:tr w:rsidR="008B34B0" w:rsidRPr="0098635C" w14:paraId="0B306CEA" w14:textId="77777777" w:rsidTr="00926614">
        <w:trPr>
          <w:trHeight w:val="342"/>
        </w:trPr>
        <w:tc>
          <w:tcPr>
            <w:tcW w:w="2684" w:type="dxa"/>
            <w:tcBorders>
              <w:top w:val="nil"/>
              <w:left w:val="single" w:sz="8" w:space="0" w:color="auto"/>
              <w:bottom w:val="single" w:sz="8" w:space="0" w:color="auto"/>
              <w:right w:val="single" w:sz="8" w:space="0" w:color="auto"/>
            </w:tcBorders>
            <w:shd w:val="clear" w:color="auto" w:fill="auto"/>
            <w:vAlign w:val="center"/>
            <w:hideMark/>
          </w:tcPr>
          <w:p w14:paraId="4D480116"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Cu</w:t>
            </w:r>
            <w:r w:rsidRPr="0098635C">
              <w:rPr>
                <w:color w:val="000000" w:themeColor="text1"/>
                <w:sz w:val="20"/>
                <w:szCs w:val="20"/>
                <w:vertAlign w:val="subscript"/>
                <w:lang w:eastAsia="en-GB"/>
              </w:rPr>
              <w:t>2</w:t>
            </w:r>
            <w:r w:rsidRPr="0098635C">
              <w:rPr>
                <w:color w:val="000000" w:themeColor="text1"/>
                <w:sz w:val="20"/>
                <w:szCs w:val="20"/>
                <w:lang w:eastAsia="en-GB"/>
              </w:rPr>
              <w:t>Cl(OH)</w:t>
            </w:r>
            <w:r w:rsidRPr="0098635C">
              <w:rPr>
                <w:color w:val="000000" w:themeColor="text1"/>
                <w:sz w:val="20"/>
                <w:szCs w:val="20"/>
                <w:vertAlign w:val="subscript"/>
                <w:lang w:eastAsia="en-GB"/>
              </w:rPr>
              <w:t>3</w:t>
            </w:r>
          </w:p>
        </w:tc>
        <w:tc>
          <w:tcPr>
            <w:tcW w:w="1134" w:type="dxa"/>
            <w:tcBorders>
              <w:top w:val="nil"/>
              <w:left w:val="nil"/>
              <w:bottom w:val="single" w:sz="8" w:space="0" w:color="auto"/>
              <w:right w:val="single" w:sz="8" w:space="0" w:color="auto"/>
            </w:tcBorders>
            <w:shd w:val="clear" w:color="auto" w:fill="auto"/>
            <w:noWrap/>
            <w:vAlign w:val="center"/>
            <w:hideMark/>
          </w:tcPr>
          <w:p w14:paraId="5E5E86F3"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213.6</w:t>
            </w:r>
          </w:p>
        </w:tc>
        <w:tc>
          <w:tcPr>
            <w:tcW w:w="2732" w:type="dxa"/>
            <w:tcBorders>
              <w:top w:val="nil"/>
              <w:left w:val="nil"/>
              <w:bottom w:val="single" w:sz="8" w:space="0" w:color="auto"/>
              <w:right w:val="single" w:sz="8" w:space="0" w:color="auto"/>
            </w:tcBorders>
            <w:shd w:val="clear" w:color="auto" w:fill="auto"/>
            <w:vAlign w:val="center"/>
            <w:hideMark/>
          </w:tcPr>
          <w:p w14:paraId="6B6C0FEF"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42(pH6), 59(pH7),50 (pH8)</w:t>
            </w:r>
          </w:p>
        </w:tc>
        <w:tc>
          <w:tcPr>
            <w:tcW w:w="3573" w:type="dxa"/>
            <w:gridSpan w:val="2"/>
            <w:tcBorders>
              <w:top w:val="single" w:sz="8" w:space="0" w:color="auto"/>
              <w:left w:val="nil"/>
              <w:bottom w:val="single" w:sz="8" w:space="0" w:color="auto"/>
              <w:right w:val="single" w:sz="8" w:space="0" w:color="000000"/>
            </w:tcBorders>
            <w:shd w:val="clear" w:color="000000" w:fill="FFFFFF"/>
            <w:vAlign w:val="center"/>
            <w:hideMark/>
          </w:tcPr>
          <w:p w14:paraId="2BAC471A"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Fully soluble</w:t>
            </w:r>
          </w:p>
        </w:tc>
      </w:tr>
      <w:tr w:rsidR="008B34B0" w:rsidRPr="0098635C" w14:paraId="40129CD4" w14:textId="77777777" w:rsidTr="00926614">
        <w:trPr>
          <w:trHeight w:val="342"/>
        </w:trPr>
        <w:tc>
          <w:tcPr>
            <w:tcW w:w="2684" w:type="dxa"/>
            <w:tcBorders>
              <w:top w:val="nil"/>
              <w:left w:val="single" w:sz="8" w:space="0" w:color="auto"/>
              <w:bottom w:val="single" w:sz="8" w:space="0" w:color="auto"/>
              <w:right w:val="single" w:sz="8" w:space="0" w:color="auto"/>
            </w:tcBorders>
            <w:shd w:val="clear" w:color="auto" w:fill="auto"/>
            <w:vAlign w:val="center"/>
            <w:hideMark/>
          </w:tcPr>
          <w:p w14:paraId="5BCF16E3"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Cu</w:t>
            </w:r>
            <w:r w:rsidRPr="0098635C">
              <w:rPr>
                <w:color w:val="000000" w:themeColor="text1"/>
                <w:sz w:val="20"/>
                <w:szCs w:val="20"/>
                <w:vertAlign w:val="subscript"/>
                <w:lang w:eastAsia="en-GB"/>
              </w:rPr>
              <w:t>2</w:t>
            </w:r>
            <w:r w:rsidRPr="0098635C">
              <w:rPr>
                <w:color w:val="000000" w:themeColor="text1"/>
                <w:sz w:val="20"/>
                <w:szCs w:val="20"/>
                <w:lang w:eastAsia="en-GB"/>
              </w:rPr>
              <w:t xml:space="preserve">O </w:t>
            </w:r>
          </w:p>
        </w:tc>
        <w:tc>
          <w:tcPr>
            <w:tcW w:w="1134" w:type="dxa"/>
            <w:tcBorders>
              <w:top w:val="nil"/>
              <w:left w:val="nil"/>
              <w:bottom w:val="single" w:sz="8" w:space="0" w:color="auto"/>
              <w:right w:val="single" w:sz="8" w:space="0" w:color="auto"/>
            </w:tcBorders>
            <w:shd w:val="clear" w:color="auto" w:fill="auto"/>
            <w:noWrap/>
            <w:vAlign w:val="center"/>
            <w:hideMark/>
          </w:tcPr>
          <w:p w14:paraId="32ADE00D"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143.09</w:t>
            </w:r>
          </w:p>
        </w:tc>
        <w:tc>
          <w:tcPr>
            <w:tcW w:w="2732" w:type="dxa"/>
            <w:tcBorders>
              <w:top w:val="nil"/>
              <w:left w:val="nil"/>
              <w:bottom w:val="single" w:sz="8" w:space="0" w:color="auto"/>
              <w:right w:val="single" w:sz="8" w:space="0" w:color="auto"/>
            </w:tcBorders>
            <w:shd w:val="clear" w:color="auto" w:fill="auto"/>
            <w:vAlign w:val="center"/>
            <w:hideMark/>
          </w:tcPr>
          <w:p w14:paraId="5379278A"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28(pH6), 39(pH7), 34(pH8)</w:t>
            </w:r>
          </w:p>
        </w:tc>
        <w:tc>
          <w:tcPr>
            <w:tcW w:w="960" w:type="dxa"/>
            <w:tcBorders>
              <w:top w:val="nil"/>
              <w:left w:val="nil"/>
              <w:bottom w:val="single" w:sz="8" w:space="0" w:color="auto"/>
              <w:right w:val="nil"/>
            </w:tcBorders>
            <w:shd w:val="clear" w:color="000000" w:fill="FFFFFF"/>
            <w:vAlign w:val="center"/>
            <w:hideMark/>
          </w:tcPr>
          <w:p w14:paraId="69EECAA6"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w:t>
            </w:r>
          </w:p>
        </w:tc>
        <w:tc>
          <w:tcPr>
            <w:tcW w:w="2613" w:type="dxa"/>
            <w:tcBorders>
              <w:top w:val="nil"/>
              <w:left w:val="nil"/>
              <w:bottom w:val="single" w:sz="8" w:space="0" w:color="auto"/>
              <w:right w:val="single" w:sz="8" w:space="0" w:color="000000"/>
            </w:tcBorders>
            <w:shd w:val="clear" w:color="000000" w:fill="FFFFFF"/>
            <w:vAlign w:val="center"/>
            <w:hideMark/>
          </w:tcPr>
          <w:p w14:paraId="08E12344"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w:t>
            </w:r>
          </w:p>
        </w:tc>
      </w:tr>
      <w:tr w:rsidR="008B34B0" w:rsidRPr="0098635C" w14:paraId="666AF301" w14:textId="77777777" w:rsidTr="00926614">
        <w:trPr>
          <w:trHeight w:val="342"/>
        </w:trPr>
        <w:tc>
          <w:tcPr>
            <w:tcW w:w="2684" w:type="dxa"/>
            <w:tcBorders>
              <w:top w:val="nil"/>
              <w:left w:val="single" w:sz="8" w:space="0" w:color="auto"/>
              <w:bottom w:val="single" w:sz="8" w:space="0" w:color="auto"/>
              <w:right w:val="single" w:sz="8" w:space="0" w:color="auto"/>
            </w:tcBorders>
            <w:shd w:val="clear" w:color="auto" w:fill="auto"/>
            <w:vAlign w:val="center"/>
            <w:hideMark/>
          </w:tcPr>
          <w:p w14:paraId="2517428A"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CuO</w:t>
            </w:r>
          </w:p>
        </w:tc>
        <w:tc>
          <w:tcPr>
            <w:tcW w:w="1134" w:type="dxa"/>
            <w:tcBorders>
              <w:top w:val="nil"/>
              <w:left w:val="nil"/>
              <w:bottom w:val="single" w:sz="8" w:space="0" w:color="auto"/>
              <w:right w:val="single" w:sz="8" w:space="0" w:color="auto"/>
            </w:tcBorders>
            <w:shd w:val="clear" w:color="auto" w:fill="auto"/>
            <w:noWrap/>
            <w:vAlign w:val="center"/>
            <w:hideMark/>
          </w:tcPr>
          <w:p w14:paraId="08607397"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79.6</w:t>
            </w:r>
          </w:p>
        </w:tc>
        <w:tc>
          <w:tcPr>
            <w:tcW w:w="2732" w:type="dxa"/>
            <w:tcBorders>
              <w:top w:val="nil"/>
              <w:left w:val="nil"/>
              <w:bottom w:val="single" w:sz="8" w:space="0" w:color="auto"/>
              <w:right w:val="single" w:sz="8" w:space="0" w:color="auto"/>
            </w:tcBorders>
            <w:shd w:val="clear" w:color="auto" w:fill="auto"/>
            <w:vAlign w:val="center"/>
            <w:hideMark/>
          </w:tcPr>
          <w:p w14:paraId="773F17F5"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25(pH6), 35(pH7), 30 (pH8)</w:t>
            </w:r>
          </w:p>
        </w:tc>
        <w:tc>
          <w:tcPr>
            <w:tcW w:w="960" w:type="dxa"/>
            <w:tcBorders>
              <w:top w:val="nil"/>
              <w:left w:val="nil"/>
              <w:bottom w:val="single" w:sz="8" w:space="0" w:color="auto"/>
              <w:right w:val="single" w:sz="8" w:space="0" w:color="auto"/>
            </w:tcBorders>
            <w:shd w:val="clear" w:color="000000" w:fill="FFFFFF"/>
            <w:vAlign w:val="center"/>
            <w:hideMark/>
          </w:tcPr>
          <w:p w14:paraId="4A87035F"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w:t>
            </w:r>
          </w:p>
        </w:tc>
        <w:tc>
          <w:tcPr>
            <w:tcW w:w="2613" w:type="dxa"/>
            <w:tcBorders>
              <w:top w:val="nil"/>
              <w:left w:val="nil"/>
              <w:bottom w:val="single" w:sz="8" w:space="0" w:color="auto"/>
              <w:right w:val="single" w:sz="8" w:space="0" w:color="auto"/>
            </w:tcBorders>
            <w:shd w:val="clear" w:color="000000" w:fill="FFFFFF"/>
            <w:vAlign w:val="center"/>
            <w:hideMark/>
          </w:tcPr>
          <w:p w14:paraId="3899269C" w14:textId="29E82D87" w:rsidR="008B34B0" w:rsidRPr="0098635C" w:rsidRDefault="00A40DD3" w:rsidP="008D2C86">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49(pH6), </w:t>
            </w:r>
            <w:r w:rsidR="008B34B0" w:rsidRPr="0098635C">
              <w:rPr>
                <w:color w:val="000000" w:themeColor="text1"/>
                <w:sz w:val="20"/>
                <w:szCs w:val="20"/>
                <w:lang w:eastAsia="en-GB"/>
              </w:rPr>
              <w:t xml:space="preserve">5(pH7), </w:t>
            </w:r>
            <w:r w:rsidRPr="0098635C">
              <w:rPr>
                <w:color w:val="000000" w:themeColor="text1"/>
                <w:sz w:val="20"/>
                <w:szCs w:val="20"/>
                <w:lang w:eastAsia="en-GB"/>
              </w:rPr>
              <w:t>1 (H8)</w:t>
            </w:r>
          </w:p>
        </w:tc>
      </w:tr>
      <w:tr w:rsidR="008B34B0" w:rsidRPr="0098635C" w14:paraId="76FCE0C8" w14:textId="77777777" w:rsidTr="00926614">
        <w:trPr>
          <w:trHeight w:val="342"/>
        </w:trPr>
        <w:tc>
          <w:tcPr>
            <w:tcW w:w="2684" w:type="dxa"/>
            <w:tcBorders>
              <w:top w:val="nil"/>
              <w:left w:val="single" w:sz="8" w:space="0" w:color="auto"/>
              <w:bottom w:val="single" w:sz="8" w:space="0" w:color="auto"/>
              <w:right w:val="single" w:sz="8" w:space="0" w:color="auto"/>
            </w:tcBorders>
            <w:shd w:val="clear" w:color="auto" w:fill="auto"/>
            <w:vAlign w:val="center"/>
            <w:hideMark/>
          </w:tcPr>
          <w:p w14:paraId="2FF96061"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Coated copper flakes (2000-3000 mm2/mg)</w:t>
            </w:r>
          </w:p>
        </w:tc>
        <w:tc>
          <w:tcPr>
            <w:tcW w:w="1134" w:type="dxa"/>
            <w:tcBorders>
              <w:top w:val="nil"/>
              <w:left w:val="nil"/>
              <w:bottom w:val="single" w:sz="8" w:space="0" w:color="auto"/>
              <w:right w:val="single" w:sz="8" w:space="0" w:color="auto"/>
            </w:tcBorders>
            <w:shd w:val="clear" w:color="auto" w:fill="auto"/>
            <w:noWrap/>
            <w:vAlign w:val="center"/>
            <w:hideMark/>
          </w:tcPr>
          <w:p w14:paraId="0CF33C1D"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63.55</w:t>
            </w:r>
          </w:p>
        </w:tc>
        <w:tc>
          <w:tcPr>
            <w:tcW w:w="2732" w:type="dxa"/>
            <w:tcBorders>
              <w:top w:val="nil"/>
              <w:left w:val="nil"/>
              <w:bottom w:val="single" w:sz="8" w:space="0" w:color="auto"/>
              <w:right w:val="single" w:sz="8" w:space="0" w:color="auto"/>
            </w:tcBorders>
            <w:shd w:val="clear" w:color="auto" w:fill="auto"/>
            <w:vAlign w:val="center"/>
            <w:hideMark/>
          </w:tcPr>
          <w:p w14:paraId="6A55D3F6"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25(pH6), 35(pH7), 30 (pH8)</w:t>
            </w:r>
          </w:p>
        </w:tc>
        <w:tc>
          <w:tcPr>
            <w:tcW w:w="960" w:type="dxa"/>
            <w:tcBorders>
              <w:top w:val="nil"/>
              <w:left w:val="nil"/>
              <w:bottom w:val="single" w:sz="8" w:space="0" w:color="auto"/>
              <w:right w:val="single" w:sz="8" w:space="0" w:color="auto"/>
            </w:tcBorders>
            <w:shd w:val="clear" w:color="000000" w:fill="FFFFFF"/>
            <w:vAlign w:val="center"/>
            <w:hideMark/>
          </w:tcPr>
          <w:p w14:paraId="79B183BE"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w:t>
            </w:r>
          </w:p>
        </w:tc>
        <w:tc>
          <w:tcPr>
            <w:tcW w:w="2613" w:type="dxa"/>
            <w:tcBorders>
              <w:top w:val="nil"/>
              <w:left w:val="nil"/>
              <w:bottom w:val="single" w:sz="8" w:space="0" w:color="auto"/>
              <w:right w:val="single" w:sz="8" w:space="0" w:color="auto"/>
            </w:tcBorders>
            <w:shd w:val="clear" w:color="000000" w:fill="FFFFFF"/>
            <w:vAlign w:val="center"/>
            <w:hideMark/>
          </w:tcPr>
          <w:p w14:paraId="2A180823" w14:textId="1886A8AF" w:rsidR="00A40DD3" w:rsidRPr="0098635C" w:rsidRDefault="00A40DD3" w:rsidP="008D2C86">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721 (pH6), </w:t>
            </w:r>
            <w:r w:rsidR="008B34B0" w:rsidRPr="0098635C">
              <w:rPr>
                <w:color w:val="000000" w:themeColor="text1"/>
                <w:sz w:val="20"/>
                <w:szCs w:val="20"/>
                <w:lang w:eastAsia="en-GB"/>
              </w:rPr>
              <w:t>363 (pH7)</w:t>
            </w:r>
          </w:p>
        </w:tc>
      </w:tr>
      <w:tr w:rsidR="008B34B0" w:rsidRPr="0098635C" w14:paraId="7FA7C33A" w14:textId="77777777" w:rsidTr="00926614">
        <w:trPr>
          <w:trHeight w:val="342"/>
        </w:trPr>
        <w:tc>
          <w:tcPr>
            <w:tcW w:w="2684" w:type="dxa"/>
            <w:tcBorders>
              <w:top w:val="nil"/>
              <w:left w:val="single" w:sz="8" w:space="0" w:color="auto"/>
              <w:bottom w:val="single" w:sz="8" w:space="0" w:color="auto"/>
              <w:right w:val="single" w:sz="8" w:space="0" w:color="auto"/>
            </w:tcBorders>
            <w:shd w:val="clear" w:color="auto" w:fill="auto"/>
            <w:vAlign w:val="center"/>
            <w:hideMark/>
          </w:tcPr>
          <w:p w14:paraId="5E485017"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Fine 10µm Copper powder (67 m2/mg)</w:t>
            </w:r>
          </w:p>
        </w:tc>
        <w:tc>
          <w:tcPr>
            <w:tcW w:w="1134" w:type="dxa"/>
            <w:tcBorders>
              <w:top w:val="nil"/>
              <w:left w:val="nil"/>
              <w:bottom w:val="single" w:sz="8" w:space="0" w:color="auto"/>
              <w:right w:val="single" w:sz="8" w:space="0" w:color="auto"/>
            </w:tcBorders>
            <w:shd w:val="clear" w:color="auto" w:fill="auto"/>
            <w:noWrap/>
            <w:vAlign w:val="center"/>
            <w:hideMark/>
          </w:tcPr>
          <w:p w14:paraId="173570E1"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63.55</w:t>
            </w:r>
          </w:p>
        </w:tc>
        <w:tc>
          <w:tcPr>
            <w:tcW w:w="2732" w:type="dxa"/>
            <w:tcBorders>
              <w:top w:val="nil"/>
              <w:left w:val="nil"/>
              <w:bottom w:val="single" w:sz="8" w:space="0" w:color="auto"/>
              <w:right w:val="single" w:sz="8" w:space="0" w:color="auto"/>
            </w:tcBorders>
            <w:shd w:val="clear" w:color="auto" w:fill="auto"/>
            <w:vAlign w:val="center"/>
            <w:hideMark/>
          </w:tcPr>
          <w:p w14:paraId="78381824"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25(pH6), 35(pH7), 30 (pH8)</w:t>
            </w:r>
          </w:p>
        </w:tc>
        <w:tc>
          <w:tcPr>
            <w:tcW w:w="960" w:type="dxa"/>
            <w:tcBorders>
              <w:top w:val="nil"/>
              <w:left w:val="nil"/>
              <w:bottom w:val="single" w:sz="8" w:space="0" w:color="auto"/>
              <w:right w:val="single" w:sz="8" w:space="0" w:color="auto"/>
            </w:tcBorders>
            <w:shd w:val="clear" w:color="000000" w:fill="FFFFFF"/>
            <w:vAlign w:val="center"/>
            <w:hideMark/>
          </w:tcPr>
          <w:p w14:paraId="1B0303F5"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w:t>
            </w:r>
          </w:p>
        </w:tc>
        <w:tc>
          <w:tcPr>
            <w:tcW w:w="2613" w:type="dxa"/>
            <w:tcBorders>
              <w:top w:val="nil"/>
              <w:left w:val="nil"/>
              <w:bottom w:val="single" w:sz="8" w:space="0" w:color="auto"/>
              <w:right w:val="single" w:sz="8" w:space="0" w:color="auto"/>
            </w:tcBorders>
            <w:shd w:val="clear" w:color="auto" w:fill="auto"/>
            <w:vAlign w:val="center"/>
            <w:hideMark/>
          </w:tcPr>
          <w:p w14:paraId="5DBB909D"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9- 44 (pH6)** </w:t>
            </w:r>
          </w:p>
        </w:tc>
      </w:tr>
      <w:tr w:rsidR="008B34B0" w:rsidRPr="0098635C" w14:paraId="18C60B56" w14:textId="77777777" w:rsidTr="00926614">
        <w:trPr>
          <w:trHeight w:val="342"/>
        </w:trPr>
        <w:tc>
          <w:tcPr>
            <w:tcW w:w="2684" w:type="dxa"/>
            <w:tcBorders>
              <w:top w:val="nil"/>
              <w:left w:val="single" w:sz="8" w:space="0" w:color="auto"/>
              <w:bottom w:val="single" w:sz="8" w:space="0" w:color="auto"/>
              <w:right w:val="single" w:sz="8" w:space="0" w:color="auto"/>
            </w:tcBorders>
            <w:shd w:val="clear" w:color="auto" w:fill="auto"/>
            <w:vAlign w:val="center"/>
            <w:hideMark/>
          </w:tcPr>
          <w:p w14:paraId="61F9935C"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Copper massive (&lt;0.67 mm2/mg)</w:t>
            </w:r>
          </w:p>
        </w:tc>
        <w:tc>
          <w:tcPr>
            <w:tcW w:w="1134" w:type="dxa"/>
            <w:tcBorders>
              <w:top w:val="nil"/>
              <w:left w:val="nil"/>
              <w:bottom w:val="single" w:sz="8" w:space="0" w:color="auto"/>
              <w:right w:val="single" w:sz="8" w:space="0" w:color="auto"/>
            </w:tcBorders>
            <w:shd w:val="clear" w:color="auto" w:fill="auto"/>
            <w:noWrap/>
            <w:vAlign w:val="center"/>
            <w:hideMark/>
          </w:tcPr>
          <w:p w14:paraId="3E972409"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63.55</w:t>
            </w:r>
          </w:p>
        </w:tc>
        <w:tc>
          <w:tcPr>
            <w:tcW w:w="2732" w:type="dxa"/>
            <w:tcBorders>
              <w:top w:val="nil"/>
              <w:left w:val="nil"/>
              <w:bottom w:val="single" w:sz="8" w:space="0" w:color="auto"/>
              <w:right w:val="single" w:sz="8" w:space="0" w:color="auto"/>
            </w:tcBorders>
            <w:shd w:val="clear" w:color="auto" w:fill="auto"/>
            <w:vAlign w:val="center"/>
            <w:hideMark/>
          </w:tcPr>
          <w:p w14:paraId="474E5186"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25(pH6), 35(pH7), 30 (pH8)</w:t>
            </w:r>
          </w:p>
        </w:tc>
        <w:tc>
          <w:tcPr>
            <w:tcW w:w="960" w:type="dxa"/>
            <w:tcBorders>
              <w:top w:val="nil"/>
              <w:left w:val="nil"/>
              <w:bottom w:val="single" w:sz="8" w:space="0" w:color="auto"/>
              <w:right w:val="single" w:sz="8" w:space="0" w:color="auto"/>
            </w:tcBorders>
            <w:shd w:val="clear" w:color="000000" w:fill="FFFFFF"/>
            <w:vAlign w:val="center"/>
            <w:hideMark/>
          </w:tcPr>
          <w:p w14:paraId="229A5CDF"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w:t>
            </w:r>
          </w:p>
        </w:tc>
        <w:tc>
          <w:tcPr>
            <w:tcW w:w="2613" w:type="dxa"/>
            <w:tcBorders>
              <w:top w:val="nil"/>
              <w:left w:val="nil"/>
              <w:bottom w:val="single" w:sz="8" w:space="0" w:color="auto"/>
              <w:right w:val="single" w:sz="8" w:space="0" w:color="auto"/>
            </w:tcBorders>
            <w:shd w:val="clear" w:color="000000" w:fill="FFFFFF"/>
            <w:vAlign w:val="center"/>
            <w:hideMark/>
          </w:tcPr>
          <w:p w14:paraId="16E98CAA"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 (pH6)**</w:t>
            </w:r>
          </w:p>
        </w:tc>
      </w:tr>
      <w:tr w:rsidR="008B34B0" w:rsidRPr="0098635C" w14:paraId="3055A195" w14:textId="77777777" w:rsidTr="00926614">
        <w:trPr>
          <w:trHeight w:val="342"/>
        </w:trPr>
        <w:tc>
          <w:tcPr>
            <w:tcW w:w="2684" w:type="dxa"/>
            <w:tcBorders>
              <w:top w:val="nil"/>
              <w:left w:val="single" w:sz="8" w:space="0" w:color="auto"/>
              <w:bottom w:val="single" w:sz="8" w:space="0" w:color="auto"/>
              <w:right w:val="single" w:sz="8" w:space="0" w:color="auto"/>
            </w:tcBorders>
            <w:shd w:val="clear" w:color="auto" w:fill="auto"/>
            <w:vAlign w:val="center"/>
            <w:hideMark/>
          </w:tcPr>
          <w:p w14:paraId="00AD90DA" w14:textId="77777777" w:rsidR="008B34B0" w:rsidRPr="0098635C" w:rsidRDefault="008B34B0" w:rsidP="008B34B0">
            <w:pPr>
              <w:widowControl/>
              <w:autoSpaceDE/>
              <w:autoSpaceDN/>
              <w:adjustRightInd/>
              <w:spacing w:after="0"/>
              <w:jc w:val="center"/>
              <w:rPr>
                <w:color w:val="000000" w:themeColor="text1"/>
                <w:sz w:val="20"/>
                <w:szCs w:val="20"/>
                <w:lang w:val="fr-FR" w:eastAsia="en-GB"/>
              </w:rPr>
            </w:pPr>
            <w:r w:rsidRPr="0098635C">
              <w:rPr>
                <w:color w:val="000000" w:themeColor="text1"/>
                <w:sz w:val="20"/>
                <w:szCs w:val="20"/>
                <w:lang w:val="fr-FR" w:eastAsia="en-GB"/>
              </w:rPr>
              <w:lastRenderedPageBreak/>
              <w:t>Copper granules/massive (&lt;0.43 mm2/mg)</w:t>
            </w:r>
          </w:p>
        </w:tc>
        <w:tc>
          <w:tcPr>
            <w:tcW w:w="1134" w:type="dxa"/>
            <w:tcBorders>
              <w:top w:val="nil"/>
              <w:left w:val="nil"/>
              <w:bottom w:val="single" w:sz="8" w:space="0" w:color="auto"/>
              <w:right w:val="single" w:sz="8" w:space="0" w:color="auto"/>
            </w:tcBorders>
            <w:shd w:val="clear" w:color="auto" w:fill="auto"/>
            <w:noWrap/>
            <w:vAlign w:val="center"/>
            <w:hideMark/>
          </w:tcPr>
          <w:p w14:paraId="1D9AADED"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63.55</w:t>
            </w:r>
          </w:p>
        </w:tc>
        <w:tc>
          <w:tcPr>
            <w:tcW w:w="2732" w:type="dxa"/>
            <w:tcBorders>
              <w:top w:val="nil"/>
              <w:left w:val="nil"/>
              <w:bottom w:val="single" w:sz="8" w:space="0" w:color="auto"/>
              <w:right w:val="single" w:sz="8" w:space="0" w:color="auto"/>
            </w:tcBorders>
            <w:shd w:val="clear" w:color="auto" w:fill="auto"/>
            <w:vAlign w:val="center"/>
            <w:hideMark/>
          </w:tcPr>
          <w:p w14:paraId="520F0F73"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25(pH6), 35(pH7), 30 (pH8)</w:t>
            </w:r>
          </w:p>
        </w:tc>
        <w:tc>
          <w:tcPr>
            <w:tcW w:w="960" w:type="dxa"/>
            <w:tcBorders>
              <w:top w:val="nil"/>
              <w:left w:val="nil"/>
              <w:bottom w:val="single" w:sz="8" w:space="0" w:color="auto"/>
              <w:right w:val="single" w:sz="8" w:space="0" w:color="auto"/>
            </w:tcBorders>
            <w:shd w:val="clear" w:color="000000" w:fill="FFFFFF"/>
            <w:vAlign w:val="center"/>
            <w:hideMark/>
          </w:tcPr>
          <w:p w14:paraId="26D09684"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100</w:t>
            </w:r>
          </w:p>
        </w:tc>
        <w:tc>
          <w:tcPr>
            <w:tcW w:w="2613" w:type="dxa"/>
            <w:tcBorders>
              <w:top w:val="nil"/>
              <w:left w:val="nil"/>
              <w:bottom w:val="single" w:sz="8" w:space="0" w:color="auto"/>
              <w:right w:val="single" w:sz="8" w:space="0" w:color="auto"/>
            </w:tcBorders>
            <w:shd w:val="clear" w:color="000000" w:fill="FFFFFF"/>
            <w:vAlign w:val="center"/>
            <w:hideMark/>
          </w:tcPr>
          <w:p w14:paraId="2B2B1F1F" w14:textId="77777777" w:rsidR="008B34B0" w:rsidRPr="0098635C" w:rsidRDefault="008B34B0" w:rsidP="008B34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6-19 (pH6)**</w:t>
            </w:r>
          </w:p>
        </w:tc>
      </w:tr>
      <w:tr w:rsidR="008B34B0" w:rsidRPr="0098635C" w14:paraId="797DA0BD" w14:textId="77777777" w:rsidTr="00926614">
        <w:trPr>
          <w:trHeight w:val="435"/>
        </w:trPr>
        <w:tc>
          <w:tcPr>
            <w:tcW w:w="10123" w:type="dxa"/>
            <w:gridSpan w:val="5"/>
            <w:tcBorders>
              <w:top w:val="single" w:sz="8" w:space="0" w:color="auto"/>
              <w:left w:val="nil"/>
              <w:bottom w:val="nil"/>
              <w:right w:val="nil"/>
            </w:tcBorders>
            <w:shd w:val="clear" w:color="auto" w:fill="auto"/>
            <w:vAlign w:val="center"/>
            <w:hideMark/>
          </w:tcPr>
          <w:p w14:paraId="6024A93E" w14:textId="3E63FBF5" w:rsidR="008B34B0" w:rsidRPr="0098635C" w:rsidRDefault="008B34B0" w:rsidP="008B34B0">
            <w:pPr>
              <w:widowControl/>
              <w:autoSpaceDE/>
              <w:autoSpaceDN/>
              <w:adjustRightInd/>
              <w:spacing w:after="0"/>
              <w:jc w:val="left"/>
              <w:rPr>
                <w:color w:val="000000" w:themeColor="text1"/>
                <w:sz w:val="20"/>
                <w:szCs w:val="20"/>
                <w:lang w:eastAsia="en-GB"/>
              </w:rPr>
            </w:pPr>
            <w:r w:rsidRPr="0098635C">
              <w:rPr>
                <w:color w:val="000000" w:themeColor="text1"/>
                <w:sz w:val="20"/>
                <w:szCs w:val="20"/>
                <w:lang w:eastAsia="en-GB"/>
              </w:rPr>
              <w:t xml:space="preserve">* acute ERV of the Cu-ion (lowest </w:t>
            </w:r>
            <w:r w:rsidR="0008036E" w:rsidRPr="0098635C">
              <w:rPr>
                <w:color w:val="000000" w:themeColor="text1"/>
                <w:sz w:val="20"/>
                <w:szCs w:val="20"/>
                <w:lang w:eastAsia="en-GB"/>
              </w:rPr>
              <w:t>species</w:t>
            </w:r>
            <w:r w:rsidRPr="0098635C">
              <w:rPr>
                <w:color w:val="000000" w:themeColor="text1"/>
                <w:sz w:val="20"/>
                <w:szCs w:val="20"/>
                <w:lang w:eastAsia="en-GB"/>
              </w:rPr>
              <w:t xml:space="preserve"> specific geometric mean LC(50) and molecular weight translation in absence of transformation/dissolution</w:t>
            </w:r>
          </w:p>
        </w:tc>
      </w:tr>
      <w:tr w:rsidR="008B34B0" w:rsidRPr="0098635C" w14:paraId="1B031DEF" w14:textId="77777777" w:rsidTr="00926614">
        <w:trPr>
          <w:trHeight w:val="300"/>
        </w:trPr>
        <w:tc>
          <w:tcPr>
            <w:tcW w:w="10123" w:type="dxa"/>
            <w:gridSpan w:val="5"/>
            <w:tcBorders>
              <w:top w:val="nil"/>
              <w:left w:val="nil"/>
              <w:bottom w:val="nil"/>
              <w:right w:val="nil"/>
            </w:tcBorders>
            <w:shd w:val="clear" w:color="auto" w:fill="auto"/>
            <w:vAlign w:val="bottom"/>
            <w:hideMark/>
          </w:tcPr>
          <w:p w14:paraId="638C5E1B" w14:textId="77777777" w:rsidR="008B34B0" w:rsidRPr="0098635C" w:rsidRDefault="008B34B0" w:rsidP="008B34B0">
            <w:pPr>
              <w:widowControl/>
              <w:autoSpaceDE/>
              <w:autoSpaceDN/>
              <w:adjustRightInd/>
              <w:spacing w:after="0"/>
              <w:jc w:val="left"/>
              <w:rPr>
                <w:color w:val="000000" w:themeColor="text1"/>
                <w:sz w:val="20"/>
                <w:szCs w:val="20"/>
                <w:lang w:eastAsia="en-GB"/>
              </w:rPr>
            </w:pPr>
            <w:r w:rsidRPr="0098635C">
              <w:rPr>
                <w:color w:val="000000" w:themeColor="text1"/>
                <w:sz w:val="20"/>
                <w:szCs w:val="20"/>
                <w:lang w:eastAsia="en-GB"/>
              </w:rPr>
              <w:t xml:space="preserve">** 5 times lower values are expected at pH 7 and 8 </w:t>
            </w:r>
          </w:p>
        </w:tc>
      </w:tr>
    </w:tbl>
    <w:p w14:paraId="58F25786" w14:textId="1AD08540" w:rsidR="00D05142" w:rsidRPr="0098635C" w:rsidRDefault="00D05142" w:rsidP="00D05142">
      <w:pPr>
        <w:pStyle w:val="Heading3"/>
        <w:rPr>
          <w:color w:val="000000" w:themeColor="text1"/>
          <w:sz w:val="20"/>
        </w:rPr>
      </w:pPr>
      <w:bookmarkStart w:id="1984" w:name="_Toc471999126"/>
      <w:bookmarkStart w:id="1985" w:name="_Toc472000394"/>
      <w:bookmarkStart w:id="1986" w:name="_Toc472000395"/>
      <w:bookmarkStart w:id="1987" w:name="_Toc472251755"/>
      <w:bookmarkEnd w:id="1984"/>
      <w:bookmarkEnd w:id="1985"/>
      <w:r w:rsidRPr="0098635C">
        <w:rPr>
          <w:color w:val="000000" w:themeColor="text1"/>
          <w:sz w:val="20"/>
        </w:rPr>
        <w:t xml:space="preserve">Chronic Toxicity Test Results </w:t>
      </w:r>
      <w:r w:rsidR="00982B8A" w:rsidRPr="0098635C">
        <w:rPr>
          <w:color w:val="000000" w:themeColor="text1"/>
          <w:sz w:val="20"/>
        </w:rPr>
        <w:t>and hazard identification</w:t>
      </w:r>
      <w:bookmarkEnd w:id="1986"/>
      <w:bookmarkEnd w:id="1987"/>
    </w:p>
    <w:p w14:paraId="64149847" w14:textId="15DE5095" w:rsidR="00186E91" w:rsidRPr="0098635C" w:rsidRDefault="005A70FC" w:rsidP="0003629F">
      <w:pPr>
        <w:rPr>
          <w:color w:val="000000" w:themeColor="text1"/>
          <w:sz w:val="20"/>
          <w:szCs w:val="20"/>
        </w:rPr>
      </w:pPr>
      <w:r w:rsidRPr="0098635C">
        <w:rPr>
          <w:color w:val="000000" w:themeColor="text1"/>
          <w:sz w:val="20"/>
          <w:szCs w:val="20"/>
        </w:rPr>
        <w:t>The chronic</w:t>
      </w:r>
      <w:r w:rsidR="00FC0B81" w:rsidRPr="0098635C">
        <w:rPr>
          <w:color w:val="000000" w:themeColor="text1"/>
          <w:sz w:val="20"/>
          <w:szCs w:val="20"/>
        </w:rPr>
        <w:t xml:space="preserve"> </w:t>
      </w:r>
      <w:r w:rsidRPr="0098635C">
        <w:rPr>
          <w:color w:val="000000" w:themeColor="text1"/>
          <w:sz w:val="20"/>
          <w:szCs w:val="20"/>
        </w:rPr>
        <w:t xml:space="preserve">ecotoxicity dataset </w:t>
      </w:r>
      <w:r w:rsidR="00E230FB" w:rsidRPr="0098635C">
        <w:rPr>
          <w:color w:val="000000" w:themeColor="text1"/>
          <w:sz w:val="20"/>
          <w:szCs w:val="20"/>
        </w:rPr>
        <w:t>(</w:t>
      </w:r>
      <w:r w:rsidR="00996087" w:rsidRPr="0098635C">
        <w:rPr>
          <w:color w:val="000000" w:themeColor="text1"/>
          <w:sz w:val="20"/>
          <w:szCs w:val="20"/>
        </w:rPr>
        <w:t>Annex IX to XI</w:t>
      </w:r>
      <w:r w:rsidR="0024748A" w:rsidRPr="0098635C">
        <w:rPr>
          <w:color w:val="000000" w:themeColor="text1"/>
          <w:sz w:val="20"/>
          <w:szCs w:val="20"/>
        </w:rPr>
        <w:t xml:space="preserve">) </w:t>
      </w:r>
      <w:r w:rsidRPr="0098635C">
        <w:rPr>
          <w:color w:val="000000" w:themeColor="text1"/>
          <w:sz w:val="20"/>
          <w:szCs w:val="20"/>
        </w:rPr>
        <w:t xml:space="preserve">for copper </w:t>
      </w:r>
      <w:r w:rsidR="002E7778" w:rsidRPr="0098635C">
        <w:rPr>
          <w:color w:val="000000" w:themeColor="text1"/>
          <w:sz w:val="20"/>
          <w:szCs w:val="20"/>
        </w:rPr>
        <w:t xml:space="preserve">was developed for hazard and risk assessment purposes and </w:t>
      </w:r>
      <w:r w:rsidR="0070388D" w:rsidRPr="0098635C">
        <w:rPr>
          <w:color w:val="000000" w:themeColor="text1"/>
          <w:sz w:val="20"/>
          <w:szCs w:val="20"/>
        </w:rPr>
        <w:t xml:space="preserve">includes standard and non-standard species/protocols/endpoints. </w:t>
      </w:r>
      <w:r w:rsidR="00186E91" w:rsidRPr="0098635C">
        <w:rPr>
          <w:color w:val="000000" w:themeColor="text1"/>
          <w:sz w:val="20"/>
          <w:szCs w:val="20"/>
        </w:rPr>
        <w:t xml:space="preserve"> The data-quality was assessed, considering: </w:t>
      </w:r>
      <w:r w:rsidR="00283B5A" w:rsidRPr="0098635C">
        <w:rPr>
          <w:color w:val="000000" w:themeColor="text1"/>
          <w:sz w:val="20"/>
          <w:szCs w:val="20"/>
        </w:rPr>
        <w:t>information on test set-up and test medium</w:t>
      </w:r>
      <w:r w:rsidR="003528AE" w:rsidRPr="0098635C">
        <w:rPr>
          <w:color w:val="000000" w:themeColor="text1"/>
          <w:sz w:val="20"/>
          <w:szCs w:val="20"/>
        </w:rPr>
        <w:t xml:space="preserve"> (within the boundaries of OECD and BLMs)</w:t>
      </w:r>
      <w:r w:rsidR="00283B5A" w:rsidRPr="0098635C">
        <w:rPr>
          <w:color w:val="000000" w:themeColor="text1"/>
          <w:sz w:val="20"/>
          <w:szCs w:val="20"/>
        </w:rPr>
        <w:t>,</w:t>
      </w:r>
      <w:r w:rsidR="00186E91" w:rsidRPr="0098635C">
        <w:rPr>
          <w:color w:val="000000" w:themeColor="text1"/>
          <w:sz w:val="20"/>
          <w:szCs w:val="20"/>
        </w:rPr>
        <w:t xml:space="preserve"> measured copper concentrations in the test media, </w:t>
      </w:r>
      <w:r w:rsidR="00283B5A" w:rsidRPr="0098635C">
        <w:rPr>
          <w:color w:val="000000" w:themeColor="text1"/>
          <w:sz w:val="20"/>
          <w:szCs w:val="20"/>
        </w:rPr>
        <w:t xml:space="preserve">information on controls, </w:t>
      </w:r>
      <w:r w:rsidR="00186E91" w:rsidRPr="0098635C">
        <w:rPr>
          <w:color w:val="000000" w:themeColor="text1"/>
          <w:sz w:val="20"/>
          <w:szCs w:val="20"/>
        </w:rPr>
        <w:t>dose-response</w:t>
      </w:r>
      <w:r w:rsidR="00283B5A" w:rsidRPr="0098635C">
        <w:rPr>
          <w:color w:val="000000" w:themeColor="text1"/>
          <w:sz w:val="20"/>
          <w:szCs w:val="20"/>
        </w:rPr>
        <w:t>, reported NOEC or L(E)C10</w:t>
      </w:r>
      <w:r w:rsidR="007E471E" w:rsidRPr="0098635C">
        <w:rPr>
          <w:color w:val="000000" w:themeColor="text1"/>
          <w:sz w:val="20"/>
          <w:szCs w:val="20"/>
        </w:rPr>
        <w:t xml:space="preserve"> as measured concentration.</w:t>
      </w:r>
    </w:p>
    <w:p w14:paraId="0522CB84" w14:textId="7053FEB1" w:rsidR="004931D7" w:rsidRPr="0098635C" w:rsidRDefault="00186E91" w:rsidP="0003629F">
      <w:pPr>
        <w:rPr>
          <w:color w:val="000000" w:themeColor="text1"/>
          <w:sz w:val="20"/>
          <w:szCs w:val="20"/>
        </w:rPr>
      </w:pPr>
      <w:r w:rsidRPr="0098635C">
        <w:rPr>
          <w:color w:val="000000" w:themeColor="text1"/>
          <w:sz w:val="20"/>
          <w:szCs w:val="20"/>
        </w:rPr>
        <w:t xml:space="preserve"> </w:t>
      </w:r>
      <w:r w:rsidR="00DF7428" w:rsidRPr="0098635C">
        <w:rPr>
          <w:color w:val="000000" w:themeColor="text1"/>
          <w:sz w:val="20"/>
          <w:szCs w:val="20"/>
        </w:rPr>
        <w:t xml:space="preserve">Data are grouped per trophic level </w:t>
      </w:r>
      <w:r w:rsidR="00AB5A50" w:rsidRPr="0098635C">
        <w:rPr>
          <w:color w:val="000000" w:themeColor="text1"/>
          <w:sz w:val="20"/>
          <w:szCs w:val="20"/>
        </w:rPr>
        <w:t>a</w:t>
      </w:r>
      <w:r w:rsidR="00DF7428" w:rsidRPr="0098635C">
        <w:rPr>
          <w:color w:val="000000" w:themeColor="text1"/>
          <w:sz w:val="20"/>
          <w:szCs w:val="20"/>
        </w:rPr>
        <w:t>nd</w:t>
      </w:r>
      <w:r w:rsidR="003528AE" w:rsidRPr="0098635C">
        <w:rPr>
          <w:color w:val="000000" w:themeColor="text1"/>
          <w:sz w:val="20"/>
          <w:szCs w:val="20"/>
        </w:rPr>
        <w:t xml:space="preserve"> </w:t>
      </w:r>
      <w:r w:rsidR="00DF7428" w:rsidRPr="0098635C">
        <w:rPr>
          <w:color w:val="000000" w:themeColor="text1"/>
          <w:sz w:val="20"/>
          <w:szCs w:val="20"/>
        </w:rPr>
        <w:t xml:space="preserve">when data on more than one endpoint were available for </w:t>
      </w:r>
      <w:r w:rsidR="004D3A61" w:rsidRPr="0098635C">
        <w:rPr>
          <w:color w:val="000000" w:themeColor="text1"/>
          <w:sz w:val="20"/>
          <w:szCs w:val="20"/>
        </w:rPr>
        <w:t>a</w:t>
      </w:r>
      <w:r w:rsidR="00DF7428" w:rsidRPr="0098635C">
        <w:rPr>
          <w:color w:val="000000" w:themeColor="text1"/>
          <w:sz w:val="20"/>
          <w:szCs w:val="20"/>
        </w:rPr>
        <w:t>n organism, a geometric mean per endpoint was determined and the lowest value was put forward as species mean value. These values have already been used in a regulatory context for setting gen</w:t>
      </w:r>
      <w:r w:rsidR="004D3A61" w:rsidRPr="0098635C">
        <w:rPr>
          <w:color w:val="000000" w:themeColor="text1"/>
          <w:sz w:val="20"/>
          <w:szCs w:val="20"/>
        </w:rPr>
        <w:t>e</w:t>
      </w:r>
      <w:r w:rsidR="00DF7428" w:rsidRPr="0098635C">
        <w:rPr>
          <w:color w:val="000000" w:themeColor="text1"/>
          <w:sz w:val="20"/>
          <w:szCs w:val="20"/>
        </w:rPr>
        <w:t>ric safe water quality criteria</w:t>
      </w:r>
      <w:r w:rsidR="004D3A61" w:rsidRPr="0098635C">
        <w:rPr>
          <w:color w:val="000000" w:themeColor="text1"/>
          <w:sz w:val="20"/>
          <w:szCs w:val="20"/>
        </w:rPr>
        <w:t xml:space="preserve"> (e.g. Cu EU-voluntary risk assessment, REACH Chemical safety reports for copper and copper compounds)</w:t>
      </w:r>
      <w:r w:rsidR="00DF7428" w:rsidRPr="0098635C">
        <w:rPr>
          <w:color w:val="000000" w:themeColor="text1"/>
          <w:sz w:val="20"/>
          <w:szCs w:val="20"/>
        </w:rPr>
        <w:t>.</w:t>
      </w:r>
      <w:r w:rsidR="004931D7" w:rsidRPr="0098635C">
        <w:rPr>
          <w:color w:val="000000" w:themeColor="text1"/>
          <w:sz w:val="20"/>
          <w:szCs w:val="20"/>
        </w:rPr>
        <w:t xml:space="preserve"> </w:t>
      </w:r>
    </w:p>
    <w:p w14:paraId="22E633C3" w14:textId="77777777" w:rsidR="004931D7" w:rsidRPr="0098635C" w:rsidRDefault="00D14A8D" w:rsidP="004931D7">
      <w:pPr>
        <w:rPr>
          <w:color w:val="000000" w:themeColor="text1"/>
          <w:sz w:val="20"/>
          <w:szCs w:val="20"/>
        </w:rPr>
      </w:pPr>
      <w:r w:rsidRPr="0098635C">
        <w:rPr>
          <w:color w:val="000000" w:themeColor="text1"/>
          <w:sz w:val="20"/>
          <w:szCs w:val="20"/>
        </w:rPr>
        <w:t xml:space="preserve">The ecotoxicity data-set covers literature searches and focused research carried between 1988 and 2006.  </w:t>
      </w:r>
      <w:r w:rsidR="004931D7" w:rsidRPr="0098635C">
        <w:rPr>
          <w:color w:val="000000" w:themeColor="text1"/>
          <w:sz w:val="20"/>
          <w:szCs w:val="20"/>
        </w:rPr>
        <w:t xml:space="preserve">The key quality criteria are summarized below: </w:t>
      </w:r>
    </w:p>
    <w:p w14:paraId="745C8B24" w14:textId="15AD8516" w:rsidR="004931D7" w:rsidRPr="0098635C" w:rsidRDefault="00E230FB" w:rsidP="004931D7">
      <w:pPr>
        <w:pStyle w:val="BodyText"/>
        <w:rPr>
          <w:color w:val="000000" w:themeColor="text1"/>
          <w:sz w:val="20"/>
          <w:lang w:val="en-AU"/>
        </w:rPr>
      </w:pPr>
      <w:r w:rsidRPr="0098635C">
        <w:rPr>
          <w:b/>
          <w:color w:val="000000" w:themeColor="text1"/>
          <w:sz w:val="20"/>
          <w:lang w:val="en-AU"/>
        </w:rPr>
        <w:t>Description of test material and methods:</w:t>
      </w:r>
      <w:r w:rsidRPr="0098635C">
        <w:rPr>
          <w:color w:val="000000" w:themeColor="text1"/>
          <w:sz w:val="20"/>
          <w:lang w:val="en-AU"/>
        </w:rPr>
        <w:t xml:space="preserve"> Tests should be performed according standard operational procedures. A detailed description of methods employed in the study should be provided. Including, but not limited to preparation of the test solutions (environment), timing of administration and observations recorded, </w:t>
      </w:r>
      <w:r w:rsidR="0008036E" w:rsidRPr="0098635C">
        <w:rPr>
          <w:color w:val="000000" w:themeColor="text1"/>
          <w:sz w:val="20"/>
          <w:lang w:val="en-AU"/>
        </w:rPr>
        <w:t>etc.</w:t>
      </w:r>
    </w:p>
    <w:p w14:paraId="1D52D2F9" w14:textId="7493C4D5" w:rsidR="004931D7" w:rsidRPr="0098635C" w:rsidRDefault="00E230FB" w:rsidP="004931D7">
      <w:pPr>
        <w:pStyle w:val="BodyText"/>
        <w:rPr>
          <w:color w:val="000000" w:themeColor="text1"/>
          <w:sz w:val="20"/>
          <w:lang w:val="en-AU"/>
        </w:rPr>
      </w:pPr>
      <w:r w:rsidRPr="0098635C">
        <w:rPr>
          <w:b/>
          <w:color w:val="000000" w:themeColor="text1"/>
          <w:sz w:val="20"/>
          <w:lang w:val="en-AU"/>
        </w:rPr>
        <w:t>Test duration:</w:t>
      </w:r>
      <w:r w:rsidR="00CB661C" w:rsidRPr="0098635C">
        <w:rPr>
          <w:color w:val="000000" w:themeColor="text1"/>
          <w:sz w:val="20"/>
          <w:lang w:val="en-AU"/>
        </w:rPr>
        <w:t xml:space="preserve"> The relevance of </w:t>
      </w:r>
      <w:r w:rsidRPr="0098635C">
        <w:rPr>
          <w:color w:val="000000" w:themeColor="text1"/>
          <w:sz w:val="20"/>
          <w:lang w:val="en-AU"/>
        </w:rPr>
        <w:t xml:space="preserve">specific exposure times for the estimation of chronic effects for organisms with relative long life times (fish) was evaluated in more details on a case by case basis considering sensitive life stages.  </w:t>
      </w:r>
    </w:p>
    <w:p w14:paraId="0D746DB5" w14:textId="77777777" w:rsidR="004931D7" w:rsidRPr="0098635C" w:rsidRDefault="00E230FB" w:rsidP="004931D7">
      <w:pPr>
        <w:pStyle w:val="BodyText"/>
        <w:rPr>
          <w:color w:val="000000" w:themeColor="text1"/>
          <w:sz w:val="20"/>
          <w:lang w:val="en-AU"/>
        </w:rPr>
      </w:pPr>
      <w:r w:rsidRPr="0098635C">
        <w:rPr>
          <w:b/>
          <w:color w:val="000000" w:themeColor="text1"/>
          <w:sz w:val="20"/>
          <w:lang w:val="en-AU"/>
        </w:rPr>
        <w:t>Chemical analysis:</w:t>
      </w:r>
      <w:r w:rsidRPr="0098635C">
        <w:rPr>
          <w:color w:val="000000" w:themeColor="text1"/>
          <w:sz w:val="20"/>
          <w:lang w:val="en-AU"/>
        </w:rPr>
        <w:t xml:space="preserve">  Only effect levels based on actual (measured) concentrations have been found reliable. </w:t>
      </w:r>
    </w:p>
    <w:p w14:paraId="46A164A9" w14:textId="3CD7660C" w:rsidR="004931D7" w:rsidRPr="0098635C" w:rsidRDefault="00E230FB" w:rsidP="004931D7">
      <w:pPr>
        <w:pStyle w:val="BodyText"/>
        <w:rPr>
          <w:color w:val="000000" w:themeColor="text1"/>
          <w:sz w:val="20"/>
          <w:lang w:val="en-AU"/>
        </w:rPr>
      </w:pPr>
      <w:r w:rsidRPr="0098635C">
        <w:rPr>
          <w:b/>
          <w:color w:val="000000" w:themeColor="text1"/>
          <w:sz w:val="20"/>
          <w:lang w:val="en-AU"/>
        </w:rPr>
        <w:t xml:space="preserve">Test acceptability:  </w:t>
      </w:r>
      <w:r w:rsidRPr="0098635C">
        <w:rPr>
          <w:color w:val="000000" w:themeColor="text1"/>
          <w:sz w:val="20"/>
          <w:lang w:val="en-AU"/>
        </w:rPr>
        <w:t xml:space="preserve">Minimal requirements for endpoints such as mortality, growth, </w:t>
      </w:r>
      <w:r w:rsidR="0008036E" w:rsidRPr="0098635C">
        <w:rPr>
          <w:color w:val="000000" w:themeColor="text1"/>
          <w:sz w:val="20"/>
          <w:lang w:val="en-AU"/>
        </w:rPr>
        <w:t>reproduction (</w:t>
      </w:r>
      <w:r w:rsidRPr="0098635C">
        <w:rPr>
          <w:color w:val="000000" w:themeColor="text1"/>
          <w:sz w:val="20"/>
          <w:lang w:val="en-AU"/>
        </w:rPr>
        <w:t xml:space="preserve">e.g. control mortality for chronic exposure &lt; 20 %). In addition there must be evidence that the concentration of the substance being tested has been satisfactorily maintained, and preferably it should be least 80% of the nominal concentration throughout the test (OECD, 1983). </w:t>
      </w:r>
    </w:p>
    <w:p w14:paraId="389F922B" w14:textId="77777777" w:rsidR="007F51A5" w:rsidRPr="0098635C" w:rsidRDefault="00E230FB" w:rsidP="007F4061">
      <w:pPr>
        <w:pStyle w:val="BodyText"/>
        <w:keepNext/>
        <w:rPr>
          <w:color w:val="000000" w:themeColor="text1"/>
          <w:sz w:val="20"/>
          <w:lang w:val="en-AU"/>
        </w:rPr>
      </w:pPr>
      <w:r w:rsidRPr="0098635C">
        <w:rPr>
          <w:b/>
          <w:color w:val="000000" w:themeColor="text1"/>
          <w:sz w:val="20"/>
          <w:lang w:val="en-AU"/>
        </w:rPr>
        <w:t>Concentration-effect relationships</w:t>
      </w:r>
      <w:r w:rsidRPr="0098635C">
        <w:rPr>
          <w:color w:val="000000" w:themeColor="text1"/>
          <w:sz w:val="20"/>
          <w:lang w:val="en-AU"/>
        </w:rPr>
        <w:t xml:space="preserve">: Clear dose response relationships should be observed. Because effect concentrations are statistically derived values, information concerning the statistics should be used as a criterion for data selection. </w:t>
      </w:r>
    </w:p>
    <w:p w14:paraId="5CB74F3D" w14:textId="69225505" w:rsidR="002E7778" w:rsidRPr="0098635C" w:rsidRDefault="0003629F" w:rsidP="0003629F">
      <w:pPr>
        <w:rPr>
          <w:color w:val="000000" w:themeColor="text1"/>
          <w:sz w:val="20"/>
          <w:szCs w:val="20"/>
        </w:rPr>
      </w:pPr>
      <w:r w:rsidRPr="0098635C">
        <w:rPr>
          <w:color w:val="000000" w:themeColor="text1"/>
          <w:sz w:val="20"/>
          <w:szCs w:val="20"/>
        </w:rPr>
        <w:t xml:space="preserve">High quality chronic NOEC/(L(E)C10 values are </w:t>
      </w:r>
      <w:r w:rsidR="004931D7" w:rsidRPr="0098635C">
        <w:rPr>
          <w:color w:val="000000" w:themeColor="text1"/>
          <w:sz w:val="20"/>
          <w:szCs w:val="20"/>
        </w:rPr>
        <w:t xml:space="preserve">retained </w:t>
      </w:r>
      <w:r w:rsidRPr="0098635C">
        <w:rPr>
          <w:color w:val="000000" w:themeColor="text1"/>
          <w:sz w:val="20"/>
          <w:szCs w:val="20"/>
        </w:rPr>
        <w:t>for 10 fish species</w:t>
      </w:r>
      <w:r w:rsidRPr="0098635C">
        <w:rPr>
          <w:rFonts w:cs="Times"/>
          <w:i/>
          <w:iCs/>
          <w:color w:val="000000" w:themeColor="text1"/>
          <w:sz w:val="20"/>
          <w:szCs w:val="20"/>
        </w:rPr>
        <w:t xml:space="preserve">: Ictalurus punctatus, Oncorhynchus kisutch, Oncorhynchus mykiss, Salvelinus fontinalis, </w:t>
      </w:r>
      <w:r w:rsidRPr="0098635C">
        <w:rPr>
          <w:i/>
          <w:color w:val="000000" w:themeColor="text1"/>
          <w:sz w:val="20"/>
          <w:szCs w:val="20"/>
        </w:rPr>
        <w:t>Pimephales promelas</w:t>
      </w:r>
      <w:r w:rsidRPr="0098635C">
        <w:rPr>
          <w:color w:val="000000" w:themeColor="text1"/>
          <w:sz w:val="20"/>
          <w:szCs w:val="20"/>
        </w:rPr>
        <w:t xml:space="preserve">, </w:t>
      </w:r>
      <w:r w:rsidRPr="0098635C">
        <w:rPr>
          <w:i/>
          <w:color w:val="000000" w:themeColor="text1"/>
          <w:sz w:val="20"/>
          <w:szCs w:val="20"/>
        </w:rPr>
        <w:t>Pimephales notatus</w:t>
      </w:r>
      <w:r w:rsidRPr="0098635C">
        <w:rPr>
          <w:color w:val="000000" w:themeColor="text1"/>
          <w:sz w:val="20"/>
          <w:szCs w:val="20"/>
        </w:rPr>
        <w:t xml:space="preserve">, </w:t>
      </w:r>
      <w:r w:rsidRPr="0098635C">
        <w:rPr>
          <w:i/>
          <w:color w:val="000000" w:themeColor="text1"/>
          <w:sz w:val="20"/>
          <w:szCs w:val="20"/>
        </w:rPr>
        <w:t>Perca fluviatilis</w:t>
      </w:r>
      <w:r w:rsidRPr="0098635C">
        <w:rPr>
          <w:color w:val="000000" w:themeColor="text1"/>
          <w:sz w:val="20"/>
          <w:szCs w:val="20"/>
        </w:rPr>
        <w:t xml:space="preserve">, </w:t>
      </w:r>
      <w:r w:rsidRPr="0098635C">
        <w:rPr>
          <w:i/>
          <w:color w:val="000000" w:themeColor="text1"/>
          <w:sz w:val="20"/>
          <w:szCs w:val="20"/>
        </w:rPr>
        <w:t>Noemacheilus barbatulus</w:t>
      </w:r>
      <w:r w:rsidRPr="0098635C">
        <w:rPr>
          <w:color w:val="000000" w:themeColor="text1"/>
          <w:sz w:val="20"/>
          <w:szCs w:val="20"/>
        </w:rPr>
        <w:t xml:space="preserve">, </w:t>
      </w:r>
      <w:r w:rsidRPr="0098635C">
        <w:rPr>
          <w:i/>
          <w:color w:val="000000" w:themeColor="text1"/>
          <w:sz w:val="20"/>
          <w:szCs w:val="20"/>
        </w:rPr>
        <w:t>Catostomus commersoni</w:t>
      </w:r>
      <w:r w:rsidRPr="0098635C">
        <w:rPr>
          <w:color w:val="000000" w:themeColor="text1"/>
          <w:sz w:val="20"/>
          <w:szCs w:val="20"/>
        </w:rPr>
        <w:t xml:space="preserve"> and  </w:t>
      </w:r>
      <w:r w:rsidRPr="0098635C">
        <w:rPr>
          <w:i/>
          <w:color w:val="000000" w:themeColor="text1"/>
          <w:sz w:val="20"/>
          <w:szCs w:val="20"/>
        </w:rPr>
        <w:t xml:space="preserve">Esox </w:t>
      </w:r>
      <w:r w:rsidR="006E625C" w:rsidRPr="0098635C">
        <w:rPr>
          <w:i/>
          <w:color w:val="000000" w:themeColor="text1"/>
          <w:sz w:val="20"/>
          <w:szCs w:val="20"/>
        </w:rPr>
        <w:t>Lucius</w:t>
      </w:r>
      <w:r w:rsidR="006E625C" w:rsidRPr="0098635C">
        <w:rPr>
          <w:color w:val="000000" w:themeColor="text1"/>
          <w:sz w:val="20"/>
          <w:szCs w:val="20"/>
        </w:rPr>
        <w:t xml:space="preserve"> (see Annex IX)</w:t>
      </w:r>
      <w:r w:rsidR="003E2B17" w:rsidRPr="0098635C">
        <w:rPr>
          <w:color w:val="000000" w:themeColor="text1"/>
          <w:sz w:val="20"/>
          <w:szCs w:val="20"/>
        </w:rPr>
        <w:t>.</w:t>
      </w:r>
      <w:r w:rsidRPr="0098635C">
        <w:rPr>
          <w:color w:val="000000" w:themeColor="text1"/>
          <w:sz w:val="20"/>
          <w:szCs w:val="20"/>
        </w:rPr>
        <w:t xml:space="preserve"> </w:t>
      </w:r>
      <w:r w:rsidR="004F74BC" w:rsidRPr="0098635C">
        <w:rPr>
          <w:color w:val="000000" w:themeColor="text1"/>
          <w:sz w:val="20"/>
          <w:szCs w:val="20"/>
        </w:rPr>
        <w:t>The following endpoints were evaluated for one or more different species: mortality, growth rate, reproduction</w:t>
      </w:r>
      <w:r w:rsidR="002E7778" w:rsidRPr="0098635C">
        <w:rPr>
          <w:color w:val="000000" w:themeColor="text1"/>
          <w:sz w:val="20"/>
          <w:szCs w:val="20"/>
        </w:rPr>
        <w:t xml:space="preserve"> (</w:t>
      </w:r>
      <w:r w:rsidR="001E520D" w:rsidRPr="0098635C">
        <w:rPr>
          <w:color w:val="000000" w:themeColor="text1"/>
          <w:sz w:val="20"/>
          <w:szCs w:val="20"/>
        </w:rPr>
        <w:t>nr offspring</w:t>
      </w:r>
      <w:r w:rsidR="0008036E" w:rsidRPr="0098635C">
        <w:rPr>
          <w:color w:val="000000" w:themeColor="text1"/>
          <w:sz w:val="20"/>
          <w:szCs w:val="20"/>
        </w:rPr>
        <w:t>, #</w:t>
      </w:r>
      <w:r w:rsidR="004F74BC" w:rsidRPr="0098635C">
        <w:rPr>
          <w:color w:val="000000" w:themeColor="text1"/>
          <w:sz w:val="20"/>
          <w:szCs w:val="20"/>
        </w:rPr>
        <w:t>eggs per female (or per spawn), and % of eggs hatched</w:t>
      </w:r>
      <w:r w:rsidR="002E7778" w:rsidRPr="0098635C">
        <w:rPr>
          <w:color w:val="000000" w:themeColor="text1"/>
          <w:sz w:val="20"/>
          <w:szCs w:val="20"/>
        </w:rPr>
        <w:t>)</w:t>
      </w:r>
      <w:r w:rsidR="004F74BC" w:rsidRPr="0098635C">
        <w:rPr>
          <w:color w:val="000000" w:themeColor="text1"/>
          <w:sz w:val="20"/>
          <w:szCs w:val="20"/>
        </w:rPr>
        <w:t xml:space="preserve">. </w:t>
      </w:r>
      <w:r w:rsidRPr="0098635C">
        <w:rPr>
          <w:color w:val="000000" w:themeColor="text1"/>
          <w:sz w:val="20"/>
          <w:szCs w:val="20"/>
        </w:rPr>
        <w:t>Individual high quality NOEC/(L(E)C</w:t>
      </w:r>
      <w:r w:rsidRPr="0098635C">
        <w:rPr>
          <w:color w:val="000000" w:themeColor="text1"/>
          <w:sz w:val="20"/>
          <w:szCs w:val="20"/>
          <w:vertAlign w:val="subscript"/>
        </w:rPr>
        <w:t>10</w:t>
      </w:r>
      <w:r w:rsidRPr="0098635C">
        <w:rPr>
          <w:color w:val="000000" w:themeColor="text1"/>
          <w:sz w:val="20"/>
          <w:szCs w:val="20"/>
        </w:rPr>
        <w:t xml:space="preserve"> values from different studies range between 2.2 μg/l Cu for the rainbow trout </w:t>
      </w:r>
      <w:r w:rsidRPr="0098635C">
        <w:rPr>
          <w:rFonts w:cs="Times"/>
          <w:i/>
          <w:iCs/>
          <w:color w:val="000000" w:themeColor="text1"/>
          <w:sz w:val="20"/>
          <w:szCs w:val="20"/>
        </w:rPr>
        <w:t xml:space="preserve">Oncorhynchus mykiss </w:t>
      </w:r>
      <w:r w:rsidRPr="0098635C">
        <w:rPr>
          <w:color w:val="000000" w:themeColor="text1"/>
          <w:sz w:val="20"/>
          <w:szCs w:val="20"/>
        </w:rPr>
        <w:t>(endpoint</w:t>
      </w:r>
      <w:r w:rsidR="00CD2BED" w:rsidRPr="0098635C">
        <w:rPr>
          <w:color w:val="000000" w:themeColor="text1"/>
          <w:sz w:val="20"/>
          <w:szCs w:val="20"/>
        </w:rPr>
        <w:t>:</w:t>
      </w:r>
      <w:r w:rsidRPr="0098635C">
        <w:rPr>
          <w:color w:val="000000" w:themeColor="text1"/>
          <w:sz w:val="20"/>
          <w:szCs w:val="20"/>
        </w:rPr>
        <w:t xml:space="preserve"> growth) to 188 μg/l Cu for the perch </w:t>
      </w:r>
      <w:r w:rsidRPr="0098635C">
        <w:rPr>
          <w:rFonts w:cs="Times"/>
          <w:i/>
          <w:iCs/>
          <w:color w:val="000000" w:themeColor="text1"/>
          <w:sz w:val="20"/>
          <w:szCs w:val="20"/>
        </w:rPr>
        <w:t xml:space="preserve">Perca fluviatilis </w:t>
      </w:r>
      <w:r w:rsidRPr="0098635C">
        <w:rPr>
          <w:color w:val="000000" w:themeColor="text1"/>
          <w:sz w:val="20"/>
          <w:szCs w:val="20"/>
        </w:rPr>
        <w:t>(endpoint</w:t>
      </w:r>
      <w:r w:rsidR="00CD2BED" w:rsidRPr="0098635C">
        <w:rPr>
          <w:color w:val="000000" w:themeColor="text1"/>
          <w:sz w:val="20"/>
          <w:szCs w:val="20"/>
        </w:rPr>
        <w:t>:</w:t>
      </w:r>
      <w:r w:rsidRPr="0098635C">
        <w:rPr>
          <w:color w:val="000000" w:themeColor="text1"/>
          <w:sz w:val="20"/>
          <w:szCs w:val="20"/>
        </w:rPr>
        <w:t xml:space="preserve"> mortality)</w:t>
      </w:r>
      <w:r w:rsidR="002E1B7C" w:rsidRPr="0098635C">
        <w:rPr>
          <w:color w:val="000000" w:themeColor="text1"/>
          <w:sz w:val="20"/>
          <w:szCs w:val="20"/>
        </w:rPr>
        <w:t xml:space="preserve"> </w:t>
      </w:r>
      <w:r w:rsidR="006E625C" w:rsidRPr="0098635C">
        <w:rPr>
          <w:color w:val="000000" w:themeColor="text1"/>
          <w:sz w:val="20"/>
          <w:szCs w:val="20"/>
        </w:rPr>
        <w:t>.</w:t>
      </w:r>
    </w:p>
    <w:p w14:paraId="5DF0ACB5" w14:textId="47146794" w:rsidR="009B22C7" w:rsidRPr="0098635C" w:rsidRDefault="009B22C7" w:rsidP="0003629F">
      <w:pPr>
        <w:rPr>
          <w:color w:val="000000" w:themeColor="text1"/>
          <w:sz w:val="20"/>
          <w:szCs w:val="20"/>
        </w:rPr>
      </w:pPr>
      <w:r w:rsidRPr="0098635C">
        <w:rPr>
          <w:color w:val="000000" w:themeColor="text1"/>
          <w:sz w:val="20"/>
          <w:szCs w:val="20"/>
        </w:rPr>
        <w:t xml:space="preserve">With regard to chronic toxicity, it is generally recommended to focus  </w:t>
      </w:r>
      <w:r w:rsidR="00F622AC" w:rsidRPr="0098635C">
        <w:rPr>
          <w:color w:val="000000" w:themeColor="text1"/>
          <w:sz w:val="20"/>
          <w:szCs w:val="20"/>
        </w:rPr>
        <w:t xml:space="preserve">on </w:t>
      </w:r>
      <w:r w:rsidRPr="0098635C">
        <w:rPr>
          <w:color w:val="000000" w:themeColor="text1"/>
          <w:sz w:val="20"/>
          <w:szCs w:val="20"/>
        </w:rPr>
        <w:t>the studies whe</w:t>
      </w:r>
      <w:r w:rsidR="00F622AC" w:rsidRPr="0098635C">
        <w:rPr>
          <w:color w:val="000000" w:themeColor="text1"/>
          <w:sz w:val="20"/>
          <w:szCs w:val="20"/>
        </w:rPr>
        <w:t>r</w:t>
      </w:r>
      <w:r w:rsidRPr="0098635C">
        <w:rPr>
          <w:color w:val="000000" w:themeColor="text1"/>
          <w:sz w:val="20"/>
          <w:szCs w:val="20"/>
        </w:rPr>
        <w:t xml:space="preserve">e sub-lethal effect concentrations are reported. </w:t>
      </w:r>
      <w:r w:rsidR="00B80524" w:rsidRPr="0098635C">
        <w:rPr>
          <w:color w:val="000000" w:themeColor="text1"/>
          <w:sz w:val="20"/>
          <w:szCs w:val="20"/>
        </w:rPr>
        <w:t xml:space="preserve">For copper, the mechanism of action (osmo-regulatory interference) often results in small differences between mortality and sub-lethal effects (e.g. for </w:t>
      </w:r>
      <w:r w:rsidR="00B80524" w:rsidRPr="0098635C">
        <w:rPr>
          <w:i/>
          <w:color w:val="000000" w:themeColor="text1"/>
          <w:sz w:val="20"/>
          <w:szCs w:val="20"/>
        </w:rPr>
        <w:t>D.magna</w:t>
      </w:r>
      <w:r w:rsidR="00B80524" w:rsidRPr="0098635C">
        <w:rPr>
          <w:color w:val="000000" w:themeColor="text1"/>
          <w:sz w:val="20"/>
          <w:szCs w:val="20"/>
        </w:rPr>
        <w:t>). Hence the inclusion of chronic mortality data is relevant for copper compounds.</w:t>
      </w:r>
    </w:p>
    <w:p w14:paraId="7F67CC45" w14:textId="1E88CA88" w:rsidR="0003629F" w:rsidRPr="0098635C" w:rsidRDefault="0003629F" w:rsidP="0003629F">
      <w:pPr>
        <w:rPr>
          <w:color w:val="000000" w:themeColor="text1"/>
          <w:sz w:val="20"/>
          <w:szCs w:val="20"/>
        </w:rPr>
      </w:pPr>
      <w:r w:rsidRPr="0098635C">
        <w:rPr>
          <w:rFonts w:cs="Times"/>
          <w:color w:val="000000" w:themeColor="text1"/>
          <w:sz w:val="20"/>
          <w:szCs w:val="20"/>
        </w:rPr>
        <w:t xml:space="preserve">Reliable chronic data were identified for 13 different invertebrate species, representing different classes: </w:t>
      </w:r>
      <w:r w:rsidRPr="0098635C">
        <w:rPr>
          <w:color w:val="000000" w:themeColor="text1"/>
          <w:sz w:val="20"/>
          <w:szCs w:val="20"/>
        </w:rPr>
        <w:t>1 rotifer species (</w:t>
      </w:r>
      <w:r w:rsidRPr="0098635C">
        <w:rPr>
          <w:rFonts w:cs="Times"/>
          <w:i/>
          <w:iCs/>
          <w:color w:val="000000" w:themeColor="text1"/>
          <w:sz w:val="20"/>
          <w:szCs w:val="20"/>
        </w:rPr>
        <w:t>Brachionus calyciflorus</w:t>
      </w:r>
      <w:r w:rsidRPr="0098635C">
        <w:rPr>
          <w:color w:val="000000" w:themeColor="text1"/>
          <w:sz w:val="20"/>
          <w:szCs w:val="20"/>
        </w:rPr>
        <w:t>); 3 insect species (</w:t>
      </w:r>
      <w:r w:rsidRPr="0098635C">
        <w:rPr>
          <w:rFonts w:cs="Times"/>
          <w:i/>
          <w:iCs/>
          <w:color w:val="000000" w:themeColor="text1"/>
          <w:sz w:val="20"/>
          <w:szCs w:val="20"/>
        </w:rPr>
        <w:t>Clistoronia magnifica; Chironomus riparius; Paratanytarsus parthenogeneticus</w:t>
      </w:r>
      <w:r w:rsidRPr="0098635C">
        <w:rPr>
          <w:color w:val="000000" w:themeColor="text1"/>
          <w:sz w:val="20"/>
          <w:szCs w:val="20"/>
        </w:rPr>
        <w:t>), 4 mollusc species (</w:t>
      </w:r>
      <w:r w:rsidRPr="0098635C">
        <w:rPr>
          <w:rFonts w:cs="Times"/>
          <w:i/>
          <w:iCs/>
          <w:color w:val="000000" w:themeColor="text1"/>
          <w:sz w:val="20"/>
          <w:szCs w:val="20"/>
        </w:rPr>
        <w:t>Juga plicifera, Campeloma decisum; Villosa iris; Dreissenia polymorpha</w:t>
      </w:r>
      <w:r w:rsidRPr="0098635C">
        <w:rPr>
          <w:color w:val="000000" w:themeColor="text1"/>
          <w:sz w:val="20"/>
          <w:szCs w:val="20"/>
        </w:rPr>
        <w:t>), 5 crustacean species (</w:t>
      </w:r>
      <w:r w:rsidRPr="0098635C">
        <w:rPr>
          <w:rFonts w:cs="Times"/>
          <w:i/>
          <w:iCs/>
          <w:color w:val="000000" w:themeColor="text1"/>
          <w:sz w:val="20"/>
          <w:szCs w:val="20"/>
        </w:rPr>
        <w:t>Ceriodaphnia dubia; Daphnia magna; Daphnia pulex; Hyalella azteca; Gammarus pulex</w:t>
      </w:r>
      <w:r w:rsidRPr="0098635C">
        <w:rPr>
          <w:color w:val="000000" w:themeColor="text1"/>
          <w:sz w:val="20"/>
          <w:szCs w:val="20"/>
        </w:rPr>
        <w:t>)</w:t>
      </w:r>
      <w:r w:rsidR="004931D7" w:rsidRPr="0098635C">
        <w:rPr>
          <w:color w:val="000000" w:themeColor="text1"/>
          <w:sz w:val="20"/>
          <w:szCs w:val="20"/>
        </w:rPr>
        <w:t xml:space="preserve"> (see </w:t>
      </w:r>
      <w:r w:rsidR="006E625C" w:rsidRPr="0098635C">
        <w:rPr>
          <w:color w:val="000000" w:themeColor="text1"/>
          <w:sz w:val="20"/>
          <w:szCs w:val="20"/>
        </w:rPr>
        <w:t>Annex X</w:t>
      </w:r>
      <w:r w:rsidR="004931D7" w:rsidRPr="0098635C">
        <w:rPr>
          <w:color w:val="000000" w:themeColor="text1"/>
          <w:sz w:val="20"/>
          <w:szCs w:val="20"/>
        </w:rPr>
        <w:t>)</w:t>
      </w:r>
      <w:r w:rsidRPr="0098635C">
        <w:rPr>
          <w:color w:val="000000" w:themeColor="text1"/>
          <w:sz w:val="20"/>
          <w:szCs w:val="20"/>
        </w:rPr>
        <w:t>. Individual NOEC/(L(E)C</w:t>
      </w:r>
      <w:r w:rsidRPr="0098635C">
        <w:rPr>
          <w:color w:val="000000" w:themeColor="text1"/>
          <w:sz w:val="20"/>
          <w:szCs w:val="20"/>
          <w:vertAlign w:val="subscript"/>
        </w:rPr>
        <w:t>10</w:t>
      </w:r>
      <w:r w:rsidRPr="0098635C">
        <w:rPr>
          <w:color w:val="000000" w:themeColor="text1"/>
          <w:sz w:val="20"/>
          <w:szCs w:val="20"/>
        </w:rPr>
        <w:t xml:space="preserve"> values range between 4 μg Cu/L (</w:t>
      </w:r>
      <w:r w:rsidRPr="0098635C">
        <w:rPr>
          <w:rFonts w:cs="Times"/>
          <w:i/>
          <w:iCs/>
          <w:color w:val="000000" w:themeColor="text1"/>
          <w:sz w:val="20"/>
          <w:szCs w:val="20"/>
        </w:rPr>
        <w:t>Ceriodaphnia dubia</w:t>
      </w:r>
      <w:r w:rsidRPr="0098635C">
        <w:rPr>
          <w:color w:val="000000" w:themeColor="text1"/>
          <w:sz w:val="20"/>
          <w:szCs w:val="20"/>
        </w:rPr>
        <w:t xml:space="preserve">) </w:t>
      </w:r>
      <w:r w:rsidR="00F60C82" w:rsidRPr="0098635C">
        <w:rPr>
          <w:color w:val="000000" w:themeColor="text1"/>
          <w:sz w:val="20"/>
          <w:szCs w:val="20"/>
        </w:rPr>
        <w:t>and</w:t>
      </w:r>
      <w:r w:rsidRPr="0098635C">
        <w:rPr>
          <w:color w:val="000000" w:themeColor="text1"/>
          <w:sz w:val="20"/>
          <w:szCs w:val="20"/>
        </w:rPr>
        <w:t xml:space="preserve"> </w:t>
      </w:r>
      <w:r w:rsidR="00195A6E" w:rsidRPr="0098635C">
        <w:rPr>
          <w:color w:val="000000" w:themeColor="text1"/>
          <w:sz w:val="20"/>
          <w:szCs w:val="20"/>
        </w:rPr>
        <w:t xml:space="preserve">181 </w:t>
      </w:r>
      <w:r w:rsidRPr="0098635C">
        <w:rPr>
          <w:color w:val="000000" w:themeColor="text1"/>
          <w:sz w:val="20"/>
          <w:szCs w:val="20"/>
        </w:rPr>
        <w:t>μg Cu/L (</w:t>
      </w:r>
      <w:r w:rsidRPr="0098635C">
        <w:rPr>
          <w:rFonts w:cs="Times"/>
          <w:i/>
          <w:iCs/>
          <w:color w:val="000000" w:themeColor="text1"/>
          <w:sz w:val="20"/>
          <w:szCs w:val="20"/>
        </w:rPr>
        <w:t xml:space="preserve">Daphnia magna </w:t>
      </w:r>
      <w:r w:rsidRPr="0098635C">
        <w:rPr>
          <w:rFonts w:cs="Times"/>
          <w:iCs/>
          <w:color w:val="000000" w:themeColor="text1"/>
          <w:sz w:val="20"/>
          <w:szCs w:val="20"/>
        </w:rPr>
        <w:t>reproduction</w:t>
      </w:r>
      <w:r w:rsidRPr="0098635C">
        <w:rPr>
          <w:color w:val="000000" w:themeColor="text1"/>
          <w:sz w:val="20"/>
          <w:szCs w:val="20"/>
        </w:rPr>
        <w:t>)</w:t>
      </w:r>
      <w:r w:rsidR="0053571F" w:rsidRPr="0098635C">
        <w:rPr>
          <w:color w:val="000000" w:themeColor="text1"/>
          <w:sz w:val="20"/>
          <w:szCs w:val="20"/>
        </w:rPr>
        <w:t xml:space="preserve">. </w:t>
      </w:r>
      <w:r w:rsidR="0070388D" w:rsidRPr="0098635C">
        <w:rPr>
          <w:color w:val="000000" w:themeColor="text1"/>
          <w:sz w:val="20"/>
          <w:szCs w:val="20"/>
        </w:rPr>
        <w:t xml:space="preserve">Covered endpoints for this </w:t>
      </w:r>
      <w:r w:rsidR="0008036E" w:rsidRPr="0098635C">
        <w:rPr>
          <w:color w:val="000000" w:themeColor="text1"/>
          <w:sz w:val="20"/>
          <w:szCs w:val="20"/>
        </w:rPr>
        <w:t>trophic</w:t>
      </w:r>
      <w:r w:rsidR="0070388D" w:rsidRPr="0098635C">
        <w:rPr>
          <w:color w:val="000000" w:themeColor="text1"/>
          <w:sz w:val="20"/>
          <w:szCs w:val="20"/>
        </w:rPr>
        <w:t xml:space="preserve"> level are predominantly growth, reproduction and mortality, but also include e.g. life cycle (</w:t>
      </w:r>
      <w:r w:rsidR="0070388D" w:rsidRPr="0098635C">
        <w:rPr>
          <w:i/>
          <w:color w:val="000000" w:themeColor="text1"/>
          <w:sz w:val="20"/>
          <w:szCs w:val="20"/>
        </w:rPr>
        <w:t>C. magnifica</w:t>
      </w:r>
      <w:r w:rsidR="0070388D" w:rsidRPr="0098635C">
        <w:rPr>
          <w:color w:val="000000" w:themeColor="text1"/>
          <w:sz w:val="20"/>
          <w:szCs w:val="20"/>
        </w:rPr>
        <w:t>), population response (</w:t>
      </w:r>
      <w:r w:rsidR="0070388D" w:rsidRPr="0098635C">
        <w:rPr>
          <w:i/>
          <w:color w:val="000000" w:themeColor="text1"/>
          <w:sz w:val="20"/>
          <w:szCs w:val="20"/>
        </w:rPr>
        <w:t>G. pulex</w:t>
      </w:r>
      <w:r w:rsidR="0070388D" w:rsidRPr="0098635C">
        <w:rPr>
          <w:color w:val="000000" w:themeColor="text1"/>
          <w:sz w:val="20"/>
          <w:szCs w:val="20"/>
        </w:rPr>
        <w:t>) and filtration rate (</w:t>
      </w:r>
      <w:r w:rsidR="0070388D" w:rsidRPr="0098635C">
        <w:rPr>
          <w:i/>
          <w:color w:val="000000" w:themeColor="text1"/>
          <w:sz w:val="20"/>
          <w:szCs w:val="20"/>
        </w:rPr>
        <w:t>D. polymorpha</w:t>
      </w:r>
      <w:r w:rsidR="0070388D" w:rsidRPr="0098635C">
        <w:rPr>
          <w:color w:val="000000" w:themeColor="text1"/>
          <w:sz w:val="20"/>
          <w:szCs w:val="20"/>
        </w:rPr>
        <w:t>).</w:t>
      </w:r>
      <w:r w:rsidR="00F60C82" w:rsidRPr="0098635C">
        <w:rPr>
          <w:color w:val="000000" w:themeColor="text1"/>
          <w:sz w:val="20"/>
          <w:szCs w:val="20"/>
        </w:rPr>
        <w:t xml:space="preserve"> The species </w:t>
      </w:r>
      <w:r w:rsidR="00195A6E" w:rsidRPr="0098635C">
        <w:rPr>
          <w:color w:val="000000" w:themeColor="text1"/>
          <w:sz w:val="20"/>
          <w:szCs w:val="20"/>
        </w:rPr>
        <w:t xml:space="preserve">geometric </w:t>
      </w:r>
      <w:r w:rsidR="00F60C82" w:rsidRPr="0098635C">
        <w:rPr>
          <w:color w:val="000000" w:themeColor="text1"/>
          <w:sz w:val="20"/>
          <w:szCs w:val="20"/>
        </w:rPr>
        <w:t>mean values for freshwater invertebrates are situated between 6 µg Cu/L (</w:t>
      </w:r>
      <w:r w:rsidR="00F60C82" w:rsidRPr="0098635C">
        <w:rPr>
          <w:i/>
          <w:color w:val="000000" w:themeColor="text1"/>
          <w:sz w:val="20"/>
          <w:szCs w:val="20"/>
        </w:rPr>
        <w:t>J .plicifera</w:t>
      </w:r>
      <w:r w:rsidR="00F60C82" w:rsidRPr="0098635C">
        <w:rPr>
          <w:color w:val="000000" w:themeColor="text1"/>
          <w:sz w:val="20"/>
          <w:szCs w:val="20"/>
        </w:rPr>
        <w:t>) and 50.3 µg Cu/L (</w:t>
      </w:r>
      <w:r w:rsidR="00F60C82" w:rsidRPr="0098635C">
        <w:rPr>
          <w:i/>
          <w:color w:val="000000" w:themeColor="text1"/>
          <w:sz w:val="20"/>
          <w:szCs w:val="20"/>
        </w:rPr>
        <w:t>H. azteca</w:t>
      </w:r>
      <w:r w:rsidR="00F60C82" w:rsidRPr="0098635C">
        <w:rPr>
          <w:color w:val="000000" w:themeColor="text1"/>
          <w:sz w:val="20"/>
          <w:szCs w:val="20"/>
        </w:rPr>
        <w:t>)</w:t>
      </w:r>
      <w:r w:rsidR="00DF7428" w:rsidRPr="0098635C">
        <w:rPr>
          <w:color w:val="000000" w:themeColor="text1"/>
          <w:sz w:val="20"/>
          <w:szCs w:val="20"/>
        </w:rPr>
        <w:t>.</w:t>
      </w:r>
    </w:p>
    <w:p w14:paraId="4C146F99" w14:textId="38CC9D24" w:rsidR="00F87BF8" w:rsidRPr="0098635C" w:rsidRDefault="003E37F5" w:rsidP="003E37F5">
      <w:pPr>
        <w:rPr>
          <w:color w:val="000000" w:themeColor="text1"/>
          <w:sz w:val="20"/>
          <w:szCs w:val="20"/>
        </w:rPr>
      </w:pPr>
      <w:r w:rsidRPr="0098635C">
        <w:rPr>
          <w:color w:val="000000" w:themeColor="text1"/>
          <w:sz w:val="20"/>
          <w:szCs w:val="20"/>
        </w:rPr>
        <w:lastRenderedPageBreak/>
        <w:t>High quality chronic NOEC/(L(E)C</w:t>
      </w:r>
      <w:r w:rsidRPr="0098635C">
        <w:rPr>
          <w:color w:val="000000" w:themeColor="text1"/>
          <w:sz w:val="20"/>
          <w:szCs w:val="20"/>
          <w:vertAlign w:val="subscript"/>
        </w:rPr>
        <w:t>10</w:t>
      </w:r>
      <w:r w:rsidRPr="0098635C">
        <w:rPr>
          <w:color w:val="000000" w:themeColor="text1"/>
          <w:sz w:val="20"/>
          <w:szCs w:val="20"/>
        </w:rPr>
        <w:t xml:space="preserve"> algae values are available for </w:t>
      </w:r>
      <w:r w:rsidR="00353B41" w:rsidRPr="0098635C">
        <w:rPr>
          <w:color w:val="000000" w:themeColor="text1"/>
          <w:sz w:val="20"/>
          <w:szCs w:val="20"/>
        </w:rPr>
        <w:t>3</w:t>
      </w:r>
      <w:r w:rsidRPr="0098635C">
        <w:rPr>
          <w:color w:val="000000" w:themeColor="text1"/>
          <w:sz w:val="20"/>
          <w:szCs w:val="20"/>
        </w:rPr>
        <w:t xml:space="preserve"> species: </w:t>
      </w:r>
      <w:r w:rsidRPr="0098635C">
        <w:rPr>
          <w:rFonts w:cs="Times"/>
          <w:i/>
          <w:iCs/>
          <w:color w:val="000000" w:themeColor="text1"/>
          <w:sz w:val="20"/>
          <w:szCs w:val="20"/>
        </w:rPr>
        <w:t>Pseudokirchnerella subcapitata, Chlamydomonas reinhardtii</w:t>
      </w:r>
      <w:r w:rsidR="00353B41" w:rsidRPr="0098635C">
        <w:rPr>
          <w:rFonts w:cs="Times"/>
          <w:iCs/>
          <w:color w:val="000000" w:themeColor="text1"/>
          <w:sz w:val="20"/>
          <w:szCs w:val="20"/>
        </w:rPr>
        <w:t xml:space="preserve"> and </w:t>
      </w:r>
      <w:r w:rsidRPr="0098635C">
        <w:rPr>
          <w:rFonts w:cs="Times"/>
          <w:i/>
          <w:iCs/>
          <w:color w:val="000000" w:themeColor="text1"/>
          <w:sz w:val="20"/>
          <w:szCs w:val="20"/>
        </w:rPr>
        <w:t>Chlorella vulgaris</w:t>
      </w:r>
      <w:r w:rsidR="004931D7" w:rsidRPr="0098635C">
        <w:rPr>
          <w:rFonts w:cs="Times"/>
          <w:i/>
          <w:iCs/>
          <w:color w:val="000000" w:themeColor="text1"/>
          <w:sz w:val="20"/>
          <w:szCs w:val="20"/>
        </w:rPr>
        <w:t xml:space="preserve"> </w:t>
      </w:r>
      <w:r w:rsidR="006E625C" w:rsidRPr="0098635C">
        <w:rPr>
          <w:color w:val="000000" w:themeColor="text1"/>
          <w:sz w:val="20"/>
          <w:szCs w:val="20"/>
        </w:rPr>
        <w:t>(see Annex XI)</w:t>
      </w:r>
      <w:r w:rsidRPr="0098635C">
        <w:rPr>
          <w:rFonts w:cs="Times"/>
          <w:i/>
          <w:iCs/>
          <w:color w:val="000000" w:themeColor="text1"/>
          <w:sz w:val="20"/>
          <w:szCs w:val="20"/>
        </w:rPr>
        <w:t xml:space="preserve">. </w:t>
      </w:r>
      <w:r w:rsidRPr="0098635C">
        <w:rPr>
          <w:color w:val="000000" w:themeColor="text1"/>
          <w:sz w:val="20"/>
          <w:szCs w:val="20"/>
        </w:rPr>
        <w:t xml:space="preserve">One high quality NOEC is available for a higher plant, i.e. duckweed </w:t>
      </w:r>
      <w:r w:rsidRPr="0098635C">
        <w:rPr>
          <w:i/>
          <w:color w:val="000000" w:themeColor="text1"/>
          <w:sz w:val="20"/>
          <w:szCs w:val="20"/>
        </w:rPr>
        <w:t>Lemna minor</w:t>
      </w:r>
      <w:r w:rsidRPr="0098635C">
        <w:rPr>
          <w:color w:val="000000" w:themeColor="text1"/>
          <w:sz w:val="20"/>
          <w:szCs w:val="20"/>
        </w:rPr>
        <w:t>.</w:t>
      </w:r>
      <w:r w:rsidR="0070388D" w:rsidRPr="0098635C">
        <w:rPr>
          <w:color w:val="000000" w:themeColor="text1"/>
          <w:sz w:val="20"/>
          <w:szCs w:val="20"/>
        </w:rPr>
        <w:t xml:space="preserve"> For these species the conventional endpoints biomass and growth rate were covered</w:t>
      </w:r>
      <w:r w:rsidR="004931D7" w:rsidRPr="0098635C">
        <w:rPr>
          <w:color w:val="000000" w:themeColor="text1"/>
          <w:sz w:val="20"/>
          <w:szCs w:val="20"/>
        </w:rPr>
        <w:t xml:space="preserve"> and growth rates were retained</w:t>
      </w:r>
      <w:r w:rsidR="0070388D" w:rsidRPr="0098635C">
        <w:rPr>
          <w:color w:val="000000" w:themeColor="text1"/>
          <w:sz w:val="20"/>
          <w:szCs w:val="20"/>
        </w:rPr>
        <w:t>.</w:t>
      </w:r>
      <w:r w:rsidR="00353B41" w:rsidRPr="0098635C">
        <w:rPr>
          <w:color w:val="000000" w:themeColor="text1"/>
          <w:sz w:val="20"/>
          <w:szCs w:val="20"/>
        </w:rPr>
        <w:t xml:space="preserve"> Species mean values for algae/higher plants range from 30 µg Cu/L (</w:t>
      </w:r>
      <w:r w:rsidR="00353B41" w:rsidRPr="0098635C">
        <w:rPr>
          <w:i/>
          <w:color w:val="000000" w:themeColor="text1"/>
          <w:sz w:val="20"/>
          <w:szCs w:val="20"/>
        </w:rPr>
        <w:t>L. minor</w:t>
      </w:r>
      <w:r w:rsidR="00353B41" w:rsidRPr="0098635C">
        <w:rPr>
          <w:color w:val="000000" w:themeColor="text1"/>
          <w:sz w:val="20"/>
          <w:szCs w:val="20"/>
        </w:rPr>
        <w:t>) to 138 µg Cu/L (</w:t>
      </w:r>
      <w:r w:rsidR="00353B41" w:rsidRPr="0098635C">
        <w:rPr>
          <w:i/>
          <w:color w:val="000000" w:themeColor="text1"/>
          <w:sz w:val="20"/>
          <w:szCs w:val="20"/>
        </w:rPr>
        <w:t>C. vulgaris</w:t>
      </w:r>
      <w:r w:rsidR="00353B41" w:rsidRPr="0098635C">
        <w:rPr>
          <w:color w:val="000000" w:themeColor="text1"/>
          <w:sz w:val="20"/>
          <w:szCs w:val="20"/>
        </w:rPr>
        <w:t>)</w:t>
      </w:r>
      <w:r w:rsidR="00195A6E" w:rsidRPr="0098635C">
        <w:rPr>
          <w:color w:val="000000" w:themeColor="text1"/>
          <w:sz w:val="20"/>
          <w:szCs w:val="20"/>
        </w:rPr>
        <w:t>.</w:t>
      </w:r>
    </w:p>
    <w:p w14:paraId="56AE4127" w14:textId="00CE7DB4" w:rsidR="002E1B7C" w:rsidRPr="0098635C" w:rsidRDefault="00A002D9">
      <w:pPr>
        <w:rPr>
          <w:color w:val="000000" w:themeColor="text1"/>
          <w:sz w:val="20"/>
          <w:szCs w:val="20"/>
        </w:rPr>
      </w:pPr>
      <w:r w:rsidRPr="0098635C">
        <w:rPr>
          <w:color w:val="000000" w:themeColor="text1"/>
          <w:sz w:val="20"/>
          <w:szCs w:val="20"/>
          <w:highlight w:val="yellow"/>
        </w:rPr>
        <w:fldChar w:fldCharType="begin"/>
      </w:r>
      <w:r w:rsidRPr="0098635C">
        <w:rPr>
          <w:color w:val="000000" w:themeColor="text1"/>
          <w:sz w:val="20"/>
          <w:szCs w:val="20"/>
        </w:rPr>
        <w:instrText xml:space="preserve"> REF _Ref387240437 \h </w:instrText>
      </w:r>
      <w:r w:rsidRPr="0098635C">
        <w:rPr>
          <w:color w:val="000000" w:themeColor="text1"/>
          <w:sz w:val="20"/>
          <w:szCs w:val="20"/>
          <w:highlight w:val="yellow"/>
        </w:rPr>
        <w:instrText xml:space="preserve"> \* MERGEFORMAT </w:instrText>
      </w:r>
      <w:r w:rsidRPr="0098635C">
        <w:rPr>
          <w:color w:val="000000" w:themeColor="text1"/>
          <w:sz w:val="20"/>
          <w:szCs w:val="20"/>
          <w:highlight w:val="yellow"/>
        </w:rPr>
      </w:r>
      <w:r w:rsidRPr="0098635C">
        <w:rPr>
          <w:color w:val="000000" w:themeColor="text1"/>
          <w:sz w:val="20"/>
          <w:szCs w:val="20"/>
          <w:highlight w:val="yellow"/>
        </w:rPr>
        <w:fldChar w:fldCharType="separate"/>
      </w:r>
      <w:r w:rsidR="005E5161" w:rsidRPr="0098635C">
        <w:rPr>
          <w:b/>
          <w:color w:val="000000" w:themeColor="text1"/>
          <w:sz w:val="20"/>
          <w:szCs w:val="20"/>
        </w:rPr>
        <w:t xml:space="preserve">Table </w:t>
      </w:r>
      <w:r w:rsidR="005E5161" w:rsidRPr="0098635C">
        <w:rPr>
          <w:b/>
          <w:noProof/>
          <w:color w:val="000000" w:themeColor="text1"/>
          <w:sz w:val="20"/>
          <w:szCs w:val="20"/>
        </w:rPr>
        <w:t>28</w:t>
      </w:r>
      <w:r w:rsidRPr="0098635C">
        <w:rPr>
          <w:color w:val="000000" w:themeColor="text1"/>
          <w:sz w:val="20"/>
          <w:szCs w:val="20"/>
          <w:highlight w:val="yellow"/>
        </w:rPr>
        <w:fldChar w:fldCharType="end"/>
      </w:r>
      <w:r w:rsidRPr="0098635C">
        <w:rPr>
          <w:color w:val="000000" w:themeColor="text1"/>
          <w:sz w:val="20"/>
          <w:szCs w:val="20"/>
        </w:rPr>
        <w:t xml:space="preserve"> </w:t>
      </w:r>
      <w:r w:rsidR="00F26C38" w:rsidRPr="0098635C">
        <w:rPr>
          <w:color w:val="000000" w:themeColor="text1"/>
          <w:sz w:val="20"/>
          <w:szCs w:val="20"/>
        </w:rPr>
        <w:t>summarizes the ecotoxicity data</w:t>
      </w:r>
      <w:r w:rsidR="009C0E28" w:rsidRPr="0098635C">
        <w:rPr>
          <w:color w:val="000000" w:themeColor="text1"/>
          <w:sz w:val="20"/>
          <w:szCs w:val="20"/>
        </w:rPr>
        <w:t xml:space="preserve"> for </w:t>
      </w:r>
      <w:r w:rsidR="006E625C" w:rsidRPr="0098635C">
        <w:rPr>
          <w:color w:val="000000" w:themeColor="text1"/>
          <w:sz w:val="20"/>
          <w:szCs w:val="20"/>
        </w:rPr>
        <w:t xml:space="preserve">the </w:t>
      </w:r>
      <w:r w:rsidR="009C0E28" w:rsidRPr="0098635C">
        <w:rPr>
          <w:color w:val="000000" w:themeColor="text1"/>
          <w:sz w:val="20"/>
          <w:szCs w:val="20"/>
        </w:rPr>
        <w:t xml:space="preserve">standard </w:t>
      </w:r>
      <w:r w:rsidR="00195A6E" w:rsidRPr="0098635C">
        <w:rPr>
          <w:color w:val="000000" w:themeColor="text1"/>
          <w:sz w:val="20"/>
          <w:szCs w:val="20"/>
        </w:rPr>
        <w:t xml:space="preserve">OECD </w:t>
      </w:r>
      <w:r w:rsidR="009C0E28" w:rsidRPr="0098635C">
        <w:rPr>
          <w:color w:val="000000" w:themeColor="text1"/>
          <w:sz w:val="20"/>
          <w:szCs w:val="20"/>
        </w:rPr>
        <w:t>species</w:t>
      </w:r>
      <w:r w:rsidR="0053571F" w:rsidRPr="0098635C">
        <w:rPr>
          <w:color w:val="000000" w:themeColor="text1"/>
          <w:sz w:val="20"/>
          <w:szCs w:val="20"/>
        </w:rPr>
        <w:t>/</w:t>
      </w:r>
      <w:r w:rsidR="009C0E28" w:rsidRPr="0098635C">
        <w:rPr>
          <w:color w:val="000000" w:themeColor="text1"/>
          <w:sz w:val="20"/>
          <w:szCs w:val="20"/>
        </w:rPr>
        <w:t xml:space="preserve"> endpoints</w:t>
      </w:r>
      <w:r w:rsidR="0053571F" w:rsidRPr="0098635C">
        <w:rPr>
          <w:color w:val="000000" w:themeColor="text1"/>
          <w:sz w:val="20"/>
          <w:szCs w:val="20"/>
        </w:rPr>
        <w:t xml:space="preserve"> under standard </w:t>
      </w:r>
      <w:r w:rsidR="00195A6E" w:rsidRPr="0098635C">
        <w:rPr>
          <w:color w:val="000000" w:themeColor="text1"/>
          <w:sz w:val="20"/>
          <w:szCs w:val="20"/>
        </w:rPr>
        <w:t xml:space="preserve">pH </w:t>
      </w:r>
      <w:r w:rsidR="0053571F" w:rsidRPr="0098635C">
        <w:rPr>
          <w:color w:val="000000" w:themeColor="text1"/>
          <w:sz w:val="20"/>
          <w:szCs w:val="20"/>
        </w:rPr>
        <w:t>conditions (pH 5.5-8.5)</w:t>
      </w:r>
      <w:r w:rsidR="00F26C38" w:rsidRPr="0098635C">
        <w:rPr>
          <w:color w:val="000000" w:themeColor="text1"/>
          <w:sz w:val="20"/>
          <w:szCs w:val="20"/>
        </w:rPr>
        <w:t xml:space="preserve">, whereby the information is split by pH to allow for a direct comparison between the ecotoxicity data and the transformation/dissolution data as input </w:t>
      </w:r>
      <w:r w:rsidRPr="0098635C">
        <w:rPr>
          <w:color w:val="000000" w:themeColor="text1"/>
          <w:sz w:val="20"/>
          <w:szCs w:val="20"/>
        </w:rPr>
        <w:t xml:space="preserve">into GHS hazard </w:t>
      </w:r>
      <w:r w:rsidR="009C0E28" w:rsidRPr="0098635C">
        <w:rPr>
          <w:color w:val="000000" w:themeColor="text1"/>
          <w:sz w:val="20"/>
          <w:szCs w:val="20"/>
        </w:rPr>
        <w:t>assessments</w:t>
      </w:r>
      <w:r w:rsidR="00F26C38" w:rsidRPr="0098635C">
        <w:rPr>
          <w:color w:val="000000" w:themeColor="text1"/>
          <w:sz w:val="20"/>
          <w:szCs w:val="20"/>
        </w:rPr>
        <w:t xml:space="preserve">. </w:t>
      </w:r>
      <w:r w:rsidR="008652AD" w:rsidRPr="0098635C">
        <w:rPr>
          <w:color w:val="000000" w:themeColor="text1"/>
          <w:sz w:val="20"/>
          <w:szCs w:val="20"/>
        </w:rPr>
        <w:t xml:space="preserve">  </w:t>
      </w:r>
      <w:r w:rsidR="009C0E28" w:rsidRPr="0098635C">
        <w:rPr>
          <w:color w:val="000000" w:themeColor="text1"/>
          <w:sz w:val="20"/>
          <w:szCs w:val="20"/>
        </w:rPr>
        <w:t>The lowest pH-specific, geometric mean values (by species and endpoint) are considered as Chronic Environmental Reference Value (Chronic ERV</w:t>
      </w:r>
      <w:r w:rsidR="0053571F" w:rsidRPr="0098635C">
        <w:rPr>
          <w:color w:val="000000" w:themeColor="text1"/>
          <w:sz w:val="20"/>
          <w:szCs w:val="20"/>
        </w:rPr>
        <w:t>-Cu-ions</w:t>
      </w:r>
      <w:r w:rsidR="009C0E28" w:rsidRPr="0098635C">
        <w:rPr>
          <w:color w:val="000000" w:themeColor="text1"/>
          <w:sz w:val="20"/>
          <w:szCs w:val="20"/>
        </w:rPr>
        <w:t>):  20, 6.3 and 11.4 µg Cu/L at respectively pH 6,</w:t>
      </w:r>
      <w:r w:rsidR="00AB4085" w:rsidRPr="0098635C">
        <w:rPr>
          <w:color w:val="000000" w:themeColor="text1"/>
          <w:sz w:val="20"/>
          <w:szCs w:val="20"/>
        </w:rPr>
        <w:t xml:space="preserve"> </w:t>
      </w:r>
      <w:r w:rsidR="009C0E28" w:rsidRPr="0098635C">
        <w:rPr>
          <w:color w:val="000000" w:themeColor="text1"/>
          <w:sz w:val="20"/>
          <w:szCs w:val="20"/>
        </w:rPr>
        <w:t>7 and 8.</w:t>
      </w:r>
      <w:r w:rsidR="00AB4085" w:rsidRPr="0098635C">
        <w:rPr>
          <w:color w:val="000000" w:themeColor="text1"/>
          <w:sz w:val="20"/>
          <w:szCs w:val="20"/>
        </w:rPr>
        <w:t xml:space="preserve"> </w:t>
      </w:r>
    </w:p>
    <w:p w14:paraId="081F5E9B" w14:textId="6914494F" w:rsidR="00973DC6" w:rsidRPr="0098635C" w:rsidRDefault="00E73525" w:rsidP="00A81F21">
      <w:pPr>
        <w:spacing w:after="0"/>
        <w:rPr>
          <w:color w:val="000000" w:themeColor="text1"/>
          <w:sz w:val="20"/>
          <w:szCs w:val="20"/>
        </w:rPr>
      </w:pPr>
      <w:r w:rsidRPr="0098635C">
        <w:rPr>
          <w:color w:val="000000" w:themeColor="text1"/>
          <w:sz w:val="20"/>
          <w:szCs w:val="20"/>
        </w:rPr>
        <w:t xml:space="preserve">The chronic environmental hazard </w:t>
      </w:r>
      <w:r w:rsidR="00A657F5" w:rsidRPr="0098635C">
        <w:rPr>
          <w:color w:val="000000" w:themeColor="text1"/>
          <w:sz w:val="20"/>
          <w:szCs w:val="20"/>
        </w:rPr>
        <w:t>identity</w:t>
      </w:r>
      <w:r w:rsidRPr="0098635C">
        <w:rPr>
          <w:color w:val="000000" w:themeColor="text1"/>
          <w:sz w:val="20"/>
          <w:szCs w:val="20"/>
        </w:rPr>
        <w:t xml:space="preserve"> of </w:t>
      </w:r>
      <w:r w:rsidR="000F4696" w:rsidRPr="0098635C">
        <w:rPr>
          <w:color w:val="000000" w:themeColor="text1"/>
          <w:sz w:val="20"/>
          <w:szCs w:val="20"/>
        </w:rPr>
        <w:t>the</w:t>
      </w:r>
      <w:r w:rsidR="00A657F5" w:rsidRPr="0098635C">
        <w:rPr>
          <w:color w:val="000000" w:themeColor="text1"/>
          <w:sz w:val="20"/>
          <w:szCs w:val="20"/>
        </w:rPr>
        <w:t xml:space="preserve"> </w:t>
      </w:r>
      <w:r w:rsidRPr="0098635C">
        <w:rPr>
          <w:color w:val="000000" w:themeColor="text1"/>
          <w:sz w:val="20"/>
          <w:szCs w:val="20"/>
        </w:rPr>
        <w:t>soluble compounds</w:t>
      </w:r>
      <w:r w:rsidR="00A657F5" w:rsidRPr="0098635C">
        <w:rPr>
          <w:color w:val="000000" w:themeColor="text1"/>
          <w:sz w:val="20"/>
          <w:szCs w:val="20"/>
        </w:rPr>
        <w:t xml:space="preserve"> such as CuSO</w:t>
      </w:r>
      <w:r w:rsidR="00D05142" w:rsidRPr="0098635C">
        <w:rPr>
          <w:color w:val="000000" w:themeColor="text1"/>
          <w:sz w:val="20"/>
          <w:szCs w:val="20"/>
          <w:vertAlign w:val="subscript"/>
        </w:rPr>
        <w:t xml:space="preserve">4 </w:t>
      </w:r>
      <w:r w:rsidRPr="0098635C">
        <w:rPr>
          <w:color w:val="000000" w:themeColor="text1"/>
          <w:sz w:val="20"/>
          <w:szCs w:val="20"/>
        </w:rPr>
        <w:t>is derived through molecular weight translation of the</w:t>
      </w:r>
      <w:r w:rsidR="00A657F5" w:rsidRPr="0098635C">
        <w:rPr>
          <w:color w:val="000000" w:themeColor="text1"/>
          <w:sz w:val="20"/>
          <w:szCs w:val="20"/>
        </w:rPr>
        <w:t>se</w:t>
      </w:r>
      <w:r w:rsidRPr="0098635C">
        <w:rPr>
          <w:color w:val="000000" w:themeColor="text1"/>
          <w:sz w:val="20"/>
          <w:szCs w:val="20"/>
        </w:rPr>
        <w:t xml:space="preserve"> </w:t>
      </w:r>
      <w:r w:rsidR="00A657F5" w:rsidRPr="0098635C">
        <w:rPr>
          <w:color w:val="000000" w:themeColor="text1"/>
          <w:sz w:val="20"/>
          <w:szCs w:val="20"/>
        </w:rPr>
        <w:t xml:space="preserve">chronic </w:t>
      </w:r>
      <w:r w:rsidRPr="0098635C">
        <w:rPr>
          <w:color w:val="000000" w:themeColor="text1"/>
          <w:sz w:val="20"/>
          <w:szCs w:val="20"/>
        </w:rPr>
        <w:t>ERVs</w:t>
      </w:r>
      <w:r w:rsidR="0053571F" w:rsidRPr="0098635C">
        <w:rPr>
          <w:color w:val="000000" w:themeColor="text1"/>
          <w:sz w:val="20"/>
          <w:szCs w:val="20"/>
        </w:rPr>
        <w:t>-</w:t>
      </w:r>
      <w:r w:rsidR="000F4696" w:rsidRPr="0098635C">
        <w:rPr>
          <w:color w:val="000000" w:themeColor="text1"/>
          <w:sz w:val="20"/>
          <w:szCs w:val="20"/>
        </w:rPr>
        <w:t>Cu-ions</w:t>
      </w:r>
      <w:r w:rsidR="00B1362D" w:rsidRPr="0098635C">
        <w:rPr>
          <w:color w:val="000000" w:themeColor="text1"/>
          <w:sz w:val="20"/>
          <w:szCs w:val="20"/>
        </w:rPr>
        <w:t xml:space="preserve"> (</w:t>
      </w:r>
      <w:r w:rsidR="00B1362D" w:rsidRPr="0098635C">
        <w:rPr>
          <w:color w:val="000000" w:themeColor="text1"/>
          <w:sz w:val="20"/>
          <w:szCs w:val="20"/>
        </w:rPr>
        <w:fldChar w:fldCharType="begin"/>
      </w:r>
      <w:r w:rsidR="00B1362D" w:rsidRPr="0098635C">
        <w:rPr>
          <w:color w:val="000000" w:themeColor="text1"/>
          <w:sz w:val="20"/>
          <w:szCs w:val="20"/>
        </w:rPr>
        <w:instrText xml:space="preserve"> REF _Ref472083587 \h  \* MERGEFORMAT </w:instrText>
      </w:r>
      <w:r w:rsidR="00B1362D" w:rsidRPr="0098635C">
        <w:rPr>
          <w:color w:val="000000" w:themeColor="text1"/>
          <w:sz w:val="20"/>
          <w:szCs w:val="20"/>
        </w:rPr>
      </w:r>
      <w:r w:rsidR="00B1362D" w:rsidRPr="0098635C">
        <w:rPr>
          <w:color w:val="000000" w:themeColor="text1"/>
          <w:sz w:val="20"/>
          <w:szCs w:val="20"/>
        </w:rPr>
        <w:fldChar w:fldCharType="separate"/>
      </w:r>
      <w:r w:rsidR="005E5161" w:rsidRPr="0098635C">
        <w:rPr>
          <w:color w:val="000000" w:themeColor="text1"/>
          <w:sz w:val="20"/>
          <w:szCs w:val="20"/>
        </w:rPr>
        <w:t xml:space="preserve">Table </w:t>
      </w:r>
      <w:r w:rsidR="005E5161" w:rsidRPr="0098635C">
        <w:rPr>
          <w:noProof/>
          <w:color w:val="000000" w:themeColor="text1"/>
          <w:sz w:val="20"/>
          <w:szCs w:val="20"/>
        </w:rPr>
        <w:t>29</w:t>
      </w:r>
      <w:r w:rsidR="00B1362D" w:rsidRPr="0098635C">
        <w:rPr>
          <w:color w:val="000000" w:themeColor="text1"/>
          <w:sz w:val="20"/>
          <w:szCs w:val="20"/>
        </w:rPr>
        <w:fldChar w:fldCharType="end"/>
      </w:r>
      <w:r w:rsidR="00B1362D" w:rsidRPr="0098635C">
        <w:rPr>
          <w:color w:val="000000" w:themeColor="text1"/>
          <w:sz w:val="20"/>
          <w:szCs w:val="20"/>
        </w:rPr>
        <w:t>)</w:t>
      </w:r>
      <w:r w:rsidR="00AB4085" w:rsidRPr="0098635C">
        <w:rPr>
          <w:color w:val="000000" w:themeColor="text1"/>
          <w:sz w:val="20"/>
          <w:szCs w:val="20"/>
        </w:rPr>
        <w:t xml:space="preserve">. </w:t>
      </w:r>
      <w:r w:rsidRPr="0098635C">
        <w:rPr>
          <w:color w:val="000000" w:themeColor="text1"/>
          <w:sz w:val="20"/>
          <w:szCs w:val="20"/>
        </w:rPr>
        <w:t>The</w:t>
      </w:r>
      <w:r w:rsidR="000F4696" w:rsidRPr="0098635C">
        <w:rPr>
          <w:color w:val="000000" w:themeColor="text1"/>
          <w:sz w:val="20"/>
          <w:szCs w:val="20"/>
        </w:rPr>
        <w:t xml:space="preserve"> chronic</w:t>
      </w:r>
      <w:r w:rsidRPr="0098635C">
        <w:rPr>
          <w:color w:val="000000" w:themeColor="text1"/>
          <w:sz w:val="20"/>
          <w:szCs w:val="20"/>
        </w:rPr>
        <w:t xml:space="preserve"> environmental hazard </w:t>
      </w:r>
      <w:r w:rsidR="00A657F5" w:rsidRPr="0098635C">
        <w:rPr>
          <w:color w:val="000000" w:themeColor="text1"/>
          <w:sz w:val="20"/>
          <w:szCs w:val="20"/>
        </w:rPr>
        <w:t xml:space="preserve">identity </w:t>
      </w:r>
      <w:r w:rsidRPr="0098635C">
        <w:rPr>
          <w:color w:val="000000" w:themeColor="text1"/>
          <w:sz w:val="20"/>
          <w:szCs w:val="20"/>
        </w:rPr>
        <w:t xml:space="preserve">for CuO and copper </w:t>
      </w:r>
      <w:r w:rsidR="003528AE" w:rsidRPr="0098635C">
        <w:rPr>
          <w:color w:val="000000" w:themeColor="text1"/>
          <w:sz w:val="20"/>
          <w:szCs w:val="20"/>
        </w:rPr>
        <w:t xml:space="preserve">can be </w:t>
      </w:r>
      <w:r w:rsidRPr="0098635C">
        <w:rPr>
          <w:color w:val="000000" w:themeColor="text1"/>
          <w:sz w:val="20"/>
          <w:szCs w:val="20"/>
        </w:rPr>
        <w:t xml:space="preserve">derived from comparison between the </w:t>
      </w:r>
      <w:r w:rsidR="000F4696" w:rsidRPr="0098635C">
        <w:rPr>
          <w:color w:val="000000" w:themeColor="text1"/>
          <w:sz w:val="20"/>
          <w:szCs w:val="20"/>
        </w:rPr>
        <w:t>result</w:t>
      </w:r>
      <w:r w:rsidR="00B1362D" w:rsidRPr="0098635C">
        <w:rPr>
          <w:color w:val="000000" w:themeColor="text1"/>
          <w:sz w:val="20"/>
          <w:szCs w:val="20"/>
        </w:rPr>
        <w:t>s</w:t>
      </w:r>
      <w:r w:rsidR="000F4696" w:rsidRPr="0098635C">
        <w:rPr>
          <w:color w:val="000000" w:themeColor="text1"/>
          <w:sz w:val="20"/>
          <w:szCs w:val="20"/>
        </w:rPr>
        <w:t xml:space="preserve"> from the transformation/dissolution with the c</w:t>
      </w:r>
      <w:r w:rsidR="00A657F5" w:rsidRPr="0098635C">
        <w:rPr>
          <w:color w:val="000000" w:themeColor="text1"/>
          <w:sz w:val="20"/>
          <w:szCs w:val="20"/>
        </w:rPr>
        <w:t xml:space="preserve">hronic </w:t>
      </w:r>
      <w:r w:rsidRPr="0098635C">
        <w:rPr>
          <w:color w:val="000000" w:themeColor="text1"/>
          <w:sz w:val="20"/>
          <w:szCs w:val="20"/>
        </w:rPr>
        <w:t>ERV</w:t>
      </w:r>
      <w:r w:rsidR="00B1362D" w:rsidRPr="0098635C">
        <w:rPr>
          <w:color w:val="000000" w:themeColor="text1"/>
          <w:sz w:val="20"/>
          <w:szCs w:val="20"/>
        </w:rPr>
        <w:t>s-Cu-ions (</w:t>
      </w:r>
      <w:r w:rsidR="00B1362D" w:rsidRPr="0098635C">
        <w:rPr>
          <w:color w:val="000000" w:themeColor="text1"/>
          <w:sz w:val="20"/>
          <w:szCs w:val="20"/>
        </w:rPr>
        <w:fldChar w:fldCharType="begin"/>
      </w:r>
      <w:r w:rsidR="00B1362D" w:rsidRPr="0098635C">
        <w:rPr>
          <w:color w:val="000000" w:themeColor="text1"/>
          <w:sz w:val="20"/>
          <w:szCs w:val="20"/>
        </w:rPr>
        <w:instrText xml:space="preserve"> REF _Ref472083587 \h  \* MERGEFORMAT </w:instrText>
      </w:r>
      <w:r w:rsidR="00B1362D" w:rsidRPr="0098635C">
        <w:rPr>
          <w:color w:val="000000" w:themeColor="text1"/>
          <w:sz w:val="20"/>
          <w:szCs w:val="20"/>
        </w:rPr>
      </w:r>
      <w:r w:rsidR="00B1362D" w:rsidRPr="0098635C">
        <w:rPr>
          <w:color w:val="000000" w:themeColor="text1"/>
          <w:sz w:val="20"/>
          <w:szCs w:val="20"/>
        </w:rPr>
        <w:fldChar w:fldCharType="separate"/>
      </w:r>
      <w:r w:rsidR="005E5161" w:rsidRPr="0098635C">
        <w:rPr>
          <w:color w:val="000000" w:themeColor="text1"/>
          <w:sz w:val="20"/>
          <w:szCs w:val="20"/>
        </w:rPr>
        <w:t xml:space="preserve">Table </w:t>
      </w:r>
      <w:r w:rsidR="005E5161" w:rsidRPr="0098635C">
        <w:rPr>
          <w:noProof/>
          <w:color w:val="000000" w:themeColor="text1"/>
          <w:sz w:val="20"/>
          <w:szCs w:val="20"/>
        </w:rPr>
        <w:t>29</w:t>
      </w:r>
      <w:r w:rsidR="00B1362D" w:rsidRPr="0098635C">
        <w:rPr>
          <w:color w:val="000000" w:themeColor="text1"/>
          <w:sz w:val="20"/>
          <w:szCs w:val="20"/>
        </w:rPr>
        <w:fldChar w:fldCharType="end"/>
      </w:r>
      <w:r w:rsidR="00B1362D" w:rsidRPr="0098635C">
        <w:rPr>
          <w:color w:val="000000" w:themeColor="text1"/>
          <w:sz w:val="20"/>
          <w:szCs w:val="20"/>
        </w:rPr>
        <w:t xml:space="preserve">). </w:t>
      </w:r>
      <w:r w:rsidRPr="0098635C">
        <w:rPr>
          <w:color w:val="000000" w:themeColor="text1"/>
          <w:sz w:val="20"/>
          <w:szCs w:val="20"/>
        </w:rPr>
        <w:t xml:space="preserve"> </w:t>
      </w:r>
    </w:p>
    <w:p w14:paraId="3A5C5C01" w14:textId="77777777" w:rsidR="00A81F21" w:rsidRPr="0098635C" w:rsidRDefault="00A81F21" w:rsidP="00A81F21">
      <w:pPr>
        <w:spacing w:after="0"/>
        <w:rPr>
          <w:color w:val="000000" w:themeColor="text1"/>
          <w:sz w:val="20"/>
          <w:szCs w:val="20"/>
        </w:rPr>
      </w:pPr>
    </w:p>
    <w:p w14:paraId="04630B60" w14:textId="10BFA9E9" w:rsidR="00B2594A" w:rsidRPr="0098635C" w:rsidRDefault="00D05142" w:rsidP="00326669">
      <w:pPr>
        <w:pStyle w:val="ListParagraph"/>
        <w:spacing w:after="0"/>
        <w:ind w:left="-284" w:right="-567"/>
        <w:jc w:val="center"/>
        <w:rPr>
          <w:b/>
          <w:color w:val="000000" w:themeColor="text1"/>
          <w:sz w:val="20"/>
          <w:szCs w:val="20"/>
        </w:rPr>
      </w:pPr>
      <w:bookmarkStart w:id="1988" w:name="_Ref387240437"/>
      <w:r w:rsidRPr="0098635C">
        <w:rPr>
          <w:b/>
          <w:color w:val="000000" w:themeColor="text1"/>
          <w:sz w:val="20"/>
          <w:szCs w:val="20"/>
        </w:rPr>
        <w:t xml:space="preserve">Table </w:t>
      </w:r>
      <w:r w:rsidR="00E230FB" w:rsidRPr="0098635C">
        <w:rPr>
          <w:b/>
          <w:color w:val="000000" w:themeColor="text1"/>
          <w:sz w:val="20"/>
          <w:szCs w:val="20"/>
        </w:rPr>
        <w:fldChar w:fldCharType="begin"/>
      </w:r>
      <w:r w:rsidRPr="0098635C">
        <w:rPr>
          <w:b/>
          <w:color w:val="000000" w:themeColor="text1"/>
          <w:sz w:val="20"/>
          <w:szCs w:val="20"/>
        </w:rPr>
        <w:instrText xml:space="preserve"> SEQ Table \* ARABIC </w:instrText>
      </w:r>
      <w:r w:rsidR="00E230FB" w:rsidRPr="0098635C">
        <w:rPr>
          <w:b/>
          <w:color w:val="000000" w:themeColor="text1"/>
          <w:sz w:val="20"/>
          <w:szCs w:val="20"/>
        </w:rPr>
        <w:fldChar w:fldCharType="separate"/>
      </w:r>
      <w:r w:rsidR="005E5161" w:rsidRPr="0098635C">
        <w:rPr>
          <w:b/>
          <w:noProof/>
          <w:color w:val="000000" w:themeColor="text1"/>
          <w:sz w:val="20"/>
          <w:szCs w:val="20"/>
        </w:rPr>
        <w:t>28</w:t>
      </w:r>
      <w:r w:rsidR="00E230FB" w:rsidRPr="0098635C">
        <w:rPr>
          <w:b/>
          <w:color w:val="000000" w:themeColor="text1"/>
          <w:sz w:val="20"/>
          <w:szCs w:val="20"/>
        </w:rPr>
        <w:fldChar w:fldCharType="end"/>
      </w:r>
      <w:bookmarkEnd w:id="1988"/>
      <w:r w:rsidRPr="0098635C">
        <w:rPr>
          <w:b/>
          <w:color w:val="000000" w:themeColor="text1"/>
          <w:sz w:val="20"/>
          <w:szCs w:val="20"/>
        </w:rPr>
        <w:t xml:space="preserve"> : Species and pH specific geometric mean NOEC/L(E)C10 values for the most sensitive endpoints</w:t>
      </w:r>
      <w:r w:rsidR="001B4ED0" w:rsidRPr="0098635C">
        <w:rPr>
          <w:b/>
          <w:color w:val="000000" w:themeColor="text1"/>
          <w:sz w:val="20"/>
          <w:szCs w:val="20"/>
        </w:rPr>
        <w:t xml:space="preserve"> (µg Cu/L)</w:t>
      </w:r>
      <w:r w:rsidRPr="0098635C">
        <w:rPr>
          <w:b/>
          <w:color w:val="000000" w:themeColor="text1"/>
          <w:sz w:val="20"/>
          <w:szCs w:val="20"/>
        </w:rPr>
        <w:t xml:space="preserve">. </w:t>
      </w:r>
      <w:r w:rsidRPr="0098635C">
        <w:rPr>
          <w:color w:val="000000" w:themeColor="text1"/>
          <w:sz w:val="20"/>
          <w:szCs w:val="20"/>
        </w:rPr>
        <w:t>R: reproduction, M= mortality, G= growth; n= number of data-points for that endpoint.</w:t>
      </w:r>
    </w:p>
    <w:p w14:paraId="66B8168C" w14:textId="77777777" w:rsidR="00B2594A" w:rsidRPr="0098635C" w:rsidRDefault="00B2594A" w:rsidP="00D05142">
      <w:pPr>
        <w:pStyle w:val="ListParagraph"/>
        <w:spacing w:after="0"/>
        <w:ind w:left="0" w:right="-567"/>
        <w:rPr>
          <w:b/>
          <w:color w:val="000000" w:themeColor="text1"/>
          <w:sz w:val="20"/>
          <w:szCs w:val="20"/>
        </w:rPr>
      </w:pPr>
    </w:p>
    <w:tbl>
      <w:tblPr>
        <w:tblW w:w="9923" w:type="dxa"/>
        <w:tblInd w:w="108" w:type="dxa"/>
        <w:tblLayout w:type="fixed"/>
        <w:tblLook w:val="04A0" w:firstRow="1" w:lastRow="0" w:firstColumn="1" w:lastColumn="0" w:noHBand="0" w:noVBand="1"/>
      </w:tblPr>
      <w:tblGrid>
        <w:gridCol w:w="2410"/>
        <w:gridCol w:w="1843"/>
        <w:gridCol w:w="1843"/>
        <w:gridCol w:w="1984"/>
        <w:gridCol w:w="1843"/>
      </w:tblGrid>
      <w:tr w:rsidR="00FC0795" w:rsidRPr="0098635C" w14:paraId="2E66F99B" w14:textId="77777777" w:rsidTr="00D865E0">
        <w:trPr>
          <w:trHeight w:val="80"/>
        </w:trPr>
        <w:tc>
          <w:tcPr>
            <w:tcW w:w="2410" w:type="dxa"/>
            <w:tcBorders>
              <w:top w:val="single" w:sz="8" w:space="0" w:color="auto"/>
              <w:left w:val="single" w:sz="8" w:space="0" w:color="auto"/>
              <w:bottom w:val="nil"/>
              <w:right w:val="single" w:sz="4" w:space="0" w:color="auto"/>
            </w:tcBorders>
            <w:shd w:val="clear" w:color="auto" w:fill="auto"/>
            <w:noWrap/>
            <w:vAlign w:val="bottom"/>
            <w:hideMark/>
          </w:tcPr>
          <w:p w14:paraId="3F45ED4C" w14:textId="77777777" w:rsidR="00B2594A" w:rsidRPr="0098635C" w:rsidRDefault="00B2594A" w:rsidP="00B2167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 </w:t>
            </w:r>
          </w:p>
        </w:tc>
        <w:tc>
          <w:tcPr>
            <w:tcW w:w="7513" w:type="dxa"/>
            <w:gridSpan w:val="4"/>
            <w:tcBorders>
              <w:top w:val="single" w:sz="8" w:space="0" w:color="auto"/>
              <w:left w:val="nil"/>
              <w:bottom w:val="nil"/>
              <w:right w:val="single" w:sz="8" w:space="0" w:color="000000"/>
            </w:tcBorders>
            <w:shd w:val="clear" w:color="auto" w:fill="auto"/>
            <w:noWrap/>
            <w:vAlign w:val="bottom"/>
            <w:hideMark/>
          </w:tcPr>
          <w:p w14:paraId="78AD60C9" w14:textId="6EEC4785" w:rsidR="00B2594A" w:rsidRPr="0098635C" w:rsidRDefault="001B4ED0" w:rsidP="00B2167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Geomean NOEC or L(E)C10  (µg Cu/L)</w:t>
            </w:r>
            <w:r w:rsidR="00B2594A" w:rsidRPr="0098635C">
              <w:rPr>
                <w:b/>
                <w:bCs/>
                <w:color w:val="000000" w:themeColor="text1"/>
                <w:sz w:val="20"/>
                <w:szCs w:val="20"/>
                <w:lang w:eastAsia="en-GB"/>
              </w:rPr>
              <w:t xml:space="preserve"> </w:t>
            </w:r>
          </w:p>
        </w:tc>
      </w:tr>
      <w:tr w:rsidR="00FC0795" w:rsidRPr="0098635C" w14:paraId="58C8F93A" w14:textId="77777777" w:rsidTr="00D865E0">
        <w:trPr>
          <w:trHeight w:val="315"/>
        </w:trPr>
        <w:tc>
          <w:tcPr>
            <w:tcW w:w="2410" w:type="dxa"/>
            <w:tcBorders>
              <w:top w:val="nil"/>
              <w:left w:val="single" w:sz="8" w:space="0" w:color="auto"/>
              <w:bottom w:val="single" w:sz="8" w:space="0" w:color="auto"/>
              <w:right w:val="single" w:sz="4" w:space="0" w:color="auto"/>
            </w:tcBorders>
            <w:shd w:val="clear" w:color="auto" w:fill="auto"/>
            <w:noWrap/>
            <w:vAlign w:val="bottom"/>
            <w:hideMark/>
          </w:tcPr>
          <w:p w14:paraId="3F826914" w14:textId="77777777" w:rsidR="00B2594A" w:rsidRPr="0098635C" w:rsidRDefault="00B2594A" w:rsidP="00B2167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 xml:space="preserve">Endpoint </w:t>
            </w:r>
          </w:p>
        </w:tc>
        <w:tc>
          <w:tcPr>
            <w:tcW w:w="1843" w:type="dxa"/>
            <w:tcBorders>
              <w:top w:val="nil"/>
              <w:left w:val="nil"/>
              <w:bottom w:val="single" w:sz="8" w:space="0" w:color="auto"/>
              <w:right w:val="single" w:sz="4" w:space="0" w:color="auto"/>
            </w:tcBorders>
            <w:shd w:val="clear" w:color="auto" w:fill="auto"/>
            <w:noWrap/>
            <w:vAlign w:val="bottom"/>
            <w:hideMark/>
          </w:tcPr>
          <w:p w14:paraId="0905FFD5" w14:textId="77777777" w:rsidR="00B2594A" w:rsidRPr="0098635C" w:rsidRDefault="00B2594A" w:rsidP="00B2167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pH 5.5-6.5</w:t>
            </w:r>
          </w:p>
        </w:tc>
        <w:tc>
          <w:tcPr>
            <w:tcW w:w="1843" w:type="dxa"/>
            <w:tcBorders>
              <w:top w:val="nil"/>
              <w:left w:val="nil"/>
              <w:bottom w:val="single" w:sz="8" w:space="0" w:color="auto"/>
              <w:right w:val="single" w:sz="4" w:space="0" w:color="auto"/>
            </w:tcBorders>
            <w:shd w:val="clear" w:color="auto" w:fill="auto"/>
            <w:noWrap/>
            <w:vAlign w:val="bottom"/>
            <w:hideMark/>
          </w:tcPr>
          <w:p w14:paraId="46344082" w14:textId="77777777" w:rsidR="00B2594A" w:rsidRPr="0098635C" w:rsidRDefault="00B2594A" w:rsidP="00B2167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pH 6.5-7.5</w:t>
            </w:r>
          </w:p>
        </w:tc>
        <w:tc>
          <w:tcPr>
            <w:tcW w:w="1984" w:type="dxa"/>
            <w:tcBorders>
              <w:top w:val="nil"/>
              <w:left w:val="nil"/>
              <w:bottom w:val="single" w:sz="8" w:space="0" w:color="auto"/>
              <w:right w:val="single" w:sz="4" w:space="0" w:color="auto"/>
            </w:tcBorders>
            <w:shd w:val="clear" w:color="auto" w:fill="auto"/>
            <w:noWrap/>
            <w:vAlign w:val="bottom"/>
            <w:hideMark/>
          </w:tcPr>
          <w:p w14:paraId="5D9B828F" w14:textId="77777777" w:rsidR="00B2594A" w:rsidRPr="0098635C" w:rsidRDefault="00B2594A" w:rsidP="00B2167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pH 7.5-8.5</w:t>
            </w:r>
          </w:p>
        </w:tc>
        <w:tc>
          <w:tcPr>
            <w:tcW w:w="1843" w:type="dxa"/>
            <w:tcBorders>
              <w:top w:val="nil"/>
              <w:left w:val="single" w:sz="4" w:space="0" w:color="auto"/>
              <w:bottom w:val="single" w:sz="8" w:space="0" w:color="auto"/>
              <w:right w:val="single" w:sz="8" w:space="0" w:color="auto"/>
            </w:tcBorders>
            <w:shd w:val="clear" w:color="auto" w:fill="auto"/>
            <w:noWrap/>
            <w:vAlign w:val="bottom"/>
            <w:hideMark/>
          </w:tcPr>
          <w:p w14:paraId="31EC7ECB" w14:textId="77777777" w:rsidR="00B2594A" w:rsidRPr="0098635C" w:rsidRDefault="00B2594A" w:rsidP="00B2167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 xml:space="preserve">pH  5.5-8.5 </w:t>
            </w:r>
          </w:p>
        </w:tc>
      </w:tr>
      <w:tr w:rsidR="00FC0795" w:rsidRPr="0098635C" w14:paraId="76639C59" w14:textId="77777777" w:rsidTr="00D865E0">
        <w:trPr>
          <w:trHeight w:val="300"/>
        </w:trPr>
        <w:tc>
          <w:tcPr>
            <w:tcW w:w="2410" w:type="dxa"/>
            <w:tcBorders>
              <w:top w:val="nil"/>
              <w:left w:val="single" w:sz="8" w:space="0" w:color="auto"/>
              <w:bottom w:val="nil"/>
              <w:right w:val="single" w:sz="4" w:space="0" w:color="auto"/>
            </w:tcBorders>
            <w:shd w:val="clear" w:color="auto" w:fill="auto"/>
            <w:noWrap/>
            <w:vAlign w:val="bottom"/>
            <w:hideMark/>
          </w:tcPr>
          <w:p w14:paraId="310E0ADA" w14:textId="77777777" w:rsidR="00B2594A" w:rsidRPr="0098635C" w:rsidRDefault="00B2594A" w:rsidP="00B21670">
            <w:pPr>
              <w:widowControl/>
              <w:autoSpaceDE/>
              <w:autoSpaceDN/>
              <w:adjustRightInd/>
              <w:spacing w:after="0"/>
              <w:jc w:val="center"/>
              <w:rPr>
                <w:b/>
                <w:bCs/>
                <w:i/>
                <w:iCs/>
                <w:color w:val="000000" w:themeColor="text1"/>
                <w:sz w:val="20"/>
                <w:szCs w:val="20"/>
                <w:u w:val="single"/>
                <w:lang w:eastAsia="en-GB"/>
              </w:rPr>
            </w:pPr>
            <w:r w:rsidRPr="0098635C">
              <w:rPr>
                <w:b/>
                <w:bCs/>
                <w:i/>
                <w:iCs/>
                <w:color w:val="000000" w:themeColor="text1"/>
                <w:sz w:val="20"/>
                <w:szCs w:val="20"/>
                <w:u w:val="single"/>
                <w:lang w:eastAsia="en-GB"/>
              </w:rPr>
              <w:t>Ceriodaphnia dubia</w:t>
            </w:r>
          </w:p>
        </w:tc>
        <w:tc>
          <w:tcPr>
            <w:tcW w:w="1843" w:type="dxa"/>
            <w:tcBorders>
              <w:top w:val="single" w:sz="8" w:space="0" w:color="auto"/>
              <w:left w:val="nil"/>
              <w:bottom w:val="nil"/>
              <w:right w:val="single" w:sz="4" w:space="0" w:color="auto"/>
            </w:tcBorders>
            <w:shd w:val="clear" w:color="auto" w:fill="auto"/>
            <w:noWrap/>
            <w:vAlign w:val="bottom"/>
            <w:hideMark/>
          </w:tcPr>
          <w:p w14:paraId="02C30C70" w14:textId="77777777" w:rsidR="00B2594A" w:rsidRPr="0098635C" w:rsidRDefault="00B2594A" w:rsidP="00B21670">
            <w:pPr>
              <w:widowControl/>
              <w:autoSpaceDE/>
              <w:autoSpaceDN/>
              <w:adjustRightInd/>
              <w:spacing w:after="0"/>
              <w:jc w:val="center"/>
              <w:rPr>
                <w:b/>
                <w:bCs/>
                <w:color w:val="000000" w:themeColor="text1"/>
                <w:sz w:val="20"/>
                <w:szCs w:val="20"/>
                <w:lang w:eastAsia="en-GB"/>
              </w:rPr>
            </w:pPr>
          </w:p>
        </w:tc>
        <w:tc>
          <w:tcPr>
            <w:tcW w:w="1843" w:type="dxa"/>
            <w:tcBorders>
              <w:top w:val="single" w:sz="8" w:space="0" w:color="auto"/>
              <w:left w:val="nil"/>
              <w:bottom w:val="nil"/>
              <w:right w:val="single" w:sz="4" w:space="0" w:color="auto"/>
            </w:tcBorders>
            <w:shd w:val="clear" w:color="auto" w:fill="auto"/>
            <w:noWrap/>
            <w:vAlign w:val="bottom"/>
            <w:hideMark/>
          </w:tcPr>
          <w:p w14:paraId="0FC0E3DB" w14:textId="77777777" w:rsidR="00B2594A" w:rsidRPr="0098635C" w:rsidRDefault="00B2594A" w:rsidP="00B21670">
            <w:pPr>
              <w:widowControl/>
              <w:autoSpaceDE/>
              <w:autoSpaceDN/>
              <w:adjustRightInd/>
              <w:spacing w:after="0"/>
              <w:jc w:val="center"/>
              <w:rPr>
                <w:b/>
                <w:bCs/>
                <w:color w:val="000000" w:themeColor="text1"/>
                <w:sz w:val="20"/>
                <w:szCs w:val="20"/>
                <w:lang w:eastAsia="en-GB"/>
              </w:rPr>
            </w:pPr>
          </w:p>
        </w:tc>
        <w:tc>
          <w:tcPr>
            <w:tcW w:w="1984" w:type="dxa"/>
            <w:tcBorders>
              <w:top w:val="single" w:sz="8" w:space="0" w:color="auto"/>
              <w:left w:val="nil"/>
              <w:bottom w:val="nil"/>
              <w:right w:val="single" w:sz="4" w:space="0" w:color="auto"/>
            </w:tcBorders>
            <w:shd w:val="clear" w:color="auto" w:fill="auto"/>
            <w:noWrap/>
            <w:vAlign w:val="bottom"/>
            <w:hideMark/>
          </w:tcPr>
          <w:p w14:paraId="75F200C1" w14:textId="77777777" w:rsidR="00B2594A" w:rsidRPr="0098635C" w:rsidRDefault="00B2594A" w:rsidP="00B21670">
            <w:pPr>
              <w:widowControl/>
              <w:autoSpaceDE/>
              <w:autoSpaceDN/>
              <w:adjustRightInd/>
              <w:spacing w:after="0"/>
              <w:jc w:val="center"/>
              <w:rPr>
                <w:b/>
                <w:bCs/>
                <w:color w:val="000000" w:themeColor="text1"/>
                <w:sz w:val="20"/>
                <w:szCs w:val="20"/>
                <w:lang w:eastAsia="en-GB"/>
              </w:rPr>
            </w:pPr>
          </w:p>
        </w:tc>
        <w:tc>
          <w:tcPr>
            <w:tcW w:w="1843" w:type="dxa"/>
            <w:tcBorders>
              <w:top w:val="single" w:sz="8" w:space="0" w:color="auto"/>
              <w:left w:val="nil"/>
              <w:bottom w:val="nil"/>
              <w:right w:val="single" w:sz="8" w:space="0" w:color="auto"/>
            </w:tcBorders>
            <w:shd w:val="clear" w:color="auto" w:fill="auto"/>
            <w:noWrap/>
            <w:vAlign w:val="bottom"/>
            <w:hideMark/>
          </w:tcPr>
          <w:p w14:paraId="6013E5CC" w14:textId="77777777" w:rsidR="00B2594A" w:rsidRPr="0098635C" w:rsidRDefault="00B2594A" w:rsidP="00FC0795">
            <w:pPr>
              <w:widowControl/>
              <w:autoSpaceDE/>
              <w:autoSpaceDN/>
              <w:adjustRightInd/>
              <w:spacing w:after="0"/>
              <w:ind w:right="1003"/>
              <w:jc w:val="center"/>
              <w:rPr>
                <w:b/>
                <w:bCs/>
                <w:color w:val="000000" w:themeColor="text1"/>
                <w:sz w:val="20"/>
                <w:szCs w:val="20"/>
                <w:lang w:eastAsia="en-GB"/>
              </w:rPr>
            </w:pPr>
          </w:p>
        </w:tc>
      </w:tr>
      <w:tr w:rsidR="00D865E0" w:rsidRPr="0098635C" w14:paraId="0DED797B" w14:textId="77777777" w:rsidTr="00D865E0">
        <w:trPr>
          <w:trHeight w:val="300"/>
        </w:trPr>
        <w:tc>
          <w:tcPr>
            <w:tcW w:w="2410" w:type="dxa"/>
            <w:tcBorders>
              <w:top w:val="nil"/>
              <w:left w:val="single" w:sz="8" w:space="0" w:color="auto"/>
              <w:bottom w:val="nil"/>
              <w:right w:val="single" w:sz="4" w:space="0" w:color="auto"/>
            </w:tcBorders>
            <w:shd w:val="clear" w:color="auto" w:fill="auto"/>
            <w:noWrap/>
            <w:vAlign w:val="bottom"/>
            <w:hideMark/>
          </w:tcPr>
          <w:p w14:paraId="6671E8FB" w14:textId="77777777" w:rsidR="00B2594A" w:rsidRPr="0098635C" w:rsidRDefault="00B2594A" w:rsidP="00B21670">
            <w:pPr>
              <w:widowControl/>
              <w:autoSpaceDE/>
              <w:autoSpaceDN/>
              <w:adjustRightInd/>
              <w:spacing w:after="0"/>
              <w:jc w:val="center"/>
              <w:rPr>
                <w:i/>
                <w:iCs/>
                <w:color w:val="000000" w:themeColor="text1"/>
                <w:sz w:val="20"/>
                <w:szCs w:val="20"/>
                <w:lang w:eastAsia="en-GB"/>
              </w:rPr>
            </w:pPr>
            <w:r w:rsidRPr="0098635C">
              <w:rPr>
                <w:i/>
                <w:iCs/>
                <w:color w:val="000000" w:themeColor="text1"/>
                <w:sz w:val="20"/>
                <w:szCs w:val="20"/>
                <w:lang w:eastAsia="en-GB"/>
              </w:rPr>
              <w:t>Mortality</w:t>
            </w:r>
          </w:p>
        </w:tc>
        <w:tc>
          <w:tcPr>
            <w:tcW w:w="1843" w:type="dxa"/>
            <w:tcBorders>
              <w:top w:val="nil"/>
              <w:left w:val="nil"/>
              <w:bottom w:val="nil"/>
              <w:right w:val="single" w:sz="4" w:space="0" w:color="auto"/>
            </w:tcBorders>
            <w:shd w:val="clear" w:color="auto" w:fill="auto"/>
            <w:noWrap/>
            <w:vAlign w:val="bottom"/>
            <w:hideMark/>
          </w:tcPr>
          <w:p w14:paraId="3B03DFB1"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w:t>
            </w:r>
          </w:p>
        </w:tc>
        <w:tc>
          <w:tcPr>
            <w:tcW w:w="1843" w:type="dxa"/>
            <w:tcBorders>
              <w:top w:val="nil"/>
              <w:left w:val="nil"/>
              <w:bottom w:val="nil"/>
              <w:right w:val="single" w:sz="4" w:space="0" w:color="auto"/>
            </w:tcBorders>
            <w:shd w:val="clear" w:color="auto" w:fill="auto"/>
            <w:noWrap/>
            <w:vAlign w:val="bottom"/>
            <w:hideMark/>
          </w:tcPr>
          <w:p w14:paraId="1EA96278"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8.7 (4-19, n=2)</w:t>
            </w:r>
          </w:p>
        </w:tc>
        <w:tc>
          <w:tcPr>
            <w:tcW w:w="1984" w:type="dxa"/>
            <w:tcBorders>
              <w:top w:val="nil"/>
              <w:left w:val="nil"/>
              <w:bottom w:val="nil"/>
              <w:right w:val="single" w:sz="4" w:space="0" w:color="auto"/>
            </w:tcBorders>
            <w:shd w:val="clear" w:color="auto" w:fill="auto"/>
            <w:noWrap/>
            <w:vAlign w:val="bottom"/>
            <w:hideMark/>
          </w:tcPr>
          <w:p w14:paraId="63334EE9"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49.4 (20-122,n=2)</w:t>
            </w:r>
          </w:p>
        </w:tc>
        <w:tc>
          <w:tcPr>
            <w:tcW w:w="1843" w:type="dxa"/>
            <w:tcBorders>
              <w:top w:val="nil"/>
              <w:left w:val="nil"/>
              <w:bottom w:val="nil"/>
              <w:right w:val="single" w:sz="8" w:space="0" w:color="auto"/>
            </w:tcBorders>
            <w:shd w:val="clear" w:color="auto" w:fill="auto"/>
            <w:noWrap/>
            <w:vAlign w:val="bottom"/>
            <w:hideMark/>
          </w:tcPr>
          <w:p w14:paraId="42673F20"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20.8 (4-122, n=4)</w:t>
            </w:r>
          </w:p>
        </w:tc>
      </w:tr>
      <w:tr w:rsidR="00D865E0" w:rsidRPr="0098635C" w14:paraId="1882ECFA" w14:textId="77777777" w:rsidTr="00D865E0">
        <w:trPr>
          <w:trHeight w:val="315"/>
        </w:trPr>
        <w:tc>
          <w:tcPr>
            <w:tcW w:w="2410" w:type="dxa"/>
            <w:tcBorders>
              <w:top w:val="nil"/>
              <w:left w:val="single" w:sz="8" w:space="0" w:color="auto"/>
              <w:bottom w:val="single" w:sz="8" w:space="0" w:color="auto"/>
              <w:right w:val="single" w:sz="4" w:space="0" w:color="auto"/>
            </w:tcBorders>
            <w:shd w:val="clear" w:color="auto" w:fill="auto"/>
            <w:noWrap/>
            <w:vAlign w:val="bottom"/>
            <w:hideMark/>
          </w:tcPr>
          <w:p w14:paraId="6A5A28C4" w14:textId="77777777" w:rsidR="00B2594A" w:rsidRPr="0098635C" w:rsidRDefault="00B2594A" w:rsidP="00B21670">
            <w:pPr>
              <w:widowControl/>
              <w:autoSpaceDE/>
              <w:autoSpaceDN/>
              <w:adjustRightInd/>
              <w:spacing w:after="0"/>
              <w:jc w:val="center"/>
              <w:rPr>
                <w:i/>
                <w:iCs/>
                <w:color w:val="000000" w:themeColor="text1"/>
                <w:sz w:val="20"/>
                <w:szCs w:val="20"/>
                <w:lang w:eastAsia="en-GB"/>
              </w:rPr>
            </w:pPr>
            <w:r w:rsidRPr="0098635C">
              <w:rPr>
                <w:i/>
                <w:iCs/>
                <w:color w:val="000000" w:themeColor="text1"/>
                <w:sz w:val="20"/>
                <w:szCs w:val="20"/>
                <w:lang w:eastAsia="en-GB"/>
              </w:rPr>
              <w:t>Reproduction</w:t>
            </w:r>
          </w:p>
        </w:tc>
        <w:tc>
          <w:tcPr>
            <w:tcW w:w="1843" w:type="dxa"/>
            <w:tcBorders>
              <w:top w:val="nil"/>
              <w:left w:val="nil"/>
              <w:bottom w:val="single" w:sz="8" w:space="0" w:color="auto"/>
              <w:right w:val="single" w:sz="4" w:space="0" w:color="auto"/>
            </w:tcBorders>
            <w:shd w:val="clear" w:color="auto" w:fill="auto"/>
            <w:noWrap/>
            <w:vAlign w:val="bottom"/>
            <w:hideMark/>
          </w:tcPr>
          <w:p w14:paraId="1FDAD32D"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20 (n=1) </w:t>
            </w:r>
          </w:p>
        </w:tc>
        <w:tc>
          <w:tcPr>
            <w:tcW w:w="1843" w:type="dxa"/>
            <w:tcBorders>
              <w:top w:val="nil"/>
              <w:left w:val="nil"/>
              <w:bottom w:val="single" w:sz="8" w:space="0" w:color="auto"/>
              <w:right w:val="single" w:sz="4" w:space="0" w:color="auto"/>
            </w:tcBorders>
            <w:shd w:val="clear" w:color="auto" w:fill="auto"/>
            <w:noWrap/>
            <w:vAlign w:val="bottom"/>
            <w:hideMark/>
          </w:tcPr>
          <w:p w14:paraId="28E4355F"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6.3 (4-10, n=2)</w:t>
            </w:r>
          </w:p>
        </w:tc>
        <w:tc>
          <w:tcPr>
            <w:tcW w:w="1984" w:type="dxa"/>
            <w:tcBorders>
              <w:top w:val="nil"/>
              <w:left w:val="nil"/>
              <w:bottom w:val="single" w:sz="8" w:space="0" w:color="auto"/>
              <w:right w:val="single" w:sz="4" w:space="0" w:color="auto"/>
            </w:tcBorders>
            <w:shd w:val="clear" w:color="auto" w:fill="auto"/>
            <w:noWrap/>
            <w:vAlign w:val="bottom"/>
            <w:hideMark/>
          </w:tcPr>
          <w:p w14:paraId="55E0570D"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14.8 (6.3-31.6,  n=4)</w:t>
            </w:r>
          </w:p>
        </w:tc>
        <w:tc>
          <w:tcPr>
            <w:tcW w:w="1843" w:type="dxa"/>
            <w:tcBorders>
              <w:top w:val="nil"/>
              <w:left w:val="single" w:sz="4" w:space="0" w:color="auto"/>
              <w:bottom w:val="single" w:sz="8" w:space="0" w:color="auto"/>
              <w:right w:val="single" w:sz="8" w:space="0" w:color="auto"/>
            </w:tcBorders>
            <w:shd w:val="clear" w:color="auto" w:fill="auto"/>
            <w:noWrap/>
            <w:vAlign w:val="bottom"/>
            <w:hideMark/>
          </w:tcPr>
          <w:p w14:paraId="1A7869E3"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12.1 (4-31.6, n=7)</w:t>
            </w:r>
          </w:p>
        </w:tc>
      </w:tr>
      <w:tr w:rsidR="00D865E0" w:rsidRPr="0098635C" w14:paraId="0E3EC6EF" w14:textId="77777777" w:rsidTr="00D865E0">
        <w:trPr>
          <w:trHeight w:val="300"/>
        </w:trPr>
        <w:tc>
          <w:tcPr>
            <w:tcW w:w="2410" w:type="dxa"/>
            <w:tcBorders>
              <w:top w:val="nil"/>
              <w:left w:val="single" w:sz="8" w:space="0" w:color="auto"/>
              <w:bottom w:val="nil"/>
              <w:right w:val="single" w:sz="4" w:space="0" w:color="auto"/>
            </w:tcBorders>
            <w:shd w:val="clear" w:color="auto" w:fill="auto"/>
            <w:noWrap/>
            <w:vAlign w:val="bottom"/>
            <w:hideMark/>
          </w:tcPr>
          <w:p w14:paraId="71C9FF8B" w14:textId="77777777" w:rsidR="00B2594A" w:rsidRPr="0098635C" w:rsidRDefault="00B2594A" w:rsidP="00B21670">
            <w:pPr>
              <w:widowControl/>
              <w:autoSpaceDE/>
              <w:autoSpaceDN/>
              <w:adjustRightInd/>
              <w:spacing w:after="0"/>
              <w:jc w:val="center"/>
              <w:rPr>
                <w:b/>
                <w:bCs/>
                <w:i/>
                <w:iCs/>
                <w:color w:val="000000" w:themeColor="text1"/>
                <w:sz w:val="20"/>
                <w:szCs w:val="20"/>
                <w:u w:val="single"/>
                <w:lang w:eastAsia="en-GB"/>
              </w:rPr>
            </w:pPr>
            <w:r w:rsidRPr="0098635C">
              <w:rPr>
                <w:b/>
                <w:bCs/>
                <w:i/>
                <w:iCs/>
                <w:color w:val="000000" w:themeColor="text1"/>
                <w:sz w:val="20"/>
                <w:szCs w:val="20"/>
                <w:u w:val="single"/>
                <w:lang w:eastAsia="en-GB"/>
              </w:rPr>
              <w:t>Daphnia magna</w:t>
            </w:r>
          </w:p>
        </w:tc>
        <w:tc>
          <w:tcPr>
            <w:tcW w:w="1843" w:type="dxa"/>
            <w:tcBorders>
              <w:top w:val="nil"/>
              <w:left w:val="nil"/>
              <w:bottom w:val="nil"/>
              <w:right w:val="single" w:sz="4" w:space="0" w:color="auto"/>
            </w:tcBorders>
            <w:shd w:val="clear" w:color="auto" w:fill="auto"/>
            <w:noWrap/>
            <w:vAlign w:val="bottom"/>
            <w:hideMark/>
          </w:tcPr>
          <w:p w14:paraId="6D5D77B2"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c>
          <w:tcPr>
            <w:tcW w:w="1843" w:type="dxa"/>
            <w:tcBorders>
              <w:top w:val="nil"/>
              <w:left w:val="nil"/>
              <w:bottom w:val="nil"/>
              <w:right w:val="single" w:sz="4" w:space="0" w:color="auto"/>
            </w:tcBorders>
            <w:shd w:val="clear" w:color="auto" w:fill="auto"/>
            <w:noWrap/>
            <w:vAlign w:val="bottom"/>
            <w:hideMark/>
          </w:tcPr>
          <w:p w14:paraId="35C5DFC6"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c>
          <w:tcPr>
            <w:tcW w:w="1984" w:type="dxa"/>
            <w:tcBorders>
              <w:top w:val="nil"/>
              <w:left w:val="nil"/>
              <w:bottom w:val="nil"/>
              <w:right w:val="single" w:sz="4" w:space="0" w:color="auto"/>
            </w:tcBorders>
            <w:shd w:val="clear" w:color="auto" w:fill="auto"/>
            <w:noWrap/>
            <w:vAlign w:val="bottom"/>
            <w:hideMark/>
          </w:tcPr>
          <w:p w14:paraId="03268F5E"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c>
          <w:tcPr>
            <w:tcW w:w="1843" w:type="dxa"/>
            <w:tcBorders>
              <w:top w:val="nil"/>
              <w:left w:val="nil"/>
              <w:bottom w:val="nil"/>
              <w:right w:val="single" w:sz="8" w:space="0" w:color="auto"/>
            </w:tcBorders>
            <w:shd w:val="clear" w:color="auto" w:fill="auto"/>
            <w:noWrap/>
            <w:vAlign w:val="bottom"/>
            <w:hideMark/>
          </w:tcPr>
          <w:p w14:paraId="7956B3DB"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r>
      <w:tr w:rsidR="00D865E0" w:rsidRPr="0098635C" w14:paraId="7501A4B1" w14:textId="77777777" w:rsidTr="00D865E0">
        <w:trPr>
          <w:trHeight w:val="300"/>
        </w:trPr>
        <w:tc>
          <w:tcPr>
            <w:tcW w:w="2410" w:type="dxa"/>
            <w:tcBorders>
              <w:top w:val="nil"/>
              <w:left w:val="single" w:sz="8" w:space="0" w:color="auto"/>
              <w:bottom w:val="nil"/>
              <w:right w:val="single" w:sz="4" w:space="0" w:color="auto"/>
            </w:tcBorders>
            <w:shd w:val="clear" w:color="auto" w:fill="auto"/>
            <w:noWrap/>
            <w:vAlign w:val="bottom"/>
            <w:hideMark/>
          </w:tcPr>
          <w:p w14:paraId="1962784C" w14:textId="77777777" w:rsidR="00B2594A" w:rsidRPr="0098635C" w:rsidRDefault="00B2594A" w:rsidP="00B21670">
            <w:pPr>
              <w:widowControl/>
              <w:autoSpaceDE/>
              <w:autoSpaceDN/>
              <w:adjustRightInd/>
              <w:spacing w:after="0"/>
              <w:jc w:val="center"/>
              <w:rPr>
                <w:i/>
                <w:iCs/>
                <w:color w:val="000000" w:themeColor="text1"/>
                <w:sz w:val="20"/>
                <w:szCs w:val="20"/>
                <w:lang w:eastAsia="en-GB"/>
              </w:rPr>
            </w:pPr>
            <w:r w:rsidRPr="0098635C">
              <w:rPr>
                <w:i/>
                <w:iCs/>
                <w:color w:val="000000" w:themeColor="text1"/>
                <w:sz w:val="20"/>
                <w:szCs w:val="20"/>
                <w:lang w:eastAsia="en-GB"/>
              </w:rPr>
              <w:t>Mortality</w:t>
            </w:r>
          </w:p>
        </w:tc>
        <w:tc>
          <w:tcPr>
            <w:tcW w:w="1843" w:type="dxa"/>
            <w:tcBorders>
              <w:top w:val="nil"/>
              <w:left w:val="nil"/>
              <w:bottom w:val="nil"/>
              <w:right w:val="single" w:sz="4" w:space="0" w:color="auto"/>
            </w:tcBorders>
            <w:shd w:val="clear" w:color="auto" w:fill="auto"/>
            <w:noWrap/>
            <w:vAlign w:val="bottom"/>
            <w:hideMark/>
          </w:tcPr>
          <w:p w14:paraId="71ADBB4C"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w:t>
            </w:r>
          </w:p>
        </w:tc>
        <w:tc>
          <w:tcPr>
            <w:tcW w:w="1843" w:type="dxa"/>
            <w:tcBorders>
              <w:top w:val="nil"/>
              <w:left w:val="nil"/>
              <w:bottom w:val="nil"/>
              <w:right w:val="single" w:sz="4" w:space="0" w:color="auto"/>
            </w:tcBorders>
            <w:shd w:val="clear" w:color="auto" w:fill="auto"/>
            <w:noWrap/>
            <w:vAlign w:val="bottom"/>
            <w:hideMark/>
          </w:tcPr>
          <w:p w14:paraId="30F73B96"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w:t>
            </w:r>
          </w:p>
        </w:tc>
        <w:tc>
          <w:tcPr>
            <w:tcW w:w="1984" w:type="dxa"/>
            <w:tcBorders>
              <w:top w:val="nil"/>
              <w:left w:val="nil"/>
              <w:bottom w:val="nil"/>
              <w:right w:val="single" w:sz="4" w:space="0" w:color="auto"/>
            </w:tcBorders>
            <w:shd w:val="clear" w:color="auto" w:fill="auto"/>
            <w:noWrap/>
            <w:vAlign w:val="bottom"/>
            <w:hideMark/>
          </w:tcPr>
          <w:p w14:paraId="17B5AF67"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36.8 (n=1)</w:t>
            </w:r>
          </w:p>
        </w:tc>
        <w:tc>
          <w:tcPr>
            <w:tcW w:w="1843" w:type="dxa"/>
            <w:tcBorders>
              <w:top w:val="nil"/>
              <w:left w:val="nil"/>
              <w:bottom w:val="nil"/>
              <w:right w:val="single" w:sz="8" w:space="0" w:color="auto"/>
            </w:tcBorders>
            <w:shd w:val="clear" w:color="auto" w:fill="auto"/>
            <w:noWrap/>
            <w:vAlign w:val="bottom"/>
            <w:hideMark/>
          </w:tcPr>
          <w:p w14:paraId="3016C7F4"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36.8 (n=1)</w:t>
            </w:r>
          </w:p>
        </w:tc>
      </w:tr>
      <w:tr w:rsidR="00D865E0" w:rsidRPr="0098635C" w14:paraId="24723D66" w14:textId="77777777" w:rsidTr="00D865E0">
        <w:trPr>
          <w:trHeight w:val="300"/>
        </w:trPr>
        <w:tc>
          <w:tcPr>
            <w:tcW w:w="2410" w:type="dxa"/>
            <w:tcBorders>
              <w:top w:val="nil"/>
              <w:left w:val="single" w:sz="8" w:space="0" w:color="auto"/>
              <w:bottom w:val="nil"/>
              <w:right w:val="single" w:sz="4" w:space="0" w:color="auto"/>
            </w:tcBorders>
            <w:shd w:val="clear" w:color="auto" w:fill="auto"/>
            <w:noWrap/>
            <w:vAlign w:val="bottom"/>
            <w:hideMark/>
          </w:tcPr>
          <w:p w14:paraId="5B181E53" w14:textId="77777777" w:rsidR="00B2594A" w:rsidRPr="0098635C" w:rsidRDefault="00B2594A" w:rsidP="00B21670">
            <w:pPr>
              <w:widowControl/>
              <w:autoSpaceDE/>
              <w:autoSpaceDN/>
              <w:adjustRightInd/>
              <w:spacing w:after="0"/>
              <w:jc w:val="center"/>
              <w:rPr>
                <w:i/>
                <w:iCs/>
                <w:color w:val="000000" w:themeColor="text1"/>
                <w:sz w:val="20"/>
                <w:szCs w:val="20"/>
                <w:lang w:eastAsia="en-GB"/>
              </w:rPr>
            </w:pPr>
            <w:r w:rsidRPr="0098635C">
              <w:rPr>
                <w:i/>
                <w:iCs/>
                <w:color w:val="000000" w:themeColor="text1"/>
                <w:sz w:val="20"/>
                <w:szCs w:val="20"/>
                <w:lang w:eastAsia="en-GB"/>
              </w:rPr>
              <w:t xml:space="preserve">Reproduction </w:t>
            </w:r>
          </w:p>
        </w:tc>
        <w:tc>
          <w:tcPr>
            <w:tcW w:w="1843" w:type="dxa"/>
            <w:tcBorders>
              <w:top w:val="nil"/>
              <w:left w:val="nil"/>
              <w:bottom w:val="nil"/>
              <w:right w:val="single" w:sz="4" w:space="0" w:color="auto"/>
            </w:tcBorders>
            <w:shd w:val="clear" w:color="auto" w:fill="auto"/>
            <w:noWrap/>
            <w:vAlign w:val="bottom"/>
            <w:hideMark/>
          </w:tcPr>
          <w:p w14:paraId="47503217"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24.5 (21.5-28, n=2)</w:t>
            </w:r>
          </w:p>
        </w:tc>
        <w:tc>
          <w:tcPr>
            <w:tcW w:w="1843" w:type="dxa"/>
            <w:tcBorders>
              <w:top w:val="nil"/>
              <w:left w:val="nil"/>
              <w:bottom w:val="nil"/>
              <w:right w:val="single" w:sz="4" w:space="0" w:color="auto"/>
            </w:tcBorders>
            <w:shd w:val="clear" w:color="auto" w:fill="auto"/>
            <w:noWrap/>
            <w:vAlign w:val="bottom"/>
            <w:hideMark/>
          </w:tcPr>
          <w:p w14:paraId="6A9E7152"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181 (n=1)</w:t>
            </w:r>
          </w:p>
        </w:tc>
        <w:tc>
          <w:tcPr>
            <w:tcW w:w="1984" w:type="dxa"/>
            <w:tcBorders>
              <w:top w:val="nil"/>
              <w:left w:val="nil"/>
              <w:bottom w:val="nil"/>
              <w:right w:val="single" w:sz="4" w:space="0" w:color="auto"/>
            </w:tcBorders>
            <w:shd w:val="clear" w:color="auto" w:fill="auto"/>
            <w:noWrap/>
            <w:vAlign w:val="bottom"/>
            <w:hideMark/>
          </w:tcPr>
          <w:p w14:paraId="5B6E563E"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64.7 (36.8-106, n=4)</w:t>
            </w:r>
          </w:p>
        </w:tc>
        <w:tc>
          <w:tcPr>
            <w:tcW w:w="1843" w:type="dxa"/>
            <w:tcBorders>
              <w:top w:val="nil"/>
              <w:left w:val="nil"/>
              <w:bottom w:val="nil"/>
              <w:right w:val="single" w:sz="8" w:space="0" w:color="auto"/>
            </w:tcBorders>
            <w:shd w:val="clear" w:color="auto" w:fill="auto"/>
            <w:noWrap/>
            <w:vAlign w:val="bottom"/>
            <w:hideMark/>
          </w:tcPr>
          <w:p w14:paraId="32EF613D"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56.8 (21.5-181, n=7)</w:t>
            </w:r>
          </w:p>
        </w:tc>
      </w:tr>
      <w:tr w:rsidR="00FC0795" w:rsidRPr="0098635C" w14:paraId="1482D031" w14:textId="77777777" w:rsidTr="00D865E0">
        <w:trPr>
          <w:trHeight w:val="255"/>
        </w:trPr>
        <w:tc>
          <w:tcPr>
            <w:tcW w:w="2410" w:type="dxa"/>
            <w:tcBorders>
              <w:top w:val="nil"/>
              <w:left w:val="single" w:sz="8" w:space="0" w:color="auto"/>
              <w:bottom w:val="nil"/>
              <w:right w:val="single" w:sz="4" w:space="0" w:color="auto"/>
            </w:tcBorders>
            <w:shd w:val="clear" w:color="auto" w:fill="auto"/>
            <w:noWrap/>
            <w:vAlign w:val="bottom"/>
            <w:hideMark/>
          </w:tcPr>
          <w:p w14:paraId="4DAA3C88" w14:textId="77777777" w:rsidR="00B2594A" w:rsidRPr="0098635C" w:rsidRDefault="00B2594A" w:rsidP="00B21670">
            <w:pPr>
              <w:widowControl/>
              <w:autoSpaceDE/>
              <w:autoSpaceDN/>
              <w:adjustRightInd/>
              <w:spacing w:after="0"/>
              <w:jc w:val="center"/>
              <w:rPr>
                <w:i/>
                <w:iCs/>
                <w:color w:val="000000" w:themeColor="text1"/>
                <w:sz w:val="20"/>
                <w:szCs w:val="20"/>
                <w:lang w:eastAsia="en-GB"/>
              </w:rPr>
            </w:pPr>
            <w:r w:rsidRPr="0098635C">
              <w:rPr>
                <w:i/>
                <w:iCs/>
                <w:color w:val="000000" w:themeColor="text1"/>
                <w:sz w:val="20"/>
                <w:szCs w:val="20"/>
                <w:lang w:eastAsia="en-GB"/>
              </w:rPr>
              <w:t>Reproduction - BLM develop</w:t>
            </w:r>
          </w:p>
        </w:tc>
        <w:tc>
          <w:tcPr>
            <w:tcW w:w="1843" w:type="dxa"/>
            <w:tcBorders>
              <w:top w:val="nil"/>
              <w:left w:val="single" w:sz="4" w:space="0" w:color="auto"/>
              <w:bottom w:val="nil"/>
              <w:right w:val="single" w:sz="4" w:space="0" w:color="auto"/>
            </w:tcBorders>
            <w:shd w:val="clear" w:color="auto" w:fill="auto"/>
            <w:noWrap/>
            <w:vAlign w:val="bottom"/>
            <w:hideMark/>
          </w:tcPr>
          <w:p w14:paraId="16E11C61"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54.5 (29.4-93.1, n=9)</w:t>
            </w:r>
          </w:p>
        </w:tc>
        <w:tc>
          <w:tcPr>
            <w:tcW w:w="1843" w:type="dxa"/>
            <w:tcBorders>
              <w:top w:val="nil"/>
              <w:left w:val="single" w:sz="4" w:space="0" w:color="auto"/>
              <w:bottom w:val="nil"/>
              <w:right w:val="single" w:sz="4" w:space="0" w:color="auto"/>
            </w:tcBorders>
            <w:shd w:val="clear" w:color="auto" w:fill="auto"/>
            <w:noWrap/>
            <w:vAlign w:val="bottom"/>
            <w:hideMark/>
          </w:tcPr>
          <w:p w14:paraId="550A6916"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96.4 (31.8-213, n=18)</w:t>
            </w:r>
          </w:p>
        </w:tc>
        <w:tc>
          <w:tcPr>
            <w:tcW w:w="1984" w:type="dxa"/>
            <w:tcBorders>
              <w:top w:val="nil"/>
              <w:left w:val="single" w:sz="4" w:space="0" w:color="auto"/>
              <w:bottom w:val="nil"/>
              <w:right w:val="single" w:sz="4" w:space="0" w:color="auto"/>
            </w:tcBorders>
            <w:shd w:val="clear" w:color="auto" w:fill="auto"/>
            <w:noWrap/>
            <w:vAlign w:val="bottom"/>
            <w:hideMark/>
          </w:tcPr>
          <w:p w14:paraId="0B6E6582"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112 (78.6-153.1, n=11)</w:t>
            </w:r>
          </w:p>
        </w:tc>
        <w:tc>
          <w:tcPr>
            <w:tcW w:w="1843" w:type="dxa"/>
            <w:tcBorders>
              <w:top w:val="nil"/>
              <w:left w:val="single" w:sz="4" w:space="0" w:color="auto"/>
              <w:bottom w:val="nil"/>
              <w:right w:val="single" w:sz="8" w:space="0" w:color="auto"/>
            </w:tcBorders>
            <w:shd w:val="clear" w:color="auto" w:fill="auto"/>
            <w:noWrap/>
            <w:vAlign w:val="bottom"/>
            <w:hideMark/>
          </w:tcPr>
          <w:p w14:paraId="2538F103"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88 (29.4-213, n=38)</w:t>
            </w:r>
          </w:p>
        </w:tc>
      </w:tr>
      <w:tr w:rsidR="00D865E0" w:rsidRPr="0098635C" w14:paraId="61146C9C" w14:textId="77777777" w:rsidTr="00D865E0">
        <w:trPr>
          <w:trHeight w:val="315"/>
        </w:trPr>
        <w:tc>
          <w:tcPr>
            <w:tcW w:w="2410" w:type="dxa"/>
            <w:tcBorders>
              <w:top w:val="nil"/>
              <w:left w:val="single" w:sz="8" w:space="0" w:color="auto"/>
              <w:bottom w:val="single" w:sz="8" w:space="0" w:color="auto"/>
              <w:right w:val="single" w:sz="4" w:space="0" w:color="auto"/>
            </w:tcBorders>
            <w:shd w:val="clear" w:color="auto" w:fill="auto"/>
            <w:noWrap/>
            <w:vAlign w:val="bottom"/>
            <w:hideMark/>
          </w:tcPr>
          <w:p w14:paraId="7979A1F1" w14:textId="77777777" w:rsidR="00B2594A" w:rsidRPr="0098635C" w:rsidRDefault="00B2594A" w:rsidP="00B21670">
            <w:pPr>
              <w:widowControl/>
              <w:autoSpaceDE/>
              <w:autoSpaceDN/>
              <w:adjustRightInd/>
              <w:spacing w:after="0"/>
              <w:jc w:val="center"/>
              <w:rPr>
                <w:i/>
                <w:iCs/>
                <w:color w:val="000000" w:themeColor="text1"/>
                <w:sz w:val="20"/>
                <w:szCs w:val="20"/>
                <w:lang w:eastAsia="en-GB"/>
              </w:rPr>
            </w:pPr>
            <w:r w:rsidRPr="0098635C">
              <w:rPr>
                <w:i/>
                <w:iCs/>
                <w:color w:val="000000" w:themeColor="text1"/>
                <w:sz w:val="20"/>
                <w:szCs w:val="20"/>
                <w:lang w:eastAsia="en-GB"/>
              </w:rPr>
              <w:t xml:space="preserve">Growth </w:t>
            </w:r>
          </w:p>
        </w:tc>
        <w:tc>
          <w:tcPr>
            <w:tcW w:w="1843" w:type="dxa"/>
            <w:tcBorders>
              <w:top w:val="nil"/>
              <w:left w:val="nil"/>
              <w:bottom w:val="single" w:sz="8" w:space="0" w:color="auto"/>
              <w:right w:val="single" w:sz="4" w:space="0" w:color="auto"/>
            </w:tcBorders>
            <w:shd w:val="clear" w:color="auto" w:fill="auto"/>
            <w:noWrap/>
            <w:vAlign w:val="bottom"/>
            <w:hideMark/>
          </w:tcPr>
          <w:p w14:paraId="4A4698F4"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w:t>
            </w:r>
          </w:p>
        </w:tc>
        <w:tc>
          <w:tcPr>
            <w:tcW w:w="1843" w:type="dxa"/>
            <w:tcBorders>
              <w:top w:val="nil"/>
              <w:left w:val="nil"/>
              <w:bottom w:val="single" w:sz="8" w:space="0" w:color="auto"/>
              <w:right w:val="single" w:sz="4" w:space="0" w:color="auto"/>
            </w:tcBorders>
            <w:shd w:val="clear" w:color="auto" w:fill="auto"/>
            <w:noWrap/>
            <w:vAlign w:val="bottom"/>
            <w:hideMark/>
          </w:tcPr>
          <w:p w14:paraId="1166B2F8"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w:t>
            </w:r>
          </w:p>
        </w:tc>
        <w:tc>
          <w:tcPr>
            <w:tcW w:w="1984" w:type="dxa"/>
            <w:tcBorders>
              <w:top w:val="nil"/>
              <w:left w:val="nil"/>
              <w:bottom w:val="single" w:sz="8" w:space="0" w:color="auto"/>
              <w:right w:val="single" w:sz="4" w:space="0" w:color="auto"/>
            </w:tcBorders>
            <w:shd w:val="clear" w:color="auto" w:fill="auto"/>
            <w:noWrap/>
            <w:vAlign w:val="bottom"/>
            <w:hideMark/>
          </w:tcPr>
          <w:p w14:paraId="2BEC7DE8"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12.6 ( n=1)</w:t>
            </w:r>
          </w:p>
        </w:tc>
        <w:tc>
          <w:tcPr>
            <w:tcW w:w="1843" w:type="dxa"/>
            <w:tcBorders>
              <w:top w:val="nil"/>
              <w:left w:val="single" w:sz="4" w:space="0" w:color="auto"/>
              <w:bottom w:val="single" w:sz="8" w:space="0" w:color="auto"/>
              <w:right w:val="single" w:sz="8" w:space="0" w:color="auto"/>
            </w:tcBorders>
            <w:shd w:val="clear" w:color="auto" w:fill="auto"/>
            <w:noWrap/>
            <w:vAlign w:val="bottom"/>
            <w:hideMark/>
          </w:tcPr>
          <w:p w14:paraId="2AA6EE65"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12.6 (n=1)</w:t>
            </w:r>
          </w:p>
        </w:tc>
      </w:tr>
      <w:tr w:rsidR="00D865E0" w:rsidRPr="0098635C" w14:paraId="29216B54" w14:textId="77777777" w:rsidTr="00D865E0">
        <w:trPr>
          <w:trHeight w:val="300"/>
        </w:trPr>
        <w:tc>
          <w:tcPr>
            <w:tcW w:w="2410" w:type="dxa"/>
            <w:tcBorders>
              <w:top w:val="nil"/>
              <w:left w:val="single" w:sz="8" w:space="0" w:color="auto"/>
              <w:bottom w:val="nil"/>
              <w:right w:val="single" w:sz="4" w:space="0" w:color="auto"/>
            </w:tcBorders>
            <w:shd w:val="clear" w:color="auto" w:fill="auto"/>
            <w:noWrap/>
            <w:vAlign w:val="bottom"/>
            <w:hideMark/>
          </w:tcPr>
          <w:p w14:paraId="6797874B" w14:textId="77777777" w:rsidR="00B2594A" w:rsidRPr="0098635C" w:rsidRDefault="00B2594A" w:rsidP="00B21670">
            <w:pPr>
              <w:widowControl/>
              <w:autoSpaceDE/>
              <w:autoSpaceDN/>
              <w:adjustRightInd/>
              <w:spacing w:after="0"/>
              <w:jc w:val="center"/>
              <w:rPr>
                <w:b/>
                <w:bCs/>
                <w:i/>
                <w:iCs/>
                <w:color w:val="000000" w:themeColor="text1"/>
                <w:sz w:val="20"/>
                <w:szCs w:val="20"/>
                <w:u w:val="single"/>
                <w:lang w:eastAsia="en-GB"/>
              </w:rPr>
            </w:pPr>
            <w:r w:rsidRPr="0098635C">
              <w:rPr>
                <w:b/>
                <w:bCs/>
                <w:i/>
                <w:iCs/>
                <w:color w:val="000000" w:themeColor="text1"/>
                <w:sz w:val="20"/>
                <w:szCs w:val="20"/>
                <w:u w:val="single"/>
                <w:lang w:eastAsia="en-GB"/>
              </w:rPr>
              <w:t xml:space="preserve">Oncorhynchus mykiss </w:t>
            </w:r>
          </w:p>
        </w:tc>
        <w:tc>
          <w:tcPr>
            <w:tcW w:w="1843" w:type="dxa"/>
            <w:tcBorders>
              <w:top w:val="nil"/>
              <w:left w:val="nil"/>
              <w:bottom w:val="nil"/>
              <w:right w:val="single" w:sz="4" w:space="0" w:color="auto"/>
            </w:tcBorders>
            <w:shd w:val="clear" w:color="auto" w:fill="auto"/>
            <w:noWrap/>
            <w:vAlign w:val="bottom"/>
            <w:hideMark/>
          </w:tcPr>
          <w:p w14:paraId="3B2E344B"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c>
          <w:tcPr>
            <w:tcW w:w="1843" w:type="dxa"/>
            <w:tcBorders>
              <w:top w:val="nil"/>
              <w:left w:val="nil"/>
              <w:bottom w:val="nil"/>
              <w:right w:val="single" w:sz="4" w:space="0" w:color="auto"/>
            </w:tcBorders>
            <w:shd w:val="clear" w:color="auto" w:fill="auto"/>
            <w:noWrap/>
            <w:vAlign w:val="bottom"/>
            <w:hideMark/>
          </w:tcPr>
          <w:p w14:paraId="7698F83C"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c>
          <w:tcPr>
            <w:tcW w:w="1984" w:type="dxa"/>
            <w:tcBorders>
              <w:top w:val="nil"/>
              <w:left w:val="nil"/>
              <w:bottom w:val="nil"/>
              <w:right w:val="single" w:sz="4" w:space="0" w:color="auto"/>
            </w:tcBorders>
            <w:shd w:val="clear" w:color="auto" w:fill="auto"/>
            <w:noWrap/>
            <w:vAlign w:val="bottom"/>
            <w:hideMark/>
          </w:tcPr>
          <w:p w14:paraId="65781194"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c>
          <w:tcPr>
            <w:tcW w:w="1843" w:type="dxa"/>
            <w:tcBorders>
              <w:top w:val="nil"/>
              <w:left w:val="nil"/>
              <w:bottom w:val="nil"/>
              <w:right w:val="single" w:sz="8" w:space="0" w:color="auto"/>
            </w:tcBorders>
            <w:shd w:val="clear" w:color="auto" w:fill="auto"/>
            <w:noWrap/>
            <w:vAlign w:val="bottom"/>
            <w:hideMark/>
          </w:tcPr>
          <w:p w14:paraId="4A47374D"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r>
      <w:tr w:rsidR="00D865E0" w:rsidRPr="0098635C" w14:paraId="4F8BE3FA" w14:textId="77777777" w:rsidTr="00D865E0">
        <w:trPr>
          <w:trHeight w:val="300"/>
        </w:trPr>
        <w:tc>
          <w:tcPr>
            <w:tcW w:w="2410" w:type="dxa"/>
            <w:tcBorders>
              <w:top w:val="nil"/>
              <w:left w:val="single" w:sz="8" w:space="0" w:color="auto"/>
              <w:bottom w:val="nil"/>
              <w:right w:val="single" w:sz="4" w:space="0" w:color="auto"/>
            </w:tcBorders>
            <w:shd w:val="clear" w:color="auto" w:fill="auto"/>
            <w:noWrap/>
            <w:vAlign w:val="bottom"/>
            <w:hideMark/>
          </w:tcPr>
          <w:p w14:paraId="021F2DA4" w14:textId="77777777" w:rsidR="00B2594A" w:rsidRPr="0098635C" w:rsidRDefault="00B2594A" w:rsidP="00B21670">
            <w:pPr>
              <w:widowControl/>
              <w:autoSpaceDE/>
              <w:autoSpaceDN/>
              <w:adjustRightInd/>
              <w:spacing w:after="0"/>
              <w:jc w:val="center"/>
              <w:rPr>
                <w:i/>
                <w:iCs/>
                <w:color w:val="000000" w:themeColor="text1"/>
                <w:sz w:val="20"/>
                <w:szCs w:val="20"/>
                <w:lang w:eastAsia="en-GB"/>
              </w:rPr>
            </w:pPr>
            <w:r w:rsidRPr="0098635C">
              <w:rPr>
                <w:i/>
                <w:iCs/>
                <w:color w:val="000000" w:themeColor="text1"/>
                <w:sz w:val="20"/>
                <w:szCs w:val="20"/>
                <w:lang w:eastAsia="en-GB"/>
              </w:rPr>
              <w:t>Mortality</w:t>
            </w:r>
          </w:p>
        </w:tc>
        <w:tc>
          <w:tcPr>
            <w:tcW w:w="1843" w:type="dxa"/>
            <w:tcBorders>
              <w:top w:val="nil"/>
              <w:left w:val="nil"/>
              <w:bottom w:val="nil"/>
              <w:right w:val="single" w:sz="4" w:space="0" w:color="auto"/>
            </w:tcBorders>
            <w:shd w:val="clear" w:color="auto" w:fill="auto"/>
            <w:noWrap/>
            <w:vAlign w:val="bottom"/>
            <w:hideMark/>
          </w:tcPr>
          <w:p w14:paraId="0126A1EE"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w:t>
            </w:r>
          </w:p>
        </w:tc>
        <w:tc>
          <w:tcPr>
            <w:tcW w:w="1843" w:type="dxa"/>
            <w:tcBorders>
              <w:top w:val="nil"/>
              <w:left w:val="nil"/>
              <w:bottom w:val="nil"/>
              <w:right w:val="single" w:sz="4" w:space="0" w:color="auto"/>
            </w:tcBorders>
            <w:shd w:val="clear" w:color="auto" w:fill="auto"/>
            <w:noWrap/>
            <w:vAlign w:val="bottom"/>
            <w:hideMark/>
          </w:tcPr>
          <w:p w14:paraId="421EE787"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25.9 (24-28,n=2)</w:t>
            </w:r>
          </w:p>
        </w:tc>
        <w:tc>
          <w:tcPr>
            <w:tcW w:w="1984" w:type="dxa"/>
            <w:tcBorders>
              <w:top w:val="nil"/>
              <w:left w:val="nil"/>
              <w:bottom w:val="nil"/>
              <w:right w:val="single" w:sz="4" w:space="0" w:color="auto"/>
            </w:tcBorders>
            <w:shd w:val="clear" w:color="auto" w:fill="auto"/>
            <w:noWrap/>
            <w:vAlign w:val="bottom"/>
            <w:hideMark/>
          </w:tcPr>
          <w:p w14:paraId="36A4FC21"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11.4 (n=1)</w:t>
            </w:r>
          </w:p>
        </w:tc>
        <w:tc>
          <w:tcPr>
            <w:tcW w:w="1843" w:type="dxa"/>
            <w:tcBorders>
              <w:top w:val="nil"/>
              <w:left w:val="nil"/>
              <w:bottom w:val="nil"/>
              <w:right w:val="single" w:sz="8" w:space="0" w:color="auto"/>
            </w:tcBorders>
            <w:shd w:val="clear" w:color="auto" w:fill="auto"/>
            <w:noWrap/>
            <w:vAlign w:val="bottom"/>
            <w:hideMark/>
          </w:tcPr>
          <w:p w14:paraId="72695FC4"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19.7 (11.4-28, n=3)</w:t>
            </w:r>
          </w:p>
        </w:tc>
      </w:tr>
      <w:tr w:rsidR="00D865E0" w:rsidRPr="0098635C" w14:paraId="312C67A6" w14:textId="77777777" w:rsidTr="00D865E0">
        <w:trPr>
          <w:trHeight w:val="315"/>
        </w:trPr>
        <w:tc>
          <w:tcPr>
            <w:tcW w:w="2410" w:type="dxa"/>
            <w:tcBorders>
              <w:top w:val="nil"/>
              <w:left w:val="single" w:sz="8" w:space="0" w:color="auto"/>
              <w:bottom w:val="single" w:sz="8" w:space="0" w:color="auto"/>
              <w:right w:val="single" w:sz="4" w:space="0" w:color="auto"/>
            </w:tcBorders>
            <w:shd w:val="clear" w:color="auto" w:fill="auto"/>
            <w:noWrap/>
            <w:vAlign w:val="bottom"/>
            <w:hideMark/>
          </w:tcPr>
          <w:p w14:paraId="44B5DEBD" w14:textId="77777777" w:rsidR="00B2594A" w:rsidRPr="0098635C" w:rsidRDefault="00B2594A" w:rsidP="00B21670">
            <w:pPr>
              <w:widowControl/>
              <w:autoSpaceDE/>
              <w:autoSpaceDN/>
              <w:adjustRightInd/>
              <w:spacing w:after="0"/>
              <w:jc w:val="center"/>
              <w:rPr>
                <w:i/>
                <w:iCs/>
                <w:color w:val="000000" w:themeColor="text1"/>
                <w:sz w:val="20"/>
                <w:szCs w:val="20"/>
                <w:lang w:eastAsia="en-GB"/>
              </w:rPr>
            </w:pPr>
            <w:r w:rsidRPr="0098635C">
              <w:rPr>
                <w:i/>
                <w:iCs/>
                <w:color w:val="000000" w:themeColor="text1"/>
                <w:sz w:val="20"/>
                <w:szCs w:val="20"/>
                <w:lang w:eastAsia="en-GB"/>
              </w:rPr>
              <w:t xml:space="preserve">Growth </w:t>
            </w:r>
          </w:p>
        </w:tc>
        <w:tc>
          <w:tcPr>
            <w:tcW w:w="1843" w:type="dxa"/>
            <w:tcBorders>
              <w:top w:val="nil"/>
              <w:left w:val="nil"/>
              <w:bottom w:val="single" w:sz="8" w:space="0" w:color="auto"/>
              <w:right w:val="single" w:sz="4" w:space="0" w:color="auto"/>
            </w:tcBorders>
            <w:shd w:val="clear" w:color="auto" w:fill="auto"/>
            <w:noWrap/>
            <w:vAlign w:val="bottom"/>
            <w:hideMark/>
          </w:tcPr>
          <w:p w14:paraId="102EC83D"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w:t>
            </w:r>
          </w:p>
        </w:tc>
        <w:tc>
          <w:tcPr>
            <w:tcW w:w="1843" w:type="dxa"/>
            <w:tcBorders>
              <w:top w:val="nil"/>
              <w:left w:val="nil"/>
              <w:bottom w:val="single" w:sz="8" w:space="0" w:color="auto"/>
              <w:right w:val="single" w:sz="4" w:space="0" w:color="auto"/>
            </w:tcBorders>
            <w:shd w:val="clear" w:color="auto" w:fill="auto"/>
            <w:noWrap/>
            <w:vAlign w:val="bottom"/>
            <w:hideMark/>
          </w:tcPr>
          <w:p w14:paraId="6DC47BE3"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9.9 (2.2-45, n=2)</w:t>
            </w:r>
          </w:p>
        </w:tc>
        <w:tc>
          <w:tcPr>
            <w:tcW w:w="1984" w:type="dxa"/>
            <w:tcBorders>
              <w:top w:val="nil"/>
              <w:left w:val="nil"/>
              <w:bottom w:val="single" w:sz="8" w:space="0" w:color="auto"/>
              <w:right w:val="single" w:sz="4" w:space="0" w:color="auto"/>
            </w:tcBorders>
            <w:shd w:val="clear" w:color="auto" w:fill="auto"/>
            <w:noWrap/>
            <w:vAlign w:val="bottom"/>
            <w:hideMark/>
          </w:tcPr>
          <w:p w14:paraId="25D1A85B"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13.5 (11.4-16 , n=2)</w:t>
            </w:r>
          </w:p>
        </w:tc>
        <w:tc>
          <w:tcPr>
            <w:tcW w:w="1843" w:type="dxa"/>
            <w:tcBorders>
              <w:top w:val="nil"/>
              <w:left w:val="single" w:sz="4" w:space="0" w:color="auto"/>
              <w:bottom w:val="single" w:sz="8" w:space="0" w:color="auto"/>
              <w:right w:val="single" w:sz="8" w:space="0" w:color="auto"/>
            </w:tcBorders>
            <w:shd w:val="clear" w:color="auto" w:fill="auto"/>
            <w:noWrap/>
            <w:vAlign w:val="bottom"/>
            <w:hideMark/>
          </w:tcPr>
          <w:p w14:paraId="77346C51"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bCs/>
                <w:color w:val="000000" w:themeColor="text1"/>
                <w:sz w:val="20"/>
                <w:szCs w:val="20"/>
                <w:lang w:eastAsia="en-GB"/>
              </w:rPr>
              <w:t>11.6</w:t>
            </w:r>
            <w:r w:rsidRPr="0098635C">
              <w:rPr>
                <w:color w:val="000000" w:themeColor="text1"/>
                <w:sz w:val="20"/>
                <w:szCs w:val="20"/>
                <w:lang w:eastAsia="en-GB"/>
              </w:rPr>
              <w:t xml:space="preserve"> (2.2-45, n=4)</w:t>
            </w:r>
          </w:p>
        </w:tc>
      </w:tr>
      <w:tr w:rsidR="00D865E0" w:rsidRPr="0098635C" w14:paraId="03F90550" w14:textId="77777777" w:rsidTr="00D865E0">
        <w:trPr>
          <w:trHeight w:val="300"/>
        </w:trPr>
        <w:tc>
          <w:tcPr>
            <w:tcW w:w="2410" w:type="dxa"/>
            <w:tcBorders>
              <w:top w:val="nil"/>
              <w:left w:val="single" w:sz="8" w:space="0" w:color="auto"/>
              <w:bottom w:val="nil"/>
              <w:right w:val="single" w:sz="4" w:space="0" w:color="auto"/>
            </w:tcBorders>
            <w:shd w:val="clear" w:color="auto" w:fill="auto"/>
            <w:noWrap/>
            <w:vAlign w:val="bottom"/>
            <w:hideMark/>
          </w:tcPr>
          <w:p w14:paraId="0F91077A" w14:textId="77777777" w:rsidR="00B2594A" w:rsidRPr="0098635C" w:rsidRDefault="00B2594A" w:rsidP="00B21670">
            <w:pPr>
              <w:widowControl/>
              <w:autoSpaceDE/>
              <w:autoSpaceDN/>
              <w:adjustRightInd/>
              <w:spacing w:after="0"/>
              <w:jc w:val="center"/>
              <w:rPr>
                <w:b/>
                <w:bCs/>
                <w:i/>
                <w:iCs/>
                <w:color w:val="000000" w:themeColor="text1"/>
                <w:sz w:val="20"/>
                <w:szCs w:val="20"/>
                <w:u w:val="single"/>
                <w:lang w:eastAsia="en-GB"/>
              </w:rPr>
            </w:pPr>
            <w:r w:rsidRPr="0098635C">
              <w:rPr>
                <w:b/>
                <w:bCs/>
                <w:i/>
                <w:iCs/>
                <w:color w:val="000000" w:themeColor="text1"/>
                <w:sz w:val="20"/>
                <w:szCs w:val="20"/>
                <w:u w:val="single"/>
                <w:lang w:eastAsia="en-GB"/>
              </w:rPr>
              <w:t>Pimephales promelas</w:t>
            </w:r>
          </w:p>
        </w:tc>
        <w:tc>
          <w:tcPr>
            <w:tcW w:w="1843" w:type="dxa"/>
            <w:tcBorders>
              <w:top w:val="nil"/>
              <w:left w:val="nil"/>
              <w:bottom w:val="nil"/>
              <w:right w:val="single" w:sz="4" w:space="0" w:color="auto"/>
            </w:tcBorders>
            <w:shd w:val="clear" w:color="auto" w:fill="auto"/>
            <w:noWrap/>
            <w:vAlign w:val="bottom"/>
            <w:hideMark/>
          </w:tcPr>
          <w:p w14:paraId="49D88153"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c>
          <w:tcPr>
            <w:tcW w:w="1843" w:type="dxa"/>
            <w:tcBorders>
              <w:top w:val="nil"/>
              <w:left w:val="nil"/>
              <w:bottom w:val="nil"/>
              <w:right w:val="single" w:sz="4" w:space="0" w:color="auto"/>
            </w:tcBorders>
            <w:shd w:val="clear" w:color="auto" w:fill="auto"/>
            <w:noWrap/>
            <w:vAlign w:val="bottom"/>
            <w:hideMark/>
          </w:tcPr>
          <w:p w14:paraId="11E63B3A"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c>
          <w:tcPr>
            <w:tcW w:w="1984" w:type="dxa"/>
            <w:tcBorders>
              <w:top w:val="nil"/>
              <w:left w:val="nil"/>
              <w:bottom w:val="nil"/>
              <w:right w:val="single" w:sz="4" w:space="0" w:color="auto"/>
            </w:tcBorders>
            <w:shd w:val="clear" w:color="auto" w:fill="auto"/>
            <w:noWrap/>
            <w:vAlign w:val="bottom"/>
            <w:hideMark/>
          </w:tcPr>
          <w:p w14:paraId="487ACD07"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c>
          <w:tcPr>
            <w:tcW w:w="1843" w:type="dxa"/>
            <w:tcBorders>
              <w:top w:val="nil"/>
              <w:left w:val="nil"/>
              <w:bottom w:val="nil"/>
              <w:right w:val="single" w:sz="8" w:space="0" w:color="auto"/>
            </w:tcBorders>
            <w:shd w:val="clear" w:color="auto" w:fill="auto"/>
            <w:noWrap/>
            <w:vAlign w:val="bottom"/>
            <w:hideMark/>
          </w:tcPr>
          <w:p w14:paraId="2A185EC9"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r>
      <w:tr w:rsidR="00D865E0" w:rsidRPr="0098635C" w14:paraId="1C52D37F" w14:textId="77777777" w:rsidTr="00D865E0">
        <w:trPr>
          <w:trHeight w:val="300"/>
        </w:trPr>
        <w:tc>
          <w:tcPr>
            <w:tcW w:w="2410" w:type="dxa"/>
            <w:tcBorders>
              <w:top w:val="nil"/>
              <w:left w:val="single" w:sz="8" w:space="0" w:color="auto"/>
              <w:bottom w:val="nil"/>
              <w:right w:val="single" w:sz="4" w:space="0" w:color="auto"/>
            </w:tcBorders>
            <w:shd w:val="clear" w:color="auto" w:fill="auto"/>
            <w:noWrap/>
            <w:vAlign w:val="bottom"/>
            <w:hideMark/>
          </w:tcPr>
          <w:p w14:paraId="034D7BB3" w14:textId="77777777" w:rsidR="00B2594A" w:rsidRPr="0098635C" w:rsidRDefault="00B2594A" w:rsidP="00B21670">
            <w:pPr>
              <w:widowControl/>
              <w:autoSpaceDE/>
              <w:autoSpaceDN/>
              <w:adjustRightInd/>
              <w:spacing w:after="0"/>
              <w:jc w:val="center"/>
              <w:rPr>
                <w:i/>
                <w:iCs/>
                <w:color w:val="000000" w:themeColor="text1"/>
                <w:sz w:val="20"/>
                <w:szCs w:val="20"/>
                <w:lang w:eastAsia="en-GB"/>
              </w:rPr>
            </w:pPr>
            <w:r w:rsidRPr="0098635C">
              <w:rPr>
                <w:i/>
                <w:iCs/>
                <w:color w:val="000000" w:themeColor="text1"/>
                <w:sz w:val="20"/>
                <w:szCs w:val="20"/>
                <w:lang w:eastAsia="en-GB"/>
              </w:rPr>
              <w:t>Mortality</w:t>
            </w:r>
          </w:p>
        </w:tc>
        <w:tc>
          <w:tcPr>
            <w:tcW w:w="1843" w:type="dxa"/>
            <w:tcBorders>
              <w:top w:val="nil"/>
              <w:left w:val="nil"/>
              <w:bottom w:val="nil"/>
              <w:right w:val="single" w:sz="4" w:space="0" w:color="auto"/>
            </w:tcBorders>
            <w:shd w:val="clear" w:color="auto" w:fill="auto"/>
            <w:noWrap/>
            <w:vAlign w:val="bottom"/>
            <w:hideMark/>
          </w:tcPr>
          <w:p w14:paraId="4E8F26E4"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w:t>
            </w:r>
          </w:p>
        </w:tc>
        <w:tc>
          <w:tcPr>
            <w:tcW w:w="1843" w:type="dxa"/>
            <w:tcBorders>
              <w:top w:val="nil"/>
              <w:left w:val="nil"/>
              <w:bottom w:val="nil"/>
              <w:right w:val="single" w:sz="4" w:space="0" w:color="auto"/>
            </w:tcBorders>
            <w:shd w:val="clear" w:color="auto" w:fill="auto"/>
            <w:noWrap/>
            <w:vAlign w:val="bottom"/>
            <w:hideMark/>
          </w:tcPr>
          <w:p w14:paraId="64D3E0C1"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7.1 (4.8-10.6, n=2</w:t>
            </w:r>
          </w:p>
        </w:tc>
        <w:tc>
          <w:tcPr>
            <w:tcW w:w="1984" w:type="dxa"/>
            <w:tcBorders>
              <w:top w:val="nil"/>
              <w:left w:val="nil"/>
              <w:bottom w:val="nil"/>
              <w:right w:val="single" w:sz="4" w:space="0" w:color="auto"/>
            </w:tcBorders>
            <w:shd w:val="clear" w:color="auto" w:fill="auto"/>
            <w:noWrap/>
            <w:vAlign w:val="bottom"/>
            <w:hideMark/>
          </w:tcPr>
          <w:p w14:paraId="2F623A7C"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44.9 (33-61) ( n=2) </w:t>
            </w:r>
          </w:p>
        </w:tc>
        <w:tc>
          <w:tcPr>
            <w:tcW w:w="1843" w:type="dxa"/>
            <w:tcBorders>
              <w:top w:val="nil"/>
              <w:left w:val="nil"/>
              <w:bottom w:val="nil"/>
              <w:right w:val="single" w:sz="8" w:space="0" w:color="auto"/>
            </w:tcBorders>
            <w:shd w:val="clear" w:color="auto" w:fill="auto"/>
            <w:noWrap/>
            <w:vAlign w:val="bottom"/>
            <w:hideMark/>
          </w:tcPr>
          <w:p w14:paraId="666A6FE0"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17.9 (4.8-61, n=4)</w:t>
            </w:r>
          </w:p>
        </w:tc>
      </w:tr>
      <w:tr w:rsidR="00D865E0" w:rsidRPr="0098635C" w14:paraId="5C0C77A2" w14:textId="77777777" w:rsidTr="00D865E0">
        <w:trPr>
          <w:trHeight w:val="300"/>
        </w:trPr>
        <w:tc>
          <w:tcPr>
            <w:tcW w:w="2410" w:type="dxa"/>
            <w:tcBorders>
              <w:top w:val="nil"/>
              <w:left w:val="single" w:sz="8" w:space="0" w:color="auto"/>
              <w:bottom w:val="nil"/>
              <w:right w:val="single" w:sz="4" w:space="0" w:color="auto"/>
            </w:tcBorders>
            <w:shd w:val="clear" w:color="auto" w:fill="auto"/>
            <w:noWrap/>
            <w:vAlign w:val="bottom"/>
            <w:hideMark/>
          </w:tcPr>
          <w:p w14:paraId="308870ED" w14:textId="77777777" w:rsidR="00B2594A" w:rsidRPr="0098635C" w:rsidRDefault="00B2594A" w:rsidP="00B21670">
            <w:pPr>
              <w:widowControl/>
              <w:autoSpaceDE/>
              <w:autoSpaceDN/>
              <w:adjustRightInd/>
              <w:spacing w:after="0"/>
              <w:jc w:val="center"/>
              <w:rPr>
                <w:i/>
                <w:iCs/>
                <w:color w:val="000000" w:themeColor="text1"/>
                <w:sz w:val="20"/>
                <w:szCs w:val="20"/>
                <w:lang w:eastAsia="en-GB"/>
              </w:rPr>
            </w:pPr>
            <w:r w:rsidRPr="0098635C">
              <w:rPr>
                <w:i/>
                <w:iCs/>
                <w:color w:val="000000" w:themeColor="text1"/>
                <w:sz w:val="20"/>
                <w:szCs w:val="20"/>
                <w:lang w:eastAsia="en-GB"/>
              </w:rPr>
              <w:t>Reproduction</w:t>
            </w:r>
          </w:p>
        </w:tc>
        <w:tc>
          <w:tcPr>
            <w:tcW w:w="1843" w:type="dxa"/>
            <w:tcBorders>
              <w:top w:val="nil"/>
              <w:left w:val="nil"/>
              <w:bottom w:val="nil"/>
              <w:right w:val="single" w:sz="4" w:space="0" w:color="auto"/>
            </w:tcBorders>
            <w:shd w:val="clear" w:color="auto" w:fill="auto"/>
            <w:noWrap/>
            <w:vAlign w:val="bottom"/>
            <w:hideMark/>
          </w:tcPr>
          <w:p w14:paraId="7D60FA01"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w:t>
            </w:r>
          </w:p>
        </w:tc>
        <w:tc>
          <w:tcPr>
            <w:tcW w:w="1843" w:type="dxa"/>
            <w:tcBorders>
              <w:top w:val="nil"/>
              <w:left w:val="nil"/>
              <w:bottom w:val="nil"/>
              <w:right w:val="single" w:sz="4" w:space="0" w:color="auto"/>
            </w:tcBorders>
            <w:shd w:val="clear" w:color="auto" w:fill="auto"/>
            <w:noWrap/>
            <w:vAlign w:val="bottom"/>
            <w:hideMark/>
          </w:tcPr>
          <w:p w14:paraId="0C63E443"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10.6 (n=1)</w:t>
            </w:r>
          </w:p>
        </w:tc>
        <w:tc>
          <w:tcPr>
            <w:tcW w:w="1984" w:type="dxa"/>
            <w:tcBorders>
              <w:top w:val="nil"/>
              <w:left w:val="nil"/>
              <w:bottom w:val="nil"/>
              <w:right w:val="single" w:sz="4" w:space="0" w:color="auto"/>
            </w:tcBorders>
            <w:shd w:val="clear" w:color="auto" w:fill="auto"/>
            <w:noWrap/>
            <w:vAlign w:val="bottom"/>
            <w:hideMark/>
          </w:tcPr>
          <w:p w14:paraId="6F38A764"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26.3 (14.5-66, n=5)</w:t>
            </w:r>
          </w:p>
        </w:tc>
        <w:tc>
          <w:tcPr>
            <w:tcW w:w="1843" w:type="dxa"/>
            <w:tcBorders>
              <w:top w:val="nil"/>
              <w:left w:val="nil"/>
              <w:bottom w:val="nil"/>
              <w:right w:val="single" w:sz="8" w:space="0" w:color="auto"/>
            </w:tcBorders>
            <w:shd w:val="clear" w:color="auto" w:fill="auto"/>
            <w:noWrap/>
            <w:vAlign w:val="bottom"/>
            <w:hideMark/>
          </w:tcPr>
          <w:p w14:paraId="6B7AAB59"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22.6 (14.5-10.6, n=6)</w:t>
            </w:r>
          </w:p>
        </w:tc>
      </w:tr>
      <w:tr w:rsidR="00D865E0" w:rsidRPr="0098635C" w14:paraId="436219DB" w14:textId="77777777" w:rsidTr="00D865E0">
        <w:trPr>
          <w:trHeight w:val="315"/>
        </w:trPr>
        <w:tc>
          <w:tcPr>
            <w:tcW w:w="2410" w:type="dxa"/>
            <w:tcBorders>
              <w:top w:val="nil"/>
              <w:left w:val="single" w:sz="8" w:space="0" w:color="auto"/>
              <w:bottom w:val="single" w:sz="8" w:space="0" w:color="auto"/>
              <w:right w:val="single" w:sz="4" w:space="0" w:color="auto"/>
            </w:tcBorders>
            <w:shd w:val="clear" w:color="auto" w:fill="auto"/>
            <w:noWrap/>
            <w:vAlign w:val="bottom"/>
            <w:hideMark/>
          </w:tcPr>
          <w:p w14:paraId="655656E5" w14:textId="77777777" w:rsidR="00B2594A" w:rsidRPr="0098635C" w:rsidRDefault="00B2594A" w:rsidP="00B21670">
            <w:pPr>
              <w:widowControl/>
              <w:autoSpaceDE/>
              <w:autoSpaceDN/>
              <w:adjustRightInd/>
              <w:spacing w:after="0"/>
              <w:jc w:val="center"/>
              <w:rPr>
                <w:i/>
                <w:iCs/>
                <w:color w:val="000000" w:themeColor="text1"/>
                <w:sz w:val="20"/>
                <w:szCs w:val="20"/>
                <w:lang w:eastAsia="en-GB"/>
              </w:rPr>
            </w:pPr>
            <w:r w:rsidRPr="0098635C">
              <w:rPr>
                <w:i/>
                <w:iCs/>
                <w:color w:val="000000" w:themeColor="text1"/>
                <w:sz w:val="20"/>
                <w:szCs w:val="20"/>
                <w:lang w:eastAsia="en-GB"/>
              </w:rPr>
              <w:t xml:space="preserve">Growth </w:t>
            </w:r>
          </w:p>
        </w:tc>
        <w:tc>
          <w:tcPr>
            <w:tcW w:w="1843" w:type="dxa"/>
            <w:tcBorders>
              <w:top w:val="nil"/>
              <w:left w:val="nil"/>
              <w:bottom w:val="single" w:sz="8" w:space="0" w:color="auto"/>
              <w:right w:val="single" w:sz="4" w:space="0" w:color="auto"/>
            </w:tcBorders>
            <w:shd w:val="clear" w:color="auto" w:fill="auto"/>
            <w:noWrap/>
            <w:vAlign w:val="bottom"/>
            <w:hideMark/>
          </w:tcPr>
          <w:p w14:paraId="3C506F40"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w:t>
            </w:r>
          </w:p>
        </w:tc>
        <w:tc>
          <w:tcPr>
            <w:tcW w:w="1843" w:type="dxa"/>
            <w:tcBorders>
              <w:top w:val="nil"/>
              <w:left w:val="nil"/>
              <w:bottom w:val="single" w:sz="8" w:space="0" w:color="auto"/>
              <w:right w:val="single" w:sz="4" w:space="0" w:color="auto"/>
            </w:tcBorders>
            <w:shd w:val="clear" w:color="auto" w:fill="auto"/>
            <w:noWrap/>
            <w:vAlign w:val="bottom"/>
            <w:hideMark/>
          </w:tcPr>
          <w:p w14:paraId="74C8BED7"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7.1 (4.8-10.6, n=2) </w:t>
            </w:r>
          </w:p>
        </w:tc>
        <w:tc>
          <w:tcPr>
            <w:tcW w:w="1984" w:type="dxa"/>
            <w:tcBorders>
              <w:top w:val="nil"/>
              <w:left w:val="nil"/>
              <w:bottom w:val="single" w:sz="8" w:space="0" w:color="auto"/>
              <w:right w:val="single" w:sz="4" w:space="0" w:color="auto"/>
            </w:tcBorders>
            <w:shd w:val="clear" w:color="auto" w:fill="auto"/>
            <w:noWrap/>
            <w:vAlign w:val="bottom"/>
            <w:hideMark/>
          </w:tcPr>
          <w:p w14:paraId="544E4114"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44.3 (33-59.5, n=2)</w:t>
            </w:r>
          </w:p>
        </w:tc>
        <w:tc>
          <w:tcPr>
            <w:tcW w:w="1843" w:type="dxa"/>
            <w:tcBorders>
              <w:top w:val="nil"/>
              <w:left w:val="single" w:sz="4" w:space="0" w:color="auto"/>
              <w:bottom w:val="single" w:sz="8" w:space="0" w:color="auto"/>
              <w:right w:val="single" w:sz="8" w:space="0" w:color="auto"/>
            </w:tcBorders>
            <w:shd w:val="clear" w:color="auto" w:fill="auto"/>
            <w:noWrap/>
            <w:vAlign w:val="bottom"/>
            <w:hideMark/>
          </w:tcPr>
          <w:p w14:paraId="59238996"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17.8 (4.8-59.5, n=4)</w:t>
            </w:r>
          </w:p>
        </w:tc>
      </w:tr>
      <w:tr w:rsidR="00D865E0" w:rsidRPr="0098635C" w14:paraId="37B6D2A1" w14:textId="77777777" w:rsidTr="00D865E0">
        <w:trPr>
          <w:trHeight w:val="300"/>
        </w:trPr>
        <w:tc>
          <w:tcPr>
            <w:tcW w:w="2410" w:type="dxa"/>
            <w:tcBorders>
              <w:top w:val="nil"/>
              <w:left w:val="single" w:sz="8" w:space="0" w:color="auto"/>
              <w:bottom w:val="nil"/>
              <w:right w:val="single" w:sz="4" w:space="0" w:color="auto"/>
            </w:tcBorders>
            <w:shd w:val="clear" w:color="auto" w:fill="auto"/>
            <w:noWrap/>
            <w:vAlign w:val="bottom"/>
            <w:hideMark/>
          </w:tcPr>
          <w:p w14:paraId="2586C2A6" w14:textId="77777777" w:rsidR="00B2594A" w:rsidRPr="0098635C" w:rsidRDefault="00B2594A" w:rsidP="00B21670">
            <w:pPr>
              <w:widowControl/>
              <w:autoSpaceDE/>
              <w:autoSpaceDN/>
              <w:adjustRightInd/>
              <w:spacing w:after="0"/>
              <w:jc w:val="center"/>
              <w:rPr>
                <w:b/>
                <w:bCs/>
                <w:i/>
                <w:iCs/>
                <w:color w:val="000000" w:themeColor="text1"/>
                <w:sz w:val="20"/>
                <w:szCs w:val="20"/>
                <w:u w:val="single"/>
                <w:lang w:eastAsia="en-GB"/>
              </w:rPr>
            </w:pPr>
            <w:r w:rsidRPr="0098635C">
              <w:rPr>
                <w:b/>
                <w:bCs/>
                <w:i/>
                <w:iCs/>
                <w:color w:val="000000" w:themeColor="text1"/>
                <w:sz w:val="20"/>
                <w:szCs w:val="20"/>
                <w:u w:val="single"/>
                <w:lang w:eastAsia="en-GB"/>
              </w:rPr>
              <w:t>Salvelinus fontanilis</w:t>
            </w:r>
          </w:p>
        </w:tc>
        <w:tc>
          <w:tcPr>
            <w:tcW w:w="1843" w:type="dxa"/>
            <w:tcBorders>
              <w:top w:val="nil"/>
              <w:left w:val="nil"/>
              <w:bottom w:val="nil"/>
              <w:right w:val="single" w:sz="4" w:space="0" w:color="auto"/>
            </w:tcBorders>
            <w:shd w:val="clear" w:color="auto" w:fill="auto"/>
            <w:noWrap/>
            <w:vAlign w:val="bottom"/>
            <w:hideMark/>
          </w:tcPr>
          <w:p w14:paraId="3DE616D9"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c>
          <w:tcPr>
            <w:tcW w:w="1843" w:type="dxa"/>
            <w:tcBorders>
              <w:top w:val="nil"/>
              <w:left w:val="nil"/>
              <w:bottom w:val="nil"/>
              <w:right w:val="single" w:sz="4" w:space="0" w:color="auto"/>
            </w:tcBorders>
            <w:shd w:val="clear" w:color="auto" w:fill="auto"/>
            <w:noWrap/>
            <w:vAlign w:val="bottom"/>
            <w:hideMark/>
          </w:tcPr>
          <w:p w14:paraId="3F0753AE"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c>
          <w:tcPr>
            <w:tcW w:w="1984" w:type="dxa"/>
            <w:tcBorders>
              <w:top w:val="nil"/>
              <w:left w:val="nil"/>
              <w:bottom w:val="nil"/>
              <w:right w:val="single" w:sz="4" w:space="0" w:color="auto"/>
            </w:tcBorders>
            <w:shd w:val="clear" w:color="auto" w:fill="auto"/>
            <w:noWrap/>
            <w:vAlign w:val="bottom"/>
            <w:hideMark/>
          </w:tcPr>
          <w:p w14:paraId="172213AE"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c>
          <w:tcPr>
            <w:tcW w:w="1843" w:type="dxa"/>
            <w:tcBorders>
              <w:top w:val="nil"/>
              <w:left w:val="nil"/>
              <w:bottom w:val="nil"/>
              <w:right w:val="single" w:sz="8" w:space="0" w:color="auto"/>
            </w:tcBorders>
            <w:shd w:val="clear" w:color="auto" w:fill="auto"/>
            <w:noWrap/>
            <w:vAlign w:val="bottom"/>
            <w:hideMark/>
          </w:tcPr>
          <w:p w14:paraId="1159A90B"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r>
      <w:tr w:rsidR="00D865E0" w:rsidRPr="0098635C" w14:paraId="53B17C17" w14:textId="77777777" w:rsidTr="00D865E0">
        <w:trPr>
          <w:trHeight w:val="300"/>
        </w:trPr>
        <w:tc>
          <w:tcPr>
            <w:tcW w:w="2410" w:type="dxa"/>
            <w:tcBorders>
              <w:top w:val="nil"/>
              <w:left w:val="single" w:sz="8" w:space="0" w:color="auto"/>
              <w:bottom w:val="nil"/>
              <w:right w:val="single" w:sz="4" w:space="0" w:color="auto"/>
            </w:tcBorders>
            <w:shd w:val="clear" w:color="auto" w:fill="auto"/>
            <w:noWrap/>
            <w:vAlign w:val="bottom"/>
            <w:hideMark/>
          </w:tcPr>
          <w:p w14:paraId="7BBB36D6" w14:textId="77777777" w:rsidR="00B2594A" w:rsidRPr="0098635C" w:rsidRDefault="00B2594A" w:rsidP="00B21670">
            <w:pPr>
              <w:widowControl/>
              <w:autoSpaceDE/>
              <w:autoSpaceDN/>
              <w:adjustRightInd/>
              <w:spacing w:after="0"/>
              <w:jc w:val="center"/>
              <w:rPr>
                <w:i/>
                <w:iCs/>
                <w:color w:val="000000" w:themeColor="text1"/>
                <w:sz w:val="20"/>
                <w:szCs w:val="20"/>
                <w:lang w:eastAsia="en-GB"/>
              </w:rPr>
            </w:pPr>
            <w:r w:rsidRPr="0098635C">
              <w:rPr>
                <w:i/>
                <w:iCs/>
                <w:color w:val="000000" w:themeColor="text1"/>
                <w:sz w:val="20"/>
                <w:szCs w:val="20"/>
                <w:lang w:eastAsia="en-GB"/>
              </w:rPr>
              <w:t>Mortality</w:t>
            </w:r>
          </w:p>
        </w:tc>
        <w:tc>
          <w:tcPr>
            <w:tcW w:w="1843" w:type="dxa"/>
            <w:tcBorders>
              <w:top w:val="nil"/>
              <w:left w:val="nil"/>
              <w:bottom w:val="nil"/>
              <w:right w:val="single" w:sz="4" w:space="0" w:color="auto"/>
            </w:tcBorders>
            <w:shd w:val="clear" w:color="auto" w:fill="auto"/>
            <w:noWrap/>
            <w:vAlign w:val="bottom"/>
            <w:hideMark/>
          </w:tcPr>
          <w:p w14:paraId="5833B377"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w:t>
            </w:r>
          </w:p>
        </w:tc>
        <w:tc>
          <w:tcPr>
            <w:tcW w:w="1843" w:type="dxa"/>
            <w:tcBorders>
              <w:top w:val="nil"/>
              <w:left w:val="nil"/>
              <w:bottom w:val="nil"/>
              <w:right w:val="single" w:sz="4" w:space="0" w:color="auto"/>
            </w:tcBorders>
            <w:shd w:val="clear" w:color="auto" w:fill="auto"/>
            <w:noWrap/>
            <w:vAlign w:val="bottom"/>
            <w:hideMark/>
          </w:tcPr>
          <w:p w14:paraId="5278C2A8"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14.6 (9.5-21, n=4)</w:t>
            </w:r>
          </w:p>
        </w:tc>
        <w:tc>
          <w:tcPr>
            <w:tcW w:w="1984" w:type="dxa"/>
            <w:tcBorders>
              <w:top w:val="nil"/>
              <w:left w:val="nil"/>
              <w:bottom w:val="nil"/>
              <w:right w:val="single" w:sz="4" w:space="0" w:color="auto"/>
            </w:tcBorders>
            <w:shd w:val="clear" w:color="auto" w:fill="auto"/>
            <w:noWrap/>
            <w:vAlign w:val="bottom"/>
            <w:hideMark/>
          </w:tcPr>
          <w:p w14:paraId="7DD08C7B"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22  (n=1)</w:t>
            </w:r>
          </w:p>
        </w:tc>
        <w:tc>
          <w:tcPr>
            <w:tcW w:w="1843" w:type="dxa"/>
            <w:tcBorders>
              <w:top w:val="nil"/>
              <w:left w:val="nil"/>
              <w:bottom w:val="nil"/>
              <w:right w:val="single" w:sz="8" w:space="0" w:color="auto"/>
            </w:tcBorders>
            <w:shd w:val="clear" w:color="auto" w:fill="auto"/>
            <w:noWrap/>
            <w:vAlign w:val="bottom"/>
            <w:hideMark/>
          </w:tcPr>
          <w:p w14:paraId="44AA48A3"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15.9 (9.5-22.3, n=5)</w:t>
            </w:r>
          </w:p>
        </w:tc>
      </w:tr>
      <w:tr w:rsidR="00D865E0" w:rsidRPr="0098635C" w14:paraId="04C2DB7E" w14:textId="77777777" w:rsidTr="00D865E0">
        <w:trPr>
          <w:trHeight w:val="300"/>
        </w:trPr>
        <w:tc>
          <w:tcPr>
            <w:tcW w:w="2410" w:type="dxa"/>
            <w:tcBorders>
              <w:top w:val="nil"/>
              <w:left w:val="single" w:sz="8" w:space="0" w:color="auto"/>
              <w:bottom w:val="nil"/>
              <w:right w:val="single" w:sz="4" w:space="0" w:color="auto"/>
            </w:tcBorders>
            <w:shd w:val="clear" w:color="auto" w:fill="auto"/>
            <w:noWrap/>
            <w:vAlign w:val="bottom"/>
            <w:hideMark/>
          </w:tcPr>
          <w:p w14:paraId="5AF26741" w14:textId="77777777" w:rsidR="00B2594A" w:rsidRPr="0098635C" w:rsidRDefault="00B2594A" w:rsidP="00B21670">
            <w:pPr>
              <w:widowControl/>
              <w:autoSpaceDE/>
              <w:autoSpaceDN/>
              <w:adjustRightInd/>
              <w:spacing w:after="0"/>
              <w:jc w:val="center"/>
              <w:rPr>
                <w:i/>
                <w:iCs/>
                <w:color w:val="000000" w:themeColor="text1"/>
                <w:sz w:val="20"/>
                <w:szCs w:val="20"/>
                <w:lang w:eastAsia="en-GB"/>
              </w:rPr>
            </w:pPr>
            <w:r w:rsidRPr="0098635C">
              <w:rPr>
                <w:i/>
                <w:iCs/>
                <w:color w:val="000000" w:themeColor="text1"/>
                <w:sz w:val="20"/>
                <w:szCs w:val="20"/>
                <w:lang w:eastAsia="en-GB"/>
              </w:rPr>
              <w:t>Reproduction</w:t>
            </w:r>
          </w:p>
        </w:tc>
        <w:tc>
          <w:tcPr>
            <w:tcW w:w="1843" w:type="dxa"/>
            <w:tcBorders>
              <w:top w:val="nil"/>
              <w:left w:val="nil"/>
              <w:bottom w:val="nil"/>
              <w:right w:val="single" w:sz="4" w:space="0" w:color="auto"/>
            </w:tcBorders>
            <w:shd w:val="clear" w:color="auto" w:fill="auto"/>
            <w:noWrap/>
            <w:vAlign w:val="bottom"/>
            <w:hideMark/>
          </w:tcPr>
          <w:p w14:paraId="20700DD8"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w:t>
            </w:r>
          </w:p>
        </w:tc>
        <w:tc>
          <w:tcPr>
            <w:tcW w:w="1843" w:type="dxa"/>
            <w:tcBorders>
              <w:top w:val="nil"/>
              <w:left w:val="nil"/>
              <w:bottom w:val="nil"/>
              <w:right w:val="single" w:sz="4" w:space="0" w:color="auto"/>
            </w:tcBorders>
            <w:shd w:val="clear" w:color="auto" w:fill="auto"/>
            <w:noWrap/>
            <w:vAlign w:val="bottom"/>
            <w:hideMark/>
          </w:tcPr>
          <w:p w14:paraId="05CFDA29"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18.1 (7-49, n=3)</w:t>
            </w:r>
          </w:p>
        </w:tc>
        <w:tc>
          <w:tcPr>
            <w:tcW w:w="1984" w:type="dxa"/>
            <w:tcBorders>
              <w:top w:val="nil"/>
              <w:left w:val="nil"/>
              <w:bottom w:val="nil"/>
              <w:right w:val="single" w:sz="4" w:space="0" w:color="auto"/>
            </w:tcBorders>
            <w:shd w:val="clear" w:color="auto" w:fill="auto"/>
            <w:noWrap/>
            <w:vAlign w:val="bottom"/>
            <w:hideMark/>
          </w:tcPr>
          <w:p w14:paraId="11F0FD56"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w:t>
            </w:r>
          </w:p>
        </w:tc>
        <w:tc>
          <w:tcPr>
            <w:tcW w:w="1843" w:type="dxa"/>
            <w:tcBorders>
              <w:top w:val="nil"/>
              <w:left w:val="nil"/>
              <w:bottom w:val="nil"/>
              <w:right w:val="single" w:sz="8" w:space="0" w:color="auto"/>
            </w:tcBorders>
            <w:shd w:val="clear" w:color="auto" w:fill="auto"/>
            <w:noWrap/>
            <w:vAlign w:val="bottom"/>
            <w:hideMark/>
          </w:tcPr>
          <w:p w14:paraId="653386AF"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18.1 (7-49, n= 3)</w:t>
            </w:r>
          </w:p>
        </w:tc>
      </w:tr>
      <w:tr w:rsidR="00D865E0" w:rsidRPr="0098635C" w14:paraId="24482139" w14:textId="77777777" w:rsidTr="00D865E0">
        <w:trPr>
          <w:trHeight w:val="315"/>
        </w:trPr>
        <w:tc>
          <w:tcPr>
            <w:tcW w:w="2410" w:type="dxa"/>
            <w:tcBorders>
              <w:top w:val="nil"/>
              <w:left w:val="single" w:sz="8" w:space="0" w:color="auto"/>
              <w:bottom w:val="single" w:sz="8" w:space="0" w:color="auto"/>
              <w:right w:val="single" w:sz="4" w:space="0" w:color="auto"/>
            </w:tcBorders>
            <w:shd w:val="clear" w:color="auto" w:fill="auto"/>
            <w:noWrap/>
            <w:vAlign w:val="bottom"/>
            <w:hideMark/>
          </w:tcPr>
          <w:p w14:paraId="426B242D" w14:textId="77777777" w:rsidR="00B2594A" w:rsidRPr="0098635C" w:rsidRDefault="00B2594A" w:rsidP="00B21670">
            <w:pPr>
              <w:widowControl/>
              <w:autoSpaceDE/>
              <w:autoSpaceDN/>
              <w:adjustRightInd/>
              <w:spacing w:after="0"/>
              <w:jc w:val="center"/>
              <w:rPr>
                <w:i/>
                <w:iCs/>
                <w:color w:val="000000" w:themeColor="text1"/>
                <w:sz w:val="20"/>
                <w:szCs w:val="20"/>
                <w:lang w:eastAsia="en-GB"/>
              </w:rPr>
            </w:pPr>
            <w:r w:rsidRPr="0098635C">
              <w:rPr>
                <w:i/>
                <w:iCs/>
                <w:color w:val="000000" w:themeColor="text1"/>
                <w:sz w:val="20"/>
                <w:szCs w:val="20"/>
                <w:lang w:eastAsia="en-GB"/>
              </w:rPr>
              <w:t xml:space="preserve">Growth </w:t>
            </w:r>
          </w:p>
        </w:tc>
        <w:tc>
          <w:tcPr>
            <w:tcW w:w="1843" w:type="dxa"/>
            <w:tcBorders>
              <w:top w:val="nil"/>
              <w:left w:val="nil"/>
              <w:bottom w:val="single" w:sz="8" w:space="0" w:color="auto"/>
              <w:right w:val="single" w:sz="4" w:space="0" w:color="auto"/>
            </w:tcBorders>
            <w:shd w:val="clear" w:color="auto" w:fill="auto"/>
            <w:noWrap/>
            <w:vAlign w:val="bottom"/>
            <w:hideMark/>
          </w:tcPr>
          <w:p w14:paraId="23579D0E"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w:t>
            </w:r>
          </w:p>
        </w:tc>
        <w:tc>
          <w:tcPr>
            <w:tcW w:w="1843" w:type="dxa"/>
            <w:tcBorders>
              <w:top w:val="nil"/>
              <w:left w:val="nil"/>
              <w:bottom w:val="single" w:sz="8" w:space="0" w:color="auto"/>
              <w:right w:val="single" w:sz="4" w:space="0" w:color="auto"/>
            </w:tcBorders>
            <w:shd w:val="clear" w:color="auto" w:fill="auto"/>
            <w:noWrap/>
            <w:vAlign w:val="bottom"/>
            <w:hideMark/>
          </w:tcPr>
          <w:p w14:paraId="7330D93B"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12.5 (7-21, n=4)</w:t>
            </w:r>
          </w:p>
        </w:tc>
        <w:tc>
          <w:tcPr>
            <w:tcW w:w="1984" w:type="dxa"/>
            <w:tcBorders>
              <w:top w:val="nil"/>
              <w:left w:val="nil"/>
              <w:bottom w:val="single" w:sz="8" w:space="0" w:color="auto"/>
              <w:right w:val="single" w:sz="4" w:space="0" w:color="auto"/>
            </w:tcBorders>
            <w:shd w:val="clear" w:color="auto" w:fill="auto"/>
            <w:noWrap/>
            <w:vAlign w:val="bottom"/>
            <w:hideMark/>
          </w:tcPr>
          <w:p w14:paraId="340AA0A6"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22  (n=1)</w:t>
            </w:r>
          </w:p>
        </w:tc>
        <w:tc>
          <w:tcPr>
            <w:tcW w:w="1843" w:type="dxa"/>
            <w:tcBorders>
              <w:top w:val="nil"/>
              <w:left w:val="single" w:sz="4" w:space="0" w:color="auto"/>
              <w:bottom w:val="single" w:sz="8" w:space="0" w:color="auto"/>
              <w:right w:val="single" w:sz="8" w:space="0" w:color="auto"/>
            </w:tcBorders>
            <w:shd w:val="clear" w:color="auto" w:fill="auto"/>
            <w:noWrap/>
            <w:vAlign w:val="bottom"/>
            <w:hideMark/>
          </w:tcPr>
          <w:p w14:paraId="16C1CFA8"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14 (7-22.3, n=5)</w:t>
            </w:r>
          </w:p>
        </w:tc>
      </w:tr>
      <w:tr w:rsidR="00D865E0" w:rsidRPr="0098635C" w14:paraId="6B5C5618" w14:textId="77777777" w:rsidTr="00D865E0">
        <w:trPr>
          <w:trHeight w:val="300"/>
        </w:trPr>
        <w:tc>
          <w:tcPr>
            <w:tcW w:w="2410" w:type="dxa"/>
            <w:tcBorders>
              <w:top w:val="nil"/>
              <w:left w:val="single" w:sz="8" w:space="0" w:color="auto"/>
              <w:bottom w:val="nil"/>
              <w:right w:val="single" w:sz="4" w:space="0" w:color="auto"/>
            </w:tcBorders>
            <w:shd w:val="clear" w:color="auto" w:fill="auto"/>
            <w:noWrap/>
            <w:vAlign w:val="bottom"/>
            <w:hideMark/>
          </w:tcPr>
          <w:p w14:paraId="7E2F3C3A" w14:textId="77777777" w:rsidR="00B2594A" w:rsidRPr="0098635C" w:rsidRDefault="00B2594A" w:rsidP="00B21670">
            <w:pPr>
              <w:widowControl/>
              <w:autoSpaceDE/>
              <w:autoSpaceDN/>
              <w:adjustRightInd/>
              <w:spacing w:after="0"/>
              <w:jc w:val="center"/>
              <w:rPr>
                <w:b/>
                <w:bCs/>
                <w:i/>
                <w:iCs/>
                <w:color w:val="000000" w:themeColor="text1"/>
                <w:sz w:val="20"/>
                <w:szCs w:val="20"/>
                <w:u w:val="single"/>
                <w:lang w:eastAsia="en-GB"/>
              </w:rPr>
            </w:pPr>
            <w:r w:rsidRPr="0098635C">
              <w:rPr>
                <w:b/>
                <w:bCs/>
                <w:i/>
                <w:iCs/>
                <w:color w:val="000000" w:themeColor="text1"/>
                <w:sz w:val="20"/>
                <w:szCs w:val="20"/>
                <w:u w:val="single"/>
                <w:lang w:eastAsia="en-GB"/>
              </w:rPr>
              <w:t>Lemna minor</w:t>
            </w:r>
          </w:p>
        </w:tc>
        <w:tc>
          <w:tcPr>
            <w:tcW w:w="1843" w:type="dxa"/>
            <w:tcBorders>
              <w:top w:val="nil"/>
              <w:left w:val="nil"/>
              <w:bottom w:val="nil"/>
              <w:right w:val="single" w:sz="4" w:space="0" w:color="auto"/>
            </w:tcBorders>
            <w:shd w:val="clear" w:color="auto" w:fill="auto"/>
            <w:noWrap/>
            <w:vAlign w:val="bottom"/>
            <w:hideMark/>
          </w:tcPr>
          <w:p w14:paraId="752689EF"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c>
          <w:tcPr>
            <w:tcW w:w="1843" w:type="dxa"/>
            <w:tcBorders>
              <w:top w:val="nil"/>
              <w:left w:val="nil"/>
              <w:bottom w:val="nil"/>
              <w:right w:val="single" w:sz="4" w:space="0" w:color="auto"/>
            </w:tcBorders>
            <w:shd w:val="clear" w:color="auto" w:fill="auto"/>
            <w:noWrap/>
            <w:vAlign w:val="bottom"/>
            <w:hideMark/>
          </w:tcPr>
          <w:p w14:paraId="6286823E"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c>
          <w:tcPr>
            <w:tcW w:w="1984" w:type="dxa"/>
            <w:tcBorders>
              <w:top w:val="nil"/>
              <w:left w:val="nil"/>
              <w:bottom w:val="nil"/>
              <w:right w:val="single" w:sz="4" w:space="0" w:color="auto"/>
            </w:tcBorders>
            <w:shd w:val="clear" w:color="auto" w:fill="auto"/>
            <w:noWrap/>
            <w:vAlign w:val="bottom"/>
            <w:hideMark/>
          </w:tcPr>
          <w:p w14:paraId="5D3F7E6E"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c>
          <w:tcPr>
            <w:tcW w:w="1843" w:type="dxa"/>
            <w:tcBorders>
              <w:top w:val="nil"/>
              <w:left w:val="nil"/>
              <w:bottom w:val="nil"/>
              <w:right w:val="single" w:sz="8" w:space="0" w:color="auto"/>
            </w:tcBorders>
            <w:shd w:val="clear" w:color="auto" w:fill="auto"/>
            <w:noWrap/>
            <w:vAlign w:val="bottom"/>
            <w:hideMark/>
          </w:tcPr>
          <w:p w14:paraId="67E2301A"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r>
      <w:tr w:rsidR="00D865E0" w:rsidRPr="0098635C" w14:paraId="5728C662" w14:textId="77777777" w:rsidTr="00D865E0">
        <w:trPr>
          <w:trHeight w:val="315"/>
        </w:trPr>
        <w:tc>
          <w:tcPr>
            <w:tcW w:w="2410" w:type="dxa"/>
            <w:tcBorders>
              <w:top w:val="nil"/>
              <w:left w:val="single" w:sz="8" w:space="0" w:color="auto"/>
              <w:bottom w:val="single" w:sz="8" w:space="0" w:color="auto"/>
              <w:right w:val="single" w:sz="4" w:space="0" w:color="auto"/>
            </w:tcBorders>
            <w:shd w:val="clear" w:color="auto" w:fill="auto"/>
            <w:noWrap/>
            <w:vAlign w:val="bottom"/>
            <w:hideMark/>
          </w:tcPr>
          <w:p w14:paraId="505FD233" w14:textId="77777777" w:rsidR="00B2594A" w:rsidRPr="0098635C" w:rsidRDefault="00B2594A" w:rsidP="00B21670">
            <w:pPr>
              <w:widowControl/>
              <w:autoSpaceDE/>
              <w:autoSpaceDN/>
              <w:adjustRightInd/>
              <w:spacing w:after="0"/>
              <w:jc w:val="center"/>
              <w:rPr>
                <w:i/>
                <w:iCs/>
                <w:color w:val="000000" w:themeColor="text1"/>
                <w:sz w:val="20"/>
                <w:szCs w:val="20"/>
                <w:lang w:eastAsia="en-GB"/>
              </w:rPr>
            </w:pPr>
            <w:r w:rsidRPr="0098635C">
              <w:rPr>
                <w:i/>
                <w:iCs/>
                <w:color w:val="000000" w:themeColor="text1"/>
                <w:sz w:val="20"/>
                <w:szCs w:val="20"/>
                <w:lang w:eastAsia="en-GB"/>
              </w:rPr>
              <w:t>Mortality</w:t>
            </w:r>
          </w:p>
        </w:tc>
        <w:tc>
          <w:tcPr>
            <w:tcW w:w="1843" w:type="dxa"/>
            <w:tcBorders>
              <w:top w:val="nil"/>
              <w:left w:val="nil"/>
              <w:bottom w:val="single" w:sz="8" w:space="0" w:color="auto"/>
              <w:right w:val="single" w:sz="4" w:space="0" w:color="auto"/>
            </w:tcBorders>
            <w:shd w:val="clear" w:color="auto" w:fill="auto"/>
            <w:noWrap/>
            <w:vAlign w:val="bottom"/>
            <w:hideMark/>
          </w:tcPr>
          <w:p w14:paraId="070FD58F"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30 (n=1)</w:t>
            </w:r>
          </w:p>
        </w:tc>
        <w:tc>
          <w:tcPr>
            <w:tcW w:w="1843" w:type="dxa"/>
            <w:tcBorders>
              <w:top w:val="nil"/>
              <w:left w:val="nil"/>
              <w:bottom w:val="single" w:sz="8" w:space="0" w:color="auto"/>
              <w:right w:val="single" w:sz="4" w:space="0" w:color="auto"/>
            </w:tcBorders>
            <w:shd w:val="clear" w:color="auto" w:fill="auto"/>
            <w:noWrap/>
            <w:vAlign w:val="bottom"/>
            <w:hideMark/>
          </w:tcPr>
          <w:p w14:paraId="05807910"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w:t>
            </w:r>
          </w:p>
        </w:tc>
        <w:tc>
          <w:tcPr>
            <w:tcW w:w="1984" w:type="dxa"/>
            <w:tcBorders>
              <w:top w:val="nil"/>
              <w:left w:val="nil"/>
              <w:bottom w:val="single" w:sz="8" w:space="0" w:color="auto"/>
              <w:right w:val="single" w:sz="4" w:space="0" w:color="auto"/>
            </w:tcBorders>
            <w:shd w:val="clear" w:color="auto" w:fill="auto"/>
            <w:noWrap/>
            <w:vAlign w:val="bottom"/>
            <w:hideMark/>
          </w:tcPr>
          <w:p w14:paraId="2CB11170"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w:t>
            </w:r>
          </w:p>
        </w:tc>
        <w:tc>
          <w:tcPr>
            <w:tcW w:w="1843" w:type="dxa"/>
            <w:tcBorders>
              <w:top w:val="nil"/>
              <w:left w:val="single" w:sz="4" w:space="0" w:color="auto"/>
              <w:bottom w:val="single" w:sz="8" w:space="0" w:color="auto"/>
              <w:right w:val="single" w:sz="8" w:space="0" w:color="auto"/>
            </w:tcBorders>
            <w:shd w:val="clear" w:color="auto" w:fill="auto"/>
            <w:noWrap/>
            <w:vAlign w:val="bottom"/>
            <w:hideMark/>
          </w:tcPr>
          <w:p w14:paraId="1FF6B920"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30 (n=1)</w:t>
            </w:r>
          </w:p>
        </w:tc>
      </w:tr>
      <w:tr w:rsidR="00D865E0" w:rsidRPr="0098635C" w14:paraId="5A6AE49F" w14:textId="77777777" w:rsidTr="00D865E0">
        <w:trPr>
          <w:trHeight w:val="300"/>
        </w:trPr>
        <w:tc>
          <w:tcPr>
            <w:tcW w:w="2410" w:type="dxa"/>
            <w:tcBorders>
              <w:top w:val="nil"/>
              <w:left w:val="single" w:sz="8" w:space="0" w:color="auto"/>
              <w:bottom w:val="nil"/>
              <w:right w:val="single" w:sz="4" w:space="0" w:color="auto"/>
            </w:tcBorders>
            <w:shd w:val="clear" w:color="auto" w:fill="auto"/>
            <w:noWrap/>
            <w:vAlign w:val="bottom"/>
            <w:hideMark/>
          </w:tcPr>
          <w:p w14:paraId="524F7B90" w14:textId="77777777" w:rsidR="00B2594A" w:rsidRPr="0098635C" w:rsidRDefault="00B2594A" w:rsidP="00B21670">
            <w:pPr>
              <w:widowControl/>
              <w:autoSpaceDE/>
              <w:autoSpaceDN/>
              <w:adjustRightInd/>
              <w:spacing w:after="0"/>
              <w:jc w:val="center"/>
              <w:rPr>
                <w:b/>
                <w:bCs/>
                <w:i/>
                <w:iCs/>
                <w:color w:val="000000" w:themeColor="text1"/>
                <w:sz w:val="20"/>
                <w:szCs w:val="20"/>
                <w:u w:val="single"/>
                <w:lang w:eastAsia="en-GB"/>
              </w:rPr>
            </w:pPr>
            <w:r w:rsidRPr="0098635C">
              <w:rPr>
                <w:b/>
                <w:bCs/>
                <w:i/>
                <w:iCs/>
                <w:color w:val="000000" w:themeColor="text1"/>
                <w:sz w:val="20"/>
                <w:szCs w:val="20"/>
                <w:u w:val="single"/>
                <w:lang w:eastAsia="en-GB"/>
              </w:rPr>
              <w:t>Chlamydomonas reinhardtii</w:t>
            </w:r>
          </w:p>
        </w:tc>
        <w:tc>
          <w:tcPr>
            <w:tcW w:w="1843" w:type="dxa"/>
            <w:tcBorders>
              <w:top w:val="nil"/>
              <w:left w:val="nil"/>
              <w:bottom w:val="nil"/>
              <w:right w:val="single" w:sz="4" w:space="0" w:color="auto"/>
            </w:tcBorders>
            <w:shd w:val="clear" w:color="auto" w:fill="auto"/>
            <w:noWrap/>
            <w:vAlign w:val="bottom"/>
            <w:hideMark/>
          </w:tcPr>
          <w:p w14:paraId="4E44149C"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c>
          <w:tcPr>
            <w:tcW w:w="1843" w:type="dxa"/>
            <w:tcBorders>
              <w:top w:val="nil"/>
              <w:left w:val="nil"/>
              <w:bottom w:val="nil"/>
              <w:right w:val="single" w:sz="4" w:space="0" w:color="auto"/>
            </w:tcBorders>
            <w:shd w:val="clear" w:color="auto" w:fill="auto"/>
            <w:noWrap/>
            <w:vAlign w:val="bottom"/>
            <w:hideMark/>
          </w:tcPr>
          <w:p w14:paraId="24D78196" w14:textId="77777777" w:rsidR="00B2594A" w:rsidRPr="0098635C" w:rsidRDefault="00B2594A" w:rsidP="00D865E0">
            <w:pPr>
              <w:widowControl/>
              <w:autoSpaceDE/>
              <w:autoSpaceDN/>
              <w:adjustRightInd/>
              <w:spacing w:after="0"/>
              <w:jc w:val="center"/>
              <w:rPr>
                <w:color w:val="000000" w:themeColor="text1"/>
                <w:sz w:val="20"/>
                <w:szCs w:val="20"/>
                <w:lang w:eastAsia="en-GB"/>
              </w:rPr>
            </w:pPr>
          </w:p>
        </w:tc>
        <w:tc>
          <w:tcPr>
            <w:tcW w:w="1984" w:type="dxa"/>
            <w:tcBorders>
              <w:top w:val="nil"/>
              <w:left w:val="nil"/>
              <w:bottom w:val="nil"/>
              <w:right w:val="single" w:sz="4" w:space="0" w:color="auto"/>
            </w:tcBorders>
            <w:shd w:val="clear" w:color="auto" w:fill="auto"/>
            <w:noWrap/>
            <w:vAlign w:val="bottom"/>
            <w:hideMark/>
          </w:tcPr>
          <w:p w14:paraId="7A9313F5"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c>
          <w:tcPr>
            <w:tcW w:w="1843" w:type="dxa"/>
            <w:tcBorders>
              <w:top w:val="nil"/>
              <w:left w:val="nil"/>
              <w:bottom w:val="nil"/>
              <w:right w:val="single" w:sz="8" w:space="0" w:color="auto"/>
            </w:tcBorders>
            <w:shd w:val="clear" w:color="auto" w:fill="auto"/>
            <w:noWrap/>
            <w:vAlign w:val="bottom"/>
            <w:hideMark/>
          </w:tcPr>
          <w:p w14:paraId="77718E3E"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r>
      <w:tr w:rsidR="00D865E0" w:rsidRPr="0098635C" w14:paraId="065FCF3E" w14:textId="77777777" w:rsidTr="00D865E0">
        <w:trPr>
          <w:trHeight w:val="315"/>
        </w:trPr>
        <w:tc>
          <w:tcPr>
            <w:tcW w:w="2410" w:type="dxa"/>
            <w:tcBorders>
              <w:top w:val="nil"/>
              <w:left w:val="single" w:sz="8" w:space="0" w:color="auto"/>
              <w:bottom w:val="single" w:sz="8" w:space="0" w:color="auto"/>
              <w:right w:val="single" w:sz="4" w:space="0" w:color="auto"/>
            </w:tcBorders>
            <w:shd w:val="clear" w:color="auto" w:fill="auto"/>
            <w:noWrap/>
            <w:vAlign w:val="bottom"/>
            <w:hideMark/>
          </w:tcPr>
          <w:p w14:paraId="51D18A97" w14:textId="77777777" w:rsidR="00B2594A" w:rsidRPr="0098635C" w:rsidRDefault="00B2594A" w:rsidP="00B21670">
            <w:pPr>
              <w:widowControl/>
              <w:autoSpaceDE/>
              <w:autoSpaceDN/>
              <w:adjustRightInd/>
              <w:spacing w:after="0"/>
              <w:jc w:val="center"/>
              <w:rPr>
                <w:i/>
                <w:iCs/>
                <w:color w:val="000000" w:themeColor="text1"/>
                <w:sz w:val="20"/>
                <w:szCs w:val="20"/>
                <w:lang w:eastAsia="en-GB"/>
              </w:rPr>
            </w:pPr>
            <w:r w:rsidRPr="0098635C">
              <w:rPr>
                <w:i/>
                <w:iCs/>
                <w:color w:val="000000" w:themeColor="text1"/>
                <w:sz w:val="20"/>
                <w:szCs w:val="20"/>
                <w:lang w:eastAsia="en-GB"/>
              </w:rPr>
              <w:t xml:space="preserve">Growth </w:t>
            </w:r>
          </w:p>
        </w:tc>
        <w:tc>
          <w:tcPr>
            <w:tcW w:w="1843" w:type="dxa"/>
            <w:tcBorders>
              <w:top w:val="nil"/>
              <w:left w:val="nil"/>
              <w:bottom w:val="single" w:sz="8" w:space="0" w:color="auto"/>
              <w:right w:val="single" w:sz="4" w:space="0" w:color="auto"/>
            </w:tcBorders>
            <w:shd w:val="clear" w:color="auto" w:fill="auto"/>
            <w:noWrap/>
            <w:vAlign w:val="bottom"/>
            <w:hideMark/>
          </w:tcPr>
          <w:p w14:paraId="6EBEB318"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62.6 (22-178, n=2)</w:t>
            </w:r>
          </w:p>
        </w:tc>
        <w:tc>
          <w:tcPr>
            <w:tcW w:w="1843" w:type="dxa"/>
            <w:tcBorders>
              <w:top w:val="nil"/>
              <w:left w:val="nil"/>
              <w:bottom w:val="single" w:sz="8" w:space="0" w:color="auto"/>
              <w:right w:val="single" w:sz="4" w:space="0" w:color="auto"/>
            </w:tcBorders>
            <w:shd w:val="clear" w:color="auto" w:fill="auto"/>
            <w:noWrap/>
            <w:vAlign w:val="bottom"/>
            <w:hideMark/>
          </w:tcPr>
          <w:p w14:paraId="24E9A3AB"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108 (n=1)</w:t>
            </w:r>
          </w:p>
        </w:tc>
        <w:tc>
          <w:tcPr>
            <w:tcW w:w="1984" w:type="dxa"/>
            <w:tcBorders>
              <w:top w:val="nil"/>
              <w:left w:val="nil"/>
              <w:bottom w:val="single" w:sz="8" w:space="0" w:color="auto"/>
              <w:right w:val="single" w:sz="4" w:space="0" w:color="auto"/>
            </w:tcBorders>
            <w:shd w:val="clear" w:color="auto" w:fill="auto"/>
            <w:noWrap/>
            <w:vAlign w:val="bottom"/>
            <w:hideMark/>
          </w:tcPr>
          <w:p w14:paraId="3238AC04"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96 (n=1)</w:t>
            </w:r>
          </w:p>
        </w:tc>
        <w:tc>
          <w:tcPr>
            <w:tcW w:w="1843" w:type="dxa"/>
            <w:tcBorders>
              <w:top w:val="nil"/>
              <w:left w:val="single" w:sz="4" w:space="0" w:color="auto"/>
              <w:bottom w:val="single" w:sz="8" w:space="0" w:color="auto"/>
              <w:right w:val="single" w:sz="8" w:space="0" w:color="auto"/>
            </w:tcBorders>
            <w:shd w:val="clear" w:color="auto" w:fill="auto"/>
            <w:noWrap/>
            <w:vAlign w:val="bottom"/>
            <w:hideMark/>
          </w:tcPr>
          <w:p w14:paraId="432BE793"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79.8 (22-178, n=4)</w:t>
            </w:r>
          </w:p>
        </w:tc>
      </w:tr>
      <w:tr w:rsidR="00D865E0" w:rsidRPr="0098635C" w14:paraId="6094607A" w14:textId="77777777" w:rsidTr="00D865E0">
        <w:trPr>
          <w:trHeight w:val="300"/>
        </w:trPr>
        <w:tc>
          <w:tcPr>
            <w:tcW w:w="2410" w:type="dxa"/>
            <w:tcBorders>
              <w:top w:val="nil"/>
              <w:left w:val="single" w:sz="8" w:space="0" w:color="auto"/>
              <w:bottom w:val="nil"/>
              <w:right w:val="single" w:sz="4" w:space="0" w:color="auto"/>
            </w:tcBorders>
            <w:shd w:val="clear" w:color="auto" w:fill="auto"/>
            <w:noWrap/>
            <w:vAlign w:val="bottom"/>
            <w:hideMark/>
          </w:tcPr>
          <w:p w14:paraId="249E3306" w14:textId="77777777" w:rsidR="00B2594A" w:rsidRPr="0098635C" w:rsidRDefault="00B2594A" w:rsidP="00B21670">
            <w:pPr>
              <w:widowControl/>
              <w:autoSpaceDE/>
              <w:autoSpaceDN/>
              <w:adjustRightInd/>
              <w:spacing w:after="0"/>
              <w:jc w:val="center"/>
              <w:rPr>
                <w:b/>
                <w:bCs/>
                <w:i/>
                <w:iCs/>
                <w:color w:val="000000" w:themeColor="text1"/>
                <w:sz w:val="20"/>
                <w:szCs w:val="20"/>
                <w:u w:val="single"/>
                <w:lang w:eastAsia="en-GB"/>
              </w:rPr>
            </w:pPr>
            <w:r w:rsidRPr="0098635C">
              <w:rPr>
                <w:b/>
                <w:bCs/>
                <w:i/>
                <w:iCs/>
                <w:color w:val="000000" w:themeColor="text1"/>
                <w:sz w:val="20"/>
                <w:szCs w:val="20"/>
                <w:u w:val="single"/>
                <w:lang w:eastAsia="en-GB"/>
              </w:rPr>
              <w:t>Chlorella vulgaris</w:t>
            </w:r>
          </w:p>
        </w:tc>
        <w:tc>
          <w:tcPr>
            <w:tcW w:w="1843" w:type="dxa"/>
            <w:tcBorders>
              <w:top w:val="nil"/>
              <w:left w:val="nil"/>
              <w:bottom w:val="nil"/>
              <w:right w:val="single" w:sz="4" w:space="0" w:color="auto"/>
            </w:tcBorders>
            <w:shd w:val="clear" w:color="auto" w:fill="auto"/>
            <w:noWrap/>
            <w:vAlign w:val="bottom"/>
            <w:hideMark/>
          </w:tcPr>
          <w:p w14:paraId="64183B2E"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c>
          <w:tcPr>
            <w:tcW w:w="1843" w:type="dxa"/>
            <w:tcBorders>
              <w:top w:val="nil"/>
              <w:left w:val="nil"/>
              <w:bottom w:val="nil"/>
              <w:right w:val="single" w:sz="4" w:space="0" w:color="auto"/>
            </w:tcBorders>
            <w:shd w:val="clear" w:color="auto" w:fill="auto"/>
            <w:noWrap/>
            <w:vAlign w:val="bottom"/>
            <w:hideMark/>
          </w:tcPr>
          <w:p w14:paraId="10A330ED"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c>
          <w:tcPr>
            <w:tcW w:w="1984" w:type="dxa"/>
            <w:tcBorders>
              <w:top w:val="nil"/>
              <w:left w:val="nil"/>
              <w:bottom w:val="nil"/>
              <w:right w:val="single" w:sz="4" w:space="0" w:color="auto"/>
            </w:tcBorders>
            <w:shd w:val="clear" w:color="auto" w:fill="auto"/>
            <w:noWrap/>
            <w:vAlign w:val="bottom"/>
            <w:hideMark/>
          </w:tcPr>
          <w:p w14:paraId="5F98A613"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c>
          <w:tcPr>
            <w:tcW w:w="1843" w:type="dxa"/>
            <w:tcBorders>
              <w:top w:val="nil"/>
              <w:left w:val="nil"/>
              <w:bottom w:val="nil"/>
              <w:right w:val="single" w:sz="8" w:space="0" w:color="auto"/>
            </w:tcBorders>
            <w:shd w:val="clear" w:color="auto" w:fill="auto"/>
            <w:noWrap/>
            <w:vAlign w:val="bottom"/>
            <w:hideMark/>
          </w:tcPr>
          <w:p w14:paraId="7E2806A8"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r>
      <w:tr w:rsidR="00D865E0" w:rsidRPr="0098635C" w14:paraId="4AB53E90" w14:textId="77777777" w:rsidTr="00D865E0">
        <w:trPr>
          <w:trHeight w:val="315"/>
        </w:trPr>
        <w:tc>
          <w:tcPr>
            <w:tcW w:w="2410" w:type="dxa"/>
            <w:tcBorders>
              <w:top w:val="nil"/>
              <w:left w:val="single" w:sz="8" w:space="0" w:color="auto"/>
              <w:bottom w:val="single" w:sz="8" w:space="0" w:color="auto"/>
              <w:right w:val="single" w:sz="4" w:space="0" w:color="auto"/>
            </w:tcBorders>
            <w:shd w:val="clear" w:color="auto" w:fill="auto"/>
            <w:noWrap/>
            <w:vAlign w:val="bottom"/>
            <w:hideMark/>
          </w:tcPr>
          <w:p w14:paraId="3746157E" w14:textId="77777777" w:rsidR="00B2594A" w:rsidRPr="0098635C" w:rsidRDefault="00B2594A" w:rsidP="00B21670">
            <w:pPr>
              <w:widowControl/>
              <w:autoSpaceDE/>
              <w:autoSpaceDN/>
              <w:adjustRightInd/>
              <w:spacing w:after="0"/>
              <w:jc w:val="center"/>
              <w:rPr>
                <w:i/>
                <w:iCs/>
                <w:color w:val="000000" w:themeColor="text1"/>
                <w:sz w:val="20"/>
                <w:szCs w:val="20"/>
                <w:lang w:eastAsia="en-GB"/>
              </w:rPr>
            </w:pPr>
            <w:r w:rsidRPr="0098635C">
              <w:rPr>
                <w:i/>
                <w:iCs/>
                <w:color w:val="000000" w:themeColor="text1"/>
                <w:sz w:val="20"/>
                <w:szCs w:val="20"/>
                <w:lang w:eastAsia="en-GB"/>
              </w:rPr>
              <w:t xml:space="preserve">Growth </w:t>
            </w:r>
          </w:p>
        </w:tc>
        <w:tc>
          <w:tcPr>
            <w:tcW w:w="1843" w:type="dxa"/>
            <w:tcBorders>
              <w:top w:val="nil"/>
              <w:left w:val="nil"/>
              <w:bottom w:val="single" w:sz="8" w:space="0" w:color="auto"/>
              <w:right w:val="single" w:sz="4" w:space="0" w:color="auto"/>
            </w:tcBorders>
            <w:shd w:val="clear" w:color="auto" w:fill="auto"/>
            <w:noWrap/>
            <w:vAlign w:val="bottom"/>
            <w:hideMark/>
          </w:tcPr>
          <w:p w14:paraId="16B34F34"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c>
          <w:tcPr>
            <w:tcW w:w="1843" w:type="dxa"/>
            <w:tcBorders>
              <w:top w:val="nil"/>
              <w:left w:val="nil"/>
              <w:bottom w:val="single" w:sz="8" w:space="0" w:color="auto"/>
              <w:right w:val="single" w:sz="4" w:space="0" w:color="auto"/>
            </w:tcBorders>
            <w:shd w:val="clear" w:color="auto" w:fill="auto"/>
            <w:noWrap/>
            <w:vAlign w:val="bottom"/>
            <w:hideMark/>
          </w:tcPr>
          <w:p w14:paraId="77F23BDA"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c>
          <w:tcPr>
            <w:tcW w:w="1984" w:type="dxa"/>
            <w:tcBorders>
              <w:top w:val="nil"/>
              <w:left w:val="nil"/>
              <w:bottom w:val="single" w:sz="8" w:space="0" w:color="auto"/>
              <w:right w:val="single" w:sz="4" w:space="0" w:color="auto"/>
            </w:tcBorders>
            <w:shd w:val="clear" w:color="auto" w:fill="auto"/>
            <w:noWrap/>
            <w:vAlign w:val="bottom"/>
            <w:hideMark/>
          </w:tcPr>
          <w:p w14:paraId="22EF22B7"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c>
          <w:tcPr>
            <w:tcW w:w="1843" w:type="dxa"/>
            <w:tcBorders>
              <w:top w:val="nil"/>
              <w:left w:val="single" w:sz="4" w:space="0" w:color="auto"/>
              <w:bottom w:val="single" w:sz="8" w:space="0" w:color="auto"/>
              <w:right w:val="single" w:sz="8" w:space="0" w:color="auto"/>
            </w:tcBorders>
            <w:shd w:val="clear" w:color="auto" w:fill="auto"/>
            <w:noWrap/>
            <w:vAlign w:val="bottom"/>
            <w:hideMark/>
          </w:tcPr>
          <w:p w14:paraId="4B139E85"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r>
      <w:tr w:rsidR="00D865E0" w:rsidRPr="0098635C" w14:paraId="528D6BFA" w14:textId="77777777" w:rsidTr="00D865E0">
        <w:trPr>
          <w:trHeight w:val="300"/>
        </w:trPr>
        <w:tc>
          <w:tcPr>
            <w:tcW w:w="2410" w:type="dxa"/>
            <w:tcBorders>
              <w:top w:val="nil"/>
              <w:left w:val="single" w:sz="8" w:space="0" w:color="auto"/>
              <w:bottom w:val="nil"/>
              <w:right w:val="single" w:sz="4" w:space="0" w:color="auto"/>
            </w:tcBorders>
            <w:shd w:val="clear" w:color="auto" w:fill="auto"/>
            <w:noWrap/>
            <w:vAlign w:val="bottom"/>
            <w:hideMark/>
          </w:tcPr>
          <w:p w14:paraId="262E09E2" w14:textId="77777777" w:rsidR="00B2594A" w:rsidRPr="0098635C" w:rsidRDefault="00B2594A" w:rsidP="00B21670">
            <w:pPr>
              <w:widowControl/>
              <w:autoSpaceDE/>
              <w:autoSpaceDN/>
              <w:adjustRightInd/>
              <w:spacing w:after="0"/>
              <w:jc w:val="center"/>
              <w:rPr>
                <w:b/>
                <w:bCs/>
                <w:i/>
                <w:iCs/>
                <w:color w:val="000000" w:themeColor="text1"/>
                <w:sz w:val="20"/>
                <w:szCs w:val="20"/>
                <w:u w:val="single"/>
                <w:lang w:eastAsia="en-GB"/>
              </w:rPr>
            </w:pPr>
            <w:r w:rsidRPr="0098635C">
              <w:rPr>
                <w:b/>
                <w:bCs/>
                <w:i/>
                <w:iCs/>
                <w:color w:val="000000" w:themeColor="text1"/>
                <w:sz w:val="20"/>
                <w:szCs w:val="20"/>
                <w:u w:val="single"/>
                <w:lang w:eastAsia="en-GB"/>
              </w:rPr>
              <w:t>Pseudokirchneriella subcapitata</w:t>
            </w:r>
          </w:p>
        </w:tc>
        <w:tc>
          <w:tcPr>
            <w:tcW w:w="1843" w:type="dxa"/>
            <w:tcBorders>
              <w:top w:val="nil"/>
              <w:left w:val="nil"/>
              <w:bottom w:val="nil"/>
              <w:right w:val="single" w:sz="4" w:space="0" w:color="auto"/>
            </w:tcBorders>
            <w:shd w:val="clear" w:color="auto" w:fill="auto"/>
            <w:noWrap/>
            <w:vAlign w:val="bottom"/>
            <w:hideMark/>
          </w:tcPr>
          <w:p w14:paraId="4F3DE856"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c>
          <w:tcPr>
            <w:tcW w:w="1843" w:type="dxa"/>
            <w:tcBorders>
              <w:top w:val="nil"/>
              <w:left w:val="nil"/>
              <w:bottom w:val="nil"/>
              <w:right w:val="single" w:sz="4" w:space="0" w:color="auto"/>
            </w:tcBorders>
            <w:shd w:val="clear" w:color="auto" w:fill="auto"/>
            <w:noWrap/>
            <w:vAlign w:val="bottom"/>
            <w:hideMark/>
          </w:tcPr>
          <w:p w14:paraId="1506FECA"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c>
          <w:tcPr>
            <w:tcW w:w="1984" w:type="dxa"/>
            <w:tcBorders>
              <w:top w:val="nil"/>
              <w:left w:val="nil"/>
              <w:bottom w:val="nil"/>
              <w:right w:val="single" w:sz="4" w:space="0" w:color="auto"/>
            </w:tcBorders>
            <w:shd w:val="clear" w:color="auto" w:fill="auto"/>
            <w:noWrap/>
            <w:vAlign w:val="bottom"/>
            <w:hideMark/>
          </w:tcPr>
          <w:p w14:paraId="4869532A"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c>
          <w:tcPr>
            <w:tcW w:w="1843" w:type="dxa"/>
            <w:tcBorders>
              <w:top w:val="nil"/>
              <w:left w:val="nil"/>
              <w:bottom w:val="nil"/>
              <w:right w:val="single" w:sz="8" w:space="0" w:color="auto"/>
            </w:tcBorders>
            <w:shd w:val="clear" w:color="auto" w:fill="auto"/>
            <w:noWrap/>
            <w:vAlign w:val="bottom"/>
            <w:hideMark/>
          </w:tcPr>
          <w:p w14:paraId="0BA84C8D" w14:textId="77777777" w:rsidR="00B2594A" w:rsidRPr="0098635C" w:rsidRDefault="00B2594A" w:rsidP="00B21670">
            <w:pPr>
              <w:widowControl/>
              <w:autoSpaceDE/>
              <w:autoSpaceDN/>
              <w:adjustRightInd/>
              <w:spacing w:after="0"/>
              <w:jc w:val="center"/>
              <w:rPr>
                <w:color w:val="000000" w:themeColor="text1"/>
                <w:sz w:val="20"/>
                <w:szCs w:val="20"/>
                <w:lang w:eastAsia="en-GB"/>
              </w:rPr>
            </w:pPr>
          </w:p>
        </w:tc>
      </w:tr>
      <w:tr w:rsidR="00D865E0" w:rsidRPr="0098635C" w14:paraId="0E183000" w14:textId="77777777" w:rsidTr="00D865E0">
        <w:trPr>
          <w:trHeight w:val="315"/>
        </w:trPr>
        <w:tc>
          <w:tcPr>
            <w:tcW w:w="2410" w:type="dxa"/>
            <w:tcBorders>
              <w:top w:val="nil"/>
              <w:left w:val="single" w:sz="8" w:space="0" w:color="auto"/>
              <w:bottom w:val="nil"/>
              <w:right w:val="single" w:sz="4" w:space="0" w:color="auto"/>
            </w:tcBorders>
            <w:shd w:val="clear" w:color="auto" w:fill="auto"/>
            <w:noWrap/>
            <w:vAlign w:val="bottom"/>
            <w:hideMark/>
          </w:tcPr>
          <w:p w14:paraId="16743CD9" w14:textId="77777777" w:rsidR="00B2594A" w:rsidRPr="0098635C" w:rsidRDefault="00B2594A" w:rsidP="00B21670">
            <w:pPr>
              <w:widowControl/>
              <w:autoSpaceDE/>
              <w:autoSpaceDN/>
              <w:adjustRightInd/>
              <w:spacing w:after="0"/>
              <w:jc w:val="center"/>
              <w:rPr>
                <w:i/>
                <w:iCs/>
                <w:color w:val="000000" w:themeColor="text1"/>
                <w:sz w:val="20"/>
                <w:szCs w:val="20"/>
                <w:lang w:eastAsia="en-GB"/>
              </w:rPr>
            </w:pPr>
            <w:r w:rsidRPr="0098635C">
              <w:rPr>
                <w:i/>
                <w:iCs/>
                <w:color w:val="000000" w:themeColor="text1"/>
                <w:sz w:val="20"/>
                <w:szCs w:val="20"/>
                <w:lang w:eastAsia="en-GB"/>
              </w:rPr>
              <w:lastRenderedPageBreak/>
              <w:t xml:space="preserve">Growth </w:t>
            </w:r>
          </w:p>
        </w:tc>
        <w:tc>
          <w:tcPr>
            <w:tcW w:w="1843" w:type="dxa"/>
            <w:tcBorders>
              <w:top w:val="nil"/>
              <w:left w:val="nil"/>
              <w:bottom w:val="nil"/>
              <w:right w:val="single" w:sz="4" w:space="0" w:color="auto"/>
            </w:tcBorders>
            <w:shd w:val="clear" w:color="auto" w:fill="auto"/>
            <w:noWrap/>
            <w:vAlign w:val="bottom"/>
            <w:hideMark/>
          </w:tcPr>
          <w:p w14:paraId="044F214F"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67.6 (53-95, n=3)</w:t>
            </w:r>
          </w:p>
        </w:tc>
        <w:tc>
          <w:tcPr>
            <w:tcW w:w="1843" w:type="dxa"/>
            <w:tcBorders>
              <w:top w:val="nil"/>
              <w:left w:val="nil"/>
              <w:bottom w:val="nil"/>
              <w:right w:val="single" w:sz="4" w:space="0" w:color="auto"/>
            </w:tcBorders>
            <w:shd w:val="clear" w:color="auto" w:fill="auto"/>
            <w:noWrap/>
            <w:vAlign w:val="bottom"/>
            <w:hideMark/>
          </w:tcPr>
          <w:p w14:paraId="6ABD8A52"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104 (65-164, n=2)</w:t>
            </w:r>
          </w:p>
        </w:tc>
        <w:tc>
          <w:tcPr>
            <w:tcW w:w="1984" w:type="dxa"/>
            <w:tcBorders>
              <w:top w:val="nil"/>
              <w:left w:val="nil"/>
              <w:bottom w:val="nil"/>
              <w:right w:val="single" w:sz="4" w:space="0" w:color="auto"/>
            </w:tcBorders>
            <w:shd w:val="clear" w:color="auto" w:fill="auto"/>
            <w:noWrap/>
            <w:vAlign w:val="bottom"/>
            <w:hideMark/>
          </w:tcPr>
          <w:p w14:paraId="04705597"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28.5 (15.7-56.4, n=6)</w:t>
            </w:r>
          </w:p>
        </w:tc>
        <w:tc>
          <w:tcPr>
            <w:tcW w:w="1843" w:type="dxa"/>
            <w:tcBorders>
              <w:top w:val="nil"/>
              <w:left w:val="nil"/>
              <w:bottom w:val="nil"/>
              <w:right w:val="single" w:sz="8" w:space="0" w:color="auto"/>
            </w:tcBorders>
            <w:shd w:val="clear" w:color="auto" w:fill="auto"/>
            <w:noWrap/>
            <w:vAlign w:val="bottom"/>
            <w:hideMark/>
          </w:tcPr>
          <w:p w14:paraId="6490479D"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45.6 (15.7-164, n=11)</w:t>
            </w:r>
          </w:p>
        </w:tc>
      </w:tr>
      <w:tr w:rsidR="00D865E0" w:rsidRPr="0098635C" w14:paraId="6CAA999D" w14:textId="77777777" w:rsidTr="00D865E0">
        <w:trPr>
          <w:trHeight w:val="315"/>
        </w:trPr>
        <w:tc>
          <w:tcPr>
            <w:tcW w:w="2410" w:type="dxa"/>
            <w:tcBorders>
              <w:top w:val="nil"/>
              <w:left w:val="single" w:sz="8" w:space="0" w:color="auto"/>
              <w:bottom w:val="single" w:sz="8" w:space="0" w:color="auto"/>
              <w:right w:val="single" w:sz="4" w:space="0" w:color="auto"/>
            </w:tcBorders>
            <w:shd w:val="clear" w:color="auto" w:fill="auto"/>
            <w:noWrap/>
            <w:vAlign w:val="bottom"/>
            <w:hideMark/>
          </w:tcPr>
          <w:p w14:paraId="50F61AEF" w14:textId="77777777" w:rsidR="00B2594A" w:rsidRPr="0098635C" w:rsidRDefault="00B2594A" w:rsidP="00B21670">
            <w:pPr>
              <w:widowControl/>
              <w:autoSpaceDE/>
              <w:autoSpaceDN/>
              <w:adjustRightInd/>
              <w:spacing w:after="0"/>
              <w:jc w:val="center"/>
              <w:rPr>
                <w:i/>
                <w:iCs/>
                <w:color w:val="000000" w:themeColor="text1"/>
                <w:sz w:val="20"/>
                <w:szCs w:val="20"/>
                <w:lang w:eastAsia="en-GB"/>
              </w:rPr>
            </w:pPr>
            <w:r w:rsidRPr="0098635C">
              <w:rPr>
                <w:i/>
                <w:iCs/>
                <w:color w:val="000000" w:themeColor="text1"/>
                <w:sz w:val="20"/>
                <w:szCs w:val="20"/>
                <w:lang w:eastAsia="en-GB"/>
              </w:rPr>
              <w:t>Growth  BLM development</w:t>
            </w:r>
          </w:p>
        </w:tc>
        <w:tc>
          <w:tcPr>
            <w:tcW w:w="1843" w:type="dxa"/>
            <w:tcBorders>
              <w:top w:val="nil"/>
              <w:left w:val="nil"/>
              <w:bottom w:val="single" w:sz="8" w:space="0" w:color="auto"/>
              <w:right w:val="single" w:sz="4" w:space="0" w:color="auto"/>
            </w:tcBorders>
            <w:shd w:val="clear" w:color="auto" w:fill="auto"/>
            <w:noWrap/>
            <w:vAlign w:val="bottom"/>
            <w:hideMark/>
          </w:tcPr>
          <w:p w14:paraId="0C741FBD"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128.2 (49-337, n=9)</w:t>
            </w:r>
          </w:p>
        </w:tc>
        <w:tc>
          <w:tcPr>
            <w:tcW w:w="1843" w:type="dxa"/>
            <w:tcBorders>
              <w:top w:val="nil"/>
              <w:left w:val="nil"/>
              <w:bottom w:val="single" w:sz="8" w:space="0" w:color="auto"/>
              <w:right w:val="single" w:sz="4" w:space="0" w:color="auto"/>
            </w:tcBorders>
            <w:shd w:val="clear" w:color="auto" w:fill="auto"/>
            <w:noWrap/>
            <w:vAlign w:val="bottom"/>
            <w:hideMark/>
          </w:tcPr>
          <w:p w14:paraId="5DF25220"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56.1 (17-203, n=15)</w:t>
            </w:r>
          </w:p>
        </w:tc>
        <w:tc>
          <w:tcPr>
            <w:tcW w:w="1984" w:type="dxa"/>
            <w:tcBorders>
              <w:top w:val="nil"/>
              <w:left w:val="nil"/>
              <w:bottom w:val="single" w:sz="8" w:space="0" w:color="auto"/>
              <w:right w:val="single" w:sz="4" w:space="0" w:color="auto"/>
            </w:tcBorders>
            <w:shd w:val="clear" w:color="auto" w:fill="auto"/>
            <w:noWrap/>
            <w:vAlign w:val="bottom"/>
            <w:hideMark/>
          </w:tcPr>
          <w:p w14:paraId="344585DE"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61.3 (25-171, n=11)</w:t>
            </w:r>
          </w:p>
        </w:tc>
        <w:tc>
          <w:tcPr>
            <w:tcW w:w="1843" w:type="dxa"/>
            <w:tcBorders>
              <w:top w:val="nil"/>
              <w:left w:val="single" w:sz="4" w:space="0" w:color="auto"/>
              <w:bottom w:val="single" w:sz="8" w:space="0" w:color="auto"/>
              <w:right w:val="single" w:sz="8" w:space="0" w:color="auto"/>
            </w:tcBorders>
            <w:shd w:val="clear" w:color="auto" w:fill="auto"/>
            <w:noWrap/>
            <w:vAlign w:val="bottom"/>
            <w:hideMark/>
          </w:tcPr>
          <w:p w14:paraId="6A2D733B" w14:textId="77777777" w:rsidR="00B2594A" w:rsidRPr="0098635C" w:rsidRDefault="00B2594A" w:rsidP="00B2167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71.8 (17-337, n=35)</w:t>
            </w:r>
          </w:p>
        </w:tc>
      </w:tr>
    </w:tbl>
    <w:p w14:paraId="67D40D8D" w14:textId="77777777" w:rsidR="00B2594A" w:rsidRPr="0098635C" w:rsidRDefault="00B2594A" w:rsidP="00B2594A">
      <w:pPr>
        <w:pStyle w:val="ListParagraph"/>
        <w:spacing w:after="0"/>
        <w:ind w:left="0" w:right="-567"/>
        <w:rPr>
          <w:color w:val="000000" w:themeColor="text1"/>
          <w:sz w:val="20"/>
          <w:szCs w:val="20"/>
        </w:rPr>
      </w:pPr>
    </w:p>
    <w:p w14:paraId="4564AB22" w14:textId="77777777" w:rsidR="00370F46" w:rsidRPr="0098635C" w:rsidRDefault="00370F46" w:rsidP="00A81F21">
      <w:pPr>
        <w:spacing w:after="0"/>
        <w:rPr>
          <w:color w:val="000000" w:themeColor="text1"/>
          <w:sz w:val="20"/>
          <w:szCs w:val="20"/>
          <w:highlight w:val="yellow"/>
        </w:rPr>
      </w:pPr>
    </w:p>
    <w:p w14:paraId="01551824" w14:textId="77777777" w:rsidR="00B1362D" w:rsidRPr="0098635C" w:rsidRDefault="00B1362D" w:rsidP="0053571F">
      <w:pPr>
        <w:pStyle w:val="BodyText"/>
        <w:rPr>
          <w:b/>
          <w:color w:val="000000" w:themeColor="text1"/>
          <w:sz w:val="20"/>
        </w:rPr>
      </w:pPr>
      <w:bookmarkStart w:id="1989" w:name="_Ref387240768"/>
    </w:p>
    <w:p w14:paraId="35600D5B" w14:textId="51FD4F81" w:rsidR="00E73525" w:rsidRPr="0098635C" w:rsidRDefault="008D2C86">
      <w:pPr>
        <w:pStyle w:val="BodyText"/>
        <w:rPr>
          <w:b/>
          <w:i/>
          <w:color w:val="000000" w:themeColor="text1"/>
          <w:sz w:val="20"/>
        </w:rPr>
      </w:pPr>
      <w:bookmarkStart w:id="1990" w:name="_Ref472083587"/>
      <w:bookmarkEnd w:id="1989"/>
      <w:r w:rsidRPr="0098635C">
        <w:rPr>
          <w:b/>
          <w:color w:val="000000" w:themeColor="text1"/>
          <w:sz w:val="20"/>
        </w:rPr>
        <w:t xml:space="preserve">Table </w:t>
      </w:r>
      <w:r w:rsidRPr="0098635C">
        <w:rPr>
          <w:b/>
          <w:color w:val="000000" w:themeColor="text1"/>
          <w:sz w:val="20"/>
        </w:rPr>
        <w:fldChar w:fldCharType="begin"/>
      </w:r>
      <w:r w:rsidRPr="0098635C">
        <w:rPr>
          <w:b/>
          <w:color w:val="000000" w:themeColor="text1"/>
          <w:sz w:val="20"/>
        </w:rPr>
        <w:instrText xml:space="preserve"> SEQ Table \* ARABIC </w:instrText>
      </w:r>
      <w:r w:rsidRPr="0098635C">
        <w:rPr>
          <w:b/>
          <w:color w:val="000000" w:themeColor="text1"/>
          <w:sz w:val="20"/>
        </w:rPr>
        <w:fldChar w:fldCharType="separate"/>
      </w:r>
      <w:r w:rsidR="005E5161" w:rsidRPr="0098635C">
        <w:rPr>
          <w:b/>
          <w:noProof/>
          <w:color w:val="000000" w:themeColor="text1"/>
          <w:sz w:val="20"/>
        </w:rPr>
        <w:t>29</w:t>
      </w:r>
      <w:r w:rsidRPr="0098635C">
        <w:rPr>
          <w:b/>
          <w:color w:val="000000" w:themeColor="text1"/>
          <w:sz w:val="20"/>
        </w:rPr>
        <w:fldChar w:fldCharType="end"/>
      </w:r>
      <w:bookmarkEnd w:id="1990"/>
      <w:r w:rsidRPr="0098635C">
        <w:rPr>
          <w:b/>
          <w:color w:val="000000" w:themeColor="text1"/>
          <w:sz w:val="20"/>
        </w:rPr>
        <w:t xml:space="preserve"> : Chronic hazard identification of Cu materials considering results from molecular weight translation or transformation/dissolution tests (from</w:t>
      </w:r>
      <w:r w:rsidR="00B1362D" w:rsidRPr="0098635C">
        <w:rPr>
          <w:b/>
          <w:color w:val="000000" w:themeColor="text1"/>
          <w:sz w:val="20"/>
        </w:rPr>
        <w:t xml:space="preserve"> </w:t>
      </w:r>
      <w:r w:rsidR="00B1362D" w:rsidRPr="0098635C">
        <w:rPr>
          <w:b/>
          <w:color w:val="000000" w:themeColor="text1"/>
          <w:sz w:val="20"/>
        </w:rPr>
        <w:fldChar w:fldCharType="begin"/>
      </w:r>
      <w:r w:rsidR="00B1362D" w:rsidRPr="0098635C">
        <w:rPr>
          <w:b/>
          <w:color w:val="000000" w:themeColor="text1"/>
          <w:sz w:val="20"/>
        </w:rPr>
        <w:instrText xml:space="preserve"> REF _Ref472069721 \h </w:instrText>
      </w:r>
      <w:r w:rsidR="00B1362D" w:rsidRPr="0098635C">
        <w:rPr>
          <w:b/>
          <w:color w:val="000000" w:themeColor="text1"/>
          <w:sz w:val="20"/>
        </w:rPr>
      </w:r>
      <w:r w:rsidR="0098635C">
        <w:rPr>
          <w:b/>
          <w:color w:val="000000" w:themeColor="text1"/>
          <w:sz w:val="20"/>
        </w:rPr>
        <w:instrText xml:space="preserve"> \* MERGEFORMAT </w:instrText>
      </w:r>
      <w:r w:rsidR="00B1362D" w:rsidRPr="0098635C">
        <w:rPr>
          <w:b/>
          <w:color w:val="000000" w:themeColor="text1"/>
          <w:sz w:val="20"/>
        </w:rPr>
        <w:fldChar w:fldCharType="separate"/>
      </w:r>
      <w:r w:rsidR="005E5161" w:rsidRPr="0098635C">
        <w:rPr>
          <w:b/>
          <w:color w:val="000000" w:themeColor="text1"/>
          <w:sz w:val="20"/>
        </w:rPr>
        <w:t xml:space="preserve">Table </w:t>
      </w:r>
      <w:r w:rsidR="005E5161" w:rsidRPr="0098635C">
        <w:rPr>
          <w:b/>
          <w:noProof/>
          <w:color w:val="000000" w:themeColor="text1"/>
          <w:sz w:val="20"/>
        </w:rPr>
        <w:t>3</w:t>
      </w:r>
      <w:r w:rsidR="00B1362D" w:rsidRPr="0098635C">
        <w:rPr>
          <w:b/>
          <w:color w:val="000000" w:themeColor="text1"/>
          <w:sz w:val="20"/>
        </w:rPr>
        <w:fldChar w:fldCharType="end"/>
      </w:r>
      <w:r w:rsidR="00B1362D" w:rsidRPr="0098635C">
        <w:rPr>
          <w:b/>
          <w:color w:val="000000" w:themeColor="text1"/>
          <w:sz w:val="20"/>
        </w:rPr>
        <w:t xml:space="preserve">) and chronic ecotoxicity reference values (from </w:t>
      </w:r>
      <w:r w:rsidR="00B1362D" w:rsidRPr="0098635C">
        <w:rPr>
          <w:b/>
          <w:color w:val="000000" w:themeColor="text1"/>
          <w:sz w:val="20"/>
        </w:rPr>
        <w:fldChar w:fldCharType="begin"/>
      </w:r>
      <w:r w:rsidR="00B1362D" w:rsidRPr="0098635C">
        <w:rPr>
          <w:b/>
          <w:color w:val="000000" w:themeColor="text1"/>
          <w:sz w:val="20"/>
        </w:rPr>
        <w:instrText xml:space="preserve"> REF _Ref387240437 \h  \* MERGEFORMAT </w:instrText>
      </w:r>
      <w:r w:rsidR="00B1362D" w:rsidRPr="0098635C">
        <w:rPr>
          <w:b/>
          <w:color w:val="000000" w:themeColor="text1"/>
          <w:sz w:val="20"/>
        </w:rPr>
      </w:r>
      <w:r w:rsidR="00B1362D" w:rsidRPr="0098635C">
        <w:rPr>
          <w:b/>
          <w:color w:val="000000" w:themeColor="text1"/>
          <w:sz w:val="20"/>
        </w:rPr>
        <w:fldChar w:fldCharType="separate"/>
      </w:r>
      <w:r w:rsidR="005E5161" w:rsidRPr="0098635C">
        <w:rPr>
          <w:b/>
          <w:color w:val="000000" w:themeColor="text1"/>
          <w:sz w:val="20"/>
        </w:rPr>
        <w:t xml:space="preserve">Table </w:t>
      </w:r>
      <w:r w:rsidR="005E5161" w:rsidRPr="0098635C">
        <w:rPr>
          <w:b/>
          <w:noProof/>
          <w:color w:val="000000" w:themeColor="text1"/>
          <w:sz w:val="20"/>
        </w:rPr>
        <w:t>28</w:t>
      </w:r>
      <w:r w:rsidR="00B1362D" w:rsidRPr="0098635C">
        <w:rPr>
          <w:b/>
          <w:color w:val="000000" w:themeColor="text1"/>
          <w:sz w:val="20"/>
        </w:rPr>
        <w:fldChar w:fldCharType="end"/>
      </w:r>
      <w:r w:rsidR="00B1362D" w:rsidRPr="0098635C">
        <w:rPr>
          <w:b/>
          <w:color w:val="000000" w:themeColor="text1"/>
          <w:sz w:val="20"/>
        </w:rPr>
        <w:t>) at various pH.</w:t>
      </w:r>
      <w:r w:rsidRPr="0098635C">
        <w:rPr>
          <w:b/>
          <w:color w:val="000000" w:themeColor="text1"/>
          <w:sz w:val="20"/>
        </w:rPr>
        <w:t xml:space="preserve"> </w:t>
      </w:r>
    </w:p>
    <w:tbl>
      <w:tblPr>
        <w:tblW w:w="9913" w:type="dxa"/>
        <w:tblLayout w:type="fixed"/>
        <w:tblLook w:val="04A0" w:firstRow="1" w:lastRow="0" w:firstColumn="1" w:lastColumn="0" w:noHBand="0" w:noVBand="1"/>
      </w:tblPr>
      <w:tblGrid>
        <w:gridCol w:w="2580"/>
        <w:gridCol w:w="960"/>
        <w:gridCol w:w="2829"/>
        <w:gridCol w:w="992"/>
        <w:gridCol w:w="2552"/>
      </w:tblGrid>
      <w:tr w:rsidR="00326669" w:rsidRPr="0098635C" w14:paraId="194D0758" w14:textId="77777777" w:rsidTr="00326669">
        <w:trPr>
          <w:trHeight w:val="765"/>
        </w:trPr>
        <w:tc>
          <w:tcPr>
            <w:tcW w:w="2580" w:type="dxa"/>
            <w:tcBorders>
              <w:top w:val="single" w:sz="8" w:space="0" w:color="auto"/>
              <w:left w:val="single" w:sz="8" w:space="0" w:color="auto"/>
              <w:bottom w:val="nil"/>
              <w:right w:val="single" w:sz="8" w:space="0" w:color="auto"/>
            </w:tcBorders>
            <w:shd w:val="clear" w:color="auto" w:fill="auto"/>
            <w:noWrap/>
            <w:vAlign w:val="center"/>
            <w:hideMark/>
          </w:tcPr>
          <w:p w14:paraId="753ABDFA" w14:textId="77777777" w:rsidR="00CA758C" w:rsidRPr="0098635C" w:rsidRDefault="00CA758C" w:rsidP="00CA758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9970319" w14:textId="77777777" w:rsidR="00CA758C" w:rsidRPr="0098635C" w:rsidRDefault="00CA758C" w:rsidP="00CA758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Molecular weight</w:t>
            </w:r>
          </w:p>
        </w:tc>
        <w:tc>
          <w:tcPr>
            <w:tcW w:w="2829" w:type="dxa"/>
            <w:tcBorders>
              <w:top w:val="single" w:sz="8" w:space="0" w:color="auto"/>
              <w:left w:val="nil"/>
              <w:bottom w:val="nil"/>
              <w:right w:val="single" w:sz="8" w:space="0" w:color="auto"/>
            </w:tcBorders>
            <w:shd w:val="clear" w:color="auto" w:fill="auto"/>
            <w:vAlign w:val="center"/>
            <w:hideMark/>
          </w:tcPr>
          <w:p w14:paraId="615EC9D8" w14:textId="77777777" w:rsidR="00CA758C" w:rsidRPr="0098635C" w:rsidRDefault="00CA758C" w:rsidP="00CA758C">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Chronic ERV* at different pHs between 5.5 and 8.5</w:t>
            </w:r>
          </w:p>
        </w:tc>
        <w:tc>
          <w:tcPr>
            <w:tcW w:w="3544" w:type="dxa"/>
            <w:gridSpan w:val="2"/>
            <w:tcBorders>
              <w:top w:val="single" w:sz="8" w:space="0" w:color="auto"/>
              <w:left w:val="nil"/>
              <w:bottom w:val="nil"/>
              <w:right w:val="single" w:sz="8" w:space="0" w:color="000000"/>
            </w:tcBorders>
            <w:shd w:val="clear" w:color="000000" w:fill="FFFFFF"/>
            <w:vAlign w:val="center"/>
            <w:hideMark/>
          </w:tcPr>
          <w:p w14:paraId="0C7255AA" w14:textId="77777777" w:rsidR="00CA758C" w:rsidRPr="0098635C" w:rsidRDefault="00CA758C" w:rsidP="00CA758C">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 xml:space="preserve">Solubility or 28 days transformation/dissolution (TD)  </w:t>
            </w:r>
          </w:p>
        </w:tc>
      </w:tr>
      <w:tr w:rsidR="00326669" w:rsidRPr="0098635C" w14:paraId="39A11E0C" w14:textId="77777777" w:rsidTr="00326669">
        <w:trPr>
          <w:trHeight w:val="315"/>
        </w:trPr>
        <w:tc>
          <w:tcPr>
            <w:tcW w:w="2580" w:type="dxa"/>
            <w:tcBorders>
              <w:top w:val="nil"/>
              <w:left w:val="single" w:sz="8" w:space="0" w:color="auto"/>
              <w:bottom w:val="nil"/>
              <w:right w:val="single" w:sz="8" w:space="0" w:color="auto"/>
            </w:tcBorders>
            <w:shd w:val="clear" w:color="auto" w:fill="auto"/>
            <w:noWrap/>
            <w:vAlign w:val="center"/>
            <w:hideMark/>
          </w:tcPr>
          <w:p w14:paraId="3B1F715E" w14:textId="77777777" w:rsidR="00CA758C" w:rsidRPr="0098635C" w:rsidRDefault="00CA758C" w:rsidP="00CA758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Material</w:t>
            </w: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404CF80B" w14:textId="77777777" w:rsidR="00CA758C" w:rsidRPr="0098635C" w:rsidRDefault="00CA758C" w:rsidP="00CA758C">
            <w:pPr>
              <w:widowControl/>
              <w:autoSpaceDE/>
              <w:autoSpaceDN/>
              <w:adjustRightInd/>
              <w:spacing w:after="0"/>
              <w:jc w:val="left"/>
              <w:rPr>
                <w:color w:val="000000" w:themeColor="text1"/>
                <w:sz w:val="20"/>
                <w:szCs w:val="20"/>
                <w:lang w:eastAsia="en-GB"/>
              </w:rPr>
            </w:pPr>
          </w:p>
        </w:tc>
        <w:tc>
          <w:tcPr>
            <w:tcW w:w="2829" w:type="dxa"/>
            <w:tcBorders>
              <w:top w:val="nil"/>
              <w:left w:val="nil"/>
              <w:bottom w:val="nil"/>
              <w:right w:val="single" w:sz="8" w:space="0" w:color="auto"/>
            </w:tcBorders>
            <w:shd w:val="clear" w:color="auto" w:fill="auto"/>
            <w:noWrap/>
            <w:vAlign w:val="center"/>
            <w:hideMark/>
          </w:tcPr>
          <w:p w14:paraId="63D4901E" w14:textId="77777777" w:rsidR="00CA758C" w:rsidRPr="0098635C" w:rsidRDefault="00CA758C" w:rsidP="00CA758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NOEC/L(E0)C10</w:t>
            </w:r>
          </w:p>
        </w:tc>
        <w:tc>
          <w:tcPr>
            <w:tcW w:w="992" w:type="dxa"/>
            <w:tcBorders>
              <w:top w:val="nil"/>
              <w:left w:val="nil"/>
              <w:bottom w:val="nil"/>
              <w:right w:val="single" w:sz="8" w:space="0" w:color="auto"/>
            </w:tcBorders>
            <w:shd w:val="clear" w:color="auto" w:fill="auto"/>
            <w:vAlign w:val="center"/>
            <w:hideMark/>
          </w:tcPr>
          <w:p w14:paraId="6CA9ABBB" w14:textId="77777777" w:rsidR="00CA758C" w:rsidRPr="0098635C" w:rsidRDefault="00CA758C" w:rsidP="00CA758C">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Loading</w:t>
            </w:r>
          </w:p>
        </w:tc>
        <w:tc>
          <w:tcPr>
            <w:tcW w:w="2552" w:type="dxa"/>
            <w:tcBorders>
              <w:top w:val="nil"/>
              <w:left w:val="nil"/>
              <w:bottom w:val="nil"/>
              <w:right w:val="single" w:sz="8" w:space="0" w:color="auto"/>
            </w:tcBorders>
            <w:shd w:val="clear" w:color="auto" w:fill="auto"/>
            <w:noWrap/>
            <w:vAlign w:val="center"/>
            <w:hideMark/>
          </w:tcPr>
          <w:p w14:paraId="442E2729" w14:textId="77777777" w:rsidR="00CA758C" w:rsidRPr="0098635C" w:rsidRDefault="00CA758C" w:rsidP="00CA758C">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Result TD test</w:t>
            </w:r>
          </w:p>
        </w:tc>
      </w:tr>
      <w:tr w:rsidR="009003E0" w:rsidRPr="0098635C" w14:paraId="3FCC13B6" w14:textId="77777777" w:rsidTr="00440C2D">
        <w:trPr>
          <w:trHeight w:val="330"/>
        </w:trPr>
        <w:tc>
          <w:tcPr>
            <w:tcW w:w="2580" w:type="dxa"/>
            <w:tcBorders>
              <w:top w:val="nil"/>
              <w:left w:val="single" w:sz="8" w:space="0" w:color="auto"/>
              <w:bottom w:val="single" w:sz="8" w:space="0" w:color="auto"/>
              <w:right w:val="single" w:sz="8" w:space="0" w:color="auto"/>
            </w:tcBorders>
            <w:shd w:val="clear" w:color="auto" w:fill="auto"/>
            <w:noWrap/>
            <w:vAlign w:val="center"/>
            <w:hideMark/>
          </w:tcPr>
          <w:p w14:paraId="750A7724" w14:textId="77777777" w:rsidR="00CA758C" w:rsidRPr="0098635C" w:rsidRDefault="00CA758C" w:rsidP="00CA758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w:t>
            </w: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2D89968B" w14:textId="77777777" w:rsidR="00CA758C" w:rsidRPr="0098635C" w:rsidRDefault="00CA758C" w:rsidP="00CA758C">
            <w:pPr>
              <w:widowControl/>
              <w:autoSpaceDE/>
              <w:autoSpaceDN/>
              <w:adjustRightInd/>
              <w:spacing w:after="0"/>
              <w:jc w:val="left"/>
              <w:rPr>
                <w:color w:val="000000" w:themeColor="text1"/>
                <w:sz w:val="20"/>
                <w:szCs w:val="20"/>
                <w:lang w:eastAsia="en-GB"/>
              </w:rPr>
            </w:pPr>
          </w:p>
        </w:tc>
        <w:tc>
          <w:tcPr>
            <w:tcW w:w="2829" w:type="dxa"/>
            <w:tcBorders>
              <w:top w:val="nil"/>
              <w:left w:val="nil"/>
              <w:bottom w:val="single" w:sz="8" w:space="0" w:color="auto"/>
              <w:right w:val="single" w:sz="8" w:space="0" w:color="auto"/>
            </w:tcBorders>
            <w:shd w:val="clear" w:color="auto" w:fill="auto"/>
            <w:vAlign w:val="center"/>
            <w:hideMark/>
          </w:tcPr>
          <w:p w14:paraId="12610CB8" w14:textId="2177F41E" w:rsidR="00CA758C" w:rsidRPr="0098635C" w:rsidRDefault="00CA758C">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µg/L</w:t>
            </w:r>
          </w:p>
        </w:tc>
        <w:tc>
          <w:tcPr>
            <w:tcW w:w="992" w:type="dxa"/>
            <w:tcBorders>
              <w:top w:val="nil"/>
              <w:left w:val="nil"/>
              <w:bottom w:val="single" w:sz="8" w:space="0" w:color="auto"/>
              <w:right w:val="single" w:sz="8" w:space="0" w:color="auto"/>
            </w:tcBorders>
            <w:shd w:val="clear" w:color="auto" w:fill="auto"/>
            <w:vAlign w:val="center"/>
            <w:hideMark/>
          </w:tcPr>
          <w:p w14:paraId="3031A77E" w14:textId="4F12B49C" w:rsidR="00CA758C" w:rsidRPr="0098635C" w:rsidRDefault="00CA758C" w:rsidP="00CA758C">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mg Cu/l</w:t>
            </w:r>
          </w:p>
        </w:tc>
        <w:tc>
          <w:tcPr>
            <w:tcW w:w="2552" w:type="dxa"/>
            <w:tcBorders>
              <w:top w:val="nil"/>
              <w:left w:val="nil"/>
              <w:bottom w:val="single" w:sz="8" w:space="0" w:color="auto"/>
              <w:right w:val="single" w:sz="8" w:space="0" w:color="auto"/>
            </w:tcBorders>
            <w:shd w:val="clear" w:color="auto" w:fill="auto"/>
            <w:vAlign w:val="center"/>
            <w:hideMark/>
          </w:tcPr>
          <w:p w14:paraId="7BF34C89" w14:textId="77777777" w:rsidR="00CA758C" w:rsidRPr="0098635C" w:rsidRDefault="00CA758C" w:rsidP="00CA758C">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µg dissolved Cu/l</w:t>
            </w:r>
          </w:p>
        </w:tc>
      </w:tr>
      <w:tr w:rsidR="00326669" w:rsidRPr="0098635C" w14:paraId="32951691" w14:textId="77777777" w:rsidTr="00326669">
        <w:trPr>
          <w:trHeight w:val="315"/>
        </w:trPr>
        <w:tc>
          <w:tcPr>
            <w:tcW w:w="2580" w:type="dxa"/>
            <w:tcBorders>
              <w:top w:val="nil"/>
              <w:left w:val="single" w:sz="8" w:space="0" w:color="auto"/>
              <w:bottom w:val="single" w:sz="8" w:space="0" w:color="auto"/>
              <w:right w:val="single" w:sz="8" w:space="0" w:color="auto"/>
            </w:tcBorders>
            <w:shd w:val="clear" w:color="auto" w:fill="auto"/>
            <w:noWrap/>
            <w:vAlign w:val="center"/>
            <w:hideMark/>
          </w:tcPr>
          <w:p w14:paraId="131D1558" w14:textId="77777777" w:rsidR="00CA758C" w:rsidRPr="0098635C" w:rsidRDefault="00CA758C" w:rsidP="00CA758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CuSO</w:t>
            </w:r>
            <w:r w:rsidRPr="0098635C">
              <w:rPr>
                <w:color w:val="000000" w:themeColor="text1"/>
                <w:sz w:val="20"/>
                <w:szCs w:val="20"/>
                <w:vertAlign w:val="subscript"/>
                <w:lang w:eastAsia="en-GB"/>
              </w:rPr>
              <w:t>4</w:t>
            </w:r>
            <w:r w:rsidRPr="0098635C">
              <w:rPr>
                <w:color w:val="000000" w:themeColor="text1"/>
                <w:sz w:val="20"/>
                <w:szCs w:val="20"/>
                <w:lang w:eastAsia="en-GB"/>
              </w:rPr>
              <w:t>.5H</w:t>
            </w:r>
            <w:r w:rsidRPr="0098635C">
              <w:rPr>
                <w:color w:val="000000" w:themeColor="text1"/>
                <w:sz w:val="20"/>
                <w:szCs w:val="20"/>
                <w:vertAlign w:val="subscript"/>
                <w:lang w:eastAsia="en-GB"/>
              </w:rPr>
              <w:t>2</w:t>
            </w:r>
            <w:r w:rsidRPr="0098635C">
              <w:rPr>
                <w:color w:val="000000" w:themeColor="text1"/>
                <w:sz w:val="20"/>
                <w:szCs w:val="20"/>
                <w:lang w:eastAsia="en-GB"/>
              </w:rPr>
              <w:t>O</w:t>
            </w:r>
          </w:p>
        </w:tc>
        <w:tc>
          <w:tcPr>
            <w:tcW w:w="960" w:type="dxa"/>
            <w:tcBorders>
              <w:top w:val="nil"/>
              <w:left w:val="nil"/>
              <w:bottom w:val="single" w:sz="8" w:space="0" w:color="auto"/>
              <w:right w:val="single" w:sz="8" w:space="0" w:color="auto"/>
            </w:tcBorders>
            <w:shd w:val="clear" w:color="auto" w:fill="auto"/>
            <w:noWrap/>
            <w:vAlign w:val="center"/>
            <w:hideMark/>
          </w:tcPr>
          <w:p w14:paraId="5DC89DD8" w14:textId="77777777" w:rsidR="00CA758C" w:rsidRPr="0098635C" w:rsidRDefault="00CA758C" w:rsidP="00CA758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249.7</w:t>
            </w:r>
          </w:p>
        </w:tc>
        <w:tc>
          <w:tcPr>
            <w:tcW w:w="2829" w:type="dxa"/>
            <w:tcBorders>
              <w:top w:val="nil"/>
              <w:left w:val="nil"/>
              <w:bottom w:val="single" w:sz="8" w:space="0" w:color="auto"/>
              <w:right w:val="single" w:sz="8" w:space="0" w:color="auto"/>
            </w:tcBorders>
            <w:shd w:val="clear" w:color="auto" w:fill="auto"/>
            <w:vAlign w:val="center"/>
            <w:hideMark/>
          </w:tcPr>
          <w:p w14:paraId="745C4F3E" w14:textId="77777777" w:rsidR="00CA758C" w:rsidRPr="0098635C" w:rsidRDefault="00CA758C" w:rsidP="00CA758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 79(pH6), 25(pH7), 45(pH8)</w:t>
            </w:r>
          </w:p>
        </w:tc>
        <w:tc>
          <w:tcPr>
            <w:tcW w:w="3544" w:type="dxa"/>
            <w:gridSpan w:val="2"/>
            <w:tcBorders>
              <w:top w:val="nil"/>
              <w:left w:val="nil"/>
              <w:bottom w:val="single" w:sz="8" w:space="0" w:color="auto"/>
              <w:right w:val="single" w:sz="8" w:space="0" w:color="000000"/>
            </w:tcBorders>
            <w:shd w:val="clear" w:color="000000" w:fill="FFFFFF"/>
            <w:vAlign w:val="center"/>
            <w:hideMark/>
          </w:tcPr>
          <w:p w14:paraId="1458ED52" w14:textId="77777777" w:rsidR="00CA758C" w:rsidRPr="0098635C" w:rsidRDefault="00CA758C" w:rsidP="00CA758C">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fully soluble</w:t>
            </w:r>
          </w:p>
        </w:tc>
      </w:tr>
      <w:tr w:rsidR="00326669" w:rsidRPr="0098635C" w14:paraId="358C8D96" w14:textId="77777777" w:rsidTr="00326669">
        <w:trPr>
          <w:trHeight w:val="300"/>
        </w:trPr>
        <w:tc>
          <w:tcPr>
            <w:tcW w:w="2580" w:type="dxa"/>
            <w:tcBorders>
              <w:top w:val="nil"/>
              <w:left w:val="single" w:sz="8" w:space="0" w:color="auto"/>
              <w:bottom w:val="nil"/>
              <w:right w:val="single" w:sz="8" w:space="0" w:color="auto"/>
            </w:tcBorders>
            <w:shd w:val="clear" w:color="auto" w:fill="auto"/>
            <w:noWrap/>
            <w:vAlign w:val="center"/>
            <w:hideMark/>
          </w:tcPr>
          <w:p w14:paraId="1C8F7FDC" w14:textId="77777777" w:rsidR="00CA758C" w:rsidRPr="0098635C" w:rsidRDefault="00CA758C" w:rsidP="00CA758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Cu</w:t>
            </w:r>
            <w:r w:rsidRPr="0098635C">
              <w:rPr>
                <w:color w:val="000000" w:themeColor="text1"/>
                <w:sz w:val="20"/>
                <w:szCs w:val="20"/>
                <w:vertAlign w:val="subscript"/>
                <w:lang w:eastAsia="en-GB"/>
              </w:rPr>
              <w:t>2</w:t>
            </w:r>
            <w:r w:rsidRPr="0098635C">
              <w:rPr>
                <w:color w:val="000000" w:themeColor="text1"/>
                <w:sz w:val="20"/>
                <w:szCs w:val="20"/>
                <w:lang w:eastAsia="en-GB"/>
              </w:rPr>
              <w:t>Cl(OH)</w:t>
            </w:r>
            <w:r w:rsidRPr="0098635C">
              <w:rPr>
                <w:color w:val="000000" w:themeColor="text1"/>
                <w:sz w:val="20"/>
                <w:szCs w:val="20"/>
                <w:vertAlign w:val="subscript"/>
                <w:lang w:eastAsia="en-GB"/>
              </w:rPr>
              <w:t>3</w:t>
            </w:r>
          </w:p>
        </w:tc>
        <w:tc>
          <w:tcPr>
            <w:tcW w:w="960" w:type="dxa"/>
            <w:tcBorders>
              <w:top w:val="nil"/>
              <w:left w:val="nil"/>
              <w:bottom w:val="nil"/>
              <w:right w:val="single" w:sz="8" w:space="0" w:color="auto"/>
            </w:tcBorders>
            <w:shd w:val="clear" w:color="auto" w:fill="auto"/>
            <w:noWrap/>
            <w:vAlign w:val="center"/>
            <w:hideMark/>
          </w:tcPr>
          <w:p w14:paraId="4828E3D4" w14:textId="77777777" w:rsidR="00CA758C" w:rsidRPr="0098635C" w:rsidRDefault="00CA758C" w:rsidP="00CA758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213.6</w:t>
            </w:r>
          </w:p>
        </w:tc>
        <w:tc>
          <w:tcPr>
            <w:tcW w:w="2829" w:type="dxa"/>
            <w:tcBorders>
              <w:top w:val="nil"/>
              <w:left w:val="nil"/>
              <w:bottom w:val="nil"/>
              <w:right w:val="single" w:sz="8" w:space="0" w:color="auto"/>
            </w:tcBorders>
            <w:shd w:val="clear" w:color="auto" w:fill="auto"/>
            <w:vAlign w:val="center"/>
            <w:hideMark/>
          </w:tcPr>
          <w:p w14:paraId="63B90BBD" w14:textId="77777777" w:rsidR="00CA758C" w:rsidRPr="0098635C" w:rsidRDefault="00CA758C" w:rsidP="00CA758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 34(pH6), 10(pH7), 21(pH8)</w:t>
            </w:r>
          </w:p>
        </w:tc>
        <w:tc>
          <w:tcPr>
            <w:tcW w:w="3544" w:type="dxa"/>
            <w:gridSpan w:val="2"/>
            <w:tcBorders>
              <w:top w:val="single" w:sz="8" w:space="0" w:color="auto"/>
              <w:left w:val="nil"/>
              <w:bottom w:val="nil"/>
              <w:right w:val="single" w:sz="8" w:space="0" w:color="000000"/>
            </w:tcBorders>
            <w:shd w:val="clear" w:color="000000" w:fill="FFFFFF"/>
            <w:vAlign w:val="center"/>
            <w:hideMark/>
          </w:tcPr>
          <w:p w14:paraId="4D0435B0" w14:textId="77777777" w:rsidR="00CA758C" w:rsidRPr="0098635C" w:rsidRDefault="00CA758C" w:rsidP="00CA758C">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fully soluble</w:t>
            </w:r>
          </w:p>
        </w:tc>
      </w:tr>
      <w:tr w:rsidR="00326669" w:rsidRPr="0098635C" w14:paraId="11195CC1" w14:textId="77777777" w:rsidTr="00326669">
        <w:trPr>
          <w:trHeight w:val="315"/>
        </w:trPr>
        <w:tc>
          <w:tcPr>
            <w:tcW w:w="25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C207580" w14:textId="77777777" w:rsidR="00CA758C" w:rsidRPr="0098635C" w:rsidRDefault="00CA758C" w:rsidP="00CA758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Cu</w:t>
            </w:r>
            <w:r w:rsidRPr="0098635C">
              <w:rPr>
                <w:color w:val="000000" w:themeColor="text1"/>
                <w:sz w:val="20"/>
                <w:szCs w:val="20"/>
                <w:vertAlign w:val="subscript"/>
                <w:lang w:eastAsia="en-GB"/>
              </w:rPr>
              <w:t>2</w:t>
            </w:r>
            <w:r w:rsidRPr="0098635C">
              <w:rPr>
                <w:color w:val="000000" w:themeColor="text1"/>
                <w:sz w:val="20"/>
                <w:szCs w:val="20"/>
                <w:lang w:eastAsia="en-GB"/>
              </w:rPr>
              <w:t xml:space="preserve">O </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3448B0AD" w14:textId="77777777" w:rsidR="00CA758C" w:rsidRPr="0098635C" w:rsidRDefault="00CA758C" w:rsidP="00CA758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143.09</w:t>
            </w:r>
          </w:p>
        </w:tc>
        <w:tc>
          <w:tcPr>
            <w:tcW w:w="2829" w:type="dxa"/>
            <w:tcBorders>
              <w:top w:val="single" w:sz="8" w:space="0" w:color="auto"/>
              <w:left w:val="nil"/>
              <w:bottom w:val="single" w:sz="8" w:space="0" w:color="auto"/>
              <w:right w:val="single" w:sz="8" w:space="0" w:color="auto"/>
            </w:tcBorders>
            <w:shd w:val="clear" w:color="auto" w:fill="auto"/>
            <w:vAlign w:val="center"/>
            <w:hideMark/>
          </w:tcPr>
          <w:p w14:paraId="63AEBC61" w14:textId="77777777" w:rsidR="00CA758C" w:rsidRPr="0098635C" w:rsidRDefault="00CA758C" w:rsidP="00CA758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 22(pH6), 7(pH7), 14(pH8)</w:t>
            </w:r>
          </w:p>
        </w:tc>
        <w:tc>
          <w:tcPr>
            <w:tcW w:w="3544" w:type="dxa"/>
            <w:gridSpan w:val="2"/>
            <w:tcBorders>
              <w:top w:val="single" w:sz="8" w:space="0" w:color="auto"/>
              <w:left w:val="nil"/>
              <w:bottom w:val="single" w:sz="8" w:space="0" w:color="auto"/>
              <w:right w:val="single" w:sz="8" w:space="0" w:color="000000"/>
            </w:tcBorders>
            <w:shd w:val="clear" w:color="000000" w:fill="FFFFFF"/>
            <w:vAlign w:val="center"/>
            <w:hideMark/>
          </w:tcPr>
          <w:p w14:paraId="417DC5C8" w14:textId="77777777" w:rsidR="00CA758C" w:rsidRPr="0098635C" w:rsidRDefault="00CA758C" w:rsidP="00CA758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w:t>
            </w:r>
          </w:p>
        </w:tc>
      </w:tr>
      <w:tr w:rsidR="009003E0" w:rsidRPr="0098635C" w14:paraId="74613586" w14:textId="77777777" w:rsidTr="00440C2D">
        <w:trPr>
          <w:trHeight w:val="525"/>
        </w:trPr>
        <w:tc>
          <w:tcPr>
            <w:tcW w:w="2580" w:type="dxa"/>
            <w:tcBorders>
              <w:top w:val="nil"/>
              <w:left w:val="single" w:sz="8" w:space="0" w:color="auto"/>
              <w:bottom w:val="single" w:sz="8" w:space="0" w:color="auto"/>
              <w:right w:val="single" w:sz="8" w:space="0" w:color="auto"/>
            </w:tcBorders>
            <w:shd w:val="clear" w:color="auto" w:fill="auto"/>
            <w:noWrap/>
            <w:vAlign w:val="center"/>
            <w:hideMark/>
          </w:tcPr>
          <w:p w14:paraId="15081C73" w14:textId="77777777" w:rsidR="00CA758C" w:rsidRPr="0098635C" w:rsidRDefault="00CA758C" w:rsidP="00CA758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CuO</w:t>
            </w:r>
          </w:p>
        </w:tc>
        <w:tc>
          <w:tcPr>
            <w:tcW w:w="960" w:type="dxa"/>
            <w:tcBorders>
              <w:top w:val="nil"/>
              <w:left w:val="nil"/>
              <w:bottom w:val="single" w:sz="8" w:space="0" w:color="auto"/>
              <w:right w:val="single" w:sz="8" w:space="0" w:color="auto"/>
            </w:tcBorders>
            <w:shd w:val="clear" w:color="auto" w:fill="auto"/>
            <w:noWrap/>
            <w:vAlign w:val="center"/>
            <w:hideMark/>
          </w:tcPr>
          <w:p w14:paraId="7338346D" w14:textId="77777777" w:rsidR="00CA758C" w:rsidRPr="0098635C" w:rsidRDefault="00CA758C" w:rsidP="00CA758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79.5</w:t>
            </w:r>
          </w:p>
        </w:tc>
        <w:tc>
          <w:tcPr>
            <w:tcW w:w="2829" w:type="dxa"/>
            <w:tcBorders>
              <w:top w:val="nil"/>
              <w:left w:val="nil"/>
              <w:bottom w:val="single" w:sz="8" w:space="0" w:color="auto"/>
              <w:right w:val="single" w:sz="8" w:space="0" w:color="auto"/>
            </w:tcBorders>
            <w:shd w:val="clear" w:color="auto" w:fill="auto"/>
            <w:vAlign w:val="center"/>
            <w:hideMark/>
          </w:tcPr>
          <w:p w14:paraId="4E4032D5" w14:textId="77777777" w:rsidR="00CA758C" w:rsidRPr="0098635C" w:rsidRDefault="00CA758C" w:rsidP="00CA758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20(pH6), 6(pH7), 11(pH8)</w:t>
            </w:r>
          </w:p>
        </w:tc>
        <w:tc>
          <w:tcPr>
            <w:tcW w:w="992" w:type="dxa"/>
            <w:tcBorders>
              <w:top w:val="nil"/>
              <w:left w:val="nil"/>
              <w:bottom w:val="single" w:sz="8" w:space="0" w:color="auto"/>
              <w:right w:val="single" w:sz="8" w:space="0" w:color="auto"/>
            </w:tcBorders>
            <w:shd w:val="clear" w:color="000000" w:fill="FFFFFF"/>
            <w:vAlign w:val="center"/>
            <w:hideMark/>
          </w:tcPr>
          <w:p w14:paraId="0FEAEB53" w14:textId="77777777" w:rsidR="00CA758C" w:rsidRPr="0098635C" w:rsidRDefault="00CA758C" w:rsidP="00CA758C">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1</w:t>
            </w:r>
          </w:p>
        </w:tc>
        <w:tc>
          <w:tcPr>
            <w:tcW w:w="2552" w:type="dxa"/>
            <w:tcBorders>
              <w:top w:val="nil"/>
              <w:left w:val="nil"/>
              <w:bottom w:val="single" w:sz="8" w:space="0" w:color="auto"/>
              <w:right w:val="single" w:sz="8" w:space="0" w:color="auto"/>
            </w:tcBorders>
            <w:shd w:val="clear" w:color="000000" w:fill="FFFFFF"/>
            <w:vAlign w:val="center"/>
            <w:hideMark/>
          </w:tcPr>
          <w:p w14:paraId="42528FBE" w14:textId="77777777" w:rsidR="00CA758C" w:rsidRPr="0098635C" w:rsidRDefault="00CA758C" w:rsidP="00CA758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 210(pH6), 9(pH7) , 1 (pH8)</w:t>
            </w:r>
          </w:p>
        </w:tc>
      </w:tr>
      <w:tr w:rsidR="00326669" w:rsidRPr="0098635C" w14:paraId="2A3BC928" w14:textId="77777777" w:rsidTr="00326669">
        <w:trPr>
          <w:trHeight w:val="525"/>
        </w:trPr>
        <w:tc>
          <w:tcPr>
            <w:tcW w:w="2580" w:type="dxa"/>
            <w:tcBorders>
              <w:top w:val="nil"/>
              <w:left w:val="single" w:sz="8" w:space="0" w:color="auto"/>
              <w:bottom w:val="nil"/>
              <w:right w:val="single" w:sz="8" w:space="0" w:color="auto"/>
            </w:tcBorders>
            <w:shd w:val="clear" w:color="auto" w:fill="auto"/>
            <w:vAlign w:val="center"/>
            <w:hideMark/>
          </w:tcPr>
          <w:p w14:paraId="504F5D26" w14:textId="77777777" w:rsidR="00CA758C" w:rsidRPr="0098635C" w:rsidRDefault="00CA758C" w:rsidP="00CA758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Coated copper flakes (2000-3000 mm2/mg)</w:t>
            </w:r>
          </w:p>
        </w:tc>
        <w:tc>
          <w:tcPr>
            <w:tcW w:w="960" w:type="dxa"/>
            <w:tcBorders>
              <w:top w:val="nil"/>
              <w:left w:val="nil"/>
              <w:bottom w:val="nil"/>
              <w:right w:val="single" w:sz="8" w:space="0" w:color="auto"/>
            </w:tcBorders>
            <w:shd w:val="clear" w:color="auto" w:fill="auto"/>
            <w:noWrap/>
            <w:vAlign w:val="center"/>
            <w:hideMark/>
          </w:tcPr>
          <w:p w14:paraId="0FB5643B" w14:textId="77777777" w:rsidR="00CA758C" w:rsidRPr="0098635C" w:rsidRDefault="00CA758C" w:rsidP="00CA758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63.55</w:t>
            </w:r>
          </w:p>
        </w:tc>
        <w:tc>
          <w:tcPr>
            <w:tcW w:w="2829" w:type="dxa"/>
            <w:tcBorders>
              <w:top w:val="nil"/>
              <w:left w:val="nil"/>
              <w:bottom w:val="single" w:sz="8" w:space="0" w:color="auto"/>
              <w:right w:val="single" w:sz="8" w:space="0" w:color="auto"/>
            </w:tcBorders>
            <w:shd w:val="clear" w:color="auto" w:fill="auto"/>
            <w:vAlign w:val="center"/>
            <w:hideMark/>
          </w:tcPr>
          <w:p w14:paraId="3CD2F4B7" w14:textId="77777777" w:rsidR="00CA758C" w:rsidRPr="0098635C" w:rsidRDefault="00CA758C" w:rsidP="00CA758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20(pH6), 6(pH7), 11(pH8)</w:t>
            </w:r>
          </w:p>
        </w:tc>
        <w:tc>
          <w:tcPr>
            <w:tcW w:w="992" w:type="dxa"/>
            <w:tcBorders>
              <w:top w:val="nil"/>
              <w:left w:val="nil"/>
              <w:bottom w:val="nil"/>
              <w:right w:val="single" w:sz="8" w:space="0" w:color="auto"/>
            </w:tcBorders>
            <w:shd w:val="clear" w:color="000000" w:fill="FFFFFF"/>
            <w:vAlign w:val="center"/>
            <w:hideMark/>
          </w:tcPr>
          <w:p w14:paraId="0402DCB0" w14:textId="77777777" w:rsidR="00CA758C" w:rsidRPr="0098635C" w:rsidRDefault="00CA758C" w:rsidP="00CA758C">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1</w:t>
            </w:r>
          </w:p>
        </w:tc>
        <w:tc>
          <w:tcPr>
            <w:tcW w:w="2552" w:type="dxa"/>
            <w:tcBorders>
              <w:top w:val="nil"/>
              <w:left w:val="nil"/>
              <w:bottom w:val="nil"/>
              <w:right w:val="single" w:sz="8" w:space="0" w:color="auto"/>
            </w:tcBorders>
            <w:shd w:val="clear" w:color="000000" w:fill="FFFFFF"/>
            <w:vAlign w:val="center"/>
            <w:hideMark/>
          </w:tcPr>
          <w:p w14:paraId="7CD8F4FF" w14:textId="77777777" w:rsidR="00CA758C" w:rsidRPr="0098635C" w:rsidRDefault="00CA758C" w:rsidP="00CA758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 773(pH6), 639 (pH7)</w:t>
            </w:r>
          </w:p>
        </w:tc>
      </w:tr>
      <w:tr w:rsidR="00326669" w:rsidRPr="0098635C" w14:paraId="32B89F97" w14:textId="77777777" w:rsidTr="00326669">
        <w:trPr>
          <w:trHeight w:val="435"/>
        </w:trPr>
        <w:tc>
          <w:tcPr>
            <w:tcW w:w="2580" w:type="dxa"/>
            <w:tcBorders>
              <w:top w:val="single" w:sz="8" w:space="0" w:color="auto"/>
              <w:left w:val="single" w:sz="8" w:space="0" w:color="auto"/>
              <w:bottom w:val="nil"/>
              <w:right w:val="single" w:sz="8" w:space="0" w:color="auto"/>
            </w:tcBorders>
            <w:shd w:val="clear" w:color="auto" w:fill="auto"/>
            <w:vAlign w:val="center"/>
            <w:hideMark/>
          </w:tcPr>
          <w:p w14:paraId="52A0DA5F" w14:textId="77777777" w:rsidR="00CA758C" w:rsidRPr="0098635C" w:rsidRDefault="00CA758C" w:rsidP="00CA758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 Copper powder (107 mm2/mg - 0.067 mm2/mg)</w:t>
            </w:r>
          </w:p>
        </w:tc>
        <w:tc>
          <w:tcPr>
            <w:tcW w:w="960" w:type="dxa"/>
            <w:tcBorders>
              <w:top w:val="single" w:sz="8" w:space="0" w:color="auto"/>
              <w:left w:val="nil"/>
              <w:bottom w:val="nil"/>
              <w:right w:val="single" w:sz="8" w:space="0" w:color="auto"/>
            </w:tcBorders>
            <w:shd w:val="clear" w:color="auto" w:fill="auto"/>
            <w:vAlign w:val="center"/>
            <w:hideMark/>
          </w:tcPr>
          <w:p w14:paraId="7FE65C5A" w14:textId="77777777" w:rsidR="00CA758C" w:rsidRPr="0098635C" w:rsidRDefault="00CA758C" w:rsidP="00CA758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63.55</w:t>
            </w:r>
          </w:p>
        </w:tc>
        <w:tc>
          <w:tcPr>
            <w:tcW w:w="2829" w:type="dxa"/>
            <w:tcBorders>
              <w:top w:val="nil"/>
              <w:left w:val="nil"/>
              <w:bottom w:val="single" w:sz="8" w:space="0" w:color="auto"/>
              <w:right w:val="single" w:sz="8" w:space="0" w:color="auto"/>
            </w:tcBorders>
            <w:shd w:val="clear" w:color="auto" w:fill="auto"/>
            <w:vAlign w:val="center"/>
            <w:hideMark/>
          </w:tcPr>
          <w:p w14:paraId="4371F3D6" w14:textId="77777777" w:rsidR="00CA758C" w:rsidRPr="0098635C" w:rsidRDefault="00CA758C" w:rsidP="00CA758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20(pH6), 6(pH7), 11(pH8)</w:t>
            </w:r>
          </w:p>
        </w:tc>
        <w:tc>
          <w:tcPr>
            <w:tcW w:w="992" w:type="dxa"/>
            <w:tcBorders>
              <w:top w:val="single" w:sz="8" w:space="0" w:color="auto"/>
              <w:left w:val="nil"/>
              <w:bottom w:val="nil"/>
              <w:right w:val="single" w:sz="8" w:space="0" w:color="auto"/>
            </w:tcBorders>
            <w:shd w:val="clear" w:color="000000" w:fill="FFFFFF"/>
            <w:vAlign w:val="center"/>
            <w:hideMark/>
          </w:tcPr>
          <w:p w14:paraId="05A43E6C" w14:textId="77777777" w:rsidR="00CA758C" w:rsidRPr="0098635C" w:rsidRDefault="00CA758C" w:rsidP="00CA758C">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1</w:t>
            </w:r>
          </w:p>
        </w:tc>
        <w:tc>
          <w:tcPr>
            <w:tcW w:w="2552" w:type="dxa"/>
            <w:tcBorders>
              <w:top w:val="single" w:sz="8" w:space="0" w:color="auto"/>
              <w:left w:val="nil"/>
              <w:bottom w:val="nil"/>
              <w:right w:val="single" w:sz="8" w:space="0" w:color="auto"/>
            </w:tcBorders>
            <w:shd w:val="clear" w:color="000000" w:fill="FFFFFF"/>
            <w:vAlign w:val="center"/>
            <w:hideMark/>
          </w:tcPr>
          <w:p w14:paraId="08FB7B5F" w14:textId="77777777" w:rsidR="00CA758C" w:rsidRPr="0098635C" w:rsidRDefault="00CA758C" w:rsidP="00CA758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37-176(pH6)**</w:t>
            </w:r>
          </w:p>
        </w:tc>
      </w:tr>
      <w:tr w:rsidR="009003E0" w:rsidRPr="0098635C" w14:paraId="20B1DA49" w14:textId="77777777" w:rsidTr="00440C2D">
        <w:trPr>
          <w:trHeight w:val="570"/>
        </w:trPr>
        <w:tc>
          <w:tcPr>
            <w:tcW w:w="258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FCF208B" w14:textId="77777777" w:rsidR="00CA758C" w:rsidRPr="0098635C" w:rsidRDefault="00CA758C" w:rsidP="00CA758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Copper massive (&lt;0.67 mm2/mg)</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82079A4" w14:textId="77777777" w:rsidR="00CA758C" w:rsidRPr="0098635C" w:rsidRDefault="00CA758C" w:rsidP="00CA758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63.55</w:t>
            </w:r>
          </w:p>
        </w:tc>
        <w:tc>
          <w:tcPr>
            <w:tcW w:w="2829" w:type="dxa"/>
            <w:tcBorders>
              <w:top w:val="nil"/>
              <w:left w:val="nil"/>
              <w:bottom w:val="single" w:sz="8" w:space="0" w:color="auto"/>
              <w:right w:val="single" w:sz="8" w:space="0" w:color="auto"/>
            </w:tcBorders>
            <w:shd w:val="clear" w:color="auto" w:fill="auto"/>
            <w:vAlign w:val="center"/>
            <w:hideMark/>
          </w:tcPr>
          <w:p w14:paraId="10E7803E" w14:textId="77777777" w:rsidR="00CA758C" w:rsidRPr="0098635C" w:rsidRDefault="00CA758C" w:rsidP="00CA758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20(pH6), 6(pH7), 11(pH8)</w:t>
            </w:r>
          </w:p>
        </w:tc>
        <w:tc>
          <w:tcPr>
            <w:tcW w:w="992" w:type="dxa"/>
            <w:tcBorders>
              <w:top w:val="single" w:sz="8" w:space="0" w:color="auto"/>
              <w:left w:val="nil"/>
              <w:bottom w:val="single" w:sz="8" w:space="0" w:color="auto"/>
              <w:right w:val="single" w:sz="8" w:space="0" w:color="auto"/>
            </w:tcBorders>
            <w:shd w:val="clear" w:color="000000" w:fill="FFFFFF"/>
            <w:vAlign w:val="center"/>
            <w:hideMark/>
          </w:tcPr>
          <w:p w14:paraId="1C2F8126" w14:textId="77777777" w:rsidR="00CA758C" w:rsidRPr="0098635C" w:rsidRDefault="00CA758C" w:rsidP="00CA758C">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1</w:t>
            </w:r>
          </w:p>
        </w:tc>
        <w:tc>
          <w:tcPr>
            <w:tcW w:w="2552" w:type="dxa"/>
            <w:tcBorders>
              <w:top w:val="single" w:sz="8" w:space="0" w:color="auto"/>
              <w:left w:val="nil"/>
              <w:bottom w:val="single" w:sz="8" w:space="0" w:color="auto"/>
              <w:right w:val="single" w:sz="8" w:space="0" w:color="auto"/>
            </w:tcBorders>
            <w:shd w:val="clear" w:color="auto" w:fill="auto"/>
            <w:vAlign w:val="center"/>
            <w:hideMark/>
          </w:tcPr>
          <w:p w14:paraId="657A523D" w14:textId="77777777" w:rsidR="00CA758C" w:rsidRPr="0098635C" w:rsidRDefault="00CA758C" w:rsidP="00CA758C">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3(pH6)**</w:t>
            </w:r>
          </w:p>
        </w:tc>
      </w:tr>
      <w:tr w:rsidR="00326669" w:rsidRPr="0098635C" w14:paraId="152F8233" w14:textId="77777777" w:rsidTr="00326669">
        <w:trPr>
          <w:trHeight w:val="525"/>
        </w:trPr>
        <w:tc>
          <w:tcPr>
            <w:tcW w:w="9913" w:type="dxa"/>
            <w:gridSpan w:val="5"/>
            <w:tcBorders>
              <w:top w:val="single" w:sz="8" w:space="0" w:color="auto"/>
              <w:left w:val="nil"/>
              <w:bottom w:val="nil"/>
              <w:right w:val="nil"/>
            </w:tcBorders>
            <w:shd w:val="clear" w:color="auto" w:fill="auto"/>
            <w:vAlign w:val="center"/>
            <w:hideMark/>
          </w:tcPr>
          <w:p w14:paraId="620FDA1D" w14:textId="77777777" w:rsidR="00CA758C" w:rsidRPr="0098635C" w:rsidRDefault="00CA758C" w:rsidP="00CA758C">
            <w:pPr>
              <w:widowControl/>
              <w:autoSpaceDE/>
              <w:autoSpaceDN/>
              <w:adjustRightInd/>
              <w:spacing w:after="0"/>
              <w:jc w:val="left"/>
              <w:rPr>
                <w:color w:val="000000" w:themeColor="text1"/>
                <w:sz w:val="20"/>
                <w:szCs w:val="20"/>
                <w:lang w:eastAsia="en-GB"/>
              </w:rPr>
            </w:pPr>
            <w:r w:rsidRPr="0098635C">
              <w:rPr>
                <w:color w:val="000000" w:themeColor="text1"/>
                <w:sz w:val="20"/>
                <w:szCs w:val="20"/>
                <w:lang w:eastAsia="en-GB"/>
              </w:rPr>
              <w:t xml:space="preserve">* chronic ERV of the Cu-ion (lowest species and endpoint specific geometric mean L(E)C10 or NOEC  and molecular weight translation in absence of transformation/dissolution.  </w:t>
            </w:r>
          </w:p>
        </w:tc>
      </w:tr>
      <w:tr w:rsidR="00326669" w:rsidRPr="0098635C" w14:paraId="2A3DDCBC" w14:textId="77777777" w:rsidTr="00326669">
        <w:trPr>
          <w:trHeight w:val="300"/>
        </w:trPr>
        <w:tc>
          <w:tcPr>
            <w:tcW w:w="9913" w:type="dxa"/>
            <w:gridSpan w:val="5"/>
            <w:tcBorders>
              <w:top w:val="nil"/>
              <w:left w:val="nil"/>
              <w:bottom w:val="nil"/>
              <w:right w:val="nil"/>
            </w:tcBorders>
            <w:shd w:val="clear" w:color="auto" w:fill="auto"/>
            <w:vAlign w:val="bottom"/>
            <w:hideMark/>
          </w:tcPr>
          <w:p w14:paraId="5AA29513" w14:textId="77777777" w:rsidR="00CA758C" w:rsidRPr="0098635C" w:rsidRDefault="00CA758C" w:rsidP="00CA758C">
            <w:pPr>
              <w:widowControl/>
              <w:autoSpaceDE/>
              <w:autoSpaceDN/>
              <w:adjustRightInd/>
              <w:spacing w:after="0"/>
              <w:jc w:val="left"/>
              <w:rPr>
                <w:color w:val="000000" w:themeColor="text1"/>
                <w:sz w:val="20"/>
                <w:szCs w:val="20"/>
                <w:lang w:eastAsia="en-GB"/>
              </w:rPr>
            </w:pPr>
            <w:r w:rsidRPr="0098635C">
              <w:rPr>
                <w:color w:val="000000" w:themeColor="text1"/>
                <w:sz w:val="20"/>
                <w:szCs w:val="20"/>
                <w:lang w:eastAsia="en-GB"/>
              </w:rPr>
              <w:t>** 5 times lower values are expected at pH 7 and 8  compared to pH 6</w:t>
            </w:r>
          </w:p>
        </w:tc>
      </w:tr>
    </w:tbl>
    <w:p w14:paraId="037736A1" w14:textId="77777777" w:rsidR="00AB5A50" w:rsidRPr="0098635C" w:rsidRDefault="00AB5A50" w:rsidP="00CA6EFA">
      <w:pPr>
        <w:pStyle w:val="BodyText"/>
        <w:rPr>
          <w:color w:val="000000" w:themeColor="text1"/>
          <w:sz w:val="20"/>
        </w:rPr>
      </w:pPr>
    </w:p>
    <w:p w14:paraId="4B1FE5D7" w14:textId="25AC688B" w:rsidR="003348CE" w:rsidRPr="0098635C" w:rsidRDefault="00AB4085" w:rsidP="0053571F">
      <w:pPr>
        <w:pStyle w:val="BodyText"/>
        <w:rPr>
          <w:color w:val="000000" w:themeColor="text1"/>
          <w:sz w:val="20"/>
        </w:rPr>
      </w:pPr>
      <w:r w:rsidRPr="0098635C">
        <w:rPr>
          <w:color w:val="000000" w:themeColor="text1"/>
          <w:sz w:val="20"/>
        </w:rPr>
        <w:t>The assessment</w:t>
      </w:r>
      <w:r w:rsidR="00CA6EFA" w:rsidRPr="0098635C">
        <w:rPr>
          <w:color w:val="000000" w:themeColor="text1"/>
          <w:sz w:val="20"/>
        </w:rPr>
        <w:t xml:space="preserve"> </w:t>
      </w:r>
      <w:r w:rsidR="00210F66" w:rsidRPr="0098635C">
        <w:rPr>
          <w:color w:val="000000" w:themeColor="text1"/>
          <w:sz w:val="20"/>
        </w:rPr>
        <w:t xml:space="preserve">shows a similar relative ecotoxicity profile as </w:t>
      </w:r>
      <w:r w:rsidR="0008036E" w:rsidRPr="0098635C">
        <w:rPr>
          <w:color w:val="000000" w:themeColor="text1"/>
          <w:sz w:val="20"/>
        </w:rPr>
        <w:t>observed</w:t>
      </w:r>
      <w:r w:rsidR="00210F66" w:rsidRPr="0098635C">
        <w:rPr>
          <w:color w:val="000000" w:themeColor="text1"/>
          <w:sz w:val="20"/>
        </w:rPr>
        <w:t xml:space="preserve"> from acute toxicity data: </w:t>
      </w:r>
      <w:r w:rsidR="00CA6EFA" w:rsidRPr="0098635C">
        <w:rPr>
          <w:color w:val="000000" w:themeColor="text1"/>
          <w:sz w:val="20"/>
        </w:rPr>
        <w:t>due to the differences in copper releases from the various copper compounds</w:t>
      </w:r>
      <w:r w:rsidRPr="0098635C">
        <w:rPr>
          <w:color w:val="000000" w:themeColor="text1"/>
          <w:sz w:val="20"/>
        </w:rPr>
        <w:t>,</w:t>
      </w:r>
      <w:r w:rsidR="00CA6EFA" w:rsidRPr="0098635C">
        <w:rPr>
          <w:color w:val="000000" w:themeColor="text1"/>
          <w:sz w:val="20"/>
        </w:rPr>
        <w:t xml:space="preserve"> coated flakes, copper powder and copper massive</w:t>
      </w:r>
      <w:r w:rsidR="00B1362D" w:rsidRPr="0098635C">
        <w:rPr>
          <w:color w:val="000000" w:themeColor="text1"/>
          <w:sz w:val="20"/>
        </w:rPr>
        <w:t>,</w:t>
      </w:r>
      <w:r w:rsidR="00CA6EFA" w:rsidRPr="0098635C">
        <w:rPr>
          <w:color w:val="000000" w:themeColor="text1"/>
          <w:sz w:val="20"/>
        </w:rPr>
        <w:t xml:space="preserve"> distinct </w:t>
      </w:r>
      <w:r w:rsidRPr="0098635C">
        <w:rPr>
          <w:color w:val="000000" w:themeColor="text1"/>
          <w:sz w:val="20"/>
        </w:rPr>
        <w:t xml:space="preserve">chronic </w:t>
      </w:r>
      <w:r w:rsidR="00CA6EFA" w:rsidRPr="0098635C">
        <w:rPr>
          <w:color w:val="000000" w:themeColor="text1"/>
          <w:sz w:val="20"/>
        </w:rPr>
        <w:t xml:space="preserve">hazard profiles </w:t>
      </w:r>
      <w:r w:rsidR="00B1362D" w:rsidRPr="0098635C">
        <w:rPr>
          <w:color w:val="000000" w:themeColor="text1"/>
          <w:sz w:val="20"/>
        </w:rPr>
        <w:t>need to be</w:t>
      </w:r>
      <w:r w:rsidR="00CA6EFA" w:rsidRPr="0098635C">
        <w:rPr>
          <w:color w:val="000000" w:themeColor="text1"/>
          <w:sz w:val="20"/>
        </w:rPr>
        <w:t xml:space="preserve"> distinguished</w:t>
      </w:r>
      <w:r w:rsidRPr="0098635C">
        <w:rPr>
          <w:color w:val="000000" w:themeColor="text1"/>
          <w:sz w:val="20"/>
        </w:rPr>
        <w:t xml:space="preserve">.   </w:t>
      </w:r>
    </w:p>
    <w:p w14:paraId="56165753" w14:textId="21C134EF" w:rsidR="00CA6EFA" w:rsidRPr="0098635C" w:rsidRDefault="00CA6EFA" w:rsidP="0053571F">
      <w:pPr>
        <w:pStyle w:val="BodyText"/>
        <w:rPr>
          <w:color w:val="000000" w:themeColor="text1"/>
          <w:sz w:val="20"/>
        </w:rPr>
      </w:pPr>
      <w:r w:rsidRPr="0098635C">
        <w:rPr>
          <w:color w:val="000000" w:themeColor="text1"/>
          <w:sz w:val="20"/>
        </w:rPr>
        <w:t>The hazard assessment of the substances in the category, derived from the chronic L(E)C</w:t>
      </w:r>
      <w:r w:rsidRPr="0098635C">
        <w:rPr>
          <w:color w:val="000000" w:themeColor="text1"/>
          <w:sz w:val="20"/>
          <w:vertAlign w:val="subscript"/>
        </w:rPr>
        <w:t>10</w:t>
      </w:r>
      <w:r w:rsidR="00B1362D" w:rsidRPr="0098635C">
        <w:rPr>
          <w:color w:val="000000" w:themeColor="text1"/>
          <w:sz w:val="20"/>
        </w:rPr>
        <w:t xml:space="preserve"> </w:t>
      </w:r>
      <w:r w:rsidRPr="0098635C">
        <w:rPr>
          <w:color w:val="000000" w:themeColor="text1"/>
          <w:sz w:val="20"/>
        </w:rPr>
        <w:t xml:space="preserve">(µg dissolved Cu/L) and a molecular weight translation or the results from transformation/dissolution tests, shows that the copper compounds and the fine copper powders do pose a </w:t>
      </w:r>
      <w:r w:rsidR="00AB4085" w:rsidRPr="0098635C">
        <w:rPr>
          <w:color w:val="000000" w:themeColor="text1"/>
          <w:sz w:val="20"/>
        </w:rPr>
        <w:t xml:space="preserve">chronic </w:t>
      </w:r>
      <w:r w:rsidRPr="0098635C">
        <w:rPr>
          <w:color w:val="000000" w:themeColor="text1"/>
          <w:sz w:val="20"/>
        </w:rPr>
        <w:t xml:space="preserve">hazard to the environment. Coarse granules and massive copper materials release less copper ions and therefore pose less or no </w:t>
      </w:r>
      <w:r w:rsidR="00AB4085" w:rsidRPr="0098635C">
        <w:rPr>
          <w:color w:val="000000" w:themeColor="text1"/>
          <w:sz w:val="20"/>
        </w:rPr>
        <w:t xml:space="preserve">chronic </w:t>
      </w:r>
      <w:r w:rsidRPr="0098635C">
        <w:rPr>
          <w:color w:val="000000" w:themeColor="text1"/>
          <w:sz w:val="20"/>
        </w:rPr>
        <w:t>hazard to the environment under typical environmental conditions.</w:t>
      </w:r>
      <w:r w:rsidRPr="0098635C">
        <w:rPr>
          <w:color w:val="000000" w:themeColor="text1"/>
          <w:sz w:val="20"/>
          <w:u w:val="single"/>
        </w:rPr>
        <w:t xml:space="preserve"> </w:t>
      </w:r>
    </w:p>
    <w:p w14:paraId="40ED1F92" w14:textId="3013F6DE" w:rsidR="00D05142" w:rsidRPr="0098635C" w:rsidRDefault="00D05142" w:rsidP="00D05142">
      <w:pPr>
        <w:pStyle w:val="Heading3"/>
        <w:rPr>
          <w:color w:val="000000" w:themeColor="text1"/>
          <w:sz w:val="20"/>
        </w:rPr>
      </w:pPr>
      <w:bookmarkStart w:id="1991" w:name="_Toc472000396"/>
      <w:bookmarkStart w:id="1992" w:name="_Toc472251756"/>
      <w:r w:rsidRPr="0098635C">
        <w:rPr>
          <w:color w:val="000000" w:themeColor="text1"/>
          <w:sz w:val="20"/>
        </w:rPr>
        <w:t>Derivation of safe threshold values for various aquatic environment, including bio-availability assessment and correction of effects data</w:t>
      </w:r>
      <w:bookmarkEnd w:id="1991"/>
      <w:bookmarkEnd w:id="1992"/>
    </w:p>
    <w:p w14:paraId="63E0F0C4" w14:textId="77777777" w:rsidR="008652AD" w:rsidRPr="0098635C" w:rsidRDefault="007E6A9F" w:rsidP="00396E8B">
      <w:pPr>
        <w:rPr>
          <w:color w:val="000000" w:themeColor="text1"/>
          <w:sz w:val="20"/>
          <w:szCs w:val="20"/>
        </w:rPr>
      </w:pPr>
      <w:r w:rsidRPr="0098635C">
        <w:rPr>
          <w:color w:val="000000" w:themeColor="text1"/>
          <w:sz w:val="20"/>
          <w:szCs w:val="20"/>
        </w:rPr>
        <w:t>Considering the standard acute and chronic hazard profiles of copper and copper compounds, environmental</w:t>
      </w:r>
      <w:r w:rsidR="001E0C24" w:rsidRPr="0098635C">
        <w:rPr>
          <w:color w:val="000000" w:themeColor="text1"/>
          <w:sz w:val="20"/>
          <w:szCs w:val="20"/>
        </w:rPr>
        <w:t xml:space="preserve"> safe threshold values were der</w:t>
      </w:r>
      <w:r w:rsidRPr="0098635C">
        <w:rPr>
          <w:color w:val="000000" w:themeColor="text1"/>
          <w:sz w:val="20"/>
          <w:szCs w:val="20"/>
        </w:rPr>
        <w:t>ived, considering</w:t>
      </w:r>
      <w:r w:rsidR="001E0C24" w:rsidRPr="0098635C">
        <w:rPr>
          <w:color w:val="000000" w:themeColor="text1"/>
          <w:sz w:val="20"/>
          <w:szCs w:val="20"/>
        </w:rPr>
        <w:t xml:space="preserve"> the results from single-species </w:t>
      </w:r>
      <w:r w:rsidRPr="0098635C">
        <w:rPr>
          <w:color w:val="000000" w:themeColor="text1"/>
          <w:sz w:val="20"/>
          <w:szCs w:val="20"/>
        </w:rPr>
        <w:t xml:space="preserve">chronic ecotoxicity </w:t>
      </w:r>
      <w:r w:rsidR="001E0C24" w:rsidRPr="0098635C">
        <w:rPr>
          <w:color w:val="000000" w:themeColor="text1"/>
          <w:sz w:val="20"/>
          <w:szCs w:val="20"/>
        </w:rPr>
        <w:t>studies (</w:t>
      </w:r>
      <w:r w:rsidRPr="0098635C">
        <w:rPr>
          <w:color w:val="000000" w:themeColor="text1"/>
          <w:sz w:val="20"/>
          <w:szCs w:val="20"/>
        </w:rPr>
        <w:t>standard and non-standard species/protocols/endpoints</w:t>
      </w:r>
      <w:r w:rsidR="001E0C24" w:rsidRPr="0098635C">
        <w:rPr>
          <w:color w:val="000000" w:themeColor="text1"/>
          <w:sz w:val="20"/>
          <w:szCs w:val="20"/>
        </w:rPr>
        <w:t>) and multi-species mesocosm studies</w:t>
      </w:r>
      <w:r w:rsidRPr="0098635C">
        <w:rPr>
          <w:color w:val="000000" w:themeColor="text1"/>
          <w:sz w:val="20"/>
          <w:szCs w:val="20"/>
        </w:rPr>
        <w:t xml:space="preserve">.  </w:t>
      </w:r>
    </w:p>
    <w:p w14:paraId="4781690B" w14:textId="77777777" w:rsidR="001E0C24" w:rsidRPr="0098635C" w:rsidRDefault="001E0C24" w:rsidP="001E0C24">
      <w:pPr>
        <w:rPr>
          <w:color w:val="000000" w:themeColor="text1"/>
          <w:sz w:val="20"/>
          <w:szCs w:val="20"/>
          <w:u w:val="single"/>
        </w:rPr>
      </w:pPr>
      <w:r w:rsidRPr="0098635C">
        <w:rPr>
          <w:color w:val="000000" w:themeColor="text1"/>
          <w:sz w:val="20"/>
          <w:szCs w:val="20"/>
          <w:u w:val="single"/>
        </w:rPr>
        <w:t>Single-species studies</w:t>
      </w:r>
    </w:p>
    <w:p w14:paraId="4AA79CAB" w14:textId="77777777" w:rsidR="00396E8B" w:rsidRPr="0098635C" w:rsidRDefault="006C1B60" w:rsidP="00396E8B">
      <w:pPr>
        <w:rPr>
          <w:color w:val="000000" w:themeColor="text1"/>
          <w:sz w:val="20"/>
          <w:szCs w:val="20"/>
        </w:rPr>
      </w:pPr>
      <w:r w:rsidRPr="0098635C">
        <w:rPr>
          <w:color w:val="000000" w:themeColor="text1"/>
          <w:sz w:val="20"/>
          <w:szCs w:val="20"/>
        </w:rPr>
        <w:t>As previously indicated</w:t>
      </w:r>
      <w:r w:rsidR="00396E8B" w:rsidRPr="0098635C">
        <w:rPr>
          <w:color w:val="000000" w:themeColor="text1"/>
          <w:sz w:val="20"/>
          <w:szCs w:val="20"/>
        </w:rPr>
        <w:t xml:space="preserve"> and elaborated in the OECD monograph </w:t>
      </w:r>
      <w:r w:rsidR="001E0C24" w:rsidRPr="0098635C">
        <w:rPr>
          <w:color w:val="000000" w:themeColor="text1"/>
          <w:sz w:val="20"/>
          <w:szCs w:val="20"/>
        </w:rPr>
        <w:t>(</w:t>
      </w:r>
      <w:r w:rsidR="00396E8B" w:rsidRPr="0098635C">
        <w:rPr>
          <w:bCs/>
          <w:color w:val="000000" w:themeColor="text1"/>
          <w:sz w:val="20"/>
          <w:szCs w:val="20"/>
        </w:rPr>
        <w:t>ENV/JM/MONO(2012</w:t>
      </w:r>
      <w:r w:rsidR="00396E8B" w:rsidRPr="0098635C">
        <w:rPr>
          <w:b/>
          <w:bCs/>
          <w:color w:val="000000" w:themeColor="text1"/>
          <w:sz w:val="20"/>
          <w:szCs w:val="20"/>
        </w:rPr>
        <w:t>)</w:t>
      </w:r>
      <w:r w:rsidRPr="0098635C">
        <w:rPr>
          <w:color w:val="000000" w:themeColor="text1"/>
          <w:sz w:val="20"/>
          <w:szCs w:val="20"/>
        </w:rPr>
        <w:t>, copper bioavailability and toxicity to aquatic organisms is influenced by abiotic parameters, such as pH, hardness and dissolved organic carbon (DOC)</w:t>
      </w:r>
      <w:r w:rsidR="00396E8B" w:rsidRPr="0098635C">
        <w:rPr>
          <w:color w:val="000000" w:themeColor="text1"/>
          <w:sz w:val="20"/>
          <w:szCs w:val="20"/>
        </w:rPr>
        <w:t xml:space="preserve">. </w:t>
      </w:r>
    </w:p>
    <w:p w14:paraId="1B322583" w14:textId="67BA9C2B" w:rsidR="00CD2BED" w:rsidRPr="0098635C" w:rsidRDefault="00CD2BED" w:rsidP="006C1B60">
      <w:pPr>
        <w:rPr>
          <w:color w:val="000000" w:themeColor="text1"/>
          <w:sz w:val="20"/>
          <w:szCs w:val="20"/>
        </w:rPr>
      </w:pPr>
      <w:r w:rsidRPr="0098635C">
        <w:rPr>
          <w:color w:val="000000" w:themeColor="text1"/>
          <w:sz w:val="20"/>
          <w:szCs w:val="20"/>
        </w:rPr>
        <w:lastRenderedPageBreak/>
        <w:t xml:space="preserve">It is therefore critical to consider the impact of abiotic factors on observed effects when </w:t>
      </w:r>
      <w:r w:rsidR="007E6A9F" w:rsidRPr="0098635C">
        <w:rPr>
          <w:color w:val="000000" w:themeColor="text1"/>
          <w:sz w:val="20"/>
          <w:szCs w:val="20"/>
        </w:rPr>
        <w:t xml:space="preserve">deriving environmental relevant safe threshold values </w:t>
      </w:r>
      <w:r w:rsidRPr="0098635C">
        <w:rPr>
          <w:color w:val="000000" w:themeColor="text1"/>
          <w:sz w:val="20"/>
          <w:szCs w:val="20"/>
        </w:rPr>
        <w:t xml:space="preserve">and </w:t>
      </w:r>
      <w:r w:rsidR="007E6A9F" w:rsidRPr="0098635C">
        <w:rPr>
          <w:color w:val="000000" w:themeColor="text1"/>
          <w:sz w:val="20"/>
          <w:szCs w:val="20"/>
        </w:rPr>
        <w:t xml:space="preserve">conducting </w:t>
      </w:r>
      <w:r w:rsidRPr="0098635C">
        <w:rPr>
          <w:color w:val="000000" w:themeColor="text1"/>
          <w:sz w:val="20"/>
          <w:szCs w:val="20"/>
        </w:rPr>
        <w:t>risk assessments for copper.</w:t>
      </w:r>
      <w:r w:rsidR="006C1B60" w:rsidRPr="0098635C">
        <w:rPr>
          <w:color w:val="000000" w:themeColor="text1"/>
          <w:sz w:val="20"/>
          <w:szCs w:val="20"/>
        </w:rPr>
        <w:t xml:space="preserve"> </w:t>
      </w:r>
      <w:r w:rsidRPr="0098635C">
        <w:rPr>
          <w:color w:val="000000" w:themeColor="text1"/>
          <w:sz w:val="20"/>
          <w:szCs w:val="20"/>
        </w:rPr>
        <w:t>The abiotic conditions for each of the chronic ecotoxicity data are</w:t>
      </w:r>
      <w:r w:rsidR="00497DC3" w:rsidRPr="0098635C">
        <w:rPr>
          <w:color w:val="000000" w:themeColor="text1"/>
          <w:sz w:val="20"/>
          <w:szCs w:val="20"/>
        </w:rPr>
        <w:t xml:space="preserve"> therefore </w:t>
      </w:r>
      <w:r w:rsidRPr="0098635C">
        <w:rPr>
          <w:color w:val="000000" w:themeColor="text1"/>
          <w:sz w:val="20"/>
          <w:szCs w:val="20"/>
        </w:rPr>
        <w:t>provided in</w:t>
      </w:r>
      <w:r w:rsidR="003348CE" w:rsidRPr="0098635C">
        <w:rPr>
          <w:color w:val="000000" w:themeColor="text1"/>
          <w:sz w:val="20"/>
          <w:szCs w:val="20"/>
        </w:rPr>
        <w:t xml:space="preserve"> Annex 9 to Annex 11</w:t>
      </w:r>
      <w:r w:rsidRPr="0098635C">
        <w:rPr>
          <w:color w:val="000000" w:themeColor="text1"/>
          <w:sz w:val="20"/>
          <w:szCs w:val="20"/>
        </w:rPr>
        <w:t>.</w:t>
      </w:r>
    </w:p>
    <w:p w14:paraId="6DD5E0D0" w14:textId="7D060146" w:rsidR="006C1B60" w:rsidRPr="0098635C" w:rsidRDefault="002E0907" w:rsidP="006C1B60">
      <w:pPr>
        <w:rPr>
          <w:color w:val="000000" w:themeColor="text1"/>
          <w:sz w:val="20"/>
          <w:szCs w:val="20"/>
        </w:rPr>
      </w:pPr>
      <w:r w:rsidRPr="0098635C">
        <w:rPr>
          <w:color w:val="000000" w:themeColor="text1"/>
          <w:sz w:val="20"/>
          <w:szCs w:val="20"/>
        </w:rPr>
        <w:t xml:space="preserve">For the risk characterisation of copper, </w:t>
      </w:r>
      <w:r w:rsidR="00F91AEC" w:rsidRPr="0098635C">
        <w:rPr>
          <w:color w:val="000000" w:themeColor="text1"/>
          <w:sz w:val="20"/>
          <w:szCs w:val="20"/>
        </w:rPr>
        <w:t xml:space="preserve">the </w:t>
      </w:r>
      <w:r w:rsidR="00CD2BED" w:rsidRPr="0098635C">
        <w:rPr>
          <w:color w:val="000000" w:themeColor="text1"/>
          <w:sz w:val="20"/>
          <w:szCs w:val="20"/>
        </w:rPr>
        <w:t xml:space="preserve">significant impact of abiotic factors on copper toxicity </w:t>
      </w:r>
      <w:r w:rsidR="006C1B60" w:rsidRPr="0098635C">
        <w:rPr>
          <w:color w:val="000000" w:themeColor="text1"/>
          <w:sz w:val="20"/>
          <w:szCs w:val="20"/>
        </w:rPr>
        <w:t xml:space="preserve">has raised the need to use a bioavailability normalisation process when using chronic ecotoxicity data for setting water quality standards (e.g. PNEC in EU legislation, CRV in an US regulatory framework). </w:t>
      </w:r>
      <w:r w:rsidR="007E6A9F" w:rsidRPr="0098635C">
        <w:rPr>
          <w:color w:val="000000" w:themeColor="text1"/>
          <w:sz w:val="20"/>
          <w:szCs w:val="20"/>
        </w:rPr>
        <w:t>Acute and chronic B</w:t>
      </w:r>
      <w:r w:rsidR="006C1B60" w:rsidRPr="0098635C">
        <w:rPr>
          <w:color w:val="000000" w:themeColor="text1"/>
          <w:sz w:val="20"/>
          <w:szCs w:val="20"/>
        </w:rPr>
        <w:t xml:space="preserve">iotic Ligand Models were developed in order to provide a mechanistic basis for understanding and predicting bioavailability </w:t>
      </w:r>
      <w:r w:rsidR="003348CE" w:rsidRPr="0098635C">
        <w:rPr>
          <w:color w:val="000000" w:themeColor="text1"/>
          <w:sz w:val="20"/>
          <w:szCs w:val="20"/>
        </w:rPr>
        <w:t>from</w:t>
      </w:r>
      <w:r w:rsidR="006C1B60" w:rsidRPr="0098635C">
        <w:rPr>
          <w:color w:val="000000" w:themeColor="text1"/>
          <w:sz w:val="20"/>
          <w:szCs w:val="20"/>
        </w:rPr>
        <w:t xml:space="preserve"> chemical parameters (e.g. pH, hardness, DOC) and biological parameters (receptor sites on organism, mode of action).  These models allow t</w:t>
      </w:r>
      <w:r w:rsidR="00497DC3" w:rsidRPr="0098635C">
        <w:rPr>
          <w:color w:val="000000" w:themeColor="text1"/>
          <w:sz w:val="20"/>
          <w:szCs w:val="20"/>
        </w:rPr>
        <w:t xml:space="preserve">he translation of </w:t>
      </w:r>
      <w:r w:rsidR="006C1B60" w:rsidRPr="0098635C">
        <w:rPr>
          <w:color w:val="000000" w:themeColor="text1"/>
          <w:sz w:val="20"/>
          <w:szCs w:val="20"/>
        </w:rPr>
        <w:t>an existing ecotoxicity value that was generated under specific physical-chemical conditions (pH,</w:t>
      </w:r>
      <w:r w:rsidR="001C150D" w:rsidRPr="0098635C">
        <w:rPr>
          <w:color w:val="000000" w:themeColor="text1"/>
          <w:sz w:val="20"/>
          <w:szCs w:val="20"/>
        </w:rPr>
        <w:t xml:space="preserve"> hardness, DOC), to a value that is relevant for another test medium. </w:t>
      </w:r>
    </w:p>
    <w:p w14:paraId="411E7DAE" w14:textId="41457DE8" w:rsidR="001C150D" w:rsidRPr="0098635C" w:rsidRDefault="005D5CAC" w:rsidP="006C1B60">
      <w:pPr>
        <w:rPr>
          <w:color w:val="000000" w:themeColor="text1"/>
          <w:sz w:val="20"/>
          <w:szCs w:val="20"/>
        </w:rPr>
      </w:pPr>
      <w:r w:rsidRPr="0098635C">
        <w:rPr>
          <w:color w:val="000000" w:themeColor="text1"/>
          <w:sz w:val="20"/>
          <w:szCs w:val="20"/>
        </w:rPr>
        <w:t xml:space="preserve">Chronic </w:t>
      </w:r>
      <w:r w:rsidR="006C1B60" w:rsidRPr="0098635C">
        <w:rPr>
          <w:color w:val="000000" w:themeColor="text1"/>
          <w:sz w:val="20"/>
          <w:szCs w:val="20"/>
        </w:rPr>
        <w:t xml:space="preserve">BLM models </w:t>
      </w:r>
      <w:r w:rsidR="001C150D" w:rsidRPr="0098635C">
        <w:rPr>
          <w:color w:val="000000" w:themeColor="text1"/>
          <w:sz w:val="20"/>
          <w:szCs w:val="20"/>
        </w:rPr>
        <w:t xml:space="preserve">have been </w:t>
      </w:r>
      <w:r w:rsidR="006C1B60" w:rsidRPr="0098635C">
        <w:rPr>
          <w:color w:val="000000" w:themeColor="text1"/>
          <w:sz w:val="20"/>
          <w:szCs w:val="20"/>
        </w:rPr>
        <w:t>developed/validated for 10 species, representing the three basic trophic levels (alga</w:t>
      </w:r>
      <w:r w:rsidR="001C150D" w:rsidRPr="0098635C">
        <w:rPr>
          <w:color w:val="000000" w:themeColor="text1"/>
          <w:sz w:val="20"/>
          <w:szCs w:val="20"/>
        </w:rPr>
        <w:t>e, invertebrates and fish)</w:t>
      </w:r>
      <w:r w:rsidR="006C1B60" w:rsidRPr="0098635C">
        <w:rPr>
          <w:color w:val="000000" w:themeColor="text1"/>
          <w:sz w:val="20"/>
          <w:szCs w:val="20"/>
        </w:rPr>
        <w:t>:</w:t>
      </w:r>
    </w:p>
    <w:p w14:paraId="49C84843" w14:textId="77777777" w:rsidR="006C1B60" w:rsidRPr="0098635C" w:rsidRDefault="006C1B60" w:rsidP="0059369A">
      <w:pPr>
        <w:pStyle w:val="ListParagraph"/>
        <w:numPr>
          <w:ilvl w:val="0"/>
          <w:numId w:val="8"/>
        </w:numPr>
        <w:rPr>
          <w:color w:val="000000" w:themeColor="text1"/>
          <w:sz w:val="20"/>
          <w:szCs w:val="20"/>
        </w:rPr>
      </w:pPr>
      <w:r w:rsidRPr="0098635C">
        <w:rPr>
          <w:color w:val="000000" w:themeColor="text1"/>
          <w:sz w:val="20"/>
          <w:szCs w:val="20"/>
        </w:rPr>
        <w:t>a unified chronic model for the algae (</w:t>
      </w:r>
      <w:r w:rsidRPr="0098635C">
        <w:rPr>
          <w:i/>
          <w:color w:val="000000" w:themeColor="text1"/>
          <w:sz w:val="20"/>
          <w:szCs w:val="20"/>
        </w:rPr>
        <w:t>P</w:t>
      </w:r>
      <w:r w:rsidR="004768A8" w:rsidRPr="0098635C">
        <w:rPr>
          <w:i/>
          <w:color w:val="000000" w:themeColor="text1"/>
          <w:sz w:val="20"/>
          <w:szCs w:val="20"/>
        </w:rPr>
        <w:t xml:space="preserve">seudokirchneriella </w:t>
      </w:r>
      <w:r w:rsidRPr="0098635C">
        <w:rPr>
          <w:i/>
          <w:color w:val="000000" w:themeColor="text1"/>
          <w:sz w:val="20"/>
          <w:szCs w:val="20"/>
        </w:rPr>
        <w:t>subcapitata</w:t>
      </w:r>
      <w:r w:rsidRPr="0098635C">
        <w:rPr>
          <w:color w:val="000000" w:themeColor="text1"/>
          <w:sz w:val="20"/>
          <w:szCs w:val="20"/>
        </w:rPr>
        <w:t xml:space="preserve">, </w:t>
      </w:r>
      <w:r w:rsidRPr="0098635C">
        <w:rPr>
          <w:i/>
          <w:color w:val="000000" w:themeColor="text1"/>
          <w:sz w:val="20"/>
          <w:szCs w:val="20"/>
        </w:rPr>
        <w:t>C</w:t>
      </w:r>
      <w:r w:rsidR="004768A8" w:rsidRPr="0098635C">
        <w:rPr>
          <w:i/>
          <w:color w:val="000000" w:themeColor="text1"/>
          <w:sz w:val="20"/>
          <w:szCs w:val="20"/>
        </w:rPr>
        <w:t xml:space="preserve">hlamydomonas </w:t>
      </w:r>
      <w:r w:rsidRPr="0098635C">
        <w:rPr>
          <w:i/>
          <w:color w:val="000000" w:themeColor="text1"/>
          <w:sz w:val="20"/>
          <w:szCs w:val="20"/>
        </w:rPr>
        <w:t>reinhardtii</w:t>
      </w:r>
      <w:r w:rsidRPr="0098635C">
        <w:rPr>
          <w:color w:val="000000" w:themeColor="text1"/>
          <w:sz w:val="20"/>
          <w:szCs w:val="20"/>
        </w:rPr>
        <w:t xml:space="preserve"> and </w:t>
      </w:r>
      <w:r w:rsidR="001C150D" w:rsidRPr="0098635C">
        <w:rPr>
          <w:i/>
          <w:color w:val="000000" w:themeColor="text1"/>
          <w:sz w:val="20"/>
          <w:szCs w:val="20"/>
        </w:rPr>
        <w:t>C</w:t>
      </w:r>
      <w:r w:rsidR="004768A8" w:rsidRPr="0098635C">
        <w:rPr>
          <w:i/>
          <w:color w:val="000000" w:themeColor="text1"/>
          <w:sz w:val="20"/>
          <w:szCs w:val="20"/>
        </w:rPr>
        <w:t xml:space="preserve">hlorella </w:t>
      </w:r>
      <w:r w:rsidR="001C150D" w:rsidRPr="0098635C">
        <w:rPr>
          <w:i/>
          <w:color w:val="000000" w:themeColor="text1"/>
          <w:sz w:val="20"/>
          <w:szCs w:val="20"/>
        </w:rPr>
        <w:t>vul</w:t>
      </w:r>
      <w:r w:rsidRPr="0098635C">
        <w:rPr>
          <w:i/>
          <w:color w:val="000000" w:themeColor="text1"/>
          <w:sz w:val="20"/>
          <w:szCs w:val="20"/>
        </w:rPr>
        <w:t>garis</w:t>
      </w:r>
      <w:r w:rsidRPr="0098635C">
        <w:rPr>
          <w:color w:val="000000" w:themeColor="text1"/>
          <w:sz w:val="20"/>
          <w:szCs w:val="20"/>
        </w:rPr>
        <w:t>). The applicability of the model for predicting higher plant ecotoxicity (hydrocultures of Barley) was demonstrated</w:t>
      </w:r>
    </w:p>
    <w:p w14:paraId="23891A31" w14:textId="6A6BCA98" w:rsidR="006C1B60" w:rsidRPr="0098635C" w:rsidRDefault="006C1B60" w:rsidP="0059369A">
      <w:pPr>
        <w:pStyle w:val="ListParagraph"/>
        <w:numPr>
          <w:ilvl w:val="0"/>
          <w:numId w:val="8"/>
        </w:numPr>
        <w:rPr>
          <w:color w:val="000000" w:themeColor="text1"/>
          <w:sz w:val="20"/>
          <w:szCs w:val="20"/>
        </w:rPr>
      </w:pPr>
      <w:r w:rsidRPr="0098635C">
        <w:rPr>
          <w:color w:val="000000" w:themeColor="text1"/>
          <w:sz w:val="20"/>
          <w:szCs w:val="20"/>
        </w:rPr>
        <w:t>a chronic BLM for invertebrates (</w:t>
      </w:r>
      <w:r w:rsidRPr="0098635C">
        <w:rPr>
          <w:i/>
          <w:color w:val="000000" w:themeColor="text1"/>
          <w:sz w:val="20"/>
          <w:szCs w:val="20"/>
        </w:rPr>
        <w:t>Daphnia magna</w:t>
      </w:r>
      <w:r w:rsidRPr="0098635C">
        <w:rPr>
          <w:color w:val="000000" w:themeColor="text1"/>
          <w:sz w:val="20"/>
          <w:szCs w:val="20"/>
        </w:rPr>
        <w:t xml:space="preserve">). The </w:t>
      </w:r>
      <w:r w:rsidR="001C150D" w:rsidRPr="0098635C">
        <w:rPr>
          <w:color w:val="000000" w:themeColor="text1"/>
          <w:sz w:val="20"/>
          <w:szCs w:val="20"/>
        </w:rPr>
        <w:t>potential</w:t>
      </w:r>
      <w:r w:rsidRPr="0098635C">
        <w:rPr>
          <w:color w:val="000000" w:themeColor="text1"/>
          <w:sz w:val="20"/>
          <w:szCs w:val="20"/>
        </w:rPr>
        <w:t xml:space="preserve"> of the BLM for predicting copper toxicity to other invertebrates was demonstrated from copper toxicity studies with </w:t>
      </w:r>
      <w:r w:rsidRPr="0098635C">
        <w:rPr>
          <w:i/>
          <w:color w:val="000000" w:themeColor="text1"/>
          <w:sz w:val="20"/>
          <w:szCs w:val="20"/>
        </w:rPr>
        <w:t>Bra</w:t>
      </w:r>
      <w:r w:rsidR="001C150D" w:rsidRPr="0098635C">
        <w:rPr>
          <w:i/>
          <w:color w:val="000000" w:themeColor="text1"/>
          <w:sz w:val="20"/>
          <w:szCs w:val="20"/>
        </w:rPr>
        <w:t>chy</w:t>
      </w:r>
      <w:r w:rsidRPr="0098635C">
        <w:rPr>
          <w:i/>
          <w:color w:val="000000" w:themeColor="text1"/>
          <w:sz w:val="20"/>
          <w:szCs w:val="20"/>
        </w:rPr>
        <w:t>onus calyciflorus</w:t>
      </w:r>
      <w:r w:rsidRPr="0098635C">
        <w:rPr>
          <w:color w:val="000000" w:themeColor="text1"/>
          <w:sz w:val="20"/>
          <w:szCs w:val="20"/>
        </w:rPr>
        <w:t xml:space="preserve">, </w:t>
      </w:r>
      <w:r w:rsidRPr="0098635C">
        <w:rPr>
          <w:i/>
          <w:color w:val="000000" w:themeColor="text1"/>
          <w:sz w:val="20"/>
          <w:szCs w:val="20"/>
        </w:rPr>
        <w:t>Lampilis siliquoidea</w:t>
      </w:r>
      <w:r w:rsidRPr="0098635C">
        <w:rPr>
          <w:color w:val="000000" w:themeColor="text1"/>
          <w:sz w:val="20"/>
          <w:szCs w:val="20"/>
        </w:rPr>
        <w:t xml:space="preserve">, </w:t>
      </w:r>
      <w:r w:rsidRPr="0098635C">
        <w:rPr>
          <w:i/>
          <w:color w:val="000000" w:themeColor="text1"/>
          <w:sz w:val="20"/>
          <w:szCs w:val="20"/>
        </w:rPr>
        <w:t>Hyridella depressa</w:t>
      </w:r>
      <w:r w:rsidRPr="0098635C">
        <w:rPr>
          <w:color w:val="000000" w:themeColor="text1"/>
          <w:sz w:val="20"/>
          <w:szCs w:val="20"/>
        </w:rPr>
        <w:t xml:space="preserve"> and </w:t>
      </w:r>
      <w:r w:rsidRPr="0098635C">
        <w:rPr>
          <w:i/>
          <w:color w:val="000000" w:themeColor="text1"/>
          <w:sz w:val="20"/>
          <w:szCs w:val="20"/>
        </w:rPr>
        <w:t>Hyalella azteca</w:t>
      </w:r>
    </w:p>
    <w:p w14:paraId="5DBE9A33" w14:textId="77777777" w:rsidR="006C1B60" w:rsidRPr="0098635C" w:rsidRDefault="006C1B60" w:rsidP="0059369A">
      <w:pPr>
        <w:pStyle w:val="ListParagraph"/>
        <w:numPr>
          <w:ilvl w:val="0"/>
          <w:numId w:val="8"/>
        </w:numPr>
        <w:rPr>
          <w:color w:val="000000" w:themeColor="text1"/>
          <w:sz w:val="20"/>
          <w:szCs w:val="20"/>
        </w:rPr>
      </w:pPr>
      <w:r w:rsidRPr="0098635C">
        <w:rPr>
          <w:color w:val="000000" w:themeColor="text1"/>
          <w:sz w:val="20"/>
          <w:szCs w:val="20"/>
        </w:rPr>
        <w:t>a unified chronic model for 2 fish species (</w:t>
      </w:r>
      <w:r w:rsidRPr="0098635C">
        <w:rPr>
          <w:i/>
          <w:color w:val="000000" w:themeColor="text1"/>
          <w:sz w:val="20"/>
          <w:szCs w:val="20"/>
        </w:rPr>
        <w:t xml:space="preserve">Pimephales promelas </w:t>
      </w:r>
      <w:r w:rsidRPr="0098635C">
        <w:rPr>
          <w:color w:val="000000" w:themeColor="text1"/>
          <w:sz w:val="20"/>
          <w:szCs w:val="20"/>
        </w:rPr>
        <w:t xml:space="preserve">and </w:t>
      </w:r>
      <w:r w:rsidRPr="0098635C">
        <w:rPr>
          <w:i/>
          <w:color w:val="000000" w:themeColor="text1"/>
          <w:sz w:val="20"/>
          <w:szCs w:val="20"/>
        </w:rPr>
        <w:t>Oncorhynchus mykiss</w:t>
      </w:r>
      <w:r w:rsidRPr="0098635C">
        <w:rPr>
          <w:color w:val="000000" w:themeColor="text1"/>
          <w:sz w:val="20"/>
          <w:szCs w:val="20"/>
        </w:rPr>
        <w:t>).</w:t>
      </w:r>
    </w:p>
    <w:p w14:paraId="742E6C8B" w14:textId="1125CE50" w:rsidR="006C1B60" w:rsidRPr="0098635C" w:rsidRDefault="006C1B60" w:rsidP="00326669">
      <w:pPr>
        <w:spacing w:after="0"/>
        <w:rPr>
          <w:color w:val="000000" w:themeColor="text1"/>
          <w:sz w:val="20"/>
          <w:szCs w:val="20"/>
        </w:rPr>
      </w:pPr>
      <w:r w:rsidRPr="0098635C">
        <w:rPr>
          <w:color w:val="000000" w:themeColor="text1"/>
          <w:sz w:val="20"/>
          <w:szCs w:val="20"/>
        </w:rPr>
        <w:t xml:space="preserve">The boundaries of the BLM applicability </w:t>
      </w:r>
      <w:r w:rsidR="001C150D" w:rsidRPr="0098635C">
        <w:rPr>
          <w:color w:val="000000" w:themeColor="text1"/>
          <w:sz w:val="20"/>
          <w:szCs w:val="20"/>
        </w:rPr>
        <w:t xml:space="preserve">are provided in </w:t>
      </w:r>
      <w:r w:rsidR="00E230FB" w:rsidRPr="0098635C">
        <w:rPr>
          <w:b/>
          <w:color w:val="000000" w:themeColor="text1"/>
          <w:sz w:val="20"/>
          <w:szCs w:val="20"/>
        </w:rPr>
        <w:fldChar w:fldCharType="begin"/>
      </w:r>
      <w:r w:rsidR="001C150D" w:rsidRPr="0098635C">
        <w:rPr>
          <w:b/>
          <w:color w:val="000000" w:themeColor="text1"/>
          <w:sz w:val="20"/>
          <w:szCs w:val="20"/>
        </w:rPr>
        <w:instrText xml:space="preserve"> REF _Ref259944371 \h </w:instrText>
      </w:r>
      <w:r w:rsidR="00370F46" w:rsidRPr="0098635C">
        <w:rPr>
          <w:b/>
          <w:color w:val="000000" w:themeColor="text1"/>
          <w:sz w:val="20"/>
          <w:szCs w:val="20"/>
        </w:rPr>
        <w:instrText xml:space="preserve"> \* MERGEFORMAT </w:instrText>
      </w:r>
      <w:r w:rsidR="00E230FB" w:rsidRPr="0098635C">
        <w:rPr>
          <w:b/>
          <w:color w:val="000000" w:themeColor="text1"/>
          <w:sz w:val="20"/>
          <w:szCs w:val="20"/>
        </w:rPr>
      </w:r>
      <w:r w:rsidR="00E230FB" w:rsidRPr="0098635C">
        <w:rPr>
          <w:b/>
          <w:color w:val="000000" w:themeColor="text1"/>
          <w:sz w:val="20"/>
          <w:szCs w:val="20"/>
        </w:rPr>
        <w:fldChar w:fldCharType="separate"/>
      </w:r>
      <w:r w:rsidR="005E5161" w:rsidRPr="0098635C">
        <w:rPr>
          <w:color w:val="000000" w:themeColor="text1"/>
          <w:sz w:val="20"/>
          <w:szCs w:val="20"/>
        </w:rPr>
        <w:t xml:space="preserve">Table </w:t>
      </w:r>
      <w:r w:rsidR="005E5161" w:rsidRPr="0098635C">
        <w:rPr>
          <w:noProof/>
          <w:color w:val="000000" w:themeColor="text1"/>
          <w:sz w:val="20"/>
          <w:szCs w:val="20"/>
        </w:rPr>
        <w:t>30</w:t>
      </w:r>
      <w:r w:rsidR="00E230FB" w:rsidRPr="0098635C">
        <w:rPr>
          <w:b/>
          <w:color w:val="000000" w:themeColor="text1"/>
          <w:sz w:val="20"/>
          <w:szCs w:val="20"/>
        </w:rPr>
        <w:fldChar w:fldCharType="end"/>
      </w:r>
      <w:r w:rsidR="001C150D" w:rsidRPr="0098635C">
        <w:rPr>
          <w:color w:val="000000" w:themeColor="text1"/>
          <w:sz w:val="20"/>
          <w:szCs w:val="20"/>
        </w:rPr>
        <w:t>.</w:t>
      </w:r>
    </w:p>
    <w:p w14:paraId="3406FE6B" w14:textId="25186F44" w:rsidR="009743BD" w:rsidRPr="0098635C" w:rsidRDefault="001C150D" w:rsidP="00326669">
      <w:pPr>
        <w:pStyle w:val="Caption"/>
        <w:spacing w:after="0"/>
        <w:ind w:left="0"/>
        <w:jc w:val="center"/>
        <w:rPr>
          <w:rFonts w:ascii="Times New Roman" w:hAnsi="Times New Roman"/>
          <w:color w:val="000000" w:themeColor="text1"/>
          <w:sz w:val="20"/>
          <w:lang w:val="en-GB"/>
        </w:rPr>
      </w:pPr>
      <w:bookmarkStart w:id="1993" w:name="_Ref259944371"/>
      <w:r w:rsidRPr="0098635C">
        <w:rPr>
          <w:rFonts w:ascii="Times New Roman" w:hAnsi="Times New Roman"/>
          <w:color w:val="000000" w:themeColor="text1"/>
          <w:sz w:val="20"/>
        </w:rPr>
        <w:t xml:space="preserve">Table </w:t>
      </w:r>
      <w:r w:rsidR="00E230FB" w:rsidRPr="0098635C">
        <w:rPr>
          <w:rFonts w:ascii="Times New Roman" w:hAnsi="Times New Roman"/>
          <w:color w:val="000000" w:themeColor="text1"/>
          <w:sz w:val="20"/>
        </w:rPr>
        <w:fldChar w:fldCharType="begin"/>
      </w:r>
      <w:r w:rsidRPr="0098635C">
        <w:rPr>
          <w:rFonts w:ascii="Times New Roman" w:hAnsi="Times New Roman"/>
          <w:color w:val="000000" w:themeColor="text1"/>
          <w:sz w:val="20"/>
        </w:rPr>
        <w:instrText xml:space="preserve"> SEQ Table \* ARABIC </w:instrText>
      </w:r>
      <w:r w:rsidR="00E230FB" w:rsidRPr="0098635C">
        <w:rPr>
          <w:rFonts w:ascii="Times New Roman" w:hAnsi="Times New Roman"/>
          <w:color w:val="000000" w:themeColor="text1"/>
          <w:sz w:val="20"/>
        </w:rPr>
        <w:fldChar w:fldCharType="separate"/>
      </w:r>
      <w:r w:rsidR="005E5161" w:rsidRPr="0098635C">
        <w:rPr>
          <w:rFonts w:ascii="Times New Roman" w:hAnsi="Times New Roman"/>
          <w:noProof/>
          <w:color w:val="000000" w:themeColor="text1"/>
          <w:sz w:val="20"/>
        </w:rPr>
        <w:t>30</w:t>
      </w:r>
      <w:r w:rsidR="00E230FB" w:rsidRPr="0098635C">
        <w:rPr>
          <w:rFonts w:ascii="Times New Roman" w:hAnsi="Times New Roman"/>
          <w:color w:val="000000" w:themeColor="text1"/>
          <w:sz w:val="20"/>
        </w:rPr>
        <w:fldChar w:fldCharType="end"/>
      </w:r>
      <w:bookmarkEnd w:id="1993"/>
      <w:r w:rsidRPr="0098635C">
        <w:rPr>
          <w:rFonts w:ascii="Times New Roman" w:hAnsi="Times New Roman"/>
          <w:color w:val="000000" w:themeColor="text1"/>
          <w:sz w:val="20"/>
          <w:lang w:val="en-GB"/>
        </w:rPr>
        <w:t xml:space="preserve">:  Applicability of the copper freshwater </w:t>
      </w:r>
      <w:r w:rsidR="00247E89" w:rsidRPr="0098635C">
        <w:rPr>
          <w:rFonts w:ascii="Times New Roman" w:hAnsi="Times New Roman"/>
          <w:color w:val="000000" w:themeColor="text1"/>
          <w:sz w:val="20"/>
          <w:lang w:val="en-GB"/>
        </w:rPr>
        <w:t>BLM (</w:t>
      </w:r>
      <w:r w:rsidR="0024748A" w:rsidRPr="0098635C">
        <w:rPr>
          <w:rFonts w:ascii="Times New Roman" w:hAnsi="Times New Roman"/>
          <w:color w:val="000000" w:themeColor="text1"/>
          <w:sz w:val="20"/>
          <w:lang w:val="en-GB"/>
        </w:rPr>
        <w:t>hardness</w:t>
      </w:r>
      <w:r w:rsidR="009743BD" w:rsidRPr="0098635C">
        <w:rPr>
          <w:rFonts w:ascii="Times New Roman" w:hAnsi="Times New Roman"/>
          <w:color w:val="000000" w:themeColor="text1"/>
          <w:sz w:val="20"/>
          <w:lang w:val="en-GB"/>
        </w:rPr>
        <w:t xml:space="preserve"> in mg CaCO3/L</w:t>
      </w:r>
      <w:r w:rsidR="0024748A" w:rsidRPr="0098635C">
        <w:rPr>
          <w:rFonts w:ascii="Times New Roman" w:hAnsi="Times New Roman"/>
          <w:color w:val="000000" w:themeColor="text1"/>
          <w:sz w:val="20"/>
          <w:lang w:val="en-GB"/>
        </w:rPr>
        <w:t>; DOC</w:t>
      </w:r>
      <w:r w:rsidR="009743BD" w:rsidRPr="0098635C">
        <w:rPr>
          <w:rFonts w:ascii="Times New Roman" w:hAnsi="Times New Roman"/>
          <w:color w:val="000000" w:themeColor="text1"/>
          <w:sz w:val="20"/>
          <w:lang w:val="en-GB"/>
        </w:rPr>
        <w:t xml:space="preserve"> in </w:t>
      </w:r>
      <w:r w:rsidR="0024748A" w:rsidRPr="0098635C">
        <w:rPr>
          <w:rFonts w:ascii="Times New Roman" w:hAnsi="Times New Roman"/>
          <w:color w:val="000000" w:themeColor="text1"/>
          <w:sz w:val="20"/>
          <w:lang w:val="en-GB"/>
        </w:rPr>
        <w:t>mg/L)</w:t>
      </w:r>
      <w:r w:rsidR="00B930EB" w:rsidRPr="0098635C">
        <w:rPr>
          <w:rFonts w:ascii="Times New Roman" w:hAnsi="Times New Roman"/>
          <w:color w:val="000000" w:themeColor="text1"/>
          <w:sz w:val="20"/>
          <w:lang w:val="en-GB"/>
        </w:rPr>
        <w:t xml:space="preserve"> (from</w:t>
      </w:r>
      <w:r w:rsidR="001A1117" w:rsidRPr="0098635C">
        <w:rPr>
          <w:rFonts w:ascii="Times New Roman" w:hAnsi="Times New Roman"/>
          <w:color w:val="000000" w:themeColor="text1"/>
          <w:sz w:val="20"/>
          <w:lang w:val="en-GB"/>
        </w:rPr>
        <w:t xml:space="preserve"> </w:t>
      </w:r>
      <w:hyperlink r:id="rId32" w:history="1">
        <w:r w:rsidR="001A1117" w:rsidRPr="0098635C">
          <w:rPr>
            <w:rStyle w:val="Hyperlink"/>
            <w:b w:val="0"/>
            <w:color w:val="000000" w:themeColor="text1"/>
          </w:rPr>
          <w:t>http://echa.europa.eu/web/guest/copper-voluntary-risk-assessment-reports</w:t>
        </w:r>
      </w:hyperlink>
      <w:r w:rsidR="001A1117" w:rsidRPr="0098635C">
        <w:rPr>
          <w:rStyle w:val="Hyperlink"/>
          <w:b w:val="0"/>
          <w:color w:val="000000" w:themeColor="text1"/>
          <w:lang w:val="de-DE"/>
        </w:rPr>
        <w:t>)</w:t>
      </w:r>
      <w:r w:rsidR="00B930EB" w:rsidRPr="0098635C">
        <w:rPr>
          <w:rFonts w:ascii="Times New Roman" w:hAnsi="Times New Roman"/>
          <w:color w:val="000000" w:themeColor="text1"/>
          <w:sz w:val="20"/>
          <w:lang w:val="en-GB"/>
        </w:rPr>
        <w:t xml:space="preserve"> </w:t>
      </w:r>
    </w:p>
    <w:p w14:paraId="0B5B1455" w14:textId="77777777" w:rsidR="00497DC3" w:rsidRPr="0098635C" w:rsidRDefault="003E37F5" w:rsidP="001C150D">
      <w:pPr>
        <w:rPr>
          <w:color w:val="000000" w:themeColor="text1"/>
          <w:sz w:val="20"/>
          <w:szCs w:val="20"/>
        </w:rPr>
      </w:pPr>
      <w:r w:rsidRPr="0098635C">
        <w:rPr>
          <w:color w:val="000000" w:themeColor="text1"/>
          <w:sz w:val="20"/>
          <w:szCs w:val="20"/>
        </w:rPr>
        <w:t>.</w:t>
      </w:r>
      <w:r w:rsidR="001C150D" w:rsidRPr="0098635C">
        <w:rPr>
          <w:noProof/>
          <w:color w:val="000000" w:themeColor="text1"/>
          <w:sz w:val="20"/>
          <w:szCs w:val="20"/>
          <w:lang w:eastAsia="en-GB"/>
        </w:rPr>
        <w:t xml:space="preserve"> </w:t>
      </w:r>
      <w:r w:rsidR="001C150D" w:rsidRPr="0098635C">
        <w:rPr>
          <w:noProof/>
          <w:color w:val="000000" w:themeColor="text1"/>
          <w:sz w:val="20"/>
          <w:szCs w:val="20"/>
          <w:lang w:eastAsia="en-GB"/>
        </w:rPr>
        <w:drawing>
          <wp:inline distT="0" distB="0" distL="0" distR="0" wp14:anchorId="686F6032" wp14:editId="680EE267">
            <wp:extent cx="6274213" cy="1114425"/>
            <wp:effectExtent l="0" t="0" r="0"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287351" cy="1116759"/>
                    </a:xfrm>
                    <a:prstGeom prst="rect">
                      <a:avLst/>
                    </a:prstGeom>
                    <a:noFill/>
                    <a:ln>
                      <a:noFill/>
                    </a:ln>
                  </pic:spPr>
                </pic:pic>
              </a:graphicData>
            </a:graphic>
          </wp:inline>
        </w:drawing>
      </w:r>
    </w:p>
    <w:p w14:paraId="4027C2F7" w14:textId="35714232" w:rsidR="005D5CAC" w:rsidRPr="0098635C" w:rsidRDefault="001C150D" w:rsidP="001C150D">
      <w:pPr>
        <w:rPr>
          <w:color w:val="000000" w:themeColor="text1"/>
          <w:sz w:val="20"/>
          <w:szCs w:val="20"/>
        </w:rPr>
      </w:pPr>
      <w:r w:rsidRPr="0098635C">
        <w:rPr>
          <w:color w:val="000000" w:themeColor="text1"/>
          <w:sz w:val="20"/>
          <w:szCs w:val="20"/>
        </w:rPr>
        <w:t>The BLMs developed for chronic fish (</w:t>
      </w:r>
      <w:r w:rsidRPr="0098635C">
        <w:rPr>
          <w:i/>
          <w:color w:val="000000" w:themeColor="text1"/>
          <w:sz w:val="20"/>
          <w:szCs w:val="20"/>
        </w:rPr>
        <w:t>P. promelas</w:t>
      </w:r>
      <w:r w:rsidRPr="0098635C">
        <w:rPr>
          <w:color w:val="000000" w:themeColor="text1"/>
          <w:sz w:val="20"/>
          <w:szCs w:val="20"/>
        </w:rPr>
        <w:t xml:space="preserve"> and </w:t>
      </w:r>
      <w:r w:rsidRPr="0098635C">
        <w:rPr>
          <w:i/>
          <w:color w:val="000000" w:themeColor="text1"/>
          <w:sz w:val="20"/>
          <w:szCs w:val="20"/>
        </w:rPr>
        <w:t>O. mykiss</w:t>
      </w:r>
      <w:r w:rsidRPr="0098635C">
        <w:rPr>
          <w:color w:val="000000" w:themeColor="text1"/>
          <w:sz w:val="20"/>
          <w:szCs w:val="20"/>
        </w:rPr>
        <w:t>), invertebrates (</w:t>
      </w:r>
      <w:r w:rsidRPr="0098635C">
        <w:rPr>
          <w:i/>
          <w:color w:val="000000" w:themeColor="text1"/>
          <w:sz w:val="20"/>
          <w:szCs w:val="20"/>
        </w:rPr>
        <w:t>D. magna</w:t>
      </w:r>
      <w:r w:rsidRPr="0098635C">
        <w:rPr>
          <w:color w:val="000000" w:themeColor="text1"/>
          <w:sz w:val="20"/>
          <w:szCs w:val="20"/>
        </w:rPr>
        <w:t>) and algae (</w:t>
      </w:r>
      <w:r w:rsidRPr="0098635C">
        <w:rPr>
          <w:i/>
          <w:color w:val="000000" w:themeColor="text1"/>
          <w:sz w:val="20"/>
          <w:szCs w:val="20"/>
        </w:rPr>
        <w:t>P. subcapitata</w:t>
      </w:r>
      <w:r w:rsidRPr="0098635C">
        <w:rPr>
          <w:color w:val="000000" w:themeColor="text1"/>
          <w:sz w:val="20"/>
          <w:szCs w:val="20"/>
        </w:rPr>
        <w:t>) can be used for the normalisation of all retained chronic NOEC values of respectively fish, invertebrates and algae/plant species. Briefly, the bioavailability normalisation process normalises the NOEC/(L(E)C</w:t>
      </w:r>
      <w:r w:rsidRPr="0098635C">
        <w:rPr>
          <w:color w:val="000000" w:themeColor="text1"/>
          <w:sz w:val="20"/>
          <w:szCs w:val="20"/>
          <w:vertAlign w:val="subscript"/>
        </w:rPr>
        <w:t xml:space="preserve">10 </w:t>
      </w:r>
      <w:r w:rsidRPr="0098635C">
        <w:rPr>
          <w:color w:val="000000" w:themeColor="text1"/>
          <w:sz w:val="20"/>
          <w:szCs w:val="20"/>
        </w:rPr>
        <w:t>values to site-specific physicochemical conditions (i.e. pH, hardness and dissolved organic carbon (DOC). With the normalised NOEC/(L(E)C10 values it is possible to construct Species Sensitivity Distributions for a range of physico-chemical conditions in different types of surface waters, and HC</w:t>
      </w:r>
      <w:r w:rsidRPr="0098635C">
        <w:rPr>
          <w:color w:val="000000" w:themeColor="text1"/>
          <w:sz w:val="20"/>
          <w:szCs w:val="20"/>
          <w:vertAlign w:val="subscript"/>
        </w:rPr>
        <w:t>5,50%</w:t>
      </w:r>
      <w:r w:rsidR="006608BB" w:rsidRPr="0098635C">
        <w:rPr>
          <w:rStyle w:val="FootnoteReference"/>
          <w:color w:val="000000" w:themeColor="text1"/>
          <w:sz w:val="20"/>
          <w:szCs w:val="20"/>
          <w:vertAlign w:val="subscript"/>
        </w:rPr>
        <w:footnoteReference w:id="31"/>
      </w:r>
      <w:r w:rsidRPr="0098635C">
        <w:rPr>
          <w:color w:val="000000" w:themeColor="text1"/>
          <w:sz w:val="20"/>
          <w:szCs w:val="20"/>
        </w:rPr>
        <w:t xml:space="preserve"> </w:t>
      </w:r>
      <w:r w:rsidR="006608BB" w:rsidRPr="0098635C">
        <w:rPr>
          <w:color w:val="000000" w:themeColor="text1"/>
          <w:sz w:val="20"/>
          <w:szCs w:val="20"/>
        </w:rPr>
        <w:t xml:space="preserve"> </w:t>
      </w:r>
      <w:r w:rsidRPr="0098635C">
        <w:rPr>
          <w:color w:val="000000" w:themeColor="text1"/>
          <w:sz w:val="20"/>
          <w:szCs w:val="20"/>
        </w:rPr>
        <w:t>value</w:t>
      </w:r>
      <w:r w:rsidR="00D36B8A" w:rsidRPr="0098635C">
        <w:rPr>
          <w:color w:val="000000" w:themeColor="text1"/>
          <w:sz w:val="20"/>
          <w:szCs w:val="20"/>
        </w:rPr>
        <w:t>s</w:t>
      </w:r>
      <w:r w:rsidRPr="0098635C">
        <w:rPr>
          <w:color w:val="000000" w:themeColor="text1"/>
          <w:sz w:val="20"/>
          <w:szCs w:val="20"/>
        </w:rPr>
        <w:t xml:space="preserve"> can be derived from these SSDs</w:t>
      </w:r>
      <w:r w:rsidR="00D36B8A" w:rsidRPr="0098635C">
        <w:rPr>
          <w:color w:val="000000" w:themeColor="text1"/>
          <w:sz w:val="20"/>
          <w:szCs w:val="20"/>
        </w:rPr>
        <w:t xml:space="preserve">. </w:t>
      </w:r>
      <w:r w:rsidRPr="0098635C">
        <w:rPr>
          <w:color w:val="000000" w:themeColor="text1"/>
          <w:sz w:val="20"/>
          <w:szCs w:val="20"/>
        </w:rPr>
        <w:t>Within the context</w:t>
      </w:r>
      <w:r w:rsidR="00D36B8A" w:rsidRPr="0098635C">
        <w:rPr>
          <w:color w:val="000000" w:themeColor="text1"/>
          <w:sz w:val="20"/>
          <w:szCs w:val="20"/>
        </w:rPr>
        <w:t xml:space="preserve"> of REACH (EU-regulation) several </w:t>
      </w:r>
      <w:r w:rsidR="00D05142" w:rsidRPr="0098635C">
        <w:rPr>
          <w:color w:val="000000" w:themeColor="text1"/>
          <w:sz w:val="20"/>
          <w:szCs w:val="20"/>
        </w:rPr>
        <w:t>HC</w:t>
      </w:r>
      <w:r w:rsidR="00D05142" w:rsidRPr="0098635C">
        <w:rPr>
          <w:color w:val="000000" w:themeColor="text1"/>
          <w:sz w:val="20"/>
          <w:szCs w:val="20"/>
          <w:vertAlign w:val="subscript"/>
        </w:rPr>
        <w:t>5,50%</w:t>
      </w:r>
      <w:r w:rsidR="00D05142" w:rsidRPr="0098635C">
        <w:rPr>
          <w:color w:val="000000" w:themeColor="text1"/>
          <w:sz w:val="20"/>
          <w:szCs w:val="20"/>
        </w:rPr>
        <w:t xml:space="preserve"> values were determined for different types of EU surface waters</w:t>
      </w:r>
      <w:r w:rsidR="001D5E8A" w:rsidRPr="0098635C">
        <w:rPr>
          <w:color w:val="000000" w:themeColor="text1"/>
          <w:sz w:val="20"/>
          <w:szCs w:val="20"/>
        </w:rPr>
        <w:t xml:space="preserve">. </w:t>
      </w:r>
      <w:r w:rsidR="00960C7A" w:rsidRPr="0098635C">
        <w:rPr>
          <w:color w:val="000000" w:themeColor="text1"/>
          <w:sz w:val="20"/>
          <w:szCs w:val="20"/>
        </w:rPr>
        <w:t>The BLM derived HC</w:t>
      </w:r>
      <w:r w:rsidR="00960C7A" w:rsidRPr="0098635C">
        <w:rPr>
          <w:color w:val="000000" w:themeColor="text1"/>
          <w:sz w:val="20"/>
          <w:szCs w:val="20"/>
          <w:vertAlign w:val="subscript"/>
        </w:rPr>
        <w:t>5,50%</w:t>
      </w:r>
      <w:r w:rsidR="00960C7A" w:rsidRPr="0098635C">
        <w:rPr>
          <w:color w:val="000000" w:themeColor="text1"/>
          <w:sz w:val="20"/>
          <w:szCs w:val="20"/>
        </w:rPr>
        <w:t xml:space="preserve"> values as low as 1 µg/L but t</w:t>
      </w:r>
      <w:r w:rsidR="00D05142" w:rsidRPr="0098635C">
        <w:rPr>
          <w:color w:val="000000" w:themeColor="text1"/>
          <w:sz w:val="20"/>
          <w:szCs w:val="20"/>
        </w:rPr>
        <w:t xml:space="preserve">ypical values </w:t>
      </w:r>
      <w:r w:rsidR="00960C7A" w:rsidRPr="0098635C">
        <w:rPr>
          <w:color w:val="000000" w:themeColor="text1"/>
          <w:sz w:val="20"/>
          <w:szCs w:val="20"/>
        </w:rPr>
        <w:t xml:space="preserve">for EU Surface waters </w:t>
      </w:r>
      <w:r w:rsidR="00D05142" w:rsidRPr="0098635C">
        <w:rPr>
          <w:color w:val="000000" w:themeColor="text1"/>
          <w:sz w:val="20"/>
          <w:szCs w:val="20"/>
        </w:rPr>
        <w:t>range between 7</w:t>
      </w:r>
      <w:r w:rsidR="00960C7A" w:rsidRPr="0098635C">
        <w:rPr>
          <w:color w:val="000000" w:themeColor="text1"/>
          <w:sz w:val="20"/>
          <w:szCs w:val="20"/>
        </w:rPr>
        <w:t xml:space="preserve"> </w:t>
      </w:r>
      <w:r w:rsidR="00D05142" w:rsidRPr="0098635C">
        <w:rPr>
          <w:color w:val="000000" w:themeColor="text1"/>
          <w:sz w:val="20"/>
          <w:szCs w:val="20"/>
        </w:rPr>
        <w:t xml:space="preserve">and </w:t>
      </w:r>
      <w:r w:rsidR="001D5E8A" w:rsidRPr="0098635C">
        <w:rPr>
          <w:color w:val="000000" w:themeColor="text1"/>
          <w:sz w:val="20"/>
          <w:szCs w:val="20"/>
        </w:rPr>
        <w:t xml:space="preserve">30 </w:t>
      </w:r>
      <w:r w:rsidR="00D05142" w:rsidRPr="0098635C">
        <w:rPr>
          <w:color w:val="000000" w:themeColor="text1"/>
          <w:sz w:val="20"/>
          <w:szCs w:val="20"/>
        </w:rPr>
        <w:t>µg Cu/L.</w:t>
      </w:r>
      <w:r w:rsidRPr="0098635C">
        <w:rPr>
          <w:color w:val="000000" w:themeColor="text1"/>
          <w:sz w:val="20"/>
          <w:szCs w:val="20"/>
        </w:rPr>
        <w:t xml:space="preserve"> </w:t>
      </w:r>
      <w:r w:rsidR="001E0C24" w:rsidRPr="0098635C">
        <w:rPr>
          <w:color w:val="000000" w:themeColor="text1"/>
          <w:sz w:val="20"/>
          <w:szCs w:val="20"/>
        </w:rPr>
        <w:t xml:space="preserve">More information is available from </w:t>
      </w:r>
      <w:r w:rsidR="001E0C24" w:rsidRPr="0098635C">
        <w:rPr>
          <w:bCs/>
          <w:color w:val="000000" w:themeColor="text1"/>
          <w:sz w:val="20"/>
          <w:szCs w:val="20"/>
        </w:rPr>
        <w:t>ENV/JM/MONO</w:t>
      </w:r>
      <w:r w:rsidR="00585ED0" w:rsidRPr="0098635C">
        <w:rPr>
          <w:bCs/>
          <w:color w:val="000000" w:themeColor="text1"/>
          <w:sz w:val="20"/>
          <w:szCs w:val="20"/>
        </w:rPr>
        <w:t xml:space="preserve"> </w:t>
      </w:r>
      <w:r w:rsidR="001E0C24" w:rsidRPr="0098635C">
        <w:rPr>
          <w:bCs/>
          <w:color w:val="000000" w:themeColor="text1"/>
          <w:sz w:val="20"/>
          <w:szCs w:val="20"/>
        </w:rPr>
        <w:t>(2012</w:t>
      </w:r>
      <w:r w:rsidR="001E0C24" w:rsidRPr="0098635C">
        <w:rPr>
          <w:b/>
          <w:bCs/>
          <w:color w:val="000000" w:themeColor="text1"/>
          <w:sz w:val="20"/>
          <w:szCs w:val="20"/>
        </w:rPr>
        <w:t>)</w:t>
      </w:r>
      <w:r w:rsidR="001E0C24" w:rsidRPr="0098635C">
        <w:rPr>
          <w:color w:val="000000" w:themeColor="text1"/>
          <w:sz w:val="20"/>
          <w:szCs w:val="20"/>
        </w:rPr>
        <w:t>.</w:t>
      </w:r>
    </w:p>
    <w:p w14:paraId="506F5F83" w14:textId="77777777" w:rsidR="00AA095B" w:rsidRPr="0098635C" w:rsidRDefault="00AA095B" w:rsidP="00F91AEC">
      <w:pPr>
        <w:spacing w:after="0"/>
        <w:rPr>
          <w:color w:val="000000" w:themeColor="text1"/>
          <w:sz w:val="20"/>
          <w:szCs w:val="20"/>
          <w:u w:val="single"/>
        </w:rPr>
      </w:pPr>
      <w:r w:rsidRPr="0098635C">
        <w:rPr>
          <w:color w:val="000000" w:themeColor="text1"/>
          <w:sz w:val="20"/>
          <w:szCs w:val="20"/>
          <w:u w:val="single"/>
        </w:rPr>
        <w:t>Mesocosm-studies</w:t>
      </w:r>
    </w:p>
    <w:p w14:paraId="5BB00000" w14:textId="77777777" w:rsidR="00DB1659" w:rsidRPr="0098635C" w:rsidRDefault="00B71ACD" w:rsidP="00F91AEC">
      <w:pPr>
        <w:pStyle w:val="BodyText"/>
        <w:spacing w:after="0"/>
        <w:rPr>
          <w:color w:val="000000" w:themeColor="text1"/>
          <w:sz w:val="20"/>
        </w:rPr>
      </w:pPr>
      <w:r w:rsidRPr="0098635C">
        <w:rPr>
          <w:color w:val="000000" w:themeColor="text1"/>
          <w:sz w:val="20"/>
        </w:rPr>
        <w:t>Schaefers et al (2003) investigated the effects of a permanent copper sulphate exposure to a lentic aquatic system for a period of 110 days simulating early summer to autumn in indoor semi-realistic microcosms including phyto- and zooplankton, macrophytes, and benthic invertebrates. A total number of sixty different taxonomic groups were assessed in this study. With respect to water qualities and bioavailable exposure comparable to that of the microcosms tested the NOEAC (No Observed Ecologically Acceptable Concentration) and LOEAEC (Lowest Observed Ecologically Adverse Effects Concentration) for this study were set to 20 µg/</w:t>
      </w:r>
      <w:r w:rsidR="00AA095B" w:rsidRPr="0098635C">
        <w:rPr>
          <w:color w:val="000000" w:themeColor="text1"/>
          <w:sz w:val="20"/>
        </w:rPr>
        <w:t>L</w:t>
      </w:r>
      <w:r w:rsidRPr="0098635C">
        <w:rPr>
          <w:color w:val="000000" w:themeColor="text1"/>
          <w:sz w:val="20"/>
        </w:rPr>
        <w:t xml:space="preserve">  and 40 µg Cu/L total dissolved copper. At the NOEAC, some significant effects occurred. However, all these effects were slight and mainly temporary effects without permanent impact on ecosystem quality, neither in structure nor in function (standing crop). </w:t>
      </w:r>
    </w:p>
    <w:p w14:paraId="09FCF0EC" w14:textId="77777777" w:rsidR="00D05142" w:rsidRPr="0098635C" w:rsidRDefault="00D05142" w:rsidP="00D05142">
      <w:pPr>
        <w:pStyle w:val="BodyText"/>
        <w:spacing w:after="0"/>
        <w:rPr>
          <w:color w:val="000000" w:themeColor="text1"/>
          <w:sz w:val="20"/>
        </w:rPr>
      </w:pPr>
    </w:p>
    <w:p w14:paraId="47B336F2" w14:textId="086C7E21" w:rsidR="00B71ACD" w:rsidRPr="0098635C" w:rsidRDefault="00B71ACD" w:rsidP="00B71ACD">
      <w:pPr>
        <w:pStyle w:val="BodyText"/>
        <w:rPr>
          <w:color w:val="000000" w:themeColor="text1"/>
          <w:sz w:val="20"/>
        </w:rPr>
      </w:pPr>
      <w:r w:rsidRPr="0098635C">
        <w:rPr>
          <w:color w:val="000000" w:themeColor="text1"/>
          <w:sz w:val="20"/>
        </w:rPr>
        <w:t>Markedly lower NOECs of 4.0 µg/</w:t>
      </w:r>
      <w:r w:rsidR="00AA095B" w:rsidRPr="0098635C">
        <w:rPr>
          <w:color w:val="000000" w:themeColor="text1"/>
          <w:sz w:val="20"/>
        </w:rPr>
        <w:t>L</w:t>
      </w:r>
      <w:r w:rsidRPr="0098635C">
        <w:rPr>
          <w:color w:val="000000" w:themeColor="text1"/>
          <w:sz w:val="20"/>
        </w:rPr>
        <w:t xml:space="preserve"> (total copper)/ 3.6 µg/</w:t>
      </w:r>
      <w:r w:rsidR="00AA095B" w:rsidRPr="0098635C">
        <w:rPr>
          <w:color w:val="000000" w:themeColor="text1"/>
          <w:sz w:val="20"/>
        </w:rPr>
        <w:t>L</w:t>
      </w:r>
      <w:r w:rsidRPr="0098635C">
        <w:rPr>
          <w:color w:val="000000" w:themeColor="text1"/>
          <w:sz w:val="20"/>
        </w:rPr>
        <w:t xml:space="preserve"> (dissolved copper) were reported by Hed</w:t>
      </w:r>
      <w:r w:rsidR="00103BED" w:rsidRPr="0098635C">
        <w:rPr>
          <w:color w:val="000000" w:themeColor="text1"/>
          <w:sz w:val="20"/>
        </w:rPr>
        <w:t>t</w:t>
      </w:r>
      <w:r w:rsidRPr="0098635C">
        <w:rPr>
          <w:color w:val="000000" w:themeColor="text1"/>
          <w:sz w:val="20"/>
        </w:rPr>
        <w:t>ke (1984) for primary producers in the water column. At the end of the study (32 weeks after the starting exposition), gross primary production was significantly lower at 9.3 µg/</w:t>
      </w:r>
      <w:r w:rsidR="00AA095B" w:rsidRPr="0098635C">
        <w:rPr>
          <w:color w:val="000000" w:themeColor="text1"/>
          <w:sz w:val="20"/>
        </w:rPr>
        <w:t>L</w:t>
      </w:r>
      <w:r w:rsidRPr="0098635C">
        <w:rPr>
          <w:color w:val="000000" w:themeColor="text1"/>
          <w:sz w:val="20"/>
        </w:rPr>
        <w:t xml:space="preserve"> total Cu, respectively 8.8 µg/</w:t>
      </w:r>
      <w:r w:rsidR="00AA095B" w:rsidRPr="0098635C">
        <w:rPr>
          <w:color w:val="000000" w:themeColor="text1"/>
          <w:sz w:val="20"/>
        </w:rPr>
        <w:t>L</w:t>
      </w:r>
      <w:r w:rsidRPr="0098635C">
        <w:rPr>
          <w:color w:val="000000" w:themeColor="text1"/>
          <w:sz w:val="20"/>
        </w:rPr>
        <w:t xml:space="preserve"> dissolved Cu. The macroalgae </w:t>
      </w:r>
      <w:r w:rsidRPr="0098635C">
        <w:rPr>
          <w:i/>
          <w:color w:val="000000" w:themeColor="text1"/>
          <w:sz w:val="20"/>
        </w:rPr>
        <w:t>Vaucheria</w:t>
      </w:r>
      <w:r w:rsidRPr="0098635C">
        <w:rPr>
          <w:color w:val="000000" w:themeColor="text1"/>
          <w:sz w:val="20"/>
        </w:rPr>
        <w:t>, showed significantly lower abundances at 8.8 µg dissolved Cu/L (reduction around 71 % compared to controls). However, based on observed abundances of different taxonomic groups (including cladoceran zooplankton groups), the authors concluded that macro-invertebrate abundance, microbial population activities and periphyton growth were less sensitive than primary producers or zooplankton species. The lowest concentration that affected a species of these taxonomic groups was 25 µg dissolved Cu/</w:t>
      </w:r>
      <w:r w:rsidR="00AA095B" w:rsidRPr="0098635C">
        <w:rPr>
          <w:color w:val="000000" w:themeColor="text1"/>
          <w:sz w:val="20"/>
        </w:rPr>
        <w:t>L</w:t>
      </w:r>
      <w:r w:rsidRPr="0098635C">
        <w:rPr>
          <w:color w:val="000000" w:themeColor="text1"/>
          <w:sz w:val="20"/>
        </w:rPr>
        <w:t xml:space="preserve"> (reduced survival of snails </w:t>
      </w:r>
      <w:r w:rsidRPr="0098635C">
        <w:rPr>
          <w:i/>
          <w:color w:val="000000" w:themeColor="text1"/>
          <w:sz w:val="20"/>
        </w:rPr>
        <w:t>Viviparus</w:t>
      </w:r>
      <w:r w:rsidRPr="0098635C">
        <w:rPr>
          <w:color w:val="000000" w:themeColor="text1"/>
          <w:sz w:val="20"/>
        </w:rPr>
        <w:t xml:space="preserve">).  The main conclusion of this study was that substantial structural effects were observed only at 25 µg dissolved Cu/L. </w:t>
      </w:r>
    </w:p>
    <w:p w14:paraId="414FB802" w14:textId="4536A3EB" w:rsidR="00B71ACD" w:rsidRPr="0098635C" w:rsidRDefault="00B71ACD" w:rsidP="00B71ACD">
      <w:pPr>
        <w:pStyle w:val="BodyText"/>
        <w:rPr>
          <w:color w:val="000000" w:themeColor="text1"/>
          <w:sz w:val="20"/>
        </w:rPr>
      </w:pPr>
      <w:r w:rsidRPr="0098635C">
        <w:rPr>
          <w:color w:val="000000" w:themeColor="text1"/>
          <w:sz w:val="20"/>
        </w:rPr>
        <w:t>A third</w:t>
      </w:r>
      <w:r w:rsidR="00AA095B" w:rsidRPr="0098635C">
        <w:rPr>
          <w:color w:val="000000" w:themeColor="text1"/>
          <w:sz w:val="20"/>
        </w:rPr>
        <w:t>,</w:t>
      </w:r>
      <w:r w:rsidRPr="0098635C">
        <w:rPr>
          <w:color w:val="000000" w:themeColor="text1"/>
          <w:sz w:val="20"/>
        </w:rPr>
        <w:t xml:space="preserve"> 18 month mesocosm study</w:t>
      </w:r>
      <w:r w:rsidR="00AA095B" w:rsidRPr="0098635C">
        <w:rPr>
          <w:color w:val="000000" w:themeColor="text1"/>
          <w:sz w:val="20"/>
        </w:rPr>
        <w:t xml:space="preserve"> was</w:t>
      </w:r>
      <w:r w:rsidRPr="0098635C">
        <w:rPr>
          <w:color w:val="000000" w:themeColor="text1"/>
          <w:sz w:val="20"/>
        </w:rPr>
        <w:t xml:space="preserve"> conducted by Roussel (2005)</w:t>
      </w:r>
      <w:r w:rsidR="00AA095B" w:rsidRPr="0098635C">
        <w:rPr>
          <w:color w:val="000000" w:themeColor="text1"/>
          <w:sz w:val="20"/>
        </w:rPr>
        <w:t xml:space="preserve">. This study allowed the evaluation of </w:t>
      </w:r>
      <w:r w:rsidRPr="0098635C">
        <w:rPr>
          <w:color w:val="000000" w:themeColor="text1"/>
          <w:sz w:val="20"/>
        </w:rPr>
        <w:t>the effects of copper on the structure and function of freshwater ecosystems using experimental streams that allowed the realisation of an ecologically realistic study while controlling many parameters (contaminant exposure, water and sediment quality, antecedent of biotic and abiotic material, etc.). Community structure of phytoplankton, periphyton, macrophytes, zooplankton, macroinvertebrates, emerging insects, aquatic hyphomycètes and population dynamics of three-spined sticklebacks w</w:t>
      </w:r>
      <w:r w:rsidR="00AA095B" w:rsidRPr="0098635C">
        <w:rPr>
          <w:color w:val="000000" w:themeColor="text1"/>
          <w:sz w:val="20"/>
        </w:rPr>
        <w:t>ere</w:t>
      </w:r>
      <w:r w:rsidRPr="0098635C">
        <w:rPr>
          <w:color w:val="000000" w:themeColor="text1"/>
          <w:sz w:val="20"/>
        </w:rPr>
        <w:t xml:space="preserve"> monitored. </w:t>
      </w:r>
      <w:r w:rsidR="00AA095B" w:rsidRPr="0098635C">
        <w:rPr>
          <w:color w:val="000000" w:themeColor="text1"/>
          <w:sz w:val="20"/>
        </w:rPr>
        <w:t>The</w:t>
      </w:r>
      <w:r w:rsidRPr="0098635C">
        <w:rPr>
          <w:color w:val="000000" w:themeColor="text1"/>
          <w:sz w:val="20"/>
        </w:rPr>
        <w:t xml:space="preserve"> 75 µg/L treatment</w:t>
      </w:r>
      <w:r w:rsidR="00AA095B" w:rsidRPr="0098635C">
        <w:rPr>
          <w:color w:val="000000" w:themeColor="text1"/>
          <w:sz w:val="20"/>
        </w:rPr>
        <w:t xml:space="preserve"> revealed </w:t>
      </w:r>
      <w:r w:rsidRPr="0098635C">
        <w:rPr>
          <w:color w:val="000000" w:themeColor="text1"/>
          <w:sz w:val="20"/>
        </w:rPr>
        <w:t>a decreased abundance of macrophytes, zooplankton, macro</w:t>
      </w:r>
      <w:r w:rsidR="00892B01" w:rsidRPr="0098635C">
        <w:rPr>
          <w:color w:val="000000" w:themeColor="text1"/>
          <w:sz w:val="20"/>
        </w:rPr>
        <w:t>-</w:t>
      </w:r>
      <w:r w:rsidRPr="0098635C">
        <w:rPr>
          <w:color w:val="000000" w:themeColor="text1"/>
          <w:sz w:val="20"/>
        </w:rPr>
        <w:t>invertebrates and an increased abundance of periphyton, emerging insects and fish</w:t>
      </w:r>
      <w:r w:rsidR="00AA095B" w:rsidRPr="0098635C">
        <w:rPr>
          <w:color w:val="000000" w:themeColor="text1"/>
          <w:sz w:val="20"/>
        </w:rPr>
        <w:t>, and t</w:t>
      </w:r>
      <w:r w:rsidRPr="0098635C">
        <w:rPr>
          <w:color w:val="000000" w:themeColor="text1"/>
          <w:sz w:val="20"/>
        </w:rPr>
        <w:t xml:space="preserve">axa richness was lowered in all communities in the 75 µg/L treatment. </w:t>
      </w:r>
      <w:r w:rsidR="00AA095B" w:rsidRPr="0098635C">
        <w:rPr>
          <w:color w:val="000000" w:themeColor="text1"/>
          <w:sz w:val="20"/>
        </w:rPr>
        <w:t>T</w:t>
      </w:r>
      <w:r w:rsidRPr="0098635C">
        <w:rPr>
          <w:color w:val="000000" w:themeColor="text1"/>
          <w:sz w:val="20"/>
        </w:rPr>
        <w:t xml:space="preserve">his study highlighted the interest of studying both ecosystem structure and function to identify a range of responses as symptoms of ecosystem dysfunctions. Considering all results, a NOEAEC ecosystem was set at 4 µg/l (as dissolved), with a LOAEC of </w:t>
      </w:r>
      <w:r w:rsidR="00247E89" w:rsidRPr="0098635C">
        <w:rPr>
          <w:color w:val="000000" w:themeColor="text1"/>
          <w:sz w:val="20"/>
        </w:rPr>
        <w:t>20 µ</w:t>
      </w:r>
      <w:r w:rsidRPr="0098635C">
        <w:rPr>
          <w:color w:val="000000" w:themeColor="text1"/>
          <w:sz w:val="20"/>
        </w:rPr>
        <w:t>g Cu/L</w:t>
      </w:r>
      <w:r w:rsidR="00E81B9B" w:rsidRPr="0098635C">
        <w:rPr>
          <w:color w:val="000000" w:themeColor="text1"/>
          <w:sz w:val="20"/>
        </w:rPr>
        <w:t xml:space="preserve">. </w:t>
      </w:r>
    </w:p>
    <w:p w14:paraId="2A52F341" w14:textId="77777777" w:rsidR="007C7E94" w:rsidRPr="0098635C" w:rsidRDefault="00AA095B">
      <w:pPr>
        <w:rPr>
          <w:color w:val="000000" w:themeColor="text1"/>
          <w:sz w:val="20"/>
          <w:szCs w:val="20"/>
        </w:rPr>
      </w:pPr>
      <w:r w:rsidRPr="0098635C">
        <w:rPr>
          <w:color w:val="000000" w:themeColor="text1"/>
          <w:sz w:val="20"/>
          <w:szCs w:val="20"/>
        </w:rPr>
        <w:t xml:space="preserve">In addition, it is noteworthy that detailed comparisons between the BLM predicted and observed mesocosm effects, demonstrated that the developed BLM could adequately predict the mesocosm sensitivity within a factor of 2. </w:t>
      </w:r>
    </w:p>
    <w:p w14:paraId="4B4AC5E0" w14:textId="77777777" w:rsidR="007062A6" w:rsidRPr="0098635C" w:rsidRDefault="0045039C" w:rsidP="007062A6">
      <w:pPr>
        <w:pStyle w:val="BodyText"/>
        <w:rPr>
          <w:color w:val="000000" w:themeColor="text1"/>
          <w:sz w:val="20"/>
        </w:rPr>
      </w:pPr>
      <w:r w:rsidRPr="0098635C">
        <w:rPr>
          <w:color w:val="000000" w:themeColor="text1"/>
          <w:sz w:val="20"/>
          <w:u w:val="single"/>
        </w:rPr>
        <w:t>It can thus be concluded</w:t>
      </w:r>
      <w:r w:rsidR="00892B01" w:rsidRPr="0098635C">
        <w:rPr>
          <w:color w:val="000000" w:themeColor="text1"/>
          <w:sz w:val="20"/>
        </w:rPr>
        <w:t xml:space="preserve"> that </w:t>
      </w:r>
      <w:r w:rsidR="007062A6" w:rsidRPr="0098635C">
        <w:rPr>
          <w:color w:val="000000" w:themeColor="text1"/>
          <w:sz w:val="20"/>
        </w:rPr>
        <w:t>the ecotoxicity of copper to aquatic organisms</w:t>
      </w:r>
      <w:r w:rsidR="000A4355" w:rsidRPr="0098635C">
        <w:rPr>
          <w:color w:val="000000" w:themeColor="text1"/>
          <w:sz w:val="20"/>
        </w:rPr>
        <w:t xml:space="preserve"> is explained by</w:t>
      </w:r>
      <w:r w:rsidR="007062A6" w:rsidRPr="0098635C">
        <w:rPr>
          <w:color w:val="000000" w:themeColor="text1"/>
          <w:sz w:val="20"/>
        </w:rPr>
        <w:t xml:space="preserve">:  </w:t>
      </w:r>
    </w:p>
    <w:p w14:paraId="0E96043C" w14:textId="77777777" w:rsidR="007C7E94" w:rsidRPr="0098635C" w:rsidRDefault="000A4355" w:rsidP="0059369A">
      <w:pPr>
        <w:pStyle w:val="BodyText"/>
        <w:numPr>
          <w:ilvl w:val="0"/>
          <w:numId w:val="9"/>
        </w:numPr>
        <w:rPr>
          <w:color w:val="000000" w:themeColor="text1"/>
          <w:sz w:val="20"/>
        </w:rPr>
      </w:pPr>
      <w:r w:rsidRPr="0098635C">
        <w:rPr>
          <w:color w:val="000000" w:themeColor="text1"/>
          <w:sz w:val="20"/>
        </w:rPr>
        <w:t>The toxicity response is species-specific and related to water-borne exposure</w:t>
      </w:r>
      <w:r w:rsidR="00960C7A" w:rsidRPr="0098635C">
        <w:rPr>
          <w:color w:val="000000" w:themeColor="text1"/>
          <w:sz w:val="20"/>
        </w:rPr>
        <w:t xml:space="preserve">.  </w:t>
      </w:r>
    </w:p>
    <w:p w14:paraId="48BC0860" w14:textId="5E3EDB41" w:rsidR="006D3681" w:rsidRPr="0098635C" w:rsidRDefault="00E230FB" w:rsidP="0059369A">
      <w:pPr>
        <w:pStyle w:val="ListParagraph"/>
        <w:numPr>
          <w:ilvl w:val="0"/>
          <w:numId w:val="35"/>
        </w:numPr>
        <w:spacing w:before="80"/>
        <w:rPr>
          <w:color w:val="000000" w:themeColor="text1"/>
          <w:sz w:val="20"/>
          <w:szCs w:val="20"/>
        </w:rPr>
      </w:pPr>
      <w:r w:rsidRPr="0098635C">
        <w:rPr>
          <w:color w:val="000000" w:themeColor="text1"/>
          <w:sz w:val="20"/>
          <w:szCs w:val="20"/>
        </w:rPr>
        <w:t>The mechanism of copper-induced toxicity</w:t>
      </w:r>
      <w:r w:rsidR="00E35FD0" w:rsidRPr="0098635C">
        <w:rPr>
          <w:color w:val="000000" w:themeColor="text1"/>
          <w:sz w:val="20"/>
          <w:szCs w:val="20"/>
        </w:rPr>
        <w:t xml:space="preserve"> is</w:t>
      </w:r>
      <w:r w:rsidRPr="0098635C">
        <w:rPr>
          <w:color w:val="000000" w:themeColor="text1"/>
          <w:sz w:val="20"/>
          <w:szCs w:val="20"/>
        </w:rPr>
        <w:t xml:space="preserve"> disturbance of the sodium homeostasis. The key target tissue for copper toxicity is therefore the water/organism interface, with cell wall and gill-like surfaces acting as target biotic </w:t>
      </w:r>
      <w:r w:rsidR="00247E89" w:rsidRPr="0098635C">
        <w:rPr>
          <w:color w:val="000000" w:themeColor="text1"/>
          <w:sz w:val="20"/>
          <w:szCs w:val="20"/>
        </w:rPr>
        <w:t>ligands (e.g.</w:t>
      </w:r>
      <w:r w:rsidR="00E35FD0" w:rsidRPr="0098635C">
        <w:rPr>
          <w:color w:val="000000" w:themeColor="text1"/>
          <w:sz w:val="20"/>
          <w:szCs w:val="20"/>
        </w:rPr>
        <w:t xml:space="preserve"> </w:t>
      </w:r>
      <w:r w:rsidRPr="0098635C">
        <w:rPr>
          <w:color w:val="000000" w:themeColor="text1"/>
          <w:sz w:val="20"/>
          <w:szCs w:val="20"/>
        </w:rPr>
        <w:t>Playle</w:t>
      </w:r>
      <w:r w:rsidR="00247E89" w:rsidRPr="0098635C">
        <w:rPr>
          <w:color w:val="000000" w:themeColor="text1"/>
          <w:sz w:val="20"/>
          <w:szCs w:val="20"/>
        </w:rPr>
        <w:t>, 1993</w:t>
      </w:r>
      <w:r w:rsidR="00E35FD0" w:rsidRPr="0098635C">
        <w:rPr>
          <w:color w:val="000000" w:themeColor="text1"/>
          <w:sz w:val="20"/>
          <w:szCs w:val="20"/>
        </w:rPr>
        <w:t>, Grosell et al., 2002; De Schamp</w:t>
      </w:r>
      <w:r w:rsidR="00417E64" w:rsidRPr="0098635C">
        <w:rPr>
          <w:color w:val="000000" w:themeColor="text1"/>
          <w:sz w:val="20"/>
          <w:szCs w:val="20"/>
        </w:rPr>
        <w:t>helae</w:t>
      </w:r>
      <w:r w:rsidR="00E35FD0" w:rsidRPr="0098635C">
        <w:rPr>
          <w:color w:val="000000" w:themeColor="text1"/>
          <w:sz w:val="20"/>
          <w:szCs w:val="20"/>
        </w:rPr>
        <w:t>re and Jannsen</w:t>
      </w:r>
      <w:r w:rsidR="00247E89" w:rsidRPr="0098635C">
        <w:rPr>
          <w:color w:val="000000" w:themeColor="text1"/>
          <w:sz w:val="20"/>
          <w:szCs w:val="20"/>
        </w:rPr>
        <w:t>, 2004</w:t>
      </w:r>
      <w:r w:rsidRPr="0098635C">
        <w:rPr>
          <w:color w:val="000000" w:themeColor="text1"/>
          <w:sz w:val="20"/>
          <w:szCs w:val="20"/>
        </w:rPr>
        <w:t xml:space="preserve">). </w:t>
      </w:r>
      <w:r w:rsidR="006D3681" w:rsidRPr="0098635C">
        <w:rPr>
          <w:color w:val="000000" w:themeColor="text1"/>
          <w:sz w:val="20"/>
          <w:szCs w:val="20"/>
        </w:rPr>
        <w:t xml:space="preserve"> </w:t>
      </w:r>
    </w:p>
    <w:p w14:paraId="5F625757" w14:textId="77777777" w:rsidR="00585ED0" w:rsidRPr="0098635C" w:rsidRDefault="00585ED0" w:rsidP="00326669">
      <w:pPr>
        <w:pStyle w:val="ListParagraph"/>
        <w:spacing w:before="80"/>
        <w:rPr>
          <w:color w:val="000000" w:themeColor="text1"/>
          <w:sz w:val="20"/>
          <w:szCs w:val="20"/>
        </w:rPr>
      </w:pPr>
    </w:p>
    <w:p w14:paraId="5B50EDBE" w14:textId="461BB3CD" w:rsidR="00326669" w:rsidRPr="0098635C" w:rsidRDefault="006D3681" w:rsidP="0059369A">
      <w:pPr>
        <w:pStyle w:val="ListParagraph"/>
        <w:numPr>
          <w:ilvl w:val="0"/>
          <w:numId w:val="9"/>
        </w:numPr>
        <w:spacing w:before="80"/>
        <w:rPr>
          <w:color w:val="000000" w:themeColor="text1"/>
          <w:sz w:val="20"/>
          <w:szCs w:val="20"/>
        </w:rPr>
      </w:pPr>
      <w:r w:rsidRPr="0098635C">
        <w:rPr>
          <w:color w:val="000000" w:themeColor="text1"/>
          <w:sz w:val="20"/>
          <w:szCs w:val="20"/>
        </w:rPr>
        <w:t>The information on the ecotoxicity following exposures, through water and/or food and the information on metal bio-accumulation and homeostasis explain the observed small ratios between mortality and sub-lethal endpoints (typically a factor of 1 to 3)</w:t>
      </w:r>
      <w:r w:rsidR="00326669" w:rsidRPr="0098635C">
        <w:rPr>
          <w:color w:val="000000" w:themeColor="text1"/>
          <w:sz w:val="20"/>
          <w:szCs w:val="20"/>
        </w:rPr>
        <w:t>.</w:t>
      </w:r>
      <w:r w:rsidR="00E230FB" w:rsidRPr="0098635C">
        <w:rPr>
          <w:color w:val="000000" w:themeColor="text1"/>
          <w:sz w:val="20"/>
          <w:szCs w:val="20"/>
        </w:rPr>
        <w:t xml:space="preserve">  </w:t>
      </w:r>
    </w:p>
    <w:p w14:paraId="62D0ED12" w14:textId="77777777" w:rsidR="00326669" w:rsidRPr="0098635C" w:rsidRDefault="00326669" w:rsidP="00326669">
      <w:pPr>
        <w:pStyle w:val="ListParagraph"/>
        <w:spacing w:before="80"/>
        <w:rPr>
          <w:color w:val="000000" w:themeColor="text1"/>
          <w:sz w:val="20"/>
          <w:szCs w:val="20"/>
        </w:rPr>
      </w:pPr>
    </w:p>
    <w:p w14:paraId="2260A65F" w14:textId="4557E4B3" w:rsidR="00FB6BC7" w:rsidRPr="0098635C" w:rsidRDefault="009A0415" w:rsidP="0059369A">
      <w:pPr>
        <w:pStyle w:val="ListParagraph"/>
        <w:numPr>
          <w:ilvl w:val="0"/>
          <w:numId w:val="9"/>
        </w:numPr>
        <w:spacing w:before="80"/>
        <w:rPr>
          <w:color w:val="000000" w:themeColor="text1"/>
          <w:sz w:val="20"/>
          <w:szCs w:val="20"/>
        </w:rPr>
      </w:pPr>
      <w:r w:rsidRPr="0098635C">
        <w:rPr>
          <w:color w:val="000000" w:themeColor="text1"/>
          <w:sz w:val="20"/>
          <w:szCs w:val="20"/>
        </w:rPr>
        <w:t>A Species Sensitivity Distribution constructed</w:t>
      </w:r>
      <w:r w:rsidR="00FB6BC7" w:rsidRPr="0098635C">
        <w:rPr>
          <w:color w:val="000000" w:themeColor="text1"/>
          <w:sz w:val="20"/>
          <w:szCs w:val="20"/>
        </w:rPr>
        <w:t>,</w:t>
      </w:r>
      <w:r w:rsidRPr="0098635C">
        <w:rPr>
          <w:color w:val="000000" w:themeColor="text1"/>
          <w:sz w:val="20"/>
          <w:szCs w:val="20"/>
        </w:rPr>
        <w:t xml:space="preserve"> using the non-normalised species-mean NOEC values for the most sensitive endpoints</w:t>
      </w:r>
      <w:r w:rsidR="00FB6BC7" w:rsidRPr="0098635C">
        <w:rPr>
          <w:color w:val="000000" w:themeColor="text1"/>
          <w:sz w:val="20"/>
          <w:szCs w:val="20"/>
        </w:rPr>
        <w:t xml:space="preserve">, </w:t>
      </w:r>
      <w:r w:rsidRPr="0098635C">
        <w:rPr>
          <w:color w:val="000000" w:themeColor="text1"/>
          <w:sz w:val="20"/>
          <w:szCs w:val="20"/>
        </w:rPr>
        <w:t xml:space="preserve">resulted in a log normal HC5,50%  of 6 µg Cu/L. </w:t>
      </w:r>
      <w:r w:rsidR="007062A6" w:rsidRPr="0098635C">
        <w:rPr>
          <w:color w:val="000000" w:themeColor="text1"/>
          <w:sz w:val="20"/>
          <w:szCs w:val="20"/>
        </w:rPr>
        <w:t>The toxicity response strongly depends on the abiotic properties of the test medium (pH, hardness, dissolved organic carbon</w:t>
      </w:r>
      <w:r w:rsidR="00960C7A" w:rsidRPr="0098635C">
        <w:rPr>
          <w:color w:val="000000" w:themeColor="text1"/>
          <w:sz w:val="20"/>
          <w:szCs w:val="20"/>
        </w:rPr>
        <w:t>)</w:t>
      </w:r>
      <w:r w:rsidR="0029351D" w:rsidRPr="0098635C">
        <w:rPr>
          <w:color w:val="000000" w:themeColor="text1"/>
          <w:sz w:val="20"/>
          <w:szCs w:val="20"/>
        </w:rPr>
        <w:t xml:space="preserve">.  </w:t>
      </w:r>
      <w:r w:rsidR="00960C7A" w:rsidRPr="0098635C">
        <w:rPr>
          <w:color w:val="000000" w:themeColor="text1"/>
          <w:sz w:val="20"/>
          <w:szCs w:val="20"/>
        </w:rPr>
        <w:t xml:space="preserve"> BLM derived safe threshold values, typically</w:t>
      </w:r>
      <w:r w:rsidR="0022003D" w:rsidRPr="0098635C">
        <w:rPr>
          <w:color w:val="000000" w:themeColor="text1"/>
          <w:sz w:val="20"/>
          <w:szCs w:val="20"/>
        </w:rPr>
        <w:t xml:space="preserve"> ranging between 7 and 27 µg/L (see further)</w:t>
      </w:r>
    </w:p>
    <w:p w14:paraId="5ABD9778" w14:textId="77777777" w:rsidR="00585ED0" w:rsidRPr="0098635C" w:rsidRDefault="00585ED0" w:rsidP="00326669">
      <w:pPr>
        <w:pStyle w:val="ListParagraph"/>
        <w:spacing w:before="80"/>
        <w:rPr>
          <w:color w:val="000000" w:themeColor="text1"/>
          <w:sz w:val="20"/>
          <w:szCs w:val="20"/>
        </w:rPr>
      </w:pPr>
    </w:p>
    <w:p w14:paraId="2A8ECEEA" w14:textId="613064DC" w:rsidR="00FB6BC7" w:rsidRPr="0098635C" w:rsidRDefault="00FB6BC7" w:rsidP="0059369A">
      <w:pPr>
        <w:pStyle w:val="ListParagraph"/>
        <w:numPr>
          <w:ilvl w:val="0"/>
          <w:numId w:val="9"/>
        </w:numPr>
        <w:spacing w:before="80"/>
        <w:rPr>
          <w:color w:val="000000" w:themeColor="text1"/>
          <w:sz w:val="20"/>
          <w:szCs w:val="20"/>
        </w:rPr>
      </w:pPr>
      <w:r w:rsidRPr="0098635C">
        <w:rPr>
          <w:color w:val="000000" w:themeColor="text1"/>
          <w:sz w:val="20"/>
          <w:szCs w:val="20"/>
        </w:rPr>
        <w:t xml:space="preserve">Considering that a clear “definition” of deficiency is difficult to provide and deficiency levels </w:t>
      </w:r>
      <w:r w:rsidR="00247E89" w:rsidRPr="0098635C">
        <w:rPr>
          <w:color w:val="000000" w:themeColor="text1"/>
          <w:sz w:val="20"/>
          <w:szCs w:val="20"/>
        </w:rPr>
        <w:t>ranging</w:t>
      </w:r>
      <w:r w:rsidRPr="0098635C">
        <w:rPr>
          <w:color w:val="000000" w:themeColor="text1"/>
          <w:sz w:val="20"/>
          <w:szCs w:val="20"/>
        </w:rPr>
        <w:t xml:space="preserve"> between 1 and 10 µg Cu/l have been reported. </w:t>
      </w:r>
      <w:r w:rsidR="00E35FD0" w:rsidRPr="0098635C">
        <w:rPr>
          <w:color w:val="000000" w:themeColor="text1"/>
          <w:sz w:val="20"/>
          <w:szCs w:val="20"/>
        </w:rPr>
        <w:t xml:space="preserve"> </w:t>
      </w:r>
      <w:r w:rsidR="006D3681" w:rsidRPr="0098635C">
        <w:rPr>
          <w:color w:val="000000" w:themeColor="text1"/>
          <w:sz w:val="20"/>
          <w:szCs w:val="20"/>
        </w:rPr>
        <w:t>A</w:t>
      </w:r>
      <w:r w:rsidRPr="0098635C">
        <w:rPr>
          <w:color w:val="000000" w:themeColor="text1"/>
          <w:sz w:val="20"/>
          <w:szCs w:val="20"/>
        </w:rPr>
        <w:t>cclimation was not used as a selection criterium for copper toxicity data.</w:t>
      </w:r>
    </w:p>
    <w:p w14:paraId="43A4AA38" w14:textId="3DAE3DD6" w:rsidR="0029351D" w:rsidRPr="0098635C" w:rsidRDefault="009743BD" w:rsidP="0059369A">
      <w:pPr>
        <w:pStyle w:val="BodyText"/>
        <w:numPr>
          <w:ilvl w:val="0"/>
          <w:numId w:val="9"/>
        </w:numPr>
        <w:rPr>
          <w:color w:val="000000" w:themeColor="text1"/>
          <w:sz w:val="20"/>
        </w:rPr>
      </w:pPr>
      <w:r w:rsidRPr="0098635C">
        <w:rPr>
          <w:color w:val="000000" w:themeColor="text1"/>
          <w:sz w:val="20"/>
        </w:rPr>
        <w:t>T</w:t>
      </w:r>
      <w:r w:rsidR="007062A6" w:rsidRPr="0098635C">
        <w:rPr>
          <w:color w:val="000000" w:themeColor="text1"/>
          <w:sz w:val="20"/>
        </w:rPr>
        <w:t>oxicity response</w:t>
      </w:r>
      <w:r w:rsidRPr="0098635C">
        <w:rPr>
          <w:color w:val="000000" w:themeColor="text1"/>
          <w:sz w:val="20"/>
        </w:rPr>
        <w:t>s,</w:t>
      </w:r>
      <w:r w:rsidR="00585ED0" w:rsidRPr="0098635C">
        <w:rPr>
          <w:color w:val="000000" w:themeColor="text1"/>
          <w:sz w:val="20"/>
        </w:rPr>
        <w:t xml:space="preserve"> </w:t>
      </w:r>
      <w:r w:rsidR="007062A6" w:rsidRPr="0098635C">
        <w:rPr>
          <w:color w:val="000000" w:themeColor="text1"/>
          <w:sz w:val="20"/>
        </w:rPr>
        <w:t>dependent on background levels and thus acclimation of the organisms</w:t>
      </w:r>
      <w:r w:rsidRPr="0098635C">
        <w:rPr>
          <w:color w:val="000000" w:themeColor="text1"/>
          <w:sz w:val="20"/>
        </w:rPr>
        <w:t>, has been observed  for e</w:t>
      </w:r>
      <w:r w:rsidR="00B25E9F" w:rsidRPr="0098635C">
        <w:rPr>
          <w:color w:val="000000" w:themeColor="text1"/>
          <w:sz w:val="20"/>
        </w:rPr>
        <w:t>.</w:t>
      </w:r>
      <w:r w:rsidRPr="0098635C">
        <w:rPr>
          <w:color w:val="000000" w:themeColor="text1"/>
          <w:sz w:val="20"/>
        </w:rPr>
        <w:t>g</w:t>
      </w:r>
      <w:r w:rsidR="00B25E9F" w:rsidRPr="0098635C">
        <w:rPr>
          <w:color w:val="000000" w:themeColor="text1"/>
          <w:sz w:val="20"/>
        </w:rPr>
        <w:t>.</w:t>
      </w:r>
      <w:r w:rsidRPr="0098635C">
        <w:rPr>
          <w:color w:val="000000" w:themeColor="text1"/>
          <w:sz w:val="20"/>
        </w:rPr>
        <w:t xml:space="preserve"> Daphnia magna</w:t>
      </w:r>
      <w:r w:rsidR="007062A6" w:rsidRPr="0098635C">
        <w:rPr>
          <w:color w:val="000000" w:themeColor="text1"/>
          <w:sz w:val="20"/>
        </w:rPr>
        <w:t>: Research related to copper acclimation and deficiency (Bossuyt et al, 2004) demonstrated that after three generation of acclimation, the optimal concentration ranges (from energy reserves and number of offspring) remained constant between 1 and 35 µg Cu/L. Below</w:t>
      </w:r>
      <w:r w:rsidR="00A5090A" w:rsidRPr="0098635C">
        <w:rPr>
          <w:color w:val="000000" w:themeColor="text1"/>
          <w:sz w:val="20"/>
        </w:rPr>
        <w:t xml:space="preserve"> </w:t>
      </w:r>
      <w:r w:rsidR="007062A6" w:rsidRPr="0098635C">
        <w:rPr>
          <w:color w:val="000000" w:themeColor="text1"/>
          <w:sz w:val="20"/>
        </w:rPr>
        <w:t xml:space="preserve">1 µg Cu/L (a concentration often used as background copper concentration in the ecotoxicity media), copper deficiency was clearly observed. </w:t>
      </w:r>
    </w:p>
    <w:p w14:paraId="1F22FD90" w14:textId="77777777" w:rsidR="0029351D" w:rsidRPr="0098635C" w:rsidRDefault="007C7E94" w:rsidP="003E37F5">
      <w:pPr>
        <w:rPr>
          <w:color w:val="000000" w:themeColor="text1"/>
          <w:sz w:val="20"/>
          <w:szCs w:val="20"/>
          <w:u w:val="single"/>
        </w:rPr>
      </w:pPr>
      <w:r w:rsidRPr="0098635C">
        <w:rPr>
          <w:noProof/>
          <w:color w:val="000000" w:themeColor="text1"/>
          <w:sz w:val="20"/>
          <w:szCs w:val="20"/>
          <w:u w:val="single"/>
          <w:lang w:eastAsia="en-GB"/>
        </w:rPr>
        <w:drawing>
          <wp:anchor distT="0" distB="0" distL="114300" distR="114300" simplePos="0" relativeHeight="251659264" behindDoc="0" locked="0" layoutInCell="1" allowOverlap="1" wp14:anchorId="53D861BC" wp14:editId="2F2A5785">
            <wp:simplePos x="0" y="0"/>
            <wp:positionH relativeFrom="column">
              <wp:posOffset>727710</wp:posOffset>
            </wp:positionH>
            <wp:positionV relativeFrom="paragraph">
              <wp:posOffset>34925</wp:posOffset>
            </wp:positionV>
            <wp:extent cx="3190875" cy="1676400"/>
            <wp:effectExtent l="19050" t="0" r="9525" b="0"/>
            <wp:wrapNone/>
            <wp:docPr id="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srcRect/>
                    <a:stretch>
                      <a:fillRect/>
                    </a:stretch>
                  </pic:blipFill>
                  <pic:spPr bwMode="auto">
                    <a:xfrm>
                      <a:off x="0" y="0"/>
                      <a:ext cx="3190875" cy="1676400"/>
                    </a:xfrm>
                    <a:prstGeom prst="rect">
                      <a:avLst/>
                    </a:prstGeom>
                    <a:noFill/>
                    <a:ln w="9525">
                      <a:noFill/>
                      <a:miter lim="800000"/>
                      <a:headEnd/>
                      <a:tailEnd/>
                    </a:ln>
                  </pic:spPr>
                </pic:pic>
              </a:graphicData>
            </a:graphic>
          </wp:anchor>
        </w:drawing>
      </w:r>
    </w:p>
    <w:p w14:paraId="1C664146" w14:textId="77777777" w:rsidR="0029351D" w:rsidRPr="0098635C" w:rsidRDefault="0029351D" w:rsidP="003E37F5">
      <w:pPr>
        <w:rPr>
          <w:color w:val="000000" w:themeColor="text1"/>
          <w:sz w:val="20"/>
          <w:szCs w:val="20"/>
          <w:u w:val="single"/>
        </w:rPr>
      </w:pPr>
    </w:p>
    <w:p w14:paraId="19E2EA9B" w14:textId="77777777" w:rsidR="0029351D" w:rsidRPr="0098635C" w:rsidRDefault="0029351D" w:rsidP="003E37F5">
      <w:pPr>
        <w:rPr>
          <w:color w:val="000000" w:themeColor="text1"/>
          <w:sz w:val="20"/>
          <w:szCs w:val="20"/>
          <w:u w:val="single"/>
        </w:rPr>
      </w:pPr>
    </w:p>
    <w:p w14:paraId="314EFD6C" w14:textId="77777777" w:rsidR="0029351D" w:rsidRPr="0098635C" w:rsidRDefault="0029351D" w:rsidP="003E37F5">
      <w:pPr>
        <w:rPr>
          <w:color w:val="000000" w:themeColor="text1"/>
          <w:sz w:val="20"/>
          <w:szCs w:val="20"/>
          <w:u w:val="single"/>
        </w:rPr>
      </w:pPr>
    </w:p>
    <w:p w14:paraId="3E5CEC28" w14:textId="77777777" w:rsidR="0029351D" w:rsidRPr="0098635C" w:rsidRDefault="0029351D" w:rsidP="003E37F5">
      <w:pPr>
        <w:rPr>
          <w:color w:val="000000" w:themeColor="text1"/>
          <w:sz w:val="20"/>
          <w:szCs w:val="20"/>
          <w:u w:val="single"/>
        </w:rPr>
      </w:pPr>
    </w:p>
    <w:p w14:paraId="0DDC7ECB" w14:textId="77777777" w:rsidR="0029351D" w:rsidRPr="0098635C" w:rsidRDefault="0029351D" w:rsidP="003E37F5">
      <w:pPr>
        <w:rPr>
          <w:color w:val="000000" w:themeColor="text1"/>
          <w:sz w:val="20"/>
          <w:szCs w:val="20"/>
          <w:u w:val="single"/>
        </w:rPr>
      </w:pPr>
    </w:p>
    <w:p w14:paraId="10390DF5" w14:textId="75538EE1" w:rsidR="009743BD" w:rsidRPr="0098635C" w:rsidRDefault="00C47E01" w:rsidP="006D3681">
      <w:pPr>
        <w:pStyle w:val="Caption"/>
        <w:rPr>
          <w:rFonts w:ascii="Times New Roman" w:hAnsi="Times New Roman"/>
          <w:color w:val="000000" w:themeColor="text1"/>
          <w:sz w:val="20"/>
          <w:lang w:val="en-GB"/>
        </w:rPr>
      </w:pPr>
      <w:r w:rsidRPr="0098635C">
        <w:rPr>
          <w:rFonts w:ascii="Times New Roman" w:hAnsi="Times New Roman"/>
          <w:color w:val="000000" w:themeColor="text1"/>
          <w:sz w:val="20"/>
        </w:rPr>
        <w:t xml:space="preserve">Figure </w:t>
      </w:r>
      <w:r w:rsidR="008D2151" w:rsidRPr="0098635C">
        <w:rPr>
          <w:rFonts w:ascii="Times New Roman" w:hAnsi="Times New Roman"/>
          <w:color w:val="000000" w:themeColor="text1"/>
          <w:sz w:val="20"/>
        </w:rPr>
        <w:fldChar w:fldCharType="begin"/>
      </w:r>
      <w:r w:rsidR="008D2151" w:rsidRPr="0098635C">
        <w:rPr>
          <w:rFonts w:ascii="Times New Roman" w:hAnsi="Times New Roman"/>
          <w:color w:val="000000" w:themeColor="text1"/>
          <w:sz w:val="20"/>
        </w:rPr>
        <w:instrText xml:space="preserve"> SEQ Figure \* ARABIC </w:instrText>
      </w:r>
      <w:r w:rsidR="008D2151" w:rsidRPr="0098635C">
        <w:rPr>
          <w:rFonts w:ascii="Times New Roman" w:hAnsi="Times New Roman"/>
          <w:color w:val="000000" w:themeColor="text1"/>
          <w:sz w:val="20"/>
        </w:rPr>
        <w:fldChar w:fldCharType="separate"/>
      </w:r>
      <w:r w:rsidR="005E5161" w:rsidRPr="0098635C">
        <w:rPr>
          <w:rFonts w:ascii="Times New Roman" w:hAnsi="Times New Roman"/>
          <w:noProof/>
          <w:color w:val="000000" w:themeColor="text1"/>
          <w:sz w:val="20"/>
        </w:rPr>
        <w:t>9</w:t>
      </w:r>
      <w:r w:rsidR="008D2151" w:rsidRPr="0098635C">
        <w:rPr>
          <w:rFonts w:ascii="Times New Roman" w:hAnsi="Times New Roman"/>
          <w:color w:val="000000" w:themeColor="text1"/>
          <w:sz w:val="20"/>
        </w:rPr>
        <w:fldChar w:fldCharType="end"/>
      </w:r>
      <w:r w:rsidR="0045039C" w:rsidRPr="0098635C">
        <w:rPr>
          <w:rFonts w:ascii="Times New Roman" w:hAnsi="Times New Roman"/>
          <w:color w:val="000000" w:themeColor="text1"/>
          <w:sz w:val="20"/>
          <w:lang w:val="en-GB"/>
        </w:rPr>
        <w:t>: Energy reserves (Ea) of first (triangles) and 4</w:t>
      </w:r>
      <w:r w:rsidR="0045039C" w:rsidRPr="0098635C">
        <w:rPr>
          <w:rFonts w:ascii="Times New Roman" w:hAnsi="Times New Roman"/>
          <w:color w:val="000000" w:themeColor="text1"/>
          <w:sz w:val="20"/>
          <w:vertAlign w:val="superscript"/>
          <w:lang w:val="en-GB"/>
        </w:rPr>
        <w:t>th</w:t>
      </w:r>
      <w:r w:rsidR="0045039C" w:rsidRPr="0098635C">
        <w:rPr>
          <w:rFonts w:ascii="Times New Roman" w:hAnsi="Times New Roman"/>
          <w:color w:val="000000" w:themeColor="text1"/>
          <w:sz w:val="20"/>
          <w:lang w:val="en-GB"/>
        </w:rPr>
        <w:t xml:space="preserve"> to 15</w:t>
      </w:r>
      <w:r w:rsidR="0045039C" w:rsidRPr="0098635C">
        <w:rPr>
          <w:rFonts w:ascii="Times New Roman" w:hAnsi="Times New Roman"/>
          <w:color w:val="000000" w:themeColor="text1"/>
          <w:sz w:val="20"/>
          <w:vertAlign w:val="superscript"/>
          <w:lang w:val="en-GB"/>
        </w:rPr>
        <w:t>th</w:t>
      </w:r>
      <w:r w:rsidR="0045039C" w:rsidRPr="0098635C">
        <w:rPr>
          <w:rFonts w:ascii="Times New Roman" w:hAnsi="Times New Roman"/>
          <w:color w:val="000000" w:themeColor="text1"/>
          <w:sz w:val="20"/>
          <w:lang w:val="en-GB"/>
        </w:rPr>
        <w:t xml:space="preserve">  (squares) generation D. magna acclimated to different copper concentrations.  Error bars represent standard deviations. Mean levels for same letter are not significantly different at p&lt;00.5. Ovals represent the optimal concentration range.  From Bossuyt et al., 2004</w:t>
      </w:r>
    </w:p>
    <w:p w14:paraId="6BB8092F" w14:textId="77777777" w:rsidR="00180538" w:rsidRPr="0098635C" w:rsidRDefault="00180538" w:rsidP="00926614">
      <w:pPr>
        <w:pStyle w:val="BodyText"/>
        <w:rPr>
          <w:color w:val="000000" w:themeColor="text1"/>
          <w:sz w:val="20"/>
        </w:rPr>
      </w:pPr>
    </w:p>
    <w:p w14:paraId="56D49FF1" w14:textId="11B3C8A4" w:rsidR="00B25E9F" w:rsidRPr="0098635C" w:rsidRDefault="009743BD" w:rsidP="009743BD">
      <w:pPr>
        <w:pStyle w:val="ListParagraph"/>
        <w:rPr>
          <w:color w:val="000000" w:themeColor="text1"/>
          <w:sz w:val="20"/>
          <w:szCs w:val="20"/>
        </w:rPr>
      </w:pPr>
      <w:r w:rsidRPr="0098635C">
        <w:rPr>
          <w:color w:val="000000" w:themeColor="text1"/>
          <w:sz w:val="20"/>
          <w:szCs w:val="20"/>
        </w:rPr>
        <w:t>Johnson et al. (2007)</w:t>
      </w:r>
      <w:r w:rsidR="00B25E9F" w:rsidRPr="0098635C">
        <w:rPr>
          <w:color w:val="000000" w:themeColor="text1"/>
          <w:sz w:val="20"/>
          <w:szCs w:val="20"/>
        </w:rPr>
        <w:t xml:space="preserve">, however,  reported </w:t>
      </w:r>
      <w:r w:rsidRPr="0098635C">
        <w:rPr>
          <w:color w:val="000000" w:themeColor="text1"/>
          <w:sz w:val="20"/>
          <w:szCs w:val="20"/>
        </w:rPr>
        <w:t xml:space="preserve">that  </w:t>
      </w:r>
      <w:r w:rsidRPr="0098635C">
        <w:rPr>
          <w:i/>
          <w:color w:val="000000" w:themeColor="text1"/>
          <w:sz w:val="20"/>
          <w:szCs w:val="20"/>
        </w:rPr>
        <w:t xml:space="preserve">Chlorella sp., </w:t>
      </w:r>
      <w:r w:rsidRPr="0098635C">
        <w:rPr>
          <w:color w:val="000000" w:themeColor="text1"/>
          <w:sz w:val="20"/>
          <w:szCs w:val="20"/>
        </w:rPr>
        <w:t xml:space="preserve">acclimated </w:t>
      </w:r>
      <w:r w:rsidR="002B60A2" w:rsidRPr="0098635C">
        <w:rPr>
          <w:color w:val="000000" w:themeColor="text1"/>
          <w:sz w:val="20"/>
          <w:szCs w:val="20"/>
        </w:rPr>
        <w:t xml:space="preserve">to 3.4 µg dissolved/L  (3.8 µg  total copper),  did not show </w:t>
      </w:r>
      <w:r w:rsidRPr="0098635C">
        <w:rPr>
          <w:color w:val="000000" w:themeColor="text1"/>
          <w:sz w:val="20"/>
          <w:szCs w:val="20"/>
        </w:rPr>
        <w:t xml:space="preserve"> increased copper tolerance compared with that of the non-acclimated algae</w:t>
      </w:r>
      <w:r w:rsidR="002B60A2" w:rsidRPr="0098635C">
        <w:rPr>
          <w:color w:val="000000" w:themeColor="text1"/>
          <w:sz w:val="20"/>
          <w:szCs w:val="20"/>
        </w:rPr>
        <w:t xml:space="preserve"> (1.4 µg/L total and dissolved copper</w:t>
      </w:r>
      <w:r w:rsidR="00FB6BC7" w:rsidRPr="0098635C">
        <w:rPr>
          <w:color w:val="000000" w:themeColor="text1"/>
          <w:sz w:val="20"/>
          <w:szCs w:val="20"/>
        </w:rPr>
        <w:t>)</w:t>
      </w:r>
      <w:r w:rsidRPr="0098635C">
        <w:rPr>
          <w:color w:val="000000" w:themeColor="text1"/>
          <w:sz w:val="20"/>
          <w:szCs w:val="20"/>
        </w:rPr>
        <w:t>, nor were there any changes in control growth rates.</w:t>
      </w:r>
    </w:p>
    <w:p w14:paraId="73C50698" w14:textId="77777777" w:rsidR="00F225FC" w:rsidRPr="0098635C" w:rsidRDefault="00D05142" w:rsidP="00326669">
      <w:pPr>
        <w:rPr>
          <w:b/>
          <w:i/>
          <w:color w:val="000000" w:themeColor="text1"/>
          <w:sz w:val="20"/>
          <w:szCs w:val="20"/>
        </w:rPr>
      </w:pPr>
      <w:r w:rsidRPr="0098635C">
        <w:rPr>
          <w:b/>
          <w:i/>
          <w:color w:val="000000" w:themeColor="text1"/>
          <w:sz w:val="20"/>
          <w:szCs w:val="20"/>
        </w:rPr>
        <w:t>Uncertainty analysis</w:t>
      </w:r>
    </w:p>
    <w:p w14:paraId="689AFD83" w14:textId="3924F75F" w:rsidR="00053A67" w:rsidRPr="0098635C" w:rsidRDefault="00053A67" w:rsidP="00053A67">
      <w:pPr>
        <w:spacing w:before="80"/>
        <w:rPr>
          <w:color w:val="000000" w:themeColor="text1"/>
          <w:sz w:val="20"/>
          <w:szCs w:val="20"/>
        </w:rPr>
      </w:pPr>
      <w:r w:rsidRPr="0098635C">
        <w:rPr>
          <w:color w:val="000000" w:themeColor="text1"/>
          <w:sz w:val="20"/>
          <w:szCs w:val="20"/>
        </w:rPr>
        <w:t xml:space="preserve">The ecotoxicity data-set covers literature searches and focused research carried between 1988 and 2006. </w:t>
      </w:r>
    </w:p>
    <w:p w14:paraId="1CFC7404" w14:textId="77777777" w:rsidR="005C3ED8" w:rsidRPr="0098635C" w:rsidRDefault="001C1EA7" w:rsidP="00053A67">
      <w:pPr>
        <w:spacing w:before="80"/>
        <w:rPr>
          <w:color w:val="000000" w:themeColor="text1"/>
          <w:sz w:val="20"/>
          <w:szCs w:val="20"/>
        </w:rPr>
      </w:pPr>
      <w:r w:rsidRPr="0098635C">
        <w:rPr>
          <w:rStyle w:val="KorrUK"/>
          <w:rFonts w:ascii="Times New Roman" w:hAnsi="Times New Roman" w:cs="Times New Roman"/>
          <w:color w:val="000000" w:themeColor="text1"/>
          <w:sz w:val="20"/>
          <w:szCs w:val="20"/>
          <w:lang w:eastAsia="nl-NL"/>
        </w:rPr>
        <w:t xml:space="preserve">A summary and evaluation of the ecotoxicity database and derived </w:t>
      </w:r>
      <w:r w:rsidR="007822E6" w:rsidRPr="0098635C">
        <w:rPr>
          <w:rStyle w:val="KorrUK"/>
          <w:rFonts w:ascii="Times New Roman" w:hAnsi="Times New Roman" w:cs="Times New Roman"/>
          <w:color w:val="000000" w:themeColor="text1"/>
          <w:sz w:val="20"/>
          <w:szCs w:val="20"/>
          <w:lang w:eastAsia="nl-NL"/>
        </w:rPr>
        <w:t>safe threshold values (</w:t>
      </w:r>
      <w:r w:rsidR="007822E6" w:rsidRPr="0098635C">
        <w:rPr>
          <w:color w:val="000000" w:themeColor="text1"/>
          <w:sz w:val="20"/>
          <w:szCs w:val="20"/>
        </w:rPr>
        <w:t>HC</w:t>
      </w:r>
      <w:r w:rsidR="007822E6" w:rsidRPr="0098635C">
        <w:rPr>
          <w:color w:val="000000" w:themeColor="text1"/>
          <w:sz w:val="20"/>
          <w:szCs w:val="20"/>
          <w:vertAlign w:val="subscript"/>
        </w:rPr>
        <w:t>5,50%</w:t>
      </w:r>
      <w:r w:rsidR="007822E6" w:rsidRPr="0098635C">
        <w:rPr>
          <w:color w:val="000000" w:themeColor="text1"/>
          <w:sz w:val="20"/>
          <w:szCs w:val="20"/>
        </w:rPr>
        <w:t xml:space="preserve">) </w:t>
      </w:r>
      <w:r w:rsidRPr="0098635C">
        <w:rPr>
          <w:rStyle w:val="KorrUK"/>
          <w:rFonts w:ascii="Times New Roman" w:hAnsi="Times New Roman" w:cs="Times New Roman"/>
          <w:color w:val="000000" w:themeColor="text1"/>
          <w:sz w:val="20"/>
          <w:szCs w:val="20"/>
          <w:lang w:eastAsia="nl-NL"/>
        </w:rPr>
        <w:t>values therefore is provided be</w:t>
      </w:r>
      <w:r w:rsidR="005C3ED8" w:rsidRPr="0098635C">
        <w:rPr>
          <w:rStyle w:val="KorrUK"/>
          <w:rFonts w:ascii="Times New Roman" w:hAnsi="Times New Roman" w:cs="Times New Roman"/>
          <w:color w:val="000000" w:themeColor="text1"/>
          <w:sz w:val="20"/>
          <w:szCs w:val="20"/>
          <w:lang w:eastAsia="nl-NL"/>
        </w:rPr>
        <w:t>low.</w:t>
      </w:r>
      <w:r w:rsidR="00053A67" w:rsidRPr="0098635C">
        <w:rPr>
          <w:rStyle w:val="KorrUK"/>
          <w:rFonts w:ascii="Times New Roman" w:hAnsi="Times New Roman" w:cs="Times New Roman"/>
          <w:color w:val="000000" w:themeColor="text1"/>
          <w:sz w:val="20"/>
          <w:szCs w:val="20"/>
          <w:lang w:eastAsia="nl-NL"/>
        </w:rPr>
        <w:t xml:space="preserve">  </w:t>
      </w:r>
    </w:p>
    <w:p w14:paraId="1BFB86BC" w14:textId="08B4D6DE" w:rsidR="00053A67" w:rsidRPr="0098635C" w:rsidRDefault="00D05142" w:rsidP="005C3ED8">
      <w:pPr>
        <w:spacing w:before="80"/>
        <w:rPr>
          <w:color w:val="000000" w:themeColor="text1"/>
          <w:sz w:val="20"/>
          <w:szCs w:val="20"/>
        </w:rPr>
      </w:pPr>
      <w:r w:rsidRPr="0098635C">
        <w:rPr>
          <w:bCs/>
          <w:i/>
          <w:iCs/>
          <w:color w:val="000000" w:themeColor="text1"/>
          <w:sz w:val="20"/>
          <w:szCs w:val="20"/>
          <w:u w:val="single"/>
        </w:rPr>
        <w:t xml:space="preserve">Data </w:t>
      </w:r>
      <w:r w:rsidR="00247E89" w:rsidRPr="0098635C">
        <w:rPr>
          <w:bCs/>
          <w:i/>
          <w:iCs/>
          <w:color w:val="000000" w:themeColor="text1"/>
          <w:sz w:val="20"/>
          <w:szCs w:val="20"/>
          <w:u w:val="single"/>
        </w:rPr>
        <w:t>quality</w:t>
      </w:r>
      <w:r w:rsidR="00247E89" w:rsidRPr="0098635C">
        <w:rPr>
          <w:b/>
          <w:bCs/>
          <w:i/>
          <w:iCs/>
          <w:color w:val="000000" w:themeColor="text1"/>
          <w:sz w:val="20"/>
          <w:szCs w:val="20"/>
        </w:rPr>
        <w:t>:</w:t>
      </w:r>
      <w:r w:rsidR="005C3ED8" w:rsidRPr="0098635C">
        <w:rPr>
          <w:b/>
          <w:bCs/>
          <w:i/>
          <w:iCs/>
          <w:color w:val="000000" w:themeColor="text1"/>
          <w:sz w:val="20"/>
          <w:szCs w:val="20"/>
        </w:rPr>
        <w:t xml:space="preserve"> </w:t>
      </w:r>
      <w:r w:rsidR="005C3ED8" w:rsidRPr="0098635C">
        <w:rPr>
          <w:color w:val="000000" w:themeColor="text1"/>
          <w:sz w:val="20"/>
          <w:szCs w:val="20"/>
        </w:rPr>
        <w:t>From the evaluation of the NOEC data quality and quantity it can be concluded that the Cu-</w:t>
      </w:r>
      <w:r w:rsidR="00053A67" w:rsidRPr="0098635C">
        <w:rPr>
          <w:color w:val="000000" w:themeColor="text1"/>
          <w:sz w:val="20"/>
          <w:szCs w:val="20"/>
        </w:rPr>
        <w:t xml:space="preserve">baseline </w:t>
      </w:r>
      <w:r w:rsidR="005C3ED8" w:rsidRPr="0098635C">
        <w:rPr>
          <w:color w:val="000000" w:themeColor="text1"/>
          <w:sz w:val="20"/>
          <w:szCs w:val="20"/>
        </w:rPr>
        <w:t>database is of high quality, covers complete life stages and has built-in factors providing additional degrees of protection</w:t>
      </w:r>
      <w:r w:rsidR="00180538" w:rsidRPr="0098635C">
        <w:rPr>
          <w:color w:val="000000" w:themeColor="text1"/>
          <w:sz w:val="20"/>
          <w:szCs w:val="20"/>
        </w:rPr>
        <w:t>.</w:t>
      </w:r>
    </w:p>
    <w:p w14:paraId="1B6CA680" w14:textId="6D499D61" w:rsidR="005C3ED8" w:rsidRPr="0098635C" w:rsidRDefault="00180538" w:rsidP="005C3ED8">
      <w:pPr>
        <w:spacing w:before="80"/>
        <w:rPr>
          <w:color w:val="000000" w:themeColor="text1"/>
          <w:sz w:val="20"/>
          <w:szCs w:val="20"/>
        </w:rPr>
      </w:pPr>
      <w:r w:rsidRPr="0098635C">
        <w:rPr>
          <w:color w:val="000000" w:themeColor="text1"/>
          <w:sz w:val="20"/>
          <w:szCs w:val="20"/>
        </w:rPr>
        <w:t>I</w:t>
      </w:r>
      <w:r w:rsidR="005C3ED8" w:rsidRPr="0098635C">
        <w:rPr>
          <w:color w:val="000000" w:themeColor="text1"/>
          <w:sz w:val="20"/>
          <w:szCs w:val="20"/>
        </w:rPr>
        <w:t xml:space="preserve">mportant built-in conservative factors </w:t>
      </w:r>
      <w:r w:rsidR="00247E89" w:rsidRPr="0098635C">
        <w:rPr>
          <w:color w:val="000000" w:themeColor="text1"/>
          <w:sz w:val="20"/>
          <w:szCs w:val="20"/>
        </w:rPr>
        <w:t>are:</w:t>
      </w:r>
      <w:r w:rsidR="005C3ED8" w:rsidRPr="0098635C">
        <w:rPr>
          <w:color w:val="000000" w:themeColor="text1"/>
          <w:sz w:val="20"/>
          <w:szCs w:val="20"/>
        </w:rPr>
        <w:t xml:space="preserve"> </w:t>
      </w:r>
    </w:p>
    <w:p w14:paraId="323C4BED" w14:textId="3C277D16" w:rsidR="005C3ED8" w:rsidRPr="0098635C" w:rsidRDefault="00D05142" w:rsidP="0059369A">
      <w:pPr>
        <w:pStyle w:val="BodyText"/>
        <w:numPr>
          <w:ilvl w:val="0"/>
          <w:numId w:val="16"/>
        </w:numPr>
        <w:spacing w:before="80" w:after="0"/>
        <w:rPr>
          <w:rStyle w:val="KorrUK"/>
          <w:rFonts w:ascii="Times New Roman" w:hAnsi="Times New Roman" w:cs="Times New Roman"/>
          <w:color w:val="000000" w:themeColor="text1"/>
          <w:sz w:val="20"/>
          <w:szCs w:val="20"/>
        </w:rPr>
      </w:pPr>
      <w:r w:rsidRPr="0098635C">
        <w:rPr>
          <w:rStyle w:val="KorrUK"/>
          <w:rFonts w:ascii="Times New Roman" w:hAnsi="Times New Roman" w:cs="Times New Roman"/>
          <w:color w:val="000000" w:themeColor="text1"/>
          <w:sz w:val="20"/>
          <w:szCs w:val="20"/>
        </w:rPr>
        <w:t xml:space="preserve">Copper is homeostatically regulated. Acclimation to changes in copper concentrations in the aquatic environment have however not been accounted for in this </w:t>
      </w:r>
      <w:r w:rsidR="002D155C" w:rsidRPr="0098635C">
        <w:rPr>
          <w:rStyle w:val="KorrUK"/>
          <w:rFonts w:ascii="Times New Roman" w:hAnsi="Times New Roman" w:cs="Times New Roman"/>
          <w:color w:val="000000" w:themeColor="text1"/>
          <w:sz w:val="20"/>
          <w:szCs w:val="20"/>
        </w:rPr>
        <w:t>assessment</w:t>
      </w:r>
      <w:r w:rsidRPr="0098635C">
        <w:rPr>
          <w:rStyle w:val="KorrUK"/>
          <w:rFonts w:ascii="Times New Roman" w:hAnsi="Times New Roman" w:cs="Times New Roman"/>
          <w:color w:val="000000" w:themeColor="text1"/>
          <w:sz w:val="20"/>
          <w:szCs w:val="20"/>
        </w:rPr>
        <w:t xml:space="preserve">. Further, it is worthwhile noting that 60% of the laboratory test waters had copper background levels below the range of copper background levels as reported by Zuurdeeg et al. (1992) for European lowlands. This leads to further protection and conservatism as </w:t>
      </w:r>
      <w:r w:rsidR="00B25E9F" w:rsidRPr="0098635C">
        <w:rPr>
          <w:rStyle w:val="KorrUK"/>
          <w:rFonts w:ascii="Times New Roman" w:hAnsi="Times New Roman" w:cs="Times New Roman"/>
          <w:color w:val="000000" w:themeColor="text1"/>
          <w:sz w:val="20"/>
          <w:szCs w:val="20"/>
        </w:rPr>
        <w:t xml:space="preserve">several studies have demonstrated that </w:t>
      </w:r>
      <w:r w:rsidRPr="0098635C">
        <w:rPr>
          <w:rStyle w:val="KorrUK"/>
          <w:rFonts w:ascii="Times New Roman" w:hAnsi="Times New Roman" w:cs="Times New Roman"/>
          <w:color w:val="000000" w:themeColor="text1"/>
          <w:sz w:val="20"/>
          <w:szCs w:val="20"/>
        </w:rPr>
        <w:t xml:space="preserve">organisms acclimated to low copper levels in culture waters were 1-3 times more sensitive. </w:t>
      </w:r>
      <w:r w:rsidR="00B25E9F" w:rsidRPr="0098635C">
        <w:rPr>
          <w:rStyle w:val="KorrUK"/>
          <w:rFonts w:ascii="Times New Roman" w:hAnsi="Times New Roman" w:cs="Times New Roman"/>
          <w:color w:val="000000" w:themeColor="text1"/>
          <w:sz w:val="20"/>
          <w:szCs w:val="20"/>
        </w:rPr>
        <w:t>It should be noted, however, that this is not always the case; Johnson et al (2007) did not observe such a difference between acclimated and non-acclimated micro-algae species (</w:t>
      </w:r>
      <w:r w:rsidR="00B25E9F" w:rsidRPr="0098635C">
        <w:rPr>
          <w:rStyle w:val="KorrUK"/>
          <w:rFonts w:ascii="Times New Roman" w:hAnsi="Times New Roman" w:cs="Times New Roman"/>
          <w:i/>
          <w:color w:val="000000" w:themeColor="text1"/>
          <w:sz w:val="20"/>
          <w:szCs w:val="20"/>
        </w:rPr>
        <w:t>N.closterium</w:t>
      </w:r>
      <w:r w:rsidR="00B25E9F" w:rsidRPr="0098635C">
        <w:rPr>
          <w:rStyle w:val="KorrUK"/>
          <w:rFonts w:ascii="Times New Roman" w:hAnsi="Times New Roman" w:cs="Times New Roman"/>
          <w:color w:val="000000" w:themeColor="text1"/>
          <w:sz w:val="20"/>
          <w:szCs w:val="20"/>
        </w:rPr>
        <w:t xml:space="preserve">, </w:t>
      </w:r>
      <w:r w:rsidR="00B25E9F" w:rsidRPr="0098635C">
        <w:rPr>
          <w:rStyle w:val="KorrUK"/>
          <w:rFonts w:ascii="Times New Roman" w:hAnsi="Times New Roman" w:cs="Times New Roman"/>
          <w:i/>
          <w:color w:val="000000" w:themeColor="text1"/>
          <w:sz w:val="20"/>
          <w:szCs w:val="20"/>
        </w:rPr>
        <w:t>Chlorella</w:t>
      </w:r>
      <w:r w:rsidR="00B25E9F" w:rsidRPr="0098635C">
        <w:rPr>
          <w:rStyle w:val="KorrUK"/>
          <w:rFonts w:ascii="Times New Roman" w:hAnsi="Times New Roman" w:cs="Times New Roman"/>
          <w:color w:val="000000" w:themeColor="text1"/>
          <w:sz w:val="20"/>
          <w:szCs w:val="20"/>
        </w:rPr>
        <w:t xml:space="preserve"> sp.)</w:t>
      </w:r>
      <w:r w:rsidRPr="0098635C">
        <w:rPr>
          <w:rStyle w:val="KorrUK"/>
          <w:rFonts w:ascii="Times New Roman" w:hAnsi="Times New Roman" w:cs="Times New Roman"/>
          <w:color w:val="000000" w:themeColor="text1"/>
          <w:sz w:val="20"/>
          <w:szCs w:val="20"/>
        </w:rPr>
        <w:t xml:space="preserve"> </w:t>
      </w:r>
    </w:p>
    <w:p w14:paraId="4E398B41" w14:textId="51F68FBB" w:rsidR="004931D7" w:rsidRPr="0098635C" w:rsidRDefault="00D05142" w:rsidP="0059369A">
      <w:pPr>
        <w:pStyle w:val="BodyText"/>
        <w:numPr>
          <w:ilvl w:val="0"/>
          <w:numId w:val="16"/>
        </w:numPr>
        <w:spacing w:before="80" w:after="0"/>
        <w:rPr>
          <w:color w:val="000000" w:themeColor="text1"/>
          <w:sz w:val="20"/>
        </w:rPr>
      </w:pPr>
      <w:r w:rsidRPr="0098635C">
        <w:rPr>
          <w:color w:val="000000" w:themeColor="text1"/>
          <w:sz w:val="20"/>
        </w:rPr>
        <w:t xml:space="preserve">It has been demonstrated that overestimation of toxicity values often occur for tests performed in flow through systems, characterized by separate inflow of test substance and test medium, because the Cu-DOC complexes in such systems have not yet been fully formed (Ma et al., 1999).  In comparison to natural surface waters, the laboratory flow-through test set-up will indeed have higher free cupric ion activity, which leads to lower NOECs (µg dissolved copper/L). </w:t>
      </w:r>
      <w:r w:rsidRPr="0098635C">
        <w:rPr>
          <w:rStyle w:val="KorrUK"/>
          <w:rFonts w:ascii="Times New Roman" w:hAnsi="Times New Roman" w:cs="Times New Roman"/>
          <w:color w:val="000000" w:themeColor="text1"/>
          <w:sz w:val="20"/>
          <w:szCs w:val="20"/>
        </w:rPr>
        <w:t xml:space="preserve">In this effects data-set, 43% of the retained single species NOECs were derived from flow through systems: 100% of the fish tests, 16% of the invertebrate </w:t>
      </w:r>
      <w:r w:rsidR="00247E89" w:rsidRPr="0098635C">
        <w:rPr>
          <w:rStyle w:val="KorrUK"/>
          <w:rFonts w:ascii="Times New Roman" w:hAnsi="Times New Roman" w:cs="Times New Roman"/>
          <w:color w:val="000000" w:themeColor="text1"/>
          <w:sz w:val="20"/>
          <w:szCs w:val="20"/>
        </w:rPr>
        <w:t>tests and</w:t>
      </w:r>
      <w:r w:rsidRPr="0098635C">
        <w:rPr>
          <w:rStyle w:val="KorrUK"/>
          <w:rFonts w:ascii="Times New Roman" w:hAnsi="Times New Roman" w:cs="Times New Roman"/>
          <w:color w:val="000000" w:themeColor="text1"/>
          <w:sz w:val="20"/>
          <w:szCs w:val="20"/>
        </w:rPr>
        <w:t xml:space="preserve"> 3% of the algae tests were carried out in flow-through system.</w:t>
      </w:r>
      <w:r w:rsidRPr="0098635C">
        <w:rPr>
          <w:color w:val="000000" w:themeColor="text1"/>
          <w:sz w:val="20"/>
        </w:rPr>
        <w:t xml:space="preserve"> The difference in sensitivity due to the non-equilibrated Cu-DOC in laboratory systems versus natural surface waters therefore leads to a build-in conservative factor that has not been accounted for</w:t>
      </w:r>
      <w:r w:rsidR="006C7EEC" w:rsidRPr="0098635C">
        <w:rPr>
          <w:color w:val="000000" w:themeColor="text1"/>
          <w:sz w:val="20"/>
        </w:rPr>
        <w:t>.</w:t>
      </w:r>
    </w:p>
    <w:p w14:paraId="0CDAF9CE" w14:textId="7AF4D17F" w:rsidR="006D3681" w:rsidRPr="0098635C" w:rsidRDefault="00ED409E" w:rsidP="00926614">
      <w:pPr>
        <w:pStyle w:val="BodyText"/>
        <w:spacing w:before="80" w:after="0"/>
        <w:ind w:left="720"/>
        <w:rPr>
          <w:bCs/>
          <w:i/>
          <w:iCs/>
          <w:color w:val="000000" w:themeColor="text1"/>
          <w:sz w:val="20"/>
          <w:u w:val="single"/>
        </w:rPr>
      </w:pPr>
      <w:r w:rsidRPr="0098635C">
        <w:rPr>
          <w:color w:val="000000" w:themeColor="text1"/>
          <w:sz w:val="20"/>
        </w:rPr>
        <w:t>Higher toxicity values in algal studies can also be related to the increasing pH during the tests, often happens in algal tests (at static conditions).</w:t>
      </w:r>
    </w:p>
    <w:p w14:paraId="6814571D" w14:textId="76F23CC9" w:rsidR="00D05142" w:rsidRPr="0098635C" w:rsidRDefault="00D05142" w:rsidP="00D05142">
      <w:pPr>
        <w:tabs>
          <w:tab w:val="num" w:pos="284"/>
        </w:tabs>
        <w:spacing w:before="80"/>
        <w:rPr>
          <w:bCs/>
          <w:i/>
          <w:iCs/>
          <w:color w:val="000000" w:themeColor="text1"/>
          <w:sz w:val="20"/>
          <w:szCs w:val="20"/>
          <w:u w:val="single"/>
        </w:rPr>
      </w:pPr>
      <w:r w:rsidRPr="0098635C">
        <w:rPr>
          <w:bCs/>
          <w:i/>
          <w:iCs/>
          <w:color w:val="000000" w:themeColor="text1"/>
          <w:sz w:val="20"/>
          <w:szCs w:val="20"/>
          <w:u w:val="single"/>
        </w:rPr>
        <w:t xml:space="preserve">The mechanism of action and taxonomic groups </w:t>
      </w:r>
      <w:r w:rsidR="00247E89" w:rsidRPr="0098635C">
        <w:rPr>
          <w:bCs/>
          <w:i/>
          <w:iCs/>
          <w:color w:val="000000" w:themeColor="text1"/>
          <w:sz w:val="20"/>
          <w:szCs w:val="20"/>
          <w:u w:val="single"/>
        </w:rPr>
        <w:t>covered:</w:t>
      </w:r>
      <w:r w:rsidR="002E3F04" w:rsidRPr="0098635C">
        <w:rPr>
          <w:bCs/>
          <w:i/>
          <w:iCs/>
          <w:color w:val="000000" w:themeColor="text1"/>
          <w:sz w:val="20"/>
          <w:szCs w:val="20"/>
          <w:u w:val="single"/>
        </w:rPr>
        <w:t xml:space="preserve"> </w:t>
      </w:r>
      <w:r w:rsidRPr="0098635C">
        <w:rPr>
          <w:rStyle w:val="KorrUK"/>
          <w:rFonts w:ascii="Times New Roman" w:hAnsi="Times New Roman" w:cs="Times New Roman"/>
          <w:color w:val="000000" w:themeColor="text1"/>
          <w:sz w:val="20"/>
          <w:szCs w:val="20"/>
        </w:rPr>
        <w:t xml:space="preserve">The </w:t>
      </w:r>
      <w:r w:rsidR="005C3ED8" w:rsidRPr="0098635C">
        <w:rPr>
          <w:color w:val="000000" w:themeColor="text1"/>
          <w:sz w:val="20"/>
          <w:szCs w:val="20"/>
        </w:rPr>
        <w:t xml:space="preserve">copper aquatic effects database contains a large number of high quality chronic NOEC values </w:t>
      </w:r>
      <w:r w:rsidR="006C7EEC" w:rsidRPr="0098635C">
        <w:rPr>
          <w:color w:val="000000" w:themeColor="text1"/>
          <w:sz w:val="20"/>
          <w:szCs w:val="20"/>
        </w:rPr>
        <w:t>for 27 species</w:t>
      </w:r>
      <w:r w:rsidR="005C3ED8" w:rsidRPr="0098635C">
        <w:rPr>
          <w:color w:val="000000" w:themeColor="text1"/>
          <w:sz w:val="20"/>
          <w:szCs w:val="20"/>
        </w:rPr>
        <w:t xml:space="preserve">.  </w:t>
      </w:r>
      <w:r w:rsidRPr="0098635C">
        <w:rPr>
          <w:rStyle w:val="KorrUK"/>
          <w:rFonts w:ascii="Times New Roman" w:hAnsi="Times New Roman" w:cs="Times New Roman"/>
          <w:color w:val="000000" w:themeColor="text1"/>
          <w:sz w:val="20"/>
          <w:szCs w:val="20"/>
        </w:rPr>
        <w:t xml:space="preserve">The use of statistical extrapolation, using all NOECs in the ecotoxicity database to derive </w:t>
      </w:r>
      <w:r w:rsidR="0022003D" w:rsidRPr="0098635C">
        <w:rPr>
          <w:rStyle w:val="KorrUK"/>
          <w:rFonts w:ascii="Times New Roman" w:hAnsi="Times New Roman" w:cs="Times New Roman"/>
          <w:color w:val="000000" w:themeColor="text1"/>
          <w:sz w:val="20"/>
          <w:szCs w:val="20"/>
        </w:rPr>
        <w:t>a reference value for setting water quality criteria (e.g. HC</w:t>
      </w:r>
      <w:r w:rsidR="0022003D" w:rsidRPr="0098635C">
        <w:rPr>
          <w:rStyle w:val="KorrUK"/>
          <w:rFonts w:ascii="Times New Roman" w:hAnsi="Times New Roman" w:cs="Times New Roman"/>
          <w:color w:val="000000" w:themeColor="text1"/>
          <w:sz w:val="20"/>
          <w:szCs w:val="20"/>
          <w:vertAlign w:val="subscript"/>
        </w:rPr>
        <w:t>5,50</w:t>
      </w:r>
      <w:r w:rsidR="0022003D" w:rsidRPr="0098635C">
        <w:rPr>
          <w:rStyle w:val="KorrUK"/>
          <w:rFonts w:ascii="Times New Roman" w:hAnsi="Times New Roman" w:cs="Times New Roman"/>
          <w:color w:val="000000" w:themeColor="text1"/>
          <w:sz w:val="20"/>
          <w:szCs w:val="20"/>
        </w:rPr>
        <w:t xml:space="preserve"> ) </w:t>
      </w:r>
      <w:r w:rsidRPr="0098635C">
        <w:rPr>
          <w:rStyle w:val="KorrUK"/>
          <w:rFonts w:ascii="Times New Roman" w:hAnsi="Times New Roman" w:cs="Times New Roman"/>
          <w:color w:val="000000" w:themeColor="text1"/>
          <w:sz w:val="20"/>
          <w:szCs w:val="20"/>
        </w:rPr>
        <w:t xml:space="preserve">is therefore preferred rather than the use of the assessment factor method on the lowest NOEC. </w:t>
      </w:r>
    </w:p>
    <w:p w14:paraId="6F5EDC6F" w14:textId="77777777" w:rsidR="00D05142" w:rsidRPr="0098635C" w:rsidRDefault="00D05142" w:rsidP="00D05142">
      <w:pPr>
        <w:pStyle w:val="BodyText"/>
        <w:spacing w:before="80" w:after="0"/>
        <w:ind w:left="360"/>
        <w:rPr>
          <w:color w:val="000000" w:themeColor="text1"/>
          <w:sz w:val="20"/>
        </w:rPr>
      </w:pPr>
      <w:r w:rsidRPr="0098635C">
        <w:rPr>
          <w:color w:val="000000" w:themeColor="text1"/>
          <w:sz w:val="20"/>
        </w:rPr>
        <w:t>The information further shows similar modes of actions across species:</w:t>
      </w:r>
    </w:p>
    <w:p w14:paraId="253B738E" w14:textId="1D15E9CD" w:rsidR="005C3ED8" w:rsidRPr="0098635C" w:rsidRDefault="00D05142" w:rsidP="0059369A">
      <w:pPr>
        <w:pStyle w:val="BodyText"/>
        <w:numPr>
          <w:ilvl w:val="1"/>
          <w:numId w:val="13"/>
        </w:numPr>
        <w:spacing w:before="80" w:after="0"/>
        <w:rPr>
          <w:color w:val="000000" w:themeColor="text1"/>
          <w:sz w:val="20"/>
        </w:rPr>
      </w:pPr>
      <w:r w:rsidRPr="0098635C">
        <w:rPr>
          <w:color w:val="000000" w:themeColor="text1"/>
          <w:sz w:val="20"/>
        </w:rPr>
        <w:t xml:space="preserve">The cellular mechanism of copper toxicity/deficiency as well as the cellular mechanisms of copper homeostasis have been largely preserved through evolution. The key indicator of copper toxicity is disturbance of the sodium homeostasis. The key target tissue for copper toxicity is therefore the water/organism interfaces with cell wall and gill-like surfaces acting as target biotic ligands </w:t>
      </w:r>
      <w:r w:rsidR="00B25E9F" w:rsidRPr="0098635C">
        <w:rPr>
          <w:color w:val="000000" w:themeColor="text1"/>
          <w:sz w:val="20"/>
        </w:rPr>
        <w:t>(Playle, 1993)</w:t>
      </w:r>
      <w:r w:rsidRPr="0098635C">
        <w:rPr>
          <w:color w:val="000000" w:themeColor="text1"/>
          <w:sz w:val="20"/>
        </w:rPr>
        <w:t xml:space="preserve">. This </w:t>
      </w:r>
      <w:r w:rsidR="00B25E9F" w:rsidRPr="0098635C">
        <w:rPr>
          <w:color w:val="000000" w:themeColor="text1"/>
          <w:sz w:val="20"/>
        </w:rPr>
        <w:t xml:space="preserve">explains the relative low acute to chronic ratio’s observed for sensitive species such as </w:t>
      </w:r>
      <w:r w:rsidR="00B25E9F" w:rsidRPr="0098635C">
        <w:rPr>
          <w:i/>
          <w:color w:val="000000" w:themeColor="text1"/>
          <w:sz w:val="20"/>
        </w:rPr>
        <w:t>D. magna</w:t>
      </w:r>
      <w:r w:rsidR="00B25E9F" w:rsidRPr="0098635C">
        <w:rPr>
          <w:color w:val="000000" w:themeColor="text1"/>
          <w:sz w:val="20"/>
        </w:rPr>
        <w:t xml:space="preserve"> </w:t>
      </w:r>
      <w:r w:rsidRPr="0098635C">
        <w:rPr>
          <w:color w:val="000000" w:themeColor="text1"/>
          <w:sz w:val="20"/>
        </w:rPr>
        <w:t>(typical</w:t>
      </w:r>
      <w:r w:rsidR="00B25E9F" w:rsidRPr="0098635C">
        <w:rPr>
          <w:color w:val="000000" w:themeColor="text1"/>
          <w:sz w:val="20"/>
        </w:rPr>
        <w:t>ly</w:t>
      </w:r>
      <w:r w:rsidRPr="0098635C">
        <w:rPr>
          <w:color w:val="000000" w:themeColor="text1"/>
          <w:sz w:val="20"/>
        </w:rPr>
        <w:t xml:space="preserve"> a factor of 1 to 3). </w:t>
      </w:r>
    </w:p>
    <w:p w14:paraId="74CCD158" w14:textId="3C99B82B" w:rsidR="005C3ED8" w:rsidRPr="0098635C" w:rsidRDefault="00D05142" w:rsidP="0059369A">
      <w:pPr>
        <w:pStyle w:val="BodyText"/>
        <w:numPr>
          <w:ilvl w:val="1"/>
          <w:numId w:val="13"/>
        </w:numPr>
        <w:spacing w:before="80" w:after="0"/>
        <w:rPr>
          <w:color w:val="000000" w:themeColor="text1"/>
          <w:sz w:val="20"/>
        </w:rPr>
      </w:pPr>
      <w:r w:rsidRPr="0098635C">
        <w:rPr>
          <w:color w:val="000000" w:themeColor="text1"/>
          <w:sz w:val="20"/>
        </w:rPr>
        <w:t>The observed differences in copper toxicity among species were further shown to be related to the organisms body size (Grosel</w:t>
      </w:r>
      <w:r w:rsidR="00196A9C" w:rsidRPr="0098635C">
        <w:rPr>
          <w:color w:val="000000" w:themeColor="text1"/>
          <w:sz w:val="20"/>
        </w:rPr>
        <w:t>l</w:t>
      </w:r>
      <w:r w:rsidRPr="0098635C">
        <w:rPr>
          <w:color w:val="000000" w:themeColor="text1"/>
          <w:sz w:val="20"/>
        </w:rPr>
        <w:t xml:space="preserve"> et al., 2007).  The copper database includes taxonomic groups/endpoints with small sizes (eg crustaceans and rotifers, larval stages of insects and molluscs), indicating that sensitive organisms are covered in the database.</w:t>
      </w:r>
    </w:p>
    <w:p w14:paraId="70881719" w14:textId="39E25D1A" w:rsidR="00D05142" w:rsidRPr="0098635C" w:rsidRDefault="00D05142" w:rsidP="0059369A">
      <w:pPr>
        <w:pStyle w:val="BodyText"/>
        <w:numPr>
          <w:ilvl w:val="1"/>
          <w:numId w:val="13"/>
        </w:numPr>
        <w:spacing w:before="80" w:after="0"/>
        <w:rPr>
          <w:color w:val="000000" w:themeColor="text1"/>
          <w:sz w:val="20"/>
        </w:rPr>
      </w:pPr>
      <w:r w:rsidRPr="0098635C">
        <w:rPr>
          <w:color w:val="000000" w:themeColor="text1"/>
          <w:sz w:val="20"/>
        </w:rPr>
        <w:lastRenderedPageBreak/>
        <w:t>Additional, it is useful to mention that the information on the mechanism of action, the homeostatic regulatory mechanisms, the observed small a</w:t>
      </w:r>
      <w:r w:rsidR="006C7EEC" w:rsidRPr="0098635C">
        <w:rPr>
          <w:color w:val="000000" w:themeColor="text1"/>
          <w:sz w:val="20"/>
        </w:rPr>
        <w:t>cute L(E)C</w:t>
      </w:r>
      <w:r w:rsidRPr="0098635C">
        <w:rPr>
          <w:color w:val="000000" w:themeColor="text1"/>
          <w:sz w:val="20"/>
        </w:rPr>
        <w:t xml:space="preserve">50 to </w:t>
      </w:r>
      <w:r w:rsidR="00247E89" w:rsidRPr="0098635C">
        <w:rPr>
          <w:color w:val="000000" w:themeColor="text1"/>
          <w:sz w:val="20"/>
        </w:rPr>
        <w:t>chronic NOEC</w:t>
      </w:r>
      <w:r w:rsidRPr="0098635C">
        <w:rPr>
          <w:color w:val="000000" w:themeColor="text1"/>
          <w:sz w:val="20"/>
        </w:rPr>
        <w:t xml:space="preserve"> ratio’s</w:t>
      </w:r>
      <w:r w:rsidR="00247E89" w:rsidRPr="0098635C">
        <w:rPr>
          <w:color w:val="000000" w:themeColor="text1"/>
          <w:sz w:val="20"/>
        </w:rPr>
        <w:t>, the</w:t>
      </w:r>
      <w:r w:rsidRPr="0098635C">
        <w:rPr>
          <w:color w:val="000000" w:themeColor="text1"/>
          <w:sz w:val="20"/>
        </w:rPr>
        <w:t xml:space="preserve"> comparison of the effects data obtained from exposures through respectively water </w:t>
      </w:r>
      <w:r w:rsidR="00247E89" w:rsidRPr="0098635C">
        <w:rPr>
          <w:color w:val="000000" w:themeColor="text1"/>
          <w:sz w:val="20"/>
        </w:rPr>
        <w:t>and food</w:t>
      </w:r>
      <w:r w:rsidRPr="0098635C">
        <w:rPr>
          <w:color w:val="000000" w:themeColor="text1"/>
          <w:sz w:val="20"/>
        </w:rPr>
        <w:t xml:space="preserve"> and the information on copper accumulations across trophic chains do not indicate towards concern from secondary poisoning nor trophic chain transfer.</w:t>
      </w:r>
      <w:bookmarkStart w:id="1994" w:name="_Toc165860740"/>
    </w:p>
    <w:bookmarkEnd w:id="1994"/>
    <w:p w14:paraId="2FEB1D48" w14:textId="77777777" w:rsidR="005C3ED8" w:rsidRPr="0098635C" w:rsidRDefault="00D05142" w:rsidP="005C3ED8">
      <w:pPr>
        <w:spacing w:before="120"/>
        <w:rPr>
          <w:rStyle w:val="KorrUK"/>
          <w:rFonts w:ascii="Times New Roman" w:hAnsi="Times New Roman" w:cs="Times New Roman"/>
          <w:color w:val="000000" w:themeColor="text1"/>
          <w:sz w:val="20"/>
          <w:szCs w:val="20"/>
        </w:rPr>
      </w:pPr>
      <w:r w:rsidRPr="0098635C">
        <w:rPr>
          <w:color w:val="000000" w:themeColor="text1"/>
          <w:sz w:val="20"/>
          <w:szCs w:val="20"/>
        </w:rPr>
        <w:t xml:space="preserve">Based on the taxonomic groups assessed, the small inter-species variability </w:t>
      </w:r>
      <w:r w:rsidR="006C7EEC" w:rsidRPr="0098635C">
        <w:rPr>
          <w:color w:val="000000" w:themeColor="text1"/>
          <w:sz w:val="20"/>
          <w:szCs w:val="20"/>
        </w:rPr>
        <w:t xml:space="preserve">(after BLM normalization) </w:t>
      </w:r>
      <w:r w:rsidRPr="0098635C">
        <w:rPr>
          <w:color w:val="000000" w:themeColor="text1"/>
          <w:sz w:val="20"/>
          <w:szCs w:val="20"/>
        </w:rPr>
        <w:t xml:space="preserve">and the mode of action, it can be concluded that the effects database covers key taxonomic groups and endpoints.  </w:t>
      </w:r>
    </w:p>
    <w:p w14:paraId="69CF2F17" w14:textId="6B49CCF5" w:rsidR="005C3ED8" w:rsidRPr="0098635C" w:rsidRDefault="00D05142" w:rsidP="003B4801">
      <w:pPr>
        <w:spacing w:before="120"/>
        <w:rPr>
          <w:rStyle w:val="KorrUK"/>
          <w:rFonts w:ascii="Times New Roman" w:hAnsi="Times New Roman" w:cs="Times New Roman"/>
          <w:b/>
          <w:bCs/>
          <w:i/>
          <w:iCs/>
          <w:color w:val="000000" w:themeColor="text1"/>
          <w:sz w:val="20"/>
          <w:szCs w:val="20"/>
        </w:rPr>
      </w:pPr>
      <w:r w:rsidRPr="0098635C">
        <w:rPr>
          <w:rStyle w:val="KorrUK"/>
          <w:rFonts w:ascii="Times New Roman" w:hAnsi="Times New Roman" w:cs="Times New Roman"/>
          <w:bCs/>
          <w:i/>
          <w:iCs/>
          <w:color w:val="000000" w:themeColor="text1"/>
          <w:sz w:val="20"/>
          <w:szCs w:val="20"/>
          <w:u w:val="single"/>
        </w:rPr>
        <w:t>Treatment of data for one species</w:t>
      </w:r>
      <w:r w:rsidRPr="0098635C">
        <w:rPr>
          <w:rStyle w:val="KorrUK"/>
          <w:rFonts w:ascii="Times New Roman" w:hAnsi="Times New Roman" w:cs="Times New Roman"/>
          <w:b/>
          <w:bCs/>
          <w:i/>
          <w:iCs/>
          <w:color w:val="000000" w:themeColor="text1"/>
          <w:sz w:val="20"/>
          <w:szCs w:val="20"/>
        </w:rPr>
        <w:t xml:space="preserve">: </w:t>
      </w:r>
      <w:r w:rsidRPr="0098635C">
        <w:rPr>
          <w:rStyle w:val="KorrUK"/>
          <w:rFonts w:ascii="Times New Roman" w:hAnsi="Times New Roman" w:cs="Times New Roman"/>
          <w:color w:val="000000" w:themeColor="text1"/>
          <w:sz w:val="20"/>
          <w:szCs w:val="20"/>
        </w:rPr>
        <w:t>Detailed investigation of the ecotox</w:t>
      </w:r>
      <w:r w:rsidR="00371148" w:rsidRPr="0098635C">
        <w:rPr>
          <w:rStyle w:val="KorrUK"/>
          <w:rFonts w:ascii="Times New Roman" w:hAnsi="Times New Roman" w:cs="Times New Roman"/>
          <w:color w:val="000000" w:themeColor="text1"/>
          <w:sz w:val="20"/>
          <w:szCs w:val="20"/>
        </w:rPr>
        <w:t>icity</w:t>
      </w:r>
      <w:r w:rsidRPr="0098635C">
        <w:rPr>
          <w:rStyle w:val="KorrUK"/>
          <w:rFonts w:ascii="Times New Roman" w:hAnsi="Times New Roman" w:cs="Times New Roman"/>
          <w:color w:val="000000" w:themeColor="text1"/>
          <w:sz w:val="20"/>
          <w:szCs w:val="20"/>
        </w:rPr>
        <w:t xml:space="preserve"> database covers realistic environmental conditions. The original database showed large variations among multiple values from the same species.  A sensitivity analysis was performed to understand the relative importance of bioavailability versus acclimation/adaptation of the organisms to a range of copper concentrations.  The results clearly showed that bioavailability was the most important factor explaining the large intra-species variability. </w:t>
      </w:r>
      <w:r w:rsidR="003B4801" w:rsidRPr="0098635C">
        <w:rPr>
          <w:rStyle w:val="KorrUK"/>
          <w:rFonts w:ascii="Times New Roman" w:hAnsi="Times New Roman" w:cs="Times New Roman"/>
          <w:color w:val="000000" w:themeColor="text1"/>
          <w:sz w:val="20"/>
          <w:szCs w:val="20"/>
        </w:rPr>
        <w:t xml:space="preserve"> </w:t>
      </w:r>
      <w:r w:rsidR="00C80F07" w:rsidRPr="0098635C">
        <w:rPr>
          <w:rStyle w:val="KorrUK"/>
          <w:rFonts w:ascii="Times New Roman" w:hAnsi="Times New Roman" w:cs="Times New Roman"/>
          <w:color w:val="000000" w:themeColor="text1"/>
          <w:sz w:val="20"/>
          <w:szCs w:val="20"/>
        </w:rPr>
        <w:t>Safe threshold values may be over- or underestimated without due considerations of local/regional bio-</w:t>
      </w:r>
      <w:r w:rsidR="00247E89" w:rsidRPr="0098635C">
        <w:rPr>
          <w:rStyle w:val="KorrUK"/>
          <w:rFonts w:ascii="Times New Roman" w:hAnsi="Times New Roman" w:cs="Times New Roman"/>
          <w:color w:val="000000" w:themeColor="text1"/>
          <w:sz w:val="20"/>
          <w:szCs w:val="20"/>
        </w:rPr>
        <w:t>availability</w:t>
      </w:r>
      <w:r w:rsidR="00C80F07" w:rsidRPr="0098635C">
        <w:rPr>
          <w:rStyle w:val="KorrUK"/>
          <w:rFonts w:ascii="Times New Roman" w:hAnsi="Times New Roman" w:cs="Times New Roman"/>
          <w:color w:val="000000" w:themeColor="text1"/>
          <w:sz w:val="20"/>
          <w:szCs w:val="20"/>
        </w:rPr>
        <w:t xml:space="preserve">. </w:t>
      </w:r>
    </w:p>
    <w:p w14:paraId="4C4E80B0" w14:textId="77777777" w:rsidR="00D05142" w:rsidRPr="0098635C" w:rsidRDefault="00D05142" w:rsidP="00D05142">
      <w:pPr>
        <w:spacing w:after="0"/>
        <w:rPr>
          <w:color w:val="000000" w:themeColor="text1"/>
          <w:sz w:val="20"/>
          <w:szCs w:val="20"/>
        </w:rPr>
      </w:pPr>
      <w:r w:rsidRPr="0098635C">
        <w:rPr>
          <w:bCs/>
          <w:i/>
          <w:iCs/>
          <w:color w:val="000000" w:themeColor="text1"/>
          <w:sz w:val="20"/>
          <w:szCs w:val="20"/>
          <w:u w:val="single"/>
        </w:rPr>
        <w:t>Statistical uncertainties around the 5</w:t>
      </w:r>
      <w:r w:rsidRPr="0098635C">
        <w:rPr>
          <w:bCs/>
          <w:i/>
          <w:iCs/>
          <w:color w:val="000000" w:themeColor="text1"/>
          <w:sz w:val="20"/>
          <w:szCs w:val="20"/>
          <w:u w:val="single"/>
          <w:vertAlign w:val="superscript"/>
        </w:rPr>
        <w:t>th</w:t>
      </w:r>
      <w:r w:rsidRPr="0098635C">
        <w:rPr>
          <w:bCs/>
          <w:i/>
          <w:iCs/>
          <w:color w:val="000000" w:themeColor="text1"/>
          <w:sz w:val="20"/>
          <w:szCs w:val="20"/>
          <w:u w:val="single"/>
        </w:rPr>
        <w:t xml:space="preserve"> percentile estimate</w:t>
      </w:r>
      <w:r w:rsidR="00B92ED5" w:rsidRPr="0098635C">
        <w:rPr>
          <w:bCs/>
          <w:i/>
          <w:iCs/>
          <w:color w:val="000000" w:themeColor="text1"/>
          <w:sz w:val="20"/>
          <w:szCs w:val="20"/>
          <w:u w:val="single"/>
        </w:rPr>
        <w:t xml:space="preserve"> (HC</w:t>
      </w:r>
      <w:r w:rsidR="00B92ED5" w:rsidRPr="0098635C">
        <w:rPr>
          <w:bCs/>
          <w:i/>
          <w:iCs/>
          <w:color w:val="000000" w:themeColor="text1"/>
          <w:sz w:val="20"/>
          <w:szCs w:val="20"/>
          <w:u w:val="single"/>
          <w:vertAlign w:val="subscript"/>
        </w:rPr>
        <w:t>5,50</w:t>
      </w:r>
      <w:r w:rsidR="00B92ED5" w:rsidRPr="0098635C">
        <w:rPr>
          <w:bCs/>
          <w:i/>
          <w:iCs/>
          <w:color w:val="000000" w:themeColor="text1"/>
          <w:sz w:val="20"/>
          <w:szCs w:val="20"/>
          <w:u w:val="single"/>
        </w:rPr>
        <w:t xml:space="preserve">) </w:t>
      </w:r>
      <w:r w:rsidR="003B4801" w:rsidRPr="0098635C">
        <w:rPr>
          <w:bCs/>
          <w:i/>
          <w:iCs/>
          <w:color w:val="000000" w:themeColor="text1"/>
          <w:sz w:val="20"/>
          <w:szCs w:val="20"/>
          <w:u w:val="single"/>
        </w:rPr>
        <w:t>:</w:t>
      </w:r>
      <w:r w:rsidR="003B4801" w:rsidRPr="0098635C">
        <w:rPr>
          <w:color w:val="000000" w:themeColor="text1"/>
          <w:sz w:val="20"/>
          <w:szCs w:val="20"/>
        </w:rPr>
        <w:t xml:space="preserve"> </w:t>
      </w:r>
      <w:r w:rsidRPr="0098635C">
        <w:rPr>
          <w:bCs/>
          <w:iCs/>
          <w:color w:val="000000" w:themeColor="text1"/>
          <w:sz w:val="20"/>
          <w:szCs w:val="20"/>
        </w:rPr>
        <w:t>The log-normal and beta distribution function re</w:t>
      </w:r>
      <w:r w:rsidR="002D155C" w:rsidRPr="0098635C">
        <w:rPr>
          <w:bCs/>
          <w:iCs/>
          <w:color w:val="000000" w:themeColor="text1"/>
          <w:sz w:val="20"/>
          <w:szCs w:val="20"/>
        </w:rPr>
        <w:t>sults in the ’best fitting’ SSD</w:t>
      </w:r>
      <w:r w:rsidRPr="0098635C">
        <w:rPr>
          <w:bCs/>
          <w:iCs/>
          <w:color w:val="000000" w:themeColor="text1"/>
          <w:sz w:val="20"/>
          <w:szCs w:val="20"/>
        </w:rPr>
        <w:t xml:space="preserve">. </w:t>
      </w:r>
      <w:r w:rsidR="002D155C" w:rsidRPr="0098635C">
        <w:rPr>
          <w:bCs/>
          <w:iCs/>
          <w:color w:val="000000" w:themeColor="text1"/>
          <w:sz w:val="20"/>
          <w:szCs w:val="20"/>
        </w:rPr>
        <w:t>Similar to the Ni-SIAR, b</w:t>
      </w:r>
      <w:r w:rsidRPr="0098635C">
        <w:rPr>
          <w:bCs/>
          <w:iCs/>
          <w:color w:val="000000" w:themeColor="text1"/>
          <w:sz w:val="20"/>
          <w:szCs w:val="20"/>
        </w:rPr>
        <w:t xml:space="preserve">ased on the statistical uncertainty analysis, it can be concluded that the </w:t>
      </w:r>
      <w:r w:rsidR="006C7EEC" w:rsidRPr="0098635C">
        <w:rPr>
          <w:bCs/>
          <w:iCs/>
          <w:color w:val="000000" w:themeColor="text1"/>
          <w:sz w:val="20"/>
          <w:szCs w:val="20"/>
        </w:rPr>
        <w:t>HC</w:t>
      </w:r>
      <w:r w:rsidR="006C7EEC" w:rsidRPr="0098635C">
        <w:rPr>
          <w:bCs/>
          <w:iCs/>
          <w:color w:val="000000" w:themeColor="text1"/>
          <w:sz w:val="20"/>
          <w:szCs w:val="20"/>
          <w:vertAlign w:val="subscript"/>
        </w:rPr>
        <w:t>5,50%</w:t>
      </w:r>
      <w:r w:rsidRPr="0098635C">
        <w:rPr>
          <w:bCs/>
          <w:iCs/>
          <w:color w:val="000000" w:themeColor="text1"/>
          <w:sz w:val="20"/>
          <w:szCs w:val="20"/>
        </w:rPr>
        <w:t xml:space="preserve"> is a statistical robust determination.</w:t>
      </w:r>
    </w:p>
    <w:p w14:paraId="7AABB906" w14:textId="77777777" w:rsidR="00D05142" w:rsidRPr="0098635C" w:rsidRDefault="006C7EEC" w:rsidP="00D05142">
      <w:pPr>
        <w:pStyle w:val="TableTitle0"/>
        <w:autoSpaceDE w:val="0"/>
        <w:autoSpaceDN w:val="0"/>
        <w:spacing w:before="120" w:after="0"/>
        <w:jc w:val="both"/>
        <w:rPr>
          <w:rStyle w:val="KorrUK"/>
          <w:rFonts w:ascii="Times New Roman" w:hAnsi="Times New Roman" w:cs="Times New Roman"/>
          <w:b w:val="0"/>
          <w:bCs w:val="0"/>
          <w:color w:val="000000" w:themeColor="text1"/>
          <w:sz w:val="20"/>
          <w:szCs w:val="20"/>
        </w:rPr>
      </w:pPr>
      <w:r w:rsidRPr="0098635C">
        <w:rPr>
          <w:rStyle w:val="KorrUK"/>
          <w:rFonts w:ascii="Times New Roman" w:hAnsi="Times New Roman" w:cs="Times New Roman"/>
          <w:b w:val="0"/>
          <w:bCs w:val="0"/>
          <w:color w:val="000000" w:themeColor="text1"/>
          <w:sz w:val="20"/>
          <w:szCs w:val="20"/>
        </w:rPr>
        <w:t>HC</w:t>
      </w:r>
      <w:r w:rsidRPr="0098635C">
        <w:rPr>
          <w:rStyle w:val="KorrUK"/>
          <w:rFonts w:ascii="Times New Roman" w:hAnsi="Times New Roman" w:cs="Times New Roman"/>
          <w:b w:val="0"/>
          <w:bCs w:val="0"/>
          <w:color w:val="000000" w:themeColor="text1"/>
          <w:sz w:val="20"/>
          <w:szCs w:val="20"/>
          <w:vertAlign w:val="subscript"/>
        </w:rPr>
        <w:t>5,50%</w:t>
      </w:r>
      <w:r w:rsidR="00D05142" w:rsidRPr="0098635C">
        <w:rPr>
          <w:rStyle w:val="KorrUK"/>
          <w:rFonts w:ascii="Times New Roman" w:hAnsi="Times New Roman" w:cs="Times New Roman"/>
          <w:b w:val="0"/>
          <w:bCs w:val="0"/>
          <w:color w:val="000000" w:themeColor="text1"/>
          <w:sz w:val="20"/>
          <w:szCs w:val="20"/>
        </w:rPr>
        <w:t xml:space="preserve"> versus HC</w:t>
      </w:r>
      <w:r w:rsidR="00D05142" w:rsidRPr="0098635C">
        <w:rPr>
          <w:rStyle w:val="KorrUK"/>
          <w:rFonts w:ascii="Times New Roman" w:hAnsi="Times New Roman" w:cs="Times New Roman"/>
          <w:b w:val="0"/>
          <w:bCs w:val="0"/>
          <w:color w:val="000000" w:themeColor="text1"/>
          <w:sz w:val="20"/>
          <w:szCs w:val="20"/>
          <w:vertAlign w:val="subscript"/>
        </w:rPr>
        <w:t>5-5</w:t>
      </w:r>
      <w:r w:rsidR="00D05142" w:rsidRPr="0098635C">
        <w:rPr>
          <w:rStyle w:val="KorrUK"/>
          <w:rFonts w:ascii="Times New Roman" w:hAnsi="Times New Roman" w:cs="Times New Roman"/>
          <w:b w:val="0"/>
          <w:bCs w:val="0"/>
          <w:color w:val="000000" w:themeColor="text1"/>
          <w:sz w:val="20"/>
          <w:szCs w:val="20"/>
        </w:rPr>
        <w:t xml:space="preserve"> values was also determined from individual NOECs instead of the species mean NOEC values (log-normal distribution). The individual NOEC-</w:t>
      </w:r>
      <w:r w:rsidRPr="0098635C">
        <w:rPr>
          <w:rStyle w:val="KorrUK"/>
          <w:rFonts w:ascii="Times New Roman" w:hAnsi="Times New Roman" w:cs="Times New Roman"/>
          <w:b w:val="0"/>
          <w:bCs w:val="0"/>
          <w:color w:val="000000" w:themeColor="text1"/>
          <w:sz w:val="20"/>
          <w:szCs w:val="20"/>
        </w:rPr>
        <w:t>HC</w:t>
      </w:r>
      <w:r w:rsidRPr="0098635C">
        <w:rPr>
          <w:rStyle w:val="KorrUK"/>
          <w:rFonts w:ascii="Times New Roman" w:hAnsi="Times New Roman" w:cs="Times New Roman"/>
          <w:b w:val="0"/>
          <w:bCs w:val="0"/>
          <w:color w:val="000000" w:themeColor="text1"/>
          <w:sz w:val="20"/>
          <w:szCs w:val="20"/>
          <w:vertAlign w:val="subscript"/>
        </w:rPr>
        <w:t>5,50%</w:t>
      </w:r>
      <w:r w:rsidR="00D05142" w:rsidRPr="0098635C">
        <w:rPr>
          <w:rStyle w:val="KorrUK"/>
          <w:rFonts w:ascii="Times New Roman" w:hAnsi="Times New Roman" w:cs="Times New Roman"/>
          <w:b w:val="0"/>
          <w:bCs w:val="0"/>
          <w:color w:val="000000" w:themeColor="text1"/>
          <w:sz w:val="20"/>
          <w:szCs w:val="20"/>
        </w:rPr>
        <w:t xml:space="preserve"> values are similar to the </w:t>
      </w:r>
      <w:r w:rsidRPr="0098635C">
        <w:rPr>
          <w:rStyle w:val="KorrUK"/>
          <w:rFonts w:ascii="Times New Roman" w:hAnsi="Times New Roman" w:cs="Times New Roman"/>
          <w:b w:val="0"/>
          <w:bCs w:val="0"/>
          <w:color w:val="000000" w:themeColor="text1"/>
          <w:sz w:val="20"/>
          <w:szCs w:val="20"/>
        </w:rPr>
        <w:t>HC</w:t>
      </w:r>
      <w:r w:rsidRPr="0098635C">
        <w:rPr>
          <w:rStyle w:val="KorrUK"/>
          <w:rFonts w:ascii="Times New Roman" w:hAnsi="Times New Roman" w:cs="Times New Roman"/>
          <w:b w:val="0"/>
          <w:bCs w:val="0"/>
          <w:color w:val="000000" w:themeColor="text1"/>
          <w:sz w:val="20"/>
          <w:szCs w:val="20"/>
          <w:vertAlign w:val="subscript"/>
        </w:rPr>
        <w:t>5,50%</w:t>
      </w:r>
      <w:r w:rsidR="00D05142" w:rsidRPr="0098635C">
        <w:rPr>
          <w:rStyle w:val="KorrUK"/>
          <w:rFonts w:ascii="Times New Roman" w:hAnsi="Times New Roman" w:cs="Times New Roman"/>
          <w:b w:val="0"/>
          <w:bCs w:val="0"/>
          <w:color w:val="000000" w:themeColor="text1"/>
          <w:sz w:val="20"/>
          <w:szCs w:val="20"/>
        </w:rPr>
        <w:t xml:space="preserve"> values derived from species mean NOECS. A consistent </w:t>
      </w:r>
      <w:r w:rsidR="00D05142" w:rsidRPr="0098635C">
        <w:rPr>
          <w:rFonts w:ascii="Times New Roman" w:hAnsi="Times New Roman" w:cs="Times New Roman"/>
          <w:b w:val="0"/>
          <w:bCs w:val="0"/>
          <w:color w:val="000000" w:themeColor="text1"/>
          <w:sz w:val="20"/>
          <w:szCs w:val="20"/>
        </w:rPr>
        <w:t>HC</w:t>
      </w:r>
      <w:r w:rsidR="00D05142" w:rsidRPr="0098635C">
        <w:rPr>
          <w:rFonts w:ascii="Times New Roman" w:hAnsi="Times New Roman" w:cs="Times New Roman"/>
          <w:b w:val="0"/>
          <w:bCs w:val="0"/>
          <w:color w:val="000000" w:themeColor="text1"/>
          <w:sz w:val="20"/>
          <w:szCs w:val="20"/>
          <w:vertAlign w:val="subscript"/>
        </w:rPr>
        <w:t>5-50</w:t>
      </w:r>
      <w:r w:rsidR="00D05142" w:rsidRPr="0098635C">
        <w:rPr>
          <w:rFonts w:ascii="Times New Roman" w:hAnsi="Times New Roman" w:cs="Times New Roman"/>
          <w:b w:val="0"/>
          <w:bCs w:val="0"/>
          <w:color w:val="000000" w:themeColor="text1"/>
          <w:sz w:val="20"/>
          <w:szCs w:val="20"/>
        </w:rPr>
        <w:t>/HC</w:t>
      </w:r>
      <w:r w:rsidR="00D05142" w:rsidRPr="0098635C">
        <w:rPr>
          <w:rFonts w:ascii="Times New Roman" w:hAnsi="Times New Roman" w:cs="Times New Roman"/>
          <w:b w:val="0"/>
          <w:bCs w:val="0"/>
          <w:color w:val="000000" w:themeColor="text1"/>
          <w:sz w:val="20"/>
          <w:szCs w:val="20"/>
          <w:vertAlign w:val="subscript"/>
        </w:rPr>
        <w:t>5-5</w:t>
      </w:r>
      <w:r w:rsidR="00D05142" w:rsidRPr="0098635C">
        <w:rPr>
          <w:rFonts w:ascii="Times New Roman" w:hAnsi="Times New Roman" w:cs="Times New Roman"/>
          <w:b w:val="0"/>
          <w:bCs w:val="0"/>
          <w:color w:val="000000" w:themeColor="text1"/>
          <w:sz w:val="20"/>
          <w:szCs w:val="20"/>
        </w:rPr>
        <w:t xml:space="preserve"> </w:t>
      </w:r>
      <w:r w:rsidR="00D05142" w:rsidRPr="0098635C">
        <w:rPr>
          <w:rStyle w:val="KorrUK"/>
          <w:rFonts w:ascii="Times New Roman" w:hAnsi="Times New Roman" w:cs="Times New Roman"/>
          <w:b w:val="0"/>
          <w:bCs w:val="0"/>
          <w:color w:val="000000" w:themeColor="text1"/>
          <w:sz w:val="20"/>
          <w:szCs w:val="20"/>
        </w:rPr>
        <w:t>ratio of 1.2 is observed across all scenarios for the log-normal distributio</w:t>
      </w:r>
      <w:r w:rsidR="0020790D" w:rsidRPr="0098635C">
        <w:rPr>
          <w:rStyle w:val="KorrUK"/>
          <w:rFonts w:ascii="Times New Roman" w:hAnsi="Times New Roman" w:cs="Times New Roman"/>
          <w:b w:val="0"/>
          <w:bCs w:val="0"/>
          <w:color w:val="000000" w:themeColor="text1"/>
          <w:sz w:val="20"/>
          <w:szCs w:val="20"/>
        </w:rPr>
        <w:t xml:space="preserve">n, based on all </w:t>
      </w:r>
      <w:r w:rsidR="00D05142" w:rsidRPr="0098635C">
        <w:rPr>
          <w:rStyle w:val="KorrUK"/>
          <w:rFonts w:ascii="Times New Roman" w:hAnsi="Times New Roman" w:cs="Times New Roman"/>
          <w:b w:val="0"/>
          <w:bCs w:val="0"/>
          <w:color w:val="000000" w:themeColor="text1"/>
          <w:sz w:val="20"/>
          <w:szCs w:val="20"/>
        </w:rPr>
        <w:t xml:space="preserve">individual NOEC values. </w:t>
      </w:r>
    </w:p>
    <w:p w14:paraId="28E61A43" w14:textId="77777777" w:rsidR="005C3ED8" w:rsidRPr="0098635C" w:rsidRDefault="00D05142" w:rsidP="005C3ED8">
      <w:pPr>
        <w:spacing w:before="120"/>
        <w:rPr>
          <w:bCs/>
          <w:iCs/>
          <w:color w:val="000000" w:themeColor="text1"/>
          <w:sz w:val="20"/>
          <w:szCs w:val="20"/>
        </w:rPr>
      </w:pPr>
      <w:r w:rsidRPr="0098635C">
        <w:rPr>
          <w:bCs/>
          <w:i/>
          <w:iCs/>
          <w:color w:val="000000" w:themeColor="text1"/>
          <w:sz w:val="20"/>
          <w:szCs w:val="20"/>
          <w:u w:val="single"/>
        </w:rPr>
        <w:t xml:space="preserve">Evaluation of NOEC values below the </w:t>
      </w:r>
      <w:r w:rsidR="006C7EEC" w:rsidRPr="0098635C">
        <w:rPr>
          <w:bCs/>
          <w:i/>
          <w:iCs/>
          <w:color w:val="000000" w:themeColor="text1"/>
          <w:sz w:val="20"/>
          <w:szCs w:val="20"/>
          <w:u w:val="single"/>
        </w:rPr>
        <w:t>HC5,50%</w:t>
      </w:r>
      <w:r w:rsidR="003B4801" w:rsidRPr="0098635C">
        <w:rPr>
          <w:b/>
          <w:bCs/>
          <w:i/>
          <w:iCs/>
          <w:color w:val="000000" w:themeColor="text1"/>
          <w:sz w:val="20"/>
          <w:szCs w:val="20"/>
        </w:rPr>
        <w:t xml:space="preserve">:  </w:t>
      </w:r>
      <w:r w:rsidRPr="0098635C">
        <w:rPr>
          <w:bCs/>
          <w:iCs/>
          <w:color w:val="000000" w:themeColor="text1"/>
          <w:sz w:val="20"/>
          <w:szCs w:val="20"/>
        </w:rPr>
        <w:t xml:space="preserve">Only one or two out of the 27 species-specific NOECs falls under the </w:t>
      </w:r>
      <w:r w:rsidR="006C7EEC" w:rsidRPr="0098635C">
        <w:rPr>
          <w:bCs/>
          <w:iCs/>
          <w:color w:val="000000" w:themeColor="text1"/>
          <w:sz w:val="20"/>
          <w:szCs w:val="20"/>
        </w:rPr>
        <w:t>HC</w:t>
      </w:r>
      <w:r w:rsidR="006C7EEC" w:rsidRPr="0098635C">
        <w:rPr>
          <w:bCs/>
          <w:iCs/>
          <w:color w:val="000000" w:themeColor="text1"/>
          <w:sz w:val="20"/>
          <w:szCs w:val="20"/>
          <w:vertAlign w:val="subscript"/>
        </w:rPr>
        <w:t>5,50%</w:t>
      </w:r>
      <w:r w:rsidRPr="0098635C">
        <w:rPr>
          <w:bCs/>
          <w:iCs/>
          <w:color w:val="000000" w:themeColor="text1"/>
          <w:sz w:val="20"/>
          <w:szCs w:val="20"/>
        </w:rPr>
        <w:t xml:space="preserve"> value.  The observed similarity in mechanism of action among invertebrates, including the most sensitive species, </w:t>
      </w:r>
      <w:r w:rsidRPr="0098635C">
        <w:rPr>
          <w:bCs/>
          <w:i/>
          <w:iCs/>
          <w:color w:val="000000" w:themeColor="text1"/>
          <w:sz w:val="20"/>
          <w:szCs w:val="20"/>
        </w:rPr>
        <w:t>Brachionus calyciflorus</w:t>
      </w:r>
      <w:r w:rsidRPr="0098635C">
        <w:rPr>
          <w:bCs/>
          <w:iCs/>
          <w:color w:val="000000" w:themeColor="text1"/>
          <w:sz w:val="20"/>
          <w:szCs w:val="20"/>
        </w:rPr>
        <w:t xml:space="preserve">, as well as the large ecotox database and small difference between the NOEC for </w:t>
      </w:r>
      <w:r w:rsidRPr="0098635C">
        <w:rPr>
          <w:bCs/>
          <w:i/>
          <w:iCs/>
          <w:color w:val="000000" w:themeColor="text1"/>
          <w:sz w:val="20"/>
          <w:szCs w:val="20"/>
        </w:rPr>
        <w:t>Brachionus calyciflorus</w:t>
      </w:r>
      <w:r w:rsidRPr="0098635C">
        <w:rPr>
          <w:bCs/>
          <w:iCs/>
          <w:color w:val="000000" w:themeColor="text1"/>
          <w:sz w:val="20"/>
          <w:szCs w:val="20"/>
        </w:rPr>
        <w:t xml:space="preserve"> and the SSD-</w:t>
      </w:r>
      <w:r w:rsidR="006C7EEC" w:rsidRPr="0098635C">
        <w:rPr>
          <w:bCs/>
          <w:iCs/>
          <w:color w:val="000000" w:themeColor="text1"/>
          <w:sz w:val="20"/>
          <w:szCs w:val="20"/>
        </w:rPr>
        <w:t>HC</w:t>
      </w:r>
      <w:r w:rsidR="006C7EEC" w:rsidRPr="0098635C">
        <w:rPr>
          <w:bCs/>
          <w:iCs/>
          <w:color w:val="000000" w:themeColor="text1"/>
          <w:sz w:val="20"/>
          <w:szCs w:val="20"/>
          <w:vertAlign w:val="subscript"/>
        </w:rPr>
        <w:t>5,50%</w:t>
      </w:r>
      <w:r w:rsidRPr="0098635C">
        <w:rPr>
          <w:bCs/>
          <w:iCs/>
          <w:color w:val="000000" w:themeColor="text1"/>
          <w:sz w:val="20"/>
          <w:szCs w:val="20"/>
        </w:rPr>
        <w:t xml:space="preserve"> (&lt;-factor 1.4) does demonstrate the applicability of statistical extrapolation to the copper database</w:t>
      </w:r>
      <w:bookmarkStart w:id="1995" w:name="_Ref165854934"/>
      <w:bookmarkStart w:id="1996" w:name="_Toc165860742"/>
    </w:p>
    <w:bookmarkEnd w:id="1995"/>
    <w:bookmarkEnd w:id="1996"/>
    <w:p w14:paraId="1E8A3237" w14:textId="77777777" w:rsidR="00D05142" w:rsidRPr="0098635C" w:rsidRDefault="00D05142" w:rsidP="00D05142">
      <w:pPr>
        <w:spacing w:before="120"/>
        <w:rPr>
          <w:bCs/>
          <w:i/>
          <w:iCs/>
          <w:color w:val="000000" w:themeColor="text1"/>
          <w:sz w:val="20"/>
          <w:szCs w:val="20"/>
          <w:u w:val="single"/>
        </w:rPr>
      </w:pPr>
      <w:r w:rsidRPr="0098635C">
        <w:rPr>
          <w:bCs/>
          <w:i/>
          <w:iCs/>
          <w:color w:val="000000" w:themeColor="text1"/>
          <w:sz w:val="20"/>
          <w:szCs w:val="20"/>
          <w:u w:val="single"/>
        </w:rPr>
        <w:t xml:space="preserve">Summary of the derived </w:t>
      </w:r>
      <w:r w:rsidR="006C7EEC" w:rsidRPr="0098635C">
        <w:rPr>
          <w:bCs/>
          <w:i/>
          <w:iCs/>
          <w:color w:val="000000" w:themeColor="text1"/>
          <w:sz w:val="20"/>
          <w:szCs w:val="20"/>
          <w:u w:val="single"/>
        </w:rPr>
        <w:t>HC5,50%</w:t>
      </w:r>
      <w:r w:rsidRPr="0098635C">
        <w:rPr>
          <w:bCs/>
          <w:i/>
          <w:iCs/>
          <w:color w:val="000000" w:themeColor="text1"/>
          <w:sz w:val="20"/>
          <w:szCs w:val="20"/>
          <w:u w:val="single"/>
        </w:rPr>
        <w:t xml:space="preserve"> and conservative elements built into the </w:t>
      </w:r>
      <w:r w:rsidR="006C7EEC" w:rsidRPr="0098635C">
        <w:rPr>
          <w:bCs/>
          <w:i/>
          <w:iCs/>
          <w:color w:val="000000" w:themeColor="text1"/>
          <w:sz w:val="20"/>
          <w:szCs w:val="20"/>
          <w:u w:val="single"/>
        </w:rPr>
        <w:t>HC5,50%</w:t>
      </w:r>
      <w:r w:rsidR="00B35D7B" w:rsidRPr="0098635C">
        <w:rPr>
          <w:bCs/>
          <w:i/>
          <w:iCs/>
          <w:color w:val="000000" w:themeColor="text1"/>
          <w:sz w:val="20"/>
          <w:szCs w:val="20"/>
          <w:u w:val="single"/>
        </w:rPr>
        <w:t xml:space="preserve"> : </w:t>
      </w:r>
      <w:r w:rsidRPr="0098635C">
        <w:rPr>
          <w:rStyle w:val="KorrUK"/>
          <w:rFonts w:ascii="Times New Roman" w:hAnsi="Times New Roman" w:cs="Times New Roman"/>
          <w:color w:val="000000" w:themeColor="text1"/>
          <w:sz w:val="20"/>
          <w:szCs w:val="20"/>
        </w:rPr>
        <w:t xml:space="preserve">From the above summary, it is concluded that </w:t>
      </w:r>
      <w:r w:rsidR="005C3ED8" w:rsidRPr="0098635C">
        <w:rPr>
          <w:color w:val="000000" w:themeColor="text1"/>
          <w:sz w:val="20"/>
          <w:szCs w:val="20"/>
        </w:rPr>
        <w:t>the copper aquatic effects database contains a large nu</w:t>
      </w:r>
      <w:r w:rsidRPr="0098635C">
        <w:rPr>
          <w:color w:val="000000" w:themeColor="text1"/>
          <w:sz w:val="20"/>
          <w:szCs w:val="20"/>
        </w:rPr>
        <w:t>m</w:t>
      </w:r>
      <w:r w:rsidR="005C3ED8" w:rsidRPr="0098635C">
        <w:rPr>
          <w:color w:val="000000" w:themeColor="text1"/>
          <w:sz w:val="20"/>
          <w:szCs w:val="20"/>
        </w:rPr>
        <w:t>ber of hi</w:t>
      </w:r>
      <w:r w:rsidR="0020790D" w:rsidRPr="0098635C">
        <w:rPr>
          <w:color w:val="000000" w:themeColor="text1"/>
          <w:sz w:val="20"/>
          <w:szCs w:val="20"/>
        </w:rPr>
        <w:t>gh quality chronic NOEC values for 27 species</w:t>
      </w:r>
      <w:r w:rsidR="005C3ED8" w:rsidRPr="0098635C">
        <w:rPr>
          <w:color w:val="000000" w:themeColor="text1"/>
          <w:sz w:val="20"/>
          <w:szCs w:val="20"/>
        </w:rPr>
        <w:t>, covering sens</w:t>
      </w:r>
      <w:r w:rsidRPr="0098635C">
        <w:rPr>
          <w:color w:val="000000" w:themeColor="text1"/>
          <w:sz w:val="20"/>
          <w:szCs w:val="20"/>
        </w:rPr>
        <w:t>i</w:t>
      </w:r>
      <w:r w:rsidR="005C3ED8" w:rsidRPr="0098635C">
        <w:rPr>
          <w:color w:val="000000" w:themeColor="text1"/>
          <w:sz w:val="20"/>
          <w:szCs w:val="20"/>
        </w:rPr>
        <w:t xml:space="preserve">tive life stages and taxonomic groups.  </w:t>
      </w:r>
      <w:r w:rsidRPr="0098635C">
        <w:rPr>
          <w:rStyle w:val="KorrUK"/>
          <w:rFonts w:ascii="Times New Roman" w:hAnsi="Times New Roman" w:cs="Times New Roman"/>
          <w:color w:val="000000" w:themeColor="text1"/>
          <w:sz w:val="20"/>
          <w:szCs w:val="20"/>
        </w:rPr>
        <w:t xml:space="preserve">The Biotic ligand models have been validated and applied to the toxicity database. </w:t>
      </w:r>
      <w:r w:rsidRPr="0098635C">
        <w:rPr>
          <w:rStyle w:val="KorrUK"/>
          <w:rFonts w:ascii="Times New Roman" w:hAnsi="Times New Roman" w:cs="Times New Roman"/>
          <w:color w:val="000000" w:themeColor="text1"/>
          <w:sz w:val="20"/>
          <w:szCs w:val="20"/>
          <w:lang w:eastAsia="nl-NL"/>
        </w:rPr>
        <w:t xml:space="preserve">The uncertainty and sensitivity analysis of the data and data treatment clearly demonstrate the robustness of the derived copper </w:t>
      </w:r>
      <w:r w:rsidR="006C7EEC" w:rsidRPr="0098635C">
        <w:rPr>
          <w:rStyle w:val="KorrUK"/>
          <w:rFonts w:ascii="Times New Roman" w:hAnsi="Times New Roman" w:cs="Times New Roman"/>
          <w:color w:val="000000" w:themeColor="text1"/>
          <w:sz w:val="20"/>
          <w:szCs w:val="20"/>
          <w:lang w:eastAsia="nl-NL"/>
        </w:rPr>
        <w:t>HC</w:t>
      </w:r>
      <w:r w:rsidR="006C7EEC" w:rsidRPr="0098635C">
        <w:rPr>
          <w:rStyle w:val="KorrUK"/>
          <w:rFonts w:ascii="Times New Roman" w:hAnsi="Times New Roman" w:cs="Times New Roman"/>
          <w:color w:val="000000" w:themeColor="text1"/>
          <w:sz w:val="20"/>
          <w:szCs w:val="20"/>
          <w:vertAlign w:val="subscript"/>
          <w:lang w:eastAsia="nl-NL"/>
        </w:rPr>
        <w:t>5,50%</w:t>
      </w:r>
      <w:r w:rsidRPr="0098635C">
        <w:rPr>
          <w:rStyle w:val="KorrUK"/>
          <w:rFonts w:ascii="Times New Roman" w:hAnsi="Times New Roman" w:cs="Times New Roman"/>
          <w:color w:val="000000" w:themeColor="text1"/>
          <w:sz w:val="20"/>
          <w:szCs w:val="20"/>
          <w:lang w:eastAsia="nl-NL"/>
        </w:rPr>
        <w:t xml:space="preserve"> values</w:t>
      </w:r>
    </w:p>
    <w:p w14:paraId="36B53276" w14:textId="77777777" w:rsidR="00D05142" w:rsidRPr="0098635C" w:rsidRDefault="005C3ED8" w:rsidP="00D05142">
      <w:pPr>
        <w:spacing w:after="0"/>
        <w:rPr>
          <w:color w:val="000000" w:themeColor="text1"/>
          <w:sz w:val="20"/>
          <w:szCs w:val="20"/>
        </w:rPr>
      </w:pPr>
      <w:r w:rsidRPr="0098635C">
        <w:rPr>
          <w:color w:val="000000" w:themeColor="text1"/>
          <w:sz w:val="20"/>
          <w:szCs w:val="20"/>
        </w:rPr>
        <w:t xml:space="preserve">Some key conservative elements have been incorporated in the </w:t>
      </w:r>
      <w:r w:rsidR="006C7EEC" w:rsidRPr="0098635C">
        <w:rPr>
          <w:color w:val="000000" w:themeColor="text1"/>
          <w:sz w:val="20"/>
          <w:szCs w:val="20"/>
        </w:rPr>
        <w:t>HC</w:t>
      </w:r>
      <w:r w:rsidR="006C7EEC" w:rsidRPr="0098635C">
        <w:rPr>
          <w:color w:val="000000" w:themeColor="text1"/>
          <w:sz w:val="20"/>
          <w:szCs w:val="20"/>
          <w:vertAlign w:val="subscript"/>
        </w:rPr>
        <w:t>5,50%</w:t>
      </w:r>
      <w:r w:rsidRPr="0098635C">
        <w:rPr>
          <w:color w:val="000000" w:themeColor="text1"/>
          <w:sz w:val="20"/>
          <w:szCs w:val="20"/>
        </w:rPr>
        <w:t xml:space="preserve"> settings proposed:</w:t>
      </w:r>
    </w:p>
    <w:p w14:paraId="605DA179" w14:textId="77777777" w:rsidR="00D05142" w:rsidRPr="0098635C" w:rsidRDefault="005C3ED8" w:rsidP="0059369A">
      <w:pPr>
        <w:widowControl/>
        <w:numPr>
          <w:ilvl w:val="0"/>
          <w:numId w:val="17"/>
        </w:numPr>
        <w:autoSpaceDE/>
        <w:autoSpaceDN/>
        <w:adjustRightInd/>
        <w:spacing w:after="0"/>
        <w:rPr>
          <w:color w:val="000000" w:themeColor="text1"/>
          <w:sz w:val="20"/>
          <w:szCs w:val="20"/>
        </w:rPr>
      </w:pPr>
      <w:r w:rsidRPr="0098635C">
        <w:rPr>
          <w:color w:val="000000" w:themeColor="text1"/>
          <w:sz w:val="20"/>
          <w:szCs w:val="20"/>
        </w:rPr>
        <w:t xml:space="preserve">The 50th % confidence limit is used for </w:t>
      </w:r>
      <w:r w:rsidR="00B92ED5" w:rsidRPr="0098635C">
        <w:rPr>
          <w:color w:val="000000" w:themeColor="text1"/>
          <w:sz w:val="20"/>
          <w:szCs w:val="20"/>
        </w:rPr>
        <w:t>hazard and risk assessment purposes</w:t>
      </w:r>
      <w:r w:rsidRPr="0098635C">
        <w:rPr>
          <w:color w:val="000000" w:themeColor="text1"/>
          <w:sz w:val="20"/>
          <w:szCs w:val="20"/>
        </w:rPr>
        <w:t xml:space="preserve"> </w:t>
      </w:r>
    </w:p>
    <w:p w14:paraId="0308792D" w14:textId="77777777" w:rsidR="00D05142" w:rsidRPr="0098635C" w:rsidRDefault="005C3ED8" w:rsidP="0059369A">
      <w:pPr>
        <w:widowControl/>
        <w:numPr>
          <w:ilvl w:val="0"/>
          <w:numId w:val="17"/>
        </w:numPr>
        <w:autoSpaceDE/>
        <w:autoSpaceDN/>
        <w:adjustRightInd/>
        <w:spacing w:after="0"/>
        <w:rPr>
          <w:color w:val="000000" w:themeColor="text1"/>
          <w:sz w:val="20"/>
          <w:szCs w:val="20"/>
        </w:rPr>
      </w:pPr>
      <w:r w:rsidRPr="0098635C">
        <w:rPr>
          <w:color w:val="000000" w:themeColor="text1"/>
          <w:sz w:val="20"/>
          <w:szCs w:val="20"/>
        </w:rPr>
        <w:t xml:space="preserve">Overestimation of toxicity values often occur for tests performed in flow through systems because the Cu-DOC complexes have not yet been formed in the tests media.  </w:t>
      </w:r>
    </w:p>
    <w:p w14:paraId="771D5B22" w14:textId="77777777" w:rsidR="00D05142" w:rsidRPr="0098635C" w:rsidRDefault="005C3ED8" w:rsidP="0059369A">
      <w:pPr>
        <w:widowControl/>
        <w:numPr>
          <w:ilvl w:val="0"/>
          <w:numId w:val="17"/>
        </w:numPr>
        <w:autoSpaceDE/>
        <w:autoSpaceDN/>
        <w:adjustRightInd/>
        <w:spacing w:after="0"/>
        <w:rPr>
          <w:color w:val="000000" w:themeColor="text1"/>
          <w:sz w:val="20"/>
          <w:szCs w:val="20"/>
        </w:rPr>
      </w:pPr>
      <w:r w:rsidRPr="0098635C">
        <w:rPr>
          <w:color w:val="000000" w:themeColor="text1"/>
          <w:sz w:val="20"/>
          <w:szCs w:val="20"/>
        </w:rPr>
        <w:t>No acclimation of the organisms (no limit was set to the copper in the test media).  The influence of background values was tested and demonstrated that acclimation may decrease the sensitivity up to a factor of 3.</w:t>
      </w:r>
    </w:p>
    <w:p w14:paraId="3C3E1280" w14:textId="77777777" w:rsidR="00D05142" w:rsidRPr="0098635C" w:rsidRDefault="00D05142" w:rsidP="00D05142">
      <w:pPr>
        <w:widowControl/>
        <w:autoSpaceDE/>
        <w:autoSpaceDN/>
        <w:adjustRightInd/>
        <w:spacing w:before="120" w:after="0"/>
        <w:ind w:left="360"/>
        <w:rPr>
          <w:color w:val="000000" w:themeColor="text1"/>
          <w:sz w:val="20"/>
          <w:szCs w:val="20"/>
        </w:rPr>
      </w:pPr>
    </w:p>
    <w:p w14:paraId="34589FAD" w14:textId="77777777" w:rsidR="00D05142" w:rsidRPr="0098635C" w:rsidRDefault="005C3ED8" w:rsidP="00D05142">
      <w:pPr>
        <w:spacing w:after="0"/>
        <w:rPr>
          <w:color w:val="000000" w:themeColor="text1"/>
          <w:sz w:val="20"/>
          <w:szCs w:val="20"/>
        </w:rPr>
      </w:pPr>
      <w:r w:rsidRPr="0098635C">
        <w:rPr>
          <w:color w:val="000000" w:themeColor="text1"/>
          <w:sz w:val="20"/>
          <w:szCs w:val="20"/>
        </w:rPr>
        <w:t xml:space="preserve">Some key further uncertainties </w:t>
      </w:r>
      <w:r w:rsidR="003B4801" w:rsidRPr="0098635C">
        <w:rPr>
          <w:color w:val="000000" w:themeColor="text1"/>
          <w:sz w:val="20"/>
          <w:szCs w:val="20"/>
        </w:rPr>
        <w:t xml:space="preserve">have also been </w:t>
      </w:r>
      <w:r w:rsidRPr="0098635C">
        <w:rPr>
          <w:color w:val="000000" w:themeColor="text1"/>
          <w:sz w:val="20"/>
          <w:szCs w:val="20"/>
        </w:rPr>
        <w:t>f</w:t>
      </w:r>
      <w:r w:rsidR="003B4801" w:rsidRPr="0098635C">
        <w:rPr>
          <w:color w:val="000000" w:themeColor="text1"/>
          <w:sz w:val="20"/>
          <w:szCs w:val="20"/>
        </w:rPr>
        <w:t xml:space="preserve">or </w:t>
      </w:r>
      <w:r w:rsidR="00B35D7B" w:rsidRPr="0098635C">
        <w:rPr>
          <w:color w:val="000000" w:themeColor="text1"/>
          <w:sz w:val="20"/>
          <w:szCs w:val="20"/>
        </w:rPr>
        <w:t>a</w:t>
      </w:r>
      <w:r w:rsidRPr="0098635C">
        <w:rPr>
          <w:color w:val="000000" w:themeColor="text1"/>
          <w:sz w:val="20"/>
          <w:szCs w:val="20"/>
        </w:rPr>
        <w:t>d</w:t>
      </w:r>
      <w:r w:rsidR="00B2478D" w:rsidRPr="0098635C">
        <w:rPr>
          <w:color w:val="000000" w:themeColor="text1"/>
          <w:sz w:val="20"/>
          <w:szCs w:val="20"/>
        </w:rPr>
        <w:t>d</w:t>
      </w:r>
      <w:r w:rsidRPr="0098635C">
        <w:rPr>
          <w:color w:val="000000" w:themeColor="text1"/>
          <w:sz w:val="20"/>
          <w:szCs w:val="20"/>
        </w:rPr>
        <w:t>ressed are</w:t>
      </w:r>
      <w:r w:rsidR="00B2478D" w:rsidRPr="0098635C">
        <w:rPr>
          <w:color w:val="000000" w:themeColor="text1"/>
          <w:sz w:val="20"/>
          <w:szCs w:val="20"/>
        </w:rPr>
        <w:t>:</w:t>
      </w:r>
    </w:p>
    <w:p w14:paraId="46F28E42" w14:textId="110F1DCA" w:rsidR="005C3ED8" w:rsidRPr="0098635C" w:rsidDel="00C80F07" w:rsidRDefault="00B35D7B" w:rsidP="0059369A">
      <w:pPr>
        <w:widowControl/>
        <w:numPr>
          <w:ilvl w:val="0"/>
          <w:numId w:val="17"/>
        </w:numPr>
        <w:autoSpaceDE/>
        <w:autoSpaceDN/>
        <w:adjustRightInd/>
        <w:spacing w:after="0"/>
        <w:rPr>
          <w:color w:val="000000" w:themeColor="text1"/>
          <w:sz w:val="20"/>
          <w:szCs w:val="20"/>
        </w:rPr>
      </w:pPr>
      <w:r w:rsidRPr="0098635C" w:rsidDel="00C80F07">
        <w:rPr>
          <w:color w:val="000000" w:themeColor="text1"/>
          <w:sz w:val="20"/>
          <w:szCs w:val="20"/>
        </w:rPr>
        <w:t>The</w:t>
      </w:r>
      <w:r w:rsidR="005C3ED8" w:rsidRPr="0098635C" w:rsidDel="00C80F07">
        <w:rPr>
          <w:color w:val="000000" w:themeColor="text1"/>
          <w:sz w:val="20"/>
          <w:szCs w:val="20"/>
        </w:rPr>
        <w:t xml:space="preserve"> </w:t>
      </w:r>
      <w:r w:rsidR="006C7EEC" w:rsidRPr="0098635C" w:rsidDel="00C80F07">
        <w:rPr>
          <w:color w:val="000000" w:themeColor="text1"/>
          <w:sz w:val="20"/>
          <w:szCs w:val="20"/>
        </w:rPr>
        <w:t>HC</w:t>
      </w:r>
      <w:r w:rsidR="006C7EEC" w:rsidRPr="0098635C" w:rsidDel="00C80F07">
        <w:rPr>
          <w:color w:val="000000" w:themeColor="text1"/>
          <w:sz w:val="20"/>
          <w:szCs w:val="20"/>
          <w:vertAlign w:val="subscript"/>
        </w:rPr>
        <w:t>5,50%</w:t>
      </w:r>
      <w:r w:rsidR="005C3ED8" w:rsidRPr="0098635C" w:rsidDel="00C80F07">
        <w:rPr>
          <w:color w:val="000000" w:themeColor="text1"/>
          <w:sz w:val="20"/>
          <w:szCs w:val="20"/>
        </w:rPr>
        <w:t xml:space="preserve"> </w:t>
      </w:r>
      <w:r w:rsidRPr="0098635C" w:rsidDel="00C80F07">
        <w:rPr>
          <w:color w:val="000000" w:themeColor="text1"/>
          <w:sz w:val="20"/>
          <w:szCs w:val="20"/>
        </w:rPr>
        <w:t>is conservative</w:t>
      </w:r>
      <w:r w:rsidR="005C3ED8" w:rsidRPr="0098635C" w:rsidDel="00C80F07">
        <w:rPr>
          <w:color w:val="000000" w:themeColor="text1"/>
          <w:sz w:val="20"/>
          <w:szCs w:val="20"/>
        </w:rPr>
        <w:t>, especially as acclimation was not accounted for</w:t>
      </w:r>
    </w:p>
    <w:p w14:paraId="62484EB8" w14:textId="77777777" w:rsidR="005C3ED8" w:rsidRPr="0098635C" w:rsidRDefault="008D728B" w:rsidP="0059369A">
      <w:pPr>
        <w:widowControl/>
        <w:numPr>
          <w:ilvl w:val="0"/>
          <w:numId w:val="17"/>
        </w:numPr>
        <w:autoSpaceDE/>
        <w:autoSpaceDN/>
        <w:adjustRightInd/>
        <w:spacing w:after="0"/>
        <w:rPr>
          <w:color w:val="000000" w:themeColor="text1"/>
          <w:sz w:val="20"/>
          <w:szCs w:val="20"/>
        </w:rPr>
      </w:pPr>
      <w:r w:rsidRPr="0098635C">
        <w:rPr>
          <w:color w:val="000000" w:themeColor="text1"/>
          <w:sz w:val="20"/>
          <w:szCs w:val="20"/>
        </w:rPr>
        <w:t xml:space="preserve">The </w:t>
      </w:r>
      <w:r w:rsidR="006C7EEC" w:rsidRPr="0098635C">
        <w:rPr>
          <w:color w:val="000000" w:themeColor="text1"/>
          <w:sz w:val="20"/>
          <w:szCs w:val="20"/>
        </w:rPr>
        <w:t>HC</w:t>
      </w:r>
      <w:r w:rsidR="006C7EEC" w:rsidRPr="0098635C">
        <w:rPr>
          <w:color w:val="000000" w:themeColor="text1"/>
          <w:sz w:val="20"/>
          <w:szCs w:val="20"/>
          <w:vertAlign w:val="subscript"/>
        </w:rPr>
        <w:t>5,50%</w:t>
      </w:r>
      <w:r w:rsidR="005C3ED8" w:rsidRPr="0098635C">
        <w:rPr>
          <w:color w:val="000000" w:themeColor="text1"/>
          <w:sz w:val="20"/>
          <w:szCs w:val="20"/>
        </w:rPr>
        <w:t xml:space="preserve"> </w:t>
      </w:r>
      <w:r w:rsidR="003B4801" w:rsidRPr="0098635C">
        <w:rPr>
          <w:color w:val="000000" w:themeColor="text1"/>
          <w:sz w:val="20"/>
          <w:szCs w:val="20"/>
        </w:rPr>
        <w:t xml:space="preserve"> can </w:t>
      </w:r>
      <w:r w:rsidR="005C3ED8" w:rsidRPr="0098635C">
        <w:rPr>
          <w:color w:val="000000" w:themeColor="text1"/>
          <w:sz w:val="20"/>
          <w:szCs w:val="20"/>
        </w:rPr>
        <w:t xml:space="preserve">protect sensitive waters </w:t>
      </w:r>
      <w:r w:rsidR="003B4801" w:rsidRPr="0098635C">
        <w:rPr>
          <w:color w:val="000000" w:themeColor="text1"/>
          <w:sz w:val="20"/>
          <w:szCs w:val="20"/>
        </w:rPr>
        <w:t xml:space="preserve">as demonstrated by BLM calculations </w:t>
      </w:r>
      <w:r w:rsidR="00B35D7B" w:rsidRPr="0098635C">
        <w:rPr>
          <w:color w:val="000000" w:themeColor="text1"/>
          <w:sz w:val="20"/>
          <w:szCs w:val="20"/>
        </w:rPr>
        <w:t>for sensitive waters</w:t>
      </w:r>
    </w:p>
    <w:p w14:paraId="663BE249" w14:textId="628EF6B8" w:rsidR="00C80F07" w:rsidRPr="0098635C" w:rsidRDefault="003B4801" w:rsidP="0059369A">
      <w:pPr>
        <w:widowControl/>
        <w:numPr>
          <w:ilvl w:val="0"/>
          <w:numId w:val="17"/>
        </w:numPr>
        <w:autoSpaceDE/>
        <w:autoSpaceDN/>
        <w:adjustRightInd/>
        <w:spacing w:after="0"/>
        <w:rPr>
          <w:b/>
          <w:bCs/>
          <w:color w:val="000000" w:themeColor="text1"/>
          <w:sz w:val="20"/>
          <w:szCs w:val="20"/>
        </w:rPr>
      </w:pPr>
      <w:r w:rsidRPr="0098635C">
        <w:rPr>
          <w:color w:val="000000" w:themeColor="text1"/>
          <w:sz w:val="20"/>
          <w:szCs w:val="20"/>
        </w:rPr>
        <w:t>The</w:t>
      </w:r>
      <w:r w:rsidR="005C3ED8" w:rsidRPr="0098635C">
        <w:rPr>
          <w:color w:val="000000" w:themeColor="text1"/>
          <w:sz w:val="20"/>
          <w:szCs w:val="20"/>
        </w:rPr>
        <w:t xml:space="preserve"> </w:t>
      </w:r>
      <w:r w:rsidR="006C7EEC" w:rsidRPr="0098635C">
        <w:rPr>
          <w:color w:val="000000" w:themeColor="text1"/>
          <w:sz w:val="20"/>
          <w:szCs w:val="20"/>
        </w:rPr>
        <w:t>HC</w:t>
      </w:r>
      <w:r w:rsidR="006C7EEC" w:rsidRPr="0098635C">
        <w:rPr>
          <w:color w:val="000000" w:themeColor="text1"/>
          <w:sz w:val="20"/>
          <w:szCs w:val="20"/>
          <w:vertAlign w:val="subscript"/>
        </w:rPr>
        <w:t>5,50%</w:t>
      </w:r>
      <w:r w:rsidR="005C3ED8" w:rsidRPr="0098635C">
        <w:rPr>
          <w:color w:val="000000" w:themeColor="text1"/>
          <w:sz w:val="20"/>
          <w:szCs w:val="20"/>
        </w:rPr>
        <w:t xml:space="preserve"> </w:t>
      </w:r>
      <w:r w:rsidRPr="0098635C">
        <w:rPr>
          <w:color w:val="000000" w:themeColor="text1"/>
          <w:sz w:val="20"/>
          <w:szCs w:val="20"/>
        </w:rPr>
        <w:t>is also protective to multi-species systems as demonstrated from mesocosm studies</w:t>
      </w:r>
    </w:p>
    <w:p w14:paraId="215A5B99" w14:textId="77777777" w:rsidR="00ED29F0" w:rsidRPr="0098635C" w:rsidRDefault="00C80F07" w:rsidP="00ED29F0">
      <w:pPr>
        <w:widowControl/>
        <w:autoSpaceDE/>
        <w:autoSpaceDN/>
        <w:adjustRightInd/>
        <w:spacing w:after="0"/>
        <w:ind w:left="360"/>
        <w:rPr>
          <w:bCs/>
          <w:color w:val="000000" w:themeColor="text1"/>
          <w:sz w:val="20"/>
          <w:szCs w:val="20"/>
        </w:rPr>
      </w:pPr>
      <w:r w:rsidRPr="0098635C">
        <w:rPr>
          <w:bCs/>
          <w:color w:val="000000" w:themeColor="text1"/>
          <w:sz w:val="20"/>
          <w:szCs w:val="20"/>
        </w:rPr>
        <w:t xml:space="preserve"> </w:t>
      </w:r>
    </w:p>
    <w:p w14:paraId="5519C056" w14:textId="378D4BB5" w:rsidR="00C80F07" w:rsidRPr="0098635C" w:rsidRDefault="00C80F07" w:rsidP="00ED29F0">
      <w:pPr>
        <w:widowControl/>
        <w:autoSpaceDE/>
        <w:autoSpaceDN/>
        <w:adjustRightInd/>
        <w:spacing w:after="0"/>
        <w:rPr>
          <w:bCs/>
          <w:color w:val="000000" w:themeColor="text1"/>
          <w:sz w:val="20"/>
          <w:szCs w:val="20"/>
        </w:rPr>
      </w:pPr>
      <w:r w:rsidRPr="0098635C">
        <w:rPr>
          <w:bCs/>
          <w:color w:val="000000" w:themeColor="text1"/>
          <w:sz w:val="20"/>
          <w:szCs w:val="20"/>
        </w:rPr>
        <w:t>Remaining uncertainties</w:t>
      </w:r>
      <w:r w:rsidR="00AD6371" w:rsidRPr="0098635C">
        <w:rPr>
          <w:bCs/>
          <w:color w:val="000000" w:themeColor="text1"/>
          <w:sz w:val="20"/>
          <w:szCs w:val="20"/>
        </w:rPr>
        <w:t xml:space="preserve"> and further recommendations</w:t>
      </w:r>
    </w:p>
    <w:p w14:paraId="38068890" w14:textId="7EFF2005" w:rsidR="00CC5368" w:rsidRPr="0098635C" w:rsidRDefault="00CC5368" w:rsidP="0059369A">
      <w:pPr>
        <w:widowControl/>
        <w:numPr>
          <w:ilvl w:val="0"/>
          <w:numId w:val="17"/>
        </w:numPr>
        <w:autoSpaceDE/>
        <w:autoSpaceDN/>
        <w:adjustRightInd/>
        <w:spacing w:after="0"/>
        <w:rPr>
          <w:color w:val="000000" w:themeColor="text1"/>
          <w:sz w:val="20"/>
          <w:szCs w:val="20"/>
        </w:rPr>
      </w:pPr>
      <w:r w:rsidRPr="0098635C">
        <w:rPr>
          <w:bCs/>
          <w:color w:val="000000" w:themeColor="text1"/>
          <w:sz w:val="20"/>
          <w:szCs w:val="20"/>
        </w:rPr>
        <w:t>The</w:t>
      </w:r>
      <w:r w:rsidR="00587BB1" w:rsidRPr="0098635C">
        <w:rPr>
          <w:bCs/>
          <w:color w:val="000000" w:themeColor="text1"/>
          <w:sz w:val="20"/>
          <w:szCs w:val="20"/>
        </w:rPr>
        <w:t xml:space="preserve"> SIAR</w:t>
      </w:r>
      <w:r w:rsidRPr="0098635C">
        <w:rPr>
          <w:bCs/>
          <w:color w:val="000000" w:themeColor="text1"/>
          <w:sz w:val="20"/>
          <w:szCs w:val="20"/>
        </w:rPr>
        <w:t xml:space="preserve"> has </w:t>
      </w:r>
      <w:r w:rsidR="00587BB1" w:rsidRPr="0098635C">
        <w:rPr>
          <w:bCs/>
          <w:color w:val="000000" w:themeColor="text1"/>
          <w:sz w:val="20"/>
          <w:szCs w:val="20"/>
        </w:rPr>
        <w:t>lim</w:t>
      </w:r>
      <w:r w:rsidRPr="0098635C">
        <w:rPr>
          <w:bCs/>
          <w:color w:val="000000" w:themeColor="text1"/>
          <w:sz w:val="20"/>
          <w:szCs w:val="20"/>
        </w:rPr>
        <w:t>ited dat</w:t>
      </w:r>
      <w:r w:rsidR="00ED29F0" w:rsidRPr="0098635C">
        <w:rPr>
          <w:bCs/>
          <w:color w:val="000000" w:themeColor="text1"/>
          <w:sz w:val="20"/>
          <w:szCs w:val="20"/>
        </w:rPr>
        <w:t>a</w:t>
      </w:r>
      <w:r w:rsidRPr="0098635C">
        <w:rPr>
          <w:bCs/>
          <w:color w:val="000000" w:themeColor="text1"/>
          <w:sz w:val="20"/>
          <w:szCs w:val="20"/>
        </w:rPr>
        <w:t xml:space="preserve"> on sensitivity of fish at low pHs</w:t>
      </w:r>
      <w:r w:rsidR="00AD6371" w:rsidRPr="0098635C">
        <w:rPr>
          <w:bCs/>
          <w:color w:val="000000" w:themeColor="text1"/>
          <w:sz w:val="20"/>
          <w:szCs w:val="20"/>
        </w:rPr>
        <w:t xml:space="preserve">. </w:t>
      </w:r>
      <w:r w:rsidR="00ED29F0" w:rsidRPr="0098635C">
        <w:rPr>
          <w:bCs/>
          <w:color w:val="000000" w:themeColor="text1"/>
          <w:sz w:val="20"/>
          <w:szCs w:val="20"/>
        </w:rPr>
        <w:t xml:space="preserve"> </w:t>
      </w:r>
      <w:r w:rsidR="00AB7E0A" w:rsidRPr="0098635C">
        <w:rPr>
          <w:bCs/>
          <w:color w:val="000000" w:themeColor="text1"/>
          <w:sz w:val="20"/>
          <w:szCs w:val="20"/>
        </w:rPr>
        <w:t xml:space="preserve">Additional </w:t>
      </w:r>
      <w:r w:rsidR="00AD6371" w:rsidRPr="0098635C">
        <w:rPr>
          <w:bCs/>
          <w:color w:val="000000" w:themeColor="text1"/>
          <w:sz w:val="20"/>
          <w:szCs w:val="20"/>
        </w:rPr>
        <w:t xml:space="preserve">investigations at pH below 7 </w:t>
      </w:r>
      <w:r w:rsidR="00AB7E0A" w:rsidRPr="0098635C">
        <w:rPr>
          <w:bCs/>
          <w:color w:val="000000" w:themeColor="text1"/>
          <w:sz w:val="20"/>
          <w:szCs w:val="20"/>
        </w:rPr>
        <w:t>would be useful.</w:t>
      </w:r>
    </w:p>
    <w:p w14:paraId="064B2447" w14:textId="1FE3FE13" w:rsidR="00587BB1" w:rsidRPr="0098635C" w:rsidRDefault="008C645D" w:rsidP="0059369A">
      <w:pPr>
        <w:widowControl/>
        <w:numPr>
          <w:ilvl w:val="0"/>
          <w:numId w:val="17"/>
        </w:numPr>
        <w:autoSpaceDE/>
        <w:autoSpaceDN/>
        <w:adjustRightInd/>
        <w:spacing w:after="0"/>
        <w:rPr>
          <w:color w:val="000000" w:themeColor="text1"/>
          <w:sz w:val="20"/>
          <w:szCs w:val="20"/>
        </w:rPr>
      </w:pPr>
      <w:r w:rsidRPr="0098635C">
        <w:rPr>
          <w:color w:val="000000" w:themeColor="text1"/>
          <w:sz w:val="20"/>
          <w:szCs w:val="20"/>
        </w:rPr>
        <w:t>The ecotoxicity</w:t>
      </w:r>
      <w:r w:rsidR="00587BB1" w:rsidRPr="0098635C">
        <w:rPr>
          <w:color w:val="000000" w:themeColor="text1"/>
          <w:sz w:val="20"/>
          <w:szCs w:val="20"/>
        </w:rPr>
        <w:t xml:space="preserve"> data </w:t>
      </w:r>
      <w:r w:rsidRPr="0098635C">
        <w:rPr>
          <w:color w:val="000000" w:themeColor="text1"/>
          <w:sz w:val="20"/>
          <w:szCs w:val="20"/>
        </w:rPr>
        <w:t>were derived under</w:t>
      </w:r>
      <w:r w:rsidR="00587BB1" w:rsidRPr="0098635C">
        <w:rPr>
          <w:color w:val="000000" w:themeColor="text1"/>
          <w:sz w:val="20"/>
          <w:szCs w:val="20"/>
        </w:rPr>
        <w:t xml:space="preserve"> broad ranges of pH and hardness</w:t>
      </w:r>
      <w:r w:rsidR="00AB7E0A" w:rsidRPr="0098635C">
        <w:rPr>
          <w:color w:val="000000" w:themeColor="text1"/>
          <w:sz w:val="20"/>
          <w:szCs w:val="20"/>
        </w:rPr>
        <w:t xml:space="preserve">, even outside of the ranges recommended by OECD. </w:t>
      </w:r>
      <w:r w:rsidR="00587BB1" w:rsidRPr="0098635C">
        <w:rPr>
          <w:color w:val="000000" w:themeColor="text1"/>
          <w:sz w:val="20"/>
          <w:szCs w:val="20"/>
        </w:rPr>
        <w:t xml:space="preserve"> </w:t>
      </w:r>
      <w:r w:rsidR="00AB7E0A" w:rsidRPr="0098635C">
        <w:rPr>
          <w:color w:val="000000" w:themeColor="text1"/>
          <w:sz w:val="20"/>
          <w:szCs w:val="20"/>
        </w:rPr>
        <w:t>Test organisms were often not pre-</w:t>
      </w:r>
      <w:r w:rsidR="00247E89" w:rsidRPr="0098635C">
        <w:rPr>
          <w:color w:val="000000" w:themeColor="text1"/>
          <w:sz w:val="20"/>
          <w:szCs w:val="20"/>
        </w:rPr>
        <w:t>acclimation</w:t>
      </w:r>
      <w:r w:rsidR="00AB7E0A" w:rsidRPr="0098635C">
        <w:rPr>
          <w:color w:val="000000" w:themeColor="text1"/>
          <w:sz w:val="20"/>
          <w:szCs w:val="20"/>
        </w:rPr>
        <w:t xml:space="preserve"> to these </w:t>
      </w:r>
      <w:r w:rsidR="00ED29F0" w:rsidRPr="0098635C">
        <w:rPr>
          <w:color w:val="000000" w:themeColor="text1"/>
          <w:sz w:val="20"/>
          <w:szCs w:val="20"/>
        </w:rPr>
        <w:t>sub-</w:t>
      </w:r>
      <w:r w:rsidR="00587BB1" w:rsidRPr="0098635C">
        <w:rPr>
          <w:color w:val="000000" w:themeColor="text1"/>
          <w:sz w:val="20"/>
          <w:szCs w:val="20"/>
        </w:rPr>
        <w:t xml:space="preserve">optimal </w:t>
      </w:r>
      <w:r w:rsidR="00AB7E0A" w:rsidRPr="0098635C">
        <w:rPr>
          <w:color w:val="000000" w:themeColor="text1"/>
          <w:sz w:val="20"/>
          <w:szCs w:val="20"/>
        </w:rPr>
        <w:t xml:space="preserve">test </w:t>
      </w:r>
      <w:r w:rsidR="00587BB1" w:rsidRPr="0098635C">
        <w:rPr>
          <w:color w:val="000000" w:themeColor="text1"/>
          <w:sz w:val="20"/>
          <w:szCs w:val="20"/>
        </w:rPr>
        <w:t>conditions</w:t>
      </w:r>
      <w:r w:rsidR="00AB7E0A" w:rsidRPr="0098635C">
        <w:rPr>
          <w:color w:val="000000" w:themeColor="text1"/>
          <w:sz w:val="20"/>
          <w:szCs w:val="20"/>
        </w:rPr>
        <w:t xml:space="preserve"> and this may have influence</w:t>
      </w:r>
      <w:r w:rsidR="00AD6371" w:rsidRPr="0098635C">
        <w:rPr>
          <w:color w:val="000000" w:themeColor="text1"/>
          <w:sz w:val="20"/>
          <w:szCs w:val="20"/>
        </w:rPr>
        <w:t>d</w:t>
      </w:r>
      <w:r w:rsidR="00AB7E0A" w:rsidRPr="0098635C">
        <w:rPr>
          <w:color w:val="000000" w:themeColor="text1"/>
          <w:sz w:val="20"/>
          <w:szCs w:val="20"/>
        </w:rPr>
        <w:t xml:space="preserve"> the ecotoxicity results relevant to copper exposures.</w:t>
      </w:r>
      <w:r w:rsidR="00587BB1" w:rsidRPr="0098635C">
        <w:rPr>
          <w:color w:val="000000" w:themeColor="text1"/>
          <w:sz w:val="20"/>
          <w:szCs w:val="20"/>
        </w:rPr>
        <w:t xml:space="preserve">  </w:t>
      </w:r>
      <w:r w:rsidR="00247E89" w:rsidRPr="0098635C">
        <w:rPr>
          <w:color w:val="000000" w:themeColor="text1"/>
          <w:sz w:val="20"/>
          <w:szCs w:val="20"/>
        </w:rPr>
        <w:t>Appropriate</w:t>
      </w:r>
      <w:r w:rsidR="00AD6371" w:rsidRPr="0098635C">
        <w:rPr>
          <w:color w:val="000000" w:themeColor="text1"/>
          <w:sz w:val="20"/>
          <w:szCs w:val="20"/>
        </w:rPr>
        <w:t xml:space="preserve"> acclimation of organisms to the test media are recommended </w:t>
      </w:r>
      <w:r w:rsidR="00247E89" w:rsidRPr="0098635C">
        <w:rPr>
          <w:color w:val="000000" w:themeColor="text1"/>
          <w:sz w:val="20"/>
          <w:szCs w:val="20"/>
        </w:rPr>
        <w:t>for</w:t>
      </w:r>
      <w:r w:rsidR="00AD6371" w:rsidRPr="0098635C">
        <w:rPr>
          <w:color w:val="000000" w:themeColor="text1"/>
          <w:sz w:val="20"/>
          <w:szCs w:val="20"/>
        </w:rPr>
        <w:t xml:space="preserve"> any further testing</w:t>
      </w:r>
    </w:p>
    <w:p w14:paraId="1C8A8F4F" w14:textId="77777777" w:rsidR="00C14C37" w:rsidRPr="0098635C" w:rsidRDefault="00AB7E0A" w:rsidP="0059369A">
      <w:pPr>
        <w:widowControl/>
        <w:numPr>
          <w:ilvl w:val="0"/>
          <w:numId w:val="17"/>
        </w:numPr>
        <w:autoSpaceDE/>
        <w:autoSpaceDN/>
        <w:adjustRightInd/>
        <w:spacing w:after="0"/>
        <w:rPr>
          <w:color w:val="000000" w:themeColor="text1"/>
          <w:sz w:val="20"/>
          <w:szCs w:val="20"/>
        </w:rPr>
      </w:pPr>
      <w:r w:rsidRPr="0098635C">
        <w:rPr>
          <w:bCs/>
          <w:color w:val="000000" w:themeColor="text1"/>
          <w:sz w:val="20"/>
          <w:szCs w:val="20"/>
        </w:rPr>
        <w:t xml:space="preserve">The data-base </w:t>
      </w:r>
      <w:r w:rsidR="00C26D20" w:rsidRPr="0098635C">
        <w:rPr>
          <w:bCs/>
          <w:color w:val="000000" w:themeColor="text1"/>
          <w:sz w:val="20"/>
          <w:szCs w:val="20"/>
        </w:rPr>
        <w:t>covers ecotoxicity searches till 2006.  Including m</w:t>
      </w:r>
      <w:r w:rsidRPr="0098635C">
        <w:rPr>
          <w:bCs/>
          <w:color w:val="000000" w:themeColor="text1"/>
          <w:sz w:val="20"/>
          <w:szCs w:val="20"/>
        </w:rPr>
        <w:t xml:space="preserve">ore </w:t>
      </w:r>
      <w:r w:rsidR="00C80F07" w:rsidRPr="0098635C">
        <w:rPr>
          <w:bCs/>
          <w:color w:val="000000" w:themeColor="text1"/>
          <w:sz w:val="20"/>
          <w:szCs w:val="20"/>
        </w:rPr>
        <w:t>recent ecotoxicity data</w:t>
      </w:r>
      <w:r w:rsidR="00C26D20" w:rsidRPr="0098635C">
        <w:rPr>
          <w:bCs/>
          <w:color w:val="000000" w:themeColor="text1"/>
          <w:sz w:val="20"/>
          <w:szCs w:val="20"/>
        </w:rPr>
        <w:t xml:space="preserve"> would benefit the assessment.</w:t>
      </w:r>
      <w:r w:rsidR="00C80F07" w:rsidRPr="0098635C">
        <w:rPr>
          <w:bCs/>
          <w:color w:val="000000" w:themeColor="text1"/>
          <w:sz w:val="20"/>
          <w:szCs w:val="20"/>
        </w:rPr>
        <w:t xml:space="preserve"> </w:t>
      </w:r>
    </w:p>
    <w:p w14:paraId="39BA8868" w14:textId="46FFAA45" w:rsidR="00D05142" w:rsidRPr="0098635C" w:rsidRDefault="00C14C37" w:rsidP="0059369A">
      <w:pPr>
        <w:widowControl/>
        <w:numPr>
          <w:ilvl w:val="0"/>
          <w:numId w:val="17"/>
        </w:numPr>
        <w:autoSpaceDE/>
        <w:autoSpaceDN/>
        <w:adjustRightInd/>
        <w:spacing w:after="0"/>
        <w:rPr>
          <w:color w:val="000000" w:themeColor="text1"/>
          <w:sz w:val="20"/>
          <w:szCs w:val="20"/>
        </w:rPr>
      </w:pPr>
      <w:r w:rsidRPr="0098635C">
        <w:rPr>
          <w:bCs/>
          <w:color w:val="000000" w:themeColor="text1"/>
          <w:sz w:val="20"/>
          <w:szCs w:val="20"/>
        </w:rPr>
        <w:t>The database is further discussed and updated during the discussions on harmonized classifcations of biocidal copper forms and compounds in the EU (2014—2017</w:t>
      </w:r>
      <w:r w:rsidR="00287758" w:rsidRPr="0098635C">
        <w:rPr>
          <w:bCs/>
          <w:color w:val="000000" w:themeColor="text1"/>
          <w:sz w:val="20"/>
          <w:szCs w:val="20"/>
        </w:rPr>
        <w:t xml:space="preserve"> and onwards</w:t>
      </w:r>
      <w:r w:rsidRPr="0098635C">
        <w:rPr>
          <w:bCs/>
          <w:color w:val="000000" w:themeColor="text1"/>
          <w:sz w:val="20"/>
          <w:szCs w:val="20"/>
        </w:rPr>
        <w:t>).</w:t>
      </w:r>
    </w:p>
    <w:p w14:paraId="440FD8E5" w14:textId="0254E081" w:rsidR="00982B8A" w:rsidRPr="0098635C" w:rsidRDefault="00982B8A" w:rsidP="00982B8A">
      <w:pPr>
        <w:pStyle w:val="Heading2"/>
        <w:rPr>
          <w:color w:val="000000" w:themeColor="text1"/>
          <w:sz w:val="20"/>
        </w:rPr>
      </w:pPr>
      <w:bookmarkStart w:id="1997" w:name="_Toc472000397"/>
      <w:bookmarkStart w:id="1998" w:name="_Toc472251757"/>
      <w:r w:rsidRPr="0098635C">
        <w:rPr>
          <w:color w:val="000000" w:themeColor="text1"/>
          <w:sz w:val="20"/>
        </w:rPr>
        <w:lastRenderedPageBreak/>
        <w:t>Marine Effects</w:t>
      </w:r>
      <w:bookmarkEnd w:id="1997"/>
      <w:bookmarkEnd w:id="1998"/>
      <w:r w:rsidRPr="0098635C">
        <w:rPr>
          <w:color w:val="000000" w:themeColor="text1"/>
          <w:sz w:val="20"/>
        </w:rPr>
        <w:t xml:space="preserve">   </w:t>
      </w:r>
    </w:p>
    <w:p w14:paraId="2F009E3D" w14:textId="77777777" w:rsidR="007064B6" w:rsidRPr="0098635C" w:rsidRDefault="007064B6" w:rsidP="007064B6">
      <w:pPr>
        <w:rPr>
          <w:color w:val="000000" w:themeColor="text1"/>
          <w:sz w:val="20"/>
          <w:szCs w:val="20"/>
        </w:rPr>
      </w:pPr>
      <w:r w:rsidRPr="0098635C">
        <w:rPr>
          <w:color w:val="000000" w:themeColor="text1"/>
          <w:sz w:val="20"/>
          <w:szCs w:val="20"/>
        </w:rPr>
        <w:t xml:space="preserve">Considering the differences in physiology of marine versus freshwater organisms as well as the differences in physicochemistry of marine versus freshwater environments, the ecotoxicity data for marine organisms has been collected separately and used as a basis for the derivation of a marine </w:t>
      </w:r>
      <w:r w:rsidR="00417E64" w:rsidRPr="0098635C">
        <w:rPr>
          <w:color w:val="000000" w:themeColor="text1"/>
          <w:sz w:val="20"/>
          <w:szCs w:val="20"/>
        </w:rPr>
        <w:t>HC5-50</w:t>
      </w:r>
      <w:r w:rsidRPr="0098635C">
        <w:rPr>
          <w:color w:val="000000" w:themeColor="text1"/>
          <w:sz w:val="20"/>
          <w:szCs w:val="20"/>
        </w:rPr>
        <w:t xml:space="preserve">.   </w:t>
      </w:r>
    </w:p>
    <w:p w14:paraId="45C343DB" w14:textId="77777777" w:rsidR="00053A67" w:rsidRPr="0098635C" w:rsidRDefault="00053A67" w:rsidP="00053A67">
      <w:pPr>
        <w:spacing w:before="80"/>
        <w:rPr>
          <w:color w:val="000000" w:themeColor="text1"/>
          <w:sz w:val="20"/>
          <w:szCs w:val="20"/>
        </w:rPr>
      </w:pPr>
      <w:r w:rsidRPr="0098635C">
        <w:rPr>
          <w:color w:val="000000" w:themeColor="text1"/>
          <w:sz w:val="20"/>
          <w:szCs w:val="20"/>
        </w:rPr>
        <w:t>The single-species ecotoxicity data-set covers literature searches and focused research carried between 1988 and 2006. The marine mesocosm study was fin</w:t>
      </w:r>
      <w:r w:rsidR="00417E64" w:rsidRPr="0098635C">
        <w:rPr>
          <w:color w:val="000000" w:themeColor="text1"/>
          <w:sz w:val="20"/>
          <w:szCs w:val="20"/>
        </w:rPr>
        <w:t>ali</w:t>
      </w:r>
      <w:r w:rsidRPr="0098635C">
        <w:rPr>
          <w:color w:val="000000" w:themeColor="text1"/>
          <w:sz w:val="20"/>
          <w:szCs w:val="20"/>
        </w:rPr>
        <w:t>zed in 2010.</w:t>
      </w:r>
    </w:p>
    <w:p w14:paraId="6F0EFD26" w14:textId="77777777" w:rsidR="00612071" w:rsidRPr="0098635C" w:rsidRDefault="00612071" w:rsidP="00612071">
      <w:pPr>
        <w:rPr>
          <w:color w:val="000000" w:themeColor="text1"/>
          <w:sz w:val="20"/>
          <w:szCs w:val="20"/>
        </w:rPr>
      </w:pPr>
      <w:r w:rsidRPr="0098635C">
        <w:rPr>
          <w:color w:val="000000" w:themeColor="text1"/>
          <w:sz w:val="20"/>
          <w:szCs w:val="20"/>
        </w:rPr>
        <w:t xml:space="preserve">Marine environmental safe threshold values were derived, considering the results from single-species chronic ecotoxicity studies (standard and non-standard species/protocols/endpoints) and multi-species mesocosm studies.  </w:t>
      </w:r>
    </w:p>
    <w:p w14:paraId="2D129DC8" w14:textId="77777777" w:rsidR="00612071" w:rsidRPr="0098635C" w:rsidRDefault="00D05142" w:rsidP="003E37F5">
      <w:pPr>
        <w:rPr>
          <w:color w:val="000000" w:themeColor="text1"/>
          <w:sz w:val="20"/>
          <w:szCs w:val="20"/>
          <w:u w:val="single"/>
        </w:rPr>
      </w:pPr>
      <w:r w:rsidRPr="0098635C">
        <w:rPr>
          <w:color w:val="000000" w:themeColor="text1"/>
          <w:sz w:val="20"/>
          <w:szCs w:val="20"/>
          <w:u w:val="single"/>
        </w:rPr>
        <w:t>Single-species studies</w:t>
      </w:r>
    </w:p>
    <w:p w14:paraId="3E3BC89D" w14:textId="626C58DC" w:rsidR="00391F42" w:rsidRPr="0098635C" w:rsidRDefault="00614904" w:rsidP="003E37F5">
      <w:pPr>
        <w:rPr>
          <w:color w:val="000000" w:themeColor="text1"/>
          <w:sz w:val="20"/>
          <w:szCs w:val="20"/>
        </w:rPr>
      </w:pPr>
      <w:r w:rsidRPr="0098635C">
        <w:rPr>
          <w:color w:val="000000" w:themeColor="text1"/>
          <w:sz w:val="20"/>
          <w:szCs w:val="20"/>
        </w:rPr>
        <w:t xml:space="preserve">The copper marine effects database contains high quality, chronic NOECs/EC10s values for 24 species, representing three </w:t>
      </w:r>
      <w:r w:rsidR="00247E89" w:rsidRPr="0098635C">
        <w:rPr>
          <w:color w:val="000000" w:themeColor="text1"/>
          <w:sz w:val="20"/>
          <w:szCs w:val="20"/>
        </w:rPr>
        <w:t>trophic</w:t>
      </w:r>
      <w:r w:rsidRPr="0098635C">
        <w:rPr>
          <w:color w:val="000000" w:themeColor="text1"/>
          <w:sz w:val="20"/>
          <w:szCs w:val="20"/>
        </w:rPr>
        <w:t xml:space="preserve"> levels; fish (n=2), invertebrates (n=18) and micro/macro-algae (n=4)</w:t>
      </w:r>
      <w:r w:rsidR="006E625C" w:rsidRPr="0098635C">
        <w:rPr>
          <w:color w:val="000000" w:themeColor="text1"/>
          <w:sz w:val="20"/>
          <w:szCs w:val="20"/>
        </w:rPr>
        <w:t xml:space="preserve"> (see annexes XII to XIV)</w:t>
      </w:r>
      <w:r w:rsidRPr="0098635C">
        <w:rPr>
          <w:color w:val="000000" w:themeColor="text1"/>
          <w:sz w:val="20"/>
          <w:szCs w:val="20"/>
        </w:rPr>
        <w:t xml:space="preserve">.  Where appropriate a species mean value was calculated, and species-specific geometric mean values range between </w:t>
      </w:r>
      <w:r w:rsidR="00313CD4" w:rsidRPr="0098635C">
        <w:rPr>
          <w:color w:val="000000" w:themeColor="text1"/>
          <w:sz w:val="20"/>
          <w:szCs w:val="20"/>
        </w:rPr>
        <w:t>2.9</w:t>
      </w:r>
      <w:r w:rsidRPr="0098635C">
        <w:rPr>
          <w:color w:val="000000" w:themeColor="text1"/>
          <w:sz w:val="20"/>
          <w:szCs w:val="20"/>
        </w:rPr>
        <w:t xml:space="preserve"> µg Cu/ L (</w:t>
      </w:r>
      <w:r w:rsidRPr="0098635C">
        <w:rPr>
          <w:i/>
          <w:color w:val="000000" w:themeColor="text1"/>
          <w:sz w:val="20"/>
          <w:szCs w:val="20"/>
        </w:rPr>
        <w:t>Phaeodactylum tricornutum</w:t>
      </w:r>
      <w:r w:rsidRPr="0098635C">
        <w:rPr>
          <w:color w:val="000000" w:themeColor="text1"/>
          <w:sz w:val="20"/>
          <w:szCs w:val="20"/>
        </w:rPr>
        <w:t>) and 145 µg Cu/L (</w:t>
      </w:r>
      <w:r w:rsidRPr="0098635C">
        <w:rPr>
          <w:i/>
          <w:color w:val="000000" w:themeColor="text1"/>
          <w:sz w:val="20"/>
          <w:szCs w:val="20"/>
        </w:rPr>
        <w:t>Penaeus monodon</w:t>
      </w:r>
      <w:r w:rsidRPr="0098635C">
        <w:rPr>
          <w:color w:val="000000" w:themeColor="text1"/>
          <w:sz w:val="20"/>
          <w:szCs w:val="20"/>
        </w:rPr>
        <w:t>).</w:t>
      </w:r>
    </w:p>
    <w:p w14:paraId="168C0967" w14:textId="08A0A2DB" w:rsidR="003E37F5" w:rsidRPr="0098635C" w:rsidRDefault="00762940" w:rsidP="003E37F5">
      <w:pPr>
        <w:rPr>
          <w:color w:val="000000" w:themeColor="text1"/>
          <w:sz w:val="20"/>
          <w:szCs w:val="20"/>
        </w:rPr>
      </w:pPr>
      <w:r w:rsidRPr="0098635C">
        <w:rPr>
          <w:color w:val="000000" w:themeColor="text1"/>
          <w:sz w:val="20"/>
          <w:szCs w:val="20"/>
        </w:rPr>
        <w:t>H</w:t>
      </w:r>
      <w:r w:rsidR="003E37F5" w:rsidRPr="0098635C">
        <w:rPr>
          <w:color w:val="000000" w:themeColor="text1"/>
          <w:sz w:val="20"/>
          <w:szCs w:val="20"/>
        </w:rPr>
        <w:t>igh quality chronic single-species NOEC/L(E)C</w:t>
      </w:r>
      <w:r w:rsidR="003E37F5" w:rsidRPr="0098635C">
        <w:rPr>
          <w:color w:val="000000" w:themeColor="text1"/>
          <w:sz w:val="20"/>
          <w:szCs w:val="20"/>
          <w:vertAlign w:val="subscript"/>
        </w:rPr>
        <w:t>10</w:t>
      </w:r>
      <w:r w:rsidR="003E37F5" w:rsidRPr="0098635C">
        <w:rPr>
          <w:color w:val="000000" w:themeColor="text1"/>
          <w:sz w:val="20"/>
          <w:szCs w:val="20"/>
        </w:rPr>
        <w:t xml:space="preserve"> values are available for 2 species of mari</w:t>
      </w:r>
      <w:r w:rsidRPr="0098635C">
        <w:rPr>
          <w:color w:val="000000" w:themeColor="text1"/>
          <w:sz w:val="20"/>
          <w:szCs w:val="20"/>
        </w:rPr>
        <w:t>ne fish</w:t>
      </w:r>
      <w:r w:rsidR="00AD5218" w:rsidRPr="0098635C">
        <w:rPr>
          <w:color w:val="000000" w:themeColor="text1"/>
          <w:sz w:val="20"/>
          <w:szCs w:val="20"/>
        </w:rPr>
        <w:t xml:space="preserve"> (</w:t>
      </w:r>
      <w:r w:rsidR="00E230FB" w:rsidRPr="0098635C">
        <w:rPr>
          <w:b/>
          <w:color w:val="000000" w:themeColor="text1"/>
          <w:sz w:val="20"/>
          <w:szCs w:val="20"/>
        </w:rPr>
        <w:fldChar w:fldCharType="begin"/>
      </w:r>
      <w:r w:rsidR="00AD5218" w:rsidRPr="0098635C">
        <w:rPr>
          <w:b/>
          <w:color w:val="000000" w:themeColor="text1"/>
          <w:sz w:val="20"/>
          <w:szCs w:val="20"/>
        </w:rPr>
        <w:instrText xml:space="preserve"> REF _Ref259945189 \h </w:instrText>
      </w:r>
      <w:r w:rsidR="00370F46" w:rsidRPr="0098635C">
        <w:rPr>
          <w:b/>
          <w:color w:val="000000" w:themeColor="text1"/>
          <w:sz w:val="20"/>
          <w:szCs w:val="20"/>
        </w:rPr>
        <w:instrText xml:space="preserve"> \* MERGEFORMAT </w:instrText>
      </w:r>
      <w:r w:rsidR="00E230FB" w:rsidRPr="0098635C">
        <w:rPr>
          <w:b/>
          <w:color w:val="000000" w:themeColor="text1"/>
          <w:sz w:val="20"/>
          <w:szCs w:val="20"/>
        </w:rPr>
      </w:r>
      <w:r w:rsidR="00E230FB" w:rsidRPr="0098635C">
        <w:rPr>
          <w:b/>
          <w:color w:val="000000" w:themeColor="text1"/>
          <w:sz w:val="20"/>
          <w:szCs w:val="20"/>
        </w:rPr>
        <w:fldChar w:fldCharType="separate"/>
      </w:r>
      <w:r w:rsidR="005E5161" w:rsidRPr="0098635C">
        <w:rPr>
          <w:color w:val="000000" w:themeColor="text1"/>
          <w:sz w:val="20"/>
          <w:szCs w:val="20"/>
        </w:rPr>
        <w:t xml:space="preserve">Table </w:t>
      </w:r>
      <w:r w:rsidR="005E5161" w:rsidRPr="0098635C">
        <w:rPr>
          <w:noProof/>
          <w:color w:val="000000" w:themeColor="text1"/>
          <w:sz w:val="20"/>
          <w:szCs w:val="20"/>
        </w:rPr>
        <w:t>31</w:t>
      </w:r>
      <w:r w:rsidR="00E230FB" w:rsidRPr="0098635C">
        <w:rPr>
          <w:b/>
          <w:color w:val="000000" w:themeColor="text1"/>
          <w:sz w:val="20"/>
          <w:szCs w:val="20"/>
        </w:rPr>
        <w:fldChar w:fldCharType="end"/>
      </w:r>
      <w:r w:rsidR="00AD5218" w:rsidRPr="0098635C">
        <w:rPr>
          <w:color w:val="000000" w:themeColor="text1"/>
          <w:sz w:val="20"/>
          <w:szCs w:val="20"/>
        </w:rPr>
        <w:t>)</w:t>
      </w:r>
      <w:r w:rsidRPr="0098635C">
        <w:rPr>
          <w:color w:val="000000" w:themeColor="text1"/>
          <w:sz w:val="20"/>
          <w:szCs w:val="20"/>
        </w:rPr>
        <w:t>. Individual NOEC/L(E)C</w:t>
      </w:r>
      <w:r w:rsidRPr="0098635C">
        <w:rPr>
          <w:color w:val="000000" w:themeColor="text1"/>
          <w:sz w:val="20"/>
          <w:szCs w:val="20"/>
          <w:vertAlign w:val="subscript"/>
        </w:rPr>
        <w:t>10</w:t>
      </w:r>
      <w:r w:rsidR="003E37F5" w:rsidRPr="0098635C">
        <w:rPr>
          <w:color w:val="000000" w:themeColor="text1"/>
          <w:sz w:val="20"/>
          <w:szCs w:val="20"/>
        </w:rPr>
        <w:t xml:space="preserve"> values range between 55 and 123</w:t>
      </w:r>
      <w:r w:rsidR="00614904" w:rsidRPr="0098635C">
        <w:rPr>
          <w:rStyle w:val="FootnoteReference"/>
          <w:color w:val="000000" w:themeColor="text1"/>
          <w:sz w:val="20"/>
          <w:szCs w:val="20"/>
          <w:vertAlign w:val="superscript"/>
        </w:rPr>
        <w:footnoteReference w:id="32"/>
      </w:r>
      <w:r w:rsidR="003E37F5" w:rsidRPr="0098635C">
        <w:rPr>
          <w:color w:val="000000" w:themeColor="text1"/>
          <w:sz w:val="20"/>
          <w:szCs w:val="20"/>
        </w:rPr>
        <w:t xml:space="preserve">μg Cu/L, both values for </w:t>
      </w:r>
      <w:r w:rsidR="003E37F5" w:rsidRPr="0098635C">
        <w:rPr>
          <w:i/>
          <w:color w:val="000000" w:themeColor="text1"/>
          <w:sz w:val="20"/>
          <w:szCs w:val="20"/>
        </w:rPr>
        <w:t>Atherinops affinis</w:t>
      </w:r>
      <w:r w:rsidR="003E37F5" w:rsidRPr="0098635C">
        <w:rPr>
          <w:color w:val="000000" w:themeColor="text1"/>
          <w:sz w:val="20"/>
          <w:szCs w:val="20"/>
        </w:rPr>
        <w:t xml:space="preserve">, reproduction (hatchling growth parameters). </w:t>
      </w:r>
    </w:p>
    <w:p w14:paraId="15516A25" w14:textId="2F9FD021" w:rsidR="003E37F5" w:rsidRPr="0098635C" w:rsidRDefault="00762940" w:rsidP="003E37F5">
      <w:pPr>
        <w:rPr>
          <w:rFonts w:cs="Times"/>
          <w:color w:val="000000" w:themeColor="text1"/>
          <w:sz w:val="20"/>
          <w:szCs w:val="20"/>
        </w:rPr>
      </w:pPr>
      <w:r w:rsidRPr="0098635C">
        <w:rPr>
          <w:color w:val="000000" w:themeColor="text1"/>
          <w:sz w:val="20"/>
          <w:szCs w:val="20"/>
        </w:rPr>
        <w:t>H</w:t>
      </w:r>
      <w:r w:rsidR="003E37F5" w:rsidRPr="0098635C">
        <w:rPr>
          <w:color w:val="000000" w:themeColor="text1"/>
          <w:sz w:val="20"/>
          <w:szCs w:val="20"/>
        </w:rPr>
        <w:t>igh qualit</w:t>
      </w:r>
      <w:r w:rsidRPr="0098635C">
        <w:rPr>
          <w:color w:val="000000" w:themeColor="text1"/>
          <w:sz w:val="20"/>
          <w:szCs w:val="20"/>
        </w:rPr>
        <w:t>y marine invertebrate NOEC/L(E)</w:t>
      </w:r>
      <w:r w:rsidR="003E37F5" w:rsidRPr="0098635C">
        <w:rPr>
          <w:color w:val="000000" w:themeColor="text1"/>
          <w:sz w:val="20"/>
          <w:szCs w:val="20"/>
        </w:rPr>
        <w:t>C</w:t>
      </w:r>
      <w:r w:rsidR="003E37F5" w:rsidRPr="0098635C">
        <w:rPr>
          <w:color w:val="000000" w:themeColor="text1"/>
          <w:sz w:val="20"/>
          <w:szCs w:val="20"/>
          <w:vertAlign w:val="subscript"/>
        </w:rPr>
        <w:t>10</w:t>
      </w:r>
      <w:r w:rsidR="003E37F5" w:rsidRPr="0098635C">
        <w:rPr>
          <w:color w:val="000000" w:themeColor="text1"/>
          <w:sz w:val="20"/>
          <w:szCs w:val="20"/>
        </w:rPr>
        <w:t xml:space="preserve"> were retained for 18 different individual species belonging to different taxonomic groups: 6 mollusc species (</w:t>
      </w:r>
      <w:r w:rsidR="003E37F5" w:rsidRPr="0098635C">
        <w:rPr>
          <w:rFonts w:cs="Times"/>
          <w:i/>
          <w:iCs/>
          <w:color w:val="000000" w:themeColor="text1"/>
          <w:sz w:val="20"/>
          <w:szCs w:val="20"/>
        </w:rPr>
        <w:t xml:space="preserve">Mytilus edulis; Prototheca staminea; Crassostrea gigas, Mercenaria mercenaria, Mytilus galloprovincialis, Placopecten magellanicus), </w:t>
      </w:r>
      <w:r w:rsidR="003E37F5" w:rsidRPr="0098635C">
        <w:rPr>
          <w:color w:val="000000" w:themeColor="text1"/>
          <w:sz w:val="20"/>
          <w:szCs w:val="20"/>
        </w:rPr>
        <w:t>1 annelid species (</w:t>
      </w:r>
      <w:r w:rsidR="003E37F5" w:rsidRPr="0098635C">
        <w:rPr>
          <w:rFonts w:cs="Times"/>
          <w:i/>
          <w:iCs/>
          <w:color w:val="000000" w:themeColor="text1"/>
          <w:sz w:val="20"/>
          <w:szCs w:val="20"/>
        </w:rPr>
        <w:t xml:space="preserve">Neanthes arenaceodentata) </w:t>
      </w:r>
      <w:r w:rsidR="003E37F5" w:rsidRPr="0098635C">
        <w:rPr>
          <w:color w:val="000000" w:themeColor="text1"/>
          <w:sz w:val="20"/>
          <w:szCs w:val="20"/>
        </w:rPr>
        <w:t>3 decapod (crustacean) species (</w:t>
      </w:r>
      <w:r w:rsidR="003E37F5" w:rsidRPr="0098635C">
        <w:rPr>
          <w:rFonts w:cs="Times"/>
          <w:i/>
          <w:iCs/>
          <w:color w:val="000000" w:themeColor="text1"/>
          <w:sz w:val="20"/>
          <w:szCs w:val="20"/>
        </w:rPr>
        <w:t>Pandalus danae; Penaeus mergulensis</w:t>
      </w:r>
      <w:r w:rsidR="003E37F5" w:rsidRPr="0098635C">
        <w:rPr>
          <w:color w:val="000000" w:themeColor="text1"/>
          <w:sz w:val="20"/>
          <w:szCs w:val="20"/>
        </w:rPr>
        <w:t xml:space="preserve">; </w:t>
      </w:r>
      <w:r w:rsidR="003E37F5" w:rsidRPr="0098635C">
        <w:rPr>
          <w:rFonts w:cs="Times"/>
          <w:i/>
          <w:iCs/>
          <w:color w:val="000000" w:themeColor="text1"/>
          <w:sz w:val="20"/>
          <w:szCs w:val="20"/>
        </w:rPr>
        <w:t xml:space="preserve">Penaeus monodon), </w:t>
      </w:r>
      <w:r w:rsidR="003E37F5" w:rsidRPr="0098635C">
        <w:rPr>
          <w:color w:val="000000" w:themeColor="text1"/>
          <w:sz w:val="20"/>
          <w:szCs w:val="20"/>
        </w:rPr>
        <w:t>3 copepod (crustacean) species</w:t>
      </w:r>
      <w:r w:rsidR="003E37F5" w:rsidRPr="0098635C">
        <w:rPr>
          <w:rFonts w:cs="Times"/>
          <w:i/>
          <w:iCs/>
          <w:color w:val="000000" w:themeColor="text1"/>
          <w:sz w:val="20"/>
          <w:szCs w:val="20"/>
        </w:rPr>
        <w:t>(Eurytemora affinis; Tisbe battagliai, Tisbe furcata</w:t>
      </w:r>
      <w:r w:rsidR="003E37F5" w:rsidRPr="0098635C">
        <w:rPr>
          <w:color w:val="000000" w:themeColor="text1"/>
          <w:sz w:val="20"/>
          <w:szCs w:val="20"/>
        </w:rPr>
        <w:t>), 1 arthropod (crustacean) species (</w:t>
      </w:r>
      <w:r w:rsidR="003E37F5" w:rsidRPr="0098635C">
        <w:rPr>
          <w:rFonts w:cs="Times"/>
          <w:i/>
          <w:iCs/>
          <w:color w:val="000000" w:themeColor="text1"/>
          <w:sz w:val="20"/>
          <w:szCs w:val="20"/>
        </w:rPr>
        <w:t>Artemia franciscana</w:t>
      </w:r>
      <w:r w:rsidR="003E37F5" w:rsidRPr="0098635C">
        <w:rPr>
          <w:color w:val="000000" w:themeColor="text1"/>
          <w:sz w:val="20"/>
          <w:szCs w:val="20"/>
        </w:rPr>
        <w:t>), 1 echinoderm species (</w:t>
      </w:r>
      <w:r w:rsidR="003E37F5" w:rsidRPr="0098635C">
        <w:rPr>
          <w:rFonts w:cs="Times"/>
          <w:i/>
          <w:iCs/>
          <w:color w:val="000000" w:themeColor="text1"/>
          <w:sz w:val="20"/>
          <w:szCs w:val="20"/>
        </w:rPr>
        <w:t xml:space="preserve">Paracentrotus lividus), </w:t>
      </w:r>
      <w:r w:rsidR="003E37F5" w:rsidRPr="0098635C">
        <w:rPr>
          <w:color w:val="000000" w:themeColor="text1"/>
          <w:sz w:val="20"/>
          <w:szCs w:val="20"/>
        </w:rPr>
        <w:t xml:space="preserve">3 cnidaria species </w:t>
      </w:r>
      <w:r w:rsidR="003E37F5" w:rsidRPr="0098635C">
        <w:rPr>
          <w:rFonts w:cs="Times"/>
          <w:i/>
          <w:iCs/>
          <w:color w:val="000000" w:themeColor="text1"/>
          <w:sz w:val="20"/>
          <w:szCs w:val="20"/>
        </w:rPr>
        <w:t xml:space="preserve">(Acropora tenuis, Goniastrea aspera, Lobophytum compactum) . </w:t>
      </w:r>
      <w:r w:rsidR="00AD5218" w:rsidRPr="0098635C">
        <w:rPr>
          <w:color w:val="000000" w:themeColor="text1"/>
          <w:sz w:val="20"/>
          <w:szCs w:val="20"/>
        </w:rPr>
        <w:t xml:space="preserve">Individual data are summarized in </w:t>
      </w:r>
      <w:r w:rsidR="00E230FB" w:rsidRPr="0098635C">
        <w:rPr>
          <w:color w:val="000000" w:themeColor="text1"/>
          <w:sz w:val="20"/>
          <w:szCs w:val="20"/>
        </w:rPr>
        <w:fldChar w:fldCharType="begin"/>
      </w:r>
      <w:r w:rsidR="00AD5218" w:rsidRPr="0098635C">
        <w:rPr>
          <w:color w:val="000000" w:themeColor="text1"/>
          <w:sz w:val="20"/>
          <w:szCs w:val="20"/>
        </w:rPr>
        <w:instrText xml:space="preserve"> REF _Ref260040974 \h </w:instrText>
      </w:r>
      <w:r w:rsidR="00370F46" w:rsidRPr="0098635C">
        <w:rPr>
          <w:color w:val="000000" w:themeColor="text1"/>
          <w:sz w:val="20"/>
          <w:szCs w:val="20"/>
        </w:rPr>
        <w:instrText xml:space="preserve"> \* MERGEFORMAT </w:instrText>
      </w:r>
      <w:r w:rsidR="00E230FB" w:rsidRPr="0098635C">
        <w:rPr>
          <w:color w:val="000000" w:themeColor="text1"/>
          <w:sz w:val="20"/>
          <w:szCs w:val="20"/>
        </w:rPr>
      </w:r>
      <w:r w:rsidR="00E230FB" w:rsidRPr="0098635C">
        <w:rPr>
          <w:color w:val="000000" w:themeColor="text1"/>
          <w:sz w:val="20"/>
          <w:szCs w:val="20"/>
        </w:rPr>
        <w:fldChar w:fldCharType="separate"/>
      </w:r>
      <w:r w:rsidR="005E5161" w:rsidRPr="0098635C">
        <w:rPr>
          <w:color w:val="000000" w:themeColor="text1"/>
          <w:sz w:val="20"/>
          <w:szCs w:val="20"/>
        </w:rPr>
        <w:t xml:space="preserve">Table </w:t>
      </w:r>
      <w:r w:rsidR="005E5161" w:rsidRPr="0098635C">
        <w:rPr>
          <w:noProof/>
          <w:color w:val="000000" w:themeColor="text1"/>
          <w:sz w:val="20"/>
          <w:szCs w:val="20"/>
        </w:rPr>
        <w:t>32</w:t>
      </w:r>
      <w:r w:rsidR="00E230FB" w:rsidRPr="0098635C">
        <w:rPr>
          <w:color w:val="000000" w:themeColor="text1"/>
          <w:sz w:val="20"/>
          <w:szCs w:val="20"/>
        </w:rPr>
        <w:fldChar w:fldCharType="end"/>
      </w:r>
      <w:r w:rsidR="00AD5218" w:rsidRPr="0098635C">
        <w:rPr>
          <w:color w:val="000000" w:themeColor="text1"/>
          <w:sz w:val="20"/>
          <w:szCs w:val="20"/>
        </w:rPr>
        <w:t>. T</w:t>
      </w:r>
      <w:r w:rsidR="0060488D" w:rsidRPr="0098635C">
        <w:rPr>
          <w:color w:val="000000" w:themeColor="text1"/>
          <w:sz w:val="20"/>
          <w:szCs w:val="20"/>
        </w:rPr>
        <w:t>he lowest NOEC/EC</w:t>
      </w:r>
      <w:r w:rsidR="0060488D" w:rsidRPr="0098635C">
        <w:rPr>
          <w:color w:val="000000" w:themeColor="text1"/>
          <w:sz w:val="20"/>
          <w:szCs w:val="20"/>
          <w:vertAlign w:val="subscript"/>
        </w:rPr>
        <w:t>10</w:t>
      </w:r>
      <w:r w:rsidR="0060488D" w:rsidRPr="0098635C">
        <w:rPr>
          <w:color w:val="000000" w:themeColor="text1"/>
          <w:sz w:val="20"/>
          <w:szCs w:val="20"/>
        </w:rPr>
        <w:t xml:space="preserve"> for each invertebrate species ranged between 5.9 µg Cu/L (</w:t>
      </w:r>
      <w:r w:rsidR="0060488D" w:rsidRPr="0098635C">
        <w:rPr>
          <w:i/>
          <w:color w:val="000000" w:themeColor="text1"/>
          <w:sz w:val="20"/>
          <w:szCs w:val="20"/>
        </w:rPr>
        <w:t>M.galloprovincialis</w:t>
      </w:r>
      <w:r w:rsidR="0060488D" w:rsidRPr="0098635C">
        <w:rPr>
          <w:color w:val="000000" w:themeColor="text1"/>
          <w:sz w:val="20"/>
          <w:szCs w:val="20"/>
        </w:rPr>
        <w:t>, endpoint development) and 51.1 µg Cu/L (</w:t>
      </w:r>
      <w:r w:rsidR="0060488D" w:rsidRPr="0098635C">
        <w:rPr>
          <w:i/>
          <w:color w:val="000000" w:themeColor="text1"/>
          <w:sz w:val="20"/>
          <w:szCs w:val="20"/>
        </w:rPr>
        <w:t>E.affinis</w:t>
      </w:r>
      <w:r w:rsidR="0060488D" w:rsidRPr="0098635C">
        <w:rPr>
          <w:color w:val="000000" w:themeColor="text1"/>
          <w:sz w:val="20"/>
          <w:szCs w:val="20"/>
        </w:rPr>
        <w:t xml:space="preserve">, endpoint mortality, fecundity). </w:t>
      </w:r>
      <w:r w:rsidR="003E37F5" w:rsidRPr="0098635C">
        <w:rPr>
          <w:color w:val="000000" w:themeColor="text1"/>
          <w:sz w:val="20"/>
          <w:szCs w:val="20"/>
        </w:rPr>
        <w:t>The species- specific NOEC values ran</w:t>
      </w:r>
      <w:r w:rsidR="00BF688B" w:rsidRPr="0098635C">
        <w:rPr>
          <w:color w:val="000000" w:themeColor="text1"/>
          <w:sz w:val="20"/>
          <w:szCs w:val="20"/>
        </w:rPr>
        <w:t xml:space="preserve">ge from </w:t>
      </w:r>
      <w:r w:rsidR="0060488D" w:rsidRPr="0098635C">
        <w:rPr>
          <w:color w:val="000000" w:themeColor="text1"/>
          <w:sz w:val="20"/>
          <w:szCs w:val="20"/>
        </w:rPr>
        <w:t>6</w:t>
      </w:r>
      <w:r w:rsidR="00BF688B" w:rsidRPr="0098635C">
        <w:rPr>
          <w:color w:val="000000" w:themeColor="text1"/>
          <w:sz w:val="20"/>
          <w:szCs w:val="20"/>
        </w:rPr>
        <w:t>.0</w:t>
      </w:r>
      <w:r w:rsidR="003E37F5" w:rsidRPr="0098635C">
        <w:rPr>
          <w:color w:val="000000" w:themeColor="text1"/>
          <w:sz w:val="20"/>
          <w:szCs w:val="20"/>
        </w:rPr>
        <w:t xml:space="preserve"> μg Cu/L for bivalve </w:t>
      </w:r>
      <w:r w:rsidR="003E37F5" w:rsidRPr="0098635C">
        <w:rPr>
          <w:rFonts w:cs="Times"/>
          <w:i/>
          <w:iCs/>
          <w:color w:val="000000" w:themeColor="text1"/>
          <w:sz w:val="20"/>
          <w:szCs w:val="20"/>
        </w:rPr>
        <w:t xml:space="preserve">Mytilus </w:t>
      </w:r>
      <w:r w:rsidR="0060488D" w:rsidRPr="0098635C">
        <w:rPr>
          <w:rFonts w:cs="Times"/>
          <w:i/>
          <w:iCs/>
          <w:color w:val="000000" w:themeColor="text1"/>
          <w:sz w:val="20"/>
          <w:szCs w:val="20"/>
        </w:rPr>
        <w:t>edulis</w:t>
      </w:r>
      <w:r w:rsidR="003E37F5" w:rsidRPr="0098635C">
        <w:rPr>
          <w:rFonts w:cs="Times"/>
          <w:i/>
          <w:iCs/>
          <w:color w:val="000000" w:themeColor="text1"/>
          <w:sz w:val="20"/>
          <w:szCs w:val="20"/>
        </w:rPr>
        <w:t xml:space="preserve"> </w:t>
      </w:r>
      <w:r w:rsidR="003E37F5" w:rsidRPr="0098635C">
        <w:rPr>
          <w:color w:val="000000" w:themeColor="text1"/>
          <w:sz w:val="20"/>
          <w:szCs w:val="20"/>
        </w:rPr>
        <w:t xml:space="preserve">to 145 μg Cu/L for the crustacean </w:t>
      </w:r>
      <w:r w:rsidR="003E37F5" w:rsidRPr="0098635C">
        <w:rPr>
          <w:rFonts w:cs="Times"/>
          <w:i/>
          <w:iCs/>
          <w:color w:val="000000" w:themeColor="text1"/>
          <w:sz w:val="20"/>
          <w:szCs w:val="20"/>
        </w:rPr>
        <w:t>Penaeus monodon</w:t>
      </w:r>
      <w:r w:rsidR="003E37F5" w:rsidRPr="0098635C">
        <w:rPr>
          <w:color w:val="000000" w:themeColor="text1"/>
          <w:sz w:val="20"/>
          <w:szCs w:val="20"/>
        </w:rPr>
        <w:t>.</w:t>
      </w:r>
    </w:p>
    <w:p w14:paraId="6F61C9FB" w14:textId="58551F07" w:rsidR="00AD5218" w:rsidRPr="0098635C" w:rsidRDefault="00762940" w:rsidP="003E37F5">
      <w:pPr>
        <w:pStyle w:val="BodyText"/>
        <w:rPr>
          <w:color w:val="000000" w:themeColor="text1"/>
          <w:sz w:val="20"/>
        </w:rPr>
      </w:pPr>
      <w:r w:rsidRPr="0098635C">
        <w:rPr>
          <w:color w:val="000000" w:themeColor="text1"/>
          <w:sz w:val="20"/>
        </w:rPr>
        <w:t>High quality chronic NOEC values have been identified for four marine algal species, namely two diatoms (</w:t>
      </w:r>
      <w:r w:rsidRPr="0098635C">
        <w:rPr>
          <w:i/>
          <w:color w:val="000000" w:themeColor="text1"/>
          <w:sz w:val="20"/>
        </w:rPr>
        <w:t>Phaeodactylum tricornutum</w:t>
      </w:r>
      <w:r w:rsidRPr="0098635C">
        <w:rPr>
          <w:color w:val="000000" w:themeColor="text1"/>
          <w:sz w:val="20"/>
        </w:rPr>
        <w:t xml:space="preserve"> and </w:t>
      </w:r>
      <w:r w:rsidRPr="0098635C">
        <w:rPr>
          <w:i/>
          <w:color w:val="000000" w:themeColor="text1"/>
          <w:sz w:val="20"/>
        </w:rPr>
        <w:t>Skeletonema costatum</w:t>
      </w:r>
      <w:r w:rsidRPr="0098635C">
        <w:rPr>
          <w:color w:val="000000" w:themeColor="text1"/>
          <w:sz w:val="20"/>
        </w:rPr>
        <w:t>) and 2 macroalgae (</w:t>
      </w:r>
      <w:r w:rsidRPr="0098635C">
        <w:rPr>
          <w:i/>
          <w:color w:val="000000" w:themeColor="text1"/>
          <w:sz w:val="20"/>
        </w:rPr>
        <w:t>Macrocystis pyrifera</w:t>
      </w:r>
      <w:r w:rsidRPr="0098635C">
        <w:rPr>
          <w:color w:val="000000" w:themeColor="text1"/>
          <w:sz w:val="20"/>
        </w:rPr>
        <w:t xml:space="preserve"> and </w:t>
      </w:r>
      <w:r w:rsidRPr="0098635C">
        <w:rPr>
          <w:i/>
          <w:color w:val="000000" w:themeColor="text1"/>
          <w:sz w:val="20"/>
        </w:rPr>
        <w:t>Fucus vesiculosis</w:t>
      </w:r>
      <w:r w:rsidRPr="0098635C">
        <w:rPr>
          <w:color w:val="000000" w:themeColor="text1"/>
          <w:sz w:val="20"/>
        </w:rPr>
        <w:t>)</w:t>
      </w:r>
      <w:r w:rsidR="00AD5218" w:rsidRPr="0098635C">
        <w:rPr>
          <w:color w:val="000000" w:themeColor="text1"/>
          <w:sz w:val="20"/>
        </w:rPr>
        <w:t xml:space="preserve"> (</w:t>
      </w:r>
      <w:r w:rsidR="00E230FB" w:rsidRPr="0098635C">
        <w:rPr>
          <w:b/>
          <w:color w:val="000000" w:themeColor="text1"/>
          <w:sz w:val="20"/>
        </w:rPr>
        <w:fldChar w:fldCharType="begin"/>
      </w:r>
      <w:r w:rsidR="00AD5218" w:rsidRPr="0098635C">
        <w:rPr>
          <w:b/>
          <w:color w:val="000000" w:themeColor="text1"/>
          <w:sz w:val="20"/>
        </w:rPr>
        <w:instrText xml:space="preserve"> REF _Ref259945213 \h </w:instrText>
      </w:r>
      <w:r w:rsidR="00370F46" w:rsidRPr="0098635C">
        <w:rPr>
          <w:b/>
          <w:color w:val="000000" w:themeColor="text1"/>
          <w:sz w:val="20"/>
        </w:rPr>
        <w:instrText xml:space="preserve"> \* MERGEFORMAT </w:instrText>
      </w:r>
      <w:r w:rsidR="00E230FB" w:rsidRPr="0098635C">
        <w:rPr>
          <w:b/>
          <w:color w:val="000000" w:themeColor="text1"/>
          <w:sz w:val="20"/>
        </w:rPr>
      </w:r>
      <w:r w:rsidR="00E230FB" w:rsidRPr="0098635C">
        <w:rPr>
          <w:b/>
          <w:color w:val="000000" w:themeColor="text1"/>
          <w:sz w:val="20"/>
        </w:rPr>
        <w:fldChar w:fldCharType="separate"/>
      </w:r>
      <w:r w:rsidR="005E5161" w:rsidRPr="0098635C">
        <w:rPr>
          <w:color w:val="000000" w:themeColor="text1"/>
          <w:sz w:val="20"/>
        </w:rPr>
        <w:t xml:space="preserve">Table </w:t>
      </w:r>
      <w:r w:rsidR="005E5161" w:rsidRPr="0098635C">
        <w:rPr>
          <w:noProof/>
          <w:color w:val="000000" w:themeColor="text1"/>
          <w:sz w:val="20"/>
        </w:rPr>
        <w:t>33</w:t>
      </w:r>
      <w:r w:rsidR="00E230FB" w:rsidRPr="0098635C">
        <w:rPr>
          <w:b/>
          <w:color w:val="000000" w:themeColor="text1"/>
          <w:sz w:val="20"/>
        </w:rPr>
        <w:fldChar w:fldCharType="end"/>
      </w:r>
      <w:r w:rsidR="00AD5218" w:rsidRPr="0098635C">
        <w:rPr>
          <w:color w:val="000000" w:themeColor="text1"/>
          <w:sz w:val="20"/>
        </w:rPr>
        <w:t>)</w:t>
      </w:r>
      <w:r w:rsidRPr="0098635C">
        <w:rPr>
          <w:color w:val="000000" w:themeColor="text1"/>
          <w:sz w:val="20"/>
        </w:rPr>
        <w:t>. The individual NOEC values range between 2.9 µg Cu/L (</w:t>
      </w:r>
      <w:r w:rsidRPr="0098635C">
        <w:rPr>
          <w:i/>
          <w:color w:val="000000" w:themeColor="text1"/>
          <w:sz w:val="20"/>
        </w:rPr>
        <w:t>Phaeodactylum tricornutum</w:t>
      </w:r>
      <w:r w:rsidRPr="0098635C">
        <w:rPr>
          <w:color w:val="000000" w:themeColor="text1"/>
          <w:sz w:val="20"/>
        </w:rPr>
        <w:t>, endpoint growth) to 50 µg Cu/L (</w:t>
      </w:r>
      <w:r w:rsidRPr="0098635C">
        <w:rPr>
          <w:i/>
          <w:color w:val="000000" w:themeColor="text1"/>
          <w:sz w:val="20"/>
        </w:rPr>
        <w:t>Macrocystis pyrifera</w:t>
      </w:r>
      <w:r w:rsidRPr="0098635C">
        <w:rPr>
          <w:color w:val="000000" w:themeColor="text1"/>
          <w:sz w:val="20"/>
        </w:rPr>
        <w:t>, endpoint germination).</w:t>
      </w:r>
      <w:r w:rsidR="00DA14FD" w:rsidRPr="0098635C">
        <w:rPr>
          <w:color w:val="000000" w:themeColor="text1"/>
          <w:sz w:val="20"/>
        </w:rPr>
        <w:t xml:space="preserve"> </w:t>
      </w:r>
    </w:p>
    <w:p w14:paraId="158E9966" w14:textId="77777777" w:rsidR="00762940" w:rsidRPr="0098635C" w:rsidRDefault="004A50B1" w:rsidP="003E37F5">
      <w:pPr>
        <w:pStyle w:val="BodyText"/>
        <w:rPr>
          <w:color w:val="000000" w:themeColor="text1"/>
          <w:sz w:val="20"/>
        </w:rPr>
      </w:pPr>
      <w:r w:rsidRPr="0098635C">
        <w:rPr>
          <w:color w:val="000000" w:themeColor="text1"/>
          <w:sz w:val="20"/>
        </w:rPr>
        <w:t xml:space="preserve">High </w:t>
      </w:r>
      <w:r w:rsidR="00AD5218" w:rsidRPr="0098635C">
        <w:rPr>
          <w:color w:val="000000" w:themeColor="text1"/>
          <w:sz w:val="20"/>
        </w:rPr>
        <w:t>q</w:t>
      </w:r>
      <w:r w:rsidRPr="0098635C">
        <w:rPr>
          <w:color w:val="000000" w:themeColor="text1"/>
          <w:sz w:val="20"/>
        </w:rPr>
        <w:t>uality “species mean” NOEC values are derived for the most sensitive end</w:t>
      </w:r>
      <w:r w:rsidR="00AD5218" w:rsidRPr="0098635C">
        <w:rPr>
          <w:color w:val="000000" w:themeColor="text1"/>
          <w:sz w:val="20"/>
        </w:rPr>
        <w:t xml:space="preserve">point for each of </w:t>
      </w:r>
      <w:r w:rsidRPr="0098635C">
        <w:rPr>
          <w:color w:val="000000" w:themeColor="text1"/>
          <w:sz w:val="20"/>
        </w:rPr>
        <w:t xml:space="preserve">the 4 species of marine algae. The  “species mean" NOEC value range from 2.9 µg/l Cu for the diatom </w:t>
      </w:r>
      <w:r w:rsidRPr="0098635C">
        <w:rPr>
          <w:i/>
          <w:color w:val="000000" w:themeColor="text1"/>
          <w:sz w:val="20"/>
        </w:rPr>
        <w:t>P. tricornutum</w:t>
      </w:r>
      <w:r w:rsidRPr="0098635C">
        <w:rPr>
          <w:color w:val="000000" w:themeColor="text1"/>
          <w:sz w:val="20"/>
        </w:rPr>
        <w:t xml:space="preserve"> </w:t>
      </w:r>
      <w:r w:rsidR="0060488D" w:rsidRPr="0098635C">
        <w:rPr>
          <w:color w:val="000000" w:themeColor="text1"/>
          <w:sz w:val="20"/>
        </w:rPr>
        <w:t xml:space="preserve">(endpoint: growth rate) </w:t>
      </w:r>
      <w:r w:rsidRPr="0098635C">
        <w:rPr>
          <w:color w:val="000000" w:themeColor="text1"/>
          <w:sz w:val="20"/>
        </w:rPr>
        <w:t xml:space="preserve">to 11 µg/l for </w:t>
      </w:r>
      <w:r w:rsidRPr="0098635C">
        <w:rPr>
          <w:i/>
          <w:color w:val="000000" w:themeColor="text1"/>
          <w:sz w:val="20"/>
        </w:rPr>
        <w:t>F. vesiculosis</w:t>
      </w:r>
      <w:r w:rsidR="0060488D" w:rsidRPr="0098635C">
        <w:rPr>
          <w:color w:val="000000" w:themeColor="text1"/>
          <w:sz w:val="20"/>
        </w:rPr>
        <w:t xml:space="preserve"> (endpoint: growth rate). It should be noted that higher effect values for</w:t>
      </w:r>
      <w:r w:rsidR="0060488D" w:rsidRPr="0098635C">
        <w:rPr>
          <w:i/>
          <w:color w:val="000000" w:themeColor="text1"/>
          <w:sz w:val="20"/>
        </w:rPr>
        <w:t xml:space="preserve"> F. vesiculosus</w:t>
      </w:r>
      <w:r w:rsidR="0060488D" w:rsidRPr="0098635C">
        <w:rPr>
          <w:color w:val="000000" w:themeColor="text1"/>
          <w:sz w:val="20"/>
        </w:rPr>
        <w:t xml:space="preserve"> (ranging between 18.5 and 46 µg Cu/L) were not considered as dissolved organic carbon (as humic acid) was added to the test medium (natural filtered seawater), hereby directly affecting the typical bioavailability  (and toxicity) of copper in the marine environment.  </w:t>
      </w:r>
    </w:p>
    <w:p w14:paraId="1A9F913C" w14:textId="0ACC4C76" w:rsidR="003E37F5" w:rsidRPr="0098635C" w:rsidRDefault="00665028" w:rsidP="00926614">
      <w:pPr>
        <w:pStyle w:val="Caption"/>
        <w:ind w:left="0"/>
        <w:jc w:val="center"/>
        <w:rPr>
          <w:color w:val="000000" w:themeColor="text1"/>
          <w:sz w:val="20"/>
        </w:rPr>
      </w:pPr>
      <w:bookmarkStart w:id="1999" w:name="_Ref259945189"/>
      <w:r w:rsidRPr="0098635C">
        <w:rPr>
          <w:color w:val="000000" w:themeColor="text1"/>
          <w:sz w:val="20"/>
        </w:rPr>
        <w:t xml:space="preserve">Table </w:t>
      </w:r>
      <w:r w:rsidR="00E230FB" w:rsidRPr="0098635C">
        <w:rPr>
          <w:color w:val="000000" w:themeColor="text1"/>
          <w:sz w:val="20"/>
        </w:rPr>
        <w:fldChar w:fldCharType="begin"/>
      </w:r>
      <w:r w:rsidRPr="0098635C">
        <w:rPr>
          <w:color w:val="000000" w:themeColor="text1"/>
          <w:sz w:val="20"/>
        </w:rPr>
        <w:instrText xml:space="preserve"> SEQ Table \* ARABIC </w:instrText>
      </w:r>
      <w:r w:rsidR="00E230FB" w:rsidRPr="0098635C">
        <w:rPr>
          <w:color w:val="000000" w:themeColor="text1"/>
          <w:sz w:val="20"/>
        </w:rPr>
        <w:fldChar w:fldCharType="separate"/>
      </w:r>
      <w:r w:rsidR="005E5161" w:rsidRPr="0098635C">
        <w:rPr>
          <w:noProof/>
          <w:color w:val="000000" w:themeColor="text1"/>
          <w:sz w:val="20"/>
        </w:rPr>
        <w:t>31</w:t>
      </w:r>
      <w:r w:rsidR="00E230FB" w:rsidRPr="0098635C">
        <w:rPr>
          <w:color w:val="000000" w:themeColor="text1"/>
          <w:sz w:val="20"/>
        </w:rPr>
        <w:fldChar w:fldCharType="end"/>
      </w:r>
      <w:bookmarkEnd w:id="1999"/>
      <w:r w:rsidRPr="0098635C">
        <w:rPr>
          <w:color w:val="000000" w:themeColor="text1"/>
          <w:sz w:val="20"/>
        </w:rPr>
        <w:t>: Summary of reliable chronic Cu toxicity data for marine fish; reported values represent measured concentration levels.</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3544"/>
        <w:gridCol w:w="3544"/>
      </w:tblGrid>
      <w:tr w:rsidR="00AD5218" w:rsidRPr="0098635C" w14:paraId="2AA75920" w14:textId="77777777" w:rsidTr="00B92430">
        <w:trPr>
          <w:trHeight w:val="410"/>
          <w:tblHeader/>
        </w:trPr>
        <w:tc>
          <w:tcPr>
            <w:tcW w:w="2835" w:type="dxa"/>
            <w:vAlign w:val="center"/>
          </w:tcPr>
          <w:p w14:paraId="76936098" w14:textId="77777777" w:rsidR="00AD5218" w:rsidRPr="0098635C" w:rsidRDefault="00AD5218" w:rsidP="00A45A5F">
            <w:pPr>
              <w:spacing w:after="0"/>
              <w:jc w:val="left"/>
              <w:rPr>
                <w:b/>
                <w:color w:val="000000" w:themeColor="text1"/>
                <w:sz w:val="20"/>
                <w:szCs w:val="20"/>
              </w:rPr>
            </w:pPr>
            <w:r w:rsidRPr="0098635C">
              <w:rPr>
                <w:b/>
                <w:bCs/>
                <w:color w:val="000000" w:themeColor="text1"/>
                <w:sz w:val="20"/>
                <w:szCs w:val="20"/>
              </w:rPr>
              <w:t>Species</w:t>
            </w:r>
          </w:p>
        </w:tc>
        <w:tc>
          <w:tcPr>
            <w:tcW w:w="3544" w:type="dxa"/>
            <w:vAlign w:val="center"/>
          </w:tcPr>
          <w:p w14:paraId="0EED9119" w14:textId="77777777" w:rsidR="00AD5218" w:rsidRPr="0098635C" w:rsidRDefault="00AD5218" w:rsidP="00A45A5F">
            <w:pPr>
              <w:spacing w:after="0"/>
              <w:jc w:val="left"/>
              <w:rPr>
                <w:b/>
                <w:color w:val="000000" w:themeColor="text1"/>
                <w:sz w:val="20"/>
                <w:szCs w:val="20"/>
              </w:rPr>
            </w:pPr>
            <w:r w:rsidRPr="0098635C">
              <w:rPr>
                <w:b/>
                <w:color w:val="000000" w:themeColor="text1"/>
                <w:sz w:val="20"/>
                <w:szCs w:val="20"/>
              </w:rPr>
              <w:t>Min-max range of individual values</w:t>
            </w:r>
            <w:r w:rsidR="00FC0B81" w:rsidRPr="0098635C">
              <w:rPr>
                <w:b/>
                <w:color w:val="000000" w:themeColor="text1"/>
                <w:sz w:val="20"/>
                <w:szCs w:val="20"/>
              </w:rPr>
              <w:t xml:space="preserve"> (µg Cu/L)</w:t>
            </w:r>
            <w:r w:rsidRPr="0098635C">
              <w:rPr>
                <w:b/>
                <w:color w:val="000000" w:themeColor="text1"/>
                <w:sz w:val="20"/>
                <w:szCs w:val="20"/>
              </w:rPr>
              <w:t>, species mean</w:t>
            </w:r>
            <w:r w:rsidRPr="0098635C">
              <w:rPr>
                <w:b/>
                <w:color w:val="000000" w:themeColor="text1"/>
                <w:sz w:val="20"/>
                <w:szCs w:val="20"/>
                <w:vertAlign w:val="superscript"/>
              </w:rPr>
              <w:t>1</w:t>
            </w:r>
            <w:r w:rsidRPr="0098635C">
              <w:rPr>
                <w:b/>
                <w:color w:val="000000" w:themeColor="text1"/>
                <w:sz w:val="20"/>
                <w:szCs w:val="20"/>
                <w:vertAlign w:val="subscript"/>
              </w:rPr>
              <w:t xml:space="preserve"> </w:t>
            </w:r>
            <w:r w:rsidRPr="0098635C">
              <w:rPr>
                <w:b/>
                <w:color w:val="000000" w:themeColor="text1"/>
                <w:sz w:val="20"/>
                <w:szCs w:val="20"/>
              </w:rPr>
              <w:t>and number of data points</w:t>
            </w:r>
          </w:p>
        </w:tc>
        <w:tc>
          <w:tcPr>
            <w:tcW w:w="3544" w:type="dxa"/>
          </w:tcPr>
          <w:p w14:paraId="4AE41285" w14:textId="7199E089" w:rsidR="00AD5218" w:rsidRPr="0098635C" w:rsidRDefault="00AD5218" w:rsidP="00484E4D">
            <w:pPr>
              <w:spacing w:after="0"/>
              <w:jc w:val="left"/>
              <w:rPr>
                <w:b/>
                <w:color w:val="000000" w:themeColor="text1"/>
                <w:sz w:val="20"/>
                <w:szCs w:val="20"/>
              </w:rPr>
            </w:pPr>
            <w:r w:rsidRPr="0098635C">
              <w:rPr>
                <w:b/>
                <w:color w:val="000000" w:themeColor="text1"/>
                <w:sz w:val="20"/>
                <w:szCs w:val="20"/>
              </w:rPr>
              <w:t xml:space="preserve">References &amp; </w:t>
            </w:r>
            <w:r w:rsidR="00484E4D" w:rsidRPr="0098635C">
              <w:rPr>
                <w:b/>
                <w:color w:val="000000" w:themeColor="text1"/>
                <w:sz w:val="20"/>
                <w:szCs w:val="20"/>
              </w:rPr>
              <w:t>Reliability</w:t>
            </w:r>
            <w:r w:rsidRPr="0098635C">
              <w:rPr>
                <w:b/>
                <w:color w:val="000000" w:themeColor="text1"/>
                <w:sz w:val="20"/>
                <w:szCs w:val="20"/>
              </w:rPr>
              <w:t xml:space="preserve"> scoring</w:t>
            </w:r>
          </w:p>
        </w:tc>
      </w:tr>
      <w:tr w:rsidR="00B92430" w:rsidRPr="0098635C" w14:paraId="637E65FC" w14:textId="77777777" w:rsidTr="00B92430">
        <w:trPr>
          <w:trHeight w:val="76"/>
        </w:trPr>
        <w:tc>
          <w:tcPr>
            <w:tcW w:w="2835" w:type="dxa"/>
          </w:tcPr>
          <w:p w14:paraId="7112EE2C" w14:textId="77777777" w:rsidR="00B92430" w:rsidRPr="0098635C" w:rsidRDefault="00B92430" w:rsidP="00A45A5F">
            <w:pPr>
              <w:spacing w:after="0"/>
              <w:jc w:val="left"/>
              <w:rPr>
                <w:i/>
                <w:color w:val="000000" w:themeColor="text1"/>
                <w:sz w:val="20"/>
                <w:szCs w:val="20"/>
              </w:rPr>
            </w:pPr>
            <w:r w:rsidRPr="0098635C">
              <w:rPr>
                <w:i/>
                <w:color w:val="000000" w:themeColor="text1"/>
                <w:sz w:val="20"/>
                <w:szCs w:val="20"/>
              </w:rPr>
              <w:t>Atherinops affinis</w:t>
            </w:r>
          </w:p>
        </w:tc>
        <w:tc>
          <w:tcPr>
            <w:tcW w:w="3544" w:type="dxa"/>
          </w:tcPr>
          <w:p w14:paraId="7E480E1C" w14:textId="77777777" w:rsidR="00B92430" w:rsidRPr="0098635C" w:rsidRDefault="00B92430" w:rsidP="00716ABB">
            <w:pPr>
              <w:spacing w:after="0"/>
              <w:jc w:val="left"/>
              <w:rPr>
                <w:color w:val="000000" w:themeColor="text1"/>
                <w:sz w:val="20"/>
                <w:szCs w:val="20"/>
              </w:rPr>
            </w:pPr>
            <w:r w:rsidRPr="0098635C">
              <w:rPr>
                <w:color w:val="000000" w:themeColor="text1"/>
                <w:sz w:val="20"/>
                <w:szCs w:val="20"/>
              </w:rPr>
              <w:t>Min-max: 55 – (123) (embryo/young abnormalities, hatchability</w:t>
            </w:r>
            <w:r w:rsidR="00716ABB" w:rsidRPr="0098635C">
              <w:rPr>
                <w:color w:val="000000" w:themeColor="text1"/>
                <w:sz w:val="20"/>
                <w:szCs w:val="20"/>
              </w:rPr>
              <w:t xml:space="preserve"> ;</w:t>
            </w:r>
            <w:r w:rsidRPr="0098635C">
              <w:rPr>
                <w:color w:val="000000" w:themeColor="text1"/>
                <w:sz w:val="20"/>
                <w:szCs w:val="20"/>
              </w:rPr>
              <w:t xml:space="preserve"> n=9)</w:t>
            </w:r>
          </w:p>
          <w:p w14:paraId="2D523964" w14:textId="77777777" w:rsidR="00CD0782" w:rsidRPr="0098635C" w:rsidRDefault="00CD0782" w:rsidP="00716ABB">
            <w:pPr>
              <w:spacing w:after="0"/>
              <w:jc w:val="left"/>
              <w:rPr>
                <w:color w:val="000000" w:themeColor="text1"/>
                <w:sz w:val="20"/>
                <w:szCs w:val="20"/>
              </w:rPr>
            </w:pPr>
            <w:r w:rsidRPr="0098635C">
              <w:rPr>
                <w:color w:val="000000" w:themeColor="text1"/>
                <w:sz w:val="20"/>
                <w:szCs w:val="20"/>
              </w:rPr>
              <w:t>(Species mean</w:t>
            </w:r>
            <w:r w:rsidRPr="0098635C">
              <w:rPr>
                <w:color w:val="000000" w:themeColor="text1"/>
                <w:sz w:val="20"/>
                <w:szCs w:val="20"/>
                <w:vertAlign w:val="subscript"/>
              </w:rPr>
              <w:t>hatchability</w:t>
            </w:r>
            <w:r w:rsidRPr="0098635C">
              <w:rPr>
                <w:color w:val="000000" w:themeColor="text1"/>
                <w:sz w:val="20"/>
                <w:szCs w:val="20"/>
              </w:rPr>
              <w:t>: 55 ; n=1)</w:t>
            </w:r>
          </w:p>
        </w:tc>
        <w:tc>
          <w:tcPr>
            <w:tcW w:w="3544" w:type="dxa"/>
          </w:tcPr>
          <w:p w14:paraId="4670767D" w14:textId="3747E833" w:rsidR="00B92430" w:rsidRPr="0098635C" w:rsidRDefault="00B92430" w:rsidP="004579D3">
            <w:pPr>
              <w:spacing w:after="0"/>
              <w:jc w:val="left"/>
              <w:rPr>
                <w:color w:val="000000" w:themeColor="text1"/>
                <w:sz w:val="20"/>
                <w:szCs w:val="20"/>
              </w:rPr>
            </w:pPr>
            <w:r w:rsidRPr="0098635C">
              <w:rPr>
                <w:color w:val="000000" w:themeColor="text1"/>
                <w:sz w:val="20"/>
                <w:szCs w:val="20"/>
              </w:rPr>
              <w:t>Anderson et al, 1991 (</w:t>
            </w:r>
            <w:r w:rsidR="00F03C20" w:rsidRPr="0098635C">
              <w:rPr>
                <w:color w:val="000000" w:themeColor="text1"/>
                <w:sz w:val="20"/>
                <w:szCs w:val="20"/>
              </w:rPr>
              <w:t>R</w:t>
            </w:r>
            <w:r w:rsidRPr="0098635C">
              <w:rPr>
                <w:color w:val="000000" w:themeColor="text1"/>
                <w:sz w:val="20"/>
                <w:szCs w:val="20"/>
              </w:rPr>
              <w:t>2)</w:t>
            </w:r>
          </w:p>
        </w:tc>
      </w:tr>
      <w:tr w:rsidR="00B92430" w:rsidRPr="0098635C" w14:paraId="604DDD1C" w14:textId="77777777" w:rsidTr="00B92430">
        <w:trPr>
          <w:trHeight w:val="76"/>
        </w:trPr>
        <w:tc>
          <w:tcPr>
            <w:tcW w:w="2835" w:type="dxa"/>
          </w:tcPr>
          <w:p w14:paraId="031B66D1" w14:textId="77777777" w:rsidR="00B92430" w:rsidRPr="0098635C" w:rsidRDefault="00B92430" w:rsidP="00A45A5F">
            <w:pPr>
              <w:spacing w:after="0"/>
              <w:jc w:val="left"/>
              <w:rPr>
                <w:i/>
                <w:color w:val="000000" w:themeColor="text1"/>
                <w:sz w:val="20"/>
                <w:szCs w:val="20"/>
              </w:rPr>
            </w:pPr>
            <w:r w:rsidRPr="0098635C">
              <w:rPr>
                <w:i/>
                <w:color w:val="000000" w:themeColor="text1"/>
                <w:sz w:val="20"/>
                <w:szCs w:val="20"/>
              </w:rPr>
              <w:t>Cyprinodon variegatus</w:t>
            </w:r>
          </w:p>
        </w:tc>
        <w:tc>
          <w:tcPr>
            <w:tcW w:w="3544" w:type="dxa"/>
          </w:tcPr>
          <w:p w14:paraId="4D44137A" w14:textId="77777777" w:rsidR="00B92430" w:rsidRPr="0098635C" w:rsidRDefault="00B92430" w:rsidP="00716ABB">
            <w:pPr>
              <w:spacing w:after="0"/>
              <w:jc w:val="left"/>
              <w:rPr>
                <w:color w:val="000000" w:themeColor="text1"/>
                <w:sz w:val="20"/>
                <w:szCs w:val="20"/>
              </w:rPr>
            </w:pPr>
            <w:r w:rsidRPr="0098635C">
              <w:rPr>
                <w:color w:val="000000" w:themeColor="text1"/>
                <w:sz w:val="20"/>
                <w:szCs w:val="20"/>
              </w:rPr>
              <w:t>Min-max: 57.8 – (109) (survival, embryo development, hatchability</w:t>
            </w:r>
            <w:r w:rsidR="00716ABB" w:rsidRPr="0098635C">
              <w:rPr>
                <w:color w:val="000000" w:themeColor="text1"/>
                <w:sz w:val="20"/>
                <w:szCs w:val="20"/>
              </w:rPr>
              <w:t xml:space="preserve"> ; </w:t>
            </w:r>
            <w:r w:rsidRPr="0098635C">
              <w:rPr>
                <w:color w:val="000000" w:themeColor="text1"/>
                <w:sz w:val="20"/>
                <w:szCs w:val="20"/>
              </w:rPr>
              <w:t>n=4)</w:t>
            </w:r>
          </w:p>
          <w:p w14:paraId="47AC07F6" w14:textId="77777777" w:rsidR="00A352B8" w:rsidRPr="0098635C" w:rsidRDefault="00A352B8" w:rsidP="00A352B8">
            <w:pPr>
              <w:spacing w:after="0"/>
              <w:jc w:val="left"/>
              <w:rPr>
                <w:color w:val="000000" w:themeColor="text1"/>
                <w:sz w:val="20"/>
                <w:szCs w:val="20"/>
              </w:rPr>
            </w:pPr>
            <w:r w:rsidRPr="0098635C">
              <w:rPr>
                <w:color w:val="000000" w:themeColor="text1"/>
                <w:sz w:val="20"/>
                <w:szCs w:val="20"/>
              </w:rPr>
              <w:lastRenderedPageBreak/>
              <w:t>(Species mean</w:t>
            </w:r>
            <w:r w:rsidRPr="0098635C">
              <w:rPr>
                <w:color w:val="000000" w:themeColor="text1"/>
                <w:sz w:val="20"/>
                <w:szCs w:val="20"/>
                <w:vertAlign w:val="subscript"/>
              </w:rPr>
              <w:t>development</w:t>
            </w:r>
            <w:r w:rsidRPr="0098635C">
              <w:rPr>
                <w:color w:val="000000" w:themeColor="text1"/>
                <w:sz w:val="20"/>
                <w:szCs w:val="20"/>
              </w:rPr>
              <w:t>: 57.8; n=1)</w:t>
            </w:r>
          </w:p>
        </w:tc>
        <w:tc>
          <w:tcPr>
            <w:tcW w:w="3544" w:type="dxa"/>
          </w:tcPr>
          <w:p w14:paraId="2DBA54A4" w14:textId="5CA3ACE4" w:rsidR="00B92430" w:rsidRPr="0098635C" w:rsidRDefault="00B92430" w:rsidP="009C7CF0">
            <w:pPr>
              <w:spacing w:after="0"/>
              <w:jc w:val="left"/>
              <w:rPr>
                <w:color w:val="000000" w:themeColor="text1"/>
                <w:sz w:val="20"/>
                <w:szCs w:val="20"/>
              </w:rPr>
            </w:pPr>
            <w:r w:rsidRPr="0098635C">
              <w:rPr>
                <w:color w:val="000000" w:themeColor="text1"/>
                <w:sz w:val="20"/>
                <w:szCs w:val="20"/>
                <w:highlight w:val="cyan"/>
              </w:rPr>
              <w:lastRenderedPageBreak/>
              <w:t>Hurd,</w:t>
            </w:r>
            <w:r w:rsidR="00BA146C" w:rsidRPr="0098635C">
              <w:rPr>
                <w:color w:val="000000" w:themeColor="text1"/>
                <w:sz w:val="20"/>
                <w:szCs w:val="20"/>
                <w:highlight w:val="cyan"/>
              </w:rPr>
              <w:t xml:space="preserve"> 2006b</w:t>
            </w:r>
            <w:r w:rsidRPr="0098635C">
              <w:rPr>
                <w:color w:val="000000" w:themeColor="text1"/>
                <w:sz w:val="20"/>
                <w:szCs w:val="20"/>
                <w:highlight w:val="cyan"/>
              </w:rPr>
              <w:t xml:space="preserve"> (</w:t>
            </w:r>
            <w:r w:rsidR="00F03C20" w:rsidRPr="0098635C">
              <w:rPr>
                <w:color w:val="000000" w:themeColor="text1"/>
                <w:sz w:val="20"/>
                <w:szCs w:val="20"/>
                <w:highlight w:val="cyan"/>
              </w:rPr>
              <w:t>R</w:t>
            </w:r>
            <w:r w:rsidRPr="0098635C">
              <w:rPr>
                <w:color w:val="000000" w:themeColor="text1"/>
                <w:sz w:val="20"/>
                <w:szCs w:val="20"/>
                <w:highlight w:val="cyan"/>
              </w:rPr>
              <w:t>1)</w:t>
            </w:r>
          </w:p>
        </w:tc>
      </w:tr>
    </w:tbl>
    <w:p w14:paraId="26286A98" w14:textId="77777777" w:rsidR="003E37F5" w:rsidRPr="0098635C" w:rsidRDefault="00AD5218" w:rsidP="00A5090A">
      <w:pPr>
        <w:pStyle w:val="BodyText"/>
        <w:rPr>
          <w:color w:val="000000" w:themeColor="text1"/>
          <w:sz w:val="20"/>
        </w:rPr>
      </w:pPr>
      <w:r w:rsidRPr="0098635C">
        <w:rPr>
          <w:color w:val="000000" w:themeColor="text1"/>
          <w:sz w:val="20"/>
          <w:vertAlign w:val="superscript"/>
        </w:rPr>
        <w:t>1</w:t>
      </w:r>
      <w:r w:rsidRPr="0098635C">
        <w:rPr>
          <w:color w:val="000000" w:themeColor="text1"/>
          <w:sz w:val="20"/>
        </w:rPr>
        <w:t>: Species mean :  most sensitive endpoint-specific geometric mean value for the species</w:t>
      </w:r>
    </w:p>
    <w:p w14:paraId="778E0083" w14:textId="48176B7A" w:rsidR="00AB43AB" w:rsidRPr="0098635C" w:rsidRDefault="00665028" w:rsidP="00665028">
      <w:pPr>
        <w:pStyle w:val="Caption"/>
        <w:ind w:left="0"/>
        <w:rPr>
          <w:rFonts w:ascii="Times New Roman" w:hAnsi="Times New Roman"/>
          <w:color w:val="000000" w:themeColor="text1"/>
          <w:sz w:val="20"/>
        </w:rPr>
      </w:pPr>
      <w:bookmarkStart w:id="2000" w:name="_Ref260040974"/>
      <w:r w:rsidRPr="0098635C">
        <w:rPr>
          <w:rFonts w:ascii="Times New Roman" w:hAnsi="Times New Roman"/>
          <w:color w:val="000000" w:themeColor="text1"/>
          <w:sz w:val="20"/>
        </w:rPr>
        <w:t xml:space="preserve">Table </w:t>
      </w:r>
      <w:r w:rsidR="00E230FB" w:rsidRPr="0098635C">
        <w:rPr>
          <w:rFonts w:ascii="Times New Roman" w:hAnsi="Times New Roman"/>
          <w:color w:val="000000" w:themeColor="text1"/>
          <w:sz w:val="20"/>
        </w:rPr>
        <w:fldChar w:fldCharType="begin"/>
      </w:r>
      <w:r w:rsidRPr="0098635C">
        <w:rPr>
          <w:rFonts w:ascii="Times New Roman" w:hAnsi="Times New Roman"/>
          <w:color w:val="000000" w:themeColor="text1"/>
          <w:sz w:val="20"/>
        </w:rPr>
        <w:instrText xml:space="preserve"> SEQ Table \* ARABIC </w:instrText>
      </w:r>
      <w:r w:rsidR="00E230FB" w:rsidRPr="0098635C">
        <w:rPr>
          <w:rFonts w:ascii="Times New Roman" w:hAnsi="Times New Roman"/>
          <w:color w:val="000000" w:themeColor="text1"/>
          <w:sz w:val="20"/>
        </w:rPr>
        <w:fldChar w:fldCharType="separate"/>
      </w:r>
      <w:r w:rsidR="005E5161" w:rsidRPr="0098635C">
        <w:rPr>
          <w:rFonts w:ascii="Times New Roman" w:hAnsi="Times New Roman"/>
          <w:noProof/>
          <w:color w:val="000000" w:themeColor="text1"/>
          <w:sz w:val="20"/>
        </w:rPr>
        <w:t>32</w:t>
      </w:r>
      <w:r w:rsidR="00E230FB" w:rsidRPr="0098635C">
        <w:rPr>
          <w:rFonts w:ascii="Times New Roman" w:hAnsi="Times New Roman"/>
          <w:color w:val="000000" w:themeColor="text1"/>
          <w:sz w:val="20"/>
        </w:rPr>
        <w:fldChar w:fldCharType="end"/>
      </w:r>
      <w:bookmarkEnd w:id="2000"/>
      <w:r w:rsidRPr="0098635C">
        <w:rPr>
          <w:rFonts w:ascii="Times New Roman" w:hAnsi="Times New Roman"/>
          <w:color w:val="000000" w:themeColor="text1"/>
          <w:sz w:val="20"/>
        </w:rPr>
        <w:t>: Summary of reliable chronic Cu toxicity data for marine invertebrates; reported values represent measured concentration levels</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3686"/>
        <w:gridCol w:w="3686"/>
      </w:tblGrid>
      <w:tr w:rsidR="00AD5218" w:rsidRPr="0098635C" w14:paraId="3B7C8BBB" w14:textId="77777777" w:rsidTr="00920C4E">
        <w:trPr>
          <w:trHeight w:val="650"/>
          <w:tblHeader/>
        </w:trPr>
        <w:tc>
          <w:tcPr>
            <w:tcW w:w="2551" w:type="dxa"/>
            <w:vAlign w:val="center"/>
          </w:tcPr>
          <w:p w14:paraId="1DB6A3BE" w14:textId="77777777" w:rsidR="00AD5218" w:rsidRPr="0098635C" w:rsidRDefault="00AD5218" w:rsidP="00AB43AB">
            <w:pPr>
              <w:jc w:val="left"/>
              <w:rPr>
                <w:b/>
                <w:color w:val="000000" w:themeColor="text1"/>
                <w:sz w:val="20"/>
                <w:szCs w:val="20"/>
              </w:rPr>
            </w:pPr>
            <w:r w:rsidRPr="0098635C">
              <w:rPr>
                <w:b/>
                <w:bCs/>
                <w:color w:val="000000" w:themeColor="text1"/>
                <w:sz w:val="20"/>
                <w:szCs w:val="20"/>
              </w:rPr>
              <w:t>Species</w:t>
            </w:r>
          </w:p>
        </w:tc>
        <w:tc>
          <w:tcPr>
            <w:tcW w:w="3686" w:type="dxa"/>
            <w:vAlign w:val="center"/>
          </w:tcPr>
          <w:p w14:paraId="02B47722" w14:textId="77777777" w:rsidR="00AD5218" w:rsidRPr="0098635C" w:rsidRDefault="00AD5218" w:rsidP="00AB43AB">
            <w:pPr>
              <w:jc w:val="left"/>
              <w:rPr>
                <w:b/>
                <w:color w:val="000000" w:themeColor="text1"/>
                <w:sz w:val="20"/>
                <w:szCs w:val="20"/>
              </w:rPr>
            </w:pPr>
            <w:r w:rsidRPr="0098635C">
              <w:rPr>
                <w:b/>
                <w:color w:val="000000" w:themeColor="text1"/>
                <w:sz w:val="20"/>
                <w:szCs w:val="20"/>
              </w:rPr>
              <w:t>Min-max range of individual values</w:t>
            </w:r>
            <w:r w:rsidR="00FC0B81" w:rsidRPr="0098635C">
              <w:rPr>
                <w:b/>
                <w:color w:val="000000" w:themeColor="text1"/>
                <w:sz w:val="20"/>
                <w:szCs w:val="20"/>
              </w:rPr>
              <w:t xml:space="preserve"> (µg Cu/L)</w:t>
            </w:r>
            <w:r w:rsidRPr="0098635C">
              <w:rPr>
                <w:b/>
                <w:color w:val="000000" w:themeColor="text1"/>
                <w:sz w:val="20"/>
                <w:szCs w:val="20"/>
              </w:rPr>
              <w:t>, species mean</w:t>
            </w:r>
            <w:r w:rsidRPr="0098635C">
              <w:rPr>
                <w:b/>
                <w:color w:val="000000" w:themeColor="text1"/>
                <w:sz w:val="20"/>
                <w:szCs w:val="20"/>
                <w:vertAlign w:val="superscript"/>
              </w:rPr>
              <w:t>1</w:t>
            </w:r>
            <w:r w:rsidRPr="0098635C">
              <w:rPr>
                <w:b/>
                <w:color w:val="000000" w:themeColor="text1"/>
                <w:sz w:val="20"/>
                <w:szCs w:val="20"/>
                <w:vertAlign w:val="subscript"/>
              </w:rPr>
              <w:t xml:space="preserve"> </w:t>
            </w:r>
            <w:r w:rsidRPr="0098635C">
              <w:rPr>
                <w:b/>
                <w:color w:val="000000" w:themeColor="text1"/>
                <w:sz w:val="20"/>
                <w:szCs w:val="20"/>
              </w:rPr>
              <w:t>and number of data points</w:t>
            </w:r>
          </w:p>
        </w:tc>
        <w:tc>
          <w:tcPr>
            <w:tcW w:w="3686" w:type="dxa"/>
          </w:tcPr>
          <w:p w14:paraId="604B1549" w14:textId="0E2C81CB" w:rsidR="00AD5218" w:rsidRPr="0098635C" w:rsidRDefault="00AD5218" w:rsidP="00484E4D">
            <w:pPr>
              <w:jc w:val="left"/>
              <w:rPr>
                <w:b/>
                <w:color w:val="000000" w:themeColor="text1"/>
                <w:sz w:val="20"/>
                <w:szCs w:val="20"/>
              </w:rPr>
            </w:pPr>
            <w:r w:rsidRPr="0098635C">
              <w:rPr>
                <w:b/>
                <w:color w:val="000000" w:themeColor="text1"/>
                <w:sz w:val="20"/>
                <w:szCs w:val="20"/>
              </w:rPr>
              <w:t xml:space="preserve">References &amp; </w:t>
            </w:r>
            <w:r w:rsidR="00484E4D" w:rsidRPr="0098635C">
              <w:rPr>
                <w:b/>
                <w:color w:val="000000" w:themeColor="text1"/>
                <w:sz w:val="20"/>
                <w:szCs w:val="20"/>
              </w:rPr>
              <w:t>Reliability</w:t>
            </w:r>
            <w:r w:rsidRPr="0098635C">
              <w:rPr>
                <w:b/>
                <w:color w:val="000000" w:themeColor="text1"/>
                <w:sz w:val="20"/>
                <w:szCs w:val="20"/>
              </w:rPr>
              <w:t xml:space="preserve"> scoring</w:t>
            </w:r>
          </w:p>
        </w:tc>
      </w:tr>
      <w:tr w:rsidR="00920C4E" w:rsidRPr="0098635C" w14:paraId="1D899677" w14:textId="77777777" w:rsidTr="00920C4E">
        <w:trPr>
          <w:trHeight w:val="76"/>
        </w:trPr>
        <w:tc>
          <w:tcPr>
            <w:tcW w:w="2551" w:type="dxa"/>
          </w:tcPr>
          <w:p w14:paraId="3409593B" w14:textId="77777777" w:rsidR="00920C4E" w:rsidRPr="0098635C" w:rsidRDefault="00920C4E" w:rsidP="00D95E0B">
            <w:pPr>
              <w:spacing w:after="0"/>
              <w:jc w:val="left"/>
              <w:rPr>
                <w:color w:val="000000" w:themeColor="text1"/>
                <w:sz w:val="20"/>
                <w:szCs w:val="20"/>
              </w:rPr>
            </w:pPr>
            <w:r w:rsidRPr="0098635C">
              <w:rPr>
                <w:i/>
                <w:color w:val="000000" w:themeColor="text1"/>
                <w:sz w:val="20"/>
                <w:szCs w:val="20"/>
              </w:rPr>
              <w:t>Penaeus monodon</w:t>
            </w:r>
          </w:p>
        </w:tc>
        <w:tc>
          <w:tcPr>
            <w:tcW w:w="3686" w:type="dxa"/>
          </w:tcPr>
          <w:p w14:paraId="65B0ED2B" w14:textId="77777777" w:rsidR="00920C4E" w:rsidRPr="0098635C" w:rsidRDefault="00534807" w:rsidP="00534807">
            <w:pPr>
              <w:spacing w:after="0"/>
              <w:jc w:val="left"/>
              <w:rPr>
                <w:color w:val="000000" w:themeColor="text1"/>
                <w:sz w:val="20"/>
                <w:szCs w:val="20"/>
              </w:rPr>
            </w:pPr>
            <w:r w:rsidRPr="0098635C">
              <w:rPr>
                <w:color w:val="000000" w:themeColor="text1"/>
                <w:sz w:val="20"/>
                <w:szCs w:val="20"/>
              </w:rPr>
              <w:t xml:space="preserve">145 </w:t>
            </w:r>
            <w:r w:rsidR="00920C4E" w:rsidRPr="0098635C">
              <w:rPr>
                <w:color w:val="000000" w:themeColor="text1"/>
                <w:sz w:val="20"/>
                <w:szCs w:val="20"/>
              </w:rPr>
              <w:t>(growth) (n=1)</w:t>
            </w:r>
          </w:p>
        </w:tc>
        <w:tc>
          <w:tcPr>
            <w:tcW w:w="3686" w:type="dxa"/>
          </w:tcPr>
          <w:p w14:paraId="4F87886D" w14:textId="5C7C0FDA" w:rsidR="00920C4E" w:rsidRPr="0098635C" w:rsidRDefault="00920C4E" w:rsidP="00D95E0B">
            <w:pPr>
              <w:spacing w:after="0"/>
              <w:jc w:val="left"/>
              <w:rPr>
                <w:color w:val="000000" w:themeColor="text1"/>
                <w:sz w:val="20"/>
                <w:szCs w:val="20"/>
              </w:rPr>
            </w:pPr>
            <w:r w:rsidRPr="0098635C">
              <w:rPr>
                <w:color w:val="000000" w:themeColor="text1"/>
                <w:sz w:val="20"/>
                <w:szCs w:val="20"/>
              </w:rPr>
              <w:t>Ahsanullah and Ying, 1995 (</w:t>
            </w:r>
            <w:r w:rsidR="00F03C20" w:rsidRPr="0098635C">
              <w:rPr>
                <w:color w:val="000000" w:themeColor="text1"/>
                <w:sz w:val="20"/>
                <w:szCs w:val="20"/>
              </w:rPr>
              <w:t>R</w:t>
            </w:r>
            <w:r w:rsidRPr="0098635C">
              <w:rPr>
                <w:color w:val="000000" w:themeColor="text1"/>
                <w:sz w:val="20"/>
                <w:szCs w:val="20"/>
              </w:rPr>
              <w:t>2)</w:t>
            </w:r>
          </w:p>
        </w:tc>
      </w:tr>
      <w:tr w:rsidR="00920C4E" w:rsidRPr="0098635C" w14:paraId="696C1156" w14:textId="77777777" w:rsidTr="00920C4E">
        <w:trPr>
          <w:trHeight w:val="76"/>
        </w:trPr>
        <w:tc>
          <w:tcPr>
            <w:tcW w:w="2551" w:type="dxa"/>
          </w:tcPr>
          <w:p w14:paraId="425E170A" w14:textId="77777777" w:rsidR="00920C4E" w:rsidRPr="0098635C" w:rsidRDefault="00920C4E" w:rsidP="00D95E0B">
            <w:pPr>
              <w:spacing w:after="0"/>
              <w:jc w:val="left"/>
              <w:rPr>
                <w:i/>
                <w:color w:val="000000" w:themeColor="text1"/>
                <w:sz w:val="20"/>
                <w:szCs w:val="20"/>
              </w:rPr>
            </w:pPr>
            <w:r w:rsidRPr="0098635C">
              <w:rPr>
                <w:i/>
                <w:color w:val="000000" w:themeColor="text1"/>
                <w:sz w:val="20"/>
                <w:szCs w:val="20"/>
              </w:rPr>
              <w:t>Penaeus mergulensis</w:t>
            </w:r>
          </w:p>
        </w:tc>
        <w:tc>
          <w:tcPr>
            <w:tcW w:w="3686" w:type="dxa"/>
          </w:tcPr>
          <w:p w14:paraId="2EA6C33C" w14:textId="77777777" w:rsidR="00920C4E" w:rsidRPr="0098635C" w:rsidRDefault="00920C4E" w:rsidP="00D95E0B">
            <w:pPr>
              <w:spacing w:after="0"/>
              <w:jc w:val="left"/>
              <w:rPr>
                <w:color w:val="000000" w:themeColor="text1"/>
                <w:sz w:val="20"/>
                <w:szCs w:val="20"/>
              </w:rPr>
            </w:pPr>
            <w:r w:rsidRPr="0098635C">
              <w:rPr>
                <w:color w:val="000000" w:themeColor="text1"/>
                <w:sz w:val="20"/>
                <w:szCs w:val="20"/>
              </w:rPr>
              <w:t>33 (growth) (n=1)</w:t>
            </w:r>
          </w:p>
        </w:tc>
        <w:tc>
          <w:tcPr>
            <w:tcW w:w="3686" w:type="dxa"/>
          </w:tcPr>
          <w:p w14:paraId="4E9C9E27" w14:textId="1E79067F" w:rsidR="00920C4E" w:rsidRPr="0098635C" w:rsidRDefault="00920C4E" w:rsidP="00D95E0B">
            <w:pPr>
              <w:spacing w:after="0"/>
              <w:jc w:val="left"/>
              <w:rPr>
                <w:color w:val="000000" w:themeColor="text1"/>
                <w:sz w:val="20"/>
                <w:szCs w:val="20"/>
              </w:rPr>
            </w:pPr>
            <w:r w:rsidRPr="0098635C">
              <w:rPr>
                <w:color w:val="000000" w:themeColor="text1"/>
                <w:sz w:val="20"/>
                <w:szCs w:val="20"/>
              </w:rPr>
              <w:t>Ahsanullah and Ying, 1995 (</w:t>
            </w:r>
            <w:r w:rsidR="00F03C20" w:rsidRPr="0098635C">
              <w:rPr>
                <w:color w:val="000000" w:themeColor="text1"/>
                <w:sz w:val="20"/>
                <w:szCs w:val="20"/>
              </w:rPr>
              <w:t>R</w:t>
            </w:r>
            <w:r w:rsidRPr="0098635C">
              <w:rPr>
                <w:color w:val="000000" w:themeColor="text1"/>
                <w:sz w:val="20"/>
                <w:szCs w:val="20"/>
              </w:rPr>
              <w:t>2)</w:t>
            </w:r>
          </w:p>
        </w:tc>
      </w:tr>
      <w:tr w:rsidR="00920C4E" w:rsidRPr="0098635C" w14:paraId="7FDE642E" w14:textId="77777777" w:rsidTr="00534807">
        <w:trPr>
          <w:trHeight w:val="385"/>
        </w:trPr>
        <w:tc>
          <w:tcPr>
            <w:tcW w:w="2551" w:type="dxa"/>
          </w:tcPr>
          <w:p w14:paraId="71E201E8" w14:textId="77777777" w:rsidR="00920C4E" w:rsidRPr="0098635C" w:rsidRDefault="00920C4E" w:rsidP="00AB43AB">
            <w:pPr>
              <w:spacing w:after="0"/>
              <w:jc w:val="left"/>
              <w:rPr>
                <w:i/>
                <w:color w:val="000000" w:themeColor="text1"/>
                <w:sz w:val="20"/>
                <w:szCs w:val="20"/>
              </w:rPr>
            </w:pPr>
            <w:r w:rsidRPr="0098635C">
              <w:rPr>
                <w:i/>
                <w:color w:val="000000" w:themeColor="text1"/>
                <w:sz w:val="20"/>
                <w:szCs w:val="20"/>
              </w:rPr>
              <w:t>Mytilus edulis</w:t>
            </w:r>
          </w:p>
        </w:tc>
        <w:tc>
          <w:tcPr>
            <w:tcW w:w="3686" w:type="dxa"/>
          </w:tcPr>
          <w:p w14:paraId="0670102E" w14:textId="77777777" w:rsidR="00920C4E" w:rsidRPr="0098635C" w:rsidRDefault="00920C4E" w:rsidP="00534807">
            <w:pPr>
              <w:spacing w:after="0"/>
              <w:jc w:val="left"/>
              <w:rPr>
                <w:color w:val="000000" w:themeColor="text1"/>
                <w:sz w:val="20"/>
                <w:szCs w:val="20"/>
              </w:rPr>
            </w:pPr>
            <w:r w:rsidRPr="0098635C">
              <w:rPr>
                <w:color w:val="000000" w:themeColor="text1"/>
                <w:sz w:val="20"/>
                <w:szCs w:val="20"/>
              </w:rPr>
              <w:t>Min-max: 6.0 – 6.2 (embryo development, growth</w:t>
            </w:r>
            <w:r w:rsidR="00754A61" w:rsidRPr="0098635C">
              <w:rPr>
                <w:color w:val="000000" w:themeColor="text1"/>
                <w:sz w:val="20"/>
                <w:szCs w:val="20"/>
              </w:rPr>
              <w:t xml:space="preserve"> rate</w:t>
            </w:r>
            <w:r w:rsidR="00716ABB" w:rsidRPr="0098635C">
              <w:rPr>
                <w:color w:val="000000" w:themeColor="text1"/>
                <w:sz w:val="20"/>
                <w:szCs w:val="20"/>
              </w:rPr>
              <w:t>; n=2</w:t>
            </w:r>
            <w:r w:rsidRPr="0098635C">
              <w:rPr>
                <w:color w:val="000000" w:themeColor="text1"/>
                <w:sz w:val="20"/>
                <w:szCs w:val="20"/>
              </w:rPr>
              <w:t>)</w:t>
            </w:r>
          </w:p>
          <w:p w14:paraId="14296199" w14:textId="77777777" w:rsidR="00754A61" w:rsidRPr="0098635C" w:rsidRDefault="00754A61" w:rsidP="00D3706E">
            <w:pPr>
              <w:spacing w:after="0"/>
              <w:jc w:val="left"/>
              <w:rPr>
                <w:color w:val="000000" w:themeColor="text1"/>
                <w:sz w:val="20"/>
                <w:szCs w:val="20"/>
              </w:rPr>
            </w:pPr>
            <w:r w:rsidRPr="0098635C">
              <w:rPr>
                <w:color w:val="000000" w:themeColor="text1"/>
                <w:sz w:val="20"/>
                <w:szCs w:val="20"/>
              </w:rPr>
              <w:t>(Speci</w:t>
            </w:r>
            <w:r w:rsidR="00D3706E" w:rsidRPr="0098635C">
              <w:rPr>
                <w:color w:val="000000" w:themeColor="text1"/>
                <w:sz w:val="20"/>
                <w:szCs w:val="20"/>
              </w:rPr>
              <w:t>e</w:t>
            </w:r>
            <w:r w:rsidRPr="0098635C">
              <w:rPr>
                <w:color w:val="000000" w:themeColor="text1"/>
                <w:sz w:val="20"/>
                <w:szCs w:val="20"/>
              </w:rPr>
              <w:t>s mean</w:t>
            </w:r>
            <w:r w:rsidRPr="0098635C">
              <w:rPr>
                <w:color w:val="000000" w:themeColor="text1"/>
                <w:sz w:val="20"/>
                <w:szCs w:val="20"/>
                <w:vertAlign w:val="subscript"/>
              </w:rPr>
              <w:t>growth rate</w:t>
            </w:r>
            <w:r w:rsidRPr="0098635C">
              <w:rPr>
                <w:color w:val="000000" w:themeColor="text1"/>
                <w:sz w:val="20"/>
                <w:szCs w:val="20"/>
              </w:rPr>
              <w:t>: 6.0 ; n=1)</w:t>
            </w:r>
          </w:p>
        </w:tc>
        <w:tc>
          <w:tcPr>
            <w:tcW w:w="3686" w:type="dxa"/>
          </w:tcPr>
          <w:p w14:paraId="1291D67E" w14:textId="23FB09FC" w:rsidR="00920C4E" w:rsidRPr="0098635C" w:rsidRDefault="00920C4E" w:rsidP="00925E3A">
            <w:pPr>
              <w:spacing w:after="0"/>
              <w:jc w:val="left"/>
              <w:rPr>
                <w:color w:val="000000" w:themeColor="text1"/>
                <w:sz w:val="20"/>
                <w:szCs w:val="20"/>
              </w:rPr>
            </w:pPr>
            <w:r w:rsidRPr="0098635C">
              <w:rPr>
                <w:color w:val="000000" w:themeColor="text1"/>
                <w:sz w:val="20"/>
                <w:szCs w:val="20"/>
              </w:rPr>
              <w:t>Brooks, 2006a (K2) ; Redpath, 1985 (</w:t>
            </w:r>
            <w:r w:rsidR="00F03C20" w:rsidRPr="0098635C">
              <w:rPr>
                <w:color w:val="000000" w:themeColor="text1"/>
                <w:sz w:val="20"/>
                <w:szCs w:val="20"/>
              </w:rPr>
              <w:t>R</w:t>
            </w:r>
            <w:r w:rsidRPr="0098635C">
              <w:rPr>
                <w:color w:val="000000" w:themeColor="text1"/>
                <w:sz w:val="20"/>
                <w:szCs w:val="20"/>
              </w:rPr>
              <w:t>2)</w:t>
            </w:r>
          </w:p>
        </w:tc>
      </w:tr>
      <w:tr w:rsidR="00920C4E" w:rsidRPr="0098635C" w14:paraId="4319181C" w14:textId="77777777" w:rsidTr="00920C4E">
        <w:trPr>
          <w:trHeight w:val="76"/>
        </w:trPr>
        <w:tc>
          <w:tcPr>
            <w:tcW w:w="2551" w:type="dxa"/>
          </w:tcPr>
          <w:p w14:paraId="11B632B3" w14:textId="77777777" w:rsidR="00920C4E" w:rsidRPr="0098635C" w:rsidRDefault="00920C4E" w:rsidP="00AB43AB">
            <w:pPr>
              <w:spacing w:after="0"/>
              <w:jc w:val="left"/>
              <w:rPr>
                <w:color w:val="000000" w:themeColor="text1"/>
                <w:sz w:val="20"/>
                <w:szCs w:val="20"/>
              </w:rPr>
            </w:pPr>
            <w:r w:rsidRPr="0098635C">
              <w:rPr>
                <w:i/>
                <w:color w:val="000000" w:themeColor="text1"/>
                <w:sz w:val="20"/>
                <w:szCs w:val="20"/>
              </w:rPr>
              <w:t>Mytilus galloprovincialis</w:t>
            </w:r>
          </w:p>
        </w:tc>
        <w:tc>
          <w:tcPr>
            <w:tcW w:w="3686" w:type="dxa"/>
          </w:tcPr>
          <w:p w14:paraId="15C3A56B" w14:textId="77777777" w:rsidR="00920C4E" w:rsidRPr="0098635C" w:rsidRDefault="00920C4E" w:rsidP="00601A07">
            <w:pPr>
              <w:spacing w:after="0"/>
              <w:jc w:val="left"/>
              <w:rPr>
                <w:color w:val="000000" w:themeColor="text1"/>
                <w:sz w:val="20"/>
                <w:szCs w:val="20"/>
              </w:rPr>
            </w:pPr>
            <w:r w:rsidRPr="0098635C">
              <w:rPr>
                <w:color w:val="000000" w:themeColor="text1"/>
                <w:sz w:val="20"/>
                <w:szCs w:val="20"/>
              </w:rPr>
              <w:t>Min-max: 5.9 – 9.7 (embryo development ; n=4)</w:t>
            </w:r>
          </w:p>
          <w:p w14:paraId="0DADA9AE" w14:textId="77777777" w:rsidR="00D3706E" w:rsidRPr="0098635C" w:rsidRDefault="00D3706E" w:rsidP="00D3706E">
            <w:pPr>
              <w:spacing w:after="0"/>
              <w:jc w:val="left"/>
              <w:rPr>
                <w:color w:val="000000" w:themeColor="text1"/>
                <w:sz w:val="20"/>
                <w:szCs w:val="20"/>
              </w:rPr>
            </w:pPr>
            <w:r w:rsidRPr="0098635C">
              <w:rPr>
                <w:color w:val="000000" w:themeColor="text1"/>
                <w:sz w:val="20"/>
                <w:szCs w:val="20"/>
              </w:rPr>
              <w:t>(Species mean</w:t>
            </w:r>
            <w:r w:rsidRPr="0098635C">
              <w:rPr>
                <w:color w:val="000000" w:themeColor="text1"/>
                <w:sz w:val="20"/>
                <w:szCs w:val="20"/>
                <w:vertAlign w:val="subscript"/>
              </w:rPr>
              <w:t>development</w:t>
            </w:r>
            <w:r w:rsidRPr="0098635C">
              <w:rPr>
                <w:color w:val="000000" w:themeColor="text1"/>
                <w:sz w:val="20"/>
                <w:szCs w:val="20"/>
              </w:rPr>
              <w:t>: 7.93)</w:t>
            </w:r>
          </w:p>
        </w:tc>
        <w:tc>
          <w:tcPr>
            <w:tcW w:w="3686" w:type="dxa"/>
          </w:tcPr>
          <w:p w14:paraId="5A532757" w14:textId="70BAC5D6" w:rsidR="00920C4E" w:rsidRPr="0098635C" w:rsidRDefault="00920C4E" w:rsidP="00601A07">
            <w:pPr>
              <w:spacing w:after="0"/>
              <w:jc w:val="left"/>
              <w:rPr>
                <w:color w:val="000000" w:themeColor="text1"/>
                <w:sz w:val="20"/>
                <w:szCs w:val="20"/>
              </w:rPr>
            </w:pPr>
            <w:r w:rsidRPr="0098635C">
              <w:rPr>
                <w:color w:val="000000" w:themeColor="text1"/>
                <w:sz w:val="20"/>
                <w:szCs w:val="20"/>
              </w:rPr>
              <w:t>Rosen, 2005 (</w:t>
            </w:r>
            <w:r w:rsidR="00F03C20" w:rsidRPr="0098635C">
              <w:rPr>
                <w:color w:val="000000" w:themeColor="text1"/>
                <w:sz w:val="20"/>
                <w:szCs w:val="20"/>
              </w:rPr>
              <w:t>R</w:t>
            </w:r>
            <w:r w:rsidRPr="0098635C">
              <w:rPr>
                <w:color w:val="000000" w:themeColor="text1"/>
                <w:sz w:val="20"/>
                <w:szCs w:val="20"/>
              </w:rPr>
              <w:t>2)</w:t>
            </w:r>
          </w:p>
        </w:tc>
      </w:tr>
      <w:tr w:rsidR="00920C4E" w:rsidRPr="0098635C" w14:paraId="212DC37A" w14:textId="77777777" w:rsidTr="00920C4E">
        <w:trPr>
          <w:trHeight w:val="76"/>
        </w:trPr>
        <w:tc>
          <w:tcPr>
            <w:tcW w:w="2551" w:type="dxa"/>
          </w:tcPr>
          <w:p w14:paraId="34BECC67" w14:textId="77777777" w:rsidR="00920C4E" w:rsidRPr="0098635C" w:rsidRDefault="00920C4E" w:rsidP="00513AD7">
            <w:pPr>
              <w:spacing w:after="0"/>
              <w:jc w:val="left"/>
              <w:rPr>
                <w:i/>
                <w:color w:val="000000" w:themeColor="text1"/>
                <w:sz w:val="20"/>
                <w:szCs w:val="20"/>
              </w:rPr>
            </w:pPr>
            <w:r w:rsidRPr="0098635C">
              <w:rPr>
                <w:i/>
                <w:color w:val="000000" w:themeColor="text1"/>
                <w:sz w:val="20"/>
                <w:szCs w:val="20"/>
              </w:rPr>
              <w:t>Crassostrea gigas</w:t>
            </w:r>
          </w:p>
        </w:tc>
        <w:tc>
          <w:tcPr>
            <w:tcW w:w="3686" w:type="dxa"/>
          </w:tcPr>
          <w:p w14:paraId="16B46A48" w14:textId="77777777" w:rsidR="00920C4E" w:rsidRPr="0098635C" w:rsidRDefault="00920C4E" w:rsidP="00B575F4">
            <w:pPr>
              <w:spacing w:after="0"/>
              <w:jc w:val="left"/>
              <w:rPr>
                <w:color w:val="000000" w:themeColor="text1"/>
                <w:sz w:val="20"/>
                <w:szCs w:val="20"/>
              </w:rPr>
            </w:pPr>
            <w:r w:rsidRPr="0098635C">
              <w:rPr>
                <w:color w:val="000000" w:themeColor="text1"/>
                <w:sz w:val="20"/>
                <w:szCs w:val="20"/>
              </w:rPr>
              <w:t>Min-max: 10.4 – 47.1 (embryo develop</w:t>
            </w:r>
            <w:r w:rsidR="00716ABB" w:rsidRPr="0098635C">
              <w:rPr>
                <w:color w:val="000000" w:themeColor="text1"/>
                <w:sz w:val="20"/>
                <w:szCs w:val="20"/>
              </w:rPr>
              <w:t>ment</w:t>
            </w:r>
            <w:r w:rsidRPr="0098635C">
              <w:rPr>
                <w:color w:val="000000" w:themeColor="text1"/>
                <w:sz w:val="20"/>
                <w:szCs w:val="20"/>
              </w:rPr>
              <w:t xml:space="preserve"> ; n=6)</w:t>
            </w:r>
          </w:p>
          <w:p w14:paraId="225DFDFC" w14:textId="77777777" w:rsidR="00D77FAD" w:rsidRPr="0098635C" w:rsidRDefault="00D77FAD" w:rsidP="00D77FAD">
            <w:pPr>
              <w:spacing w:after="0"/>
              <w:jc w:val="left"/>
              <w:rPr>
                <w:color w:val="000000" w:themeColor="text1"/>
                <w:sz w:val="20"/>
                <w:szCs w:val="20"/>
              </w:rPr>
            </w:pPr>
            <w:r w:rsidRPr="0098635C">
              <w:rPr>
                <w:color w:val="000000" w:themeColor="text1"/>
                <w:sz w:val="20"/>
                <w:szCs w:val="20"/>
              </w:rPr>
              <w:t>(Species mean</w:t>
            </w:r>
            <w:r w:rsidRPr="0098635C">
              <w:rPr>
                <w:color w:val="000000" w:themeColor="text1"/>
                <w:sz w:val="20"/>
                <w:szCs w:val="20"/>
                <w:vertAlign w:val="subscript"/>
              </w:rPr>
              <w:t>development</w:t>
            </w:r>
            <w:r w:rsidRPr="0098635C">
              <w:rPr>
                <w:color w:val="000000" w:themeColor="text1"/>
                <w:sz w:val="20"/>
                <w:szCs w:val="20"/>
              </w:rPr>
              <w:t>: 18.3)</w:t>
            </w:r>
          </w:p>
        </w:tc>
        <w:tc>
          <w:tcPr>
            <w:tcW w:w="3686" w:type="dxa"/>
          </w:tcPr>
          <w:p w14:paraId="0AE57E5F" w14:textId="484492E9" w:rsidR="00920C4E" w:rsidRPr="0098635C" w:rsidRDefault="00920C4E" w:rsidP="00B575F4">
            <w:pPr>
              <w:spacing w:after="0"/>
              <w:jc w:val="left"/>
              <w:rPr>
                <w:color w:val="000000" w:themeColor="text1"/>
                <w:sz w:val="20"/>
                <w:szCs w:val="20"/>
              </w:rPr>
            </w:pPr>
            <w:r w:rsidRPr="0098635C">
              <w:rPr>
                <w:color w:val="000000" w:themeColor="text1"/>
                <w:sz w:val="20"/>
                <w:szCs w:val="20"/>
              </w:rPr>
              <w:t>Brooks, 2006 (</w:t>
            </w:r>
            <w:r w:rsidR="00F03C20" w:rsidRPr="0098635C">
              <w:rPr>
                <w:color w:val="000000" w:themeColor="text1"/>
                <w:sz w:val="20"/>
                <w:szCs w:val="20"/>
              </w:rPr>
              <w:t>R</w:t>
            </w:r>
            <w:r w:rsidRPr="0098635C">
              <w:rPr>
                <w:color w:val="000000" w:themeColor="text1"/>
                <w:sz w:val="20"/>
                <w:szCs w:val="20"/>
              </w:rPr>
              <w:t>2)</w:t>
            </w:r>
          </w:p>
        </w:tc>
      </w:tr>
      <w:tr w:rsidR="00920C4E" w:rsidRPr="0098635C" w14:paraId="6B76B146" w14:textId="77777777" w:rsidTr="00920C4E">
        <w:trPr>
          <w:trHeight w:val="76"/>
        </w:trPr>
        <w:tc>
          <w:tcPr>
            <w:tcW w:w="2551" w:type="dxa"/>
          </w:tcPr>
          <w:p w14:paraId="73B0E54D" w14:textId="77777777" w:rsidR="00920C4E" w:rsidRPr="0098635C" w:rsidRDefault="00920C4E" w:rsidP="00A105C8">
            <w:pPr>
              <w:spacing w:after="0"/>
              <w:jc w:val="left"/>
              <w:rPr>
                <w:i/>
                <w:color w:val="000000" w:themeColor="text1"/>
                <w:sz w:val="20"/>
                <w:szCs w:val="20"/>
              </w:rPr>
            </w:pPr>
            <w:r w:rsidRPr="0098635C">
              <w:rPr>
                <w:i/>
                <w:color w:val="000000" w:themeColor="text1"/>
                <w:sz w:val="20"/>
                <w:szCs w:val="20"/>
              </w:rPr>
              <w:t>Paracentrotus lividus</w:t>
            </w:r>
          </w:p>
        </w:tc>
        <w:tc>
          <w:tcPr>
            <w:tcW w:w="3686" w:type="dxa"/>
          </w:tcPr>
          <w:p w14:paraId="6459ADD6" w14:textId="77777777" w:rsidR="00920C4E" w:rsidRPr="0098635C" w:rsidRDefault="00920C4E" w:rsidP="00716ABB">
            <w:pPr>
              <w:spacing w:after="0"/>
              <w:jc w:val="left"/>
              <w:rPr>
                <w:color w:val="000000" w:themeColor="text1"/>
                <w:sz w:val="20"/>
                <w:szCs w:val="20"/>
              </w:rPr>
            </w:pPr>
            <w:r w:rsidRPr="0098635C">
              <w:rPr>
                <w:color w:val="000000" w:themeColor="text1"/>
                <w:sz w:val="20"/>
                <w:szCs w:val="20"/>
              </w:rPr>
              <w:t>Min-max: 8.8 – 16.5 (embryo development</w:t>
            </w:r>
            <w:r w:rsidR="00716ABB" w:rsidRPr="0098635C">
              <w:rPr>
                <w:color w:val="000000" w:themeColor="text1"/>
                <w:sz w:val="20"/>
                <w:szCs w:val="20"/>
              </w:rPr>
              <w:t xml:space="preserve"> ; </w:t>
            </w:r>
            <w:r w:rsidRPr="0098635C">
              <w:rPr>
                <w:color w:val="000000" w:themeColor="text1"/>
                <w:sz w:val="20"/>
                <w:szCs w:val="20"/>
              </w:rPr>
              <w:t>n=2)</w:t>
            </w:r>
          </w:p>
          <w:p w14:paraId="5F6ED61D" w14:textId="77777777" w:rsidR="00D77FAD" w:rsidRPr="0098635C" w:rsidRDefault="00D77FAD" w:rsidP="00D77FAD">
            <w:pPr>
              <w:spacing w:after="0"/>
              <w:jc w:val="left"/>
              <w:rPr>
                <w:color w:val="000000" w:themeColor="text1"/>
                <w:sz w:val="20"/>
                <w:szCs w:val="20"/>
              </w:rPr>
            </w:pPr>
            <w:r w:rsidRPr="0098635C">
              <w:rPr>
                <w:color w:val="000000" w:themeColor="text1"/>
                <w:sz w:val="20"/>
                <w:szCs w:val="20"/>
              </w:rPr>
              <w:t>(Species mean</w:t>
            </w:r>
            <w:r w:rsidRPr="0098635C">
              <w:rPr>
                <w:color w:val="000000" w:themeColor="text1"/>
                <w:sz w:val="20"/>
                <w:szCs w:val="20"/>
                <w:vertAlign w:val="subscript"/>
              </w:rPr>
              <w:t>development</w:t>
            </w:r>
            <w:r w:rsidRPr="0098635C">
              <w:rPr>
                <w:color w:val="000000" w:themeColor="text1"/>
                <w:sz w:val="20"/>
                <w:szCs w:val="20"/>
              </w:rPr>
              <w:t>: 12.1)</w:t>
            </w:r>
          </w:p>
        </w:tc>
        <w:tc>
          <w:tcPr>
            <w:tcW w:w="3686" w:type="dxa"/>
          </w:tcPr>
          <w:p w14:paraId="3A18FB8A" w14:textId="09C4CB57" w:rsidR="00920C4E" w:rsidRPr="0098635C" w:rsidRDefault="00920C4E" w:rsidP="00F941F3">
            <w:pPr>
              <w:spacing w:after="0"/>
              <w:jc w:val="left"/>
              <w:rPr>
                <w:color w:val="000000" w:themeColor="text1"/>
                <w:sz w:val="20"/>
                <w:szCs w:val="20"/>
                <w:lang w:val="nl-NL"/>
              </w:rPr>
            </w:pPr>
            <w:r w:rsidRPr="0098635C">
              <w:rPr>
                <w:color w:val="000000" w:themeColor="text1"/>
                <w:sz w:val="20"/>
                <w:szCs w:val="20"/>
                <w:lang w:val="nl-NL"/>
              </w:rPr>
              <w:t>Lorenzo et al, 2006 (K2) ; Hurd, 2006</w:t>
            </w:r>
            <w:r w:rsidR="00BA146C" w:rsidRPr="0098635C">
              <w:rPr>
                <w:color w:val="000000" w:themeColor="text1"/>
                <w:sz w:val="20"/>
                <w:szCs w:val="20"/>
                <w:lang w:val="nl-NL"/>
              </w:rPr>
              <w:t>a</w:t>
            </w:r>
            <w:r w:rsidRPr="0098635C">
              <w:rPr>
                <w:color w:val="000000" w:themeColor="text1"/>
                <w:sz w:val="20"/>
                <w:szCs w:val="20"/>
                <w:lang w:val="nl-NL"/>
              </w:rPr>
              <w:t xml:space="preserve"> (</w:t>
            </w:r>
            <w:r w:rsidR="00F03C20" w:rsidRPr="0098635C">
              <w:rPr>
                <w:color w:val="000000" w:themeColor="text1"/>
                <w:sz w:val="20"/>
                <w:szCs w:val="20"/>
                <w:lang w:val="nl-NL"/>
              </w:rPr>
              <w:t>R</w:t>
            </w:r>
            <w:r w:rsidRPr="0098635C">
              <w:rPr>
                <w:color w:val="000000" w:themeColor="text1"/>
                <w:sz w:val="20"/>
                <w:szCs w:val="20"/>
                <w:lang w:val="nl-NL"/>
              </w:rPr>
              <w:t>1)</w:t>
            </w:r>
          </w:p>
        </w:tc>
      </w:tr>
      <w:tr w:rsidR="00920C4E" w:rsidRPr="0098635C" w14:paraId="2722B8C9" w14:textId="77777777" w:rsidTr="00920C4E">
        <w:trPr>
          <w:trHeight w:val="76"/>
        </w:trPr>
        <w:tc>
          <w:tcPr>
            <w:tcW w:w="2551" w:type="dxa"/>
          </w:tcPr>
          <w:p w14:paraId="437BC9F5" w14:textId="77777777" w:rsidR="00920C4E" w:rsidRPr="0098635C" w:rsidRDefault="00920C4E" w:rsidP="00537FA0">
            <w:pPr>
              <w:spacing w:after="0"/>
              <w:jc w:val="left"/>
              <w:rPr>
                <w:i/>
                <w:color w:val="000000" w:themeColor="text1"/>
                <w:sz w:val="20"/>
                <w:szCs w:val="20"/>
              </w:rPr>
            </w:pPr>
            <w:r w:rsidRPr="0098635C">
              <w:rPr>
                <w:i/>
                <w:color w:val="000000" w:themeColor="text1"/>
                <w:sz w:val="20"/>
                <w:szCs w:val="20"/>
              </w:rPr>
              <w:t>Neanthes arenaceodentata</w:t>
            </w:r>
          </w:p>
        </w:tc>
        <w:tc>
          <w:tcPr>
            <w:tcW w:w="3686" w:type="dxa"/>
          </w:tcPr>
          <w:p w14:paraId="7EFF9BD5" w14:textId="77777777" w:rsidR="00920C4E" w:rsidRPr="0098635C" w:rsidRDefault="00920C4E" w:rsidP="00716ABB">
            <w:pPr>
              <w:spacing w:after="0"/>
              <w:jc w:val="left"/>
              <w:rPr>
                <w:color w:val="000000" w:themeColor="text1"/>
                <w:sz w:val="20"/>
                <w:szCs w:val="20"/>
              </w:rPr>
            </w:pPr>
            <w:r w:rsidRPr="0098635C">
              <w:rPr>
                <w:color w:val="000000" w:themeColor="text1"/>
                <w:sz w:val="20"/>
                <w:szCs w:val="20"/>
              </w:rPr>
              <w:t>Min-max: 12.1 – 13.5 (growt</w:t>
            </w:r>
            <w:r w:rsidR="00716ABB" w:rsidRPr="0098635C">
              <w:rPr>
                <w:color w:val="000000" w:themeColor="text1"/>
                <w:sz w:val="20"/>
                <w:szCs w:val="20"/>
              </w:rPr>
              <w:t>h</w:t>
            </w:r>
            <w:r w:rsidRPr="0098635C">
              <w:rPr>
                <w:color w:val="000000" w:themeColor="text1"/>
                <w:sz w:val="20"/>
                <w:szCs w:val="20"/>
              </w:rPr>
              <w:t xml:space="preserve"> ; n=2)</w:t>
            </w:r>
          </w:p>
          <w:p w14:paraId="2F0A46CC" w14:textId="77777777" w:rsidR="00D77FAD" w:rsidRPr="0098635C" w:rsidRDefault="00D77FAD" w:rsidP="00D77FAD">
            <w:pPr>
              <w:spacing w:after="0"/>
              <w:jc w:val="left"/>
              <w:rPr>
                <w:color w:val="000000" w:themeColor="text1"/>
                <w:sz w:val="20"/>
                <w:szCs w:val="20"/>
              </w:rPr>
            </w:pPr>
            <w:r w:rsidRPr="0098635C">
              <w:rPr>
                <w:color w:val="000000" w:themeColor="text1"/>
                <w:sz w:val="20"/>
                <w:szCs w:val="20"/>
              </w:rPr>
              <w:t>(Species mean</w:t>
            </w:r>
            <w:r w:rsidRPr="0098635C">
              <w:rPr>
                <w:color w:val="000000" w:themeColor="text1"/>
                <w:sz w:val="20"/>
                <w:szCs w:val="20"/>
                <w:vertAlign w:val="subscript"/>
              </w:rPr>
              <w:t>growth</w:t>
            </w:r>
            <w:r w:rsidRPr="0098635C">
              <w:rPr>
                <w:color w:val="000000" w:themeColor="text1"/>
                <w:sz w:val="20"/>
                <w:szCs w:val="20"/>
              </w:rPr>
              <w:t>: 12.8)</w:t>
            </w:r>
          </w:p>
        </w:tc>
        <w:tc>
          <w:tcPr>
            <w:tcW w:w="3686" w:type="dxa"/>
          </w:tcPr>
          <w:p w14:paraId="384AC2DF" w14:textId="5DB98226" w:rsidR="00920C4E" w:rsidRPr="0098635C" w:rsidRDefault="00920C4E" w:rsidP="00B71266">
            <w:pPr>
              <w:spacing w:after="0"/>
              <w:jc w:val="left"/>
              <w:rPr>
                <w:color w:val="000000" w:themeColor="text1"/>
                <w:sz w:val="20"/>
                <w:szCs w:val="20"/>
              </w:rPr>
            </w:pPr>
            <w:r w:rsidRPr="0098635C">
              <w:rPr>
                <w:color w:val="000000" w:themeColor="text1"/>
                <w:sz w:val="20"/>
                <w:szCs w:val="20"/>
              </w:rPr>
              <w:t>Pesch et al, 1986 (</w:t>
            </w:r>
            <w:r w:rsidR="00B60035" w:rsidRPr="0098635C">
              <w:rPr>
                <w:color w:val="000000" w:themeColor="text1"/>
                <w:sz w:val="20"/>
                <w:szCs w:val="20"/>
              </w:rPr>
              <w:t>R2</w:t>
            </w:r>
            <w:r w:rsidRPr="0098635C">
              <w:rPr>
                <w:color w:val="000000" w:themeColor="text1"/>
                <w:sz w:val="20"/>
                <w:szCs w:val="20"/>
              </w:rPr>
              <w:t>)</w:t>
            </w:r>
          </w:p>
        </w:tc>
      </w:tr>
      <w:tr w:rsidR="00920C4E" w:rsidRPr="0098635C" w14:paraId="2DD7AFDD" w14:textId="77777777" w:rsidTr="00920C4E">
        <w:trPr>
          <w:trHeight w:val="76"/>
        </w:trPr>
        <w:tc>
          <w:tcPr>
            <w:tcW w:w="2551" w:type="dxa"/>
          </w:tcPr>
          <w:p w14:paraId="7A17AD57" w14:textId="77777777" w:rsidR="00920C4E" w:rsidRPr="0098635C" w:rsidRDefault="00920C4E" w:rsidP="00AB43AB">
            <w:pPr>
              <w:spacing w:after="0"/>
              <w:jc w:val="left"/>
              <w:rPr>
                <w:color w:val="000000" w:themeColor="text1"/>
                <w:sz w:val="20"/>
                <w:szCs w:val="20"/>
              </w:rPr>
            </w:pPr>
            <w:r w:rsidRPr="0098635C">
              <w:rPr>
                <w:i/>
                <w:color w:val="000000" w:themeColor="text1"/>
                <w:sz w:val="20"/>
                <w:szCs w:val="20"/>
              </w:rPr>
              <w:t>Protothaca staminea</w:t>
            </w:r>
          </w:p>
        </w:tc>
        <w:tc>
          <w:tcPr>
            <w:tcW w:w="3686" w:type="dxa"/>
          </w:tcPr>
          <w:p w14:paraId="7961D6E4" w14:textId="77777777" w:rsidR="00920C4E" w:rsidRPr="0098635C" w:rsidRDefault="00920C4E" w:rsidP="00716ABB">
            <w:pPr>
              <w:spacing w:after="0"/>
              <w:jc w:val="left"/>
              <w:rPr>
                <w:color w:val="000000" w:themeColor="text1"/>
                <w:sz w:val="20"/>
                <w:szCs w:val="20"/>
              </w:rPr>
            </w:pPr>
            <w:r w:rsidRPr="0098635C">
              <w:rPr>
                <w:color w:val="000000" w:themeColor="text1"/>
                <w:sz w:val="20"/>
                <w:szCs w:val="20"/>
              </w:rPr>
              <w:t>18 (mortality</w:t>
            </w:r>
            <w:r w:rsidR="00716ABB" w:rsidRPr="0098635C">
              <w:rPr>
                <w:color w:val="000000" w:themeColor="text1"/>
                <w:sz w:val="20"/>
                <w:szCs w:val="20"/>
              </w:rPr>
              <w:t xml:space="preserve"> : </w:t>
            </w:r>
            <w:r w:rsidRPr="0098635C">
              <w:rPr>
                <w:color w:val="000000" w:themeColor="text1"/>
                <w:sz w:val="20"/>
                <w:szCs w:val="20"/>
              </w:rPr>
              <w:t>n=1)</w:t>
            </w:r>
          </w:p>
        </w:tc>
        <w:tc>
          <w:tcPr>
            <w:tcW w:w="3686" w:type="dxa"/>
          </w:tcPr>
          <w:p w14:paraId="397DE56F" w14:textId="30C2D8D4" w:rsidR="00920C4E" w:rsidRPr="0098635C" w:rsidRDefault="00920C4E" w:rsidP="00AB43AB">
            <w:pPr>
              <w:spacing w:after="0"/>
              <w:jc w:val="left"/>
              <w:rPr>
                <w:color w:val="000000" w:themeColor="text1"/>
                <w:sz w:val="20"/>
                <w:szCs w:val="20"/>
              </w:rPr>
            </w:pPr>
            <w:r w:rsidRPr="0098635C">
              <w:rPr>
                <w:color w:val="000000" w:themeColor="text1"/>
                <w:sz w:val="20"/>
                <w:szCs w:val="20"/>
              </w:rPr>
              <w:t>Roesijida, 1980 (</w:t>
            </w:r>
            <w:r w:rsidR="00B60035" w:rsidRPr="0098635C">
              <w:rPr>
                <w:color w:val="000000" w:themeColor="text1"/>
                <w:sz w:val="20"/>
                <w:szCs w:val="20"/>
              </w:rPr>
              <w:t>R2</w:t>
            </w:r>
            <w:r w:rsidRPr="0098635C">
              <w:rPr>
                <w:color w:val="000000" w:themeColor="text1"/>
                <w:sz w:val="20"/>
                <w:szCs w:val="20"/>
              </w:rPr>
              <w:t>)</w:t>
            </w:r>
          </w:p>
        </w:tc>
      </w:tr>
      <w:tr w:rsidR="00920C4E" w:rsidRPr="0098635C" w14:paraId="6CF2DD45" w14:textId="77777777" w:rsidTr="00920C4E">
        <w:trPr>
          <w:trHeight w:val="76"/>
        </w:trPr>
        <w:tc>
          <w:tcPr>
            <w:tcW w:w="2551" w:type="dxa"/>
          </w:tcPr>
          <w:p w14:paraId="46827146" w14:textId="77777777" w:rsidR="00920C4E" w:rsidRPr="0098635C" w:rsidRDefault="00920C4E" w:rsidP="00AB43AB">
            <w:pPr>
              <w:spacing w:after="0"/>
              <w:jc w:val="left"/>
              <w:rPr>
                <w:color w:val="000000" w:themeColor="text1"/>
                <w:sz w:val="20"/>
                <w:szCs w:val="20"/>
              </w:rPr>
            </w:pPr>
            <w:r w:rsidRPr="0098635C">
              <w:rPr>
                <w:i/>
                <w:color w:val="000000" w:themeColor="text1"/>
                <w:sz w:val="20"/>
                <w:szCs w:val="20"/>
              </w:rPr>
              <w:t>Pandalus danae</w:t>
            </w:r>
          </w:p>
        </w:tc>
        <w:tc>
          <w:tcPr>
            <w:tcW w:w="3686" w:type="dxa"/>
          </w:tcPr>
          <w:p w14:paraId="154068EB" w14:textId="77777777" w:rsidR="00920C4E" w:rsidRPr="0098635C" w:rsidRDefault="00920C4E" w:rsidP="00716ABB">
            <w:pPr>
              <w:spacing w:after="0"/>
              <w:jc w:val="left"/>
              <w:rPr>
                <w:color w:val="000000" w:themeColor="text1"/>
                <w:sz w:val="20"/>
                <w:szCs w:val="20"/>
              </w:rPr>
            </w:pPr>
            <w:r w:rsidRPr="0098635C">
              <w:rPr>
                <w:color w:val="000000" w:themeColor="text1"/>
                <w:sz w:val="20"/>
                <w:szCs w:val="20"/>
              </w:rPr>
              <w:t>9.9 (development, mortality</w:t>
            </w:r>
            <w:r w:rsidR="00716ABB" w:rsidRPr="0098635C">
              <w:rPr>
                <w:color w:val="000000" w:themeColor="text1"/>
                <w:sz w:val="20"/>
                <w:szCs w:val="20"/>
              </w:rPr>
              <w:t xml:space="preserve"> ; </w:t>
            </w:r>
            <w:r w:rsidRPr="0098635C">
              <w:rPr>
                <w:color w:val="000000" w:themeColor="text1"/>
                <w:sz w:val="20"/>
                <w:szCs w:val="20"/>
              </w:rPr>
              <w:t>n=2)</w:t>
            </w:r>
          </w:p>
        </w:tc>
        <w:tc>
          <w:tcPr>
            <w:tcW w:w="3686" w:type="dxa"/>
          </w:tcPr>
          <w:p w14:paraId="6305B4B8" w14:textId="3E04FB82" w:rsidR="00920C4E" w:rsidRPr="0098635C" w:rsidRDefault="00920C4E" w:rsidP="00AB43AB">
            <w:pPr>
              <w:spacing w:after="0"/>
              <w:jc w:val="left"/>
              <w:rPr>
                <w:color w:val="000000" w:themeColor="text1"/>
                <w:sz w:val="20"/>
                <w:szCs w:val="20"/>
              </w:rPr>
            </w:pPr>
            <w:r w:rsidRPr="0098635C">
              <w:rPr>
                <w:color w:val="000000" w:themeColor="text1"/>
                <w:sz w:val="20"/>
                <w:szCs w:val="20"/>
              </w:rPr>
              <w:t>Young et al, 1979 (</w:t>
            </w:r>
            <w:r w:rsidR="00B60035" w:rsidRPr="0098635C">
              <w:rPr>
                <w:color w:val="000000" w:themeColor="text1"/>
                <w:sz w:val="20"/>
                <w:szCs w:val="20"/>
              </w:rPr>
              <w:t>R2</w:t>
            </w:r>
            <w:r w:rsidRPr="0098635C">
              <w:rPr>
                <w:color w:val="000000" w:themeColor="text1"/>
                <w:sz w:val="20"/>
                <w:szCs w:val="20"/>
              </w:rPr>
              <w:t>)</w:t>
            </w:r>
          </w:p>
        </w:tc>
      </w:tr>
      <w:tr w:rsidR="00920C4E" w:rsidRPr="0098635C" w14:paraId="50014057" w14:textId="77777777" w:rsidTr="00920C4E">
        <w:trPr>
          <w:trHeight w:val="76"/>
        </w:trPr>
        <w:tc>
          <w:tcPr>
            <w:tcW w:w="2551" w:type="dxa"/>
          </w:tcPr>
          <w:p w14:paraId="3C1F8585" w14:textId="77777777" w:rsidR="00920C4E" w:rsidRPr="0098635C" w:rsidRDefault="00920C4E" w:rsidP="00AB43AB">
            <w:pPr>
              <w:spacing w:after="0"/>
              <w:jc w:val="left"/>
              <w:rPr>
                <w:i/>
                <w:color w:val="000000" w:themeColor="text1"/>
                <w:sz w:val="20"/>
                <w:szCs w:val="20"/>
              </w:rPr>
            </w:pPr>
            <w:r w:rsidRPr="0098635C">
              <w:rPr>
                <w:i/>
                <w:color w:val="000000" w:themeColor="text1"/>
                <w:sz w:val="20"/>
                <w:szCs w:val="20"/>
              </w:rPr>
              <w:t>Eurytemora affinis</w:t>
            </w:r>
          </w:p>
        </w:tc>
        <w:tc>
          <w:tcPr>
            <w:tcW w:w="3686" w:type="dxa"/>
          </w:tcPr>
          <w:p w14:paraId="2052170F" w14:textId="77777777" w:rsidR="00920C4E" w:rsidRPr="0098635C" w:rsidRDefault="00920C4E" w:rsidP="00716ABB">
            <w:pPr>
              <w:spacing w:after="0"/>
              <w:jc w:val="left"/>
              <w:rPr>
                <w:color w:val="000000" w:themeColor="text1"/>
                <w:sz w:val="20"/>
                <w:szCs w:val="20"/>
              </w:rPr>
            </w:pPr>
            <w:r w:rsidRPr="0098635C">
              <w:rPr>
                <w:color w:val="000000" w:themeColor="text1"/>
                <w:sz w:val="20"/>
                <w:szCs w:val="20"/>
              </w:rPr>
              <w:t xml:space="preserve">51.1 (mortality, fecundity, maturation) </w:t>
            </w:r>
            <w:r w:rsidR="00716ABB" w:rsidRPr="0098635C">
              <w:rPr>
                <w:color w:val="000000" w:themeColor="text1"/>
                <w:sz w:val="20"/>
                <w:szCs w:val="20"/>
              </w:rPr>
              <w:t xml:space="preserve">; </w:t>
            </w:r>
            <w:r w:rsidRPr="0098635C">
              <w:rPr>
                <w:color w:val="000000" w:themeColor="text1"/>
                <w:sz w:val="20"/>
                <w:szCs w:val="20"/>
              </w:rPr>
              <w:t>n=1)</w:t>
            </w:r>
          </w:p>
        </w:tc>
        <w:tc>
          <w:tcPr>
            <w:tcW w:w="3686" w:type="dxa"/>
          </w:tcPr>
          <w:p w14:paraId="084B68D4" w14:textId="6031706F" w:rsidR="00920C4E" w:rsidRPr="0098635C" w:rsidRDefault="00920C4E" w:rsidP="00AB43AB">
            <w:pPr>
              <w:spacing w:after="0"/>
              <w:jc w:val="left"/>
              <w:rPr>
                <w:color w:val="000000" w:themeColor="text1"/>
                <w:sz w:val="20"/>
                <w:szCs w:val="20"/>
              </w:rPr>
            </w:pPr>
            <w:r w:rsidRPr="0098635C">
              <w:rPr>
                <w:color w:val="000000" w:themeColor="text1"/>
                <w:sz w:val="20"/>
                <w:szCs w:val="20"/>
              </w:rPr>
              <w:t>Hall, 1997 (</w:t>
            </w:r>
            <w:r w:rsidR="00B60035" w:rsidRPr="0098635C">
              <w:rPr>
                <w:color w:val="000000" w:themeColor="text1"/>
                <w:sz w:val="20"/>
                <w:szCs w:val="20"/>
              </w:rPr>
              <w:t>R2</w:t>
            </w:r>
            <w:r w:rsidRPr="0098635C">
              <w:rPr>
                <w:color w:val="000000" w:themeColor="text1"/>
                <w:sz w:val="20"/>
                <w:szCs w:val="20"/>
              </w:rPr>
              <w:t>)</w:t>
            </w:r>
          </w:p>
        </w:tc>
      </w:tr>
      <w:tr w:rsidR="00920C4E" w:rsidRPr="0098635C" w14:paraId="03CAF8D5" w14:textId="77777777" w:rsidTr="00920C4E">
        <w:trPr>
          <w:trHeight w:val="76"/>
        </w:trPr>
        <w:tc>
          <w:tcPr>
            <w:tcW w:w="2551" w:type="dxa"/>
          </w:tcPr>
          <w:p w14:paraId="5B0E33B4" w14:textId="77777777" w:rsidR="00920C4E" w:rsidRPr="0098635C" w:rsidRDefault="00920C4E" w:rsidP="00AB43AB">
            <w:pPr>
              <w:spacing w:after="0"/>
              <w:jc w:val="left"/>
              <w:rPr>
                <w:i/>
                <w:color w:val="000000" w:themeColor="text1"/>
                <w:sz w:val="20"/>
                <w:szCs w:val="20"/>
              </w:rPr>
            </w:pPr>
            <w:r w:rsidRPr="0098635C">
              <w:rPr>
                <w:i/>
                <w:color w:val="000000" w:themeColor="text1"/>
                <w:sz w:val="20"/>
                <w:szCs w:val="20"/>
              </w:rPr>
              <w:t>Tisbe battagliai</w:t>
            </w:r>
          </w:p>
        </w:tc>
        <w:tc>
          <w:tcPr>
            <w:tcW w:w="3686" w:type="dxa"/>
          </w:tcPr>
          <w:p w14:paraId="4AE26206" w14:textId="77777777" w:rsidR="00920C4E" w:rsidRPr="0098635C" w:rsidRDefault="00920C4E" w:rsidP="00AB43AB">
            <w:pPr>
              <w:spacing w:after="0"/>
              <w:jc w:val="left"/>
              <w:rPr>
                <w:color w:val="000000" w:themeColor="text1"/>
                <w:sz w:val="20"/>
                <w:szCs w:val="20"/>
              </w:rPr>
            </w:pPr>
            <w:r w:rsidRPr="0098635C">
              <w:rPr>
                <w:color w:val="000000" w:themeColor="text1"/>
                <w:sz w:val="20"/>
                <w:szCs w:val="20"/>
              </w:rPr>
              <w:t>18 (reprodu</w:t>
            </w:r>
            <w:r w:rsidR="00716ABB" w:rsidRPr="0098635C">
              <w:rPr>
                <w:color w:val="000000" w:themeColor="text1"/>
                <w:sz w:val="20"/>
                <w:szCs w:val="20"/>
              </w:rPr>
              <w:t xml:space="preserve">ction, development, mortality) ; </w:t>
            </w:r>
            <w:r w:rsidRPr="0098635C">
              <w:rPr>
                <w:color w:val="000000" w:themeColor="text1"/>
                <w:sz w:val="20"/>
                <w:szCs w:val="20"/>
              </w:rPr>
              <w:t>n=3)</w:t>
            </w:r>
          </w:p>
        </w:tc>
        <w:tc>
          <w:tcPr>
            <w:tcW w:w="3686" w:type="dxa"/>
          </w:tcPr>
          <w:p w14:paraId="69D74DA7" w14:textId="63B333BB" w:rsidR="00920C4E" w:rsidRPr="0098635C" w:rsidRDefault="00920C4E" w:rsidP="00AB43AB">
            <w:pPr>
              <w:spacing w:after="0"/>
              <w:jc w:val="left"/>
              <w:rPr>
                <w:color w:val="000000" w:themeColor="text1"/>
                <w:sz w:val="20"/>
                <w:szCs w:val="20"/>
              </w:rPr>
            </w:pPr>
            <w:r w:rsidRPr="0098635C">
              <w:rPr>
                <w:color w:val="000000" w:themeColor="text1"/>
                <w:sz w:val="20"/>
                <w:szCs w:val="20"/>
              </w:rPr>
              <w:t>Williams and Hayfiend, 2006 (</w:t>
            </w:r>
            <w:r w:rsidR="00B60035" w:rsidRPr="0098635C">
              <w:rPr>
                <w:color w:val="000000" w:themeColor="text1"/>
                <w:sz w:val="20"/>
                <w:szCs w:val="20"/>
              </w:rPr>
              <w:t>R1</w:t>
            </w:r>
            <w:r w:rsidRPr="0098635C">
              <w:rPr>
                <w:color w:val="000000" w:themeColor="text1"/>
                <w:sz w:val="20"/>
                <w:szCs w:val="20"/>
              </w:rPr>
              <w:t>)</w:t>
            </w:r>
          </w:p>
        </w:tc>
      </w:tr>
      <w:tr w:rsidR="00920C4E" w:rsidRPr="0098635C" w14:paraId="4A52D838" w14:textId="77777777" w:rsidTr="00920C4E">
        <w:trPr>
          <w:trHeight w:val="76"/>
        </w:trPr>
        <w:tc>
          <w:tcPr>
            <w:tcW w:w="2551" w:type="dxa"/>
          </w:tcPr>
          <w:p w14:paraId="1CB8ABD8" w14:textId="77777777" w:rsidR="00920C4E" w:rsidRPr="0098635C" w:rsidRDefault="00920C4E" w:rsidP="00AB43AB">
            <w:pPr>
              <w:spacing w:after="0"/>
              <w:jc w:val="left"/>
              <w:rPr>
                <w:i/>
                <w:color w:val="000000" w:themeColor="text1"/>
                <w:sz w:val="20"/>
                <w:szCs w:val="20"/>
              </w:rPr>
            </w:pPr>
            <w:r w:rsidRPr="0098635C">
              <w:rPr>
                <w:i/>
                <w:color w:val="000000" w:themeColor="text1"/>
                <w:sz w:val="20"/>
                <w:szCs w:val="20"/>
              </w:rPr>
              <w:t xml:space="preserve">Tisbe </w:t>
            </w:r>
            <w:r w:rsidR="00B92ED5" w:rsidRPr="0098635C">
              <w:rPr>
                <w:i/>
                <w:color w:val="000000" w:themeColor="text1"/>
                <w:sz w:val="20"/>
                <w:szCs w:val="20"/>
              </w:rPr>
              <w:t>furcate</w:t>
            </w:r>
          </w:p>
        </w:tc>
        <w:tc>
          <w:tcPr>
            <w:tcW w:w="3686" w:type="dxa"/>
          </w:tcPr>
          <w:p w14:paraId="73A5343D" w14:textId="77777777" w:rsidR="00920C4E" w:rsidRPr="0098635C" w:rsidRDefault="00920C4E" w:rsidP="00716ABB">
            <w:pPr>
              <w:spacing w:after="0"/>
              <w:jc w:val="left"/>
              <w:rPr>
                <w:color w:val="000000" w:themeColor="text1"/>
                <w:sz w:val="20"/>
                <w:szCs w:val="20"/>
              </w:rPr>
            </w:pPr>
            <w:r w:rsidRPr="0098635C">
              <w:rPr>
                <w:color w:val="000000" w:themeColor="text1"/>
                <w:sz w:val="20"/>
                <w:szCs w:val="20"/>
              </w:rPr>
              <w:t>19.1 (reproduction, survival</w:t>
            </w:r>
            <w:r w:rsidR="00716ABB" w:rsidRPr="0098635C">
              <w:rPr>
                <w:color w:val="000000" w:themeColor="text1"/>
                <w:sz w:val="20"/>
                <w:szCs w:val="20"/>
              </w:rPr>
              <w:t xml:space="preserve"> ; </w:t>
            </w:r>
            <w:r w:rsidRPr="0098635C">
              <w:rPr>
                <w:color w:val="000000" w:themeColor="text1"/>
                <w:sz w:val="20"/>
                <w:szCs w:val="20"/>
              </w:rPr>
              <w:t>n=1)</w:t>
            </w:r>
          </w:p>
        </w:tc>
        <w:tc>
          <w:tcPr>
            <w:tcW w:w="3686" w:type="dxa"/>
          </w:tcPr>
          <w:p w14:paraId="23D1FFE6" w14:textId="6CD46BDE" w:rsidR="00920C4E" w:rsidRPr="0098635C" w:rsidRDefault="00920C4E" w:rsidP="00D95E0B">
            <w:pPr>
              <w:spacing w:after="0"/>
              <w:jc w:val="left"/>
              <w:rPr>
                <w:color w:val="000000" w:themeColor="text1"/>
                <w:sz w:val="20"/>
                <w:szCs w:val="20"/>
              </w:rPr>
            </w:pPr>
            <w:r w:rsidRPr="0098635C">
              <w:rPr>
                <w:color w:val="000000" w:themeColor="text1"/>
                <w:sz w:val="20"/>
                <w:szCs w:val="20"/>
              </w:rPr>
              <w:t>Bechmann, 1994 (</w:t>
            </w:r>
            <w:r w:rsidR="00B60035" w:rsidRPr="0098635C">
              <w:rPr>
                <w:color w:val="000000" w:themeColor="text1"/>
                <w:sz w:val="20"/>
                <w:szCs w:val="20"/>
              </w:rPr>
              <w:t>R2</w:t>
            </w:r>
            <w:r w:rsidRPr="0098635C">
              <w:rPr>
                <w:color w:val="000000" w:themeColor="text1"/>
                <w:sz w:val="20"/>
                <w:szCs w:val="20"/>
              </w:rPr>
              <w:t>)</w:t>
            </w:r>
          </w:p>
        </w:tc>
      </w:tr>
      <w:tr w:rsidR="00920C4E" w:rsidRPr="0098635C" w14:paraId="2946256A" w14:textId="77777777" w:rsidTr="00920C4E">
        <w:trPr>
          <w:trHeight w:val="76"/>
        </w:trPr>
        <w:tc>
          <w:tcPr>
            <w:tcW w:w="2551" w:type="dxa"/>
          </w:tcPr>
          <w:p w14:paraId="673DC8FD" w14:textId="77777777" w:rsidR="00920C4E" w:rsidRPr="0098635C" w:rsidRDefault="00920C4E" w:rsidP="00AB43AB">
            <w:pPr>
              <w:spacing w:after="0"/>
              <w:jc w:val="left"/>
              <w:rPr>
                <w:i/>
                <w:color w:val="000000" w:themeColor="text1"/>
                <w:sz w:val="20"/>
                <w:szCs w:val="20"/>
              </w:rPr>
            </w:pPr>
            <w:r w:rsidRPr="0098635C">
              <w:rPr>
                <w:i/>
                <w:color w:val="000000" w:themeColor="text1"/>
                <w:sz w:val="20"/>
                <w:szCs w:val="20"/>
              </w:rPr>
              <w:t>Placopecten magellanicus</w:t>
            </w:r>
          </w:p>
        </w:tc>
        <w:tc>
          <w:tcPr>
            <w:tcW w:w="3686" w:type="dxa"/>
          </w:tcPr>
          <w:p w14:paraId="48547A49" w14:textId="77777777" w:rsidR="00920C4E" w:rsidRPr="0098635C" w:rsidRDefault="00920C4E" w:rsidP="00716ABB">
            <w:pPr>
              <w:spacing w:after="0"/>
              <w:jc w:val="left"/>
              <w:rPr>
                <w:color w:val="000000" w:themeColor="text1"/>
                <w:sz w:val="20"/>
                <w:szCs w:val="20"/>
              </w:rPr>
            </w:pPr>
            <w:r w:rsidRPr="0098635C">
              <w:rPr>
                <w:color w:val="000000" w:themeColor="text1"/>
                <w:sz w:val="20"/>
                <w:szCs w:val="20"/>
              </w:rPr>
              <w:t>10 (gonad development)</w:t>
            </w:r>
            <w:r w:rsidR="00716ABB" w:rsidRPr="0098635C">
              <w:rPr>
                <w:color w:val="000000" w:themeColor="text1"/>
                <w:sz w:val="20"/>
                <w:szCs w:val="20"/>
              </w:rPr>
              <w:t xml:space="preserve"> ; </w:t>
            </w:r>
            <w:r w:rsidRPr="0098635C">
              <w:rPr>
                <w:color w:val="000000" w:themeColor="text1"/>
                <w:sz w:val="20"/>
                <w:szCs w:val="20"/>
              </w:rPr>
              <w:t>n=1)</w:t>
            </w:r>
          </w:p>
        </w:tc>
        <w:tc>
          <w:tcPr>
            <w:tcW w:w="3686" w:type="dxa"/>
          </w:tcPr>
          <w:p w14:paraId="6BE41D55" w14:textId="2C3B02CF" w:rsidR="00920C4E" w:rsidRPr="0098635C" w:rsidRDefault="00920C4E" w:rsidP="00AB43AB">
            <w:pPr>
              <w:spacing w:after="0"/>
              <w:jc w:val="left"/>
              <w:rPr>
                <w:color w:val="000000" w:themeColor="text1"/>
                <w:sz w:val="20"/>
                <w:szCs w:val="20"/>
              </w:rPr>
            </w:pPr>
            <w:r w:rsidRPr="0098635C">
              <w:rPr>
                <w:color w:val="000000" w:themeColor="text1"/>
                <w:sz w:val="20"/>
                <w:szCs w:val="20"/>
              </w:rPr>
              <w:t>Gould et al, 1988 (</w:t>
            </w:r>
            <w:r w:rsidR="00B60035" w:rsidRPr="0098635C">
              <w:rPr>
                <w:color w:val="000000" w:themeColor="text1"/>
                <w:sz w:val="20"/>
                <w:szCs w:val="20"/>
              </w:rPr>
              <w:t>R2</w:t>
            </w:r>
            <w:r w:rsidRPr="0098635C">
              <w:rPr>
                <w:color w:val="000000" w:themeColor="text1"/>
                <w:sz w:val="20"/>
                <w:szCs w:val="20"/>
              </w:rPr>
              <w:t>)</w:t>
            </w:r>
          </w:p>
        </w:tc>
      </w:tr>
      <w:tr w:rsidR="00920C4E" w:rsidRPr="0098635C" w14:paraId="1763932A" w14:textId="77777777" w:rsidTr="00920C4E">
        <w:trPr>
          <w:trHeight w:val="76"/>
        </w:trPr>
        <w:tc>
          <w:tcPr>
            <w:tcW w:w="2551" w:type="dxa"/>
          </w:tcPr>
          <w:p w14:paraId="03161DC4" w14:textId="77777777" w:rsidR="00920C4E" w:rsidRPr="0098635C" w:rsidRDefault="00920C4E" w:rsidP="00AB43AB">
            <w:pPr>
              <w:spacing w:after="0"/>
              <w:jc w:val="left"/>
              <w:rPr>
                <w:i/>
                <w:color w:val="000000" w:themeColor="text1"/>
                <w:sz w:val="20"/>
                <w:szCs w:val="20"/>
              </w:rPr>
            </w:pPr>
            <w:r w:rsidRPr="0098635C">
              <w:rPr>
                <w:i/>
                <w:color w:val="000000" w:themeColor="text1"/>
                <w:sz w:val="20"/>
                <w:szCs w:val="20"/>
              </w:rPr>
              <w:t>Mercenaria mercenaria</w:t>
            </w:r>
          </w:p>
        </w:tc>
        <w:tc>
          <w:tcPr>
            <w:tcW w:w="3686" w:type="dxa"/>
          </w:tcPr>
          <w:p w14:paraId="02809BE8" w14:textId="77777777" w:rsidR="00920C4E" w:rsidRPr="0098635C" w:rsidRDefault="00920C4E" w:rsidP="00716ABB">
            <w:pPr>
              <w:spacing w:after="0"/>
              <w:jc w:val="left"/>
              <w:rPr>
                <w:color w:val="000000" w:themeColor="text1"/>
                <w:sz w:val="20"/>
                <w:szCs w:val="20"/>
              </w:rPr>
            </w:pPr>
            <w:r w:rsidRPr="0098635C">
              <w:rPr>
                <w:color w:val="000000" w:themeColor="text1"/>
                <w:sz w:val="20"/>
                <w:szCs w:val="20"/>
              </w:rPr>
              <w:t>7 (development</w:t>
            </w:r>
            <w:r w:rsidR="00716ABB" w:rsidRPr="0098635C">
              <w:rPr>
                <w:color w:val="000000" w:themeColor="text1"/>
                <w:sz w:val="20"/>
                <w:szCs w:val="20"/>
              </w:rPr>
              <w:t xml:space="preserve"> ; </w:t>
            </w:r>
            <w:r w:rsidRPr="0098635C">
              <w:rPr>
                <w:color w:val="000000" w:themeColor="text1"/>
                <w:sz w:val="20"/>
                <w:szCs w:val="20"/>
              </w:rPr>
              <w:t>n=1)</w:t>
            </w:r>
          </w:p>
        </w:tc>
        <w:tc>
          <w:tcPr>
            <w:tcW w:w="3686" w:type="dxa"/>
          </w:tcPr>
          <w:p w14:paraId="1AE9D380" w14:textId="6EE78D0C" w:rsidR="00920C4E" w:rsidRPr="0098635C" w:rsidRDefault="00920C4E" w:rsidP="00AB43AB">
            <w:pPr>
              <w:spacing w:after="0"/>
              <w:jc w:val="left"/>
              <w:rPr>
                <w:color w:val="000000" w:themeColor="text1"/>
                <w:sz w:val="20"/>
                <w:szCs w:val="20"/>
              </w:rPr>
            </w:pPr>
            <w:r w:rsidRPr="0098635C">
              <w:rPr>
                <w:color w:val="000000" w:themeColor="text1"/>
                <w:sz w:val="20"/>
                <w:szCs w:val="20"/>
              </w:rPr>
              <w:t>LaBreche et al, 2002 (</w:t>
            </w:r>
            <w:r w:rsidR="00B60035" w:rsidRPr="0098635C">
              <w:rPr>
                <w:color w:val="000000" w:themeColor="text1"/>
                <w:sz w:val="20"/>
                <w:szCs w:val="20"/>
              </w:rPr>
              <w:t>R2</w:t>
            </w:r>
            <w:r w:rsidRPr="0098635C">
              <w:rPr>
                <w:color w:val="000000" w:themeColor="text1"/>
                <w:sz w:val="20"/>
                <w:szCs w:val="20"/>
              </w:rPr>
              <w:t>)</w:t>
            </w:r>
          </w:p>
        </w:tc>
      </w:tr>
      <w:tr w:rsidR="00920C4E" w:rsidRPr="0098635C" w14:paraId="6D5DC67B" w14:textId="77777777" w:rsidTr="00920C4E">
        <w:trPr>
          <w:trHeight w:val="76"/>
        </w:trPr>
        <w:tc>
          <w:tcPr>
            <w:tcW w:w="2551" w:type="dxa"/>
          </w:tcPr>
          <w:p w14:paraId="621170E5" w14:textId="77777777" w:rsidR="00920C4E" w:rsidRPr="0098635C" w:rsidRDefault="00920C4E" w:rsidP="00AB43AB">
            <w:pPr>
              <w:spacing w:after="0"/>
              <w:jc w:val="left"/>
              <w:rPr>
                <w:i/>
                <w:color w:val="000000" w:themeColor="text1"/>
                <w:sz w:val="20"/>
                <w:szCs w:val="20"/>
              </w:rPr>
            </w:pPr>
            <w:r w:rsidRPr="0098635C">
              <w:rPr>
                <w:i/>
                <w:color w:val="000000" w:themeColor="text1"/>
                <w:sz w:val="20"/>
                <w:szCs w:val="20"/>
              </w:rPr>
              <w:t>Artemia franciscana</w:t>
            </w:r>
          </w:p>
        </w:tc>
        <w:tc>
          <w:tcPr>
            <w:tcW w:w="3686" w:type="dxa"/>
          </w:tcPr>
          <w:p w14:paraId="5224FBB3" w14:textId="77777777" w:rsidR="00920C4E" w:rsidRPr="0098635C" w:rsidRDefault="00920C4E" w:rsidP="00716ABB">
            <w:pPr>
              <w:spacing w:after="0"/>
              <w:jc w:val="left"/>
              <w:rPr>
                <w:color w:val="000000" w:themeColor="text1"/>
                <w:sz w:val="20"/>
                <w:szCs w:val="20"/>
              </w:rPr>
            </w:pPr>
            <w:r w:rsidRPr="0098635C">
              <w:rPr>
                <w:color w:val="000000" w:themeColor="text1"/>
                <w:sz w:val="20"/>
                <w:szCs w:val="20"/>
              </w:rPr>
              <w:t>6.6 (hatching success</w:t>
            </w:r>
            <w:r w:rsidR="00716ABB" w:rsidRPr="0098635C">
              <w:rPr>
                <w:color w:val="000000" w:themeColor="text1"/>
                <w:sz w:val="20"/>
                <w:szCs w:val="20"/>
              </w:rPr>
              <w:t xml:space="preserve"> ; </w:t>
            </w:r>
            <w:r w:rsidRPr="0098635C">
              <w:rPr>
                <w:color w:val="000000" w:themeColor="text1"/>
                <w:sz w:val="20"/>
                <w:szCs w:val="20"/>
              </w:rPr>
              <w:t>n=1)</w:t>
            </w:r>
          </w:p>
        </w:tc>
        <w:tc>
          <w:tcPr>
            <w:tcW w:w="3686" w:type="dxa"/>
          </w:tcPr>
          <w:p w14:paraId="6FD8DB30" w14:textId="441AFAFF" w:rsidR="00920C4E" w:rsidRPr="0098635C" w:rsidRDefault="00920C4E" w:rsidP="00AB43AB">
            <w:pPr>
              <w:spacing w:after="0"/>
              <w:jc w:val="left"/>
              <w:rPr>
                <w:color w:val="000000" w:themeColor="text1"/>
                <w:sz w:val="20"/>
                <w:szCs w:val="20"/>
              </w:rPr>
            </w:pPr>
            <w:r w:rsidRPr="0098635C">
              <w:rPr>
                <w:color w:val="000000" w:themeColor="text1"/>
                <w:sz w:val="20"/>
                <w:szCs w:val="20"/>
              </w:rPr>
              <w:t>Brix 2006 (</w:t>
            </w:r>
            <w:r w:rsidR="00B60035" w:rsidRPr="0098635C">
              <w:rPr>
                <w:color w:val="000000" w:themeColor="text1"/>
                <w:sz w:val="20"/>
                <w:szCs w:val="20"/>
              </w:rPr>
              <w:t>R2</w:t>
            </w:r>
            <w:r w:rsidRPr="0098635C">
              <w:rPr>
                <w:color w:val="000000" w:themeColor="text1"/>
                <w:sz w:val="20"/>
                <w:szCs w:val="20"/>
              </w:rPr>
              <w:t>)</w:t>
            </w:r>
          </w:p>
        </w:tc>
      </w:tr>
      <w:tr w:rsidR="00920C4E" w:rsidRPr="0098635C" w14:paraId="5F74E976" w14:textId="77777777" w:rsidTr="00920C4E">
        <w:trPr>
          <w:trHeight w:val="76"/>
        </w:trPr>
        <w:tc>
          <w:tcPr>
            <w:tcW w:w="2551" w:type="dxa"/>
          </w:tcPr>
          <w:p w14:paraId="41945B3D" w14:textId="77777777" w:rsidR="00920C4E" w:rsidRPr="0098635C" w:rsidRDefault="00920C4E" w:rsidP="00AB43AB">
            <w:pPr>
              <w:spacing w:after="0"/>
              <w:jc w:val="left"/>
              <w:rPr>
                <w:i/>
                <w:color w:val="000000" w:themeColor="text1"/>
                <w:sz w:val="20"/>
                <w:szCs w:val="20"/>
              </w:rPr>
            </w:pPr>
            <w:r w:rsidRPr="0098635C">
              <w:rPr>
                <w:i/>
                <w:color w:val="000000" w:themeColor="text1"/>
                <w:sz w:val="20"/>
                <w:szCs w:val="20"/>
              </w:rPr>
              <w:t>Acropora tenuis</w:t>
            </w:r>
          </w:p>
        </w:tc>
        <w:tc>
          <w:tcPr>
            <w:tcW w:w="3686" w:type="dxa"/>
          </w:tcPr>
          <w:p w14:paraId="737D050E" w14:textId="77777777" w:rsidR="00920C4E" w:rsidRPr="0098635C" w:rsidRDefault="00920C4E" w:rsidP="00716ABB">
            <w:pPr>
              <w:spacing w:after="0"/>
              <w:jc w:val="left"/>
              <w:rPr>
                <w:color w:val="000000" w:themeColor="text1"/>
                <w:sz w:val="20"/>
                <w:szCs w:val="20"/>
              </w:rPr>
            </w:pPr>
            <w:r w:rsidRPr="0098635C">
              <w:rPr>
                <w:color w:val="000000" w:themeColor="text1"/>
                <w:sz w:val="20"/>
                <w:szCs w:val="20"/>
              </w:rPr>
              <w:t>17.3 (larval settlement</w:t>
            </w:r>
            <w:r w:rsidR="00716ABB" w:rsidRPr="0098635C">
              <w:rPr>
                <w:color w:val="000000" w:themeColor="text1"/>
                <w:sz w:val="20"/>
                <w:szCs w:val="20"/>
              </w:rPr>
              <w:t xml:space="preserve"> ; </w:t>
            </w:r>
            <w:r w:rsidRPr="0098635C">
              <w:rPr>
                <w:color w:val="000000" w:themeColor="text1"/>
                <w:sz w:val="20"/>
                <w:szCs w:val="20"/>
              </w:rPr>
              <w:t>n=1)</w:t>
            </w:r>
          </w:p>
        </w:tc>
        <w:tc>
          <w:tcPr>
            <w:tcW w:w="3686" w:type="dxa"/>
          </w:tcPr>
          <w:p w14:paraId="1E37D862" w14:textId="5A1BE95E" w:rsidR="00920C4E" w:rsidRPr="0098635C" w:rsidRDefault="00920C4E" w:rsidP="00AB43AB">
            <w:pPr>
              <w:spacing w:after="0"/>
              <w:jc w:val="left"/>
              <w:rPr>
                <w:color w:val="000000" w:themeColor="text1"/>
                <w:sz w:val="20"/>
                <w:szCs w:val="20"/>
              </w:rPr>
            </w:pPr>
            <w:r w:rsidRPr="0098635C">
              <w:rPr>
                <w:color w:val="000000" w:themeColor="text1"/>
                <w:sz w:val="20"/>
                <w:szCs w:val="20"/>
              </w:rPr>
              <w:t>Reichelt-Brushett and Harrison, 2004 (</w:t>
            </w:r>
            <w:r w:rsidR="00B60035" w:rsidRPr="0098635C">
              <w:rPr>
                <w:color w:val="000000" w:themeColor="text1"/>
                <w:sz w:val="20"/>
                <w:szCs w:val="20"/>
              </w:rPr>
              <w:t>R2</w:t>
            </w:r>
            <w:r w:rsidRPr="0098635C">
              <w:rPr>
                <w:color w:val="000000" w:themeColor="text1"/>
                <w:sz w:val="20"/>
                <w:szCs w:val="20"/>
              </w:rPr>
              <w:t>)</w:t>
            </w:r>
          </w:p>
        </w:tc>
      </w:tr>
      <w:tr w:rsidR="00920C4E" w:rsidRPr="0098635C" w14:paraId="5801BCDF" w14:textId="77777777" w:rsidTr="00920C4E">
        <w:trPr>
          <w:trHeight w:val="76"/>
        </w:trPr>
        <w:tc>
          <w:tcPr>
            <w:tcW w:w="2551" w:type="dxa"/>
          </w:tcPr>
          <w:p w14:paraId="232D471C" w14:textId="77777777" w:rsidR="00920C4E" w:rsidRPr="0098635C" w:rsidRDefault="00920C4E" w:rsidP="00AB43AB">
            <w:pPr>
              <w:spacing w:after="0"/>
              <w:jc w:val="left"/>
              <w:rPr>
                <w:i/>
                <w:color w:val="000000" w:themeColor="text1"/>
                <w:sz w:val="20"/>
                <w:szCs w:val="20"/>
              </w:rPr>
            </w:pPr>
            <w:r w:rsidRPr="0098635C">
              <w:rPr>
                <w:i/>
                <w:color w:val="000000" w:themeColor="text1"/>
                <w:sz w:val="20"/>
                <w:szCs w:val="20"/>
              </w:rPr>
              <w:t>Goniastrea aspera</w:t>
            </w:r>
          </w:p>
        </w:tc>
        <w:tc>
          <w:tcPr>
            <w:tcW w:w="3686" w:type="dxa"/>
          </w:tcPr>
          <w:p w14:paraId="1B0DBE96" w14:textId="77777777" w:rsidR="00920C4E" w:rsidRPr="0098635C" w:rsidRDefault="00920C4E" w:rsidP="00716ABB">
            <w:pPr>
              <w:spacing w:after="0"/>
              <w:jc w:val="left"/>
              <w:rPr>
                <w:color w:val="000000" w:themeColor="text1"/>
                <w:sz w:val="20"/>
                <w:szCs w:val="20"/>
              </w:rPr>
            </w:pPr>
            <w:r w:rsidRPr="0098635C">
              <w:rPr>
                <w:color w:val="000000" w:themeColor="text1"/>
                <w:sz w:val="20"/>
                <w:szCs w:val="20"/>
              </w:rPr>
              <w:t>14.2 (motility</w:t>
            </w:r>
            <w:r w:rsidR="00716ABB" w:rsidRPr="0098635C">
              <w:rPr>
                <w:color w:val="000000" w:themeColor="text1"/>
                <w:sz w:val="20"/>
                <w:szCs w:val="20"/>
              </w:rPr>
              <w:t xml:space="preserve"> ; </w:t>
            </w:r>
            <w:r w:rsidRPr="0098635C">
              <w:rPr>
                <w:color w:val="000000" w:themeColor="text1"/>
                <w:sz w:val="20"/>
                <w:szCs w:val="20"/>
              </w:rPr>
              <w:t>n=1)</w:t>
            </w:r>
          </w:p>
        </w:tc>
        <w:tc>
          <w:tcPr>
            <w:tcW w:w="3686" w:type="dxa"/>
          </w:tcPr>
          <w:p w14:paraId="795549EB" w14:textId="7BD4A817" w:rsidR="00920C4E" w:rsidRPr="0098635C" w:rsidRDefault="00920C4E" w:rsidP="00AB43AB">
            <w:pPr>
              <w:spacing w:after="0"/>
              <w:jc w:val="left"/>
              <w:rPr>
                <w:color w:val="000000" w:themeColor="text1"/>
                <w:sz w:val="20"/>
                <w:szCs w:val="20"/>
              </w:rPr>
            </w:pPr>
            <w:r w:rsidRPr="0098635C">
              <w:rPr>
                <w:color w:val="000000" w:themeColor="text1"/>
                <w:sz w:val="20"/>
                <w:szCs w:val="20"/>
              </w:rPr>
              <w:t>Reichelt-Brushett and Harrison, 2004 (</w:t>
            </w:r>
            <w:r w:rsidR="00B60035" w:rsidRPr="0098635C">
              <w:rPr>
                <w:color w:val="000000" w:themeColor="text1"/>
                <w:sz w:val="20"/>
                <w:szCs w:val="20"/>
              </w:rPr>
              <w:t>R2</w:t>
            </w:r>
            <w:r w:rsidRPr="0098635C">
              <w:rPr>
                <w:color w:val="000000" w:themeColor="text1"/>
                <w:sz w:val="20"/>
                <w:szCs w:val="20"/>
              </w:rPr>
              <w:t>)</w:t>
            </w:r>
          </w:p>
        </w:tc>
      </w:tr>
      <w:tr w:rsidR="00920C4E" w:rsidRPr="0098635C" w14:paraId="6E4E1563" w14:textId="77777777" w:rsidTr="00920C4E">
        <w:trPr>
          <w:trHeight w:val="76"/>
        </w:trPr>
        <w:tc>
          <w:tcPr>
            <w:tcW w:w="2551" w:type="dxa"/>
          </w:tcPr>
          <w:p w14:paraId="55B7A4A1" w14:textId="77777777" w:rsidR="00920C4E" w:rsidRPr="0098635C" w:rsidRDefault="00920C4E" w:rsidP="00C57536">
            <w:pPr>
              <w:spacing w:after="0"/>
              <w:jc w:val="left"/>
              <w:rPr>
                <w:i/>
                <w:color w:val="000000" w:themeColor="text1"/>
                <w:sz w:val="20"/>
                <w:szCs w:val="20"/>
              </w:rPr>
            </w:pPr>
            <w:r w:rsidRPr="0098635C">
              <w:rPr>
                <w:i/>
                <w:color w:val="000000" w:themeColor="text1"/>
                <w:sz w:val="20"/>
                <w:szCs w:val="20"/>
              </w:rPr>
              <w:t>Lobophytum compactum</w:t>
            </w:r>
          </w:p>
        </w:tc>
        <w:tc>
          <w:tcPr>
            <w:tcW w:w="3686" w:type="dxa"/>
          </w:tcPr>
          <w:p w14:paraId="0133AABB" w14:textId="77777777" w:rsidR="00920C4E" w:rsidRPr="0098635C" w:rsidRDefault="00920C4E" w:rsidP="00716ABB">
            <w:pPr>
              <w:spacing w:after="0"/>
              <w:jc w:val="left"/>
              <w:rPr>
                <w:color w:val="000000" w:themeColor="text1"/>
                <w:sz w:val="20"/>
                <w:szCs w:val="20"/>
              </w:rPr>
            </w:pPr>
            <w:r w:rsidRPr="0098635C">
              <w:rPr>
                <w:color w:val="000000" w:themeColor="text1"/>
                <w:sz w:val="20"/>
                <w:szCs w:val="20"/>
              </w:rPr>
              <w:t>36 (fertilisation success</w:t>
            </w:r>
            <w:r w:rsidR="00716ABB" w:rsidRPr="0098635C">
              <w:rPr>
                <w:color w:val="000000" w:themeColor="text1"/>
                <w:sz w:val="20"/>
                <w:szCs w:val="20"/>
              </w:rPr>
              <w:t xml:space="preserve"> ; </w:t>
            </w:r>
            <w:r w:rsidRPr="0098635C">
              <w:rPr>
                <w:color w:val="000000" w:themeColor="text1"/>
                <w:sz w:val="20"/>
                <w:szCs w:val="20"/>
              </w:rPr>
              <w:t>n=1)</w:t>
            </w:r>
          </w:p>
        </w:tc>
        <w:tc>
          <w:tcPr>
            <w:tcW w:w="3686" w:type="dxa"/>
          </w:tcPr>
          <w:p w14:paraId="36296D2D" w14:textId="28417E9B" w:rsidR="00920C4E" w:rsidRPr="0098635C" w:rsidRDefault="00920C4E" w:rsidP="00C57536">
            <w:pPr>
              <w:spacing w:after="0"/>
              <w:jc w:val="left"/>
              <w:rPr>
                <w:color w:val="000000" w:themeColor="text1"/>
                <w:sz w:val="20"/>
                <w:szCs w:val="20"/>
              </w:rPr>
            </w:pPr>
            <w:r w:rsidRPr="0098635C">
              <w:rPr>
                <w:color w:val="000000" w:themeColor="text1"/>
                <w:sz w:val="20"/>
                <w:szCs w:val="20"/>
              </w:rPr>
              <w:t>Reichelt-Brushett and Harrison, 2004 (</w:t>
            </w:r>
            <w:r w:rsidR="00B60035" w:rsidRPr="0098635C">
              <w:rPr>
                <w:color w:val="000000" w:themeColor="text1"/>
                <w:sz w:val="20"/>
                <w:szCs w:val="20"/>
              </w:rPr>
              <w:t>R2</w:t>
            </w:r>
            <w:r w:rsidRPr="0098635C">
              <w:rPr>
                <w:color w:val="000000" w:themeColor="text1"/>
                <w:sz w:val="20"/>
                <w:szCs w:val="20"/>
              </w:rPr>
              <w:t>)</w:t>
            </w:r>
          </w:p>
        </w:tc>
      </w:tr>
    </w:tbl>
    <w:p w14:paraId="44976B8E" w14:textId="77777777" w:rsidR="00AD5218" w:rsidRPr="0098635C" w:rsidRDefault="00AD5218" w:rsidP="00AD5218">
      <w:pPr>
        <w:pStyle w:val="BodyText"/>
        <w:rPr>
          <w:color w:val="000000" w:themeColor="text1"/>
          <w:sz w:val="20"/>
        </w:rPr>
      </w:pPr>
      <w:r w:rsidRPr="0098635C">
        <w:rPr>
          <w:color w:val="000000" w:themeColor="text1"/>
          <w:sz w:val="20"/>
          <w:vertAlign w:val="superscript"/>
        </w:rPr>
        <w:t>1</w:t>
      </w:r>
      <w:r w:rsidRPr="0098635C">
        <w:rPr>
          <w:color w:val="000000" w:themeColor="text1"/>
          <w:sz w:val="20"/>
        </w:rPr>
        <w:t>: Species mean :  most sensitive endpoint-specific geometric mean value for the species</w:t>
      </w:r>
    </w:p>
    <w:p w14:paraId="0005F258" w14:textId="273175C6" w:rsidR="00665028" w:rsidRPr="0098635C" w:rsidRDefault="00665028" w:rsidP="00665028">
      <w:pPr>
        <w:pStyle w:val="Caption"/>
        <w:ind w:left="0"/>
        <w:rPr>
          <w:color w:val="000000" w:themeColor="text1"/>
          <w:sz w:val="20"/>
        </w:rPr>
      </w:pPr>
      <w:bookmarkStart w:id="2001" w:name="_Ref259945213"/>
      <w:r w:rsidRPr="0098635C">
        <w:rPr>
          <w:color w:val="000000" w:themeColor="text1"/>
          <w:sz w:val="20"/>
        </w:rPr>
        <w:t xml:space="preserve">Table </w:t>
      </w:r>
      <w:r w:rsidR="00E230FB" w:rsidRPr="0098635C">
        <w:rPr>
          <w:color w:val="000000" w:themeColor="text1"/>
          <w:sz w:val="20"/>
        </w:rPr>
        <w:fldChar w:fldCharType="begin"/>
      </w:r>
      <w:r w:rsidRPr="0098635C">
        <w:rPr>
          <w:color w:val="000000" w:themeColor="text1"/>
          <w:sz w:val="20"/>
        </w:rPr>
        <w:instrText xml:space="preserve"> SEQ Table \* ARABIC </w:instrText>
      </w:r>
      <w:r w:rsidR="00E230FB" w:rsidRPr="0098635C">
        <w:rPr>
          <w:color w:val="000000" w:themeColor="text1"/>
          <w:sz w:val="20"/>
        </w:rPr>
        <w:fldChar w:fldCharType="separate"/>
      </w:r>
      <w:r w:rsidR="005E5161" w:rsidRPr="0098635C">
        <w:rPr>
          <w:noProof/>
          <w:color w:val="000000" w:themeColor="text1"/>
          <w:sz w:val="20"/>
        </w:rPr>
        <w:t>33</w:t>
      </w:r>
      <w:r w:rsidR="00E230FB" w:rsidRPr="0098635C">
        <w:rPr>
          <w:color w:val="000000" w:themeColor="text1"/>
          <w:sz w:val="20"/>
        </w:rPr>
        <w:fldChar w:fldCharType="end"/>
      </w:r>
      <w:bookmarkEnd w:id="2001"/>
      <w:r w:rsidRPr="0098635C">
        <w:rPr>
          <w:color w:val="000000" w:themeColor="text1"/>
          <w:sz w:val="20"/>
        </w:rPr>
        <w:t>: Summary of reliable chronic Cu toxicity data for marine algae and higher plants; reported values represent measured concentration levels.</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3686"/>
        <w:gridCol w:w="3686"/>
      </w:tblGrid>
      <w:tr w:rsidR="00AD5218" w:rsidRPr="0098635C" w14:paraId="2F7C2164" w14:textId="77777777" w:rsidTr="00205C5E">
        <w:trPr>
          <w:trHeight w:val="650"/>
          <w:tblHeader/>
        </w:trPr>
        <w:tc>
          <w:tcPr>
            <w:tcW w:w="2551" w:type="dxa"/>
            <w:vAlign w:val="center"/>
          </w:tcPr>
          <w:p w14:paraId="7F2EBF94" w14:textId="77777777" w:rsidR="00AD5218" w:rsidRPr="0098635C" w:rsidRDefault="00AD5218" w:rsidP="003364AD">
            <w:pPr>
              <w:jc w:val="left"/>
              <w:rPr>
                <w:b/>
                <w:color w:val="000000" w:themeColor="text1"/>
                <w:sz w:val="20"/>
                <w:szCs w:val="20"/>
              </w:rPr>
            </w:pPr>
            <w:r w:rsidRPr="0098635C">
              <w:rPr>
                <w:b/>
                <w:bCs/>
                <w:color w:val="000000" w:themeColor="text1"/>
                <w:sz w:val="20"/>
                <w:szCs w:val="20"/>
              </w:rPr>
              <w:t>Species</w:t>
            </w:r>
          </w:p>
        </w:tc>
        <w:tc>
          <w:tcPr>
            <w:tcW w:w="3686" w:type="dxa"/>
            <w:vAlign w:val="center"/>
          </w:tcPr>
          <w:p w14:paraId="3F789803" w14:textId="77777777" w:rsidR="00AD5218" w:rsidRPr="0098635C" w:rsidRDefault="00AD5218" w:rsidP="003364AD">
            <w:pPr>
              <w:jc w:val="left"/>
              <w:rPr>
                <w:b/>
                <w:color w:val="000000" w:themeColor="text1"/>
                <w:sz w:val="20"/>
                <w:szCs w:val="20"/>
              </w:rPr>
            </w:pPr>
            <w:r w:rsidRPr="0098635C">
              <w:rPr>
                <w:b/>
                <w:color w:val="000000" w:themeColor="text1"/>
                <w:sz w:val="20"/>
                <w:szCs w:val="20"/>
              </w:rPr>
              <w:t>Min-max range of individual values</w:t>
            </w:r>
            <w:r w:rsidR="00FC0B81" w:rsidRPr="0098635C">
              <w:rPr>
                <w:b/>
                <w:color w:val="000000" w:themeColor="text1"/>
                <w:sz w:val="20"/>
                <w:szCs w:val="20"/>
              </w:rPr>
              <w:t xml:space="preserve"> (µg Cu/L)</w:t>
            </w:r>
            <w:r w:rsidRPr="0098635C">
              <w:rPr>
                <w:b/>
                <w:color w:val="000000" w:themeColor="text1"/>
                <w:sz w:val="20"/>
                <w:szCs w:val="20"/>
              </w:rPr>
              <w:t>, species mean</w:t>
            </w:r>
            <w:r w:rsidRPr="0098635C">
              <w:rPr>
                <w:b/>
                <w:color w:val="000000" w:themeColor="text1"/>
                <w:sz w:val="20"/>
                <w:szCs w:val="20"/>
                <w:vertAlign w:val="superscript"/>
              </w:rPr>
              <w:t>1</w:t>
            </w:r>
            <w:r w:rsidRPr="0098635C">
              <w:rPr>
                <w:b/>
                <w:color w:val="000000" w:themeColor="text1"/>
                <w:sz w:val="20"/>
                <w:szCs w:val="20"/>
                <w:vertAlign w:val="subscript"/>
              </w:rPr>
              <w:t xml:space="preserve"> </w:t>
            </w:r>
            <w:r w:rsidRPr="0098635C">
              <w:rPr>
                <w:b/>
                <w:color w:val="000000" w:themeColor="text1"/>
                <w:sz w:val="20"/>
                <w:szCs w:val="20"/>
              </w:rPr>
              <w:t>and number of data points</w:t>
            </w:r>
          </w:p>
        </w:tc>
        <w:tc>
          <w:tcPr>
            <w:tcW w:w="3686" w:type="dxa"/>
          </w:tcPr>
          <w:p w14:paraId="106C8D79" w14:textId="73A2CAB6" w:rsidR="00AD5218" w:rsidRPr="0098635C" w:rsidRDefault="00AD5218" w:rsidP="00484E4D">
            <w:pPr>
              <w:jc w:val="left"/>
              <w:rPr>
                <w:b/>
                <w:color w:val="000000" w:themeColor="text1"/>
                <w:sz w:val="20"/>
                <w:szCs w:val="20"/>
              </w:rPr>
            </w:pPr>
            <w:r w:rsidRPr="0098635C">
              <w:rPr>
                <w:b/>
                <w:color w:val="000000" w:themeColor="text1"/>
                <w:sz w:val="20"/>
                <w:szCs w:val="20"/>
              </w:rPr>
              <w:t xml:space="preserve">References &amp; </w:t>
            </w:r>
            <w:r w:rsidR="00484E4D" w:rsidRPr="0098635C">
              <w:rPr>
                <w:b/>
                <w:color w:val="000000" w:themeColor="text1"/>
                <w:sz w:val="20"/>
                <w:szCs w:val="20"/>
              </w:rPr>
              <w:t>Reliability</w:t>
            </w:r>
            <w:r w:rsidRPr="0098635C">
              <w:rPr>
                <w:b/>
                <w:color w:val="000000" w:themeColor="text1"/>
                <w:sz w:val="20"/>
                <w:szCs w:val="20"/>
              </w:rPr>
              <w:t xml:space="preserve"> scoring</w:t>
            </w:r>
          </w:p>
        </w:tc>
      </w:tr>
      <w:tr w:rsidR="00205C5E" w:rsidRPr="0098635C" w14:paraId="7950F518" w14:textId="77777777" w:rsidTr="00205C5E">
        <w:trPr>
          <w:trHeight w:val="76"/>
        </w:trPr>
        <w:tc>
          <w:tcPr>
            <w:tcW w:w="2551" w:type="dxa"/>
          </w:tcPr>
          <w:p w14:paraId="4819C947" w14:textId="77777777" w:rsidR="00205C5E" w:rsidRPr="0098635C" w:rsidRDefault="00205C5E" w:rsidP="003364AD">
            <w:pPr>
              <w:spacing w:after="0"/>
              <w:jc w:val="left"/>
              <w:rPr>
                <w:color w:val="000000" w:themeColor="text1"/>
                <w:sz w:val="20"/>
                <w:szCs w:val="20"/>
              </w:rPr>
            </w:pPr>
            <w:r w:rsidRPr="0098635C">
              <w:rPr>
                <w:i/>
                <w:color w:val="000000" w:themeColor="text1"/>
                <w:sz w:val="20"/>
                <w:szCs w:val="20"/>
              </w:rPr>
              <w:t>Macrocystis pyrifera</w:t>
            </w:r>
          </w:p>
        </w:tc>
        <w:tc>
          <w:tcPr>
            <w:tcW w:w="3686" w:type="dxa"/>
          </w:tcPr>
          <w:p w14:paraId="204B7B5E" w14:textId="77777777" w:rsidR="00205C5E" w:rsidRPr="0098635C" w:rsidRDefault="00205C5E" w:rsidP="00B00F3A">
            <w:pPr>
              <w:spacing w:after="0"/>
              <w:jc w:val="left"/>
              <w:rPr>
                <w:color w:val="000000" w:themeColor="text1"/>
                <w:sz w:val="20"/>
                <w:szCs w:val="20"/>
              </w:rPr>
            </w:pPr>
            <w:r w:rsidRPr="0098635C">
              <w:rPr>
                <w:color w:val="000000" w:themeColor="text1"/>
                <w:sz w:val="20"/>
                <w:szCs w:val="20"/>
              </w:rPr>
              <w:t>Min-max: 10.2  – (50.1) (sporophyte growth, germ tube growth, germination</w:t>
            </w:r>
            <w:r w:rsidR="00B00F3A" w:rsidRPr="0098635C">
              <w:rPr>
                <w:color w:val="000000" w:themeColor="text1"/>
                <w:sz w:val="20"/>
                <w:szCs w:val="20"/>
              </w:rPr>
              <w:t xml:space="preserve"> ; n</w:t>
            </w:r>
            <w:r w:rsidRPr="0098635C">
              <w:rPr>
                <w:color w:val="000000" w:themeColor="text1"/>
                <w:sz w:val="20"/>
                <w:szCs w:val="20"/>
              </w:rPr>
              <w:t>=3)</w:t>
            </w:r>
          </w:p>
          <w:p w14:paraId="0AC87F12" w14:textId="77777777" w:rsidR="004A50B1" w:rsidRPr="0098635C" w:rsidRDefault="004A50B1" w:rsidP="00B00F3A">
            <w:pPr>
              <w:spacing w:after="0"/>
              <w:jc w:val="left"/>
              <w:rPr>
                <w:color w:val="000000" w:themeColor="text1"/>
                <w:sz w:val="20"/>
                <w:szCs w:val="20"/>
              </w:rPr>
            </w:pPr>
            <w:r w:rsidRPr="0098635C">
              <w:rPr>
                <w:color w:val="000000" w:themeColor="text1"/>
                <w:sz w:val="20"/>
                <w:szCs w:val="20"/>
              </w:rPr>
              <w:t>(Species mean</w:t>
            </w:r>
            <w:r w:rsidRPr="0098635C">
              <w:rPr>
                <w:color w:val="000000" w:themeColor="text1"/>
                <w:sz w:val="20"/>
                <w:szCs w:val="20"/>
                <w:vertAlign w:val="subscript"/>
              </w:rPr>
              <w:t>growth:</w:t>
            </w:r>
            <w:r w:rsidRPr="0098635C">
              <w:rPr>
                <w:color w:val="000000" w:themeColor="text1"/>
                <w:sz w:val="20"/>
                <w:szCs w:val="20"/>
              </w:rPr>
              <w:t xml:space="preserve"> 10.2) </w:t>
            </w:r>
          </w:p>
        </w:tc>
        <w:tc>
          <w:tcPr>
            <w:tcW w:w="3686" w:type="dxa"/>
          </w:tcPr>
          <w:p w14:paraId="48BF98AD" w14:textId="4747901E" w:rsidR="00205C5E" w:rsidRPr="0098635C" w:rsidRDefault="00205C5E" w:rsidP="007703AF">
            <w:pPr>
              <w:spacing w:after="0"/>
              <w:jc w:val="left"/>
              <w:rPr>
                <w:color w:val="000000" w:themeColor="text1"/>
                <w:sz w:val="20"/>
                <w:szCs w:val="20"/>
              </w:rPr>
            </w:pPr>
            <w:r w:rsidRPr="0098635C">
              <w:rPr>
                <w:color w:val="000000" w:themeColor="text1"/>
                <w:sz w:val="20"/>
                <w:szCs w:val="20"/>
              </w:rPr>
              <w:t>Anderson et al, 1990 (</w:t>
            </w:r>
            <w:r w:rsidR="00B60035" w:rsidRPr="0098635C">
              <w:rPr>
                <w:color w:val="000000" w:themeColor="text1"/>
                <w:sz w:val="20"/>
                <w:szCs w:val="20"/>
              </w:rPr>
              <w:t>R2</w:t>
            </w:r>
            <w:r w:rsidRPr="0098635C">
              <w:rPr>
                <w:color w:val="000000" w:themeColor="text1"/>
                <w:sz w:val="20"/>
                <w:szCs w:val="20"/>
              </w:rPr>
              <w:t>)</w:t>
            </w:r>
          </w:p>
        </w:tc>
      </w:tr>
      <w:tr w:rsidR="00205C5E" w:rsidRPr="0098635C" w14:paraId="47782A53" w14:textId="77777777" w:rsidTr="00205C5E">
        <w:trPr>
          <w:trHeight w:val="76"/>
        </w:trPr>
        <w:tc>
          <w:tcPr>
            <w:tcW w:w="2551" w:type="dxa"/>
          </w:tcPr>
          <w:p w14:paraId="31D7882A" w14:textId="77777777" w:rsidR="00205C5E" w:rsidRPr="0098635C" w:rsidRDefault="00205C5E" w:rsidP="00CA2E35">
            <w:pPr>
              <w:spacing w:after="0"/>
              <w:jc w:val="left"/>
              <w:rPr>
                <w:color w:val="000000" w:themeColor="text1"/>
                <w:sz w:val="20"/>
                <w:szCs w:val="20"/>
              </w:rPr>
            </w:pPr>
            <w:r w:rsidRPr="0098635C">
              <w:rPr>
                <w:i/>
                <w:color w:val="000000" w:themeColor="text1"/>
                <w:sz w:val="20"/>
                <w:szCs w:val="20"/>
              </w:rPr>
              <w:t>Fucus vesiculosis</w:t>
            </w:r>
          </w:p>
        </w:tc>
        <w:tc>
          <w:tcPr>
            <w:tcW w:w="3686" w:type="dxa"/>
          </w:tcPr>
          <w:p w14:paraId="348F8335" w14:textId="77777777" w:rsidR="00205C5E" w:rsidRPr="0098635C" w:rsidRDefault="00205C5E" w:rsidP="00B00F3A">
            <w:pPr>
              <w:spacing w:after="0"/>
              <w:jc w:val="left"/>
              <w:rPr>
                <w:color w:val="000000" w:themeColor="text1"/>
                <w:sz w:val="20"/>
                <w:szCs w:val="20"/>
              </w:rPr>
            </w:pPr>
            <w:r w:rsidRPr="0098635C">
              <w:rPr>
                <w:color w:val="000000" w:themeColor="text1"/>
                <w:sz w:val="20"/>
                <w:szCs w:val="20"/>
              </w:rPr>
              <w:t>Min-max: 11  – 46 (</w:t>
            </w:r>
            <w:r w:rsidR="00B00F3A" w:rsidRPr="0098635C">
              <w:rPr>
                <w:color w:val="000000" w:themeColor="text1"/>
                <w:sz w:val="20"/>
                <w:szCs w:val="20"/>
              </w:rPr>
              <w:t>growth</w:t>
            </w:r>
            <w:r w:rsidRPr="0098635C">
              <w:rPr>
                <w:color w:val="000000" w:themeColor="text1"/>
                <w:sz w:val="20"/>
                <w:szCs w:val="20"/>
              </w:rPr>
              <w:t xml:space="preserve"> ; n=4)</w:t>
            </w:r>
          </w:p>
          <w:p w14:paraId="00A95AD4" w14:textId="77777777" w:rsidR="004A50B1" w:rsidRPr="0098635C" w:rsidRDefault="004A50B1" w:rsidP="004A50B1">
            <w:pPr>
              <w:spacing w:after="0"/>
              <w:jc w:val="left"/>
              <w:rPr>
                <w:color w:val="000000" w:themeColor="text1"/>
                <w:sz w:val="20"/>
                <w:szCs w:val="20"/>
              </w:rPr>
            </w:pPr>
            <w:r w:rsidRPr="0098635C">
              <w:rPr>
                <w:color w:val="000000" w:themeColor="text1"/>
                <w:sz w:val="20"/>
                <w:szCs w:val="20"/>
              </w:rPr>
              <w:t>(Species mean</w:t>
            </w:r>
            <w:r w:rsidRPr="0098635C">
              <w:rPr>
                <w:color w:val="000000" w:themeColor="text1"/>
                <w:sz w:val="20"/>
                <w:szCs w:val="20"/>
                <w:vertAlign w:val="subscript"/>
              </w:rPr>
              <w:t>growth:</w:t>
            </w:r>
            <w:r w:rsidRPr="0098635C">
              <w:rPr>
                <w:color w:val="000000" w:themeColor="text1"/>
                <w:sz w:val="20"/>
                <w:szCs w:val="20"/>
              </w:rPr>
              <w:t xml:space="preserve"> 11</w:t>
            </w:r>
            <w:r w:rsidRPr="0098635C">
              <w:rPr>
                <w:color w:val="000000" w:themeColor="text1"/>
                <w:sz w:val="20"/>
                <w:szCs w:val="20"/>
                <w:vertAlign w:val="superscript"/>
              </w:rPr>
              <w:t>2</w:t>
            </w:r>
            <w:r w:rsidRPr="0098635C">
              <w:rPr>
                <w:color w:val="000000" w:themeColor="text1"/>
                <w:sz w:val="20"/>
                <w:szCs w:val="20"/>
              </w:rPr>
              <w:t>)</w:t>
            </w:r>
          </w:p>
        </w:tc>
        <w:tc>
          <w:tcPr>
            <w:tcW w:w="3686" w:type="dxa"/>
          </w:tcPr>
          <w:p w14:paraId="7C0E30EF" w14:textId="1F70AD3C" w:rsidR="00205C5E" w:rsidRPr="0098635C" w:rsidRDefault="00205C5E" w:rsidP="00CA2E35">
            <w:pPr>
              <w:spacing w:after="0"/>
              <w:jc w:val="left"/>
              <w:rPr>
                <w:color w:val="000000" w:themeColor="text1"/>
                <w:sz w:val="20"/>
                <w:szCs w:val="20"/>
              </w:rPr>
            </w:pPr>
            <w:r w:rsidRPr="0098635C">
              <w:rPr>
                <w:color w:val="000000" w:themeColor="text1"/>
                <w:sz w:val="20"/>
                <w:szCs w:val="20"/>
              </w:rPr>
              <w:t>Brooks, 2006 (</w:t>
            </w:r>
            <w:r w:rsidR="00B60035" w:rsidRPr="0098635C">
              <w:rPr>
                <w:color w:val="000000" w:themeColor="text1"/>
                <w:sz w:val="20"/>
                <w:szCs w:val="20"/>
              </w:rPr>
              <w:t>R2</w:t>
            </w:r>
            <w:r w:rsidRPr="0098635C">
              <w:rPr>
                <w:color w:val="000000" w:themeColor="text1"/>
                <w:sz w:val="20"/>
                <w:szCs w:val="20"/>
              </w:rPr>
              <w:t>)</w:t>
            </w:r>
          </w:p>
        </w:tc>
      </w:tr>
      <w:tr w:rsidR="00205C5E" w:rsidRPr="0098635C" w14:paraId="1CEBAAA9" w14:textId="77777777" w:rsidTr="00205C5E">
        <w:trPr>
          <w:trHeight w:val="76"/>
        </w:trPr>
        <w:tc>
          <w:tcPr>
            <w:tcW w:w="2551" w:type="dxa"/>
          </w:tcPr>
          <w:p w14:paraId="67FC8DF0" w14:textId="77777777" w:rsidR="00205C5E" w:rsidRPr="0098635C" w:rsidRDefault="00205C5E" w:rsidP="003364AD">
            <w:pPr>
              <w:spacing w:after="0"/>
              <w:jc w:val="left"/>
              <w:rPr>
                <w:color w:val="000000" w:themeColor="text1"/>
                <w:sz w:val="20"/>
                <w:szCs w:val="20"/>
              </w:rPr>
            </w:pPr>
            <w:r w:rsidRPr="0098635C">
              <w:rPr>
                <w:i/>
                <w:color w:val="000000" w:themeColor="text1"/>
                <w:sz w:val="20"/>
                <w:szCs w:val="20"/>
              </w:rPr>
              <w:t>Phaeodactylum tricornutum</w:t>
            </w:r>
          </w:p>
        </w:tc>
        <w:tc>
          <w:tcPr>
            <w:tcW w:w="3686" w:type="dxa"/>
          </w:tcPr>
          <w:p w14:paraId="5EDE1D95" w14:textId="77777777" w:rsidR="00205C5E" w:rsidRPr="0098635C" w:rsidRDefault="00205C5E" w:rsidP="00B00F3A">
            <w:pPr>
              <w:spacing w:after="0"/>
              <w:jc w:val="left"/>
              <w:rPr>
                <w:color w:val="000000" w:themeColor="text1"/>
                <w:sz w:val="20"/>
                <w:szCs w:val="20"/>
              </w:rPr>
            </w:pPr>
            <w:r w:rsidRPr="0098635C">
              <w:rPr>
                <w:color w:val="000000" w:themeColor="text1"/>
                <w:sz w:val="20"/>
                <w:szCs w:val="20"/>
              </w:rPr>
              <w:t>Min-max: 2.9  – 5.7 (growth rate</w:t>
            </w:r>
            <w:r w:rsidR="00B00F3A" w:rsidRPr="0098635C">
              <w:rPr>
                <w:color w:val="000000" w:themeColor="text1"/>
                <w:sz w:val="20"/>
                <w:szCs w:val="20"/>
              </w:rPr>
              <w:t xml:space="preserve"> ; </w:t>
            </w:r>
            <w:r w:rsidRPr="0098635C">
              <w:rPr>
                <w:color w:val="000000" w:themeColor="text1"/>
                <w:sz w:val="20"/>
                <w:szCs w:val="20"/>
              </w:rPr>
              <w:t>n=2)</w:t>
            </w:r>
          </w:p>
          <w:p w14:paraId="0A21BE77" w14:textId="77777777" w:rsidR="00D77D8B" w:rsidRPr="0098635C" w:rsidRDefault="00D77D8B" w:rsidP="00D77D8B">
            <w:pPr>
              <w:spacing w:after="0"/>
              <w:jc w:val="left"/>
              <w:rPr>
                <w:color w:val="000000" w:themeColor="text1"/>
                <w:sz w:val="20"/>
                <w:szCs w:val="20"/>
              </w:rPr>
            </w:pPr>
            <w:r w:rsidRPr="0098635C">
              <w:rPr>
                <w:color w:val="000000" w:themeColor="text1"/>
                <w:sz w:val="20"/>
                <w:szCs w:val="20"/>
              </w:rPr>
              <w:t>(Species mean</w:t>
            </w:r>
            <w:r w:rsidRPr="0098635C">
              <w:rPr>
                <w:color w:val="000000" w:themeColor="text1"/>
                <w:sz w:val="20"/>
                <w:szCs w:val="20"/>
                <w:vertAlign w:val="subscript"/>
              </w:rPr>
              <w:t>growth</w:t>
            </w:r>
            <w:r w:rsidRPr="0098635C">
              <w:rPr>
                <w:color w:val="000000" w:themeColor="text1"/>
                <w:sz w:val="20"/>
                <w:szCs w:val="20"/>
              </w:rPr>
              <w:t>: 4.07)</w:t>
            </w:r>
          </w:p>
        </w:tc>
        <w:tc>
          <w:tcPr>
            <w:tcW w:w="3686" w:type="dxa"/>
          </w:tcPr>
          <w:p w14:paraId="4B948CD5" w14:textId="206063B6" w:rsidR="00205C5E" w:rsidRPr="0098635C" w:rsidRDefault="00205C5E" w:rsidP="00B60035">
            <w:pPr>
              <w:spacing w:after="0"/>
              <w:jc w:val="left"/>
              <w:rPr>
                <w:color w:val="000000" w:themeColor="text1"/>
                <w:sz w:val="20"/>
                <w:szCs w:val="20"/>
              </w:rPr>
            </w:pPr>
            <w:r w:rsidRPr="0098635C">
              <w:rPr>
                <w:color w:val="000000" w:themeColor="text1"/>
                <w:sz w:val="20"/>
                <w:szCs w:val="20"/>
              </w:rPr>
              <w:t>Simpson et al, 2003 (</w:t>
            </w:r>
            <w:r w:rsidR="00B60035" w:rsidRPr="0098635C">
              <w:rPr>
                <w:color w:val="000000" w:themeColor="text1"/>
                <w:sz w:val="20"/>
                <w:szCs w:val="20"/>
              </w:rPr>
              <w:t>R2</w:t>
            </w:r>
            <w:r w:rsidRPr="0098635C">
              <w:rPr>
                <w:color w:val="000000" w:themeColor="text1"/>
                <w:sz w:val="20"/>
                <w:szCs w:val="20"/>
              </w:rPr>
              <w:t>) ; Smyth and Kent, 2006 (</w:t>
            </w:r>
            <w:r w:rsidR="00B60035" w:rsidRPr="0098635C">
              <w:rPr>
                <w:color w:val="000000" w:themeColor="text1"/>
                <w:sz w:val="20"/>
                <w:szCs w:val="20"/>
              </w:rPr>
              <w:t>R1</w:t>
            </w:r>
            <w:r w:rsidRPr="0098635C">
              <w:rPr>
                <w:color w:val="000000" w:themeColor="text1"/>
                <w:sz w:val="20"/>
                <w:szCs w:val="20"/>
              </w:rPr>
              <w:t>)</w:t>
            </w:r>
          </w:p>
        </w:tc>
      </w:tr>
      <w:tr w:rsidR="00205C5E" w:rsidRPr="0098635C" w14:paraId="50BA75E9" w14:textId="77777777" w:rsidTr="00205C5E">
        <w:trPr>
          <w:trHeight w:val="76"/>
        </w:trPr>
        <w:tc>
          <w:tcPr>
            <w:tcW w:w="2551" w:type="dxa"/>
          </w:tcPr>
          <w:p w14:paraId="17FEE2B9" w14:textId="77777777" w:rsidR="00205C5E" w:rsidRPr="0098635C" w:rsidRDefault="00205C5E" w:rsidP="003364AD">
            <w:pPr>
              <w:spacing w:after="0"/>
              <w:jc w:val="left"/>
              <w:rPr>
                <w:color w:val="000000" w:themeColor="text1"/>
                <w:sz w:val="20"/>
                <w:szCs w:val="20"/>
              </w:rPr>
            </w:pPr>
            <w:r w:rsidRPr="0098635C">
              <w:rPr>
                <w:i/>
                <w:color w:val="000000" w:themeColor="text1"/>
                <w:sz w:val="20"/>
                <w:szCs w:val="20"/>
              </w:rPr>
              <w:lastRenderedPageBreak/>
              <w:t>Skeletonema costatum</w:t>
            </w:r>
          </w:p>
        </w:tc>
        <w:tc>
          <w:tcPr>
            <w:tcW w:w="3686" w:type="dxa"/>
          </w:tcPr>
          <w:p w14:paraId="284C9811" w14:textId="77777777" w:rsidR="00205C5E" w:rsidRPr="0098635C" w:rsidRDefault="00205C5E" w:rsidP="00B00F3A">
            <w:pPr>
              <w:spacing w:after="0"/>
              <w:jc w:val="left"/>
              <w:rPr>
                <w:color w:val="000000" w:themeColor="text1"/>
                <w:sz w:val="20"/>
                <w:szCs w:val="20"/>
              </w:rPr>
            </w:pPr>
            <w:r w:rsidRPr="0098635C">
              <w:rPr>
                <w:color w:val="000000" w:themeColor="text1"/>
                <w:sz w:val="20"/>
                <w:szCs w:val="20"/>
              </w:rPr>
              <w:t>7.5 (growth rate</w:t>
            </w:r>
            <w:r w:rsidR="00B00F3A" w:rsidRPr="0098635C">
              <w:rPr>
                <w:color w:val="000000" w:themeColor="text1"/>
                <w:sz w:val="20"/>
                <w:szCs w:val="20"/>
              </w:rPr>
              <w:t xml:space="preserve"> ; n</w:t>
            </w:r>
            <w:r w:rsidRPr="0098635C">
              <w:rPr>
                <w:color w:val="000000" w:themeColor="text1"/>
                <w:sz w:val="20"/>
                <w:szCs w:val="20"/>
              </w:rPr>
              <w:t>=1)</w:t>
            </w:r>
          </w:p>
        </w:tc>
        <w:tc>
          <w:tcPr>
            <w:tcW w:w="3686" w:type="dxa"/>
          </w:tcPr>
          <w:p w14:paraId="1D729B3F" w14:textId="2CDDFB76" w:rsidR="00205C5E" w:rsidRPr="0098635C" w:rsidRDefault="00205C5E" w:rsidP="00B60035">
            <w:pPr>
              <w:spacing w:after="0"/>
              <w:jc w:val="left"/>
              <w:rPr>
                <w:color w:val="000000" w:themeColor="text1"/>
                <w:sz w:val="20"/>
                <w:szCs w:val="20"/>
              </w:rPr>
            </w:pPr>
            <w:r w:rsidRPr="0098635C">
              <w:rPr>
                <w:color w:val="000000" w:themeColor="text1"/>
                <w:sz w:val="20"/>
                <w:szCs w:val="20"/>
              </w:rPr>
              <w:t>Smyth, 2006 (</w:t>
            </w:r>
            <w:r w:rsidR="00B60035" w:rsidRPr="0098635C">
              <w:rPr>
                <w:color w:val="000000" w:themeColor="text1"/>
                <w:sz w:val="20"/>
                <w:szCs w:val="20"/>
              </w:rPr>
              <w:t>R1</w:t>
            </w:r>
            <w:r w:rsidRPr="0098635C">
              <w:rPr>
                <w:color w:val="000000" w:themeColor="text1"/>
                <w:sz w:val="20"/>
                <w:szCs w:val="20"/>
              </w:rPr>
              <w:t>)</w:t>
            </w:r>
          </w:p>
        </w:tc>
      </w:tr>
    </w:tbl>
    <w:p w14:paraId="1C4A4410" w14:textId="77777777" w:rsidR="00E223DD" w:rsidRPr="0098635C" w:rsidRDefault="00E223DD" w:rsidP="00EA276C">
      <w:pPr>
        <w:pStyle w:val="BodyText"/>
        <w:rPr>
          <w:color w:val="000000" w:themeColor="text1"/>
          <w:sz w:val="20"/>
        </w:rPr>
      </w:pPr>
      <w:r w:rsidRPr="0098635C">
        <w:rPr>
          <w:color w:val="000000" w:themeColor="text1"/>
          <w:sz w:val="20"/>
          <w:vertAlign w:val="superscript"/>
        </w:rPr>
        <w:t>1</w:t>
      </w:r>
      <w:r w:rsidRPr="0098635C">
        <w:rPr>
          <w:color w:val="000000" w:themeColor="text1"/>
          <w:sz w:val="20"/>
        </w:rPr>
        <w:t>: Species mean :  most sensitive endpoint-specific geometric mean value for the species</w:t>
      </w:r>
    </w:p>
    <w:p w14:paraId="6821DA2C" w14:textId="77777777" w:rsidR="00497DC3" w:rsidRPr="0098635C" w:rsidRDefault="004A50B1" w:rsidP="00EA276C">
      <w:pPr>
        <w:pStyle w:val="BodyText"/>
        <w:rPr>
          <w:color w:val="000000" w:themeColor="text1"/>
          <w:sz w:val="20"/>
        </w:rPr>
      </w:pPr>
      <w:r w:rsidRPr="0098635C">
        <w:rPr>
          <w:color w:val="000000" w:themeColor="text1"/>
          <w:sz w:val="20"/>
          <w:vertAlign w:val="superscript"/>
        </w:rPr>
        <w:t>2</w:t>
      </w:r>
      <w:r w:rsidRPr="0098635C">
        <w:rPr>
          <w:color w:val="000000" w:themeColor="text1"/>
          <w:sz w:val="20"/>
        </w:rPr>
        <w:t>: other tests were conducted in modified seawater</w:t>
      </w:r>
    </w:p>
    <w:p w14:paraId="75BBCB4F" w14:textId="77777777" w:rsidR="00DD141F" w:rsidRPr="0098635C" w:rsidRDefault="00D05142" w:rsidP="00EA276C">
      <w:pPr>
        <w:pStyle w:val="BodyText"/>
        <w:rPr>
          <w:color w:val="000000" w:themeColor="text1"/>
          <w:sz w:val="20"/>
          <w:u w:val="single"/>
        </w:rPr>
      </w:pPr>
      <w:r w:rsidRPr="0098635C">
        <w:rPr>
          <w:color w:val="000000" w:themeColor="text1"/>
          <w:sz w:val="20"/>
          <w:u w:val="single"/>
        </w:rPr>
        <w:t xml:space="preserve">Bioavailability </w:t>
      </w:r>
    </w:p>
    <w:p w14:paraId="4073832B" w14:textId="5B049623" w:rsidR="00514545" w:rsidRPr="0098635C" w:rsidRDefault="00497DC3" w:rsidP="00EA276C">
      <w:pPr>
        <w:pStyle w:val="BodyText"/>
        <w:rPr>
          <w:color w:val="000000" w:themeColor="text1"/>
          <w:sz w:val="20"/>
        </w:rPr>
      </w:pPr>
      <w:r w:rsidRPr="0098635C">
        <w:rPr>
          <w:color w:val="000000" w:themeColor="text1"/>
          <w:sz w:val="20"/>
        </w:rPr>
        <w:t xml:space="preserve">Similar to the findings for the freshwater environment, it can be seen that there is sometimes a large intra-species variability for the same endpoint, and variability of test medium properties may </w:t>
      </w:r>
      <w:r w:rsidR="00E223DD" w:rsidRPr="0098635C">
        <w:rPr>
          <w:color w:val="000000" w:themeColor="text1"/>
          <w:sz w:val="20"/>
        </w:rPr>
        <w:t xml:space="preserve">lay at the basis of </w:t>
      </w:r>
      <w:r w:rsidRPr="0098635C">
        <w:rPr>
          <w:color w:val="000000" w:themeColor="text1"/>
          <w:sz w:val="20"/>
        </w:rPr>
        <w:t>these differences</w:t>
      </w:r>
      <w:r w:rsidR="00514545" w:rsidRPr="0098635C">
        <w:rPr>
          <w:color w:val="000000" w:themeColor="text1"/>
          <w:sz w:val="20"/>
        </w:rPr>
        <w:t>.</w:t>
      </w:r>
    </w:p>
    <w:p w14:paraId="2A7BF0FF" w14:textId="5A00A65D" w:rsidR="00417E64" w:rsidRPr="0098635C" w:rsidRDefault="007064B6" w:rsidP="00417E64">
      <w:pPr>
        <w:rPr>
          <w:color w:val="000000" w:themeColor="text1"/>
          <w:sz w:val="20"/>
          <w:szCs w:val="20"/>
        </w:rPr>
      </w:pPr>
      <w:r w:rsidRPr="0098635C">
        <w:rPr>
          <w:color w:val="000000" w:themeColor="text1"/>
          <w:sz w:val="20"/>
          <w:szCs w:val="20"/>
        </w:rPr>
        <w:t xml:space="preserve">Marine waters are characterised by high pH (typically around 8.3), high salinity (35%) and high ionic strength. Unlike the inorganic composition of marine waters, DOC levels may vary considerable between marine water bodies.  Baltic Sea, North Sea and Mediterranean coastal waters have DOC level ranging between 1-10 mg/L.  Open Ocean waters usually has lower DOC, ranging between 0.5 and 1.8 mg/L. </w:t>
      </w:r>
      <w:r w:rsidR="00417E64" w:rsidRPr="0098635C">
        <w:rPr>
          <w:color w:val="000000" w:themeColor="text1"/>
          <w:sz w:val="20"/>
          <w:szCs w:val="20"/>
        </w:rPr>
        <w:t>Therefore, a DOC correction has already been implemented for marine waters.</w:t>
      </w:r>
    </w:p>
    <w:p w14:paraId="229B9F52" w14:textId="08A7F076" w:rsidR="00514545" w:rsidRPr="0098635C" w:rsidRDefault="00417E64" w:rsidP="00326669">
      <w:pPr>
        <w:rPr>
          <w:color w:val="000000" w:themeColor="text1"/>
          <w:sz w:val="20"/>
          <w:szCs w:val="20"/>
        </w:rPr>
      </w:pPr>
      <w:r w:rsidRPr="0098635C">
        <w:rPr>
          <w:color w:val="000000" w:themeColor="text1"/>
          <w:sz w:val="20"/>
          <w:szCs w:val="20"/>
        </w:rPr>
        <w:t>A full marine/estuarine BLM is under development.</w:t>
      </w:r>
    </w:p>
    <w:p w14:paraId="473BC090" w14:textId="780F77DB" w:rsidR="00665028" w:rsidRPr="0098635C" w:rsidRDefault="00497DC3" w:rsidP="00514545">
      <w:pPr>
        <w:pStyle w:val="BodyText"/>
        <w:rPr>
          <w:color w:val="000000" w:themeColor="text1"/>
          <w:sz w:val="20"/>
        </w:rPr>
      </w:pPr>
      <w:r w:rsidRPr="0098635C">
        <w:rPr>
          <w:color w:val="000000" w:themeColor="text1"/>
          <w:sz w:val="20"/>
        </w:rPr>
        <w:t xml:space="preserve">A relation between the observed NOEC and organic carbon content was established for </w:t>
      </w:r>
      <w:r w:rsidRPr="0098635C">
        <w:rPr>
          <w:i/>
          <w:color w:val="000000" w:themeColor="text1"/>
          <w:sz w:val="20"/>
        </w:rPr>
        <w:t>Mytillus edulis</w:t>
      </w:r>
      <w:r w:rsidRPr="0098635C">
        <w:rPr>
          <w:color w:val="000000" w:themeColor="text1"/>
          <w:sz w:val="20"/>
        </w:rPr>
        <w:t xml:space="preserve">. Its applicability to other invertebrate species was demonstrated for the molluscs </w:t>
      </w:r>
      <w:r w:rsidRPr="0098635C">
        <w:rPr>
          <w:i/>
          <w:color w:val="000000" w:themeColor="text1"/>
          <w:sz w:val="20"/>
        </w:rPr>
        <w:t>Crassostreas gigas</w:t>
      </w:r>
      <w:r w:rsidRPr="0098635C">
        <w:rPr>
          <w:color w:val="000000" w:themeColor="text1"/>
          <w:sz w:val="20"/>
        </w:rPr>
        <w:t xml:space="preserve">, </w:t>
      </w:r>
      <w:r w:rsidRPr="0098635C">
        <w:rPr>
          <w:i/>
          <w:color w:val="000000" w:themeColor="text1"/>
          <w:sz w:val="20"/>
        </w:rPr>
        <w:t>Paracentrotus lividus</w:t>
      </w:r>
      <w:r w:rsidRPr="0098635C">
        <w:rPr>
          <w:color w:val="000000" w:themeColor="text1"/>
          <w:sz w:val="20"/>
        </w:rPr>
        <w:t xml:space="preserve"> and </w:t>
      </w:r>
      <w:r w:rsidRPr="0098635C">
        <w:rPr>
          <w:i/>
          <w:color w:val="000000" w:themeColor="text1"/>
          <w:sz w:val="20"/>
        </w:rPr>
        <w:t>Mytilus galloprovincialis</w:t>
      </w:r>
      <w:r w:rsidRPr="0098635C">
        <w:rPr>
          <w:color w:val="000000" w:themeColor="text1"/>
          <w:sz w:val="20"/>
        </w:rPr>
        <w:t xml:space="preserve">, and for the echinoderms </w:t>
      </w:r>
      <w:r w:rsidRPr="0098635C">
        <w:rPr>
          <w:i/>
          <w:color w:val="000000" w:themeColor="text1"/>
          <w:sz w:val="20"/>
        </w:rPr>
        <w:t>Dendraster exentricus</w:t>
      </w:r>
      <w:r w:rsidRPr="0098635C">
        <w:rPr>
          <w:color w:val="000000" w:themeColor="text1"/>
          <w:sz w:val="20"/>
        </w:rPr>
        <w:t xml:space="preserve"> and </w:t>
      </w:r>
      <w:r w:rsidRPr="0098635C">
        <w:rPr>
          <w:i/>
          <w:color w:val="000000" w:themeColor="text1"/>
          <w:sz w:val="20"/>
        </w:rPr>
        <w:t>Strongylocentrotus purpuratus</w:t>
      </w:r>
      <w:r w:rsidRPr="0098635C">
        <w:rPr>
          <w:color w:val="000000" w:themeColor="text1"/>
          <w:sz w:val="20"/>
        </w:rPr>
        <w:t xml:space="preserve">, (Arnold et al, 2008 and 2010, Hall 2010 and Brooks 2006). For the marine macro-algae </w:t>
      </w:r>
      <w:r w:rsidRPr="0098635C">
        <w:rPr>
          <w:i/>
          <w:color w:val="000000" w:themeColor="text1"/>
          <w:sz w:val="20"/>
        </w:rPr>
        <w:t>Fucus vesiculosis</w:t>
      </w:r>
      <w:r w:rsidRPr="0098635C">
        <w:rPr>
          <w:color w:val="000000" w:themeColor="text1"/>
          <w:sz w:val="20"/>
        </w:rPr>
        <w:t xml:space="preserve"> it was also demonstrated that changes in dissolved organic carbon content of the test medium could explain this variation</w:t>
      </w:r>
      <w:r w:rsidR="00E77733" w:rsidRPr="0098635C">
        <w:rPr>
          <w:color w:val="000000" w:themeColor="text1"/>
          <w:sz w:val="20"/>
        </w:rPr>
        <w:t xml:space="preserve"> (Brooks 2006)</w:t>
      </w:r>
      <w:r w:rsidR="007064B6" w:rsidRPr="0098635C">
        <w:rPr>
          <w:color w:val="000000" w:themeColor="text1"/>
          <w:sz w:val="20"/>
        </w:rPr>
        <w:t xml:space="preserve"> </w:t>
      </w:r>
      <w:r w:rsidR="00A018B3" w:rsidRPr="0098635C">
        <w:rPr>
          <w:color w:val="000000" w:themeColor="text1"/>
          <w:sz w:val="20"/>
        </w:rPr>
        <w:t>.</w:t>
      </w:r>
    </w:p>
    <w:p w14:paraId="5A5741DB" w14:textId="5DD10AFF" w:rsidR="00E223DD" w:rsidRPr="0098635C" w:rsidRDefault="00E223DD" w:rsidP="00E223DD">
      <w:pPr>
        <w:rPr>
          <w:color w:val="000000" w:themeColor="text1"/>
          <w:sz w:val="20"/>
          <w:szCs w:val="20"/>
        </w:rPr>
      </w:pPr>
      <w:r w:rsidRPr="0098635C">
        <w:rPr>
          <w:color w:val="000000" w:themeColor="text1"/>
          <w:sz w:val="20"/>
          <w:szCs w:val="20"/>
        </w:rPr>
        <w:t xml:space="preserve">With all the species mean values that are provided in </w:t>
      </w:r>
      <w:r w:rsidR="00E230FB" w:rsidRPr="0098635C">
        <w:rPr>
          <w:b/>
          <w:color w:val="000000" w:themeColor="text1"/>
          <w:sz w:val="20"/>
          <w:szCs w:val="20"/>
        </w:rPr>
        <w:fldChar w:fldCharType="begin"/>
      </w:r>
      <w:r w:rsidRPr="0098635C">
        <w:rPr>
          <w:b/>
          <w:color w:val="000000" w:themeColor="text1"/>
          <w:sz w:val="20"/>
          <w:szCs w:val="20"/>
        </w:rPr>
        <w:instrText xml:space="preserve"> REF _Ref259945189 \h </w:instrText>
      </w:r>
      <w:r w:rsidR="00B633D0" w:rsidRPr="0098635C">
        <w:rPr>
          <w:b/>
          <w:color w:val="000000" w:themeColor="text1"/>
          <w:sz w:val="20"/>
          <w:szCs w:val="20"/>
        </w:rPr>
        <w:instrText xml:space="preserve"> \* MERGEFORMAT </w:instrText>
      </w:r>
      <w:r w:rsidR="00E230FB" w:rsidRPr="0098635C">
        <w:rPr>
          <w:b/>
          <w:color w:val="000000" w:themeColor="text1"/>
          <w:sz w:val="20"/>
          <w:szCs w:val="20"/>
        </w:rPr>
      </w:r>
      <w:r w:rsidR="00E230FB" w:rsidRPr="0098635C">
        <w:rPr>
          <w:b/>
          <w:color w:val="000000" w:themeColor="text1"/>
          <w:sz w:val="20"/>
          <w:szCs w:val="20"/>
        </w:rPr>
        <w:fldChar w:fldCharType="separate"/>
      </w:r>
      <w:r w:rsidR="005E5161" w:rsidRPr="0098635C">
        <w:rPr>
          <w:color w:val="000000" w:themeColor="text1"/>
          <w:sz w:val="20"/>
          <w:szCs w:val="20"/>
        </w:rPr>
        <w:t xml:space="preserve">Table </w:t>
      </w:r>
      <w:r w:rsidR="005E5161" w:rsidRPr="0098635C">
        <w:rPr>
          <w:noProof/>
          <w:color w:val="000000" w:themeColor="text1"/>
          <w:sz w:val="20"/>
          <w:szCs w:val="20"/>
        </w:rPr>
        <w:t>31</w:t>
      </w:r>
      <w:r w:rsidR="00E230FB" w:rsidRPr="0098635C">
        <w:rPr>
          <w:b/>
          <w:color w:val="000000" w:themeColor="text1"/>
          <w:sz w:val="20"/>
          <w:szCs w:val="20"/>
        </w:rPr>
        <w:fldChar w:fldCharType="end"/>
      </w:r>
      <w:r w:rsidRPr="0098635C">
        <w:rPr>
          <w:color w:val="000000" w:themeColor="text1"/>
          <w:sz w:val="20"/>
          <w:szCs w:val="20"/>
        </w:rPr>
        <w:t xml:space="preserve"> to </w:t>
      </w:r>
      <w:r w:rsidR="00E230FB" w:rsidRPr="0098635C">
        <w:rPr>
          <w:b/>
          <w:color w:val="000000" w:themeColor="text1"/>
          <w:sz w:val="20"/>
          <w:szCs w:val="20"/>
        </w:rPr>
        <w:fldChar w:fldCharType="begin"/>
      </w:r>
      <w:r w:rsidRPr="0098635C">
        <w:rPr>
          <w:b/>
          <w:color w:val="000000" w:themeColor="text1"/>
          <w:sz w:val="20"/>
          <w:szCs w:val="20"/>
        </w:rPr>
        <w:instrText xml:space="preserve"> REF _Ref259945213 \h </w:instrText>
      </w:r>
      <w:r w:rsidR="00B633D0" w:rsidRPr="0098635C">
        <w:rPr>
          <w:b/>
          <w:color w:val="000000" w:themeColor="text1"/>
          <w:sz w:val="20"/>
          <w:szCs w:val="20"/>
        </w:rPr>
        <w:instrText xml:space="preserve"> \* MERGEFORMAT </w:instrText>
      </w:r>
      <w:r w:rsidR="00E230FB" w:rsidRPr="0098635C">
        <w:rPr>
          <w:b/>
          <w:color w:val="000000" w:themeColor="text1"/>
          <w:sz w:val="20"/>
          <w:szCs w:val="20"/>
        </w:rPr>
      </w:r>
      <w:r w:rsidR="00E230FB" w:rsidRPr="0098635C">
        <w:rPr>
          <w:b/>
          <w:color w:val="000000" w:themeColor="text1"/>
          <w:sz w:val="20"/>
          <w:szCs w:val="20"/>
        </w:rPr>
        <w:fldChar w:fldCharType="separate"/>
      </w:r>
      <w:r w:rsidR="005E5161" w:rsidRPr="0098635C">
        <w:rPr>
          <w:color w:val="000000" w:themeColor="text1"/>
          <w:sz w:val="20"/>
          <w:szCs w:val="20"/>
        </w:rPr>
        <w:t xml:space="preserve">Table </w:t>
      </w:r>
      <w:r w:rsidR="005E5161" w:rsidRPr="0098635C">
        <w:rPr>
          <w:noProof/>
          <w:color w:val="000000" w:themeColor="text1"/>
          <w:sz w:val="20"/>
          <w:szCs w:val="20"/>
        </w:rPr>
        <w:t>33</w:t>
      </w:r>
      <w:r w:rsidR="00E230FB" w:rsidRPr="0098635C">
        <w:rPr>
          <w:b/>
          <w:color w:val="000000" w:themeColor="text1"/>
          <w:sz w:val="20"/>
          <w:szCs w:val="20"/>
        </w:rPr>
        <w:fldChar w:fldCharType="end"/>
      </w:r>
      <w:r w:rsidRPr="0098635C">
        <w:rPr>
          <w:color w:val="000000" w:themeColor="text1"/>
          <w:sz w:val="20"/>
          <w:szCs w:val="20"/>
        </w:rPr>
        <w:t>, a Species Sensitivity Distribution was constructed. The outcome of this analysis resulted in an HC</w:t>
      </w:r>
      <w:r w:rsidRPr="0098635C">
        <w:rPr>
          <w:color w:val="000000" w:themeColor="text1"/>
          <w:sz w:val="20"/>
          <w:szCs w:val="20"/>
          <w:vertAlign w:val="subscript"/>
        </w:rPr>
        <w:t>5,50%</w:t>
      </w:r>
      <w:r w:rsidRPr="0098635C">
        <w:rPr>
          <w:color w:val="000000" w:themeColor="text1"/>
          <w:sz w:val="20"/>
          <w:szCs w:val="20"/>
        </w:rPr>
        <w:t xml:space="preserve"> of 4.6 µg Cu/L.</w:t>
      </w:r>
    </w:p>
    <w:p w14:paraId="60865DD3" w14:textId="6CD6DAFF" w:rsidR="00685992" w:rsidRPr="0098635C" w:rsidRDefault="00685992" w:rsidP="00685992">
      <w:pPr>
        <w:spacing w:before="120"/>
        <w:rPr>
          <w:rStyle w:val="KorrUK"/>
          <w:rFonts w:ascii="Times New Roman" w:hAnsi="Times New Roman" w:cs="Times New Roman"/>
          <w:color w:val="000000" w:themeColor="text1"/>
          <w:sz w:val="20"/>
          <w:szCs w:val="20"/>
        </w:rPr>
      </w:pPr>
      <w:r w:rsidRPr="0098635C">
        <w:rPr>
          <w:color w:val="000000" w:themeColor="text1"/>
          <w:sz w:val="20"/>
          <w:szCs w:val="20"/>
        </w:rPr>
        <w:t xml:space="preserve">An organic carbon normalisation was carried out and the </w:t>
      </w:r>
      <w:r w:rsidR="006C7EEC" w:rsidRPr="0098635C">
        <w:rPr>
          <w:color w:val="000000" w:themeColor="text1"/>
          <w:sz w:val="20"/>
          <w:szCs w:val="20"/>
        </w:rPr>
        <w:t>HC5,50%</w:t>
      </w:r>
      <w:r w:rsidRPr="0098635C">
        <w:rPr>
          <w:color w:val="000000" w:themeColor="text1"/>
          <w:sz w:val="20"/>
          <w:szCs w:val="20"/>
        </w:rPr>
        <w:t xml:space="preserve"> was derived at a DOC levels representative of </w:t>
      </w:r>
      <w:r w:rsidR="00247E89" w:rsidRPr="0098635C">
        <w:rPr>
          <w:color w:val="000000" w:themeColor="text1"/>
          <w:sz w:val="20"/>
          <w:szCs w:val="20"/>
        </w:rPr>
        <w:t>coastal and</w:t>
      </w:r>
      <w:r w:rsidRPr="0098635C">
        <w:rPr>
          <w:color w:val="000000" w:themeColor="text1"/>
          <w:sz w:val="20"/>
          <w:szCs w:val="20"/>
        </w:rPr>
        <w:t xml:space="preserve"> open ocean areas (2 and </w:t>
      </w:r>
      <w:r w:rsidR="00247E89" w:rsidRPr="0098635C">
        <w:rPr>
          <w:color w:val="000000" w:themeColor="text1"/>
          <w:sz w:val="20"/>
          <w:szCs w:val="20"/>
        </w:rPr>
        <w:t>0.2 mg</w:t>
      </w:r>
      <w:r w:rsidRPr="0098635C">
        <w:rPr>
          <w:color w:val="000000" w:themeColor="text1"/>
          <w:sz w:val="20"/>
          <w:szCs w:val="20"/>
        </w:rPr>
        <w:t xml:space="preserve">/L). From the high quality data, </w:t>
      </w:r>
      <w:r w:rsidR="006C7EEC" w:rsidRPr="0098635C">
        <w:rPr>
          <w:color w:val="000000" w:themeColor="text1"/>
          <w:sz w:val="20"/>
          <w:szCs w:val="20"/>
        </w:rPr>
        <w:t>HC5,50%</w:t>
      </w:r>
      <w:r w:rsidRPr="0098635C">
        <w:rPr>
          <w:color w:val="000000" w:themeColor="text1"/>
          <w:sz w:val="20"/>
          <w:szCs w:val="20"/>
        </w:rPr>
        <w:t xml:space="preserve"> values of respectively 5.2 and 1.3 µg Cu/l, were derived.  </w:t>
      </w:r>
    </w:p>
    <w:p w14:paraId="1DCA5DBE" w14:textId="77777777" w:rsidR="00497DC3" w:rsidRPr="0098635C" w:rsidRDefault="00497DC3" w:rsidP="00A5090A">
      <w:pPr>
        <w:spacing w:after="0"/>
        <w:rPr>
          <w:color w:val="000000" w:themeColor="text1"/>
          <w:sz w:val="20"/>
          <w:szCs w:val="20"/>
          <w:u w:val="single"/>
        </w:rPr>
      </w:pPr>
      <w:r w:rsidRPr="0098635C">
        <w:rPr>
          <w:color w:val="000000" w:themeColor="text1"/>
          <w:sz w:val="20"/>
          <w:szCs w:val="20"/>
          <w:u w:val="single"/>
        </w:rPr>
        <w:t>Mesocosm-study</w:t>
      </w:r>
    </w:p>
    <w:p w14:paraId="777AFFB0" w14:textId="403F2914" w:rsidR="00D05142" w:rsidRPr="0098635C" w:rsidRDefault="00497DC3" w:rsidP="00D05142">
      <w:pPr>
        <w:pStyle w:val="BodyText"/>
        <w:spacing w:after="0"/>
        <w:rPr>
          <w:color w:val="000000" w:themeColor="text1"/>
          <w:sz w:val="20"/>
        </w:rPr>
      </w:pPr>
      <w:r w:rsidRPr="0098635C">
        <w:rPr>
          <w:color w:val="000000" w:themeColor="text1"/>
          <w:sz w:val="20"/>
        </w:rPr>
        <w:t xml:space="preserve">An outdoor marine mesocosm study was performed by Foekema (2010) to investigate the effects of continuous exposure to a series of actively maintained concentrations of dissolved copper. Various macro invertebrate species were added to each mesocosm in known numbers, and the different populations were allowed to </w:t>
      </w:r>
      <w:r w:rsidR="00247E89" w:rsidRPr="0098635C">
        <w:rPr>
          <w:color w:val="000000" w:themeColor="text1"/>
          <w:sz w:val="20"/>
        </w:rPr>
        <w:t>acclimatise for</w:t>
      </w:r>
      <w:r w:rsidRPr="0098635C">
        <w:rPr>
          <w:color w:val="000000" w:themeColor="text1"/>
          <w:sz w:val="20"/>
        </w:rPr>
        <w:t xml:space="preserve"> 33 days</w:t>
      </w:r>
      <w:r w:rsidR="009F244C" w:rsidRPr="0098635C">
        <w:rPr>
          <w:color w:val="000000" w:themeColor="text1"/>
          <w:sz w:val="20"/>
        </w:rPr>
        <w:t xml:space="preserve">. </w:t>
      </w:r>
      <w:r w:rsidR="00366D40" w:rsidRPr="0098635C">
        <w:rPr>
          <w:color w:val="000000" w:themeColor="text1"/>
          <w:sz w:val="20"/>
        </w:rPr>
        <w:t>No indication of effect of the treatment was seen at the lowest two test concentrations</w:t>
      </w:r>
      <w:r w:rsidR="00050A15" w:rsidRPr="0098635C">
        <w:rPr>
          <w:color w:val="000000" w:themeColor="text1"/>
          <w:sz w:val="20"/>
        </w:rPr>
        <w:t>.</w:t>
      </w:r>
      <w:r w:rsidR="00366D40" w:rsidRPr="0098635C">
        <w:rPr>
          <w:color w:val="000000" w:themeColor="text1"/>
          <w:sz w:val="20"/>
        </w:rPr>
        <w:t xml:space="preserve"> Clear direct adverse effects, were observed i</w:t>
      </w:r>
      <w:r w:rsidRPr="0098635C">
        <w:rPr>
          <w:color w:val="000000" w:themeColor="text1"/>
          <w:sz w:val="20"/>
        </w:rPr>
        <w:t>n the two highest treatments (16 and 31 µg Cu/L, respective</w:t>
      </w:r>
      <w:r w:rsidR="00366D40" w:rsidRPr="0098635C">
        <w:rPr>
          <w:color w:val="000000" w:themeColor="text1"/>
          <w:sz w:val="20"/>
        </w:rPr>
        <w:t>ly). Affected species/endpoints were</w:t>
      </w:r>
      <w:r w:rsidRPr="0098635C">
        <w:rPr>
          <w:color w:val="000000" w:themeColor="text1"/>
          <w:sz w:val="20"/>
        </w:rPr>
        <w:t xml:space="preserve"> zooplankton, bivalves and sponges and, to a lesser extent, </w:t>
      </w:r>
      <w:r w:rsidR="00366D40" w:rsidRPr="0098635C">
        <w:rPr>
          <w:color w:val="000000" w:themeColor="text1"/>
          <w:sz w:val="20"/>
        </w:rPr>
        <w:t>t</w:t>
      </w:r>
      <w:r w:rsidRPr="0098635C">
        <w:rPr>
          <w:color w:val="000000" w:themeColor="text1"/>
          <w:sz w:val="20"/>
        </w:rPr>
        <w:t>he periphyton (sessile algae) development and the shell growth of gastropods. The phytoplankton concentration and related primary production</w:t>
      </w:r>
      <w:r w:rsidR="00366D40" w:rsidRPr="0098635C">
        <w:rPr>
          <w:color w:val="000000" w:themeColor="text1"/>
          <w:sz w:val="20"/>
        </w:rPr>
        <w:t xml:space="preserve">, however, </w:t>
      </w:r>
      <w:r w:rsidRPr="0098635C">
        <w:rPr>
          <w:color w:val="000000" w:themeColor="text1"/>
          <w:sz w:val="20"/>
        </w:rPr>
        <w:t>increased as a response to the reduced grazing pressure. In the intermediate treatment (9.9 µg Cu/L) some effects on periphyton development and the zooplankton community were observed, but these were of short</w:t>
      </w:r>
      <w:r w:rsidR="00366D40" w:rsidRPr="0098635C">
        <w:rPr>
          <w:color w:val="000000" w:themeColor="text1"/>
          <w:sz w:val="20"/>
        </w:rPr>
        <w:t>-</w:t>
      </w:r>
      <w:r w:rsidRPr="0098635C">
        <w:rPr>
          <w:color w:val="000000" w:themeColor="text1"/>
          <w:sz w:val="20"/>
        </w:rPr>
        <w:t>term character. However, the reproduction success of the bivalve cockle (</w:t>
      </w:r>
      <w:r w:rsidRPr="0098635C">
        <w:rPr>
          <w:i/>
          <w:color w:val="000000" w:themeColor="text1"/>
          <w:sz w:val="20"/>
        </w:rPr>
        <w:t>Cerastoderma edule</w:t>
      </w:r>
      <w:r w:rsidRPr="0098635C">
        <w:rPr>
          <w:color w:val="000000" w:themeColor="text1"/>
          <w:sz w:val="20"/>
        </w:rPr>
        <w:t>) was strongly negatively affected. This adverse ecological effect formed the most sensitive endpoint of this study. Therefore the NOEC</w:t>
      </w:r>
      <w:r w:rsidRPr="0098635C">
        <w:rPr>
          <w:color w:val="000000" w:themeColor="text1"/>
          <w:sz w:val="20"/>
          <w:vertAlign w:val="subscript"/>
        </w:rPr>
        <w:t>mesocosm</w:t>
      </w:r>
      <w:r w:rsidRPr="0098635C">
        <w:rPr>
          <w:color w:val="000000" w:themeColor="text1"/>
          <w:sz w:val="20"/>
        </w:rPr>
        <w:t xml:space="preserve"> and the NOEAEC</w:t>
      </w:r>
      <w:r w:rsidRPr="0098635C">
        <w:rPr>
          <w:color w:val="000000" w:themeColor="text1"/>
          <w:sz w:val="20"/>
          <w:vertAlign w:val="subscript"/>
        </w:rPr>
        <w:t>mesocosm</w:t>
      </w:r>
      <w:r w:rsidRPr="0098635C">
        <w:rPr>
          <w:color w:val="000000" w:themeColor="text1"/>
          <w:sz w:val="20"/>
        </w:rPr>
        <w:t xml:space="preserve"> for this study are equal</w:t>
      </w:r>
      <w:r w:rsidR="00366D40" w:rsidRPr="0098635C">
        <w:rPr>
          <w:color w:val="000000" w:themeColor="text1"/>
          <w:sz w:val="20"/>
        </w:rPr>
        <w:t xml:space="preserve">; i.e., </w:t>
      </w:r>
      <w:r w:rsidRPr="0098635C">
        <w:rPr>
          <w:color w:val="000000" w:themeColor="text1"/>
          <w:sz w:val="20"/>
        </w:rPr>
        <w:t>5.7 µg Cu/L. The</w:t>
      </w:r>
      <w:r w:rsidR="00366D40" w:rsidRPr="0098635C">
        <w:rPr>
          <w:color w:val="000000" w:themeColor="text1"/>
          <w:sz w:val="20"/>
        </w:rPr>
        <w:t xml:space="preserve"> </w:t>
      </w:r>
      <w:r w:rsidRPr="0098635C">
        <w:rPr>
          <w:color w:val="000000" w:themeColor="text1"/>
          <w:sz w:val="20"/>
        </w:rPr>
        <w:t xml:space="preserve">LOEC is 9.9 µg Cu/L. </w:t>
      </w:r>
    </w:p>
    <w:p w14:paraId="44AFEF95" w14:textId="77777777" w:rsidR="00D05142" w:rsidRPr="0098635C" w:rsidRDefault="00D05142" w:rsidP="00D05142">
      <w:pPr>
        <w:pStyle w:val="BodyText"/>
        <w:spacing w:after="0"/>
        <w:rPr>
          <w:color w:val="000000" w:themeColor="text1"/>
          <w:sz w:val="20"/>
        </w:rPr>
      </w:pPr>
    </w:p>
    <w:p w14:paraId="2C870FA8" w14:textId="77777777" w:rsidR="00497DC3" w:rsidRPr="0098635C" w:rsidRDefault="00366D40" w:rsidP="00497DC3">
      <w:pPr>
        <w:pStyle w:val="BodyText"/>
        <w:rPr>
          <w:color w:val="000000" w:themeColor="text1"/>
          <w:sz w:val="20"/>
        </w:rPr>
      </w:pPr>
      <w:r w:rsidRPr="0098635C">
        <w:rPr>
          <w:color w:val="000000" w:themeColor="text1"/>
          <w:sz w:val="20"/>
        </w:rPr>
        <w:t>As DOC has an important impact on copper toxicity, t</w:t>
      </w:r>
      <w:r w:rsidR="00497DC3" w:rsidRPr="0098635C">
        <w:rPr>
          <w:color w:val="000000" w:themeColor="text1"/>
          <w:sz w:val="20"/>
        </w:rPr>
        <w:t xml:space="preserve">he quality of the DOC was assessed (Smith et al. 2010). The main conclusions from the DOC characterisation were that based on these analyses the water from the mesocosms looked very similar to water from pristine natural environments with low anthropogenic or terrestrial inputs.  </w:t>
      </w:r>
    </w:p>
    <w:p w14:paraId="5470626B" w14:textId="77777777" w:rsidR="00D05142" w:rsidRPr="0098635C" w:rsidRDefault="00B46473" w:rsidP="00D05142">
      <w:pPr>
        <w:pStyle w:val="BodyText"/>
        <w:rPr>
          <w:b/>
          <w:i/>
          <w:color w:val="000000" w:themeColor="text1"/>
          <w:sz w:val="20"/>
        </w:rPr>
      </w:pPr>
      <w:r w:rsidRPr="0098635C">
        <w:rPr>
          <w:b/>
          <w:i/>
          <w:color w:val="000000" w:themeColor="text1"/>
          <w:sz w:val="20"/>
        </w:rPr>
        <w:t>Uncertainty analysis</w:t>
      </w:r>
      <w:r w:rsidRPr="0098635C">
        <w:rPr>
          <w:rStyle w:val="KorrUK"/>
          <w:rFonts w:ascii="Times New Roman" w:hAnsi="Times New Roman" w:cs="Times New Roman"/>
          <w:color w:val="000000" w:themeColor="text1"/>
          <w:sz w:val="20"/>
          <w:szCs w:val="20"/>
          <w:lang w:eastAsia="nl-NL"/>
        </w:rPr>
        <w:t>.</w:t>
      </w:r>
    </w:p>
    <w:p w14:paraId="767C7A29" w14:textId="2AD8BA52" w:rsidR="00B46473" w:rsidRPr="0098635C" w:rsidRDefault="00B46473" w:rsidP="00B46473">
      <w:pPr>
        <w:spacing w:before="80"/>
        <w:rPr>
          <w:color w:val="000000" w:themeColor="text1"/>
          <w:sz w:val="20"/>
          <w:szCs w:val="20"/>
        </w:rPr>
      </w:pPr>
      <w:r w:rsidRPr="0098635C">
        <w:rPr>
          <w:bCs/>
          <w:i/>
          <w:iCs/>
          <w:color w:val="000000" w:themeColor="text1"/>
          <w:sz w:val="20"/>
          <w:szCs w:val="20"/>
          <w:u w:val="single"/>
        </w:rPr>
        <w:t>Data quality</w:t>
      </w:r>
      <w:r w:rsidRPr="0098635C">
        <w:rPr>
          <w:b/>
          <w:bCs/>
          <w:i/>
          <w:iCs/>
          <w:color w:val="000000" w:themeColor="text1"/>
          <w:sz w:val="20"/>
          <w:szCs w:val="20"/>
        </w:rPr>
        <w:t xml:space="preserve"> : </w:t>
      </w:r>
      <w:r w:rsidRPr="0098635C">
        <w:rPr>
          <w:color w:val="000000" w:themeColor="text1"/>
          <w:sz w:val="20"/>
          <w:szCs w:val="20"/>
        </w:rPr>
        <w:t>From the evaluation of the NOEC data quality and quantity it can be concluded that the Cu-</w:t>
      </w:r>
      <w:r w:rsidR="00140993" w:rsidRPr="0098635C">
        <w:rPr>
          <w:color w:val="000000" w:themeColor="text1"/>
          <w:sz w:val="20"/>
          <w:szCs w:val="20"/>
        </w:rPr>
        <w:t xml:space="preserve">marine </w:t>
      </w:r>
      <w:r w:rsidRPr="0098635C">
        <w:rPr>
          <w:color w:val="000000" w:themeColor="text1"/>
          <w:sz w:val="20"/>
          <w:szCs w:val="20"/>
        </w:rPr>
        <w:t xml:space="preserve">database is of high quality, covers complete or sensitive life stages and has built-in factors providing additional degrees of protection. Two important built-in conservative factors </w:t>
      </w:r>
      <w:r w:rsidR="00247E89" w:rsidRPr="0098635C">
        <w:rPr>
          <w:color w:val="000000" w:themeColor="text1"/>
          <w:sz w:val="20"/>
          <w:szCs w:val="20"/>
        </w:rPr>
        <w:t>are:</w:t>
      </w:r>
      <w:r w:rsidRPr="0098635C">
        <w:rPr>
          <w:color w:val="000000" w:themeColor="text1"/>
          <w:sz w:val="20"/>
          <w:szCs w:val="20"/>
        </w:rPr>
        <w:t xml:space="preserve"> </w:t>
      </w:r>
    </w:p>
    <w:p w14:paraId="20676830" w14:textId="77777777" w:rsidR="00D05142" w:rsidRPr="0098635C" w:rsidRDefault="00D05142" w:rsidP="0059369A">
      <w:pPr>
        <w:pStyle w:val="BodyText"/>
        <w:numPr>
          <w:ilvl w:val="0"/>
          <w:numId w:val="17"/>
        </w:numPr>
        <w:spacing w:before="80" w:after="0"/>
        <w:rPr>
          <w:rStyle w:val="KorrUK"/>
          <w:rFonts w:ascii="Times New Roman" w:hAnsi="Times New Roman" w:cs="Times New Roman"/>
          <w:color w:val="000000" w:themeColor="text1"/>
          <w:sz w:val="20"/>
          <w:szCs w:val="20"/>
        </w:rPr>
      </w:pPr>
      <w:r w:rsidRPr="0098635C">
        <w:rPr>
          <w:rStyle w:val="KorrUK"/>
          <w:rFonts w:ascii="Times New Roman" w:hAnsi="Times New Roman" w:cs="Times New Roman"/>
          <w:color w:val="000000" w:themeColor="text1"/>
          <w:sz w:val="20"/>
          <w:szCs w:val="20"/>
        </w:rPr>
        <w:t>Copper is homeostatically regulated. Acclimation to changes in copper concentrations in the marine environment have however not been accounted for.   Some of the test or</w:t>
      </w:r>
      <w:r w:rsidR="00140993" w:rsidRPr="0098635C">
        <w:rPr>
          <w:rStyle w:val="KorrUK"/>
          <w:rFonts w:ascii="Times New Roman" w:hAnsi="Times New Roman" w:cs="Times New Roman"/>
          <w:color w:val="000000" w:themeColor="text1"/>
          <w:sz w:val="20"/>
          <w:szCs w:val="20"/>
        </w:rPr>
        <w:t>ganisms have been retained fro</w:t>
      </w:r>
      <w:r w:rsidRPr="0098635C">
        <w:rPr>
          <w:rStyle w:val="KorrUK"/>
          <w:rFonts w:ascii="Times New Roman" w:hAnsi="Times New Roman" w:cs="Times New Roman"/>
          <w:color w:val="000000" w:themeColor="text1"/>
          <w:sz w:val="20"/>
          <w:szCs w:val="20"/>
        </w:rPr>
        <w:t xml:space="preserve">m open ocean - copper deficient- systems and their susceptibility to increased copper exposures is thus expected to be higher than the ones observed in organisms acclimated to coastal systems.  </w:t>
      </w:r>
    </w:p>
    <w:p w14:paraId="3A14C57E" w14:textId="77777777" w:rsidR="00D05142" w:rsidRPr="0098635C" w:rsidRDefault="00B46473" w:rsidP="0059369A">
      <w:pPr>
        <w:pStyle w:val="BodyText"/>
        <w:numPr>
          <w:ilvl w:val="0"/>
          <w:numId w:val="17"/>
        </w:numPr>
        <w:spacing w:before="80" w:after="0"/>
        <w:rPr>
          <w:color w:val="000000" w:themeColor="text1"/>
          <w:sz w:val="20"/>
        </w:rPr>
      </w:pPr>
      <w:r w:rsidRPr="0098635C">
        <w:rPr>
          <w:color w:val="000000" w:themeColor="text1"/>
          <w:sz w:val="20"/>
        </w:rPr>
        <w:lastRenderedPageBreak/>
        <w:t xml:space="preserve">As for the freshwater compartment, most </w:t>
      </w:r>
      <w:r w:rsidR="00DD3D84" w:rsidRPr="0098635C">
        <w:rPr>
          <w:color w:val="000000" w:themeColor="text1"/>
          <w:sz w:val="20"/>
        </w:rPr>
        <w:t xml:space="preserve">marine ecotoxicity </w:t>
      </w:r>
      <w:r w:rsidRPr="0098635C">
        <w:rPr>
          <w:color w:val="000000" w:themeColor="text1"/>
          <w:sz w:val="20"/>
        </w:rPr>
        <w:t>studies were carried out without pre-equilibration between Cu</w:t>
      </w:r>
      <w:r w:rsidR="00140993" w:rsidRPr="0098635C">
        <w:rPr>
          <w:color w:val="000000" w:themeColor="text1"/>
          <w:sz w:val="20"/>
        </w:rPr>
        <w:t xml:space="preserve"> and </w:t>
      </w:r>
      <w:r w:rsidRPr="0098635C">
        <w:rPr>
          <w:color w:val="000000" w:themeColor="text1"/>
          <w:sz w:val="20"/>
        </w:rPr>
        <w:t>DOC</w:t>
      </w:r>
    </w:p>
    <w:p w14:paraId="49E93443" w14:textId="173FF255" w:rsidR="00D05142" w:rsidRPr="0098635C" w:rsidRDefault="00D05142" w:rsidP="00D05142">
      <w:pPr>
        <w:tabs>
          <w:tab w:val="num" w:pos="284"/>
        </w:tabs>
        <w:spacing w:before="80"/>
        <w:rPr>
          <w:bCs/>
          <w:i/>
          <w:iCs/>
          <w:color w:val="000000" w:themeColor="text1"/>
          <w:sz w:val="20"/>
          <w:szCs w:val="20"/>
          <w:u w:val="single"/>
        </w:rPr>
      </w:pPr>
      <w:r w:rsidRPr="0098635C">
        <w:rPr>
          <w:bCs/>
          <w:i/>
          <w:iCs/>
          <w:color w:val="000000" w:themeColor="text1"/>
          <w:sz w:val="20"/>
          <w:szCs w:val="20"/>
          <w:u w:val="single"/>
        </w:rPr>
        <w:t xml:space="preserve">The mechanism of action and taxonomic groups </w:t>
      </w:r>
      <w:r w:rsidR="00247E89" w:rsidRPr="0098635C">
        <w:rPr>
          <w:bCs/>
          <w:i/>
          <w:iCs/>
          <w:color w:val="000000" w:themeColor="text1"/>
          <w:sz w:val="20"/>
          <w:szCs w:val="20"/>
          <w:u w:val="single"/>
        </w:rPr>
        <w:t>covered:</w:t>
      </w:r>
      <w:r w:rsidR="00B46473" w:rsidRPr="0098635C">
        <w:rPr>
          <w:rStyle w:val="KorrUK"/>
          <w:rFonts w:ascii="Times New Roman" w:hAnsi="Times New Roman" w:cs="Times New Roman"/>
          <w:color w:val="000000" w:themeColor="text1"/>
          <w:sz w:val="20"/>
          <w:szCs w:val="20"/>
        </w:rPr>
        <w:t xml:space="preserve"> </w:t>
      </w:r>
      <w:r w:rsidRPr="0098635C">
        <w:rPr>
          <w:color w:val="000000" w:themeColor="text1"/>
          <w:sz w:val="20"/>
          <w:szCs w:val="20"/>
        </w:rPr>
        <w:t>Information on copper’s mode of action, having a similar basis (iono-regulation) as observed for freshwater organisms, provides confidence in the taxonomic groups covered:</w:t>
      </w:r>
    </w:p>
    <w:p w14:paraId="1286BEBE" w14:textId="77777777" w:rsidR="00D05142" w:rsidRPr="0098635C" w:rsidRDefault="00D05142" w:rsidP="0059369A">
      <w:pPr>
        <w:pStyle w:val="Caption"/>
        <w:numPr>
          <w:ilvl w:val="0"/>
          <w:numId w:val="19"/>
        </w:numPr>
        <w:tabs>
          <w:tab w:val="left" w:pos="180"/>
        </w:tabs>
        <w:spacing w:before="120" w:after="0"/>
        <w:jc w:val="both"/>
        <w:rPr>
          <w:rFonts w:ascii="Times New Roman" w:hAnsi="Times New Roman"/>
          <w:b w:val="0"/>
          <w:color w:val="000000" w:themeColor="text1"/>
          <w:sz w:val="20"/>
          <w:lang w:val="en-GB"/>
        </w:rPr>
      </w:pPr>
      <w:r w:rsidRPr="0098635C">
        <w:rPr>
          <w:rFonts w:ascii="Times New Roman" w:hAnsi="Times New Roman"/>
          <w:b w:val="0"/>
          <w:color w:val="000000" w:themeColor="text1"/>
          <w:sz w:val="20"/>
          <w:lang w:val="en-GB"/>
        </w:rPr>
        <w:t>Grosell et al., 2007 demonstrated that the sensitivity of fish across a full salinity gradient is related to osmoregulatory disturbance (similar to what is observed for freshwater organisms).  The author</w:t>
      </w:r>
      <w:r w:rsidR="00140993" w:rsidRPr="0098635C">
        <w:rPr>
          <w:rFonts w:ascii="Times New Roman" w:hAnsi="Times New Roman"/>
          <w:b w:val="0"/>
          <w:color w:val="000000" w:themeColor="text1"/>
          <w:sz w:val="20"/>
          <w:lang w:val="en-GB"/>
        </w:rPr>
        <w:t xml:space="preserve">s demonstrated further that not </w:t>
      </w:r>
      <w:r w:rsidRPr="0098635C">
        <w:rPr>
          <w:rFonts w:ascii="Times New Roman" w:hAnsi="Times New Roman"/>
          <w:b w:val="0"/>
          <w:color w:val="000000" w:themeColor="text1"/>
          <w:sz w:val="20"/>
          <w:lang w:val="en-GB"/>
        </w:rPr>
        <w:t xml:space="preserve">the absolute ionic concentrations but the sodium gradient from the blood plasma to the water,  influences the copper sensitivity across the salinity gradient  The latter mechanism explained the observed higher copper sensitivity of </w:t>
      </w:r>
      <w:r w:rsidRPr="0098635C">
        <w:rPr>
          <w:rFonts w:ascii="Times New Roman" w:hAnsi="Times New Roman"/>
          <w:b w:val="0"/>
          <w:i/>
          <w:iCs/>
          <w:color w:val="000000" w:themeColor="text1"/>
          <w:sz w:val="20"/>
          <w:lang w:val="en-GB"/>
        </w:rPr>
        <w:t>Fundulus heteroclitus</w:t>
      </w:r>
      <w:r w:rsidRPr="0098635C">
        <w:rPr>
          <w:rFonts w:ascii="Times New Roman" w:hAnsi="Times New Roman"/>
          <w:b w:val="0"/>
          <w:color w:val="000000" w:themeColor="text1"/>
          <w:sz w:val="20"/>
          <w:lang w:val="en-GB"/>
        </w:rPr>
        <w:t xml:space="preserve"> in freshwater, followed by seawater and waters of intermediate salinity. </w:t>
      </w:r>
    </w:p>
    <w:p w14:paraId="56502EAD" w14:textId="77777777" w:rsidR="00D05142" w:rsidRPr="0098635C" w:rsidRDefault="00D05142" w:rsidP="0059369A">
      <w:pPr>
        <w:pStyle w:val="BodyText"/>
        <w:numPr>
          <w:ilvl w:val="0"/>
          <w:numId w:val="19"/>
        </w:numPr>
        <w:spacing w:before="120" w:after="0"/>
        <w:rPr>
          <w:color w:val="000000" w:themeColor="text1"/>
          <w:sz w:val="20"/>
        </w:rPr>
      </w:pPr>
      <w:r w:rsidRPr="0098635C">
        <w:rPr>
          <w:color w:val="000000" w:themeColor="text1"/>
          <w:sz w:val="20"/>
        </w:rPr>
        <w:t xml:space="preserve">The key indicator of copper toxicity is thus, as for freshwater, the disturbance of the sodium homeostasis. The key target tissue for copper toxicity is therefore the water/organism interface with cell wall and gill-like surfaces acting as target ligands in all species investigated. This results in relative small observed overall inter-species variability in marine NOECs (max/min ratio of 34 (after normalization for DOC) for 24 species). </w:t>
      </w:r>
    </w:p>
    <w:p w14:paraId="5D1B90C4" w14:textId="77777777" w:rsidR="00D05142" w:rsidRPr="0098635C" w:rsidRDefault="00D05142" w:rsidP="0059369A">
      <w:pPr>
        <w:pStyle w:val="BodyText"/>
        <w:numPr>
          <w:ilvl w:val="0"/>
          <w:numId w:val="19"/>
        </w:numPr>
        <w:spacing w:before="120" w:after="0"/>
        <w:rPr>
          <w:color w:val="000000" w:themeColor="text1"/>
          <w:sz w:val="20"/>
        </w:rPr>
      </w:pPr>
      <w:r w:rsidRPr="0098635C">
        <w:rPr>
          <w:color w:val="000000" w:themeColor="text1"/>
          <w:sz w:val="20"/>
        </w:rPr>
        <w:t>The copper database includes taxonomic groups/endpoints with small sizes (eg crustaceans, larval stages of molluscs and fish), indicating that sensitive organisms and life stages are covered in the marine database.</w:t>
      </w:r>
    </w:p>
    <w:p w14:paraId="058D9AF4" w14:textId="77777777" w:rsidR="00B46473" w:rsidRPr="0098635C" w:rsidRDefault="00B46473" w:rsidP="00B46473">
      <w:pPr>
        <w:spacing w:before="120"/>
        <w:rPr>
          <w:rStyle w:val="KorrUK"/>
          <w:rFonts w:ascii="Times New Roman" w:hAnsi="Times New Roman" w:cs="Times New Roman"/>
          <w:color w:val="000000" w:themeColor="text1"/>
          <w:sz w:val="20"/>
          <w:szCs w:val="20"/>
        </w:rPr>
      </w:pPr>
      <w:r w:rsidRPr="0098635C">
        <w:rPr>
          <w:color w:val="000000" w:themeColor="text1"/>
          <w:sz w:val="20"/>
          <w:szCs w:val="20"/>
        </w:rPr>
        <w:t xml:space="preserve">Based on the taxonomic groups assessed, the small inter-species variability </w:t>
      </w:r>
      <w:r w:rsidR="00EB02E8" w:rsidRPr="0098635C">
        <w:rPr>
          <w:color w:val="000000" w:themeColor="text1"/>
          <w:sz w:val="20"/>
          <w:szCs w:val="20"/>
        </w:rPr>
        <w:t xml:space="preserve">(after organic carbon </w:t>
      </w:r>
      <w:r w:rsidRPr="0098635C">
        <w:rPr>
          <w:color w:val="000000" w:themeColor="text1"/>
          <w:sz w:val="20"/>
          <w:szCs w:val="20"/>
        </w:rPr>
        <w:t xml:space="preserve">normalization) and the mode of action, it can be concluded that the effects database covers key taxonomic groups and endpoints.  </w:t>
      </w:r>
    </w:p>
    <w:p w14:paraId="247E3DC3" w14:textId="77777777" w:rsidR="00EB02E8" w:rsidRPr="0098635C" w:rsidRDefault="00B46473" w:rsidP="00EB02E8">
      <w:pPr>
        <w:spacing w:before="120"/>
        <w:rPr>
          <w:rStyle w:val="KorrUK"/>
          <w:rFonts w:ascii="Times New Roman" w:hAnsi="Times New Roman" w:cs="Times New Roman"/>
          <w:color w:val="000000" w:themeColor="text1"/>
          <w:sz w:val="20"/>
          <w:szCs w:val="20"/>
        </w:rPr>
      </w:pPr>
      <w:r w:rsidRPr="0098635C">
        <w:rPr>
          <w:rStyle w:val="KorrUK"/>
          <w:rFonts w:ascii="Times New Roman" w:hAnsi="Times New Roman" w:cs="Times New Roman"/>
          <w:bCs/>
          <w:i/>
          <w:iCs/>
          <w:color w:val="000000" w:themeColor="text1"/>
          <w:sz w:val="20"/>
          <w:szCs w:val="20"/>
          <w:u w:val="single"/>
        </w:rPr>
        <w:t>Treatment of data for one species</w:t>
      </w:r>
      <w:r w:rsidRPr="0098635C">
        <w:rPr>
          <w:rStyle w:val="KorrUK"/>
          <w:rFonts w:ascii="Times New Roman" w:hAnsi="Times New Roman" w:cs="Times New Roman"/>
          <w:b/>
          <w:bCs/>
          <w:i/>
          <w:iCs/>
          <w:color w:val="000000" w:themeColor="text1"/>
          <w:sz w:val="20"/>
          <w:szCs w:val="20"/>
        </w:rPr>
        <w:t xml:space="preserve">: </w:t>
      </w:r>
      <w:r w:rsidRPr="0098635C">
        <w:rPr>
          <w:rStyle w:val="KorrUK"/>
          <w:rFonts w:ascii="Times New Roman" w:hAnsi="Times New Roman" w:cs="Times New Roman"/>
          <w:color w:val="000000" w:themeColor="text1"/>
          <w:sz w:val="20"/>
          <w:szCs w:val="20"/>
        </w:rPr>
        <w:t>Detailed investigation of the ecotox</w:t>
      </w:r>
      <w:r w:rsidR="00B92ED5" w:rsidRPr="0098635C">
        <w:rPr>
          <w:rStyle w:val="KorrUK"/>
          <w:rFonts w:ascii="Times New Roman" w:hAnsi="Times New Roman" w:cs="Times New Roman"/>
          <w:color w:val="000000" w:themeColor="text1"/>
          <w:sz w:val="20"/>
          <w:szCs w:val="20"/>
        </w:rPr>
        <w:t>icity</w:t>
      </w:r>
      <w:r w:rsidRPr="0098635C">
        <w:rPr>
          <w:rStyle w:val="KorrUK"/>
          <w:rFonts w:ascii="Times New Roman" w:hAnsi="Times New Roman" w:cs="Times New Roman"/>
          <w:color w:val="000000" w:themeColor="text1"/>
          <w:sz w:val="20"/>
          <w:szCs w:val="20"/>
        </w:rPr>
        <w:t xml:space="preserve"> database covers realistic environmental conditions in </w:t>
      </w:r>
      <w:r w:rsidR="00EB02E8" w:rsidRPr="0098635C">
        <w:rPr>
          <w:rStyle w:val="KorrUK"/>
          <w:rFonts w:ascii="Times New Roman" w:hAnsi="Times New Roman" w:cs="Times New Roman"/>
          <w:color w:val="000000" w:themeColor="text1"/>
          <w:sz w:val="20"/>
          <w:szCs w:val="20"/>
        </w:rPr>
        <w:t>marine waters, covering DOC ranges between 0.2 mg DOC/L (open ocean)</w:t>
      </w:r>
      <w:r w:rsidR="00140993" w:rsidRPr="0098635C">
        <w:rPr>
          <w:rStyle w:val="KorrUK"/>
          <w:rFonts w:ascii="Times New Roman" w:hAnsi="Times New Roman" w:cs="Times New Roman"/>
          <w:color w:val="000000" w:themeColor="text1"/>
          <w:sz w:val="20"/>
          <w:szCs w:val="20"/>
        </w:rPr>
        <w:t xml:space="preserve"> and </w:t>
      </w:r>
      <w:r w:rsidR="00EB02E8" w:rsidRPr="0098635C">
        <w:rPr>
          <w:rStyle w:val="KorrUK"/>
          <w:rFonts w:ascii="Times New Roman" w:hAnsi="Times New Roman" w:cs="Times New Roman"/>
          <w:color w:val="000000" w:themeColor="text1"/>
          <w:sz w:val="20"/>
          <w:szCs w:val="20"/>
        </w:rPr>
        <w:t xml:space="preserve">2 mg DOC/L (typical coastal).   </w:t>
      </w:r>
      <w:r w:rsidR="00EB02E8" w:rsidRPr="0098635C">
        <w:rPr>
          <w:color w:val="000000" w:themeColor="text1"/>
          <w:sz w:val="20"/>
          <w:szCs w:val="20"/>
        </w:rPr>
        <w:t xml:space="preserve">The data </w:t>
      </w:r>
      <w:r w:rsidR="00D05142" w:rsidRPr="0098635C">
        <w:rPr>
          <w:rStyle w:val="KorrUK"/>
          <w:rFonts w:ascii="Times New Roman" w:hAnsi="Times New Roman" w:cs="Times New Roman"/>
          <w:color w:val="000000" w:themeColor="text1"/>
          <w:sz w:val="20"/>
          <w:szCs w:val="20"/>
        </w:rPr>
        <w:t>demonstrate that there is no statistical difference between the observed copper effects-DOC relationships among taxonomic groups and thus allows to perform a DOC normalization, applicable to all taxonomic groups.  The application of the DOC normalization to all taxonomic groups investigated, allows t</w:t>
      </w:r>
      <w:r w:rsidR="00B92ED5" w:rsidRPr="0098635C">
        <w:rPr>
          <w:rStyle w:val="KorrUK"/>
          <w:rFonts w:ascii="Times New Roman" w:hAnsi="Times New Roman" w:cs="Times New Roman"/>
          <w:color w:val="000000" w:themeColor="text1"/>
          <w:sz w:val="20"/>
          <w:szCs w:val="20"/>
        </w:rPr>
        <w:t xml:space="preserve">he prediction of </w:t>
      </w:r>
      <w:r w:rsidR="00D05142" w:rsidRPr="0098635C">
        <w:rPr>
          <w:rStyle w:val="KorrUK"/>
          <w:rFonts w:ascii="Times New Roman" w:hAnsi="Times New Roman" w:cs="Times New Roman"/>
          <w:color w:val="000000" w:themeColor="text1"/>
          <w:sz w:val="20"/>
          <w:szCs w:val="20"/>
        </w:rPr>
        <w:t>all observed NOEC/EC</w:t>
      </w:r>
      <w:r w:rsidR="00D05142" w:rsidRPr="0098635C">
        <w:rPr>
          <w:rStyle w:val="KorrUK"/>
          <w:rFonts w:ascii="Times New Roman" w:hAnsi="Times New Roman" w:cs="Times New Roman"/>
          <w:color w:val="000000" w:themeColor="text1"/>
          <w:sz w:val="20"/>
          <w:szCs w:val="20"/>
          <w:vertAlign w:val="subscript"/>
        </w:rPr>
        <w:t>10</w:t>
      </w:r>
      <w:r w:rsidR="00D05142" w:rsidRPr="0098635C">
        <w:rPr>
          <w:rStyle w:val="KorrUK"/>
          <w:rFonts w:ascii="Times New Roman" w:hAnsi="Times New Roman" w:cs="Times New Roman"/>
          <w:color w:val="000000" w:themeColor="text1"/>
          <w:sz w:val="20"/>
          <w:szCs w:val="20"/>
        </w:rPr>
        <w:t xml:space="preserve"> values (derived under varying DOC levels) within a factor of 2.  </w:t>
      </w:r>
    </w:p>
    <w:p w14:paraId="1A142162" w14:textId="77777777" w:rsidR="00EB02E8" w:rsidRPr="0098635C" w:rsidRDefault="00EB02E8" w:rsidP="00EB02E8">
      <w:pPr>
        <w:spacing w:before="120"/>
        <w:rPr>
          <w:color w:val="000000" w:themeColor="text1"/>
          <w:sz w:val="20"/>
          <w:szCs w:val="20"/>
        </w:rPr>
      </w:pPr>
      <w:r w:rsidRPr="0098635C">
        <w:rPr>
          <w:rStyle w:val="KorrUK"/>
          <w:rFonts w:ascii="Times New Roman" w:hAnsi="Times New Roman" w:cs="Times New Roman"/>
          <w:color w:val="000000" w:themeColor="text1"/>
          <w:sz w:val="20"/>
          <w:szCs w:val="20"/>
        </w:rPr>
        <w:t xml:space="preserve"> </w:t>
      </w:r>
      <w:r w:rsidR="00B46473" w:rsidRPr="0098635C">
        <w:rPr>
          <w:bCs/>
          <w:i/>
          <w:iCs/>
          <w:color w:val="000000" w:themeColor="text1"/>
          <w:sz w:val="20"/>
          <w:szCs w:val="20"/>
          <w:u w:val="single"/>
        </w:rPr>
        <w:t>Statistical uncertainties around the 5</w:t>
      </w:r>
      <w:r w:rsidR="00B46473" w:rsidRPr="0098635C">
        <w:rPr>
          <w:bCs/>
          <w:i/>
          <w:iCs/>
          <w:color w:val="000000" w:themeColor="text1"/>
          <w:sz w:val="20"/>
          <w:szCs w:val="20"/>
          <w:u w:val="single"/>
          <w:vertAlign w:val="superscript"/>
        </w:rPr>
        <w:t>th</w:t>
      </w:r>
      <w:r w:rsidR="00B46473" w:rsidRPr="0098635C">
        <w:rPr>
          <w:bCs/>
          <w:i/>
          <w:iCs/>
          <w:color w:val="000000" w:themeColor="text1"/>
          <w:sz w:val="20"/>
          <w:szCs w:val="20"/>
          <w:u w:val="single"/>
        </w:rPr>
        <w:t xml:space="preserve"> percentile estimate:</w:t>
      </w:r>
      <w:r w:rsidR="00B46473" w:rsidRPr="0098635C">
        <w:rPr>
          <w:color w:val="000000" w:themeColor="text1"/>
          <w:sz w:val="20"/>
          <w:szCs w:val="20"/>
        </w:rPr>
        <w:t xml:space="preserve"> </w:t>
      </w:r>
      <w:r w:rsidRPr="0098635C">
        <w:rPr>
          <w:color w:val="000000" w:themeColor="text1"/>
          <w:sz w:val="20"/>
          <w:szCs w:val="20"/>
        </w:rPr>
        <w:t>Parametric statistical analysis was undertaken using the BestFit software (Palisade Inc.) and the ETX model.  The different parametric curve fittings were ranked by statistical tests of fitness.  The data were also assessed with the semi-parametric kernel density estimation.  Based on the parametric tests, HC</w:t>
      </w:r>
      <w:r w:rsidRPr="0098635C">
        <w:rPr>
          <w:color w:val="000000" w:themeColor="text1"/>
          <w:sz w:val="20"/>
          <w:szCs w:val="20"/>
          <w:vertAlign w:val="subscript"/>
        </w:rPr>
        <w:t>5,50%</w:t>
      </w:r>
      <w:r w:rsidRPr="0098635C">
        <w:rPr>
          <w:color w:val="000000" w:themeColor="text1"/>
          <w:sz w:val="20"/>
          <w:szCs w:val="20"/>
        </w:rPr>
        <w:t xml:space="preserve"> values, derived from the Q1 data-set, coastal zone (2 mg DOC/L) scenario range between of 4.4 µg Cu/L (log normal) to 5.2 µg Cu/L( Best-fit). The HC</w:t>
      </w:r>
      <w:r w:rsidRPr="0098635C">
        <w:rPr>
          <w:color w:val="000000" w:themeColor="text1"/>
          <w:sz w:val="20"/>
          <w:szCs w:val="20"/>
          <w:vertAlign w:val="subscript"/>
        </w:rPr>
        <w:t>5,50%</w:t>
      </w:r>
      <w:r w:rsidRPr="0098635C">
        <w:rPr>
          <w:color w:val="000000" w:themeColor="text1"/>
          <w:sz w:val="20"/>
          <w:szCs w:val="20"/>
        </w:rPr>
        <w:t xml:space="preserve"> value derived from the semi-parametric Kernel Density Estimation was 4.8 µg Cu/L.</w:t>
      </w:r>
      <w:r w:rsidR="00C74FBE" w:rsidRPr="0098635C">
        <w:rPr>
          <w:color w:val="000000" w:themeColor="text1"/>
          <w:sz w:val="20"/>
          <w:szCs w:val="20"/>
        </w:rPr>
        <w:t xml:space="preserve">  </w:t>
      </w:r>
    </w:p>
    <w:p w14:paraId="11516148" w14:textId="3BEEF739" w:rsidR="00D05142" w:rsidRPr="0098635C" w:rsidRDefault="00D05142" w:rsidP="00D05142">
      <w:pPr>
        <w:spacing w:before="120"/>
        <w:rPr>
          <w:rStyle w:val="KorrUK"/>
          <w:rFonts w:ascii="Times New Roman" w:hAnsi="Times New Roman" w:cs="Times New Roman"/>
          <w:color w:val="000000" w:themeColor="text1"/>
          <w:sz w:val="20"/>
          <w:szCs w:val="20"/>
        </w:rPr>
      </w:pPr>
      <w:r w:rsidRPr="0098635C">
        <w:rPr>
          <w:color w:val="000000" w:themeColor="text1"/>
          <w:sz w:val="20"/>
          <w:szCs w:val="20"/>
        </w:rPr>
        <w:t>To evaluate the robustness of the HC</w:t>
      </w:r>
      <w:r w:rsidRPr="0098635C">
        <w:rPr>
          <w:color w:val="000000" w:themeColor="text1"/>
          <w:sz w:val="20"/>
          <w:szCs w:val="20"/>
          <w:vertAlign w:val="subscript"/>
        </w:rPr>
        <w:t>5,50%</w:t>
      </w:r>
      <w:r w:rsidRPr="0098635C">
        <w:rPr>
          <w:color w:val="000000" w:themeColor="text1"/>
          <w:sz w:val="20"/>
          <w:szCs w:val="20"/>
        </w:rPr>
        <w:t xml:space="preserve"> values derived, several sensitivity analysis w</w:t>
      </w:r>
      <w:r w:rsidR="00B92ED5" w:rsidRPr="0098635C">
        <w:rPr>
          <w:color w:val="000000" w:themeColor="text1"/>
          <w:sz w:val="20"/>
          <w:szCs w:val="20"/>
        </w:rPr>
        <w:t>ere</w:t>
      </w:r>
      <w:r w:rsidRPr="0098635C">
        <w:rPr>
          <w:color w:val="000000" w:themeColor="text1"/>
          <w:sz w:val="20"/>
          <w:szCs w:val="20"/>
        </w:rPr>
        <w:t xml:space="preserve"> </w:t>
      </w:r>
      <w:r w:rsidR="00247E89" w:rsidRPr="0098635C">
        <w:rPr>
          <w:color w:val="000000" w:themeColor="text1"/>
          <w:sz w:val="20"/>
          <w:szCs w:val="20"/>
        </w:rPr>
        <w:t>performed:</w:t>
      </w:r>
      <w:r w:rsidR="00C74FBE" w:rsidRPr="0098635C">
        <w:rPr>
          <w:color w:val="000000" w:themeColor="text1"/>
          <w:sz w:val="20"/>
          <w:szCs w:val="20"/>
        </w:rPr>
        <w:t xml:space="preserve"> (1) using only NOECs/EC</w:t>
      </w:r>
      <w:r w:rsidR="00C74FBE" w:rsidRPr="0098635C">
        <w:rPr>
          <w:color w:val="000000" w:themeColor="text1"/>
          <w:sz w:val="20"/>
          <w:szCs w:val="20"/>
          <w:vertAlign w:val="subscript"/>
        </w:rPr>
        <w:t>10</w:t>
      </w:r>
      <w:r w:rsidR="00C74FBE" w:rsidRPr="0098635C">
        <w:rPr>
          <w:color w:val="000000" w:themeColor="text1"/>
          <w:sz w:val="20"/>
          <w:szCs w:val="20"/>
        </w:rPr>
        <w:t>s from “truly filtered” systems; (2) inclusion of the Q2 and Q3 NOECs/EC</w:t>
      </w:r>
      <w:r w:rsidR="00C74FBE" w:rsidRPr="0098635C">
        <w:rPr>
          <w:color w:val="000000" w:themeColor="text1"/>
          <w:sz w:val="20"/>
          <w:szCs w:val="20"/>
          <w:vertAlign w:val="subscript"/>
        </w:rPr>
        <w:t>10</w:t>
      </w:r>
      <w:r w:rsidR="00C74FBE" w:rsidRPr="0098635C">
        <w:rPr>
          <w:color w:val="000000" w:themeColor="text1"/>
          <w:sz w:val="20"/>
          <w:szCs w:val="20"/>
        </w:rPr>
        <w:t>s; (3) considering varying DOC quality.  The HC</w:t>
      </w:r>
      <w:r w:rsidR="00C74FBE" w:rsidRPr="0098635C">
        <w:rPr>
          <w:color w:val="000000" w:themeColor="text1"/>
          <w:sz w:val="20"/>
          <w:szCs w:val="20"/>
          <w:vertAlign w:val="subscript"/>
        </w:rPr>
        <w:t>5,50%</w:t>
      </w:r>
      <w:r w:rsidR="00C74FBE" w:rsidRPr="0098635C">
        <w:rPr>
          <w:color w:val="000000" w:themeColor="text1"/>
          <w:sz w:val="20"/>
          <w:szCs w:val="20"/>
        </w:rPr>
        <w:t xml:space="preserve"> values obtained from non-rejected parametric distributions range between 4.3 and 6.0 µg Cu/L with a median value of 5.2 µg Cu/L  (at 2mg DOC/L). Based on the statistical uncertainty and sensitivity analysis, it was concluded that an HC</w:t>
      </w:r>
      <w:r w:rsidR="00C74FBE" w:rsidRPr="0098635C">
        <w:rPr>
          <w:color w:val="000000" w:themeColor="text1"/>
          <w:sz w:val="20"/>
          <w:szCs w:val="20"/>
          <w:vertAlign w:val="subscript"/>
        </w:rPr>
        <w:t>5,50%</w:t>
      </w:r>
      <w:r w:rsidR="00C74FBE" w:rsidRPr="0098635C">
        <w:rPr>
          <w:color w:val="000000" w:themeColor="text1"/>
          <w:sz w:val="20"/>
          <w:szCs w:val="20"/>
        </w:rPr>
        <w:t xml:space="preserve"> value of 5.2 µg Cu/L is a robust, statistically sound HC</w:t>
      </w:r>
      <w:r w:rsidR="00C74FBE" w:rsidRPr="0098635C">
        <w:rPr>
          <w:color w:val="000000" w:themeColor="text1"/>
          <w:sz w:val="20"/>
          <w:szCs w:val="20"/>
          <w:vertAlign w:val="subscript"/>
        </w:rPr>
        <w:t>5,50%</w:t>
      </w:r>
      <w:r w:rsidR="00C74FBE" w:rsidRPr="0098635C">
        <w:rPr>
          <w:color w:val="000000" w:themeColor="text1"/>
          <w:sz w:val="20"/>
          <w:szCs w:val="20"/>
        </w:rPr>
        <w:t xml:space="preserve"> determination, applicable to coastal waters. The sensitivity analysis shows that the uncertainty around this value is very low.</w:t>
      </w:r>
    </w:p>
    <w:p w14:paraId="7A0DAEDD" w14:textId="77777777" w:rsidR="00C74FBE" w:rsidRPr="0098635C" w:rsidRDefault="00B46473" w:rsidP="00C74FBE">
      <w:pPr>
        <w:pStyle w:val="BodyText"/>
        <w:spacing w:before="120" w:after="0"/>
        <w:rPr>
          <w:rStyle w:val="KorrUK"/>
          <w:rFonts w:ascii="Times New Roman" w:hAnsi="Times New Roman" w:cs="Times New Roman"/>
          <w:color w:val="000000" w:themeColor="text1"/>
          <w:sz w:val="20"/>
          <w:szCs w:val="20"/>
        </w:rPr>
      </w:pPr>
      <w:r w:rsidRPr="0098635C">
        <w:rPr>
          <w:bCs/>
          <w:i/>
          <w:iCs/>
          <w:color w:val="000000" w:themeColor="text1"/>
          <w:sz w:val="20"/>
          <w:u w:val="single"/>
        </w:rPr>
        <w:t>Evaluation of NOEC values below the HC</w:t>
      </w:r>
      <w:r w:rsidRPr="0098635C">
        <w:rPr>
          <w:bCs/>
          <w:i/>
          <w:iCs/>
          <w:color w:val="000000" w:themeColor="text1"/>
          <w:sz w:val="20"/>
          <w:u w:val="single"/>
          <w:vertAlign w:val="subscript"/>
        </w:rPr>
        <w:t>5,50%</w:t>
      </w:r>
      <w:r w:rsidRPr="0098635C">
        <w:rPr>
          <w:b/>
          <w:bCs/>
          <w:i/>
          <w:iCs/>
          <w:color w:val="000000" w:themeColor="text1"/>
          <w:sz w:val="20"/>
        </w:rPr>
        <w:t xml:space="preserve">: </w:t>
      </w:r>
      <w:r w:rsidR="00D05142" w:rsidRPr="0098635C">
        <w:rPr>
          <w:color w:val="000000" w:themeColor="text1"/>
          <w:sz w:val="20"/>
        </w:rPr>
        <w:t>The lowest species-specific NOEC (4</w:t>
      </w:r>
      <w:r w:rsidR="00C3435B" w:rsidRPr="0098635C">
        <w:rPr>
          <w:color w:val="000000" w:themeColor="text1"/>
          <w:sz w:val="20"/>
        </w:rPr>
        <w:t xml:space="preserve"> </w:t>
      </w:r>
      <w:r w:rsidR="00D05142" w:rsidRPr="0098635C">
        <w:rPr>
          <w:color w:val="000000" w:themeColor="text1"/>
          <w:sz w:val="20"/>
        </w:rPr>
        <w:t xml:space="preserve">µg Cu/L for </w:t>
      </w:r>
      <w:r w:rsidR="00D05142" w:rsidRPr="0098635C">
        <w:rPr>
          <w:i/>
          <w:iCs/>
          <w:color w:val="000000" w:themeColor="text1"/>
          <w:sz w:val="20"/>
        </w:rPr>
        <w:t>Phaeodactylum</w:t>
      </w:r>
      <w:r w:rsidR="00D05142" w:rsidRPr="0098635C">
        <w:rPr>
          <w:color w:val="000000" w:themeColor="text1"/>
          <w:sz w:val="20"/>
        </w:rPr>
        <w:t xml:space="preserve">) is only a </w:t>
      </w:r>
      <w:r w:rsidR="00C3435B" w:rsidRPr="0098635C">
        <w:rPr>
          <w:color w:val="000000" w:themeColor="text1"/>
          <w:sz w:val="20"/>
        </w:rPr>
        <w:t>slightly</w:t>
      </w:r>
      <w:r w:rsidR="00D05142" w:rsidRPr="0098635C">
        <w:rPr>
          <w:color w:val="000000" w:themeColor="text1"/>
          <w:sz w:val="20"/>
        </w:rPr>
        <w:t xml:space="preserve"> below the HC</w:t>
      </w:r>
      <w:r w:rsidR="00D05142" w:rsidRPr="0098635C">
        <w:rPr>
          <w:color w:val="000000" w:themeColor="text1"/>
          <w:sz w:val="20"/>
          <w:vertAlign w:val="subscript"/>
        </w:rPr>
        <w:t>5,50%</w:t>
      </w:r>
      <w:r w:rsidR="00D05142" w:rsidRPr="0098635C">
        <w:rPr>
          <w:color w:val="000000" w:themeColor="text1"/>
          <w:sz w:val="20"/>
        </w:rPr>
        <w:t xml:space="preserve"> value (5.2 µg Cu/l), derived with the best fitting.  Having one NOEC below the HC</w:t>
      </w:r>
      <w:r w:rsidR="00D05142" w:rsidRPr="0098635C">
        <w:rPr>
          <w:color w:val="000000" w:themeColor="text1"/>
          <w:sz w:val="20"/>
          <w:vertAlign w:val="subscript"/>
        </w:rPr>
        <w:t>5,50%</w:t>
      </w:r>
      <w:r w:rsidR="00D05142" w:rsidRPr="0098635C">
        <w:rPr>
          <w:color w:val="000000" w:themeColor="text1"/>
          <w:sz w:val="20"/>
        </w:rPr>
        <w:t xml:space="preserve"> is thus merely a statistical phenomenon related to the large number of species in the database (24 species).  Comparing the HC</w:t>
      </w:r>
      <w:r w:rsidR="00D05142" w:rsidRPr="0098635C">
        <w:rPr>
          <w:color w:val="000000" w:themeColor="text1"/>
          <w:sz w:val="20"/>
          <w:vertAlign w:val="subscript"/>
        </w:rPr>
        <w:t>5,50%</w:t>
      </w:r>
      <w:r w:rsidR="00D05142" w:rsidRPr="0098635C">
        <w:rPr>
          <w:color w:val="000000" w:themeColor="text1"/>
          <w:sz w:val="20"/>
        </w:rPr>
        <w:t xml:space="preserve"> values with the species-specific NOECs obtained from the Q1+Q2+Q3 dataset shows that the species (geometric) mean NOEC values for the most sensitive endpoints have increased: for </w:t>
      </w:r>
      <w:r w:rsidR="00D05142" w:rsidRPr="0098635C">
        <w:rPr>
          <w:i/>
          <w:iCs/>
          <w:color w:val="000000" w:themeColor="text1"/>
          <w:sz w:val="20"/>
        </w:rPr>
        <w:t>Phaeodactylum</w:t>
      </w:r>
      <w:r w:rsidR="00B81D56" w:rsidRPr="0098635C">
        <w:rPr>
          <w:color w:val="000000" w:themeColor="text1"/>
          <w:sz w:val="20"/>
        </w:rPr>
        <w:t xml:space="preserve"> 4</w:t>
      </w:r>
      <w:r w:rsidR="00D05142" w:rsidRPr="0098635C">
        <w:rPr>
          <w:color w:val="000000" w:themeColor="text1"/>
          <w:sz w:val="20"/>
        </w:rPr>
        <w:t xml:space="preserve"> µg l</w:t>
      </w:r>
      <w:r w:rsidR="00D05142" w:rsidRPr="0098635C">
        <w:rPr>
          <w:color w:val="000000" w:themeColor="text1"/>
          <w:sz w:val="20"/>
          <w:vertAlign w:val="superscript"/>
        </w:rPr>
        <w:t>-1</w:t>
      </w:r>
      <w:r w:rsidR="00D05142" w:rsidRPr="0098635C">
        <w:rPr>
          <w:color w:val="000000" w:themeColor="text1"/>
          <w:sz w:val="20"/>
        </w:rPr>
        <w:t xml:space="preserve"> (Q1 only) to 13.4 µg l</w:t>
      </w:r>
      <w:r w:rsidR="00D05142" w:rsidRPr="0098635C">
        <w:rPr>
          <w:color w:val="000000" w:themeColor="text1"/>
          <w:sz w:val="20"/>
          <w:vertAlign w:val="superscript"/>
        </w:rPr>
        <w:t>-1</w:t>
      </w:r>
      <w:r w:rsidR="00D05142" w:rsidRPr="0098635C">
        <w:rPr>
          <w:color w:val="000000" w:themeColor="text1"/>
          <w:sz w:val="20"/>
        </w:rPr>
        <w:t xml:space="preserve"> (all data).  The Q3 dataset (64 species-mean NOECs) returns another species with species mean NOEC at or below the HC5,50% (</w:t>
      </w:r>
      <w:r w:rsidR="00D05142" w:rsidRPr="0098635C">
        <w:rPr>
          <w:i/>
          <w:iCs/>
          <w:color w:val="000000" w:themeColor="text1"/>
          <w:sz w:val="20"/>
        </w:rPr>
        <w:t>Spisula solidissima</w:t>
      </w:r>
      <w:r w:rsidR="00D05142" w:rsidRPr="0098635C">
        <w:rPr>
          <w:color w:val="000000" w:themeColor="text1"/>
          <w:sz w:val="20"/>
        </w:rPr>
        <w:t>, with a NOEC of 5 µg Cu/L). Having one NOEC below the HC</w:t>
      </w:r>
      <w:r w:rsidR="00D05142" w:rsidRPr="0098635C">
        <w:rPr>
          <w:color w:val="000000" w:themeColor="text1"/>
          <w:sz w:val="20"/>
          <w:vertAlign w:val="subscript"/>
        </w:rPr>
        <w:t>5,50%</w:t>
      </w:r>
      <w:r w:rsidR="00D05142" w:rsidRPr="0098635C">
        <w:rPr>
          <w:color w:val="000000" w:themeColor="text1"/>
          <w:sz w:val="20"/>
        </w:rPr>
        <w:t xml:space="preserve"> is thus again merely a statistical phenomenon related to the large number of species in the database (64 species).   </w:t>
      </w:r>
    </w:p>
    <w:p w14:paraId="79FA5ED3" w14:textId="598F2889" w:rsidR="002A7D81" w:rsidRPr="0098635C" w:rsidRDefault="00D05142" w:rsidP="00C74FBE">
      <w:pPr>
        <w:pStyle w:val="BodyText"/>
        <w:spacing w:before="120" w:after="0"/>
        <w:rPr>
          <w:i/>
          <w:color w:val="000000" w:themeColor="text1"/>
          <w:sz w:val="20"/>
          <w:u w:val="single"/>
        </w:rPr>
      </w:pPr>
      <w:r w:rsidRPr="0098635C">
        <w:rPr>
          <w:i/>
          <w:color w:val="000000" w:themeColor="text1"/>
          <w:sz w:val="20"/>
          <w:u w:val="single"/>
        </w:rPr>
        <w:t xml:space="preserve">Comparison to background </w:t>
      </w:r>
      <w:r w:rsidR="00247E89" w:rsidRPr="0098635C">
        <w:rPr>
          <w:i/>
          <w:color w:val="000000" w:themeColor="text1"/>
          <w:sz w:val="20"/>
          <w:u w:val="single"/>
        </w:rPr>
        <w:t>levels and</w:t>
      </w:r>
      <w:r w:rsidRPr="0098635C">
        <w:rPr>
          <w:i/>
          <w:color w:val="000000" w:themeColor="text1"/>
          <w:sz w:val="20"/>
          <w:u w:val="single"/>
        </w:rPr>
        <w:t xml:space="preserve"> copper deficiency levels</w:t>
      </w:r>
    </w:p>
    <w:p w14:paraId="1514BF50" w14:textId="77777777" w:rsidR="00C74FBE" w:rsidRPr="0098635C" w:rsidRDefault="00D05142" w:rsidP="00C74FBE">
      <w:pPr>
        <w:pStyle w:val="BodyText"/>
        <w:spacing w:before="120" w:after="0"/>
        <w:rPr>
          <w:color w:val="000000" w:themeColor="text1"/>
          <w:sz w:val="20"/>
        </w:rPr>
      </w:pPr>
      <w:r w:rsidRPr="0098635C">
        <w:rPr>
          <w:color w:val="000000" w:themeColor="text1"/>
          <w:sz w:val="20"/>
        </w:rPr>
        <w:t>Nutrient deficiency, including copper deficiency is documented in open ocean scenarios.  For the OSPAR regions, dissolved background copper levels, estimated from off shore samples, range between 0.050 and 0.360 µg/L (OSPAR,2001). The H</w:t>
      </w:r>
      <w:r w:rsidRPr="0098635C">
        <w:rPr>
          <w:color w:val="000000" w:themeColor="text1"/>
          <w:sz w:val="20"/>
          <w:vertAlign w:val="subscript"/>
        </w:rPr>
        <w:t>C5,50%</w:t>
      </w:r>
      <w:r w:rsidRPr="0098635C">
        <w:rPr>
          <w:color w:val="000000" w:themeColor="text1"/>
          <w:sz w:val="20"/>
        </w:rPr>
        <w:t xml:space="preserve"> derived for the open ocean (0.2 mg/L) is 1.3 µg Cu/L and thus slightly above the background levels of an open ocean system.</w:t>
      </w:r>
    </w:p>
    <w:p w14:paraId="57FC20E0" w14:textId="77777777" w:rsidR="00C74FBE" w:rsidRPr="0098635C" w:rsidRDefault="00D05142" w:rsidP="00C74FBE">
      <w:pPr>
        <w:pStyle w:val="BodyText"/>
        <w:spacing w:before="120" w:after="0"/>
        <w:rPr>
          <w:rStyle w:val="KorrUK"/>
          <w:rFonts w:ascii="Times New Roman" w:hAnsi="Times New Roman" w:cs="Times New Roman"/>
          <w:color w:val="000000" w:themeColor="text1"/>
          <w:sz w:val="20"/>
          <w:szCs w:val="20"/>
        </w:rPr>
      </w:pPr>
      <w:r w:rsidRPr="0098635C">
        <w:rPr>
          <w:color w:val="000000" w:themeColor="text1"/>
          <w:sz w:val="20"/>
        </w:rPr>
        <w:t>Copper levels in the controls of the retained Q1 ecotoxicity tests were &lt; 4.3 µg Cu/l with a median value of 2.4 µg Cu/L.   The Q1 HC</w:t>
      </w:r>
      <w:r w:rsidRPr="0098635C">
        <w:rPr>
          <w:color w:val="000000" w:themeColor="text1"/>
          <w:sz w:val="20"/>
          <w:vertAlign w:val="subscript"/>
        </w:rPr>
        <w:t>5,50%</w:t>
      </w:r>
      <w:r w:rsidRPr="0098635C">
        <w:rPr>
          <w:color w:val="000000" w:themeColor="text1"/>
          <w:sz w:val="20"/>
        </w:rPr>
        <w:t xml:space="preserve"> values derived from best fitting distributions (1.3 to 5.2 µg Cu/l ) is thus around the copper levels in control test media. </w:t>
      </w:r>
    </w:p>
    <w:p w14:paraId="7E860FC8" w14:textId="431F1FA8" w:rsidR="00D05142" w:rsidRPr="0098635C" w:rsidRDefault="00B46473" w:rsidP="00D05142">
      <w:pPr>
        <w:spacing w:before="120"/>
        <w:rPr>
          <w:color w:val="000000" w:themeColor="text1"/>
          <w:sz w:val="20"/>
          <w:szCs w:val="20"/>
        </w:rPr>
      </w:pPr>
      <w:r w:rsidRPr="0098635C">
        <w:rPr>
          <w:bCs/>
          <w:i/>
          <w:iCs/>
          <w:color w:val="000000" w:themeColor="text1"/>
          <w:sz w:val="20"/>
          <w:szCs w:val="20"/>
          <w:u w:val="single"/>
        </w:rPr>
        <w:lastRenderedPageBreak/>
        <w:t>Summary of the derived HC5,50% and conservative elements built into the HC</w:t>
      </w:r>
      <w:r w:rsidRPr="0098635C">
        <w:rPr>
          <w:bCs/>
          <w:i/>
          <w:iCs/>
          <w:color w:val="000000" w:themeColor="text1"/>
          <w:sz w:val="20"/>
          <w:szCs w:val="20"/>
          <w:u w:val="single"/>
          <w:vertAlign w:val="subscript"/>
        </w:rPr>
        <w:t>5,50</w:t>
      </w:r>
      <w:r w:rsidR="00247E89" w:rsidRPr="0098635C">
        <w:rPr>
          <w:bCs/>
          <w:i/>
          <w:iCs/>
          <w:color w:val="000000" w:themeColor="text1"/>
          <w:sz w:val="20"/>
          <w:szCs w:val="20"/>
          <w:u w:val="single"/>
          <w:vertAlign w:val="subscript"/>
        </w:rPr>
        <w:t>%</w:t>
      </w:r>
      <w:r w:rsidR="00247E89" w:rsidRPr="0098635C">
        <w:rPr>
          <w:bCs/>
          <w:i/>
          <w:iCs/>
          <w:color w:val="000000" w:themeColor="text1"/>
          <w:sz w:val="20"/>
          <w:szCs w:val="20"/>
          <w:u w:val="single"/>
        </w:rPr>
        <w:t>:</w:t>
      </w:r>
      <w:r w:rsidRPr="0098635C">
        <w:rPr>
          <w:bCs/>
          <w:i/>
          <w:iCs/>
          <w:color w:val="000000" w:themeColor="text1"/>
          <w:sz w:val="20"/>
          <w:szCs w:val="20"/>
          <w:u w:val="single"/>
        </w:rPr>
        <w:t xml:space="preserve"> </w:t>
      </w:r>
      <w:r w:rsidR="00D05142" w:rsidRPr="0098635C">
        <w:rPr>
          <w:rStyle w:val="KorrUK"/>
          <w:rFonts w:ascii="Times New Roman" w:hAnsi="Times New Roman" w:cs="Times New Roman"/>
          <w:color w:val="000000" w:themeColor="text1"/>
          <w:sz w:val="20"/>
          <w:szCs w:val="20"/>
        </w:rPr>
        <w:t xml:space="preserve">From the above summary, it is concluded that </w:t>
      </w:r>
      <w:r w:rsidR="00C74FBE" w:rsidRPr="0098635C">
        <w:rPr>
          <w:color w:val="000000" w:themeColor="text1"/>
          <w:sz w:val="20"/>
          <w:szCs w:val="20"/>
        </w:rPr>
        <w:t xml:space="preserve">the copper marine effects database contains a large number of high quality chronic NOEC values (NOECs for 24 species), covering sensitive life stages and taxonomic groups.  </w:t>
      </w:r>
      <w:r w:rsidR="00D05142" w:rsidRPr="0098635C">
        <w:rPr>
          <w:rStyle w:val="KorrUK"/>
          <w:rFonts w:ascii="Times New Roman" w:hAnsi="Times New Roman" w:cs="Times New Roman"/>
          <w:color w:val="000000" w:themeColor="text1"/>
          <w:sz w:val="20"/>
          <w:szCs w:val="20"/>
        </w:rPr>
        <w:t xml:space="preserve">The organic carbon normalization was validated for 6 species and applied to the whole toxicity database. </w:t>
      </w:r>
      <w:r w:rsidR="00D05142" w:rsidRPr="0098635C">
        <w:rPr>
          <w:rStyle w:val="KorrUK"/>
          <w:rFonts w:ascii="Times New Roman" w:hAnsi="Times New Roman" w:cs="Times New Roman"/>
          <w:color w:val="000000" w:themeColor="text1"/>
          <w:sz w:val="20"/>
          <w:szCs w:val="20"/>
          <w:lang w:eastAsia="nl-NL"/>
        </w:rPr>
        <w:t>The uncertainty and sensitivity analysis of the data and data treatment clearly demonstrate the robustness of the derived copper HC</w:t>
      </w:r>
      <w:r w:rsidR="00D05142" w:rsidRPr="0098635C">
        <w:rPr>
          <w:rStyle w:val="KorrUK"/>
          <w:rFonts w:ascii="Times New Roman" w:hAnsi="Times New Roman" w:cs="Times New Roman"/>
          <w:color w:val="000000" w:themeColor="text1"/>
          <w:sz w:val="20"/>
          <w:szCs w:val="20"/>
          <w:vertAlign w:val="subscript"/>
          <w:lang w:eastAsia="nl-NL"/>
        </w:rPr>
        <w:t>5,50%</w:t>
      </w:r>
      <w:r w:rsidR="00D05142" w:rsidRPr="0098635C">
        <w:rPr>
          <w:rStyle w:val="KorrUK"/>
          <w:rFonts w:ascii="Times New Roman" w:hAnsi="Times New Roman" w:cs="Times New Roman"/>
          <w:color w:val="000000" w:themeColor="text1"/>
          <w:sz w:val="20"/>
          <w:szCs w:val="20"/>
          <w:lang w:eastAsia="nl-NL"/>
        </w:rPr>
        <w:t xml:space="preserve"> values and do not </w:t>
      </w:r>
      <w:r w:rsidR="00C74FBE" w:rsidRPr="0098635C">
        <w:rPr>
          <w:color w:val="000000" w:themeColor="text1"/>
          <w:sz w:val="20"/>
          <w:szCs w:val="20"/>
        </w:rPr>
        <w:t>indicate for an additional need of an AF on the HC</w:t>
      </w:r>
      <w:r w:rsidR="00C74FBE" w:rsidRPr="0098635C">
        <w:rPr>
          <w:color w:val="000000" w:themeColor="text1"/>
          <w:sz w:val="20"/>
          <w:szCs w:val="20"/>
          <w:vertAlign w:val="subscript"/>
        </w:rPr>
        <w:t>5,50%</w:t>
      </w:r>
      <w:r w:rsidR="00C74FBE" w:rsidRPr="0098635C">
        <w:rPr>
          <w:color w:val="000000" w:themeColor="text1"/>
          <w:sz w:val="20"/>
          <w:szCs w:val="20"/>
        </w:rPr>
        <w:t xml:space="preserve"> values</w:t>
      </w:r>
      <w:r w:rsidR="00D05142" w:rsidRPr="0098635C">
        <w:rPr>
          <w:rStyle w:val="KorrUK"/>
          <w:rFonts w:ascii="Times New Roman" w:hAnsi="Times New Roman" w:cs="Times New Roman"/>
          <w:color w:val="000000" w:themeColor="text1"/>
          <w:sz w:val="20"/>
          <w:szCs w:val="20"/>
          <w:lang w:eastAsia="nl-NL"/>
        </w:rPr>
        <w:t xml:space="preserve">. </w:t>
      </w:r>
    </w:p>
    <w:p w14:paraId="781866C3" w14:textId="77777777" w:rsidR="00D05142" w:rsidRPr="0098635C" w:rsidRDefault="00C74FBE" w:rsidP="00D05142">
      <w:pPr>
        <w:spacing w:before="120"/>
        <w:rPr>
          <w:color w:val="000000" w:themeColor="text1"/>
          <w:sz w:val="20"/>
          <w:szCs w:val="20"/>
        </w:rPr>
      </w:pPr>
      <w:r w:rsidRPr="0098635C">
        <w:rPr>
          <w:color w:val="000000" w:themeColor="text1"/>
          <w:sz w:val="20"/>
          <w:szCs w:val="20"/>
        </w:rPr>
        <w:t>Some key conservative elements have been incorporated in the HC</w:t>
      </w:r>
      <w:r w:rsidRPr="0098635C">
        <w:rPr>
          <w:color w:val="000000" w:themeColor="text1"/>
          <w:sz w:val="20"/>
          <w:szCs w:val="20"/>
          <w:vertAlign w:val="subscript"/>
        </w:rPr>
        <w:t>5,50%</w:t>
      </w:r>
      <w:r w:rsidRPr="0098635C">
        <w:rPr>
          <w:color w:val="000000" w:themeColor="text1"/>
          <w:sz w:val="20"/>
          <w:szCs w:val="20"/>
        </w:rPr>
        <w:t xml:space="preserve"> settings proposed:</w:t>
      </w:r>
    </w:p>
    <w:p w14:paraId="5B2B3176" w14:textId="77777777" w:rsidR="00D05142" w:rsidRPr="0098635C" w:rsidRDefault="00C74FBE" w:rsidP="0059369A">
      <w:pPr>
        <w:widowControl/>
        <w:numPr>
          <w:ilvl w:val="0"/>
          <w:numId w:val="17"/>
        </w:numPr>
        <w:autoSpaceDE/>
        <w:autoSpaceDN/>
        <w:adjustRightInd/>
        <w:spacing w:before="120" w:after="0"/>
        <w:rPr>
          <w:color w:val="000000" w:themeColor="text1"/>
          <w:sz w:val="20"/>
          <w:szCs w:val="20"/>
        </w:rPr>
      </w:pPr>
      <w:r w:rsidRPr="0098635C">
        <w:rPr>
          <w:color w:val="000000" w:themeColor="text1"/>
          <w:sz w:val="20"/>
          <w:szCs w:val="20"/>
        </w:rPr>
        <w:t xml:space="preserve">The 50th % confidence limit is used </w:t>
      </w:r>
    </w:p>
    <w:p w14:paraId="231567FE" w14:textId="77777777" w:rsidR="00D05142" w:rsidRPr="0098635C" w:rsidRDefault="00C74FBE" w:rsidP="0059369A">
      <w:pPr>
        <w:widowControl/>
        <w:numPr>
          <w:ilvl w:val="0"/>
          <w:numId w:val="17"/>
        </w:numPr>
        <w:autoSpaceDE/>
        <w:autoSpaceDN/>
        <w:adjustRightInd/>
        <w:spacing w:before="120" w:after="0"/>
        <w:rPr>
          <w:color w:val="000000" w:themeColor="text1"/>
          <w:sz w:val="20"/>
          <w:szCs w:val="20"/>
        </w:rPr>
      </w:pPr>
      <w:r w:rsidRPr="0098635C">
        <w:rPr>
          <w:color w:val="000000" w:themeColor="text1"/>
          <w:sz w:val="20"/>
          <w:szCs w:val="20"/>
        </w:rPr>
        <w:t xml:space="preserve">Overestimation of toxicity values often occur for tests performed in non-equilibrated systems because the Cu-DOC complexes have not yet been formed in the tests media.  </w:t>
      </w:r>
    </w:p>
    <w:p w14:paraId="7EF56D43" w14:textId="77777777" w:rsidR="006422A9" w:rsidRPr="0098635C" w:rsidRDefault="00D05142" w:rsidP="0059369A">
      <w:pPr>
        <w:widowControl/>
        <w:numPr>
          <w:ilvl w:val="0"/>
          <w:numId w:val="17"/>
        </w:numPr>
        <w:autoSpaceDE/>
        <w:autoSpaceDN/>
        <w:adjustRightInd/>
        <w:spacing w:before="120" w:after="0"/>
        <w:rPr>
          <w:color w:val="000000" w:themeColor="text1"/>
          <w:sz w:val="20"/>
          <w:szCs w:val="20"/>
        </w:rPr>
      </w:pPr>
      <w:r w:rsidRPr="0098635C">
        <w:rPr>
          <w:color w:val="000000" w:themeColor="text1"/>
          <w:sz w:val="20"/>
          <w:szCs w:val="20"/>
        </w:rPr>
        <w:t>No acclimation of the organisms</w:t>
      </w:r>
    </w:p>
    <w:p w14:paraId="6B663644" w14:textId="77777777" w:rsidR="006422A9" w:rsidRPr="0098635C" w:rsidRDefault="006422A9" w:rsidP="006422A9">
      <w:pPr>
        <w:widowControl/>
        <w:autoSpaceDE/>
        <w:autoSpaceDN/>
        <w:adjustRightInd/>
        <w:spacing w:after="0"/>
        <w:rPr>
          <w:bCs/>
          <w:color w:val="000000" w:themeColor="text1"/>
          <w:sz w:val="20"/>
          <w:szCs w:val="20"/>
        </w:rPr>
      </w:pPr>
    </w:p>
    <w:p w14:paraId="12920CF3" w14:textId="55F4437C" w:rsidR="006422A9" w:rsidRPr="0098635C" w:rsidRDefault="006422A9" w:rsidP="006422A9">
      <w:pPr>
        <w:widowControl/>
        <w:autoSpaceDE/>
        <w:autoSpaceDN/>
        <w:adjustRightInd/>
        <w:spacing w:after="0"/>
        <w:rPr>
          <w:bCs/>
          <w:color w:val="000000" w:themeColor="text1"/>
          <w:sz w:val="20"/>
          <w:szCs w:val="20"/>
        </w:rPr>
      </w:pPr>
      <w:r w:rsidRPr="0098635C">
        <w:rPr>
          <w:bCs/>
          <w:color w:val="000000" w:themeColor="text1"/>
          <w:sz w:val="20"/>
          <w:szCs w:val="20"/>
        </w:rPr>
        <w:t>Additional remaining uncertainties</w:t>
      </w:r>
    </w:p>
    <w:p w14:paraId="422CA375" w14:textId="2B2062D1" w:rsidR="00AD6371" w:rsidRPr="0098635C" w:rsidRDefault="00AD6371" w:rsidP="0059369A">
      <w:pPr>
        <w:widowControl/>
        <w:numPr>
          <w:ilvl w:val="0"/>
          <w:numId w:val="17"/>
        </w:numPr>
        <w:autoSpaceDE/>
        <w:autoSpaceDN/>
        <w:adjustRightInd/>
        <w:spacing w:after="0"/>
        <w:rPr>
          <w:color w:val="000000" w:themeColor="text1"/>
          <w:sz w:val="20"/>
          <w:szCs w:val="20"/>
        </w:rPr>
      </w:pPr>
      <w:r w:rsidRPr="0098635C">
        <w:rPr>
          <w:bCs/>
          <w:color w:val="000000" w:themeColor="text1"/>
          <w:sz w:val="20"/>
          <w:szCs w:val="20"/>
        </w:rPr>
        <w:t>The assessment covers a DOC correction.  To be applicable to estuarine waters further investigation on the influence of salinity would be useful.</w:t>
      </w:r>
    </w:p>
    <w:p w14:paraId="0BCB30D4" w14:textId="5EC99F79" w:rsidR="006422A9" w:rsidRPr="0098635C" w:rsidRDefault="006422A9" w:rsidP="0059369A">
      <w:pPr>
        <w:widowControl/>
        <w:numPr>
          <w:ilvl w:val="0"/>
          <w:numId w:val="17"/>
        </w:numPr>
        <w:autoSpaceDE/>
        <w:autoSpaceDN/>
        <w:adjustRightInd/>
        <w:spacing w:after="0"/>
        <w:rPr>
          <w:rStyle w:val="KorrUK"/>
          <w:rFonts w:ascii="Times New Roman" w:hAnsi="Times New Roman" w:cs="Times New Roman"/>
          <w:color w:val="000000" w:themeColor="text1"/>
          <w:sz w:val="20"/>
          <w:szCs w:val="20"/>
          <w:lang w:val="en-US"/>
        </w:rPr>
      </w:pPr>
      <w:r w:rsidRPr="0098635C">
        <w:rPr>
          <w:bCs/>
          <w:color w:val="000000" w:themeColor="text1"/>
          <w:sz w:val="20"/>
          <w:szCs w:val="20"/>
        </w:rPr>
        <w:t>The data-base covers ecotoxicity searches till 2006.  Including more recent ecotoxicity data would benefit the assessment.</w:t>
      </w:r>
    </w:p>
    <w:p w14:paraId="3803664F" w14:textId="64C6A987" w:rsidR="00B05271" w:rsidRPr="0098635C" w:rsidRDefault="00B05271">
      <w:pPr>
        <w:pStyle w:val="Heading2"/>
        <w:rPr>
          <w:color w:val="000000" w:themeColor="text1"/>
          <w:sz w:val="20"/>
        </w:rPr>
      </w:pPr>
      <w:bookmarkStart w:id="2002" w:name="_Toc181843805"/>
      <w:bookmarkStart w:id="2003" w:name="_Toc181843921"/>
      <w:bookmarkStart w:id="2004" w:name="_Toc32726040"/>
      <w:bookmarkStart w:id="2005" w:name="_Toc32727223"/>
      <w:bookmarkStart w:id="2006" w:name="_Toc43868671"/>
      <w:bookmarkStart w:id="2007" w:name="_Toc200358258"/>
      <w:bookmarkStart w:id="2008" w:name="_Toc200359274"/>
      <w:bookmarkStart w:id="2009" w:name="_Toc472000398"/>
      <w:bookmarkStart w:id="2010" w:name="_Toc472251758"/>
      <w:bookmarkEnd w:id="2002"/>
      <w:bookmarkEnd w:id="2003"/>
      <w:r w:rsidRPr="0098635C">
        <w:rPr>
          <w:color w:val="000000" w:themeColor="text1"/>
          <w:sz w:val="20"/>
        </w:rPr>
        <w:t>Terrestrial Effects</w:t>
      </w:r>
      <w:bookmarkEnd w:id="2004"/>
      <w:bookmarkEnd w:id="2005"/>
      <w:bookmarkEnd w:id="2006"/>
      <w:bookmarkEnd w:id="2007"/>
      <w:bookmarkEnd w:id="2008"/>
      <w:bookmarkEnd w:id="2009"/>
      <w:bookmarkEnd w:id="2010"/>
    </w:p>
    <w:p w14:paraId="7578C19B" w14:textId="319BEEA3" w:rsidR="009F0A1D" w:rsidRPr="0098635C" w:rsidRDefault="009F0A1D" w:rsidP="00B81D56">
      <w:pPr>
        <w:rPr>
          <w:color w:val="000000" w:themeColor="text1"/>
          <w:sz w:val="20"/>
          <w:szCs w:val="20"/>
        </w:rPr>
      </w:pPr>
      <w:r w:rsidRPr="0098635C">
        <w:rPr>
          <w:color w:val="000000" w:themeColor="text1"/>
          <w:sz w:val="20"/>
          <w:szCs w:val="20"/>
        </w:rPr>
        <w:t xml:space="preserve">The ecotoxicity data-set covers literature searches and focused research carried between 1988 and 2005. Detailed monitoring of the EU </w:t>
      </w:r>
      <w:r w:rsidR="00247E89" w:rsidRPr="0098635C">
        <w:rPr>
          <w:color w:val="000000" w:themeColor="text1"/>
          <w:sz w:val="20"/>
          <w:szCs w:val="20"/>
        </w:rPr>
        <w:t>soil characteristics</w:t>
      </w:r>
      <w:r w:rsidRPr="0098635C">
        <w:rPr>
          <w:color w:val="000000" w:themeColor="text1"/>
          <w:sz w:val="20"/>
          <w:szCs w:val="20"/>
        </w:rPr>
        <w:t xml:space="preserve"> was performed in </w:t>
      </w:r>
      <w:r w:rsidR="00247E89" w:rsidRPr="0098635C">
        <w:rPr>
          <w:color w:val="000000" w:themeColor="text1"/>
          <w:sz w:val="20"/>
          <w:szCs w:val="20"/>
        </w:rPr>
        <w:t>2010 and</w:t>
      </w:r>
      <w:r w:rsidRPr="0098635C">
        <w:rPr>
          <w:color w:val="000000" w:themeColor="text1"/>
          <w:sz w:val="20"/>
          <w:szCs w:val="20"/>
        </w:rPr>
        <w:t xml:space="preserve"> the soil threshold values revised </w:t>
      </w:r>
      <w:r w:rsidR="00247E89" w:rsidRPr="0098635C">
        <w:rPr>
          <w:color w:val="000000" w:themeColor="text1"/>
          <w:sz w:val="20"/>
          <w:szCs w:val="20"/>
        </w:rPr>
        <w:t>accordingly between</w:t>
      </w:r>
      <w:r w:rsidRPr="0098635C">
        <w:rPr>
          <w:color w:val="000000" w:themeColor="text1"/>
          <w:sz w:val="20"/>
          <w:szCs w:val="20"/>
        </w:rPr>
        <w:t xml:space="preserve"> 2008 and 2010.</w:t>
      </w:r>
    </w:p>
    <w:p w14:paraId="34A86081" w14:textId="65FFFD0D" w:rsidR="00B81D56" w:rsidRPr="0098635C" w:rsidRDefault="00B81D56" w:rsidP="00B81D56">
      <w:pPr>
        <w:rPr>
          <w:color w:val="000000" w:themeColor="text1"/>
          <w:sz w:val="20"/>
          <w:szCs w:val="20"/>
        </w:rPr>
      </w:pPr>
      <w:r w:rsidRPr="0098635C">
        <w:rPr>
          <w:color w:val="000000" w:themeColor="text1"/>
          <w:sz w:val="20"/>
          <w:szCs w:val="20"/>
        </w:rPr>
        <w:t>Soil safe threshold values were derived, considering the results from single-species chronic ecotoxicity lab and field studies (standard and non-standard species/protocols/endpoints) and multi-species mesocosm studies</w:t>
      </w:r>
      <w:r w:rsidR="00E77733" w:rsidRPr="0098635C">
        <w:rPr>
          <w:color w:val="000000" w:themeColor="text1"/>
          <w:sz w:val="20"/>
          <w:szCs w:val="20"/>
        </w:rPr>
        <w:t xml:space="preserve"> (</w:t>
      </w:r>
      <w:r w:rsidR="00E230FB" w:rsidRPr="0098635C">
        <w:rPr>
          <w:color w:val="000000" w:themeColor="text1"/>
          <w:sz w:val="20"/>
          <w:szCs w:val="20"/>
        </w:rPr>
        <w:fldChar w:fldCharType="begin"/>
      </w:r>
      <w:r w:rsidR="00E230FB" w:rsidRPr="0098635C">
        <w:rPr>
          <w:color w:val="000000" w:themeColor="text1"/>
          <w:sz w:val="20"/>
          <w:szCs w:val="20"/>
        </w:rPr>
        <w:instrText xml:space="preserve"> REF _Ref260043315 \h  \* MERGEFORMAT </w:instrText>
      </w:r>
      <w:r w:rsidR="00E230FB" w:rsidRPr="0098635C">
        <w:rPr>
          <w:color w:val="000000" w:themeColor="text1"/>
          <w:sz w:val="20"/>
          <w:szCs w:val="20"/>
        </w:rPr>
      </w:r>
      <w:r w:rsidR="00E230FB" w:rsidRPr="0098635C">
        <w:rPr>
          <w:color w:val="000000" w:themeColor="text1"/>
          <w:sz w:val="20"/>
          <w:szCs w:val="20"/>
        </w:rPr>
        <w:fldChar w:fldCharType="separate"/>
      </w:r>
      <w:r w:rsidR="005E5161" w:rsidRPr="0098635C">
        <w:rPr>
          <w:color w:val="000000" w:themeColor="text1"/>
          <w:sz w:val="20"/>
          <w:szCs w:val="20"/>
        </w:rPr>
        <w:t xml:space="preserve">Table </w:t>
      </w:r>
      <w:r w:rsidR="005E5161" w:rsidRPr="0098635C">
        <w:rPr>
          <w:noProof/>
          <w:color w:val="000000" w:themeColor="text1"/>
          <w:sz w:val="20"/>
          <w:szCs w:val="20"/>
        </w:rPr>
        <w:t>34</w:t>
      </w:r>
      <w:r w:rsidR="00E230FB" w:rsidRPr="0098635C">
        <w:rPr>
          <w:color w:val="000000" w:themeColor="text1"/>
          <w:sz w:val="20"/>
          <w:szCs w:val="20"/>
        </w:rPr>
        <w:fldChar w:fldCharType="end"/>
      </w:r>
      <w:r w:rsidR="00E77733" w:rsidRPr="0098635C">
        <w:rPr>
          <w:color w:val="000000" w:themeColor="text1"/>
          <w:sz w:val="20"/>
          <w:szCs w:val="20"/>
        </w:rPr>
        <w:t xml:space="preserve">, </w:t>
      </w:r>
      <w:r w:rsidR="00E230FB" w:rsidRPr="0098635C">
        <w:rPr>
          <w:color w:val="000000" w:themeColor="text1"/>
          <w:sz w:val="20"/>
          <w:szCs w:val="20"/>
        </w:rPr>
        <w:fldChar w:fldCharType="begin"/>
      </w:r>
      <w:r w:rsidR="00E230FB" w:rsidRPr="0098635C">
        <w:rPr>
          <w:color w:val="000000" w:themeColor="text1"/>
          <w:sz w:val="20"/>
          <w:szCs w:val="20"/>
        </w:rPr>
        <w:instrText xml:space="preserve"> REF _Ref260061172 \h  \* MERGEFORMAT </w:instrText>
      </w:r>
      <w:r w:rsidR="00E230FB" w:rsidRPr="0098635C">
        <w:rPr>
          <w:color w:val="000000" w:themeColor="text1"/>
          <w:sz w:val="20"/>
          <w:szCs w:val="20"/>
        </w:rPr>
      </w:r>
      <w:r w:rsidR="00E230FB" w:rsidRPr="0098635C">
        <w:rPr>
          <w:color w:val="000000" w:themeColor="text1"/>
          <w:sz w:val="20"/>
          <w:szCs w:val="20"/>
        </w:rPr>
        <w:fldChar w:fldCharType="separate"/>
      </w:r>
      <w:r w:rsidR="005E5161" w:rsidRPr="0098635C">
        <w:rPr>
          <w:color w:val="000000" w:themeColor="text1"/>
          <w:sz w:val="20"/>
          <w:szCs w:val="20"/>
        </w:rPr>
        <w:t xml:space="preserve">Table </w:t>
      </w:r>
      <w:r w:rsidR="005E5161" w:rsidRPr="0098635C">
        <w:rPr>
          <w:noProof/>
          <w:color w:val="000000" w:themeColor="text1"/>
          <w:sz w:val="20"/>
          <w:szCs w:val="20"/>
        </w:rPr>
        <w:t>35</w:t>
      </w:r>
      <w:r w:rsidR="00E230FB" w:rsidRPr="0098635C">
        <w:rPr>
          <w:color w:val="000000" w:themeColor="text1"/>
          <w:sz w:val="20"/>
          <w:szCs w:val="20"/>
        </w:rPr>
        <w:fldChar w:fldCharType="end"/>
      </w:r>
      <w:r w:rsidR="00E77733" w:rsidRPr="0098635C">
        <w:rPr>
          <w:color w:val="000000" w:themeColor="text1"/>
          <w:sz w:val="20"/>
          <w:szCs w:val="20"/>
        </w:rPr>
        <w:t>)</w:t>
      </w:r>
      <w:r w:rsidRPr="0098635C">
        <w:rPr>
          <w:color w:val="000000" w:themeColor="text1"/>
          <w:sz w:val="20"/>
          <w:szCs w:val="20"/>
        </w:rPr>
        <w:t>.  Bio-availability was incorporated in the assessment.</w:t>
      </w:r>
    </w:p>
    <w:p w14:paraId="3A8AFED1" w14:textId="77777777" w:rsidR="00B05271" w:rsidRPr="0098635C" w:rsidRDefault="00B05271">
      <w:pPr>
        <w:pStyle w:val="Heading8"/>
        <w:rPr>
          <w:color w:val="000000" w:themeColor="text1"/>
          <w:sz w:val="20"/>
          <w:szCs w:val="20"/>
        </w:rPr>
      </w:pPr>
      <w:r w:rsidRPr="0098635C">
        <w:rPr>
          <w:color w:val="000000" w:themeColor="text1"/>
          <w:sz w:val="20"/>
          <w:szCs w:val="20"/>
        </w:rPr>
        <w:t>Chronic Toxicity Test Results</w:t>
      </w:r>
    </w:p>
    <w:p w14:paraId="015E7C7C" w14:textId="65FB1BF8" w:rsidR="00C464AE" w:rsidRPr="0098635C" w:rsidRDefault="00C464AE" w:rsidP="00C464AE">
      <w:pPr>
        <w:pStyle w:val="BodyText"/>
        <w:rPr>
          <w:color w:val="000000" w:themeColor="text1"/>
          <w:sz w:val="20"/>
        </w:rPr>
      </w:pPr>
      <w:r w:rsidRPr="0098635C">
        <w:rPr>
          <w:color w:val="000000" w:themeColor="text1"/>
          <w:sz w:val="20"/>
        </w:rPr>
        <w:t>The terrestrial effects data set for copper covers 252 good quality single-species chronic NOEC/EC</w:t>
      </w:r>
      <w:r w:rsidRPr="0098635C">
        <w:rPr>
          <w:color w:val="000000" w:themeColor="text1"/>
          <w:sz w:val="20"/>
          <w:vertAlign w:val="subscript"/>
        </w:rPr>
        <w:t>10</w:t>
      </w:r>
      <w:r w:rsidRPr="0098635C">
        <w:rPr>
          <w:color w:val="000000" w:themeColor="text1"/>
          <w:sz w:val="20"/>
        </w:rPr>
        <w:t xml:space="preserve"> values representing different trophic groups (micro-organisms, plants, invertebrates). Additional information on 8 single species studies in field contaminated soils and 5 multi-species studies (freshly spiked and field contaminated) provide additional information on the toxicity of copper under field conditions. A summary of the individual data on terrestrial </w:t>
      </w:r>
      <w:r w:rsidR="00326669" w:rsidRPr="0098635C">
        <w:rPr>
          <w:color w:val="000000" w:themeColor="text1"/>
          <w:sz w:val="20"/>
        </w:rPr>
        <w:t>orga</w:t>
      </w:r>
      <w:r w:rsidR="00B633D0" w:rsidRPr="0098635C">
        <w:rPr>
          <w:color w:val="000000" w:themeColor="text1"/>
          <w:sz w:val="20"/>
        </w:rPr>
        <w:t>nisms</w:t>
      </w:r>
      <w:r w:rsidRPr="0098635C">
        <w:rPr>
          <w:color w:val="000000" w:themeColor="text1"/>
          <w:sz w:val="20"/>
        </w:rPr>
        <w:t xml:space="preserve"> is given in</w:t>
      </w:r>
      <w:r w:rsidR="00B633D0" w:rsidRPr="0098635C">
        <w:rPr>
          <w:color w:val="000000" w:themeColor="text1"/>
          <w:sz w:val="20"/>
        </w:rPr>
        <w:t xml:space="preserve"> </w:t>
      </w:r>
      <w:r w:rsidR="00B633D0" w:rsidRPr="0098635C">
        <w:rPr>
          <w:color w:val="000000" w:themeColor="text1"/>
          <w:sz w:val="20"/>
        </w:rPr>
        <w:fldChar w:fldCharType="begin"/>
      </w:r>
      <w:r w:rsidR="00B633D0" w:rsidRPr="0098635C">
        <w:rPr>
          <w:color w:val="000000" w:themeColor="text1"/>
          <w:sz w:val="20"/>
        </w:rPr>
        <w:instrText xml:space="preserve"> REF _Ref260043315 \h  \* MERGEFORMAT </w:instrText>
      </w:r>
      <w:r w:rsidR="00B633D0" w:rsidRPr="0098635C">
        <w:rPr>
          <w:color w:val="000000" w:themeColor="text1"/>
          <w:sz w:val="20"/>
        </w:rPr>
      </w:r>
      <w:r w:rsidR="00B633D0" w:rsidRPr="0098635C">
        <w:rPr>
          <w:color w:val="000000" w:themeColor="text1"/>
          <w:sz w:val="20"/>
        </w:rPr>
        <w:fldChar w:fldCharType="separate"/>
      </w:r>
      <w:r w:rsidR="005E5161" w:rsidRPr="0098635C">
        <w:rPr>
          <w:color w:val="000000" w:themeColor="text1"/>
          <w:sz w:val="20"/>
        </w:rPr>
        <w:t xml:space="preserve">Table </w:t>
      </w:r>
      <w:r w:rsidR="005E5161" w:rsidRPr="0098635C">
        <w:rPr>
          <w:noProof/>
          <w:color w:val="000000" w:themeColor="text1"/>
          <w:sz w:val="20"/>
        </w:rPr>
        <w:t>34</w:t>
      </w:r>
      <w:r w:rsidR="00B633D0" w:rsidRPr="0098635C">
        <w:rPr>
          <w:color w:val="000000" w:themeColor="text1"/>
          <w:sz w:val="20"/>
        </w:rPr>
        <w:fldChar w:fldCharType="end"/>
      </w:r>
      <w:r w:rsidR="00B633D0" w:rsidRPr="0098635C">
        <w:rPr>
          <w:color w:val="000000" w:themeColor="text1"/>
          <w:sz w:val="20"/>
        </w:rPr>
        <w:t xml:space="preserve"> and </w:t>
      </w:r>
      <w:r w:rsidR="00B633D0" w:rsidRPr="0098635C">
        <w:rPr>
          <w:color w:val="000000" w:themeColor="text1"/>
          <w:sz w:val="20"/>
        </w:rPr>
        <w:fldChar w:fldCharType="begin"/>
      </w:r>
      <w:r w:rsidR="00B633D0" w:rsidRPr="0098635C">
        <w:rPr>
          <w:color w:val="000000" w:themeColor="text1"/>
          <w:sz w:val="20"/>
        </w:rPr>
        <w:instrText xml:space="preserve"> REF _Ref260061172 \h  \* MERGEFORMAT </w:instrText>
      </w:r>
      <w:r w:rsidR="00B633D0" w:rsidRPr="0098635C">
        <w:rPr>
          <w:color w:val="000000" w:themeColor="text1"/>
          <w:sz w:val="20"/>
        </w:rPr>
      </w:r>
      <w:r w:rsidR="00B633D0" w:rsidRPr="0098635C">
        <w:rPr>
          <w:color w:val="000000" w:themeColor="text1"/>
          <w:sz w:val="20"/>
        </w:rPr>
        <w:fldChar w:fldCharType="separate"/>
      </w:r>
      <w:r w:rsidR="005E5161" w:rsidRPr="0098635C">
        <w:rPr>
          <w:color w:val="000000" w:themeColor="text1"/>
          <w:sz w:val="20"/>
        </w:rPr>
        <w:t xml:space="preserve">Table </w:t>
      </w:r>
      <w:r w:rsidR="005E5161" w:rsidRPr="0098635C">
        <w:rPr>
          <w:noProof/>
          <w:color w:val="000000" w:themeColor="text1"/>
          <w:sz w:val="20"/>
        </w:rPr>
        <w:t>35</w:t>
      </w:r>
      <w:r w:rsidR="00B633D0" w:rsidRPr="0098635C">
        <w:rPr>
          <w:color w:val="000000" w:themeColor="text1"/>
          <w:sz w:val="20"/>
        </w:rPr>
        <w:fldChar w:fldCharType="end"/>
      </w:r>
      <w:r w:rsidRPr="0098635C">
        <w:rPr>
          <w:color w:val="000000" w:themeColor="text1"/>
          <w:sz w:val="20"/>
        </w:rPr>
        <w:t>. Data for microbial processes a given in Annex</w:t>
      </w:r>
      <w:r w:rsidR="006E625C" w:rsidRPr="0098635C">
        <w:rPr>
          <w:color w:val="000000" w:themeColor="text1"/>
          <w:sz w:val="20"/>
        </w:rPr>
        <w:t>es XV to XVII</w:t>
      </w:r>
      <w:r w:rsidRPr="0098635C">
        <w:rPr>
          <w:color w:val="000000" w:themeColor="text1"/>
          <w:sz w:val="20"/>
        </w:rPr>
        <w:t xml:space="preserve">.  Detailed information, including the physical-chemical properties of the tested soil samples (pH, organic carbon content, clay content, CEC) is also provided in Annex.  Similar to the findings that were demonstrated in the aquatic compartment, soil properties have a major impact on terrestrial copper bioavailability and toxicity, and explain the observed intra-species variability. In this context several copper bio-availability regression models have been developed which can be used for the normalisation of existing ecotoxicity data to the same environmental conditions. </w:t>
      </w:r>
    </w:p>
    <w:p w14:paraId="20DA4B62" w14:textId="77777777" w:rsidR="00EA200F" w:rsidRPr="0098635C" w:rsidRDefault="00C464AE" w:rsidP="00C464AE">
      <w:pPr>
        <w:pStyle w:val="BodyText"/>
        <w:rPr>
          <w:color w:val="000000" w:themeColor="text1"/>
          <w:sz w:val="20"/>
        </w:rPr>
      </w:pPr>
      <w:r w:rsidRPr="0098635C">
        <w:rPr>
          <w:color w:val="000000" w:themeColor="text1"/>
          <w:sz w:val="20"/>
        </w:rPr>
        <w:t>Considering the importance of differences in toxicity of copper to terrestrial organisms between lab spiked soils and field contaminated soils, information from freshly spiked soils and aged soils are both included in the database.</w:t>
      </w:r>
    </w:p>
    <w:p w14:paraId="718ABA21" w14:textId="77777777" w:rsidR="00EA200F" w:rsidRPr="0098635C" w:rsidRDefault="00EA200F" w:rsidP="00EA200F">
      <w:pPr>
        <w:pStyle w:val="BodyText"/>
        <w:rPr>
          <w:i/>
          <w:color w:val="000000" w:themeColor="text1"/>
          <w:sz w:val="20"/>
          <w:u w:val="single"/>
        </w:rPr>
      </w:pPr>
      <w:r w:rsidRPr="0098635C">
        <w:rPr>
          <w:i/>
          <w:color w:val="000000" w:themeColor="text1"/>
          <w:sz w:val="20"/>
          <w:u w:val="single"/>
        </w:rPr>
        <w:t xml:space="preserve">Chronic terrestrial invertebrate data: </w:t>
      </w:r>
    </w:p>
    <w:p w14:paraId="72136CEC" w14:textId="72354176" w:rsidR="00EA200F" w:rsidRPr="0098635C" w:rsidRDefault="00EA200F" w:rsidP="00EA200F">
      <w:pPr>
        <w:pStyle w:val="BodyText"/>
        <w:rPr>
          <w:color w:val="000000" w:themeColor="text1"/>
          <w:sz w:val="20"/>
        </w:rPr>
      </w:pPr>
      <w:r w:rsidRPr="0098635C">
        <w:rPr>
          <w:color w:val="000000" w:themeColor="text1"/>
          <w:sz w:val="20"/>
        </w:rPr>
        <w:t>The invertebrate (including arthropods) effects data set includes 108 bounded NOEC/(L(E)C</w:t>
      </w:r>
      <w:r w:rsidRPr="0098635C">
        <w:rPr>
          <w:color w:val="000000" w:themeColor="text1"/>
          <w:sz w:val="20"/>
          <w:vertAlign w:val="subscript"/>
        </w:rPr>
        <w:t>10</w:t>
      </w:r>
      <w:r w:rsidRPr="0098635C">
        <w:rPr>
          <w:color w:val="000000" w:themeColor="text1"/>
          <w:sz w:val="20"/>
        </w:rPr>
        <w:t xml:space="preserve"> values (</w:t>
      </w:r>
      <w:r w:rsidR="00E230FB" w:rsidRPr="0098635C">
        <w:rPr>
          <w:b/>
          <w:color w:val="000000" w:themeColor="text1"/>
          <w:sz w:val="20"/>
        </w:rPr>
        <w:fldChar w:fldCharType="begin"/>
      </w:r>
      <w:r w:rsidRPr="0098635C">
        <w:rPr>
          <w:b/>
          <w:color w:val="000000" w:themeColor="text1"/>
          <w:sz w:val="20"/>
        </w:rPr>
        <w:instrText xml:space="preserve"> REF _Ref260043315 \h </w:instrText>
      </w:r>
      <w:r w:rsidR="00B633D0" w:rsidRPr="0098635C">
        <w:rPr>
          <w:b/>
          <w:color w:val="000000" w:themeColor="text1"/>
          <w:sz w:val="20"/>
        </w:rPr>
        <w:instrText xml:space="preserve"> \* MERGEFORMAT </w:instrText>
      </w:r>
      <w:r w:rsidR="00E230FB" w:rsidRPr="0098635C">
        <w:rPr>
          <w:b/>
          <w:color w:val="000000" w:themeColor="text1"/>
          <w:sz w:val="20"/>
        </w:rPr>
      </w:r>
      <w:r w:rsidR="00E230FB" w:rsidRPr="0098635C">
        <w:rPr>
          <w:b/>
          <w:color w:val="000000" w:themeColor="text1"/>
          <w:sz w:val="20"/>
        </w:rPr>
        <w:fldChar w:fldCharType="separate"/>
      </w:r>
      <w:r w:rsidR="005E5161" w:rsidRPr="0098635C">
        <w:rPr>
          <w:color w:val="000000" w:themeColor="text1"/>
          <w:sz w:val="20"/>
        </w:rPr>
        <w:t xml:space="preserve">Table </w:t>
      </w:r>
      <w:r w:rsidR="005E5161" w:rsidRPr="0098635C">
        <w:rPr>
          <w:noProof/>
          <w:color w:val="000000" w:themeColor="text1"/>
          <w:sz w:val="20"/>
        </w:rPr>
        <w:t>34</w:t>
      </w:r>
      <w:r w:rsidR="00E230FB" w:rsidRPr="0098635C">
        <w:rPr>
          <w:b/>
          <w:color w:val="000000" w:themeColor="text1"/>
          <w:sz w:val="20"/>
        </w:rPr>
        <w:fldChar w:fldCharType="end"/>
      </w:r>
      <w:r w:rsidRPr="0098635C">
        <w:rPr>
          <w:color w:val="000000" w:themeColor="text1"/>
          <w:sz w:val="20"/>
        </w:rPr>
        <w:t xml:space="preserve">); hard and soft bodied organisms with different exposure routes and feeding strategies belonging to 10 different species and 6 different families (i.e. </w:t>
      </w:r>
      <w:r w:rsidRPr="0098635C">
        <w:rPr>
          <w:i/>
          <w:color w:val="000000" w:themeColor="text1"/>
          <w:sz w:val="20"/>
        </w:rPr>
        <w:t>Eisenia andrei</w:t>
      </w:r>
      <w:r w:rsidRPr="0098635C">
        <w:rPr>
          <w:color w:val="000000" w:themeColor="text1"/>
          <w:sz w:val="20"/>
        </w:rPr>
        <w:t xml:space="preserve">, </w:t>
      </w:r>
      <w:r w:rsidRPr="0098635C">
        <w:rPr>
          <w:i/>
          <w:color w:val="000000" w:themeColor="text1"/>
          <w:sz w:val="20"/>
        </w:rPr>
        <w:t>Eisenia fetida</w:t>
      </w:r>
      <w:r w:rsidRPr="0098635C">
        <w:rPr>
          <w:color w:val="000000" w:themeColor="text1"/>
          <w:sz w:val="20"/>
        </w:rPr>
        <w:t xml:space="preserve">, </w:t>
      </w:r>
      <w:r w:rsidRPr="0098635C">
        <w:rPr>
          <w:i/>
          <w:color w:val="000000" w:themeColor="text1"/>
          <w:sz w:val="20"/>
        </w:rPr>
        <w:t>Lumbricus rubellus</w:t>
      </w:r>
      <w:r w:rsidRPr="0098635C">
        <w:rPr>
          <w:color w:val="000000" w:themeColor="text1"/>
          <w:sz w:val="20"/>
        </w:rPr>
        <w:t xml:space="preserve"> belonging to the family of the Lumbricidae; </w:t>
      </w:r>
      <w:r w:rsidRPr="0098635C">
        <w:rPr>
          <w:i/>
          <w:color w:val="000000" w:themeColor="text1"/>
          <w:sz w:val="20"/>
        </w:rPr>
        <w:t>Cognettia sphagnetorum</w:t>
      </w:r>
      <w:r w:rsidRPr="0098635C">
        <w:rPr>
          <w:color w:val="000000" w:themeColor="text1"/>
          <w:sz w:val="20"/>
        </w:rPr>
        <w:t xml:space="preserve"> to the family of the Enchytraedae; </w:t>
      </w:r>
      <w:r w:rsidRPr="0098635C">
        <w:rPr>
          <w:i/>
          <w:color w:val="000000" w:themeColor="text1"/>
          <w:sz w:val="20"/>
        </w:rPr>
        <w:t>Isotoma viridis</w:t>
      </w:r>
      <w:r w:rsidRPr="0098635C">
        <w:rPr>
          <w:color w:val="000000" w:themeColor="text1"/>
          <w:sz w:val="20"/>
        </w:rPr>
        <w:t xml:space="preserve">, </w:t>
      </w:r>
      <w:r w:rsidRPr="0098635C">
        <w:rPr>
          <w:i/>
          <w:color w:val="000000" w:themeColor="text1"/>
          <w:sz w:val="20"/>
        </w:rPr>
        <w:t>Folsomia candida</w:t>
      </w:r>
      <w:r w:rsidRPr="0098635C">
        <w:rPr>
          <w:color w:val="000000" w:themeColor="text1"/>
          <w:sz w:val="20"/>
        </w:rPr>
        <w:t xml:space="preserve">, </w:t>
      </w:r>
      <w:r w:rsidRPr="0098635C">
        <w:rPr>
          <w:i/>
          <w:color w:val="000000" w:themeColor="text1"/>
          <w:sz w:val="20"/>
        </w:rPr>
        <w:t>Folsomia fimetaria</w:t>
      </w:r>
      <w:r w:rsidRPr="0098635C">
        <w:rPr>
          <w:color w:val="000000" w:themeColor="text1"/>
          <w:sz w:val="20"/>
        </w:rPr>
        <w:t xml:space="preserve"> to the family of the Isotomidae; </w:t>
      </w:r>
      <w:r w:rsidRPr="0098635C">
        <w:rPr>
          <w:i/>
          <w:color w:val="000000" w:themeColor="text1"/>
          <w:sz w:val="20"/>
        </w:rPr>
        <w:t>Hypoaspis aculeiferto</w:t>
      </w:r>
      <w:r w:rsidRPr="0098635C">
        <w:rPr>
          <w:color w:val="000000" w:themeColor="text1"/>
          <w:sz w:val="20"/>
        </w:rPr>
        <w:t xml:space="preserve"> the family of the Laelapidae, </w:t>
      </w:r>
      <w:r w:rsidRPr="0098635C">
        <w:rPr>
          <w:i/>
          <w:color w:val="000000" w:themeColor="text1"/>
          <w:sz w:val="20"/>
        </w:rPr>
        <w:t>Platynothrus peltifer</w:t>
      </w:r>
      <w:r w:rsidRPr="0098635C">
        <w:rPr>
          <w:color w:val="000000" w:themeColor="text1"/>
          <w:sz w:val="20"/>
        </w:rPr>
        <w:t xml:space="preserve"> to the family of the Camisiidae , </w:t>
      </w:r>
      <w:r w:rsidRPr="0098635C">
        <w:rPr>
          <w:i/>
          <w:color w:val="000000" w:themeColor="text1"/>
          <w:sz w:val="20"/>
        </w:rPr>
        <w:t>Plectus acuminatus</w:t>
      </w:r>
      <w:r w:rsidRPr="0098635C">
        <w:rPr>
          <w:color w:val="000000" w:themeColor="text1"/>
          <w:sz w:val="20"/>
        </w:rPr>
        <w:t xml:space="preserve"> to the family of the Plectidae). </w:t>
      </w:r>
    </w:p>
    <w:p w14:paraId="6E4695BD" w14:textId="77777777" w:rsidR="00EA200F" w:rsidRPr="0098635C" w:rsidRDefault="00EA200F" w:rsidP="00EA200F">
      <w:pPr>
        <w:pStyle w:val="BodyText"/>
        <w:rPr>
          <w:color w:val="000000" w:themeColor="text1"/>
          <w:sz w:val="20"/>
        </w:rPr>
      </w:pPr>
      <w:r w:rsidRPr="0098635C">
        <w:rPr>
          <w:color w:val="000000" w:themeColor="text1"/>
          <w:sz w:val="20"/>
        </w:rPr>
        <w:t>Individual high quality NOEC/(L(E)C</w:t>
      </w:r>
      <w:r w:rsidRPr="0098635C">
        <w:rPr>
          <w:color w:val="000000" w:themeColor="text1"/>
          <w:sz w:val="20"/>
          <w:vertAlign w:val="subscript"/>
        </w:rPr>
        <w:t>10</w:t>
      </w:r>
      <w:r w:rsidRPr="0098635C">
        <w:rPr>
          <w:color w:val="000000" w:themeColor="text1"/>
          <w:sz w:val="20"/>
        </w:rPr>
        <w:t xml:space="preserve"> values from different studies range from 8.4 mg/kg for </w:t>
      </w:r>
      <w:r w:rsidRPr="0098635C">
        <w:rPr>
          <w:i/>
          <w:color w:val="000000" w:themeColor="text1"/>
          <w:sz w:val="20"/>
        </w:rPr>
        <w:t>Eisenia andrei</w:t>
      </w:r>
      <w:r w:rsidRPr="0098635C">
        <w:rPr>
          <w:color w:val="000000" w:themeColor="text1"/>
          <w:sz w:val="20"/>
        </w:rPr>
        <w:t xml:space="preserve"> (endpoint: cocoon production) to 1,460 mg/kg for </w:t>
      </w:r>
      <w:r w:rsidRPr="0098635C">
        <w:rPr>
          <w:i/>
          <w:color w:val="000000" w:themeColor="text1"/>
          <w:sz w:val="20"/>
        </w:rPr>
        <w:t>Folsomia candida</w:t>
      </w:r>
      <w:r w:rsidRPr="0098635C">
        <w:rPr>
          <w:color w:val="000000" w:themeColor="text1"/>
          <w:sz w:val="20"/>
        </w:rPr>
        <w:t xml:space="preserve"> reproduction. Remarkably low NOEC values are found in some tests that used </w:t>
      </w:r>
      <w:r w:rsidRPr="0098635C">
        <w:rPr>
          <w:i/>
          <w:color w:val="000000" w:themeColor="text1"/>
          <w:sz w:val="20"/>
        </w:rPr>
        <w:t>Eisenia</w:t>
      </w:r>
      <w:r w:rsidRPr="0098635C">
        <w:rPr>
          <w:color w:val="000000" w:themeColor="text1"/>
          <w:sz w:val="20"/>
        </w:rPr>
        <w:t xml:space="preserve"> species. The lowest value is found for </w:t>
      </w:r>
      <w:r w:rsidRPr="0098635C">
        <w:rPr>
          <w:i/>
          <w:color w:val="000000" w:themeColor="text1"/>
          <w:sz w:val="20"/>
        </w:rPr>
        <w:t>E. andrei</w:t>
      </w:r>
      <w:r w:rsidRPr="0098635C">
        <w:rPr>
          <w:color w:val="000000" w:themeColor="text1"/>
          <w:sz w:val="20"/>
        </w:rPr>
        <w:t xml:space="preserve"> reproduction (8.4 mg total Cu/kg) in a natural soil (a German standard soil often used in toxicity tests, LUFA 2.2). This value is below the limit for essentiality. Van Gestel et al</w:t>
      </w:r>
      <w:r w:rsidR="00A018B3" w:rsidRPr="0098635C">
        <w:rPr>
          <w:color w:val="000000" w:themeColor="text1"/>
          <w:sz w:val="20"/>
        </w:rPr>
        <w:t xml:space="preserve"> (</w:t>
      </w:r>
      <w:r w:rsidRPr="0098635C">
        <w:rPr>
          <w:color w:val="000000" w:themeColor="text1"/>
          <w:sz w:val="20"/>
        </w:rPr>
        <w:t>1989</w:t>
      </w:r>
      <w:r w:rsidR="00A018B3" w:rsidRPr="0098635C">
        <w:rPr>
          <w:color w:val="000000" w:themeColor="text1"/>
          <w:sz w:val="20"/>
        </w:rPr>
        <w:t>)</w:t>
      </w:r>
      <w:r w:rsidRPr="0098635C">
        <w:rPr>
          <w:color w:val="000000" w:themeColor="text1"/>
          <w:sz w:val="20"/>
        </w:rPr>
        <w:t xml:space="preserve"> actually warn against use of cocoon production as reliable endpoint for </w:t>
      </w:r>
      <w:r w:rsidRPr="0098635C">
        <w:rPr>
          <w:i/>
          <w:color w:val="000000" w:themeColor="text1"/>
          <w:sz w:val="20"/>
        </w:rPr>
        <w:t>Eisena fetida</w:t>
      </w:r>
      <w:r w:rsidRPr="0098635C">
        <w:rPr>
          <w:color w:val="000000" w:themeColor="text1"/>
          <w:sz w:val="20"/>
        </w:rPr>
        <w:t xml:space="preserve">. </w:t>
      </w:r>
    </w:p>
    <w:p w14:paraId="24EB652E" w14:textId="77777777" w:rsidR="00EA200F" w:rsidRPr="0098635C" w:rsidRDefault="00EA200F" w:rsidP="00C464AE">
      <w:pPr>
        <w:pStyle w:val="BodyText"/>
        <w:rPr>
          <w:color w:val="000000" w:themeColor="text1"/>
          <w:sz w:val="20"/>
        </w:rPr>
      </w:pPr>
      <w:r w:rsidRPr="0098635C">
        <w:rPr>
          <w:color w:val="000000" w:themeColor="text1"/>
          <w:sz w:val="20"/>
        </w:rPr>
        <w:lastRenderedPageBreak/>
        <w:t xml:space="preserve">Two bioavailability regression models have been developed for terrestrial invertebrates: the </w:t>
      </w:r>
      <w:r w:rsidRPr="0098635C">
        <w:rPr>
          <w:i/>
          <w:color w:val="000000" w:themeColor="text1"/>
          <w:sz w:val="20"/>
        </w:rPr>
        <w:t>E. fetida</w:t>
      </w:r>
      <w:r w:rsidRPr="0098635C">
        <w:rPr>
          <w:color w:val="000000" w:themeColor="text1"/>
          <w:sz w:val="20"/>
        </w:rPr>
        <w:t xml:space="preserve"> model, representing soft-bodied species and the F. candida model representing hard-bodied species. With this model it was possible to explain the observed intra-species variability, and both models have been used in a regulatory contexts for setting safe copper concentration levels in different types of soil. </w:t>
      </w:r>
    </w:p>
    <w:p w14:paraId="75955060" w14:textId="6E7F26C4" w:rsidR="00C464AE" w:rsidRPr="0098635C" w:rsidRDefault="00C464AE" w:rsidP="00926614">
      <w:pPr>
        <w:pStyle w:val="Caption"/>
        <w:ind w:left="0"/>
        <w:jc w:val="center"/>
        <w:rPr>
          <w:color w:val="000000" w:themeColor="text1"/>
          <w:sz w:val="20"/>
        </w:rPr>
      </w:pPr>
      <w:bookmarkStart w:id="2011" w:name="_Ref260043315"/>
      <w:r w:rsidRPr="0098635C">
        <w:rPr>
          <w:color w:val="000000" w:themeColor="text1"/>
          <w:sz w:val="20"/>
        </w:rPr>
        <w:t xml:space="preserve">Table </w:t>
      </w:r>
      <w:r w:rsidR="00E230FB" w:rsidRPr="0098635C">
        <w:rPr>
          <w:color w:val="000000" w:themeColor="text1"/>
          <w:sz w:val="20"/>
        </w:rPr>
        <w:fldChar w:fldCharType="begin"/>
      </w:r>
      <w:r w:rsidRPr="0098635C">
        <w:rPr>
          <w:color w:val="000000" w:themeColor="text1"/>
          <w:sz w:val="20"/>
        </w:rPr>
        <w:instrText xml:space="preserve"> SEQ Table \* ARABIC </w:instrText>
      </w:r>
      <w:r w:rsidR="00E230FB" w:rsidRPr="0098635C">
        <w:rPr>
          <w:color w:val="000000" w:themeColor="text1"/>
          <w:sz w:val="20"/>
        </w:rPr>
        <w:fldChar w:fldCharType="separate"/>
      </w:r>
      <w:r w:rsidR="005E5161" w:rsidRPr="0098635C">
        <w:rPr>
          <w:noProof/>
          <w:color w:val="000000" w:themeColor="text1"/>
          <w:sz w:val="20"/>
        </w:rPr>
        <w:t>34</w:t>
      </w:r>
      <w:r w:rsidR="00E230FB" w:rsidRPr="0098635C">
        <w:rPr>
          <w:color w:val="000000" w:themeColor="text1"/>
          <w:sz w:val="20"/>
        </w:rPr>
        <w:fldChar w:fldCharType="end"/>
      </w:r>
      <w:bookmarkEnd w:id="2011"/>
      <w:r w:rsidRPr="0098635C">
        <w:rPr>
          <w:color w:val="000000" w:themeColor="text1"/>
          <w:sz w:val="20"/>
        </w:rPr>
        <w:t>: Summary of reliable chronic Cu toxicity data for terrestrial invertebrate species; reported values represent total measured concentration levels.</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3261"/>
        <w:gridCol w:w="4286"/>
      </w:tblGrid>
      <w:tr w:rsidR="007742D9" w:rsidRPr="0098635C" w14:paraId="4687D5F6" w14:textId="77777777" w:rsidTr="007742D9">
        <w:trPr>
          <w:trHeight w:val="410"/>
          <w:tblHeader/>
        </w:trPr>
        <w:tc>
          <w:tcPr>
            <w:tcW w:w="2376" w:type="dxa"/>
            <w:vAlign w:val="center"/>
          </w:tcPr>
          <w:p w14:paraId="7C397BB1" w14:textId="77777777" w:rsidR="007742D9" w:rsidRPr="0098635C" w:rsidRDefault="007742D9" w:rsidP="007742D9">
            <w:pPr>
              <w:spacing w:after="0"/>
              <w:jc w:val="left"/>
              <w:rPr>
                <w:b/>
                <w:color w:val="000000" w:themeColor="text1"/>
                <w:sz w:val="20"/>
                <w:szCs w:val="20"/>
              </w:rPr>
            </w:pPr>
            <w:r w:rsidRPr="0098635C">
              <w:rPr>
                <w:b/>
                <w:bCs/>
                <w:color w:val="000000" w:themeColor="text1"/>
                <w:sz w:val="20"/>
                <w:szCs w:val="20"/>
              </w:rPr>
              <w:t xml:space="preserve">Species </w:t>
            </w:r>
          </w:p>
        </w:tc>
        <w:tc>
          <w:tcPr>
            <w:tcW w:w="3261" w:type="dxa"/>
            <w:vAlign w:val="center"/>
          </w:tcPr>
          <w:p w14:paraId="444B2937" w14:textId="77777777" w:rsidR="007742D9" w:rsidRPr="0098635C" w:rsidRDefault="00885E8B" w:rsidP="007742D9">
            <w:pPr>
              <w:spacing w:after="0"/>
              <w:jc w:val="left"/>
              <w:rPr>
                <w:b/>
                <w:color w:val="000000" w:themeColor="text1"/>
                <w:sz w:val="20"/>
                <w:szCs w:val="20"/>
              </w:rPr>
            </w:pPr>
            <w:r w:rsidRPr="0098635C">
              <w:rPr>
                <w:b/>
                <w:color w:val="000000" w:themeColor="text1"/>
                <w:sz w:val="20"/>
                <w:szCs w:val="20"/>
              </w:rPr>
              <w:t>Min-Max range (mg Cu/kg</w:t>
            </w:r>
            <w:r w:rsidRPr="0098635C">
              <w:rPr>
                <w:b/>
                <w:color w:val="000000" w:themeColor="text1"/>
                <w:sz w:val="20"/>
                <w:szCs w:val="20"/>
                <w:vertAlign w:val="subscript"/>
              </w:rPr>
              <w:t>dw</w:t>
            </w:r>
            <w:r w:rsidRPr="0098635C">
              <w:rPr>
                <w:b/>
                <w:color w:val="000000" w:themeColor="text1"/>
                <w:sz w:val="20"/>
                <w:szCs w:val="20"/>
              </w:rPr>
              <w:t>), endpoints and #of data points</w:t>
            </w:r>
          </w:p>
        </w:tc>
        <w:tc>
          <w:tcPr>
            <w:tcW w:w="4286" w:type="dxa"/>
            <w:vAlign w:val="center"/>
          </w:tcPr>
          <w:p w14:paraId="1278FCD3" w14:textId="6D6CDF4B" w:rsidR="007742D9" w:rsidRPr="0098635C" w:rsidRDefault="007742D9" w:rsidP="00484E4D">
            <w:pPr>
              <w:spacing w:after="0"/>
              <w:jc w:val="left"/>
              <w:rPr>
                <w:b/>
                <w:color w:val="000000" w:themeColor="text1"/>
                <w:sz w:val="20"/>
                <w:szCs w:val="20"/>
              </w:rPr>
            </w:pPr>
            <w:r w:rsidRPr="0098635C">
              <w:rPr>
                <w:b/>
                <w:color w:val="000000" w:themeColor="text1"/>
                <w:sz w:val="20"/>
                <w:szCs w:val="20"/>
              </w:rPr>
              <w:t xml:space="preserve">Reference &amp; </w:t>
            </w:r>
            <w:r w:rsidR="00484E4D" w:rsidRPr="0098635C">
              <w:rPr>
                <w:b/>
                <w:color w:val="000000" w:themeColor="text1"/>
                <w:sz w:val="20"/>
                <w:szCs w:val="20"/>
              </w:rPr>
              <w:t>Reliability</w:t>
            </w:r>
            <w:r w:rsidRPr="0098635C">
              <w:rPr>
                <w:b/>
                <w:color w:val="000000" w:themeColor="text1"/>
                <w:sz w:val="20"/>
                <w:szCs w:val="20"/>
              </w:rPr>
              <w:t xml:space="preserve"> scoring</w:t>
            </w:r>
          </w:p>
        </w:tc>
      </w:tr>
      <w:tr w:rsidR="00B209B0" w:rsidRPr="0098635C" w14:paraId="79C43B7E" w14:textId="77777777" w:rsidTr="007742D9">
        <w:trPr>
          <w:trHeight w:val="76"/>
        </w:trPr>
        <w:tc>
          <w:tcPr>
            <w:tcW w:w="2376" w:type="dxa"/>
          </w:tcPr>
          <w:p w14:paraId="642817C1" w14:textId="77777777" w:rsidR="00B209B0" w:rsidRPr="0098635C" w:rsidRDefault="00B209B0" w:rsidP="00B209B0">
            <w:pPr>
              <w:spacing w:after="0"/>
              <w:jc w:val="left"/>
              <w:rPr>
                <w:i/>
                <w:color w:val="000000" w:themeColor="text1"/>
                <w:sz w:val="20"/>
                <w:szCs w:val="20"/>
              </w:rPr>
            </w:pPr>
            <w:r w:rsidRPr="0098635C">
              <w:rPr>
                <w:i/>
                <w:color w:val="000000" w:themeColor="text1"/>
                <w:sz w:val="20"/>
                <w:szCs w:val="20"/>
              </w:rPr>
              <w:t>Cognettia sphagnetorum</w:t>
            </w:r>
          </w:p>
        </w:tc>
        <w:tc>
          <w:tcPr>
            <w:tcW w:w="3261" w:type="dxa"/>
          </w:tcPr>
          <w:p w14:paraId="43424DCD" w14:textId="77777777" w:rsidR="00B209B0" w:rsidRPr="0098635C" w:rsidRDefault="00B209B0" w:rsidP="00E46DEA">
            <w:pPr>
              <w:spacing w:after="0"/>
              <w:jc w:val="left"/>
              <w:rPr>
                <w:color w:val="000000" w:themeColor="text1"/>
                <w:sz w:val="20"/>
                <w:szCs w:val="20"/>
              </w:rPr>
            </w:pPr>
            <w:r w:rsidRPr="0098635C">
              <w:rPr>
                <w:color w:val="000000" w:themeColor="text1"/>
                <w:sz w:val="20"/>
                <w:szCs w:val="20"/>
              </w:rPr>
              <w:t>Min-max: 7</w:t>
            </w:r>
            <w:r w:rsidR="00E46DEA" w:rsidRPr="0098635C">
              <w:rPr>
                <w:color w:val="000000" w:themeColor="text1"/>
                <w:sz w:val="20"/>
                <w:szCs w:val="20"/>
              </w:rPr>
              <w:t>3.7</w:t>
            </w:r>
            <w:r w:rsidRPr="0098635C">
              <w:rPr>
                <w:color w:val="000000" w:themeColor="text1"/>
                <w:sz w:val="20"/>
                <w:szCs w:val="20"/>
              </w:rPr>
              <w:t xml:space="preserve"> – 465.7 (growth, fragmentation</w:t>
            </w:r>
            <w:r w:rsidR="00C464AE" w:rsidRPr="0098635C">
              <w:rPr>
                <w:color w:val="000000" w:themeColor="text1"/>
                <w:sz w:val="20"/>
                <w:szCs w:val="20"/>
              </w:rPr>
              <w:t xml:space="preserve"> ; </w:t>
            </w:r>
            <w:r w:rsidRPr="0098635C">
              <w:rPr>
                <w:color w:val="000000" w:themeColor="text1"/>
                <w:sz w:val="20"/>
                <w:szCs w:val="20"/>
              </w:rPr>
              <w:t>n=</w:t>
            </w:r>
            <w:r w:rsidR="00E46DEA" w:rsidRPr="0098635C">
              <w:rPr>
                <w:color w:val="000000" w:themeColor="text1"/>
                <w:sz w:val="20"/>
                <w:szCs w:val="20"/>
              </w:rPr>
              <w:t>4</w:t>
            </w:r>
            <w:r w:rsidRPr="0098635C">
              <w:rPr>
                <w:color w:val="000000" w:themeColor="text1"/>
                <w:sz w:val="20"/>
                <w:szCs w:val="20"/>
              </w:rPr>
              <w:t>)</w:t>
            </w:r>
          </w:p>
          <w:p w14:paraId="71243BB3" w14:textId="08809044" w:rsidR="00E763E3" w:rsidRPr="0098635C" w:rsidRDefault="00E763E3" w:rsidP="00E46DEA">
            <w:pPr>
              <w:spacing w:after="0"/>
              <w:jc w:val="left"/>
              <w:rPr>
                <w:color w:val="000000" w:themeColor="text1"/>
                <w:sz w:val="20"/>
                <w:szCs w:val="20"/>
              </w:rPr>
            </w:pPr>
            <w:r w:rsidRPr="0098635C">
              <w:rPr>
                <w:color w:val="000000" w:themeColor="text1"/>
                <w:sz w:val="20"/>
                <w:szCs w:val="20"/>
              </w:rPr>
              <w:t>(Species mean</w:t>
            </w:r>
            <w:r w:rsidRPr="0098635C">
              <w:rPr>
                <w:color w:val="000000" w:themeColor="text1"/>
                <w:sz w:val="20"/>
                <w:szCs w:val="20"/>
                <w:vertAlign w:val="subscript"/>
              </w:rPr>
              <w:t>growth</w:t>
            </w:r>
            <w:r w:rsidRPr="0098635C">
              <w:rPr>
                <w:color w:val="000000" w:themeColor="text1"/>
                <w:sz w:val="20"/>
                <w:szCs w:val="20"/>
              </w:rPr>
              <w:t xml:space="preserve">: </w:t>
            </w:r>
          </w:p>
        </w:tc>
        <w:tc>
          <w:tcPr>
            <w:tcW w:w="4286" w:type="dxa"/>
          </w:tcPr>
          <w:p w14:paraId="16133425" w14:textId="77777777" w:rsidR="00B209B0" w:rsidRPr="0098635C" w:rsidRDefault="00B209B0" w:rsidP="00B209B0">
            <w:pPr>
              <w:spacing w:after="0"/>
              <w:jc w:val="left"/>
              <w:rPr>
                <w:color w:val="000000" w:themeColor="text1"/>
                <w:sz w:val="20"/>
                <w:szCs w:val="20"/>
              </w:rPr>
            </w:pPr>
            <w:r w:rsidRPr="0098635C">
              <w:rPr>
                <w:color w:val="000000" w:themeColor="text1"/>
                <w:sz w:val="20"/>
                <w:szCs w:val="20"/>
              </w:rPr>
              <w:t>Augustsson and Rundgren, 1998</w:t>
            </w:r>
          </w:p>
        </w:tc>
      </w:tr>
      <w:tr w:rsidR="00361E3F" w:rsidRPr="0098635C" w14:paraId="2905023D" w14:textId="77777777" w:rsidTr="007742D9">
        <w:trPr>
          <w:trHeight w:val="76"/>
        </w:trPr>
        <w:tc>
          <w:tcPr>
            <w:tcW w:w="2376" w:type="dxa"/>
          </w:tcPr>
          <w:p w14:paraId="782B389F" w14:textId="77777777" w:rsidR="00361E3F" w:rsidRPr="0098635C" w:rsidRDefault="00361E3F" w:rsidP="007742D9">
            <w:pPr>
              <w:spacing w:after="0"/>
              <w:jc w:val="left"/>
              <w:rPr>
                <w:i/>
                <w:color w:val="000000" w:themeColor="text1"/>
                <w:sz w:val="20"/>
                <w:szCs w:val="20"/>
              </w:rPr>
            </w:pPr>
            <w:r w:rsidRPr="0098635C">
              <w:rPr>
                <w:i/>
                <w:color w:val="000000" w:themeColor="text1"/>
                <w:sz w:val="20"/>
                <w:szCs w:val="20"/>
              </w:rPr>
              <w:t>Eisenia andrei</w:t>
            </w:r>
          </w:p>
        </w:tc>
        <w:tc>
          <w:tcPr>
            <w:tcW w:w="3261" w:type="dxa"/>
          </w:tcPr>
          <w:p w14:paraId="472B3108" w14:textId="77777777" w:rsidR="00361E3F" w:rsidRPr="0098635C" w:rsidRDefault="00361E3F" w:rsidP="004601C8">
            <w:pPr>
              <w:spacing w:after="0"/>
              <w:jc w:val="left"/>
              <w:rPr>
                <w:color w:val="000000" w:themeColor="text1"/>
                <w:sz w:val="20"/>
                <w:szCs w:val="20"/>
              </w:rPr>
            </w:pPr>
            <w:r w:rsidRPr="0098635C">
              <w:rPr>
                <w:color w:val="000000" w:themeColor="text1"/>
                <w:sz w:val="20"/>
                <w:szCs w:val="20"/>
              </w:rPr>
              <w:t xml:space="preserve">Min-max: </w:t>
            </w:r>
            <w:r w:rsidR="008B3A8C" w:rsidRPr="0098635C">
              <w:rPr>
                <w:color w:val="000000" w:themeColor="text1"/>
                <w:sz w:val="20"/>
                <w:szCs w:val="20"/>
              </w:rPr>
              <w:t>8.3</w:t>
            </w:r>
            <w:r w:rsidRPr="0098635C">
              <w:rPr>
                <w:color w:val="000000" w:themeColor="text1"/>
                <w:sz w:val="20"/>
                <w:szCs w:val="20"/>
              </w:rPr>
              <w:t xml:space="preserve"> – </w:t>
            </w:r>
            <w:r w:rsidR="008B3A8C" w:rsidRPr="0098635C">
              <w:rPr>
                <w:color w:val="000000" w:themeColor="text1"/>
                <w:sz w:val="20"/>
                <w:szCs w:val="20"/>
              </w:rPr>
              <w:t>&gt;325.2</w:t>
            </w:r>
            <w:r w:rsidRPr="0098635C">
              <w:rPr>
                <w:color w:val="000000" w:themeColor="text1"/>
                <w:sz w:val="20"/>
                <w:szCs w:val="20"/>
              </w:rPr>
              <w:t xml:space="preserve"> (cocoon production, </w:t>
            </w:r>
            <w:r w:rsidR="008B3A8C" w:rsidRPr="0098635C">
              <w:rPr>
                <w:color w:val="000000" w:themeColor="text1"/>
                <w:sz w:val="20"/>
                <w:szCs w:val="20"/>
              </w:rPr>
              <w:t>juvenile production, growth, reproduction</w:t>
            </w:r>
            <w:r w:rsidR="00C464AE" w:rsidRPr="0098635C">
              <w:rPr>
                <w:color w:val="000000" w:themeColor="text1"/>
                <w:sz w:val="20"/>
                <w:szCs w:val="20"/>
              </w:rPr>
              <w:t xml:space="preserve"> ; </w:t>
            </w:r>
            <w:r w:rsidRPr="0098635C">
              <w:rPr>
                <w:color w:val="000000" w:themeColor="text1"/>
                <w:sz w:val="20"/>
                <w:szCs w:val="20"/>
              </w:rPr>
              <w:t>n=</w:t>
            </w:r>
            <w:r w:rsidR="004601C8" w:rsidRPr="0098635C">
              <w:rPr>
                <w:color w:val="000000" w:themeColor="text1"/>
                <w:sz w:val="20"/>
                <w:szCs w:val="20"/>
              </w:rPr>
              <w:t>9</w:t>
            </w:r>
            <w:r w:rsidRPr="0098635C">
              <w:rPr>
                <w:color w:val="000000" w:themeColor="text1"/>
                <w:sz w:val="20"/>
                <w:szCs w:val="20"/>
              </w:rPr>
              <w:t>)</w:t>
            </w:r>
          </w:p>
          <w:p w14:paraId="2D2822AD" w14:textId="72F514C0" w:rsidR="00E763E3" w:rsidRPr="0098635C" w:rsidRDefault="00E763E3" w:rsidP="00E763E3">
            <w:pPr>
              <w:spacing w:after="0"/>
              <w:jc w:val="left"/>
              <w:rPr>
                <w:color w:val="000000" w:themeColor="text1"/>
                <w:sz w:val="20"/>
                <w:szCs w:val="20"/>
              </w:rPr>
            </w:pPr>
            <w:r w:rsidRPr="0098635C">
              <w:rPr>
                <w:color w:val="000000" w:themeColor="text1"/>
                <w:sz w:val="20"/>
                <w:szCs w:val="20"/>
              </w:rPr>
              <w:t>(Species mean</w:t>
            </w:r>
            <w:r w:rsidRPr="0098635C">
              <w:rPr>
                <w:color w:val="000000" w:themeColor="text1"/>
                <w:sz w:val="20"/>
                <w:szCs w:val="20"/>
                <w:vertAlign w:val="subscript"/>
              </w:rPr>
              <w:t>growth</w:t>
            </w:r>
            <w:r w:rsidRPr="0098635C">
              <w:rPr>
                <w:color w:val="000000" w:themeColor="text1"/>
                <w:sz w:val="20"/>
                <w:szCs w:val="20"/>
              </w:rPr>
              <w:t xml:space="preserve">: </w:t>
            </w:r>
          </w:p>
        </w:tc>
        <w:tc>
          <w:tcPr>
            <w:tcW w:w="4286" w:type="dxa"/>
          </w:tcPr>
          <w:p w14:paraId="77C70483" w14:textId="77777777" w:rsidR="00361E3F" w:rsidRPr="0098635C" w:rsidRDefault="008B3A8C" w:rsidP="007742D9">
            <w:pPr>
              <w:spacing w:after="0"/>
              <w:jc w:val="left"/>
              <w:rPr>
                <w:color w:val="000000" w:themeColor="text1"/>
                <w:sz w:val="20"/>
                <w:szCs w:val="20"/>
                <w:lang w:val="nl-NL"/>
              </w:rPr>
            </w:pPr>
            <w:r w:rsidRPr="0098635C">
              <w:rPr>
                <w:color w:val="000000" w:themeColor="text1"/>
                <w:sz w:val="20"/>
                <w:szCs w:val="20"/>
                <w:lang w:val="nl-NL"/>
              </w:rPr>
              <w:t>Van Dis et al, 1988; Van Gestel et al, 1989,1991; Svendsen and Weeks, 1997a; Kula and Larink, 1997</w:t>
            </w:r>
            <w:r w:rsidR="00861541" w:rsidRPr="0098635C">
              <w:rPr>
                <w:color w:val="000000" w:themeColor="text1"/>
                <w:sz w:val="20"/>
                <w:szCs w:val="20"/>
                <w:lang w:val="nl-NL"/>
              </w:rPr>
              <w:t>; Criel et al, 2005</w:t>
            </w:r>
          </w:p>
        </w:tc>
      </w:tr>
      <w:tr w:rsidR="00E45E23" w:rsidRPr="0098635C" w14:paraId="14BCD387" w14:textId="77777777" w:rsidTr="007742D9">
        <w:trPr>
          <w:trHeight w:val="76"/>
        </w:trPr>
        <w:tc>
          <w:tcPr>
            <w:tcW w:w="2376" w:type="dxa"/>
          </w:tcPr>
          <w:p w14:paraId="4033A052" w14:textId="77777777" w:rsidR="00E45E23" w:rsidRPr="0098635C" w:rsidRDefault="00E45E23" w:rsidP="00E45E23">
            <w:pPr>
              <w:spacing w:after="0"/>
              <w:jc w:val="left"/>
              <w:rPr>
                <w:i/>
                <w:color w:val="000000" w:themeColor="text1"/>
                <w:sz w:val="20"/>
                <w:szCs w:val="20"/>
              </w:rPr>
            </w:pPr>
            <w:r w:rsidRPr="0098635C">
              <w:rPr>
                <w:i/>
                <w:color w:val="000000" w:themeColor="text1"/>
                <w:sz w:val="20"/>
                <w:szCs w:val="20"/>
              </w:rPr>
              <w:t>Eisenia fetida</w:t>
            </w:r>
          </w:p>
        </w:tc>
        <w:tc>
          <w:tcPr>
            <w:tcW w:w="3261" w:type="dxa"/>
          </w:tcPr>
          <w:p w14:paraId="590B1B95" w14:textId="77777777" w:rsidR="00E45E23" w:rsidRPr="0098635C" w:rsidRDefault="00E45E23" w:rsidP="00861541">
            <w:pPr>
              <w:spacing w:after="0"/>
              <w:jc w:val="left"/>
              <w:rPr>
                <w:color w:val="000000" w:themeColor="text1"/>
                <w:sz w:val="20"/>
                <w:szCs w:val="20"/>
              </w:rPr>
            </w:pPr>
            <w:r w:rsidRPr="0098635C">
              <w:rPr>
                <w:color w:val="000000" w:themeColor="text1"/>
                <w:sz w:val="20"/>
                <w:szCs w:val="20"/>
              </w:rPr>
              <w:t xml:space="preserve">Min-max: 12.4 – </w:t>
            </w:r>
            <w:r w:rsidR="00E46DEA" w:rsidRPr="0098635C">
              <w:rPr>
                <w:color w:val="000000" w:themeColor="text1"/>
                <w:sz w:val="20"/>
                <w:szCs w:val="20"/>
              </w:rPr>
              <w:t>728.2</w:t>
            </w:r>
            <w:r w:rsidRPr="0098635C">
              <w:rPr>
                <w:color w:val="000000" w:themeColor="text1"/>
                <w:sz w:val="20"/>
                <w:szCs w:val="20"/>
              </w:rPr>
              <w:t xml:space="preserve"> (mortality, cocoon production, juvenile produc</w:t>
            </w:r>
            <w:r w:rsidR="00C464AE" w:rsidRPr="0098635C">
              <w:rPr>
                <w:color w:val="000000" w:themeColor="text1"/>
                <w:sz w:val="20"/>
                <w:szCs w:val="20"/>
              </w:rPr>
              <w:t>tion, growth, reproduction</w:t>
            </w:r>
            <w:r w:rsidRPr="0098635C">
              <w:rPr>
                <w:color w:val="000000" w:themeColor="text1"/>
                <w:sz w:val="20"/>
                <w:szCs w:val="20"/>
              </w:rPr>
              <w:t xml:space="preserve"> </w:t>
            </w:r>
            <w:r w:rsidR="002B041B" w:rsidRPr="0098635C">
              <w:rPr>
                <w:color w:val="000000" w:themeColor="text1"/>
                <w:sz w:val="20"/>
                <w:szCs w:val="20"/>
              </w:rPr>
              <w:t>; n=</w:t>
            </w:r>
            <w:r w:rsidR="00861541" w:rsidRPr="0098635C">
              <w:rPr>
                <w:color w:val="000000" w:themeColor="text1"/>
                <w:sz w:val="20"/>
                <w:szCs w:val="20"/>
              </w:rPr>
              <w:t>27</w:t>
            </w:r>
            <w:r w:rsidR="002B041B" w:rsidRPr="0098635C">
              <w:rPr>
                <w:color w:val="000000" w:themeColor="text1"/>
                <w:sz w:val="20"/>
                <w:szCs w:val="20"/>
              </w:rPr>
              <w:t>)</w:t>
            </w:r>
          </w:p>
          <w:p w14:paraId="179A528B" w14:textId="3F2A1185" w:rsidR="00E763E3" w:rsidRPr="0098635C" w:rsidRDefault="00E763E3" w:rsidP="00E763E3">
            <w:pPr>
              <w:spacing w:after="0"/>
              <w:jc w:val="left"/>
              <w:rPr>
                <w:color w:val="000000" w:themeColor="text1"/>
                <w:sz w:val="20"/>
                <w:szCs w:val="20"/>
              </w:rPr>
            </w:pPr>
            <w:r w:rsidRPr="0098635C">
              <w:rPr>
                <w:color w:val="000000" w:themeColor="text1"/>
                <w:sz w:val="20"/>
                <w:szCs w:val="20"/>
              </w:rPr>
              <w:t>(Species mean</w:t>
            </w:r>
            <w:r w:rsidRPr="0098635C">
              <w:rPr>
                <w:color w:val="000000" w:themeColor="text1"/>
                <w:sz w:val="20"/>
                <w:szCs w:val="20"/>
                <w:vertAlign w:val="subscript"/>
              </w:rPr>
              <w:t>growth</w:t>
            </w:r>
            <w:r w:rsidRPr="0098635C">
              <w:rPr>
                <w:color w:val="000000" w:themeColor="text1"/>
                <w:sz w:val="20"/>
                <w:szCs w:val="20"/>
              </w:rPr>
              <w:t xml:space="preserve">: </w:t>
            </w:r>
          </w:p>
        </w:tc>
        <w:tc>
          <w:tcPr>
            <w:tcW w:w="4286" w:type="dxa"/>
          </w:tcPr>
          <w:p w14:paraId="165D4F6D" w14:textId="77777777" w:rsidR="00E45E23" w:rsidRPr="0098635C" w:rsidRDefault="002A04A7" w:rsidP="00E46DEA">
            <w:pPr>
              <w:spacing w:after="0"/>
              <w:jc w:val="left"/>
              <w:rPr>
                <w:color w:val="000000" w:themeColor="text1"/>
                <w:sz w:val="20"/>
                <w:szCs w:val="20"/>
              </w:rPr>
            </w:pPr>
            <w:r w:rsidRPr="0098635C">
              <w:rPr>
                <w:color w:val="000000" w:themeColor="text1"/>
                <w:sz w:val="20"/>
                <w:szCs w:val="20"/>
              </w:rPr>
              <w:t>Spurgeon et al, 1994; Spurgeon and Hopkin, 1995; Kula and L</w:t>
            </w:r>
            <w:r w:rsidR="00E46DEA" w:rsidRPr="0098635C">
              <w:rPr>
                <w:color w:val="000000" w:themeColor="text1"/>
                <w:sz w:val="20"/>
                <w:szCs w:val="20"/>
              </w:rPr>
              <w:t>a</w:t>
            </w:r>
            <w:r w:rsidRPr="0098635C">
              <w:rPr>
                <w:color w:val="000000" w:themeColor="text1"/>
                <w:sz w:val="20"/>
                <w:szCs w:val="20"/>
              </w:rPr>
              <w:t>rink, 1997</w:t>
            </w:r>
            <w:r w:rsidR="00E46DEA" w:rsidRPr="0098635C">
              <w:rPr>
                <w:color w:val="000000" w:themeColor="text1"/>
                <w:sz w:val="20"/>
                <w:szCs w:val="20"/>
              </w:rPr>
              <w:t>;</w:t>
            </w:r>
            <w:r w:rsidRPr="0098635C">
              <w:rPr>
                <w:color w:val="000000" w:themeColor="text1"/>
                <w:sz w:val="20"/>
                <w:szCs w:val="20"/>
              </w:rPr>
              <w:t xml:space="preserve"> Scotts-Fordsmand et al, 2000; </w:t>
            </w:r>
            <w:r w:rsidR="002B041B" w:rsidRPr="0098635C">
              <w:rPr>
                <w:color w:val="000000" w:themeColor="text1"/>
                <w:sz w:val="20"/>
                <w:szCs w:val="20"/>
              </w:rPr>
              <w:t>Criel et al, 2005</w:t>
            </w:r>
          </w:p>
        </w:tc>
      </w:tr>
      <w:tr w:rsidR="002A04A7" w:rsidRPr="0098635C" w14:paraId="6C9CD1C7" w14:textId="77777777" w:rsidTr="007742D9">
        <w:trPr>
          <w:trHeight w:val="76"/>
        </w:trPr>
        <w:tc>
          <w:tcPr>
            <w:tcW w:w="2376" w:type="dxa"/>
          </w:tcPr>
          <w:p w14:paraId="2B0BAE19" w14:textId="77777777" w:rsidR="002A04A7" w:rsidRPr="0098635C" w:rsidRDefault="002A04A7" w:rsidP="00E45E23">
            <w:pPr>
              <w:spacing w:after="0"/>
              <w:jc w:val="left"/>
              <w:rPr>
                <w:i/>
                <w:color w:val="000000" w:themeColor="text1"/>
                <w:sz w:val="20"/>
                <w:szCs w:val="20"/>
              </w:rPr>
            </w:pPr>
            <w:r w:rsidRPr="0098635C">
              <w:rPr>
                <w:i/>
                <w:color w:val="000000" w:themeColor="text1"/>
                <w:sz w:val="20"/>
                <w:szCs w:val="20"/>
              </w:rPr>
              <w:t>Folsomia candida</w:t>
            </w:r>
          </w:p>
        </w:tc>
        <w:tc>
          <w:tcPr>
            <w:tcW w:w="3261" w:type="dxa"/>
          </w:tcPr>
          <w:p w14:paraId="4BEEFA40" w14:textId="77777777" w:rsidR="002A04A7" w:rsidRPr="0098635C" w:rsidRDefault="00B533A5" w:rsidP="00861541">
            <w:pPr>
              <w:spacing w:after="0"/>
              <w:jc w:val="left"/>
              <w:rPr>
                <w:color w:val="000000" w:themeColor="text1"/>
                <w:sz w:val="20"/>
                <w:szCs w:val="20"/>
              </w:rPr>
            </w:pPr>
            <w:r w:rsidRPr="0098635C">
              <w:rPr>
                <w:color w:val="000000" w:themeColor="text1"/>
                <w:sz w:val="20"/>
                <w:szCs w:val="20"/>
              </w:rPr>
              <w:t xml:space="preserve">Min-max: </w:t>
            </w:r>
            <w:r w:rsidR="00861541" w:rsidRPr="0098635C">
              <w:rPr>
                <w:color w:val="000000" w:themeColor="text1"/>
                <w:sz w:val="20"/>
                <w:szCs w:val="20"/>
              </w:rPr>
              <w:t>31</w:t>
            </w:r>
            <w:r w:rsidRPr="0098635C">
              <w:rPr>
                <w:color w:val="000000" w:themeColor="text1"/>
                <w:sz w:val="20"/>
                <w:szCs w:val="20"/>
              </w:rPr>
              <w:t xml:space="preserve"> – </w:t>
            </w:r>
            <w:r w:rsidR="00E46DEA" w:rsidRPr="0098635C">
              <w:rPr>
                <w:color w:val="000000" w:themeColor="text1"/>
                <w:sz w:val="20"/>
                <w:szCs w:val="20"/>
              </w:rPr>
              <w:t>1</w:t>
            </w:r>
            <w:r w:rsidR="00861541" w:rsidRPr="0098635C">
              <w:rPr>
                <w:color w:val="000000" w:themeColor="text1"/>
                <w:sz w:val="20"/>
                <w:szCs w:val="20"/>
              </w:rPr>
              <w:t>460</w:t>
            </w:r>
            <w:r w:rsidRPr="0098635C">
              <w:rPr>
                <w:color w:val="000000" w:themeColor="text1"/>
                <w:sz w:val="20"/>
                <w:szCs w:val="20"/>
              </w:rPr>
              <w:t xml:space="preserve"> (mortality, growth, reproduction, instantaneous rate of population increase</w:t>
            </w:r>
            <w:r w:rsidR="00C464AE" w:rsidRPr="0098635C">
              <w:rPr>
                <w:color w:val="000000" w:themeColor="text1"/>
                <w:sz w:val="20"/>
                <w:szCs w:val="20"/>
              </w:rPr>
              <w:t xml:space="preserve"> ; </w:t>
            </w:r>
            <w:r w:rsidRPr="0098635C">
              <w:rPr>
                <w:color w:val="000000" w:themeColor="text1"/>
                <w:sz w:val="20"/>
                <w:szCs w:val="20"/>
              </w:rPr>
              <w:t>n=</w:t>
            </w:r>
            <w:r w:rsidR="00861541" w:rsidRPr="0098635C">
              <w:rPr>
                <w:color w:val="000000" w:themeColor="text1"/>
                <w:sz w:val="20"/>
                <w:szCs w:val="20"/>
              </w:rPr>
              <w:t>34</w:t>
            </w:r>
            <w:r w:rsidR="00E46DEA" w:rsidRPr="0098635C">
              <w:rPr>
                <w:color w:val="000000" w:themeColor="text1"/>
                <w:sz w:val="20"/>
                <w:szCs w:val="20"/>
              </w:rPr>
              <w:t>)</w:t>
            </w:r>
          </w:p>
          <w:p w14:paraId="7A22B691" w14:textId="2A034869" w:rsidR="00E763E3" w:rsidRPr="0098635C" w:rsidRDefault="00E763E3" w:rsidP="00861541">
            <w:pPr>
              <w:spacing w:after="0"/>
              <w:jc w:val="left"/>
              <w:rPr>
                <w:color w:val="000000" w:themeColor="text1"/>
                <w:sz w:val="20"/>
                <w:szCs w:val="20"/>
              </w:rPr>
            </w:pPr>
            <w:r w:rsidRPr="0098635C">
              <w:rPr>
                <w:color w:val="000000" w:themeColor="text1"/>
                <w:sz w:val="20"/>
                <w:szCs w:val="20"/>
              </w:rPr>
              <w:t>(Species mean</w:t>
            </w:r>
            <w:r w:rsidRPr="0098635C">
              <w:rPr>
                <w:color w:val="000000" w:themeColor="text1"/>
                <w:sz w:val="20"/>
                <w:szCs w:val="20"/>
                <w:vertAlign w:val="subscript"/>
              </w:rPr>
              <w:t>growth</w:t>
            </w:r>
            <w:r w:rsidRPr="0098635C">
              <w:rPr>
                <w:color w:val="000000" w:themeColor="text1"/>
                <w:sz w:val="20"/>
                <w:szCs w:val="20"/>
              </w:rPr>
              <w:t>: 12.8)</w:t>
            </w:r>
          </w:p>
        </w:tc>
        <w:tc>
          <w:tcPr>
            <w:tcW w:w="4286" w:type="dxa"/>
          </w:tcPr>
          <w:p w14:paraId="20C2CF70" w14:textId="77777777" w:rsidR="002A04A7" w:rsidRPr="0098635C" w:rsidRDefault="00B533A5" w:rsidP="007742D9">
            <w:pPr>
              <w:spacing w:after="0"/>
              <w:jc w:val="left"/>
              <w:rPr>
                <w:color w:val="000000" w:themeColor="text1"/>
                <w:sz w:val="20"/>
                <w:szCs w:val="20"/>
                <w:lang w:val="nl-NL"/>
              </w:rPr>
            </w:pPr>
            <w:r w:rsidRPr="0098635C">
              <w:rPr>
                <w:color w:val="000000" w:themeColor="text1"/>
                <w:sz w:val="20"/>
                <w:szCs w:val="20"/>
                <w:lang w:val="nl-NL"/>
              </w:rPr>
              <w:t>Sandifer and Hopkin, 1996,1997; Rundgren and Van Gestel, 1988; Herbert et al, 2004</w:t>
            </w:r>
            <w:r w:rsidR="002B041B" w:rsidRPr="0098635C">
              <w:rPr>
                <w:color w:val="000000" w:themeColor="text1"/>
                <w:sz w:val="20"/>
                <w:szCs w:val="20"/>
                <w:lang w:val="nl-NL"/>
              </w:rPr>
              <w:t>; Criel et al, 2005</w:t>
            </w:r>
          </w:p>
        </w:tc>
      </w:tr>
      <w:tr w:rsidR="00B533A5" w:rsidRPr="0098635C" w14:paraId="373DE277" w14:textId="77777777" w:rsidTr="007742D9">
        <w:trPr>
          <w:trHeight w:val="76"/>
        </w:trPr>
        <w:tc>
          <w:tcPr>
            <w:tcW w:w="2376" w:type="dxa"/>
          </w:tcPr>
          <w:p w14:paraId="5728B42E" w14:textId="77777777" w:rsidR="00B533A5" w:rsidRPr="0098635C" w:rsidRDefault="00B533A5" w:rsidP="00E45E23">
            <w:pPr>
              <w:spacing w:after="0"/>
              <w:jc w:val="left"/>
              <w:rPr>
                <w:i/>
                <w:color w:val="000000" w:themeColor="text1"/>
                <w:sz w:val="20"/>
                <w:szCs w:val="20"/>
              </w:rPr>
            </w:pPr>
            <w:r w:rsidRPr="0098635C">
              <w:rPr>
                <w:i/>
                <w:color w:val="000000" w:themeColor="text1"/>
                <w:sz w:val="20"/>
                <w:szCs w:val="20"/>
              </w:rPr>
              <w:t>Folsomia fimetaria</w:t>
            </w:r>
          </w:p>
        </w:tc>
        <w:tc>
          <w:tcPr>
            <w:tcW w:w="3261" w:type="dxa"/>
          </w:tcPr>
          <w:p w14:paraId="4F953056" w14:textId="77777777" w:rsidR="00B533A5" w:rsidRPr="0098635C" w:rsidRDefault="00B533A5" w:rsidP="00E46DEA">
            <w:pPr>
              <w:spacing w:after="0"/>
              <w:jc w:val="left"/>
              <w:rPr>
                <w:color w:val="000000" w:themeColor="text1"/>
                <w:sz w:val="20"/>
                <w:szCs w:val="20"/>
              </w:rPr>
            </w:pPr>
            <w:r w:rsidRPr="0098635C">
              <w:rPr>
                <w:color w:val="000000" w:themeColor="text1"/>
                <w:sz w:val="20"/>
                <w:szCs w:val="20"/>
              </w:rPr>
              <w:t>Min-max: 141 – 10</w:t>
            </w:r>
            <w:r w:rsidR="00E46DEA" w:rsidRPr="0098635C">
              <w:rPr>
                <w:color w:val="000000" w:themeColor="text1"/>
                <w:sz w:val="20"/>
                <w:szCs w:val="20"/>
              </w:rPr>
              <w:t>1</w:t>
            </w:r>
            <w:r w:rsidRPr="0098635C">
              <w:rPr>
                <w:color w:val="000000" w:themeColor="text1"/>
                <w:sz w:val="20"/>
                <w:szCs w:val="20"/>
              </w:rPr>
              <w:t xml:space="preserve">5 (mortality, </w:t>
            </w:r>
            <w:r w:rsidR="00C464AE" w:rsidRPr="0098635C">
              <w:rPr>
                <w:color w:val="000000" w:themeColor="text1"/>
                <w:sz w:val="20"/>
                <w:szCs w:val="20"/>
              </w:rPr>
              <w:t>growth, reproduction ; n</w:t>
            </w:r>
            <w:r w:rsidRPr="0098635C">
              <w:rPr>
                <w:color w:val="000000" w:themeColor="text1"/>
                <w:sz w:val="20"/>
                <w:szCs w:val="20"/>
              </w:rPr>
              <w:t>=1</w:t>
            </w:r>
            <w:r w:rsidR="00E46DEA" w:rsidRPr="0098635C">
              <w:rPr>
                <w:color w:val="000000" w:themeColor="text1"/>
                <w:sz w:val="20"/>
                <w:szCs w:val="20"/>
              </w:rPr>
              <w:t>7</w:t>
            </w:r>
            <w:r w:rsidRPr="0098635C">
              <w:rPr>
                <w:color w:val="000000" w:themeColor="text1"/>
                <w:sz w:val="20"/>
                <w:szCs w:val="20"/>
              </w:rPr>
              <w:t>)</w:t>
            </w:r>
          </w:p>
        </w:tc>
        <w:tc>
          <w:tcPr>
            <w:tcW w:w="4286" w:type="dxa"/>
          </w:tcPr>
          <w:p w14:paraId="296C351A" w14:textId="77777777" w:rsidR="00B533A5" w:rsidRPr="0098635C" w:rsidRDefault="00B533A5" w:rsidP="00B533A5">
            <w:pPr>
              <w:spacing w:after="0"/>
              <w:jc w:val="left"/>
              <w:rPr>
                <w:color w:val="000000" w:themeColor="text1"/>
                <w:sz w:val="20"/>
                <w:szCs w:val="20"/>
              </w:rPr>
            </w:pPr>
            <w:r w:rsidRPr="0098635C">
              <w:rPr>
                <w:color w:val="000000" w:themeColor="text1"/>
                <w:sz w:val="20"/>
                <w:szCs w:val="20"/>
              </w:rPr>
              <w:t>Scotts-Fordsmand et al, 1997,2000a,Pedersen et al, 2000,2001</w:t>
            </w:r>
          </w:p>
        </w:tc>
      </w:tr>
      <w:tr w:rsidR="00B533A5" w:rsidRPr="0098635C" w14:paraId="63A1146F" w14:textId="77777777" w:rsidTr="007742D9">
        <w:trPr>
          <w:trHeight w:val="76"/>
        </w:trPr>
        <w:tc>
          <w:tcPr>
            <w:tcW w:w="2376" w:type="dxa"/>
          </w:tcPr>
          <w:p w14:paraId="5C25B5A9" w14:textId="77777777" w:rsidR="00B533A5" w:rsidRPr="0098635C" w:rsidRDefault="00B533A5" w:rsidP="00E45E23">
            <w:pPr>
              <w:spacing w:after="0"/>
              <w:jc w:val="left"/>
              <w:rPr>
                <w:i/>
                <w:color w:val="000000" w:themeColor="text1"/>
                <w:sz w:val="20"/>
                <w:szCs w:val="20"/>
              </w:rPr>
            </w:pPr>
            <w:r w:rsidRPr="0098635C">
              <w:rPr>
                <w:i/>
                <w:color w:val="000000" w:themeColor="text1"/>
                <w:sz w:val="20"/>
                <w:szCs w:val="20"/>
              </w:rPr>
              <w:t>Hypoaspis aculeifer</w:t>
            </w:r>
          </w:p>
        </w:tc>
        <w:tc>
          <w:tcPr>
            <w:tcW w:w="3261" w:type="dxa"/>
          </w:tcPr>
          <w:p w14:paraId="2DB70AB5" w14:textId="77777777" w:rsidR="00B533A5" w:rsidRPr="0098635C" w:rsidRDefault="00B533A5" w:rsidP="00C464AE">
            <w:pPr>
              <w:spacing w:after="0"/>
              <w:jc w:val="left"/>
              <w:rPr>
                <w:color w:val="000000" w:themeColor="text1"/>
                <w:sz w:val="20"/>
                <w:szCs w:val="20"/>
              </w:rPr>
            </w:pPr>
            <w:r w:rsidRPr="0098635C">
              <w:rPr>
                <w:color w:val="000000" w:themeColor="text1"/>
                <w:sz w:val="20"/>
                <w:szCs w:val="20"/>
              </w:rPr>
              <w:t>179.2 (reproduction</w:t>
            </w:r>
            <w:r w:rsidR="00C464AE" w:rsidRPr="0098635C">
              <w:rPr>
                <w:color w:val="000000" w:themeColor="text1"/>
                <w:sz w:val="20"/>
                <w:szCs w:val="20"/>
              </w:rPr>
              <w:t xml:space="preserve"> ; </w:t>
            </w:r>
            <w:r w:rsidRPr="0098635C">
              <w:rPr>
                <w:color w:val="000000" w:themeColor="text1"/>
                <w:sz w:val="20"/>
                <w:szCs w:val="20"/>
              </w:rPr>
              <w:t>n=1)</w:t>
            </w:r>
          </w:p>
        </w:tc>
        <w:tc>
          <w:tcPr>
            <w:tcW w:w="4286" w:type="dxa"/>
          </w:tcPr>
          <w:p w14:paraId="62229453" w14:textId="77777777" w:rsidR="00B533A5" w:rsidRPr="0098635C" w:rsidRDefault="00B533A5" w:rsidP="00B533A5">
            <w:pPr>
              <w:spacing w:after="0"/>
              <w:jc w:val="left"/>
              <w:rPr>
                <w:color w:val="000000" w:themeColor="text1"/>
                <w:sz w:val="20"/>
                <w:szCs w:val="20"/>
              </w:rPr>
            </w:pPr>
            <w:r w:rsidRPr="0098635C">
              <w:rPr>
                <w:color w:val="000000" w:themeColor="text1"/>
                <w:sz w:val="20"/>
                <w:szCs w:val="20"/>
              </w:rPr>
              <w:t>Krogh and Axelsen, 1998</w:t>
            </w:r>
          </w:p>
        </w:tc>
      </w:tr>
      <w:tr w:rsidR="00B533A5" w:rsidRPr="0098635C" w14:paraId="0C3A46CD" w14:textId="77777777" w:rsidTr="007742D9">
        <w:trPr>
          <w:trHeight w:val="76"/>
        </w:trPr>
        <w:tc>
          <w:tcPr>
            <w:tcW w:w="2376" w:type="dxa"/>
          </w:tcPr>
          <w:p w14:paraId="3599CFD3" w14:textId="77777777" w:rsidR="00B533A5" w:rsidRPr="0098635C" w:rsidRDefault="00B533A5" w:rsidP="00E45E23">
            <w:pPr>
              <w:spacing w:after="0"/>
              <w:jc w:val="left"/>
              <w:rPr>
                <w:i/>
                <w:color w:val="000000" w:themeColor="text1"/>
                <w:sz w:val="20"/>
                <w:szCs w:val="20"/>
              </w:rPr>
            </w:pPr>
            <w:r w:rsidRPr="0098635C">
              <w:rPr>
                <w:i/>
                <w:color w:val="000000" w:themeColor="text1"/>
                <w:sz w:val="20"/>
                <w:szCs w:val="20"/>
              </w:rPr>
              <w:t>Isotoma viridis</w:t>
            </w:r>
          </w:p>
        </w:tc>
        <w:tc>
          <w:tcPr>
            <w:tcW w:w="3261" w:type="dxa"/>
          </w:tcPr>
          <w:p w14:paraId="68C6A1E6" w14:textId="77777777" w:rsidR="00B533A5" w:rsidRPr="0098635C" w:rsidRDefault="00B533A5" w:rsidP="00C464AE">
            <w:pPr>
              <w:spacing w:after="0"/>
              <w:jc w:val="left"/>
              <w:rPr>
                <w:color w:val="000000" w:themeColor="text1"/>
                <w:sz w:val="20"/>
                <w:szCs w:val="20"/>
              </w:rPr>
            </w:pPr>
            <w:r w:rsidRPr="0098635C">
              <w:rPr>
                <w:color w:val="000000" w:themeColor="text1"/>
                <w:sz w:val="20"/>
                <w:szCs w:val="20"/>
              </w:rPr>
              <w:t>55.2 – 403.2 (growth</w:t>
            </w:r>
            <w:r w:rsidR="00C464AE" w:rsidRPr="0098635C">
              <w:rPr>
                <w:color w:val="000000" w:themeColor="text1"/>
                <w:sz w:val="20"/>
                <w:szCs w:val="20"/>
              </w:rPr>
              <w:t xml:space="preserve"> ; </w:t>
            </w:r>
            <w:r w:rsidRPr="0098635C">
              <w:rPr>
                <w:color w:val="000000" w:themeColor="text1"/>
                <w:sz w:val="20"/>
                <w:szCs w:val="20"/>
              </w:rPr>
              <w:t>n=2)</w:t>
            </w:r>
          </w:p>
        </w:tc>
        <w:tc>
          <w:tcPr>
            <w:tcW w:w="4286" w:type="dxa"/>
          </w:tcPr>
          <w:p w14:paraId="273DE300" w14:textId="77777777" w:rsidR="00B533A5" w:rsidRPr="0098635C" w:rsidRDefault="00B533A5" w:rsidP="00B533A5">
            <w:pPr>
              <w:spacing w:after="0"/>
              <w:jc w:val="left"/>
              <w:rPr>
                <w:color w:val="000000" w:themeColor="text1"/>
                <w:sz w:val="20"/>
                <w:szCs w:val="20"/>
              </w:rPr>
            </w:pPr>
            <w:r w:rsidRPr="0098635C">
              <w:rPr>
                <w:color w:val="000000" w:themeColor="text1"/>
                <w:sz w:val="20"/>
                <w:szCs w:val="20"/>
              </w:rPr>
              <w:t>Rundgren and Van Gestel, 1988</w:t>
            </w:r>
          </w:p>
        </w:tc>
      </w:tr>
      <w:tr w:rsidR="0086465E" w:rsidRPr="0098635C" w14:paraId="48A613C8" w14:textId="77777777" w:rsidTr="007742D9">
        <w:trPr>
          <w:trHeight w:val="76"/>
        </w:trPr>
        <w:tc>
          <w:tcPr>
            <w:tcW w:w="2376" w:type="dxa"/>
          </w:tcPr>
          <w:p w14:paraId="32BAEB1C" w14:textId="77777777" w:rsidR="0086465E" w:rsidRPr="0098635C" w:rsidRDefault="0086465E" w:rsidP="00E45E23">
            <w:pPr>
              <w:spacing w:after="0"/>
              <w:jc w:val="left"/>
              <w:rPr>
                <w:i/>
                <w:color w:val="000000" w:themeColor="text1"/>
                <w:sz w:val="20"/>
                <w:szCs w:val="20"/>
              </w:rPr>
            </w:pPr>
            <w:r w:rsidRPr="0098635C">
              <w:rPr>
                <w:i/>
                <w:color w:val="000000" w:themeColor="text1"/>
                <w:sz w:val="20"/>
                <w:szCs w:val="20"/>
              </w:rPr>
              <w:t>Lumbricus rubellus</w:t>
            </w:r>
          </w:p>
        </w:tc>
        <w:tc>
          <w:tcPr>
            <w:tcW w:w="3261" w:type="dxa"/>
          </w:tcPr>
          <w:p w14:paraId="5AFDB1D8" w14:textId="77777777" w:rsidR="0086465E" w:rsidRPr="0098635C" w:rsidRDefault="0086465E" w:rsidP="00861541">
            <w:pPr>
              <w:spacing w:after="0"/>
              <w:jc w:val="left"/>
              <w:rPr>
                <w:color w:val="000000" w:themeColor="text1"/>
                <w:sz w:val="20"/>
                <w:szCs w:val="20"/>
              </w:rPr>
            </w:pPr>
            <w:r w:rsidRPr="0098635C">
              <w:rPr>
                <w:color w:val="000000" w:themeColor="text1"/>
                <w:sz w:val="20"/>
                <w:szCs w:val="20"/>
              </w:rPr>
              <w:t>Min-max: 54 – 162 (mortality, growth, reproduction, , litter breakdown</w:t>
            </w:r>
            <w:r w:rsidR="00C464AE" w:rsidRPr="0098635C">
              <w:rPr>
                <w:color w:val="000000" w:themeColor="text1"/>
                <w:sz w:val="20"/>
                <w:szCs w:val="20"/>
              </w:rPr>
              <w:t xml:space="preserve"> ; </w:t>
            </w:r>
            <w:r w:rsidRPr="0098635C">
              <w:rPr>
                <w:color w:val="000000" w:themeColor="text1"/>
                <w:sz w:val="20"/>
                <w:szCs w:val="20"/>
              </w:rPr>
              <w:t>n=1</w:t>
            </w:r>
            <w:r w:rsidR="00861541" w:rsidRPr="0098635C">
              <w:rPr>
                <w:color w:val="000000" w:themeColor="text1"/>
                <w:sz w:val="20"/>
                <w:szCs w:val="20"/>
              </w:rPr>
              <w:t>0</w:t>
            </w:r>
            <w:r w:rsidRPr="0098635C">
              <w:rPr>
                <w:color w:val="000000" w:themeColor="text1"/>
                <w:sz w:val="20"/>
                <w:szCs w:val="20"/>
              </w:rPr>
              <w:t>)</w:t>
            </w:r>
          </w:p>
          <w:p w14:paraId="47DA5355" w14:textId="519C932B" w:rsidR="00E763E3" w:rsidRPr="0098635C" w:rsidRDefault="00E763E3" w:rsidP="00861541">
            <w:pPr>
              <w:spacing w:after="0"/>
              <w:jc w:val="left"/>
              <w:rPr>
                <w:color w:val="000000" w:themeColor="text1"/>
                <w:sz w:val="20"/>
                <w:szCs w:val="20"/>
              </w:rPr>
            </w:pPr>
            <w:r w:rsidRPr="0098635C">
              <w:rPr>
                <w:color w:val="000000" w:themeColor="text1"/>
                <w:sz w:val="20"/>
                <w:szCs w:val="20"/>
              </w:rPr>
              <w:t>(Species mean</w:t>
            </w:r>
            <w:r w:rsidRPr="0098635C">
              <w:rPr>
                <w:color w:val="000000" w:themeColor="text1"/>
                <w:sz w:val="20"/>
                <w:szCs w:val="20"/>
                <w:vertAlign w:val="subscript"/>
              </w:rPr>
              <w:t>growth</w:t>
            </w:r>
            <w:r w:rsidRPr="0098635C">
              <w:rPr>
                <w:color w:val="000000" w:themeColor="text1"/>
                <w:sz w:val="20"/>
                <w:szCs w:val="20"/>
              </w:rPr>
              <w:t>: 12.8)</w:t>
            </w:r>
          </w:p>
        </w:tc>
        <w:tc>
          <w:tcPr>
            <w:tcW w:w="4286" w:type="dxa"/>
          </w:tcPr>
          <w:p w14:paraId="1DBBCCA2" w14:textId="77777777" w:rsidR="0086465E" w:rsidRPr="0098635C" w:rsidRDefault="0086465E" w:rsidP="00861541">
            <w:pPr>
              <w:spacing w:after="0"/>
              <w:jc w:val="left"/>
              <w:rPr>
                <w:color w:val="000000" w:themeColor="text1"/>
                <w:sz w:val="20"/>
                <w:szCs w:val="20"/>
              </w:rPr>
            </w:pPr>
            <w:r w:rsidRPr="0098635C">
              <w:rPr>
                <w:color w:val="000000" w:themeColor="text1"/>
                <w:sz w:val="20"/>
                <w:szCs w:val="20"/>
              </w:rPr>
              <w:t xml:space="preserve">Ma, 1984 ; Svendsen and Weeks, 1997 ; Spurgeon et al, 2004 </w:t>
            </w:r>
          </w:p>
        </w:tc>
      </w:tr>
      <w:tr w:rsidR="0086465E" w:rsidRPr="0098635C" w14:paraId="360BBABB" w14:textId="77777777" w:rsidTr="007742D9">
        <w:trPr>
          <w:trHeight w:val="76"/>
        </w:trPr>
        <w:tc>
          <w:tcPr>
            <w:tcW w:w="2376" w:type="dxa"/>
          </w:tcPr>
          <w:p w14:paraId="2651AA96" w14:textId="77777777" w:rsidR="0086465E" w:rsidRPr="0098635C" w:rsidRDefault="00836340" w:rsidP="00E45E23">
            <w:pPr>
              <w:spacing w:after="0"/>
              <w:jc w:val="left"/>
              <w:rPr>
                <w:i/>
                <w:color w:val="000000" w:themeColor="text1"/>
                <w:sz w:val="20"/>
                <w:szCs w:val="20"/>
              </w:rPr>
            </w:pPr>
            <w:r w:rsidRPr="0098635C">
              <w:rPr>
                <w:i/>
                <w:color w:val="000000" w:themeColor="text1"/>
                <w:sz w:val="20"/>
                <w:szCs w:val="20"/>
              </w:rPr>
              <w:t>Plectus acuminatus</w:t>
            </w:r>
          </w:p>
        </w:tc>
        <w:tc>
          <w:tcPr>
            <w:tcW w:w="3261" w:type="dxa"/>
          </w:tcPr>
          <w:p w14:paraId="260A088C" w14:textId="77777777" w:rsidR="0086465E" w:rsidRPr="0098635C" w:rsidRDefault="00836340" w:rsidP="00C464AE">
            <w:pPr>
              <w:spacing w:after="0"/>
              <w:jc w:val="left"/>
              <w:rPr>
                <w:color w:val="000000" w:themeColor="text1"/>
                <w:sz w:val="20"/>
                <w:szCs w:val="20"/>
              </w:rPr>
            </w:pPr>
            <w:r w:rsidRPr="0098635C">
              <w:rPr>
                <w:color w:val="000000" w:themeColor="text1"/>
                <w:sz w:val="20"/>
                <w:szCs w:val="20"/>
              </w:rPr>
              <w:t>35.2 (juvenile production</w:t>
            </w:r>
            <w:r w:rsidR="00C464AE" w:rsidRPr="0098635C">
              <w:rPr>
                <w:color w:val="000000" w:themeColor="text1"/>
                <w:sz w:val="20"/>
                <w:szCs w:val="20"/>
              </w:rPr>
              <w:t xml:space="preserve"> ; n</w:t>
            </w:r>
            <w:r w:rsidRPr="0098635C">
              <w:rPr>
                <w:color w:val="000000" w:themeColor="text1"/>
                <w:sz w:val="20"/>
                <w:szCs w:val="20"/>
              </w:rPr>
              <w:t>=1)</w:t>
            </w:r>
          </w:p>
        </w:tc>
        <w:tc>
          <w:tcPr>
            <w:tcW w:w="4286" w:type="dxa"/>
          </w:tcPr>
          <w:p w14:paraId="69F6A458" w14:textId="77777777" w:rsidR="0086465E" w:rsidRPr="0098635C" w:rsidRDefault="00836340" w:rsidP="00B533A5">
            <w:pPr>
              <w:spacing w:after="0"/>
              <w:jc w:val="left"/>
              <w:rPr>
                <w:color w:val="000000" w:themeColor="text1"/>
                <w:sz w:val="20"/>
                <w:szCs w:val="20"/>
              </w:rPr>
            </w:pPr>
            <w:r w:rsidRPr="0098635C">
              <w:rPr>
                <w:color w:val="000000" w:themeColor="text1"/>
                <w:sz w:val="20"/>
                <w:szCs w:val="20"/>
              </w:rPr>
              <w:t>Kammenga et al, 1996</w:t>
            </w:r>
          </w:p>
        </w:tc>
      </w:tr>
      <w:tr w:rsidR="00836340" w:rsidRPr="0098635C" w14:paraId="743609FE" w14:textId="77777777" w:rsidTr="007742D9">
        <w:trPr>
          <w:trHeight w:val="76"/>
        </w:trPr>
        <w:tc>
          <w:tcPr>
            <w:tcW w:w="2376" w:type="dxa"/>
          </w:tcPr>
          <w:p w14:paraId="7B076DF3" w14:textId="77777777" w:rsidR="00836340" w:rsidRPr="0098635C" w:rsidRDefault="00836340" w:rsidP="00E45E23">
            <w:pPr>
              <w:spacing w:after="0"/>
              <w:jc w:val="left"/>
              <w:rPr>
                <w:i/>
                <w:color w:val="000000" w:themeColor="text1"/>
                <w:sz w:val="20"/>
                <w:szCs w:val="20"/>
              </w:rPr>
            </w:pPr>
            <w:r w:rsidRPr="0098635C">
              <w:rPr>
                <w:i/>
                <w:color w:val="000000" w:themeColor="text1"/>
                <w:sz w:val="20"/>
                <w:szCs w:val="20"/>
              </w:rPr>
              <w:t>Platynothrus peltifer</w:t>
            </w:r>
          </w:p>
        </w:tc>
        <w:tc>
          <w:tcPr>
            <w:tcW w:w="3261" w:type="dxa"/>
          </w:tcPr>
          <w:p w14:paraId="6711F132" w14:textId="77777777" w:rsidR="00836340" w:rsidRPr="0098635C" w:rsidRDefault="00836340" w:rsidP="00C464AE">
            <w:pPr>
              <w:spacing w:after="0"/>
              <w:jc w:val="left"/>
              <w:rPr>
                <w:color w:val="000000" w:themeColor="text1"/>
                <w:sz w:val="20"/>
                <w:szCs w:val="20"/>
              </w:rPr>
            </w:pPr>
            <w:r w:rsidRPr="0098635C">
              <w:rPr>
                <w:color w:val="000000" w:themeColor="text1"/>
                <w:sz w:val="20"/>
                <w:szCs w:val="20"/>
              </w:rPr>
              <w:t>68.2 (juvenile production</w:t>
            </w:r>
            <w:r w:rsidR="00C464AE" w:rsidRPr="0098635C">
              <w:rPr>
                <w:color w:val="000000" w:themeColor="text1"/>
                <w:sz w:val="20"/>
                <w:szCs w:val="20"/>
              </w:rPr>
              <w:t xml:space="preserve"> ; n </w:t>
            </w:r>
            <w:r w:rsidRPr="0098635C">
              <w:rPr>
                <w:color w:val="000000" w:themeColor="text1"/>
                <w:sz w:val="20"/>
                <w:szCs w:val="20"/>
              </w:rPr>
              <w:t>3)</w:t>
            </w:r>
          </w:p>
        </w:tc>
        <w:tc>
          <w:tcPr>
            <w:tcW w:w="4286" w:type="dxa"/>
          </w:tcPr>
          <w:p w14:paraId="365EF6FD" w14:textId="77777777" w:rsidR="00836340" w:rsidRPr="0098635C" w:rsidRDefault="00836340" w:rsidP="00B533A5">
            <w:pPr>
              <w:spacing w:after="0"/>
              <w:jc w:val="left"/>
              <w:rPr>
                <w:color w:val="000000" w:themeColor="text1"/>
                <w:sz w:val="20"/>
                <w:szCs w:val="20"/>
              </w:rPr>
            </w:pPr>
            <w:r w:rsidRPr="0098635C">
              <w:rPr>
                <w:color w:val="000000" w:themeColor="text1"/>
                <w:sz w:val="20"/>
                <w:szCs w:val="20"/>
              </w:rPr>
              <w:t>Van Gestel and Doornekamp, 1998</w:t>
            </w:r>
          </w:p>
        </w:tc>
      </w:tr>
    </w:tbl>
    <w:p w14:paraId="582A5D6B" w14:textId="77777777" w:rsidR="007742D9" w:rsidRPr="0098635C" w:rsidRDefault="007742D9">
      <w:pPr>
        <w:pStyle w:val="BodyText"/>
        <w:rPr>
          <w:color w:val="000000" w:themeColor="text1"/>
          <w:sz w:val="20"/>
        </w:rPr>
      </w:pPr>
    </w:p>
    <w:p w14:paraId="6C4EAD5B" w14:textId="77777777" w:rsidR="00C53672" w:rsidRPr="0098635C" w:rsidRDefault="00EA200F">
      <w:pPr>
        <w:pStyle w:val="BodyText"/>
        <w:rPr>
          <w:i/>
          <w:color w:val="000000" w:themeColor="text1"/>
          <w:sz w:val="20"/>
          <w:u w:val="single"/>
        </w:rPr>
      </w:pPr>
      <w:r w:rsidRPr="0098635C">
        <w:rPr>
          <w:i/>
          <w:color w:val="000000" w:themeColor="text1"/>
          <w:sz w:val="20"/>
          <w:u w:val="single"/>
        </w:rPr>
        <w:t xml:space="preserve">Chronic terrestrial plant data: </w:t>
      </w:r>
    </w:p>
    <w:p w14:paraId="215D73F2" w14:textId="43B7B0DA" w:rsidR="00B81D56" w:rsidRPr="0098635C" w:rsidRDefault="006A18B3">
      <w:pPr>
        <w:pStyle w:val="BodyText"/>
        <w:rPr>
          <w:color w:val="000000" w:themeColor="text1"/>
          <w:sz w:val="20"/>
        </w:rPr>
      </w:pPr>
      <w:r w:rsidRPr="0098635C">
        <w:rPr>
          <w:color w:val="000000" w:themeColor="text1"/>
          <w:sz w:val="20"/>
        </w:rPr>
        <w:t>The plant effect records include 67 high quality single-species chronic NOEC/EC</w:t>
      </w:r>
      <w:r w:rsidRPr="0098635C">
        <w:rPr>
          <w:color w:val="000000" w:themeColor="text1"/>
          <w:sz w:val="20"/>
          <w:vertAlign w:val="subscript"/>
        </w:rPr>
        <w:t>10</w:t>
      </w:r>
      <w:r w:rsidRPr="0098635C">
        <w:rPr>
          <w:color w:val="000000" w:themeColor="text1"/>
          <w:sz w:val="20"/>
        </w:rPr>
        <w:t xml:space="preserve"> values covering monocotyle and dicotyle plants including agricultural and wild species belonging to 9 different species and 5 different families: (</w:t>
      </w:r>
      <w:r w:rsidRPr="0098635C">
        <w:rPr>
          <w:i/>
          <w:color w:val="000000" w:themeColor="text1"/>
          <w:sz w:val="20"/>
        </w:rPr>
        <w:t>Polygonum convolvulus</w:t>
      </w:r>
      <w:r w:rsidRPr="0098635C">
        <w:rPr>
          <w:color w:val="000000" w:themeColor="text1"/>
          <w:sz w:val="20"/>
        </w:rPr>
        <w:t xml:space="preserve">– family of the Polyonaceae; </w:t>
      </w:r>
      <w:r w:rsidRPr="0098635C">
        <w:rPr>
          <w:i/>
          <w:color w:val="000000" w:themeColor="text1"/>
          <w:sz w:val="20"/>
        </w:rPr>
        <w:t>Lycopersicon esculentum</w:t>
      </w:r>
      <w:r w:rsidRPr="0098635C">
        <w:rPr>
          <w:color w:val="000000" w:themeColor="text1"/>
          <w:sz w:val="20"/>
        </w:rPr>
        <w:t xml:space="preserve">– family of the Solanaceae; </w:t>
      </w:r>
      <w:r w:rsidRPr="0098635C">
        <w:rPr>
          <w:i/>
          <w:color w:val="000000" w:themeColor="text1"/>
          <w:sz w:val="20"/>
        </w:rPr>
        <w:t>Hordeum vulgare, Avena sativa, Pao annua</w:t>
      </w:r>
      <w:r w:rsidRPr="0098635C">
        <w:rPr>
          <w:color w:val="000000" w:themeColor="text1"/>
          <w:sz w:val="20"/>
        </w:rPr>
        <w:t xml:space="preserve">– family of the Poaceae; </w:t>
      </w:r>
      <w:r w:rsidRPr="0098635C">
        <w:rPr>
          <w:i/>
          <w:color w:val="000000" w:themeColor="text1"/>
          <w:sz w:val="20"/>
        </w:rPr>
        <w:t>Senecio vulgaris</w:t>
      </w:r>
      <w:r w:rsidRPr="0098635C">
        <w:rPr>
          <w:color w:val="000000" w:themeColor="text1"/>
          <w:sz w:val="20"/>
        </w:rPr>
        <w:t xml:space="preserve">, </w:t>
      </w:r>
      <w:r w:rsidRPr="0098635C">
        <w:rPr>
          <w:i/>
          <w:color w:val="000000" w:themeColor="text1"/>
          <w:sz w:val="20"/>
        </w:rPr>
        <w:t>Andryala integrifolia, Hypochoeris radicata</w:t>
      </w:r>
      <w:r w:rsidRPr="0098635C">
        <w:rPr>
          <w:color w:val="000000" w:themeColor="text1"/>
          <w:sz w:val="20"/>
        </w:rPr>
        <w:t xml:space="preserve">– family of the Asteraceae; </w:t>
      </w:r>
      <w:r w:rsidRPr="0098635C">
        <w:rPr>
          <w:i/>
          <w:color w:val="000000" w:themeColor="text1"/>
          <w:sz w:val="20"/>
        </w:rPr>
        <w:t>Lolium perenne</w:t>
      </w:r>
      <w:r w:rsidR="00E244DA" w:rsidRPr="0098635C">
        <w:rPr>
          <w:color w:val="000000" w:themeColor="text1"/>
          <w:sz w:val="20"/>
        </w:rPr>
        <w:t>– family of the Gramineae)</w:t>
      </w:r>
      <w:r w:rsidR="00A018B3" w:rsidRPr="0098635C">
        <w:rPr>
          <w:color w:val="000000" w:themeColor="text1"/>
          <w:sz w:val="20"/>
        </w:rPr>
        <w:t xml:space="preserve"> (</w:t>
      </w:r>
      <w:r w:rsidR="00E230FB" w:rsidRPr="0098635C">
        <w:rPr>
          <w:b/>
          <w:color w:val="000000" w:themeColor="text1"/>
          <w:sz w:val="20"/>
        </w:rPr>
        <w:fldChar w:fldCharType="begin"/>
      </w:r>
      <w:r w:rsidR="00A018B3" w:rsidRPr="0098635C">
        <w:rPr>
          <w:b/>
          <w:color w:val="000000" w:themeColor="text1"/>
          <w:sz w:val="20"/>
        </w:rPr>
        <w:instrText xml:space="preserve"> REF _Ref260061172 \h </w:instrText>
      </w:r>
      <w:r w:rsidR="00B633D0" w:rsidRPr="0098635C">
        <w:rPr>
          <w:b/>
          <w:color w:val="000000" w:themeColor="text1"/>
          <w:sz w:val="20"/>
        </w:rPr>
        <w:instrText xml:space="preserve"> \* MERGEFORMAT </w:instrText>
      </w:r>
      <w:r w:rsidR="00E230FB" w:rsidRPr="0098635C">
        <w:rPr>
          <w:b/>
          <w:color w:val="000000" w:themeColor="text1"/>
          <w:sz w:val="20"/>
        </w:rPr>
      </w:r>
      <w:r w:rsidR="00E230FB" w:rsidRPr="0098635C">
        <w:rPr>
          <w:b/>
          <w:color w:val="000000" w:themeColor="text1"/>
          <w:sz w:val="20"/>
        </w:rPr>
        <w:fldChar w:fldCharType="separate"/>
      </w:r>
      <w:r w:rsidR="00607A89" w:rsidRPr="0098635C">
        <w:rPr>
          <w:color w:val="000000" w:themeColor="text1"/>
          <w:sz w:val="20"/>
        </w:rPr>
        <w:t xml:space="preserve">Table </w:t>
      </w:r>
      <w:r w:rsidR="00607A89" w:rsidRPr="0098635C">
        <w:rPr>
          <w:noProof/>
          <w:color w:val="000000" w:themeColor="text1"/>
          <w:sz w:val="20"/>
        </w:rPr>
        <w:t>35</w:t>
      </w:r>
      <w:r w:rsidR="00E230FB" w:rsidRPr="0098635C">
        <w:rPr>
          <w:b/>
          <w:color w:val="000000" w:themeColor="text1"/>
          <w:sz w:val="20"/>
        </w:rPr>
        <w:fldChar w:fldCharType="end"/>
      </w:r>
      <w:r w:rsidR="00A018B3" w:rsidRPr="0098635C">
        <w:rPr>
          <w:color w:val="000000" w:themeColor="text1"/>
          <w:sz w:val="20"/>
        </w:rPr>
        <w:t>)</w:t>
      </w:r>
      <w:r w:rsidR="00E244DA" w:rsidRPr="0098635C">
        <w:rPr>
          <w:color w:val="000000" w:themeColor="text1"/>
          <w:sz w:val="20"/>
        </w:rPr>
        <w:t>.</w:t>
      </w:r>
    </w:p>
    <w:p w14:paraId="1935D65F" w14:textId="77777777" w:rsidR="006A18B3" w:rsidRPr="0098635C" w:rsidRDefault="006A18B3">
      <w:pPr>
        <w:pStyle w:val="BodyText"/>
        <w:rPr>
          <w:color w:val="000000" w:themeColor="text1"/>
          <w:sz w:val="20"/>
        </w:rPr>
      </w:pPr>
      <w:r w:rsidRPr="0098635C">
        <w:rPr>
          <w:color w:val="000000" w:themeColor="text1"/>
          <w:sz w:val="20"/>
        </w:rPr>
        <w:t>Individual high quality NOEC/(L(E)</w:t>
      </w:r>
      <w:r w:rsidRPr="0098635C">
        <w:rPr>
          <w:color w:val="000000" w:themeColor="text1"/>
          <w:sz w:val="20"/>
          <w:vertAlign w:val="subscript"/>
        </w:rPr>
        <w:t>10</w:t>
      </w:r>
      <w:r w:rsidRPr="0098635C">
        <w:rPr>
          <w:color w:val="000000" w:themeColor="text1"/>
          <w:sz w:val="20"/>
        </w:rPr>
        <w:t xml:space="preserve"> values from different studies range between ranging from 18 mg/kg for </w:t>
      </w:r>
      <w:r w:rsidRPr="0098635C">
        <w:rPr>
          <w:i/>
          <w:color w:val="000000" w:themeColor="text1"/>
          <w:sz w:val="20"/>
        </w:rPr>
        <w:t>Hordeum vulgare</w:t>
      </w:r>
      <w:r w:rsidRPr="0098635C">
        <w:rPr>
          <w:color w:val="000000" w:themeColor="text1"/>
          <w:sz w:val="20"/>
        </w:rPr>
        <w:t xml:space="preserve"> to 698 mg/kg for </w:t>
      </w:r>
      <w:r w:rsidRPr="0098635C">
        <w:rPr>
          <w:i/>
          <w:color w:val="000000" w:themeColor="text1"/>
          <w:sz w:val="20"/>
        </w:rPr>
        <w:t>Lycopersicon esculentum</w:t>
      </w:r>
      <w:r w:rsidRPr="0098635C">
        <w:rPr>
          <w:color w:val="000000" w:themeColor="text1"/>
          <w:sz w:val="20"/>
        </w:rPr>
        <w:t>.</w:t>
      </w:r>
      <w:r w:rsidR="00E244DA" w:rsidRPr="0098635C">
        <w:rPr>
          <w:color w:val="000000" w:themeColor="text1"/>
          <w:sz w:val="20"/>
        </w:rPr>
        <w:t xml:space="preserve"> </w:t>
      </w:r>
      <w:r w:rsidRPr="0098635C">
        <w:rPr>
          <w:color w:val="000000" w:themeColor="text1"/>
          <w:sz w:val="20"/>
        </w:rPr>
        <w:t>Important intra-species variability in NOEC/L(E)C</w:t>
      </w:r>
      <w:r w:rsidRPr="0098635C">
        <w:rPr>
          <w:color w:val="000000" w:themeColor="text1"/>
          <w:sz w:val="20"/>
          <w:vertAlign w:val="subscript"/>
        </w:rPr>
        <w:t>10</w:t>
      </w:r>
      <w:r w:rsidRPr="0098635C">
        <w:rPr>
          <w:color w:val="000000" w:themeColor="text1"/>
          <w:sz w:val="20"/>
        </w:rPr>
        <w:t xml:space="preserve"> values are observed due to differences in the physico-chemistry of the soils.   For plants, 2 models were developed (Rooney et al, 2004 and 2006):  </w:t>
      </w:r>
      <w:r w:rsidRPr="0098635C">
        <w:rPr>
          <w:i/>
          <w:color w:val="000000" w:themeColor="text1"/>
          <w:sz w:val="20"/>
        </w:rPr>
        <w:t>L. esculentum</w:t>
      </w:r>
      <w:r w:rsidRPr="0098635C">
        <w:rPr>
          <w:color w:val="000000" w:themeColor="text1"/>
          <w:sz w:val="20"/>
        </w:rPr>
        <w:t xml:space="preserve"> model (endpoint yield) and </w:t>
      </w:r>
      <w:r w:rsidRPr="0098635C">
        <w:rPr>
          <w:i/>
          <w:color w:val="000000" w:themeColor="text1"/>
          <w:sz w:val="20"/>
        </w:rPr>
        <w:t>H. vulgare</w:t>
      </w:r>
      <w:r w:rsidRPr="0098635C">
        <w:rPr>
          <w:color w:val="000000" w:themeColor="text1"/>
          <w:sz w:val="20"/>
        </w:rPr>
        <w:t xml:space="preserve"> root elongation model. These models can be used for the normalization of the plant NOEC data to th</w:t>
      </w:r>
      <w:r w:rsidR="00364416" w:rsidRPr="0098635C">
        <w:rPr>
          <w:color w:val="000000" w:themeColor="text1"/>
          <w:sz w:val="20"/>
        </w:rPr>
        <w:t>e same environmental conditions</w:t>
      </w:r>
      <w:r w:rsidRPr="0098635C">
        <w:rPr>
          <w:color w:val="000000" w:themeColor="text1"/>
          <w:sz w:val="20"/>
        </w:rPr>
        <w:t>.</w:t>
      </w:r>
    </w:p>
    <w:p w14:paraId="416DAA9E" w14:textId="77777777" w:rsidR="006A18B3" w:rsidRPr="0098635C" w:rsidRDefault="006A18B3" w:rsidP="006A18B3">
      <w:pPr>
        <w:pStyle w:val="BodyText"/>
        <w:rPr>
          <w:color w:val="000000" w:themeColor="text1"/>
          <w:sz w:val="20"/>
        </w:rPr>
      </w:pPr>
      <w:r w:rsidRPr="0098635C">
        <w:rPr>
          <w:color w:val="000000" w:themeColor="text1"/>
          <w:sz w:val="20"/>
        </w:rPr>
        <w:t xml:space="preserve">Additional </w:t>
      </w:r>
      <w:r w:rsidR="00096465" w:rsidRPr="0098635C">
        <w:rPr>
          <w:color w:val="000000" w:themeColor="text1"/>
          <w:sz w:val="20"/>
        </w:rPr>
        <w:t xml:space="preserve">research </w:t>
      </w:r>
      <w:r w:rsidRPr="0098635C">
        <w:rPr>
          <w:color w:val="000000" w:themeColor="text1"/>
          <w:sz w:val="20"/>
        </w:rPr>
        <w:t>on the influence of soil chemistry, soil ageing and soil leaching on the plant toxicity</w:t>
      </w:r>
      <w:r w:rsidR="00096465" w:rsidRPr="0098635C">
        <w:rPr>
          <w:color w:val="000000" w:themeColor="text1"/>
          <w:sz w:val="20"/>
        </w:rPr>
        <w:t xml:space="preserve"> has been conducted and reported in open literature</w:t>
      </w:r>
      <w:r w:rsidRPr="0098635C">
        <w:rPr>
          <w:color w:val="000000" w:themeColor="text1"/>
          <w:sz w:val="20"/>
        </w:rPr>
        <w:t xml:space="preserve"> (Ginochio et al., 2006; Zhao et al., 2006</w:t>
      </w:r>
      <w:r w:rsidR="00A6781A" w:rsidRPr="0098635C">
        <w:rPr>
          <w:color w:val="000000" w:themeColor="text1"/>
          <w:sz w:val="20"/>
        </w:rPr>
        <w:t>; Chander and Brooks, 1993; Oorts 2006b</w:t>
      </w:r>
      <w:r w:rsidRPr="0098635C">
        <w:rPr>
          <w:color w:val="000000" w:themeColor="text1"/>
          <w:sz w:val="20"/>
        </w:rPr>
        <w:t>)</w:t>
      </w:r>
      <w:r w:rsidR="00A6781A" w:rsidRPr="0098635C">
        <w:rPr>
          <w:color w:val="000000" w:themeColor="text1"/>
          <w:sz w:val="20"/>
        </w:rPr>
        <w:t>, and should also be taken into account when assessing copper toxicity in the terrestrial compartment</w:t>
      </w:r>
      <w:r w:rsidRPr="0098635C">
        <w:rPr>
          <w:color w:val="000000" w:themeColor="text1"/>
          <w:sz w:val="20"/>
        </w:rPr>
        <w:t>. Strandberg et al.</w:t>
      </w:r>
      <w:r w:rsidR="009A3AE0" w:rsidRPr="0098635C">
        <w:rPr>
          <w:color w:val="000000" w:themeColor="text1"/>
          <w:sz w:val="20"/>
        </w:rPr>
        <w:t xml:space="preserve"> (</w:t>
      </w:r>
      <w:r w:rsidRPr="0098635C">
        <w:rPr>
          <w:color w:val="000000" w:themeColor="text1"/>
          <w:sz w:val="20"/>
        </w:rPr>
        <w:t>2006</w:t>
      </w:r>
      <w:r w:rsidR="009A3AE0" w:rsidRPr="0098635C">
        <w:rPr>
          <w:color w:val="000000" w:themeColor="text1"/>
          <w:sz w:val="20"/>
        </w:rPr>
        <w:t>)</w:t>
      </w:r>
      <w:r w:rsidRPr="0098635C">
        <w:rPr>
          <w:color w:val="000000" w:themeColor="text1"/>
          <w:sz w:val="20"/>
        </w:rPr>
        <w:t xml:space="preserve"> further showed that plant community composition was significantly correlated with soil copper concentration and community composition at soil copper concentrations above 200 mg/kg differed significantly from community composition at lower copper levels. </w:t>
      </w:r>
    </w:p>
    <w:p w14:paraId="27373A67" w14:textId="77777777" w:rsidR="006A18B3" w:rsidRPr="0098635C" w:rsidRDefault="006A18B3">
      <w:pPr>
        <w:pStyle w:val="BodyText"/>
        <w:rPr>
          <w:color w:val="000000" w:themeColor="text1"/>
          <w:sz w:val="20"/>
        </w:rPr>
      </w:pPr>
      <w:r w:rsidRPr="0098635C">
        <w:rPr>
          <w:color w:val="000000" w:themeColor="text1"/>
          <w:sz w:val="20"/>
        </w:rPr>
        <w:t>The studies on soil attenuation, reported by Ma et al (2006, 2006b) are also of relevance for correctly assessing copper toxicity to terrestrial plants</w:t>
      </w:r>
    </w:p>
    <w:p w14:paraId="0CC85471" w14:textId="36B3DD90" w:rsidR="00E21632" w:rsidRPr="0098635C" w:rsidRDefault="00E21632" w:rsidP="00926614">
      <w:pPr>
        <w:pStyle w:val="Caption"/>
        <w:ind w:left="0"/>
        <w:jc w:val="center"/>
        <w:rPr>
          <w:color w:val="000000" w:themeColor="text1"/>
          <w:sz w:val="20"/>
        </w:rPr>
      </w:pPr>
      <w:bookmarkStart w:id="2012" w:name="_Ref260061172"/>
      <w:r w:rsidRPr="0098635C">
        <w:rPr>
          <w:color w:val="000000" w:themeColor="text1"/>
          <w:sz w:val="20"/>
        </w:rPr>
        <w:lastRenderedPageBreak/>
        <w:t xml:space="preserve">Table </w:t>
      </w:r>
      <w:r w:rsidR="00E230FB" w:rsidRPr="0098635C">
        <w:rPr>
          <w:color w:val="000000" w:themeColor="text1"/>
          <w:sz w:val="20"/>
        </w:rPr>
        <w:fldChar w:fldCharType="begin"/>
      </w:r>
      <w:r w:rsidRPr="0098635C">
        <w:rPr>
          <w:color w:val="000000" w:themeColor="text1"/>
          <w:sz w:val="20"/>
        </w:rPr>
        <w:instrText xml:space="preserve"> SEQ Table \* ARABIC </w:instrText>
      </w:r>
      <w:r w:rsidR="00E230FB" w:rsidRPr="0098635C">
        <w:rPr>
          <w:color w:val="000000" w:themeColor="text1"/>
          <w:sz w:val="20"/>
        </w:rPr>
        <w:fldChar w:fldCharType="separate"/>
      </w:r>
      <w:r w:rsidR="00607A89" w:rsidRPr="0098635C">
        <w:rPr>
          <w:noProof/>
          <w:color w:val="000000" w:themeColor="text1"/>
          <w:sz w:val="20"/>
        </w:rPr>
        <w:t>35</w:t>
      </w:r>
      <w:r w:rsidR="00E230FB" w:rsidRPr="0098635C">
        <w:rPr>
          <w:color w:val="000000" w:themeColor="text1"/>
          <w:sz w:val="20"/>
        </w:rPr>
        <w:fldChar w:fldCharType="end"/>
      </w:r>
      <w:bookmarkEnd w:id="2012"/>
      <w:r w:rsidRPr="0098635C">
        <w:rPr>
          <w:color w:val="000000" w:themeColor="text1"/>
          <w:sz w:val="20"/>
        </w:rPr>
        <w:t xml:space="preserve">: Summary of reliable chronic Cu toxicity data for terrestrial </w:t>
      </w:r>
      <w:r w:rsidR="005552B6" w:rsidRPr="0098635C">
        <w:rPr>
          <w:color w:val="000000" w:themeColor="text1"/>
          <w:sz w:val="20"/>
        </w:rPr>
        <w:t>plant</w:t>
      </w:r>
      <w:r w:rsidRPr="0098635C">
        <w:rPr>
          <w:color w:val="000000" w:themeColor="text1"/>
          <w:sz w:val="20"/>
        </w:rPr>
        <w:t xml:space="preserve"> species; reported values represent total measured concentration levels.</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4395"/>
        <w:gridCol w:w="3152"/>
      </w:tblGrid>
      <w:tr w:rsidR="00C53672" w:rsidRPr="0098635C" w14:paraId="0AB78ED2" w14:textId="77777777" w:rsidTr="005B3823">
        <w:trPr>
          <w:trHeight w:val="410"/>
          <w:tblHeader/>
        </w:trPr>
        <w:tc>
          <w:tcPr>
            <w:tcW w:w="2376" w:type="dxa"/>
            <w:vAlign w:val="center"/>
          </w:tcPr>
          <w:p w14:paraId="7C5C306A" w14:textId="77777777" w:rsidR="00C53672" w:rsidRPr="0098635C" w:rsidRDefault="00C53672" w:rsidP="002F1EAF">
            <w:pPr>
              <w:spacing w:after="0"/>
              <w:jc w:val="left"/>
              <w:rPr>
                <w:b/>
                <w:color w:val="000000" w:themeColor="text1"/>
                <w:sz w:val="20"/>
                <w:szCs w:val="20"/>
              </w:rPr>
            </w:pPr>
            <w:r w:rsidRPr="0098635C">
              <w:rPr>
                <w:b/>
                <w:bCs/>
                <w:color w:val="000000" w:themeColor="text1"/>
                <w:sz w:val="20"/>
                <w:szCs w:val="20"/>
              </w:rPr>
              <w:t xml:space="preserve">Species </w:t>
            </w:r>
          </w:p>
        </w:tc>
        <w:tc>
          <w:tcPr>
            <w:tcW w:w="4395" w:type="dxa"/>
            <w:vAlign w:val="center"/>
          </w:tcPr>
          <w:p w14:paraId="77BA49A4" w14:textId="77777777" w:rsidR="00C53672" w:rsidRPr="0098635C" w:rsidRDefault="00C53672" w:rsidP="00885E8B">
            <w:pPr>
              <w:spacing w:after="0"/>
              <w:jc w:val="left"/>
              <w:rPr>
                <w:b/>
                <w:color w:val="000000" w:themeColor="text1"/>
                <w:sz w:val="20"/>
                <w:szCs w:val="20"/>
              </w:rPr>
            </w:pPr>
            <w:r w:rsidRPr="0098635C">
              <w:rPr>
                <w:b/>
                <w:color w:val="000000" w:themeColor="text1"/>
                <w:sz w:val="20"/>
                <w:szCs w:val="20"/>
              </w:rPr>
              <w:t>Min-Max range</w:t>
            </w:r>
            <w:r w:rsidR="00885E8B" w:rsidRPr="0098635C">
              <w:rPr>
                <w:b/>
                <w:color w:val="000000" w:themeColor="text1"/>
                <w:sz w:val="20"/>
                <w:szCs w:val="20"/>
              </w:rPr>
              <w:t xml:space="preserve"> (mg Cu/kg</w:t>
            </w:r>
            <w:r w:rsidR="00885E8B" w:rsidRPr="0098635C">
              <w:rPr>
                <w:b/>
                <w:color w:val="000000" w:themeColor="text1"/>
                <w:sz w:val="20"/>
                <w:szCs w:val="20"/>
                <w:vertAlign w:val="subscript"/>
              </w:rPr>
              <w:t>dw</w:t>
            </w:r>
            <w:r w:rsidR="00885E8B" w:rsidRPr="0098635C">
              <w:rPr>
                <w:b/>
                <w:color w:val="000000" w:themeColor="text1"/>
                <w:sz w:val="20"/>
                <w:szCs w:val="20"/>
              </w:rPr>
              <w:t>)</w:t>
            </w:r>
            <w:r w:rsidRPr="0098635C">
              <w:rPr>
                <w:b/>
                <w:color w:val="000000" w:themeColor="text1"/>
                <w:sz w:val="20"/>
                <w:szCs w:val="20"/>
              </w:rPr>
              <w:t>, endpoints and #of data points</w:t>
            </w:r>
          </w:p>
        </w:tc>
        <w:tc>
          <w:tcPr>
            <w:tcW w:w="3152" w:type="dxa"/>
            <w:vAlign w:val="center"/>
          </w:tcPr>
          <w:p w14:paraId="40A81196" w14:textId="2D47A399" w:rsidR="00C53672" w:rsidRPr="0098635C" w:rsidRDefault="00C53672" w:rsidP="00484E4D">
            <w:pPr>
              <w:spacing w:after="0"/>
              <w:jc w:val="left"/>
              <w:rPr>
                <w:b/>
                <w:color w:val="000000" w:themeColor="text1"/>
                <w:sz w:val="20"/>
                <w:szCs w:val="20"/>
              </w:rPr>
            </w:pPr>
            <w:r w:rsidRPr="0098635C">
              <w:rPr>
                <w:b/>
                <w:color w:val="000000" w:themeColor="text1"/>
                <w:sz w:val="20"/>
                <w:szCs w:val="20"/>
              </w:rPr>
              <w:t xml:space="preserve">Reference &amp; </w:t>
            </w:r>
            <w:r w:rsidR="00484E4D" w:rsidRPr="0098635C">
              <w:rPr>
                <w:b/>
                <w:color w:val="000000" w:themeColor="text1"/>
                <w:sz w:val="20"/>
                <w:szCs w:val="20"/>
              </w:rPr>
              <w:t>Reliability</w:t>
            </w:r>
            <w:r w:rsidRPr="0098635C">
              <w:rPr>
                <w:b/>
                <w:color w:val="000000" w:themeColor="text1"/>
                <w:sz w:val="20"/>
                <w:szCs w:val="20"/>
              </w:rPr>
              <w:t xml:space="preserve"> scoring</w:t>
            </w:r>
          </w:p>
        </w:tc>
      </w:tr>
      <w:tr w:rsidR="00C53672" w:rsidRPr="0098635C" w14:paraId="2B658683" w14:textId="77777777" w:rsidTr="005B3823">
        <w:trPr>
          <w:trHeight w:val="76"/>
        </w:trPr>
        <w:tc>
          <w:tcPr>
            <w:tcW w:w="2376" w:type="dxa"/>
          </w:tcPr>
          <w:p w14:paraId="3EEED446" w14:textId="77777777" w:rsidR="00C53672" w:rsidRPr="0098635C" w:rsidRDefault="00C53672" w:rsidP="002F1EAF">
            <w:pPr>
              <w:spacing w:after="0"/>
              <w:jc w:val="left"/>
              <w:rPr>
                <w:i/>
                <w:color w:val="000000" w:themeColor="text1"/>
                <w:sz w:val="20"/>
                <w:szCs w:val="20"/>
              </w:rPr>
            </w:pPr>
            <w:r w:rsidRPr="0098635C">
              <w:rPr>
                <w:i/>
                <w:color w:val="000000" w:themeColor="text1"/>
                <w:sz w:val="20"/>
                <w:szCs w:val="20"/>
              </w:rPr>
              <w:t xml:space="preserve">Polygonum convolvulus </w:t>
            </w:r>
            <w:r w:rsidR="002F1EAF" w:rsidRPr="0098635C">
              <w:rPr>
                <w:i/>
                <w:color w:val="000000" w:themeColor="text1"/>
                <w:sz w:val="20"/>
                <w:szCs w:val="20"/>
              </w:rPr>
              <w:t>/ Fallopia convolvulus</w:t>
            </w:r>
          </w:p>
        </w:tc>
        <w:tc>
          <w:tcPr>
            <w:tcW w:w="4395" w:type="dxa"/>
          </w:tcPr>
          <w:p w14:paraId="6B524DEE" w14:textId="77777777" w:rsidR="00C53672" w:rsidRPr="0098635C" w:rsidRDefault="00C53672" w:rsidP="002414FA">
            <w:pPr>
              <w:spacing w:after="0"/>
              <w:jc w:val="left"/>
              <w:rPr>
                <w:color w:val="000000" w:themeColor="text1"/>
                <w:sz w:val="20"/>
                <w:szCs w:val="20"/>
              </w:rPr>
            </w:pPr>
            <w:r w:rsidRPr="0098635C">
              <w:rPr>
                <w:color w:val="000000" w:themeColor="text1"/>
                <w:sz w:val="20"/>
                <w:szCs w:val="20"/>
              </w:rPr>
              <w:t xml:space="preserve">Min-max: 137 – </w:t>
            </w:r>
            <w:r w:rsidR="002F1EAF" w:rsidRPr="0098635C">
              <w:rPr>
                <w:color w:val="000000" w:themeColor="text1"/>
                <w:sz w:val="20"/>
                <w:szCs w:val="20"/>
              </w:rPr>
              <w:t>22</w:t>
            </w:r>
            <w:r w:rsidRPr="0098635C">
              <w:rPr>
                <w:color w:val="000000" w:themeColor="text1"/>
                <w:sz w:val="20"/>
                <w:szCs w:val="20"/>
              </w:rPr>
              <w:t>2 (mortality</w:t>
            </w:r>
            <w:r w:rsidR="002F1EAF" w:rsidRPr="0098635C">
              <w:rPr>
                <w:color w:val="000000" w:themeColor="text1"/>
                <w:sz w:val="20"/>
                <w:szCs w:val="20"/>
              </w:rPr>
              <w:t>, total plant yield, reproductive dry matter, seed biomass, shoot yield, root yield</w:t>
            </w:r>
            <w:r w:rsidRPr="0098635C">
              <w:rPr>
                <w:color w:val="000000" w:themeColor="text1"/>
                <w:sz w:val="20"/>
                <w:szCs w:val="20"/>
              </w:rPr>
              <w:t>)</w:t>
            </w:r>
            <w:r w:rsidR="002414FA" w:rsidRPr="0098635C">
              <w:rPr>
                <w:color w:val="000000" w:themeColor="text1"/>
                <w:sz w:val="20"/>
                <w:szCs w:val="20"/>
              </w:rPr>
              <w:t xml:space="preserve"> ; </w:t>
            </w:r>
            <w:r w:rsidRPr="0098635C">
              <w:rPr>
                <w:color w:val="000000" w:themeColor="text1"/>
                <w:sz w:val="20"/>
                <w:szCs w:val="20"/>
              </w:rPr>
              <w:t>n=</w:t>
            </w:r>
            <w:r w:rsidR="002F1EAF" w:rsidRPr="0098635C">
              <w:rPr>
                <w:color w:val="000000" w:themeColor="text1"/>
                <w:sz w:val="20"/>
                <w:szCs w:val="20"/>
              </w:rPr>
              <w:t>6</w:t>
            </w:r>
            <w:r w:rsidRPr="0098635C">
              <w:rPr>
                <w:color w:val="000000" w:themeColor="text1"/>
                <w:sz w:val="20"/>
                <w:szCs w:val="20"/>
              </w:rPr>
              <w:t>)</w:t>
            </w:r>
          </w:p>
        </w:tc>
        <w:tc>
          <w:tcPr>
            <w:tcW w:w="3152" w:type="dxa"/>
          </w:tcPr>
          <w:p w14:paraId="4F848EC2" w14:textId="77777777" w:rsidR="00C53672" w:rsidRPr="0098635C" w:rsidRDefault="00C53672" w:rsidP="002F1EAF">
            <w:pPr>
              <w:spacing w:after="0"/>
              <w:jc w:val="left"/>
              <w:rPr>
                <w:color w:val="000000" w:themeColor="text1"/>
                <w:sz w:val="20"/>
                <w:szCs w:val="20"/>
                <w:lang w:val="nl-NL"/>
              </w:rPr>
            </w:pPr>
            <w:r w:rsidRPr="0098635C">
              <w:rPr>
                <w:color w:val="000000" w:themeColor="text1"/>
                <w:sz w:val="20"/>
                <w:szCs w:val="20"/>
                <w:lang w:val="nl-NL"/>
              </w:rPr>
              <w:t>Kjaer and Elmegaard, 1996</w:t>
            </w:r>
            <w:r w:rsidR="002F1EAF" w:rsidRPr="0098635C">
              <w:rPr>
                <w:color w:val="000000" w:themeColor="text1"/>
                <w:sz w:val="20"/>
                <w:szCs w:val="20"/>
                <w:lang w:val="nl-NL"/>
              </w:rPr>
              <w:t>; Pedersen et al, 2000</w:t>
            </w:r>
          </w:p>
        </w:tc>
      </w:tr>
      <w:tr w:rsidR="003161CD" w:rsidRPr="0098635C" w14:paraId="6374465C" w14:textId="77777777" w:rsidTr="005B3823">
        <w:trPr>
          <w:trHeight w:val="76"/>
        </w:trPr>
        <w:tc>
          <w:tcPr>
            <w:tcW w:w="2376" w:type="dxa"/>
          </w:tcPr>
          <w:p w14:paraId="70E627DA" w14:textId="77777777" w:rsidR="003161CD" w:rsidRPr="0098635C" w:rsidRDefault="006311F7" w:rsidP="002F1EAF">
            <w:pPr>
              <w:spacing w:after="0"/>
              <w:jc w:val="left"/>
              <w:rPr>
                <w:i/>
                <w:color w:val="000000" w:themeColor="text1"/>
                <w:sz w:val="20"/>
                <w:szCs w:val="20"/>
              </w:rPr>
            </w:pPr>
            <w:r w:rsidRPr="0098635C">
              <w:rPr>
                <w:i/>
                <w:color w:val="000000" w:themeColor="text1"/>
                <w:sz w:val="20"/>
                <w:szCs w:val="20"/>
              </w:rPr>
              <w:t>Avena sativa</w:t>
            </w:r>
          </w:p>
        </w:tc>
        <w:tc>
          <w:tcPr>
            <w:tcW w:w="4395" w:type="dxa"/>
          </w:tcPr>
          <w:p w14:paraId="4893D559" w14:textId="77777777" w:rsidR="003161CD" w:rsidRPr="0098635C" w:rsidRDefault="006311F7" w:rsidP="00A22731">
            <w:pPr>
              <w:spacing w:after="0"/>
              <w:jc w:val="left"/>
              <w:rPr>
                <w:color w:val="000000" w:themeColor="text1"/>
                <w:sz w:val="20"/>
                <w:szCs w:val="20"/>
              </w:rPr>
            </w:pPr>
            <w:r w:rsidRPr="0098635C">
              <w:rPr>
                <w:color w:val="000000" w:themeColor="text1"/>
                <w:sz w:val="20"/>
                <w:szCs w:val="20"/>
              </w:rPr>
              <w:t xml:space="preserve">Min-max: </w:t>
            </w:r>
            <w:r w:rsidR="00A22731" w:rsidRPr="0098635C">
              <w:rPr>
                <w:color w:val="000000" w:themeColor="text1"/>
                <w:sz w:val="20"/>
                <w:szCs w:val="20"/>
              </w:rPr>
              <w:t>204</w:t>
            </w:r>
            <w:r w:rsidRPr="0098635C">
              <w:rPr>
                <w:color w:val="000000" w:themeColor="text1"/>
                <w:sz w:val="20"/>
                <w:szCs w:val="20"/>
              </w:rPr>
              <w:t xml:space="preserve"> </w:t>
            </w:r>
            <w:r w:rsidR="00A22731" w:rsidRPr="0098635C">
              <w:rPr>
                <w:color w:val="000000" w:themeColor="text1"/>
                <w:sz w:val="20"/>
                <w:szCs w:val="20"/>
              </w:rPr>
              <w:t xml:space="preserve">– 258 </w:t>
            </w:r>
            <w:r w:rsidRPr="0098635C">
              <w:rPr>
                <w:color w:val="000000" w:themeColor="text1"/>
                <w:sz w:val="20"/>
                <w:szCs w:val="20"/>
              </w:rPr>
              <w:t>(</w:t>
            </w:r>
            <w:r w:rsidR="00A22731" w:rsidRPr="0098635C">
              <w:rPr>
                <w:color w:val="000000" w:themeColor="text1"/>
                <w:sz w:val="20"/>
                <w:szCs w:val="20"/>
              </w:rPr>
              <w:t>grain yield</w:t>
            </w:r>
            <w:r w:rsidR="002414FA" w:rsidRPr="0098635C">
              <w:rPr>
                <w:color w:val="000000" w:themeColor="text1"/>
                <w:sz w:val="20"/>
                <w:szCs w:val="20"/>
              </w:rPr>
              <w:t xml:space="preserve"> ; </w:t>
            </w:r>
            <w:r w:rsidRPr="0098635C">
              <w:rPr>
                <w:color w:val="000000" w:themeColor="text1"/>
                <w:sz w:val="20"/>
                <w:szCs w:val="20"/>
              </w:rPr>
              <w:t>n=</w:t>
            </w:r>
            <w:r w:rsidR="00A22731" w:rsidRPr="0098635C">
              <w:rPr>
                <w:color w:val="000000" w:themeColor="text1"/>
                <w:sz w:val="20"/>
                <w:szCs w:val="20"/>
              </w:rPr>
              <w:t>5</w:t>
            </w:r>
            <w:r w:rsidRPr="0098635C">
              <w:rPr>
                <w:color w:val="000000" w:themeColor="text1"/>
                <w:sz w:val="20"/>
                <w:szCs w:val="20"/>
              </w:rPr>
              <w:t>)</w:t>
            </w:r>
          </w:p>
        </w:tc>
        <w:tc>
          <w:tcPr>
            <w:tcW w:w="3152" w:type="dxa"/>
          </w:tcPr>
          <w:p w14:paraId="6A6C9A9C" w14:textId="77777777" w:rsidR="003161CD" w:rsidRPr="0098635C" w:rsidRDefault="006311F7" w:rsidP="00A22731">
            <w:pPr>
              <w:spacing w:after="0"/>
              <w:jc w:val="left"/>
              <w:rPr>
                <w:color w:val="000000" w:themeColor="text1"/>
                <w:sz w:val="20"/>
                <w:szCs w:val="20"/>
              </w:rPr>
            </w:pPr>
            <w:r w:rsidRPr="0098635C">
              <w:rPr>
                <w:color w:val="000000" w:themeColor="text1"/>
                <w:sz w:val="20"/>
                <w:szCs w:val="20"/>
              </w:rPr>
              <w:t xml:space="preserve">De Haan et al, 1985 </w:t>
            </w:r>
          </w:p>
        </w:tc>
      </w:tr>
      <w:tr w:rsidR="00B13BB8" w:rsidRPr="0098635C" w14:paraId="18BD58B2" w14:textId="77777777" w:rsidTr="005B3823">
        <w:trPr>
          <w:trHeight w:val="76"/>
        </w:trPr>
        <w:tc>
          <w:tcPr>
            <w:tcW w:w="2376" w:type="dxa"/>
          </w:tcPr>
          <w:p w14:paraId="7EBC22A4" w14:textId="77777777" w:rsidR="00B13BB8" w:rsidRPr="0098635C" w:rsidRDefault="00B13BB8" w:rsidP="002F1EAF">
            <w:pPr>
              <w:spacing w:after="0"/>
              <w:jc w:val="left"/>
              <w:rPr>
                <w:i/>
                <w:color w:val="000000" w:themeColor="text1"/>
                <w:sz w:val="20"/>
                <w:szCs w:val="20"/>
              </w:rPr>
            </w:pPr>
            <w:r w:rsidRPr="0098635C">
              <w:rPr>
                <w:i/>
                <w:color w:val="000000" w:themeColor="text1"/>
                <w:sz w:val="20"/>
                <w:szCs w:val="20"/>
              </w:rPr>
              <w:t>Lolium perenne</w:t>
            </w:r>
          </w:p>
        </w:tc>
        <w:tc>
          <w:tcPr>
            <w:tcW w:w="4395" w:type="dxa"/>
          </w:tcPr>
          <w:p w14:paraId="1289EB03" w14:textId="77777777" w:rsidR="00B13BB8" w:rsidRPr="0098635C" w:rsidRDefault="00B13BB8" w:rsidP="002414FA">
            <w:pPr>
              <w:spacing w:after="0"/>
              <w:jc w:val="left"/>
              <w:rPr>
                <w:color w:val="000000" w:themeColor="text1"/>
                <w:sz w:val="20"/>
                <w:szCs w:val="20"/>
              </w:rPr>
            </w:pPr>
            <w:r w:rsidRPr="0098635C">
              <w:rPr>
                <w:color w:val="000000" w:themeColor="text1"/>
                <w:sz w:val="20"/>
                <w:szCs w:val="20"/>
              </w:rPr>
              <w:t>106 (stem yield, root yield</w:t>
            </w:r>
            <w:r w:rsidR="002414FA" w:rsidRPr="0098635C">
              <w:rPr>
                <w:color w:val="000000" w:themeColor="text1"/>
                <w:sz w:val="20"/>
                <w:szCs w:val="20"/>
              </w:rPr>
              <w:t xml:space="preserve"> ; n</w:t>
            </w:r>
            <w:r w:rsidRPr="0098635C">
              <w:rPr>
                <w:color w:val="000000" w:themeColor="text1"/>
                <w:sz w:val="20"/>
                <w:szCs w:val="20"/>
              </w:rPr>
              <w:t>=2)</w:t>
            </w:r>
          </w:p>
        </w:tc>
        <w:tc>
          <w:tcPr>
            <w:tcW w:w="3152" w:type="dxa"/>
          </w:tcPr>
          <w:p w14:paraId="50098843" w14:textId="77777777" w:rsidR="00B13BB8" w:rsidRPr="0098635C" w:rsidRDefault="00B13BB8" w:rsidP="002F1EAF">
            <w:pPr>
              <w:spacing w:after="0"/>
              <w:jc w:val="left"/>
              <w:rPr>
                <w:color w:val="000000" w:themeColor="text1"/>
                <w:sz w:val="20"/>
                <w:szCs w:val="20"/>
              </w:rPr>
            </w:pPr>
            <w:r w:rsidRPr="0098635C">
              <w:rPr>
                <w:color w:val="000000" w:themeColor="text1"/>
                <w:sz w:val="20"/>
                <w:szCs w:val="20"/>
              </w:rPr>
              <w:t>Jarvis, 1978</w:t>
            </w:r>
          </w:p>
        </w:tc>
      </w:tr>
      <w:tr w:rsidR="00B13BB8" w:rsidRPr="0098635C" w14:paraId="3C3280E0" w14:textId="77777777" w:rsidTr="005B3823">
        <w:trPr>
          <w:trHeight w:val="76"/>
        </w:trPr>
        <w:tc>
          <w:tcPr>
            <w:tcW w:w="2376" w:type="dxa"/>
          </w:tcPr>
          <w:p w14:paraId="33005CC9" w14:textId="77777777" w:rsidR="00B13BB8" w:rsidRPr="0098635C" w:rsidRDefault="00B13BB8" w:rsidP="002F1EAF">
            <w:pPr>
              <w:spacing w:after="0"/>
              <w:jc w:val="left"/>
              <w:rPr>
                <w:i/>
                <w:color w:val="000000" w:themeColor="text1"/>
                <w:sz w:val="20"/>
                <w:szCs w:val="20"/>
              </w:rPr>
            </w:pPr>
            <w:r w:rsidRPr="0098635C">
              <w:rPr>
                <w:i/>
                <w:color w:val="000000" w:themeColor="text1"/>
                <w:sz w:val="20"/>
                <w:szCs w:val="20"/>
              </w:rPr>
              <w:t>Hordeum vulgare</w:t>
            </w:r>
          </w:p>
        </w:tc>
        <w:tc>
          <w:tcPr>
            <w:tcW w:w="4395" w:type="dxa"/>
          </w:tcPr>
          <w:p w14:paraId="2FF466BC" w14:textId="77777777" w:rsidR="00B13BB8" w:rsidRPr="0098635C" w:rsidRDefault="00B13BB8" w:rsidP="00A22731">
            <w:pPr>
              <w:spacing w:after="0"/>
              <w:jc w:val="left"/>
              <w:rPr>
                <w:color w:val="000000" w:themeColor="text1"/>
                <w:sz w:val="20"/>
                <w:szCs w:val="20"/>
              </w:rPr>
            </w:pPr>
            <w:r w:rsidRPr="0098635C">
              <w:rPr>
                <w:color w:val="000000" w:themeColor="text1"/>
                <w:sz w:val="20"/>
                <w:szCs w:val="20"/>
              </w:rPr>
              <w:t>Min-max: 1</w:t>
            </w:r>
            <w:r w:rsidR="00A22731" w:rsidRPr="0098635C">
              <w:rPr>
                <w:color w:val="000000" w:themeColor="text1"/>
                <w:sz w:val="20"/>
                <w:szCs w:val="20"/>
              </w:rPr>
              <w:t>8</w:t>
            </w:r>
            <w:r w:rsidRPr="0098635C">
              <w:rPr>
                <w:color w:val="000000" w:themeColor="text1"/>
                <w:sz w:val="20"/>
                <w:szCs w:val="20"/>
              </w:rPr>
              <w:t xml:space="preserve"> – 322 (stem growth/yield, root le</w:t>
            </w:r>
            <w:r w:rsidR="00CE6B94" w:rsidRPr="0098635C">
              <w:rPr>
                <w:color w:val="000000" w:themeColor="text1"/>
                <w:sz w:val="20"/>
                <w:szCs w:val="20"/>
              </w:rPr>
              <w:t>n</w:t>
            </w:r>
            <w:r w:rsidRPr="0098635C">
              <w:rPr>
                <w:color w:val="000000" w:themeColor="text1"/>
                <w:sz w:val="20"/>
                <w:szCs w:val="20"/>
              </w:rPr>
              <w:t xml:space="preserve">gth, yield, leaves </w:t>
            </w:r>
            <w:r w:rsidR="00CE6B94" w:rsidRPr="0098635C">
              <w:rPr>
                <w:color w:val="000000" w:themeColor="text1"/>
                <w:sz w:val="20"/>
                <w:szCs w:val="20"/>
              </w:rPr>
              <w:t>growth</w:t>
            </w:r>
            <w:r w:rsidRPr="0098635C">
              <w:rPr>
                <w:color w:val="000000" w:themeColor="text1"/>
                <w:sz w:val="20"/>
                <w:szCs w:val="20"/>
              </w:rPr>
              <w:t>, seedling emergence</w:t>
            </w:r>
            <w:r w:rsidR="002414FA" w:rsidRPr="0098635C">
              <w:rPr>
                <w:color w:val="000000" w:themeColor="text1"/>
                <w:sz w:val="20"/>
                <w:szCs w:val="20"/>
              </w:rPr>
              <w:t xml:space="preserve"> ; </w:t>
            </w:r>
            <w:r w:rsidRPr="0098635C">
              <w:rPr>
                <w:color w:val="000000" w:themeColor="text1"/>
                <w:sz w:val="20"/>
                <w:szCs w:val="20"/>
              </w:rPr>
              <w:t>n=2</w:t>
            </w:r>
            <w:r w:rsidR="00A22731" w:rsidRPr="0098635C">
              <w:rPr>
                <w:color w:val="000000" w:themeColor="text1"/>
                <w:sz w:val="20"/>
                <w:szCs w:val="20"/>
              </w:rPr>
              <w:t>2</w:t>
            </w:r>
            <w:r w:rsidRPr="0098635C">
              <w:rPr>
                <w:color w:val="000000" w:themeColor="text1"/>
                <w:sz w:val="20"/>
                <w:szCs w:val="20"/>
              </w:rPr>
              <w:t>)</w:t>
            </w:r>
          </w:p>
        </w:tc>
        <w:tc>
          <w:tcPr>
            <w:tcW w:w="3152" w:type="dxa"/>
          </w:tcPr>
          <w:p w14:paraId="4E15FA5C" w14:textId="77777777" w:rsidR="00B13BB8" w:rsidRPr="0098635C" w:rsidRDefault="00CE6B94" w:rsidP="00A22731">
            <w:pPr>
              <w:spacing w:after="0"/>
              <w:jc w:val="left"/>
              <w:rPr>
                <w:color w:val="000000" w:themeColor="text1"/>
                <w:sz w:val="20"/>
                <w:szCs w:val="20"/>
                <w:lang w:val="nl-BE"/>
              </w:rPr>
            </w:pPr>
            <w:r w:rsidRPr="0098635C">
              <w:rPr>
                <w:color w:val="000000" w:themeColor="text1"/>
                <w:sz w:val="20"/>
                <w:szCs w:val="20"/>
                <w:lang w:val="nl-BE"/>
              </w:rPr>
              <w:t>Ali et al, 2004 ; Rooney et al, 2004</w:t>
            </w:r>
          </w:p>
        </w:tc>
      </w:tr>
      <w:tr w:rsidR="00CE6B94" w:rsidRPr="0098635C" w14:paraId="27F66598" w14:textId="77777777" w:rsidTr="005B3823">
        <w:trPr>
          <w:trHeight w:val="76"/>
        </w:trPr>
        <w:tc>
          <w:tcPr>
            <w:tcW w:w="2376" w:type="dxa"/>
          </w:tcPr>
          <w:p w14:paraId="7886E8F7" w14:textId="77777777" w:rsidR="00CE6B94" w:rsidRPr="0098635C" w:rsidRDefault="00CE6B94" w:rsidP="002F1EAF">
            <w:pPr>
              <w:spacing w:after="0"/>
              <w:jc w:val="left"/>
              <w:rPr>
                <w:i/>
                <w:color w:val="000000" w:themeColor="text1"/>
                <w:sz w:val="20"/>
                <w:szCs w:val="20"/>
              </w:rPr>
            </w:pPr>
            <w:r w:rsidRPr="0098635C">
              <w:rPr>
                <w:i/>
                <w:color w:val="000000" w:themeColor="text1"/>
                <w:sz w:val="20"/>
                <w:szCs w:val="20"/>
              </w:rPr>
              <w:t>Lycopersicon esculentum</w:t>
            </w:r>
          </w:p>
        </w:tc>
        <w:tc>
          <w:tcPr>
            <w:tcW w:w="4395" w:type="dxa"/>
          </w:tcPr>
          <w:p w14:paraId="6AA43288" w14:textId="77777777" w:rsidR="00CE6B94" w:rsidRPr="0098635C" w:rsidRDefault="00CE6B94" w:rsidP="00A22731">
            <w:pPr>
              <w:spacing w:after="0"/>
              <w:jc w:val="left"/>
              <w:rPr>
                <w:color w:val="000000" w:themeColor="text1"/>
                <w:sz w:val="20"/>
                <w:szCs w:val="20"/>
                <w:lang w:val="nl-NL"/>
              </w:rPr>
            </w:pPr>
            <w:r w:rsidRPr="0098635C">
              <w:rPr>
                <w:color w:val="000000" w:themeColor="text1"/>
                <w:sz w:val="20"/>
                <w:szCs w:val="20"/>
                <w:lang w:val="nl-NL"/>
              </w:rPr>
              <w:t>Min-max: 36 – 698 (stem yield</w:t>
            </w:r>
            <w:r w:rsidR="002414FA" w:rsidRPr="0098635C">
              <w:rPr>
                <w:color w:val="000000" w:themeColor="text1"/>
                <w:sz w:val="20"/>
                <w:szCs w:val="20"/>
                <w:lang w:val="nl-NL"/>
              </w:rPr>
              <w:t xml:space="preserve"> ; </w:t>
            </w:r>
            <w:r w:rsidRPr="0098635C">
              <w:rPr>
                <w:color w:val="000000" w:themeColor="text1"/>
                <w:sz w:val="20"/>
                <w:szCs w:val="20"/>
                <w:lang w:val="nl-NL"/>
              </w:rPr>
              <w:t>n=</w:t>
            </w:r>
            <w:r w:rsidR="00A22731" w:rsidRPr="0098635C">
              <w:rPr>
                <w:color w:val="000000" w:themeColor="text1"/>
                <w:sz w:val="20"/>
                <w:szCs w:val="20"/>
                <w:lang w:val="nl-NL"/>
              </w:rPr>
              <w:t>21</w:t>
            </w:r>
            <w:r w:rsidRPr="0098635C">
              <w:rPr>
                <w:color w:val="000000" w:themeColor="text1"/>
                <w:sz w:val="20"/>
                <w:szCs w:val="20"/>
                <w:lang w:val="nl-NL"/>
              </w:rPr>
              <w:t>)</w:t>
            </w:r>
          </w:p>
        </w:tc>
        <w:tc>
          <w:tcPr>
            <w:tcW w:w="3152" w:type="dxa"/>
          </w:tcPr>
          <w:p w14:paraId="38336D57" w14:textId="77777777" w:rsidR="00CE6B94" w:rsidRPr="0098635C" w:rsidRDefault="00CE6B94" w:rsidP="00A22731">
            <w:pPr>
              <w:spacing w:after="0"/>
              <w:jc w:val="left"/>
              <w:rPr>
                <w:color w:val="000000" w:themeColor="text1"/>
                <w:sz w:val="20"/>
                <w:szCs w:val="20"/>
                <w:lang w:val="fr-FR"/>
              </w:rPr>
            </w:pPr>
            <w:r w:rsidRPr="0098635C">
              <w:rPr>
                <w:color w:val="000000" w:themeColor="text1"/>
                <w:sz w:val="20"/>
                <w:szCs w:val="20"/>
                <w:lang w:val="fr-FR"/>
              </w:rPr>
              <w:t>Rooney et al, 2004</w:t>
            </w:r>
            <w:r w:rsidR="00A22731" w:rsidRPr="0098635C">
              <w:rPr>
                <w:color w:val="000000" w:themeColor="text1"/>
                <w:sz w:val="20"/>
                <w:szCs w:val="20"/>
                <w:lang w:val="fr-FR"/>
              </w:rPr>
              <w:t xml:space="preserve"> ; Rhoads et al, 1989</w:t>
            </w:r>
            <w:r w:rsidR="00885E8B" w:rsidRPr="0098635C">
              <w:rPr>
                <w:color w:val="000000" w:themeColor="text1"/>
                <w:sz w:val="20"/>
                <w:szCs w:val="20"/>
                <w:vertAlign w:val="superscript"/>
                <w:lang w:val="fr-FR"/>
              </w:rPr>
              <w:t>1</w:t>
            </w:r>
          </w:p>
        </w:tc>
      </w:tr>
      <w:tr w:rsidR="00C97395" w:rsidRPr="0098635C" w14:paraId="7E412E39" w14:textId="77777777" w:rsidTr="005B3823">
        <w:trPr>
          <w:trHeight w:val="76"/>
        </w:trPr>
        <w:tc>
          <w:tcPr>
            <w:tcW w:w="2376" w:type="dxa"/>
          </w:tcPr>
          <w:p w14:paraId="32A43A88" w14:textId="77777777" w:rsidR="00C97395" w:rsidRPr="0098635C" w:rsidRDefault="00112D8E" w:rsidP="00112D8E">
            <w:pPr>
              <w:spacing w:after="0"/>
              <w:jc w:val="left"/>
              <w:rPr>
                <w:i/>
                <w:color w:val="000000" w:themeColor="text1"/>
                <w:sz w:val="20"/>
                <w:szCs w:val="20"/>
              </w:rPr>
            </w:pPr>
            <w:r w:rsidRPr="0098635C">
              <w:rPr>
                <w:i/>
                <w:color w:val="000000" w:themeColor="text1"/>
                <w:sz w:val="20"/>
                <w:szCs w:val="20"/>
              </w:rPr>
              <w:t>Senecio vulgaris</w:t>
            </w:r>
          </w:p>
        </w:tc>
        <w:tc>
          <w:tcPr>
            <w:tcW w:w="4395" w:type="dxa"/>
          </w:tcPr>
          <w:p w14:paraId="616643BA" w14:textId="77777777" w:rsidR="00C97395" w:rsidRPr="0098635C" w:rsidRDefault="00112D8E" w:rsidP="005B3823">
            <w:pPr>
              <w:spacing w:after="0"/>
              <w:jc w:val="left"/>
              <w:rPr>
                <w:color w:val="000000" w:themeColor="text1"/>
                <w:sz w:val="20"/>
                <w:szCs w:val="20"/>
              </w:rPr>
            </w:pPr>
            <w:r w:rsidRPr="0098635C">
              <w:rPr>
                <w:color w:val="000000" w:themeColor="text1"/>
                <w:sz w:val="20"/>
                <w:szCs w:val="20"/>
              </w:rPr>
              <w:t xml:space="preserve">Min-max: 186– 339 (mortality, reproductive dry matter, </w:t>
            </w:r>
            <w:r w:rsidR="00851BDE" w:rsidRPr="0098635C">
              <w:rPr>
                <w:color w:val="000000" w:themeColor="text1"/>
                <w:sz w:val="20"/>
                <w:szCs w:val="20"/>
              </w:rPr>
              <w:t>seedling emergence</w:t>
            </w:r>
            <w:r w:rsidR="005B3823" w:rsidRPr="0098635C">
              <w:rPr>
                <w:color w:val="000000" w:themeColor="text1"/>
                <w:sz w:val="20"/>
                <w:szCs w:val="20"/>
              </w:rPr>
              <w:t xml:space="preserve"> ;</w:t>
            </w:r>
            <w:r w:rsidRPr="0098635C">
              <w:rPr>
                <w:color w:val="000000" w:themeColor="text1"/>
                <w:sz w:val="20"/>
                <w:szCs w:val="20"/>
              </w:rPr>
              <w:t xml:space="preserve"> n=3)</w:t>
            </w:r>
          </w:p>
        </w:tc>
        <w:tc>
          <w:tcPr>
            <w:tcW w:w="3152" w:type="dxa"/>
          </w:tcPr>
          <w:p w14:paraId="2B412BFC" w14:textId="77777777" w:rsidR="00851BDE" w:rsidRPr="0098635C" w:rsidRDefault="00851BDE" w:rsidP="00C97395">
            <w:pPr>
              <w:spacing w:after="0"/>
              <w:jc w:val="left"/>
              <w:rPr>
                <w:color w:val="000000" w:themeColor="text1"/>
                <w:sz w:val="20"/>
                <w:szCs w:val="20"/>
              </w:rPr>
            </w:pPr>
            <w:r w:rsidRPr="0098635C">
              <w:rPr>
                <w:color w:val="000000" w:themeColor="text1"/>
                <w:sz w:val="20"/>
                <w:szCs w:val="20"/>
              </w:rPr>
              <w:t>Brun et al, 2003</w:t>
            </w:r>
          </w:p>
        </w:tc>
      </w:tr>
      <w:tr w:rsidR="00851BDE" w:rsidRPr="0098635C" w14:paraId="0249D9AD" w14:textId="77777777" w:rsidTr="005B3823">
        <w:trPr>
          <w:trHeight w:val="76"/>
        </w:trPr>
        <w:tc>
          <w:tcPr>
            <w:tcW w:w="2376" w:type="dxa"/>
          </w:tcPr>
          <w:p w14:paraId="25972C15" w14:textId="77777777" w:rsidR="00851BDE" w:rsidRPr="0098635C" w:rsidRDefault="00851BDE" w:rsidP="00112D8E">
            <w:pPr>
              <w:spacing w:after="0"/>
              <w:jc w:val="left"/>
              <w:rPr>
                <w:i/>
                <w:color w:val="000000" w:themeColor="text1"/>
                <w:sz w:val="20"/>
                <w:szCs w:val="20"/>
              </w:rPr>
            </w:pPr>
            <w:r w:rsidRPr="0098635C">
              <w:rPr>
                <w:i/>
                <w:color w:val="000000" w:themeColor="text1"/>
                <w:sz w:val="20"/>
                <w:szCs w:val="20"/>
              </w:rPr>
              <w:t>Poa annua</w:t>
            </w:r>
          </w:p>
        </w:tc>
        <w:tc>
          <w:tcPr>
            <w:tcW w:w="4395" w:type="dxa"/>
          </w:tcPr>
          <w:p w14:paraId="3382E058" w14:textId="77777777" w:rsidR="00851BDE" w:rsidRPr="0098635C" w:rsidRDefault="00851BDE" w:rsidP="005B3823">
            <w:pPr>
              <w:spacing w:after="0"/>
              <w:jc w:val="left"/>
              <w:rPr>
                <w:color w:val="000000" w:themeColor="text1"/>
                <w:sz w:val="20"/>
                <w:szCs w:val="20"/>
              </w:rPr>
            </w:pPr>
            <w:r w:rsidRPr="0098635C">
              <w:rPr>
                <w:color w:val="000000" w:themeColor="text1"/>
                <w:sz w:val="20"/>
                <w:szCs w:val="20"/>
              </w:rPr>
              <w:t>Min-max: 200– 537 (mortality, reproductive dry matter, seedling emergence</w:t>
            </w:r>
            <w:r w:rsidR="005B3823" w:rsidRPr="0098635C">
              <w:rPr>
                <w:color w:val="000000" w:themeColor="text1"/>
                <w:sz w:val="20"/>
                <w:szCs w:val="20"/>
              </w:rPr>
              <w:t xml:space="preserve"> ; </w:t>
            </w:r>
            <w:r w:rsidRPr="0098635C">
              <w:rPr>
                <w:color w:val="000000" w:themeColor="text1"/>
                <w:sz w:val="20"/>
                <w:szCs w:val="20"/>
              </w:rPr>
              <w:t>n=3)</w:t>
            </w:r>
          </w:p>
        </w:tc>
        <w:tc>
          <w:tcPr>
            <w:tcW w:w="3152" w:type="dxa"/>
          </w:tcPr>
          <w:p w14:paraId="3EE56B15" w14:textId="77777777" w:rsidR="00851BDE" w:rsidRPr="0098635C" w:rsidRDefault="00851BDE" w:rsidP="00C97395">
            <w:pPr>
              <w:spacing w:after="0"/>
              <w:jc w:val="left"/>
              <w:rPr>
                <w:color w:val="000000" w:themeColor="text1"/>
                <w:sz w:val="20"/>
                <w:szCs w:val="20"/>
              </w:rPr>
            </w:pPr>
            <w:r w:rsidRPr="0098635C">
              <w:rPr>
                <w:color w:val="000000" w:themeColor="text1"/>
                <w:sz w:val="20"/>
                <w:szCs w:val="20"/>
              </w:rPr>
              <w:t>Brun et al, 2003</w:t>
            </w:r>
          </w:p>
        </w:tc>
      </w:tr>
      <w:tr w:rsidR="00851BDE" w:rsidRPr="0098635C" w14:paraId="5D61D76C" w14:textId="77777777" w:rsidTr="005B3823">
        <w:trPr>
          <w:trHeight w:val="76"/>
        </w:trPr>
        <w:tc>
          <w:tcPr>
            <w:tcW w:w="2376" w:type="dxa"/>
          </w:tcPr>
          <w:p w14:paraId="66307B8A" w14:textId="77777777" w:rsidR="00851BDE" w:rsidRPr="0098635C" w:rsidRDefault="00851BDE" w:rsidP="00112D8E">
            <w:pPr>
              <w:spacing w:after="0"/>
              <w:jc w:val="left"/>
              <w:rPr>
                <w:i/>
                <w:color w:val="000000" w:themeColor="text1"/>
                <w:sz w:val="20"/>
                <w:szCs w:val="20"/>
              </w:rPr>
            </w:pPr>
            <w:r w:rsidRPr="0098635C">
              <w:rPr>
                <w:i/>
                <w:color w:val="000000" w:themeColor="text1"/>
                <w:sz w:val="20"/>
                <w:szCs w:val="20"/>
              </w:rPr>
              <w:t>Andryala integrifolia</w:t>
            </w:r>
          </w:p>
        </w:tc>
        <w:tc>
          <w:tcPr>
            <w:tcW w:w="4395" w:type="dxa"/>
          </w:tcPr>
          <w:p w14:paraId="6D005817" w14:textId="77777777" w:rsidR="00851BDE" w:rsidRPr="0098635C" w:rsidRDefault="00851BDE" w:rsidP="005B3823">
            <w:pPr>
              <w:spacing w:after="0"/>
              <w:jc w:val="left"/>
              <w:rPr>
                <w:color w:val="000000" w:themeColor="text1"/>
                <w:sz w:val="20"/>
                <w:szCs w:val="20"/>
              </w:rPr>
            </w:pPr>
            <w:r w:rsidRPr="0098635C">
              <w:rPr>
                <w:color w:val="000000" w:themeColor="text1"/>
                <w:sz w:val="20"/>
                <w:szCs w:val="20"/>
              </w:rPr>
              <w:t>Min-max: 234</w:t>
            </w:r>
            <w:r w:rsidR="009E058A" w:rsidRPr="0098635C">
              <w:rPr>
                <w:color w:val="000000" w:themeColor="text1"/>
                <w:sz w:val="20"/>
                <w:szCs w:val="20"/>
              </w:rPr>
              <w:t xml:space="preserve"> </w:t>
            </w:r>
            <w:r w:rsidRPr="0098635C">
              <w:rPr>
                <w:color w:val="000000" w:themeColor="text1"/>
                <w:sz w:val="20"/>
                <w:szCs w:val="20"/>
              </w:rPr>
              <w:t>– 236 (mortality, seedling emergence</w:t>
            </w:r>
            <w:r w:rsidR="005B3823" w:rsidRPr="0098635C">
              <w:rPr>
                <w:color w:val="000000" w:themeColor="text1"/>
                <w:sz w:val="20"/>
                <w:szCs w:val="20"/>
              </w:rPr>
              <w:t xml:space="preserve"> ; </w:t>
            </w:r>
            <w:r w:rsidRPr="0098635C">
              <w:rPr>
                <w:color w:val="000000" w:themeColor="text1"/>
                <w:sz w:val="20"/>
                <w:szCs w:val="20"/>
              </w:rPr>
              <w:t>n=2)</w:t>
            </w:r>
          </w:p>
        </w:tc>
        <w:tc>
          <w:tcPr>
            <w:tcW w:w="3152" w:type="dxa"/>
          </w:tcPr>
          <w:p w14:paraId="41405DF8" w14:textId="77777777" w:rsidR="00851BDE" w:rsidRPr="0098635C" w:rsidRDefault="00851BDE" w:rsidP="00C97395">
            <w:pPr>
              <w:spacing w:after="0"/>
              <w:jc w:val="left"/>
              <w:rPr>
                <w:color w:val="000000" w:themeColor="text1"/>
                <w:sz w:val="20"/>
                <w:szCs w:val="20"/>
              </w:rPr>
            </w:pPr>
            <w:r w:rsidRPr="0098635C">
              <w:rPr>
                <w:color w:val="000000" w:themeColor="text1"/>
                <w:sz w:val="20"/>
                <w:szCs w:val="20"/>
              </w:rPr>
              <w:t>Brun et al, 2003</w:t>
            </w:r>
          </w:p>
        </w:tc>
      </w:tr>
      <w:tr w:rsidR="00851BDE" w:rsidRPr="0098635C" w14:paraId="53F68E7A" w14:textId="77777777" w:rsidTr="005B3823">
        <w:trPr>
          <w:trHeight w:val="76"/>
        </w:trPr>
        <w:tc>
          <w:tcPr>
            <w:tcW w:w="2376" w:type="dxa"/>
          </w:tcPr>
          <w:p w14:paraId="0D922C65" w14:textId="77777777" w:rsidR="00851BDE" w:rsidRPr="0098635C" w:rsidRDefault="00851BDE" w:rsidP="002754E9">
            <w:pPr>
              <w:spacing w:after="0"/>
              <w:jc w:val="left"/>
              <w:rPr>
                <w:i/>
                <w:color w:val="000000" w:themeColor="text1"/>
                <w:sz w:val="20"/>
                <w:szCs w:val="20"/>
              </w:rPr>
            </w:pPr>
            <w:r w:rsidRPr="0098635C">
              <w:rPr>
                <w:i/>
                <w:color w:val="000000" w:themeColor="text1"/>
                <w:sz w:val="20"/>
                <w:szCs w:val="20"/>
              </w:rPr>
              <w:t>H</w:t>
            </w:r>
            <w:r w:rsidR="002754E9" w:rsidRPr="0098635C">
              <w:rPr>
                <w:i/>
                <w:color w:val="000000" w:themeColor="text1"/>
                <w:sz w:val="20"/>
                <w:szCs w:val="20"/>
              </w:rPr>
              <w:t>y</w:t>
            </w:r>
            <w:r w:rsidRPr="0098635C">
              <w:rPr>
                <w:i/>
                <w:color w:val="000000" w:themeColor="text1"/>
                <w:sz w:val="20"/>
                <w:szCs w:val="20"/>
              </w:rPr>
              <w:t>pochoeris radicata</w:t>
            </w:r>
          </w:p>
        </w:tc>
        <w:tc>
          <w:tcPr>
            <w:tcW w:w="4395" w:type="dxa"/>
          </w:tcPr>
          <w:p w14:paraId="3BBDD038" w14:textId="77777777" w:rsidR="00851BDE" w:rsidRPr="0098635C" w:rsidRDefault="00851BDE" w:rsidP="005B3823">
            <w:pPr>
              <w:spacing w:after="0"/>
              <w:jc w:val="left"/>
              <w:rPr>
                <w:color w:val="000000" w:themeColor="text1"/>
                <w:sz w:val="20"/>
                <w:szCs w:val="20"/>
              </w:rPr>
            </w:pPr>
            <w:r w:rsidRPr="0098635C">
              <w:rPr>
                <w:color w:val="000000" w:themeColor="text1"/>
                <w:sz w:val="20"/>
                <w:szCs w:val="20"/>
              </w:rPr>
              <w:t>Min-max: 339– 350 (mortality, reproductive dry matter, seedling emergence</w:t>
            </w:r>
            <w:r w:rsidR="005B3823" w:rsidRPr="0098635C">
              <w:rPr>
                <w:color w:val="000000" w:themeColor="text1"/>
                <w:sz w:val="20"/>
                <w:szCs w:val="20"/>
              </w:rPr>
              <w:t xml:space="preserve"> ; </w:t>
            </w:r>
            <w:r w:rsidRPr="0098635C">
              <w:rPr>
                <w:color w:val="000000" w:themeColor="text1"/>
                <w:sz w:val="20"/>
                <w:szCs w:val="20"/>
              </w:rPr>
              <w:t>n=3)</w:t>
            </w:r>
          </w:p>
        </w:tc>
        <w:tc>
          <w:tcPr>
            <w:tcW w:w="3152" w:type="dxa"/>
          </w:tcPr>
          <w:p w14:paraId="7BE9D0A7" w14:textId="77777777" w:rsidR="00851BDE" w:rsidRPr="0098635C" w:rsidRDefault="00851BDE" w:rsidP="00C97395">
            <w:pPr>
              <w:spacing w:after="0"/>
              <w:jc w:val="left"/>
              <w:rPr>
                <w:color w:val="000000" w:themeColor="text1"/>
                <w:sz w:val="20"/>
                <w:szCs w:val="20"/>
              </w:rPr>
            </w:pPr>
            <w:r w:rsidRPr="0098635C">
              <w:rPr>
                <w:color w:val="000000" w:themeColor="text1"/>
                <w:sz w:val="20"/>
                <w:szCs w:val="20"/>
              </w:rPr>
              <w:t>Brun et al, 2003</w:t>
            </w:r>
          </w:p>
        </w:tc>
      </w:tr>
    </w:tbl>
    <w:p w14:paraId="34C4C93E" w14:textId="77777777" w:rsidR="008A478D" w:rsidRPr="0098635C" w:rsidRDefault="00885E8B">
      <w:pPr>
        <w:pStyle w:val="BodyText"/>
        <w:rPr>
          <w:color w:val="000000" w:themeColor="text1"/>
          <w:sz w:val="20"/>
        </w:rPr>
      </w:pPr>
      <w:r w:rsidRPr="0098635C">
        <w:rPr>
          <w:color w:val="000000" w:themeColor="text1"/>
          <w:sz w:val="20"/>
          <w:vertAlign w:val="superscript"/>
        </w:rPr>
        <w:t>1</w:t>
      </w:r>
      <w:r w:rsidR="00323655" w:rsidRPr="0098635C">
        <w:rPr>
          <w:color w:val="000000" w:themeColor="text1"/>
          <w:sz w:val="20"/>
        </w:rPr>
        <w:t>: 3 valu</w:t>
      </w:r>
      <w:r w:rsidRPr="0098635C">
        <w:rPr>
          <w:color w:val="000000" w:themeColor="text1"/>
          <w:sz w:val="20"/>
        </w:rPr>
        <w:t>es reported by Rhoads et al (1989</w:t>
      </w:r>
      <w:r w:rsidR="00323655" w:rsidRPr="0098635C">
        <w:rPr>
          <w:color w:val="000000" w:themeColor="text1"/>
          <w:sz w:val="20"/>
        </w:rPr>
        <w:t>)</w:t>
      </w:r>
      <w:r w:rsidRPr="0098635C">
        <w:rPr>
          <w:color w:val="000000" w:themeColor="text1"/>
          <w:sz w:val="20"/>
        </w:rPr>
        <w:t xml:space="preserve"> represent added Cu-levels (range: 175-350 mg Cu/kg</w:t>
      </w:r>
      <w:r w:rsidRPr="0098635C">
        <w:rPr>
          <w:color w:val="000000" w:themeColor="text1"/>
          <w:sz w:val="20"/>
          <w:vertAlign w:val="subscript"/>
        </w:rPr>
        <w:t>dw</w:t>
      </w:r>
      <w:r w:rsidRPr="0098635C">
        <w:rPr>
          <w:color w:val="000000" w:themeColor="text1"/>
          <w:sz w:val="20"/>
        </w:rPr>
        <w:t>)</w:t>
      </w:r>
    </w:p>
    <w:p w14:paraId="7C693114" w14:textId="77777777" w:rsidR="00A018B3" w:rsidRPr="0098635C" w:rsidRDefault="00A018B3">
      <w:pPr>
        <w:pStyle w:val="BodyText"/>
        <w:rPr>
          <w:color w:val="000000" w:themeColor="text1"/>
          <w:sz w:val="20"/>
        </w:rPr>
      </w:pPr>
    </w:p>
    <w:p w14:paraId="6A8CB922" w14:textId="77777777" w:rsidR="008A478D" w:rsidRPr="0098635C" w:rsidRDefault="008A478D" w:rsidP="008A478D">
      <w:pPr>
        <w:pStyle w:val="BodyText"/>
        <w:rPr>
          <w:i/>
          <w:color w:val="000000" w:themeColor="text1"/>
          <w:sz w:val="20"/>
          <w:u w:val="single"/>
        </w:rPr>
      </w:pPr>
      <w:r w:rsidRPr="0098635C">
        <w:rPr>
          <w:i/>
          <w:color w:val="000000" w:themeColor="text1"/>
          <w:sz w:val="20"/>
          <w:u w:val="single"/>
        </w:rPr>
        <w:t xml:space="preserve">Chronic data on microbial processes in soil: </w:t>
      </w:r>
    </w:p>
    <w:p w14:paraId="33A74AB5" w14:textId="77777777" w:rsidR="008A478D" w:rsidRPr="0098635C" w:rsidRDefault="008A478D" w:rsidP="008A478D">
      <w:pPr>
        <w:pStyle w:val="BodyText"/>
        <w:rPr>
          <w:color w:val="000000" w:themeColor="text1"/>
          <w:sz w:val="20"/>
        </w:rPr>
      </w:pPr>
      <w:r w:rsidRPr="0098635C">
        <w:rPr>
          <w:color w:val="000000" w:themeColor="text1"/>
          <w:sz w:val="20"/>
        </w:rPr>
        <w:t>The effect records related to microbial processes include 77 NOEC/EC</w:t>
      </w:r>
      <w:r w:rsidRPr="0098635C">
        <w:rPr>
          <w:color w:val="000000" w:themeColor="text1"/>
          <w:sz w:val="20"/>
          <w:vertAlign w:val="subscript"/>
        </w:rPr>
        <w:t>10</w:t>
      </w:r>
      <w:r w:rsidRPr="0098635C">
        <w:rPr>
          <w:color w:val="000000" w:themeColor="text1"/>
          <w:sz w:val="20"/>
        </w:rPr>
        <w:t xml:space="preserve"> values; 9 different endpoints representing the C- and N-cycle and measurement of microbial biomass are available (i. e. maize induced respiration, substrate induced respiration, litter decomposition, glutamic acid decomposition, N-mineralisation, denitrification, nitrification, ammonification, biomass C, biomass N). All data are presented in Annex.  </w:t>
      </w:r>
    </w:p>
    <w:p w14:paraId="33E9D72C" w14:textId="77777777" w:rsidR="008A478D" w:rsidRPr="0098635C" w:rsidRDefault="008A478D" w:rsidP="008A478D">
      <w:pPr>
        <w:pStyle w:val="BodyText"/>
        <w:rPr>
          <w:color w:val="000000" w:themeColor="text1"/>
          <w:sz w:val="20"/>
        </w:rPr>
      </w:pPr>
      <w:r w:rsidRPr="0098635C">
        <w:rPr>
          <w:color w:val="000000" w:themeColor="text1"/>
          <w:sz w:val="20"/>
        </w:rPr>
        <w:t>Individual high quality NOEC/(L(E)C</w:t>
      </w:r>
      <w:r w:rsidRPr="0098635C">
        <w:rPr>
          <w:color w:val="000000" w:themeColor="text1"/>
          <w:sz w:val="20"/>
          <w:vertAlign w:val="subscript"/>
        </w:rPr>
        <w:t>10</w:t>
      </w:r>
      <w:r w:rsidRPr="0098635C">
        <w:rPr>
          <w:color w:val="000000" w:themeColor="text1"/>
          <w:sz w:val="20"/>
        </w:rPr>
        <w:t xml:space="preserve"> values from different studies range from 30 mg/kg (glucose respiration)) to 2,402 mg/kg (maize respiration). Important intra-species variability in NOEC/L(E)C</w:t>
      </w:r>
      <w:r w:rsidRPr="0098635C">
        <w:rPr>
          <w:color w:val="000000" w:themeColor="text1"/>
          <w:sz w:val="20"/>
          <w:vertAlign w:val="subscript"/>
        </w:rPr>
        <w:t>10</w:t>
      </w:r>
      <w:r w:rsidRPr="0098635C">
        <w:rPr>
          <w:color w:val="000000" w:themeColor="text1"/>
          <w:sz w:val="20"/>
        </w:rPr>
        <w:t xml:space="preserve"> values are observed due to differences in the physico-chemistry of the soils.   For microbial processes, 3 bioavailability models were developed: the nitrification process model, the maize respiration model (using a natural substrate) and the substrate induced respiration model (Smolder and Oorts 2004 and Oorts, 2006a). These models can be used for the normalization of the NOEC data for microbial processes to similar environmental conditions.</w:t>
      </w:r>
    </w:p>
    <w:p w14:paraId="2CF08F86" w14:textId="77777777" w:rsidR="00F34A3B" w:rsidRPr="0098635C" w:rsidRDefault="00D05142" w:rsidP="008A478D">
      <w:pPr>
        <w:pStyle w:val="BodyText"/>
        <w:rPr>
          <w:b/>
          <w:i/>
          <w:color w:val="000000" w:themeColor="text1"/>
          <w:sz w:val="20"/>
        </w:rPr>
      </w:pPr>
      <w:r w:rsidRPr="0098635C">
        <w:rPr>
          <w:b/>
          <w:i/>
          <w:color w:val="000000" w:themeColor="text1"/>
          <w:sz w:val="20"/>
        </w:rPr>
        <w:t>Derivation of soil safe threshold values</w:t>
      </w:r>
    </w:p>
    <w:p w14:paraId="23BEC7AC" w14:textId="0C1CB40B" w:rsidR="001C2F45" w:rsidRPr="0098635C" w:rsidRDefault="001C2F45" w:rsidP="001C2F45">
      <w:pPr>
        <w:rPr>
          <w:color w:val="000000" w:themeColor="text1"/>
          <w:sz w:val="20"/>
          <w:szCs w:val="20"/>
        </w:rPr>
      </w:pPr>
      <w:r w:rsidRPr="0098635C">
        <w:rPr>
          <w:color w:val="000000" w:themeColor="text1"/>
          <w:sz w:val="20"/>
          <w:szCs w:val="20"/>
        </w:rPr>
        <w:t xml:space="preserve">To derive reasonable worst case </w:t>
      </w:r>
      <w:r w:rsidR="004A339B" w:rsidRPr="0098635C">
        <w:rPr>
          <w:color w:val="000000" w:themeColor="text1"/>
          <w:sz w:val="20"/>
          <w:szCs w:val="20"/>
        </w:rPr>
        <w:t>HC</w:t>
      </w:r>
      <w:r w:rsidR="004A339B" w:rsidRPr="0098635C">
        <w:rPr>
          <w:color w:val="000000" w:themeColor="text1"/>
          <w:sz w:val="20"/>
          <w:szCs w:val="20"/>
          <w:vertAlign w:val="subscript"/>
        </w:rPr>
        <w:t>5,50%</w:t>
      </w:r>
      <w:r w:rsidRPr="0098635C">
        <w:rPr>
          <w:color w:val="000000" w:themeColor="text1"/>
          <w:sz w:val="20"/>
          <w:szCs w:val="20"/>
        </w:rPr>
        <w:t xml:space="preserve"> value for soils across Europe, the data from GEMAS-project (Geochemical Mapping of Agricultural and Grazing Land Soil project</w:t>
      </w:r>
      <w:r w:rsidR="00B81D56" w:rsidRPr="0098635C">
        <w:rPr>
          <w:color w:val="000000" w:themeColor="text1"/>
          <w:sz w:val="20"/>
          <w:szCs w:val="20"/>
        </w:rPr>
        <w:t xml:space="preserve">, </w:t>
      </w:r>
      <w:r w:rsidRPr="0098635C">
        <w:rPr>
          <w:color w:val="000000" w:themeColor="text1"/>
          <w:sz w:val="20"/>
          <w:szCs w:val="20"/>
        </w:rPr>
        <w:t xml:space="preserve">Reimann et al.,2014) allow calculating site-specific predicted </w:t>
      </w:r>
      <w:r w:rsidR="00B81D56" w:rsidRPr="0098635C">
        <w:rPr>
          <w:color w:val="000000" w:themeColor="text1"/>
          <w:sz w:val="20"/>
          <w:szCs w:val="20"/>
        </w:rPr>
        <w:t>HC</w:t>
      </w:r>
      <w:r w:rsidR="00B81D56" w:rsidRPr="0098635C">
        <w:rPr>
          <w:color w:val="000000" w:themeColor="text1"/>
          <w:sz w:val="20"/>
          <w:szCs w:val="20"/>
          <w:vertAlign w:val="subscript"/>
        </w:rPr>
        <w:t>5,50%</w:t>
      </w:r>
      <w:r w:rsidR="00B81D56" w:rsidRPr="0098635C">
        <w:rPr>
          <w:color w:val="000000" w:themeColor="text1"/>
          <w:sz w:val="20"/>
          <w:szCs w:val="20"/>
        </w:rPr>
        <w:t xml:space="preserve"> </w:t>
      </w:r>
      <w:r w:rsidRPr="0098635C">
        <w:rPr>
          <w:color w:val="000000" w:themeColor="text1"/>
          <w:sz w:val="20"/>
          <w:szCs w:val="20"/>
        </w:rPr>
        <w:t xml:space="preserve">for Cu in 4331 soil samples taken from arable and grazing lands across Europe (Reimann, et al, 2009). </w:t>
      </w:r>
    </w:p>
    <w:p w14:paraId="68FEC99A" w14:textId="460F8041" w:rsidR="00D05142" w:rsidRPr="0098635C" w:rsidRDefault="00D05142" w:rsidP="00D05142">
      <w:pPr>
        <w:rPr>
          <w:color w:val="000000" w:themeColor="text1"/>
          <w:sz w:val="20"/>
          <w:szCs w:val="20"/>
        </w:rPr>
      </w:pPr>
      <w:r w:rsidRPr="0098635C">
        <w:rPr>
          <w:color w:val="000000" w:themeColor="text1"/>
          <w:sz w:val="20"/>
          <w:szCs w:val="20"/>
        </w:rPr>
        <w:t xml:space="preserve">The </w:t>
      </w:r>
      <w:r w:rsidR="004A339B" w:rsidRPr="0098635C">
        <w:rPr>
          <w:color w:val="000000" w:themeColor="text1"/>
          <w:sz w:val="20"/>
          <w:szCs w:val="20"/>
        </w:rPr>
        <w:t>HC</w:t>
      </w:r>
      <w:r w:rsidR="004A339B" w:rsidRPr="0098635C">
        <w:rPr>
          <w:color w:val="000000" w:themeColor="text1"/>
          <w:sz w:val="20"/>
          <w:szCs w:val="20"/>
          <w:vertAlign w:val="subscript"/>
        </w:rPr>
        <w:t>5,50%</w:t>
      </w:r>
      <w:r w:rsidRPr="0098635C">
        <w:rPr>
          <w:color w:val="000000" w:themeColor="text1"/>
          <w:sz w:val="20"/>
          <w:szCs w:val="20"/>
        </w:rPr>
        <w:t xml:space="preserve"> values range between 13 and 205 mg Cu/kg dry weight, depending on the soil chemistry.  A reasonable worst case 10</w:t>
      </w:r>
      <w:r w:rsidRPr="0098635C">
        <w:rPr>
          <w:color w:val="000000" w:themeColor="text1"/>
          <w:sz w:val="20"/>
          <w:szCs w:val="20"/>
          <w:vertAlign w:val="superscript"/>
        </w:rPr>
        <w:t>th</w:t>
      </w:r>
      <w:r w:rsidRPr="0098635C">
        <w:rPr>
          <w:color w:val="000000" w:themeColor="text1"/>
          <w:sz w:val="20"/>
          <w:szCs w:val="20"/>
        </w:rPr>
        <w:t xml:space="preserve"> percentile </w:t>
      </w:r>
      <w:r w:rsidR="00247E89" w:rsidRPr="0098635C">
        <w:rPr>
          <w:color w:val="000000" w:themeColor="text1"/>
          <w:sz w:val="20"/>
          <w:szCs w:val="20"/>
        </w:rPr>
        <w:t>of 69.6</w:t>
      </w:r>
      <w:r w:rsidRPr="0098635C">
        <w:rPr>
          <w:color w:val="000000" w:themeColor="text1"/>
          <w:sz w:val="20"/>
          <w:szCs w:val="20"/>
        </w:rPr>
        <w:t xml:space="preserve"> mg Cu/kg dry weight is retained for the grazing land. A reasonable worst case 10</w:t>
      </w:r>
      <w:r w:rsidRPr="0098635C">
        <w:rPr>
          <w:color w:val="000000" w:themeColor="text1"/>
          <w:sz w:val="20"/>
          <w:szCs w:val="20"/>
          <w:vertAlign w:val="superscript"/>
        </w:rPr>
        <w:t>th</w:t>
      </w:r>
      <w:r w:rsidRPr="0098635C">
        <w:rPr>
          <w:color w:val="000000" w:themeColor="text1"/>
          <w:sz w:val="20"/>
          <w:szCs w:val="20"/>
        </w:rPr>
        <w:t xml:space="preserve"> percentile </w:t>
      </w:r>
      <w:r w:rsidR="00247E89" w:rsidRPr="0098635C">
        <w:rPr>
          <w:color w:val="000000" w:themeColor="text1"/>
          <w:sz w:val="20"/>
          <w:szCs w:val="20"/>
        </w:rPr>
        <w:t>of 59.5</w:t>
      </w:r>
      <w:r w:rsidRPr="0098635C">
        <w:rPr>
          <w:color w:val="000000" w:themeColor="text1"/>
          <w:sz w:val="20"/>
          <w:szCs w:val="20"/>
        </w:rPr>
        <w:t xml:space="preserve"> mg Cu/kg dry weight is retained for the arable land.   The overall soil median reasonable worst case value across the two land-types is 64.6 mg Cu/kg dry weight (Oorts and van Nederkassel, 2010)</w:t>
      </w:r>
    </w:p>
    <w:p w14:paraId="11891B06" w14:textId="77777777" w:rsidR="006A3282" w:rsidRPr="0098635C" w:rsidRDefault="006A3282" w:rsidP="006A3282">
      <w:pPr>
        <w:pStyle w:val="BodyText"/>
        <w:rPr>
          <w:b/>
          <w:i/>
          <w:color w:val="000000" w:themeColor="text1"/>
          <w:sz w:val="20"/>
        </w:rPr>
      </w:pPr>
      <w:r w:rsidRPr="0098635C">
        <w:rPr>
          <w:b/>
          <w:i/>
          <w:color w:val="000000" w:themeColor="text1"/>
          <w:sz w:val="20"/>
        </w:rPr>
        <w:t>Uncertainty analysis</w:t>
      </w:r>
      <w:r w:rsidRPr="0098635C">
        <w:rPr>
          <w:rStyle w:val="KorrUK"/>
          <w:rFonts w:ascii="Times New Roman" w:hAnsi="Times New Roman" w:cs="Times New Roman"/>
          <w:color w:val="000000" w:themeColor="text1"/>
          <w:sz w:val="20"/>
          <w:szCs w:val="20"/>
          <w:lang w:eastAsia="nl-NL"/>
        </w:rPr>
        <w:t>.</w:t>
      </w:r>
    </w:p>
    <w:p w14:paraId="53DE753E" w14:textId="3049590A" w:rsidR="00D05142" w:rsidRPr="0098635C" w:rsidRDefault="00247E89" w:rsidP="00D05142">
      <w:pPr>
        <w:spacing w:before="80"/>
        <w:rPr>
          <w:rStyle w:val="KorrUK"/>
          <w:rFonts w:ascii="Times New Roman" w:hAnsi="Times New Roman" w:cs="Times New Roman"/>
          <w:color w:val="000000" w:themeColor="text1"/>
          <w:sz w:val="20"/>
          <w:szCs w:val="20"/>
        </w:rPr>
      </w:pPr>
      <w:r w:rsidRPr="0098635C">
        <w:rPr>
          <w:color w:val="000000" w:themeColor="text1"/>
          <w:sz w:val="20"/>
          <w:szCs w:val="20"/>
          <w:u w:val="single"/>
        </w:rPr>
        <w:t>Database:</w:t>
      </w:r>
      <w:r w:rsidR="00D05142" w:rsidRPr="0098635C">
        <w:rPr>
          <w:color w:val="000000" w:themeColor="text1"/>
          <w:sz w:val="20"/>
          <w:szCs w:val="20"/>
        </w:rPr>
        <w:t xml:space="preserve"> 252 chronic NOEC/EC</w:t>
      </w:r>
      <w:r w:rsidR="00D05142" w:rsidRPr="0098635C">
        <w:rPr>
          <w:color w:val="000000" w:themeColor="text1"/>
          <w:sz w:val="20"/>
          <w:szCs w:val="20"/>
          <w:vertAlign w:val="subscript"/>
        </w:rPr>
        <w:t>10</w:t>
      </w:r>
      <w:r w:rsidR="00D05142" w:rsidRPr="0098635C">
        <w:rPr>
          <w:color w:val="000000" w:themeColor="text1"/>
          <w:sz w:val="20"/>
          <w:szCs w:val="20"/>
        </w:rPr>
        <w:t xml:space="preserve"> values are available:  67 plant data, 108 invertebrates’ data, 77 micro-organisms data. </w:t>
      </w:r>
      <w:r w:rsidR="00D05142" w:rsidRPr="0098635C">
        <w:rPr>
          <w:rStyle w:val="KorrUK"/>
          <w:rFonts w:ascii="Times New Roman" w:hAnsi="Times New Roman" w:cs="Times New Roman"/>
          <w:color w:val="000000" w:themeColor="text1"/>
          <w:sz w:val="20"/>
          <w:szCs w:val="20"/>
        </w:rPr>
        <w:t xml:space="preserve"> Data cover 3 trophic group, include 19 species from several taxonomic groups and 9 microbial endpoints; data cover the range of EU soils. </w:t>
      </w:r>
    </w:p>
    <w:p w14:paraId="1844B0FB" w14:textId="77777777" w:rsidR="006A3282" w:rsidRPr="0098635C" w:rsidRDefault="00D05142" w:rsidP="006A3282">
      <w:pPr>
        <w:pStyle w:val="BodyText"/>
        <w:spacing w:before="80" w:after="0"/>
        <w:ind w:left="720"/>
        <w:rPr>
          <w:rStyle w:val="KorrUK"/>
          <w:rFonts w:ascii="Times New Roman" w:hAnsi="Times New Roman" w:cs="Times New Roman"/>
          <w:color w:val="000000" w:themeColor="text1"/>
          <w:sz w:val="20"/>
          <w:szCs w:val="20"/>
        </w:rPr>
      </w:pPr>
      <w:r w:rsidRPr="0098635C">
        <w:rPr>
          <w:rStyle w:val="KorrUK"/>
          <w:rFonts w:ascii="Times New Roman" w:hAnsi="Times New Roman" w:cs="Times New Roman"/>
          <w:color w:val="000000" w:themeColor="text1"/>
          <w:sz w:val="20"/>
          <w:szCs w:val="20"/>
        </w:rPr>
        <w:t xml:space="preserve">-9 different plant species –including agricultural and wild species, monocotyls and dicotyls- from 5 different families </w:t>
      </w:r>
    </w:p>
    <w:p w14:paraId="1E463E6A" w14:textId="48898C6C" w:rsidR="006A3282" w:rsidRPr="0098635C" w:rsidRDefault="00D05142" w:rsidP="006A3282">
      <w:pPr>
        <w:pStyle w:val="BodyText"/>
        <w:spacing w:before="80" w:after="0"/>
        <w:ind w:left="720"/>
        <w:rPr>
          <w:rStyle w:val="KorrUK"/>
          <w:rFonts w:ascii="Times New Roman" w:hAnsi="Times New Roman" w:cs="Times New Roman"/>
          <w:color w:val="000000" w:themeColor="text1"/>
          <w:sz w:val="20"/>
          <w:szCs w:val="20"/>
        </w:rPr>
      </w:pPr>
      <w:r w:rsidRPr="0098635C">
        <w:rPr>
          <w:rStyle w:val="KorrUK"/>
          <w:rFonts w:ascii="Times New Roman" w:hAnsi="Times New Roman" w:cs="Times New Roman"/>
          <w:color w:val="000000" w:themeColor="text1"/>
          <w:sz w:val="20"/>
          <w:szCs w:val="20"/>
        </w:rPr>
        <w:t xml:space="preserve">-10 different invertebrate species –including hard- </w:t>
      </w:r>
      <w:r w:rsidR="00247E89" w:rsidRPr="0098635C">
        <w:rPr>
          <w:rStyle w:val="KorrUK"/>
          <w:rFonts w:ascii="Times New Roman" w:hAnsi="Times New Roman" w:cs="Times New Roman"/>
          <w:color w:val="000000" w:themeColor="text1"/>
          <w:sz w:val="20"/>
          <w:szCs w:val="20"/>
        </w:rPr>
        <w:t xml:space="preserve">and </w:t>
      </w:r>
      <w:r w:rsidRPr="0098635C">
        <w:rPr>
          <w:rStyle w:val="KorrUK"/>
          <w:rFonts w:ascii="Times New Roman" w:hAnsi="Times New Roman" w:cs="Times New Roman"/>
          <w:color w:val="000000" w:themeColor="text1"/>
          <w:sz w:val="20"/>
          <w:szCs w:val="20"/>
        </w:rPr>
        <w:t xml:space="preserve">soft-bodied organisms with different feeding strategies- from 6 different families </w:t>
      </w:r>
    </w:p>
    <w:p w14:paraId="07D528F3" w14:textId="5FDCEFDD" w:rsidR="006A3282" w:rsidRPr="0098635C" w:rsidRDefault="00D05142" w:rsidP="006A3282">
      <w:pPr>
        <w:pStyle w:val="BodyText"/>
        <w:spacing w:before="80" w:after="0"/>
        <w:ind w:left="720"/>
        <w:rPr>
          <w:color w:val="000000" w:themeColor="text1"/>
          <w:sz w:val="20"/>
        </w:rPr>
      </w:pPr>
      <w:r w:rsidRPr="0098635C">
        <w:rPr>
          <w:rStyle w:val="KorrUK"/>
          <w:rFonts w:ascii="Times New Roman" w:hAnsi="Times New Roman" w:cs="Times New Roman"/>
          <w:color w:val="000000" w:themeColor="text1"/>
          <w:sz w:val="20"/>
          <w:szCs w:val="20"/>
        </w:rPr>
        <w:t xml:space="preserve">-measurement of microbial biomass and 6 different microbial </w:t>
      </w:r>
      <w:r w:rsidR="00247E89" w:rsidRPr="0098635C">
        <w:rPr>
          <w:rStyle w:val="KorrUK"/>
          <w:rFonts w:ascii="Times New Roman" w:hAnsi="Times New Roman" w:cs="Times New Roman"/>
          <w:color w:val="000000" w:themeColor="text1"/>
          <w:sz w:val="20"/>
          <w:szCs w:val="20"/>
        </w:rPr>
        <w:t>functions representing</w:t>
      </w:r>
      <w:r w:rsidRPr="0098635C">
        <w:rPr>
          <w:rStyle w:val="KorrUK"/>
          <w:rFonts w:ascii="Times New Roman" w:hAnsi="Times New Roman" w:cs="Times New Roman"/>
          <w:color w:val="000000" w:themeColor="text1"/>
          <w:sz w:val="20"/>
          <w:szCs w:val="20"/>
        </w:rPr>
        <w:t xml:space="preserve"> the C- and N-cycle </w:t>
      </w:r>
    </w:p>
    <w:p w14:paraId="1790ADD9" w14:textId="77777777" w:rsidR="006A3282" w:rsidRPr="0098635C" w:rsidRDefault="00F34A3B" w:rsidP="006A3282">
      <w:pPr>
        <w:spacing w:before="80"/>
        <w:rPr>
          <w:color w:val="000000" w:themeColor="text1"/>
          <w:sz w:val="20"/>
          <w:szCs w:val="20"/>
        </w:rPr>
      </w:pPr>
      <w:r w:rsidRPr="0098635C">
        <w:rPr>
          <w:color w:val="000000" w:themeColor="text1"/>
          <w:sz w:val="20"/>
          <w:szCs w:val="20"/>
        </w:rPr>
        <w:lastRenderedPageBreak/>
        <w:t>T</w:t>
      </w:r>
      <w:r w:rsidR="006A3282" w:rsidRPr="0098635C">
        <w:rPr>
          <w:color w:val="000000" w:themeColor="text1"/>
          <w:sz w:val="20"/>
          <w:szCs w:val="20"/>
        </w:rPr>
        <w:t xml:space="preserve">here is no specific group which is significantly more sensitive to copper, giving confidence in the representativeness of the database for the terrestrial ecosystem. This is also confirmed by the additional species tested in field and multi-species studies. </w:t>
      </w:r>
    </w:p>
    <w:p w14:paraId="246A20D2" w14:textId="77777777" w:rsidR="006A3282" w:rsidRPr="0098635C" w:rsidRDefault="00D05142" w:rsidP="006A3282">
      <w:pPr>
        <w:spacing w:before="80"/>
        <w:rPr>
          <w:color w:val="000000" w:themeColor="text1"/>
          <w:sz w:val="20"/>
          <w:szCs w:val="20"/>
        </w:rPr>
      </w:pPr>
      <w:r w:rsidRPr="0098635C">
        <w:rPr>
          <w:color w:val="000000" w:themeColor="text1"/>
          <w:sz w:val="20"/>
          <w:szCs w:val="20"/>
          <w:u w:val="single"/>
        </w:rPr>
        <w:t>Treatment of data from one species</w:t>
      </w:r>
      <w:r w:rsidR="00F34A3B" w:rsidRPr="0098635C">
        <w:rPr>
          <w:color w:val="000000" w:themeColor="text1"/>
          <w:sz w:val="20"/>
          <w:szCs w:val="20"/>
        </w:rPr>
        <w:t xml:space="preserve">: </w:t>
      </w:r>
      <w:r w:rsidR="006A3282" w:rsidRPr="0098635C">
        <w:rPr>
          <w:color w:val="000000" w:themeColor="text1"/>
          <w:sz w:val="20"/>
          <w:szCs w:val="20"/>
        </w:rPr>
        <w:t xml:space="preserve"> For several species multiple data are available for the same endpoint. Large differences in effects of copper can be explained by differences in bioavailability. </w:t>
      </w:r>
    </w:p>
    <w:p w14:paraId="1679DA9A" w14:textId="77777777" w:rsidR="00F34A3B" w:rsidRPr="0098635C" w:rsidRDefault="00F34A3B" w:rsidP="00F34A3B">
      <w:pPr>
        <w:spacing w:before="80"/>
        <w:rPr>
          <w:color w:val="000000" w:themeColor="text1"/>
          <w:sz w:val="20"/>
          <w:szCs w:val="20"/>
        </w:rPr>
      </w:pPr>
      <w:r w:rsidRPr="0098635C">
        <w:rPr>
          <w:color w:val="000000" w:themeColor="text1"/>
          <w:sz w:val="20"/>
          <w:szCs w:val="20"/>
        </w:rPr>
        <w:t xml:space="preserve">A total of 7 regression models were derived to predict toxicity of copper to terrestrial organisms for a wide range of soil types: 2 for plants (1 monocotyle and 1 dicotyle plant); 2 for invertebrates (1 for soft-bodied and 1 for hard-bodied invertebrates); 3 for micro-organisms functions (1 related to the N-cycle and 2 related to the C-cycle). </w:t>
      </w:r>
    </w:p>
    <w:p w14:paraId="5BC41644" w14:textId="77777777" w:rsidR="00F34A3B" w:rsidRPr="0098635C" w:rsidRDefault="00F34A3B" w:rsidP="00F34A3B">
      <w:pPr>
        <w:spacing w:before="80"/>
        <w:rPr>
          <w:color w:val="000000" w:themeColor="text1"/>
          <w:sz w:val="20"/>
          <w:szCs w:val="20"/>
        </w:rPr>
      </w:pPr>
      <w:r w:rsidRPr="0098635C">
        <w:rPr>
          <w:color w:val="000000" w:themeColor="text1"/>
          <w:sz w:val="20"/>
          <w:szCs w:val="20"/>
        </w:rPr>
        <w:t xml:space="preserve">The parameter explaining best the variability in toxicity for most of the endpoints is the CEC. </w:t>
      </w:r>
    </w:p>
    <w:p w14:paraId="0C97241F" w14:textId="77777777" w:rsidR="00F34A3B" w:rsidRPr="0098635C" w:rsidRDefault="00F34A3B" w:rsidP="00F34A3B">
      <w:pPr>
        <w:spacing w:before="80"/>
        <w:rPr>
          <w:color w:val="000000" w:themeColor="text1"/>
          <w:sz w:val="20"/>
          <w:szCs w:val="20"/>
        </w:rPr>
      </w:pPr>
      <w:r w:rsidRPr="0098635C">
        <w:rPr>
          <w:color w:val="000000" w:themeColor="text1"/>
          <w:sz w:val="20"/>
          <w:szCs w:val="20"/>
        </w:rPr>
        <w:t>Application of these models on the database significantly lowered the variability in the toxicity data were multiple data are available for the same endpoint. The intra-species and functions variability after normalization was drastically reduced to remaining levels of variability which can be expected between laboratories (inter-lab variability assessed in ringtests) and allowed the derivation of meaningful geometric mean NOEC/EC10 values for each endpoint. For each species, the lowest endpoint-specific geometric mean value was used as input into the SSD.</w:t>
      </w:r>
    </w:p>
    <w:p w14:paraId="1D515E94" w14:textId="77777777" w:rsidR="00F34A3B" w:rsidRPr="0098635C" w:rsidRDefault="00F34A3B" w:rsidP="00F34A3B">
      <w:pPr>
        <w:spacing w:before="80"/>
        <w:rPr>
          <w:color w:val="000000" w:themeColor="text1"/>
          <w:sz w:val="20"/>
          <w:szCs w:val="20"/>
        </w:rPr>
      </w:pPr>
      <w:r w:rsidRPr="0098635C">
        <w:rPr>
          <w:color w:val="000000" w:themeColor="text1"/>
          <w:sz w:val="20"/>
          <w:szCs w:val="20"/>
        </w:rPr>
        <w:t>A sensitivity analysis was made to assess the influence of applying one single model for invertebrates and one single model for plants. For invertebrates, this resulted in a smaller reduction of the variability and less good predictions of the toxicity values. For plants, no differences were found.</w:t>
      </w:r>
    </w:p>
    <w:p w14:paraId="55A618C6" w14:textId="77777777" w:rsidR="006C4A23" w:rsidRPr="0098635C" w:rsidRDefault="00F34A3B" w:rsidP="006A3282">
      <w:pPr>
        <w:spacing w:before="80"/>
        <w:rPr>
          <w:color w:val="000000" w:themeColor="text1"/>
          <w:sz w:val="20"/>
          <w:szCs w:val="20"/>
        </w:rPr>
      </w:pPr>
      <w:r w:rsidRPr="0098635C">
        <w:rPr>
          <w:color w:val="000000" w:themeColor="text1"/>
          <w:sz w:val="20"/>
          <w:szCs w:val="20"/>
        </w:rPr>
        <w:t>An additional benefit of these models is that it allows the derivation of soil or soil type specific SSDs and so</w:t>
      </w:r>
      <w:r w:rsidR="006C4A23" w:rsidRPr="0098635C">
        <w:rPr>
          <w:color w:val="000000" w:themeColor="text1"/>
          <w:sz w:val="20"/>
          <w:szCs w:val="20"/>
        </w:rPr>
        <w:t xml:space="preserve"> HC</w:t>
      </w:r>
      <w:r w:rsidR="006C4A23" w:rsidRPr="0098635C">
        <w:rPr>
          <w:color w:val="000000" w:themeColor="text1"/>
          <w:sz w:val="20"/>
          <w:szCs w:val="20"/>
          <w:vertAlign w:val="subscript"/>
        </w:rPr>
        <w:t>5,50%</w:t>
      </w:r>
      <w:r w:rsidR="004F7E11" w:rsidRPr="0098635C">
        <w:rPr>
          <w:color w:val="000000" w:themeColor="text1"/>
          <w:sz w:val="20"/>
          <w:szCs w:val="20"/>
          <w:vertAlign w:val="subscript"/>
        </w:rPr>
        <w:t>.</w:t>
      </w:r>
    </w:p>
    <w:p w14:paraId="601148EE" w14:textId="77777777" w:rsidR="006A3282" w:rsidRPr="0098635C" w:rsidRDefault="006A3282" w:rsidP="006A3282">
      <w:pPr>
        <w:spacing w:before="80"/>
        <w:rPr>
          <w:color w:val="000000" w:themeColor="text1"/>
          <w:sz w:val="20"/>
          <w:szCs w:val="20"/>
        </w:rPr>
      </w:pPr>
      <w:r w:rsidRPr="0098635C">
        <w:rPr>
          <w:color w:val="000000" w:themeColor="text1"/>
          <w:sz w:val="20"/>
          <w:szCs w:val="20"/>
        </w:rPr>
        <w:t>A conservative leaching-ageing factor is available to correct for differences between lab and field due to leaching-ageing effects. This factor is based on the 25-P of a</w:t>
      </w:r>
      <w:r w:rsidR="00F34A3B" w:rsidRPr="0098635C">
        <w:rPr>
          <w:color w:val="000000" w:themeColor="text1"/>
          <w:sz w:val="20"/>
          <w:szCs w:val="20"/>
        </w:rPr>
        <w:t>n extensive ecotoxicity dataset.</w:t>
      </w:r>
    </w:p>
    <w:p w14:paraId="1227CCF9" w14:textId="77777777" w:rsidR="00F34A3B" w:rsidRPr="0098635C" w:rsidRDefault="00D05142" w:rsidP="00F34A3B">
      <w:pPr>
        <w:pStyle w:val="TableTitle0"/>
        <w:autoSpaceDE w:val="0"/>
        <w:autoSpaceDN w:val="0"/>
        <w:spacing w:before="80" w:after="0"/>
        <w:jc w:val="both"/>
        <w:rPr>
          <w:rFonts w:ascii="Times New Roman" w:hAnsi="Times New Roman" w:cs="Times New Roman"/>
          <w:b w:val="0"/>
          <w:bCs w:val="0"/>
          <w:color w:val="000000" w:themeColor="text1"/>
          <w:sz w:val="20"/>
          <w:szCs w:val="20"/>
        </w:rPr>
      </w:pPr>
      <w:r w:rsidRPr="0098635C">
        <w:rPr>
          <w:rFonts w:ascii="Times New Roman" w:hAnsi="Times New Roman" w:cs="Times New Roman"/>
          <w:b w:val="0"/>
          <w:color w:val="000000" w:themeColor="text1"/>
          <w:sz w:val="20"/>
          <w:szCs w:val="20"/>
          <w:u w:val="single"/>
        </w:rPr>
        <w:t xml:space="preserve">Statistical uncertainty: </w:t>
      </w:r>
      <w:r w:rsidRPr="0098635C">
        <w:rPr>
          <w:rFonts w:ascii="Times New Roman" w:hAnsi="Times New Roman" w:cs="Times New Roman"/>
          <w:b w:val="0"/>
          <w:bCs w:val="0"/>
          <w:color w:val="000000" w:themeColor="text1"/>
          <w:sz w:val="20"/>
          <w:szCs w:val="20"/>
          <w:u w:val="single"/>
        </w:rPr>
        <w:t xml:space="preserve">A </w:t>
      </w:r>
      <w:r w:rsidRPr="0098635C">
        <w:rPr>
          <w:rFonts w:ascii="Times New Roman" w:hAnsi="Times New Roman" w:cs="Times New Roman"/>
          <w:b w:val="0"/>
          <w:bCs w:val="0"/>
          <w:color w:val="000000" w:themeColor="text1"/>
          <w:sz w:val="20"/>
          <w:szCs w:val="20"/>
        </w:rPr>
        <w:t xml:space="preserve">comparison was made of the uncertainty around the HC5 between the best fitting distribution and the log-normal distribution. The actual model for the best-fitting distribution depends on the soil scenario. </w:t>
      </w:r>
    </w:p>
    <w:p w14:paraId="1BEF1F43" w14:textId="77777777" w:rsidR="00D05142" w:rsidRPr="0098635C" w:rsidRDefault="00D05142" w:rsidP="00D05142">
      <w:pPr>
        <w:pStyle w:val="TableTitle0"/>
        <w:autoSpaceDE w:val="0"/>
        <w:autoSpaceDN w:val="0"/>
        <w:spacing w:before="80" w:after="0"/>
        <w:jc w:val="both"/>
        <w:rPr>
          <w:color w:val="000000" w:themeColor="text1"/>
          <w:sz w:val="20"/>
          <w:szCs w:val="20"/>
        </w:rPr>
      </w:pPr>
      <w:r w:rsidRPr="0098635C">
        <w:rPr>
          <w:rFonts w:ascii="Times New Roman" w:hAnsi="Times New Roman" w:cs="Times New Roman"/>
          <w:b w:val="0"/>
          <w:bCs w:val="0"/>
          <w:color w:val="000000" w:themeColor="text1"/>
          <w:sz w:val="20"/>
          <w:szCs w:val="20"/>
        </w:rPr>
        <w:t xml:space="preserve">The </w:t>
      </w:r>
      <w:r w:rsidRPr="0098635C">
        <w:rPr>
          <w:rStyle w:val="KorrUK"/>
          <w:rFonts w:ascii="Times New Roman" w:hAnsi="Times New Roman" w:cs="Times New Roman"/>
          <w:b w:val="0"/>
          <w:bCs w:val="0"/>
          <w:color w:val="000000" w:themeColor="text1"/>
          <w:sz w:val="20"/>
          <w:szCs w:val="20"/>
        </w:rPr>
        <w:t>statistical uncertainty related to the HC</w:t>
      </w:r>
      <w:r w:rsidRPr="0098635C">
        <w:rPr>
          <w:rStyle w:val="KorrUK"/>
          <w:rFonts w:ascii="Times New Roman" w:hAnsi="Times New Roman" w:cs="Times New Roman"/>
          <w:b w:val="0"/>
          <w:bCs w:val="0"/>
          <w:color w:val="000000" w:themeColor="text1"/>
          <w:sz w:val="20"/>
          <w:szCs w:val="20"/>
          <w:vertAlign w:val="subscript"/>
        </w:rPr>
        <w:t>5</w:t>
      </w:r>
      <w:r w:rsidRPr="0098635C">
        <w:rPr>
          <w:rStyle w:val="KorrUK"/>
          <w:rFonts w:ascii="Times New Roman" w:hAnsi="Times New Roman" w:cs="Times New Roman"/>
          <w:b w:val="0"/>
          <w:bCs w:val="0"/>
          <w:color w:val="000000" w:themeColor="text1"/>
          <w:sz w:val="20"/>
          <w:szCs w:val="20"/>
        </w:rPr>
        <w:t xml:space="preserve"> value</w:t>
      </w:r>
      <w:r w:rsidRPr="0098635C">
        <w:rPr>
          <w:rFonts w:ascii="Times New Roman" w:hAnsi="Times New Roman" w:cs="Times New Roman"/>
          <w:b w:val="0"/>
          <w:bCs w:val="0"/>
          <w:color w:val="000000" w:themeColor="text1"/>
          <w:sz w:val="20"/>
          <w:szCs w:val="20"/>
        </w:rPr>
        <w:t xml:space="preserve"> is reflected in the small differences between the HC</w:t>
      </w:r>
      <w:r w:rsidRPr="0098635C">
        <w:rPr>
          <w:rFonts w:ascii="Times New Roman" w:hAnsi="Times New Roman" w:cs="Times New Roman"/>
          <w:b w:val="0"/>
          <w:bCs w:val="0"/>
          <w:color w:val="000000" w:themeColor="text1"/>
          <w:sz w:val="20"/>
          <w:szCs w:val="20"/>
          <w:vertAlign w:val="subscript"/>
        </w:rPr>
        <w:t>5</w:t>
      </w:r>
      <w:r w:rsidRPr="0098635C">
        <w:rPr>
          <w:rFonts w:ascii="Times New Roman" w:hAnsi="Times New Roman" w:cs="Times New Roman"/>
          <w:b w:val="0"/>
          <w:bCs w:val="0"/>
          <w:color w:val="000000" w:themeColor="text1"/>
          <w:sz w:val="20"/>
          <w:szCs w:val="20"/>
        </w:rPr>
        <w:t xml:space="preserve"> and the </w:t>
      </w:r>
      <w:r w:rsidR="004A339B" w:rsidRPr="0098635C">
        <w:rPr>
          <w:rFonts w:ascii="Times New Roman" w:hAnsi="Times New Roman" w:cs="Times New Roman"/>
          <w:b w:val="0"/>
          <w:bCs w:val="0"/>
          <w:color w:val="000000" w:themeColor="text1"/>
          <w:sz w:val="20"/>
          <w:szCs w:val="20"/>
        </w:rPr>
        <w:t>HC</w:t>
      </w:r>
      <w:r w:rsidR="004A339B" w:rsidRPr="0098635C">
        <w:rPr>
          <w:rFonts w:ascii="Times New Roman" w:hAnsi="Times New Roman" w:cs="Times New Roman"/>
          <w:b w:val="0"/>
          <w:bCs w:val="0"/>
          <w:color w:val="000000" w:themeColor="text1"/>
          <w:sz w:val="20"/>
          <w:szCs w:val="20"/>
          <w:vertAlign w:val="subscript"/>
        </w:rPr>
        <w:t>5,50%</w:t>
      </w:r>
      <w:r w:rsidRPr="0098635C">
        <w:rPr>
          <w:rFonts w:ascii="Times New Roman" w:hAnsi="Times New Roman" w:cs="Times New Roman"/>
          <w:b w:val="0"/>
          <w:bCs w:val="0"/>
          <w:color w:val="000000" w:themeColor="text1"/>
          <w:sz w:val="20"/>
          <w:szCs w:val="20"/>
        </w:rPr>
        <w:t xml:space="preserve">, ranging between a factor 1.0 to 1.3, depending on the soil scenario and fitting distribution. </w:t>
      </w:r>
    </w:p>
    <w:p w14:paraId="3F8F06A9" w14:textId="77777777" w:rsidR="00D05142" w:rsidRPr="0098635C" w:rsidRDefault="00D05142" w:rsidP="00D05142">
      <w:pPr>
        <w:pStyle w:val="TableTitle0"/>
        <w:autoSpaceDE w:val="0"/>
        <w:autoSpaceDN w:val="0"/>
        <w:spacing w:before="80" w:after="0"/>
        <w:jc w:val="both"/>
        <w:rPr>
          <w:b w:val="0"/>
          <w:bCs w:val="0"/>
          <w:color w:val="000000" w:themeColor="text1"/>
          <w:sz w:val="20"/>
          <w:szCs w:val="20"/>
        </w:rPr>
      </w:pPr>
    </w:p>
    <w:p w14:paraId="6CFF5982" w14:textId="6E1C7EF3" w:rsidR="006A3282" w:rsidRPr="0098635C" w:rsidRDefault="00D05142" w:rsidP="006A3282">
      <w:pPr>
        <w:spacing w:before="80"/>
        <w:rPr>
          <w:color w:val="000000" w:themeColor="text1"/>
          <w:sz w:val="20"/>
          <w:szCs w:val="20"/>
        </w:rPr>
      </w:pPr>
      <w:r w:rsidRPr="0098635C">
        <w:rPr>
          <w:bCs/>
          <w:color w:val="000000" w:themeColor="text1"/>
          <w:sz w:val="20"/>
          <w:szCs w:val="20"/>
          <w:u w:val="single"/>
        </w:rPr>
        <w:t>Evaluation of NOEC values below the HC5,50%</w:t>
      </w:r>
      <w:r w:rsidR="004A339B" w:rsidRPr="0098635C">
        <w:rPr>
          <w:color w:val="000000" w:themeColor="text1"/>
          <w:sz w:val="20"/>
          <w:szCs w:val="20"/>
          <w:u w:val="single"/>
        </w:rPr>
        <w:t xml:space="preserve">: </w:t>
      </w:r>
      <w:r w:rsidR="006A3282" w:rsidRPr="0098635C">
        <w:rPr>
          <w:color w:val="000000" w:themeColor="text1"/>
          <w:sz w:val="20"/>
          <w:szCs w:val="20"/>
        </w:rPr>
        <w:t xml:space="preserve">Only 1 single datapoint out of 28 is found below the </w:t>
      </w:r>
      <w:r w:rsidR="004A339B" w:rsidRPr="0098635C">
        <w:rPr>
          <w:color w:val="000000" w:themeColor="text1"/>
          <w:sz w:val="20"/>
          <w:szCs w:val="20"/>
        </w:rPr>
        <w:t>HC</w:t>
      </w:r>
      <w:r w:rsidR="004A339B" w:rsidRPr="0098635C">
        <w:rPr>
          <w:color w:val="000000" w:themeColor="text1"/>
          <w:sz w:val="20"/>
          <w:szCs w:val="20"/>
          <w:vertAlign w:val="subscript"/>
        </w:rPr>
        <w:t>5,50%</w:t>
      </w:r>
      <w:r w:rsidR="006A3282" w:rsidRPr="0098635C">
        <w:rPr>
          <w:color w:val="000000" w:themeColor="text1"/>
          <w:sz w:val="20"/>
          <w:szCs w:val="20"/>
        </w:rPr>
        <w:t xml:space="preserve">. The LOEC value (14% effect) is however well above the </w:t>
      </w:r>
      <w:r w:rsidR="004A339B" w:rsidRPr="0098635C">
        <w:rPr>
          <w:color w:val="000000" w:themeColor="text1"/>
          <w:sz w:val="20"/>
          <w:szCs w:val="20"/>
        </w:rPr>
        <w:t>HC</w:t>
      </w:r>
      <w:r w:rsidR="004A339B" w:rsidRPr="0098635C">
        <w:rPr>
          <w:color w:val="000000" w:themeColor="text1"/>
          <w:sz w:val="20"/>
          <w:szCs w:val="20"/>
          <w:vertAlign w:val="subscript"/>
        </w:rPr>
        <w:t>5,50%</w:t>
      </w:r>
      <w:r w:rsidR="006A3282" w:rsidRPr="0098635C">
        <w:rPr>
          <w:color w:val="000000" w:themeColor="text1"/>
          <w:sz w:val="20"/>
          <w:szCs w:val="20"/>
        </w:rPr>
        <w:t xml:space="preserve">. </w:t>
      </w:r>
    </w:p>
    <w:p w14:paraId="1B19C172" w14:textId="6F47C41E" w:rsidR="006A3282" w:rsidRPr="0098635C" w:rsidRDefault="00247E89" w:rsidP="006A3282">
      <w:pPr>
        <w:spacing w:before="80"/>
        <w:rPr>
          <w:color w:val="000000" w:themeColor="text1"/>
          <w:sz w:val="20"/>
          <w:szCs w:val="20"/>
        </w:rPr>
      </w:pPr>
      <w:r w:rsidRPr="0098635C">
        <w:rPr>
          <w:bCs/>
          <w:color w:val="000000" w:themeColor="text1"/>
          <w:sz w:val="20"/>
          <w:szCs w:val="20"/>
          <w:u w:val="single"/>
        </w:rPr>
        <w:t>Comparison of</w:t>
      </w:r>
      <w:r w:rsidR="00D05142" w:rsidRPr="0098635C">
        <w:rPr>
          <w:bCs/>
          <w:color w:val="000000" w:themeColor="text1"/>
          <w:sz w:val="20"/>
          <w:szCs w:val="20"/>
          <w:u w:val="single"/>
        </w:rPr>
        <w:t xml:space="preserve"> the </w:t>
      </w:r>
      <w:r w:rsidR="002C5BCA" w:rsidRPr="0098635C">
        <w:rPr>
          <w:bCs/>
          <w:color w:val="000000" w:themeColor="text1"/>
          <w:sz w:val="20"/>
          <w:szCs w:val="20"/>
        </w:rPr>
        <w:t>HC</w:t>
      </w:r>
      <w:r w:rsidR="002C5BCA" w:rsidRPr="0098635C">
        <w:rPr>
          <w:bCs/>
          <w:color w:val="000000" w:themeColor="text1"/>
          <w:sz w:val="20"/>
          <w:szCs w:val="20"/>
          <w:vertAlign w:val="subscript"/>
        </w:rPr>
        <w:t>5,50%</w:t>
      </w:r>
      <w:r w:rsidR="002C5BCA" w:rsidRPr="0098635C">
        <w:rPr>
          <w:bCs/>
          <w:color w:val="000000" w:themeColor="text1"/>
          <w:sz w:val="20"/>
          <w:szCs w:val="20"/>
        </w:rPr>
        <w:t xml:space="preserve">, </w:t>
      </w:r>
      <w:r w:rsidRPr="0098635C">
        <w:rPr>
          <w:bCs/>
          <w:color w:val="000000" w:themeColor="text1"/>
          <w:sz w:val="20"/>
          <w:szCs w:val="20"/>
          <w:u w:val="single"/>
        </w:rPr>
        <w:t>with</w:t>
      </w:r>
      <w:r w:rsidR="00D05142" w:rsidRPr="0098635C">
        <w:rPr>
          <w:bCs/>
          <w:color w:val="000000" w:themeColor="text1"/>
          <w:sz w:val="20"/>
          <w:szCs w:val="20"/>
          <w:u w:val="single"/>
        </w:rPr>
        <w:t xml:space="preserve"> the EU background and essentiality levels</w:t>
      </w:r>
      <w:r w:rsidR="004A339B" w:rsidRPr="0098635C">
        <w:rPr>
          <w:bCs/>
          <w:color w:val="000000" w:themeColor="text1"/>
          <w:sz w:val="20"/>
          <w:szCs w:val="20"/>
          <w:u w:val="single"/>
        </w:rPr>
        <w:t>:</w:t>
      </w:r>
      <w:r w:rsidR="001C2F45" w:rsidRPr="0098635C">
        <w:rPr>
          <w:color w:val="000000" w:themeColor="text1"/>
          <w:sz w:val="20"/>
          <w:szCs w:val="20"/>
        </w:rPr>
        <w:t xml:space="preserve"> </w:t>
      </w:r>
      <w:r w:rsidR="006A3282" w:rsidRPr="0098635C">
        <w:rPr>
          <w:color w:val="000000" w:themeColor="text1"/>
          <w:sz w:val="20"/>
          <w:szCs w:val="20"/>
        </w:rPr>
        <w:t xml:space="preserve">A comparison of the </w:t>
      </w:r>
      <w:r w:rsidR="004A339B" w:rsidRPr="0098635C">
        <w:rPr>
          <w:color w:val="000000" w:themeColor="text1"/>
          <w:sz w:val="20"/>
          <w:szCs w:val="20"/>
        </w:rPr>
        <w:t>HC5,50%</w:t>
      </w:r>
      <w:r w:rsidR="006A3282" w:rsidRPr="0098635C">
        <w:rPr>
          <w:color w:val="000000" w:themeColor="text1"/>
          <w:sz w:val="20"/>
          <w:szCs w:val="20"/>
        </w:rPr>
        <w:t xml:space="preserve"> with the background (natural forest soils) and essentiality levels indicates the </w:t>
      </w:r>
      <w:r w:rsidR="004A339B" w:rsidRPr="0098635C">
        <w:rPr>
          <w:color w:val="000000" w:themeColor="text1"/>
          <w:sz w:val="20"/>
          <w:szCs w:val="20"/>
        </w:rPr>
        <w:t>HC</w:t>
      </w:r>
      <w:r w:rsidR="004A339B" w:rsidRPr="0098635C">
        <w:rPr>
          <w:color w:val="000000" w:themeColor="text1"/>
          <w:sz w:val="20"/>
          <w:szCs w:val="20"/>
          <w:vertAlign w:val="subscript"/>
        </w:rPr>
        <w:t>5</w:t>
      </w:r>
      <w:r w:rsidR="002C5BCA" w:rsidRPr="0098635C">
        <w:rPr>
          <w:color w:val="000000" w:themeColor="text1"/>
          <w:sz w:val="20"/>
          <w:szCs w:val="20"/>
          <w:vertAlign w:val="subscript"/>
        </w:rPr>
        <w:t>,50</w:t>
      </w:r>
      <w:r w:rsidR="004A339B" w:rsidRPr="0098635C">
        <w:rPr>
          <w:color w:val="000000" w:themeColor="text1"/>
          <w:sz w:val="20"/>
          <w:szCs w:val="20"/>
          <w:vertAlign w:val="subscript"/>
        </w:rPr>
        <w:t>%</w:t>
      </w:r>
      <w:r w:rsidR="006A3282" w:rsidRPr="0098635C">
        <w:rPr>
          <w:color w:val="000000" w:themeColor="text1"/>
          <w:sz w:val="20"/>
          <w:szCs w:val="20"/>
        </w:rPr>
        <w:t xml:space="preserve"> to be above the background levels and essentiality levels.</w:t>
      </w:r>
    </w:p>
    <w:p w14:paraId="461EF793" w14:textId="77777777" w:rsidR="006A3282" w:rsidRPr="0098635C" w:rsidRDefault="00D05142" w:rsidP="006A3282">
      <w:pPr>
        <w:spacing w:before="80"/>
        <w:rPr>
          <w:color w:val="000000" w:themeColor="text1"/>
          <w:sz w:val="20"/>
          <w:szCs w:val="20"/>
        </w:rPr>
      </w:pPr>
      <w:r w:rsidRPr="0098635C">
        <w:rPr>
          <w:color w:val="000000" w:themeColor="text1"/>
          <w:sz w:val="20"/>
          <w:szCs w:val="20"/>
          <w:u w:val="single"/>
        </w:rPr>
        <w:t>Mesocosm and field data</w:t>
      </w:r>
      <w:r w:rsidR="004A339B" w:rsidRPr="0098635C">
        <w:rPr>
          <w:color w:val="000000" w:themeColor="text1"/>
          <w:sz w:val="20"/>
          <w:szCs w:val="20"/>
          <w:u w:val="single"/>
        </w:rPr>
        <w:t>:</w:t>
      </w:r>
      <w:r w:rsidR="001C2F45" w:rsidRPr="0098635C">
        <w:rPr>
          <w:color w:val="000000" w:themeColor="text1"/>
          <w:sz w:val="20"/>
          <w:szCs w:val="20"/>
        </w:rPr>
        <w:t xml:space="preserve"> </w:t>
      </w:r>
      <w:r w:rsidR="006A3282" w:rsidRPr="0098635C">
        <w:rPr>
          <w:color w:val="000000" w:themeColor="text1"/>
          <w:sz w:val="20"/>
          <w:szCs w:val="20"/>
        </w:rPr>
        <w:t>A total of 8 single species studies are available in which the toxicity of Cu to micro-organisms, invertebrates and plants in field contaminated aged soils was investigated for a wide range of European soil types (peaty, sandy, clay).</w:t>
      </w:r>
    </w:p>
    <w:p w14:paraId="2D0C8EFB" w14:textId="77777777" w:rsidR="006A3282" w:rsidRPr="0098635C" w:rsidRDefault="006A3282" w:rsidP="006A3282">
      <w:pPr>
        <w:spacing w:before="80"/>
        <w:rPr>
          <w:color w:val="000000" w:themeColor="text1"/>
          <w:sz w:val="20"/>
          <w:szCs w:val="20"/>
        </w:rPr>
      </w:pPr>
      <w:r w:rsidRPr="0098635C">
        <w:rPr>
          <w:color w:val="000000" w:themeColor="text1"/>
          <w:sz w:val="20"/>
          <w:szCs w:val="20"/>
        </w:rPr>
        <w:t xml:space="preserve">A total of 5 multi-species studies are available, 3 of which studied the effects of copper in freshly spiked soils and 2 in field contaminated aged soils. Several of the soils are expected to be more sensitive to copper (sandy soils, low pH, low CEC). Invertebrates, plants and micro-organisms were studied. </w:t>
      </w:r>
    </w:p>
    <w:p w14:paraId="73F3386F" w14:textId="7EBA7288" w:rsidR="00AD6371" w:rsidRPr="0098635C" w:rsidRDefault="006A3282" w:rsidP="00982513">
      <w:pPr>
        <w:spacing w:before="80"/>
        <w:rPr>
          <w:color w:val="000000" w:themeColor="text1"/>
          <w:sz w:val="20"/>
          <w:szCs w:val="20"/>
        </w:rPr>
      </w:pPr>
      <w:r w:rsidRPr="0098635C">
        <w:rPr>
          <w:color w:val="000000" w:themeColor="text1"/>
          <w:sz w:val="20"/>
          <w:szCs w:val="20"/>
        </w:rPr>
        <w:t xml:space="preserve">Single species and multi-species studies indicate the </w:t>
      </w:r>
      <w:r w:rsidR="004A339B" w:rsidRPr="0098635C">
        <w:rPr>
          <w:color w:val="000000" w:themeColor="text1"/>
          <w:sz w:val="20"/>
          <w:szCs w:val="20"/>
        </w:rPr>
        <w:t>HC</w:t>
      </w:r>
      <w:r w:rsidR="004A339B" w:rsidRPr="0098635C">
        <w:rPr>
          <w:color w:val="000000" w:themeColor="text1"/>
          <w:sz w:val="20"/>
          <w:szCs w:val="20"/>
          <w:vertAlign w:val="subscript"/>
        </w:rPr>
        <w:t>5,50%</w:t>
      </w:r>
      <w:r w:rsidRPr="0098635C">
        <w:rPr>
          <w:color w:val="000000" w:themeColor="text1"/>
          <w:sz w:val="20"/>
          <w:szCs w:val="20"/>
        </w:rPr>
        <w:t xml:space="preserve"> to be protective in the field.</w:t>
      </w:r>
    </w:p>
    <w:p w14:paraId="2954FBA9" w14:textId="77777777" w:rsidR="00AD6371" w:rsidRPr="0098635C" w:rsidRDefault="00AD6371" w:rsidP="00AD6371">
      <w:pPr>
        <w:widowControl/>
        <w:autoSpaceDE/>
        <w:autoSpaceDN/>
        <w:adjustRightInd/>
        <w:spacing w:after="0"/>
        <w:rPr>
          <w:bCs/>
          <w:color w:val="000000" w:themeColor="text1"/>
          <w:sz w:val="20"/>
          <w:szCs w:val="20"/>
        </w:rPr>
      </w:pPr>
      <w:r w:rsidRPr="0098635C">
        <w:rPr>
          <w:bCs/>
          <w:color w:val="000000" w:themeColor="text1"/>
          <w:sz w:val="20"/>
          <w:szCs w:val="20"/>
        </w:rPr>
        <w:t>Additional remaining uncertainties</w:t>
      </w:r>
    </w:p>
    <w:p w14:paraId="0DA7C8E9" w14:textId="57B2F4A2" w:rsidR="00311E9F" w:rsidRPr="0098635C" w:rsidRDefault="00AD6371" w:rsidP="0059369A">
      <w:pPr>
        <w:widowControl/>
        <w:numPr>
          <w:ilvl w:val="0"/>
          <w:numId w:val="17"/>
        </w:numPr>
        <w:autoSpaceDE/>
        <w:autoSpaceDN/>
        <w:adjustRightInd/>
        <w:spacing w:after="0"/>
        <w:rPr>
          <w:color w:val="000000" w:themeColor="text1"/>
          <w:sz w:val="20"/>
          <w:szCs w:val="20"/>
        </w:rPr>
      </w:pPr>
      <w:r w:rsidRPr="0098635C">
        <w:rPr>
          <w:bCs/>
          <w:color w:val="000000" w:themeColor="text1"/>
          <w:sz w:val="20"/>
          <w:szCs w:val="20"/>
        </w:rPr>
        <w:t xml:space="preserve">The data-base covers ecotoxicity searches till 2006.  Including more recent ecotoxicity data would benefit the assessment.  </w:t>
      </w:r>
    </w:p>
    <w:p w14:paraId="78D344EB" w14:textId="51C8D93F" w:rsidR="00D05142" w:rsidRPr="0098635C" w:rsidRDefault="002D0C31" w:rsidP="00D05142">
      <w:pPr>
        <w:pStyle w:val="Heading1"/>
        <w:rPr>
          <w:color w:val="000000" w:themeColor="text1"/>
          <w:sz w:val="20"/>
        </w:rPr>
      </w:pPr>
      <w:bookmarkStart w:id="2013" w:name="_Toc472000399"/>
      <w:bookmarkStart w:id="2014" w:name="_Toc472251759"/>
      <w:r w:rsidRPr="0098635C">
        <w:rPr>
          <w:rFonts w:ascii="Times New Roman" w:hAnsi="Times New Roman"/>
          <w:color w:val="000000" w:themeColor="text1"/>
          <w:sz w:val="20"/>
        </w:rPr>
        <w:t xml:space="preserve">ConCLUSIONS </w:t>
      </w:r>
      <w:r w:rsidR="00091450" w:rsidRPr="0098635C">
        <w:rPr>
          <w:rFonts w:ascii="Times New Roman" w:hAnsi="Times New Roman"/>
          <w:color w:val="000000" w:themeColor="text1"/>
          <w:sz w:val="20"/>
        </w:rPr>
        <w:t xml:space="preserve">and </w:t>
      </w:r>
      <w:r w:rsidR="00D05142" w:rsidRPr="0098635C">
        <w:rPr>
          <w:rFonts w:ascii="Times New Roman" w:hAnsi="Times New Roman"/>
          <w:color w:val="000000" w:themeColor="text1"/>
          <w:sz w:val="20"/>
        </w:rPr>
        <w:t>Risk Characterisation</w:t>
      </w:r>
      <w:bookmarkEnd w:id="2013"/>
      <w:bookmarkEnd w:id="2014"/>
    </w:p>
    <w:p w14:paraId="5C07E700" w14:textId="77777777" w:rsidR="00FA6FE3" w:rsidRPr="0098635C" w:rsidRDefault="00FA6FE3" w:rsidP="00FA6FE3">
      <w:pPr>
        <w:pStyle w:val="Default"/>
        <w:rPr>
          <w:color w:val="000000" w:themeColor="text1"/>
          <w:sz w:val="20"/>
          <w:szCs w:val="20"/>
        </w:rPr>
      </w:pPr>
    </w:p>
    <w:p w14:paraId="3635E01D" w14:textId="77777777" w:rsidR="00091450" w:rsidRPr="0098635C" w:rsidRDefault="00D05142" w:rsidP="00091450">
      <w:pPr>
        <w:pStyle w:val="BodyText"/>
        <w:spacing w:after="0"/>
        <w:ind w:right="215"/>
        <w:rPr>
          <w:color w:val="000000" w:themeColor="text1"/>
          <w:sz w:val="20"/>
          <w:lang w:eastAsia="ja-JP"/>
        </w:rPr>
      </w:pPr>
      <w:r w:rsidRPr="0098635C">
        <w:rPr>
          <w:color w:val="000000" w:themeColor="text1"/>
          <w:sz w:val="20"/>
          <w:lang w:eastAsia="ja-JP"/>
        </w:rPr>
        <w:lastRenderedPageBreak/>
        <w:t xml:space="preserve">Copper is a natural element and an essential nutrient to all life forms. In freshwater, marine waters and soils, copper deficiencies and copper toxicities may be observed, depending on the exposure levels. Copper is well regulated, not biomagnified, and BCF and BAF values have no meaning for a hazard assessment.  </w:t>
      </w:r>
    </w:p>
    <w:p w14:paraId="4BE38EB4" w14:textId="77777777" w:rsidR="00091450" w:rsidRPr="0098635C" w:rsidRDefault="00091450" w:rsidP="00091450">
      <w:pPr>
        <w:pStyle w:val="BodyText"/>
        <w:spacing w:after="0"/>
        <w:ind w:right="215"/>
        <w:rPr>
          <w:color w:val="000000" w:themeColor="text1"/>
          <w:sz w:val="20"/>
          <w:lang w:eastAsia="ja-JP"/>
        </w:rPr>
      </w:pPr>
    </w:p>
    <w:p w14:paraId="73E664E2" w14:textId="7EF5EF76" w:rsidR="00091450" w:rsidRPr="0098635C" w:rsidRDefault="00247E89" w:rsidP="00091450">
      <w:pPr>
        <w:pStyle w:val="BodyText"/>
        <w:spacing w:after="0"/>
        <w:ind w:right="215"/>
        <w:rPr>
          <w:color w:val="000000" w:themeColor="text1"/>
          <w:sz w:val="20"/>
        </w:rPr>
      </w:pPr>
      <w:r w:rsidRPr="0098635C">
        <w:rPr>
          <w:color w:val="000000" w:themeColor="text1"/>
          <w:sz w:val="20"/>
          <w:lang w:eastAsia="ja-JP"/>
        </w:rPr>
        <w:t>The release</w:t>
      </w:r>
      <w:r w:rsidR="00D05142" w:rsidRPr="0098635C">
        <w:rPr>
          <w:color w:val="000000" w:themeColor="text1"/>
          <w:sz w:val="20"/>
          <w:lang w:eastAsia="ja-JP"/>
        </w:rPr>
        <w:t xml:space="preserve"> and bio-availability of copper ions are critical to the essentiality </w:t>
      </w:r>
      <w:r w:rsidRPr="0098635C">
        <w:rPr>
          <w:color w:val="000000" w:themeColor="text1"/>
          <w:sz w:val="20"/>
          <w:lang w:eastAsia="ja-JP"/>
        </w:rPr>
        <w:t>and hazard</w:t>
      </w:r>
      <w:r w:rsidR="00D05142" w:rsidRPr="0098635C">
        <w:rPr>
          <w:color w:val="000000" w:themeColor="text1"/>
          <w:sz w:val="20"/>
          <w:lang w:eastAsia="ja-JP"/>
        </w:rPr>
        <w:t xml:space="preserve"> profiles of copper containing materials. </w:t>
      </w:r>
      <w:r w:rsidR="00AD6371" w:rsidRPr="0098635C">
        <w:rPr>
          <w:color w:val="000000" w:themeColor="text1"/>
          <w:sz w:val="20"/>
        </w:rPr>
        <w:t>I</w:t>
      </w:r>
      <w:r w:rsidR="00D05142" w:rsidRPr="0098635C">
        <w:rPr>
          <w:color w:val="000000" w:themeColor="text1"/>
          <w:sz w:val="20"/>
        </w:rPr>
        <w:t>nformation on molecular weight, solubility</w:t>
      </w:r>
      <w:r w:rsidR="00AD6371" w:rsidRPr="0098635C">
        <w:rPr>
          <w:color w:val="000000" w:themeColor="text1"/>
          <w:sz w:val="20"/>
        </w:rPr>
        <w:t>, rates of</w:t>
      </w:r>
      <w:r w:rsidR="00D05142" w:rsidRPr="0098635C">
        <w:rPr>
          <w:color w:val="000000" w:themeColor="text1"/>
          <w:sz w:val="20"/>
        </w:rPr>
        <w:t xml:space="preserve"> </w:t>
      </w:r>
      <w:r w:rsidR="00AD6371" w:rsidRPr="0098635C">
        <w:rPr>
          <w:color w:val="000000" w:themeColor="text1"/>
          <w:sz w:val="20"/>
        </w:rPr>
        <w:t xml:space="preserve">environmental </w:t>
      </w:r>
      <w:r w:rsidR="00D05142" w:rsidRPr="0098635C">
        <w:rPr>
          <w:color w:val="000000" w:themeColor="text1"/>
          <w:sz w:val="20"/>
        </w:rPr>
        <w:t xml:space="preserve">transformation/dissolution </w:t>
      </w:r>
      <w:r w:rsidR="00AD6371" w:rsidRPr="0098635C">
        <w:rPr>
          <w:color w:val="000000" w:themeColor="text1"/>
          <w:sz w:val="20"/>
        </w:rPr>
        <w:t>and bio-elution in body fluids are useful parameters for read-across between substances of the category.</w:t>
      </w:r>
    </w:p>
    <w:p w14:paraId="68B9159B" w14:textId="77777777" w:rsidR="00091450" w:rsidRPr="0098635C" w:rsidRDefault="00091450" w:rsidP="00091450">
      <w:pPr>
        <w:pStyle w:val="BodyText"/>
        <w:spacing w:after="0"/>
        <w:ind w:right="215"/>
        <w:rPr>
          <w:color w:val="000000" w:themeColor="text1"/>
          <w:sz w:val="20"/>
        </w:rPr>
      </w:pPr>
    </w:p>
    <w:p w14:paraId="40362977" w14:textId="09236CC5" w:rsidR="00662D63" w:rsidRPr="0098635C" w:rsidRDefault="00D05142" w:rsidP="00FA6FE3">
      <w:pPr>
        <w:pStyle w:val="BodyText"/>
        <w:rPr>
          <w:color w:val="000000" w:themeColor="text1"/>
          <w:sz w:val="20"/>
          <w:u w:val="single"/>
        </w:rPr>
      </w:pPr>
      <w:r w:rsidRPr="0098635C">
        <w:rPr>
          <w:color w:val="000000" w:themeColor="text1"/>
          <w:sz w:val="20"/>
          <w:u w:val="single"/>
        </w:rPr>
        <w:t>Environment</w:t>
      </w:r>
    </w:p>
    <w:p w14:paraId="3B1743AB" w14:textId="24A3E42A" w:rsidR="00AD6371" w:rsidRPr="0098635C" w:rsidRDefault="00AD6371" w:rsidP="00AD6371">
      <w:pPr>
        <w:pStyle w:val="BodyText"/>
        <w:spacing w:after="0"/>
        <w:ind w:right="215"/>
        <w:rPr>
          <w:color w:val="000000" w:themeColor="text1"/>
          <w:sz w:val="20"/>
          <w:lang w:eastAsia="ja-JP"/>
        </w:rPr>
      </w:pPr>
      <w:r w:rsidRPr="0098635C">
        <w:rPr>
          <w:color w:val="000000" w:themeColor="text1"/>
          <w:sz w:val="20"/>
        </w:rPr>
        <w:t xml:space="preserve">Copper is a data-rich category, with information from single-species and multi-species tests. The information allows to build a weight of </w:t>
      </w:r>
      <w:r w:rsidR="0040492E" w:rsidRPr="0098635C">
        <w:rPr>
          <w:color w:val="000000" w:themeColor="text1"/>
          <w:sz w:val="20"/>
        </w:rPr>
        <w:t xml:space="preserve">evidence for the derivation of </w:t>
      </w:r>
      <w:r w:rsidRPr="0098635C">
        <w:rPr>
          <w:color w:val="000000" w:themeColor="text1"/>
          <w:sz w:val="20"/>
        </w:rPr>
        <w:t>safe threshold values based on statistical extrapolation (HC5,50%  values).</w:t>
      </w:r>
    </w:p>
    <w:p w14:paraId="490A2B8D" w14:textId="77777777" w:rsidR="0040492E" w:rsidRPr="0098635C" w:rsidRDefault="0040492E" w:rsidP="00AD6371">
      <w:pPr>
        <w:rPr>
          <w:color w:val="000000" w:themeColor="text1"/>
          <w:sz w:val="20"/>
          <w:szCs w:val="20"/>
        </w:rPr>
      </w:pPr>
    </w:p>
    <w:p w14:paraId="26359F75" w14:textId="77777777" w:rsidR="0040492E" w:rsidRPr="0098635C" w:rsidRDefault="00AD6371" w:rsidP="00AD6371">
      <w:pPr>
        <w:rPr>
          <w:color w:val="000000" w:themeColor="text1"/>
          <w:sz w:val="20"/>
          <w:szCs w:val="20"/>
        </w:rPr>
      </w:pPr>
      <w:r w:rsidRPr="0098635C">
        <w:rPr>
          <w:color w:val="000000" w:themeColor="text1"/>
          <w:sz w:val="20"/>
          <w:szCs w:val="20"/>
        </w:rPr>
        <w:t>Considering the importance of bio-availability, these can be considered for freshwater, marine and terrestrial compartments.  For soil, the ageing of copper was observed and allowed the derivation of a lab to field ageing factor</w:t>
      </w:r>
      <w:r w:rsidR="0040492E" w:rsidRPr="0098635C">
        <w:rPr>
          <w:color w:val="000000" w:themeColor="text1"/>
          <w:sz w:val="20"/>
          <w:szCs w:val="20"/>
        </w:rPr>
        <w:t>.</w:t>
      </w:r>
    </w:p>
    <w:p w14:paraId="78E18C0D" w14:textId="7233202C" w:rsidR="002D0C31" w:rsidRPr="0098635C" w:rsidRDefault="002D0C31" w:rsidP="00AD6371">
      <w:pPr>
        <w:rPr>
          <w:color w:val="000000" w:themeColor="text1"/>
          <w:sz w:val="20"/>
          <w:szCs w:val="20"/>
        </w:rPr>
      </w:pPr>
      <w:r w:rsidRPr="0098635C">
        <w:rPr>
          <w:color w:val="000000" w:themeColor="text1"/>
          <w:sz w:val="20"/>
          <w:szCs w:val="20"/>
        </w:rPr>
        <w:t>Copper and copper compounds may present a hazard for the environment based on the release/bioaccessibility of copper ions, which depends on the conditions of the receiving environment (pH, hardness, presence and type of organic matter, anions and competing cations). Adequate screening-level data are available to characterize the environmental hazard for the purposes of the Cooperative Chemicals Assessment Programme.</w:t>
      </w:r>
    </w:p>
    <w:p w14:paraId="1FC9B4DE" w14:textId="67A3ABC3" w:rsidR="00D05142" w:rsidRPr="0098635C" w:rsidRDefault="002D0C31" w:rsidP="00982513">
      <w:pPr>
        <w:rPr>
          <w:color w:val="000000" w:themeColor="text1"/>
          <w:sz w:val="20"/>
          <w:szCs w:val="20"/>
        </w:rPr>
      </w:pPr>
      <w:r w:rsidRPr="0098635C">
        <w:rPr>
          <w:color w:val="000000" w:themeColor="text1"/>
          <w:sz w:val="20"/>
          <w:szCs w:val="20"/>
        </w:rPr>
        <w:t>Note</w:t>
      </w:r>
      <w:r w:rsidR="00AF22A8" w:rsidRPr="0098635C">
        <w:rPr>
          <w:color w:val="000000" w:themeColor="text1"/>
          <w:sz w:val="20"/>
          <w:szCs w:val="20"/>
        </w:rPr>
        <w:t>s</w:t>
      </w:r>
      <w:r w:rsidRPr="0098635C">
        <w:rPr>
          <w:color w:val="000000" w:themeColor="text1"/>
          <w:sz w:val="20"/>
          <w:szCs w:val="20"/>
        </w:rPr>
        <w:t>: A voluntary risk assessment of copper and copper compounds was performed in the context of the EU Existing Substances Regulation</w:t>
      </w:r>
      <w:r w:rsidRPr="0098635C">
        <w:rPr>
          <w:rStyle w:val="FootnoteReference"/>
          <w:color w:val="000000" w:themeColor="text1"/>
          <w:sz w:val="20"/>
          <w:szCs w:val="20"/>
        </w:rPr>
        <w:footnoteReference w:id="33"/>
      </w:r>
      <w:r w:rsidRPr="0098635C">
        <w:rPr>
          <w:color w:val="000000" w:themeColor="text1"/>
          <w:sz w:val="20"/>
          <w:szCs w:val="20"/>
        </w:rPr>
        <w:t>.</w:t>
      </w:r>
      <w:r w:rsidR="00AF22A8" w:rsidRPr="0098635C">
        <w:rPr>
          <w:color w:val="000000" w:themeColor="text1"/>
          <w:sz w:val="20"/>
          <w:szCs w:val="20"/>
        </w:rPr>
        <w:t xml:space="preserve"> The data-review under EU biocidal and plant-protection products was not finalized in September 2014.</w:t>
      </w:r>
    </w:p>
    <w:p w14:paraId="182C680A" w14:textId="0D0145EA" w:rsidR="00FA6FE3" w:rsidRPr="0098635C" w:rsidRDefault="00662D63" w:rsidP="00FA6FE3">
      <w:pPr>
        <w:pStyle w:val="Default"/>
        <w:rPr>
          <w:color w:val="000000" w:themeColor="text1"/>
          <w:sz w:val="20"/>
          <w:szCs w:val="20"/>
          <w:u w:val="single"/>
        </w:rPr>
      </w:pPr>
      <w:r w:rsidRPr="0098635C">
        <w:rPr>
          <w:color w:val="000000" w:themeColor="text1"/>
          <w:sz w:val="20"/>
          <w:szCs w:val="20"/>
          <w:u w:val="single"/>
        </w:rPr>
        <w:t>H</w:t>
      </w:r>
      <w:r w:rsidR="00D05142" w:rsidRPr="0098635C">
        <w:rPr>
          <w:color w:val="000000" w:themeColor="text1"/>
          <w:sz w:val="20"/>
          <w:szCs w:val="20"/>
          <w:u w:val="single"/>
        </w:rPr>
        <w:t>uman health</w:t>
      </w:r>
    </w:p>
    <w:p w14:paraId="7AA014BB" w14:textId="77777777" w:rsidR="00662D63" w:rsidRPr="0098635C" w:rsidRDefault="00662D63" w:rsidP="00FA6FE3">
      <w:pPr>
        <w:pStyle w:val="Default"/>
        <w:rPr>
          <w:color w:val="000000" w:themeColor="text1"/>
          <w:sz w:val="20"/>
          <w:szCs w:val="20"/>
        </w:rPr>
      </w:pPr>
    </w:p>
    <w:p w14:paraId="6A48469D" w14:textId="3BF06F0A" w:rsidR="002D0C31" w:rsidRPr="0098635C" w:rsidRDefault="002D0C31" w:rsidP="002D0C31">
      <w:pPr>
        <w:rPr>
          <w:color w:val="000000" w:themeColor="text1"/>
          <w:sz w:val="20"/>
          <w:szCs w:val="20"/>
        </w:rPr>
      </w:pPr>
      <w:r w:rsidRPr="0098635C">
        <w:rPr>
          <w:color w:val="000000" w:themeColor="text1"/>
          <w:sz w:val="20"/>
          <w:szCs w:val="20"/>
        </w:rPr>
        <w:t xml:space="preserve">Three of the substances and one form of zero valent copper in this category present a hazard for human health, based on the release/bioaccessibility of copper ions (copper sulphate pentahydrate: severe eye irritation, acute toxicity (oral); copper(I) oxide: eye irritation, acute toxicity (oral and inhalation), repeated dose toxicity (inhalation); </w:t>
      </w:r>
      <w:r w:rsidR="00236182" w:rsidRPr="0098635C">
        <w:rPr>
          <w:color w:val="000000" w:themeColor="text1"/>
          <w:sz w:val="20"/>
          <w:szCs w:val="20"/>
        </w:rPr>
        <w:t>dicopper chloride trihydroxide</w:t>
      </w:r>
      <w:r w:rsidRPr="0098635C">
        <w:rPr>
          <w:color w:val="000000" w:themeColor="text1"/>
          <w:sz w:val="20"/>
          <w:szCs w:val="20"/>
        </w:rPr>
        <w:t>: acute toxicity (oral &amp; inhalation); copper flakes: acute toxicity (oral</w:t>
      </w:r>
      <w:r w:rsidR="0040492E" w:rsidRPr="0098635C">
        <w:rPr>
          <w:color w:val="000000" w:themeColor="text1"/>
          <w:sz w:val="20"/>
          <w:szCs w:val="20"/>
        </w:rPr>
        <w:t xml:space="preserve"> and inhalation</w:t>
      </w:r>
      <w:r w:rsidRPr="0098635C">
        <w:rPr>
          <w:color w:val="000000" w:themeColor="text1"/>
          <w:sz w:val="20"/>
          <w:szCs w:val="20"/>
        </w:rPr>
        <w:t>)</w:t>
      </w:r>
      <w:r w:rsidR="0040492E" w:rsidRPr="0098635C">
        <w:rPr>
          <w:color w:val="000000" w:themeColor="text1"/>
          <w:sz w:val="20"/>
          <w:szCs w:val="20"/>
        </w:rPr>
        <w:t xml:space="preserve"> and eye irritation</w:t>
      </w:r>
      <w:r w:rsidRPr="0098635C">
        <w:rPr>
          <w:color w:val="000000" w:themeColor="text1"/>
          <w:sz w:val="20"/>
          <w:szCs w:val="20"/>
        </w:rPr>
        <w:t xml:space="preserve">. </w:t>
      </w:r>
      <w:r w:rsidRPr="0098635C">
        <w:rPr>
          <w:rFonts w:eastAsia="Malgun Gothic"/>
          <w:color w:val="000000" w:themeColor="text1"/>
          <w:sz w:val="20"/>
          <w:szCs w:val="20"/>
          <w:lang w:eastAsia="ko-KR"/>
        </w:rPr>
        <w:t xml:space="preserve">Adequate screening-level data are available to characterize the human health hazard for the purposes of the </w:t>
      </w:r>
      <w:r w:rsidRPr="0098635C">
        <w:rPr>
          <w:color w:val="000000" w:themeColor="text1"/>
          <w:sz w:val="20"/>
          <w:szCs w:val="20"/>
          <w:lang w:eastAsia="ko-KR"/>
        </w:rPr>
        <w:t>Cooperative Chemicals Assessment Programme.</w:t>
      </w:r>
    </w:p>
    <w:p w14:paraId="5884B32E" w14:textId="14966939" w:rsidR="00345C2E" w:rsidRPr="0098635C" w:rsidRDefault="002D0C31" w:rsidP="002D0C31">
      <w:pPr>
        <w:pStyle w:val="Default"/>
        <w:rPr>
          <w:color w:val="000000" w:themeColor="text1"/>
          <w:sz w:val="20"/>
          <w:szCs w:val="20"/>
          <w:vertAlign w:val="superscript"/>
        </w:rPr>
      </w:pPr>
      <w:r w:rsidRPr="0098635C">
        <w:rPr>
          <w:color w:val="000000" w:themeColor="text1"/>
          <w:sz w:val="20"/>
          <w:szCs w:val="20"/>
        </w:rPr>
        <w:t>Note</w:t>
      </w:r>
      <w:r w:rsidR="00AF22A8" w:rsidRPr="0098635C">
        <w:rPr>
          <w:color w:val="000000" w:themeColor="text1"/>
          <w:sz w:val="20"/>
          <w:szCs w:val="20"/>
        </w:rPr>
        <w:t>s</w:t>
      </w:r>
      <w:r w:rsidRPr="0098635C">
        <w:rPr>
          <w:color w:val="000000" w:themeColor="text1"/>
          <w:sz w:val="20"/>
          <w:szCs w:val="20"/>
        </w:rPr>
        <w:t>: A voluntary risk assessment of copper and copper compounds was performed in the context of the EU Existing Substances Regulation</w:t>
      </w:r>
      <w:r w:rsidRPr="0098635C">
        <w:rPr>
          <w:color w:val="000000" w:themeColor="text1"/>
          <w:sz w:val="20"/>
          <w:szCs w:val="20"/>
          <w:vertAlign w:val="superscript"/>
        </w:rPr>
        <w:t>9</w:t>
      </w:r>
      <w:r w:rsidR="00AF22A8" w:rsidRPr="0098635C">
        <w:rPr>
          <w:color w:val="000000" w:themeColor="text1"/>
          <w:sz w:val="20"/>
          <w:szCs w:val="20"/>
          <w:vertAlign w:val="superscript"/>
        </w:rPr>
        <w:t xml:space="preserve"> </w:t>
      </w:r>
      <w:r w:rsidR="00AF22A8" w:rsidRPr="0098635C">
        <w:rPr>
          <w:color w:val="000000" w:themeColor="text1"/>
          <w:sz w:val="20"/>
          <w:szCs w:val="20"/>
        </w:rPr>
        <w:t>.The data-review under EU biocidal and plant-protection products was not finalized in September 2014.</w:t>
      </w:r>
    </w:p>
    <w:p w14:paraId="618B1FAB" w14:textId="77777777" w:rsidR="00EF5F48" w:rsidRPr="0098635C" w:rsidRDefault="00EF5F48" w:rsidP="00FA6FE3">
      <w:pPr>
        <w:pStyle w:val="Default"/>
        <w:rPr>
          <w:color w:val="000000" w:themeColor="text1"/>
          <w:sz w:val="20"/>
          <w:szCs w:val="20"/>
        </w:rPr>
      </w:pPr>
    </w:p>
    <w:p w14:paraId="314AD696" w14:textId="77777777" w:rsidR="00B34716" w:rsidRPr="0098635C" w:rsidRDefault="00B34716" w:rsidP="00FA6FE3">
      <w:pPr>
        <w:pStyle w:val="BodyText"/>
        <w:rPr>
          <w:color w:val="000000" w:themeColor="text1"/>
          <w:sz w:val="20"/>
        </w:rPr>
      </w:pPr>
    </w:p>
    <w:p w14:paraId="1F170ED0" w14:textId="77777777" w:rsidR="00A018B3" w:rsidRPr="0098635C" w:rsidRDefault="00A018B3">
      <w:pPr>
        <w:pStyle w:val="BodyText"/>
        <w:rPr>
          <w:color w:val="000000" w:themeColor="text1"/>
          <w:sz w:val="20"/>
        </w:rPr>
      </w:pPr>
    </w:p>
    <w:p w14:paraId="529FFEA1" w14:textId="77777777" w:rsidR="001B0274" w:rsidRPr="0098635C" w:rsidRDefault="001B0274" w:rsidP="001B0274">
      <w:pPr>
        <w:pStyle w:val="BodyText"/>
        <w:rPr>
          <w:color w:val="000000" w:themeColor="text1"/>
          <w:sz w:val="20"/>
        </w:rPr>
      </w:pPr>
      <w:bookmarkStart w:id="2015" w:name="_Toc32726044"/>
      <w:bookmarkStart w:id="2016" w:name="_Toc32727227"/>
    </w:p>
    <w:p w14:paraId="5EF841C0" w14:textId="77777777" w:rsidR="001B0274" w:rsidRPr="0098635C" w:rsidRDefault="001B0274" w:rsidP="001B0274">
      <w:pPr>
        <w:pStyle w:val="BodyText"/>
        <w:rPr>
          <w:color w:val="000000" w:themeColor="text1"/>
          <w:sz w:val="20"/>
        </w:rPr>
        <w:sectPr w:rsidR="001B0274" w:rsidRPr="0098635C" w:rsidSect="00933D01">
          <w:pgSz w:w="11907" w:h="16840" w:code="9"/>
          <w:pgMar w:top="1418" w:right="1134" w:bottom="1134" w:left="1134" w:header="737" w:footer="737" w:gutter="0"/>
          <w:cols w:space="720"/>
          <w:docGrid w:linePitch="360"/>
        </w:sectPr>
      </w:pPr>
    </w:p>
    <w:p w14:paraId="6D8332A0" w14:textId="793E29FC" w:rsidR="00C24197" w:rsidRPr="0098635C" w:rsidRDefault="00C24197" w:rsidP="00C24197">
      <w:pPr>
        <w:pStyle w:val="Heading1"/>
        <w:spacing w:before="0"/>
        <w:rPr>
          <w:color w:val="000000" w:themeColor="text1"/>
          <w:sz w:val="20"/>
        </w:rPr>
      </w:pPr>
      <w:bookmarkStart w:id="2017" w:name="_Toc472000400"/>
      <w:bookmarkStart w:id="2018" w:name="_Toc472251760"/>
      <w:bookmarkStart w:id="2019" w:name="_Toc43868675"/>
      <w:bookmarkStart w:id="2020" w:name="_Toc200358260"/>
      <w:bookmarkStart w:id="2021" w:name="_Toc200359276"/>
      <w:r w:rsidRPr="0098635C">
        <w:rPr>
          <w:color w:val="000000" w:themeColor="text1"/>
          <w:sz w:val="20"/>
        </w:rPr>
        <w:lastRenderedPageBreak/>
        <w:t>references</w:t>
      </w:r>
      <w:bookmarkEnd w:id="2017"/>
      <w:bookmarkEnd w:id="2018"/>
    </w:p>
    <w:p w14:paraId="3CBE9790" w14:textId="77777777" w:rsidR="00FA4951" w:rsidRPr="0098635C" w:rsidRDefault="00FA4951" w:rsidP="00926614">
      <w:pPr>
        <w:pStyle w:val="BodyText"/>
        <w:spacing w:after="0"/>
        <w:rPr>
          <w:color w:val="000000" w:themeColor="text1"/>
          <w:sz w:val="20"/>
        </w:rPr>
      </w:pPr>
    </w:p>
    <w:p w14:paraId="4F5E13D3" w14:textId="6663BF19" w:rsidR="00926614" w:rsidRPr="0098635C" w:rsidRDefault="00847893" w:rsidP="00847893">
      <w:pPr>
        <w:pStyle w:val="BodyText"/>
        <w:spacing w:after="0"/>
        <w:rPr>
          <w:color w:val="000000" w:themeColor="text1"/>
          <w:sz w:val="20"/>
        </w:rPr>
      </w:pPr>
      <w:r w:rsidRPr="0098635C">
        <w:rPr>
          <w:color w:val="000000" w:themeColor="text1"/>
          <w:sz w:val="20"/>
        </w:rPr>
        <w:t>Note: Several studies are “unpublished”. For more information on ownership, please contact K. Lacasse at ECI or Carol Mackie at Regulatory Compliance Limited</w:t>
      </w:r>
    </w:p>
    <w:p w14:paraId="1BA71819" w14:textId="77777777" w:rsidR="00847893" w:rsidRPr="0098635C" w:rsidRDefault="00847893" w:rsidP="00847893">
      <w:pPr>
        <w:pStyle w:val="BodyText"/>
        <w:spacing w:after="0"/>
        <w:rPr>
          <w:color w:val="000000" w:themeColor="text1"/>
          <w:sz w:val="20"/>
        </w:rPr>
      </w:pPr>
    </w:p>
    <w:p w14:paraId="2BC018A7" w14:textId="44627C1B" w:rsidR="00926614" w:rsidRPr="0098635C" w:rsidRDefault="00926614" w:rsidP="006E5329">
      <w:pPr>
        <w:pStyle w:val="BodyText"/>
        <w:spacing w:after="0"/>
        <w:ind w:left="567" w:hanging="567"/>
        <w:rPr>
          <w:color w:val="000000" w:themeColor="text1"/>
          <w:sz w:val="20"/>
        </w:rPr>
      </w:pPr>
    </w:p>
    <w:p w14:paraId="5D3A04DB" w14:textId="4C95D959"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Abrahams PW, Thornton I, 1994. The contamination of agricultural land in the metalliferous province of southwest England – implications to livestock. Agric.Ecosyst.Environ. 48:125-137. </w:t>
      </w:r>
    </w:p>
    <w:p w14:paraId="15D93295"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Aburto EM, Cribb AE, Fuentealba IC, Ikede BO, Kibenge FS, Markham F, 2001. Morphological and biochemical assessment of the liver response to excess dietary copper in Fischer 344 rats. Canadian J.Vet.Res. 65:97-103.</w:t>
      </w:r>
    </w:p>
    <w:p w14:paraId="48763C9E"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Adams WJ et al, 2003. Evaluating copper bioaccumulation in aquatic risk assessments. Cobre 2003 - Proceedings of the Symposium, Dec 2003, Santiago, 1-11. </w:t>
      </w:r>
    </w:p>
    <w:p w14:paraId="7B0065F7"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Adamson M, Reiner B, Olson JL, Goodman Z, Plotnick L, Bernardini I, Gahl WA, 1992. Indian childhood cirrhosis in an American child. Gastroenterol. 102:1771-1777.</w:t>
      </w:r>
    </w:p>
    <w:p w14:paraId="5954BC80"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Agarwal K, Sharma A, Talukder G, 1990. Clastogenic effects of copper sulphate on the bone marrow chromosomes of mice in vivo. Mutation Res. 243:1-6.</w:t>
      </w:r>
    </w:p>
    <w:p w14:paraId="22D05970"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Ahsanullah M, Ying W, 1995. Toxic effects of dissolved copper on </w:t>
      </w:r>
      <w:r w:rsidRPr="0098635C">
        <w:rPr>
          <w:i/>
          <w:color w:val="000000" w:themeColor="text1"/>
          <w:sz w:val="20"/>
        </w:rPr>
        <w:t>Penaeus mergulensis</w:t>
      </w:r>
      <w:r w:rsidRPr="0098635C">
        <w:rPr>
          <w:color w:val="000000" w:themeColor="text1"/>
          <w:sz w:val="20"/>
        </w:rPr>
        <w:t xml:space="preserve"> and </w:t>
      </w:r>
      <w:r w:rsidRPr="0098635C">
        <w:rPr>
          <w:i/>
          <w:color w:val="000000" w:themeColor="text1"/>
          <w:sz w:val="20"/>
        </w:rPr>
        <w:t>Penaeus monodon</w:t>
      </w:r>
      <w:r w:rsidRPr="0098635C">
        <w:rPr>
          <w:color w:val="000000" w:themeColor="text1"/>
          <w:sz w:val="20"/>
        </w:rPr>
        <w:t xml:space="preserve">. Bull.Environ.Contam.Toxicol. 55:81-88. </w:t>
      </w:r>
    </w:p>
    <w:p w14:paraId="2E03D67C"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Ali NA et al, 2004. Phytotoxicity and bioaccumulation of copper and chromium using barley (</w:t>
      </w:r>
      <w:r w:rsidRPr="0098635C">
        <w:rPr>
          <w:i/>
          <w:color w:val="000000" w:themeColor="text1"/>
          <w:sz w:val="20"/>
        </w:rPr>
        <w:t>Hordeum vulgare</w:t>
      </w:r>
      <w:r w:rsidRPr="0098635C">
        <w:rPr>
          <w:color w:val="000000" w:themeColor="text1"/>
          <w:sz w:val="20"/>
        </w:rPr>
        <w:t xml:space="preserve"> L.) in spiked artificial and natural forest soils. Ecotox.Environ.Safe. 57(3):363-374. </w:t>
      </w:r>
    </w:p>
    <w:p w14:paraId="644820BF" w14:textId="77777777" w:rsidR="00C24197" w:rsidRPr="0098635C" w:rsidRDefault="00C24197" w:rsidP="006E5329">
      <w:pPr>
        <w:pStyle w:val="BodyText"/>
        <w:spacing w:after="0"/>
        <w:ind w:left="567" w:hanging="567"/>
        <w:rPr>
          <w:color w:val="000000" w:themeColor="text1"/>
          <w:sz w:val="20"/>
          <w:lang w:val="fr-FR"/>
        </w:rPr>
      </w:pPr>
      <w:r w:rsidRPr="0098635C">
        <w:rPr>
          <w:color w:val="000000" w:themeColor="text1"/>
          <w:sz w:val="20"/>
        </w:rPr>
        <w:t xml:space="preserve">Allen, MM, Barber RS, Braude R, Mitchell KG, 1961. Further studies on various aspects of the use of high-copper supplements for growing pigs. </w:t>
      </w:r>
      <w:r w:rsidRPr="0098635C">
        <w:rPr>
          <w:color w:val="000000" w:themeColor="text1"/>
          <w:sz w:val="20"/>
          <w:lang w:val="fr-FR"/>
        </w:rPr>
        <w:t>Brit.J.Nutr. 15:507-522.</w:t>
      </w:r>
    </w:p>
    <w:p w14:paraId="3E1D2717"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fr-FR"/>
        </w:rPr>
        <w:t xml:space="preserve">Allinson G, Laurenson LJB, Pistone G, Stagnitti F, Jones PL, 2000. </w:t>
      </w:r>
      <w:r w:rsidRPr="0098635C">
        <w:rPr>
          <w:color w:val="000000" w:themeColor="text1"/>
          <w:sz w:val="20"/>
        </w:rPr>
        <w:t xml:space="preserve">Effects of dietary copper on the Australian freshwater crayfish </w:t>
      </w:r>
      <w:r w:rsidRPr="0098635C">
        <w:rPr>
          <w:i/>
          <w:color w:val="000000" w:themeColor="text1"/>
          <w:sz w:val="20"/>
        </w:rPr>
        <w:t>Cherax destructor</w:t>
      </w:r>
      <w:r w:rsidRPr="0098635C">
        <w:rPr>
          <w:color w:val="000000" w:themeColor="text1"/>
          <w:sz w:val="20"/>
        </w:rPr>
        <w:t xml:space="preserve">. Ecotox.Safe. 46:117-123 </w:t>
      </w:r>
    </w:p>
    <w:p w14:paraId="7F715FD0"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Alva AK, Graham JH, Tucker DPH, 1993. Role of calcium in amelioration of copper phytotoxicity for citrus. Soil Sci. 155:211–218.</w:t>
      </w:r>
    </w:p>
    <w:p w14:paraId="3B75B330"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Amiard JC, Amiard-Triquet C, Metayer C, 1985. Experimental study of bioaccumulation, toxicity and regulation of some trace metals in various estuarine and coastal organisms. Symp.Biologica.Hung. 29:313-323. </w:t>
      </w:r>
    </w:p>
    <w:p w14:paraId="2D67FF65"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Anderson BS, Hunt JW, Turpen SL, Coulon AR, Martin M, 1990. Copper toxicity to microscopic stages of giant kelp </w:t>
      </w:r>
      <w:r w:rsidRPr="0098635C">
        <w:rPr>
          <w:i/>
          <w:color w:val="000000" w:themeColor="text1"/>
          <w:sz w:val="20"/>
        </w:rPr>
        <w:t>Macrocystis pyrifera</w:t>
      </w:r>
      <w:r w:rsidRPr="0098635C">
        <w:rPr>
          <w:color w:val="000000" w:themeColor="text1"/>
          <w:sz w:val="20"/>
        </w:rPr>
        <w:t xml:space="preserve">: interpopulation comparisons and temporal variability. Mar.Ecol.Prog.Ser. 68:147-156. </w:t>
      </w:r>
    </w:p>
    <w:p w14:paraId="09BDA00F"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Anderson BS, Middaugh, DP, Hunt JW, Turpen SL, 1991. Copper toxicity to sperm, embryos, and larvae of|topsmelt </w:t>
      </w:r>
      <w:r w:rsidRPr="0098635C">
        <w:rPr>
          <w:i/>
          <w:color w:val="000000" w:themeColor="text1"/>
          <w:sz w:val="20"/>
        </w:rPr>
        <w:t>Atherinops affinis</w:t>
      </w:r>
      <w:r w:rsidRPr="0098635C">
        <w:rPr>
          <w:color w:val="000000" w:themeColor="text1"/>
          <w:sz w:val="20"/>
        </w:rPr>
        <w:t xml:space="preserve">, with notes on induced spawning. Mar.Environ.Res. 31:17-35. </w:t>
      </w:r>
    </w:p>
    <w:p w14:paraId="4AB2152C"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Aoyagi S, Baker DH, 1993. Bioavailability of copper in analytical-grade and feed grade inorganic copper sources when fed to provide copper at levels below the chick's requirement. Poultry Science 72:1075-1083.</w:t>
      </w:r>
    </w:p>
    <w:p w14:paraId="2CE31BE4"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Araki S, Murata K, Aono H, 1987. Central and peripheral nervous system dysfunction in workers exposed to lead, zinc and copper. A follow-up study of visual and somatosensory evoked potentials. Int.Arch.Occup.Environ.Health 59:177-187.</w:t>
      </w:r>
    </w:p>
    <w:p w14:paraId="1FB1CAAE"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Araki S, Murata K, Uchida E, Aono H, Ozawa H, 1993. Radial and median nerve conduction velocities in workers exposed to lead, copper, and zinc: a follow-up study for 2 years.  Environ.Res. 61;308-316.</w:t>
      </w:r>
    </w:p>
    <w:p w14:paraId="02B92851"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Araya M, Chen B, Klevay LM, Strain JJ, Johnson L-A, Robson P, Shi W, Nielsen F, Zhu H, Olivares M, Pizarro F, Haber LT, 2003. Confirmation of an acute no-observed-adverse-effect and low-observed- adverse-effect level for copper in bottled drinking water in a multisite international study. Reg.Tox.Pharmacol. 38:389-399.</w:t>
      </w:r>
    </w:p>
    <w:p w14:paraId="144C5A42" w14:textId="77777777" w:rsidR="00C24197" w:rsidRPr="0098635C" w:rsidRDefault="00C24197" w:rsidP="006E5329">
      <w:pPr>
        <w:pStyle w:val="BodyText"/>
        <w:spacing w:after="0"/>
        <w:ind w:left="567" w:hanging="567"/>
        <w:rPr>
          <w:color w:val="000000" w:themeColor="text1"/>
          <w:sz w:val="20"/>
          <w:lang w:val="fr-FR"/>
        </w:rPr>
      </w:pPr>
      <w:r w:rsidRPr="0098635C">
        <w:rPr>
          <w:color w:val="000000" w:themeColor="text1"/>
          <w:sz w:val="20"/>
        </w:rPr>
        <w:t xml:space="preserve">Araya M, McGoldrick MC, Klevay LM, Strain JJ, Robson P, Nielsen F, Olivares M, Pizarro F, Johnson L, Poirier K, 2001. Determination of an acute no-observed-adverse- effect level (NOAEL) for copper in water. </w:t>
      </w:r>
      <w:r w:rsidRPr="0098635C">
        <w:rPr>
          <w:color w:val="000000" w:themeColor="text1"/>
          <w:sz w:val="20"/>
          <w:lang w:val="fr-FR"/>
        </w:rPr>
        <w:t>Reg.Tox.Pharmacol. 34:137-145.</w:t>
      </w:r>
    </w:p>
    <w:p w14:paraId="50C17BD6" w14:textId="3C9E1C26" w:rsidR="00F674D7" w:rsidRPr="0098635C" w:rsidRDefault="00C24197" w:rsidP="006E5329">
      <w:pPr>
        <w:pStyle w:val="BodyText"/>
        <w:spacing w:after="0"/>
        <w:ind w:left="567" w:hanging="567"/>
        <w:rPr>
          <w:rFonts w:eastAsiaTheme="minorEastAsia"/>
          <w:bCs/>
          <w:color w:val="000000" w:themeColor="text1"/>
          <w:sz w:val="20"/>
          <w:lang w:eastAsia="en-GB"/>
        </w:rPr>
      </w:pPr>
      <w:r w:rsidRPr="0098635C">
        <w:rPr>
          <w:color w:val="000000" w:themeColor="text1"/>
          <w:sz w:val="20"/>
          <w:lang w:val="fr-FR"/>
        </w:rPr>
        <w:t xml:space="preserve">Araya M, Olivares M, Pizarro F, Llanos A, Figueroa G, Uauy R, 2004. </w:t>
      </w:r>
      <w:r w:rsidRPr="0098635C">
        <w:rPr>
          <w:color w:val="000000" w:themeColor="text1"/>
          <w:sz w:val="20"/>
        </w:rPr>
        <w:t>Community-based randomized double-blind study of gastrointestinal effects and copper exposure in drinking water. Environ.Health Persp. 1068-1073.</w:t>
      </w:r>
      <w:bookmarkStart w:id="2022" w:name="d0e65148"/>
      <w:r w:rsidR="003D429A" w:rsidRPr="0098635C">
        <w:rPr>
          <w:rFonts w:eastAsiaTheme="minorEastAsia"/>
          <w:bCs/>
          <w:color w:val="000000" w:themeColor="text1"/>
          <w:sz w:val="20"/>
          <w:lang w:eastAsia="en-GB"/>
        </w:rPr>
        <w:t>Arnold W. Ray, J. S. Cotsifas, D. S. Smith, S. Le Page and K. M. Gruenthal (2008). A comparison of the copper sensitivity of two economically important saltwater mussel species and a review of previously reported copper toxicity data for mussels: important implications for determining future ambient copper saltwater criteria for the USA. published online in Wiley InterScience (www. interscience. wiley. com).</w:t>
      </w:r>
      <w:bookmarkStart w:id="2023" w:name="d0e65150"/>
      <w:bookmarkEnd w:id="2022"/>
    </w:p>
    <w:p w14:paraId="5F1254D3" w14:textId="29B8A4D9" w:rsidR="003D429A" w:rsidRPr="0098635C" w:rsidRDefault="003D429A" w:rsidP="006E5329">
      <w:pPr>
        <w:pStyle w:val="BodyText"/>
        <w:spacing w:after="0"/>
        <w:ind w:left="567" w:hanging="567"/>
        <w:rPr>
          <w:color w:val="000000" w:themeColor="text1"/>
          <w:sz w:val="20"/>
        </w:rPr>
      </w:pPr>
      <w:r w:rsidRPr="0098635C">
        <w:rPr>
          <w:rFonts w:eastAsiaTheme="minorEastAsia"/>
          <w:bCs/>
          <w:color w:val="000000" w:themeColor="text1"/>
          <w:sz w:val="20"/>
          <w:lang w:eastAsia="en-GB"/>
        </w:rPr>
        <w:t>Arnold W. Ray; J. S. Cotsifas, R. S. Ogle, S. G. S. De Palma, D. S. Smith (2010). A comparison of the copper sensitivity of six invertebrate species in ambient salt water of varying dissolved organic matter concentrations. Env. Tox. and Chem. Vol.29, No2, pp 311-319.</w:t>
      </w:r>
      <w:bookmarkEnd w:id="2023"/>
    </w:p>
    <w:p w14:paraId="44270D07"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Arshad M, Frankenberger WT, 1991. Microbial production of plant hormones. Plant Soil 133:1-8.</w:t>
      </w:r>
    </w:p>
    <w:p w14:paraId="292B99D7"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Arthur JW, Leonard EN, 1970. Effects of copper on </w:t>
      </w:r>
      <w:r w:rsidRPr="0098635C">
        <w:rPr>
          <w:i/>
          <w:color w:val="000000" w:themeColor="text1"/>
          <w:sz w:val="20"/>
        </w:rPr>
        <w:t>Gammarus pseudolimnaeus</w:t>
      </w:r>
      <w:r w:rsidRPr="0098635C">
        <w:rPr>
          <w:color w:val="000000" w:themeColor="text1"/>
          <w:sz w:val="20"/>
        </w:rPr>
        <w:t xml:space="preserve">, </w:t>
      </w:r>
      <w:r w:rsidRPr="0098635C">
        <w:rPr>
          <w:i/>
          <w:color w:val="000000" w:themeColor="text1"/>
          <w:sz w:val="20"/>
        </w:rPr>
        <w:t>Physa integra</w:t>
      </w:r>
      <w:r w:rsidRPr="0098635C">
        <w:rPr>
          <w:color w:val="000000" w:themeColor="text1"/>
          <w:sz w:val="20"/>
        </w:rPr>
        <w:t xml:space="preserve"> and </w:t>
      </w:r>
      <w:r w:rsidRPr="0098635C">
        <w:rPr>
          <w:i/>
          <w:color w:val="000000" w:themeColor="text1"/>
          <w:sz w:val="20"/>
        </w:rPr>
        <w:t>Campeloma decisum</w:t>
      </w:r>
      <w:r w:rsidRPr="0098635C">
        <w:rPr>
          <w:color w:val="000000" w:themeColor="text1"/>
          <w:sz w:val="20"/>
        </w:rPr>
        <w:t xml:space="preserve"> in soft water. J.Fish.Res.Bd.Canada. 27:1277-1283. </w:t>
      </w:r>
    </w:p>
    <w:p w14:paraId="08B98DD9"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Aschengrau A, Zierler S, Cohen A, 1989. Quality of community drinking water and the occurrence of spontaneous abortion. Arch.Environ.Health: An International Journal 44(5):283-290.</w:t>
      </w:r>
    </w:p>
    <w:p w14:paraId="51836EE9"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lastRenderedPageBreak/>
        <w:t>Aschengrau A, Zierler S, Cohen A, 1993. Quality of community drinking water and the occurrence of late adverse pregnancy outcomes. Arch.Environ.Health 48:105-113.</w:t>
      </w:r>
    </w:p>
    <w:p w14:paraId="3A42B983"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Asgharian, Freijer, 1999. Multiple-path particle deposition model (MPPDep), Chemical Industry Institute of Toxicology (CIIT), USA; National Institute of Public Health and the Environment (RIVM), the Netherlands, and The Ministry of Housing, Spatial Planning and the Environment, the Netherlands, version 1.11</w:t>
      </w:r>
    </w:p>
    <w:p w14:paraId="2CD39A67"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Askergren A, Mellgren M, 1975. Changes in the nasal mucosa after exposure to copper salt dust. A preliminary report. Scand.J.Work Environ.Health 1:45-49.</w:t>
      </w:r>
    </w:p>
    <w:p w14:paraId="4CD723A7"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Augustsson AK, Rundgren S, 1998. The enchytraeid </w:t>
      </w:r>
      <w:r w:rsidRPr="0098635C">
        <w:rPr>
          <w:i/>
          <w:color w:val="000000" w:themeColor="text1"/>
          <w:sz w:val="20"/>
        </w:rPr>
        <w:t>Cognettia sphagnetorum</w:t>
      </w:r>
      <w:r w:rsidRPr="0098635C">
        <w:rPr>
          <w:color w:val="000000" w:themeColor="text1"/>
          <w:sz w:val="20"/>
        </w:rPr>
        <w:t xml:space="preserve"> in risk assessment: advantages and disadvantages. Ambio 27:62-69. </w:t>
      </w:r>
    </w:p>
    <w:p w14:paraId="1CB81D52" w14:textId="5428AAA2" w:rsidR="00F674D7" w:rsidRPr="0098635C" w:rsidRDefault="00C24197" w:rsidP="006E5329">
      <w:pPr>
        <w:pStyle w:val="BodyText"/>
        <w:spacing w:after="0"/>
        <w:ind w:left="567" w:hanging="567"/>
        <w:rPr>
          <w:color w:val="000000" w:themeColor="text1"/>
          <w:sz w:val="20"/>
        </w:rPr>
      </w:pPr>
      <w:r w:rsidRPr="0098635C">
        <w:rPr>
          <w:color w:val="000000" w:themeColor="text1"/>
          <w:sz w:val="20"/>
        </w:rPr>
        <w:t>Aulerich RJ, Ringer RK, Bleavins MR, Napolitano A, 1982. Effects of supplemental dietary copper on growth, reproductive performance and kit survival of standard dark mink and the acute toxicity of copper to mink. J.Animal Sci. 55:337-343.</w:t>
      </w:r>
    </w:p>
    <w:p w14:paraId="75A61F4D" w14:textId="77777777" w:rsidR="003D429A" w:rsidRPr="0098635C" w:rsidRDefault="003D429A" w:rsidP="00926614">
      <w:pPr>
        <w:pStyle w:val="BodyText"/>
        <w:spacing w:after="0"/>
        <w:ind w:left="567" w:hanging="567"/>
        <w:rPr>
          <w:color w:val="000000" w:themeColor="text1"/>
          <w:sz w:val="20"/>
        </w:rPr>
      </w:pPr>
      <w:bookmarkStart w:id="2024" w:name="d0e65172"/>
      <w:r w:rsidRPr="0098635C">
        <w:rPr>
          <w:rFonts w:eastAsiaTheme="minorEastAsia"/>
          <w:color w:val="000000" w:themeColor="text1"/>
          <w:sz w:val="20"/>
          <w:lang w:eastAsia="en-GB"/>
        </w:rPr>
        <w:t>Baker DH, Ammerman CB, (1995). Copper bioavailability. In: Ammerman CB, Baker DH, Lewis AJ (eds). Bioavailability of nutrients for animals: Amino acids, minerals and vitamins. Academic Press, Inc., pp. 127-156.</w:t>
      </w:r>
    </w:p>
    <w:bookmarkEnd w:id="2024"/>
    <w:p w14:paraId="4457DFC9" w14:textId="6B7DFA4A" w:rsidR="00F674D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Baker DH, Odle J, Funk MA, Wieland TM, 1991. Research note: Bioavailability of copper in cupric oxide, cuprous oxide, and in a copper-lysine complex. Poultry Sci. 70:177-179. </w:t>
      </w:r>
    </w:p>
    <w:p w14:paraId="1278F209" w14:textId="77777777" w:rsidR="003D429A" w:rsidRPr="0098635C" w:rsidRDefault="003D429A" w:rsidP="00926614">
      <w:pPr>
        <w:pStyle w:val="BodyText"/>
        <w:spacing w:after="0"/>
        <w:ind w:left="567" w:hanging="567"/>
        <w:rPr>
          <w:color w:val="000000" w:themeColor="text1"/>
          <w:sz w:val="20"/>
        </w:rPr>
      </w:pPr>
      <w:bookmarkStart w:id="2025" w:name="d0e65170"/>
      <w:r w:rsidRPr="0098635C">
        <w:rPr>
          <w:rFonts w:eastAsiaTheme="minorEastAsia"/>
          <w:color w:val="000000" w:themeColor="text1"/>
          <w:sz w:val="20"/>
          <w:lang w:eastAsia="en-GB"/>
        </w:rPr>
        <w:t>Badilla-Ohlbaum, R. et al. (2001). Relationship between soil copper content and copper content of selected crop plants in central Chile. Environ Toxicol Chem 2001; 20(12):2749-57.</w:t>
      </w:r>
    </w:p>
    <w:bookmarkEnd w:id="2025"/>
    <w:p w14:paraId="5D2C442B"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Ballatyne M, 1994. Study to determine the ability of copper II sulphate pentahydrate to induce mutation in five histidine-requiring strains of </w:t>
      </w:r>
      <w:r w:rsidRPr="0098635C">
        <w:rPr>
          <w:i/>
          <w:color w:val="000000" w:themeColor="text1"/>
          <w:sz w:val="20"/>
        </w:rPr>
        <w:t>Salmonella typhimurium</w:t>
      </w:r>
      <w:r w:rsidRPr="0098635C">
        <w:rPr>
          <w:color w:val="000000" w:themeColor="text1"/>
          <w:sz w:val="20"/>
        </w:rPr>
        <w:t>. Hazleton Europe. Report No. 456/31. Unpublished.</w:t>
      </w:r>
    </w:p>
    <w:p w14:paraId="063FFC18" w14:textId="77777777" w:rsidR="00C24197" w:rsidRPr="0098635C" w:rsidRDefault="00C24197" w:rsidP="006E5329">
      <w:pPr>
        <w:pStyle w:val="BodyText"/>
        <w:spacing w:after="0"/>
        <w:ind w:left="567" w:hanging="567"/>
        <w:rPr>
          <w:color w:val="000000" w:themeColor="text1"/>
          <w:sz w:val="20"/>
          <w:lang w:val="it-IT"/>
        </w:rPr>
      </w:pPr>
      <w:r w:rsidRPr="0098635C">
        <w:rPr>
          <w:color w:val="000000" w:themeColor="text1"/>
          <w:sz w:val="20"/>
        </w:rPr>
        <w:t xml:space="preserve">Barash A, Shoham Z, Borenstein R, Nabel L, 1990. Development of human embryos in the presence of a copper intrauterine device. </w:t>
      </w:r>
      <w:r w:rsidRPr="0098635C">
        <w:rPr>
          <w:color w:val="000000" w:themeColor="text1"/>
          <w:sz w:val="20"/>
          <w:lang w:val="it-IT"/>
        </w:rPr>
        <w:t>Gynecol.Obstet.Invest. 29:203-206.</w:t>
      </w:r>
    </w:p>
    <w:p w14:paraId="5FB6C95B"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it-IT"/>
        </w:rPr>
        <w:t xml:space="preserve">Barkoff JR, 1976. Urticaria secondary to a copper intrauterine device. </w:t>
      </w:r>
      <w:r w:rsidRPr="0098635C">
        <w:rPr>
          <w:color w:val="000000" w:themeColor="text1"/>
          <w:sz w:val="20"/>
        </w:rPr>
        <w:t>Int.J.Dermatol. 15, 594-595.</w:t>
      </w:r>
    </w:p>
    <w:p w14:paraId="0257A172"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Barlow SM, Knight AF, House I, 1981. Intrauterine exposure to copper IUDs and prenatal development in the rat. J.Repro.Fertility 62:123-30.</w:t>
      </w:r>
    </w:p>
    <w:p w14:paraId="76D94FC7"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Barranco VP, 1972. Eczematous dermatitis caused by internal exposure to copper. Arch.Derm. 106:386-387.</w:t>
      </w:r>
    </w:p>
    <w:p w14:paraId="42055C8A" w14:textId="6326988D" w:rsidR="006A138F" w:rsidRPr="0098635C" w:rsidRDefault="006A138F" w:rsidP="006A138F">
      <w:pPr>
        <w:pStyle w:val="BodyText"/>
        <w:spacing w:after="0"/>
        <w:ind w:left="567" w:hanging="567"/>
        <w:rPr>
          <w:color w:val="000000" w:themeColor="text1"/>
          <w:sz w:val="20"/>
        </w:rPr>
      </w:pPr>
      <w:r w:rsidRPr="0098635C">
        <w:rPr>
          <w:color w:val="000000" w:themeColor="text1"/>
          <w:sz w:val="20"/>
        </w:rPr>
        <w:t>Battersby R., 2004. Summary report - Dustiness and particle size testing of copper and copper compounds. EBRC Consulting GmbH, Hannover, 20.11.2004. Unpublished.</w:t>
      </w:r>
    </w:p>
    <w:p w14:paraId="09D67C6F"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Barwick M, Maher W, 2003. Biotransference and biomagnification of selenium copper, cadmium, zinc, arsenic and lead in a temperate seagrass ecosystem from Lake Macquarie Estuary, NSW, Australia. Mar.Environ.Res. 56:471-502. </w:t>
      </w:r>
    </w:p>
    <w:p w14:paraId="0470718A" w14:textId="77777777" w:rsidR="00C24197" w:rsidRPr="0098635C" w:rsidRDefault="00C24197" w:rsidP="006E5329">
      <w:pPr>
        <w:pStyle w:val="BodyText"/>
        <w:spacing w:after="0"/>
        <w:ind w:left="567" w:hanging="567"/>
        <w:rPr>
          <w:color w:val="000000" w:themeColor="text1"/>
          <w:sz w:val="20"/>
          <w:lang w:val="de-DE"/>
        </w:rPr>
      </w:pPr>
      <w:r w:rsidRPr="0098635C">
        <w:rPr>
          <w:color w:val="000000" w:themeColor="text1"/>
          <w:sz w:val="20"/>
        </w:rPr>
        <w:t xml:space="preserve">Bechmann RK, 1994. Use of life tables and LC50 tests to evaluate chronic and acute toxicity effects of copper on the marine copepod </w:t>
      </w:r>
      <w:r w:rsidRPr="0098635C">
        <w:rPr>
          <w:i/>
          <w:color w:val="000000" w:themeColor="text1"/>
          <w:sz w:val="20"/>
        </w:rPr>
        <w:t>Tisbe furcata</w:t>
      </w:r>
      <w:r w:rsidRPr="0098635C">
        <w:rPr>
          <w:color w:val="000000" w:themeColor="text1"/>
          <w:sz w:val="20"/>
        </w:rPr>
        <w:t xml:space="preserve"> (Baird). </w:t>
      </w:r>
      <w:r w:rsidRPr="0098635C">
        <w:rPr>
          <w:color w:val="000000" w:themeColor="text1"/>
          <w:sz w:val="20"/>
          <w:lang w:val="de-DE"/>
        </w:rPr>
        <w:t xml:space="preserve">Environ.Toxicol.Chem. 13(9):1509-1517. </w:t>
      </w:r>
    </w:p>
    <w:p w14:paraId="40F92457" w14:textId="19863B0B" w:rsidR="00F674D7" w:rsidRPr="0098635C" w:rsidRDefault="00C24197" w:rsidP="006E5329">
      <w:pPr>
        <w:pStyle w:val="BodyText"/>
        <w:spacing w:after="0"/>
        <w:ind w:left="567" w:hanging="567"/>
        <w:rPr>
          <w:color w:val="000000" w:themeColor="text1"/>
          <w:sz w:val="20"/>
          <w:lang w:val="nl-BE"/>
        </w:rPr>
      </w:pPr>
      <w:r w:rsidRPr="0098635C">
        <w:rPr>
          <w:color w:val="000000" w:themeColor="text1"/>
          <w:sz w:val="20"/>
          <w:lang w:val="de-DE"/>
        </w:rPr>
        <w:t xml:space="preserve">Beck T, 1981. Untersuchungen über die toxische Wirkung der in Siedlungsabfällen häufigen Schwermetalle auf die Bodenmikroflora. </w:t>
      </w:r>
      <w:r w:rsidRPr="0098635C">
        <w:rPr>
          <w:color w:val="000000" w:themeColor="text1"/>
          <w:sz w:val="20"/>
          <w:lang w:val="nl-BE"/>
        </w:rPr>
        <w:t xml:space="preserve">Journal Z. Pflanzenernähr. Bodenk. 144:613-627. </w:t>
      </w:r>
    </w:p>
    <w:p w14:paraId="3143A8C4" w14:textId="77777777" w:rsidR="003D429A" w:rsidRPr="0098635C" w:rsidRDefault="003D429A" w:rsidP="00926614">
      <w:pPr>
        <w:pStyle w:val="BodyText"/>
        <w:spacing w:after="0"/>
        <w:ind w:left="567" w:hanging="567"/>
        <w:rPr>
          <w:color w:val="000000" w:themeColor="text1"/>
          <w:sz w:val="20"/>
        </w:rPr>
      </w:pPr>
      <w:bookmarkStart w:id="2026" w:name="d0e65194"/>
      <w:r w:rsidRPr="0098635C">
        <w:rPr>
          <w:rFonts w:eastAsiaTheme="minorEastAsia"/>
          <w:color w:val="000000" w:themeColor="text1"/>
          <w:sz w:val="20"/>
          <w:lang w:val="nl-BE" w:eastAsia="en-GB"/>
        </w:rPr>
        <w:t xml:space="preserve">Belanger, A., Levesque, M. P. &amp; Mathur, S. P. (1987). </w:t>
      </w:r>
      <w:r w:rsidRPr="0098635C">
        <w:rPr>
          <w:rFonts w:eastAsiaTheme="minorEastAsia"/>
          <w:color w:val="000000" w:themeColor="text1"/>
          <w:sz w:val="20"/>
          <w:lang w:eastAsia="en-GB"/>
        </w:rPr>
        <w:t>The Influence of Variation in Soil Copper on the Yield and Nutrition of Radishes Grown in Microplots on Two Peat Soils. International Peat Journal. 2; 65-73.</w:t>
      </w:r>
    </w:p>
    <w:bookmarkEnd w:id="2026"/>
    <w:p w14:paraId="38FB8CDF"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Belanger SC, Cherry DS, 1990. Interacting effects of pH acclimation, pH and heavy metals on acute and chronic toxicity to </w:t>
      </w:r>
      <w:r w:rsidRPr="0098635C">
        <w:rPr>
          <w:i/>
          <w:color w:val="000000" w:themeColor="text1"/>
          <w:sz w:val="20"/>
        </w:rPr>
        <w:t>Ceriodaphnia dubia</w:t>
      </w:r>
      <w:r w:rsidRPr="0098635C">
        <w:rPr>
          <w:color w:val="000000" w:themeColor="text1"/>
          <w:sz w:val="20"/>
        </w:rPr>
        <w:t xml:space="preserve"> (cladocera). J.Crust.Biol. 10(2):225-235. </w:t>
      </w:r>
    </w:p>
    <w:p w14:paraId="25581730"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Belanger SE et al, 1989. Effects of diet, water hardness and population source on acute and chronic copper toxicity to </w:t>
      </w:r>
      <w:r w:rsidRPr="0098635C">
        <w:rPr>
          <w:i/>
          <w:color w:val="000000" w:themeColor="text1"/>
          <w:sz w:val="20"/>
        </w:rPr>
        <w:t>Ceriodaphnia dubia</w:t>
      </w:r>
      <w:r w:rsidRPr="0098635C">
        <w:rPr>
          <w:color w:val="000000" w:themeColor="text1"/>
          <w:sz w:val="20"/>
        </w:rPr>
        <w:t xml:space="preserve">. Arch.Environ.Contam.Toxicol. 18:601-611. </w:t>
      </w:r>
    </w:p>
    <w:p w14:paraId="74EA8A56" w14:textId="77777777" w:rsidR="00BA20BC" w:rsidRPr="0098635C" w:rsidRDefault="00BA20BC" w:rsidP="006E5329">
      <w:pPr>
        <w:pStyle w:val="BodyText"/>
        <w:spacing w:after="0"/>
        <w:ind w:left="567" w:hanging="567"/>
        <w:rPr>
          <w:color w:val="000000" w:themeColor="text1"/>
          <w:sz w:val="20"/>
        </w:rPr>
      </w:pPr>
      <w:r w:rsidRPr="0098635C">
        <w:rPr>
          <w:color w:val="000000" w:themeColor="text1"/>
          <w:sz w:val="20"/>
        </w:rPr>
        <w:t>Bem EM, Orlowski C, Piotrowski JK, Januszewski K, Pajak J, 1993a. Cadmium, zinc, copper, and metallothionein levels in the kidney and liver of inhabitants of Upper Silesia (Poland). Int.Arch.Occup.Environ.Health 65:57-63.</w:t>
      </w:r>
    </w:p>
    <w:p w14:paraId="3F7E4D8D"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Bem EM, Kaszper BW, Orłowski C, Piotrowski JK, Wójcik G, Żołnowska E, 1993b. Cadmium, zinc, copper and metallothionein levels in the kidney and liver of humans from central Poland. Environ.Health Monitor.Assess. 25(1):1-13.</w:t>
      </w:r>
    </w:p>
    <w:p w14:paraId="0CC9C5B4"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Bem EM, Piotrowski JK, Sobczak-Kozlowska M. Dmuchowski C, 1988. Cadmium, zinc, copper and metallothionein levels in human liver. Int.Arch.Occup.Environ. Health 60:413-417.</w:t>
      </w:r>
    </w:p>
    <w:p w14:paraId="5AB99FC3"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Bengtsson G et al, 1986. Effects of metal pollution on the earthworm </w:t>
      </w:r>
      <w:r w:rsidRPr="0098635C">
        <w:rPr>
          <w:i/>
          <w:color w:val="000000" w:themeColor="text1"/>
          <w:sz w:val="20"/>
        </w:rPr>
        <w:t>Dendrobaena rubida</w:t>
      </w:r>
      <w:r w:rsidRPr="0098635C">
        <w:rPr>
          <w:color w:val="000000" w:themeColor="text1"/>
          <w:sz w:val="20"/>
        </w:rPr>
        <w:t xml:space="preserve"> (Sav.) in acidified soils. Water Air Soil Pollut. 28:361-383. </w:t>
      </w:r>
    </w:p>
    <w:p w14:paraId="1E32F381" w14:textId="33B02A10" w:rsidR="00C24197" w:rsidRPr="0098635C" w:rsidRDefault="00C24197" w:rsidP="006E5329">
      <w:pPr>
        <w:pStyle w:val="BodyText"/>
        <w:spacing w:after="0"/>
        <w:ind w:left="567" w:hanging="567"/>
        <w:rPr>
          <w:color w:val="000000" w:themeColor="text1"/>
          <w:sz w:val="20"/>
        </w:rPr>
      </w:pPr>
      <w:r w:rsidRPr="0098635C">
        <w:rPr>
          <w:color w:val="000000" w:themeColor="text1"/>
          <w:sz w:val="20"/>
        </w:rPr>
        <w:t>Benoit DA, 1975. Chronic effects of copper on survival, growth and reproduction of the bluegill (</w:t>
      </w:r>
      <w:r w:rsidRPr="0098635C">
        <w:rPr>
          <w:i/>
          <w:color w:val="000000" w:themeColor="text1"/>
          <w:sz w:val="20"/>
        </w:rPr>
        <w:t>Lepomis macrochirus</w:t>
      </w:r>
      <w:r w:rsidRPr="0098635C">
        <w:rPr>
          <w:color w:val="000000" w:themeColor="text1"/>
          <w:sz w:val="20"/>
        </w:rPr>
        <w:t xml:space="preserve">). Trans.Am.Fish.Soc. 104(2):353-358. </w:t>
      </w:r>
    </w:p>
    <w:p w14:paraId="23B4526A"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Benoit G, Oktay-Marshall SD, Cantu A, Hood EM, Coleman CH, Corapcioglu MO, Santschi PH, 1994. Partitioning of Cu, Pb, Ag, Zn, Fe, Al and Mn between filter-retained particles, colloids and solution in six Texas estuaries. Marine Chem. 45:307-336. </w:t>
      </w:r>
    </w:p>
    <w:p w14:paraId="57CA68F9"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Bhandari R, Sharda B, 1982. Copper from cooking utensils as a cause of Indian childhood cirrhosis?  Arch.Dis.Child. 57:323.</w:t>
      </w:r>
    </w:p>
    <w:p w14:paraId="0B2A08B4"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Bhunya SP, Pati PC, 1987. Genotoxicity of an inorganic pesticide, copper sulfate in mouse in vivo test system. Cytologia 52:801-808.</w:t>
      </w:r>
    </w:p>
    <w:p w14:paraId="669C989C" w14:textId="62CE651B" w:rsidR="00C24197" w:rsidRPr="0098635C" w:rsidRDefault="00C24197" w:rsidP="006E5329">
      <w:pPr>
        <w:pStyle w:val="BodyText"/>
        <w:spacing w:after="0"/>
        <w:ind w:left="567" w:hanging="567"/>
        <w:rPr>
          <w:color w:val="000000" w:themeColor="text1"/>
          <w:sz w:val="20"/>
        </w:rPr>
      </w:pPr>
      <w:r w:rsidRPr="0098635C">
        <w:rPr>
          <w:color w:val="000000" w:themeColor="text1"/>
          <w:sz w:val="20"/>
        </w:rPr>
        <w:t>Bien E, 1993. Guinea pig maximization test of skin sensitisation with “URA 17030”. Testing laboratory: International Bio Research. Report no.: 10-05-1961/00-92. Report date: 1993-03-02.</w:t>
      </w:r>
      <w:r w:rsidR="00847893" w:rsidRPr="0098635C">
        <w:rPr>
          <w:color w:val="000000" w:themeColor="text1"/>
          <w:sz w:val="20"/>
        </w:rPr>
        <w:t xml:space="preserve"> </w:t>
      </w:r>
      <w:r w:rsidR="009F120E" w:rsidRPr="0098635C">
        <w:rPr>
          <w:color w:val="000000" w:themeColor="text1"/>
          <w:sz w:val="20"/>
        </w:rPr>
        <w:t>Unpublished</w:t>
      </w:r>
    </w:p>
    <w:p w14:paraId="103FD91E" w14:textId="22EF6101" w:rsidR="00F674D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Biesinger KA, Christensen GM, 1972. Effects of various metals on survival, growth, reproduction and metabolism of </w:t>
      </w:r>
      <w:r w:rsidRPr="0098635C">
        <w:rPr>
          <w:i/>
          <w:color w:val="000000" w:themeColor="text1"/>
          <w:sz w:val="20"/>
        </w:rPr>
        <w:t>Daphnia magna</w:t>
      </w:r>
      <w:r w:rsidRPr="0098635C">
        <w:rPr>
          <w:color w:val="000000" w:themeColor="text1"/>
          <w:sz w:val="20"/>
        </w:rPr>
        <w:t xml:space="preserve">. J.Fish.Res.Bd.Can. 29:1691-1700. </w:t>
      </w:r>
    </w:p>
    <w:p w14:paraId="7CD2A1D1" w14:textId="77777777" w:rsidR="003D429A" w:rsidRPr="0098635C" w:rsidRDefault="003D429A" w:rsidP="00926614">
      <w:pPr>
        <w:pStyle w:val="BodyText"/>
        <w:spacing w:after="0"/>
        <w:ind w:left="567" w:hanging="567"/>
        <w:rPr>
          <w:color w:val="000000" w:themeColor="text1"/>
          <w:sz w:val="20"/>
        </w:rPr>
      </w:pPr>
      <w:bookmarkStart w:id="2027" w:name="d0e65224"/>
      <w:r w:rsidRPr="0098635C">
        <w:rPr>
          <w:rFonts w:eastAsiaTheme="minorEastAsia"/>
          <w:color w:val="000000" w:themeColor="text1"/>
          <w:sz w:val="20"/>
          <w:lang w:eastAsia="en-GB"/>
        </w:rPr>
        <w:lastRenderedPageBreak/>
        <w:t>Birge, W. J. and Black, J. A. (1979). Effects of copper on embryonic and juvenile stages of aquatic animals. In: J. O. Nriagu (eds.). Copper in the Environment. Part 2. Health Effects. John Wiley &amp; Sons; New York, NY, USA, p. 373-399.</w:t>
      </w:r>
    </w:p>
    <w:bookmarkEnd w:id="2027"/>
    <w:p w14:paraId="721003B5"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Birge WJ, Benson WH, Black JA, 1983. Induction of tolerance to heavy metals in natural and laboratory populations of fish. </w:t>
      </w:r>
    </w:p>
    <w:p w14:paraId="5331A060" w14:textId="2699976D" w:rsidR="00F674D7" w:rsidRPr="0098635C" w:rsidRDefault="000F4CB2" w:rsidP="00926614">
      <w:pPr>
        <w:spacing w:after="0"/>
        <w:ind w:left="567" w:hanging="567"/>
        <w:rPr>
          <w:color w:val="000000" w:themeColor="text1"/>
          <w:sz w:val="20"/>
          <w:szCs w:val="20"/>
        </w:rPr>
      </w:pPr>
      <w:bookmarkStart w:id="2028" w:name="d0e65226"/>
      <w:r w:rsidRPr="0098635C">
        <w:rPr>
          <w:rFonts w:eastAsiaTheme="minorEastAsia"/>
          <w:bCs/>
          <w:color w:val="000000" w:themeColor="text1"/>
          <w:sz w:val="20"/>
          <w:szCs w:val="20"/>
          <w:lang w:eastAsia="en-GB"/>
        </w:rPr>
        <w:t>Blagden, S. M. (1999). Nordox Agro Grade: Acute Inhalation Toxicity (Nose only) Study in the Rat. Testing laboratory: Safepharm Laboratories Limited. Report no.: 148/014.</w:t>
      </w:r>
      <w:bookmarkStart w:id="2029" w:name="d0e65228"/>
      <w:bookmarkEnd w:id="2028"/>
      <w:r w:rsidR="006A138F" w:rsidRPr="0098635C">
        <w:rPr>
          <w:rFonts w:eastAsiaTheme="minorEastAsia"/>
          <w:bCs/>
          <w:color w:val="000000" w:themeColor="text1"/>
          <w:sz w:val="20"/>
          <w:szCs w:val="20"/>
          <w:lang w:eastAsia="en-GB"/>
        </w:rPr>
        <w:t xml:space="preserve"> Unpubmished</w:t>
      </w:r>
    </w:p>
    <w:p w14:paraId="30FF7FA9" w14:textId="31E265B5" w:rsidR="000F4CB2" w:rsidRPr="0098635C" w:rsidRDefault="000F4CB2" w:rsidP="00926614">
      <w:pPr>
        <w:spacing w:after="0"/>
        <w:ind w:left="567" w:hanging="567"/>
        <w:rPr>
          <w:color w:val="000000" w:themeColor="text1"/>
          <w:sz w:val="20"/>
          <w:szCs w:val="20"/>
        </w:rPr>
      </w:pPr>
      <w:r w:rsidRPr="0098635C">
        <w:rPr>
          <w:rFonts w:eastAsiaTheme="minorEastAsia"/>
          <w:bCs/>
          <w:color w:val="000000" w:themeColor="text1"/>
          <w:sz w:val="20"/>
          <w:szCs w:val="20"/>
          <w:lang w:eastAsia="en-GB"/>
        </w:rPr>
        <w:t>Bogomolov, D. M., Chen, S. K., Parmalee, R. W, Subler, S. &amp; Edwards, C. A. (1996). An Ecosystem Approach to Soil Toxicity Testing: A Study of Copper Contamination in Laboratory Soil Microcosms. Applied Soil Ecology. 4: 95-105</w:t>
      </w:r>
      <w:bookmarkEnd w:id="2029"/>
    </w:p>
    <w:p w14:paraId="0C393A8B"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Bollag J-M, Barabasz W, 1979. Effect of heavy metals on the denitrification process in soil. J.Environ.Qual. 8(2):196-201. </w:t>
      </w:r>
    </w:p>
    <w:p w14:paraId="0A879FAC" w14:textId="77777777" w:rsidR="00C24197" w:rsidRPr="0098635C" w:rsidRDefault="00C24197" w:rsidP="006E5329">
      <w:pPr>
        <w:pStyle w:val="BodyText"/>
        <w:spacing w:after="0"/>
        <w:ind w:left="567" w:hanging="567"/>
        <w:rPr>
          <w:color w:val="000000" w:themeColor="text1"/>
          <w:sz w:val="20"/>
          <w:lang w:val="it-IT"/>
        </w:rPr>
      </w:pPr>
      <w:r w:rsidRPr="0098635C">
        <w:rPr>
          <w:color w:val="000000" w:themeColor="text1"/>
          <w:sz w:val="20"/>
        </w:rPr>
        <w:t xml:space="preserve">Borak J, Cohen H, Hethmon TA, 2000. Copper exposure and metal fume fever: lack of evidence for a causal relationship. </w:t>
      </w:r>
      <w:r w:rsidRPr="0098635C">
        <w:rPr>
          <w:color w:val="000000" w:themeColor="text1"/>
          <w:sz w:val="20"/>
          <w:lang w:val="it-IT"/>
        </w:rPr>
        <w:t>Am.Ind.Hyg.Assoc.J. 61:832-836.</w:t>
      </w:r>
    </w:p>
    <w:p w14:paraId="10052D4E" w14:textId="3A7F5A95"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it-IT"/>
        </w:rPr>
        <w:t>Bordo D, Pesce A, Bolognesi M, Stroppolo ME, Falconi M, Desideri A, 200</w:t>
      </w:r>
      <w:r w:rsidR="00607A89" w:rsidRPr="0098635C">
        <w:rPr>
          <w:color w:val="000000" w:themeColor="text1"/>
          <w:sz w:val="20"/>
          <w:lang w:val="it-IT"/>
        </w:rPr>
        <w:t>1</w:t>
      </w:r>
      <w:r w:rsidRPr="0098635C">
        <w:rPr>
          <w:color w:val="000000" w:themeColor="text1"/>
          <w:sz w:val="20"/>
          <w:lang w:val="it-IT"/>
        </w:rPr>
        <w:t xml:space="preserve">. </w:t>
      </w:r>
      <w:r w:rsidRPr="0098635C">
        <w:rPr>
          <w:color w:val="000000" w:themeColor="text1"/>
          <w:sz w:val="20"/>
        </w:rPr>
        <w:t>Copper-zinc superoxide dismutase in prokaryotes and eukaryotes. In: Handbook of Metalloproteins (Vol 2), Messerschmidt A et al (Eds), John Wiley and Sons, Chichester.</w:t>
      </w:r>
    </w:p>
    <w:p w14:paraId="4AD1E1FD" w14:textId="77777777" w:rsidR="000F4CB2" w:rsidRPr="0098635C" w:rsidRDefault="000F4CB2" w:rsidP="00926614">
      <w:pPr>
        <w:spacing w:after="0"/>
        <w:ind w:left="567" w:hanging="567"/>
        <w:rPr>
          <w:color w:val="000000" w:themeColor="text1"/>
          <w:sz w:val="20"/>
          <w:szCs w:val="20"/>
        </w:rPr>
      </w:pPr>
      <w:bookmarkStart w:id="2030" w:name="d0e65234"/>
      <w:r w:rsidRPr="0098635C">
        <w:rPr>
          <w:rFonts w:eastAsiaTheme="minorEastAsia"/>
          <w:bCs/>
          <w:color w:val="000000" w:themeColor="text1"/>
          <w:sz w:val="20"/>
          <w:szCs w:val="20"/>
          <w:lang w:eastAsia="en-GB"/>
        </w:rPr>
        <w:t>Borgmann U (2005). Effect of major ions on the toxicity of copper to Hyalella azteca and implications for the biotic ligand model. Aquat Toxicol. 2005; 73(3):268-87.</w:t>
      </w:r>
    </w:p>
    <w:bookmarkEnd w:id="2030"/>
    <w:p w14:paraId="31A7B612"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Borgmann U, Norwood WP, Clarke C, 1993. Accumulation, regulation and toxicity of copper, zinc, lead and mercury in </w:t>
      </w:r>
      <w:r w:rsidRPr="0098635C">
        <w:rPr>
          <w:i/>
          <w:color w:val="000000" w:themeColor="text1"/>
          <w:sz w:val="20"/>
        </w:rPr>
        <w:t>Hyalella azteca</w:t>
      </w:r>
      <w:r w:rsidRPr="0098635C">
        <w:rPr>
          <w:color w:val="000000" w:themeColor="text1"/>
          <w:sz w:val="20"/>
        </w:rPr>
        <w:t xml:space="preserve">. Hydrobiologia 259:79-89. </w:t>
      </w:r>
    </w:p>
    <w:p w14:paraId="0A0094E1"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Borgmann U, Ralph KM, 1983. Complexation and toxicity of copper and the free metal bioassay technique. Water Res. 17(11):1697-1703. </w:t>
      </w:r>
    </w:p>
    <w:p w14:paraId="535C2207"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Bossuyt BT, Janssen CR, 2004a. Influence of multi-generation acclimation to copper on tolerance, energy reserves and homeostasis of </w:t>
      </w:r>
      <w:r w:rsidRPr="0098635C">
        <w:rPr>
          <w:i/>
          <w:color w:val="000000" w:themeColor="text1"/>
          <w:sz w:val="20"/>
        </w:rPr>
        <w:t>Daphnia magna</w:t>
      </w:r>
      <w:r w:rsidRPr="0098635C">
        <w:rPr>
          <w:color w:val="000000" w:themeColor="text1"/>
          <w:sz w:val="20"/>
        </w:rPr>
        <w:t xml:space="preserve">. Environ.Toxicol.Chem. 23(8):2029-2037. </w:t>
      </w:r>
    </w:p>
    <w:p w14:paraId="1092396B"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Bossuyt BT, Janssen CR, 2004b. Long-term acclimation of </w:t>
      </w:r>
      <w:r w:rsidRPr="0098635C">
        <w:rPr>
          <w:i/>
          <w:color w:val="000000" w:themeColor="text1"/>
          <w:sz w:val="20"/>
        </w:rPr>
        <w:t>Pseudokirchneriella subcapitata</w:t>
      </w:r>
      <w:r w:rsidRPr="0098635C">
        <w:rPr>
          <w:color w:val="000000" w:themeColor="text1"/>
          <w:sz w:val="20"/>
        </w:rPr>
        <w:t xml:space="preserve"> (Korshikov) Hindak to different copper concentrations: changes in tolerance and physiology. Aquatic Toxicol. 68(1):61-74. </w:t>
      </w:r>
    </w:p>
    <w:p w14:paraId="54B16D4D"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Bresch, 1982. Investigation of the long-term action of xenobiotics on fish with special regard to reproduction. Ecotox.Environ.Safe. 6:102-112. </w:t>
      </w:r>
    </w:p>
    <w:p w14:paraId="364DA70B" w14:textId="77777777" w:rsidR="000F4CB2" w:rsidRPr="0098635C" w:rsidRDefault="000F4CB2" w:rsidP="00926614">
      <w:pPr>
        <w:spacing w:after="0"/>
        <w:ind w:left="567" w:hanging="567"/>
        <w:rPr>
          <w:color w:val="000000" w:themeColor="text1"/>
          <w:sz w:val="20"/>
          <w:szCs w:val="20"/>
        </w:rPr>
      </w:pPr>
      <w:bookmarkStart w:id="2031" w:name="d0e65244"/>
      <w:r w:rsidRPr="0098635C">
        <w:rPr>
          <w:rFonts w:eastAsiaTheme="minorEastAsia"/>
          <w:bCs/>
          <w:color w:val="000000" w:themeColor="text1"/>
          <w:sz w:val="20"/>
          <w:szCs w:val="20"/>
          <w:lang w:eastAsia="en-GB"/>
        </w:rPr>
        <w:t>Bridges, C. M. et al. (2002). Comparative Contaminant Toxicity: Are Amphibian Larvae More Sensitive than Fish?. Bull. Environ. Contam. Toxicol.; 69:562–569.</w:t>
      </w:r>
    </w:p>
    <w:p w14:paraId="244C5F69" w14:textId="77777777" w:rsidR="000F4CB2" w:rsidRPr="0098635C" w:rsidRDefault="000F4CB2" w:rsidP="00926614">
      <w:pPr>
        <w:spacing w:after="0"/>
        <w:ind w:left="567" w:hanging="567"/>
        <w:rPr>
          <w:color w:val="000000" w:themeColor="text1"/>
          <w:sz w:val="20"/>
          <w:szCs w:val="20"/>
        </w:rPr>
      </w:pPr>
      <w:bookmarkStart w:id="2032" w:name="d0e65246"/>
      <w:bookmarkEnd w:id="2031"/>
      <w:r w:rsidRPr="0098635C">
        <w:rPr>
          <w:rFonts w:eastAsiaTheme="minorEastAsia"/>
          <w:bCs/>
          <w:color w:val="000000" w:themeColor="text1"/>
          <w:sz w:val="20"/>
          <w:szCs w:val="20"/>
          <w:lang w:eastAsia="en-GB"/>
        </w:rPr>
        <w:t>Brix, K. V. and DeForest, D. K. (2000). Critical review of the use of bioconcentration factors for hazard classification of metals and metal compounds. Final Report: 1-71.</w:t>
      </w:r>
    </w:p>
    <w:bookmarkEnd w:id="2032"/>
    <w:p w14:paraId="35BAFBFD" w14:textId="6C3727D2" w:rsidR="00C24197" w:rsidRPr="0098635C" w:rsidRDefault="00C24197" w:rsidP="006E5329">
      <w:pPr>
        <w:pStyle w:val="BodyText"/>
        <w:spacing w:after="0"/>
        <w:ind w:left="567" w:hanging="567"/>
        <w:rPr>
          <w:color w:val="000000" w:themeColor="text1"/>
          <w:sz w:val="20"/>
        </w:rPr>
      </w:pPr>
      <w:r w:rsidRPr="0098635C">
        <w:rPr>
          <w:color w:val="000000" w:themeColor="text1"/>
          <w:sz w:val="20"/>
        </w:rPr>
        <w:t>Brix KV et al, 2006) Effects of copper, cadmium and zinc on the hatching success of brine shrimp (</w:t>
      </w:r>
      <w:r w:rsidRPr="0098635C">
        <w:rPr>
          <w:i/>
          <w:color w:val="000000" w:themeColor="text1"/>
          <w:sz w:val="20"/>
        </w:rPr>
        <w:t>Artemia franciscana</w:t>
      </w:r>
      <w:r w:rsidRPr="0098635C">
        <w:rPr>
          <w:color w:val="000000" w:themeColor="text1"/>
          <w:sz w:val="20"/>
        </w:rPr>
        <w:t>). Arch.Environ.Contam.Toxicol. 51</w:t>
      </w:r>
      <w:r w:rsidR="00F674D7" w:rsidRPr="0098635C">
        <w:rPr>
          <w:rFonts w:eastAsiaTheme="minorEastAsia"/>
          <w:bCs/>
          <w:color w:val="000000" w:themeColor="text1"/>
          <w:sz w:val="20"/>
          <w:lang w:eastAsia="en-GB"/>
        </w:rPr>
        <w:t>r</w:t>
      </w:r>
      <w:r w:rsidRPr="0098635C">
        <w:rPr>
          <w:color w:val="000000" w:themeColor="text1"/>
          <w:sz w:val="20"/>
        </w:rPr>
        <w:t xml:space="preserve">:580-583. </w:t>
      </w:r>
    </w:p>
    <w:p w14:paraId="6161EAA8" w14:textId="59992ECD" w:rsidR="00C24197" w:rsidRPr="0098635C" w:rsidRDefault="00C24197" w:rsidP="006E5329">
      <w:pPr>
        <w:pStyle w:val="BodyText"/>
        <w:spacing w:after="0"/>
        <w:ind w:left="567" w:hanging="567"/>
        <w:rPr>
          <w:color w:val="000000" w:themeColor="text1"/>
          <w:sz w:val="20"/>
        </w:rPr>
      </w:pPr>
      <w:r w:rsidRPr="0098635C">
        <w:rPr>
          <w:color w:val="000000" w:themeColor="text1"/>
          <w:sz w:val="20"/>
        </w:rPr>
        <w:t>Brooks S, 2006b. The effects of dissolved organic carbon on copper toxicity to the development of the oyster embryo. Cefas contract report C2548-1.</w:t>
      </w:r>
      <w:r w:rsidR="006A138F" w:rsidRPr="0098635C">
        <w:rPr>
          <w:color w:val="000000" w:themeColor="text1"/>
          <w:sz w:val="20"/>
        </w:rPr>
        <w:t xml:space="preserve"> Unpublished.</w:t>
      </w:r>
      <w:r w:rsidRPr="0098635C">
        <w:rPr>
          <w:color w:val="000000" w:themeColor="text1"/>
          <w:sz w:val="20"/>
        </w:rPr>
        <w:t xml:space="preserve"> </w:t>
      </w:r>
    </w:p>
    <w:p w14:paraId="04740F65" w14:textId="64A55725"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Brooks S, 2006c. The effects of dissolved organic carbon on the toxicity of copper to the marine macroalgae </w:t>
      </w:r>
      <w:r w:rsidRPr="0098635C">
        <w:rPr>
          <w:i/>
          <w:color w:val="000000" w:themeColor="text1"/>
          <w:sz w:val="20"/>
        </w:rPr>
        <w:t>Fucus vesiculosis</w:t>
      </w:r>
      <w:r w:rsidRPr="0098635C">
        <w:rPr>
          <w:color w:val="000000" w:themeColor="text1"/>
          <w:sz w:val="20"/>
        </w:rPr>
        <w:t xml:space="preserve">. Report no.: C2548-2. </w:t>
      </w:r>
      <w:r w:rsidR="006A138F" w:rsidRPr="0098635C">
        <w:rPr>
          <w:color w:val="000000" w:themeColor="text1"/>
          <w:sz w:val="20"/>
        </w:rPr>
        <w:t>Unpublished.</w:t>
      </w:r>
    </w:p>
    <w:p w14:paraId="737F396E" w14:textId="360D1D21" w:rsidR="00C24197" w:rsidRPr="0098635C" w:rsidRDefault="00C24197" w:rsidP="006E5329">
      <w:pPr>
        <w:pStyle w:val="BodyText"/>
        <w:spacing w:after="0"/>
        <w:ind w:left="567" w:hanging="567"/>
        <w:rPr>
          <w:color w:val="000000" w:themeColor="text1"/>
          <w:sz w:val="20"/>
          <w:lang w:val="fr-FR"/>
        </w:rPr>
      </w:pPr>
      <w:r w:rsidRPr="0098635C">
        <w:rPr>
          <w:color w:val="000000" w:themeColor="text1"/>
          <w:sz w:val="20"/>
        </w:rPr>
        <w:t xml:space="preserve">Brooks S; 2006a. Copper speciation and toxicity to the development of mussel embryo. </w:t>
      </w:r>
      <w:r w:rsidRPr="0098635C">
        <w:rPr>
          <w:color w:val="000000" w:themeColor="text1"/>
          <w:sz w:val="20"/>
          <w:lang w:val="fr-FR"/>
        </w:rPr>
        <w:t xml:space="preserve">Cefas contract report C1921. </w:t>
      </w:r>
      <w:r w:rsidR="006A138F" w:rsidRPr="0098635C">
        <w:rPr>
          <w:color w:val="000000" w:themeColor="text1"/>
          <w:sz w:val="20"/>
          <w:lang w:val="fr-FR"/>
        </w:rPr>
        <w:t>Unpublished.</w:t>
      </w:r>
    </w:p>
    <w:p w14:paraId="72CB2373"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fr-FR"/>
        </w:rPr>
        <w:t xml:space="preserve">Brun LA, Le Corff J, Maillet J, 2003. </w:t>
      </w:r>
      <w:r w:rsidRPr="0098635C">
        <w:rPr>
          <w:color w:val="000000" w:themeColor="text1"/>
          <w:sz w:val="20"/>
        </w:rPr>
        <w:t xml:space="preserve">Effects of elevated soil copper on phenology, growth and reproduction of five ruderal plant species. Environ.Pollut. 122(3):361-8. </w:t>
      </w:r>
    </w:p>
    <w:p w14:paraId="648FC932" w14:textId="1B7AD5CA" w:rsidR="000F4CB2" w:rsidRPr="0098635C" w:rsidRDefault="000F4CB2" w:rsidP="00926614">
      <w:pPr>
        <w:spacing w:after="0"/>
        <w:ind w:left="567" w:hanging="567"/>
        <w:rPr>
          <w:color w:val="000000" w:themeColor="text1"/>
          <w:sz w:val="20"/>
          <w:szCs w:val="20"/>
        </w:rPr>
      </w:pPr>
      <w:bookmarkStart w:id="2033" w:name="d0e65262"/>
      <w:r w:rsidRPr="0098635C">
        <w:rPr>
          <w:rFonts w:eastAsiaTheme="minorEastAsia"/>
          <w:bCs/>
          <w:color w:val="000000" w:themeColor="text1"/>
          <w:sz w:val="20"/>
          <w:szCs w:val="20"/>
          <w:lang w:eastAsia="en-GB"/>
        </w:rPr>
        <w:t>Brungs WA, Geckle JR and Gast M (1976). Acute and chronic toxicity of copper to the fathead minnow in a surface water of variable quality. Water research, vol 10, pp37-43. Testing laboratory: US environmental protection agency, Newton Fish Toxicologu station, 3411 Church street, Cincinnati, OH 45244, USA.</w:t>
      </w:r>
    </w:p>
    <w:bookmarkEnd w:id="2033"/>
    <w:p w14:paraId="761BE198" w14:textId="77777777" w:rsidR="00C24197" w:rsidRPr="0098635C" w:rsidRDefault="00C24197" w:rsidP="006E5329">
      <w:pPr>
        <w:pStyle w:val="BodyText"/>
        <w:spacing w:after="0"/>
        <w:ind w:left="567" w:hanging="567"/>
        <w:rPr>
          <w:color w:val="000000" w:themeColor="text1"/>
          <w:sz w:val="20"/>
          <w:lang w:val="de-DE"/>
        </w:rPr>
      </w:pPr>
      <w:r w:rsidRPr="0098635C">
        <w:rPr>
          <w:color w:val="000000" w:themeColor="text1"/>
          <w:sz w:val="20"/>
        </w:rPr>
        <w:t xml:space="preserve">Brungs WA et al, 1976. Acute and chronic toxicity of copper to the fathead minnow in a surface water of variable quality. </w:t>
      </w:r>
      <w:r w:rsidRPr="0098635C">
        <w:rPr>
          <w:color w:val="000000" w:themeColor="text1"/>
          <w:sz w:val="20"/>
          <w:lang w:val="de-DE"/>
        </w:rPr>
        <w:t xml:space="preserve">Water Res. 10:37-43. </w:t>
      </w:r>
    </w:p>
    <w:p w14:paraId="26AA76F0"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de-DE"/>
        </w:rPr>
        <w:t xml:space="preserve">Buchanan SD, Diseker RA, Sinks T, Olson DR, Daniel J, Flodman T, 1999. </w:t>
      </w:r>
      <w:r w:rsidRPr="0098635C">
        <w:rPr>
          <w:color w:val="000000" w:themeColor="text1"/>
          <w:sz w:val="20"/>
        </w:rPr>
        <w:t>Copper in drinking water, Nebraska, 1994. Int.J.Occup.Environ.Health 5:256-261.</w:t>
      </w:r>
    </w:p>
    <w:p w14:paraId="74A18C42"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Buckley JA, 1983. Complexation of copper in the effluent of a sewage treatment plant and an estimate of its influence on toxicity to Coho salmon. Water Res. 7(12):1929-1934 </w:t>
      </w:r>
    </w:p>
    <w:p w14:paraId="748EAD38"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Buescher RG, Griffin SA, Bell MC, 1961. Copper availability to swine from Cu64 labelled inorganic compounds. J.Animal Sci. 20:529-531.</w:t>
      </w:r>
    </w:p>
    <w:p w14:paraId="20983741"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Bull PC, Thomas GR, Rommens JM, Forbes JR, Cox DW, 1993. The Wilson disease gene is a putative copper transporting P-type ATPase similar to the Menkes gene. Nat. Genet. 5:327-337.</w:t>
      </w:r>
    </w:p>
    <w:p w14:paraId="7D967232" w14:textId="7168C755" w:rsidR="00C75248" w:rsidRPr="0098635C" w:rsidRDefault="00C75248" w:rsidP="00C75248">
      <w:pPr>
        <w:spacing w:after="0"/>
        <w:ind w:left="567" w:hanging="567"/>
        <w:rPr>
          <w:rFonts w:eastAsiaTheme="minorEastAsia"/>
          <w:bCs/>
          <w:color w:val="000000" w:themeColor="text1"/>
          <w:sz w:val="20"/>
          <w:szCs w:val="20"/>
          <w:lang w:eastAsia="en-GB"/>
        </w:rPr>
      </w:pPr>
      <w:r w:rsidRPr="0098635C">
        <w:rPr>
          <w:rFonts w:eastAsiaTheme="minorEastAsia"/>
          <w:bCs/>
          <w:color w:val="000000" w:themeColor="text1"/>
          <w:sz w:val="20"/>
          <w:szCs w:val="20"/>
          <w:lang w:eastAsia="en-GB"/>
        </w:rPr>
        <w:t>Burki, H. R. and Okita, G. T. (1969). Effect of oral copper sulfate on 7,12-dimethylbenz(a) anthracene carcinogenesis in mice. Br. J. Cancer Sep; 23(3): 591-596.</w:t>
      </w:r>
    </w:p>
    <w:p w14:paraId="128BBC79" w14:textId="53299719" w:rsidR="000F4CB2" w:rsidRPr="0098635C" w:rsidRDefault="000F4CB2" w:rsidP="00926614">
      <w:pPr>
        <w:spacing w:after="0"/>
        <w:ind w:left="567" w:hanging="567"/>
        <w:rPr>
          <w:rFonts w:eastAsiaTheme="minorEastAsia"/>
          <w:bCs/>
          <w:color w:val="000000" w:themeColor="text1"/>
          <w:sz w:val="20"/>
          <w:szCs w:val="20"/>
          <w:lang w:eastAsia="en-GB"/>
        </w:rPr>
      </w:pPr>
      <w:r w:rsidRPr="0098635C">
        <w:rPr>
          <w:rFonts w:eastAsiaTheme="minorEastAsia"/>
          <w:bCs/>
          <w:color w:val="000000" w:themeColor="text1"/>
          <w:sz w:val="20"/>
          <w:szCs w:val="20"/>
          <w:lang w:eastAsia="en-GB"/>
        </w:rPr>
        <w:t>Cage, S. (2003a).</w:t>
      </w:r>
      <w:r w:rsidR="00BF3AFF" w:rsidRPr="0098635C">
        <w:rPr>
          <w:rFonts w:eastAsiaTheme="minorEastAsia"/>
          <w:bCs/>
          <w:color w:val="000000" w:themeColor="text1"/>
          <w:sz w:val="20"/>
          <w:szCs w:val="20"/>
          <w:lang w:eastAsia="en-GB"/>
        </w:rPr>
        <w:t xml:space="preserve"> Copper compounds </w:t>
      </w:r>
      <w:r w:rsidR="00BF3AFF" w:rsidRPr="0098635C">
        <w:rPr>
          <w:color w:val="000000" w:themeColor="text1"/>
          <w:sz w:val="20"/>
          <w:szCs w:val="20"/>
        </w:rPr>
        <w:t>: In vitro dermal penetration study through human skin</w:t>
      </w:r>
      <w:r w:rsidR="00BF3AFF" w:rsidRPr="0098635C">
        <w:rPr>
          <w:rFonts w:eastAsiaTheme="minorEastAsia"/>
          <w:bCs/>
          <w:color w:val="000000" w:themeColor="text1"/>
          <w:sz w:val="20"/>
          <w:szCs w:val="20"/>
          <w:lang w:eastAsia="en-GB"/>
        </w:rPr>
        <w:t xml:space="preserve">. </w:t>
      </w:r>
      <w:r w:rsidRPr="0098635C">
        <w:rPr>
          <w:rFonts w:eastAsiaTheme="minorEastAsia"/>
          <w:bCs/>
          <w:color w:val="000000" w:themeColor="text1"/>
          <w:sz w:val="20"/>
          <w:szCs w:val="20"/>
          <w:lang w:eastAsia="en-GB"/>
        </w:rPr>
        <w:t>Am. J. Clin. Nutr. 63, 797-811. Testing laboratory: Huntingdon Life Sciences Ltd. Study number: CSV 004/023929. Report date: 2003-07-</w:t>
      </w:r>
      <w:r w:rsidRPr="0098635C">
        <w:rPr>
          <w:rFonts w:eastAsiaTheme="minorEastAsia"/>
          <w:bCs/>
          <w:color w:val="000000" w:themeColor="text1"/>
          <w:sz w:val="20"/>
          <w:szCs w:val="20"/>
          <w:lang w:eastAsia="en-GB"/>
        </w:rPr>
        <w:lastRenderedPageBreak/>
        <w:t>14.</w:t>
      </w:r>
      <w:r w:rsidR="00A85A2F" w:rsidRPr="0098635C">
        <w:rPr>
          <w:color w:val="000000" w:themeColor="text1"/>
          <w:sz w:val="20"/>
          <w:szCs w:val="20"/>
        </w:rPr>
        <w:t xml:space="preserve"> Unpublished</w:t>
      </w:r>
    </w:p>
    <w:p w14:paraId="29572032" w14:textId="2E47C4B5" w:rsidR="00BF3AFF" w:rsidRPr="0098635C" w:rsidRDefault="00C24197" w:rsidP="001D4BD3">
      <w:pPr>
        <w:pStyle w:val="BodyText"/>
        <w:spacing w:after="0"/>
        <w:ind w:left="567" w:hanging="567"/>
        <w:rPr>
          <w:color w:val="000000" w:themeColor="text1"/>
          <w:sz w:val="20"/>
        </w:rPr>
      </w:pPr>
      <w:r w:rsidRPr="0098635C">
        <w:rPr>
          <w:color w:val="000000" w:themeColor="text1"/>
          <w:sz w:val="20"/>
        </w:rPr>
        <w:t>Cage S, 2003. Copper compounds: In vitro dermal penetration study through human skin. Testing laboratory: Huntingdon Life Science Ltd., Huntingdon, UK. Report no.: CVS 004/023929. Report date: 2003-07-15.</w:t>
      </w:r>
      <w:r w:rsidR="006A138F" w:rsidRPr="0098635C">
        <w:rPr>
          <w:color w:val="000000" w:themeColor="text1"/>
          <w:sz w:val="20"/>
        </w:rPr>
        <w:t xml:space="preserve"> Unpublished.</w:t>
      </w:r>
    </w:p>
    <w:p w14:paraId="0CDBE832"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de-DE"/>
        </w:rPr>
        <w:t xml:space="preserve">Cai L, Koropatnick J, Cherian MG, 1995. </w:t>
      </w:r>
      <w:r w:rsidRPr="0098635C">
        <w:rPr>
          <w:color w:val="000000" w:themeColor="text1"/>
          <w:sz w:val="20"/>
        </w:rPr>
        <w:t xml:space="preserve">Metallothienein protects DNA from copper-induced but not iron-induced cleavage in vitro. Chem-Biol. Interact. 96:143-155. </w:t>
      </w:r>
    </w:p>
    <w:p w14:paraId="6B678733"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Cairns J Jr, Buikema AL Jr, Heath AG, Parker BC, 1978. Effects of temperature on aquatic organism sensitivity to selected chemicals. Bulletin 106.</w:t>
      </w:r>
    </w:p>
    <w:p w14:paraId="7DBAA2D7"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Calamari D, Marchetti R, 1973. The toxicity of mixtures of metals and surfactants to rainbow trout (</w:t>
      </w:r>
      <w:r w:rsidRPr="0098635C">
        <w:rPr>
          <w:i/>
          <w:color w:val="000000" w:themeColor="text1"/>
          <w:sz w:val="20"/>
        </w:rPr>
        <w:t>Salmo gairdneri</w:t>
      </w:r>
      <w:r w:rsidRPr="0098635C">
        <w:rPr>
          <w:color w:val="000000" w:themeColor="text1"/>
          <w:sz w:val="20"/>
        </w:rPr>
        <w:t xml:space="preserve"> rich.). Water Res. 7:1453-1464. </w:t>
      </w:r>
    </w:p>
    <w:p w14:paraId="7C0600EC"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Carlton WW, Price PS, 1973. Dietary copper and the induction of neoplasms in the rat by acetylaminofluorene and dimethylnitrosamine. Fd.Cosmet.Toxicol. 11:827-840.</w:t>
      </w:r>
    </w:p>
    <w:p w14:paraId="0D5E5074"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Cartwright GE, Wintrobe MM, 1964. Copper metabolism in normal subjects.  Am.J.Clin.Nutr. 14:224-232.</w:t>
      </w:r>
    </w:p>
    <w:p w14:paraId="76412936"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Cerda B, Olive JH, 1993. Effects of diet on seven-day </w:t>
      </w:r>
      <w:r w:rsidRPr="0098635C">
        <w:rPr>
          <w:i/>
          <w:color w:val="000000" w:themeColor="text1"/>
          <w:sz w:val="20"/>
        </w:rPr>
        <w:t>Ceriodaphnia dubia</w:t>
      </w:r>
      <w:r w:rsidRPr="0098635C">
        <w:rPr>
          <w:color w:val="000000" w:themeColor="text1"/>
          <w:sz w:val="20"/>
        </w:rPr>
        <w:t xml:space="preserve"> toxicity tests. Ohio J. Sci. 93(3):44-47 </w:t>
      </w:r>
    </w:p>
    <w:p w14:paraId="3CD6E9DD"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Chakoumakos C, Russo RC, Thurston RV, 1979. Toxicity of copper to cutthroat trout (</w:t>
      </w:r>
      <w:r w:rsidRPr="0098635C">
        <w:rPr>
          <w:i/>
          <w:color w:val="000000" w:themeColor="text1"/>
          <w:sz w:val="20"/>
        </w:rPr>
        <w:t>Salmo clarki</w:t>
      </w:r>
      <w:r w:rsidRPr="0098635C">
        <w:rPr>
          <w:color w:val="000000" w:themeColor="text1"/>
          <w:sz w:val="20"/>
        </w:rPr>
        <w:t xml:space="preserve">) under different conditions of alkalinity, pH and hardness. Am.Chem. Soc. 13(2). </w:t>
      </w:r>
    </w:p>
    <w:p w14:paraId="1BD696D5"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Chander K, Brookes PC, 1993. Residual effects of zinc, copper and nickel in sewage sludge on microbial biomass in a sandy loam. Soil Biol.Biochem. 25(9):1231-1239. </w:t>
      </w:r>
    </w:p>
    <w:p w14:paraId="1265312A"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Chaney RL, 1983 .  Fate of toxic substances in sludge applied to cropland. In: Proc. International Symposium on Land Application of Sewage Sludge. Oct. 13-15, 1982, Tokyo, pp.259-324.</w:t>
      </w:r>
    </w:p>
    <w:p w14:paraId="4F1BCC2F"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Chang CC, Tatum HJ, 1973. Absence of teratogenicity of intrauterine copper wire in rats, hamsters and rabbits. Contraception 7:413-434.</w:t>
      </w:r>
    </w:p>
    <w:p w14:paraId="68A0F790" w14:textId="59C96A1D" w:rsidR="00C24197" w:rsidRPr="0098635C" w:rsidRDefault="00C24197" w:rsidP="006E5329">
      <w:pPr>
        <w:pStyle w:val="BodyText"/>
        <w:spacing w:after="0"/>
        <w:ind w:left="567" w:hanging="567"/>
        <w:rPr>
          <w:color w:val="000000" w:themeColor="text1"/>
          <w:sz w:val="20"/>
          <w:lang w:val="nl-NL"/>
        </w:rPr>
      </w:pPr>
      <w:r w:rsidRPr="0098635C">
        <w:rPr>
          <w:color w:val="000000" w:themeColor="text1"/>
          <w:sz w:val="20"/>
        </w:rPr>
        <w:t xml:space="preserve">Chapman GA, 1978. Toxicities of cadmium, copper and zinc to four juvenile stages of chinook salmon and steelhead. </w:t>
      </w:r>
      <w:r w:rsidRPr="0098635C">
        <w:rPr>
          <w:color w:val="000000" w:themeColor="text1"/>
          <w:sz w:val="20"/>
          <w:lang w:val="nl-NL"/>
        </w:rPr>
        <w:t xml:space="preserve">Trans.Am.Fish.Soc. 107(6):841-847. </w:t>
      </w:r>
    </w:p>
    <w:p w14:paraId="02463345" w14:textId="25148FAA"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nl-NL"/>
        </w:rPr>
        <w:t xml:space="preserve">Chapman GA, Ota S, Recht F, 1980. </w:t>
      </w:r>
      <w:r w:rsidRPr="0098635C">
        <w:rPr>
          <w:color w:val="000000" w:themeColor="text1"/>
          <w:sz w:val="20"/>
        </w:rPr>
        <w:t xml:space="preserve">Effects of water hardness on the toxicity of metals to </w:t>
      </w:r>
      <w:r w:rsidRPr="0098635C">
        <w:rPr>
          <w:i/>
          <w:color w:val="000000" w:themeColor="text1"/>
          <w:sz w:val="20"/>
        </w:rPr>
        <w:t>Daphnia magna</w:t>
      </w:r>
      <w:r w:rsidRPr="0098635C">
        <w:rPr>
          <w:color w:val="000000" w:themeColor="text1"/>
          <w:sz w:val="20"/>
        </w:rPr>
        <w:t>. Testing laboratory: Corvallis Environmental Research laboratory, Office of Research and Development, US Environmental Protection Agency Corvallis, Oregon 97330. Report no.: E3621.</w:t>
      </w:r>
      <w:r w:rsidR="00A85A2F" w:rsidRPr="0098635C">
        <w:rPr>
          <w:color w:val="000000" w:themeColor="text1"/>
          <w:sz w:val="20"/>
        </w:rPr>
        <w:t xml:space="preserve"> Unpublished</w:t>
      </w:r>
    </w:p>
    <w:p w14:paraId="5A299D61" w14:textId="77777777" w:rsidR="00C24197" w:rsidRPr="0098635C" w:rsidRDefault="00C24197" w:rsidP="006E5329">
      <w:pPr>
        <w:pStyle w:val="BodyText"/>
        <w:spacing w:after="0"/>
        <w:ind w:left="567" w:hanging="567"/>
        <w:rPr>
          <w:color w:val="000000" w:themeColor="text1"/>
          <w:sz w:val="20"/>
          <w:lang w:val="de-DE"/>
        </w:rPr>
      </w:pPr>
      <w:r w:rsidRPr="0098635C">
        <w:rPr>
          <w:color w:val="000000" w:themeColor="text1"/>
          <w:sz w:val="20"/>
        </w:rPr>
        <w:t xml:space="preserve">Chapman GA, Stevens DG, 1978. Acutely lethal levens of cadmium, copper and zinc to adult male coho salmon and steelhead. </w:t>
      </w:r>
      <w:r w:rsidRPr="0098635C">
        <w:rPr>
          <w:color w:val="000000" w:themeColor="text1"/>
          <w:sz w:val="20"/>
          <w:lang w:val="de-DE"/>
        </w:rPr>
        <w:t xml:space="preserve">Trans.Am.Fish.Soc. 107(6):837-840. </w:t>
      </w:r>
    </w:p>
    <w:p w14:paraId="09877EBE"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de-DE"/>
        </w:rPr>
        <w:t xml:space="preserve">Chen R, Wei L, Chen RL, 1995. </w:t>
      </w:r>
      <w:r w:rsidRPr="0098635C">
        <w:rPr>
          <w:color w:val="000000" w:themeColor="text1"/>
          <w:sz w:val="20"/>
        </w:rPr>
        <w:t>Lung cancer mortality update and prevalence of smoking among copper miners and smelters. Scand.J.Work Environ.Health 21:513-516.</w:t>
      </w:r>
    </w:p>
    <w:p w14:paraId="2E15E3BD"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Chen RL, Wei L, Huang H, 1993. Mortality from lung cancer among copper miners. Br.J.Ind.Med. 50:505-09.</w:t>
      </w:r>
    </w:p>
    <w:p w14:paraId="18CEA3A7"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Chhibba IM et al, 1994. Upper critical-level of copper in wheat (</w:t>
      </w:r>
      <w:r w:rsidRPr="0098635C">
        <w:rPr>
          <w:i/>
          <w:color w:val="000000" w:themeColor="text1"/>
          <w:sz w:val="20"/>
        </w:rPr>
        <w:t>Triticum aestivum</w:t>
      </w:r>
      <w:r w:rsidRPr="0098635C">
        <w:rPr>
          <w:color w:val="000000" w:themeColor="text1"/>
          <w:sz w:val="20"/>
        </w:rPr>
        <w:t xml:space="preserve">) raised on Typic Ustipsamment soil. Ind.J.Agric.Sci. 64:285-289. </w:t>
      </w:r>
    </w:p>
    <w:p w14:paraId="6FB993ED" w14:textId="08FDA0EA" w:rsidR="00430CA3" w:rsidRPr="0098635C" w:rsidRDefault="00BD620F" w:rsidP="006E5329">
      <w:pPr>
        <w:pStyle w:val="BodyText"/>
        <w:spacing w:after="0"/>
        <w:ind w:left="567" w:hanging="567"/>
        <w:rPr>
          <w:color w:val="000000" w:themeColor="text1"/>
          <w:sz w:val="20"/>
        </w:rPr>
      </w:pPr>
      <w:r w:rsidRPr="0098635C">
        <w:rPr>
          <w:color w:val="000000" w:themeColor="text1"/>
          <w:sz w:val="20"/>
        </w:rPr>
        <w:t>Chung MK, Baek SS, Lee SH, Kim H, Choi K, Kim JC</w:t>
      </w:r>
      <w:r w:rsidR="00426365" w:rsidRPr="0098635C">
        <w:rPr>
          <w:color w:val="000000" w:themeColor="text1"/>
          <w:sz w:val="20"/>
        </w:rPr>
        <w:t>, 2009</w:t>
      </w:r>
      <w:r w:rsidRPr="0098635C">
        <w:rPr>
          <w:color w:val="000000" w:themeColor="text1"/>
          <w:sz w:val="20"/>
        </w:rPr>
        <w:t>. Combined repeated dose and reproductive/developmental toxicities of copper monochloride in rats. Environmental Toxicology 24(4):315-326.</w:t>
      </w:r>
    </w:p>
    <w:p w14:paraId="37D54028" w14:textId="77777777" w:rsidR="00C24197" w:rsidRPr="0098635C" w:rsidRDefault="00C24197" w:rsidP="006E5329">
      <w:pPr>
        <w:pStyle w:val="BodyText"/>
        <w:spacing w:after="0"/>
        <w:ind w:left="567" w:hanging="567"/>
        <w:rPr>
          <w:color w:val="000000" w:themeColor="text1"/>
          <w:sz w:val="20"/>
          <w:lang w:val="fr-FR"/>
        </w:rPr>
      </w:pPr>
      <w:r w:rsidRPr="0098635C">
        <w:rPr>
          <w:color w:val="000000" w:themeColor="text1"/>
          <w:sz w:val="20"/>
        </w:rPr>
        <w:t xml:space="preserve">Coates RJ, Weiss NS, Daling JR, Rettmer RL, Warnick GR, 1989. Cancer risk in relation to serum copper levels. </w:t>
      </w:r>
      <w:r w:rsidRPr="0098635C">
        <w:rPr>
          <w:color w:val="000000" w:themeColor="text1"/>
          <w:sz w:val="20"/>
          <w:lang w:val="fr-FR"/>
        </w:rPr>
        <w:t>Cancer Res. 49:4353-4356.</w:t>
      </w:r>
    </w:p>
    <w:p w14:paraId="0B0B0D82"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fr-FR"/>
        </w:rPr>
        <w:t xml:space="preserve">Codina JC, Perez-Torrente C, Perez-Garcia A, Cazorla FM, de Vicente A, 1995. </w:t>
      </w:r>
      <w:r w:rsidRPr="0098635C">
        <w:rPr>
          <w:color w:val="000000" w:themeColor="text1"/>
          <w:sz w:val="20"/>
        </w:rPr>
        <w:t>Comparison of microbial tests for the detection of heavy metal genotoxicity. Arch.Environ.Contam.Toxicol. 29:260-265.</w:t>
      </w:r>
    </w:p>
    <w:p w14:paraId="4211F8F0" w14:textId="17C0224D" w:rsidR="00C24197" w:rsidRPr="0098635C" w:rsidRDefault="00C24197" w:rsidP="006E5329">
      <w:pPr>
        <w:pStyle w:val="BodyText"/>
        <w:spacing w:after="0"/>
        <w:ind w:left="567" w:hanging="567"/>
        <w:rPr>
          <w:color w:val="000000" w:themeColor="text1"/>
          <w:sz w:val="20"/>
        </w:rPr>
      </w:pPr>
      <w:r w:rsidRPr="0098635C">
        <w:rPr>
          <w:color w:val="000000" w:themeColor="text1"/>
          <w:sz w:val="20"/>
        </w:rPr>
        <w:t>Collier JA, Wilson JC, 1984a. OECD Eye irritation test. Determination of the degree of ocular irritation caused by cuprous oxide in the rabbit. Testing laboratory: SafePharm Laboratories Limited. Report no.: 105/8404. Report date: 1984-05-18.</w:t>
      </w:r>
      <w:r w:rsidR="00A85A2F" w:rsidRPr="0098635C">
        <w:rPr>
          <w:color w:val="000000" w:themeColor="text1"/>
          <w:sz w:val="20"/>
        </w:rPr>
        <w:t xml:space="preserve"> Unpublished</w:t>
      </w:r>
    </w:p>
    <w:p w14:paraId="4687D851"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Collier TA, Wilson JC, 1984b. OECD skin irritation test: Determination of the degree of primary cutaneous irritation caused by cuprous oxide in the rabbit. </w:t>
      </w:r>
    </w:p>
    <w:p w14:paraId="6482800D" w14:textId="05EAAF2F"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fr-FR"/>
        </w:rPr>
        <w:t xml:space="preserve">Collier TA, Wilson JC, 1984c. </w:t>
      </w:r>
      <w:r w:rsidRPr="0098635C">
        <w:rPr>
          <w:color w:val="000000" w:themeColor="text1"/>
          <w:sz w:val="20"/>
        </w:rPr>
        <w:t>OECD Acute oral toxicity test: Determination of the acute oral median Lethal Dose (LD50) of cuprous oxide in the rat. Testing laboratory: SafePharm Laboratories Limited. Report no.: 296/8404.Report date: 1984-05-18.</w:t>
      </w:r>
      <w:r w:rsidR="00A85A2F" w:rsidRPr="0098635C">
        <w:rPr>
          <w:color w:val="000000" w:themeColor="text1"/>
          <w:sz w:val="20"/>
        </w:rPr>
        <w:t xml:space="preserve"> Unpublished</w:t>
      </w:r>
    </w:p>
    <w:p w14:paraId="7D7770C0"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Collvin L, 1984. The effects of copper on maximum respiration rate and growth rate of perch, </w:t>
      </w:r>
      <w:r w:rsidRPr="0098635C">
        <w:rPr>
          <w:i/>
          <w:color w:val="000000" w:themeColor="text1"/>
          <w:sz w:val="20"/>
        </w:rPr>
        <w:t>Perca fluviatilis</w:t>
      </w:r>
      <w:r w:rsidRPr="0098635C">
        <w:rPr>
          <w:color w:val="000000" w:themeColor="text1"/>
          <w:sz w:val="20"/>
        </w:rPr>
        <w:t xml:space="preserve">. Water Res. 18(2):139-144. </w:t>
      </w:r>
    </w:p>
    <w:p w14:paraId="7B1439B2" w14:textId="319C0CB6" w:rsidR="000C1A49" w:rsidRPr="0098635C" w:rsidRDefault="000C1A49" w:rsidP="00926614">
      <w:pPr>
        <w:spacing w:after="0"/>
        <w:ind w:left="567" w:hanging="567"/>
        <w:rPr>
          <w:color w:val="000000" w:themeColor="text1"/>
          <w:sz w:val="20"/>
          <w:szCs w:val="20"/>
        </w:rPr>
      </w:pPr>
      <w:bookmarkStart w:id="2034" w:name="d0e65326"/>
      <w:r w:rsidRPr="0098635C">
        <w:rPr>
          <w:rFonts w:eastAsiaTheme="minorEastAsia"/>
          <w:bCs/>
          <w:color w:val="000000" w:themeColor="text1"/>
          <w:sz w:val="20"/>
          <w:szCs w:val="20"/>
          <w:lang w:eastAsia="en-GB"/>
        </w:rPr>
        <w:t>Collvin, L. (1985). The Effect of Copper on Growth, Food Consumption of Perch Perca Fluviatilis Offered Maximal Food Rations. Aquatic Toxicol. 6, 105-113.</w:t>
      </w:r>
      <w:bookmarkEnd w:id="2034"/>
    </w:p>
    <w:p w14:paraId="6A2D6385"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Criel P, De Schamphelaere KAC, Janssen CR, 2005. Development of a predictive model of bioavailability and toxicity of copper in soils Invertebrate toxicity. Laboratory of Environmental Toxicology and Aquatic Ecology, Ghent University.</w:t>
      </w:r>
    </w:p>
    <w:p w14:paraId="6A4FC333"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Cristofori P, Terron A, Marella M, Moretti U, Pasqualicchio M, Velo GP, Milanino R, 1992. Copper supplementation in the rat: preliminary observations on the clinical hematological and histopathological profile. Agents Actions, Conference issue. </w:t>
      </w:r>
    </w:p>
    <w:p w14:paraId="11006C39"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Cromwell GL, Stahly TS, Monegue HJ, 1989. Effects of source and level of copper on performance and liver copper stores in weanling pigs. J.Animal Sci. 67:2996-3002.</w:t>
      </w:r>
    </w:p>
    <w:p w14:paraId="58448160"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Curtis MW, Copeland TL, Ward CH, 1979. Acute toxicity of 12 industrial chemicals to freshwater and saltwater organisms. Water Res. 13:137-174. </w:t>
      </w:r>
    </w:p>
    <w:p w14:paraId="57242254"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lastRenderedPageBreak/>
        <w:t xml:space="preserve">Curtis MW, Ward CH, 1981. Aquatic toxicity of forty industrial chemicals: testing in support of hazardous substance spill prevention regulation. J.Hydrol. 51:359-367. </w:t>
      </w:r>
    </w:p>
    <w:p w14:paraId="2045E448"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Cusimano RF, Brakke DF, Chapman GA, 1986. Effects of pH on the toxicities of cadmium, copper, and zinc to steelhead trout (</w:t>
      </w:r>
      <w:r w:rsidRPr="0098635C">
        <w:rPr>
          <w:i/>
          <w:color w:val="000000" w:themeColor="text1"/>
          <w:sz w:val="20"/>
        </w:rPr>
        <w:t>Salmo gairdneri</w:t>
      </w:r>
      <w:r w:rsidRPr="0098635C">
        <w:rPr>
          <w:color w:val="000000" w:themeColor="text1"/>
          <w:sz w:val="20"/>
        </w:rPr>
        <w:t xml:space="preserve">). Can.J.Fish.Aq.Sci. 43:1497-1503. </w:t>
      </w:r>
    </w:p>
    <w:p w14:paraId="7534C676" w14:textId="28C7E54B" w:rsidR="000C1A49" w:rsidRPr="0098635C" w:rsidRDefault="00C24197" w:rsidP="001D4BD3">
      <w:pPr>
        <w:pStyle w:val="BodyText"/>
        <w:spacing w:after="0"/>
        <w:ind w:left="567" w:hanging="567"/>
        <w:rPr>
          <w:color w:val="000000" w:themeColor="text1"/>
          <w:sz w:val="20"/>
          <w:lang w:val="nl-NL"/>
        </w:rPr>
      </w:pPr>
      <w:r w:rsidRPr="0098635C">
        <w:rPr>
          <w:color w:val="000000" w:themeColor="text1"/>
          <w:sz w:val="20"/>
        </w:rPr>
        <w:t xml:space="preserve">Cuthbert JA, Carr SMA, 1986. Cuprous oxide: Acute oral and dermal toxicity tests in rats. </w:t>
      </w:r>
      <w:r w:rsidRPr="0098635C">
        <w:rPr>
          <w:color w:val="000000" w:themeColor="text1"/>
          <w:sz w:val="20"/>
          <w:lang w:val="nl-NL"/>
        </w:rPr>
        <w:t>Inveresk Research International. Report No. 3464. Unpublished.</w:t>
      </w:r>
      <w:r w:rsidR="00A85A2F" w:rsidRPr="0098635C">
        <w:rPr>
          <w:color w:val="000000" w:themeColor="text1"/>
          <w:sz w:val="20"/>
          <w:lang w:val="nl-BE"/>
        </w:rPr>
        <w:t xml:space="preserve"> </w:t>
      </w:r>
    </w:p>
    <w:p w14:paraId="7FC6AD88" w14:textId="77777777" w:rsidR="00C24197" w:rsidRPr="0098635C" w:rsidRDefault="00C24197" w:rsidP="006E5329">
      <w:pPr>
        <w:pStyle w:val="BodyText"/>
        <w:spacing w:after="0"/>
        <w:ind w:left="567" w:hanging="567"/>
        <w:rPr>
          <w:color w:val="000000" w:themeColor="text1"/>
          <w:sz w:val="20"/>
          <w:lang w:val="nl-NL"/>
        </w:rPr>
      </w:pPr>
      <w:r w:rsidRPr="0098635C">
        <w:rPr>
          <w:color w:val="000000" w:themeColor="text1"/>
          <w:sz w:val="20"/>
          <w:lang w:val="nl-NL"/>
        </w:rPr>
        <w:t xml:space="preserve">De Groot AC, Peijnenburg WGJM, van den Hoop MAGT, Ritsema R, van Veen RPM, 1998. </w:t>
      </w:r>
      <w:r w:rsidRPr="0098635C">
        <w:rPr>
          <w:color w:val="000000" w:themeColor="text1"/>
          <w:sz w:val="20"/>
        </w:rPr>
        <w:t xml:space="preserve">Heavy metals in Dutch field soils: an experimental and theoretical study on equilibrium partitioning. Testing laboratory: Laboratory for Ecotoxicology, National Institute of Public Health and the Environment. </w:t>
      </w:r>
      <w:r w:rsidRPr="0098635C">
        <w:rPr>
          <w:color w:val="000000" w:themeColor="text1"/>
          <w:sz w:val="20"/>
          <w:lang w:val="nl-NL"/>
        </w:rPr>
        <w:t xml:space="preserve">Report no.: 607220001. </w:t>
      </w:r>
    </w:p>
    <w:p w14:paraId="03FC35D1" w14:textId="77777777" w:rsidR="00C24197" w:rsidRPr="0098635C" w:rsidRDefault="00C24197" w:rsidP="006E5329">
      <w:pPr>
        <w:pStyle w:val="BodyText"/>
        <w:spacing w:after="0"/>
        <w:ind w:left="567" w:hanging="567"/>
        <w:rPr>
          <w:color w:val="000000" w:themeColor="text1"/>
          <w:sz w:val="20"/>
          <w:lang w:val="nl-NL"/>
        </w:rPr>
      </w:pPr>
      <w:r w:rsidRPr="0098635C">
        <w:rPr>
          <w:color w:val="000000" w:themeColor="text1"/>
          <w:sz w:val="20"/>
          <w:lang w:val="nl-NL"/>
        </w:rPr>
        <w:t xml:space="preserve">De Haan S, Rethfeld H, van Driel W, 1985. </w:t>
      </w:r>
      <w:r w:rsidRPr="0098635C">
        <w:rPr>
          <w:color w:val="000000" w:themeColor="text1"/>
          <w:sz w:val="20"/>
        </w:rPr>
        <w:t xml:space="preserve">Acceptable levels of heavy metals (Cd, Cr, Cu, Ni, Pb, Zn) in soils, depending on their clay and human content and cation-exchange capacity. </w:t>
      </w:r>
      <w:r w:rsidRPr="0098635C">
        <w:rPr>
          <w:color w:val="000000" w:themeColor="text1"/>
          <w:sz w:val="20"/>
          <w:lang w:val="nl-NL"/>
        </w:rPr>
        <w:t xml:space="preserve">Instituut Voor Bodemvruchtbaarheid Haren-Gr. Report no.: 0434-6793. </w:t>
      </w:r>
    </w:p>
    <w:p w14:paraId="7DA94CB1"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nl-NL"/>
        </w:rPr>
        <w:t xml:space="preserve">De Schamphelaere KAC et al, 2006. </w:t>
      </w:r>
      <w:r w:rsidRPr="0098635C">
        <w:rPr>
          <w:color w:val="000000" w:themeColor="text1"/>
          <w:sz w:val="20"/>
        </w:rPr>
        <w:t xml:space="preserve">Cross–phylum comparison of a chronic biotic ligand model to predict chronic toxicity of copper to a freshwater rotifer, </w:t>
      </w:r>
      <w:r w:rsidRPr="0098635C">
        <w:rPr>
          <w:i/>
          <w:color w:val="000000" w:themeColor="text1"/>
          <w:sz w:val="20"/>
        </w:rPr>
        <w:t>Brachionus calyciflorus</w:t>
      </w:r>
      <w:r w:rsidRPr="0098635C">
        <w:rPr>
          <w:color w:val="000000" w:themeColor="text1"/>
          <w:sz w:val="20"/>
        </w:rPr>
        <w:t xml:space="preserve">. Ecotox.Environ.Safe. 63:189-195. </w:t>
      </w:r>
    </w:p>
    <w:p w14:paraId="62F0243A" w14:textId="1B5EE1A6" w:rsidR="00C24197" w:rsidRPr="0098635C" w:rsidRDefault="00C24197" w:rsidP="006E5329">
      <w:pPr>
        <w:pStyle w:val="BodyText"/>
        <w:spacing w:after="0"/>
        <w:ind w:left="567" w:hanging="567"/>
        <w:rPr>
          <w:color w:val="000000" w:themeColor="text1"/>
          <w:sz w:val="20"/>
        </w:rPr>
      </w:pPr>
      <w:r w:rsidRPr="0098635C">
        <w:rPr>
          <w:color w:val="000000" w:themeColor="text1"/>
          <w:sz w:val="20"/>
        </w:rPr>
        <w:t>De Schamphelaere KAC, Janssen CR, 2002</w:t>
      </w:r>
      <w:r w:rsidR="0035539F" w:rsidRPr="0098635C">
        <w:rPr>
          <w:color w:val="000000" w:themeColor="text1"/>
          <w:sz w:val="20"/>
        </w:rPr>
        <w:t>b</w:t>
      </w:r>
      <w:r w:rsidRPr="0098635C">
        <w:rPr>
          <w:color w:val="000000" w:themeColor="text1"/>
          <w:sz w:val="20"/>
        </w:rPr>
        <w:t xml:space="preserve">. A biotic ligand model predicting acute copper toxicity to </w:t>
      </w:r>
      <w:r w:rsidRPr="0098635C">
        <w:rPr>
          <w:i/>
          <w:color w:val="000000" w:themeColor="text1"/>
          <w:sz w:val="20"/>
        </w:rPr>
        <w:t>Daphnia magna</w:t>
      </w:r>
      <w:r w:rsidRPr="0098635C">
        <w:rPr>
          <w:color w:val="000000" w:themeColor="text1"/>
          <w:sz w:val="20"/>
        </w:rPr>
        <w:t xml:space="preserve">: the effects of calcium, magnesium, sodium, potassium and pH. Environ.Sci.Technol. 36:48- 84. </w:t>
      </w:r>
    </w:p>
    <w:p w14:paraId="31AA9DB6" w14:textId="59C8EA59" w:rsidR="00C24197" w:rsidRPr="0098635C" w:rsidRDefault="00C24197" w:rsidP="006E5329">
      <w:pPr>
        <w:pStyle w:val="BodyText"/>
        <w:spacing w:after="0"/>
        <w:ind w:left="567" w:hanging="567"/>
        <w:rPr>
          <w:color w:val="000000" w:themeColor="text1"/>
          <w:sz w:val="20"/>
        </w:rPr>
      </w:pPr>
      <w:r w:rsidRPr="0098635C">
        <w:rPr>
          <w:color w:val="000000" w:themeColor="text1"/>
          <w:sz w:val="20"/>
        </w:rPr>
        <w:t>De Schamphelaere KAC, Janssen CR, 2004</w:t>
      </w:r>
      <w:r w:rsidR="0035539F" w:rsidRPr="0098635C">
        <w:rPr>
          <w:color w:val="000000" w:themeColor="text1"/>
          <w:sz w:val="20"/>
        </w:rPr>
        <w:t>a</w:t>
      </w:r>
      <w:r w:rsidRPr="0098635C">
        <w:rPr>
          <w:color w:val="000000" w:themeColor="text1"/>
          <w:sz w:val="20"/>
        </w:rPr>
        <w:t xml:space="preserve">. Development and field validation of a biotic ligand model predicting chronic copper toxicity to </w:t>
      </w:r>
      <w:r w:rsidRPr="0098635C">
        <w:rPr>
          <w:i/>
          <w:color w:val="000000" w:themeColor="text1"/>
          <w:sz w:val="20"/>
        </w:rPr>
        <w:t>Daphnia magna</w:t>
      </w:r>
      <w:r w:rsidRPr="0098635C">
        <w:rPr>
          <w:color w:val="000000" w:themeColor="text1"/>
          <w:sz w:val="20"/>
        </w:rPr>
        <w:t xml:space="preserve">. Environ.Toxicol.Chem. 23(6):1365-75. </w:t>
      </w:r>
    </w:p>
    <w:p w14:paraId="79712462" w14:textId="600EF0A9" w:rsidR="00C24197" w:rsidRPr="0098635C" w:rsidRDefault="00C24197" w:rsidP="006E5329">
      <w:pPr>
        <w:pStyle w:val="BodyText"/>
        <w:spacing w:after="0"/>
        <w:ind w:left="567" w:hanging="567"/>
        <w:rPr>
          <w:color w:val="000000" w:themeColor="text1"/>
          <w:sz w:val="20"/>
        </w:rPr>
      </w:pPr>
      <w:r w:rsidRPr="0098635C">
        <w:rPr>
          <w:color w:val="000000" w:themeColor="text1"/>
          <w:sz w:val="20"/>
        </w:rPr>
        <w:t>De Schamphelaere KAC, Janssen CR, 2004</w:t>
      </w:r>
      <w:r w:rsidR="0035539F" w:rsidRPr="0098635C">
        <w:rPr>
          <w:color w:val="000000" w:themeColor="text1"/>
          <w:sz w:val="20"/>
        </w:rPr>
        <w:t>b</w:t>
      </w:r>
      <w:r w:rsidRPr="0098635C">
        <w:rPr>
          <w:color w:val="000000" w:themeColor="text1"/>
          <w:sz w:val="20"/>
        </w:rPr>
        <w:t xml:space="preserve">. Modelling copper bioavailability and toxicity in freshwater: uncertainty reduction for risk assessment (Chronic fish-BLM). Final Report for the Voluntary risk assessment of copper, copper II sulphate, pentahydrate, copper(I) oxide, copper(II) oxide, dicopper chloride trihydroxide, Appendix U. Testing laboratory: Laboratory of Environmental Toxicology and Aquatic Ecology, Ghent University. </w:t>
      </w:r>
      <w:r w:rsidR="00A85A2F" w:rsidRPr="0098635C">
        <w:rPr>
          <w:color w:val="000000" w:themeColor="text1"/>
          <w:sz w:val="20"/>
        </w:rPr>
        <w:t>Unpublished</w:t>
      </w:r>
    </w:p>
    <w:p w14:paraId="048DB892" w14:textId="1EF0F4D1" w:rsidR="00C24197" w:rsidRPr="0098635C" w:rsidRDefault="00C24197" w:rsidP="006E5329">
      <w:pPr>
        <w:pStyle w:val="BodyText"/>
        <w:spacing w:after="0"/>
        <w:ind w:left="567" w:hanging="567"/>
        <w:rPr>
          <w:color w:val="000000" w:themeColor="text1"/>
          <w:sz w:val="20"/>
        </w:rPr>
      </w:pPr>
      <w:r w:rsidRPr="0098635C">
        <w:rPr>
          <w:color w:val="000000" w:themeColor="text1"/>
          <w:sz w:val="20"/>
        </w:rPr>
        <w:t>De Schamphelaere KAC, Janssen CR, 2004</w:t>
      </w:r>
      <w:r w:rsidR="0035539F" w:rsidRPr="0098635C">
        <w:rPr>
          <w:color w:val="000000" w:themeColor="text1"/>
          <w:sz w:val="20"/>
        </w:rPr>
        <w:t>c</w:t>
      </w:r>
      <w:r w:rsidRPr="0098635C">
        <w:rPr>
          <w:color w:val="000000" w:themeColor="text1"/>
          <w:sz w:val="20"/>
        </w:rPr>
        <w:t xml:space="preserve">. Effects of chronic dietary copper exposure on growth and reproduction of </w:t>
      </w:r>
      <w:r w:rsidRPr="0098635C">
        <w:rPr>
          <w:i/>
          <w:color w:val="000000" w:themeColor="text1"/>
          <w:sz w:val="20"/>
        </w:rPr>
        <w:t>Daphnia magna</w:t>
      </w:r>
      <w:r w:rsidRPr="0098635C">
        <w:rPr>
          <w:color w:val="000000" w:themeColor="text1"/>
          <w:sz w:val="20"/>
        </w:rPr>
        <w:t xml:space="preserve">. Environ.Toxicol.Chem. 23(8):2038-2047. </w:t>
      </w:r>
    </w:p>
    <w:p w14:paraId="4BEE5AFB" w14:textId="77777777" w:rsidR="00C24197" w:rsidRPr="0098635C" w:rsidRDefault="00C24197" w:rsidP="006E5329">
      <w:pPr>
        <w:pStyle w:val="BodyText"/>
        <w:spacing w:after="0"/>
        <w:ind w:left="567" w:hanging="567"/>
        <w:rPr>
          <w:color w:val="000000" w:themeColor="text1"/>
          <w:sz w:val="20"/>
          <w:lang w:val="nl-BE"/>
        </w:rPr>
      </w:pPr>
      <w:r w:rsidRPr="0098635C">
        <w:rPr>
          <w:color w:val="000000" w:themeColor="text1"/>
          <w:sz w:val="20"/>
        </w:rPr>
        <w:t xml:space="preserve">De Schamphelaere KAC, Janssen CR, 2006. Bioavailability models for predicting copper toxicity to freshwater green microalgae as a function of water chemistry. </w:t>
      </w:r>
      <w:r w:rsidRPr="0098635C">
        <w:rPr>
          <w:color w:val="000000" w:themeColor="text1"/>
          <w:sz w:val="20"/>
          <w:lang w:val="nl-BE"/>
        </w:rPr>
        <w:t xml:space="preserve">Environ.Sci.Technol. 40:4514-4522. </w:t>
      </w:r>
    </w:p>
    <w:p w14:paraId="122533E4"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nl-BE"/>
        </w:rPr>
        <w:t xml:space="preserve">De Schamphelaere KAC, Vasconcelos F, Heijerick D, Tack F, Delbeke K, Janssen C, 2003. </w:t>
      </w:r>
      <w:r w:rsidRPr="0098635C">
        <w:rPr>
          <w:color w:val="000000" w:themeColor="text1"/>
          <w:sz w:val="20"/>
        </w:rPr>
        <w:t xml:space="preserve">Development and field validation of a predictive copper toxicity model for the green alga </w:t>
      </w:r>
      <w:r w:rsidRPr="0098635C">
        <w:rPr>
          <w:i/>
          <w:color w:val="000000" w:themeColor="text1"/>
          <w:sz w:val="20"/>
        </w:rPr>
        <w:t>Pseudokirchneriella subcapitata</w:t>
      </w:r>
      <w:r w:rsidRPr="0098635C">
        <w:rPr>
          <w:color w:val="000000" w:themeColor="text1"/>
          <w:sz w:val="20"/>
        </w:rPr>
        <w:t xml:space="preserve">. Environ.Toxicol.Chem. 22(10):2454-2465. </w:t>
      </w:r>
    </w:p>
    <w:p w14:paraId="785A5B81" w14:textId="261EC7FD" w:rsidR="00E26F4A" w:rsidRPr="0098635C" w:rsidRDefault="00E26F4A" w:rsidP="00926614">
      <w:pPr>
        <w:spacing w:after="0"/>
        <w:ind w:left="567" w:hanging="567"/>
        <w:rPr>
          <w:color w:val="000000" w:themeColor="text1"/>
          <w:sz w:val="20"/>
          <w:szCs w:val="20"/>
        </w:rPr>
      </w:pPr>
      <w:bookmarkStart w:id="2035" w:name="d0e65354"/>
      <w:r w:rsidRPr="0098635C">
        <w:rPr>
          <w:rFonts w:eastAsiaTheme="minorEastAsia"/>
          <w:bCs/>
          <w:color w:val="000000" w:themeColor="text1"/>
          <w:sz w:val="20"/>
          <w:szCs w:val="20"/>
          <w:lang w:eastAsia="en-GB"/>
        </w:rPr>
        <w:t>De Schamphelaere KAC, Heijerick DG and Janssen CR (2002a). Refinement and field validation of a biotic ligand model predicting acute copper toxicity to Daphnia magna. Comparative Biochemistry and Physiology, part C, nr 133, p 243-258. Testing laboratory: Laboratory of Environmental Toxicology and Aquatic Ecology, Ghent University, J. plateaustraat 22, 9000 Gent, Belgium.</w:t>
      </w:r>
      <w:bookmarkEnd w:id="2035"/>
    </w:p>
    <w:p w14:paraId="38446A1A"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Deaver E, Rodgers JH, 1996. Measuring bioavailable copper using anodic stripping voltammetry. Environ.Toxicol.Chem. 15(11):1925-1930. </w:t>
      </w:r>
    </w:p>
    <w:p w14:paraId="33A72ABB" w14:textId="09C7ECEC" w:rsidR="00C24197" w:rsidRPr="0098635C" w:rsidRDefault="00C24197" w:rsidP="006E5329">
      <w:pPr>
        <w:pStyle w:val="BodyText"/>
        <w:spacing w:after="0"/>
        <w:ind w:left="567" w:hanging="567"/>
        <w:rPr>
          <w:color w:val="000000" w:themeColor="text1"/>
          <w:sz w:val="20"/>
        </w:rPr>
      </w:pPr>
      <w:r w:rsidRPr="0098635C">
        <w:rPr>
          <w:color w:val="000000" w:themeColor="text1"/>
          <w:sz w:val="20"/>
        </w:rPr>
        <w:t>Deenihan MJ, 1987. Copper oxychloride technical grade – acute toxicology testing. Northview PacificLaboratories, Inc. Report No. X7G039G. Unpublished.</w:t>
      </w:r>
      <w:r w:rsidR="00A85A2F" w:rsidRPr="0098635C">
        <w:rPr>
          <w:color w:val="000000" w:themeColor="text1"/>
          <w:sz w:val="20"/>
        </w:rPr>
        <w:t xml:space="preserve"> </w:t>
      </w:r>
    </w:p>
    <w:p w14:paraId="2F1F261F"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Denizeau F, Marion M, 1989. Genotoxic effects of heavy metals in rat hepatocytes. Cell Biol. Toxicol. 5:15-25.</w:t>
      </w:r>
    </w:p>
    <w:p w14:paraId="59063319"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Di Carlo FJ, 1980. Syndromes of cardiovascular malformations induced by copper citrate in hamsters.  Teratol. 21:89-101.</w:t>
      </w:r>
    </w:p>
    <w:p w14:paraId="5DE33CFE"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Dickhaus S, 1988a. Irritant effects of Kupfer-I-Oxid on rabbit skin according to Draize.  Pharmatox. Report No. 1-3-42-88. Unpublished.</w:t>
      </w:r>
    </w:p>
    <w:p w14:paraId="71A7C03A"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Dickhaus S, Heisler E, 1987a. Prüfung der Substanz Kupferoxychlorid auf Primäre Hautreizwirkung beim Kaninchen. Pharmatox.Report No. 1-3-34-87. Unpublished.</w:t>
      </w:r>
    </w:p>
    <w:p w14:paraId="4B8656BF"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Dickhaus S, Heisler E, 1987b. Augenreiztest am kaninchen mit der Substanz Kupferoxychlorid nach Draize. Pharmatox. Report No. 1-3-33-87. Unpublished.</w:t>
      </w:r>
    </w:p>
    <w:p w14:paraId="7BBAC9F4" w14:textId="6858EB5E"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Dickhaus S, Heisler E, 1988a. Irritant effects of Kupfer-I-Oxide on rabbit skin acc. to draize (OECD-Guidance 404). Testing laboratory: Pharmatox GmbH. Report no.: E. H. /B. 1-3-42-88. </w:t>
      </w:r>
      <w:r w:rsidR="00A85A2F" w:rsidRPr="0098635C">
        <w:rPr>
          <w:color w:val="000000" w:themeColor="text1"/>
          <w:sz w:val="20"/>
        </w:rPr>
        <w:t>Unpublished</w:t>
      </w:r>
      <w:r w:rsidRPr="0098635C">
        <w:rPr>
          <w:color w:val="000000" w:themeColor="text1"/>
          <w:sz w:val="20"/>
        </w:rPr>
        <w:t>.</w:t>
      </w:r>
    </w:p>
    <w:p w14:paraId="47E29D69"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de-DE"/>
        </w:rPr>
        <w:t xml:space="preserve">Dickhaus S, Heisler E, 1988b. </w:t>
      </w:r>
      <w:r w:rsidRPr="0098635C">
        <w:rPr>
          <w:color w:val="000000" w:themeColor="text1"/>
          <w:sz w:val="20"/>
        </w:rPr>
        <w:t>Eye irritation test with kupfer-I-oxid according to Draize and OECD guidances no. 405. Pharmatox. Report No. 1-3-41-88. Unpublished.</w:t>
      </w:r>
    </w:p>
    <w:p w14:paraId="5BBDA414"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Dickhaus S. 1988b. Acute Toxicological Study of Kupfer-I-Oxid After Oral Application to the Quail. Pharmatox GmbH, project no. 1-8-43-88.</w:t>
      </w:r>
    </w:p>
    <w:p w14:paraId="154C726D"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Doelman P, Haanstra L, 1984. Short term and long term effects of cadmium, chromium, copper, nickel, lead and zinc on soil microbial respiration in relation to abiotic soil factors. Plant Soil 79:317-327. </w:t>
      </w:r>
    </w:p>
    <w:p w14:paraId="30CE8D4D" w14:textId="5DB1EAFA"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Doelman P, Haanstra L, 1989. Short- and long-term effects of heavy metals on phosphatase activity: An ecological dose-response model approach. Biol. Fertil.Soils. 8:235–241. </w:t>
      </w:r>
    </w:p>
    <w:p w14:paraId="7F0F844E"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Driscoll R, (1999d. Nordox Agro-grade: acute eye irritation test in the rabbit. Safepharm Laboratories. Report No. 148/016. Unpublished.</w:t>
      </w:r>
    </w:p>
    <w:p w14:paraId="1153B387"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Driscoll R, 1999a. Nordox Agro-grade: acute oral toxicity study in the rat – acute toxic class method. Safepharm Laboratories Limited. Report No. 148/012. Unpublished.</w:t>
      </w:r>
    </w:p>
    <w:p w14:paraId="531AFA03"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lastRenderedPageBreak/>
        <w:t>Driscoll R, 1999c. Nordox Agro-grade: acute dermal irritation test in the rabbit. Safepharm Laboratories Limited. Report No. 148/015. Unpublished.</w:t>
      </w:r>
    </w:p>
    <w:p w14:paraId="4CF6393A"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Driscoll R, 1999e. Nordox Agro-grade: Magnusson and Kligman maximisation study in the guinea pig. Safepharm Laboratories Limited. Report No. 148/017. Unpublished.</w:t>
      </w:r>
    </w:p>
    <w:p w14:paraId="1CFE54BE"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Drummond JG, Aranyi C, Schiff LG, Fenters JD, Graham JA, 1986. Comparative study of various methods used for determining health effects of inhaled sulfates. Environ. Res. 41, 514-528.</w:t>
      </w:r>
    </w:p>
    <w:p w14:paraId="4AF1BD6B"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Eckard Helmers, 1996. Trace metals in suspended particulate matter of Atlantic Ocean surface water (40°N to 20°S). Mar.Chem. 53:51-67. </w:t>
      </w:r>
    </w:p>
    <w:p w14:paraId="36FC9B85"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Eisler R, 1984. Trace metal changes associated with age of marine vertebrates. Biol.Trace Elem.Res. 6:165-180. </w:t>
      </w:r>
    </w:p>
    <w:p w14:paraId="13E71B81"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Elbaz-Poulichet F, Garnier J-M, Guan DM, Martin J-M, Thomas AJ, 1996. The conservative behaviour of trace metals (Cd, Cu, Ni and Pb) and As in the surface plume of stratified estuaries: example of the Rhöne River (France). Est.Coast.Shelf Sci. 42:289-310. </w:t>
      </w:r>
    </w:p>
    <w:p w14:paraId="2416E3B4"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Enterline PE, Day R, Marsh GM, 1995. Cancers related to exposure to arsenic at a copper smelter. Occup.Environ.Med. 52:28-32.</w:t>
      </w:r>
    </w:p>
    <w:p w14:paraId="1D2A40F1"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Erickson RJ et al, 1996. The effects of water chemistry on the toxicity of copper to fathead minnows. Environ.Toxicol.Chem. 15:181-193. </w:t>
      </w:r>
    </w:p>
    <w:p w14:paraId="790A1B24"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Erickson RJ, Benoit DA, Mattson VR, 1996. A protoype toxicity factors model for site-specific copper water quality criteria. Testing laboratory: US Environmental Protection Agency, environmental research laboratory, 6201 Congdon blvd, Duluth, Minnesota 55804, USA. Owner company: US Environmental Protection Agency. Report date: 1987-08-19. </w:t>
      </w:r>
    </w:p>
    <w:p w14:paraId="4C93A282" w14:textId="27ECD7E5" w:rsidR="00E26F4A" w:rsidRPr="0098635C" w:rsidRDefault="00E26F4A" w:rsidP="00926614">
      <w:pPr>
        <w:spacing w:after="0"/>
        <w:ind w:left="567" w:hanging="567"/>
        <w:rPr>
          <w:color w:val="000000" w:themeColor="text1"/>
          <w:sz w:val="20"/>
          <w:szCs w:val="20"/>
        </w:rPr>
      </w:pPr>
      <w:bookmarkStart w:id="2036" w:name="d0e65424"/>
      <w:r w:rsidRPr="0098635C">
        <w:rPr>
          <w:rFonts w:eastAsiaTheme="minorEastAsia"/>
          <w:bCs/>
          <w:color w:val="000000" w:themeColor="text1"/>
          <w:sz w:val="20"/>
          <w:szCs w:val="20"/>
          <w:lang w:eastAsia="en-GB"/>
        </w:rPr>
        <w:t xml:space="preserve">Ernst and Rittinghausen (2010). Re-examination of the sudy "A four-week inhalation toxicity study of cuprous oxide in sprague dawley rats with a time course evaluation and a 13-week recovery evaluation" by Kirkpatrick (2010). Testing laboratory: Fraunhofer Institute and Or. Böttner, Histovia. </w:t>
      </w:r>
      <w:r w:rsidR="009F120E" w:rsidRPr="0098635C">
        <w:rPr>
          <w:rFonts w:eastAsiaTheme="minorEastAsia"/>
          <w:bCs/>
          <w:color w:val="000000" w:themeColor="text1"/>
          <w:sz w:val="20"/>
          <w:szCs w:val="20"/>
          <w:lang w:eastAsia="en-GB"/>
        </w:rPr>
        <w:t>Unpublished</w:t>
      </w:r>
    </w:p>
    <w:bookmarkEnd w:id="2036"/>
    <w:p w14:paraId="13C019C2" w14:textId="77777777" w:rsidR="00C24197" w:rsidRPr="0098635C" w:rsidRDefault="00C24197" w:rsidP="006E5329">
      <w:pPr>
        <w:pStyle w:val="BodyText"/>
        <w:spacing w:after="0"/>
        <w:ind w:left="567" w:hanging="567"/>
        <w:rPr>
          <w:color w:val="000000" w:themeColor="text1"/>
          <w:sz w:val="20"/>
          <w:lang w:val="de-DE"/>
        </w:rPr>
      </w:pPr>
      <w:r w:rsidRPr="0098635C">
        <w:rPr>
          <w:color w:val="000000" w:themeColor="text1"/>
          <w:sz w:val="20"/>
        </w:rPr>
        <w:t xml:space="preserve">Fageria VD, 2001. Nutrient interactions in crop plants. </w:t>
      </w:r>
      <w:r w:rsidRPr="0098635C">
        <w:rPr>
          <w:color w:val="000000" w:themeColor="text1"/>
          <w:sz w:val="20"/>
          <w:lang w:val="de-DE"/>
        </w:rPr>
        <w:t xml:space="preserve">J.Plant Nutr. 24(8):1269-1290. </w:t>
      </w:r>
    </w:p>
    <w:p w14:paraId="4BA8EDAF"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de-DE"/>
        </w:rPr>
        <w:t xml:space="preserve">Farag AM et al, 1998. </w:t>
      </w:r>
      <w:r w:rsidRPr="0098635C">
        <w:rPr>
          <w:color w:val="000000" w:themeColor="text1"/>
          <w:sz w:val="20"/>
        </w:rPr>
        <w:t xml:space="preserve">Concentrations of metals associated with mining waste in sediments, biofilm, benthic macroinvertebrates, and fish from the Coeur d'Alene River Basin, Idaho. Arch.Environ.Contam.Toxicol. 34(2):119-127. </w:t>
      </w:r>
    </w:p>
    <w:p w14:paraId="2AB333FC"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Ferm HF, Hanlon DP, 1974. Toxicity of copper salts in hamster embryonic development. Biol. Reprod. 11:97-101.</w:t>
      </w:r>
    </w:p>
    <w:p w14:paraId="37DE031E"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Fischer PWF, L’Abbé MR, Giroux A, 1990. Effects of age, smoking, drinking, exercise and estrogen use on indices of copper status in healthy adults. Nutr.Res. 10:1081-1090. </w:t>
      </w:r>
    </w:p>
    <w:p w14:paraId="5B2A750E" w14:textId="5536F48C" w:rsidR="00C24197" w:rsidRPr="0098635C" w:rsidRDefault="00C24197" w:rsidP="006E5329">
      <w:pPr>
        <w:pStyle w:val="BodyText"/>
        <w:spacing w:after="0"/>
        <w:ind w:left="567" w:hanging="567"/>
        <w:rPr>
          <w:color w:val="000000" w:themeColor="text1"/>
          <w:sz w:val="20"/>
        </w:rPr>
      </w:pPr>
      <w:r w:rsidRPr="0098635C">
        <w:rPr>
          <w:color w:val="000000" w:themeColor="text1"/>
          <w:sz w:val="20"/>
        </w:rPr>
        <w:t>Foekema EM, Kramer KJM, Kaag NHBM, Sneekes AC, Hoornsman G, Lewis WE, van der Vlies EM, 2010. Determination of the biological effects and fate of dissolved copper in outdoor marine mesocosms, IMARES Report C105/10, IMARES, Wageningen, pp. 113</w:t>
      </w:r>
      <w:r w:rsidR="00356E50" w:rsidRPr="0098635C">
        <w:rPr>
          <w:color w:val="000000" w:themeColor="text1"/>
          <w:sz w:val="20"/>
        </w:rPr>
        <w:t xml:space="preserve"> </w:t>
      </w:r>
      <w:r w:rsidR="00A85A2F" w:rsidRPr="0098635C">
        <w:rPr>
          <w:color w:val="000000" w:themeColor="text1"/>
          <w:sz w:val="20"/>
        </w:rPr>
        <w:t xml:space="preserve"> Unpublished</w:t>
      </w:r>
    </w:p>
    <w:p w14:paraId="06D98E27"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Fogels A, Sprague JB, 1977. Comparative short-term tolerance of zebrafish, flagfish and rainbow trout to five poisons including potential reference toxicants. Water Res. 11:811-817. </w:t>
      </w:r>
    </w:p>
    <w:p w14:paraId="632F2F81"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Forster R, Luperi L, 1987a. Acute oral toxicity in rats. Test substance: copper oxychloride tech. Life Science Research. Report No. 128001-ST-01487. Unpublished.</w:t>
      </w:r>
    </w:p>
    <w:p w14:paraId="2D924479" w14:textId="33DA839D" w:rsidR="00FF5FEF" w:rsidRPr="0098635C" w:rsidRDefault="00FF5FEF" w:rsidP="001D4BD3">
      <w:pPr>
        <w:spacing w:after="0"/>
        <w:ind w:left="567" w:hanging="567"/>
        <w:rPr>
          <w:color w:val="000000" w:themeColor="text1"/>
          <w:sz w:val="20"/>
          <w:szCs w:val="20"/>
        </w:rPr>
      </w:pPr>
      <w:bookmarkStart w:id="2037" w:name="d0e65440"/>
      <w:r w:rsidRPr="0098635C">
        <w:rPr>
          <w:rFonts w:eastAsiaTheme="minorEastAsia"/>
          <w:bCs/>
          <w:color w:val="000000" w:themeColor="text1"/>
          <w:sz w:val="20"/>
          <w:szCs w:val="20"/>
          <w:lang w:eastAsia="en-GB"/>
        </w:rPr>
        <w:t>Forster, R. and Luperi, L. (1987b). Acute dermal toxicity in rabbits. Test substance: copper oxychloride tech., unpublished report. Testing laboratory: Life Science Research. Report no.: 128004-ST-01787</w:t>
      </w:r>
      <w:bookmarkEnd w:id="2037"/>
    </w:p>
    <w:p w14:paraId="05AA4E34" w14:textId="6C367E1E" w:rsidR="00C24197" w:rsidRPr="0098635C" w:rsidRDefault="00C24197" w:rsidP="006E5329">
      <w:pPr>
        <w:pStyle w:val="BodyText"/>
        <w:spacing w:after="0"/>
        <w:ind w:left="567" w:hanging="567"/>
        <w:rPr>
          <w:color w:val="000000" w:themeColor="text1"/>
          <w:sz w:val="20"/>
        </w:rPr>
      </w:pPr>
      <w:r w:rsidRPr="0098635C">
        <w:rPr>
          <w:color w:val="000000" w:themeColor="text1"/>
          <w:sz w:val="20"/>
        </w:rPr>
        <w:t>Forster R, Luperi L, 1987c. Primary skin irritation in rabbits. Test substance: copper oxychloride. Life Science Research. Report No. 128002-ST-01587. Unpublished.</w:t>
      </w:r>
    </w:p>
    <w:p w14:paraId="5834ACA7" w14:textId="77777777" w:rsidR="00FF5FEF" w:rsidRPr="0098635C" w:rsidRDefault="00FF5FEF" w:rsidP="00926614">
      <w:pPr>
        <w:pStyle w:val="BodyText"/>
        <w:spacing w:after="0"/>
        <w:ind w:left="567" w:hanging="567"/>
        <w:rPr>
          <w:color w:val="000000" w:themeColor="text1"/>
          <w:sz w:val="20"/>
        </w:rPr>
      </w:pPr>
      <w:bookmarkStart w:id="2038" w:name="d0e65444"/>
      <w:r w:rsidRPr="0098635C">
        <w:rPr>
          <w:rFonts w:eastAsiaTheme="minorEastAsia"/>
          <w:bCs/>
          <w:color w:val="000000" w:themeColor="text1"/>
          <w:sz w:val="20"/>
          <w:lang w:eastAsia="en-GB"/>
        </w:rPr>
        <w:t>Fort, D. J. and Stover, E. L. (1996). Effect of Low-Level Copper and Pentachlorophenol Exposure on Various Early Life Stages of Xenopus Laevis. In: Environmental Toxicology and Risk Assessment: Biomarkers and Risk Assessment (Fifth Volume), ASTM STP 1306, David A. Bengtson and Diane S. Henshel, Eds., American Society of Testing and Materials, Philadelphia, 1997.</w:t>
      </w:r>
    </w:p>
    <w:p w14:paraId="77D0705D" w14:textId="77777777" w:rsidR="00FF5FEF" w:rsidRPr="0098635C" w:rsidRDefault="00FF5FEF" w:rsidP="00926614">
      <w:pPr>
        <w:spacing w:after="0"/>
        <w:ind w:left="567" w:hanging="567"/>
        <w:rPr>
          <w:color w:val="000000" w:themeColor="text1"/>
          <w:sz w:val="20"/>
          <w:szCs w:val="20"/>
        </w:rPr>
      </w:pPr>
      <w:bookmarkStart w:id="2039" w:name="d0e65446"/>
      <w:bookmarkEnd w:id="2038"/>
      <w:r w:rsidRPr="0098635C">
        <w:rPr>
          <w:rFonts w:eastAsiaTheme="minorEastAsia"/>
          <w:bCs/>
          <w:color w:val="000000" w:themeColor="text1"/>
          <w:sz w:val="20"/>
          <w:szCs w:val="20"/>
          <w:lang w:eastAsia="en-GB"/>
        </w:rPr>
        <w:t>Fort, D. J. at al. (2000). Chronic boron or copper deficiency induces limb teratogenesis in Xenopus. Biol Trace Elem Res. 2000; 77(2):173-87.</w:t>
      </w:r>
    </w:p>
    <w:p w14:paraId="12738504" w14:textId="77777777" w:rsidR="00FF5FEF" w:rsidRPr="0098635C" w:rsidRDefault="00FF5FEF" w:rsidP="00926614">
      <w:pPr>
        <w:spacing w:after="0"/>
        <w:ind w:left="567" w:hanging="567"/>
        <w:rPr>
          <w:color w:val="000000" w:themeColor="text1"/>
          <w:sz w:val="20"/>
          <w:szCs w:val="20"/>
        </w:rPr>
      </w:pPr>
      <w:bookmarkStart w:id="2040" w:name="d0e65448"/>
      <w:bookmarkEnd w:id="2039"/>
      <w:r w:rsidRPr="0098635C">
        <w:rPr>
          <w:rFonts w:eastAsiaTheme="minorEastAsia"/>
          <w:bCs/>
          <w:color w:val="000000" w:themeColor="text1"/>
          <w:sz w:val="20"/>
          <w:szCs w:val="20"/>
          <w:lang w:eastAsia="en-GB"/>
        </w:rPr>
        <w:t>Fort, D. J. et al. (2000). Adverse developmental and reproductive effects of copper deficiency in Xenopus laevis. Biol Trace Elem Res. 2000; 77(2):159-72.</w:t>
      </w:r>
    </w:p>
    <w:bookmarkEnd w:id="2040"/>
    <w:p w14:paraId="6CC38CFB" w14:textId="4097B24B" w:rsidR="00A80D5C" w:rsidRPr="0098635C" w:rsidRDefault="00A80D5C" w:rsidP="006E5329">
      <w:pPr>
        <w:pStyle w:val="BodyText"/>
        <w:spacing w:after="0"/>
        <w:ind w:left="567" w:hanging="567"/>
        <w:rPr>
          <w:color w:val="000000" w:themeColor="text1"/>
          <w:sz w:val="20"/>
        </w:rPr>
      </w:pPr>
      <w:r w:rsidRPr="0098635C">
        <w:rPr>
          <w:color w:val="000000" w:themeColor="text1"/>
          <w:sz w:val="20"/>
        </w:rPr>
        <w:t xml:space="preserve">Franke J. 2005. Copper powder; Vapour pressure A.4 (OECD 104). Test at Siemens AG. Study report nr GAB 20050986.02. </w:t>
      </w:r>
      <w:r w:rsidR="006E09AA" w:rsidRPr="0098635C">
        <w:rPr>
          <w:color w:val="000000" w:themeColor="text1"/>
          <w:sz w:val="20"/>
        </w:rPr>
        <w:t>Unpublished</w:t>
      </w:r>
    </w:p>
    <w:p w14:paraId="61BFA073" w14:textId="25047C89" w:rsidR="00C24197" w:rsidRPr="0098635C" w:rsidRDefault="00C24197" w:rsidP="006E5329">
      <w:pPr>
        <w:pStyle w:val="BodyText"/>
        <w:spacing w:after="0"/>
        <w:ind w:left="567" w:hanging="567"/>
        <w:rPr>
          <w:color w:val="000000" w:themeColor="text1"/>
          <w:sz w:val="20"/>
        </w:rPr>
      </w:pPr>
      <w:r w:rsidRPr="0098635C">
        <w:rPr>
          <w:color w:val="000000" w:themeColor="text1"/>
          <w:sz w:val="20"/>
        </w:rPr>
        <w:t>Frenz G, Teilum D, 1980. Cutaneous eruptions and intrauterine contraceptive copper device. Acta Derm-ven (Stockholm) 60:631-637</w:t>
      </w:r>
    </w:p>
    <w:p w14:paraId="0F7B3DF0"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Frostegård Å et al, 1993. Phospholipid fatty-acid composition, biomass, and activity of microbial communities from 2 soil types experimentally exposed to different heavy-metals. Appl.Environ.Microbiol. 59:3605-3617. </w:t>
      </w:r>
    </w:p>
    <w:p w14:paraId="0603D1B8"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Fuentealba I, Haywood S, Trafford J, 1989. Variations in the intralobular distribution of copper in the livers of copper-loaded rats in relation to the pathogenesis of copper storage diseases. J.Comp.Path. 100:1-11.</w:t>
      </w:r>
    </w:p>
    <w:p w14:paraId="4C060A39" w14:textId="77777777" w:rsidR="00926614" w:rsidRPr="0098635C" w:rsidRDefault="00C24197" w:rsidP="00926614">
      <w:pPr>
        <w:pStyle w:val="BodyText"/>
        <w:spacing w:after="0"/>
        <w:ind w:left="567" w:hanging="567"/>
        <w:rPr>
          <w:color w:val="000000" w:themeColor="text1"/>
          <w:sz w:val="20"/>
        </w:rPr>
      </w:pPr>
      <w:r w:rsidRPr="0098635C">
        <w:rPr>
          <w:color w:val="000000" w:themeColor="text1"/>
          <w:sz w:val="20"/>
        </w:rPr>
        <w:t xml:space="preserve">Fuentealba IC, Mullins JE, Aburto EM, Lau JC, Cherian GM, 2000. Effect </w:t>
      </w:r>
      <w:r w:rsidR="00926614" w:rsidRPr="0098635C">
        <w:rPr>
          <w:color w:val="000000" w:themeColor="text1"/>
          <w:sz w:val="20"/>
        </w:rPr>
        <w:t>of age and sex on liver damage due to excess dietary copper in Fischer 344 rats. Clin.Toxicol. 38:709-717.</w:t>
      </w:r>
    </w:p>
    <w:p w14:paraId="1EC31250" w14:textId="77777777" w:rsidR="00926614" w:rsidRPr="0098635C" w:rsidRDefault="00926614" w:rsidP="00926614">
      <w:pPr>
        <w:pStyle w:val="BodyText"/>
        <w:spacing w:after="0"/>
        <w:ind w:left="567" w:hanging="567"/>
        <w:rPr>
          <w:color w:val="000000" w:themeColor="text1"/>
          <w:sz w:val="20"/>
        </w:rPr>
      </w:pPr>
      <w:r w:rsidRPr="0098635C">
        <w:rPr>
          <w:color w:val="000000" w:themeColor="text1"/>
          <w:sz w:val="20"/>
        </w:rPr>
        <w:t>Fulfs JC, 1990. Acute inhalation toxicity in the rat.  Single level – limit test. Inhausen Research Institute Inc. Report No. 131.003. Unpublished.</w:t>
      </w:r>
    </w:p>
    <w:p w14:paraId="79F9FC8B" w14:textId="3CA2463A" w:rsidR="004B112E" w:rsidRPr="0098635C" w:rsidRDefault="00926614" w:rsidP="00926614">
      <w:pPr>
        <w:pStyle w:val="BodyText"/>
        <w:spacing w:after="0"/>
        <w:ind w:left="567" w:hanging="567"/>
        <w:rPr>
          <w:color w:val="000000" w:themeColor="text1"/>
          <w:sz w:val="20"/>
        </w:rPr>
      </w:pPr>
      <w:r w:rsidRPr="0098635C">
        <w:rPr>
          <w:color w:val="000000" w:themeColor="text1"/>
          <w:sz w:val="20"/>
        </w:rPr>
        <w:t>Gaul LE (1958). Dermatitis from metal spectacles. Arch Dermatol 78:475-478.</w:t>
      </w:r>
    </w:p>
    <w:p w14:paraId="52371C0D" w14:textId="12EF8C34" w:rsidR="004B112E" w:rsidRPr="0098635C" w:rsidRDefault="004B112E" w:rsidP="001D4BD3">
      <w:pPr>
        <w:pStyle w:val="BodyText"/>
        <w:spacing w:after="0"/>
        <w:ind w:left="567" w:hanging="567"/>
        <w:rPr>
          <w:color w:val="000000" w:themeColor="text1"/>
          <w:sz w:val="20"/>
        </w:rPr>
      </w:pPr>
      <w:r w:rsidRPr="0098635C">
        <w:rPr>
          <w:color w:val="000000" w:themeColor="text1"/>
          <w:sz w:val="20"/>
        </w:rPr>
        <w:lastRenderedPageBreak/>
        <w:t xml:space="preserve">Gazzotti, L.2006. Water solubility of copper powder, Final report. Test Lab GAB Analisi S.r.l; study nr GAB 20051384/01-PCSB. </w:t>
      </w:r>
      <w:r w:rsidR="006E09AA" w:rsidRPr="0098635C">
        <w:rPr>
          <w:color w:val="000000" w:themeColor="text1"/>
          <w:sz w:val="20"/>
        </w:rPr>
        <w:t>Unpublished</w:t>
      </w:r>
    </w:p>
    <w:p w14:paraId="273C0BF8" w14:textId="77777777" w:rsidR="004B112E" w:rsidRPr="0098635C" w:rsidRDefault="004B112E" w:rsidP="004B112E">
      <w:pPr>
        <w:pStyle w:val="BodyText"/>
        <w:spacing w:after="0"/>
        <w:ind w:left="567" w:hanging="567"/>
        <w:rPr>
          <w:color w:val="000000" w:themeColor="text1"/>
          <w:sz w:val="20"/>
        </w:rPr>
      </w:pPr>
      <w:r w:rsidRPr="0098635C">
        <w:rPr>
          <w:color w:val="000000" w:themeColor="text1"/>
          <w:sz w:val="20"/>
        </w:rPr>
        <w:t xml:space="preserve">Geckler JR, Honring WB, Neiheisel TM, Pickering QH, Robinson EL, 1976. Validity of laboratory tests for predicting copper toxicity in streams. Testing laboratory: Newtown Fish Toxicology Station, Environmental Research Laboratory, Duluth, Cincinnati, Ohio 45244. Report no.: EPA-600/3-76-116. Owner company: US Environmental Protection Agency, Duluth, Minnesota 55804. </w:t>
      </w:r>
    </w:p>
    <w:p w14:paraId="6B86B58F" w14:textId="7BA5BBF4" w:rsidR="00C24197" w:rsidRPr="0098635C" w:rsidRDefault="004B112E" w:rsidP="001D4BD3">
      <w:pPr>
        <w:pStyle w:val="BodyText"/>
        <w:spacing w:after="0"/>
        <w:ind w:left="567" w:hanging="567"/>
        <w:rPr>
          <w:color w:val="000000" w:themeColor="text1"/>
          <w:sz w:val="20"/>
        </w:rPr>
      </w:pPr>
      <w:r w:rsidRPr="0098635C">
        <w:rPr>
          <w:color w:val="000000" w:themeColor="text1"/>
          <w:sz w:val="20"/>
        </w:rPr>
        <w:t xml:space="preserve">Ginocchio R et al, 2002. Effect of soil Cu content and pH on copper uptake of selected vegetables grown under controlled conditions. Environ.Toxicol.Chem. 21(8):1736–1744. </w:t>
      </w:r>
    </w:p>
    <w:p w14:paraId="6B7BEABF" w14:textId="202EAFBD" w:rsidR="00FF5FEF" w:rsidRPr="0098635C" w:rsidRDefault="00FF5FEF" w:rsidP="00926614">
      <w:pPr>
        <w:spacing w:after="0"/>
        <w:ind w:left="567" w:hanging="567"/>
        <w:rPr>
          <w:color w:val="000000" w:themeColor="text1"/>
          <w:sz w:val="20"/>
          <w:szCs w:val="20"/>
          <w:lang w:val="fr-FR"/>
        </w:rPr>
      </w:pPr>
      <w:bookmarkStart w:id="2041" w:name="d0e65468"/>
      <w:r w:rsidRPr="0098635C">
        <w:rPr>
          <w:rFonts w:eastAsiaTheme="minorEastAsia"/>
          <w:bCs/>
          <w:color w:val="000000" w:themeColor="text1"/>
          <w:sz w:val="20"/>
          <w:szCs w:val="20"/>
          <w:lang w:eastAsia="en-GB"/>
        </w:rPr>
        <w:t xml:space="preserve">George, S. G., Pirie, B. J. S., Cheyne, A. R., Coombs, T. L. &amp; Grant, P. T. (1978). Detoxication of Metals by Marine Bivalves. An Ultrastrutural Study of the Compartmentation of Copper and Zinc in the Oyster Ostrea edulis. </w:t>
      </w:r>
      <w:r w:rsidRPr="0098635C">
        <w:rPr>
          <w:rFonts w:eastAsiaTheme="minorEastAsia"/>
          <w:bCs/>
          <w:color w:val="000000" w:themeColor="text1"/>
          <w:sz w:val="20"/>
          <w:szCs w:val="20"/>
          <w:lang w:val="fr-FR" w:eastAsia="en-GB"/>
        </w:rPr>
        <w:t>Marine Biology, 45; 147-156.</w:t>
      </w:r>
      <w:bookmarkEnd w:id="2041"/>
    </w:p>
    <w:p w14:paraId="29F0239D"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fr-FR"/>
        </w:rPr>
        <w:t xml:space="preserve">Ginocchio R, Sanchez P, de la Fuente LM, Camus I, Bustamante E, Silva Y, Urrestarazu P, Torres JC, Rodriguez PH, 2006. </w:t>
      </w:r>
      <w:r w:rsidRPr="0098635C">
        <w:rPr>
          <w:color w:val="000000" w:themeColor="text1"/>
          <w:sz w:val="20"/>
        </w:rPr>
        <w:t>Agricultural soils spiked with copper mine wastes and copper concentrate: implications for copper bioavailability and bioaccumulation. Environ.Toxicol.Chem. 25(3):712- 718</w:t>
      </w:r>
    </w:p>
    <w:p w14:paraId="0CE2F2F1" w14:textId="77777777" w:rsidR="00FF5FEF" w:rsidRPr="0098635C" w:rsidRDefault="00FF5FEF" w:rsidP="00926614">
      <w:pPr>
        <w:spacing w:after="0"/>
        <w:ind w:left="567" w:hanging="567"/>
        <w:rPr>
          <w:color w:val="000000" w:themeColor="text1"/>
          <w:sz w:val="20"/>
          <w:szCs w:val="20"/>
          <w:lang w:val="nl-BE"/>
        </w:rPr>
      </w:pPr>
      <w:bookmarkStart w:id="2042" w:name="d0e65472"/>
      <w:r w:rsidRPr="0098635C">
        <w:rPr>
          <w:rFonts w:eastAsiaTheme="minorEastAsia"/>
          <w:bCs/>
          <w:color w:val="000000" w:themeColor="text1"/>
          <w:sz w:val="20"/>
          <w:szCs w:val="20"/>
          <w:lang w:eastAsia="en-GB"/>
        </w:rPr>
        <w:t xml:space="preserve">Ginocchio, R. et al. (2002). Effect of soil Cu content and pH on copper uptake of selected vegetables grown under controlled conditions. </w:t>
      </w:r>
      <w:r w:rsidRPr="0098635C">
        <w:rPr>
          <w:rFonts w:eastAsiaTheme="minorEastAsia"/>
          <w:bCs/>
          <w:color w:val="000000" w:themeColor="text1"/>
          <w:sz w:val="20"/>
          <w:szCs w:val="20"/>
          <w:lang w:val="nl-BE" w:eastAsia="en-GB"/>
        </w:rPr>
        <w:t>Environ Toxicol Chem., 21(8), 1736–1744.</w:t>
      </w:r>
    </w:p>
    <w:bookmarkEnd w:id="2042"/>
    <w:p w14:paraId="7C9310D4"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nl-BE"/>
        </w:rPr>
        <w:t xml:space="preserve">Goldstein IM, Kaplan HB, Edelson HS, Weissmann G, 1979. </w:t>
      </w:r>
      <w:r w:rsidRPr="0098635C">
        <w:rPr>
          <w:color w:val="000000" w:themeColor="text1"/>
          <w:sz w:val="20"/>
        </w:rPr>
        <w:t>Ceruloplasmin a scavenger of superoxide anion radicals. J.Biol.Chem. 254:4040-4045.</w:t>
      </w:r>
    </w:p>
    <w:p w14:paraId="30F98A34"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Golimowski J, Merks AGA, Valenta P, 1990. Trends in heavy metal levels in the dissolved and particulate phase in the Dutch Rhine-Meuse (Maas) delta. Sci.Total Environ. 92:113-127. </w:t>
      </w:r>
    </w:p>
    <w:p w14:paraId="7037CA06"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Gonzales SP, 1991. Upper critical levels of copper to alfalfa in ten Chilean soils. Water Air Soil Pollut. 57-58:201-208. </w:t>
      </w:r>
    </w:p>
    <w:p w14:paraId="274E3FEB"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Gould E et al, 1988. Uptake and effects of copper and cadmium in the gonad of the scallop </w:t>
      </w:r>
      <w:r w:rsidRPr="0098635C">
        <w:rPr>
          <w:i/>
          <w:color w:val="000000" w:themeColor="text1"/>
          <w:sz w:val="20"/>
        </w:rPr>
        <w:t>Placopecten magellanicus</w:t>
      </w:r>
      <w:r w:rsidRPr="0098635C">
        <w:rPr>
          <w:color w:val="000000" w:themeColor="text1"/>
          <w:sz w:val="20"/>
        </w:rPr>
        <w:t xml:space="preserve">: concurrent metal exposure. Mar.Biol. 97:212-233. </w:t>
      </w:r>
    </w:p>
    <w:p w14:paraId="7405C913" w14:textId="77777777" w:rsidR="00FF5FEF" w:rsidRPr="0098635C" w:rsidRDefault="00FF5FEF" w:rsidP="00926614">
      <w:pPr>
        <w:spacing w:after="0"/>
        <w:ind w:left="567" w:hanging="567"/>
        <w:rPr>
          <w:color w:val="000000" w:themeColor="text1"/>
          <w:sz w:val="20"/>
          <w:szCs w:val="20"/>
        </w:rPr>
      </w:pPr>
      <w:bookmarkStart w:id="2043" w:name="d0e65482"/>
      <w:r w:rsidRPr="0098635C">
        <w:rPr>
          <w:rFonts w:eastAsiaTheme="minorEastAsia"/>
          <w:bCs/>
          <w:color w:val="000000" w:themeColor="text1"/>
          <w:sz w:val="20"/>
          <w:szCs w:val="20"/>
          <w:lang w:eastAsia="en-GB"/>
        </w:rPr>
        <w:t>Graney, R. L., Cherry, D. S. &amp; Cairns, J. (1983). Heavy Metal Indicator Potential of the Asiatic Clam (Corbicula fluminea) in Artificial Stream Systems. Hydrobiologia. 102: 81-88.</w:t>
      </w:r>
    </w:p>
    <w:bookmarkEnd w:id="2043"/>
    <w:p w14:paraId="7FF6D809"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Greene FL, Lamb LS, Barwick M, Pappas NJ, 1987. Effect of dietary copper on colonic tumour and aortic integrity in the rat. J.Surg.Res. 42:503-512.</w:t>
      </w:r>
    </w:p>
    <w:p w14:paraId="3BCABDEB" w14:textId="7A3BD018"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Greenough RJ, McDonald P, 1985a. Cuprous oxide: Acute inhalation toxicity study in rats. Testing laboratory: Inveresk Research International. Report no.: Report No.: 3401. </w:t>
      </w:r>
      <w:r w:rsidR="006E09AA" w:rsidRPr="0098635C">
        <w:rPr>
          <w:color w:val="000000" w:themeColor="text1"/>
          <w:sz w:val="20"/>
        </w:rPr>
        <w:t>Unpublished</w:t>
      </w:r>
    </w:p>
    <w:p w14:paraId="6BE4A288" w14:textId="22AB96BB" w:rsidR="00C24197" w:rsidRPr="0098635C" w:rsidRDefault="00C24197" w:rsidP="006E5329">
      <w:pPr>
        <w:pStyle w:val="BodyText"/>
        <w:spacing w:after="0"/>
        <w:ind w:left="567" w:hanging="567"/>
        <w:rPr>
          <w:color w:val="000000" w:themeColor="text1"/>
          <w:sz w:val="20"/>
        </w:rPr>
      </w:pPr>
      <w:r w:rsidRPr="0098635C">
        <w:rPr>
          <w:color w:val="000000" w:themeColor="text1"/>
          <w:sz w:val="20"/>
        </w:rPr>
        <w:t>Greenough RJ, McDonald P, 1985b. Cuprous oxide: Acute inhalation toxicity study in rats. Testing laboratory: Inveresk Research International. Report no.: Report No.: 3398.</w:t>
      </w:r>
      <w:r w:rsidR="006E09AA" w:rsidRPr="0098635C">
        <w:rPr>
          <w:color w:val="000000" w:themeColor="text1"/>
          <w:sz w:val="20"/>
        </w:rPr>
        <w:t xml:space="preserve"> Unpublished</w:t>
      </w:r>
    </w:p>
    <w:p w14:paraId="1C69210B" w14:textId="77777777" w:rsidR="00FF5FEF" w:rsidRPr="0098635C" w:rsidRDefault="00FF5FEF" w:rsidP="00926614">
      <w:pPr>
        <w:spacing w:after="0"/>
        <w:ind w:left="567" w:hanging="567"/>
        <w:rPr>
          <w:color w:val="000000" w:themeColor="text1"/>
          <w:sz w:val="20"/>
          <w:szCs w:val="20"/>
        </w:rPr>
      </w:pPr>
      <w:bookmarkStart w:id="2044" w:name="d0e65490"/>
      <w:r w:rsidRPr="0098635C">
        <w:rPr>
          <w:rFonts w:eastAsiaTheme="minorEastAsia"/>
          <w:bCs/>
          <w:color w:val="000000" w:themeColor="text1"/>
          <w:sz w:val="20"/>
          <w:szCs w:val="20"/>
          <w:lang w:eastAsia="en-GB"/>
        </w:rPr>
        <w:t>Grosell M., C. Nielsen, A. Bianchini (2002). Sodium turnover rate determines sensitivity to acute copper and silver exposure in freshwater animals. Comparative Biochemistry and Physiology Part C 133 (2002) 287-303.</w:t>
      </w:r>
    </w:p>
    <w:bookmarkEnd w:id="2044"/>
    <w:p w14:paraId="3D3C2428"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Grosell M et al, 2007. Physiology is pivotal for interactions between salinity and acute copper toxicity to fish and invertebrates. Aquat.Toxicol. 84(2):162-72. </w:t>
      </w:r>
    </w:p>
    <w:p w14:paraId="4743E9F9"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Haanstra L, Doelman P, 1984. Glutamic acid decomposition as a sensitive measure of heavy metal pollution in soil method: Soil Biol.Biochem. 16:595-600. </w:t>
      </w:r>
    </w:p>
    <w:p w14:paraId="1373CE53"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Haanstra L, Doelman P, 1991. An ecological dose-response model approach to short- and long-term effects of heavy metals on arylsulfatase activity. Biol.Fertil.Soils 11:18-23.</w:t>
      </w:r>
    </w:p>
    <w:p w14:paraId="5CBF09F6" w14:textId="3FBBD24E" w:rsidR="00C24197" w:rsidRPr="0098635C" w:rsidRDefault="00C24197" w:rsidP="006E5329">
      <w:pPr>
        <w:pStyle w:val="BodyText"/>
        <w:spacing w:after="0"/>
        <w:ind w:left="567" w:hanging="567"/>
        <w:rPr>
          <w:color w:val="000000" w:themeColor="text1"/>
          <w:sz w:val="20"/>
        </w:rPr>
      </w:pPr>
      <w:r w:rsidRPr="0098635C">
        <w:rPr>
          <w:color w:val="000000" w:themeColor="text1"/>
          <w:sz w:val="20"/>
        </w:rPr>
        <w:t>Hackel H, Miller K, Elsner P, Burg G, 1991. Unusual combined sensitization to palladium and other metals. Contact Dermatitis 24:131-1</w:t>
      </w:r>
      <w:r w:rsidR="003F2A9B" w:rsidRPr="0098635C">
        <w:rPr>
          <w:color w:val="000000" w:themeColor="text1"/>
          <w:sz w:val="20"/>
        </w:rPr>
        <w:t>32</w:t>
      </w:r>
      <w:r w:rsidRPr="0098635C">
        <w:rPr>
          <w:color w:val="000000" w:themeColor="text1"/>
          <w:sz w:val="20"/>
        </w:rPr>
        <w:t>.</w:t>
      </w:r>
    </w:p>
    <w:p w14:paraId="27EE0AF8"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Haddad DS, Al-Alousin LA, Kantarjian AH, 1991. The effects of copper loading on pregnant rats and their offspring. Funct. Dev. Morphol. 1:17-22.</w:t>
      </w:r>
    </w:p>
    <w:p w14:paraId="6A814CEA" w14:textId="40083E1D" w:rsidR="00FF5FEF" w:rsidRPr="0098635C" w:rsidRDefault="00FF5FEF" w:rsidP="00926614">
      <w:pPr>
        <w:spacing w:after="0"/>
        <w:ind w:left="567" w:hanging="567"/>
        <w:rPr>
          <w:color w:val="000000" w:themeColor="text1"/>
          <w:sz w:val="20"/>
          <w:szCs w:val="20"/>
        </w:rPr>
      </w:pPr>
      <w:bookmarkStart w:id="2045" w:name="d0e65498"/>
      <w:r w:rsidRPr="0098635C">
        <w:rPr>
          <w:rFonts w:eastAsiaTheme="minorEastAsia"/>
          <w:bCs/>
          <w:color w:val="000000" w:themeColor="text1"/>
          <w:sz w:val="20"/>
          <w:szCs w:val="20"/>
          <w:lang w:eastAsia="en-GB"/>
        </w:rPr>
        <w:t xml:space="preserve">Hale JG (1977). Toxicity of metal mining wastes. Buletin of Environmental contamination &amp; toxicology, vol 17, nr 1, p66-73. Testing laboratory: EPA National Enforcement Investigations Center, Denver, </w:t>
      </w:r>
      <w:r w:rsidR="001D4BD3" w:rsidRPr="0098635C">
        <w:rPr>
          <w:rFonts w:eastAsiaTheme="minorEastAsia"/>
          <w:bCs/>
          <w:color w:val="000000" w:themeColor="text1"/>
          <w:sz w:val="20"/>
          <w:szCs w:val="20"/>
          <w:lang w:eastAsia="en-GB"/>
        </w:rPr>
        <w:t>Colorado</w:t>
      </w:r>
      <w:r w:rsidRPr="0098635C">
        <w:rPr>
          <w:rFonts w:eastAsiaTheme="minorEastAsia"/>
          <w:bCs/>
          <w:color w:val="000000" w:themeColor="text1"/>
          <w:sz w:val="20"/>
          <w:szCs w:val="20"/>
          <w:lang w:eastAsia="en-GB"/>
        </w:rPr>
        <w:t>.</w:t>
      </w:r>
    </w:p>
    <w:bookmarkEnd w:id="2045"/>
    <w:p w14:paraId="72279572"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Hall LW Jr, Anderson RD, Kilian JV, 1997. Acute and chronic toxicity of copper to the estuarine copepod </w:t>
      </w:r>
      <w:r w:rsidRPr="0098635C">
        <w:rPr>
          <w:i/>
          <w:color w:val="000000" w:themeColor="text1"/>
          <w:sz w:val="20"/>
        </w:rPr>
        <w:t>Eurytemora affinis</w:t>
      </w:r>
      <w:r w:rsidRPr="0098635C">
        <w:rPr>
          <w:color w:val="000000" w:themeColor="text1"/>
          <w:sz w:val="20"/>
        </w:rPr>
        <w:t xml:space="preserve">: influence of organic complexation and speciation. Chemosphere 35(7):1567-1597. </w:t>
      </w:r>
    </w:p>
    <w:p w14:paraId="739D2FF2"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Hamilton EI, Minski MJ, Cleary JJ, 1972. The concentration and distribution of some stable elements in healthy human tissue from the United Kingdom. Sci.Total Environ. 1:341-374.</w:t>
      </w:r>
    </w:p>
    <w:p w14:paraId="634229DC" w14:textId="77777777" w:rsidR="00FF5FEF" w:rsidRPr="0098635C" w:rsidRDefault="00FF5FEF" w:rsidP="00926614">
      <w:pPr>
        <w:spacing w:after="0"/>
        <w:ind w:left="567" w:hanging="567"/>
        <w:rPr>
          <w:color w:val="000000" w:themeColor="text1"/>
          <w:sz w:val="20"/>
          <w:szCs w:val="20"/>
        </w:rPr>
      </w:pPr>
      <w:bookmarkStart w:id="2046" w:name="d0e65506"/>
      <w:r w:rsidRPr="0098635C">
        <w:rPr>
          <w:rFonts w:eastAsiaTheme="minorEastAsia"/>
          <w:bCs/>
          <w:color w:val="000000" w:themeColor="text1"/>
          <w:sz w:val="20"/>
          <w:szCs w:val="20"/>
          <w:lang w:eastAsia="en-GB"/>
        </w:rPr>
        <w:t>Handy, R. D. (2003). Chronic effects of copper exposure versus endocrine toxicity: two sides of the same toxicological process?. Comp Biochem Physiol A Mol Integr Physiol. 2003; 135(1):25-38.</w:t>
      </w:r>
    </w:p>
    <w:bookmarkEnd w:id="2046"/>
    <w:p w14:paraId="704548BA"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Hansen JA, Lipton J, Welsh PG, Cacela D, MacConnell B, 2004. Reduced growth of rainbow trout (</w:t>
      </w:r>
      <w:r w:rsidRPr="0098635C">
        <w:rPr>
          <w:i/>
          <w:color w:val="000000" w:themeColor="text1"/>
          <w:sz w:val="20"/>
        </w:rPr>
        <w:t>Oncorhynchus mykiss</w:t>
      </w:r>
      <w:r w:rsidRPr="0098635C">
        <w:rPr>
          <w:color w:val="000000" w:themeColor="text1"/>
          <w:sz w:val="20"/>
        </w:rPr>
        <w:t xml:space="preserve">) fed a live invertebrate diet pre-exposed to metal contaminated sediments. Environ.Toxicol.Chem. 23(8):1902-1911. </w:t>
      </w:r>
    </w:p>
    <w:p w14:paraId="2D04047A"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Harris ED, 2000. Cellular copper transport and metabolism. Ann.Rev.Nutr. 20:291-310.</w:t>
      </w:r>
    </w:p>
    <w:p w14:paraId="0E2C8E5F"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Harrison, JWE, Levin SE, Trabin B, 1954. The safety and fate of potassium sodium copper chlorophyllin and other copper compounds. J.Am.Pharmac.Assoc. 43(12):722-737.</w:t>
      </w:r>
    </w:p>
    <w:p w14:paraId="5E5E8204"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Harvey L, Dainty JR, Hollands WJ, Bull VJ, Beattie JH, Venelinov TI; Hoogewerff JA, Davies IM, Fairweather-Tait SJ, 2005. Use of mathematical modeling to study copper metabolism in humans. Am.J.Clin.Nutr. 81: 807-813.</w:t>
      </w:r>
    </w:p>
    <w:p w14:paraId="6AAEB36F"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lastRenderedPageBreak/>
        <w:t>Harvey LJ, Majsak-Newman G, 2003. Adaptive responses in men fed low-and high-copper diets. Brit.J.Nutrit. 90:161-168.</w:t>
      </w:r>
    </w:p>
    <w:p w14:paraId="4B269D50"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Hatakeyama S, Yasuno M, 1981. A method for assessing chronic effects of toxic substance on the midge, </w:t>
      </w:r>
      <w:r w:rsidRPr="0098635C">
        <w:rPr>
          <w:i/>
          <w:color w:val="000000" w:themeColor="text1"/>
          <w:sz w:val="20"/>
        </w:rPr>
        <w:t>Paratanytarsus parthenogeneticus</w:t>
      </w:r>
      <w:r w:rsidRPr="0098635C">
        <w:rPr>
          <w:color w:val="000000" w:themeColor="text1"/>
          <w:sz w:val="20"/>
        </w:rPr>
        <w:t xml:space="preserve"> - effects of copper. Arch.Environ.Contam.Toxicol. 10:705-713. </w:t>
      </w:r>
    </w:p>
    <w:p w14:paraId="236DE6CC"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Haynes G, 1998. Copper oxychloride acute oral toxicity study in the mouse. Research Toxicology Centre. Report No. 6166/T/248/97. Unpublished.</w:t>
      </w:r>
    </w:p>
    <w:p w14:paraId="4A3BE6B1"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Haywood S, 1980. The effect of excess dietary copper on the liver and kidney of the male rat. J.Comp.Pathol. 90:217-232.</w:t>
      </w:r>
    </w:p>
    <w:p w14:paraId="770DF22F"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Haywood S, Comerford B, 1980. The effect of excess dietary copper on plasma enzyme activity and on the copper content of the blood of the male rat. J.Comp.Pathol 90:233-238.</w:t>
      </w:r>
    </w:p>
    <w:p w14:paraId="6D10E5C4"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Haywood S, Loughran M, 1985. Copper toxicosis and tolerance in the rat. II. Tolerance – a liver protective adaptation. Liver 5:267-275.</w:t>
      </w:r>
    </w:p>
    <w:p w14:paraId="3C4B713C" w14:textId="0E543A10"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Hedtke SF, 1984. Structure and function of copper-stressed aquatic microcosms. Aquat.Toxicol. 5:227-44. </w:t>
      </w:r>
    </w:p>
    <w:p w14:paraId="5BBB4B8B" w14:textId="77777777" w:rsidR="00B9551D" w:rsidRPr="0098635C" w:rsidRDefault="00197CAE" w:rsidP="00B9551D">
      <w:pPr>
        <w:pStyle w:val="BodyText"/>
        <w:spacing w:after="0"/>
        <w:ind w:left="567" w:hanging="567"/>
        <w:rPr>
          <w:bCs/>
          <w:color w:val="000000" w:themeColor="text1"/>
          <w:sz w:val="20"/>
          <w:lang w:eastAsia="en-GB"/>
        </w:rPr>
      </w:pPr>
      <w:r w:rsidRPr="0098635C">
        <w:rPr>
          <w:bCs/>
          <w:color w:val="000000" w:themeColor="text1"/>
          <w:sz w:val="20"/>
          <w:lang w:eastAsia="en-GB"/>
        </w:rPr>
        <w:t xml:space="preserve">Hébert, C. D. (1993). NTP Technical Report on toxicity studies of cupric sulphate (CAS No. 7758-99-8) administered in drinking water and feed to F344/N rats and B6C3F1 mice. National Toxicology Program, Toxicity Report Series No. 29, United States Department of Health and Human Services </w:t>
      </w:r>
    </w:p>
    <w:p w14:paraId="29A83A7A" w14:textId="1E8858D6" w:rsidR="00B9551D" w:rsidRPr="0098635C" w:rsidRDefault="00B9551D" w:rsidP="00B9551D">
      <w:pPr>
        <w:pStyle w:val="BodyText"/>
        <w:spacing w:after="0"/>
        <w:ind w:left="567" w:hanging="567"/>
        <w:rPr>
          <w:color w:val="000000" w:themeColor="text1"/>
          <w:sz w:val="20"/>
        </w:rPr>
      </w:pPr>
      <w:r w:rsidRPr="0098635C">
        <w:rPr>
          <w:color w:val="000000" w:themeColor="text1"/>
          <w:sz w:val="20"/>
        </w:rPr>
        <w:t xml:space="preserve">Hébert C.D., Elwell M.R., Travlos G.S., Fitz C.J. and Bucher J.R. (1993). Subchronic toxicity of cupric sulfate administered in drinking water and feed to rats and mice. Fund. Appl. Toxicol. </w:t>
      </w:r>
      <w:r w:rsidRPr="0098635C">
        <w:rPr>
          <w:b/>
          <w:color w:val="000000" w:themeColor="text1"/>
          <w:sz w:val="20"/>
        </w:rPr>
        <w:t>21</w:t>
      </w:r>
      <w:r w:rsidRPr="0098635C">
        <w:rPr>
          <w:color w:val="000000" w:themeColor="text1"/>
          <w:sz w:val="20"/>
        </w:rPr>
        <w:t>, 461-475</w:t>
      </w:r>
    </w:p>
    <w:p w14:paraId="0474632D"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nl-BE"/>
        </w:rPr>
        <w:t xml:space="preserve">Heijerick D, Bossuyt B, De Schamphelaere K, Indeherberg M, Mingazzini M, Janssen C, 2005. </w:t>
      </w:r>
      <w:r w:rsidRPr="0098635C">
        <w:rPr>
          <w:color w:val="000000" w:themeColor="text1"/>
          <w:sz w:val="20"/>
        </w:rPr>
        <w:t xml:space="preserve">Effect of varying physicochemistry of European surface waters on the copper toxicity to the green alga Pseudokirchneriella subcapitata. Ecotoxicology 14:661-670. </w:t>
      </w:r>
    </w:p>
    <w:p w14:paraId="000D624F" w14:textId="56C2F292"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Heijerick D, Bossuyt B, Janssen C, 2001. EURO-ECOLE Assessment of the bioavailability and potential ecological effects of copper in european surface waters – Subproject 4: Evaluation and improvement of the ecological relevance of laboratory generated toxicity data. Report no.: no report number. </w:t>
      </w:r>
    </w:p>
    <w:p w14:paraId="1C812394"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Heijerick D, Van Sprang P, 2005. Review of copper partitioning coefficients in the aquatic environment and processes causing the observed variation. EU risk assessment of copper, copper II sulphate pentahydrate, copper(I) oxide, copper(II) oxide, dicopper chloride trihydroxide. Environment-exposure - Voluntary risk assessment, Appendix F. </w:t>
      </w:r>
    </w:p>
    <w:p w14:paraId="213EA50F"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Heijerick D, Van Sprang P, 2008. Evaluation of partition coefficients for copper in the marine environment (estuaries and marine conditions). EU risk assessment of copper, copper II sulphate pentahydrate, copper(I) oxide, copper(II) oxide, dicopper chloride trihydroxide. Voluntary risk assessment, Appendix M. </w:t>
      </w:r>
    </w:p>
    <w:p w14:paraId="7B4EEBB7"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Heikens A et al, 2001. Bioaccumulation of heavy metals in terrestrial invertebrates. Environ.Pollut. 113:385-93. </w:t>
      </w:r>
    </w:p>
    <w:p w14:paraId="1DB5BF52"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Hemida SK, Omar SA, Abdel-Mallek AY, 1997. Microbial populations and enzyme activity in soil treated with heavy metals. Water Air Soil Pollut. 95:13-22.</w:t>
      </w:r>
    </w:p>
    <w:p w14:paraId="60797FBC"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Herbert IN, Svendsen C, Hankard PK, Spurgeon DJ, 2004. Comparison of instantaneous rate of population increase and critical-effect estimates in Folsomia candida exposed to four toxicants. Ecotox.Environ.Safe. 57:175-183. </w:t>
      </w:r>
    </w:p>
    <w:p w14:paraId="6F8A437D" w14:textId="77777777" w:rsidR="0076302B" w:rsidRPr="0098635C" w:rsidRDefault="0076302B" w:rsidP="00926614">
      <w:pPr>
        <w:spacing w:after="0"/>
        <w:ind w:left="567" w:hanging="567"/>
        <w:rPr>
          <w:color w:val="000000" w:themeColor="text1"/>
          <w:sz w:val="20"/>
          <w:szCs w:val="20"/>
        </w:rPr>
      </w:pPr>
      <w:bookmarkStart w:id="2047" w:name="d0e65540"/>
      <w:r w:rsidRPr="0098635C">
        <w:rPr>
          <w:rFonts w:eastAsiaTheme="minorEastAsia"/>
          <w:bCs/>
          <w:color w:val="000000" w:themeColor="text1"/>
          <w:sz w:val="20"/>
          <w:szCs w:val="20"/>
          <w:lang w:eastAsia="en-GB"/>
        </w:rPr>
        <w:t>Hernández, L. M. et al. (1999). Accumulation of heavy metals and As in wetland birds in the area around Doñana National Park affected by the Aznalcollar toxic spill. Sci. Total Environ. 1999; 242(1-3):293-308.</w:t>
      </w:r>
    </w:p>
    <w:bookmarkEnd w:id="2047"/>
    <w:p w14:paraId="30262C0F" w14:textId="55CB72FA" w:rsidR="00C24197" w:rsidRPr="0098635C" w:rsidRDefault="00C24197" w:rsidP="006E5329">
      <w:pPr>
        <w:pStyle w:val="BodyText"/>
        <w:spacing w:after="0"/>
        <w:ind w:left="567" w:hanging="567"/>
        <w:rPr>
          <w:color w:val="000000" w:themeColor="text1"/>
          <w:sz w:val="20"/>
        </w:rPr>
      </w:pPr>
      <w:r w:rsidRPr="0098635C">
        <w:rPr>
          <w:color w:val="000000" w:themeColor="text1"/>
          <w:sz w:val="20"/>
        </w:rPr>
        <w:t>Himmelstein MW, 2003. Five copper substances- absorption, distribution and excretion in male rats. Testing laboratory: Haskell Laboratory for Health and Environmental Sciences. Report no.: 11784. Report date: 2003-11-18.</w:t>
      </w:r>
      <w:r w:rsidR="006E09AA" w:rsidRPr="0098635C">
        <w:rPr>
          <w:color w:val="000000" w:themeColor="text1"/>
          <w:sz w:val="20"/>
        </w:rPr>
        <w:t xml:space="preserve"> Unpublished</w:t>
      </w:r>
    </w:p>
    <w:p w14:paraId="683AA812" w14:textId="7D3C9CFF" w:rsidR="003322B0" w:rsidRPr="0098635C" w:rsidRDefault="003322B0" w:rsidP="006E5329">
      <w:pPr>
        <w:pStyle w:val="BodyText"/>
        <w:spacing w:after="0"/>
        <w:ind w:left="567" w:hanging="567"/>
        <w:rPr>
          <w:color w:val="000000" w:themeColor="text1"/>
          <w:sz w:val="20"/>
        </w:rPr>
      </w:pPr>
      <w:r w:rsidRPr="0098635C">
        <w:rPr>
          <w:color w:val="000000" w:themeColor="text1"/>
          <w:sz w:val="20"/>
        </w:rPr>
        <w:t>Hixson, O.F., 1973. Purple Copp 97. To determine the oral toxicity and skin irritation potential in accordance with Federal Hazardous Substances Labeling Act Regulations.  Rosner-Hixson Laboratories.  Laboratory No. PT73-40.  Unpublished.</w:t>
      </w:r>
    </w:p>
    <w:p w14:paraId="7D00D216" w14:textId="44AAD1AD" w:rsidR="00C24197" w:rsidRPr="0098635C" w:rsidRDefault="00C24197" w:rsidP="006E5329">
      <w:pPr>
        <w:pStyle w:val="BodyText"/>
        <w:spacing w:after="0"/>
        <w:ind w:left="567" w:hanging="567"/>
        <w:rPr>
          <w:color w:val="000000" w:themeColor="text1"/>
          <w:sz w:val="20"/>
        </w:rPr>
      </w:pPr>
      <w:r w:rsidRPr="0098635C">
        <w:rPr>
          <w:color w:val="000000" w:themeColor="text1"/>
          <w:sz w:val="20"/>
        </w:rPr>
        <w:t>Holbert MS, 1993. Copper oxychloride MUP. Acute inhalation toxicity study in rats. Stillmeadow, Inc. Report No. 0567-93. Unpublished.</w:t>
      </w:r>
    </w:p>
    <w:p w14:paraId="4B577146" w14:textId="238EA16C" w:rsidR="004A204C" w:rsidRPr="0098635C" w:rsidRDefault="004A204C" w:rsidP="006E5329">
      <w:pPr>
        <w:pStyle w:val="BodyText"/>
        <w:spacing w:after="0"/>
        <w:ind w:left="567" w:hanging="567"/>
        <w:rPr>
          <w:color w:val="000000" w:themeColor="text1"/>
          <w:sz w:val="20"/>
        </w:rPr>
      </w:pPr>
      <w:r w:rsidRPr="0098635C">
        <w:rPr>
          <w:color w:val="000000" w:themeColor="text1"/>
          <w:sz w:val="20"/>
        </w:rPr>
        <w:t>Holbert MS, 1994.</w:t>
      </w:r>
      <w:r w:rsidR="000E07EB" w:rsidRPr="0098635C">
        <w:rPr>
          <w:color w:val="000000" w:themeColor="text1"/>
          <w:sz w:val="20"/>
        </w:rPr>
        <w:t xml:space="preserve"> Copper sulphate instant powder, acute inhalation toxicity study in rats. Stillmeadow, Inc. Report  No. 0693-93. Unpublished.</w:t>
      </w:r>
    </w:p>
    <w:p w14:paraId="4A69C8BD"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Horning WB, Neiheisel TW, 1979. Chronic effect of copper on the bluntnose minnow, </w:t>
      </w:r>
      <w:r w:rsidRPr="0098635C">
        <w:rPr>
          <w:i/>
          <w:color w:val="000000" w:themeColor="text1"/>
          <w:sz w:val="20"/>
        </w:rPr>
        <w:t>Pimephales notatus</w:t>
      </w:r>
      <w:r w:rsidRPr="0098635C">
        <w:rPr>
          <w:color w:val="000000" w:themeColor="text1"/>
          <w:sz w:val="20"/>
        </w:rPr>
        <w:t xml:space="preserve">. Arch.Environ.Contam.Toxicol. 8:545-552. </w:t>
      </w:r>
    </w:p>
    <w:p w14:paraId="5746CFA1"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Hostynek JJ, Maibach HI, 2003. Copper hypersensitivity: Dermatologic aspects - an overview. Rev.Environ.Health  18(3):153-188.</w:t>
      </w:r>
    </w:p>
    <w:p w14:paraId="52982C94"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Hunter BA, Johnson MS, 1982. Food chain relationships of copper and cadmium in contaminated grassland ecosystems. Oikos 38:108-117. </w:t>
      </w:r>
    </w:p>
    <w:p w14:paraId="32F3027B" w14:textId="4A339A0D" w:rsidR="00C24197" w:rsidRPr="0098635C" w:rsidRDefault="00C24197" w:rsidP="006E5329">
      <w:pPr>
        <w:pStyle w:val="BodyText"/>
        <w:spacing w:after="0"/>
        <w:ind w:left="567" w:hanging="567"/>
        <w:rPr>
          <w:color w:val="000000" w:themeColor="text1"/>
          <w:sz w:val="20"/>
        </w:rPr>
      </w:pPr>
      <w:r w:rsidRPr="0098635C">
        <w:rPr>
          <w:color w:val="000000" w:themeColor="text1"/>
          <w:sz w:val="20"/>
        </w:rPr>
        <w:t>Hurd KS, 2006</w:t>
      </w:r>
      <w:r w:rsidR="00BA146C" w:rsidRPr="0098635C">
        <w:rPr>
          <w:color w:val="000000" w:themeColor="text1"/>
          <w:sz w:val="20"/>
        </w:rPr>
        <w:t>a</w:t>
      </w:r>
      <w:r w:rsidRPr="0098635C">
        <w:rPr>
          <w:color w:val="000000" w:themeColor="text1"/>
          <w:sz w:val="20"/>
        </w:rPr>
        <w:t>. Copper determination of the toxicity to the larvae of the sea urchin (</w:t>
      </w:r>
      <w:r w:rsidRPr="0098635C">
        <w:rPr>
          <w:i/>
          <w:color w:val="000000" w:themeColor="text1"/>
          <w:sz w:val="20"/>
        </w:rPr>
        <w:t>Paracentrotus lividus</w:t>
      </w:r>
      <w:r w:rsidRPr="0098635C">
        <w:rPr>
          <w:color w:val="000000" w:themeColor="text1"/>
          <w:sz w:val="20"/>
        </w:rPr>
        <w:t xml:space="preserve">). Brixham Environmental Lab study number 05-0033/N. Testing laboratory: Brixham Environmental Laboratory, AstraZeneca UK Limited, Brixham, UK. Report no.: BEL report N° BL8354/B. </w:t>
      </w:r>
    </w:p>
    <w:p w14:paraId="2FB304EC" w14:textId="6A8E95FB" w:rsidR="00C24197" w:rsidRPr="0098635C" w:rsidRDefault="00C24197" w:rsidP="006E5329">
      <w:pPr>
        <w:pStyle w:val="BodyText"/>
        <w:spacing w:after="0"/>
        <w:ind w:left="567" w:hanging="567"/>
        <w:rPr>
          <w:color w:val="000000" w:themeColor="text1"/>
          <w:sz w:val="20"/>
        </w:rPr>
      </w:pPr>
      <w:r w:rsidRPr="0098635C">
        <w:rPr>
          <w:color w:val="000000" w:themeColor="text1"/>
          <w:sz w:val="20"/>
        </w:rPr>
        <w:t>Hurd, KS, 2006</w:t>
      </w:r>
      <w:r w:rsidR="00BA146C" w:rsidRPr="0098635C">
        <w:rPr>
          <w:color w:val="000000" w:themeColor="text1"/>
          <w:sz w:val="20"/>
        </w:rPr>
        <w:t>b</w:t>
      </w:r>
      <w:r w:rsidRPr="0098635C">
        <w:rPr>
          <w:color w:val="000000" w:themeColor="text1"/>
          <w:sz w:val="20"/>
        </w:rPr>
        <w:t>. Copper: Determination of the effects on the embryo larval development of the sheepshead minnow (</w:t>
      </w:r>
      <w:r w:rsidRPr="0098635C">
        <w:rPr>
          <w:i/>
          <w:color w:val="000000" w:themeColor="text1"/>
          <w:sz w:val="20"/>
        </w:rPr>
        <w:t>Cyprinodon variegatus</w:t>
      </w:r>
      <w:r w:rsidRPr="0098635C">
        <w:rPr>
          <w:color w:val="000000" w:themeColor="text1"/>
          <w:sz w:val="20"/>
        </w:rPr>
        <w:t>). Testing laboratory: Brixham Environmental Laboratory, AstraZeneca UK Limited, Brixham, UK. Report no.: report N° BL8353/B.</w:t>
      </w:r>
      <w:r w:rsidR="006E09AA" w:rsidRPr="0098635C">
        <w:rPr>
          <w:color w:val="000000" w:themeColor="text1"/>
          <w:sz w:val="20"/>
        </w:rPr>
        <w:t xml:space="preserve"> Unpublished</w:t>
      </w:r>
      <w:r w:rsidRPr="0098635C">
        <w:rPr>
          <w:color w:val="000000" w:themeColor="text1"/>
          <w:sz w:val="20"/>
        </w:rPr>
        <w:t xml:space="preserve"> </w:t>
      </w:r>
    </w:p>
    <w:p w14:paraId="01D09C38"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IPCS, 1998. Copper: Environmental Health Criteria 200. Geneva: WHO Publication.</w:t>
      </w:r>
    </w:p>
    <w:p w14:paraId="3B05B296"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lastRenderedPageBreak/>
        <w:t>Jackson D, 1994a. Technical copper oxychloride. Acute oral toxicity (LD</w:t>
      </w:r>
      <w:r w:rsidRPr="0098635C">
        <w:rPr>
          <w:color w:val="000000" w:themeColor="text1"/>
          <w:sz w:val="20"/>
          <w:vertAlign w:val="subscript"/>
        </w:rPr>
        <w:t>50</w:t>
      </w:r>
      <w:r w:rsidRPr="0098635C">
        <w:rPr>
          <w:color w:val="000000" w:themeColor="text1"/>
          <w:sz w:val="20"/>
        </w:rPr>
        <w:t>) test in rats. Inveresk Research International. Report No. 9911. Unpublished.</w:t>
      </w:r>
    </w:p>
    <w:p w14:paraId="64A0FEB5"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Jackson D, 1994c. Technical copper oxychloride. Acute dermal irritation test in rabbits. Inveresk Research International. Report No. 9913. Unpublished.</w:t>
      </w:r>
    </w:p>
    <w:p w14:paraId="0F584AE9"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Jackson D, 1994d. Technical copper oxychloride. Acute eye irritation test in rabbits. Inveresk Research International. Report No. 9914. Unpublished.</w:t>
      </w:r>
    </w:p>
    <w:p w14:paraId="493E885D"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Jacobson PJ, Neves RJ, Cherry DS Farris JL, 1997. Sensitivity of glochidial stages of freshwater mussels (Bivalvia: Unionidae) to copper. Environ.Toxicol.Chem. 16(11):2384-2392. </w:t>
      </w:r>
    </w:p>
    <w:p w14:paraId="7F0228B4" w14:textId="77777777" w:rsidR="00C24197" w:rsidRPr="0098635C" w:rsidRDefault="00C24197" w:rsidP="006E5329">
      <w:pPr>
        <w:pStyle w:val="BodyText"/>
        <w:spacing w:after="0"/>
        <w:ind w:left="567" w:hanging="567"/>
        <w:rPr>
          <w:color w:val="000000" w:themeColor="text1"/>
          <w:sz w:val="20"/>
          <w:lang w:val="nl-BE"/>
        </w:rPr>
      </w:pPr>
      <w:r w:rsidRPr="0098635C">
        <w:rPr>
          <w:color w:val="000000" w:themeColor="text1"/>
          <w:sz w:val="20"/>
        </w:rPr>
        <w:t xml:space="preserve">Jäggy A, Streit B, 1982. Toxic effects of soluble copper on </w:t>
      </w:r>
      <w:r w:rsidRPr="0098635C">
        <w:rPr>
          <w:i/>
          <w:color w:val="000000" w:themeColor="text1"/>
          <w:sz w:val="20"/>
        </w:rPr>
        <w:t>Octolasium cyaneum</w:t>
      </w:r>
      <w:r w:rsidRPr="0098635C">
        <w:rPr>
          <w:color w:val="000000" w:themeColor="text1"/>
          <w:sz w:val="20"/>
        </w:rPr>
        <w:t xml:space="preserve"> sav. </w:t>
      </w:r>
      <w:r w:rsidRPr="0098635C">
        <w:rPr>
          <w:color w:val="000000" w:themeColor="text1"/>
          <w:sz w:val="20"/>
          <w:lang w:val="nl-BE"/>
        </w:rPr>
        <w:t xml:space="preserve">(Lumbricidae). Rev.Suisse De Zool. 89:881-889. </w:t>
      </w:r>
    </w:p>
    <w:p w14:paraId="10E08831" w14:textId="038879DC"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nl-BE"/>
        </w:rPr>
        <w:t xml:space="preserve">Janssen RPT et al, 1997a. </w:t>
      </w:r>
      <w:r w:rsidRPr="0098635C">
        <w:rPr>
          <w:color w:val="000000" w:themeColor="text1"/>
          <w:sz w:val="20"/>
        </w:rPr>
        <w:t xml:space="preserve">Equilibrium partitioning of heavy metals in Dutch field soils. I. relationship between metal partition coefficients and soil characteristics. Environ.Toxicol.Chem. 16(12):2470-2478. </w:t>
      </w:r>
    </w:p>
    <w:p w14:paraId="10D56A97"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fr-FR"/>
        </w:rPr>
        <w:t xml:space="preserve">Janssen RPT et al, 1997b. </w:t>
      </w:r>
      <w:r w:rsidRPr="0098635C">
        <w:rPr>
          <w:color w:val="000000" w:themeColor="text1"/>
          <w:sz w:val="20"/>
        </w:rPr>
        <w:t xml:space="preserve">Equilibrium partitioning of heavy metals in Dutch field soils. II. Prediction of metal accumulation in earthworms. Environ.Toxicol.Chem. 16(12):2479-2488. </w:t>
      </w:r>
    </w:p>
    <w:p w14:paraId="6666CB77" w14:textId="77777777" w:rsidR="00C24197" w:rsidRPr="0098635C" w:rsidRDefault="00C24197" w:rsidP="006E5329">
      <w:pPr>
        <w:pStyle w:val="BodyText"/>
        <w:spacing w:after="0"/>
        <w:ind w:left="567" w:hanging="567"/>
        <w:rPr>
          <w:color w:val="000000" w:themeColor="text1"/>
          <w:sz w:val="20"/>
          <w:lang w:val="fr-FR"/>
        </w:rPr>
      </w:pPr>
      <w:r w:rsidRPr="0098635C">
        <w:rPr>
          <w:color w:val="000000" w:themeColor="text1"/>
          <w:sz w:val="20"/>
        </w:rPr>
        <w:t xml:space="preserve">Jarvis SC, 1978. Copper uptake and accumulation by perennial ryegrass grown in soil and solution culture. </w:t>
      </w:r>
      <w:r w:rsidRPr="0098635C">
        <w:rPr>
          <w:color w:val="000000" w:themeColor="text1"/>
          <w:sz w:val="20"/>
          <w:lang w:val="fr-FR"/>
        </w:rPr>
        <w:t xml:space="preserve">J.Sci.Fd.Agric. 29:12-18. </w:t>
      </w:r>
    </w:p>
    <w:p w14:paraId="10987F4E"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fr-FR"/>
        </w:rPr>
        <w:t xml:space="preserve">Johansson A, Curstedt T, Robertson B, Camner P, 1984. </w:t>
      </w:r>
      <w:r w:rsidRPr="0098635C">
        <w:rPr>
          <w:color w:val="000000" w:themeColor="text1"/>
          <w:sz w:val="20"/>
        </w:rPr>
        <w:t>Lung morphology and phospholipids after experimental inhalation of soluble cadmium, copper and cobalt. Environ.Res. 34:295-309.</w:t>
      </w:r>
    </w:p>
    <w:p w14:paraId="45589C77"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Johnson MA, Flagg EW, 1986. Effects of sucrose and cornstarch on the development of copper deficiency in rats fed high levels of zinc. Nutr.Res. 6:1307-1319.</w:t>
      </w:r>
    </w:p>
    <w:p w14:paraId="737765DB"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Johnson MA, Gratzek JM, 1986. Influence of sucrose and starch on the development of anemia in copper- and iron-deficient rats. J.Nutr. 116:2443-2452.</w:t>
      </w:r>
    </w:p>
    <w:p w14:paraId="468B8097"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Johnson MA, Hove SS, 1986. Development of anemia in copper-deficient rats fed high levels of dietary iron and sucrose. In: Copper Deficiency, Iron and Sucrose, pp 1225 – 1238. American Institute of Nutrition.</w:t>
      </w:r>
    </w:p>
    <w:p w14:paraId="70D0E869"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Johnson MA, Murphy CL, 1988. Adverse effects of high dietary iron and ascorbic acid on copper status in copper-deficient and copper-adequate rats. Am.J.Clin.Nutr. 47:96-101.</w:t>
      </w:r>
    </w:p>
    <w:p w14:paraId="1CAFDF76"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Johnson PE, 1988. Effect of various dietary carbohydrates on absorption and excretion of copper in the rat as measured by isotope dilution. J.Trace Elem.Exp.Med. 1:143-55.</w:t>
      </w:r>
    </w:p>
    <w:p w14:paraId="240C6003" w14:textId="505AA42D" w:rsidR="008A730D" w:rsidRPr="0098635C" w:rsidRDefault="008A730D" w:rsidP="00926614">
      <w:pPr>
        <w:spacing w:after="0"/>
        <w:ind w:left="567" w:hanging="567"/>
        <w:rPr>
          <w:color w:val="000000" w:themeColor="text1"/>
          <w:sz w:val="20"/>
          <w:szCs w:val="20"/>
        </w:rPr>
      </w:pPr>
      <w:bookmarkStart w:id="2048" w:name="d0e65592"/>
      <w:r w:rsidRPr="0098635C">
        <w:rPr>
          <w:rFonts w:eastAsiaTheme="minorEastAsia"/>
          <w:bCs/>
          <w:color w:val="000000" w:themeColor="text1"/>
          <w:sz w:val="20"/>
          <w:szCs w:val="20"/>
          <w:lang w:eastAsia="en-GB"/>
        </w:rPr>
        <w:t>Johnson, P. E. and Lee, D. -Y. (1988). Copper Absorption and Excretion Measured by Two Methods in Rats Fed Varying Concentrations of Dietary Copper. J. Trace Elem. Exp. Med. 1: 129-141.</w:t>
      </w:r>
    </w:p>
    <w:bookmarkEnd w:id="2048"/>
    <w:p w14:paraId="15BA3A3D" w14:textId="2C5383FB" w:rsidR="003942B6" w:rsidRPr="0098635C" w:rsidRDefault="00D33169" w:rsidP="001D4BD3">
      <w:pPr>
        <w:pStyle w:val="BodyText"/>
        <w:spacing w:after="0"/>
        <w:ind w:left="567" w:hanging="567"/>
        <w:rPr>
          <w:color w:val="000000" w:themeColor="text1"/>
          <w:sz w:val="20"/>
        </w:rPr>
      </w:pPr>
      <w:r w:rsidRPr="0098635C">
        <w:rPr>
          <w:color w:val="000000" w:themeColor="text1"/>
          <w:sz w:val="20"/>
        </w:rPr>
        <w:t>Johnson HL, Stauber JL, Adams MS, Jolley DF, 2007. Copper and zinc tolerance of two tropical microalgae after copper acclimation. Environmental Toxicology 22(3):234-244.</w:t>
      </w:r>
    </w:p>
    <w:p w14:paraId="4FE0ACAE"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Jop KM et al, 1995. Development of a water-effect ratio for copper, cadmium and lead for the Great Works River in Maine using </w:t>
      </w:r>
      <w:r w:rsidRPr="0098635C">
        <w:rPr>
          <w:i/>
          <w:color w:val="000000" w:themeColor="text1"/>
          <w:sz w:val="20"/>
        </w:rPr>
        <w:t>Ceriodaphnia dubia</w:t>
      </w:r>
      <w:r w:rsidRPr="0098635C">
        <w:rPr>
          <w:color w:val="000000" w:themeColor="text1"/>
          <w:sz w:val="20"/>
        </w:rPr>
        <w:t xml:space="preserve"> and </w:t>
      </w:r>
      <w:r w:rsidRPr="0098635C">
        <w:rPr>
          <w:i/>
          <w:color w:val="000000" w:themeColor="text1"/>
          <w:sz w:val="20"/>
        </w:rPr>
        <w:t>Salvelinus fontinalis</w:t>
      </w:r>
      <w:r w:rsidRPr="0098635C">
        <w:rPr>
          <w:color w:val="000000" w:themeColor="text1"/>
          <w:sz w:val="20"/>
        </w:rPr>
        <w:t xml:space="preserve">. Bull.Environ.Contam.Toxicol. 54:29-35. </w:t>
      </w:r>
    </w:p>
    <w:p w14:paraId="794D6094"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Kadiska MB, Hanna PM, Hernandez L, Mason RP, 1992. In vivo evidence of hydroxyl radical formation after acute copper and ascorbic acid intake: electron spin resonance spin-trapping investigation. Mol.Pharmacol. 42:723-729.</w:t>
      </w:r>
    </w:p>
    <w:p w14:paraId="287F1803"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Kaland T,  Andersen T, Hylland K, 1993. Accumulation and subcellular distribution of metals in the marine gastropod </w:t>
      </w:r>
      <w:r w:rsidRPr="0098635C">
        <w:rPr>
          <w:i/>
          <w:color w:val="000000" w:themeColor="text1"/>
          <w:sz w:val="20"/>
        </w:rPr>
        <w:t>Nassarius reticulatus</w:t>
      </w:r>
      <w:r w:rsidRPr="0098635C">
        <w:rPr>
          <w:color w:val="000000" w:themeColor="text1"/>
          <w:sz w:val="20"/>
        </w:rPr>
        <w:t xml:space="preserve">. p37-53. In: Dallinger R, Rainbow PS (Eds). Ecotoxicology of Metals in Invertebrates Proceedings of the 1st SETAC European Conference. Lewis Publications; Boca Raton, Fl. USA 461. </w:t>
      </w:r>
    </w:p>
    <w:p w14:paraId="2EC8E383" w14:textId="77777777" w:rsidR="00C24197" w:rsidRPr="0098635C" w:rsidRDefault="00C24197" w:rsidP="006E5329">
      <w:pPr>
        <w:pStyle w:val="BodyText"/>
        <w:spacing w:after="0"/>
        <w:ind w:left="567" w:hanging="567"/>
        <w:rPr>
          <w:color w:val="000000" w:themeColor="text1"/>
          <w:sz w:val="20"/>
          <w:lang w:val="nl-NL"/>
        </w:rPr>
      </w:pPr>
      <w:r w:rsidRPr="0098635C">
        <w:rPr>
          <w:color w:val="000000" w:themeColor="text1"/>
          <w:sz w:val="20"/>
        </w:rPr>
        <w:t xml:space="preserve">Kalyanaraman SB, Sivagurunathan P, 1993. Effect of cadmium, copper, and zinc on the growth of blackgram. </w:t>
      </w:r>
      <w:r w:rsidRPr="0098635C">
        <w:rPr>
          <w:color w:val="000000" w:themeColor="text1"/>
          <w:sz w:val="20"/>
          <w:lang w:val="nl-NL"/>
        </w:rPr>
        <w:t xml:space="preserve">J.Plant Nutrit. 16:2029-2042. </w:t>
      </w:r>
    </w:p>
    <w:p w14:paraId="6BCCE9CF"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nl-NL"/>
        </w:rPr>
        <w:t xml:space="preserve">Kammenga JE, Van Koert PHG, Riksen JAG, Korthals GW, Bakker J, 1996. </w:t>
      </w:r>
      <w:r w:rsidRPr="0098635C">
        <w:rPr>
          <w:color w:val="000000" w:themeColor="text1"/>
          <w:sz w:val="20"/>
        </w:rPr>
        <w:t xml:space="preserve">A toxicity test in artificial soil based on the life-history strategy of the nematode </w:t>
      </w:r>
      <w:r w:rsidRPr="0098635C">
        <w:rPr>
          <w:i/>
          <w:color w:val="000000" w:themeColor="text1"/>
          <w:sz w:val="20"/>
        </w:rPr>
        <w:t>Plectus acuminatus</w:t>
      </w:r>
      <w:r w:rsidRPr="0098635C">
        <w:rPr>
          <w:color w:val="000000" w:themeColor="text1"/>
          <w:sz w:val="20"/>
        </w:rPr>
        <w:t xml:space="preserve">. Environ.Toxicol.Chem. 15(5):722-727. </w:t>
      </w:r>
    </w:p>
    <w:p w14:paraId="2F32A682"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Kamunde CN et al, 2001. Copper metabolism and gut morphology in rainbow trout (</w:t>
      </w:r>
      <w:r w:rsidRPr="0098635C">
        <w:rPr>
          <w:i/>
          <w:color w:val="000000" w:themeColor="text1"/>
          <w:sz w:val="20"/>
        </w:rPr>
        <w:t>Oncorhynchus mykiss</w:t>
      </w:r>
      <w:r w:rsidRPr="0098635C">
        <w:rPr>
          <w:color w:val="000000" w:themeColor="text1"/>
          <w:sz w:val="20"/>
        </w:rPr>
        <w:t xml:space="preserve">) during chronic sublethal dietary copper exposure. Can.J.Fish.Aquat.Sci. 58:293–305. </w:t>
      </w:r>
    </w:p>
    <w:p w14:paraId="452A89E4"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Kamunde CN et al, 2005. Interaction of dietary sodium chloride and waterborne copper in rainbow trout (</w:t>
      </w:r>
      <w:r w:rsidRPr="0098635C">
        <w:rPr>
          <w:i/>
          <w:color w:val="000000" w:themeColor="text1"/>
          <w:sz w:val="20"/>
        </w:rPr>
        <w:t>Oncorhynchus mykiss</w:t>
      </w:r>
      <w:r w:rsidRPr="0098635C">
        <w:rPr>
          <w:color w:val="000000" w:themeColor="text1"/>
          <w:sz w:val="20"/>
        </w:rPr>
        <w:t xml:space="preserve">): copper toxicity and sodium and chloride homeostasis. Can.J.Fish.Aquat.Sci. 62:390–399. </w:t>
      </w:r>
    </w:p>
    <w:p w14:paraId="0BF8C04E"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Kanematsu N, Hara M, Kada T, 1980. REC assay and mutagenicity studies on metal compounds. Mutation Res. 77:109-116.</w:t>
      </w:r>
    </w:p>
    <w:p w14:paraId="60F626F5"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Karjalainen S, Raimo K, Pukkala E, 1992. Cancer risk among workers at a copper/nickel smelter and nickel refinery in Finland. Int.Arch.Occup.Environ.Health 63:547-551.</w:t>
      </w:r>
    </w:p>
    <w:p w14:paraId="5E416ECD"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Karlberg A-T, Boman A, Wahlberg JE, 1983. Copper - a rare sensitizer. Contact Dermatitis 9; 134-139.</w:t>
      </w:r>
    </w:p>
    <w:p w14:paraId="0F449A99"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Keen CL, Lönnerdal B, Hurley LS, 1982. Teratogenic effects of copper deficiency and excess. Dis. Copper (Proc Symp) 1981:109-121.</w:t>
      </w:r>
    </w:p>
    <w:p w14:paraId="55EB972E"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Kegley EB, Spears JW, 1994. Bioavailability of feed-grade copper sources (oxide, sulfate, or lysine) in growing cattle. J. Animal Sci. 72: 2728-2734.</w:t>
      </w:r>
    </w:p>
    <w:p w14:paraId="4A139102"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Khalil MA et al, 1996a. Analysis of separate and combined effects of heavy metals on the growth of </w:t>
      </w:r>
      <w:r w:rsidRPr="0098635C">
        <w:rPr>
          <w:i/>
          <w:color w:val="000000" w:themeColor="text1"/>
          <w:sz w:val="20"/>
        </w:rPr>
        <w:t>Aporrectodea caliginosa</w:t>
      </w:r>
      <w:r w:rsidRPr="0098635C">
        <w:rPr>
          <w:color w:val="000000" w:themeColor="text1"/>
          <w:sz w:val="20"/>
        </w:rPr>
        <w:t xml:space="preserve"> (Oligochaeta; Annelida), using the toxic unit approach. Appl.Soil Ecol. 4:213- 219. </w:t>
      </w:r>
    </w:p>
    <w:p w14:paraId="6BAED6A3"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Khalil MA et al, 1996b. Effects of metals and metal mixtures on survival and cocoon production of the earthworm </w:t>
      </w:r>
      <w:r w:rsidRPr="0098635C">
        <w:rPr>
          <w:i/>
          <w:color w:val="000000" w:themeColor="text1"/>
          <w:sz w:val="20"/>
        </w:rPr>
        <w:t>Aporrectodea caliginosa</w:t>
      </w:r>
      <w:r w:rsidRPr="0098635C">
        <w:rPr>
          <w:color w:val="000000" w:themeColor="text1"/>
          <w:sz w:val="20"/>
        </w:rPr>
        <w:t xml:space="preserve">. Pedobiologia 40:548-556. </w:t>
      </w:r>
    </w:p>
    <w:p w14:paraId="2D6D0E0C"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lastRenderedPageBreak/>
        <w:t xml:space="preserve">Khan M, Scullion J, 2002. Effects of metal (Cd, Cu, Ni, Pb or Zn) enrichment of sewage-sludge on soil micro-organisms and their activities. Appl.Soil Ecol. 20:145-155. </w:t>
      </w:r>
    </w:p>
    <w:p w14:paraId="4BC0AC50" w14:textId="54060E9C" w:rsidR="00C24197" w:rsidRPr="0098635C" w:rsidRDefault="00C24197" w:rsidP="006E5329">
      <w:pPr>
        <w:pStyle w:val="BodyText"/>
        <w:spacing w:after="0"/>
        <w:ind w:left="567" w:hanging="567"/>
        <w:rPr>
          <w:color w:val="000000" w:themeColor="text1"/>
          <w:sz w:val="20"/>
        </w:rPr>
      </w:pPr>
      <w:r w:rsidRPr="0098635C">
        <w:rPr>
          <w:color w:val="000000" w:themeColor="text1"/>
          <w:sz w:val="20"/>
        </w:rPr>
        <w:t>Kirkpatrick D, 2010. A four-week inhalation toxicity study of cuprous oxide in Sprague Dawley rats with a time course evaluation and a 13-week recovery evaluation. Testing laboratory: WIL Research Laboratories, LLC. Report no.: WIL-708003. Report date: 2010-08-19.</w:t>
      </w:r>
      <w:r w:rsidR="006E09AA" w:rsidRPr="0098635C">
        <w:rPr>
          <w:color w:val="000000" w:themeColor="text1"/>
          <w:sz w:val="20"/>
        </w:rPr>
        <w:t xml:space="preserve"> Unpublished</w:t>
      </w:r>
    </w:p>
    <w:p w14:paraId="65EE70C5" w14:textId="77777777" w:rsidR="008A730D" w:rsidRPr="0098635C" w:rsidRDefault="008A730D" w:rsidP="00926614">
      <w:pPr>
        <w:spacing w:after="0"/>
        <w:ind w:left="567" w:hanging="567"/>
        <w:rPr>
          <w:color w:val="000000" w:themeColor="text1"/>
          <w:sz w:val="20"/>
          <w:szCs w:val="20"/>
        </w:rPr>
      </w:pPr>
      <w:bookmarkStart w:id="2049" w:name="d0e65626"/>
      <w:r w:rsidRPr="0098635C">
        <w:rPr>
          <w:rFonts w:eastAsiaTheme="minorEastAsia"/>
          <w:bCs/>
          <w:color w:val="000000" w:themeColor="text1"/>
          <w:sz w:val="20"/>
          <w:szCs w:val="20"/>
          <w:lang w:eastAsia="en-GB"/>
        </w:rPr>
        <w:t>Khangarot, B. S. and Bhakin, M. K. (1981). “Man and Biosphere” – Studies in the Sikkim Himalayas. Part 4: Effects of Chelating Agent EDTA on the Acute Toxicity of Copper and Zinc on Tadpoles of the Frog Rana hexadactyla. Acta hydrochim. hydrobiol. 1985; 13(1):121-125.</w:t>
      </w:r>
    </w:p>
    <w:bookmarkEnd w:id="2049"/>
    <w:p w14:paraId="0496BD64" w14:textId="0EB51A02" w:rsidR="008A730D" w:rsidRPr="0098635C" w:rsidRDefault="008A730D" w:rsidP="006E5329">
      <w:pPr>
        <w:pStyle w:val="BodyText"/>
        <w:spacing w:after="0"/>
        <w:ind w:left="567" w:hanging="567"/>
        <w:rPr>
          <w:rFonts w:eastAsiaTheme="minorEastAsia"/>
          <w:bCs/>
          <w:color w:val="000000" w:themeColor="text1"/>
          <w:sz w:val="20"/>
          <w:lang w:eastAsia="en-GB"/>
        </w:rPr>
      </w:pPr>
      <w:r w:rsidRPr="0098635C">
        <w:rPr>
          <w:rFonts w:eastAsiaTheme="minorEastAsia"/>
          <w:bCs/>
          <w:color w:val="000000" w:themeColor="text1"/>
          <w:sz w:val="20"/>
          <w:lang w:eastAsia="en-GB"/>
        </w:rPr>
        <w:t>Khangarot, B. S. et al. (1981). Studies on the acute toxicity of copper on selected freshwater organisms. Sci. Cult. 1981; 47:429-431</w:t>
      </w:r>
    </w:p>
    <w:p w14:paraId="399F5D9E" w14:textId="4D4253D4" w:rsidR="00C24197" w:rsidRPr="0098635C" w:rsidRDefault="00C24197" w:rsidP="006E5329">
      <w:pPr>
        <w:pStyle w:val="BodyText"/>
        <w:spacing w:after="0"/>
        <w:ind w:left="567" w:hanging="567"/>
        <w:rPr>
          <w:color w:val="000000" w:themeColor="text1"/>
          <w:sz w:val="20"/>
        </w:rPr>
      </w:pPr>
      <w:r w:rsidRPr="0098635C">
        <w:rPr>
          <w:color w:val="000000" w:themeColor="text1"/>
          <w:sz w:val="20"/>
        </w:rPr>
        <w:t>Kjær C, Elmegaard N, 1996. Effects of copper sulphate on black bindweed (</w:t>
      </w:r>
      <w:r w:rsidRPr="0098635C">
        <w:rPr>
          <w:i/>
          <w:color w:val="000000" w:themeColor="text1"/>
          <w:sz w:val="20"/>
        </w:rPr>
        <w:t>Polygonum convolvulus</w:t>
      </w:r>
      <w:r w:rsidRPr="0098635C">
        <w:rPr>
          <w:color w:val="000000" w:themeColor="text1"/>
          <w:sz w:val="20"/>
        </w:rPr>
        <w:t xml:space="preserve"> L.). Ecotox.Environ.Safe. 33:110-117. </w:t>
      </w:r>
    </w:p>
    <w:p w14:paraId="31D74719"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Knobeloch L, Ziarnik M, Howard J, Theis B, Farmer D, Anderson H, Proctor M, 1994. Gastrointestinal upsets associated with ingestion of copper-contaminated water. Environ.Health Perspect. 102:958-961.</w:t>
      </w:r>
    </w:p>
    <w:p w14:paraId="1A83C9F8" w14:textId="4CE7E2DE" w:rsidR="008A730D" w:rsidRPr="0098635C" w:rsidRDefault="008A730D" w:rsidP="00926614">
      <w:pPr>
        <w:spacing w:after="0"/>
        <w:ind w:left="567" w:hanging="567"/>
        <w:rPr>
          <w:color w:val="000000" w:themeColor="text1"/>
          <w:sz w:val="20"/>
          <w:szCs w:val="20"/>
        </w:rPr>
      </w:pPr>
      <w:r w:rsidRPr="0098635C">
        <w:rPr>
          <w:rFonts w:eastAsiaTheme="minorEastAsia"/>
          <w:bCs/>
          <w:color w:val="000000" w:themeColor="text1"/>
          <w:sz w:val="20"/>
          <w:szCs w:val="20"/>
          <w:lang w:eastAsia="en-GB"/>
        </w:rPr>
        <w:t>Knobeloch L, Ziarnik M, Howard J, Theis B, Farmer D, Anderson H, Proctor M, (1994). Gastrointestinal upsets associated with ingestion of copper-contaminated water. Environ. Health Perspect. 102:958-961.</w:t>
      </w:r>
    </w:p>
    <w:p w14:paraId="2ACF559D"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Koelmans AA, Radovanovic H, 1998. Prediction of trace metal distribution coefficients (Kd) for aerobic sediments. Wat.Sci.Tech. 37(6-7):71-78.</w:t>
      </w:r>
    </w:p>
    <w:p w14:paraId="0832E313" w14:textId="77777777" w:rsidR="008A730D" w:rsidRPr="0098635C" w:rsidRDefault="008A730D" w:rsidP="00926614">
      <w:pPr>
        <w:spacing w:after="0"/>
        <w:ind w:left="567" w:hanging="567"/>
        <w:rPr>
          <w:color w:val="000000" w:themeColor="text1"/>
          <w:sz w:val="20"/>
          <w:szCs w:val="20"/>
          <w:lang w:val="nl-BE"/>
        </w:rPr>
      </w:pPr>
      <w:bookmarkStart w:id="2050" w:name="d0e65638"/>
      <w:r w:rsidRPr="0098635C">
        <w:rPr>
          <w:rFonts w:eastAsiaTheme="minorEastAsia"/>
          <w:bCs/>
          <w:color w:val="000000" w:themeColor="text1"/>
          <w:sz w:val="20"/>
          <w:szCs w:val="20"/>
          <w:lang w:eastAsia="en-GB"/>
        </w:rPr>
        <w:t xml:space="preserve">Korthals, G. W., Alexiev, A. D., Lexmond, T. M., Kammenga, J. E. &amp; Bongers, T. (1996). Long Term Effects of Copper and pH on the Nematode Community in an Agrosystem. </w:t>
      </w:r>
      <w:r w:rsidRPr="0098635C">
        <w:rPr>
          <w:rFonts w:eastAsiaTheme="minorEastAsia"/>
          <w:bCs/>
          <w:color w:val="000000" w:themeColor="text1"/>
          <w:sz w:val="20"/>
          <w:szCs w:val="20"/>
          <w:lang w:val="nl-BE" w:eastAsia="en-GB"/>
        </w:rPr>
        <w:t>Environ. Toxicol. Chem. 15 (6): 979-985.</w:t>
      </w:r>
    </w:p>
    <w:bookmarkEnd w:id="2050"/>
    <w:p w14:paraId="6F141F1B"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nl-NL"/>
        </w:rPr>
        <w:t xml:space="preserve">Kraak MHS, Schoon H, Peeters WHM, Van Straalen NM, 1994. </w:t>
      </w:r>
      <w:r w:rsidRPr="0098635C">
        <w:rPr>
          <w:color w:val="000000" w:themeColor="text1"/>
          <w:sz w:val="20"/>
        </w:rPr>
        <w:t xml:space="preserve">Chronic ecotoxicity of mixtures of Cu, Zn and Cd to the zebra mussel </w:t>
      </w:r>
      <w:r w:rsidRPr="0098635C">
        <w:rPr>
          <w:i/>
          <w:color w:val="000000" w:themeColor="text1"/>
          <w:sz w:val="20"/>
        </w:rPr>
        <w:t>Dreissena polymorpha</w:t>
      </w:r>
      <w:r w:rsidRPr="0098635C">
        <w:rPr>
          <w:color w:val="000000" w:themeColor="text1"/>
          <w:sz w:val="20"/>
        </w:rPr>
        <w:t xml:space="preserve">. Ecotox.Environ.Safe. 25:315-327. </w:t>
      </w:r>
    </w:p>
    <w:p w14:paraId="1B93433E" w14:textId="1E0CCCB2" w:rsidR="008A730D" w:rsidRPr="0098635C" w:rsidRDefault="008A730D" w:rsidP="00926614">
      <w:pPr>
        <w:spacing w:after="0"/>
        <w:ind w:left="567" w:hanging="567"/>
        <w:rPr>
          <w:color w:val="000000" w:themeColor="text1"/>
          <w:sz w:val="20"/>
          <w:szCs w:val="20"/>
        </w:rPr>
      </w:pPr>
      <w:bookmarkStart w:id="2051" w:name="d0e65644"/>
      <w:r w:rsidRPr="0098635C">
        <w:rPr>
          <w:rFonts w:eastAsiaTheme="minorEastAsia"/>
          <w:bCs/>
          <w:color w:val="000000" w:themeColor="text1"/>
          <w:sz w:val="20"/>
          <w:szCs w:val="20"/>
          <w:lang w:eastAsia="en-GB"/>
        </w:rPr>
        <w:t>Kraak, M. H. S., Lavy, D, Peeters, W. J. M &amp; Davids, C. (1992). Chronic Ecotoxicity of Copper and Cadmium to the Zebra Mussel Dreissena polymorpha. Arch. Environ. Contam. Toxicol. 23; 363-369.</w:t>
      </w:r>
      <w:bookmarkEnd w:id="2051"/>
    </w:p>
    <w:p w14:paraId="71FA3C0D"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Krogh PH, Axelsen JA, 1998. Test on the predatory mite Hypoaspis aculeifer preying on the collembolan </w:t>
      </w:r>
      <w:r w:rsidRPr="0098635C">
        <w:rPr>
          <w:i/>
          <w:color w:val="000000" w:themeColor="text1"/>
          <w:sz w:val="20"/>
        </w:rPr>
        <w:t>Folsomia fimetaria</w:t>
      </w:r>
      <w:r w:rsidRPr="0098635C">
        <w:rPr>
          <w:color w:val="000000" w:themeColor="text1"/>
          <w:sz w:val="20"/>
        </w:rPr>
        <w:t xml:space="preserve">. In: Handbook of Soil Invertebrate Toxicity Tests. pp 239-251 Ed. Lokke H, Van Gestel CAM. J. Wiley and Sons Ltd, Chichester, UK. </w:t>
      </w:r>
    </w:p>
    <w:p w14:paraId="27DEB8A2" w14:textId="4D14DFC9" w:rsidR="00C24197" w:rsidRPr="0098635C" w:rsidRDefault="00C24197" w:rsidP="006E5329">
      <w:pPr>
        <w:pStyle w:val="BodyText"/>
        <w:spacing w:after="0"/>
        <w:ind w:left="567" w:hanging="567"/>
        <w:rPr>
          <w:color w:val="000000" w:themeColor="text1"/>
          <w:sz w:val="20"/>
        </w:rPr>
      </w:pPr>
      <w:r w:rsidRPr="0098635C">
        <w:rPr>
          <w:color w:val="000000" w:themeColor="text1"/>
          <w:sz w:val="20"/>
        </w:rPr>
        <w:t>Kuhn JO, 1994. Purple Copp 97N cuprous oxide - Primary eye irritation study in the rabbit. Testing laboratory: Stillmeadow Inc. Report no.: 0634-93. Report date: 1994-02-07.</w:t>
      </w:r>
      <w:r w:rsidR="006E09AA" w:rsidRPr="0098635C">
        <w:rPr>
          <w:color w:val="000000" w:themeColor="text1"/>
          <w:sz w:val="20"/>
        </w:rPr>
        <w:t xml:space="preserve"> Unpublished</w:t>
      </w:r>
    </w:p>
    <w:p w14:paraId="265DE6B6"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Kukulinski M, 1976. Acute dermal toxicity and eye irritation tests. Rosner-Hixson Laboratories. Report no. PT76-298. Unpublished.</w:t>
      </w:r>
    </w:p>
    <w:p w14:paraId="7B688F02"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Kula H, Larink O, 1997. Development and standardisation of test methods for the prediction of sublethal effects of chemicals on earthworms. Soil Biol.Biochem. 29(3/4):635-639. </w:t>
      </w:r>
    </w:p>
    <w:p w14:paraId="75433716"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Kula H, Larink O, 1998. Tests on the earthworms </w:t>
      </w:r>
      <w:r w:rsidRPr="0098635C">
        <w:rPr>
          <w:i/>
          <w:color w:val="000000" w:themeColor="text1"/>
          <w:sz w:val="20"/>
        </w:rPr>
        <w:t>Eisenia fetida</w:t>
      </w:r>
      <w:r w:rsidRPr="0098635C">
        <w:rPr>
          <w:color w:val="000000" w:themeColor="text1"/>
          <w:sz w:val="20"/>
        </w:rPr>
        <w:t xml:space="preserve"> and </w:t>
      </w:r>
      <w:r w:rsidRPr="0098635C">
        <w:rPr>
          <w:i/>
          <w:color w:val="000000" w:themeColor="text1"/>
          <w:sz w:val="20"/>
        </w:rPr>
        <w:t>Aporrectodea caliginosa</w:t>
      </w:r>
      <w:r w:rsidRPr="0098635C">
        <w:rPr>
          <w:color w:val="000000" w:themeColor="text1"/>
          <w:sz w:val="20"/>
        </w:rPr>
        <w:t xml:space="preserve">. In: Lokke H, Van Gestel CaM (Eds.), Handbook of Soil invertebrate toxicity tests. Chapter 7, Wiley, New York , p.95-112. </w:t>
      </w:r>
    </w:p>
    <w:p w14:paraId="2EA52E78"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LaBreche TMC et al, 2002. Copper toxicity to larval </w:t>
      </w:r>
      <w:r w:rsidRPr="0098635C">
        <w:rPr>
          <w:i/>
          <w:color w:val="000000" w:themeColor="text1"/>
          <w:sz w:val="20"/>
        </w:rPr>
        <w:t>Mercenaria mercenaria</w:t>
      </w:r>
      <w:r w:rsidRPr="0098635C">
        <w:rPr>
          <w:color w:val="000000" w:themeColor="text1"/>
          <w:sz w:val="20"/>
        </w:rPr>
        <w:t xml:space="preserve"> (hard clam). Environ.Toxicol.Chem. 21(4):760-766. </w:t>
      </w:r>
    </w:p>
    <w:p w14:paraId="11F48597"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Laskowski R, 1991. Are the top carnivores endangered by heavy metal biomagnification? Oikos, 60(3):387-390. </w:t>
      </w:r>
    </w:p>
    <w:p w14:paraId="6CB5BD15"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Law RJ et al, 1992. Trace metals in the livers of marine mammals from the Welsh coast and the Irish Sea. Mar.Pollut.Bull. 24:296-304. </w:t>
      </w:r>
    </w:p>
    <w:p w14:paraId="1323B68F" w14:textId="064A7BE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Lazorchak JM, 1987. The significance of weight loss of </w:t>
      </w:r>
      <w:r w:rsidRPr="0098635C">
        <w:rPr>
          <w:i/>
          <w:color w:val="000000" w:themeColor="text1"/>
          <w:sz w:val="20"/>
        </w:rPr>
        <w:t>Daphnia magna</w:t>
      </w:r>
      <w:r w:rsidRPr="0098635C">
        <w:rPr>
          <w:color w:val="000000" w:themeColor="text1"/>
          <w:sz w:val="20"/>
        </w:rPr>
        <w:t xml:space="preserve"> straus during acute toxicity tests with copper. Testing laboratory: University of Texas, Dallas. Report no.: 8719909. Owner company: UMI 300N, Zzeeb road, Ann arbor, MI 48106. </w:t>
      </w:r>
      <w:r w:rsidR="006E09AA" w:rsidRPr="0098635C">
        <w:rPr>
          <w:color w:val="000000" w:themeColor="text1"/>
          <w:sz w:val="20"/>
        </w:rPr>
        <w:t>Unpublished</w:t>
      </w:r>
    </w:p>
    <w:p w14:paraId="5C1F3D07"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Lazorchak JM, Waller WT, 1993. The relationship of total copper 48H LC</w:t>
      </w:r>
      <w:r w:rsidRPr="0098635C">
        <w:rPr>
          <w:color w:val="000000" w:themeColor="text1"/>
          <w:sz w:val="20"/>
          <w:vertAlign w:val="subscript"/>
        </w:rPr>
        <w:t>50</w:t>
      </w:r>
      <w:r w:rsidRPr="0098635C">
        <w:rPr>
          <w:color w:val="000000" w:themeColor="text1"/>
          <w:sz w:val="20"/>
        </w:rPr>
        <w:t xml:space="preserve">s to </w:t>
      </w:r>
      <w:r w:rsidRPr="0098635C">
        <w:rPr>
          <w:i/>
          <w:color w:val="000000" w:themeColor="text1"/>
          <w:sz w:val="20"/>
        </w:rPr>
        <w:t>Daphnia magna</w:t>
      </w:r>
      <w:r w:rsidRPr="0098635C">
        <w:rPr>
          <w:color w:val="000000" w:themeColor="text1"/>
          <w:sz w:val="20"/>
        </w:rPr>
        <w:t xml:space="preserve"> dry weight. Environ.Toxicol.Chem. 12:903-911. </w:t>
      </w:r>
    </w:p>
    <w:p w14:paraId="35750E69"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Lecyk M, 1980. Toxicity of CuSO</w:t>
      </w:r>
      <w:r w:rsidRPr="0098635C">
        <w:rPr>
          <w:color w:val="000000" w:themeColor="text1"/>
          <w:sz w:val="20"/>
          <w:vertAlign w:val="subscript"/>
        </w:rPr>
        <w:t>4</w:t>
      </w:r>
      <w:r w:rsidRPr="0098635C">
        <w:rPr>
          <w:color w:val="000000" w:themeColor="text1"/>
          <w:sz w:val="20"/>
        </w:rPr>
        <w:t xml:space="preserve"> in mice embryonic development. Zoologica Poloniae 28:101-105.</w:t>
      </w:r>
    </w:p>
    <w:p w14:paraId="66B695F4" w14:textId="370AF426"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Lehritier M, 1993. Test to evaluate the acute toxicity following a single cutaneous administration (limit test) in the rat. Testing laboratory: Pharmakon Europe. Report no.: 44293. </w:t>
      </w:r>
      <w:r w:rsidR="006E09AA" w:rsidRPr="0098635C">
        <w:rPr>
          <w:color w:val="000000" w:themeColor="text1"/>
          <w:sz w:val="20"/>
        </w:rPr>
        <w:t>Unpublished</w:t>
      </w:r>
    </w:p>
    <w:p w14:paraId="0FAD0C16" w14:textId="79F5681D" w:rsidR="008A730D" w:rsidRPr="0098635C" w:rsidRDefault="008A730D" w:rsidP="001D4BD3">
      <w:pPr>
        <w:spacing w:after="0"/>
        <w:ind w:left="567" w:hanging="567"/>
        <w:rPr>
          <w:color w:val="000000" w:themeColor="text1"/>
          <w:sz w:val="20"/>
          <w:szCs w:val="20"/>
        </w:rPr>
      </w:pPr>
      <w:bookmarkStart w:id="2052" w:name="d0e65678"/>
      <w:r w:rsidRPr="0098635C">
        <w:rPr>
          <w:rFonts w:eastAsiaTheme="minorEastAsia"/>
          <w:bCs/>
          <w:color w:val="000000" w:themeColor="text1"/>
          <w:sz w:val="20"/>
          <w:szCs w:val="20"/>
          <w:lang w:eastAsia="en-GB"/>
        </w:rPr>
        <w:t>Lheritier M (1994). Test to evaluate the acute toxicity following a single oral administration(LD50) in the rat. Testing laboratory: Pharmakon Europe. Report no.: 44193.</w:t>
      </w:r>
      <w:r w:rsidR="006E09AA" w:rsidRPr="0098635C">
        <w:rPr>
          <w:color w:val="000000" w:themeColor="text1"/>
          <w:sz w:val="20"/>
          <w:szCs w:val="20"/>
        </w:rPr>
        <w:t xml:space="preserve"> Unpublished</w:t>
      </w:r>
      <w:bookmarkEnd w:id="2052"/>
    </w:p>
    <w:p w14:paraId="05A39A3F" w14:textId="43148714" w:rsidR="00C24197" w:rsidRPr="0098635C" w:rsidRDefault="00C24197" w:rsidP="006E5329">
      <w:pPr>
        <w:pStyle w:val="BodyText"/>
        <w:spacing w:after="0"/>
        <w:ind w:left="567" w:hanging="567"/>
        <w:rPr>
          <w:color w:val="000000" w:themeColor="text1"/>
          <w:sz w:val="20"/>
        </w:rPr>
      </w:pPr>
      <w:r w:rsidRPr="0098635C">
        <w:rPr>
          <w:color w:val="000000" w:themeColor="text1"/>
          <w:sz w:val="20"/>
        </w:rPr>
        <w:t>Leuschner J, 2005. Examination of copper hydroxide in a skin sensitisation test in guinea pigs according to Magnusson and Kligman (maximisation test). Report No. 19184/05. LPT Laboratory of Pharmacology and Toxicology KG, Germany.</w:t>
      </w:r>
      <w:r w:rsidR="006E09AA" w:rsidRPr="0098635C">
        <w:rPr>
          <w:color w:val="000000" w:themeColor="text1"/>
          <w:sz w:val="20"/>
        </w:rPr>
        <w:t xml:space="preserve"> Unpublished</w:t>
      </w:r>
    </w:p>
    <w:p w14:paraId="706105E0" w14:textId="2C885870" w:rsidR="00C24197" w:rsidRPr="0098635C" w:rsidRDefault="00C24197" w:rsidP="006E5329">
      <w:pPr>
        <w:pStyle w:val="BodyText"/>
        <w:spacing w:after="0"/>
        <w:ind w:left="567" w:hanging="567"/>
        <w:rPr>
          <w:color w:val="000000" w:themeColor="text1"/>
          <w:sz w:val="20"/>
        </w:rPr>
      </w:pPr>
      <w:r w:rsidRPr="0098635C">
        <w:rPr>
          <w:color w:val="000000" w:themeColor="text1"/>
          <w:sz w:val="20"/>
        </w:rPr>
        <w:t>Leuschner J, 2011. Acute Inhalation Toxicity Study of Copper Powder KU 7600 Standard Material in Rats. Testing laboratory: LPT, Laboratory of Pharmacology and Toxicity GmbH &amp; Co. KG, Redderweg 8, 21147 Hamburg, Germany. Report no.: 27371. Guntersthal 4, 91235 Hartenstein, Germany. Report date: 2011-12-21.</w:t>
      </w:r>
      <w:r w:rsidR="006E09AA" w:rsidRPr="0098635C">
        <w:rPr>
          <w:color w:val="000000" w:themeColor="text1"/>
          <w:sz w:val="20"/>
        </w:rPr>
        <w:t xml:space="preserve"> Unpublished</w:t>
      </w:r>
    </w:p>
    <w:p w14:paraId="552B5BE8"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Lewis MA, 1983. Effect of loading density on the acute toxicities of surfactants, copper and phenol to </w:t>
      </w:r>
      <w:r w:rsidRPr="0098635C">
        <w:rPr>
          <w:i/>
          <w:color w:val="000000" w:themeColor="text1"/>
          <w:sz w:val="20"/>
        </w:rPr>
        <w:t>Daphnia magna</w:t>
      </w:r>
      <w:r w:rsidRPr="0098635C">
        <w:rPr>
          <w:color w:val="000000" w:themeColor="text1"/>
          <w:sz w:val="20"/>
        </w:rPr>
        <w:t xml:space="preserve"> Straus. Arch.Environ.Contam.Toxicol. 12:51-55. </w:t>
      </w:r>
    </w:p>
    <w:p w14:paraId="7828AA1B" w14:textId="77777777" w:rsidR="008A730D" w:rsidRPr="0098635C" w:rsidRDefault="008A730D" w:rsidP="00926614">
      <w:pPr>
        <w:spacing w:after="0"/>
        <w:ind w:left="567" w:hanging="567"/>
        <w:rPr>
          <w:color w:val="000000" w:themeColor="text1"/>
          <w:sz w:val="20"/>
          <w:szCs w:val="20"/>
        </w:rPr>
      </w:pPr>
      <w:bookmarkStart w:id="2053" w:name="d0e65676"/>
      <w:r w:rsidRPr="0098635C">
        <w:rPr>
          <w:rFonts w:eastAsiaTheme="minorEastAsia"/>
          <w:bCs/>
          <w:color w:val="000000" w:themeColor="text1"/>
          <w:sz w:val="20"/>
          <w:szCs w:val="20"/>
          <w:lang w:eastAsia="en-GB"/>
        </w:rPr>
        <w:t>Lexmond, T. M. (1980). The Effect of Soil pH on Copper Toxicity to Forage Maize Grown Under Field Conditions. Neth. J. Agric. Sci. 28: 164-183.</w:t>
      </w:r>
    </w:p>
    <w:bookmarkEnd w:id="2053"/>
    <w:p w14:paraId="7B71C518"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Liang J, Zhou Q, 2003. Single and binary-combined toxicity of methamidophos, acetochlor and copper on earthworm </w:t>
      </w:r>
      <w:r w:rsidRPr="0098635C">
        <w:rPr>
          <w:i/>
          <w:color w:val="000000" w:themeColor="text1"/>
          <w:sz w:val="20"/>
        </w:rPr>
        <w:t>Eisenia foetida</w:t>
      </w:r>
      <w:r w:rsidRPr="0098635C">
        <w:rPr>
          <w:color w:val="000000" w:themeColor="text1"/>
          <w:sz w:val="20"/>
        </w:rPr>
        <w:t>. Chin. J. Appl.Ecol. 14(4):593-596.</w:t>
      </w:r>
    </w:p>
    <w:p w14:paraId="32DCA082" w14:textId="6EDDB05E" w:rsidR="00B836C1" w:rsidRPr="0098635C" w:rsidRDefault="004B112E" w:rsidP="00926614">
      <w:pPr>
        <w:pStyle w:val="BodyText"/>
        <w:spacing w:after="0"/>
        <w:ind w:left="567" w:right="116" w:hanging="567"/>
        <w:rPr>
          <w:color w:val="000000" w:themeColor="text1"/>
          <w:sz w:val="20"/>
        </w:rPr>
      </w:pPr>
      <w:r w:rsidRPr="0098635C">
        <w:rPr>
          <w:color w:val="000000" w:themeColor="text1"/>
          <w:sz w:val="20"/>
        </w:rPr>
        <w:lastRenderedPageBreak/>
        <w:t xml:space="preserve">Liipo J. , Maija-Leena Metsärinta, Päivi Kinnunen, Kirsi Virta,  Elina Wiik, Matti Santala, and Säde Harle </w:t>
      </w:r>
      <w:r w:rsidR="00B836C1" w:rsidRPr="0098635C">
        <w:rPr>
          <w:color w:val="000000" w:themeColor="text1"/>
          <w:sz w:val="20"/>
        </w:rPr>
        <w:t>(2010</w:t>
      </w:r>
      <w:r w:rsidR="000442FD" w:rsidRPr="0098635C">
        <w:rPr>
          <w:color w:val="000000" w:themeColor="text1"/>
          <w:sz w:val="20"/>
        </w:rPr>
        <w:t>a</w:t>
      </w:r>
      <w:r w:rsidR="00B836C1" w:rsidRPr="0098635C">
        <w:rPr>
          <w:color w:val="000000" w:themeColor="text1"/>
          <w:sz w:val="20"/>
        </w:rPr>
        <w:t>).</w:t>
      </w:r>
      <w:r w:rsidR="00B836C1" w:rsidRPr="0098635C">
        <w:rPr>
          <w:color w:val="000000" w:themeColor="text1"/>
          <w:spacing w:val="12"/>
          <w:sz w:val="20"/>
        </w:rPr>
        <w:t xml:space="preserve"> </w:t>
      </w:r>
      <w:r w:rsidR="00B836C1" w:rsidRPr="0098635C">
        <w:rPr>
          <w:color w:val="000000" w:themeColor="text1"/>
          <w:spacing w:val="-1"/>
          <w:sz w:val="20"/>
        </w:rPr>
        <w:t>Characterization</w:t>
      </w:r>
      <w:r w:rsidR="00B836C1" w:rsidRPr="0098635C">
        <w:rPr>
          <w:color w:val="000000" w:themeColor="text1"/>
          <w:spacing w:val="10"/>
          <w:sz w:val="20"/>
        </w:rPr>
        <w:t xml:space="preserve"> </w:t>
      </w:r>
      <w:r w:rsidR="00B836C1" w:rsidRPr="0098635C">
        <w:rPr>
          <w:color w:val="000000" w:themeColor="text1"/>
          <w:sz w:val="20"/>
        </w:rPr>
        <w:t>of</w:t>
      </w:r>
      <w:r w:rsidR="00B836C1" w:rsidRPr="0098635C">
        <w:rPr>
          <w:color w:val="000000" w:themeColor="text1"/>
          <w:spacing w:val="10"/>
          <w:sz w:val="20"/>
        </w:rPr>
        <w:t xml:space="preserve"> </w:t>
      </w:r>
      <w:r w:rsidR="00B836C1" w:rsidRPr="0098635C">
        <w:rPr>
          <w:color w:val="000000" w:themeColor="text1"/>
          <w:sz w:val="20"/>
        </w:rPr>
        <w:t>copper</w:t>
      </w:r>
      <w:r w:rsidR="00B836C1" w:rsidRPr="0098635C">
        <w:rPr>
          <w:color w:val="000000" w:themeColor="text1"/>
          <w:spacing w:val="12"/>
          <w:sz w:val="20"/>
        </w:rPr>
        <w:t xml:space="preserve"> </w:t>
      </w:r>
      <w:r w:rsidR="00B836C1" w:rsidRPr="0098635C">
        <w:rPr>
          <w:color w:val="000000" w:themeColor="text1"/>
          <w:spacing w:val="-1"/>
          <w:sz w:val="20"/>
        </w:rPr>
        <w:t>powder.</w:t>
      </w:r>
      <w:r w:rsidR="00B836C1" w:rsidRPr="0098635C">
        <w:rPr>
          <w:color w:val="000000" w:themeColor="text1"/>
          <w:spacing w:val="11"/>
          <w:sz w:val="20"/>
        </w:rPr>
        <w:t xml:space="preserve"> </w:t>
      </w:r>
      <w:r w:rsidR="00B836C1" w:rsidRPr="0098635C">
        <w:rPr>
          <w:color w:val="000000" w:themeColor="text1"/>
          <w:spacing w:val="-1"/>
          <w:sz w:val="20"/>
        </w:rPr>
        <w:t>Testing</w:t>
      </w:r>
      <w:r w:rsidR="00B836C1" w:rsidRPr="0098635C">
        <w:rPr>
          <w:color w:val="000000" w:themeColor="text1"/>
          <w:spacing w:val="10"/>
          <w:sz w:val="20"/>
        </w:rPr>
        <w:t xml:space="preserve"> </w:t>
      </w:r>
      <w:r w:rsidR="00B836C1" w:rsidRPr="0098635C">
        <w:rPr>
          <w:color w:val="000000" w:themeColor="text1"/>
          <w:sz w:val="20"/>
        </w:rPr>
        <w:t>laboratory:</w:t>
      </w:r>
      <w:r w:rsidR="00B836C1" w:rsidRPr="0098635C">
        <w:rPr>
          <w:color w:val="000000" w:themeColor="text1"/>
          <w:spacing w:val="11"/>
          <w:sz w:val="20"/>
        </w:rPr>
        <w:t xml:space="preserve"> </w:t>
      </w:r>
      <w:r w:rsidR="00B836C1" w:rsidRPr="0098635C">
        <w:rPr>
          <w:color w:val="000000" w:themeColor="text1"/>
          <w:sz w:val="20"/>
        </w:rPr>
        <w:t>Outotec.</w:t>
      </w:r>
      <w:r w:rsidR="00B836C1" w:rsidRPr="0098635C">
        <w:rPr>
          <w:color w:val="000000" w:themeColor="text1"/>
          <w:spacing w:val="12"/>
          <w:sz w:val="20"/>
        </w:rPr>
        <w:t xml:space="preserve"> </w:t>
      </w:r>
      <w:r w:rsidR="00B836C1" w:rsidRPr="0098635C">
        <w:rPr>
          <w:color w:val="000000" w:themeColor="text1"/>
          <w:sz w:val="20"/>
        </w:rPr>
        <w:t>Report</w:t>
      </w:r>
      <w:r w:rsidR="00B836C1" w:rsidRPr="0098635C">
        <w:rPr>
          <w:color w:val="000000" w:themeColor="text1"/>
          <w:spacing w:val="11"/>
          <w:sz w:val="20"/>
        </w:rPr>
        <w:t xml:space="preserve"> </w:t>
      </w:r>
      <w:r w:rsidR="00B836C1" w:rsidRPr="0098635C">
        <w:rPr>
          <w:color w:val="000000" w:themeColor="text1"/>
          <w:spacing w:val="-1"/>
          <w:sz w:val="20"/>
        </w:rPr>
        <w:t>no.:</w:t>
      </w:r>
      <w:r w:rsidR="00B836C1" w:rsidRPr="0098635C">
        <w:rPr>
          <w:color w:val="000000" w:themeColor="text1"/>
          <w:spacing w:val="11"/>
          <w:sz w:val="20"/>
        </w:rPr>
        <w:t xml:space="preserve"> </w:t>
      </w:r>
      <w:r w:rsidR="00B836C1" w:rsidRPr="0098635C">
        <w:rPr>
          <w:color w:val="000000" w:themeColor="text1"/>
          <w:sz w:val="20"/>
        </w:rPr>
        <w:t>10113</w:t>
      </w:r>
      <w:r w:rsidR="00B836C1" w:rsidRPr="0098635C">
        <w:rPr>
          <w:color w:val="000000" w:themeColor="text1"/>
          <w:spacing w:val="12"/>
          <w:sz w:val="20"/>
        </w:rPr>
        <w:t xml:space="preserve"> </w:t>
      </w:r>
      <w:r w:rsidR="00B836C1" w:rsidRPr="0098635C">
        <w:rPr>
          <w:color w:val="000000" w:themeColor="text1"/>
          <w:spacing w:val="1"/>
          <w:sz w:val="20"/>
        </w:rPr>
        <w:t>ORC-T.</w:t>
      </w:r>
      <w:r w:rsidR="00847893" w:rsidRPr="0098635C">
        <w:rPr>
          <w:color w:val="000000" w:themeColor="text1"/>
          <w:spacing w:val="90"/>
          <w:w w:val="99"/>
          <w:sz w:val="20"/>
        </w:rPr>
        <w:t xml:space="preserve"> </w:t>
      </w:r>
      <w:r w:rsidR="006E09AA" w:rsidRPr="0098635C">
        <w:rPr>
          <w:color w:val="000000" w:themeColor="text1"/>
          <w:sz w:val="20"/>
        </w:rPr>
        <w:t>Unpublished</w:t>
      </w:r>
    </w:p>
    <w:p w14:paraId="6F07026C" w14:textId="3656F0C7" w:rsidR="00B836C1" w:rsidRPr="0098635C" w:rsidRDefault="004B112E" w:rsidP="00926614">
      <w:pPr>
        <w:pStyle w:val="BodyText"/>
        <w:spacing w:after="0"/>
        <w:ind w:left="567" w:right="116" w:hanging="567"/>
        <w:rPr>
          <w:color w:val="000000" w:themeColor="text1"/>
          <w:sz w:val="20"/>
        </w:rPr>
      </w:pPr>
      <w:r w:rsidRPr="0098635C">
        <w:rPr>
          <w:color w:val="000000" w:themeColor="text1"/>
          <w:spacing w:val="-1"/>
          <w:sz w:val="20"/>
        </w:rPr>
        <w:t xml:space="preserve">Liipo J. , Maija-Leena Metsärinta, Päivi Kinnunen, Kirsi Virta,  Elina Wiik, Matti Santala, and Säde Harle </w:t>
      </w:r>
      <w:r w:rsidR="00B836C1" w:rsidRPr="0098635C">
        <w:rPr>
          <w:color w:val="000000" w:themeColor="text1"/>
          <w:sz w:val="20"/>
        </w:rPr>
        <w:t>(2010</w:t>
      </w:r>
      <w:r w:rsidR="000442FD" w:rsidRPr="0098635C">
        <w:rPr>
          <w:color w:val="000000" w:themeColor="text1"/>
          <w:sz w:val="20"/>
        </w:rPr>
        <w:t>b</w:t>
      </w:r>
      <w:r w:rsidR="00B836C1" w:rsidRPr="0098635C">
        <w:rPr>
          <w:color w:val="000000" w:themeColor="text1"/>
          <w:sz w:val="20"/>
        </w:rPr>
        <w:t>).</w:t>
      </w:r>
      <w:r w:rsidR="00B836C1" w:rsidRPr="0098635C">
        <w:rPr>
          <w:color w:val="000000" w:themeColor="text1"/>
          <w:spacing w:val="12"/>
          <w:sz w:val="20"/>
        </w:rPr>
        <w:t xml:space="preserve"> </w:t>
      </w:r>
      <w:r w:rsidR="00B836C1" w:rsidRPr="0098635C">
        <w:rPr>
          <w:color w:val="000000" w:themeColor="text1"/>
          <w:spacing w:val="-1"/>
          <w:sz w:val="20"/>
        </w:rPr>
        <w:t>Characterization</w:t>
      </w:r>
      <w:r w:rsidR="00B836C1" w:rsidRPr="0098635C">
        <w:rPr>
          <w:color w:val="000000" w:themeColor="text1"/>
          <w:spacing w:val="10"/>
          <w:sz w:val="20"/>
        </w:rPr>
        <w:t xml:space="preserve"> </w:t>
      </w:r>
      <w:r w:rsidR="00B836C1" w:rsidRPr="0098635C">
        <w:rPr>
          <w:color w:val="000000" w:themeColor="text1"/>
          <w:sz w:val="20"/>
        </w:rPr>
        <w:t>of</w:t>
      </w:r>
      <w:r w:rsidR="00B836C1" w:rsidRPr="0098635C">
        <w:rPr>
          <w:color w:val="000000" w:themeColor="text1"/>
          <w:spacing w:val="10"/>
          <w:sz w:val="20"/>
        </w:rPr>
        <w:t xml:space="preserve"> </w:t>
      </w:r>
      <w:r w:rsidRPr="0098635C">
        <w:rPr>
          <w:color w:val="000000" w:themeColor="text1"/>
          <w:spacing w:val="10"/>
          <w:sz w:val="20"/>
        </w:rPr>
        <w:t xml:space="preserve">2 </w:t>
      </w:r>
      <w:r w:rsidR="00B836C1" w:rsidRPr="0098635C">
        <w:rPr>
          <w:color w:val="000000" w:themeColor="text1"/>
          <w:sz w:val="20"/>
        </w:rPr>
        <w:t>coated copper flakes</w:t>
      </w:r>
      <w:r w:rsidR="00B836C1" w:rsidRPr="0098635C">
        <w:rPr>
          <w:color w:val="000000" w:themeColor="text1"/>
          <w:spacing w:val="-1"/>
          <w:sz w:val="20"/>
        </w:rPr>
        <w:t>.</w:t>
      </w:r>
      <w:r w:rsidR="00B836C1" w:rsidRPr="0098635C">
        <w:rPr>
          <w:color w:val="000000" w:themeColor="text1"/>
          <w:spacing w:val="11"/>
          <w:sz w:val="20"/>
        </w:rPr>
        <w:t xml:space="preserve"> </w:t>
      </w:r>
      <w:r w:rsidR="00B836C1" w:rsidRPr="0098635C">
        <w:rPr>
          <w:color w:val="000000" w:themeColor="text1"/>
          <w:spacing w:val="-1"/>
          <w:sz w:val="20"/>
        </w:rPr>
        <w:t>Testing</w:t>
      </w:r>
      <w:r w:rsidR="00B836C1" w:rsidRPr="0098635C">
        <w:rPr>
          <w:color w:val="000000" w:themeColor="text1"/>
          <w:spacing w:val="10"/>
          <w:sz w:val="20"/>
        </w:rPr>
        <w:t xml:space="preserve"> </w:t>
      </w:r>
      <w:r w:rsidR="00B836C1" w:rsidRPr="0098635C">
        <w:rPr>
          <w:color w:val="000000" w:themeColor="text1"/>
          <w:sz w:val="20"/>
        </w:rPr>
        <w:t>laboratory:</w:t>
      </w:r>
      <w:r w:rsidR="00B836C1" w:rsidRPr="0098635C">
        <w:rPr>
          <w:color w:val="000000" w:themeColor="text1"/>
          <w:spacing w:val="11"/>
          <w:sz w:val="20"/>
        </w:rPr>
        <w:t xml:space="preserve"> </w:t>
      </w:r>
      <w:r w:rsidR="00B836C1" w:rsidRPr="0098635C">
        <w:rPr>
          <w:color w:val="000000" w:themeColor="text1"/>
          <w:sz w:val="20"/>
        </w:rPr>
        <w:t>Outotec.</w:t>
      </w:r>
      <w:r w:rsidR="00B836C1" w:rsidRPr="0098635C">
        <w:rPr>
          <w:color w:val="000000" w:themeColor="text1"/>
          <w:spacing w:val="12"/>
          <w:sz w:val="20"/>
        </w:rPr>
        <w:t xml:space="preserve"> </w:t>
      </w:r>
      <w:r w:rsidR="00B836C1" w:rsidRPr="0098635C">
        <w:rPr>
          <w:color w:val="000000" w:themeColor="text1"/>
          <w:sz w:val="20"/>
        </w:rPr>
        <w:t>Report</w:t>
      </w:r>
      <w:r w:rsidR="00B836C1" w:rsidRPr="0098635C">
        <w:rPr>
          <w:color w:val="000000" w:themeColor="text1"/>
          <w:spacing w:val="11"/>
          <w:sz w:val="20"/>
        </w:rPr>
        <w:t xml:space="preserve"> </w:t>
      </w:r>
      <w:r w:rsidR="00B836C1" w:rsidRPr="0098635C">
        <w:rPr>
          <w:color w:val="000000" w:themeColor="text1"/>
          <w:spacing w:val="-1"/>
          <w:sz w:val="20"/>
        </w:rPr>
        <w:t>no.:</w:t>
      </w:r>
      <w:r w:rsidR="00B836C1" w:rsidRPr="0098635C">
        <w:rPr>
          <w:color w:val="000000" w:themeColor="text1"/>
          <w:spacing w:val="11"/>
          <w:sz w:val="20"/>
        </w:rPr>
        <w:t xml:space="preserve"> </w:t>
      </w:r>
      <w:r w:rsidR="00B836C1" w:rsidRPr="0098635C">
        <w:rPr>
          <w:color w:val="000000" w:themeColor="text1"/>
          <w:sz w:val="20"/>
        </w:rPr>
        <w:t>1011</w:t>
      </w:r>
      <w:r w:rsidR="0051634A" w:rsidRPr="0098635C">
        <w:rPr>
          <w:color w:val="000000" w:themeColor="text1"/>
          <w:sz w:val="20"/>
        </w:rPr>
        <w:t>1</w:t>
      </w:r>
      <w:r w:rsidR="00B836C1" w:rsidRPr="0098635C">
        <w:rPr>
          <w:color w:val="000000" w:themeColor="text1"/>
          <w:spacing w:val="12"/>
          <w:sz w:val="20"/>
        </w:rPr>
        <w:t xml:space="preserve"> </w:t>
      </w:r>
      <w:r w:rsidR="00B836C1" w:rsidRPr="0098635C">
        <w:rPr>
          <w:color w:val="000000" w:themeColor="text1"/>
          <w:spacing w:val="1"/>
          <w:sz w:val="20"/>
        </w:rPr>
        <w:t>ORC-T.</w:t>
      </w:r>
      <w:r w:rsidR="00DA0FBE" w:rsidRPr="0098635C">
        <w:rPr>
          <w:color w:val="000000" w:themeColor="text1"/>
          <w:spacing w:val="90"/>
          <w:w w:val="99"/>
          <w:sz w:val="20"/>
        </w:rPr>
        <w:t xml:space="preserve"> </w:t>
      </w:r>
      <w:r w:rsidR="006E09AA" w:rsidRPr="0098635C">
        <w:rPr>
          <w:color w:val="000000" w:themeColor="text1"/>
          <w:sz w:val="20"/>
        </w:rPr>
        <w:t>Unpublished</w:t>
      </w:r>
    </w:p>
    <w:p w14:paraId="0B246FBF" w14:textId="77777777" w:rsidR="004B112E" w:rsidRPr="0098635C" w:rsidRDefault="004B112E" w:rsidP="00926614">
      <w:pPr>
        <w:pStyle w:val="BodyText"/>
        <w:spacing w:after="0"/>
        <w:ind w:right="116"/>
        <w:rPr>
          <w:color w:val="000000" w:themeColor="text1"/>
          <w:sz w:val="20"/>
        </w:rPr>
      </w:pPr>
      <w:r w:rsidRPr="0098635C">
        <w:rPr>
          <w:color w:val="000000" w:themeColor="text1"/>
          <w:sz w:val="20"/>
        </w:rPr>
        <w:t>Lide 2009 CRC Handbook of Chemistry and Physics, 90th Edition</w:t>
      </w:r>
    </w:p>
    <w:p w14:paraId="56A3268C" w14:textId="0FDFAE68" w:rsidR="00C24197" w:rsidRPr="0098635C" w:rsidRDefault="00C24197" w:rsidP="00926614">
      <w:pPr>
        <w:pStyle w:val="BodyText"/>
        <w:spacing w:after="0"/>
        <w:ind w:right="116"/>
        <w:rPr>
          <w:color w:val="000000" w:themeColor="text1"/>
          <w:sz w:val="20"/>
          <w:lang w:val="nl-BE"/>
        </w:rPr>
      </w:pPr>
      <w:r w:rsidRPr="0098635C">
        <w:rPr>
          <w:color w:val="000000" w:themeColor="text1"/>
          <w:sz w:val="20"/>
          <w:lang w:val="nl-BE"/>
        </w:rPr>
        <w:t xml:space="preserve">Linder MC, Hazegh-Azam M, 1996. </w:t>
      </w:r>
      <w:r w:rsidRPr="0098635C">
        <w:rPr>
          <w:color w:val="000000" w:themeColor="text1"/>
          <w:sz w:val="20"/>
        </w:rPr>
        <w:t xml:space="preserve">Copper biochemistry and molecular biology. </w:t>
      </w:r>
      <w:r w:rsidRPr="0098635C">
        <w:rPr>
          <w:color w:val="000000" w:themeColor="text1"/>
          <w:sz w:val="20"/>
          <w:lang w:val="nl-NL"/>
        </w:rPr>
        <w:t>Am.J.Clin.Nutr. 63:797S-811S.</w:t>
      </w:r>
    </w:p>
    <w:p w14:paraId="4C0ABA60" w14:textId="77777777" w:rsidR="00C24197" w:rsidRPr="0098635C" w:rsidRDefault="00C24197">
      <w:pPr>
        <w:pStyle w:val="BodyText"/>
        <w:spacing w:after="0"/>
        <w:ind w:left="567" w:hanging="567"/>
        <w:rPr>
          <w:color w:val="000000" w:themeColor="text1"/>
          <w:sz w:val="20"/>
        </w:rPr>
      </w:pPr>
      <w:r w:rsidRPr="0098635C">
        <w:rPr>
          <w:color w:val="000000" w:themeColor="text1"/>
          <w:sz w:val="20"/>
          <w:lang w:val="nl-NL"/>
        </w:rPr>
        <w:t xml:space="preserve">Lindley PF, 2000. Ceruloplasmin. In: Handbook of Metalloproteins. Vol. 2. </w:t>
      </w:r>
      <w:r w:rsidRPr="0098635C">
        <w:rPr>
          <w:color w:val="000000" w:themeColor="text1"/>
          <w:sz w:val="20"/>
        </w:rPr>
        <w:t>Messerschmidt A et al. (eds), Chichester, John Wiley and Sons.</w:t>
      </w:r>
    </w:p>
    <w:p w14:paraId="529CD5D5"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it-IT"/>
        </w:rPr>
        <w:t xml:space="preserve">Lisi P, Caraffini S, Assalve D, 1987. </w:t>
      </w:r>
      <w:r w:rsidRPr="0098635C">
        <w:rPr>
          <w:color w:val="000000" w:themeColor="text1"/>
          <w:sz w:val="20"/>
        </w:rPr>
        <w:t>Irritation and sensitisation potential of pesticides. Contact Dermatitis 17:212-218.</w:t>
      </w:r>
    </w:p>
    <w:p w14:paraId="65C427DD"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Liu C.-CF, Medeiros DM, 1986. Excess diet copper increases systolic blood pressure in rats. Biol.Trace Elem.Res. 9:15-24.</w:t>
      </w:r>
    </w:p>
    <w:p w14:paraId="313A412C"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Llewellyn GC, Floyd EA, Hoke GD, Weekley LB, Kimbrough TD, 1985. Influence of aflatoxin, zinc and copper on bone size, organ weight and body weight in hamsters and rats. Bull.Environ.Contam.Toxicol. 35:149-156.</w:t>
      </w:r>
    </w:p>
    <w:p w14:paraId="22E30070"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Lock JW et al, 1992. Metal concentrations in seabirds of the New Zealand region. Environ.Pollut. 75:289-300. </w:t>
      </w:r>
    </w:p>
    <w:p w14:paraId="79949F27"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Lock K, Janssen C, 2002. Mixture toxicity of zinc, cadmium, copper, and lead to the potworm </w:t>
      </w:r>
      <w:r w:rsidRPr="0098635C">
        <w:rPr>
          <w:i/>
          <w:color w:val="000000" w:themeColor="text1"/>
          <w:sz w:val="20"/>
        </w:rPr>
        <w:t>Enchytraeus albidus</w:t>
      </w:r>
      <w:r w:rsidRPr="0098635C">
        <w:rPr>
          <w:color w:val="000000" w:themeColor="text1"/>
          <w:sz w:val="20"/>
        </w:rPr>
        <w:t>. Ecotox.Environ.Safe. 52(1):1-7.</w:t>
      </w:r>
    </w:p>
    <w:p w14:paraId="55AA8C89"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Lofts S, Tipping E, 2000. Solid-solution metal partitioning in the Humber rivers: application of WHAM and SCAMP. Sci.Total Environ. 251/252:381-399. </w:t>
      </w:r>
    </w:p>
    <w:p w14:paraId="0ADE36DE"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Logue JN, Koontz MD, Hattwick MAW, 1982. A historical prospective mortality study of workers in copper and zinc refineries. J.Occup.Med. 5:398-408.</w:t>
      </w:r>
    </w:p>
    <w:p w14:paraId="09EBA6FD"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Lorenzo JI, Nieto O, Beiras R, 2006. Anodic stripping voltammetry measures copper bioavailability for sea urchin larvae in the presence of fulvic acids. Environ.Toxicol.Chem. 25(1). </w:t>
      </w:r>
    </w:p>
    <w:p w14:paraId="3071DE33" w14:textId="77777777" w:rsidR="00C24197" w:rsidRPr="0098635C" w:rsidRDefault="00C24197" w:rsidP="006E5329">
      <w:pPr>
        <w:pStyle w:val="BodyText"/>
        <w:spacing w:after="0"/>
        <w:ind w:left="567" w:hanging="567"/>
        <w:rPr>
          <w:color w:val="000000" w:themeColor="text1"/>
          <w:sz w:val="20"/>
          <w:lang w:val="it-IT"/>
        </w:rPr>
      </w:pPr>
      <w:r w:rsidRPr="0098635C">
        <w:rPr>
          <w:color w:val="000000" w:themeColor="text1"/>
          <w:sz w:val="20"/>
        </w:rPr>
        <w:t xml:space="preserve">Lubin JH, Pottern LM, Stone BJ, Fraumenti JF, 2000. Respiratory cancer in a cohort of copper smelter workers: results from more than 50 years of follow-up. </w:t>
      </w:r>
      <w:r w:rsidRPr="0098635C">
        <w:rPr>
          <w:color w:val="000000" w:themeColor="text1"/>
          <w:sz w:val="20"/>
          <w:lang w:val="it-IT"/>
        </w:rPr>
        <w:t>Am.J.Epi. 6:554-65.</w:t>
      </w:r>
    </w:p>
    <w:p w14:paraId="1B661D67"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it-IT"/>
        </w:rPr>
        <w:t xml:space="preserve">Luperi L, Forster R, 1987. Acute eye irritation in rabbits. </w:t>
      </w:r>
      <w:r w:rsidRPr="0098635C">
        <w:rPr>
          <w:color w:val="000000" w:themeColor="text1"/>
          <w:sz w:val="20"/>
        </w:rPr>
        <w:t>Life Science Research. Report No. 128003-ST-01687. Unpublished.</w:t>
      </w:r>
    </w:p>
    <w:p w14:paraId="3782A7D9"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Ma W-C, 1984. Sublethal toxic effects of copper on growth, reproduction and litter breakdown activity in the earthworm </w:t>
      </w:r>
      <w:r w:rsidRPr="0098635C">
        <w:rPr>
          <w:i/>
          <w:color w:val="000000" w:themeColor="text1"/>
          <w:sz w:val="20"/>
        </w:rPr>
        <w:t>Lumbricus rubellus</w:t>
      </w:r>
      <w:r w:rsidRPr="0098635C">
        <w:rPr>
          <w:color w:val="000000" w:themeColor="text1"/>
          <w:sz w:val="20"/>
        </w:rPr>
        <w:t xml:space="preserve">, with observations on the influence of temperature and soil pH. Environ.Pollut.(Series A) 33:207-219. </w:t>
      </w:r>
    </w:p>
    <w:p w14:paraId="2A6E08D9"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Ma W, 1988. Toxicity of copper to lumbricid earthworms in sandy agricultural soils amended with Cu-enriched organic waste materials. Ecol.Bull. 39:53-56.</w:t>
      </w:r>
    </w:p>
    <w:p w14:paraId="5A563E94"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Ma YB et al, 2006a. Determination of labile copper in soils and isotopic exchangeability of colloid copper complexes. Europ.J.Soil Sci. 57(2):147-153. </w:t>
      </w:r>
    </w:p>
    <w:p w14:paraId="39AB9420"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Ma YB et al, 2006b. Short-term natural attenuation of copper in soils: effects of time, temperature, and soil characteristics. Environ.Toxicol.Chem. 25(3):652-658. </w:t>
      </w:r>
    </w:p>
    <w:p w14:paraId="065E59BC" w14:textId="77777777" w:rsidR="00C24197" w:rsidRPr="0098635C" w:rsidRDefault="00C24197" w:rsidP="006E5329">
      <w:pPr>
        <w:pStyle w:val="BodyText"/>
        <w:spacing w:after="0"/>
        <w:ind w:left="567" w:hanging="567"/>
        <w:rPr>
          <w:color w:val="000000" w:themeColor="text1"/>
          <w:sz w:val="20"/>
          <w:lang w:val="fr-FR"/>
        </w:rPr>
      </w:pPr>
      <w:r w:rsidRPr="0098635C">
        <w:rPr>
          <w:color w:val="000000" w:themeColor="text1"/>
          <w:sz w:val="20"/>
        </w:rPr>
        <w:t xml:space="preserve">Maliszewska W, Stanislawa D, Wierzbicka H, Wozniakowska A, 1985. The influence of various heavy metals compounds on the development and activity of soil micro-organisms. </w:t>
      </w:r>
      <w:r w:rsidRPr="0098635C">
        <w:rPr>
          <w:color w:val="000000" w:themeColor="text1"/>
          <w:sz w:val="20"/>
          <w:lang w:val="fr-FR"/>
        </w:rPr>
        <w:t>Environ.Pollut. 37:195-215.</w:t>
      </w:r>
    </w:p>
    <w:p w14:paraId="6CA5270F"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fr-FR"/>
        </w:rPr>
        <w:t xml:space="preserve">Manciaux X, 1998. Acute oral toxicity in rats. Centre International de Toxicologie. </w:t>
      </w:r>
      <w:r w:rsidRPr="0098635C">
        <w:rPr>
          <w:color w:val="000000" w:themeColor="text1"/>
          <w:sz w:val="20"/>
        </w:rPr>
        <w:t>Report No. 16141 TAR. Unpublished.</w:t>
      </w:r>
    </w:p>
    <w:p w14:paraId="16D85945"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Marceau N, Aspin N, Sass-Kortsak A, 1970. Absorption of copper 64 from gastrointestinal tract of the rat. Am.J.Physiol. 218:377-383.</w:t>
      </w:r>
    </w:p>
    <w:p w14:paraId="3BCE8668" w14:textId="77777777" w:rsidR="00C22C1F" w:rsidRPr="0098635C" w:rsidRDefault="00C22C1F" w:rsidP="00926614">
      <w:pPr>
        <w:spacing w:after="0"/>
        <w:ind w:left="567" w:hanging="567"/>
        <w:rPr>
          <w:color w:val="000000" w:themeColor="text1"/>
          <w:sz w:val="20"/>
          <w:szCs w:val="20"/>
        </w:rPr>
      </w:pPr>
      <w:bookmarkStart w:id="2054" w:name="d0e65718"/>
      <w:r w:rsidRPr="0098635C">
        <w:rPr>
          <w:rFonts w:eastAsiaTheme="minorEastAsia"/>
          <w:bCs/>
          <w:color w:val="000000" w:themeColor="text1"/>
          <w:sz w:val="20"/>
          <w:szCs w:val="20"/>
          <w:lang w:eastAsia="en-GB"/>
        </w:rPr>
        <w:t>Markich, S. J. et al. (2003). The Effects of pH and Dissolved Organic Carbon on the Toxicity of Cadmium and Copper to a Freshwater Bivalve: Further Support for the Extended Free Ion Activity Model. Arch. Environ. Contam. Toxicol., 2003; 45:479–491.</w:t>
      </w:r>
    </w:p>
    <w:bookmarkEnd w:id="2054"/>
    <w:p w14:paraId="04E5786C"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Marr JCA et al, 1996. Relationship between copper exposure duration, tissue copper concentration and rainbow trout growth. Aq.Toxicol. 36:17-30. </w:t>
      </w:r>
    </w:p>
    <w:p w14:paraId="72497E3B"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Marr JCA, Hansen JA, Meyer JS, Cacela D, Podrabsky T, Lipton J, Bergman HL, 1998. Toxicity of cobalt and copper to rainbow trout: application of a mechanistic model for predicting survival. Aq.Toxicol. 43:225-238. </w:t>
      </w:r>
    </w:p>
    <w:p w14:paraId="40826A8E" w14:textId="26F8A3DA" w:rsidR="00C24197" w:rsidRPr="0098635C" w:rsidRDefault="00C24197" w:rsidP="006E5329">
      <w:pPr>
        <w:pStyle w:val="BodyText"/>
        <w:spacing w:after="0"/>
        <w:ind w:left="567" w:hanging="567"/>
        <w:rPr>
          <w:color w:val="000000" w:themeColor="text1"/>
          <w:sz w:val="20"/>
        </w:rPr>
      </w:pPr>
      <w:r w:rsidRPr="0098635C">
        <w:rPr>
          <w:color w:val="000000" w:themeColor="text1"/>
          <w:sz w:val="20"/>
        </w:rPr>
        <w:t>Marr JCA, Lipton J, Cacela D, Hansen JA, Meyer JS, Bergman HL, 1999. Bioavailability and acute toxicity of copper to rainbow trout (</w:t>
      </w:r>
      <w:r w:rsidRPr="0098635C">
        <w:rPr>
          <w:i/>
          <w:color w:val="000000" w:themeColor="text1"/>
          <w:sz w:val="20"/>
        </w:rPr>
        <w:t>Oncorhynchus mykiss</w:t>
      </w:r>
      <w:r w:rsidRPr="0098635C">
        <w:rPr>
          <w:color w:val="000000" w:themeColor="text1"/>
          <w:sz w:val="20"/>
        </w:rPr>
        <w:t xml:space="preserve">) in the presence of organic acids simulating natural dissolved organic carbon. Can.J.Fish.Aq.Sci. 56:1471-1483. </w:t>
      </w:r>
    </w:p>
    <w:p w14:paraId="17383FCF" w14:textId="77777777" w:rsidR="00C22C1F" w:rsidRPr="0098635C" w:rsidRDefault="00C22C1F" w:rsidP="00926614">
      <w:pPr>
        <w:spacing w:after="0"/>
        <w:ind w:left="567" w:hanging="567"/>
        <w:rPr>
          <w:color w:val="000000" w:themeColor="text1"/>
          <w:sz w:val="20"/>
          <w:szCs w:val="20"/>
        </w:rPr>
      </w:pPr>
      <w:bookmarkStart w:id="2055" w:name="d0e65726"/>
      <w:r w:rsidRPr="0098635C">
        <w:rPr>
          <w:rFonts w:eastAsiaTheme="minorEastAsia"/>
          <w:bCs/>
          <w:color w:val="000000" w:themeColor="text1"/>
          <w:sz w:val="20"/>
          <w:szCs w:val="20"/>
          <w:lang w:eastAsia="en-GB"/>
        </w:rPr>
        <w:t>Marsh GM, Stone RA, Esmen NA, Gula MJ, Gause CK, Petersen NJ, Meaney F, Prybylski D (1998). A case-control study of lung cancer mortality in four rural Arizona smelter towns. Arch. Environ. Health 53(1):15-28.</w:t>
      </w:r>
    </w:p>
    <w:p w14:paraId="63F49A19" w14:textId="77777777" w:rsidR="00C22C1F" w:rsidRPr="0098635C" w:rsidRDefault="00C22C1F" w:rsidP="00926614">
      <w:pPr>
        <w:spacing w:after="0"/>
        <w:ind w:left="567" w:hanging="567"/>
        <w:rPr>
          <w:color w:val="000000" w:themeColor="text1"/>
          <w:sz w:val="20"/>
          <w:szCs w:val="20"/>
        </w:rPr>
      </w:pPr>
      <w:bookmarkStart w:id="2056" w:name="d0e65728"/>
      <w:bookmarkEnd w:id="2055"/>
      <w:r w:rsidRPr="0098635C">
        <w:rPr>
          <w:rFonts w:eastAsiaTheme="minorEastAsia"/>
          <w:bCs/>
          <w:color w:val="000000" w:themeColor="text1"/>
          <w:sz w:val="20"/>
          <w:szCs w:val="20"/>
          <w:lang w:eastAsia="en-GB"/>
        </w:rPr>
        <w:t>Marsh GM, Stone RA, Esmen NA, Gula MJ, Gause CK, Petersen NJ, Meaney FJ, Rodney S, Prybylski D (1997). A Case-Control Study of Lung Cancer Mortality in Six Gila Basin, Arizona Smelter Towns. Environ. Res. 75(1):56-72. Report date: 1996-12-22.</w:t>
      </w:r>
    </w:p>
    <w:bookmarkEnd w:id="2056"/>
    <w:p w14:paraId="663EAB84"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Martin JM, Guan DM, Elbaz-Poulichet F, Thomas AJ, Gordeev VV, 1993. Preliminary assessment of the distributions of some trace elements (As, Cd, Cu, Fe, Ni, Pb and Zn) in a pristine aquatic environment: the Lena River estuary (Russia). Mar.Chem. 43:185-199. </w:t>
      </w:r>
    </w:p>
    <w:p w14:paraId="0D46D04E"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lastRenderedPageBreak/>
        <w:t xml:space="preserve">Marzin DR, Phi HV, 1985. Study of the mutagenicity of metal derivatives with </w:t>
      </w:r>
      <w:r w:rsidRPr="0098635C">
        <w:rPr>
          <w:i/>
          <w:color w:val="000000" w:themeColor="text1"/>
          <w:sz w:val="20"/>
        </w:rPr>
        <w:t>Salmonella typhimurium</w:t>
      </w:r>
      <w:r w:rsidRPr="0098635C">
        <w:rPr>
          <w:color w:val="000000" w:themeColor="text1"/>
          <w:sz w:val="20"/>
        </w:rPr>
        <w:t>. Mutation Res. 155:49-51.</w:t>
      </w:r>
    </w:p>
    <w:p w14:paraId="70B202A5"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Maund SJ et al, 1992. Population responses of the freshwater amphipod crustacean </w:t>
      </w:r>
      <w:r w:rsidRPr="0098635C">
        <w:rPr>
          <w:i/>
          <w:color w:val="000000" w:themeColor="text1"/>
          <w:sz w:val="20"/>
        </w:rPr>
        <w:t>Gammarus pulex</w:t>
      </w:r>
      <w:r w:rsidRPr="0098635C">
        <w:rPr>
          <w:color w:val="000000" w:themeColor="text1"/>
          <w:sz w:val="20"/>
        </w:rPr>
        <w:t xml:space="preserve"> to copper. Freshwater Biol. 28:29-36. </w:t>
      </w:r>
    </w:p>
    <w:p w14:paraId="781C6AA0"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McBride MB,  2001. Cupric ion activity in peat soil as a toxicity indicator for Maize. J.Environ.Qual. 30(1):78-84.</w:t>
      </w:r>
    </w:p>
    <w:p w14:paraId="75337189"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McGeer JC et al, 2002. The role of dissolved organic carbon in moderating the bioavailability and toxicity of Cu to rainbow trout during chronic waterborne exposure. Comp.Biochem.Physiol.C Toxicol.Pharmacol. 133(1-2):147-60. </w:t>
      </w:r>
    </w:p>
    <w:p w14:paraId="519786E2"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McGeer JC et al, 2003. Inverse relationship between bioconcentration factor and exposure concentration for metals: implications for hazard assessment of metals in the aquatic environment. Environ.Toxicol.Chem. 22(5):1017-37. </w:t>
      </w:r>
    </w:p>
    <w:p w14:paraId="3D1E7E84"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McKim JM, Benoit DA, 1971. Effects of long-term exposures to copper on survival, growth and reproduction of brook Trout (Salvelinus fontalis). J.Fish Res.Bd.Can. 28:655-662. </w:t>
      </w:r>
    </w:p>
    <w:p w14:paraId="55E875CD"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McKim JM, Eaton JG, Holcombe GW, 1978. Metal toxicity to embryos and larvae of eight species of freshwater fish - II: copper. 0007-4861/78/0019-0608 Springer-Verlag New York Inc. </w:t>
      </w:r>
    </w:p>
    <w:p w14:paraId="1E985731" w14:textId="77777777" w:rsidR="00C22C1F" w:rsidRPr="0098635C" w:rsidRDefault="00C22C1F" w:rsidP="006E5329">
      <w:pPr>
        <w:pStyle w:val="BodyText"/>
        <w:spacing w:after="0"/>
        <w:ind w:left="567" w:hanging="567"/>
        <w:rPr>
          <w:rFonts w:eastAsiaTheme="minorEastAsia"/>
          <w:bCs/>
          <w:color w:val="000000" w:themeColor="text1"/>
          <w:sz w:val="20"/>
          <w:lang w:eastAsia="en-GB"/>
        </w:rPr>
      </w:pPr>
      <w:r w:rsidRPr="0098635C">
        <w:rPr>
          <w:rFonts w:eastAsiaTheme="minorEastAsia"/>
          <w:bCs/>
          <w:color w:val="000000" w:themeColor="text1"/>
          <w:sz w:val="20"/>
          <w:lang w:eastAsia="en-GB"/>
        </w:rPr>
        <w:t>McLusky, D. S. &amp; Phillips, C. N. K. (1975). Some Effects of Copper on the Polychaete Phyllodoce maculata. Estuarine and Coastal Marine Science. 3: 103-108.</w:t>
      </w:r>
    </w:p>
    <w:p w14:paraId="51FC303C" w14:textId="5555A321" w:rsidR="00C24197" w:rsidRPr="0098635C" w:rsidRDefault="00C24197" w:rsidP="006E5329">
      <w:pPr>
        <w:pStyle w:val="BodyText"/>
        <w:spacing w:after="0"/>
        <w:ind w:left="567" w:hanging="567"/>
        <w:rPr>
          <w:color w:val="000000" w:themeColor="text1"/>
          <w:sz w:val="20"/>
        </w:rPr>
      </w:pPr>
      <w:r w:rsidRPr="0098635C">
        <w:rPr>
          <w:color w:val="000000" w:themeColor="text1"/>
          <w:sz w:val="20"/>
        </w:rPr>
        <w:t>McManus JP, Prandle D, 1996. Determination of source concentrations of dissolved and particulate trace metals in the Southern North Sea. Mar.Pollut.Bull. 32(6):504-512.</w:t>
      </w:r>
    </w:p>
    <w:p w14:paraId="52D343D0"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McMaster D, McCrum E, Patterson CC, Kerr MM, O’Reilly D, Evans AE, Love AHG, 1992. Serum copper and zinc in random samples of the population of Northern Ireland. Am.J.Clin.Nutr 56:440-446.</w:t>
      </w:r>
    </w:p>
    <w:p w14:paraId="0DDD707C"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Mercer JF, Livingston J, Hall B, et al., 1993. Isolation of a partial candidate gene for Menkes disease by positional cloning. Nat.Genet. 3:20-25.</w:t>
      </w:r>
    </w:p>
    <w:p w14:paraId="03310A6F"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Mercier O, 1994a. Test to evaluate the sensitising potential in the guinea-pig maximisation test. Pharmakon Europe. Report No. 44093. Unpublished.</w:t>
      </w:r>
    </w:p>
    <w:p w14:paraId="0B69FF72"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Mercier O, 1994b. Test to evaluate the acute ocular irritation and reversibility in the rabbit. Pharmakon Europe. Report No. 44393. Unpublished.</w:t>
      </w:r>
    </w:p>
    <w:p w14:paraId="7C7977F4"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Mercier O, 1994c. Test to evaluate the acute primary cutaneous irritation and corrosivity in the rabbit. Pharmakon Europe. Report No. 44493. Unpublished.</w:t>
      </w:r>
    </w:p>
    <w:p w14:paraId="5AFBBDAC"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Mersch J, Morhain E, Mouvet C, 1993. Laboratory accumulation and depuration of copper and cadmium in the freshwater mussel Dreissena polymorpha and the aquatic moss </w:t>
      </w:r>
      <w:r w:rsidRPr="0098635C">
        <w:rPr>
          <w:i/>
          <w:color w:val="000000" w:themeColor="text1"/>
          <w:sz w:val="20"/>
        </w:rPr>
        <w:t>Rhynchostegium riparioides</w:t>
      </w:r>
      <w:r w:rsidRPr="0098635C">
        <w:rPr>
          <w:color w:val="000000" w:themeColor="text1"/>
          <w:sz w:val="20"/>
        </w:rPr>
        <w:t xml:space="preserve">. Chemosphere 27(8):1475-1485. </w:t>
      </w:r>
    </w:p>
    <w:p w14:paraId="67668B30" w14:textId="4BDF4943" w:rsidR="004B112E" w:rsidRPr="0098635C" w:rsidRDefault="004B112E" w:rsidP="006E5329">
      <w:pPr>
        <w:pStyle w:val="BodyText"/>
        <w:spacing w:after="0"/>
        <w:ind w:left="567" w:hanging="567"/>
        <w:rPr>
          <w:color w:val="000000" w:themeColor="text1"/>
          <w:sz w:val="20"/>
        </w:rPr>
      </w:pPr>
      <w:r w:rsidRPr="0098635C">
        <w:rPr>
          <w:color w:val="000000" w:themeColor="text1"/>
          <w:sz w:val="20"/>
        </w:rPr>
        <w:t>Messerschmidt, S. 2006. Coated copper flakes. Tap density of copper powder. Tested by Eurofins. Report nr  GAB 20051384/01-PCTD</w:t>
      </w:r>
      <w:r w:rsidR="000D3FB3" w:rsidRPr="0098635C">
        <w:rPr>
          <w:color w:val="000000" w:themeColor="text1"/>
          <w:sz w:val="20"/>
        </w:rPr>
        <w:t xml:space="preserve">. </w:t>
      </w:r>
      <w:r w:rsidR="006E09AA" w:rsidRPr="0098635C">
        <w:rPr>
          <w:color w:val="000000" w:themeColor="text1"/>
          <w:sz w:val="20"/>
        </w:rPr>
        <w:t>Unpublished</w:t>
      </w:r>
    </w:p>
    <w:p w14:paraId="06A84BBA" w14:textId="63F699EF" w:rsidR="00C24197" w:rsidRPr="0098635C" w:rsidRDefault="00C24197" w:rsidP="006E5329">
      <w:pPr>
        <w:pStyle w:val="BodyText"/>
        <w:spacing w:after="0"/>
        <w:ind w:left="567" w:hanging="567"/>
        <w:rPr>
          <w:color w:val="000000" w:themeColor="text1"/>
          <w:sz w:val="20"/>
        </w:rPr>
      </w:pPr>
      <w:r w:rsidRPr="0098635C">
        <w:rPr>
          <w:color w:val="000000" w:themeColor="text1"/>
          <w:sz w:val="20"/>
        </w:rPr>
        <w:t>Milne DB, Johnson PE, 1993. Assessment of copper status: effect of age and gender on reference ranges in healthy adults. Clin.Chem. 39:883-887.</w:t>
      </w:r>
    </w:p>
    <w:p w14:paraId="016DC2B1"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Monteny F, Elskens M, Baeyens W, 1993. The behaviour of copper and zinc in the Scheldt estuary. Neth.J.Aq.Ecol. 27(2-4):279-286. </w:t>
      </w:r>
    </w:p>
    <w:p w14:paraId="6AD2A28A"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Moriya M, Ohta T, Watanabe K, Miyazawa T, Kato K, Shirasu Y, 1983. Further mutagenicity studies on pesticides in bacterial reversion assay systems. Mutation Res. 116:185-216.</w:t>
      </w:r>
    </w:p>
    <w:p w14:paraId="2DB288B6" w14:textId="77777777" w:rsidR="00C24197" w:rsidRPr="0098635C" w:rsidRDefault="00C24197" w:rsidP="006E5329">
      <w:pPr>
        <w:pStyle w:val="BodyText"/>
        <w:spacing w:after="0"/>
        <w:ind w:left="567" w:hanging="567"/>
        <w:rPr>
          <w:color w:val="000000" w:themeColor="text1"/>
          <w:sz w:val="20"/>
          <w:lang w:val="it-IT"/>
        </w:rPr>
      </w:pPr>
      <w:r w:rsidRPr="0098635C">
        <w:rPr>
          <w:color w:val="000000" w:themeColor="text1"/>
          <w:sz w:val="20"/>
        </w:rPr>
        <w:t xml:space="preserve">Morton MS, Elwood PC, Abernethy M, 1976. Trace elements in water and congenital malformations of the central nervous system in South Wales. </w:t>
      </w:r>
      <w:r w:rsidRPr="0098635C">
        <w:rPr>
          <w:color w:val="000000" w:themeColor="text1"/>
          <w:sz w:val="20"/>
          <w:lang w:val="it-IT"/>
        </w:rPr>
        <w:t>Brit.J.Prev.Soc.Med. 30:36-39.</w:t>
      </w:r>
    </w:p>
    <w:p w14:paraId="353387CF"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it-IT"/>
        </w:rPr>
        <w:t xml:space="preserve">Motolese A, Truzzi M, Giannini A, Seidenari S, 1993. </w:t>
      </w:r>
      <w:r w:rsidRPr="0098635C">
        <w:rPr>
          <w:color w:val="000000" w:themeColor="text1"/>
          <w:sz w:val="20"/>
        </w:rPr>
        <w:t>Contact dermatitis and contact sensitization among enamellers and decorators in the ceramic industry. Contact Dermatitis 28:59-62.</w:t>
      </w:r>
    </w:p>
    <w:p w14:paraId="14EDD3F0"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Mount DI, 1968. Chronic toxicity of copper to fathead minnows (</w:t>
      </w:r>
      <w:r w:rsidRPr="0098635C">
        <w:rPr>
          <w:i/>
          <w:color w:val="000000" w:themeColor="text1"/>
          <w:sz w:val="20"/>
        </w:rPr>
        <w:t>Pimephales promelas</w:t>
      </w:r>
      <w:r w:rsidRPr="0098635C">
        <w:rPr>
          <w:color w:val="000000" w:themeColor="text1"/>
          <w:sz w:val="20"/>
        </w:rPr>
        <w:t xml:space="preserve"> rafinesque). Water Res. 2:215-223. </w:t>
      </w:r>
    </w:p>
    <w:p w14:paraId="02E85976"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Mount DI, Stephan CE, 1969. Chronic toxicity of copper to the fathead minnow (</w:t>
      </w:r>
      <w:r w:rsidRPr="0098635C">
        <w:rPr>
          <w:i/>
          <w:color w:val="000000" w:themeColor="text1"/>
          <w:sz w:val="20"/>
        </w:rPr>
        <w:t>Pimephales promelas</w:t>
      </w:r>
      <w:r w:rsidRPr="0098635C">
        <w:rPr>
          <w:color w:val="000000" w:themeColor="text1"/>
          <w:sz w:val="20"/>
        </w:rPr>
        <w:t xml:space="preserve">) in soft water. J.Fish.Res.Bd.Can. 26(9). </w:t>
      </w:r>
    </w:p>
    <w:p w14:paraId="26BCAAFB"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Mount DI, Stephan CE, 1969. Chronic toxicity of copper to the fathead minnow. J.Fish.Res.Bd.Can. 26:2449-2457. </w:t>
      </w:r>
    </w:p>
    <w:p w14:paraId="2EF831FC" w14:textId="77777777" w:rsidR="00C24197" w:rsidRPr="0098635C" w:rsidRDefault="00C24197" w:rsidP="006E5329">
      <w:pPr>
        <w:pStyle w:val="BodyText"/>
        <w:spacing w:after="0"/>
        <w:ind w:left="567" w:hanging="567"/>
        <w:rPr>
          <w:color w:val="000000" w:themeColor="text1"/>
          <w:sz w:val="20"/>
          <w:lang w:val="de-DE"/>
        </w:rPr>
      </w:pPr>
      <w:r w:rsidRPr="0098635C">
        <w:rPr>
          <w:color w:val="000000" w:themeColor="text1"/>
          <w:sz w:val="20"/>
        </w:rPr>
        <w:t xml:space="preserve">Mozaffari M et al, 1996. Relation of copper extractable from soil and pH to copper content and growth of two citrus rootstocks. </w:t>
      </w:r>
      <w:r w:rsidRPr="0098635C">
        <w:rPr>
          <w:color w:val="000000" w:themeColor="text1"/>
          <w:sz w:val="20"/>
          <w:lang w:val="de-DE"/>
        </w:rPr>
        <w:t xml:space="preserve">Soil Sci. 161(11):786-792. </w:t>
      </w:r>
    </w:p>
    <w:p w14:paraId="02A25004"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de-DE"/>
        </w:rPr>
        <w:t xml:space="preserve">Mudge JE, Northstrom TE, Jeane GS, Davis W, Hickam JL, 1993. </w:t>
      </w:r>
      <w:r w:rsidRPr="0098635C">
        <w:rPr>
          <w:color w:val="000000" w:themeColor="text1"/>
          <w:sz w:val="20"/>
        </w:rPr>
        <w:t xml:space="preserve">Effect of varying environmental conditions on the toxicity of copper to salmon. Environ.Toxicol.Risk Assess.: 2nd edition STP 1216. Testing laboratory: SE Technologies inc, 1370 Washington Pike, Bridgeville, PA15017. </w:t>
      </w:r>
    </w:p>
    <w:p w14:paraId="27E45729"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nl-BE"/>
        </w:rPr>
        <w:t xml:space="preserve">Müller-Höcker J, Meyer U, Wiebecke B, Hübner G, Eife R, Kellner M, Schramel P, 1988. </w:t>
      </w:r>
      <w:r w:rsidRPr="0098635C">
        <w:rPr>
          <w:color w:val="000000" w:themeColor="text1"/>
          <w:sz w:val="20"/>
        </w:rPr>
        <w:t>Copper storage disease of the liver and chronic dietary copper intoxication in two further German infants mimicking Indian Childhood Cirrhosis. Path.Res.Pract. 183:39-45.</w:t>
      </w:r>
    </w:p>
    <w:p w14:paraId="7DF09217"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Munksgaard NC, Parry DL, 2001. Trace metals, arsenic and lead isotopes in dissolved and particulate phases of North Australian coastal and estuarine seawater. Mar.Chem. 75:165-184. </w:t>
      </w:r>
    </w:p>
    <w:p w14:paraId="1121772B" w14:textId="7E50213E" w:rsidR="00C24197" w:rsidRPr="0098635C" w:rsidRDefault="00C24197" w:rsidP="006E5329">
      <w:pPr>
        <w:pStyle w:val="BodyText"/>
        <w:spacing w:after="0"/>
        <w:ind w:left="567" w:hanging="567"/>
        <w:rPr>
          <w:color w:val="000000" w:themeColor="text1"/>
          <w:sz w:val="20"/>
        </w:rPr>
      </w:pPr>
      <w:r w:rsidRPr="0098635C">
        <w:rPr>
          <w:color w:val="000000" w:themeColor="text1"/>
          <w:sz w:val="20"/>
        </w:rPr>
        <w:t>Munley SM, 2003a. Copper hydroxide –developmental toxicity study in rabbits. Testing laboratory: E. I. du Pont de Nemours and Company, Haskell Laboratory for Health and Environmental Sciences, Newark, Delaware. Report no.: DuPont-11862. Report date: 2003-11-17.</w:t>
      </w:r>
      <w:r w:rsidR="006E09AA" w:rsidRPr="0098635C">
        <w:rPr>
          <w:color w:val="000000" w:themeColor="text1"/>
          <w:sz w:val="20"/>
        </w:rPr>
        <w:t xml:space="preserve"> Unpublished</w:t>
      </w:r>
    </w:p>
    <w:p w14:paraId="2FCB24AD" w14:textId="549F03BC" w:rsidR="00C22C1F" w:rsidRPr="0098635C" w:rsidRDefault="00C22C1F" w:rsidP="00926614">
      <w:pPr>
        <w:spacing w:after="0"/>
        <w:ind w:left="567" w:hanging="567"/>
        <w:rPr>
          <w:color w:val="000000" w:themeColor="text1"/>
          <w:sz w:val="20"/>
          <w:szCs w:val="20"/>
        </w:rPr>
      </w:pPr>
      <w:bookmarkStart w:id="2057" w:name="d0e65792"/>
      <w:r w:rsidRPr="0098635C">
        <w:rPr>
          <w:rFonts w:eastAsiaTheme="minorEastAsia"/>
          <w:bCs/>
          <w:color w:val="000000" w:themeColor="text1"/>
          <w:sz w:val="20"/>
          <w:szCs w:val="20"/>
          <w:lang w:eastAsia="en-GB"/>
        </w:rPr>
        <w:t xml:space="preserve">Munley, S. M. (2003b). Copper hydroxide – pilot developmental toxicity study in rabbits. Testing laboratory: E. I. du Pont de Nemours and Company, Haskell Laboratory for Health and Environmental Sciences, Newark, Delaware. </w:t>
      </w:r>
      <w:r w:rsidRPr="0098635C">
        <w:rPr>
          <w:rFonts w:eastAsiaTheme="minorEastAsia"/>
          <w:bCs/>
          <w:color w:val="000000" w:themeColor="text1"/>
          <w:sz w:val="20"/>
          <w:szCs w:val="20"/>
          <w:lang w:eastAsia="en-GB"/>
        </w:rPr>
        <w:lastRenderedPageBreak/>
        <w:t>Report no.: DuPont-11861</w:t>
      </w:r>
      <w:r w:rsidR="00847893" w:rsidRPr="0098635C">
        <w:rPr>
          <w:rFonts w:eastAsiaTheme="minorEastAsia"/>
          <w:bCs/>
          <w:color w:val="000000" w:themeColor="text1"/>
          <w:sz w:val="20"/>
          <w:szCs w:val="20"/>
          <w:lang w:eastAsia="en-GB"/>
        </w:rPr>
        <w:t xml:space="preserve">. </w:t>
      </w:r>
      <w:r w:rsidR="006E09AA" w:rsidRPr="0098635C">
        <w:rPr>
          <w:color w:val="000000" w:themeColor="text1"/>
          <w:sz w:val="20"/>
          <w:szCs w:val="20"/>
        </w:rPr>
        <w:t>Unpublished</w:t>
      </w:r>
    </w:p>
    <w:p w14:paraId="1F4AD6CB" w14:textId="7640A960" w:rsidR="00C22C1F" w:rsidRPr="0098635C" w:rsidRDefault="00C22C1F" w:rsidP="00926614">
      <w:pPr>
        <w:spacing w:after="0"/>
        <w:ind w:left="567" w:hanging="567"/>
        <w:rPr>
          <w:color w:val="000000" w:themeColor="text1"/>
          <w:sz w:val="20"/>
          <w:szCs w:val="20"/>
        </w:rPr>
      </w:pPr>
      <w:bookmarkStart w:id="2058" w:name="d0e65794"/>
      <w:bookmarkEnd w:id="2057"/>
      <w:r w:rsidRPr="0098635C">
        <w:rPr>
          <w:rFonts w:eastAsiaTheme="minorEastAsia"/>
          <w:bCs/>
          <w:color w:val="000000" w:themeColor="text1"/>
          <w:sz w:val="20"/>
          <w:szCs w:val="20"/>
          <w:lang w:eastAsia="en-GB"/>
        </w:rPr>
        <w:t>Munley, S. M. (2003c). Copper – A 23-day tolerability study in non-pregnant rabbits. Testing laboratory: E. I. du Pont de Nemours and Company, Haskell Laboratory for Health and Environmental Sciences, Newark, Delaware. Report no.: DuPont-11762. Report date: 2003-11-16.</w:t>
      </w:r>
      <w:r w:rsidR="006E09AA" w:rsidRPr="0098635C">
        <w:rPr>
          <w:color w:val="000000" w:themeColor="text1"/>
          <w:sz w:val="20"/>
          <w:szCs w:val="20"/>
        </w:rPr>
        <w:t xml:space="preserve"> Unpublished</w:t>
      </w:r>
    </w:p>
    <w:p w14:paraId="00CCFBF2" w14:textId="5C4014D4" w:rsidR="00C22C1F" w:rsidRPr="0098635C" w:rsidRDefault="00C22C1F" w:rsidP="00926614">
      <w:pPr>
        <w:spacing w:after="0"/>
        <w:ind w:left="567" w:hanging="567"/>
        <w:rPr>
          <w:color w:val="000000" w:themeColor="text1"/>
          <w:sz w:val="20"/>
          <w:szCs w:val="20"/>
        </w:rPr>
      </w:pPr>
      <w:bookmarkStart w:id="2059" w:name="d0e65796"/>
      <w:bookmarkEnd w:id="2058"/>
      <w:r w:rsidRPr="0098635C">
        <w:rPr>
          <w:rFonts w:eastAsiaTheme="minorEastAsia"/>
          <w:bCs/>
          <w:color w:val="000000" w:themeColor="text1"/>
          <w:sz w:val="20"/>
          <w:szCs w:val="20"/>
          <w:lang w:eastAsia="en-GB"/>
        </w:rPr>
        <w:t>Munley, S. M. (2003d). Five copper substances – repeated dose toxicity and tolerability study in non-pregnant rabbits. Testing laboratory: E. I. du Pont de Nemours and Company, Haskell Laboratory for Health and Environmental Sciences, Newark, Delaware. Report no.: DuPont-11638</w:t>
      </w:r>
      <w:r w:rsidR="00847893" w:rsidRPr="0098635C">
        <w:rPr>
          <w:rFonts w:eastAsiaTheme="minorEastAsia"/>
          <w:bCs/>
          <w:color w:val="000000" w:themeColor="text1"/>
          <w:sz w:val="20"/>
          <w:szCs w:val="20"/>
          <w:lang w:eastAsia="en-GB"/>
        </w:rPr>
        <w:t>.</w:t>
      </w:r>
      <w:r w:rsidRPr="0098635C">
        <w:rPr>
          <w:rFonts w:eastAsiaTheme="minorEastAsia"/>
          <w:bCs/>
          <w:color w:val="000000" w:themeColor="text1"/>
          <w:sz w:val="20"/>
          <w:szCs w:val="20"/>
          <w:lang w:eastAsia="en-GB"/>
        </w:rPr>
        <w:t xml:space="preserve"> Report date: 2003-11-16.</w:t>
      </w:r>
      <w:bookmarkEnd w:id="2059"/>
      <w:r w:rsidR="006E09AA" w:rsidRPr="0098635C">
        <w:rPr>
          <w:color w:val="000000" w:themeColor="text1"/>
          <w:sz w:val="20"/>
          <w:szCs w:val="20"/>
        </w:rPr>
        <w:t xml:space="preserve"> Unpublished</w:t>
      </w:r>
    </w:p>
    <w:p w14:paraId="4BE55502"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Murata K, Araki S, 1991. Autonomic nervous system dysfunction in workers exposed to lead, zinc and copper in relation to peripheral nerve conduction: a study of R-R interval variability. Am.J.Ind.Med. 20:663-671.</w:t>
      </w:r>
    </w:p>
    <w:p w14:paraId="37FB03E5"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Murata K, Araki S, Aono H, 1987. Effects of lead, zinc and copper absorption on peripheral nerve conduction in metal workers. Int.Arch.Occup.Environ.Health 59:11-20.</w:t>
      </w:r>
    </w:p>
    <w:p w14:paraId="33D13DB0" w14:textId="3A08D05F" w:rsidR="00C24197" w:rsidRPr="0098635C" w:rsidRDefault="00C24197" w:rsidP="006E5329">
      <w:pPr>
        <w:pStyle w:val="BodyText"/>
        <w:spacing w:after="0"/>
        <w:ind w:left="567" w:hanging="567"/>
        <w:rPr>
          <w:color w:val="000000" w:themeColor="text1"/>
          <w:sz w:val="20"/>
        </w:rPr>
      </w:pPr>
      <w:r w:rsidRPr="0098635C">
        <w:rPr>
          <w:color w:val="000000" w:themeColor="text1"/>
          <w:sz w:val="20"/>
        </w:rPr>
        <w:t>Mylchreest E, 2005. Copper sulfate pentahydrate: multigeneration reproduction study in rats. Testing laboratory: DuPont Haskell Laboratory for Health and Environmental Sciences. Report no.: Laboratory Project ID: DuPont-14226.</w:t>
      </w:r>
      <w:r w:rsidR="006E09AA" w:rsidRPr="0098635C">
        <w:rPr>
          <w:color w:val="000000" w:themeColor="text1"/>
          <w:sz w:val="20"/>
        </w:rPr>
        <w:t xml:space="preserve"> Unpublished</w:t>
      </w:r>
    </w:p>
    <w:p w14:paraId="7D384613"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Nebeker A et al, 1984. Effects of copper, nickel and zinc on the life cycle of the caddisfly </w:t>
      </w:r>
      <w:r w:rsidRPr="0098635C">
        <w:rPr>
          <w:i/>
          <w:color w:val="000000" w:themeColor="text1"/>
          <w:sz w:val="20"/>
        </w:rPr>
        <w:t>Clistoronia magnifica</w:t>
      </w:r>
      <w:r w:rsidRPr="0098635C">
        <w:rPr>
          <w:color w:val="000000" w:themeColor="text1"/>
          <w:sz w:val="20"/>
        </w:rPr>
        <w:t xml:space="preserve">. Environ.Toxicol.Chem. 3:645-649. </w:t>
      </w:r>
    </w:p>
    <w:p w14:paraId="72E54F7E"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Nebeker AV, Stinchfield A, Savonen C, Chapman GA, 1986. Effects of copper, nickel and zinc on three species of Oregon freshwater snails. Environ.Toxicol.Chem. 5(9):807-811. </w:t>
      </w:r>
    </w:p>
    <w:p w14:paraId="62279A12" w14:textId="4C2090E4"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Nelson H, Benoit D, Erickson R, Mattson V, Lindberg J, 1985. The effects of variable hardness, pH, alkalinity, suspended clay and humics on the chemical speciation and aquatic toxicity of copper. Report no.: EPA/600/3-86/023. Owner company: US. EPA Duluth, Minnesota. Report date: 1985-09-25. </w:t>
      </w:r>
      <w:r w:rsidR="006E09AA" w:rsidRPr="0098635C">
        <w:rPr>
          <w:color w:val="000000" w:themeColor="text1"/>
          <w:sz w:val="20"/>
        </w:rPr>
        <w:t>Unpublished</w:t>
      </w:r>
    </w:p>
    <w:p w14:paraId="244E83C6"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Nishioka H, 1975. Mutagenic activities of metal compounds in bacteria. Mutation Res. 31:185-189.</w:t>
      </w:r>
    </w:p>
    <w:p w14:paraId="73221799" w14:textId="4C5BFB41" w:rsidR="00C24197" w:rsidRPr="0098635C" w:rsidRDefault="00C24197" w:rsidP="006E5329">
      <w:pPr>
        <w:pStyle w:val="BodyText"/>
        <w:spacing w:after="0"/>
        <w:ind w:left="567" w:hanging="567"/>
        <w:rPr>
          <w:color w:val="000000" w:themeColor="text1"/>
          <w:sz w:val="20"/>
        </w:rPr>
      </w:pPr>
      <w:r w:rsidRPr="0098635C">
        <w:rPr>
          <w:color w:val="000000" w:themeColor="text1"/>
          <w:sz w:val="20"/>
        </w:rPr>
        <w:t>Nitka S, 1991a. Acute Dermal Toxicity in Rabbits (FIFRA). Testing laboratory: Consumer Products Testing. Report no.: Experimental reference no.: 91048-1. Report date: 1991-04-17.</w:t>
      </w:r>
      <w:r w:rsidR="006E09AA" w:rsidRPr="0098635C">
        <w:rPr>
          <w:color w:val="000000" w:themeColor="text1"/>
          <w:sz w:val="20"/>
        </w:rPr>
        <w:t xml:space="preserve"> Unpublished</w:t>
      </w:r>
    </w:p>
    <w:p w14:paraId="7DF02C29" w14:textId="77777777" w:rsidR="00C24197" w:rsidRPr="0098635C" w:rsidRDefault="00C24197" w:rsidP="006E5329">
      <w:pPr>
        <w:pStyle w:val="BodyText"/>
        <w:spacing w:after="0"/>
        <w:ind w:left="567" w:hanging="567"/>
        <w:rPr>
          <w:color w:val="000000" w:themeColor="text1"/>
          <w:sz w:val="20"/>
          <w:lang w:val="nl-NL"/>
        </w:rPr>
      </w:pPr>
      <w:r w:rsidRPr="0098635C">
        <w:rPr>
          <w:color w:val="000000" w:themeColor="text1"/>
          <w:sz w:val="20"/>
        </w:rPr>
        <w:t xml:space="preserve">Nitka S, 1991b. Acute oral LD50 in rats. Consumer Product Testing. Report No. 91048-2. </w:t>
      </w:r>
      <w:r w:rsidRPr="0098635C">
        <w:rPr>
          <w:color w:val="000000" w:themeColor="text1"/>
          <w:sz w:val="20"/>
          <w:lang w:val="nl-NL"/>
        </w:rPr>
        <w:t>Unpublished.</w:t>
      </w:r>
    </w:p>
    <w:p w14:paraId="01DB0A2C"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nl-NL"/>
        </w:rPr>
        <w:t xml:space="preserve">Nolting RF, Helder W,  de Baar HJW, Gerringa LJA, 1999. </w:t>
      </w:r>
      <w:r w:rsidRPr="0098635C">
        <w:rPr>
          <w:color w:val="000000" w:themeColor="text1"/>
          <w:sz w:val="20"/>
        </w:rPr>
        <w:t xml:space="preserve">Contrasting behaviour of trace metals in the Scheldt estuary in 1978 compared to recent years. J.Sea Res.42:275-290. </w:t>
      </w:r>
    </w:p>
    <w:p w14:paraId="4B21F567"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Nordlind K, Lidén S, 1992. Patch test reactions to metal salts in patients with oral mucosal lesions associated with amalgam restorations. Contact Dermatitis 27:157-160.</w:t>
      </w:r>
    </w:p>
    <w:p w14:paraId="70D04BD5"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Nott JA, Nicolaidou A, 1994. Variable transfer of detoxified metals from snails to hermit crabs in marine food chains. Mar.Biol. 120:369-377. </w:t>
      </w:r>
    </w:p>
    <w:p w14:paraId="01FA0BF1"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O’Donohue JW, Reid MA, Varghese A, Portmann B, Williams R, 1993. Micronodular cirrhosis and acute liver failure due to chronic copper self-intoxication. Eur.J.Gastroenterol. 5:561-562.</w:t>
      </w:r>
    </w:p>
    <w:p w14:paraId="70A8BCD8" w14:textId="77777777" w:rsidR="00C24197" w:rsidRPr="0098635C" w:rsidRDefault="00C24197" w:rsidP="006E5329">
      <w:pPr>
        <w:pStyle w:val="BodyText"/>
        <w:spacing w:after="0"/>
        <w:ind w:left="567" w:hanging="567"/>
        <w:rPr>
          <w:color w:val="000000" w:themeColor="text1"/>
          <w:sz w:val="20"/>
          <w:lang w:val="nl-BE"/>
        </w:rPr>
      </w:pPr>
      <w:r w:rsidRPr="0098635C">
        <w:rPr>
          <w:color w:val="000000" w:themeColor="text1"/>
          <w:sz w:val="20"/>
        </w:rPr>
        <w:t xml:space="preserve">O’Neill NC, Tanner MS, 1989. Uptake of copper from brass vessels by bovine milk and its relevance to Indian Childhood Cirrhosis. </w:t>
      </w:r>
      <w:r w:rsidRPr="0098635C">
        <w:rPr>
          <w:color w:val="000000" w:themeColor="text1"/>
          <w:sz w:val="20"/>
          <w:lang w:val="nl-BE"/>
        </w:rPr>
        <w:t>J.Pediatr.Gastroenterol.Nutr. 9:167-172.</w:t>
      </w:r>
    </w:p>
    <w:p w14:paraId="7DC4406F"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nl-BE"/>
        </w:rPr>
        <w:t xml:space="preserve">Olin KL, Cherr GN, Rifkin E, Keen CL, 1996. </w:t>
      </w:r>
      <w:r w:rsidRPr="0098635C">
        <w:rPr>
          <w:color w:val="000000" w:themeColor="text1"/>
          <w:sz w:val="20"/>
        </w:rPr>
        <w:t>The effects of some redox-active metals and reactive aldehydes on DNA-protein cross-links in vitro. Toxicol. 110:1-8.</w:t>
      </w:r>
    </w:p>
    <w:p w14:paraId="6CE8E7FE"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Olivares M, Araya M, Pizarro F, Uauy R, 2001. Nausea threshold in apparently healthy individuals who drink fluids containing graded concentrations of copper. Reg.Toxicol.Pharmacol. 33:271-275.</w:t>
      </w:r>
    </w:p>
    <w:p w14:paraId="3E18FD46"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Olivares M, Pizarro F, Speisky H, Lönnerdal B, Uauy R, 1998. Copper in infant nutrition: safety of World Health Organization provisional guidance value for copper content of drinking water. J.Pediatr.Gastroenterol.Nutr. 26(3):251-257.</w:t>
      </w:r>
    </w:p>
    <w:p w14:paraId="690A5B66" w14:textId="66269EEC" w:rsidR="00C22C1F" w:rsidRPr="0098635C" w:rsidRDefault="00C22C1F" w:rsidP="001D4BD3">
      <w:pPr>
        <w:spacing w:after="0"/>
        <w:ind w:left="567" w:hanging="567"/>
        <w:rPr>
          <w:color w:val="000000" w:themeColor="text1"/>
          <w:sz w:val="20"/>
          <w:szCs w:val="20"/>
        </w:rPr>
      </w:pPr>
      <w:bookmarkStart w:id="2060" w:name="d0e65832"/>
      <w:r w:rsidRPr="0098635C">
        <w:rPr>
          <w:rFonts w:eastAsiaTheme="minorEastAsia"/>
          <w:bCs/>
          <w:color w:val="000000" w:themeColor="text1"/>
          <w:sz w:val="20"/>
          <w:szCs w:val="20"/>
          <w:lang w:eastAsia="en-GB"/>
        </w:rPr>
        <w:t>Oorts K, H. Bronckaers and E. Smolders (2006</w:t>
      </w:r>
      <w:r w:rsidR="0047632F" w:rsidRPr="0098635C">
        <w:rPr>
          <w:rFonts w:eastAsiaTheme="minorEastAsia"/>
          <w:bCs/>
          <w:color w:val="000000" w:themeColor="text1"/>
          <w:sz w:val="20"/>
          <w:szCs w:val="20"/>
          <w:lang w:eastAsia="en-GB"/>
        </w:rPr>
        <w:t>a</w:t>
      </w:r>
      <w:r w:rsidRPr="0098635C">
        <w:rPr>
          <w:rFonts w:eastAsiaTheme="minorEastAsia"/>
          <w:bCs/>
          <w:color w:val="000000" w:themeColor="text1"/>
          <w:sz w:val="20"/>
          <w:szCs w:val="20"/>
          <w:lang w:eastAsia="en-GB"/>
        </w:rPr>
        <w:t>). Discrepance of the microbial response to elevated copper between freshly spiked and long-term contaminated soils. Environ Toxicol Chem., Vol. 25, No. 3, pp. 845-853, 2006.</w:t>
      </w:r>
      <w:bookmarkEnd w:id="2060"/>
    </w:p>
    <w:p w14:paraId="5FB945F6"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Oorts K, Ghesquiere U, Swinnen K, Smolders E, 2006b. Soil properties affecting the toxicity of CuCl</w:t>
      </w:r>
      <w:r w:rsidRPr="0098635C">
        <w:rPr>
          <w:color w:val="000000" w:themeColor="text1"/>
          <w:sz w:val="20"/>
          <w:vertAlign w:val="subscript"/>
        </w:rPr>
        <w:t>2</w:t>
      </w:r>
      <w:r w:rsidRPr="0098635C">
        <w:rPr>
          <w:color w:val="000000" w:themeColor="text1"/>
          <w:sz w:val="20"/>
        </w:rPr>
        <w:t xml:space="preserve"> and NiCl</w:t>
      </w:r>
      <w:r w:rsidRPr="0098635C">
        <w:rPr>
          <w:color w:val="000000" w:themeColor="text1"/>
          <w:sz w:val="20"/>
          <w:vertAlign w:val="subscript"/>
        </w:rPr>
        <w:t>2</w:t>
      </w:r>
      <w:r w:rsidRPr="0098635C">
        <w:rPr>
          <w:color w:val="000000" w:themeColor="text1"/>
          <w:sz w:val="20"/>
        </w:rPr>
        <w:t xml:space="preserve"> for soil microbial processes in freshly spiked soils. Environ.Toxicol.Chem,  25(3):836-844. </w:t>
      </w:r>
    </w:p>
    <w:p w14:paraId="61BDDEE8"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Opsahl W, Zeronian H, Ellison M, Lewis D, Rucker RB, Riggins RS, 1982. Role of copper in collagen cross-linking and its influence on selected mechanical properties of chick bone and tendon. J.Nutr. 112:708-716.</w:t>
      </w:r>
    </w:p>
    <w:p w14:paraId="4C1D63BD"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Ostiguy G, Vaillancourt C, Begin R, 1995. Respiratory health of workers exposed to metal dusts and foundry fumes in a copper refinery. Occup.Environ.Med. 52:204-210.</w:t>
      </w:r>
    </w:p>
    <w:p w14:paraId="1E88345C"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Othman MS, Pascoe D, 2002. Reduced recruitment in </w:t>
      </w:r>
      <w:r w:rsidRPr="0098635C">
        <w:rPr>
          <w:i/>
          <w:color w:val="000000" w:themeColor="text1"/>
          <w:sz w:val="20"/>
        </w:rPr>
        <w:t>Hyalella azteca</w:t>
      </w:r>
      <w:r w:rsidRPr="0098635C">
        <w:rPr>
          <w:color w:val="000000" w:themeColor="text1"/>
          <w:sz w:val="20"/>
        </w:rPr>
        <w:t xml:space="preserve"> (Saussure, 1858) exposed to copper. Ecotox.Environ.Safe. 53(1):59-64. </w:t>
      </w:r>
    </w:p>
    <w:p w14:paraId="6A4D7A12"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Overvad K, Wang DY, Olsen J, Allen DS, Thorling EB, Bulbrook RD, Hayward JL, 1993. Copper in human mammary carcinogenesis: A case-cohort study. Am.J.Epi. 137:409-14.</w:t>
      </w:r>
    </w:p>
    <w:p w14:paraId="3950FDC6"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Owens RE, Balls PW, Price NB, 1997. Physicochemical processes and their effects on the composition of suspended particulate material in estuaries: Implications for monitoring and modelling. Mar.Pollut.Bull. 34(1):51-60.</w:t>
      </w:r>
    </w:p>
    <w:p w14:paraId="4A2E64E4" w14:textId="77777777" w:rsidR="000C282A" w:rsidRPr="0098635C" w:rsidRDefault="000C282A" w:rsidP="00926614">
      <w:pPr>
        <w:spacing w:after="0"/>
        <w:ind w:left="567" w:hanging="567"/>
        <w:rPr>
          <w:color w:val="000000" w:themeColor="text1"/>
          <w:sz w:val="20"/>
          <w:szCs w:val="20"/>
        </w:rPr>
      </w:pPr>
      <w:bookmarkStart w:id="2061" w:name="d0e65850"/>
      <w:r w:rsidRPr="0098635C">
        <w:rPr>
          <w:rFonts w:eastAsiaTheme="minorEastAsia"/>
          <w:bCs/>
          <w:color w:val="000000" w:themeColor="text1"/>
          <w:sz w:val="20"/>
          <w:szCs w:val="20"/>
          <w:lang w:eastAsia="en-GB"/>
        </w:rPr>
        <w:t>Papadimitriou, E. and Loumbourdis, N. S. (2002). Exposure of the Frog Rana ridibunda to Copper: Impact on Two Biomarkers, Lipid Peroxidation, and Glutathione. Bull. Environ. Contam. Toxicol. 2002; 69:885–891.</w:t>
      </w:r>
    </w:p>
    <w:p w14:paraId="70E153F2" w14:textId="77777777" w:rsidR="000C282A" w:rsidRPr="0098635C" w:rsidRDefault="000C282A" w:rsidP="00926614">
      <w:pPr>
        <w:spacing w:after="0"/>
        <w:ind w:left="567" w:hanging="567"/>
        <w:rPr>
          <w:color w:val="000000" w:themeColor="text1"/>
          <w:sz w:val="20"/>
          <w:szCs w:val="20"/>
        </w:rPr>
      </w:pPr>
      <w:bookmarkStart w:id="2062" w:name="d0e65852"/>
      <w:bookmarkEnd w:id="2061"/>
      <w:r w:rsidRPr="0098635C">
        <w:rPr>
          <w:rFonts w:eastAsiaTheme="minorEastAsia"/>
          <w:bCs/>
          <w:color w:val="000000" w:themeColor="text1"/>
          <w:sz w:val="20"/>
          <w:szCs w:val="20"/>
          <w:lang w:eastAsia="en-GB"/>
        </w:rPr>
        <w:t xml:space="preserve">Parmelee, R. W., Wentsel, R. S., Phillips, C. T., Simini, M. &amp; Checkai, R. T. (1993). Soil Microcosm for Testing the Effects of Chemical Pollutants on Soil Fauna Communities and Trophic Structure. Environ. Toxicol. Chem. 12; </w:t>
      </w:r>
      <w:r w:rsidRPr="0098635C">
        <w:rPr>
          <w:rFonts w:eastAsiaTheme="minorEastAsia"/>
          <w:bCs/>
          <w:color w:val="000000" w:themeColor="text1"/>
          <w:sz w:val="20"/>
          <w:szCs w:val="20"/>
          <w:lang w:eastAsia="en-GB"/>
        </w:rPr>
        <w:lastRenderedPageBreak/>
        <w:t>1477-1486.</w:t>
      </w:r>
    </w:p>
    <w:bookmarkEnd w:id="2062"/>
    <w:p w14:paraId="73246AB8" w14:textId="328BE8F3"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Paucot H, Wollast R, 1997. Transport and transformation of trace metals in the Scheldt estuary. Mar.Chem. 58:229-244. </w:t>
      </w:r>
    </w:p>
    <w:p w14:paraId="06A526F7" w14:textId="77777777" w:rsidR="000C282A" w:rsidRPr="0098635C" w:rsidRDefault="000C282A" w:rsidP="006E5329">
      <w:pPr>
        <w:pStyle w:val="BodyText"/>
        <w:spacing w:after="0"/>
        <w:ind w:left="567" w:hanging="567"/>
        <w:rPr>
          <w:color w:val="000000" w:themeColor="text1"/>
          <w:sz w:val="20"/>
        </w:rPr>
      </w:pPr>
    </w:p>
    <w:p w14:paraId="571F1439" w14:textId="7097F78E" w:rsidR="00C24197" w:rsidRPr="0098635C" w:rsidRDefault="00C24197" w:rsidP="006E5329">
      <w:pPr>
        <w:pStyle w:val="BodyText"/>
        <w:spacing w:after="0"/>
        <w:ind w:left="567" w:hanging="567"/>
        <w:rPr>
          <w:color w:val="000000" w:themeColor="text1"/>
          <w:sz w:val="20"/>
        </w:rPr>
      </w:pPr>
      <w:r w:rsidRPr="0098635C">
        <w:rPr>
          <w:color w:val="000000" w:themeColor="text1"/>
          <w:sz w:val="20"/>
        </w:rPr>
        <w:t>Pedersen MB, Kjær C, Elmegaard N, 2000. Toxicity and bioaccumulation of copper to black bindweed (</w:t>
      </w:r>
      <w:r w:rsidRPr="0098635C">
        <w:rPr>
          <w:i/>
          <w:color w:val="000000" w:themeColor="text1"/>
          <w:sz w:val="20"/>
        </w:rPr>
        <w:t>Fallopia convolvulus</w:t>
      </w:r>
      <w:r w:rsidRPr="0098635C">
        <w:rPr>
          <w:color w:val="000000" w:themeColor="text1"/>
          <w:sz w:val="20"/>
        </w:rPr>
        <w:t xml:space="preserve">) in relation to bioavailability and the age of soil contamination. Arch.Environ.Contam.Toxicol. 39:431-439. </w:t>
      </w:r>
    </w:p>
    <w:p w14:paraId="5E57A074" w14:textId="77777777" w:rsidR="00C24197" w:rsidRPr="0098635C" w:rsidRDefault="00C24197" w:rsidP="006E5329">
      <w:pPr>
        <w:pStyle w:val="BodyText"/>
        <w:spacing w:after="0"/>
        <w:ind w:left="567" w:hanging="567"/>
        <w:rPr>
          <w:color w:val="000000" w:themeColor="text1"/>
          <w:sz w:val="20"/>
          <w:lang w:val="nl-NL"/>
        </w:rPr>
      </w:pPr>
      <w:r w:rsidRPr="0098635C">
        <w:rPr>
          <w:color w:val="000000" w:themeColor="text1"/>
          <w:sz w:val="20"/>
        </w:rPr>
        <w:t xml:space="preserve">Pedersen MB, Van Gestel CAM, 2001. Toxicity of copper to the collembolan Folsomia fimetaria in relation to the age of soil contamination. </w:t>
      </w:r>
      <w:r w:rsidRPr="0098635C">
        <w:rPr>
          <w:color w:val="000000" w:themeColor="text1"/>
          <w:sz w:val="20"/>
          <w:lang w:val="nl-NL"/>
        </w:rPr>
        <w:t xml:space="preserve">Ecotox.Environ.Safe. 49:54-59. </w:t>
      </w:r>
    </w:p>
    <w:p w14:paraId="62B3627F"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nl-NL"/>
        </w:rPr>
        <w:t xml:space="preserve">Pedersen MB, van Gestel CAM, Elmegaard N, 2000. </w:t>
      </w:r>
      <w:r w:rsidRPr="0098635C">
        <w:rPr>
          <w:color w:val="000000" w:themeColor="text1"/>
          <w:sz w:val="20"/>
        </w:rPr>
        <w:t xml:space="preserve">Effects of copper on reproduction of two collembolan species exposed through soil, food and water. Environ.Toxicol.Chem. 19(10):2579-2588. </w:t>
      </w:r>
    </w:p>
    <w:p w14:paraId="16D6929B"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Peres I, Pihan JC, 1991. Study of accumulation of copper by carp (</w:t>
      </w:r>
      <w:r w:rsidRPr="0098635C">
        <w:rPr>
          <w:i/>
          <w:color w:val="000000" w:themeColor="text1"/>
          <w:sz w:val="20"/>
        </w:rPr>
        <w:t>Cyprinus carpio</w:t>
      </w:r>
      <w:r w:rsidRPr="0098635C">
        <w:rPr>
          <w:color w:val="000000" w:themeColor="text1"/>
          <w:sz w:val="20"/>
        </w:rPr>
        <w:t xml:space="preserve"> L.): Adaptation analysis of bioconcentration by the gills. Environ.Technol. 12:167-177. </w:t>
      </w:r>
    </w:p>
    <w:p w14:paraId="40C31070"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Pesch CE, Schauer PS, Balboni MA, 1986. Effect of diet on copper toxicity to </w:t>
      </w:r>
      <w:r w:rsidRPr="0098635C">
        <w:rPr>
          <w:i/>
          <w:color w:val="000000" w:themeColor="text1"/>
          <w:sz w:val="20"/>
        </w:rPr>
        <w:t>Neanthes arenaceodentata</w:t>
      </w:r>
      <w:r w:rsidRPr="0098635C">
        <w:rPr>
          <w:color w:val="000000" w:themeColor="text1"/>
          <w:sz w:val="20"/>
        </w:rPr>
        <w:t xml:space="preserve">. NTIS PB 87-167128. pp. 369-383. In: Poston TM, Purdy R (eds.). ASTM Special Technical Publication N°921: Aquatic Toxicology and Environmental Fate, Vol. 9. A Symposium Amer. Soc. Test. Mater. Philadelphia, PA, USA, 530 p. </w:t>
      </w:r>
    </w:p>
    <w:p w14:paraId="05C4D624" w14:textId="77777777" w:rsidR="000C282A" w:rsidRPr="0098635C" w:rsidRDefault="000C282A" w:rsidP="00926614">
      <w:pPr>
        <w:spacing w:after="0"/>
        <w:ind w:left="567" w:hanging="567"/>
        <w:rPr>
          <w:color w:val="000000" w:themeColor="text1"/>
          <w:sz w:val="20"/>
          <w:szCs w:val="20"/>
        </w:rPr>
      </w:pPr>
      <w:r w:rsidRPr="0098635C">
        <w:rPr>
          <w:rFonts w:eastAsiaTheme="minorEastAsia"/>
          <w:bCs/>
          <w:color w:val="000000" w:themeColor="text1"/>
          <w:sz w:val="20"/>
          <w:szCs w:val="20"/>
          <w:lang w:eastAsia="en-GB"/>
        </w:rPr>
        <w:t xml:space="preserve">Pesch, C. &amp; Morgan, D. (1978). Influence of Sediment in Copper Toxicity Tests with the Polychaete </w:t>
      </w:r>
      <w:bookmarkStart w:id="2063" w:name="d0e65868"/>
      <w:r w:rsidRPr="0098635C">
        <w:rPr>
          <w:rFonts w:eastAsiaTheme="minorEastAsia"/>
          <w:bCs/>
          <w:color w:val="000000" w:themeColor="text1"/>
          <w:sz w:val="20"/>
          <w:szCs w:val="20"/>
          <w:lang w:eastAsia="en-GB"/>
        </w:rPr>
        <w:t>Neanthes arenaceodentata. Water Reseach. 12; 747-751.</w:t>
      </w:r>
    </w:p>
    <w:p w14:paraId="7BBB2D23" w14:textId="317AF540" w:rsidR="000C282A" w:rsidRPr="0098635C" w:rsidRDefault="000C282A" w:rsidP="00926614">
      <w:pPr>
        <w:spacing w:after="0"/>
        <w:ind w:left="567" w:hanging="567"/>
        <w:rPr>
          <w:color w:val="000000" w:themeColor="text1"/>
          <w:sz w:val="20"/>
          <w:szCs w:val="20"/>
        </w:rPr>
      </w:pPr>
      <w:bookmarkStart w:id="2064" w:name="d0e65870"/>
      <w:bookmarkEnd w:id="2063"/>
      <w:r w:rsidRPr="0098635C">
        <w:rPr>
          <w:rFonts w:eastAsiaTheme="minorEastAsia"/>
          <w:bCs/>
          <w:color w:val="000000" w:themeColor="text1"/>
          <w:sz w:val="20"/>
          <w:szCs w:val="20"/>
          <w:lang w:eastAsia="en-GB"/>
        </w:rPr>
        <w:t>Pettersson R, Rasmussen F, Oskarsson A (2003). Copper in drinking water: not a strong risk factor for diarrhoea among young children. A population-based study from Sweden. Acta Paediatr 92: 473-480, 2003 [Taylor &amp; Francis, ISSN 0803-5253].</w:t>
      </w:r>
      <w:bookmarkEnd w:id="2064"/>
    </w:p>
    <w:p w14:paraId="165A6125"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it-IT"/>
        </w:rPr>
        <w:t xml:space="preserve">Pettine M, Camusso M, Martinotti W, Marchetti R, Passino R, Queirazza G, 1994. </w:t>
      </w:r>
      <w:r w:rsidRPr="0098635C">
        <w:rPr>
          <w:color w:val="000000" w:themeColor="text1"/>
          <w:sz w:val="20"/>
        </w:rPr>
        <w:t xml:space="preserve">Soluble and particulate metals in the Po River: factors affecting concentrations and partitioning. Sci.Total Environ. 145:243-265. </w:t>
      </w:r>
    </w:p>
    <w:p w14:paraId="244D94B8"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Pickering Q et al, 1977. Effect of exposure, time and copper concentration on reproduction of the fathead minnow (</w:t>
      </w:r>
      <w:r w:rsidRPr="0098635C">
        <w:rPr>
          <w:i/>
          <w:color w:val="000000" w:themeColor="text1"/>
          <w:sz w:val="20"/>
        </w:rPr>
        <w:t>Pimephales promelas</w:t>
      </w:r>
      <w:r w:rsidRPr="0098635C">
        <w:rPr>
          <w:color w:val="000000" w:themeColor="text1"/>
          <w:sz w:val="20"/>
        </w:rPr>
        <w:t xml:space="preserve">). Water Res. 11:1079-1083. </w:t>
      </w:r>
    </w:p>
    <w:p w14:paraId="4F4F2D3C"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Pimental JC, Menezes AP, 1975. Liver granulomas containing copper in vineyard sprayer’s lung. Am.Rev.Respir. Dis. 111:189-195.</w:t>
      </w:r>
    </w:p>
    <w:p w14:paraId="2B874132"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Pimental JC, Menezes AP, 1977. Liver disease in vineyard sprayers. Gastroenterology 72:275-283.</w:t>
      </w:r>
    </w:p>
    <w:p w14:paraId="7EDCF24D"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Pinheiro T, Bugalho de Almeida A, Vieira JR, Fernandes A, Alves LC, Reis M,  Carvalho Soares J, 1997. Elemental distribution in the human respiratory system and excretion organs: Absorption and accumulation. X-Ray Spectrom. 26:217-222.</w:t>
      </w:r>
    </w:p>
    <w:p w14:paraId="7D487DB0"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Pinto SS, Henderson V, Enterline PE, 1978. Mortality experience of arsenic-exposed workers. Arch. Environ. Health 33:325-31. </w:t>
      </w:r>
    </w:p>
    <w:p w14:paraId="1813A702" w14:textId="6B711826" w:rsidR="004765C0" w:rsidRPr="0098635C" w:rsidRDefault="004765C0" w:rsidP="006E5329">
      <w:pPr>
        <w:pStyle w:val="BodyText"/>
        <w:spacing w:after="0"/>
        <w:ind w:left="567" w:hanging="567"/>
        <w:rPr>
          <w:color w:val="000000" w:themeColor="text1"/>
          <w:sz w:val="20"/>
        </w:rPr>
      </w:pPr>
      <w:r w:rsidRPr="0098635C">
        <w:rPr>
          <w:color w:val="000000" w:themeColor="text1"/>
          <w:sz w:val="20"/>
        </w:rPr>
        <w:t>Piotrowski JK, Orlowski C, Bem EM, Brys M, Baran E, 1996. The monitoring of cadmium, zinc and copper in the kidneys and liver of humans deceased in the region of Cracow (Poland). Environmental Monitoring and Assessment 43:227-236.</w:t>
      </w:r>
    </w:p>
    <w:p w14:paraId="610AC3BE"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Pirot F, Millet J, Kalia YN, Humbert P, 1996b. In vitro study of percutaneous absorption, cutaneous bioavailability and bioequivalence of zinc and copper from five topical formulations. Skin Pharmacol. 9:259-269.</w:t>
      </w:r>
    </w:p>
    <w:p w14:paraId="75044522"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Pirot F, Panisset F, Agache P, Humbert P, 1996a. Simultaneous absorption of copper and zinc through human skin </w:t>
      </w:r>
      <w:r w:rsidRPr="0098635C">
        <w:rPr>
          <w:i/>
          <w:color w:val="000000" w:themeColor="text1"/>
          <w:sz w:val="20"/>
        </w:rPr>
        <w:t>in vitro</w:t>
      </w:r>
      <w:r w:rsidRPr="0098635C">
        <w:rPr>
          <w:color w:val="000000" w:themeColor="text1"/>
          <w:sz w:val="20"/>
        </w:rPr>
        <w:t>: Influence of counter-ion and vehicle. Skin Pharmacol. 9:43-52.</w:t>
      </w:r>
    </w:p>
    <w:p w14:paraId="3FDD25E2"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Pizarro F, Olivares M, Araya M, Gidi V, Uauy R, 2001. Gastrointestinal effects associated with soluble and insoluble copper in drinking water. Environ.Health Perspect. 109:949-952.</w:t>
      </w:r>
    </w:p>
    <w:p w14:paraId="220324BF"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Pizarro F, Olivares M, Uauy R, Contreras P, Rebelo A, Gidi V, 1999. Acute gastrointestinal effects of graded levels of copper in drinking water. Environ.Health Perspect. 107:117-121.</w:t>
      </w:r>
    </w:p>
    <w:p w14:paraId="6DA57E76"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Plamenac P, Santic Z, Nikulin A, Serdarevic H, 1985. Cytologic changes of the respiratory tract in vineyard spraying workers. Eur.J.Respir.Dis. 67:50-55.</w:t>
      </w:r>
    </w:p>
    <w:p w14:paraId="00F17539" w14:textId="77777777" w:rsidR="00C24197" w:rsidRPr="0098635C" w:rsidRDefault="00C24197" w:rsidP="006E5329">
      <w:pPr>
        <w:pStyle w:val="BodyText"/>
        <w:spacing w:after="0"/>
        <w:ind w:left="567" w:hanging="567"/>
        <w:rPr>
          <w:color w:val="000000" w:themeColor="text1"/>
          <w:sz w:val="20"/>
          <w:lang w:val="fr-FR"/>
        </w:rPr>
      </w:pPr>
      <w:r w:rsidRPr="0098635C">
        <w:rPr>
          <w:color w:val="000000" w:themeColor="text1"/>
          <w:sz w:val="20"/>
        </w:rPr>
        <w:t xml:space="preserve">Playle RC et al, 1993a. Copper and cadmium binding to fish gills: Estimates of metal-gill stability constants and modelling of metal accumulation. </w:t>
      </w:r>
      <w:r w:rsidRPr="0098635C">
        <w:rPr>
          <w:color w:val="000000" w:themeColor="text1"/>
          <w:sz w:val="20"/>
          <w:lang w:val="fr-FR"/>
        </w:rPr>
        <w:t xml:space="preserve">Can.J.Fish.Aquat.Sci. 50(12):2678-2687. </w:t>
      </w:r>
    </w:p>
    <w:p w14:paraId="4A2AC507"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fr-FR"/>
        </w:rPr>
        <w:t xml:space="preserve">Playle RC et al, 1993b. </w:t>
      </w:r>
      <w:r w:rsidRPr="0098635C">
        <w:rPr>
          <w:color w:val="000000" w:themeColor="text1"/>
          <w:sz w:val="20"/>
        </w:rPr>
        <w:t xml:space="preserve">Copper and cadmium binding to fish gills: Modification by dissolved organic carbon and synthetic ligands. Can.J.Fish.Aquat.Sci. 50(12):2667-2677. </w:t>
      </w:r>
    </w:p>
    <w:p w14:paraId="65D575A8"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Pohl C, Hennings U, 1999. The effect of redox processes on the partitioning of Cd, Pb, Cu and Mn between dissolved and particulate phases in the Baltic Sea. Mar.Chem. 65:41-53. </w:t>
      </w:r>
    </w:p>
    <w:p w14:paraId="490FAAB6"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Porter DW, Yakushiji H, Nakabeppu Y, Sekiguchi M, Fivash MJ, Kasprzak KS, 1997. Sensitivity of </w:t>
      </w:r>
      <w:r w:rsidRPr="0098635C">
        <w:rPr>
          <w:i/>
          <w:color w:val="000000" w:themeColor="text1"/>
          <w:sz w:val="20"/>
        </w:rPr>
        <w:t>Escherichia coli</w:t>
      </w:r>
      <w:r w:rsidRPr="0098635C">
        <w:rPr>
          <w:color w:val="000000" w:themeColor="text1"/>
          <w:sz w:val="20"/>
        </w:rPr>
        <w:t xml:space="preserve"> (MutT) and human (MTH1) 8-oxo-dGTPases to in vitro inhibition by the carcinogenic metals, nickel(II), copper(II), cobalt(II) and cadmium(II). Carcinogenesis 18:1785-1791.</w:t>
      </w:r>
    </w:p>
    <w:p w14:paraId="7914EB8B"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Pratt WB, Omdahl, JL, Sorenson, RJ, 1985. Lack of effects of copper gluconate supplementation. Am.J.Clin.Nutr. 42:681- 682.</w:t>
      </w:r>
    </w:p>
    <w:p w14:paraId="329D3520"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Premi PR, Cornfield AH, 1969. Effects of addition of copper, manganese, zinc and chromium compounds on ammonification and nitrification during incubation of soil. Plant Soil 31(2):345-352. </w:t>
      </w:r>
    </w:p>
    <w:p w14:paraId="540BC964" w14:textId="77777777" w:rsidR="00C24197" w:rsidRPr="0098635C" w:rsidRDefault="00C24197" w:rsidP="006E5329">
      <w:pPr>
        <w:pStyle w:val="BodyText"/>
        <w:spacing w:after="0"/>
        <w:ind w:left="567" w:hanging="567"/>
        <w:rPr>
          <w:color w:val="000000" w:themeColor="text1"/>
          <w:sz w:val="20"/>
          <w:lang w:val="nl-BE"/>
        </w:rPr>
      </w:pPr>
      <w:r w:rsidRPr="0098635C">
        <w:rPr>
          <w:color w:val="000000" w:themeColor="text1"/>
          <w:sz w:val="20"/>
        </w:rPr>
        <w:t xml:space="preserve">Pujol RM, Randazzo L, Miralles J, Alomar A, 1998. Perimenstrual dermatitis secondary to a copper-containing intrauterine contraceptive device. </w:t>
      </w:r>
      <w:r w:rsidRPr="0098635C">
        <w:rPr>
          <w:color w:val="000000" w:themeColor="text1"/>
          <w:sz w:val="20"/>
          <w:lang w:val="nl-BE"/>
        </w:rPr>
        <w:t>Contact Dermatitis 38:288.</w:t>
      </w:r>
    </w:p>
    <w:p w14:paraId="6339E714"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nl-BE"/>
        </w:rPr>
        <w:t xml:space="preserve">Punsar S, Erämetsä O, Karvonen MJ, Ryhänen A, Hilska P, Vormano H, 1975. </w:t>
      </w:r>
      <w:r w:rsidRPr="0098635C">
        <w:rPr>
          <w:color w:val="000000" w:themeColor="text1"/>
          <w:sz w:val="20"/>
        </w:rPr>
        <w:t>Coronary heart disease and drinking water. J.Chron.Dis. 28:259-287.</w:t>
      </w:r>
    </w:p>
    <w:p w14:paraId="3F62DDBB"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lastRenderedPageBreak/>
        <w:t xml:space="preserve">Quinn MR et al, 2003. Analyzing trophic transfer of metals in stream food webs using nitrogen isotopes. Sci.Total Environ. 317:73–89. </w:t>
      </w:r>
    </w:p>
    <w:p w14:paraId="4EE12540"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Quraishi MSI, Cornfield AH (1973. Incubation study of nitrogen mineralisation and nitrification in relation to soil pH and level of copper (II) addition. Environ.Pollut. 4:159-163. </w:t>
      </w:r>
    </w:p>
    <w:p w14:paraId="2E5EEBAE"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Rae TD, Schmidt PJ, Pufahl RA, Culotta VC, O’Halloran TV, 1999. Undetectable intracellular free copper: The requirement of a copper chaperone for superoxide dismutase. Science 284, 805-808.</w:t>
      </w:r>
    </w:p>
    <w:p w14:paraId="0A844D7A"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Rainbow PS, 1985. Accumulation of Zn, Cu and Cd by crabs and barnacles. Est.Coast.Shelf Sci. 21:669-686. </w:t>
      </w:r>
    </w:p>
    <w:p w14:paraId="109CFDF1"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Rainbow PS, Scott AG, Wiggins ES, Jackson RW, 1980. Effect of chelating agents on the accumulation of cadmium by the barnacle </w:t>
      </w:r>
      <w:r w:rsidRPr="0098635C">
        <w:rPr>
          <w:i/>
          <w:color w:val="000000" w:themeColor="text1"/>
          <w:sz w:val="20"/>
        </w:rPr>
        <w:t>Semibalanus balanoides</w:t>
      </w:r>
      <w:r w:rsidRPr="0098635C">
        <w:rPr>
          <w:color w:val="000000" w:themeColor="text1"/>
          <w:sz w:val="20"/>
        </w:rPr>
        <w:t xml:space="preserve">, and complexation of soluble Cd, Zn and Cu. Mar.Ecol. 2:143-152. </w:t>
      </w:r>
    </w:p>
    <w:p w14:paraId="71C6B800"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Rainbow PS, White SL, 1989. Comparative strategies of heavy metal accumulation by crustaceans: zinc, copper and cadmium in a decapod and amphipod and a barnacle. Hydrobiologia 174:245-262. </w:t>
      </w:r>
    </w:p>
    <w:p w14:paraId="6F8DD3B4"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Ralph A, McArdle H, 2001. Copper metabolism and copper requirements in the pregnant mother, her fetus, and children. a critical review. International Copper Association, Ltd., New York.</w:t>
      </w:r>
    </w:p>
    <w:p w14:paraId="42C4AE6F" w14:textId="406362C0" w:rsidR="0047632F" w:rsidRPr="0098635C" w:rsidRDefault="00C24197" w:rsidP="006E5329">
      <w:pPr>
        <w:pStyle w:val="BodyText"/>
        <w:spacing w:after="0"/>
        <w:ind w:left="567" w:hanging="567"/>
        <w:rPr>
          <w:color w:val="000000" w:themeColor="text1"/>
          <w:sz w:val="20"/>
          <w:highlight w:val="magenta"/>
        </w:rPr>
      </w:pPr>
      <w:r w:rsidRPr="0098635C">
        <w:rPr>
          <w:color w:val="000000" w:themeColor="text1"/>
          <w:sz w:val="20"/>
        </w:rPr>
        <w:t>Rana SVS, Kumar A, 1980. Biological, haematological and histological observations in copper poisoned rats. Ind.Health 18:9-17.</w:t>
      </w:r>
    </w:p>
    <w:p w14:paraId="275CC00B" w14:textId="77777777" w:rsidR="000C282A" w:rsidRPr="0098635C" w:rsidRDefault="000C282A" w:rsidP="00926614">
      <w:pPr>
        <w:spacing w:after="0"/>
        <w:ind w:left="567" w:hanging="567"/>
        <w:rPr>
          <w:color w:val="000000" w:themeColor="text1"/>
          <w:sz w:val="20"/>
          <w:szCs w:val="20"/>
        </w:rPr>
      </w:pPr>
      <w:r w:rsidRPr="0098635C">
        <w:rPr>
          <w:rFonts w:eastAsiaTheme="minorEastAsia"/>
          <w:bCs/>
          <w:color w:val="000000" w:themeColor="text1"/>
          <w:sz w:val="20"/>
          <w:szCs w:val="20"/>
          <w:lang w:eastAsia="en-GB"/>
        </w:rPr>
        <w:t>Redick, M. S. and La Point, T. W. (2004). Effects of Sublethal Copper Exposure on Behavior and Growth of Rana pipiens Tadpoles. Bull. Environ. Contam. Toxicol. 2004; 72:706–710.</w:t>
      </w:r>
    </w:p>
    <w:p w14:paraId="201D9237"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Redpath KJ, 1985. Growth inhibition and recovery in mussels (</w:t>
      </w:r>
      <w:r w:rsidRPr="0098635C">
        <w:rPr>
          <w:i/>
          <w:color w:val="000000" w:themeColor="text1"/>
          <w:sz w:val="20"/>
        </w:rPr>
        <w:t>Mytilus edulis</w:t>
      </w:r>
      <w:r w:rsidRPr="0098635C">
        <w:rPr>
          <w:color w:val="000000" w:themeColor="text1"/>
          <w:sz w:val="20"/>
        </w:rPr>
        <w:t xml:space="preserve">) exposed to low copper concentrations. J.Mar.Biol.Assoc.UK. 65(2):421-31. </w:t>
      </w:r>
    </w:p>
    <w:p w14:paraId="297EFD1B"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Regnier P, Hoenig M, Chou L, Wollast R, 1990. Trace metals in the suspended matter collected in the mixing zone of the Rhone estuary. Water Pollut.Res.Rep. 20:388-396. </w:t>
      </w:r>
    </w:p>
    <w:p w14:paraId="07C0C656"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Rehwoldt R, Bida G, Nerrie B, 1971. Acute toxicity of copper, nickel and zinc ions to some Hudson River fish species. Bull.Environ.Contam.Toxicol. 6(5). </w:t>
      </w:r>
    </w:p>
    <w:p w14:paraId="09857656"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Rehwoldt R, Menapace LW, Nerrie B, Alessandrello D, 1972. The effect of increased temperature upon the acute toxicity of some heavy metal ions. Bull.Environ.Contam.Toxicol. 8(2). </w:t>
      </w:r>
    </w:p>
    <w:p w14:paraId="60197158"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Reichelt-Brushett AJ, Harrison PL, 2000. The effect of copper on the settlement success of larvae from the scleractinian coral </w:t>
      </w:r>
      <w:r w:rsidRPr="0098635C">
        <w:rPr>
          <w:i/>
          <w:color w:val="000000" w:themeColor="text1"/>
          <w:sz w:val="20"/>
        </w:rPr>
        <w:t>Acropora tenuis</w:t>
      </w:r>
      <w:r w:rsidRPr="0098635C">
        <w:rPr>
          <w:color w:val="000000" w:themeColor="text1"/>
          <w:sz w:val="20"/>
        </w:rPr>
        <w:t xml:space="preserve">. Mar.Pollut.Bull. 41(7-12):385-391. </w:t>
      </w:r>
    </w:p>
    <w:p w14:paraId="4B1E2E56"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Reichelt-Brushett AJ, Harrison PL, 2004. Development of a sublethal test to determine the effects of copper and lead on scleractinian Coral Larvae. Arch.Environ.Contam.Toxicol. 47:40-55. </w:t>
      </w:r>
    </w:p>
    <w:p w14:paraId="5FE46C43"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Reichelt-Brushett AJ, Michalek-Wagner K, 2005. Effects of copper on the fertilization success of the soft coral </w:t>
      </w:r>
      <w:r w:rsidRPr="0098635C">
        <w:rPr>
          <w:i/>
          <w:color w:val="000000" w:themeColor="text1"/>
          <w:sz w:val="20"/>
        </w:rPr>
        <w:t>Lobophytum compactum</w:t>
      </w:r>
      <w:r w:rsidRPr="0098635C">
        <w:rPr>
          <w:color w:val="000000" w:themeColor="text1"/>
          <w:sz w:val="20"/>
        </w:rPr>
        <w:t xml:space="preserve">. Aq.Toxicol. 74:280-284. </w:t>
      </w:r>
    </w:p>
    <w:p w14:paraId="591A2A11"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Reimann C, Birke M, Demetriades A, Filzmoser P, O’Connor P, 2014a. Chemistry of Europe’s Agricultural Soils. Part A: Methodology and Interpretation of the GEMAS data set. Geol.Jb. B102: 528 pp., Hannover, Germany.</w:t>
      </w:r>
    </w:p>
    <w:p w14:paraId="5BCCC54F"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Reimann C, Birke M, Demetriades A, Filzmoser P, O’Connor P, 2014b. Chemistry of Europe’s Agricultural Soils. Part B: General background information and further analysis of the GEMAS data set. Geol.Jb. B103: 352 pp., Hannover, Germany.</w:t>
      </w:r>
    </w:p>
    <w:p w14:paraId="59BA608F"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Reinstein NH, Lönnerdal B, Keen CL, Hurley LS, 1984. Zinc-copper interactions in the pregnant rat: fetal outcome and maternal and fetal zinc, copper and iron. J.Nutr.114:1266-1279.</w:t>
      </w:r>
    </w:p>
    <w:p w14:paraId="5E172743"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Rhoads FM et al, 1992. Copper toxicity and phosphorus concentration in Florida-502 oats. Soil Crop Sci.Soc.Fl.Proc. 51:18-20. </w:t>
      </w:r>
    </w:p>
    <w:p w14:paraId="394A22F6" w14:textId="56427AAA"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Rhoads FM, 1989. Copper toxicity in tomato plants. J.Environ.Qual. 18:195-197. </w:t>
      </w:r>
    </w:p>
    <w:p w14:paraId="6C2C073D" w14:textId="09E21828"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Richards Vl, Beitinger TL, 1995. Reciprocal influences of temperature and copper on survival of fathead minnows, </w:t>
      </w:r>
      <w:r w:rsidRPr="0098635C">
        <w:rPr>
          <w:i/>
          <w:color w:val="000000" w:themeColor="text1"/>
          <w:sz w:val="20"/>
        </w:rPr>
        <w:t>Pimepales promelas</w:t>
      </w:r>
      <w:r w:rsidRPr="0098635C">
        <w:rPr>
          <w:color w:val="000000" w:themeColor="text1"/>
          <w:sz w:val="20"/>
        </w:rPr>
        <w:t xml:space="preserve">. Bull.Environ.Contam.Toxicol. 55:230-236. </w:t>
      </w:r>
    </w:p>
    <w:p w14:paraId="31814BB3" w14:textId="77777777" w:rsidR="00CB080B" w:rsidRPr="0098635C" w:rsidRDefault="00CB080B" w:rsidP="00926614">
      <w:pPr>
        <w:spacing w:after="0"/>
        <w:ind w:left="567" w:hanging="567"/>
        <w:rPr>
          <w:color w:val="000000" w:themeColor="text1"/>
          <w:sz w:val="20"/>
          <w:szCs w:val="20"/>
        </w:rPr>
      </w:pPr>
      <w:r w:rsidRPr="0098635C">
        <w:rPr>
          <w:rFonts w:eastAsiaTheme="minorEastAsia"/>
          <w:bCs/>
          <w:color w:val="000000" w:themeColor="text1"/>
          <w:sz w:val="20"/>
          <w:szCs w:val="20"/>
          <w:lang w:eastAsia="en-GB"/>
        </w:rPr>
        <w:t>Riley, J. &amp; Roth, I. (1971). The Distribution of Trace Elements in Some Species of Phytoplankton Grown in Culture. J. Mar. Biol. Ass. 51; 63-72.</w:t>
      </w:r>
    </w:p>
    <w:p w14:paraId="701EA120" w14:textId="706672DA" w:rsidR="00C24197" w:rsidRPr="0098635C" w:rsidRDefault="00C24197" w:rsidP="006E5329">
      <w:pPr>
        <w:pStyle w:val="BodyText"/>
        <w:spacing w:after="0"/>
        <w:ind w:left="567" w:hanging="567"/>
        <w:rPr>
          <w:color w:val="000000" w:themeColor="text1"/>
          <w:sz w:val="20"/>
        </w:rPr>
      </w:pPr>
      <w:r w:rsidRPr="0098635C">
        <w:rPr>
          <w:color w:val="000000" w:themeColor="text1"/>
          <w:sz w:val="20"/>
        </w:rPr>
        <w:t>Riley S E, 1994. Copper II sulphate pentahydrate: induction of micronuclei in the bone marrow of treated Mice. Testing laboratory: Hazleton Europe. Report no.: 456/33.</w:t>
      </w:r>
      <w:r w:rsidR="006E09AA" w:rsidRPr="0098635C">
        <w:rPr>
          <w:color w:val="000000" w:themeColor="text1"/>
          <w:sz w:val="20"/>
        </w:rPr>
        <w:t xml:space="preserve"> Unpublished</w:t>
      </w:r>
    </w:p>
    <w:p w14:paraId="62182D1A"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de-DE"/>
        </w:rPr>
        <w:t xml:space="preserve">Rimbach G, Pallauf J, Brandt K, Most E, 1995. </w:t>
      </w:r>
      <w:r w:rsidRPr="0098635C">
        <w:rPr>
          <w:color w:val="000000" w:themeColor="text1"/>
          <w:sz w:val="20"/>
        </w:rPr>
        <w:t>Effect of phytic acid and microbial phytase on Cd accumulation, Zn status, and apparent absorption of Ca, P, Mg, Fe, Zn, Cu, and Mn in growing rats. Ann.Nutr.Metab. 39:361-370.</w:t>
      </w:r>
    </w:p>
    <w:p w14:paraId="54872E9D"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Rodriguez et al, 2010. Copper and copper compounds: Bio-elution in gastric mimetic fluids. Testing laboratory: CIMM.</w:t>
      </w:r>
    </w:p>
    <w:p w14:paraId="611413A7" w14:textId="781BD703" w:rsidR="00C24197" w:rsidRPr="0098635C" w:rsidRDefault="00C24197" w:rsidP="006E5329">
      <w:pPr>
        <w:pStyle w:val="BodyText"/>
        <w:spacing w:after="0"/>
        <w:ind w:left="567" w:hanging="567"/>
        <w:rPr>
          <w:color w:val="000000" w:themeColor="text1"/>
          <w:sz w:val="20"/>
        </w:rPr>
      </w:pPr>
      <w:r w:rsidRPr="0098635C">
        <w:rPr>
          <w:color w:val="000000" w:themeColor="text1"/>
          <w:sz w:val="20"/>
        </w:rPr>
        <w:t>Rodriguez PH, Adams W, Delbeke K, 2007.  Methodology for aquatic hazard classification of massive metal forms: the copper case.  Proceeding of the sixth International Copper Conference, Copper 2007, Volume VI pp 217-228.  Available from the VRAR, 2008, annex K2 (http://echa.europa.eu/chem_data/transit_measures/vrar_en.asp), slightly amended in August 2001.</w:t>
      </w:r>
      <w:r w:rsidR="006E09AA" w:rsidRPr="0098635C">
        <w:rPr>
          <w:color w:val="000000" w:themeColor="text1"/>
          <w:sz w:val="20"/>
        </w:rPr>
        <w:t xml:space="preserve"> Unpublished</w:t>
      </w:r>
      <w:r w:rsidRPr="0098635C">
        <w:rPr>
          <w:color w:val="000000" w:themeColor="text1"/>
          <w:sz w:val="20"/>
        </w:rPr>
        <w:t xml:space="preserve"> </w:t>
      </w:r>
    </w:p>
    <w:p w14:paraId="5A42C69B" w14:textId="3300A532"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Rodriguez PH, Arbildua J, Urrestarazu P,  2012.  Massive copper samples,  28 days transformation/dissolution study   at pH 6 of a metallic sample mounted in epoxy resin at pH 6. Report to ECI dated 25 January 2012.  </w:t>
      </w:r>
      <w:r w:rsidR="006E09AA" w:rsidRPr="0098635C">
        <w:rPr>
          <w:color w:val="000000" w:themeColor="text1"/>
          <w:sz w:val="20"/>
        </w:rPr>
        <w:t>Unpublished</w:t>
      </w:r>
    </w:p>
    <w:p w14:paraId="4ECA1973" w14:textId="4C49A48A" w:rsidR="00C24197" w:rsidRPr="0098635C" w:rsidRDefault="00C24197" w:rsidP="006E5329">
      <w:pPr>
        <w:pStyle w:val="BodyText"/>
        <w:spacing w:after="0"/>
        <w:ind w:left="567" w:hanging="567"/>
        <w:rPr>
          <w:color w:val="000000" w:themeColor="text1"/>
          <w:sz w:val="20"/>
        </w:rPr>
      </w:pPr>
      <w:r w:rsidRPr="0098635C">
        <w:rPr>
          <w:color w:val="000000" w:themeColor="text1"/>
          <w:sz w:val="20"/>
        </w:rPr>
        <w:t>Rodriguez PH, Urrestarazu P, Opazo M, 2011.  Massive copper samples, transformation/dissolution protocol at pH 6, in the presence of anti-abrasion devices. Report to ECI dated 25 August 2011</w:t>
      </w:r>
      <w:r w:rsidRPr="0098635C">
        <w:rPr>
          <w:color w:val="000000" w:themeColor="text1"/>
          <w:sz w:val="20"/>
          <w:u w:val="single"/>
        </w:rPr>
        <w:t>.</w:t>
      </w:r>
      <w:r w:rsidRPr="0098635C">
        <w:rPr>
          <w:color w:val="000000" w:themeColor="text1"/>
          <w:sz w:val="20"/>
        </w:rPr>
        <w:t xml:space="preserve"> </w:t>
      </w:r>
      <w:r w:rsidR="006E09AA" w:rsidRPr="0098635C">
        <w:rPr>
          <w:color w:val="000000" w:themeColor="text1"/>
          <w:sz w:val="20"/>
        </w:rPr>
        <w:t>Unpublished</w:t>
      </w:r>
      <w:r w:rsidRPr="0098635C">
        <w:rPr>
          <w:color w:val="000000" w:themeColor="text1"/>
          <w:sz w:val="20"/>
        </w:rPr>
        <w:t xml:space="preserve"> </w:t>
      </w:r>
    </w:p>
    <w:p w14:paraId="3A3F3542"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Roesijadi G, 1980. Influence of copper on the clam </w:t>
      </w:r>
      <w:r w:rsidRPr="0098635C">
        <w:rPr>
          <w:i/>
          <w:color w:val="000000" w:themeColor="text1"/>
          <w:sz w:val="20"/>
        </w:rPr>
        <w:t>Protothaca staminea</w:t>
      </w:r>
      <w:r w:rsidRPr="0098635C">
        <w:rPr>
          <w:color w:val="000000" w:themeColor="text1"/>
          <w:sz w:val="20"/>
        </w:rPr>
        <w:t xml:space="preserve">: effects on gills and occurrence of copper-binding proteins. Biol.Bull. 158:233-247. </w:t>
      </w:r>
    </w:p>
    <w:p w14:paraId="3F940B11" w14:textId="75A74703" w:rsidR="00CB080B" w:rsidRPr="0098635C" w:rsidRDefault="00CB080B" w:rsidP="001D4BD3">
      <w:pPr>
        <w:spacing w:after="0"/>
        <w:ind w:left="567" w:hanging="567"/>
        <w:rPr>
          <w:color w:val="000000" w:themeColor="text1"/>
          <w:sz w:val="20"/>
          <w:szCs w:val="20"/>
        </w:rPr>
      </w:pPr>
      <w:bookmarkStart w:id="2065" w:name="d0e65970"/>
      <w:r w:rsidRPr="0098635C">
        <w:rPr>
          <w:rFonts w:eastAsiaTheme="minorEastAsia"/>
          <w:bCs/>
          <w:color w:val="000000" w:themeColor="text1"/>
          <w:sz w:val="20"/>
          <w:szCs w:val="20"/>
          <w:lang w:eastAsia="en-GB"/>
        </w:rPr>
        <w:lastRenderedPageBreak/>
        <w:t>Rojas, L. X., McDowell, L. R., Cousins, R. J., Martin, F. G., Wilkinson, N. S., Johnson, A. B. and Velasquez, J. B. (1996). Interaction of different organic and inorganic zinc and copper sources fed to rats. J. Trace Elements Med. Biol. 10: 139-144.</w:t>
      </w:r>
      <w:bookmarkEnd w:id="2065"/>
    </w:p>
    <w:p w14:paraId="25EAEEB5"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Romaguera C, Grimalt F, 1981. Contact dermatitis from a copper containing intrauterine contraceptive device. Contact Dermatitis 7:163-164.</w:t>
      </w:r>
    </w:p>
    <w:p w14:paraId="40D46567"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Rongioletti F, Rivara G, Rebora A, 1985. Contact dermatitis to a copper containing intra-uterine device. Contact Dermatitis 13:343. </w:t>
      </w:r>
    </w:p>
    <w:p w14:paraId="2F42FD7B" w14:textId="2112199E" w:rsidR="00C24197" w:rsidRPr="0098635C" w:rsidRDefault="00C24197" w:rsidP="006E5329">
      <w:pPr>
        <w:pStyle w:val="BodyText"/>
        <w:spacing w:after="0"/>
        <w:ind w:left="567" w:hanging="567"/>
        <w:rPr>
          <w:color w:val="000000" w:themeColor="text1"/>
          <w:sz w:val="20"/>
        </w:rPr>
      </w:pPr>
      <w:r w:rsidRPr="0098635C">
        <w:rPr>
          <w:color w:val="000000" w:themeColor="text1"/>
          <w:sz w:val="20"/>
        </w:rPr>
        <w:t>Rooney CP et al, 2004. Development of a predictive model of bioavailability and toxicity of copper in soils: biological endpoints: Plant toxicity and effects of shock on microbial communities. Agricultural and Environment Division, Rothamsted Research. Report no.: No report number.</w:t>
      </w:r>
      <w:r w:rsidR="006E09AA" w:rsidRPr="0098635C">
        <w:rPr>
          <w:color w:val="000000" w:themeColor="text1"/>
          <w:sz w:val="20"/>
        </w:rPr>
        <w:t xml:space="preserve"> </w:t>
      </w:r>
      <w:r w:rsidRPr="0098635C">
        <w:rPr>
          <w:color w:val="000000" w:themeColor="text1"/>
          <w:sz w:val="20"/>
        </w:rPr>
        <w:t xml:space="preserve"> </w:t>
      </w:r>
    </w:p>
    <w:p w14:paraId="38032217"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Rooney CP et al, 2006. Soil factors controlling the expression of copper toxicity to plants in a wide range of European soils. Environ.Toxicol.Chem. 25(3):726-32. </w:t>
      </w:r>
    </w:p>
    <w:p w14:paraId="6B3F8DFE" w14:textId="2E5CCE7B" w:rsidR="00C24197" w:rsidRPr="0098635C" w:rsidRDefault="00C24197" w:rsidP="006E5329">
      <w:pPr>
        <w:pStyle w:val="BodyText"/>
        <w:spacing w:after="0"/>
        <w:ind w:left="567" w:hanging="567"/>
        <w:rPr>
          <w:color w:val="000000" w:themeColor="text1"/>
          <w:sz w:val="20"/>
        </w:rPr>
      </w:pPr>
      <w:r w:rsidRPr="0098635C">
        <w:rPr>
          <w:color w:val="000000" w:themeColor="text1"/>
          <w:sz w:val="20"/>
        </w:rPr>
        <w:t>Roper CS, 2003. The in vitro percutaneous absorption of copper from various formulations through human skin. Testing laboratory: Inveresk Research, Tranent, Scotland. Report no.: 22829. Report date: 2003-08-27.</w:t>
      </w:r>
      <w:r w:rsidR="006E09AA" w:rsidRPr="0098635C">
        <w:rPr>
          <w:color w:val="000000" w:themeColor="text1"/>
          <w:sz w:val="20"/>
        </w:rPr>
        <w:t xml:space="preserve"> Unpublished</w:t>
      </w:r>
    </w:p>
    <w:p w14:paraId="0037279D"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Rosen G, Rivera-Duarte I, Kear-Padilla L, Chadwick DB, 2005. Use of laboratory toxicity tests with bivalve and echinoderm embryos to evaluate the bioavailability of copper in San Diego Bay, California, USA. Environmental Toxicology and Chemistry, Vol 24, No 2, pp 415-422, 2005. </w:t>
      </w:r>
    </w:p>
    <w:p w14:paraId="5EF75985"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Roth JA et al, 1971. Uptake by oats and soybeans of copper and nickel added to a peat soil. Soil Sci. 112:338-342. </w:t>
      </w:r>
    </w:p>
    <w:p w14:paraId="523238F4" w14:textId="772CB7AF"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Roussel H, 2005. The effects of copper on structure and function of freshwater ecosystems: a lotic mesocosm study. Ph.D. Thesis. University of Toulouse, p. 249. </w:t>
      </w:r>
    </w:p>
    <w:p w14:paraId="6BBFD79B" w14:textId="06F334DD" w:rsidR="00C24197" w:rsidRPr="0098635C" w:rsidRDefault="00C24197" w:rsidP="006E5329">
      <w:pPr>
        <w:pStyle w:val="BodyText"/>
        <w:spacing w:after="0"/>
        <w:ind w:left="567" w:hanging="567"/>
        <w:rPr>
          <w:color w:val="000000" w:themeColor="text1"/>
          <w:sz w:val="20"/>
        </w:rPr>
      </w:pPr>
      <w:r w:rsidRPr="0098635C">
        <w:rPr>
          <w:color w:val="000000" w:themeColor="text1"/>
          <w:sz w:val="20"/>
        </w:rPr>
        <w:t>Roussel, H, Ten-Hage L, Joachim S, Le Cohu R, Gauthier L, Bonzom J-M, 2007. A long-term copper exposure on a freshwater ecosystem using lotic mesocosms: primary producer community responses. Aquat. Toxicol. 81:168-182.</w:t>
      </w:r>
    </w:p>
    <w:p w14:paraId="629CE4BB" w14:textId="77777777" w:rsidR="00CB080B" w:rsidRPr="0098635C" w:rsidRDefault="00CB080B" w:rsidP="00926614">
      <w:pPr>
        <w:spacing w:after="0"/>
        <w:ind w:left="567" w:hanging="567"/>
        <w:rPr>
          <w:color w:val="000000" w:themeColor="text1"/>
          <w:sz w:val="20"/>
          <w:szCs w:val="20"/>
        </w:rPr>
      </w:pPr>
      <w:bookmarkStart w:id="2066" w:name="d0e65986"/>
      <w:r w:rsidRPr="0098635C">
        <w:rPr>
          <w:rFonts w:eastAsiaTheme="minorEastAsia"/>
          <w:bCs/>
          <w:color w:val="000000" w:themeColor="text1"/>
          <w:sz w:val="20"/>
          <w:szCs w:val="20"/>
          <w:lang w:eastAsia="en-GB"/>
        </w:rPr>
        <w:t>Ruchards Vl and Beitinger TL (1995). Reciprocal influences of temperature and copper on survival of fathead minnows, Pimepales promelas. Bulletin of Environmental Contamination toxicology, nr 55, p230-236. Testing laboratory: Department of Biological Sciences, University of North Texas, Post office box 5218, Denton, Texas 76203 USA.</w:t>
      </w:r>
      <w:bookmarkEnd w:id="2066"/>
    </w:p>
    <w:p w14:paraId="7C4EB39D"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nl-NL"/>
        </w:rPr>
        <w:t xml:space="preserve">Rundgren S, Van Gestel CAM, 1998. </w:t>
      </w:r>
      <w:r w:rsidRPr="0098635C">
        <w:rPr>
          <w:color w:val="000000" w:themeColor="text1"/>
          <w:sz w:val="20"/>
        </w:rPr>
        <w:t xml:space="preserve">Comparison of species sensitivity. In: Handbook of Soil Invertebrate Toxicity Tests. pp 41-55 Ed. Lokke K, Van Gestel CAM. J. Wiley and Sons Ltd, Chichester, UK. </w:t>
      </w:r>
    </w:p>
    <w:p w14:paraId="724D792E"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Rusov C, Zivkovic R, Jojic-Malicevic L, 1997. A study of copper genotoxicity in the micronucleus test on mice. Acta Vet. (Belgrade) 47:371-376.</w:t>
      </w:r>
    </w:p>
    <w:p w14:paraId="212ED053"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Ryan AC et al, 2004. Influence of natural organic matter source on copper toxicity to larval fathead minnows (</w:t>
      </w:r>
      <w:r w:rsidRPr="0098635C">
        <w:rPr>
          <w:i/>
          <w:color w:val="000000" w:themeColor="text1"/>
          <w:sz w:val="20"/>
        </w:rPr>
        <w:t>Pimephales promelas</w:t>
      </w:r>
      <w:r w:rsidRPr="0098635C">
        <w:rPr>
          <w:color w:val="000000" w:themeColor="text1"/>
          <w:sz w:val="20"/>
        </w:rPr>
        <w:t xml:space="preserve">): implications for the biotic ligand model. Environ.Toxicol.Chem. 23(6):1567-1574. </w:t>
      </w:r>
    </w:p>
    <w:p w14:paraId="1BFAC850"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Salmon MA, Wright T, 1971. Chronic copper poisoning presenting as pink disease. Arch.Dis.Child. 46:108-110.</w:t>
      </w:r>
    </w:p>
    <w:p w14:paraId="6A2615BA" w14:textId="101D3701" w:rsidR="00CB080B" w:rsidRPr="0098635C" w:rsidRDefault="00CB080B" w:rsidP="00926614">
      <w:pPr>
        <w:spacing w:after="0"/>
        <w:ind w:left="567" w:hanging="567"/>
        <w:rPr>
          <w:color w:val="000000" w:themeColor="text1"/>
          <w:sz w:val="20"/>
          <w:szCs w:val="20"/>
        </w:rPr>
      </w:pPr>
      <w:bookmarkStart w:id="2067" w:name="d0e65998"/>
      <w:r w:rsidRPr="0098635C">
        <w:rPr>
          <w:rFonts w:eastAsiaTheme="minorEastAsia"/>
          <w:bCs/>
          <w:color w:val="000000" w:themeColor="text1"/>
          <w:sz w:val="20"/>
          <w:szCs w:val="20"/>
          <w:lang w:eastAsia="en-GB"/>
        </w:rPr>
        <w:t>Sample, B. E. et al. (1999). Literature-derived bioaccumulation models for earthworms: Development and validation. Environ. Toxicol. Chem. 1999; 18(9):2110-2120.</w:t>
      </w:r>
      <w:bookmarkEnd w:id="2067"/>
    </w:p>
    <w:p w14:paraId="7EE35576" w14:textId="387A292E"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Sanders A, 2001a. Copper powder: Acute oral toxicity in the rat - Acute toxic class method. Testing laboratory: SafePharm Laboratories. Report no.: 1451/001. </w:t>
      </w:r>
      <w:r w:rsidR="006E09AA" w:rsidRPr="0098635C">
        <w:rPr>
          <w:color w:val="000000" w:themeColor="text1"/>
          <w:sz w:val="20"/>
        </w:rPr>
        <w:t>Unpublished</w:t>
      </w:r>
    </w:p>
    <w:p w14:paraId="2417F2E0" w14:textId="02868BE9" w:rsidR="00CF45A6" w:rsidRPr="0098635C" w:rsidRDefault="00CF45A6" w:rsidP="006E5329">
      <w:pPr>
        <w:pStyle w:val="BodyText"/>
        <w:spacing w:after="0"/>
        <w:ind w:left="567" w:hanging="567"/>
        <w:rPr>
          <w:color w:val="000000" w:themeColor="text1"/>
          <w:sz w:val="20"/>
        </w:rPr>
      </w:pPr>
      <w:r w:rsidRPr="0098635C">
        <w:rPr>
          <w:rFonts w:eastAsiaTheme="minorEastAsia"/>
          <w:bCs/>
          <w:color w:val="000000" w:themeColor="text1"/>
          <w:sz w:val="20"/>
          <w:lang w:eastAsia="en-GB"/>
        </w:rPr>
        <w:t>Sanders, A. (2001b). Acute dermal toxicity (limit test) in the rat. Testing laboratory: Safepharm Laboratories Limited</w:t>
      </w:r>
      <w:r w:rsidR="00847893" w:rsidRPr="0098635C">
        <w:rPr>
          <w:rFonts w:eastAsiaTheme="minorEastAsia"/>
          <w:bCs/>
          <w:color w:val="000000" w:themeColor="text1"/>
          <w:sz w:val="20"/>
          <w:lang w:eastAsia="en-GB"/>
        </w:rPr>
        <w:t xml:space="preserve">. </w:t>
      </w:r>
      <w:r w:rsidRPr="0098635C">
        <w:rPr>
          <w:rFonts w:eastAsiaTheme="minorEastAsia"/>
          <w:bCs/>
          <w:strike/>
          <w:color w:val="000000" w:themeColor="text1"/>
          <w:sz w:val="20"/>
          <w:lang w:eastAsia="en-GB"/>
        </w:rPr>
        <w:t>. S</w:t>
      </w:r>
      <w:r w:rsidR="00847893" w:rsidRPr="0098635C">
        <w:rPr>
          <w:rFonts w:eastAsiaTheme="minorEastAsia"/>
          <w:bCs/>
          <w:strike/>
          <w:color w:val="000000" w:themeColor="text1"/>
          <w:sz w:val="20"/>
          <w:lang w:eastAsia="en-GB"/>
        </w:rPr>
        <w:t>S</w:t>
      </w:r>
      <w:r w:rsidRPr="0098635C">
        <w:rPr>
          <w:rFonts w:eastAsiaTheme="minorEastAsia"/>
          <w:bCs/>
          <w:color w:val="000000" w:themeColor="text1"/>
          <w:sz w:val="20"/>
          <w:lang w:eastAsia="en-GB"/>
        </w:rPr>
        <w:t>tudy number: SPL No: 1451/002.</w:t>
      </w:r>
      <w:r w:rsidR="009F120E" w:rsidRPr="0098635C">
        <w:rPr>
          <w:color w:val="000000" w:themeColor="text1"/>
          <w:sz w:val="20"/>
        </w:rPr>
        <w:t xml:space="preserve"> Unpublished</w:t>
      </w:r>
    </w:p>
    <w:p w14:paraId="72529D1B" w14:textId="4B52268B" w:rsidR="00C24197" w:rsidRPr="0098635C" w:rsidRDefault="00C24197" w:rsidP="006E5329">
      <w:pPr>
        <w:pStyle w:val="BodyText"/>
        <w:spacing w:after="0"/>
        <w:ind w:left="567" w:hanging="567"/>
        <w:rPr>
          <w:color w:val="000000" w:themeColor="text1"/>
          <w:sz w:val="20"/>
        </w:rPr>
      </w:pPr>
      <w:r w:rsidRPr="0098635C">
        <w:rPr>
          <w:color w:val="000000" w:themeColor="text1"/>
          <w:sz w:val="20"/>
        </w:rPr>
        <w:t>Sanders A, 2001c. Copper powder - Acute dermal irritation in t</w:t>
      </w:r>
      <w:r w:rsidR="006E09AA" w:rsidRPr="0098635C">
        <w:rPr>
          <w:color w:val="000000" w:themeColor="text1"/>
          <w:sz w:val="20"/>
        </w:rPr>
        <w:t xml:space="preserve"> </w:t>
      </w:r>
      <w:r w:rsidRPr="0098635C">
        <w:rPr>
          <w:color w:val="000000" w:themeColor="text1"/>
          <w:sz w:val="20"/>
        </w:rPr>
        <w:t>he rabbit. Testing laboratory: Safepharm Laboratory. Study number: project n° 1451/004.</w:t>
      </w:r>
      <w:r w:rsidR="001D4BD3" w:rsidRPr="0098635C">
        <w:rPr>
          <w:color w:val="000000" w:themeColor="text1"/>
          <w:sz w:val="20"/>
        </w:rPr>
        <w:t xml:space="preserve"> Unpublished</w:t>
      </w:r>
    </w:p>
    <w:p w14:paraId="1EA6575E" w14:textId="41ECEFD6" w:rsidR="00CF45A6" w:rsidRPr="0098635C" w:rsidRDefault="00CF45A6" w:rsidP="00926614">
      <w:pPr>
        <w:spacing w:after="0"/>
        <w:ind w:left="567" w:hanging="567"/>
        <w:rPr>
          <w:color w:val="000000" w:themeColor="text1"/>
          <w:sz w:val="20"/>
          <w:szCs w:val="20"/>
        </w:rPr>
      </w:pPr>
      <w:bookmarkStart w:id="2068" w:name="d0e66012"/>
      <w:r w:rsidRPr="0098635C">
        <w:rPr>
          <w:rFonts w:eastAsiaTheme="minorEastAsia"/>
          <w:bCs/>
          <w:color w:val="000000" w:themeColor="text1"/>
          <w:sz w:val="20"/>
          <w:szCs w:val="20"/>
          <w:lang w:eastAsia="en-GB"/>
        </w:rPr>
        <w:t>Sanders, A. (2001d). Copper powder: acute eye irritation in the rabbit. Testing laboratory: SafePharm Laboratories Limited. Study number: project number: 1451/005.</w:t>
      </w:r>
      <w:bookmarkEnd w:id="2068"/>
      <w:r w:rsidR="006E09AA" w:rsidRPr="0098635C">
        <w:rPr>
          <w:color w:val="000000" w:themeColor="text1"/>
          <w:sz w:val="20"/>
          <w:szCs w:val="20"/>
        </w:rPr>
        <w:t xml:space="preserve"> Unpublished</w:t>
      </w:r>
    </w:p>
    <w:p w14:paraId="6661FDC8" w14:textId="57144AD6" w:rsidR="00C24197" w:rsidRPr="0098635C" w:rsidRDefault="00C24197" w:rsidP="006E5329">
      <w:pPr>
        <w:pStyle w:val="BodyText"/>
        <w:spacing w:after="0"/>
        <w:ind w:left="567" w:hanging="567"/>
        <w:rPr>
          <w:color w:val="000000" w:themeColor="text1"/>
          <w:sz w:val="20"/>
        </w:rPr>
      </w:pPr>
      <w:r w:rsidRPr="0098635C">
        <w:rPr>
          <w:color w:val="000000" w:themeColor="text1"/>
          <w:sz w:val="20"/>
        </w:rPr>
        <w:t>Sanders A, 2001e. Copper powder: skin sensitisation in the guinea pig - Magnusson and Kligman Maximisation Method. Testing laboratory: SafePharm Laboratories Limited. Report no.: 1451/006.</w:t>
      </w:r>
      <w:r w:rsidR="006E09AA" w:rsidRPr="0098635C">
        <w:rPr>
          <w:color w:val="000000" w:themeColor="text1"/>
          <w:sz w:val="20"/>
        </w:rPr>
        <w:t xml:space="preserve"> Unpublished</w:t>
      </w:r>
    </w:p>
    <w:p w14:paraId="13432EF7" w14:textId="55A9B23B" w:rsidR="00C24197" w:rsidRPr="0098635C" w:rsidRDefault="00C24197" w:rsidP="006E5329">
      <w:pPr>
        <w:pStyle w:val="BodyText"/>
        <w:spacing w:after="0"/>
        <w:ind w:left="567" w:hanging="567"/>
        <w:rPr>
          <w:color w:val="000000" w:themeColor="text1"/>
          <w:sz w:val="20"/>
        </w:rPr>
      </w:pPr>
      <w:r w:rsidRPr="0098635C">
        <w:rPr>
          <w:color w:val="000000" w:themeColor="text1"/>
          <w:sz w:val="20"/>
        </w:rPr>
        <w:t>Sanders A, 2002a. Cupric Oxide: Acute dermal toxicity (Limit Test) in the rat. Testing laboratory: SafePharm Laboratories Limited. Report no.: 1645/002.</w:t>
      </w:r>
      <w:r w:rsidR="006E09AA" w:rsidRPr="0098635C">
        <w:rPr>
          <w:color w:val="000000" w:themeColor="text1"/>
          <w:sz w:val="20"/>
        </w:rPr>
        <w:t xml:space="preserve"> Unpublished</w:t>
      </w:r>
    </w:p>
    <w:p w14:paraId="42C371CC" w14:textId="7572305E" w:rsidR="00CF45A6" w:rsidRPr="0098635C" w:rsidRDefault="00CF45A6" w:rsidP="006E5329">
      <w:pPr>
        <w:pStyle w:val="BodyText"/>
        <w:spacing w:after="0"/>
        <w:ind w:left="567" w:hanging="567"/>
        <w:rPr>
          <w:color w:val="000000" w:themeColor="text1"/>
          <w:sz w:val="20"/>
        </w:rPr>
      </w:pPr>
      <w:r w:rsidRPr="0098635C">
        <w:rPr>
          <w:color w:val="000000" w:themeColor="text1"/>
          <w:sz w:val="20"/>
        </w:rPr>
        <w:t>Sanders A, 2002b Cupric oxide acute oral</w:t>
      </w:r>
      <w:r w:rsidR="00847893" w:rsidRPr="0098635C">
        <w:rPr>
          <w:color w:val="000000" w:themeColor="text1"/>
          <w:sz w:val="20"/>
        </w:rPr>
        <w:t>.</w:t>
      </w:r>
      <w:r w:rsidR="006E09AA" w:rsidRPr="0098635C">
        <w:rPr>
          <w:color w:val="000000" w:themeColor="text1"/>
          <w:sz w:val="20"/>
        </w:rPr>
        <w:t xml:space="preserve"> Unpublished</w:t>
      </w:r>
    </w:p>
    <w:p w14:paraId="49365043" w14:textId="6E1BBD62" w:rsidR="00CF45A6" w:rsidRPr="0098635C" w:rsidRDefault="00C24197" w:rsidP="006E5329">
      <w:pPr>
        <w:pStyle w:val="BodyText"/>
        <w:spacing w:after="0"/>
        <w:ind w:left="567" w:hanging="567"/>
        <w:rPr>
          <w:color w:val="000000" w:themeColor="text1"/>
          <w:sz w:val="20"/>
        </w:rPr>
      </w:pPr>
      <w:r w:rsidRPr="0098635C">
        <w:rPr>
          <w:color w:val="000000" w:themeColor="text1"/>
          <w:sz w:val="20"/>
        </w:rPr>
        <w:t>Sanders A, 2002c. Cupric Oxide: Acute dermal irritation in the rabbit. Testing laboratory: SafePharm Laboratories Limited. Report no.: 1645/003</w:t>
      </w:r>
      <w:r w:rsidR="009F120E" w:rsidRPr="0098635C">
        <w:rPr>
          <w:color w:val="000000" w:themeColor="text1"/>
          <w:sz w:val="20"/>
        </w:rPr>
        <w:t xml:space="preserve"> Unpublished</w:t>
      </w:r>
    </w:p>
    <w:p w14:paraId="17112DA6" w14:textId="24D6995A" w:rsidR="00C24197" w:rsidRPr="0098635C" w:rsidRDefault="004B5C91" w:rsidP="006E5329">
      <w:pPr>
        <w:pStyle w:val="BodyText"/>
        <w:spacing w:after="0"/>
        <w:ind w:left="567" w:hanging="567"/>
        <w:rPr>
          <w:color w:val="000000" w:themeColor="text1"/>
          <w:sz w:val="20"/>
        </w:rPr>
      </w:pPr>
      <w:r w:rsidRPr="0098635C">
        <w:rPr>
          <w:color w:val="000000" w:themeColor="text1"/>
          <w:sz w:val="20"/>
        </w:rPr>
        <w:t>Sanders A, 2002d. Cupric</w:t>
      </w:r>
      <w:r w:rsidR="00C24197" w:rsidRPr="0098635C">
        <w:rPr>
          <w:color w:val="000000" w:themeColor="text1"/>
          <w:sz w:val="20"/>
        </w:rPr>
        <w:t xml:space="preserve"> oxide: Acute eye irritation in the rabbit. Testing laboratory: SafePharm Laboratories Limited. Report no.: 1645/004.</w:t>
      </w:r>
      <w:r w:rsidR="006E09AA" w:rsidRPr="0098635C">
        <w:rPr>
          <w:color w:val="000000" w:themeColor="text1"/>
          <w:sz w:val="20"/>
        </w:rPr>
        <w:t xml:space="preserve"> Unpublished</w:t>
      </w:r>
    </w:p>
    <w:p w14:paraId="0910EAE9" w14:textId="2B709E1D" w:rsidR="00C24197" w:rsidRPr="0098635C" w:rsidRDefault="00C24197" w:rsidP="006E5329">
      <w:pPr>
        <w:pStyle w:val="BodyText"/>
        <w:spacing w:after="0"/>
        <w:ind w:left="567" w:hanging="567"/>
        <w:rPr>
          <w:color w:val="000000" w:themeColor="text1"/>
          <w:sz w:val="20"/>
        </w:rPr>
      </w:pPr>
      <w:r w:rsidRPr="0098635C">
        <w:rPr>
          <w:color w:val="000000" w:themeColor="text1"/>
          <w:sz w:val="20"/>
        </w:rPr>
        <w:t>Sanders A, 2002e. Cupric oxide: skin sensitisation in the guinea pig - Magnusson and Kligman Maximisation Method. Testing laboratory: SafePharm Laboratories Limited. Report no.: 1645/005.</w:t>
      </w:r>
      <w:r w:rsidR="006E09AA" w:rsidRPr="0098635C">
        <w:rPr>
          <w:color w:val="000000" w:themeColor="text1"/>
          <w:sz w:val="20"/>
        </w:rPr>
        <w:t xml:space="preserve"> Unpublished</w:t>
      </w:r>
    </w:p>
    <w:p w14:paraId="6910A98F" w14:textId="6DCF6990"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Sandifer RD, Hopkin SP, 1996. Effects of pH on the toxicity of cadmium, copper, lead and zinc to </w:t>
      </w:r>
      <w:r w:rsidRPr="0098635C">
        <w:rPr>
          <w:i/>
          <w:color w:val="000000" w:themeColor="text1"/>
          <w:sz w:val="20"/>
        </w:rPr>
        <w:t>Folsomia candida</w:t>
      </w:r>
      <w:r w:rsidRPr="0098635C">
        <w:rPr>
          <w:color w:val="000000" w:themeColor="text1"/>
          <w:sz w:val="20"/>
        </w:rPr>
        <w:t xml:space="preserve"> Willem, 1902 (Collembola) in a standard laboratory test system. Chemosphere 33(12):2475-2486. </w:t>
      </w:r>
    </w:p>
    <w:p w14:paraId="3F45C6A4" w14:textId="2F6BDEF2" w:rsidR="00C24197" w:rsidRPr="0098635C" w:rsidRDefault="00C24197" w:rsidP="006E5329">
      <w:pPr>
        <w:pStyle w:val="BodyText"/>
        <w:spacing w:after="0"/>
        <w:ind w:left="567" w:hanging="567"/>
        <w:rPr>
          <w:color w:val="000000" w:themeColor="text1"/>
          <w:sz w:val="20"/>
          <w:lang w:val="it-IT"/>
        </w:rPr>
      </w:pPr>
      <w:r w:rsidRPr="0098635C">
        <w:rPr>
          <w:color w:val="000000" w:themeColor="text1"/>
          <w:sz w:val="20"/>
        </w:rPr>
        <w:t xml:space="preserve">Sandifer RD, Hopkin SP, 1997. Effects of temperature on the relative toxicities of Cd, Cu, Pb and Zn to </w:t>
      </w:r>
      <w:r w:rsidRPr="0098635C">
        <w:rPr>
          <w:i/>
          <w:color w:val="000000" w:themeColor="text1"/>
          <w:sz w:val="20"/>
        </w:rPr>
        <w:t>Folsomia candida</w:t>
      </w:r>
      <w:r w:rsidRPr="0098635C">
        <w:rPr>
          <w:color w:val="000000" w:themeColor="text1"/>
          <w:sz w:val="20"/>
        </w:rPr>
        <w:t xml:space="preserve"> (Collembola). </w:t>
      </w:r>
      <w:r w:rsidRPr="0098635C">
        <w:rPr>
          <w:color w:val="000000" w:themeColor="text1"/>
          <w:sz w:val="20"/>
          <w:lang w:val="it-IT"/>
        </w:rPr>
        <w:t xml:space="preserve">Ecotox.Environ.Safe. 37:125-130. </w:t>
      </w:r>
    </w:p>
    <w:p w14:paraId="72E2466F"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it-IT"/>
        </w:rPr>
        <w:t xml:space="preserve">Sanudo-Wilhelmy SA, Rivera-Duarte I, Flegal AR, 1996. </w:t>
      </w:r>
      <w:r w:rsidRPr="0098635C">
        <w:rPr>
          <w:color w:val="000000" w:themeColor="text1"/>
          <w:sz w:val="20"/>
        </w:rPr>
        <w:t xml:space="preserve">Distribution of colloidal trace metals in the San Francisco Bay estuary. Geochim.Cosmochim.Acta, 60(24): 4933-4944. </w:t>
      </w:r>
    </w:p>
    <w:p w14:paraId="6551E4DB" w14:textId="77777777" w:rsidR="00CB080B" w:rsidRPr="0098635C" w:rsidRDefault="00CB080B" w:rsidP="00926614">
      <w:pPr>
        <w:spacing w:after="0"/>
        <w:ind w:left="567" w:hanging="567"/>
        <w:rPr>
          <w:color w:val="000000" w:themeColor="text1"/>
          <w:sz w:val="20"/>
          <w:szCs w:val="20"/>
        </w:rPr>
      </w:pPr>
      <w:r w:rsidRPr="0098635C">
        <w:rPr>
          <w:rFonts w:eastAsiaTheme="minorEastAsia"/>
          <w:bCs/>
          <w:color w:val="000000" w:themeColor="text1"/>
          <w:sz w:val="20"/>
          <w:szCs w:val="20"/>
          <w:lang w:eastAsia="en-GB"/>
        </w:rPr>
        <w:t>Santore, R. C. et al. (2001). Biotic ligand model of the acute toxicity of metals. 2. Application to acute copper toxicity in freshwater fish and Daphnia. Environ Toxicol Chem. 2001; 20(10):2397-402.</w:t>
      </w:r>
    </w:p>
    <w:p w14:paraId="0A563A84" w14:textId="6F1002F9" w:rsidR="00027BE2" w:rsidRPr="0098635C" w:rsidRDefault="008268F1" w:rsidP="001D4BD3">
      <w:pPr>
        <w:spacing w:after="0"/>
        <w:ind w:left="567" w:hanging="567"/>
        <w:rPr>
          <w:color w:val="000000" w:themeColor="text1"/>
          <w:sz w:val="20"/>
          <w:szCs w:val="20"/>
        </w:rPr>
      </w:pPr>
      <w:r w:rsidRPr="0098635C">
        <w:rPr>
          <w:color w:val="000000" w:themeColor="text1"/>
          <w:sz w:val="20"/>
          <w:szCs w:val="20"/>
        </w:rPr>
        <w:lastRenderedPageBreak/>
        <w:t>Santore R.C., Mathew R., Paquin R.P. and DiToro D. (2002). Application of the biotic ligand model to predicting zinc toxicity to rainbow trout, fathead minnow and Daphnia magna . Comparative Biochemistry and Physiology, C133, 271-285.</w:t>
      </w:r>
    </w:p>
    <w:p w14:paraId="6DB50DC0"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Sauter S et al, 1976. Effects of exposure to heavy metals on selected freshwater fish. Toxicity of copper, cadmium, chromium and lead to eggs and fry of seven fish species. Ecological Research Series EPA-600/3-76- 105. U. S. Environmental Protection Agency, Environmental Research Laboratory, Duluth, Minnesota. </w:t>
      </w:r>
    </w:p>
    <w:p w14:paraId="55DD81A6" w14:textId="77777777" w:rsidR="00C24197" w:rsidRPr="0098635C" w:rsidRDefault="00C24197" w:rsidP="006E5329">
      <w:pPr>
        <w:pStyle w:val="BodyText"/>
        <w:spacing w:after="0"/>
        <w:ind w:left="567" w:hanging="567"/>
        <w:rPr>
          <w:color w:val="000000" w:themeColor="text1"/>
          <w:sz w:val="20"/>
          <w:lang w:val="it-IT"/>
        </w:rPr>
      </w:pPr>
      <w:r w:rsidRPr="0098635C">
        <w:rPr>
          <w:color w:val="000000" w:themeColor="text1"/>
          <w:sz w:val="20"/>
        </w:rPr>
        <w:t xml:space="preserve">Sauvé S, Hendershot W, Allen HE, 2000. Solid-solution partitioning of metals in contaminated soils: dependence on pH, total metal burden and organic matter. </w:t>
      </w:r>
      <w:r w:rsidRPr="0098635C">
        <w:rPr>
          <w:color w:val="000000" w:themeColor="text1"/>
          <w:sz w:val="20"/>
          <w:lang w:val="it-IT"/>
        </w:rPr>
        <w:t xml:space="preserve">Environ.Sci.Technol. 34(7):1125-1131. </w:t>
      </w:r>
    </w:p>
    <w:p w14:paraId="2DC3A3BC"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it-IT"/>
        </w:rPr>
        <w:t xml:space="preserve">Saviozzi A, LeviMinzi R, Cardelli R, Riffaldi R, 1997. </w:t>
      </w:r>
      <w:r w:rsidRPr="0098635C">
        <w:rPr>
          <w:color w:val="000000" w:themeColor="text1"/>
          <w:sz w:val="20"/>
        </w:rPr>
        <w:t>The influence of heavy metals on carbon dioxide evolution from a typic xerochrept soil‘, Water Air Soil Pollut. 93:409-417.</w:t>
      </w:r>
    </w:p>
    <w:p w14:paraId="456D2263" w14:textId="67EBE874" w:rsidR="00C24197" w:rsidRPr="0098635C" w:rsidRDefault="00C24197" w:rsidP="006E5329">
      <w:pPr>
        <w:pStyle w:val="BodyText"/>
        <w:spacing w:after="0"/>
        <w:ind w:left="567" w:hanging="567"/>
        <w:rPr>
          <w:color w:val="000000" w:themeColor="text1"/>
          <w:sz w:val="20"/>
          <w:lang w:val="de-DE"/>
        </w:rPr>
      </w:pPr>
      <w:r w:rsidRPr="0098635C">
        <w:rPr>
          <w:color w:val="000000" w:themeColor="text1"/>
          <w:sz w:val="20"/>
        </w:rPr>
        <w:t>Schäfer et al. (200</w:t>
      </w:r>
      <w:r w:rsidR="00E25AD4" w:rsidRPr="0098635C">
        <w:rPr>
          <w:color w:val="000000" w:themeColor="text1"/>
          <w:sz w:val="20"/>
        </w:rPr>
        <w:t>3</w:t>
      </w:r>
      <w:r w:rsidRPr="0098635C">
        <w:rPr>
          <w:color w:val="000000" w:themeColor="text1"/>
          <w:sz w:val="20"/>
        </w:rPr>
        <w:t xml:space="preserve">). Study report: Community level study with copper in aquatic microcosms. </w:t>
      </w:r>
      <w:r w:rsidRPr="0098635C">
        <w:rPr>
          <w:color w:val="000000" w:themeColor="text1"/>
          <w:sz w:val="20"/>
          <w:lang w:val="de-DE"/>
        </w:rPr>
        <w:t>Study for ICA, Schmallenberg, Germany. 116 p.</w:t>
      </w:r>
      <w:r w:rsidR="009F120E" w:rsidRPr="0098635C">
        <w:rPr>
          <w:color w:val="000000" w:themeColor="text1"/>
          <w:sz w:val="20"/>
        </w:rPr>
        <w:t xml:space="preserve"> Unpublished. </w:t>
      </w:r>
    </w:p>
    <w:p w14:paraId="06CD078F"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de-DE"/>
        </w:rPr>
        <w:t xml:space="preserve">Schäfer H, Hettler H, Fritsche U, Pitzen G, Röderer G, Wenzel A 1994. </w:t>
      </w:r>
      <w:r w:rsidRPr="0098635C">
        <w:rPr>
          <w:color w:val="000000" w:themeColor="text1"/>
          <w:sz w:val="20"/>
        </w:rPr>
        <w:t xml:space="preserve">Biotests using unicellular algae and ciliates for predicting long-term effects of toxicants. Ecotox.Environ.Safe. 27:64- 81. </w:t>
      </w:r>
    </w:p>
    <w:p w14:paraId="3A50F92B" w14:textId="77777777" w:rsidR="00CB080B" w:rsidRPr="0098635C" w:rsidRDefault="00CB080B" w:rsidP="00926614">
      <w:pPr>
        <w:spacing w:after="0"/>
        <w:ind w:left="567" w:hanging="567"/>
        <w:rPr>
          <w:color w:val="000000" w:themeColor="text1"/>
          <w:sz w:val="20"/>
          <w:szCs w:val="20"/>
          <w:lang w:val="nl-BE"/>
        </w:rPr>
      </w:pPr>
      <w:r w:rsidRPr="0098635C">
        <w:rPr>
          <w:rFonts w:eastAsiaTheme="minorEastAsia"/>
          <w:bCs/>
          <w:color w:val="000000" w:themeColor="text1"/>
          <w:sz w:val="20"/>
          <w:szCs w:val="20"/>
          <w:lang w:eastAsia="en-GB"/>
        </w:rPr>
        <w:t xml:space="preserve">Scheifler R., A. de Vaufleury, M. Coeurdassier, N. Crini and PM Badot (2006). Transfer of Cd, Cu, Ni, Pb and Zn in a soil-plant-invertebrate food chain: a microcosm study. </w:t>
      </w:r>
      <w:r w:rsidRPr="0098635C">
        <w:rPr>
          <w:rFonts w:eastAsiaTheme="minorEastAsia"/>
          <w:bCs/>
          <w:color w:val="000000" w:themeColor="text1"/>
          <w:sz w:val="20"/>
          <w:szCs w:val="20"/>
          <w:lang w:val="nl-BE" w:eastAsia="en-GB"/>
        </w:rPr>
        <w:t>Env Toxicol &amp; Chem., 25 (3): 815-822.</w:t>
      </w:r>
    </w:p>
    <w:p w14:paraId="02A7B964" w14:textId="6E5E626F"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nl-BE"/>
        </w:rPr>
        <w:t xml:space="preserve">Schramel P, Müller-Höcker J, Meyer U, Weiß M, Eife R, 1988. </w:t>
      </w:r>
      <w:r w:rsidRPr="0098635C">
        <w:rPr>
          <w:color w:val="000000" w:themeColor="text1"/>
          <w:sz w:val="20"/>
        </w:rPr>
        <w:t>Nutritional copper intoxication in three German infants with severe liver cell damage (features of Indian childhood cirrhosis). J.Trace Elem.Electrolytes Health Dis. 2:85-89.</w:t>
      </w:r>
    </w:p>
    <w:p w14:paraId="777FECE5" w14:textId="645146AE"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Schubauer-Berigan MK, Dierkes JR, Monson PD, Ankley GT, 1993. pH dependent toxicity of Cd, Cu, Ni, Pb and Zn to </w:t>
      </w:r>
      <w:r w:rsidRPr="0098635C">
        <w:rPr>
          <w:i/>
          <w:color w:val="000000" w:themeColor="text1"/>
          <w:sz w:val="20"/>
        </w:rPr>
        <w:t>Ceriodaphnia dubia</w:t>
      </w:r>
      <w:r w:rsidRPr="0098635C">
        <w:rPr>
          <w:color w:val="000000" w:themeColor="text1"/>
          <w:sz w:val="20"/>
        </w:rPr>
        <w:t xml:space="preserve">, </w:t>
      </w:r>
      <w:r w:rsidRPr="0098635C">
        <w:rPr>
          <w:i/>
          <w:color w:val="000000" w:themeColor="text1"/>
          <w:sz w:val="20"/>
        </w:rPr>
        <w:t>Pimepales promelas</w:t>
      </w:r>
      <w:r w:rsidRPr="0098635C">
        <w:rPr>
          <w:color w:val="000000" w:themeColor="text1"/>
          <w:sz w:val="20"/>
        </w:rPr>
        <w:t xml:space="preserve">, </w:t>
      </w:r>
      <w:r w:rsidRPr="0098635C">
        <w:rPr>
          <w:i/>
          <w:color w:val="000000" w:themeColor="text1"/>
          <w:sz w:val="20"/>
        </w:rPr>
        <w:t>Hyalella azteca</w:t>
      </w:r>
      <w:r w:rsidRPr="0098635C">
        <w:rPr>
          <w:color w:val="000000" w:themeColor="text1"/>
          <w:sz w:val="20"/>
        </w:rPr>
        <w:t xml:space="preserve"> and </w:t>
      </w:r>
      <w:r w:rsidRPr="0098635C">
        <w:rPr>
          <w:i/>
          <w:color w:val="000000" w:themeColor="text1"/>
          <w:sz w:val="20"/>
        </w:rPr>
        <w:t>Lumbriculus variegatus</w:t>
      </w:r>
      <w:r w:rsidRPr="0098635C">
        <w:rPr>
          <w:color w:val="000000" w:themeColor="text1"/>
          <w:sz w:val="20"/>
        </w:rPr>
        <w:t xml:space="preserve">. Environ.Toxicol.Chem. 12:1261-1266. </w:t>
      </w:r>
    </w:p>
    <w:p w14:paraId="42691A46" w14:textId="77777777" w:rsidR="00F6174A" w:rsidRPr="0098635C" w:rsidRDefault="00F6174A" w:rsidP="00926614">
      <w:pPr>
        <w:spacing w:after="0"/>
        <w:ind w:left="567" w:hanging="567"/>
        <w:rPr>
          <w:color w:val="000000" w:themeColor="text1"/>
          <w:sz w:val="20"/>
          <w:szCs w:val="20"/>
        </w:rPr>
      </w:pPr>
      <w:bookmarkStart w:id="2069" w:name="d0e66040"/>
      <w:r w:rsidRPr="0098635C">
        <w:rPr>
          <w:rFonts w:eastAsiaTheme="minorEastAsia"/>
          <w:bCs/>
          <w:color w:val="000000" w:themeColor="text1"/>
          <w:sz w:val="20"/>
          <w:szCs w:val="20"/>
          <w:lang w:eastAsia="en-GB"/>
        </w:rPr>
        <w:t>Scott K, Turnlund JR (1994). Compartmental model of copper metabolism in adult men. J. Nutr. Biochem. vol 5. Testing laboratory: United States Department of Agriculture~Agricultural Research Service Western Human Nutrition Research Center, Presidio of San Francisco, CA USA.</w:t>
      </w:r>
    </w:p>
    <w:bookmarkEnd w:id="2069"/>
    <w:p w14:paraId="01AFF68C"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Scott R, Speakman MJ, 1991. Trace metals and endocrine studies: Their role in male infertility. In: TEMA 7 Trace Elements in Man and Animals. Momcilovic B. (ed), p30-4, Seventh International Symposium Inst Med Res Occup Health, Univ Zagreb, Croatia.</w:t>
      </w:r>
    </w:p>
    <w:p w14:paraId="56920BE2"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Scott-Fordsmand JJ, Krogh PH, Weeks JM, 1997. Sublethal toxicity of copper to a soil-dwelling springtail (</w:t>
      </w:r>
      <w:r w:rsidRPr="0098635C">
        <w:rPr>
          <w:i/>
          <w:color w:val="000000" w:themeColor="text1"/>
          <w:sz w:val="20"/>
        </w:rPr>
        <w:t>Folsomia fimetaria</w:t>
      </w:r>
      <w:r w:rsidRPr="0098635C">
        <w:rPr>
          <w:color w:val="000000" w:themeColor="text1"/>
          <w:sz w:val="20"/>
        </w:rPr>
        <w:t xml:space="preserve">) (Collembola: Isotomidae). Environ.Toxicol.Chem. 16(12):2538-2542. </w:t>
      </w:r>
    </w:p>
    <w:p w14:paraId="3BDED1B1"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Scott-Fordsmand JJ, Krogh PH, Weeks JM, 2000b. Responses of </w:t>
      </w:r>
      <w:r w:rsidRPr="0098635C">
        <w:rPr>
          <w:i/>
          <w:color w:val="000000" w:themeColor="text1"/>
          <w:sz w:val="20"/>
        </w:rPr>
        <w:t>Folsomia fimetaria</w:t>
      </w:r>
      <w:r w:rsidRPr="0098635C">
        <w:rPr>
          <w:color w:val="000000" w:themeColor="text1"/>
          <w:sz w:val="20"/>
        </w:rPr>
        <w:t xml:space="preserve"> (Collembola: Isotomidae) to copper under different soil copper contamination histories in relation to risk assessment. Environ.Toxicol.Chem. 19(5):1297-1303. </w:t>
      </w:r>
    </w:p>
    <w:p w14:paraId="6E1F560E"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Scott-Fordsmand JJ, Weeks JM, Hopkins SP, 2000a. Importance of contamination history for understanding toxicity of copper to earthworm </w:t>
      </w:r>
      <w:r w:rsidRPr="0098635C">
        <w:rPr>
          <w:i/>
          <w:color w:val="000000" w:themeColor="text1"/>
          <w:sz w:val="20"/>
        </w:rPr>
        <w:t>Eisenia fetida</w:t>
      </w:r>
      <w:r w:rsidRPr="0098635C">
        <w:rPr>
          <w:color w:val="000000" w:themeColor="text1"/>
          <w:sz w:val="20"/>
        </w:rPr>
        <w:t xml:space="preserve"> (Oligochaeta: Annelida), using neutral red retention assay. Environ.Toxicol.Chem. 19(7):1774-1780. </w:t>
      </w:r>
    </w:p>
    <w:p w14:paraId="4335405C"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Scudder B et al, 1988. Effects of copper on development of the fathead minnow, </w:t>
      </w:r>
      <w:r w:rsidRPr="0098635C">
        <w:rPr>
          <w:i/>
          <w:color w:val="000000" w:themeColor="text1"/>
          <w:sz w:val="20"/>
        </w:rPr>
        <w:t>Pimephales promelas</w:t>
      </w:r>
      <w:r w:rsidRPr="0098635C">
        <w:rPr>
          <w:color w:val="000000" w:themeColor="text1"/>
          <w:sz w:val="20"/>
        </w:rPr>
        <w:t xml:space="preserve">. Aq.Toxicol. 12:107-124. </w:t>
      </w:r>
    </w:p>
    <w:p w14:paraId="0773F195" w14:textId="34514715" w:rsidR="00F6174A" w:rsidRPr="0098635C" w:rsidRDefault="00C24197" w:rsidP="006E5329">
      <w:pPr>
        <w:pStyle w:val="BodyText"/>
        <w:spacing w:after="0"/>
        <w:ind w:left="567" w:hanging="567"/>
        <w:rPr>
          <w:color w:val="000000" w:themeColor="text1"/>
          <w:sz w:val="20"/>
        </w:rPr>
      </w:pPr>
      <w:r w:rsidRPr="0098635C">
        <w:rPr>
          <w:color w:val="000000" w:themeColor="text1"/>
          <w:sz w:val="20"/>
        </w:rPr>
        <w:t>Seim WK et al, 1984. Growth and survival of developing steelhead trout (</w:t>
      </w:r>
      <w:r w:rsidRPr="0098635C">
        <w:rPr>
          <w:i/>
          <w:color w:val="000000" w:themeColor="text1"/>
          <w:sz w:val="20"/>
        </w:rPr>
        <w:t>Salmo gairdneri</w:t>
      </w:r>
      <w:r w:rsidRPr="0098635C">
        <w:rPr>
          <w:color w:val="000000" w:themeColor="text1"/>
          <w:sz w:val="20"/>
        </w:rPr>
        <w:t xml:space="preserve">) continuously or intermittently exposure to copper. Can.J.Fish.Aquat.Sci. 41:433-438. </w:t>
      </w:r>
    </w:p>
    <w:p w14:paraId="6DA8BB49" w14:textId="77777777" w:rsidR="00F6174A" w:rsidRPr="0098635C" w:rsidRDefault="00F6174A" w:rsidP="00926614">
      <w:pPr>
        <w:spacing w:after="0"/>
        <w:ind w:left="567" w:hanging="567"/>
        <w:rPr>
          <w:color w:val="000000" w:themeColor="text1"/>
          <w:sz w:val="20"/>
          <w:szCs w:val="20"/>
        </w:rPr>
      </w:pPr>
      <w:bookmarkStart w:id="2070" w:name="d0e66056"/>
      <w:r w:rsidRPr="0098635C">
        <w:rPr>
          <w:rFonts w:eastAsiaTheme="minorEastAsia"/>
          <w:bCs/>
          <w:color w:val="000000" w:themeColor="text1"/>
          <w:sz w:val="20"/>
          <w:szCs w:val="20"/>
          <w:lang w:eastAsia="en-GB"/>
        </w:rPr>
        <w:t>Shuster, C. N. &amp; Pringle, B. H. (1969). Trace Metal Accumulation by the American Eastern Oyster, Crassostrea virginica. Proceedings of the National Shellfisheries Association. 59; 91-103.</w:t>
      </w:r>
    </w:p>
    <w:p w14:paraId="0607A099" w14:textId="06B0E38D" w:rsidR="00F6174A" w:rsidRPr="0098635C" w:rsidRDefault="00F6174A" w:rsidP="00926614">
      <w:pPr>
        <w:spacing w:after="0"/>
        <w:ind w:left="567" w:hanging="567"/>
        <w:rPr>
          <w:color w:val="000000" w:themeColor="text1"/>
          <w:sz w:val="20"/>
          <w:szCs w:val="20"/>
        </w:rPr>
      </w:pPr>
      <w:bookmarkStart w:id="2071" w:name="d0e66058"/>
      <w:bookmarkEnd w:id="2070"/>
      <w:r w:rsidRPr="0098635C">
        <w:rPr>
          <w:rFonts w:eastAsiaTheme="minorEastAsia"/>
          <w:bCs/>
          <w:color w:val="000000" w:themeColor="text1"/>
          <w:sz w:val="20"/>
          <w:szCs w:val="20"/>
          <w:lang w:eastAsia="en-GB"/>
        </w:rPr>
        <w:t>Shuster, C. N and Pringle, B. H. (1969). Effects of Trace Metals on Estuarine Molluscs. Proceedings of the 1st Mid-Atlantic Industrial Waste Conference. November 13-15, 1976.</w:t>
      </w:r>
      <w:bookmarkEnd w:id="2071"/>
    </w:p>
    <w:p w14:paraId="3E36054E"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Sideris EG, Charalambous SC, Tsolomyty A, Katsaros N, 1998. Mutagenesis, carcinogenesis and the metal elements – DNA interaction. Prog.Clin.Biol.Res. 259:13-25.</w:t>
      </w:r>
    </w:p>
    <w:p w14:paraId="55570BFE" w14:textId="7836B3D2" w:rsidR="00F6174A"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Simpson S et al, 2003. Effect of declining toxicant concentrations on algal bioassay endpoints. Environ.Toxicol.Chem. 22(9):2073-2079. </w:t>
      </w:r>
    </w:p>
    <w:p w14:paraId="0A4A3968"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Sina JF, Bean CL, Dysart GR, Taylor VI, Bradley MO, 1983. Evaluation of the alkaline elution/rat hepatocyte assay as a predictor of carcinogenic/mutagenic potential. Mutation Res. 113:357-391</w:t>
      </w:r>
    </w:p>
    <w:p w14:paraId="0DFF421E" w14:textId="7FDA3B51"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Skeaff JM, Hardy DJ, 2005.  Bioavailability test studies of copper and iron powder and of sintered alloys at pH 6.  CANMET-MMSL 04-041(CR)/Contract No. 602785.  Available from the VRAR, 2008, annex K4  (http://echa.europa.eu/chem_data/transit_measures/vrar_en.asp) </w:t>
      </w:r>
    </w:p>
    <w:p w14:paraId="14983A2A"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Skornik WA, Brain JD, 1983. Relative toxicity or inhaled metal sulphate salts for pulmonary macrophages. Am.Rev.Respir.Dis. 128:297-303.</w:t>
      </w:r>
    </w:p>
    <w:p w14:paraId="2EFC18C1" w14:textId="79D7A3C7" w:rsidR="00C24197" w:rsidRPr="0098635C" w:rsidRDefault="00C24197" w:rsidP="006E5329">
      <w:pPr>
        <w:pStyle w:val="BodyText"/>
        <w:spacing w:after="0"/>
        <w:ind w:left="567" w:hanging="567"/>
        <w:rPr>
          <w:color w:val="000000" w:themeColor="text1"/>
          <w:sz w:val="20"/>
        </w:rPr>
      </w:pPr>
      <w:r w:rsidRPr="0098635C">
        <w:rPr>
          <w:color w:val="000000" w:themeColor="text1"/>
          <w:sz w:val="20"/>
        </w:rPr>
        <w:t>Skujin</w:t>
      </w:r>
      <w:r w:rsidR="00DA0FBE" w:rsidRPr="0098635C">
        <w:rPr>
          <w:color w:val="000000" w:themeColor="text1"/>
          <w:sz w:val="20"/>
        </w:rPr>
        <w:t>s</w:t>
      </w:r>
      <w:r w:rsidRPr="0098635C">
        <w:rPr>
          <w:color w:val="000000" w:themeColor="text1"/>
          <w:sz w:val="20"/>
        </w:rPr>
        <w:t xml:space="preserve"> J, Nohrstedt H-O, Odén S, 1986. Development of a sensitive biological method for the determination of a low-level toxic contamination in soils.  Swed.J.Agric. 16:113-118.</w:t>
      </w:r>
    </w:p>
    <w:p w14:paraId="184E6022"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Smit CE, van Wezel AP, Jager T, Traas TP, 2000. RIVM Report n° 601501009 Secondary poisoning of Cd, Cu, Hg for the maximum permissible concentration in water, sediments and soils </w:t>
      </w:r>
    </w:p>
    <w:p w14:paraId="11CABECA" w14:textId="36D053BB" w:rsidR="00C24197" w:rsidRPr="0098635C" w:rsidRDefault="00F6174A" w:rsidP="00926614">
      <w:pPr>
        <w:spacing w:after="0"/>
        <w:ind w:left="567" w:hanging="567"/>
        <w:rPr>
          <w:color w:val="000000" w:themeColor="text1"/>
          <w:sz w:val="20"/>
          <w:szCs w:val="20"/>
        </w:rPr>
      </w:pPr>
      <w:bookmarkStart w:id="2072" w:name="d0e66068"/>
      <w:r w:rsidRPr="0098635C">
        <w:rPr>
          <w:rFonts w:eastAsiaTheme="minorEastAsia"/>
          <w:bCs/>
          <w:color w:val="000000" w:themeColor="text1"/>
          <w:sz w:val="20"/>
          <w:szCs w:val="20"/>
          <w:lang w:eastAsia="en-GB"/>
        </w:rPr>
        <w:t xml:space="preserve">Smith SH (1986). Dermal sensitization study in guinea pigs with purple copper 97N cuprous oxide. Testing laboratory: </w:t>
      </w:r>
      <w:r w:rsidRPr="0098635C">
        <w:rPr>
          <w:rFonts w:eastAsiaTheme="minorEastAsia"/>
          <w:bCs/>
          <w:color w:val="000000" w:themeColor="text1"/>
          <w:sz w:val="20"/>
          <w:szCs w:val="20"/>
          <w:lang w:eastAsia="en-GB"/>
        </w:rPr>
        <w:lastRenderedPageBreak/>
        <w:t>American Biogenics Corporation. Report no.: Study No.: 480-2833.</w:t>
      </w:r>
      <w:bookmarkEnd w:id="2072"/>
      <w:r w:rsidR="00847893" w:rsidRPr="0098635C">
        <w:rPr>
          <w:rFonts w:eastAsiaTheme="minorEastAsia"/>
          <w:bCs/>
          <w:color w:val="000000" w:themeColor="text1"/>
          <w:sz w:val="20"/>
          <w:szCs w:val="20"/>
          <w:lang w:eastAsia="en-GB"/>
        </w:rPr>
        <w:t xml:space="preserve"> Unpublished</w:t>
      </w:r>
    </w:p>
    <w:p w14:paraId="2A05F4F8"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Smolders E, Oorts K, 2004. Development of a predicitive model of bioavailability and toxicity of copper in soils: microbial toxicity. Testing laboratory: Laboratory of Soil and Water Management, Katholieke Universiteit Leuven. Report no.: no report number. </w:t>
      </w:r>
    </w:p>
    <w:p w14:paraId="4193A0AA" w14:textId="45FD4C1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Smyth DV, 2006. Copper: toxicity to the marine alga </w:t>
      </w:r>
      <w:r w:rsidRPr="0098635C">
        <w:rPr>
          <w:i/>
          <w:color w:val="000000" w:themeColor="text1"/>
          <w:sz w:val="20"/>
        </w:rPr>
        <w:t>Skeletonema costatum</w:t>
      </w:r>
      <w:r w:rsidRPr="0098635C">
        <w:rPr>
          <w:color w:val="000000" w:themeColor="text1"/>
          <w:sz w:val="20"/>
        </w:rPr>
        <w:t xml:space="preserve">. Testing laboratory: Brixham Environmental Laboratory, AstraZeneca UK Limited, Brixham, UK. Report no.: BEL report no BL8337/B. </w:t>
      </w:r>
      <w:r w:rsidR="009F120E" w:rsidRPr="0098635C">
        <w:rPr>
          <w:color w:val="000000" w:themeColor="text1"/>
          <w:sz w:val="20"/>
        </w:rPr>
        <w:t>Unpublished</w:t>
      </w:r>
    </w:p>
    <w:p w14:paraId="57877A0A" w14:textId="215CE580"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Smyth DV, Kent S, 2006. Copper: toxicity to the marine algae </w:t>
      </w:r>
      <w:r w:rsidRPr="0098635C">
        <w:rPr>
          <w:i/>
          <w:color w:val="000000" w:themeColor="text1"/>
          <w:sz w:val="20"/>
        </w:rPr>
        <w:t>Phaeodactylum tricornutum</w:t>
      </w:r>
      <w:r w:rsidRPr="0098635C">
        <w:rPr>
          <w:color w:val="000000" w:themeColor="text1"/>
          <w:sz w:val="20"/>
        </w:rPr>
        <w:t xml:space="preserve">. Testing laboratory: Brixham Environmental Laboratory, AstraZeneca UK Limited, Brixham, UK. Report no.: BEL report no. BL8338/B. </w:t>
      </w:r>
      <w:r w:rsidR="009F120E" w:rsidRPr="0098635C">
        <w:rPr>
          <w:color w:val="000000" w:themeColor="text1"/>
          <w:sz w:val="20"/>
        </w:rPr>
        <w:t>Unpublished</w:t>
      </w:r>
    </w:p>
    <w:p w14:paraId="0361BB23"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Solbé JF. de LG, Cooper VA, 1976. Studies on the toxicity of copper sulphate to stone loach </w:t>
      </w:r>
      <w:r w:rsidRPr="0098635C">
        <w:rPr>
          <w:i/>
          <w:color w:val="000000" w:themeColor="text1"/>
          <w:sz w:val="20"/>
        </w:rPr>
        <w:t>Noemacheilus barbatulus</w:t>
      </w:r>
      <w:r w:rsidRPr="0098635C">
        <w:rPr>
          <w:color w:val="000000" w:themeColor="text1"/>
          <w:sz w:val="20"/>
        </w:rPr>
        <w:t xml:space="preserve"> in hard water. Water Res. 10:523-527. </w:t>
      </w:r>
    </w:p>
    <w:p w14:paraId="5754D799"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Sorahan T, Lister A, Gilthorpe MS, Harrington JM, 1995. Mortality of copper cadmium alloy workers with special reference to lung cancer and non-malignant diseases of the respiratory system, 1946-92. Occup.Environ.Med. 52:804-12.</w:t>
      </w:r>
    </w:p>
    <w:p w14:paraId="6CDFF706"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Spear P, 1977. Copper accumulation kinetics and lethal tolerance in relation to fish size. Masters thesis biological science, 1977. Report date: 1977-04-01. </w:t>
      </w:r>
    </w:p>
    <w:p w14:paraId="67149757"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Spehar RL,  Fiandt JT, 1986. Acute and chronic effects of water quality criteria-based metal mixtures on three aquatic species. Environ.Toxicol.Chem. 5:917-931. </w:t>
      </w:r>
    </w:p>
    <w:p w14:paraId="1BFECFAE"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Spehar RL, Fiandt JT, 1985. Acute and chronic effects of water quality criteria based metal mixtures on three aquatic species. Environmental Research Laboratory, USEPA. Report No. EPA/600/3-85/074. </w:t>
      </w:r>
    </w:p>
    <w:p w14:paraId="19720F58"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Speir TW, Kettles HA, Percival HJ, Parshotam A, 1999. Is soil acidification the cause of biochemical response when soils are amended with heavy metal salts? Soil Biol.Biochem. 31:1953-1961. </w:t>
      </w:r>
    </w:p>
    <w:p w14:paraId="47C3613C"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Spitalny KC, Brondum J, Vogt RL, Sargent HE, Kappel S, 1984. Drinking-water-induced copper intoxication in a Vermont family. Pediatrics 74:1103-1106.</w:t>
      </w:r>
    </w:p>
    <w:p w14:paraId="2D761277"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Spurgeon D, Svendsen C, Kille P, Morgan A, Weeks J, 2004. Responses of earthworms (</w:t>
      </w:r>
      <w:r w:rsidRPr="0098635C">
        <w:rPr>
          <w:i/>
          <w:color w:val="000000" w:themeColor="text1"/>
          <w:sz w:val="20"/>
        </w:rPr>
        <w:t>Lumbricus rubellus</w:t>
      </w:r>
      <w:r w:rsidRPr="0098635C">
        <w:rPr>
          <w:color w:val="000000" w:themeColor="text1"/>
          <w:sz w:val="20"/>
        </w:rPr>
        <w:t xml:space="preserve">) to copper and cadmium as determined by measurement of juvenile traits in a specifically designed test system. Ecotoxicol.Environ.Safe. 57:54-64. </w:t>
      </w:r>
    </w:p>
    <w:p w14:paraId="25AF26A4"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Spurgeon DJ, Hopkin SP, 1995. Extrapolation of the laboratory-based OECD earthworm toxicity test to metal-contaminated field sites. Ecotoxicity 4:190-205. </w:t>
      </w:r>
    </w:p>
    <w:p w14:paraId="4B6A1906"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Spurgeon DJ, Hopkin SP, Jones DT, 1994. Effects of cadmium, copper, lead and zinc on growth, reproduction and survival of the earthworm </w:t>
      </w:r>
      <w:r w:rsidRPr="0098635C">
        <w:rPr>
          <w:i/>
          <w:color w:val="000000" w:themeColor="text1"/>
          <w:sz w:val="20"/>
        </w:rPr>
        <w:t>Eisenia fetida</w:t>
      </w:r>
      <w:r w:rsidRPr="0098635C">
        <w:rPr>
          <w:color w:val="000000" w:themeColor="text1"/>
          <w:sz w:val="20"/>
        </w:rPr>
        <w:t xml:space="preserve"> (Savigny): assessing the environmental impact of point-source metal contamination in terrestrial ecosystems. Environ.Pollut. 84:123-130. </w:t>
      </w:r>
    </w:p>
    <w:p w14:paraId="404EE4E7"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Srivastava AK, Gupta BN, Bihari V, Mathur N, Gaur JS, Mahendra PN, Kumar P, Bharti RS, 1992. Clinical studies in workers engaged in maintenance of watermark moulds in a paper mills. Int.Arch.Occup.Environ.Health 64:141-145.</w:t>
      </w:r>
    </w:p>
    <w:p w14:paraId="2DB05713"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Srivastava VK, Sengupta S, Kumar R, Misra UK, 1984) Distribution of metals of inhaled fly ash in various organs of rats at various periods after exposure. J.Environ.Sci.Health 19A:663-677.</w:t>
      </w:r>
    </w:p>
    <w:p w14:paraId="5A84E5C4" w14:textId="31AE3B84" w:rsidR="00F6174A" w:rsidRPr="0098635C" w:rsidRDefault="00F6174A" w:rsidP="00926614">
      <w:pPr>
        <w:spacing w:after="0"/>
        <w:ind w:left="567" w:hanging="567"/>
        <w:rPr>
          <w:color w:val="000000" w:themeColor="text1"/>
          <w:sz w:val="20"/>
          <w:szCs w:val="20"/>
        </w:rPr>
      </w:pPr>
      <w:bookmarkStart w:id="2073" w:name="d0e66102"/>
      <w:r w:rsidRPr="0098635C">
        <w:rPr>
          <w:rFonts w:eastAsiaTheme="minorEastAsia"/>
          <w:bCs/>
          <w:color w:val="000000" w:themeColor="text1"/>
          <w:sz w:val="20"/>
          <w:szCs w:val="20"/>
          <w:lang w:eastAsia="en-GB"/>
        </w:rPr>
        <w:t>Stagg, R. M. and Shuttleworth, T. J. (1982). The accumulation of copper in Platichthys flesus L. and its effects on plasma electrolyte concentrations. J Fish Biol 1982; 20:491-500.</w:t>
      </w:r>
      <w:bookmarkEnd w:id="2073"/>
    </w:p>
    <w:p w14:paraId="61092F9E"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Sterner W, Chibanguza G, 1988a. </w:t>
      </w:r>
      <w:r w:rsidRPr="0098635C">
        <w:rPr>
          <w:color w:val="000000" w:themeColor="text1"/>
          <w:sz w:val="20"/>
          <w:lang w:val="de-DE"/>
        </w:rPr>
        <w:t xml:space="preserve">Akute dermale Toxizität an Ratten mit Kupferoxychlorid – Limit Test. IBR. </w:t>
      </w:r>
      <w:r w:rsidRPr="0098635C">
        <w:rPr>
          <w:color w:val="000000" w:themeColor="text1"/>
          <w:sz w:val="20"/>
        </w:rPr>
        <w:t>Report No. 1-4-971-88. Unpublished.</w:t>
      </w:r>
    </w:p>
    <w:p w14:paraId="3874B7AF" w14:textId="12B723CA" w:rsidR="00C24197" w:rsidRPr="0098635C" w:rsidRDefault="00C24197" w:rsidP="006E5329">
      <w:pPr>
        <w:pStyle w:val="BodyText"/>
        <w:spacing w:after="0"/>
        <w:ind w:left="567" w:hanging="567"/>
        <w:rPr>
          <w:color w:val="000000" w:themeColor="text1"/>
          <w:sz w:val="20"/>
        </w:rPr>
      </w:pPr>
      <w:r w:rsidRPr="0098635C">
        <w:rPr>
          <w:color w:val="000000" w:themeColor="text1"/>
          <w:sz w:val="20"/>
        </w:rPr>
        <w:t>Sterner W, hibanguza G, 1988b. Acute dermal toxicity in rats with Copper-I-Oxide. Testing laboratory: International Bio Research. Report no.: Project No.: 1-4-1602-88. Report date: 1998-01-04.</w:t>
      </w:r>
      <w:r w:rsidR="009F120E" w:rsidRPr="0098635C">
        <w:rPr>
          <w:color w:val="000000" w:themeColor="text1"/>
          <w:sz w:val="20"/>
        </w:rPr>
        <w:t xml:space="preserve"> Unpublished</w:t>
      </w:r>
    </w:p>
    <w:p w14:paraId="70B79501"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Sterner W.  Chibanguza G, 1988c. Testing copper oxychloride on rabbits as a skin irritant.  IBR. Report No. 1-3-1314-88. Unpublished.</w:t>
      </w:r>
    </w:p>
    <w:p w14:paraId="4DDC3ECC"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Sterry W, Schmoll W, 1985. Contact urticaria and dermatitis from self-adhesive pads. Contact Dermatitis. 13(4):284-5. </w:t>
      </w:r>
    </w:p>
    <w:p w14:paraId="156206A2"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Stoner GD, Shimkin MB, Troxell MC, Thompson TL, Terry LS, 1976. Test for carcinogenicity of metallic compounds by the pulmonary tumour response in strain A mice. Cancer Res. 36:1744-1747.</w:t>
      </w:r>
    </w:p>
    <w:p w14:paraId="6CA52541"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Strandberg B, Axelsen JA, Pedersen MB, Jensen J, Attrill MJ, 2006. Effect of a copper gradient on plant community structure. Environ.Toxicol.Chem. 25(3):743-753. </w:t>
      </w:r>
    </w:p>
    <w:p w14:paraId="1693157E"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Sumino M, Hayakawa K, Shibata T, Kitamura S, 1975. Heavy metals in normal Japanese tissues. Arch.Environ.Health. 30:487-494.</w:t>
      </w:r>
    </w:p>
    <w:p w14:paraId="23AC4563"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Svendsen C, Weeks JM, 1997a. Relevance and applicability of a simple earthworm biomarker of copper exposure: I. Links to ecological effects in a laboratory study with </w:t>
      </w:r>
      <w:r w:rsidRPr="0098635C">
        <w:rPr>
          <w:i/>
          <w:color w:val="000000" w:themeColor="text1"/>
          <w:sz w:val="20"/>
        </w:rPr>
        <w:t>Eisenia andrei</w:t>
      </w:r>
      <w:r w:rsidRPr="0098635C">
        <w:rPr>
          <w:color w:val="000000" w:themeColor="text1"/>
          <w:sz w:val="20"/>
        </w:rPr>
        <w:t xml:space="preserve">. Ecotoxicol.Environ.Safe. 36:72-79. </w:t>
      </w:r>
    </w:p>
    <w:p w14:paraId="22EEACCD"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Svendsen C, Weeks JM, 1997b. Relevance and applicability of a simple earthworm biomarker of copper exposure. II Validation and applicability under field conditions in a mesocosm experiment with </w:t>
      </w:r>
      <w:r w:rsidRPr="0098635C">
        <w:rPr>
          <w:i/>
          <w:color w:val="000000" w:themeColor="text1"/>
          <w:sz w:val="20"/>
        </w:rPr>
        <w:t>Lumbricus rubellus</w:t>
      </w:r>
      <w:r w:rsidRPr="0098635C">
        <w:rPr>
          <w:color w:val="000000" w:themeColor="text1"/>
          <w:sz w:val="20"/>
        </w:rPr>
        <w:t xml:space="preserve">. Ecotoxicol.Environ.Safe. 36:80-88. </w:t>
      </w:r>
    </w:p>
    <w:p w14:paraId="3967F30A"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Takemoto K, Kawai H, Kuwahara T, Nishina M, Adachi S, 1991. Metal concentrations in human lung tissue, with special reference to age, sex, cause of death, emphysema and contamination of lung tissue. Int.Arch.Occup.Environ.Health 62:579-586.</w:t>
      </w:r>
    </w:p>
    <w:p w14:paraId="63E393CF"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Tambasco G et al, 2000. Phytoavailability of Cu and Zn to lettuce (</w:t>
      </w:r>
      <w:r w:rsidRPr="0098635C">
        <w:rPr>
          <w:i/>
          <w:color w:val="000000" w:themeColor="text1"/>
          <w:sz w:val="20"/>
        </w:rPr>
        <w:t>Lactuca sativa</w:t>
      </w:r>
      <w:r w:rsidRPr="0098635C">
        <w:rPr>
          <w:color w:val="000000" w:themeColor="text1"/>
          <w:sz w:val="20"/>
        </w:rPr>
        <w:t xml:space="preserve">) in contaminated urban soils. Can.J.Soil Sci. 80:309–317. </w:t>
      </w:r>
    </w:p>
    <w:p w14:paraId="2CAA497D"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lastRenderedPageBreak/>
        <w:t>Tanner MS, Kantarjian AH, Bhave SA, Pandit AN, 1983. Early introduction of copper-contaminated animal milk feeds as a possible cause of Indian childhood Cirrhosis. Lancet 2:992-995.</w:t>
      </w:r>
    </w:p>
    <w:p w14:paraId="1BD1F95C"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Tanner MS, Portman B, Mowat AP, Williams R, Pandit AN, Mills CF, Bremner I, 1979. Increased hepatic copper concentration in Indian childhood cirrhosis. Lancet 1:1203-1205.</w:t>
      </w:r>
    </w:p>
    <w:p w14:paraId="6157F3B2"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Tappin AD, Millward GE, Statham PJ, Burton JD, Morris A, 1995. Trace metals in the Central and Southern North Sea. Est.Coast.Shelf Sci. 41:275-323. </w:t>
      </w:r>
    </w:p>
    <w:p w14:paraId="062CD320"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Taylor EJ et al, 1991. Evaluation of a chronic toxicity test using growth of the insect </w:t>
      </w:r>
      <w:r w:rsidRPr="0098635C">
        <w:rPr>
          <w:i/>
          <w:color w:val="000000" w:themeColor="text1"/>
          <w:sz w:val="20"/>
        </w:rPr>
        <w:t>Chironomus riparius</w:t>
      </w:r>
      <w:r w:rsidRPr="0098635C">
        <w:rPr>
          <w:color w:val="000000" w:themeColor="text1"/>
          <w:sz w:val="20"/>
        </w:rPr>
        <w:t xml:space="preserve"> Meigen. In: Bioindicators and Environmental Management. Jeffrey DW, Madden (Eds). Academic Press, p343-352. </w:t>
      </w:r>
    </w:p>
    <w:p w14:paraId="00AC35D7"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Taylor LN et al, 2000. Physiological effects of chronic copper exposure to rainbow trout (</w:t>
      </w:r>
      <w:r w:rsidRPr="0098635C">
        <w:rPr>
          <w:i/>
          <w:color w:val="000000" w:themeColor="text1"/>
          <w:sz w:val="20"/>
        </w:rPr>
        <w:t>Oncorhynchus mykiss</w:t>
      </w:r>
      <w:r w:rsidRPr="0098635C">
        <w:rPr>
          <w:color w:val="000000" w:themeColor="text1"/>
          <w:sz w:val="20"/>
        </w:rPr>
        <w:t xml:space="preserve">) in hard and soft water: evaluation of chronic indicators. Environ.Toxicol.Chem. 19(9):2298–2308. </w:t>
      </w:r>
    </w:p>
    <w:p w14:paraId="699A29F5"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Teisseire H et al, 1998. Toxic responses and catalase activity of Lemna minor exposed to folpet, copper and their combination. Ecotoxicol.Environ.Safe. 40:194-200. </w:t>
      </w:r>
    </w:p>
    <w:p w14:paraId="5A488654"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Thompson KW, Hendricks AC, Cairns J Jr, 1980. Acute toxicity of zinc and coper singly and in combination to the Bluegill (</w:t>
      </w:r>
      <w:r w:rsidRPr="0098635C">
        <w:rPr>
          <w:i/>
          <w:color w:val="000000" w:themeColor="text1"/>
          <w:sz w:val="20"/>
        </w:rPr>
        <w:t>Lepomis macrochirus</w:t>
      </w:r>
      <w:r w:rsidRPr="0098635C">
        <w:rPr>
          <w:color w:val="000000" w:themeColor="text1"/>
          <w:sz w:val="20"/>
        </w:rPr>
        <w:t xml:space="preserve">). Bull.Environ.Contam.Toxicol. 25:122-129. </w:t>
      </w:r>
    </w:p>
    <w:p w14:paraId="2B562028"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Timmermans KR, Walker PA, 1989. The fate of trace metals during metamorphosis of chrionomids (Diptera, Chironomidae). Environ.Pollut. 62:73-85. </w:t>
      </w:r>
    </w:p>
    <w:p w14:paraId="221C57A1"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Tinwell H, Ashby J, 1990. Inactivity of copper sulphate in a mouse bone-marrow micronucleus assay. Mutation Res. 245:223-226.</w:t>
      </w:r>
    </w:p>
    <w:p w14:paraId="345A7EB3"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Tipping E, Lofts S, Lawlor AJ, 1998. Modelling the chemical speciation of trace metals in the surface waters of the Humber system. Sci.Total Environ. 210/211:63-77. </w:t>
      </w:r>
    </w:p>
    <w:p w14:paraId="0EBB703F"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Toyokuni S, Sagripanti JL, 1994. Increased 8-hydroxydeoxyguanosine in kidney and liver of rats continuously exposed to copper. Toxicol.Applied Pharmacol. 126:91-97.</w:t>
      </w:r>
    </w:p>
    <w:p w14:paraId="47CDE4D9"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Trama FB, 1954. The acute toxicity of copper to the common bluegill. Not.Natur.Ac. Nat.Sci.Phil. 257:1-13. </w:t>
      </w:r>
    </w:p>
    <w:p w14:paraId="40D12901" w14:textId="77777777" w:rsidR="00C24197" w:rsidRPr="0098635C" w:rsidRDefault="00C24197" w:rsidP="006E5329">
      <w:pPr>
        <w:pStyle w:val="BodyText"/>
        <w:spacing w:after="0"/>
        <w:ind w:left="567" w:hanging="567"/>
        <w:rPr>
          <w:color w:val="000000" w:themeColor="text1"/>
          <w:sz w:val="20"/>
          <w:lang w:val="de-DE"/>
        </w:rPr>
      </w:pPr>
      <w:r w:rsidRPr="0098635C">
        <w:rPr>
          <w:color w:val="000000" w:themeColor="text1"/>
          <w:sz w:val="20"/>
        </w:rPr>
        <w:t xml:space="preserve">Treble RG, Thompson TS, Lynch HR, 1998. Determination of copper, manganese and zinc in human liver. </w:t>
      </w:r>
      <w:r w:rsidRPr="0098635C">
        <w:rPr>
          <w:color w:val="000000" w:themeColor="text1"/>
          <w:sz w:val="20"/>
          <w:lang w:val="de-DE"/>
        </w:rPr>
        <w:t>BioMetals 11:49-53.</w:t>
      </w:r>
    </w:p>
    <w:p w14:paraId="331EF2D7"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de-DE"/>
        </w:rPr>
        <w:t xml:space="preserve">Trollmann R, Neureiter D, Lang T, Dörr HG, Behrens R, 1999. </w:t>
      </w:r>
      <w:r w:rsidRPr="0098635C">
        <w:rPr>
          <w:color w:val="000000" w:themeColor="text1"/>
          <w:sz w:val="20"/>
        </w:rPr>
        <w:t>Late manifestation of Indian childhood cirrhosis in a 3-year-old German girl. Eur.J.Pediatr. 158:373-378.</w:t>
      </w:r>
    </w:p>
    <w:p w14:paraId="4556F606"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Tso W-W, Fung W-P, 1981. Mutagenicity of metallic cations. Toxicol.Lett. 8:195-200.</w:t>
      </w:r>
    </w:p>
    <w:p w14:paraId="34292ECE"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Tsuchiyama F, Hisanaga N, Shibata E, Aoki T, Takagi H, Ando T, Takeuchi Y, 1997. Pulmonary metal distribution in urban dwellers. Int.Arch.Occup.Environ.Health 70:77-84.</w:t>
      </w:r>
    </w:p>
    <w:p w14:paraId="2AF55A85"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it-IT"/>
        </w:rPr>
        <w:t xml:space="preserve">Turner A, Martino M, Le Roux SM, 2002. </w:t>
      </w:r>
      <w:r w:rsidRPr="0098635C">
        <w:rPr>
          <w:color w:val="000000" w:themeColor="text1"/>
          <w:sz w:val="20"/>
        </w:rPr>
        <w:t xml:space="preserve">Trace metal distribution coefficients in the Mersey estuary, UK: evidence for salting out of metal complexes. Environ.Sci.Technol. 36:4578-4584. </w:t>
      </w:r>
    </w:p>
    <w:p w14:paraId="219E774F"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Turner A, Millward GE, Schuchardt B, Schirmer M, Prange A, 1992. Trace metal distribution coefficients in the Weser Estuary. Cont.Shelf Res. 12(11):1277-1292. </w:t>
      </w:r>
    </w:p>
    <w:p w14:paraId="5753E71E"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Turnlund JR, Jacob RA, Keen CL, Strain JJ, Kelley DS, Domek JM, Keyes WR, Ensunsa JL, Lykkesfeldt J, Coulter J, 2004. Long-term high copper intake: effects on indexes of copper status, antioxidant status, and immune function in young men. Am.J.Clin.Nutr. 79:1037-1044.</w:t>
      </w:r>
    </w:p>
    <w:p w14:paraId="48D6466F"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Turnlund JR, Keyes WR, Anderson HL, Acord LL, 1989. Copper absorption and retention in young men at three levels of dietary copper by use of the stable isotope 65Cu. Am.J.Clin.Nutr. 49:870-878.</w:t>
      </w:r>
    </w:p>
    <w:p w14:paraId="5F58F6AD"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Turnlund JR, Keyes WR, Kim SK, Domek JM, 2005. Long-term high copper intake: effects on copper absorption, retention, and homeostasis in men. Am.J.Clin.Nutr. 81(4):822-828.</w:t>
      </w:r>
    </w:p>
    <w:p w14:paraId="72FC2954"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Turnlund JR, Keyes WR, Peiffer GL, Scott KC, 1998a. Copper absorption, excretion and retention by young men consuming low dietary copper determined by using the stable isotope 65Cu. Am.J.Clin.Nutr. 67:1219-1225.</w:t>
      </w:r>
    </w:p>
    <w:p w14:paraId="4ECA7D97" w14:textId="208DF74F" w:rsidR="00C24197" w:rsidRPr="0098635C" w:rsidRDefault="00F6174A" w:rsidP="001D4BD3">
      <w:pPr>
        <w:spacing w:after="0"/>
        <w:ind w:left="567" w:hanging="567"/>
        <w:rPr>
          <w:color w:val="000000" w:themeColor="text1"/>
          <w:sz w:val="20"/>
          <w:szCs w:val="20"/>
        </w:rPr>
      </w:pPr>
      <w:bookmarkStart w:id="2074" w:name="d0e66164"/>
      <w:r w:rsidRPr="0098635C">
        <w:rPr>
          <w:rFonts w:eastAsiaTheme="minorEastAsia"/>
          <w:bCs/>
          <w:color w:val="000000" w:themeColor="text1"/>
          <w:sz w:val="20"/>
          <w:szCs w:val="20"/>
          <w:lang w:eastAsia="en-GB"/>
        </w:rPr>
        <w:t>Turnlund J, Keen C, Smith R (1990). Copper status and urinary and salivary copper in young men at three levels of dietary copper. Am J Clin Nutr 51:658-664.</w:t>
      </w:r>
      <w:bookmarkEnd w:id="2074"/>
    </w:p>
    <w:p w14:paraId="4940F048" w14:textId="0722DC9F" w:rsidR="00C24197" w:rsidRPr="0098635C" w:rsidRDefault="00F6174A" w:rsidP="001D4BD3">
      <w:pPr>
        <w:spacing w:after="0"/>
        <w:ind w:left="567" w:hanging="567"/>
        <w:rPr>
          <w:color w:val="000000" w:themeColor="text1"/>
          <w:sz w:val="20"/>
          <w:szCs w:val="20"/>
        </w:rPr>
      </w:pPr>
      <w:bookmarkStart w:id="2075" w:name="d0e66166"/>
      <w:r w:rsidRPr="0098635C">
        <w:rPr>
          <w:rFonts w:eastAsiaTheme="minorEastAsia"/>
          <w:bCs/>
          <w:color w:val="000000" w:themeColor="text1"/>
          <w:sz w:val="20"/>
          <w:szCs w:val="20"/>
          <w:lang w:eastAsia="en-GB"/>
        </w:rPr>
        <w:t>Turnlund J, Scott K, Peiffer G, Jang A, Keyes W, Keen C, Sakanashi T (1997). Copper status of young men consuming a low-copper diet. Am. J. Clin. Nutr. 65:72-78.</w:t>
      </w:r>
      <w:bookmarkEnd w:id="2075"/>
    </w:p>
    <w:p w14:paraId="5B4EDF9C"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Valenta P, Duursma EK, Merks AGA, Rutzel H, Nurnberg HW, 1986. Distribution of Cd, Pb and Cu between the dissolved and particulate phase in the eastern Scheldt and western Scheldt estuary. Sci.Total Environ. 53:41-76. </w:t>
      </w:r>
    </w:p>
    <w:p w14:paraId="7BE53B42" w14:textId="77777777" w:rsidR="00C24197" w:rsidRPr="0098635C" w:rsidRDefault="00C24197" w:rsidP="006E5329">
      <w:pPr>
        <w:pStyle w:val="BodyText"/>
        <w:spacing w:after="0"/>
        <w:ind w:left="567" w:hanging="567"/>
        <w:rPr>
          <w:color w:val="000000" w:themeColor="text1"/>
          <w:sz w:val="20"/>
          <w:lang w:val="nl-NL"/>
        </w:rPr>
      </w:pPr>
      <w:r w:rsidRPr="0098635C">
        <w:rPr>
          <w:color w:val="000000" w:themeColor="text1"/>
          <w:sz w:val="20"/>
        </w:rPr>
        <w:t xml:space="preserve">Van den Berg GJ, Beynen A, 1992. Influence of ascorbic acid supplementation on copper metabolism in rats. </w:t>
      </w:r>
      <w:r w:rsidRPr="0098635C">
        <w:rPr>
          <w:color w:val="000000" w:themeColor="text1"/>
          <w:sz w:val="20"/>
          <w:lang w:val="nl-NL"/>
        </w:rPr>
        <w:t>British Journal of Nutrition 68:701-715.</w:t>
      </w:r>
    </w:p>
    <w:p w14:paraId="241F6025" w14:textId="77777777" w:rsidR="00C24197" w:rsidRPr="0098635C" w:rsidRDefault="00C24197" w:rsidP="006E5329">
      <w:pPr>
        <w:pStyle w:val="BodyText"/>
        <w:spacing w:after="0"/>
        <w:ind w:left="567" w:hanging="567"/>
        <w:rPr>
          <w:color w:val="000000" w:themeColor="text1"/>
          <w:sz w:val="20"/>
          <w:lang w:val="nl-BE"/>
        </w:rPr>
      </w:pPr>
      <w:r w:rsidRPr="0098635C">
        <w:rPr>
          <w:color w:val="000000" w:themeColor="text1"/>
          <w:sz w:val="20"/>
          <w:lang w:val="nl-NL"/>
        </w:rPr>
        <w:t xml:space="preserve">Van den Berg GJ, Wolterbeek HT, de Goeij JJM Beynen AC, 1995. </w:t>
      </w:r>
      <w:r w:rsidRPr="0098635C">
        <w:rPr>
          <w:color w:val="000000" w:themeColor="text1"/>
          <w:sz w:val="20"/>
        </w:rPr>
        <w:t xml:space="preserve">Absorption and retention studies of trace elements and minerals in rats using radiotracers and whole-body counting. </w:t>
      </w:r>
      <w:r w:rsidRPr="0098635C">
        <w:rPr>
          <w:color w:val="000000" w:themeColor="text1"/>
          <w:sz w:val="20"/>
          <w:lang w:val="nl-BE"/>
        </w:rPr>
        <w:t>Lab.Anim. 29:66-77.</w:t>
      </w:r>
    </w:p>
    <w:p w14:paraId="3BCB27F5" w14:textId="7B5CD878" w:rsidR="00F16927" w:rsidRPr="0098635C" w:rsidRDefault="00C24197" w:rsidP="006E5329">
      <w:pPr>
        <w:pStyle w:val="BodyText"/>
        <w:spacing w:after="0"/>
        <w:ind w:left="567" w:hanging="567"/>
        <w:rPr>
          <w:color w:val="000000" w:themeColor="text1"/>
          <w:sz w:val="20"/>
        </w:rPr>
      </w:pPr>
      <w:r w:rsidRPr="0098635C">
        <w:rPr>
          <w:color w:val="000000" w:themeColor="text1"/>
          <w:sz w:val="20"/>
          <w:lang w:val="nl-BE"/>
        </w:rPr>
        <w:t xml:space="preserve">Van den Berg GJ, Yu S, Lemmens AG, Beynen AC, 1994. </w:t>
      </w:r>
      <w:r w:rsidRPr="0098635C">
        <w:rPr>
          <w:color w:val="000000" w:themeColor="text1"/>
          <w:sz w:val="20"/>
        </w:rPr>
        <w:t>Ascorbic acid feeding of rats reduces copper absorption, causing impaired copper status and depressed biliary copper excretion. Biol.Trace Elem.Res. 41(1-2):47-58.</w:t>
      </w:r>
    </w:p>
    <w:p w14:paraId="6FF98DEE" w14:textId="7767F370" w:rsidR="00F16927" w:rsidRPr="0098635C" w:rsidRDefault="00DE338A" w:rsidP="006E5329">
      <w:pPr>
        <w:pStyle w:val="BodyText"/>
        <w:spacing w:after="0"/>
        <w:ind w:left="567" w:hanging="567"/>
        <w:rPr>
          <w:rFonts w:eastAsiaTheme="minorEastAsia"/>
          <w:bCs/>
          <w:color w:val="000000" w:themeColor="text1"/>
          <w:sz w:val="20"/>
          <w:lang w:val="nl-BE" w:eastAsia="en-GB"/>
        </w:rPr>
      </w:pPr>
      <w:r w:rsidRPr="0098635C">
        <w:rPr>
          <w:rFonts w:eastAsiaTheme="minorEastAsia"/>
          <w:bCs/>
          <w:color w:val="000000" w:themeColor="text1"/>
          <w:sz w:val="20"/>
          <w:lang w:eastAsia="en-GB"/>
        </w:rPr>
        <w:t>V</w:t>
      </w:r>
      <w:r w:rsidR="00F16927" w:rsidRPr="0098635C">
        <w:rPr>
          <w:rFonts w:eastAsiaTheme="minorEastAsia"/>
          <w:bCs/>
          <w:color w:val="000000" w:themeColor="text1"/>
          <w:sz w:val="20"/>
          <w:lang w:eastAsia="en-GB"/>
        </w:rPr>
        <w:t xml:space="preserve">an den Berg, G. J. and McArdle, H. J. (1994). A plasma membrane NADH oxidase is involved in copper uptake by plasma membrane vesicles isolated from rat liver. </w:t>
      </w:r>
      <w:r w:rsidR="00F16927" w:rsidRPr="0098635C">
        <w:rPr>
          <w:rFonts w:eastAsiaTheme="minorEastAsia"/>
          <w:bCs/>
          <w:color w:val="000000" w:themeColor="text1"/>
          <w:sz w:val="20"/>
          <w:lang w:val="nl-BE" w:eastAsia="en-GB"/>
        </w:rPr>
        <w:t>Biochimica et Biophy</w:t>
      </w:r>
      <w:r w:rsidRPr="0098635C">
        <w:rPr>
          <w:rFonts w:eastAsiaTheme="minorEastAsia"/>
          <w:bCs/>
          <w:color w:val="000000" w:themeColor="text1"/>
          <w:sz w:val="20"/>
          <w:lang w:val="nl-BE" w:eastAsia="en-GB"/>
        </w:rPr>
        <w:t>sica Acta 1195 (1994), 276-280</w:t>
      </w:r>
    </w:p>
    <w:p w14:paraId="4DBD6113" w14:textId="77777777" w:rsidR="00C24197" w:rsidRPr="0098635C" w:rsidRDefault="00C24197" w:rsidP="006E5329">
      <w:pPr>
        <w:pStyle w:val="BodyText"/>
        <w:spacing w:after="0"/>
        <w:ind w:left="567" w:hanging="567"/>
        <w:rPr>
          <w:color w:val="000000" w:themeColor="text1"/>
          <w:sz w:val="20"/>
          <w:lang w:val="nl-NL"/>
        </w:rPr>
      </w:pPr>
      <w:r w:rsidRPr="0098635C">
        <w:rPr>
          <w:color w:val="000000" w:themeColor="text1"/>
          <w:sz w:val="20"/>
          <w:lang w:val="nl-NL"/>
        </w:rPr>
        <w:t xml:space="preserve">Van Der Kooij LA, Van De Meent D, Van Leeuwen CJ, Bruggeman WA, 1991. </w:t>
      </w:r>
      <w:r w:rsidRPr="0098635C">
        <w:rPr>
          <w:color w:val="000000" w:themeColor="text1"/>
          <w:sz w:val="20"/>
        </w:rPr>
        <w:t xml:space="preserve">Deriving quality criteria for water and sediment from the results of aquatic toxicity tests and product standards: application of the equilibrium partitioning method. </w:t>
      </w:r>
      <w:r w:rsidRPr="0098635C">
        <w:rPr>
          <w:color w:val="000000" w:themeColor="text1"/>
          <w:sz w:val="20"/>
          <w:lang w:val="nl-NL"/>
        </w:rPr>
        <w:t xml:space="preserve">Wat.Res. 25(6):697-705. </w:t>
      </w:r>
    </w:p>
    <w:p w14:paraId="7541FE93" w14:textId="77777777" w:rsidR="00C24197" w:rsidRPr="0098635C" w:rsidRDefault="00C24197" w:rsidP="006E5329">
      <w:pPr>
        <w:pStyle w:val="BodyText"/>
        <w:spacing w:after="0"/>
        <w:ind w:left="567" w:hanging="567"/>
        <w:rPr>
          <w:color w:val="000000" w:themeColor="text1"/>
          <w:sz w:val="20"/>
          <w:lang w:val="nl-NL"/>
        </w:rPr>
      </w:pPr>
      <w:r w:rsidRPr="0098635C">
        <w:rPr>
          <w:color w:val="000000" w:themeColor="text1"/>
          <w:sz w:val="20"/>
          <w:lang w:val="nl-NL"/>
        </w:rPr>
        <w:lastRenderedPageBreak/>
        <w:t xml:space="preserve">Van Dis WA, Van Gestel CAM, Sparenburg PM, 1988. Ontwikkeling van een toets ter bepaling van sublethale effecten van chemische stoffen op regenwormen. RIVM expert report. Report no.: 718480002. </w:t>
      </w:r>
    </w:p>
    <w:p w14:paraId="7FD04416" w14:textId="77777777" w:rsidR="00C24197" w:rsidRPr="0098635C" w:rsidRDefault="00C24197" w:rsidP="006E5329">
      <w:pPr>
        <w:pStyle w:val="BodyText"/>
        <w:spacing w:after="0"/>
        <w:ind w:left="567" w:hanging="567"/>
        <w:rPr>
          <w:color w:val="000000" w:themeColor="text1"/>
          <w:sz w:val="20"/>
          <w:lang w:val="nl-NL"/>
        </w:rPr>
      </w:pPr>
      <w:r w:rsidRPr="0098635C">
        <w:rPr>
          <w:color w:val="000000" w:themeColor="text1"/>
          <w:sz w:val="20"/>
          <w:lang w:val="nl-NL"/>
        </w:rPr>
        <w:t xml:space="preserve">Van Gestel CAM et al, 1989. Toxiciteit en bioaccumulatie van chroom (III) nitraat i de regenworm </w:t>
      </w:r>
      <w:r w:rsidRPr="0098635C">
        <w:rPr>
          <w:i/>
          <w:color w:val="000000" w:themeColor="text1"/>
          <w:sz w:val="20"/>
          <w:lang w:val="nl-NL"/>
        </w:rPr>
        <w:t>Eisenia andrei</w:t>
      </w:r>
      <w:r w:rsidRPr="0098635C">
        <w:rPr>
          <w:color w:val="000000" w:themeColor="text1"/>
          <w:sz w:val="20"/>
          <w:lang w:val="nl-NL"/>
        </w:rPr>
        <w:t xml:space="preserve"> in de kunstgrond. RIVM Biltshoven Rapp. 758707001. </w:t>
      </w:r>
    </w:p>
    <w:p w14:paraId="73D0F567"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nl-NL"/>
        </w:rPr>
        <w:t xml:space="preserve">Van Gestel CAM, Doornekamp A, 1998. </w:t>
      </w:r>
      <w:r w:rsidRPr="0098635C">
        <w:rPr>
          <w:color w:val="000000" w:themeColor="text1"/>
          <w:sz w:val="20"/>
        </w:rPr>
        <w:t xml:space="preserve">Tests on the oribatid mite, </w:t>
      </w:r>
      <w:r w:rsidRPr="0098635C">
        <w:rPr>
          <w:i/>
          <w:color w:val="000000" w:themeColor="text1"/>
          <w:sz w:val="20"/>
        </w:rPr>
        <w:t>Platynothrus peltifo</w:t>
      </w:r>
      <w:r w:rsidRPr="0098635C">
        <w:rPr>
          <w:color w:val="000000" w:themeColor="text1"/>
          <w:sz w:val="20"/>
        </w:rPr>
        <w:t xml:space="preserve">. In: Handbook of Soil Invertebrate Toxicity Tests. pp 113-130 Ed. Lokke H, Van Gestel CAM. J. Wiley and Sons Ltd, Chichester, UK. </w:t>
      </w:r>
    </w:p>
    <w:p w14:paraId="32636289" w14:textId="77777777" w:rsidR="00C24197" w:rsidRPr="0098635C" w:rsidRDefault="00C24197" w:rsidP="006E5329">
      <w:pPr>
        <w:pStyle w:val="BodyText"/>
        <w:spacing w:after="0"/>
        <w:ind w:left="567" w:hanging="567"/>
        <w:rPr>
          <w:color w:val="000000" w:themeColor="text1"/>
          <w:sz w:val="20"/>
          <w:lang w:val="nl-NL"/>
        </w:rPr>
      </w:pPr>
      <w:r w:rsidRPr="0098635C">
        <w:rPr>
          <w:color w:val="000000" w:themeColor="text1"/>
          <w:sz w:val="20"/>
          <w:lang w:val="nl-NL"/>
        </w:rPr>
        <w:t xml:space="preserve">Van Gestel CAM, Van Dis WA, Breemen EM, Sparenburg PM, 1989a. </w:t>
      </w:r>
      <w:r w:rsidRPr="0098635C">
        <w:rPr>
          <w:color w:val="000000" w:themeColor="text1"/>
          <w:sz w:val="20"/>
        </w:rPr>
        <w:t xml:space="preserve">Development of a standardised reproduction toxicity test with the earthworm species </w:t>
      </w:r>
      <w:r w:rsidRPr="0098635C">
        <w:rPr>
          <w:i/>
          <w:color w:val="000000" w:themeColor="text1"/>
          <w:sz w:val="20"/>
        </w:rPr>
        <w:t>Eisenia fetida andrei</w:t>
      </w:r>
      <w:r w:rsidRPr="0098635C">
        <w:rPr>
          <w:color w:val="000000" w:themeColor="text1"/>
          <w:sz w:val="20"/>
        </w:rPr>
        <w:t xml:space="preserve"> using copper, pentachlorophenol and 2,4-Dichloroaniline. </w:t>
      </w:r>
      <w:r w:rsidRPr="0098635C">
        <w:rPr>
          <w:color w:val="000000" w:themeColor="text1"/>
          <w:sz w:val="20"/>
          <w:lang w:val="nl-NL"/>
        </w:rPr>
        <w:t xml:space="preserve">Ecotoxicol.Environ.Safe. 18:305-312. </w:t>
      </w:r>
    </w:p>
    <w:p w14:paraId="29C7EDD3"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nl-NL"/>
        </w:rPr>
        <w:t xml:space="preserve">Van Gestel CAM, Van Dis WA, Dirven-van Breeman EM, Sparenburg PM, Baerselman R, 1991. </w:t>
      </w:r>
      <w:r w:rsidRPr="0098635C">
        <w:rPr>
          <w:color w:val="000000" w:themeColor="text1"/>
          <w:sz w:val="20"/>
        </w:rPr>
        <w:t xml:space="preserve">Influence of cadmium, copper and pentachlorophenol on growth and sexual development of </w:t>
      </w:r>
      <w:r w:rsidRPr="0098635C">
        <w:rPr>
          <w:i/>
          <w:color w:val="000000" w:themeColor="text1"/>
          <w:sz w:val="20"/>
        </w:rPr>
        <w:t>Eisenia andrei</w:t>
      </w:r>
      <w:r w:rsidRPr="0098635C">
        <w:rPr>
          <w:color w:val="000000" w:themeColor="text1"/>
          <w:sz w:val="20"/>
        </w:rPr>
        <w:t xml:space="preserve"> (Oligochaeta; Annelida). Biol.Fert.Soils. 12:117-121. </w:t>
      </w:r>
    </w:p>
    <w:p w14:paraId="75FB7923"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Van Leeuwen CJ et al, 1988. Intermittent flow system for population studies demonstrated with </w:t>
      </w:r>
      <w:r w:rsidRPr="0098635C">
        <w:rPr>
          <w:i/>
          <w:color w:val="000000" w:themeColor="text1"/>
          <w:sz w:val="20"/>
        </w:rPr>
        <w:t>Daphnia</w:t>
      </w:r>
      <w:r w:rsidRPr="0098635C">
        <w:rPr>
          <w:color w:val="000000" w:themeColor="text1"/>
          <w:sz w:val="20"/>
        </w:rPr>
        <w:t xml:space="preserve"> and copper. Bull.Environ.Contam.Toxicol. 40:496-502. </w:t>
      </w:r>
    </w:p>
    <w:p w14:paraId="4B632A7A"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Vesely J, Majer V, Kucera J, Havranek V, 2001. Solid-water partitioning of elements in Czech freshwaters. Appl.Geochem. 16:437-450. </w:t>
      </w:r>
    </w:p>
    <w:p w14:paraId="3661606A"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Viren JR, Silvers A, 1994. Unit risk estimates for airborne arsenic exposure: an updated view based on recent data from two copper smelter cohorts. Reg.Toxicol.Pharmacol 20:125-138.</w:t>
      </w:r>
    </w:p>
    <w:p w14:paraId="50BC9108"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Waiwood KG, Beamish FWH, 1978a. The effect of copper, hardness and pH on the growth of rainbow trout, </w:t>
      </w:r>
      <w:r w:rsidRPr="0098635C">
        <w:rPr>
          <w:i/>
          <w:color w:val="000000" w:themeColor="text1"/>
          <w:sz w:val="20"/>
        </w:rPr>
        <w:t>Salmo gairdneri</w:t>
      </w:r>
      <w:r w:rsidRPr="0098635C">
        <w:rPr>
          <w:color w:val="000000" w:themeColor="text1"/>
          <w:sz w:val="20"/>
        </w:rPr>
        <w:t xml:space="preserve">. J.Fish Biol. 13:591-598. </w:t>
      </w:r>
    </w:p>
    <w:p w14:paraId="6D14C788"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Waiwood KG, Beamish FWH, 1978b. Effects of copper, pH and hardness the critical swimming performance of rainbow trout (</w:t>
      </w:r>
      <w:r w:rsidRPr="0098635C">
        <w:rPr>
          <w:i/>
          <w:color w:val="000000" w:themeColor="text1"/>
          <w:sz w:val="20"/>
        </w:rPr>
        <w:t>Salmo gairdneri</w:t>
      </w:r>
      <w:r w:rsidRPr="0098635C">
        <w:rPr>
          <w:color w:val="000000" w:themeColor="text1"/>
          <w:sz w:val="20"/>
        </w:rPr>
        <w:t xml:space="preserve"> Richardson). J.Fish Biol. 12:611-619. </w:t>
      </w:r>
    </w:p>
    <w:p w14:paraId="51378E43"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Walker DJ, 1990. Copper oxychloride tech: Buehler delayed contact hypersensitivity study in the guinea pig. Safepharm Laboratories Limited. Report No. 205/43. Unpublished.</w:t>
      </w:r>
    </w:p>
    <w:p w14:paraId="5B5982DF"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Walker-Smith JA, Blomfield J, 1973. Wilson’s disease or chronic copper poisoning? Arch.Dis.Child. 48:958-962.</w:t>
      </w:r>
    </w:p>
    <w:p w14:paraId="13FE7962"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Wang WX, 2002. Interactions of trace metals and different marine food chains. Mar.Ecol.Progr.Ser. 243:259-309. </w:t>
      </w:r>
    </w:p>
    <w:p w14:paraId="118F9810" w14:textId="46858543" w:rsidR="00BE38B4" w:rsidRPr="0098635C" w:rsidRDefault="00FB1C7C" w:rsidP="006E5329">
      <w:pPr>
        <w:pStyle w:val="BodyText"/>
        <w:spacing w:after="0"/>
        <w:ind w:left="567" w:hanging="567"/>
        <w:rPr>
          <w:color w:val="000000" w:themeColor="text1"/>
          <w:sz w:val="20"/>
        </w:rPr>
      </w:pPr>
      <w:r w:rsidRPr="0098635C">
        <w:rPr>
          <w:color w:val="000000" w:themeColor="text1"/>
          <w:sz w:val="20"/>
        </w:rPr>
        <w:t>Wang Y, Ou Y_L, Liu Y-Q, Xie Q, Liu Q-F, Wu Q, Fan T-Q, Yan L-L, Wang J-Y, 2012. Correlations of trace element levels in the diet, blood, urine, and feces in the Chinese male. Biological Trace Element Research 145(2):127:135.</w:t>
      </w:r>
    </w:p>
    <w:p w14:paraId="24836C4F" w14:textId="7CC719E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Ward PJ, 1994. Copper II sulphate pentahydrate: measurement of unscheduled DNA synthesis in rat liver using an </w:t>
      </w:r>
      <w:r w:rsidRPr="0098635C">
        <w:rPr>
          <w:i/>
          <w:color w:val="000000" w:themeColor="text1"/>
          <w:sz w:val="20"/>
        </w:rPr>
        <w:t>in vivo/in vitro</w:t>
      </w:r>
      <w:r w:rsidRPr="0098635C">
        <w:rPr>
          <w:color w:val="000000" w:themeColor="text1"/>
          <w:sz w:val="20"/>
        </w:rPr>
        <w:t xml:space="preserve"> procedure. Testing laboratory: Hazleton Europe. Report no.: 456/32.</w:t>
      </w:r>
      <w:r w:rsidR="009F120E" w:rsidRPr="0098635C">
        <w:rPr>
          <w:color w:val="000000" w:themeColor="text1"/>
          <w:sz w:val="20"/>
        </w:rPr>
        <w:t xml:space="preserve"> Unpublished</w:t>
      </w:r>
    </w:p>
    <w:p w14:paraId="60DEE605"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Weis P, Weis JS, 1999. Accumulation of metals in consumers associated with chromated copper arsenate-treated wood panels. Mar.Environ.Res. 48:73-81. </w:t>
      </w:r>
    </w:p>
    <w:p w14:paraId="622B270E"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Weiss KC, Linder MC, 1985. Copper transport in rats involving a new plasma protein. Am.J.Physiol. 249, E77-E88.</w:t>
      </w:r>
    </w:p>
    <w:p w14:paraId="2C862ABD"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Welch K, Higgins I., Oh M, Burshfiel C, 1982. Arsenic exposure, smoking and respiratory cancer in copper smelter workers. Arch.Environ.Health 37:325-335.</w:t>
      </w:r>
    </w:p>
    <w:p w14:paraId="322268A8"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Wesson CM, 2003. Copper oxychloride: Acute inhalation toxicity (nose-only) study in the rat. SafePharm Laboratories. Report no. 1632/006. Unpublished.</w:t>
      </w:r>
    </w:p>
    <w:p w14:paraId="122E4B44" w14:textId="500A2CB7" w:rsidR="00F16927" w:rsidRPr="0098635C" w:rsidRDefault="00F16927" w:rsidP="00926614">
      <w:pPr>
        <w:spacing w:after="0"/>
        <w:ind w:left="567" w:hanging="567"/>
        <w:rPr>
          <w:color w:val="000000" w:themeColor="text1"/>
          <w:sz w:val="20"/>
          <w:szCs w:val="20"/>
        </w:rPr>
      </w:pPr>
      <w:bookmarkStart w:id="2076" w:name="d0e66214"/>
      <w:r w:rsidRPr="0098635C">
        <w:rPr>
          <w:rFonts w:eastAsiaTheme="minorEastAsia"/>
          <w:bCs/>
          <w:color w:val="000000" w:themeColor="text1"/>
          <w:sz w:val="20"/>
          <w:szCs w:val="20"/>
          <w:lang w:eastAsia="en-GB"/>
        </w:rPr>
        <w:t>Wesson, CM. (2001). Copper powder: Acute inhalation toxicity (nose only) study in the rat. Testing laboratory: SafePharm Laboratories. Report no.: 1451/003.</w:t>
      </w:r>
      <w:bookmarkEnd w:id="2076"/>
    </w:p>
    <w:p w14:paraId="6D15C042"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Williams TD, Hayfield AJ, 2006. Copper effects on the survival, development and reproduction of the marine copepod </w:t>
      </w:r>
      <w:r w:rsidRPr="0098635C">
        <w:rPr>
          <w:i/>
          <w:color w:val="000000" w:themeColor="text1"/>
          <w:sz w:val="20"/>
        </w:rPr>
        <w:t>Tisbe battagliai</w:t>
      </w:r>
      <w:r w:rsidRPr="0098635C">
        <w:rPr>
          <w:color w:val="000000" w:themeColor="text1"/>
          <w:sz w:val="20"/>
        </w:rPr>
        <w:t xml:space="preserve">. Testing laboratory: Brixham Environmental Laboratory, AstraZeneca UK Limited, Freshwater Quarry, Brixham, UK. Report no.: BEL report N° BL8295/B. </w:t>
      </w:r>
    </w:p>
    <w:p w14:paraId="767D8BE6" w14:textId="77777777" w:rsidR="00C24197" w:rsidRPr="0098635C" w:rsidRDefault="00C24197" w:rsidP="006E5329">
      <w:pPr>
        <w:pStyle w:val="BodyText"/>
        <w:spacing w:after="0"/>
        <w:ind w:left="567" w:hanging="567"/>
        <w:rPr>
          <w:color w:val="000000" w:themeColor="text1"/>
          <w:sz w:val="20"/>
          <w:lang w:val="de-DE"/>
        </w:rPr>
      </w:pPr>
      <w:r w:rsidRPr="0098635C">
        <w:rPr>
          <w:color w:val="000000" w:themeColor="text1"/>
          <w:sz w:val="20"/>
        </w:rPr>
        <w:t xml:space="preserve">Winner RW, 1985. Bioaccumulation and toxicity of copper as affected by interactions between humic acid and water hardness. </w:t>
      </w:r>
      <w:r w:rsidRPr="0098635C">
        <w:rPr>
          <w:color w:val="000000" w:themeColor="text1"/>
          <w:sz w:val="20"/>
          <w:lang w:val="de-DE"/>
        </w:rPr>
        <w:t xml:space="preserve">Water Res. 19(4):449-455. </w:t>
      </w:r>
    </w:p>
    <w:p w14:paraId="7E1B2329" w14:textId="77777777" w:rsidR="00F16927" w:rsidRPr="0098635C" w:rsidRDefault="00F16927" w:rsidP="00926614">
      <w:pPr>
        <w:spacing w:after="0"/>
        <w:ind w:left="567" w:hanging="567"/>
        <w:rPr>
          <w:color w:val="000000" w:themeColor="text1"/>
          <w:sz w:val="20"/>
          <w:szCs w:val="20"/>
          <w:lang w:val="nl-BE"/>
        </w:rPr>
      </w:pPr>
      <w:bookmarkStart w:id="2077" w:name="d0e66218"/>
      <w:r w:rsidRPr="0098635C">
        <w:rPr>
          <w:rFonts w:eastAsiaTheme="minorEastAsia"/>
          <w:bCs/>
          <w:color w:val="000000" w:themeColor="text1"/>
          <w:sz w:val="20"/>
          <w:szCs w:val="20"/>
          <w:lang w:eastAsia="en-GB"/>
        </w:rPr>
        <w:t xml:space="preserve">Winner, R. W. (1984). The Toxicity and Bioaccumulation of Cadmium and Copper as Affected by Humic Acid. </w:t>
      </w:r>
      <w:r w:rsidRPr="0098635C">
        <w:rPr>
          <w:rFonts w:eastAsiaTheme="minorEastAsia"/>
          <w:bCs/>
          <w:color w:val="000000" w:themeColor="text1"/>
          <w:sz w:val="20"/>
          <w:szCs w:val="20"/>
          <w:lang w:val="nl-BE" w:eastAsia="en-GB"/>
        </w:rPr>
        <w:t>AquaticToxicology. 5: 267-274.</w:t>
      </w:r>
    </w:p>
    <w:bookmarkEnd w:id="2077"/>
    <w:p w14:paraId="496CF45C" w14:textId="77777777" w:rsidR="00C24197" w:rsidRPr="0098635C" w:rsidRDefault="00C24197" w:rsidP="006E5329">
      <w:pPr>
        <w:pStyle w:val="BodyText"/>
        <w:spacing w:after="0"/>
        <w:ind w:left="567" w:hanging="567"/>
        <w:rPr>
          <w:color w:val="000000" w:themeColor="text1"/>
          <w:sz w:val="20"/>
          <w:lang w:val="de-DE"/>
        </w:rPr>
      </w:pPr>
      <w:r w:rsidRPr="0098635C">
        <w:rPr>
          <w:color w:val="000000" w:themeColor="text1"/>
          <w:sz w:val="20"/>
          <w:lang w:val="de-DE"/>
        </w:rPr>
        <w:t xml:space="preserve">Wittassek R, 1987. Kupferaufnahme bei verschiedenen Bodenwirbellosen in kupferbelasteten Weinbergsböden. Verhandlungen der Gesellschaft für Ökologie 16:383-391. </w:t>
      </w:r>
    </w:p>
    <w:p w14:paraId="73E7465C"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de-DE"/>
        </w:rPr>
        <w:t xml:space="preserve">Wolf BW, Firkins JL, Zhang X-S, 1998. </w:t>
      </w:r>
      <w:r w:rsidRPr="0098635C">
        <w:rPr>
          <w:color w:val="000000" w:themeColor="text1"/>
          <w:sz w:val="20"/>
        </w:rPr>
        <w:t>Varying dietary concentrations of fructo-oligosaccharides affect apparent absorption and balance of minerals in growing rats. Nutr.Res. 18:1791-1806.</w:t>
      </w:r>
    </w:p>
    <w:p w14:paraId="0A832891"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Wong MH, Cheung YH, 1986. Heavy metal concentrations in caterpillars fed with waste-grown vegetables. Agric.Wastes 18: 61-68.</w:t>
      </w:r>
    </w:p>
    <w:p w14:paraId="64B800F0" w14:textId="203AAF1D" w:rsidR="00C24197" w:rsidRPr="0098635C" w:rsidRDefault="00F16927" w:rsidP="00926614">
      <w:pPr>
        <w:spacing w:after="0"/>
        <w:ind w:left="567" w:hanging="567"/>
        <w:rPr>
          <w:color w:val="000000" w:themeColor="text1"/>
          <w:sz w:val="20"/>
          <w:szCs w:val="20"/>
        </w:rPr>
      </w:pPr>
      <w:bookmarkStart w:id="2078" w:name="d0e66226"/>
      <w:r w:rsidRPr="0098635C">
        <w:rPr>
          <w:rFonts w:eastAsiaTheme="minorEastAsia"/>
          <w:bCs/>
          <w:color w:val="000000" w:themeColor="text1"/>
          <w:sz w:val="20"/>
          <w:szCs w:val="20"/>
          <w:lang w:eastAsia="en-GB"/>
        </w:rPr>
        <w:t>Wong PK (1988). Mutagenicity of heavy metals. Toxicol. 40:597-603.</w:t>
      </w:r>
      <w:bookmarkEnd w:id="2078"/>
    </w:p>
    <w:p w14:paraId="0208F539"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Wyllie J, 1957. Copper poisoning at a cocktail party. Am.J.Public Health 47:617.</w:t>
      </w:r>
    </w:p>
    <w:p w14:paraId="2CB42CC0"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Xia L, Liang S, Zhou X, Xia Y, 1989. Concentration of trace elements in human tissues in Hunan, China, and the relation of ratios of mutual metals to human health. Trace Elem.Med. 6:114-118.</w:t>
      </w:r>
    </w:p>
    <w:p w14:paraId="17259F91"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 xml:space="preserve">Young JS, Gurtisen JM, Apts CW, Crecelius EA, 1979. The relationship between the copper complexing capacity of sea water and copper toxicity in shrimp zoeae. Mar.Environ.Res. 2:344-348. </w:t>
      </w:r>
    </w:p>
    <w:p w14:paraId="196731AE"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Yu S, West CE, Beynen AC, 1994. Increasing intakes of iron reduce status, absorption and biliary excretion of copper in rats. Brit.J.Nutrit. 71:887-895.</w:t>
      </w:r>
    </w:p>
    <w:p w14:paraId="26E995F0"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t>Zacarias I, Yanez CG, Araya M, Oraka C, Olivares M, Uauy R, 2001. Determination of the taste threshold of copper in water. Chem.Senses 26:85-89.</w:t>
      </w:r>
    </w:p>
    <w:p w14:paraId="6A29D4BA"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rPr>
        <w:lastRenderedPageBreak/>
        <w:t xml:space="preserve">Zhao F-J, Rooney CP, Zhang H, McGrath SP, 2006. Comparison of soil solution speciation and diffusive gradients in thin-films measurement as an indicator of copper bioavailability to plants. Environ.Toxicol.Chem. 25(3):733-742. </w:t>
      </w:r>
    </w:p>
    <w:p w14:paraId="61D2DAC8" w14:textId="77777777" w:rsidR="00C24197" w:rsidRPr="0098635C" w:rsidRDefault="00C24197" w:rsidP="006E5329">
      <w:pPr>
        <w:pStyle w:val="BodyText"/>
        <w:spacing w:after="0"/>
        <w:ind w:left="567" w:hanging="567"/>
        <w:rPr>
          <w:color w:val="000000" w:themeColor="text1"/>
          <w:sz w:val="20"/>
          <w:lang w:val="nl-BE"/>
        </w:rPr>
      </w:pPr>
      <w:r w:rsidRPr="0098635C">
        <w:rPr>
          <w:color w:val="000000" w:themeColor="text1"/>
          <w:sz w:val="20"/>
        </w:rPr>
        <w:t xml:space="preserve">Zhou JL, Liu YP, Abrahams P, 2003a. Trace metal behaviour in the Conwy estuary, North Wales. </w:t>
      </w:r>
      <w:r w:rsidRPr="0098635C">
        <w:rPr>
          <w:color w:val="000000" w:themeColor="text1"/>
          <w:sz w:val="20"/>
          <w:lang w:val="nl-BE"/>
        </w:rPr>
        <w:t xml:space="preserve">Chemosphere 51:429-440. </w:t>
      </w:r>
    </w:p>
    <w:p w14:paraId="3CA25EE8" w14:textId="286ED98D" w:rsidR="00BA20BC" w:rsidRPr="0098635C" w:rsidRDefault="00C24197" w:rsidP="00926614">
      <w:pPr>
        <w:spacing w:after="0"/>
        <w:ind w:left="567" w:hanging="567"/>
        <w:rPr>
          <w:color w:val="000000" w:themeColor="text1"/>
          <w:sz w:val="20"/>
          <w:szCs w:val="20"/>
          <w:lang w:val="nl-BE"/>
        </w:rPr>
      </w:pPr>
      <w:r w:rsidRPr="0098635C">
        <w:rPr>
          <w:color w:val="000000" w:themeColor="text1"/>
          <w:sz w:val="20"/>
          <w:szCs w:val="20"/>
          <w:lang w:val="nl-BE"/>
        </w:rPr>
        <w:t>Zietz BP, Dieter HH, Lakomek M, Schneider H, Keßler-Gaedtke B, Dunkelberg H, 2003</w:t>
      </w:r>
      <w:r w:rsidR="00BA20BC" w:rsidRPr="0098635C">
        <w:rPr>
          <w:color w:val="000000" w:themeColor="text1"/>
          <w:sz w:val="20"/>
          <w:szCs w:val="20"/>
          <w:lang w:val="nl-BE"/>
        </w:rPr>
        <w:t>a</w:t>
      </w:r>
      <w:r w:rsidRPr="0098635C">
        <w:rPr>
          <w:color w:val="000000" w:themeColor="text1"/>
          <w:sz w:val="20"/>
          <w:szCs w:val="20"/>
          <w:lang w:val="nl-BE"/>
        </w:rPr>
        <w:t xml:space="preserve">. </w:t>
      </w:r>
      <w:r w:rsidRPr="0098635C">
        <w:rPr>
          <w:color w:val="000000" w:themeColor="text1"/>
          <w:sz w:val="20"/>
          <w:szCs w:val="20"/>
        </w:rPr>
        <w:t xml:space="preserve">Epidemiology investigation on chronic copper toxicity to children exposed via the public drinking water supply. </w:t>
      </w:r>
      <w:r w:rsidRPr="0098635C">
        <w:rPr>
          <w:color w:val="000000" w:themeColor="text1"/>
          <w:sz w:val="20"/>
          <w:szCs w:val="20"/>
          <w:lang w:val="nl-NL"/>
        </w:rPr>
        <w:t xml:space="preserve">Sci.Total Environ. </w:t>
      </w:r>
      <w:r w:rsidRPr="0098635C">
        <w:rPr>
          <w:color w:val="000000" w:themeColor="text1"/>
          <w:sz w:val="20"/>
          <w:szCs w:val="20"/>
          <w:lang w:val="nl-BE"/>
        </w:rPr>
        <w:t>302:127-144.</w:t>
      </w:r>
    </w:p>
    <w:p w14:paraId="7120041E" w14:textId="5D859FEA" w:rsidR="00C24197" w:rsidRPr="0098635C" w:rsidRDefault="00BA20BC" w:rsidP="00926614">
      <w:pPr>
        <w:spacing w:after="0"/>
        <w:ind w:left="567" w:hanging="567"/>
        <w:rPr>
          <w:color w:val="000000" w:themeColor="text1"/>
          <w:sz w:val="20"/>
          <w:szCs w:val="20"/>
          <w:lang w:val="en-US"/>
        </w:rPr>
      </w:pPr>
      <w:bookmarkStart w:id="2079" w:name="d0e66246"/>
      <w:bookmarkStart w:id="2080" w:name="d0e65168"/>
      <w:r w:rsidRPr="0098635C">
        <w:rPr>
          <w:rFonts w:eastAsiaTheme="minorEastAsia"/>
          <w:bCs/>
          <w:color w:val="000000" w:themeColor="text1"/>
          <w:sz w:val="20"/>
          <w:szCs w:val="20"/>
          <w:lang w:val="nl-BE" w:eastAsia="en-GB"/>
        </w:rPr>
        <w:t xml:space="preserve">Zietz BP, J. Dassel de Vergara and H. Dunkelberg (2003b). </w:t>
      </w:r>
      <w:r w:rsidRPr="0098635C">
        <w:rPr>
          <w:rFonts w:eastAsiaTheme="minorEastAsia"/>
          <w:bCs/>
          <w:color w:val="000000" w:themeColor="text1"/>
          <w:sz w:val="20"/>
          <w:szCs w:val="20"/>
          <w:lang w:eastAsia="en-GB"/>
        </w:rPr>
        <w:t>Copper concentration in tap water and possible effects on infant’s health – Results of a study in Lower Saxony, Germany. Environmental Research 92 (2003) 129-138.</w:t>
      </w:r>
      <w:bookmarkEnd w:id="2079"/>
      <w:bookmarkEnd w:id="2080"/>
    </w:p>
    <w:p w14:paraId="79AAC635" w14:textId="77777777" w:rsidR="00C24197" w:rsidRPr="0098635C" w:rsidRDefault="00C24197" w:rsidP="006E5329">
      <w:pPr>
        <w:pStyle w:val="BodyText"/>
        <w:spacing w:after="0"/>
        <w:ind w:left="567" w:hanging="567"/>
        <w:rPr>
          <w:color w:val="000000" w:themeColor="text1"/>
          <w:sz w:val="20"/>
        </w:rPr>
      </w:pPr>
      <w:r w:rsidRPr="0098635C">
        <w:rPr>
          <w:color w:val="000000" w:themeColor="text1"/>
          <w:sz w:val="20"/>
          <w:lang w:val="nl-NL"/>
        </w:rPr>
        <w:t xml:space="preserve">Zuurdeeg BW, Van Enk RJ, Vriend SP, 1992. Natuurlijke achtergrond gehalten van zware metalen en enkele andere sporenelementen in Nederlands oppervlaktewater. </w:t>
      </w:r>
      <w:r w:rsidRPr="0098635C">
        <w:rPr>
          <w:color w:val="000000" w:themeColor="text1"/>
          <w:sz w:val="20"/>
        </w:rPr>
        <w:t>Geochem-Research, Utrecht (in Dutch). Abrahams PW, Thornton I, 1994. The contamination of agricultural land in the metalliferous province of southwest England – implications to livestock. Agric.Ecosyst.Environ. 48:125-137.</w:t>
      </w:r>
    </w:p>
    <w:p w14:paraId="2782D904" w14:textId="77777777" w:rsidR="00C24197" w:rsidRPr="0098635C" w:rsidRDefault="00C24197" w:rsidP="004471E2">
      <w:pPr>
        <w:pStyle w:val="BodyText"/>
        <w:ind w:left="567" w:hanging="567"/>
        <w:rPr>
          <w:color w:val="000000" w:themeColor="text1"/>
          <w:sz w:val="20"/>
        </w:rPr>
      </w:pPr>
    </w:p>
    <w:p w14:paraId="61CC285F" w14:textId="77777777" w:rsidR="00C24197" w:rsidRPr="0098635C" w:rsidRDefault="00C24197" w:rsidP="00C24197">
      <w:pPr>
        <w:pStyle w:val="BodyText"/>
        <w:rPr>
          <w:color w:val="000000" w:themeColor="text1"/>
          <w:sz w:val="20"/>
        </w:rPr>
      </w:pPr>
    </w:p>
    <w:p w14:paraId="7035AE02" w14:textId="77777777" w:rsidR="00C24197" w:rsidRPr="0098635C" w:rsidRDefault="00C24197" w:rsidP="00C24197">
      <w:pPr>
        <w:pStyle w:val="BodyText"/>
        <w:rPr>
          <w:color w:val="000000" w:themeColor="text1"/>
          <w:sz w:val="20"/>
        </w:rPr>
        <w:sectPr w:rsidR="00C24197" w:rsidRPr="0098635C">
          <w:pgSz w:w="11907" w:h="16840" w:code="9"/>
          <w:pgMar w:top="1418" w:right="1134" w:bottom="1134" w:left="1134" w:header="737" w:footer="737" w:gutter="0"/>
          <w:cols w:space="720"/>
          <w:docGrid w:linePitch="360"/>
        </w:sectPr>
      </w:pPr>
    </w:p>
    <w:p w14:paraId="56617956" w14:textId="77777777" w:rsidR="00C24197" w:rsidRPr="0098635C" w:rsidRDefault="00C24197" w:rsidP="00F8344F">
      <w:pPr>
        <w:jc w:val="center"/>
        <w:rPr>
          <w:b/>
          <w:color w:val="000000" w:themeColor="text1"/>
          <w:sz w:val="20"/>
          <w:szCs w:val="20"/>
        </w:rPr>
      </w:pPr>
      <w:r w:rsidRPr="0098635C">
        <w:rPr>
          <w:b/>
          <w:color w:val="000000" w:themeColor="text1"/>
          <w:sz w:val="20"/>
          <w:szCs w:val="20"/>
        </w:rPr>
        <w:lastRenderedPageBreak/>
        <w:t>ANNEXES</w:t>
      </w:r>
    </w:p>
    <w:p w14:paraId="6316ABCC" w14:textId="1AD41CA9" w:rsidR="00FB0F1B" w:rsidRPr="0098635C" w:rsidRDefault="00FB0F1B" w:rsidP="00FB0F1B">
      <w:pPr>
        <w:spacing w:line="276" w:lineRule="auto"/>
        <w:outlineLvl w:val="0"/>
        <w:rPr>
          <w:b/>
          <w:color w:val="000000" w:themeColor="text1"/>
          <w:sz w:val="20"/>
          <w:szCs w:val="20"/>
        </w:rPr>
      </w:pPr>
      <w:bookmarkStart w:id="2081" w:name="_Toc472000401"/>
      <w:bookmarkStart w:id="2082" w:name="_Toc472251761"/>
      <w:r w:rsidRPr="0098635C">
        <w:rPr>
          <w:rFonts w:eastAsia="Calibri"/>
          <w:color w:val="000000" w:themeColor="text1"/>
          <w:sz w:val="20"/>
          <w:szCs w:val="20"/>
        </w:rPr>
        <w:t>Annex I : Overview of ecotoxicological data (reliable study results) for five copper substances and category rational matrix for environmental endpoints</w:t>
      </w:r>
      <w:bookmarkEnd w:id="2081"/>
      <w:bookmarkEnd w:id="2082"/>
      <w:r w:rsidRPr="0098635C">
        <w:rPr>
          <w:b/>
          <w:color w:val="000000" w:themeColor="text1"/>
          <w:sz w:val="20"/>
          <w:szCs w:val="20"/>
        </w:rPr>
        <w:t xml:space="preserve"> </w:t>
      </w:r>
    </w:p>
    <w:p w14:paraId="18C78A62" w14:textId="77777777" w:rsidR="00F27C13" w:rsidRPr="0098635C" w:rsidRDefault="00F27C13" w:rsidP="00FB0F1B">
      <w:pPr>
        <w:spacing w:line="276" w:lineRule="auto"/>
        <w:outlineLvl w:val="0"/>
        <w:rPr>
          <w:rFonts w:eastAsia="Calibri"/>
          <w:color w:val="000000" w:themeColor="text1"/>
          <w:sz w:val="20"/>
          <w:szCs w:val="20"/>
        </w:rPr>
      </w:pPr>
    </w:p>
    <w:tbl>
      <w:tblPr>
        <w:tblStyle w:val="TableGrid"/>
        <w:tblpPr w:leftFromText="180" w:rightFromText="180" w:vertAnchor="text" w:horzAnchor="margin" w:tblpY="23"/>
        <w:tblW w:w="12753" w:type="dxa"/>
        <w:tblLayout w:type="fixed"/>
        <w:tblLook w:val="04A0" w:firstRow="1" w:lastRow="0" w:firstColumn="1" w:lastColumn="0" w:noHBand="0" w:noVBand="1"/>
      </w:tblPr>
      <w:tblGrid>
        <w:gridCol w:w="1980"/>
        <w:gridCol w:w="2126"/>
        <w:gridCol w:w="2126"/>
        <w:gridCol w:w="2127"/>
        <w:gridCol w:w="2126"/>
        <w:gridCol w:w="2268"/>
      </w:tblGrid>
      <w:tr w:rsidR="00E17233" w:rsidRPr="0098635C" w14:paraId="0E2745CF" w14:textId="77777777" w:rsidTr="00E17233">
        <w:tc>
          <w:tcPr>
            <w:tcW w:w="1980" w:type="dxa"/>
          </w:tcPr>
          <w:p w14:paraId="73548858" w14:textId="77777777" w:rsidR="00E17233" w:rsidRPr="0098635C" w:rsidRDefault="00E17233" w:rsidP="00E17233">
            <w:pPr>
              <w:rPr>
                <w:b/>
                <w:color w:val="000000" w:themeColor="text1"/>
                <w:sz w:val="20"/>
                <w:szCs w:val="20"/>
              </w:rPr>
            </w:pPr>
            <w:r w:rsidRPr="0098635C">
              <w:rPr>
                <w:b/>
                <w:color w:val="000000" w:themeColor="text1"/>
                <w:sz w:val="20"/>
                <w:szCs w:val="20"/>
              </w:rPr>
              <w:t>Endpoint</w:t>
            </w:r>
          </w:p>
        </w:tc>
        <w:tc>
          <w:tcPr>
            <w:tcW w:w="2126" w:type="dxa"/>
          </w:tcPr>
          <w:p w14:paraId="0CFF8944" w14:textId="77777777" w:rsidR="00E17233" w:rsidRPr="0098635C" w:rsidRDefault="00E17233" w:rsidP="00E17233">
            <w:pPr>
              <w:jc w:val="center"/>
              <w:rPr>
                <w:b/>
                <w:color w:val="000000" w:themeColor="text1"/>
                <w:sz w:val="20"/>
                <w:szCs w:val="20"/>
              </w:rPr>
            </w:pPr>
            <w:r w:rsidRPr="0098635C">
              <w:rPr>
                <w:b/>
                <w:color w:val="000000" w:themeColor="text1"/>
                <w:sz w:val="20"/>
                <w:szCs w:val="20"/>
              </w:rPr>
              <w:t>Coated Copper</w:t>
            </w:r>
          </w:p>
          <w:p w14:paraId="42419B64" w14:textId="77777777" w:rsidR="00E17233" w:rsidRPr="0098635C" w:rsidRDefault="00E17233" w:rsidP="00E17233">
            <w:pPr>
              <w:jc w:val="center"/>
              <w:rPr>
                <w:b/>
                <w:color w:val="000000" w:themeColor="text1"/>
                <w:sz w:val="20"/>
                <w:szCs w:val="20"/>
              </w:rPr>
            </w:pPr>
            <w:r w:rsidRPr="0098635C">
              <w:rPr>
                <w:b/>
                <w:color w:val="000000" w:themeColor="text1"/>
                <w:sz w:val="20"/>
                <w:szCs w:val="20"/>
              </w:rPr>
              <w:t>Flakes, copper powders and copper massive</w:t>
            </w:r>
          </w:p>
        </w:tc>
        <w:tc>
          <w:tcPr>
            <w:tcW w:w="2126" w:type="dxa"/>
          </w:tcPr>
          <w:p w14:paraId="69F3332D" w14:textId="77777777" w:rsidR="00E17233" w:rsidRPr="0098635C" w:rsidRDefault="00E17233" w:rsidP="00E17233">
            <w:pPr>
              <w:jc w:val="center"/>
              <w:rPr>
                <w:b/>
                <w:color w:val="000000" w:themeColor="text1"/>
                <w:sz w:val="20"/>
                <w:szCs w:val="20"/>
              </w:rPr>
            </w:pPr>
            <w:r w:rsidRPr="0098635C">
              <w:rPr>
                <w:b/>
                <w:color w:val="000000" w:themeColor="text1"/>
                <w:sz w:val="20"/>
                <w:szCs w:val="20"/>
              </w:rPr>
              <w:t>Copper sulphate pentahydrate</w:t>
            </w:r>
          </w:p>
        </w:tc>
        <w:tc>
          <w:tcPr>
            <w:tcW w:w="2127" w:type="dxa"/>
          </w:tcPr>
          <w:p w14:paraId="31FF3C1C" w14:textId="11E09F23" w:rsidR="00E17233" w:rsidRPr="0098635C" w:rsidRDefault="00236182" w:rsidP="00E17233">
            <w:pPr>
              <w:jc w:val="center"/>
              <w:rPr>
                <w:b/>
                <w:color w:val="000000" w:themeColor="text1"/>
                <w:sz w:val="20"/>
                <w:szCs w:val="20"/>
              </w:rPr>
            </w:pPr>
            <w:r w:rsidRPr="0098635C">
              <w:rPr>
                <w:b/>
                <w:color w:val="000000" w:themeColor="text1"/>
                <w:sz w:val="20"/>
                <w:szCs w:val="20"/>
              </w:rPr>
              <w:t>Copper (II) oxide</w:t>
            </w:r>
          </w:p>
        </w:tc>
        <w:tc>
          <w:tcPr>
            <w:tcW w:w="2126" w:type="dxa"/>
          </w:tcPr>
          <w:p w14:paraId="27B1D431" w14:textId="7145C6A5" w:rsidR="00E17233" w:rsidRPr="0098635C" w:rsidRDefault="00236182" w:rsidP="00E17233">
            <w:pPr>
              <w:jc w:val="center"/>
              <w:rPr>
                <w:b/>
                <w:color w:val="000000" w:themeColor="text1"/>
                <w:sz w:val="20"/>
                <w:szCs w:val="20"/>
              </w:rPr>
            </w:pPr>
            <w:r w:rsidRPr="0098635C">
              <w:rPr>
                <w:b/>
                <w:color w:val="000000" w:themeColor="text1"/>
                <w:sz w:val="20"/>
                <w:szCs w:val="20"/>
              </w:rPr>
              <w:t>Copper (I) oxide</w:t>
            </w:r>
          </w:p>
        </w:tc>
        <w:tc>
          <w:tcPr>
            <w:tcW w:w="2268" w:type="dxa"/>
          </w:tcPr>
          <w:p w14:paraId="6C26235B" w14:textId="77777777" w:rsidR="00E17233" w:rsidRPr="0098635C" w:rsidRDefault="00E17233" w:rsidP="00E17233">
            <w:pPr>
              <w:jc w:val="center"/>
              <w:rPr>
                <w:b/>
                <w:color w:val="000000" w:themeColor="text1"/>
                <w:sz w:val="20"/>
                <w:szCs w:val="20"/>
              </w:rPr>
            </w:pPr>
            <w:r w:rsidRPr="0098635C">
              <w:rPr>
                <w:b/>
                <w:color w:val="000000" w:themeColor="text1"/>
                <w:sz w:val="20"/>
                <w:szCs w:val="20"/>
              </w:rPr>
              <w:t>Dicopper chloride trihydroxide</w:t>
            </w:r>
          </w:p>
        </w:tc>
      </w:tr>
      <w:tr w:rsidR="00E17233" w:rsidRPr="0098635C" w14:paraId="2AB8E912" w14:textId="77777777" w:rsidTr="00E17233">
        <w:trPr>
          <w:trHeight w:val="422"/>
        </w:trPr>
        <w:tc>
          <w:tcPr>
            <w:tcW w:w="1980" w:type="dxa"/>
          </w:tcPr>
          <w:p w14:paraId="13ADD178" w14:textId="77777777" w:rsidR="00E17233" w:rsidRPr="0098635C" w:rsidRDefault="00E17233" w:rsidP="00E17233">
            <w:pPr>
              <w:spacing w:after="0"/>
              <w:rPr>
                <w:color w:val="000000" w:themeColor="text1"/>
                <w:sz w:val="20"/>
                <w:szCs w:val="20"/>
              </w:rPr>
            </w:pPr>
            <w:r w:rsidRPr="0098635C">
              <w:rPr>
                <w:color w:val="000000" w:themeColor="text1"/>
                <w:sz w:val="20"/>
                <w:szCs w:val="20"/>
              </w:rPr>
              <w:t>Biodegradation</w:t>
            </w:r>
          </w:p>
          <w:p w14:paraId="0E49B613" w14:textId="77777777" w:rsidR="00E17233" w:rsidRPr="0098635C" w:rsidRDefault="00E17233" w:rsidP="00E17233">
            <w:pPr>
              <w:spacing w:after="0"/>
              <w:rPr>
                <w:color w:val="000000" w:themeColor="text1"/>
                <w:sz w:val="20"/>
                <w:szCs w:val="20"/>
              </w:rPr>
            </w:pPr>
          </w:p>
        </w:tc>
        <w:tc>
          <w:tcPr>
            <w:tcW w:w="10773" w:type="dxa"/>
            <w:gridSpan w:val="5"/>
          </w:tcPr>
          <w:p w14:paraId="3CDAA356" w14:textId="77777777" w:rsidR="00E17233" w:rsidRPr="0098635C" w:rsidRDefault="00E17233" w:rsidP="00E17233">
            <w:pPr>
              <w:spacing w:after="0"/>
              <w:jc w:val="center"/>
              <w:rPr>
                <w:color w:val="000000" w:themeColor="text1"/>
                <w:sz w:val="20"/>
                <w:szCs w:val="20"/>
              </w:rPr>
            </w:pPr>
            <w:r w:rsidRPr="0098635C">
              <w:rPr>
                <w:color w:val="000000" w:themeColor="text1"/>
                <w:sz w:val="20"/>
                <w:szCs w:val="20"/>
              </w:rPr>
              <w:t xml:space="preserve">In traditional terms, degradation (i.e., hydro-, photo-, and biodegradation) are not applicable to inorganic Cu compounds </w:t>
            </w:r>
          </w:p>
        </w:tc>
      </w:tr>
      <w:tr w:rsidR="00E17233" w:rsidRPr="0098635C" w14:paraId="3BEE626F" w14:textId="77777777" w:rsidTr="00E17233">
        <w:trPr>
          <w:trHeight w:val="748"/>
        </w:trPr>
        <w:tc>
          <w:tcPr>
            <w:tcW w:w="1980" w:type="dxa"/>
          </w:tcPr>
          <w:p w14:paraId="12D20E51" w14:textId="77777777" w:rsidR="00E17233" w:rsidRPr="0098635C" w:rsidRDefault="00E17233" w:rsidP="00E17233">
            <w:pPr>
              <w:rPr>
                <w:color w:val="000000" w:themeColor="text1"/>
                <w:sz w:val="20"/>
                <w:szCs w:val="20"/>
              </w:rPr>
            </w:pPr>
            <w:r w:rsidRPr="0098635C">
              <w:rPr>
                <w:color w:val="000000" w:themeColor="text1"/>
                <w:sz w:val="20"/>
                <w:szCs w:val="20"/>
              </w:rPr>
              <w:t xml:space="preserve">Bioaccumulation </w:t>
            </w:r>
          </w:p>
        </w:tc>
        <w:tc>
          <w:tcPr>
            <w:tcW w:w="2126" w:type="dxa"/>
          </w:tcPr>
          <w:p w14:paraId="1F7BE470" w14:textId="77777777" w:rsidR="00E17233" w:rsidRPr="0098635C" w:rsidRDefault="00E17233" w:rsidP="00E17233">
            <w:pPr>
              <w:jc w:val="center"/>
              <w:rPr>
                <w:color w:val="000000" w:themeColor="text1"/>
                <w:sz w:val="20"/>
                <w:szCs w:val="20"/>
              </w:rPr>
            </w:pPr>
            <w:r w:rsidRPr="0098635C">
              <w:rPr>
                <w:color w:val="000000" w:themeColor="text1"/>
                <w:sz w:val="20"/>
                <w:szCs w:val="20"/>
              </w:rPr>
              <w:t>Not applicable to essential nutrient</w:t>
            </w:r>
          </w:p>
        </w:tc>
        <w:tc>
          <w:tcPr>
            <w:tcW w:w="2126" w:type="dxa"/>
          </w:tcPr>
          <w:p w14:paraId="6EF75A33" w14:textId="77777777" w:rsidR="00E17233" w:rsidRPr="0098635C" w:rsidRDefault="00E17233" w:rsidP="00E17233">
            <w:pPr>
              <w:jc w:val="center"/>
              <w:rPr>
                <w:strike/>
                <w:color w:val="000000" w:themeColor="text1"/>
                <w:sz w:val="20"/>
                <w:szCs w:val="20"/>
              </w:rPr>
            </w:pPr>
            <w:r w:rsidRPr="0098635C">
              <w:rPr>
                <w:color w:val="000000" w:themeColor="text1"/>
                <w:sz w:val="20"/>
                <w:szCs w:val="20"/>
              </w:rPr>
              <w:t>Not applicable to essential nutrient</w:t>
            </w:r>
          </w:p>
        </w:tc>
        <w:tc>
          <w:tcPr>
            <w:tcW w:w="2127" w:type="dxa"/>
          </w:tcPr>
          <w:p w14:paraId="224C5B9A" w14:textId="77777777" w:rsidR="00E17233" w:rsidRPr="0098635C" w:rsidRDefault="00E17233" w:rsidP="00E17233">
            <w:pPr>
              <w:rPr>
                <w:b/>
                <w:strike/>
                <w:color w:val="000000" w:themeColor="text1"/>
                <w:sz w:val="20"/>
                <w:szCs w:val="20"/>
              </w:rPr>
            </w:pPr>
            <w:r w:rsidRPr="0098635C">
              <w:rPr>
                <w:color w:val="000000" w:themeColor="text1"/>
                <w:sz w:val="20"/>
                <w:szCs w:val="20"/>
              </w:rPr>
              <w:t>Not applicable to essential nutrient</w:t>
            </w:r>
          </w:p>
        </w:tc>
        <w:tc>
          <w:tcPr>
            <w:tcW w:w="2126" w:type="dxa"/>
          </w:tcPr>
          <w:p w14:paraId="6662ED32" w14:textId="77777777" w:rsidR="00E17233" w:rsidRPr="0098635C" w:rsidRDefault="00E17233" w:rsidP="00E17233">
            <w:pPr>
              <w:jc w:val="center"/>
              <w:rPr>
                <w:strike/>
                <w:color w:val="000000" w:themeColor="text1"/>
                <w:sz w:val="20"/>
                <w:szCs w:val="20"/>
              </w:rPr>
            </w:pPr>
            <w:r w:rsidRPr="0098635C">
              <w:rPr>
                <w:color w:val="000000" w:themeColor="text1"/>
                <w:sz w:val="20"/>
                <w:szCs w:val="20"/>
              </w:rPr>
              <w:t>Not applicable to essential nutrient</w:t>
            </w:r>
          </w:p>
        </w:tc>
        <w:tc>
          <w:tcPr>
            <w:tcW w:w="2268" w:type="dxa"/>
          </w:tcPr>
          <w:p w14:paraId="7C329796" w14:textId="77777777" w:rsidR="00E17233" w:rsidRPr="0098635C" w:rsidRDefault="00E17233" w:rsidP="00E17233">
            <w:pPr>
              <w:jc w:val="center"/>
              <w:rPr>
                <w:strike/>
                <w:color w:val="000000" w:themeColor="text1"/>
                <w:sz w:val="20"/>
                <w:szCs w:val="20"/>
              </w:rPr>
            </w:pPr>
            <w:r w:rsidRPr="0098635C">
              <w:rPr>
                <w:color w:val="000000" w:themeColor="text1"/>
                <w:sz w:val="20"/>
                <w:szCs w:val="20"/>
              </w:rPr>
              <w:t>Not applicable to essential nutrient</w:t>
            </w:r>
          </w:p>
        </w:tc>
      </w:tr>
      <w:tr w:rsidR="00E17233" w:rsidRPr="0098635C" w14:paraId="05A51981" w14:textId="77777777" w:rsidTr="00E17233">
        <w:trPr>
          <w:trHeight w:val="416"/>
        </w:trPr>
        <w:tc>
          <w:tcPr>
            <w:tcW w:w="1980" w:type="dxa"/>
          </w:tcPr>
          <w:p w14:paraId="4343096D" w14:textId="77777777" w:rsidR="00E17233" w:rsidRPr="0098635C" w:rsidRDefault="00E17233" w:rsidP="00E17233">
            <w:pPr>
              <w:spacing w:after="0"/>
              <w:rPr>
                <w:color w:val="000000" w:themeColor="text1"/>
                <w:sz w:val="20"/>
                <w:szCs w:val="20"/>
              </w:rPr>
            </w:pPr>
            <w:r w:rsidRPr="0098635C">
              <w:rPr>
                <w:color w:val="000000" w:themeColor="text1"/>
                <w:sz w:val="20"/>
                <w:szCs w:val="20"/>
              </w:rPr>
              <w:t>Acute environmental toxicity</w:t>
            </w:r>
          </w:p>
        </w:tc>
        <w:tc>
          <w:tcPr>
            <w:tcW w:w="2126" w:type="dxa"/>
          </w:tcPr>
          <w:p w14:paraId="7DCD70E9" w14:textId="77777777" w:rsidR="00E17233" w:rsidRPr="0098635C" w:rsidRDefault="00E17233" w:rsidP="00E17233">
            <w:pPr>
              <w:spacing w:after="0"/>
              <w:jc w:val="center"/>
              <w:rPr>
                <w:color w:val="000000" w:themeColor="text1"/>
                <w:sz w:val="20"/>
                <w:szCs w:val="20"/>
              </w:rPr>
            </w:pPr>
            <w:r w:rsidRPr="0098635C">
              <w:rPr>
                <w:color w:val="000000" w:themeColor="text1"/>
                <w:sz w:val="20"/>
                <w:szCs w:val="20"/>
              </w:rPr>
              <w:t xml:space="preserve">Acute ecotoxicity of soluble copper salts </w:t>
            </w:r>
          </w:p>
          <w:p w14:paraId="4D71A470" w14:textId="77777777" w:rsidR="00E17233" w:rsidRPr="0098635C" w:rsidRDefault="00E17233" w:rsidP="00E17233">
            <w:pPr>
              <w:spacing w:after="0"/>
              <w:jc w:val="center"/>
              <w:rPr>
                <w:color w:val="000000" w:themeColor="text1"/>
                <w:sz w:val="20"/>
                <w:szCs w:val="20"/>
              </w:rPr>
            </w:pPr>
            <w:r w:rsidRPr="0098635C">
              <w:rPr>
                <w:color w:val="000000" w:themeColor="text1"/>
                <w:sz w:val="20"/>
                <w:szCs w:val="20"/>
              </w:rPr>
              <w:t xml:space="preserve">and </w:t>
            </w:r>
          </w:p>
          <w:p w14:paraId="1BBE3807" w14:textId="77777777" w:rsidR="00E17233" w:rsidRPr="0098635C" w:rsidRDefault="00E17233" w:rsidP="00E17233">
            <w:pPr>
              <w:spacing w:after="0"/>
              <w:jc w:val="center"/>
              <w:rPr>
                <w:color w:val="000000" w:themeColor="text1"/>
                <w:sz w:val="20"/>
                <w:szCs w:val="20"/>
              </w:rPr>
            </w:pPr>
            <w:r w:rsidRPr="0098635C">
              <w:rPr>
                <w:color w:val="000000" w:themeColor="text1"/>
                <w:sz w:val="20"/>
                <w:szCs w:val="20"/>
              </w:rPr>
              <w:t>Transformation/dissolution data</w:t>
            </w:r>
          </w:p>
        </w:tc>
        <w:tc>
          <w:tcPr>
            <w:tcW w:w="2126" w:type="dxa"/>
          </w:tcPr>
          <w:p w14:paraId="6B782820" w14:textId="77777777" w:rsidR="00E17233" w:rsidRPr="0098635C" w:rsidRDefault="00E17233" w:rsidP="00E17233">
            <w:pPr>
              <w:spacing w:after="0"/>
              <w:jc w:val="center"/>
              <w:rPr>
                <w:color w:val="000000" w:themeColor="text1"/>
                <w:sz w:val="20"/>
                <w:szCs w:val="20"/>
              </w:rPr>
            </w:pPr>
            <w:r w:rsidRPr="0098635C">
              <w:rPr>
                <w:color w:val="000000" w:themeColor="text1"/>
                <w:sz w:val="20"/>
                <w:szCs w:val="20"/>
              </w:rPr>
              <w:t xml:space="preserve">Acute ecotoxicity of soluble copper salts </w:t>
            </w:r>
          </w:p>
          <w:p w14:paraId="7BA84DAE" w14:textId="77777777" w:rsidR="00E17233" w:rsidRPr="0098635C" w:rsidRDefault="00E17233" w:rsidP="00E17233">
            <w:pPr>
              <w:spacing w:after="0"/>
              <w:jc w:val="center"/>
              <w:rPr>
                <w:color w:val="000000" w:themeColor="text1"/>
                <w:sz w:val="20"/>
                <w:szCs w:val="20"/>
              </w:rPr>
            </w:pPr>
            <w:r w:rsidRPr="0098635C">
              <w:rPr>
                <w:color w:val="000000" w:themeColor="text1"/>
                <w:sz w:val="20"/>
                <w:szCs w:val="20"/>
              </w:rPr>
              <w:t>and</w:t>
            </w:r>
          </w:p>
          <w:p w14:paraId="02B9085F" w14:textId="77777777" w:rsidR="00E17233" w:rsidRPr="0098635C" w:rsidRDefault="00E17233" w:rsidP="00E17233">
            <w:pPr>
              <w:spacing w:after="0"/>
              <w:jc w:val="center"/>
              <w:rPr>
                <w:color w:val="000000" w:themeColor="text1"/>
                <w:sz w:val="20"/>
                <w:szCs w:val="20"/>
              </w:rPr>
            </w:pPr>
            <w:r w:rsidRPr="0098635C">
              <w:rPr>
                <w:color w:val="000000" w:themeColor="text1"/>
                <w:sz w:val="20"/>
                <w:szCs w:val="20"/>
              </w:rPr>
              <w:t>Molecular weight translation</w:t>
            </w:r>
          </w:p>
        </w:tc>
        <w:tc>
          <w:tcPr>
            <w:tcW w:w="2127" w:type="dxa"/>
          </w:tcPr>
          <w:p w14:paraId="0F82D73E" w14:textId="77777777" w:rsidR="00E17233" w:rsidRPr="0098635C" w:rsidRDefault="00E17233" w:rsidP="00E17233">
            <w:pPr>
              <w:spacing w:after="0"/>
              <w:jc w:val="center"/>
              <w:rPr>
                <w:color w:val="000000" w:themeColor="text1"/>
                <w:sz w:val="20"/>
                <w:szCs w:val="20"/>
              </w:rPr>
            </w:pPr>
            <w:r w:rsidRPr="0098635C">
              <w:rPr>
                <w:color w:val="000000" w:themeColor="text1"/>
                <w:sz w:val="20"/>
                <w:szCs w:val="20"/>
              </w:rPr>
              <w:t xml:space="preserve">Acute ecotoxicity of soluble copper salts </w:t>
            </w:r>
          </w:p>
          <w:p w14:paraId="298817E1" w14:textId="77777777" w:rsidR="00E17233" w:rsidRPr="0098635C" w:rsidRDefault="00E17233" w:rsidP="00E17233">
            <w:pPr>
              <w:spacing w:after="0"/>
              <w:jc w:val="center"/>
              <w:rPr>
                <w:color w:val="000000" w:themeColor="text1"/>
                <w:sz w:val="20"/>
                <w:szCs w:val="20"/>
              </w:rPr>
            </w:pPr>
            <w:r w:rsidRPr="0098635C">
              <w:rPr>
                <w:color w:val="000000" w:themeColor="text1"/>
                <w:sz w:val="20"/>
                <w:szCs w:val="20"/>
              </w:rPr>
              <w:t xml:space="preserve">and </w:t>
            </w:r>
          </w:p>
          <w:p w14:paraId="6508DF9D" w14:textId="77777777" w:rsidR="00E17233" w:rsidRPr="0098635C" w:rsidRDefault="00E17233" w:rsidP="00E17233">
            <w:pPr>
              <w:spacing w:after="0"/>
              <w:jc w:val="center"/>
              <w:rPr>
                <w:color w:val="000000" w:themeColor="text1"/>
                <w:sz w:val="20"/>
                <w:szCs w:val="20"/>
              </w:rPr>
            </w:pPr>
            <w:r w:rsidRPr="0098635C">
              <w:rPr>
                <w:color w:val="000000" w:themeColor="text1"/>
                <w:sz w:val="20"/>
                <w:szCs w:val="20"/>
              </w:rPr>
              <w:t xml:space="preserve">Transformation/dissolution data </w:t>
            </w:r>
          </w:p>
        </w:tc>
        <w:tc>
          <w:tcPr>
            <w:tcW w:w="2126" w:type="dxa"/>
          </w:tcPr>
          <w:p w14:paraId="207771D0" w14:textId="77777777" w:rsidR="00E17233" w:rsidRPr="0098635C" w:rsidRDefault="00E17233" w:rsidP="00E17233">
            <w:pPr>
              <w:spacing w:after="0"/>
              <w:jc w:val="center"/>
              <w:rPr>
                <w:color w:val="000000" w:themeColor="text1"/>
                <w:sz w:val="20"/>
                <w:szCs w:val="20"/>
              </w:rPr>
            </w:pPr>
            <w:r w:rsidRPr="0098635C">
              <w:rPr>
                <w:color w:val="000000" w:themeColor="text1"/>
                <w:sz w:val="20"/>
                <w:szCs w:val="20"/>
              </w:rPr>
              <w:t xml:space="preserve">Acute ecotoxicity of soluble copper salts </w:t>
            </w:r>
          </w:p>
          <w:p w14:paraId="215601FF" w14:textId="77777777" w:rsidR="00E17233" w:rsidRPr="0098635C" w:rsidRDefault="00E17233" w:rsidP="00E17233">
            <w:pPr>
              <w:spacing w:after="0"/>
              <w:jc w:val="center"/>
              <w:rPr>
                <w:color w:val="000000" w:themeColor="text1"/>
                <w:sz w:val="20"/>
                <w:szCs w:val="20"/>
              </w:rPr>
            </w:pPr>
            <w:r w:rsidRPr="0098635C">
              <w:rPr>
                <w:color w:val="000000" w:themeColor="text1"/>
                <w:sz w:val="20"/>
                <w:szCs w:val="20"/>
              </w:rPr>
              <w:t>and</w:t>
            </w:r>
          </w:p>
          <w:p w14:paraId="7B974769" w14:textId="77777777" w:rsidR="00E17233" w:rsidRPr="0098635C" w:rsidRDefault="00E17233" w:rsidP="00E17233">
            <w:pPr>
              <w:spacing w:after="0"/>
              <w:jc w:val="center"/>
              <w:rPr>
                <w:color w:val="000000" w:themeColor="text1"/>
                <w:sz w:val="20"/>
                <w:szCs w:val="20"/>
              </w:rPr>
            </w:pPr>
            <w:r w:rsidRPr="0098635C">
              <w:rPr>
                <w:color w:val="000000" w:themeColor="text1"/>
                <w:sz w:val="20"/>
                <w:szCs w:val="20"/>
              </w:rPr>
              <w:t>Molecular weight translation</w:t>
            </w:r>
          </w:p>
        </w:tc>
        <w:tc>
          <w:tcPr>
            <w:tcW w:w="2268" w:type="dxa"/>
          </w:tcPr>
          <w:p w14:paraId="759B74B0" w14:textId="77777777" w:rsidR="00E17233" w:rsidRPr="0098635C" w:rsidRDefault="00E17233" w:rsidP="00E17233">
            <w:pPr>
              <w:spacing w:after="0"/>
              <w:jc w:val="center"/>
              <w:rPr>
                <w:color w:val="000000" w:themeColor="text1"/>
                <w:sz w:val="20"/>
                <w:szCs w:val="20"/>
              </w:rPr>
            </w:pPr>
            <w:r w:rsidRPr="0098635C">
              <w:rPr>
                <w:color w:val="000000" w:themeColor="text1"/>
                <w:sz w:val="20"/>
                <w:szCs w:val="20"/>
              </w:rPr>
              <w:t xml:space="preserve">Acute ecotoxicity of soluble copper salts </w:t>
            </w:r>
          </w:p>
          <w:p w14:paraId="67D8735B" w14:textId="77777777" w:rsidR="00E17233" w:rsidRPr="0098635C" w:rsidRDefault="00E17233" w:rsidP="00E17233">
            <w:pPr>
              <w:spacing w:after="0"/>
              <w:jc w:val="center"/>
              <w:rPr>
                <w:color w:val="000000" w:themeColor="text1"/>
                <w:sz w:val="20"/>
                <w:szCs w:val="20"/>
              </w:rPr>
            </w:pPr>
            <w:r w:rsidRPr="0098635C">
              <w:rPr>
                <w:color w:val="000000" w:themeColor="text1"/>
                <w:sz w:val="20"/>
                <w:szCs w:val="20"/>
              </w:rPr>
              <w:t>and</w:t>
            </w:r>
          </w:p>
          <w:p w14:paraId="75CE47CA" w14:textId="77777777" w:rsidR="00E17233" w:rsidRPr="0098635C" w:rsidRDefault="00E17233" w:rsidP="00E17233">
            <w:pPr>
              <w:spacing w:after="0"/>
              <w:jc w:val="center"/>
              <w:rPr>
                <w:color w:val="000000" w:themeColor="text1"/>
                <w:sz w:val="20"/>
                <w:szCs w:val="20"/>
              </w:rPr>
            </w:pPr>
            <w:r w:rsidRPr="0098635C">
              <w:rPr>
                <w:color w:val="000000" w:themeColor="text1"/>
                <w:sz w:val="20"/>
                <w:szCs w:val="20"/>
              </w:rPr>
              <w:t>Molecular weight translation</w:t>
            </w:r>
          </w:p>
        </w:tc>
      </w:tr>
      <w:tr w:rsidR="00E17233" w:rsidRPr="0098635C" w14:paraId="07184884" w14:textId="77777777" w:rsidTr="00E17233">
        <w:tc>
          <w:tcPr>
            <w:tcW w:w="1980" w:type="dxa"/>
          </w:tcPr>
          <w:p w14:paraId="29D02CED" w14:textId="77777777" w:rsidR="00E17233" w:rsidRPr="0098635C" w:rsidRDefault="00E17233" w:rsidP="00E17233">
            <w:pPr>
              <w:spacing w:after="0"/>
              <w:rPr>
                <w:color w:val="000000" w:themeColor="text1"/>
                <w:sz w:val="20"/>
                <w:szCs w:val="20"/>
              </w:rPr>
            </w:pPr>
            <w:r w:rsidRPr="0098635C">
              <w:rPr>
                <w:color w:val="000000" w:themeColor="text1"/>
                <w:sz w:val="20"/>
                <w:szCs w:val="20"/>
              </w:rPr>
              <w:t>Chronic environmental toxicity</w:t>
            </w:r>
          </w:p>
        </w:tc>
        <w:tc>
          <w:tcPr>
            <w:tcW w:w="2126" w:type="dxa"/>
          </w:tcPr>
          <w:p w14:paraId="32584961" w14:textId="77777777" w:rsidR="00E17233" w:rsidRPr="0098635C" w:rsidRDefault="00E17233" w:rsidP="00E17233">
            <w:pPr>
              <w:spacing w:after="0"/>
              <w:jc w:val="center"/>
              <w:rPr>
                <w:color w:val="000000" w:themeColor="text1"/>
                <w:sz w:val="20"/>
                <w:szCs w:val="20"/>
              </w:rPr>
            </w:pPr>
            <w:r w:rsidRPr="0098635C">
              <w:rPr>
                <w:color w:val="000000" w:themeColor="text1"/>
                <w:sz w:val="20"/>
                <w:szCs w:val="20"/>
              </w:rPr>
              <w:t xml:space="preserve">Chronic ecotoxicity of soluble copper salts </w:t>
            </w:r>
          </w:p>
          <w:p w14:paraId="0003DA72" w14:textId="77777777" w:rsidR="00E17233" w:rsidRPr="0098635C" w:rsidRDefault="00E17233" w:rsidP="00E17233">
            <w:pPr>
              <w:spacing w:after="0"/>
              <w:jc w:val="center"/>
              <w:rPr>
                <w:color w:val="000000" w:themeColor="text1"/>
                <w:sz w:val="20"/>
                <w:szCs w:val="20"/>
              </w:rPr>
            </w:pPr>
            <w:r w:rsidRPr="0098635C">
              <w:rPr>
                <w:color w:val="000000" w:themeColor="text1"/>
                <w:sz w:val="20"/>
                <w:szCs w:val="20"/>
              </w:rPr>
              <w:t xml:space="preserve">and </w:t>
            </w:r>
          </w:p>
          <w:p w14:paraId="2EDFF07A" w14:textId="77777777" w:rsidR="00E17233" w:rsidRPr="0098635C" w:rsidRDefault="00E17233" w:rsidP="00E17233">
            <w:pPr>
              <w:spacing w:after="0"/>
              <w:jc w:val="center"/>
              <w:rPr>
                <w:color w:val="000000" w:themeColor="text1"/>
                <w:sz w:val="20"/>
                <w:szCs w:val="20"/>
              </w:rPr>
            </w:pPr>
            <w:r w:rsidRPr="0098635C">
              <w:rPr>
                <w:color w:val="000000" w:themeColor="text1"/>
                <w:sz w:val="20"/>
                <w:szCs w:val="20"/>
              </w:rPr>
              <w:t>Transformation/dissolution data</w:t>
            </w:r>
          </w:p>
        </w:tc>
        <w:tc>
          <w:tcPr>
            <w:tcW w:w="2126" w:type="dxa"/>
          </w:tcPr>
          <w:p w14:paraId="6019407A" w14:textId="77777777" w:rsidR="00E17233" w:rsidRPr="0098635C" w:rsidRDefault="00E17233" w:rsidP="00E17233">
            <w:pPr>
              <w:spacing w:after="0"/>
              <w:jc w:val="center"/>
              <w:rPr>
                <w:color w:val="000000" w:themeColor="text1"/>
                <w:sz w:val="20"/>
                <w:szCs w:val="20"/>
              </w:rPr>
            </w:pPr>
            <w:r w:rsidRPr="0098635C">
              <w:rPr>
                <w:color w:val="000000" w:themeColor="text1"/>
                <w:sz w:val="20"/>
                <w:szCs w:val="20"/>
              </w:rPr>
              <w:t xml:space="preserve">Chronic ecotoxicity of soluble copper salts </w:t>
            </w:r>
          </w:p>
          <w:p w14:paraId="43CB6CE9" w14:textId="77777777" w:rsidR="00E17233" w:rsidRPr="0098635C" w:rsidRDefault="00E17233" w:rsidP="00E17233">
            <w:pPr>
              <w:spacing w:after="0"/>
              <w:jc w:val="center"/>
              <w:rPr>
                <w:color w:val="000000" w:themeColor="text1"/>
                <w:sz w:val="20"/>
                <w:szCs w:val="20"/>
              </w:rPr>
            </w:pPr>
            <w:r w:rsidRPr="0098635C">
              <w:rPr>
                <w:color w:val="000000" w:themeColor="text1"/>
                <w:sz w:val="20"/>
                <w:szCs w:val="20"/>
              </w:rPr>
              <w:t>and</w:t>
            </w:r>
          </w:p>
          <w:p w14:paraId="6E1E0E0B" w14:textId="77777777" w:rsidR="00E17233" w:rsidRPr="0098635C" w:rsidRDefault="00E17233" w:rsidP="00E17233">
            <w:pPr>
              <w:spacing w:after="0"/>
              <w:jc w:val="center"/>
              <w:rPr>
                <w:color w:val="000000" w:themeColor="text1"/>
                <w:sz w:val="20"/>
                <w:szCs w:val="20"/>
              </w:rPr>
            </w:pPr>
            <w:r w:rsidRPr="0098635C">
              <w:rPr>
                <w:color w:val="000000" w:themeColor="text1"/>
                <w:sz w:val="20"/>
                <w:szCs w:val="20"/>
              </w:rPr>
              <w:t>Molecular weight translation</w:t>
            </w:r>
          </w:p>
        </w:tc>
        <w:tc>
          <w:tcPr>
            <w:tcW w:w="2127" w:type="dxa"/>
          </w:tcPr>
          <w:p w14:paraId="120DAF50" w14:textId="77777777" w:rsidR="00E17233" w:rsidRPr="0098635C" w:rsidRDefault="00E17233" w:rsidP="00E17233">
            <w:pPr>
              <w:spacing w:after="0"/>
              <w:jc w:val="center"/>
              <w:rPr>
                <w:color w:val="000000" w:themeColor="text1"/>
                <w:sz w:val="20"/>
                <w:szCs w:val="20"/>
              </w:rPr>
            </w:pPr>
            <w:r w:rsidRPr="0098635C">
              <w:rPr>
                <w:color w:val="000000" w:themeColor="text1"/>
                <w:sz w:val="20"/>
                <w:szCs w:val="20"/>
              </w:rPr>
              <w:t xml:space="preserve">Chronic ecotoxicity of soluble copper salts </w:t>
            </w:r>
          </w:p>
          <w:p w14:paraId="320B5885" w14:textId="77777777" w:rsidR="00E17233" w:rsidRPr="0098635C" w:rsidRDefault="00E17233" w:rsidP="00E17233">
            <w:pPr>
              <w:spacing w:after="0"/>
              <w:jc w:val="center"/>
              <w:rPr>
                <w:color w:val="000000" w:themeColor="text1"/>
                <w:sz w:val="20"/>
                <w:szCs w:val="20"/>
              </w:rPr>
            </w:pPr>
            <w:r w:rsidRPr="0098635C">
              <w:rPr>
                <w:color w:val="000000" w:themeColor="text1"/>
                <w:sz w:val="20"/>
                <w:szCs w:val="20"/>
              </w:rPr>
              <w:t xml:space="preserve">and </w:t>
            </w:r>
          </w:p>
          <w:p w14:paraId="784FB297" w14:textId="77777777" w:rsidR="00E17233" w:rsidRPr="0098635C" w:rsidRDefault="00E17233" w:rsidP="00E17233">
            <w:pPr>
              <w:spacing w:after="0"/>
              <w:jc w:val="center"/>
              <w:rPr>
                <w:color w:val="000000" w:themeColor="text1"/>
                <w:sz w:val="20"/>
                <w:szCs w:val="20"/>
              </w:rPr>
            </w:pPr>
            <w:r w:rsidRPr="0098635C">
              <w:rPr>
                <w:color w:val="000000" w:themeColor="text1"/>
                <w:sz w:val="20"/>
                <w:szCs w:val="20"/>
              </w:rPr>
              <w:t xml:space="preserve">Transformation/dissolution data </w:t>
            </w:r>
          </w:p>
        </w:tc>
        <w:tc>
          <w:tcPr>
            <w:tcW w:w="2126" w:type="dxa"/>
          </w:tcPr>
          <w:p w14:paraId="2483479D" w14:textId="77777777" w:rsidR="00E17233" w:rsidRPr="0098635C" w:rsidRDefault="00E17233" w:rsidP="00E17233">
            <w:pPr>
              <w:spacing w:after="0"/>
              <w:jc w:val="center"/>
              <w:rPr>
                <w:color w:val="000000" w:themeColor="text1"/>
                <w:sz w:val="20"/>
                <w:szCs w:val="20"/>
              </w:rPr>
            </w:pPr>
            <w:r w:rsidRPr="0098635C">
              <w:rPr>
                <w:color w:val="000000" w:themeColor="text1"/>
                <w:sz w:val="20"/>
                <w:szCs w:val="20"/>
              </w:rPr>
              <w:t xml:space="preserve">Chronic ecotoxicity of soluble copper salts </w:t>
            </w:r>
          </w:p>
          <w:p w14:paraId="5B5F1625" w14:textId="77777777" w:rsidR="00E17233" w:rsidRPr="0098635C" w:rsidRDefault="00E17233" w:rsidP="00E17233">
            <w:pPr>
              <w:spacing w:after="0"/>
              <w:jc w:val="center"/>
              <w:rPr>
                <w:color w:val="000000" w:themeColor="text1"/>
                <w:sz w:val="20"/>
                <w:szCs w:val="20"/>
              </w:rPr>
            </w:pPr>
            <w:r w:rsidRPr="0098635C">
              <w:rPr>
                <w:color w:val="000000" w:themeColor="text1"/>
                <w:sz w:val="20"/>
                <w:szCs w:val="20"/>
              </w:rPr>
              <w:t>and</w:t>
            </w:r>
          </w:p>
          <w:p w14:paraId="69E1678D" w14:textId="77777777" w:rsidR="00E17233" w:rsidRPr="0098635C" w:rsidRDefault="00E17233" w:rsidP="00E17233">
            <w:pPr>
              <w:spacing w:after="0"/>
              <w:jc w:val="center"/>
              <w:rPr>
                <w:color w:val="000000" w:themeColor="text1"/>
                <w:sz w:val="20"/>
                <w:szCs w:val="20"/>
              </w:rPr>
            </w:pPr>
            <w:r w:rsidRPr="0098635C">
              <w:rPr>
                <w:color w:val="000000" w:themeColor="text1"/>
                <w:sz w:val="20"/>
                <w:szCs w:val="20"/>
              </w:rPr>
              <w:t>Molecular weight translation</w:t>
            </w:r>
          </w:p>
        </w:tc>
        <w:tc>
          <w:tcPr>
            <w:tcW w:w="2268" w:type="dxa"/>
          </w:tcPr>
          <w:p w14:paraId="074E6B76" w14:textId="77777777" w:rsidR="00E17233" w:rsidRPr="0098635C" w:rsidRDefault="00E17233" w:rsidP="00E17233">
            <w:pPr>
              <w:spacing w:after="0"/>
              <w:jc w:val="center"/>
              <w:rPr>
                <w:color w:val="000000" w:themeColor="text1"/>
                <w:sz w:val="20"/>
                <w:szCs w:val="20"/>
              </w:rPr>
            </w:pPr>
            <w:r w:rsidRPr="0098635C">
              <w:rPr>
                <w:color w:val="000000" w:themeColor="text1"/>
                <w:sz w:val="20"/>
                <w:szCs w:val="20"/>
              </w:rPr>
              <w:t xml:space="preserve">Chronic ecotoxicity of soluble copper salts  </w:t>
            </w:r>
          </w:p>
          <w:p w14:paraId="667D3C2C" w14:textId="77777777" w:rsidR="00E17233" w:rsidRPr="0098635C" w:rsidRDefault="00E17233" w:rsidP="00E17233">
            <w:pPr>
              <w:spacing w:after="0"/>
              <w:jc w:val="center"/>
              <w:rPr>
                <w:color w:val="000000" w:themeColor="text1"/>
                <w:sz w:val="20"/>
                <w:szCs w:val="20"/>
              </w:rPr>
            </w:pPr>
            <w:r w:rsidRPr="0098635C">
              <w:rPr>
                <w:color w:val="000000" w:themeColor="text1"/>
                <w:sz w:val="20"/>
                <w:szCs w:val="20"/>
              </w:rPr>
              <w:t>and</w:t>
            </w:r>
          </w:p>
          <w:p w14:paraId="6D7A4790" w14:textId="77777777" w:rsidR="00E17233" w:rsidRPr="0098635C" w:rsidRDefault="00E17233" w:rsidP="00E17233">
            <w:pPr>
              <w:spacing w:after="0"/>
              <w:jc w:val="center"/>
              <w:rPr>
                <w:color w:val="000000" w:themeColor="text1"/>
                <w:sz w:val="20"/>
                <w:szCs w:val="20"/>
              </w:rPr>
            </w:pPr>
            <w:r w:rsidRPr="0098635C">
              <w:rPr>
                <w:color w:val="000000" w:themeColor="text1"/>
                <w:sz w:val="20"/>
                <w:szCs w:val="20"/>
              </w:rPr>
              <w:t>Molecular weight translation</w:t>
            </w:r>
          </w:p>
        </w:tc>
      </w:tr>
    </w:tbl>
    <w:p w14:paraId="571FBA2D" w14:textId="77777777" w:rsidR="00FB0F1B" w:rsidRPr="0098635C" w:rsidRDefault="00FB0F1B" w:rsidP="00FB0F1B">
      <w:pPr>
        <w:pStyle w:val="Caption"/>
        <w:ind w:left="0"/>
        <w:rPr>
          <w:color w:val="000000" w:themeColor="text1"/>
          <w:sz w:val="20"/>
        </w:rPr>
      </w:pPr>
    </w:p>
    <w:p w14:paraId="77363AAB" w14:textId="77777777" w:rsidR="00FB0F1B" w:rsidRPr="0098635C" w:rsidRDefault="00FB0F1B" w:rsidP="00FB0F1B">
      <w:pPr>
        <w:widowControl/>
        <w:autoSpaceDE/>
        <w:autoSpaceDN/>
        <w:adjustRightInd/>
        <w:spacing w:after="0"/>
        <w:jc w:val="left"/>
        <w:rPr>
          <w:rFonts w:ascii="Times New Roman Bold" w:hAnsi="Times New Roman Bold"/>
          <w:b/>
          <w:bCs/>
          <w:color w:val="000000" w:themeColor="text1"/>
          <w:sz w:val="20"/>
          <w:szCs w:val="20"/>
        </w:rPr>
      </w:pPr>
      <w:r w:rsidRPr="0098635C">
        <w:rPr>
          <w:color w:val="000000" w:themeColor="text1"/>
          <w:sz w:val="20"/>
          <w:szCs w:val="20"/>
        </w:rPr>
        <w:br w:type="page"/>
      </w:r>
    </w:p>
    <w:p w14:paraId="6F5FC9AD" w14:textId="0ADCCD29" w:rsidR="00C24197" w:rsidRPr="0098635C" w:rsidRDefault="00C24197" w:rsidP="00C24197">
      <w:pPr>
        <w:spacing w:line="276" w:lineRule="auto"/>
        <w:outlineLvl w:val="0"/>
        <w:rPr>
          <w:rFonts w:eastAsia="Calibri"/>
          <w:color w:val="000000" w:themeColor="text1"/>
          <w:sz w:val="20"/>
          <w:szCs w:val="20"/>
        </w:rPr>
      </w:pPr>
      <w:bookmarkStart w:id="2083" w:name="_Toc472000402"/>
      <w:bookmarkStart w:id="2084" w:name="_Toc472251762"/>
      <w:r w:rsidRPr="0098635C">
        <w:rPr>
          <w:rFonts w:eastAsia="Calibri"/>
          <w:color w:val="000000" w:themeColor="text1"/>
          <w:sz w:val="20"/>
          <w:szCs w:val="20"/>
        </w:rPr>
        <w:lastRenderedPageBreak/>
        <w:t>Annex I</w:t>
      </w:r>
      <w:r w:rsidR="00FB0F1B" w:rsidRPr="0098635C">
        <w:rPr>
          <w:rFonts w:eastAsia="Calibri"/>
          <w:color w:val="000000" w:themeColor="text1"/>
          <w:sz w:val="20"/>
          <w:szCs w:val="20"/>
        </w:rPr>
        <w:t>I</w:t>
      </w:r>
      <w:r w:rsidRPr="0098635C">
        <w:rPr>
          <w:rFonts w:eastAsia="Calibri"/>
          <w:color w:val="000000" w:themeColor="text1"/>
          <w:sz w:val="20"/>
          <w:szCs w:val="20"/>
        </w:rPr>
        <w:t xml:space="preserve"> : Overview of toxicological data (reliable study results) for five copper substances  and category rational matrix for human health</w:t>
      </w:r>
      <w:bookmarkEnd w:id="2083"/>
      <w:bookmarkEnd w:id="2084"/>
    </w:p>
    <w:tbl>
      <w:tblPr>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2046"/>
        <w:gridCol w:w="2089"/>
        <w:gridCol w:w="2058"/>
        <w:gridCol w:w="2018"/>
        <w:gridCol w:w="2057"/>
        <w:gridCol w:w="2409"/>
      </w:tblGrid>
      <w:tr w:rsidR="00C24197" w:rsidRPr="0098635C" w14:paraId="0AB300A2" w14:textId="77777777" w:rsidTr="00982513">
        <w:tc>
          <w:tcPr>
            <w:tcW w:w="2060" w:type="dxa"/>
            <w:tcBorders>
              <w:bottom w:val="single" w:sz="18" w:space="0" w:color="auto"/>
              <w:right w:val="single" w:sz="18" w:space="0" w:color="auto"/>
            </w:tcBorders>
            <w:shd w:val="clear" w:color="auto" w:fill="auto"/>
            <w:vAlign w:val="center"/>
          </w:tcPr>
          <w:p w14:paraId="48C8F0ED" w14:textId="77777777" w:rsidR="00C24197" w:rsidRPr="0098635C" w:rsidRDefault="00C24197" w:rsidP="009B2B28">
            <w:pPr>
              <w:spacing w:before="40" w:after="40"/>
              <w:jc w:val="center"/>
              <w:rPr>
                <w:rFonts w:eastAsia="Calibri"/>
                <w:color w:val="000000" w:themeColor="text1"/>
                <w:sz w:val="20"/>
                <w:szCs w:val="20"/>
              </w:rPr>
            </w:pPr>
          </w:p>
        </w:tc>
        <w:tc>
          <w:tcPr>
            <w:tcW w:w="2046" w:type="dxa"/>
            <w:tcBorders>
              <w:left w:val="single" w:sz="18" w:space="0" w:color="auto"/>
              <w:bottom w:val="single" w:sz="18" w:space="0" w:color="auto"/>
            </w:tcBorders>
            <w:shd w:val="clear" w:color="auto" w:fill="auto"/>
            <w:vAlign w:val="center"/>
          </w:tcPr>
          <w:p w14:paraId="5FCF9055" w14:textId="77777777" w:rsidR="00C24197" w:rsidRPr="0098635C" w:rsidRDefault="00C24197" w:rsidP="009B2B28">
            <w:pPr>
              <w:spacing w:before="40" w:after="40"/>
              <w:jc w:val="center"/>
              <w:rPr>
                <w:rFonts w:eastAsia="Calibri"/>
                <w:b/>
                <w:color w:val="000000" w:themeColor="text1"/>
                <w:sz w:val="20"/>
                <w:szCs w:val="20"/>
              </w:rPr>
            </w:pPr>
            <w:r w:rsidRPr="0098635C">
              <w:rPr>
                <w:rFonts w:eastAsia="Calibri"/>
                <w:b/>
                <w:color w:val="000000" w:themeColor="text1"/>
                <w:sz w:val="20"/>
                <w:szCs w:val="20"/>
              </w:rPr>
              <w:t>Copper powder</w:t>
            </w:r>
          </w:p>
        </w:tc>
        <w:tc>
          <w:tcPr>
            <w:tcW w:w="2089" w:type="dxa"/>
            <w:tcBorders>
              <w:bottom w:val="single" w:sz="18" w:space="0" w:color="auto"/>
            </w:tcBorders>
            <w:shd w:val="clear" w:color="auto" w:fill="auto"/>
            <w:vAlign w:val="center"/>
          </w:tcPr>
          <w:p w14:paraId="38E0FDB9" w14:textId="77777777" w:rsidR="00C24197" w:rsidRPr="0098635C" w:rsidRDefault="00C24197" w:rsidP="009B2B28">
            <w:pPr>
              <w:spacing w:before="40" w:after="40"/>
              <w:jc w:val="center"/>
              <w:rPr>
                <w:rFonts w:eastAsia="Calibri"/>
                <w:b/>
                <w:color w:val="000000" w:themeColor="text1"/>
                <w:sz w:val="20"/>
                <w:szCs w:val="20"/>
              </w:rPr>
            </w:pPr>
            <w:r w:rsidRPr="0098635C">
              <w:rPr>
                <w:rFonts w:eastAsia="Calibri"/>
                <w:b/>
                <w:color w:val="000000" w:themeColor="text1"/>
                <w:sz w:val="20"/>
                <w:szCs w:val="20"/>
              </w:rPr>
              <w:t>Copper flakes</w:t>
            </w:r>
          </w:p>
        </w:tc>
        <w:tc>
          <w:tcPr>
            <w:tcW w:w="2058" w:type="dxa"/>
            <w:tcBorders>
              <w:bottom w:val="single" w:sz="18" w:space="0" w:color="auto"/>
              <w:right w:val="single" w:sz="18" w:space="0" w:color="auto"/>
            </w:tcBorders>
            <w:shd w:val="clear" w:color="auto" w:fill="auto"/>
            <w:vAlign w:val="center"/>
          </w:tcPr>
          <w:p w14:paraId="2A726AD0" w14:textId="77777777" w:rsidR="00C24197" w:rsidRPr="0098635C" w:rsidRDefault="00C24197" w:rsidP="009B2B28">
            <w:pPr>
              <w:spacing w:before="40" w:after="40"/>
              <w:jc w:val="center"/>
              <w:rPr>
                <w:rFonts w:eastAsia="Calibri"/>
                <w:b/>
                <w:color w:val="000000" w:themeColor="text1"/>
                <w:sz w:val="20"/>
                <w:szCs w:val="20"/>
              </w:rPr>
            </w:pPr>
            <w:r w:rsidRPr="0098635C">
              <w:rPr>
                <w:rFonts w:eastAsia="Calibri"/>
                <w:b/>
                <w:color w:val="000000" w:themeColor="text1"/>
                <w:sz w:val="20"/>
                <w:szCs w:val="20"/>
              </w:rPr>
              <w:t>Copper sulphate pentahydrate</w:t>
            </w:r>
          </w:p>
        </w:tc>
        <w:tc>
          <w:tcPr>
            <w:tcW w:w="2018" w:type="dxa"/>
            <w:tcBorders>
              <w:left w:val="single" w:sz="18" w:space="0" w:color="auto"/>
              <w:bottom w:val="single" w:sz="18" w:space="0" w:color="auto"/>
            </w:tcBorders>
            <w:shd w:val="clear" w:color="auto" w:fill="auto"/>
            <w:vAlign w:val="center"/>
          </w:tcPr>
          <w:p w14:paraId="027887C8" w14:textId="1CE2AC58" w:rsidR="00C24197" w:rsidRPr="0098635C" w:rsidRDefault="00236182" w:rsidP="009B2B28">
            <w:pPr>
              <w:spacing w:before="40" w:after="40"/>
              <w:jc w:val="center"/>
              <w:rPr>
                <w:rFonts w:eastAsia="Calibri"/>
                <w:b/>
                <w:color w:val="000000" w:themeColor="text1"/>
                <w:sz w:val="20"/>
                <w:szCs w:val="20"/>
              </w:rPr>
            </w:pPr>
            <w:r w:rsidRPr="0098635C">
              <w:rPr>
                <w:rFonts w:eastAsia="Calibri"/>
                <w:b/>
                <w:color w:val="000000" w:themeColor="text1"/>
                <w:sz w:val="20"/>
                <w:szCs w:val="20"/>
              </w:rPr>
              <w:t>Copper (I) oxide</w:t>
            </w:r>
          </w:p>
        </w:tc>
        <w:tc>
          <w:tcPr>
            <w:tcW w:w="2057" w:type="dxa"/>
            <w:tcBorders>
              <w:left w:val="single" w:sz="18" w:space="0" w:color="auto"/>
              <w:bottom w:val="single" w:sz="18" w:space="0" w:color="auto"/>
            </w:tcBorders>
          </w:tcPr>
          <w:p w14:paraId="64FDAB71" w14:textId="3EFA5DF2" w:rsidR="00C24197" w:rsidRPr="0098635C" w:rsidRDefault="00236182" w:rsidP="009B2B28">
            <w:pPr>
              <w:spacing w:before="40" w:after="40"/>
              <w:jc w:val="center"/>
              <w:rPr>
                <w:rFonts w:eastAsia="Calibri"/>
                <w:b/>
                <w:color w:val="000000" w:themeColor="text1"/>
                <w:sz w:val="20"/>
                <w:szCs w:val="20"/>
              </w:rPr>
            </w:pPr>
            <w:r w:rsidRPr="0098635C">
              <w:rPr>
                <w:rFonts w:eastAsia="Calibri"/>
                <w:b/>
                <w:color w:val="000000" w:themeColor="text1"/>
                <w:sz w:val="20"/>
                <w:szCs w:val="20"/>
              </w:rPr>
              <w:t>Copper (II) oxide</w:t>
            </w:r>
          </w:p>
        </w:tc>
        <w:tc>
          <w:tcPr>
            <w:tcW w:w="2409" w:type="dxa"/>
            <w:tcBorders>
              <w:left w:val="single" w:sz="18" w:space="0" w:color="auto"/>
              <w:bottom w:val="single" w:sz="18" w:space="0" w:color="auto"/>
            </w:tcBorders>
          </w:tcPr>
          <w:p w14:paraId="72A6F933" w14:textId="25F2ECAD" w:rsidR="00C24197" w:rsidRPr="0098635C" w:rsidRDefault="00236182" w:rsidP="009B2B28">
            <w:pPr>
              <w:spacing w:before="40" w:after="40"/>
              <w:jc w:val="center"/>
              <w:rPr>
                <w:rFonts w:eastAsia="Calibri"/>
                <w:b/>
                <w:color w:val="000000" w:themeColor="text1"/>
                <w:sz w:val="20"/>
                <w:szCs w:val="20"/>
              </w:rPr>
            </w:pPr>
            <w:r w:rsidRPr="0098635C">
              <w:rPr>
                <w:rFonts w:eastAsia="Calibri"/>
                <w:b/>
                <w:color w:val="000000" w:themeColor="text1"/>
                <w:sz w:val="20"/>
                <w:szCs w:val="20"/>
              </w:rPr>
              <w:t>Dicopper chloride trihydroxide</w:t>
            </w:r>
          </w:p>
        </w:tc>
      </w:tr>
      <w:tr w:rsidR="00C24197" w:rsidRPr="0098635C" w14:paraId="05444667" w14:textId="77777777" w:rsidTr="00982513">
        <w:tc>
          <w:tcPr>
            <w:tcW w:w="2060" w:type="dxa"/>
            <w:tcBorders>
              <w:top w:val="single" w:sz="18" w:space="0" w:color="auto"/>
              <w:right w:val="single" w:sz="18" w:space="0" w:color="auto"/>
            </w:tcBorders>
            <w:shd w:val="clear" w:color="auto" w:fill="auto"/>
            <w:vAlign w:val="center"/>
          </w:tcPr>
          <w:p w14:paraId="102BF7EF" w14:textId="77777777" w:rsidR="00C24197" w:rsidRPr="0098635C" w:rsidRDefault="00C24197" w:rsidP="009B2B28">
            <w:pPr>
              <w:spacing w:before="40" w:after="40"/>
              <w:jc w:val="center"/>
              <w:rPr>
                <w:rFonts w:eastAsia="Calibri"/>
                <w:b/>
                <w:color w:val="000000" w:themeColor="text1"/>
                <w:sz w:val="20"/>
                <w:szCs w:val="20"/>
              </w:rPr>
            </w:pPr>
            <w:r w:rsidRPr="0098635C">
              <w:rPr>
                <w:rFonts w:eastAsia="Calibri"/>
                <w:b/>
                <w:color w:val="000000" w:themeColor="text1"/>
                <w:sz w:val="20"/>
                <w:szCs w:val="20"/>
              </w:rPr>
              <w:t>Acute toxicity, oral</w:t>
            </w:r>
          </w:p>
        </w:tc>
        <w:tc>
          <w:tcPr>
            <w:tcW w:w="2046" w:type="dxa"/>
            <w:tcBorders>
              <w:top w:val="single" w:sz="18" w:space="0" w:color="auto"/>
              <w:left w:val="single" w:sz="18" w:space="0" w:color="auto"/>
            </w:tcBorders>
            <w:shd w:val="clear" w:color="auto" w:fill="auto"/>
            <w:vAlign w:val="center"/>
          </w:tcPr>
          <w:p w14:paraId="01D33E54" w14:textId="77777777" w:rsidR="00C24197" w:rsidRPr="0098635C" w:rsidRDefault="00C24197" w:rsidP="009B2B28">
            <w:pPr>
              <w:spacing w:before="40" w:after="40"/>
              <w:jc w:val="center"/>
              <w:rPr>
                <w:rFonts w:eastAsia="Calibri"/>
                <w:color w:val="000000" w:themeColor="text1"/>
                <w:sz w:val="20"/>
                <w:szCs w:val="20"/>
                <w:lang w:val="nl-BE"/>
              </w:rPr>
            </w:pPr>
            <w:r w:rsidRPr="0098635C">
              <w:rPr>
                <w:rFonts w:eastAsia="Calibri"/>
                <w:color w:val="000000" w:themeColor="text1"/>
                <w:sz w:val="20"/>
                <w:szCs w:val="20"/>
                <w:lang w:val="nl-BE"/>
              </w:rPr>
              <w:t>OECD TG 401:</w:t>
            </w:r>
          </w:p>
          <w:p w14:paraId="200AE054" w14:textId="77777777" w:rsidR="00C24197" w:rsidRPr="0098635C" w:rsidRDefault="00C24197" w:rsidP="009B2B28">
            <w:pPr>
              <w:spacing w:before="40" w:after="40"/>
              <w:jc w:val="center"/>
              <w:rPr>
                <w:rFonts w:eastAsia="Calibri"/>
                <w:color w:val="000000" w:themeColor="text1"/>
                <w:sz w:val="20"/>
                <w:szCs w:val="20"/>
                <w:vertAlign w:val="superscript"/>
                <w:lang w:val="nl-BE"/>
              </w:rPr>
            </w:pPr>
            <w:r w:rsidRPr="0098635C">
              <w:rPr>
                <w:rFonts w:eastAsia="Calibri"/>
                <w:color w:val="000000" w:themeColor="text1"/>
                <w:sz w:val="20"/>
                <w:szCs w:val="20"/>
                <w:lang w:val="nl-BE"/>
              </w:rPr>
              <w:t>LD</w:t>
            </w:r>
            <w:r w:rsidRPr="0098635C">
              <w:rPr>
                <w:rFonts w:eastAsia="Calibri"/>
                <w:color w:val="000000" w:themeColor="text1"/>
                <w:sz w:val="20"/>
                <w:szCs w:val="20"/>
                <w:vertAlign w:val="subscript"/>
                <w:lang w:val="nl-BE"/>
              </w:rPr>
              <w:t>50</w:t>
            </w:r>
            <w:r w:rsidRPr="0098635C">
              <w:rPr>
                <w:rFonts w:eastAsia="Calibri"/>
                <w:color w:val="000000" w:themeColor="text1"/>
                <w:sz w:val="20"/>
                <w:szCs w:val="20"/>
                <w:lang w:val="nl-BE"/>
              </w:rPr>
              <w:t xml:space="preserve"> &gt; 2000 mg/kg</w:t>
            </w:r>
            <w:r w:rsidRPr="0098635C">
              <w:rPr>
                <w:rFonts w:eastAsia="Calibri"/>
                <w:color w:val="000000" w:themeColor="text1"/>
                <w:sz w:val="20"/>
                <w:szCs w:val="20"/>
                <w:vertAlign w:val="superscript"/>
                <w:lang w:val="nl-BE"/>
              </w:rPr>
              <w:t>(1)</w:t>
            </w:r>
          </w:p>
        </w:tc>
        <w:tc>
          <w:tcPr>
            <w:tcW w:w="2089" w:type="dxa"/>
            <w:tcBorders>
              <w:top w:val="single" w:sz="18" w:space="0" w:color="auto"/>
            </w:tcBorders>
            <w:shd w:val="clear" w:color="auto" w:fill="auto"/>
            <w:vAlign w:val="center"/>
          </w:tcPr>
          <w:p w14:paraId="5C4CB8C1" w14:textId="77777777" w:rsidR="00C24197" w:rsidRPr="0098635C" w:rsidRDefault="00C24197" w:rsidP="009B2B28">
            <w:pPr>
              <w:spacing w:before="40" w:after="40"/>
              <w:jc w:val="center"/>
              <w:rPr>
                <w:rFonts w:eastAsia="Calibri"/>
                <w:color w:val="000000" w:themeColor="text1"/>
                <w:sz w:val="20"/>
                <w:szCs w:val="20"/>
                <w:lang w:val="nl-BE"/>
              </w:rPr>
            </w:pPr>
            <w:r w:rsidRPr="0098635C">
              <w:rPr>
                <w:rFonts w:eastAsia="Calibri"/>
                <w:color w:val="000000" w:themeColor="text1"/>
                <w:sz w:val="20"/>
                <w:szCs w:val="20"/>
                <w:lang w:val="nl-BE"/>
              </w:rPr>
              <w:t>OECD TG 401:</w:t>
            </w:r>
          </w:p>
          <w:p w14:paraId="0658A47A" w14:textId="77777777" w:rsidR="00C24197" w:rsidRPr="0098635C" w:rsidRDefault="00C24197" w:rsidP="009B2B28">
            <w:pPr>
              <w:spacing w:before="40" w:after="40"/>
              <w:jc w:val="center"/>
              <w:rPr>
                <w:rFonts w:eastAsia="Calibri"/>
                <w:color w:val="000000" w:themeColor="text1"/>
                <w:sz w:val="20"/>
                <w:szCs w:val="20"/>
                <w:lang w:val="nl-BE"/>
              </w:rPr>
            </w:pPr>
            <w:r w:rsidRPr="0098635C">
              <w:rPr>
                <w:rFonts w:eastAsia="Calibri"/>
                <w:color w:val="000000" w:themeColor="text1"/>
                <w:sz w:val="20"/>
                <w:szCs w:val="20"/>
                <w:lang w:val="nl-BE"/>
              </w:rPr>
              <w:t>LD</w:t>
            </w:r>
            <w:r w:rsidRPr="0098635C">
              <w:rPr>
                <w:rFonts w:eastAsia="Calibri"/>
                <w:color w:val="000000" w:themeColor="text1"/>
                <w:sz w:val="20"/>
                <w:szCs w:val="20"/>
                <w:vertAlign w:val="subscript"/>
                <w:lang w:val="nl-BE"/>
              </w:rPr>
              <w:t>50</w:t>
            </w:r>
            <w:r w:rsidRPr="0098635C">
              <w:rPr>
                <w:rFonts w:eastAsia="Calibri"/>
                <w:color w:val="000000" w:themeColor="text1"/>
                <w:sz w:val="20"/>
                <w:szCs w:val="20"/>
                <w:lang w:val="nl-BE"/>
              </w:rPr>
              <w:t xml:space="preserve"> &gt; 300-500 mg/kg</w:t>
            </w:r>
          </w:p>
        </w:tc>
        <w:tc>
          <w:tcPr>
            <w:tcW w:w="2058" w:type="dxa"/>
            <w:tcBorders>
              <w:top w:val="single" w:sz="18" w:space="0" w:color="auto"/>
              <w:right w:val="single" w:sz="18" w:space="0" w:color="auto"/>
            </w:tcBorders>
            <w:shd w:val="clear" w:color="auto" w:fill="auto"/>
            <w:vAlign w:val="center"/>
          </w:tcPr>
          <w:p w14:paraId="11AA8010" w14:textId="77777777" w:rsidR="00C24197" w:rsidRPr="0098635C" w:rsidRDefault="00C24197" w:rsidP="009B2B28">
            <w:pPr>
              <w:spacing w:before="40" w:after="40"/>
              <w:jc w:val="center"/>
              <w:rPr>
                <w:rFonts w:eastAsia="Calibri"/>
                <w:color w:val="000000" w:themeColor="text1"/>
                <w:sz w:val="20"/>
                <w:szCs w:val="20"/>
                <w:lang w:val="nl-BE"/>
              </w:rPr>
            </w:pPr>
            <w:r w:rsidRPr="0098635C">
              <w:rPr>
                <w:rFonts w:eastAsia="Calibri"/>
                <w:color w:val="000000" w:themeColor="text1"/>
                <w:sz w:val="20"/>
                <w:szCs w:val="20"/>
                <w:lang w:val="nl-BE"/>
              </w:rPr>
              <w:t>OECD TG 401:</w:t>
            </w:r>
          </w:p>
          <w:p w14:paraId="54FFB1F0" w14:textId="77777777" w:rsidR="00C24197" w:rsidRPr="0098635C" w:rsidRDefault="00C24197" w:rsidP="009B2B28">
            <w:pPr>
              <w:spacing w:before="40" w:after="40"/>
              <w:jc w:val="center"/>
              <w:rPr>
                <w:rFonts w:eastAsia="Calibri"/>
                <w:color w:val="000000" w:themeColor="text1"/>
                <w:sz w:val="20"/>
                <w:szCs w:val="20"/>
                <w:lang w:val="nl-BE"/>
              </w:rPr>
            </w:pPr>
            <w:r w:rsidRPr="0098635C">
              <w:rPr>
                <w:rFonts w:eastAsia="Calibri"/>
                <w:color w:val="000000" w:themeColor="text1"/>
                <w:sz w:val="20"/>
                <w:szCs w:val="20"/>
                <w:lang w:val="nl-BE"/>
              </w:rPr>
              <w:t>LD</w:t>
            </w:r>
            <w:r w:rsidRPr="0098635C">
              <w:rPr>
                <w:rFonts w:eastAsia="Calibri"/>
                <w:color w:val="000000" w:themeColor="text1"/>
                <w:sz w:val="20"/>
                <w:szCs w:val="20"/>
                <w:vertAlign w:val="subscript"/>
                <w:lang w:val="nl-BE"/>
              </w:rPr>
              <w:t>50</w:t>
            </w:r>
            <w:r w:rsidRPr="0098635C">
              <w:rPr>
                <w:rFonts w:eastAsia="Calibri"/>
                <w:color w:val="000000" w:themeColor="text1"/>
                <w:sz w:val="20"/>
                <w:szCs w:val="20"/>
                <w:lang w:val="nl-BE"/>
              </w:rPr>
              <w:t xml:space="preserve"> = 482 mg/kg</w:t>
            </w:r>
          </w:p>
        </w:tc>
        <w:tc>
          <w:tcPr>
            <w:tcW w:w="2018" w:type="dxa"/>
            <w:tcBorders>
              <w:top w:val="single" w:sz="18" w:space="0" w:color="auto"/>
              <w:left w:val="single" w:sz="18" w:space="0" w:color="auto"/>
            </w:tcBorders>
            <w:shd w:val="clear" w:color="auto" w:fill="auto"/>
            <w:vAlign w:val="center"/>
          </w:tcPr>
          <w:p w14:paraId="705A3301" w14:textId="77777777" w:rsidR="00C24197" w:rsidRPr="0098635C" w:rsidRDefault="00C24197" w:rsidP="009B2B28">
            <w:pPr>
              <w:spacing w:before="40" w:after="40"/>
              <w:jc w:val="center"/>
              <w:rPr>
                <w:rFonts w:eastAsia="Calibri"/>
                <w:color w:val="000000" w:themeColor="text1"/>
                <w:sz w:val="20"/>
                <w:szCs w:val="20"/>
                <w:lang w:val="nl-BE"/>
              </w:rPr>
            </w:pPr>
            <w:r w:rsidRPr="0098635C">
              <w:rPr>
                <w:rFonts w:eastAsia="Calibri"/>
                <w:color w:val="000000" w:themeColor="text1"/>
                <w:sz w:val="20"/>
                <w:szCs w:val="20"/>
                <w:lang w:val="nl-BE"/>
              </w:rPr>
              <w:t>OECD TG 401:</w:t>
            </w:r>
          </w:p>
          <w:p w14:paraId="4F63A001" w14:textId="77777777" w:rsidR="00C24197" w:rsidRPr="0098635C" w:rsidRDefault="00C24197" w:rsidP="009B2B28">
            <w:pPr>
              <w:spacing w:before="40" w:after="40"/>
              <w:jc w:val="center"/>
              <w:rPr>
                <w:rFonts w:eastAsia="Calibri"/>
                <w:color w:val="000000" w:themeColor="text1"/>
                <w:sz w:val="20"/>
                <w:szCs w:val="20"/>
                <w:lang w:val="nl-BE"/>
              </w:rPr>
            </w:pPr>
            <w:r w:rsidRPr="0098635C">
              <w:rPr>
                <w:rFonts w:eastAsia="Calibri"/>
                <w:color w:val="000000" w:themeColor="text1"/>
                <w:sz w:val="20"/>
                <w:szCs w:val="20"/>
                <w:lang w:val="nl-BE"/>
              </w:rPr>
              <w:t>LD</w:t>
            </w:r>
            <w:r w:rsidRPr="0098635C">
              <w:rPr>
                <w:rFonts w:eastAsia="Calibri"/>
                <w:color w:val="000000" w:themeColor="text1"/>
                <w:sz w:val="20"/>
                <w:szCs w:val="20"/>
                <w:vertAlign w:val="subscript"/>
                <w:lang w:val="nl-BE"/>
              </w:rPr>
              <w:t>50</w:t>
            </w:r>
            <w:r w:rsidRPr="0098635C">
              <w:rPr>
                <w:rFonts w:eastAsia="Calibri"/>
                <w:color w:val="000000" w:themeColor="text1"/>
                <w:sz w:val="20"/>
                <w:szCs w:val="20"/>
                <w:lang w:val="nl-BE"/>
              </w:rPr>
              <w:t xml:space="preserve"> = 1340 mg/kg</w:t>
            </w:r>
          </w:p>
        </w:tc>
        <w:tc>
          <w:tcPr>
            <w:tcW w:w="2057" w:type="dxa"/>
            <w:tcBorders>
              <w:top w:val="single" w:sz="18" w:space="0" w:color="auto"/>
              <w:left w:val="single" w:sz="18" w:space="0" w:color="auto"/>
            </w:tcBorders>
          </w:tcPr>
          <w:p w14:paraId="3BFE1CE8" w14:textId="77777777" w:rsidR="00C24197" w:rsidRPr="0098635C" w:rsidRDefault="00C24197" w:rsidP="009B2B28">
            <w:pPr>
              <w:spacing w:before="40" w:after="40"/>
              <w:jc w:val="center"/>
              <w:rPr>
                <w:rFonts w:eastAsia="Calibri"/>
                <w:color w:val="000000" w:themeColor="text1"/>
                <w:sz w:val="20"/>
                <w:szCs w:val="20"/>
                <w:lang w:val="nl-BE"/>
              </w:rPr>
            </w:pPr>
          </w:p>
          <w:p w14:paraId="1EA7C241" w14:textId="77777777" w:rsidR="00C24197" w:rsidRPr="0098635C" w:rsidRDefault="00C24197" w:rsidP="009B2B28">
            <w:pPr>
              <w:spacing w:before="40" w:after="40"/>
              <w:jc w:val="center"/>
              <w:rPr>
                <w:rFonts w:eastAsia="Calibri"/>
                <w:color w:val="000000" w:themeColor="text1"/>
                <w:sz w:val="20"/>
                <w:szCs w:val="20"/>
                <w:lang w:val="nl-BE"/>
              </w:rPr>
            </w:pPr>
            <w:r w:rsidRPr="0098635C">
              <w:rPr>
                <w:rFonts w:eastAsia="Calibri"/>
                <w:color w:val="000000" w:themeColor="text1"/>
                <w:sz w:val="20"/>
                <w:szCs w:val="20"/>
                <w:lang w:val="nl-BE"/>
              </w:rPr>
              <w:t>OECD TG 401:</w:t>
            </w:r>
          </w:p>
          <w:p w14:paraId="24D40684" w14:textId="77777777" w:rsidR="00C24197" w:rsidRPr="0098635C" w:rsidRDefault="00C24197" w:rsidP="009B2B28">
            <w:pPr>
              <w:spacing w:before="40" w:after="40"/>
              <w:jc w:val="center"/>
              <w:rPr>
                <w:rFonts w:eastAsia="Calibri"/>
                <w:color w:val="000000" w:themeColor="text1"/>
                <w:sz w:val="20"/>
                <w:szCs w:val="20"/>
                <w:lang w:val="nl-BE"/>
              </w:rPr>
            </w:pPr>
            <w:r w:rsidRPr="0098635C">
              <w:rPr>
                <w:rFonts w:eastAsia="Calibri"/>
                <w:color w:val="000000" w:themeColor="text1"/>
                <w:sz w:val="20"/>
                <w:szCs w:val="20"/>
                <w:lang w:val="nl-BE"/>
              </w:rPr>
              <w:t>LD</w:t>
            </w:r>
            <w:r w:rsidRPr="0098635C">
              <w:rPr>
                <w:rFonts w:eastAsia="Calibri"/>
                <w:color w:val="000000" w:themeColor="text1"/>
                <w:sz w:val="20"/>
                <w:szCs w:val="20"/>
                <w:vertAlign w:val="subscript"/>
                <w:lang w:val="nl-BE"/>
              </w:rPr>
              <w:t>50</w:t>
            </w:r>
            <w:r w:rsidRPr="0098635C">
              <w:rPr>
                <w:rFonts w:eastAsia="Calibri"/>
                <w:color w:val="000000" w:themeColor="text1"/>
                <w:sz w:val="20"/>
                <w:szCs w:val="20"/>
                <w:lang w:val="nl-BE"/>
              </w:rPr>
              <w:t xml:space="preserve"> &gt; 2000 mg/kg</w:t>
            </w:r>
          </w:p>
        </w:tc>
        <w:tc>
          <w:tcPr>
            <w:tcW w:w="2409" w:type="dxa"/>
            <w:tcBorders>
              <w:top w:val="single" w:sz="18" w:space="0" w:color="auto"/>
              <w:left w:val="single" w:sz="18" w:space="0" w:color="auto"/>
            </w:tcBorders>
          </w:tcPr>
          <w:p w14:paraId="750AB3B1"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OECD TG 401:</w:t>
            </w:r>
          </w:p>
          <w:p w14:paraId="369C80EB"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LD</w:t>
            </w:r>
            <w:r w:rsidRPr="0098635C">
              <w:rPr>
                <w:rFonts w:eastAsia="Calibri"/>
                <w:color w:val="000000" w:themeColor="text1"/>
                <w:sz w:val="20"/>
                <w:szCs w:val="20"/>
                <w:vertAlign w:val="subscript"/>
              </w:rPr>
              <w:t>50</w:t>
            </w:r>
            <w:r w:rsidRPr="0098635C">
              <w:rPr>
                <w:rFonts w:eastAsia="Calibri"/>
                <w:color w:val="000000" w:themeColor="text1"/>
                <w:sz w:val="20"/>
                <w:szCs w:val="20"/>
              </w:rPr>
              <w:t xml:space="preserve"> = 299 mg/kg (mice)</w:t>
            </w:r>
          </w:p>
          <w:p w14:paraId="2D0A7557"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LD</w:t>
            </w:r>
            <w:r w:rsidRPr="0098635C">
              <w:rPr>
                <w:rFonts w:eastAsia="Calibri"/>
                <w:color w:val="000000" w:themeColor="text1"/>
                <w:sz w:val="20"/>
                <w:szCs w:val="20"/>
                <w:vertAlign w:val="subscript"/>
              </w:rPr>
              <w:t>50</w:t>
            </w:r>
            <w:r w:rsidRPr="0098635C">
              <w:rPr>
                <w:rFonts w:eastAsia="Calibri"/>
                <w:color w:val="000000" w:themeColor="text1"/>
                <w:sz w:val="20"/>
                <w:szCs w:val="20"/>
              </w:rPr>
              <w:t xml:space="preserve"> = 1398 mg/kg (rats)</w:t>
            </w:r>
          </w:p>
        </w:tc>
      </w:tr>
      <w:tr w:rsidR="00C24197" w:rsidRPr="0098635C" w14:paraId="4D4152E5" w14:textId="77777777" w:rsidTr="00982513">
        <w:tc>
          <w:tcPr>
            <w:tcW w:w="2060" w:type="dxa"/>
            <w:tcBorders>
              <w:right w:val="single" w:sz="18" w:space="0" w:color="auto"/>
            </w:tcBorders>
            <w:shd w:val="clear" w:color="auto" w:fill="auto"/>
            <w:vAlign w:val="center"/>
          </w:tcPr>
          <w:p w14:paraId="274D8EF3" w14:textId="77777777" w:rsidR="00C24197" w:rsidRPr="0098635C" w:rsidRDefault="00C24197" w:rsidP="009B2B28">
            <w:pPr>
              <w:spacing w:before="40" w:after="40"/>
              <w:jc w:val="center"/>
              <w:rPr>
                <w:rFonts w:eastAsia="Calibri"/>
                <w:b/>
                <w:color w:val="000000" w:themeColor="text1"/>
                <w:sz w:val="20"/>
                <w:szCs w:val="20"/>
              </w:rPr>
            </w:pPr>
            <w:r w:rsidRPr="0098635C">
              <w:rPr>
                <w:rFonts w:eastAsia="Calibri"/>
                <w:b/>
                <w:color w:val="000000" w:themeColor="text1"/>
                <w:sz w:val="20"/>
                <w:szCs w:val="20"/>
              </w:rPr>
              <w:t>Acute toxicity, dermal</w:t>
            </w:r>
          </w:p>
        </w:tc>
        <w:tc>
          <w:tcPr>
            <w:tcW w:w="2046" w:type="dxa"/>
            <w:tcBorders>
              <w:left w:val="single" w:sz="18" w:space="0" w:color="auto"/>
            </w:tcBorders>
            <w:shd w:val="clear" w:color="auto" w:fill="auto"/>
            <w:vAlign w:val="center"/>
          </w:tcPr>
          <w:p w14:paraId="6571B639" w14:textId="77777777" w:rsidR="00C24197" w:rsidRPr="0098635C" w:rsidRDefault="00C24197" w:rsidP="009B2B28">
            <w:pPr>
              <w:spacing w:before="40" w:after="40"/>
              <w:jc w:val="center"/>
              <w:rPr>
                <w:rFonts w:eastAsia="Calibri"/>
                <w:color w:val="000000" w:themeColor="text1"/>
                <w:sz w:val="20"/>
                <w:szCs w:val="20"/>
                <w:lang w:val="fr-BE"/>
              </w:rPr>
            </w:pPr>
            <w:r w:rsidRPr="0098635C">
              <w:rPr>
                <w:rFonts w:eastAsia="Calibri"/>
                <w:color w:val="000000" w:themeColor="text1"/>
                <w:sz w:val="20"/>
                <w:szCs w:val="20"/>
                <w:lang w:val="fr-BE"/>
              </w:rPr>
              <w:t>No data</w:t>
            </w:r>
          </w:p>
          <w:p w14:paraId="5668A084" w14:textId="77777777" w:rsidR="00C24197" w:rsidRPr="0098635C" w:rsidRDefault="00C24197" w:rsidP="009B2B28">
            <w:pPr>
              <w:spacing w:before="40" w:after="40"/>
              <w:jc w:val="center"/>
              <w:rPr>
                <w:rFonts w:eastAsia="Calibri"/>
                <w:color w:val="000000" w:themeColor="text1"/>
                <w:sz w:val="20"/>
                <w:szCs w:val="20"/>
                <w:lang w:val="nl-BE"/>
              </w:rPr>
            </w:pPr>
            <w:r w:rsidRPr="0098635C">
              <w:rPr>
                <w:rFonts w:eastAsia="Calibri"/>
                <w:color w:val="000000" w:themeColor="text1"/>
                <w:sz w:val="20"/>
                <w:szCs w:val="20"/>
              </w:rPr>
              <w:t>(read-across)</w:t>
            </w:r>
          </w:p>
        </w:tc>
        <w:tc>
          <w:tcPr>
            <w:tcW w:w="2089" w:type="dxa"/>
            <w:shd w:val="clear" w:color="auto" w:fill="auto"/>
            <w:vAlign w:val="center"/>
          </w:tcPr>
          <w:p w14:paraId="06E2D2CE" w14:textId="77777777" w:rsidR="00C24197" w:rsidRPr="0098635C" w:rsidRDefault="00C24197" w:rsidP="009B2B28">
            <w:pPr>
              <w:spacing w:before="40" w:after="40"/>
              <w:jc w:val="center"/>
              <w:rPr>
                <w:rFonts w:eastAsia="Calibri"/>
                <w:color w:val="000000" w:themeColor="text1"/>
                <w:sz w:val="20"/>
                <w:szCs w:val="20"/>
                <w:lang w:val="nl-BE"/>
              </w:rPr>
            </w:pPr>
            <w:r w:rsidRPr="0098635C">
              <w:rPr>
                <w:rFonts w:eastAsia="Calibri"/>
                <w:color w:val="000000" w:themeColor="text1"/>
                <w:sz w:val="20"/>
                <w:szCs w:val="20"/>
                <w:lang w:val="nl-BE"/>
              </w:rPr>
              <w:t>OECD TG 402:</w:t>
            </w:r>
          </w:p>
          <w:p w14:paraId="46BDDD10" w14:textId="77777777" w:rsidR="00C24197" w:rsidRPr="0098635C" w:rsidRDefault="00C24197" w:rsidP="009B2B28">
            <w:pPr>
              <w:spacing w:before="40" w:after="40"/>
              <w:jc w:val="center"/>
              <w:rPr>
                <w:rFonts w:eastAsia="Calibri"/>
                <w:color w:val="000000" w:themeColor="text1"/>
                <w:sz w:val="20"/>
                <w:szCs w:val="20"/>
                <w:lang w:val="nl-BE"/>
              </w:rPr>
            </w:pPr>
            <w:r w:rsidRPr="0098635C">
              <w:rPr>
                <w:rFonts w:eastAsia="Calibri"/>
                <w:color w:val="000000" w:themeColor="text1"/>
                <w:sz w:val="20"/>
                <w:szCs w:val="20"/>
                <w:lang w:val="nl-BE"/>
              </w:rPr>
              <w:t>LD</w:t>
            </w:r>
            <w:r w:rsidRPr="0098635C">
              <w:rPr>
                <w:rFonts w:eastAsia="Calibri"/>
                <w:color w:val="000000" w:themeColor="text1"/>
                <w:sz w:val="20"/>
                <w:szCs w:val="20"/>
                <w:vertAlign w:val="subscript"/>
                <w:lang w:val="nl-BE"/>
              </w:rPr>
              <w:t>50</w:t>
            </w:r>
            <w:r w:rsidRPr="0098635C">
              <w:rPr>
                <w:rFonts w:eastAsia="Calibri"/>
                <w:color w:val="000000" w:themeColor="text1"/>
                <w:sz w:val="20"/>
                <w:szCs w:val="20"/>
                <w:lang w:val="nl-BE"/>
              </w:rPr>
              <w:t xml:space="preserve"> &gt; 2000 mg/kg</w:t>
            </w:r>
          </w:p>
        </w:tc>
        <w:tc>
          <w:tcPr>
            <w:tcW w:w="2058" w:type="dxa"/>
            <w:tcBorders>
              <w:right w:val="single" w:sz="18" w:space="0" w:color="auto"/>
            </w:tcBorders>
            <w:shd w:val="clear" w:color="auto" w:fill="auto"/>
            <w:vAlign w:val="center"/>
          </w:tcPr>
          <w:p w14:paraId="7CD67970" w14:textId="77777777" w:rsidR="00C24197" w:rsidRPr="0098635C" w:rsidRDefault="00C24197" w:rsidP="009B2B28">
            <w:pPr>
              <w:spacing w:before="40" w:after="40"/>
              <w:jc w:val="center"/>
              <w:rPr>
                <w:rFonts w:eastAsia="Calibri"/>
                <w:color w:val="000000" w:themeColor="text1"/>
                <w:sz w:val="20"/>
                <w:szCs w:val="20"/>
                <w:lang w:val="nl-BE"/>
              </w:rPr>
            </w:pPr>
            <w:r w:rsidRPr="0098635C">
              <w:rPr>
                <w:rFonts w:eastAsia="Calibri"/>
                <w:color w:val="000000" w:themeColor="text1"/>
                <w:sz w:val="20"/>
                <w:szCs w:val="20"/>
                <w:lang w:val="nl-BE"/>
              </w:rPr>
              <w:t>OECD TG 402:</w:t>
            </w:r>
          </w:p>
          <w:p w14:paraId="4AFDBA98" w14:textId="77777777" w:rsidR="00C24197" w:rsidRPr="0098635C" w:rsidRDefault="00C24197" w:rsidP="009B2B28">
            <w:pPr>
              <w:spacing w:before="40" w:after="40"/>
              <w:jc w:val="center"/>
              <w:rPr>
                <w:rFonts w:eastAsia="Calibri"/>
                <w:color w:val="000000" w:themeColor="text1"/>
                <w:sz w:val="20"/>
                <w:szCs w:val="20"/>
                <w:lang w:val="nl-BE"/>
              </w:rPr>
            </w:pPr>
            <w:r w:rsidRPr="0098635C">
              <w:rPr>
                <w:rFonts w:eastAsia="Calibri"/>
                <w:color w:val="000000" w:themeColor="text1"/>
                <w:sz w:val="20"/>
                <w:szCs w:val="20"/>
                <w:lang w:val="nl-BE"/>
              </w:rPr>
              <w:t>LD</w:t>
            </w:r>
            <w:r w:rsidRPr="0098635C">
              <w:rPr>
                <w:rFonts w:eastAsia="Calibri"/>
                <w:color w:val="000000" w:themeColor="text1"/>
                <w:sz w:val="20"/>
                <w:szCs w:val="20"/>
                <w:vertAlign w:val="subscript"/>
                <w:lang w:val="nl-BE"/>
              </w:rPr>
              <w:t>50</w:t>
            </w:r>
            <w:r w:rsidRPr="0098635C">
              <w:rPr>
                <w:rFonts w:eastAsia="Calibri"/>
                <w:color w:val="000000" w:themeColor="text1"/>
                <w:sz w:val="20"/>
                <w:szCs w:val="20"/>
                <w:lang w:val="nl-BE"/>
              </w:rPr>
              <w:t xml:space="preserve"> &gt; 2000 mg/kg</w:t>
            </w:r>
          </w:p>
        </w:tc>
        <w:tc>
          <w:tcPr>
            <w:tcW w:w="2018" w:type="dxa"/>
            <w:tcBorders>
              <w:left w:val="single" w:sz="18" w:space="0" w:color="auto"/>
            </w:tcBorders>
            <w:shd w:val="clear" w:color="auto" w:fill="auto"/>
            <w:vAlign w:val="center"/>
          </w:tcPr>
          <w:p w14:paraId="02EC2B45" w14:textId="77777777" w:rsidR="00C24197" w:rsidRPr="0098635C" w:rsidRDefault="00C24197" w:rsidP="009B2B28">
            <w:pPr>
              <w:spacing w:before="40" w:after="40"/>
              <w:jc w:val="center"/>
              <w:rPr>
                <w:rFonts w:eastAsia="Calibri"/>
                <w:color w:val="000000" w:themeColor="text1"/>
                <w:sz w:val="20"/>
                <w:szCs w:val="20"/>
                <w:lang w:val="nl-BE"/>
              </w:rPr>
            </w:pPr>
            <w:r w:rsidRPr="0098635C">
              <w:rPr>
                <w:rFonts w:eastAsia="Calibri"/>
                <w:color w:val="000000" w:themeColor="text1"/>
                <w:sz w:val="20"/>
                <w:szCs w:val="20"/>
                <w:lang w:val="nl-BE"/>
              </w:rPr>
              <w:t>OECD TG 402:</w:t>
            </w:r>
          </w:p>
          <w:p w14:paraId="3944A592" w14:textId="77777777" w:rsidR="00C24197" w:rsidRPr="0098635C" w:rsidRDefault="00C24197" w:rsidP="009B2B28">
            <w:pPr>
              <w:spacing w:before="40" w:after="40"/>
              <w:jc w:val="center"/>
              <w:rPr>
                <w:rFonts w:eastAsia="Calibri"/>
                <w:color w:val="000000" w:themeColor="text1"/>
                <w:sz w:val="20"/>
                <w:szCs w:val="20"/>
                <w:lang w:val="nl-BE"/>
              </w:rPr>
            </w:pPr>
            <w:r w:rsidRPr="0098635C">
              <w:rPr>
                <w:rFonts w:eastAsia="Calibri"/>
                <w:color w:val="000000" w:themeColor="text1"/>
                <w:sz w:val="20"/>
                <w:szCs w:val="20"/>
                <w:lang w:val="nl-BE"/>
              </w:rPr>
              <w:t>LD</w:t>
            </w:r>
            <w:r w:rsidRPr="0098635C">
              <w:rPr>
                <w:rFonts w:eastAsia="Calibri"/>
                <w:color w:val="000000" w:themeColor="text1"/>
                <w:sz w:val="20"/>
                <w:szCs w:val="20"/>
                <w:vertAlign w:val="subscript"/>
                <w:lang w:val="nl-BE"/>
              </w:rPr>
              <w:t>50</w:t>
            </w:r>
            <w:r w:rsidRPr="0098635C">
              <w:rPr>
                <w:rFonts w:eastAsia="Calibri"/>
                <w:color w:val="000000" w:themeColor="text1"/>
                <w:sz w:val="20"/>
                <w:szCs w:val="20"/>
                <w:lang w:val="nl-BE"/>
              </w:rPr>
              <w:t xml:space="preserve"> &gt; 2000 mg/kg</w:t>
            </w:r>
          </w:p>
        </w:tc>
        <w:tc>
          <w:tcPr>
            <w:tcW w:w="2057" w:type="dxa"/>
            <w:tcBorders>
              <w:left w:val="single" w:sz="18" w:space="0" w:color="auto"/>
            </w:tcBorders>
          </w:tcPr>
          <w:p w14:paraId="1990B207" w14:textId="77777777" w:rsidR="00C24197" w:rsidRPr="0098635C" w:rsidRDefault="00C24197" w:rsidP="009B2B28">
            <w:pPr>
              <w:spacing w:before="40" w:after="40"/>
              <w:jc w:val="center"/>
              <w:rPr>
                <w:rFonts w:eastAsia="Calibri"/>
                <w:color w:val="000000" w:themeColor="text1"/>
                <w:sz w:val="20"/>
                <w:szCs w:val="20"/>
                <w:lang w:val="nl-BE"/>
              </w:rPr>
            </w:pPr>
            <w:r w:rsidRPr="0098635C">
              <w:rPr>
                <w:rFonts w:eastAsia="Calibri"/>
                <w:color w:val="000000" w:themeColor="text1"/>
                <w:sz w:val="20"/>
                <w:szCs w:val="20"/>
                <w:lang w:val="nl-BE"/>
              </w:rPr>
              <w:t>OECD TG 402:</w:t>
            </w:r>
          </w:p>
          <w:p w14:paraId="5F0A74CF" w14:textId="77777777" w:rsidR="00C24197" w:rsidRPr="0098635C" w:rsidRDefault="00C24197" w:rsidP="009B2B28">
            <w:pPr>
              <w:spacing w:before="40" w:after="40"/>
              <w:jc w:val="center"/>
              <w:rPr>
                <w:rFonts w:eastAsia="Calibri"/>
                <w:color w:val="000000" w:themeColor="text1"/>
                <w:sz w:val="20"/>
                <w:szCs w:val="20"/>
                <w:lang w:val="nl-BE"/>
              </w:rPr>
            </w:pPr>
            <w:r w:rsidRPr="0098635C">
              <w:rPr>
                <w:rFonts w:eastAsia="Calibri"/>
                <w:color w:val="000000" w:themeColor="text1"/>
                <w:sz w:val="20"/>
                <w:szCs w:val="20"/>
                <w:lang w:val="nl-BE"/>
              </w:rPr>
              <w:t>LD</w:t>
            </w:r>
            <w:r w:rsidRPr="0098635C">
              <w:rPr>
                <w:rFonts w:eastAsia="Calibri"/>
                <w:color w:val="000000" w:themeColor="text1"/>
                <w:sz w:val="20"/>
                <w:szCs w:val="20"/>
                <w:vertAlign w:val="subscript"/>
                <w:lang w:val="nl-BE"/>
              </w:rPr>
              <w:t>50</w:t>
            </w:r>
            <w:r w:rsidRPr="0098635C">
              <w:rPr>
                <w:rFonts w:eastAsia="Calibri"/>
                <w:color w:val="000000" w:themeColor="text1"/>
                <w:sz w:val="20"/>
                <w:szCs w:val="20"/>
                <w:lang w:val="nl-BE"/>
              </w:rPr>
              <w:t xml:space="preserve"> &gt; 2000 mg/kg</w:t>
            </w:r>
          </w:p>
        </w:tc>
        <w:tc>
          <w:tcPr>
            <w:tcW w:w="2409" w:type="dxa"/>
            <w:tcBorders>
              <w:left w:val="single" w:sz="18" w:space="0" w:color="auto"/>
            </w:tcBorders>
          </w:tcPr>
          <w:p w14:paraId="2F3000DE" w14:textId="77777777" w:rsidR="00C24197" w:rsidRPr="0098635C" w:rsidRDefault="00C24197" w:rsidP="009B2B28">
            <w:pPr>
              <w:spacing w:before="40" w:after="40"/>
              <w:jc w:val="center"/>
              <w:rPr>
                <w:rFonts w:eastAsia="Calibri"/>
                <w:color w:val="000000" w:themeColor="text1"/>
                <w:sz w:val="20"/>
                <w:szCs w:val="20"/>
                <w:lang w:val="nl-BE"/>
              </w:rPr>
            </w:pPr>
            <w:r w:rsidRPr="0098635C">
              <w:rPr>
                <w:rFonts w:eastAsia="Calibri"/>
                <w:color w:val="000000" w:themeColor="text1"/>
                <w:sz w:val="20"/>
                <w:szCs w:val="20"/>
                <w:lang w:val="nl-BE"/>
              </w:rPr>
              <w:t>OECD TG 402:</w:t>
            </w:r>
          </w:p>
          <w:p w14:paraId="5F9E0C0E" w14:textId="77777777" w:rsidR="00C24197" w:rsidRPr="0098635C" w:rsidRDefault="00C24197" w:rsidP="009B2B28">
            <w:pPr>
              <w:spacing w:before="40" w:after="40"/>
              <w:jc w:val="center"/>
              <w:rPr>
                <w:rFonts w:eastAsia="Calibri"/>
                <w:color w:val="000000" w:themeColor="text1"/>
                <w:sz w:val="20"/>
                <w:szCs w:val="20"/>
                <w:lang w:val="nl-BE"/>
              </w:rPr>
            </w:pPr>
            <w:r w:rsidRPr="0098635C">
              <w:rPr>
                <w:rFonts w:eastAsia="Calibri"/>
                <w:color w:val="000000" w:themeColor="text1"/>
                <w:sz w:val="20"/>
                <w:szCs w:val="20"/>
                <w:lang w:val="nl-BE"/>
              </w:rPr>
              <w:t>LD</w:t>
            </w:r>
            <w:r w:rsidRPr="0098635C">
              <w:rPr>
                <w:rFonts w:eastAsia="Calibri"/>
                <w:color w:val="000000" w:themeColor="text1"/>
                <w:sz w:val="20"/>
                <w:szCs w:val="20"/>
                <w:vertAlign w:val="subscript"/>
                <w:lang w:val="nl-BE"/>
              </w:rPr>
              <w:t>50</w:t>
            </w:r>
            <w:r w:rsidRPr="0098635C">
              <w:rPr>
                <w:rFonts w:eastAsia="Calibri"/>
                <w:color w:val="000000" w:themeColor="text1"/>
                <w:sz w:val="20"/>
                <w:szCs w:val="20"/>
                <w:lang w:val="nl-BE"/>
              </w:rPr>
              <w:t xml:space="preserve"> &gt; 2000 mg/kg</w:t>
            </w:r>
          </w:p>
        </w:tc>
      </w:tr>
      <w:tr w:rsidR="00C24197" w:rsidRPr="0098635C" w14:paraId="5F1DFD96" w14:textId="77777777" w:rsidTr="00982513">
        <w:tc>
          <w:tcPr>
            <w:tcW w:w="2060" w:type="dxa"/>
            <w:tcBorders>
              <w:right w:val="single" w:sz="18" w:space="0" w:color="auto"/>
            </w:tcBorders>
            <w:shd w:val="clear" w:color="auto" w:fill="auto"/>
            <w:vAlign w:val="center"/>
          </w:tcPr>
          <w:p w14:paraId="5E1604EA" w14:textId="77777777" w:rsidR="00C24197" w:rsidRPr="0098635C" w:rsidRDefault="00C24197" w:rsidP="009B2B28">
            <w:pPr>
              <w:spacing w:before="40" w:after="40"/>
              <w:jc w:val="center"/>
              <w:rPr>
                <w:rFonts w:eastAsia="Calibri"/>
                <w:b/>
                <w:color w:val="000000" w:themeColor="text1"/>
                <w:sz w:val="20"/>
                <w:szCs w:val="20"/>
              </w:rPr>
            </w:pPr>
            <w:r w:rsidRPr="0098635C">
              <w:rPr>
                <w:rFonts w:eastAsia="Calibri"/>
                <w:b/>
                <w:color w:val="000000" w:themeColor="text1"/>
                <w:sz w:val="20"/>
                <w:szCs w:val="20"/>
              </w:rPr>
              <w:t>Acute toxicity, inhalation</w:t>
            </w:r>
          </w:p>
        </w:tc>
        <w:tc>
          <w:tcPr>
            <w:tcW w:w="2046" w:type="dxa"/>
            <w:tcBorders>
              <w:left w:val="single" w:sz="18" w:space="0" w:color="auto"/>
            </w:tcBorders>
            <w:shd w:val="clear" w:color="auto" w:fill="auto"/>
            <w:vAlign w:val="center"/>
          </w:tcPr>
          <w:p w14:paraId="0DC76A2A"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Considered not toxic based on physical (particles size) and chemical properties of copper powder/massive</w:t>
            </w:r>
          </w:p>
        </w:tc>
        <w:tc>
          <w:tcPr>
            <w:tcW w:w="2089" w:type="dxa"/>
            <w:shd w:val="clear" w:color="auto" w:fill="auto"/>
            <w:vAlign w:val="center"/>
          </w:tcPr>
          <w:p w14:paraId="364088FA"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OECD TG 403:</w:t>
            </w:r>
          </w:p>
          <w:p w14:paraId="64D3AFBE" w14:textId="77777777" w:rsidR="00C24197" w:rsidRPr="0098635C" w:rsidRDefault="00C24197" w:rsidP="009B2B28">
            <w:pPr>
              <w:spacing w:before="40" w:after="40"/>
              <w:ind w:left="-108" w:right="-108"/>
              <w:jc w:val="center"/>
              <w:rPr>
                <w:rFonts w:eastAsia="Calibri"/>
                <w:color w:val="000000" w:themeColor="text1"/>
                <w:sz w:val="20"/>
                <w:szCs w:val="20"/>
              </w:rPr>
            </w:pPr>
            <w:r w:rsidRPr="0098635C">
              <w:rPr>
                <w:rFonts w:eastAsia="Calibri"/>
                <w:color w:val="000000" w:themeColor="text1"/>
                <w:sz w:val="20"/>
                <w:szCs w:val="20"/>
              </w:rPr>
              <w:t>LC</w:t>
            </w:r>
            <w:r w:rsidRPr="0098635C">
              <w:rPr>
                <w:rFonts w:eastAsia="Calibri"/>
                <w:color w:val="000000" w:themeColor="text1"/>
                <w:sz w:val="20"/>
                <w:szCs w:val="20"/>
                <w:vertAlign w:val="subscript"/>
              </w:rPr>
              <w:t xml:space="preserve">50  </w:t>
            </w:r>
            <w:r w:rsidRPr="0098635C">
              <w:rPr>
                <w:rFonts w:eastAsia="Calibri"/>
                <w:color w:val="000000" w:themeColor="text1"/>
                <w:sz w:val="20"/>
                <w:szCs w:val="20"/>
              </w:rPr>
              <w:t>= 0.733 mg/L and &gt; 5 mg/L</w:t>
            </w:r>
          </w:p>
          <w:p w14:paraId="2809EC75" w14:textId="77777777" w:rsidR="00C24197" w:rsidRPr="0098635C" w:rsidRDefault="00C24197" w:rsidP="009B2B28">
            <w:pPr>
              <w:spacing w:before="40" w:after="40"/>
              <w:ind w:left="-108" w:right="-108"/>
              <w:rPr>
                <w:rFonts w:eastAsia="Calibri"/>
                <w:color w:val="000000" w:themeColor="text1"/>
                <w:sz w:val="20"/>
                <w:szCs w:val="20"/>
              </w:rPr>
            </w:pPr>
          </w:p>
        </w:tc>
        <w:tc>
          <w:tcPr>
            <w:tcW w:w="2058" w:type="dxa"/>
            <w:tcBorders>
              <w:right w:val="single" w:sz="18" w:space="0" w:color="auto"/>
            </w:tcBorders>
            <w:shd w:val="clear" w:color="auto" w:fill="auto"/>
            <w:vAlign w:val="center"/>
          </w:tcPr>
          <w:p w14:paraId="1FC11594"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Considered not toxic by inhalation based on particle size of the substance</w:t>
            </w:r>
          </w:p>
          <w:p w14:paraId="4D6596C5" w14:textId="77777777" w:rsidR="00C24197" w:rsidRPr="0098635C" w:rsidRDefault="00C24197" w:rsidP="009B2B28">
            <w:pPr>
              <w:spacing w:before="40" w:after="40"/>
              <w:jc w:val="center"/>
              <w:rPr>
                <w:rFonts w:eastAsia="Calibri"/>
                <w:color w:val="000000" w:themeColor="text1"/>
                <w:sz w:val="20"/>
                <w:szCs w:val="20"/>
              </w:rPr>
            </w:pPr>
          </w:p>
        </w:tc>
        <w:tc>
          <w:tcPr>
            <w:tcW w:w="2018" w:type="dxa"/>
            <w:tcBorders>
              <w:left w:val="single" w:sz="18" w:space="0" w:color="auto"/>
            </w:tcBorders>
            <w:shd w:val="clear" w:color="auto" w:fill="auto"/>
            <w:vAlign w:val="center"/>
          </w:tcPr>
          <w:p w14:paraId="4D55F2C2" w14:textId="77777777" w:rsidR="00C24197" w:rsidRPr="0098635C" w:rsidRDefault="00C24197" w:rsidP="009B2B28">
            <w:pPr>
              <w:spacing w:before="40" w:after="40"/>
              <w:jc w:val="center"/>
              <w:rPr>
                <w:rFonts w:eastAsia="Calibri"/>
                <w:color w:val="000000" w:themeColor="text1"/>
                <w:sz w:val="20"/>
                <w:szCs w:val="20"/>
                <w:lang w:val="nl-BE"/>
              </w:rPr>
            </w:pPr>
            <w:r w:rsidRPr="0098635C">
              <w:rPr>
                <w:rFonts w:eastAsia="Calibri"/>
                <w:color w:val="000000" w:themeColor="text1"/>
                <w:sz w:val="20"/>
                <w:szCs w:val="20"/>
                <w:lang w:val="nl-BE"/>
              </w:rPr>
              <w:t>OECD TG 403:</w:t>
            </w:r>
          </w:p>
          <w:p w14:paraId="754EEB98" w14:textId="77777777" w:rsidR="00C24197" w:rsidRPr="0098635C" w:rsidRDefault="00C24197" w:rsidP="009B2B28">
            <w:pPr>
              <w:spacing w:before="40" w:after="40"/>
              <w:jc w:val="center"/>
              <w:rPr>
                <w:rFonts w:eastAsia="Calibri"/>
                <w:color w:val="000000" w:themeColor="text1"/>
                <w:sz w:val="20"/>
                <w:szCs w:val="20"/>
                <w:lang w:val="nl-BE"/>
              </w:rPr>
            </w:pPr>
            <w:r w:rsidRPr="0098635C">
              <w:rPr>
                <w:rFonts w:eastAsia="Calibri"/>
                <w:color w:val="000000" w:themeColor="text1"/>
                <w:sz w:val="20"/>
                <w:szCs w:val="20"/>
                <w:lang w:val="nl-BE"/>
              </w:rPr>
              <w:t>LC</w:t>
            </w:r>
            <w:r w:rsidRPr="0098635C">
              <w:rPr>
                <w:rFonts w:eastAsia="Calibri"/>
                <w:color w:val="000000" w:themeColor="text1"/>
                <w:sz w:val="20"/>
                <w:szCs w:val="20"/>
                <w:vertAlign w:val="subscript"/>
                <w:lang w:val="nl-BE"/>
              </w:rPr>
              <w:t>50</w:t>
            </w:r>
            <w:r w:rsidRPr="0098635C">
              <w:rPr>
                <w:rFonts w:eastAsia="Calibri"/>
                <w:color w:val="000000" w:themeColor="text1"/>
                <w:sz w:val="20"/>
                <w:szCs w:val="20"/>
                <w:lang w:val="nl-BE"/>
              </w:rPr>
              <w:t xml:space="preserve"> = 3.34 mg/L</w:t>
            </w:r>
          </w:p>
        </w:tc>
        <w:tc>
          <w:tcPr>
            <w:tcW w:w="2057" w:type="dxa"/>
            <w:tcBorders>
              <w:left w:val="single" w:sz="18" w:space="0" w:color="auto"/>
            </w:tcBorders>
          </w:tcPr>
          <w:p w14:paraId="6FB10E5E" w14:textId="736E6191"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 xml:space="preserve">Considered not toxic based on physical and chemical properties of </w:t>
            </w:r>
            <w:r w:rsidR="00236182" w:rsidRPr="0098635C">
              <w:rPr>
                <w:rFonts w:eastAsia="Calibri"/>
                <w:color w:val="000000" w:themeColor="text1"/>
                <w:sz w:val="20"/>
                <w:szCs w:val="20"/>
              </w:rPr>
              <w:t>copper (II) oxide</w:t>
            </w:r>
          </w:p>
        </w:tc>
        <w:tc>
          <w:tcPr>
            <w:tcW w:w="2409" w:type="dxa"/>
            <w:tcBorders>
              <w:left w:val="single" w:sz="18" w:space="0" w:color="auto"/>
            </w:tcBorders>
          </w:tcPr>
          <w:p w14:paraId="76811891" w14:textId="77777777" w:rsidR="00C24197" w:rsidRPr="0098635C" w:rsidRDefault="00C24197" w:rsidP="009B2B28">
            <w:pPr>
              <w:spacing w:before="40" w:after="40"/>
              <w:jc w:val="center"/>
              <w:rPr>
                <w:rFonts w:eastAsia="Calibri"/>
                <w:color w:val="000000" w:themeColor="text1"/>
                <w:sz w:val="20"/>
                <w:szCs w:val="20"/>
              </w:rPr>
            </w:pPr>
          </w:p>
          <w:p w14:paraId="51986C95" w14:textId="77777777" w:rsidR="00C24197" w:rsidRPr="0098635C" w:rsidRDefault="00C24197" w:rsidP="009B2B28">
            <w:pPr>
              <w:spacing w:before="40" w:after="40"/>
              <w:jc w:val="center"/>
              <w:rPr>
                <w:rFonts w:eastAsia="Calibri"/>
                <w:color w:val="000000" w:themeColor="text1"/>
                <w:sz w:val="20"/>
                <w:szCs w:val="20"/>
                <w:lang w:val="nl-BE"/>
              </w:rPr>
            </w:pPr>
            <w:r w:rsidRPr="0098635C">
              <w:rPr>
                <w:rFonts w:eastAsia="Calibri"/>
                <w:color w:val="000000" w:themeColor="text1"/>
                <w:sz w:val="20"/>
                <w:szCs w:val="20"/>
                <w:lang w:val="nl-BE"/>
              </w:rPr>
              <w:t>OECD TG 403:</w:t>
            </w:r>
          </w:p>
          <w:p w14:paraId="5F8A7E59" w14:textId="77777777" w:rsidR="00C24197" w:rsidRPr="0098635C" w:rsidRDefault="00C24197" w:rsidP="009B2B28">
            <w:pPr>
              <w:spacing w:before="40" w:after="40"/>
              <w:jc w:val="center"/>
              <w:rPr>
                <w:rFonts w:eastAsia="Calibri"/>
                <w:color w:val="000000" w:themeColor="text1"/>
                <w:sz w:val="20"/>
                <w:szCs w:val="20"/>
                <w:lang w:val="nl-BE"/>
              </w:rPr>
            </w:pPr>
            <w:r w:rsidRPr="0098635C">
              <w:rPr>
                <w:rFonts w:eastAsia="Calibri"/>
                <w:color w:val="000000" w:themeColor="text1"/>
                <w:sz w:val="20"/>
                <w:szCs w:val="20"/>
                <w:lang w:val="nl-BE"/>
              </w:rPr>
              <w:t>LC</w:t>
            </w:r>
            <w:r w:rsidRPr="0098635C">
              <w:rPr>
                <w:rFonts w:eastAsia="Calibri"/>
                <w:color w:val="000000" w:themeColor="text1"/>
                <w:sz w:val="20"/>
                <w:szCs w:val="20"/>
                <w:vertAlign w:val="subscript"/>
                <w:lang w:val="nl-BE"/>
              </w:rPr>
              <w:t>50</w:t>
            </w:r>
            <w:r w:rsidRPr="0098635C">
              <w:rPr>
                <w:rFonts w:eastAsia="Calibri"/>
                <w:color w:val="000000" w:themeColor="text1"/>
                <w:sz w:val="20"/>
                <w:szCs w:val="20"/>
                <w:lang w:val="nl-BE"/>
              </w:rPr>
              <w:t xml:space="preserve"> = 2.83 mg/L</w:t>
            </w:r>
          </w:p>
        </w:tc>
      </w:tr>
      <w:tr w:rsidR="00C24197" w:rsidRPr="0098635C" w14:paraId="17054B65" w14:textId="77777777" w:rsidTr="00982513">
        <w:trPr>
          <w:trHeight w:val="703"/>
        </w:trPr>
        <w:tc>
          <w:tcPr>
            <w:tcW w:w="2060" w:type="dxa"/>
            <w:tcBorders>
              <w:right w:val="single" w:sz="18" w:space="0" w:color="auto"/>
            </w:tcBorders>
            <w:shd w:val="clear" w:color="auto" w:fill="auto"/>
            <w:vAlign w:val="center"/>
          </w:tcPr>
          <w:p w14:paraId="1C965ADB" w14:textId="77777777" w:rsidR="00C24197" w:rsidRPr="0098635C" w:rsidRDefault="00C24197" w:rsidP="009B2B28">
            <w:pPr>
              <w:spacing w:before="40" w:after="40"/>
              <w:jc w:val="center"/>
              <w:rPr>
                <w:rFonts w:eastAsia="Calibri"/>
                <w:b/>
                <w:color w:val="000000" w:themeColor="text1"/>
                <w:sz w:val="20"/>
                <w:szCs w:val="20"/>
              </w:rPr>
            </w:pPr>
            <w:r w:rsidRPr="0098635C">
              <w:rPr>
                <w:rFonts w:eastAsia="Calibri"/>
                <w:b/>
                <w:color w:val="000000" w:themeColor="text1"/>
                <w:sz w:val="20"/>
                <w:szCs w:val="20"/>
              </w:rPr>
              <w:t>Skin irritation</w:t>
            </w:r>
          </w:p>
        </w:tc>
        <w:tc>
          <w:tcPr>
            <w:tcW w:w="2046" w:type="dxa"/>
            <w:tcBorders>
              <w:left w:val="single" w:sz="18" w:space="0" w:color="auto"/>
            </w:tcBorders>
            <w:shd w:val="clear" w:color="auto" w:fill="auto"/>
            <w:vAlign w:val="center"/>
          </w:tcPr>
          <w:p w14:paraId="4F284499" w14:textId="77777777" w:rsidR="00C24197" w:rsidRPr="0098635C" w:rsidRDefault="00C24197" w:rsidP="009B2B28">
            <w:pPr>
              <w:spacing w:before="40" w:after="40"/>
              <w:jc w:val="center"/>
              <w:rPr>
                <w:rFonts w:eastAsia="Calibri"/>
                <w:color w:val="000000" w:themeColor="text1"/>
                <w:sz w:val="20"/>
                <w:szCs w:val="20"/>
                <w:lang w:val="fr-BE"/>
              </w:rPr>
            </w:pPr>
            <w:r w:rsidRPr="0098635C">
              <w:rPr>
                <w:rFonts w:eastAsia="Calibri"/>
                <w:color w:val="000000" w:themeColor="text1"/>
                <w:sz w:val="20"/>
                <w:szCs w:val="20"/>
                <w:lang w:val="fr-BE"/>
              </w:rPr>
              <w:t>No data</w:t>
            </w:r>
          </w:p>
          <w:p w14:paraId="56DC6E88" w14:textId="77777777" w:rsidR="00C24197" w:rsidRPr="0098635C" w:rsidRDefault="00C24197" w:rsidP="009B2B28">
            <w:pPr>
              <w:spacing w:before="40" w:after="40"/>
              <w:jc w:val="center"/>
              <w:rPr>
                <w:rFonts w:eastAsia="Calibri"/>
                <w:color w:val="000000" w:themeColor="text1"/>
                <w:sz w:val="20"/>
                <w:szCs w:val="20"/>
                <w:vertAlign w:val="superscript"/>
              </w:rPr>
            </w:pPr>
            <w:r w:rsidRPr="0098635C">
              <w:rPr>
                <w:rFonts w:eastAsia="Calibri"/>
                <w:color w:val="000000" w:themeColor="text1"/>
                <w:sz w:val="20"/>
                <w:szCs w:val="20"/>
              </w:rPr>
              <w:t>(read-across)</w:t>
            </w:r>
          </w:p>
        </w:tc>
        <w:tc>
          <w:tcPr>
            <w:tcW w:w="2089" w:type="dxa"/>
            <w:shd w:val="clear" w:color="auto" w:fill="auto"/>
            <w:vAlign w:val="center"/>
          </w:tcPr>
          <w:p w14:paraId="61894626" w14:textId="77777777" w:rsidR="00C24197" w:rsidRPr="0098635C" w:rsidRDefault="00C24197" w:rsidP="009B2B28">
            <w:pPr>
              <w:spacing w:before="40" w:after="40"/>
              <w:jc w:val="center"/>
              <w:rPr>
                <w:rFonts w:eastAsia="Calibri"/>
                <w:color w:val="000000" w:themeColor="text1"/>
                <w:sz w:val="20"/>
                <w:szCs w:val="20"/>
                <w:lang w:val="fr-BE"/>
              </w:rPr>
            </w:pPr>
            <w:r w:rsidRPr="0098635C">
              <w:rPr>
                <w:rFonts w:eastAsia="Calibri"/>
                <w:color w:val="000000" w:themeColor="text1"/>
                <w:sz w:val="20"/>
                <w:szCs w:val="20"/>
                <w:lang w:val="fr-BE"/>
              </w:rPr>
              <w:t>OECD TG 404; EU Method B4:</w:t>
            </w:r>
          </w:p>
          <w:p w14:paraId="6A550B79"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not irritating</w:t>
            </w:r>
          </w:p>
        </w:tc>
        <w:tc>
          <w:tcPr>
            <w:tcW w:w="2058" w:type="dxa"/>
            <w:tcBorders>
              <w:right w:val="single" w:sz="18" w:space="0" w:color="auto"/>
            </w:tcBorders>
            <w:shd w:val="clear" w:color="auto" w:fill="auto"/>
            <w:vAlign w:val="center"/>
          </w:tcPr>
          <w:p w14:paraId="5BA621D5"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OECD TG 404:</w:t>
            </w:r>
          </w:p>
          <w:p w14:paraId="0F6CD268"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not irritating</w:t>
            </w:r>
          </w:p>
        </w:tc>
        <w:tc>
          <w:tcPr>
            <w:tcW w:w="2018" w:type="dxa"/>
            <w:tcBorders>
              <w:left w:val="single" w:sz="18" w:space="0" w:color="auto"/>
            </w:tcBorders>
            <w:shd w:val="clear" w:color="auto" w:fill="auto"/>
            <w:vAlign w:val="center"/>
          </w:tcPr>
          <w:p w14:paraId="5CD09414" w14:textId="77777777" w:rsidR="00C24197" w:rsidRPr="0098635C" w:rsidRDefault="00C24197" w:rsidP="009B2B28">
            <w:pPr>
              <w:spacing w:before="40" w:after="40"/>
              <w:jc w:val="center"/>
              <w:rPr>
                <w:rFonts w:eastAsia="Calibri"/>
                <w:color w:val="000000" w:themeColor="text1"/>
                <w:sz w:val="20"/>
                <w:szCs w:val="20"/>
                <w:lang w:val="fr-BE"/>
              </w:rPr>
            </w:pPr>
            <w:r w:rsidRPr="0098635C">
              <w:rPr>
                <w:rFonts w:eastAsia="Calibri"/>
                <w:color w:val="000000" w:themeColor="text1"/>
                <w:sz w:val="20"/>
                <w:szCs w:val="20"/>
                <w:lang w:val="fr-BE"/>
              </w:rPr>
              <w:t>OECD TG 404; EU Method B4:</w:t>
            </w:r>
          </w:p>
          <w:p w14:paraId="48CDBB3A"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not irritating</w:t>
            </w:r>
          </w:p>
        </w:tc>
        <w:tc>
          <w:tcPr>
            <w:tcW w:w="2057" w:type="dxa"/>
            <w:tcBorders>
              <w:left w:val="single" w:sz="18" w:space="0" w:color="auto"/>
            </w:tcBorders>
          </w:tcPr>
          <w:p w14:paraId="1794727F"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OECD TG 404:</w:t>
            </w:r>
          </w:p>
          <w:p w14:paraId="34F91E1F"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not irritating</w:t>
            </w:r>
          </w:p>
        </w:tc>
        <w:tc>
          <w:tcPr>
            <w:tcW w:w="2409" w:type="dxa"/>
            <w:tcBorders>
              <w:left w:val="single" w:sz="18" w:space="0" w:color="auto"/>
            </w:tcBorders>
          </w:tcPr>
          <w:p w14:paraId="540556A4" w14:textId="77777777" w:rsidR="00C24197" w:rsidRPr="0098635C" w:rsidRDefault="00C24197" w:rsidP="009B2B28">
            <w:pPr>
              <w:spacing w:before="40" w:after="40"/>
              <w:jc w:val="center"/>
              <w:rPr>
                <w:rFonts w:eastAsia="Calibri"/>
                <w:color w:val="000000" w:themeColor="text1"/>
                <w:sz w:val="20"/>
                <w:szCs w:val="20"/>
                <w:lang w:val="fr-BE"/>
              </w:rPr>
            </w:pPr>
            <w:r w:rsidRPr="0098635C">
              <w:rPr>
                <w:rFonts w:eastAsia="Calibri"/>
                <w:color w:val="000000" w:themeColor="text1"/>
                <w:sz w:val="20"/>
                <w:szCs w:val="20"/>
                <w:lang w:val="fr-BE"/>
              </w:rPr>
              <w:t>OECD TG 404; EU Method B4:</w:t>
            </w:r>
          </w:p>
          <w:p w14:paraId="6BD9A113"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not irritating</w:t>
            </w:r>
          </w:p>
        </w:tc>
      </w:tr>
      <w:tr w:rsidR="00C24197" w:rsidRPr="0098635C" w14:paraId="25DD7666" w14:textId="77777777" w:rsidTr="00982513">
        <w:tc>
          <w:tcPr>
            <w:tcW w:w="2060" w:type="dxa"/>
            <w:tcBorders>
              <w:right w:val="single" w:sz="18" w:space="0" w:color="auto"/>
            </w:tcBorders>
            <w:shd w:val="clear" w:color="auto" w:fill="auto"/>
            <w:vAlign w:val="center"/>
          </w:tcPr>
          <w:p w14:paraId="412A0DF9" w14:textId="77777777" w:rsidR="00C24197" w:rsidRPr="0098635C" w:rsidRDefault="00C24197" w:rsidP="009B2B28">
            <w:pPr>
              <w:spacing w:before="40" w:after="40"/>
              <w:jc w:val="center"/>
              <w:rPr>
                <w:rFonts w:eastAsia="Calibri"/>
                <w:b/>
                <w:color w:val="000000" w:themeColor="text1"/>
                <w:sz w:val="20"/>
                <w:szCs w:val="20"/>
              </w:rPr>
            </w:pPr>
            <w:r w:rsidRPr="0098635C">
              <w:rPr>
                <w:rFonts w:eastAsia="Calibri"/>
                <w:b/>
                <w:color w:val="000000" w:themeColor="text1"/>
                <w:sz w:val="20"/>
                <w:szCs w:val="20"/>
              </w:rPr>
              <w:t>Eye irritation</w:t>
            </w:r>
          </w:p>
        </w:tc>
        <w:tc>
          <w:tcPr>
            <w:tcW w:w="2046" w:type="dxa"/>
            <w:tcBorders>
              <w:left w:val="single" w:sz="18" w:space="0" w:color="auto"/>
            </w:tcBorders>
            <w:shd w:val="clear" w:color="auto" w:fill="auto"/>
            <w:vAlign w:val="center"/>
          </w:tcPr>
          <w:p w14:paraId="0566F0B6" w14:textId="77777777" w:rsidR="00C24197" w:rsidRPr="0098635C" w:rsidRDefault="00C24197" w:rsidP="009B2B28">
            <w:pPr>
              <w:spacing w:before="40" w:after="40"/>
              <w:jc w:val="center"/>
              <w:rPr>
                <w:rFonts w:eastAsia="Calibri"/>
                <w:color w:val="000000" w:themeColor="text1"/>
                <w:sz w:val="20"/>
                <w:szCs w:val="20"/>
                <w:lang w:val="fr-BE"/>
              </w:rPr>
            </w:pPr>
            <w:r w:rsidRPr="0098635C">
              <w:rPr>
                <w:rFonts w:eastAsia="Calibri"/>
                <w:color w:val="000000" w:themeColor="text1"/>
                <w:sz w:val="20"/>
                <w:szCs w:val="20"/>
                <w:lang w:val="fr-BE"/>
              </w:rPr>
              <w:t>no data</w:t>
            </w:r>
          </w:p>
        </w:tc>
        <w:tc>
          <w:tcPr>
            <w:tcW w:w="2089" w:type="dxa"/>
            <w:shd w:val="clear" w:color="auto" w:fill="auto"/>
            <w:vAlign w:val="center"/>
          </w:tcPr>
          <w:p w14:paraId="592D3521" w14:textId="77777777" w:rsidR="00C24197" w:rsidRPr="0098635C" w:rsidRDefault="00C24197" w:rsidP="009B2B28">
            <w:pPr>
              <w:spacing w:before="40" w:after="40"/>
              <w:jc w:val="center"/>
              <w:rPr>
                <w:rFonts w:eastAsia="Calibri"/>
                <w:color w:val="000000" w:themeColor="text1"/>
                <w:sz w:val="20"/>
                <w:szCs w:val="20"/>
                <w:lang w:val="fr-BE"/>
              </w:rPr>
            </w:pPr>
            <w:r w:rsidRPr="0098635C">
              <w:rPr>
                <w:rFonts w:eastAsia="Calibri"/>
                <w:color w:val="000000" w:themeColor="text1"/>
                <w:sz w:val="20"/>
                <w:szCs w:val="20"/>
                <w:lang w:val="fr-BE"/>
              </w:rPr>
              <w:t>OECD TG 405; EU Method B5:</w:t>
            </w:r>
          </w:p>
          <w:p w14:paraId="365C29FA"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irritating</w:t>
            </w:r>
          </w:p>
        </w:tc>
        <w:tc>
          <w:tcPr>
            <w:tcW w:w="2058" w:type="dxa"/>
            <w:tcBorders>
              <w:right w:val="single" w:sz="18" w:space="0" w:color="auto"/>
            </w:tcBorders>
            <w:shd w:val="clear" w:color="auto" w:fill="auto"/>
            <w:vAlign w:val="center"/>
          </w:tcPr>
          <w:p w14:paraId="08C32062" w14:textId="77777777" w:rsidR="00C24197" w:rsidRPr="0098635C" w:rsidRDefault="00C24197" w:rsidP="009B2B28">
            <w:pPr>
              <w:spacing w:before="40" w:after="40"/>
              <w:jc w:val="center"/>
              <w:rPr>
                <w:rFonts w:eastAsia="Calibri"/>
                <w:color w:val="000000" w:themeColor="text1"/>
                <w:sz w:val="20"/>
                <w:szCs w:val="20"/>
                <w:lang w:val="fr-BE"/>
              </w:rPr>
            </w:pPr>
            <w:r w:rsidRPr="0098635C">
              <w:rPr>
                <w:rFonts w:eastAsia="Calibri"/>
                <w:color w:val="000000" w:themeColor="text1"/>
                <w:sz w:val="20"/>
                <w:szCs w:val="20"/>
                <w:lang w:val="fr-BE"/>
              </w:rPr>
              <w:t>OECD TG 405; EU Method B5:</w:t>
            </w:r>
          </w:p>
          <w:p w14:paraId="40BE0ACC"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Irritating to the eye</w:t>
            </w:r>
          </w:p>
        </w:tc>
        <w:tc>
          <w:tcPr>
            <w:tcW w:w="2018" w:type="dxa"/>
            <w:tcBorders>
              <w:left w:val="single" w:sz="18" w:space="0" w:color="auto"/>
            </w:tcBorders>
            <w:shd w:val="clear" w:color="auto" w:fill="auto"/>
            <w:vAlign w:val="center"/>
          </w:tcPr>
          <w:p w14:paraId="55B0FA9E"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OECD TG 405:</w:t>
            </w:r>
          </w:p>
          <w:p w14:paraId="018B5652"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 xml:space="preserve"> Irritating to the eye</w:t>
            </w:r>
          </w:p>
        </w:tc>
        <w:tc>
          <w:tcPr>
            <w:tcW w:w="2057" w:type="dxa"/>
            <w:tcBorders>
              <w:left w:val="single" w:sz="18" w:space="0" w:color="auto"/>
            </w:tcBorders>
          </w:tcPr>
          <w:p w14:paraId="597B2FE0" w14:textId="77777777" w:rsidR="00C24197" w:rsidRPr="0098635C" w:rsidRDefault="00C24197" w:rsidP="009B2B28">
            <w:pPr>
              <w:spacing w:before="40" w:after="40"/>
              <w:jc w:val="center"/>
              <w:rPr>
                <w:rFonts w:eastAsia="Calibri"/>
                <w:color w:val="000000" w:themeColor="text1"/>
                <w:sz w:val="20"/>
                <w:szCs w:val="20"/>
                <w:lang w:val="fr-BE"/>
              </w:rPr>
            </w:pPr>
            <w:r w:rsidRPr="0098635C">
              <w:rPr>
                <w:rFonts w:eastAsia="Calibri"/>
                <w:color w:val="000000" w:themeColor="text1"/>
                <w:sz w:val="20"/>
                <w:szCs w:val="20"/>
                <w:lang w:val="fr-BE"/>
              </w:rPr>
              <w:t>OECD TG 405; EU Method B5:</w:t>
            </w:r>
          </w:p>
          <w:p w14:paraId="65E88508"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not irritating</w:t>
            </w:r>
          </w:p>
        </w:tc>
        <w:tc>
          <w:tcPr>
            <w:tcW w:w="2409" w:type="dxa"/>
            <w:tcBorders>
              <w:left w:val="single" w:sz="18" w:space="0" w:color="auto"/>
            </w:tcBorders>
          </w:tcPr>
          <w:p w14:paraId="2444755A" w14:textId="77777777" w:rsidR="00C24197" w:rsidRPr="0098635C" w:rsidRDefault="00C24197" w:rsidP="009B2B28">
            <w:pPr>
              <w:spacing w:before="40" w:after="40"/>
              <w:jc w:val="center"/>
              <w:rPr>
                <w:rFonts w:eastAsia="Calibri"/>
                <w:color w:val="000000" w:themeColor="text1"/>
                <w:sz w:val="20"/>
                <w:szCs w:val="20"/>
                <w:lang w:val="fr-BE"/>
              </w:rPr>
            </w:pPr>
            <w:r w:rsidRPr="0098635C">
              <w:rPr>
                <w:rFonts w:eastAsia="Calibri"/>
                <w:color w:val="000000" w:themeColor="text1"/>
                <w:sz w:val="20"/>
                <w:szCs w:val="20"/>
                <w:lang w:val="fr-BE"/>
              </w:rPr>
              <w:t>OECD TG 405; EU Method B5:</w:t>
            </w:r>
          </w:p>
          <w:p w14:paraId="7156B151"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not irritating</w:t>
            </w:r>
          </w:p>
        </w:tc>
      </w:tr>
      <w:tr w:rsidR="00C24197" w:rsidRPr="0098635C" w14:paraId="1040901D" w14:textId="77777777" w:rsidTr="00982513">
        <w:tc>
          <w:tcPr>
            <w:tcW w:w="2060" w:type="dxa"/>
            <w:tcBorders>
              <w:right w:val="single" w:sz="18" w:space="0" w:color="auto"/>
            </w:tcBorders>
            <w:shd w:val="clear" w:color="auto" w:fill="auto"/>
            <w:vAlign w:val="center"/>
          </w:tcPr>
          <w:p w14:paraId="3C13F834" w14:textId="77777777" w:rsidR="00C24197" w:rsidRPr="0098635C" w:rsidRDefault="00C24197" w:rsidP="009B2B28">
            <w:pPr>
              <w:spacing w:before="40" w:after="40"/>
              <w:jc w:val="center"/>
              <w:rPr>
                <w:rFonts w:eastAsia="Calibri"/>
                <w:b/>
                <w:color w:val="000000" w:themeColor="text1"/>
                <w:sz w:val="20"/>
                <w:szCs w:val="20"/>
              </w:rPr>
            </w:pPr>
            <w:r w:rsidRPr="0098635C">
              <w:rPr>
                <w:rFonts w:eastAsia="Calibri"/>
                <w:b/>
                <w:color w:val="000000" w:themeColor="text1"/>
                <w:sz w:val="20"/>
                <w:szCs w:val="20"/>
              </w:rPr>
              <w:t>Respiratory irritation</w:t>
            </w:r>
          </w:p>
        </w:tc>
        <w:tc>
          <w:tcPr>
            <w:tcW w:w="2046" w:type="dxa"/>
            <w:tcBorders>
              <w:left w:val="single" w:sz="18" w:space="0" w:color="auto"/>
            </w:tcBorders>
            <w:shd w:val="clear" w:color="auto" w:fill="auto"/>
            <w:vAlign w:val="center"/>
          </w:tcPr>
          <w:p w14:paraId="6525B1DD"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 data</w:t>
            </w:r>
          </w:p>
        </w:tc>
        <w:tc>
          <w:tcPr>
            <w:tcW w:w="2089" w:type="dxa"/>
            <w:shd w:val="clear" w:color="auto" w:fill="auto"/>
            <w:vAlign w:val="center"/>
          </w:tcPr>
          <w:p w14:paraId="7225565B"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 data</w:t>
            </w:r>
          </w:p>
        </w:tc>
        <w:tc>
          <w:tcPr>
            <w:tcW w:w="2058" w:type="dxa"/>
            <w:tcBorders>
              <w:right w:val="single" w:sz="18" w:space="0" w:color="auto"/>
            </w:tcBorders>
            <w:shd w:val="clear" w:color="auto" w:fill="auto"/>
            <w:vAlign w:val="center"/>
          </w:tcPr>
          <w:p w14:paraId="1D6ED08E"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 data</w:t>
            </w:r>
          </w:p>
        </w:tc>
        <w:tc>
          <w:tcPr>
            <w:tcW w:w="2018" w:type="dxa"/>
            <w:tcBorders>
              <w:left w:val="single" w:sz="18" w:space="0" w:color="auto"/>
            </w:tcBorders>
            <w:shd w:val="clear" w:color="auto" w:fill="auto"/>
            <w:vAlign w:val="center"/>
          </w:tcPr>
          <w:p w14:paraId="3F4395DA"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 data</w:t>
            </w:r>
          </w:p>
        </w:tc>
        <w:tc>
          <w:tcPr>
            <w:tcW w:w="2057" w:type="dxa"/>
            <w:tcBorders>
              <w:left w:val="single" w:sz="18" w:space="0" w:color="auto"/>
            </w:tcBorders>
            <w:vAlign w:val="center"/>
          </w:tcPr>
          <w:p w14:paraId="1ED8A3DD"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 data</w:t>
            </w:r>
          </w:p>
        </w:tc>
        <w:tc>
          <w:tcPr>
            <w:tcW w:w="2409" w:type="dxa"/>
            <w:tcBorders>
              <w:left w:val="single" w:sz="18" w:space="0" w:color="auto"/>
            </w:tcBorders>
            <w:vAlign w:val="center"/>
          </w:tcPr>
          <w:p w14:paraId="78131CB0"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 data</w:t>
            </w:r>
          </w:p>
        </w:tc>
      </w:tr>
      <w:tr w:rsidR="00C24197" w:rsidRPr="0098635C" w14:paraId="089B5D9B" w14:textId="77777777" w:rsidTr="00982513">
        <w:tc>
          <w:tcPr>
            <w:tcW w:w="2060" w:type="dxa"/>
            <w:tcBorders>
              <w:right w:val="single" w:sz="18" w:space="0" w:color="auto"/>
            </w:tcBorders>
            <w:shd w:val="clear" w:color="auto" w:fill="auto"/>
            <w:vAlign w:val="center"/>
          </w:tcPr>
          <w:p w14:paraId="17E56BE6" w14:textId="77777777" w:rsidR="00C24197" w:rsidRPr="0098635C" w:rsidRDefault="00C24197" w:rsidP="009B2B28">
            <w:pPr>
              <w:spacing w:before="40" w:after="40"/>
              <w:jc w:val="center"/>
              <w:rPr>
                <w:rFonts w:eastAsia="Calibri"/>
                <w:b/>
                <w:color w:val="000000" w:themeColor="text1"/>
                <w:sz w:val="20"/>
                <w:szCs w:val="20"/>
              </w:rPr>
            </w:pPr>
            <w:r w:rsidRPr="0098635C">
              <w:rPr>
                <w:rFonts w:eastAsia="Calibri"/>
                <w:b/>
                <w:color w:val="000000" w:themeColor="text1"/>
                <w:sz w:val="20"/>
                <w:szCs w:val="20"/>
              </w:rPr>
              <w:t>Skin Sensitisation</w:t>
            </w:r>
          </w:p>
        </w:tc>
        <w:tc>
          <w:tcPr>
            <w:tcW w:w="2046" w:type="dxa"/>
            <w:tcBorders>
              <w:left w:val="single" w:sz="18" w:space="0" w:color="auto"/>
            </w:tcBorders>
            <w:shd w:val="clear" w:color="auto" w:fill="auto"/>
            <w:vAlign w:val="center"/>
          </w:tcPr>
          <w:p w14:paraId="57691558" w14:textId="77777777" w:rsidR="00C24197" w:rsidRPr="0098635C" w:rsidRDefault="00C24197" w:rsidP="009B2B28">
            <w:pPr>
              <w:spacing w:before="40" w:after="40"/>
              <w:jc w:val="center"/>
              <w:rPr>
                <w:rFonts w:eastAsia="Calibri"/>
                <w:color w:val="000000" w:themeColor="text1"/>
                <w:sz w:val="20"/>
                <w:szCs w:val="20"/>
                <w:lang w:val="fr-BE"/>
              </w:rPr>
            </w:pPr>
            <w:r w:rsidRPr="0098635C">
              <w:rPr>
                <w:rFonts w:eastAsia="Calibri"/>
                <w:color w:val="000000" w:themeColor="text1"/>
                <w:sz w:val="20"/>
                <w:szCs w:val="20"/>
                <w:lang w:val="fr-BE"/>
              </w:rPr>
              <w:t>No data</w:t>
            </w:r>
          </w:p>
          <w:p w14:paraId="7564B30C"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(read-across)</w:t>
            </w:r>
          </w:p>
        </w:tc>
        <w:tc>
          <w:tcPr>
            <w:tcW w:w="2089" w:type="dxa"/>
            <w:shd w:val="clear" w:color="auto" w:fill="auto"/>
            <w:vAlign w:val="center"/>
          </w:tcPr>
          <w:p w14:paraId="3335CAA5"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OECD TG 406:</w:t>
            </w:r>
          </w:p>
          <w:p w14:paraId="31ABFC60"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not sensitising</w:t>
            </w:r>
          </w:p>
        </w:tc>
        <w:tc>
          <w:tcPr>
            <w:tcW w:w="2058" w:type="dxa"/>
            <w:tcBorders>
              <w:right w:val="single" w:sz="18" w:space="0" w:color="auto"/>
            </w:tcBorders>
            <w:shd w:val="clear" w:color="auto" w:fill="auto"/>
            <w:vAlign w:val="center"/>
          </w:tcPr>
          <w:p w14:paraId="2DFDBFF3"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OECD TG 406:</w:t>
            </w:r>
          </w:p>
          <w:p w14:paraId="7AB99548"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not sensitising</w:t>
            </w:r>
          </w:p>
        </w:tc>
        <w:tc>
          <w:tcPr>
            <w:tcW w:w="2018" w:type="dxa"/>
            <w:tcBorders>
              <w:left w:val="single" w:sz="18" w:space="0" w:color="auto"/>
            </w:tcBorders>
            <w:shd w:val="clear" w:color="auto" w:fill="auto"/>
            <w:vAlign w:val="center"/>
          </w:tcPr>
          <w:p w14:paraId="3CA0DA5A"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OECD TG 406:</w:t>
            </w:r>
          </w:p>
          <w:p w14:paraId="01E57774"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not sensitising</w:t>
            </w:r>
          </w:p>
        </w:tc>
        <w:tc>
          <w:tcPr>
            <w:tcW w:w="2057" w:type="dxa"/>
            <w:tcBorders>
              <w:left w:val="single" w:sz="18" w:space="0" w:color="auto"/>
            </w:tcBorders>
            <w:vAlign w:val="center"/>
          </w:tcPr>
          <w:p w14:paraId="5B245EED"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OECD TG 406:</w:t>
            </w:r>
          </w:p>
          <w:p w14:paraId="1D5A9660"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not sensitising</w:t>
            </w:r>
          </w:p>
        </w:tc>
        <w:tc>
          <w:tcPr>
            <w:tcW w:w="2409" w:type="dxa"/>
            <w:tcBorders>
              <w:left w:val="single" w:sz="18" w:space="0" w:color="auto"/>
            </w:tcBorders>
            <w:vAlign w:val="center"/>
          </w:tcPr>
          <w:p w14:paraId="3747970D"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OECD TG 406:</w:t>
            </w:r>
          </w:p>
          <w:p w14:paraId="507A8DB6"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not sensitising</w:t>
            </w:r>
          </w:p>
        </w:tc>
      </w:tr>
      <w:tr w:rsidR="00C24197" w:rsidRPr="0098635C" w14:paraId="4169F87D" w14:textId="77777777" w:rsidTr="00982513">
        <w:tc>
          <w:tcPr>
            <w:tcW w:w="2060" w:type="dxa"/>
            <w:tcBorders>
              <w:right w:val="single" w:sz="18" w:space="0" w:color="auto"/>
            </w:tcBorders>
            <w:shd w:val="clear" w:color="auto" w:fill="auto"/>
            <w:vAlign w:val="center"/>
          </w:tcPr>
          <w:p w14:paraId="4B62B8A8" w14:textId="77777777" w:rsidR="00C24197" w:rsidRPr="0098635C" w:rsidRDefault="00C24197" w:rsidP="009B2B28">
            <w:pPr>
              <w:spacing w:before="40" w:after="40"/>
              <w:jc w:val="center"/>
              <w:rPr>
                <w:rFonts w:eastAsia="Calibri"/>
                <w:b/>
                <w:color w:val="000000" w:themeColor="text1"/>
                <w:sz w:val="20"/>
                <w:szCs w:val="20"/>
              </w:rPr>
            </w:pPr>
            <w:r w:rsidRPr="0098635C">
              <w:rPr>
                <w:rFonts w:eastAsia="Calibri"/>
                <w:b/>
                <w:color w:val="000000" w:themeColor="text1"/>
                <w:sz w:val="20"/>
                <w:szCs w:val="20"/>
              </w:rPr>
              <w:t>Mutagenicity/Genetic toxicity</w:t>
            </w:r>
          </w:p>
        </w:tc>
        <w:tc>
          <w:tcPr>
            <w:tcW w:w="2046" w:type="dxa"/>
            <w:tcBorders>
              <w:left w:val="single" w:sz="18" w:space="0" w:color="auto"/>
            </w:tcBorders>
            <w:shd w:val="clear" w:color="auto" w:fill="auto"/>
            <w:vAlign w:val="center"/>
          </w:tcPr>
          <w:p w14:paraId="2552EB76"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 data</w:t>
            </w:r>
          </w:p>
          <w:p w14:paraId="791FCCF4"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(read-across from copper sulphate)</w:t>
            </w:r>
          </w:p>
          <w:p w14:paraId="5406AA98" w14:textId="77777777" w:rsidR="00C24197" w:rsidRPr="0098635C" w:rsidRDefault="00C24197" w:rsidP="009B2B28">
            <w:pPr>
              <w:spacing w:before="40" w:after="40"/>
              <w:jc w:val="center"/>
              <w:rPr>
                <w:rFonts w:eastAsia="Calibri"/>
                <w:color w:val="000000" w:themeColor="text1"/>
                <w:sz w:val="20"/>
                <w:szCs w:val="20"/>
              </w:rPr>
            </w:pPr>
          </w:p>
        </w:tc>
        <w:tc>
          <w:tcPr>
            <w:tcW w:w="2089" w:type="dxa"/>
            <w:shd w:val="clear" w:color="auto" w:fill="auto"/>
            <w:vAlign w:val="center"/>
          </w:tcPr>
          <w:p w14:paraId="1ECB7019"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 data</w:t>
            </w:r>
          </w:p>
          <w:p w14:paraId="7D98319D"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(read-across from copper sulphate)</w:t>
            </w:r>
          </w:p>
          <w:p w14:paraId="52B45FA0" w14:textId="77777777" w:rsidR="00C24197" w:rsidRPr="0098635C" w:rsidRDefault="00C24197" w:rsidP="009B2B28">
            <w:pPr>
              <w:spacing w:before="40" w:after="40"/>
              <w:jc w:val="center"/>
              <w:rPr>
                <w:rFonts w:eastAsia="Calibri"/>
                <w:color w:val="000000" w:themeColor="text1"/>
                <w:sz w:val="20"/>
                <w:szCs w:val="20"/>
              </w:rPr>
            </w:pPr>
          </w:p>
        </w:tc>
        <w:tc>
          <w:tcPr>
            <w:tcW w:w="2058" w:type="dxa"/>
            <w:tcBorders>
              <w:right w:val="single" w:sz="18" w:space="0" w:color="auto"/>
            </w:tcBorders>
            <w:shd w:val="clear" w:color="auto" w:fill="auto"/>
            <w:vAlign w:val="center"/>
          </w:tcPr>
          <w:p w14:paraId="6CC5663F"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Not mutagenic based on 3 GLP and OECD guideline studies</w:t>
            </w:r>
          </w:p>
        </w:tc>
        <w:tc>
          <w:tcPr>
            <w:tcW w:w="2018" w:type="dxa"/>
            <w:tcBorders>
              <w:left w:val="single" w:sz="18" w:space="0" w:color="auto"/>
            </w:tcBorders>
            <w:shd w:val="clear" w:color="auto" w:fill="auto"/>
            <w:vAlign w:val="center"/>
          </w:tcPr>
          <w:p w14:paraId="6BF07904"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 data</w:t>
            </w:r>
          </w:p>
          <w:p w14:paraId="035F91A8"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(read-across from copper sulphate)</w:t>
            </w:r>
          </w:p>
          <w:p w14:paraId="04638F9C" w14:textId="77777777" w:rsidR="00C24197" w:rsidRPr="0098635C" w:rsidRDefault="00C24197" w:rsidP="009B2B28">
            <w:pPr>
              <w:spacing w:before="40" w:after="40"/>
              <w:jc w:val="center"/>
              <w:rPr>
                <w:rFonts w:eastAsia="Calibri"/>
                <w:color w:val="000000" w:themeColor="text1"/>
                <w:sz w:val="20"/>
                <w:szCs w:val="20"/>
              </w:rPr>
            </w:pPr>
          </w:p>
        </w:tc>
        <w:tc>
          <w:tcPr>
            <w:tcW w:w="2057" w:type="dxa"/>
            <w:tcBorders>
              <w:left w:val="single" w:sz="18" w:space="0" w:color="auto"/>
            </w:tcBorders>
          </w:tcPr>
          <w:p w14:paraId="7A890246"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 data</w:t>
            </w:r>
          </w:p>
          <w:p w14:paraId="752936E1"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(read-across from copper sulphate)</w:t>
            </w:r>
          </w:p>
          <w:p w14:paraId="492B54E4" w14:textId="77777777" w:rsidR="00C24197" w:rsidRPr="0098635C" w:rsidRDefault="00C24197" w:rsidP="009B2B28">
            <w:pPr>
              <w:spacing w:before="40" w:after="40"/>
              <w:jc w:val="center"/>
              <w:rPr>
                <w:rFonts w:eastAsia="Calibri"/>
                <w:color w:val="000000" w:themeColor="text1"/>
                <w:sz w:val="20"/>
                <w:szCs w:val="20"/>
              </w:rPr>
            </w:pPr>
          </w:p>
        </w:tc>
        <w:tc>
          <w:tcPr>
            <w:tcW w:w="2409" w:type="dxa"/>
            <w:tcBorders>
              <w:left w:val="single" w:sz="18" w:space="0" w:color="auto"/>
            </w:tcBorders>
          </w:tcPr>
          <w:p w14:paraId="1E64921C"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 data</w:t>
            </w:r>
          </w:p>
          <w:p w14:paraId="13460980"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(read-across from copper sulphate)</w:t>
            </w:r>
          </w:p>
          <w:p w14:paraId="00E7385D" w14:textId="77777777" w:rsidR="00C24197" w:rsidRPr="0098635C" w:rsidRDefault="00C24197" w:rsidP="009B2B28">
            <w:pPr>
              <w:spacing w:before="40" w:after="40"/>
              <w:jc w:val="center"/>
              <w:rPr>
                <w:rFonts w:eastAsia="Calibri"/>
                <w:color w:val="000000" w:themeColor="text1"/>
                <w:sz w:val="20"/>
                <w:szCs w:val="20"/>
              </w:rPr>
            </w:pPr>
          </w:p>
        </w:tc>
      </w:tr>
      <w:tr w:rsidR="00C24197" w:rsidRPr="0098635C" w14:paraId="3814DDF9" w14:textId="77777777" w:rsidTr="00982513">
        <w:tc>
          <w:tcPr>
            <w:tcW w:w="2060" w:type="dxa"/>
            <w:tcBorders>
              <w:right w:val="single" w:sz="18" w:space="0" w:color="auto"/>
            </w:tcBorders>
            <w:shd w:val="clear" w:color="auto" w:fill="auto"/>
            <w:vAlign w:val="center"/>
          </w:tcPr>
          <w:p w14:paraId="196EAFCD" w14:textId="77777777" w:rsidR="00C24197" w:rsidRPr="0098635C" w:rsidRDefault="00C24197" w:rsidP="009B2B28">
            <w:pPr>
              <w:spacing w:before="40" w:after="40"/>
              <w:jc w:val="center"/>
              <w:rPr>
                <w:rFonts w:eastAsia="Calibri"/>
                <w:b/>
                <w:color w:val="000000" w:themeColor="text1"/>
                <w:sz w:val="20"/>
                <w:szCs w:val="20"/>
              </w:rPr>
            </w:pPr>
            <w:r w:rsidRPr="0098635C">
              <w:rPr>
                <w:rFonts w:eastAsia="Calibri"/>
                <w:b/>
                <w:color w:val="000000" w:themeColor="text1"/>
                <w:sz w:val="20"/>
                <w:szCs w:val="20"/>
              </w:rPr>
              <w:t>Repeated dose toxicity, oral</w:t>
            </w:r>
          </w:p>
        </w:tc>
        <w:tc>
          <w:tcPr>
            <w:tcW w:w="2046" w:type="dxa"/>
            <w:tcBorders>
              <w:left w:val="single" w:sz="18" w:space="0" w:color="auto"/>
            </w:tcBorders>
            <w:shd w:val="clear" w:color="auto" w:fill="auto"/>
            <w:vAlign w:val="center"/>
          </w:tcPr>
          <w:p w14:paraId="465B08FD"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 data</w:t>
            </w:r>
          </w:p>
          <w:p w14:paraId="2D74B09F"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lastRenderedPageBreak/>
              <w:t>(read-across from copper sulphate)</w:t>
            </w:r>
          </w:p>
          <w:p w14:paraId="70A88E03" w14:textId="77777777" w:rsidR="00C24197" w:rsidRPr="0098635C" w:rsidRDefault="00C24197" w:rsidP="009B2B28">
            <w:pPr>
              <w:spacing w:before="40" w:after="40"/>
              <w:jc w:val="center"/>
              <w:rPr>
                <w:rFonts w:eastAsia="Calibri"/>
                <w:color w:val="000000" w:themeColor="text1"/>
                <w:sz w:val="20"/>
                <w:szCs w:val="20"/>
              </w:rPr>
            </w:pPr>
          </w:p>
        </w:tc>
        <w:tc>
          <w:tcPr>
            <w:tcW w:w="2089" w:type="dxa"/>
            <w:shd w:val="clear" w:color="auto" w:fill="auto"/>
            <w:vAlign w:val="center"/>
          </w:tcPr>
          <w:p w14:paraId="0D5D0985"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lastRenderedPageBreak/>
              <w:t>no data</w:t>
            </w:r>
          </w:p>
          <w:p w14:paraId="4542F3AE"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lastRenderedPageBreak/>
              <w:t>(read-across from copper sulphate)</w:t>
            </w:r>
          </w:p>
          <w:p w14:paraId="348B352D" w14:textId="77777777" w:rsidR="00C24197" w:rsidRPr="0098635C" w:rsidRDefault="00C24197" w:rsidP="009B2B28">
            <w:pPr>
              <w:spacing w:before="40" w:after="40"/>
              <w:jc w:val="center"/>
              <w:rPr>
                <w:rFonts w:eastAsia="Calibri"/>
                <w:color w:val="000000" w:themeColor="text1"/>
                <w:sz w:val="20"/>
                <w:szCs w:val="20"/>
              </w:rPr>
            </w:pPr>
          </w:p>
        </w:tc>
        <w:tc>
          <w:tcPr>
            <w:tcW w:w="2058" w:type="dxa"/>
            <w:tcBorders>
              <w:right w:val="single" w:sz="18" w:space="0" w:color="auto"/>
            </w:tcBorders>
            <w:shd w:val="clear" w:color="auto" w:fill="auto"/>
            <w:vAlign w:val="center"/>
          </w:tcPr>
          <w:p w14:paraId="5B83C674"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lastRenderedPageBreak/>
              <w:t>OECD TG xx:</w:t>
            </w:r>
          </w:p>
          <w:p w14:paraId="69613870"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 xml:space="preserve">NOAEL= 16.7 </w:t>
            </w:r>
            <w:r w:rsidRPr="0098635C">
              <w:rPr>
                <w:rFonts w:eastAsia="Calibri"/>
                <w:color w:val="000000" w:themeColor="text1"/>
                <w:sz w:val="20"/>
                <w:szCs w:val="20"/>
              </w:rPr>
              <w:lastRenderedPageBreak/>
              <w:t>mg/kg/bw/day (Cu added as copper sulphate pentahydrate)</w:t>
            </w:r>
          </w:p>
        </w:tc>
        <w:tc>
          <w:tcPr>
            <w:tcW w:w="2018" w:type="dxa"/>
            <w:tcBorders>
              <w:left w:val="single" w:sz="18" w:space="0" w:color="auto"/>
            </w:tcBorders>
            <w:shd w:val="clear" w:color="auto" w:fill="auto"/>
            <w:vAlign w:val="center"/>
          </w:tcPr>
          <w:p w14:paraId="51BF1AE5"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lastRenderedPageBreak/>
              <w:t>no data</w:t>
            </w:r>
          </w:p>
          <w:p w14:paraId="2B77A6D9"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 xml:space="preserve">(read-across from </w:t>
            </w:r>
            <w:r w:rsidRPr="0098635C">
              <w:rPr>
                <w:rFonts w:eastAsia="Calibri"/>
                <w:color w:val="000000" w:themeColor="text1"/>
                <w:sz w:val="20"/>
                <w:szCs w:val="20"/>
              </w:rPr>
              <w:lastRenderedPageBreak/>
              <w:t>copper sulphate)</w:t>
            </w:r>
          </w:p>
          <w:p w14:paraId="28489CA3" w14:textId="77777777" w:rsidR="00C24197" w:rsidRPr="0098635C" w:rsidRDefault="00C24197" w:rsidP="009B2B28">
            <w:pPr>
              <w:spacing w:before="40" w:after="40"/>
              <w:jc w:val="center"/>
              <w:rPr>
                <w:rFonts w:eastAsia="Calibri"/>
                <w:color w:val="000000" w:themeColor="text1"/>
                <w:sz w:val="20"/>
                <w:szCs w:val="20"/>
              </w:rPr>
            </w:pPr>
          </w:p>
        </w:tc>
        <w:tc>
          <w:tcPr>
            <w:tcW w:w="2057" w:type="dxa"/>
            <w:tcBorders>
              <w:left w:val="single" w:sz="18" w:space="0" w:color="auto"/>
            </w:tcBorders>
            <w:vAlign w:val="center"/>
          </w:tcPr>
          <w:p w14:paraId="04ADEFD6"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lastRenderedPageBreak/>
              <w:t>no data</w:t>
            </w:r>
          </w:p>
          <w:p w14:paraId="1FD69752"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lastRenderedPageBreak/>
              <w:t>(read-across from copper sulphate)</w:t>
            </w:r>
          </w:p>
          <w:p w14:paraId="0677EF92" w14:textId="77777777" w:rsidR="00C24197" w:rsidRPr="0098635C" w:rsidRDefault="00C24197" w:rsidP="009B2B28">
            <w:pPr>
              <w:spacing w:before="40" w:after="40"/>
              <w:jc w:val="center"/>
              <w:rPr>
                <w:rFonts w:eastAsia="Calibri"/>
                <w:color w:val="000000" w:themeColor="text1"/>
                <w:sz w:val="20"/>
                <w:szCs w:val="20"/>
              </w:rPr>
            </w:pPr>
          </w:p>
        </w:tc>
        <w:tc>
          <w:tcPr>
            <w:tcW w:w="2409" w:type="dxa"/>
            <w:tcBorders>
              <w:left w:val="single" w:sz="18" w:space="0" w:color="auto"/>
            </w:tcBorders>
            <w:vAlign w:val="center"/>
          </w:tcPr>
          <w:p w14:paraId="422E7228"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lastRenderedPageBreak/>
              <w:t>no data</w:t>
            </w:r>
          </w:p>
          <w:p w14:paraId="0ADE3244"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 xml:space="preserve">(read-across from copper </w:t>
            </w:r>
            <w:r w:rsidRPr="0098635C">
              <w:rPr>
                <w:rFonts w:eastAsia="Calibri"/>
                <w:color w:val="000000" w:themeColor="text1"/>
                <w:sz w:val="20"/>
                <w:szCs w:val="20"/>
              </w:rPr>
              <w:lastRenderedPageBreak/>
              <w:t>sulphate)</w:t>
            </w:r>
          </w:p>
          <w:p w14:paraId="093B03FE" w14:textId="77777777" w:rsidR="00C24197" w:rsidRPr="0098635C" w:rsidRDefault="00C24197" w:rsidP="009B2B28">
            <w:pPr>
              <w:spacing w:before="40" w:after="40"/>
              <w:jc w:val="center"/>
              <w:rPr>
                <w:rFonts w:eastAsia="Calibri"/>
                <w:color w:val="000000" w:themeColor="text1"/>
                <w:sz w:val="20"/>
                <w:szCs w:val="20"/>
              </w:rPr>
            </w:pPr>
          </w:p>
        </w:tc>
      </w:tr>
      <w:tr w:rsidR="00C24197" w:rsidRPr="0098635C" w14:paraId="0FDF19A3" w14:textId="77777777" w:rsidTr="00982513">
        <w:tc>
          <w:tcPr>
            <w:tcW w:w="2060" w:type="dxa"/>
            <w:tcBorders>
              <w:right w:val="single" w:sz="18" w:space="0" w:color="auto"/>
            </w:tcBorders>
            <w:shd w:val="clear" w:color="auto" w:fill="auto"/>
            <w:vAlign w:val="center"/>
          </w:tcPr>
          <w:p w14:paraId="139463DD" w14:textId="77777777" w:rsidR="00C24197" w:rsidRPr="0098635C" w:rsidRDefault="00C24197" w:rsidP="009B2B28">
            <w:pPr>
              <w:spacing w:before="40" w:after="40"/>
              <w:jc w:val="center"/>
              <w:rPr>
                <w:rFonts w:eastAsia="Calibri"/>
                <w:b/>
                <w:color w:val="000000" w:themeColor="text1"/>
                <w:sz w:val="20"/>
                <w:szCs w:val="20"/>
              </w:rPr>
            </w:pPr>
            <w:r w:rsidRPr="0098635C">
              <w:rPr>
                <w:rFonts w:eastAsia="Calibri"/>
                <w:b/>
                <w:color w:val="000000" w:themeColor="text1"/>
                <w:sz w:val="20"/>
                <w:szCs w:val="20"/>
              </w:rPr>
              <w:t>Repeated dose toxicity, inhalation</w:t>
            </w:r>
          </w:p>
        </w:tc>
        <w:tc>
          <w:tcPr>
            <w:tcW w:w="2046" w:type="dxa"/>
            <w:tcBorders>
              <w:left w:val="single" w:sz="18" w:space="0" w:color="auto"/>
            </w:tcBorders>
            <w:shd w:val="clear" w:color="auto" w:fill="auto"/>
            <w:vAlign w:val="center"/>
          </w:tcPr>
          <w:p w14:paraId="3EC7D6EC"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 data</w:t>
            </w:r>
          </w:p>
          <w:p w14:paraId="138CFA12" w14:textId="6CA1E4C5"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 xml:space="preserve">(read-across from </w:t>
            </w:r>
            <w:r w:rsidR="00236182" w:rsidRPr="0098635C">
              <w:rPr>
                <w:rFonts w:eastAsia="Calibri"/>
                <w:color w:val="000000" w:themeColor="text1"/>
                <w:sz w:val="20"/>
                <w:szCs w:val="20"/>
              </w:rPr>
              <w:t>copper (I) oxide</w:t>
            </w:r>
            <w:r w:rsidRPr="0098635C">
              <w:rPr>
                <w:rFonts w:eastAsia="Calibri"/>
                <w:color w:val="000000" w:themeColor="text1"/>
                <w:sz w:val="20"/>
                <w:szCs w:val="20"/>
              </w:rPr>
              <w:t>)</w:t>
            </w:r>
          </w:p>
        </w:tc>
        <w:tc>
          <w:tcPr>
            <w:tcW w:w="2089" w:type="dxa"/>
            <w:shd w:val="clear" w:color="auto" w:fill="auto"/>
            <w:vAlign w:val="center"/>
          </w:tcPr>
          <w:p w14:paraId="22625251"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 data</w:t>
            </w:r>
          </w:p>
          <w:p w14:paraId="30FCB5BC" w14:textId="32BCCF7E"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 xml:space="preserve">(read-across from </w:t>
            </w:r>
            <w:r w:rsidR="00236182" w:rsidRPr="0098635C">
              <w:rPr>
                <w:rFonts w:eastAsia="Calibri"/>
                <w:color w:val="000000" w:themeColor="text1"/>
                <w:sz w:val="20"/>
                <w:szCs w:val="20"/>
              </w:rPr>
              <w:t>copper (I) oxide</w:t>
            </w:r>
            <w:r w:rsidRPr="0098635C">
              <w:rPr>
                <w:rFonts w:eastAsia="Calibri"/>
                <w:color w:val="000000" w:themeColor="text1"/>
                <w:sz w:val="20"/>
                <w:szCs w:val="20"/>
              </w:rPr>
              <w:t>))</w:t>
            </w:r>
          </w:p>
        </w:tc>
        <w:tc>
          <w:tcPr>
            <w:tcW w:w="2058" w:type="dxa"/>
            <w:tcBorders>
              <w:right w:val="single" w:sz="18" w:space="0" w:color="auto"/>
            </w:tcBorders>
            <w:shd w:val="clear" w:color="auto" w:fill="auto"/>
            <w:vAlign w:val="center"/>
          </w:tcPr>
          <w:p w14:paraId="69D4ABA3"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 data</w:t>
            </w:r>
          </w:p>
          <w:p w14:paraId="1EC96ADA" w14:textId="1070D72A"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 xml:space="preserve">(read-across from </w:t>
            </w:r>
            <w:r w:rsidR="00236182" w:rsidRPr="0098635C">
              <w:rPr>
                <w:rFonts w:eastAsia="Calibri"/>
                <w:color w:val="000000" w:themeColor="text1"/>
                <w:sz w:val="20"/>
                <w:szCs w:val="20"/>
              </w:rPr>
              <w:t>copper (I) oxide</w:t>
            </w:r>
            <w:r w:rsidRPr="0098635C">
              <w:rPr>
                <w:rFonts w:eastAsia="Calibri"/>
                <w:color w:val="000000" w:themeColor="text1"/>
                <w:sz w:val="20"/>
                <w:szCs w:val="20"/>
              </w:rPr>
              <w:t>)</w:t>
            </w:r>
          </w:p>
        </w:tc>
        <w:tc>
          <w:tcPr>
            <w:tcW w:w="2018" w:type="dxa"/>
            <w:tcBorders>
              <w:left w:val="single" w:sz="18" w:space="0" w:color="auto"/>
            </w:tcBorders>
            <w:shd w:val="clear" w:color="auto" w:fill="auto"/>
            <w:vAlign w:val="center"/>
          </w:tcPr>
          <w:p w14:paraId="3014F07B"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OECD TG 412:</w:t>
            </w:r>
          </w:p>
          <w:p w14:paraId="2E5A7CDF"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NOAEL &gt;1.78 mg Cu/m</w:t>
            </w:r>
            <w:r w:rsidRPr="0098635C">
              <w:rPr>
                <w:rFonts w:eastAsia="Calibri"/>
                <w:color w:val="000000" w:themeColor="text1"/>
                <w:sz w:val="20"/>
                <w:szCs w:val="20"/>
                <w:vertAlign w:val="superscript"/>
              </w:rPr>
              <w:t>3</w:t>
            </w:r>
            <w:r w:rsidRPr="0098635C">
              <w:rPr>
                <w:rFonts w:eastAsia="Calibri"/>
                <w:color w:val="000000" w:themeColor="text1"/>
                <w:sz w:val="20"/>
                <w:szCs w:val="20"/>
              </w:rPr>
              <w:t xml:space="preserve"> (added as cuprous oxide)</w:t>
            </w:r>
          </w:p>
        </w:tc>
        <w:tc>
          <w:tcPr>
            <w:tcW w:w="2057" w:type="dxa"/>
            <w:tcBorders>
              <w:left w:val="single" w:sz="18" w:space="0" w:color="auto"/>
            </w:tcBorders>
            <w:vAlign w:val="center"/>
          </w:tcPr>
          <w:p w14:paraId="607536D9"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 data</w:t>
            </w:r>
          </w:p>
          <w:p w14:paraId="0BC619BF" w14:textId="53FB172F"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 xml:space="preserve">(read-across from </w:t>
            </w:r>
            <w:r w:rsidR="00236182" w:rsidRPr="0098635C">
              <w:rPr>
                <w:rFonts w:eastAsia="Calibri"/>
                <w:color w:val="000000" w:themeColor="text1"/>
                <w:sz w:val="20"/>
                <w:szCs w:val="20"/>
              </w:rPr>
              <w:t>copper (I) oxide</w:t>
            </w:r>
            <w:r w:rsidRPr="0098635C">
              <w:rPr>
                <w:rFonts w:eastAsia="Calibri"/>
                <w:color w:val="000000" w:themeColor="text1"/>
                <w:sz w:val="20"/>
                <w:szCs w:val="20"/>
              </w:rPr>
              <w:t>)</w:t>
            </w:r>
          </w:p>
        </w:tc>
        <w:tc>
          <w:tcPr>
            <w:tcW w:w="2409" w:type="dxa"/>
            <w:tcBorders>
              <w:left w:val="single" w:sz="18" w:space="0" w:color="auto"/>
            </w:tcBorders>
            <w:vAlign w:val="center"/>
          </w:tcPr>
          <w:p w14:paraId="49D671FA"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 data</w:t>
            </w:r>
          </w:p>
          <w:p w14:paraId="42DF6980" w14:textId="62B5575D"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 xml:space="preserve">(read-across from </w:t>
            </w:r>
            <w:r w:rsidR="00236182" w:rsidRPr="0098635C">
              <w:rPr>
                <w:rFonts w:eastAsia="Calibri"/>
                <w:color w:val="000000" w:themeColor="text1"/>
                <w:sz w:val="20"/>
                <w:szCs w:val="20"/>
              </w:rPr>
              <w:t>copper (I) oxide</w:t>
            </w:r>
            <w:r w:rsidRPr="0098635C">
              <w:rPr>
                <w:rFonts w:eastAsia="Calibri"/>
                <w:color w:val="000000" w:themeColor="text1"/>
                <w:sz w:val="20"/>
                <w:szCs w:val="20"/>
              </w:rPr>
              <w:t>))</w:t>
            </w:r>
          </w:p>
        </w:tc>
      </w:tr>
      <w:tr w:rsidR="00C24197" w:rsidRPr="0098635C" w14:paraId="286384F7" w14:textId="77777777" w:rsidTr="00982513">
        <w:tc>
          <w:tcPr>
            <w:tcW w:w="2060" w:type="dxa"/>
            <w:tcBorders>
              <w:right w:val="single" w:sz="18" w:space="0" w:color="auto"/>
            </w:tcBorders>
            <w:shd w:val="clear" w:color="auto" w:fill="auto"/>
            <w:vAlign w:val="center"/>
          </w:tcPr>
          <w:p w14:paraId="7CE73649" w14:textId="77777777" w:rsidR="00C24197" w:rsidRPr="0098635C" w:rsidRDefault="00C24197" w:rsidP="009B2B28">
            <w:pPr>
              <w:spacing w:before="40" w:after="40"/>
              <w:jc w:val="center"/>
              <w:rPr>
                <w:rFonts w:eastAsia="Calibri"/>
                <w:b/>
                <w:color w:val="000000" w:themeColor="text1"/>
                <w:sz w:val="20"/>
                <w:szCs w:val="20"/>
              </w:rPr>
            </w:pPr>
            <w:r w:rsidRPr="0098635C">
              <w:rPr>
                <w:rFonts w:eastAsia="Calibri"/>
                <w:b/>
                <w:color w:val="000000" w:themeColor="text1"/>
                <w:sz w:val="20"/>
                <w:szCs w:val="20"/>
              </w:rPr>
              <w:t>Reproductive toxicity: effects on fertility</w:t>
            </w:r>
          </w:p>
        </w:tc>
        <w:tc>
          <w:tcPr>
            <w:tcW w:w="2046" w:type="dxa"/>
            <w:tcBorders>
              <w:left w:val="single" w:sz="18" w:space="0" w:color="auto"/>
            </w:tcBorders>
            <w:shd w:val="clear" w:color="auto" w:fill="auto"/>
            <w:vAlign w:val="center"/>
          </w:tcPr>
          <w:p w14:paraId="4D1A97F0"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 data</w:t>
            </w:r>
          </w:p>
          <w:p w14:paraId="1043B120"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(read-across from copper sulphate)</w:t>
            </w:r>
          </w:p>
          <w:p w14:paraId="0FEED16D" w14:textId="77777777" w:rsidR="00C24197" w:rsidRPr="0098635C" w:rsidRDefault="00C24197" w:rsidP="009B2B28">
            <w:pPr>
              <w:spacing w:before="40" w:after="40"/>
              <w:jc w:val="center"/>
              <w:rPr>
                <w:rFonts w:eastAsia="Calibri"/>
                <w:color w:val="000000" w:themeColor="text1"/>
                <w:sz w:val="20"/>
                <w:szCs w:val="20"/>
              </w:rPr>
            </w:pPr>
          </w:p>
        </w:tc>
        <w:tc>
          <w:tcPr>
            <w:tcW w:w="2089" w:type="dxa"/>
            <w:shd w:val="clear" w:color="auto" w:fill="auto"/>
            <w:vAlign w:val="center"/>
          </w:tcPr>
          <w:p w14:paraId="57E4E9EF"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 data</w:t>
            </w:r>
          </w:p>
          <w:p w14:paraId="03EF5D87"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(read-across from copper sulphate)</w:t>
            </w:r>
          </w:p>
          <w:p w14:paraId="10E3C682" w14:textId="77777777" w:rsidR="00C24197" w:rsidRPr="0098635C" w:rsidRDefault="00C24197" w:rsidP="009B2B28">
            <w:pPr>
              <w:spacing w:before="40" w:after="40"/>
              <w:jc w:val="center"/>
              <w:rPr>
                <w:rFonts w:eastAsia="Calibri"/>
                <w:color w:val="000000" w:themeColor="text1"/>
                <w:sz w:val="20"/>
                <w:szCs w:val="20"/>
              </w:rPr>
            </w:pPr>
          </w:p>
        </w:tc>
        <w:tc>
          <w:tcPr>
            <w:tcW w:w="2058" w:type="dxa"/>
            <w:tcBorders>
              <w:right w:val="single" w:sz="18" w:space="0" w:color="auto"/>
            </w:tcBorders>
            <w:shd w:val="clear" w:color="auto" w:fill="auto"/>
            <w:vAlign w:val="center"/>
          </w:tcPr>
          <w:p w14:paraId="0D432120"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 xml:space="preserve">2-gen study (OECD TG 416) </w:t>
            </w:r>
          </w:p>
          <w:p w14:paraId="635A8F6E"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NOAEL, fertility = 23.6 mg Cu/kg/day)</w:t>
            </w:r>
          </w:p>
          <w:p w14:paraId="243D61C1" w14:textId="77777777" w:rsidR="00C24197" w:rsidRPr="0098635C" w:rsidRDefault="00C24197" w:rsidP="009B2B28">
            <w:pPr>
              <w:spacing w:before="40" w:after="40"/>
              <w:jc w:val="center"/>
              <w:rPr>
                <w:rFonts w:eastAsia="Calibri"/>
                <w:color w:val="000000" w:themeColor="text1"/>
                <w:sz w:val="20"/>
                <w:szCs w:val="20"/>
              </w:rPr>
            </w:pPr>
          </w:p>
        </w:tc>
        <w:tc>
          <w:tcPr>
            <w:tcW w:w="2018" w:type="dxa"/>
            <w:tcBorders>
              <w:left w:val="single" w:sz="18" w:space="0" w:color="auto"/>
            </w:tcBorders>
            <w:shd w:val="clear" w:color="auto" w:fill="auto"/>
            <w:vAlign w:val="center"/>
          </w:tcPr>
          <w:p w14:paraId="61DBE714"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 data</w:t>
            </w:r>
          </w:p>
          <w:p w14:paraId="4C3CCC6C"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(read-across from copper sulphate)</w:t>
            </w:r>
          </w:p>
          <w:p w14:paraId="537B2320" w14:textId="77777777" w:rsidR="00C24197" w:rsidRPr="0098635C" w:rsidRDefault="00C24197" w:rsidP="009B2B28">
            <w:pPr>
              <w:spacing w:before="40" w:after="40"/>
              <w:jc w:val="center"/>
              <w:rPr>
                <w:rFonts w:eastAsia="Calibri"/>
                <w:color w:val="000000" w:themeColor="text1"/>
                <w:sz w:val="20"/>
                <w:szCs w:val="20"/>
              </w:rPr>
            </w:pPr>
          </w:p>
        </w:tc>
        <w:tc>
          <w:tcPr>
            <w:tcW w:w="2057" w:type="dxa"/>
            <w:tcBorders>
              <w:left w:val="single" w:sz="18" w:space="0" w:color="auto"/>
            </w:tcBorders>
            <w:vAlign w:val="center"/>
          </w:tcPr>
          <w:p w14:paraId="35FF5EF0"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 data</w:t>
            </w:r>
          </w:p>
          <w:p w14:paraId="20E9EEA3"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(read-across from copper sulphate)</w:t>
            </w:r>
          </w:p>
          <w:p w14:paraId="4974A7B3" w14:textId="77777777" w:rsidR="00C24197" w:rsidRPr="0098635C" w:rsidRDefault="00C24197" w:rsidP="009B2B28">
            <w:pPr>
              <w:spacing w:before="40" w:after="40"/>
              <w:jc w:val="center"/>
              <w:rPr>
                <w:rFonts w:eastAsia="Calibri"/>
                <w:color w:val="000000" w:themeColor="text1"/>
                <w:sz w:val="20"/>
                <w:szCs w:val="20"/>
              </w:rPr>
            </w:pPr>
          </w:p>
        </w:tc>
        <w:tc>
          <w:tcPr>
            <w:tcW w:w="2409" w:type="dxa"/>
            <w:tcBorders>
              <w:left w:val="single" w:sz="18" w:space="0" w:color="auto"/>
            </w:tcBorders>
            <w:vAlign w:val="center"/>
          </w:tcPr>
          <w:p w14:paraId="1B52589E"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 data</w:t>
            </w:r>
          </w:p>
          <w:p w14:paraId="411E7007"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(read-across from copper sulphate)</w:t>
            </w:r>
          </w:p>
          <w:p w14:paraId="47BC9316" w14:textId="77777777" w:rsidR="00C24197" w:rsidRPr="0098635C" w:rsidRDefault="00C24197" w:rsidP="009B2B28">
            <w:pPr>
              <w:spacing w:before="40" w:after="40"/>
              <w:jc w:val="center"/>
              <w:rPr>
                <w:rFonts w:eastAsia="Calibri"/>
                <w:color w:val="000000" w:themeColor="text1"/>
                <w:sz w:val="20"/>
                <w:szCs w:val="20"/>
              </w:rPr>
            </w:pPr>
          </w:p>
        </w:tc>
      </w:tr>
      <w:tr w:rsidR="00C24197" w:rsidRPr="0098635C" w14:paraId="439B0F18" w14:textId="77777777" w:rsidTr="00982513">
        <w:tc>
          <w:tcPr>
            <w:tcW w:w="2060" w:type="dxa"/>
            <w:tcBorders>
              <w:right w:val="single" w:sz="18" w:space="0" w:color="auto"/>
            </w:tcBorders>
            <w:shd w:val="clear" w:color="auto" w:fill="auto"/>
            <w:vAlign w:val="center"/>
          </w:tcPr>
          <w:p w14:paraId="0CF0C6A2" w14:textId="77777777" w:rsidR="00C24197" w:rsidRPr="0098635C" w:rsidRDefault="00C24197" w:rsidP="009B2B28">
            <w:pPr>
              <w:spacing w:before="40" w:after="40"/>
              <w:jc w:val="center"/>
              <w:rPr>
                <w:rFonts w:eastAsia="Calibri"/>
                <w:b/>
                <w:color w:val="000000" w:themeColor="text1"/>
                <w:sz w:val="20"/>
                <w:szCs w:val="20"/>
              </w:rPr>
            </w:pPr>
            <w:r w:rsidRPr="0098635C">
              <w:rPr>
                <w:rFonts w:eastAsia="Calibri"/>
                <w:b/>
                <w:color w:val="000000" w:themeColor="text1"/>
                <w:sz w:val="20"/>
                <w:szCs w:val="20"/>
              </w:rPr>
              <w:t>Reproductive toxicity: developmental toxicity</w:t>
            </w:r>
          </w:p>
        </w:tc>
        <w:tc>
          <w:tcPr>
            <w:tcW w:w="2046" w:type="dxa"/>
            <w:tcBorders>
              <w:left w:val="single" w:sz="18" w:space="0" w:color="auto"/>
            </w:tcBorders>
            <w:shd w:val="clear" w:color="auto" w:fill="auto"/>
            <w:vAlign w:val="center"/>
          </w:tcPr>
          <w:p w14:paraId="0C00F299"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Read-across from Cu(OH)</w:t>
            </w:r>
            <w:r w:rsidRPr="0098635C">
              <w:rPr>
                <w:rFonts w:eastAsia="Calibri"/>
                <w:color w:val="000000" w:themeColor="text1"/>
                <w:sz w:val="20"/>
                <w:szCs w:val="20"/>
                <w:vertAlign w:val="subscript"/>
              </w:rPr>
              <w:t>2</w:t>
            </w:r>
            <w:r w:rsidRPr="0098635C">
              <w:rPr>
                <w:rFonts w:eastAsia="Calibri"/>
                <w:color w:val="000000" w:themeColor="text1"/>
                <w:sz w:val="20"/>
                <w:szCs w:val="20"/>
              </w:rPr>
              <w:t>: OECD TG 414:</w:t>
            </w:r>
          </w:p>
          <w:p w14:paraId="1B677E79"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NOAEL</w:t>
            </w:r>
            <w:r w:rsidRPr="0098635C">
              <w:rPr>
                <w:rFonts w:eastAsia="Calibri"/>
                <w:color w:val="000000" w:themeColor="text1"/>
                <w:sz w:val="20"/>
                <w:szCs w:val="20"/>
                <w:vertAlign w:val="subscript"/>
              </w:rPr>
              <w:t xml:space="preserve"> maternal toxicity </w:t>
            </w:r>
            <w:r w:rsidRPr="0098635C">
              <w:rPr>
                <w:rFonts w:eastAsia="Calibri"/>
                <w:color w:val="000000" w:themeColor="text1"/>
                <w:sz w:val="20"/>
                <w:szCs w:val="20"/>
              </w:rPr>
              <w:t xml:space="preserve">= 6 mgCu/kg/day </w:t>
            </w:r>
          </w:p>
        </w:tc>
        <w:tc>
          <w:tcPr>
            <w:tcW w:w="2089" w:type="dxa"/>
            <w:shd w:val="clear" w:color="auto" w:fill="auto"/>
            <w:vAlign w:val="center"/>
          </w:tcPr>
          <w:p w14:paraId="6C6BA5D8"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Read-across from Cu(OH)</w:t>
            </w:r>
            <w:r w:rsidRPr="0098635C">
              <w:rPr>
                <w:rFonts w:eastAsia="Calibri"/>
                <w:color w:val="000000" w:themeColor="text1"/>
                <w:sz w:val="20"/>
                <w:szCs w:val="20"/>
                <w:vertAlign w:val="subscript"/>
              </w:rPr>
              <w:t>2</w:t>
            </w:r>
            <w:r w:rsidRPr="0098635C">
              <w:rPr>
                <w:rFonts w:eastAsia="Calibri"/>
                <w:color w:val="000000" w:themeColor="text1"/>
                <w:sz w:val="20"/>
                <w:szCs w:val="20"/>
              </w:rPr>
              <w:t>: OECD TG 414:</w:t>
            </w:r>
          </w:p>
          <w:p w14:paraId="78C65104"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NOAEL</w:t>
            </w:r>
            <w:r w:rsidRPr="0098635C">
              <w:rPr>
                <w:rFonts w:eastAsia="Calibri"/>
                <w:color w:val="000000" w:themeColor="text1"/>
                <w:sz w:val="20"/>
                <w:szCs w:val="20"/>
                <w:vertAlign w:val="subscript"/>
              </w:rPr>
              <w:t xml:space="preserve"> maternal toxicity </w:t>
            </w:r>
            <w:r w:rsidRPr="0098635C">
              <w:rPr>
                <w:rFonts w:eastAsia="Calibri"/>
                <w:color w:val="000000" w:themeColor="text1"/>
                <w:sz w:val="20"/>
                <w:szCs w:val="20"/>
              </w:rPr>
              <w:t xml:space="preserve">= 6 mgCu/kg/day </w:t>
            </w:r>
          </w:p>
        </w:tc>
        <w:tc>
          <w:tcPr>
            <w:tcW w:w="2058" w:type="dxa"/>
            <w:tcBorders>
              <w:right w:val="single" w:sz="18" w:space="0" w:color="auto"/>
            </w:tcBorders>
            <w:shd w:val="clear" w:color="auto" w:fill="auto"/>
            <w:vAlign w:val="center"/>
          </w:tcPr>
          <w:p w14:paraId="6B1F08E7"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Read-across from Cu(OH)</w:t>
            </w:r>
            <w:r w:rsidRPr="0098635C">
              <w:rPr>
                <w:rFonts w:eastAsia="Calibri"/>
                <w:color w:val="000000" w:themeColor="text1"/>
                <w:sz w:val="20"/>
                <w:szCs w:val="20"/>
                <w:vertAlign w:val="subscript"/>
              </w:rPr>
              <w:t>2</w:t>
            </w:r>
            <w:r w:rsidRPr="0098635C">
              <w:rPr>
                <w:rFonts w:eastAsia="Calibri"/>
                <w:color w:val="000000" w:themeColor="text1"/>
                <w:sz w:val="20"/>
                <w:szCs w:val="20"/>
              </w:rPr>
              <w:t>: OECD TG 414:</w:t>
            </w:r>
          </w:p>
          <w:p w14:paraId="20A568E7"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NOAEL</w:t>
            </w:r>
            <w:r w:rsidRPr="0098635C">
              <w:rPr>
                <w:rFonts w:eastAsia="Calibri"/>
                <w:color w:val="000000" w:themeColor="text1"/>
                <w:sz w:val="20"/>
                <w:szCs w:val="20"/>
                <w:vertAlign w:val="subscript"/>
              </w:rPr>
              <w:t xml:space="preserve"> maternal toxicity </w:t>
            </w:r>
            <w:r w:rsidRPr="0098635C">
              <w:rPr>
                <w:rFonts w:eastAsia="Calibri"/>
                <w:color w:val="000000" w:themeColor="text1"/>
                <w:sz w:val="20"/>
                <w:szCs w:val="20"/>
              </w:rPr>
              <w:t xml:space="preserve">= 6 mgCu/kg/day </w:t>
            </w:r>
          </w:p>
        </w:tc>
        <w:tc>
          <w:tcPr>
            <w:tcW w:w="2018" w:type="dxa"/>
            <w:tcBorders>
              <w:left w:val="single" w:sz="18" w:space="0" w:color="auto"/>
            </w:tcBorders>
            <w:shd w:val="clear" w:color="auto" w:fill="auto"/>
            <w:vAlign w:val="center"/>
          </w:tcPr>
          <w:p w14:paraId="04B61773"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Read-across from Cu(OH)</w:t>
            </w:r>
            <w:r w:rsidRPr="0098635C">
              <w:rPr>
                <w:rFonts w:eastAsia="Calibri"/>
                <w:color w:val="000000" w:themeColor="text1"/>
                <w:sz w:val="20"/>
                <w:szCs w:val="20"/>
                <w:vertAlign w:val="subscript"/>
              </w:rPr>
              <w:t>2</w:t>
            </w:r>
            <w:r w:rsidRPr="0098635C">
              <w:rPr>
                <w:rFonts w:eastAsia="Calibri"/>
                <w:color w:val="000000" w:themeColor="text1"/>
                <w:sz w:val="20"/>
                <w:szCs w:val="20"/>
              </w:rPr>
              <w:t>: OECD TG 414:</w:t>
            </w:r>
          </w:p>
          <w:p w14:paraId="58AE4CB9"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NOAEL</w:t>
            </w:r>
            <w:r w:rsidRPr="0098635C">
              <w:rPr>
                <w:rFonts w:eastAsia="Calibri"/>
                <w:color w:val="000000" w:themeColor="text1"/>
                <w:sz w:val="20"/>
                <w:szCs w:val="20"/>
                <w:vertAlign w:val="subscript"/>
              </w:rPr>
              <w:t xml:space="preserve"> maternal toxicity </w:t>
            </w:r>
            <w:r w:rsidRPr="0098635C">
              <w:rPr>
                <w:rFonts w:eastAsia="Calibri"/>
                <w:color w:val="000000" w:themeColor="text1"/>
                <w:sz w:val="20"/>
                <w:szCs w:val="20"/>
              </w:rPr>
              <w:t xml:space="preserve">= 6 mgCu/kg/day </w:t>
            </w:r>
          </w:p>
        </w:tc>
        <w:tc>
          <w:tcPr>
            <w:tcW w:w="2057" w:type="dxa"/>
            <w:tcBorders>
              <w:left w:val="single" w:sz="18" w:space="0" w:color="auto"/>
            </w:tcBorders>
            <w:vAlign w:val="center"/>
          </w:tcPr>
          <w:p w14:paraId="31C24D05"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Read-across from Cu(OH)</w:t>
            </w:r>
            <w:r w:rsidRPr="0098635C">
              <w:rPr>
                <w:rFonts w:eastAsia="Calibri"/>
                <w:color w:val="000000" w:themeColor="text1"/>
                <w:sz w:val="20"/>
                <w:szCs w:val="20"/>
                <w:vertAlign w:val="subscript"/>
              </w:rPr>
              <w:t>2</w:t>
            </w:r>
            <w:r w:rsidRPr="0098635C">
              <w:rPr>
                <w:rFonts w:eastAsia="Calibri"/>
                <w:color w:val="000000" w:themeColor="text1"/>
                <w:sz w:val="20"/>
                <w:szCs w:val="20"/>
              </w:rPr>
              <w:t>: OECD TG 414:</w:t>
            </w:r>
          </w:p>
          <w:p w14:paraId="06117D4E"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NOAEL</w:t>
            </w:r>
            <w:r w:rsidRPr="0098635C">
              <w:rPr>
                <w:rFonts w:eastAsia="Calibri"/>
                <w:color w:val="000000" w:themeColor="text1"/>
                <w:sz w:val="20"/>
                <w:szCs w:val="20"/>
                <w:vertAlign w:val="subscript"/>
              </w:rPr>
              <w:t xml:space="preserve"> maternal toxicity </w:t>
            </w:r>
            <w:r w:rsidRPr="0098635C">
              <w:rPr>
                <w:rFonts w:eastAsia="Calibri"/>
                <w:color w:val="000000" w:themeColor="text1"/>
                <w:sz w:val="20"/>
                <w:szCs w:val="20"/>
              </w:rPr>
              <w:t xml:space="preserve">= 6 mgCu/kg/day </w:t>
            </w:r>
          </w:p>
        </w:tc>
        <w:tc>
          <w:tcPr>
            <w:tcW w:w="2409" w:type="dxa"/>
            <w:tcBorders>
              <w:left w:val="single" w:sz="18" w:space="0" w:color="auto"/>
            </w:tcBorders>
            <w:vAlign w:val="center"/>
          </w:tcPr>
          <w:p w14:paraId="6800CD8F"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Read-across from Cu(OH)</w:t>
            </w:r>
            <w:r w:rsidRPr="0098635C">
              <w:rPr>
                <w:rFonts w:eastAsia="Calibri"/>
                <w:color w:val="000000" w:themeColor="text1"/>
                <w:sz w:val="20"/>
                <w:szCs w:val="20"/>
                <w:vertAlign w:val="subscript"/>
              </w:rPr>
              <w:t>2</w:t>
            </w:r>
            <w:r w:rsidRPr="0098635C">
              <w:rPr>
                <w:rFonts w:eastAsia="Calibri"/>
                <w:color w:val="000000" w:themeColor="text1"/>
                <w:sz w:val="20"/>
                <w:szCs w:val="20"/>
              </w:rPr>
              <w:t>: OECD TG 414:</w:t>
            </w:r>
          </w:p>
          <w:p w14:paraId="01DAD7F2"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NOAEL</w:t>
            </w:r>
            <w:r w:rsidRPr="0098635C">
              <w:rPr>
                <w:rFonts w:eastAsia="Calibri"/>
                <w:color w:val="000000" w:themeColor="text1"/>
                <w:sz w:val="20"/>
                <w:szCs w:val="20"/>
                <w:vertAlign w:val="subscript"/>
              </w:rPr>
              <w:t xml:space="preserve"> maternal toxicity </w:t>
            </w:r>
            <w:r w:rsidRPr="0098635C">
              <w:rPr>
                <w:rFonts w:eastAsia="Calibri"/>
                <w:color w:val="000000" w:themeColor="text1"/>
                <w:sz w:val="20"/>
                <w:szCs w:val="20"/>
              </w:rPr>
              <w:t xml:space="preserve">= 6 mgCu/kg/day </w:t>
            </w:r>
          </w:p>
        </w:tc>
      </w:tr>
      <w:tr w:rsidR="00C24197" w:rsidRPr="0098635C" w14:paraId="2E98CD75" w14:textId="77777777" w:rsidTr="00982513">
        <w:tc>
          <w:tcPr>
            <w:tcW w:w="2060" w:type="dxa"/>
            <w:tcBorders>
              <w:right w:val="single" w:sz="18" w:space="0" w:color="auto"/>
            </w:tcBorders>
            <w:shd w:val="clear" w:color="auto" w:fill="auto"/>
            <w:vAlign w:val="center"/>
          </w:tcPr>
          <w:p w14:paraId="2E9EDDB2" w14:textId="77777777" w:rsidR="00C24197" w:rsidRPr="0098635C" w:rsidRDefault="00C24197" w:rsidP="009B2B28">
            <w:pPr>
              <w:spacing w:before="40" w:after="40"/>
              <w:jc w:val="center"/>
              <w:rPr>
                <w:rFonts w:eastAsia="Calibri"/>
                <w:b/>
                <w:color w:val="000000" w:themeColor="text1"/>
                <w:sz w:val="20"/>
                <w:szCs w:val="20"/>
              </w:rPr>
            </w:pPr>
            <w:r w:rsidRPr="0098635C">
              <w:rPr>
                <w:rFonts w:eastAsia="Calibri"/>
                <w:b/>
                <w:color w:val="000000" w:themeColor="text1"/>
                <w:sz w:val="20"/>
                <w:szCs w:val="20"/>
              </w:rPr>
              <w:t>Carcinogenicity</w:t>
            </w:r>
          </w:p>
        </w:tc>
        <w:tc>
          <w:tcPr>
            <w:tcW w:w="2046" w:type="dxa"/>
            <w:tcBorders>
              <w:left w:val="single" w:sz="18" w:space="0" w:color="auto"/>
            </w:tcBorders>
            <w:shd w:val="clear" w:color="auto" w:fill="auto"/>
            <w:vAlign w:val="center"/>
          </w:tcPr>
          <w:p w14:paraId="1FABB535"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 data indicating carcinogenicity (data for repeated dose considered as worst-case)</w:t>
            </w:r>
          </w:p>
          <w:p w14:paraId="195366EE" w14:textId="77777777" w:rsidR="00C24197" w:rsidRPr="0098635C" w:rsidRDefault="00C24197" w:rsidP="009B2B28">
            <w:pPr>
              <w:spacing w:before="40" w:after="40"/>
              <w:jc w:val="center"/>
              <w:rPr>
                <w:rFonts w:eastAsia="Calibri"/>
                <w:color w:val="000000" w:themeColor="text1"/>
                <w:sz w:val="20"/>
                <w:szCs w:val="20"/>
              </w:rPr>
            </w:pPr>
          </w:p>
        </w:tc>
        <w:tc>
          <w:tcPr>
            <w:tcW w:w="2089" w:type="dxa"/>
            <w:shd w:val="clear" w:color="auto" w:fill="auto"/>
            <w:vAlign w:val="center"/>
          </w:tcPr>
          <w:p w14:paraId="2FA0868A"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 data indicating carcinogenicity (data for repeated dose considered as worst-case)</w:t>
            </w:r>
          </w:p>
          <w:p w14:paraId="3C5619F3" w14:textId="77777777" w:rsidR="00C24197" w:rsidRPr="0098635C" w:rsidRDefault="00C24197" w:rsidP="009B2B28">
            <w:pPr>
              <w:spacing w:before="40" w:after="40"/>
              <w:jc w:val="center"/>
              <w:rPr>
                <w:rFonts w:eastAsia="Calibri"/>
                <w:color w:val="000000" w:themeColor="text1"/>
                <w:sz w:val="20"/>
                <w:szCs w:val="20"/>
              </w:rPr>
            </w:pPr>
          </w:p>
        </w:tc>
        <w:tc>
          <w:tcPr>
            <w:tcW w:w="2058" w:type="dxa"/>
            <w:tcBorders>
              <w:right w:val="single" w:sz="18" w:space="0" w:color="auto"/>
            </w:tcBorders>
            <w:shd w:val="clear" w:color="auto" w:fill="auto"/>
            <w:vAlign w:val="center"/>
          </w:tcPr>
          <w:p w14:paraId="4E2E537F"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 data indicating carcinogenicity (data for repeated dose considered as worst-case)</w:t>
            </w:r>
          </w:p>
          <w:p w14:paraId="62460F45" w14:textId="77777777" w:rsidR="00C24197" w:rsidRPr="0098635C" w:rsidRDefault="00C24197" w:rsidP="009B2B28">
            <w:pPr>
              <w:spacing w:before="40" w:after="40"/>
              <w:jc w:val="center"/>
              <w:rPr>
                <w:rFonts w:eastAsia="Calibri"/>
                <w:color w:val="000000" w:themeColor="text1"/>
                <w:sz w:val="20"/>
                <w:szCs w:val="20"/>
              </w:rPr>
            </w:pPr>
          </w:p>
        </w:tc>
        <w:tc>
          <w:tcPr>
            <w:tcW w:w="2018" w:type="dxa"/>
            <w:tcBorders>
              <w:left w:val="single" w:sz="18" w:space="0" w:color="auto"/>
            </w:tcBorders>
            <w:shd w:val="clear" w:color="auto" w:fill="auto"/>
            <w:vAlign w:val="center"/>
          </w:tcPr>
          <w:p w14:paraId="34C4A5A1"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 data indicating carcinogenicity (data for repeated dose considered as worst-case)</w:t>
            </w:r>
          </w:p>
          <w:p w14:paraId="7712E9FA" w14:textId="77777777" w:rsidR="00C24197" w:rsidRPr="0098635C" w:rsidRDefault="00C24197" w:rsidP="009B2B28">
            <w:pPr>
              <w:spacing w:before="40" w:after="40"/>
              <w:jc w:val="center"/>
              <w:rPr>
                <w:rFonts w:eastAsia="Calibri"/>
                <w:color w:val="000000" w:themeColor="text1"/>
                <w:sz w:val="20"/>
                <w:szCs w:val="20"/>
              </w:rPr>
            </w:pPr>
          </w:p>
        </w:tc>
        <w:tc>
          <w:tcPr>
            <w:tcW w:w="2057" w:type="dxa"/>
            <w:tcBorders>
              <w:left w:val="single" w:sz="18" w:space="0" w:color="auto"/>
            </w:tcBorders>
            <w:vAlign w:val="center"/>
          </w:tcPr>
          <w:p w14:paraId="2BA70984"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 data indicating carcinogenicity (data for repeated dose considered as worst-case)</w:t>
            </w:r>
          </w:p>
          <w:p w14:paraId="4224E3CC" w14:textId="77777777" w:rsidR="00C24197" w:rsidRPr="0098635C" w:rsidRDefault="00C24197" w:rsidP="009B2B28">
            <w:pPr>
              <w:spacing w:before="40" w:after="40"/>
              <w:jc w:val="center"/>
              <w:rPr>
                <w:rFonts w:eastAsia="Calibri"/>
                <w:color w:val="000000" w:themeColor="text1"/>
                <w:sz w:val="20"/>
                <w:szCs w:val="20"/>
              </w:rPr>
            </w:pPr>
          </w:p>
        </w:tc>
        <w:tc>
          <w:tcPr>
            <w:tcW w:w="2409" w:type="dxa"/>
            <w:tcBorders>
              <w:left w:val="single" w:sz="18" w:space="0" w:color="auto"/>
            </w:tcBorders>
            <w:vAlign w:val="center"/>
          </w:tcPr>
          <w:p w14:paraId="1C43D098" w14:textId="77777777" w:rsidR="00C24197" w:rsidRPr="0098635C" w:rsidRDefault="00C24197" w:rsidP="009B2B28">
            <w:pPr>
              <w:spacing w:before="40" w:after="40"/>
              <w:jc w:val="center"/>
              <w:rPr>
                <w:rFonts w:eastAsia="Calibri"/>
                <w:color w:val="000000" w:themeColor="text1"/>
                <w:sz w:val="20"/>
                <w:szCs w:val="20"/>
              </w:rPr>
            </w:pPr>
            <w:r w:rsidRPr="0098635C">
              <w:rPr>
                <w:rFonts w:eastAsia="Calibri"/>
                <w:color w:val="000000" w:themeColor="text1"/>
                <w:sz w:val="20"/>
                <w:szCs w:val="20"/>
              </w:rPr>
              <w:t>no data indicating carcinogenicity (data for repeated dose considered as worst-case)</w:t>
            </w:r>
          </w:p>
          <w:p w14:paraId="70A615A2" w14:textId="77777777" w:rsidR="00C24197" w:rsidRPr="0098635C" w:rsidRDefault="00C24197" w:rsidP="009B2B28">
            <w:pPr>
              <w:spacing w:before="40" w:after="40"/>
              <w:jc w:val="center"/>
              <w:rPr>
                <w:rFonts w:eastAsia="Calibri"/>
                <w:color w:val="000000" w:themeColor="text1"/>
                <w:sz w:val="20"/>
                <w:szCs w:val="20"/>
              </w:rPr>
            </w:pPr>
          </w:p>
        </w:tc>
      </w:tr>
    </w:tbl>
    <w:p w14:paraId="370EC0AB" w14:textId="77777777" w:rsidR="00C24197" w:rsidRPr="0098635C" w:rsidRDefault="00C24197" w:rsidP="00C24197">
      <w:pPr>
        <w:ind w:leftChars="65" w:left="156" w:rightChars="117" w:right="281"/>
        <w:rPr>
          <w:color w:val="000000" w:themeColor="text1"/>
          <w:sz w:val="20"/>
          <w:szCs w:val="20"/>
          <w:lang w:eastAsia="ja-JP"/>
        </w:rPr>
      </w:pPr>
    </w:p>
    <w:p w14:paraId="4C023EAE" w14:textId="77777777" w:rsidR="00C24197" w:rsidRPr="0098635C" w:rsidRDefault="00C24197" w:rsidP="00C24197">
      <w:pPr>
        <w:ind w:leftChars="65" w:left="156" w:rightChars="117" w:right="281"/>
        <w:rPr>
          <w:color w:val="000000" w:themeColor="text1"/>
          <w:sz w:val="20"/>
          <w:szCs w:val="20"/>
          <w:lang w:eastAsia="ja-JP"/>
        </w:rPr>
      </w:pPr>
      <w:r w:rsidRPr="0098635C">
        <w:rPr>
          <w:color w:val="000000" w:themeColor="text1"/>
          <w:sz w:val="20"/>
          <w:szCs w:val="20"/>
          <w:vertAlign w:val="superscript"/>
          <w:lang w:eastAsia="ja-JP"/>
        </w:rPr>
        <w:t>(1)</w:t>
      </w:r>
      <w:r w:rsidRPr="0098635C">
        <w:rPr>
          <w:color w:val="000000" w:themeColor="text1"/>
          <w:sz w:val="20"/>
          <w:szCs w:val="20"/>
          <w:lang w:eastAsia="ja-JP"/>
        </w:rPr>
        <w:t>: read-accross, based on oral toxicity of Cu</w:t>
      </w:r>
      <w:r w:rsidRPr="0098635C">
        <w:rPr>
          <w:color w:val="000000" w:themeColor="text1"/>
          <w:sz w:val="20"/>
          <w:szCs w:val="20"/>
          <w:vertAlign w:val="superscript"/>
          <w:lang w:eastAsia="ja-JP"/>
        </w:rPr>
        <w:t>2+</w:t>
      </w:r>
      <w:r w:rsidRPr="0098635C">
        <w:rPr>
          <w:color w:val="000000" w:themeColor="text1"/>
          <w:sz w:val="20"/>
          <w:szCs w:val="20"/>
          <w:lang w:eastAsia="ja-JP"/>
        </w:rPr>
        <w:t xml:space="preserve"> and  bi-elution tests</w:t>
      </w:r>
    </w:p>
    <w:p w14:paraId="06DBBA85" w14:textId="77777777" w:rsidR="00C24197" w:rsidRPr="0098635C" w:rsidRDefault="00C24197">
      <w:pPr>
        <w:widowControl/>
        <w:autoSpaceDE/>
        <w:autoSpaceDN/>
        <w:adjustRightInd/>
        <w:spacing w:after="0"/>
        <w:jc w:val="left"/>
        <w:rPr>
          <w:rFonts w:ascii="Arial" w:eastAsia="Calibri" w:hAnsi="Arial" w:cs="Arial"/>
          <w:color w:val="000000" w:themeColor="text1"/>
          <w:sz w:val="20"/>
          <w:szCs w:val="20"/>
        </w:rPr>
      </w:pPr>
      <w:r w:rsidRPr="0098635C">
        <w:rPr>
          <w:rFonts w:ascii="Arial" w:eastAsia="Calibri" w:hAnsi="Arial" w:cs="Arial"/>
          <w:color w:val="000000" w:themeColor="text1"/>
          <w:sz w:val="20"/>
          <w:szCs w:val="20"/>
        </w:rPr>
        <w:br w:type="page"/>
      </w:r>
    </w:p>
    <w:p w14:paraId="63A399BD" w14:textId="7E8C049C" w:rsidR="00632208" w:rsidRPr="0098635C" w:rsidRDefault="00C24197" w:rsidP="00D57755">
      <w:pPr>
        <w:spacing w:line="276" w:lineRule="auto"/>
        <w:outlineLvl w:val="0"/>
        <w:rPr>
          <w:rFonts w:eastAsia="Calibri"/>
          <w:color w:val="000000" w:themeColor="text1"/>
          <w:sz w:val="20"/>
          <w:szCs w:val="20"/>
        </w:rPr>
      </w:pPr>
      <w:bookmarkStart w:id="2085" w:name="_Toc472000403"/>
      <w:bookmarkStart w:id="2086" w:name="_Toc472251763"/>
      <w:r w:rsidRPr="0098635C">
        <w:rPr>
          <w:rFonts w:eastAsia="Calibri"/>
          <w:color w:val="000000" w:themeColor="text1"/>
          <w:sz w:val="20"/>
          <w:szCs w:val="20"/>
        </w:rPr>
        <w:lastRenderedPageBreak/>
        <w:t>Annex III : Overview of reported partition coefficients for copper for different environmental compartments</w:t>
      </w:r>
      <w:bookmarkEnd w:id="2085"/>
      <w:bookmarkEnd w:id="2086"/>
    </w:p>
    <w:tbl>
      <w:tblPr>
        <w:tblW w:w="116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3"/>
        <w:gridCol w:w="3686"/>
        <w:gridCol w:w="3260"/>
      </w:tblGrid>
      <w:tr w:rsidR="00632208" w:rsidRPr="0098635C" w14:paraId="0B17BB0C" w14:textId="77777777" w:rsidTr="00982513">
        <w:trPr>
          <w:trHeight w:val="247"/>
          <w:tblHeader/>
        </w:trPr>
        <w:tc>
          <w:tcPr>
            <w:tcW w:w="4673" w:type="dxa"/>
            <w:vAlign w:val="center"/>
          </w:tcPr>
          <w:p w14:paraId="164DD043" w14:textId="77777777" w:rsidR="00632208" w:rsidRPr="0098635C" w:rsidRDefault="00632208" w:rsidP="00A432B0">
            <w:pPr>
              <w:jc w:val="left"/>
              <w:rPr>
                <w:b/>
                <w:color w:val="000000" w:themeColor="text1"/>
                <w:sz w:val="20"/>
                <w:szCs w:val="20"/>
              </w:rPr>
            </w:pPr>
            <w:r w:rsidRPr="0098635C">
              <w:rPr>
                <w:b/>
                <w:bCs/>
                <w:color w:val="000000" w:themeColor="text1"/>
                <w:sz w:val="20"/>
                <w:szCs w:val="20"/>
              </w:rPr>
              <w:t>Values</w:t>
            </w:r>
          </w:p>
        </w:tc>
        <w:tc>
          <w:tcPr>
            <w:tcW w:w="3686" w:type="dxa"/>
            <w:vAlign w:val="center"/>
          </w:tcPr>
          <w:p w14:paraId="423B63B2" w14:textId="77777777" w:rsidR="00632208" w:rsidRPr="0098635C" w:rsidRDefault="00632208" w:rsidP="00A432B0">
            <w:pPr>
              <w:jc w:val="left"/>
              <w:rPr>
                <w:b/>
                <w:color w:val="000000" w:themeColor="text1"/>
                <w:sz w:val="20"/>
                <w:szCs w:val="20"/>
              </w:rPr>
            </w:pPr>
            <w:r w:rsidRPr="0098635C">
              <w:rPr>
                <w:b/>
                <w:color w:val="000000" w:themeColor="text1"/>
                <w:sz w:val="20"/>
                <w:szCs w:val="20"/>
              </w:rPr>
              <w:t>Remarks</w:t>
            </w:r>
          </w:p>
        </w:tc>
        <w:tc>
          <w:tcPr>
            <w:tcW w:w="3260" w:type="dxa"/>
          </w:tcPr>
          <w:p w14:paraId="7B6C76D5" w14:textId="77777777" w:rsidR="00632208" w:rsidRPr="0098635C" w:rsidRDefault="00632208" w:rsidP="00A432B0">
            <w:pPr>
              <w:jc w:val="left"/>
              <w:rPr>
                <w:b/>
                <w:color w:val="000000" w:themeColor="text1"/>
                <w:sz w:val="20"/>
                <w:szCs w:val="20"/>
              </w:rPr>
            </w:pPr>
            <w:r w:rsidRPr="0098635C">
              <w:rPr>
                <w:b/>
                <w:color w:val="000000" w:themeColor="text1"/>
                <w:sz w:val="20"/>
                <w:szCs w:val="20"/>
              </w:rPr>
              <w:t>References &amp; Reliability scoring</w:t>
            </w:r>
          </w:p>
        </w:tc>
      </w:tr>
      <w:tr w:rsidR="00632208" w:rsidRPr="0098635C" w14:paraId="33613611" w14:textId="77777777" w:rsidTr="00982513">
        <w:trPr>
          <w:trHeight w:val="76"/>
        </w:trPr>
        <w:tc>
          <w:tcPr>
            <w:tcW w:w="11619" w:type="dxa"/>
            <w:gridSpan w:val="3"/>
          </w:tcPr>
          <w:p w14:paraId="286F83F7" w14:textId="77777777" w:rsidR="00632208" w:rsidRPr="0098635C" w:rsidRDefault="00632208" w:rsidP="00A432B0">
            <w:pPr>
              <w:spacing w:after="0"/>
              <w:jc w:val="left"/>
              <w:rPr>
                <w:b/>
                <w:color w:val="000000" w:themeColor="text1"/>
                <w:sz w:val="20"/>
                <w:szCs w:val="20"/>
              </w:rPr>
            </w:pPr>
            <w:r w:rsidRPr="0098635C">
              <w:rPr>
                <w:b/>
                <w:color w:val="000000" w:themeColor="text1"/>
                <w:sz w:val="20"/>
                <w:szCs w:val="20"/>
              </w:rPr>
              <w:t>Suspended particulate matter – fresh water</w:t>
            </w:r>
          </w:p>
          <w:p w14:paraId="592674F1" w14:textId="77777777" w:rsidR="00632208" w:rsidRPr="0098635C" w:rsidRDefault="00632208" w:rsidP="00A432B0">
            <w:pPr>
              <w:spacing w:after="0"/>
              <w:jc w:val="left"/>
              <w:rPr>
                <w:color w:val="000000" w:themeColor="text1"/>
                <w:sz w:val="20"/>
                <w:szCs w:val="20"/>
              </w:rPr>
            </w:pPr>
            <w:r w:rsidRPr="0098635C">
              <w:rPr>
                <w:b/>
                <w:color w:val="000000" w:themeColor="text1"/>
                <w:sz w:val="20"/>
                <w:szCs w:val="20"/>
              </w:rPr>
              <w:t>Typical Kd (50</w:t>
            </w:r>
            <w:r w:rsidRPr="0098635C">
              <w:rPr>
                <w:b/>
                <w:color w:val="000000" w:themeColor="text1"/>
                <w:sz w:val="20"/>
                <w:szCs w:val="20"/>
                <w:vertAlign w:val="superscript"/>
              </w:rPr>
              <w:t>th</w:t>
            </w:r>
            <w:r w:rsidRPr="0098635C">
              <w:rPr>
                <w:b/>
                <w:color w:val="000000" w:themeColor="text1"/>
                <w:sz w:val="20"/>
                <w:szCs w:val="20"/>
              </w:rPr>
              <w:t xml:space="preserve"> percentile): 30,246 L/kg   (log Kd: 4.48)</w:t>
            </w:r>
          </w:p>
        </w:tc>
      </w:tr>
      <w:tr w:rsidR="00632208" w:rsidRPr="0098635C" w14:paraId="5ACC66B3" w14:textId="77777777" w:rsidTr="00982513">
        <w:trPr>
          <w:trHeight w:val="76"/>
        </w:trPr>
        <w:tc>
          <w:tcPr>
            <w:tcW w:w="4673" w:type="dxa"/>
          </w:tcPr>
          <w:p w14:paraId="3363EEF6"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Log Kd: 4.17, 4.4, 3.87, 3.85, 4.4, 3.92-5, 3.36-5.46, 4.91-5.15, 3.79-5.1, 4.31, 4.5, 4.11-4.91, 3.7-5.3, 4.7-5.79, 4.55, 4.38, 4.54</w:t>
            </w:r>
          </w:p>
        </w:tc>
        <w:tc>
          <w:tcPr>
            <w:tcW w:w="3686" w:type="dxa"/>
          </w:tcPr>
          <w:p w14:paraId="1BD32378"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 xml:space="preserve">Review – different publications that report reliable Kd values and, where possible, provides information on parameters that most likely affect the copper binding </w:t>
            </w:r>
          </w:p>
        </w:tc>
        <w:tc>
          <w:tcPr>
            <w:tcW w:w="3260" w:type="dxa"/>
          </w:tcPr>
          <w:p w14:paraId="0E046CBE"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Heijerick and Van Sprang, 2008 (R2)</w:t>
            </w:r>
          </w:p>
        </w:tc>
      </w:tr>
      <w:tr w:rsidR="00632208" w:rsidRPr="0098635C" w14:paraId="302FCE37" w14:textId="77777777" w:rsidTr="00982513">
        <w:trPr>
          <w:trHeight w:val="76"/>
        </w:trPr>
        <w:tc>
          <w:tcPr>
            <w:tcW w:w="4673" w:type="dxa"/>
          </w:tcPr>
          <w:p w14:paraId="6E8CCB46"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Log Kd: 3.3-3.7</w:t>
            </w:r>
          </w:p>
        </w:tc>
        <w:tc>
          <w:tcPr>
            <w:tcW w:w="3686" w:type="dxa"/>
          </w:tcPr>
          <w:p w14:paraId="2A5F2C00"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Estimated using modeling</w:t>
            </w:r>
          </w:p>
        </w:tc>
        <w:tc>
          <w:tcPr>
            <w:tcW w:w="3260" w:type="dxa"/>
          </w:tcPr>
          <w:p w14:paraId="2027C150"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Tipping et al, 1998 (R2)</w:t>
            </w:r>
          </w:p>
        </w:tc>
      </w:tr>
      <w:tr w:rsidR="00632208" w:rsidRPr="0098635C" w14:paraId="54F534AF" w14:textId="77777777" w:rsidTr="00982513">
        <w:trPr>
          <w:trHeight w:val="76"/>
        </w:trPr>
        <w:tc>
          <w:tcPr>
            <w:tcW w:w="4673" w:type="dxa"/>
          </w:tcPr>
          <w:p w14:paraId="3506D7A4"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Log Kd: 4.31, 4.5</w:t>
            </w:r>
          </w:p>
        </w:tc>
        <w:tc>
          <w:tcPr>
            <w:tcW w:w="3686" w:type="dxa"/>
          </w:tcPr>
          <w:p w14:paraId="628B893D"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Field measurements</w:t>
            </w:r>
          </w:p>
        </w:tc>
        <w:tc>
          <w:tcPr>
            <w:tcW w:w="3260" w:type="dxa"/>
          </w:tcPr>
          <w:p w14:paraId="1E1CE11F" w14:textId="77777777" w:rsidR="00632208" w:rsidRPr="0098635C" w:rsidRDefault="00632208" w:rsidP="00A432B0">
            <w:pPr>
              <w:spacing w:after="0"/>
              <w:jc w:val="left"/>
              <w:rPr>
                <w:color w:val="000000" w:themeColor="text1"/>
                <w:sz w:val="20"/>
                <w:szCs w:val="20"/>
                <w:lang w:val="fr-FR"/>
              </w:rPr>
            </w:pPr>
            <w:r w:rsidRPr="0098635C">
              <w:rPr>
                <w:color w:val="000000" w:themeColor="text1"/>
                <w:sz w:val="20"/>
                <w:szCs w:val="20"/>
                <w:lang w:val="fr-FR"/>
              </w:rPr>
              <w:t>Elbaz-Poulichet et al, 1996 (R2)</w:t>
            </w:r>
          </w:p>
        </w:tc>
      </w:tr>
      <w:tr w:rsidR="00632208" w:rsidRPr="0098635C" w14:paraId="17C58C66" w14:textId="77777777" w:rsidTr="00982513">
        <w:trPr>
          <w:trHeight w:val="76"/>
        </w:trPr>
        <w:tc>
          <w:tcPr>
            <w:tcW w:w="4673" w:type="dxa"/>
          </w:tcPr>
          <w:p w14:paraId="5DF2EFEB"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Log Kd: 4.18-4.95, 4.11-4.91, 4.11-5.3, 3.7-4.84, 4.78-5.79, 4.7-5</w:t>
            </w:r>
          </w:p>
        </w:tc>
        <w:tc>
          <w:tcPr>
            <w:tcW w:w="3686" w:type="dxa"/>
          </w:tcPr>
          <w:p w14:paraId="4BEAFC1D"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Field measurements</w:t>
            </w:r>
          </w:p>
        </w:tc>
        <w:tc>
          <w:tcPr>
            <w:tcW w:w="3260" w:type="dxa"/>
          </w:tcPr>
          <w:p w14:paraId="10D6B40A"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Golimowski et al, 1990 (R2)</w:t>
            </w:r>
          </w:p>
        </w:tc>
      </w:tr>
      <w:tr w:rsidR="00632208" w:rsidRPr="0098635C" w14:paraId="6618A2CA" w14:textId="77777777" w:rsidTr="00982513">
        <w:trPr>
          <w:trHeight w:val="76"/>
        </w:trPr>
        <w:tc>
          <w:tcPr>
            <w:tcW w:w="4673" w:type="dxa"/>
          </w:tcPr>
          <w:p w14:paraId="10A7D157"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Log Kd: 3.92-5, 3.36-5.46, 4.91-5.15, 3.79-5.1</w:t>
            </w:r>
          </w:p>
        </w:tc>
        <w:tc>
          <w:tcPr>
            <w:tcW w:w="3686" w:type="dxa"/>
          </w:tcPr>
          <w:p w14:paraId="1116B77F"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Field measurements / estimated using modeling</w:t>
            </w:r>
          </w:p>
        </w:tc>
        <w:tc>
          <w:tcPr>
            <w:tcW w:w="3260" w:type="dxa"/>
          </w:tcPr>
          <w:p w14:paraId="2F8A4227"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Lofts and Tipping, 2000 (R2)</w:t>
            </w:r>
          </w:p>
        </w:tc>
      </w:tr>
      <w:tr w:rsidR="00632208" w:rsidRPr="0098635C" w14:paraId="22BE855E" w14:textId="77777777" w:rsidTr="00982513">
        <w:trPr>
          <w:trHeight w:val="76"/>
        </w:trPr>
        <w:tc>
          <w:tcPr>
            <w:tcW w:w="4673" w:type="dxa"/>
          </w:tcPr>
          <w:p w14:paraId="5A2A0A4E"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Log Kd (median): 5</w:t>
            </w:r>
          </w:p>
          <w:p w14:paraId="19DA33E5"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Log Kd (Average): 4.6</w:t>
            </w:r>
          </w:p>
        </w:tc>
        <w:tc>
          <w:tcPr>
            <w:tcW w:w="3686" w:type="dxa"/>
          </w:tcPr>
          <w:p w14:paraId="63059EB2"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Field measurements</w:t>
            </w:r>
          </w:p>
        </w:tc>
        <w:tc>
          <w:tcPr>
            <w:tcW w:w="3260" w:type="dxa"/>
          </w:tcPr>
          <w:p w14:paraId="69A60FF1"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Pettine et al, 1994 (R2)</w:t>
            </w:r>
          </w:p>
        </w:tc>
      </w:tr>
      <w:tr w:rsidR="00632208" w:rsidRPr="0098635C" w14:paraId="4B465A2E" w14:textId="77777777" w:rsidTr="00982513">
        <w:trPr>
          <w:trHeight w:val="76"/>
        </w:trPr>
        <w:tc>
          <w:tcPr>
            <w:tcW w:w="4673" w:type="dxa"/>
          </w:tcPr>
          <w:p w14:paraId="020F2172"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Log Kd: 4.5</w:t>
            </w:r>
          </w:p>
        </w:tc>
        <w:tc>
          <w:tcPr>
            <w:tcW w:w="3686" w:type="dxa"/>
          </w:tcPr>
          <w:p w14:paraId="1982D208"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Field measurements</w:t>
            </w:r>
          </w:p>
        </w:tc>
        <w:tc>
          <w:tcPr>
            <w:tcW w:w="3260" w:type="dxa"/>
          </w:tcPr>
          <w:p w14:paraId="4AC0388D"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Regnier et al, 1990</w:t>
            </w:r>
          </w:p>
        </w:tc>
      </w:tr>
      <w:tr w:rsidR="00632208" w:rsidRPr="0098635C" w14:paraId="3FD97AD1" w14:textId="77777777" w:rsidTr="00982513">
        <w:trPr>
          <w:trHeight w:val="76"/>
        </w:trPr>
        <w:tc>
          <w:tcPr>
            <w:tcW w:w="4673" w:type="dxa"/>
          </w:tcPr>
          <w:p w14:paraId="64FE7232"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Log Kd: 4.15</w:t>
            </w:r>
          </w:p>
        </w:tc>
        <w:tc>
          <w:tcPr>
            <w:tcW w:w="3686" w:type="dxa"/>
          </w:tcPr>
          <w:p w14:paraId="106FE00D"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Field measurements</w:t>
            </w:r>
          </w:p>
        </w:tc>
        <w:tc>
          <w:tcPr>
            <w:tcW w:w="3260" w:type="dxa"/>
          </w:tcPr>
          <w:p w14:paraId="2EF31E2D"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Turner et al, 1992 (R2)</w:t>
            </w:r>
          </w:p>
        </w:tc>
      </w:tr>
      <w:tr w:rsidR="00632208" w:rsidRPr="0098635C" w14:paraId="7663C847" w14:textId="77777777" w:rsidTr="00982513">
        <w:trPr>
          <w:trHeight w:val="76"/>
        </w:trPr>
        <w:tc>
          <w:tcPr>
            <w:tcW w:w="4673" w:type="dxa"/>
          </w:tcPr>
          <w:p w14:paraId="15496EEF"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Log Kd: 4.66</w:t>
            </w:r>
          </w:p>
        </w:tc>
        <w:tc>
          <w:tcPr>
            <w:tcW w:w="3686" w:type="dxa"/>
          </w:tcPr>
          <w:p w14:paraId="3D31737B"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Field measurements</w:t>
            </w:r>
          </w:p>
        </w:tc>
        <w:tc>
          <w:tcPr>
            <w:tcW w:w="3260" w:type="dxa"/>
          </w:tcPr>
          <w:p w14:paraId="2D28196A"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Turner et al, 2002 (R2)</w:t>
            </w:r>
          </w:p>
        </w:tc>
      </w:tr>
      <w:tr w:rsidR="00632208" w:rsidRPr="0098635C" w14:paraId="6CF08578" w14:textId="77777777" w:rsidTr="00982513">
        <w:trPr>
          <w:trHeight w:val="76"/>
        </w:trPr>
        <w:tc>
          <w:tcPr>
            <w:tcW w:w="4673" w:type="dxa"/>
          </w:tcPr>
          <w:p w14:paraId="6D0744A6"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Log Kd: 4.43</w:t>
            </w:r>
          </w:p>
        </w:tc>
        <w:tc>
          <w:tcPr>
            <w:tcW w:w="3686" w:type="dxa"/>
          </w:tcPr>
          <w:p w14:paraId="4AE1940F"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Field measurements</w:t>
            </w:r>
          </w:p>
        </w:tc>
        <w:tc>
          <w:tcPr>
            <w:tcW w:w="3260" w:type="dxa"/>
          </w:tcPr>
          <w:p w14:paraId="4AF9D1C0"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Vesely et al, 2001 (R2)</w:t>
            </w:r>
          </w:p>
        </w:tc>
      </w:tr>
      <w:tr w:rsidR="00632208" w:rsidRPr="0098635C" w14:paraId="1FDC0F29" w14:textId="77777777" w:rsidTr="00982513">
        <w:trPr>
          <w:trHeight w:val="76"/>
        </w:trPr>
        <w:tc>
          <w:tcPr>
            <w:tcW w:w="11619" w:type="dxa"/>
            <w:gridSpan w:val="3"/>
          </w:tcPr>
          <w:p w14:paraId="623D3AD0" w14:textId="77777777" w:rsidR="00632208" w:rsidRPr="0098635C" w:rsidRDefault="00632208" w:rsidP="00A432B0">
            <w:pPr>
              <w:spacing w:after="0"/>
              <w:jc w:val="left"/>
              <w:rPr>
                <w:b/>
                <w:color w:val="000000" w:themeColor="text1"/>
                <w:sz w:val="20"/>
                <w:szCs w:val="20"/>
              </w:rPr>
            </w:pPr>
            <w:r w:rsidRPr="0098635C">
              <w:rPr>
                <w:b/>
                <w:color w:val="000000" w:themeColor="text1"/>
                <w:sz w:val="20"/>
                <w:szCs w:val="20"/>
              </w:rPr>
              <w:t>Suspended particulate matter – brackish water</w:t>
            </w:r>
          </w:p>
          <w:p w14:paraId="62061EE5" w14:textId="77777777" w:rsidR="00632208" w:rsidRPr="0098635C" w:rsidRDefault="00632208" w:rsidP="00A432B0">
            <w:pPr>
              <w:spacing w:after="0"/>
              <w:jc w:val="left"/>
              <w:rPr>
                <w:b/>
                <w:color w:val="000000" w:themeColor="text1"/>
                <w:sz w:val="20"/>
                <w:szCs w:val="20"/>
              </w:rPr>
            </w:pPr>
            <w:r w:rsidRPr="0098635C">
              <w:rPr>
                <w:b/>
                <w:color w:val="000000" w:themeColor="text1"/>
                <w:sz w:val="20"/>
                <w:szCs w:val="20"/>
              </w:rPr>
              <w:t>Typical Kd (50</w:t>
            </w:r>
            <w:r w:rsidRPr="0098635C">
              <w:rPr>
                <w:b/>
                <w:color w:val="000000" w:themeColor="text1"/>
                <w:sz w:val="20"/>
                <w:szCs w:val="20"/>
                <w:vertAlign w:val="superscript"/>
              </w:rPr>
              <w:t>th</w:t>
            </w:r>
            <w:r w:rsidRPr="0098635C">
              <w:rPr>
                <w:b/>
                <w:color w:val="000000" w:themeColor="text1"/>
                <w:sz w:val="20"/>
                <w:szCs w:val="20"/>
              </w:rPr>
              <w:t xml:space="preserve"> percentile): 56,234 L/kg   (log Kd: 4.75)</w:t>
            </w:r>
          </w:p>
        </w:tc>
      </w:tr>
      <w:tr w:rsidR="00632208" w:rsidRPr="0098635C" w14:paraId="6D236600" w14:textId="77777777" w:rsidTr="00982513">
        <w:trPr>
          <w:trHeight w:val="76"/>
        </w:trPr>
        <w:tc>
          <w:tcPr>
            <w:tcW w:w="4673" w:type="dxa"/>
          </w:tcPr>
          <w:p w14:paraId="583E54CF"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Log Kd: 4.76, 4.65, 4.67, 5.01, 5.53, 4.1, 4.61, 4.88, 3.85, 5.22, 4.74, 4.5, 4.6, 4.74, 6.16, 4.55, 4.8</w:t>
            </w:r>
          </w:p>
        </w:tc>
        <w:tc>
          <w:tcPr>
            <w:tcW w:w="3686" w:type="dxa"/>
          </w:tcPr>
          <w:p w14:paraId="6A487CE3"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Review – measurements of dissolved and suspended particulate matter copper concentrations</w:t>
            </w:r>
          </w:p>
        </w:tc>
        <w:tc>
          <w:tcPr>
            <w:tcW w:w="3260" w:type="dxa"/>
          </w:tcPr>
          <w:p w14:paraId="79EBFBAF"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Heijerick and Van Sprang, 2008 (R2)</w:t>
            </w:r>
          </w:p>
        </w:tc>
      </w:tr>
      <w:tr w:rsidR="00632208" w:rsidRPr="0098635C" w14:paraId="1D64EAD0" w14:textId="77777777" w:rsidTr="00982513">
        <w:trPr>
          <w:trHeight w:val="76"/>
        </w:trPr>
        <w:tc>
          <w:tcPr>
            <w:tcW w:w="4673" w:type="dxa"/>
          </w:tcPr>
          <w:p w14:paraId="020D10E7"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Log Kd: 5.2 – 6.3</w:t>
            </w:r>
          </w:p>
        </w:tc>
        <w:tc>
          <w:tcPr>
            <w:tcW w:w="3686" w:type="dxa"/>
          </w:tcPr>
          <w:p w14:paraId="4A4E2DFB"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Field measurements</w:t>
            </w:r>
          </w:p>
        </w:tc>
        <w:tc>
          <w:tcPr>
            <w:tcW w:w="3260" w:type="dxa"/>
          </w:tcPr>
          <w:p w14:paraId="3446DBA4"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Paucot and Wollast, 1997 (R2)</w:t>
            </w:r>
          </w:p>
        </w:tc>
      </w:tr>
      <w:tr w:rsidR="00632208" w:rsidRPr="0098635C" w14:paraId="768FBB56" w14:textId="77777777" w:rsidTr="00982513">
        <w:trPr>
          <w:trHeight w:val="76"/>
        </w:trPr>
        <w:tc>
          <w:tcPr>
            <w:tcW w:w="4673" w:type="dxa"/>
          </w:tcPr>
          <w:p w14:paraId="4390E4EF"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Log Kd: 4.2 – 4.9</w:t>
            </w:r>
          </w:p>
        </w:tc>
        <w:tc>
          <w:tcPr>
            <w:tcW w:w="3686" w:type="dxa"/>
          </w:tcPr>
          <w:p w14:paraId="28AB8795"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Field measurements</w:t>
            </w:r>
          </w:p>
        </w:tc>
        <w:tc>
          <w:tcPr>
            <w:tcW w:w="3260" w:type="dxa"/>
          </w:tcPr>
          <w:p w14:paraId="577D220A" w14:textId="77777777" w:rsidR="00632208" w:rsidRPr="0098635C" w:rsidRDefault="00632208" w:rsidP="00A432B0">
            <w:pPr>
              <w:spacing w:after="0"/>
              <w:jc w:val="left"/>
              <w:rPr>
                <w:color w:val="000000" w:themeColor="text1"/>
                <w:sz w:val="20"/>
                <w:szCs w:val="20"/>
                <w:lang w:val="nl-NL"/>
              </w:rPr>
            </w:pPr>
            <w:r w:rsidRPr="0098635C">
              <w:rPr>
                <w:color w:val="000000" w:themeColor="text1"/>
                <w:sz w:val="20"/>
                <w:szCs w:val="20"/>
                <w:lang w:val="nl-NL"/>
              </w:rPr>
              <w:t>Sanudo-Wilhelmy et al, 1996 (R2)</w:t>
            </w:r>
          </w:p>
        </w:tc>
      </w:tr>
      <w:tr w:rsidR="00632208" w:rsidRPr="0098635C" w14:paraId="66BA5A1D" w14:textId="77777777" w:rsidTr="00982513">
        <w:trPr>
          <w:trHeight w:val="76"/>
        </w:trPr>
        <w:tc>
          <w:tcPr>
            <w:tcW w:w="4673" w:type="dxa"/>
          </w:tcPr>
          <w:p w14:paraId="0312CD0E"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Log Kd: 4.78, 4.64</w:t>
            </w:r>
          </w:p>
        </w:tc>
        <w:tc>
          <w:tcPr>
            <w:tcW w:w="3686" w:type="dxa"/>
          </w:tcPr>
          <w:p w14:paraId="03513A7A"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Field measurements</w:t>
            </w:r>
          </w:p>
        </w:tc>
        <w:tc>
          <w:tcPr>
            <w:tcW w:w="3260" w:type="dxa"/>
          </w:tcPr>
          <w:p w14:paraId="5E3D0A20"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Owens et al, 1997 (R2)</w:t>
            </w:r>
          </w:p>
        </w:tc>
      </w:tr>
      <w:tr w:rsidR="00632208" w:rsidRPr="0098635C" w14:paraId="4CF2A63B" w14:textId="77777777" w:rsidTr="00982513">
        <w:trPr>
          <w:trHeight w:val="76"/>
        </w:trPr>
        <w:tc>
          <w:tcPr>
            <w:tcW w:w="4673" w:type="dxa"/>
          </w:tcPr>
          <w:p w14:paraId="162003B2"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Log Kd: 4.54 – 6.46</w:t>
            </w:r>
          </w:p>
        </w:tc>
        <w:tc>
          <w:tcPr>
            <w:tcW w:w="3686" w:type="dxa"/>
          </w:tcPr>
          <w:p w14:paraId="653A927D"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Field measurements</w:t>
            </w:r>
          </w:p>
        </w:tc>
        <w:tc>
          <w:tcPr>
            <w:tcW w:w="3260" w:type="dxa"/>
          </w:tcPr>
          <w:p w14:paraId="1312A28D"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Zhou et al, 2003 (R2)</w:t>
            </w:r>
          </w:p>
        </w:tc>
      </w:tr>
      <w:tr w:rsidR="00632208" w:rsidRPr="0098635C" w14:paraId="219FE324" w14:textId="77777777" w:rsidTr="00982513">
        <w:trPr>
          <w:trHeight w:val="76"/>
        </w:trPr>
        <w:tc>
          <w:tcPr>
            <w:tcW w:w="4673" w:type="dxa"/>
          </w:tcPr>
          <w:p w14:paraId="13E00951"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Log Kd: 4.8, 4.7, 4.5-4.8</w:t>
            </w:r>
          </w:p>
        </w:tc>
        <w:tc>
          <w:tcPr>
            <w:tcW w:w="3686" w:type="dxa"/>
          </w:tcPr>
          <w:p w14:paraId="14D220C6"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Field measurements (salinity 5-15 g/L)</w:t>
            </w:r>
          </w:p>
        </w:tc>
        <w:tc>
          <w:tcPr>
            <w:tcW w:w="3260" w:type="dxa"/>
          </w:tcPr>
          <w:p w14:paraId="5C40162F"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Nolting et al, 1999 (R2)</w:t>
            </w:r>
          </w:p>
        </w:tc>
      </w:tr>
      <w:tr w:rsidR="00632208" w:rsidRPr="0098635C" w14:paraId="3E4B3BEB" w14:textId="77777777" w:rsidTr="00982513">
        <w:trPr>
          <w:trHeight w:val="76"/>
        </w:trPr>
        <w:tc>
          <w:tcPr>
            <w:tcW w:w="4673" w:type="dxa"/>
          </w:tcPr>
          <w:p w14:paraId="0DD99C4C"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Log Kd: 5.14, 4.74</w:t>
            </w:r>
          </w:p>
        </w:tc>
        <w:tc>
          <w:tcPr>
            <w:tcW w:w="3686" w:type="dxa"/>
          </w:tcPr>
          <w:p w14:paraId="704DB645"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Field measurements (salinity 0-15 g/L)</w:t>
            </w:r>
          </w:p>
        </w:tc>
        <w:tc>
          <w:tcPr>
            <w:tcW w:w="3260" w:type="dxa"/>
          </w:tcPr>
          <w:p w14:paraId="70566AC7"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Monteney et al, 1993 (R2)</w:t>
            </w:r>
          </w:p>
        </w:tc>
      </w:tr>
      <w:tr w:rsidR="00632208" w:rsidRPr="0098635C" w14:paraId="076BC28F" w14:textId="77777777" w:rsidTr="00982513">
        <w:trPr>
          <w:trHeight w:val="76"/>
        </w:trPr>
        <w:tc>
          <w:tcPr>
            <w:tcW w:w="4673" w:type="dxa"/>
          </w:tcPr>
          <w:p w14:paraId="6746884D"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Log Kd (median values): 5.49, 5.47, 5.23, 5.31, 5.2</w:t>
            </w:r>
          </w:p>
        </w:tc>
        <w:tc>
          <w:tcPr>
            <w:tcW w:w="3686" w:type="dxa"/>
          </w:tcPr>
          <w:p w14:paraId="17E7DB53"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Field measurements</w:t>
            </w:r>
          </w:p>
        </w:tc>
        <w:tc>
          <w:tcPr>
            <w:tcW w:w="3260" w:type="dxa"/>
          </w:tcPr>
          <w:p w14:paraId="34D5C177"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Pohl and Hennings, 1999 (R2)</w:t>
            </w:r>
          </w:p>
        </w:tc>
      </w:tr>
      <w:tr w:rsidR="00632208" w:rsidRPr="0098635C" w14:paraId="7FE64F87" w14:textId="77777777" w:rsidTr="00982513">
        <w:trPr>
          <w:trHeight w:val="76"/>
        </w:trPr>
        <w:tc>
          <w:tcPr>
            <w:tcW w:w="4673" w:type="dxa"/>
          </w:tcPr>
          <w:p w14:paraId="4C1390A3"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Log Kd: 3-5.1</w:t>
            </w:r>
          </w:p>
        </w:tc>
        <w:tc>
          <w:tcPr>
            <w:tcW w:w="3686" w:type="dxa"/>
          </w:tcPr>
          <w:p w14:paraId="25A088E5"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Field measurements</w:t>
            </w:r>
          </w:p>
        </w:tc>
        <w:tc>
          <w:tcPr>
            <w:tcW w:w="3260" w:type="dxa"/>
          </w:tcPr>
          <w:p w14:paraId="1AB07E34"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Benoit et al, 1994</w:t>
            </w:r>
          </w:p>
        </w:tc>
      </w:tr>
      <w:tr w:rsidR="00632208" w:rsidRPr="0098635C" w14:paraId="0577B551" w14:textId="77777777" w:rsidTr="00982513">
        <w:trPr>
          <w:trHeight w:val="76"/>
        </w:trPr>
        <w:tc>
          <w:tcPr>
            <w:tcW w:w="4673" w:type="dxa"/>
          </w:tcPr>
          <w:p w14:paraId="4185E88D"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lastRenderedPageBreak/>
              <w:t>Log Kd: 4.4-5.3, 6.1</w:t>
            </w:r>
          </w:p>
        </w:tc>
        <w:tc>
          <w:tcPr>
            <w:tcW w:w="3686" w:type="dxa"/>
          </w:tcPr>
          <w:p w14:paraId="49374276"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Field measurements</w:t>
            </w:r>
          </w:p>
        </w:tc>
        <w:tc>
          <w:tcPr>
            <w:tcW w:w="3260" w:type="dxa"/>
          </w:tcPr>
          <w:p w14:paraId="67FD8F84"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Valenta et al, 1986 (R2)</w:t>
            </w:r>
          </w:p>
        </w:tc>
      </w:tr>
      <w:tr w:rsidR="00632208" w:rsidRPr="0098635C" w14:paraId="775F9392" w14:textId="77777777" w:rsidTr="00982513">
        <w:trPr>
          <w:trHeight w:val="76"/>
        </w:trPr>
        <w:tc>
          <w:tcPr>
            <w:tcW w:w="4673" w:type="dxa"/>
          </w:tcPr>
          <w:p w14:paraId="5C73894A"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Log Kd: 4.6</w:t>
            </w:r>
          </w:p>
        </w:tc>
        <w:tc>
          <w:tcPr>
            <w:tcW w:w="3686" w:type="dxa"/>
          </w:tcPr>
          <w:p w14:paraId="5766C3CF"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Field measurements</w:t>
            </w:r>
          </w:p>
        </w:tc>
        <w:tc>
          <w:tcPr>
            <w:tcW w:w="3260" w:type="dxa"/>
          </w:tcPr>
          <w:p w14:paraId="1C72B391"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Martin et al, 1993 5R2)</w:t>
            </w:r>
          </w:p>
        </w:tc>
      </w:tr>
      <w:tr w:rsidR="00632208" w:rsidRPr="0098635C" w14:paraId="5CBD2FAF" w14:textId="77777777" w:rsidTr="00982513">
        <w:trPr>
          <w:trHeight w:val="76"/>
        </w:trPr>
        <w:tc>
          <w:tcPr>
            <w:tcW w:w="11619" w:type="dxa"/>
            <w:gridSpan w:val="3"/>
          </w:tcPr>
          <w:p w14:paraId="28AD3656" w14:textId="77777777" w:rsidR="00632208" w:rsidRPr="0098635C" w:rsidRDefault="00632208" w:rsidP="00A432B0">
            <w:pPr>
              <w:spacing w:after="0"/>
              <w:jc w:val="left"/>
              <w:rPr>
                <w:b/>
                <w:color w:val="000000" w:themeColor="text1"/>
                <w:sz w:val="20"/>
                <w:szCs w:val="20"/>
              </w:rPr>
            </w:pPr>
            <w:r w:rsidRPr="0098635C">
              <w:rPr>
                <w:b/>
                <w:color w:val="000000" w:themeColor="text1"/>
                <w:sz w:val="20"/>
                <w:szCs w:val="20"/>
              </w:rPr>
              <w:t xml:space="preserve">Suspended particulate matter – salt water </w:t>
            </w:r>
          </w:p>
          <w:p w14:paraId="180A431B" w14:textId="77777777" w:rsidR="00632208" w:rsidRPr="0098635C" w:rsidRDefault="00632208" w:rsidP="00A432B0">
            <w:pPr>
              <w:spacing w:after="0"/>
              <w:jc w:val="left"/>
              <w:rPr>
                <w:b/>
                <w:color w:val="000000" w:themeColor="text1"/>
                <w:sz w:val="20"/>
                <w:szCs w:val="20"/>
              </w:rPr>
            </w:pPr>
            <w:r w:rsidRPr="0098635C">
              <w:rPr>
                <w:b/>
                <w:color w:val="000000" w:themeColor="text1"/>
                <w:sz w:val="20"/>
                <w:szCs w:val="20"/>
              </w:rPr>
              <w:t>Typical Kd (50</w:t>
            </w:r>
            <w:r w:rsidRPr="0098635C">
              <w:rPr>
                <w:b/>
                <w:color w:val="000000" w:themeColor="text1"/>
                <w:sz w:val="20"/>
                <w:szCs w:val="20"/>
                <w:vertAlign w:val="superscript"/>
              </w:rPr>
              <w:t>th</w:t>
            </w:r>
            <w:r w:rsidRPr="0098635C">
              <w:rPr>
                <w:b/>
                <w:color w:val="000000" w:themeColor="text1"/>
                <w:sz w:val="20"/>
                <w:szCs w:val="20"/>
              </w:rPr>
              <w:t xml:space="preserve"> percentile): 131,826 L/kg   (log Kd: 5.12)</w:t>
            </w:r>
          </w:p>
        </w:tc>
      </w:tr>
      <w:tr w:rsidR="00632208" w:rsidRPr="0098635C" w14:paraId="77481162" w14:textId="77777777" w:rsidTr="00982513">
        <w:trPr>
          <w:trHeight w:val="76"/>
        </w:trPr>
        <w:tc>
          <w:tcPr>
            <w:tcW w:w="4673" w:type="dxa"/>
          </w:tcPr>
          <w:p w14:paraId="60DB3459"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Log Kd: 5.62, 5.11, 4.6, 5, 5.6, 4.78</w:t>
            </w:r>
          </w:p>
        </w:tc>
        <w:tc>
          <w:tcPr>
            <w:tcW w:w="3686" w:type="dxa"/>
          </w:tcPr>
          <w:p w14:paraId="54742A20"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Review – measurements of dissolved and suspended particulate matter copper concentrations</w:t>
            </w:r>
          </w:p>
        </w:tc>
        <w:tc>
          <w:tcPr>
            <w:tcW w:w="3260" w:type="dxa"/>
          </w:tcPr>
          <w:p w14:paraId="0780E7C4"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Heijerick and Van Sprang, 2008 (R2)</w:t>
            </w:r>
          </w:p>
        </w:tc>
      </w:tr>
      <w:tr w:rsidR="00632208" w:rsidRPr="0098635C" w14:paraId="136F17B1" w14:textId="77777777" w:rsidTr="00982513">
        <w:trPr>
          <w:trHeight w:val="76"/>
        </w:trPr>
        <w:tc>
          <w:tcPr>
            <w:tcW w:w="4673" w:type="dxa"/>
          </w:tcPr>
          <w:p w14:paraId="22CFCBDF"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Log Kd: 4.78</w:t>
            </w:r>
          </w:p>
        </w:tc>
        <w:tc>
          <w:tcPr>
            <w:tcW w:w="3686" w:type="dxa"/>
          </w:tcPr>
          <w:p w14:paraId="18CCF9D0"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Field measurements</w:t>
            </w:r>
          </w:p>
        </w:tc>
        <w:tc>
          <w:tcPr>
            <w:tcW w:w="3260" w:type="dxa"/>
          </w:tcPr>
          <w:p w14:paraId="0A986533"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Tappin et al, 1995 (R2)</w:t>
            </w:r>
          </w:p>
        </w:tc>
      </w:tr>
      <w:tr w:rsidR="00632208" w:rsidRPr="0098635C" w14:paraId="765EF3D6" w14:textId="77777777" w:rsidTr="00982513">
        <w:trPr>
          <w:trHeight w:val="76"/>
        </w:trPr>
        <w:tc>
          <w:tcPr>
            <w:tcW w:w="4673" w:type="dxa"/>
          </w:tcPr>
          <w:p w14:paraId="27ECA3B0"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Log Kd: 4.5 – 5.9</w:t>
            </w:r>
          </w:p>
        </w:tc>
        <w:tc>
          <w:tcPr>
            <w:tcW w:w="3686" w:type="dxa"/>
          </w:tcPr>
          <w:p w14:paraId="3C506E3B"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Field measurements</w:t>
            </w:r>
          </w:p>
        </w:tc>
        <w:tc>
          <w:tcPr>
            <w:tcW w:w="3260" w:type="dxa"/>
          </w:tcPr>
          <w:p w14:paraId="74A1985C"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Eckhard Helmers, 1996 (R2)</w:t>
            </w:r>
          </w:p>
        </w:tc>
      </w:tr>
      <w:tr w:rsidR="00632208" w:rsidRPr="0098635C" w14:paraId="2F83F0AC" w14:textId="77777777" w:rsidTr="00982513">
        <w:trPr>
          <w:trHeight w:val="76"/>
        </w:trPr>
        <w:tc>
          <w:tcPr>
            <w:tcW w:w="4673" w:type="dxa"/>
          </w:tcPr>
          <w:p w14:paraId="33BD40AB"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Log Kd: 5.11 – 5.92</w:t>
            </w:r>
          </w:p>
        </w:tc>
        <w:tc>
          <w:tcPr>
            <w:tcW w:w="3686" w:type="dxa"/>
          </w:tcPr>
          <w:p w14:paraId="7E66B78F"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Field measurements</w:t>
            </w:r>
          </w:p>
        </w:tc>
        <w:tc>
          <w:tcPr>
            <w:tcW w:w="3260" w:type="dxa"/>
          </w:tcPr>
          <w:p w14:paraId="459CE82D"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McManus and Prandle, 1996 5R2)</w:t>
            </w:r>
          </w:p>
        </w:tc>
      </w:tr>
      <w:tr w:rsidR="00632208" w:rsidRPr="0098635C" w14:paraId="4A6D9B02" w14:textId="77777777" w:rsidTr="00982513">
        <w:trPr>
          <w:trHeight w:val="76"/>
        </w:trPr>
        <w:tc>
          <w:tcPr>
            <w:tcW w:w="4673" w:type="dxa"/>
          </w:tcPr>
          <w:p w14:paraId="73B4C6A8"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LogKd: 3.7 – 5.4</w:t>
            </w:r>
          </w:p>
        </w:tc>
        <w:tc>
          <w:tcPr>
            <w:tcW w:w="3686" w:type="dxa"/>
          </w:tcPr>
          <w:p w14:paraId="79360281"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Field measurements</w:t>
            </w:r>
          </w:p>
        </w:tc>
        <w:tc>
          <w:tcPr>
            <w:tcW w:w="3260" w:type="dxa"/>
          </w:tcPr>
          <w:p w14:paraId="280B0939"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Munksgaard and Parry, 2001 (R2)</w:t>
            </w:r>
          </w:p>
        </w:tc>
      </w:tr>
      <w:tr w:rsidR="00632208" w:rsidRPr="0098635C" w14:paraId="14AFD86A" w14:textId="77777777" w:rsidTr="00982513">
        <w:trPr>
          <w:trHeight w:val="76"/>
        </w:trPr>
        <w:tc>
          <w:tcPr>
            <w:tcW w:w="4673" w:type="dxa"/>
          </w:tcPr>
          <w:p w14:paraId="69E08A9E"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Log Kd: 4.5, 4.8-4.9, 4.5</w:t>
            </w:r>
          </w:p>
        </w:tc>
        <w:tc>
          <w:tcPr>
            <w:tcW w:w="3686" w:type="dxa"/>
          </w:tcPr>
          <w:p w14:paraId="6632C901"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Field measurements (salinity 20-30 g/L)</w:t>
            </w:r>
          </w:p>
        </w:tc>
        <w:tc>
          <w:tcPr>
            <w:tcW w:w="3260" w:type="dxa"/>
          </w:tcPr>
          <w:p w14:paraId="455623FF"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Nolting et al, 1999 (R2)</w:t>
            </w:r>
          </w:p>
        </w:tc>
      </w:tr>
      <w:tr w:rsidR="00632208" w:rsidRPr="0098635C" w14:paraId="335660B2" w14:textId="77777777" w:rsidTr="00982513">
        <w:trPr>
          <w:trHeight w:val="76"/>
        </w:trPr>
        <w:tc>
          <w:tcPr>
            <w:tcW w:w="4673" w:type="dxa"/>
          </w:tcPr>
          <w:p w14:paraId="390E07C4"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Log Kd: 4.36</w:t>
            </w:r>
          </w:p>
        </w:tc>
        <w:tc>
          <w:tcPr>
            <w:tcW w:w="3686" w:type="dxa"/>
          </w:tcPr>
          <w:p w14:paraId="6A4CB8F3"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Field measurements (salinity 25-35 g/L)</w:t>
            </w:r>
          </w:p>
        </w:tc>
        <w:tc>
          <w:tcPr>
            <w:tcW w:w="3260" w:type="dxa"/>
          </w:tcPr>
          <w:p w14:paraId="1C603ED0"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Monteney et al, 1993 (R2)</w:t>
            </w:r>
          </w:p>
        </w:tc>
      </w:tr>
      <w:tr w:rsidR="00632208" w:rsidRPr="0098635C" w14:paraId="62530675" w14:textId="77777777" w:rsidTr="00982513">
        <w:trPr>
          <w:trHeight w:val="76"/>
        </w:trPr>
        <w:tc>
          <w:tcPr>
            <w:tcW w:w="4673" w:type="dxa"/>
          </w:tcPr>
          <w:p w14:paraId="13C849CF"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Log Kd: 5</w:t>
            </w:r>
          </w:p>
        </w:tc>
        <w:tc>
          <w:tcPr>
            <w:tcW w:w="3686" w:type="dxa"/>
          </w:tcPr>
          <w:p w14:paraId="05C44612"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Field measurements</w:t>
            </w:r>
          </w:p>
        </w:tc>
        <w:tc>
          <w:tcPr>
            <w:tcW w:w="3260" w:type="dxa"/>
          </w:tcPr>
          <w:p w14:paraId="55C0D909"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Martin et al, 1993 5R2)</w:t>
            </w:r>
          </w:p>
        </w:tc>
      </w:tr>
      <w:tr w:rsidR="00632208" w:rsidRPr="0098635C" w14:paraId="56A75FAF" w14:textId="77777777" w:rsidTr="00982513">
        <w:trPr>
          <w:trHeight w:val="76"/>
        </w:trPr>
        <w:tc>
          <w:tcPr>
            <w:tcW w:w="11619" w:type="dxa"/>
            <w:gridSpan w:val="3"/>
          </w:tcPr>
          <w:p w14:paraId="262BAEB1" w14:textId="77777777" w:rsidR="00632208" w:rsidRPr="0098635C" w:rsidRDefault="00632208" w:rsidP="00A432B0">
            <w:pPr>
              <w:spacing w:after="0"/>
              <w:jc w:val="left"/>
              <w:rPr>
                <w:b/>
                <w:color w:val="000000" w:themeColor="text1"/>
                <w:sz w:val="20"/>
                <w:szCs w:val="20"/>
              </w:rPr>
            </w:pPr>
            <w:r w:rsidRPr="0098635C">
              <w:rPr>
                <w:b/>
                <w:color w:val="000000" w:themeColor="text1"/>
                <w:sz w:val="20"/>
                <w:szCs w:val="20"/>
              </w:rPr>
              <w:t>Sediment – fresh water</w:t>
            </w:r>
          </w:p>
          <w:p w14:paraId="74D97D43" w14:textId="77777777" w:rsidR="00632208" w:rsidRPr="0098635C" w:rsidRDefault="00632208" w:rsidP="00A432B0">
            <w:pPr>
              <w:spacing w:after="0"/>
              <w:jc w:val="left"/>
              <w:rPr>
                <w:b/>
                <w:color w:val="000000" w:themeColor="text1"/>
                <w:sz w:val="20"/>
                <w:szCs w:val="20"/>
              </w:rPr>
            </w:pPr>
            <w:r w:rsidRPr="0098635C">
              <w:rPr>
                <w:b/>
                <w:color w:val="000000" w:themeColor="text1"/>
                <w:sz w:val="20"/>
                <w:szCs w:val="20"/>
              </w:rPr>
              <w:t>Typical Kd (50</w:t>
            </w:r>
            <w:r w:rsidRPr="0098635C">
              <w:rPr>
                <w:b/>
                <w:color w:val="000000" w:themeColor="text1"/>
                <w:sz w:val="20"/>
                <w:szCs w:val="20"/>
                <w:vertAlign w:val="superscript"/>
              </w:rPr>
              <w:t>th</w:t>
            </w:r>
            <w:r w:rsidRPr="0098635C">
              <w:rPr>
                <w:b/>
                <w:color w:val="000000" w:themeColor="text1"/>
                <w:sz w:val="20"/>
                <w:szCs w:val="20"/>
              </w:rPr>
              <w:t xml:space="preserve"> percentile): 24,409 L/kg   (log Kd: 4.39)</w:t>
            </w:r>
          </w:p>
        </w:tc>
      </w:tr>
      <w:tr w:rsidR="00632208" w:rsidRPr="0098635C" w14:paraId="2785FF8B" w14:textId="77777777" w:rsidTr="00982513">
        <w:trPr>
          <w:trHeight w:val="76"/>
        </w:trPr>
        <w:tc>
          <w:tcPr>
            <w:tcW w:w="4673" w:type="dxa"/>
          </w:tcPr>
          <w:p w14:paraId="6E0EAF96"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Log Kd: 4.67, 4.51-4.65, 4.56, 4.75, 4.74, 4.7, 4.68, 4.6, 4.67, 4.67, 4.38, 4.4, 3.92, 4.98, 4.95, 5.04</w:t>
            </w:r>
          </w:p>
        </w:tc>
        <w:tc>
          <w:tcPr>
            <w:tcW w:w="3686" w:type="dxa"/>
          </w:tcPr>
          <w:p w14:paraId="447306BA"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Review – different publications that report reliable Kd values and, where possible, provides information on parameters that most likely affect the copper binding to sediment</w:t>
            </w:r>
          </w:p>
        </w:tc>
        <w:tc>
          <w:tcPr>
            <w:tcW w:w="3260" w:type="dxa"/>
          </w:tcPr>
          <w:p w14:paraId="0BD5E384"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Heijerick and Van Sprang, 2008 (R2)</w:t>
            </w:r>
          </w:p>
        </w:tc>
      </w:tr>
      <w:tr w:rsidR="00632208" w:rsidRPr="0098635C" w14:paraId="0511E99F" w14:textId="77777777" w:rsidTr="00982513">
        <w:trPr>
          <w:trHeight w:val="76"/>
        </w:trPr>
        <w:tc>
          <w:tcPr>
            <w:tcW w:w="4673" w:type="dxa"/>
          </w:tcPr>
          <w:p w14:paraId="5AA94100"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Mean Log Kd: 2.68 (aqua regia destruction)</w:t>
            </w:r>
          </w:p>
          <w:p w14:paraId="2A2F7E1C"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Mean Log Kd: 2.84 (HNO</w:t>
            </w:r>
            <w:r w:rsidRPr="0098635C">
              <w:rPr>
                <w:color w:val="000000" w:themeColor="text1"/>
                <w:sz w:val="20"/>
                <w:szCs w:val="20"/>
                <w:vertAlign w:val="subscript"/>
              </w:rPr>
              <w:t>3</w:t>
            </w:r>
            <w:r w:rsidRPr="0098635C">
              <w:rPr>
                <w:color w:val="000000" w:themeColor="text1"/>
                <w:sz w:val="20"/>
                <w:szCs w:val="20"/>
              </w:rPr>
              <w:t xml:space="preserve"> destruction)</w:t>
            </w:r>
          </w:p>
        </w:tc>
        <w:tc>
          <w:tcPr>
            <w:tcW w:w="3686" w:type="dxa"/>
          </w:tcPr>
          <w:p w14:paraId="7B05BB3B"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 xml:space="preserve">Field measurements </w:t>
            </w:r>
          </w:p>
        </w:tc>
        <w:tc>
          <w:tcPr>
            <w:tcW w:w="3260" w:type="dxa"/>
          </w:tcPr>
          <w:p w14:paraId="25ECB614" w14:textId="77777777" w:rsidR="00632208" w:rsidRPr="0098635C" w:rsidRDefault="00632208" w:rsidP="00A432B0">
            <w:pPr>
              <w:spacing w:after="0"/>
              <w:jc w:val="left"/>
              <w:rPr>
                <w:color w:val="000000" w:themeColor="text1"/>
                <w:sz w:val="20"/>
                <w:szCs w:val="20"/>
                <w:lang w:val="nl-NL"/>
              </w:rPr>
            </w:pPr>
            <w:r w:rsidRPr="0098635C">
              <w:rPr>
                <w:color w:val="000000" w:themeColor="text1"/>
                <w:sz w:val="20"/>
                <w:szCs w:val="20"/>
                <w:lang w:val="nl-NL"/>
              </w:rPr>
              <w:t>De Groot et al, 1998 (R2)</w:t>
            </w:r>
          </w:p>
        </w:tc>
      </w:tr>
      <w:tr w:rsidR="00632208" w:rsidRPr="0098635C" w14:paraId="4E337A52" w14:textId="77777777" w:rsidTr="00982513">
        <w:trPr>
          <w:trHeight w:val="76"/>
        </w:trPr>
        <w:tc>
          <w:tcPr>
            <w:tcW w:w="4673" w:type="dxa"/>
          </w:tcPr>
          <w:p w14:paraId="1B3C2FC3"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Log Kd: 4.66</w:t>
            </w:r>
          </w:p>
        </w:tc>
        <w:tc>
          <w:tcPr>
            <w:tcW w:w="3686" w:type="dxa"/>
          </w:tcPr>
          <w:p w14:paraId="6F010BC0"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Calculated from published data</w:t>
            </w:r>
          </w:p>
        </w:tc>
        <w:tc>
          <w:tcPr>
            <w:tcW w:w="3260" w:type="dxa"/>
          </w:tcPr>
          <w:p w14:paraId="162CC2A2" w14:textId="77777777" w:rsidR="00632208" w:rsidRPr="0098635C" w:rsidRDefault="00632208" w:rsidP="00A432B0">
            <w:pPr>
              <w:spacing w:after="0"/>
              <w:jc w:val="left"/>
              <w:rPr>
                <w:color w:val="000000" w:themeColor="text1"/>
                <w:sz w:val="20"/>
                <w:szCs w:val="20"/>
                <w:lang w:val="nl-NL"/>
              </w:rPr>
            </w:pPr>
            <w:r w:rsidRPr="0098635C">
              <w:rPr>
                <w:color w:val="000000" w:themeColor="text1"/>
                <w:sz w:val="20"/>
                <w:szCs w:val="20"/>
                <w:lang w:val="nl-NL"/>
              </w:rPr>
              <w:t>Van Der Kooij et al, 1991 (R2)</w:t>
            </w:r>
          </w:p>
        </w:tc>
      </w:tr>
      <w:tr w:rsidR="00632208" w:rsidRPr="0098635C" w14:paraId="11793F4A" w14:textId="77777777" w:rsidTr="00982513">
        <w:trPr>
          <w:trHeight w:val="76"/>
        </w:trPr>
        <w:tc>
          <w:tcPr>
            <w:tcW w:w="4673" w:type="dxa"/>
          </w:tcPr>
          <w:p w14:paraId="27E881D8"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Kd: 7100-25200</w:t>
            </w:r>
          </w:p>
          <w:p w14:paraId="1DC9FE15"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Log Kd: 3.85-4.4</w:t>
            </w:r>
          </w:p>
        </w:tc>
        <w:tc>
          <w:tcPr>
            <w:tcW w:w="3686" w:type="dxa"/>
          </w:tcPr>
          <w:p w14:paraId="69253176"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Modeling</w:t>
            </w:r>
          </w:p>
        </w:tc>
        <w:tc>
          <w:tcPr>
            <w:tcW w:w="3260" w:type="dxa"/>
          </w:tcPr>
          <w:p w14:paraId="52E760CB"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Koelmans and Radanovic, 1998 (R2)</w:t>
            </w:r>
          </w:p>
        </w:tc>
      </w:tr>
      <w:tr w:rsidR="00632208" w:rsidRPr="0098635C" w14:paraId="40C99D14" w14:textId="77777777" w:rsidTr="00982513">
        <w:trPr>
          <w:trHeight w:val="76"/>
        </w:trPr>
        <w:tc>
          <w:tcPr>
            <w:tcW w:w="11619" w:type="dxa"/>
            <w:gridSpan w:val="3"/>
          </w:tcPr>
          <w:p w14:paraId="737DB0CD" w14:textId="77777777" w:rsidR="00632208" w:rsidRPr="0098635C" w:rsidRDefault="00632208" w:rsidP="00A432B0">
            <w:pPr>
              <w:spacing w:after="0"/>
              <w:jc w:val="left"/>
              <w:rPr>
                <w:b/>
                <w:color w:val="000000" w:themeColor="text1"/>
                <w:sz w:val="20"/>
                <w:szCs w:val="20"/>
              </w:rPr>
            </w:pPr>
            <w:r w:rsidRPr="0098635C">
              <w:rPr>
                <w:b/>
                <w:color w:val="000000" w:themeColor="text1"/>
                <w:sz w:val="20"/>
                <w:szCs w:val="20"/>
              </w:rPr>
              <w:t>Soil</w:t>
            </w:r>
          </w:p>
          <w:p w14:paraId="37F4AE25" w14:textId="77777777" w:rsidR="00632208" w:rsidRPr="0098635C" w:rsidRDefault="00632208" w:rsidP="00A432B0">
            <w:pPr>
              <w:spacing w:after="0"/>
              <w:jc w:val="left"/>
              <w:rPr>
                <w:b/>
                <w:color w:val="000000" w:themeColor="text1"/>
                <w:sz w:val="20"/>
                <w:szCs w:val="20"/>
              </w:rPr>
            </w:pPr>
            <w:r w:rsidRPr="0098635C">
              <w:rPr>
                <w:b/>
                <w:color w:val="000000" w:themeColor="text1"/>
                <w:sz w:val="20"/>
                <w:szCs w:val="20"/>
              </w:rPr>
              <w:t>Typical Kd (50</w:t>
            </w:r>
            <w:r w:rsidRPr="0098635C">
              <w:rPr>
                <w:b/>
                <w:color w:val="000000" w:themeColor="text1"/>
                <w:sz w:val="20"/>
                <w:szCs w:val="20"/>
                <w:vertAlign w:val="superscript"/>
              </w:rPr>
              <w:t>th</w:t>
            </w:r>
            <w:r w:rsidRPr="0098635C">
              <w:rPr>
                <w:b/>
                <w:color w:val="000000" w:themeColor="text1"/>
                <w:sz w:val="20"/>
                <w:szCs w:val="20"/>
              </w:rPr>
              <w:t xml:space="preserve"> percentile): 2,120 L/kg   (log Kd: 3.33)</w:t>
            </w:r>
          </w:p>
        </w:tc>
      </w:tr>
      <w:tr w:rsidR="00632208" w:rsidRPr="0098635C" w14:paraId="028FDC6B" w14:textId="77777777" w:rsidTr="00982513">
        <w:trPr>
          <w:trHeight w:val="76"/>
        </w:trPr>
        <w:tc>
          <w:tcPr>
            <w:tcW w:w="4673" w:type="dxa"/>
          </w:tcPr>
          <w:p w14:paraId="119BE7BA" w14:textId="77777777" w:rsidR="00632208" w:rsidRPr="0098635C" w:rsidRDefault="00632208" w:rsidP="00A432B0">
            <w:pPr>
              <w:pStyle w:val="BodyText"/>
              <w:spacing w:after="0"/>
              <w:rPr>
                <w:color w:val="000000" w:themeColor="text1"/>
                <w:sz w:val="20"/>
                <w:lang w:val="it-IT"/>
              </w:rPr>
            </w:pPr>
            <w:r w:rsidRPr="0098635C">
              <w:rPr>
                <w:color w:val="000000" w:themeColor="text1"/>
                <w:sz w:val="20"/>
                <w:lang w:val="it-IT"/>
              </w:rPr>
              <w:t>Average Kd: 500 L/kg (aqua regia)</w:t>
            </w:r>
          </w:p>
          <w:p w14:paraId="25158DC8" w14:textId="77777777" w:rsidR="00632208" w:rsidRPr="0098635C" w:rsidRDefault="00632208" w:rsidP="00A432B0">
            <w:pPr>
              <w:pStyle w:val="BodyText"/>
              <w:spacing w:after="0"/>
              <w:rPr>
                <w:color w:val="000000" w:themeColor="text1"/>
                <w:sz w:val="20"/>
              </w:rPr>
            </w:pPr>
            <w:r w:rsidRPr="0098635C">
              <w:rPr>
                <w:color w:val="000000" w:themeColor="text1"/>
                <w:sz w:val="20"/>
              </w:rPr>
              <w:t>Average Kd: 700 L/kg (HNO3 extract)</w:t>
            </w:r>
          </w:p>
        </w:tc>
        <w:tc>
          <w:tcPr>
            <w:tcW w:w="3686" w:type="dxa"/>
          </w:tcPr>
          <w:p w14:paraId="46ED08DF"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Dutch soils</w:t>
            </w:r>
          </w:p>
        </w:tc>
        <w:tc>
          <w:tcPr>
            <w:tcW w:w="3260" w:type="dxa"/>
          </w:tcPr>
          <w:p w14:paraId="0E7A3D57"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De Groot 1998</w:t>
            </w:r>
          </w:p>
        </w:tc>
      </w:tr>
      <w:tr w:rsidR="00632208" w:rsidRPr="0098635C" w14:paraId="63BAA7F2" w14:textId="77777777" w:rsidTr="00982513">
        <w:trPr>
          <w:trHeight w:val="76"/>
        </w:trPr>
        <w:tc>
          <w:tcPr>
            <w:tcW w:w="4673" w:type="dxa"/>
          </w:tcPr>
          <w:p w14:paraId="6407B5FB"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Kd: 25-135 (forest soil)</w:t>
            </w:r>
          </w:p>
          <w:p w14:paraId="16DD5879" w14:textId="77777777" w:rsidR="00632208" w:rsidRPr="0098635C" w:rsidRDefault="00632208" w:rsidP="00A432B0">
            <w:pPr>
              <w:spacing w:after="0"/>
              <w:jc w:val="left"/>
              <w:rPr>
                <w:i/>
                <w:color w:val="000000" w:themeColor="text1"/>
                <w:sz w:val="20"/>
                <w:szCs w:val="20"/>
              </w:rPr>
            </w:pPr>
            <w:r w:rsidRPr="0098635C">
              <w:rPr>
                <w:color w:val="000000" w:themeColor="text1"/>
                <w:sz w:val="20"/>
                <w:szCs w:val="20"/>
              </w:rPr>
              <w:t>Kd: 92-4318 soil from river bank</w:t>
            </w:r>
          </w:p>
        </w:tc>
        <w:tc>
          <w:tcPr>
            <w:tcW w:w="3686" w:type="dxa"/>
          </w:tcPr>
          <w:p w14:paraId="4497CEDB"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Batch equilibrium method</w:t>
            </w:r>
          </w:p>
        </w:tc>
        <w:tc>
          <w:tcPr>
            <w:tcW w:w="3260" w:type="dxa"/>
          </w:tcPr>
          <w:p w14:paraId="0EE78A8B" w14:textId="4281A076" w:rsidR="00632208" w:rsidRPr="0098635C" w:rsidRDefault="00632208" w:rsidP="00A432B0">
            <w:pPr>
              <w:spacing w:after="0"/>
              <w:jc w:val="left"/>
              <w:rPr>
                <w:color w:val="000000" w:themeColor="text1"/>
                <w:sz w:val="20"/>
                <w:szCs w:val="20"/>
                <w:lang w:val="fr-FR"/>
              </w:rPr>
            </w:pPr>
            <w:r w:rsidRPr="0098635C">
              <w:rPr>
                <w:color w:val="000000" w:themeColor="text1"/>
                <w:sz w:val="20"/>
                <w:szCs w:val="20"/>
                <w:lang w:val="fr-FR"/>
              </w:rPr>
              <w:t>Janssen et al, 1997</w:t>
            </w:r>
            <w:r w:rsidR="00BA146C" w:rsidRPr="0098635C">
              <w:rPr>
                <w:color w:val="000000" w:themeColor="text1"/>
                <w:sz w:val="20"/>
                <w:szCs w:val="20"/>
                <w:lang w:val="fr-FR"/>
              </w:rPr>
              <w:t>ab</w:t>
            </w:r>
            <w:r w:rsidRPr="0098635C">
              <w:rPr>
                <w:color w:val="000000" w:themeColor="text1"/>
                <w:sz w:val="20"/>
                <w:szCs w:val="20"/>
                <w:lang w:val="fr-FR"/>
              </w:rPr>
              <w:t xml:space="preserve"> (R2)</w:t>
            </w:r>
          </w:p>
        </w:tc>
      </w:tr>
      <w:tr w:rsidR="00632208" w:rsidRPr="0098635C" w14:paraId="6375FDEB" w14:textId="77777777" w:rsidTr="00982513">
        <w:trPr>
          <w:trHeight w:val="76"/>
        </w:trPr>
        <w:tc>
          <w:tcPr>
            <w:tcW w:w="4673" w:type="dxa"/>
          </w:tcPr>
          <w:p w14:paraId="0AC9EAA0"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Mean Log Kd: 3.68</w:t>
            </w:r>
          </w:p>
          <w:p w14:paraId="7F3AAB54"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 xml:space="preserve">Median Log Kd: 3.3 </w:t>
            </w:r>
          </w:p>
        </w:tc>
        <w:tc>
          <w:tcPr>
            <w:tcW w:w="3686" w:type="dxa"/>
          </w:tcPr>
          <w:p w14:paraId="08CB9FFE"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Compilation of 70 studies</w:t>
            </w:r>
          </w:p>
        </w:tc>
        <w:tc>
          <w:tcPr>
            <w:tcW w:w="3260" w:type="dxa"/>
          </w:tcPr>
          <w:p w14:paraId="06C58B19" w14:textId="77777777" w:rsidR="00632208" w:rsidRPr="0098635C" w:rsidRDefault="00632208" w:rsidP="00A432B0">
            <w:pPr>
              <w:spacing w:after="0"/>
              <w:jc w:val="left"/>
              <w:rPr>
                <w:color w:val="000000" w:themeColor="text1"/>
                <w:sz w:val="20"/>
                <w:szCs w:val="20"/>
              </w:rPr>
            </w:pPr>
            <w:r w:rsidRPr="0098635C">
              <w:rPr>
                <w:color w:val="000000" w:themeColor="text1"/>
                <w:sz w:val="20"/>
                <w:szCs w:val="20"/>
              </w:rPr>
              <w:t>Sauvé et al, 2000 (R2)</w:t>
            </w:r>
          </w:p>
        </w:tc>
      </w:tr>
    </w:tbl>
    <w:p w14:paraId="409B1748" w14:textId="2644A3C9" w:rsidR="00C24197" w:rsidRPr="0098635C" w:rsidRDefault="00C24197" w:rsidP="00982513">
      <w:pPr>
        <w:pStyle w:val="Caption"/>
        <w:ind w:left="0"/>
        <w:rPr>
          <w:color w:val="000000" w:themeColor="text1"/>
          <w:sz w:val="20"/>
          <w:lang w:val="en-GB"/>
        </w:rPr>
      </w:pPr>
    </w:p>
    <w:p w14:paraId="04BB2259" w14:textId="77777777" w:rsidR="00E17233" w:rsidRPr="0098635C" w:rsidRDefault="00E17233">
      <w:pPr>
        <w:widowControl/>
        <w:autoSpaceDE/>
        <w:autoSpaceDN/>
        <w:adjustRightInd/>
        <w:spacing w:after="0"/>
        <w:jc w:val="left"/>
        <w:rPr>
          <w:color w:val="000000" w:themeColor="text1"/>
          <w:sz w:val="20"/>
          <w:szCs w:val="20"/>
        </w:rPr>
      </w:pPr>
      <w:r w:rsidRPr="0098635C">
        <w:rPr>
          <w:color w:val="000000" w:themeColor="text1"/>
          <w:sz w:val="20"/>
          <w:szCs w:val="20"/>
        </w:rPr>
        <w:br w:type="page"/>
      </w:r>
    </w:p>
    <w:p w14:paraId="46F30B46" w14:textId="51CBF81A" w:rsidR="00D57755" w:rsidRPr="0098635C" w:rsidRDefault="00D57755" w:rsidP="00982513">
      <w:pPr>
        <w:widowControl/>
        <w:autoSpaceDE/>
        <w:autoSpaceDN/>
        <w:adjustRightInd/>
        <w:spacing w:after="0"/>
        <w:jc w:val="left"/>
        <w:rPr>
          <w:rFonts w:eastAsia="Calibri"/>
          <w:color w:val="000000" w:themeColor="text1"/>
          <w:sz w:val="20"/>
          <w:szCs w:val="20"/>
        </w:rPr>
      </w:pPr>
      <w:r w:rsidRPr="0098635C">
        <w:rPr>
          <w:rFonts w:eastAsia="Calibri"/>
          <w:color w:val="000000" w:themeColor="text1"/>
          <w:sz w:val="20"/>
          <w:szCs w:val="20"/>
        </w:rPr>
        <w:lastRenderedPageBreak/>
        <w:t>Annex IV: Summary of acute inhalation toxicity studies in animals</w:t>
      </w:r>
    </w:p>
    <w:p w14:paraId="290427E0" w14:textId="77777777" w:rsidR="00647246" w:rsidRPr="0098635C" w:rsidRDefault="00647246" w:rsidP="00982513">
      <w:pPr>
        <w:widowControl/>
        <w:autoSpaceDE/>
        <w:autoSpaceDN/>
        <w:adjustRightInd/>
        <w:spacing w:after="0"/>
        <w:jc w:val="left"/>
        <w:rPr>
          <w:rFonts w:ascii="Arial" w:eastAsia="Calibri" w:hAnsi="Arial" w:cs="Arial"/>
          <w:color w:val="000000" w:themeColor="text1"/>
          <w:sz w:val="20"/>
          <w:szCs w:val="20"/>
        </w:rPr>
      </w:pP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0"/>
        <w:gridCol w:w="1355"/>
        <w:gridCol w:w="1979"/>
        <w:gridCol w:w="2268"/>
        <w:gridCol w:w="4111"/>
        <w:gridCol w:w="3119"/>
      </w:tblGrid>
      <w:tr w:rsidR="00647246" w:rsidRPr="0098635C" w14:paraId="2E9F4F7E" w14:textId="77777777" w:rsidTr="00982513">
        <w:trPr>
          <w:trHeight w:val="628"/>
          <w:tblHeader/>
        </w:trPr>
        <w:tc>
          <w:tcPr>
            <w:tcW w:w="1310" w:type="dxa"/>
            <w:tcMar>
              <w:top w:w="20" w:type="nil"/>
              <w:left w:w="20" w:type="nil"/>
              <w:bottom w:w="20" w:type="nil"/>
              <w:right w:w="20" w:type="nil"/>
            </w:tcMar>
            <w:vAlign w:val="center"/>
          </w:tcPr>
          <w:p w14:paraId="75044CFA" w14:textId="77777777" w:rsidR="00647246" w:rsidRPr="0098635C" w:rsidRDefault="00647246" w:rsidP="002C6F71">
            <w:pPr>
              <w:pStyle w:val="NoteLevel21"/>
              <w:keepNext w:val="0"/>
              <w:tabs>
                <w:tab w:val="clear" w:pos="720"/>
              </w:tabs>
              <w:ind w:left="0" w:firstLine="0"/>
              <w:rPr>
                <w:rFonts w:ascii="Times New Roman" w:hAnsi="Times New Roman" w:cs="Times New Roman"/>
                <w:b/>
                <w:color w:val="000000" w:themeColor="text1"/>
              </w:rPr>
            </w:pPr>
            <w:bookmarkStart w:id="2087" w:name="_Toc472000404"/>
            <w:bookmarkStart w:id="2088" w:name="_Toc472251764"/>
            <w:r w:rsidRPr="0098635C">
              <w:rPr>
                <w:rFonts w:ascii="Times New Roman" w:hAnsi="Times New Roman" w:cs="Times New Roman"/>
                <w:b/>
                <w:color w:val="000000" w:themeColor="text1"/>
              </w:rPr>
              <w:t>Reference</w:t>
            </w:r>
            <w:bookmarkEnd w:id="2087"/>
            <w:bookmarkEnd w:id="2088"/>
          </w:p>
        </w:tc>
        <w:tc>
          <w:tcPr>
            <w:tcW w:w="1355" w:type="dxa"/>
            <w:tcMar>
              <w:top w:w="20" w:type="nil"/>
              <w:left w:w="20" w:type="nil"/>
              <w:bottom w:w="20" w:type="nil"/>
              <w:right w:w="20" w:type="nil"/>
            </w:tcMar>
            <w:vAlign w:val="center"/>
          </w:tcPr>
          <w:p w14:paraId="364CEFC2" w14:textId="77777777" w:rsidR="00647246" w:rsidRPr="0098635C" w:rsidRDefault="00647246" w:rsidP="002C6F71">
            <w:pPr>
              <w:pStyle w:val="NoteLevel21"/>
              <w:keepNext w:val="0"/>
              <w:tabs>
                <w:tab w:val="clear" w:pos="720"/>
              </w:tabs>
              <w:ind w:left="0" w:firstLine="0"/>
              <w:rPr>
                <w:rFonts w:ascii="Times New Roman" w:hAnsi="Times New Roman" w:cs="Times New Roman"/>
                <w:b/>
                <w:color w:val="000000" w:themeColor="text1"/>
              </w:rPr>
            </w:pPr>
            <w:bookmarkStart w:id="2089" w:name="_Toc472000405"/>
            <w:bookmarkStart w:id="2090" w:name="_Toc472251765"/>
            <w:r w:rsidRPr="0098635C">
              <w:rPr>
                <w:rFonts w:ascii="Times New Roman" w:hAnsi="Times New Roman" w:cs="Times New Roman"/>
                <w:b/>
                <w:color w:val="000000" w:themeColor="text1"/>
              </w:rPr>
              <w:t>Substance</w:t>
            </w:r>
            <w:bookmarkEnd w:id="2089"/>
            <w:bookmarkEnd w:id="2090"/>
          </w:p>
        </w:tc>
        <w:tc>
          <w:tcPr>
            <w:tcW w:w="1979" w:type="dxa"/>
            <w:tcMar>
              <w:top w:w="20" w:type="nil"/>
              <w:left w:w="20" w:type="nil"/>
              <w:bottom w:w="20" w:type="nil"/>
              <w:right w:w="20" w:type="nil"/>
            </w:tcMar>
            <w:vAlign w:val="center"/>
          </w:tcPr>
          <w:p w14:paraId="4096B98C" w14:textId="77777777" w:rsidR="00647246" w:rsidRPr="0098635C" w:rsidRDefault="00647246" w:rsidP="002C6F71">
            <w:pPr>
              <w:pStyle w:val="NoteLevel21"/>
              <w:keepNext w:val="0"/>
              <w:tabs>
                <w:tab w:val="clear" w:pos="720"/>
              </w:tabs>
              <w:ind w:left="0" w:firstLine="0"/>
              <w:rPr>
                <w:rFonts w:ascii="Times New Roman" w:hAnsi="Times New Roman" w:cs="Times New Roman"/>
                <w:b/>
                <w:color w:val="000000" w:themeColor="text1"/>
              </w:rPr>
            </w:pPr>
            <w:bookmarkStart w:id="2091" w:name="_Toc472000406"/>
            <w:bookmarkStart w:id="2092" w:name="_Toc472251766"/>
            <w:r w:rsidRPr="0098635C">
              <w:rPr>
                <w:rFonts w:ascii="Times New Roman" w:hAnsi="Times New Roman" w:cs="Times New Roman"/>
                <w:b/>
                <w:color w:val="000000" w:themeColor="text1"/>
              </w:rPr>
              <w:t>Method</w:t>
            </w:r>
            <w:bookmarkEnd w:id="2091"/>
            <w:bookmarkEnd w:id="2092"/>
          </w:p>
        </w:tc>
        <w:tc>
          <w:tcPr>
            <w:tcW w:w="2268" w:type="dxa"/>
            <w:vAlign w:val="center"/>
          </w:tcPr>
          <w:p w14:paraId="7159020E" w14:textId="77777777" w:rsidR="00647246" w:rsidRPr="0098635C" w:rsidRDefault="00647246" w:rsidP="002C6F71">
            <w:pPr>
              <w:pStyle w:val="NoteLevel21"/>
              <w:keepNext w:val="0"/>
              <w:tabs>
                <w:tab w:val="clear" w:pos="720"/>
              </w:tabs>
              <w:ind w:left="0" w:firstLine="0"/>
              <w:rPr>
                <w:rFonts w:ascii="Times New Roman" w:hAnsi="Times New Roman" w:cs="Times New Roman"/>
                <w:b/>
                <w:color w:val="000000" w:themeColor="text1"/>
              </w:rPr>
            </w:pPr>
            <w:bookmarkStart w:id="2093" w:name="_Toc472000407"/>
            <w:bookmarkStart w:id="2094" w:name="_Toc472251767"/>
            <w:r w:rsidRPr="0098635C">
              <w:rPr>
                <w:rFonts w:ascii="Times New Roman" w:hAnsi="Times New Roman" w:cs="Times New Roman"/>
                <w:b/>
                <w:color w:val="000000" w:themeColor="text1"/>
              </w:rPr>
              <w:t>Test animals</w:t>
            </w:r>
            <w:bookmarkEnd w:id="2093"/>
            <w:bookmarkEnd w:id="2094"/>
          </w:p>
        </w:tc>
        <w:tc>
          <w:tcPr>
            <w:tcW w:w="4111" w:type="dxa"/>
            <w:vAlign w:val="center"/>
          </w:tcPr>
          <w:p w14:paraId="7EB0B6E3" w14:textId="77777777" w:rsidR="00647246" w:rsidRPr="0098635C" w:rsidRDefault="00647246" w:rsidP="002C6F71">
            <w:pPr>
              <w:pStyle w:val="NoteLevel21"/>
              <w:keepNext w:val="0"/>
              <w:tabs>
                <w:tab w:val="clear" w:pos="720"/>
              </w:tabs>
              <w:ind w:left="0" w:firstLine="0"/>
              <w:rPr>
                <w:rFonts w:ascii="Times New Roman" w:hAnsi="Times New Roman" w:cs="Times New Roman"/>
                <w:b/>
                <w:color w:val="000000" w:themeColor="text1"/>
              </w:rPr>
            </w:pPr>
            <w:bookmarkStart w:id="2095" w:name="_Toc472000408"/>
            <w:bookmarkStart w:id="2096" w:name="_Toc472251768"/>
            <w:r w:rsidRPr="0098635C">
              <w:rPr>
                <w:rFonts w:ascii="Times New Roman" w:hAnsi="Times New Roman" w:cs="Times New Roman"/>
                <w:b/>
                <w:color w:val="000000" w:themeColor="text1"/>
              </w:rPr>
              <w:t>Dose levels</w:t>
            </w:r>
            <w:bookmarkEnd w:id="2095"/>
            <w:bookmarkEnd w:id="2096"/>
          </w:p>
        </w:tc>
        <w:tc>
          <w:tcPr>
            <w:tcW w:w="3119" w:type="dxa"/>
            <w:tcMar>
              <w:top w:w="20" w:type="nil"/>
              <w:left w:w="20" w:type="nil"/>
              <w:bottom w:w="20" w:type="nil"/>
              <w:right w:w="20" w:type="nil"/>
            </w:tcMar>
            <w:vAlign w:val="center"/>
          </w:tcPr>
          <w:p w14:paraId="5C652091" w14:textId="77777777" w:rsidR="00647246" w:rsidRPr="0098635C" w:rsidRDefault="00647246" w:rsidP="002C6F71">
            <w:pPr>
              <w:pStyle w:val="NoteLevel21"/>
              <w:keepNext w:val="0"/>
              <w:tabs>
                <w:tab w:val="clear" w:pos="720"/>
              </w:tabs>
              <w:ind w:left="0" w:firstLine="0"/>
              <w:rPr>
                <w:rFonts w:ascii="Times New Roman" w:hAnsi="Times New Roman" w:cs="Times New Roman"/>
                <w:b/>
                <w:color w:val="000000" w:themeColor="text1"/>
              </w:rPr>
            </w:pPr>
            <w:bookmarkStart w:id="2097" w:name="_Toc472000409"/>
            <w:bookmarkStart w:id="2098" w:name="_Toc472251769"/>
            <w:r w:rsidRPr="0098635C">
              <w:rPr>
                <w:rFonts w:ascii="Times New Roman" w:hAnsi="Times New Roman" w:cs="Times New Roman"/>
                <w:b/>
                <w:color w:val="000000" w:themeColor="text1"/>
              </w:rPr>
              <w:t>Results</w:t>
            </w:r>
            <w:bookmarkEnd w:id="2097"/>
            <w:bookmarkEnd w:id="2098"/>
          </w:p>
        </w:tc>
      </w:tr>
      <w:tr w:rsidR="00647246" w:rsidRPr="0098635C" w14:paraId="58CFFF2F" w14:textId="77777777" w:rsidTr="00982513">
        <w:tc>
          <w:tcPr>
            <w:tcW w:w="1310" w:type="dxa"/>
            <w:tcMar>
              <w:top w:w="20" w:type="nil"/>
              <w:left w:w="20" w:type="nil"/>
              <w:bottom w:w="20" w:type="nil"/>
              <w:right w:w="20" w:type="nil"/>
            </w:tcMar>
          </w:tcPr>
          <w:p w14:paraId="30B94F12" w14:textId="18D6147D" w:rsidR="00647246" w:rsidRPr="0098635C" w:rsidRDefault="00607A89" w:rsidP="002C6F71">
            <w:pPr>
              <w:pStyle w:val="NoteLevel21"/>
              <w:keepNext w:val="0"/>
              <w:tabs>
                <w:tab w:val="clear" w:pos="720"/>
              </w:tabs>
              <w:ind w:left="0" w:firstLine="0"/>
              <w:rPr>
                <w:rFonts w:ascii="Times New Roman" w:hAnsi="Times New Roman" w:cs="Times New Roman"/>
                <w:color w:val="000000" w:themeColor="text1"/>
              </w:rPr>
            </w:pPr>
            <w:bookmarkStart w:id="2099" w:name="_Toc472000410"/>
            <w:bookmarkStart w:id="2100" w:name="_Toc472251770"/>
            <w:r w:rsidRPr="0098635C">
              <w:rPr>
                <w:rFonts w:ascii="Times New Roman" w:hAnsi="Times New Roman" w:cs="Times New Roman"/>
                <w:color w:val="000000" w:themeColor="text1"/>
              </w:rPr>
              <w:t>Blagden, 1999</w:t>
            </w:r>
            <w:bookmarkEnd w:id="2099"/>
            <w:bookmarkEnd w:id="2100"/>
          </w:p>
          <w:p w14:paraId="501B2527"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p>
        </w:tc>
        <w:tc>
          <w:tcPr>
            <w:tcW w:w="1355" w:type="dxa"/>
            <w:tcMar>
              <w:top w:w="20" w:type="nil"/>
              <w:left w:w="20" w:type="nil"/>
              <w:bottom w:w="20" w:type="nil"/>
              <w:right w:w="20" w:type="nil"/>
            </w:tcMar>
          </w:tcPr>
          <w:p w14:paraId="431E274D" w14:textId="61E57D33" w:rsidR="00647246" w:rsidRPr="0098635C" w:rsidRDefault="00236182" w:rsidP="002C6F71">
            <w:pPr>
              <w:pStyle w:val="NoteLevel21"/>
              <w:keepNext w:val="0"/>
              <w:tabs>
                <w:tab w:val="clear" w:pos="720"/>
              </w:tabs>
              <w:ind w:left="0" w:firstLine="0"/>
              <w:rPr>
                <w:rFonts w:ascii="Times New Roman" w:hAnsi="Times New Roman" w:cs="Times New Roman"/>
                <w:color w:val="000000" w:themeColor="text1"/>
                <w:lang w:val="it-IT"/>
              </w:rPr>
            </w:pPr>
            <w:r w:rsidRPr="0098635C">
              <w:rPr>
                <w:rFonts w:ascii="Times New Roman" w:hAnsi="Times New Roman" w:cs="Times New Roman"/>
                <w:color w:val="000000" w:themeColor="text1"/>
                <w:lang w:val="it-IT"/>
              </w:rPr>
              <w:t>Copper (I) oxide</w:t>
            </w:r>
          </w:p>
          <w:p w14:paraId="76D69986"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it-IT"/>
              </w:rPr>
            </w:pPr>
            <w:bookmarkStart w:id="2101" w:name="_Toc472000412"/>
            <w:bookmarkStart w:id="2102" w:name="_Toc472251772"/>
            <w:r w:rsidRPr="0098635C">
              <w:rPr>
                <w:rFonts w:ascii="Times New Roman" w:hAnsi="Times New Roman" w:cs="Times New Roman"/>
                <w:color w:val="000000" w:themeColor="text1"/>
                <w:lang w:val="it-IT"/>
              </w:rPr>
              <w:t>Nordox Agro Grade</w:t>
            </w:r>
            <w:bookmarkEnd w:id="2101"/>
            <w:bookmarkEnd w:id="2102"/>
          </w:p>
        </w:tc>
        <w:tc>
          <w:tcPr>
            <w:tcW w:w="1979" w:type="dxa"/>
            <w:tcMar>
              <w:top w:w="20" w:type="nil"/>
              <w:left w:w="20" w:type="nil"/>
              <w:bottom w:w="20" w:type="nil"/>
              <w:right w:w="20" w:type="nil"/>
            </w:tcMar>
          </w:tcPr>
          <w:p w14:paraId="21CCA0BE"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103" w:name="_Toc472000413"/>
            <w:bookmarkStart w:id="2104" w:name="_Toc472251773"/>
            <w:r w:rsidRPr="0098635C">
              <w:rPr>
                <w:rFonts w:ascii="Times New Roman" w:hAnsi="Times New Roman" w:cs="Times New Roman"/>
                <w:color w:val="000000" w:themeColor="text1"/>
                <w:lang w:val="en-GB"/>
              </w:rPr>
              <w:t>OECD 403, nose only</w:t>
            </w:r>
            <w:bookmarkEnd w:id="2103"/>
            <w:bookmarkEnd w:id="2104"/>
          </w:p>
          <w:p w14:paraId="423F64A0"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105" w:name="_Toc472000414"/>
            <w:bookmarkStart w:id="2106" w:name="_Toc472251774"/>
            <w:r w:rsidRPr="0098635C">
              <w:rPr>
                <w:rFonts w:ascii="Times New Roman" w:hAnsi="Times New Roman" w:cs="Times New Roman"/>
                <w:color w:val="000000" w:themeColor="text1"/>
                <w:lang w:val="en-GB"/>
              </w:rPr>
              <w:t>Exposure duration: 4 hours.</w:t>
            </w:r>
            <w:bookmarkEnd w:id="2105"/>
            <w:bookmarkEnd w:id="2106"/>
          </w:p>
          <w:p w14:paraId="15043288"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107" w:name="_Toc472000415"/>
            <w:bookmarkStart w:id="2108" w:name="_Toc472251775"/>
            <w:r w:rsidRPr="0098635C">
              <w:rPr>
                <w:rFonts w:ascii="Times New Roman" w:hAnsi="Times New Roman" w:cs="Times New Roman"/>
                <w:color w:val="000000" w:themeColor="text1"/>
              </w:rPr>
              <w:t>Post exposure period: 14 days</w:t>
            </w:r>
            <w:bookmarkEnd w:id="2107"/>
            <w:bookmarkEnd w:id="2108"/>
          </w:p>
        </w:tc>
        <w:tc>
          <w:tcPr>
            <w:tcW w:w="2268" w:type="dxa"/>
          </w:tcPr>
          <w:p w14:paraId="5D134E2A"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109" w:name="_Toc472000416"/>
            <w:bookmarkStart w:id="2110" w:name="_Toc472251776"/>
            <w:r w:rsidRPr="0098635C">
              <w:rPr>
                <w:rFonts w:ascii="Times New Roman" w:hAnsi="Times New Roman" w:cs="Times New Roman"/>
                <w:color w:val="000000" w:themeColor="text1"/>
                <w:lang w:val="en-GB"/>
              </w:rPr>
              <w:t>Rat, Sprague-Dawley, male / female</w:t>
            </w:r>
            <w:bookmarkEnd w:id="2109"/>
            <w:bookmarkEnd w:id="2110"/>
            <w:r w:rsidRPr="0098635C">
              <w:rPr>
                <w:rFonts w:ascii="Times New Roman" w:hAnsi="Times New Roman" w:cs="Times New Roman"/>
                <w:color w:val="000000" w:themeColor="text1"/>
                <w:lang w:val="en-GB"/>
              </w:rPr>
              <w:t xml:space="preserve"> </w:t>
            </w:r>
          </w:p>
          <w:p w14:paraId="48AA9B64"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111" w:name="_Toc472000417"/>
            <w:bookmarkStart w:id="2112" w:name="_Toc472251777"/>
            <w:r w:rsidRPr="0098635C">
              <w:rPr>
                <w:rFonts w:ascii="Times New Roman" w:hAnsi="Times New Roman" w:cs="Times New Roman"/>
                <w:color w:val="000000" w:themeColor="text1"/>
                <w:lang w:val="en-GB"/>
              </w:rPr>
              <w:t>(10 animals per dose group, 5 males and 5 females).</w:t>
            </w:r>
            <w:bookmarkEnd w:id="2111"/>
            <w:bookmarkEnd w:id="2112"/>
          </w:p>
          <w:p w14:paraId="54182803"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p>
        </w:tc>
        <w:tc>
          <w:tcPr>
            <w:tcW w:w="4111" w:type="dxa"/>
          </w:tcPr>
          <w:p w14:paraId="3DC3EF61"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113" w:name="_Toc472000418"/>
            <w:bookmarkStart w:id="2114" w:name="_Toc472251778"/>
            <w:r w:rsidRPr="0098635C">
              <w:rPr>
                <w:rFonts w:ascii="Times New Roman" w:hAnsi="Times New Roman" w:cs="Times New Roman"/>
                <w:color w:val="000000" w:themeColor="text1"/>
                <w:lang w:val="en-GB"/>
              </w:rPr>
              <w:t>Group 1: Mean achieved 5.25 mg/l (SD 0.44); Nominal 12.2 mg/l.</w:t>
            </w:r>
            <w:bookmarkEnd w:id="2113"/>
            <w:bookmarkEnd w:id="2114"/>
          </w:p>
          <w:p w14:paraId="20C3327C"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115" w:name="_Toc472000419"/>
            <w:bookmarkStart w:id="2116" w:name="_Toc472251779"/>
            <w:r w:rsidRPr="0098635C">
              <w:rPr>
                <w:rFonts w:ascii="Times New Roman" w:hAnsi="Times New Roman" w:cs="Times New Roman"/>
                <w:color w:val="000000" w:themeColor="text1"/>
                <w:lang w:val="en-GB"/>
              </w:rPr>
              <w:t>Group 2: Mean achieved 2.37 mg/l (SD 0.42); Nominal 4.90 mg/l.</w:t>
            </w:r>
            <w:bookmarkEnd w:id="2115"/>
            <w:bookmarkEnd w:id="2116"/>
          </w:p>
          <w:p w14:paraId="7B747524"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117" w:name="_Toc472000420"/>
            <w:bookmarkStart w:id="2118" w:name="_Toc472251780"/>
            <w:r w:rsidRPr="0098635C">
              <w:rPr>
                <w:rFonts w:ascii="Times New Roman" w:hAnsi="Times New Roman" w:cs="Times New Roman"/>
                <w:color w:val="000000" w:themeColor="text1"/>
                <w:lang w:val="en-GB"/>
              </w:rPr>
              <w:t>Group 3: Mean achieved 1.28 mg/l (SD 0.36); Nominal 2.58 mg/l.</w:t>
            </w:r>
            <w:bookmarkEnd w:id="2117"/>
            <w:bookmarkEnd w:id="2118"/>
          </w:p>
        </w:tc>
        <w:tc>
          <w:tcPr>
            <w:tcW w:w="3119" w:type="dxa"/>
            <w:tcMar>
              <w:top w:w="20" w:type="nil"/>
              <w:left w:w="20" w:type="nil"/>
              <w:bottom w:w="20" w:type="nil"/>
              <w:right w:w="20" w:type="nil"/>
            </w:tcMar>
          </w:tcPr>
          <w:p w14:paraId="3DBEEBD3"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119" w:name="_Toc472000421"/>
            <w:bookmarkStart w:id="2120" w:name="_Toc472251781"/>
            <w:r w:rsidRPr="0098635C">
              <w:rPr>
                <w:rFonts w:ascii="Times New Roman" w:hAnsi="Times New Roman" w:cs="Times New Roman"/>
                <w:color w:val="000000" w:themeColor="text1"/>
                <w:lang w:val="en-GB"/>
              </w:rPr>
              <w:t>Male LC</w:t>
            </w:r>
            <w:r w:rsidRPr="0098635C">
              <w:rPr>
                <w:rFonts w:ascii="Times New Roman" w:hAnsi="Times New Roman" w:cs="Times New Roman"/>
                <w:color w:val="000000" w:themeColor="text1"/>
                <w:position w:val="-4"/>
                <w:lang w:val="en-GB"/>
              </w:rPr>
              <w:t>50</w:t>
            </w:r>
            <w:r w:rsidRPr="0098635C">
              <w:rPr>
                <w:rFonts w:ascii="Times New Roman" w:hAnsi="Times New Roman" w:cs="Times New Roman"/>
                <w:color w:val="000000" w:themeColor="text1"/>
                <w:lang w:val="en-GB"/>
              </w:rPr>
              <w:t>: 2.92 mg/l air. Female LC</w:t>
            </w:r>
            <w:r w:rsidRPr="0098635C">
              <w:rPr>
                <w:rFonts w:ascii="Times New Roman" w:hAnsi="Times New Roman" w:cs="Times New Roman"/>
                <w:color w:val="000000" w:themeColor="text1"/>
                <w:position w:val="-4"/>
                <w:lang w:val="en-GB"/>
              </w:rPr>
              <w:t>50</w:t>
            </w:r>
            <w:r w:rsidRPr="0098635C">
              <w:rPr>
                <w:rFonts w:ascii="Times New Roman" w:hAnsi="Times New Roman" w:cs="Times New Roman"/>
                <w:color w:val="000000" w:themeColor="text1"/>
                <w:lang w:val="en-GB"/>
              </w:rPr>
              <w:t>: 3.69 mg/l air. Male / female LC</w:t>
            </w:r>
            <w:r w:rsidRPr="0098635C">
              <w:rPr>
                <w:rFonts w:ascii="Times New Roman" w:hAnsi="Times New Roman" w:cs="Times New Roman"/>
                <w:color w:val="000000" w:themeColor="text1"/>
                <w:position w:val="-4"/>
                <w:lang w:val="en-GB"/>
              </w:rPr>
              <w:t>50</w:t>
            </w:r>
            <w:r w:rsidRPr="0098635C">
              <w:rPr>
                <w:rFonts w:ascii="Times New Roman" w:hAnsi="Times New Roman" w:cs="Times New Roman"/>
                <w:color w:val="000000" w:themeColor="text1"/>
                <w:lang w:val="en-GB"/>
              </w:rPr>
              <w:t>: 3.34mg/l air.</w:t>
            </w:r>
            <w:bookmarkEnd w:id="2119"/>
            <w:bookmarkEnd w:id="2120"/>
          </w:p>
          <w:p w14:paraId="6069E055"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p>
        </w:tc>
      </w:tr>
      <w:tr w:rsidR="00647246" w:rsidRPr="0098635C" w14:paraId="1201674D" w14:textId="77777777" w:rsidTr="00982513">
        <w:tc>
          <w:tcPr>
            <w:tcW w:w="1310" w:type="dxa"/>
            <w:tcMar>
              <w:top w:w="20" w:type="nil"/>
              <w:left w:w="20" w:type="nil"/>
              <w:bottom w:w="20" w:type="nil"/>
              <w:right w:w="20" w:type="nil"/>
            </w:tcMar>
          </w:tcPr>
          <w:p w14:paraId="3E7D93E7"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r w:rsidRPr="0098635C">
              <w:rPr>
                <w:rFonts w:ascii="Times New Roman" w:hAnsi="Times New Roman" w:cs="Times New Roman"/>
                <w:color w:val="000000" w:themeColor="text1"/>
                <w:lang w:val="en-GB"/>
              </w:rPr>
              <w:t xml:space="preserve"> </w:t>
            </w:r>
            <w:bookmarkStart w:id="2121" w:name="_Toc472000422"/>
            <w:bookmarkStart w:id="2122" w:name="_Toc472251782"/>
            <w:r w:rsidRPr="0098635C">
              <w:rPr>
                <w:rFonts w:ascii="Times New Roman" w:hAnsi="Times New Roman" w:cs="Times New Roman"/>
                <w:color w:val="000000" w:themeColor="text1"/>
              </w:rPr>
              <w:t>Dickhaus, 1988</w:t>
            </w:r>
            <w:bookmarkEnd w:id="2121"/>
            <w:bookmarkEnd w:id="2122"/>
          </w:p>
          <w:p w14:paraId="729FD8FC"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p>
          <w:p w14:paraId="7954341A"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p>
        </w:tc>
        <w:tc>
          <w:tcPr>
            <w:tcW w:w="1355" w:type="dxa"/>
            <w:tcMar>
              <w:top w:w="20" w:type="nil"/>
              <w:left w:w="20" w:type="nil"/>
              <w:bottom w:w="20" w:type="nil"/>
              <w:right w:w="20" w:type="nil"/>
            </w:tcMar>
          </w:tcPr>
          <w:p w14:paraId="2D48E5B9" w14:textId="3C00F561" w:rsidR="00647246" w:rsidRPr="0098635C" w:rsidRDefault="00236182" w:rsidP="002C6F71">
            <w:pPr>
              <w:pStyle w:val="NoteLevel21"/>
              <w:keepNext w:val="0"/>
              <w:tabs>
                <w:tab w:val="clear" w:pos="720"/>
              </w:tabs>
              <w:ind w:left="0" w:firstLine="0"/>
              <w:rPr>
                <w:rFonts w:ascii="Times New Roman" w:hAnsi="Times New Roman" w:cs="Times New Roman"/>
                <w:color w:val="000000" w:themeColor="text1"/>
              </w:rPr>
            </w:pPr>
            <w:bookmarkStart w:id="2123" w:name="_Toc472000423"/>
            <w:bookmarkStart w:id="2124" w:name="_Toc472251783"/>
            <w:r w:rsidRPr="0098635C">
              <w:rPr>
                <w:rFonts w:ascii="Times New Roman" w:hAnsi="Times New Roman" w:cs="Times New Roman"/>
                <w:color w:val="000000" w:themeColor="text1"/>
              </w:rPr>
              <w:t>Copper (I) oxide</w:t>
            </w:r>
            <w:r w:rsidR="00647246" w:rsidRPr="0098635C">
              <w:rPr>
                <w:rFonts w:ascii="Times New Roman" w:hAnsi="Times New Roman" w:cs="Times New Roman"/>
                <w:color w:val="000000" w:themeColor="text1"/>
              </w:rPr>
              <w:t>.</w:t>
            </w:r>
            <w:bookmarkEnd w:id="2123"/>
            <w:bookmarkEnd w:id="2124"/>
          </w:p>
          <w:p w14:paraId="60A1BB6D"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p>
        </w:tc>
        <w:tc>
          <w:tcPr>
            <w:tcW w:w="1979" w:type="dxa"/>
            <w:tcMar>
              <w:top w:w="20" w:type="nil"/>
              <w:left w:w="20" w:type="nil"/>
              <w:bottom w:w="20" w:type="nil"/>
              <w:right w:w="20" w:type="nil"/>
            </w:tcMar>
          </w:tcPr>
          <w:p w14:paraId="37A040E8"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125" w:name="_Toc472000424"/>
            <w:bookmarkStart w:id="2126" w:name="_Toc472251784"/>
            <w:r w:rsidRPr="0098635C">
              <w:rPr>
                <w:rFonts w:ascii="Times New Roman" w:hAnsi="Times New Roman" w:cs="Times New Roman"/>
                <w:color w:val="000000" w:themeColor="text1"/>
              </w:rPr>
              <w:t>OECD 403</w:t>
            </w:r>
            <w:bookmarkEnd w:id="2125"/>
            <w:bookmarkEnd w:id="2126"/>
            <w:r w:rsidRPr="0098635C">
              <w:rPr>
                <w:rFonts w:ascii="Times New Roman" w:hAnsi="Times New Roman" w:cs="Times New Roman"/>
                <w:color w:val="000000" w:themeColor="text1"/>
              </w:rPr>
              <w:t xml:space="preserve"> </w:t>
            </w:r>
          </w:p>
          <w:p w14:paraId="19E6C4DF"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127" w:name="_Toc472000425"/>
            <w:bookmarkStart w:id="2128" w:name="_Toc472251785"/>
            <w:r w:rsidRPr="0098635C">
              <w:rPr>
                <w:rFonts w:ascii="Times New Roman" w:hAnsi="Times New Roman" w:cs="Times New Roman"/>
                <w:color w:val="000000" w:themeColor="text1"/>
              </w:rPr>
              <w:t>Exposure duration: 4 hours.</w:t>
            </w:r>
            <w:bookmarkEnd w:id="2127"/>
            <w:bookmarkEnd w:id="2128"/>
          </w:p>
          <w:p w14:paraId="451B6884"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129" w:name="_Toc472000426"/>
            <w:bookmarkStart w:id="2130" w:name="_Toc472251786"/>
            <w:r w:rsidRPr="0098635C">
              <w:rPr>
                <w:rFonts w:ascii="Times New Roman" w:hAnsi="Times New Roman" w:cs="Times New Roman"/>
                <w:color w:val="000000" w:themeColor="text1"/>
              </w:rPr>
              <w:t>Post exposure period: 14 days</w:t>
            </w:r>
            <w:bookmarkEnd w:id="2129"/>
            <w:bookmarkEnd w:id="2130"/>
          </w:p>
        </w:tc>
        <w:tc>
          <w:tcPr>
            <w:tcW w:w="2268" w:type="dxa"/>
          </w:tcPr>
          <w:p w14:paraId="4785710F"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131" w:name="_Toc472000427"/>
            <w:bookmarkStart w:id="2132" w:name="_Toc472251787"/>
            <w:r w:rsidRPr="0098635C">
              <w:rPr>
                <w:rFonts w:ascii="Times New Roman" w:hAnsi="Times New Roman" w:cs="Times New Roman"/>
                <w:color w:val="000000" w:themeColor="text1"/>
                <w:lang w:val="en-GB"/>
              </w:rPr>
              <w:t>Rat, Wistar, male / female</w:t>
            </w:r>
            <w:bookmarkEnd w:id="2131"/>
            <w:bookmarkEnd w:id="2132"/>
            <w:r w:rsidRPr="0098635C">
              <w:rPr>
                <w:rFonts w:ascii="Times New Roman" w:hAnsi="Times New Roman" w:cs="Times New Roman"/>
                <w:color w:val="000000" w:themeColor="text1"/>
                <w:lang w:val="en-GB"/>
              </w:rPr>
              <w:t xml:space="preserve"> </w:t>
            </w:r>
          </w:p>
          <w:p w14:paraId="654F35DF"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133" w:name="_Toc472000428"/>
            <w:bookmarkStart w:id="2134" w:name="_Toc472251788"/>
            <w:r w:rsidRPr="0098635C">
              <w:rPr>
                <w:rFonts w:ascii="Times New Roman" w:hAnsi="Times New Roman" w:cs="Times New Roman"/>
                <w:color w:val="000000" w:themeColor="text1"/>
                <w:lang w:val="en-GB"/>
              </w:rPr>
              <w:t>(10 animals per dose group, 5 males and 5 females).</w:t>
            </w:r>
            <w:bookmarkEnd w:id="2133"/>
            <w:bookmarkEnd w:id="2134"/>
          </w:p>
        </w:tc>
        <w:tc>
          <w:tcPr>
            <w:tcW w:w="4111" w:type="dxa"/>
          </w:tcPr>
          <w:p w14:paraId="2AD29BA8"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135" w:name="_Toc472000429"/>
            <w:bookmarkStart w:id="2136" w:name="_Toc472251789"/>
            <w:r w:rsidRPr="0098635C">
              <w:rPr>
                <w:rFonts w:ascii="Times New Roman" w:hAnsi="Times New Roman" w:cs="Times New Roman"/>
                <w:color w:val="000000" w:themeColor="text1"/>
                <w:lang w:val="en-GB"/>
              </w:rPr>
              <w:t>Group 1 (powder) - 60g/h.</w:t>
            </w:r>
            <w:bookmarkEnd w:id="2135"/>
            <w:bookmarkEnd w:id="2136"/>
          </w:p>
          <w:p w14:paraId="6CAA483B"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137" w:name="_Toc472000430"/>
            <w:bookmarkStart w:id="2138" w:name="_Toc472251790"/>
            <w:r w:rsidRPr="0098635C">
              <w:rPr>
                <w:rFonts w:ascii="Times New Roman" w:hAnsi="Times New Roman" w:cs="Times New Roman"/>
                <w:color w:val="000000" w:themeColor="text1"/>
                <w:lang w:val="en-GB"/>
              </w:rPr>
              <w:t>Group 2 (suspension) - 60 ml/h at 10%.</w:t>
            </w:r>
            <w:bookmarkEnd w:id="2137"/>
            <w:bookmarkEnd w:id="2138"/>
          </w:p>
          <w:p w14:paraId="5BA1F538"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139" w:name="_Toc472000431"/>
            <w:bookmarkStart w:id="2140" w:name="_Toc472251791"/>
            <w:r w:rsidRPr="0098635C">
              <w:rPr>
                <w:rFonts w:ascii="Times New Roman" w:hAnsi="Times New Roman" w:cs="Times New Roman"/>
                <w:color w:val="000000" w:themeColor="text1"/>
                <w:lang w:val="en-GB"/>
              </w:rPr>
              <w:t>Group 3 (suspension) - 60 ml/h at 40%.</w:t>
            </w:r>
            <w:bookmarkEnd w:id="2139"/>
            <w:bookmarkEnd w:id="2140"/>
          </w:p>
          <w:p w14:paraId="6F4953DC"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141" w:name="_Toc472000432"/>
            <w:bookmarkStart w:id="2142" w:name="_Toc472251792"/>
            <w:r w:rsidRPr="0098635C">
              <w:rPr>
                <w:rFonts w:ascii="Times New Roman" w:hAnsi="Times New Roman" w:cs="Times New Roman"/>
                <w:color w:val="000000" w:themeColor="text1"/>
              </w:rPr>
              <w:t>Nominal concentrations: 30 mg/l.</w:t>
            </w:r>
            <w:bookmarkEnd w:id="2141"/>
            <w:bookmarkEnd w:id="2142"/>
          </w:p>
        </w:tc>
        <w:tc>
          <w:tcPr>
            <w:tcW w:w="3119" w:type="dxa"/>
            <w:tcMar>
              <w:top w:w="20" w:type="nil"/>
              <w:left w:w="20" w:type="nil"/>
              <w:bottom w:w="20" w:type="nil"/>
              <w:right w:w="20" w:type="nil"/>
            </w:tcMar>
          </w:tcPr>
          <w:p w14:paraId="6B231C0D"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143" w:name="_Toc472000433"/>
            <w:bookmarkStart w:id="2144" w:name="_Toc472251793"/>
            <w:r w:rsidRPr="0098635C">
              <w:rPr>
                <w:rFonts w:ascii="Times New Roman" w:hAnsi="Times New Roman" w:cs="Times New Roman"/>
                <w:color w:val="000000" w:themeColor="text1"/>
                <w:lang w:val="en-GB"/>
              </w:rPr>
              <w:t>Male / female LC</w:t>
            </w:r>
            <w:r w:rsidRPr="0098635C">
              <w:rPr>
                <w:rFonts w:ascii="Times New Roman" w:hAnsi="Times New Roman" w:cs="Times New Roman"/>
                <w:color w:val="000000" w:themeColor="text1"/>
                <w:position w:val="-4"/>
                <w:lang w:val="en-GB"/>
              </w:rPr>
              <w:t>50</w:t>
            </w:r>
            <w:r w:rsidRPr="0098635C">
              <w:rPr>
                <w:rFonts w:ascii="Times New Roman" w:hAnsi="Times New Roman" w:cs="Times New Roman"/>
                <w:color w:val="000000" w:themeColor="text1"/>
                <w:lang w:val="en-GB"/>
              </w:rPr>
              <w:t>: &gt; 30 mg/l air (nominal).</w:t>
            </w:r>
            <w:bookmarkEnd w:id="2143"/>
            <w:bookmarkEnd w:id="2144"/>
          </w:p>
          <w:p w14:paraId="3CF805C0"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p>
        </w:tc>
      </w:tr>
      <w:tr w:rsidR="00647246" w:rsidRPr="0098635C" w14:paraId="1147291B" w14:textId="77777777" w:rsidTr="00982513">
        <w:tc>
          <w:tcPr>
            <w:tcW w:w="1310" w:type="dxa"/>
            <w:tcMar>
              <w:top w:w="20" w:type="nil"/>
              <w:left w:w="20" w:type="nil"/>
              <w:bottom w:w="20" w:type="nil"/>
              <w:right w:w="20" w:type="nil"/>
            </w:tcMar>
          </w:tcPr>
          <w:p w14:paraId="5AE4B290"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145" w:name="_Toc472000434"/>
            <w:bookmarkStart w:id="2146" w:name="_Toc472251794"/>
            <w:r w:rsidRPr="0098635C">
              <w:rPr>
                <w:rFonts w:ascii="Times New Roman" w:hAnsi="Times New Roman" w:cs="Times New Roman"/>
                <w:color w:val="000000" w:themeColor="text1"/>
              </w:rPr>
              <w:t>Fulfs, 1990</w:t>
            </w:r>
            <w:bookmarkEnd w:id="2145"/>
            <w:bookmarkEnd w:id="2146"/>
          </w:p>
          <w:p w14:paraId="12A323FE"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p>
        </w:tc>
        <w:tc>
          <w:tcPr>
            <w:tcW w:w="1355" w:type="dxa"/>
            <w:tcMar>
              <w:top w:w="20" w:type="nil"/>
              <w:left w:w="20" w:type="nil"/>
              <w:bottom w:w="20" w:type="nil"/>
              <w:right w:w="20" w:type="nil"/>
            </w:tcMar>
          </w:tcPr>
          <w:p w14:paraId="3845A938" w14:textId="0BD25AA4" w:rsidR="00647246" w:rsidRPr="0098635C" w:rsidRDefault="00236182" w:rsidP="002C6F71">
            <w:pPr>
              <w:pStyle w:val="NoteLevel21"/>
              <w:keepNext w:val="0"/>
              <w:tabs>
                <w:tab w:val="clear" w:pos="720"/>
              </w:tabs>
              <w:ind w:left="0" w:firstLine="0"/>
              <w:rPr>
                <w:rFonts w:ascii="Times New Roman" w:hAnsi="Times New Roman" w:cs="Times New Roman"/>
                <w:color w:val="000000" w:themeColor="text1"/>
              </w:rPr>
            </w:pPr>
            <w:r w:rsidRPr="0098635C">
              <w:rPr>
                <w:rFonts w:ascii="Times New Roman" w:hAnsi="Times New Roman" w:cs="Times New Roman"/>
                <w:color w:val="000000" w:themeColor="text1"/>
              </w:rPr>
              <w:t>Copper (I) oxide</w:t>
            </w:r>
          </w:p>
          <w:p w14:paraId="6379AC66"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p>
        </w:tc>
        <w:tc>
          <w:tcPr>
            <w:tcW w:w="1979" w:type="dxa"/>
            <w:tcMar>
              <w:top w:w="20" w:type="nil"/>
              <w:left w:w="20" w:type="nil"/>
              <w:bottom w:w="20" w:type="nil"/>
              <w:right w:w="20" w:type="nil"/>
            </w:tcMar>
          </w:tcPr>
          <w:p w14:paraId="4DD7A3D7"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147" w:name="_Toc472000436"/>
            <w:bookmarkStart w:id="2148" w:name="_Toc472251796"/>
            <w:r w:rsidRPr="0098635C">
              <w:rPr>
                <w:rFonts w:ascii="Times New Roman" w:hAnsi="Times New Roman" w:cs="Times New Roman"/>
                <w:color w:val="000000" w:themeColor="text1"/>
              </w:rPr>
              <w:t>OECD 403</w:t>
            </w:r>
            <w:bookmarkEnd w:id="2147"/>
            <w:bookmarkEnd w:id="2148"/>
            <w:r w:rsidRPr="0098635C">
              <w:rPr>
                <w:rFonts w:ascii="Times New Roman" w:hAnsi="Times New Roman" w:cs="Times New Roman"/>
                <w:color w:val="000000" w:themeColor="text1"/>
              </w:rPr>
              <w:t xml:space="preserve"> </w:t>
            </w:r>
          </w:p>
          <w:p w14:paraId="64B54053"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149" w:name="_Toc472000437"/>
            <w:bookmarkStart w:id="2150" w:name="_Toc472251797"/>
            <w:r w:rsidRPr="0098635C">
              <w:rPr>
                <w:rFonts w:ascii="Times New Roman" w:hAnsi="Times New Roman" w:cs="Times New Roman"/>
                <w:color w:val="000000" w:themeColor="text1"/>
              </w:rPr>
              <w:t>Exposure duration: 4 hours.</w:t>
            </w:r>
            <w:bookmarkEnd w:id="2149"/>
            <w:bookmarkEnd w:id="2150"/>
          </w:p>
          <w:p w14:paraId="1871AC76"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151" w:name="_Toc472000438"/>
            <w:bookmarkStart w:id="2152" w:name="_Toc472251798"/>
            <w:r w:rsidRPr="0098635C">
              <w:rPr>
                <w:rFonts w:ascii="Times New Roman" w:hAnsi="Times New Roman" w:cs="Times New Roman"/>
                <w:color w:val="000000" w:themeColor="text1"/>
              </w:rPr>
              <w:t>Post exposure period: 14 days.</w:t>
            </w:r>
            <w:bookmarkEnd w:id="2151"/>
            <w:bookmarkEnd w:id="2152"/>
          </w:p>
        </w:tc>
        <w:tc>
          <w:tcPr>
            <w:tcW w:w="2268" w:type="dxa"/>
          </w:tcPr>
          <w:p w14:paraId="5BF1EB74"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153" w:name="_Toc472000439"/>
            <w:bookmarkStart w:id="2154" w:name="_Toc472251799"/>
            <w:r w:rsidRPr="0098635C">
              <w:rPr>
                <w:rFonts w:ascii="Times New Roman" w:hAnsi="Times New Roman" w:cs="Times New Roman"/>
                <w:color w:val="000000" w:themeColor="text1"/>
                <w:lang w:val="en-GB"/>
              </w:rPr>
              <w:t>Rat, Sprague-Dawley, 5 males and 5 females.</w:t>
            </w:r>
            <w:bookmarkEnd w:id="2153"/>
            <w:bookmarkEnd w:id="2154"/>
          </w:p>
        </w:tc>
        <w:tc>
          <w:tcPr>
            <w:tcW w:w="4111" w:type="dxa"/>
          </w:tcPr>
          <w:p w14:paraId="6AE2B102"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155" w:name="_Toc472000440"/>
            <w:bookmarkStart w:id="2156" w:name="_Toc472251800"/>
            <w:r w:rsidRPr="0098635C">
              <w:rPr>
                <w:rFonts w:ascii="Times New Roman" w:hAnsi="Times New Roman" w:cs="Times New Roman"/>
                <w:color w:val="000000" w:themeColor="text1"/>
                <w:lang w:val="en-GB"/>
              </w:rPr>
              <w:t>5.075 mg/l</w:t>
            </w:r>
            <w:bookmarkEnd w:id="2155"/>
            <w:bookmarkEnd w:id="2156"/>
            <w:r w:rsidRPr="0098635C">
              <w:rPr>
                <w:rFonts w:ascii="Times New Roman" w:hAnsi="Times New Roman" w:cs="Times New Roman"/>
                <w:color w:val="000000" w:themeColor="text1"/>
                <w:lang w:val="en-GB"/>
              </w:rPr>
              <w:t xml:space="preserve"> </w:t>
            </w:r>
          </w:p>
          <w:p w14:paraId="15AD7AD6"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157" w:name="_Toc472000441"/>
            <w:bookmarkStart w:id="2158" w:name="_Toc472251801"/>
            <w:r w:rsidRPr="0098635C">
              <w:rPr>
                <w:rFonts w:ascii="Times New Roman" w:hAnsi="Times New Roman" w:cs="Times New Roman"/>
                <w:color w:val="000000" w:themeColor="text1"/>
                <w:lang w:val="en-GB"/>
              </w:rPr>
              <w:t>(5 mg/l nominal).</w:t>
            </w:r>
            <w:bookmarkEnd w:id="2157"/>
            <w:bookmarkEnd w:id="2158"/>
          </w:p>
        </w:tc>
        <w:tc>
          <w:tcPr>
            <w:tcW w:w="3119" w:type="dxa"/>
            <w:tcMar>
              <w:top w:w="20" w:type="nil"/>
              <w:left w:w="20" w:type="nil"/>
              <w:bottom w:w="20" w:type="nil"/>
              <w:right w:w="20" w:type="nil"/>
            </w:tcMar>
          </w:tcPr>
          <w:p w14:paraId="3B4E26CE"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159" w:name="_Toc472000442"/>
            <w:bookmarkStart w:id="2160" w:name="_Toc472251802"/>
            <w:r w:rsidRPr="0098635C">
              <w:rPr>
                <w:rFonts w:ascii="Times New Roman" w:hAnsi="Times New Roman" w:cs="Times New Roman"/>
                <w:color w:val="000000" w:themeColor="text1"/>
                <w:lang w:val="en-GB"/>
              </w:rPr>
              <w:t>Male / female LC</w:t>
            </w:r>
            <w:r w:rsidRPr="0098635C">
              <w:rPr>
                <w:rFonts w:ascii="Times New Roman" w:hAnsi="Times New Roman" w:cs="Times New Roman"/>
                <w:color w:val="000000" w:themeColor="text1"/>
                <w:position w:val="-4"/>
                <w:lang w:val="en-GB"/>
              </w:rPr>
              <w:t>50</w:t>
            </w:r>
            <w:r w:rsidRPr="0098635C">
              <w:rPr>
                <w:rFonts w:ascii="Times New Roman" w:hAnsi="Times New Roman" w:cs="Times New Roman"/>
                <w:color w:val="000000" w:themeColor="text1"/>
                <w:lang w:val="en-GB"/>
              </w:rPr>
              <w:t>: &gt; 5mg/l air.</w:t>
            </w:r>
            <w:bookmarkEnd w:id="2159"/>
            <w:bookmarkEnd w:id="2160"/>
          </w:p>
          <w:p w14:paraId="4033761E"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p>
        </w:tc>
      </w:tr>
      <w:tr w:rsidR="00647246" w:rsidRPr="0098635C" w14:paraId="4FE7C73A" w14:textId="77777777" w:rsidTr="00982513">
        <w:tc>
          <w:tcPr>
            <w:tcW w:w="1310" w:type="dxa"/>
            <w:tcMar>
              <w:top w:w="20" w:type="nil"/>
              <w:left w:w="20" w:type="nil"/>
              <w:bottom w:w="20" w:type="nil"/>
              <w:right w:w="20" w:type="nil"/>
            </w:tcMar>
          </w:tcPr>
          <w:p w14:paraId="720099DE"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161" w:name="_Toc472000443"/>
            <w:bookmarkStart w:id="2162" w:name="_Toc472251803"/>
            <w:r w:rsidRPr="0098635C">
              <w:rPr>
                <w:rFonts w:ascii="Times New Roman" w:hAnsi="Times New Roman" w:cs="Times New Roman"/>
                <w:color w:val="000000" w:themeColor="text1"/>
              </w:rPr>
              <w:t>Greenough and McDonald, 1985a.</w:t>
            </w:r>
            <w:bookmarkEnd w:id="2161"/>
            <w:bookmarkEnd w:id="2162"/>
          </w:p>
          <w:p w14:paraId="1C1BC82C"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p>
        </w:tc>
        <w:tc>
          <w:tcPr>
            <w:tcW w:w="1355" w:type="dxa"/>
            <w:tcMar>
              <w:top w:w="20" w:type="nil"/>
              <w:left w:w="20" w:type="nil"/>
              <w:bottom w:w="20" w:type="nil"/>
              <w:right w:w="20" w:type="nil"/>
            </w:tcMar>
          </w:tcPr>
          <w:p w14:paraId="1A47CCB7" w14:textId="1FEBF53C" w:rsidR="00647246" w:rsidRPr="0098635C" w:rsidRDefault="00236182" w:rsidP="002C6F71">
            <w:pPr>
              <w:pStyle w:val="NoteLevel21"/>
              <w:keepNext w:val="0"/>
              <w:tabs>
                <w:tab w:val="clear" w:pos="720"/>
              </w:tabs>
              <w:ind w:left="0" w:firstLine="0"/>
              <w:rPr>
                <w:rFonts w:ascii="Times New Roman" w:hAnsi="Times New Roman" w:cs="Times New Roman"/>
                <w:color w:val="000000" w:themeColor="text1"/>
              </w:rPr>
            </w:pPr>
            <w:r w:rsidRPr="0098635C">
              <w:rPr>
                <w:rFonts w:ascii="Times New Roman" w:hAnsi="Times New Roman" w:cs="Times New Roman"/>
                <w:color w:val="000000" w:themeColor="text1"/>
              </w:rPr>
              <w:t>Copper (I) oxide</w:t>
            </w:r>
          </w:p>
          <w:p w14:paraId="4F85470C"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p>
        </w:tc>
        <w:tc>
          <w:tcPr>
            <w:tcW w:w="1979" w:type="dxa"/>
            <w:tcMar>
              <w:top w:w="20" w:type="nil"/>
              <w:left w:w="20" w:type="nil"/>
              <w:bottom w:w="20" w:type="nil"/>
              <w:right w:w="20" w:type="nil"/>
            </w:tcMar>
          </w:tcPr>
          <w:p w14:paraId="47036489"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163" w:name="_Toc472000445"/>
            <w:bookmarkStart w:id="2164" w:name="_Toc472251805"/>
            <w:r w:rsidRPr="0098635C">
              <w:rPr>
                <w:rFonts w:ascii="Times New Roman" w:hAnsi="Times New Roman" w:cs="Times New Roman"/>
                <w:color w:val="000000" w:themeColor="text1"/>
              </w:rPr>
              <w:t>OECD 403</w:t>
            </w:r>
            <w:bookmarkEnd w:id="2163"/>
            <w:bookmarkEnd w:id="2164"/>
            <w:r w:rsidRPr="0098635C">
              <w:rPr>
                <w:rFonts w:ascii="Times New Roman" w:hAnsi="Times New Roman" w:cs="Times New Roman"/>
                <w:color w:val="000000" w:themeColor="text1"/>
              </w:rPr>
              <w:t xml:space="preserve"> </w:t>
            </w:r>
          </w:p>
          <w:p w14:paraId="6834B90E"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165" w:name="_Toc472000446"/>
            <w:bookmarkStart w:id="2166" w:name="_Toc472251806"/>
            <w:r w:rsidRPr="0098635C">
              <w:rPr>
                <w:rFonts w:ascii="Times New Roman" w:hAnsi="Times New Roman" w:cs="Times New Roman"/>
                <w:color w:val="000000" w:themeColor="text1"/>
              </w:rPr>
              <w:t>Exposure duration: 4 hours.</w:t>
            </w:r>
            <w:bookmarkEnd w:id="2165"/>
            <w:bookmarkEnd w:id="2166"/>
          </w:p>
          <w:p w14:paraId="49AC2D65"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167" w:name="_Toc472000447"/>
            <w:bookmarkStart w:id="2168" w:name="_Toc472251807"/>
            <w:r w:rsidRPr="0098635C">
              <w:rPr>
                <w:rFonts w:ascii="Times New Roman" w:hAnsi="Times New Roman" w:cs="Times New Roman"/>
                <w:color w:val="000000" w:themeColor="text1"/>
              </w:rPr>
              <w:t>Post exposure period: 14 days.</w:t>
            </w:r>
            <w:bookmarkEnd w:id="2167"/>
            <w:bookmarkEnd w:id="2168"/>
          </w:p>
          <w:p w14:paraId="6D565754"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p>
        </w:tc>
        <w:tc>
          <w:tcPr>
            <w:tcW w:w="2268" w:type="dxa"/>
          </w:tcPr>
          <w:p w14:paraId="246110FA"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169" w:name="_Toc472000448"/>
            <w:bookmarkStart w:id="2170" w:name="_Toc472251808"/>
            <w:r w:rsidRPr="0098635C">
              <w:rPr>
                <w:rFonts w:ascii="Times New Roman" w:hAnsi="Times New Roman" w:cs="Times New Roman"/>
                <w:color w:val="000000" w:themeColor="text1"/>
                <w:lang w:val="en-GB"/>
              </w:rPr>
              <w:t>Rat, Sprague-Dawley, male / female</w:t>
            </w:r>
            <w:bookmarkEnd w:id="2169"/>
            <w:bookmarkEnd w:id="2170"/>
            <w:r w:rsidRPr="0098635C">
              <w:rPr>
                <w:rFonts w:ascii="Times New Roman" w:hAnsi="Times New Roman" w:cs="Times New Roman"/>
                <w:color w:val="000000" w:themeColor="text1"/>
                <w:lang w:val="en-GB"/>
              </w:rPr>
              <w:t xml:space="preserve"> </w:t>
            </w:r>
          </w:p>
          <w:p w14:paraId="3AD50A2E"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171" w:name="_Toc472000449"/>
            <w:bookmarkStart w:id="2172" w:name="_Toc472251809"/>
            <w:r w:rsidRPr="0098635C">
              <w:rPr>
                <w:rFonts w:ascii="Times New Roman" w:hAnsi="Times New Roman" w:cs="Times New Roman"/>
                <w:color w:val="000000" w:themeColor="text1"/>
                <w:lang w:val="en-GB"/>
              </w:rPr>
              <w:t>(5 males and 5 females).</w:t>
            </w:r>
            <w:bookmarkEnd w:id="2171"/>
            <w:bookmarkEnd w:id="2172"/>
          </w:p>
          <w:p w14:paraId="19F46BDE"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p>
        </w:tc>
        <w:tc>
          <w:tcPr>
            <w:tcW w:w="4111" w:type="dxa"/>
          </w:tcPr>
          <w:p w14:paraId="50DADF5E"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173" w:name="_Toc472000450"/>
            <w:bookmarkStart w:id="2174" w:name="_Toc472251810"/>
            <w:r w:rsidRPr="0098635C">
              <w:rPr>
                <w:rFonts w:ascii="Times New Roman" w:hAnsi="Times New Roman" w:cs="Times New Roman"/>
                <w:color w:val="000000" w:themeColor="text1"/>
              </w:rPr>
              <w:t>Nominal concentration = 15.02 mg/l</w:t>
            </w:r>
            <w:bookmarkEnd w:id="2173"/>
            <w:bookmarkEnd w:id="2174"/>
          </w:p>
          <w:p w14:paraId="77B7EA11"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175" w:name="_Toc472000451"/>
            <w:bookmarkStart w:id="2176" w:name="_Toc472251811"/>
            <w:r w:rsidRPr="0098635C">
              <w:rPr>
                <w:rFonts w:ascii="Times New Roman" w:hAnsi="Times New Roman" w:cs="Times New Roman"/>
                <w:color w:val="000000" w:themeColor="text1"/>
              </w:rPr>
              <w:t>Analytical concentration = 5.78 ± 0.94 mg/l</w:t>
            </w:r>
            <w:bookmarkEnd w:id="2175"/>
            <w:bookmarkEnd w:id="2176"/>
          </w:p>
          <w:p w14:paraId="659B94F8"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p>
        </w:tc>
        <w:tc>
          <w:tcPr>
            <w:tcW w:w="3119" w:type="dxa"/>
            <w:tcMar>
              <w:top w:w="20" w:type="nil"/>
              <w:left w:w="20" w:type="nil"/>
              <w:bottom w:w="20" w:type="nil"/>
              <w:right w:w="20" w:type="nil"/>
            </w:tcMar>
          </w:tcPr>
          <w:p w14:paraId="1CAEE59B"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177" w:name="_Toc472000452"/>
            <w:bookmarkStart w:id="2178" w:name="_Toc472251812"/>
            <w:r w:rsidRPr="0098635C">
              <w:rPr>
                <w:rFonts w:ascii="Times New Roman" w:hAnsi="Times New Roman" w:cs="Times New Roman"/>
                <w:color w:val="000000" w:themeColor="text1"/>
                <w:lang w:val="en-GB"/>
              </w:rPr>
              <w:t>Male / female LC</w:t>
            </w:r>
            <w:r w:rsidRPr="0098635C">
              <w:rPr>
                <w:rFonts w:ascii="Times New Roman" w:hAnsi="Times New Roman" w:cs="Times New Roman"/>
                <w:color w:val="000000" w:themeColor="text1"/>
                <w:position w:val="-4"/>
                <w:lang w:val="en-GB"/>
              </w:rPr>
              <w:t>50</w:t>
            </w:r>
            <w:r w:rsidRPr="0098635C">
              <w:rPr>
                <w:rFonts w:ascii="Times New Roman" w:hAnsi="Times New Roman" w:cs="Times New Roman"/>
                <w:color w:val="000000" w:themeColor="text1"/>
                <w:lang w:val="en-GB"/>
              </w:rPr>
              <w:t>: ca. 5mg/l air (analytical).</w:t>
            </w:r>
            <w:bookmarkEnd w:id="2177"/>
            <w:bookmarkEnd w:id="2178"/>
          </w:p>
          <w:p w14:paraId="7CAB3A48"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p>
        </w:tc>
      </w:tr>
      <w:tr w:rsidR="00647246" w:rsidRPr="0098635C" w14:paraId="569C26A1" w14:textId="77777777" w:rsidTr="00982513">
        <w:tc>
          <w:tcPr>
            <w:tcW w:w="1310" w:type="dxa"/>
            <w:tcMar>
              <w:top w:w="20" w:type="nil"/>
              <w:left w:w="20" w:type="nil"/>
              <w:bottom w:w="20" w:type="nil"/>
              <w:right w:w="20" w:type="nil"/>
            </w:tcMar>
          </w:tcPr>
          <w:p w14:paraId="09D2EBA4"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179" w:name="_Toc472000453"/>
            <w:bookmarkStart w:id="2180" w:name="_Toc472251813"/>
            <w:r w:rsidRPr="0098635C">
              <w:rPr>
                <w:rFonts w:ascii="Times New Roman" w:hAnsi="Times New Roman" w:cs="Times New Roman"/>
                <w:color w:val="000000" w:themeColor="text1"/>
              </w:rPr>
              <w:t>Greenough and McDonald, 1985b.</w:t>
            </w:r>
            <w:bookmarkEnd w:id="2179"/>
            <w:bookmarkEnd w:id="2180"/>
          </w:p>
          <w:p w14:paraId="7BA6B7CF"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p>
        </w:tc>
        <w:tc>
          <w:tcPr>
            <w:tcW w:w="1355" w:type="dxa"/>
            <w:tcMar>
              <w:top w:w="20" w:type="nil"/>
              <w:left w:w="20" w:type="nil"/>
              <w:bottom w:w="20" w:type="nil"/>
              <w:right w:w="20" w:type="nil"/>
            </w:tcMar>
          </w:tcPr>
          <w:p w14:paraId="35E74C07" w14:textId="3A2BC65B" w:rsidR="00647246" w:rsidRPr="0098635C" w:rsidRDefault="00236182" w:rsidP="002C6F71">
            <w:pPr>
              <w:pStyle w:val="NoteLevel21"/>
              <w:keepNext w:val="0"/>
              <w:tabs>
                <w:tab w:val="clear" w:pos="720"/>
              </w:tabs>
              <w:ind w:left="0" w:firstLine="0"/>
              <w:rPr>
                <w:rFonts w:ascii="Times New Roman" w:hAnsi="Times New Roman" w:cs="Times New Roman"/>
                <w:color w:val="000000" w:themeColor="text1"/>
              </w:rPr>
            </w:pPr>
            <w:bookmarkStart w:id="2181" w:name="_Toc472000454"/>
            <w:bookmarkStart w:id="2182" w:name="_Toc472251814"/>
            <w:r w:rsidRPr="0098635C">
              <w:rPr>
                <w:rFonts w:ascii="Times New Roman" w:hAnsi="Times New Roman" w:cs="Times New Roman"/>
                <w:color w:val="000000" w:themeColor="text1"/>
              </w:rPr>
              <w:t>Copper (I) oxide</w:t>
            </w:r>
            <w:r w:rsidR="00647246" w:rsidRPr="0098635C">
              <w:rPr>
                <w:rFonts w:ascii="Times New Roman" w:hAnsi="Times New Roman" w:cs="Times New Roman"/>
                <w:color w:val="000000" w:themeColor="text1"/>
              </w:rPr>
              <w:t>.</w:t>
            </w:r>
            <w:bookmarkEnd w:id="2181"/>
            <w:bookmarkEnd w:id="2182"/>
          </w:p>
          <w:p w14:paraId="055C89CE"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p>
        </w:tc>
        <w:tc>
          <w:tcPr>
            <w:tcW w:w="1979" w:type="dxa"/>
            <w:tcMar>
              <w:top w:w="20" w:type="nil"/>
              <w:left w:w="20" w:type="nil"/>
              <w:bottom w:w="20" w:type="nil"/>
              <w:right w:w="20" w:type="nil"/>
            </w:tcMar>
          </w:tcPr>
          <w:p w14:paraId="4A1F4E78"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183" w:name="_Toc472000455"/>
            <w:bookmarkStart w:id="2184" w:name="_Toc472251815"/>
            <w:r w:rsidRPr="0098635C">
              <w:rPr>
                <w:rFonts w:ascii="Times New Roman" w:hAnsi="Times New Roman" w:cs="Times New Roman"/>
                <w:color w:val="000000" w:themeColor="text1"/>
              </w:rPr>
              <w:t>OECD 403</w:t>
            </w:r>
            <w:bookmarkEnd w:id="2183"/>
            <w:bookmarkEnd w:id="2184"/>
            <w:r w:rsidRPr="0098635C">
              <w:rPr>
                <w:rFonts w:ascii="Times New Roman" w:hAnsi="Times New Roman" w:cs="Times New Roman"/>
                <w:color w:val="000000" w:themeColor="text1"/>
              </w:rPr>
              <w:t xml:space="preserve"> </w:t>
            </w:r>
          </w:p>
          <w:p w14:paraId="2E1238FF"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185" w:name="_Toc472000456"/>
            <w:bookmarkStart w:id="2186" w:name="_Toc472251816"/>
            <w:r w:rsidRPr="0098635C">
              <w:rPr>
                <w:rFonts w:ascii="Times New Roman" w:hAnsi="Times New Roman" w:cs="Times New Roman"/>
                <w:color w:val="000000" w:themeColor="text1"/>
              </w:rPr>
              <w:t>Exposure duration: 4 hours.</w:t>
            </w:r>
            <w:bookmarkEnd w:id="2185"/>
            <w:bookmarkEnd w:id="2186"/>
          </w:p>
          <w:p w14:paraId="0C215B97"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187" w:name="_Toc472000457"/>
            <w:bookmarkStart w:id="2188" w:name="_Toc472251817"/>
            <w:r w:rsidRPr="0098635C">
              <w:rPr>
                <w:rFonts w:ascii="Times New Roman" w:hAnsi="Times New Roman" w:cs="Times New Roman"/>
                <w:color w:val="000000" w:themeColor="text1"/>
              </w:rPr>
              <w:t>Post exposure period: 14 days.</w:t>
            </w:r>
            <w:bookmarkEnd w:id="2187"/>
            <w:bookmarkEnd w:id="2188"/>
          </w:p>
        </w:tc>
        <w:tc>
          <w:tcPr>
            <w:tcW w:w="2268" w:type="dxa"/>
          </w:tcPr>
          <w:p w14:paraId="76C3783C"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189" w:name="_Toc472000458"/>
            <w:bookmarkStart w:id="2190" w:name="_Toc472251818"/>
            <w:r w:rsidRPr="0098635C">
              <w:rPr>
                <w:rFonts w:ascii="Times New Roman" w:hAnsi="Times New Roman" w:cs="Times New Roman"/>
                <w:color w:val="000000" w:themeColor="text1"/>
                <w:lang w:val="en-GB"/>
              </w:rPr>
              <w:t>Rat, Sprague-Dawley, male / female</w:t>
            </w:r>
            <w:bookmarkEnd w:id="2189"/>
            <w:bookmarkEnd w:id="2190"/>
          </w:p>
          <w:p w14:paraId="43E88178"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191" w:name="_Toc472000459"/>
            <w:bookmarkStart w:id="2192" w:name="_Toc472251819"/>
            <w:r w:rsidRPr="0098635C">
              <w:rPr>
                <w:rFonts w:ascii="Times New Roman" w:hAnsi="Times New Roman" w:cs="Times New Roman"/>
                <w:color w:val="000000" w:themeColor="text1"/>
                <w:lang w:val="en-GB"/>
              </w:rPr>
              <w:t>(5 males and 5 females).</w:t>
            </w:r>
            <w:bookmarkEnd w:id="2191"/>
            <w:bookmarkEnd w:id="2192"/>
          </w:p>
          <w:p w14:paraId="49BBB32F"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p>
        </w:tc>
        <w:tc>
          <w:tcPr>
            <w:tcW w:w="4111" w:type="dxa"/>
          </w:tcPr>
          <w:p w14:paraId="40D5DCB4"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193" w:name="_Toc472000460"/>
            <w:bookmarkStart w:id="2194" w:name="_Toc472251820"/>
            <w:r w:rsidRPr="0098635C">
              <w:rPr>
                <w:rFonts w:ascii="Times New Roman" w:hAnsi="Times New Roman" w:cs="Times New Roman"/>
                <w:color w:val="000000" w:themeColor="text1"/>
                <w:lang w:val="en-GB"/>
              </w:rPr>
              <w:t>Group 1: 20.10 mg/ml (nominal), 5.09 mg/l (analytical).</w:t>
            </w:r>
            <w:bookmarkEnd w:id="2193"/>
            <w:bookmarkEnd w:id="2194"/>
          </w:p>
          <w:p w14:paraId="6780BBEE"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195" w:name="_Toc472000461"/>
            <w:bookmarkStart w:id="2196" w:name="_Toc472251821"/>
            <w:r w:rsidRPr="0098635C">
              <w:rPr>
                <w:rFonts w:ascii="Times New Roman" w:hAnsi="Times New Roman" w:cs="Times New Roman"/>
                <w:color w:val="000000" w:themeColor="text1"/>
                <w:lang w:val="en-GB"/>
              </w:rPr>
              <w:t>Group 2: 11.53 mg/ml (nominal), 3.45 mg/l (analytical).</w:t>
            </w:r>
            <w:bookmarkEnd w:id="2195"/>
            <w:bookmarkEnd w:id="2196"/>
          </w:p>
          <w:p w14:paraId="50B691CC"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197" w:name="_Toc472000462"/>
            <w:bookmarkStart w:id="2198" w:name="_Toc472251822"/>
            <w:r w:rsidRPr="0098635C">
              <w:rPr>
                <w:rFonts w:ascii="Times New Roman" w:hAnsi="Times New Roman" w:cs="Times New Roman"/>
                <w:color w:val="000000" w:themeColor="text1"/>
                <w:lang w:val="en-GB"/>
              </w:rPr>
              <w:t>Group 3: 12.54 mg/ml (nominal), 4.43 mg/l (analytical).</w:t>
            </w:r>
            <w:bookmarkEnd w:id="2197"/>
            <w:bookmarkEnd w:id="2198"/>
          </w:p>
        </w:tc>
        <w:tc>
          <w:tcPr>
            <w:tcW w:w="3119" w:type="dxa"/>
            <w:tcMar>
              <w:top w:w="20" w:type="nil"/>
              <w:left w:w="20" w:type="nil"/>
              <w:bottom w:w="20" w:type="nil"/>
              <w:right w:w="20" w:type="nil"/>
            </w:tcMar>
          </w:tcPr>
          <w:p w14:paraId="07040E03"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199" w:name="_Toc472000463"/>
            <w:bookmarkStart w:id="2200" w:name="_Toc472251823"/>
            <w:r w:rsidRPr="0098635C">
              <w:rPr>
                <w:rFonts w:ascii="Times New Roman" w:hAnsi="Times New Roman" w:cs="Times New Roman"/>
                <w:color w:val="000000" w:themeColor="text1"/>
                <w:lang w:val="en-GB"/>
              </w:rPr>
              <w:t>Male / female LC</w:t>
            </w:r>
            <w:r w:rsidRPr="0098635C">
              <w:rPr>
                <w:rFonts w:ascii="Times New Roman" w:hAnsi="Times New Roman" w:cs="Times New Roman"/>
                <w:color w:val="000000" w:themeColor="text1"/>
                <w:position w:val="-4"/>
                <w:lang w:val="en-GB"/>
              </w:rPr>
              <w:t>50</w:t>
            </w:r>
            <w:r w:rsidRPr="0098635C">
              <w:rPr>
                <w:rFonts w:ascii="Times New Roman" w:hAnsi="Times New Roman" w:cs="Times New Roman"/>
                <w:color w:val="000000" w:themeColor="text1"/>
                <w:lang w:val="en-GB"/>
              </w:rPr>
              <w:t>: 5.63mg/l air.</w:t>
            </w:r>
            <w:bookmarkEnd w:id="2199"/>
            <w:bookmarkEnd w:id="2200"/>
          </w:p>
          <w:p w14:paraId="419A46D5"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p>
        </w:tc>
      </w:tr>
      <w:tr w:rsidR="00647246" w:rsidRPr="0098635C" w14:paraId="0F2A8D13" w14:textId="77777777" w:rsidTr="00982513">
        <w:tc>
          <w:tcPr>
            <w:tcW w:w="1310" w:type="dxa"/>
            <w:tcMar>
              <w:top w:w="20" w:type="nil"/>
              <w:left w:w="20" w:type="nil"/>
              <w:bottom w:w="20" w:type="nil"/>
              <w:right w:w="20" w:type="nil"/>
            </w:tcMar>
          </w:tcPr>
          <w:p w14:paraId="3F82D2BE"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201" w:name="_Toc472000464"/>
            <w:bookmarkStart w:id="2202" w:name="_Toc472251824"/>
            <w:r w:rsidRPr="0098635C">
              <w:rPr>
                <w:rFonts w:ascii="Times New Roman" w:hAnsi="Times New Roman" w:cs="Times New Roman"/>
                <w:color w:val="000000" w:themeColor="text1"/>
              </w:rPr>
              <w:t>Wesson, CM, 2003</w:t>
            </w:r>
            <w:bookmarkEnd w:id="2201"/>
            <w:bookmarkEnd w:id="2202"/>
          </w:p>
          <w:p w14:paraId="18DB9E37"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p>
        </w:tc>
        <w:tc>
          <w:tcPr>
            <w:tcW w:w="1355" w:type="dxa"/>
            <w:tcMar>
              <w:top w:w="20" w:type="nil"/>
              <w:left w:w="20" w:type="nil"/>
              <w:bottom w:w="20" w:type="nil"/>
              <w:right w:w="20" w:type="nil"/>
            </w:tcMar>
          </w:tcPr>
          <w:p w14:paraId="17E8516E"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203" w:name="_Toc472000465"/>
            <w:bookmarkStart w:id="2204" w:name="_Toc472251825"/>
            <w:r w:rsidRPr="0098635C">
              <w:rPr>
                <w:rFonts w:ascii="Times New Roman" w:hAnsi="Times New Roman" w:cs="Times New Roman"/>
                <w:color w:val="000000" w:themeColor="text1"/>
              </w:rPr>
              <w:t>dicopper chloride trihydroxide</w:t>
            </w:r>
            <w:bookmarkEnd w:id="2203"/>
            <w:bookmarkEnd w:id="2204"/>
          </w:p>
          <w:p w14:paraId="46889791"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p>
        </w:tc>
        <w:tc>
          <w:tcPr>
            <w:tcW w:w="1979" w:type="dxa"/>
            <w:tcMar>
              <w:top w:w="20" w:type="nil"/>
              <w:left w:w="20" w:type="nil"/>
              <w:bottom w:w="20" w:type="nil"/>
              <w:right w:w="20" w:type="nil"/>
            </w:tcMar>
          </w:tcPr>
          <w:p w14:paraId="012B6EC5"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205" w:name="_Toc472000466"/>
            <w:bookmarkStart w:id="2206" w:name="_Toc472251826"/>
            <w:r w:rsidRPr="0098635C">
              <w:rPr>
                <w:rFonts w:ascii="Times New Roman" w:hAnsi="Times New Roman" w:cs="Times New Roman"/>
                <w:color w:val="000000" w:themeColor="text1"/>
                <w:lang w:val="en-GB"/>
              </w:rPr>
              <w:t>inhalation: dust (nose only)</w:t>
            </w:r>
            <w:bookmarkEnd w:id="2205"/>
            <w:bookmarkEnd w:id="2206"/>
          </w:p>
          <w:p w14:paraId="7A452DEA"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207" w:name="_Toc472000467"/>
            <w:bookmarkStart w:id="2208" w:name="_Toc472251827"/>
            <w:r w:rsidRPr="0098635C">
              <w:rPr>
                <w:rFonts w:ascii="Times New Roman" w:hAnsi="Times New Roman" w:cs="Times New Roman"/>
                <w:color w:val="000000" w:themeColor="text1"/>
                <w:lang w:val="en-GB"/>
              </w:rPr>
              <w:t xml:space="preserve">EU Method B.2 </w:t>
            </w:r>
            <w:r w:rsidRPr="0098635C">
              <w:rPr>
                <w:rFonts w:ascii="Times New Roman" w:hAnsi="Times New Roman" w:cs="Times New Roman"/>
                <w:color w:val="000000" w:themeColor="text1"/>
                <w:lang w:val="en-GB"/>
              </w:rPr>
              <w:lastRenderedPageBreak/>
              <w:t>(Acute Toxicity (Inhalation))</w:t>
            </w:r>
            <w:bookmarkEnd w:id="2207"/>
            <w:bookmarkEnd w:id="2208"/>
          </w:p>
          <w:p w14:paraId="4AFF6C9C"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209" w:name="_Toc472000468"/>
            <w:bookmarkStart w:id="2210" w:name="_Toc472251828"/>
            <w:r w:rsidRPr="0098635C">
              <w:rPr>
                <w:rFonts w:ascii="Times New Roman" w:hAnsi="Times New Roman" w:cs="Times New Roman"/>
                <w:color w:val="000000" w:themeColor="text1"/>
                <w:lang w:val="en-GB"/>
              </w:rPr>
              <w:t>OECD Guidance 403 (Acute Inhalation Toxicity)</w:t>
            </w:r>
            <w:bookmarkEnd w:id="2209"/>
            <w:bookmarkEnd w:id="2210"/>
          </w:p>
        </w:tc>
        <w:tc>
          <w:tcPr>
            <w:tcW w:w="2268" w:type="dxa"/>
          </w:tcPr>
          <w:p w14:paraId="43F672C4"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211" w:name="_Toc472000469"/>
            <w:bookmarkStart w:id="2212" w:name="_Toc472251829"/>
            <w:r w:rsidRPr="0098635C">
              <w:rPr>
                <w:rFonts w:ascii="Times New Roman" w:hAnsi="Times New Roman" w:cs="Times New Roman"/>
                <w:color w:val="000000" w:themeColor="text1"/>
                <w:lang w:val="en-GB"/>
              </w:rPr>
              <w:lastRenderedPageBreak/>
              <w:t>rat (Crl:CD (SD) IGS BR) male/female</w:t>
            </w:r>
            <w:bookmarkEnd w:id="2211"/>
            <w:bookmarkEnd w:id="2212"/>
          </w:p>
          <w:p w14:paraId="609D97BA"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p>
        </w:tc>
        <w:tc>
          <w:tcPr>
            <w:tcW w:w="4111" w:type="dxa"/>
          </w:tcPr>
          <w:p w14:paraId="18D2A233"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p>
        </w:tc>
        <w:tc>
          <w:tcPr>
            <w:tcW w:w="3119" w:type="dxa"/>
            <w:tcMar>
              <w:top w:w="20" w:type="nil"/>
              <w:left w:w="20" w:type="nil"/>
              <w:bottom w:w="20" w:type="nil"/>
              <w:right w:w="20" w:type="nil"/>
            </w:tcMar>
          </w:tcPr>
          <w:p w14:paraId="63A53A05"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213" w:name="_Toc472000470"/>
            <w:bookmarkStart w:id="2214" w:name="_Toc472251830"/>
            <w:r w:rsidRPr="0098635C">
              <w:rPr>
                <w:rFonts w:ascii="Times New Roman" w:hAnsi="Times New Roman" w:cs="Times New Roman"/>
                <w:color w:val="000000" w:themeColor="text1"/>
                <w:lang w:val="en-GB"/>
              </w:rPr>
              <w:t>LC50 (4 h): 2.83 mg/L air (male) based on: test mat.</w:t>
            </w:r>
            <w:bookmarkEnd w:id="2213"/>
            <w:bookmarkEnd w:id="2214"/>
          </w:p>
          <w:p w14:paraId="54AFB432"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215" w:name="_Toc472000471"/>
            <w:bookmarkStart w:id="2216" w:name="_Toc472251831"/>
            <w:r w:rsidRPr="0098635C">
              <w:rPr>
                <w:rFonts w:ascii="Times New Roman" w:hAnsi="Times New Roman" w:cs="Times New Roman"/>
                <w:color w:val="000000" w:themeColor="text1"/>
                <w:lang w:val="en-GB"/>
              </w:rPr>
              <w:t>LC50 (4 h): &gt; 2.77 mg/L air (female) based on: test mat.</w:t>
            </w:r>
            <w:bookmarkEnd w:id="2215"/>
            <w:bookmarkEnd w:id="2216"/>
          </w:p>
          <w:p w14:paraId="73A0CEF5"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217" w:name="_Toc472000472"/>
            <w:bookmarkStart w:id="2218" w:name="_Toc472251832"/>
            <w:r w:rsidRPr="0098635C">
              <w:rPr>
                <w:rFonts w:ascii="Times New Roman" w:hAnsi="Times New Roman" w:cs="Times New Roman"/>
                <w:color w:val="000000" w:themeColor="text1"/>
                <w:lang w:val="en-GB"/>
              </w:rPr>
              <w:lastRenderedPageBreak/>
              <w:t>LC50 (4 h): 4.74 mg/L air (male/female) based on: test mat.</w:t>
            </w:r>
            <w:bookmarkEnd w:id="2217"/>
            <w:bookmarkEnd w:id="2218"/>
          </w:p>
          <w:p w14:paraId="7B308350"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p>
        </w:tc>
      </w:tr>
      <w:tr w:rsidR="00647246" w:rsidRPr="0098635C" w14:paraId="192084B0" w14:textId="77777777" w:rsidTr="00982513">
        <w:tc>
          <w:tcPr>
            <w:tcW w:w="1310" w:type="dxa"/>
            <w:tcMar>
              <w:top w:w="20" w:type="nil"/>
              <w:left w:w="20" w:type="nil"/>
              <w:bottom w:w="20" w:type="nil"/>
              <w:right w:w="20" w:type="nil"/>
            </w:tcMar>
          </w:tcPr>
          <w:p w14:paraId="6E72D2DD"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219" w:name="_Toc472000473"/>
            <w:bookmarkStart w:id="2220" w:name="_Toc472251833"/>
            <w:r w:rsidRPr="0098635C">
              <w:rPr>
                <w:rFonts w:ascii="Times New Roman" w:hAnsi="Times New Roman" w:cs="Times New Roman"/>
                <w:color w:val="000000" w:themeColor="text1"/>
              </w:rPr>
              <w:t>Holbert, MS, 1993</w:t>
            </w:r>
            <w:bookmarkEnd w:id="2219"/>
            <w:bookmarkEnd w:id="2220"/>
          </w:p>
          <w:p w14:paraId="461054A2"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p>
        </w:tc>
        <w:tc>
          <w:tcPr>
            <w:tcW w:w="1355" w:type="dxa"/>
            <w:tcMar>
              <w:top w:w="20" w:type="nil"/>
              <w:left w:w="20" w:type="nil"/>
              <w:bottom w:w="20" w:type="nil"/>
              <w:right w:w="20" w:type="nil"/>
            </w:tcMar>
          </w:tcPr>
          <w:p w14:paraId="354002BC"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221" w:name="_Toc472000474"/>
            <w:bookmarkStart w:id="2222" w:name="_Toc472251834"/>
            <w:r w:rsidRPr="0098635C">
              <w:rPr>
                <w:rFonts w:ascii="Times New Roman" w:hAnsi="Times New Roman" w:cs="Times New Roman"/>
                <w:color w:val="000000" w:themeColor="text1"/>
              </w:rPr>
              <w:t>dicopper chloride trihydroxide</w:t>
            </w:r>
            <w:bookmarkEnd w:id="2221"/>
            <w:bookmarkEnd w:id="2222"/>
          </w:p>
          <w:p w14:paraId="73B5BC3D"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p>
        </w:tc>
        <w:tc>
          <w:tcPr>
            <w:tcW w:w="1979" w:type="dxa"/>
            <w:tcMar>
              <w:top w:w="20" w:type="nil"/>
              <w:left w:w="20" w:type="nil"/>
              <w:bottom w:w="20" w:type="nil"/>
              <w:right w:w="20" w:type="nil"/>
            </w:tcMar>
          </w:tcPr>
          <w:p w14:paraId="1E03571D"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223" w:name="_Toc472000475"/>
            <w:bookmarkStart w:id="2224" w:name="_Toc472251835"/>
            <w:r w:rsidRPr="0098635C">
              <w:rPr>
                <w:rFonts w:ascii="Times New Roman" w:hAnsi="Times New Roman" w:cs="Times New Roman"/>
                <w:color w:val="000000" w:themeColor="text1"/>
                <w:lang w:val="en-GB"/>
              </w:rPr>
              <w:t>inhalation: dust (whole body)</w:t>
            </w:r>
            <w:bookmarkEnd w:id="2223"/>
            <w:bookmarkEnd w:id="2224"/>
          </w:p>
          <w:p w14:paraId="0131BD32"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225" w:name="_Toc472000476"/>
            <w:bookmarkStart w:id="2226" w:name="_Toc472251836"/>
            <w:r w:rsidRPr="0098635C">
              <w:rPr>
                <w:rFonts w:ascii="Times New Roman" w:hAnsi="Times New Roman" w:cs="Times New Roman"/>
                <w:color w:val="000000" w:themeColor="text1"/>
                <w:lang w:val="en-GB"/>
              </w:rPr>
              <w:t>US Department of Transport 49 CFR 173.132</w:t>
            </w:r>
            <w:bookmarkEnd w:id="2225"/>
            <w:bookmarkEnd w:id="2226"/>
          </w:p>
        </w:tc>
        <w:tc>
          <w:tcPr>
            <w:tcW w:w="2268" w:type="dxa"/>
          </w:tcPr>
          <w:p w14:paraId="6C33C97B"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227" w:name="_Toc472000477"/>
            <w:bookmarkStart w:id="2228" w:name="_Toc472251837"/>
            <w:r w:rsidRPr="0098635C">
              <w:rPr>
                <w:rFonts w:ascii="Times New Roman" w:hAnsi="Times New Roman" w:cs="Times New Roman"/>
                <w:color w:val="000000" w:themeColor="text1"/>
              </w:rPr>
              <w:t>rat (HSD:SD) male/female</w:t>
            </w:r>
            <w:bookmarkEnd w:id="2227"/>
            <w:bookmarkEnd w:id="2228"/>
          </w:p>
          <w:p w14:paraId="19C554DF"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p>
        </w:tc>
        <w:tc>
          <w:tcPr>
            <w:tcW w:w="4111" w:type="dxa"/>
          </w:tcPr>
          <w:p w14:paraId="42559E4B"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p>
        </w:tc>
        <w:tc>
          <w:tcPr>
            <w:tcW w:w="3119" w:type="dxa"/>
            <w:tcMar>
              <w:top w:w="20" w:type="nil"/>
              <w:left w:w="20" w:type="nil"/>
              <w:bottom w:w="20" w:type="nil"/>
              <w:right w:w="20" w:type="nil"/>
            </w:tcMar>
          </w:tcPr>
          <w:p w14:paraId="69A66E52"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229" w:name="_Toc472000478"/>
            <w:bookmarkStart w:id="2230" w:name="_Toc472251838"/>
            <w:r w:rsidRPr="0098635C">
              <w:rPr>
                <w:rFonts w:ascii="Times New Roman" w:hAnsi="Times New Roman" w:cs="Times New Roman"/>
                <w:color w:val="000000" w:themeColor="text1"/>
                <w:lang w:val="en-GB"/>
              </w:rPr>
              <w:t>LC50 (1 h): &gt; 11.4 mg/L air (male/female) based on: test mat.</w:t>
            </w:r>
            <w:bookmarkEnd w:id="2229"/>
            <w:bookmarkEnd w:id="2230"/>
          </w:p>
          <w:p w14:paraId="30E34024"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p>
        </w:tc>
      </w:tr>
      <w:tr w:rsidR="00647246" w:rsidRPr="0098635C" w14:paraId="6B882C61" w14:textId="77777777" w:rsidTr="00982513">
        <w:tc>
          <w:tcPr>
            <w:tcW w:w="1310" w:type="dxa"/>
            <w:tcMar>
              <w:top w:w="20" w:type="nil"/>
              <w:left w:w="20" w:type="nil"/>
              <w:bottom w:w="20" w:type="nil"/>
              <w:right w:w="20" w:type="nil"/>
            </w:tcMar>
          </w:tcPr>
          <w:p w14:paraId="0F8F2517"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231" w:name="_Toc472000479"/>
            <w:bookmarkStart w:id="2232" w:name="_Toc472251839"/>
            <w:r w:rsidRPr="0098635C">
              <w:rPr>
                <w:rFonts w:ascii="Times New Roman" w:hAnsi="Times New Roman" w:cs="Times New Roman"/>
                <w:color w:val="000000" w:themeColor="text1"/>
              </w:rPr>
              <w:t>Leuschner J, 2011</w:t>
            </w:r>
            <w:bookmarkEnd w:id="2231"/>
            <w:bookmarkEnd w:id="2232"/>
          </w:p>
        </w:tc>
        <w:tc>
          <w:tcPr>
            <w:tcW w:w="1355" w:type="dxa"/>
            <w:tcMar>
              <w:top w:w="20" w:type="nil"/>
              <w:left w:w="20" w:type="nil"/>
              <w:bottom w:w="20" w:type="nil"/>
              <w:right w:w="20" w:type="nil"/>
            </w:tcMar>
          </w:tcPr>
          <w:p w14:paraId="549C6DCD"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233" w:name="_Toc472000480"/>
            <w:bookmarkStart w:id="2234" w:name="_Toc472251840"/>
            <w:r w:rsidRPr="0098635C">
              <w:rPr>
                <w:rFonts w:ascii="Times New Roman" w:hAnsi="Times New Roman" w:cs="Times New Roman"/>
                <w:color w:val="000000" w:themeColor="text1"/>
              </w:rPr>
              <w:t>Coated copper flakes</w:t>
            </w:r>
            <w:bookmarkEnd w:id="2233"/>
            <w:bookmarkEnd w:id="2234"/>
          </w:p>
        </w:tc>
        <w:tc>
          <w:tcPr>
            <w:tcW w:w="1979" w:type="dxa"/>
            <w:tcMar>
              <w:top w:w="20" w:type="nil"/>
              <w:left w:w="20" w:type="nil"/>
              <w:bottom w:w="20" w:type="nil"/>
              <w:right w:w="20" w:type="nil"/>
            </w:tcMar>
          </w:tcPr>
          <w:p w14:paraId="102D40F8"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235" w:name="_Toc472000481"/>
            <w:bookmarkStart w:id="2236" w:name="_Toc472251841"/>
            <w:r w:rsidRPr="0098635C">
              <w:rPr>
                <w:rFonts w:ascii="Times New Roman" w:hAnsi="Times New Roman" w:cs="Times New Roman"/>
                <w:color w:val="000000" w:themeColor="text1"/>
              </w:rPr>
              <w:t>Inhalation: nose only</w:t>
            </w:r>
            <w:bookmarkEnd w:id="2235"/>
            <w:bookmarkEnd w:id="2236"/>
          </w:p>
          <w:p w14:paraId="332233D3"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237" w:name="_Toc472000482"/>
            <w:bookmarkStart w:id="2238" w:name="_Toc472251842"/>
            <w:r w:rsidRPr="0098635C">
              <w:rPr>
                <w:rFonts w:ascii="Times New Roman" w:hAnsi="Times New Roman" w:cs="Times New Roman"/>
                <w:color w:val="000000" w:themeColor="text1"/>
              </w:rPr>
              <w:t>OECD 436</w:t>
            </w:r>
            <w:bookmarkEnd w:id="2237"/>
            <w:bookmarkEnd w:id="2238"/>
          </w:p>
        </w:tc>
        <w:tc>
          <w:tcPr>
            <w:tcW w:w="2268" w:type="dxa"/>
          </w:tcPr>
          <w:p w14:paraId="422AF54D"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239" w:name="_Toc472000483"/>
            <w:bookmarkStart w:id="2240" w:name="_Toc472251843"/>
            <w:r w:rsidRPr="0098635C">
              <w:rPr>
                <w:rFonts w:ascii="Times New Roman" w:hAnsi="Times New Roman" w:cs="Times New Roman"/>
                <w:color w:val="000000" w:themeColor="text1"/>
              </w:rPr>
              <w:t>Rat (Sprague-Dawley), m/f</w:t>
            </w:r>
            <w:bookmarkEnd w:id="2239"/>
            <w:bookmarkEnd w:id="2240"/>
          </w:p>
        </w:tc>
        <w:tc>
          <w:tcPr>
            <w:tcW w:w="4111" w:type="dxa"/>
          </w:tcPr>
          <w:p w14:paraId="0511680A"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p>
        </w:tc>
        <w:tc>
          <w:tcPr>
            <w:tcW w:w="3119" w:type="dxa"/>
            <w:tcMar>
              <w:top w:w="20" w:type="nil"/>
              <w:left w:w="20" w:type="nil"/>
              <w:bottom w:w="20" w:type="nil"/>
              <w:right w:w="20" w:type="nil"/>
            </w:tcMar>
          </w:tcPr>
          <w:p w14:paraId="07D0EBAD"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241" w:name="_Toc472000484"/>
            <w:bookmarkStart w:id="2242" w:name="_Toc472251844"/>
            <w:r w:rsidRPr="0098635C">
              <w:rPr>
                <w:rFonts w:ascii="Times New Roman" w:hAnsi="Times New Roman" w:cs="Times New Roman"/>
                <w:color w:val="000000" w:themeColor="text1"/>
                <w:lang w:val="en-GB"/>
              </w:rPr>
              <w:t>LC50 (4h): &gt;5.11 mg/L air (m/f)</w:t>
            </w:r>
            <w:bookmarkEnd w:id="2241"/>
            <w:bookmarkEnd w:id="2242"/>
          </w:p>
          <w:p w14:paraId="74EE0D7B"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243" w:name="_Toc472000485"/>
            <w:bookmarkStart w:id="2244" w:name="_Toc472251845"/>
            <w:r w:rsidRPr="0098635C">
              <w:rPr>
                <w:rFonts w:ascii="Times New Roman" w:hAnsi="Times New Roman" w:cs="Times New Roman"/>
                <w:color w:val="000000" w:themeColor="text1"/>
              </w:rPr>
              <w:t>Based on: test mat.</w:t>
            </w:r>
            <w:bookmarkEnd w:id="2243"/>
            <w:bookmarkEnd w:id="2244"/>
          </w:p>
        </w:tc>
      </w:tr>
      <w:tr w:rsidR="00647246" w:rsidRPr="0098635C" w14:paraId="6B52D5CB" w14:textId="77777777" w:rsidTr="00982513">
        <w:tc>
          <w:tcPr>
            <w:tcW w:w="1310" w:type="dxa"/>
            <w:tcMar>
              <w:top w:w="20" w:type="nil"/>
              <w:left w:w="20" w:type="nil"/>
              <w:bottom w:w="20" w:type="nil"/>
              <w:right w:w="20" w:type="nil"/>
            </w:tcMar>
          </w:tcPr>
          <w:p w14:paraId="621B7973"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245" w:name="_Toc472000486"/>
            <w:bookmarkStart w:id="2246" w:name="_Toc472251846"/>
            <w:r w:rsidRPr="0098635C">
              <w:rPr>
                <w:rFonts w:ascii="Times New Roman" w:hAnsi="Times New Roman" w:cs="Times New Roman"/>
                <w:color w:val="000000" w:themeColor="text1"/>
              </w:rPr>
              <w:t>Holbert, MS, 1994</w:t>
            </w:r>
            <w:bookmarkEnd w:id="2245"/>
            <w:bookmarkEnd w:id="2246"/>
          </w:p>
          <w:p w14:paraId="530F267D"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p>
        </w:tc>
        <w:tc>
          <w:tcPr>
            <w:tcW w:w="1355" w:type="dxa"/>
            <w:tcMar>
              <w:top w:w="20" w:type="nil"/>
              <w:left w:w="20" w:type="nil"/>
              <w:bottom w:w="20" w:type="nil"/>
              <w:right w:w="20" w:type="nil"/>
            </w:tcMar>
          </w:tcPr>
          <w:p w14:paraId="67AE6841"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247" w:name="_Toc472000487"/>
            <w:bookmarkStart w:id="2248" w:name="_Toc472251847"/>
            <w:r w:rsidRPr="0098635C">
              <w:rPr>
                <w:rFonts w:ascii="Times New Roman" w:hAnsi="Times New Roman" w:cs="Times New Roman"/>
                <w:color w:val="000000" w:themeColor="text1"/>
              </w:rPr>
              <w:t>Copper sulphate pentahydrate</w:t>
            </w:r>
            <w:bookmarkEnd w:id="2247"/>
            <w:bookmarkEnd w:id="2248"/>
          </w:p>
        </w:tc>
        <w:tc>
          <w:tcPr>
            <w:tcW w:w="1979" w:type="dxa"/>
            <w:tcMar>
              <w:top w:w="20" w:type="nil"/>
              <w:left w:w="20" w:type="nil"/>
              <w:bottom w:w="20" w:type="nil"/>
              <w:right w:w="20" w:type="nil"/>
            </w:tcMar>
          </w:tcPr>
          <w:p w14:paraId="28E26C1E"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249" w:name="_Toc472000488"/>
            <w:bookmarkStart w:id="2250" w:name="_Toc472251848"/>
            <w:r w:rsidRPr="0098635C">
              <w:rPr>
                <w:rFonts w:ascii="Times New Roman" w:hAnsi="Times New Roman" w:cs="Times New Roman"/>
                <w:color w:val="000000" w:themeColor="text1"/>
                <w:lang w:val="en-GB"/>
              </w:rPr>
              <w:t>inhalation: dust (whole body)</w:t>
            </w:r>
            <w:bookmarkEnd w:id="2249"/>
            <w:bookmarkEnd w:id="2250"/>
          </w:p>
          <w:p w14:paraId="115A80F6"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251" w:name="_Toc472000489"/>
            <w:bookmarkStart w:id="2252" w:name="_Toc472251849"/>
            <w:r w:rsidRPr="0098635C">
              <w:rPr>
                <w:rFonts w:ascii="Times New Roman" w:hAnsi="Times New Roman" w:cs="Times New Roman"/>
                <w:color w:val="000000" w:themeColor="text1"/>
                <w:lang w:val="en-GB"/>
              </w:rPr>
              <w:t>US Department of Transport 49 CFR 173.132</w:t>
            </w:r>
            <w:bookmarkEnd w:id="2251"/>
            <w:bookmarkEnd w:id="2252"/>
          </w:p>
        </w:tc>
        <w:tc>
          <w:tcPr>
            <w:tcW w:w="2268" w:type="dxa"/>
          </w:tcPr>
          <w:p w14:paraId="58120A79"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253" w:name="_Toc472000490"/>
            <w:bookmarkStart w:id="2254" w:name="_Toc472251850"/>
            <w:r w:rsidRPr="0098635C">
              <w:rPr>
                <w:rFonts w:ascii="Times New Roman" w:hAnsi="Times New Roman" w:cs="Times New Roman"/>
                <w:color w:val="000000" w:themeColor="text1"/>
              </w:rPr>
              <w:t>rat (HSD:SD) male/female</w:t>
            </w:r>
            <w:bookmarkEnd w:id="2253"/>
            <w:bookmarkEnd w:id="2254"/>
          </w:p>
          <w:p w14:paraId="4728AB22"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p>
        </w:tc>
        <w:tc>
          <w:tcPr>
            <w:tcW w:w="4111" w:type="dxa"/>
          </w:tcPr>
          <w:p w14:paraId="7E3A15C2"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p>
        </w:tc>
        <w:tc>
          <w:tcPr>
            <w:tcW w:w="3119" w:type="dxa"/>
            <w:tcMar>
              <w:top w:w="20" w:type="nil"/>
              <w:left w:w="20" w:type="nil"/>
              <w:bottom w:w="20" w:type="nil"/>
              <w:right w:w="20" w:type="nil"/>
            </w:tcMar>
          </w:tcPr>
          <w:p w14:paraId="1561AE96"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255" w:name="_Toc472000491"/>
            <w:bookmarkStart w:id="2256" w:name="_Toc472251851"/>
            <w:r w:rsidRPr="0098635C">
              <w:rPr>
                <w:rFonts w:ascii="Times New Roman" w:hAnsi="Times New Roman" w:cs="Times New Roman"/>
                <w:color w:val="000000" w:themeColor="text1"/>
                <w:lang w:val="en-GB"/>
              </w:rPr>
              <w:t>LC50 (1 h): &gt; 2.95 mg/L air (male/female) based on: test mat.</w:t>
            </w:r>
            <w:bookmarkEnd w:id="2255"/>
            <w:bookmarkEnd w:id="2256"/>
          </w:p>
          <w:p w14:paraId="5F7374C0"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p>
        </w:tc>
      </w:tr>
      <w:tr w:rsidR="00647246" w:rsidRPr="0098635C" w14:paraId="4088D606" w14:textId="77777777" w:rsidTr="00982513">
        <w:tc>
          <w:tcPr>
            <w:tcW w:w="1310" w:type="dxa"/>
            <w:tcMar>
              <w:top w:w="20" w:type="nil"/>
              <w:left w:w="20" w:type="nil"/>
              <w:bottom w:w="20" w:type="nil"/>
              <w:right w:w="20" w:type="nil"/>
            </w:tcMar>
          </w:tcPr>
          <w:p w14:paraId="63E0CA19"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257" w:name="_Toc472000492"/>
            <w:bookmarkStart w:id="2258" w:name="_Toc472251852"/>
            <w:r w:rsidRPr="0098635C">
              <w:rPr>
                <w:rFonts w:ascii="Times New Roman" w:hAnsi="Times New Roman" w:cs="Times New Roman"/>
                <w:color w:val="000000" w:themeColor="text1"/>
              </w:rPr>
              <w:t>Leuschner J, 2011</w:t>
            </w:r>
            <w:bookmarkEnd w:id="2257"/>
            <w:bookmarkEnd w:id="2258"/>
          </w:p>
        </w:tc>
        <w:tc>
          <w:tcPr>
            <w:tcW w:w="1355" w:type="dxa"/>
            <w:tcMar>
              <w:top w:w="20" w:type="nil"/>
              <w:left w:w="20" w:type="nil"/>
              <w:bottom w:w="20" w:type="nil"/>
              <w:right w:w="20" w:type="nil"/>
            </w:tcMar>
          </w:tcPr>
          <w:p w14:paraId="028106B2"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259" w:name="_Toc472000493"/>
            <w:bookmarkStart w:id="2260" w:name="_Toc472251853"/>
            <w:r w:rsidRPr="0098635C">
              <w:rPr>
                <w:rFonts w:ascii="Times New Roman" w:hAnsi="Times New Roman" w:cs="Times New Roman"/>
                <w:color w:val="000000" w:themeColor="text1"/>
              </w:rPr>
              <w:t>Coated copper flakes</w:t>
            </w:r>
            <w:bookmarkEnd w:id="2259"/>
            <w:bookmarkEnd w:id="2260"/>
          </w:p>
        </w:tc>
        <w:tc>
          <w:tcPr>
            <w:tcW w:w="1979" w:type="dxa"/>
            <w:tcMar>
              <w:top w:w="20" w:type="nil"/>
              <w:left w:w="20" w:type="nil"/>
              <w:bottom w:w="20" w:type="nil"/>
              <w:right w:w="20" w:type="nil"/>
            </w:tcMar>
          </w:tcPr>
          <w:p w14:paraId="2AEA9689"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261" w:name="_Toc472000494"/>
            <w:bookmarkStart w:id="2262" w:name="_Toc472251854"/>
            <w:r w:rsidRPr="0098635C">
              <w:rPr>
                <w:rFonts w:ascii="Times New Roman" w:hAnsi="Times New Roman" w:cs="Times New Roman"/>
                <w:color w:val="000000" w:themeColor="text1"/>
              </w:rPr>
              <w:t>Inhalation: nose only</w:t>
            </w:r>
            <w:bookmarkEnd w:id="2261"/>
            <w:bookmarkEnd w:id="2262"/>
          </w:p>
          <w:p w14:paraId="049DBE46"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263" w:name="_Toc472000495"/>
            <w:bookmarkStart w:id="2264" w:name="_Toc472251855"/>
            <w:r w:rsidRPr="0098635C">
              <w:rPr>
                <w:rFonts w:ascii="Times New Roman" w:hAnsi="Times New Roman" w:cs="Times New Roman"/>
                <w:color w:val="000000" w:themeColor="text1"/>
              </w:rPr>
              <w:t>OECD 403</w:t>
            </w:r>
            <w:bookmarkEnd w:id="2263"/>
            <w:bookmarkEnd w:id="2264"/>
          </w:p>
        </w:tc>
        <w:tc>
          <w:tcPr>
            <w:tcW w:w="2268" w:type="dxa"/>
          </w:tcPr>
          <w:p w14:paraId="329925E6"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bookmarkStart w:id="2265" w:name="_Toc472000496"/>
            <w:bookmarkStart w:id="2266" w:name="_Toc472251856"/>
            <w:r w:rsidRPr="0098635C">
              <w:rPr>
                <w:rFonts w:ascii="Times New Roman" w:hAnsi="Times New Roman" w:cs="Times New Roman"/>
                <w:color w:val="000000" w:themeColor="text1"/>
              </w:rPr>
              <w:t>Rat (Sprague-Dawley), m/f</w:t>
            </w:r>
            <w:bookmarkEnd w:id="2265"/>
            <w:bookmarkEnd w:id="2266"/>
          </w:p>
        </w:tc>
        <w:tc>
          <w:tcPr>
            <w:tcW w:w="4111" w:type="dxa"/>
          </w:tcPr>
          <w:p w14:paraId="384FB150"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rPr>
            </w:pPr>
          </w:p>
        </w:tc>
        <w:tc>
          <w:tcPr>
            <w:tcW w:w="3119" w:type="dxa"/>
            <w:tcMar>
              <w:top w:w="20" w:type="nil"/>
              <w:left w:w="20" w:type="nil"/>
              <w:bottom w:w="20" w:type="nil"/>
              <w:right w:w="20" w:type="nil"/>
            </w:tcMar>
          </w:tcPr>
          <w:p w14:paraId="64520BD9" w14:textId="77777777" w:rsidR="00647246" w:rsidRPr="0098635C" w:rsidRDefault="00647246" w:rsidP="002C6F71">
            <w:pPr>
              <w:spacing w:after="0"/>
              <w:rPr>
                <w:color w:val="000000" w:themeColor="text1"/>
                <w:sz w:val="20"/>
                <w:szCs w:val="20"/>
              </w:rPr>
            </w:pPr>
            <w:r w:rsidRPr="0098635C">
              <w:rPr>
                <w:rFonts w:eastAsiaTheme="minorEastAsia"/>
                <w:bCs/>
                <w:color w:val="000000" w:themeColor="text1"/>
                <w:sz w:val="20"/>
                <w:szCs w:val="20"/>
                <w:lang w:eastAsia="en-GB"/>
              </w:rPr>
              <w:t>LC50 (4 h): 1.03 mg/L air (analytical) (male/female)</w:t>
            </w:r>
          </w:p>
          <w:p w14:paraId="3A9D701B" w14:textId="77777777" w:rsidR="00647246" w:rsidRPr="0098635C" w:rsidRDefault="00647246" w:rsidP="002C6F71">
            <w:pPr>
              <w:spacing w:after="0"/>
              <w:rPr>
                <w:color w:val="000000" w:themeColor="text1"/>
                <w:sz w:val="20"/>
                <w:szCs w:val="20"/>
              </w:rPr>
            </w:pPr>
            <w:r w:rsidRPr="0098635C">
              <w:rPr>
                <w:rFonts w:eastAsiaTheme="minorEastAsia"/>
                <w:bCs/>
                <w:color w:val="000000" w:themeColor="text1"/>
                <w:sz w:val="20"/>
                <w:szCs w:val="20"/>
                <w:lang w:eastAsia="en-GB"/>
              </w:rPr>
              <w:t>LC50 (4 h): 0.733 mg/L air (analytical) (male)</w:t>
            </w:r>
          </w:p>
          <w:p w14:paraId="44E28158" w14:textId="77777777" w:rsidR="00647246" w:rsidRPr="0098635C" w:rsidRDefault="00647246" w:rsidP="002C6F71">
            <w:pPr>
              <w:pStyle w:val="NoteLevel21"/>
              <w:keepNext w:val="0"/>
              <w:tabs>
                <w:tab w:val="clear" w:pos="720"/>
              </w:tabs>
              <w:ind w:left="0" w:firstLine="0"/>
              <w:rPr>
                <w:rFonts w:ascii="Times New Roman" w:hAnsi="Times New Roman" w:cs="Times New Roman"/>
                <w:color w:val="000000" w:themeColor="text1"/>
                <w:lang w:val="en-GB"/>
              </w:rPr>
            </w:pPr>
            <w:bookmarkStart w:id="2267" w:name="_Toc472000497"/>
            <w:bookmarkStart w:id="2268" w:name="_Toc472251857"/>
            <w:r w:rsidRPr="0098635C">
              <w:rPr>
                <w:rFonts w:ascii="Times New Roman" w:eastAsiaTheme="minorEastAsia" w:hAnsi="Times New Roman" w:cs="Times New Roman"/>
                <w:bCs/>
                <w:color w:val="000000" w:themeColor="text1"/>
                <w:lang w:val="en-GB" w:eastAsia="en-GB"/>
              </w:rPr>
              <w:t>LC50 (4 h): 1.67 mg/L air (analytical) (female)</w:t>
            </w:r>
            <w:bookmarkEnd w:id="2267"/>
            <w:bookmarkEnd w:id="2268"/>
          </w:p>
        </w:tc>
      </w:tr>
    </w:tbl>
    <w:p w14:paraId="5C8781D7" w14:textId="77777777" w:rsidR="00D57755" w:rsidRPr="0098635C" w:rsidRDefault="00D57755" w:rsidP="00D57755">
      <w:pPr>
        <w:widowControl/>
        <w:autoSpaceDE/>
        <w:autoSpaceDN/>
        <w:adjustRightInd/>
        <w:rPr>
          <w:b/>
          <w:bCs/>
          <w:color w:val="000000" w:themeColor="text1"/>
          <w:sz w:val="20"/>
          <w:szCs w:val="20"/>
        </w:rPr>
      </w:pPr>
    </w:p>
    <w:p w14:paraId="558CF0E4" w14:textId="77777777" w:rsidR="00D57755" w:rsidRPr="0098635C" w:rsidRDefault="00D57755" w:rsidP="00D57755">
      <w:pPr>
        <w:widowControl/>
        <w:autoSpaceDE/>
        <w:autoSpaceDN/>
        <w:adjustRightInd/>
        <w:rPr>
          <w:b/>
          <w:bCs/>
          <w:color w:val="000000" w:themeColor="text1"/>
          <w:sz w:val="20"/>
          <w:szCs w:val="20"/>
        </w:rPr>
        <w:sectPr w:rsidR="00D57755" w:rsidRPr="0098635C" w:rsidSect="00304EA1">
          <w:headerReference w:type="even" r:id="rId35"/>
          <w:headerReference w:type="default" r:id="rId36"/>
          <w:footerReference w:type="even" r:id="rId37"/>
          <w:footerReference w:type="default" r:id="rId38"/>
          <w:headerReference w:type="first" r:id="rId39"/>
          <w:footerReference w:type="first" r:id="rId40"/>
          <w:pgSz w:w="16840" w:h="11900" w:orient="landscape"/>
          <w:pgMar w:top="1440" w:right="1440" w:bottom="1440" w:left="1440" w:header="720" w:footer="720" w:gutter="0"/>
          <w:cols w:space="720"/>
          <w:noEndnote/>
          <w:titlePg/>
        </w:sectPr>
      </w:pPr>
    </w:p>
    <w:p w14:paraId="13AD60E4" w14:textId="77777777" w:rsidR="00D57755" w:rsidRPr="0098635C" w:rsidRDefault="00D57755" w:rsidP="00D57755">
      <w:pPr>
        <w:spacing w:line="276" w:lineRule="auto"/>
        <w:outlineLvl w:val="0"/>
        <w:rPr>
          <w:rFonts w:eastAsia="Calibri"/>
          <w:color w:val="000000" w:themeColor="text1"/>
          <w:sz w:val="20"/>
          <w:szCs w:val="20"/>
        </w:rPr>
      </w:pPr>
      <w:bookmarkStart w:id="2269" w:name="_Toc472000498"/>
      <w:bookmarkStart w:id="2270" w:name="_Toc472251858"/>
      <w:r w:rsidRPr="0098635C">
        <w:rPr>
          <w:rFonts w:eastAsia="Calibri"/>
          <w:color w:val="000000" w:themeColor="text1"/>
          <w:sz w:val="20"/>
          <w:szCs w:val="20"/>
        </w:rPr>
        <w:lastRenderedPageBreak/>
        <w:t>Annex V: Summary of acute dermal toxicity studies in animals</w:t>
      </w:r>
      <w:bookmarkEnd w:id="2269"/>
      <w:bookmarkEnd w:id="2270"/>
      <w:r w:rsidRPr="0098635C">
        <w:rPr>
          <w:rFonts w:eastAsia="Calibri"/>
          <w:color w:val="000000" w:themeColor="text1"/>
          <w:sz w:val="20"/>
          <w:szCs w:val="20"/>
        </w:rPr>
        <w:t xml:space="preserve"> </w:t>
      </w:r>
    </w:p>
    <w:tbl>
      <w:tblPr>
        <w:tblW w:w="143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352"/>
        <w:gridCol w:w="1958"/>
        <w:gridCol w:w="761"/>
        <w:gridCol w:w="1395"/>
        <w:gridCol w:w="1870"/>
        <w:gridCol w:w="1122"/>
        <w:gridCol w:w="1870"/>
        <w:gridCol w:w="698"/>
        <w:gridCol w:w="1359"/>
        <w:gridCol w:w="935"/>
      </w:tblGrid>
      <w:tr w:rsidR="00D57755" w:rsidRPr="0098635C" w14:paraId="74251CBA" w14:textId="77777777" w:rsidTr="002C6F71">
        <w:trPr>
          <w:cantSplit/>
          <w:trHeight w:val="467"/>
          <w:tblHeader/>
        </w:trPr>
        <w:tc>
          <w:tcPr>
            <w:tcW w:w="2352" w:type="dxa"/>
            <w:vMerge w:val="restart"/>
          </w:tcPr>
          <w:p w14:paraId="7D6AC173" w14:textId="77777777" w:rsidR="00D57755" w:rsidRPr="0098635C" w:rsidRDefault="00D57755" w:rsidP="002C6F71">
            <w:pPr>
              <w:pStyle w:val="Tableheading"/>
              <w:spacing w:before="0" w:after="0"/>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 xml:space="preserve">Reference </w:t>
            </w:r>
            <w:r w:rsidRPr="0098635C">
              <w:rPr>
                <w:rFonts w:ascii="Times New Roman" w:hAnsi="Times New Roman" w:cs="Times New Roman"/>
                <w:i/>
                <w:color w:val="000000" w:themeColor="text1"/>
                <w:sz w:val="20"/>
                <w:szCs w:val="20"/>
                <w:vertAlign w:val="superscript"/>
              </w:rPr>
              <w:t>a</w:t>
            </w:r>
          </w:p>
        </w:tc>
        <w:tc>
          <w:tcPr>
            <w:tcW w:w="4114" w:type="dxa"/>
            <w:gridSpan w:val="3"/>
          </w:tcPr>
          <w:p w14:paraId="038C4295" w14:textId="77777777" w:rsidR="00D57755" w:rsidRPr="0098635C" w:rsidRDefault="00D57755" w:rsidP="002C6F71">
            <w:pPr>
              <w:pStyle w:val="Tableheading"/>
              <w:spacing w:before="0" w:after="0"/>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Substance</w:t>
            </w:r>
          </w:p>
        </w:tc>
        <w:tc>
          <w:tcPr>
            <w:tcW w:w="1870" w:type="dxa"/>
            <w:vMerge w:val="restart"/>
          </w:tcPr>
          <w:p w14:paraId="36E2ED86" w14:textId="77777777" w:rsidR="00D57755" w:rsidRPr="0098635C" w:rsidRDefault="00D57755" w:rsidP="002C6F71">
            <w:pPr>
              <w:pStyle w:val="Tableheading"/>
              <w:spacing w:before="0" w:after="0"/>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Reported test method</w:t>
            </w:r>
          </w:p>
        </w:tc>
        <w:tc>
          <w:tcPr>
            <w:tcW w:w="1122" w:type="dxa"/>
            <w:vMerge w:val="restart"/>
          </w:tcPr>
          <w:p w14:paraId="3ABF0BA4" w14:textId="77777777" w:rsidR="00D57755" w:rsidRPr="0098635C" w:rsidRDefault="00D57755" w:rsidP="002C6F71">
            <w:pPr>
              <w:pStyle w:val="Tableheading"/>
              <w:spacing w:before="0" w:after="0"/>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Vehicle</w:t>
            </w:r>
          </w:p>
        </w:tc>
        <w:tc>
          <w:tcPr>
            <w:tcW w:w="1870" w:type="dxa"/>
            <w:vMerge w:val="restart"/>
          </w:tcPr>
          <w:p w14:paraId="4E2E63E0" w14:textId="77777777" w:rsidR="00D57755" w:rsidRPr="0098635C" w:rsidRDefault="00D57755" w:rsidP="002C6F71">
            <w:pPr>
              <w:pStyle w:val="Tableheading"/>
              <w:spacing w:before="0" w:after="0"/>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Species (strain)</w:t>
            </w:r>
          </w:p>
        </w:tc>
        <w:tc>
          <w:tcPr>
            <w:tcW w:w="698" w:type="dxa"/>
            <w:vMerge w:val="restart"/>
          </w:tcPr>
          <w:p w14:paraId="64BA6549" w14:textId="77777777" w:rsidR="00D57755" w:rsidRPr="0098635C" w:rsidRDefault="00D57755" w:rsidP="002C6F71">
            <w:pPr>
              <w:pStyle w:val="Tableheading"/>
              <w:spacing w:before="0" w:after="0"/>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Sex</w:t>
            </w:r>
          </w:p>
        </w:tc>
        <w:tc>
          <w:tcPr>
            <w:tcW w:w="1359" w:type="dxa"/>
            <w:vMerge w:val="restart"/>
          </w:tcPr>
          <w:p w14:paraId="5DCC8459" w14:textId="77777777" w:rsidR="00D57755" w:rsidRPr="0098635C" w:rsidRDefault="00D57755" w:rsidP="002C6F71">
            <w:pPr>
              <w:pStyle w:val="Tableheading"/>
              <w:spacing w:before="0" w:after="0"/>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LD</w:t>
            </w:r>
            <w:r w:rsidRPr="0098635C">
              <w:rPr>
                <w:rFonts w:ascii="Times New Roman" w:hAnsi="Times New Roman" w:cs="Times New Roman"/>
                <w:color w:val="000000" w:themeColor="text1"/>
                <w:sz w:val="20"/>
                <w:szCs w:val="20"/>
                <w:vertAlign w:val="subscript"/>
              </w:rPr>
              <w:t>50</w:t>
            </w:r>
            <w:r w:rsidRPr="0098635C">
              <w:rPr>
                <w:rFonts w:ascii="Times New Roman" w:hAnsi="Times New Roman" w:cs="Times New Roman"/>
                <w:color w:val="000000" w:themeColor="text1"/>
                <w:sz w:val="20"/>
                <w:szCs w:val="20"/>
              </w:rPr>
              <w:t xml:space="preserve"> value</w:t>
            </w:r>
          </w:p>
          <w:p w14:paraId="09FE3A94" w14:textId="77777777" w:rsidR="00D57755" w:rsidRPr="0098635C" w:rsidRDefault="00D57755" w:rsidP="002C6F71">
            <w:pPr>
              <w:pStyle w:val="Tableheading"/>
              <w:spacing w:before="0" w:after="0"/>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(mg/kg BW)</w:t>
            </w:r>
          </w:p>
        </w:tc>
        <w:tc>
          <w:tcPr>
            <w:tcW w:w="935" w:type="dxa"/>
            <w:vMerge w:val="restart"/>
          </w:tcPr>
          <w:p w14:paraId="7919F6FC" w14:textId="77777777" w:rsidR="00D57755" w:rsidRPr="0098635C" w:rsidRDefault="00D57755" w:rsidP="002C6F71">
            <w:pPr>
              <w:pStyle w:val="Tableheading"/>
              <w:spacing w:before="0" w:after="0"/>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Study rating</w:t>
            </w:r>
            <w:r w:rsidRPr="0098635C">
              <w:rPr>
                <w:rFonts w:ascii="Times New Roman" w:hAnsi="Times New Roman" w:cs="Times New Roman"/>
                <w:i/>
                <w:color w:val="000000" w:themeColor="text1"/>
                <w:sz w:val="20"/>
                <w:szCs w:val="20"/>
                <w:vertAlign w:val="superscript"/>
              </w:rPr>
              <w:t>b</w:t>
            </w:r>
          </w:p>
        </w:tc>
      </w:tr>
      <w:tr w:rsidR="00D57755" w:rsidRPr="0098635C" w14:paraId="1F7F27BD" w14:textId="77777777" w:rsidTr="002C6F71">
        <w:trPr>
          <w:cantSplit/>
          <w:trHeight w:val="467"/>
          <w:tblHeader/>
        </w:trPr>
        <w:tc>
          <w:tcPr>
            <w:tcW w:w="2352" w:type="dxa"/>
            <w:vMerge/>
          </w:tcPr>
          <w:p w14:paraId="4ECBFD16" w14:textId="77777777" w:rsidR="00D57755" w:rsidRPr="0098635C" w:rsidRDefault="00D57755" w:rsidP="002C6F71">
            <w:pPr>
              <w:pStyle w:val="Tableheading"/>
              <w:spacing w:before="0" w:after="0"/>
              <w:jc w:val="center"/>
              <w:rPr>
                <w:rFonts w:ascii="Times New Roman" w:hAnsi="Times New Roman" w:cs="Times New Roman"/>
                <w:color w:val="000000" w:themeColor="text1"/>
                <w:sz w:val="20"/>
                <w:szCs w:val="20"/>
              </w:rPr>
            </w:pPr>
          </w:p>
        </w:tc>
        <w:tc>
          <w:tcPr>
            <w:tcW w:w="1958" w:type="dxa"/>
          </w:tcPr>
          <w:p w14:paraId="02B91607" w14:textId="77777777" w:rsidR="00D57755" w:rsidRPr="0098635C" w:rsidRDefault="00D57755" w:rsidP="002C6F71">
            <w:pPr>
              <w:pStyle w:val="Tableheading"/>
              <w:spacing w:before="0" w:after="0"/>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Identity</w:t>
            </w:r>
          </w:p>
        </w:tc>
        <w:tc>
          <w:tcPr>
            <w:tcW w:w="761" w:type="dxa"/>
          </w:tcPr>
          <w:p w14:paraId="118EC6A3" w14:textId="77777777" w:rsidR="00D57755" w:rsidRPr="0098635C" w:rsidRDefault="00D57755" w:rsidP="002C6F71">
            <w:pPr>
              <w:pStyle w:val="Tableheading"/>
              <w:spacing w:before="0" w:after="0"/>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Purity</w:t>
            </w:r>
          </w:p>
        </w:tc>
        <w:tc>
          <w:tcPr>
            <w:tcW w:w="1395" w:type="dxa"/>
          </w:tcPr>
          <w:p w14:paraId="2D67289F" w14:textId="77777777" w:rsidR="00D57755" w:rsidRPr="0098635C" w:rsidRDefault="00D57755" w:rsidP="002C6F71">
            <w:pPr>
              <w:pStyle w:val="Tableheading"/>
              <w:spacing w:before="0" w:after="0"/>
              <w:jc w:val="center"/>
              <w:rPr>
                <w:rFonts w:ascii="Times New Roman" w:hAnsi="Times New Roman" w:cs="Times New Roman"/>
                <w:color w:val="000000" w:themeColor="text1"/>
                <w:sz w:val="20"/>
                <w:szCs w:val="20"/>
                <w:lang w:val="fr-FR"/>
              </w:rPr>
            </w:pPr>
            <w:r w:rsidRPr="0098635C">
              <w:rPr>
                <w:rFonts w:ascii="Times New Roman" w:hAnsi="Times New Roman" w:cs="Times New Roman"/>
                <w:color w:val="000000" w:themeColor="text1"/>
                <w:sz w:val="20"/>
                <w:szCs w:val="20"/>
                <w:lang w:val="fr-FR"/>
              </w:rPr>
              <w:t>Cu content (% w/w Cu)</w:t>
            </w:r>
          </w:p>
        </w:tc>
        <w:tc>
          <w:tcPr>
            <w:tcW w:w="1870" w:type="dxa"/>
            <w:vMerge/>
          </w:tcPr>
          <w:p w14:paraId="698E183A" w14:textId="77777777" w:rsidR="00D57755" w:rsidRPr="0098635C" w:rsidRDefault="00D57755" w:rsidP="002C6F71">
            <w:pPr>
              <w:pStyle w:val="Tableheading"/>
              <w:spacing w:before="0" w:after="0"/>
              <w:jc w:val="center"/>
              <w:rPr>
                <w:rFonts w:ascii="Times New Roman" w:hAnsi="Times New Roman" w:cs="Times New Roman"/>
                <w:color w:val="000000" w:themeColor="text1"/>
                <w:sz w:val="20"/>
                <w:szCs w:val="20"/>
                <w:lang w:val="fr-FR"/>
              </w:rPr>
            </w:pPr>
          </w:p>
        </w:tc>
        <w:tc>
          <w:tcPr>
            <w:tcW w:w="1122" w:type="dxa"/>
            <w:vMerge/>
          </w:tcPr>
          <w:p w14:paraId="0B445951" w14:textId="77777777" w:rsidR="00D57755" w:rsidRPr="0098635C" w:rsidRDefault="00D57755" w:rsidP="002C6F71">
            <w:pPr>
              <w:pStyle w:val="Tableheading"/>
              <w:spacing w:before="0" w:after="0"/>
              <w:jc w:val="center"/>
              <w:rPr>
                <w:rFonts w:ascii="Times New Roman" w:hAnsi="Times New Roman" w:cs="Times New Roman"/>
                <w:color w:val="000000" w:themeColor="text1"/>
                <w:sz w:val="20"/>
                <w:szCs w:val="20"/>
                <w:lang w:val="fr-FR"/>
              </w:rPr>
            </w:pPr>
          </w:p>
        </w:tc>
        <w:tc>
          <w:tcPr>
            <w:tcW w:w="1870" w:type="dxa"/>
            <w:vMerge/>
          </w:tcPr>
          <w:p w14:paraId="58232FA6" w14:textId="77777777" w:rsidR="00D57755" w:rsidRPr="0098635C" w:rsidRDefault="00D57755" w:rsidP="002C6F71">
            <w:pPr>
              <w:pStyle w:val="Tableheading"/>
              <w:spacing w:before="0" w:after="0"/>
              <w:jc w:val="center"/>
              <w:rPr>
                <w:rFonts w:ascii="Times New Roman" w:hAnsi="Times New Roman" w:cs="Times New Roman"/>
                <w:color w:val="000000" w:themeColor="text1"/>
                <w:sz w:val="20"/>
                <w:szCs w:val="20"/>
                <w:lang w:val="fr-FR"/>
              </w:rPr>
            </w:pPr>
          </w:p>
        </w:tc>
        <w:tc>
          <w:tcPr>
            <w:tcW w:w="698" w:type="dxa"/>
            <w:vMerge/>
          </w:tcPr>
          <w:p w14:paraId="58E7C81F" w14:textId="77777777" w:rsidR="00D57755" w:rsidRPr="0098635C" w:rsidRDefault="00D57755" w:rsidP="002C6F71">
            <w:pPr>
              <w:pStyle w:val="Tableheading"/>
              <w:spacing w:before="0" w:after="0"/>
              <w:jc w:val="center"/>
              <w:rPr>
                <w:rFonts w:ascii="Times New Roman" w:hAnsi="Times New Roman" w:cs="Times New Roman"/>
                <w:color w:val="000000" w:themeColor="text1"/>
                <w:sz w:val="20"/>
                <w:szCs w:val="20"/>
                <w:lang w:val="fr-FR"/>
              </w:rPr>
            </w:pPr>
          </w:p>
        </w:tc>
        <w:tc>
          <w:tcPr>
            <w:tcW w:w="1359" w:type="dxa"/>
            <w:vMerge/>
          </w:tcPr>
          <w:p w14:paraId="4EF53EC7" w14:textId="77777777" w:rsidR="00D57755" w:rsidRPr="0098635C" w:rsidRDefault="00D57755" w:rsidP="002C6F71">
            <w:pPr>
              <w:pStyle w:val="Tableheading"/>
              <w:spacing w:before="0" w:after="0"/>
              <w:jc w:val="center"/>
              <w:rPr>
                <w:rFonts w:ascii="Times New Roman" w:hAnsi="Times New Roman" w:cs="Times New Roman"/>
                <w:color w:val="000000" w:themeColor="text1"/>
                <w:sz w:val="20"/>
                <w:szCs w:val="20"/>
                <w:lang w:val="fr-FR"/>
              </w:rPr>
            </w:pPr>
          </w:p>
        </w:tc>
        <w:tc>
          <w:tcPr>
            <w:tcW w:w="935" w:type="dxa"/>
            <w:vMerge/>
          </w:tcPr>
          <w:p w14:paraId="31763940" w14:textId="77777777" w:rsidR="00D57755" w:rsidRPr="0098635C" w:rsidRDefault="00D57755" w:rsidP="002C6F71">
            <w:pPr>
              <w:pStyle w:val="Tableheading"/>
              <w:spacing w:before="0" w:after="0"/>
              <w:jc w:val="center"/>
              <w:rPr>
                <w:rFonts w:ascii="Times New Roman" w:hAnsi="Times New Roman" w:cs="Times New Roman"/>
                <w:color w:val="000000" w:themeColor="text1"/>
                <w:sz w:val="20"/>
                <w:szCs w:val="20"/>
                <w:lang w:val="fr-FR"/>
              </w:rPr>
            </w:pPr>
          </w:p>
        </w:tc>
      </w:tr>
      <w:tr w:rsidR="00D57755" w:rsidRPr="0098635C" w14:paraId="43B5DC66" w14:textId="77777777" w:rsidTr="002C6F71">
        <w:tc>
          <w:tcPr>
            <w:tcW w:w="2352" w:type="dxa"/>
          </w:tcPr>
          <w:p w14:paraId="6C244F2E"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Cuthbert &amp; Carr (1986) </w:t>
            </w:r>
            <w:r w:rsidRPr="0098635C">
              <w:rPr>
                <w:rFonts w:ascii="Times New Roman" w:hAnsi="Times New Roman"/>
                <w:i/>
                <w:color w:val="000000" w:themeColor="text1"/>
                <w:sz w:val="20"/>
                <w:szCs w:val="20"/>
                <w:vertAlign w:val="superscript"/>
              </w:rPr>
              <w:t>a</w:t>
            </w:r>
          </w:p>
        </w:tc>
        <w:tc>
          <w:tcPr>
            <w:tcW w:w="1958" w:type="dxa"/>
          </w:tcPr>
          <w:p w14:paraId="47FE8987"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Copper (I) oxide</w:t>
            </w:r>
          </w:p>
        </w:tc>
        <w:tc>
          <w:tcPr>
            <w:tcW w:w="761" w:type="dxa"/>
          </w:tcPr>
          <w:p w14:paraId="0AEED697"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395" w:type="dxa"/>
          </w:tcPr>
          <w:p w14:paraId="07AB0A78"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870" w:type="dxa"/>
          </w:tcPr>
          <w:p w14:paraId="47BD4621"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Annex V B.3</w:t>
            </w:r>
          </w:p>
        </w:tc>
        <w:tc>
          <w:tcPr>
            <w:tcW w:w="1122" w:type="dxa"/>
          </w:tcPr>
          <w:p w14:paraId="43384418"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Water</w:t>
            </w:r>
          </w:p>
        </w:tc>
        <w:tc>
          <w:tcPr>
            <w:tcW w:w="1870" w:type="dxa"/>
          </w:tcPr>
          <w:p w14:paraId="609919F8"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Rat (SD)</w:t>
            </w:r>
          </w:p>
        </w:tc>
        <w:tc>
          <w:tcPr>
            <w:tcW w:w="698" w:type="dxa"/>
          </w:tcPr>
          <w:p w14:paraId="6C862358"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M+F</w:t>
            </w:r>
          </w:p>
        </w:tc>
        <w:tc>
          <w:tcPr>
            <w:tcW w:w="1359" w:type="dxa"/>
          </w:tcPr>
          <w:p w14:paraId="7106E884"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&gt;2000</w:t>
            </w:r>
          </w:p>
        </w:tc>
        <w:tc>
          <w:tcPr>
            <w:tcW w:w="935" w:type="dxa"/>
          </w:tcPr>
          <w:p w14:paraId="31131268"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w:t>
            </w:r>
            <w:r w:rsidRPr="0098635C">
              <w:rPr>
                <w:rFonts w:ascii="Times New Roman" w:hAnsi="Times New Roman"/>
                <w:i/>
                <w:color w:val="000000" w:themeColor="text1"/>
                <w:sz w:val="20"/>
                <w:szCs w:val="20"/>
                <w:vertAlign w:val="superscript"/>
              </w:rPr>
              <w:t>c</w:t>
            </w:r>
          </w:p>
        </w:tc>
      </w:tr>
      <w:tr w:rsidR="00D57755" w:rsidRPr="0098635C" w14:paraId="25D61CF9" w14:textId="77777777" w:rsidTr="002C6F71">
        <w:tc>
          <w:tcPr>
            <w:tcW w:w="2352" w:type="dxa"/>
          </w:tcPr>
          <w:p w14:paraId="32D50CDF"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Driscoll (1999b) </w:t>
            </w:r>
            <w:r w:rsidRPr="0098635C">
              <w:rPr>
                <w:rFonts w:ascii="Times New Roman" w:hAnsi="Times New Roman"/>
                <w:i/>
                <w:color w:val="000000" w:themeColor="text1"/>
                <w:sz w:val="20"/>
                <w:szCs w:val="20"/>
                <w:vertAlign w:val="superscript"/>
              </w:rPr>
              <w:t>a</w:t>
            </w:r>
          </w:p>
        </w:tc>
        <w:tc>
          <w:tcPr>
            <w:tcW w:w="1958" w:type="dxa"/>
          </w:tcPr>
          <w:p w14:paraId="325B9C5B"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Copper (I) oxide</w:t>
            </w:r>
          </w:p>
        </w:tc>
        <w:tc>
          <w:tcPr>
            <w:tcW w:w="761" w:type="dxa"/>
          </w:tcPr>
          <w:p w14:paraId="7F8A24A0"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395" w:type="dxa"/>
          </w:tcPr>
          <w:p w14:paraId="71ABF898"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870" w:type="dxa"/>
          </w:tcPr>
          <w:p w14:paraId="6D6CE3C4"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Annex V B.3;  OECD 402</w:t>
            </w:r>
          </w:p>
        </w:tc>
        <w:tc>
          <w:tcPr>
            <w:tcW w:w="1122" w:type="dxa"/>
          </w:tcPr>
          <w:p w14:paraId="056ABC7C"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Distilled water</w:t>
            </w:r>
          </w:p>
        </w:tc>
        <w:tc>
          <w:tcPr>
            <w:tcW w:w="1870" w:type="dxa"/>
          </w:tcPr>
          <w:p w14:paraId="6ACD9246"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Rat (SD)</w:t>
            </w:r>
          </w:p>
        </w:tc>
        <w:tc>
          <w:tcPr>
            <w:tcW w:w="698" w:type="dxa"/>
          </w:tcPr>
          <w:p w14:paraId="6B716E3B"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M+F</w:t>
            </w:r>
          </w:p>
        </w:tc>
        <w:tc>
          <w:tcPr>
            <w:tcW w:w="1359" w:type="dxa"/>
          </w:tcPr>
          <w:p w14:paraId="799EAF5D"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&gt;2000</w:t>
            </w:r>
          </w:p>
        </w:tc>
        <w:tc>
          <w:tcPr>
            <w:tcW w:w="935" w:type="dxa"/>
          </w:tcPr>
          <w:p w14:paraId="57BA6C35"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w:t>
            </w:r>
            <w:r w:rsidRPr="0098635C">
              <w:rPr>
                <w:rFonts w:ascii="Times New Roman" w:hAnsi="Times New Roman"/>
                <w:i/>
                <w:color w:val="000000" w:themeColor="text1"/>
                <w:sz w:val="20"/>
                <w:szCs w:val="20"/>
                <w:vertAlign w:val="superscript"/>
              </w:rPr>
              <w:t>c</w:t>
            </w:r>
          </w:p>
        </w:tc>
      </w:tr>
      <w:tr w:rsidR="00D57755" w:rsidRPr="0098635C" w14:paraId="685E3AA1" w14:textId="77777777" w:rsidTr="002C6F71">
        <w:tc>
          <w:tcPr>
            <w:tcW w:w="2352" w:type="dxa"/>
          </w:tcPr>
          <w:p w14:paraId="22224FA1"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Chibanguza (1988) </w:t>
            </w:r>
            <w:r w:rsidRPr="0098635C">
              <w:rPr>
                <w:rFonts w:ascii="Times New Roman" w:hAnsi="Times New Roman"/>
                <w:i/>
                <w:color w:val="000000" w:themeColor="text1"/>
                <w:sz w:val="20"/>
                <w:szCs w:val="20"/>
                <w:vertAlign w:val="superscript"/>
              </w:rPr>
              <w:t>a</w:t>
            </w:r>
          </w:p>
        </w:tc>
        <w:tc>
          <w:tcPr>
            <w:tcW w:w="1958" w:type="dxa"/>
          </w:tcPr>
          <w:p w14:paraId="19559ECB"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Copper (I) oxide</w:t>
            </w:r>
          </w:p>
        </w:tc>
        <w:tc>
          <w:tcPr>
            <w:tcW w:w="761" w:type="dxa"/>
          </w:tcPr>
          <w:p w14:paraId="04B99A48"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395" w:type="dxa"/>
          </w:tcPr>
          <w:p w14:paraId="5F606909"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870" w:type="dxa"/>
          </w:tcPr>
          <w:p w14:paraId="10AA76E8"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OECD (limit test)</w:t>
            </w:r>
          </w:p>
        </w:tc>
        <w:tc>
          <w:tcPr>
            <w:tcW w:w="1122" w:type="dxa"/>
          </w:tcPr>
          <w:p w14:paraId="76A066B0"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Water</w:t>
            </w:r>
          </w:p>
        </w:tc>
        <w:tc>
          <w:tcPr>
            <w:tcW w:w="1870" w:type="dxa"/>
          </w:tcPr>
          <w:p w14:paraId="029067ED"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Rat (Wistar)</w:t>
            </w:r>
          </w:p>
        </w:tc>
        <w:tc>
          <w:tcPr>
            <w:tcW w:w="698" w:type="dxa"/>
          </w:tcPr>
          <w:p w14:paraId="78EF977B"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M+F</w:t>
            </w:r>
          </w:p>
        </w:tc>
        <w:tc>
          <w:tcPr>
            <w:tcW w:w="1359" w:type="dxa"/>
          </w:tcPr>
          <w:p w14:paraId="1A934638"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&gt;2000</w:t>
            </w:r>
          </w:p>
        </w:tc>
        <w:tc>
          <w:tcPr>
            <w:tcW w:w="935" w:type="dxa"/>
          </w:tcPr>
          <w:p w14:paraId="1EF9988E"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w:t>
            </w:r>
            <w:r w:rsidRPr="0098635C">
              <w:rPr>
                <w:rFonts w:ascii="Times New Roman" w:hAnsi="Times New Roman"/>
                <w:i/>
                <w:color w:val="000000" w:themeColor="text1"/>
                <w:sz w:val="20"/>
                <w:szCs w:val="20"/>
                <w:vertAlign w:val="superscript"/>
              </w:rPr>
              <w:t>c</w:t>
            </w:r>
          </w:p>
        </w:tc>
      </w:tr>
      <w:tr w:rsidR="00D57755" w:rsidRPr="0098635C" w14:paraId="2FD8978E" w14:textId="77777777" w:rsidTr="002C6F71">
        <w:tc>
          <w:tcPr>
            <w:tcW w:w="2352" w:type="dxa"/>
          </w:tcPr>
          <w:p w14:paraId="01FC116D"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Sterner &amp; Chibanguza (1988b) </w:t>
            </w:r>
            <w:r w:rsidRPr="0098635C">
              <w:rPr>
                <w:rFonts w:ascii="Times New Roman" w:hAnsi="Times New Roman"/>
                <w:i/>
                <w:color w:val="000000" w:themeColor="text1"/>
                <w:sz w:val="20"/>
                <w:szCs w:val="20"/>
                <w:vertAlign w:val="superscript"/>
              </w:rPr>
              <w:t>a</w:t>
            </w:r>
          </w:p>
        </w:tc>
        <w:tc>
          <w:tcPr>
            <w:tcW w:w="1958" w:type="dxa"/>
          </w:tcPr>
          <w:p w14:paraId="3E353B65"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Copper (I) oxide</w:t>
            </w:r>
          </w:p>
        </w:tc>
        <w:tc>
          <w:tcPr>
            <w:tcW w:w="761" w:type="dxa"/>
          </w:tcPr>
          <w:p w14:paraId="1B345F66"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395" w:type="dxa"/>
          </w:tcPr>
          <w:p w14:paraId="433C7E08"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870" w:type="dxa"/>
          </w:tcPr>
          <w:p w14:paraId="02BBD8AB"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Annex V B.3; OECD 402</w:t>
            </w:r>
          </w:p>
        </w:tc>
        <w:tc>
          <w:tcPr>
            <w:tcW w:w="1122" w:type="dxa"/>
          </w:tcPr>
          <w:p w14:paraId="7B73D0D7"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Water</w:t>
            </w:r>
          </w:p>
        </w:tc>
        <w:tc>
          <w:tcPr>
            <w:tcW w:w="1870" w:type="dxa"/>
          </w:tcPr>
          <w:p w14:paraId="251FB535"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Rat (Wistar)</w:t>
            </w:r>
          </w:p>
        </w:tc>
        <w:tc>
          <w:tcPr>
            <w:tcW w:w="698" w:type="dxa"/>
          </w:tcPr>
          <w:p w14:paraId="4C77686D"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M+F</w:t>
            </w:r>
          </w:p>
        </w:tc>
        <w:tc>
          <w:tcPr>
            <w:tcW w:w="1359" w:type="dxa"/>
          </w:tcPr>
          <w:p w14:paraId="1BEE03F4"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&gt;2000</w:t>
            </w:r>
          </w:p>
        </w:tc>
        <w:tc>
          <w:tcPr>
            <w:tcW w:w="935" w:type="dxa"/>
          </w:tcPr>
          <w:p w14:paraId="151A5FC4"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w:t>
            </w:r>
            <w:r w:rsidRPr="0098635C">
              <w:rPr>
                <w:rFonts w:ascii="Times New Roman" w:hAnsi="Times New Roman"/>
                <w:i/>
                <w:color w:val="000000" w:themeColor="text1"/>
                <w:sz w:val="20"/>
                <w:szCs w:val="20"/>
                <w:vertAlign w:val="superscript"/>
              </w:rPr>
              <w:t>c</w:t>
            </w:r>
          </w:p>
        </w:tc>
      </w:tr>
      <w:tr w:rsidR="00D57755" w:rsidRPr="0098635C" w14:paraId="6C28B06E" w14:textId="77777777" w:rsidTr="002C6F71">
        <w:tc>
          <w:tcPr>
            <w:tcW w:w="2352" w:type="dxa"/>
          </w:tcPr>
          <w:p w14:paraId="233AE2A7"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Nitka (1991a) </w:t>
            </w:r>
            <w:r w:rsidRPr="0098635C">
              <w:rPr>
                <w:rFonts w:ascii="Times New Roman" w:hAnsi="Times New Roman"/>
                <w:i/>
                <w:color w:val="000000" w:themeColor="text1"/>
                <w:sz w:val="20"/>
                <w:szCs w:val="20"/>
                <w:vertAlign w:val="superscript"/>
              </w:rPr>
              <w:t>a</w:t>
            </w:r>
          </w:p>
        </w:tc>
        <w:tc>
          <w:tcPr>
            <w:tcW w:w="1958" w:type="dxa"/>
          </w:tcPr>
          <w:p w14:paraId="2515DFC2"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Copper (I) oxide</w:t>
            </w:r>
          </w:p>
        </w:tc>
        <w:tc>
          <w:tcPr>
            <w:tcW w:w="761" w:type="dxa"/>
          </w:tcPr>
          <w:p w14:paraId="5335ED11"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395" w:type="dxa"/>
          </w:tcPr>
          <w:p w14:paraId="56D48BFA"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870" w:type="dxa"/>
          </w:tcPr>
          <w:p w14:paraId="330AD7C1"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Annex V B.3</w:t>
            </w:r>
          </w:p>
        </w:tc>
        <w:tc>
          <w:tcPr>
            <w:tcW w:w="1122" w:type="dxa"/>
          </w:tcPr>
          <w:p w14:paraId="4203CA19"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Water</w:t>
            </w:r>
          </w:p>
        </w:tc>
        <w:tc>
          <w:tcPr>
            <w:tcW w:w="1870" w:type="dxa"/>
          </w:tcPr>
          <w:p w14:paraId="266D09C2"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Rabbit (NZ White)</w:t>
            </w:r>
          </w:p>
        </w:tc>
        <w:tc>
          <w:tcPr>
            <w:tcW w:w="698" w:type="dxa"/>
          </w:tcPr>
          <w:p w14:paraId="401C27CD"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M+F</w:t>
            </w:r>
          </w:p>
        </w:tc>
        <w:tc>
          <w:tcPr>
            <w:tcW w:w="1359" w:type="dxa"/>
          </w:tcPr>
          <w:p w14:paraId="132FB286"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&gt;2000</w:t>
            </w:r>
          </w:p>
        </w:tc>
        <w:tc>
          <w:tcPr>
            <w:tcW w:w="935" w:type="dxa"/>
          </w:tcPr>
          <w:p w14:paraId="27E08A5C"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w:t>
            </w:r>
            <w:r w:rsidRPr="0098635C">
              <w:rPr>
                <w:rFonts w:ascii="Times New Roman" w:hAnsi="Times New Roman"/>
                <w:i/>
                <w:color w:val="000000" w:themeColor="text1"/>
                <w:sz w:val="20"/>
                <w:szCs w:val="20"/>
                <w:vertAlign w:val="superscript"/>
              </w:rPr>
              <w:t>c</w:t>
            </w:r>
          </w:p>
        </w:tc>
      </w:tr>
      <w:tr w:rsidR="00D57755" w:rsidRPr="0098635C" w14:paraId="2C2FB6F1" w14:textId="77777777" w:rsidTr="002C6F71">
        <w:tc>
          <w:tcPr>
            <w:tcW w:w="2352" w:type="dxa"/>
          </w:tcPr>
          <w:p w14:paraId="700550F6"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Kukulinski (1976) </w:t>
            </w:r>
            <w:r w:rsidRPr="0098635C">
              <w:rPr>
                <w:rFonts w:ascii="Times New Roman" w:hAnsi="Times New Roman"/>
                <w:i/>
                <w:color w:val="000000" w:themeColor="text1"/>
                <w:sz w:val="20"/>
                <w:szCs w:val="20"/>
                <w:vertAlign w:val="superscript"/>
              </w:rPr>
              <w:t>a</w:t>
            </w:r>
          </w:p>
        </w:tc>
        <w:tc>
          <w:tcPr>
            <w:tcW w:w="1958" w:type="dxa"/>
          </w:tcPr>
          <w:p w14:paraId="16FFE7E1"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Copper (I) oxide</w:t>
            </w:r>
          </w:p>
        </w:tc>
        <w:tc>
          <w:tcPr>
            <w:tcW w:w="761" w:type="dxa"/>
          </w:tcPr>
          <w:p w14:paraId="726F559D"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395" w:type="dxa"/>
          </w:tcPr>
          <w:p w14:paraId="34344EB0"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870" w:type="dxa"/>
          </w:tcPr>
          <w:p w14:paraId="55BB8A15"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Not specified</w:t>
            </w:r>
          </w:p>
        </w:tc>
        <w:tc>
          <w:tcPr>
            <w:tcW w:w="1122" w:type="dxa"/>
          </w:tcPr>
          <w:p w14:paraId="16AD20CC" w14:textId="77777777" w:rsidR="00D57755" w:rsidRPr="0098635C" w:rsidRDefault="00D57755" w:rsidP="002C6F71">
            <w:pPr>
              <w:pStyle w:val="Tablebody"/>
              <w:spacing w:before="0" w:after="0"/>
              <w:rPr>
                <w:rFonts w:ascii="Times New Roman" w:hAnsi="Times New Roman"/>
                <w:color w:val="000000" w:themeColor="text1"/>
                <w:sz w:val="20"/>
                <w:szCs w:val="20"/>
              </w:rPr>
            </w:pPr>
          </w:p>
        </w:tc>
        <w:tc>
          <w:tcPr>
            <w:tcW w:w="1870" w:type="dxa"/>
          </w:tcPr>
          <w:p w14:paraId="0ACFEB6F"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Albino rabbit</w:t>
            </w:r>
          </w:p>
        </w:tc>
        <w:tc>
          <w:tcPr>
            <w:tcW w:w="698" w:type="dxa"/>
          </w:tcPr>
          <w:p w14:paraId="6587B313"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M</w:t>
            </w:r>
          </w:p>
        </w:tc>
        <w:tc>
          <w:tcPr>
            <w:tcW w:w="1359" w:type="dxa"/>
          </w:tcPr>
          <w:p w14:paraId="21EDD11F"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&gt;2000</w:t>
            </w:r>
          </w:p>
        </w:tc>
        <w:tc>
          <w:tcPr>
            <w:tcW w:w="935" w:type="dxa"/>
          </w:tcPr>
          <w:p w14:paraId="3B7C5759"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2</w:t>
            </w:r>
          </w:p>
        </w:tc>
      </w:tr>
      <w:tr w:rsidR="00D57755" w:rsidRPr="0098635C" w14:paraId="62CCCAE4" w14:textId="77777777" w:rsidTr="002C6F71">
        <w:tc>
          <w:tcPr>
            <w:tcW w:w="2352" w:type="dxa"/>
          </w:tcPr>
          <w:p w14:paraId="3D8A0B93"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Sanders (2002b) </w:t>
            </w:r>
            <w:r w:rsidRPr="0098635C">
              <w:rPr>
                <w:rFonts w:ascii="Times New Roman" w:hAnsi="Times New Roman"/>
                <w:i/>
                <w:color w:val="000000" w:themeColor="text1"/>
                <w:sz w:val="20"/>
                <w:szCs w:val="20"/>
                <w:vertAlign w:val="superscript"/>
              </w:rPr>
              <w:t>a</w:t>
            </w:r>
          </w:p>
        </w:tc>
        <w:tc>
          <w:tcPr>
            <w:tcW w:w="1958" w:type="dxa"/>
          </w:tcPr>
          <w:p w14:paraId="73EADFF0"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Copper (II) oxide</w:t>
            </w:r>
          </w:p>
        </w:tc>
        <w:tc>
          <w:tcPr>
            <w:tcW w:w="761" w:type="dxa"/>
          </w:tcPr>
          <w:p w14:paraId="149DFCB7"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97.7</w:t>
            </w:r>
          </w:p>
        </w:tc>
        <w:tc>
          <w:tcPr>
            <w:tcW w:w="1395" w:type="dxa"/>
          </w:tcPr>
          <w:p w14:paraId="0BF4BC25"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870" w:type="dxa"/>
          </w:tcPr>
          <w:p w14:paraId="46E28BBE"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Annex V B.3</w:t>
            </w:r>
          </w:p>
        </w:tc>
        <w:tc>
          <w:tcPr>
            <w:tcW w:w="1122" w:type="dxa"/>
          </w:tcPr>
          <w:p w14:paraId="7C17C99E"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Water</w:t>
            </w:r>
          </w:p>
        </w:tc>
        <w:tc>
          <w:tcPr>
            <w:tcW w:w="1870" w:type="dxa"/>
          </w:tcPr>
          <w:p w14:paraId="379EAB2F"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Rat (SD)</w:t>
            </w:r>
          </w:p>
        </w:tc>
        <w:tc>
          <w:tcPr>
            <w:tcW w:w="698" w:type="dxa"/>
          </w:tcPr>
          <w:p w14:paraId="5D19FC6B"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M+F</w:t>
            </w:r>
          </w:p>
        </w:tc>
        <w:tc>
          <w:tcPr>
            <w:tcW w:w="1359" w:type="dxa"/>
          </w:tcPr>
          <w:p w14:paraId="48F5869D"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&gt;2000</w:t>
            </w:r>
          </w:p>
        </w:tc>
        <w:tc>
          <w:tcPr>
            <w:tcW w:w="935" w:type="dxa"/>
          </w:tcPr>
          <w:p w14:paraId="0E3A048A"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w:t>
            </w:r>
          </w:p>
        </w:tc>
      </w:tr>
      <w:tr w:rsidR="00D57755" w:rsidRPr="0098635C" w14:paraId="475A0773" w14:textId="77777777" w:rsidTr="002C6F71">
        <w:tc>
          <w:tcPr>
            <w:tcW w:w="2352" w:type="dxa"/>
          </w:tcPr>
          <w:p w14:paraId="659085D6"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Lheritier (1993) </w:t>
            </w:r>
            <w:r w:rsidRPr="0098635C">
              <w:rPr>
                <w:rFonts w:ascii="Times New Roman" w:hAnsi="Times New Roman"/>
                <w:i/>
                <w:color w:val="000000" w:themeColor="text1"/>
                <w:sz w:val="20"/>
                <w:szCs w:val="20"/>
                <w:vertAlign w:val="superscript"/>
              </w:rPr>
              <w:t>a</w:t>
            </w:r>
          </w:p>
        </w:tc>
        <w:tc>
          <w:tcPr>
            <w:tcW w:w="1958" w:type="dxa"/>
          </w:tcPr>
          <w:p w14:paraId="746B49FE"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Copper sulphate</w:t>
            </w:r>
          </w:p>
        </w:tc>
        <w:tc>
          <w:tcPr>
            <w:tcW w:w="761" w:type="dxa"/>
          </w:tcPr>
          <w:p w14:paraId="53027AA7"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u w:val="single"/>
              </w:rPr>
              <w:t>&gt;</w:t>
            </w:r>
            <w:r w:rsidRPr="0098635C">
              <w:rPr>
                <w:rFonts w:ascii="Times New Roman" w:hAnsi="Times New Roman"/>
                <w:color w:val="000000" w:themeColor="text1"/>
                <w:sz w:val="20"/>
                <w:szCs w:val="20"/>
              </w:rPr>
              <w:t>99</w:t>
            </w:r>
          </w:p>
        </w:tc>
        <w:tc>
          <w:tcPr>
            <w:tcW w:w="1395" w:type="dxa"/>
          </w:tcPr>
          <w:p w14:paraId="2128295E"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870" w:type="dxa"/>
          </w:tcPr>
          <w:p w14:paraId="1CC7C6AE"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Annex V B.3</w:t>
            </w:r>
          </w:p>
        </w:tc>
        <w:tc>
          <w:tcPr>
            <w:tcW w:w="1122" w:type="dxa"/>
          </w:tcPr>
          <w:p w14:paraId="371DB849"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Water</w:t>
            </w:r>
          </w:p>
        </w:tc>
        <w:tc>
          <w:tcPr>
            <w:tcW w:w="1870" w:type="dxa"/>
          </w:tcPr>
          <w:p w14:paraId="0A338F68"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Rat (SD)</w:t>
            </w:r>
          </w:p>
        </w:tc>
        <w:tc>
          <w:tcPr>
            <w:tcW w:w="698" w:type="dxa"/>
          </w:tcPr>
          <w:p w14:paraId="771135CF"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M+F</w:t>
            </w:r>
          </w:p>
        </w:tc>
        <w:tc>
          <w:tcPr>
            <w:tcW w:w="1359" w:type="dxa"/>
          </w:tcPr>
          <w:p w14:paraId="6A4A4CC5"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&gt;2000</w:t>
            </w:r>
          </w:p>
        </w:tc>
        <w:tc>
          <w:tcPr>
            <w:tcW w:w="935" w:type="dxa"/>
          </w:tcPr>
          <w:p w14:paraId="3F700419"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w:t>
            </w:r>
          </w:p>
        </w:tc>
      </w:tr>
      <w:tr w:rsidR="00D57755" w:rsidRPr="0098635C" w14:paraId="2EF54835" w14:textId="77777777" w:rsidTr="002C6F71">
        <w:tc>
          <w:tcPr>
            <w:tcW w:w="2352" w:type="dxa"/>
          </w:tcPr>
          <w:p w14:paraId="63DCB4D8"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Sterner &amp; Chibanguza (1988a) </w:t>
            </w:r>
            <w:r w:rsidRPr="0098635C">
              <w:rPr>
                <w:rFonts w:ascii="Times New Roman" w:hAnsi="Times New Roman"/>
                <w:i/>
                <w:color w:val="000000" w:themeColor="text1"/>
                <w:sz w:val="20"/>
                <w:szCs w:val="20"/>
                <w:vertAlign w:val="superscript"/>
              </w:rPr>
              <w:t>a</w:t>
            </w:r>
          </w:p>
        </w:tc>
        <w:tc>
          <w:tcPr>
            <w:tcW w:w="1958" w:type="dxa"/>
          </w:tcPr>
          <w:p w14:paraId="2512BC27" w14:textId="3C655671" w:rsidR="00D57755" w:rsidRPr="0098635C" w:rsidRDefault="00236182"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Dicopper chloride trihydroxide</w:t>
            </w:r>
          </w:p>
        </w:tc>
        <w:tc>
          <w:tcPr>
            <w:tcW w:w="761" w:type="dxa"/>
          </w:tcPr>
          <w:p w14:paraId="5AC8FD68"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395" w:type="dxa"/>
          </w:tcPr>
          <w:p w14:paraId="6BAE656E"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870" w:type="dxa"/>
          </w:tcPr>
          <w:p w14:paraId="1C762752"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Annex V B.3; OECD 402</w:t>
            </w:r>
          </w:p>
        </w:tc>
        <w:tc>
          <w:tcPr>
            <w:tcW w:w="1122" w:type="dxa"/>
          </w:tcPr>
          <w:p w14:paraId="7BCF4017"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Water</w:t>
            </w:r>
          </w:p>
        </w:tc>
        <w:tc>
          <w:tcPr>
            <w:tcW w:w="1870" w:type="dxa"/>
          </w:tcPr>
          <w:p w14:paraId="58DAA140"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Rat (Wistar)</w:t>
            </w:r>
          </w:p>
        </w:tc>
        <w:tc>
          <w:tcPr>
            <w:tcW w:w="698" w:type="dxa"/>
          </w:tcPr>
          <w:p w14:paraId="5668E77F"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M+F</w:t>
            </w:r>
          </w:p>
        </w:tc>
        <w:tc>
          <w:tcPr>
            <w:tcW w:w="1359" w:type="dxa"/>
          </w:tcPr>
          <w:p w14:paraId="1185C569"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&gt;2000</w:t>
            </w:r>
          </w:p>
        </w:tc>
        <w:tc>
          <w:tcPr>
            <w:tcW w:w="935" w:type="dxa"/>
          </w:tcPr>
          <w:p w14:paraId="53F3118E"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w:t>
            </w:r>
            <w:r w:rsidRPr="0098635C">
              <w:rPr>
                <w:rFonts w:ascii="Times New Roman" w:hAnsi="Times New Roman"/>
                <w:i/>
                <w:color w:val="000000" w:themeColor="text1"/>
                <w:sz w:val="20"/>
                <w:szCs w:val="20"/>
                <w:vertAlign w:val="superscript"/>
              </w:rPr>
              <w:t>c</w:t>
            </w:r>
          </w:p>
        </w:tc>
      </w:tr>
      <w:tr w:rsidR="00D57755" w:rsidRPr="0098635C" w14:paraId="10100D0D" w14:textId="77777777" w:rsidTr="002C6F71">
        <w:tc>
          <w:tcPr>
            <w:tcW w:w="2352" w:type="dxa"/>
          </w:tcPr>
          <w:p w14:paraId="12DFE802"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Deenihan (1987) </w:t>
            </w:r>
            <w:r w:rsidRPr="0098635C">
              <w:rPr>
                <w:rFonts w:ascii="Times New Roman" w:hAnsi="Times New Roman"/>
                <w:i/>
                <w:color w:val="000000" w:themeColor="text1"/>
                <w:sz w:val="20"/>
                <w:szCs w:val="20"/>
                <w:vertAlign w:val="superscript"/>
              </w:rPr>
              <w:t>a</w:t>
            </w:r>
          </w:p>
        </w:tc>
        <w:tc>
          <w:tcPr>
            <w:tcW w:w="1958" w:type="dxa"/>
          </w:tcPr>
          <w:p w14:paraId="32D44488" w14:textId="16B20E89" w:rsidR="00D57755" w:rsidRPr="0098635C" w:rsidRDefault="00236182"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Dicopper chloride trihydroxide</w:t>
            </w:r>
          </w:p>
        </w:tc>
        <w:tc>
          <w:tcPr>
            <w:tcW w:w="761" w:type="dxa"/>
          </w:tcPr>
          <w:p w14:paraId="1455EAE7"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395" w:type="dxa"/>
          </w:tcPr>
          <w:p w14:paraId="3F215D0F"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870" w:type="dxa"/>
          </w:tcPr>
          <w:p w14:paraId="7DFBEAAD"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US EPA 81-2</w:t>
            </w:r>
          </w:p>
        </w:tc>
        <w:tc>
          <w:tcPr>
            <w:tcW w:w="1122" w:type="dxa"/>
          </w:tcPr>
          <w:p w14:paraId="4466F412"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Deionised water</w:t>
            </w:r>
          </w:p>
        </w:tc>
        <w:tc>
          <w:tcPr>
            <w:tcW w:w="1870" w:type="dxa"/>
          </w:tcPr>
          <w:p w14:paraId="3CAE2EE1"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Rabbit (NZ White)</w:t>
            </w:r>
          </w:p>
        </w:tc>
        <w:tc>
          <w:tcPr>
            <w:tcW w:w="698" w:type="dxa"/>
          </w:tcPr>
          <w:p w14:paraId="01494D80"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M+F</w:t>
            </w:r>
          </w:p>
        </w:tc>
        <w:tc>
          <w:tcPr>
            <w:tcW w:w="1359" w:type="dxa"/>
          </w:tcPr>
          <w:p w14:paraId="742EE038"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&gt;2000</w:t>
            </w:r>
          </w:p>
        </w:tc>
        <w:tc>
          <w:tcPr>
            <w:tcW w:w="935" w:type="dxa"/>
          </w:tcPr>
          <w:p w14:paraId="455CB171"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w:t>
            </w:r>
            <w:r w:rsidRPr="0098635C">
              <w:rPr>
                <w:rFonts w:ascii="Times New Roman" w:hAnsi="Times New Roman"/>
                <w:i/>
                <w:color w:val="000000" w:themeColor="text1"/>
                <w:sz w:val="20"/>
                <w:szCs w:val="20"/>
                <w:vertAlign w:val="superscript"/>
              </w:rPr>
              <w:t>c</w:t>
            </w:r>
          </w:p>
        </w:tc>
      </w:tr>
      <w:tr w:rsidR="00D57755" w:rsidRPr="0098635C" w14:paraId="1C1841CE" w14:textId="77777777" w:rsidTr="002C6F71">
        <w:tc>
          <w:tcPr>
            <w:tcW w:w="2352" w:type="dxa"/>
          </w:tcPr>
          <w:p w14:paraId="52D16CC2"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Forster &amp; Luperi (1987b) </w:t>
            </w:r>
            <w:r w:rsidRPr="0098635C">
              <w:rPr>
                <w:rFonts w:ascii="Times New Roman" w:hAnsi="Times New Roman"/>
                <w:i/>
                <w:color w:val="000000" w:themeColor="text1"/>
                <w:sz w:val="20"/>
                <w:szCs w:val="20"/>
                <w:vertAlign w:val="superscript"/>
              </w:rPr>
              <w:t>a</w:t>
            </w:r>
          </w:p>
        </w:tc>
        <w:tc>
          <w:tcPr>
            <w:tcW w:w="1958" w:type="dxa"/>
          </w:tcPr>
          <w:p w14:paraId="474641CB" w14:textId="47E45D4F" w:rsidR="00D57755" w:rsidRPr="0098635C" w:rsidRDefault="00236182"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Dicopper chloride trihydroxide</w:t>
            </w:r>
          </w:p>
        </w:tc>
        <w:tc>
          <w:tcPr>
            <w:tcW w:w="761" w:type="dxa"/>
          </w:tcPr>
          <w:p w14:paraId="6D56D120"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395" w:type="dxa"/>
          </w:tcPr>
          <w:p w14:paraId="36A1A44C"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57.72</w:t>
            </w:r>
          </w:p>
        </w:tc>
        <w:tc>
          <w:tcPr>
            <w:tcW w:w="1870" w:type="dxa"/>
          </w:tcPr>
          <w:p w14:paraId="7228D232"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Annex V B.3; OECD 402</w:t>
            </w:r>
          </w:p>
        </w:tc>
        <w:tc>
          <w:tcPr>
            <w:tcW w:w="1122" w:type="dxa"/>
          </w:tcPr>
          <w:p w14:paraId="2314B928"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Distilled water</w:t>
            </w:r>
          </w:p>
        </w:tc>
        <w:tc>
          <w:tcPr>
            <w:tcW w:w="1870" w:type="dxa"/>
          </w:tcPr>
          <w:p w14:paraId="6D100A12"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Rabbit (NZ White)</w:t>
            </w:r>
          </w:p>
        </w:tc>
        <w:tc>
          <w:tcPr>
            <w:tcW w:w="698" w:type="dxa"/>
          </w:tcPr>
          <w:p w14:paraId="1B5F4CE0"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M+F</w:t>
            </w:r>
          </w:p>
        </w:tc>
        <w:tc>
          <w:tcPr>
            <w:tcW w:w="1359" w:type="dxa"/>
          </w:tcPr>
          <w:p w14:paraId="3214FC6D"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&gt;2000</w:t>
            </w:r>
          </w:p>
        </w:tc>
        <w:tc>
          <w:tcPr>
            <w:tcW w:w="935" w:type="dxa"/>
          </w:tcPr>
          <w:p w14:paraId="6A24AD46"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w:t>
            </w:r>
            <w:r w:rsidRPr="0098635C">
              <w:rPr>
                <w:rFonts w:ascii="Times New Roman" w:hAnsi="Times New Roman"/>
                <w:i/>
                <w:color w:val="000000" w:themeColor="text1"/>
                <w:sz w:val="20"/>
                <w:szCs w:val="20"/>
                <w:vertAlign w:val="superscript"/>
              </w:rPr>
              <w:t>c</w:t>
            </w:r>
          </w:p>
        </w:tc>
      </w:tr>
      <w:tr w:rsidR="00D57755" w:rsidRPr="0098635C" w14:paraId="480B7090" w14:textId="77777777" w:rsidTr="002C6F71">
        <w:tc>
          <w:tcPr>
            <w:tcW w:w="2352" w:type="dxa"/>
          </w:tcPr>
          <w:p w14:paraId="69A13A79"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Jackson (1994) </w:t>
            </w:r>
            <w:r w:rsidRPr="0098635C">
              <w:rPr>
                <w:rFonts w:ascii="Times New Roman" w:hAnsi="Times New Roman"/>
                <w:i/>
                <w:color w:val="000000" w:themeColor="text1"/>
                <w:sz w:val="20"/>
                <w:szCs w:val="20"/>
                <w:vertAlign w:val="superscript"/>
              </w:rPr>
              <w:t>a</w:t>
            </w:r>
          </w:p>
        </w:tc>
        <w:tc>
          <w:tcPr>
            <w:tcW w:w="1958" w:type="dxa"/>
          </w:tcPr>
          <w:p w14:paraId="694D2E76" w14:textId="1EDC7ABD" w:rsidR="00D57755" w:rsidRPr="0098635C" w:rsidRDefault="00236182"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Dicopper chloride trihydroxide</w:t>
            </w:r>
          </w:p>
        </w:tc>
        <w:tc>
          <w:tcPr>
            <w:tcW w:w="761" w:type="dxa"/>
          </w:tcPr>
          <w:p w14:paraId="50FC6465"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395" w:type="dxa"/>
          </w:tcPr>
          <w:p w14:paraId="7DA4565F"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870" w:type="dxa"/>
          </w:tcPr>
          <w:p w14:paraId="249278FE"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Annex V B.3; OECD 402</w:t>
            </w:r>
          </w:p>
        </w:tc>
        <w:tc>
          <w:tcPr>
            <w:tcW w:w="1122" w:type="dxa"/>
          </w:tcPr>
          <w:p w14:paraId="22387321"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Distilled water</w:t>
            </w:r>
          </w:p>
        </w:tc>
        <w:tc>
          <w:tcPr>
            <w:tcW w:w="1870" w:type="dxa"/>
          </w:tcPr>
          <w:p w14:paraId="6AA57E12"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Rat (SD)</w:t>
            </w:r>
          </w:p>
        </w:tc>
        <w:tc>
          <w:tcPr>
            <w:tcW w:w="698" w:type="dxa"/>
          </w:tcPr>
          <w:p w14:paraId="69E26482"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M+F</w:t>
            </w:r>
          </w:p>
        </w:tc>
        <w:tc>
          <w:tcPr>
            <w:tcW w:w="1359" w:type="dxa"/>
          </w:tcPr>
          <w:p w14:paraId="2D36C59D"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&gt;2000</w:t>
            </w:r>
          </w:p>
        </w:tc>
        <w:tc>
          <w:tcPr>
            <w:tcW w:w="935" w:type="dxa"/>
          </w:tcPr>
          <w:p w14:paraId="2947F194"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w:t>
            </w:r>
            <w:r w:rsidRPr="0098635C">
              <w:rPr>
                <w:rFonts w:ascii="Times New Roman" w:hAnsi="Times New Roman"/>
                <w:i/>
                <w:color w:val="000000" w:themeColor="text1"/>
                <w:sz w:val="20"/>
                <w:szCs w:val="20"/>
                <w:vertAlign w:val="superscript"/>
              </w:rPr>
              <w:t>c</w:t>
            </w:r>
          </w:p>
        </w:tc>
      </w:tr>
      <w:tr w:rsidR="00D57755" w:rsidRPr="0098635C" w14:paraId="01E9E8EF" w14:textId="77777777" w:rsidTr="002C6F71">
        <w:tc>
          <w:tcPr>
            <w:tcW w:w="2352" w:type="dxa"/>
          </w:tcPr>
          <w:p w14:paraId="79EA2E2F"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Sanders (2001a) </w:t>
            </w:r>
            <w:r w:rsidRPr="0098635C">
              <w:rPr>
                <w:rFonts w:ascii="Times New Roman" w:hAnsi="Times New Roman"/>
                <w:i/>
                <w:color w:val="000000" w:themeColor="text1"/>
                <w:sz w:val="20"/>
                <w:szCs w:val="20"/>
                <w:vertAlign w:val="superscript"/>
              </w:rPr>
              <w:t>a</w:t>
            </w:r>
          </w:p>
        </w:tc>
        <w:tc>
          <w:tcPr>
            <w:tcW w:w="1958" w:type="dxa"/>
          </w:tcPr>
          <w:p w14:paraId="27FAB42A"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Copper powder</w:t>
            </w:r>
          </w:p>
        </w:tc>
        <w:tc>
          <w:tcPr>
            <w:tcW w:w="761" w:type="dxa"/>
          </w:tcPr>
          <w:p w14:paraId="57DE8919"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395" w:type="dxa"/>
          </w:tcPr>
          <w:p w14:paraId="0F3E55C2"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870" w:type="dxa"/>
          </w:tcPr>
          <w:p w14:paraId="656CA680"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Annex V B.3</w:t>
            </w:r>
          </w:p>
        </w:tc>
        <w:tc>
          <w:tcPr>
            <w:tcW w:w="1122" w:type="dxa"/>
          </w:tcPr>
          <w:p w14:paraId="143C7117"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Arachis oil</w:t>
            </w:r>
          </w:p>
        </w:tc>
        <w:tc>
          <w:tcPr>
            <w:tcW w:w="1870" w:type="dxa"/>
          </w:tcPr>
          <w:p w14:paraId="6DCB4B1B"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Rat (SD)</w:t>
            </w:r>
          </w:p>
        </w:tc>
        <w:tc>
          <w:tcPr>
            <w:tcW w:w="698" w:type="dxa"/>
          </w:tcPr>
          <w:p w14:paraId="2B0D3D27"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M+F</w:t>
            </w:r>
          </w:p>
        </w:tc>
        <w:tc>
          <w:tcPr>
            <w:tcW w:w="1359" w:type="dxa"/>
          </w:tcPr>
          <w:p w14:paraId="35EFBBD6"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&gt;2000</w:t>
            </w:r>
          </w:p>
        </w:tc>
        <w:tc>
          <w:tcPr>
            <w:tcW w:w="935" w:type="dxa"/>
          </w:tcPr>
          <w:p w14:paraId="4905E333" w14:textId="77777777" w:rsidR="00D57755" w:rsidRPr="0098635C" w:rsidRDefault="00D57755"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w:t>
            </w:r>
            <w:r w:rsidRPr="0098635C">
              <w:rPr>
                <w:rFonts w:ascii="Times New Roman" w:hAnsi="Times New Roman"/>
                <w:i/>
                <w:color w:val="000000" w:themeColor="text1"/>
                <w:sz w:val="20"/>
                <w:szCs w:val="20"/>
                <w:vertAlign w:val="superscript"/>
              </w:rPr>
              <w:t>c</w:t>
            </w:r>
          </w:p>
        </w:tc>
      </w:tr>
    </w:tbl>
    <w:p w14:paraId="0599BE4B" w14:textId="77777777" w:rsidR="00D57755" w:rsidRPr="0098635C" w:rsidRDefault="00D57755" w:rsidP="00982513">
      <w:pPr>
        <w:pStyle w:val="Tablenote"/>
        <w:spacing w:before="0"/>
        <w:rPr>
          <w:color w:val="000000" w:themeColor="text1"/>
        </w:rPr>
      </w:pPr>
      <w:r w:rsidRPr="0098635C">
        <w:rPr>
          <w:color w:val="000000" w:themeColor="text1"/>
        </w:rPr>
        <w:t xml:space="preserve">NR - not reported.      </w:t>
      </w:r>
      <w:r w:rsidRPr="0098635C">
        <w:rPr>
          <w:b/>
          <w:i/>
          <w:color w:val="000000" w:themeColor="text1"/>
        </w:rPr>
        <w:t>a</w:t>
      </w:r>
      <w:r w:rsidRPr="0098635C">
        <w:rPr>
          <w:color w:val="000000" w:themeColor="text1"/>
        </w:rPr>
        <w:t xml:space="preserve">  unpublished report.      </w:t>
      </w:r>
      <w:r w:rsidRPr="0098635C">
        <w:rPr>
          <w:b/>
          <w:i/>
          <w:color w:val="000000" w:themeColor="text1"/>
        </w:rPr>
        <w:t>b</w:t>
      </w:r>
      <w:r w:rsidRPr="0098635C">
        <w:rPr>
          <w:color w:val="000000" w:themeColor="text1"/>
        </w:rPr>
        <w:t xml:space="preserve">  based on evaluation criteria developed by Klimisch </w:t>
      </w:r>
      <w:r w:rsidRPr="0098635C">
        <w:rPr>
          <w:i/>
          <w:color w:val="000000" w:themeColor="text1"/>
        </w:rPr>
        <w:t>et al</w:t>
      </w:r>
      <w:r w:rsidRPr="0098635C">
        <w:rPr>
          <w:color w:val="000000" w:themeColor="text1"/>
        </w:rPr>
        <w:t xml:space="preserve"> (1997).</w:t>
      </w:r>
    </w:p>
    <w:p w14:paraId="7625EFD4" w14:textId="77777777" w:rsidR="00D57755" w:rsidRPr="0098635C" w:rsidRDefault="00D57755" w:rsidP="00982513">
      <w:pPr>
        <w:pStyle w:val="Tablenote"/>
        <w:spacing w:before="0"/>
        <w:rPr>
          <w:color w:val="000000" w:themeColor="text1"/>
        </w:rPr>
      </w:pPr>
      <w:r w:rsidRPr="0098635C">
        <w:rPr>
          <w:b/>
          <w:i/>
          <w:color w:val="000000" w:themeColor="text1"/>
        </w:rPr>
        <w:t>c</w:t>
      </w:r>
      <w:r w:rsidRPr="0098635C">
        <w:rPr>
          <w:color w:val="000000" w:themeColor="text1"/>
        </w:rPr>
        <w:t xml:space="preserve">  a study rating of ‘1’ was considered appropriate for this study, even though purity data were not provided.</w:t>
      </w:r>
    </w:p>
    <w:p w14:paraId="286E8BC6" w14:textId="77777777" w:rsidR="00D57755" w:rsidRPr="0098635C" w:rsidRDefault="00D57755" w:rsidP="00D57755">
      <w:pPr>
        <w:pStyle w:val="BodyText"/>
        <w:rPr>
          <w:color w:val="000000" w:themeColor="text1"/>
          <w:sz w:val="20"/>
        </w:rPr>
        <w:sectPr w:rsidR="00D57755" w:rsidRPr="0098635C" w:rsidSect="00304EA1">
          <w:headerReference w:type="even" r:id="rId41"/>
          <w:headerReference w:type="default" r:id="rId42"/>
          <w:footerReference w:type="even" r:id="rId43"/>
          <w:footerReference w:type="default" r:id="rId44"/>
          <w:headerReference w:type="first" r:id="rId45"/>
          <w:footerReference w:type="first" r:id="rId46"/>
          <w:pgSz w:w="16840" w:h="11900" w:orient="landscape"/>
          <w:pgMar w:top="1440" w:right="1440" w:bottom="1440" w:left="1440" w:header="720" w:footer="720" w:gutter="0"/>
          <w:cols w:space="720"/>
          <w:noEndnote/>
          <w:titlePg/>
        </w:sectPr>
      </w:pPr>
    </w:p>
    <w:p w14:paraId="579138E9" w14:textId="224336DA" w:rsidR="00FB0F1B" w:rsidRPr="0098635C" w:rsidRDefault="00FB0F1B" w:rsidP="00FB0F1B">
      <w:pPr>
        <w:spacing w:line="276" w:lineRule="auto"/>
        <w:outlineLvl w:val="0"/>
        <w:rPr>
          <w:rFonts w:eastAsia="Calibri"/>
          <w:color w:val="000000" w:themeColor="text1"/>
          <w:sz w:val="20"/>
          <w:szCs w:val="20"/>
        </w:rPr>
      </w:pPr>
      <w:bookmarkStart w:id="2271" w:name="_Toc472000499"/>
      <w:bookmarkStart w:id="2272" w:name="_Toc472251859"/>
      <w:r w:rsidRPr="0098635C">
        <w:rPr>
          <w:rFonts w:eastAsia="Calibri"/>
          <w:color w:val="000000" w:themeColor="text1"/>
          <w:sz w:val="20"/>
          <w:szCs w:val="20"/>
        </w:rPr>
        <w:lastRenderedPageBreak/>
        <w:t xml:space="preserve">Annex </w:t>
      </w:r>
      <w:r w:rsidR="00D57755" w:rsidRPr="0098635C">
        <w:rPr>
          <w:rFonts w:eastAsia="Calibri"/>
          <w:color w:val="000000" w:themeColor="text1"/>
          <w:sz w:val="20"/>
          <w:szCs w:val="20"/>
        </w:rPr>
        <w:t>VI</w:t>
      </w:r>
      <w:r w:rsidRPr="0098635C">
        <w:rPr>
          <w:rFonts w:eastAsia="Calibri"/>
          <w:color w:val="000000" w:themeColor="text1"/>
          <w:sz w:val="20"/>
          <w:szCs w:val="20"/>
        </w:rPr>
        <w:t>: Summary of acute oral toxicity studies in animals</w:t>
      </w:r>
      <w:bookmarkEnd w:id="2271"/>
      <w:bookmarkEnd w:id="2272"/>
      <w:r w:rsidRPr="0098635C">
        <w:rPr>
          <w:rFonts w:eastAsia="Calibri"/>
          <w:color w:val="000000" w:themeColor="text1"/>
          <w:sz w:val="20"/>
          <w:szCs w:val="20"/>
        </w:rPr>
        <w:t xml:space="preserve"> </w:t>
      </w:r>
    </w:p>
    <w:tbl>
      <w:tblPr>
        <w:tblW w:w="1417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366"/>
        <w:gridCol w:w="1748"/>
        <w:gridCol w:w="948"/>
        <w:gridCol w:w="1293"/>
        <w:gridCol w:w="2180"/>
        <w:gridCol w:w="1504"/>
        <w:gridCol w:w="1090"/>
        <w:gridCol w:w="618"/>
        <w:gridCol w:w="1457"/>
        <w:gridCol w:w="972"/>
      </w:tblGrid>
      <w:tr w:rsidR="00FB0F1B" w:rsidRPr="0098635C" w14:paraId="1DF8EDA1" w14:textId="77777777" w:rsidTr="002C6F71">
        <w:trPr>
          <w:cantSplit/>
          <w:trHeight w:val="467"/>
          <w:tblHeader/>
        </w:trPr>
        <w:tc>
          <w:tcPr>
            <w:tcW w:w="0" w:type="auto"/>
            <w:vMerge w:val="restart"/>
          </w:tcPr>
          <w:p w14:paraId="79413941" w14:textId="77777777" w:rsidR="00FB0F1B" w:rsidRPr="0098635C" w:rsidRDefault="00FB0F1B" w:rsidP="002C6F71">
            <w:pPr>
              <w:pStyle w:val="Tableheading"/>
              <w:spacing w:before="0" w:after="0"/>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 xml:space="preserve">Reference </w:t>
            </w:r>
            <w:r w:rsidRPr="0098635C">
              <w:rPr>
                <w:rFonts w:ascii="Times New Roman" w:hAnsi="Times New Roman" w:cs="Times New Roman"/>
                <w:i/>
                <w:color w:val="000000" w:themeColor="text1"/>
                <w:sz w:val="20"/>
                <w:szCs w:val="20"/>
                <w:vertAlign w:val="superscript"/>
              </w:rPr>
              <w:t>a</w:t>
            </w:r>
          </w:p>
        </w:tc>
        <w:tc>
          <w:tcPr>
            <w:tcW w:w="0" w:type="auto"/>
            <w:gridSpan w:val="3"/>
          </w:tcPr>
          <w:p w14:paraId="563E610E" w14:textId="77777777" w:rsidR="00FB0F1B" w:rsidRPr="0098635C" w:rsidRDefault="00FB0F1B" w:rsidP="002C6F71">
            <w:pPr>
              <w:pStyle w:val="Tableheading"/>
              <w:spacing w:before="0" w:after="0"/>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Substance</w:t>
            </w:r>
          </w:p>
        </w:tc>
        <w:tc>
          <w:tcPr>
            <w:tcW w:w="0" w:type="auto"/>
            <w:vMerge w:val="restart"/>
          </w:tcPr>
          <w:p w14:paraId="321E4C66" w14:textId="77777777" w:rsidR="00FB0F1B" w:rsidRPr="0098635C" w:rsidRDefault="00FB0F1B" w:rsidP="002C6F71">
            <w:pPr>
              <w:pStyle w:val="Tableheading"/>
              <w:spacing w:before="0" w:after="0"/>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Reported test method</w:t>
            </w:r>
          </w:p>
        </w:tc>
        <w:tc>
          <w:tcPr>
            <w:tcW w:w="1504" w:type="dxa"/>
            <w:vMerge w:val="restart"/>
          </w:tcPr>
          <w:p w14:paraId="4F65B7A0" w14:textId="77777777" w:rsidR="00FB0F1B" w:rsidRPr="0098635C" w:rsidRDefault="00FB0F1B" w:rsidP="002C6F71">
            <w:pPr>
              <w:pStyle w:val="Tableheading"/>
              <w:spacing w:before="0" w:after="0"/>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Vehicle</w:t>
            </w:r>
          </w:p>
        </w:tc>
        <w:tc>
          <w:tcPr>
            <w:tcW w:w="1090" w:type="dxa"/>
            <w:vMerge w:val="restart"/>
          </w:tcPr>
          <w:p w14:paraId="0C425569" w14:textId="77777777" w:rsidR="00FB0F1B" w:rsidRPr="0098635C" w:rsidRDefault="00FB0F1B" w:rsidP="002C6F71">
            <w:pPr>
              <w:pStyle w:val="Tableheading"/>
              <w:spacing w:before="0" w:after="0"/>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Species (strain)</w:t>
            </w:r>
          </w:p>
        </w:tc>
        <w:tc>
          <w:tcPr>
            <w:tcW w:w="618" w:type="dxa"/>
            <w:vMerge w:val="restart"/>
          </w:tcPr>
          <w:p w14:paraId="67D36047" w14:textId="77777777" w:rsidR="00FB0F1B" w:rsidRPr="0098635C" w:rsidRDefault="00FB0F1B" w:rsidP="002C6F71">
            <w:pPr>
              <w:pStyle w:val="Tableheading"/>
              <w:spacing w:before="0" w:after="0"/>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Sex</w:t>
            </w:r>
          </w:p>
        </w:tc>
        <w:tc>
          <w:tcPr>
            <w:tcW w:w="1457" w:type="dxa"/>
            <w:vMerge w:val="restart"/>
          </w:tcPr>
          <w:p w14:paraId="33217A68" w14:textId="77777777" w:rsidR="00FB0F1B" w:rsidRPr="0098635C" w:rsidRDefault="00FB0F1B" w:rsidP="002C6F71">
            <w:pPr>
              <w:pStyle w:val="Tableheading"/>
              <w:spacing w:before="0" w:after="0"/>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LD</w:t>
            </w:r>
            <w:r w:rsidRPr="0098635C">
              <w:rPr>
                <w:rFonts w:ascii="Times New Roman" w:hAnsi="Times New Roman" w:cs="Times New Roman"/>
                <w:color w:val="000000" w:themeColor="text1"/>
                <w:sz w:val="20"/>
                <w:szCs w:val="20"/>
                <w:vertAlign w:val="subscript"/>
              </w:rPr>
              <w:t>50</w:t>
            </w:r>
            <w:r w:rsidRPr="0098635C">
              <w:rPr>
                <w:rFonts w:ascii="Times New Roman" w:hAnsi="Times New Roman" w:cs="Times New Roman"/>
                <w:color w:val="000000" w:themeColor="text1"/>
                <w:sz w:val="20"/>
                <w:szCs w:val="20"/>
              </w:rPr>
              <w:t xml:space="preserve"> value</w:t>
            </w:r>
          </w:p>
          <w:p w14:paraId="2661AFDD" w14:textId="77777777" w:rsidR="00FB0F1B" w:rsidRPr="0098635C" w:rsidRDefault="00FB0F1B" w:rsidP="002C6F71">
            <w:pPr>
              <w:pStyle w:val="Tableheading"/>
              <w:spacing w:before="0" w:after="0"/>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(mg/kg BW)</w:t>
            </w:r>
          </w:p>
        </w:tc>
        <w:tc>
          <w:tcPr>
            <w:tcW w:w="972" w:type="dxa"/>
            <w:vMerge w:val="restart"/>
          </w:tcPr>
          <w:p w14:paraId="0CA48116" w14:textId="77777777" w:rsidR="00FB0F1B" w:rsidRPr="0098635C" w:rsidRDefault="00FB0F1B" w:rsidP="002C6F71">
            <w:pPr>
              <w:pStyle w:val="Tableheading"/>
              <w:spacing w:before="0" w:after="0"/>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Study rating</w:t>
            </w:r>
            <w:r w:rsidRPr="0098635C">
              <w:rPr>
                <w:rFonts w:ascii="Times New Roman" w:hAnsi="Times New Roman" w:cs="Times New Roman"/>
                <w:i/>
                <w:color w:val="000000" w:themeColor="text1"/>
                <w:sz w:val="20"/>
                <w:szCs w:val="20"/>
                <w:vertAlign w:val="superscript"/>
              </w:rPr>
              <w:t>b</w:t>
            </w:r>
          </w:p>
        </w:tc>
      </w:tr>
      <w:tr w:rsidR="00FB0F1B" w:rsidRPr="0098635C" w14:paraId="423CD32F" w14:textId="77777777" w:rsidTr="002C6F71">
        <w:trPr>
          <w:cantSplit/>
          <w:trHeight w:val="467"/>
          <w:tblHeader/>
        </w:trPr>
        <w:tc>
          <w:tcPr>
            <w:tcW w:w="0" w:type="auto"/>
            <w:vMerge/>
          </w:tcPr>
          <w:p w14:paraId="71C0FBA6" w14:textId="77777777" w:rsidR="00FB0F1B" w:rsidRPr="0098635C" w:rsidRDefault="00FB0F1B" w:rsidP="002C6F71">
            <w:pPr>
              <w:pStyle w:val="Tableheading"/>
              <w:spacing w:before="0" w:after="0"/>
              <w:jc w:val="center"/>
              <w:rPr>
                <w:rFonts w:ascii="Times New Roman" w:hAnsi="Times New Roman" w:cs="Times New Roman"/>
                <w:color w:val="000000" w:themeColor="text1"/>
                <w:sz w:val="20"/>
                <w:szCs w:val="20"/>
              </w:rPr>
            </w:pPr>
          </w:p>
        </w:tc>
        <w:tc>
          <w:tcPr>
            <w:tcW w:w="1748" w:type="dxa"/>
          </w:tcPr>
          <w:p w14:paraId="1382F80F" w14:textId="77777777" w:rsidR="00FB0F1B" w:rsidRPr="0098635C" w:rsidRDefault="00FB0F1B" w:rsidP="002C6F71">
            <w:pPr>
              <w:pStyle w:val="Tableheading"/>
              <w:spacing w:before="0" w:after="0"/>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Identity</w:t>
            </w:r>
          </w:p>
        </w:tc>
        <w:tc>
          <w:tcPr>
            <w:tcW w:w="948" w:type="dxa"/>
          </w:tcPr>
          <w:p w14:paraId="22730888" w14:textId="77777777" w:rsidR="00FB0F1B" w:rsidRPr="0098635C" w:rsidRDefault="00FB0F1B" w:rsidP="002C6F71">
            <w:pPr>
              <w:pStyle w:val="Tableheading"/>
              <w:spacing w:before="0" w:after="0"/>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Purity (%)</w:t>
            </w:r>
          </w:p>
        </w:tc>
        <w:tc>
          <w:tcPr>
            <w:tcW w:w="1293" w:type="dxa"/>
          </w:tcPr>
          <w:p w14:paraId="321AFBE9" w14:textId="77777777" w:rsidR="00FB0F1B" w:rsidRPr="0098635C" w:rsidRDefault="00FB0F1B" w:rsidP="002C6F71">
            <w:pPr>
              <w:pStyle w:val="Tableheading"/>
              <w:spacing w:before="0" w:after="0"/>
              <w:jc w:val="center"/>
              <w:rPr>
                <w:rFonts w:ascii="Times New Roman" w:hAnsi="Times New Roman" w:cs="Times New Roman"/>
                <w:color w:val="000000" w:themeColor="text1"/>
                <w:sz w:val="20"/>
                <w:szCs w:val="20"/>
                <w:lang w:val="fr-FR"/>
              </w:rPr>
            </w:pPr>
            <w:r w:rsidRPr="0098635C">
              <w:rPr>
                <w:rFonts w:ascii="Times New Roman" w:hAnsi="Times New Roman" w:cs="Times New Roman"/>
                <w:color w:val="000000" w:themeColor="text1"/>
                <w:sz w:val="20"/>
                <w:szCs w:val="20"/>
                <w:lang w:val="fr-FR"/>
              </w:rPr>
              <w:t>Cu content</w:t>
            </w:r>
          </w:p>
          <w:p w14:paraId="503EDD74" w14:textId="77777777" w:rsidR="00FB0F1B" w:rsidRPr="0098635C" w:rsidRDefault="00FB0F1B" w:rsidP="002C6F71">
            <w:pPr>
              <w:pStyle w:val="Tableheading"/>
              <w:spacing w:before="0" w:after="0"/>
              <w:jc w:val="center"/>
              <w:rPr>
                <w:rFonts w:ascii="Times New Roman" w:hAnsi="Times New Roman" w:cs="Times New Roman"/>
                <w:color w:val="000000" w:themeColor="text1"/>
                <w:sz w:val="20"/>
                <w:szCs w:val="20"/>
                <w:lang w:val="fr-FR"/>
              </w:rPr>
            </w:pPr>
            <w:r w:rsidRPr="0098635C">
              <w:rPr>
                <w:rFonts w:ascii="Times New Roman" w:hAnsi="Times New Roman" w:cs="Times New Roman"/>
                <w:color w:val="000000" w:themeColor="text1"/>
                <w:sz w:val="20"/>
                <w:szCs w:val="20"/>
                <w:lang w:val="fr-FR"/>
              </w:rPr>
              <w:t>(% w/w Cu)</w:t>
            </w:r>
          </w:p>
        </w:tc>
        <w:tc>
          <w:tcPr>
            <w:tcW w:w="0" w:type="auto"/>
            <w:vMerge/>
          </w:tcPr>
          <w:p w14:paraId="16C293BE" w14:textId="77777777" w:rsidR="00FB0F1B" w:rsidRPr="0098635C" w:rsidRDefault="00FB0F1B" w:rsidP="002C6F71">
            <w:pPr>
              <w:pStyle w:val="Tableheading"/>
              <w:spacing w:before="0" w:after="0"/>
              <w:jc w:val="center"/>
              <w:rPr>
                <w:rFonts w:ascii="Times New Roman" w:hAnsi="Times New Roman" w:cs="Times New Roman"/>
                <w:color w:val="000000" w:themeColor="text1"/>
                <w:sz w:val="20"/>
                <w:szCs w:val="20"/>
                <w:lang w:val="fr-FR"/>
              </w:rPr>
            </w:pPr>
          </w:p>
        </w:tc>
        <w:tc>
          <w:tcPr>
            <w:tcW w:w="1504" w:type="dxa"/>
            <w:vMerge/>
          </w:tcPr>
          <w:p w14:paraId="41AAA961" w14:textId="77777777" w:rsidR="00FB0F1B" w:rsidRPr="0098635C" w:rsidRDefault="00FB0F1B" w:rsidP="002C6F71">
            <w:pPr>
              <w:pStyle w:val="Tableheading"/>
              <w:spacing w:before="0" w:after="0"/>
              <w:jc w:val="center"/>
              <w:rPr>
                <w:rFonts w:ascii="Times New Roman" w:hAnsi="Times New Roman" w:cs="Times New Roman"/>
                <w:color w:val="000000" w:themeColor="text1"/>
                <w:sz w:val="20"/>
                <w:szCs w:val="20"/>
                <w:lang w:val="fr-FR"/>
              </w:rPr>
            </w:pPr>
          </w:p>
        </w:tc>
        <w:tc>
          <w:tcPr>
            <w:tcW w:w="1090" w:type="dxa"/>
            <w:vMerge/>
          </w:tcPr>
          <w:p w14:paraId="4B30C169" w14:textId="77777777" w:rsidR="00FB0F1B" w:rsidRPr="0098635C" w:rsidRDefault="00FB0F1B" w:rsidP="002C6F71">
            <w:pPr>
              <w:pStyle w:val="Tableheading"/>
              <w:spacing w:before="0" w:after="0"/>
              <w:jc w:val="center"/>
              <w:rPr>
                <w:rFonts w:ascii="Times New Roman" w:hAnsi="Times New Roman" w:cs="Times New Roman"/>
                <w:color w:val="000000" w:themeColor="text1"/>
                <w:sz w:val="20"/>
                <w:szCs w:val="20"/>
                <w:lang w:val="fr-FR"/>
              </w:rPr>
            </w:pPr>
          </w:p>
        </w:tc>
        <w:tc>
          <w:tcPr>
            <w:tcW w:w="618" w:type="dxa"/>
            <w:vMerge/>
          </w:tcPr>
          <w:p w14:paraId="2878A473" w14:textId="77777777" w:rsidR="00FB0F1B" w:rsidRPr="0098635C" w:rsidRDefault="00FB0F1B" w:rsidP="002C6F71">
            <w:pPr>
              <w:pStyle w:val="Tableheading"/>
              <w:spacing w:before="0" w:after="0"/>
              <w:jc w:val="center"/>
              <w:rPr>
                <w:rFonts w:ascii="Times New Roman" w:hAnsi="Times New Roman" w:cs="Times New Roman"/>
                <w:color w:val="000000" w:themeColor="text1"/>
                <w:sz w:val="20"/>
                <w:szCs w:val="20"/>
                <w:lang w:val="fr-FR"/>
              </w:rPr>
            </w:pPr>
          </w:p>
        </w:tc>
        <w:tc>
          <w:tcPr>
            <w:tcW w:w="1457" w:type="dxa"/>
            <w:vMerge/>
          </w:tcPr>
          <w:p w14:paraId="3749984F" w14:textId="77777777" w:rsidR="00FB0F1B" w:rsidRPr="0098635C" w:rsidRDefault="00FB0F1B" w:rsidP="002C6F71">
            <w:pPr>
              <w:pStyle w:val="Tableheading"/>
              <w:spacing w:before="0" w:after="0"/>
              <w:jc w:val="center"/>
              <w:rPr>
                <w:rFonts w:ascii="Times New Roman" w:hAnsi="Times New Roman" w:cs="Times New Roman"/>
                <w:color w:val="000000" w:themeColor="text1"/>
                <w:sz w:val="20"/>
                <w:szCs w:val="20"/>
                <w:lang w:val="fr-FR"/>
              </w:rPr>
            </w:pPr>
          </w:p>
        </w:tc>
        <w:tc>
          <w:tcPr>
            <w:tcW w:w="972" w:type="dxa"/>
            <w:vMerge/>
          </w:tcPr>
          <w:p w14:paraId="1D64E1F2" w14:textId="77777777" w:rsidR="00FB0F1B" w:rsidRPr="0098635C" w:rsidRDefault="00FB0F1B" w:rsidP="002C6F71">
            <w:pPr>
              <w:pStyle w:val="Tableheading"/>
              <w:spacing w:before="0" w:after="0"/>
              <w:jc w:val="center"/>
              <w:rPr>
                <w:rFonts w:ascii="Times New Roman" w:hAnsi="Times New Roman" w:cs="Times New Roman"/>
                <w:color w:val="000000" w:themeColor="text1"/>
                <w:sz w:val="20"/>
                <w:szCs w:val="20"/>
                <w:lang w:val="fr-FR"/>
              </w:rPr>
            </w:pPr>
          </w:p>
        </w:tc>
      </w:tr>
      <w:tr w:rsidR="00FB0F1B" w:rsidRPr="0098635C" w14:paraId="2226D669" w14:textId="77777777" w:rsidTr="002C6F71">
        <w:tc>
          <w:tcPr>
            <w:tcW w:w="0" w:type="auto"/>
          </w:tcPr>
          <w:p w14:paraId="327E9CD9"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Collier &amp; Wilson (1984c) </w:t>
            </w:r>
            <w:r w:rsidRPr="0098635C">
              <w:rPr>
                <w:rFonts w:ascii="Times New Roman" w:hAnsi="Times New Roman"/>
                <w:i/>
                <w:color w:val="000000" w:themeColor="text1"/>
                <w:sz w:val="20"/>
                <w:szCs w:val="20"/>
                <w:vertAlign w:val="superscript"/>
              </w:rPr>
              <w:t>a</w:t>
            </w:r>
          </w:p>
        </w:tc>
        <w:tc>
          <w:tcPr>
            <w:tcW w:w="1748" w:type="dxa"/>
          </w:tcPr>
          <w:p w14:paraId="3E540474"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Copper (I) oxide</w:t>
            </w:r>
          </w:p>
        </w:tc>
        <w:tc>
          <w:tcPr>
            <w:tcW w:w="948" w:type="dxa"/>
          </w:tcPr>
          <w:p w14:paraId="383BA4E4"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293" w:type="dxa"/>
          </w:tcPr>
          <w:p w14:paraId="633194FE"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0" w:type="auto"/>
          </w:tcPr>
          <w:p w14:paraId="002DD022"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Annex V B.1</w:t>
            </w:r>
          </w:p>
        </w:tc>
        <w:tc>
          <w:tcPr>
            <w:tcW w:w="1504" w:type="dxa"/>
          </w:tcPr>
          <w:p w14:paraId="7896657D"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Arachis oil</w:t>
            </w:r>
          </w:p>
        </w:tc>
        <w:tc>
          <w:tcPr>
            <w:tcW w:w="1090" w:type="dxa"/>
          </w:tcPr>
          <w:p w14:paraId="3CC07502"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Rat (SD)</w:t>
            </w:r>
          </w:p>
        </w:tc>
        <w:tc>
          <w:tcPr>
            <w:tcW w:w="618" w:type="dxa"/>
          </w:tcPr>
          <w:p w14:paraId="3E5594AF"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M+F</w:t>
            </w:r>
          </w:p>
        </w:tc>
        <w:tc>
          <w:tcPr>
            <w:tcW w:w="1457" w:type="dxa"/>
          </w:tcPr>
          <w:p w14:paraId="7435D7EF"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1340</w:t>
            </w:r>
          </w:p>
        </w:tc>
        <w:tc>
          <w:tcPr>
            <w:tcW w:w="972" w:type="dxa"/>
          </w:tcPr>
          <w:p w14:paraId="50A9EE46"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w:t>
            </w:r>
            <w:r w:rsidRPr="0098635C">
              <w:rPr>
                <w:rFonts w:ascii="Times New Roman" w:hAnsi="Times New Roman"/>
                <w:i/>
                <w:color w:val="000000" w:themeColor="text1"/>
                <w:sz w:val="20"/>
                <w:szCs w:val="20"/>
                <w:vertAlign w:val="superscript"/>
              </w:rPr>
              <w:t>d</w:t>
            </w:r>
          </w:p>
        </w:tc>
      </w:tr>
      <w:tr w:rsidR="00FB0F1B" w:rsidRPr="0098635C" w14:paraId="4CC2621B" w14:textId="77777777" w:rsidTr="002C6F71">
        <w:tc>
          <w:tcPr>
            <w:tcW w:w="0" w:type="auto"/>
          </w:tcPr>
          <w:p w14:paraId="46FC51F6"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Cuthbert &amp; Carr (1986) </w:t>
            </w:r>
            <w:r w:rsidRPr="0098635C">
              <w:rPr>
                <w:rFonts w:ascii="Times New Roman" w:hAnsi="Times New Roman"/>
                <w:i/>
                <w:color w:val="000000" w:themeColor="text1"/>
                <w:sz w:val="20"/>
                <w:szCs w:val="20"/>
                <w:vertAlign w:val="superscript"/>
              </w:rPr>
              <w:t>a</w:t>
            </w:r>
          </w:p>
        </w:tc>
        <w:tc>
          <w:tcPr>
            <w:tcW w:w="1748" w:type="dxa"/>
          </w:tcPr>
          <w:p w14:paraId="58E11FB6"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Copper (I) oxide</w:t>
            </w:r>
          </w:p>
        </w:tc>
        <w:tc>
          <w:tcPr>
            <w:tcW w:w="948" w:type="dxa"/>
          </w:tcPr>
          <w:p w14:paraId="4F8A5EAF"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293" w:type="dxa"/>
          </w:tcPr>
          <w:p w14:paraId="0A5F4A0D"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0" w:type="auto"/>
          </w:tcPr>
          <w:p w14:paraId="04A88C79"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Annex V B.1</w:t>
            </w:r>
          </w:p>
        </w:tc>
        <w:tc>
          <w:tcPr>
            <w:tcW w:w="1504" w:type="dxa"/>
          </w:tcPr>
          <w:p w14:paraId="5121B6D4"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Carboxymethyl cellulose</w:t>
            </w:r>
          </w:p>
        </w:tc>
        <w:tc>
          <w:tcPr>
            <w:tcW w:w="1090" w:type="dxa"/>
          </w:tcPr>
          <w:p w14:paraId="156FB7B0"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Rat (SD)</w:t>
            </w:r>
          </w:p>
        </w:tc>
        <w:tc>
          <w:tcPr>
            <w:tcW w:w="618" w:type="dxa"/>
          </w:tcPr>
          <w:p w14:paraId="79E69827"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M</w:t>
            </w:r>
          </w:p>
          <w:p w14:paraId="1E67F95F"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F</w:t>
            </w:r>
          </w:p>
          <w:p w14:paraId="15D665E4"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M+F</w:t>
            </w:r>
          </w:p>
        </w:tc>
        <w:tc>
          <w:tcPr>
            <w:tcW w:w="1457" w:type="dxa"/>
          </w:tcPr>
          <w:p w14:paraId="5D0F8E07"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1295</w:t>
            </w:r>
          </w:p>
          <w:p w14:paraId="38C89735"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1209</w:t>
            </w:r>
          </w:p>
          <w:p w14:paraId="025D9EFB"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1291</w:t>
            </w:r>
          </w:p>
        </w:tc>
        <w:tc>
          <w:tcPr>
            <w:tcW w:w="972" w:type="dxa"/>
          </w:tcPr>
          <w:p w14:paraId="5CA8A4AD"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w:t>
            </w:r>
            <w:r w:rsidRPr="0098635C">
              <w:rPr>
                <w:rFonts w:ascii="Times New Roman" w:hAnsi="Times New Roman"/>
                <w:i/>
                <w:color w:val="000000" w:themeColor="text1"/>
                <w:sz w:val="20"/>
                <w:szCs w:val="20"/>
                <w:vertAlign w:val="superscript"/>
              </w:rPr>
              <w:t xml:space="preserve"> d</w:t>
            </w:r>
          </w:p>
        </w:tc>
      </w:tr>
      <w:tr w:rsidR="00FB0F1B" w:rsidRPr="0098635C" w14:paraId="7FE8A552" w14:textId="77777777" w:rsidTr="002C6F71">
        <w:tc>
          <w:tcPr>
            <w:tcW w:w="0" w:type="auto"/>
          </w:tcPr>
          <w:p w14:paraId="583A8DCF"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Driscoll (1999a) </w:t>
            </w:r>
            <w:r w:rsidRPr="0098635C">
              <w:rPr>
                <w:rFonts w:ascii="Times New Roman" w:hAnsi="Times New Roman"/>
                <w:i/>
                <w:color w:val="000000" w:themeColor="text1"/>
                <w:sz w:val="20"/>
                <w:szCs w:val="20"/>
                <w:vertAlign w:val="superscript"/>
              </w:rPr>
              <w:t>a</w:t>
            </w:r>
          </w:p>
        </w:tc>
        <w:tc>
          <w:tcPr>
            <w:tcW w:w="1748" w:type="dxa"/>
          </w:tcPr>
          <w:p w14:paraId="595F1C88" w14:textId="77777777" w:rsidR="00FB0F1B" w:rsidRPr="0098635C" w:rsidRDefault="00FB0F1B" w:rsidP="002C6F71">
            <w:pPr>
              <w:pStyle w:val="Tablebody"/>
              <w:spacing w:before="0" w:after="0"/>
              <w:rPr>
                <w:rFonts w:ascii="Times New Roman" w:hAnsi="Times New Roman"/>
                <w:color w:val="000000" w:themeColor="text1"/>
                <w:sz w:val="20"/>
                <w:szCs w:val="20"/>
                <w:lang w:val="it-IT"/>
              </w:rPr>
            </w:pPr>
            <w:r w:rsidRPr="0098635C">
              <w:rPr>
                <w:rFonts w:ascii="Times New Roman" w:hAnsi="Times New Roman"/>
                <w:color w:val="000000" w:themeColor="text1"/>
                <w:sz w:val="20"/>
                <w:szCs w:val="20"/>
                <w:lang w:val="it-IT"/>
              </w:rPr>
              <w:t>Copper (I) oxide (Nordox agro grade)</w:t>
            </w:r>
          </w:p>
        </w:tc>
        <w:tc>
          <w:tcPr>
            <w:tcW w:w="948" w:type="dxa"/>
          </w:tcPr>
          <w:p w14:paraId="30D6818C"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293" w:type="dxa"/>
          </w:tcPr>
          <w:p w14:paraId="3034A02B"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0" w:type="auto"/>
          </w:tcPr>
          <w:p w14:paraId="6DF14FF5" w14:textId="77777777" w:rsidR="00FB0F1B" w:rsidRPr="0098635C" w:rsidRDefault="00FB0F1B" w:rsidP="002C6F71">
            <w:pPr>
              <w:pStyle w:val="Tablebody"/>
              <w:spacing w:before="0" w:after="0"/>
              <w:rPr>
                <w:rFonts w:ascii="Times New Roman" w:hAnsi="Times New Roman"/>
                <w:color w:val="000000" w:themeColor="text1"/>
                <w:sz w:val="20"/>
                <w:szCs w:val="20"/>
                <w:lang w:val="fr-FR"/>
              </w:rPr>
            </w:pPr>
            <w:r w:rsidRPr="0098635C">
              <w:rPr>
                <w:rFonts w:ascii="Times New Roman" w:hAnsi="Times New Roman"/>
                <w:color w:val="000000" w:themeColor="text1"/>
                <w:sz w:val="20"/>
                <w:szCs w:val="20"/>
                <w:lang w:val="fr-FR"/>
              </w:rPr>
              <w:t>Annex V B.1 (tris); OECD 423</w:t>
            </w:r>
          </w:p>
        </w:tc>
        <w:tc>
          <w:tcPr>
            <w:tcW w:w="1504" w:type="dxa"/>
          </w:tcPr>
          <w:p w14:paraId="5D956F00"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Distilled water</w:t>
            </w:r>
          </w:p>
        </w:tc>
        <w:tc>
          <w:tcPr>
            <w:tcW w:w="1090" w:type="dxa"/>
          </w:tcPr>
          <w:p w14:paraId="48D03CB9"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Rat (SD)</w:t>
            </w:r>
          </w:p>
        </w:tc>
        <w:tc>
          <w:tcPr>
            <w:tcW w:w="618" w:type="dxa"/>
          </w:tcPr>
          <w:p w14:paraId="77B66A5B"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M+F</w:t>
            </w:r>
          </w:p>
        </w:tc>
        <w:tc>
          <w:tcPr>
            <w:tcW w:w="1457" w:type="dxa"/>
          </w:tcPr>
          <w:p w14:paraId="2C1B2D81"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300-500 </w:t>
            </w:r>
            <w:r w:rsidRPr="0098635C">
              <w:rPr>
                <w:rFonts w:ascii="Times New Roman" w:hAnsi="Times New Roman"/>
                <w:i/>
                <w:color w:val="000000" w:themeColor="text1"/>
                <w:sz w:val="20"/>
                <w:szCs w:val="20"/>
                <w:vertAlign w:val="superscript"/>
              </w:rPr>
              <w:t>c</w:t>
            </w:r>
          </w:p>
        </w:tc>
        <w:tc>
          <w:tcPr>
            <w:tcW w:w="972" w:type="dxa"/>
          </w:tcPr>
          <w:p w14:paraId="29AD7EDD"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w:t>
            </w:r>
            <w:r w:rsidRPr="0098635C">
              <w:rPr>
                <w:rFonts w:ascii="Times New Roman" w:hAnsi="Times New Roman"/>
                <w:i/>
                <w:color w:val="000000" w:themeColor="text1"/>
                <w:sz w:val="20"/>
                <w:szCs w:val="20"/>
                <w:vertAlign w:val="superscript"/>
              </w:rPr>
              <w:t xml:space="preserve"> d</w:t>
            </w:r>
          </w:p>
        </w:tc>
      </w:tr>
      <w:tr w:rsidR="00FB0F1B" w:rsidRPr="0098635C" w14:paraId="56B9C7A6" w14:textId="77777777" w:rsidTr="002C6F71">
        <w:tc>
          <w:tcPr>
            <w:tcW w:w="0" w:type="auto"/>
          </w:tcPr>
          <w:p w14:paraId="1B1B2E1B"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Nitka (1991b) </w:t>
            </w:r>
            <w:r w:rsidRPr="0098635C">
              <w:rPr>
                <w:rFonts w:ascii="Times New Roman" w:hAnsi="Times New Roman"/>
                <w:i/>
                <w:color w:val="000000" w:themeColor="text1"/>
                <w:sz w:val="20"/>
                <w:szCs w:val="20"/>
                <w:vertAlign w:val="superscript"/>
              </w:rPr>
              <w:t>a</w:t>
            </w:r>
          </w:p>
        </w:tc>
        <w:tc>
          <w:tcPr>
            <w:tcW w:w="1748" w:type="dxa"/>
          </w:tcPr>
          <w:p w14:paraId="7CC48A43"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Copper (I) oxide</w:t>
            </w:r>
          </w:p>
        </w:tc>
        <w:tc>
          <w:tcPr>
            <w:tcW w:w="948" w:type="dxa"/>
          </w:tcPr>
          <w:p w14:paraId="1AF91EFC"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293" w:type="dxa"/>
          </w:tcPr>
          <w:p w14:paraId="622659B9"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0" w:type="auto"/>
          </w:tcPr>
          <w:p w14:paraId="744D068A"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Annex V B.1</w:t>
            </w:r>
          </w:p>
        </w:tc>
        <w:tc>
          <w:tcPr>
            <w:tcW w:w="1504" w:type="dxa"/>
          </w:tcPr>
          <w:p w14:paraId="4A00D165"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Corn oil</w:t>
            </w:r>
          </w:p>
        </w:tc>
        <w:tc>
          <w:tcPr>
            <w:tcW w:w="1090" w:type="dxa"/>
          </w:tcPr>
          <w:p w14:paraId="1C6DF3DF"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Rat (Wistar)</w:t>
            </w:r>
          </w:p>
        </w:tc>
        <w:tc>
          <w:tcPr>
            <w:tcW w:w="618" w:type="dxa"/>
          </w:tcPr>
          <w:p w14:paraId="4131863B"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M+F</w:t>
            </w:r>
          </w:p>
        </w:tc>
        <w:tc>
          <w:tcPr>
            <w:tcW w:w="1457" w:type="dxa"/>
          </w:tcPr>
          <w:p w14:paraId="23F76592"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5400</w:t>
            </w:r>
          </w:p>
        </w:tc>
        <w:tc>
          <w:tcPr>
            <w:tcW w:w="972" w:type="dxa"/>
          </w:tcPr>
          <w:p w14:paraId="6500473C"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2</w:t>
            </w:r>
          </w:p>
        </w:tc>
      </w:tr>
      <w:tr w:rsidR="00FB0F1B" w:rsidRPr="0098635C" w14:paraId="701BA8A3" w14:textId="77777777" w:rsidTr="002C6F71">
        <w:tc>
          <w:tcPr>
            <w:tcW w:w="0" w:type="auto"/>
          </w:tcPr>
          <w:p w14:paraId="302D1900"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Hixson (1973) </w:t>
            </w:r>
            <w:r w:rsidRPr="0098635C">
              <w:rPr>
                <w:rFonts w:ascii="Times New Roman" w:hAnsi="Times New Roman"/>
                <w:i/>
                <w:color w:val="000000" w:themeColor="text1"/>
                <w:sz w:val="20"/>
                <w:szCs w:val="20"/>
                <w:vertAlign w:val="superscript"/>
              </w:rPr>
              <w:t>a</w:t>
            </w:r>
          </w:p>
        </w:tc>
        <w:tc>
          <w:tcPr>
            <w:tcW w:w="1748" w:type="dxa"/>
          </w:tcPr>
          <w:p w14:paraId="4D24EBD7"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Copper (I) oxide</w:t>
            </w:r>
          </w:p>
        </w:tc>
        <w:tc>
          <w:tcPr>
            <w:tcW w:w="948" w:type="dxa"/>
          </w:tcPr>
          <w:p w14:paraId="1C7884F4"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293" w:type="dxa"/>
          </w:tcPr>
          <w:p w14:paraId="5691430E"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0" w:type="auto"/>
          </w:tcPr>
          <w:p w14:paraId="1DC655B1"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504" w:type="dxa"/>
          </w:tcPr>
          <w:p w14:paraId="5CD22677"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10% Tween</w:t>
            </w:r>
          </w:p>
        </w:tc>
        <w:tc>
          <w:tcPr>
            <w:tcW w:w="1090" w:type="dxa"/>
          </w:tcPr>
          <w:p w14:paraId="051A81CB"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Rat (SD)</w:t>
            </w:r>
          </w:p>
        </w:tc>
        <w:tc>
          <w:tcPr>
            <w:tcW w:w="618" w:type="dxa"/>
          </w:tcPr>
          <w:p w14:paraId="64F20510"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457" w:type="dxa"/>
          </w:tcPr>
          <w:p w14:paraId="33B9191F"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&gt;5000</w:t>
            </w:r>
          </w:p>
        </w:tc>
        <w:tc>
          <w:tcPr>
            <w:tcW w:w="972" w:type="dxa"/>
          </w:tcPr>
          <w:p w14:paraId="5F0579B9"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3</w:t>
            </w:r>
          </w:p>
        </w:tc>
      </w:tr>
      <w:tr w:rsidR="00FB0F1B" w:rsidRPr="0098635C" w14:paraId="6F1C405E" w14:textId="77777777" w:rsidTr="002C6F71">
        <w:tc>
          <w:tcPr>
            <w:tcW w:w="0" w:type="auto"/>
          </w:tcPr>
          <w:p w14:paraId="70216DC6" w14:textId="77777777" w:rsidR="00FB0F1B" w:rsidRPr="0098635C" w:rsidRDefault="00FB0F1B" w:rsidP="002C6F71">
            <w:pPr>
              <w:pStyle w:val="Tablebody"/>
              <w:spacing w:before="0" w:after="0"/>
              <w:rPr>
                <w:rFonts w:ascii="Times New Roman" w:hAnsi="Times New Roman"/>
                <w:color w:val="000000" w:themeColor="text1"/>
                <w:sz w:val="20"/>
                <w:szCs w:val="20"/>
                <w:lang w:val="nl-BE"/>
              </w:rPr>
            </w:pPr>
            <w:r w:rsidRPr="0098635C">
              <w:rPr>
                <w:rFonts w:ascii="Times New Roman" w:hAnsi="Times New Roman"/>
                <w:color w:val="000000" w:themeColor="text1"/>
                <w:sz w:val="20"/>
                <w:szCs w:val="20"/>
                <w:lang w:val="nl-BE"/>
              </w:rPr>
              <w:t xml:space="preserve">Smyth </w:t>
            </w:r>
            <w:r w:rsidRPr="0098635C">
              <w:rPr>
                <w:rFonts w:ascii="Times New Roman" w:hAnsi="Times New Roman"/>
                <w:i/>
                <w:color w:val="000000" w:themeColor="text1"/>
                <w:sz w:val="20"/>
                <w:szCs w:val="20"/>
                <w:lang w:val="nl-BE"/>
              </w:rPr>
              <w:t>et al</w:t>
            </w:r>
            <w:r w:rsidRPr="0098635C">
              <w:rPr>
                <w:rFonts w:ascii="Times New Roman" w:hAnsi="Times New Roman"/>
                <w:color w:val="000000" w:themeColor="text1"/>
                <w:sz w:val="20"/>
                <w:szCs w:val="20"/>
                <w:lang w:val="nl-BE"/>
              </w:rPr>
              <w:t xml:space="preserve"> (1969) in IPCS (1998)</w:t>
            </w:r>
          </w:p>
        </w:tc>
        <w:tc>
          <w:tcPr>
            <w:tcW w:w="1748" w:type="dxa"/>
          </w:tcPr>
          <w:p w14:paraId="4D7D28CF"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Copper (I) oxide</w:t>
            </w:r>
          </w:p>
        </w:tc>
        <w:tc>
          <w:tcPr>
            <w:tcW w:w="948" w:type="dxa"/>
          </w:tcPr>
          <w:p w14:paraId="55936BFC"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293" w:type="dxa"/>
          </w:tcPr>
          <w:p w14:paraId="13A273C6"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0" w:type="auto"/>
          </w:tcPr>
          <w:p w14:paraId="5A402282"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504" w:type="dxa"/>
          </w:tcPr>
          <w:p w14:paraId="6978BC2D"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090" w:type="dxa"/>
          </w:tcPr>
          <w:p w14:paraId="57D7FA37"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Rat</w:t>
            </w:r>
          </w:p>
        </w:tc>
        <w:tc>
          <w:tcPr>
            <w:tcW w:w="618" w:type="dxa"/>
          </w:tcPr>
          <w:p w14:paraId="13A6F117"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457" w:type="dxa"/>
          </w:tcPr>
          <w:p w14:paraId="067BC26C"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470</w:t>
            </w:r>
          </w:p>
        </w:tc>
        <w:tc>
          <w:tcPr>
            <w:tcW w:w="972" w:type="dxa"/>
          </w:tcPr>
          <w:p w14:paraId="54DE4C26"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4</w:t>
            </w:r>
          </w:p>
        </w:tc>
      </w:tr>
      <w:tr w:rsidR="00FB0F1B" w:rsidRPr="0098635C" w14:paraId="675ACFE5" w14:textId="77777777" w:rsidTr="002C6F71">
        <w:tc>
          <w:tcPr>
            <w:tcW w:w="0" w:type="auto"/>
          </w:tcPr>
          <w:p w14:paraId="29DE4BF0"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Sanders (2002a) </w:t>
            </w:r>
            <w:r w:rsidRPr="0098635C">
              <w:rPr>
                <w:rFonts w:ascii="Times New Roman" w:hAnsi="Times New Roman"/>
                <w:i/>
                <w:color w:val="000000" w:themeColor="text1"/>
                <w:sz w:val="20"/>
                <w:szCs w:val="20"/>
                <w:vertAlign w:val="superscript"/>
              </w:rPr>
              <w:t>a</w:t>
            </w:r>
          </w:p>
        </w:tc>
        <w:tc>
          <w:tcPr>
            <w:tcW w:w="1748" w:type="dxa"/>
          </w:tcPr>
          <w:p w14:paraId="5013FE58"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Copper (II) oxide</w:t>
            </w:r>
          </w:p>
        </w:tc>
        <w:tc>
          <w:tcPr>
            <w:tcW w:w="948" w:type="dxa"/>
          </w:tcPr>
          <w:p w14:paraId="2A114CBD"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97.7</w:t>
            </w:r>
          </w:p>
        </w:tc>
        <w:tc>
          <w:tcPr>
            <w:tcW w:w="1293" w:type="dxa"/>
          </w:tcPr>
          <w:p w14:paraId="74B9AF2C"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0" w:type="auto"/>
          </w:tcPr>
          <w:p w14:paraId="128213E3"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Annex V B.1 (Fixed Dose)</w:t>
            </w:r>
          </w:p>
        </w:tc>
        <w:tc>
          <w:tcPr>
            <w:tcW w:w="1504" w:type="dxa"/>
          </w:tcPr>
          <w:p w14:paraId="2341AA55"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Arachis oil</w:t>
            </w:r>
          </w:p>
        </w:tc>
        <w:tc>
          <w:tcPr>
            <w:tcW w:w="1090" w:type="dxa"/>
          </w:tcPr>
          <w:p w14:paraId="29304191"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Rat (SD)</w:t>
            </w:r>
          </w:p>
        </w:tc>
        <w:tc>
          <w:tcPr>
            <w:tcW w:w="618" w:type="dxa"/>
          </w:tcPr>
          <w:p w14:paraId="3B50247A"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M+F</w:t>
            </w:r>
          </w:p>
        </w:tc>
        <w:tc>
          <w:tcPr>
            <w:tcW w:w="1457" w:type="dxa"/>
          </w:tcPr>
          <w:p w14:paraId="0C943D22"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&gt;2500</w:t>
            </w:r>
          </w:p>
        </w:tc>
        <w:tc>
          <w:tcPr>
            <w:tcW w:w="972" w:type="dxa"/>
          </w:tcPr>
          <w:p w14:paraId="2DF9E88A"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w:t>
            </w:r>
          </w:p>
        </w:tc>
      </w:tr>
      <w:tr w:rsidR="00FB0F1B" w:rsidRPr="0098635C" w14:paraId="25571B45" w14:textId="77777777" w:rsidTr="002C6F71">
        <w:tc>
          <w:tcPr>
            <w:tcW w:w="0" w:type="auto"/>
          </w:tcPr>
          <w:p w14:paraId="21E67543" w14:textId="6A5990B9"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L</w:t>
            </w:r>
            <w:r w:rsidR="0047632F" w:rsidRPr="0098635C">
              <w:rPr>
                <w:rFonts w:ascii="Times New Roman" w:hAnsi="Times New Roman"/>
                <w:color w:val="000000" w:themeColor="text1"/>
                <w:sz w:val="20"/>
                <w:szCs w:val="20"/>
              </w:rPr>
              <w:t>h</w:t>
            </w:r>
            <w:r w:rsidRPr="0098635C">
              <w:rPr>
                <w:rFonts w:ascii="Times New Roman" w:hAnsi="Times New Roman"/>
                <w:color w:val="000000" w:themeColor="text1"/>
                <w:sz w:val="20"/>
                <w:szCs w:val="20"/>
              </w:rPr>
              <w:t xml:space="preserve">eritier (1994) </w:t>
            </w:r>
            <w:r w:rsidRPr="0098635C">
              <w:rPr>
                <w:rFonts w:ascii="Times New Roman" w:hAnsi="Times New Roman"/>
                <w:i/>
                <w:color w:val="000000" w:themeColor="text1"/>
                <w:sz w:val="20"/>
                <w:szCs w:val="20"/>
                <w:vertAlign w:val="superscript"/>
              </w:rPr>
              <w:t>a</w:t>
            </w:r>
          </w:p>
        </w:tc>
        <w:tc>
          <w:tcPr>
            <w:tcW w:w="1748" w:type="dxa"/>
          </w:tcPr>
          <w:p w14:paraId="212D427D"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Copper sulphate (pentahydrate)</w:t>
            </w:r>
          </w:p>
        </w:tc>
        <w:tc>
          <w:tcPr>
            <w:tcW w:w="948" w:type="dxa"/>
          </w:tcPr>
          <w:p w14:paraId="605C8342"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u w:val="single"/>
              </w:rPr>
              <w:t>&gt;</w:t>
            </w:r>
            <w:r w:rsidRPr="0098635C">
              <w:rPr>
                <w:rFonts w:ascii="Times New Roman" w:hAnsi="Times New Roman"/>
                <w:color w:val="000000" w:themeColor="text1"/>
                <w:sz w:val="20"/>
                <w:szCs w:val="20"/>
              </w:rPr>
              <w:t>99</w:t>
            </w:r>
          </w:p>
        </w:tc>
        <w:tc>
          <w:tcPr>
            <w:tcW w:w="1293" w:type="dxa"/>
          </w:tcPr>
          <w:p w14:paraId="5824709D"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0" w:type="auto"/>
          </w:tcPr>
          <w:p w14:paraId="0901179F"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Annex V B.1</w:t>
            </w:r>
          </w:p>
        </w:tc>
        <w:tc>
          <w:tcPr>
            <w:tcW w:w="1504" w:type="dxa"/>
          </w:tcPr>
          <w:p w14:paraId="09F3E769"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Water</w:t>
            </w:r>
          </w:p>
        </w:tc>
        <w:tc>
          <w:tcPr>
            <w:tcW w:w="1090" w:type="dxa"/>
          </w:tcPr>
          <w:p w14:paraId="6D0166E8"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Rat (SD)</w:t>
            </w:r>
          </w:p>
        </w:tc>
        <w:tc>
          <w:tcPr>
            <w:tcW w:w="618" w:type="dxa"/>
          </w:tcPr>
          <w:p w14:paraId="69D5C239"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M+F</w:t>
            </w:r>
          </w:p>
        </w:tc>
        <w:tc>
          <w:tcPr>
            <w:tcW w:w="1457" w:type="dxa"/>
          </w:tcPr>
          <w:p w14:paraId="4888ECEF"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482</w:t>
            </w:r>
          </w:p>
          <w:p w14:paraId="47F659B3" w14:textId="77777777" w:rsidR="00FB0F1B" w:rsidRPr="0098635C" w:rsidRDefault="00FB0F1B" w:rsidP="002C6F71">
            <w:pPr>
              <w:pStyle w:val="Tablebody"/>
              <w:spacing w:before="0" w:after="0"/>
              <w:rPr>
                <w:rFonts w:ascii="Times New Roman" w:hAnsi="Times New Roman"/>
                <w:color w:val="000000" w:themeColor="text1"/>
                <w:sz w:val="20"/>
                <w:szCs w:val="20"/>
              </w:rPr>
            </w:pPr>
          </w:p>
        </w:tc>
        <w:tc>
          <w:tcPr>
            <w:tcW w:w="972" w:type="dxa"/>
          </w:tcPr>
          <w:p w14:paraId="50DC0FCD"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w:t>
            </w:r>
          </w:p>
        </w:tc>
      </w:tr>
      <w:tr w:rsidR="00FB0F1B" w:rsidRPr="0098635C" w14:paraId="4555D9DF" w14:textId="77777777" w:rsidTr="002C6F71">
        <w:tc>
          <w:tcPr>
            <w:tcW w:w="0" w:type="auto"/>
          </w:tcPr>
          <w:p w14:paraId="19BDD9D8"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Manciaux (1998) </w:t>
            </w:r>
            <w:r w:rsidRPr="0098635C">
              <w:rPr>
                <w:rFonts w:ascii="Times New Roman" w:hAnsi="Times New Roman"/>
                <w:i/>
                <w:color w:val="000000" w:themeColor="text1"/>
                <w:sz w:val="20"/>
                <w:szCs w:val="20"/>
                <w:vertAlign w:val="superscript"/>
              </w:rPr>
              <w:t>a</w:t>
            </w:r>
          </w:p>
        </w:tc>
        <w:tc>
          <w:tcPr>
            <w:tcW w:w="1748" w:type="dxa"/>
          </w:tcPr>
          <w:p w14:paraId="235AFAA7"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Copper sulphate (pentahydrate)</w:t>
            </w:r>
          </w:p>
        </w:tc>
        <w:tc>
          <w:tcPr>
            <w:tcW w:w="948" w:type="dxa"/>
          </w:tcPr>
          <w:p w14:paraId="744EA192"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293" w:type="dxa"/>
          </w:tcPr>
          <w:p w14:paraId="07995421"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25.4%</w:t>
            </w:r>
          </w:p>
        </w:tc>
        <w:tc>
          <w:tcPr>
            <w:tcW w:w="0" w:type="auto"/>
          </w:tcPr>
          <w:p w14:paraId="203D33A8"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Annex V B.1; OECD 401</w:t>
            </w:r>
          </w:p>
        </w:tc>
        <w:tc>
          <w:tcPr>
            <w:tcW w:w="1504" w:type="dxa"/>
          </w:tcPr>
          <w:p w14:paraId="66F37A50"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Purified water</w:t>
            </w:r>
          </w:p>
        </w:tc>
        <w:tc>
          <w:tcPr>
            <w:tcW w:w="1090" w:type="dxa"/>
          </w:tcPr>
          <w:p w14:paraId="25A83771"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Rat (SD)</w:t>
            </w:r>
          </w:p>
        </w:tc>
        <w:tc>
          <w:tcPr>
            <w:tcW w:w="618" w:type="dxa"/>
          </w:tcPr>
          <w:p w14:paraId="41639E80"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F</w:t>
            </w:r>
          </w:p>
        </w:tc>
        <w:tc>
          <w:tcPr>
            <w:tcW w:w="1457" w:type="dxa"/>
          </w:tcPr>
          <w:p w14:paraId="25C47409"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666</w:t>
            </w:r>
          </w:p>
        </w:tc>
        <w:tc>
          <w:tcPr>
            <w:tcW w:w="972" w:type="dxa"/>
          </w:tcPr>
          <w:p w14:paraId="7CA44772"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w:t>
            </w:r>
            <w:r w:rsidRPr="0098635C">
              <w:rPr>
                <w:rFonts w:ascii="Times New Roman" w:hAnsi="Times New Roman"/>
                <w:i/>
                <w:color w:val="000000" w:themeColor="text1"/>
                <w:sz w:val="20"/>
                <w:szCs w:val="20"/>
                <w:vertAlign w:val="superscript"/>
              </w:rPr>
              <w:t xml:space="preserve"> d</w:t>
            </w:r>
          </w:p>
        </w:tc>
      </w:tr>
      <w:tr w:rsidR="00FB0F1B" w:rsidRPr="0098635C" w14:paraId="29B34683" w14:textId="77777777" w:rsidTr="002C6F71">
        <w:tc>
          <w:tcPr>
            <w:tcW w:w="0" w:type="auto"/>
          </w:tcPr>
          <w:p w14:paraId="09942ACA"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Lehman (1951) </w:t>
            </w:r>
          </w:p>
        </w:tc>
        <w:tc>
          <w:tcPr>
            <w:tcW w:w="1748" w:type="dxa"/>
          </w:tcPr>
          <w:p w14:paraId="143A34A4"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Copper sulphate (anhydrous)</w:t>
            </w:r>
          </w:p>
        </w:tc>
        <w:tc>
          <w:tcPr>
            <w:tcW w:w="948" w:type="dxa"/>
          </w:tcPr>
          <w:p w14:paraId="18024655"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293" w:type="dxa"/>
          </w:tcPr>
          <w:p w14:paraId="2A50DAAF"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0" w:type="auto"/>
          </w:tcPr>
          <w:p w14:paraId="7AE24110"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504" w:type="dxa"/>
          </w:tcPr>
          <w:p w14:paraId="54E70CAE"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090" w:type="dxa"/>
          </w:tcPr>
          <w:p w14:paraId="3EDE5171"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Rat</w:t>
            </w:r>
          </w:p>
        </w:tc>
        <w:tc>
          <w:tcPr>
            <w:tcW w:w="618" w:type="dxa"/>
          </w:tcPr>
          <w:p w14:paraId="71E73AE8"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457" w:type="dxa"/>
          </w:tcPr>
          <w:p w14:paraId="4ECBD4D6"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300</w:t>
            </w:r>
          </w:p>
        </w:tc>
        <w:tc>
          <w:tcPr>
            <w:tcW w:w="972" w:type="dxa"/>
          </w:tcPr>
          <w:p w14:paraId="7CB0E7A3"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3</w:t>
            </w:r>
          </w:p>
        </w:tc>
      </w:tr>
      <w:tr w:rsidR="00FB0F1B" w:rsidRPr="0098635C" w14:paraId="526173E5" w14:textId="77777777" w:rsidTr="002C6F71">
        <w:tc>
          <w:tcPr>
            <w:tcW w:w="0" w:type="auto"/>
          </w:tcPr>
          <w:p w14:paraId="5DA4D173" w14:textId="77777777" w:rsidR="00FB0F1B" w:rsidRPr="0098635C" w:rsidRDefault="00FB0F1B" w:rsidP="002C6F71">
            <w:pPr>
              <w:pStyle w:val="Tablebody"/>
              <w:spacing w:before="0" w:after="0"/>
              <w:rPr>
                <w:rFonts w:ascii="Times New Roman" w:hAnsi="Times New Roman"/>
                <w:color w:val="000000" w:themeColor="text1"/>
                <w:sz w:val="20"/>
                <w:szCs w:val="20"/>
                <w:lang w:val="nl-BE"/>
              </w:rPr>
            </w:pPr>
            <w:r w:rsidRPr="0098635C">
              <w:rPr>
                <w:rFonts w:ascii="Times New Roman" w:hAnsi="Times New Roman"/>
                <w:color w:val="000000" w:themeColor="text1"/>
                <w:sz w:val="20"/>
                <w:szCs w:val="20"/>
                <w:lang w:val="nl-BE"/>
              </w:rPr>
              <w:t xml:space="preserve">Smyth </w:t>
            </w:r>
            <w:r w:rsidRPr="0098635C">
              <w:rPr>
                <w:rFonts w:ascii="Times New Roman" w:hAnsi="Times New Roman"/>
                <w:i/>
                <w:color w:val="000000" w:themeColor="text1"/>
                <w:sz w:val="20"/>
                <w:szCs w:val="20"/>
                <w:lang w:val="nl-BE"/>
              </w:rPr>
              <w:t>et al</w:t>
            </w:r>
            <w:r w:rsidRPr="0098635C">
              <w:rPr>
                <w:rFonts w:ascii="Times New Roman" w:hAnsi="Times New Roman"/>
                <w:color w:val="000000" w:themeColor="text1"/>
                <w:sz w:val="20"/>
                <w:szCs w:val="20"/>
                <w:lang w:val="nl-BE"/>
              </w:rPr>
              <w:t xml:space="preserve"> (1969) in IPCS (1998)</w:t>
            </w:r>
          </w:p>
        </w:tc>
        <w:tc>
          <w:tcPr>
            <w:tcW w:w="1748" w:type="dxa"/>
          </w:tcPr>
          <w:p w14:paraId="17041C05"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Copper sulphate (pentahydrate)</w:t>
            </w:r>
          </w:p>
        </w:tc>
        <w:tc>
          <w:tcPr>
            <w:tcW w:w="948" w:type="dxa"/>
          </w:tcPr>
          <w:p w14:paraId="13B3AD3B"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293" w:type="dxa"/>
          </w:tcPr>
          <w:p w14:paraId="6F0979DC"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0" w:type="auto"/>
          </w:tcPr>
          <w:p w14:paraId="5994ED6C"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504" w:type="dxa"/>
          </w:tcPr>
          <w:p w14:paraId="416535DB"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090" w:type="dxa"/>
          </w:tcPr>
          <w:p w14:paraId="62CFE26E"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Rat</w:t>
            </w:r>
          </w:p>
        </w:tc>
        <w:tc>
          <w:tcPr>
            <w:tcW w:w="618" w:type="dxa"/>
          </w:tcPr>
          <w:p w14:paraId="5C2E87ED"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457" w:type="dxa"/>
          </w:tcPr>
          <w:p w14:paraId="00217381"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960</w:t>
            </w:r>
          </w:p>
        </w:tc>
        <w:tc>
          <w:tcPr>
            <w:tcW w:w="972" w:type="dxa"/>
          </w:tcPr>
          <w:p w14:paraId="1E58DEA0"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4</w:t>
            </w:r>
          </w:p>
        </w:tc>
      </w:tr>
      <w:tr w:rsidR="00FB0F1B" w:rsidRPr="0098635C" w14:paraId="357E842B" w14:textId="77777777" w:rsidTr="002C6F71">
        <w:tc>
          <w:tcPr>
            <w:tcW w:w="0" w:type="auto"/>
          </w:tcPr>
          <w:p w14:paraId="7FA80343"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Deenihan (1987) </w:t>
            </w:r>
            <w:r w:rsidRPr="0098635C">
              <w:rPr>
                <w:rFonts w:ascii="Times New Roman" w:hAnsi="Times New Roman"/>
                <w:i/>
                <w:color w:val="000000" w:themeColor="text1"/>
                <w:sz w:val="20"/>
                <w:szCs w:val="20"/>
                <w:vertAlign w:val="superscript"/>
              </w:rPr>
              <w:t>a</w:t>
            </w:r>
          </w:p>
        </w:tc>
        <w:tc>
          <w:tcPr>
            <w:tcW w:w="1748" w:type="dxa"/>
          </w:tcPr>
          <w:p w14:paraId="6B9210D5" w14:textId="0B5D72BD" w:rsidR="00FB0F1B" w:rsidRPr="0098635C" w:rsidRDefault="00236182"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Dicopper chloride trihydroxide</w:t>
            </w:r>
          </w:p>
        </w:tc>
        <w:tc>
          <w:tcPr>
            <w:tcW w:w="948" w:type="dxa"/>
          </w:tcPr>
          <w:p w14:paraId="5D9CA002"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293" w:type="dxa"/>
          </w:tcPr>
          <w:p w14:paraId="5CB34477"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0" w:type="auto"/>
          </w:tcPr>
          <w:p w14:paraId="64567DF8"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US EPA 81-1</w:t>
            </w:r>
          </w:p>
        </w:tc>
        <w:tc>
          <w:tcPr>
            <w:tcW w:w="1504" w:type="dxa"/>
          </w:tcPr>
          <w:p w14:paraId="652B6CC8"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Deionised water</w:t>
            </w:r>
          </w:p>
        </w:tc>
        <w:tc>
          <w:tcPr>
            <w:tcW w:w="1090" w:type="dxa"/>
          </w:tcPr>
          <w:p w14:paraId="4DF91EC1"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Rat (SD)</w:t>
            </w:r>
          </w:p>
        </w:tc>
        <w:tc>
          <w:tcPr>
            <w:tcW w:w="618" w:type="dxa"/>
          </w:tcPr>
          <w:p w14:paraId="691DB3BE"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F</w:t>
            </w:r>
          </w:p>
          <w:p w14:paraId="338573DD"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M</w:t>
            </w:r>
          </w:p>
        </w:tc>
        <w:tc>
          <w:tcPr>
            <w:tcW w:w="1457" w:type="dxa"/>
          </w:tcPr>
          <w:p w14:paraId="21BAB815"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950</w:t>
            </w:r>
          </w:p>
          <w:p w14:paraId="1334CC75"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1200</w:t>
            </w:r>
          </w:p>
        </w:tc>
        <w:tc>
          <w:tcPr>
            <w:tcW w:w="972" w:type="dxa"/>
          </w:tcPr>
          <w:p w14:paraId="6B945B46"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w:t>
            </w:r>
            <w:r w:rsidRPr="0098635C">
              <w:rPr>
                <w:rFonts w:ascii="Times New Roman" w:hAnsi="Times New Roman"/>
                <w:i/>
                <w:color w:val="000000" w:themeColor="text1"/>
                <w:sz w:val="20"/>
                <w:szCs w:val="20"/>
                <w:vertAlign w:val="superscript"/>
              </w:rPr>
              <w:t xml:space="preserve"> d</w:t>
            </w:r>
          </w:p>
        </w:tc>
      </w:tr>
      <w:tr w:rsidR="00FB0F1B" w:rsidRPr="0098635C" w14:paraId="7A41E7ED" w14:textId="77777777" w:rsidTr="002C6F71">
        <w:tc>
          <w:tcPr>
            <w:tcW w:w="0" w:type="auto"/>
          </w:tcPr>
          <w:p w14:paraId="51A12349"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Forster &amp; Luperi (1987a) </w:t>
            </w:r>
            <w:r w:rsidRPr="0098635C">
              <w:rPr>
                <w:rFonts w:ascii="Times New Roman" w:hAnsi="Times New Roman"/>
                <w:i/>
                <w:color w:val="000000" w:themeColor="text1"/>
                <w:sz w:val="20"/>
                <w:szCs w:val="20"/>
                <w:vertAlign w:val="superscript"/>
              </w:rPr>
              <w:t>a</w:t>
            </w:r>
          </w:p>
        </w:tc>
        <w:tc>
          <w:tcPr>
            <w:tcW w:w="1748" w:type="dxa"/>
          </w:tcPr>
          <w:p w14:paraId="2DD3942B" w14:textId="1B077A7B" w:rsidR="00FB0F1B" w:rsidRPr="0098635C" w:rsidRDefault="00236182"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Dicopper chloride trihydroxide</w:t>
            </w:r>
          </w:p>
        </w:tc>
        <w:tc>
          <w:tcPr>
            <w:tcW w:w="948" w:type="dxa"/>
          </w:tcPr>
          <w:p w14:paraId="28E7F7A2"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293" w:type="dxa"/>
          </w:tcPr>
          <w:p w14:paraId="6613DCAA"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57.72</w:t>
            </w:r>
          </w:p>
        </w:tc>
        <w:tc>
          <w:tcPr>
            <w:tcW w:w="0" w:type="auto"/>
          </w:tcPr>
          <w:p w14:paraId="2305454B"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Annex V B.1; OECD 401</w:t>
            </w:r>
          </w:p>
        </w:tc>
        <w:tc>
          <w:tcPr>
            <w:tcW w:w="1504" w:type="dxa"/>
          </w:tcPr>
          <w:p w14:paraId="1C40186D"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Corn oil</w:t>
            </w:r>
          </w:p>
        </w:tc>
        <w:tc>
          <w:tcPr>
            <w:tcW w:w="1090" w:type="dxa"/>
          </w:tcPr>
          <w:p w14:paraId="61F5E0B1"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Rat (SD)</w:t>
            </w:r>
          </w:p>
        </w:tc>
        <w:tc>
          <w:tcPr>
            <w:tcW w:w="618" w:type="dxa"/>
          </w:tcPr>
          <w:p w14:paraId="30B9D100"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M</w:t>
            </w:r>
          </w:p>
          <w:p w14:paraId="6393B9A6"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F</w:t>
            </w:r>
          </w:p>
          <w:p w14:paraId="35460E8A"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M+F</w:t>
            </w:r>
          </w:p>
        </w:tc>
        <w:tc>
          <w:tcPr>
            <w:tcW w:w="1457" w:type="dxa"/>
          </w:tcPr>
          <w:p w14:paraId="5BA899ED"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1796</w:t>
            </w:r>
          </w:p>
          <w:p w14:paraId="6E25F21C"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2006</w:t>
            </w:r>
          </w:p>
          <w:p w14:paraId="40C61448"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1862</w:t>
            </w:r>
          </w:p>
        </w:tc>
        <w:tc>
          <w:tcPr>
            <w:tcW w:w="972" w:type="dxa"/>
          </w:tcPr>
          <w:p w14:paraId="0A04EE98"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w:t>
            </w:r>
            <w:r w:rsidRPr="0098635C">
              <w:rPr>
                <w:rFonts w:ascii="Times New Roman" w:hAnsi="Times New Roman"/>
                <w:i/>
                <w:color w:val="000000" w:themeColor="text1"/>
                <w:sz w:val="20"/>
                <w:szCs w:val="20"/>
                <w:vertAlign w:val="superscript"/>
              </w:rPr>
              <w:t xml:space="preserve"> d</w:t>
            </w:r>
          </w:p>
        </w:tc>
      </w:tr>
      <w:tr w:rsidR="00FB0F1B" w:rsidRPr="0098635C" w14:paraId="3C7F8D5A" w14:textId="77777777" w:rsidTr="002C6F71">
        <w:tc>
          <w:tcPr>
            <w:tcW w:w="0" w:type="auto"/>
          </w:tcPr>
          <w:p w14:paraId="4D6B5D77"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lastRenderedPageBreak/>
              <w:t xml:space="preserve">Jackson (1994) </w:t>
            </w:r>
            <w:r w:rsidRPr="0098635C">
              <w:rPr>
                <w:rFonts w:ascii="Times New Roman" w:hAnsi="Times New Roman"/>
                <w:i/>
                <w:color w:val="000000" w:themeColor="text1"/>
                <w:sz w:val="20"/>
                <w:szCs w:val="20"/>
                <w:vertAlign w:val="superscript"/>
              </w:rPr>
              <w:t>a</w:t>
            </w:r>
          </w:p>
        </w:tc>
        <w:tc>
          <w:tcPr>
            <w:tcW w:w="1748" w:type="dxa"/>
          </w:tcPr>
          <w:p w14:paraId="2AED8D80" w14:textId="08F26E8B" w:rsidR="00FB0F1B" w:rsidRPr="0098635C" w:rsidRDefault="00236182"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Dicopper chloride trihydroxide</w:t>
            </w:r>
          </w:p>
        </w:tc>
        <w:tc>
          <w:tcPr>
            <w:tcW w:w="948" w:type="dxa"/>
          </w:tcPr>
          <w:p w14:paraId="765A3739"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293" w:type="dxa"/>
          </w:tcPr>
          <w:p w14:paraId="7E0569BC"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0" w:type="auto"/>
          </w:tcPr>
          <w:p w14:paraId="30B63E05"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Annex V B.1; OECD 401</w:t>
            </w:r>
          </w:p>
          <w:p w14:paraId="5A760EDF" w14:textId="77777777" w:rsidR="00FB0F1B" w:rsidRPr="0098635C" w:rsidRDefault="00FB0F1B" w:rsidP="002C6F71">
            <w:pPr>
              <w:pStyle w:val="Tablebody"/>
              <w:spacing w:before="0" w:after="0"/>
              <w:rPr>
                <w:rFonts w:ascii="Times New Roman" w:hAnsi="Times New Roman"/>
                <w:color w:val="000000" w:themeColor="text1"/>
                <w:sz w:val="20"/>
                <w:szCs w:val="20"/>
              </w:rPr>
            </w:pPr>
          </w:p>
        </w:tc>
        <w:tc>
          <w:tcPr>
            <w:tcW w:w="1504" w:type="dxa"/>
          </w:tcPr>
          <w:p w14:paraId="7E255EAB"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Carboxymethyl cellulose</w:t>
            </w:r>
          </w:p>
        </w:tc>
        <w:tc>
          <w:tcPr>
            <w:tcW w:w="1090" w:type="dxa"/>
          </w:tcPr>
          <w:p w14:paraId="7AADC845"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Rat (SD)</w:t>
            </w:r>
          </w:p>
        </w:tc>
        <w:tc>
          <w:tcPr>
            <w:tcW w:w="618" w:type="dxa"/>
          </w:tcPr>
          <w:p w14:paraId="77E8EC89"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M</w:t>
            </w:r>
          </w:p>
          <w:p w14:paraId="3DC72C25"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F</w:t>
            </w:r>
          </w:p>
          <w:p w14:paraId="1CF56255"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M+F</w:t>
            </w:r>
          </w:p>
        </w:tc>
        <w:tc>
          <w:tcPr>
            <w:tcW w:w="1457" w:type="dxa"/>
          </w:tcPr>
          <w:p w14:paraId="0CCA1705"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1083</w:t>
            </w:r>
          </w:p>
          <w:p w14:paraId="3FE1E0E0"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1854</w:t>
            </w:r>
          </w:p>
          <w:p w14:paraId="577CC4D8"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1398</w:t>
            </w:r>
          </w:p>
        </w:tc>
        <w:tc>
          <w:tcPr>
            <w:tcW w:w="972" w:type="dxa"/>
          </w:tcPr>
          <w:p w14:paraId="689879A5"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w:t>
            </w:r>
            <w:r w:rsidRPr="0098635C">
              <w:rPr>
                <w:rFonts w:ascii="Times New Roman" w:hAnsi="Times New Roman"/>
                <w:i/>
                <w:color w:val="000000" w:themeColor="text1"/>
                <w:sz w:val="20"/>
                <w:szCs w:val="20"/>
                <w:vertAlign w:val="superscript"/>
              </w:rPr>
              <w:t xml:space="preserve"> d</w:t>
            </w:r>
          </w:p>
        </w:tc>
      </w:tr>
      <w:tr w:rsidR="00FB0F1B" w:rsidRPr="0098635C" w14:paraId="19F24AB5" w14:textId="77777777" w:rsidTr="002C6F71">
        <w:tc>
          <w:tcPr>
            <w:tcW w:w="0" w:type="auto"/>
          </w:tcPr>
          <w:p w14:paraId="045E8A71"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Haynes (1998) </w:t>
            </w:r>
            <w:r w:rsidRPr="0098635C">
              <w:rPr>
                <w:rFonts w:ascii="Times New Roman" w:hAnsi="Times New Roman"/>
                <w:i/>
                <w:color w:val="000000" w:themeColor="text1"/>
                <w:sz w:val="20"/>
                <w:szCs w:val="20"/>
                <w:vertAlign w:val="superscript"/>
              </w:rPr>
              <w:t>a</w:t>
            </w:r>
          </w:p>
        </w:tc>
        <w:tc>
          <w:tcPr>
            <w:tcW w:w="1748" w:type="dxa"/>
          </w:tcPr>
          <w:p w14:paraId="39F1D53C" w14:textId="57878444" w:rsidR="00FB0F1B" w:rsidRPr="0098635C" w:rsidRDefault="00236182"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Dicopper chloride trihydroxide</w:t>
            </w:r>
          </w:p>
        </w:tc>
        <w:tc>
          <w:tcPr>
            <w:tcW w:w="948" w:type="dxa"/>
          </w:tcPr>
          <w:p w14:paraId="0D8E43E1"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1293" w:type="dxa"/>
          </w:tcPr>
          <w:p w14:paraId="25CEC37D"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57.3</w:t>
            </w:r>
          </w:p>
        </w:tc>
        <w:tc>
          <w:tcPr>
            <w:tcW w:w="0" w:type="auto"/>
          </w:tcPr>
          <w:p w14:paraId="082E6775"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Annex V B.1; OECD 401</w:t>
            </w:r>
          </w:p>
        </w:tc>
        <w:tc>
          <w:tcPr>
            <w:tcW w:w="1504" w:type="dxa"/>
          </w:tcPr>
          <w:p w14:paraId="7743AD32"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Alembicol D</w:t>
            </w:r>
          </w:p>
        </w:tc>
        <w:tc>
          <w:tcPr>
            <w:tcW w:w="1090" w:type="dxa"/>
          </w:tcPr>
          <w:p w14:paraId="7A58521E"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Mouse (CD-1)</w:t>
            </w:r>
          </w:p>
        </w:tc>
        <w:tc>
          <w:tcPr>
            <w:tcW w:w="618" w:type="dxa"/>
          </w:tcPr>
          <w:p w14:paraId="29534BF3"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M+F</w:t>
            </w:r>
          </w:p>
        </w:tc>
        <w:tc>
          <w:tcPr>
            <w:tcW w:w="1457" w:type="dxa"/>
          </w:tcPr>
          <w:p w14:paraId="7B957746"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299</w:t>
            </w:r>
          </w:p>
        </w:tc>
        <w:tc>
          <w:tcPr>
            <w:tcW w:w="972" w:type="dxa"/>
          </w:tcPr>
          <w:p w14:paraId="300DBC01" w14:textId="77777777" w:rsidR="00FB0F1B" w:rsidRPr="0098635C" w:rsidRDefault="00FB0F1B" w:rsidP="002C6F71">
            <w:pPr>
              <w:pStyle w:val="Tablebody"/>
              <w:spacing w:before="0" w:after="0"/>
              <w:rPr>
                <w:rFonts w:ascii="Times New Roman" w:hAnsi="Times New Roman"/>
                <w:color w:val="000000" w:themeColor="text1"/>
                <w:sz w:val="20"/>
                <w:szCs w:val="20"/>
              </w:rPr>
            </w:pPr>
            <w:r w:rsidRPr="0098635C">
              <w:rPr>
                <w:rFonts w:ascii="Times New Roman" w:hAnsi="Times New Roman"/>
                <w:color w:val="000000" w:themeColor="text1"/>
                <w:sz w:val="20"/>
                <w:szCs w:val="20"/>
              </w:rPr>
              <w:t>1</w:t>
            </w:r>
            <w:r w:rsidRPr="0098635C">
              <w:rPr>
                <w:rFonts w:ascii="Times New Roman" w:hAnsi="Times New Roman"/>
                <w:i/>
                <w:color w:val="000000" w:themeColor="text1"/>
                <w:sz w:val="20"/>
                <w:szCs w:val="20"/>
                <w:vertAlign w:val="superscript"/>
              </w:rPr>
              <w:t xml:space="preserve"> d</w:t>
            </w:r>
          </w:p>
        </w:tc>
      </w:tr>
    </w:tbl>
    <w:p w14:paraId="7F28BB25" w14:textId="77777777" w:rsidR="00FB0F1B" w:rsidRPr="0098635C" w:rsidRDefault="00FB0F1B" w:rsidP="00982513">
      <w:pPr>
        <w:pStyle w:val="Tablenote"/>
        <w:spacing w:before="0"/>
        <w:rPr>
          <w:color w:val="000000" w:themeColor="text1"/>
        </w:rPr>
      </w:pPr>
      <w:r w:rsidRPr="0098635C">
        <w:rPr>
          <w:color w:val="000000" w:themeColor="text1"/>
        </w:rPr>
        <w:t xml:space="preserve">NR - not reported.   </w:t>
      </w:r>
    </w:p>
    <w:p w14:paraId="58A07FE3" w14:textId="77777777" w:rsidR="00FB0F1B" w:rsidRPr="0098635C" w:rsidRDefault="00FB0F1B" w:rsidP="00982513">
      <w:pPr>
        <w:pStyle w:val="Tablenote"/>
        <w:spacing w:before="0"/>
        <w:rPr>
          <w:color w:val="000000" w:themeColor="text1"/>
        </w:rPr>
      </w:pPr>
      <w:r w:rsidRPr="0098635C">
        <w:rPr>
          <w:b/>
          <w:i/>
          <w:color w:val="000000" w:themeColor="text1"/>
        </w:rPr>
        <w:t>a</w:t>
      </w:r>
      <w:r w:rsidRPr="0098635C">
        <w:rPr>
          <w:color w:val="000000" w:themeColor="text1"/>
        </w:rPr>
        <w:t xml:space="preserve">  unpublished report</w:t>
      </w:r>
    </w:p>
    <w:p w14:paraId="205714A3" w14:textId="77777777" w:rsidR="00FB0F1B" w:rsidRPr="0098635C" w:rsidRDefault="00FB0F1B" w:rsidP="00982513">
      <w:pPr>
        <w:pStyle w:val="Tablenote"/>
        <w:spacing w:before="0"/>
        <w:rPr>
          <w:color w:val="000000" w:themeColor="text1"/>
        </w:rPr>
      </w:pPr>
      <w:r w:rsidRPr="0098635C">
        <w:rPr>
          <w:b/>
          <w:i/>
          <w:color w:val="000000" w:themeColor="text1"/>
        </w:rPr>
        <w:t>b</w:t>
      </w:r>
      <w:r w:rsidRPr="0098635C">
        <w:rPr>
          <w:color w:val="000000" w:themeColor="text1"/>
        </w:rPr>
        <w:t xml:space="preserve">  based on evaluation criteria developed by Klimisch </w:t>
      </w:r>
      <w:r w:rsidRPr="0098635C">
        <w:rPr>
          <w:i/>
          <w:color w:val="000000" w:themeColor="text1"/>
        </w:rPr>
        <w:t>et al</w:t>
      </w:r>
      <w:r w:rsidRPr="0098635C">
        <w:rPr>
          <w:color w:val="000000" w:themeColor="text1"/>
        </w:rPr>
        <w:t xml:space="preserve"> (1997)</w:t>
      </w:r>
    </w:p>
    <w:p w14:paraId="47BF7DA4" w14:textId="77777777" w:rsidR="00FB0F1B" w:rsidRPr="0098635C" w:rsidRDefault="00FB0F1B" w:rsidP="00982513">
      <w:pPr>
        <w:pStyle w:val="Tablenote"/>
        <w:spacing w:before="0"/>
        <w:rPr>
          <w:color w:val="000000" w:themeColor="text1"/>
        </w:rPr>
      </w:pPr>
      <w:r w:rsidRPr="0098635C">
        <w:rPr>
          <w:b/>
          <w:i/>
          <w:color w:val="000000" w:themeColor="text1"/>
        </w:rPr>
        <w:t>c</w:t>
      </w:r>
      <w:r w:rsidRPr="0098635C">
        <w:rPr>
          <w:color w:val="000000" w:themeColor="text1"/>
        </w:rPr>
        <w:t xml:space="preserve">  estimated range based on Fixed Dose method.</w:t>
      </w:r>
    </w:p>
    <w:p w14:paraId="1843E0E9" w14:textId="77777777" w:rsidR="00FB0F1B" w:rsidRPr="0098635C" w:rsidRDefault="00FB0F1B" w:rsidP="00982513">
      <w:pPr>
        <w:pStyle w:val="Tablenote"/>
        <w:spacing w:before="0"/>
        <w:rPr>
          <w:color w:val="000000" w:themeColor="text1"/>
        </w:rPr>
      </w:pPr>
      <w:r w:rsidRPr="0098635C">
        <w:rPr>
          <w:b/>
          <w:i/>
          <w:color w:val="000000" w:themeColor="text1"/>
        </w:rPr>
        <w:t>d</w:t>
      </w:r>
      <w:r w:rsidRPr="0098635C">
        <w:rPr>
          <w:color w:val="000000" w:themeColor="text1"/>
        </w:rPr>
        <w:t xml:space="preserve">  a study rating of ‘1’ was considered appropriate for this study, even though purity data were not provided.</w:t>
      </w:r>
    </w:p>
    <w:p w14:paraId="7F18066F" w14:textId="77777777" w:rsidR="00FB0F1B" w:rsidRPr="0098635C" w:rsidRDefault="00FB0F1B" w:rsidP="00FB0F1B">
      <w:pPr>
        <w:widowControl/>
        <w:autoSpaceDE/>
        <w:autoSpaceDN/>
        <w:adjustRightInd/>
        <w:spacing w:after="0"/>
        <w:jc w:val="left"/>
        <w:rPr>
          <w:rFonts w:ascii="Times New Roman Bold" w:hAnsi="Times New Roman Bold"/>
          <w:color w:val="000000" w:themeColor="text1"/>
          <w:sz w:val="20"/>
          <w:szCs w:val="20"/>
        </w:rPr>
      </w:pPr>
      <w:r w:rsidRPr="0098635C">
        <w:rPr>
          <w:b/>
          <w:bCs/>
          <w:color w:val="000000" w:themeColor="text1"/>
          <w:sz w:val="20"/>
          <w:szCs w:val="20"/>
        </w:rPr>
        <w:br w:type="page"/>
      </w:r>
    </w:p>
    <w:p w14:paraId="1826EF00" w14:textId="04EA0045" w:rsidR="00632208" w:rsidRPr="0098635C" w:rsidRDefault="008E67CD" w:rsidP="00D57755">
      <w:pPr>
        <w:spacing w:line="276" w:lineRule="auto"/>
        <w:outlineLvl w:val="0"/>
        <w:rPr>
          <w:rFonts w:eastAsia="Calibri"/>
          <w:color w:val="000000" w:themeColor="text1"/>
          <w:sz w:val="20"/>
          <w:szCs w:val="20"/>
        </w:rPr>
      </w:pPr>
      <w:bookmarkStart w:id="2273" w:name="_Toc472000500"/>
      <w:bookmarkStart w:id="2274" w:name="_Toc472251860"/>
      <w:r w:rsidRPr="0098635C">
        <w:rPr>
          <w:rFonts w:eastAsia="Calibri"/>
          <w:color w:val="000000" w:themeColor="text1"/>
          <w:sz w:val="20"/>
          <w:szCs w:val="20"/>
        </w:rPr>
        <w:lastRenderedPageBreak/>
        <w:t>Annex V</w:t>
      </w:r>
      <w:r w:rsidR="00EC6F09" w:rsidRPr="0098635C">
        <w:rPr>
          <w:rFonts w:eastAsia="Calibri"/>
          <w:color w:val="000000" w:themeColor="text1"/>
          <w:sz w:val="20"/>
          <w:szCs w:val="20"/>
        </w:rPr>
        <w:t>II</w:t>
      </w:r>
      <w:r w:rsidRPr="0098635C">
        <w:rPr>
          <w:rFonts w:eastAsia="Calibri"/>
          <w:color w:val="000000" w:themeColor="text1"/>
          <w:sz w:val="20"/>
          <w:szCs w:val="20"/>
        </w:rPr>
        <w:t>: Summary of case-reports of copper toxicity in children</w:t>
      </w:r>
      <w:bookmarkEnd w:id="2273"/>
      <w:bookmarkEnd w:id="2274"/>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355"/>
        <w:gridCol w:w="1237"/>
        <w:gridCol w:w="4872"/>
        <w:gridCol w:w="2457"/>
        <w:gridCol w:w="2256"/>
        <w:gridCol w:w="2081"/>
      </w:tblGrid>
      <w:tr w:rsidR="00632208" w:rsidRPr="0098635C" w14:paraId="04306307" w14:textId="77777777" w:rsidTr="00A432B0">
        <w:trPr>
          <w:tblHeader/>
        </w:trPr>
        <w:tc>
          <w:tcPr>
            <w:tcW w:w="0" w:type="auto"/>
          </w:tcPr>
          <w:p w14:paraId="28AB9277" w14:textId="77777777" w:rsidR="00632208" w:rsidRPr="0098635C" w:rsidRDefault="00632208" w:rsidP="00A432B0">
            <w:pPr>
              <w:pStyle w:val="Tableheading"/>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Reference</w:t>
            </w:r>
          </w:p>
        </w:tc>
        <w:tc>
          <w:tcPr>
            <w:tcW w:w="0" w:type="auto"/>
          </w:tcPr>
          <w:p w14:paraId="591EB34C" w14:textId="77777777" w:rsidR="00632208" w:rsidRPr="0098635C" w:rsidRDefault="00632208" w:rsidP="00A432B0">
            <w:pPr>
              <w:pStyle w:val="Tableheading"/>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Subject(s)</w:t>
            </w:r>
          </w:p>
        </w:tc>
        <w:tc>
          <w:tcPr>
            <w:tcW w:w="0" w:type="auto"/>
          </w:tcPr>
          <w:p w14:paraId="09D1632C" w14:textId="77777777" w:rsidR="00632208" w:rsidRPr="0098635C" w:rsidRDefault="00632208" w:rsidP="00A432B0">
            <w:pPr>
              <w:pStyle w:val="Tableheading"/>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Details of condition</w:t>
            </w:r>
          </w:p>
        </w:tc>
        <w:tc>
          <w:tcPr>
            <w:tcW w:w="0" w:type="auto"/>
          </w:tcPr>
          <w:p w14:paraId="40D64C6D" w14:textId="77777777" w:rsidR="00632208" w:rsidRPr="0098635C" w:rsidRDefault="00632208" w:rsidP="00A432B0">
            <w:pPr>
              <w:pStyle w:val="Tableheading"/>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Outcome/treatment</w:t>
            </w:r>
          </w:p>
        </w:tc>
        <w:tc>
          <w:tcPr>
            <w:tcW w:w="0" w:type="auto"/>
          </w:tcPr>
          <w:p w14:paraId="783EC956" w14:textId="77777777" w:rsidR="00632208" w:rsidRPr="0098635C" w:rsidRDefault="00632208" w:rsidP="00A432B0">
            <w:pPr>
              <w:pStyle w:val="Tableheading"/>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Possible causative factors investigated</w:t>
            </w:r>
          </w:p>
        </w:tc>
        <w:tc>
          <w:tcPr>
            <w:tcW w:w="0" w:type="auto"/>
          </w:tcPr>
          <w:p w14:paraId="1BBEDCFC" w14:textId="77777777" w:rsidR="00632208" w:rsidRPr="0098635C" w:rsidRDefault="00632208" w:rsidP="00A432B0">
            <w:pPr>
              <w:pStyle w:val="Tableheading"/>
              <w:jc w:val="center"/>
              <w:rPr>
                <w:rFonts w:ascii="Times New Roman" w:hAnsi="Times New Roman" w:cs="Times New Roman"/>
                <w:color w:val="000000" w:themeColor="text1"/>
                <w:sz w:val="20"/>
                <w:szCs w:val="20"/>
              </w:rPr>
            </w:pPr>
            <w:r w:rsidRPr="0098635C">
              <w:rPr>
                <w:rFonts w:ascii="Times New Roman" w:hAnsi="Times New Roman" w:cs="Times New Roman"/>
                <w:color w:val="000000" w:themeColor="text1"/>
                <w:sz w:val="20"/>
                <w:szCs w:val="20"/>
              </w:rPr>
              <w:t>Other information</w:t>
            </w:r>
          </w:p>
        </w:tc>
      </w:tr>
      <w:tr w:rsidR="00632208" w:rsidRPr="0098635C" w14:paraId="67A8EEFA" w14:textId="77777777" w:rsidTr="00A432B0">
        <w:tc>
          <w:tcPr>
            <w:tcW w:w="0" w:type="auto"/>
          </w:tcPr>
          <w:p w14:paraId="4F53AEDA"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Salmon and Wright (1971)</w:t>
            </w:r>
          </w:p>
        </w:tc>
        <w:tc>
          <w:tcPr>
            <w:tcW w:w="0" w:type="auto"/>
          </w:tcPr>
          <w:p w14:paraId="5867BA95"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Child (15 months)</w:t>
            </w:r>
          </w:p>
        </w:tc>
        <w:tc>
          <w:tcPr>
            <w:tcW w:w="0" w:type="auto"/>
          </w:tcPr>
          <w:p w14:paraId="1E6DDAB8"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Diarrhoea, weight loss, red extremities, elevated serum Cu, liver disease (elevated enzyme markers).  No histopathology reported.</w:t>
            </w:r>
          </w:p>
        </w:tc>
        <w:tc>
          <w:tcPr>
            <w:tcW w:w="0" w:type="auto"/>
          </w:tcPr>
          <w:p w14:paraId="776C9098"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Improvement following Cu-chelation treatment</w:t>
            </w:r>
          </w:p>
        </w:tc>
        <w:tc>
          <w:tcPr>
            <w:tcW w:w="0" w:type="auto"/>
          </w:tcPr>
          <w:p w14:paraId="1AF40990"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Cu in water (hot - 0.79 mg/L; cold 0.35 mg/L) </w:t>
            </w:r>
            <w:r w:rsidRPr="0098635C">
              <w:rPr>
                <w:rFonts w:ascii="Times New Roman" w:hAnsi="Times New Roman"/>
                <w:i/>
                <w:color w:val="000000" w:themeColor="text1"/>
                <w:sz w:val="20"/>
                <w:szCs w:val="20"/>
              </w:rPr>
              <w:t>cf</w:t>
            </w:r>
            <w:r w:rsidRPr="0098635C">
              <w:rPr>
                <w:rFonts w:ascii="Times New Roman" w:hAnsi="Times New Roman"/>
                <w:color w:val="000000" w:themeColor="text1"/>
                <w:sz w:val="20"/>
                <w:szCs w:val="20"/>
              </w:rPr>
              <w:t xml:space="preserve"> 0.04-0.08 mg/L in other locations in study.</w:t>
            </w:r>
          </w:p>
          <w:p w14:paraId="1F1F93FC" w14:textId="77777777" w:rsidR="00632208" w:rsidRPr="0098635C" w:rsidRDefault="00632208" w:rsidP="00A432B0">
            <w:pPr>
              <w:pStyle w:val="Tablebody"/>
              <w:rPr>
                <w:rFonts w:ascii="Times New Roman" w:hAnsi="Times New Roman"/>
                <w:color w:val="000000" w:themeColor="text1"/>
                <w:sz w:val="20"/>
                <w:szCs w:val="20"/>
              </w:rPr>
            </w:pPr>
          </w:p>
        </w:tc>
        <w:tc>
          <w:tcPr>
            <w:tcW w:w="0" w:type="auto"/>
          </w:tcPr>
          <w:p w14:paraId="197CE6A4" w14:textId="77777777" w:rsidR="00632208" w:rsidRPr="0098635C" w:rsidRDefault="00632208" w:rsidP="00A432B0">
            <w:pPr>
              <w:pStyle w:val="Tablebody"/>
              <w:rPr>
                <w:rFonts w:ascii="Times New Roman" w:hAnsi="Times New Roman"/>
                <w:color w:val="000000" w:themeColor="text1"/>
                <w:sz w:val="20"/>
                <w:szCs w:val="20"/>
              </w:rPr>
            </w:pPr>
          </w:p>
        </w:tc>
      </w:tr>
      <w:tr w:rsidR="00632208" w:rsidRPr="0098635C" w14:paraId="47B5787B" w14:textId="77777777" w:rsidTr="00A432B0">
        <w:tc>
          <w:tcPr>
            <w:tcW w:w="0" w:type="auto"/>
          </w:tcPr>
          <w:p w14:paraId="56E4DF03"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Walker-Smith and Blomfield (1973)</w:t>
            </w:r>
          </w:p>
        </w:tc>
        <w:tc>
          <w:tcPr>
            <w:tcW w:w="0" w:type="auto"/>
          </w:tcPr>
          <w:p w14:paraId="254C490A"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Boy (14 months)</w:t>
            </w:r>
          </w:p>
        </w:tc>
        <w:tc>
          <w:tcPr>
            <w:tcW w:w="0" w:type="auto"/>
          </w:tcPr>
          <w:p w14:paraId="7A9ABB07"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Abdominal swelling, ascites, micronodular cirrhosis of liver, elevated plasma and urinary Cu, elevated liver Cu</w:t>
            </w:r>
          </w:p>
        </w:tc>
        <w:tc>
          <w:tcPr>
            <w:tcW w:w="0" w:type="auto"/>
          </w:tcPr>
          <w:p w14:paraId="1D05F6CD"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Deterioration and death (liver failure)</w:t>
            </w:r>
          </w:p>
        </w:tc>
        <w:tc>
          <w:tcPr>
            <w:tcW w:w="0" w:type="auto"/>
          </w:tcPr>
          <w:p w14:paraId="08D9E8AC"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Cu in water 6.75 mg/L (cold) and 9.7 mg/L (hot; first draw).</w:t>
            </w:r>
          </w:p>
          <w:p w14:paraId="2ABFCBED" w14:textId="77777777" w:rsidR="00632208" w:rsidRPr="0098635C" w:rsidRDefault="00632208" w:rsidP="00A432B0">
            <w:pPr>
              <w:pStyle w:val="Tablebody"/>
              <w:rPr>
                <w:rFonts w:ascii="Times New Roman" w:hAnsi="Times New Roman"/>
                <w:color w:val="000000" w:themeColor="text1"/>
                <w:sz w:val="20"/>
                <w:szCs w:val="20"/>
              </w:rPr>
            </w:pPr>
          </w:p>
        </w:tc>
        <w:tc>
          <w:tcPr>
            <w:tcW w:w="0" w:type="auto"/>
          </w:tcPr>
          <w:p w14:paraId="1AFF1AD7" w14:textId="77777777" w:rsidR="00632208" w:rsidRPr="0098635C" w:rsidRDefault="00632208" w:rsidP="00A432B0">
            <w:pPr>
              <w:pStyle w:val="Tablebody"/>
              <w:rPr>
                <w:rFonts w:ascii="Times New Roman" w:hAnsi="Times New Roman"/>
                <w:color w:val="000000" w:themeColor="text1"/>
                <w:sz w:val="20"/>
                <w:szCs w:val="20"/>
              </w:rPr>
            </w:pPr>
          </w:p>
        </w:tc>
      </w:tr>
      <w:tr w:rsidR="00632208" w:rsidRPr="0098635C" w14:paraId="4C2398A0" w14:textId="77777777" w:rsidTr="00A432B0">
        <w:tc>
          <w:tcPr>
            <w:tcW w:w="0" w:type="auto"/>
          </w:tcPr>
          <w:p w14:paraId="17DBE060"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Bhandari and Sharda (1982)</w:t>
            </w:r>
          </w:p>
        </w:tc>
        <w:tc>
          <w:tcPr>
            <w:tcW w:w="0" w:type="auto"/>
          </w:tcPr>
          <w:p w14:paraId="693B869C"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One twin (10 months)</w:t>
            </w:r>
          </w:p>
        </w:tc>
        <w:tc>
          <w:tcPr>
            <w:tcW w:w="0" w:type="auto"/>
          </w:tcPr>
          <w:p w14:paraId="2BA7F04E"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Hepatosplenomegaly, micronodular cirrhosis of liver, elevated serum and urinary Cu</w:t>
            </w:r>
          </w:p>
        </w:tc>
        <w:tc>
          <w:tcPr>
            <w:tcW w:w="0" w:type="auto"/>
          </w:tcPr>
          <w:p w14:paraId="64BAADCF"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NR</w:t>
            </w:r>
          </w:p>
        </w:tc>
        <w:tc>
          <w:tcPr>
            <w:tcW w:w="0" w:type="auto"/>
          </w:tcPr>
          <w:p w14:paraId="68AAD75B"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Infant fed on cows’ milk (boiled and stored in Cu utensils for up to 6h); Cu levels 3.04 mg/L.</w:t>
            </w:r>
          </w:p>
          <w:p w14:paraId="7D14B33E" w14:textId="77777777" w:rsidR="00632208" w:rsidRPr="0098635C" w:rsidRDefault="00632208" w:rsidP="00A432B0">
            <w:pPr>
              <w:pStyle w:val="Tablebody"/>
              <w:rPr>
                <w:rFonts w:ascii="Times New Roman" w:hAnsi="Times New Roman"/>
                <w:color w:val="000000" w:themeColor="text1"/>
                <w:sz w:val="20"/>
                <w:szCs w:val="20"/>
              </w:rPr>
            </w:pPr>
          </w:p>
        </w:tc>
        <w:tc>
          <w:tcPr>
            <w:tcW w:w="0" w:type="auto"/>
          </w:tcPr>
          <w:p w14:paraId="1E2D5506"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Second twin (breast-fed until 10 months) was unaffected </w:t>
            </w:r>
          </w:p>
        </w:tc>
      </w:tr>
      <w:tr w:rsidR="00632208" w:rsidRPr="0098635C" w14:paraId="4D67B736" w14:textId="77777777" w:rsidTr="00A432B0">
        <w:tc>
          <w:tcPr>
            <w:tcW w:w="0" w:type="auto"/>
          </w:tcPr>
          <w:p w14:paraId="0CA31CFA"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Müller-Höcker </w:t>
            </w:r>
            <w:r w:rsidRPr="0098635C">
              <w:rPr>
                <w:rFonts w:ascii="Times New Roman" w:hAnsi="Times New Roman"/>
                <w:i/>
                <w:color w:val="000000" w:themeColor="text1"/>
                <w:sz w:val="20"/>
                <w:szCs w:val="20"/>
              </w:rPr>
              <w:t>et al</w:t>
            </w:r>
            <w:r w:rsidRPr="0098635C">
              <w:rPr>
                <w:rFonts w:ascii="Times New Roman" w:hAnsi="Times New Roman"/>
                <w:color w:val="000000" w:themeColor="text1"/>
                <w:sz w:val="20"/>
                <w:szCs w:val="20"/>
              </w:rPr>
              <w:t xml:space="preserve"> (1988)</w:t>
            </w:r>
          </w:p>
        </w:tc>
        <w:tc>
          <w:tcPr>
            <w:tcW w:w="0" w:type="auto"/>
          </w:tcPr>
          <w:p w14:paraId="689B570B"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2 children (5 and 9 months)</w:t>
            </w:r>
          </w:p>
        </w:tc>
        <w:tc>
          <w:tcPr>
            <w:tcW w:w="0" w:type="auto"/>
          </w:tcPr>
          <w:p w14:paraId="2A6731FD"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Abdominal distention, hepatosplenomegaly.  Liver biopsy (micronodular cirrhosis, ballooning hepatocytes, Mallory bodies, intracellular Cu).  Serum Cu normal.  Elevated Cu in liver (698 µg/g wet wt; 2154 µg/dry wt).</w:t>
            </w:r>
          </w:p>
          <w:p w14:paraId="53F58D74" w14:textId="77777777" w:rsidR="00632208" w:rsidRPr="0098635C" w:rsidRDefault="00632208" w:rsidP="00A432B0">
            <w:pPr>
              <w:pStyle w:val="Tablebody"/>
              <w:rPr>
                <w:rFonts w:ascii="Times New Roman" w:hAnsi="Times New Roman"/>
                <w:color w:val="000000" w:themeColor="text1"/>
                <w:sz w:val="20"/>
                <w:szCs w:val="20"/>
              </w:rPr>
            </w:pPr>
          </w:p>
        </w:tc>
        <w:tc>
          <w:tcPr>
            <w:tcW w:w="0" w:type="auto"/>
          </w:tcPr>
          <w:p w14:paraId="0E406D1E"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Death in one case from liver failure</w:t>
            </w:r>
          </w:p>
        </w:tc>
        <w:tc>
          <w:tcPr>
            <w:tcW w:w="0" w:type="auto"/>
          </w:tcPr>
          <w:p w14:paraId="58A6C06F"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Condition attributed to Cu in drinking water, but no supportive data provided.</w:t>
            </w:r>
          </w:p>
        </w:tc>
        <w:tc>
          <w:tcPr>
            <w:tcW w:w="0" w:type="auto"/>
          </w:tcPr>
          <w:p w14:paraId="1031466F" w14:textId="77777777" w:rsidR="00632208" w:rsidRPr="0098635C" w:rsidRDefault="00632208" w:rsidP="00A432B0">
            <w:pPr>
              <w:pStyle w:val="Tablebody"/>
              <w:rPr>
                <w:rFonts w:ascii="Times New Roman" w:hAnsi="Times New Roman"/>
                <w:color w:val="000000" w:themeColor="text1"/>
                <w:sz w:val="20"/>
                <w:szCs w:val="20"/>
              </w:rPr>
            </w:pPr>
          </w:p>
        </w:tc>
      </w:tr>
      <w:tr w:rsidR="00632208" w:rsidRPr="0098635C" w14:paraId="11D01251" w14:textId="77777777" w:rsidTr="00A432B0">
        <w:tc>
          <w:tcPr>
            <w:tcW w:w="0" w:type="auto"/>
          </w:tcPr>
          <w:p w14:paraId="1EEC76E0"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Schramel </w:t>
            </w:r>
            <w:r w:rsidRPr="0098635C">
              <w:rPr>
                <w:rFonts w:ascii="Times New Roman" w:hAnsi="Times New Roman"/>
                <w:i/>
                <w:color w:val="000000" w:themeColor="text1"/>
                <w:sz w:val="20"/>
                <w:szCs w:val="20"/>
              </w:rPr>
              <w:t>et al</w:t>
            </w:r>
            <w:r w:rsidRPr="0098635C">
              <w:rPr>
                <w:rFonts w:ascii="Times New Roman" w:hAnsi="Times New Roman"/>
                <w:color w:val="000000" w:themeColor="text1"/>
                <w:sz w:val="20"/>
                <w:szCs w:val="20"/>
              </w:rPr>
              <w:t xml:space="preserve"> (1988)</w:t>
            </w:r>
          </w:p>
        </w:tc>
        <w:tc>
          <w:tcPr>
            <w:tcW w:w="0" w:type="auto"/>
          </w:tcPr>
          <w:p w14:paraId="70992432"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3 children (&lt;1y) from 2 families</w:t>
            </w:r>
          </w:p>
        </w:tc>
        <w:tc>
          <w:tcPr>
            <w:tcW w:w="0" w:type="auto"/>
          </w:tcPr>
          <w:p w14:paraId="3E0E948A"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Elevated Cu in liver (1240, 1870 and 1450 µg/g dry wt)</w:t>
            </w:r>
          </w:p>
        </w:tc>
        <w:tc>
          <w:tcPr>
            <w:tcW w:w="0" w:type="auto"/>
          </w:tcPr>
          <w:p w14:paraId="50654E12"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Two deaths (liver failure)</w:t>
            </w:r>
          </w:p>
        </w:tc>
        <w:tc>
          <w:tcPr>
            <w:tcW w:w="0" w:type="auto"/>
          </w:tcPr>
          <w:p w14:paraId="5970DD82"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Cu in drinking water (from well, supplied through Cu pipes) 0.43 and 3.4 mg/L in two affected households.</w:t>
            </w:r>
          </w:p>
          <w:p w14:paraId="59EE9D51" w14:textId="77777777" w:rsidR="00632208" w:rsidRPr="0098635C" w:rsidRDefault="00632208" w:rsidP="00A432B0">
            <w:pPr>
              <w:pStyle w:val="Tablebody"/>
              <w:rPr>
                <w:rFonts w:ascii="Times New Roman" w:hAnsi="Times New Roman"/>
                <w:color w:val="000000" w:themeColor="text1"/>
                <w:sz w:val="20"/>
                <w:szCs w:val="20"/>
              </w:rPr>
            </w:pPr>
          </w:p>
        </w:tc>
        <w:tc>
          <w:tcPr>
            <w:tcW w:w="0" w:type="auto"/>
          </w:tcPr>
          <w:p w14:paraId="32160524" w14:textId="77777777" w:rsidR="00632208" w:rsidRPr="0098635C" w:rsidRDefault="00632208" w:rsidP="00A432B0">
            <w:pPr>
              <w:pStyle w:val="Tablebody"/>
              <w:rPr>
                <w:rFonts w:ascii="Times New Roman" w:hAnsi="Times New Roman"/>
                <w:color w:val="000000" w:themeColor="text1"/>
                <w:sz w:val="20"/>
                <w:szCs w:val="20"/>
              </w:rPr>
            </w:pPr>
          </w:p>
        </w:tc>
      </w:tr>
      <w:tr w:rsidR="00632208" w:rsidRPr="0098635C" w14:paraId="01090BA9" w14:textId="77777777" w:rsidTr="00A432B0">
        <w:tc>
          <w:tcPr>
            <w:tcW w:w="0" w:type="auto"/>
          </w:tcPr>
          <w:p w14:paraId="765B77E7"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lastRenderedPageBreak/>
              <w:t xml:space="preserve">Adamson </w:t>
            </w:r>
            <w:r w:rsidRPr="0098635C">
              <w:rPr>
                <w:rFonts w:ascii="Times New Roman" w:hAnsi="Times New Roman"/>
                <w:i/>
                <w:color w:val="000000" w:themeColor="text1"/>
                <w:sz w:val="20"/>
                <w:szCs w:val="20"/>
              </w:rPr>
              <w:t>et al</w:t>
            </w:r>
            <w:r w:rsidRPr="0098635C">
              <w:rPr>
                <w:rFonts w:ascii="Times New Roman" w:hAnsi="Times New Roman"/>
                <w:color w:val="000000" w:themeColor="text1"/>
                <w:sz w:val="20"/>
                <w:szCs w:val="20"/>
              </w:rPr>
              <w:t xml:space="preserve"> (1992)</w:t>
            </w:r>
          </w:p>
        </w:tc>
        <w:tc>
          <w:tcPr>
            <w:tcW w:w="0" w:type="auto"/>
          </w:tcPr>
          <w:p w14:paraId="2E13C7E3"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Boy (2 y)</w:t>
            </w:r>
          </w:p>
        </w:tc>
        <w:tc>
          <w:tcPr>
            <w:tcW w:w="0" w:type="auto"/>
          </w:tcPr>
          <w:p w14:paraId="47E829C1"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Weight loss, abdominal distention, abnormal liver enzyme markers, hepatosplenomegaly, jaundice, ascites, oedema.  Elevated urinary Cu.  Liver biopsy (micronodular cirrhosis, ballooning degeneration, Mallory bodies, Cu-containing granules).  Elevated Cu in liver (1500 µg/g dry wt).</w:t>
            </w:r>
          </w:p>
          <w:p w14:paraId="3096A63C" w14:textId="77777777" w:rsidR="00632208" w:rsidRPr="0098635C" w:rsidRDefault="00632208" w:rsidP="00A432B0">
            <w:pPr>
              <w:pStyle w:val="Tablebody"/>
              <w:rPr>
                <w:rFonts w:ascii="Times New Roman" w:hAnsi="Times New Roman"/>
                <w:color w:val="000000" w:themeColor="text1"/>
                <w:sz w:val="20"/>
                <w:szCs w:val="20"/>
              </w:rPr>
            </w:pPr>
          </w:p>
        </w:tc>
        <w:tc>
          <w:tcPr>
            <w:tcW w:w="0" w:type="auto"/>
          </w:tcPr>
          <w:p w14:paraId="1E740C76"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Death at 32 months from gastrointestinal bleed</w:t>
            </w:r>
          </w:p>
        </w:tc>
        <w:tc>
          <w:tcPr>
            <w:tcW w:w="0" w:type="auto"/>
          </w:tcPr>
          <w:p w14:paraId="650EDB57" w14:textId="77777777" w:rsidR="00632208" w:rsidRPr="0098635C" w:rsidRDefault="00632208" w:rsidP="00A432B0">
            <w:pPr>
              <w:pStyle w:val="Tablebody"/>
              <w:rPr>
                <w:rFonts w:ascii="Times New Roman" w:hAnsi="Times New Roman"/>
                <w:color w:val="000000" w:themeColor="text1"/>
                <w:sz w:val="20"/>
                <w:szCs w:val="20"/>
                <w:lang w:val="nl-NL"/>
              </w:rPr>
            </w:pPr>
            <w:r w:rsidRPr="0098635C">
              <w:rPr>
                <w:rFonts w:ascii="Times New Roman" w:hAnsi="Times New Roman"/>
                <w:color w:val="000000" w:themeColor="text1"/>
                <w:sz w:val="20"/>
                <w:szCs w:val="20"/>
                <w:lang w:val="nl-NL"/>
              </w:rPr>
              <w:t>Cu in drinking water 1.13 mg/L</w:t>
            </w:r>
          </w:p>
        </w:tc>
        <w:tc>
          <w:tcPr>
            <w:tcW w:w="0" w:type="auto"/>
          </w:tcPr>
          <w:p w14:paraId="06017598" w14:textId="77777777" w:rsidR="00632208" w:rsidRPr="0098635C" w:rsidRDefault="00632208" w:rsidP="00A432B0">
            <w:pPr>
              <w:pStyle w:val="Tablebody"/>
              <w:rPr>
                <w:rFonts w:ascii="Times New Roman" w:hAnsi="Times New Roman"/>
                <w:color w:val="000000" w:themeColor="text1"/>
                <w:sz w:val="20"/>
                <w:szCs w:val="20"/>
                <w:lang w:val="nl-NL"/>
              </w:rPr>
            </w:pPr>
          </w:p>
        </w:tc>
      </w:tr>
      <w:tr w:rsidR="00632208" w:rsidRPr="0098635C" w14:paraId="5CC5AD91" w14:textId="77777777" w:rsidTr="00A432B0">
        <w:tc>
          <w:tcPr>
            <w:tcW w:w="0" w:type="auto"/>
          </w:tcPr>
          <w:p w14:paraId="5310F1CA"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Baker </w:t>
            </w:r>
            <w:r w:rsidRPr="0098635C">
              <w:rPr>
                <w:rFonts w:ascii="Times New Roman" w:hAnsi="Times New Roman"/>
                <w:i/>
                <w:color w:val="000000" w:themeColor="text1"/>
                <w:sz w:val="20"/>
                <w:szCs w:val="20"/>
              </w:rPr>
              <w:t>et al</w:t>
            </w:r>
            <w:r w:rsidRPr="0098635C">
              <w:rPr>
                <w:rFonts w:ascii="Times New Roman" w:hAnsi="Times New Roman"/>
                <w:color w:val="000000" w:themeColor="text1"/>
                <w:sz w:val="20"/>
                <w:szCs w:val="20"/>
              </w:rPr>
              <w:t xml:space="preserve"> (1995)</w:t>
            </w:r>
          </w:p>
        </w:tc>
        <w:tc>
          <w:tcPr>
            <w:tcW w:w="0" w:type="auto"/>
          </w:tcPr>
          <w:p w14:paraId="4C18B058"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3 children (10, 14 and 29 months)</w:t>
            </w:r>
          </w:p>
        </w:tc>
        <w:tc>
          <w:tcPr>
            <w:tcW w:w="0" w:type="auto"/>
          </w:tcPr>
          <w:p w14:paraId="6A31FCBA"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Abdominal distention, mild jaundice, ascites, hepatosplenomegaly, hypoglycaemia, elevated serum bilirubin.  Abnormal liver histopathology (micronodular cirrhosis, ballooning hepatocytes, Mallory bodies, Cu-containing granules).  Elevated Cu in liver (1245, 1310 and 1100 µg/g dry wt). </w:t>
            </w:r>
          </w:p>
        </w:tc>
        <w:tc>
          <w:tcPr>
            <w:tcW w:w="0" w:type="auto"/>
          </w:tcPr>
          <w:p w14:paraId="1AB966D4"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Case 1 and 2 - deterioration in liver function and development of encephalopathy, followed by death.  </w:t>
            </w:r>
          </w:p>
          <w:p w14:paraId="55AAA523"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Case 3 - liver transplant followed by successful recovery.</w:t>
            </w:r>
          </w:p>
        </w:tc>
        <w:tc>
          <w:tcPr>
            <w:tcW w:w="0" w:type="auto"/>
          </w:tcPr>
          <w:p w14:paraId="0E8E0C8E"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Cu levels in hot standing and cold running water were:</w:t>
            </w:r>
          </w:p>
          <w:p w14:paraId="7A845915"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Case 1 – 8.0 and 3.9 mg/L, respectively.</w:t>
            </w:r>
          </w:p>
          <w:p w14:paraId="425A6EFE"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Case 2 – 6.3 and 2.3 mg/L, respectively.</w:t>
            </w:r>
          </w:p>
          <w:p w14:paraId="2260E390"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Case 3 - &lt; 0.1 mg/L.</w:t>
            </w:r>
          </w:p>
          <w:p w14:paraId="7A06C441" w14:textId="77777777" w:rsidR="00632208" w:rsidRPr="0098635C" w:rsidRDefault="00632208" w:rsidP="00A432B0">
            <w:pPr>
              <w:pStyle w:val="Tablebody"/>
              <w:rPr>
                <w:rFonts w:ascii="Times New Roman" w:hAnsi="Times New Roman"/>
                <w:color w:val="000000" w:themeColor="text1"/>
                <w:sz w:val="20"/>
                <w:szCs w:val="20"/>
              </w:rPr>
            </w:pPr>
          </w:p>
        </w:tc>
        <w:tc>
          <w:tcPr>
            <w:tcW w:w="0" w:type="auto"/>
          </w:tcPr>
          <w:p w14:paraId="70A3F39C"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Case 2 – other siblings exposed to same water did not develop symptoms</w:t>
            </w:r>
          </w:p>
        </w:tc>
      </w:tr>
      <w:tr w:rsidR="00632208" w:rsidRPr="0098635C" w14:paraId="1623153B" w14:textId="77777777" w:rsidTr="00A432B0">
        <w:tc>
          <w:tcPr>
            <w:tcW w:w="0" w:type="auto"/>
          </w:tcPr>
          <w:p w14:paraId="26A0844B"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Trollman </w:t>
            </w:r>
            <w:r w:rsidRPr="0098635C">
              <w:rPr>
                <w:rFonts w:ascii="Times New Roman" w:hAnsi="Times New Roman"/>
                <w:i/>
                <w:color w:val="000000" w:themeColor="text1"/>
                <w:sz w:val="20"/>
                <w:szCs w:val="20"/>
              </w:rPr>
              <w:t>et al</w:t>
            </w:r>
            <w:r w:rsidRPr="0098635C">
              <w:rPr>
                <w:rFonts w:ascii="Times New Roman" w:hAnsi="Times New Roman"/>
                <w:color w:val="000000" w:themeColor="text1"/>
                <w:sz w:val="20"/>
                <w:szCs w:val="20"/>
              </w:rPr>
              <w:t xml:space="preserve"> (1999)</w:t>
            </w:r>
          </w:p>
        </w:tc>
        <w:tc>
          <w:tcPr>
            <w:tcW w:w="0" w:type="auto"/>
          </w:tcPr>
          <w:p w14:paraId="77000B4F"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Girl (3.5 y)</w:t>
            </w:r>
          </w:p>
        </w:tc>
        <w:tc>
          <w:tcPr>
            <w:tcW w:w="0" w:type="auto"/>
          </w:tcPr>
          <w:p w14:paraId="57BEBC46"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Symptoms first occurred at 3.5y.  Abdominal distention, jaundice, hepatomegaly. Liver biopsy (micronodular cirrhosis, Cu deposits).  Elevated Cu in liver (1400 µg/g dry wt). </w:t>
            </w:r>
          </w:p>
        </w:tc>
        <w:tc>
          <w:tcPr>
            <w:tcW w:w="0" w:type="auto"/>
          </w:tcPr>
          <w:p w14:paraId="4B49BCE5"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Death resulted from progressive liver failure</w:t>
            </w:r>
          </w:p>
        </w:tc>
        <w:tc>
          <w:tcPr>
            <w:tcW w:w="0" w:type="auto"/>
          </w:tcPr>
          <w:p w14:paraId="66E07382"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 xml:space="preserve">Cu levels in standing water were 8.7 mg/L.  Child drank ~1litre of tap water per day. </w:t>
            </w:r>
          </w:p>
          <w:p w14:paraId="4BBC25A8" w14:textId="77777777" w:rsidR="00632208" w:rsidRPr="0098635C" w:rsidRDefault="00632208" w:rsidP="00A432B0">
            <w:pPr>
              <w:pStyle w:val="Tablebody"/>
              <w:rPr>
                <w:rFonts w:ascii="Times New Roman" w:hAnsi="Times New Roman"/>
                <w:color w:val="000000" w:themeColor="text1"/>
                <w:sz w:val="20"/>
                <w:szCs w:val="20"/>
              </w:rPr>
            </w:pPr>
          </w:p>
        </w:tc>
        <w:tc>
          <w:tcPr>
            <w:tcW w:w="0" w:type="auto"/>
          </w:tcPr>
          <w:p w14:paraId="0BFD794C" w14:textId="77777777" w:rsidR="00632208" w:rsidRPr="0098635C" w:rsidRDefault="00632208" w:rsidP="00A432B0">
            <w:pPr>
              <w:pStyle w:val="Tablebody"/>
              <w:rPr>
                <w:rFonts w:ascii="Times New Roman" w:hAnsi="Times New Roman"/>
                <w:color w:val="000000" w:themeColor="text1"/>
                <w:sz w:val="20"/>
                <w:szCs w:val="20"/>
              </w:rPr>
            </w:pPr>
            <w:r w:rsidRPr="0098635C">
              <w:rPr>
                <w:rFonts w:ascii="Times New Roman" w:hAnsi="Times New Roman"/>
                <w:color w:val="000000" w:themeColor="text1"/>
                <w:sz w:val="20"/>
                <w:szCs w:val="20"/>
              </w:rPr>
              <w:t>Family moved to house with water from well, supplied through Cu pipes when child was 2 y.</w:t>
            </w:r>
          </w:p>
        </w:tc>
      </w:tr>
    </w:tbl>
    <w:p w14:paraId="5AF229E3" w14:textId="77777777" w:rsidR="00632208" w:rsidRPr="0098635C" w:rsidRDefault="00632208" w:rsidP="00632208">
      <w:pPr>
        <w:widowControl/>
        <w:autoSpaceDE/>
        <w:autoSpaceDN/>
        <w:adjustRightInd/>
        <w:spacing w:after="0"/>
        <w:jc w:val="left"/>
        <w:rPr>
          <w:b/>
          <w:bCs/>
          <w:color w:val="000000" w:themeColor="text1"/>
          <w:spacing w:val="-3"/>
          <w:sz w:val="20"/>
          <w:szCs w:val="20"/>
        </w:rPr>
      </w:pPr>
      <w:r w:rsidRPr="0098635C">
        <w:rPr>
          <w:b/>
          <w:bCs/>
          <w:color w:val="000000" w:themeColor="text1"/>
          <w:sz w:val="20"/>
          <w:szCs w:val="20"/>
        </w:rPr>
        <w:br w:type="page"/>
      </w:r>
    </w:p>
    <w:p w14:paraId="3DDE9A66" w14:textId="77777777" w:rsidR="00983DC2" w:rsidRPr="0098635C" w:rsidRDefault="008E67CD" w:rsidP="00982513">
      <w:pPr>
        <w:spacing w:line="276" w:lineRule="auto"/>
        <w:ind w:right="538"/>
        <w:outlineLvl w:val="0"/>
        <w:rPr>
          <w:rFonts w:eastAsia="Calibri"/>
          <w:color w:val="000000" w:themeColor="text1"/>
          <w:sz w:val="20"/>
          <w:szCs w:val="20"/>
        </w:rPr>
      </w:pPr>
      <w:bookmarkStart w:id="2275" w:name="_Toc472000501"/>
      <w:bookmarkStart w:id="2276" w:name="_Toc472251861"/>
      <w:r w:rsidRPr="0098635C">
        <w:rPr>
          <w:rFonts w:eastAsia="Calibri"/>
          <w:color w:val="000000" w:themeColor="text1"/>
          <w:sz w:val="20"/>
          <w:szCs w:val="20"/>
        </w:rPr>
        <w:lastRenderedPageBreak/>
        <w:t>Annex VII</w:t>
      </w:r>
      <w:r w:rsidR="00EC6F09" w:rsidRPr="0098635C">
        <w:rPr>
          <w:rFonts w:eastAsia="Calibri"/>
          <w:color w:val="000000" w:themeColor="text1"/>
          <w:sz w:val="20"/>
          <w:szCs w:val="20"/>
        </w:rPr>
        <w:t>I</w:t>
      </w:r>
      <w:r w:rsidRPr="0098635C">
        <w:rPr>
          <w:rFonts w:eastAsia="Calibri"/>
          <w:color w:val="000000" w:themeColor="text1"/>
          <w:sz w:val="20"/>
          <w:szCs w:val="20"/>
        </w:rPr>
        <w:t xml:space="preserve">: Overview of acute ecotoxicity values </w:t>
      </w:r>
      <w:r w:rsidR="00517C6D" w:rsidRPr="0098635C">
        <w:rPr>
          <w:rFonts w:eastAsia="Calibri"/>
          <w:color w:val="000000" w:themeColor="text1"/>
          <w:sz w:val="20"/>
          <w:szCs w:val="20"/>
        </w:rPr>
        <w:t xml:space="preserve">for standard freshwater species </w:t>
      </w:r>
      <w:r w:rsidRPr="0098635C">
        <w:rPr>
          <w:rFonts w:eastAsia="Calibri"/>
          <w:color w:val="000000" w:themeColor="text1"/>
          <w:sz w:val="20"/>
          <w:szCs w:val="20"/>
        </w:rPr>
        <w:t xml:space="preserve">and physico-chemical </w:t>
      </w:r>
      <w:r w:rsidR="00517C6D" w:rsidRPr="0098635C">
        <w:rPr>
          <w:rFonts w:eastAsia="Calibri"/>
          <w:color w:val="000000" w:themeColor="text1"/>
          <w:sz w:val="20"/>
          <w:szCs w:val="20"/>
        </w:rPr>
        <w:t>characteristics of the test media</w:t>
      </w:r>
      <w:r w:rsidRPr="0098635C">
        <w:rPr>
          <w:rFonts w:eastAsia="Calibri"/>
          <w:color w:val="000000" w:themeColor="text1"/>
          <w:sz w:val="20"/>
          <w:szCs w:val="20"/>
        </w:rPr>
        <w:t>.</w:t>
      </w:r>
      <w:bookmarkEnd w:id="2275"/>
      <w:bookmarkEnd w:id="2276"/>
      <w:r w:rsidRPr="0098635C">
        <w:rPr>
          <w:rFonts w:eastAsia="Calibri"/>
          <w:color w:val="000000" w:themeColor="text1"/>
          <w:sz w:val="20"/>
          <w:szCs w:val="20"/>
        </w:rPr>
        <w:t xml:space="preserve"> </w:t>
      </w:r>
    </w:p>
    <w:p w14:paraId="36CDE0C5" w14:textId="1FD6218F" w:rsidR="00632208" w:rsidRPr="0098635C" w:rsidRDefault="008E67CD" w:rsidP="00982513">
      <w:pPr>
        <w:spacing w:line="276" w:lineRule="auto"/>
        <w:ind w:right="538"/>
        <w:outlineLvl w:val="0"/>
        <w:rPr>
          <w:rFonts w:eastAsia="Calibri"/>
          <w:color w:val="000000" w:themeColor="text1"/>
          <w:sz w:val="20"/>
          <w:szCs w:val="20"/>
        </w:rPr>
      </w:pPr>
      <w:bookmarkStart w:id="2277" w:name="_Toc472000502"/>
      <w:bookmarkStart w:id="2278" w:name="_Toc472251862"/>
      <w:r w:rsidRPr="0098635C">
        <w:rPr>
          <w:color w:val="000000" w:themeColor="text1"/>
          <w:sz w:val="20"/>
          <w:szCs w:val="20"/>
        </w:rPr>
        <w:t>Reported LC50values represent measured concentration levels, unless specified otherwise.</w:t>
      </w:r>
      <w:bookmarkEnd w:id="2277"/>
      <w:bookmarkEnd w:id="2278"/>
    </w:p>
    <w:tbl>
      <w:tblPr>
        <w:tblW w:w="13837" w:type="dxa"/>
        <w:tblInd w:w="-23" w:type="dxa"/>
        <w:tblLayout w:type="fixed"/>
        <w:tblLook w:val="0000" w:firstRow="0" w:lastRow="0" w:firstColumn="0" w:lastColumn="0" w:noHBand="0" w:noVBand="0"/>
      </w:tblPr>
      <w:tblGrid>
        <w:gridCol w:w="2498"/>
        <w:gridCol w:w="1134"/>
        <w:gridCol w:w="1276"/>
        <w:gridCol w:w="1417"/>
        <w:gridCol w:w="1276"/>
        <w:gridCol w:w="2126"/>
        <w:gridCol w:w="1701"/>
        <w:gridCol w:w="2409"/>
      </w:tblGrid>
      <w:tr w:rsidR="00632208" w:rsidRPr="0098635C" w14:paraId="0DA29377" w14:textId="77777777" w:rsidTr="00982513">
        <w:trPr>
          <w:trHeight w:val="464"/>
        </w:trPr>
        <w:tc>
          <w:tcPr>
            <w:tcW w:w="2498" w:type="dxa"/>
            <w:tcBorders>
              <w:top w:val="double" w:sz="6" w:space="0" w:color="auto"/>
              <w:left w:val="double" w:sz="6" w:space="0" w:color="auto"/>
              <w:bottom w:val="single" w:sz="4" w:space="0" w:color="auto"/>
              <w:right w:val="single" w:sz="8" w:space="0" w:color="auto"/>
            </w:tcBorders>
          </w:tcPr>
          <w:p w14:paraId="1334A9AE" w14:textId="2EED1127" w:rsidR="00632208" w:rsidRPr="0098635C" w:rsidRDefault="00632208" w:rsidP="00A432B0">
            <w:pPr>
              <w:spacing w:after="0"/>
              <w:rPr>
                <w:b/>
                <w:bCs/>
                <w:color w:val="000000" w:themeColor="text1"/>
                <w:sz w:val="20"/>
                <w:szCs w:val="20"/>
              </w:rPr>
            </w:pPr>
            <w:r w:rsidRPr="0098635C">
              <w:rPr>
                <w:b/>
                <w:bCs/>
                <w:color w:val="000000" w:themeColor="text1"/>
                <w:sz w:val="20"/>
                <w:szCs w:val="20"/>
              </w:rPr>
              <w:t>Organism</w:t>
            </w:r>
          </w:p>
        </w:tc>
        <w:tc>
          <w:tcPr>
            <w:tcW w:w="1134" w:type="dxa"/>
            <w:tcBorders>
              <w:top w:val="double" w:sz="6" w:space="0" w:color="auto"/>
              <w:left w:val="single" w:sz="8" w:space="0" w:color="auto"/>
              <w:bottom w:val="single" w:sz="4" w:space="0" w:color="auto"/>
              <w:right w:val="single" w:sz="8" w:space="0" w:color="auto"/>
            </w:tcBorders>
          </w:tcPr>
          <w:p w14:paraId="665E2FF5" w14:textId="77777777" w:rsidR="00632208" w:rsidRPr="0098635C" w:rsidRDefault="00632208" w:rsidP="00A432B0">
            <w:pPr>
              <w:spacing w:after="0"/>
              <w:rPr>
                <w:b/>
                <w:bCs/>
                <w:color w:val="000000" w:themeColor="text1"/>
                <w:sz w:val="20"/>
                <w:szCs w:val="20"/>
              </w:rPr>
            </w:pPr>
            <w:r w:rsidRPr="0098635C">
              <w:rPr>
                <w:b/>
                <w:bCs/>
                <w:color w:val="000000" w:themeColor="text1"/>
                <w:sz w:val="20"/>
                <w:szCs w:val="20"/>
              </w:rPr>
              <w:t>LC50 (µg/L)</w:t>
            </w:r>
          </w:p>
        </w:tc>
        <w:tc>
          <w:tcPr>
            <w:tcW w:w="1276" w:type="dxa"/>
            <w:tcBorders>
              <w:top w:val="double" w:sz="6" w:space="0" w:color="auto"/>
              <w:left w:val="single" w:sz="8" w:space="0" w:color="auto"/>
              <w:bottom w:val="single" w:sz="4" w:space="0" w:color="auto"/>
              <w:right w:val="single" w:sz="8" w:space="0" w:color="auto"/>
            </w:tcBorders>
          </w:tcPr>
          <w:p w14:paraId="4662A93D"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Temperature (°C)</w:t>
            </w:r>
          </w:p>
        </w:tc>
        <w:tc>
          <w:tcPr>
            <w:tcW w:w="1417" w:type="dxa"/>
            <w:tcBorders>
              <w:top w:val="double" w:sz="6" w:space="0" w:color="auto"/>
              <w:left w:val="single" w:sz="8" w:space="0" w:color="auto"/>
              <w:bottom w:val="single" w:sz="4" w:space="0" w:color="auto"/>
              <w:right w:val="single" w:sz="8" w:space="0" w:color="auto"/>
            </w:tcBorders>
          </w:tcPr>
          <w:p w14:paraId="52035DD4"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pH</w:t>
            </w:r>
          </w:p>
        </w:tc>
        <w:tc>
          <w:tcPr>
            <w:tcW w:w="1276" w:type="dxa"/>
            <w:tcBorders>
              <w:top w:val="double" w:sz="6" w:space="0" w:color="auto"/>
              <w:left w:val="nil"/>
              <w:bottom w:val="single" w:sz="4" w:space="0" w:color="auto"/>
              <w:right w:val="single" w:sz="8" w:space="0" w:color="auto"/>
            </w:tcBorders>
          </w:tcPr>
          <w:p w14:paraId="66337198"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DOC (mg/L)</w:t>
            </w:r>
          </w:p>
        </w:tc>
        <w:tc>
          <w:tcPr>
            <w:tcW w:w="2126" w:type="dxa"/>
            <w:tcBorders>
              <w:top w:val="double" w:sz="6" w:space="0" w:color="auto"/>
              <w:left w:val="nil"/>
              <w:bottom w:val="single" w:sz="4" w:space="0" w:color="auto"/>
              <w:right w:val="single" w:sz="8" w:space="0" w:color="auto"/>
            </w:tcBorders>
          </w:tcPr>
          <w:p w14:paraId="5E99BD6B"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Hardness (mg CaCO</w:t>
            </w:r>
            <w:r w:rsidRPr="0098635C">
              <w:rPr>
                <w:b/>
                <w:bCs/>
                <w:color w:val="000000" w:themeColor="text1"/>
                <w:sz w:val="20"/>
                <w:szCs w:val="20"/>
                <w:vertAlign w:val="subscript"/>
              </w:rPr>
              <w:t>3</w:t>
            </w:r>
            <w:r w:rsidRPr="0098635C">
              <w:rPr>
                <w:b/>
                <w:bCs/>
                <w:color w:val="000000" w:themeColor="text1"/>
                <w:sz w:val="20"/>
                <w:szCs w:val="20"/>
              </w:rPr>
              <w:t>/L)</w:t>
            </w:r>
          </w:p>
        </w:tc>
        <w:tc>
          <w:tcPr>
            <w:tcW w:w="1701" w:type="dxa"/>
            <w:tcBorders>
              <w:top w:val="double" w:sz="6" w:space="0" w:color="auto"/>
              <w:left w:val="single" w:sz="8" w:space="0" w:color="auto"/>
              <w:bottom w:val="single" w:sz="4" w:space="0" w:color="auto"/>
              <w:right w:val="single" w:sz="8" w:space="0" w:color="auto"/>
            </w:tcBorders>
          </w:tcPr>
          <w:p w14:paraId="4B048C9C"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Medium</w:t>
            </w:r>
          </w:p>
        </w:tc>
        <w:tc>
          <w:tcPr>
            <w:tcW w:w="2409" w:type="dxa"/>
            <w:tcBorders>
              <w:top w:val="double" w:sz="6" w:space="0" w:color="auto"/>
              <w:left w:val="single" w:sz="8" w:space="0" w:color="auto"/>
              <w:bottom w:val="single" w:sz="8" w:space="0" w:color="000000"/>
              <w:right w:val="double" w:sz="6" w:space="0" w:color="auto"/>
            </w:tcBorders>
          </w:tcPr>
          <w:p w14:paraId="0893153E"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Reference</w:t>
            </w:r>
          </w:p>
        </w:tc>
      </w:tr>
      <w:tr w:rsidR="00632208" w:rsidRPr="0098635C" w14:paraId="73BD0EA4" w14:textId="77777777" w:rsidTr="00982513">
        <w:trPr>
          <w:trHeight w:val="81"/>
        </w:trPr>
        <w:tc>
          <w:tcPr>
            <w:tcW w:w="2498" w:type="dxa"/>
            <w:tcBorders>
              <w:top w:val="single" w:sz="4" w:space="0" w:color="auto"/>
              <w:left w:val="double" w:sz="6" w:space="0" w:color="auto"/>
              <w:bottom w:val="single" w:sz="8" w:space="0" w:color="auto"/>
              <w:right w:val="single" w:sz="8" w:space="0" w:color="auto"/>
            </w:tcBorders>
          </w:tcPr>
          <w:p w14:paraId="30FFE897" w14:textId="77777777" w:rsidR="00632208" w:rsidRPr="0098635C" w:rsidRDefault="00632208" w:rsidP="00E17233">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single" w:sz="4" w:space="0" w:color="auto"/>
              <w:left w:val="nil"/>
              <w:bottom w:val="single" w:sz="8" w:space="0" w:color="auto"/>
              <w:right w:val="single" w:sz="8" w:space="0" w:color="auto"/>
            </w:tcBorders>
          </w:tcPr>
          <w:p w14:paraId="648AB0B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EbC</w:t>
            </w:r>
            <w:r w:rsidRPr="0098635C">
              <w:rPr>
                <w:color w:val="000000" w:themeColor="text1"/>
                <w:sz w:val="20"/>
                <w:szCs w:val="20"/>
                <w:vertAlign w:val="subscript"/>
              </w:rPr>
              <w:t>50</w:t>
            </w:r>
            <w:r w:rsidRPr="0098635C">
              <w:rPr>
                <w:color w:val="000000" w:themeColor="text1"/>
                <w:sz w:val="20"/>
                <w:szCs w:val="20"/>
              </w:rPr>
              <w:t>: 152.0</w:t>
            </w:r>
          </w:p>
        </w:tc>
        <w:tc>
          <w:tcPr>
            <w:tcW w:w="1276" w:type="dxa"/>
            <w:tcBorders>
              <w:top w:val="single" w:sz="4" w:space="0" w:color="auto"/>
              <w:left w:val="nil"/>
              <w:bottom w:val="single" w:sz="8" w:space="0" w:color="auto"/>
              <w:right w:val="single" w:sz="8" w:space="0" w:color="auto"/>
            </w:tcBorders>
          </w:tcPr>
          <w:p w14:paraId="37AA176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20-25</w:t>
            </w:r>
          </w:p>
        </w:tc>
        <w:tc>
          <w:tcPr>
            <w:tcW w:w="1417" w:type="dxa"/>
            <w:tcBorders>
              <w:top w:val="single" w:sz="4" w:space="0" w:color="auto"/>
              <w:left w:val="nil"/>
              <w:bottom w:val="single" w:sz="8" w:space="0" w:color="auto"/>
              <w:right w:val="single" w:sz="8" w:space="0" w:color="auto"/>
            </w:tcBorders>
          </w:tcPr>
          <w:p w14:paraId="134F8EE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p w14:paraId="6E28E86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(pH at sampling time was 5.94, pH variation during test &gt;0.5)</w:t>
            </w:r>
          </w:p>
        </w:tc>
        <w:tc>
          <w:tcPr>
            <w:tcW w:w="1276" w:type="dxa"/>
            <w:tcBorders>
              <w:top w:val="single" w:sz="4" w:space="0" w:color="auto"/>
              <w:left w:val="nil"/>
              <w:bottom w:val="single" w:sz="8" w:space="0" w:color="auto"/>
              <w:right w:val="single" w:sz="8" w:space="0" w:color="auto"/>
            </w:tcBorders>
          </w:tcPr>
          <w:p w14:paraId="3268F776"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8.91</w:t>
            </w:r>
          </w:p>
        </w:tc>
        <w:tc>
          <w:tcPr>
            <w:tcW w:w="2126" w:type="dxa"/>
            <w:tcBorders>
              <w:top w:val="single" w:sz="4" w:space="0" w:color="auto"/>
              <w:left w:val="nil"/>
              <w:bottom w:val="single" w:sz="8" w:space="0" w:color="auto"/>
              <w:right w:val="single" w:sz="8" w:space="0" w:color="auto"/>
            </w:tcBorders>
          </w:tcPr>
          <w:p w14:paraId="7FEA325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10.1</w:t>
            </w:r>
          </w:p>
        </w:tc>
        <w:tc>
          <w:tcPr>
            <w:tcW w:w="1701" w:type="dxa"/>
            <w:tcBorders>
              <w:top w:val="single" w:sz="4" w:space="0" w:color="auto"/>
              <w:left w:val="nil"/>
              <w:bottom w:val="single" w:sz="8" w:space="0" w:color="auto"/>
              <w:right w:val="single" w:sz="8" w:space="0" w:color="auto"/>
            </w:tcBorders>
          </w:tcPr>
          <w:p w14:paraId="5699666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55FB6081" w14:textId="77777777" w:rsidR="00632208" w:rsidRPr="0098635C" w:rsidRDefault="00632208" w:rsidP="00A432B0">
            <w:pPr>
              <w:spacing w:after="0"/>
              <w:rPr>
                <w:color w:val="000000" w:themeColor="text1"/>
                <w:sz w:val="20"/>
                <w:szCs w:val="20"/>
              </w:rPr>
            </w:pPr>
            <w:r w:rsidRPr="0098635C">
              <w:rPr>
                <w:color w:val="000000" w:themeColor="text1"/>
                <w:sz w:val="20"/>
                <w:szCs w:val="20"/>
              </w:rPr>
              <w:t>Heijerick et al, 2005</w:t>
            </w:r>
          </w:p>
          <w:p w14:paraId="27B206D6" w14:textId="77777777" w:rsidR="00632208" w:rsidRPr="0098635C" w:rsidRDefault="00632208" w:rsidP="00A432B0">
            <w:pPr>
              <w:spacing w:after="0"/>
              <w:rPr>
                <w:color w:val="000000" w:themeColor="text1"/>
                <w:sz w:val="20"/>
                <w:szCs w:val="20"/>
              </w:rPr>
            </w:pPr>
          </w:p>
        </w:tc>
      </w:tr>
      <w:tr w:rsidR="00632208" w:rsidRPr="0098635C" w14:paraId="0C3D32D6" w14:textId="77777777" w:rsidTr="00982513">
        <w:trPr>
          <w:trHeight w:val="81"/>
        </w:trPr>
        <w:tc>
          <w:tcPr>
            <w:tcW w:w="2498" w:type="dxa"/>
            <w:tcBorders>
              <w:top w:val="single" w:sz="4" w:space="0" w:color="auto"/>
              <w:left w:val="double" w:sz="6" w:space="0" w:color="auto"/>
              <w:bottom w:val="single" w:sz="8" w:space="0" w:color="auto"/>
              <w:right w:val="single" w:sz="8" w:space="0" w:color="auto"/>
            </w:tcBorders>
          </w:tcPr>
          <w:p w14:paraId="36E78DAF"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Pseudokirchneriella subcapitata</w:t>
            </w:r>
          </w:p>
        </w:tc>
        <w:tc>
          <w:tcPr>
            <w:tcW w:w="1134" w:type="dxa"/>
            <w:tcBorders>
              <w:top w:val="single" w:sz="4" w:space="0" w:color="auto"/>
              <w:left w:val="nil"/>
              <w:bottom w:val="single" w:sz="8" w:space="0" w:color="auto"/>
              <w:right w:val="single" w:sz="8" w:space="0" w:color="auto"/>
            </w:tcBorders>
          </w:tcPr>
          <w:p w14:paraId="6C333FD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EbC</w:t>
            </w:r>
            <w:r w:rsidRPr="0098635C">
              <w:rPr>
                <w:color w:val="000000" w:themeColor="text1"/>
                <w:sz w:val="20"/>
                <w:szCs w:val="20"/>
                <w:vertAlign w:val="subscript"/>
              </w:rPr>
              <w:t>50</w:t>
            </w:r>
            <w:r w:rsidRPr="0098635C">
              <w:rPr>
                <w:color w:val="000000" w:themeColor="text1"/>
                <w:sz w:val="20"/>
                <w:szCs w:val="20"/>
              </w:rPr>
              <w:t>: 97.4</w:t>
            </w:r>
          </w:p>
        </w:tc>
        <w:tc>
          <w:tcPr>
            <w:tcW w:w="1276" w:type="dxa"/>
            <w:tcBorders>
              <w:top w:val="single" w:sz="4" w:space="0" w:color="auto"/>
              <w:left w:val="nil"/>
              <w:bottom w:val="single" w:sz="8" w:space="0" w:color="auto"/>
              <w:right w:val="single" w:sz="8" w:space="0" w:color="auto"/>
            </w:tcBorders>
          </w:tcPr>
          <w:p w14:paraId="052465E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20-25</w:t>
            </w:r>
          </w:p>
        </w:tc>
        <w:tc>
          <w:tcPr>
            <w:tcW w:w="1417" w:type="dxa"/>
            <w:tcBorders>
              <w:top w:val="single" w:sz="4" w:space="0" w:color="auto"/>
              <w:left w:val="nil"/>
              <w:bottom w:val="single" w:sz="8" w:space="0" w:color="auto"/>
              <w:right w:val="single" w:sz="8" w:space="0" w:color="auto"/>
            </w:tcBorders>
          </w:tcPr>
          <w:p w14:paraId="6066509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6.31</w:t>
            </w:r>
          </w:p>
        </w:tc>
        <w:tc>
          <w:tcPr>
            <w:tcW w:w="1276" w:type="dxa"/>
            <w:tcBorders>
              <w:top w:val="single" w:sz="4" w:space="0" w:color="auto"/>
              <w:left w:val="nil"/>
              <w:bottom w:val="single" w:sz="8" w:space="0" w:color="auto"/>
              <w:right w:val="single" w:sz="8" w:space="0" w:color="auto"/>
            </w:tcBorders>
          </w:tcPr>
          <w:p w14:paraId="502FA759"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2.72</w:t>
            </w:r>
          </w:p>
        </w:tc>
        <w:tc>
          <w:tcPr>
            <w:tcW w:w="2126" w:type="dxa"/>
            <w:tcBorders>
              <w:top w:val="single" w:sz="4" w:space="0" w:color="auto"/>
              <w:left w:val="nil"/>
              <w:bottom w:val="single" w:sz="8" w:space="0" w:color="auto"/>
              <w:right w:val="single" w:sz="8" w:space="0" w:color="auto"/>
            </w:tcBorders>
          </w:tcPr>
          <w:p w14:paraId="4F33D50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10.1</w:t>
            </w:r>
          </w:p>
        </w:tc>
        <w:tc>
          <w:tcPr>
            <w:tcW w:w="1701" w:type="dxa"/>
            <w:tcBorders>
              <w:top w:val="single" w:sz="4" w:space="0" w:color="auto"/>
              <w:left w:val="nil"/>
              <w:bottom w:val="single" w:sz="8" w:space="0" w:color="auto"/>
              <w:right w:val="single" w:sz="8" w:space="0" w:color="auto"/>
            </w:tcBorders>
          </w:tcPr>
          <w:p w14:paraId="1280434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5DA13363" w14:textId="77777777" w:rsidR="00632208" w:rsidRPr="0098635C" w:rsidRDefault="00632208" w:rsidP="00A432B0">
            <w:pPr>
              <w:spacing w:after="0"/>
              <w:rPr>
                <w:color w:val="000000" w:themeColor="text1"/>
                <w:sz w:val="20"/>
                <w:szCs w:val="20"/>
              </w:rPr>
            </w:pPr>
            <w:r w:rsidRPr="0098635C">
              <w:rPr>
                <w:color w:val="000000" w:themeColor="text1"/>
                <w:sz w:val="20"/>
                <w:szCs w:val="20"/>
              </w:rPr>
              <w:t>Heijerick et al, 2005</w:t>
            </w:r>
          </w:p>
        </w:tc>
      </w:tr>
      <w:tr w:rsidR="00632208" w:rsidRPr="0098635C" w14:paraId="6AB16244" w14:textId="77777777" w:rsidTr="00982513">
        <w:trPr>
          <w:trHeight w:val="122"/>
        </w:trPr>
        <w:tc>
          <w:tcPr>
            <w:tcW w:w="2498" w:type="dxa"/>
            <w:tcBorders>
              <w:top w:val="nil"/>
              <w:left w:val="double" w:sz="6" w:space="0" w:color="auto"/>
              <w:bottom w:val="single" w:sz="8" w:space="0" w:color="auto"/>
              <w:right w:val="single" w:sz="8" w:space="0" w:color="auto"/>
            </w:tcBorders>
          </w:tcPr>
          <w:p w14:paraId="22D3F55D"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3878BE6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EbC</w:t>
            </w:r>
            <w:r w:rsidRPr="0098635C">
              <w:rPr>
                <w:color w:val="000000" w:themeColor="text1"/>
                <w:sz w:val="20"/>
                <w:szCs w:val="20"/>
                <w:vertAlign w:val="subscript"/>
              </w:rPr>
              <w:t>50</w:t>
            </w:r>
            <w:r w:rsidRPr="0098635C">
              <w:rPr>
                <w:color w:val="000000" w:themeColor="text1"/>
                <w:sz w:val="20"/>
                <w:szCs w:val="20"/>
              </w:rPr>
              <w:t>: 194.0</w:t>
            </w:r>
          </w:p>
        </w:tc>
        <w:tc>
          <w:tcPr>
            <w:tcW w:w="1276" w:type="dxa"/>
            <w:tcBorders>
              <w:top w:val="nil"/>
              <w:left w:val="nil"/>
              <w:bottom w:val="single" w:sz="8" w:space="0" w:color="auto"/>
              <w:right w:val="single" w:sz="8" w:space="0" w:color="auto"/>
            </w:tcBorders>
          </w:tcPr>
          <w:p w14:paraId="0B2DA2E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20-25</w:t>
            </w:r>
          </w:p>
        </w:tc>
        <w:tc>
          <w:tcPr>
            <w:tcW w:w="1417" w:type="dxa"/>
            <w:tcBorders>
              <w:top w:val="nil"/>
              <w:left w:val="nil"/>
              <w:bottom w:val="single" w:sz="8" w:space="0" w:color="auto"/>
              <w:right w:val="single" w:sz="8" w:space="0" w:color="auto"/>
            </w:tcBorders>
          </w:tcPr>
          <w:p w14:paraId="70CE585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5.52</w:t>
            </w:r>
          </w:p>
        </w:tc>
        <w:tc>
          <w:tcPr>
            <w:tcW w:w="1276" w:type="dxa"/>
            <w:tcBorders>
              <w:top w:val="nil"/>
              <w:left w:val="nil"/>
              <w:bottom w:val="single" w:sz="8" w:space="0" w:color="auto"/>
              <w:right w:val="single" w:sz="8" w:space="0" w:color="auto"/>
            </w:tcBorders>
          </w:tcPr>
          <w:p w14:paraId="371F1FAD"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10.3</w:t>
            </w:r>
          </w:p>
        </w:tc>
        <w:tc>
          <w:tcPr>
            <w:tcW w:w="2126" w:type="dxa"/>
            <w:tcBorders>
              <w:top w:val="nil"/>
              <w:left w:val="nil"/>
              <w:bottom w:val="single" w:sz="8" w:space="0" w:color="auto"/>
              <w:right w:val="single" w:sz="8" w:space="0" w:color="auto"/>
            </w:tcBorders>
          </w:tcPr>
          <w:p w14:paraId="400EFA4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7.9</w:t>
            </w:r>
          </w:p>
        </w:tc>
        <w:tc>
          <w:tcPr>
            <w:tcW w:w="1701" w:type="dxa"/>
            <w:tcBorders>
              <w:top w:val="nil"/>
              <w:left w:val="nil"/>
              <w:bottom w:val="single" w:sz="8" w:space="0" w:color="auto"/>
              <w:right w:val="single" w:sz="8" w:space="0" w:color="auto"/>
            </w:tcBorders>
          </w:tcPr>
          <w:p w14:paraId="19A3514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2970E296" w14:textId="77777777" w:rsidR="00632208" w:rsidRPr="0098635C" w:rsidRDefault="00632208" w:rsidP="00A432B0">
            <w:pPr>
              <w:spacing w:after="0"/>
              <w:rPr>
                <w:color w:val="000000" w:themeColor="text1"/>
                <w:sz w:val="20"/>
                <w:szCs w:val="20"/>
              </w:rPr>
            </w:pPr>
            <w:r w:rsidRPr="0098635C">
              <w:rPr>
                <w:color w:val="000000" w:themeColor="text1"/>
                <w:sz w:val="20"/>
                <w:szCs w:val="20"/>
              </w:rPr>
              <w:t>Heijerick et al, 2005</w:t>
            </w:r>
          </w:p>
        </w:tc>
      </w:tr>
      <w:tr w:rsidR="00632208" w:rsidRPr="0098635C" w14:paraId="7D6F13C9" w14:textId="77777777" w:rsidTr="00982513">
        <w:trPr>
          <w:trHeight w:val="74"/>
        </w:trPr>
        <w:tc>
          <w:tcPr>
            <w:tcW w:w="2498" w:type="dxa"/>
            <w:tcBorders>
              <w:top w:val="nil"/>
              <w:left w:val="double" w:sz="6" w:space="0" w:color="auto"/>
              <w:bottom w:val="single" w:sz="8" w:space="0" w:color="auto"/>
              <w:right w:val="single" w:sz="8" w:space="0" w:color="auto"/>
            </w:tcBorders>
          </w:tcPr>
          <w:p w14:paraId="3213B96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39BB563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EbC</w:t>
            </w:r>
            <w:r w:rsidRPr="0098635C">
              <w:rPr>
                <w:color w:val="000000" w:themeColor="text1"/>
                <w:sz w:val="20"/>
                <w:szCs w:val="20"/>
                <w:vertAlign w:val="subscript"/>
              </w:rPr>
              <w:t>50</w:t>
            </w:r>
            <w:r w:rsidRPr="0098635C">
              <w:rPr>
                <w:color w:val="000000" w:themeColor="text1"/>
                <w:sz w:val="20"/>
                <w:szCs w:val="20"/>
              </w:rPr>
              <w:t>: 84.0</w:t>
            </w:r>
          </w:p>
        </w:tc>
        <w:tc>
          <w:tcPr>
            <w:tcW w:w="1276" w:type="dxa"/>
            <w:tcBorders>
              <w:top w:val="nil"/>
              <w:left w:val="nil"/>
              <w:bottom w:val="single" w:sz="8" w:space="0" w:color="auto"/>
              <w:right w:val="single" w:sz="8" w:space="0" w:color="auto"/>
            </w:tcBorders>
          </w:tcPr>
          <w:p w14:paraId="62E75A9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20-25</w:t>
            </w:r>
          </w:p>
        </w:tc>
        <w:tc>
          <w:tcPr>
            <w:tcW w:w="1417" w:type="dxa"/>
            <w:tcBorders>
              <w:top w:val="nil"/>
              <w:left w:val="nil"/>
              <w:bottom w:val="single" w:sz="8" w:space="0" w:color="auto"/>
              <w:right w:val="single" w:sz="8" w:space="0" w:color="auto"/>
            </w:tcBorders>
          </w:tcPr>
          <w:p w14:paraId="608C22A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6.10</w:t>
            </w:r>
          </w:p>
        </w:tc>
        <w:tc>
          <w:tcPr>
            <w:tcW w:w="1276" w:type="dxa"/>
            <w:tcBorders>
              <w:top w:val="nil"/>
              <w:left w:val="nil"/>
              <w:bottom w:val="single" w:sz="8" w:space="0" w:color="auto"/>
              <w:right w:val="single" w:sz="8" w:space="0" w:color="auto"/>
            </w:tcBorders>
          </w:tcPr>
          <w:p w14:paraId="7B1B71C1"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2.34</w:t>
            </w:r>
          </w:p>
        </w:tc>
        <w:tc>
          <w:tcPr>
            <w:tcW w:w="2126" w:type="dxa"/>
            <w:tcBorders>
              <w:top w:val="nil"/>
              <w:left w:val="nil"/>
              <w:bottom w:val="single" w:sz="8" w:space="0" w:color="auto"/>
              <w:right w:val="single" w:sz="8" w:space="0" w:color="auto"/>
            </w:tcBorders>
          </w:tcPr>
          <w:p w14:paraId="66E805A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12.4</w:t>
            </w:r>
          </w:p>
        </w:tc>
        <w:tc>
          <w:tcPr>
            <w:tcW w:w="1701" w:type="dxa"/>
            <w:tcBorders>
              <w:top w:val="nil"/>
              <w:left w:val="nil"/>
              <w:bottom w:val="single" w:sz="8" w:space="0" w:color="auto"/>
              <w:right w:val="single" w:sz="8" w:space="0" w:color="auto"/>
            </w:tcBorders>
          </w:tcPr>
          <w:p w14:paraId="6E2EB4C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10D95A6F" w14:textId="77777777" w:rsidR="00632208" w:rsidRPr="0098635C" w:rsidRDefault="00632208" w:rsidP="00A432B0">
            <w:pPr>
              <w:spacing w:after="0"/>
              <w:rPr>
                <w:color w:val="000000" w:themeColor="text1"/>
                <w:sz w:val="20"/>
                <w:szCs w:val="20"/>
              </w:rPr>
            </w:pPr>
            <w:r w:rsidRPr="0098635C">
              <w:rPr>
                <w:color w:val="000000" w:themeColor="text1"/>
                <w:sz w:val="20"/>
                <w:szCs w:val="20"/>
              </w:rPr>
              <w:t>Heijerick et al, 2005</w:t>
            </w:r>
          </w:p>
        </w:tc>
      </w:tr>
      <w:tr w:rsidR="00632208" w:rsidRPr="0098635C" w14:paraId="111E8180" w14:textId="77777777" w:rsidTr="00982513">
        <w:trPr>
          <w:trHeight w:val="122"/>
        </w:trPr>
        <w:tc>
          <w:tcPr>
            <w:tcW w:w="2498" w:type="dxa"/>
            <w:tcBorders>
              <w:top w:val="nil"/>
              <w:left w:val="double" w:sz="6" w:space="0" w:color="auto"/>
              <w:bottom w:val="single" w:sz="8" w:space="0" w:color="auto"/>
              <w:right w:val="single" w:sz="8" w:space="0" w:color="auto"/>
            </w:tcBorders>
          </w:tcPr>
          <w:p w14:paraId="29570074"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09B9347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EbC</w:t>
            </w:r>
            <w:r w:rsidRPr="0098635C">
              <w:rPr>
                <w:color w:val="000000" w:themeColor="text1"/>
                <w:sz w:val="20"/>
                <w:szCs w:val="20"/>
                <w:vertAlign w:val="subscript"/>
              </w:rPr>
              <w:t>50</w:t>
            </w:r>
            <w:r w:rsidRPr="0098635C">
              <w:rPr>
                <w:color w:val="000000" w:themeColor="text1"/>
                <w:sz w:val="20"/>
                <w:szCs w:val="20"/>
              </w:rPr>
              <w:t>: 32.0</w:t>
            </w:r>
          </w:p>
        </w:tc>
        <w:tc>
          <w:tcPr>
            <w:tcW w:w="1276" w:type="dxa"/>
            <w:tcBorders>
              <w:top w:val="nil"/>
              <w:left w:val="nil"/>
              <w:bottom w:val="single" w:sz="8" w:space="0" w:color="auto"/>
              <w:right w:val="single" w:sz="8" w:space="0" w:color="auto"/>
            </w:tcBorders>
          </w:tcPr>
          <w:p w14:paraId="211F6AC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20-25</w:t>
            </w:r>
          </w:p>
        </w:tc>
        <w:tc>
          <w:tcPr>
            <w:tcW w:w="1417" w:type="dxa"/>
            <w:tcBorders>
              <w:top w:val="nil"/>
              <w:left w:val="nil"/>
              <w:bottom w:val="single" w:sz="8" w:space="0" w:color="auto"/>
              <w:right w:val="single" w:sz="8" w:space="0" w:color="auto"/>
            </w:tcBorders>
          </w:tcPr>
          <w:p w14:paraId="4D5096E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7.4</w:t>
            </w:r>
          </w:p>
          <w:p w14:paraId="27B92B3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(pH at sampling time was 6.39, pH variation during test &gt;0.5))</w:t>
            </w:r>
          </w:p>
        </w:tc>
        <w:tc>
          <w:tcPr>
            <w:tcW w:w="1276" w:type="dxa"/>
            <w:tcBorders>
              <w:top w:val="nil"/>
              <w:left w:val="nil"/>
              <w:bottom w:val="single" w:sz="8" w:space="0" w:color="auto"/>
              <w:right w:val="single" w:sz="8" w:space="0" w:color="auto"/>
            </w:tcBorders>
          </w:tcPr>
          <w:p w14:paraId="05BC22B8"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1.55</w:t>
            </w:r>
          </w:p>
        </w:tc>
        <w:tc>
          <w:tcPr>
            <w:tcW w:w="2126" w:type="dxa"/>
            <w:tcBorders>
              <w:top w:val="nil"/>
              <w:left w:val="nil"/>
              <w:bottom w:val="single" w:sz="8" w:space="0" w:color="auto"/>
              <w:right w:val="single" w:sz="8" w:space="0" w:color="auto"/>
            </w:tcBorders>
          </w:tcPr>
          <w:p w14:paraId="1D8CADB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27.8</w:t>
            </w:r>
          </w:p>
        </w:tc>
        <w:tc>
          <w:tcPr>
            <w:tcW w:w="1701" w:type="dxa"/>
            <w:tcBorders>
              <w:top w:val="nil"/>
              <w:left w:val="nil"/>
              <w:bottom w:val="single" w:sz="8" w:space="0" w:color="auto"/>
              <w:right w:val="single" w:sz="8" w:space="0" w:color="auto"/>
            </w:tcBorders>
          </w:tcPr>
          <w:p w14:paraId="38F1C45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2E0501B0" w14:textId="77777777" w:rsidR="00632208" w:rsidRPr="0098635C" w:rsidRDefault="00632208" w:rsidP="00A432B0">
            <w:pPr>
              <w:spacing w:after="0"/>
              <w:rPr>
                <w:color w:val="000000" w:themeColor="text1"/>
                <w:sz w:val="20"/>
                <w:szCs w:val="20"/>
              </w:rPr>
            </w:pPr>
            <w:r w:rsidRPr="0098635C">
              <w:rPr>
                <w:color w:val="000000" w:themeColor="text1"/>
                <w:sz w:val="20"/>
                <w:szCs w:val="20"/>
              </w:rPr>
              <w:t>Heijerick et al, 2005</w:t>
            </w:r>
          </w:p>
        </w:tc>
      </w:tr>
      <w:tr w:rsidR="00632208" w:rsidRPr="0098635C" w14:paraId="425AC348" w14:textId="77777777" w:rsidTr="00982513">
        <w:trPr>
          <w:trHeight w:val="56"/>
        </w:trPr>
        <w:tc>
          <w:tcPr>
            <w:tcW w:w="2498" w:type="dxa"/>
            <w:tcBorders>
              <w:top w:val="nil"/>
              <w:left w:val="double" w:sz="6" w:space="0" w:color="auto"/>
              <w:bottom w:val="single" w:sz="8" w:space="0" w:color="auto"/>
              <w:right w:val="single" w:sz="8" w:space="0" w:color="auto"/>
            </w:tcBorders>
          </w:tcPr>
          <w:p w14:paraId="5A5AC6B1"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6785612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EbC</w:t>
            </w:r>
            <w:r w:rsidRPr="0098635C">
              <w:rPr>
                <w:color w:val="000000" w:themeColor="text1"/>
                <w:sz w:val="20"/>
                <w:szCs w:val="20"/>
                <w:vertAlign w:val="subscript"/>
              </w:rPr>
              <w:t>50</w:t>
            </w:r>
            <w:r w:rsidRPr="0098635C">
              <w:rPr>
                <w:color w:val="000000" w:themeColor="text1"/>
                <w:sz w:val="20"/>
                <w:szCs w:val="20"/>
              </w:rPr>
              <w:t>: 163</w:t>
            </w:r>
          </w:p>
        </w:tc>
        <w:tc>
          <w:tcPr>
            <w:tcW w:w="1276" w:type="dxa"/>
            <w:tcBorders>
              <w:top w:val="nil"/>
              <w:left w:val="nil"/>
              <w:bottom w:val="single" w:sz="8" w:space="0" w:color="auto"/>
              <w:right w:val="single" w:sz="8" w:space="0" w:color="auto"/>
            </w:tcBorders>
          </w:tcPr>
          <w:p w14:paraId="02EDABE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20-25</w:t>
            </w:r>
          </w:p>
        </w:tc>
        <w:tc>
          <w:tcPr>
            <w:tcW w:w="1417" w:type="dxa"/>
            <w:tcBorders>
              <w:top w:val="nil"/>
              <w:left w:val="nil"/>
              <w:bottom w:val="single" w:sz="8" w:space="0" w:color="auto"/>
              <w:right w:val="single" w:sz="8" w:space="0" w:color="auto"/>
            </w:tcBorders>
          </w:tcPr>
          <w:p w14:paraId="72E88B5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tc>
        <w:tc>
          <w:tcPr>
            <w:tcW w:w="1276" w:type="dxa"/>
            <w:tcBorders>
              <w:top w:val="nil"/>
              <w:left w:val="nil"/>
              <w:bottom w:val="single" w:sz="8" w:space="0" w:color="auto"/>
              <w:right w:val="single" w:sz="8" w:space="0" w:color="auto"/>
            </w:tcBorders>
          </w:tcPr>
          <w:p w14:paraId="5E3775CF"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20.4</w:t>
            </w:r>
          </w:p>
        </w:tc>
        <w:tc>
          <w:tcPr>
            <w:tcW w:w="2126" w:type="dxa"/>
            <w:tcBorders>
              <w:top w:val="nil"/>
              <w:left w:val="nil"/>
              <w:bottom w:val="single" w:sz="8" w:space="0" w:color="auto"/>
              <w:right w:val="single" w:sz="8" w:space="0" w:color="auto"/>
            </w:tcBorders>
          </w:tcPr>
          <w:p w14:paraId="10AF5CE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134.0</w:t>
            </w:r>
          </w:p>
        </w:tc>
        <w:tc>
          <w:tcPr>
            <w:tcW w:w="1701" w:type="dxa"/>
            <w:tcBorders>
              <w:top w:val="nil"/>
              <w:left w:val="nil"/>
              <w:bottom w:val="single" w:sz="8" w:space="0" w:color="auto"/>
              <w:right w:val="single" w:sz="8" w:space="0" w:color="auto"/>
            </w:tcBorders>
          </w:tcPr>
          <w:p w14:paraId="328B76B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2B56F752" w14:textId="77777777" w:rsidR="00632208" w:rsidRPr="0098635C" w:rsidRDefault="00632208" w:rsidP="00A432B0">
            <w:pPr>
              <w:spacing w:after="0"/>
              <w:rPr>
                <w:color w:val="000000" w:themeColor="text1"/>
                <w:sz w:val="20"/>
                <w:szCs w:val="20"/>
              </w:rPr>
            </w:pPr>
            <w:r w:rsidRPr="0098635C">
              <w:rPr>
                <w:color w:val="000000" w:themeColor="text1"/>
                <w:sz w:val="20"/>
                <w:szCs w:val="20"/>
              </w:rPr>
              <w:t>Heijerick et al, 2005</w:t>
            </w:r>
          </w:p>
        </w:tc>
      </w:tr>
      <w:tr w:rsidR="00632208" w:rsidRPr="0098635C" w14:paraId="34C67A28" w14:textId="77777777" w:rsidTr="00982513">
        <w:trPr>
          <w:trHeight w:val="53"/>
        </w:trPr>
        <w:tc>
          <w:tcPr>
            <w:tcW w:w="2498" w:type="dxa"/>
            <w:tcBorders>
              <w:top w:val="nil"/>
              <w:left w:val="double" w:sz="6" w:space="0" w:color="auto"/>
              <w:bottom w:val="single" w:sz="8" w:space="0" w:color="auto"/>
              <w:right w:val="single" w:sz="8" w:space="0" w:color="auto"/>
            </w:tcBorders>
          </w:tcPr>
          <w:p w14:paraId="2F02675E"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0A443C3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EbC</w:t>
            </w:r>
            <w:r w:rsidRPr="0098635C">
              <w:rPr>
                <w:color w:val="000000" w:themeColor="text1"/>
                <w:sz w:val="20"/>
                <w:szCs w:val="20"/>
                <w:vertAlign w:val="subscript"/>
              </w:rPr>
              <w:t>50</w:t>
            </w:r>
            <w:r w:rsidRPr="0098635C">
              <w:rPr>
                <w:color w:val="000000" w:themeColor="text1"/>
                <w:sz w:val="20"/>
                <w:szCs w:val="20"/>
              </w:rPr>
              <w:t>: 52.7</w:t>
            </w:r>
          </w:p>
        </w:tc>
        <w:tc>
          <w:tcPr>
            <w:tcW w:w="1276" w:type="dxa"/>
            <w:tcBorders>
              <w:top w:val="nil"/>
              <w:left w:val="nil"/>
              <w:bottom w:val="single" w:sz="8" w:space="0" w:color="auto"/>
              <w:right w:val="single" w:sz="8" w:space="0" w:color="auto"/>
            </w:tcBorders>
          </w:tcPr>
          <w:p w14:paraId="76C602B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20-25</w:t>
            </w:r>
          </w:p>
        </w:tc>
        <w:tc>
          <w:tcPr>
            <w:tcW w:w="1417" w:type="dxa"/>
            <w:tcBorders>
              <w:top w:val="nil"/>
              <w:left w:val="nil"/>
              <w:bottom w:val="single" w:sz="8" w:space="0" w:color="auto"/>
              <w:right w:val="single" w:sz="8" w:space="0" w:color="auto"/>
            </w:tcBorders>
          </w:tcPr>
          <w:p w14:paraId="2563C57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8.23</w:t>
            </w:r>
          </w:p>
        </w:tc>
        <w:tc>
          <w:tcPr>
            <w:tcW w:w="1276" w:type="dxa"/>
            <w:tcBorders>
              <w:top w:val="nil"/>
              <w:left w:val="nil"/>
              <w:bottom w:val="single" w:sz="8" w:space="0" w:color="auto"/>
              <w:right w:val="single" w:sz="8" w:space="0" w:color="auto"/>
            </w:tcBorders>
          </w:tcPr>
          <w:p w14:paraId="7F9AE75A"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2.52</w:t>
            </w:r>
          </w:p>
        </w:tc>
        <w:tc>
          <w:tcPr>
            <w:tcW w:w="2126" w:type="dxa"/>
            <w:tcBorders>
              <w:top w:val="nil"/>
              <w:left w:val="nil"/>
              <w:bottom w:val="single" w:sz="8" w:space="0" w:color="auto"/>
              <w:right w:val="single" w:sz="8" w:space="0" w:color="auto"/>
            </w:tcBorders>
          </w:tcPr>
          <w:p w14:paraId="74AA5D5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48.5</w:t>
            </w:r>
          </w:p>
        </w:tc>
        <w:tc>
          <w:tcPr>
            <w:tcW w:w="1701" w:type="dxa"/>
            <w:tcBorders>
              <w:top w:val="nil"/>
              <w:left w:val="nil"/>
              <w:bottom w:val="single" w:sz="8" w:space="0" w:color="auto"/>
              <w:right w:val="single" w:sz="8" w:space="0" w:color="auto"/>
            </w:tcBorders>
          </w:tcPr>
          <w:p w14:paraId="46CB669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042C5BB2" w14:textId="77777777" w:rsidR="00632208" w:rsidRPr="0098635C" w:rsidRDefault="00632208" w:rsidP="00A432B0">
            <w:pPr>
              <w:spacing w:after="0"/>
              <w:rPr>
                <w:color w:val="000000" w:themeColor="text1"/>
                <w:sz w:val="20"/>
                <w:szCs w:val="20"/>
              </w:rPr>
            </w:pPr>
            <w:r w:rsidRPr="0098635C">
              <w:rPr>
                <w:color w:val="000000" w:themeColor="text1"/>
                <w:sz w:val="20"/>
                <w:szCs w:val="20"/>
              </w:rPr>
              <w:t>Heijerick et al, 2005</w:t>
            </w:r>
          </w:p>
        </w:tc>
      </w:tr>
      <w:tr w:rsidR="00632208" w:rsidRPr="0098635C" w14:paraId="01C26325" w14:textId="77777777" w:rsidTr="00982513">
        <w:trPr>
          <w:trHeight w:val="166"/>
        </w:trPr>
        <w:tc>
          <w:tcPr>
            <w:tcW w:w="2498" w:type="dxa"/>
            <w:tcBorders>
              <w:top w:val="nil"/>
              <w:left w:val="double" w:sz="6" w:space="0" w:color="auto"/>
              <w:bottom w:val="single" w:sz="8" w:space="0" w:color="auto"/>
              <w:right w:val="single" w:sz="8" w:space="0" w:color="auto"/>
            </w:tcBorders>
          </w:tcPr>
          <w:p w14:paraId="3D4916BD"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37FA321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EbC</w:t>
            </w:r>
            <w:r w:rsidRPr="0098635C">
              <w:rPr>
                <w:color w:val="000000" w:themeColor="text1"/>
                <w:sz w:val="20"/>
                <w:szCs w:val="20"/>
                <w:vertAlign w:val="subscript"/>
              </w:rPr>
              <w:t>50</w:t>
            </w:r>
            <w:r w:rsidRPr="0098635C">
              <w:rPr>
                <w:color w:val="000000" w:themeColor="text1"/>
                <w:sz w:val="20"/>
                <w:szCs w:val="20"/>
              </w:rPr>
              <w:t>: 113</w:t>
            </w:r>
          </w:p>
        </w:tc>
        <w:tc>
          <w:tcPr>
            <w:tcW w:w="1276" w:type="dxa"/>
            <w:tcBorders>
              <w:top w:val="nil"/>
              <w:left w:val="nil"/>
              <w:bottom w:val="single" w:sz="8" w:space="0" w:color="auto"/>
              <w:right w:val="single" w:sz="8" w:space="0" w:color="auto"/>
            </w:tcBorders>
          </w:tcPr>
          <w:p w14:paraId="145F951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20-25</w:t>
            </w:r>
          </w:p>
        </w:tc>
        <w:tc>
          <w:tcPr>
            <w:tcW w:w="1417" w:type="dxa"/>
            <w:tcBorders>
              <w:top w:val="nil"/>
              <w:left w:val="nil"/>
              <w:bottom w:val="single" w:sz="8" w:space="0" w:color="auto"/>
              <w:right w:val="single" w:sz="8" w:space="0" w:color="auto"/>
            </w:tcBorders>
          </w:tcPr>
          <w:p w14:paraId="31E8325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7.55</w:t>
            </w:r>
          </w:p>
        </w:tc>
        <w:tc>
          <w:tcPr>
            <w:tcW w:w="1276" w:type="dxa"/>
            <w:tcBorders>
              <w:top w:val="nil"/>
              <w:left w:val="nil"/>
              <w:bottom w:val="single" w:sz="8" w:space="0" w:color="auto"/>
              <w:right w:val="single" w:sz="8" w:space="0" w:color="auto"/>
            </w:tcBorders>
          </w:tcPr>
          <w:p w14:paraId="33DFB495"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6.13</w:t>
            </w:r>
          </w:p>
        </w:tc>
        <w:tc>
          <w:tcPr>
            <w:tcW w:w="2126" w:type="dxa"/>
            <w:tcBorders>
              <w:top w:val="nil"/>
              <w:left w:val="nil"/>
              <w:bottom w:val="single" w:sz="8" w:space="0" w:color="auto"/>
              <w:right w:val="single" w:sz="8" w:space="0" w:color="auto"/>
            </w:tcBorders>
          </w:tcPr>
          <w:p w14:paraId="281F797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132.0</w:t>
            </w:r>
          </w:p>
        </w:tc>
        <w:tc>
          <w:tcPr>
            <w:tcW w:w="1701" w:type="dxa"/>
            <w:tcBorders>
              <w:top w:val="nil"/>
              <w:left w:val="nil"/>
              <w:bottom w:val="single" w:sz="8" w:space="0" w:color="auto"/>
              <w:right w:val="single" w:sz="8" w:space="0" w:color="auto"/>
            </w:tcBorders>
          </w:tcPr>
          <w:p w14:paraId="5A83B30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0978FE59" w14:textId="77777777" w:rsidR="00632208" w:rsidRPr="0098635C" w:rsidRDefault="00632208" w:rsidP="00A432B0">
            <w:pPr>
              <w:spacing w:after="0"/>
              <w:rPr>
                <w:color w:val="000000" w:themeColor="text1"/>
                <w:sz w:val="20"/>
                <w:szCs w:val="20"/>
              </w:rPr>
            </w:pPr>
            <w:r w:rsidRPr="0098635C">
              <w:rPr>
                <w:color w:val="000000" w:themeColor="text1"/>
                <w:sz w:val="20"/>
                <w:szCs w:val="20"/>
              </w:rPr>
              <w:t>Heijerick et al, 2005</w:t>
            </w:r>
          </w:p>
        </w:tc>
      </w:tr>
      <w:tr w:rsidR="00632208" w:rsidRPr="0098635C" w14:paraId="06EDB6D4" w14:textId="77777777" w:rsidTr="00982513">
        <w:trPr>
          <w:trHeight w:val="71"/>
        </w:trPr>
        <w:tc>
          <w:tcPr>
            <w:tcW w:w="2498" w:type="dxa"/>
            <w:tcBorders>
              <w:top w:val="nil"/>
              <w:left w:val="double" w:sz="6" w:space="0" w:color="auto"/>
              <w:bottom w:val="single" w:sz="8" w:space="0" w:color="auto"/>
              <w:right w:val="single" w:sz="8" w:space="0" w:color="auto"/>
            </w:tcBorders>
          </w:tcPr>
          <w:p w14:paraId="19622882"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65B8C13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EbC</w:t>
            </w:r>
            <w:r w:rsidRPr="0098635C">
              <w:rPr>
                <w:color w:val="000000" w:themeColor="text1"/>
                <w:sz w:val="20"/>
                <w:szCs w:val="20"/>
                <w:vertAlign w:val="subscript"/>
              </w:rPr>
              <w:t>50</w:t>
            </w:r>
            <w:r w:rsidRPr="0098635C">
              <w:rPr>
                <w:color w:val="000000" w:themeColor="text1"/>
                <w:sz w:val="20"/>
                <w:szCs w:val="20"/>
              </w:rPr>
              <w:t>: 245</w:t>
            </w:r>
          </w:p>
        </w:tc>
        <w:tc>
          <w:tcPr>
            <w:tcW w:w="1276" w:type="dxa"/>
            <w:tcBorders>
              <w:top w:val="nil"/>
              <w:left w:val="nil"/>
              <w:bottom w:val="single" w:sz="8" w:space="0" w:color="auto"/>
              <w:right w:val="single" w:sz="8" w:space="0" w:color="auto"/>
            </w:tcBorders>
          </w:tcPr>
          <w:p w14:paraId="7BD86DF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20-25</w:t>
            </w:r>
          </w:p>
        </w:tc>
        <w:tc>
          <w:tcPr>
            <w:tcW w:w="1417" w:type="dxa"/>
            <w:tcBorders>
              <w:top w:val="nil"/>
              <w:left w:val="nil"/>
              <w:bottom w:val="single" w:sz="8" w:space="0" w:color="auto"/>
              <w:right w:val="single" w:sz="8" w:space="0" w:color="auto"/>
            </w:tcBorders>
          </w:tcPr>
          <w:p w14:paraId="38FF453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7.3</w:t>
            </w:r>
          </w:p>
        </w:tc>
        <w:tc>
          <w:tcPr>
            <w:tcW w:w="1276" w:type="dxa"/>
            <w:tcBorders>
              <w:top w:val="nil"/>
              <w:left w:val="nil"/>
              <w:bottom w:val="single" w:sz="8" w:space="0" w:color="auto"/>
              <w:right w:val="single" w:sz="8" w:space="0" w:color="auto"/>
            </w:tcBorders>
          </w:tcPr>
          <w:p w14:paraId="340E45F0"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17.8</w:t>
            </w:r>
          </w:p>
        </w:tc>
        <w:tc>
          <w:tcPr>
            <w:tcW w:w="2126" w:type="dxa"/>
            <w:tcBorders>
              <w:top w:val="nil"/>
              <w:left w:val="nil"/>
              <w:bottom w:val="single" w:sz="8" w:space="0" w:color="auto"/>
              <w:right w:val="single" w:sz="8" w:space="0" w:color="auto"/>
            </w:tcBorders>
          </w:tcPr>
          <w:p w14:paraId="229DD99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166.0</w:t>
            </w:r>
          </w:p>
        </w:tc>
        <w:tc>
          <w:tcPr>
            <w:tcW w:w="1701" w:type="dxa"/>
            <w:tcBorders>
              <w:top w:val="nil"/>
              <w:left w:val="nil"/>
              <w:bottom w:val="single" w:sz="8" w:space="0" w:color="auto"/>
              <w:right w:val="single" w:sz="8" w:space="0" w:color="auto"/>
            </w:tcBorders>
          </w:tcPr>
          <w:p w14:paraId="1CB026D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2CCE71BA" w14:textId="77777777" w:rsidR="00632208" w:rsidRPr="0098635C" w:rsidRDefault="00632208" w:rsidP="00A432B0">
            <w:pPr>
              <w:spacing w:after="0"/>
              <w:rPr>
                <w:color w:val="000000" w:themeColor="text1"/>
                <w:sz w:val="20"/>
                <w:szCs w:val="20"/>
              </w:rPr>
            </w:pPr>
            <w:r w:rsidRPr="0098635C">
              <w:rPr>
                <w:color w:val="000000" w:themeColor="text1"/>
                <w:sz w:val="20"/>
                <w:szCs w:val="20"/>
              </w:rPr>
              <w:t>Heijerick et al, 2005</w:t>
            </w:r>
          </w:p>
        </w:tc>
      </w:tr>
      <w:tr w:rsidR="00632208" w:rsidRPr="0098635C" w14:paraId="4637994F" w14:textId="77777777" w:rsidTr="00982513">
        <w:trPr>
          <w:trHeight w:val="53"/>
        </w:trPr>
        <w:tc>
          <w:tcPr>
            <w:tcW w:w="2498" w:type="dxa"/>
            <w:tcBorders>
              <w:top w:val="nil"/>
              <w:left w:val="double" w:sz="6" w:space="0" w:color="auto"/>
              <w:bottom w:val="single" w:sz="8" w:space="0" w:color="auto"/>
              <w:right w:val="single" w:sz="8" w:space="0" w:color="auto"/>
            </w:tcBorders>
          </w:tcPr>
          <w:p w14:paraId="688B96B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4E21D10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EbC</w:t>
            </w:r>
            <w:r w:rsidRPr="0098635C">
              <w:rPr>
                <w:color w:val="000000" w:themeColor="text1"/>
                <w:sz w:val="20"/>
                <w:szCs w:val="20"/>
                <w:vertAlign w:val="subscript"/>
              </w:rPr>
              <w:t>50</w:t>
            </w:r>
            <w:r w:rsidRPr="0098635C">
              <w:rPr>
                <w:color w:val="000000" w:themeColor="text1"/>
                <w:sz w:val="20"/>
                <w:szCs w:val="20"/>
              </w:rPr>
              <w:t>: 36.9</w:t>
            </w:r>
          </w:p>
        </w:tc>
        <w:tc>
          <w:tcPr>
            <w:tcW w:w="1276" w:type="dxa"/>
            <w:tcBorders>
              <w:top w:val="nil"/>
              <w:left w:val="nil"/>
              <w:bottom w:val="single" w:sz="8" w:space="0" w:color="auto"/>
              <w:right w:val="single" w:sz="8" w:space="0" w:color="auto"/>
            </w:tcBorders>
          </w:tcPr>
          <w:p w14:paraId="025DF97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20-25</w:t>
            </w:r>
          </w:p>
        </w:tc>
        <w:tc>
          <w:tcPr>
            <w:tcW w:w="1417" w:type="dxa"/>
            <w:tcBorders>
              <w:top w:val="nil"/>
              <w:left w:val="nil"/>
              <w:bottom w:val="single" w:sz="8" w:space="0" w:color="auto"/>
              <w:right w:val="single" w:sz="8" w:space="0" w:color="auto"/>
            </w:tcBorders>
          </w:tcPr>
          <w:p w14:paraId="6A388CA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8.20</w:t>
            </w:r>
          </w:p>
        </w:tc>
        <w:tc>
          <w:tcPr>
            <w:tcW w:w="1276" w:type="dxa"/>
            <w:tcBorders>
              <w:top w:val="nil"/>
              <w:left w:val="nil"/>
              <w:bottom w:val="single" w:sz="8" w:space="0" w:color="auto"/>
              <w:right w:val="single" w:sz="8" w:space="0" w:color="auto"/>
            </w:tcBorders>
          </w:tcPr>
          <w:p w14:paraId="167963AD"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1.7</w:t>
            </w:r>
          </w:p>
        </w:tc>
        <w:tc>
          <w:tcPr>
            <w:tcW w:w="2126" w:type="dxa"/>
            <w:tcBorders>
              <w:top w:val="nil"/>
              <w:left w:val="nil"/>
              <w:bottom w:val="single" w:sz="8" w:space="0" w:color="auto"/>
              <w:right w:val="single" w:sz="8" w:space="0" w:color="auto"/>
            </w:tcBorders>
          </w:tcPr>
          <w:p w14:paraId="49F1AF6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169.0</w:t>
            </w:r>
          </w:p>
        </w:tc>
        <w:tc>
          <w:tcPr>
            <w:tcW w:w="1701" w:type="dxa"/>
            <w:tcBorders>
              <w:top w:val="nil"/>
              <w:left w:val="nil"/>
              <w:bottom w:val="single" w:sz="8" w:space="0" w:color="auto"/>
              <w:right w:val="single" w:sz="8" w:space="0" w:color="auto"/>
            </w:tcBorders>
          </w:tcPr>
          <w:p w14:paraId="57E1D34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0D746AF3" w14:textId="77777777" w:rsidR="00632208" w:rsidRPr="0098635C" w:rsidRDefault="00632208" w:rsidP="00A432B0">
            <w:pPr>
              <w:spacing w:after="0"/>
              <w:rPr>
                <w:color w:val="000000" w:themeColor="text1"/>
                <w:sz w:val="20"/>
                <w:szCs w:val="20"/>
              </w:rPr>
            </w:pPr>
            <w:r w:rsidRPr="0098635C">
              <w:rPr>
                <w:color w:val="000000" w:themeColor="text1"/>
                <w:sz w:val="20"/>
                <w:szCs w:val="20"/>
              </w:rPr>
              <w:t>Heijerick et al, 2005</w:t>
            </w:r>
          </w:p>
        </w:tc>
      </w:tr>
      <w:tr w:rsidR="00632208" w:rsidRPr="0098635C" w14:paraId="18692CBC" w14:textId="77777777" w:rsidTr="00982513">
        <w:trPr>
          <w:trHeight w:val="54"/>
        </w:trPr>
        <w:tc>
          <w:tcPr>
            <w:tcW w:w="2498" w:type="dxa"/>
            <w:tcBorders>
              <w:top w:val="nil"/>
              <w:left w:val="double" w:sz="6" w:space="0" w:color="auto"/>
              <w:bottom w:val="single" w:sz="8" w:space="0" w:color="auto"/>
              <w:right w:val="single" w:sz="8" w:space="0" w:color="auto"/>
            </w:tcBorders>
          </w:tcPr>
          <w:p w14:paraId="5E014BE8"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lastRenderedPageBreak/>
              <w:t xml:space="preserve">Pseudokirchneriella subcapitata </w:t>
            </w:r>
          </w:p>
        </w:tc>
        <w:tc>
          <w:tcPr>
            <w:tcW w:w="1134" w:type="dxa"/>
            <w:tcBorders>
              <w:top w:val="nil"/>
              <w:left w:val="nil"/>
              <w:bottom w:val="single" w:sz="8" w:space="0" w:color="auto"/>
              <w:right w:val="single" w:sz="8" w:space="0" w:color="auto"/>
            </w:tcBorders>
          </w:tcPr>
          <w:p w14:paraId="72C9E5C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EbC</w:t>
            </w:r>
            <w:r w:rsidRPr="0098635C">
              <w:rPr>
                <w:color w:val="000000" w:themeColor="text1"/>
                <w:sz w:val="20"/>
                <w:szCs w:val="20"/>
                <w:vertAlign w:val="subscript"/>
              </w:rPr>
              <w:t>50</w:t>
            </w:r>
            <w:r w:rsidRPr="0098635C">
              <w:rPr>
                <w:color w:val="000000" w:themeColor="text1"/>
                <w:sz w:val="20"/>
                <w:szCs w:val="20"/>
              </w:rPr>
              <w:t>: 33.9</w:t>
            </w:r>
          </w:p>
        </w:tc>
        <w:tc>
          <w:tcPr>
            <w:tcW w:w="1276" w:type="dxa"/>
            <w:tcBorders>
              <w:top w:val="nil"/>
              <w:left w:val="nil"/>
              <w:bottom w:val="single" w:sz="8" w:space="0" w:color="auto"/>
              <w:right w:val="single" w:sz="8" w:space="0" w:color="auto"/>
            </w:tcBorders>
          </w:tcPr>
          <w:p w14:paraId="468230E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20-25</w:t>
            </w:r>
          </w:p>
        </w:tc>
        <w:tc>
          <w:tcPr>
            <w:tcW w:w="1417" w:type="dxa"/>
            <w:tcBorders>
              <w:top w:val="nil"/>
              <w:left w:val="nil"/>
              <w:bottom w:val="single" w:sz="8" w:space="0" w:color="auto"/>
              <w:right w:val="single" w:sz="8" w:space="0" w:color="auto"/>
            </w:tcBorders>
          </w:tcPr>
          <w:p w14:paraId="0B9C08A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8.06</w:t>
            </w:r>
          </w:p>
        </w:tc>
        <w:tc>
          <w:tcPr>
            <w:tcW w:w="1276" w:type="dxa"/>
            <w:tcBorders>
              <w:top w:val="nil"/>
              <w:left w:val="nil"/>
              <w:bottom w:val="single" w:sz="8" w:space="0" w:color="auto"/>
              <w:right w:val="single" w:sz="8" w:space="0" w:color="auto"/>
            </w:tcBorders>
          </w:tcPr>
          <w:p w14:paraId="7C05DC77"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1.98</w:t>
            </w:r>
          </w:p>
        </w:tc>
        <w:tc>
          <w:tcPr>
            <w:tcW w:w="2126" w:type="dxa"/>
            <w:tcBorders>
              <w:top w:val="nil"/>
              <w:left w:val="nil"/>
              <w:bottom w:val="single" w:sz="8" w:space="0" w:color="auto"/>
              <w:right w:val="single" w:sz="8" w:space="0" w:color="auto"/>
            </w:tcBorders>
          </w:tcPr>
          <w:p w14:paraId="07E7B89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191.0</w:t>
            </w:r>
          </w:p>
        </w:tc>
        <w:tc>
          <w:tcPr>
            <w:tcW w:w="1701" w:type="dxa"/>
            <w:tcBorders>
              <w:top w:val="nil"/>
              <w:left w:val="nil"/>
              <w:bottom w:val="single" w:sz="8" w:space="0" w:color="auto"/>
              <w:right w:val="single" w:sz="8" w:space="0" w:color="auto"/>
            </w:tcBorders>
          </w:tcPr>
          <w:p w14:paraId="5FA1605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4CF970CC" w14:textId="77777777" w:rsidR="00632208" w:rsidRPr="0098635C" w:rsidRDefault="00632208" w:rsidP="00A432B0">
            <w:pPr>
              <w:spacing w:after="0"/>
              <w:rPr>
                <w:color w:val="000000" w:themeColor="text1"/>
                <w:sz w:val="20"/>
                <w:szCs w:val="20"/>
              </w:rPr>
            </w:pPr>
            <w:r w:rsidRPr="0098635C">
              <w:rPr>
                <w:color w:val="000000" w:themeColor="text1"/>
                <w:sz w:val="20"/>
                <w:szCs w:val="20"/>
              </w:rPr>
              <w:t>Heijerick et al, 2005</w:t>
            </w:r>
          </w:p>
        </w:tc>
      </w:tr>
      <w:tr w:rsidR="00632208" w:rsidRPr="0098635C" w14:paraId="270D2CD2" w14:textId="77777777" w:rsidTr="00982513">
        <w:trPr>
          <w:trHeight w:val="53"/>
        </w:trPr>
        <w:tc>
          <w:tcPr>
            <w:tcW w:w="2498" w:type="dxa"/>
            <w:tcBorders>
              <w:top w:val="nil"/>
              <w:left w:val="double" w:sz="6" w:space="0" w:color="auto"/>
              <w:bottom w:val="single" w:sz="8" w:space="0" w:color="auto"/>
              <w:right w:val="single" w:sz="8" w:space="0" w:color="auto"/>
            </w:tcBorders>
          </w:tcPr>
          <w:p w14:paraId="15E5EDF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30E78D2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EbC</w:t>
            </w:r>
            <w:r w:rsidRPr="0098635C">
              <w:rPr>
                <w:color w:val="000000" w:themeColor="text1"/>
                <w:sz w:val="20"/>
                <w:szCs w:val="20"/>
                <w:vertAlign w:val="subscript"/>
              </w:rPr>
              <w:t>50</w:t>
            </w:r>
            <w:r w:rsidRPr="0098635C">
              <w:rPr>
                <w:color w:val="000000" w:themeColor="text1"/>
                <w:sz w:val="20"/>
                <w:szCs w:val="20"/>
              </w:rPr>
              <w:t>: 108.0</w:t>
            </w:r>
          </w:p>
        </w:tc>
        <w:tc>
          <w:tcPr>
            <w:tcW w:w="1276" w:type="dxa"/>
            <w:tcBorders>
              <w:top w:val="nil"/>
              <w:left w:val="nil"/>
              <w:bottom w:val="single" w:sz="8" w:space="0" w:color="auto"/>
              <w:right w:val="single" w:sz="8" w:space="0" w:color="auto"/>
            </w:tcBorders>
          </w:tcPr>
          <w:p w14:paraId="3E1FCCC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20-25</w:t>
            </w:r>
          </w:p>
        </w:tc>
        <w:tc>
          <w:tcPr>
            <w:tcW w:w="1417" w:type="dxa"/>
            <w:tcBorders>
              <w:top w:val="nil"/>
              <w:left w:val="nil"/>
              <w:bottom w:val="single" w:sz="8" w:space="0" w:color="auto"/>
              <w:right w:val="single" w:sz="8" w:space="0" w:color="auto"/>
            </w:tcBorders>
          </w:tcPr>
          <w:p w14:paraId="64FF57B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8.26</w:t>
            </w:r>
          </w:p>
        </w:tc>
        <w:tc>
          <w:tcPr>
            <w:tcW w:w="1276" w:type="dxa"/>
            <w:tcBorders>
              <w:top w:val="nil"/>
              <w:left w:val="nil"/>
              <w:bottom w:val="single" w:sz="8" w:space="0" w:color="auto"/>
              <w:right w:val="single" w:sz="8" w:space="0" w:color="auto"/>
            </w:tcBorders>
          </w:tcPr>
          <w:p w14:paraId="32D5D403"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6.42</w:t>
            </w:r>
          </w:p>
        </w:tc>
        <w:tc>
          <w:tcPr>
            <w:tcW w:w="2126" w:type="dxa"/>
            <w:tcBorders>
              <w:top w:val="nil"/>
              <w:left w:val="nil"/>
              <w:bottom w:val="single" w:sz="8" w:space="0" w:color="auto"/>
              <w:right w:val="single" w:sz="8" w:space="0" w:color="auto"/>
            </w:tcBorders>
          </w:tcPr>
          <w:p w14:paraId="5033559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220.0</w:t>
            </w:r>
          </w:p>
        </w:tc>
        <w:tc>
          <w:tcPr>
            <w:tcW w:w="1701" w:type="dxa"/>
            <w:tcBorders>
              <w:top w:val="nil"/>
              <w:left w:val="nil"/>
              <w:bottom w:val="single" w:sz="8" w:space="0" w:color="auto"/>
              <w:right w:val="single" w:sz="8" w:space="0" w:color="auto"/>
            </w:tcBorders>
          </w:tcPr>
          <w:p w14:paraId="5C66C41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6D7E72F6" w14:textId="77777777" w:rsidR="00632208" w:rsidRPr="0098635C" w:rsidRDefault="00632208" w:rsidP="00A432B0">
            <w:pPr>
              <w:spacing w:after="0"/>
              <w:rPr>
                <w:color w:val="000000" w:themeColor="text1"/>
                <w:sz w:val="20"/>
                <w:szCs w:val="20"/>
              </w:rPr>
            </w:pPr>
            <w:r w:rsidRPr="0098635C">
              <w:rPr>
                <w:color w:val="000000" w:themeColor="text1"/>
                <w:sz w:val="20"/>
                <w:szCs w:val="20"/>
              </w:rPr>
              <w:t>Heijerick et al, 2005</w:t>
            </w:r>
          </w:p>
        </w:tc>
      </w:tr>
      <w:tr w:rsidR="00632208" w:rsidRPr="0098635C" w14:paraId="14149CD8" w14:textId="77777777" w:rsidTr="00982513">
        <w:trPr>
          <w:trHeight w:val="53"/>
        </w:trPr>
        <w:tc>
          <w:tcPr>
            <w:tcW w:w="2498" w:type="dxa"/>
            <w:tcBorders>
              <w:top w:val="nil"/>
              <w:left w:val="double" w:sz="6" w:space="0" w:color="auto"/>
              <w:bottom w:val="single" w:sz="8" w:space="0" w:color="auto"/>
              <w:right w:val="single" w:sz="8" w:space="0" w:color="auto"/>
            </w:tcBorders>
          </w:tcPr>
          <w:p w14:paraId="3F7D4C08"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44DA9D4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EbC</w:t>
            </w:r>
            <w:r w:rsidRPr="0098635C">
              <w:rPr>
                <w:color w:val="000000" w:themeColor="text1"/>
                <w:sz w:val="20"/>
                <w:szCs w:val="20"/>
                <w:vertAlign w:val="subscript"/>
              </w:rPr>
              <w:t>50</w:t>
            </w:r>
            <w:r w:rsidRPr="0098635C">
              <w:rPr>
                <w:color w:val="000000" w:themeColor="text1"/>
                <w:sz w:val="20"/>
                <w:szCs w:val="20"/>
              </w:rPr>
              <w:t>: 65.4</w:t>
            </w:r>
          </w:p>
        </w:tc>
        <w:tc>
          <w:tcPr>
            <w:tcW w:w="1276" w:type="dxa"/>
            <w:tcBorders>
              <w:top w:val="nil"/>
              <w:left w:val="nil"/>
              <w:bottom w:val="single" w:sz="8" w:space="0" w:color="auto"/>
              <w:right w:val="single" w:sz="8" w:space="0" w:color="auto"/>
            </w:tcBorders>
          </w:tcPr>
          <w:p w14:paraId="11D0ACD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20-25</w:t>
            </w:r>
          </w:p>
        </w:tc>
        <w:tc>
          <w:tcPr>
            <w:tcW w:w="1417" w:type="dxa"/>
            <w:tcBorders>
              <w:top w:val="nil"/>
              <w:left w:val="nil"/>
              <w:bottom w:val="single" w:sz="8" w:space="0" w:color="auto"/>
              <w:right w:val="single" w:sz="8" w:space="0" w:color="auto"/>
            </w:tcBorders>
          </w:tcPr>
          <w:p w14:paraId="0D83C49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8.30</w:t>
            </w:r>
          </w:p>
        </w:tc>
        <w:tc>
          <w:tcPr>
            <w:tcW w:w="1276" w:type="dxa"/>
            <w:tcBorders>
              <w:top w:val="nil"/>
              <w:left w:val="nil"/>
              <w:bottom w:val="single" w:sz="8" w:space="0" w:color="auto"/>
              <w:right w:val="single" w:sz="8" w:space="0" w:color="auto"/>
            </w:tcBorders>
          </w:tcPr>
          <w:p w14:paraId="1318D04F"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8.24</w:t>
            </w:r>
          </w:p>
        </w:tc>
        <w:tc>
          <w:tcPr>
            <w:tcW w:w="2126" w:type="dxa"/>
            <w:tcBorders>
              <w:top w:val="nil"/>
              <w:left w:val="nil"/>
              <w:bottom w:val="single" w:sz="8" w:space="0" w:color="auto"/>
              <w:right w:val="single" w:sz="8" w:space="0" w:color="auto"/>
            </w:tcBorders>
          </w:tcPr>
          <w:p w14:paraId="39FC342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238.0</w:t>
            </w:r>
          </w:p>
        </w:tc>
        <w:tc>
          <w:tcPr>
            <w:tcW w:w="1701" w:type="dxa"/>
            <w:tcBorders>
              <w:top w:val="nil"/>
              <w:left w:val="nil"/>
              <w:bottom w:val="single" w:sz="8" w:space="0" w:color="auto"/>
              <w:right w:val="single" w:sz="8" w:space="0" w:color="auto"/>
            </w:tcBorders>
          </w:tcPr>
          <w:p w14:paraId="1B6A752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5E1CDB44" w14:textId="77777777" w:rsidR="00632208" w:rsidRPr="0098635C" w:rsidRDefault="00632208" w:rsidP="00A432B0">
            <w:pPr>
              <w:spacing w:after="0"/>
              <w:rPr>
                <w:color w:val="000000" w:themeColor="text1"/>
                <w:sz w:val="20"/>
                <w:szCs w:val="20"/>
              </w:rPr>
            </w:pPr>
            <w:r w:rsidRPr="0098635C">
              <w:rPr>
                <w:color w:val="000000" w:themeColor="text1"/>
                <w:sz w:val="20"/>
                <w:szCs w:val="20"/>
              </w:rPr>
              <w:t>Heijerick et al, 2005</w:t>
            </w:r>
          </w:p>
        </w:tc>
      </w:tr>
      <w:tr w:rsidR="00632208" w:rsidRPr="0098635C" w14:paraId="13B90AD3" w14:textId="77777777" w:rsidTr="00982513">
        <w:trPr>
          <w:trHeight w:val="53"/>
        </w:trPr>
        <w:tc>
          <w:tcPr>
            <w:tcW w:w="2498" w:type="dxa"/>
            <w:tcBorders>
              <w:top w:val="nil"/>
              <w:left w:val="double" w:sz="6" w:space="0" w:color="auto"/>
              <w:bottom w:val="single" w:sz="8" w:space="0" w:color="auto"/>
              <w:right w:val="single" w:sz="8" w:space="0" w:color="auto"/>
            </w:tcBorders>
          </w:tcPr>
          <w:p w14:paraId="75D1B57A"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092BED3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EbC</w:t>
            </w:r>
            <w:r w:rsidRPr="0098635C">
              <w:rPr>
                <w:color w:val="000000" w:themeColor="text1"/>
                <w:sz w:val="20"/>
                <w:szCs w:val="20"/>
                <w:vertAlign w:val="subscript"/>
              </w:rPr>
              <w:t>50</w:t>
            </w:r>
            <w:r w:rsidRPr="0098635C">
              <w:rPr>
                <w:color w:val="000000" w:themeColor="text1"/>
                <w:sz w:val="20"/>
                <w:szCs w:val="20"/>
              </w:rPr>
              <w:t>: 16.5</w:t>
            </w:r>
          </w:p>
        </w:tc>
        <w:tc>
          <w:tcPr>
            <w:tcW w:w="1276" w:type="dxa"/>
            <w:tcBorders>
              <w:top w:val="nil"/>
              <w:left w:val="nil"/>
              <w:bottom w:val="single" w:sz="8" w:space="0" w:color="auto"/>
              <w:right w:val="single" w:sz="8" w:space="0" w:color="auto"/>
            </w:tcBorders>
          </w:tcPr>
          <w:p w14:paraId="75379C4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20-25</w:t>
            </w:r>
          </w:p>
        </w:tc>
        <w:tc>
          <w:tcPr>
            <w:tcW w:w="1417" w:type="dxa"/>
            <w:tcBorders>
              <w:top w:val="nil"/>
              <w:left w:val="nil"/>
              <w:bottom w:val="single" w:sz="8" w:space="0" w:color="auto"/>
              <w:right w:val="single" w:sz="8" w:space="0" w:color="auto"/>
            </w:tcBorders>
          </w:tcPr>
          <w:p w14:paraId="71747A4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nil"/>
              <w:left w:val="nil"/>
              <w:bottom w:val="single" w:sz="8" w:space="0" w:color="auto"/>
              <w:right w:val="single" w:sz="8" w:space="0" w:color="auto"/>
            </w:tcBorders>
          </w:tcPr>
          <w:p w14:paraId="1C841877"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&lt; 1.0</w:t>
            </w:r>
          </w:p>
        </w:tc>
        <w:tc>
          <w:tcPr>
            <w:tcW w:w="2126" w:type="dxa"/>
            <w:tcBorders>
              <w:top w:val="nil"/>
              <w:left w:val="nil"/>
              <w:bottom w:val="single" w:sz="8" w:space="0" w:color="auto"/>
              <w:right w:val="single" w:sz="8" w:space="0" w:color="auto"/>
            </w:tcBorders>
          </w:tcPr>
          <w:p w14:paraId="12AB4DE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23.8</w:t>
            </w:r>
          </w:p>
        </w:tc>
        <w:tc>
          <w:tcPr>
            <w:tcW w:w="1701" w:type="dxa"/>
            <w:tcBorders>
              <w:top w:val="nil"/>
              <w:left w:val="nil"/>
              <w:bottom w:val="single" w:sz="8" w:space="0" w:color="auto"/>
              <w:right w:val="single" w:sz="8" w:space="0" w:color="auto"/>
            </w:tcBorders>
          </w:tcPr>
          <w:p w14:paraId="50D81AA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0D83C8BF" w14:textId="77777777" w:rsidR="00632208" w:rsidRPr="0098635C" w:rsidRDefault="00632208" w:rsidP="00A432B0">
            <w:pPr>
              <w:spacing w:after="0"/>
              <w:rPr>
                <w:color w:val="000000" w:themeColor="text1"/>
                <w:sz w:val="20"/>
                <w:szCs w:val="20"/>
              </w:rPr>
            </w:pPr>
            <w:r w:rsidRPr="0098635C">
              <w:rPr>
                <w:color w:val="000000" w:themeColor="text1"/>
                <w:sz w:val="20"/>
                <w:szCs w:val="20"/>
              </w:rPr>
              <w:t>Heijerick et al, 2005</w:t>
            </w:r>
          </w:p>
        </w:tc>
      </w:tr>
      <w:tr w:rsidR="00632208" w:rsidRPr="0098635C" w14:paraId="1C842BDA" w14:textId="77777777" w:rsidTr="00982513">
        <w:trPr>
          <w:trHeight w:val="53"/>
        </w:trPr>
        <w:tc>
          <w:tcPr>
            <w:tcW w:w="2498" w:type="dxa"/>
            <w:tcBorders>
              <w:top w:val="nil"/>
              <w:left w:val="double" w:sz="6" w:space="0" w:color="auto"/>
              <w:bottom w:val="single" w:sz="8" w:space="0" w:color="auto"/>
              <w:right w:val="single" w:sz="8" w:space="0" w:color="auto"/>
            </w:tcBorders>
          </w:tcPr>
          <w:p w14:paraId="3CE10669"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1FBFC81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230</w:t>
            </w:r>
          </w:p>
        </w:tc>
        <w:tc>
          <w:tcPr>
            <w:tcW w:w="1276" w:type="dxa"/>
            <w:tcBorders>
              <w:top w:val="nil"/>
              <w:left w:val="nil"/>
              <w:bottom w:val="single" w:sz="8" w:space="0" w:color="auto"/>
              <w:right w:val="single" w:sz="8" w:space="0" w:color="auto"/>
            </w:tcBorders>
          </w:tcPr>
          <w:p w14:paraId="1B6C851C"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2D3B39B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6.19</w:t>
            </w:r>
          </w:p>
        </w:tc>
        <w:tc>
          <w:tcPr>
            <w:tcW w:w="1276" w:type="dxa"/>
            <w:tcBorders>
              <w:top w:val="nil"/>
              <w:left w:val="nil"/>
              <w:bottom w:val="single" w:sz="8" w:space="0" w:color="auto"/>
              <w:right w:val="single" w:sz="8" w:space="0" w:color="auto"/>
            </w:tcBorders>
          </w:tcPr>
          <w:p w14:paraId="54222AAC"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5.23</w:t>
            </w:r>
          </w:p>
        </w:tc>
        <w:tc>
          <w:tcPr>
            <w:tcW w:w="2126" w:type="dxa"/>
            <w:tcBorders>
              <w:top w:val="nil"/>
              <w:left w:val="nil"/>
              <w:bottom w:val="single" w:sz="8" w:space="0" w:color="auto"/>
              <w:right w:val="single" w:sz="8" w:space="0" w:color="auto"/>
            </w:tcBorders>
          </w:tcPr>
          <w:p w14:paraId="3DCBF8B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100</w:t>
            </w:r>
          </w:p>
        </w:tc>
        <w:tc>
          <w:tcPr>
            <w:tcW w:w="1701" w:type="dxa"/>
            <w:tcBorders>
              <w:top w:val="nil"/>
              <w:left w:val="nil"/>
              <w:bottom w:val="single" w:sz="8" w:space="0" w:color="auto"/>
              <w:right w:val="single" w:sz="8" w:space="0" w:color="auto"/>
            </w:tcBorders>
          </w:tcPr>
          <w:p w14:paraId="5511D52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282B345A"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1ED5CD18" w14:textId="77777777" w:rsidTr="00982513">
        <w:trPr>
          <w:trHeight w:val="53"/>
        </w:trPr>
        <w:tc>
          <w:tcPr>
            <w:tcW w:w="2498" w:type="dxa"/>
            <w:tcBorders>
              <w:top w:val="nil"/>
              <w:left w:val="double" w:sz="6" w:space="0" w:color="auto"/>
              <w:bottom w:val="single" w:sz="8" w:space="0" w:color="auto"/>
              <w:right w:val="single" w:sz="8" w:space="0" w:color="auto"/>
            </w:tcBorders>
          </w:tcPr>
          <w:p w14:paraId="159304CB"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442B94D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824</w:t>
            </w:r>
          </w:p>
        </w:tc>
        <w:tc>
          <w:tcPr>
            <w:tcW w:w="1276" w:type="dxa"/>
            <w:tcBorders>
              <w:top w:val="nil"/>
              <w:left w:val="nil"/>
              <w:bottom w:val="single" w:sz="8" w:space="0" w:color="auto"/>
              <w:right w:val="single" w:sz="8" w:space="0" w:color="auto"/>
            </w:tcBorders>
          </w:tcPr>
          <w:p w14:paraId="56FB0088"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7650533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6.22</w:t>
            </w:r>
          </w:p>
        </w:tc>
        <w:tc>
          <w:tcPr>
            <w:tcW w:w="1276" w:type="dxa"/>
            <w:tcBorders>
              <w:top w:val="nil"/>
              <w:left w:val="nil"/>
              <w:bottom w:val="single" w:sz="8" w:space="0" w:color="auto"/>
              <w:right w:val="single" w:sz="8" w:space="0" w:color="auto"/>
            </w:tcBorders>
          </w:tcPr>
          <w:p w14:paraId="0295882E"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15.8</w:t>
            </w:r>
          </w:p>
        </w:tc>
        <w:tc>
          <w:tcPr>
            <w:tcW w:w="2126" w:type="dxa"/>
            <w:tcBorders>
              <w:top w:val="nil"/>
              <w:left w:val="nil"/>
              <w:bottom w:val="single" w:sz="8" w:space="0" w:color="auto"/>
              <w:right w:val="single" w:sz="8" w:space="0" w:color="auto"/>
            </w:tcBorders>
          </w:tcPr>
          <w:p w14:paraId="3D95F18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100</w:t>
            </w:r>
          </w:p>
        </w:tc>
        <w:tc>
          <w:tcPr>
            <w:tcW w:w="1701" w:type="dxa"/>
            <w:tcBorders>
              <w:top w:val="nil"/>
              <w:left w:val="nil"/>
              <w:bottom w:val="single" w:sz="8" w:space="0" w:color="auto"/>
              <w:right w:val="single" w:sz="8" w:space="0" w:color="auto"/>
            </w:tcBorders>
          </w:tcPr>
          <w:p w14:paraId="3C5E9C7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14A526FF"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4E3117F3" w14:textId="77777777" w:rsidTr="00982513">
        <w:trPr>
          <w:trHeight w:val="53"/>
        </w:trPr>
        <w:tc>
          <w:tcPr>
            <w:tcW w:w="2498" w:type="dxa"/>
            <w:tcBorders>
              <w:top w:val="nil"/>
              <w:left w:val="double" w:sz="6" w:space="0" w:color="auto"/>
              <w:bottom w:val="single" w:sz="8" w:space="0" w:color="auto"/>
              <w:right w:val="single" w:sz="8" w:space="0" w:color="auto"/>
            </w:tcBorders>
          </w:tcPr>
          <w:p w14:paraId="0B29DE0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6036560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93</w:t>
            </w:r>
          </w:p>
        </w:tc>
        <w:tc>
          <w:tcPr>
            <w:tcW w:w="1276" w:type="dxa"/>
            <w:tcBorders>
              <w:top w:val="nil"/>
              <w:left w:val="nil"/>
              <w:bottom w:val="single" w:sz="8" w:space="0" w:color="auto"/>
              <w:right w:val="single" w:sz="8" w:space="0" w:color="auto"/>
            </w:tcBorders>
          </w:tcPr>
          <w:p w14:paraId="1F8F34F2"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53EED8B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7.92</w:t>
            </w:r>
          </w:p>
        </w:tc>
        <w:tc>
          <w:tcPr>
            <w:tcW w:w="1276" w:type="dxa"/>
            <w:tcBorders>
              <w:top w:val="nil"/>
              <w:left w:val="nil"/>
              <w:bottom w:val="single" w:sz="8" w:space="0" w:color="auto"/>
              <w:right w:val="single" w:sz="8" w:space="0" w:color="auto"/>
            </w:tcBorders>
          </w:tcPr>
          <w:p w14:paraId="0CFBE1A9"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5.99</w:t>
            </w:r>
          </w:p>
        </w:tc>
        <w:tc>
          <w:tcPr>
            <w:tcW w:w="2126" w:type="dxa"/>
            <w:tcBorders>
              <w:top w:val="nil"/>
              <w:left w:val="nil"/>
              <w:bottom w:val="single" w:sz="8" w:space="0" w:color="auto"/>
              <w:right w:val="single" w:sz="8" w:space="0" w:color="auto"/>
            </w:tcBorders>
          </w:tcPr>
          <w:p w14:paraId="360CBE5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400</w:t>
            </w:r>
          </w:p>
        </w:tc>
        <w:tc>
          <w:tcPr>
            <w:tcW w:w="1701" w:type="dxa"/>
            <w:tcBorders>
              <w:top w:val="nil"/>
              <w:left w:val="nil"/>
              <w:bottom w:val="single" w:sz="8" w:space="0" w:color="auto"/>
              <w:right w:val="single" w:sz="8" w:space="0" w:color="auto"/>
            </w:tcBorders>
          </w:tcPr>
          <w:p w14:paraId="21EE5D4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507C5E0E"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39A9D638" w14:textId="77777777" w:rsidTr="00982513">
        <w:trPr>
          <w:trHeight w:val="53"/>
        </w:trPr>
        <w:tc>
          <w:tcPr>
            <w:tcW w:w="2498" w:type="dxa"/>
            <w:tcBorders>
              <w:top w:val="nil"/>
              <w:left w:val="double" w:sz="6" w:space="0" w:color="auto"/>
              <w:bottom w:val="single" w:sz="8" w:space="0" w:color="auto"/>
              <w:right w:val="single" w:sz="8" w:space="0" w:color="auto"/>
            </w:tcBorders>
          </w:tcPr>
          <w:p w14:paraId="4C70AF7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1A07B76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35</w:t>
            </w:r>
          </w:p>
        </w:tc>
        <w:tc>
          <w:tcPr>
            <w:tcW w:w="1276" w:type="dxa"/>
            <w:tcBorders>
              <w:top w:val="nil"/>
              <w:left w:val="nil"/>
              <w:bottom w:val="single" w:sz="8" w:space="0" w:color="auto"/>
              <w:right w:val="single" w:sz="8" w:space="0" w:color="auto"/>
            </w:tcBorders>
          </w:tcPr>
          <w:p w14:paraId="3512CD98"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2D66136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7.05</w:t>
            </w:r>
          </w:p>
        </w:tc>
        <w:tc>
          <w:tcPr>
            <w:tcW w:w="1276" w:type="dxa"/>
            <w:tcBorders>
              <w:top w:val="nil"/>
              <w:left w:val="nil"/>
              <w:bottom w:val="single" w:sz="8" w:space="0" w:color="auto"/>
              <w:right w:val="single" w:sz="8" w:space="0" w:color="auto"/>
            </w:tcBorders>
          </w:tcPr>
          <w:p w14:paraId="4002AEA2"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2.21</w:t>
            </w:r>
          </w:p>
        </w:tc>
        <w:tc>
          <w:tcPr>
            <w:tcW w:w="2126" w:type="dxa"/>
            <w:tcBorders>
              <w:top w:val="nil"/>
              <w:left w:val="nil"/>
              <w:bottom w:val="single" w:sz="8" w:space="0" w:color="auto"/>
              <w:right w:val="single" w:sz="8" w:space="0" w:color="auto"/>
            </w:tcBorders>
          </w:tcPr>
          <w:p w14:paraId="41F2456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250</w:t>
            </w:r>
          </w:p>
        </w:tc>
        <w:tc>
          <w:tcPr>
            <w:tcW w:w="1701" w:type="dxa"/>
            <w:tcBorders>
              <w:top w:val="nil"/>
              <w:left w:val="nil"/>
              <w:bottom w:val="single" w:sz="8" w:space="0" w:color="auto"/>
              <w:right w:val="single" w:sz="8" w:space="0" w:color="auto"/>
            </w:tcBorders>
          </w:tcPr>
          <w:p w14:paraId="065C93D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28A0BE1B"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4C54E6E1" w14:textId="77777777" w:rsidTr="00982513">
        <w:trPr>
          <w:trHeight w:val="53"/>
        </w:trPr>
        <w:tc>
          <w:tcPr>
            <w:tcW w:w="2498" w:type="dxa"/>
            <w:tcBorders>
              <w:top w:val="nil"/>
              <w:left w:val="double" w:sz="6" w:space="0" w:color="auto"/>
              <w:bottom w:val="single" w:sz="8" w:space="0" w:color="auto"/>
              <w:right w:val="single" w:sz="8" w:space="0" w:color="auto"/>
            </w:tcBorders>
          </w:tcPr>
          <w:p w14:paraId="438BF5F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6B67D37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268</w:t>
            </w:r>
          </w:p>
        </w:tc>
        <w:tc>
          <w:tcPr>
            <w:tcW w:w="1276" w:type="dxa"/>
            <w:tcBorders>
              <w:top w:val="nil"/>
              <w:left w:val="nil"/>
              <w:bottom w:val="single" w:sz="8" w:space="0" w:color="auto"/>
              <w:right w:val="single" w:sz="8" w:space="0" w:color="auto"/>
            </w:tcBorders>
          </w:tcPr>
          <w:p w14:paraId="0928EBD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xml:space="preserve"> </w:t>
            </w:r>
          </w:p>
        </w:tc>
        <w:tc>
          <w:tcPr>
            <w:tcW w:w="1417" w:type="dxa"/>
            <w:tcBorders>
              <w:top w:val="nil"/>
              <w:left w:val="nil"/>
              <w:bottom w:val="single" w:sz="8" w:space="0" w:color="auto"/>
              <w:right w:val="single" w:sz="8" w:space="0" w:color="auto"/>
            </w:tcBorders>
          </w:tcPr>
          <w:p w14:paraId="01ECDFD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8.01</w:t>
            </w:r>
          </w:p>
        </w:tc>
        <w:tc>
          <w:tcPr>
            <w:tcW w:w="1276" w:type="dxa"/>
            <w:tcBorders>
              <w:top w:val="nil"/>
              <w:left w:val="nil"/>
              <w:bottom w:val="single" w:sz="8" w:space="0" w:color="auto"/>
              <w:right w:val="single" w:sz="8" w:space="0" w:color="auto"/>
            </w:tcBorders>
          </w:tcPr>
          <w:p w14:paraId="7754062E"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15.1</w:t>
            </w:r>
          </w:p>
        </w:tc>
        <w:tc>
          <w:tcPr>
            <w:tcW w:w="2126" w:type="dxa"/>
            <w:tcBorders>
              <w:top w:val="nil"/>
              <w:left w:val="nil"/>
              <w:bottom w:val="single" w:sz="8" w:space="0" w:color="auto"/>
              <w:right w:val="single" w:sz="8" w:space="0" w:color="auto"/>
            </w:tcBorders>
          </w:tcPr>
          <w:p w14:paraId="6D7E131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400</w:t>
            </w:r>
          </w:p>
        </w:tc>
        <w:tc>
          <w:tcPr>
            <w:tcW w:w="1701" w:type="dxa"/>
            <w:tcBorders>
              <w:top w:val="nil"/>
              <w:left w:val="nil"/>
              <w:bottom w:val="single" w:sz="8" w:space="0" w:color="auto"/>
              <w:right w:val="single" w:sz="8" w:space="0" w:color="auto"/>
            </w:tcBorders>
          </w:tcPr>
          <w:p w14:paraId="18AE436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705D74C0"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1FABDD1A" w14:textId="77777777" w:rsidTr="00982513">
        <w:trPr>
          <w:trHeight w:val="53"/>
        </w:trPr>
        <w:tc>
          <w:tcPr>
            <w:tcW w:w="2498" w:type="dxa"/>
            <w:tcBorders>
              <w:top w:val="nil"/>
              <w:left w:val="double" w:sz="6" w:space="0" w:color="auto"/>
              <w:bottom w:val="single" w:sz="8" w:space="0" w:color="auto"/>
              <w:right w:val="single" w:sz="8" w:space="0" w:color="auto"/>
            </w:tcBorders>
          </w:tcPr>
          <w:p w14:paraId="702A2CC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1D042BA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156</w:t>
            </w:r>
          </w:p>
        </w:tc>
        <w:tc>
          <w:tcPr>
            <w:tcW w:w="1276" w:type="dxa"/>
            <w:tcBorders>
              <w:top w:val="nil"/>
              <w:left w:val="nil"/>
              <w:bottom w:val="single" w:sz="8" w:space="0" w:color="auto"/>
              <w:right w:val="single" w:sz="8" w:space="0" w:color="auto"/>
            </w:tcBorders>
          </w:tcPr>
          <w:p w14:paraId="440C68FC"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2B245CE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7.09</w:t>
            </w:r>
          </w:p>
        </w:tc>
        <w:tc>
          <w:tcPr>
            <w:tcW w:w="1276" w:type="dxa"/>
            <w:tcBorders>
              <w:top w:val="nil"/>
              <w:left w:val="nil"/>
              <w:bottom w:val="single" w:sz="8" w:space="0" w:color="auto"/>
              <w:right w:val="single" w:sz="8" w:space="0" w:color="auto"/>
            </w:tcBorders>
          </w:tcPr>
          <w:p w14:paraId="2D0D8741"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9.99</w:t>
            </w:r>
          </w:p>
        </w:tc>
        <w:tc>
          <w:tcPr>
            <w:tcW w:w="2126" w:type="dxa"/>
            <w:tcBorders>
              <w:top w:val="nil"/>
              <w:left w:val="nil"/>
              <w:bottom w:val="single" w:sz="8" w:space="0" w:color="auto"/>
              <w:right w:val="single" w:sz="8" w:space="0" w:color="auto"/>
            </w:tcBorders>
          </w:tcPr>
          <w:p w14:paraId="7B0A80F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250</w:t>
            </w:r>
          </w:p>
        </w:tc>
        <w:tc>
          <w:tcPr>
            <w:tcW w:w="1701" w:type="dxa"/>
            <w:tcBorders>
              <w:top w:val="nil"/>
              <w:left w:val="nil"/>
              <w:bottom w:val="single" w:sz="8" w:space="0" w:color="auto"/>
              <w:right w:val="single" w:sz="8" w:space="0" w:color="auto"/>
            </w:tcBorders>
          </w:tcPr>
          <w:p w14:paraId="5D02279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36B6D8E7"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2B79B42D" w14:textId="77777777" w:rsidTr="00982513">
        <w:trPr>
          <w:trHeight w:val="53"/>
        </w:trPr>
        <w:tc>
          <w:tcPr>
            <w:tcW w:w="2498" w:type="dxa"/>
            <w:tcBorders>
              <w:top w:val="nil"/>
              <w:left w:val="double" w:sz="6" w:space="0" w:color="auto"/>
              <w:bottom w:val="single" w:sz="8" w:space="0" w:color="auto"/>
              <w:right w:val="single" w:sz="8" w:space="0" w:color="auto"/>
            </w:tcBorders>
          </w:tcPr>
          <w:p w14:paraId="1F4DF75A"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0D17076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190</w:t>
            </w:r>
          </w:p>
        </w:tc>
        <w:tc>
          <w:tcPr>
            <w:tcW w:w="1276" w:type="dxa"/>
            <w:tcBorders>
              <w:top w:val="nil"/>
              <w:left w:val="nil"/>
              <w:bottom w:val="single" w:sz="8" w:space="0" w:color="auto"/>
              <w:right w:val="single" w:sz="8" w:space="0" w:color="auto"/>
            </w:tcBorders>
          </w:tcPr>
          <w:p w14:paraId="478477E6"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3FF89F3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7.04</w:t>
            </w:r>
          </w:p>
        </w:tc>
        <w:tc>
          <w:tcPr>
            <w:tcW w:w="1276" w:type="dxa"/>
            <w:tcBorders>
              <w:top w:val="nil"/>
              <w:left w:val="nil"/>
              <w:bottom w:val="single" w:sz="8" w:space="0" w:color="auto"/>
              <w:right w:val="single" w:sz="8" w:space="0" w:color="auto"/>
            </w:tcBorders>
          </w:tcPr>
          <w:p w14:paraId="40004FE7"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9.89</w:t>
            </w:r>
          </w:p>
        </w:tc>
        <w:tc>
          <w:tcPr>
            <w:tcW w:w="2126" w:type="dxa"/>
            <w:tcBorders>
              <w:top w:val="nil"/>
              <w:left w:val="nil"/>
              <w:bottom w:val="single" w:sz="8" w:space="0" w:color="auto"/>
              <w:right w:val="single" w:sz="8" w:space="0" w:color="auto"/>
            </w:tcBorders>
          </w:tcPr>
          <w:p w14:paraId="67062BB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500</w:t>
            </w:r>
          </w:p>
        </w:tc>
        <w:tc>
          <w:tcPr>
            <w:tcW w:w="1701" w:type="dxa"/>
            <w:tcBorders>
              <w:top w:val="nil"/>
              <w:left w:val="nil"/>
              <w:bottom w:val="single" w:sz="8" w:space="0" w:color="auto"/>
              <w:right w:val="single" w:sz="8" w:space="0" w:color="auto"/>
            </w:tcBorders>
          </w:tcPr>
          <w:p w14:paraId="72C8847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118EB9C7"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4E30F52F" w14:textId="77777777" w:rsidTr="00982513">
        <w:trPr>
          <w:trHeight w:val="53"/>
        </w:trPr>
        <w:tc>
          <w:tcPr>
            <w:tcW w:w="2498" w:type="dxa"/>
            <w:tcBorders>
              <w:top w:val="nil"/>
              <w:left w:val="double" w:sz="6" w:space="0" w:color="auto"/>
              <w:bottom w:val="single" w:sz="8" w:space="0" w:color="auto"/>
              <w:right w:val="single" w:sz="8" w:space="0" w:color="auto"/>
            </w:tcBorders>
          </w:tcPr>
          <w:p w14:paraId="7701F49E"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21123C2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219</w:t>
            </w:r>
          </w:p>
        </w:tc>
        <w:tc>
          <w:tcPr>
            <w:tcW w:w="1276" w:type="dxa"/>
            <w:tcBorders>
              <w:top w:val="nil"/>
              <w:left w:val="nil"/>
              <w:bottom w:val="single" w:sz="8" w:space="0" w:color="auto"/>
              <w:right w:val="single" w:sz="8" w:space="0" w:color="auto"/>
            </w:tcBorders>
          </w:tcPr>
          <w:p w14:paraId="539B37AE"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04B3E3E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8.37</w:t>
            </w:r>
          </w:p>
        </w:tc>
        <w:tc>
          <w:tcPr>
            <w:tcW w:w="1276" w:type="dxa"/>
            <w:tcBorders>
              <w:top w:val="nil"/>
              <w:left w:val="nil"/>
              <w:bottom w:val="single" w:sz="8" w:space="0" w:color="auto"/>
              <w:right w:val="single" w:sz="8" w:space="0" w:color="auto"/>
            </w:tcBorders>
          </w:tcPr>
          <w:p w14:paraId="043BF383"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10.3</w:t>
            </w:r>
          </w:p>
        </w:tc>
        <w:tc>
          <w:tcPr>
            <w:tcW w:w="2126" w:type="dxa"/>
            <w:tcBorders>
              <w:top w:val="nil"/>
              <w:left w:val="nil"/>
              <w:bottom w:val="single" w:sz="8" w:space="0" w:color="auto"/>
              <w:right w:val="single" w:sz="8" w:space="0" w:color="auto"/>
            </w:tcBorders>
          </w:tcPr>
          <w:p w14:paraId="0AF9981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250</w:t>
            </w:r>
          </w:p>
        </w:tc>
        <w:tc>
          <w:tcPr>
            <w:tcW w:w="1701" w:type="dxa"/>
            <w:tcBorders>
              <w:top w:val="nil"/>
              <w:left w:val="nil"/>
              <w:bottom w:val="single" w:sz="8" w:space="0" w:color="auto"/>
              <w:right w:val="single" w:sz="8" w:space="0" w:color="auto"/>
            </w:tcBorders>
          </w:tcPr>
          <w:p w14:paraId="244CB0B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2D23B705"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7B8E5383" w14:textId="77777777" w:rsidTr="00982513">
        <w:trPr>
          <w:trHeight w:val="53"/>
        </w:trPr>
        <w:tc>
          <w:tcPr>
            <w:tcW w:w="2498" w:type="dxa"/>
            <w:tcBorders>
              <w:top w:val="nil"/>
              <w:left w:val="double" w:sz="6" w:space="0" w:color="auto"/>
              <w:bottom w:val="single" w:sz="8" w:space="0" w:color="auto"/>
              <w:right w:val="single" w:sz="8" w:space="0" w:color="auto"/>
            </w:tcBorders>
          </w:tcPr>
          <w:p w14:paraId="473AF905"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3C7012B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462</w:t>
            </w:r>
          </w:p>
        </w:tc>
        <w:tc>
          <w:tcPr>
            <w:tcW w:w="1276" w:type="dxa"/>
            <w:tcBorders>
              <w:top w:val="nil"/>
              <w:left w:val="nil"/>
              <w:bottom w:val="single" w:sz="8" w:space="0" w:color="auto"/>
              <w:right w:val="single" w:sz="8" w:space="0" w:color="auto"/>
            </w:tcBorders>
          </w:tcPr>
          <w:p w14:paraId="328A4DB8"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7ED46CD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7.17</w:t>
            </w:r>
          </w:p>
        </w:tc>
        <w:tc>
          <w:tcPr>
            <w:tcW w:w="1276" w:type="dxa"/>
            <w:tcBorders>
              <w:top w:val="nil"/>
              <w:left w:val="nil"/>
              <w:bottom w:val="single" w:sz="8" w:space="0" w:color="auto"/>
              <w:right w:val="single" w:sz="8" w:space="0" w:color="auto"/>
            </w:tcBorders>
          </w:tcPr>
          <w:p w14:paraId="3661AFD5"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18.5</w:t>
            </w:r>
          </w:p>
        </w:tc>
        <w:tc>
          <w:tcPr>
            <w:tcW w:w="2126" w:type="dxa"/>
            <w:tcBorders>
              <w:top w:val="nil"/>
              <w:left w:val="nil"/>
              <w:bottom w:val="single" w:sz="8" w:space="0" w:color="auto"/>
              <w:right w:val="single" w:sz="8" w:space="0" w:color="auto"/>
            </w:tcBorders>
          </w:tcPr>
          <w:p w14:paraId="5CA34BE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250</w:t>
            </w:r>
          </w:p>
        </w:tc>
        <w:tc>
          <w:tcPr>
            <w:tcW w:w="1701" w:type="dxa"/>
            <w:tcBorders>
              <w:top w:val="nil"/>
              <w:left w:val="nil"/>
              <w:bottom w:val="single" w:sz="8" w:space="0" w:color="auto"/>
              <w:right w:val="single" w:sz="8" w:space="0" w:color="auto"/>
            </w:tcBorders>
          </w:tcPr>
          <w:p w14:paraId="7FA4C33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6EE252C5"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0B2A99BB" w14:textId="77777777" w:rsidTr="00982513">
        <w:trPr>
          <w:trHeight w:val="53"/>
        </w:trPr>
        <w:tc>
          <w:tcPr>
            <w:tcW w:w="2498" w:type="dxa"/>
            <w:tcBorders>
              <w:top w:val="nil"/>
              <w:left w:val="double" w:sz="6" w:space="0" w:color="auto"/>
              <w:bottom w:val="single" w:sz="8" w:space="0" w:color="auto"/>
              <w:right w:val="single" w:sz="8" w:space="0" w:color="auto"/>
            </w:tcBorders>
          </w:tcPr>
          <w:p w14:paraId="1E26C3D9"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50342E0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199</w:t>
            </w:r>
          </w:p>
        </w:tc>
        <w:tc>
          <w:tcPr>
            <w:tcW w:w="1276" w:type="dxa"/>
            <w:tcBorders>
              <w:top w:val="nil"/>
              <w:left w:val="nil"/>
              <w:bottom w:val="single" w:sz="8" w:space="0" w:color="auto"/>
              <w:right w:val="single" w:sz="8" w:space="0" w:color="auto"/>
            </w:tcBorders>
          </w:tcPr>
          <w:p w14:paraId="7CD6A658"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51B87C1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6.2</w:t>
            </w:r>
          </w:p>
        </w:tc>
        <w:tc>
          <w:tcPr>
            <w:tcW w:w="1276" w:type="dxa"/>
            <w:tcBorders>
              <w:top w:val="nil"/>
              <w:left w:val="nil"/>
              <w:bottom w:val="single" w:sz="8" w:space="0" w:color="auto"/>
              <w:right w:val="single" w:sz="8" w:space="0" w:color="auto"/>
            </w:tcBorders>
          </w:tcPr>
          <w:p w14:paraId="2D7CB35B"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5.31</w:t>
            </w:r>
          </w:p>
        </w:tc>
        <w:tc>
          <w:tcPr>
            <w:tcW w:w="2126" w:type="dxa"/>
            <w:tcBorders>
              <w:top w:val="nil"/>
              <w:left w:val="nil"/>
              <w:bottom w:val="single" w:sz="8" w:space="0" w:color="auto"/>
              <w:right w:val="single" w:sz="8" w:space="0" w:color="auto"/>
            </w:tcBorders>
          </w:tcPr>
          <w:p w14:paraId="23F9645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100</w:t>
            </w:r>
          </w:p>
        </w:tc>
        <w:tc>
          <w:tcPr>
            <w:tcW w:w="1701" w:type="dxa"/>
            <w:tcBorders>
              <w:top w:val="nil"/>
              <w:left w:val="nil"/>
              <w:bottom w:val="single" w:sz="8" w:space="0" w:color="auto"/>
              <w:right w:val="single" w:sz="8" w:space="0" w:color="auto"/>
            </w:tcBorders>
          </w:tcPr>
          <w:p w14:paraId="318BB6A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57EBC67D"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3436C9B4" w14:textId="77777777" w:rsidTr="00982513">
        <w:trPr>
          <w:trHeight w:val="53"/>
        </w:trPr>
        <w:tc>
          <w:tcPr>
            <w:tcW w:w="2498" w:type="dxa"/>
            <w:tcBorders>
              <w:top w:val="nil"/>
              <w:left w:val="double" w:sz="6" w:space="0" w:color="auto"/>
              <w:bottom w:val="single" w:sz="8" w:space="0" w:color="auto"/>
              <w:right w:val="single" w:sz="8" w:space="0" w:color="auto"/>
            </w:tcBorders>
          </w:tcPr>
          <w:p w14:paraId="7C58591F"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645FF15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811</w:t>
            </w:r>
          </w:p>
        </w:tc>
        <w:tc>
          <w:tcPr>
            <w:tcW w:w="1276" w:type="dxa"/>
            <w:tcBorders>
              <w:top w:val="nil"/>
              <w:left w:val="nil"/>
              <w:bottom w:val="single" w:sz="8" w:space="0" w:color="auto"/>
              <w:right w:val="single" w:sz="8" w:space="0" w:color="auto"/>
            </w:tcBorders>
          </w:tcPr>
          <w:p w14:paraId="4FB9C8C1"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2557788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6.2</w:t>
            </w:r>
          </w:p>
        </w:tc>
        <w:tc>
          <w:tcPr>
            <w:tcW w:w="1276" w:type="dxa"/>
            <w:tcBorders>
              <w:top w:val="nil"/>
              <w:left w:val="nil"/>
              <w:bottom w:val="single" w:sz="8" w:space="0" w:color="auto"/>
              <w:right w:val="single" w:sz="8" w:space="0" w:color="auto"/>
            </w:tcBorders>
          </w:tcPr>
          <w:p w14:paraId="27B74914"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15.6</w:t>
            </w:r>
          </w:p>
        </w:tc>
        <w:tc>
          <w:tcPr>
            <w:tcW w:w="2126" w:type="dxa"/>
            <w:tcBorders>
              <w:top w:val="nil"/>
              <w:left w:val="nil"/>
              <w:bottom w:val="single" w:sz="8" w:space="0" w:color="auto"/>
              <w:right w:val="single" w:sz="8" w:space="0" w:color="auto"/>
            </w:tcBorders>
          </w:tcPr>
          <w:p w14:paraId="3D7B580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100</w:t>
            </w:r>
          </w:p>
        </w:tc>
        <w:tc>
          <w:tcPr>
            <w:tcW w:w="1701" w:type="dxa"/>
            <w:tcBorders>
              <w:top w:val="nil"/>
              <w:left w:val="nil"/>
              <w:bottom w:val="single" w:sz="8" w:space="0" w:color="auto"/>
              <w:right w:val="single" w:sz="8" w:space="0" w:color="auto"/>
            </w:tcBorders>
          </w:tcPr>
          <w:p w14:paraId="3FED2DF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0908DDEF"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5CE55E58" w14:textId="77777777" w:rsidTr="00982513">
        <w:trPr>
          <w:trHeight w:val="53"/>
        </w:trPr>
        <w:tc>
          <w:tcPr>
            <w:tcW w:w="2498" w:type="dxa"/>
            <w:tcBorders>
              <w:top w:val="nil"/>
              <w:left w:val="double" w:sz="6" w:space="0" w:color="auto"/>
              <w:bottom w:val="single" w:sz="8" w:space="0" w:color="auto"/>
              <w:right w:val="single" w:sz="8" w:space="0" w:color="auto"/>
            </w:tcBorders>
          </w:tcPr>
          <w:p w14:paraId="34E4DADA"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4AACBC9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92</w:t>
            </w:r>
          </w:p>
        </w:tc>
        <w:tc>
          <w:tcPr>
            <w:tcW w:w="1276" w:type="dxa"/>
            <w:tcBorders>
              <w:top w:val="nil"/>
              <w:left w:val="nil"/>
              <w:bottom w:val="single" w:sz="8" w:space="0" w:color="auto"/>
              <w:right w:val="single" w:sz="8" w:space="0" w:color="auto"/>
            </w:tcBorders>
          </w:tcPr>
          <w:p w14:paraId="5FCB5C5F"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17A383D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8.07</w:t>
            </w:r>
          </w:p>
        </w:tc>
        <w:tc>
          <w:tcPr>
            <w:tcW w:w="1276" w:type="dxa"/>
            <w:tcBorders>
              <w:top w:val="nil"/>
              <w:left w:val="nil"/>
              <w:bottom w:val="single" w:sz="8" w:space="0" w:color="auto"/>
              <w:right w:val="single" w:sz="8" w:space="0" w:color="auto"/>
            </w:tcBorders>
          </w:tcPr>
          <w:p w14:paraId="770605C7"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5.75</w:t>
            </w:r>
          </w:p>
        </w:tc>
        <w:tc>
          <w:tcPr>
            <w:tcW w:w="2126" w:type="dxa"/>
            <w:tcBorders>
              <w:top w:val="nil"/>
              <w:left w:val="nil"/>
              <w:bottom w:val="single" w:sz="8" w:space="0" w:color="auto"/>
              <w:right w:val="single" w:sz="8" w:space="0" w:color="auto"/>
            </w:tcBorders>
          </w:tcPr>
          <w:p w14:paraId="3D189D5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400</w:t>
            </w:r>
          </w:p>
        </w:tc>
        <w:tc>
          <w:tcPr>
            <w:tcW w:w="1701" w:type="dxa"/>
            <w:tcBorders>
              <w:top w:val="nil"/>
              <w:left w:val="nil"/>
              <w:bottom w:val="single" w:sz="8" w:space="0" w:color="auto"/>
              <w:right w:val="single" w:sz="8" w:space="0" w:color="auto"/>
            </w:tcBorders>
          </w:tcPr>
          <w:p w14:paraId="74595B7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2317A36D"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4FA2366D" w14:textId="77777777" w:rsidTr="00982513">
        <w:trPr>
          <w:trHeight w:val="53"/>
        </w:trPr>
        <w:tc>
          <w:tcPr>
            <w:tcW w:w="2498" w:type="dxa"/>
            <w:tcBorders>
              <w:top w:val="nil"/>
              <w:left w:val="double" w:sz="6" w:space="0" w:color="auto"/>
              <w:bottom w:val="single" w:sz="8" w:space="0" w:color="auto"/>
              <w:right w:val="single" w:sz="8" w:space="0" w:color="auto"/>
            </w:tcBorders>
          </w:tcPr>
          <w:p w14:paraId="6661365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3A6DFE9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35</w:t>
            </w:r>
          </w:p>
        </w:tc>
        <w:tc>
          <w:tcPr>
            <w:tcW w:w="1276" w:type="dxa"/>
            <w:tcBorders>
              <w:top w:val="nil"/>
              <w:left w:val="nil"/>
              <w:bottom w:val="single" w:sz="8" w:space="0" w:color="auto"/>
              <w:right w:val="single" w:sz="8" w:space="0" w:color="auto"/>
            </w:tcBorders>
          </w:tcPr>
          <w:p w14:paraId="28CDE5E4"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7DF9244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7.08</w:t>
            </w:r>
          </w:p>
        </w:tc>
        <w:tc>
          <w:tcPr>
            <w:tcW w:w="1276" w:type="dxa"/>
            <w:tcBorders>
              <w:top w:val="nil"/>
              <w:left w:val="nil"/>
              <w:bottom w:val="single" w:sz="8" w:space="0" w:color="auto"/>
              <w:right w:val="single" w:sz="8" w:space="0" w:color="auto"/>
            </w:tcBorders>
          </w:tcPr>
          <w:p w14:paraId="59F1D0CC"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2.06</w:t>
            </w:r>
          </w:p>
        </w:tc>
        <w:tc>
          <w:tcPr>
            <w:tcW w:w="2126" w:type="dxa"/>
            <w:tcBorders>
              <w:top w:val="nil"/>
              <w:left w:val="nil"/>
              <w:bottom w:val="single" w:sz="8" w:space="0" w:color="auto"/>
              <w:right w:val="single" w:sz="8" w:space="0" w:color="auto"/>
            </w:tcBorders>
          </w:tcPr>
          <w:p w14:paraId="2CE3F8A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250</w:t>
            </w:r>
          </w:p>
        </w:tc>
        <w:tc>
          <w:tcPr>
            <w:tcW w:w="1701" w:type="dxa"/>
            <w:tcBorders>
              <w:top w:val="nil"/>
              <w:left w:val="nil"/>
              <w:bottom w:val="single" w:sz="8" w:space="0" w:color="auto"/>
              <w:right w:val="single" w:sz="8" w:space="0" w:color="auto"/>
            </w:tcBorders>
          </w:tcPr>
          <w:p w14:paraId="40C6F0A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2B0A927B"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30A9A9D4" w14:textId="77777777" w:rsidTr="00982513">
        <w:trPr>
          <w:trHeight w:val="53"/>
        </w:trPr>
        <w:tc>
          <w:tcPr>
            <w:tcW w:w="2498" w:type="dxa"/>
            <w:tcBorders>
              <w:top w:val="nil"/>
              <w:left w:val="double" w:sz="6" w:space="0" w:color="auto"/>
              <w:bottom w:val="single" w:sz="8" w:space="0" w:color="auto"/>
              <w:right w:val="single" w:sz="8" w:space="0" w:color="auto"/>
            </w:tcBorders>
          </w:tcPr>
          <w:p w14:paraId="1D0EC0DA"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lastRenderedPageBreak/>
              <w:t xml:space="preserve">Pseudokirchneriella subcapitata </w:t>
            </w:r>
          </w:p>
        </w:tc>
        <w:tc>
          <w:tcPr>
            <w:tcW w:w="1134" w:type="dxa"/>
            <w:tcBorders>
              <w:top w:val="nil"/>
              <w:left w:val="nil"/>
              <w:bottom w:val="single" w:sz="8" w:space="0" w:color="auto"/>
              <w:right w:val="single" w:sz="8" w:space="0" w:color="auto"/>
            </w:tcBorders>
          </w:tcPr>
          <w:p w14:paraId="5A09291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346</w:t>
            </w:r>
          </w:p>
        </w:tc>
        <w:tc>
          <w:tcPr>
            <w:tcW w:w="1276" w:type="dxa"/>
            <w:tcBorders>
              <w:top w:val="nil"/>
              <w:left w:val="nil"/>
              <w:bottom w:val="single" w:sz="8" w:space="0" w:color="auto"/>
              <w:right w:val="single" w:sz="8" w:space="0" w:color="auto"/>
            </w:tcBorders>
          </w:tcPr>
          <w:p w14:paraId="2C7A0C2E"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61321CB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8.05</w:t>
            </w:r>
          </w:p>
        </w:tc>
        <w:tc>
          <w:tcPr>
            <w:tcW w:w="1276" w:type="dxa"/>
            <w:tcBorders>
              <w:top w:val="nil"/>
              <w:left w:val="nil"/>
              <w:bottom w:val="single" w:sz="8" w:space="0" w:color="auto"/>
              <w:right w:val="single" w:sz="8" w:space="0" w:color="auto"/>
            </w:tcBorders>
          </w:tcPr>
          <w:p w14:paraId="5A84C125"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16.1</w:t>
            </w:r>
          </w:p>
        </w:tc>
        <w:tc>
          <w:tcPr>
            <w:tcW w:w="2126" w:type="dxa"/>
            <w:tcBorders>
              <w:top w:val="nil"/>
              <w:left w:val="nil"/>
              <w:bottom w:val="single" w:sz="8" w:space="0" w:color="auto"/>
              <w:right w:val="single" w:sz="8" w:space="0" w:color="auto"/>
            </w:tcBorders>
          </w:tcPr>
          <w:p w14:paraId="31F27D6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400</w:t>
            </w:r>
          </w:p>
        </w:tc>
        <w:tc>
          <w:tcPr>
            <w:tcW w:w="1701" w:type="dxa"/>
            <w:tcBorders>
              <w:top w:val="nil"/>
              <w:left w:val="nil"/>
              <w:bottom w:val="single" w:sz="8" w:space="0" w:color="auto"/>
              <w:right w:val="single" w:sz="8" w:space="0" w:color="auto"/>
            </w:tcBorders>
          </w:tcPr>
          <w:p w14:paraId="3EC1FE3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33431C83"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6526B4C1" w14:textId="77777777" w:rsidTr="00982513">
        <w:trPr>
          <w:trHeight w:val="53"/>
        </w:trPr>
        <w:tc>
          <w:tcPr>
            <w:tcW w:w="2498" w:type="dxa"/>
            <w:tcBorders>
              <w:top w:val="nil"/>
              <w:left w:val="double" w:sz="6" w:space="0" w:color="auto"/>
              <w:bottom w:val="single" w:sz="8" w:space="0" w:color="auto"/>
              <w:right w:val="single" w:sz="8" w:space="0" w:color="auto"/>
            </w:tcBorders>
          </w:tcPr>
          <w:p w14:paraId="77E4F47E"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258474B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178</w:t>
            </w:r>
          </w:p>
        </w:tc>
        <w:tc>
          <w:tcPr>
            <w:tcW w:w="1276" w:type="dxa"/>
            <w:tcBorders>
              <w:top w:val="nil"/>
              <w:left w:val="nil"/>
              <w:bottom w:val="single" w:sz="8" w:space="0" w:color="auto"/>
              <w:right w:val="single" w:sz="8" w:space="0" w:color="auto"/>
            </w:tcBorders>
          </w:tcPr>
          <w:p w14:paraId="657F774F"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66110D2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7.09</w:t>
            </w:r>
          </w:p>
        </w:tc>
        <w:tc>
          <w:tcPr>
            <w:tcW w:w="1276" w:type="dxa"/>
            <w:tcBorders>
              <w:top w:val="nil"/>
              <w:left w:val="nil"/>
              <w:bottom w:val="single" w:sz="8" w:space="0" w:color="auto"/>
              <w:right w:val="single" w:sz="8" w:space="0" w:color="auto"/>
            </w:tcBorders>
          </w:tcPr>
          <w:p w14:paraId="373384BD"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11.1</w:t>
            </w:r>
          </w:p>
        </w:tc>
        <w:tc>
          <w:tcPr>
            <w:tcW w:w="2126" w:type="dxa"/>
            <w:tcBorders>
              <w:top w:val="nil"/>
              <w:left w:val="nil"/>
              <w:bottom w:val="single" w:sz="8" w:space="0" w:color="auto"/>
              <w:right w:val="single" w:sz="8" w:space="0" w:color="auto"/>
            </w:tcBorders>
          </w:tcPr>
          <w:p w14:paraId="4E78172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250</w:t>
            </w:r>
          </w:p>
        </w:tc>
        <w:tc>
          <w:tcPr>
            <w:tcW w:w="1701" w:type="dxa"/>
            <w:tcBorders>
              <w:top w:val="nil"/>
              <w:left w:val="nil"/>
              <w:bottom w:val="single" w:sz="8" w:space="0" w:color="auto"/>
              <w:right w:val="single" w:sz="8" w:space="0" w:color="auto"/>
            </w:tcBorders>
          </w:tcPr>
          <w:p w14:paraId="701C505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0942DD0B"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7D7E0629" w14:textId="77777777" w:rsidTr="00982513">
        <w:trPr>
          <w:trHeight w:val="53"/>
        </w:trPr>
        <w:tc>
          <w:tcPr>
            <w:tcW w:w="2498" w:type="dxa"/>
            <w:tcBorders>
              <w:top w:val="nil"/>
              <w:left w:val="double" w:sz="6" w:space="0" w:color="auto"/>
              <w:bottom w:val="single" w:sz="8" w:space="0" w:color="auto"/>
              <w:right w:val="single" w:sz="8" w:space="0" w:color="auto"/>
            </w:tcBorders>
          </w:tcPr>
          <w:p w14:paraId="18F12E1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7781603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281</w:t>
            </w:r>
          </w:p>
        </w:tc>
        <w:tc>
          <w:tcPr>
            <w:tcW w:w="1276" w:type="dxa"/>
            <w:tcBorders>
              <w:top w:val="nil"/>
              <w:left w:val="nil"/>
              <w:bottom w:val="single" w:sz="8" w:space="0" w:color="auto"/>
              <w:right w:val="single" w:sz="8" w:space="0" w:color="auto"/>
            </w:tcBorders>
          </w:tcPr>
          <w:p w14:paraId="39546170"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752AE88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7.12</w:t>
            </w:r>
          </w:p>
        </w:tc>
        <w:tc>
          <w:tcPr>
            <w:tcW w:w="1276" w:type="dxa"/>
            <w:tcBorders>
              <w:top w:val="nil"/>
              <w:left w:val="nil"/>
              <w:bottom w:val="single" w:sz="8" w:space="0" w:color="auto"/>
              <w:right w:val="single" w:sz="8" w:space="0" w:color="auto"/>
            </w:tcBorders>
          </w:tcPr>
          <w:p w14:paraId="0A270033"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10.5</w:t>
            </w:r>
          </w:p>
        </w:tc>
        <w:tc>
          <w:tcPr>
            <w:tcW w:w="2126" w:type="dxa"/>
            <w:tcBorders>
              <w:top w:val="nil"/>
              <w:left w:val="nil"/>
              <w:bottom w:val="single" w:sz="8" w:space="0" w:color="auto"/>
              <w:right w:val="single" w:sz="8" w:space="0" w:color="auto"/>
            </w:tcBorders>
          </w:tcPr>
          <w:p w14:paraId="153F5BE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500</w:t>
            </w:r>
          </w:p>
        </w:tc>
        <w:tc>
          <w:tcPr>
            <w:tcW w:w="1701" w:type="dxa"/>
            <w:tcBorders>
              <w:top w:val="nil"/>
              <w:left w:val="nil"/>
              <w:bottom w:val="single" w:sz="8" w:space="0" w:color="auto"/>
              <w:right w:val="single" w:sz="8" w:space="0" w:color="auto"/>
            </w:tcBorders>
          </w:tcPr>
          <w:p w14:paraId="3AB5695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5C95E4F9"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5620EA5E" w14:textId="77777777" w:rsidTr="00982513">
        <w:trPr>
          <w:trHeight w:val="53"/>
        </w:trPr>
        <w:tc>
          <w:tcPr>
            <w:tcW w:w="2498" w:type="dxa"/>
            <w:tcBorders>
              <w:top w:val="nil"/>
              <w:left w:val="double" w:sz="6" w:space="0" w:color="auto"/>
              <w:bottom w:val="single" w:sz="8" w:space="0" w:color="auto"/>
              <w:right w:val="single" w:sz="8" w:space="0" w:color="auto"/>
            </w:tcBorders>
          </w:tcPr>
          <w:p w14:paraId="66BF4DB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5414C12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161</w:t>
            </w:r>
          </w:p>
        </w:tc>
        <w:tc>
          <w:tcPr>
            <w:tcW w:w="1276" w:type="dxa"/>
            <w:tcBorders>
              <w:top w:val="nil"/>
              <w:left w:val="nil"/>
              <w:bottom w:val="single" w:sz="8" w:space="0" w:color="auto"/>
              <w:right w:val="single" w:sz="8" w:space="0" w:color="auto"/>
            </w:tcBorders>
          </w:tcPr>
          <w:p w14:paraId="3B42583F"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7B403E6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8.25</w:t>
            </w:r>
          </w:p>
        </w:tc>
        <w:tc>
          <w:tcPr>
            <w:tcW w:w="1276" w:type="dxa"/>
            <w:tcBorders>
              <w:top w:val="nil"/>
              <w:left w:val="nil"/>
              <w:bottom w:val="single" w:sz="8" w:space="0" w:color="auto"/>
              <w:right w:val="single" w:sz="8" w:space="0" w:color="auto"/>
            </w:tcBorders>
          </w:tcPr>
          <w:p w14:paraId="6AA5F2BE"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10.3</w:t>
            </w:r>
          </w:p>
        </w:tc>
        <w:tc>
          <w:tcPr>
            <w:tcW w:w="2126" w:type="dxa"/>
            <w:tcBorders>
              <w:top w:val="nil"/>
              <w:left w:val="nil"/>
              <w:bottom w:val="single" w:sz="8" w:space="0" w:color="auto"/>
              <w:right w:val="single" w:sz="8" w:space="0" w:color="auto"/>
            </w:tcBorders>
          </w:tcPr>
          <w:p w14:paraId="7B5E454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250</w:t>
            </w:r>
          </w:p>
        </w:tc>
        <w:tc>
          <w:tcPr>
            <w:tcW w:w="1701" w:type="dxa"/>
            <w:tcBorders>
              <w:top w:val="nil"/>
              <w:left w:val="nil"/>
              <w:bottom w:val="single" w:sz="8" w:space="0" w:color="auto"/>
              <w:right w:val="single" w:sz="8" w:space="0" w:color="auto"/>
            </w:tcBorders>
          </w:tcPr>
          <w:p w14:paraId="6A93AD7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3E72D34C"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5F3D854A" w14:textId="77777777" w:rsidTr="00982513">
        <w:trPr>
          <w:trHeight w:val="53"/>
        </w:trPr>
        <w:tc>
          <w:tcPr>
            <w:tcW w:w="2498" w:type="dxa"/>
            <w:tcBorders>
              <w:top w:val="nil"/>
              <w:left w:val="double" w:sz="6" w:space="0" w:color="auto"/>
              <w:bottom w:val="single" w:sz="4" w:space="0" w:color="auto"/>
              <w:right w:val="single" w:sz="8" w:space="0" w:color="auto"/>
            </w:tcBorders>
          </w:tcPr>
          <w:p w14:paraId="47CBF73B"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4" w:space="0" w:color="auto"/>
              <w:right w:val="single" w:sz="8" w:space="0" w:color="auto"/>
            </w:tcBorders>
          </w:tcPr>
          <w:p w14:paraId="76D87F8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685</w:t>
            </w:r>
          </w:p>
        </w:tc>
        <w:tc>
          <w:tcPr>
            <w:tcW w:w="1276" w:type="dxa"/>
            <w:tcBorders>
              <w:top w:val="nil"/>
              <w:left w:val="nil"/>
              <w:bottom w:val="single" w:sz="4" w:space="0" w:color="auto"/>
              <w:right w:val="single" w:sz="8" w:space="0" w:color="auto"/>
            </w:tcBorders>
          </w:tcPr>
          <w:p w14:paraId="6AA149DD"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4" w:space="0" w:color="auto"/>
              <w:right w:val="single" w:sz="8" w:space="0" w:color="auto"/>
            </w:tcBorders>
          </w:tcPr>
          <w:p w14:paraId="489B8BC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7.11</w:t>
            </w:r>
          </w:p>
        </w:tc>
        <w:tc>
          <w:tcPr>
            <w:tcW w:w="1276" w:type="dxa"/>
            <w:tcBorders>
              <w:top w:val="nil"/>
              <w:left w:val="nil"/>
              <w:bottom w:val="single" w:sz="4" w:space="0" w:color="auto"/>
              <w:right w:val="single" w:sz="8" w:space="0" w:color="auto"/>
            </w:tcBorders>
          </w:tcPr>
          <w:p w14:paraId="124F6CF4"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19.9</w:t>
            </w:r>
          </w:p>
        </w:tc>
        <w:tc>
          <w:tcPr>
            <w:tcW w:w="2126" w:type="dxa"/>
            <w:tcBorders>
              <w:top w:val="nil"/>
              <w:left w:val="nil"/>
              <w:bottom w:val="single" w:sz="4" w:space="0" w:color="auto"/>
              <w:right w:val="single" w:sz="8" w:space="0" w:color="auto"/>
            </w:tcBorders>
          </w:tcPr>
          <w:p w14:paraId="0C137D9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250</w:t>
            </w:r>
          </w:p>
        </w:tc>
        <w:tc>
          <w:tcPr>
            <w:tcW w:w="1701" w:type="dxa"/>
            <w:tcBorders>
              <w:top w:val="nil"/>
              <w:left w:val="nil"/>
              <w:bottom w:val="single" w:sz="4" w:space="0" w:color="auto"/>
              <w:right w:val="single" w:sz="8" w:space="0" w:color="auto"/>
            </w:tcBorders>
          </w:tcPr>
          <w:p w14:paraId="62C514F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4" w:space="0" w:color="auto"/>
              <w:right w:val="double" w:sz="6" w:space="0" w:color="auto"/>
            </w:tcBorders>
          </w:tcPr>
          <w:p w14:paraId="3DC23A25"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4600F2A4" w14:textId="77777777" w:rsidTr="00982513">
        <w:trPr>
          <w:trHeight w:val="53"/>
        </w:trPr>
        <w:tc>
          <w:tcPr>
            <w:tcW w:w="2498" w:type="dxa"/>
            <w:tcBorders>
              <w:top w:val="single" w:sz="4" w:space="0" w:color="auto"/>
              <w:left w:val="double" w:sz="6" w:space="0" w:color="auto"/>
              <w:bottom w:val="single" w:sz="8" w:space="0" w:color="auto"/>
              <w:right w:val="single" w:sz="8" w:space="0" w:color="auto"/>
            </w:tcBorders>
          </w:tcPr>
          <w:p w14:paraId="562F5EA5"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single" w:sz="4" w:space="0" w:color="auto"/>
              <w:left w:val="nil"/>
              <w:bottom w:val="single" w:sz="8" w:space="0" w:color="auto"/>
              <w:right w:val="single" w:sz="8" w:space="0" w:color="auto"/>
            </w:tcBorders>
          </w:tcPr>
          <w:p w14:paraId="724EB5F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122</w:t>
            </w:r>
          </w:p>
        </w:tc>
        <w:tc>
          <w:tcPr>
            <w:tcW w:w="1276" w:type="dxa"/>
            <w:tcBorders>
              <w:top w:val="single" w:sz="4" w:space="0" w:color="auto"/>
              <w:left w:val="nil"/>
              <w:bottom w:val="single" w:sz="8" w:space="0" w:color="auto"/>
              <w:right w:val="single" w:sz="8" w:space="0" w:color="auto"/>
            </w:tcBorders>
          </w:tcPr>
          <w:p w14:paraId="50A765EC" w14:textId="77777777" w:rsidR="00632208" w:rsidRPr="0098635C" w:rsidRDefault="00632208" w:rsidP="00A432B0">
            <w:pPr>
              <w:spacing w:after="0"/>
              <w:jc w:val="center"/>
              <w:rPr>
                <w:color w:val="000000" w:themeColor="text1"/>
                <w:sz w:val="20"/>
                <w:szCs w:val="20"/>
              </w:rPr>
            </w:pPr>
          </w:p>
        </w:tc>
        <w:tc>
          <w:tcPr>
            <w:tcW w:w="1417" w:type="dxa"/>
            <w:tcBorders>
              <w:top w:val="single" w:sz="4" w:space="0" w:color="auto"/>
              <w:left w:val="nil"/>
              <w:bottom w:val="single" w:sz="8" w:space="0" w:color="auto"/>
              <w:right w:val="single" w:sz="8" w:space="0" w:color="auto"/>
            </w:tcBorders>
          </w:tcPr>
          <w:p w14:paraId="40FDFA8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6.18</w:t>
            </w:r>
          </w:p>
        </w:tc>
        <w:tc>
          <w:tcPr>
            <w:tcW w:w="1276" w:type="dxa"/>
            <w:tcBorders>
              <w:top w:val="single" w:sz="4" w:space="0" w:color="auto"/>
              <w:left w:val="nil"/>
              <w:bottom w:val="single" w:sz="8" w:space="0" w:color="auto"/>
              <w:right w:val="single" w:sz="8" w:space="0" w:color="auto"/>
            </w:tcBorders>
          </w:tcPr>
          <w:p w14:paraId="6A820209"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5.07</w:t>
            </w:r>
          </w:p>
        </w:tc>
        <w:tc>
          <w:tcPr>
            <w:tcW w:w="2126" w:type="dxa"/>
            <w:tcBorders>
              <w:top w:val="single" w:sz="4" w:space="0" w:color="auto"/>
              <w:left w:val="nil"/>
              <w:bottom w:val="single" w:sz="8" w:space="0" w:color="auto"/>
              <w:right w:val="single" w:sz="8" w:space="0" w:color="auto"/>
            </w:tcBorders>
          </w:tcPr>
          <w:p w14:paraId="1894F50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100</w:t>
            </w:r>
          </w:p>
        </w:tc>
        <w:tc>
          <w:tcPr>
            <w:tcW w:w="1701" w:type="dxa"/>
            <w:tcBorders>
              <w:top w:val="single" w:sz="4" w:space="0" w:color="auto"/>
              <w:left w:val="nil"/>
              <w:bottom w:val="single" w:sz="8" w:space="0" w:color="auto"/>
              <w:right w:val="single" w:sz="8" w:space="0" w:color="auto"/>
            </w:tcBorders>
          </w:tcPr>
          <w:p w14:paraId="2589CF2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8" w:space="0" w:color="auto"/>
              <w:right w:val="double" w:sz="6" w:space="0" w:color="auto"/>
            </w:tcBorders>
          </w:tcPr>
          <w:p w14:paraId="32DC3C45"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67ADDEEB" w14:textId="77777777" w:rsidTr="00982513">
        <w:trPr>
          <w:trHeight w:val="53"/>
        </w:trPr>
        <w:tc>
          <w:tcPr>
            <w:tcW w:w="2498" w:type="dxa"/>
            <w:tcBorders>
              <w:top w:val="nil"/>
              <w:left w:val="double" w:sz="6" w:space="0" w:color="auto"/>
              <w:bottom w:val="single" w:sz="8" w:space="0" w:color="auto"/>
              <w:right w:val="single" w:sz="8" w:space="0" w:color="auto"/>
            </w:tcBorders>
          </w:tcPr>
          <w:p w14:paraId="2D6953A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3CBBBC0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368</w:t>
            </w:r>
          </w:p>
        </w:tc>
        <w:tc>
          <w:tcPr>
            <w:tcW w:w="1276" w:type="dxa"/>
            <w:tcBorders>
              <w:top w:val="nil"/>
              <w:left w:val="nil"/>
              <w:bottom w:val="single" w:sz="8" w:space="0" w:color="auto"/>
              <w:right w:val="single" w:sz="8" w:space="0" w:color="auto"/>
            </w:tcBorders>
          </w:tcPr>
          <w:p w14:paraId="0928805B"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71D0DE8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6.17</w:t>
            </w:r>
          </w:p>
        </w:tc>
        <w:tc>
          <w:tcPr>
            <w:tcW w:w="1276" w:type="dxa"/>
            <w:tcBorders>
              <w:top w:val="nil"/>
              <w:left w:val="nil"/>
              <w:bottom w:val="single" w:sz="8" w:space="0" w:color="auto"/>
              <w:right w:val="single" w:sz="8" w:space="0" w:color="auto"/>
            </w:tcBorders>
          </w:tcPr>
          <w:p w14:paraId="74F6A99A"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14.9</w:t>
            </w:r>
          </w:p>
        </w:tc>
        <w:tc>
          <w:tcPr>
            <w:tcW w:w="2126" w:type="dxa"/>
            <w:tcBorders>
              <w:top w:val="nil"/>
              <w:left w:val="nil"/>
              <w:bottom w:val="single" w:sz="8" w:space="0" w:color="auto"/>
              <w:right w:val="single" w:sz="8" w:space="0" w:color="auto"/>
            </w:tcBorders>
          </w:tcPr>
          <w:p w14:paraId="35D565D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100</w:t>
            </w:r>
          </w:p>
        </w:tc>
        <w:tc>
          <w:tcPr>
            <w:tcW w:w="1701" w:type="dxa"/>
            <w:tcBorders>
              <w:top w:val="nil"/>
              <w:left w:val="nil"/>
              <w:bottom w:val="single" w:sz="8" w:space="0" w:color="auto"/>
              <w:right w:val="single" w:sz="8" w:space="0" w:color="auto"/>
            </w:tcBorders>
          </w:tcPr>
          <w:p w14:paraId="56AFD9E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3347E1CA"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65E0759F" w14:textId="77777777" w:rsidTr="00982513">
        <w:trPr>
          <w:trHeight w:val="53"/>
        </w:trPr>
        <w:tc>
          <w:tcPr>
            <w:tcW w:w="2498" w:type="dxa"/>
            <w:tcBorders>
              <w:top w:val="nil"/>
              <w:left w:val="double" w:sz="6" w:space="0" w:color="auto"/>
              <w:bottom w:val="single" w:sz="8" w:space="0" w:color="auto"/>
              <w:right w:val="single" w:sz="8" w:space="0" w:color="auto"/>
            </w:tcBorders>
          </w:tcPr>
          <w:p w14:paraId="144DC3BA"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065A6EB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51</w:t>
            </w:r>
          </w:p>
        </w:tc>
        <w:tc>
          <w:tcPr>
            <w:tcW w:w="1276" w:type="dxa"/>
            <w:tcBorders>
              <w:top w:val="nil"/>
              <w:left w:val="nil"/>
              <w:bottom w:val="single" w:sz="8" w:space="0" w:color="auto"/>
              <w:right w:val="single" w:sz="8" w:space="0" w:color="auto"/>
            </w:tcBorders>
          </w:tcPr>
          <w:p w14:paraId="56555803"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231E518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7.92</w:t>
            </w:r>
          </w:p>
        </w:tc>
        <w:tc>
          <w:tcPr>
            <w:tcW w:w="1276" w:type="dxa"/>
            <w:tcBorders>
              <w:top w:val="nil"/>
              <w:left w:val="nil"/>
              <w:bottom w:val="single" w:sz="8" w:space="0" w:color="auto"/>
              <w:right w:val="single" w:sz="8" w:space="0" w:color="auto"/>
            </w:tcBorders>
          </w:tcPr>
          <w:p w14:paraId="5D2A1A68"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5.46</w:t>
            </w:r>
          </w:p>
        </w:tc>
        <w:tc>
          <w:tcPr>
            <w:tcW w:w="2126" w:type="dxa"/>
            <w:tcBorders>
              <w:top w:val="nil"/>
              <w:left w:val="nil"/>
              <w:bottom w:val="single" w:sz="8" w:space="0" w:color="auto"/>
              <w:right w:val="single" w:sz="8" w:space="0" w:color="auto"/>
            </w:tcBorders>
          </w:tcPr>
          <w:p w14:paraId="3343DF6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400</w:t>
            </w:r>
          </w:p>
        </w:tc>
        <w:tc>
          <w:tcPr>
            <w:tcW w:w="1701" w:type="dxa"/>
            <w:tcBorders>
              <w:top w:val="nil"/>
              <w:left w:val="nil"/>
              <w:bottom w:val="single" w:sz="8" w:space="0" w:color="auto"/>
              <w:right w:val="single" w:sz="8" w:space="0" w:color="auto"/>
            </w:tcBorders>
          </w:tcPr>
          <w:p w14:paraId="4DDD265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3813ACFF"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19570F74" w14:textId="77777777" w:rsidTr="00982513">
        <w:trPr>
          <w:trHeight w:val="53"/>
        </w:trPr>
        <w:tc>
          <w:tcPr>
            <w:tcW w:w="2498" w:type="dxa"/>
            <w:tcBorders>
              <w:top w:val="nil"/>
              <w:left w:val="double" w:sz="6" w:space="0" w:color="auto"/>
              <w:bottom w:val="single" w:sz="8" w:space="0" w:color="auto"/>
              <w:right w:val="single" w:sz="8" w:space="0" w:color="auto"/>
            </w:tcBorders>
          </w:tcPr>
          <w:p w14:paraId="6F0D3D6F"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69FAC20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30</w:t>
            </w:r>
          </w:p>
        </w:tc>
        <w:tc>
          <w:tcPr>
            <w:tcW w:w="1276" w:type="dxa"/>
            <w:tcBorders>
              <w:top w:val="nil"/>
              <w:left w:val="nil"/>
              <w:bottom w:val="single" w:sz="8" w:space="0" w:color="auto"/>
              <w:right w:val="single" w:sz="8" w:space="0" w:color="auto"/>
            </w:tcBorders>
          </w:tcPr>
          <w:p w14:paraId="53F1BC23"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7BCB7CC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7.02</w:t>
            </w:r>
          </w:p>
        </w:tc>
        <w:tc>
          <w:tcPr>
            <w:tcW w:w="1276" w:type="dxa"/>
            <w:tcBorders>
              <w:top w:val="nil"/>
              <w:left w:val="nil"/>
              <w:bottom w:val="single" w:sz="8" w:space="0" w:color="auto"/>
              <w:right w:val="single" w:sz="8" w:space="0" w:color="auto"/>
            </w:tcBorders>
          </w:tcPr>
          <w:p w14:paraId="487DE37C"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1.95</w:t>
            </w:r>
          </w:p>
        </w:tc>
        <w:tc>
          <w:tcPr>
            <w:tcW w:w="2126" w:type="dxa"/>
            <w:tcBorders>
              <w:top w:val="nil"/>
              <w:left w:val="nil"/>
              <w:bottom w:val="single" w:sz="8" w:space="0" w:color="auto"/>
              <w:right w:val="single" w:sz="8" w:space="0" w:color="auto"/>
            </w:tcBorders>
          </w:tcPr>
          <w:p w14:paraId="208CF12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250</w:t>
            </w:r>
          </w:p>
        </w:tc>
        <w:tc>
          <w:tcPr>
            <w:tcW w:w="1701" w:type="dxa"/>
            <w:tcBorders>
              <w:top w:val="nil"/>
              <w:left w:val="nil"/>
              <w:bottom w:val="single" w:sz="8" w:space="0" w:color="auto"/>
              <w:right w:val="single" w:sz="8" w:space="0" w:color="auto"/>
            </w:tcBorders>
          </w:tcPr>
          <w:p w14:paraId="5A0B33B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7ACCAEB3"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00DEF58B" w14:textId="77777777" w:rsidTr="00982513">
        <w:trPr>
          <w:trHeight w:val="53"/>
        </w:trPr>
        <w:tc>
          <w:tcPr>
            <w:tcW w:w="2498" w:type="dxa"/>
            <w:tcBorders>
              <w:top w:val="nil"/>
              <w:left w:val="double" w:sz="6" w:space="0" w:color="auto"/>
              <w:bottom w:val="single" w:sz="8" w:space="0" w:color="auto"/>
              <w:right w:val="single" w:sz="8" w:space="0" w:color="auto"/>
            </w:tcBorders>
          </w:tcPr>
          <w:p w14:paraId="3BF88386"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47DA6FD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151</w:t>
            </w:r>
          </w:p>
        </w:tc>
        <w:tc>
          <w:tcPr>
            <w:tcW w:w="1276" w:type="dxa"/>
            <w:tcBorders>
              <w:top w:val="nil"/>
              <w:left w:val="nil"/>
              <w:bottom w:val="single" w:sz="8" w:space="0" w:color="auto"/>
              <w:right w:val="single" w:sz="8" w:space="0" w:color="auto"/>
            </w:tcBorders>
          </w:tcPr>
          <w:p w14:paraId="2202565E"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4EB808E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7.78</w:t>
            </w:r>
          </w:p>
        </w:tc>
        <w:tc>
          <w:tcPr>
            <w:tcW w:w="1276" w:type="dxa"/>
            <w:tcBorders>
              <w:top w:val="nil"/>
              <w:left w:val="nil"/>
              <w:bottom w:val="single" w:sz="8" w:space="0" w:color="auto"/>
              <w:right w:val="single" w:sz="8" w:space="0" w:color="auto"/>
            </w:tcBorders>
          </w:tcPr>
          <w:p w14:paraId="053A349A"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15.2</w:t>
            </w:r>
          </w:p>
        </w:tc>
        <w:tc>
          <w:tcPr>
            <w:tcW w:w="2126" w:type="dxa"/>
            <w:tcBorders>
              <w:top w:val="nil"/>
              <w:left w:val="nil"/>
              <w:bottom w:val="single" w:sz="8" w:space="0" w:color="auto"/>
              <w:right w:val="single" w:sz="8" w:space="0" w:color="auto"/>
            </w:tcBorders>
          </w:tcPr>
          <w:p w14:paraId="2500B1A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400</w:t>
            </w:r>
          </w:p>
        </w:tc>
        <w:tc>
          <w:tcPr>
            <w:tcW w:w="1701" w:type="dxa"/>
            <w:tcBorders>
              <w:top w:val="nil"/>
              <w:left w:val="nil"/>
              <w:bottom w:val="single" w:sz="8" w:space="0" w:color="auto"/>
              <w:right w:val="single" w:sz="8" w:space="0" w:color="auto"/>
            </w:tcBorders>
          </w:tcPr>
          <w:p w14:paraId="26ABB52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24523599"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3C88FCDC" w14:textId="77777777" w:rsidTr="00982513">
        <w:trPr>
          <w:trHeight w:val="53"/>
        </w:trPr>
        <w:tc>
          <w:tcPr>
            <w:tcW w:w="2498" w:type="dxa"/>
            <w:tcBorders>
              <w:top w:val="nil"/>
              <w:left w:val="double" w:sz="6" w:space="0" w:color="auto"/>
              <w:bottom w:val="single" w:sz="8" w:space="0" w:color="auto"/>
              <w:right w:val="single" w:sz="8" w:space="0" w:color="auto"/>
            </w:tcBorders>
          </w:tcPr>
          <w:p w14:paraId="047E898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056DA93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99</w:t>
            </w:r>
          </w:p>
        </w:tc>
        <w:tc>
          <w:tcPr>
            <w:tcW w:w="1276" w:type="dxa"/>
            <w:tcBorders>
              <w:top w:val="nil"/>
              <w:left w:val="nil"/>
              <w:bottom w:val="single" w:sz="8" w:space="0" w:color="auto"/>
              <w:right w:val="single" w:sz="8" w:space="0" w:color="auto"/>
            </w:tcBorders>
          </w:tcPr>
          <w:p w14:paraId="5B01DE1C"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71B2B00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7.04</w:t>
            </w:r>
          </w:p>
        </w:tc>
        <w:tc>
          <w:tcPr>
            <w:tcW w:w="1276" w:type="dxa"/>
            <w:tcBorders>
              <w:top w:val="nil"/>
              <w:left w:val="nil"/>
              <w:bottom w:val="single" w:sz="8" w:space="0" w:color="auto"/>
              <w:right w:val="single" w:sz="8" w:space="0" w:color="auto"/>
            </w:tcBorders>
          </w:tcPr>
          <w:p w14:paraId="6F184C2B"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10.1</w:t>
            </w:r>
          </w:p>
        </w:tc>
        <w:tc>
          <w:tcPr>
            <w:tcW w:w="2126" w:type="dxa"/>
            <w:tcBorders>
              <w:top w:val="nil"/>
              <w:left w:val="nil"/>
              <w:bottom w:val="single" w:sz="8" w:space="0" w:color="auto"/>
              <w:right w:val="single" w:sz="8" w:space="0" w:color="auto"/>
            </w:tcBorders>
          </w:tcPr>
          <w:p w14:paraId="122EF40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250</w:t>
            </w:r>
          </w:p>
        </w:tc>
        <w:tc>
          <w:tcPr>
            <w:tcW w:w="1701" w:type="dxa"/>
            <w:tcBorders>
              <w:top w:val="nil"/>
              <w:left w:val="nil"/>
              <w:bottom w:val="single" w:sz="8" w:space="0" w:color="auto"/>
              <w:right w:val="single" w:sz="8" w:space="0" w:color="auto"/>
            </w:tcBorders>
          </w:tcPr>
          <w:p w14:paraId="2E5555E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1ACCC407"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75A2B646" w14:textId="77777777" w:rsidTr="00982513">
        <w:trPr>
          <w:trHeight w:val="53"/>
        </w:trPr>
        <w:tc>
          <w:tcPr>
            <w:tcW w:w="2498" w:type="dxa"/>
            <w:tcBorders>
              <w:top w:val="nil"/>
              <w:left w:val="double" w:sz="6" w:space="0" w:color="auto"/>
              <w:bottom w:val="single" w:sz="8" w:space="0" w:color="auto"/>
              <w:right w:val="single" w:sz="8" w:space="0" w:color="auto"/>
            </w:tcBorders>
          </w:tcPr>
          <w:p w14:paraId="6E59663A"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76B3A4E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105</w:t>
            </w:r>
          </w:p>
        </w:tc>
        <w:tc>
          <w:tcPr>
            <w:tcW w:w="1276" w:type="dxa"/>
            <w:tcBorders>
              <w:top w:val="nil"/>
              <w:left w:val="nil"/>
              <w:bottom w:val="single" w:sz="8" w:space="0" w:color="auto"/>
              <w:right w:val="single" w:sz="8" w:space="0" w:color="auto"/>
            </w:tcBorders>
          </w:tcPr>
          <w:p w14:paraId="64C9DFB2"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2F97AF4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7.02</w:t>
            </w:r>
          </w:p>
        </w:tc>
        <w:tc>
          <w:tcPr>
            <w:tcW w:w="1276" w:type="dxa"/>
            <w:tcBorders>
              <w:top w:val="nil"/>
              <w:left w:val="nil"/>
              <w:bottom w:val="single" w:sz="8" w:space="0" w:color="auto"/>
              <w:right w:val="single" w:sz="8" w:space="0" w:color="auto"/>
            </w:tcBorders>
          </w:tcPr>
          <w:p w14:paraId="692BAA5A"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10.4</w:t>
            </w:r>
          </w:p>
        </w:tc>
        <w:tc>
          <w:tcPr>
            <w:tcW w:w="2126" w:type="dxa"/>
            <w:tcBorders>
              <w:top w:val="nil"/>
              <w:left w:val="nil"/>
              <w:bottom w:val="single" w:sz="8" w:space="0" w:color="auto"/>
              <w:right w:val="single" w:sz="8" w:space="0" w:color="auto"/>
            </w:tcBorders>
          </w:tcPr>
          <w:p w14:paraId="4B33390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500</w:t>
            </w:r>
          </w:p>
        </w:tc>
        <w:tc>
          <w:tcPr>
            <w:tcW w:w="1701" w:type="dxa"/>
            <w:tcBorders>
              <w:top w:val="nil"/>
              <w:left w:val="nil"/>
              <w:bottom w:val="single" w:sz="8" w:space="0" w:color="auto"/>
              <w:right w:val="single" w:sz="8" w:space="0" w:color="auto"/>
            </w:tcBorders>
          </w:tcPr>
          <w:p w14:paraId="0720995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08A679FE"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23539BD1" w14:textId="77777777" w:rsidTr="00982513">
        <w:trPr>
          <w:trHeight w:val="53"/>
        </w:trPr>
        <w:tc>
          <w:tcPr>
            <w:tcW w:w="2498" w:type="dxa"/>
            <w:tcBorders>
              <w:top w:val="nil"/>
              <w:left w:val="double" w:sz="6" w:space="0" w:color="auto"/>
              <w:bottom w:val="single" w:sz="8" w:space="0" w:color="auto"/>
              <w:right w:val="single" w:sz="8" w:space="0" w:color="auto"/>
            </w:tcBorders>
          </w:tcPr>
          <w:p w14:paraId="7E3793B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3529B54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55</w:t>
            </w:r>
          </w:p>
        </w:tc>
        <w:tc>
          <w:tcPr>
            <w:tcW w:w="1276" w:type="dxa"/>
            <w:tcBorders>
              <w:top w:val="nil"/>
              <w:left w:val="nil"/>
              <w:bottom w:val="single" w:sz="8" w:space="0" w:color="auto"/>
              <w:right w:val="single" w:sz="8" w:space="0" w:color="auto"/>
            </w:tcBorders>
          </w:tcPr>
          <w:p w14:paraId="1C1D609B"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2E0FEA0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8.58</w:t>
            </w:r>
          </w:p>
        </w:tc>
        <w:tc>
          <w:tcPr>
            <w:tcW w:w="1276" w:type="dxa"/>
            <w:tcBorders>
              <w:top w:val="nil"/>
              <w:left w:val="nil"/>
              <w:bottom w:val="single" w:sz="8" w:space="0" w:color="auto"/>
              <w:right w:val="single" w:sz="8" w:space="0" w:color="auto"/>
            </w:tcBorders>
          </w:tcPr>
          <w:p w14:paraId="339218F0"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10.5</w:t>
            </w:r>
          </w:p>
        </w:tc>
        <w:tc>
          <w:tcPr>
            <w:tcW w:w="2126" w:type="dxa"/>
            <w:tcBorders>
              <w:top w:val="nil"/>
              <w:left w:val="nil"/>
              <w:bottom w:val="single" w:sz="8" w:space="0" w:color="auto"/>
              <w:right w:val="single" w:sz="8" w:space="0" w:color="auto"/>
            </w:tcBorders>
          </w:tcPr>
          <w:p w14:paraId="06D3757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250</w:t>
            </w:r>
          </w:p>
        </w:tc>
        <w:tc>
          <w:tcPr>
            <w:tcW w:w="1701" w:type="dxa"/>
            <w:tcBorders>
              <w:top w:val="nil"/>
              <w:left w:val="nil"/>
              <w:bottom w:val="single" w:sz="8" w:space="0" w:color="auto"/>
              <w:right w:val="single" w:sz="8" w:space="0" w:color="auto"/>
            </w:tcBorders>
          </w:tcPr>
          <w:p w14:paraId="794E64F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4F8458E8"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2C879550" w14:textId="77777777" w:rsidTr="00982513">
        <w:trPr>
          <w:trHeight w:val="53"/>
        </w:trPr>
        <w:tc>
          <w:tcPr>
            <w:tcW w:w="2498" w:type="dxa"/>
            <w:tcBorders>
              <w:top w:val="nil"/>
              <w:left w:val="double" w:sz="6" w:space="0" w:color="auto"/>
              <w:bottom w:val="single" w:sz="8" w:space="0" w:color="auto"/>
              <w:right w:val="single" w:sz="8" w:space="0" w:color="auto"/>
            </w:tcBorders>
          </w:tcPr>
          <w:p w14:paraId="598D6B1B"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2152BDE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174</w:t>
            </w:r>
          </w:p>
        </w:tc>
        <w:tc>
          <w:tcPr>
            <w:tcW w:w="1276" w:type="dxa"/>
            <w:tcBorders>
              <w:top w:val="nil"/>
              <w:left w:val="nil"/>
              <w:bottom w:val="single" w:sz="8" w:space="0" w:color="auto"/>
              <w:right w:val="single" w:sz="8" w:space="0" w:color="auto"/>
            </w:tcBorders>
          </w:tcPr>
          <w:p w14:paraId="7E4C319D"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4C18470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6.95</w:t>
            </w:r>
          </w:p>
        </w:tc>
        <w:tc>
          <w:tcPr>
            <w:tcW w:w="1276" w:type="dxa"/>
            <w:tcBorders>
              <w:top w:val="nil"/>
              <w:left w:val="nil"/>
              <w:bottom w:val="single" w:sz="8" w:space="0" w:color="auto"/>
              <w:right w:val="single" w:sz="8" w:space="0" w:color="auto"/>
            </w:tcBorders>
          </w:tcPr>
          <w:p w14:paraId="5A6A90AB"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18.2</w:t>
            </w:r>
          </w:p>
        </w:tc>
        <w:tc>
          <w:tcPr>
            <w:tcW w:w="2126" w:type="dxa"/>
            <w:tcBorders>
              <w:top w:val="nil"/>
              <w:left w:val="nil"/>
              <w:bottom w:val="single" w:sz="8" w:space="0" w:color="auto"/>
              <w:right w:val="single" w:sz="8" w:space="0" w:color="auto"/>
            </w:tcBorders>
          </w:tcPr>
          <w:p w14:paraId="453CCCE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250</w:t>
            </w:r>
          </w:p>
        </w:tc>
        <w:tc>
          <w:tcPr>
            <w:tcW w:w="1701" w:type="dxa"/>
            <w:tcBorders>
              <w:top w:val="nil"/>
              <w:left w:val="nil"/>
              <w:bottom w:val="single" w:sz="8" w:space="0" w:color="auto"/>
              <w:right w:val="single" w:sz="8" w:space="0" w:color="auto"/>
            </w:tcBorders>
          </w:tcPr>
          <w:p w14:paraId="488CCEF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5CEDDEC2"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030D1B02" w14:textId="77777777" w:rsidTr="00982513">
        <w:trPr>
          <w:trHeight w:val="53"/>
        </w:trPr>
        <w:tc>
          <w:tcPr>
            <w:tcW w:w="2498" w:type="dxa"/>
            <w:tcBorders>
              <w:top w:val="nil"/>
              <w:left w:val="double" w:sz="6" w:space="0" w:color="auto"/>
              <w:bottom w:val="single" w:sz="8" w:space="0" w:color="auto"/>
              <w:right w:val="single" w:sz="8" w:space="0" w:color="auto"/>
            </w:tcBorders>
          </w:tcPr>
          <w:p w14:paraId="6877F9E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5DBBC71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205</w:t>
            </w:r>
          </w:p>
        </w:tc>
        <w:tc>
          <w:tcPr>
            <w:tcW w:w="1276" w:type="dxa"/>
            <w:tcBorders>
              <w:top w:val="nil"/>
              <w:left w:val="nil"/>
              <w:bottom w:val="single" w:sz="8" w:space="0" w:color="auto"/>
              <w:right w:val="single" w:sz="8" w:space="0" w:color="auto"/>
            </w:tcBorders>
          </w:tcPr>
          <w:p w14:paraId="07D1E74C"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1AA3009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5.99</w:t>
            </w:r>
          </w:p>
        </w:tc>
        <w:tc>
          <w:tcPr>
            <w:tcW w:w="1276" w:type="dxa"/>
            <w:tcBorders>
              <w:top w:val="nil"/>
              <w:left w:val="nil"/>
              <w:bottom w:val="single" w:sz="8" w:space="0" w:color="auto"/>
              <w:right w:val="single" w:sz="8" w:space="0" w:color="auto"/>
            </w:tcBorders>
          </w:tcPr>
          <w:p w14:paraId="7A5A5A3F"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5.64</w:t>
            </w:r>
          </w:p>
        </w:tc>
        <w:tc>
          <w:tcPr>
            <w:tcW w:w="2126" w:type="dxa"/>
            <w:tcBorders>
              <w:top w:val="nil"/>
              <w:left w:val="nil"/>
              <w:bottom w:val="single" w:sz="8" w:space="0" w:color="auto"/>
              <w:right w:val="single" w:sz="8" w:space="0" w:color="auto"/>
            </w:tcBorders>
          </w:tcPr>
          <w:p w14:paraId="7745285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400</w:t>
            </w:r>
          </w:p>
        </w:tc>
        <w:tc>
          <w:tcPr>
            <w:tcW w:w="1701" w:type="dxa"/>
            <w:tcBorders>
              <w:top w:val="nil"/>
              <w:left w:val="nil"/>
              <w:bottom w:val="single" w:sz="8" w:space="0" w:color="auto"/>
              <w:right w:val="single" w:sz="8" w:space="0" w:color="auto"/>
            </w:tcBorders>
          </w:tcPr>
          <w:p w14:paraId="3329320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4E71E939"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07307D20" w14:textId="77777777" w:rsidTr="00982513">
        <w:trPr>
          <w:trHeight w:val="53"/>
        </w:trPr>
        <w:tc>
          <w:tcPr>
            <w:tcW w:w="2498" w:type="dxa"/>
            <w:tcBorders>
              <w:top w:val="nil"/>
              <w:left w:val="double" w:sz="6" w:space="0" w:color="auto"/>
              <w:bottom w:val="single" w:sz="8" w:space="0" w:color="auto"/>
              <w:right w:val="single" w:sz="8" w:space="0" w:color="auto"/>
            </w:tcBorders>
          </w:tcPr>
          <w:p w14:paraId="28D1D366"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14A7C85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59</w:t>
            </w:r>
          </w:p>
        </w:tc>
        <w:tc>
          <w:tcPr>
            <w:tcW w:w="1276" w:type="dxa"/>
            <w:tcBorders>
              <w:top w:val="nil"/>
              <w:left w:val="nil"/>
              <w:bottom w:val="single" w:sz="8" w:space="0" w:color="auto"/>
              <w:right w:val="single" w:sz="8" w:space="0" w:color="auto"/>
            </w:tcBorders>
          </w:tcPr>
          <w:p w14:paraId="03BCE196"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0026EB4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8.02</w:t>
            </w:r>
          </w:p>
        </w:tc>
        <w:tc>
          <w:tcPr>
            <w:tcW w:w="1276" w:type="dxa"/>
            <w:tcBorders>
              <w:top w:val="nil"/>
              <w:left w:val="nil"/>
              <w:bottom w:val="single" w:sz="8" w:space="0" w:color="auto"/>
              <w:right w:val="single" w:sz="8" w:space="0" w:color="auto"/>
            </w:tcBorders>
          </w:tcPr>
          <w:p w14:paraId="701C7D3F"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5.42</w:t>
            </w:r>
          </w:p>
        </w:tc>
        <w:tc>
          <w:tcPr>
            <w:tcW w:w="2126" w:type="dxa"/>
            <w:tcBorders>
              <w:top w:val="nil"/>
              <w:left w:val="nil"/>
              <w:bottom w:val="single" w:sz="8" w:space="0" w:color="auto"/>
              <w:right w:val="single" w:sz="8" w:space="0" w:color="auto"/>
            </w:tcBorders>
          </w:tcPr>
          <w:p w14:paraId="0FFDC92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100</w:t>
            </w:r>
          </w:p>
        </w:tc>
        <w:tc>
          <w:tcPr>
            <w:tcW w:w="1701" w:type="dxa"/>
            <w:tcBorders>
              <w:top w:val="nil"/>
              <w:left w:val="nil"/>
              <w:bottom w:val="single" w:sz="8" w:space="0" w:color="auto"/>
              <w:right w:val="single" w:sz="8" w:space="0" w:color="auto"/>
            </w:tcBorders>
          </w:tcPr>
          <w:p w14:paraId="161AE1B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20520FAF"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5235DB7B" w14:textId="77777777" w:rsidTr="00982513">
        <w:trPr>
          <w:trHeight w:val="53"/>
        </w:trPr>
        <w:tc>
          <w:tcPr>
            <w:tcW w:w="2498" w:type="dxa"/>
            <w:tcBorders>
              <w:top w:val="nil"/>
              <w:left w:val="double" w:sz="6" w:space="0" w:color="auto"/>
              <w:bottom w:val="single" w:sz="8" w:space="0" w:color="auto"/>
              <w:right w:val="single" w:sz="8" w:space="0" w:color="auto"/>
            </w:tcBorders>
          </w:tcPr>
          <w:p w14:paraId="6A3CF23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3F250DA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209</w:t>
            </w:r>
          </w:p>
        </w:tc>
        <w:tc>
          <w:tcPr>
            <w:tcW w:w="1276" w:type="dxa"/>
            <w:tcBorders>
              <w:top w:val="nil"/>
              <w:left w:val="nil"/>
              <w:bottom w:val="single" w:sz="8" w:space="0" w:color="auto"/>
              <w:right w:val="single" w:sz="8" w:space="0" w:color="auto"/>
            </w:tcBorders>
          </w:tcPr>
          <w:p w14:paraId="0B89D288"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415E5F7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8.05</w:t>
            </w:r>
          </w:p>
        </w:tc>
        <w:tc>
          <w:tcPr>
            <w:tcW w:w="1276" w:type="dxa"/>
            <w:tcBorders>
              <w:top w:val="nil"/>
              <w:left w:val="nil"/>
              <w:bottom w:val="single" w:sz="8" w:space="0" w:color="auto"/>
              <w:right w:val="single" w:sz="8" w:space="0" w:color="auto"/>
            </w:tcBorders>
          </w:tcPr>
          <w:p w14:paraId="5C81D4BD"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15.3</w:t>
            </w:r>
          </w:p>
        </w:tc>
        <w:tc>
          <w:tcPr>
            <w:tcW w:w="2126" w:type="dxa"/>
            <w:tcBorders>
              <w:top w:val="nil"/>
              <w:left w:val="nil"/>
              <w:bottom w:val="single" w:sz="8" w:space="0" w:color="auto"/>
              <w:right w:val="single" w:sz="8" w:space="0" w:color="auto"/>
            </w:tcBorders>
          </w:tcPr>
          <w:p w14:paraId="7BCB357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100</w:t>
            </w:r>
          </w:p>
        </w:tc>
        <w:tc>
          <w:tcPr>
            <w:tcW w:w="1701" w:type="dxa"/>
            <w:tcBorders>
              <w:top w:val="nil"/>
              <w:left w:val="nil"/>
              <w:bottom w:val="single" w:sz="8" w:space="0" w:color="auto"/>
              <w:right w:val="single" w:sz="8" w:space="0" w:color="auto"/>
            </w:tcBorders>
          </w:tcPr>
          <w:p w14:paraId="3DCE27A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28D36E29"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14852822" w14:textId="77777777" w:rsidTr="00982513">
        <w:trPr>
          <w:trHeight w:val="53"/>
        </w:trPr>
        <w:tc>
          <w:tcPr>
            <w:tcW w:w="2498" w:type="dxa"/>
            <w:tcBorders>
              <w:top w:val="nil"/>
              <w:left w:val="double" w:sz="6" w:space="0" w:color="auto"/>
              <w:bottom w:val="single" w:sz="8" w:space="0" w:color="auto"/>
              <w:right w:val="single" w:sz="8" w:space="0" w:color="auto"/>
            </w:tcBorders>
          </w:tcPr>
          <w:p w14:paraId="7731ED8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lastRenderedPageBreak/>
              <w:t xml:space="preserve">Pseudokirchneriella subcapitata </w:t>
            </w:r>
          </w:p>
        </w:tc>
        <w:tc>
          <w:tcPr>
            <w:tcW w:w="1134" w:type="dxa"/>
            <w:tcBorders>
              <w:top w:val="nil"/>
              <w:left w:val="nil"/>
              <w:bottom w:val="single" w:sz="8" w:space="0" w:color="auto"/>
              <w:right w:val="single" w:sz="8" w:space="0" w:color="auto"/>
            </w:tcBorders>
          </w:tcPr>
          <w:p w14:paraId="51731B5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756</w:t>
            </w:r>
          </w:p>
        </w:tc>
        <w:tc>
          <w:tcPr>
            <w:tcW w:w="1276" w:type="dxa"/>
            <w:tcBorders>
              <w:top w:val="nil"/>
              <w:left w:val="nil"/>
              <w:bottom w:val="single" w:sz="8" w:space="0" w:color="auto"/>
              <w:right w:val="single" w:sz="8" w:space="0" w:color="auto"/>
            </w:tcBorders>
          </w:tcPr>
          <w:p w14:paraId="47EC4EF1"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4F9D3CD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5.68</w:t>
            </w:r>
          </w:p>
        </w:tc>
        <w:tc>
          <w:tcPr>
            <w:tcW w:w="1276" w:type="dxa"/>
            <w:tcBorders>
              <w:top w:val="nil"/>
              <w:left w:val="nil"/>
              <w:bottom w:val="single" w:sz="8" w:space="0" w:color="auto"/>
              <w:right w:val="single" w:sz="8" w:space="0" w:color="auto"/>
            </w:tcBorders>
          </w:tcPr>
          <w:p w14:paraId="5E338394"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9.84</w:t>
            </w:r>
          </w:p>
        </w:tc>
        <w:tc>
          <w:tcPr>
            <w:tcW w:w="2126" w:type="dxa"/>
            <w:tcBorders>
              <w:top w:val="nil"/>
              <w:left w:val="nil"/>
              <w:bottom w:val="single" w:sz="8" w:space="0" w:color="auto"/>
              <w:right w:val="single" w:sz="8" w:space="0" w:color="auto"/>
            </w:tcBorders>
          </w:tcPr>
          <w:p w14:paraId="794BBA8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250</w:t>
            </w:r>
          </w:p>
        </w:tc>
        <w:tc>
          <w:tcPr>
            <w:tcW w:w="1701" w:type="dxa"/>
            <w:tcBorders>
              <w:top w:val="nil"/>
              <w:left w:val="nil"/>
              <w:bottom w:val="single" w:sz="8" w:space="0" w:color="auto"/>
              <w:right w:val="single" w:sz="8" w:space="0" w:color="auto"/>
            </w:tcBorders>
          </w:tcPr>
          <w:p w14:paraId="6940A1B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6F89CCDD"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54F6F0EC" w14:textId="77777777" w:rsidTr="00982513">
        <w:trPr>
          <w:trHeight w:val="53"/>
        </w:trPr>
        <w:tc>
          <w:tcPr>
            <w:tcW w:w="2498" w:type="dxa"/>
            <w:tcBorders>
              <w:top w:val="nil"/>
              <w:left w:val="double" w:sz="6" w:space="0" w:color="auto"/>
              <w:bottom w:val="single" w:sz="8" w:space="0" w:color="auto"/>
              <w:right w:val="single" w:sz="8" w:space="0" w:color="auto"/>
            </w:tcBorders>
          </w:tcPr>
          <w:p w14:paraId="53615EEA"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59832A8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193</w:t>
            </w:r>
          </w:p>
        </w:tc>
        <w:tc>
          <w:tcPr>
            <w:tcW w:w="1276" w:type="dxa"/>
            <w:tcBorders>
              <w:top w:val="nil"/>
              <w:left w:val="nil"/>
              <w:bottom w:val="single" w:sz="8" w:space="0" w:color="auto"/>
              <w:right w:val="single" w:sz="8" w:space="0" w:color="auto"/>
            </w:tcBorders>
          </w:tcPr>
          <w:p w14:paraId="18041A26"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706BDCB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7.19</w:t>
            </w:r>
          </w:p>
        </w:tc>
        <w:tc>
          <w:tcPr>
            <w:tcW w:w="1276" w:type="dxa"/>
            <w:tcBorders>
              <w:top w:val="nil"/>
              <w:left w:val="nil"/>
              <w:bottom w:val="single" w:sz="8" w:space="0" w:color="auto"/>
              <w:right w:val="single" w:sz="8" w:space="0" w:color="auto"/>
            </w:tcBorders>
          </w:tcPr>
          <w:p w14:paraId="75008D62"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10.4</w:t>
            </w:r>
          </w:p>
        </w:tc>
        <w:tc>
          <w:tcPr>
            <w:tcW w:w="2126" w:type="dxa"/>
            <w:tcBorders>
              <w:top w:val="nil"/>
              <w:left w:val="nil"/>
              <w:bottom w:val="single" w:sz="8" w:space="0" w:color="auto"/>
              <w:right w:val="single" w:sz="8" w:space="0" w:color="auto"/>
            </w:tcBorders>
          </w:tcPr>
          <w:p w14:paraId="313CEE8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1701" w:type="dxa"/>
            <w:tcBorders>
              <w:top w:val="nil"/>
              <w:left w:val="nil"/>
              <w:bottom w:val="single" w:sz="8" w:space="0" w:color="auto"/>
              <w:right w:val="single" w:sz="8" w:space="0" w:color="auto"/>
            </w:tcBorders>
          </w:tcPr>
          <w:p w14:paraId="09966EC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6B23BC2D"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4C8AEEBB" w14:textId="77777777" w:rsidTr="00982513">
        <w:trPr>
          <w:trHeight w:val="53"/>
        </w:trPr>
        <w:tc>
          <w:tcPr>
            <w:tcW w:w="2498" w:type="dxa"/>
            <w:tcBorders>
              <w:top w:val="nil"/>
              <w:left w:val="double" w:sz="6" w:space="0" w:color="auto"/>
              <w:bottom w:val="single" w:sz="8" w:space="0" w:color="auto"/>
              <w:right w:val="single" w:sz="8" w:space="0" w:color="auto"/>
            </w:tcBorders>
          </w:tcPr>
          <w:p w14:paraId="2085813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3CBA57D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102</w:t>
            </w:r>
          </w:p>
        </w:tc>
        <w:tc>
          <w:tcPr>
            <w:tcW w:w="1276" w:type="dxa"/>
            <w:tcBorders>
              <w:top w:val="nil"/>
              <w:left w:val="nil"/>
              <w:bottom w:val="single" w:sz="8" w:space="0" w:color="auto"/>
              <w:right w:val="single" w:sz="8" w:space="0" w:color="auto"/>
            </w:tcBorders>
          </w:tcPr>
          <w:p w14:paraId="53C8DCE6"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5BCF3ED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7.03</w:t>
            </w:r>
          </w:p>
        </w:tc>
        <w:tc>
          <w:tcPr>
            <w:tcW w:w="1276" w:type="dxa"/>
            <w:tcBorders>
              <w:top w:val="nil"/>
              <w:left w:val="nil"/>
              <w:bottom w:val="single" w:sz="8" w:space="0" w:color="auto"/>
              <w:right w:val="single" w:sz="8" w:space="0" w:color="auto"/>
            </w:tcBorders>
          </w:tcPr>
          <w:p w14:paraId="38A9BAE8"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9.98</w:t>
            </w:r>
          </w:p>
        </w:tc>
        <w:tc>
          <w:tcPr>
            <w:tcW w:w="2126" w:type="dxa"/>
            <w:tcBorders>
              <w:top w:val="nil"/>
              <w:left w:val="nil"/>
              <w:bottom w:val="single" w:sz="8" w:space="0" w:color="auto"/>
              <w:right w:val="single" w:sz="8" w:space="0" w:color="auto"/>
            </w:tcBorders>
          </w:tcPr>
          <w:p w14:paraId="62742E1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250</w:t>
            </w:r>
          </w:p>
        </w:tc>
        <w:tc>
          <w:tcPr>
            <w:tcW w:w="1701" w:type="dxa"/>
            <w:tcBorders>
              <w:top w:val="nil"/>
              <w:left w:val="nil"/>
              <w:bottom w:val="single" w:sz="8" w:space="0" w:color="auto"/>
              <w:right w:val="single" w:sz="8" w:space="0" w:color="auto"/>
            </w:tcBorders>
          </w:tcPr>
          <w:p w14:paraId="1E194A6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4B490D2A"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4939F06C" w14:textId="77777777" w:rsidTr="00982513">
        <w:trPr>
          <w:trHeight w:val="53"/>
        </w:trPr>
        <w:tc>
          <w:tcPr>
            <w:tcW w:w="2498" w:type="dxa"/>
            <w:tcBorders>
              <w:top w:val="nil"/>
              <w:left w:val="double" w:sz="6" w:space="0" w:color="auto"/>
              <w:bottom w:val="single" w:sz="8" w:space="0" w:color="auto"/>
              <w:right w:val="single" w:sz="8" w:space="0" w:color="auto"/>
            </w:tcBorders>
          </w:tcPr>
          <w:p w14:paraId="08F55A0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 xml:space="preserve">Pseudokirchneriella subcapitata </w:t>
            </w:r>
          </w:p>
        </w:tc>
        <w:tc>
          <w:tcPr>
            <w:tcW w:w="1134" w:type="dxa"/>
            <w:tcBorders>
              <w:top w:val="nil"/>
              <w:left w:val="nil"/>
              <w:bottom w:val="single" w:sz="8" w:space="0" w:color="auto"/>
              <w:right w:val="single" w:sz="8" w:space="0" w:color="auto"/>
            </w:tcBorders>
          </w:tcPr>
          <w:p w14:paraId="478C373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100</w:t>
            </w:r>
          </w:p>
        </w:tc>
        <w:tc>
          <w:tcPr>
            <w:tcW w:w="1276" w:type="dxa"/>
            <w:tcBorders>
              <w:top w:val="nil"/>
              <w:left w:val="nil"/>
              <w:bottom w:val="single" w:sz="8" w:space="0" w:color="auto"/>
              <w:right w:val="single" w:sz="8" w:space="0" w:color="auto"/>
            </w:tcBorders>
          </w:tcPr>
          <w:p w14:paraId="692FA71A"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642A740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7.01</w:t>
            </w:r>
          </w:p>
        </w:tc>
        <w:tc>
          <w:tcPr>
            <w:tcW w:w="1276" w:type="dxa"/>
            <w:tcBorders>
              <w:top w:val="nil"/>
              <w:left w:val="nil"/>
              <w:bottom w:val="single" w:sz="8" w:space="0" w:color="auto"/>
              <w:right w:val="single" w:sz="8" w:space="0" w:color="auto"/>
            </w:tcBorders>
          </w:tcPr>
          <w:p w14:paraId="4BB1F361"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10.2</w:t>
            </w:r>
          </w:p>
        </w:tc>
        <w:tc>
          <w:tcPr>
            <w:tcW w:w="2126" w:type="dxa"/>
            <w:tcBorders>
              <w:top w:val="nil"/>
              <w:left w:val="nil"/>
              <w:bottom w:val="single" w:sz="8" w:space="0" w:color="auto"/>
              <w:right w:val="single" w:sz="8" w:space="0" w:color="auto"/>
            </w:tcBorders>
          </w:tcPr>
          <w:p w14:paraId="04D2AAF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250</w:t>
            </w:r>
          </w:p>
        </w:tc>
        <w:tc>
          <w:tcPr>
            <w:tcW w:w="1701" w:type="dxa"/>
            <w:tcBorders>
              <w:top w:val="nil"/>
              <w:left w:val="nil"/>
              <w:bottom w:val="single" w:sz="8" w:space="0" w:color="auto"/>
              <w:right w:val="single" w:sz="8" w:space="0" w:color="auto"/>
            </w:tcBorders>
          </w:tcPr>
          <w:p w14:paraId="20F6116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1B05D144"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4A0EDA62" w14:textId="77777777" w:rsidTr="00982513">
        <w:trPr>
          <w:trHeight w:val="53"/>
        </w:trPr>
        <w:tc>
          <w:tcPr>
            <w:tcW w:w="2498" w:type="dxa"/>
            <w:tcBorders>
              <w:top w:val="nil"/>
              <w:left w:val="double" w:sz="6" w:space="0" w:color="auto"/>
              <w:bottom w:val="single" w:sz="8" w:space="0" w:color="auto"/>
              <w:right w:val="single" w:sz="8" w:space="0" w:color="auto"/>
            </w:tcBorders>
          </w:tcPr>
          <w:p w14:paraId="4EC94D74"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Chlamydomonas reinhardtii</w:t>
            </w:r>
          </w:p>
        </w:tc>
        <w:tc>
          <w:tcPr>
            <w:tcW w:w="1134" w:type="dxa"/>
            <w:tcBorders>
              <w:top w:val="nil"/>
              <w:left w:val="nil"/>
              <w:bottom w:val="single" w:sz="8" w:space="0" w:color="auto"/>
              <w:right w:val="single" w:sz="8" w:space="0" w:color="auto"/>
            </w:tcBorders>
          </w:tcPr>
          <w:p w14:paraId="1BAD3C6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380</w:t>
            </w:r>
          </w:p>
        </w:tc>
        <w:tc>
          <w:tcPr>
            <w:tcW w:w="1276" w:type="dxa"/>
            <w:tcBorders>
              <w:top w:val="nil"/>
              <w:left w:val="nil"/>
              <w:bottom w:val="single" w:sz="8" w:space="0" w:color="auto"/>
              <w:right w:val="single" w:sz="8" w:space="0" w:color="auto"/>
            </w:tcBorders>
          </w:tcPr>
          <w:p w14:paraId="5FF2E60D"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0470682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6.02</w:t>
            </w:r>
          </w:p>
        </w:tc>
        <w:tc>
          <w:tcPr>
            <w:tcW w:w="1276" w:type="dxa"/>
            <w:tcBorders>
              <w:top w:val="nil"/>
              <w:left w:val="nil"/>
              <w:bottom w:val="single" w:sz="8" w:space="0" w:color="auto"/>
              <w:right w:val="single" w:sz="8" w:space="0" w:color="auto"/>
            </w:tcBorders>
          </w:tcPr>
          <w:p w14:paraId="67576093"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9.84</w:t>
            </w:r>
          </w:p>
        </w:tc>
        <w:tc>
          <w:tcPr>
            <w:tcW w:w="2126" w:type="dxa"/>
            <w:tcBorders>
              <w:top w:val="nil"/>
              <w:left w:val="nil"/>
              <w:bottom w:val="single" w:sz="8" w:space="0" w:color="auto"/>
              <w:right w:val="single" w:sz="8" w:space="0" w:color="auto"/>
            </w:tcBorders>
          </w:tcPr>
          <w:p w14:paraId="1E20D62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250</w:t>
            </w:r>
          </w:p>
        </w:tc>
        <w:tc>
          <w:tcPr>
            <w:tcW w:w="1701" w:type="dxa"/>
            <w:tcBorders>
              <w:top w:val="nil"/>
              <w:left w:val="nil"/>
              <w:bottom w:val="single" w:sz="8" w:space="0" w:color="auto"/>
              <w:right w:val="single" w:sz="8" w:space="0" w:color="auto"/>
            </w:tcBorders>
          </w:tcPr>
          <w:p w14:paraId="6CC4351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3E36740D"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124ADE45" w14:textId="77777777" w:rsidTr="00982513">
        <w:trPr>
          <w:trHeight w:val="53"/>
        </w:trPr>
        <w:tc>
          <w:tcPr>
            <w:tcW w:w="2498" w:type="dxa"/>
            <w:tcBorders>
              <w:top w:val="nil"/>
              <w:left w:val="double" w:sz="6" w:space="0" w:color="auto"/>
              <w:bottom w:val="single" w:sz="8" w:space="0" w:color="auto"/>
              <w:right w:val="single" w:sz="8" w:space="0" w:color="auto"/>
            </w:tcBorders>
          </w:tcPr>
          <w:p w14:paraId="36DCBC44"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Chlamydomonas reinhardtii</w:t>
            </w:r>
          </w:p>
        </w:tc>
        <w:tc>
          <w:tcPr>
            <w:tcW w:w="1134" w:type="dxa"/>
            <w:tcBorders>
              <w:top w:val="nil"/>
              <w:left w:val="nil"/>
              <w:bottom w:val="single" w:sz="8" w:space="0" w:color="auto"/>
              <w:right w:val="single" w:sz="8" w:space="0" w:color="auto"/>
            </w:tcBorders>
          </w:tcPr>
          <w:p w14:paraId="4D2F4E4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315</w:t>
            </w:r>
          </w:p>
        </w:tc>
        <w:tc>
          <w:tcPr>
            <w:tcW w:w="1276" w:type="dxa"/>
            <w:tcBorders>
              <w:top w:val="nil"/>
              <w:left w:val="nil"/>
              <w:bottom w:val="single" w:sz="8" w:space="0" w:color="auto"/>
              <w:right w:val="single" w:sz="8" w:space="0" w:color="auto"/>
            </w:tcBorders>
          </w:tcPr>
          <w:p w14:paraId="2ADBB265"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49579F0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7.03</w:t>
            </w:r>
          </w:p>
        </w:tc>
        <w:tc>
          <w:tcPr>
            <w:tcW w:w="1276" w:type="dxa"/>
            <w:tcBorders>
              <w:top w:val="nil"/>
              <w:left w:val="nil"/>
              <w:bottom w:val="single" w:sz="8" w:space="0" w:color="auto"/>
              <w:right w:val="single" w:sz="8" w:space="0" w:color="auto"/>
            </w:tcBorders>
          </w:tcPr>
          <w:p w14:paraId="417D0E03"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9.84</w:t>
            </w:r>
          </w:p>
        </w:tc>
        <w:tc>
          <w:tcPr>
            <w:tcW w:w="2126" w:type="dxa"/>
            <w:tcBorders>
              <w:top w:val="nil"/>
              <w:left w:val="nil"/>
              <w:bottom w:val="single" w:sz="8" w:space="0" w:color="auto"/>
              <w:right w:val="single" w:sz="8" w:space="0" w:color="auto"/>
            </w:tcBorders>
          </w:tcPr>
          <w:p w14:paraId="758F589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250</w:t>
            </w:r>
          </w:p>
        </w:tc>
        <w:tc>
          <w:tcPr>
            <w:tcW w:w="1701" w:type="dxa"/>
            <w:tcBorders>
              <w:top w:val="nil"/>
              <w:left w:val="nil"/>
              <w:bottom w:val="single" w:sz="8" w:space="0" w:color="auto"/>
              <w:right w:val="single" w:sz="8" w:space="0" w:color="auto"/>
            </w:tcBorders>
          </w:tcPr>
          <w:p w14:paraId="174667F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030FDAD5"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7FCDB019" w14:textId="77777777" w:rsidTr="00982513">
        <w:trPr>
          <w:trHeight w:val="53"/>
        </w:trPr>
        <w:tc>
          <w:tcPr>
            <w:tcW w:w="2498" w:type="dxa"/>
            <w:tcBorders>
              <w:top w:val="nil"/>
              <w:left w:val="double" w:sz="6" w:space="0" w:color="auto"/>
              <w:bottom w:val="single" w:sz="8" w:space="0" w:color="auto"/>
              <w:right w:val="single" w:sz="8" w:space="0" w:color="auto"/>
            </w:tcBorders>
          </w:tcPr>
          <w:p w14:paraId="5D3DBC15"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Chlamydomonas reinhardtii</w:t>
            </w:r>
          </w:p>
        </w:tc>
        <w:tc>
          <w:tcPr>
            <w:tcW w:w="1134" w:type="dxa"/>
            <w:tcBorders>
              <w:top w:val="nil"/>
              <w:left w:val="nil"/>
              <w:bottom w:val="single" w:sz="8" w:space="0" w:color="auto"/>
              <w:right w:val="single" w:sz="8" w:space="0" w:color="auto"/>
            </w:tcBorders>
          </w:tcPr>
          <w:p w14:paraId="2465594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146</w:t>
            </w:r>
          </w:p>
        </w:tc>
        <w:tc>
          <w:tcPr>
            <w:tcW w:w="1276" w:type="dxa"/>
            <w:tcBorders>
              <w:top w:val="nil"/>
              <w:left w:val="nil"/>
              <w:bottom w:val="single" w:sz="8" w:space="0" w:color="auto"/>
              <w:right w:val="single" w:sz="8" w:space="0" w:color="auto"/>
            </w:tcBorders>
          </w:tcPr>
          <w:p w14:paraId="5F1DF478"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1B3881F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8.11</w:t>
            </w:r>
          </w:p>
        </w:tc>
        <w:tc>
          <w:tcPr>
            <w:tcW w:w="1276" w:type="dxa"/>
            <w:tcBorders>
              <w:top w:val="nil"/>
              <w:left w:val="nil"/>
              <w:bottom w:val="single" w:sz="8" w:space="0" w:color="auto"/>
              <w:right w:val="single" w:sz="8" w:space="0" w:color="auto"/>
            </w:tcBorders>
          </w:tcPr>
          <w:p w14:paraId="61DF1A40"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9.84</w:t>
            </w:r>
          </w:p>
        </w:tc>
        <w:tc>
          <w:tcPr>
            <w:tcW w:w="2126" w:type="dxa"/>
            <w:tcBorders>
              <w:top w:val="nil"/>
              <w:left w:val="nil"/>
              <w:bottom w:val="single" w:sz="8" w:space="0" w:color="auto"/>
              <w:right w:val="single" w:sz="8" w:space="0" w:color="auto"/>
            </w:tcBorders>
          </w:tcPr>
          <w:p w14:paraId="46FEFF9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250</w:t>
            </w:r>
          </w:p>
        </w:tc>
        <w:tc>
          <w:tcPr>
            <w:tcW w:w="1701" w:type="dxa"/>
            <w:tcBorders>
              <w:top w:val="nil"/>
              <w:left w:val="nil"/>
              <w:bottom w:val="single" w:sz="8" w:space="0" w:color="auto"/>
              <w:right w:val="single" w:sz="8" w:space="0" w:color="auto"/>
            </w:tcBorders>
          </w:tcPr>
          <w:p w14:paraId="3F9F09E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534B0362"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31B1E5F3" w14:textId="77777777" w:rsidTr="00982513">
        <w:trPr>
          <w:trHeight w:val="53"/>
        </w:trPr>
        <w:tc>
          <w:tcPr>
            <w:tcW w:w="2498" w:type="dxa"/>
            <w:tcBorders>
              <w:top w:val="nil"/>
              <w:left w:val="double" w:sz="6" w:space="0" w:color="auto"/>
              <w:bottom w:val="single" w:sz="8" w:space="0" w:color="auto"/>
              <w:right w:val="single" w:sz="8" w:space="0" w:color="auto"/>
            </w:tcBorders>
          </w:tcPr>
          <w:p w14:paraId="10E9A5B2"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Chlorella vulgaris</w:t>
            </w:r>
          </w:p>
        </w:tc>
        <w:tc>
          <w:tcPr>
            <w:tcW w:w="1134" w:type="dxa"/>
            <w:tcBorders>
              <w:top w:val="nil"/>
              <w:left w:val="nil"/>
              <w:bottom w:val="single" w:sz="8" w:space="0" w:color="auto"/>
              <w:right w:val="single" w:sz="8" w:space="0" w:color="auto"/>
            </w:tcBorders>
          </w:tcPr>
          <w:p w14:paraId="6E8665D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333</w:t>
            </w:r>
          </w:p>
        </w:tc>
        <w:tc>
          <w:tcPr>
            <w:tcW w:w="1276" w:type="dxa"/>
            <w:tcBorders>
              <w:top w:val="nil"/>
              <w:left w:val="nil"/>
              <w:bottom w:val="single" w:sz="8" w:space="0" w:color="auto"/>
              <w:right w:val="single" w:sz="8" w:space="0" w:color="auto"/>
            </w:tcBorders>
          </w:tcPr>
          <w:p w14:paraId="34FD000F"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68F8001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6.03</w:t>
            </w:r>
          </w:p>
        </w:tc>
        <w:tc>
          <w:tcPr>
            <w:tcW w:w="1276" w:type="dxa"/>
            <w:tcBorders>
              <w:top w:val="nil"/>
              <w:left w:val="nil"/>
              <w:bottom w:val="single" w:sz="8" w:space="0" w:color="auto"/>
              <w:right w:val="single" w:sz="8" w:space="0" w:color="auto"/>
            </w:tcBorders>
          </w:tcPr>
          <w:p w14:paraId="0D292903"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5.17</w:t>
            </w:r>
          </w:p>
        </w:tc>
        <w:tc>
          <w:tcPr>
            <w:tcW w:w="2126" w:type="dxa"/>
            <w:tcBorders>
              <w:top w:val="nil"/>
              <w:left w:val="nil"/>
              <w:bottom w:val="single" w:sz="8" w:space="0" w:color="auto"/>
              <w:right w:val="single" w:sz="8" w:space="0" w:color="auto"/>
            </w:tcBorders>
          </w:tcPr>
          <w:p w14:paraId="7F170EB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100</w:t>
            </w:r>
          </w:p>
        </w:tc>
        <w:tc>
          <w:tcPr>
            <w:tcW w:w="1701" w:type="dxa"/>
            <w:tcBorders>
              <w:top w:val="nil"/>
              <w:left w:val="nil"/>
              <w:bottom w:val="single" w:sz="8" w:space="0" w:color="auto"/>
              <w:right w:val="single" w:sz="8" w:space="0" w:color="auto"/>
            </w:tcBorders>
          </w:tcPr>
          <w:p w14:paraId="329C45E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30330E21"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467BB2BB" w14:textId="77777777" w:rsidTr="00982513">
        <w:trPr>
          <w:trHeight w:val="53"/>
        </w:trPr>
        <w:tc>
          <w:tcPr>
            <w:tcW w:w="2498" w:type="dxa"/>
            <w:tcBorders>
              <w:top w:val="nil"/>
              <w:left w:val="double" w:sz="6" w:space="0" w:color="auto"/>
              <w:bottom w:val="single" w:sz="8" w:space="0" w:color="auto"/>
              <w:right w:val="single" w:sz="8" w:space="0" w:color="auto"/>
            </w:tcBorders>
          </w:tcPr>
          <w:p w14:paraId="10CF6C94"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Chlorella vulgaris</w:t>
            </w:r>
          </w:p>
        </w:tc>
        <w:tc>
          <w:tcPr>
            <w:tcW w:w="1134" w:type="dxa"/>
            <w:tcBorders>
              <w:top w:val="nil"/>
              <w:left w:val="nil"/>
              <w:bottom w:val="single" w:sz="8" w:space="0" w:color="auto"/>
              <w:right w:val="single" w:sz="8" w:space="0" w:color="auto"/>
            </w:tcBorders>
          </w:tcPr>
          <w:p w14:paraId="0085205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773</w:t>
            </w:r>
          </w:p>
        </w:tc>
        <w:tc>
          <w:tcPr>
            <w:tcW w:w="1276" w:type="dxa"/>
            <w:tcBorders>
              <w:top w:val="nil"/>
              <w:left w:val="nil"/>
              <w:bottom w:val="single" w:sz="8" w:space="0" w:color="auto"/>
              <w:right w:val="single" w:sz="8" w:space="0" w:color="auto"/>
            </w:tcBorders>
          </w:tcPr>
          <w:p w14:paraId="0E357FE5"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35783E1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6.04</w:t>
            </w:r>
          </w:p>
        </w:tc>
        <w:tc>
          <w:tcPr>
            <w:tcW w:w="1276" w:type="dxa"/>
            <w:tcBorders>
              <w:top w:val="nil"/>
              <w:left w:val="nil"/>
              <w:bottom w:val="single" w:sz="8" w:space="0" w:color="auto"/>
              <w:right w:val="single" w:sz="8" w:space="0" w:color="auto"/>
            </w:tcBorders>
          </w:tcPr>
          <w:p w14:paraId="60F221A0"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15.49</w:t>
            </w:r>
          </w:p>
        </w:tc>
        <w:tc>
          <w:tcPr>
            <w:tcW w:w="2126" w:type="dxa"/>
            <w:tcBorders>
              <w:top w:val="nil"/>
              <w:left w:val="nil"/>
              <w:bottom w:val="single" w:sz="8" w:space="0" w:color="auto"/>
              <w:right w:val="single" w:sz="8" w:space="0" w:color="auto"/>
            </w:tcBorders>
          </w:tcPr>
          <w:p w14:paraId="4400DAA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100</w:t>
            </w:r>
          </w:p>
        </w:tc>
        <w:tc>
          <w:tcPr>
            <w:tcW w:w="1701" w:type="dxa"/>
            <w:tcBorders>
              <w:top w:val="nil"/>
              <w:left w:val="nil"/>
              <w:bottom w:val="single" w:sz="8" w:space="0" w:color="auto"/>
              <w:right w:val="single" w:sz="8" w:space="0" w:color="auto"/>
            </w:tcBorders>
          </w:tcPr>
          <w:p w14:paraId="6FD034B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218355B5"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3F07AA42" w14:textId="77777777" w:rsidTr="00982513">
        <w:trPr>
          <w:trHeight w:val="53"/>
        </w:trPr>
        <w:tc>
          <w:tcPr>
            <w:tcW w:w="2498" w:type="dxa"/>
            <w:tcBorders>
              <w:top w:val="nil"/>
              <w:left w:val="double" w:sz="6" w:space="0" w:color="auto"/>
              <w:bottom w:val="single" w:sz="8" w:space="0" w:color="auto"/>
              <w:right w:val="single" w:sz="8" w:space="0" w:color="auto"/>
            </w:tcBorders>
          </w:tcPr>
          <w:p w14:paraId="12848FB2"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Chlorella vulgaris</w:t>
            </w:r>
          </w:p>
        </w:tc>
        <w:tc>
          <w:tcPr>
            <w:tcW w:w="1134" w:type="dxa"/>
            <w:tcBorders>
              <w:top w:val="nil"/>
              <w:left w:val="nil"/>
              <w:bottom w:val="single" w:sz="8" w:space="0" w:color="auto"/>
              <w:right w:val="single" w:sz="8" w:space="0" w:color="auto"/>
            </w:tcBorders>
          </w:tcPr>
          <w:p w14:paraId="0289586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99</w:t>
            </w:r>
          </w:p>
        </w:tc>
        <w:tc>
          <w:tcPr>
            <w:tcW w:w="1276" w:type="dxa"/>
            <w:tcBorders>
              <w:top w:val="nil"/>
              <w:left w:val="nil"/>
              <w:bottom w:val="single" w:sz="8" w:space="0" w:color="auto"/>
              <w:right w:val="single" w:sz="8" w:space="0" w:color="auto"/>
            </w:tcBorders>
          </w:tcPr>
          <w:p w14:paraId="6A1094B2"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19255C7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7.92</w:t>
            </w:r>
          </w:p>
        </w:tc>
        <w:tc>
          <w:tcPr>
            <w:tcW w:w="1276" w:type="dxa"/>
            <w:tcBorders>
              <w:top w:val="nil"/>
              <w:left w:val="nil"/>
              <w:bottom w:val="single" w:sz="8" w:space="0" w:color="auto"/>
              <w:right w:val="single" w:sz="8" w:space="0" w:color="auto"/>
            </w:tcBorders>
          </w:tcPr>
          <w:p w14:paraId="495A0080"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5.04</w:t>
            </w:r>
          </w:p>
        </w:tc>
        <w:tc>
          <w:tcPr>
            <w:tcW w:w="2126" w:type="dxa"/>
            <w:tcBorders>
              <w:top w:val="nil"/>
              <w:left w:val="nil"/>
              <w:bottom w:val="single" w:sz="8" w:space="0" w:color="auto"/>
              <w:right w:val="single" w:sz="8" w:space="0" w:color="auto"/>
            </w:tcBorders>
          </w:tcPr>
          <w:p w14:paraId="1CD2073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400</w:t>
            </w:r>
          </w:p>
        </w:tc>
        <w:tc>
          <w:tcPr>
            <w:tcW w:w="1701" w:type="dxa"/>
            <w:tcBorders>
              <w:top w:val="nil"/>
              <w:left w:val="nil"/>
              <w:bottom w:val="single" w:sz="8" w:space="0" w:color="auto"/>
              <w:right w:val="single" w:sz="8" w:space="0" w:color="auto"/>
            </w:tcBorders>
          </w:tcPr>
          <w:p w14:paraId="406BA53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7CAE1FD2"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2804E1A8" w14:textId="77777777" w:rsidTr="00982513">
        <w:trPr>
          <w:trHeight w:val="53"/>
        </w:trPr>
        <w:tc>
          <w:tcPr>
            <w:tcW w:w="2498" w:type="dxa"/>
            <w:tcBorders>
              <w:top w:val="nil"/>
              <w:left w:val="double" w:sz="6" w:space="0" w:color="auto"/>
              <w:bottom w:val="single" w:sz="8" w:space="0" w:color="auto"/>
              <w:right w:val="single" w:sz="8" w:space="0" w:color="auto"/>
            </w:tcBorders>
          </w:tcPr>
          <w:p w14:paraId="241B8044"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Chlorella vulgaris</w:t>
            </w:r>
          </w:p>
        </w:tc>
        <w:tc>
          <w:tcPr>
            <w:tcW w:w="1134" w:type="dxa"/>
            <w:tcBorders>
              <w:top w:val="nil"/>
              <w:left w:val="nil"/>
              <w:bottom w:val="single" w:sz="8" w:space="0" w:color="auto"/>
              <w:right w:val="single" w:sz="8" w:space="0" w:color="auto"/>
            </w:tcBorders>
          </w:tcPr>
          <w:p w14:paraId="4E1485D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506</w:t>
            </w:r>
          </w:p>
        </w:tc>
        <w:tc>
          <w:tcPr>
            <w:tcW w:w="1276" w:type="dxa"/>
            <w:tcBorders>
              <w:top w:val="nil"/>
              <w:left w:val="nil"/>
              <w:bottom w:val="single" w:sz="8" w:space="0" w:color="auto"/>
              <w:right w:val="single" w:sz="8" w:space="0" w:color="auto"/>
            </w:tcBorders>
          </w:tcPr>
          <w:p w14:paraId="045EB052"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3F9EE3E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7.97</w:t>
            </w:r>
          </w:p>
        </w:tc>
        <w:tc>
          <w:tcPr>
            <w:tcW w:w="1276" w:type="dxa"/>
            <w:tcBorders>
              <w:top w:val="nil"/>
              <w:left w:val="nil"/>
              <w:bottom w:val="single" w:sz="8" w:space="0" w:color="auto"/>
              <w:right w:val="single" w:sz="8" w:space="0" w:color="auto"/>
            </w:tcBorders>
          </w:tcPr>
          <w:p w14:paraId="4D99CB8A"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15.82</w:t>
            </w:r>
          </w:p>
        </w:tc>
        <w:tc>
          <w:tcPr>
            <w:tcW w:w="2126" w:type="dxa"/>
            <w:tcBorders>
              <w:top w:val="nil"/>
              <w:left w:val="nil"/>
              <w:bottom w:val="single" w:sz="8" w:space="0" w:color="auto"/>
              <w:right w:val="single" w:sz="8" w:space="0" w:color="auto"/>
            </w:tcBorders>
          </w:tcPr>
          <w:p w14:paraId="202256E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400</w:t>
            </w:r>
          </w:p>
        </w:tc>
        <w:tc>
          <w:tcPr>
            <w:tcW w:w="1701" w:type="dxa"/>
            <w:tcBorders>
              <w:top w:val="nil"/>
              <w:left w:val="nil"/>
              <w:bottom w:val="single" w:sz="8" w:space="0" w:color="auto"/>
              <w:right w:val="single" w:sz="8" w:space="0" w:color="auto"/>
            </w:tcBorders>
          </w:tcPr>
          <w:p w14:paraId="606DD49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70813616"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641A7998" w14:textId="77777777" w:rsidTr="00982513">
        <w:trPr>
          <w:trHeight w:val="53"/>
        </w:trPr>
        <w:tc>
          <w:tcPr>
            <w:tcW w:w="2498" w:type="dxa"/>
            <w:tcBorders>
              <w:top w:val="nil"/>
              <w:left w:val="double" w:sz="6" w:space="0" w:color="auto"/>
              <w:bottom w:val="single" w:sz="8" w:space="0" w:color="auto"/>
              <w:right w:val="single" w:sz="8" w:space="0" w:color="auto"/>
            </w:tcBorders>
          </w:tcPr>
          <w:p w14:paraId="5E51A0A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Chlorella vulgaris</w:t>
            </w:r>
          </w:p>
        </w:tc>
        <w:tc>
          <w:tcPr>
            <w:tcW w:w="1134" w:type="dxa"/>
            <w:tcBorders>
              <w:top w:val="nil"/>
              <w:left w:val="nil"/>
              <w:bottom w:val="single" w:sz="8" w:space="0" w:color="auto"/>
              <w:right w:val="single" w:sz="8" w:space="0" w:color="auto"/>
            </w:tcBorders>
          </w:tcPr>
          <w:p w14:paraId="7C8D107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296</w:t>
            </w:r>
          </w:p>
        </w:tc>
        <w:tc>
          <w:tcPr>
            <w:tcW w:w="1276" w:type="dxa"/>
            <w:tcBorders>
              <w:top w:val="nil"/>
              <w:left w:val="nil"/>
              <w:bottom w:val="single" w:sz="8" w:space="0" w:color="auto"/>
              <w:right w:val="single" w:sz="8" w:space="0" w:color="auto"/>
            </w:tcBorders>
          </w:tcPr>
          <w:p w14:paraId="4ABD915A"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657E07B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7.03</w:t>
            </w:r>
          </w:p>
        </w:tc>
        <w:tc>
          <w:tcPr>
            <w:tcW w:w="1276" w:type="dxa"/>
            <w:tcBorders>
              <w:top w:val="nil"/>
              <w:left w:val="nil"/>
              <w:bottom w:val="single" w:sz="8" w:space="0" w:color="auto"/>
              <w:right w:val="single" w:sz="8" w:space="0" w:color="auto"/>
            </w:tcBorders>
          </w:tcPr>
          <w:p w14:paraId="2EFB6933"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10.81</w:t>
            </w:r>
          </w:p>
        </w:tc>
        <w:tc>
          <w:tcPr>
            <w:tcW w:w="2126" w:type="dxa"/>
            <w:tcBorders>
              <w:top w:val="nil"/>
              <w:left w:val="nil"/>
              <w:bottom w:val="single" w:sz="8" w:space="0" w:color="auto"/>
              <w:right w:val="single" w:sz="8" w:space="0" w:color="auto"/>
            </w:tcBorders>
          </w:tcPr>
          <w:p w14:paraId="7DFFA25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250</w:t>
            </w:r>
          </w:p>
        </w:tc>
        <w:tc>
          <w:tcPr>
            <w:tcW w:w="1701" w:type="dxa"/>
            <w:tcBorders>
              <w:top w:val="nil"/>
              <w:left w:val="nil"/>
              <w:bottom w:val="single" w:sz="8" w:space="0" w:color="auto"/>
              <w:right w:val="single" w:sz="8" w:space="0" w:color="auto"/>
            </w:tcBorders>
          </w:tcPr>
          <w:p w14:paraId="5302E0A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30706D36"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24E1BC4E" w14:textId="77777777" w:rsidTr="00982513">
        <w:trPr>
          <w:trHeight w:val="53"/>
        </w:trPr>
        <w:tc>
          <w:tcPr>
            <w:tcW w:w="2498" w:type="dxa"/>
            <w:tcBorders>
              <w:top w:val="nil"/>
              <w:left w:val="double" w:sz="6" w:space="0" w:color="auto"/>
              <w:bottom w:val="single" w:sz="8" w:space="0" w:color="auto"/>
              <w:right w:val="single" w:sz="8" w:space="0" w:color="auto"/>
            </w:tcBorders>
          </w:tcPr>
          <w:p w14:paraId="66B7B946"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Chlorella vulgaris</w:t>
            </w:r>
          </w:p>
        </w:tc>
        <w:tc>
          <w:tcPr>
            <w:tcW w:w="1134" w:type="dxa"/>
            <w:tcBorders>
              <w:top w:val="nil"/>
              <w:left w:val="nil"/>
              <w:bottom w:val="single" w:sz="8" w:space="0" w:color="auto"/>
              <w:right w:val="single" w:sz="8" w:space="0" w:color="auto"/>
            </w:tcBorders>
          </w:tcPr>
          <w:p w14:paraId="314B925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254</w:t>
            </w:r>
          </w:p>
        </w:tc>
        <w:tc>
          <w:tcPr>
            <w:tcW w:w="1276" w:type="dxa"/>
            <w:tcBorders>
              <w:top w:val="nil"/>
              <w:left w:val="nil"/>
              <w:bottom w:val="single" w:sz="8" w:space="0" w:color="auto"/>
              <w:right w:val="single" w:sz="8" w:space="0" w:color="auto"/>
            </w:tcBorders>
          </w:tcPr>
          <w:p w14:paraId="3B39DA43"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3577213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7.01</w:t>
            </w:r>
          </w:p>
        </w:tc>
        <w:tc>
          <w:tcPr>
            <w:tcW w:w="1276" w:type="dxa"/>
            <w:tcBorders>
              <w:top w:val="nil"/>
              <w:left w:val="nil"/>
              <w:bottom w:val="single" w:sz="8" w:space="0" w:color="auto"/>
              <w:right w:val="single" w:sz="8" w:space="0" w:color="auto"/>
            </w:tcBorders>
          </w:tcPr>
          <w:p w14:paraId="3641415F"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10.03</w:t>
            </w:r>
          </w:p>
        </w:tc>
        <w:tc>
          <w:tcPr>
            <w:tcW w:w="2126" w:type="dxa"/>
            <w:tcBorders>
              <w:top w:val="nil"/>
              <w:left w:val="nil"/>
              <w:bottom w:val="single" w:sz="8" w:space="0" w:color="auto"/>
              <w:right w:val="single" w:sz="8" w:space="0" w:color="auto"/>
            </w:tcBorders>
          </w:tcPr>
          <w:p w14:paraId="0075BAE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500</w:t>
            </w:r>
          </w:p>
        </w:tc>
        <w:tc>
          <w:tcPr>
            <w:tcW w:w="1701" w:type="dxa"/>
            <w:tcBorders>
              <w:top w:val="nil"/>
              <w:left w:val="nil"/>
              <w:bottom w:val="single" w:sz="8" w:space="0" w:color="auto"/>
              <w:right w:val="single" w:sz="8" w:space="0" w:color="auto"/>
            </w:tcBorders>
          </w:tcPr>
          <w:p w14:paraId="3F90A84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2B95977F"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4CB2249B" w14:textId="77777777" w:rsidTr="00982513">
        <w:trPr>
          <w:trHeight w:val="53"/>
        </w:trPr>
        <w:tc>
          <w:tcPr>
            <w:tcW w:w="2498" w:type="dxa"/>
            <w:tcBorders>
              <w:top w:val="nil"/>
              <w:left w:val="double" w:sz="6" w:space="0" w:color="auto"/>
              <w:bottom w:val="single" w:sz="8" w:space="0" w:color="auto"/>
              <w:right w:val="single" w:sz="8" w:space="0" w:color="auto"/>
            </w:tcBorders>
          </w:tcPr>
          <w:p w14:paraId="0301B5A9"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Chlorella vulgaris</w:t>
            </w:r>
          </w:p>
        </w:tc>
        <w:tc>
          <w:tcPr>
            <w:tcW w:w="1134" w:type="dxa"/>
            <w:tcBorders>
              <w:top w:val="nil"/>
              <w:left w:val="nil"/>
              <w:bottom w:val="single" w:sz="8" w:space="0" w:color="auto"/>
              <w:right w:val="single" w:sz="8" w:space="0" w:color="auto"/>
            </w:tcBorders>
          </w:tcPr>
          <w:p w14:paraId="73A2C62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60</w:t>
            </w:r>
          </w:p>
        </w:tc>
        <w:tc>
          <w:tcPr>
            <w:tcW w:w="1276" w:type="dxa"/>
            <w:tcBorders>
              <w:top w:val="nil"/>
              <w:left w:val="nil"/>
              <w:bottom w:val="single" w:sz="8" w:space="0" w:color="auto"/>
              <w:right w:val="single" w:sz="8" w:space="0" w:color="auto"/>
            </w:tcBorders>
          </w:tcPr>
          <w:p w14:paraId="46986AA9"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6040B17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7.04</w:t>
            </w:r>
          </w:p>
        </w:tc>
        <w:tc>
          <w:tcPr>
            <w:tcW w:w="1276" w:type="dxa"/>
            <w:tcBorders>
              <w:top w:val="nil"/>
              <w:left w:val="nil"/>
              <w:bottom w:val="single" w:sz="8" w:space="0" w:color="auto"/>
              <w:right w:val="single" w:sz="8" w:space="0" w:color="auto"/>
            </w:tcBorders>
          </w:tcPr>
          <w:p w14:paraId="2CE59E97"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1.5</w:t>
            </w:r>
          </w:p>
        </w:tc>
        <w:tc>
          <w:tcPr>
            <w:tcW w:w="2126" w:type="dxa"/>
            <w:tcBorders>
              <w:top w:val="nil"/>
              <w:left w:val="nil"/>
              <w:bottom w:val="single" w:sz="8" w:space="0" w:color="auto"/>
              <w:right w:val="single" w:sz="8" w:space="0" w:color="auto"/>
            </w:tcBorders>
          </w:tcPr>
          <w:p w14:paraId="0001D7B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250</w:t>
            </w:r>
          </w:p>
        </w:tc>
        <w:tc>
          <w:tcPr>
            <w:tcW w:w="1701" w:type="dxa"/>
            <w:tcBorders>
              <w:top w:val="nil"/>
              <w:left w:val="nil"/>
              <w:bottom w:val="single" w:sz="8" w:space="0" w:color="auto"/>
              <w:right w:val="single" w:sz="8" w:space="0" w:color="auto"/>
            </w:tcBorders>
          </w:tcPr>
          <w:p w14:paraId="61BCEDD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27FDBFC1"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2E8A3D6D" w14:textId="77777777" w:rsidTr="00982513">
        <w:trPr>
          <w:trHeight w:val="53"/>
        </w:trPr>
        <w:tc>
          <w:tcPr>
            <w:tcW w:w="2498" w:type="dxa"/>
            <w:tcBorders>
              <w:top w:val="nil"/>
              <w:left w:val="double" w:sz="6" w:space="0" w:color="auto"/>
              <w:bottom w:val="single" w:sz="8" w:space="0" w:color="auto"/>
              <w:right w:val="single" w:sz="8" w:space="0" w:color="auto"/>
            </w:tcBorders>
          </w:tcPr>
          <w:p w14:paraId="693331D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Chlorella vulgaris</w:t>
            </w:r>
          </w:p>
        </w:tc>
        <w:tc>
          <w:tcPr>
            <w:tcW w:w="1134" w:type="dxa"/>
            <w:tcBorders>
              <w:top w:val="nil"/>
              <w:left w:val="nil"/>
              <w:bottom w:val="single" w:sz="8" w:space="0" w:color="auto"/>
              <w:right w:val="single" w:sz="8" w:space="0" w:color="auto"/>
            </w:tcBorders>
          </w:tcPr>
          <w:p w14:paraId="6C0ADAC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200</w:t>
            </w:r>
          </w:p>
        </w:tc>
        <w:tc>
          <w:tcPr>
            <w:tcW w:w="1276" w:type="dxa"/>
            <w:tcBorders>
              <w:top w:val="nil"/>
              <w:left w:val="nil"/>
              <w:bottom w:val="single" w:sz="8" w:space="0" w:color="auto"/>
              <w:right w:val="single" w:sz="8" w:space="0" w:color="auto"/>
            </w:tcBorders>
          </w:tcPr>
          <w:p w14:paraId="77787C9A"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64511EA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8.75</w:t>
            </w:r>
          </w:p>
        </w:tc>
        <w:tc>
          <w:tcPr>
            <w:tcW w:w="1276" w:type="dxa"/>
            <w:tcBorders>
              <w:top w:val="nil"/>
              <w:left w:val="nil"/>
              <w:bottom w:val="single" w:sz="8" w:space="0" w:color="auto"/>
              <w:right w:val="single" w:sz="8" w:space="0" w:color="auto"/>
            </w:tcBorders>
          </w:tcPr>
          <w:p w14:paraId="1711A624"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9.9</w:t>
            </w:r>
          </w:p>
        </w:tc>
        <w:tc>
          <w:tcPr>
            <w:tcW w:w="2126" w:type="dxa"/>
            <w:tcBorders>
              <w:top w:val="nil"/>
              <w:left w:val="nil"/>
              <w:bottom w:val="single" w:sz="8" w:space="0" w:color="auto"/>
              <w:right w:val="single" w:sz="8" w:space="0" w:color="auto"/>
            </w:tcBorders>
          </w:tcPr>
          <w:p w14:paraId="1B1F72C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250</w:t>
            </w:r>
          </w:p>
        </w:tc>
        <w:tc>
          <w:tcPr>
            <w:tcW w:w="1701" w:type="dxa"/>
            <w:tcBorders>
              <w:top w:val="nil"/>
              <w:left w:val="nil"/>
              <w:bottom w:val="single" w:sz="8" w:space="0" w:color="auto"/>
              <w:right w:val="single" w:sz="8" w:space="0" w:color="auto"/>
            </w:tcBorders>
          </w:tcPr>
          <w:p w14:paraId="2082B22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50FA548B"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40C02F07" w14:textId="77777777" w:rsidTr="00982513">
        <w:trPr>
          <w:trHeight w:val="53"/>
        </w:trPr>
        <w:tc>
          <w:tcPr>
            <w:tcW w:w="2498" w:type="dxa"/>
            <w:tcBorders>
              <w:top w:val="nil"/>
              <w:left w:val="double" w:sz="6" w:space="0" w:color="auto"/>
              <w:bottom w:val="single" w:sz="8" w:space="0" w:color="auto"/>
              <w:right w:val="single" w:sz="8" w:space="0" w:color="auto"/>
            </w:tcBorders>
          </w:tcPr>
          <w:p w14:paraId="08634BC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Chlorella vulgaris</w:t>
            </w:r>
          </w:p>
        </w:tc>
        <w:tc>
          <w:tcPr>
            <w:tcW w:w="1134" w:type="dxa"/>
            <w:tcBorders>
              <w:top w:val="nil"/>
              <w:left w:val="nil"/>
              <w:bottom w:val="single" w:sz="8" w:space="0" w:color="auto"/>
              <w:right w:val="single" w:sz="8" w:space="0" w:color="auto"/>
            </w:tcBorders>
          </w:tcPr>
          <w:p w14:paraId="645EC83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446</w:t>
            </w:r>
          </w:p>
        </w:tc>
        <w:tc>
          <w:tcPr>
            <w:tcW w:w="1276" w:type="dxa"/>
            <w:tcBorders>
              <w:top w:val="nil"/>
              <w:left w:val="nil"/>
              <w:bottom w:val="single" w:sz="8" w:space="0" w:color="auto"/>
              <w:right w:val="single" w:sz="8" w:space="0" w:color="auto"/>
            </w:tcBorders>
          </w:tcPr>
          <w:p w14:paraId="2333C54B"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1424838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7.05</w:t>
            </w:r>
          </w:p>
        </w:tc>
        <w:tc>
          <w:tcPr>
            <w:tcW w:w="1276" w:type="dxa"/>
            <w:tcBorders>
              <w:top w:val="nil"/>
              <w:left w:val="nil"/>
              <w:bottom w:val="single" w:sz="8" w:space="0" w:color="auto"/>
              <w:right w:val="single" w:sz="8" w:space="0" w:color="auto"/>
            </w:tcBorders>
          </w:tcPr>
          <w:p w14:paraId="57D664C6"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19.9</w:t>
            </w:r>
          </w:p>
        </w:tc>
        <w:tc>
          <w:tcPr>
            <w:tcW w:w="2126" w:type="dxa"/>
            <w:tcBorders>
              <w:top w:val="nil"/>
              <w:left w:val="nil"/>
              <w:bottom w:val="single" w:sz="8" w:space="0" w:color="auto"/>
              <w:right w:val="single" w:sz="8" w:space="0" w:color="auto"/>
            </w:tcBorders>
          </w:tcPr>
          <w:p w14:paraId="56E4E98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250</w:t>
            </w:r>
          </w:p>
        </w:tc>
        <w:tc>
          <w:tcPr>
            <w:tcW w:w="1701" w:type="dxa"/>
            <w:tcBorders>
              <w:top w:val="nil"/>
              <w:left w:val="nil"/>
              <w:bottom w:val="single" w:sz="8" w:space="0" w:color="auto"/>
              <w:right w:val="single" w:sz="8" w:space="0" w:color="auto"/>
            </w:tcBorders>
          </w:tcPr>
          <w:p w14:paraId="26DED11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4D07D697"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730A8A22" w14:textId="77777777" w:rsidTr="00982513">
        <w:trPr>
          <w:trHeight w:val="53"/>
        </w:trPr>
        <w:tc>
          <w:tcPr>
            <w:tcW w:w="2498" w:type="dxa"/>
            <w:tcBorders>
              <w:top w:val="nil"/>
              <w:left w:val="double" w:sz="6" w:space="0" w:color="auto"/>
              <w:bottom w:val="single" w:sz="8" w:space="0" w:color="auto"/>
              <w:right w:val="single" w:sz="8" w:space="0" w:color="auto"/>
            </w:tcBorders>
          </w:tcPr>
          <w:p w14:paraId="27D90705"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Chlorella vulgaris</w:t>
            </w:r>
          </w:p>
        </w:tc>
        <w:tc>
          <w:tcPr>
            <w:tcW w:w="1134" w:type="dxa"/>
            <w:tcBorders>
              <w:top w:val="nil"/>
              <w:left w:val="nil"/>
              <w:bottom w:val="single" w:sz="8" w:space="0" w:color="auto"/>
              <w:right w:val="single" w:sz="8" w:space="0" w:color="auto"/>
            </w:tcBorders>
          </w:tcPr>
          <w:p w14:paraId="4BEF1EB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440</w:t>
            </w:r>
          </w:p>
        </w:tc>
        <w:tc>
          <w:tcPr>
            <w:tcW w:w="1276" w:type="dxa"/>
            <w:tcBorders>
              <w:top w:val="nil"/>
              <w:left w:val="nil"/>
              <w:bottom w:val="single" w:sz="8" w:space="0" w:color="auto"/>
              <w:right w:val="single" w:sz="8" w:space="0" w:color="auto"/>
            </w:tcBorders>
          </w:tcPr>
          <w:p w14:paraId="2F7AFCEC"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1C45AF6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6.01</w:t>
            </w:r>
          </w:p>
        </w:tc>
        <w:tc>
          <w:tcPr>
            <w:tcW w:w="1276" w:type="dxa"/>
            <w:tcBorders>
              <w:top w:val="nil"/>
              <w:left w:val="nil"/>
              <w:bottom w:val="single" w:sz="8" w:space="0" w:color="auto"/>
              <w:right w:val="single" w:sz="8" w:space="0" w:color="auto"/>
            </w:tcBorders>
          </w:tcPr>
          <w:p w14:paraId="386772DD"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5.03</w:t>
            </w:r>
          </w:p>
        </w:tc>
        <w:tc>
          <w:tcPr>
            <w:tcW w:w="2126" w:type="dxa"/>
            <w:tcBorders>
              <w:top w:val="nil"/>
              <w:left w:val="nil"/>
              <w:bottom w:val="single" w:sz="8" w:space="0" w:color="auto"/>
              <w:right w:val="single" w:sz="8" w:space="0" w:color="auto"/>
            </w:tcBorders>
          </w:tcPr>
          <w:p w14:paraId="73AE5DB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400</w:t>
            </w:r>
          </w:p>
        </w:tc>
        <w:tc>
          <w:tcPr>
            <w:tcW w:w="1701" w:type="dxa"/>
            <w:tcBorders>
              <w:top w:val="nil"/>
              <w:left w:val="nil"/>
              <w:bottom w:val="single" w:sz="8" w:space="0" w:color="auto"/>
              <w:right w:val="single" w:sz="8" w:space="0" w:color="auto"/>
            </w:tcBorders>
          </w:tcPr>
          <w:p w14:paraId="034D9EE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53D6D086"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6E6540E5" w14:textId="77777777" w:rsidTr="00982513">
        <w:trPr>
          <w:trHeight w:val="53"/>
        </w:trPr>
        <w:tc>
          <w:tcPr>
            <w:tcW w:w="2498" w:type="dxa"/>
            <w:tcBorders>
              <w:top w:val="nil"/>
              <w:left w:val="double" w:sz="6" w:space="0" w:color="auto"/>
              <w:bottom w:val="single" w:sz="8" w:space="0" w:color="auto"/>
              <w:right w:val="single" w:sz="8" w:space="0" w:color="auto"/>
            </w:tcBorders>
          </w:tcPr>
          <w:p w14:paraId="766228F1"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Chlorella vulgaris</w:t>
            </w:r>
          </w:p>
        </w:tc>
        <w:tc>
          <w:tcPr>
            <w:tcW w:w="1134" w:type="dxa"/>
            <w:tcBorders>
              <w:top w:val="nil"/>
              <w:left w:val="nil"/>
              <w:bottom w:val="single" w:sz="8" w:space="0" w:color="auto"/>
              <w:right w:val="single" w:sz="8" w:space="0" w:color="auto"/>
            </w:tcBorders>
          </w:tcPr>
          <w:p w14:paraId="2EC9A9A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987</w:t>
            </w:r>
          </w:p>
        </w:tc>
        <w:tc>
          <w:tcPr>
            <w:tcW w:w="1276" w:type="dxa"/>
            <w:tcBorders>
              <w:top w:val="nil"/>
              <w:left w:val="nil"/>
              <w:bottom w:val="single" w:sz="8" w:space="0" w:color="auto"/>
              <w:right w:val="single" w:sz="8" w:space="0" w:color="auto"/>
            </w:tcBorders>
          </w:tcPr>
          <w:p w14:paraId="097E2824"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47D6909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6.05</w:t>
            </w:r>
          </w:p>
        </w:tc>
        <w:tc>
          <w:tcPr>
            <w:tcW w:w="1276" w:type="dxa"/>
            <w:tcBorders>
              <w:top w:val="nil"/>
              <w:left w:val="nil"/>
              <w:bottom w:val="single" w:sz="8" w:space="0" w:color="auto"/>
              <w:right w:val="single" w:sz="8" w:space="0" w:color="auto"/>
            </w:tcBorders>
          </w:tcPr>
          <w:p w14:paraId="0D75F4CF"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15.24</w:t>
            </w:r>
          </w:p>
        </w:tc>
        <w:tc>
          <w:tcPr>
            <w:tcW w:w="2126" w:type="dxa"/>
            <w:tcBorders>
              <w:top w:val="nil"/>
              <w:left w:val="nil"/>
              <w:bottom w:val="single" w:sz="8" w:space="0" w:color="auto"/>
              <w:right w:val="single" w:sz="8" w:space="0" w:color="auto"/>
            </w:tcBorders>
          </w:tcPr>
          <w:p w14:paraId="013D57A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400</w:t>
            </w:r>
          </w:p>
        </w:tc>
        <w:tc>
          <w:tcPr>
            <w:tcW w:w="1701" w:type="dxa"/>
            <w:tcBorders>
              <w:top w:val="nil"/>
              <w:left w:val="nil"/>
              <w:bottom w:val="single" w:sz="8" w:space="0" w:color="auto"/>
              <w:right w:val="single" w:sz="8" w:space="0" w:color="auto"/>
            </w:tcBorders>
          </w:tcPr>
          <w:p w14:paraId="2958933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46135308"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1D142146" w14:textId="77777777" w:rsidTr="00982513">
        <w:trPr>
          <w:trHeight w:val="53"/>
        </w:trPr>
        <w:tc>
          <w:tcPr>
            <w:tcW w:w="2498" w:type="dxa"/>
            <w:tcBorders>
              <w:top w:val="nil"/>
              <w:left w:val="double" w:sz="6" w:space="0" w:color="auto"/>
              <w:bottom w:val="single" w:sz="8" w:space="0" w:color="auto"/>
              <w:right w:val="single" w:sz="8" w:space="0" w:color="auto"/>
            </w:tcBorders>
          </w:tcPr>
          <w:p w14:paraId="3D777166"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Chlorella vulgaris</w:t>
            </w:r>
          </w:p>
        </w:tc>
        <w:tc>
          <w:tcPr>
            <w:tcW w:w="1134" w:type="dxa"/>
            <w:tcBorders>
              <w:top w:val="nil"/>
              <w:left w:val="nil"/>
              <w:bottom w:val="single" w:sz="8" w:space="0" w:color="auto"/>
              <w:right w:val="single" w:sz="8" w:space="0" w:color="auto"/>
            </w:tcBorders>
          </w:tcPr>
          <w:p w14:paraId="2A46389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111</w:t>
            </w:r>
          </w:p>
        </w:tc>
        <w:tc>
          <w:tcPr>
            <w:tcW w:w="1276" w:type="dxa"/>
            <w:tcBorders>
              <w:top w:val="nil"/>
              <w:left w:val="nil"/>
              <w:bottom w:val="single" w:sz="8" w:space="0" w:color="auto"/>
              <w:right w:val="single" w:sz="8" w:space="0" w:color="auto"/>
            </w:tcBorders>
          </w:tcPr>
          <w:p w14:paraId="62F5A6DC"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050F33F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7.88</w:t>
            </w:r>
          </w:p>
        </w:tc>
        <w:tc>
          <w:tcPr>
            <w:tcW w:w="1276" w:type="dxa"/>
            <w:tcBorders>
              <w:top w:val="nil"/>
              <w:left w:val="nil"/>
              <w:bottom w:val="single" w:sz="8" w:space="0" w:color="auto"/>
              <w:right w:val="single" w:sz="8" w:space="0" w:color="auto"/>
            </w:tcBorders>
          </w:tcPr>
          <w:p w14:paraId="334A6A98"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5.31</w:t>
            </w:r>
          </w:p>
        </w:tc>
        <w:tc>
          <w:tcPr>
            <w:tcW w:w="2126" w:type="dxa"/>
            <w:tcBorders>
              <w:top w:val="nil"/>
              <w:left w:val="nil"/>
              <w:bottom w:val="single" w:sz="8" w:space="0" w:color="auto"/>
              <w:right w:val="single" w:sz="8" w:space="0" w:color="auto"/>
            </w:tcBorders>
          </w:tcPr>
          <w:p w14:paraId="48E8227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100</w:t>
            </w:r>
          </w:p>
        </w:tc>
        <w:tc>
          <w:tcPr>
            <w:tcW w:w="1701" w:type="dxa"/>
            <w:tcBorders>
              <w:top w:val="nil"/>
              <w:left w:val="nil"/>
              <w:bottom w:val="single" w:sz="8" w:space="0" w:color="auto"/>
              <w:right w:val="single" w:sz="8" w:space="0" w:color="auto"/>
            </w:tcBorders>
          </w:tcPr>
          <w:p w14:paraId="0C7EC92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76F7D786"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57312552" w14:textId="77777777" w:rsidTr="00982513">
        <w:trPr>
          <w:trHeight w:val="53"/>
        </w:trPr>
        <w:tc>
          <w:tcPr>
            <w:tcW w:w="2498" w:type="dxa"/>
            <w:tcBorders>
              <w:top w:val="nil"/>
              <w:left w:val="double" w:sz="6" w:space="0" w:color="auto"/>
              <w:bottom w:val="single" w:sz="8" w:space="0" w:color="auto"/>
              <w:right w:val="single" w:sz="8" w:space="0" w:color="auto"/>
            </w:tcBorders>
          </w:tcPr>
          <w:p w14:paraId="284D3BFE"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Chlorella vulgaris</w:t>
            </w:r>
          </w:p>
        </w:tc>
        <w:tc>
          <w:tcPr>
            <w:tcW w:w="1134" w:type="dxa"/>
            <w:tcBorders>
              <w:top w:val="nil"/>
              <w:left w:val="nil"/>
              <w:bottom w:val="single" w:sz="8" w:space="0" w:color="auto"/>
              <w:right w:val="single" w:sz="8" w:space="0" w:color="auto"/>
            </w:tcBorders>
          </w:tcPr>
          <w:p w14:paraId="360356A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380</w:t>
            </w:r>
          </w:p>
        </w:tc>
        <w:tc>
          <w:tcPr>
            <w:tcW w:w="1276" w:type="dxa"/>
            <w:tcBorders>
              <w:top w:val="nil"/>
              <w:left w:val="nil"/>
              <w:bottom w:val="single" w:sz="8" w:space="0" w:color="auto"/>
              <w:right w:val="single" w:sz="8" w:space="0" w:color="auto"/>
            </w:tcBorders>
          </w:tcPr>
          <w:p w14:paraId="391FA37A"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0DCF474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7.88</w:t>
            </w:r>
          </w:p>
        </w:tc>
        <w:tc>
          <w:tcPr>
            <w:tcW w:w="1276" w:type="dxa"/>
            <w:tcBorders>
              <w:top w:val="nil"/>
              <w:left w:val="nil"/>
              <w:bottom w:val="single" w:sz="8" w:space="0" w:color="auto"/>
              <w:right w:val="single" w:sz="8" w:space="0" w:color="auto"/>
            </w:tcBorders>
          </w:tcPr>
          <w:p w14:paraId="63ED4A79"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15.66</w:t>
            </w:r>
          </w:p>
        </w:tc>
        <w:tc>
          <w:tcPr>
            <w:tcW w:w="2126" w:type="dxa"/>
            <w:tcBorders>
              <w:top w:val="nil"/>
              <w:left w:val="nil"/>
              <w:bottom w:val="single" w:sz="8" w:space="0" w:color="auto"/>
              <w:right w:val="single" w:sz="8" w:space="0" w:color="auto"/>
            </w:tcBorders>
          </w:tcPr>
          <w:p w14:paraId="214EF73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100</w:t>
            </w:r>
          </w:p>
        </w:tc>
        <w:tc>
          <w:tcPr>
            <w:tcW w:w="1701" w:type="dxa"/>
            <w:tcBorders>
              <w:top w:val="nil"/>
              <w:left w:val="nil"/>
              <w:bottom w:val="single" w:sz="8" w:space="0" w:color="auto"/>
              <w:right w:val="single" w:sz="8" w:space="0" w:color="auto"/>
            </w:tcBorders>
          </w:tcPr>
          <w:p w14:paraId="6D6E20F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34F286FB"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1E909466" w14:textId="77777777" w:rsidTr="00982513">
        <w:trPr>
          <w:trHeight w:val="53"/>
        </w:trPr>
        <w:tc>
          <w:tcPr>
            <w:tcW w:w="2498" w:type="dxa"/>
            <w:tcBorders>
              <w:top w:val="nil"/>
              <w:left w:val="double" w:sz="6" w:space="0" w:color="auto"/>
              <w:bottom w:val="single" w:sz="8" w:space="0" w:color="auto"/>
              <w:right w:val="single" w:sz="8" w:space="0" w:color="auto"/>
            </w:tcBorders>
          </w:tcPr>
          <w:p w14:paraId="1371A856"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Chlorella vulgaris</w:t>
            </w:r>
          </w:p>
        </w:tc>
        <w:tc>
          <w:tcPr>
            <w:tcW w:w="1134" w:type="dxa"/>
            <w:tcBorders>
              <w:top w:val="nil"/>
              <w:left w:val="nil"/>
              <w:bottom w:val="single" w:sz="8" w:space="0" w:color="auto"/>
              <w:right w:val="single" w:sz="8" w:space="0" w:color="auto"/>
            </w:tcBorders>
          </w:tcPr>
          <w:p w14:paraId="0A53B42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602</w:t>
            </w:r>
          </w:p>
        </w:tc>
        <w:tc>
          <w:tcPr>
            <w:tcW w:w="1276" w:type="dxa"/>
            <w:tcBorders>
              <w:top w:val="nil"/>
              <w:left w:val="nil"/>
              <w:bottom w:val="single" w:sz="8" w:space="0" w:color="auto"/>
              <w:right w:val="single" w:sz="8" w:space="0" w:color="auto"/>
            </w:tcBorders>
          </w:tcPr>
          <w:p w14:paraId="4832E587"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639C501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5.5</w:t>
            </w:r>
          </w:p>
        </w:tc>
        <w:tc>
          <w:tcPr>
            <w:tcW w:w="1276" w:type="dxa"/>
            <w:tcBorders>
              <w:top w:val="nil"/>
              <w:left w:val="nil"/>
              <w:bottom w:val="single" w:sz="8" w:space="0" w:color="auto"/>
              <w:right w:val="single" w:sz="8" w:space="0" w:color="auto"/>
            </w:tcBorders>
          </w:tcPr>
          <w:p w14:paraId="7EB8AF2E"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10.27</w:t>
            </w:r>
          </w:p>
        </w:tc>
        <w:tc>
          <w:tcPr>
            <w:tcW w:w="2126" w:type="dxa"/>
            <w:tcBorders>
              <w:top w:val="nil"/>
              <w:left w:val="nil"/>
              <w:bottom w:val="single" w:sz="8" w:space="0" w:color="auto"/>
              <w:right w:val="single" w:sz="8" w:space="0" w:color="auto"/>
            </w:tcBorders>
          </w:tcPr>
          <w:p w14:paraId="0E25867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250</w:t>
            </w:r>
          </w:p>
        </w:tc>
        <w:tc>
          <w:tcPr>
            <w:tcW w:w="1701" w:type="dxa"/>
            <w:tcBorders>
              <w:top w:val="nil"/>
              <w:left w:val="nil"/>
              <w:bottom w:val="single" w:sz="8" w:space="0" w:color="auto"/>
              <w:right w:val="single" w:sz="8" w:space="0" w:color="auto"/>
            </w:tcBorders>
          </w:tcPr>
          <w:p w14:paraId="50A3C4A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35BC9443"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1E6AE5A1" w14:textId="77777777" w:rsidTr="00982513">
        <w:trPr>
          <w:trHeight w:val="53"/>
        </w:trPr>
        <w:tc>
          <w:tcPr>
            <w:tcW w:w="2498" w:type="dxa"/>
            <w:tcBorders>
              <w:top w:val="nil"/>
              <w:left w:val="double" w:sz="6" w:space="0" w:color="auto"/>
              <w:bottom w:val="single" w:sz="8" w:space="0" w:color="auto"/>
              <w:right w:val="single" w:sz="8" w:space="0" w:color="auto"/>
            </w:tcBorders>
          </w:tcPr>
          <w:p w14:paraId="2B99E08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Chlorella vulgaris</w:t>
            </w:r>
          </w:p>
        </w:tc>
        <w:tc>
          <w:tcPr>
            <w:tcW w:w="1134" w:type="dxa"/>
            <w:tcBorders>
              <w:top w:val="nil"/>
              <w:left w:val="nil"/>
              <w:bottom w:val="single" w:sz="8" w:space="0" w:color="auto"/>
              <w:right w:val="single" w:sz="8" w:space="0" w:color="auto"/>
            </w:tcBorders>
          </w:tcPr>
          <w:p w14:paraId="49475BD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238</w:t>
            </w:r>
          </w:p>
        </w:tc>
        <w:tc>
          <w:tcPr>
            <w:tcW w:w="1276" w:type="dxa"/>
            <w:tcBorders>
              <w:top w:val="nil"/>
              <w:left w:val="nil"/>
              <w:bottom w:val="single" w:sz="8" w:space="0" w:color="auto"/>
              <w:right w:val="single" w:sz="8" w:space="0" w:color="auto"/>
            </w:tcBorders>
          </w:tcPr>
          <w:p w14:paraId="519BBEF8"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5EFA04D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7.07</w:t>
            </w:r>
          </w:p>
        </w:tc>
        <w:tc>
          <w:tcPr>
            <w:tcW w:w="1276" w:type="dxa"/>
            <w:tcBorders>
              <w:top w:val="nil"/>
              <w:left w:val="nil"/>
              <w:bottom w:val="single" w:sz="8" w:space="0" w:color="auto"/>
              <w:right w:val="single" w:sz="8" w:space="0" w:color="auto"/>
            </w:tcBorders>
          </w:tcPr>
          <w:p w14:paraId="3898704A"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10.26</w:t>
            </w:r>
          </w:p>
        </w:tc>
        <w:tc>
          <w:tcPr>
            <w:tcW w:w="2126" w:type="dxa"/>
            <w:tcBorders>
              <w:top w:val="nil"/>
              <w:left w:val="nil"/>
              <w:bottom w:val="single" w:sz="8" w:space="0" w:color="auto"/>
              <w:right w:val="single" w:sz="8" w:space="0" w:color="auto"/>
            </w:tcBorders>
          </w:tcPr>
          <w:p w14:paraId="4B18ABF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1701" w:type="dxa"/>
            <w:tcBorders>
              <w:top w:val="nil"/>
              <w:left w:val="nil"/>
              <w:bottom w:val="single" w:sz="8" w:space="0" w:color="auto"/>
              <w:right w:val="single" w:sz="8" w:space="0" w:color="auto"/>
            </w:tcBorders>
          </w:tcPr>
          <w:p w14:paraId="0C89D77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1F1C5EBB"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267A0E68" w14:textId="77777777" w:rsidTr="00982513">
        <w:trPr>
          <w:trHeight w:val="53"/>
        </w:trPr>
        <w:tc>
          <w:tcPr>
            <w:tcW w:w="2498" w:type="dxa"/>
            <w:tcBorders>
              <w:top w:val="nil"/>
              <w:left w:val="double" w:sz="6" w:space="0" w:color="auto"/>
              <w:bottom w:val="single" w:sz="8" w:space="0" w:color="auto"/>
              <w:right w:val="single" w:sz="8" w:space="0" w:color="auto"/>
            </w:tcBorders>
          </w:tcPr>
          <w:p w14:paraId="05F82616"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Chlorella vulgaris</w:t>
            </w:r>
          </w:p>
        </w:tc>
        <w:tc>
          <w:tcPr>
            <w:tcW w:w="1134" w:type="dxa"/>
            <w:tcBorders>
              <w:top w:val="nil"/>
              <w:left w:val="nil"/>
              <w:bottom w:val="single" w:sz="8" w:space="0" w:color="auto"/>
              <w:right w:val="single" w:sz="8" w:space="0" w:color="auto"/>
            </w:tcBorders>
          </w:tcPr>
          <w:p w14:paraId="1BD9D03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364</w:t>
            </w:r>
          </w:p>
        </w:tc>
        <w:tc>
          <w:tcPr>
            <w:tcW w:w="1276" w:type="dxa"/>
            <w:tcBorders>
              <w:top w:val="nil"/>
              <w:left w:val="nil"/>
              <w:bottom w:val="single" w:sz="8" w:space="0" w:color="auto"/>
              <w:right w:val="single" w:sz="8" w:space="0" w:color="auto"/>
            </w:tcBorders>
          </w:tcPr>
          <w:p w14:paraId="0E16A17C"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153DC60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7.03</w:t>
            </w:r>
          </w:p>
        </w:tc>
        <w:tc>
          <w:tcPr>
            <w:tcW w:w="1276" w:type="dxa"/>
            <w:tcBorders>
              <w:top w:val="nil"/>
              <w:left w:val="nil"/>
              <w:bottom w:val="single" w:sz="8" w:space="0" w:color="auto"/>
              <w:right w:val="single" w:sz="8" w:space="0" w:color="auto"/>
            </w:tcBorders>
          </w:tcPr>
          <w:p w14:paraId="7DE39671"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10.81</w:t>
            </w:r>
          </w:p>
        </w:tc>
        <w:tc>
          <w:tcPr>
            <w:tcW w:w="2126" w:type="dxa"/>
            <w:tcBorders>
              <w:top w:val="nil"/>
              <w:left w:val="nil"/>
              <w:bottom w:val="single" w:sz="8" w:space="0" w:color="auto"/>
              <w:right w:val="single" w:sz="8" w:space="0" w:color="auto"/>
            </w:tcBorders>
          </w:tcPr>
          <w:p w14:paraId="1F0F765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250</w:t>
            </w:r>
          </w:p>
        </w:tc>
        <w:tc>
          <w:tcPr>
            <w:tcW w:w="1701" w:type="dxa"/>
            <w:tcBorders>
              <w:top w:val="nil"/>
              <w:left w:val="nil"/>
              <w:bottom w:val="single" w:sz="8" w:space="0" w:color="auto"/>
              <w:right w:val="single" w:sz="8" w:space="0" w:color="auto"/>
            </w:tcBorders>
          </w:tcPr>
          <w:p w14:paraId="2F3AF8A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04615EAF"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5B8D1199" w14:textId="77777777" w:rsidTr="00982513">
        <w:trPr>
          <w:trHeight w:val="53"/>
        </w:trPr>
        <w:tc>
          <w:tcPr>
            <w:tcW w:w="2498" w:type="dxa"/>
            <w:tcBorders>
              <w:top w:val="nil"/>
              <w:left w:val="double" w:sz="6" w:space="0" w:color="auto"/>
              <w:bottom w:val="single" w:sz="8" w:space="0" w:color="auto"/>
              <w:right w:val="single" w:sz="8" w:space="0" w:color="auto"/>
            </w:tcBorders>
          </w:tcPr>
          <w:p w14:paraId="3387736A"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Chlorella vulgaris</w:t>
            </w:r>
          </w:p>
        </w:tc>
        <w:tc>
          <w:tcPr>
            <w:tcW w:w="1134" w:type="dxa"/>
            <w:tcBorders>
              <w:top w:val="nil"/>
              <w:left w:val="nil"/>
              <w:bottom w:val="single" w:sz="8" w:space="0" w:color="auto"/>
              <w:right w:val="single" w:sz="8" w:space="0" w:color="auto"/>
            </w:tcBorders>
          </w:tcPr>
          <w:p w14:paraId="6E6375D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ErC</w:t>
            </w:r>
            <w:r w:rsidRPr="0098635C">
              <w:rPr>
                <w:color w:val="000000" w:themeColor="text1"/>
                <w:sz w:val="20"/>
                <w:szCs w:val="20"/>
                <w:vertAlign w:val="subscript"/>
              </w:rPr>
              <w:t>50</w:t>
            </w:r>
            <w:r w:rsidRPr="0098635C">
              <w:rPr>
                <w:color w:val="000000" w:themeColor="text1"/>
                <w:sz w:val="20"/>
                <w:szCs w:val="20"/>
              </w:rPr>
              <w:t>: 208</w:t>
            </w:r>
          </w:p>
        </w:tc>
        <w:tc>
          <w:tcPr>
            <w:tcW w:w="1276" w:type="dxa"/>
            <w:tcBorders>
              <w:top w:val="nil"/>
              <w:left w:val="nil"/>
              <w:bottom w:val="single" w:sz="8" w:space="0" w:color="auto"/>
              <w:right w:val="single" w:sz="8" w:space="0" w:color="auto"/>
            </w:tcBorders>
          </w:tcPr>
          <w:p w14:paraId="78AD5648"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2CD3EE9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7.04</w:t>
            </w:r>
          </w:p>
        </w:tc>
        <w:tc>
          <w:tcPr>
            <w:tcW w:w="1276" w:type="dxa"/>
            <w:tcBorders>
              <w:top w:val="nil"/>
              <w:left w:val="nil"/>
              <w:bottom w:val="single" w:sz="8" w:space="0" w:color="auto"/>
              <w:right w:val="single" w:sz="8" w:space="0" w:color="auto"/>
            </w:tcBorders>
          </w:tcPr>
          <w:p w14:paraId="5974AFA8"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10.23</w:t>
            </w:r>
          </w:p>
        </w:tc>
        <w:tc>
          <w:tcPr>
            <w:tcW w:w="2126" w:type="dxa"/>
            <w:tcBorders>
              <w:top w:val="nil"/>
              <w:left w:val="nil"/>
              <w:bottom w:val="single" w:sz="8" w:space="0" w:color="auto"/>
              <w:right w:val="single" w:sz="8" w:space="0" w:color="auto"/>
            </w:tcBorders>
          </w:tcPr>
          <w:p w14:paraId="6C839E9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250</w:t>
            </w:r>
          </w:p>
        </w:tc>
        <w:tc>
          <w:tcPr>
            <w:tcW w:w="1701" w:type="dxa"/>
            <w:tcBorders>
              <w:top w:val="nil"/>
              <w:left w:val="nil"/>
              <w:bottom w:val="single" w:sz="8" w:space="0" w:color="auto"/>
              <w:right w:val="single" w:sz="8" w:space="0" w:color="auto"/>
            </w:tcBorders>
          </w:tcPr>
          <w:p w14:paraId="1067E98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7D770F26"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2006</w:t>
            </w:r>
          </w:p>
        </w:tc>
      </w:tr>
      <w:tr w:rsidR="00632208" w:rsidRPr="0098635C" w14:paraId="6E5002C3" w14:textId="77777777" w:rsidTr="00982513">
        <w:trPr>
          <w:trHeight w:val="53"/>
        </w:trPr>
        <w:tc>
          <w:tcPr>
            <w:tcW w:w="2498" w:type="dxa"/>
            <w:tcBorders>
              <w:top w:val="nil"/>
              <w:left w:val="double" w:sz="6" w:space="0" w:color="auto"/>
              <w:bottom w:val="single" w:sz="8" w:space="0" w:color="auto"/>
              <w:right w:val="single" w:sz="8" w:space="0" w:color="auto"/>
            </w:tcBorders>
          </w:tcPr>
          <w:p w14:paraId="4DE910E5"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0139F3C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100</w:t>
            </w:r>
          </w:p>
        </w:tc>
        <w:tc>
          <w:tcPr>
            <w:tcW w:w="1276" w:type="dxa"/>
            <w:tcBorders>
              <w:top w:val="nil"/>
              <w:left w:val="nil"/>
              <w:bottom w:val="single" w:sz="8" w:space="0" w:color="auto"/>
              <w:right w:val="single" w:sz="8" w:space="0" w:color="auto"/>
            </w:tcBorders>
          </w:tcPr>
          <w:p w14:paraId="27496020"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44F96EC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7.59</w:t>
            </w:r>
          </w:p>
        </w:tc>
        <w:tc>
          <w:tcPr>
            <w:tcW w:w="1276" w:type="dxa"/>
            <w:tcBorders>
              <w:top w:val="nil"/>
              <w:left w:val="nil"/>
              <w:bottom w:val="single" w:sz="8" w:space="0" w:color="auto"/>
              <w:right w:val="single" w:sz="8" w:space="0" w:color="auto"/>
            </w:tcBorders>
          </w:tcPr>
          <w:p w14:paraId="301B0A97"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1.5</w:t>
            </w:r>
          </w:p>
        </w:tc>
        <w:tc>
          <w:tcPr>
            <w:tcW w:w="2126" w:type="dxa"/>
            <w:tcBorders>
              <w:top w:val="nil"/>
              <w:left w:val="nil"/>
              <w:bottom w:val="single" w:sz="8" w:space="0" w:color="auto"/>
              <w:right w:val="single" w:sz="8" w:space="0" w:color="auto"/>
            </w:tcBorders>
          </w:tcPr>
          <w:p w14:paraId="187219A0" w14:textId="77777777" w:rsidR="00632208" w:rsidRPr="0098635C" w:rsidRDefault="00632208" w:rsidP="00A432B0">
            <w:pPr>
              <w:spacing w:after="0"/>
              <w:jc w:val="center"/>
              <w:rPr>
                <w:color w:val="000000" w:themeColor="text1"/>
                <w:sz w:val="20"/>
                <w:szCs w:val="20"/>
              </w:rPr>
            </w:pPr>
          </w:p>
        </w:tc>
        <w:tc>
          <w:tcPr>
            <w:tcW w:w="1701" w:type="dxa"/>
            <w:tcBorders>
              <w:top w:val="nil"/>
              <w:left w:val="nil"/>
              <w:bottom w:val="single" w:sz="8" w:space="0" w:color="auto"/>
              <w:right w:val="single" w:sz="8" w:space="0" w:color="auto"/>
            </w:tcBorders>
          </w:tcPr>
          <w:p w14:paraId="6C4DCFA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0023891E"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256E380E" w14:textId="77777777" w:rsidTr="00982513">
        <w:trPr>
          <w:trHeight w:val="53"/>
        </w:trPr>
        <w:tc>
          <w:tcPr>
            <w:tcW w:w="2498" w:type="dxa"/>
            <w:tcBorders>
              <w:top w:val="nil"/>
              <w:left w:val="double" w:sz="6" w:space="0" w:color="auto"/>
              <w:bottom w:val="single" w:sz="8" w:space="0" w:color="auto"/>
              <w:right w:val="single" w:sz="8" w:space="0" w:color="auto"/>
            </w:tcBorders>
          </w:tcPr>
          <w:p w14:paraId="0E86DBE5"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66AE950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200</w:t>
            </w:r>
          </w:p>
        </w:tc>
        <w:tc>
          <w:tcPr>
            <w:tcW w:w="1276" w:type="dxa"/>
            <w:tcBorders>
              <w:top w:val="nil"/>
              <w:left w:val="nil"/>
              <w:bottom w:val="single" w:sz="8" w:space="0" w:color="auto"/>
              <w:right w:val="single" w:sz="8" w:space="0" w:color="auto"/>
            </w:tcBorders>
          </w:tcPr>
          <w:p w14:paraId="52979677"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1C742F2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7.29</w:t>
            </w:r>
          </w:p>
        </w:tc>
        <w:tc>
          <w:tcPr>
            <w:tcW w:w="1276" w:type="dxa"/>
            <w:tcBorders>
              <w:top w:val="nil"/>
              <w:left w:val="nil"/>
              <w:bottom w:val="single" w:sz="8" w:space="0" w:color="auto"/>
              <w:right w:val="single" w:sz="8" w:space="0" w:color="auto"/>
            </w:tcBorders>
          </w:tcPr>
          <w:p w14:paraId="30425997"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3.4</w:t>
            </w:r>
          </w:p>
        </w:tc>
        <w:tc>
          <w:tcPr>
            <w:tcW w:w="2126" w:type="dxa"/>
            <w:tcBorders>
              <w:top w:val="nil"/>
              <w:left w:val="nil"/>
              <w:bottom w:val="single" w:sz="8" w:space="0" w:color="auto"/>
              <w:right w:val="single" w:sz="8" w:space="0" w:color="auto"/>
            </w:tcBorders>
          </w:tcPr>
          <w:p w14:paraId="7C73CEF1" w14:textId="77777777" w:rsidR="00632208" w:rsidRPr="0098635C" w:rsidRDefault="00632208" w:rsidP="00A432B0">
            <w:pPr>
              <w:spacing w:after="0"/>
              <w:jc w:val="center"/>
              <w:rPr>
                <w:color w:val="000000" w:themeColor="text1"/>
                <w:sz w:val="20"/>
                <w:szCs w:val="20"/>
              </w:rPr>
            </w:pPr>
          </w:p>
        </w:tc>
        <w:tc>
          <w:tcPr>
            <w:tcW w:w="1701" w:type="dxa"/>
            <w:tcBorders>
              <w:top w:val="nil"/>
              <w:left w:val="nil"/>
              <w:bottom w:val="single" w:sz="8" w:space="0" w:color="auto"/>
              <w:right w:val="single" w:sz="8" w:space="0" w:color="auto"/>
            </w:tcBorders>
          </w:tcPr>
          <w:p w14:paraId="01D6F2A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2E26E6BA"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710B213C" w14:textId="77777777" w:rsidTr="00982513">
        <w:trPr>
          <w:trHeight w:val="53"/>
        </w:trPr>
        <w:tc>
          <w:tcPr>
            <w:tcW w:w="2498" w:type="dxa"/>
            <w:tcBorders>
              <w:top w:val="nil"/>
              <w:left w:val="double" w:sz="6" w:space="0" w:color="auto"/>
              <w:bottom w:val="single" w:sz="8" w:space="0" w:color="auto"/>
              <w:right w:val="single" w:sz="8" w:space="0" w:color="auto"/>
            </w:tcBorders>
          </w:tcPr>
          <w:p w14:paraId="10692A56"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2D89D00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106</w:t>
            </w:r>
          </w:p>
        </w:tc>
        <w:tc>
          <w:tcPr>
            <w:tcW w:w="1276" w:type="dxa"/>
            <w:tcBorders>
              <w:top w:val="nil"/>
              <w:left w:val="nil"/>
              <w:bottom w:val="single" w:sz="8" w:space="0" w:color="auto"/>
              <w:right w:val="single" w:sz="8" w:space="0" w:color="auto"/>
            </w:tcBorders>
          </w:tcPr>
          <w:p w14:paraId="1AFE6B85"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2D6F920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6.4</w:t>
            </w:r>
          </w:p>
        </w:tc>
        <w:tc>
          <w:tcPr>
            <w:tcW w:w="1276" w:type="dxa"/>
            <w:tcBorders>
              <w:top w:val="nil"/>
              <w:left w:val="nil"/>
              <w:bottom w:val="single" w:sz="8" w:space="0" w:color="auto"/>
              <w:right w:val="single" w:sz="8" w:space="0" w:color="auto"/>
            </w:tcBorders>
          </w:tcPr>
          <w:p w14:paraId="2C41DFAD"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2.2</w:t>
            </w:r>
          </w:p>
        </w:tc>
        <w:tc>
          <w:tcPr>
            <w:tcW w:w="2126" w:type="dxa"/>
            <w:tcBorders>
              <w:top w:val="nil"/>
              <w:left w:val="nil"/>
              <w:bottom w:val="single" w:sz="8" w:space="0" w:color="auto"/>
              <w:right w:val="single" w:sz="8" w:space="0" w:color="auto"/>
            </w:tcBorders>
          </w:tcPr>
          <w:p w14:paraId="762EAE1C" w14:textId="77777777" w:rsidR="00632208" w:rsidRPr="0098635C" w:rsidRDefault="00632208" w:rsidP="00A432B0">
            <w:pPr>
              <w:spacing w:after="0"/>
              <w:jc w:val="center"/>
              <w:rPr>
                <w:color w:val="000000" w:themeColor="text1"/>
                <w:sz w:val="20"/>
                <w:szCs w:val="20"/>
              </w:rPr>
            </w:pPr>
          </w:p>
        </w:tc>
        <w:tc>
          <w:tcPr>
            <w:tcW w:w="1701" w:type="dxa"/>
            <w:tcBorders>
              <w:top w:val="nil"/>
              <w:left w:val="nil"/>
              <w:bottom w:val="single" w:sz="8" w:space="0" w:color="auto"/>
              <w:right w:val="single" w:sz="8" w:space="0" w:color="auto"/>
            </w:tcBorders>
          </w:tcPr>
          <w:p w14:paraId="77DA663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108FA073"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374D6B5D" w14:textId="77777777" w:rsidTr="00982513">
        <w:trPr>
          <w:trHeight w:val="53"/>
        </w:trPr>
        <w:tc>
          <w:tcPr>
            <w:tcW w:w="2498" w:type="dxa"/>
            <w:tcBorders>
              <w:top w:val="nil"/>
              <w:left w:val="double" w:sz="6" w:space="0" w:color="auto"/>
              <w:bottom w:val="single" w:sz="8" w:space="0" w:color="auto"/>
              <w:right w:val="single" w:sz="8" w:space="0" w:color="auto"/>
            </w:tcBorders>
          </w:tcPr>
          <w:p w14:paraId="5306E33F"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lastRenderedPageBreak/>
              <w:t>Daphnia magna</w:t>
            </w:r>
          </w:p>
        </w:tc>
        <w:tc>
          <w:tcPr>
            <w:tcW w:w="1134" w:type="dxa"/>
            <w:tcBorders>
              <w:top w:val="nil"/>
              <w:left w:val="nil"/>
              <w:bottom w:val="single" w:sz="8" w:space="0" w:color="auto"/>
              <w:right w:val="single" w:sz="8" w:space="0" w:color="auto"/>
            </w:tcBorders>
          </w:tcPr>
          <w:p w14:paraId="4A48C9D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276</w:t>
            </w:r>
          </w:p>
        </w:tc>
        <w:tc>
          <w:tcPr>
            <w:tcW w:w="1276" w:type="dxa"/>
            <w:tcBorders>
              <w:top w:val="nil"/>
              <w:left w:val="nil"/>
              <w:bottom w:val="single" w:sz="8" w:space="0" w:color="auto"/>
              <w:right w:val="single" w:sz="8" w:space="0" w:color="auto"/>
            </w:tcBorders>
          </w:tcPr>
          <w:p w14:paraId="65734046"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1175A61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7.65</w:t>
            </w:r>
          </w:p>
        </w:tc>
        <w:tc>
          <w:tcPr>
            <w:tcW w:w="1276" w:type="dxa"/>
            <w:tcBorders>
              <w:top w:val="nil"/>
              <w:left w:val="nil"/>
              <w:bottom w:val="single" w:sz="8" w:space="0" w:color="auto"/>
              <w:right w:val="single" w:sz="8" w:space="0" w:color="auto"/>
            </w:tcBorders>
          </w:tcPr>
          <w:p w14:paraId="69722A21"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3.6</w:t>
            </w:r>
          </w:p>
        </w:tc>
        <w:tc>
          <w:tcPr>
            <w:tcW w:w="2126" w:type="dxa"/>
            <w:tcBorders>
              <w:top w:val="nil"/>
              <w:left w:val="nil"/>
              <w:bottom w:val="single" w:sz="8" w:space="0" w:color="auto"/>
              <w:right w:val="single" w:sz="8" w:space="0" w:color="auto"/>
            </w:tcBorders>
          </w:tcPr>
          <w:p w14:paraId="5BC72966" w14:textId="77777777" w:rsidR="00632208" w:rsidRPr="0098635C" w:rsidRDefault="00632208" w:rsidP="00A432B0">
            <w:pPr>
              <w:spacing w:after="0"/>
              <w:jc w:val="center"/>
              <w:rPr>
                <w:color w:val="000000" w:themeColor="text1"/>
                <w:sz w:val="20"/>
                <w:szCs w:val="20"/>
              </w:rPr>
            </w:pPr>
          </w:p>
        </w:tc>
        <w:tc>
          <w:tcPr>
            <w:tcW w:w="1701" w:type="dxa"/>
            <w:tcBorders>
              <w:top w:val="nil"/>
              <w:left w:val="nil"/>
              <w:bottom w:val="single" w:sz="8" w:space="0" w:color="auto"/>
              <w:right w:val="single" w:sz="8" w:space="0" w:color="auto"/>
            </w:tcBorders>
          </w:tcPr>
          <w:p w14:paraId="028C201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54B82417"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1FFF93DD" w14:textId="77777777" w:rsidTr="00982513">
        <w:trPr>
          <w:trHeight w:val="53"/>
        </w:trPr>
        <w:tc>
          <w:tcPr>
            <w:tcW w:w="2498" w:type="dxa"/>
            <w:tcBorders>
              <w:top w:val="nil"/>
              <w:left w:val="double" w:sz="6" w:space="0" w:color="auto"/>
              <w:bottom w:val="single" w:sz="4" w:space="0" w:color="auto"/>
              <w:right w:val="single" w:sz="8" w:space="0" w:color="auto"/>
            </w:tcBorders>
          </w:tcPr>
          <w:p w14:paraId="301C9392"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4" w:space="0" w:color="auto"/>
              <w:right w:val="single" w:sz="8" w:space="0" w:color="auto"/>
            </w:tcBorders>
          </w:tcPr>
          <w:p w14:paraId="5356182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292</w:t>
            </w:r>
          </w:p>
        </w:tc>
        <w:tc>
          <w:tcPr>
            <w:tcW w:w="1276" w:type="dxa"/>
            <w:tcBorders>
              <w:top w:val="nil"/>
              <w:left w:val="nil"/>
              <w:bottom w:val="single" w:sz="4" w:space="0" w:color="auto"/>
              <w:right w:val="single" w:sz="8" w:space="0" w:color="auto"/>
            </w:tcBorders>
          </w:tcPr>
          <w:p w14:paraId="28E8D739"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4" w:space="0" w:color="auto"/>
              <w:right w:val="single" w:sz="8" w:space="0" w:color="auto"/>
            </w:tcBorders>
          </w:tcPr>
          <w:p w14:paraId="07957DC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6.11</w:t>
            </w:r>
          </w:p>
        </w:tc>
        <w:tc>
          <w:tcPr>
            <w:tcW w:w="1276" w:type="dxa"/>
            <w:tcBorders>
              <w:top w:val="nil"/>
              <w:left w:val="nil"/>
              <w:bottom w:val="single" w:sz="4" w:space="0" w:color="auto"/>
              <w:right w:val="single" w:sz="8" w:space="0" w:color="auto"/>
            </w:tcBorders>
          </w:tcPr>
          <w:p w14:paraId="0D05F2A3"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6.9</w:t>
            </w:r>
          </w:p>
        </w:tc>
        <w:tc>
          <w:tcPr>
            <w:tcW w:w="2126" w:type="dxa"/>
            <w:tcBorders>
              <w:top w:val="nil"/>
              <w:left w:val="nil"/>
              <w:bottom w:val="single" w:sz="4" w:space="0" w:color="auto"/>
              <w:right w:val="single" w:sz="8" w:space="0" w:color="auto"/>
            </w:tcBorders>
          </w:tcPr>
          <w:p w14:paraId="383A206C" w14:textId="77777777" w:rsidR="00632208" w:rsidRPr="0098635C" w:rsidRDefault="00632208" w:rsidP="00A432B0">
            <w:pPr>
              <w:spacing w:after="0"/>
              <w:jc w:val="center"/>
              <w:rPr>
                <w:color w:val="000000" w:themeColor="text1"/>
                <w:sz w:val="20"/>
                <w:szCs w:val="20"/>
              </w:rPr>
            </w:pPr>
          </w:p>
        </w:tc>
        <w:tc>
          <w:tcPr>
            <w:tcW w:w="1701" w:type="dxa"/>
            <w:tcBorders>
              <w:top w:val="nil"/>
              <w:left w:val="nil"/>
              <w:bottom w:val="single" w:sz="4" w:space="0" w:color="auto"/>
              <w:right w:val="single" w:sz="8" w:space="0" w:color="auto"/>
            </w:tcBorders>
          </w:tcPr>
          <w:p w14:paraId="28FA947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4" w:space="0" w:color="auto"/>
              <w:right w:val="double" w:sz="6" w:space="0" w:color="auto"/>
            </w:tcBorders>
          </w:tcPr>
          <w:p w14:paraId="301E9324"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3AE361D9" w14:textId="77777777" w:rsidTr="00982513">
        <w:trPr>
          <w:trHeight w:val="53"/>
        </w:trPr>
        <w:tc>
          <w:tcPr>
            <w:tcW w:w="2498" w:type="dxa"/>
            <w:tcBorders>
              <w:top w:val="single" w:sz="4" w:space="0" w:color="auto"/>
              <w:left w:val="double" w:sz="6" w:space="0" w:color="auto"/>
              <w:bottom w:val="single" w:sz="8" w:space="0" w:color="auto"/>
              <w:right w:val="single" w:sz="8" w:space="0" w:color="auto"/>
            </w:tcBorders>
          </w:tcPr>
          <w:p w14:paraId="2AD83936"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8" w:space="0" w:color="auto"/>
              <w:right w:val="single" w:sz="8" w:space="0" w:color="auto"/>
            </w:tcBorders>
          </w:tcPr>
          <w:p w14:paraId="4417A1B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92.6</w:t>
            </w:r>
          </w:p>
        </w:tc>
        <w:tc>
          <w:tcPr>
            <w:tcW w:w="1276" w:type="dxa"/>
            <w:tcBorders>
              <w:top w:val="single" w:sz="4" w:space="0" w:color="auto"/>
              <w:left w:val="nil"/>
              <w:bottom w:val="single" w:sz="8" w:space="0" w:color="auto"/>
              <w:right w:val="single" w:sz="8" w:space="0" w:color="auto"/>
            </w:tcBorders>
          </w:tcPr>
          <w:p w14:paraId="59A49052" w14:textId="77777777" w:rsidR="00632208" w:rsidRPr="0098635C" w:rsidRDefault="00632208" w:rsidP="00A432B0">
            <w:pPr>
              <w:spacing w:after="0"/>
              <w:jc w:val="center"/>
              <w:rPr>
                <w:color w:val="000000" w:themeColor="text1"/>
                <w:sz w:val="20"/>
                <w:szCs w:val="20"/>
              </w:rPr>
            </w:pPr>
          </w:p>
        </w:tc>
        <w:tc>
          <w:tcPr>
            <w:tcW w:w="1417" w:type="dxa"/>
            <w:tcBorders>
              <w:top w:val="single" w:sz="4" w:space="0" w:color="auto"/>
              <w:left w:val="nil"/>
              <w:bottom w:val="single" w:sz="8" w:space="0" w:color="auto"/>
              <w:right w:val="single" w:sz="8" w:space="0" w:color="auto"/>
            </w:tcBorders>
          </w:tcPr>
          <w:p w14:paraId="194190A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6.77</w:t>
            </w:r>
          </w:p>
        </w:tc>
        <w:tc>
          <w:tcPr>
            <w:tcW w:w="1276" w:type="dxa"/>
            <w:tcBorders>
              <w:top w:val="single" w:sz="4" w:space="0" w:color="auto"/>
              <w:left w:val="nil"/>
              <w:bottom w:val="single" w:sz="8" w:space="0" w:color="auto"/>
              <w:right w:val="single" w:sz="8" w:space="0" w:color="auto"/>
            </w:tcBorders>
          </w:tcPr>
          <w:p w14:paraId="0356271D"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1.4</w:t>
            </w:r>
          </w:p>
        </w:tc>
        <w:tc>
          <w:tcPr>
            <w:tcW w:w="2126" w:type="dxa"/>
            <w:tcBorders>
              <w:top w:val="single" w:sz="4" w:space="0" w:color="auto"/>
              <w:left w:val="nil"/>
              <w:bottom w:val="single" w:sz="8" w:space="0" w:color="auto"/>
              <w:right w:val="single" w:sz="8" w:space="0" w:color="auto"/>
            </w:tcBorders>
          </w:tcPr>
          <w:p w14:paraId="1B2746F9" w14:textId="77777777" w:rsidR="00632208" w:rsidRPr="0098635C" w:rsidRDefault="00632208" w:rsidP="00A432B0">
            <w:pPr>
              <w:spacing w:after="0"/>
              <w:jc w:val="center"/>
              <w:rPr>
                <w:color w:val="000000" w:themeColor="text1"/>
                <w:sz w:val="20"/>
                <w:szCs w:val="20"/>
              </w:rPr>
            </w:pPr>
          </w:p>
        </w:tc>
        <w:tc>
          <w:tcPr>
            <w:tcW w:w="1701" w:type="dxa"/>
            <w:tcBorders>
              <w:top w:val="single" w:sz="4" w:space="0" w:color="auto"/>
              <w:left w:val="nil"/>
              <w:bottom w:val="single" w:sz="8" w:space="0" w:color="auto"/>
              <w:right w:val="single" w:sz="8" w:space="0" w:color="auto"/>
            </w:tcBorders>
          </w:tcPr>
          <w:p w14:paraId="4CDA843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8" w:space="0" w:color="auto"/>
              <w:right w:val="double" w:sz="6" w:space="0" w:color="auto"/>
            </w:tcBorders>
          </w:tcPr>
          <w:p w14:paraId="760F0FF0"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455E2DD8" w14:textId="77777777" w:rsidTr="00982513">
        <w:trPr>
          <w:trHeight w:val="53"/>
        </w:trPr>
        <w:tc>
          <w:tcPr>
            <w:tcW w:w="2498" w:type="dxa"/>
            <w:tcBorders>
              <w:top w:val="nil"/>
              <w:left w:val="double" w:sz="6" w:space="0" w:color="auto"/>
              <w:bottom w:val="single" w:sz="8" w:space="0" w:color="auto"/>
              <w:right w:val="single" w:sz="8" w:space="0" w:color="auto"/>
            </w:tcBorders>
          </w:tcPr>
          <w:p w14:paraId="402D9ED1"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3132A1B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210</w:t>
            </w:r>
          </w:p>
        </w:tc>
        <w:tc>
          <w:tcPr>
            <w:tcW w:w="1276" w:type="dxa"/>
            <w:tcBorders>
              <w:top w:val="nil"/>
              <w:left w:val="nil"/>
              <w:bottom w:val="single" w:sz="8" w:space="0" w:color="auto"/>
              <w:right w:val="single" w:sz="8" w:space="0" w:color="auto"/>
            </w:tcBorders>
          </w:tcPr>
          <w:p w14:paraId="7E732253"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21F8CE7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8.39</w:t>
            </w:r>
          </w:p>
        </w:tc>
        <w:tc>
          <w:tcPr>
            <w:tcW w:w="1276" w:type="dxa"/>
            <w:tcBorders>
              <w:top w:val="nil"/>
              <w:left w:val="nil"/>
              <w:bottom w:val="single" w:sz="8" w:space="0" w:color="auto"/>
              <w:right w:val="single" w:sz="8" w:space="0" w:color="auto"/>
            </w:tcBorders>
          </w:tcPr>
          <w:p w14:paraId="6115EFC4"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3.8</w:t>
            </w:r>
          </w:p>
        </w:tc>
        <w:tc>
          <w:tcPr>
            <w:tcW w:w="2126" w:type="dxa"/>
            <w:tcBorders>
              <w:top w:val="nil"/>
              <w:left w:val="nil"/>
              <w:bottom w:val="single" w:sz="8" w:space="0" w:color="auto"/>
              <w:right w:val="single" w:sz="8" w:space="0" w:color="auto"/>
            </w:tcBorders>
          </w:tcPr>
          <w:p w14:paraId="219C1D0E" w14:textId="77777777" w:rsidR="00632208" w:rsidRPr="0098635C" w:rsidRDefault="00632208" w:rsidP="00A432B0">
            <w:pPr>
              <w:spacing w:after="0"/>
              <w:jc w:val="center"/>
              <w:rPr>
                <w:color w:val="000000" w:themeColor="text1"/>
                <w:sz w:val="20"/>
                <w:szCs w:val="20"/>
              </w:rPr>
            </w:pPr>
          </w:p>
        </w:tc>
        <w:tc>
          <w:tcPr>
            <w:tcW w:w="1701" w:type="dxa"/>
            <w:tcBorders>
              <w:top w:val="nil"/>
              <w:left w:val="nil"/>
              <w:bottom w:val="single" w:sz="8" w:space="0" w:color="auto"/>
              <w:right w:val="single" w:sz="8" w:space="0" w:color="auto"/>
            </w:tcBorders>
          </w:tcPr>
          <w:p w14:paraId="7D13564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69E305B0"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4C0E8E56" w14:textId="77777777" w:rsidTr="00982513">
        <w:trPr>
          <w:trHeight w:val="53"/>
        </w:trPr>
        <w:tc>
          <w:tcPr>
            <w:tcW w:w="2498" w:type="dxa"/>
            <w:tcBorders>
              <w:top w:val="nil"/>
              <w:left w:val="double" w:sz="6" w:space="0" w:color="auto"/>
              <w:bottom w:val="single" w:sz="8" w:space="0" w:color="auto"/>
              <w:right w:val="single" w:sz="8" w:space="0" w:color="auto"/>
            </w:tcBorders>
          </w:tcPr>
          <w:p w14:paraId="49118971"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40D282F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152</w:t>
            </w:r>
          </w:p>
        </w:tc>
        <w:tc>
          <w:tcPr>
            <w:tcW w:w="1276" w:type="dxa"/>
            <w:tcBorders>
              <w:top w:val="nil"/>
              <w:left w:val="nil"/>
              <w:bottom w:val="single" w:sz="8" w:space="0" w:color="auto"/>
              <w:right w:val="single" w:sz="8" w:space="0" w:color="auto"/>
            </w:tcBorders>
          </w:tcPr>
          <w:p w14:paraId="66F68861"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1ADAE4D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7.67</w:t>
            </w:r>
          </w:p>
        </w:tc>
        <w:tc>
          <w:tcPr>
            <w:tcW w:w="1276" w:type="dxa"/>
            <w:tcBorders>
              <w:top w:val="nil"/>
              <w:left w:val="nil"/>
              <w:bottom w:val="single" w:sz="8" w:space="0" w:color="auto"/>
              <w:right w:val="single" w:sz="8" w:space="0" w:color="auto"/>
            </w:tcBorders>
          </w:tcPr>
          <w:p w14:paraId="5A8A6373"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1.7</w:t>
            </w:r>
          </w:p>
        </w:tc>
        <w:tc>
          <w:tcPr>
            <w:tcW w:w="2126" w:type="dxa"/>
            <w:tcBorders>
              <w:top w:val="nil"/>
              <w:left w:val="nil"/>
              <w:bottom w:val="single" w:sz="8" w:space="0" w:color="auto"/>
              <w:right w:val="single" w:sz="8" w:space="0" w:color="auto"/>
            </w:tcBorders>
          </w:tcPr>
          <w:p w14:paraId="0A160DF8" w14:textId="77777777" w:rsidR="00632208" w:rsidRPr="0098635C" w:rsidRDefault="00632208" w:rsidP="00A432B0">
            <w:pPr>
              <w:spacing w:after="0"/>
              <w:jc w:val="center"/>
              <w:rPr>
                <w:color w:val="000000" w:themeColor="text1"/>
                <w:sz w:val="20"/>
                <w:szCs w:val="20"/>
              </w:rPr>
            </w:pPr>
          </w:p>
        </w:tc>
        <w:tc>
          <w:tcPr>
            <w:tcW w:w="1701" w:type="dxa"/>
            <w:tcBorders>
              <w:top w:val="nil"/>
              <w:left w:val="nil"/>
              <w:bottom w:val="single" w:sz="8" w:space="0" w:color="auto"/>
              <w:right w:val="single" w:sz="8" w:space="0" w:color="auto"/>
            </w:tcBorders>
          </w:tcPr>
          <w:p w14:paraId="0B2298B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494A8CF6"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65DBC2A7" w14:textId="77777777" w:rsidTr="00982513">
        <w:trPr>
          <w:trHeight w:val="53"/>
        </w:trPr>
        <w:tc>
          <w:tcPr>
            <w:tcW w:w="2498" w:type="dxa"/>
            <w:tcBorders>
              <w:top w:val="nil"/>
              <w:left w:val="double" w:sz="6" w:space="0" w:color="auto"/>
              <w:bottom w:val="single" w:sz="8" w:space="0" w:color="auto"/>
              <w:right w:val="single" w:sz="8" w:space="0" w:color="auto"/>
            </w:tcBorders>
          </w:tcPr>
          <w:p w14:paraId="65775254"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2D9E5F9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526</w:t>
            </w:r>
          </w:p>
        </w:tc>
        <w:tc>
          <w:tcPr>
            <w:tcW w:w="1276" w:type="dxa"/>
            <w:tcBorders>
              <w:top w:val="nil"/>
              <w:left w:val="nil"/>
              <w:bottom w:val="single" w:sz="8" w:space="0" w:color="auto"/>
              <w:right w:val="single" w:sz="8" w:space="0" w:color="auto"/>
            </w:tcBorders>
          </w:tcPr>
          <w:p w14:paraId="2FC62675"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5FBE20F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7.71</w:t>
            </w:r>
          </w:p>
        </w:tc>
        <w:tc>
          <w:tcPr>
            <w:tcW w:w="1276" w:type="dxa"/>
            <w:tcBorders>
              <w:top w:val="nil"/>
              <w:left w:val="nil"/>
              <w:bottom w:val="single" w:sz="8" w:space="0" w:color="auto"/>
              <w:right w:val="single" w:sz="8" w:space="0" w:color="auto"/>
            </w:tcBorders>
          </w:tcPr>
          <w:p w14:paraId="1C042C28"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7.8</w:t>
            </w:r>
          </w:p>
        </w:tc>
        <w:tc>
          <w:tcPr>
            <w:tcW w:w="2126" w:type="dxa"/>
            <w:tcBorders>
              <w:top w:val="nil"/>
              <w:left w:val="nil"/>
              <w:bottom w:val="single" w:sz="8" w:space="0" w:color="auto"/>
              <w:right w:val="single" w:sz="8" w:space="0" w:color="auto"/>
            </w:tcBorders>
          </w:tcPr>
          <w:p w14:paraId="671EAE61" w14:textId="77777777" w:rsidR="00632208" w:rsidRPr="0098635C" w:rsidRDefault="00632208" w:rsidP="00A432B0">
            <w:pPr>
              <w:spacing w:after="0"/>
              <w:jc w:val="center"/>
              <w:rPr>
                <w:color w:val="000000" w:themeColor="text1"/>
                <w:sz w:val="20"/>
                <w:szCs w:val="20"/>
              </w:rPr>
            </w:pPr>
          </w:p>
        </w:tc>
        <w:tc>
          <w:tcPr>
            <w:tcW w:w="1701" w:type="dxa"/>
            <w:tcBorders>
              <w:top w:val="nil"/>
              <w:left w:val="nil"/>
              <w:bottom w:val="single" w:sz="8" w:space="0" w:color="auto"/>
              <w:right w:val="single" w:sz="8" w:space="0" w:color="auto"/>
            </w:tcBorders>
          </w:tcPr>
          <w:p w14:paraId="1F14B3C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7840B7E5"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6CE4D8B9" w14:textId="77777777" w:rsidTr="00982513">
        <w:trPr>
          <w:trHeight w:val="53"/>
        </w:trPr>
        <w:tc>
          <w:tcPr>
            <w:tcW w:w="2498" w:type="dxa"/>
            <w:tcBorders>
              <w:top w:val="nil"/>
              <w:left w:val="double" w:sz="6" w:space="0" w:color="auto"/>
              <w:bottom w:val="single" w:sz="8" w:space="0" w:color="auto"/>
              <w:right w:val="single" w:sz="8" w:space="0" w:color="auto"/>
            </w:tcBorders>
          </w:tcPr>
          <w:p w14:paraId="3AC7614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0DEAB34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826</w:t>
            </w:r>
          </w:p>
        </w:tc>
        <w:tc>
          <w:tcPr>
            <w:tcW w:w="1276" w:type="dxa"/>
            <w:tcBorders>
              <w:top w:val="nil"/>
              <w:left w:val="nil"/>
              <w:bottom w:val="single" w:sz="8" w:space="0" w:color="auto"/>
              <w:right w:val="single" w:sz="8" w:space="0" w:color="auto"/>
            </w:tcBorders>
          </w:tcPr>
          <w:p w14:paraId="7FEBD11A"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14C1C26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8.27</w:t>
            </w:r>
          </w:p>
        </w:tc>
        <w:tc>
          <w:tcPr>
            <w:tcW w:w="1276" w:type="dxa"/>
            <w:tcBorders>
              <w:top w:val="nil"/>
              <w:left w:val="nil"/>
              <w:bottom w:val="single" w:sz="8" w:space="0" w:color="auto"/>
              <w:right w:val="single" w:sz="8" w:space="0" w:color="auto"/>
            </w:tcBorders>
          </w:tcPr>
          <w:p w14:paraId="684B3830"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14.2</w:t>
            </w:r>
          </w:p>
        </w:tc>
        <w:tc>
          <w:tcPr>
            <w:tcW w:w="2126" w:type="dxa"/>
            <w:tcBorders>
              <w:top w:val="nil"/>
              <w:left w:val="nil"/>
              <w:bottom w:val="single" w:sz="8" w:space="0" w:color="auto"/>
              <w:right w:val="single" w:sz="8" w:space="0" w:color="auto"/>
            </w:tcBorders>
          </w:tcPr>
          <w:p w14:paraId="28B77CAE" w14:textId="77777777" w:rsidR="00632208" w:rsidRPr="0098635C" w:rsidRDefault="00632208" w:rsidP="00A432B0">
            <w:pPr>
              <w:spacing w:after="0"/>
              <w:jc w:val="center"/>
              <w:rPr>
                <w:color w:val="000000" w:themeColor="text1"/>
                <w:sz w:val="20"/>
                <w:szCs w:val="20"/>
              </w:rPr>
            </w:pPr>
          </w:p>
        </w:tc>
        <w:tc>
          <w:tcPr>
            <w:tcW w:w="1701" w:type="dxa"/>
            <w:tcBorders>
              <w:top w:val="nil"/>
              <w:left w:val="nil"/>
              <w:bottom w:val="single" w:sz="8" w:space="0" w:color="auto"/>
              <w:right w:val="single" w:sz="8" w:space="0" w:color="auto"/>
            </w:tcBorders>
          </w:tcPr>
          <w:p w14:paraId="2236E0A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2E54238E"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435A45A5" w14:textId="77777777" w:rsidTr="00982513">
        <w:trPr>
          <w:trHeight w:val="53"/>
        </w:trPr>
        <w:tc>
          <w:tcPr>
            <w:tcW w:w="2498" w:type="dxa"/>
            <w:tcBorders>
              <w:top w:val="nil"/>
              <w:left w:val="double" w:sz="6" w:space="0" w:color="auto"/>
              <w:bottom w:val="single" w:sz="8" w:space="0" w:color="auto"/>
              <w:right w:val="single" w:sz="8" w:space="0" w:color="auto"/>
            </w:tcBorders>
          </w:tcPr>
          <w:p w14:paraId="225B1EC1"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1CB79B2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388</w:t>
            </w:r>
          </w:p>
        </w:tc>
        <w:tc>
          <w:tcPr>
            <w:tcW w:w="1276" w:type="dxa"/>
            <w:tcBorders>
              <w:top w:val="nil"/>
              <w:left w:val="nil"/>
              <w:bottom w:val="single" w:sz="8" w:space="0" w:color="auto"/>
              <w:right w:val="single" w:sz="8" w:space="0" w:color="auto"/>
            </w:tcBorders>
          </w:tcPr>
          <w:p w14:paraId="4AC89E48"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0D6D0BF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7.74</w:t>
            </w:r>
          </w:p>
        </w:tc>
        <w:tc>
          <w:tcPr>
            <w:tcW w:w="1276" w:type="dxa"/>
            <w:tcBorders>
              <w:top w:val="nil"/>
              <w:left w:val="nil"/>
              <w:bottom w:val="single" w:sz="8" w:space="0" w:color="auto"/>
              <w:right w:val="single" w:sz="8" w:space="0" w:color="auto"/>
            </w:tcBorders>
          </w:tcPr>
          <w:p w14:paraId="2B7009F3"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4.0</w:t>
            </w:r>
          </w:p>
        </w:tc>
        <w:tc>
          <w:tcPr>
            <w:tcW w:w="2126" w:type="dxa"/>
            <w:tcBorders>
              <w:top w:val="nil"/>
              <w:left w:val="nil"/>
              <w:bottom w:val="single" w:sz="8" w:space="0" w:color="auto"/>
              <w:right w:val="single" w:sz="8" w:space="0" w:color="auto"/>
            </w:tcBorders>
          </w:tcPr>
          <w:p w14:paraId="043A6A40" w14:textId="77777777" w:rsidR="00632208" w:rsidRPr="0098635C" w:rsidRDefault="00632208" w:rsidP="00A432B0">
            <w:pPr>
              <w:spacing w:after="0"/>
              <w:jc w:val="center"/>
              <w:rPr>
                <w:color w:val="000000" w:themeColor="text1"/>
                <w:sz w:val="20"/>
                <w:szCs w:val="20"/>
              </w:rPr>
            </w:pPr>
          </w:p>
        </w:tc>
        <w:tc>
          <w:tcPr>
            <w:tcW w:w="1701" w:type="dxa"/>
            <w:tcBorders>
              <w:top w:val="nil"/>
              <w:left w:val="nil"/>
              <w:bottom w:val="single" w:sz="8" w:space="0" w:color="auto"/>
              <w:right w:val="single" w:sz="8" w:space="0" w:color="auto"/>
            </w:tcBorders>
          </w:tcPr>
          <w:p w14:paraId="500ACAD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4914F07A"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0B4AE7C4" w14:textId="77777777" w:rsidTr="00982513">
        <w:trPr>
          <w:trHeight w:val="53"/>
        </w:trPr>
        <w:tc>
          <w:tcPr>
            <w:tcW w:w="2498" w:type="dxa"/>
            <w:tcBorders>
              <w:top w:val="nil"/>
              <w:left w:val="double" w:sz="6" w:space="0" w:color="auto"/>
              <w:bottom w:val="single" w:sz="8" w:space="0" w:color="auto"/>
              <w:right w:val="single" w:sz="8" w:space="0" w:color="auto"/>
            </w:tcBorders>
          </w:tcPr>
          <w:p w14:paraId="792EB629"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100F405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157</w:t>
            </w:r>
          </w:p>
        </w:tc>
        <w:tc>
          <w:tcPr>
            <w:tcW w:w="1276" w:type="dxa"/>
            <w:tcBorders>
              <w:top w:val="nil"/>
              <w:left w:val="nil"/>
              <w:bottom w:val="single" w:sz="8" w:space="0" w:color="auto"/>
              <w:right w:val="single" w:sz="8" w:space="0" w:color="auto"/>
            </w:tcBorders>
          </w:tcPr>
          <w:p w14:paraId="34238CB1"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52D9224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8.46</w:t>
            </w:r>
          </w:p>
        </w:tc>
        <w:tc>
          <w:tcPr>
            <w:tcW w:w="1276" w:type="dxa"/>
            <w:tcBorders>
              <w:top w:val="nil"/>
              <w:left w:val="nil"/>
              <w:bottom w:val="single" w:sz="8" w:space="0" w:color="auto"/>
              <w:right w:val="single" w:sz="8" w:space="0" w:color="auto"/>
            </w:tcBorders>
          </w:tcPr>
          <w:p w14:paraId="6F054F5D"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2</w:t>
            </w:r>
            <w:r w:rsidRPr="0098635C">
              <w:rPr>
                <w:color w:val="000000" w:themeColor="text1"/>
                <w:sz w:val="20"/>
                <w:szCs w:val="20"/>
              </w:rPr>
              <w:t>.</w:t>
            </w:r>
            <w:r w:rsidRPr="0098635C">
              <w:rPr>
                <w:bCs/>
                <w:color w:val="000000" w:themeColor="text1"/>
                <w:sz w:val="20"/>
                <w:szCs w:val="20"/>
              </w:rPr>
              <w:t>5</w:t>
            </w:r>
          </w:p>
        </w:tc>
        <w:tc>
          <w:tcPr>
            <w:tcW w:w="2126" w:type="dxa"/>
            <w:tcBorders>
              <w:top w:val="nil"/>
              <w:left w:val="nil"/>
              <w:bottom w:val="single" w:sz="8" w:space="0" w:color="auto"/>
              <w:right w:val="single" w:sz="8" w:space="0" w:color="auto"/>
            </w:tcBorders>
          </w:tcPr>
          <w:p w14:paraId="39C2A4DD" w14:textId="77777777" w:rsidR="00632208" w:rsidRPr="0098635C" w:rsidRDefault="00632208" w:rsidP="00A432B0">
            <w:pPr>
              <w:spacing w:after="0"/>
              <w:jc w:val="center"/>
              <w:rPr>
                <w:color w:val="000000" w:themeColor="text1"/>
                <w:sz w:val="20"/>
                <w:szCs w:val="20"/>
              </w:rPr>
            </w:pPr>
          </w:p>
        </w:tc>
        <w:tc>
          <w:tcPr>
            <w:tcW w:w="1701" w:type="dxa"/>
            <w:tcBorders>
              <w:top w:val="nil"/>
              <w:left w:val="nil"/>
              <w:bottom w:val="single" w:sz="8" w:space="0" w:color="auto"/>
              <w:right w:val="single" w:sz="8" w:space="0" w:color="auto"/>
            </w:tcBorders>
          </w:tcPr>
          <w:p w14:paraId="7B3B725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329EA5C9"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2DF6C7CA" w14:textId="77777777" w:rsidTr="00982513">
        <w:trPr>
          <w:trHeight w:val="53"/>
        </w:trPr>
        <w:tc>
          <w:tcPr>
            <w:tcW w:w="2498" w:type="dxa"/>
            <w:tcBorders>
              <w:top w:val="nil"/>
              <w:left w:val="double" w:sz="6" w:space="0" w:color="auto"/>
              <w:bottom w:val="single" w:sz="8" w:space="0" w:color="auto"/>
              <w:right w:val="single" w:sz="8" w:space="0" w:color="auto"/>
            </w:tcBorders>
          </w:tcPr>
          <w:p w14:paraId="53A9F23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39BE01A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136</w:t>
            </w:r>
          </w:p>
        </w:tc>
        <w:tc>
          <w:tcPr>
            <w:tcW w:w="1276" w:type="dxa"/>
            <w:tcBorders>
              <w:top w:val="nil"/>
              <w:left w:val="nil"/>
              <w:bottom w:val="single" w:sz="8" w:space="0" w:color="auto"/>
              <w:right w:val="single" w:sz="8" w:space="0" w:color="auto"/>
            </w:tcBorders>
          </w:tcPr>
          <w:p w14:paraId="4952E738"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0C7D30F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6.95</w:t>
            </w:r>
          </w:p>
        </w:tc>
        <w:tc>
          <w:tcPr>
            <w:tcW w:w="1276" w:type="dxa"/>
            <w:tcBorders>
              <w:top w:val="nil"/>
              <w:left w:val="nil"/>
              <w:bottom w:val="single" w:sz="8" w:space="0" w:color="auto"/>
              <w:right w:val="single" w:sz="8" w:space="0" w:color="auto"/>
            </w:tcBorders>
          </w:tcPr>
          <w:p w14:paraId="39CCB44C"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2</w:t>
            </w:r>
            <w:r w:rsidRPr="0098635C">
              <w:rPr>
                <w:color w:val="000000" w:themeColor="text1"/>
                <w:sz w:val="20"/>
                <w:szCs w:val="20"/>
              </w:rPr>
              <w:t>.</w:t>
            </w:r>
            <w:r w:rsidRPr="0098635C">
              <w:rPr>
                <w:bCs/>
                <w:color w:val="000000" w:themeColor="text1"/>
                <w:sz w:val="20"/>
                <w:szCs w:val="20"/>
              </w:rPr>
              <w:t>5</w:t>
            </w:r>
          </w:p>
        </w:tc>
        <w:tc>
          <w:tcPr>
            <w:tcW w:w="2126" w:type="dxa"/>
            <w:tcBorders>
              <w:top w:val="nil"/>
              <w:left w:val="nil"/>
              <w:bottom w:val="single" w:sz="8" w:space="0" w:color="auto"/>
              <w:right w:val="single" w:sz="8" w:space="0" w:color="auto"/>
            </w:tcBorders>
          </w:tcPr>
          <w:p w14:paraId="7D2D9A67" w14:textId="77777777" w:rsidR="00632208" w:rsidRPr="0098635C" w:rsidRDefault="00632208" w:rsidP="00A432B0">
            <w:pPr>
              <w:spacing w:after="0"/>
              <w:jc w:val="center"/>
              <w:rPr>
                <w:color w:val="000000" w:themeColor="text1"/>
                <w:sz w:val="20"/>
                <w:szCs w:val="20"/>
              </w:rPr>
            </w:pPr>
          </w:p>
        </w:tc>
        <w:tc>
          <w:tcPr>
            <w:tcW w:w="1701" w:type="dxa"/>
            <w:tcBorders>
              <w:top w:val="nil"/>
              <w:left w:val="nil"/>
              <w:bottom w:val="single" w:sz="8" w:space="0" w:color="auto"/>
              <w:right w:val="single" w:sz="8" w:space="0" w:color="auto"/>
            </w:tcBorders>
          </w:tcPr>
          <w:p w14:paraId="5989569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04CC5573"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73CE5AB1" w14:textId="77777777" w:rsidTr="00982513">
        <w:trPr>
          <w:trHeight w:val="53"/>
        </w:trPr>
        <w:tc>
          <w:tcPr>
            <w:tcW w:w="2498" w:type="dxa"/>
            <w:tcBorders>
              <w:top w:val="nil"/>
              <w:left w:val="double" w:sz="6" w:space="0" w:color="auto"/>
              <w:bottom w:val="single" w:sz="8" w:space="0" w:color="auto"/>
              <w:right w:val="single" w:sz="8" w:space="0" w:color="auto"/>
            </w:tcBorders>
          </w:tcPr>
          <w:p w14:paraId="6F5B4DE5"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1CC84F4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229</w:t>
            </w:r>
          </w:p>
        </w:tc>
        <w:tc>
          <w:tcPr>
            <w:tcW w:w="1276" w:type="dxa"/>
            <w:tcBorders>
              <w:top w:val="nil"/>
              <w:left w:val="nil"/>
              <w:bottom w:val="single" w:sz="8" w:space="0" w:color="auto"/>
              <w:right w:val="single" w:sz="8" w:space="0" w:color="auto"/>
            </w:tcBorders>
          </w:tcPr>
          <w:p w14:paraId="4B95ADF5"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483F6A1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7.35</w:t>
            </w:r>
          </w:p>
        </w:tc>
        <w:tc>
          <w:tcPr>
            <w:tcW w:w="1276" w:type="dxa"/>
            <w:tcBorders>
              <w:top w:val="nil"/>
              <w:left w:val="nil"/>
              <w:bottom w:val="single" w:sz="8" w:space="0" w:color="auto"/>
              <w:right w:val="single" w:sz="8" w:space="0" w:color="auto"/>
            </w:tcBorders>
          </w:tcPr>
          <w:p w14:paraId="43D4F4C1"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3</w:t>
            </w:r>
            <w:r w:rsidRPr="0098635C">
              <w:rPr>
                <w:color w:val="000000" w:themeColor="text1"/>
                <w:sz w:val="20"/>
                <w:szCs w:val="20"/>
              </w:rPr>
              <w:t>.</w:t>
            </w:r>
            <w:r w:rsidRPr="0098635C">
              <w:rPr>
                <w:bCs/>
                <w:color w:val="000000" w:themeColor="text1"/>
                <w:sz w:val="20"/>
                <w:szCs w:val="20"/>
              </w:rPr>
              <w:t>7</w:t>
            </w:r>
          </w:p>
        </w:tc>
        <w:tc>
          <w:tcPr>
            <w:tcW w:w="2126" w:type="dxa"/>
            <w:tcBorders>
              <w:top w:val="nil"/>
              <w:left w:val="nil"/>
              <w:bottom w:val="single" w:sz="8" w:space="0" w:color="auto"/>
              <w:right w:val="single" w:sz="8" w:space="0" w:color="auto"/>
            </w:tcBorders>
          </w:tcPr>
          <w:p w14:paraId="5BBE5D23" w14:textId="77777777" w:rsidR="00632208" w:rsidRPr="0098635C" w:rsidRDefault="00632208" w:rsidP="00A432B0">
            <w:pPr>
              <w:spacing w:after="0"/>
              <w:jc w:val="center"/>
              <w:rPr>
                <w:color w:val="000000" w:themeColor="text1"/>
                <w:sz w:val="20"/>
                <w:szCs w:val="20"/>
              </w:rPr>
            </w:pPr>
          </w:p>
        </w:tc>
        <w:tc>
          <w:tcPr>
            <w:tcW w:w="1701" w:type="dxa"/>
            <w:tcBorders>
              <w:top w:val="nil"/>
              <w:left w:val="nil"/>
              <w:bottom w:val="single" w:sz="8" w:space="0" w:color="auto"/>
              <w:right w:val="single" w:sz="8" w:space="0" w:color="auto"/>
            </w:tcBorders>
          </w:tcPr>
          <w:p w14:paraId="3107FD6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1A922627"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07FC00A5" w14:textId="77777777" w:rsidTr="00982513">
        <w:trPr>
          <w:trHeight w:val="53"/>
        </w:trPr>
        <w:tc>
          <w:tcPr>
            <w:tcW w:w="2498" w:type="dxa"/>
            <w:tcBorders>
              <w:top w:val="nil"/>
              <w:left w:val="double" w:sz="6" w:space="0" w:color="auto"/>
              <w:bottom w:val="single" w:sz="8" w:space="0" w:color="auto"/>
              <w:right w:val="single" w:sz="8" w:space="0" w:color="auto"/>
            </w:tcBorders>
          </w:tcPr>
          <w:p w14:paraId="4E7A1ECD"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3DFC8AE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244</w:t>
            </w:r>
          </w:p>
        </w:tc>
        <w:tc>
          <w:tcPr>
            <w:tcW w:w="1276" w:type="dxa"/>
            <w:tcBorders>
              <w:top w:val="nil"/>
              <w:left w:val="nil"/>
              <w:bottom w:val="single" w:sz="8" w:space="0" w:color="auto"/>
              <w:right w:val="single" w:sz="8" w:space="0" w:color="auto"/>
            </w:tcBorders>
          </w:tcPr>
          <w:p w14:paraId="1C6946AA"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0DC8A89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8.39</w:t>
            </w:r>
          </w:p>
        </w:tc>
        <w:tc>
          <w:tcPr>
            <w:tcW w:w="1276" w:type="dxa"/>
            <w:tcBorders>
              <w:top w:val="nil"/>
              <w:left w:val="nil"/>
              <w:bottom w:val="single" w:sz="8" w:space="0" w:color="auto"/>
              <w:right w:val="single" w:sz="8" w:space="0" w:color="auto"/>
            </w:tcBorders>
          </w:tcPr>
          <w:p w14:paraId="65F7C772"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4</w:t>
            </w:r>
            <w:r w:rsidRPr="0098635C">
              <w:rPr>
                <w:color w:val="000000" w:themeColor="text1"/>
                <w:sz w:val="20"/>
                <w:szCs w:val="20"/>
              </w:rPr>
              <w:t>.</w:t>
            </w:r>
            <w:r w:rsidRPr="0098635C">
              <w:rPr>
                <w:bCs/>
                <w:color w:val="000000" w:themeColor="text1"/>
                <w:sz w:val="20"/>
                <w:szCs w:val="20"/>
              </w:rPr>
              <w:t>4</w:t>
            </w:r>
          </w:p>
        </w:tc>
        <w:tc>
          <w:tcPr>
            <w:tcW w:w="2126" w:type="dxa"/>
            <w:tcBorders>
              <w:top w:val="nil"/>
              <w:left w:val="nil"/>
              <w:bottom w:val="single" w:sz="8" w:space="0" w:color="auto"/>
              <w:right w:val="single" w:sz="8" w:space="0" w:color="auto"/>
            </w:tcBorders>
          </w:tcPr>
          <w:p w14:paraId="6DAB5B85" w14:textId="77777777" w:rsidR="00632208" w:rsidRPr="0098635C" w:rsidRDefault="00632208" w:rsidP="00A432B0">
            <w:pPr>
              <w:spacing w:after="0"/>
              <w:jc w:val="center"/>
              <w:rPr>
                <w:color w:val="000000" w:themeColor="text1"/>
                <w:sz w:val="20"/>
                <w:szCs w:val="20"/>
              </w:rPr>
            </w:pPr>
          </w:p>
        </w:tc>
        <w:tc>
          <w:tcPr>
            <w:tcW w:w="1701" w:type="dxa"/>
            <w:tcBorders>
              <w:top w:val="nil"/>
              <w:left w:val="nil"/>
              <w:bottom w:val="single" w:sz="8" w:space="0" w:color="auto"/>
              <w:right w:val="single" w:sz="8" w:space="0" w:color="auto"/>
            </w:tcBorders>
          </w:tcPr>
          <w:p w14:paraId="61E2E7D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58E5EE83"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0E4DFC1A" w14:textId="77777777" w:rsidTr="00982513">
        <w:trPr>
          <w:trHeight w:val="53"/>
        </w:trPr>
        <w:tc>
          <w:tcPr>
            <w:tcW w:w="2498" w:type="dxa"/>
            <w:tcBorders>
              <w:top w:val="nil"/>
              <w:left w:val="double" w:sz="6" w:space="0" w:color="auto"/>
              <w:bottom w:val="single" w:sz="8" w:space="0" w:color="auto"/>
              <w:right w:val="single" w:sz="8" w:space="0" w:color="auto"/>
            </w:tcBorders>
          </w:tcPr>
          <w:p w14:paraId="69B16061"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54CB4A0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100</w:t>
            </w:r>
          </w:p>
        </w:tc>
        <w:tc>
          <w:tcPr>
            <w:tcW w:w="1276" w:type="dxa"/>
            <w:tcBorders>
              <w:top w:val="nil"/>
              <w:left w:val="nil"/>
              <w:bottom w:val="single" w:sz="8" w:space="0" w:color="auto"/>
              <w:right w:val="single" w:sz="8" w:space="0" w:color="auto"/>
            </w:tcBorders>
          </w:tcPr>
          <w:p w14:paraId="15E47BEA"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7972736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6.85</w:t>
            </w:r>
          </w:p>
        </w:tc>
        <w:tc>
          <w:tcPr>
            <w:tcW w:w="1276" w:type="dxa"/>
            <w:tcBorders>
              <w:top w:val="nil"/>
              <w:left w:val="nil"/>
              <w:bottom w:val="single" w:sz="8" w:space="0" w:color="auto"/>
              <w:right w:val="single" w:sz="8" w:space="0" w:color="auto"/>
            </w:tcBorders>
          </w:tcPr>
          <w:p w14:paraId="36C24DD9"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w:t>
            </w:r>
            <w:r w:rsidRPr="0098635C">
              <w:rPr>
                <w:color w:val="000000" w:themeColor="text1"/>
                <w:sz w:val="20"/>
                <w:szCs w:val="20"/>
              </w:rPr>
              <w:t>.</w:t>
            </w:r>
            <w:r w:rsidRPr="0098635C">
              <w:rPr>
                <w:bCs/>
                <w:color w:val="000000" w:themeColor="text1"/>
                <w:sz w:val="20"/>
                <w:szCs w:val="20"/>
              </w:rPr>
              <w:t>3</w:t>
            </w:r>
          </w:p>
        </w:tc>
        <w:tc>
          <w:tcPr>
            <w:tcW w:w="2126" w:type="dxa"/>
            <w:tcBorders>
              <w:top w:val="nil"/>
              <w:left w:val="nil"/>
              <w:bottom w:val="single" w:sz="8" w:space="0" w:color="auto"/>
              <w:right w:val="single" w:sz="8" w:space="0" w:color="auto"/>
            </w:tcBorders>
          </w:tcPr>
          <w:p w14:paraId="57315B6B" w14:textId="77777777" w:rsidR="00632208" w:rsidRPr="0098635C" w:rsidRDefault="00632208" w:rsidP="00A432B0">
            <w:pPr>
              <w:spacing w:after="0"/>
              <w:jc w:val="center"/>
              <w:rPr>
                <w:color w:val="000000" w:themeColor="text1"/>
                <w:sz w:val="20"/>
                <w:szCs w:val="20"/>
              </w:rPr>
            </w:pPr>
          </w:p>
        </w:tc>
        <w:tc>
          <w:tcPr>
            <w:tcW w:w="1701" w:type="dxa"/>
            <w:tcBorders>
              <w:top w:val="nil"/>
              <w:left w:val="nil"/>
              <w:bottom w:val="single" w:sz="8" w:space="0" w:color="auto"/>
              <w:right w:val="single" w:sz="8" w:space="0" w:color="auto"/>
            </w:tcBorders>
          </w:tcPr>
          <w:p w14:paraId="1B8CECB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08610D75"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520C5F11" w14:textId="77777777" w:rsidTr="00982513">
        <w:trPr>
          <w:trHeight w:val="53"/>
        </w:trPr>
        <w:tc>
          <w:tcPr>
            <w:tcW w:w="2498" w:type="dxa"/>
            <w:tcBorders>
              <w:top w:val="nil"/>
              <w:left w:val="double" w:sz="6" w:space="0" w:color="auto"/>
              <w:bottom w:val="single" w:sz="8" w:space="0" w:color="auto"/>
              <w:right w:val="single" w:sz="8" w:space="0" w:color="auto"/>
            </w:tcBorders>
          </w:tcPr>
          <w:p w14:paraId="60CD2691"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394D809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1213</w:t>
            </w:r>
          </w:p>
        </w:tc>
        <w:tc>
          <w:tcPr>
            <w:tcW w:w="1276" w:type="dxa"/>
            <w:tcBorders>
              <w:top w:val="nil"/>
              <w:left w:val="nil"/>
              <w:bottom w:val="single" w:sz="8" w:space="0" w:color="auto"/>
              <w:right w:val="single" w:sz="8" w:space="0" w:color="auto"/>
            </w:tcBorders>
          </w:tcPr>
          <w:p w14:paraId="6D49DFC3"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461A38A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7.41</w:t>
            </w:r>
          </w:p>
        </w:tc>
        <w:tc>
          <w:tcPr>
            <w:tcW w:w="1276" w:type="dxa"/>
            <w:tcBorders>
              <w:top w:val="nil"/>
              <w:left w:val="nil"/>
              <w:bottom w:val="single" w:sz="8" w:space="0" w:color="auto"/>
              <w:right w:val="single" w:sz="8" w:space="0" w:color="auto"/>
            </w:tcBorders>
          </w:tcPr>
          <w:p w14:paraId="76FCE9A2"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14.8</w:t>
            </w:r>
          </w:p>
        </w:tc>
        <w:tc>
          <w:tcPr>
            <w:tcW w:w="2126" w:type="dxa"/>
            <w:tcBorders>
              <w:top w:val="nil"/>
              <w:left w:val="nil"/>
              <w:bottom w:val="single" w:sz="8" w:space="0" w:color="auto"/>
              <w:right w:val="single" w:sz="8" w:space="0" w:color="auto"/>
            </w:tcBorders>
          </w:tcPr>
          <w:p w14:paraId="5F9BF32C" w14:textId="77777777" w:rsidR="00632208" w:rsidRPr="0098635C" w:rsidRDefault="00632208" w:rsidP="00A432B0">
            <w:pPr>
              <w:spacing w:after="0"/>
              <w:jc w:val="center"/>
              <w:rPr>
                <w:color w:val="000000" w:themeColor="text1"/>
                <w:sz w:val="20"/>
                <w:szCs w:val="20"/>
              </w:rPr>
            </w:pPr>
          </w:p>
        </w:tc>
        <w:tc>
          <w:tcPr>
            <w:tcW w:w="1701" w:type="dxa"/>
            <w:tcBorders>
              <w:top w:val="nil"/>
              <w:left w:val="nil"/>
              <w:bottom w:val="single" w:sz="8" w:space="0" w:color="auto"/>
              <w:right w:val="single" w:sz="8" w:space="0" w:color="auto"/>
            </w:tcBorders>
          </w:tcPr>
          <w:p w14:paraId="7CCCBA9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55204538"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0707DBD2" w14:textId="77777777" w:rsidTr="00982513">
        <w:trPr>
          <w:trHeight w:val="53"/>
        </w:trPr>
        <w:tc>
          <w:tcPr>
            <w:tcW w:w="2498" w:type="dxa"/>
            <w:tcBorders>
              <w:top w:val="nil"/>
              <w:left w:val="double" w:sz="6" w:space="0" w:color="auto"/>
              <w:bottom w:val="single" w:sz="8" w:space="0" w:color="auto"/>
              <w:right w:val="single" w:sz="8" w:space="0" w:color="auto"/>
            </w:tcBorders>
          </w:tcPr>
          <w:p w14:paraId="3FA7F454"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29551C9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421</w:t>
            </w:r>
          </w:p>
        </w:tc>
        <w:tc>
          <w:tcPr>
            <w:tcW w:w="1276" w:type="dxa"/>
            <w:tcBorders>
              <w:top w:val="nil"/>
              <w:left w:val="nil"/>
              <w:bottom w:val="single" w:sz="8" w:space="0" w:color="auto"/>
              <w:right w:val="single" w:sz="8" w:space="0" w:color="auto"/>
            </w:tcBorders>
          </w:tcPr>
          <w:p w14:paraId="4136EA81"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72CF374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6.29</w:t>
            </w:r>
          </w:p>
        </w:tc>
        <w:tc>
          <w:tcPr>
            <w:tcW w:w="1276" w:type="dxa"/>
            <w:tcBorders>
              <w:top w:val="nil"/>
              <w:left w:val="nil"/>
              <w:bottom w:val="single" w:sz="8" w:space="0" w:color="auto"/>
              <w:right w:val="single" w:sz="8" w:space="0" w:color="auto"/>
            </w:tcBorders>
          </w:tcPr>
          <w:p w14:paraId="12892FAF"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9</w:t>
            </w:r>
            <w:r w:rsidRPr="0098635C">
              <w:rPr>
                <w:color w:val="000000" w:themeColor="text1"/>
                <w:sz w:val="20"/>
                <w:szCs w:val="20"/>
              </w:rPr>
              <w:t>.</w:t>
            </w:r>
            <w:r w:rsidRPr="0098635C">
              <w:rPr>
                <w:bCs/>
                <w:color w:val="000000" w:themeColor="text1"/>
                <w:sz w:val="20"/>
                <w:szCs w:val="20"/>
              </w:rPr>
              <w:t>0</w:t>
            </w:r>
          </w:p>
        </w:tc>
        <w:tc>
          <w:tcPr>
            <w:tcW w:w="2126" w:type="dxa"/>
            <w:tcBorders>
              <w:top w:val="nil"/>
              <w:left w:val="nil"/>
              <w:bottom w:val="single" w:sz="8" w:space="0" w:color="auto"/>
              <w:right w:val="single" w:sz="8" w:space="0" w:color="auto"/>
            </w:tcBorders>
          </w:tcPr>
          <w:p w14:paraId="33F714BB" w14:textId="77777777" w:rsidR="00632208" w:rsidRPr="0098635C" w:rsidRDefault="00632208" w:rsidP="00A432B0">
            <w:pPr>
              <w:spacing w:after="0"/>
              <w:jc w:val="center"/>
              <w:rPr>
                <w:color w:val="000000" w:themeColor="text1"/>
                <w:sz w:val="20"/>
                <w:szCs w:val="20"/>
              </w:rPr>
            </w:pPr>
          </w:p>
        </w:tc>
        <w:tc>
          <w:tcPr>
            <w:tcW w:w="1701" w:type="dxa"/>
            <w:tcBorders>
              <w:top w:val="nil"/>
              <w:left w:val="nil"/>
              <w:bottom w:val="single" w:sz="8" w:space="0" w:color="auto"/>
              <w:right w:val="single" w:sz="8" w:space="0" w:color="auto"/>
            </w:tcBorders>
          </w:tcPr>
          <w:p w14:paraId="28E320B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2C6A59E8"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75EA0AF5" w14:textId="77777777" w:rsidTr="00982513">
        <w:trPr>
          <w:trHeight w:val="53"/>
        </w:trPr>
        <w:tc>
          <w:tcPr>
            <w:tcW w:w="2498" w:type="dxa"/>
            <w:tcBorders>
              <w:top w:val="nil"/>
              <w:left w:val="double" w:sz="6" w:space="0" w:color="auto"/>
              <w:bottom w:val="single" w:sz="8" w:space="0" w:color="auto"/>
              <w:right w:val="single" w:sz="8" w:space="0" w:color="auto"/>
            </w:tcBorders>
          </w:tcPr>
          <w:p w14:paraId="5388C62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4126AF3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300</w:t>
            </w:r>
          </w:p>
        </w:tc>
        <w:tc>
          <w:tcPr>
            <w:tcW w:w="1276" w:type="dxa"/>
            <w:tcBorders>
              <w:top w:val="nil"/>
              <w:left w:val="nil"/>
              <w:bottom w:val="single" w:sz="8" w:space="0" w:color="auto"/>
              <w:right w:val="single" w:sz="8" w:space="0" w:color="auto"/>
            </w:tcBorders>
          </w:tcPr>
          <w:p w14:paraId="041CC426"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5E9DA03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7.43</w:t>
            </w:r>
          </w:p>
        </w:tc>
        <w:tc>
          <w:tcPr>
            <w:tcW w:w="1276" w:type="dxa"/>
            <w:tcBorders>
              <w:top w:val="nil"/>
              <w:left w:val="nil"/>
              <w:bottom w:val="single" w:sz="8" w:space="0" w:color="auto"/>
              <w:right w:val="single" w:sz="8" w:space="0" w:color="auto"/>
            </w:tcBorders>
          </w:tcPr>
          <w:p w14:paraId="601984CD"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4</w:t>
            </w:r>
            <w:r w:rsidRPr="0098635C">
              <w:rPr>
                <w:color w:val="000000" w:themeColor="text1"/>
                <w:sz w:val="20"/>
                <w:szCs w:val="20"/>
              </w:rPr>
              <w:t>.</w:t>
            </w:r>
            <w:r w:rsidRPr="0098635C">
              <w:rPr>
                <w:bCs/>
                <w:color w:val="000000" w:themeColor="text1"/>
                <w:sz w:val="20"/>
                <w:szCs w:val="20"/>
              </w:rPr>
              <w:t>6</w:t>
            </w:r>
          </w:p>
        </w:tc>
        <w:tc>
          <w:tcPr>
            <w:tcW w:w="2126" w:type="dxa"/>
            <w:tcBorders>
              <w:top w:val="nil"/>
              <w:left w:val="nil"/>
              <w:bottom w:val="single" w:sz="8" w:space="0" w:color="auto"/>
              <w:right w:val="single" w:sz="8" w:space="0" w:color="auto"/>
            </w:tcBorders>
          </w:tcPr>
          <w:p w14:paraId="4E08863C" w14:textId="77777777" w:rsidR="00632208" w:rsidRPr="0098635C" w:rsidRDefault="00632208" w:rsidP="00A432B0">
            <w:pPr>
              <w:spacing w:after="0"/>
              <w:jc w:val="center"/>
              <w:rPr>
                <w:color w:val="000000" w:themeColor="text1"/>
                <w:sz w:val="20"/>
                <w:szCs w:val="20"/>
              </w:rPr>
            </w:pPr>
          </w:p>
        </w:tc>
        <w:tc>
          <w:tcPr>
            <w:tcW w:w="1701" w:type="dxa"/>
            <w:tcBorders>
              <w:top w:val="nil"/>
              <w:left w:val="nil"/>
              <w:bottom w:val="single" w:sz="8" w:space="0" w:color="auto"/>
              <w:right w:val="single" w:sz="8" w:space="0" w:color="auto"/>
            </w:tcBorders>
          </w:tcPr>
          <w:p w14:paraId="38129CD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3D18A7CC"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3CEED768" w14:textId="77777777" w:rsidTr="00982513">
        <w:trPr>
          <w:trHeight w:val="53"/>
        </w:trPr>
        <w:tc>
          <w:tcPr>
            <w:tcW w:w="2498" w:type="dxa"/>
            <w:tcBorders>
              <w:top w:val="nil"/>
              <w:left w:val="double" w:sz="6" w:space="0" w:color="auto"/>
              <w:bottom w:val="single" w:sz="8" w:space="0" w:color="auto"/>
              <w:right w:val="single" w:sz="8" w:space="0" w:color="auto"/>
            </w:tcBorders>
          </w:tcPr>
          <w:p w14:paraId="2EB34EA5"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2FDCCA5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289</w:t>
            </w:r>
          </w:p>
        </w:tc>
        <w:tc>
          <w:tcPr>
            <w:tcW w:w="1276" w:type="dxa"/>
            <w:tcBorders>
              <w:top w:val="nil"/>
              <w:left w:val="nil"/>
              <w:bottom w:val="single" w:sz="8" w:space="0" w:color="auto"/>
              <w:right w:val="single" w:sz="8" w:space="0" w:color="auto"/>
            </w:tcBorders>
          </w:tcPr>
          <w:p w14:paraId="444A25A5"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6B9308D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7.81</w:t>
            </w:r>
          </w:p>
        </w:tc>
        <w:tc>
          <w:tcPr>
            <w:tcW w:w="1276" w:type="dxa"/>
            <w:tcBorders>
              <w:top w:val="nil"/>
              <w:left w:val="nil"/>
              <w:bottom w:val="single" w:sz="8" w:space="0" w:color="auto"/>
              <w:right w:val="single" w:sz="8" w:space="0" w:color="auto"/>
            </w:tcBorders>
          </w:tcPr>
          <w:p w14:paraId="02C67759"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4</w:t>
            </w:r>
            <w:r w:rsidRPr="0098635C">
              <w:rPr>
                <w:color w:val="000000" w:themeColor="text1"/>
                <w:sz w:val="20"/>
                <w:szCs w:val="20"/>
              </w:rPr>
              <w:t>.</w:t>
            </w:r>
            <w:r w:rsidRPr="0098635C">
              <w:rPr>
                <w:bCs/>
                <w:color w:val="000000" w:themeColor="text1"/>
                <w:sz w:val="20"/>
                <w:szCs w:val="20"/>
              </w:rPr>
              <w:t>8</w:t>
            </w:r>
          </w:p>
        </w:tc>
        <w:tc>
          <w:tcPr>
            <w:tcW w:w="2126" w:type="dxa"/>
            <w:tcBorders>
              <w:top w:val="nil"/>
              <w:left w:val="nil"/>
              <w:bottom w:val="single" w:sz="8" w:space="0" w:color="auto"/>
              <w:right w:val="single" w:sz="8" w:space="0" w:color="auto"/>
            </w:tcBorders>
          </w:tcPr>
          <w:p w14:paraId="12DD4C01" w14:textId="77777777" w:rsidR="00632208" w:rsidRPr="0098635C" w:rsidRDefault="00632208" w:rsidP="00A432B0">
            <w:pPr>
              <w:spacing w:after="0"/>
              <w:jc w:val="center"/>
              <w:rPr>
                <w:color w:val="000000" w:themeColor="text1"/>
                <w:sz w:val="20"/>
                <w:szCs w:val="20"/>
              </w:rPr>
            </w:pPr>
          </w:p>
        </w:tc>
        <w:tc>
          <w:tcPr>
            <w:tcW w:w="1701" w:type="dxa"/>
            <w:tcBorders>
              <w:top w:val="nil"/>
              <w:left w:val="nil"/>
              <w:bottom w:val="single" w:sz="8" w:space="0" w:color="auto"/>
              <w:right w:val="single" w:sz="8" w:space="0" w:color="auto"/>
            </w:tcBorders>
          </w:tcPr>
          <w:p w14:paraId="4EB97E7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3D3532E9"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604464CB" w14:textId="77777777" w:rsidTr="00982513">
        <w:trPr>
          <w:trHeight w:val="53"/>
        </w:trPr>
        <w:tc>
          <w:tcPr>
            <w:tcW w:w="2498" w:type="dxa"/>
            <w:tcBorders>
              <w:top w:val="nil"/>
              <w:left w:val="double" w:sz="6" w:space="0" w:color="auto"/>
              <w:bottom w:val="single" w:sz="8" w:space="0" w:color="auto"/>
              <w:right w:val="single" w:sz="8" w:space="0" w:color="auto"/>
            </w:tcBorders>
          </w:tcPr>
          <w:p w14:paraId="31CA848D"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lastRenderedPageBreak/>
              <w:t>Daphnia magna</w:t>
            </w:r>
          </w:p>
        </w:tc>
        <w:tc>
          <w:tcPr>
            <w:tcW w:w="1134" w:type="dxa"/>
            <w:tcBorders>
              <w:top w:val="nil"/>
              <w:left w:val="nil"/>
              <w:bottom w:val="single" w:sz="8" w:space="0" w:color="auto"/>
              <w:right w:val="single" w:sz="8" w:space="0" w:color="auto"/>
            </w:tcBorders>
          </w:tcPr>
          <w:p w14:paraId="414BF1E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117</w:t>
            </w:r>
          </w:p>
        </w:tc>
        <w:tc>
          <w:tcPr>
            <w:tcW w:w="1276" w:type="dxa"/>
            <w:tcBorders>
              <w:top w:val="nil"/>
              <w:left w:val="nil"/>
              <w:bottom w:val="single" w:sz="8" w:space="0" w:color="auto"/>
              <w:right w:val="single" w:sz="8" w:space="0" w:color="auto"/>
            </w:tcBorders>
          </w:tcPr>
          <w:p w14:paraId="198C4593"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3555C84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6.98</w:t>
            </w:r>
          </w:p>
        </w:tc>
        <w:tc>
          <w:tcPr>
            <w:tcW w:w="1276" w:type="dxa"/>
            <w:tcBorders>
              <w:top w:val="nil"/>
              <w:left w:val="nil"/>
              <w:bottom w:val="single" w:sz="8" w:space="0" w:color="auto"/>
              <w:right w:val="single" w:sz="8" w:space="0" w:color="auto"/>
            </w:tcBorders>
          </w:tcPr>
          <w:p w14:paraId="36F14E9E"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w:t>
            </w:r>
            <w:r w:rsidRPr="0098635C">
              <w:rPr>
                <w:color w:val="000000" w:themeColor="text1"/>
                <w:sz w:val="20"/>
                <w:szCs w:val="20"/>
              </w:rPr>
              <w:t>.</w:t>
            </w:r>
            <w:r w:rsidRPr="0098635C">
              <w:rPr>
                <w:bCs/>
                <w:color w:val="000000" w:themeColor="text1"/>
                <w:sz w:val="20"/>
                <w:szCs w:val="20"/>
              </w:rPr>
              <w:t>4</w:t>
            </w:r>
          </w:p>
        </w:tc>
        <w:tc>
          <w:tcPr>
            <w:tcW w:w="2126" w:type="dxa"/>
            <w:tcBorders>
              <w:top w:val="nil"/>
              <w:left w:val="nil"/>
              <w:bottom w:val="single" w:sz="8" w:space="0" w:color="auto"/>
              <w:right w:val="single" w:sz="8" w:space="0" w:color="auto"/>
            </w:tcBorders>
          </w:tcPr>
          <w:p w14:paraId="6261E2C8" w14:textId="77777777" w:rsidR="00632208" w:rsidRPr="0098635C" w:rsidRDefault="00632208" w:rsidP="00A432B0">
            <w:pPr>
              <w:spacing w:after="0"/>
              <w:jc w:val="center"/>
              <w:rPr>
                <w:color w:val="000000" w:themeColor="text1"/>
                <w:sz w:val="20"/>
                <w:szCs w:val="20"/>
              </w:rPr>
            </w:pPr>
          </w:p>
        </w:tc>
        <w:tc>
          <w:tcPr>
            <w:tcW w:w="1701" w:type="dxa"/>
            <w:tcBorders>
              <w:top w:val="nil"/>
              <w:left w:val="nil"/>
              <w:bottom w:val="single" w:sz="8" w:space="0" w:color="auto"/>
              <w:right w:val="single" w:sz="8" w:space="0" w:color="auto"/>
            </w:tcBorders>
          </w:tcPr>
          <w:p w14:paraId="6045F54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76DEE6AD"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67A6B46C" w14:textId="77777777" w:rsidTr="00982513">
        <w:trPr>
          <w:trHeight w:val="53"/>
        </w:trPr>
        <w:tc>
          <w:tcPr>
            <w:tcW w:w="2498" w:type="dxa"/>
            <w:tcBorders>
              <w:top w:val="nil"/>
              <w:left w:val="double" w:sz="6" w:space="0" w:color="auto"/>
              <w:bottom w:val="single" w:sz="8" w:space="0" w:color="auto"/>
              <w:right w:val="single" w:sz="8" w:space="0" w:color="auto"/>
            </w:tcBorders>
          </w:tcPr>
          <w:p w14:paraId="3ADBB9F4"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1A79A94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109</w:t>
            </w:r>
          </w:p>
        </w:tc>
        <w:tc>
          <w:tcPr>
            <w:tcW w:w="1276" w:type="dxa"/>
            <w:tcBorders>
              <w:top w:val="nil"/>
              <w:left w:val="nil"/>
              <w:bottom w:val="single" w:sz="8" w:space="0" w:color="auto"/>
              <w:right w:val="single" w:sz="8" w:space="0" w:color="auto"/>
            </w:tcBorders>
          </w:tcPr>
          <w:p w14:paraId="4860926A"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3BDDC32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w:t>
            </w:r>
          </w:p>
        </w:tc>
        <w:tc>
          <w:tcPr>
            <w:tcW w:w="1276" w:type="dxa"/>
            <w:tcBorders>
              <w:top w:val="nil"/>
              <w:left w:val="nil"/>
              <w:bottom w:val="single" w:sz="8" w:space="0" w:color="auto"/>
              <w:right w:val="single" w:sz="8" w:space="0" w:color="auto"/>
            </w:tcBorders>
          </w:tcPr>
          <w:p w14:paraId="45937B91"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2</w:t>
            </w:r>
            <w:r w:rsidRPr="0098635C">
              <w:rPr>
                <w:color w:val="000000" w:themeColor="text1"/>
                <w:sz w:val="20"/>
                <w:szCs w:val="20"/>
              </w:rPr>
              <w:t>.</w:t>
            </w:r>
            <w:r w:rsidRPr="0098635C">
              <w:rPr>
                <w:bCs/>
                <w:color w:val="000000" w:themeColor="text1"/>
                <w:sz w:val="20"/>
                <w:szCs w:val="20"/>
              </w:rPr>
              <w:t>2</w:t>
            </w:r>
          </w:p>
        </w:tc>
        <w:tc>
          <w:tcPr>
            <w:tcW w:w="2126" w:type="dxa"/>
            <w:tcBorders>
              <w:top w:val="nil"/>
              <w:left w:val="nil"/>
              <w:bottom w:val="single" w:sz="8" w:space="0" w:color="auto"/>
              <w:right w:val="single" w:sz="8" w:space="0" w:color="auto"/>
            </w:tcBorders>
          </w:tcPr>
          <w:p w14:paraId="45F83474" w14:textId="77777777" w:rsidR="00632208" w:rsidRPr="0098635C" w:rsidRDefault="00632208" w:rsidP="00A432B0">
            <w:pPr>
              <w:spacing w:after="0"/>
              <w:jc w:val="center"/>
              <w:rPr>
                <w:color w:val="000000" w:themeColor="text1"/>
                <w:sz w:val="20"/>
                <w:szCs w:val="20"/>
              </w:rPr>
            </w:pPr>
          </w:p>
        </w:tc>
        <w:tc>
          <w:tcPr>
            <w:tcW w:w="1701" w:type="dxa"/>
            <w:tcBorders>
              <w:top w:val="nil"/>
              <w:left w:val="nil"/>
              <w:bottom w:val="single" w:sz="8" w:space="0" w:color="auto"/>
              <w:right w:val="single" w:sz="8" w:space="0" w:color="auto"/>
            </w:tcBorders>
          </w:tcPr>
          <w:p w14:paraId="5E012A9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6DCCDF7D"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79AAE1BC" w14:textId="77777777" w:rsidTr="00982513">
        <w:trPr>
          <w:trHeight w:val="53"/>
        </w:trPr>
        <w:tc>
          <w:tcPr>
            <w:tcW w:w="2498" w:type="dxa"/>
            <w:tcBorders>
              <w:top w:val="nil"/>
              <w:left w:val="double" w:sz="6" w:space="0" w:color="auto"/>
              <w:bottom w:val="single" w:sz="8" w:space="0" w:color="auto"/>
              <w:right w:val="single" w:sz="8" w:space="0" w:color="auto"/>
            </w:tcBorders>
          </w:tcPr>
          <w:p w14:paraId="0164706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0537BDE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465</w:t>
            </w:r>
          </w:p>
        </w:tc>
        <w:tc>
          <w:tcPr>
            <w:tcW w:w="1276" w:type="dxa"/>
            <w:tcBorders>
              <w:top w:val="nil"/>
              <w:left w:val="nil"/>
              <w:bottom w:val="single" w:sz="8" w:space="0" w:color="auto"/>
              <w:right w:val="single" w:sz="8" w:space="0" w:color="auto"/>
            </w:tcBorders>
          </w:tcPr>
          <w:p w14:paraId="467C6AFB"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2E21096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6.31</w:t>
            </w:r>
          </w:p>
        </w:tc>
        <w:tc>
          <w:tcPr>
            <w:tcW w:w="1276" w:type="dxa"/>
            <w:tcBorders>
              <w:top w:val="nil"/>
              <w:left w:val="nil"/>
              <w:bottom w:val="single" w:sz="8" w:space="0" w:color="auto"/>
              <w:right w:val="single" w:sz="8" w:space="0" w:color="auto"/>
            </w:tcBorders>
          </w:tcPr>
          <w:p w14:paraId="447212A0"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8</w:t>
            </w:r>
            <w:r w:rsidRPr="0098635C">
              <w:rPr>
                <w:color w:val="000000" w:themeColor="text1"/>
                <w:sz w:val="20"/>
                <w:szCs w:val="20"/>
              </w:rPr>
              <w:t>.</w:t>
            </w:r>
            <w:r w:rsidRPr="0098635C">
              <w:rPr>
                <w:bCs/>
                <w:color w:val="000000" w:themeColor="text1"/>
                <w:sz w:val="20"/>
                <w:szCs w:val="20"/>
              </w:rPr>
              <w:t>3</w:t>
            </w:r>
          </w:p>
        </w:tc>
        <w:tc>
          <w:tcPr>
            <w:tcW w:w="2126" w:type="dxa"/>
            <w:tcBorders>
              <w:top w:val="nil"/>
              <w:left w:val="nil"/>
              <w:bottom w:val="single" w:sz="8" w:space="0" w:color="auto"/>
              <w:right w:val="single" w:sz="8" w:space="0" w:color="auto"/>
            </w:tcBorders>
          </w:tcPr>
          <w:p w14:paraId="67416109" w14:textId="77777777" w:rsidR="00632208" w:rsidRPr="0098635C" w:rsidRDefault="00632208" w:rsidP="00A432B0">
            <w:pPr>
              <w:spacing w:after="0"/>
              <w:jc w:val="center"/>
              <w:rPr>
                <w:color w:val="000000" w:themeColor="text1"/>
                <w:sz w:val="20"/>
                <w:szCs w:val="20"/>
              </w:rPr>
            </w:pPr>
          </w:p>
        </w:tc>
        <w:tc>
          <w:tcPr>
            <w:tcW w:w="1701" w:type="dxa"/>
            <w:tcBorders>
              <w:top w:val="nil"/>
              <w:left w:val="nil"/>
              <w:bottom w:val="single" w:sz="8" w:space="0" w:color="auto"/>
              <w:right w:val="single" w:sz="8" w:space="0" w:color="auto"/>
            </w:tcBorders>
          </w:tcPr>
          <w:p w14:paraId="5234791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4216A453"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23DB60A4" w14:textId="77777777" w:rsidTr="00982513">
        <w:trPr>
          <w:trHeight w:val="53"/>
        </w:trPr>
        <w:tc>
          <w:tcPr>
            <w:tcW w:w="2498" w:type="dxa"/>
            <w:tcBorders>
              <w:top w:val="nil"/>
              <w:left w:val="double" w:sz="6" w:space="0" w:color="auto"/>
              <w:bottom w:val="single" w:sz="8" w:space="0" w:color="auto"/>
              <w:right w:val="single" w:sz="8" w:space="0" w:color="auto"/>
            </w:tcBorders>
          </w:tcPr>
          <w:p w14:paraId="2BA2E47B"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23240DD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798</w:t>
            </w:r>
          </w:p>
        </w:tc>
        <w:tc>
          <w:tcPr>
            <w:tcW w:w="1276" w:type="dxa"/>
            <w:tcBorders>
              <w:top w:val="nil"/>
              <w:left w:val="nil"/>
              <w:bottom w:val="single" w:sz="8" w:space="0" w:color="auto"/>
              <w:right w:val="single" w:sz="8" w:space="0" w:color="auto"/>
            </w:tcBorders>
          </w:tcPr>
          <w:p w14:paraId="3933ABB3"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0E4ECD8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8.46</w:t>
            </w:r>
          </w:p>
        </w:tc>
        <w:tc>
          <w:tcPr>
            <w:tcW w:w="1276" w:type="dxa"/>
            <w:tcBorders>
              <w:top w:val="nil"/>
              <w:left w:val="nil"/>
              <w:bottom w:val="single" w:sz="8" w:space="0" w:color="auto"/>
              <w:right w:val="single" w:sz="8" w:space="0" w:color="auto"/>
            </w:tcBorders>
          </w:tcPr>
          <w:p w14:paraId="002F127B"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10.9</w:t>
            </w:r>
          </w:p>
        </w:tc>
        <w:tc>
          <w:tcPr>
            <w:tcW w:w="2126" w:type="dxa"/>
            <w:tcBorders>
              <w:top w:val="nil"/>
              <w:left w:val="nil"/>
              <w:bottom w:val="single" w:sz="8" w:space="0" w:color="auto"/>
              <w:right w:val="single" w:sz="8" w:space="0" w:color="auto"/>
            </w:tcBorders>
          </w:tcPr>
          <w:p w14:paraId="28E49DC6" w14:textId="77777777" w:rsidR="00632208" w:rsidRPr="0098635C" w:rsidRDefault="00632208" w:rsidP="00A432B0">
            <w:pPr>
              <w:spacing w:after="0"/>
              <w:jc w:val="center"/>
              <w:rPr>
                <w:color w:val="000000" w:themeColor="text1"/>
                <w:sz w:val="20"/>
                <w:szCs w:val="20"/>
              </w:rPr>
            </w:pPr>
          </w:p>
        </w:tc>
        <w:tc>
          <w:tcPr>
            <w:tcW w:w="1701" w:type="dxa"/>
            <w:tcBorders>
              <w:top w:val="nil"/>
              <w:left w:val="nil"/>
              <w:bottom w:val="single" w:sz="8" w:space="0" w:color="auto"/>
              <w:right w:val="single" w:sz="8" w:space="0" w:color="auto"/>
            </w:tcBorders>
          </w:tcPr>
          <w:p w14:paraId="65858B6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4F41A172"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049494B2" w14:textId="77777777" w:rsidTr="00982513">
        <w:trPr>
          <w:trHeight w:val="53"/>
        </w:trPr>
        <w:tc>
          <w:tcPr>
            <w:tcW w:w="2498" w:type="dxa"/>
            <w:tcBorders>
              <w:top w:val="nil"/>
              <w:left w:val="double" w:sz="6" w:space="0" w:color="auto"/>
              <w:bottom w:val="single" w:sz="8" w:space="0" w:color="auto"/>
              <w:right w:val="single" w:sz="8" w:space="0" w:color="auto"/>
            </w:tcBorders>
          </w:tcPr>
          <w:p w14:paraId="32173F55"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40E56BD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380</w:t>
            </w:r>
          </w:p>
        </w:tc>
        <w:tc>
          <w:tcPr>
            <w:tcW w:w="1276" w:type="dxa"/>
            <w:tcBorders>
              <w:top w:val="nil"/>
              <w:left w:val="nil"/>
              <w:bottom w:val="single" w:sz="8" w:space="0" w:color="auto"/>
              <w:right w:val="single" w:sz="8" w:space="0" w:color="auto"/>
            </w:tcBorders>
          </w:tcPr>
          <w:p w14:paraId="3C679171"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6C43709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7.83</w:t>
            </w:r>
          </w:p>
        </w:tc>
        <w:tc>
          <w:tcPr>
            <w:tcW w:w="1276" w:type="dxa"/>
            <w:tcBorders>
              <w:top w:val="nil"/>
              <w:left w:val="nil"/>
              <w:bottom w:val="single" w:sz="8" w:space="0" w:color="auto"/>
              <w:right w:val="single" w:sz="8" w:space="0" w:color="auto"/>
            </w:tcBorders>
          </w:tcPr>
          <w:p w14:paraId="724266AE"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4</w:t>
            </w:r>
            <w:r w:rsidRPr="0098635C">
              <w:rPr>
                <w:color w:val="000000" w:themeColor="text1"/>
                <w:sz w:val="20"/>
                <w:szCs w:val="20"/>
              </w:rPr>
              <w:t>.</w:t>
            </w:r>
            <w:r w:rsidRPr="0098635C">
              <w:rPr>
                <w:bCs/>
                <w:color w:val="000000" w:themeColor="text1"/>
                <w:sz w:val="20"/>
                <w:szCs w:val="20"/>
              </w:rPr>
              <w:t>2</w:t>
            </w:r>
          </w:p>
        </w:tc>
        <w:tc>
          <w:tcPr>
            <w:tcW w:w="2126" w:type="dxa"/>
            <w:tcBorders>
              <w:top w:val="nil"/>
              <w:left w:val="nil"/>
              <w:bottom w:val="single" w:sz="8" w:space="0" w:color="auto"/>
              <w:right w:val="single" w:sz="8" w:space="0" w:color="auto"/>
            </w:tcBorders>
          </w:tcPr>
          <w:p w14:paraId="786A12B9" w14:textId="77777777" w:rsidR="00632208" w:rsidRPr="0098635C" w:rsidRDefault="00632208" w:rsidP="00A432B0">
            <w:pPr>
              <w:spacing w:after="0"/>
              <w:jc w:val="center"/>
              <w:rPr>
                <w:color w:val="000000" w:themeColor="text1"/>
                <w:sz w:val="20"/>
                <w:szCs w:val="20"/>
              </w:rPr>
            </w:pPr>
          </w:p>
        </w:tc>
        <w:tc>
          <w:tcPr>
            <w:tcW w:w="1701" w:type="dxa"/>
            <w:tcBorders>
              <w:top w:val="nil"/>
              <w:left w:val="nil"/>
              <w:bottom w:val="single" w:sz="8" w:space="0" w:color="auto"/>
              <w:right w:val="single" w:sz="8" w:space="0" w:color="auto"/>
            </w:tcBorders>
          </w:tcPr>
          <w:p w14:paraId="185D4A9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nil"/>
              <w:left w:val="nil"/>
              <w:bottom w:val="single" w:sz="8" w:space="0" w:color="auto"/>
              <w:right w:val="double" w:sz="6" w:space="0" w:color="auto"/>
            </w:tcBorders>
          </w:tcPr>
          <w:p w14:paraId="4E03D87A"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4F57F431" w14:textId="77777777" w:rsidTr="00982513">
        <w:trPr>
          <w:trHeight w:val="53"/>
        </w:trPr>
        <w:tc>
          <w:tcPr>
            <w:tcW w:w="2498" w:type="dxa"/>
            <w:tcBorders>
              <w:top w:val="nil"/>
              <w:left w:val="double" w:sz="6" w:space="0" w:color="auto"/>
              <w:bottom w:val="single" w:sz="8" w:space="0" w:color="auto"/>
              <w:right w:val="single" w:sz="8" w:space="0" w:color="auto"/>
            </w:tcBorders>
          </w:tcPr>
          <w:p w14:paraId="53191202"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03D4AA0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35.2</w:t>
            </w:r>
          </w:p>
        </w:tc>
        <w:tc>
          <w:tcPr>
            <w:tcW w:w="1276" w:type="dxa"/>
            <w:tcBorders>
              <w:top w:val="nil"/>
              <w:left w:val="nil"/>
              <w:bottom w:val="single" w:sz="8" w:space="0" w:color="auto"/>
              <w:right w:val="single" w:sz="8" w:space="0" w:color="auto"/>
            </w:tcBorders>
          </w:tcPr>
          <w:p w14:paraId="108C679A"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756F3F3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5.52</w:t>
            </w:r>
          </w:p>
        </w:tc>
        <w:tc>
          <w:tcPr>
            <w:tcW w:w="1276" w:type="dxa"/>
            <w:tcBorders>
              <w:top w:val="nil"/>
              <w:left w:val="nil"/>
              <w:bottom w:val="single" w:sz="8" w:space="0" w:color="auto"/>
              <w:right w:val="single" w:sz="8" w:space="0" w:color="auto"/>
            </w:tcBorders>
          </w:tcPr>
          <w:p w14:paraId="47D9B4CB"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10.3</w:t>
            </w:r>
          </w:p>
        </w:tc>
        <w:tc>
          <w:tcPr>
            <w:tcW w:w="2126" w:type="dxa"/>
            <w:tcBorders>
              <w:top w:val="nil"/>
              <w:left w:val="nil"/>
              <w:bottom w:val="single" w:sz="8" w:space="0" w:color="auto"/>
              <w:right w:val="single" w:sz="8" w:space="0" w:color="auto"/>
            </w:tcBorders>
          </w:tcPr>
          <w:p w14:paraId="05F99B0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701" w:type="dxa"/>
            <w:tcBorders>
              <w:top w:val="nil"/>
              <w:left w:val="nil"/>
              <w:bottom w:val="single" w:sz="8" w:space="0" w:color="auto"/>
              <w:right w:val="single" w:sz="8" w:space="0" w:color="auto"/>
            </w:tcBorders>
          </w:tcPr>
          <w:p w14:paraId="53BE0A4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3C9C32DC"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7C47E164" w14:textId="77777777" w:rsidTr="00982513">
        <w:trPr>
          <w:trHeight w:val="53"/>
        </w:trPr>
        <w:tc>
          <w:tcPr>
            <w:tcW w:w="2498" w:type="dxa"/>
            <w:tcBorders>
              <w:top w:val="nil"/>
              <w:left w:val="double" w:sz="6" w:space="0" w:color="auto"/>
              <w:bottom w:val="single" w:sz="8" w:space="0" w:color="auto"/>
              <w:right w:val="single" w:sz="8" w:space="0" w:color="auto"/>
            </w:tcBorders>
          </w:tcPr>
          <w:p w14:paraId="7C3FE692"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3A7D690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37.9</w:t>
            </w:r>
          </w:p>
        </w:tc>
        <w:tc>
          <w:tcPr>
            <w:tcW w:w="1276" w:type="dxa"/>
            <w:tcBorders>
              <w:top w:val="nil"/>
              <w:left w:val="nil"/>
              <w:bottom w:val="single" w:sz="8" w:space="0" w:color="auto"/>
              <w:right w:val="single" w:sz="8" w:space="0" w:color="auto"/>
            </w:tcBorders>
          </w:tcPr>
          <w:p w14:paraId="7832D9ED"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51DF55A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6.31</w:t>
            </w:r>
          </w:p>
        </w:tc>
        <w:tc>
          <w:tcPr>
            <w:tcW w:w="1276" w:type="dxa"/>
            <w:tcBorders>
              <w:top w:val="nil"/>
              <w:left w:val="nil"/>
              <w:bottom w:val="single" w:sz="8" w:space="0" w:color="auto"/>
              <w:right w:val="single" w:sz="8" w:space="0" w:color="auto"/>
            </w:tcBorders>
          </w:tcPr>
          <w:p w14:paraId="7FE4D721"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2.72</w:t>
            </w:r>
          </w:p>
        </w:tc>
        <w:tc>
          <w:tcPr>
            <w:tcW w:w="2126" w:type="dxa"/>
            <w:tcBorders>
              <w:top w:val="nil"/>
              <w:left w:val="nil"/>
              <w:bottom w:val="single" w:sz="8" w:space="0" w:color="auto"/>
              <w:right w:val="single" w:sz="8" w:space="0" w:color="auto"/>
            </w:tcBorders>
          </w:tcPr>
          <w:p w14:paraId="091DFE6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10.1</w:t>
            </w:r>
          </w:p>
        </w:tc>
        <w:tc>
          <w:tcPr>
            <w:tcW w:w="1701" w:type="dxa"/>
            <w:tcBorders>
              <w:top w:val="nil"/>
              <w:left w:val="nil"/>
              <w:bottom w:val="single" w:sz="8" w:space="0" w:color="auto"/>
              <w:right w:val="single" w:sz="8" w:space="0" w:color="auto"/>
            </w:tcBorders>
          </w:tcPr>
          <w:p w14:paraId="5EB69C1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1E8F58A1"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44CAA446" w14:textId="77777777" w:rsidTr="00982513">
        <w:trPr>
          <w:trHeight w:val="53"/>
        </w:trPr>
        <w:tc>
          <w:tcPr>
            <w:tcW w:w="2498" w:type="dxa"/>
            <w:tcBorders>
              <w:top w:val="nil"/>
              <w:left w:val="double" w:sz="6" w:space="0" w:color="auto"/>
              <w:bottom w:val="single" w:sz="8" w:space="0" w:color="auto"/>
              <w:right w:val="single" w:sz="8" w:space="0" w:color="auto"/>
            </w:tcBorders>
          </w:tcPr>
          <w:p w14:paraId="6C9EAF6A"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1EBC598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33.8</w:t>
            </w:r>
          </w:p>
        </w:tc>
        <w:tc>
          <w:tcPr>
            <w:tcW w:w="1276" w:type="dxa"/>
            <w:tcBorders>
              <w:top w:val="nil"/>
              <w:left w:val="nil"/>
              <w:bottom w:val="single" w:sz="8" w:space="0" w:color="auto"/>
              <w:right w:val="single" w:sz="8" w:space="0" w:color="auto"/>
            </w:tcBorders>
          </w:tcPr>
          <w:p w14:paraId="3AC3C97E"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0415AFC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6.1</w:t>
            </w:r>
          </w:p>
        </w:tc>
        <w:tc>
          <w:tcPr>
            <w:tcW w:w="1276" w:type="dxa"/>
            <w:tcBorders>
              <w:top w:val="nil"/>
              <w:left w:val="nil"/>
              <w:bottom w:val="single" w:sz="8" w:space="0" w:color="auto"/>
              <w:right w:val="single" w:sz="8" w:space="0" w:color="auto"/>
            </w:tcBorders>
          </w:tcPr>
          <w:p w14:paraId="4F0455CE"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2</w:t>
            </w:r>
            <w:r w:rsidRPr="0098635C">
              <w:rPr>
                <w:color w:val="000000" w:themeColor="text1"/>
                <w:sz w:val="20"/>
                <w:szCs w:val="20"/>
              </w:rPr>
              <w:t>.</w:t>
            </w:r>
            <w:r w:rsidRPr="0098635C">
              <w:rPr>
                <w:bCs/>
                <w:color w:val="000000" w:themeColor="text1"/>
                <w:sz w:val="20"/>
                <w:szCs w:val="20"/>
              </w:rPr>
              <w:t>34</w:t>
            </w:r>
          </w:p>
        </w:tc>
        <w:tc>
          <w:tcPr>
            <w:tcW w:w="2126" w:type="dxa"/>
            <w:tcBorders>
              <w:top w:val="nil"/>
              <w:left w:val="nil"/>
              <w:bottom w:val="single" w:sz="8" w:space="0" w:color="auto"/>
              <w:right w:val="single" w:sz="8" w:space="0" w:color="auto"/>
            </w:tcBorders>
          </w:tcPr>
          <w:p w14:paraId="745C9FB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12.4</w:t>
            </w:r>
          </w:p>
        </w:tc>
        <w:tc>
          <w:tcPr>
            <w:tcW w:w="1701" w:type="dxa"/>
            <w:tcBorders>
              <w:top w:val="nil"/>
              <w:left w:val="nil"/>
              <w:bottom w:val="single" w:sz="8" w:space="0" w:color="auto"/>
              <w:right w:val="single" w:sz="8" w:space="0" w:color="auto"/>
            </w:tcBorders>
          </w:tcPr>
          <w:p w14:paraId="2069290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7D586FEC"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6115091D" w14:textId="77777777" w:rsidTr="00982513">
        <w:trPr>
          <w:trHeight w:val="53"/>
        </w:trPr>
        <w:tc>
          <w:tcPr>
            <w:tcW w:w="2498" w:type="dxa"/>
            <w:tcBorders>
              <w:top w:val="nil"/>
              <w:left w:val="double" w:sz="6" w:space="0" w:color="auto"/>
              <w:bottom w:val="single" w:sz="8" w:space="0" w:color="auto"/>
              <w:right w:val="single" w:sz="8" w:space="0" w:color="auto"/>
            </w:tcBorders>
          </w:tcPr>
          <w:p w14:paraId="2D0CEEDE"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6434818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40.9</w:t>
            </w:r>
          </w:p>
        </w:tc>
        <w:tc>
          <w:tcPr>
            <w:tcW w:w="1276" w:type="dxa"/>
            <w:tcBorders>
              <w:top w:val="nil"/>
              <w:left w:val="nil"/>
              <w:bottom w:val="single" w:sz="8" w:space="0" w:color="auto"/>
              <w:right w:val="single" w:sz="8" w:space="0" w:color="auto"/>
            </w:tcBorders>
          </w:tcPr>
          <w:p w14:paraId="4D5A11CD"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1369C5A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6.35</w:t>
            </w:r>
          </w:p>
        </w:tc>
        <w:tc>
          <w:tcPr>
            <w:tcW w:w="1276" w:type="dxa"/>
            <w:tcBorders>
              <w:top w:val="nil"/>
              <w:left w:val="nil"/>
              <w:bottom w:val="single" w:sz="8" w:space="0" w:color="auto"/>
              <w:right w:val="single" w:sz="8" w:space="0" w:color="auto"/>
            </w:tcBorders>
          </w:tcPr>
          <w:p w14:paraId="5BD186BE"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4</w:t>
            </w:r>
            <w:r w:rsidRPr="0098635C">
              <w:rPr>
                <w:color w:val="000000" w:themeColor="text1"/>
                <w:sz w:val="20"/>
                <w:szCs w:val="20"/>
              </w:rPr>
              <w:t>.</w:t>
            </w:r>
            <w:r w:rsidRPr="0098635C">
              <w:rPr>
                <w:bCs/>
                <w:color w:val="000000" w:themeColor="text1"/>
                <w:sz w:val="20"/>
                <w:szCs w:val="20"/>
              </w:rPr>
              <w:t>87</w:t>
            </w:r>
          </w:p>
        </w:tc>
        <w:tc>
          <w:tcPr>
            <w:tcW w:w="2126" w:type="dxa"/>
            <w:tcBorders>
              <w:top w:val="nil"/>
              <w:left w:val="nil"/>
              <w:bottom w:val="single" w:sz="8" w:space="0" w:color="auto"/>
              <w:right w:val="single" w:sz="8" w:space="0" w:color="auto"/>
            </w:tcBorders>
          </w:tcPr>
          <w:p w14:paraId="102AFB6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18.1</w:t>
            </w:r>
          </w:p>
        </w:tc>
        <w:tc>
          <w:tcPr>
            <w:tcW w:w="1701" w:type="dxa"/>
            <w:tcBorders>
              <w:top w:val="nil"/>
              <w:left w:val="nil"/>
              <w:bottom w:val="single" w:sz="8" w:space="0" w:color="auto"/>
              <w:right w:val="single" w:sz="8" w:space="0" w:color="auto"/>
            </w:tcBorders>
          </w:tcPr>
          <w:p w14:paraId="5BFB196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4B0A3160"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1928C42F" w14:textId="77777777" w:rsidTr="00982513">
        <w:trPr>
          <w:trHeight w:val="53"/>
        </w:trPr>
        <w:tc>
          <w:tcPr>
            <w:tcW w:w="2498" w:type="dxa"/>
            <w:tcBorders>
              <w:top w:val="nil"/>
              <w:left w:val="double" w:sz="6" w:space="0" w:color="auto"/>
              <w:bottom w:val="single" w:sz="8" w:space="0" w:color="auto"/>
              <w:right w:val="single" w:sz="8" w:space="0" w:color="auto"/>
            </w:tcBorders>
          </w:tcPr>
          <w:p w14:paraId="7F0B842F"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77DAF96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295</w:t>
            </w:r>
          </w:p>
        </w:tc>
        <w:tc>
          <w:tcPr>
            <w:tcW w:w="1276" w:type="dxa"/>
            <w:tcBorders>
              <w:top w:val="nil"/>
              <w:left w:val="nil"/>
              <w:bottom w:val="single" w:sz="8" w:space="0" w:color="auto"/>
              <w:right w:val="single" w:sz="8" w:space="0" w:color="auto"/>
            </w:tcBorders>
          </w:tcPr>
          <w:p w14:paraId="269FE2A1"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5EC6031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7.02</w:t>
            </w:r>
          </w:p>
        </w:tc>
        <w:tc>
          <w:tcPr>
            <w:tcW w:w="1276" w:type="dxa"/>
            <w:tcBorders>
              <w:top w:val="nil"/>
              <w:left w:val="nil"/>
              <w:bottom w:val="single" w:sz="8" w:space="0" w:color="auto"/>
              <w:right w:val="single" w:sz="8" w:space="0" w:color="auto"/>
            </w:tcBorders>
          </w:tcPr>
          <w:p w14:paraId="6D7189EE"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10.1</w:t>
            </w:r>
          </w:p>
        </w:tc>
        <w:tc>
          <w:tcPr>
            <w:tcW w:w="2126" w:type="dxa"/>
            <w:tcBorders>
              <w:top w:val="nil"/>
              <w:left w:val="nil"/>
              <w:bottom w:val="single" w:sz="8" w:space="0" w:color="auto"/>
              <w:right w:val="single" w:sz="8" w:space="0" w:color="auto"/>
            </w:tcBorders>
          </w:tcPr>
          <w:p w14:paraId="37C563F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52.7</w:t>
            </w:r>
          </w:p>
        </w:tc>
        <w:tc>
          <w:tcPr>
            <w:tcW w:w="1701" w:type="dxa"/>
            <w:tcBorders>
              <w:top w:val="nil"/>
              <w:left w:val="nil"/>
              <w:bottom w:val="single" w:sz="8" w:space="0" w:color="auto"/>
              <w:right w:val="single" w:sz="8" w:space="0" w:color="auto"/>
            </w:tcBorders>
          </w:tcPr>
          <w:p w14:paraId="2A9932A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523A1447"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09B728A6" w14:textId="77777777" w:rsidTr="00982513">
        <w:trPr>
          <w:trHeight w:val="53"/>
        </w:trPr>
        <w:tc>
          <w:tcPr>
            <w:tcW w:w="2498" w:type="dxa"/>
            <w:tcBorders>
              <w:top w:val="nil"/>
              <w:left w:val="double" w:sz="6" w:space="0" w:color="auto"/>
              <w:bottom w:val="single" w:sz="8" w:space="0" w:color="auto"/>
              <w:right w:val="single" w:sz="8" w:space="0" w:color="auto"/>
            </w:tcBorders>
          </w:tcPr>
          <w:p w14:paraId="4BFAF12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75013F5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648</w:t>
            </w:r>
          </w:p>
        </w:tc>
        <w:tc>
          <w:tcPr>
            <w:tcW w:w="1276" w:type="dxa"/>
            <w:tcBorders>
              <w:top w:val="nil"/>
              <w:left w:val="nil"/>
              <w:bottom w:val="single" w:sz="8" w:space="0" w:color="auto"/>
              <w:right w:val="single" w:sz="8" w:space="0" w:color="auto"/>
            </w:tcBorders>
          </w:tcPr>
          <w:p w14:paraId="4BE83AA8"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271F2CA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tc>
        <w:tc>
          <w:tcPr>
            <w:tcW w:w="1276" w:type="dxa"/>
            <w:tcBorders>
              <w:top w:val="nil"/>
              <w:left w:val="nil"/>
              <w:bottom w:val="single" w:sz="8" w:space="0" w:color="auto"/>
              <w:right w:val="single" w:sz="8" w:space="0" w:color="auto"/>
            </w:tcBorders>
          </w:tcPr>
          <w:p w14:paraId="7200D28A"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20.4</w:t>
            </w:r>
          </w:p>
        </w:tc>
        <w:tc>
          <w:tcPr>
            <w:tcW w:w="2126" w:type="dxa"/>
            <w:tcBorders>
              <w:top w:val="nil"/>
              <w:left w:val="nil"/>
              <w:bottom w:val="single" w:sz="8" w:space="0" w:color="auto"/>
              <w:right w:val="single" w:sz="8" w:space="0" w:color="auto"/>
            </w:tcBorders>
          </w:tcPr>
          <w:p w14:paraId="2499EA1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133.4</w:t>
            </w:r>
          </w:p>
        </w:tc>
        <w:tc>
          <w:tcPr>
            <w:tcW w:w="1701" w:type="dxa"/>
            <w:tcBorders>
              <w:top w:val="nil"/>
              <w:left w:val="nil"/>
              <w:bottom w:val="single" w:sz="8" w:space="0" w:color="auto"/>
              <w:right w:val="single" w:sz="8" w:space="0" w:color="auto"/>
            </w:tcBorders>
          </w:tcPr>
          <w:p w14:paraId="3FB6A59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5CFA4F0A"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1BAE9697" w14:textId="77777777" w:rsidTr="00982513">
        <w:trPr>
          <w:trHeight w:val="53"/>
        </w:trPr>
        <w:tc>
          <w:tcPr>
            <w:tcW w:w="2498" w:type="dxa"/>
            <w:tcBorders>
              <w:top w:val="nil"/>
              <w:left w:val="double" w:sz="6" w:space="0" w:color="auto"/>
              <w:bottom w:val="single" w:sz="8" w:space="0" w:color="auto"/>
              <w:right w:val="single" w:sz="8" w:space="0" w:color="auto"/>
            </w:tcBorders>
          </w:tcPr>
          <w:p w14:paraId="529F1F0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3D7533C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792</w:t>
            </w:r>
          </w:p>
        </w:tc>
        <w:tc>
          <w:tcPr>
            <w:tcW w:w="1276" w:type="dxa"/>
            <w:tcBorders>
              <w:top w:val="nil"/>
              <w:left w:val="nil"/>
              <w:bottom w:val="single" w:sz="8" w:space="0" w:color="auto"/>
              <w:right w:val="single" w:sz="8" w:space="0" w:color="auto"/>
            </w:tcBorders>
          </w:tcPr>
          <w:p w14:paraId="544FCE34"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14A67F3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7.35</w:t>
            </w:r>
          </w:p>
        </w:tc>
        <w:tc>
          <w:tcPr>
            <w:tcW w:w="1276" w:type="dxa"/>
            <w:tcBorders>
              <w:top w:val="nil"/>
              <w:left w:val="nil"/>
              <w:bottom w:val="single" w:sz="8" w:space="0" w:color="auto"/>
              <w:right w:val="single" w:sz="8" w:space="0" w:color="auto"/>
            </w:tcBorders>
          </w:tcPr>
          <w:p w14:paraId="526BA1D8"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22.8</w:t>
            </w:r>
          </w:p>
        </w:tc>
        <w:tc>
          <w:tcPr>
            <w:tcW w:w="2126" w:type="dxa"/>
            <w:tcBorders>
              <w:top w:val="nil"/>
              <w:left w:val="nil"/>
              <w:bottom w:val="single" w:sz="8" w:space="0" w:color="auto"/>
              <w:right w:val="single" w:sz="8" w:space="0" w:color="auto"/>
            </w:tcBorders>
          </w:tcPr>
          <w:p w14:paraId="062CCA2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139.7</w:t>
            </w:r>
          </w:p>
        </w:tc>
        <w:tc>
          <w:tcPr>
            <w:tcW w:w="1701" w:type="dxa"/>
            <w:tcBorders>
              <w:top w:val="nil"/>
              <w:left w:val="nil"/>
              <w:bottom w:val="single" w:sz="8" w:space="0" w:color="auto"/>
              <w:right w:val="single" w:sz="8" w:space="0" w:color="auto"/>
            </w:tcBorders>
          </w:tcPr>
          <w:p w14:paraId="7F53856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42323881"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72FF76EC" w14:textId="77777777" w:rsidTr="00982513">
        <w:trPr>
          <w:trHeight w:val="53"/>
        </w:trPr>
        <w:tc>
          <w:tcPr>
            <w:tcW w:w="2498" w:type="dxa"/>
            <w:tcBorders>
              <w:top w:val="nil"/>
              <w:left w:val="double" w:sz="6" w:space="0" w:color="auto"/>
              <w:bottom w:val="single" w:sz="8" w:space="0" w:color="auto"/>
              <w:right w:val="single" w:sz="8" w:space="0" w:color="auto"/>
            </w:tcBorders>
          </w:tcPr>
          <w:p w14:paraId="13D3DDA6"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41EAE50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686</w:t>
            </w:r>
          </w:p>
        </w:tc>
        <w:tc>
          <w:tcPr>
            <w:tcW w:w="1276" w:type="dxa"/>
            <w:tcBorders>
              <w:top w:val="nil"/>
              <w:left w:val="nil"/>
              <w:bottom w:val="single" w:sz="8" w:space="0" w:color="auto"/>
              <w:right w:val="single" w:sz="8" w:space="0" w:color="auto"/>
            </w:tcBorders>
          </w:tcPr>
          <w:p w14:paraId="6B60E81A"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7FB50DE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7.3</w:t>
            </w:r>
          </w:p>
        </w:tc>
        <w:tc>
          <w:tcPr>
            <w:tcW w:w="1276" w:type="dxa"/>
            <w:tcBorders>
              <w:top w:val="nil"/>
              <w:left w:val="nil"/>
              <w:bottom w:val="single" w:sz="8" w:space="0" w:color="auto"/>
              <w:right w:val="single" w:sz="8" w:space="0" w:color="auto"/>
            </w:tcBorders>
          </w:tcPr>
          <w:p w14:paraId="5FE241E2"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17.8</w:t>
            </w:r>
          </w:p>
        </w:tc>
        <w:tc>
          <w:tcPr>
            <w:tcW w:w="2126" w:type="dxa"/>
            <w:tcBorders>
              <w:top w:val="nil"/>
              <w:left w:val="nil"/>
              <w:bottom w:val="single" w:sz="8" w:space="0" w:color="auto"/>
              <w:right w:val="single" w:sz="8" w:space="0" w:color="auto"/>
            </w:tcBorders>
          </w:tcPr>
          <w:p w14:paraId="0606708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165.4</w:t>
            </w:r>
          </w:p>
        </w:tc>
        <w:tc>
          <w:tcPr>
            <w:tcW w:w="1701" w:type="dxa"/>
            <w:tcBorders>
              <w:top w:val="nil"/>
              <w:left w:val="nil"/>
              <w:bottom w:val="single" w:sz="8" w:space="0" w:color="auto"/>
              <w:right w:val="single" w:sz="8" w:space="0" w:color="auto"/>
            </w:tcBorders>
          </w:tcPr>
          <w:p w14:paraId="401743A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578A62DC"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79F778C4" w14:textId="77777777" w:rsidTr="00982513">
        <w:trPr>
          <w:trHeight w:val="53"/>
        </w:trPr>
        <w:tc>
          <w:tcPr>
            <w:tcW w:w="2498" w:type="dxa"/>
            <w:tcBorders>
              <w:top w:val="nil"/>
              <w:left w:val="double" w:sz="6" w:space="0" w:color="auto"/>
              <w:bottom w:val="single" w:sz="8" w:space="0" w:color="auto"/>
              <w:right w:val="single" w:sz="8" w:space="0" w:color="auto"/>
            </w:tcBorders>
          </w:tcPr>
          <w:p w14:paraId="4D82363E"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1767C1C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281</w:t>
            </w:r>
          </w:p>
        </w:tc>
        <w:tc>
          <w:tcPr>
            <w:tcW w:w="1276" w:type="dxa"/>
            <w:tcBorders>
              <w:top w:val="nil"/>
              <w:left w:val="nil"/>
              <w:bottom w:val="single" w:sz="8" w:space="0" w:color="auto"/>
              <w:right w:val="single" w:sz="8" w:space="0" w:color="auto"/>
            </w:tcBorders>
          </w:tcPr>
          <w:p w14:paraId="02813C7F"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32FA81C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7.59</w:t>
            </w:r>
          </w:p>
        </w:tc>
        <w:tc>
          <w:tcPr>
            <w:tcW w:w="1276" w:type="dxa"/>
            <w:tcBorders>
              <w:top w:val="nil"/>
              <w:left w:val="nil"/>
              <w:bottom w:val="single" w:sz="8" w:space="0" w:color="auto"/>
              <w:right w:val="single" w:sz="8" w:space="0" w:color="auto"/>
            </w:tcBorders>
          </w:tcPr>
          <w:p w14:paraId="4F512DCC"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7</w:t>
            </w:r>
            <w:r w:rsidRPr="0098635C">
              <w:rPr>
                <w:color w:val="000000" w:themeColor="text1"/>
                <w:sz w:val="20"/>
                <w:szCs w:val="20"/>
              </w:rPr>
              <w:t>.</w:t>
            </w:r>
            <w:r w:rsidRPr="0098635C">
              <w:rPr>
                <w:bCs/>
                <w:color w:val="000000" w:themeColor="text1"/>
                <w:sz w:val="20"/>
                <w:szCs w:val="20"/>
              </w:rPr>
              <w:t>81</w:t>
            </w:r>
          </w:p>
        </w:tc>
        <w:tc>
          <w:tcPr>
            <w:tcW w:w="2126" w:type="dxa"/>
            <w:tcBorders>
              <w:top w:val="nil"/>
              <w:left w:val="nil"/>
              <w:bottom w:val="single" w:sz="8" w:space="0" w:color="auto"/>
              <w:right w:val="single" w:sz="8" w:space="0" w:color="auto"/>
            </w:tcBorders>
          </w:tcPr>
          <w:p w14:paraId="7856C3A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69.7</w:t>
            </w:r>
          </w:p>
        </w:tc>
        <w:tc>
          <w:tcPr>
            <w:tcW w:w="1701" w:type="dxa"/>
            <w:tcBorders>
              <w:top w:val="nil"/>
              <w:left w:val="nil"/>
              <w:bottom w:val="single" w:sz="8" w:space="0" w:color="auto"/>
              <w:right w:val="single" w:sz="8" w:space="0" w:color="auto"/>
            </w:tcBorders>
          </w:tcPr>
          <w:p w14:paraId="339D922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3EFC8E9A"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277548DC" w14:textId="77777777" w:rsidTr="00982513">
        <w:trPr>
          <w:trHeight w:val="53"/>
        </w:trPr>
        <w:tc>
          <w:tcPr>
            <w:tcW w:w="2498" w:type="dxa"/>
            <w:tcBorders>
              <w:top w:val="nil"/>
              <w:left w:val="double" w:sz="6" w:space="0" w:color="auto"/>
              <w:bottom w:val="single" w:sz="8" w:space="0" w:color="auto"/>
              <w:right w:val="single" w:sz="8" w:space="0" w:color="auto"/>
            </w:tcBorders>
          </w:tcPr>
          <w:p w14:paraId="25E0FAB4"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42FE9CD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484</w:t>
            </w:r>
          </w:p>
        </w:tc>
        <w:tc>
          <w:tcPr>
            <w:tcW w:w="1276" w:type="dxa"/>
            <w:tcBorders>
              <w:top w:val="nil"/>
              <w:left w:val="nil"/>
              <w:bottom w:val="single" w:sz="8" w:space="0" w:color="auto"/>
              <w:right w:val="single" w:sz="8" w:space="0" w:color="auto"/>
            </w:tcBorders>
          </w:tcPr>
          <w:p w14:paraId="3CD3A897"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1EF7837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7.7</w:t>
            </w:r>
          </w:p>
        </w:tc>
        <w:tc>
          <w:tcPr>
            <w:tcW w:w="1276" w:type="dxa"/>
            <w:tcBorders>
              <w:top w:val="nil"/>
              <w:left w:val="nil"/>
              <w:bottom w:val="single" w:sz="8" w:space="0" w:color="auto"/>
              <w:right w:val="single" w:sz="8" w:space="0" w:color="auto"/>
            </w:tcBorders>
          </w:tcPr>
          <w:p w14:paraId="187A770C"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10.0</w:t>
            </w:r>
          </w:p>
        </w:tc>
        <w:tc>
          <w:tcPr>
            <w:tcW w:w="2126" w:type="dxa"/>
            <w:tcBorders>
              <w:top w:val="nil"/>
              <w:left w:val="nil"/>
              <w:bottom w:val="single" w:sz="8" w:space="0" w:color="auto"/>
              <w:right w:val="single" w:sz="8" w:space="0" w:color="auto"/>
            </w:tcBorders>
          </w:tcPr>
          <w:p w14:paraId="2D35B78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92.0</w:t>
            </w:r>
          </w:p>
        </w:tc>
        <w:tc>
          <w:tcPr>
            <w:tcW w:w="1701" w:type="dxa"/>
            <w:tcBorders>
              <w:top w:val="nil"/>
              <w:left w:val="nil"/>
              <w:bottom w:val="single" w:sz="8" w:space="0" w:color="auto"/>
              <w:right w:val="single" w:sz="8" w:space="0" w:color="auto"/>
            </w:tcBorders>
          </w:tcPr>
          <w:p w14:paraId="00CEFB1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1F8409B6"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18DFBBA9" w14:textId="77777777" w:rsidTr="00982513">
        <w:trPr>
          <w:trHeight w:val="53"/>
        </w:trPr>
        <w:tc>
          <w:tcPr>
            <w:tcW w:w="2498" w:type="dxa"/>
            <w:tcBorders>
              <w:top w:val="nil"/>
              <w:left w:val="double" w:sz="6" w:space="0" w:color="auto"/>
              <w:bottom w:val="single" w:sz="8" w:space="0" w:color="auto"/>
              <w:right w:val="single" w:sz="8" w:space="0" w:color="auto"/>
            </w:tcBorders>
          </w:tcPr>
          <w:p w14:paraId="5978F8A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10E8D16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366</w:t>
            </w:r>
          </w:p>
        </w:tc>
        <w:tc>
          <w:tcPr>
            <w:tcW w:w="1276" w:type="dxa"/>
            <w:tcBorders>
              <w:top w:val="nil"/>
              <w:left w:val="nil"/>
              <w:bottom w:val="single" w:sz="8" w:space="0" w:color="auto"/>
              <w:right w:val="single" w:sz="8" w:space="0" w:color="auto"/>
            </w:tcBorders>
          </w:tcPr>
          <w:p w14:paraId="4EB59E87"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288F798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7.72</w:t>
            </w:r>
          </w:p>
        </w:tc>
        <w:tc>
          <w:tcPr>
            <w:tcW w:w="1276" w:type="dxa"/>
            <w:tcBorders>
              <w:top w:val="nil"/>
              <w:left w:val="nil"/>
              <w:bottom w:val="single" w:sz="8" w:space="0" w:color="auto"/>
              <w:right w:val="single" w:sz="8" w:space="0" w:color="auto"/>
            </w:tcBorders>
          </w:tcPr>
          <w:p w14:paraId="2336441A"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7</w:t>
            </w:r>
            <w:r w:rsidRPr="0098635C">
              <w:rPr>
                <w:color w:val="000000" w:themeColor="text1"/>
                <w:sz w:val="20"/>
                <w:szCs w:val="20"/>
              </w:rPr>
              <w:t>.</w:t>
            </w:r>
            <w:r w:rsidRPr="0098635C">
              <w:rPr>
                <w:bCs/>
                <w:color w:val="000000" w:themeColor="text1"/>
                <w:sz w:val="20"/>
                <w:szCs w:val="20"/>
              </w:rPr>
              <w:t>88</w:t>
            </w:r>
          </w:p>
        </w:tc>
        <w:tc>
          <w:tcPr>
            <w:tcW w:w="2126" w:type="dxa"/>
            <w:tcBorders>
              <w:top w:val="nil"/>
              <w:left w:val="nil"/>
              <w:bottom w:val="single" w:sz="8" w:space="0" w:color="auto"/>
              <w:right w:val="single" w:sz="8" w:space="0" w:color="auto"/>
            </w:tcBorders>
          </w:tcPr>
          <w:p w14:paraId="73DF704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108.1</w:t>
            </w:r>
          </w:p>
        </w:tc>
        <w:tc>
          <w:tcPr>
            <w:tcW w:w="1701" w:type="dxa"/>
            <w:tcBorders>
              <w:top w:val="nil"/>
              <w:left w:val="nil"/>
              <w:bottom w:val="single" w:sz="8" w:space="0" w:color="auto"/>
              <w:right w:val="single" w:sz="8" w:space="0" w:color="auto"/>
            </w:tcBorders>
          </w:tcPr>
          <w:p w14:paraId="5DE38E5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7DD96AB6"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7EB10A49" w14:textId="77777777" w:rsidTr="00982513">
        <w:trPr>
          <w:trHeight w:val="53"/>
        </w:trPr>
        <w:tc>
          <w:tcPr>
            <w:tcW w:w="2498" w:type="dxa"/>
            <w:tcBorders>
              <w:top w:val="nil"/>
              <w:left w:val="double" w:sz="6" w:space="0" w:color="auto"/>
              <w:bottom w:val="single" w:sz="8" w:space="0" w:color="auto"/>
              <w:right w:val="single" w:sz="8" w:space="0" w:color="auto"/>
            </w:tcBorders>
          </w:tcPr>
          <w:p w14:paraId="5A2EF97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5725377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332</w:t>
            </w:r>
          </w:p>
        </w:tc>
        <w:tc>
          <w:tcPr>
            <w:tcW w:w="1276" w:type="dxa"/>
            <w:tcBorders>
              <w:top w:val="nil"/>
              <w:left w:val="nil"/>
              <w:bottom w:val="single" w:sz="8" w:space="0" w:color="auto"/>
              <w:right w:val="single" w:sz="8" w:space="0" w:color="auto"/>
            </w:tcBorders>
          </w:tcPr>
          <w:p w14:paraId="49CE16B7"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024A4AB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7.85</w:t>
            </w:r>
          </w:p>
        </w:tc>
        <w:tc>
          <w:tcPr>
            <w:tcW w:w="1276" w:type="dxa"/>
            <w:tcBorders>
              <w:top w:val="nil"/>
              <w:left w:val="nil"/>
              <w:bottom w:val="single" w:sz="8" w:space="0" w:color="auto"/>
              <w:right w:val="single" w:sz="8" w:space="0" w:color="auto"/>
            </w:tcBorders>
          </w:tcPr>
          <w:p w14:paraId="77202477"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11.8</w:t>
            </w:r>
          </w:p>
        </w:tc>
        <w:tc>
          <w:tcPr>
            <w:tcW w:w="2126" w:type="dxa"/>
            <w:tcBorders>
              <w:top w:val="nil"/>
              <w:left w:val="nil"/>
              <w:bottom w:val="single" w:sz="8" w:space="0" w:color="auto"/>
              <w:right w:val="single" w:sz="8" w:space="0" w:color="auto"/>
            </w:tcBorders>
          </w:tcPr>
          <w:p w14:paraId="2723E3F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112.7</w:t>
            </w:r>
          </w:p>
        </w:tc>
        <w:tc>
          <w:tcPr>
            <w:tcW w:w="1701" w:type="dxa"/>
            <w:tcBorders>
              <w:top w:val="nil"/>
              <w:left w:val="nil"/>
              <w:bottom w:val="single" w:sz="8" w:space="0" w:color="auto"/>
              <w:right w:val="single" w:sz="8" w:space="0" w:color="auto"/>
            </w:tcBorders>
          </w:tcPr>
          <w:p w14:paraId="26ED598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7A8FEE2C"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35D5CC1D" w14:textId="77777777" w:rsidTr="00982513">
        <w:trPr>
          <w:trHeight w:val="53"/>
        </w:trPr>
        <w:tc>
          <w:tcPr>
            <w:tcW w:w="2498" w:type="dxa"/>
            <w:tcBorders>
              <w:top w:val="nil"/>
              <w:left w:val="double" w:sz="6" w:space="0" w:color="auto"/>
              <w:bottom w:val="single" w:sz="8" w:space="0" w:color="auto"/>
              <w:right w:val="single" w:sz="8" w:space="0" w:color="auto"/>
            </w:tcBorders>
          </w:tcPr>
          <w:p w14:paraId="68E49FE8"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25D77E3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399</w:t>
            </w:r>
          </w:p>
        </w:tc>
        <w:tc>
          <w:tcPr>
            <w:tcW w:w="1276" w:type="dxa"/>
            <w:tcBorders>
              <w:top w:val="nil"/>
              <w:left w:val="nil"/>
              <w:bottom w:val="single" w:sz="8" w:space="0" w:color="auto"/>
              <w:right w:val="single" w:sz="8" w:space="0" w:color="auto"/>
            </w:tcBorders>
          </w:tcPr>
          <w:p w14:paraId="571101C1"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427D2EC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7.87</w:t>
            </w:r>
          </w:p>
        </w:tc>
        <w:tc>
          <w:tcPr>
            <w:tcW w:w="1276" w:type="dxa"/>
            <w:tcBorders>
              <w:top w:val="nil"/>
              <w:left w:val="nil"/>
              <w:bottom w:val="single" w:sz="8" w:space="0" w:color="auto"/>
              <w:right w:val="single" w:sz="8" w:space="0" w:color="auto"/>
            </w:tcBorders>
          </w:tcPr>
          <w:p w14:paraId="5778E7E1"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14.3</w:t>
            </w:r>
          </w:p>
        </w:tc>
        <w:tc>
          <w:tcPr>
            <w:tcW w:w="2126" w:type="dxa"/>
            <w:tcBorders>
              <w:top w:val="nil"/>
              <w:left w:val="nil"/>
              <w:bottom w:val="single" w:sz="8" w:space="0" w:color="auto"/>
              <w:right w:val="single" w:sz="8" w:space="0" w:color="auto"/>
            </w:tcBorders>
          </w:tcPr>
          <w:p w14:paraId="54647D2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116.6</w:t>
            </w:r>
          </w:p>
        </w:tc>
        <w:tc>
          <w:tcPr>
            <w:tcW w:w="1701" w:type="dxa"/>
            <w:tcBorders>
              <w:top w:val="nil"/>
              <w:left w:val="nil"/>
              <w:bottom w:val="single" w:sz="8" w:space="0" w:color="auto"/>
              <w:right w:val="single" w:sz="8" w:space="0" w:color="auto"/>
            </w:tcBorders>
          </w:tcPr>
          <w:p w14:paraId="2E230A6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1152F035"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De Schamphelaere et al, </w:t>
            </w:r>
            <w:r w:rsidRPr="0098635C">
              <w:rPr>
                <w:color w:val="000000" w:themeColor="text1"/>
                <w:sz w:val="20"/>
                <w:szCs w:val="20"/>
              </w:rPr>
              <w:lastRenderedPageBreak/>
              <w:t>2002</w:t>
            </w:r>
          </w:p>
        </w:tc>
      </w:tr>
      <w:tr w:rsidR="00632208" w:rsidRPr="0098635C" w14:paraId="25626150" w14:textId="77777777" w:rsidTr="00982513">
        <w:trPr>
          <w:trHeight w:val="53"/>
        </w:trPr>
        <w:tc>
          <w:tcPr>
            <w:tcW w:w="2498" w:type="dxa"/>
            <w:tcBorders>
              <w:top w:val="nil"/>
              <w:left w:val="double" w:sz="6" w:space="0" w:color="auto"/>
              <w:bottom w:val="single" w:sz="8" w:space="0" w:color="auto"/>
              <w:right w:val="single" w:sz="8" w:space="0" w:color="auto"/>
            </w:tcBorders>
          </w:tcPr>
          <w:p w14:paraId="66044A7A"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nil"/>
              <w:left w:val="nil"/>
              <w:bottom w:val="single" w:sz="8" w:space="0" w:color="auto"/>
              <w:right w:val="single" w:sz="8" w:space="0" w:color="auto"/>
            </w:tcBorders>
          </w:tcPr>
          <w:p w14:paraId="4DAA114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529</w:t>
            </w:r>
          </w:p>
        </w:tc>
        <w:tc>
          <w:tcPr>
            <w:tcW w:w="1276" w:type="dxa"/>
            <w:tcBorders>
              <w:top w:val="nil"/>
              <w:left w:val="nil"/>
              <w:bottom w:val="single" w:sz="8" w:space="0" w:color="auto"/>
              <w:right w:val="single" w:sz="8" w:space="0" w:color="auto"/>
            </w:tcBorders>
          </w:tcPr>
          <w:p w14:paraId="106573F0" w14:textId="77777777" w:rsidR="00632208" w:rsidRPr="0098635C" w:rsidRDefault="00632208" w:rsidP="00A432B0">
            <w:pPr>
              <w:spacing w:after="0"/>
              <w:jc w:val="center"/>
              <w:rPr>
                <w:color w:val="000000" w:themeColor="text1"/>
                <w:sz w:val="20"/>
                <w:szCs w:val="20"/>
              </w:rPr>
            </w:pPr>
          </w:p>
        </w:tc>
        <w:tc>
          <w:tcPr>
            <w:tcW w:w="1417" w:type="dxa"/>
            <w:tcBorders>
              <w:top w:val="nil"/>
              <w:left w:val="nil"/>
              <w:bottom w:val="single" w:sz="8" w:space="0" w:color="auto"/>
              <w:right w:val="single" w:sz="8" w:space="0" w:color="auto"/>
            </w:tcBorders>
          </w:tcPr>
          <w:p w14:paraId="1F1D78E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7.6</w:t>
            </w:r>
          </w:p>
        </w:tc>
        <w:tc>
          <w:tcPr>
            <w:tcW w:w="1276" w:type="dxa"/>
            <w:tcBorders>
              <w:top w:val="nil"/>
              <w:left w:val="nil"/>
              <w:bottom w:val="single" w:sz="8" w:space="0" w:color="auto"/>
              <w:right w:val="single" w:sz="8" w:space="0" w:color="auto"/>
            </w:tcBorders>
          </w:tcPr>
          <w:p w14:paraId="48B52BE3"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18.4</w:t>
            </w:r>
          </w:p>
        </w:tc>
        <w:tc>
          <w:tcPr>
            <w:tcW w:w="2126" w:type="dxa"/>
            <w:tcBorders>
              <w:top w:val="nil"/>
              <w:left w:val="nil"/>
              <w:bottom w:val="single" w:sz="8" w:space="0" w:color="auto"/>
              <w:right w:val="single" w:sz="8" w:space="0" w:color="auto"/>
            </w:tcBorders>
          </w:tcPr>
          <w:p w14:paraId="69616CB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125.1</w:t>
            </w:r>
          </w:p>
        </w:tc>
        <w:tc>
          <w:tcPr>
            <w:tcW w:w="1701" w:type="dxa"/>
            <w:tcBorders>
              <w:top w:val="nil"/>
              <w:left w:val="nil"/>
              <w:bottom w:val="single" w:sz="8" w:space="0" w:color="auto"/>
              <w:right w:val="single" w:sz="8" w:space="0" w:color="auto"/>
            </w:tcBorders>
          </w:tcPr>
          <w:p w14:paraId="5995A79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nil"/>
              <w:left w:val="nil"/>
              <w:bottom w:val="single" w:sz="8" w:space="0" w:color="auto"/>
              <w:right w:val="double" w:sz="6" w:space="0" w:color="auto"/>
            </w:tcBorders>
          </w:tcPr>
          <w:p w14:paraId="5D4B1B47"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40EB6D70" w14:textId="77777777" w:rsidTr="00982513">
        <w:trPr>
          <w:trHeight w:val="105"/>
        </w:trPr>
        <w:tc>
          <w:tcPr>
            <w:tcW w:w="2498" w:type="dxa"/>
            <w:tcBorders>
              <w:top w:val="single" w:sz="8" w:space="0" w:color="auto"/>
              <w:left w:val="double" w:sz="6" w:space="0" w:color="auto"/>
              <w:bottom w:val="single" w:sz="4" w:space="0" w:color="auto"/>
              <w:right w:val="single" w:sz="8" w:space="0" w:color="auto"/>
            </w:tcBorders>
          </w:tcPr>
          <w:p w14:paraId="4A3C10D4"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8" w:space="0" w:color="auto"/>
              <w:left w:val="nil"/>
              <w:bottom w:val="single" w:sz="4" w:space="0" w:color="auto"/>
              <w:right w:val="single" w:sz="8" w:space="0" w:color="auto"/>
            </w:tcBorders>
          </w:tcPr>
          <w:p w14:paraId="7D5E7BE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175</w:t>
            </w:r>
          </w:p>
        </w:tc>
        <w:tc>
          <w:tcPr>
            <w:tcW w:w="1276" w:type="dxa"/>
            <w:tcBorders>
              <w:top w:val="single" w:sz="8" w:space="0" w:color="auto"/>
              <w:left w:val="nil"/>
              <w:bottom w:val="single" w:sz="4" w:space="0" w:color="auto"/>
              <w:right w:val="single" w:sz="8" w:space="0" w:color="auto"/>
            </w:tcBorders>
          </w:tcPr>
          <w:p w14:paraId="2CC3C2BB" w14:textId="77777777" w:rsidR="00632208" w:rsidRPr="0098635C" w:rsidRDefault="00632208" w:rsidP="00A432B0">
            <w:pPr>
              <w:spacing w:after="0"/>
              <w:jc w:val="center"/>
              <w:rPr>
                <w:color w:val="000000" w:themeColor="text1"/>
                <w:sz w:val="20"/>
                <w:szCs w:val="20"/>
              </w:rPr>
            </w:pPr>
          </w:p>
        </w:tc>
        <w:tc>
          <w:tcPr>
            <w:tcW w:w="1417" w:type="dxa"/>
            <w:tcBorders>
              <w:top w:val="single" w:sz="8" w:space="0" w:color="auto"/>
              <w:left w:val="nil"/>
              <w:bottom w:val="single" w:sz="4" w:space="0" w:color="auto"/>
              <w:right w:val="single" w:sz="8" w:space="0" w:color="auto"/>
            </w:tcBorders>
          </w:tcPr>
          <w:p w14:paraId="6D123EC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7.55</w:t>
            </w:r>
          </w:p>
        </w:tc>
        <w:tc>
          <w:tcPr>
            <w:tcW w:w="1276" w:type="dxa"/>
            <w:tcBorders>
              <w:top w:val="single" w:sz="8" w:space="0" w:color="auto"/>
              <w:left w:val="nil"/>
              <w:bottom w:val="single" w:sz="4" w:space="0" w:color="auto"/>
              <w:right w:val="single" w:sz="8" w:space="0" w:color="auto"/>
            </w:tcBorders>
          </w:tcPr>
          <w:p w14:paraId="70000128"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6</w:t>
            </w:r>
            <w:r w:rsidRPr="0098635C">
              <w:rPr>
                <w:color w:val="000000" w:themeColor="text1"/>
                <w:sz w:val="20"/>
                <w:szCs w:val="20"/>
              </w:rPr>
              <w:t>.</w:t>
            </w:r>
            <w:r w:rsidRPr="0098635C">
              <w:rPr>
                <w:bCs/>
                <w:color w:val="000000" w:themeColor="text1"/>
                <w:sz w:val="20"/>
                <w:szCs w:val="20"/>
              </w:rPr>
              <w:t>13</w:t>
            </w:r>
          </w:p>
        </w:tc>
        <w:tc>
          <w:tcPr>
            <w:tcW w:w="2126" w:type="dxa"/>
            <w:tcBorders>
              <w:top w:val="single" w:sz="8" w:space="0" w:color="auto"/>
              <w:left w:val="nil"/>
              <w:bottom w:val="single" w:sz="4" w:space="0" w:color="auto"/>
              <w:right w:val="single" w:sz="8" w:space="0" w:color="auto"/>
            </w:tcBorders>
          </w:tcPr>
          <w:p w14:paraId="4B394ED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131.7</w:t>
            </w:r>
          </w:p>
        </w:tc>
        <w:tc>
          <w:tcPr>
            <w:tcW w:w="1701" w:type="dxa"/>
            <w:tcBorders>
              <w:top w:val="single" w:sz="8" w:space="0" w:color="auto"/>
              <w:left w:val="nil"/>
              <w:bottom w:val="single" w:sz="4" w:space="0" w:color="auto"/>
              <w:right w:val="single" w:sz="8" w:space="0" w:color="auto"/>
            </w:tcBorders>
          </w:tcPr>
          <w:p w14:paraId="7092A34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8" w:space="0" w:color="auto"/>
              <w:left w:val="nil"/>
              <w:bottom w:val="single" w:sz="4" w:space="0" w:color="auto"/>
              <w:right w:val="double" w:sz="6" w:space="0" w:color="auto"/>
            </w:tcBorders>
          </w:tcPr>
          <w:p w14:paraId="448F1A29"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4350DB8E"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2D233A9"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7514A94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276</w:t>
            </w:r>
          </w:p>
        </w:tc>
        <w:tc>
          <w:tcPr>
            <w:tcW w:w="1276" w:type="dxa"/>
            <w:tcBorders>
              <w:top w:val="single" w:sz="4" w:space="0" w:color="auto"/>
              <w:left w:val="nil"/>
              <w:bottom w:val="single" w:sz="4" w:space="0" w:color="auto"/>
              <w:right w:val="single" w:sz="8" w:space="0" w:color="auto"/>
            </w:tcBorders>
          </w:tcPr>
          <w:p w14:paraId="34AF865A" w14:textId="77777777" w:rsidR="00632208" w:rsidRPr="0098635C" w:rsidRDefault="00632208" w:rsidP="00A432B0">
            <w:pPr>
              <w:spacing w:after="0"/>
              <w:jc w:val="center"/>
              <w:rPr>
                <w:color w:val="000000" w:themeColor="text1"/>
                <w:sz w:val="20"/>
                <w:szCs w:val="20"/>
              </w:rPr>
            </w:pPr>
          </w:p>
        </w:tc>
        <w:tc>
          <w:tcPr>
            <w:tcW w:w="1417" w:type="dxa"/>
            <w:tcBorders>
              <w:top w:val="single" w:sz="4" w:space="0" w:color="auto"/>
              <w:left w:val="nil"/>
              <w:bottom w:val="single" w:sz="4" w:space="0" w:color="auto"/>
              <w:right w:val="single" w:sz="8" w:space="0" w:color="auto"/>
            </w:tcBorders>
          </w:tcPr>
          <w:p w14:paraId="4CC1F7F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7.93</w:t>
            </w:r>
          </w:p>
        </w:tc>
        <w:tc>
          <w:tcPr>
            <w:tcW w:w="1276" w:type="dxa"/>
            <w:tcBorders>
              <w:top w:val="single" w:sz="4" w:space="0" w:color="auto"/>
              <w:left w:val="nil"/>
              <w:bottom w:val="single" w:sz="4" w:space="0" w:color="auto"/>
              <w:right w:val="single" w:sz="8" w:space="0" w:color="auto"/>
            </w:tcBorders>
          </w:tcPr>
          <w:p w14:paraId="4851E32B"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6</w:t>
            </w:r>
            <w:r w:rsidRPr="0098635C">
              <w:rPr>
                <w:color w:val="000000" w:themeColor="text1"/>
                <w:sz w:val="20"/>
                <w:szCs w:val="20"/>
              </w:rPr>
              <w:t>.</w:t>
            </w:r>
            <w:r w:rsidRPr="0098635C">
              <w:rPr>
                <w:bCs/>
                <w:color w:val="000000" w:themeColor="text1"/>
                <w:sz w:val="20"/>
                <w:szCs w:val="20"/>
              </w:rPr>
              <w:t>60</w:t>
            </w:r>
          </w:p>
        </w:tc>
        <w:tc>
          <w:tcPr>
            <w:tcW w:w="2126" w:type="dxa"/>
            <w:tcBorders>
              <w:top w:val="single" w:sz="4" w:space="0" w:color="auto"/>
              <w:left w:val="nil"/>
              <w:bottom w:val="single" w:sz="4" w:space="0" w:color="auto"/>
              <w:right w:val="single" w:sz="8" w:space="0" w:color="auto"/>
            </w:tcBorders>
          </w:tcPr>
          <w:p w14:paraId="0884C3D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135.7</w:t>
            </w:r>
          </w:p>
        </w:tc>
        <w:tc>
          <w:tcPr>
            <w:tcW w:w="1701" w:type="dxa"/>
            <w:tcBorders>
              <w:top w:val="single" w:sz="4" w:space="0" w:color="auto"/>
              <w:left w:val="nil"/>
              <w:bottom w:val="single" w:sz="4" w:space="0" w:color="auto"/>
              <w:right w:val="single" w:sz="8" w:space="0" w:color="auto"/>
            </w:tcBorders>
          </w:tcPr>
          <w:p w14:paraId="6858B83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2E9FCB8E"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017B9A63"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003AFAE"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7877588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119</w:t>
            </w:r>
          </w:p>
        </w:tc>
        <w:tc>
          <w:tcPr>
            <w:tcW w:w="1276" w:type="dxa"/>
            <w:tcBorders>
              <w:top w:val="single" w:sz="4" w:space="0" w:color="auto"/>
              <w:left w:val="nil"/>
              <w:bottom w:val="single" w:sz="4" w:space="0" w:color="auto"/>
              <w:right w:val="single" w:sz="8" w:space="0" w:color="auto"/>
            </w:tcBorders>
          </w:tcPr>
          <w:p w14:paraId="158D688D" w14:textId="77777777" w:rsidR="00632208" w:rsidRPr="0098635C" w:rsidRDefault="00632208" w:rsidP="00A432B0">
            <w:pPr>
              <w:spacing w:after="0"/>
              <w:jc w:val="center"/>
              <w:rPr>
                <w:color w:val="000000" w:themeColor="text1"/>
                <w:sz w:val="20"/>
                <w:szCs w:val="20"/>
              </w:rPr>
            </w:pPr>
          </w:p>
        </w:tc>
        <w:tc>
          <w:tcPr>
            <w:tcW w:w="1417" w:type="dxa"/>
            <w:tcBorders>
              <w:top w:val="single" w:sz="4" w:space="0" w:color="auto"/>
              <w:left w:val="nil"/>
              <w:bottom w:val="single" w:sz="4" w:space="0" w:color="auto"/>
              <w:right w:val="single" w:sz="8" w:space="0" w:color="auto"/>
            </w:tcBorders>
          </w:tcPr>
          <w:p w14:paraId="6CF0B3C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8.06</w:t>
            </w:r>
          </w:p>
        </w:tc>
        <w:tc>
          <w:tcPr>
            <w:tcW w:w="1276" w:type="dxa"/>
            <w:tcBorders>
              <w:top w:val="single" w:sz="4" w:space="0" w:color="auto"/>
              <w:left w:val="nil"/>
              <w:bottom w:val="single" w:sz="4" w:space="0" w:color="auto"/>
              <w:right w:val="single" w:sz="8" w:space="0" w:color="auto"/>
            </w:tcBorders>
          </w:tcPr>
          <w:p w14:paraId="692DA8DD"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1</w:t>
            </w:r>
            <w:r w:rsidRPr="0098635C">
              <w:rPr>
                <w:color w:val="000000" w:themeColor="text1"/>
                <w:sz w:val="20"/>
                <w:szCs w:val="20"/>
              </w:rPr>
              <w:t>.</w:t>
            </w:r>
            <w:r w:rsidRPr="0098635C">
              <w:rPr>
                <w:bCs/>
                <w:color w:val="000000" w:themeColor="text1"/>
                <w:sz w:val="20"/>
                <w:szCs w:val="20"/>
              </w:rPr>
              <w:t>98</w:t>
            </w:r>
          </w:p>
        </w:tc>
        <w:tc>
          <w:tcPr>
            <w:tcW w:w="2126" w:type="dxa"/>
            <w:tcBorders>
              <w:top w:val="single" w:sz="4" w:space="0" w:color="auto"/>
              <w:left w:val="nil"/>
              <w:bottom w:val="single" w:sz="4" w:space="0" w:color="auto"/>
              <w:right w:val="single" w:sz="8" w:space="0" w:color="auto"/>
            </w:tcBorders>
          </w:tcPr>
          <w:p w14:paraId="17B422E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190.2</w:t>
            </w:r>
          </w:p>
        </w:tc>
        <w:tc>
          <w:tcPr>
            <w:tcW w:w="1701" w:type="dxa"/>
            <w:tcBorders>
              <w:top w:val="single" w:sz="4" w:space="0" w:color="auto"/>
              <w:left w:val="nil"/>
              <w:bottom w:val="single" w:sz="4" w:space="0" w:color="auto"/>
              <w:right w:val="single" w:sz="8" w:space="0" w:color="auto"/>
            </w:tcBorders>
          </w:tcPr>
          <w:p w14:paraId="74AB614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6DC03344"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28CD7F03"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DDE83FB"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5C7A20F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188</w:t>
            </w:r>
          </w:p>
        </w:tc>
        <w:tc>
          <w:tcPr>
            <w:tcW w:w="1276" w:type="dxa"/>
            <w:tcBorders>
              <w:top w:val="single" w:sz="4" w:space="0" w:color="auto"/>
              <w:left w:val="nil"/>
              <w:bottom w:val="single" w:sz="4" w:space="0" w:color="auto"/>
              <w:right w:val="single" w:sz="8" w:space="0" w:color="auto"/>
            </w:tcBorders>
          </w:tcPr>
          <w:p w14:paraId="545018AC" w14:textId="77777777" w:rsidR="00632208" w:rsidRPr="0098635C" w:rsidRDefault="00632208" w:rsidP="00A432B0">
            <w:pPr>
              <w:spacing w:after="0"/>
              <w:jc w:val="center"/>
              <w:rPr>
                <w:color w:val="000000" w:themeColor="text1"/>
                <w:sz w:val="20"/>
                <w:szCs w:val="20"/>
              </w:rPr>
            </w:pPr>
          </w:p>
        </w:tc>
        <w:tc>
          <w:tcPr>
            <w:tcW w:w="1417" w:type="dxa"/>
            <w:tcBorders>
              <w:top w:val="single" w:sz="4" w:space="0" w:color="auto"/>
              <w:left w:val="nil"/>
              <w:bottom w:val="single" w:sz="4" w:space="0" w:color="auto"/>
              <w:right w:val="single" w:sz="8" w:space="0" w:color="auto"/>
            </w:tcBorders>
          </w:tcPr>
          <w:p w14:paraId="1FCF500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8.26</w:t>
            </w:r>
          </w:p>
        </w:tc>
        <w:tc>
          <w:tcPr>
            <w:tcW w:w="1276" w:type="dxa"/>
            <w:tcBorders>
              <w:top w:val="single" w:sz="4" w:space="0" w:color="auto"/>
              <w:left w:val="nil"/>
              <w:bottom w:val="single" w:sz="4" w:space="0" w:color="auto"/>
              <w:right w:val="single" w:sz="8" w:space="0" w:color="auto"/>
            </w:tcBorders>
          </w:tcPr>
          <w:p w14:paraId="6F3D282D"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6</w:t>
            </w:r>
            <w:r w:rsidRPr="0098635C">
              <w:rPr>
                <w:color w:val="000000" w:themeColor="text1"/>
                <w:sz w:val="20"/>
                <w:szCs w:val="20"/>
              </w:rPr>
              <w:t>.</w:t>
            </w:r>
            <w:r w:rsidRPr="0098635C">
              <w:rPr>
                <w:bCs/>
                <w:color w:val="000000" w:themeColor="text1"/>
                <w:sz w:val="20"/>
                <w:szCs w:val="20"/>
              </w:rPr>
              <w:t>42</w:t>
            </w:r>
          </w:p>
        </w:tc>
        <w:tc>
          <w:tcPr>
            <w:tcW w:w="2126" w:type="dxa"/>
            <w:tcBorders>
              <w:top w:val="single" w:sz="4" w:space="0" w:color="auto"/>
              <w:left w:val="nil"/>
              <w:bottom w:val="single" w:sz="4" w:space="0" w:color="auto"/>
              <w:right w:val="single" w:sz="8" w:space="0" w:color="auto"/>
            </w:tcBorders>
          </w:tcPr>
          <w:p w14:paraId="183B432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219.3</w:t>
            </w:r>
          </w:p>
        </w:tc>
        <w:tc>
          <w:tcPr>
            <w:tcW w:w="1701" w:type="dxa"/>
            <w:tcBorders>
              <w:top w:val="single" w:sz="4" w:space="0" w:color="auto"/>
              <w:left w:val="nil"/>
              <w:bottom w:val="single" w:sz="4" w:space="0" w:color="auto"/>
              <w:right w:val="single" w:sz="8" w:space="0" w:color="auto"/>
            </w:tcBorders>
          </w:tcPr>
          <w:p w14:paraId="348D06D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214D2D3F"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4A9DF592"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E8E679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6829BD7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257</w:t>
            </w:r>
          </w:p>
        </w:tc>
        <w:tc>
          <w:tcPr>
            <w:tcW w:w="1276" w:type="dxa"/>
            <w:tcBorders>
              <w:top w:val="single" w:sz="4" w:space="0" w:color="auto"/>
              <w:left w:val="nil"/>
              <w:bottom w:val="single" w:sz="4" w:space="0" w:color="auto"/>
              <w:right w:val="single" w:sz="8" w:space="0" w:color="auto"/>
            </w:tcBorders>
          </w:tcPr>
          <w:p w14:paraId="24573AF4" w14:textId="77777777" w:rsidR="00632208" w:rsidRPr="0098635C" w:rsidRDefault="00632208" w:rsidP="00A432B0">
            <w:pPr>
              <w:spacing w:after="0"/>
              <w:jc w:val="center"/>
              <w:rPr>
                <w:color w:val="000000" w:themeColor="text1"/>
                <w:sz w:val="20"/>
                <w:szCs w:val="20"/>
              </w:rPr>
            </w:pPr>
          </w:p>
        </w:tc>
        <w:tc>
          <w:tcPr>
            <w:tcW w:w="1417" w:type="dxa"/>
            <w:tcBorders>
              <w:top w:val="single" w:sz="4" w:space="0" w:color="auto"/>
              <w:left w:val="nil"/>
              <w:bottom w:val="single" w:sz="4" w:space="0" w:color="auto"/>
              <w:right w:val="single" w:sz="8" w:space="0" w:color="auto"/>
            </w:tcBorders>
          </w:tcPr>
          <w:p w14:paraId="417D749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8.3</w:t>
            </w:r>
          </w:p>
        </w:tc>
        <w:tc>
          <w:tcPr>
            <w:tcW w:w="1276" w:type="dxa"/>
            <w:tcBorders>
              <w:top w:val="single" w:sz="4" w:space="0" w:color="auto"/>
              <w:left w:val="nil"/>
              <w:bottom w:val="single" w:sz="4" w:space="0" w:color="auto"/>
              <w:right w:val="single" w:sz="8" w:space="0" w:color="auto"/>
            </w:tcBorders>
          </w:tcPr>
          <w:p w14:paraId="04EF79F0"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8</w:t>
            </w:r>
            <w:r w:rsidRPr="0098635C">
              <w:rPr>
                <w:color w:val="000000" w:themeColor="text1"/>
                <w:sz w:val="20"/>
                <w:szCs w:val="20"/>
              </w:rPr>
              <w:t>.</w:t>
            </w:r>
            <w:r w:rsidRPr="0098635C">
              <w:rPr>
                <w:bCs/>
                <w:color w:val="000000" w:themeColor="text1"/>
                <w:sz w:val="20"/>
                <w:szCs w:val="20"/>
              </w:rPr>
              <w:t>24</w:t>
            </w:r>
          </w:p>
        </w:tc>
        <w:tc>
          <w:tcPr>
            <w:tcW w:w="2126" w:type="dxa"/>
            <w:tcBorders>
              <w:top w:val="single" w:sz="4" w:space="0" w:color="auto"/>
              <w:left w:val="nil"/>
              <w:bottom w:val="single" w:sz="4" w:space="0" w:color="auto"/>
              <w:right w:val="single" w:sz="8" w:space="0" w:color="auto"/>
            </w:tcBorders>
          </w:tcPr>
          <w:p w14:paraId="7225A9E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236.4</w:t>
            </w:r>
          </w:p>
        </w:tc>
        <w:tc>
          <w:tcPr>
            <w:tcW w:w="1701" w:type="dxa"/>
            <w:tcBorders>
              <w:top w:val="single" w:sz="4" w:space="0" w:color="auto"/>
              <w:left w:val="nil"/>
              <w:bottom w:val="single" w:sz="4" w:space="0" w:color="auto"/>
              <w:right w:val="single" w:sz="8" w:space="0" w:color="auto"/>
            </w:tcBorders>
          </w:tcPr>
          <w:p w14:paraId="29F4DCB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31C41673"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2002</w:t>
            </w:r>
          </w:p>
        </w:tc>
      </w:tr>
      <w:tr w:rsidR="00632208" w:rsidRPr="0098635C" w14:paraId="09F26E30"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8E2B9EF"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1D03BBC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w:t>
            </w:r>
          </w:p>
        </w:tc>
        <w:tc>
          <w:tcPr>
            <w:tcW w:w="1276" w:type="dxa"/>
            <w:tcBorders>
              <w:top w:val="single" w:sz="4" w:space="0" w:color="auto"/>
              <w:left w:val="nil"/>
              <w:bottom w:val="single" w:sz="4" w:space="0" w:color="auto"/>
              <w:right w:val="single" w:sz="8" w:space="0" w:color="auto"/>
            </w:tcBorders>
          </w:tcPr>
          <w:p w14:paraId="33476C6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1417" w:type="dxa"/>
            <w:tcBorders>
              <w:top w:val="single" w:sz="4" w:space="0" w:color="auto"/>
              <w:left w:val="nil"/>
              <w:bottom w:val="single" w:sz="4" w:space="0" w:color="auto"/>
              <w:right w:val="single" w:sz="8" w:space="0" w:color="auto"/>
            </w:tcBorders>
          </w:tcPr>
          <w:p w14:paraId="561589B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tc>
        <w:tc>
          <w:tcPr>
            <w:tcW w:w="1276" w:type="dxa"/>
            <w:tcBorders>
              <w:top w:val="single" w:sz="4" w:space="0" w:color="auto"/>
              <w:left w:val="nil"/>
              <w:bottom w:val="single" w:sz="4" w:space="0" w:color="auto"/>
              <w:right w:val="single" w:sz="8" w:space="0" w:color="auto"/>
            </w:tcBorders>
          </w:tcPr>
          <w:p w14:paraId="135158CC"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2C854B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w:t>
            </w:r>
          </w:p>
        </w:tc>
        <w:tc>
          <w:tcPr>
            <w:tcW w:w="1701" w:type="dxa"/>
            <w:tcBorders>
              <w:top w:val="single" w:sz="4" w:space="0" w:color="auto"/>
              <w:left w:val="nil"/>
              <w:bottom w:val="single" w:sz="4" w:space="0" w:color="auto"/>
              <w:right w:val="single" w:sz="8" w:space="0" w:color="auto"/>
            </w:tcBorders>
          </w:tcPr>
          <w:p w14:paraId="4A67AD3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tap water</w:t>
            </w:r>
          </w:p>
        </w:tc>
        <w:tc>
          <w:tcPr>
            <w:tcW w:w="2409" w:type="dxa"/>
            <w:tcBorders>
              <w:top w:val="single" w:sz="4" w:space="0" w:color="auto"/>
              <w:left w:val="nil"/>
              <w:bottom w:val="single" w:sz="4" w:space="0" w:color="auto"/>
              <w:right w:val="double" w:sz="6" w:space="0" w:color="auto"/>
            </w:tcBorders>
          </w:tcPr>
          <w:p w14:paraId="066C75DE" w14:textId="77777777" w:rsidR="00632208" w:rsidRPr="0098635C" w:rsidRDefault="00632208" w:rsidP="00A432B0">
            <w:pPr>
              <w:spacing w:after="0"/>
              <w:rPr>
                <w:color w:val="000000" w:themeColor="text1"/>
                <w:sz w:val="20"/>
                <w:szCs w:val="20"/>
              </w:rPr>
            </w:pPr>
            <w:r w:rsidRPr="0098635C">
              <w:rPr>
                <w:color w:val="000000" w:themeColor="text1"/>
                <w:sz w:val="20"/>
                <w:szCs w:val="20"/>
              </w:rPr>
              <w:t>Cairns et al, 1978</w:t>
            </w:r>
          </w:p>
        </w:tc>
      </w:tr>
      <w:tr w:rsidR="00632208" w:rsidRPr="0098635C" w14:paraId="3A73DBE4"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479E52E"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4359E2F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10.0</w:t>
            </w:r>
          </w:p>
        </w:tc>
        <w:tc>
          <w:tcPr>
            <w:tcW w:w="1276" w:type="dxa"/>
            <w:tcBorders>
              <w:top w:val="single" w:sz="4" w:space="0" w:color="auto"/>
              <w:left w:val="nil"/>
              <w:bottom w:val="single" w:sz="4" w:space="0" w:color="auto"/>
              <w:right w:val="single" w:sz="8" w:space="0" w:color="auto"/>
            </w:tcBorders>
          </w:tcPr>
          <w:p w14:paraId="6A64DB9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3A4A3DF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tc>
        <w:tc>
          <w:tcPr>
            <w:tcW w:w="1276" w:type="dxa"/>
            <w:tcBorders>
              <w:top w:val="single" w:sz="4" w:space="0" w:color="auto"/>
              <w:left w:val="nil"/>
              <w:bottom w:val="single" w:sz="4" w:space="0" w:color="auto"/>
              <w:right w:val="single" w:sz="8" w:space="0" w:color="auto"/>
            </w:tcBorders>
          </w:tcPr>
          <w:p w14:paraId="4D376F4A"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2B545D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w:t>
            </w:r>
          </w:p>
        </w:tc>
        <w:tc>
          <w:tcPr>
            <w:tcW w:w="1701" w:type="dxa"/>
            <w:tcBorders>
              <w:top w:val="single" w:sz="4" w:space="0" w:color="auto"/>
              <w:left w:val="nil"/>
              <w:bottom w:val="single" w:sz="4" w:space="0" w:color="auto"/>
              <w:right w:val="single" w:sz="8" w:space="0" w:color="auto"/>
            </w:tcBorders>
          </w:tcPr>
          <w:p w14:paraId="5F445E4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tap water</w:t>
            </w:r>
          </w:p>
        </w:tc>
        <w:tc>
          <w:tcPr>
            <w:tcW w:w="2409" w:type="dxa"/>
            <w:tcBorders>
              <w:top w:val="single" w:sz="4" w:space="0" w:color="auto"/>
              <w:left w:val="nil"/>
              <w:bottom w:val="single" w:sz="4" w:space="0" w:color="auto"/>
              <w:right w:val="double" w:sz="6" w:space="0" w:color="auto"/>
            </w:tcBorders>
          </w:tcPr>
          <w:p w14:paraId="5CE0E311" w14:textId="77777777" w:rsidR="00632208" w:rsidRPr="0098635C" w:rsidRDefault="00632208" w:rsidP="00A432B0">
            <w:pPr>
              <w:spacing w:after="0"/>
              <w:rPr>
                <w:color w:val="000000" w:themeColor="text1"/>
                <w:sz w:val="20"/>
                <w:szCs w:val="20"/>
              </w:rPr>
            </w:pPr>
            <w:r w:rsidRPr="0098635C">
              <w:rPr>
                <w:color w:val="000000" w:themeColor="text1"/>
                <w:sz w:val="20"/>
                <w:szCs w:val="20"/>
              </w:rPr>
              <w:t>Cairns et al, 1978</w:t>
            </w:r>
          </w:p>
        </w:tc>
      </w:tr>
      <w:tr w:rsidR="00632208" w:rsidRPr="0098635C" w14:paraId="1036A480"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9C79612"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48D4D4A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40.0</w:t>
            </w:r>
          </w:p>
        </w:tc>
        <w:tc>
          <w:tcPr>
            <w:tcW w:w="1276" w:type="dxa"/>
            <w:tcBorders>
              <w:top w:val="single" w:sz="4" w:space="0" w:color="auto"/>
              <w:left w:val="nil"/>
              <w:bottom w:val="single" w:sz="4" w:space="0" w:color="auto"/>
              <w:right w:val="single" w:sz="8" w:space="0" w:color="auto"/>
            </w:tcBorders>
          </w:tcPr>
          <w:p w14:paraId="27EEF9A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w:t>
            </w:r>
          </w:p>
        </w:tc>
        <w:tc>
          <w:tcPr>
            <w:tcW w:w="1417" w:type="dxa"/>
            <w:tcBorders>
              <w:top w:val="single" w:sz="4" w:space="0" w:color="auto"/>
              <w:left w:val="nil"/>
              <w:bottom w:val="single" w:sz="4" w:space="0" w:color="auto"/>
              <w:right w:val="single" w:sz="8" w:space="0" w:color="auto"/>
            </w:tcBorders>
          </w:tcPr>
          <w:p w14:paraId="15EBBC6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tc>
        <w:tc>
          <w:tcPr>
            <w:tcW w:w="1276" w:type="dxa"/>
            <w:tcBorders>
              <w:top w:val="single" w:sz="4" w:space="0" w:color="auto"/>
              <w:left w:val="nil"/>
              <w:bottom w:val="single" w:sz="4" w:space="0" w:color="auto"/>
              <w:right w:val="single" w:sz="8" w:space="0" w:color="auto"/>
            </w:tcBorders>
          </w:tcPr>
          <w:p w14:paraId="0FA8961D"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1939B5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w:t>
            </w:r>
          </w:p>
        </w:tc>
        <w:tc>
          <w:tcPr>
            <w:tcW w:w="1701" w:type="dxa"/>
            <w:tcBorders>
              <w:top w:val="single" w:sz="4" w:space="0" w:color="auto"/>
              <w:left w:val="nil"/>
              <w:bottom w:val="single" w:sz="4" w:space="0" w:color="auto"/>
              <w:right w:val="single" w:sz="8" w:space="0" w:color="auto"/>
            </w:tcBorders>
          </w:tcPr>
          <w:p w14:paraId="26BA68E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tap water</w:t>
            </w:r>
          </w:p>
        </w:tc>
        <w:tc>
          <w:tcPr>
            <w:tcW w:w="2409" w:type="dxa"/>
            <w:tcBorders>
              <w:top w:val="single" w:sz="4" w:space="0" w:color="auto"/>
              <w:left w:val="nil"/>
              <w:bottom w:val="single" w:sz="4" w:space="0" w:color="auto"/>
              <w:right w:val="double" w:sz="6" w:space="0" w:color="auto"/>
            </w:tcBorders>
          </w:tcPr>
          <w:p w14:paraId="5856ACF9" w14:textId="77777777" w:rsidR="00632208" w:rsidRPr="0098635C" w:rsidRDefault="00632208" w:rsidP="00A432B0">
            <w:pPr>
              <w:spacing w:after="0"/>
              <w:rPr>
                <w:color w:val="000000" w:themeColor="text1"/>
                <w:sz w:val="20"/>
                <w:szCs w:val="20"/>
              </w:rPr>
            </w:pPr>
            <w:r w:rsidRPr="0098635C">
              <w:rPr>
                <w:color w:val="000000" w:themeColor="text1"/>
                <w:sz w:val="20"/>
                <w:szCs w:val="20"/>
              </w:rPr>
              <w:t>Cairns et al, 1978</w:t>
            </w:r>
          </w:p>
        </w:tc>
      </w:tr>
      <w:tr w:rsidR="00632208" w:rsidRPr="0098635C" w14:paraId="79337C5F"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B51866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219D4D2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70.0</w:t>
            </w:r>
          </w:p>
        </w:tc>
        <w:tc>
          <w:tcPr>
            <w:tcW w:w="1276" w:type="dxa"/>
            <w:tcBorders>
              <w:top w:val="single" w:sz="4" w:space="0" w:color="auto"/>
              <w:left w:val="nil"/>
              <w:bottom w:val="single" w:sz="4" w:space="0" w:color="auto"/>
              <w:right w:val="single" w:sz="8" w:space="0" w:color="auto"/>
            </w:tcBorders>
          </w:tcPr>
          <w:p w14:paraId="2AA6563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1417" w:type="dxa"/>
            <w:tcBorders>
              <w:top w:val="single" w:sz="4" w:space="0" w:color="auto"/>
              <w:left w:val="nil"/>
              <w:bottom w:val="single" w:sz="4" w:space="0" w:color="auto"/>
              <w:right w:val="single" w:sz="8" w:space="0" w:color="auto"/>
            </w:tcBorders>
          </w:tcPr>
          <w:p w14:paraId="4A4675E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tc>
        <w:tc>
          <w:tcPr>
            <w:tcW w:w="1276" w:type="dxa"/>
            <w:tcBorders>
              <w:top w:val="single" w:sz="4" w:space="0" w:color="auto"/>
              <w:left w:val="nil"/>
              <w:bottom w:val="single" w:sz="4" w:space="0" w:color="auto"/>
              <w:right w:val="single" w:sz="8" w:space="0" w:color="auto"/>
            </w:tcBorders>
          </w:tcPr>
          <w:p w14:paraId="0C25739D"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3D101F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w:t>
            </w:r>
          </w:p>
        </w:tc>
        <w:tc>
          <w:tcPr>
            <w:tcW w:w="1701" w:type="dxa"/>
            <w:tcBorders>
              <w:top w:val="single" w:sz="4" w:space="0" w:color="auto"/>
              <w:left w:val="nil"/>
              <w:bottom w:val="single" w:sz="4" w:space="0" w:color="auto"/>
              <w:right w:val="single" w:sz="8" w:space="0" w:color="auto"/>
            </w:tcBorders>
          </w:tcPr>
          <w:p w14:paraId="54450F7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tap water</w:t>
            </w:r>
          </w:p>
        </w:tc>
        <w:tc>
          <w:tcPr>
            <w:tcW w:w="2409" w:type="dxa"/>
            <w:tcBorders>
              <w:top w:val="single" w:sz="4" w:space="0" w:color="auto"/>
              <w:left w:val="nil"/>
              <w:bottom w:val="single" w:sz="4" w:space="0" w:color="auto"/>
              <w:right w:val="double" w:sz="6" w:space="0" w:color="auto"/>
            </w:tcBorders>
          </w:tcPr>
          <w:p w14:paraId="786FEF12" w14:textId="77777777" w:rsidR="00632208" w:rsidRPr="0098635C" w:rsidRDefault="00632208" w:rsidP="00A432B0">
            <w:pPr>
              <w:spacing w:after="0"/>
              <w:rPr>
                <w:color w:val="000000" w:themeColor="text1"/>
                <w:sz w:val="20"/>
                <w:szCs w:val="20"/>
              </w:rPr>
            </w:pPr>
            <w:r w:rsidRPr="0098635C">
              <w:rPr>
                <w:color w:val="000000" w:themeColor="text1"/>
                <w:sz w:val="20"/>
                <w:szCs w:val="20"/>
              </w:rPr>
              <w:t>Cairns et al, 1978</w:t>
            </w:r>
          </w:p>
        </w:tc>
      </w:tr>
      <w:tr w:rsidR="00632208" w:rsidRPr="0098635C" w14:paraId="48D0138B"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7374C0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2F6BE08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90.0</w:t>
            </w:r>
          </w:p>
        </w:tc>
        <w:tc>
          <w:tcPr>
            <w:tcW w:w="1276" w:type="dxa"/>
            <w:tcBorders>
              <w:top w:val="single" w:sz="4" w:space="0" w:color="auto"/>
              <w:left w:val="nil"/>
              <w:bottom w:val="single" w:sz="4" w:space="0" w:color="auto"/>
              <w:right w:val="single" w:sz="8" w:space="0" w:color="auto"/>
            </w:tcBorders>
          </w:tcPr>
          <w:p w14:paraId="5891D29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w:t>
            </w:r>
          </w:p>
        </w:tc>
        <w:tc>
          <w:tcPr>
            <w:tcW w:w="1417" w:type="dxa"/>
            <w:tcBorders>
              <w:top w:val="single" w:sz="4" w:space="0" w:color="auto"/>
              <w:left w:val="nil"/>
              <w:bottom w:val="single" w:sz="4" w:space="0" w:color="auto"/>
              <w:right w:val="single" w:sz="8" w:space="0" w:color="auto"/>
            </w:tcBorders>
          </w:tcPr>
          <w:p w14:paraId="6D49D1F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tc>
        <w:tc>
          <w:tcPr>
            <w:tcW w:w="1276" w:type="dxa"/>
            <w:tcBorders>
              <w:top w:val="single" w:sz="4" w:space="0" w:color="auto"/>
              <w:left w:val="nil"/>
              <w:bottom w:val="single" w:sz="4" w:space="0" w:color="auto"/>
              <w:right w:val="single" w:sz="8" w:space="0" w:color="auto"/>
            </w:tcBorders>
          </w:tcPr>
          <w:p w14:paraId="4409A18A"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08701A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w:t>
            </w:r>
          </w:p>
        </w:tc>
        <w:tc>
          <w:tcPr>
            <w:tcW w:w="1701" w:type="dxa"/>
            <w:tcBorders>
              <w:top w:val="single" w:sz="4" w:space="0" w:color="auto"/>
              <w:left w:val="nil"/>
              <w:bottom w:val="single" w:sz="4" w:space="0" w:color="auto"/>
              <w:right w:val="single" w:sz="8" w:space="0" w:color="auto"/>
            </w:tcBorders>
          </w:tcPr>
          <w:p w14:paraId="16581BD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tap water</w:t>
            </w:r>
          </w:p>
        </w:tc>
        <w:tc>
          <w:tcPr>
            <w:tcW w:w="2409" w:type="dxa"/>
            <w:tcBorders>
              <w:top w:val="single" w:sz="4" w:space="0" w:color="auto"/>
              <w:left w:val="nil"/>
              <w:bottom w:val="single" w:sz="4" w:space="0" w:color="auto"/>
              <w:right w:val="double" w:sz="6" w:space="0" w:color="auto"/>
            </w:tcBorders>
          </w:tcPr>
          <w:p w14:paraId="4D301630" w14:textId="77777777" w:rsidR="00632208" w:rsidRPr="0098635C" w:rsidRDefault="00632208" w:rsidP="00A432B0">
            <w:pPr>
              <w:spacing w:after="0"/>
              <w:rPr>
                <w:color w:val="000000" w:themeColor="text1"/>
                <w:sz w:val="20"/>
                <w:szCs w:val="20"/>
              </w:rPr>
            </w:pPr>
            <w:r w:rsidRPr="0098635C">
              <w:rPr>
                <w:color w:val="000000" w:themeColor="text1"/>
                <w:sz w:val="20"/>
                <w:szCs w:val="20"/>
              </w:rPr>
              <w:t>Cairns et al, 1978</w:t>
            </w:r>
          </w:p>
        </w:tc>
      </w:tr>
      <w:tr w:rsidR="00632208" w:rsidRPr="0098635C" w14:paraId="124BF1C9"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18A88BF"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6AACEBA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26</w:t>
            </w:r>
          </w:p>
        </w:tc>
        <w:tc>
          <w:tcPr>
            <w:tcW w:w="1276" w:type="dxa"/>
            <w:tcBorders>
              <w:top w:val="single" w:sz="4" w:space="0" w:color="auto"/>
              <w:left w:val="nil"/>
              <w:bottom w:val="single" w:sz="4" w:space="0" w:color="auto"/>
              <w:right w:val="single" w:sz="8" w:space="0" w:color="auto"/>
            </w:tcBorders>
          </w:tcPr>
          <w:p w14:paraId="06D8CDE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21.6</w:t>
            </w:r>
          </w:p>
        </w:tc>
        <w:tc>
          <w:tcPr>
            <w:tcW w:w="1417" w:type="dxa"/>
            <w:tcBorders>
              <w:top w:val="single" w:sz="4" w:space="0" w:color="auto"/>
              <w:left w:val="nil"/>
              <w:bottom w:val="single" w:sz="4" w:space="0" w:color="auto"/>
              <w:right w:val="single" w:sz="8" w:space="0" w:color="auto"/>
            </w:tcBorders>
          </w:tcPr>
          <w:p w14:paraId="466073F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tc>
        <w:tc>
          <w:tcPr>
            <w:tcW w:w="1276" w:type="dxa"/>
            <w:tcBorders>
              <w:top w:val="single" w:sz="4" w:space="0" w:color="auto"/>
              <w:left w:val="nil"/>
              <w:bottom w:val="single" w:sz="4" w:space="0" w:color="auto"/>
              <w:right w:val="single" w:sz="8" w:space="0" w:color="auto"/>
            </w:tcBorders>
          </w:tcPr>
          <w:p w14:paraId="7D4D51B2"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A4415B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143</w:t>
            </w:r>
          </w:p>
        </w:tc>
        <w:tc>
          <w:tcPr>
            <w:tcW w:w="1701" w:type="dxa"/>
            <w:tcBorders>
              <w:top w:val="single" w:sz="4" w:space="0" w:color="auto"/>
              <w:left w:val="nil"/>
              <w:bottom w:val="single" w:sz="4" w:space="0" w:color="auto"/>
              <w:right w:val="single" w:sz="8" w:space="0" w:color="auto"/>
            </w:tcBorders>
          </w:tcPr>
          <w:p w14:paraId="4103126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2DE70232" w14:textId="77777777" w:rsidR="00632208" w:rsidRPr="0098635C" w:rsidRDefault="00632208" w:rsidP="00A432B0">
            <w:pPr>
              <w:spacing w:after="0"/>
              <w:rPr>
                <w:color w:val="000000" w:themeColor="text1"/>
                <w:sz w:val="20"/>
                <w:szCs w:val="20"/>
              </w:rPr>
            </w:pPr>
            <w:r w:rsidRPr="0098635C">
              <w:rPr>
                <w:color w:val="000000" w:themeColor="text1"/>
                <w:sz w:val="20"/>
                <w:szCs w:val="20"/>
              </w:rPr>
              <w:t>Lewis, 1983</w:t>
            </w:r>
          </w:p>
        </w:tc>
      </w:tr>
      <w:tr w:rsidR="00632208" w:rsidRPr="0098635C" w14:paraId="132E1A1C"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68779A6"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16528FA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9.8</w:t>
            </w:r>
          </w:p>
        </w:tc>
        <w:tc>
          <w:tcPr>
            <w:tcW w:w="1276" w:type="dxa"/>
            <w:tcBorders>
              <w:top w:val="single" w:sz="4" w:space="0" w:color="auto"/>
              <w:left w:val="nil"/>
              <w:bottom w:val="single" w:sz="4" w:space="0" w:color="auto"/>
              <w:right w:val="single" w:sz="8" w:space="0" w:color="auto"/>
            </w:tcBorders>
          </w:tcPr>
          <w:p w14:paraId="785EA66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18</w:t>
            </w:r>
          </w:p>
        </w:tc>
        <w:tc>
          <w:tcPr>
            <w:tcW w:w="1417" w:type="dxa"/>
            <w:tcBorders>
              <w:top w:val="single" w:sz="4" w:space="0" w:color="auto"/>
              <w:left w:val="nil"/>
              <w:bottom w:val="single" w:sz="4" w:space="0" w:color="auto"/>
              <w:right w:val="single" w:sz="8" w:space="0" w:color="auto"/>
            </w:tcBorders>
          </w:tcPr>
          <w:p w14:paraId="6223A7D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7.7</w:t>
            </w:r>
          </w:p>
        </w:tc>
        <w:tc>
          <w:tcPr>
            <w:tcW w:w="1276" w:type="dxa"/>
            <w:tcBorders>
              <w:top w:val="single" w:sz="4" w:space="0" w:color="auto"/>
              <w:left w:val="nil"/>
              <w:bottom w:val="single" w:sz="4" w:space="0" w:color="auto"/>
              <w:right w:val="single" w:sz="8" w:space="0" w:color="auto"/>
            </w:tcBorders>
          </w:tcPr>
          <w:p w14:paraId="0CEAFA3D"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D8EB7C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45.3</w:t>
            </w:r>
          </w:p>
        </w:tc>
        <w:tc>
          <w:tcPr>
            <w:tcW w:w="1701" w:type="dxa"/>
            <w:tcBorders>
              <w:top w:val="single" w:sz="4" w:space="0" w:color="auto"/>
              <w:left w:val="nil"/>
              <w:bottom w:val="single" w:sz="4" w:space="0" w:color="auto"/>
              <w:right w:val="single" w:sz="8" w:space="0" w:color="auto"/>
            </w:tcBorders>
          </w:tcPr>
          <w:p w14:paraId="572DEB7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17AE4231" w14:textId="77777777" w:rsidR="00632208" w:rsidRPr="0098635C" w:rsidRDefault="00632208" w:rsidP="00A432B0">
            <w:pPr>
              <w:spacing w:after="0"/>
              <w:rPr>
                <w:color w:val="000000" w:themeColor="text1"/>
                <w:sz w:val="20"/>
                <w:szCs w:val="20"/>
              </w:rPr>
            </w:pPr>
            <w:r w:rsidRPr="0098635C">
              <w:rPr>
                <w:color w:val="000000" w:themeColor="text1"/>
                <w:sz w:val="20"/>
                <w:szCs w:val="20"/>
              </w:rPr>
              <w:t>Biesinger and Christensen, 1972</w:t>
            </w:r>
          </w:p>
        </w:tc>
      </w:tr>
      <w:tr w:rsidR="00632208" w:rsidRPr="0098635C" w14:paraId="686FC9E4"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AAC628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724C1A3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60.0</w:t>
            </w:r>
          </w:p>
        </w:tc>
        <w:tc>
          <w:tcPr>
            <w:tcW w:w="1276" w:type="dxa"/>
            <w:tcBorders>
              <w:top w:val="single" w:sz="4" w:space="0" w:color="auto"/>
              <w:left w:val="nil"/>
              <w:bottom w:val="single" w:sz="4" w:space="0" w:color="auto"/>
              <w:right w:val="single" w:sz="8" w:space="0" w:color="auto"/>
            </w:tcBorders>
          </w:tcPr>
          <w:p w14:paraId="6C96E65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18</w:t>
            </w:r>
          </w:p>
        </w:tc>
        <w:tc>
          <w:tcPr>
            <w:tcW w:w="1417" w:type="dxa"/>
            <w:tcBorders>
              <w:top w:val="single" w:sz="4" w:space="0" w:color="auto"/>
              <w:left w:val="nil"/>
              <w:bottom w:val="single" w:sz="4" w:space="0" w:color="auto"/>
              <w:right w:val="single" w:sz="8" w:space="0" w:color="auto"/>
            </w:tcBorders>
          </w:tcPr>
          <w:p w14:paraId="74100F6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7.7</w:t>
            </w:r>
          </w:p>
        </w:tc>
        <w:tc>
          <w:tcPr>
            <w:tcW w:w="1276" w:type="dxa"/>
            <w:tcBorders>
              <w:top w:val="single" w:sz="4" w:space="0" w:color="auto"/>
              <w:left w:val="nil"/>
              <w:bottom w:val="single" w:sz="4" w:space="0" w:color="auto"/>
              <w:right w:val="single" w:sz="8" w:space="0" w:color="auto"/>
            </w:tcBorders>
          </w:tcPr>
          <w:p w14:paraId="272B638B"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6969AD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45.3</w:t>
            </w:r>
          </w:p>
        </w:tc>
        <w:tc>
          <w:tcPr>
            <w:tcW w:w="1701" w:type="dxa"/>
            <w:tcBorders>
              <w:top w:val="single" w:sz="4" w:space="0" w:color="auto"/>
              <w:left w:val="nil"/>
              <w:bottom w:val="single" w:sz="4" w:space="0" w:color="auto"/>
              <w:right w:val="single" w:sz="8" w:space="0" w:color="auto"/>
            </w:tcBorders>
          </w:tcPr>
          <w:p w14:paraId="1ABF380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34D4F2B5" w14:textId="77777777" w:rsidR="00632208" w:rsidRPr="0098635C" w:rsidRDefault="00632208" w:rsidP="00A432B0">
            <w:pPr>
              <w:spacing w:after="0"/>
              <w:rPr>
                <w:color w:val="000000" w:themeColor="text1"/>
                <w:sz w:val="20"/>
                <w:szCs w:val="20"/>
              </w:rPr>
            </w:pPr>
            <w:r w:rsidRPr="0098635C">
              <w:rPr>
                <w:color w:val="000000" w:themeColor="text1"/>
                <w:sz w:val="20"/>
                <w:szCs w:val="20"/>
              </w:rPr>
              <w:t>Biesinger and Christensen, 1972</w:t>
            </w:r>
          </w:p>
        </w:tc>
      </w:tr>
      <w:tr w:rsidR="00632208" w:rsidRPr="0098635C" w14:paraId="2C79E8E8"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3A11C4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76C596B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26</w:t>
            </w:r>
          </w:p>
        </w:tc>
        <w:tc>
          <w:tcPr>
            <w:tcW w:w="1276" w:type="dxa"/>
            <w:tcBorders>
              <w:top w:val="single" w:sz="4" w:space="0" w:color="auto"/>
              <w:left w:val="nil"/>
              <w:bottom w:val="single" w:sz="4" w:space="0" w:color="auto"/>
              <w:right w:val="single" w:sz="8" w:space="0" w:color="auto"/>
            </w:tcBorders>
          </w:tcPr>
          <w:p w14:paraId="1533F80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18.2</w:t>
            </w:r>
          </w:p>
        </w:tc>
        <w:tc>
          <w:tcPr>
            <w:tcW w:w="1417" w:type="dxa"/>
            <w:tcBorders>
              <w:top w:val="single" w:sz="4" w:space="0" w:color="auto"/>
              <w:left w:val="nil"/>
              <w:bottom w:val="single" w:sz="4" w:space="0" w:color="auto"/>
              <w:right w:val="single" w:sz="8" w:space="0" w:color="auto"/>
            </w:tcBorders>
          </w:tcPr>
          <w:p w14:paraId="05BEB64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006483B0"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B1CB70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52</w:t>
            </w:r>
          </w:p>
        </w:tc>
        <w:tc>
          <w:tcPr>
            <w:tcW w:w="1701" w:type="dxa"/>
            <w:tcBorders>
              <w:top w:val="single" w:sz="4" w:space="0" w:color="auto"/>
              <w:left w:val="nil"/>
              <w:bottom w:val="single" w:sz="4" w:space="0" w:color="auto"/>
              <w:right w:val="single" w:sz="8" w:space="0" w:color="auto"/>
            </w:tcBorders>
          </w:tcPr>
          <w:p w14:paraId="07A5607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6E72281E" w14:textId="77777777" w:rsidR="00632208" w:rsidRPr="0098635C" w:rsidRDefault="00632208" w:rsidP="00A432B0">
            <w:pPr>
              <w:spacing w:after="0"/>
              <w:rPr>
                <w:color w:val="000000" w:themeColor="text1"/>
                <w:sz w:val="20"/>
                <w:szCs w:val="20"/>
              </w:rPr>
            </w:pPr>
            <w:r w:rsidRPr="0098635C">
              <w:rPr>
                <w:color w:val="000000" w:themeColor="text1"/>
                <w:sz w:val="20"/>
                <w:szCs w:val="20"/>
              </w:rPr>
              <w:t>Chapman et al, 1980</w:t>
            </w:r>
          </w:p>
        </w:tc>
      </w:tr>
      <w:tr w:rsidR="00632208" w:rsidRPr="0098635C" w14:paraId="55D2A8FC"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BE8D63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0E6FA05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30</w:t>
            </w:r>
          </w:p>
        </w:tc>
        <w:tc>
          <w:tcPr>
            <w:tcW w:w="1276" w:type="dxa"/>
            <w:tcBorders>
              <w:top w:val="single" w:sz="4" w:space="0" w:color="auto"/>
              <w:left w:val="nil"/>
              <w:bottom w:val="single" w:sz="4" w:space="0" w:color="auto"/>
              <w:right w:val="single" w:sz="8" w:space="0" w:color="auto"/>
            </w:tcBorders>
          </w:tcPr>
          <w:p w14:paraId="6B676D6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20.3</w:t>
            </w:r>
          </w:p>
        </w:tc>
        <w:tc>
          <w:tcPr>
            <w:tcW w:w="1417" w:type="dxa"/>
            <w:tcBorders>
              <w:top w:val="single" w:sz="4" w:space="0" w:color="auto"/>
              <w:left w:val="nil"/>
              <w:bottom w:val="single" w:sz="4" w:space="0" w:color="auto"/>
              <w:right w:val="single" w:sz="8" w:space="0" w:color="auto"/>
            </w:tcBorders>
          </w:tcPr>
          <w:p w14:paraId="79DC873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7.9</w:t>
            </w:r>
          </w:p>
        </w:tc>
        <w:tc>
          <w:tcPr>
            <w:tcW w:w="1276" w:type="dxa"/>
            <w:tcBorders>
              <w:top w:val="single" w:sz="4" w:space="0" w:color="auto"/>
              <w:left w:val="nil"/>
              <w:bottom w:val="single" w:sz="4" w:space="0" w:color="auto"/>
              <w:right w:val="single" w:sz="8" w:space="0" w:color="auto"/>
            </w:tcBorders>
          </w:tcPr>
          <w:p w14:paraId="1C3C4CC8"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05A5B9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105</w:t>
            </w:r>
          </w:p>
        </w:tc>
        <w:tc>
          <w:tcPr>
            <w:tcW w:w="1701" w:type="dxa"/>
            <w:tcBorders>
              <w:top w:val="single" w:sz="4" w:space="0" w:color="auto"/>
              <w:left w:val="nil"/>
              <w:bottom w:val="single" w:sz="4" w:space="0" w:color="auto"/>
              <w:right w:val="single" w:sz="8" w:space="0" w:color="auto"/>
            </w:tcBorders>
          </w:tcPr>
          <w:p w14:paraId="3579706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0ED9D525" w14:textId="77777777" w:rsidR="00632208" w:rsidRPr="0098635C" w:rsidRDefault="00632208" w:rsidP="00A432B0">
            <w:pPr>
              <w:spacing w:after="0"/>
              <w:rPr>
                <w:color w:val="000000" w:themeColor="text1"/>
                <w:sz w:val="20"/>
                <w:szCs w:val="20"/>
              </w:rPr>
            </w:pPr>
            <w:r w:rsidRPr="0098635C">
              <w:rPr>
                <w:color w:val="000000" w:themeColor="text1"/>
                <w:sz w:val="20"/>
                <w:szCs w:val="20"/>
              </w:rPr>
              <w:t>Chapman et al, 1980</w:t>
            </w:r>
          </w:p>
        </w:tc>
      </w:tr>
      <w:tr w:rsidR="00632208" w:rsidRPr="0098635C" w14:paraId="3A2697F2"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DA99C66"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3EE1A82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38</w:t>
            </w:r>
          </w:p>
        </w:tc>
        <w:tc>
          <w:tcPr>
            <w:tcW w:w="1276" w:type="dxa"/>
            <w:tcBorders>
              <w:top w:val="single" w:sz="4" w:space="0" w:color="auto"/>
              <w:left w:val="nil"/>
              <w:bottom w:val="single" w:sz="4" w:space="0" w:color="auto"/>
              <w:right w:val="single" w:sz="8" w:space="0" w:color="auto"/>
            </w:tcBorders>
          </w:tcPr>
          <w:p w14:paraId="71FCDBB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19.7</w:t>
            </w:r>
          </w:p>
        </w:tc>
        <w:tc>
          <w:tcPr>
            <w:tcW w:w="1417" w:type="dxa"/>
            <w:tcBorders>
              <w:top w:val="single" w:sz="4" w:space="0" w:color="auto"/>
              <w:left w:val="nil"/>
              <w:bottom w:val="single" w:sz="4" w:space="0" w:color="auto"/>
              <w:right w:val="single" w:sz="8" w:space="0" w:color="auto"/>
            </w:tcBorders>
          </w:tcPr>
          <w:p w14:paraId="0C86363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w:t>
            </w:r>
          </w:p>
        </w:tc>
        <w:tc>
          <w:tcPr>
            <w:tcW w:w="1276" w:type="dxa"/>
            <w:tcBorders>
              <w:top w:val="single" w:sz="4" w:space="0" w:color="auto"/>
              <w:left w:val="nil"/>
              <w:bottom w:val="single" w:sz="4" w:space="0" w:color="auto"/>
              <w:right w:val="single" w:sz="8" w:space="0" w:color="auto"/>
            </w:tcBorders>
          </w:tcPr>
          <w:p w14:paraId="13DA353F"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53968E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106</w:t>
            </w:r>
          </w:p>
        </w:tc>
        <w:tc>
          <w:tcPr>
            <w:tcW w:w="1701" w:type="dxa"/>
            <w:tcBorders>
              <w:top w:val="single" w:sz="4" w:space="0" w:color="auto"/>
              <w:left w:val="nil"/>
              <w:bottom w:val="single" w:sz="4" w:space="0" w:color="auto"/>
              <w:right w:val="single" w:sz="8" w:space="0" w:color="auto"/>
            </w:tcBorders>
          </w:tcPr>
          <w:p w14:paraId="76798C6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300B3CC1" w14:textId="77777777" w:rsidR="00632208" w:rsidRPr="0098635C" w:rsidRDefault="00632208" w:rsidP="00A432B0">
            <w:pPr>
              <w:spacing w:after="0"/>
              <w:rPr>
                <w:color w:val="000000" w:themeColor="text1"/>
                <w:sz w:val="20"/>
                <w:szCs w:val="20"/>
              </w:rPr>
            </w:pPr>
            <w:r w:rsidRPr="0098635C">
              <w:rPr>
                <w:color w:val="000000" w:themeColor="text1"/>
                <w:sz w:val="20"/>
                <w:szCs w:val="20"/>
              </w:rPr>
              <w:t>Chapman et al, 1980</w:t>
            </w:r>
          </w:p>
        </w:tc>
      </w:tr>
      <w:tr w:rsidR="00632208" w:rsidRPr="0098635C" w14:paraId="39DFFEE0"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5A004F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16EB60B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69</w:t>
            </w:r>
          </w:p>
        </w:tc>
        <w:tc>
          <w:tcPr>
            <w:tcW w:w="1276" w:type="dxa"/>
            <w:tcBorders>
              <w:top w:val="single" w:sz="4" w:space="0" w:color="auto"/>
              <w:left w:val="nil"/>
              <w:bottom w:val="single" w:sz="4" w:space="0" w:color="auto"/>
              <w:right w:val="single" w:sz="8" w:space="0" w:color="auto"/>
            </w:tcBorders>
          </w:tcPr>
          <w:p w14:paraId="5EE9C5A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19.9</w:t>
            </w:r>
          </w:p>
        </w:tc>
        <w:tc>
          <w:tcPr>
            <w:tcW w:w="1417" w:type="dxa"/>
            <w:tcBorders>
              <w:top w:val="single" w:sz="4" w:space="0" w:color="auto"/>
              <w:left w:val="nil"/>
              <w:bottom w:val="single" w:sz="4" w:space="0" w:color="auto"/>
              <w:right w:val="single" w:sz="8" w:space="0" w:color="auto"/>
            </w:tcBorders>
          </w:tcPr>
          <w:p w14:paraId="4950D04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8.3</w:t>
            </w:r>
          </w:p>
        </w:tc>
        <w:tc>
          <w:tcPr>
            <w:tcW w:w="1276" w:type="dxa"/>
            <w:tcBorders>
              <w:top w:val="single" w:sz="4" w:space="0" w:color="auto"/>
              <w:left w:val="nil"/>
              <w:bottom w:val="single" w:sz="4" w:space="0" w:color="auto"/>
              <w:right w:val="single" w:sz="8" w:space="0" w:color="auto"/>
            </w:tcBorders>
          </w:tcPr>
          <w:p w14:paraId="3C53964D"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DB9E5A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207</w:t>
            </w:r>
          </w:p>
        </w:tc>
        <w:tc>
          <w:tcPr>
            <w:tcW w:w="1701" w:type="dxa"/>
            <w:tcBorders>
              <w:top w:val="single" w:sz="4" w:space="0" w:color="auto"/>
              <w:left w:val="nil"/>
              <w:bottom w:val="single" w:sz="4" w:space="0" w:color="auto"/>
              <w:right w:val="single" w:sz="8" w:space="0" w:color="auto"/>
            </w:tcBorders>
          </w:tcPr>
          <w:p w14:paraId="0FAB53A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3AB481B0" w14:textId="77777777" w:rsidR="00632208" w:rsidRPr="0098635C" w:rsidRDefault="00632208" w:rsidP="00A432B0">
            <w:pPr>
              <w:spacing w:after="0"/>
              <w:rPr>
                <w:color w:val="000000" w:themeColor="text1"/>
                <w:sz w:val="20"/>
                <w:szCs w:val="20"/>
              </w:rPr>
            </w:pPr>
            <w:r w:rsidRPr="0098635C">
              <w:rPr>
                <w:color w:val="000000" w:themeColor="text1"/>
                <w:sz w:val="20"/>
                <w:szCs w:val="20"/>
              </w:rPr>
              <w:t>Chapman et al, 1980</w:t>
            </w:r>
          </w:p>
        </w:tc>
      </w:tr>
      <w:tr w:rsidR="00632208" w:rsidRPr="0098635C" w14:paraId="2DFBB023"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141AB38"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2F52670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52</w:t>
            </w:r>
          </w:p>
        </w:tc>
        <w:tc>
          <w:tcPr>
            <w:tcW w:w="1276" w:type="dxa"/>
            <w:tcBorders>
              <w:top w:val="single" w:sz="4" w:space="0" w:color="auto"/>
              <w:left w:val="nil"/>
              <w:bottom w:val="single" w:sz="4" w:space="0" w:color="auto"/>
              <w:right w:val="single" w:sz="8" w:space="0" w:color="auto"/>
            </w:tcBorders>
          </w:tcPr>
          <w:p w14:paraId="074634C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2B64997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4D5FD014"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FBE806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7A50FA4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0F9DA626"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1987</w:t>
            </w:r>
          </w:p>
        </w:tc>
      </w:tr>
      <w:tr w:rsidR="00632208" w:rsidRPr="0098635C" w14:paraId="6B23CA1A"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BA0E84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56FB18F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51</w:t>
            </w:r>
          </w:p>
        </w:tc>
        <w:tc>
          <w:tcPr>
            <w:tcW w:w="1276" w:type="dxa"/>
            <w:tcBorders>
              <w:top w:val="single" w:sz="4" w:space="0" w:color="auto"/>
              <w:left w:val="nil"/>
              <w:bottom w:val="single" w:sz="4" w:space="0" w:color="auto"/>
              <w:right w:val="single" w:sz="8" w:space="0" w:color="auto"/>
            </w:tcBorders>
          </w:tcPr>
          <w:p w14:paraId="79FAD37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26904EF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0932D4AB"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E1563A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159D256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48B1E179"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1987</w:t>
            </w:r>
          </w:p>
        </w:tc>
      </w:tr>
      <w:tr w:rsidR="00632208" w:rsidRPr="0098635C" w14:paraId="6FA8ED4F"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70D3DE8"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320CCDD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65</w:t>
            </w:r>
          </w:p>
        </w:tc>
        <w:tc>
          <w:tcPr>
            <w:tcW w:w="1276" w:type="dxa"/>
            <w:tcBorders>
              <w:top w:val="single" w:sz="4" w:space="0" w:color="auto"/>
              <w:left w:val="nil"/>
              <w:bottom w:val="single" w:sz="4" w:space="0" w:color="auto"/>
              <w:right w:val="single" w:sz="8" w:space="0" w:color="auto"/>
            </w:tcBorders>
          </w:tcPr>
          <w:p w14:paraId="3042764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00C1016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075E8975"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0CC0F3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3F70A1C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5EFB7449"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1987</w:t>
            </w:r>
          </w:p>
        </w:tc>
      </w:tr>
      <w:tr w:rsidR="00632208" w:rsidRPr="0098635C" w14:paraId="0A102905"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EA4D2E8"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543BD4A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58</w:t>
            </w:r>
          </w:p>
        </w:tc>
        <w:tc>
          <w:tcPr>
            <w:tcW w:w="1276" w:type="dxa"/>
            <w:tcBorders>
              <w:top w:val="single" w:sz="4" w:space="0" w:color="auto"/>
              <w:left w:val="nil"/>
              <w:bottom w:val="single" w:sz="4" w:space="0" w:color="auto"/>
              <w:right w:val="single" w:sz="8" w:space="0" w:color="auto"/>
            </w:tcBorders>
          </w:tcPr>
          <w:p w14:paraId="1659609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7DDA24A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34BC877D"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FA68D1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737EAA0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5D4DBB1D"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1987</w:t>
            </w:r>
          </w:p>
        </w:tc>
      </w:tr>
      <w:tr w:rsidR="00632208" w:rsidRPr="0098635C" w14:paraId="5323F069"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902645B"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lastRenderedPageBreak/>
              <w:t>Daphnia magna</w:t>
            </w:r>
          </w:p>
        </w:tc>
        <w:tc>
          <w:tcPr>
            <w:tcW w:w="1134" w:type="dxa"/>
            <w:tcBorders>
              <w:top w:val="single" w:sz="4" w:space="0" w:color="auto"/>
              <w:left w:val="nil"/>
              <w:bottom w:val="single" w:sz="4" w:space="0" w:color="auto"/>
              <w:right w:val="single" w:sz="8" w:space="0" w:color="auto"/>
            </w:tcBorders>
          </w:tcPr>
          <w:p w14:paraId="5BD0D21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35</w:t>
            </w:r>
          </w:p>
        </w:tc>
        <w:tc>
          <w:tcPr>
            <w:tcW w:w="1276" w:type="dxa"/>
            <w:tcBorders>
              <w:top w:val="single" w:sz="4" w:space="0" w:color="auto"/>
              <w:left w:val="nil"/>
              <w:bottom w:val="single" w:sz="4" w:space="0" w:color="auto"/>
              <w:right w:val="single" w:sz="8" w:space="0" w:color="auto"/>
            </w:tcBorders>
          </w:tcPr>
          <w:p w14:paraId="7518D72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5502FDB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6ECC0369"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3ABBA3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0E14DA5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5108A161"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1987</w:t>
            </w:r>
          </w:p>
        </w:tc>
      </w:tr>
      <w:tr w:rsidR="00632208" w:rsidRPr="0098635C" w14:paraId="2F6CDEB9"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4CAD4BF"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14506CB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37</w:t>
            </w:r>
          </w:p>
        </w:tc>
        <w:tc>
          <w:tcPr>
            <w:tcW w:w="1276" w:type="dxa"/>
            <w:tcBorders>
              <w:top w:val="single" w:sz="4" w:space="0" w:color="auto"/>
              <w:left w:val="nil"/>
              <w:bottom w:val="single" w:sz="4" w:space="0" w:color="auto"/>
              <w:right w:val="single" w:sz="8" w:space="0" w:color="auto"/>
            </w:tcBorders>
          </w:tcPr>
          <w:p w14:paraId="6C68883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013DB17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36CE1133"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A76ABB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55A771A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13BF5D59"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1987</w:t>
            </w:r>
          </w:p>
        </w:tc>
      </w:tr>
      <w:tr w:rsidR="00632208" w:rsidRPr="0098635C" w14:paraId="7A152B57"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EA92C4E"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3B15A90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46</w:t>
            </w:r>
          </w:p>
        </w:tc>
        <w:tc>
          <w:tcPr>
            <w:tcW w:w="1276" w:type="dxa"/>
            <w:tcBorders>
              <w:top w:val="single" w:sz="4" w:space="0" w:color="auto"/>
              <w:left w:val="nil"/>
              <w:bottom w:val="single" w:sz="4" w:space="0" w:color="auto"/>
              <w:right w:val="single" w:sz="8" w:space="0" w:color="auto"/>
            </w:tcBorders>
          </w:tcPr>
          <w:p w14:paraId="4901E1E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6843765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7F20B0C3"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42A270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0027C02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1003BA77"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1987</w:t>
            </w:r>
          </w:p>
        </w:tc>
      </w:tr>
      <w:tr w:rsidR="00632208" w:rsidRPr="0098635C" w14:paraId="22D2E07C"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92C9516"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5E60290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1276" w:type="dxa"/>
            <w:tcBorders>
              <w:top w:val="single" w:sz="4" w:space="0" w:color="auto"/>
              <w:left w:val="nil"/>
              <w:bottom w:val="single" w:sz="4" w:space="0" w:color="auto"/>
              <w:right w:val="single" w:sz="8" w:space="0" w:color="auto"/>
            </w:tcBorders>
          </w:tcPr>
          <w:p w14:paraId="2A121E8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1429CAA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224F5510"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87F00B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1B4BEF6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4B2D4592"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1987</w:t>
            </w:r>
          </w:p>
        </w:tc>
      </w:tr>
      <w:tr w:rsidR="00632208" w:rsidRPr="0098635C" w14:paraId="60121CB5"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EFAC4D9"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455E7D7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31</w:t>
            </w:r>
          </w:p>
        </w:tc>
        <w:tc>
          <w:tcPr>
            <w:tcW w:w="1276" w:type="dxa"/>
            <w:tcBorders>
              <w:top w:val="single" w:sz="4" w:space="0" w:color="auto"/>
              <w:left w:val="nil"/>
              <w:bottom w:val="single" w:sz="4" w:space="0" w:color="auto"/>
              <w:right w:val="single" w:sz="8" w:space="0" w:color="auto"/>
            </w:tcBorders>
          </w:tcPr>
          <w:p w14:paraId="550026C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01DBA2D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6203CF93"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73F2BB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5D7C2EB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001927A2"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1987</w:t>
            </w:r>
          </w:p>
        </w:tc>
      </w:tr>
      <w:tr w:rsidR="00632208" w:rsidRPr="0098635C" w14:paraId="6F74D439"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1E4481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1DAD5C0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50</w:t>
            </w:r>
          </w:p>
        </w:tc>
        <w:tc>
          <w:tcPr>
            <w:tcW w:w="1276" w:type="dxa"/>
            <w:tcBorders>
              <w:top w:val="single" w:sz="4" w:space="0" w:color="auto"/>
              <w:left w:val="nil"/>
              <w:bottom w:val="single" w:sz="4" w:space="0" w:color="auto"/>
              <w:right w:val="single" w:sz="8" w:space="0" w:color="auto"/>
            </w:tcBorders>
          </w:tcPr>
          <w:p w14:paraId="1EB0B76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7C781CF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26FB2A6F"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C97B8E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339DEBF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4C72E981"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1987</w:t>
            </w:r>
          </w:p>
        </w:tc>
      </w:tr>
      <w:tr w:rsidR="00632208" w:rsidRPr="0098635C" w14:paraId="300BE82D"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FFE9128"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14138E8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w:t>
            </w:r>
          </w:p>
        </w:tc>
        <w:tc>
          <w:tcPr>
            <w:tcW w:w="1276" w:type="dxa"/>
            <w:tcBorders>
              <w:top w:val="single" w:sz="4" w:space="0" w:color="auto"/>
              <w:left w:val="nil"/>
              <w:bottom w:val="single" w:sz="4" w:space="0" w:color="auto"/>
              <w:right w:val="single" w:sz="8" w:space="0" w:color="auto"/>
            </w:tcBorders>
          </w:tcPr>
          <w:p w14:paraId="4D4F0F7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6D11BDF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5CB2B115"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E405D8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1651CBC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5B037E2A"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1987</w:t>
            </w:r>
          </w:p>
        </w:tc>
      </w:tr>
      <w:tr w:rsidR="00632208" w:rsidRPr="0098635C" w14:paraId="07441441"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3D6D4C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73AE76C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31</w:t>
            </w:r>
          </w:p>
        </w:tc>
        <w:tc>
          <w:tcPr>
            <w:tcW w:w="1276" w:type="dxa"/>
            <w:tcBorders>
              <w:top w:val="single" w:sz="4" w:space="0" w:color="auto"/>
              <w:left w:val="nil"/>
              <w:bottom w:val="single" w:sz="4" w:space="0" w:color="auto"/>
              <w:right w:val="single" w:sz="8" w:space="0" w:color="auto"/>
            </w:tcBorders>
          </w:tcPr>
          <w:p w14:paraId="070F232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6AC57DC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3577A5AB"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A1B718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19E025A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47118C67"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1987</w:t>
            </w:r>
          </w:p>
        </w:tc>
      </w:tr>
      <w:tr w:rsidR="00632208" w:rsidRPr="0098635C" w14:paraId="21F365FD"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9C9A401"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27A5A28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38</w:t>
            </w:r>
          </w:p>
        </w:tc>
        <w:tc>
          <w:tcPr>
            <w:tcW w:w="1276" w:type="dxa"/>
            <w:tcBorders>
              <w:top w:val="single" w:sz="4" w:space="0" w:color="auto"/>
              <w:left w:val="nil"/>
              <w:bottom w:val="single" w:sz="4" w:space="0" w:color="auto"/>
              <w:right w:val="single" w:sz="8" w:space="0" w:color="auto"/>
            </w:tcBorders>
          </w:tcPr>
          <w:p w14:paraId="185867D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12954ED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04FD9759"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FA3E8A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1E20444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56E81ED3"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1987</w:t>
            </w:r>
          </w:p>
        </w:tc>
      </w:tr>
      <w:tr w:rsidR="00632208" w:rsidRPr="0098635C" w14:paraId="3FD427D1"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19C4C84"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343020D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276" w:type="dxa"/>
            <w:tcBorders>
              <w:top w:val="single" w:sz="4" w:space="0" w:color="auto"/>
              <w:left w:val="nil"/>
              <w:bottom w:val="single" w:sz="4" w:space="0" w:color="auto"/>
              <w:right w:val="single" w:sz="8" w:space="0" w:color="auto"/>
            </w:tcBorders>
          </w:tcPr>
          <w:p w14:paraId="3569D85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389D467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04A51A4D"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CEEB1F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7C2F5C0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3FEB4573"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1987</w:t>
            </w:r>
          </w:p>
        </w:tc>
      </w:tr>
      <w:tr w:rsidR="00632208" w:rsidRPr="0098635C" w14:paraId="61482793"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9084B0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5E32232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276" w:type="dxa"/>
            <w:tcBorders>
              <w:top w:val="single" w:sz="4" w:space="0" w:color="auto"/>
              <w:left w:val="nil"/>
              <w:bottom w:val="single" w:sz="4" w:space="0" w:color="auto"/>
              <w:right w:val="single" w:sz="8" w:space="0" w:color="auto"/>
            </w:tcBorders>
          </w:tcPr>
          <w:p w14:paraId="447C6FE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74DEDD9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24E7EBC8"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04D304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5C42A8E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04558E7E"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1987</w:t>
            </w:r>
          </w:p>
        </w:tc>
      </w:tr>
      <w:tr w:rsidR="00632208" w:rsidRPr="0098635C" w14:paraId="36B74FA2"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8232E4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68B27D7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w:t>
            </w:r>
          </w:p>
        </w:tc>
        <w:tc>
          <w:tcPr>
            <w:tcW w:w="1276" w:type="dxa"/>
            <w:tcBorders>
              <w:top w:val="single" w:sz="4" w:space="0" w:color="auto"/>
              <w:left w:val="nil"/>
              <w:bottom w:val="single" w:sz="4" w:space="0" w:color="auto"/>
              <w:right w:val="single" w:sz="8" w:space="0" w:color="auto"/>
            </w:tcBorders>
          </w:tcPr>
          <w:p w14:paraId="2284B9E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58DD24D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36DC30D7"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84A79E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1C34606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2063FB95"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1987</w:t>
            </w:r>
          </w:p>
        </w:tc>
      </w:tr>
      <w:tr w:rsidR="00632208" w:rsidRPr="0098635C" w14:paraId="34F43730"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176BEC9"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3382030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1276" w:type="dxa"/>
            <w:tcBorders>
              <w:top w:val="single" w:sz="4" w:space="0" w:color="auto"/>
              <w:left w:val="nil"/>
              <w:bottom w:val="single" w:sz="4" w:space="0" w:color="auto"/>
              <w:right w:val="single" w:sz="8" w:space="0" w:color="auto"/>
            </w:tcBorders>
          </w:tcPr>
          <w:p w14:paraId="1DBC085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51993D7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7ED8A140"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7AF00F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6FC5198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7770943F"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1987</w:t>
            </w:r>
          </w:p>
        </w:tc>
      </w:tr>
      <w:tr w:rsidR="00632208" w:rsidRPr="0098635C" w14:paraId="45862C04"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7F6017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53A3ABB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26</w:t>
            </w:r>
          </w:p>
        </w:tc>
        <w:tc>
          <w:tcPr>
            <w:tcW w:w="1276" w:type="dxa"/>
            <w:tcBorders>
              <w:top w:val="single" w:sz="4" w:space="0" w:color="auto"/>
              <w:left w:val="nil"/>
              <w:bottom w:val="single" w:sz="4" w:space="0" w:color="auto"/>
              <w:right w:val="single" w:sz="8" w:space="0" w:color="auto"/>
            </w:tcBorders>
          </w:tcPr>
          <w:p w14:paraId="49006C9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3053C60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18E0280D"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A6D2EB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79A64B4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7BA35F26"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1987</w:t>
            </w:r>
          </w:p>
        </w:tc>
      </w:tr>
      <w:tr w:rsidR="00632208" w:rsidRPr="0098635C" w14:paraId="140A7367"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7536EFE"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66D5E26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27</w:t>
            </w:r>
          </w:p>
        </w:tc>
        <w:tc>
          <w:tcPr>
            <w:tcW w:w="1276" w:type="dxa"/>
            <w:tcBorders>
              <w:top w:val="single" w:sz="4" w:space="0" w:color="auto"/>
              <w:left w:val="nil"/>
              <w:bottom w:val="single" w:sz="4" w:space="0" w:color="auto"/>
              <w:right w:val="single" w:sz="8" w:space="0" w:color="auto"/>
            </w:tcBorders>
          </w:tcPr>
          <w:p w14:paraId="365CA63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1B60BF4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6995FA73"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9B605D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1709D5F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6F61BFDD"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1987</w:t>
            </w:r>
          </w:p>
        </w:tc>
      </w:tr>
      <w:tr w:rsidR="00632208" w:rsidRPr="0098635C" w14:paraId="2ED3BF9E"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FFA0278"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653D9D7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27</w:t>
            </w:r>
          </w:p>
        </w:tc>
        <w:tc>
          <w:tcPr>
            <w:tcW w:w="1276" w:type="dxa"/>
            <w:tcBorders>
              <w:top w:val="single" w:sz="4" w:space="0" w:color="auto"/>
              <w:left w:val="nil"/>
              <w:bottom w:val="single" w:sz="4" w:space="0" w:color="auto"/>
              <w:right w:val="single" w:sz="8" w:space="0" w:color="auto"/>
            </w:tcBorders>
          </w:tcPr>
          <w:p w14:paraId="07CDEEF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0255375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1A382A78"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7C203B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6915E80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0872953B"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1987</w:t>
            </w:r>
          </w:p>
        </w:tc>
      </w:tr>
      <w:tr w:rsidR="00632208" w:rsidRPr="0098635C" w14:paraId="0B83F163"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C6AD94F"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7A1F550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1276" w:type="dxa"/>
            <w:tcBorders>
              <w:top w:val="single" w:sz="4" w:space="0" w:color="auto"/>
              <w:left w:val="nil"/>
              <w:bottom w:val="single" w:sz="4" w:space="0" w:color="auto"/>
              <w:right w:val="single" w:sz="8" w:space="0" w:color="auto"/>
            </w:tcBorders>
          </w:tcPr>
          <w:p w14:paraId="1F0F047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1E2BA90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0C00D3FB"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6D0F48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6941257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03486629"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1987</w:t>
            </w:r>
          </w:p>
        </w:tc>
      </w:tr>
      <w:tr w:rsidR="00632208" w:rsidRPr="0098635C" w14:paraId="261C44AB"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FD0292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4FC8756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1276" w:type="dxa"/>
            <w:tcBorders>
              <w:top w:val="single" w:sz="4" w:space="0" w:color="auto"/>
              <w:left w:val="nil"/>
              <w:bottom w:val="single" w:sz="4" w:space="0" w:color="auto"/>
              <w:right w:val="single" w:sz="8" w:space="0" w:color="auto"/>
            </w:tcBorders>
          </w:tcPr>
          <w:p w14:paraId="584C1D8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7B1661B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24B0A6B8"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7F89B8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0772D30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5B1740C2"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1987</w:t>
            </w:r>
          </w:p>
        </w:tc>
      </w:tr>
      <w:tr w:rsidR="00632208" w:rsidRPr="0098635C" w14:paraId="14027A85"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5832712"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lastRenderedPageBreak/>
              <w:t>Daphnia magna</w:t>
            </w:r>
          </w:p>
        </w:tc>
        <w:tc>
          <w:tcPr>
            <w:tcW w:w="1134" w:type="dxa"/>
            <w:tcBorders>
              <w:top w:val="single" w:sz="4" w:space="0" w:color="auto"/>
              <w:left w:val="nil"/>
              <w:bottom w:val="single" w:sz="4" w:space="0" w:color="auto"/>
              <w:right w:val="single" w:sz="8" w:space="0" w:color="auto"/>
            </w:tcBorders>
          </w:tcPr>
          <w:p w14:paraId="337E93F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32</w:t>
            </w:r>
          </w:p>
        </w:tc>
        <w:tc>
          <w:tcPr>
            <w:tcW w:w="1276" w:type="dxa"/>
            <w:tcBorders>
              <w:top w:val="single" w:sz="4" w:space="0" w:color="auto"/>
              <w:left w:val="nil"/>
              <w:bottom w:val="single" w:sz="4" w:space="0" w:color="auto"/>
              <w:right w:val="single" w:sz="8" w:space="0" w:color="auto"/>
            </w:tcBorders>
          </w:tcPr>
          <w:p w14:paraId="19FE331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47FA7EC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6FDD6895"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C021E5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1853573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50457767"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1987</w:t>
            </w:r>
          </w:p>
        </w:tc>
      </w:tr>
      <w:tr w:rsidR="00632208" w:rsidRPr="0098635C" w14:paraId="4E9E02D7"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E22FA76"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5EEF58E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33</w:t>
            </w:r>
          </w:p>
        </w:tc>
        <w:tc>
          <w:tcPr>
            <w:tcW w:w="1276" w:type="dxa"/>
            <w:tcBorders>
              <w:top w:val="single" w:sz="4" w:space="0" w:color="auto"/>
              <w:left w:val="nil"/>
              <w:bottom w:val="single" w:sz="4" w:space="0" w:color="auto"/>
              <w:right w:val="single" w:sz="8" w:space="0" w:color="auto"/>
            </w:tcBorders>
          </w:tcPr>
          <w:p w14:paraId="1F32A68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752B789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1FBEE445"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947FE9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59FF94D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3CFCF05D"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1987</w:t>
            </w:r>
          </w:p>
        </w:tc>
      </w:tr>
      <w:tr w:rsidR="00632208" w:rsidRPr="0098635C" w14:paraId="29F37647"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EDFD0E4"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0B5D8C0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34</w:t>
            </w:r>
          </w:p>
        </w:tc>
        <w:tc>
          <w:tcPr>
            <w:tcW w:w="1276" w:type="dxa"/>
            <w:tcBorders>
              <w:top w:val="single" w:sz="4" w:space="0" w:color="auto"/>
              <w:left w:val="nil"/>
              <w:bottom w:val="single" w:sz="4" w:space="0" w:color="auto"/>
              <w:right w:val="single" w:sz="8" w:space="0" w:color="auto"/>
            </w:tcBorders>
          </w:tcPr>
          <w:p w14:paraId="1ED2A4A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1203F4B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3CCFB39F"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72ABBD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0D761D1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07462B30"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1987</w:t>
            </w:r>
          </w:p>
        </w:tc>
      </w:tr>
      <w:tr w:rsidR="00632208" w:rsidRPr="0098635C" w14:paraId="71B80F90"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C0D513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25F1998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36</w:t>
            </w:r>
          </w:p>
        </w:tc>
        <w:tc>
          <w:tcPr>
            <w:tcW w:w="1276" w:type="dxa"/>
            <w:tcBorders>
              <w:top w:val="single" w:sz="4" w:space="0" w:color="auto"/>
              <w:left w:val="nil"/>
              <w:bottom w:val="single" w:sz="4" w:space="0" w:color="auto"/>
              <w:right w:val="single" w:sz="8" w:space="0" w:color="auto"/>
            </w:tcBorders>
          </w:tcPr>
          <w:p w14:paraId="409A9A5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061FE97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114BC58F"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2E6BE3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091B1CF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70330E4A"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1987</w:t>
            </w:r>
          </w:p>
        </w:tc>
      </w:tr>
      <w:tr w:rsidR="00632208" w:rsidRPr="0098635C" w14:paraId="70081F32"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D39E9B2"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71C7182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37</w:t>
            </w:r>
          </w:p>
        </w:tc>
        <w:tc>
          <w:tcPr>
            <w:tcW w:w="1276" w:type="dxa"/>
            <w:tcBorders>
              <w:top w:val="single" w:sz="4" w:space="0" w:color="auto"/>
              <w:left w:val="nil"/>
              <w:bottom w:val="single" w:sz="4" w:space="0" w:color="auto"/>
              <w:right w:val="single" w:sz="8" w:space="0" w:color="auto"/>
            </w:tcBorders>
          </w:tcPr>
          <w:p w14:paraId="7DF726E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0D9C3A5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3D7808E2"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0F98CA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4096F37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7A06C031"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1987</w:t>
            </w:r>
          </w:p>
        </w:tc>
      </w:tr>
      <w:tr w:rsidR="00632208" w:rsidRPr="0098635C" w14:paraId="1A9921CE"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2A1A3B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0E11B81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w:t>
            </w:r>
          </w:p>
        </w:tc>
        <w:tc>
          <w:tcPr>
            <w:tcW w:w="1276" w:type="dxa"/>
            <w:tcBorders>
              <w:top w:val="single" w:sz="4" w:space="0" w:color="auto"/>
              <w:left w:val="nil"/>
              <w:bottom w:val="single" w:sz="4" w:space="0" w:color="auto"/>
              <w:right w:val="single" w:sz="8" w:space="0" w:color="auto"/>
            </w:tcBorders>
          </w:tcPr>
          <w:p w14:paraId="58D0D8D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5F1BE30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4BE1A0D1"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9E355E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11627E6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0A989502"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1987</w:t>
            </w:r>
          </w:p>
        </w:tc>
      </w:tr>
      <w:tr w:rsidR="00632208" w:rsidRPr="0098635C" w14:paraId="0EEA468F"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FB29886"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019251D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42</w:t>
            </w:r>
          </w:p>
        </w:tc>
        <w:tc>
          <w:tcPr>
            <w:tcW w:w="1276" w:type="dxa"/>
            <w:tcBorders>
              <w:top w:val="single" w:sz="4" w:space="0" w:color="auto"/>
              <w:left w:val="nil"/>
              <w:bottom w:val="single" w:sz="4" w:space="0" w:color="auto"/>
              <w:right w:val="single" w:sz="8" w:space="0" w:color="auto"/>
            </w:tcBorders>
          </w:tcPr>
          <w:p w14:paraId="655A035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493DF0F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68526EC0"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D6FA3F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7EF27AB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3759E671"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1987</w:t>
            </w:r>
          </w:p>
        </w:tc>
      </w:tr>
      <w:tr w:rsidR="00632208" w:rsidRPr="0098635C" w14:paraId="4C8E8840"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CA196B1"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6E1EEDB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43</w:t>
            </w:r>
          </w:p>
        </w:tc>
        <w:tc>
          <w:tcPr>
            <w:tcW w:w="1276" w:type="dxa"/>
            <w:tcBorders>
              <w:top w:val="single" w:sz="4" w:space="0" w:color="auto"/>
              <w:left w:val="nil"/>
              <w:bottom w:val="single" w:sz="4" w:space="0" w:color="auto"/>
              <w:right w:val="single" w:sz="8" w:space="0" w:color="auto"/>
            </w:tcBorders>
          </w:tcPr>
          <w:p w14:paraId="3392C1D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2023948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10069C39"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8A3F69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7539094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2825C8A1"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1987</w:t>
            </w:r>
          </w:p>
        </w:tc>
      </w:tr>
      <w:tr w:rsidR="00632208" w:rsidRPr="0098635C" w14:paraId="627E905E"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30DEF32"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189E12E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44</w:t>
            </w:r>
          </w:p>
        </w:tc>
        <w:tc>
          <w:tcPr>
            <w:tcW w:w="1276" w:type="dxa"/>
            <w:tcBorders>
              <w:top w:val="single" w:sz="4" w:space="0" w:color="auto"/>
              <w:left w:val="nil"/>
              <w:bottom w:val="single" w:sz="4" w:space="0" w:color="auto"/>
              <w:right w:val="single" w:sz="8" w:space="0" w:color="auto"/>
            </w:tcBorders>
          </w:tcPr>
          <w:p w14:paraId="034700A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55F1DCD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3AB2F955"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F1403B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3DDED15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2812561E"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1987</w:t>
            </w:r>
          </w:p>
        </w:tc>
      </w:tr>
      <w:tr w:rsidR="00632208" w:rsidRPr="0098635C" w14:paraId="2452428E"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C754D54"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2B24479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46</w:t>
            </w:r>
          </w:p>
        </w:tc>
        <w:tc>
          <w:tcPr>
            <w:tcW w:w="1276" w:type="dxa"/>
            <w:tcBorders>
              <w:top w:val="single" w:sz="4" w:space="0" w:color="auto"/>
              <w:left w:val="nil"/>
              <w:bottom w:val="single" w:sz="4" w:space="0" w:color="auto"/>
              <w:right w:val="single" w:sz="8" w:space="0" w:color="auto"/>
            </w:tcBorders>
          </w:tcPr>
          <w:p w14:paraId="29DA340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330BE7A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6AC216ED"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2F6839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3622737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62B3BC78"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1987</w:t>
            </w:r>
          </w:p>
        </w:tc>
      </w:tr>
      <w:tr w:rsidR="00632208" w:rsidRPr="0098635C" w14:paraId="6CA4D8EE"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2CFF7D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7F6393B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30</w:t>
            </w:r>
          </w:p>
        </w:tc>
        <w:tc>
          <w:tcPr>
            <w:tcW w:w="1276" w:type="dxa"/>
            <w:tcBorders>
              <w:top w:val="single" w:sz="4" w:space="0" w:color="auto"/>
              <w:left w:val="nil"/>
              <w:bottom w:val="single" w:sz="4" w:space="0" w:color="auto"/>
              <w:right w:val="single" w:sz="8" w:space="0" w:color="auto"/>
            </w:tcBorders>
          </w:tcPr>
          <w:p w14:paraId="2A26146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w:t>
            </w:r>
          </w:p>
        </w:tc>
        <w:tc>
          <w:tcPr>
            <w:tcW w:w="1417" w:type="dxa"/>
            <w:tcBorders>
              <w:top w:val="single" w:sz="4" w:space="0" w:color="auto"/>
              <w:left w:val="nil"/>
              <w:bottom w:val="single" w:sz="4" w:space="0" w:color="auto"/>
              <w:right w:val="single" w:sz="8" w:space="0" w:color="auto"/>
            </w:tcBorders>
          </w:tcPr>
          <w:p w14:paraId="11E9337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3A694995"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438A6A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3C5F3AF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2C6653AD"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1993</w:t>
            </w:r>
          </w:p>
        </w:tc>
      </w:tr>
      <w:tr w:rsidR="00632208" w:rsidRPr="0098635C" w14:paraId="45715B25"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B230E7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5AED886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31</w:t>
            </w:r>
          </w:p>
        </w:tc>
        <w:tc>
          <w:tcPr>
            <w:tcW w:w="1276" w:type="dxa"/>
            <w:tcBorders>
              <w:top w:val="single" w:sz="4" w:space="0" w:color="auto"/>
              <w:left w:val="nil"/>
              <w:bottom w:val="single" w:sz="4" w:space="0" w:color="auto"/>
              <w:right w:val="single" w:sz="8" w:space="0" w:color="auto"/>
            </w:tcBorders>
          </w:tcPr>
          <w:p w14:paraId="659777B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w:t>
            </w:r>
          </w:p>
        </w:tc>
        <w:tc>
          <w:tcPr>
            <w:tcW w:w="1417" w:type="dxa"/>
            <w:tcBorders>
              <w:top w:val="single" w:sz="4" w:space="0" w:color="auto"/>
              <w:left w:val="nil"/>
              <w:bottom w:val="single" w:sz="4" w:space="0" w:color="auto"/>
              <w:right w:val="single" w:sz="8" w:space="0" w:color="auto"/>
            </w:tcBorders>
          </w:tcPr>
          <w:p w14:paraId="7ED98C1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7ADF2C0F"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EAA2B2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4146E3D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57A08DEB"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1993</w:t>
            </w:r>
          </w:p>
        </w:tc>
      </w:tr>
      <w:tr w:rsidR="00632208" w:rsidRPr="0098635C" w14:paraId="615C247C"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8C26E1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46052A9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31</w:t>
            </w:r>
          </w:p>
        </w:tc>
        <w:tc>
          <w:tcPr>
            <w:tcW w:w="1276" w:type="dxa"/>
            <w:tcBorders>
              <w:top w:val="single" w:sz="4" w:space="0" w:color="auto"/>
              <w:left w:val="nil"/>
              <w:bottom w:val="single" w:sz="4" w:space="0" w:color="auto"/>
              <w:right w:val="single" w:sz="8" w:space="0" w:color="auto"/>
            </w:tcBorders>
          </w:tcPr>
          <w:p w14:paraId="4F3EAC7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w:t>
            </w:r>
          </w:p>
        </w:tc>
        <w:tc>
          <w:tcPr>
            <w:tcW w:w="1417" w:type="dxa"/>
            <w:tcBorders>
              <w:top w:val="single" w:sz="4" w:space="0" w:color="auto"/>
              <w:left w:val="nil"/>
              <w:bottom w:val="single" w:sz="4" w:space="0" w:color="auto"/>
              <w:right w:val="single" w:sz="8" w:space="0" w:color="auto"/>
            </w:tcBorders>
          </w:tcPr>
          <w:p w14:paraId="326BC02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6AB861DA"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E8ECA6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06F8967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09B0DEB3"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1993</w:t>
            </w:r>
          </w:p>
        </w:tc>
      </w:tr>
      <w:tr w:rsidR="00632208" w:rsidRPr="0098635C" w14:paraId="2FA8BD77"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6F0906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75DF78D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35</w:t>
            </w:r>
          </w:p>
        </w:tc>
        <w:tc>
          <w:tcPr>
            <w:tcW w:w="1276" w:type="dxa"/>
            <w:tcBorders>
              <w:top w:val="single" w:sz="4" w:space="0" w:color="auto"/>
              <w:left w:val="nil"/>
              <w:bottom w:val="single" w:sz="4" w:space="0" w:color="auto"/>
              <w:right w:val="single" w:sz="8" w:space="0" w:color="auto"/>
            </w:tcBorders>
          </w:tcPr>
          <w:p w14:paraId="192C5C6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w:t>
            </w:r>
          </w:p>
        </w:tc>
        <w:tc>
          <w:tcPr>
            <w:tcW w:w="1417" w:type="dxa"/>
            <w:tcBorders>
              <w:top w:val="single" w:sz="4" w:space="0" w:color="auto"/>
              <w:left w:val="nil"/>
              <w:bottom w:val="single" w:sz="4" w:space="0" w:color="auto"/>
              <w:right w:val="single" w:sz="8" w:space="0" w:color="auto"/>
            </w:tcBorders>
          </w:tcPr>
          <w:p w14:paraId="55E2869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6E52CD4F"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99B4A3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557AAC7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5E384480"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1993</w:t>
            </w:r>
          </w:p>
        </w:tc>
      </w:tr>
      <w:tr w:rsidR="00632208" w:rsidRPr="0098635C" w14:paraId="68163491"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7794556"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0265DC8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37</w:t>
            </w:r>
          </w:p>
        </w:tc>
        <w:tc>
          <w:tcPr>
            <w:tcW w:w="1276" w:type="dxa"/>
            <w:tcBorders>
              <w:top w:val="single" w:sz="4" w:space="0" w:color="auto"/>
              <w:left w:val="nil"/>
              <w:bottom w:val="single" w:sz="4" w:space="0" w:color="auto"/>
              <w:right w:val="single" w:sz="8" w:space="0" w:color="auto"/>
            </w:tcBorders>
          </w:tcPr>
          <w:p w14:paraId="18CA945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w:t>
            </w:r>
          </w:p>
        </w:tc>
        <w:tc>
          <w:tcPr>
            <w:tcW w:w="1417" w:type="dxa"/>
            <w:tcBorders>
              <w:top w:val="single" w:sz="4" w:space="0" w:color="auto"/>
              <w:left w:val="nil"/>
              <w:bottom w:val="single" w:sz="4" w:space="0" w:color="auto"/>
              <w:right w:val="single" w:sz="8" w:space="0" w:color="auto"/>
            </w:tcBorders>
          </w:tcPr>
          <w:p w14:paraId="2EA9B14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3F023826"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330D75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13C297D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2B47445C"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1993</w:t>
            </w:r>
          </w:p>
        </w:tc>
      </w:tr>
      <w:tr w:rsidR="00632208" w:rsidRPr="0098635C" w14:paraId="0ABD387B"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6EB92E4"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066F041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38</w:t>
            </w:r>
          </w:p>
        </w:tc>
        <w:tc>
          <w:tcPr>
            <w:tcW w:w="1276" w:type="dxa"/>
            <w:tcBorders>
              <w:top w:val="single" w:sz="4" w:space="0" w:color="auto"/>
              <w:left w:val="nil"/>
              <w:bottom w:val="single" w:sz="4" w:space="0" w:color="auto"/>
              <w:right w:val="single" w:sz="8" w:space="0" w:color="auto"/>
            </w:tcBorders>
          </w:tcPr>
          <w:p w14:paraId="6BFD3A0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w:t>
            </w:r>
          </w:p>
        </w:tc>
        <w:tc>
          <w:tcPr>
            <w:tcW w:w="1417" w:type="dxa"/>
            <w:tcBorders>
              <w:top w:val="single" w:sz="4" w:space="0" w:color="auto"/>
              <w:left w:val="nil"/>
              <w:bottom w:val="single" w:sz="4" w:space="0" w:color="auto"/>
              <w:right w:val="single" w:sz="8" w:space="0" w:color="auto"/>
            </w:tcBorders>
          </w:tcPr>
          <w:p w14:paraId="6CA7FD8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03B6F05B"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C2F765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63DC236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0F45FB0F"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1993</w:t>
            </w:r>
          </w:p>
        </w:tc>
      </w:tr>
      <w:tr w:rsidR="00632208" w:rsidRPr="0098635C" w14:paraId="56614B67"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82C8BD8"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7FFDAA0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w:t>
            </w:r>
          </w:p>
        </w:tc>
        <w:tc>
          <w:tcPr>
            <w:tcW w:w="1276" w:type="dxa"/>
            <w:tcBorders>
              <w:top w:val="single" w:sz="4" w:space="0" w:color="auto"/>
              <w:left w:val="nil"/>
              <w:bottom w:val="single" w:sz="4" w:space="0" w:color="auto"/>
              <w:right w:val="single" w:sz="8" w:space="0" w:color="auto"/>
            </w:tcBorders>
          </w:tcPr>
          <w:p w14:paraId="41715A4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w:t>
            </w:r>
          </w:p>
        </w:tc>
        <w:tc>
          <w:tcPr>
            <w:tcW w:w="1417" w:type="dxa"/>
            <w:tcBorders>
              <w:top w:val="single" w:sz="4" w:space="0" w:color="auto"/>
              <w:left w:val="nil"/>
              <w:bottom w:val="single" w:sz="4" w:space="0" w:color="auto"/>
              <w:right w:val="single" w:sz="8" w:space="0" w:color="auto"/>
            </w:tcBorders>
          </w:tcPr>
          <w:p w14:paraId="34A0965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0FB3F421"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5A940C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4926BAE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6DDD1AFD"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1993</w:t>
            </w:r>
          </w:p>
        </w:tc>
      </w:tr>
      <w:tr w:rsidR="00632208" w:rsidRPr="0098635C" w14:paraId="714F77BC"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D96930B"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44940B0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46</w:t>
            </w:r>
          </w:p>
        </w:tc>
        <w:tc>
          <w:tcPr>
            <w:tcW w:w="1276" w:type="dxa"/>
            <w:tcBorders>
              <w:top w:val="single" w:sz="4" w:space="0" w:color="auto"/>
              <w:left w:val="nil"/>
              <w:bottom w:val="single" w:sz="4" w:space="0" w:color="auto"/>
              <w:right w:val="single" w:sz="8" w:space="0" w:color="auto"/>
            </w:tcBorders>
          </w:tcPr>
          <w:p w14:paraId="7E77D31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w:t>
            </w:r>
          </w:p>
        </w:tc>
        <w:tc>
          <w:tcPr>
            <w:tcW w:w="1417" w:type="dxa"/>
            <w:tcBorders>
              <w:top w:val="single" w:sz="4" w:space="0" w:color="auto"/>
              <w:left w:val="nil"/>
              <w:bottom w:val="single" w:sz="4" w:space="0" w:color="auto"/>
              <w:right w:val="single" w:sz="8" w:space="0" w:color="auto"/>
            </w:tcBorders>
          </w:tcPr>
          <w:p w14:paraId="55EA51D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195213A6"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CC894C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36008F7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4E8C240A"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1993</w:t>
            </w:r>
          </w:p>
        </w:tc>
      </w:tr>
      <w:tr w:rsidR="00632208" w:rsidRPr="0098635C" w14:paraId="659CAA84"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0B15AEA"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lastRenderedPageBreak/>
              <w:t>Daphnia magna</w:t>
            </w:r>
          </w:p>
        </w:tc>
        <w:tc>
          <w:tcPr>
            <w:tcW w:w="1134" w:type="dxa"/>
            <w:tcBorders>
              <w:top w:val="single" w:sz="4" w:space="0" w:color="auto"/>
              <w:left w:val="nil"/>
              <w:bottom w:val="single" w:sz="4" w:space="0" w:color="auto"/>
              <w:right w:val="single" w:sz="8" w:space="0" w:color="auto"/>
            </w:tcBorders>
          </w:tcPr>
          <w:p w14:paraId="7EF980F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50</w:t>
            </w:r>
          </w:p>
        </w:tc>
        <w:tc>
          <w:tcPr>
            <w:tcW w:w="1276" w:type="dxa"/>
            <w:tcBorders>
              <w:top w:val="single" w:sz="4" w:space="0" w:color="auto"/>
              <w:left w:val="nil"/>
              <w:bottom w:val="single" w:sz="4" w:space="0" w:color="auto"/>
              <w:right w:val="single" w:sz="8" w:space="0" w:color="auto"/>
            </w:tcBorders>
          </w:tcPr>
          <w:p w14:paraId="44D5B29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w:t>
            </w:r>
          </w:p>
        </w:tc>
        <w:tc>
          <w:tcPr>
            <w:tcW w:w="1417" w:type="dxa"/>
            <w:tcBorders>
              <w:top w:val="single" w:sz="4" w:space="0" w:color="auto"/>
              <w:left w:val="nil"/>
              <w:bottom w:val="single" w:sz="4" w:space="0" w:color="auto"/>
              <w:right w:val="single" w:sz="8" w:space="0" w:color="auto"/>
            </w:tcBorders>
          </w:tcPr>
          <w:p w14:paraId="5532091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7B930826"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2AC895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401EED2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7D7DFE96"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1993</w:t>
            </w:r>
          </w:p>
        </w:tc>
      </w:tr>
      <w:tr w:rsidR="00632208" w:rsidRPr="0098635C" w14:paraId="6F7094AA"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64664B1"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1591B2D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51</w:t>
            </w:r>
          </w:p>
        </w:tc>
        <w:tc>
          <w:tcPr>
            <w:tcW w:w="1276" w:type="dxa"/>
            <w:tcBorders>
              <w:top w:val="single" w:sz="4" w:space="0" w:color="auto"/>
              <w:left w:val="nil"/>
              <w:bottom w:val="single" w:sz="4" w:space="0" w:color="auto"/>
              <w:right w:val="single" w:sz="8" w:space="0" w:color="auto"/>
            </w:tcBorders>
          </w:tcPr>
          <w:p w14:paraId="1187BCF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w:t>
            </w:r>
          </w:p>
        </w:tc>
        <w:tc>
          <w:tcPr>
            <w:tcW w:w="1417" w:type="dxa"/>
            <w:tcBorders>
              <w:top w:val="single" w:sz="4" w:space="0" w:color="auto"/>
              <w:left w:val="nil"/>
              <w:bottom w:val="single" w:sz="4" w:space="0" w:color="auto"/>
              <w:right w:val="single" w:sz="8" w:space="0" w:color="auto"/>
            </w:tcBorders>
          </w:tcPr>
          <w:p w14:paraId="1F68890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085C8CDC"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1948ED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1B37B8E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43BE1D23"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1993</w:t>
            </w:r>
          </w:p>
        </w:tc>
      </w:tr>
      <w:tr w:rsidR="00632208" w:rsidRPr="0098635C" w14:paraId="1E5BFFFC"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D042C8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342C165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52</w:t>
            </w:r>
          </w:p>
        </w:tc>
        <w:tc>
          <w:tcPr>
            <w:tcW w:w="1276" w:type="dxa"/>
            <w:tcBorders>
              <w:top w:val="single" w:sz="4" w:space="0" w:color="auto"/>
              <w:left w:val="nil"/>
              <w:bottom w:val="single" w:sz="4" w:space="0" w:color="auto"/>
              <w:right w:val="single" w:sz="8" w:space="0" w:color="auto"/>
            </w:tcBorders>
          </w:tcPr>
          <w:p w14:paraId="1A61303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w:t>
            </w:r>
          </w:p>
        </w:tc>
        <w:tc>
          <w:tcPr>
            <w:tcW w:w="1417" w:type="dxa"/>
            <w:tcBorders>
              <w:top w:val="single" w:sz="4" w:space="0" w:color="auto"/>
              <w:left w:val="nil"/>
              <w:bottom w:val="single" w:sz="4" w:space="0" w:color="auto"/>
              <w:right w:val="single" w:sz="8" w:space="0" w:color="auto"/>
            </w:tcBorders>
          </w:tcPr>
          <w:p w14:paraId="1D8475F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7DAD79F6"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32CC34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674C972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005029B0"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1993</w:t>
            </w:r>
          </w:p>
        </w:tc>
      </w:tr>
      <w:tr w:rsidR="00632208" w:rsidRPr="0098635C" w14:paraId="6C733097" w14:textId="77777777" w:rsidTr="00982513">
        <w:trPr>
          <w:trHeight w:val="63"/>
        </w:trPr>
        <w:tc>
          <w:tcPr>
            <w:tcW w:w="2498" w:type="dxa"/>
            <w:tcBorders>
              <w:top w:val="single" w:sz="4" w:space="0" w:color="auto"/>
              <w:left w:val="double" w:sz="6" w:space="0" w:color="auto"/>
              <w:bottom w:val="single" w:sz="4" w:space="0" w:color="auto"/>
              <w:right w:val="single" w:sz="8" w:space="0" w:color="auto"/>
            </w:tcBorders>
          </w:tcPr>
          <w:p w14:paraId="4A781F1E"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7D4EAF7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58</w:t>
            </w:r>
          </w:p>
        </w:tc>
        <w:tc>
          <w:tcPr>
            <w:tcW w:w="1276" w:type="dxa"/>
            <w:tcBorders>
              <w:top w:val="single" w:sz="4" w:space="0" w:color="auto"/>
              <w:left w:val="nil"/>
              <w:bottom w:val="single" w:sz="4" w:space="0" w:color="auto"/>
              <w:right w:val="single" w:sz="8" w:space="0" w:color="auto"/>
            </w:tcBorders>
          </w:tcPr>
          <w:p w14:paraId="4EAD715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w:t>
            </w:r>
          </w:p>
        </w:tc>
        <w:tc>
          <w:tcPr>
            <w:tcW w:w="1417" w:type="dxa"/>
            <w:tcBorders>
              <w:top w:val="single" w:sz="4" w:space="0" w:color="auto"/>
              <w:left w:val="nil"/>
              <w:bottom w:val="single" w:sz="4" w:space="0" w:color="auto"/>
              <w:right w:val="single" w:sz="8" w:space="0" w:color="auto"/>
            </w:tcBorders>
          </w:tcPr>
          <w:p w14:paraId="6EE1269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4E92337D"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9CE2AE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5551FB9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452D0DB2"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1993</w:t>
            </w:r>
          </w:p>
        </w:tc>
      </w:tr>
      <w:tr w:rsidR="00632208" w:rsidRPr="0098635C" w14:paraId="0F97A8FC"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A1C0346"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3FB655F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63</w:t>
            </w:r>
          </w:p>
        </w:tc>
        <w:tc>
          <w:tcPr>
            <w:tcW w:w="1276" w:type="dxa"/>
            <w:tcBorders>
              <w:top w:val="single" w:sz="4" w:space="0" w:color="auto"/>
              <w:left w:val="nil"/>
              <w:bottom w:val="single" w:sz="4" w:space="0" w:color="auto"/>
              <w:right w:val="single" w:sz="8" w:space="0" w:color="auto"/>
            </w:tcBorders>
          </w:tcPr>
          <w:p w14:paraId="510DC8A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w:t>
            </w:r>
          </w:p>
        </w:tc>
        <w:tc>
          <w:tcPr>
            <w:tcW w:w="1417" w:type="dxa"/>
            <w:tcBorders>
              <w:top w:val="single" w:sz="4" w:space="0" w:color="auto"/>
              <w:left w:val="nil"/>
              <w:bottom w:val="single" w:sz="4" w:space="0" w:color="auto"/>
              <w:right w:val="single" w:sz="8" w:space="0" w:color="auto"/>
            </w:tcBorders>
          </w:tcPr>
          <w:p w14:paraId="18D70D7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0D2CC941"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A31847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170</w:t>
            </w:r>
          </w:p>
        </w:tc>
        <w:tc>
          <w:tcPr>
            <w:tcW w:w="1701" w:type="dxa"/>
            <w:tcBorders>
              <w:top w:val="single" w:sz="4" w:space="0" w:color="auto"/>
              <w:left w:val="nil"/>
              <w:bottom w:val="single" w:sz="4" w:space="0" w:color="auto"/>
              <w:right w:val="single" w:sz="8" w:space="0" w:color="auto"/>
            </w:tcBorders>
          </w:tcPr>
          <w:p w14:paraId="28B4093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1DD1AAF1" w14:textId="77777777" w:rsidR="00632208" w:rsidRPr="0098635C" w:rsidRDefault="00632208" w:rsidP="00A432B0">
            <w:pPr>
              <w:spacing w:after="0"/>
              <w:rPr>
                <w:color w:val="000000" w:themeColor="text1"/>
                <w:sz w:val="20"/>
                <w:szCs w:val="20"/>
              </w:rPr>
            </w:pPr>
            <w:r w:rsidRPr="0098635C">
              <w:rPr>
                <w:color w:val="000000" w:themeColor="text1"/>
                <w:sz w:val="20"/>
                <w:szCs w:val="20"/>
              </w:rPr>
              <w:t>Lazorchak, 1993</w:t>
            </w:r>
          </w:p>
        </w:tc>
      </w:tr>
      <w:tr w:rsidR="00632208" w:rsidRPr="0098635C" w14:paraId="7DD79EAA"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83A7F52"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Daphnia magna</w:t>
            </w:r>
          </w:p>
        </w:tc>
        <w:tc>
          <w:tcPr>
            <w:tcW w:w="1134" w:type="dxa"/>
            <w:tcBorders>
              <w:top w:val="single" w:sz="4" w:space="0" w:color="auto"/>
              <w:left w:val="nil"/>
              <w:bottom w:val="single" w:sz="4" w:space="0" w:color="auto"/>
              <w:right w:val="single" w:sz="8" w:space="0" w:color="auto"/>
            </w:tcBorders>
          </w:tcPr>
          <w:p w14:paraId="07335A5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31.8</w:t>
            </w:r>
          </w:p>
        </w:tc>
        <w:tc>
          <w:tcPr>
            <w:tcW w:w="1276" w:type="dxa"/>
            <w:tcBorders>
              <w:top w:val="single" w:sz="4" w:space="0" w:color="auto"/>
              <w:left w:val="nil"/>
              <w:bottom w:val="single" w:sz="4" w:space="0" w:color="auto"/>
              <w:right w:val="single" w:sz="8" w:space="0" w:color="auto"/>
            </w:tcBorders>
          </w:tcPr>
          <w:p w14:paraId="581D5E2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79B1A78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8.4</w:t>
            </w:r>
          </w:p>
        </w:tc>
        <w:tc>
          <w:tcPr>
            <w:tcW w:w="1276" w:type="dxa"/>
            <w:tcBorders>
              <w:top w:val="single" w:sz="4" w:space="0" w:color="auto"/>
              <w:left w:val="nil"/>
              <w:bottom w:val="single" w:sz="4" w:space="0" w:color="auto"/>
              <w:right w:val="single" w:sz="8" w:space="0" w:color="auto"/>
            </w:tcBorders>
          </w:tcPr>
          <w:p w14:paraId="2F74CA13"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E790143" w14:textId="77777777" w:rsidR="00632208" w:rsidRPr="0098635C" w:rsidRDefault="00632208" w:rsidP="00A432B0">
            <w:pPr>
              <w:spacing w:after="0"/>
              <w:jc w:val="center"/>
              <w:rPr>
                <w:color w:val="000000" w:themeColor="text1"/>
                <w:sz w:val="20"/>
                <w:szCs w:val="20"/>
              </w:rPr>
            </w:pPr>
          </w:p>
        </w:tc>
        <w:tc>
          <w:tcPr>
            <w:tcW w:w="1701" w:type="dxa"/>
            <w:tcBorders>
              <w:top w:val="single" w:sz="4" w:space="0" w:color="auto"/>
              <w:left w:val="nil"/>
              <w:bottom w:val="single" w:sz="4" w:space="0" w:color="auto"/>
              <w:right w:val="single" w:sz="8" w:space="0" w:color="auto"/>
            </w:tcBorders>
          </w:tcPr>
          <w:p w14:paraId="7332305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6774907B" w14:textId="77777777" w:rsidR="00632208" w:rsidRPr="0098635C" w:rsidRDefault="00632208" w:rsidP="00A432B0">
            <w:pPr>
              <w:spacing w:after="0"/>
              <w:rPr>
                <w:color w:val="000000" w:themeColor="text1"/>
                <w:sz w:val="20"/>
                <w:szCs w:val="20"/>
              </w:rPr>
            </w:pPr>
            <w:r w:rsidRPr="0098635C">
              <w:rPr>
                <w:color w:val="000000" w:themeColor="text1"/>
                <w:sz w:val="20"/>
                <w:szCs w:val="20"/>
              </w:rPr>
              <w:t>Borgmann and Ralph, 1983</w:t>
            </w:r>
          </w:p>
        </w:tc>
      </w:tr>
      <w:tr w:rsidR="00632208" w:rsidRPr="0098635C" w14:paraId="679CDD29"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3EED3BF"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Ceriodaphnia dubia</w:t>
            </w:r>
          </w:p>
        </w:tc>
        <w:tc>
          <w:tcPr>
            <w:tcW w:w="1134" w:type="dxa"/>
            <w:tcBorders>
              <w:top w:val="single" w:sz="4" w:space="0" w:color="auto"/>
              <w:left w:val="nil"/>
              <w:bottom w:val="single" w:sz="4" w:space="0" w:color="auto"/>
              <w:right w:val="single" w:sz="8" w:space="0" w:color="auto"/>
            </w:tcBorders>
          </w:tcPr>
          <w:p w14:paraId="0C3E271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66</w:t>
            </w:r>
          </w:p>
        </w:tc>
        <w:tc>
          <w:tcPr>
            <w:tcW w:w="1276" w:type="dxa"/>
            <w:tcBorders>
              <w:top w:val="single" w:sz="4" w:space="0" w:color="auto"/>
              <w:left w:val="nil"/>
              <w:bottom w:val="single" w:sz="4" w:space="0" w:color="auto"/>
              <w:right w:val="single" w:sz="8" w:space="0" w:color="auto"/>
            </w:tcBorders>
          </w:tcPr>
          <w:p w14:paraId="476F96D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1417" w:type="dxa"/>
            <w:tcBorders>
              <w:top w:val="single" w:sz="4" w:space="0" w:color="auto"/>
              <w:left w:val="nil"/>
              <w:bottom w:val="single" w:sz="4" w:space="0" w:color="auto"/>
              <w:right w:val="single" w:sz="8" w:space="0" w:color="auto"/>
            </w:tcBorders>
          </w:tcPr>
          <w:p w14:paraId="1EFABA5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13CBFF64"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4115A0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100</w:t>
            </w:r>
          </w:p>
        </w:tc>
        <w:tc>
          <w:tcPr>
            <w:tcW w:w="1701" w:type="dxa"/>
            <w:tcBorders>
              <w:top w:val="single" w:sz="4" w:space="0" w:color="auto"/>
              <w:left w:val="nil"/>
              <w:bottom w:val="single" w:sz="4" w:space="0" w:color="auto"/>
              <w:right w:val="single" w:sz="8" w:space="0" w:color="auto"/>
            </w:tcBorders>
          </w:tcPr>
          <w:p w14:paraId="78B66E1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09AA5C20" w14:textId="77777777" w:rsidR="00632208" w:rsidRPr="0098635C" w:rsidRDefault="00632208" w:rsidP="00A432B0">
            <w:pPr>
              <w:spacing w:after="0"/>
              <w:rPr>
                <w:color w:val="000000" w:themeColor="text1"/>
                <w:sz w:val="20"/>
                <w:szCs w:val="20"/>
              </w:rPr>
            </w:pPr>
            <w:r w:rsidRPr="0098635C">
              <w:rPr>
                <w:color w:val="000000" w:themeColor="text1"/>
                <w:sz w:val="20"/>
                <w:szCs w:val="20"/>
              </w:rPr>
              <w:t>Sphehar and Fiandt, 1985</w:t>
            </w:r>
          </w:p>
        </w:tc>
      </w:tr>
      <w:tr w:rsidR="00632208" w:rsidRPr="0098635C" w14:paraId="1B400006"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7DD6E2D"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Ceriodaphnia dubia</w:t>
            </w:r>
          </w:p>
        </w:tc>
        <w:tc>
          <w:tcPr>
            <w:tcW w:w="1134" w:type="dxa"/>
            <w:tcBorders>
              <w:top w:val="single" w:sz="4" w:space="0" w:color="auto"/>
              <w:left w:val="nil"/>
              <w:bottom w:val="single" w:sz="4" w:space="0" w:color="auto"/>
              <w:right w:val="single" w:sz="8" w:space="0" w:color="auto"/>
            </w:tcBorders>
          </w:tcPr>
          <w:p w14:paraId="54D866A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9.5</w:t>
            </w:r>
          </w:p>
        </w:tc>
        <w:tc>
          <w:tcPr>
            <w:tcW w:w="1276" w:type="dxa"/>
            <w:tcBorders>
              <w:top w:val="single" w:sz="4" w:space="0" w:color="auto"/>
              <w:left w:val="nil"/>
              <w:bottom w:val="single" w:sz="4" w:space="0" w:color="auto"/>
              <w:right w:val="single" w:sz="8" w:space="0" w:color="auto"/>
            </w:tcBorders>
          </w:tcPr>
          <w:p w14:paraId="0CE5DD6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1417" w:type="dxa"/>
            <w:tcBorders>
              <w:top w:val="single" w:sz="4" w:space="0" w:color="auto"/>
              <w:left w:val="nil"/>
              <w:bottom w:val="single" w:sz="4" w:space="0" w:color="auto"/>
              <w:right w:val="single" w:sz="8" w:space="0" w:color="auto"/>
            </w:tcBorders>
          </w:tcPr>
          <w:p w14:paraId="696B3A4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6.3</w:t>
            </w:r>
          </w:p>
        </w:tc>
        <w:tc>
          <w:tcPr>
            <w:tcW w:w="1276" w:type="dxa"/>
            <w:tcBorders>
              <w:top w:val="single" w:sz="4" w:space="0" w:color="auto"/>
              <w:left w:val="nil"/>
              <w:bottom w:val="single" w:sz="4" w:space="0" w:color="auto"/>
              <w:right w:val="single" w:sz="8" w:space="0" w:color="auto"/>
            </w:tcBorders>
          </w:tcPr>
          <w:p w14:paraId="51A8177A"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899810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290</w:t>
            </w:r>
          </w:p>
        </w:tc>
        <w:tc>
          <w:tcPr>
            <w:tcW w:w="1701" w:type="dxa"/>
            <w:tcBorders>
              <w:top w:val="single" w:sz="4" w:space="0" w:color="auto"/>
              <w:left w:val="nil"/>
              <w:bottom w:val="single" w:sz="4" w:space="0" w:color="auto"/>
              <w:right w:val="single" w:sz="8" w:space="0" w:color="auto"/>
            </w:tcBorders>
          </w:tcPr>
          <w:p w14:paraId="73F8D8D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2CA39962" w14:textId="77777777" w:rsidR="00632208" w:rsidRPr="0098635C" w:rsidRDefault="00632208" w:rsidP="00A432B0">
            <w:pPr>
              <w:spacing w:after="0"/>
              <w:rPr>
                <w:color w:val="000000" w:themeColor="text1"/>
                <w:sz w:val="20"/>
                <w:szCs w:val="20"/>
              </w:rPr>
            </w:pPr>
            <w:r w:rsidRPr="0098635C">
              <w:rPr>
                <w:color w:val="000000" w:themeColor="text1"/>
                <w:sz w:val="20"/>
                <w:szCs w:val="20"/>
              </w:rPr>
              <w:t>Schubauer-Berigan et al, 1993</w:t>
            </w:r>
          </w:p>
        </w:tc>
      </w:tr>
      <w:tr w:rsidR="00632208" w:rsidRPr="0098635C" w14:paraId="242FF6E0"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14D9B3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Ceriodaphnia dubia</w:t>
            </w:r>
          </w:p>
        </w:tc>
        <w:tc>
          <w:tcPr>
            <w:tcW w:w="1134" w:type="dxa"/>
            <w:tcBorders>
              <w:top w:val="single" w:sz="4" w:space="0" w:color="auto"/>
              <w:left w:val="nil"/>
              <w:bottom w:val="single" w:sz="4" w:space="0" w:color="auto"/>
              <w:right w:val="single" w:sz="8" w:space="0" w:color="auto"/>
            </w:tcBorders>
          </w:tcPr>
          <w:p w14:paraId="1948F0F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1276" w:type="dxa"/>
            <w:tcBorders>
              <w:top w:val="single" w:sz="4" w:space="0" w:color="auto"/>
              <w:left w:val="nil"/>
              <w:bottom w:val="single" w:sz="4" w:space="0" w:color="auto"/>
              <w:right w:val="single" w:sz="8" w:space="0" w:color="auto"/>
            </w:tcBorders>
          </w:tcPr>
          <w:p w14:paraId="1E51E97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1417" w:type="dxa"/>
            <w:tcBorders>
              <w:top w:val="single" w:sz="4" w:space="0" w:color="auto"/>
              <w:left w:val="nil"/>
              <w:bottom w:val="single" w:sz="4" w:space="0" w:color="auto"/>
              <w:right w:val="single" w:sz="8" w:space="0" w:color="auto"/>
            </w:tcBorders>
          </w:tcPr>
          <w:p w14:paraId="47771BA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7.3</w:t>
            </w:r>
          </w:p>
        </w:tc>
        <w:tc>
          <w:tcPr>
            <w:tcW w:w="1276" w:type="dxa"/>
            <w:tcBorders>
              <w:top w:val="single" w:sz="4" w:space="0" w:color="auto"/>
              <w:left w:val="nil"/>
              <w:bottom w:val="single" w:sz="4" w:space="0" w:color="auto"/>
              <w:right w:val="single" w:sz="8" w:space="0" w:color="auto"/>
            </w:tcBorders>
          </w:tcPr>
          <w:p w14:paraId="3F6C3FC0"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6D690C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290</w:t>
            </w:r>
          </w:p>
        </w:tc>
        <w:tc>
          <w:tcPr>
            <w:tcW w:w="1701" w:type="dxa"/>
            <w:tcBorders>
              <w:top w:val="single" w:sz="4" w:space="0" w:color="auto"/>
              <w:left w:val="nil"/>
              <w:bottom w:val="single" w:sz="4" w:space="0" w:color="auto"/>
              <w:right w:val="single" w:sz="8" w:space="0" w:color="auto"/>
            </w:tcBorders>
          </w:tcPr>
          <w:p w14:paraId="607BF41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0E4FBDC5" w14:textId="77777777" w:rsidR="00632208" w:rsidRPr="0098635C" w:rsidRDefault="00632208" w:rsidP="00A432B0">
            <w:pPr>
              <w:spacing w:after="0"/>
              <w:rPr>
                <w:color w:val="000000" w:themeColor="text1"/>
                <w:sz w:val="20"/>
                <w:szCs w:val="20"/>
              </w:rPr>
            </w:pPr>
            <w:r w:rsidRPr="0098635C">
              <w:rPr>
                <w:color w:val="000000" w:themeColor="text1"/>
                <w:sz w:val="20"/>
                <w:szCs w:val="20"/>
              </w:rPr>
              <w:t>Schubauer-Berigan et al, 1993</w:t>
            </w:r>
          </w:p>
        </w:tc>
      </w:tr>
      <w:tr w:rsidR="00632208" w:rsidRPr="0098635C" w14:paraId="6A2507F3"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F1EADB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Ceriodaphnia dubia</w:t>
            </w:r>
          </w:p>
        </w:tc>
        <w:tc>
          <w:tcPr>
            <w:tcW w:w="1134" w:type="dxa"/>
            <w:tcBorders>
              <w:top w:val="single" w:sz="4" w:space="0" w:color="auto"/>
              <w:left w:val="nil"/>
              <w:bottom w:val="single" w:sz="4" w:space="0" w:color="auto"/>
              <w:right w:val="single" w:sz="8" w:space="0" w:color="auto"/>
            </w:tcBorders>
          </w:tcPr>
          <w:p w14:paraId="36FB241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200</w:t>
            </w:r>
          </w:p>
        </w:tc>
        <w:tc>
          <w:tcPr>
            <w:tcW w:w="1276" w:type="dxa"/>
            <w:tcBorders>
              <w:top w:val="single" w:sz="4" w:space="0" w:color="auto"/>
              <w:left w:val="nil"/>
              <w:bottom w:val="single" w:sz="4" w:space="0" w:color="auto"/>
              <w:right w:val="single" w:sz="8" w:space="0" w:color="auto"/>
            </w:tcBorders>
          </w:tcPr>
          <w:p w14:paraId="5BA5562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1417" w:type="dxa"/>
            <w:tcBorders>
              <w:top w:val="single" w:sz="4" w:space="0" w:color="auto"/>
              <w:left w:val="nil"/>
              <w:bottom w:val="single" w:sz="4" w:space="0" w:color="auto"/>
              <w:right w:val="single" w:sz="8" w:space="0" w:color="auto"/>
            </w:tcBorders>
          </w:tcPr>
          <w:p w14:paraId="70E8274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8.3</w:t>
            </w:r>
          </w:p>
        </w:tc>
        <w:tc>
          <w:tcPr>
            <w:tcW w:w="1276" w:type="dxa"/>
            <w:tcBorders>
              <w:top w:val="single" w:sz="4" w:space="0" w:color="auto"/>
              <w:left w:val="nil"/>
              <w:bottom w:val="single" w:sz="4" w:space="0" w:color="auto"/>
              <w:right w:val="single" w:sz="8" w:space="0" w:color="auto"/>
            </w:tcBorders>
          </w:tcPr>
          <w:p w14:paraId="1536F52F"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868B64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290</w:t>
            </w:r>
          </w:p>
        </w:tc>
        <w:tc>
          <w:tcPr>
            <w:tcW w:w="1701" w:type="dxa"/>
            <w:tcBorders>
              <w:top w:val="single" w:sz="4" w:space="0" w:color="auto"/>
              <w:left w:val="nil"/>
              <w:bottom w:val="single" w:sz="4" w:space="0" w:color="auto"/>
              <w:right w:val="single" w:sz="8" w:space="0" w:color="auto"/>
            </w:tcBorders>
          </w:tcPr>
          <w:p w14:paraId="6424E5E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7695C149" w14:textId="77777777" w:rsidR="00632208" w:rsidRPr="0098635C" w:rsidRDefault="00632208" w:rsidP="00A432B0">
            <w:pPr>
              <w:spacing w:after="0"/>
              <w:rPr>
                <w:color w:val="000000" w:themeColor="text1"/>
                <w:sz w:val="20"/>
                <w:szCs w:val="20"/>
              </w:rPr>
            </w:pPr>
            <w:r w:rsidRPr="0098635C">
              <w:rPr>
                <w:color w:val="000000" w:themeColor="text1"/>
                <w:sz w:val="20"/>
                <w:szCs w:val="20"/>
              </w:rPr>
              <w:t>Schubauer-Berigan et al, 1993</w:t>
            </w:r>
          </w:p>
        </w:tc>
      </w:tr>
      <w:tr w:rsidR="00632208" w:rsidRPr="0098635C" w14:paraId="5938FEC7"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9AEEDFD"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Ceriodaphnia dubia</w:t>
            </w:r>
          </w:p>
        </w:tc>
        <w:tc>
          <w:tcPr>
            <w:tcW w:w="1134" w:type="dxa"/>
            <w:tcBorders>
              <w:top w:val="single" w:sz="4" w:space="0" w:color="auto"/>
              <w:left w:val="nil"/>
              <w:bottom w:val="single" w:sz="4" w:space="0" w:color="auto"/>
              <w:right w:val="single" w:sz="8" w:space="0" w:color="auto"/>
            </w:tcBorders>
          </w:tcPr>
          <w:p w14:paraId="36ECCE4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8.5</w:t>
            </w:r>
          </w:p>
        </w:tc>
        <w:tc>
          <w:tcPr>
            <w:tcW w:w="1276" w:type="dxa"/>
            <w:tcBorders>
              <w:top w:val="single" w:sz="4" w:space="0" w:color="auto"/>
              <w:left w:val="nil"/>
              <w:bottom w:val="single" w:sz="4" w:space="0" w:color="auto"/>
              <w:right w:val="single" w:sz="8" w:space="0" w:color="auto"/>
            </w:tcBorders>
          </w:tcPr>
          <w:p w14:paraId="35B2BC6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w:t>
            </w:r>
          </w:p>
        </w:tc>
        <w:tc>
          <w:tcPr>
            <w:tcW w:w="1417" w:type="dxa"/>
            <w:tcBorders>
              <w:top w:val="single" w:sz="4" w:space="0" w:color="auto"/>
              <w:left w:val="nil"/>
              <w:bottom w:val="single" w:sz="4" w:space="0" w:color="auto"/>
              <w:right w:val="single" w:sz="8" w:space="0" w:color="auto"/>
            </w:tcBorders>
          </w:tcPr>
          <w:p w14:paraId="24F1CAB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7.6</w:t>
            </w:r>
          </w:p>
        </w:tc>
        <w:tc>
          <w:tcPr>
            <w:tcW w:w="1276" w:type="dxa"/>
            <w:tcBorders>
              <w:top w:val="single" w:sz="4" w:space="0" w:color="auto"/>
              <w:left w:val="nil"/>
              <w:bottom w:val="single" w:sz="4" w:space="0" w:color="auto"/>
              <w:right w:val="single" w:sz="8" w:space="0" w:color="auto"/>
            </w:tcBorders>
          </w:tcPr>
          <w:p w14:paraId="6AFB1437"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D43693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85</w:t>
            </w:r>
          </w:p>
        </w:tc>
        <w:tc>
          <w:tcPr>
            <w:tcW w:w="1701" w:type="dxa"/>
            <w:tcBorders>
              <w:top w:val="single" w:sz="4" w:space="0" w:color="auto"/>
              <w:left w:val="nil"/>
              <w:bottom w:val="single" w:sz="4" w:space="0" w:color="auto"/>
              <w:right w:val="single" w:sz="8" w:space="0" w:color="auto"/>
            </w:tcBorders>
          </w:tcPr>
          <w:p w14:paraId="5E28E1F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617178ED" w14:textId="77777777" w:rsidR="00632208" w:rsidRPr="0098635C" w:rsidRDefault="00632208" w:rsidP="00A432B0">
            <w:pPr>
              <w:spacing w:after="0"/>
              <w:rPr>
                <w:color w:val="000000" w:themeColor="text1"/>
                <w:sz w:val="20"/>
                <w:szCs w:val="20"/>
              </w:rPr>
            </w:pPr>
            <w:r w:rsidRPr="0098635C">
              <w:rPr>
                <w:color w:val="000000" w:themeColor="text1"/>
                <w:sz w:val="20"/>
                <w:szCs w:val="20"/>
              </w:rPr>
              <w:t>Cerda and Olive, 1993</w:t>
            </w:r>
          </w:p>
        </w:tc>
      </w:tr>
      <w:tr w:rsidR="00632208" w:rsidRPr="0098635C" w14:paraId="51102E06"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A92FA98"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Ceriodaphnia dubia</w:t>
            </w:r>
          </w:p>
        </w:tc>
        <w:tc>
          <w:tcPr>
            <w:tcW w:w="1134" w:type="dxa"/>
            <w:tcBorders>
              <w:top w:val="single" w:sz="4" w:space="0" w:color="auto"/>
              <w:left w:val="nil"/>
              <w:bottom w:val="single" w:sz="4" w:space="0" w:color="auto"/>
              <w:right w:val="single" w:sz="8" w:space="0" w:color="auto"/>
            </w:tcBorders>
          </w:tcPr>
          <w:p w14:paraId="73A4A56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8.5</w:t>
            </w:r>
          </w:p>
        </w:tc>
        <w:tc>
          <w:tcPr>
            <w:tcW w:w="1276" w:type="dxa"/>
            <w:tcBorders>
              <w:top w:val="single" w:sz="4" w:space="0" w:color="auto"/>
              <w:left w:val="nil"/>
              <w:bottom w:val="single" w:sz="4" w:space="0" w:color="auto"/>
              <w:right w:val="single" w:sz="8" w:space="0" w:color="auto"/>
            </w:tcBorders>
          </w:tcPr>
          <w:p w14:paraId="0E6A814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w:t>
            </w:r>
          </w:p>
        </w:tc>
        <w:tc>
          <w:tcPr>
            <w:tcW w:w="1417" w:type="dxa"/>
            <w:tcBorders>
              <w:top w:val="single" w:sz="4" w:space="0" w:color="auto"/>
              <w:left w:val="nil"/>
              <w:bottom w:val="single" w:sz="4" w:space="0" w:color="auto"/>
              <w:right w:val="single" w:sz="8" w:space="0" w:color="auto"/>
            </w:tcBorders>
          </w:tcPr>
          <w:p w14:paraId="26EECD2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7.6</w:t>
            </w:r>
          </w:p>
        </w:tc>
        <w:tc>
          <w:tcPr>
            <w:tcW w:w="1276" w:type="dxa"/>
            <w:tcBorders>
              <w:top w:val="single" w:sz="4" w:space="0" w:color="auto"/>
              <w:left w:val="nil"/>
              <w:bottom w:val="single" w:sz="4" w:space="0" w:color="auto"/>
              <w:right w:val="single" w:sz="8" w:space="0" w:color="auto"/>
            </w:tcBorders>
          </w:tcPr>
          <w:p w14:paraId="324004EA"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D09590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85</w:t>
            </w:r>
          </w:p>
        </w:tc>
        <w:tc>
          <w:tcPr>
            <w:tcW w:w="1701" w:type="dxa"/>
            <w:tcBorders>
              <w:top w:val="single" w:sz="4" w:space="0" w:color="auto"/>
              <w:left w:val="nil"/>
              <w:bottom w:val="single" w:sz="4" w:space="0" w:color="auto"/>
              <w:right w:val="single" w:sz="8" w:space="0" w:color="auto"/>
            </w:tcBorders>
          </w:tcPr>
          <w:p w14:paraId="4AA8469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34A8F6C8" w14:textId="77777777" w:rsidR="00632208" w:rsidRPr="0098635C" w:rsidRDefault="00632208" w:rsidP="00A432B0">
            <w:pPr>
              <w:spacing w:after="0"/>
              <w:rPr>
                <w:color w:val="000000" w:themeColor="text1"/>
                <w:sz w:val="20"/>
                <w:szCs w:val="20"/>
              </w:rPr>
            </w:pPr>
            <w:r w:rsidRPr="0098635C">
              <w:rPr>
                <w:color w:val="000000" w:themeColor="text1"/>
                <w:sz w:val="20"/>
                <w:szCs w:val="20"/>
              </w:rPr>
              <w:t>Cerda and Olive, 1993</w:t>
            </w:r>
          </w:p>
        </w:tc>
      </w:tr>
      <w:tr w:rsidR="00632208" w:rsidRPr="0098635C" w14:paraId="7C310EFF"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4C26E1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Ceriodaphnia dubia</w:t>
            </w:r>
          </w:p>
        </w:tc>
        <w:tc>
          <w:tcPr>
            <w:tcW w:w="1134" w:type="dxa"/>
            <w:tcBorders>
              <w:top w:val="single" w:sz="4" w:space="0" w:color="auto"/>
              <w:left w:val="nil"/>
              <w:bottom w:val="single" w:sz="4" w:space="0" w:color="auto"/>
              <w:right w:val="single" w:sz="8" w:space="0" w:color="auto"/>
            </w:tcBorders>
          </w:tcPr>
          <w:p w14:paraId="6205BD3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10.8</w:t>
            </w:r>
          </w:p>
        </w:tc>
        <w:tc>
          <w:tcPr>
            <w:tcW w:w="1276" w:type="dxa"/>
            <w:tcBorders>
              <w:top w:val="single" w:sz="4" w:space="0" w:color="auto"/>
              <w:left w:val="nil"/>
              <w:bottom w:val="single" w:sz="4" w:space="0" w:color="auto"/>
              <w:right w:val="single" w:sz="8" w:space="0" w:color="auto"/>
            </w:tcBorders>
          </w:tcPr>
          <w:p w14:paraId="11380F6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w:t>
            </w:r>
          </w:p>
        </w:tc>
        <w:tc>
          <w:tcPr>
            <w:tcW w:w="1417" w:type="dxa"/>
            <w:tcBorders>
              <w:top w:val="single" w:sz="4" w:space="0" w:color="auto"/>
              <w:left w:val="nil"/>
              <w:bottom w:val="single" w:sz="4" w:space="0" w:color="auto"/>
              <w:right w:val="single" w:sz="8" w:space="0" w:color="auto"/>
            </w:tcBorders>
          </w:tcPr>
          <w:p w14:paraId="2EB33C3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7.6</w:t>
            </w:r>
          </w:p>
        </w:tc>
        <w:tc>
          <w:tcPr>
            <w:tcW w:w="1276" w:type="dxa"/>
            <w:tcBorders>
              <w:top w:val="single" w:sz="4" w:space="0" w:color="auto"/>
              <w:left w:val="nil"/>
              <w:bottom w:val="single" w:sz="4" w:space="0" w:color="auto"/>
              <w:right w:val="single" w:sz="8" w:space="0" w:color="auto"/>
            </w:tcBorders>
          </w:tcPr>
          <w:p w14:paraId="2D197EAB"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61D2F8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85</w:t>
            </w:r>
          </w:p>
        </w:tc>
        <w:tc>
          <w:tcPr>
            <w:tcW w:w="1701" w:type="dxa"/>
            <w:tcBorders>
              <w:top w:val="single" w:sz="4" w:space="0" w:color="auto"/>
              <w:left w:val="nil"/>
              <w:bottom w:val="single" w:sz="4" w:space="0" w:color="auto"/>
              <w:right w:val="single" w:sz="8" w:space="0" w:color="auto"/>
            </w:tcBorders>
          </w:tcPr>
          <w:p w14:paraId="68B60E5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2B51CCF8" w14:textId="77777777" w:rsidR="00632208" w:rsidRPr="0098635C" w:rsidRDefault="00632208" w:rsidP="00A432B0">
            <w:pPr>
              <w:spacing w:after="0"/>
              <w:rPr>
                <w:color w:val="000000" w:themeColor="text1"/>
                <w:sz w:val="20"/>
                <w:szCs w:val="20"/>
              </w:rPr>
            </w:pPr>
            <w:r w:rsidRPr="0098635C">
              <w:rPr>
                <w:color w:val="000000" w:themeColor="text1"/>
                <w:sz w:val="20"/>
                <w:szCs w:val="20"/>
              </w:rPr>
              <w:t>Cerda and Olive, 1993</w:t>
            </w:r>
          </w:p>
        </w:tc>
      </w:tr>
      <w:tr w:rsidR="00632208" w:rsidRPr="0098635C" w14:paraId="23A9591F"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11942BA"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Ceriodaphnia dubia</w:t>
            </w:r>
          </w:p>
        </w:tc>
        <w:tc>
          <w:tcPr>
            <w:tcW w:w="1134" w:type="dxa"/>
            <w:tcBorders>
              <w:top w:val="single" w:sz="4" w:space="0" w:color="auto"/>
              <w:left w:val="nil"/>
              <w:bottom w:val="single" w:sz="4" w:space="0" w:color="auto"/>
              <w:right w:val="single" w:sz="8" w:space="0" w:color="auto"/>
            </w:tcBorders>
          </w:tcPr>
          <w:p w14:paraId="4121973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10.8</w:t>
            </w:r>
          </w:p>
        </w:tc>
        <w:tc>
          <w:tcPr>
            <w:tcW w:w="1276" w:type="dxa"/>
            <w:tcBorders>
              <w:top w:val="single" w:sz="4" w:space="0" w:color="auto"/>
              <w:left w:val="nil"/>
              <w:bottom w:val="single" w:sz="4" w:space="0" w:color="auto"/>
              <w:right w:val="single" w:sz="8" w:space="0" w:color="auto"/>
            </w:tcBorders>
          </w:tcPr>
          <w:p w14:paraId="40B3C57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w:t>
            </w:r>
          </w:p>
        </w:tc>
        <w:tc>
          <w:tcPr>
            <w:tcW w:w="1417" w:type="dxa"/>
            <w:tcBorders>
              <w:top w:val="single" w:sz="4" w:space="0" w:color="auto"/>
              <w:left w:val="nil"/>
              <w:bottom w:val="single" w:sz="4" w:space="0" w:color="auto"/>
              <w:right w:val="single" w:sz="8" w:space="0" w:color="auto"/>
            </w:tcBorders>
          </w:tcPr>
          <w:p w14:paraId="4BAA73E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7.6</w:t>
            </w:r>
          </w:p>
        </w:tc>
        <w:tc>
          <w:tcPr>
            <w:tcW w:w="1276" w:type="dxa"/>
            <w:tcBorders>
              <w:top w:val="single" w:sz="4" w:space="0" w:color="auto"/>
              <w:left w:val="nil"/>
              <w:bottom w:val="single" w:sz="4" w:space="0" w:color="auto"/>
              <w:right w:val="single" w:sz="8" w:space="0" w:color="auto"/>
            </w:tcBorders>
          </w:tcPr>
          <w:p w14:paraId="652CC49F"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17FFCF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85</w:t>
            </w:r>
          </w:p>
        </w:tc>
        <w:tc>
          <w:tcPr>
            <w:tcW w:w="1701" w:type="dxa"/>
            <w:tcBorders>
              <w:top w:val="single" w:sz="4" w:space="0" w:color="auto"/>
              <w:left w:val="nil"/>
              <w:bottom w:val="single" w:sz="4" w:space="0" w:color="auto"/>
              <w:right w:val="single" w:sz="8" w:space="0" w:color="auto"/>
            </w:tcBorders>
          </w:tcPr>
          <w:p w14:paraId="2617D36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7B165AE1" w14:textId="77777777" w:rsidR="00632208" w:rsidRPr="0098635C" w:rsidRDefault="00632208" w:rsidP="00A432B0">
            <w:pPr>
              <w:spacing w:after="0"/>
              <w:rPr>
                <w:color w:val="000000" w:themeColor="text1"/>
                <w:sz w:val="20"/>
                <w:szCs w:val="20"/>
              </w:rPr>
            </w:pPr>
            <w:r w:rsidRPr="0098635C">
              <w:rPr>
                <w:color w:val="000000" w:themeColor="text1"/>
                <w:sz w:val="20"/>
                <w:szCs w:val="20"/>
              </w:rPr>
              <w:t>Cerda and Olive, 1993</w:t>
            </w:r>
          </w:p>
        </w:tc>
      </w:tr>
      <w:tr w:rsidR="00632208" w:rsidRPr="0098635C" w14:paraId="090E207A"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2CCC15F"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Ceriodaphnia dubia</w:t>
            </w:r>
          </w:p>
        </w:tc>
        <w:tc>
          <w:tcPr>
            <w:tcW w:w="1134" w:type="dxa"/>
            <w:tcBorders>
              <w:top w:val="single" w:sz="4" w:space="0" w:color="auto"/>
              <w:left w:val="nil"/>
              <w:bottom w:val="single" w:sz="4" w:space="0" w:color="auto"/>
              <w:right w:val="single" w:sz="8" w:space="0" w:color="auto"/>
            </w:tcBorders>
          </w:tcPr>
          <w:p w14:paraId="74231B7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36.9</w:t>
            </w:r>
          </w:p>
        </w:tc>
        <w:tc>
          <w:tcPr>
            <w:tcW w:w="1276" w:type="dxa"/>
            <w:tcBorders>
              <w:top w:val="single" w:sz="4" w:space="0" w:color="auto"/>
              <w:left w:val="nil"/>
              <w:bottom w:val="single" w:sz="4" w:space="0" w:color="auto"/>
              <w:right w:val="single" w:sz="8" w:space="0" w:color="auto"/>
            </w:tcBorders>
          </w:tcPr>
          <w:p w14:paraId="01E0DEA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w:t>
            </w:r>
          </w:p>
        </w:tc>
        <w:tc>
          <w:tcPr>
            <w:tcW w:w="1417" w:type="dxa"/>
            <w:tcBorders>
              <w:top w:val="single" w:sz="4" w:space="0" w:color="auto"/>
              <w:left w:val="nil"/>
              <w:bottom w:val="single" w:sz="4" w:space="0" w:color="auto"/>
              <w:right w:val="single" w:sz="8" w:space="0" w:color="auto"/>
            </w:tcBorders>
          </w:tcPr>
          <w:p w14:paraId="2AC95D7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7.6</w:t>
            </w:r>
          </w:p>
        </w:tc>
        <w:tc>
          <w:tcPr>
            <w:tcW w:w="1276" w:type="dxa"/>
            <w:tcBorders>
              <w:top w:val="single" w:sz="4" w:space="0" w:color="auto"/>
              <w:left w:val="nil"/>
              <w:bottom w:val="single" w:sz="4" w:space="0" w:color="auto"/>
              <w:right w:val="single" w:sz="8" w:space="0" w:color="auto"/>
            </w:tcBorders>
          </w:tcPr>
          <w:p w14:paraId="0A147B8D"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ED4935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85</w:t>
            </w:r>
          </w:p>
        </w:tc>
        <w:tc>
          <w:tcPr>
            <w:tcW w:w="1701" w:type="dxa"/>
            <w:tcBorders>
              <w:top w:val="single" w:sz="4" w:space="0" w:color="auto"/>
              <w:left w:val="nil"/>
              <w:bottom w:val="single" w:sz="4" w:space="0" w:color="auto"/>
              <w:right w:val="single" w:sz="8" w:space="0" w:color="auto"/>
            </w:tcBorders>
          </w:tcPr>
          <w:p w14:paraId="4C2600A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68F48E90" w14:textId="77777777" w:rsidR="00632208" w:rsidRPr="0098635C" w:rsidRDefault="00632208" w:rsidP="00A432B0">
            <w:pPr>
              <w:spacing w:after="0"/>
              <w:rPr>
                <w:color w:val="000000" w:themeColor="text1"/>
                <w:sz w:val="20"/>
                <w:szCs w:val="20"/>
              </w:rPr>
            </w:pPr>
            <w:r w:rsidRPr="0098635C">
              <w:rPr>
                <w:color w:val="000000" w:themeColor="text1"/>
                <w:sz w:val="20"/>
                <w:szCs w:val="20"/>
              </w:rPr>
              <w:t>Cerda and Olive, 1993</w:t>
            </w:r>
          </w:p>
        </w:tc>
      </w:tr>
      <w:tr w:rsidR="00632208" w:rsidRPr="0098635C" w14:paraId="1C61727D"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E00ACF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Ceriodaphnia dubia</w:t>
            </w:r>
          </w:p>
        </w:tc>
        <w:tc>
          <w:tcPr>
            <w:tcW w:w="1134" w:type="dxa"/>
            <w:tcBorders>
              <w:top w:val="single" w:sz="4" w:space="0" w:color="auto"/>
              <w:left w:val="nil"/>
              <w:bottom w:val="single" w:sz="4" w:space="0" w:color="auto"/>
              <w:right w:val="single" w:sz="8" w:space="0" w:color="auto"/>
            </w:tcBorders>
          </w:tcPr>
          <w:p w14:paraId="7AF7F52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w:t>
            </w:r>
          </w:p>
        </w:tc>
        <w:tc>
          <w:tcPr>
            <w:tcW w:w="1276" w:type="dxa"/>
            <w:tcBorders>
              <w:top w:val="single" w:sz="4" w:space="0" w:color="auto"/>
              <w:left w:val="nil"/>
              <w:bottom w:val="single" w:sz="4" w:space="0" w:color="auto"/>
              <w:right w:val="single" w:sz="8" w:space="0" w:color="auto"/>
            </w:tcBorders>
          </w:tcPr>
          <w:p w14:paraId="1585351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w:t>
            </w:r>
          </w:p>
        </w:tc>
        <w:tc>
          <w:tcPr>
            <w:tcW w:w="1417" w:type="dxa"/>
            <w:tcBorders>
              <w:top w:val="single" w:sz="4" w:space="0" w:color="auto"/>
              <w:left w:val="nil"/>
              <w:bottom w:val="single" w:sz="4" w:space="0" w:color="auto"/>
              <w:right w:val="single" w:sz="8" w:space="0" w:color="auto"/>
            </w:tcBorders>
          </w:tcPr>
          <w:p w14:paraId="325244F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7.6</w:t>
            </w:r>
          </w:p>
        </w:tc>
        <w:tc>
          <w:tcPr>
            <w:tcW w:w="1276" w:type="dxa"/>
            <w:tcBorders>
              <w:top w:val="single" w:sz="4" w:space="0" w:color="auto"/>
              <w:left w:val="nil"/>
              <w:bottom w:val="single" w:sz="4" w:space="0" w:color="auto"/>
              <w:right w:val="single" w:sz="8" w:space="0" w:color="auto"/>
            </w:tcBorders>
          </w:tcPr>
          <w:p w14:paraId="192C8582"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C0A948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85</w:t>
            </w:r>
          </w:p>
        </w:tc>
        <w:tc>
          <w:tcPr>
            <w:tcW w:w="1701" w:type="dxa"/>
            <w:tcBorders>
              <w:top w:val="single" w:sz="4" w:space="0" w:color="auto"/>
              <w:left w:val="nil"/>
              <w:bottom w:val="single" w:sz="4" w:space="0" w:color="auto"/>
              <w:right w:val="single" w:sz="8" w:space="0" w:color="auto"/>
            </w:tcBorders>
          </w:tcPr>
          <w:p w14:paraId="1CF10A1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661DB2CE" w14:textId="77777777" w:rsidR="00632208" w:rsidRPr="0098635C" w:rsidRDefault="00632208" w:rsidP="00A432B0">
            <w:pPr>
              <w:spacing w:after="0"/>
              <w:rPr>
                <w:color w:val="000000" w:themeColor="text1"/>
                <w:sz w:val="20"/>
                <w:szCs w:val="20"/>
              </w:rPr>
            </w:pPr>
            <w:r w:rsidRPr="0098635C">
              <w:rPr>
                <w:color w:val="000000" w:themeColor="text1"/>
                <w:sz w:val="20"/>
                <w:szCs w:val="20"/>
              </w:rPr>
              <w:t>Cerda and Olive, 1993</w:t>
            </w:r>
          </w:p>
        </w:tc>
      </w:tr>
      <w:tr w:rsidR="00632208" w:rsidRPr="0098635C" w14:paraId="2E9AC376"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171DD3B"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Ceriodaphnia dubia</w:t>
            </w:r>
          </w:p>
        </w:tc>
        <w:tc>
          <w:tcPr>
            <w:tcW w:w="1134" w:type="dxa"/>
            <w:tcBorders>
              <w:top w:val="single" w:sz="4" w:space="0" w:color="auto"/>
              <w:left w:val="nil"/>
              <w:bottom w:val="single" w:sz="4" w:space="0" w:color="auto"/>
              <w:right w:val="single" w:sz="8" w:space="0" w:color="auto"/>
            </w:tcBorders>
          </w:tcPr>
          <w:p w14:paraId="684106A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46.9</w:t>
            </w:r>
          </w:p>
        </w:tc>
        <w:tc>
          <w:tcPr>
            <w:tcW w:w="1276" w:type="dxa"/>
            <w:tcBorders>
              <w:top w:val="single" w:sz="4" w:space="0" w:color="auto"/>
              <w:left w:val="nil"/>
              <w:bottom w:val="single" w:sz="4" w:space="0" w:color="auto"/>
              <w:right w:val="single" w:sz="8" w:space="0" w:color="auto"/>
            </w:tcBorders>
          </w:tcPr>
          <w:p w14:paraId="21A86BC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w:t>
            </w:r>
          </w:p>
        </w:tc>
        <w:tc>
          <w:tcPr>
            <w:tcW w:w="1417" w:type="dxa"/>
            <w:tcBorders>
              <w:top w:val="single" w:sz="4" w:space="0" w:color="auto"/>
              <w:left w:val="nil"/>
              <w:bottom w:val="single" w:sz="4" w:space="0" w:color="auto"/>
              <w:right w:val="single" w:sz="8" w:space="0" w:color="auto"/>
            </w:tcBorders>
          </w:tcPr>
          <w:p w14:paraId="553AFBC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7.6</w:t>
            </w:r>
          </w:p>
        </w:tc>
        <w:tc>
          <w:tcPr>
            <w:tcW w:w="1276" w:type="dxa"/>
            <w:tcBorders>
              <w:top w:val="single" w:sz="4" w:space="0" w:color="auto"/>
              <w:left w:val="nil"/>
              <w:bottom w:val="single" w:sz="4" w:space="0" w:color="auto"/>
              <w:right w:val="single" w:sz="8" w:space="0" w:color="auto"/>
            </w:tcBorders>
          </w:tcPr>
          <w:p w14:paraId="52DA806C"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37D9BB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85</w:t>
            </w:r>
          </w:p>
        </w:tc>
        <w:tc>
          <w:tcPr>
            <w:tcW w:w="1701" w:type="dxa"/>
            <w:tcBorders>
              <w:top w:val="single" w:sz="4" w:space="0" w:color="auto"/>
              <w:left w:val="nil"/>
              <w:bottom w:val="single" w:sz="4" w:space="0" w:color="auto"/>
              <w:right w:val="single" w:sz="8" w:space="0" w:color="auto"/>
            </w:tcBorders>
          </w:tcPr>
          <w:p w14:paraId="24CC2F6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48423291" w14:textId="77777777" w:rsidR="00632208" w:rsidRPr="0098635C" w:rsidRDefault="00632208" w:rsidP="00A432B0">
            <w:pPr>
              <w:spacing w:after="0"/>
              <w:rPr>
                <w:color w:val="000000" w:themeColor="text1"/>
                <w:sz w:val="20"/>
                <w:szCs w:val="20"/>
              </w:rPr>
            </w:pPr>
            <w:r w:rsidRPr="0098635C">
              <w:rPr>
                <w:color w:val="000000" w:themeColor="text1"/>
                <w:sz w:val="20"/>
                <w:szCs w:val="20"/>
              </w:rPr>
              <w:t>Cerda and Olive, 1993</w:t>
            </w:r>
          </w:p>
        </w:tc>
      </w:tr>
      <w:tr w:rsidR="00632208" w:rsidRPr="0098635C" w14:paraId="58C4AEC8"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2495718"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Ceriodaphnia dubia</w:t>
            </w:r>
          </w:p>
        </w:tc>
        <w:tc>
          <w:tcPr>
            <w:tcW w:w="1134" w:type="dxa"/>
            <w:tcBorders>
              <w:top w:val="single" w:sz="4" w:space="0" w:color="auto"/>
              <w:left w:val="nil"/>
              <w:bottom w:val="single" w:sz="4" w:space="0" w:color="auto"/>
              <w:right w:val="single" w:sz="8" w:space="0" w:color="auto"/>
            </w:tcBorders>
          </w:tcPr>
          <w:p w14:paraId="529EE34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46.3</w:t>
            </w:r>
          </w:p>
        </w:tc>
        <w:tc>
          <w:tcPr>
            <w:tcW w:w="1276" w:type="dxa"/>
            <w:tcBorders>
              <w:top w:val="single" w:sz="4" w:space="0" w:color="auto"/>
              <w:left w:val="nil"/>
              <w:bottom w:val="single" w:sz="4" w:space="0" w:color="auto"/>
              <w:right w:val="single" w:sz="8" w:space="0" w:color="auto"/>
            </w:tcBorders>
          </w:tcPr>
          <w:p w14:paraId="3482C19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w:t>
            </w:r>
          </w:p>
        </w:tc>
        <w:tc>
          <w:tcPr>
            <w:tcW w:w="1417" w:type="dxa"/>
            <w:tcBorders>
              <w:top w:val="single" w:sz="4" w:space="0" w:color="auto"/>
              <w:left w:val="nil"/>
              <w:bottom w:val="single" w:sz="4" w:space="0" w:color="auto"/>
              <w:right w:val="single" w:sz="8" w:space="0" w:color="auto"/>
            </w:tcBorders>
          </w:tcPr>
          <w:p w14:paraId="174891D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7.6</w:t>
            </w:r>
          </w:p>
        </w:tc>
        <w:tc>
          <w:tcPr>
            <w:tcW w:w="1276" w:type="dxa"/>
            <w:tcBorders>
              <w:top w:val="single" w:sz="4" w:space="0" w:color="auto"/>
              <w:left w:val="nil"/>
              <w:bottom w:val="single" w:sz="4" w:space="0" w:color="auto"/>
              <w:right w:val="single" w:sz="8" w:space="0" w:color="auto"/>
            </w:tcBorders>
          </w:tcPr>
          <w:p w14:paraId="560EFD54"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81969C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85</w:t>
            </w:r>
          </w:p>
        </w:tc>
        <w:tc>
          <w:tcPr>
            <w:tcW w:w="1701" w:type="dxa"/>
            <w:tcBorders>
              <w:top w:val="single" w:sz="4" w:space="0" w:color="auto"/>
              <w:left w:val="nil"/>
              <w:bottom w:val="single" w:sz="4" w:space="0" w:color="auto"/>
              <w:right w:val="single" w:sz="8" w:space="0" w:color="auto"/>
            </w:tcBorders>
          </w:tcPr>
          <w:p w14:paraId="21FB4D6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40D57A61" w14:textId="77777777" w:rsidR="00632208" w:rsidRPr="0098635C" w:rsidRDefault="00632208" w:rsidP="00A432B0">
            <w:pPr>
              <w:spacing w:after="0"/>
              <w:rPr>
                <w:color w:val="000000" w:themeColor="text1"/>
                <w:sz w:val="20"/>
                <w:szCs w:val="20"/>
              </w:rPr>
            </w:pPr>
            <w:r w:rsidRPr="0098635C">
              <w:rPr>
                <w:color w:val="000000" w:themeColor="text1"/>
                <w:sz w:val="20"/>
                <w:szCs w:val="20"/>
              </w:rPr>
              <w:t>Cerda and Olive, 1993</w:t>
            </w:r>
          </w:p>
        </w:tc>
      </w:tr>
      <w:tr w:rsidR="00632208" w:rsidRPr="0098635C" w14:paraId="186B8796" w14:textId="77777777" w:rsidTr="00982513">
        <w:trPr>
          <w:trHeight w:val="63"/>
        </w:trPr>
        <w:tc>
          <w:tcPr>
            <w:tcW w:w="2498" w:type="dxa"/>
            <w:tcBorders>
              <w:top w:val="single" w:sz="4" w:space="0" w:color="auto"/>
              <w:left w:val="double" w:sz="6" w:space="0" w:color="auto"/>
              <w:bottom w:val="single" w:sz="4" w:space="0" w:color="auto"/>
              <w:right w:val="single" w:sz="8" w:space="0" w:color="auto"/>
            </w:tcBorders>
          </w:tcPr>
          <w:p w14:paraId="0C721CCE"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Ceriodaphnia dubia</w:t>
            </w:r>
          </w:p>
        </w:tc>
        <w:tc>
          <w:tcPr>
            <w:tcW w:w="1134" w:type="dxa"/>
            <w:tcBorders>
              <w:top w:val="single" w:sz="4" w:space="0" w:color="auto"/>
              <w:left w:val="nil"/>
              <w:bottom w:val="single" w:sz="4" w:space="0" w:color="auto"/>
              <w:right w:val="single" w:sz="8" w:space="0" w:color="auto"/>
            </w:tcBorders>
          </w:tcPr>
          <w:p w14:paraId="10C7BEC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14</w:t>
            </w:r>
          </w:p>
        </w:tc>
        <w:tc>
          <w:tcPr>
            <w:tcW w:w="1276" w:type="dxa"/>
            <w:tcBorders>
              <w:top w:val="single" w:sz="4" w:space="0" w:color="auto"/>
              <w:left w:val="nil"/>
              <w:bottom w:val="single" w:sz="4" w:space="0" w:color="auto"/>
              <w:right w:val="single" w:sz="8" w:space="0" w:color="auto"/>
            </w:tcBorders>
          </w:tcPr>
          <w:p w14:paraId="59EE13F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1417" w:type="dxa"/>
            <w:tcBorders>
              <w:top w:val="single" w:sz="4" w:space="0" w:color="auto"/>
              <w:left w:val="nil"/>
              <w:bottom w:val="single" w:sz="4" w:space="0" w:color="auto"/>
              <w:right w:val="single" w:sz="8" w:space="0" w:color="auto"/>
            </w:tcBorders>
          </w:tcPr>
          <w:p w14:paraId="1D80850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6.0</w:t>
            </w:r>
          </w:p>
        </w:tc>
        <w:tc>
          <w:tcPr>
            <w:tcW w:w="1276" w:type="dxa"/>
            <w:tcBorders>
              <w:top w:val="single" w:sz="4" w:space="0" w:color="auto"/>
              <w:left w:val="nil"/>
              <w:bottom w:val="single" w:sz="4" w:space="0" w:color="auto"/>
              <w:right w:val="single" w:sz="8" w:space="0" w:color="auto"/>
            </w:tcBorders>
          </w:tcPr>
          <w:p w14:paraId="667C5461"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2.9 (2)</w:t>
            </w:r>
          </w:p>
        </w:tc>
        <w:tc>
          <w:tcPr>
            <w:tcW w:w="2126" w:type="dxa"/>
            <w:tcBorders>
              <w:top w:val="single" w:sz="4" w:space="0" w:color="auto"/>
              <w:left w:val="nil"/>
              <w:bottom w:val="single" w:sz="4" w:space="0" w:color="auto"/>
              <w:right w:val="single" w:sz="8" w:space="0" w:color="auto"/>
            </w:tcBorders>
          </w:tcPr>
          <w:p w14:paraId="4ABDEA3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97.6</w:t>
            </w:r>
          </w:p>
        </w:tc>
        <w:tc>
          <w:tcPr>
            <w:tcW w:w="1701" w:type="dxa"/>
            <w:tcBorders>
              <w:top w:val="single" w:sz="4" w:space="0" w:color="auto"/>
              <w:left w:val="nil"/>
              <w:bottom w:val="single" w:sz="4" w:space="0" w:color="auto"/>
              <w:right w:val="single" w:sz="8" w:space="0" w:color="auto"/>
            </w:tcBorders>
          </w:tcPr>
          <w:p w14:paraId="72CF768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1C021EFD" w14:textId="77777777" w:rsidR="00632208" w:rsidRPr="0098635C" w:rsidRDefault="00632208" w:rsidP="00A432B0">
            <w:pPr>
              <w:spacing w:after="0"/>
              <w:rPr>
                <w:color w:val="000000" w:themeColor="text1"/>
                <w:sz w:val="20"/>
                <w:szCs w:val="20"/>
              </w:rPr>
            </w:pPr>
            <w:r w:rsidRPr="0098635C">
              <w:rPr>
                <w:color w:val="000000" w:themeColor="text1"/>
                <w:sz w:val="20"/>
                <w:szCs w:val="20"/>
              </w:rPr>
              <w:t>Belanger and Cherry, 1990</w:t>
            </w:r>
          </w:p>
        </w:tc>
      </w:tr>
      <w:tr w:rsidR="00632208" w:rsidRPr="0098635C" w14:paraId="4D54B903"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03D3764"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lastRenderedPageBreak/>
              <w:t>Ceriodaphnia dubia</w:t>
            </w:r>
          </w:p>
        </w:tc>
        <w:tc>
          <w:tcPr>
            <w:tcW w:w="1134" w:type="dxa"/>
            <w:tcBorders>
              <w:top w:val="single" w:sz="4" w:space="0" w:color="auto"/>
              <w:left w:val="nil"/>
              <w:bottom w:val="single" w:sz="4" w:space="0" w:color="auto"/>
              <w:right w:val="single" w:sz="8" w:space="0" w:color="auto"/>
            </w:tcBorders>
          </w:tcPr>
          <w:p w14:paraId="7782F67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52</w:t>
            </w:r>
          </w:p>
        </w:tc>
        <w:tc>
          <w:tcPr>
            <w:tcW w:w="1276" w:type="dxa"/>
            <w:tcBorders>
              <w:top w:val="single" w:sz="4" w:space="0" w:color="auto"/>
              <w:left w:val="nil"/>
              <w:bottom w:val="single" w:sz="4" w:space="0" w:color="auto"/>
              <w:right w:val="single" w:sz="8" w:space="0" w:color="auto"/>
            </w:tcBorders>
          </w:tcPr>
          <w:p w14:paraId="7636AFF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1417" w:type="dxa"/>
            <w:tcBorders>
              <w:top w:val="single" w:sz="4" w:space="0" w:color="auto"/>
              <w:left w:val="nil"/>
              <w:bottom w:val="single" w:sz="4" w:space="0" w:color="auto"/>
              <w:right w:val="single" w:sz="8" w:space="0" w:color="auto"/>
            </w:tcBorders>
          </w:tcPr>
          <w:p w14:paraId="2B09642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6.0</w:t>
            </w:r>
          </w:p>
        </w:tc>
        <w:tc>
          <w:tcPr>
            <w:tcW w:w="1276" w:type="dxa"/>
            <w:tcBorders>
              <w:top w:val="single" w:sz="4" w:space="0" w:color="auto"/>
              <w:left w:val="nil"/>
              <w:bottom w:val="single" w:sz="4" w:space="0" w:color="auto"/>
              <w:right w:val="single" w:sz="8" w:space="0" w:color="auto"/>
            </w:tcBorders>
          </w:tcPr>
          <w:p w14:paraId="22533842"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2 (3)</w:t>
            </w:r>
          </w:p>
        </w:tc>
        <w:tc>
          <w:tcPr>
            <w:tcW w:w="2126" w:type="dxa"/>
            <w:tcBorders>
              <w:top w:val="single" w:sz="4" w:space="0" w:color="auto"/>
              <w:left w:val="nil"/>
              <w:bottom w:val="single" w:sz="4" w:space="0" w:color="auto"/>
              <w:right w:val="single" w:sz="8" w:space="0" w:color="auto"/>
            </w:tcBorders>
          </w:tcPr>
          <w:p w14:paraId="6DA1EF8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113.6</w:t>
            </w:r>
          </w:p>
        </w:tc>
        <w:tc>
          <w:tcPr>
            <w:tcW w:w="1701" w:type="dxa"/>
            <w:tcBorders>
              <w:top w:val="single" w:sz="4" w:space="0" w:color="auto"/>
              <w:left w:val="nil"/>
              <w:bottom w:val="single" w:sz="4" w:space="0" w:color="auto"/>
              <w:right w:val="single" w:sz="8" w:space="0" w:color="auto"/>
            </w:tcBorders>
          </w:tcPr>
          <w:p w14:paraId="786EE6A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51949CEB" w14:textId="77777777" w:rsidR="00632208" w:rsidRPr="0098635C" w:rsidRDefault="00632208" w:rsidP="00A432B0">
            <w:pPr>
              <w:spacing w:after="0"/>
              <w:rPr>
                <w:color w:val="000000" w:themeColor="text1"/>
                <w:sz w:val="20"/>
                <w:szCs w:val="20"/>
              </w:rPr>
            </w:pPr>
            <w:r w:rsidRPr="0098635C">
              <w:rPr>
                <w:color w:val="000000" w:themeColor="text1"/>
                <w:sz w:val="20"/>
                <w:szCs w:val="20"/>
              </w:rPr>
              <w:t>Belanger and Cherry, 1990</w:t>
            </w:r>
          </w:p>
        </w:tc>
      </w:tr>
      <w:tr w:rsidR="00632208" w:rsidRPr="0098635C" w14:paraId="78940D6B"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64A9988"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Ceriodaphnia dubia</w:t>
            </w:r>
          </w:p>
        </w:tc>
        <w:tc>
          <w:tcPr>
            <w:tcW w:w="1134" w:type="dxa"/>
            <w:tcBorders>
              <w:top w:val="single" w:sz="4" w:space="0" w:color="auto"/>
              <w:left w:val="nil"/>
              <w:bottom w:val="single" w:sz="4" w:space="0" w:color="auto"/>
              <w:right w:val="single" w:sz="8" w:space="0" w:color="auto"/>
            </w:tcBorders>
          </w:tcPr>
          <w:p w14:paraId="36F0D06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56</w:t>
            </w:r>
          </w:p>
        </w:tc>
        <w:tc>
          <w:tcPr>
            <w:tcW w:w="1276" w:type="dxa"/>
            <w:tcBorders>
              <w:top w:val="single" w:sz="4" w:space="0" w:color="auto"/>
              <w:left w:val="nil"/>
              <w:bottom w:val="single" w:sz="4" w:space="0" w:color="auto"/>
              <w:right w:val="single" w:sz="8" w:space="0" w:color="auto"/>
            </w:tcBorders>
          </w:tcPr>
          <w:p w14:paraId="4F77924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1417" w:type="dxa"/>
            <w:tcBorders>
              <w:top w:val="single" w:sz="4" w:space="0" w:color="auto"/>
              <w:left w:val="nil"/>
              <w:bottom w:val="single" w:sz="4" w:space="0" w:color="auto"/>
              <w:right w:val="single" w:sz="8" w:space="0" w:color="auto"/>
            </w:tcBorders>
          </w:tcPr>
          <w:p w14:paraId="3934651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6.0</w:t>
            </w:r>
          </w:p>
        </w:tc>
        <w:tc>
          <w:tcPr>
            <w:tcW w:w="1276" w:type="dxa"/>
            <w:tcBorders>
              <w:top w:val="single" w:sz="4" w:space="0" w:color="auto"/>
              <w:left w:val="nil"/>
              <w:bottom w:val="single" w:sz="4" w:space="0" w:color="auto"/>
              <w:right w:val="single" w:sz="8" w:space="0" w:color="auto"/>
            </w:tcBorders>
          </w:tcPr>
          <w:p w14:paraId="2A18253D"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3 (4)</w:t>
            </w:r>
          </w:p>
        </w:tc>
        <w:tc>
          <w:tcPr>
            <w:tcW w:w="2126" w:type="dxa"/>
            <w:tcBorders>
              <w:top w:val="single" w:sz="4" w:space="0" w:color="auto"/>
              <w:left w:val="nil"/>
              <w:bottom w:val="single" w:sz="4" w:space="0" w:color="auto"/>
              <w:right w:val="single" w:sz="8" w:space="0" w:color="auto"/>
            </w:tcBorders>
          </w:tcPr>
          <w:p w14:paraId="7B5959D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182</w:t>
            </w:r>
          </w:p>
        </w:tc>
        <w:tc>
          <w:tcPr>
            <w:tcW w:w="1701" w:type="dxa"/>
            <w:tcBorders>
              <w:top w:val="single" w:sz="4" w:space="0" w:color="auto"/>
              <w:left w:val="nil"/>
              <w:bottom w:val="single" w:sz="4" w:space="0" w:color="auto"/>
              <w:right w:val="single" w:sz="8" w:space="0" w:color="auto"/>
            </w:tcBorders>
          </w:tcPr>
          <w:p w14:paraId="2DD9892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0D6F0EB6" w14:textId="77777777" w:rsidR="00632208" w:rsidRPr="0098635C" w:rsidRDefault="00632208" w:rsidP="00A432B0">
            <w:pPr>
              <w:spacing w:after="0"/>
              <w:rPr>
                <w:color w:val="000000" w:themeColor="text1"/>
                <w:sz w:val="20"/>
                <w:szCs w:val="20"/>
              </w:rPr>
            </w:pPr>
            <w:r w:rsidRPr="0098635C">
              <w:rPr>
                <w:color w:val="000000" w:themeColor="text1"/>
                <w:sz w:val="20"/>
                <w:szCs w:val="20"/>
              </w:rPr>
              <w:t>Belanger and Cherry, 1990</w:t>
            </w:r>
          </w:p>
        </w:tc>
      </w:tr>
      <w:tr w:rsidR="00632208" w:rsidRPr="0098635C" w14:paraId="6EFE8C66"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2D3AFA4"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Ceriodaphnia dubia</w:t>
            </w:r>
          </w:p>
        </w:tc>
        <w:tc>
          <w:tcPr>
            <w:tcW w:w="1134" w:type="dxa"/>
            <w:tcBorders>
              <w:top w:val="single" w:sz="4" w:space="0" w:color="auto"/>
              <w:left w:val="nil"/>
              <w:bottom w:val="single" w:sz="4" w:space="0" w:color="auto"/>
              <w:right w:val="single" w:sz="8" w:space="0" w:color="auto"/>
            </w:tcBorders>
          </w:tcPr>
          <w:p w14:paraId="6E06047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1276" w:type="dxa"/>
            <w:tcBorders>
              <w:top w:val="single" w:sz="4" w:space="0" w:color="auto"/>
              <w:left w:val="nil"/>
              <w:bottom w:val="single" w:sz="4" w:space="0" w:color="auto"/>
              <w:right w:val="single" w:sz="8" w:space="0" w:color="auto"/>
            </w:tcBorders>
          </w:tcPr>
          <w:p w14:paraId="77E6138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1417" w:type="dxa"/>
            <w:tcBorders>
              <w:top w:val="single" w:sz="4" w:space="0" w:color="auto"/>
              <w:left w:val="nil"/>
              <w:bottom w:val="single" w:sz="4" w:space="0" w:color="auto"/>
              <w:right w:val="single" w:sz="8" w:space="0" w:color="auto"/>
            </w:tcBorders>
          </w:tcPr>
          <w:p w14:paraId="508935F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w:t>
            </w:r>
          </w:p>
        </w:tc>
        <w:tc>
          <w:tcPr>
            <w:tcW w:w="1276" w:type="dxa"/>
            <w:tcBorders>
              <w:top w:val="single" w:sz="4" w:space="0" w:color="auto"/>
              <w:left w:val="nil"/>
              <w:bottom w:val="single" w:sz="4" w:space="0" w:color="auto"/>
              <w:right w:val="single" w:sz="8" w:space="0" w:color="auto"/>
            </w:tcBorders>
          </w:tcPr>
          <w:p w14:paraId="3AE8C0B7"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2.9 (2)</w:t>
            </w:r>
          </w:p>
        </w:tc>
        <w:tc>
          <w:tcPr>
            <w:tcW w:w="2126" w:type="dxa"/>
            <w:tcBorders>
              <w:top w:val="single" w:sz="4" w:space="0" w:color="auto"/>
              <w:left w:val="nil"/>
              <w:bottom w:val="single" w:sz="4" w:space="0" w:color="auto"/>
              <w:right w:val="single" w:sz="8" w:space="0" w:color="auto"/>
            </w:tcBorders>
          </w:tcPr>
          <w:p w14:paraId="0E3600D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97.6</w:t>
            </w:r>
          </w:p>
        </w:tc>
        <w:tc>
          <w:tcPr>
            <w:tcW w:w="1701" w:type="dxa"/>
            <w:tcBorders>
              <w:top w:val="single" w:sz="4" w:space="0" w:color="auto"/>
              <w:left w:val="nil"/>
              <w:bottom w:val="single" w:sz="4" w:space="0" w:color="auto"/>
              <w:right w:val="single" w:sz="8" w:space="0" w:color="auto"/>
            </w:tcBorders>
          </w:tcPr>
          <w:p w14:paraId="48CB72E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4003DB3D" w14:textId="77777777" w:rsidR="00632208" w:rsidRPr="0098635C" w:rsidRDefault="00632208" w:rsidP="00A432B0">
            <w:pPr>
              <w:spacing w:after="0"/>
              <w:rPr>
                <w:color w:val="000000" w:themeColor="text1"/>
                <w:sz w:val="20"/>
                <w:szCs w:val="20"/>
              </w:rPr>
            </w:pPr>
            <w:r w:rsidRPr="0098635C">
              <w:rPr>
                <w:color w:val="000000" w:themeColor="text1"/>
                <w:sz w:val="20"/>
                <w:szCs w:val="20"/>
              </w:rPr>
              <w:t>Belanger and Cherry, 1990</w:t>
            </w:r>
          </w:p>
        </w:tc>
      </w:tr>
      <w:tr w:rsidR="00632208" w:rsidRPr="0098635C" w14:paraId="544F4B4A"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65D0BB5"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Ceriodaphnia dubia</w:t>
            </w:r>
          </w:p>
        </w:tc>
        <w:tc>
          <w:tcPr>
            <w:tcW w:w="1134" w:type="dxa"/>
            <w:tcBorders>
              <w:top w:val="single" w:sz="4" w:space="0" w:color="auto"/>
              <w:left w:val="nil"/>
              <w:bottom w:val="single" w:sz="4" w:space="0" w:color="auto"/>
              <w:right w:val="single" w:sz="8" w:space="0" w:color="auto"/>
            </w:tcBorders>
          </w:tcPr>
          <w:p w14:paraId="2A96F2E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76</w:t>
            </w:r>
          </w:p>
        </w:tc>
        <w:tc>
          <w:tcPr>
            <w:tcW w:w="1276" w:type="dxa"/>
            <w:tcBorders>
              <w:top w:val="single" w:sz="4" w:space="0" w:color="auto"/>
              <w:left w:val="nil"/>
              <w:bottom w:val="single" w:sz="4" w:space="0" w:color="auto"/>
              <w:right w:val="single" w:sz="8" w:space="0" w:color="auto"/>
            </w:tcBorders>
          </w:tcPr>
          <w:p w14:paraId="7BF13AB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1417" w:type="dxa"/>
            <w:tcBorders>
              <w:top w:val="single" w:sz="4" w:space="0" w:color="auto"/>
              <w:left w:val="nil"/>
              <w:bottom w:val="single" w:sz="4" w:space="0" w:color="auto"/>
              <w:right w:val="single" w:sz="8" w:space="0" w:color="auto"/>
            </w:tcBorders>
          </w:tcPr>
          <w:p w14:paraId="7066848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w:t>
            </w:r>
          </w:p>
        </w:tc>
        <w:tc>
          <w:tcPr>
            <w:tcW w:w="1276" w:type="dxa"/>
            <w:tcBorders>
              <w:top w:val="single" w:sz="4" w:space="0" w:color="auto"/>
              <w:left w:val="nil"/>
              <w:bottom w:val="single" w:sz="4" w:space="0" w:color="auto"/>
              <w:right w:val="single" w:sz="8" w:space="0" w:color="auto"/>
            </w:tcBorders>
          </w:tcPr>
          <w:p w14:paraId="27F7073C"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2 (3)</w:t>
            </w:r>
          </w:p>
        </w:tc>
        <w:tc>
          <w:tcPr>
            <w:tcW w:w="2126" w:type="dxa"/>
            <w:tcBorders>
              <w:top w:val="single" w:sz="4" w:space="0" w:color="auto"/>
              <w:left w:val="nil"/>
              <w:bottom w:val="single" w:sz="4" w:space="0" w:color="auto"/>
              <w:right w:val="single" w:sz="8" w:space="0" w:color="auto"/>
            </w:tcBorders>
          </w:tcPr>
          <w:p w14:paraId="4ADD5AB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113.6</w:t>
            </w:r>
          </w:p>
        </w:tc>
        <w:tc>
          <w:tcPr>
            <w:tcW w:w="1701" w:type="dxa"/>
            <w:tcBorders>
              <w:top w:val="single" w:sz="4" w:space="0" w:color="auto"/>
              <w:left w:val="nil"/>
              <w:bottom w:val="single" w:sz="4" w:space="0" w:color="auto"/>
              <w:right w:val="single" w:sz="8" w:space="0" w:color="auto"/>
            </w:tcBorders>
          </w:tcPr>
          <w:p w14:paraId="28ED269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2CEE7D72" w14:textId="77777777" w:rsidR="00632208" w:rsidRPr="0098635C" w:rsidRDefault="00632208" w:rsidP="00A432B0">
            <w:pPr>
              <w:spacing w:after="0"/>
              <w:rPr>
                <w:color w:val="000000" w:themeColor="text1"/>
                <w:sz w:val="20"/>
                <w:szCs w:val="20"/>
              </w:rPr>
            </w:pPr>
            <w:r w:rsidRPr="0098635C">
              <w:rPr>
                <w:color w:val="000000" w:themeColor="text1"/>
                <w:sz w:val="20"/>
                <w:szCs w:val="20"/>
              </w:rPr>
              <w:t>Belanger and Cherry, 1990</w:t>
            </w:r>
          </w:p>
        </w:tc>
      </w:tr>
      <w:tr w:rsidR="00632208" w:rsidRPr="0098635C" w14:paraId="60787F1A"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1083DAA"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Ceriodaphnia dubia</w:t>
            </w:r>
          </w:p>
        </w:tc>
        <w:tc>
          <w:tcPr>
            <w:tcW w:w="1134" w:type="dxa"/>
            <w:tcBorders>
              <w:top w:val="single" w:sz="4" w:space="0" w:color="auto"/>
              <w:left w:val="nil"/>
              <w:bottom w:val="single" w:sz="4" w:space="0" w:color="auto"/>
              <w:right w:val="single" w:sz="8" w:space="0" w:color="auto"/>
            </w:tcBorders>
          </w:tcPr>
          <w:p w14:paraId="343245D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84</w:t>
            </w:r>
          </w:p>
        </w:tc>
        <w:tc>
          <w:tcPr>
            <w:tcW w:w="1276" w:type="dxa"/>
            <w:tcBorders>
              <w:top w:val="single" w:sz="4" w:space="0" w:color="auto"/>
              <w:left w:val="nil"/>
              <w:bottom w:val="single" w:sz="4" w:space="0" w:color="auto"/>
              <w:right w:val="single" w:sz="8" w:space="0" w:color="auto"/>
            </w:tcBorders>
          </w:tcPr>
          <w:p w14:paraId="07AD89C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1417" w:type="dxa"/>
            <w:tcBorders>
              <w:top w:val="single" w:sz="4" w:space="0" w:color="auto"/>
              <w:left w:val="nil"/>
              <w:bottom w:val="single" w:sz="4" w:space="0" w:color="auto"/>
              <w:right w:val="single" w:sz="8" w:space="0" w:color="auto"/>
            </w:tcBorders>
          </w:tcPr>
          <w:p w14:paraId="278C036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w:t>
            </w:r>
          </w:p>
        </w:tc>
        <w:tc>
          <w:tcPr>
            <w:tcW w:w="1276" w:type="dxa"/>
            <w:tcBorders>
              <w:top w:val="single" w:sz="4" w:space="0" w:color="auto"/>
              <w:left w:val="nil"/>
              <w:bottom w:val="single" w:sz="4" w:space="0" w:color="auto"/>
              <w:right w:val="single" w:sz="8" w:space="0" w:color="auto"/>
            </w:tcBorders>
          </w:tcPr>
          <w:p w14:paraId="416C6A84"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3 (4)</w:t>
            </w:r>
          </w:p>
        </w:tc>
        <w:tc>
          <w:tcPr>
            <w:tcW w:w="2126" w:type="dxa"/>
            <w:tcBorders>
              <w:top w:val="single" w:sz="4" w:space="0" w:color="auto"/>
              <w:left w:val="nil"/>
              <w:bottom w:val="single" w:sz="4" w:space="0" w:color="auto"/>
              <w:right w:val="single" w:sz="8" w:space="0" w:color="auto"/>
            </w:tcBorders>
          </w:tcPr>
          <w:p w14:paraId="773F1A1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182</w:t>
            </w:r>
          </w:p>
        </w:tc>
        <w:tc>
          <w:tcPr>
            <w:tcW w:w="1701" w:type="dxa"/>
            <w:tcBorders>
              <w:top w:val="single" w:sz="4" w:space="0" w:color="auto"/>
              <w:left w:val="nil"/>
              <w:bottom w:val="single" w:sz="4" w:space="0" w:color="auto"/>
              <w:right w:val="single" w:sz="8" w:space="0" w:color="auto"/>
            </w:tcBorders>
          </w:tcPr>
          <w:p w14:paraId="4AD8B52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76A985A2" w14:textId="77777777" w:rsidR="00632208" w:rsidRPr="0098635C" w:rsidRDefault="00632208" w:rsidP="00A432B0">
            <w:pPr>
              <w:spacing w:after="0"/>
              <w:rPr>
                <w:color w:val="000000" w:themeColor="text1"/>
                <w:sz w:val="20"/>
                <w:szCs w:val="20"/>
              </w:rPr>
            </w:pPr>
            <w:r w:rsidRPr="0098635C">
              <w:rPr>
                <w:color w:val="000000" w:themeColor="text1"/>
                <w:sz w:val="20"/>
                <w:szCs w:val="20"/>
              </w:rPr>
              <w:t>Belanger and Cherry, 1990</w:t>
            </w:r>
          </w:p>
        </w:tc>
      </w:tr>
      <w:tr w:rsidR="00632208" w:rsidRPr="0098635C" w14:paraId="2033B4CC"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9B0EDFA"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Ceriodaphnia dubia</w:t>
            </w:r>
          </w:p>
        </w:tc>
        <w:tc>
          <w:tcPr>
            <w:tcW w:w="1134" w:type="dxa"/>
            <w:tcBorders>
              <w:top w:val="single" w:sz="4" w:space="0" w:color="auto"/>
              <w:left w:val="nil"/>
              <w:bottom w:val="single" w:sz="4" w:space="0" w:color="auto"/>
              <w:right w:val="single" w:sz="8" w:space="0" w:color="auto"/>
            </w:tcBorders>
          </w:tcPr>
          <w:p w14:paraId="63A6480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31</w:t>
            </w:r>
          </w:p>
        </w:tc>
        <w:tc>
          <w:tcPr>
            <w:tcW w:w="1276" w:type="dxa"/>
            <w:tcBorders>
              <w:top w:val="single" w:sz="4" w:space="0" w:color="auto"/>
              <w:left w:val="nil"/>
              <w:bottom w:val="single" w:sz="4" w:space="0" w:color="auto"/>
              <w:right w:val="single" w:sz="8" w:space="0" w:color="auto"/>
            </w:tcBorders>
          </w:tcPr>
          <w:p w14:paraId="7D25A42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1417" w:type="dxa"/>
            <w:tcBorders>
              <w:top w:val="single" w:sz="4" w:space="0" w:color="auto"/>
              <w:left w:val="nil"/>
              <w:bottom w:val="single" w:sz="4" w:space="0" w:color="auto"/>
              <w:right w:val="single" w:sz="8" w:space="0" w:color="auto"/>
            </w:tcBorders>
          </w:tcPr>
          <w:p w14:paraId="28168EA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046BA8DD"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2.9 (2)</w:t>
            </w:r>
          </w:p>
        </w:tc>
        <w:tc>
          <w:tcPr>
            <w:tcW w:w="2126" w:type="dxa"/>
            <w:tcBorders>
              <w:top w:val="single" w:sz="4" w:space="0" w:color="auto"/>
              <w:left w:val="nil"/>
              <w:bottom w:val="single" w:sz="4" w:space="0" w:color="auto"/>
              <w:right w:val="single" w:sz="8" w:space="0" w:color="auto"/>
            </w:tcBorders>
          </w:tcPr>
          <w:p w14:paraId="3139D3F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97.6</w:t>
            </w:r>
          </w:p>
        </w:tc>
        <w:tc>
          <w:tcPr>
            <w:tcW w:w="1701" w:type="dxa"/>
            <w:tcBorders>
              <w:top w:val="single" w:sz="4" w:space="0" w:color="auto"/>
              <w:left w:val="nil"/>
              <w:bottom w:val="single" w:sz="4" w:space="0" w:color="auto"/>
              <w:right w:val="single" w:sz="8" w:space="0" w:color="auto"/>
            </w:tcBorders>
          </w:tcPr>
          <w:p w14:paraId="1286897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4E54A466" w14:textId="77777777" w:rsidR="00632208" w:rsidRPr="0098635C" w:rsidRDefault="00632208" w:rsidP="00A432B0">
            <w:pPr>
              <w:spacing w:after="0"/>
              <w:rPr>
                <w:color w:val="000000" w:themeColor="text1"/>
                <w:sz w:val="20"/>
                <w:szCs w:val="20"/>
              </w:rPr>
            </w:pPr>
            <w:r w:rsidRPr="0098635C">
              <w:rPr>
                <w:color w:val="000000" w:themeColor="text1"/>
                <w:sz w:val="20"/>
                <w:szCs w:val="20"/>
              </w:rPr>
              <w:t>Belanger and Cherry, 1990</w:t>
            </w:r>
          </w:p>
        </w:tc>
      </w:tr>
      <w:tr w:rsidR="00632208" w:rsidRPr="0098635C" w14:paraId="2F97FD56"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AABC47B"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Ceriodaphnia dubia</w:t>
            </w:r>
          </w:p>
        </w:tc>
        <w:tc>
          <w:tcPr>
            <w:tcW w:w="1134" w:type="dxa"/>
            <w:tcBorders>
              <w:top w:val="single" w:sz="4" w:space="0" w:color="auto"/>
              <w:left w:val="nil"/>
              <w:bottom w:val="single" w:sz="4" w:space="0" w:color="auto"/>
              <w:right w:val="single" w:sz="8" w:space="0" w:color="auto"/>
            </w:tcBorders>
          </w:tcPr>
          <w:p w14:paraId="2A9DA2B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91</w:t>
            </w:r>
          </w:p>
        </w:tc>
        <w:tc>
          <w:tcPr>
            <w:tcW w:w="1276" w:type="dxa"/>
            <w:tcBorders>
              <w:top w:val="single" w:sz="4" w:space="0" w:color="auto"/>
              <w:left w:val="nil"/>
              <w:bottom w:val="single" w:sz="4" w:space="0" w:color="auto"/>
              <w:right w:val="single" w:sz="8" w:space="0" w:color="auto"/>
            </w:tcBorders>
          </w:tcPr>
          <w:p w14:paraId="7C78F07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1417" w:type="dxa"/>
            <w:tcBorders>
              <w:top w:val="single" w:sz="4" w:space="0" w:color="auto"/>
              <w:left w:val="nil"/>
              <w:bottom w:val="single" w:sz="4" w:space="0" w:color="auto"/>
              <w:right w:val="single" w:sz="8" w:space="0" w:color="auto"/>
            </w:tcBorders>
          </w:tcPr>
          <w:p w14:paraId="46AE143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1F498B85"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2 (3)</w:t>
            </w:r>
          </w:p>
        </w:tc>
        <w:tc>
          <w:tcPr>
            <w:tcW w:w="2126" w:type="dxa"/>
            <w:tcBorders>
              <w:top w:val="single" w:sz="4" w:space="0" w:color="auto"/>
              <w:left w:val="nil"/>
              <w:bottom w:val="single" w:sz="4" w:space="0" w:color="auto"/>
              <w:right w:val="single" w:sz="8" w:space="0" w:color="auto"/>
            </w:tcBorders>
          </w:tcPr>
          <w:p w14:paraId="637A407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113.6</w:t>
            </w:r>
          </w:p>
        </w:tc>
        <w:tc>
          <w:tcPr>
            <w:tcW w:w="1701" w:type="dxa"/>
            <w:tcBorders>
              <w:top w:val="single" w:sz="4" w:space="0" w:color="auto"/>
              <w:left w:val="nil"/>
              <w:bottom w:val="single" w:sz="4" w:space="0" w:color="auto"/>
              <w:right w:val="single" w:sz="8" w:space="0" w:color="auto"/>
            </w:tcBorders>
          </w:tcPr>
          <w:p w14:paraId="6408C6B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3FBC2303" w14:textId="77777777" w:rsidR="00632208" w:rsidRPr="0098635C" w:rsidRDefault="00632208" w:rsidP="00A432B0">
            <w:pPr>
              <w:spacing w:after="0"/>
              <w:rPr>
                <w:color w:val="000000" w:themeColor="text1"/>
                <w:sz w:val="20"/>
                <w:szCs w:val="20"/>
              </w:rPr>
            </w:pPr>
            <w:r w:rsidRPr="0098635C">
              <w:rPr>
                <w:color w:val="000000" w:themeColor="text1"/>
                <w:sz w:val="20"/>
                <w:szCs w:val="20"/>
              </w:rPr>
              <w:t>Belanger and Cherry, 1990</w:t>
            </w:r>
          </w:p>
        </w:tc>
      </w:tr>
      <w:tr w:rsidR="00632208" w:rsidRPr="0098635C" w14:paraId="70EE0634"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4DE9E8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Ceriodaphnia dubia</w:t>
            </w:r>
          </w:p>
        </w:tc>
        <w:tc>
          <w:tcPr>
            <w:tcW w:w="1134" w:type="dxa"/>
            <w:tcBorders>
              <w:top w:val="single" w:sz="4" w:space="0" w:color="auto"/>
              <w:left w:val="nil"/>
              <w:bottom w:val="single" w:sz="4" w:space="0" w:color="auto"/>
              <w:right w:val="single" w:sz="8" w:space="0" w:color="auto"/>
            </w:tcBorders>
          </w:tcPr>
          <w:p w14:paraId="1B73F25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93</w:t>
            </w:r>
          </w:p>
        </w:tc>
        <w:tc>
          <w:tcPr>
            <w:tcW w:w="1276" w:type="dxa"/>
            <w:tcBorders>
              <w:top w:val="single" w:sz="4" w:space="0" w:color="auto"/>
              <w:left w:val="nil"/>
              <w:bottom w:val="single" w:sz="4" w:space="0" w:color="auto"/>
              <w:right w:val="single" w:sz="8" w:space="0" w:color="auto"/>
            </w:tcBorders>
          </w:tcPr>
          <w:p w14:paraId="4A25AD7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1417" w:type="dxa"/>
            <w:tcBorders>
              <w:top w:val="single" w:sz="4" w:space="0" w:color="auto"/>
              <w:left w:val="nil"/>
              <w:bottom w:val="single" w:sz="4" w:space="0" w:color="auto"/>
              <w:right w:val="single" w:sz="8" w:space="0" w:color="auto"/>
            </w:tcBorders>
          </w:tcPr>
          <w:p w14:paraId="227D1D6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34DDCA77" w14:textId="77777777" w:rsidR="00632208" w:rsidRPr="0098635C" w:rsidRDefault="00632208" w:rsidP="00A432B0">
            <w:pPr>
              <w:spacing w:after="0"/>
              <w:jc w:val="center"/>
              <w:rPr>
                <w:bCs/>
                <w:color w:val="000000" w:themeColor="text1"/>
                <w:sz w:val="20"/>
                <w:szCs w:val="20"/>
              </w:rPr>
            </w:pPr>
            <w:r w:rsidRPr="0098635C">
              <w:rPr>
                <w:bCs/>
                <w:color w:val="000000" w:themeColor="text1"/>
                <w:sz w:val="20"/>
                <w:szCs w:val="20"/>
              </w:rPr>
              <w:t>3 (4)</w:t>
            </w:r>
          </w:p>
        </w:tc>
        <w:tc>
          <w:tcPr>
            <w:tcW w:w="2126" w:type="dxa"/>
            <w:tcBorders>
              <w:top w:val="single" w:sz="4" w:space="0" w:color="auto"/>
              <w:left w:val="nil"/>
              <w:bottom w:val="single" w:sz="4" w:space="0" w:color="auto"/>
              <w:right w:val="single" w:sz="8" w:space="0" w:color="auto"/>
            </w:tcBorders>
          </w:tcPr>
          <w:p w14:paraId="3BAD0D1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182</w:t>
            </w:r>
          </w:p>
        </w:tc>
        <w:tc>
          <w:tcPr>
            <w:tcW w:w="1701" w:type="dxa"/>
            <w:tcBorders>
              <w:top w:val="single" w:sz="4" w:space="0" w:color="auto"/>
              <w:left w:val="nil"/>
              <w:bottom w:val="single" w:sz="4" w:space="0" w:color="auto"/>
              <w:right w:val="single" w:sz="8" w:space="0" w:color="auto"/>
            </w:tcBorders>
          </w:tcPr>
          <w:p w14:paraId="78DC581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382B51CD" w14:textId="77777777" w:rsidR="00632208" w:rsidRPr="0098635C" w:rsidRDefault="00632208" w:rsidP="00A432B0">
            <w:pPr>
              <w:spacing w:after="0"/>
              <w:rPr>
                <w:color w:val="000000" w:themeColor="text1"/>
                <w:sz w:val="20"/>
                <w:szCs w:val="20"/>
              </w:rPr>
            </w:pPr>
            <w:r w:rsidRPr="0098635C">
              <w:rPr>
                <w:color w:val="000000" w:themeColor="text1"/>
                <w:sz w:val="20"/>
                <w:szCs w:val="20"/>
              </w:rPr>
              <w:t>Belanger and Cherry, 1990</w:t>
            </w:r>
          </w:p>
        </w:tc>
      </w:tr>
      <w:tr w:rsidR="00632208" w:rsidRPr="0098635C" w14:paraId="5DFF8CC6"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670E5D5"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642E20C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58AC4AA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w:t>
            </w:r>
          </w:p>
        </w:tc>
        <w:tc>
          <w:tcPr>
            <w:tcW w:w="1417" w:type="dxa"/>
            <w:tcBorders>
              <w:top w:val="single" w:sz="4" w:space="0" w:color="auto"/>
              <w:left w:val="nil"/>
              <w:bottom w:val="single" w:sz="4" w:space="0" w:color="auto"/>
              <w:right w:val="single" w:sz="8" w:space="0" w:color="auto"/>
            </w:tcBorders>
          </w:tcPr>
          <w:p w14:paraId="64B8089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7.7</w:t>
            </w:r>
          </w:p>
        </w:tc>
        <w:tc>
          <w:tcPr>
            <w:tcW w:w="1276" w:type="dxa"/>
            <w:tcBorders>
              <w:top w:val="single" w:sz="4" w:space="0" w:color="auto"/>
              <w:left w:val="nil"/>
              <w:bottom w:val="single" w:sz="4" w:space="0" w:color="auto"/>
              <w:right w:val="single" w:sz="8" w:space="0" w:color="auto"/>
            </w:tcBorders>
          </w:tcPr>
          <w:p w14:paraId="032F27C3"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315043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120</w:t>
            </w:r>
          </w:p>
        </w:tc>
        <w:tc>
          <w:tcPr>
            <w:tcW w:w="1701" w:type="dxa"/>
            <w:tcBorders>
              <w:top w:val="single" w:sz="4" w:space="0" w:color="auto"/>
              <w:left w:val="nil"/>
              <w:bottom w:val="single" w:sz="4" w:space="0" w:color="auto"/>
              <w:right w:val="single" w:sz="8" w:space="0" w:color="auto"/>
            </w:tcBorders>
          </w:tcPr>
          <w:p w14:paraId="184F511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35E6455B" w14:textId="77777777" w:rsidR="00632208" w:rsidRPr="0098635C" w:rsidRDefault="00632208" w:rsidP="00A432B0">
            <w:pPr>
              <w:spacing w:after="0"/>
              <w:rPr>
                <w:color w:val="000000" w:themeColor="text1"/>
                <w:sz w:val="20"/>
                <w:szCs w:val="20"/>
              </w:rPr>
            </w:pPr>
            <w:r w:rsidRPr="0098635C">
              <w:rPr>
                <w:color w:val="000000" w:themeColor="text1"/>
                <w:sz w:val="20"/>
                <w:szCs w:val="20"/>
              </w:rPr>
              <w:t>Seim et al, 1984</w:t>
            </w:r>
          </w:p>
        </w:tc>
      </w:tr>
      <w:tr w:rsidR="00632208" w:rsidRPr="0098635C" w14:paraId="71A832D9"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FC8642B"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35B7901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4.2</w:t>
            </w:r>
          </w:p>
        </w:tc>
        <w:tc>
          <w:tcPr>
            <w:tcW w:w="1276" w:type="dxa"/>
            <w:tcBorders>
              <w:top w:val="single" w:sz="4" w:space="0" w:color="auto"/>
              <w:left w:val="nil"/>
              <w:bottom w:val="single" w:sz="4" w:space="0" w:color="auto"/>
              <w:right w:val="single" w:sz="8" w:space="0" w:color="auto"/>
            </w:tcBorders>
          </w:tcPr>
          <w:p w14:paraId="5E1FFE0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15.8</w:t>
            </w:r>
          </w:p>
        </w:tc>
        <w:tc>
          <w:tcPr>
            <w:tcW w:w="1417" w:type="dxa"/>
            <w:tcBorders>
              <w:top w:val="single" w:sz="4" w:space="0" w:color="auto"/>
              <w:left w:val="nil"/>
              <w:bottom w:val="single" w:sz="4" w:space="0" w:color="auto"/>
              <w:right w:val="single" w:sz="8" w:space="0" w:color="auto"/>
            </w:tcBorders>
          </w:tcPr>
          <w:p w14:paraId="0C6212F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5.7</w:t>
            </w:r>
          </w:p>
        </w:tc>
        <w:tc>
          <w:tcPr>
            <w:tcW w:w="1276" w:type="dxa"/>
            <w:tcBorders>
              <w:top w:val="single" w:sz="4" w:space="0" w:color="auto"/>
              <w:left w:val="nil"/>
              <w:bottom w:val="single" w:sz="4" w:space="0" w:color="auto"/>
              <w:right w:val="single" w:sz="8" w:space="0" w:color="auto"/>
            </w:tcBorders>
          </w:tcPr>
          <w:p w14:paraId="297D4F57"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759816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9.2</w:t>
            </w:r>
          </w:p>
        </w:tc>
        <w:tc>
          <w:tcPr>
            <w:tcW w:w="1701" w:type="dxa"/>
            <w:tcBorders>
              <w:top w:val="single" w:sz="4" w:space="0" w:color="auto"/>
              <w:left w:val="nil"/>
              <w:bottom w:val="single" w:sz="4" w:space="0" w:color="auto"/>
              <w:right w:val="single" w:sz="8" w:space="0" w:color="auto"/>
            </w:tcBorders>
          </w:tcPr>
          <w:p w14:paraId="4FC5A96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6D019B1A" w14:textId="77777777" w:rsidR="00632208" w:rsidRPr="0098635C" w:rsidRDefault="00632208" w:rsidP="00A432B0">
            <w:pPr>
              <w:spacing w:after="0"/>
              <w:rPr>
                <w:color w:val="000000" w:themeColor="text1"/>
                <w:sz w:val="20"/>
                <w:szCs w:val="20"/>
              </w:rPr>
            </w:pPr>
            <w:r w:rsidRPr="0098635C">
              <w:rPr>
                <w:color w:val="000000" w:themeColor="text1"/>
                <w:sz w:val="20"/>
                <w:szCs w:val="20"/>
              </w:rPr>
              <w:t>Cusimano et al, 1986</w:t>
            </w:r>
          </w:p>
        </w:tc>
      </w:tr>
      <w:tr w:rsidR="00632208" w:rsidRPr="0098635C" w14:paraId="59C286DA"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CB3992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710763C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1276" w:type="dxa"/>
            <w:tcBorders>
              <w:top w:val="single" w:sz="4" w:space="0" w:color="auto"/>
              <w:left w:val="nil"/>
              <w:bottom w:val="single" w:sz="4" w:space="0" w:color="auto"/>
              <w:right w:val="single" w:sz="8" w:space="0" w:color="auto"/>
            </w:tcBorders>
          </w:tcPr>
          <w:p w14:paraId="438BB7B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15.8</w:t>
            </w:r>
          </w:p>
        </w:tc>
        <w:tc>
          <w:tcPr>
            <w:tcW w:w="1417" w:type="dxa"/>
            <w:tcBorders>
              <w:top w:val="single" w:sz="4" w:space="0" w:color="auto"/>
              <w:left w:val="nil"/>
              <w:bottom w:val="single" w:sz="4" w:space="0" w:color="auto"/>
              <w:right w:val="single" w:sz="8" w:space="0" w:color="auto"/>
            </w:tcBorders>
          </w:tcPr>
          <w:p w14:paraId="62149D9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w:t>
            </w:r>
          </w:p>
        </w:tc>
        <w:tc>
          <w:tcPr>
            <w:tcW w:w="1276" w:type="dxa"/>
            <w:tcBorders>
              <w:top w:val="single" w:sz="4" w:space="0" w:color="auto"/>
              <w:left w:val="nil"/>
              <w:bottom w:val="single" w:sz="4" w:space="0" w:color="auto"/>
              <w:right w:val="single" w:sz="8" w:space="0" w:color="auto"/>
            </w:tcBorders>
          </w:tcPr>
          <w:p w14:paraId="4BEF3C3E"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3E6F6C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9.2</w:t>
            </w:r>
          </w:p>
        </w:tc>
        <w:tc>
          <w:tcPr>
            <w:tcW w:w="1701" w:type="dxa"/>
            <w:tcBorders>
              <w:top w:val="single" w:sz="4" w:space="0" w:color="auto"/>
              <w:left w:val="nil"/>
              <w:bottom w:val="single" w:sz="4" w:space="0" w:color="auto"/>
              <w:right w:val="single" w:sz="8" w:space="0" w:color="auto"/>
            </w:tcBorders>
          </w:tcPr>
          <w:p w14:paraId="3E97265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47A6817E" w14:textId="77777777" w:rsidR="00632208" w:rsidRPr="0098635C" w:rsidRDefault="00632208" w:rsidP="00A432B0">
            <w:pPr>
              <w:spacing w:after="0"/>
              <w:rPr>
                <w:color w:val="000000" w:themeColor="text1"/>
                <w:sz w:val="20"/>
                <w:szCs w:val="20"/>
              </w:rPr>
            </w:pPr>
            <w:r w:rsidRPr="0098635C">
              <w:rPr>
                <w:color w:val="000000" w:themeColor="text1"/>
                <w:sz w:val="20"/>
                <w:szCs w:val="20"/>
              </w:rPr>
              <w:t>Cusimano et al, 1986</w:t>
            </w:r>
          </w:p>
        </w:tc>
      </w:tr>
      <w:tr w:rsidR="00632208" w:rsidRPr="0098635C" w14:paraId="53C5A489"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6BC4F5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513D410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57</w:t>
            </w:r>
          </w:p>
        </w:tc>
        <w:tc>
          <w:tcPr>
            <w:tcW w:w="1276" w:type="dxa"/>
            <w:tcBorders>
              <w:top w:val="single" w:sz="4" w:space="0" w:color="auto"/>
              <w:left w:val="nil"/>
              <w:bottom w:val="single" w:sz="4" w:space="0" w:color="auto"/>
              <w:right w:val="single" w:sz="8" w:space="0" w:color="auto"/>
            </w:tcBorders>
          </w:tcPr>
          <w:p w14:paraId="35F59E9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w:t>
            </w:r>
          </w:p>
        </w:tc>
        <w:tc>
          <w:tcPr>
            <w:tcW w:w="1417" w:type="dxa"/>
            <w:tcBorders>
              <w:top w:val="single" w:sz="4" w:space="0" w:color="auto"/>
              <w:left w:val="nil"/>
              <w:bottom w:val="single" w:sz="4" w:space="0" w:color="auto"/>
              <w:right w:val="single" w:sz="8" w:space="0" w:color="auto"/>
            </w:tcBorders>
          </w:tcPr>
          <w:p w14:paraId="2AD2AF6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7.6</w:t>
            </w:r>
          </w:p>
        </w:tc>
        <w:tc>
          <w:tcPr>
            <w:tcW w:w="1276" w:type="dxa"/>
            <w:tcBorders>
              <w:top w:val="single" w:sz="4" w:space="0" w:color="auto"/>
              <w:left w:val="nil"/>
              <w:bottom w:val="single" w:sz="4" w:space="0" w:color="auto"/>
              <w:right w:val="single" w:sz="8" w:space="0" w:color="auto"/>
            </w:tcBorders>
          </w:tcPr>
          <w:p w14:paraId="6FA09986"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F2E9AF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42</w:t>
            </w:r>
          </w:p>
        </w:tc>
        <w:tc>
          <w:tcPr>
            <w:tcW w:w="1701" w:type="dxa"/>
            <w:tcBorders>
              <w:top w:val="single" w:sz="4" w:space="0" w:color="auto"/>
              <w:left w:val="nil"/>
              <w:bottom w:val="single" w:sz="4" w:space="0" w:color="auto"/>
              <w:right w:val="single" w:sz="8" w:space="0" w:color="auto"/>
            </w:tcBorders>
          </w:tcPr>
          <w:p w14:paraId="39FC0E8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15C57928" w14:textId="77777777" w:rsidR="00632208" w:rsidRPr="0098635C" w:rsidRDefault="00632208" w:rsidP="00A432B0">
            <w:pPr>
              <w:spacing w:after="0"/>
              <w:rPr>
                <w:color w:val="000000" w:themeColor="text1"/>
                <w:sz w:val="20"/>
                <w:szCs w:val="20"/>
              </w:rPr>
            </w:pPr>
            <w:r w:rsidRPr="0098635C">
              <w:rPr>
                <w:color w:val="000000" w:themeColor="text1"/>
                <w:sz w:val="20"/>
                <w:szCs w:val="20"/>
              </w:rPr>
              <w:t>Chapman and Stevens, 1978</w:t>
            </w:r>
          </w:p>
        </w:tc>
      </w:tr>
      <w:tr w:rsidR="00632208" w:rsidRPr="0098635C" w14:paraId="7A70F7DE"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045EDAA"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75BB810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w:t>
            </w:r>
          </w:p>
        </w:tc>
        <w:tc>
          <w:tcPr>
            <w:tcW w:w="1276" w:type="dxa"/>
            <w:tcBorders>
              <w:top w:val="single" w:sz="4" w:space="0" w:color="auto"/>
              <w:left w:val="nil"/>
              <w:bottom w:val="single" w:sz="4" w:space="0" w:color="auto"/>
              <w:right w:val="single" w:sz="8" w:space="0" w:color="auto"/>
            </w:tcBorders>
          </w:tcPr>
          <w:p w14:paraId="3552B7F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12.2</w:t>
            </w:r>
          </w:p>
        </w:tc>
        <w:tc>
          <w:tcPr>
            <w:tcW w:w="1417" w:type="dxa"/>
            <w:tcBorders>
              <w:top w:val="single" w:sz="4" w:space="0" w:color="auto"/>
              <w:left w:val="nil"/>
              <w:bottom w:val="single" w:sz="4" w:space="0" w:color="auto"/>
              <w:right w:val="single" w:sz="8" w:space="0" w:color="auto"/>
            </w:tcBorders>
          </w:tcPr>
          <w:p w14:paraId="4167B23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7.1</w:t>
            </w:r>
          </w:p>
        </w:tc>
        <w:tc>
          <w:tcPr>
            <w:tcW w:w="1276" w:type="dxa"/>
            <w:tcBorders>
              <w:top w:val="single" w:sz="4" w:space="0" w:color="auto"/>
              <w:left w:val="nil"/>
              <w:bottom w:val="single" w:sz="4" w:space="0" w:color="auto"/>
              <w:right w:val="single" w:sz="8" w:space="0" w:color="auto"/>
            </w:tcBorders>
          </w:tcPr>
          <w:p w14:paraId="422D49D1"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E759C3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701" w:type="dxa"/>
            <w:tcBorders>
              <w:top w:val="single" w:sz="4" w:space="0" w:color="auto"/>
              <w:left w:val="nil"/>
              <w:bottom w:val="single" w:sz="4" w:space="0" w:color="auto"/>
              <w:right w:val="single" w:sz="8" w:space="0" w:color="auto"/>
            </w:tcBorders>
          </w:tcPr>
          <w:p w14:paraId="60F7844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129BB4BA" w14:textId="77777777" w:rsidR="00632208" w:rsidRPr="0098635C" w:rsidRDefault="00632208" w:rsidP="00A432B0">
            <w:pPr>
              <w:spacing w:after="0"/>
              <w:rPr>
                <w:color w:val="000000" w:themeColor="text1"/>
                <w:sz w:val="20"/>
                <w:szCs w:val="20"/>
              </w:rPr>
            </w:pPr>
            <w:r w:rsidRPr="0098635C">
              <w:rPr>
                <w:color w:val="000000" w:themeColor="text1"/>
                <w:sz w:val="20"/>
                <w:szCs w:val="20"/>
              </w:rPr>
              <w:t>Chapman, 1978</w:t>
            </w:r>
          </w:p>
        </w:tc>
      </w:tr>
      <w:tr w:rsidR="00632208" w:rsidRPr="0098635C" w14:paraId="71FB8BAF"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AE1F79B"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29E4EE2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18</w:t>
            </w:r>
          </w:p>
        </w:tc>
        <w:tc>
          <w:tcPr>
            <w:tcW w:w="1276" w:type="dxa"/>
            <w:tcBorders>
              <w:top w:val="single" w:sz="4" w:space="0" w:color="auto"/>
              <w:left w:val="nil"/>
              <w:bottom w:val="single" w:sz="4" w:space="0" w:color="auto"/>
              <w:right w:val="single" w:sz="8" w:space="0" w:color="auto"/>
            </w:tcBorders>
          </w:tcPr>
          <w:p w14:paraId="4E91C0E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12.2</w:t>
            </w:r>
          </w:p>
        </w:tc>
        <w:tc>
          <w:tcPr>
            <w:tcW w:w="1417" w:type="dxa"/>
            <w:tcBorders>
              <w:top w:val="single" w:sz="4" w:space="0" w:color="auto"/>
              <w:left w:val="nil"/>
              <w:bottom w:val="single" w:sz="4" w:space="0" w:color="auto"/>
              <w:right w:val="single" w:sz="8" w:space="0" w:color="auto"/>
            </w:tcBorders>
          </w:tcPr>
          <w:p w14:paraId="48A37E7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7.1</w:t>
            </w:r>
          </w:p>
        </w:tc>
        <w:tc>
          <w:tcPr>
            <w:tcW w:w="1276" w:type="dxa"/>
            <w:tcBorders>
              <w:top w:val="single" w:sz="4" w:space="0" w:color="auto"/>
              <w:left w:val="nil"/>
              <w:bottom w:val="single" w:sz="4" w:space="0" w:color="auto"/>
              <w:right w:val="single" w:sz="8" w:space="0" w:color="auto"/>
            </w:tcBorders>
          </w:tcPr>
          <w:p w14:paraId="4336AB4A"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356017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701" w:type="dxa"/>
            <w:tcBorders>
              <w:top w:val="single" w:sz="4" w:space="0" w:color="auto"/>
              <w:left w:val="nil"/>
              <w:bottom w:val="single" w:sz="4" w:space="0" w:color="auto"/>
              <w:right w:val="single" w:sz="8" w:space="0" w:color="auto"/>
            </w:tcBorders>
          </w:tcPr>
          <w:p w14:paraId="3583D67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1DC6E2E7" w14:textId="77777777" w:rsidR="00632208" w:rsidRPr="0098635C" w:rsidRDefault="00632208" w:rsidP="00A432B0">
            <w:pPr>
              <w:spacing w:after="0"/>
              <w:rPr>
                <w:color w:val="000000" w:themeColor="text1"/>
                <w:sz w:val="20"/>
                <w:szCs w:val="20"/>
              </w:rPr>
            </w:pPr>
            <w:r w:rsidRPr="0098635C">
              <w:rPr>
                <w:color w:val="000000" w:themeColor="text1"/>
                <w:sz w:val="20"/>
                <w:szCs w:val="20"/>
              </w:rPr>
              <w:t>Chapman, 1978</w:t>
            </w:r>
          </w:p>
        </w:tc>
      </w:tr>
      <w:tr w:rsidR="00632208" w:rsidRPr="0098635C" w14:paraId="6DD9AAD1"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A2ABB9F"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346CB72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1276" w:type="dxa"/>
            <w:tcBorders>
              <w:top w:val="single" w:sz="4" w:space="0" w:color="auto"/>
              <w:left w:val="nil"/>
              <w:bottom w:val="single" w:sz="4" w:space="0" w:color="auto"/>
              <w:right w:val="single" w:sz="8" w:space="0" w:color="auto"/>
            </w:tcBorders>
          </w:tcPr>
          <w:p w14:paraId="49BA23D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12.2</w:t>
            </w:r>
          </w:p>
        </w:tc>
        <w:tc>
          <w:tcPr>
            <w:tcW w:w="1417" w:type="dxa"/>
            <w:tcBorders>
              <w:top w:val="single" w:sz="4" w:space="0" w:color="auto"/>
              <w:left w:val="nil"/>
              <w:bottom w:val="single" w:sz="4" w:space="0" w:color="auto"/>
              <w:right w:val="single" w:sz="8" w:space="0" w:color="auto"/>
            </w:tcBorders>
          </w:tcPr>
          <w:p w14:paraId="04FDA11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7.1</w:t>
            </w:r>
          </w:p>
        </w:tc>
        <w:tc>
          <w:tcPr>
            <w:tcW w:w="1276" w:type="dxa"/>
            <w:tcBorders>
              <w:top w:val="single" w:sz="4" w:space="0" w:color="auto"/>
              <w:left w:val="nil"/>
              <w:bottom w:val="single" w:sz="4" w:space="0" w:color="auto"/>
              <w:right w:val="single" w:sz="8" w:space="0" w:color="auto"/>
            </w:tcBorders>
          </w:tcPr>
          <w:p w14:paraId="11198264"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AABEF0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701" w:type="dxa"/>
            <w:tcBorders>
              <w:top w:val="single" w:sz="4" w:space="0" w:color="auto"/>
              <w:left w:val="nil"/>
              <w:bottom w:val="single" w:sz="4" w:space="0" w:color="auto"/>
              <w:right w:val="single" w:sz="8" w:space="0" w:color="auto"/>
            </w:tcBorders>
          </w:tcPr>
          <w:p w14:paraId="50FE8C7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505F29F6" w14:textId="77777777" w:rsidR="00632208" w:rsidRPr="0098635C" w:rsidRDefault="00632208" w:rsidP="00A432B0">
            <w:pPr>
              <w:spacing w:after="0"/>
              <w:rPr>
                <w:color w:val="000000" w:themeColor="text1"/>
                <w:sz w:val="20"/>
                <w:szCs w:val="20"/>
              </w:rPr>
            </w:pPr>
            <w:r w:rsidRPr="0098635C">
              <w:rPr>
                <w:color w:val="000000" w:themeColor="text1"/>
                <w:sz w:val="20"/>
                <w:szCs w:val="20"/>
              </w:rPr>
              <w:t>Chapman, 1978</w:t>
            </w:r>
          </w:p>
        </w:tc>
      </w:tr>
      <w:tr w:rsidR="00632208" w:rsidRPr="0098635C" w14:paraId="533B2096"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27AF5B5"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5230FC3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29</w:t>
            </w:r>
          </w:p>
        </w:tc>
        <w:tc>
          <w:tcPr>
            <w:tcW w:w="1276" w:type="dxa"/>
            <w:tcBorders>
              <w:top w:val="single" w:sz="4" w:space="0" w:color="auto"/>
              <w:left w:val="nil"/>
              <w:bottom w:val="single" w:sz="4" w:space="0" w:color="auto"/>
              <w:right w:val="single" w:sz="8" w:space="0" w:color="auto"/>
            </w:tcBorders>
          </w:tcPr>
          <w:p w14:paraId="3C49A80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12.2</w:t>
            </w:r>
          </w:p>
        </w:tc>
        <w:tc>
          <w:tcPr>
            <w:tcW w:w="1417" w:type="dxa"/>
            <w:tcBorders>
              <w:top w:val="single" w:sz="4" w:space="0" w:color="auto"/>
              <w:left w:val="nil"/>
              <w:bottom w:val="single" w:sz="4" w:space="0" w:color="auto"/>
              <w:right w:val="single" w:sz="8" w:space="0" w:color="auto"/>
            </w:tcBorders>
          </w:tcPr>
          <w:p w14:paraId="70C09FC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7.1</w:t>
            </w:r>
          </w:p>
        </w:tc>
        <w:tc>
          <w:tcPr>
            <w:tcW w:w="1276" w:type="dxa"/>
            <w:tcBorders>
              <w:top w:val="single" w:sz="4" w:space="0" w:color="auto"/>
              <w:left w:val="nil"/>
              <w:bottom w:val="single" w:sz="4" w:space="0" w:color="auto"/>
              <w:right w:val="single" w:sz="8" w:space="0" w:color="auto"/>
            </w:tcBorders>
          </w:tcPr>
          <w:p w14:paraId="28BFC508"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FF68F0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701" w:type="dxa"/>
            <w:tcBorders>
              <w:top w:val="single" w:sz="4" w:space="0" w:color="auto"/>
              <w:left w:val="nil"/>
              <w:bottom w:val="single" w:sz="4" w:space="0" w:color="auto"/>
              <w:right w:val="single" w:sz="8" w:space="0" w:color="auto"/>
            </w:tcBorders>
          </w:tcPr>
          <w:p w14:paraId="10DB136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3F845845" w14:textId="77777777" w:rsidR="00632208" w:rsidRPr="0098635C" w:rsidRDefault="00632208" w:rsidP="00A432B0">
            <w:pPr>
              <w:spacing w:after="0"/>
              <w:rPr>
                <w:color w:val="000000" w:themeColor="text1"/>
                <w:sz w:val="20"/>
                <w:szCs w:val="20"/>
              </w:rPr>
            </w:pPr>
            <w:r w:rsidRPr="0098635C">
              <w:rPr>
                <w:color w:val="000000" w:themeColor="text1"/>
                <w:sz w:val="20"/>
                <w:szCs w:val="20"/>
              </w:rPr>
              <w:t>Chapman, 1978</w:t>
            </w:r>
          </w:p>
        </w:tc>
      </w:tr>
      <w:tr w:rsidR="00632208" w:rsidRPr="0098635C" w14:paraId="7DF5652F"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E5E0C5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190B092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28.9</w:t>
            </w:r>
          </w:p>
        </w:tc>
        <w:tc>
          <w:tcPr>
            <w:tcW w:w="1276" w:type="dxa"/>
            <w:tcBorders>
              <w:top w:val="single" w:sz="4" w:space="0" w:color="auto"/>
              <w:left w:val="nil"/>
              <w:bottom w:val="single" w:sz="4" w:space="0" w:color="auto"/>
              <w:right w:val="single" w:sz="8" w:space="0" w:color="auto"/>
            </w:tcBorders>
          </w:tcPr>
          <w:p w14:paraId="576B81A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w:t>
            </w:r>
          </w:p>
        </w:tc>
        <w:tc>
          <w:tcPr>
            <w:tcW w:w="1417" w:type="dxa"/>
            <w:tcBorders>
              <w:top w:val="single" w:sz="4" w:space="0" w:color="auto"/>
              <w:left w:val="nil"/>
              <w:bottom w:val="single" w:sz="4" w:space="0" w:color="auto"/>
              <w:right w:val="single" w:sz="8" w:space="0" w:color="auto"/>
            </w:tcBorders>
          </w:tcPr>
          <w:p w14:paraId="5258AA2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6.0</w:t>
            </w:r>
          </w:p>
        </w:tc>
        <w:tc>
          <w:tcPr>
            <w:tcW w:w="1276" w:type="dxa"/>
            <w:tcBorders>
              <w:top w:val="single" w:sz="4" w:space="0" w:color="auto"/>
              <w:left w:val="nil"/>
              <w:bottom w:val="single" w:sz="4" w:space="0" w:color="auto"/>
              <w:right w:val="single" w:sz="8" w:space="0" w:color="auto"/>
            </w:tcBorders>
          </w:tcPr>
          <w:p w14:paraId="2E84312C"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05F35C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31</w:t>
            </w:r>
          </w:p>
        </w:tc>
        <w:tc>
          <w:tcPr>
            <w:tcW w:w="1701" w:type="dxa"/>
            <w:tcBorders>
              <w:top w:val="single" w:sz="4" w:space="0" w:color="auto"/>
              <w:left w:val="nil"/>
              <w:bottom w:val="single" w:sz="4" w:space="0" w:color="auto"/>
              <w:right w:val="single" w:sz="8" w:space="0" w:color="auto"/>
            </w:tcBorders>
          </w:tcPr>
          <w:p w14:paraId="7F9E25F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71239AC5" w14:textId="77777777" w:rsidR="00632208" w:rsidRPr="0098635C" w:rsidRDefault="00632208" w:rsidP="00A432B0">
            <w:pPr>
              <w:spacing w:after="0"/>
              <w:rPr>
                <w:color w:val="000000" w:themeColor="text1"/>
                <w:sz w:val="20"/>
                <w:szCs w:val="20"/>
              </w:rPr>
            </w:pPr>
            <w:r w:rsidRPr="0098635C">
              <w:rPr>
                <w:color w:val="000000" w:themeColor="text1"/>
                <w:sz w:val="20"/>
                <w:szCs w:val="20"/>
              </w:rPr>
              <w:t>Howard and Sprague, 1978</w:t>
            </w:r>
          </w:p>
        </w:tc>
      </w:tr>
      <w:tr w:rsidR="00632208" w:rsidRPr="0098635C" w14:paraId="6ACC44C2"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A37B26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55C3529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22.4</w:t>
            </w:r>
          </w:p>
        </w:tc>
        <w:tc>
          <w:tcPr>
            <w:tcW w:w="1276" w:type="dxa"/>
            <w:tcBorders>
              <w:top w:val="single" w:sz="4" w:space="0" w:color="auto"/>
              <w:left w:val="nil"/>
              <w:bottom w:val="single" w:sz="4" w:space="0" w:color="auto"/>
              <w:right w:val="single" w:sz="8" w:space="0" w:color="auto"/>
            </w:tcBorders>
          </w:tcPr>
          <w:p w14:paraId="414511E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w:t>
            </w:r>
          </w:p>
        </w:tc>
        <w:tc>
          <w:tcPr>
            <w:tcW w:w="1417" w:type="dxa"/>
            <w:tcBorders>
              <w:top w:val="single" w:sz="4" w:space="0" w:color="auto"/>
              <w:left w:val="nil"/>
              <w:bottom w:val="single" w:sz="4" w:space="0" w:color="auto"/>
              <w:right w:val="single" w:sz="8" w:space="0" w:color="auto"/>
            </w:tcBorders>
          </w:tcPr>
          <w:p w14:paraId="11CD701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6.0</w:t>
            </w:r>
          </w:p>
        </w:tc>
        <w:tc>
          <w:tcPr>
            <w:tcW w:w="1276" w:type="dxa"/>
            <w:tcBorders>
              <w:top w:val="single" w:sz="4" w:space="0" w:color="auto"/>
              <w:left w:val="nil"/>
              <w:bottom w:val="single" w:sz="4" w:space="0" w:color="auto"/>
              <w:right w:val="single" w:sz="8" w:space="0" w:color="auto"/>
            </w:tcBorders>
          </w:tcPr>
          <w:p w14:paraId="1152D929"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261BE7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32</w:t>
            </w:r>
          </w:p>
        </w:tc>
        <w:tc>
          <w:tcPr>
            <w:tcW w:w="1701" w:type="dxa"/>
            <w:tcBorders>
              <w:top w:val="single" w:sz="4" w:space="0" w:color="auto"/>
              <w:left w:val="nil"/>
              <w:bottom w:val="single" w:sz="4" w:space="0" w:color="auto"/>
              <w:right w:val="single" w:sz="8" w:space="0" w:color="auto"/>
            </w:tcBorders>
          </w:tcPr>
          <w:p w14:paraId="6AD449B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6D1C1E88" w14:textId="77777777" w:rsidR="00632208" w:rsidRPr="0098635C" w:rsidRDefault="00632208" w:rsidP="00A432B0">
            <w:pPr>
              <w:spacing w:after="0"/>
              <w:rPr>
                <w:color w:val="000000" w:themeColor="text1"/>
                <w:sz w:val="20"/>
                <w:szCs w:val="20"/>
              </w:rPr>
            </w:pPr>
            <w:r w:rsidRPr="0098635C">
              <w:rPr>
                <w:color w:val="000000" w:themeColor="text1"/>
                <w:sz w:val="20"/>
                <w:szCs w:val="20"/>
              </w:rPr>
              <w:t>Howard and Sprague, 1978</w:t>
            </w:r>
          </w:p>
        </w:tc>
      </w:tr>
      <w:tr w:rsidR="00632208" w:rsidRPr="0098635C" w14:paraId="33E22481"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976C255"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1C0A1A7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40</w:t>
            </w:r>
          </w:p>
        </w:tc>
        <w:tc>
          <w:tcPr>
            <w:tcW w:w="1276" w:type="dxa"/>
            <w:tcBorders>
              <w:top w:val="single" w:sz="4" w:space="0" w:color="auto"/>
              <w:left w:val="nil"/>
              <w:bottom w:val="single" w:sz="4" w:space="0" w:color="auto"/>
              <w:right w:val="single" w:sz="8" w:space="0" w:color="auto"/>
            </w:tcBorders>
          </w:tcPr>
          <w:p w14:paraId="4AA5E3B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w:t>
            </w:r>
          </w:p>
        </w:tc>
        <w:tc>
          <w:tcPr>
            <w:tcW w:w="1417" w:type="dxa"/>
            <w:tcBorders>
              <w:top w:val="single" w:sz="4" w:space="0" w:color="auto"/>
              <w:left w:val="nil"/>
              <w:bottom w:val="single" w:sz="4" w:space="0" w:color="auto"/>
              <w:right w:val="single" w:sz="8" w:space="0" w:color="auto"/>
            </w:tcBorders>
          </w:tcPr>
          <w:p w14:paraId="591D4B2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6.0</w:t>
            </w:r>
          </w:p>
        </w:tc>
        <w:tc>
          <w:tcPr>
            <w:tcW w:w="1276" w:type="dxa"/>
            <w:tcBorders>
              <w:top w:val="single" w:sz="4" w:space="0" w:color="auto"/>
              <w:left w:val="nil"/>
              <w:bottom w:val="single" w:sz="4" w:space="0" w:color="auto"/>
              <w:right w:val="single" w:sz="8" w:space="0" w:color="auto"/>
            </w:tcBorders>
          </w:tcPr>
          <w:p w14:paraId="53D8098D"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1F35AE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101</w:t>
            </w:r>
          </w:p>
        </w:tc>
        <w:tc>
          <w:tcPr>
            <w:tcW w:w="1701" w:type="dxa"/>
            <w:tcBorders>
              <w:top w:val="single" w:sz="4" w:space="0" w:color="auto"/>
              <w:left w:val="nil"/>
              <w:bottom w:val="single" w:sz="4" w:space="0" w:color="auto"/>
              <w:right w:val="single" w:sz="8" w:space="0" w:color="auto"/>
            </w:tcBorders>
          </w:tcPr>
          <w:p w14:paraId="0FF2893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6685BE4B" w14:textId="77777777" w:rsidR="00632208" w:rsidRPr="0098635C" w:rsidRDefault="00632208" w:rsidP="00A432B0">
            <w:pPr>
              <w:spacing w:after="0"/>
              <w:rPr>
                <w:color w:val="000000" w:themeColor="text1"/>
                <w:sz w:val="20"/>
                <w:szCs w:val="20"/>
              </w:rPr>
            </w:pPr>
            <w:r w:rsidRPr="0098635C">
              <w:rPr>
                <w:color w:val="000000" w:themeColor="text1"/>
                <w:sz w:val="20"/>
                <w:szCs w:val="20"/>
              </w:rPr>
              <w:t>Howard and Sprague, 1978</w:t>
            </w:r>
          </w:p>
        </w:tc>
      </w:tr>
      <w:tr w:rsidR="00632208" w:rsidRPr="0098635C" w14:paraId="193DABA3"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59F39DD"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487B945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w:t>
            </w:r>
          </w:p>
        </w:tc>
        <w:tc>
          <w:tcPr>
            <w:tcW w:w="1276" w:type="dxa"/>
            <w:tcBorders>
              <w:top w:val="single" w:sz="4" w:space="0" w:color="auto"/>
              <w:left w:val="nil"/>
              <w:bottom w:val="single" w:sz="4" w:space="0" w:color="auto"/>
              <w:right w:val="single" w:sz="8" w:space="0" w:color="auto"/>
            </w:tcBorders>
          </w:tcPr>
          <w:p w14:paraId="47F6011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w:t>
            </w:r>
          </w:p>
        </w:tc>
        <w:tc>
          <w:tcPr>
            <w:tcW w:w="1417" w:type="dxa"/>
            <w:tcBorders>
              <w:top w:val="single" w:sz="4" w:space="0" w:color="auto"/>
              <w:left w:val="nil"/>
              <w:bottom w:val="single" w:sz="4" w:space="0" w:color="auto"/>
              <w:right w:val="single" w:sz="8" w:space="0" w:color="auto"/>
            </w:tcBorders>
          </w:tcPr>
          <w:p w14:paraId="4395313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6.0</w:t>
            </w:r>
          </w:p>
        </w:tc>
        <w:tc>
          <w:tcPr>
            <w:tcW w:w="1276" w:type="dxa"/>
            <w:tcBorders>
              <w:top w:val="single" w:sz="4" w:space="0" w:color="auto"/>
              <w:left w:val="nil"/>
              <w:bottom w:val="single" w:sz="4" w:space="0" w:color="auto"/>
              <w:right w:val="single" w:sz="8" w:space="0" w:color="auto"/>
            </w:tcBorders>
          </w:tcPr>
          <w:p w14:paraId="4D8CEA1C"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1FE0EB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366</w:t>
            </w:r>
          </w:p>
        </w:tc>
        <w:tc>
          <w:tcPr>
            <w:tcW w:w="1701" w:type="dxa"/>
            <w:tcBorders>
              <w:top w:val="single" w:sz="4" w:space="0" w:color="auto"/>
              <w:left w:val="nil"/>
              <w:bottom w:val="single" w:sz="4" w:space="0" w:color="auto"/>
              <w:right w:val="single" w:sz="8" w:space="0" w:color="auto"/>
            </w:tcBorders>
          </w:tcPr>
          <w:p w14:paraId="7A86399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0A5C7D40" w14:textId="77777777" w:rsidR="00632208" w:rsidRPr="0098635C" w:rsidRDefault="00632208" w:rsidP="00A432B0">
            <w:pPr>
              <w:spacing w:after="0"/>
              <w:rPr>
                <w:color w:val="000000" w:themeColor="text1"/>
                <w:sz w:val="20"/>
                <w:szCs w:val="20"/>
              </w:rPr>
            </w:pPr>
            <w:r w:rsidRPr="0098635C">
              <w:rPr>
                <w:color w:val="000000" w:themeColor="text1"/>
                <w:sz w:val="20"/>
                <w:szCs w:val="20"/>
              </w:rPr>
              <w:t>Howard and Sprague, 1978</w:t>
            </w:r>
          </w:p>
        </w:tc>
      </w:tr>
      <w:tr w:rsidR="00632208" w:rsidRPr="0098635C" w14:paraId="6CD0E340"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DEE4635"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69084FB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82.2</w:t>
            </w:r>
          </w:p>
        </w:tc>
        <w:tc>
          <w:tcPr>
            <w:tcW w:w="1276" w:type="dxa"/>
            <w:tcBorders>
              <w:top w:val="single" w:sz="4" w:space="0" w:color="auto"/>
              <w:left w:val="nil"/>
              <w:bottom w:val="single" w:sz="4" w:space="0" w:color="auto"/>
              <w:right w:val="single" w:sz="8" w:space="0" w:color="auto"/>
            </w:tcBorders>
          </w:tcPr>
          <w:p w14:paraId="7EE7386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w:t>
            </w:r>
          </w:p>
        </w:tc>
        <w:tc>
          <w:tcPr>
            <w:tcW w:w="1417" w:type="dxa"/>
            <w:tcBorders>
              <w:top w:val="single" w:sz="4" w:space="0" w:color="auto"/>
              <w:left w:val="nil"/>
              <w:bottom w:val="single" w:sz="4" w:space="0" w:color="auto"/>
              <w:right w:val="single" w:sz="8" w:space="0" w:color="auto"/>
            </w:tcBorders>
          </w:tcPr>
          <w:p w14:paraId="076BE39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6.0</w:t>
            </w:r>
          </w:p>
        </w:tc>
        <w:tc>
          <w:tcPr>
            <w:tcW w:w="1276" w:type="dxa"/>
            <w:tcBorders>
              <w:top w:val="single" w:sz="4" w:space="0" w:color="auto"/>
              <w:left w:val="nil"/>
              <w:bottom w:val="single" w:sz="4" w:space="0" w:color="auto"/>
              <w:right w:val="single" w:sz="8" w:space="0" w:color="auto"/>
            </w:tcBorders>
          </w:tcPr>
          <w:p w14:paraId="51062032"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30DF4E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371</w:t>
            </w:r>
          </w:p>
        </w:tc>
        <w:tc>
          <w:tcPr>
            <w:tcW w:w="1701" w:type="dxa"/>
            <w:tcBorders>
              <w:top w:val="single" w:sz="4" w:space="0" w:color="auto"/>
              <w:left w:val="nil"/>
              <w:bottom w:val="single" w:sz="4" w:space="0" w:color="auto"/>
              <w:right w:val="single" w:sz="8" w:space="0" w:color="auto"/>
            </w:tcBorders>
          </w:tcPr>
          <w:p w14:paraId="797A355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605D0D37" w14:textId="77777777" w:rsidR="00632208" w:rsidRPr="0098635C" w:rsidRDefault="00632208" w:rsidP="00A432B0">
            <w:pPr>
              <w:spacing w:after="0"/>
              <w:rPr>
                <w:color w:val="000000" w:themeColor="text1"/>
                <w:sz w:val="20"/>
                <w:szCs w:val="20"/>
              </w:rPr>
            </w:pPr>
            <w:r w:rsidRPr="0098635C">
              <w:rPr>
                <w:color w:val="000000" w:themeColor="text1"/>
                <w:sz w:val="20"/>
                <w:szCs w:val="20"/>
              </w:rPr>
              <w:t>Howard and Sprague, 1978</w:t>
            </w:r>
          </w:p>
        </w:tc>
      </w:tr>
      <w:tr w:rsidR="00632208" w:rsidRPr="0098635C" w14:paraId="19CD782B"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4AAFA26"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4E4B4CD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31.9</w:t>
            </w:r>
          </w:p>
        </w:tc>
        <w:tc>
          <w:tcPr>
            <w:tcW w:w="1276" w:type="dxa"/>
            <w:tcBorders>
              <w:top w:val="single" w:sz="4" w:space="0" w:color="auto"/>
              <w:left w:val="nil"/>
              <w:bottom w:val="single" w:sz="4" w:space="0" w:color="auto"/>
              <w:right w:val="single" w:sz="8" w:space="0" w:color="auto"/>
            </w:tcBorders>
          </w:tcPr>
          <w:p w14:paraId="39D0719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w:t>
            </w:r>
          </w:p>
        </w:tc>
        <w:tc>
          <w:tcPr>
            <w:tcW w:w="1417" w:type="dxa"/>
            <w:tcBorders>
              <w:top w:val="single" w:sz="4" w:space="0" w:color="auto"/>
              <w:left w:val="nil"/>
              <w:bottom w:val="single" w:sz="4" w:space="0" w:color="auto"/>
              <w:right w:val="single" w:sz="8" w:space="0" w:color="auto"/>
            </w:tcBorders>
          </w:tcPr>
          <w:p w14:paraId="0CA23CE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6.0</w:t>
            </w:r>
          </w:p>
        </w:tc>
        <w:tc>
          <w:tcPr>
            <w:tcW w:w="1276" w:type="dxa"/>
            <w:tcBorders>
              <w:top w:val="single" w:sz="4" w:space="0" w:color="auto"/>
              <w:left w:val="nil"/>
              <w:bottom w:val="single" w:sz="4" w:space="0" w:color="auto"/>
              <w:right w:val="single" w:sz="8" w:space="0" w:color="auto"/>
            </w:tcBorders>
          </w:tcPr>
          <w:p w14:paraId="4707CA67"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0ECB2C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99</w:t>
            </w:r>
          </w:p>
        </w:tc>
        <w:tc>
          <w:tcPr>
            <w:tcW w:w="1701" w:type="dxa"/>
            <w:tcBorders>
              <w:top w:val="single" w:sz="4" w:space="0" w:color="auto"/>
              <w:left w:val="nil"/>
              <w:bottom w:val="single" w:sz="4" w:space="0" w:color="auto"/>
              <w:right w:val="single" w:sz="8" w:space="0" w:color="auto"/>
            </w:tcBorders>
          </w:tcPr>
          <w:p w14:paraId="639247B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7DD61AC2" w14:textId="77777777" w:rsidR="00632208" w:rsidRPr="0098635C" w:rsidRDefault="00632208" w:rsidP="00A432B0">
            <w:pPr>
              <w:spacing w:after="0"/>
              <w:rPr>
                <w:color w:val="000000" w:themeColor="text1"/>
                <w:sz w:val="20"/>
                <w:szCs w:val="20"/>
              </w:rPr>
            </w:pPr>
            <w:r w:rsidRPr="0098635C">
              <w:rPr>
                <w:color w:val="000000" w:themeColor="text1"/>
                <w:sz w:val="20"/>
                <w:szCs w:val="20"/>
              </w:rPr>
              <w:t>Howard and Sprague, 1978</w:t>
            </w:r>
          </w:p>
        </w:tc>
      </w:tr>
      <w:tr w:rsidR="00632208" w:rsidRPr="0098635C" w14:paraId="54036A6C"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A87CE7A"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47091BC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81.1</w:t>
            </w:r>
          </w:p>
        </w:tc>
        <w:tc>
          <w:tcPr>
            <w:tcW w:w="1276" w:type="dxa"/>
            <w:tcBorders>
              <w:top w:val="single" w:sz="4" w:space="0" w:color="auto"/>
              <w:left w:val="nil"/>
              <w:bottom w:val="single" w:sz="4" w:space="0" w:color="auto"/>
              <w:right w:val="single" w:sz="8" w:space="0" w:color="auto"/>
            </w:tcBorders>
          </w:tcPr>
          <w:p w14:paraId="437A714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w:t>
            </w:r>
          </w:p>
        </w:tc>
        <w:tc>
          <w:tcPr>
            <w:tcW w:w="1417" w:type="dxa"/>
            <w:tcBorders>
              <w:top w:val="single" w:sz="4" w:space="0" w:color="auto"/>
              <w:left w:val="nil"/>
              <w:bottom w:val="single" w:sz="4" w:space="0" w:color="auto"/>
              <w:right w:val="single" w:sz="8" w:space="0" w:color="auto"/>
            </w:tcBorders>
          </w:tcPr>
          <w:p w14:paraId="4B58E3D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w:t>
            </w:r>
          </w:p>
        </w:tc>
        <w:tc>
          <w:tcPr>
            <w:tcW w:w="1276" w:type="dxa"/>
            <w:tcBorders>
              <w:top w:val="single" w:sz="4" w:space="0" w:color="auto"/>
              <w:left w:val="nil"/>
              <w:bottom w:val="single" w:sz="4" w:space="0" w:color="auto"/>
              <w:right w:val="single" w:sz="8" w:space="0" w:color="auto"/>
            </w:tcBorders>
          </w:tcPr>
          <w:p w14:paraId="2C2AC07F"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F27A3D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100</w:t>
            </w:r>
          </w:p>
        </w:tc>
        <w:tc>
          <w:tcPr>
            <w:tcW w:w="1701" w:type="dxa"/>
            <w:tcBorders>
              <w:top w:val="single" w:sz="4" w:space="0" w:color="auto"/>
              <w:left w:val="nil"/>
              <w:bottom w:val="single" w:sz="4" w:space="0" w:color="auto"/>
              <w:right w:val="single" w:sz="8" w:space="0" w:color="auto"/>
            </w:tcBorders>
          </w:tcPr>
          <w:p w14:paraId="2EC5A24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6EEEA380" w14:textId="77777777" w:rsidR="00632208" w:rsidRPr="0098635C" w:rsidRDefault="00632208" w:rsidP="00A432B0">
            <w:pPr>
              <w:spacing w:after="0"/>
              <w:rPr>
                <w:color w:val="000000" w:themeColor="text1"/>
                <w:sz w:val="20"/>
                <w:szCs w:val="20"/>
              </w:rPr>
            </w:pPr>
            <w:r w:rsidRPr="0098635C">
              <w:rPr>
                <w:color w:val="000000" w:themeColor="text1"/>
                <w:sz w:val="20"/>
                <w:szCs w:val="20"/>
              </w:rPr>
              <w:t>Howard and Sprague, 1978</w:t>
            </w:r>
          </w:p>
        </w:tc>
      </w:tr>
      <w:tr w:rsidR="00632208" w:rsidRPr="0098635C" w14:paraId="75B6FB1C"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2169411"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573B1A0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47.4</w:t>
            </w:r>
          </w:p>
        </w:tc>
        <w:tc>
          <w:tcPr>
            <w:tcW w:w="1276" w:type="dxa"/>
            <w:tcBorders>
              <w:top w:val="single" w:sz="4" w:space="0" w:color="auto"/>
              <w:left w:val="nil"/>
              <w:bottom w:val="single" w:sz="4" w:space="0" w:color="auto"/>
              <w:right w:val="single" w:sz="8" w:space="0" w:color="auto"/>
            </w:tcBorders>
          </w:tcPr>
          <w:p w14:paraId="116368A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w:t>
            </w:r>
          </w:p>
        </w:tc>
        <w:tc>
          <w:tcPr>
            <w:tcW w:w="1417" w:type="dxa"/>
            <w:tcBorders>
              <w:top w:val="single" w:sz="4" w:space="0" w:color="auto"/>
              <w:left w:val="nil"/>
              <w:bottom w:val="single" w:sz="4" w:space="0" w:color="auto"/>
              <w:right w:val="single" w:sz="8" w:space="0" w:color="auto"/>
            </w:tcBorders>
          </w:tcPr>
          <w:p w14:paraId="2DB3634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w:t>
            </w:r>
          </w:p>
        </w:tc>
        <w:tc>
          <w:tcPr>
            <w:tcW w:w="1276" w:type="dxa"/>
            <w:tcBorders>
              <w:top w:val="single" w:sz="4" w:space="0" w:color="auto"/>
              <w:left w:val="nil"/>
              <w:bottom w:val="single" w:sz="4" w:space="0" w:color="auto"/>
              <w:right w:val="single" w:sz="8" w:space="0" w:color="auto"/>
            </w:tcBorders>
          </w:tcPr>
          <w:p w14:paraId="55F5727D"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436065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101</w:t>
            </w:r>
          </w:p>
        </w:tc>
        <w:tc>
          <w:tcPr>
            <w:tcW w:w="1701" w:type="dxa"/>
            <w:tcBorders>
              <w:top w:val="single" w:sz="4" w:space="0" w:color="auto"/>
              <w:left w:val="nil"/>
              <w:bottom w:val="single" w:sz="4" w:space="0" w:color="auto"/>
              <w:right w:val="single" w:sz="8" w:space="0" w:color="auto"/>
            </w:tcBorders>
          </w:tcPr>
          <w:p w14:paraId="679F1FA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5E8D81BC" w14:textId="77777777" w:rsidR="00632208" w:rsidRPr="0098635C" w:rsidRDefault="00632208" w:rsidP="00A432B0">
            <w:pPr>
              <w:spacing w:after="0"/>
              <w:rPr>
                <w:color w:val="000000" w:themeColor="text1"/>
                <w:sz w:val="20"/>
                <w:szCs w:val="20"/>
              </w:rPr>
            </w:pPr>
            <w:r w:rsidRPr="0098635C">
              <w:rPr>
                <w:color w:val="000000" w:themeColor="text1"/>
                <w:sz w:val="20"/>
                <w:szCs w:val="20"/>
              </w:rPr>
              <w:t>Howard and Sprague, 1978</w:t>
            </w:r>
          </w:p>
        </w:tc>
      </w:tr>
      <w:tr w:rsidR="00632208" w:rsidRPr="0098635C" w14:paraId="1688CE44"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7CC5E02"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463F178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298</w:t>
            </w:r>
          </w:p>
        </w:tc>
        <w:tc>
          <w:tcPr>
            <w:tcW w:w="1276" w:type="dxa"/>
            <w:tcBorders>
              <w:top w:val="single" w:sz="4" w:space="0" w:color="auto"/>
              <w:left w:val="nil"/>
              <w:bottom w:val="single" w:sz="4" w:space="0" w:color="auto"/>
              <w:right w:val="single" w:sz="8" w:space="0" w:color="auto"/>
            </w:tcBorders>
          </w:tcPr>
          <w:p w14:paraId="7D7603E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w:t>
            </w:r>
          </w:p>
        </w:tc>
        <w:tc>
          <w:tcPr>
            <w:tcW w:w="1417" w:type="dxa"/>
            <w:tcBorders>
              <w:top w:val="single" w:sz="4" w:space="0" w:color="auto"/>
              <w:left w:val="nil"/>
              <w:bottom w:val="single" w:sz="4" w:space="0" w:color="auto"/>
              <w:right w:val="single" w:sz="8" w:space="0" w:color="auto"/>
            </w:tcBorders>
          </w:tcPr>
          <w:p w14:paraId="3380DD2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w:t>
            </w:r>
          </w:p>
        </w:tc>
        <w:tc>
          <w:tcPr>
            <w:tcW w:w="1276" w:type="dxa"/>
            <w:tcBorders>
              <w:top w:val="single" w:sz="4" w:space="0" w:color="auto"/>
              <w:left w:val="nil"/>
              <w:bottom w:val="single" w:sz="4" w:space="0" w:color="auto"/>
              <w:right w:val="single" w:sz="8" w:space="0" w:color="auto"/>
            </w:tcBorders>
          </w:tcPr>
          <w:p w14:paraId="71B032F2"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F9F66B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361</w:t>
            </w:r>
          </w:p>
        </w:tc>
        <w:tc>
          <w:tcPr>
            <w:tcW w:w="1701" w:type="dxa"/>
            <w:tcBorders>
              <w:top w:val="single" w:sz="4" w:space="0" w:color="auto"/>
              <w:left w:val="nil"/>
              <w:bottom w:val="single" w:sz="4" w:space="0" w:color="auto"/>
              <w:right w:val="single" w:sz="8" w:space="0" w:color="auto"/>
            </w:tcBorders>
          </w:tcPr>
          <w:p w14:paraId="7133B35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67753540" w14:textId="77777777" w:rsidR="00632208" w:rsidRPr="0098635C" w:rsidRDefault="00632208" w:rsidP="00A432B0">
            <w:pPr>
              <w:spacing w:after="0"/>
              <w:rPr>
                <w:color w:val="000000" w:themeColor="text1"/>
                <w:sz w:val="20"/>
                <w:szCs w:val="20"/>
              </w:rPr>
            </w:pPr>
            <w:r w:rsidRPr="0098635C">
              <w:rPr>
                <w:color w:val="000000" w:themeColor="text1"/>
                <w:sz w:val="20"/>
                <w:szCs w:val="20"/>
              </w:rPr>
              <w:t>Howard and Sprague, 1978</w:t>
            </w:r>
          </w:p>
        </w:tc>
      </w:tr>
      <w:tr w:rsidR="00632208" w:rsidRPr="0098635C" w14:paraId="5AAC44A9"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95DBD6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3C37E2D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30</w:t>
            </w:r>
          </w:p>
        </w:tc>
        <w:tc>
          <w:tcPr>
            <w:tcW w:w="1276" w:type="dxa"/>
            <w:tcBorders>
              <w:top w:val="single" w:sz="4" w:space="0" w:color="auto"/>
              <w:left w:val="nil"/>
              <w:bottom w:val="single" w:sz="4" w:space="0" w:color="auto"/>
              <w:right w:val="single" w:sz="8" w:space="0" w:color="auto"/>
            </w:tcBorders>
          </w:tcPr>
          <w:p w14:paraId="47057A4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w:t>
            </w:r>
          </w:p>
        </w:tc>
        <w:tc>
          <w:tcPr>
            <w:tcW w:w="1417" w:type="dxa"/>
            <w:tcBorders>
              <w:top w:val="single" w:sz="4" w:space="0" w:color="auto"/>
              <w:left w:val="nil"/>
              <w:bottom w:val="single" w:sz="4" w:space="0" w:color="auto"/>
              <w:right w:val="single" w:sz="8" w:space="0" w:color="auto"/>
            </w:tcBorders>
          </w:tcPr>
          <w:p w14:paraId="3831473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5585FD1E"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04C569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31</w:t>
            </w:r>
          </w:p>
        </w:tc>
        <w:tc>
          <w:tcPr>
            <w:tcW w:w="1701" w:type="dxa"/>
            <w:tcBorders>
              <w:top w:val="single" w:sz="4" w:space="0" w:color="auto"/>
              <w:left w:val="nil"/>
              <w:bottom w:val="single" w:sz="4" w:space="0" w:color="auto"/>
              <w:right w:val="single" w:sz="8" w:space="0" w:color="auto"/>
            </w:tcBorders>
          </w:tcPr>
          <w:p w14:paraId="5BA1DD6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6BB6B0DF" w14:textId="77777777" w:rsidR="00632208" w:rsidRPr="0098635C" w:rsidRDefault="00632208" w:rsidP="00A432B0">
            <w:pPr>
              <w:spacing w:after="0"/>
              <w:rPr>
                <w:color w:val="000000" w:themeColor="text1"/>
                <w:sz w:val="20"/>
                <w:szCs w:val="20"/>
              </w:rPr>
            </w:pPr>
            <w:r w:rsidRPr="0098635C">
              <w:rPr>
                <w:color w:val="000000" w:themeColor="text1"/>
                <w:sz w:val="20"/>
                <w:szCs w:val="20"/>
              </w:rPr>
              <w:t>Howard and Sprague, 1978</w:t>
            </w:r>
          </w:p>
        </w:tc>
      </w:tr>
      <w:tr w:rsidR="00632208" w:rsidRPr="0098635C" w14:paraId="5DF2D60D"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DD2E5BB"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3EC404B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309</w:t>
            </w:r>
          </w:p>
        </w:tc>
        <w:tc>
          <w:tcPr>
            <w:tcW w:w="1276" w:type="dxa"/>
            <w:tcBorders>
              <w:top w:val="single" w:sz="4" w:space="0" w:color="auto"/>
              <w:left w:val="nil"/>
              <w:bottom w:val="single" w:sz="4" w:space="0" w:color="auto"/>
              <w:right w:val="single" w:sz="8" w:space="0" w:color="auto"/>
            </w:tcBorders>
          </w:tcPr>
          <w:p w14:paraId="00F5826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w:t>
            </w:r>
          </w:p>
        </w:tc>
        <w:tc>
          <w:tcPr>
            <w:tcW w:w="1417" w:type="dxa"/>
            <w:tcBorders>
              <w:top w:val="single" w:sz="4" w:space="0" w:color="auto"/>
              <w:left w:val="nil"/>
              <w:bottom w:val="single" w:sz="4" w:space="0" w:color="auto"/>
              <w:right w:val="single" w:sz="8" w:space="0" w:color="auto"/>
            </w:tcBorders>
          </w:tcPr>
          <w:p w14:paraId="65994DF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454FCED3"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1BE436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360</w:t>
            </w:r>
          </w:p>
        </w:tc>
        <w:tc>
          <w:tcPr>
            <w:tcW w:w="1701" w:type="dxa"/>
            <w:tcBorders>
              <w:top w:val="single" w:sz="4" w:space="0" w:color="auto"/>
              <w:left w:val="nil"/>
              <w:bottom w:val="single" w:sz="4" w:space="0" w:color="auto"/>
              <w:right w:val="single" w:sz="8" w:space="0" w:color="auto"/>
            </w:tcBorders>
          </w:tcPr>
          <w:p w14:paraId="1B2C9C9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197FFBFD" w14:textId="77777777" w:rsidR="00632208" w:rsidRPr="0098635C" w:rsidRDefault="00632208" w:rsidP="00A432B0">
            <w:pPr>
              <w:spacing w:after="0"/>
              <w:rPr>
                <w:color w:val="000000" w:themeColor="text1"/>
                <w:sz w:val="20"/>
                <w:szCs w:val="20"/>
              </w:rPr>
            </w:pPr>
            <w:r w:rsidRPr="0098635C">
              <w:rPr>
                <w:color w:val="000000" w:themeColor="text1"/>
                <w:sz w:val="20"/>
                <w:szCs w:val="20"/>
              </w:rPr>
              <w:t>Howard and Sprague, 1978</w:t>
            </w:r>
          </w:p>
        </w:tc>
      </w:tr>
      <w:tr w:rsidR="00632208" w:rsidRPr="0098635C" w14:paraId="6649F257"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80A92F4"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58B4798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516</w:t>
            </w:r>
          </w:p>
        </w:tc>
        <w:tc>
          <w:tcPr>
            <w:tcW w:w="1276" w:type="dxa"/>
            <w:tcBorders>
              <w:top w:val="single" w:sz="4" w:space="0" w:color="auto"/>
              <w:left w:val="nil"/>
              <w:bottom w:val="single" w:sz="4" w:space="0" w:color="auto"/>
              <w:right w:val="single" w:sz="8" w:space="0" w:color="auto"/>
            </w:tcBorders>
          </w:tcPr>
          <w:p w14:paraId="1EA5FBB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w:t>
            </w:r>
          </w:p>
        </w:tc>
        <w:tc>
          <w:tcPr>
            <w:tcW w:w="1417" w:type="dxa"/>
            <w:tcBorders>
              <w:top w:val="single" w:sz="4" w:space="0" w:color="auto"/>
              <w:left w:val="nil"/>
              <w:bottom w:val="single" w:sz="4" w:space="0" w:color="auto"/>
              <w:right w:val="single" w:sz="8" w:space="0" w:color="auto"/>
            </w:tcBorders>
          </w:tcPr>
          <w:p w14:paraId="60B5871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2F0D9797"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77D41D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371</w:t>
            </w:r>
          </w:p>
        </w:tc>
        <w:tc>
          <w:tcPr>
            <w:tcW w:w="1701" w:type="dxa"/>
            <w:tcBorders>
              <w:top w:val="single" w:sz="4" w:space="0" w:color="auto"/>
              <w:left w:val="nil"/>
              <w:bottom w:val="single" w:sz="4" w:space="0" w:color="auto"/>
              <w:right w:val="single" w:sz="8" w:space="0" w:color="auto"/>
            </w:tcBorders>
          </w:tcPr>
          <w:p w14:paraId="5B53A19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326BA29B" w14:textId="77777777" w:rsidR="00632208" w:rsidRPr="0098635C" w:rsidRDefault="00632208" w:rsidP="00A432B0">
            <w:pPr>
              <w:spacing w:after="0"/>
              <w:rPr>
                <w:color w:val="000000" w:themeColor="text1"/>
                <w:sz w:val="20"/>
                <w:szCs w:val="20"/>
              </w:rPr>
            </w:pPr>
            <w:r w:rsidRPr="0098635C">
              <w:rPr>
                <w:color w:val="000000" w:themeColor="text1"/>
                <w:sz w:val="20"/>
                <w:szCs w:val="20"/>
              </w:rPr>
              <w:t>Howard and Sprague, 1978</w:t>
            </w:r>
          </w:p>
        </w:tc>
      </w:tr>
      <w:tr w:rsidR="00632208" w:rsidRPr="0098635C" w14:paraId="2BD4E7DB"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DE2F23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4673C09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83.3</w:t>
            </w:r>
          </w:p>
        </w:tc>
        <w:tc>
          <w:tcPr>
            <w:tcW w:w="1276" w:type="dxa"/>
            <w:tcBorders>
              <w:top w:val="single" w:sz="4" w:space="0" w:color="auto"/>
              <w:left w:val="nil"/>
              <w:bottom w:val="single" w:sz="4" w:space="0" w:color="auto"/>
              <w:right w:val="single" w:sz="8" w:space="0" w:color="auto"/>
            </w:tcBorders>
          </w:tcPr>
          <w:p w14:paraId="61B01DB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12.8</w:t>
            </w:r>
          </w:p>
        </w:tc>
        <w:tc>
          <w:tcPr>
            <w:tcW w:w="1417" w:type="dxa"/>
            <w:tcBorders>
              <w:top w:val="single" w:sz="4" w:space="0" w:color="auto"/>
              <w:left w:val="nil"/>
              <w:bottom w:val="single" w:sz="4" w:space="0" w:color="auto"/>
              <w:right w:val="single" w:sz="8" w:space="0" w:color="auto"/>
            </w:tcBorders>
          </w:tcPr>
          <w:p w14:paraId="3C70226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34E3F8F2"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8D2329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194</w:t>
            </w:r>
          </w:p>
        </w:tc>
        <w:tc>
          <w:tcPr>
            <w:tcW w:w="1701" w:type="dxa"/>
            <w:tcBorders>
              <w:top w:val="single" w:sz="4" w:space="0" w:color="auto"/>
              <w:left w:val="nil"/>
              <w:bottom w:val="single" w:sz="4" w:space="0" w:color="auto"/>
              <w:right w:val="single" w:sz="8" w:space="0" w:color="auto"/>
            </w:tcBorders>
          </w:tcPr>
          <w:p w14:paraId="22EC443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5D01DF00" w14:textId="77777777" w:rsidR="00632208" w:rsidRPr="0098635C" w:rsidRDefault="00632208" w:rsidP="00A432B0">
            <w:pPr>
              <w:spacing w:after="0"/>
              <w:rPr>
                <w:color w:val="000000" w:themeColor="text1"/>
                <w:sz w:val="20"/>
                <w:szCs w:val="20"/>
              </w:rPr>
            </w:pPr>
            <w:r w:rsidRPr="0098635C">
              <w:rPr>
                <w:color w:val="000000" w:themeColor="text1"/>
                <w:sz w:val="20"/>
                <w:szCs w:val="20"/>
              </w:rPr>
              <w:t>Chakoumakos et al, 16979</w:t>
            </w:r>
          </w:p>
        </w:tc>
      </w:tr>
      <w:tr w:rsidR="00632208" w:rsidRPr="0098635C" w14:paraId="1A22EA48"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1CF82C5"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30D87A9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85.3</w:t>
            </w:r>
          </w:p>
        </w:tc>
        <w:tc>
          <w:tcPr>
            <w:tcW w:w="1276" w:type="dxa"/>
            <w:tcBorders>
              <w:top w:val="single" w:sz="4" w:space="0" w:color="auto"/>
              <w:left w:val="nil"/>
              <w:bottom w:val="single" w:sz="4" w:space="0" w:color="auto"/>
              <w:right w:val="single" w:sz="8" w:space="0" w:color="auto"/>
            </w:tcBorders>
          </w:tcPr>
          <w:p w14:paraId="7BE4919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12.8</w:t>
            </w:r>
          </w:p>
        </w:tc>
        <w:tc>
          <w:tcPr>
            <w:tcW w:w="1417" w:type="dxa"/>
            <w:tcBorders>
              <w:top w:val="single" w:sz="4" w:space="0" w:color="auto"/>
              <w:left w:val="nil"/>
              <w:bottom w:val="single" w:sz="4" w:space="0" w:color="auto"/>
              <w:right w:val="single" w:sz="8" w:space="0" w:color="auto"/>
            </w:tcBorders>
          </w:tcPr>
          <w:p w14:paraId="0AB2C67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0774B773"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3AE5FB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194</w:t>
            </w:r>
          </w:p>
        </w:tc>
        <w:tc>
          <w:tcPr>
            <w:tcW w:w="1701" w:type="dxa"/>
            <w:tcBorders>
              <w:top w:val="single" w:sz="4" w:space="0" w:color="auto"/>
              <w:left w:val="nil"/>
              <w:bottom w:val="single" w:sz="4" w:space="0" w:color="auto"/>
              <w:right w:val="single" w:sz="8" w:space="0" w:color="auto"/>
            </w:tcBorders>
          </w:tcPr>
          <w:p w14:paraId="7399C38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6CEEA453" w14:textId="77777777" w:rsidR="00632208" w:rsidRPr="0098635C" w:rsidRDefault="00632208" w:rsidP="00A432B0">
            <w:pPr>
              <w:spacing w:after="0"/>
              <w:rPr>
                <w:color w:val="000000" w:themeColor="text1"/>
                <w:sz w:val="20"/>
                <w:szCs w:val="20"/>
              </w:rPr>
            </w:pPr>
            <w:r w:rsidRPr="0098635C">
              <w:rPr>
                <w:color w:val="000000" w:themeColor="text1"/>
                <w:sz w:val="20"/>
                <w:szCs w:val="20"/>
              </w:rPr>
              <w:t>Chakoumakos et al, 16979</w:t>
            </w:r>
          </w:p>
        </w:tc>
      </w:tr>
      <w:tr w:rsidR="00632208" w:rsidRPr="0098635C" w14:paraId="2F56E57B"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88295D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54BA153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103</w:t>
            </w:r>
          </w:p>
        </w:tc>
        <w:tc>
          <w:tcPr>
            <w:tcW w:w="1276" w:type="dxa"/>
            <w:tcBorders>
              <w:top w:val="single" w:sz="4" w:space="0" w:color="auto"/>
              <w:left w:val="nil"/>
              <w:bottom w:val="single" w:sz="4" w:space="0" w:color="auto"/>
              <w:right w:val="single" w:sz="8" w:space="0" w:color="auto"/>
            </w:tcBorders>
          </w:tcPr>
          <w:p w14:paraId="01CDCCB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12.8</w:t>
            </w:r>
          </w:p>
        </w:tc>
        <w:tc>
          <w:tcPr>
            <w:tcW w:w="1417" w:type="dxa"/>
            <w:tcBorders>
              <w:top w:val="single" w:sz="4" w:space="0" w:color="auto"/>
              <w:left w:val="nil"/>
              <w:bottom w:val="single" w:sz="4" w:space="0" w:color="auto"/>
              <w:right w:val="single" w:sz="8" w:space="0" w:color="auto"/>
            </w:tcBorders>
          </w:tcPr>
          <w:p w14:paraId="4F3305C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7371B52E"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C40894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194</w:t>
            </w:r>
          </w:p>
        </w:tc>
        <w:tc>
          <w:tcPr>
            <w:tcW w:w="1701" w:type="dxa"/>
            <w:tcBorders>
              <w:top w:val="single" w:sz="4" w:space="0" w:color="auto"/>
              <w:left w:val="nil"/>
              <w:bottom w:val="single" w:sz="4" w:space="0" w:color="auto"/>
              <w:right w:val="single" w:sz="8" w:space="0" w:color="auto"/>
            </w:tcBorders>
          </w:tcPr>
          <w:p w14:paraId="02DFC52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5D9B7150" w14:textId="77777777" w:rsidR="00632208" w:rsidRPr="0098635C" w:rsidRDefault="00632208" w:rsidP="00A432B0">
            <w:pPr>
              <w:spacing w:after="0"/>
              <w:rPr>
                <w:color w:val="000000" w:themeColor="text1"/>
                <w:sz w:val="20"/>
                <w:szCs w:val="20"/>
              </w:rPr>
            </w:pPr>
            <w:r w:rsidRPr="0098635C">
              <w:rPr>
                <w:color w:val="000000" w:themeColor="text1"/>
                <w:sz w:val="20"/>
                <w:szCs w:val="20"/>
              </w:rPr>
              <w:t>Chakoumakos et al, 16979</w:t>
            </w:r>
          </w:p>
        </w:tc>
      </w:tr>
      <w:tr w:rsidR="00632208" w:rsidRPr="0098635C" w14:paraId="20BF8847"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3AE5AE1"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42E1303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128</w:t>
            </w:r>
          </w:p>
        </w:tc>
        <w:tc>
          <w:tcPr>
            <w:tcW w:w="1276" w:type="dxa"/>
            <w:tcBorders>
              <w:top w:val="single" w:sz="4" w:space="0" w:color="auto"/>
              <w:left w:val="nil"/>
              <w:bottom w:val="single" w:sz="4" w:space="0" w:color="auto"/>
              <w:right w:val="single" w:sz="8" w:space="0" w:color="auto"/>
            </w:tcBorders>
          </w:tcPr>
          <w:p w14:paraId="5404B7C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12.8</w:t>
            </w:r>
          </w:p>
        </w:tc>
        <w:tc>
          <w:tcPr>
            <w:tcW w:w="1417" w:type="dxa"/>
            <w:tcBorders>
              <w:top w:val="single" w:sz="4" w:space="0" w:color="auto"/>
              <w:left w:val="nil"/>
              <w:bottom w:val="single" w:sz="4" w:space="0" w:color="auto"/>
              <w:right w:val="single" w:sz="8" w:space="0" w:color="auto"/>
            </w:tcBorders>
          </w:tcPr>
          <w:p w14:paraId="540C284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7172592D"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AD3F95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194</w:t>
            </w:r>
          </w:p>
        </w:tc>
        <w:tc>
          <w:tcPr>
            <w:tcW w:w="1701" w:type="dxa"/>
            <w:tcBorders>
              <w:top w:val="single" w:sz="4" w:space="0" w:color="auto"/>
              <w:left w:val="nil"/>
              <w:bottom w:val="single" w:sz="4" w:space="0" w:color="auto"/>
              <w:right w:val="single" w:sz="8" w:space="0" w:color="auto"/>
            </w:tcBorders>
          </w:tcPr>
          <w:p w14:paraId="4110C73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3BB819B8" w14:textId="77777777" w:rsidR="00632208" w:rsidRPr="0098635C" w:rsidRDefault="00632208" w:rsidP="00A432B0">
            <w:pPr>
              <w:spacing w:after="0"/>
              <w:rPr>
                <w:color w:val="000000" w:themeColor="text1"/>
                <w:sz w:val="20"/>
                <w:szCs w:val="20"/>
              </w:rPr>
            </w:pPr>
            <w:r w:rsidRPr="0098635C">
              <w:rPr>
                <w:color w:val="000000" w:themeColor="text1"/>
                <w:sz w:val="20"/>
                <w:szCs w:val="20"/>
              </w:rPr>
              <w:t>Chakoumakos et al, 16979</w:t>
            </w:r>
          </w:p>
        </w:tc>
      </w:tr>
      <w:tr w:rsidR="00632208" w:rsidRPr="0098635C" w14:paraId="7C08991D"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EDBDCDD"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03B4F8A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165</w:t>
            </w:r>
          </w:p>
        </w:tc>
        <w:tc>
          <w:tcPr>
            <w:tcW w:w="1276" w:type="dxa"/>
            <w:tcBorders>
              <w:top w:val="single" w:sz="4" w:space="0" w:color="auto"/>
              <w:left w:val="nil"/>
              <w:bottom w:val="single" w:sz="4" w:space="0" w:color="auto"/>
              <w:right w:val="single" w:sz="8" w:space="0" w:color="auto"/>
            </w:tcBorders>
          </w:tcPr>
          <w:p w14:paraId="50B40DF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12.8</w:t>
            </w:r>
          </w:p>
        </w:tc>
        <w:tc>
          <w:tcPr>
            <w:tcW w:w="1417" w:type="dxa"/>
            <w:tcBorders>
              <w:top w:val="single" w:sz="4" w:space="0" w:color="auto"/>
              <w:left w:val="nil"/>
              <w:bottom w:val="single" w:sz="4" w:space="0" w:color="auto"/>
              <w:right w:val="single" w:sz="8" w:space="0" w:color="auto"/>
            </w:tcBorders>
          </w:tcPr>
          <w:p w14:paraId="26877FE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3742F1AD"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E3E402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194</w:t>
            </w:r>
          </w:p>
        </w:tc>
        <w:tc>
          <w:tcPr>
            <w:tcW w:w="1701" w:type="dxa"/>
            <w:tcBorders>
              <w:top w:val="single" w:sz="4" w:space="0" w:color="auto"/>
              <w:left w:val="nil"/>
              <w:bottom w:val="single" w:sz="4" w:space="0" w:color="auto"/>
              <w:right w:val="single" w:sz="8" w:space="0" w:color="auto"/>
            </w:tcBorders>
          </w:tcPr>
          <w:p w14:paraId="552F1A5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0B133C9A" w14:textId="77777777" w:rsidR="00632208" w:rsidRPr="0098635C" w:rsidRDefault="00632208" w:rsidP="00A432B0">
            <w:pPr>
              <w:spacing w:after="0"/>
              <w:rPr>
                <w:color w:val="000000" w:themeColor="text1"/>
                <w:sz w:val="20"/>
                <w:szCs w:val="20"/>
              </w:rPr>
            </w:pPr>
            <w:r w:rsidRPr="0098635C">
              <w:rPr>
                <w:color w:val="000000" w:themeColor="text1"/>
                <w:sz w:val="20"/>
                <w:szCs w:val="20"/>
              </w:rPr>
              <w:t>Chakoumakos et al, 16979</w:t>
            </w:r>
          </w:p>
        </w:tc>
      </w:tr>
      <w:tr w:rsidR="00632208" w:rsidRPr="0098635C" w14:paraId="737383CB"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0E6DE1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63E2788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169</w:t>
            </w:r>
          </w:p>
        </w:tc>
        <w:tc>
          <w:tcPr>
            <w:tcW w:w="1276" w:type="dxa"/>
            <w:tcBorders>
              <w:top w:val="single" w:sz="4" w:space="0" w:color="auto"/>
              <w:left w:val="nil"/>
              <w:bottom w:val="single" w:sz="4" w:space="0" w:color="auto"/>
              <w:right w:val="single" w:sz="8" w:space="0" w:color="auto"/>
            </w:tcBorders>
          </w:tcPr>
          <w:p w14:paraId="02360BF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12.8</w:t>
            </w:r>
          </w:p>
        </w:tc>
        <w:tc>
          <w:tcPr>
            <w:tcW w:w="1417" w:type="dxa"/>
            <w:tcBorders>
              <w:top w:val="single" w:sz="4" w:space="0" w:color="auto"/>
              <w:left w:val="nil"/>
              <w:bottom w:val="single" w:sz="4" w:space="0" w:color="auto"/>
              <w:right w:val="single" w:sz="8" w:space="0" w:color="auto"/>
            </w:tcBorders>
          </w:tcPr>
          <w:p w14:paraId="6E74C19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1032A72E"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2444F7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194</w:t>
            </w:r>
          </w:p>
        </w:tc>
        <w:tc>
          <w:tcPr>
            <w:tcW w:w="1701" w:type="dxa"/>
            <w:tcBorders>
              <w:top w:val="single" w:sz="4" w:space="0" w:color="auto"/>
              <w:left w:val="nil"/>
              <w:bottom w:val="single" w:sz="4" w:space="0" w:color="auto"/>
              <w:right w:val="single" w:sz="8" w:space="0" w:color="auto"/>
            </w:tcBorders>
          </w:tcPr>
          <w:p w14:paraId="11A9C4E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38F393A2" w14:textId="77777777" w:rsidR="00632208" w:rsidRPr="0098635C" w:rsidRDefault="00632208" w:rsidP="00A432B0">
            <w:pPr>
              <w:spacing w:after="0"/>
              <w:rPr>
                <w:color w:val="000000" w:themeColor="text1"/>
                <w:sz w:val="20"/>
                <w:szCs w:val="20"/>
              </w:rPr>
            </w:pPr>
            <w:r w:rsidRPr="0098635C">
              <w:rPr>
                <w:color w:val="000000" w:themeColor="text1"/>
                <w:sz w:val="20"/>
                <w:szCs w:val="20"/>
              </w:rPr>
              <w:t>Chakoumakos et al, 16979</w:t>
            </w:r>
          </w:p>
        </w:tc>
      </w:tr>
      <w:tr w:rsidR="00632208" w:rsidRPr="0098635C" w14:paraId="75ED7F4C"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193E9B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lastRenderedPageBreak/>
              <w:t>Oncorhynchus mykiss</w:t>
            </w:r>
          </w:p>
        </w:tc>
        <w:tc>
          <w:tcPr>
            <w:tcW w:w="1134" w:type="dxa"/>
            <w:tcBorders>
              <w:top w:val="single" w:sz="4" w:space="0" w:color="auto"/>
              <w:left w:val="nil"/>
              <w:bottom w:val="single" w:sz="4" w:space="0" w:color="auto"/>
              <w:right w:val="single" w:sz="8" w:space="0" w:color="auto"/>
            </w:tcBorders>
          </w:tcPr>
          <w:p w14:paraId="127941A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197</w:t>
            </w:r>
          </w:p>
        </w:tc>
        <w:tc>
          <w:tcPr>
            <w:tcW w:w="1276" w:type="dxa"/>
            <w:tcBorders>
              <w:top w:val="single" w:sz="4" w:space="0" w:color="auto"/>
              <w:left w:val="nil"/>
              <w:bottom w:val="single" w:sz="4" w:space="0" w:color="auto"/>
              <w:right w:val="single" w:sz="8" w:space="0" w:color="auto"/>
            </w:tcBorders>
          </w:tcPr>
          <w:p w14:paraId="50D99F4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12.8</w:t>
            </w:r>
          </w:p>
        </w:tc>
        <w:tc>
          <w:tcPr>
            <w:tcW w:w="1417" w:type="dxa"/>
            <w:tcBorders>
              <w:top w:val="single" w:sz="4" w:space="0" w:color="auto"/>
              <w:left w:val="nil"/>
              <w:bottom w:val="single" w:sz="4" w:space="0" w:color="auto"/>
              <w:right w:val="single" w:sz="8" w:space="0" w:color="auto"/>
            </w:tcBorders>
          </w:tcPr>
          <w:p w14:paraId="47BF61C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14179924"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85ABF3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194</w:t>
            </w:r>
          </w:p>
        </w:tc>
        <w:tc>
          <w:tcPr>
            <w:tcW w:w="1701" w:type="dxa"/>
            <w:tcBorders>
              <w:top w:val="single" w:sz="4" w:space="0" w:color="auto"/>
              <w:left w:val="nil"/>
              <w:bottom w:val="single" w:sz="4" w:space="0" w:color="auto"/>
              <w:right w:val="single" w:sz="8" w:space="0" w:color="auto"/>
            </w:tcBorders>
          </w:tcPr>
          <w:p w14:paraId="7C6753B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23044591" w14:textId="77777777" w:rsidR="00632208" w:rsidRPr="0098635C" w:rsidRDefault="00632208" w:rsidP="00A432B0">
            <w:pPr>
              <w:spacing w:after="0"/>
              <w:rPr>
                <w:color w:val="000000" w:themeColor="text1"/>
                <w:sz w:val="20"/>
                <w:szCs w:val="20"/>
              </w:rPr>
            </w:pPr>
            <w:r w:rsidRPr="0098635C">
              <w:rPr>
                <w:color w:val="000000" w:themeColor="text1"/>
                <w:sz w:val="20"/>
                <w:szCs w:val="20"/>
              </w:rPr>
              <w:t>Chakoumakos et al, 16979</w:t>
            </w:r>
          </w:p>
        </w:tc>
      </w:tr>
      <w:tr w:rsidR="00632208" w:rsidRPr="0098635C" w14:paraId="11392BAC"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3398C95"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41D3014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221</w:t>
            </w:r>
          </w:p>
        </w:tc>
        <w:tc>
          <w:tcPr>
            <w:tcW w:w="1276" w:type="dxa"/>
            <w:tcBorders>
              <w:top w:val="single" w:sz="4" w:space="0" w:color="auto"/>
              <w:left w:val="nil"/>
              <w:bottom w:val="single" w:sz="4" w:space="0" w:color="auto"/>
              <w:right w:val="single" w:sz="8" w:space="0" w:color="auto"/>
            </w:tcBorders>
          </w:tcPr>
          <w:p w14:paraId="56E4CFC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12.8</w:t>
            </w:r>
          </w:p>
        </w:tc>
        <w:tc>
          <w:tcPr>
            <w:tcW w:w="1417" w:type="dxa"/>
            <w:tcBorders>
              <w:top w:val="single" w:sz="4" w:space="0" w:color="auto"/>
              <w:left w:val="nil"/>
              <w:bottom w:val="single" w:sz="4" w:space="0" w:color="auto"/>
              <w:right w:val="single" w:sz="8" w:space="0" w:color="auto"/>
            </w:tcBorders>
          </w:tcPr>
          <w:p w14:paraId="23037D4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57E9D5EC"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0C0A35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194</w:t>
            </w:r>
          </w:p>
        </w:tc>
        <w:tc>
          <w:tcPr>
            <w:tcW w:w="1701" w:type="dxa"/>
            <w:tcBorders>
              <w:top w:val="single" w:sz="4" w:space="0" w:color="auto"/>
              <w:left w:val="nil"/>
              <w:bottom w:val="single" w:sz="4" w:space="0" w:color="auto"/>
              <w:right w:val="single" w:sz="8" w:space="0" w:color="auto"/>
            </w:tcBorders>
          </w:tcPr>
          <w:p w14:paraId="3947FE7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19F96F8D" w14:textId="77777777" w:rsidR="00632208" w:rsidRPr="0098635C" w:rsidRDefault="00632208" w:rsidP="00A432B0">
            <w:pPr>
              <w:spacing w:after="0"/>
              <w:rPr>
                <w:color w:val="000000" w:themeColor="text1"/>
                <w:sz w:val="20"/>
                <w:szCs w:val="20"/>
              </w:rPr>
            </w:pPr>
            <w:r w:rsidRPr="0098635C">
              <w:rPr>
                <w:color w:val="000000" w:themeColor="text1"/>
                <w:sz w:val="20"/>
                <w:szCs w:val="20"/>
              </w:rPr>
              <w:t>Chakoumakos et al, 16979</w:t>
            </w:r>
          </w:p>
        </w:tc>
      </w:tr>
      <w:tr w:rsidR="00632208" w:rsidRPr="0098635C" w14:paraId="41ACDB1F"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94D28D8"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0024CBA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243</w:t>
            </w:r>
          </w:p>
        </w:tc>
        <w:tc>
          <w:tcPr>
            <w:tcW w:w="1276" w:type="dxa"/>
            <w:tcBorders>
              <w:top w:val="single" w:sz="4" w:space="0" w:color="auto"/>
              <w:left w:val="nil"/>
              <w:bottom w:val="single" w:sz="4" w:space="0" w:color="auto"/>
              <w:right w:val="single" w:sz="8" w:space="0" w:color="auto"/>
            </w:tcBorders>
          </w:tcPr>
          <w:p w14:paraId="1EA474D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12.8</w:t>
            </w:r>
          </w:p>
        </w:tc>
        <w:tc>
          <w:tcPr>
            <w:tcW w:w="1417" w:type="dxa"/>
            <w:tcBorders>
              <w:top w:val="single" w:sz="4" w:space="0" w:color="auto"/>
              <w:left w:val="nil"/>
              <w:bottom w:val="single" w:sz="4" w:space="0" w:color="auto"/>
              <w:right w:val="single" w:sz="8" w:space="0" w:color="auto"/>
            </w:tcBorders>
          </w:tcPr>
          <w:p w14:paraId="2623536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34431226"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C1C081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194</w:t>
            </w:r>
          </w:p>
        </w:tc>
        <w:tc>
          <w:tcPr>
            <w:tcW w:w="1701" w:type="dxa"/>
            <w:tcBorders>
              <w:top w:val="single" w:sz="4" w:space="0" w:color="auto"/>
              <w:left w:val="nil"/>
              <w:bottom w:val="single" w:sz="4" w:space="0" w:color="auto"/>
              <w:right w:val="single" w:sz="8" w:space="0" w:color="auto"/>
            </w:tcBorders>
          </w:tcPr>
          <w:p w14:paraId="2A6EE40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7B2E7E36" w14:textId="77777777" w:rsidR="00632208" w:rsidRPr="0098635C" w:rsidRDefault="00632208" w:rsidP="00A432B0">
            <w:pPr>
              <w:spacing w:after="0"/>
              <w:rPr>
                <w:color w:val="000000" w:themeColor="text1"/>
                <w:sz w:val="20"/>
                <w:szCs w:val="20"/>
              </w:rPr>
            </w:pPr>
            <w:r w:rsidRPr="0098635C">
              <w:rPr>
                <w:color w:val="000000" w:themeColor="text1"/>
                <w:sz w:val="20"/>
                <w:szCs w:val="20"/>
              </w:rPr>
              <w:t>Chakoumakos et al, 16979</w:t>
            </w:r>
          </w:p>
        </w:tc>
      </w:tr>
      <w:tr w:rsidR="00632208" w:rsidRPr="0098635C" w14:paraId="183578E7"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F5F17B2"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1E1CBC9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274</w:t>
            </w:r>
          </w:p>
        </w:tc>
        <w:tc>
          <w:tcPr>
            <w:tcW w:w="1276" w:type="dxa"/>
            <w:tcBorders>
              <w:top w:val="single" w:sz="4" w:space="0" w:color="auto"/>
              <w:left w:val="nil"/>
              <w:bottom w:val="single" w:sz="4" w:space="0" w:color="auto"/>
              <w:right w:val="single" w:sz="8" w:space="0" w:color="auto"/>
            </w:tcBorders>
          </w:tcPr>
          <w:p w14:paraId="4F7AC34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12.8</w:t>
            </w:r>
          </w:p>
        </w:tc>
        <w:tc>
          <w:tcPr>
            <w:tcW w:w="1417" w:type="dxa"/>
            <w:tcBorders>
              <w:top w:val="single" w:sz="4" w:space="0" w:color="auto"/>
              <w:left w:val="nil"/>
              <w:bottom w:val="single" w:sz="4" w:space="0" w:color="auto"/>
              <w:right w:val="single" w:sz="8" w:space="0" w:color="auto"/>
            </w:tcBorders>
          </w:tcPr>
          <w:p w14:paraId="33A2EC1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0C46F729"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9848F1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194</w:t>
            </w:r>
          </w:p>
        </w:tc>
        <w:tc>
          <w:tcPr>
            <w:tcW w:w="1701" w:type="dxa"/>
            <w:tcBorders>
              <w:top w:val="single" w:sz="4" w:space="0" w:color="auto"/>
              <w:left w:val="nil"/>
              <w:bottom w:val="single" w:sz="4" w:space="0" w:color="auto"/>
              <w:right w:val="single" w:sz="8" w:space="0" w:color="auto"/>
            </w:tcBorders>
          </w:tcPr>
          <w:p w14:paraId="0D729C8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00ECD1B3" w14:textId="77777777" w:rsidR="00632208" w:rsidRPr="0098635C" w:rsidRDefault="00632208" w:rsidP="00A432B0">
            <w:pPr>
              <w:spacing w:after="0"/>
              <w:rPr>
                <w:color w:val="000000" w:themeColor="text1"/>
                <w:sz w:val="20"/>
                <w:szCs w:val="20"/>
              </w:rPr>
            </w:pPr>
            <w:r w:rsidRPr="0098635C">
              <w:rPr>
                <w:color w:val="000000" w:themeColor="text1"/>
                <w:sz w:val="20"/>
                <w:szCs w:val="20"/>
              </w:rPr>
              <w:t>Chakoumakos et al, 16979</w:t>
            </w:r>
          </w:p>
        </w:tc>
      </w:tr>
      <w:tr w:rsidR="00632208" w:rsidRPr="0098635C" w14:paraId="225964AB"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66BE439"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041F4DC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514</w:t>
            </w:r>
          </w:p>
        </w:tc>
        <w:tc>
          <w:tcPr>
            <w:tcW w:w="1276" w:type="dxa"/>
            <w:tcBorders>
              <w:top w:val="single" w:sz="4" w:space="0" w:color="auto"/>
              <w:left w:val="nil"/>
              <w:bottom w:val="single" w:sz="4" w:space="0" w:color="auto"/>
              <w:right w:val="single" w:sz="8" w:space="0" w:color="auto"/>
            </w:tcBorders>
          </w:tcPr>
          <w:p w14:paraId="3FF80FE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12.8</w:t>
            </w:r>
          </w:p>
        </w:tc>
        <w:tc>
          <w:tcPr>
            <w:tcW w:w="1417" w:type="dxa"/>
            <w:tcBorders>
              <w:top w:val="single" w:sz="4" w:space="0" w:color="auto"/>
              <w:left w:val="nil"/>
              <w:bottom w:val="single" w:sz="4" w:space="0" w:color="auto"/>
              <w:right w:val="single" w:sz="8" w:space="0" w:color="auto"/>
            </w:tcBorders>
          </w:tcPr>
          <w:p w14:paraId="2A8702B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1880BCC4"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DD6763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194</w:t>
            </w:r>
          </w:p>
        </w:tc>
        <w:tc>
          <w:tcPr>
            <w:tcW w:w="1701" w:type="dxa"/>
            <w:tcBorders>
              <w:top w:val="single" w:sz="4" w:space="0" w:color="auto"/>
              <w:left w:val="nil"/>
              <w:bottom w:val="single" w:sz="4" w:space="0" w:color="auto"/>
              <w:right w:val="single" w:sz="8" w:space="0" w:color="auto"/>
            </w:tcBorders>
          </w:tcPr>
          <w:p w14:paraId="4781A24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533B3B29" w14:textId="77777777" w:rsidR="00632208" w:rsidRPr="0098635C" w:rsidRDefault="00632208" w:rsidP="00A432B0">
            <w:pPr>
              <w:spacing w:after="0"/>
              <w:rPr>
                <w:color w:val="000000" w:themeColor="text1"/>
                <w:sz w:val="20"/>
                <w:szCs w:val="20"/>
              </w:rPr>
            </w:pPr>
            <w:r w:rsidRPr="0098635C">
              <w:rPr>
                <w:color w:val="000000" w:themeColor="text1"/>
                <w:sz w:val="20"/>
                <w:szCs w:val="20"/>
              </w:rPr>
              <w:t>Chakoumakos et al, 16979</w:t>
            </w:r>
          </w:p>
        </w:tc>
      </w:tr>
      <w:tr w:rsidR="00632208" w:rsidRPr="0098635C" w14:paraId="7A20E3F2"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A77C69E"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400B74B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102</w:t>
            </w:r>
          </w:p>
        </w:tc>
        <w:tc>
          <w:tcPr>
            <w:tcW w:w="1276" w:type="dxa"/>
            <w:tcBorders>
              <w:top w:val="single" w:sz="4" w:space="0" w:color="auto"/>
              <w:left w:val="nil"/>
              <w:bottom w:val="single" w:sz="4" w:space="0" w:color="auto"/>
              <w:right w:val="single" w:sz="8" w:space="0" w:color="auto"/>
            </w:tcBorders>
          </w:tcPr>
          <w:p w14:paraId="128957B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w:t>
            </w:r>
          </w:p>
        </w:tc>
        <w:tc>
          <w:tcPr>
            <w:tcW w:w="1417" w:type="dxa"/>
            <w:tcBorders>
              <w:top w:val="single" w:sz="4" w:space="0" w:color="auto"/>
              <w:left w:val="nil"/>
              <w:bottom w:val="single" w:sz="4" w:space="0" w:color="auto"/>
              <w:right w:val="single" w:sz="8" w:space="0" w:color="auto"/>
            </w:tcBorders>
          </w:tcPr>
          <w:p w14:paraId="39F7BD8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702EFC5F"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594ACE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362</w:t>
            </w:r>
          </w:p>
        </w:tc>
        <w:tc>
          <w:tcPr>
            <w:tcW w:w="1701" w:type="dxa"/>
            <w:tcBorders>
              <w:top w:val="single" w:sz="4" w:space="0" w:color="auto"/>
              <w:left w:val="nil"/>
              <w:bottom w:val="single" w:sz="4" w:space="0" w:color="auto"/>
              <w:right w:val="single" w:sz="8" w:space="0" w:color="auto"/>
            </w:tcBorders>
          </w:tcPr>
          <w:p w14:paraId="43BA762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6352CA1F" w14:textId="77777777" w:rsidR="00632208" w:rsidRPr="0098635C" w:rsidRDefault="00632208" w:rsidP="00A432B0">
            <w:pPr>
              <w:spacing w:after="0"/>
              <w:rPr>
                <w:color w:val="000000" w:themeColor="text1"/>
                <w:sz w:val="20"/>
                <w:szCs w:val="20"/>
              </w:rPr>
            </w:pPr>
            <w:r w:rsidRPr="0098635C">
              <w:rPr>
                <w:color w:val="000000" w:themeColor="text1"/>
                <w:sz w:val="20"/>
                <w:szCs w:val="20"/>
              </w:rPr>
              <w:t>Fogels and Sprague, 1977</w:t>
            </w:r>
          </w:p>
        </w:tc>
      </w:tr>
      <w:tr w:rsidR="00632208" w:rsidRPr="0098635C" w14:paraId="60587253"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AD5AF34"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52AF342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164</w:t>
            </w:r>
          </w:p>
        </w:tc>
        <w:tc>
          <w:tcPr>
            <w:tcW w:w="1276" w:type="dxa"/>
            <w:tcBorders>
              <w:top w:val="single" w:sz="4" w:space="0" w:color="auto"/>
              <w:left w:val="nil"/>
              <w:bottom w:val="single" w:sz="4" w:space="0" w:color="auto"/>
              <w:right w:val="single" w:sz="8" w:space="0" w:color="auto"/>
            </w:tcBorders>
          </w:tcPr>
          <w:p w14:paraId="266FD8D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13.5</w:t>
            </w:r>
          </w:p>
        </w:tc>
        <w:tc>
          <w:tcPr>
            <w:tcW w:w="1417" w:type="dxa"/>
            <w:tcBorders>
              <w:top w:val="single" w:sz="4" w:space="0" w:color="auto"/>
              <w:left w:val="nil"/>
              <w:bottom w:val="single" w:sz="4" w:space="0" w:color="auto"/>
              <w:right w:val="single" w:sz="8" w:space="0" w:color="auto"/>
            </w:tcBorders>
          </w:tcPr>
          <w:p w14:paraId="2BDD82F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7.3</w:t>
            </w:r>
          </w:p>
        </w:tc>
        <w:tc>
          <w:tcPr>
            <w:tcW w:w="1276" w:type="dxa"/>
            <w:tcBorders>
              <w:top w:val="single" w:sz="4" w:space="0" w:color="auto"/>
              <w:left w:val="nil"/>
              <w:bottom w:val="single" w:sz="4" w:space="0" w:color="auto"/>
              <w:right w:val="single" w:sz="8" w:space="0" w:color="auto"/>
            </w:tcBorders>
          </w:tcPr>
          <w:p w14:paraId="6BF56084"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F84A9A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33</w:t>
            </w:r>
          </w:p>
        </w:tc>
        <w:tc>
          <w:tcPr>
            <w:tcW w:w="1701" w:type="dxa"/>
            <w:tcBorders>
              <w:top w:val="single" w:sz="4" w:space="0" w:color="auto"/>
              <w:left w:val="nil"/>
              <w:bottom w:val="single" w:sz="4" w:space="0" w:color="auto"/>
              <w:right w:val="single" w:sz="8" w:space="0" w:color="auto"/>
            </w:tcBorders>
          </w:tcPr>
          <w:p w14:paraId="5F6D55B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007D41F8" w14:textId="77777777" w:rsidR="00632208" w:rsidRPr="0098635C" w:rsidRDefault="00632208" w:rsidP="00A432B0">
            <w:pPr>
              <w:spacing w:after="0"/>
              <w:rPr>
                <w:color w:val="000000" w:themeColor="text1"/>
                <w:sz w:val="20"/>
                <w:szCs w:val="20"/>
              </w:rPr>
            </w:pPr>
            <w:r w:rsidRPr="0098635C">
              <w:rPr>
                <w:color w:val="000000" w:themeColor="text1"/>
                <w:sz w:val="20"/>
                <w:szCs w:val="20"/>
              </w:rPr>
              <w:t>Buckley, 1983</w:t>
            </w:r>
          </w:p>
        </w:tc>
      </w:tr>
      <w:tr w:rsidR="00632208" w:rsidRPr="0098635C" w14:paraId="69CB5AE7"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C26D2F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38771F0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286</w:t>
            </w:r>
          </w:p>
        </w:tc>
        <w:tc>
          <w:tcPr>
            <w:tcW w:w="1276" w:type="dxa"/>
            <w:tcBorders>
              <w:top w:val="single" w:sz="4" w:space="0" w:color="auto"/>
              <w:left w:val="nil"/>
              <w:bottom w:val="single" w:sz="4" w:space="0" w:color="auto"/>
              <w:right w:val="single" w:sz="8" w:space="0" w:color="auto"/>
            </w:tcBorders>
          </w:tcPr>
          <w:p w14:paraId="4CED065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13.5</w:t>
            </w:r>
          </w:p>
        </w:tc>
        <w:tc>
          <w:tcPr>
            <w:tcW w:w="1417" w:type="dxa"/>
            <w:tcBorders>
              <w:top w:val="single" w:sz="4" w:space="0" w:color="auto"/>
              <w:left w:val="nil"/>
              <w:bottom w:val="single" w:sz="4" w:space="0" w:color="auto"/>
              <w:right w:val="single" w:sz="8" w:space="0" w:color="auto"/>
            </w:tcBorders>
          </w:tcPr>
          <w:p w14:paraId="3C19DC9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tc>
        <w:tc>
          <w:tcPr>
            <w:tcW w:w="1276" w:type="dxa"/>
            <w:tcBorders>
              <w:top w:val="single" w:sz="4" w:space="0" w:color="auto"/>
              <w:left w:val="nil"/>
              <w:bottom w:val="single" w:sz="4" w:space="0" w:color="auto"/>
              <w:right w:val="single" w:sz="8" w:space="0" w:color="auto"/>
            </w:tcBorders>
          </w:tcPr>
          <w:p w14:paraId="472FD57C"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11DC6F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41</w:t>
            </w:r>
          </w:p>
        </w:tc>
        <w:tc>
          <w:tcPr>
            <w:tcW w:w="1701" w:type="dxa"/>
            <w:tcBorders>
              <w:top w:val="single" w:sz="4" w:space="0" w:color="auto"/>
              <w:left w:val="nil"/>
              <w:bottom w:val="single" w:sz="4" w:space="0" w:color="auto"/>
              <w:right w:val="single" w:sz="8" w:space="0" w:color="auto"/>
            </w:tcBorders>
          </w:tcPr>
          <w:p w14:paraId="3E66F88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0F59241E" w14:textId="77777777" w:rsidR="00632208" w:rsidRPr="0098635C" w:rsidRDefault="00632208" w:rsidP="00A432B0">
            <w:pPr>
              <w:spacing w:after="0"/>
              <w:rPr>
                <w:color w:val="000000" w:themeColor="text1"/>
                <w:sz w:val="20"/>
                <w:szCs w:val="20"/>
              </w:rPr>
            </w:pPr>
            <w:r w:rsidRPr="0098635C">
              <w:rPr>
                <w:color w:val="000000" w:themeColor="text1"/>
                <w:sz w:val="20"/>
                <w:szCs w:val="20"/>
              </w:rPr>
              <w:t>Buckley, 1983</w:t>
            </w:r>
          </w:p>
        </w:tc>
      </w:tr>
      <w:tr w:rsidR="00632208" w:rsidRPr="0098635C" w14:paraId="178F4B8F"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96B3F1D"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6261044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94</w:t>
            </w:r>
          </w:p>
        </w:tc>
        <w:tc>
          <w:tcPr>
            <w:tcW w:w="1276" w:type="dxa"/>
            <w:tcBorders>
              <w:top w:val="single" w:sz="4" w:space="0" w:color="auto"/>
              <w:left w:val="nil"/>
              <w:bottom w:val="single" w:sz="4" w:space="0" w:color="auto"/>
              <w:right w:val="single" w:sz="8" w:space="0" w:color="auto"/>
            </w:tcBorders>
          </w:tcPr>
          <w:p w14:paraId="3EEE730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6.0</w:t>
            </w:r>
          </w:p>
        </w:tc>
        <w:tc>
          <w:tcPr>
            <w:tcW w:w="1417" w:type="dxa"/>
            <w:tcBorders>
              <w:top w:val="single" w:sz="4" w:space="0" w:color="auto"/>
              <w:left w:val="nil"/>
              <w:bottom w:val="single" w:sz="4" w:space="0" w:color="auto"/>
              <w:right w:val="single" w:sz="8" w:space="0" w:color="auto"/>
            </w:tcBorders>
          </w:tcPr>
          <w:p w14:paraId="5CBFE62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6.8</w:t>
            </w:r>
          </w:p>
        </w:tc>
        <w:tc>
          <w:tcPr>
            <w:tcW w:w="1276" w:type="dxa"/>
            <w:tcBorders>
              <w:top w:val="single" w:sz="4" w:space="0" w:color="auto"/>
              <w:left w:val="nil"/>
              <w:bottom w:val="single" w:sz="4" w:space="0" w:color="auto"/>
              <w:right w:val="single" w:sz="8" w:space="0" w:color="auto"/>
            </w:tcBorders>
          </w:tcPr>
          <w:p w14:paraId="48EE383F"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5F091F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18.3</w:t>
            </w:r>
          </w:p>
        </w:tc>
        <w:tc>
          <w:tcPr>
            <w:tcW w:w="1701" w:type="dxa"/>
            <w:tcBorders>
              <w:top w:val="single" w:sz="4" w:space="0" w:color="auto"/>
              <w:left w:val="nil"/>
              <w:bottom w:val="single" w:sz="4" w:space="0" w:color="auto"/>
              <w:right w:val="single" w:sz="8" w:space="0" w:color="auto"/>
            </w:tcBorders>
          </w:tcPr>
          <w:p w14:paraId="291BA83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2510FB8E" w14:textId="77777777" w:rsidR="00632208" w:rsidRPr="0098635C" w:rsidRDefault="00632208" w:rsidP="00A432B0">
            <w:pPr>
              <w:spacing w:after="0"/>
              <w:rPr>
                <w:color w:val="000000" w:themeColor="text1"/>
                <w:sz w:val="20"/>
                <w:szCs w:val="20"/>
              </w:rPr>
            </w:pPr>
            <w:r w:rsidRPr="0098635C">
              <w:rPr>
                <w:color w:val="000000" w:themeColor="text1"/>
                <w:sz w:val="20"/>
                <w:szCs w:val="20"/>
              </w:rPr>
              <w:t>Mudge et al, 1993</w:t>
            </w:r>
          </w:p>
        </w:tc>
      </w:tr>
      <w:tr w:rsidR="00632208" w:rsidRPr="0098635C" w14:paraId="377966FF"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F525FA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462D489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89</w:t>
            </w:r>
          </w:p>
        </w:tc>
        <w:tc>
          <w:tcPr>
            <w:tcW w:w="1276" w:type="dxa"/>
            <w:tcBorders>
              <w:top w:val="single" w:sz="4" w:space="0" w:color="auto"/>
              <w:left w:val="nil"/>
              <w:bottom w:val="single" w:sz="4" w:space="0" w:color="auto"/>
              <w:right w:val="single" w:sz="8" w:space="0" w:color="auto"/>
            </w:tcBorders>
          </w:tcPr>
          <w:p w14:paraId="5245988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9.5</w:t>
            </w:r>
          </w:p>
        </w:tc>
        <w:tc>
          <w:tcPr>
            <w:tcW w:w="1417" w:type="dxa"/>
            <w:tcBorders>
              <w:top w:val="single" w:sz="4" w:space="0" w:color="auto"/>
              <w:left w:val="nil"/>
              <w:bottom w:val="single" w:sz="4" w:space="0" w:color="auto"/>
              <w:right w:val="single" w:sz="8" w:space="0" w:color="auto"/>
            </w:tcBorders>
          </w:tcPr>
          <w:p w14:paraId="52FA23B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7.1</w:t>
            </w:r>
          </w:p>
        </w:tc>
        <w:tc>
          <w:tcPr>
            <w:tcW w:w="1276" w:type="dxa"/>
            <w:tcBorders>
              <w:top w:val="single" w:sz="4" w:space="0" w:color="auto"/>
              <w:left w:val="nil"/>
              <w:bottom w:val="single" w:sz="4" w:space="0" w:color="auto"/>
              <w:right w:val="single" w:sz="8" w:space="0" w:color="auto"/>
            </w:tcBorders>
          </w:tcPr>
          <w:p w14:paraId="613878FF"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E86A8D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18.6</w:t>
            </w:r>
          </w:p>
        </w:tc>
        <w:tc>
          <w:tcPr>
            <w:tcW w:w="1701" w:type="dxa"/>
            <w:tcBorders>
              <w:top w:val="single" w:sz="4" w:space="0" w:color="auto"/>
              <w:left w:val="nil"/>
              <w:bottom w:val="single" w:sz="4" w:space="0" w:color="auto"/>
              <w:right w:val="single" w:sz="8" w:space="0" w:color="auto"/>
            </w:tcBorders>
          </w:tcPr>
          <w:p w14:paraId="1F08815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2456F81E" w14:textId="77777777" w:rsidR="00632208" w:rsidRPr="0098635C" w:rsidRDefault="00632208" w:rsidP="00A432B0">
            <w:pPr>
              <w:spacing w:after="0"/>
              <w:rPr>
                <w:color w:val="000000" w:themeColor="text1"/>
                <w:sz w:val="20"/>
                <w:szCs w:val="20"/>
              </w:rPr>
            </w:pPr>
            <w:r w:rsidRPr="0098635C">
              <w:rPr>
                <w:color w:val="000000" w:themeColor="text1"/>
                <w:sz w:val="20"/>
                <w:szCs w:val="20"/>
              </w:rPr>
              <w:t>Mudge et al, 1993</w:t>
            </w:r>
          </w:p>
        </w:tc>
      </w:tr>
      <w:tr w:rsidR="00632208" w:rsidRPr="0098635C" w14:paraId="24A182E7"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7712525"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5AAAD47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93</w:t>
            </w:r>
          </w:p>
        </w:tc>
        <w:tc>
          <w:tcPr>
            <w:tcW w:w="1276" w:type="dxa"/>
            <w:tcBorders>
              <w:top w:val="single" w:sz="4" w:space="0" w:color="auto"/>
              <w:left w:val="nil"/>
              <w:bottom w:val="single" w:sz="4" w:space="0" w:color="auto"/>
              <w:right w:val="single" w:sz="8" w:space="0" w:color="auto"/>
            </w:tcBorders>
          </w:tcPr>
          <w:p w14:paraId="66A65CE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4.4</w:t>
            </w:r>
          </w:p>
        </w:tc>
        <w:tc>
          <w:tcPr>
            <w:tcW w:w="1417" w:type="dxa"/>
            <w:tcBorders>
              <w:top w:val="single" w:sz="4" w:space="0" w:color="auto"/>
              <w:left w:val="nil"/>
              <w:bottom w:val="single" w:sz="4" w:space="0" w:color="auto"/>
              <w:right w:val="single" w:sz="8" w:space="0" w:color="auto"/>
            </w:tcBorders>
          </w:tcPr>
          <w:p w14:paraId="1748060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6.9</w:t>
            </w:r>
          </w:p>
        </w:tc>
        <w:tc>
          <w:tcPr>
            <w:tcW w:w="1276" w:type="dxa"/>
            <w:tcBorders>
              <w:top w:val="single" w:sz="4" w:space="0" w:color="auto"/>
              <w:left w:val="nil"/>
              <w:bottom w:val="single" w:sz="4" w:space="0" w:color="auto"/>
              <w:right w:val="single" w:sz="8" w:space="0" w:color="auto"/>
            </w:tcBorders>
          </w:tcPr>
          <w:p w14:paraId="411C2624"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FF0069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23.7</w:t>
            </w:r>
          </w:p>
        </w:tc>
        <w:tc>
          <w:tcPr>
            <w:tcW w:w="1701" w:type="dxa"/>
            <w:tcBorders>
              <w:top w:val="single" w:sz="4" w:space="0" w:color="auto"/>
              <w:left w:val="nil"/>
              <w:bottom w:val="single" w:sz="4" w:space="0" w:color="auto"/>
              <w:right w:val="single" w:sz="8" w:space="0" w:color="auto"/>
            </w:tcBorders>
          </w:tcPr>
          <w:p w14:paraId="663AEFE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7E1271B7" w14:textId="77777777" w:rsidR="00632208" w:rsidRPr="0098635C" w:rsidRDefault="00632208" w:rsidP="00A432B0">
            <w:pPr>
              <w:spacing w:after="0"/>
              <w:rPr>
                <w:color w:val="000000" w:themeColor="text1"/>
                <w:sz w:val="20"/>
                <w:szCs w:val="20"/>
              </w:rPr>
            </w:pPr>
            <w:r w:rsidRPr="0098635C">
              <w:rPr>
                <w:color w:val="000000" w:themeColor="text1"/>
                <w:sz w:val="20"/>
                <w:szCs w:val="20"/>
              </w:rPr>
              <w:t>Mudge et al, 1993</w:t>
            </w:r>
          </w:p>
        </w:tc>
      </w:tr>
      <w:tr w:rsidR="00632208" w:rsidRPr="0098635C" w14:paraId="19B6F41B"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327907D"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7FDEEA9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68</w:t>
            </w:r>
          </w:p>
        </w:tc>
        <w:tc>
          <w:tcPr>
            <w:tcW w:w="1276" w:type="dxa"/>
            <w:tcBorders>
              <w:top w:val="single" w:sz="4" w:space="0" w:color="auto"/>
              <w:left w:val="nil"/>
              <w:bottom w:val="single" w:sz="4" w:space="0" w:color="auto"/>
              <w:right w:val="single" w:sz="8" w:space="0" w:color="auto"/>
            </w:tcBorders>
          </w:tcPr>
          <w:p w14:paraId="25D9B0B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15.3</w:t>
            </w:r>
          </w:p>
        </w:tc>
        <w:tc>
          <w:tcPr>
            <w:tcW w:w="1417" w:type="dxa"/>
            <w:tcBorders>
              <w:top w:val="single" w:sz="4" w:space="0" w:color="auto"/>
              <w:left w:val="nil"/>
              <w:bottom w:val="single" w:sz="4" w:space="0" w:color="auto"/>
              <w:right w:val="single" w:sz="8" w:space="0" w:color="auto"/>
            </w:tcBorders>
          </w:tcPr>
          <w:p w14:paraId="2B5E2A7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7.2</w:t>
            </w:r>
          </w:p>
        </w:tc>
        <w:tc>
          <w:tcPr>
            <w:tcW w:w="1276" w:type="dxa"/>
            <w:tcBorders>
              <w:top w:val="single" w:sz="4" w:space="0" w:color="auto"/>
              <w:left w:val="nil"/>
              <w:bottom w:val="single" w:sz="4" w:space="0" w:color="auto"/>
              <w:right w:val="single" w:sz="8" w:space="0" w:color="auto"/>
            </w:tcBorders>
          </w:tcPr>
          <w:p w14:paraId="568ED41E"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06C5D0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28.6</w:t>
            </w:r>
          </w:p>
        </w:tc>
        <w:tc>
          <w:tcPr>
            <w:tcW w:w="1701" w:type="dxa"/>
            <w:tcBorders>
              <w:top w:val="single" w:sz="4" w:space="0" w:color="auto"/>
              <w:left w:val="nil"/>
              <w:bottom w:val="single" w:sz="4" w:space="0" w:color="auto"/>
              <w:right w:val="single" w:sz="8" w:space="0" w:color="auto"/>
            </w:tcBorders>
          </w:tcPr>
          <w:p w14:paraId="183A0FD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067D8DD6" w14:textId="77777777" w:rsidR="00632208" w:rsidRPr="0098635C" w:rsidRDefault="00632208" w:rsidP="00A432B0">
            <w:pPr>
              <w:spacing w:after="0"/>
              <w:rPr>
                <w:color w:val="000000" w:themeColor="text1"/>
                <w:sz w:val="20"/>
                <w:szCs w:val="20"/>
              </w:rPr>
            </w:pPr>
            <w:r w:rsidRPr="0098635C">
              <w:rPr>
                <w:color w:val="000000" w:themeColor="text1"/>
                <w:sz w:val="20"/>
                <w:szCs w:val="20"/>
              </w:rPr>
              <w:t>Mudge et al, 1993</w:t>
            </w:r>
          </w:p>
        </w:tc>
      </w:tr>
      <w:tr w:rsidR="00632208" w:rsidRPr="0098635C" w14:paraId="08E8E1D8"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ABF6D7A"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3CD7A79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890</w:t>
            </w:r>
          </w:p>
        </w:tc>
        <w:tc>
          <w:tcPr>
            <w:tcW w:w="1276" w:type="dxa"/>
            <w:tcBorders>
              <w:top w:val="single" w:sz="4" w:space="0" w:color="auto"/>
              <w:left w:val="nil"/>
              <w:bottom w:val="single" w:sz="4" w:space="0" w:color="auto"/>
              <w:right w:val="single" w:sz="8" w:space="0" w:color="auto"/>
            </w:tcBorders>
          </w:tcPr>
          <w:p w14:paraId="3845A752" w14:textId="77777777" w:rsidR="00632208" w:rsidRPr="0098635C" w:rsidRDefault="00632208" w:rsidP="00A432B0">
            <w:pPr>
              <w:spacing w:after="0"/>
              <w:jc w:val="center"/>
              <w:rPr>
                <w:color w:val="000000" w:themeColor="text1"/>
                <w:sz w:val="20"/>
                <w:szCs w:val="20"/>
              </w:rPr>
            </w:pPr>
          </w:p>
        </w:tc>
        <w:tc>
          <w:tcPr>
            <w:tcW w:w="1417" w:type="dxa"/>
            <w:tcBorders>
              <w:top w:val="single" w:sz="4" w:space="0" w:color="auto"/>
              <w:left w:val="nil"/>
              <w:bottom w:val="single" w:sz="4" w:space="0" w:color="auto"/>
              <w:right w:val="single" w:sz="8" w:space="0" w:color="auto"/>
            </w:tcBorders>
          </w:tcPr>
          <w:p w14:paraId="6330CF9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7.4</w:t>
            </w:r>
          </w:p>
        </w:tc>
        <w:tc>
          <w:tcPr>
            <w:tcW w:w="1276" w:type="dxa"/>
            <w:tcBorders>
              <w:top w:val="single" w:sz="4" w:space="0" w:color="auto"/>
              <w:left w:val="nil"/>
              <w:bottom w:val="single" w:sz="4" w:space="0" w:color="auto"/>
              <w:right w:val="single" w:sz="8" w:space="0" w:color="auto"/>
            </w:tcBorders>
          </w:tcPr>
          <w:p w14:paraId="6299267A"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86606D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300</w:t>
            </w:r>
          </w:p>
        </w:tc>
        <w:tc>
          <w:tcPr>
            <w:tcW w:w="1701" w:type="dxa"/>
            <w:tcBorders>
              <w:top w:val="single" w:sz="4" w:space="0" w:color="auto"/>
              <w:left w:val="nil"/>
              <w:bottom w:val="single" w:sz="4" w:space="0" w:color="auto"/>
              <w:right w:val="single" w:sz="8" w:space="0" w:color="auto"/>
            </w:tcBorders>
          </w:tcPr>
          <w:p w14:paraId="6D221F6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lab water</w:t>
            </w:r>
          </w:p>
        </w:tc>
        <w:tc>
          <w:tcPr>
            <w:tcW w:w="2409" w:type="dxa"/>
            <w:tcBorders>
              <w:top w:val="single" w:sz="4" w:space="0" w:color="auto"/>
              <w:left w:val="nil"/>
              <w:bottom w:val="single" w:sz="4" w:space="0" w:color="auto"/>
              <w:right w:val="double" w:sz="6" w:space="0" w:color="auto"/>
            </w:tcBorders>
          </w:tcPr>
          <w:p w14:paraId="511AB6EF" w14:textId="77777777" w:rsidR="00632208" w:rsidRPr="0098635C" w:rsidRDefault="00632208" w:rsidP="00A432B0">
            <w:pPr>
              <w:spacing w:after="0"/>
              <w:rPr>
                <w:color w:val="000000" w:themeColor="text1"/>
                <w:sz w:val="20"/>
                <w:szCs w:val="20"/>
              </w:rPr>
            </w:pPr>
            <w:r w:rsidRPr="0098635C">
              <w:rPr>
                <w:color w:val="000000" w:themeColor="text1"/>
                <w:sz w:val="20"/>
                <w:szCs w:val="20"/>
              </w:rPr>
              <w:t>Calamari and Marchetti, 1973</w:t>
            </w:r>
          </w:p>
        </w:tc>
      </w:tr>
      <w:tr w:rsidR="00632208" w:rsidRPr="0098635C" w14:paraId="48379F7F"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92CC7F9"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7600979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253</w:t>
            </w:r>
          </w:p>
        </w:tc>
        <w:tc>
          <w:tcPr>
            <w:tcW w:w="1276" w:type="dxa"/>
            <w:tcBorders>
              <w:top w:val="single" w:sz="4" w:space="0" w:color="auto"/>
              <w:left w:val="nil"/>
              <w:bottom w:val="single" w:sz="4" w:space="0" w:color="auto"/>
              <w:right w:val="single" w:sz="8" w:space="0" w:color="auto"/>
            </w:tcBorders>
          </w:tcPr>
          <w:p w14:paraId="0FC53B0E" w14:textId="77777777" w:rsidR="00632208" w:rsidRPr="0098635C" w:rsidRDefault="00632208" w:rsidP="00A432B0">
            <w:pPr>
              <w:spacing w:after="0"/>
              <w:jc w:val="center"/>
              <w:rPr>
                <w:color w:val="000000" w:themeColor="text1"/>
                <w:sz w:val="20"/>
                <w:szCs w:val="20"/>
              </w:rPr>
            </w:pPr>
          </w:p>
        </w:tc>
        <w:tc>
          <w:tcPr>
            <w:tcW w:w="1417" w:type="dxa"/>
            <w:tcBorders>
              <w:top w:val="single" w:sz="4" w:space="0" w:color="auto"/>
              <w:left w:val="nil"/>
              <w:bottom w:val="single" w:sz="4" w:space="0" w:color="auto"/>
              <w:right w:val="single" w:sz="8" w:space="0" w:color="auto"/>
            </w:tcBorders>
          </w:tcPr>
          <w:p w14:paraId="1C77337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7.4</w:t>
            </w:r>
          </w:p>
        </w:tc>
        <w:tc>
          <w:tcPr>
            <w:tcW w:w="1276" w:type="dxa"/>
            <w:tcBorders>
              <w:top w:val="single" w:sz="4" w:space="0" w:color="auto"/>
              <w:left w:val="nil"/>
              <w:bottom w:val="single" w:sz="4" w:space="0" w:color="auto"/>
              <w:right w:val="single" w:sz="8" w:space="0" w:color="auto"/>
            </w:tcBorders>
          </w:tcPr>
          <w:p w14:paraId="23FE62F4"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126F4BE" w14:textId="77777777" w:rsidR="00632208" w:rsidRPr="0098635C" w:rsidRDefault="00632208" w:rsidP="00A432B0">
            <w:pPr>
              <w:spacing w:after="0"/>
              <w:jc w:val="center"/>
              <w:rPr>
                <w:color w:val="000000" w:themeColor="text1"/>
                <w:sz w:val="20"/>
                <w:szCs w:val="20"/>
              </w:rPr>
            </w:pPr>
          </w:p>
        </w:tc>
        <w:tc>
          <w:tcPr>
            <w:tcW w:w="1701" w:type="dxa"/>
            <w:tcBorders>
              <w:top w:val="single" w:sz="4" w:space="0" w:color="auto"/>
              <w:left w:val="nil"/>
              <w:bottom w:val="single" w:sz="4" w:space="0" w:color="auto"/>
              <w:right w:val="single" w:sz="8" w:space="0" w:color="auto"/>
            </w:tcBorders>
          </w:tcPr>
          <w:p w14:paraId="7E880F8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44C80369" w14:textId="77777777" w:rsidR="00632208" w:rsidRPr="0098635C" w:rsidRDefault="00632208" w:rsidP="00A432B0">
            <w:pPr>
              <w:spacing w:after="0"/>
              <w:rPr>
                <w:color w:val="000000" w:themeColor="text1"/>
                <w:sz w:val="20"/>
                <w:szCs w:val="20"/>
              </w:rPr>
            </w:pPr>
            <w:r w:rsidRPr="0098635C">
              <w:rPr>
                <w:color w:val="000000" w:themeColor="text1"/>
                <w:sz w:val="20"/>
                <w:szCs w:val="20"/>
              </w:rPr>
              <w:t>Hale, 1977</w:t>
            </w:r>
          </w:p>
        </w:tc>
      </w:tr>
      <w:tr w:rsidR="00632208" w:rsidRPr="0098635C" w14:paraId="114BA627"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8EEA88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16C2F66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9.5</w:t>
            </w:r>
          </w:p>
        </w:tc>
        <w:tc>
          <w:tcPr>
            <w:tcW w:w="1276" w:type="dxa"/>
            <w:tcBorders>
              <w:top w:val="single" w:sz="4" w:space="0" w:color="auto"/>
              <w:left w:val="nil"/>
              <w:bottom w:val="single" w:sz="4" w:space="0" w:color="auto"/>
              <w:right w:val="single" w:sz="8" w:space="0" w:color="auto"/>
            </w:tcBorders>
          </w:tcPr>
          <w:p w14:paraId="5074180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1417" w:type="dxa"/>
            <w:tcBorders>
              <w:top w:val="single" w:sz="4" w:space="0" w:color="auto"/>
              <w:left w:val="nil"/>
              <w:bottom w:val="single" w:sz="4" w:space="0" w:color="auto"/>
              <w:right w:val="single" w:sz="8" w:space="0" w:color="auto"/>
            </w:tcBorders>
          </w:tcPr>
          <w:p w14:paraId="10CA7E0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7.6</w:t>
            </w:r>
          </w:p>
        </w:tc>
        <w:tc>
          <w:tcPr>
            <w:tcW w:w="1276" w:type="dxa"/>
            <w:tcBorders>
              <w:top w:val="single" w:sz="4" w:space="0" w:color="auto"/>
              <w:left w:val="nil"/>
              <w:bottom w:val="single" w:sz="4" w:space="0" w:color="auto"/>
              <w:right w:val="single" w:sz="8" w:space="0" w:color="auto"/>
            </w:tcBorders>
          </w:tcPr>
          <w:p w14:paraId="43511F24"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A24910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24.2</w:t>
            </w:r>
          </w:p>
        </w:tc>
        <w:tc>
          <w:tcPr>
            <w:tcW w:w="1701" w:type="dxa"/>
            <w:tcBorders>
              <w:top w:val="single" w:sz="4" w:space="0" w:color="auto"/>
              <w:left w:val="nil"/>
              <w:bottom w:val="single" w:sz="4" w:space="0" w:color="auto"/>
              <w:right w:val="single" w:sz="8" w:space="0" w:color="auto"/>
            </w:tcBorders>
          </w:tcPr>
          <w:p w14:paraId="07DD8BE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594D9B4C" w14:textId="77777777" w:rsidR="00632208" w:rsidRPr="0098635C" w:rsidRDefault="00632208" w:rsidP="00A432B0">
            <w:pPr>
              <w:spacing w:after="0"/>
              <w:rPr>
                <w:color w:val="000000" w:themeColor="text1"/>
                <w:sz w:val="20"/>
                <w:szCs w:val="20"/>
              </w:rPr>
            </w:pPr>
            <w:r w:rsidRPr="0098635C">
              <w:rPr>
                <w:color w:val="000000" w:themeColor="text1"/>
                <w:sz w:val="20"/>
                <w:szCs w:val="20"/>
              </w:rPr>
              <w:t>Marr et al, 1999</w:t>
            </w:r>
          </w:p>
        </w:tc>
      </w:tr>
      <w:tr w:rsidR="00632208" w:rsidRPr="0098635C" w14:paraId="497C6ACD"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E31DD18"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79FB9AA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10.5</w:t>
            </w:r>
          </w:p>
        </w:tc>
        <w:tc>
          <w:tcPr>
            <w:tcW w:w="1276" w:type="dxa"/>
            <w:tcBorders>
              <w:top w:val="single" w:sz="4" w:space="0" w:color="auto"/>
              <w:left w:val="nil"/>
              <w:bottom w:val="single" w:sz="4" w:space="0" w:color="auto"/>
              <w:right w:val="single" w:sz="8" w:space="0" w:color="auto"/>
            </w:tcBorders>
          </w:tcPr>
          <w:p w14:paraId="4469476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1417" w:type="dxa"/>
            <w:tcBorders>
              <w:top w:val="single" w:sz="4" w:space="0" w:color="auto"/>
              <w:left w:val="nil"/>
              <w:bottom w:val="single" w:sz="4" w:space="0" w:color="auto"/>
              <w:right w:val="single" w:sz="8" w:space="0" w:color="auto"/>
            </w:tcBorders>
          </w:tcPr>
          <w:p w14:paraId="15E4CD3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7.6</w:t>
            </w:r>
          </w:p>
        </w:tc>
        <w:tc>
          <w:tcPr>
            <w:tcW w:w="1276" w:type="dxa"/>
            <w:tcBorders>
              <w:top w:val="single" w:sz="4" w:space="0" w:color="auto"/>
              <w:left w:val="nil"/>
              <w:bottom w:val="single" w:sz="4" w:space="0" w:color="auto"/>
              <w:right w:val="single" w:sz="8" w:space="0" w:color="auto"/>
            </w:tcBorders>
          </w:tcPr>
          <w:p w14:paraId="05A1F441"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1240E5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24.2</w:t>
            </w:r>
          </w:p>
        </w:tc>
        <w:tc>
          <w:tcPr>
            <w:tcW w:w="1701" w:type="dxa"/>
            <w:tcBorders>
              <w:top w:val="single" w:sz="4" w:space="0" w:color="auto"/>
              <w:left w:val="nil"/>
              <w:bottom w:val="single" w:sz="4" w:space="0" w:color="auto"/>
              <w:right w:val="single" w:sz="8" w:space="0" w:color="auto"/>
            </w:tcBorders>
          </w:tcPr>
          <w:p w14:paraId="4F4730A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7922DCC5" w14:textId="77777777" w:rsidR="00632208" w:rsidRPr="0098635C" w:rsidRDefault="00632208" w:rsidP="00A432B0">
            <w:pPr>
              <w:spacing w:after="0"/>
              <w:rPr>
                <w:color w:val="000000" w:themeColor="text1"/>
                <w:sz w:val="20"/>
                <w:szCs w:val="20"/>
              </w:rPr>
            </w:pPr>
            <w:r w:rsidRPr="0098635C">
              <w:rPr>
                <w:color w:val="000000" w:themeColor="text1"/>
                <w:sz w:val="20"/>
                <w:szCs w:val="20"/>
              </w:rPr>
              <w:t>Marr et al, 1999</w:t>
            </w:r>
          </w:p>
        </w:tc>
      </w:tr>
      <w:tr w:rsidR="00632208" w:rsidRPr="0098635C" w14:paraId="31865D40"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51A106A"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13F4997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12.5</w:t>
            </w:r>
          </w:p>
        </w:tc>
        <w:tc>
          <w:tcPr>
            <w:tcW w:w="1276" w:type="dxa"/>
            <w:tcBorders>
              <w:top w:val="single" w:sz="4" w:space="0" w:color="auto"/>
              <w:left w:val="nil"/>
              <w:bottom w:val="single" w:sz="4" w:space="0" w:color="auto"/>
              <w:right w:val="single" w:sz="8" w:space="0" w:color="auto"/>
            </w:tcBorders>
          </w:tcPr>
          <w:p w14:paraId="29B00D6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1417" w:type="dxa"/>
            <w:tcBorders>
              <w:top w:val="single" w:sz="4" w:space="0" w:color="auto"/>
              <w:left w:val="nil"/>
              <w:bottom w:val="single" w:sz="4" w:space="0" w:color="auto"/>
              <w:right w:val="single" w:sz="8" w:space="0" w:color="auto"/>
            </w:tcBorders>
          </w:tcPr>
          <w:p w14:paraId="61FDD69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7.6</w:t>
            </w:r>
          </w:p>
        </w:tc>
        <w:tc>
          <w:tcPr>
            <w:tcW w:w="1276" w:type="dxa"/>
            <w:tcBorders>
              <w:top w:val="single" w:sz="4" w:space="0" w:color="auto"/>
              <w:left w:val="nil"/>
              <w:bottom w:val="single" w:sz="4" w:space="0" w:color="auto"/>
              <w:right w:val="single" w:sz="8" w:space="0" w:color="auto"/>
            </w:tcBorders>
          </w:tcPr>
          <w:p w14:paraId="621F54D2"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705EBE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24.2</w:t>
            </w:r>
          </w:p>
        </w:tc>
        <w:tc>
          <w:tcPr>
            <w:tcW w:w="1701" w:type="dxa"/>
            <w:tcBorders>
              <w:top w:val="single" w:sz="4" w:space="0" w:color="auto"/>
              <w:left w:val="nil"/>
              <w:bottom w:val="single" w:sz="4" w:space="0" w:color="auto"/>
              <w:right w:val="single" w:sz="8" w:space="0" w:color="auto"/>
            </w:tcBorders>
          </w:tcPr>
          <w:p w14:paraId="6938FC0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4A2967F7" w14:textId="77777777" w:rsidR="00632208" w:rsidRPr="0098635C" w:rsidRDefault="00632208" w:rsidP="00A432B0">
            <w:pPr>
              <w:spacing w:after="0"/>
              <w:rPr>
                <w:color w:val="000000" w:themeColor="text1"/>
                <w:sz w:val="20"/>
                <w:szCs w:val="20"/>
              </w:rPr>
            </w:pPr>
            <w:r w:rsidRPr="0098635C">
              <w:rPr>
                <w:color w:val="000000" w:themeColor="text1"/>
                <w:sz w:val="20"/>
                <w:szCs w:val="20"/>
              </w:rPr>
              <w:t>Marr et al, 1999</w:t>
            </w:r>
          </w:p>
        </w:tc>
      </w:tr>
      <w:tr w:rsidR="00632208" w:rsidRPr="0098635C" w14:paraId="5525BE8C"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AB43705"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3EAF7B5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16.5</w:t>
            </w:r>
          </w:p>
        </w:tc>
        <w:tc>
          <w:tcPr>
            <w:tcW w:w="1276" w:type="dxa"/>
            <w:tcBorders>
              <w:top w:val="single" w:sz="4" w:space="0" w:color="auto"/>
              <w:left w:val="nil"/>
              <w:bottom w:val="single" w:sz="4" w:space="0" w:color="auto"/>
              <w:right w:val="single" w:sz="8" w:space="0" w:color="auto"/>
            </w:tcBorders>
          </w:tcPr>
          <w:p w14:paraId="6D1B2E6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1417" w:type="dxa"/>
            <w:tcBorders>
              <w:top w:val="single" w:sz="4" w:space="0" w:color="auto"/>
              <w:left w:val="nil"/>
              <w:bottom w:val="single" w:sz="4" w:space="0" w:color="auto"/>
              <w:right w:val="single" w:sz="8" w:space="0" w:color="auto"/>
            </w:tcBorders>
          </w:tcPr>
          <w:p w14:paraId="46D07DB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7.6</w:t>
            </w:r>
          </w:p>
        </w:tc>
        <w:tc>
          <w:tcPr>
            <w:tcW w:w="1276" w:type="dxa"/>
            <w:tcBorders>
              <w:top w:val="single" w:sz="4" w:space="0" w:color="auto"/>
              <w:left w:val="nil"/>
              <w:bottom w:val="single" w:sz="4" w:space="0" w:color="auto"/>
              <w:right w:val="single" w:sz="8" w:space="0" w:color="auto"/>
            </w:tcBorders>
          </w:tcPr>
          <w:p w14:paraId="47747E6C"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B22C90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24.2</w:t>
            </w:r>
          </w:p>
        </w:tc>
        <w:tc>
          <w:tcPr>
            <w:tcW w:w="1701" w:type="dxa"/>
            <w:tcBorders>
              <w:top w:val="single" w:sz="4" w:space="0" w:color="auto"/>
              <w:left w:val="nil"/>
              <w:bottom w:val="single" w:sz="4" w:space="0" w:color="auto"/>
              <w:right w:val="single" w:sz="8" w:space="0" w:color="auto"/>
            </w:tcBorders>
          </w:tcPr>
          <w:p w14:paraId="6086080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10EFA8A7" w14:textId="77777777" w:rsidR="00632208" w:rsidRPr="0098635C" w:rsidRDefault="00632208" w:rsidP="00A432B0">
            <w:pPr>
              <w:spacing w:after="0"/>
              <w:rPr>
                <w:color w:val="000000" w:themeColor="text1"/>
                <w:sz w:val="20"/>
                <w:szCs w:val="20"/>
              </w:rPr>
            </w:pPr>
            <w:r w:rsidRPr="0098635C">
              <w:rPr>
                <w:color w:val="000000" w:themeColor="text1"/>
                <w:sz w:val="20"/>
                <w:szCs w:val="20"/>
              </w:rPr>
              <w:t>Marr et al, 1999</w:t>
            </w:r>
          </w:p>
        </w:tc>
      </w:tr>
      <w:tr w:rsidR="00632208" w:rsidRPr="0098635C" w14:paraId="23F4C1ED"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40BDD5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7636722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21.5</w:t>
            </w:r>
          </w:p>
        </w:tc>
        <w:tc>
          <w:tcPr>
            <w:tcW w:w="1276" w:type="dxa"/>
            <w:tcBorders>
              <w:top w:val="single" w:sz="4" w:space="0" w:color="auto"/>
              <w:left w:val="nil"/>
              <w:bottom w:val="single" w:sz="4" w:space="0" w:color="auto"/>
              <w:right w:val="single" w:sz="8" w:space="0" w:color="auto"/>
            </w:tcBorders>
          </w:tcPr>
          <w:p w14:paraId="21C6E49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1417" w:type="dxa"/>
            <w:tcBorders>
              <w:top w:val="single" w:sz="4" w:space="0" w:color="auto"/>
              <w:left w:val="nil"/>
              <w:bottom w:val="single" w:sz="4" w:space="0" w:color="auto"/>
              <w:right w:val="single" w:sz="8" w:space="0" w:color="auto"/>
            </w:tcBorders>
          </w:tcPr>
          <w:p w14:paraId="663C503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7.6</w:t>
            </w:r>
          </w:p>
        </w:tc>
        <w:tc>
          <w:tcPr>
            <w:tcW w:w="1276" w:type="dxa"/>
            <w:tcBorders>
              <w:top w:val="single" w:sz="4" w:space="0" w:color="auto"/>
              <w:left w:val="nil"/>
              <w:bottom w:val="single" w:sz="4" w:space="0" w:color="auto"/>
              <w:right w:val="single" w:sz="8" w:space="0" w:color="auto"/>
            </w:tcBorders>
          </w:tcPr>
          <w:p w14:paraId="32DD51C0"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F96067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24.2</w:t>
            </w:r>
          </w:p>
        </w:tc>
        <w:tc>
          <w:tcPr>
            <w:tcW w:w="1701" w:type="dxa"/>
            <w:tcBorders>
              <w:top w:val="single" w:sz="4" w:space="0" w:color="auto"/>
              <w:left w:val="nil"/>
              <w:bottom w:val="single" w:sz="4" w:space="0" w:color="auto"/>
              <w:right w:val="single" w:sz="8" w:space="0" w:color="auto"/>
            </w:tcBorders>
          </w:tcPr>
          <w:p w14:paraId="6982192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3F0AFF66" w14:textId="77777777" w:rsidR="00632208" w:rsidRPr="0098635C" w:rsidRDefault="00632208" w:rsidP="00A432B0">
            <w:pPr>
              <w:spacing w:after="0"/>
              <w:rPr>
                <w:color w:val="000000" w:themeColor="text1"/>
                <w:sz w:val="20"/>
                <w:szCs w:val="20"/>
              </w:rPr>
            </w:pPr>
            <w:r w:rsidRPr="0098635C">
              <w:rPr>
                <w:color w:val="000000" w:themeColor="text1"/>
                <w:sz w:val="20"/>
                <w:szCs w:val="20"/>
              </w:rPr>
              <w:t>Marr et al, 1999</w:t>
            </w:r>
          </w:p>
        </w:tc>
      </w:tr>
      <w:tr w:rsidR="00632208" w:rsidRPr="0098635C" w14:paraId="1C7A4709"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FC05AB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1165127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18</w:t>
            </w:r>
          </w:p>
        </w:tc>
        <w:tc>
          <w:tcPr>
            <w:tcW w:w="1276" w:type="dxa"/>
            <w:tcBorders>
              <w:top w:val="single" w:sz="4" w:space="0" w:color="auto"/>
              <w:left w:val="nil"/>
              <w:bottom w:val="single" w:sz="4" w:space="0" w:color="auto"/>
              <w:right w:val="single" w:sz="8" w:space="0" w:color="auto"/>
            </w:tcBorders>
          </w:tcPr>
          <w:p w14:paraId="6D82665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9.8</w:t>
            </w:r>
          </w:p>
        </w:tc>
        <w:tc>
          <w:tcPr>
            <w:tcW w:w="1417" w:type="dxa"/>
            <w:tcBorders>
              <w:top w:val="single" w:sz="4" w:space="0" w:color="auto"/>
              <w:left w:val="nil"/>
              <w:bottom w:val="single" w:sz="4" w:space="0" w:color="auto"/>
              <w:right w:val="single" w:sz="8" w:space="0" w:color="auto"/>
            </w:tcBorders>
          </w:tcPr>
          <w:p w14:paraId="3E9C6B1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tc>
        <w:tc>
          <w:tcPr>
            <w:tcW w:w="1276" w:type="dxa"/>
            <w:tcBorders>
              <w:top w:val="single" w:sz="4" w:space="0" w:color="auto"/>
              <w:left w:val="nil"/>
              <w:bottom w:val="single" w:sz="4" w:space="0" w:color="auto"/>
              <w:right w:val="single" w:sz="8" w:space="0" w:color="auto"/>
            </w:tcBorders>
          </w:tcPr>
          <w:p w14:paraId="11C57C1F"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037632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25.1</w:t>
            </w:r>
          </w:p>
        </w:tc>
        <w:tc>
          <w:tcPr>
            <w:tcW w:w="1701" w:type="dxa"/>
            <w:tcBorders>
              <w:top w:val="single" w:sz="4" w:space="0" w:color="auto"/>
              <w:left w:val="nil"/>
              <w:bottom w:val="single" w:sz="4" w:space="0" w:color="auto"/>
              <w:right w:val="single" w:sz="8" w:space="0" w:color="auto"/>
            </w:tcBorders>
          </w:tcPr>
          <w:p w14:paraId="47E41B0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14EE7E91" w14:textId="77777777" w:rsidR="00632208" w:rsidRPr="0098635C" w:rsidRDefault="00632208" w:rsidP="00A432B0">
            <w:pPr>
              <w:spacing w:after="0"/>
              <w:rPr>
                <w:color w:val="000000" w:themeColor="text1"/>
                <w:sz w:val="20"/>
                <w:szCs w:val="20"/>
              </w:rPr>
            </w:pPr>
            <w:r w:rsidRPr="0098635C">
              <w:rPr>
                <w:color w:val="000000" w:themeColor="text1"/>
                <w:sz w:val="20"/>
                <w:szCs w:val="20"/>
              </w:rPr>
              <w:t>Marr et al, 1998</w:t>
            </w:r>
          </w:p>
        </w:tc>
      </w:tr>
      <w:tr w:rsidR="00632208" w:rsidRPr="0098635C" w14:paraId="01AC12E5"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A03ED41"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23B186F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190</w:t>
            </w:r>
          </w:p>
        </w:tc>
        <w:tc>
          <w:tcPr>
            <w:tcW w:w="1276" w:type="dxa"/>
            <w:tcBorders>
              <w:top w:val="single" w:sz="4" w:space="0" w:color="auto"/>
              <w:left w:val="nil"/>
              <w:bottom w:val="single" w:sz="4" w:space="0" w:color="auto"/>
              <w:right w:val="single" w:sz="8" w:space="0" w:color="auto"/>
            </w:tcBorders>
          </w:tcPr>
          <w:p w14:paraId="6C92AB7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1417" w:type="dxa"/>
            <w:tcBorders>
              <w:top w:val="single" w:sz="4" w:space="0" w:color="auto"/>
              <w:left w:val="nil"/>
              <w:bottom w:val="single" w:sz="4" w:space="0" w:color="auto"/>
              <w:right w:val="single" w:sz="8" w:space="0" w:color="auto"/>
            </w:tcBorders>
          </w:tcPr>
          <w:p w14:paraId="51C8948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16F6BD9C"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2D4D6D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125</w:t>
            </w:r>
          </w:p>
        </w:tc>
        <w:tc>
          <w:tcPr>
            <w:tcW w:w="1701" w:type="dxa"/>
            <w:tcBorders>
              <w:top w:val="single" w:sz="4" w:space="0" w:color="auto"/>
              <w:left w:val="nil"/>
              <w:bottom w:val="single" w:sz="4" w:space="0" w:color="auto"/>
              <w:right w:val="single" w:sz="8" w:space="0" w:color="auto"/>
            </w:tcBorders>
          </w:tcPr>
          <w:p w14:paraId="0A43201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tap water</w:t>
            </w:r>
          </w:p>
        </w:tc>
        <w:tc>
          <w:tcPr>
            <w:tcW w:w="2409" w:type="dxa"/>
            <w:tcBorders>
              <w:top w:val="single" w:sz="4" w:space="0" w:color="auto"/>
              <w:left w:val="nil"/>
              <w:bottom w:val="single" w:sz="4" w:space="0" w:color="auto"/>
              <w:right w:val="double" w:sz="6" w:space="0" w:color="auto"/>
            </w:tcBorders>
          </w:tcPr>
          <w:p w14:paraId="4C33FE35" w14:textId="77777777" w:rsidR="00632208" w:rsidRPr="0098635C" w:rsidRDefault="00632208" w:rsidP="00A432B0">
            <w:pPr>
              <w:spacing w:after="0"/>
              <w:rPr>
                <w:color w:val="000000" w:themeColor="text1"/>
                <w:sz w:val="20"/>
                <w:szCs w:val="20"/>
              </w:rPr>
            </w:pPr>
            <w:r w:rsidRPr="0098635C">
              <w:rPr>
                <w:color w:val="000000" w:themeColor="text1"/>
                <w:sz w:val="20"/>
                <w:szCs w:val="20"/>
              </w:rPr>
              <w:t>Spear, 1977</w:t>
            </w:r>
          </w:p>
        </w:tc>
      </w:tr>
      <w:tr w:rsidR="00632208" w:rsidRPr="0098635C" w14:paraId="05CE8860"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15D9449"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3E0E9E1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200</w:t>
            </w:r>
          </w:p>
        </w:tc>
        <w:tc>
          <w:tcPr>
            <w:tcW w:w="1276" w:type="dxa"/>
            <w:tcBorders>
              <w:top w:val="single" w:sz="4" w:space="0" w:color="auto"/>
              <w:left w:val="nil"/>
              <w:bottom w:val="single" w:sz="4" w:space="0" w:color="auto"/>
              <w:right w:val="single" w:sz="8" w:space="0" w:color="auto"/>
            </w:tcBorders>
          </w:tcPr>
          <w:p w14:paraId="51D3ECF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1417" w:type="dxa"/>
            <w:tcBorders>
              <w:top w:val="single" w:sz="4" w:space="0" w:color="auto"/>
              <w:left w:val="nil"/>
              <w:bottom w:val="single" w:sz="4" w:space="0" w:color="auto"/>
              <w:right w:val="single" w:sz="8" w:space="0" w:color="auto"/>
            </w:tcBorders>
          </w:tcPr>
          <w:p w14:paraId="4A35947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048CAA6A"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372658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125</w:t>
            </w:r>
          </w:p>
        </w:tc>
        <w:tc>
          <w:tcPr>
            <w:tcW w:w="1701" w:type="dxa"/>
            <w:tcBorders>
              <w:top w:val="single" w:sz="4" w:space="0" w:color="auto"/>
              <w:left w:val="nil"/>
              <w:bottom w:val="single" w:sz="4" w:space="0" w:color="auto"/>
              <w:right w:val="single" w:sz="8" w:space="0" w:color="auto"/>
            </w:tcBorders>
          </w:tcPr>
          <w:p w14:paraId="76AE78C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tap water</w:t>
            </w:r>
          </w:p>
        </w:tc>
        <w:tc>
          <w:tcPr>
            <w:tcW w:w="2409" w:type="dxa"/>
            <w:tcBorders>
              <w:top w:val="single" w:sz="4" w:space="0" w:color="auto"/>
              <w:left w:val="nil"/>
              <w:bottom w:val="single" w:sz="4" w:space="0" w:color="auto"/>
              <w:right w:val="double" w:sz="6" w:space="0" w:color="auto"/>
            </w:tcBorders>
          </w:tcPr>
          <w:p w14:paraId="1E5D8BF2" w14:textId="77777777" w:rsidR="00632208" w:rsidRPr="0098635C" w:rsidRDefault="00632208" w:rsidP="00A432B0">
            <w:pPr>
              <w:spacing w:after="0"/>
              <w:rPr>
                <w:color w:val="000000" w:themeColor="text1"/>
                <w:sz w:val="20"/>
                <w:szCs w:val="20"/>
              </w:rPr>
            </w:pPr>
            <w:r w:rsidRPr="0098635C">
              <w:rPr>
                <w:color w:val="000000" w:themeColor="text1"/>
                <w:sz w:val="20"/>
                <w:szCs w:val="20"/>
              </w:rPr>
              <w:t>Spear, 1977</w:t>
            </w:r>
          </w:p>
        </w:tc>
      </w:tr>
      <w:tr w:rsidR="00632208" w:rsidRPr="0098635C" w14:paraId="5D95359A"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F528CF6"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7CF69B2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210</w:t>
            </w:r>
          </w:p>
        </w:tc>
        <w:tc>
          <w:tcPr>
            <w:tcW w:w="1276" w:type="dxa"/>
            <w:tcBorders>
              <w:top w:val="single" w:sz="4" w:space="0" w:color="auto"/>
              <w:left w:val="nil"/>
              <w:bottom w:val="single" w:sz="4" w:space="0" w:color="auto"/>
              <w:right w:val="single" w:sz="8" w:space="0" w:color="auto"/>
            </w:tcBorders>
          </w:tcPr>
          <w:p w14:paraId="1BAADC3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1417" w:type="dxa"/>
            <w:tcBorders>
              <w:top w:val="single" w:sz="4" w:space="0" w:color="auto"/>
              <w:left w:val="nil"/>
              <w:bottom w:val="single" w:sz="4" w:space="0" w:color="auto"/>
              <w:right w:val="single" w:sz="8" w:space="0" w:color="auto"/>
            </w:tcBorders>
          </w:tcPr>
          <w:p w14:paraId="04CF1AE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1847B922"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295FD1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125</w:t>
            </w:r>
          </w:p>
        </w:tc>
        <w:tc>
          <w:tcPr>
            <w:tcW w:w="1701" w:type="dxa"/>
            <w:tcBorders>
              <w:top w:val="single" w:sz="4" w:space="0" w:color="auto"/>
              <w:left w:val="nil"/>
              <w:bottom w:val="single" w:sz="4" w:space="0" w:color="auto"/>
              <w:right w:val="single" w:sz="8" w:space="0" w:color="auto"/>
            </w:tcBorders>
          </w:tcPr>
          <w:p w14:paraId="1F1ADD2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tap water</w:t>
            </w:r>
          </w:p>
        </w:tc>
        <w:tc>
          <w:tcPr>
            <w:tcW w:w="2409" w:type="dxa"/>
            <w:tcBorders>
              <w:top w:val="single" w:sz="4" w:space="0" w:color="auto"/>
              <w:left w:val="nil"/>
              <w:bottom w:val="single" w:sz="4" w:space="0" w:color="auto"/>
              <w:right w:val="double" w:sz="6" w:space="0" w:color="auto"/>
            </w:tcBorders>
          </w:tcPr>
          <w:p w14:paraId="64A308CB" w14:textId="77777777" w:rsidR="00632208" w:rsidRPr="0098635C" w:rsidRDefault="00632208" w:rsidP="00A432B0">
            <w:pPr>
              <w:spacing w:after="0"/>
              <w:rPr>
                <w:color w:val="000000" w:themeColor="text1"/>
                <w:sz w:val="20"/>
                <w:szCs w:val="20"/>
              </w:rPr>
            </w:pPr>
            <w:r w:rsidRPr="0098635C">
              <w:rPr>
                <w:color w:val="000000" w:themeColor="text1"/>
                <w:sz w:val="20"/>
                <w:szCs w:val="20"/>
              </w:rPr>
              <w:t>Spear, 1977</w:t>
            </w:r>
          </w:p>
        </w:tc>
      </w:tr>
      <w:tr w:rsidR="00632208" w:rsidRPr="0098635C" w14:paraId="443D60B2"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0363754"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Oncorhynchus mykiss</w:t>
            </w:r>
          </w:p>
        </w:tc>
        <w:tc>
          <w:tcPr>
            <w:tcW w:w="1134" w:type="dxa"/>
            <w:tcBorders>
              <w:top w:val="single" w:sz="4" w:space="0" w:color="auto"/>
              <w:left w:val="nil"/>
              <w:bottom w:val="single" w:sz="4" w:space="0" w:color="auto"/>
              <w:right w:val="single" w:sz="8" w:space="0" w:color="auto"/>
            </w:tcBorders>
          </w:tcPr>
          <w:p w14:paraId="7AF557F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276" w:type="dxa"/>
            <w:tcBorders>
              <w:top w:val="single" w:sz="4" w:space="0" w:color="auto"/>
              <w:left w:val="nil"/>
              <w:bottom w:val="single" w:sz="4" w:space="0" w:color="auto"/>
              <w:right w:val="single" w:sz="8" w:space="0" w:color="auto"/>
            </w:tcBorders>
          </w:tcPr>
          <w:p w14:paraId="313BD53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w:t>
            </w:r>
          </w:p>
        </w:tc>
        <w:tc>
          <w:tcPr>
            <w:tcW w:w="1417" w:type="dxa"/>
            <w:tcBorders>
              <w:top w:val="single" w:sz="4" w:space="0" w:color="auto"/>
              <w:left w:val="nil"/>
              <w:bottom w:val="single" w:sz="4" w:space="0" w:color="auto"/>
              <w:right w:val="single" w:sz="8" w:space="0" w:color="auto"/>
            </w:tcBorders>
          </w:tcPr>
          <w:p w14:paraId="5F6FE4B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tc>
        <w:tc>
          <w:tcPr>
            <w:tcW w:w="1276" w:type="dxa"/>
            <w:tcBorders>
              <w:top w:val="single" w:sz="4" w:space="0" w:color="auto"/>
              <w:left w:val="nil"/>
              <w:bottom w:val="single" w:sz="4" w:space="0" w:color="auto"/>
              <w:right w:val="single" w:sz="8" w:space="0" w:color="auto"/>
            </w:tcBorders>
          </w:tcPr>
          <w:p w14:paraId="62A627BB"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B4F165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54</w:t>
            </w:r>
          </w:p>
        </w:tc>
        <w:tc>
          <w:tcPr>
            <w:tcW w:w="1701" w:type="dxa"/>
            <w:tcBorders>
              <w:top w:val="single" w:sz="4" w:space="0" w:color="auto"/>
              <w:left w:val="nil"/>
              <w:bottom w:val="single" w:sz="4" w:space="0" w:color="auto"/>
              <w:right w:val="single" w:sz="8" w:space="0" w:color="auto"/>
            </w:tcBorders>
          </w:tcPr>
          <w:p w14:paraId="4417CBA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tap water</w:t>
            </w:r>
          </w:p>
        </w:tc>
        <w:tc>
          <w:tcPr>
            <w:tcW w:w="2409" w:type="dxa"/>
            <w:tcBorders>
              <w:top w:val="single" w:sz="4" w:space="0" w:color="auto"/>
              <w:left w:val="nil"/>
              <w:bottom w:val="single" w:sz="4" w:space="0" w:color="auto"/>
              <w:right w:val="double" w:sz="6" w:space="0" w:color="auto"/>
            </w:tcBorders>
          </w:tcPr>
          <w:p w14:paraId="5FEDE37F" w14:textId="77777777" w:rsidR="00632208" w:rsidRPr="0098635C" w:rsidRDefault="00632208" w:rsidP="00A432B0">
            <w:pPr>
              <w:spacing w:after="0"/>
              <w:rPr>
                <w:color w:val="000000" w:themeColor="text1"/>
                <w:sz w:val="20"/>
                <w:szCs w:val="20"/>
              </w:rPr>
            </w:pPr>
            <w:r w:rsidRPr="0098635C">
              <w:rPr>
                <w:color w:val="000000" w:themeColor="text1"/>
                <w:sz w:val="20"/>
                <w:szCs w:val="20"/>
              </w:rPr>
              <w:t>Skidmore and Firth, 1983</w:t>
            </w:r>
          </w:p>
        </w:tc>
      </w:tr>
      <w:tr w:rsidR="00632208" w:rsidRPr="0098635C" w14:paraId="6BD78F82"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1B3532D"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Brachydanio rerio</w:t>
            </w:r>
          </w:p>
        </w:tc>
        <w:tc>
          <w:tcPr>
            <w:tcW w:w="1134" w:type="dxa"/>
            <w:tcBorders>
              <w:top w:val="single" w:sz="4" w:space="0" w:color="auto"/>
              <w:left w:val="nil"/>
              <w:bottom w:val="single" w:sz="4" w:space="0" w:color="auto"/>
              <w:right w:val="single" w:sz="8" w:space="0" w:color="auto"/>
            </w:tcBorders>
          </w:tcPr>
          <w:p w14:paraId="578A95E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149</w:t>
            </w:r>
          </w:p>
        </w:tc>
        <w:tc>
          <w:tcPr>
            <w:tcW w:w="1276" w:type="dxa"/>
            <w:tcBorders>
              <w:top w:val="single" w:sz="4" w:space="0" w:color="auto"/>
              <w:left w:val="nil"/>
              <w:bottom w:val="single" w:sz="4" w:space="0" w:color="auto"/>
              <w:right w:val="single" w:sz="8" w:space="0" w:color="auto"/>
            </w:tcBorders>
          </w:tcPr>
          <w:p w14:paraId="7AA58D5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1417" w:type="dxa"/>
            <w:tcBorders>
              <w:top w:val="single" w:sz="4" w:space="0" w:color="auto"/>
              <w:left w:val="nil"/>
              <w:bottom w:val="single" w:sz="4" w:space="0" w:color="auto"/>
              <w:right w:val="single" w:sz="8" w:space="0" w:color="auto"/>
            </w:tcBorders>
          </w:tcPr>
          <w:p w14:paraId="3C2D46C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30025030"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3CB04D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362</w:t>
            </w:r>
          </w:p>
        </w:tc>
        <w:tc>
          <w:tcPr>
            <w:tcW w:w="1701" w:type="dxa"/>
            <w:tcBorders>
              <w:top w:val="single" w:sz="4" w:space="0" w:color="auto"/>
              <w:left w:val="nil"/>
              <w:bottom w:val="single" w:sz="4" w:space="0" w:color="auto"/>
              <w:right w:val="single" w:sz="8" w:space="0" w:color="auto"/>
            </w:tcBorders>
          </w:tcPr>
          <w:p w14:paraId="7E86CB2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well water</w:t>
            </w:r>
          </w:p>
        </w:tc>
        <w:tc>
          <w:tcPr>
            <w:tcW w:w="2409" w:type="dxa"/>
            <w:tcBorders>
              <w:top w:val="single" w:sz="4" w:space="0" w:color="auto"/>
              <w:left w:val="nil"/>
              <w:bottom w:val="single" w:sz="4" w:space="0" w:color="auto"/>
              <w:right w:val="double" w:sz="6" w:space="0" w:color="auto"/>
            </w:tcBorders>
          </w:tcPr>
          <w:p w14:paraId="142BB551" w14:textId="77777777" w:rsidR="00632208" w:rsidRPr="0098635C" w:rsidRDefault="00632208" w:rsidP="00A432B0">
            <w:pPr>
              <w:spacing w:after="0"/>
              <w:rPr>
                <w:color w:val="000000" w:themeColor="text1"/>
                <w:sz w:val="20"/>
                <w:szCs w:val="20"/>
              </w:rPr>
            </w:pPr>
            <w:r w:rsidRPr="0098635C">
              <w:rPr>
                <w:color w:val="000000" w:themeColor="text1"/>
                <w:sz w:val="20"/>
                <w:szCs w:val="20"/>
              </w:rPr>
              <w:t>Fogels and Sprague, 1977</w:t>
            </w:r>
          </w:p>
        </w:tc>
      </w:tr>
      <w:tr w:rsidR="00632208" w:rsidRPr="0098635C" w14:paraId="2BA4B4A4"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7A9591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Brachydanio rerio</w:t>
            </w:r>
          </w:p>
        </w:tc>
        <w:tc>
          <w:tcPr>
            <w:tcW w:w="1134" w:type="dxa"/>
            <w:tcBorders>
              <w:top w:val="single" w:sz="4" w:space="0" w:color="auto"/>
              <w:left w:val="nil"/>
              <w:bottom w:val="single" w:sz="4" w:space="0" w:color="auto"/>
              <w:right w:val="single" w:sz="8" w:space="0" w:color="auto"/>
            </w:tcBorders>
          </w:tcPr>
          <w:p w14:paraId="46CB08A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35</w:t>
            </w:r>
          </w:p>
        </w:tc>
        <w:tc>
          <w:tcPr>
            <w:tcW w:w="1276" w:type="dxa"/>
            <w:tcBorders>
              <w:top w:val="single" w:sz="4" w:space="0" w:color="auto"/>
              <w:left w:val="nil"/>
              <w:bottom w:val="single" w:sz="4" w:space="0" w:color="auto"/>
              <w:right w:val="single" w:sz="8" w:space="0" w:color="auto"/>
            </w:tcBorders>
          </w:tcPr>
          <w:p w14:paraId="7617542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24</w:t>
            </w:r>
          </w:p>
        </w:tc>
        <w:tc>
          <w:tcPr>
            <w:tcW w:w="1417" w:type="dxa"/>
            <w:tcBorders>
              <w:top w:val="single" w:sz="4" w:space="0" w:color="auto"/>
              <w:left w:val="nil"/>
              <w:bottom w:val="single" w:sz="4" w:space="0" w:color="auto"/>
              <w:right w:val="single" w:sz="8" w:space="0" w:color="auto"/>
            </w:tcBorders>
          </w:tcPr>
          <w:p w14:paraId="7803DDB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7.2</w:t>
            </w:r>
          </w:p>
        </w:tc>
        <w:tc>
          <w:tcPr>
            <w:tcW w:w="1276" w:type="dxa"/>
            <w:tcBorders>
              <w:top w:val="single" w:sz="4" w:space="0" w:color="auto"/>
              <w:left w:val="nil"/>
              <w:bottom w:val="single" w:sz="4" w:space="0" w:color="auto"/>
              <w:right w:val="single" w:sz="8" w:space="0" w:color="auto"/>
            </w:tcBorders>
          </w:tcPr>
          <w:p w14:paraId="475E94D2"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2800B3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100</w:t>
            </w:r>
          </w:p>
        </w:tc>
        <w:tc>
          <w:tcPr>
            <w:tcW w:w="1701" w:type="dxa"/>
            <w:tcBorders>
              <w:top w:val="single" w:sz="4" w:space="0" w:color="auto"/>
              <w:left w:val="nil"/>
              <w:bottom w:val="single" w:sz="4" w:space="0" w:color="auto"/>
              <w:right w:val="single" w:sz="8" w:space="0" w:color="auto"/>
            </w:tcBorders>
          </w:tcPr>
          <w:p w14:paraId="553A148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3032E5C0" w14:textId="77777777" w:rsidR="00632208" w:rsidRPr="0098635C" w:rsidRDefault="00632208" w:rsidP="00A432B0">
            <w:pPr>
              <w:spacing w:after="0"/>
              <w:rPr>
                <w:color w:val="000000" w:themeColor="text1"/>
                <w:sz w:val="20"/>
                <w:szCs w:val="20"/>
              </w:rPr>
            </w:pPr>
            <w:r w:rsidRPr="0098635C">
              <w:rPr>
                <w:color w:val="000000" w:themeColor="text1"/>
                <w:sz w:val="20"/>
                <w:szCs w:val="20"/>
              </w:rPr>
              <w:t>Bresch, 1982</w:t>
            </w:r>
          </w:p>
        </w:tc>
      </w:tr>
      <w:tr w:rsidR="00632208" w:rsidRPr="0098635C" w14:paraId="1280A32D"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8B2D2C4"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Cyprinus carpio</w:t>
            </w:r>
          </w:p>
        </w:tc>
        <w:tc>
          <w:tcPr>
            <w:tcW w:w="1134" w:type="dxa"/>
            <w:tcBorders>
              <w:top w:val="single" w:sz="4" w:space="0" w:color="auto"/>
              <w:left w:val="nil"/>
              <w:bottom w:val="single" w:sz="4" w:space="0" w:color="auto"/>
              <w:right w:val="single" w:sz="8" w:space="0" w:color="auto"/>
            </w:tcBorders>
          </w:tcPr>
          <w:p w14:paraId="2F4C853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800</w:t>
            </w:r>
          </w:p>
        </w:tc>
        <w:tc>
          <w:tcPr>
            <w:tcW w:w="1276" w:type="dxa"/>
            <w:tcBorders>
              <w:top w:val="single" w:sz="4" w:space="0" w:color="auto"/>
              <w:left w:val="nil"/>
              <w:bottom w:val="single" w:sz="4" w:space="0" w:color="auto"/>
              <w:right w:val="single" w:sz="8" w:space="0" w:color="auto"/>
            </w:tcBorders>
          </w:tcPr>
          <w:p w14:paraId="259F6AE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1417" w:type="dxa"/>
            <w:tcBorders>
              <w:top w:val="single" w:sz="4" w:space="0" w:color="auto"/>
              <w:left w:val="nil"/>
              <w:bottom w:val="single" w:sz="4" w:space="0" w:color="auto"/>
              <w:right w:val="single" w:sz="8" w:space="0" w:color="auto"/>
            </w:tcBorders>
          </w:tcPr>
          <w:p w14:paraId="6FD58E5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6EC278B1"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59D1D7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55</w:t>
            </w:r>
          </w:p>
        </w:tc>
        <w:tc>
          <w:tcPr>
            <w:tcW w:w="1701" w:type="dxa"/>
            <w:tcBorders>
              <w:top w:val="single" w:sz="4" w:space="0" w:color="auto"/>
              <w:left w:val="nil"/>
              <w:bottom w:val="single" w:sz="4" w:space="0" w:color="auto"/>
              <w:right w:val="single" w:sz="8" w:space="0" w:color="auto"/>
            </w:tcBorders>
          </w:tcPr>
          <w:p w14:paraId="677FCE6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2D1ED290" w14:textId="77777777" w:rsidR="00632208" w:rsidRPr="0098635C" w:rsidRDefault="00632208" w:rsidP="00A432B0">
            <w:pPr>
              <w:spacing w:after="0"/>
              <w:rPr>
                <w:color w:val="000000" w:themeColor="text1"/>
                <w:sz w:val="20"/>
                <w:szCs w:val="20"/>
              </w:rPr>
            </w:pPr>
            <w:r w:rsidRPr="0098635C">
              <w:rPr>
                <w:color w:val="000000" w:themeColor="text1"/>
                <w:sz w:val="20"/>
                <w:szCs w:val="20"/>
              </w:rPr>
              <w:t>Rehwoldt, 1972</w:t>
            </w:r>
          </w:p>
        </w:tc>
      </w:tr>
      <w:tr w:rsidR="00632208" w:rsidRPr="0098635C" w14:paraId="654FC5AA"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C00A60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Cyprinus carpio</w:t>
            </w:r>
          </w:p>
        </w:tc>
        <w:tc>
          <w:tcPr>
            <w:tcW w:w="1134" w:type="dxa"/>
            <w:tcBorders>
              <w:top w:val="single" w:sz="4" w:space="0" w:color="auto"/>
              <w:left w:val="nil"/>
              <w:bottom w:val="single" w:sz="4" w:space="0" w:color="auto"/>
              <w:right w:val="single" w:sz="8" w:space="0" w:color="auto"/>
            </w:tcBorders>
          </w:tcPr>
          <w:p w14:paraId="6FEF1D1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810</w:t>
            </w:r>
          </w:p>
        </w:tc>
        <w:tc>
          <w:tcPr>
            <w:tcW w:w="1276" w:type="dxa"/>
            <w:tcBorders>
              <w:top w:val="single" w:sz="4" w:space="0" w:color="auto"/>
              <w:left w:val="nil"/>
              <w:bottom w:val="single" w:sz="4" w:space="0" w:color="auto"/>
              <w:right w:val="single" w:sz="8" w:space="0" w:color="auto"/>
            </w:tcBorders>
          </w:tcPr>
          <w:p w14:paraId="433C93A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w:t>
            </w:r>
          </w:p>
        </w:tc>
        <w:tc>
          <w:tcPr>
            <w:tcW w:w="1417" w:type="dxa"/>
            <w:tcBorders>
              <w:top w:val="single" w:sz="4" w:space="0" w:color="auto"/>
              <w:left w:val="nil"/>
              <w:bottom w:val="single" w:sz="4" w:space="0" w:color="auto"/>
              <w:right w:val="single" w:sz="8" w:space="0" w:color="auto"/>
            </w:tcBorders>
          </w:tcPr>
          <w:p w14:paraId="05F9A82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55B53111"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32842E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53</w:t>
            </w:r>
          </w:p>
        </w:tc>
        <w:tc>
          <w:tcPr>
            <w:tcW w:w="1701" w:type="dxa"/>
            <w:tcBorders>
              <w:top w:val="single" w:sz="4" w:space="0" w:color="auto"/>
              <w:left w:val="nil"/>
              <w:bottom w:val="single" w:sz="4" w:space="0" w:color="auto"/>
              <w:right w:val="single" w:sz="8" w:space="0" w:color="auto"/>
            </w:tcBorders>
          </w:tcPr>
          <w:p w14:paraId="5A9B56B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145A3FD7" w14:textId="77777777" w:rsidR="00632208" w:rsidRPr="0098635C" w:rsidRDefault="00632208" w:rsidP="00A432B0">
            <w:pPr>
              <w:spacing w:after="0"/>
              <w:rPr>
                <w:color w:val="000000" w:themeColor="text1"/>
                <w:sz w:val="20"/>
                <w:szCs w:val="20"/>
              </w:rPr>
            </w:pPr>
            <w:r w:rsidRPr="0098635C">
              <w:rPr>
                <w:color w:val="000000" w:themeColor="text1"/>
                <w:sz w:val="20"/>
                <w:szCs w:val="20"/>
              </w:rPr>
              <w:t>Rehwoldt, 1971</w:t>
            </w:r>
          </w:p>
        </w:tc>
      </w:tr>
      <w:tr w:rsidR="00632208" w:rsidRPr="0098635C" w14:paraId="5E05EF0F"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05EEB31"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147187E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w:t>
            </w:r>
          </w:p>
        </w:tc>
        <w:tc>
          <w:tcPr>
            <w:tcW w:w="1276" w:type="dxa"/>
            <w:tcBorders>
              <w:top w:val="single" w:sz="4" w:space="0" w:color="auto"/>
              <w:left w:val="nil"/>
              <w:bottom w:val="single" w:sz="4" w:space="0" w:color="auto"/>
              <w:right w:val="single" w:sz="8" w:space="0" w:color="auto"/>
            </w:tcBorders>
          </w:tcPr>
          <w:p w14:paraId="6276646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1417" w:type="dxa"/>
            <w:tcBorders>
              <w:top w:val="single" w:sz="4" w:space="0" w:color="auto"/>
              <w:left w:val="nil"/>
              <w:bottom w:val="single" w:sz="4" w:space="0" w:color="auto"/>
              <w:right w:val="single" w:sz="8" w:space="0" w:color="auto"/>
            </w:tcBorders>
          </w:tcPr>
          <w:p w14:paraId="72F5CC6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6.3</w:t>
            </w:r>
          </w:p>
        </w:tc>
        <w:tc>
          <w:tcPr>
            <w:tcW w:w="1276" w:type="dxa"/>
            <w:tcBorders>
              <w:top w:val="single" w:sz="4" w:space="0" w:color="auto"/>
              <w:left w:val="nil"/>
              <w:bottom w:val="single" w:sz="4" w:space="0" w:color="auto"/>
              <w:right w:val="single" w:sz="8" w:space="0" w:color="auto"/>
            </w:tcBorders>
          </w:tcPr>
          <w:p w14:paraId="5AB08714"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13AF27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290</w:t>
            </w:r>
          </w:p>
        </w:tc>
        <w:tc>
          <w:tcPr>
            <w:tcW w:w="1701" w:type="dxa"/>
            <w:tcBorders>
              <w:top w:val="single" w:sz="4" w:space="0" w:color="auto"/>
              <w:left w:val="nil"/>
              <w:bottom w:val="single" w:sz="4" w:space="0" w:color="auto"/>
              <w:right w:val="single" w:sz="8" w:space="0" w:color="auto"/>
            </w:tcBorders>
          </w:tcPr>
          <w:p w14:paraId="0D7598A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736E0014" w14:textId="77777777" w:rsidR="00632208" w:rsidRPr="0098635C" w:rsidRDefault="00632208" w:rsidP="00A432B0">
            <w:pPr>
              <w:spacing w:after="0"/>
              <w:rPr>
                <w:color w:val="000000" w:themeColor="text1"/>
                <w:sz w:val="20"/>
                <w:szCs w:val="20"/>
              </w:rPr>
            </w:pPr>
            <w:r w:rsidRPr="0098635C">
              <w:rPr>
                <w:color w:val="000000" w:themeColor="text1"/>
                <w:sz w:val="20"/>
                <w:szCs w:val="20"/>
              </w:rPr>
              <w:t>Schubauer-Berigan  et al, 1993</w:t>
            </w:r>
          </w:p>
        </w:tc>
      </w:tr>
      <w:tr w:rsidR="00632208" w:rsidRPr="0098635C" w14:paraId="226839F0"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4B0EC9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3271240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tc>
        <w:tc>
          <w:tcPr>
            <w:tcW w:w="1276" w:type="dxa"/>
            <w:tcBorders>
              <w:top w:val="single" w:sz="4" w:space="0" w:color="auto"/>
              <w:left w:val="nil"/>
              <w:bottom w:val="single" w:sz="4" w:space="0" w:color="auto"/>
              <w:right w:val="single" w:sz="8" w:space="0" w:color="auto"/>
            </w:tcBorders>
          </w:tcPr>
          <w:p w14:paraId="39805C8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0C6AE9D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7.1</w:t>
            </w:r>
          </w:p>
        </w:tc>
        <w:tc>
          <w:tcPr>
            <w:tcW w:w="1276" w:type="dxa"/>
            <w:tcBorders>
              <w:top w:val="single" w:sz="4" w:space="0" w:color="auto"/>
              <w:left w:val="nil"/>
              <w:bottom w:val="single" w:sz="4" w:space="0" w:color="auto"/>
              <w:right w:val="single" w:sz="8" w:space="0" w:color="auto"/>
            </w:tcBorders>
          </w:tcPr>
          <w:p w14:paraId="7C9A5A96"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892192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31.4</w:t>
            </w:r>
          </w:p>
        </w:tc>
        <w:tc>
          <w:tcPr>
            <w:tcW w:w="1701" w:type="dxa"/>
            <w:tcBorders>
              <w:top w:val="single" w:sz="4" w:space="0" w:color="auto"/>
              <w:left w:val="nil"/>
              <w:bottom w:val="single" w:sz="4" w:space="0" w:color="auto"/>
              <w:right w:val="single" w:sz="8" w:space="0" w:color="auto"/>
            </w:tcBorders>
          </w:tcPr>
          <w:p w14:paraId="27DB3C3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20A2D8EA" w14:textId="77777777" w:rsidR="00632208" w:rsidRPr="0098635C" w:rsidRDefault="00632208" w:rsidP="00A432B0">
            <w:pPr>
              <w:spacing w:after="0"/>
              <w:rPr>
                <w:color w:val="000000" w:themeColor="text1"/>
                <w:sz w:val="20"/>
                <w:szCs w:val="20"/>
              </w:rPr>
            </w:pPr>
            <w:r w:rsidRPr="0098635C">
              <w:rPr>
                <w:color w:val="000000" w:themeColor="text1"/>
                <w:sz w:val="20"/>
                <w:szCs w:val="20"/>
              </w:rPr>
              <w:t>Mount and Stephan, 1969</w:t>
            </w:r>
          </w:p>
        </w:tc>
      </w:tr>
      <w:tr w:rsidR="00632208" w:rsidRPr="0098635C" w14:paraId="2E105523"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383771E"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357D85F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84</w:t>
            </w:r>
          </w:p>
        </w:tc>
        <w:tc>
          <w:tcPr>
            <w:tcW w:w="1276" w:type="dxa"/>
            <w:tcBorders>
              <w:top w:val="single" w:sz="4" w:space="0" w:color="auto"/>
              <w:left w:val="nil"/>
              <w:bottom w:val="single" w:sz="4" w:space="0" w:color="auto"/>
              <w:right w:val="single" w:sz="8" w:space="0" w:color="auto"/>
            </w:tcBorders>
          </w:tcPr>
          <w:p w14:paraId="2B88A32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33E6F96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7.1</w:t>
            </w:r>
          </w:p>
        </w:tc>
        <w:tc>
          <w:tcPr>
            <w:tcW w:w="1276" w:type="dxa"/>
            <w:tcBorders>
              <w:top w:val="single" w:sz="4" w:space="0" w:color="auto"/>
              <w:left w:val="nil"/>
              <w:bottom w:val="single" w:sz="4" w:space="0" w:color="auto"/>
              <w:right w:val="single" w:sz="8" w:space="0" w:color="auto"/>
            </w:tcBorders>
          </w:tcPr>
          <w:p w14:paraId="3EFA20FC"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CD02B1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31.4</w:t>
            </w:r>
          </w:p>
        </w:tc>
        <w:tc>
          <w:tcPr>
            <w:tcW w:w="1701" w:type="dxa"/>
            <w:tcBorders>
              <w:top w:val="single" w:sz="4" w:space="0" w:color="auto"/>
              <w:left w:val="nil"/>
              <w:bottom w:val="single" w:sz="4" w:space="0" w:color="auto"/>
              <w:right w:val="single" w:sz="8" w:space="0" w:color="auto"/>
            </w:tcBorders>
          </w:tcPr>
          <w:p w14:paraId="7912703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5366E948" w14:textId="77777777" w:rsidR="00632208" w:rsidRPr="0098635C" w:rsidRDefault="00632208" w:rsidP="00A432B0">
            <w:pPr>
              <w:spacing w:after="0"/>
              <w:rPr>
                <w:color w:val="000000" w:themeColor="text1"/>
                <w:sz w:val="20"/>
                <w:szCs w:val="20"/>
              </w:rPr>
            </w:pPr>
            <w:r w:rsidRPr="0098635C">
              <w:rPr>
                <w:color w:val="000000" w:themeColor="text1"/>
                <w:sz w:val="20"/>
                <w:szCs w:val="20"/>
              </w:rPr>
              <w:t>Mount and Stephan, 1969</w:t>
            </w:r>
          </w:p>
        </w:tc>
      </w:tr>
      <w:tr w:rsidR="00632208" w:rsidRPr="0098635C" w14:paraId="7026C2A3"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39EDB5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4052226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96</w:t>
            </w:r>
          </w:p>
        </w:tc>
        <w:tc>
          <w:tcPr>
            <w:tcW w:w="1276" w:type="dxa"/>
            <w:tcBorders>
              <w:top w:val="single" w:sz="4" w:space="0" w:color="auto"/>
              <w:left w:val="nil"/>
              <w:bottom w:val="single" w:sz="4" w:space="0" w:color="auto"/>
              <w:right w:val="single" w:sz="8" w:space="0" w:color="auto"/>
            </w:tcBorders>
          </w:tcPr>
          <w:p w14:paraId="29FDA16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1417" w:type="dxa"/>
            <w:tcBorders>
              <w:top w:val="single" w:sz="4" w:space="0" w:color="auto"/>
              <w:left w:val="nil"/>
              <w:bottom w:val="single" w:sz="4" w:space="0" w:color="auto"/>
              <w:right w:val="single" w:sz="8" w:space="0" w:color="auto"/>
            </w:tcBorders>
          </w:tcPr>
          <w:p w14:paraId="0226C9A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7.4</w:t>
            </w:r>
          </w:p>
        </w:tc>
        <w:tc>
          <w:tcPr>
            <w:tcW w:w="1276" w:type="dxa"/>
            <w:tcBorders>
              <w:top w:val="single" w:sz="4" w:space="0" w:color="auto"/>
              <w:left w:val="nil"/>
              <w:bottom w:val="single" w:sz="4" w:space="0" w:color="auto"/>
              <w:right w:val="single" w:sz="8" w:space="0" w:color="auto"/>
            </w:tcBorders>
          </w:tcPr>
          <w:p w14:paraId="251323ED"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A55F22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43.9</w:t>
            </w:r>
          </w:p>
        </w:tc>
        <w:tc>
          <w:tcPr>
            <w:tcW w:w="1701" w:type="dxa"/>
            <w:tcBorders>
              <w:top w:val="single" w:sz="4" w:space="0" w:color="auto"/>
              <w:left w:val="nil"/>
              <w:bottom w:val="single" w:sz="4" w:space="0" w:color="auto"/>
              <w:right w:val="single" w:sz="8" w:space="0" w:color="auto"/>
            </w:tcBorders>
          </w:tcPr>
          <w:p w14:paraId="7E385FD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53C2B857" w14:textId="77777777" w:rsidR="00632208" w:rsidRPr="0098635C" w:rsidRDefault="00632208" w:rsidP="00A432B0">
            <w:pPr>
              <w:spacing w:after="0"/>
              <w:rPr>
                <w:color w:val="000000" w:themeColor="text1"/>
                <w:sz w:val="20"/>
                <w:szCs w:val="20"/>
              </w:rPr>
            </w:pPr>
            <w:r w:rsidRPr="0098635C">
              <w:rPr>
                <w:color w:val="000000" w:themeColor="text1"/>
                <w:sz w:val="20"/>
                <w:szCs w:val="20"/>
              </w:rPr>
              <w:t>Spehart and Fiandt, 1985</w:t>
            </w:r>
          </w:p>
        </w:tc>
      </w:tr>
      <w:tr w:rsidR="00632208" w:rsidRPr="0098635C" w14:paraId="15AAB90C"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A05C9A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lastRenderedPageBreak/>
              <w:t>Pimephales promelas</w:t>
            </w:r>
          </w:p>
        </w:tc>
        <w:tc>
          <w:tcPr>
            <w:tcW w:w="1134" w:type="dxa"/>
            <w:tcBorders>
              <w:top w:val="single" w:sz="4" w:space="0" w:color="auto"/>
              <w:left w:val="nil"/>
              <w:bottom w:val="single" w:sz="4" w:space="0" w:color="auto"/>
              <w:right w:val="single" w:sz="8" w:space="0" w:color="auto"/>
            </w:tcBorders>
          </w:tcPr>
          <w:p w14:paraId="6B16990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600</w:t>
            </w:r>
          </w:p>
        </w:tc>
        <w:tc>
          <w:tcPr>
            <w:tcW w:w="1276" w:type="dxa"/>
            <w:tcBorders>
              <w:top w:val="single" w:sz="4" w:space="0" w:color="auto"/>
              <w:left w:val="nil"/>
              <w:bottom w:val="single" w:sz="4" w:space="0" w:color="auto"/>
              <w:right w:val="single" w:sz="8" w:space="0" w:color="auto"/>
            </w:tcBorders>
          </w:tcPr>
          <w:p w14:paraId="5CF9C80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9.5</w:t>
            </w:r>
          </w:p>
        </w:tc>
        <w:tc>
          <w:tcPr>
            <w:tcW w:w="1417" w:type="dxa"/>
            <w:tcBorders>
              <w:top w:val="single" w:sz="4" w:space="0" w:color="auto"/>
              <w:left w:val="nil"/>
              <w:bottom w:val="single" w:sz="4" w:space="0" w:color="auto"/>
              <w:right w:val="single" w:sz="8" w:space="0" w:color="auto"/>
            </w:tcBorders>
          </w:tcPr>
          <w:p w14:paraId="757BCC1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8.5</w:t>
            </w:r>
          </w:p>
        </w:tc>
        <w:tc>
          <w:tcPr>
            <w:tcW w:w="1276" w:type="dxa"/>
            <w:tcBorders>
              <w:top w:val="single" w:sz="4" w:space="0" w:color="auto"/>
              <w:left w:val="nil"/>
              <w:bottom w:val="single" w:sz="4" w:space="0" w:color="auto"/>
              <w:right w:val="single" w:sz="8" w:space="0" w:color="auto"/>
            </w:tcBorders>
          </w:tcPr>
          <w:p w14:paraId="2952ACB6"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3B887E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212</w:t>
            </w:r>
          </w:p>
        </w:tc>
        <w:tc>
          <w:tcPr>
            <w:tcW w:w="1701" w:type="dxa"/>
            <w:tcBorders>
              <w:top w:val="single" w:sz="4" w:space="0" w:color="auto"/>
              <w:left w:val="nil"/>
              <w:bottom w:val="single" w:sz="4" w:space="0" w:color="auto"/>
              <w:right w:val="single" w:sz="8" w:space="0" w:color="auto"/>
            </w:tcBorders>
          </w:tcPr>
          <w:p w14:paraId="39417A5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1FFF068B" w14:textId="77777777" w:rsidR="00632208" w:rsidRPr="0098635C" w:rsidRDefault="00632208" w:rsidP="00A432B0">
            <w:pPr>
              <w:spacing w:after="0"/>
              <w:rPr>
                <w:color w:val="000000" w:themeColor="text1"/>
                <w:sz w:val="20"/>
                <w:szCs w:val="20"/>
              </w:rPr>
            </w:pPr>
            <w:r w:rsidRPr="0098635C">
              <w:rPr>
                <w:color w:val="000000" w:themeColor="text1"/>
                <w:sz w:val="20"/>
                <w:szCs w:val="20"/>
              </w:rPr>
              <w:t>Brungs et al, 1976</w:t>
            </w:r>
          </w:p>
        </w:tc>
      </w:tr>
      <w:tr w:rsidR="00632208" w:rsidRPr="0098635C" w14:paraId="1A2BC6C1"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189BDD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2C4437E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690</w:t>
            </w:r>
          </w:p>
        </w:tc>
        <w:tc>
          <w:tcPr>
            <w:tcW w:w="1276" w:type="dxa"/>
            <w:tcBorders>
              <w:top w:val="single" w:sz="4" w:space="0" w:color="auto"/>
              <w:left w:val="nil"/>
              <w:bottom w:val="single" w:sz="4" w:space="0" w:color="auto"/>
              <w:right w:val="single" w:sz="8" w:space="0" w:color="auto"/>
            </w:tcBorders>
          </w:tcPr>
          <w:p w14:paraId="502129C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21.5</w:t>
            </w:r>
          </w:p>
        </w:tc>
        <w:tc>
          <w:tcPr>
            <w:tcW w:w="1417" w:type="dxa"/>
            <w:tcBorders>
              <w:top w:val="single" w:sz="4" w:space="0" w:color="auto"/>
              <w:left w:val="nil"/>
              <w:bottom w:val="single" w:sz="4" w:space="0" w:color="auto"/>
              <w:right w:val="single" w:sz="8" w:space="0" w:color="auto"/>
            </w:tcBorders>
          </w:tcPr>
          <w:p w14:paraId="234C8C1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8.3</w:t>
            </w:r>
          </w:p>
        </w:tc>
        <w:tc>
          <w:tcPr>
            <w:tcW w:w="1276" w:type="dxa"/>
            <w:tcBorders>
              <w:top w:val="single" w:sz="4" w:space="0" w:color="auto"/>
              <w:left w:val="nil"/>
              <w:bottom w:val="single" w:sz="4" w:space="0" w:color="auto"/>
              <w:right w:val="single" w:sz="8" w:space="0" w:color="auto"/>
            </w:tcBorders>
          </w:tcPr>
          <w:p w14:paraId="4AA7FFB0"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A08E3E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120</w:t>
            </w:r>
          </w:p>
        </w:tc>
        <w:tc>
          <w:tcPr>
            <w:tcW w:w="1701" w:type="dxa"/>
            <w:tcBorders>
              <w:top w:val="single" w:sz="4" w:space="0" w:color="auto"/>
              <w:left w:val="nil"/>
              <w:bottom w:val="single" w:sz="4" w:space="0" w:color="auto"/>
              <w:right w:val="single" w:sz="8" w:space="0" w:color="auto"/>
            </w:tcBorders>
          </w:tcPr>
          <w:p w14:paraId="321BA3A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69631BBB" w14:textId="77777777" w:rsidR="00632208" w:rsidRPr="0098635C" w:rsidRDefault="00632208" w:rsidP="00A432B0">
            <w:pPr>
              <w:spacing w:after="0"/>
              <w:rPr>
                <w:color w:val="000000" w:themeColor="text1"/>
                <w:sz w:val="20"/>
                <w:szCs w:val="20"/>
              </w:rPr>
            </w:pPr>
            <w:r w:rsidRPr="0098635C">
              <w:rPr>
                <w:color w:val="000000" w:themeColor="text1"/>
                <w:sz w:val="20"/>
                <w:szCs w:val="20"/>
              </w:rPr>
              <w:t>Brungs et al, 1976</w:t>
            </w:r>
          </w:p>
        </w:tc>
      </w:tr>
      <w:tr w:rsidR="00632208" w:rsidRPr="0098635C" w14:paraId="6B9AAADA"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C748A38"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3DE7515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750</w:t>
            </w:r>
          </w:p>
        </w:tc>
        <w:tc>
          <w:tcPr>
            <w:tcW w:w="1276" w:type="dxa"/>
            <w:tcBorders>
              <w:top w:val="single" w:sz="4" w:space="0" w:color="auto"/>
              <w:left w:val="nil"/>
              <w:bottom w:val="single" w:sz="4" w:space="0" w:color="auto"/>
              <w:right w:val="single" w:sz="8" w:space="0" w:color="auto"/>
            </w:tcBorders>
          </w:tcPr>
          <w:p w14:paraId="6E28965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6.5</w:t>
            </w:r>
          </w:p>
        </w:tc>
        <w:tc>
          <w:tcPr>
            <w:tcW w:w="1417" w:type="dxa"/>
            <w:tcBorders>
              <w:top w:val="single" w:sz="4" w:space="0" w:color="auto"/>
              <w:left w:val="nil"/>
              <w:bottom w:val="single" w:sz="4" w:space="0" w:color="auto"/>
              <w:right w:val="single" w:sz="8" w:space="0" w:color="auto"/>
            </w:tcBorders>
          </w:tcPr>
          <w:p w14:paraId="261CDE6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3C8DCC72"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6E90AE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244</w:t>
            </w:r>
          </w:p>
        </w:tc>
        <w:tc>
          <w:tcPr>
            <w:tcW w:w="1701" w:type="dxa"/>
            <w:tcBorders>
              <w:top w:val="single" w:sz="4" w:space="0" w:color="auto"/>
              <w:left w:val="nil"/>
              <w:bottom w:val="single" w:sz="4" w:space="0" w:color="auto"/>
              <w:right w:val="single" w:sz="8" w:space="0" w:color="auto"/>
            </w:tcBorders>
          </w:tcPr>
          <w:p w14:paraId="55532EE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733C4E74" w14:textId="77777777" w:rsidR="00632208" w:rsidRPr="0098635C" w:rsidRDefault="00632208" w:rsidP="00A432B0">
            <w:pPr>
              <w:spacing w:after="0"/>
              <w:rPr>
                <w:color w:val="000000" w:themeColor="text1"/>
                <w:sz w:val="20"/>
                <w:szCs w:val="20"/>
              </w:rPr>
            </w:pPr>
            <w:r w:rsidRPr="0098635C">
              <w:rPr>
                <w:color w:val="000000" w:themeColor="text1"/>
                <w:sz w:val="20"/>
                <w:szCs w:val="20"/>
              </w:rPr>
              <w:t>Brungs et al, 1976</w:t>
            </w:r>
          </w:p>
        </w:tc>
      </w:tr>
      <w:tr w:rsidR="00632208" w:rsidRPr="0098635C" w14:paraId="12B48C5E"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79970FF"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4490AD9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830</w:t>
            </w:r>
          </w:p>
        </w:tc>
        <w:tc>
          <w:tcPr>
            <w:tcW w:w="1276" w:type="dxa"/>
            <w:tcBorders>
              <w:top w:val="single" w:sz="4" w:space="0" w:color="auto"/>
              <w:left w:val="nil"/>
              <w:bottom w:val="single" w:sz="4" w:space="0" w:color="auto"/>
              <w:right w:val="single" w:sz="8" w:space="0" w:color="auto"/>
            </w:tcBorders>
          </w:tcPr>
          <w:p w14:paraId="7D607A9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17.5</w:t>
            </w:r>
          </w:p>
        </w:tc>
        <w:tc>
          <w:tcPr>
            <w:tcW w:w="1417" w:type="dxa"/>
            <w:tcBorders>
              <w:top w:val="single" w:sz="4" w:space="0" w:color="auto"/>
              <w:left w:val="nil"/>
              <w:bottom w:val="single" w:sz="4" w:space="0" w:color="auto"/>
              <w:right w:val="single" w:sz="8" w:space="0" w:color="auto"/>
            </w:tcBorders>
          </w:tcPr>
          <w:p w14:paraId="794B823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w:t>
            </w:r>
          </w:p>
        </w:tc>
        <w:tc>
          <w:tcPr>
            <w:tcW w:w="1276" w:type="dxa"/>
            <w:tcBorders>
              <w:top w:val="single" w:sz="4" w:space="0" w:color="auto"/>
              <w:left w:val="nil"/>
              <w:bottom w:val="single" w:sz="4" w:space="0" w:color="auto"/>
              <w:right w:val="single" w:sz="8" w:space="0" w:color="auto"/>
            </w:tcBorders>
          </w:tcPr>
          <w:p w14:paraId="60CF5AF6"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DE1674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228</w:t>
            </w:r>
          </w:p>
        </w:tc>
        <w:tc>
          <w:tcPr>
            <w:tcW w:w="1701" w:type="dxa"/>
            <w:tcBorders>
              <w:top w:val="single" w:sz="4" w:space="0" w:color="auto"/>
              <w:left w:val="nil"/>
              <w:bottom w:val="single" w:sz="4" w:space="0" w:color="auto"/>
              <w:right w:val="single" w:sz="8" w:space="0" w:color="auto"/>
            </w:tcBorders>
          </w:tcPr>
          <w:p w14:paraId="1B432B4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7AE08754" w14:textId="77777777" w:rsidR="00632208" w:rsidRPr="0098635C" w:rsidRDefault="00632208" w:rsidP="00A432B0">
            <w:pPr>
              <w:spacing w:after="0"/>
              <w:rPr>
                <w:color w:val="000000" w:themeColor="text1"/>
                <w:sz w:val="20"/>
                <w:szCs w:val="20"/>
              </w:rPr>
            </w:pPr>
            <w:r w:rsidRPr="0098635C">
              <w:rPr>
                <w:color w:val="000000" w:themeColor="text1"/>
                <w:sz w:val="20"/>
                <w:szCs w:val="20"/>
              </w:rPr>
              <w:t>Brungs et al, 1976</w:t>
            </w:r>
          </w:p>
        </w:tc>
      </w:tr>
      <w:tr w:rsidR="00632208" w:rsidRPr="0098635C" w14:paraId="66D56746"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379A686"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5CF63B3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930</w:t>
            </w:r>
          </w:p>
        </w:tc>
        <w:tc>
          <w:tcPr>
            <w:tcW w:w="1276" w:type="dxa"/>
            <w:tcBorders>
              <w:top w:val="single" w:sz="4" w:space="0" w:color="auto"/>
              <w:left w:val="nil"/>
              <w:bottom w:val="single" w:sz="4" w:space="0" w:color="auto"/>
              <w:right w:val="single" w:sz="8" w:space="0" w:color="auto"/>
            </w:tcBorders>
          </w:tcPr>
          <w:p w14:paraId="6D4BAE2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21.5</w:t>
            </w:r>
          </w:p>
        </w:tc>
        <w:tc>
          <w:tcPr>
            <w:tcW w:w="1417" w:type="dxa"/>
            <w:tcBorders>
              <w:top w:val="single" w:sz="4" w:space="0" w:color="auto"/>
              <w:left w:val="nil"/>
              <w:bottom w:val="single" w:sz="4" w:space="0" w:color="auto"/>
              <w:right w:val="single" w:sz="8" w:space="0" w:color="auto"/>
            </w:tcBorders>
          </w:tcPr>
          <w:p w14:paraId="0B663A2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w:t>
            </w:r>
          </w:p>
        </w:tc>
        <w:tc>
          <w:tcPr>
            <w:tcW w:w="1276" w:type="dxa"/>
            <w:tcBorders>
              <w:top w:val="single" w:sz="4" w:space="0" w:color="auto"/>
              <w:left w:val="nil"/>
              <w:bottom w:val="single" w:sz="4" w:space="0" w:color="auto"/>
              <w:right w:val="single" w:sz="8" w:space="0" w:color="auto"/>
            </w:tcBorders>
          </w:tcPr>
          <w:p w14:paraId="6BD1FEC0"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226ED0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150</w:t>
            </w:r>
          </w:p>
        </w:tc>
        <w:tc>
          <w:tcPr>
            <w:tcW w:w="1701" w:type="dxa"/>
            <w:tcBorders>
              <w:top w:val="single" w:sz="4" w:space="0" w:color="auto"/>
              <w:left w:val="nil"/>
              <w:bottom w:val="single" w:sz="4" w:space="0" w:color="auto"/>
              <w:right w:val="single" w:sz="8" w:space="0" w:color="auto"/>
            </w:tcBorders>
          </w:tcPr>
          <w:p w14:paraId="5A5F36D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11C8FE6D" w14:textId="77777777" w:rsidR="00632208" w:rsidRPr="0098635C" w:rsidRDefault="00632208" w:rsidP="00A432B0">
            <w:pPr>
              <w:spacing w:after="0"/>
              <w:rPr>
                <w:color w:val="000000" w:themeColor="text1"/>
                <w:sz w:val="20"/>
                <w:szCs w:val="20"/>
              </w:rPr>
            </w:pPr>
            <w:r w:rsidRPr="0098635C">
              <w:rPr>
                <w:color w:val="000000" w:themeColor="text1"/>
                <w:sz w:val="20"/>
                <w:szCs w:val="20"/>
              </w:rPr>
              <w:t>Brungs et al, 1976</w:t>
            </w:r>
          </w:p>
        </w:tc>
      </w:tr>
      <w:tr w:rsidR="00632208" w:rsidRPr="0098635C" w14:paraId="3BE986B7"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3E7D3CE"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0FB5447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980</w:t>
            </w:r>
          </w:p>
        </w:tc>
        <w:tc>
          <w:tcPr>
            <w:tcW w:w="1276" w:type="dxa"/>
            <w:tcBorders>
              <w:top w:val="single" w:sz="4" w:space="0" w:color="auto"/>
              <w:left w:val="nil"/>
              <w:bottom w:val="single" w:sz="4" w:space="0" w:color="auto"/>
              <w:right w:val="single" w:sz="8" w:space="0" w:color="auto"/>
            </w:tcBorders>
          </w:tcPr>
          <w:p w14:paraId="3810D07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18</w:t>
            </w:r>
          </w:p>
        </w:tc>
        <w:tc>
          <w:tcPr>
            <w:tcW w:w="1417" w:type="dxa"/>
            <w:tcBorders>
              <w:top w:val="single" w:sz="4" w:space="0" w:color="auto"/>
              <w:left w:val="nil"/>
              <w:bottom w:val="single" w:sz="4" w:space="0" w:color="auto"/>
              <w:right w:val="single" w:sz="8" w:space="0" w:color="auto"/>
            </w:tcBorders>
          </w:tcPr>
          <w:p w14:paraId="781A3E6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21D88861"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AF4A31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224</w:t>
            </w:r>
          </w:p>
        </w:tc>
        <w:tc>
          <w:tcPr>
            <w:tcW w:w="1701" w:type="dxa"/>
            <w:tcBorders>
              <w:top w:val="single" w:sz="4" w:space="0" w:color="auto"/>
              <w:left w:val="nil"/>
              <w:bottom w:val="single" w:sz="4" w:space="0" w:color="auto"/>
              <w:right w:val="single" w:sz="8" w:space="0" w:color="auto"/>
            </w:tcBorders>
          </w:tcPr>
          <w:p w14:paraId="662094F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0B00E1F7" w14:textId="77777777" w:rsidR="00632208" w:rsidRPr="0098635C" w:rsidRDefault="00632208" w:rsidP="00A432B0">
            <w:pPr>
              <w:spacing w:after="0"/>
              <w:rPr>
                <w:color w:val="000000" w:themeColor="text1"/>
                <w:sz w:val="20"/>
                <w:szCs w:val="20"/>
              </w:rPr>
            </w:pPr>
            <w:r w:rsidRPr="0098635C">
              <w:rPr>
                <w:color w:val="000000" w:themeColor="text1"/>
                <w:sz w:val="20"/>
                <w:szCs w:val="20"/>
              </w:rPr>
              <w:t>Brungs et al, 1976</w:t>
            </w:r>
          </w:p>
        </w:tc>
      </w:tr>
      <w:tr w:rsidR="00632208" w:rsidRPr="0098635C" w14:paraId="1B812430"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8E1E6F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5D67167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820</w:t>
            </w:r>
          </w:p>
        </w:tc>
        <w:tc>
          <w:tcPr>
            <w:tcW w:w="1276" w:type="dxa"/>
            <w:tcBorders>
              <w:top w:val="single" w:sz="4" w:space="0" w:color="auto"/>
              <w:left w:val="nil"/>
              <w:bottom w:val="single" w:sz="4" w:space="0" w:color="auto"/>
              <w:right w:val="single" w:sz="8" w:space="0" w:color="auto"/>
            </w:tcBorders>
          </w:tcPr>
          <w:p w14:paraId="56D64AB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12.5</w:t>
            </w:r>
          </w:p>
        </w:tc>
        <w:tc>
          <w:tcPr>
            <w:tcW w:w="1417" w:type="dxa"/>
            <w:tcBorders>
              <w:top w:val="single" w:sz="4" w:space="0" w:color="auto"/>
              <w:left w:val="nil"/>
              <w:bottom w:val="single" w:sz="4" w:space="0" w:color="auto"/>
              <w:right w:val="single" w:sz="8" w:space="0" w:color="auto"/>
            </w:tcBorders>
          </w:tcPr>
          <w:p w14:paraId="75FD4D1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w:t>
            </w:r>
          </w:p>
        </w:tc>
        <w:tc>
          <w:tcPr>
            <w:tcW w:w="1276" w:type="dxa"/>
            <w:tcBorders>
              <w:top w:val="single" w:sz="4" w:space="0" w:color="auto"/>
              <w:left w:val="nil"/>
              <w:bottom w:val="single" w:sz="4" w:space="0" w:color="auto"/>
              <w:right w:val="single" w:sz="8" w:space="0" w:color="auto"/>
            </w:tcBorders>
          </w:tcPr>
          <w:p w14:paraId="118403F7"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098D7A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260</w:t>
            </w:r>
          </w:p>
        </w:tc>
        <w:tc>
          <w:tcPr>
            <w:tcW w:w="1701" w:type="dxa"/>
            <w:tcBorders>
              <w:top w:val="single" w:sz="4" w:space="0" w:color="auto"/>
              <w:left w:val="nil"/>
              <w:bottom w:val="single" w:sz="4" w:space="0" w:color="auto"/>
              <w:right w:val="single" w:sz="8" w:space="0" w:color="auto"/>
            </w:tcBorders>
          </w:tcPr>
          <w:p w14:paraId="5295C8A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573EB3B6" w14:textId="77777777" w:rsidR="00632208" w:rsidRPr="0098635C" w:rsidRDefault="00632208" w:rsidP="00A432B0">
            <w:pPr>
              <w:spacing w:after="0"/>
              <w:rPr>
                <w:color w:val="000000" w:themeColor="text1"/>
                <w:sz w:val="20"/>
                <w:szCs w:val="20"/>
              </w:rPr>
            </w:pPr>
            <w:r w:rsidRPr="0098635C">
              <w:rPr>
                <w:color w:val="000000" w:themeColor="text1"/>
                <w:sz w:val="20"/>
                <w:szCs w:val="20"/>
              </w:rPr>
              <w:t>Brungs et al, 1976</w:t>
            </w:r>
          </w:p>
        </w:tc>
      </w:tr>
      <w:tr w:rsidR="00632208" w:rsidRPr="0098635C" w14:paraId="0DD52497"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455FB76"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319CB64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630</w:t>
            </w:r>
          </w:p>
        </w:tc>
        <w:tc>
          <w:tcPr>
            <w:tcW w:w="1276" w:type="dxa"/>
            <w:tcBorders>
              <w:top w:val="single" w:sz="4" w:space="0" w:color="auto"/>
              <w:left w:val="nil"/>
              <w:bottom w:val="single" w:sz="4" w:space="0" w:color="auto"/>
              <w:right w:val="single" w:sz="8" w:space="0" w:color="auto"/>
            </w:tcBorders>
          </w:tcPr>
          <w:p w14:paraId="6409CEE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25.5</w:t>
            </w:r>
          </w:p>
        </w:tc>
        <w:tc>
          <w:tcPr>
            <w:tcW w:w="1417" w:type="dxa"/>
            <w:tcBorders>
              <w:top w:val="single" w:sz="4" w:space="0" w:color="auto"/>
              <w:left w:val="nil"/>
              <w:bottom w:val="single" w:sz="4" w:space="0" w:color="auto"/>
              <w:right w:val="single" w:sz="8" w:space="0" w:color="auto"/>
            </w:tcBorders>
          </w:tcPr>
          <w:p w14:paraId="67528F1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65474648"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A60207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280</w:t>
            </w:r>
          </w:p>
        </w:tc>
        <w:tc>
          <w:tcPr>
            <w:tcW w:w="1701" w:type="dxa"/>
            <w:tcBorders>
              <w:top w:val="single" w:sz="4" w:space="0" w:color="auto"/>
              <w:left w:val="nil"/>
              <w:bottom w:val="single" w:sz="4" w:space="0" w:color="auto"/>
              <w:right w:val="single" w:sz="8" w:space="0" w:color="auto"/>
            </w:tcBorders>
          </w:tcPr>
          <w:p w14:paraId="54C9FC5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63E2C60F" w14:textId="77777777" w:rsidR="00632208" w:rsidRPr="0098635C" w:rsidRDefault="00632208" w:rsidP="00A432B0">
            <w:pPr>
              <w:spacing w:after="0"/>
              <w:rPr>
                <w:color w:val="000000" w:themeColor="text1"/>
                <w:sz w:val="20"/>
                <w:szCs w:val="20"/>
              </w:rPr>
            </w:pPr>
            <w:r w:rsidRPr="0098635C">
              <w:rPr>
                <w:color w:val="000000" w:themeColor="text1"/>
                <w:sz w:val="20"/>
                <w:szCs w:val="20"/>
              </w:rPr>
              <w:t>Brungs et al, 1976</w:t>
            </w:r>
          </w:p>
        </w:tc>
      </w:tr>
      <w:tr w:rsidR="00632208" w:rsidRPr="0098635C" w14:paraId="71DA21B1"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4E960FD"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483AA33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750</w:t>
            </w:r>
          </w:p>
        </w:tc>
        <w:tc>
          <w:tcPr>
            <w:tcW w:w="1276" w:type="dxa"/>
            <w:tcBorders>
              <w:top w:val="single" w:sz="4" w:space="0" w:color="auto"/>
              <w:left w:val="nil"/>
              <w:bottom w:val="single" w:sz="4" w:space="0" w:color="auto"/>
              <w:right w:val="single" w:sz="8" w:space="0" w:color="auto"/>
            </w:tcBorders>
          </w:tcPr>
          <w:p w14:paraId="0C94AF5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w:t>
            </w:r>
          </w:p>
        </w:tc>
        <w:tc>
          <w:tcPr>
            <w:tcW w:w="1417" w:type="dxa"/>
            <w:tcBorders>
              <w:top w:val="single" w:sz="4" w:space="0" w:color="auto"/>
              <w:left w:val="nil"/>
              <w:bottom w:val="single" w:sz="4" w:space="0" w:color="auto"/>
              <w:right w:val="single" w:sz="8" w:space="0" w:color="auto"/>
            </w:tcBorders>
          </w:tcPr>
          <w:p w14:paraId="3F16F96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6F6A3CEE"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9B05AD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280</w:t>
            </w:r>
          </w:p>
        </w:tc>
        <w:tc>
          <w:tcPr>
            <w:tcW w:w="1701" w:type="dxa"/>
            <w:tcBorders>
              <w:top w:val="single" w:sz="4" w:space="0" w:color="auto"/>
              <w:left w:val="nil"/>
              <w:bottom w:val="single" w:sz="4" w:space="0" w:color="auto"/>
              <w:right w:val="single" w:sz="8" w:space="0" w:color="auto"/>
            </w:tcBorders>
          </w:tcPr>
          <w:p w14:paraId="5D9AB96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13C7C4EB" w14:textId="77777777" w:rsidR="00632208" w:rsidRPr="0098635C" w:rsidRDefault="00632208" w:rsidP="00A432B0">
            <w:pPr>
              <w:spacing w:after="0"/>
              <w:rPr>
                <w:color w:val="000000" w:themeColor="text1"/>
                <w:sz w:val="20"/>
                <w:szCs w:val="20"/>
              </w:rPr>
            </w:pPr>
            <w:r w:rsidRPr="0098635C">
              <w:rPr>
                <w:color w:val="000000" w:themeColor="text1"/>
                <w:sz w:val="20"/>
                <w:szCs w:val="20"/>
              </w:rPr>
              <w:t>Brungs et al, 1976</w:t>
            </w:r>
          </w:p>
        </w:tc>
      </w:tr>
      <w:tr w:rsidR="00632208" w:rsidRPr="0098635C" w14:paraId="61A396B2"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84B779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6237B21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770</w:t>
            </w:r>
          </w:p>
        </w:tc>
        <w:tc>
          <w:tcPr>
            <w:tcW w:w="1276" w:type="dxa"/>
            <w:tcBorders>
              <w:top w:val="single" w:sz="4" w:space="0" w:color="auto"/>
              <w:left w:val="nil"/>
              <w:bottom w:val="single" w:sz="4" w:space="0" w:color="auto"/>
              <w:right w:val="single" w:sz="8" w:space="0" w:color="auto"/>
            </w:tcBorders>
          </w:tcPr>
          <w:p w14:paraId="0DB8458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21.5</w:t>
            </w:r>
          </w:p>
        </w:tc>
        <w:tc>
          <w:tcPr>
            <w:tcW w:w="1417" w:type="dxa"/>
            <w:tcBorders>
              <w:top w:val="single" w:sz="4" w:space="0" w:color="auto"/>
              <w:left w:val="nil"/>
              <w:bottom w:val="single" w:sz="4" w:space="0" w:color="auto"/>
              <w:right w:val="single" w:sz="8" w:space="0" w:color="auto"/>
            </w:tcBorders>
          </w:tcPr>
          <w:p w14:paraId="7150C4E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8.4</w:t>
            </w:r>
          </w:p>
        </w:tc>
        <w:tc>
          <w:tcPr>
            <w:tcW w:w="1276" w:type="dxa"/>
            <w:tcBorders>
              <w:top w:val="single" w:sz="4" w:space="0" w:color="auto"/>
              <w:left w:val="nil"/>
              <w:bottom w:val="single" w:sz="4" w:space="0" w:color="auto"/>
              <w:right w:val="single" w:sz="8" w:space="0" w:color="auto"/>
            </w:tcBorders>
          </w:tcPr>
          <w:p w14:paraId="429DCE58"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B01E14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280</w:t>
            </w:r>
          </w:p>
        </w:tc>
        <w:tc>
          <w:tcPr>
            <w:tcW w:w="1701" w:type="dxa"/>
            <w:tcBorders>
              <w:top w:val="single" w:sz="4" w:space="0" w:color="auto"/>
              <w:left w:val="nil"/>
              <w:bottom w:val="single" w:sz="4" w:space="0" w:color="auto"/>
              <w:right w:val="single" w:sz="8" w:space="0" w:color="auto"/>
            </w:tcBorders>
          </w:tcPr>
          <w:p w14:paraId="522D574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307A5F37" w14:textId="77777777" w:rsidR="00632208" w:rsidRPr="0098635C" w:rsidRDefault="00632208" w:rsidP="00A432B0">
            <w:pPr>
              <w:spacing w:after="0"/>
              <w:rPr>
                <w:color w:val="000000" w:themeColor="text1"/>
                <w:sz w:val="20"/>
                <w:szCs w:val="20"/>
              </w:rPr>
            </w:pPr>
            <w:r w:rsidRPr="0098635C">
              <w:rPr>
                <w:color w:val="000000" w:themeColor="text1"/>
                <w:sz w:val="20"/>
                <w:szCs w:val="20"/>
              </w:rPr>
              <w:t>Brungs et al, 1976</w:t>
            </w:r>
          </w:p>
        </w:tc>
      </w:tr>
      <w:tr w:rsidR="00632208" w:rsidRPr="0098635C" w14:paraId="513D8EF0"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BD9231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342365C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730</w:t>
            </w:r>
          </w:p>
        </w:tc>
        <w:tc>
          <w:tcPr>
            <w:tcW w:w="1276" w:type="dxa"/>
            <w:tcBorders>
              <w:top w:val="single" w:sz="4" w:space="0" w:color="auto"/>
              <w:left w:val="nil"/>
              <w:bottom w:val="single" w:sz="4" w:space="0" w:color="auto"/>
              <w:right w:val="single" w:sz="8" w:space="0" w:color="auto"/>
            </w:tcBorders>
          </w:tcPr>
          <w:p w14:paraId="4D04168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23.5</w:t>
            </w:r>
          </w:p>
        </w:tc>
        <w:tc>
          <w:tcPr>
            <w:tcW w:w="1417" w:type="dxa"/>
            <w:tcBorders>
              <w:top w:val="single" w:sz="4" w:space="0" w:color="auto"/>
              <w:left w:val="nil"/>
              <w:bottom w:val="single" w:sz="4" w:space="0" w:color="auto"/>
              <w:right w:val="single" w:sz="8" w:space="0" w:color="auto"/>
            </w:tcBorders>
          </w:tcPr>
          <w:p w14:paraId="30E1ECD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66482190"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83C7E4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294</w:t>
            </w:r>
          </w:p>
        </w:tc>
        <w:tc>
          <w:tcPr>
            <w:tcW w:w="1701" w:type="dxa"/>
            <w:tcBorders>
              <w:top w:val="single" w:sz="4" w:space="0" w:color="auto"/>
              <w:left w:val="nil"/>
              <w:bottom w:val="single" w:sz="4" w:space="0" w:color="auto"/>
              <w:right w:val="single" w:sz="8" w:space="0" w:color="auto"/>
            </w:tcBorders>
          </w:tcPr>
          <w:p w14:paraId="43C487D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659CF3B0" w14:textId="77777777" w:rsidR="00632208" w:rsidRPr="0098635C" w:rsidRDefault="00632208" w:rsidP="00A432B0">
            <w:pPr>
              <w:spacing w:after="0"/>
              <w:rPr>
                <w:color w:val="000000" w:themeColor="text1"/>
                <w:sz w:val="20"/>
                <w:szCs w:val="20"/>
              </w:rPr>
            </w:pPr>
            <w:r w:rsidRPr="0098635C">
              <w:rPr>
                <w:color w:val="000000" w:themeColor="text1"/>
                <w:sz w:val="20"/>
                <w:szCs w:val="20"/>
              </w:rPr>
              <w:t>Brungs et al, 1976</w:t>
            </w:r>
          </w:p>
        </w:tc>
      </w:tr>
      <w:tr w:rsidR="00632208" w:rsidRPr="0098635C" w14:paraId="43B23391"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1A16B86"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68A6C17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860</w:t>
            </w:r>
          </w:p>
        </w:tc>
        <w:tc>
          <w:tcPr>
            <w:tcW w:w="1276" w:type="dxa"/>
            <w:tcBorders>
              <w:top w:val="single" w:sz="4" w:space="0" w:color="auto"/>
              <w:left w:val="nil"/>
              <w:bottom w:val="single" w:sz="4" w:space="0" w:color="auto"/>
              <w:right w:val="single" w:sz="8" w:space="0" w:color="auto"/>
            </w:tcBorders>
          </w:tcPr>
          <w:p w14:paraId="60586DC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22.5</w:t>
            </w:r>
          </w:p>
        </w:tc>
        <w:tc>
          <w:tcPr>
            <w:tcW w:w="1417" w:type="dxa"/>
            <w:tcBorders>
              <w:top w:val="single" w:sz="4" w:space="0" w:color="auto"/>
              <w:left w:val="nil"/>
              <w:bottom w:val="single" w:sz="4" w:space="0" w:color="auto"/>
              <w:right w:val="single" w:sz="8" w:space="0" w:color="auto"/>
            </w:tcBorders>
          </w:tcPr>
          <w:p w14:paraId="3B7982E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8.3</w:t>
            </w:r>
          </w:p>
        </w:tc>
        <w:tc>
          <w:tcPr>
            <w:tcW w:w="1276" w:type="dxa"/>
            <w:tcBorders>
              <w:top w:val="single" w:sz="4" w:space="0" w:color="auto"/>
              <w:left w:val="nil"/>
              <w:bottom w:val="single" w:sz="4" w:space="0" w:color="auto"/>
              <w:right w:val="single" w:sz="8" w:space="0" w:color="auto"/>
            </w:tcBorders>
          </w:tcPr>
          <w:p w14:paraId="3F9FB68E"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D2B28D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298</w:t>
            </w:r>
          </w:p>
        </w:tc>
        <w:tc>
          <w:tcPr>
            <w:tcW w:w="1701" w:type="dxa"/>
            <w:tcBorders>
              <w:top w:val="single" w:sz="4" w:space="0" w:color="auto"/>
              <w:left w:val="nil"/>
              <w:bottom w:val="single" w:sz="4" w:space="0" w:color="auto"/>
              <w:right w:val="single" w:sz="8" w:space="0" w:color="auto"/>
            </w:tcBorders>
          </w:tcPr>
          <w:p w14:paraId="2BCBD13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45255171" w14:textId="77777777" w:rsidR="00632208" w:rsidRPr="0098635C" w:rsidRDefault="00632208" w:rsidP="00A432B0">
            <w:pPr>
              <w:spacing w:after="0"/>
              <w:rPr>
                <w:color w:val="000000" w:themeColor="text1"/>
                <w:sz w:val="20"/>
                <w:szCs w:val="20"/>
              </w:rPr>
            </w:pPr>
            <w:r w:rsidRPr="0098635C">
              <w:rPr>
                <w:color w:val="000000" w:themeColor="text1"/>
                <w:sz w:val="20"/>
                <w:szCs w:val="20"/>
              </w:rPr>
              <w:t>Brungs et al, 1976</w:t>
            </w:r>
          </w:p>
        </w:tc>
      </w:tr>
      <w:tr w:rsidR="00632208" w:rsidRPr="0098635C" w14:paraId="34504244"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671218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5D1F5E4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840</w:t>
            </w:r>
          </w:p>
        </w:tc>
        <w:tc>
          <w:tcPr>
            <w:tcW w:w="1276" w:type="dxa"/>
            <w:tcBorders>
              <w:top w:val="single" w:sz="4" w:space="0" w:color="auto"/>
              <w:left w:val="nil"/>
              <w:bottom w:val="single" w:sz="4" w:space="0" w:color="auto"/>
              <w:right w:val="single" w:sz="8" w:space="0" w:color="auto"/>
            </w:tcBorders>
          </w:tcPr>
          <w:p w14:paraId="1770B2C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26</w:t>
            </w:r>
          </w:p>
        </w:tc>
        <w:tc>
          <w:tcPr>
            <w:tcW w:w="1417" w:type="dxa"/>
            <w:tcBorders>
              <w:top w:val="single" w:sz="4" w:space="0" w:color="auto"/>
              <w:left w:val="nil"/>
              <w:bottom w:val="single" w:sz="4" w:space="0" w:color="auto"/>
              <w:right w:val="single" w:sz="8" w:space="0" w:color="auto"/>
            </w:tcBorders>
          </w:tcPr>
          <w:p w14:paraId="5986F56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8.3</w:t>
            </w:r>
          </w:p>
        </w:tc>
        <w:tc>
          <w:tcPr>
            <w:tcW w:w="1276" w:type="dxa"/>
            <w:tcBorders>
              <w:top w:val="single" w:sz="4" w:space="0" w:color="auto"/>
              <w:left w:val="nil"/>
              <w:bottom w:val="single" w:sz="4" w:space="0" w:color="auto"/>
              <w:right w:val="single" w:sz="8" w:space="0" w:color="auto"/>
            </w:tcBorders>
          </w:tcPr>
          <w:p w14:paraId="29812EFC"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BF446B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308</w:t>
            </w:r>
          </w:p>
        </w:tc>
        <w:tc>
          <w:tcPr>
            <w:tcW w:w="1701" w:type="dxa"/>
            <w:tcBorders>
              <w:top w:val="single" w:sz="4" w:space="0" w:color="auto"/>
              <w:left w:val="nil"/>
              <w:bottom w:val="single" w:sz="4" w:space="0" w:color="auto"/>
              <w:right w:val="single" w:sz="8" w:space="0" w:color="auto"/>
            </w:tcBorders>
          </w:tcPr>
          <w:p w14:paraId="454A047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439B3515" w14:textId="77777777" w:rsidR="00632208" w:rsidRPr="0098635C" w:rsidRDefault="00632208" w:rsidP="00A432B0">
            <w:pPr>
              <w:spacing w:after="0"/>
              <w:rPr>
                <w:color w:val="000000" w:themeColor="text1"/>
                <w:sz w:val="20"/>
                <w:szCs w:val="20"/>
              </w:rPr>
            </w:pPr>
            <w:r w:rsidRPr="0098635C">
              <w:rPr>
                <w:color w:val="000000" w:themeColor="text1"/>
                <w:sz w:val="20"/>
                <w:szCs w:val="20"/>
              </w:rPr>
              <w:t>Brungs et al, 1976</w:t>
            </w:r>
          </w:p>
        </w:tc>
      </w:tr>
      <w:tr w:rsidR="00632208" w:rsidRPr="0098635C" w14:paraId="13583AAF"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60B0A2A"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7091B07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870</w:t>
            </w:r>
          </w:p>
        </w:tc>
        <w:tc>
          <w:tcPr>
            <w:tcW w:w="1276" w:type="dxa"/>
            <w:tcBorders>
              <w:top w:val="single" w:sz="4" w:space="0" w:color="auto"/>
              <w:left w:val="nil"/>
              <w:bottom w:val="single" w:sz="4" w:space="0" w:color="auto"/>
              <w:right w:val="single" w:sz="8" w:space="0" w:color="auto"/>
            </w:tcBorders>
          </w:tcPr>
          <w:p w14:paraId="202BC2D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18.5</w:t>
            </w:r>
          </w:p>
        </w:tc>
        <w:tc>
          <w:tcPr>
            <w:tcW w:w="1417" w:type="dxa"/>
            <w:tcBorders>
              <w:top w:val="single" w:sz="4" w:space="0" w:color="auto"/>
              <w:left w:val="nil"/>
              <w:bottom w:val="single" w:sz="4" w:space="0" w:color="auto"/>
              <w:right w:val="single" w:sz="8" w:space="0" w:color="auto"/>
            </w:tcBorders>
          </w:tcPr>
          <w:p w14:paraId="49DD698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4E2609DA"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454D7A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310</w:t>
            </w:r>
          </w:p>
        </w:tc>
        <w:tc>
          <w:tcPr>
            <w:tcW w:w="1701" w:type="dxa"/>
            <w:tcBorders>
              <w:top w:val="single" w:sz="4" w:space="0" w:color="auto"/>
              <w:left w:val="nil"/>
              <w:bottom w:val="single" w:sz="4" w:space="0" w:color="auto"/>
              <w:right w:val="single" w:sz="8" w:space="0" w:color="auto"/>
            </w:tcBorders>
          </w:tcPr>
          <w:p w14:paraId="65E2B56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45561B0A" w14:textId="77777777" w:rsidR="00632208" w:rsidRPr="0098635C" w:rsidRDefault="00632208" w:rsidP="00A432B0">
            <w:pPr>
              <w:spacing w:after="0"/>
              <w:rPr>
                <w:color w:val="000000" w:themeColor="text1"/>
                <w:sz w:val="20"/>
                <w:szCs w:val="20"/>
              </w:rPr>
            </w:pPr>
            <w:r w:rsidRPr="0098635C">
              <w:rPr>
                <w:color w:val="000000" w:themeColor="text1"/>
                <w:sz w:val="20"/>
                <w:szCs w:val="20"/>
              </w:rPr>
              <w:t>Brungs et al, 1976</w:t>
            </w:r>
          </w:p>
        </w:tc>
      </w:tr>
      <w:tr w:rsidR="00632208" w:rsidRPr="0098635C" w14:paraId="0ACAE729"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ACFFC34"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580B2C4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44</w:t>
            </w:r>
          </w:p>
        </w:tc>
        <w:tc>
          <w:tcPr>
            <w:tcW w:w="1276" w:type="dxa"/>
            <w:tcBorders>
              <w:top w:val="single" w:sz="4" w:space="0" w:color="auto"/>
              <w:left w:val="nil"/>
              <w:bottom w:val="single" w:sz="4" w:space="0" w:color="auto"/>
              <w:right w:val="single" w:sz="8" w:space="0" w:color="auto"/>
            </w:tcBorders>
          </w:tcPr>
          <w:p w14:paraId="3FAFAF3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1417" w:type="dxa"/>
            <w:tcBorders>
              <w:top w:val="single" w:sz="4" w:space="0" w:color="auto"/>
              <w:left w:val="nil"/>
              <w:bottom w:val="single" w:sz="4" w:space="0" w:color="auto"/>
              <w:right w:val="single" w:sz="8" w:space="0" w:color="auto"/>
            </w:tcBorders>
          </w:tcPr>
          <w:p w14:paraId="51E2772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7.3</w:t>
            </w:r>
          </w:p>
        </w:tc>
        <w:tc>
          <w:tcPr>
            <w:tcW w:w="1276" w:type="dxa"/>
            <w:tcBorders>
              <w:top w:val="single" w:sz="4" w:space="0" w:color="auto"/>
              <w:left w:val="nil"/>
              <w:bottom w:val="single" w:sz="4" w:space="0" w:color="auto"/>
              <w:right w:val="single" w:sz="8" w:space="0" w:color="auto"/>
            </w:tcBorders>
          </w:tcPr>
          <w:p w14:paraId="7801CB49"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7E0B19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290</w:t>
            </w:r>
          </w:p>
        </w:tc>
        <w:tc>
          <w:tcPr>
            <w:tcW w:w="1701" w:type="dxa"/>
            <w:tcBorders>
              <w:top w:val="single" w:sz="4" w:space="0" w:color="auto"/>
              <w:left w:val="nil"/>
              <w:bottom w:val="single" w:sz="4" w:space="0" w:color="auto"/>
              <w:right w:val="single" w:sz="8" w:space="0" w:color="auto"/>
            </w:tcBorders>
          </w:tcPr>
          <w:p w14:paraId="0209FAA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53E17178" w14:textId="77777777" w:rsidR="00632208" w:rsidRPr="0098635C" w:rsidRDefault="00632208" w:rsidP="00A432B0">
            <w:pPr>
              <w:spacing w:after="0"/>
              <w:rPr>
                <w:color w:val="000000" w:themeColor="text1"/>
                <w:sz w:val="20"/>
                <w:szCs w:val="20"/>
              </w:rPr>
            </w:pPr>
            <w:r w:rsidRPr="0098635C">
              <w:rPr>
                <w:color w:val="000000" w:themeColor="text1"/>
                <w:sz w:val="20"/>
                <w:szCs w:val="20"/>
              </w:rPr>
              <w:t>Schubauer-Berigan et al, 1993</w:t>
            </w:r>
          </w:p>
        </w:tc>
      </w:tr>
      <w:tr w:rsidR="00632208" w:rsidRPr="0098635C" w14:paraId="3FC58A21"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512BCDA"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5AE3D06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&gt;200</w:t>
            </w:r>
          </w:p>
        </w:tc>
        <w:tc>
          <w:tcPr>
            <w:tcW w:w="1276" w:type="dxa"/>
            <w:tcBorders>
              <w:top w:val="single" w:sz="4" w:space="0" w:color="auto"/>
              <w:left w:val="nil"/>
              <w:bottom w:val="single" w:sz="4" w:space="0" w:color="auto"/>
              <w:right w:val="single" w:sz="8" w:space="0" w:color="auto"/>
            </w:tcBorders>
          </w:tcPr>
          <w:p w14:paraId="70C018F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1417" w:type="dxa"/>
            <w:tcBorders>
              <w:top w:val="single" w:sz="4" w:space="0" w:color="auto"/>
              <w:left w:val="nil"/>
              <w:bottom w:val="single" w:sz="4" w:space="0" w:color="auto"/>
              <w:right w:val="single" w:sz="8" w:space="0" w:color="auto"/>
            </w:tcBorders>
          </w:tcPr>
          <w:p w14:paraId="148B02D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8.3</w:t>
            </w:r>
          </w:p>
        </w:tc>
        <w:tc>
          <w:tcPr>
            <w:tcW w:w="1276" w:type="dxa"/>
            <w:tcBorders>
              <w:top w:val="single" w:sz="4" w:space="0" w:color="auto"/>
              <w:left w:val="nil"/>
              <w:bottom w:val="single" w:sz="4" w:space="0" w:color="auto"/>
              <w:right w:val="single" w:sz="8" w:space="0" w:color="auto"/>
            </w:tcBorders>
          </w:tcPr>
          <w:p w14:paraId="33F7D73B"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608BAF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290</w:t>
            </w:r>
          </w:p>
        </w:tc>
        <w:tc>
          <w:tcPr>
            <w:tcW w:w="1701" w:type="dxa"/>
            <w:tcBorders>
              <w:top w:val="single" w:sz="4" w:space="0" w:color="auto"/>
              <w:left w:val="nil"/>
              <w:bottom w:val="single" w:sz="4" w:space="0" w:color="auto"/>
              <w:right w:val="single" w:sz="8" w:space="0" w:color="auto"/>
            </w:tcBorders>
          </w:tcPr>
          <w:p w14:paraId="57F968F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163D1118" w14:textId="77777777" w:rsidR="00632208" w:rsidRPr="0098635C" w:rsidRDefault="00632208" w:rsidP="00A432B0">
            <w:pPr>
              <w:spacing w:after="0"/>
              <w:rPr>
                <w:color w:val="000000" w:themeColor="text1"/>
                <w:sz w:val="20"/>
                <w:szCs w:val="20"/>
              </w:rPr>
            </w:pPr>
            <w:r w:rsidRPr="0098635C">
              <w:rPr>
                <w:color w:val="000000" w:themeColor="text1"/>
                <w:sz w:val="20"/>
                <w:szCs w:val="20"/>
              </w:rPr>
              <w:t>Schubauer-Berigan et al, 1993</w:t>
            </w:r>
          </w:p>
        </w:tc>
      </w:tr>
      <w:tr w:rsidR="00632208" w:rsidRPr="0098635C" w14:paraId="02E57AA7"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850E79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72D21A6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430</w:t>
            </w:r>
          </w:p>
        </w:tc>
        <w:tc>
          <w:tcPr>
            <w:tcW w:w="1276" w:type="dxa"/>
            <w:tcBorders>
              <w:top w:val="single" w:sz="4" w:space="0" w:color="auto"/>
              <w:left w:val="nil"/>
              <w:bottom w:val="single" w:sz="4" w:space="0" w:color="auto"/>
              <w:right w:val="single" w:sz="8" w:space="0" w:color="auto"/>
            </w:tcBorders>
          </w:tcPr>
          <w:p w14:paraId="014C776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20.8</w:t>
            </w:r>
          </w:p>
        </w:tc>
        <w:tc>
          <w:tcPr>
            <w:tcW w:w="1417" w:type="dxa"/>
            <w:tcBorders>
              <w:top w:val="single" w:sz="4" w:space="0" w:color="auto"/>
              <w:left w:val="nil"/>
              <w:bottom w:val="single" w:sz="4" w:space="0" w:color="auto"/>
              <w:right w:val="single" w:sz="8" w:space="0" w:color="auto"/>
            </w:tcBorders>
          </w:tcPr>
          <w:p w14:paraId="6D8D800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7.9</w:t>
            </w:r>
          </w:p>
        </w:tc>
        <w:tc>
          <w:tcPr>
            <w:tcW w:w="1276" w:type="dxa"/>
            <w:tcBorders>
              <w:top w:val="single" w:sz="4" w:space="0" w:color="auto"/>
              <w:left w:val="nil"/>
              <w:bottom w:val="single" w:sz="4" w:space="0" w:color="auto"/>
              <w:right w:val="single" w:sz="8" w:space="0" w:color="auto"/>
            </w:tcBorders>
          </w:tcPr>
          <w:p w14:paraId="6876B0E4"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C6D005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198</w:t>
            </w:r>
          </w:p>
        </w:tc>
        <w:tc>
          <w:tcPr>
            <w:tcW w:w="1701" w:type="dxa"/>
            <w:tcBorders>
              <w:top w:val="single" w:sz="4" w:space="0" w:color="auto"/>
              <w:left w:val="nil"/>
              <w:bottom w:val="single" w:sz="4" w:space="0" w:color="auto"/>
              <w:right w:val="single" w:sz="8" w:space="0" w:color="auto"/>
            </w:tcBorders>
          </w:tcPr>
          <w:p w14:paraId="6CB3819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3D806D14" w14:textId="77777777" w:rsidR="00632208" w:rsidRPr="0098635C" w:rsidRDefault="00632208" w:rsidP="00A432B0">
            <w:pPr>
              <w:spacing w:after="0"/>
              <w:rPr>
                <w:color w:val="000000" w:themeColor="text1"/>
                <w:sz w:val="20"/>
                <w:szCs w:val="20"/>
              </w:rPr>
            </w:pPr>
            <w:r w:rsidRPr="0098635C">
              <w:rPr>
                <w:color w:val="000000" w:themeColor="text1"/>
                <w:sz w:val="20"/>
                <w:szCs w:val="20"/>
              </w:rPr>
              <w:t>Mount, 1968</w:t>
            </w:r>
          </w:p>
        </w:tc>
      </w:tr>
      <w:tr w:rsidR="00632208" w:rsidRPr="0098635C" w14:paraId="40A34520"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89EF8BD"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45B93A9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470</w:t>
            </w:r>
          </w:p>
        </w:tc>
        <w:tc>
          <w:tcPr>
            <w:tcW w:w="1276" w:type="dxa"/>
            <w:tcBorders>
              <w:top w:val="single" w:sz="4" w:space="0" w:color="auto"/>
              <w:left w:val="nil"/>
              <w:bottom w:val="single" w:sz="4" w:space="0" w:color="auto"/>
              <w:right w:val="single" w:sz="8" w:space="0" w:color="auto"/>
            </w:tcBorders>
          </w:tcPr>
          <w:p w14:paraId="6E0A5C3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20.8</w:t>
            </w:r>
          </w:p>
        </w:tc>
        <w:tc>
          <w:tcPr>
            <w:tcW w:w="1417" w:type="dxa"/>
            <w:tcBorders>
              <w:top w:val="single" w:sz="4" w:space="0" w:color="auto"/>
              <w:left w:val="nil"/>
              <w:bottom w:val="single" w:sz="4" w:space="0" w:color="auto"/>
              <w:right w:val="single" w:sz="8" w:space="0" w:color="auto"/>
            </w:tcBorders>
          </w:tcPr>
          <w:p w14:paraId="1E81B41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7.9</w:t>
            </w:r>
          </w:p>
        </w:tc>
        <w:tc>
          <w:tcPr>
            <w:tcW w:w="1276" w:type="dxa"/>
            <w:tcBorders>
              <w:top w:val="single" w:sz="4" w:space="0" w:color="auto"/>
              <w:left w:val="nil"/>
              <w:bottom w:val="single" w:sz="4" w:space="0" w:color="auto"/>
              <w:right w:val="single" w:sz="8" w:space="0" w:color="auto"/>
            </w:tcBorders>
          </w:tcPr>
          <w:p w14:paraId="70E733C4"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0B9DCB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198</w:t>
            </w:r>
          </w:p>
        </w:tc>
        <w:tc>
          <w:tcPr>
            <w:tcW w:w="1701" w:type="dxa"/>
            <w:tcBorders>
              <w:top w:val="single" w:sz="4" w:space="0" w:color="auto"/>
              <w:left w:val="nil"/>
              <w:bottom w:val="single" w:sz="4" w:space="0" w:color="auto"/>
              <w:right w:val="single" w:sz="8" w:space="0" w:color="auto"/>
            </w:tcBorders>
          </w:tcPr>
          <w:p w14:paraId="2556264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7507A073" w14:textId="77777777" w:rsidR="00632208" w:rsidRPr="0098635C" w:rsidRDefault="00632208" w:rsidP="00A432B0">
            <w:pPr>
              <w:spacing w:after="0"/>
              <w:rPr>
                <w:color w:val="000000" w:themeColor="text1"/>
                <w:sz w:val="20"/>
                <w:szCs w:val="20"/>
              </w:rPr>
            </w:pPr>
            <w:r w:rsidRPr="0098635C">
              <w:rPr>
                <w:color w:val="000000" w:themeColor="text1"/>
                <w:sz w:val="20"/>
                <w:szCs w:val="20"/>
              </w:rPr>
              <w:t>Mount, 1968</w:t>
            </w:r>
          </w:p>
        </w:tc>
      </w:tr>
      <w:tr w:rsidR="00632208" w:rsidRPr="0098635C" w14:paraId="076654B4"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29FC57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5666AB0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460</w:t>
            </w:r>
          </w:p>
        </w:tc>
        <w:tc>
          <w:tcPr>
            <w:tcW w:w="1276" w:type="dxa"/>
            <w:tcBorders>
              <w:top w:val="single" w:sz="4" w:space="0" w:color="auto"/>
              <w:left w:val="nil"/>
              <w:bottom w:val="single" w:sz="4" w:space="0" w:color="auto"/>
              <w:right w:val="single" w:sz="8" w:space="0" w:color="auto"/>
            </w:tcBorders>
          </w:tcPr>
          <w:p w14:paraId="3BBC657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458C6C7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372A68A6"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0FD8A7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202</w:t>
            </w:r>
          </w:p>
        </w:tc>
        <w:tc>
          <w:tcPr>
            <w:tcW w:w="1701" w:type="dxa"/>
            <w:tcBorders>
              <w:top w:val="single" w:sz="4" w:space="0" w:color="auto"/>
              <w:left w:val="nil"/>
              <w:bottom w:val="single" w:sz="4" w:space="0" w:color="auto"/>
              <w:right w:val="single" w:sz="8" w:space="0" w:color="auto"/>
            </w:tcBorders>
          </w:tcPr>
          <w:p w14:paraId="49B5A8C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5917F6DD" w14:textId="77777777" w:rsidR="00632208" w:rsidRPr="0098635C" w:rsidRDefault="00632208" w:rsidP="00A432B0">
            <w:pPr>
              <w:spacing w:after="0"/>
              <w:rPr>
                <w:color w:val="000000" w:themeColor="text1"/>
                <w:sz w:val="20"/>
                <w:szCs w:val="20"/>
              </w:rPr>
            </w:pPr>
            <w:r w:rsidRPr="0098635C">
              <w:rPr>
                <w:color w:val="000000" w:themeColor="text1"/>
                <w:sz w:val="20"/>
                <w:szCs w:val="20"/>
              </w:rPr>
              <w:t>Pickering et al, 1977</w:t>
            </w:r>
          </w:p>
        </w:tc>
      </w:tr>
      <w:tr w:rsidR="00632208" w:rsidRPr="0098635C" w14:paraId="4672B594"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BCC3DC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6569F01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490</w:t>
            </w:r>
          </w:p>
        </w:tc>
        <w:tc>
          <w:tcPr>
            <w:tcW w:w="1276" w:type="dxa"/>
            <w:tcBorders>
              <w:top w:val="single" w:sz="4" w:space="0" w:color="auto"/>
              <w:left w:val="nil"/>
              <w:bottom w:val="single" w:sz="4" w:space="0" w:color="auto"/>
              <w:right w:val="single" w:sz="8" w:space="0" w:color="auto"/>
            </w:tcBorders>
          </w:tcPr>
          <w:p w14:paraId="2C2BF68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2D9D428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050F0D31"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D79CED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202</w:t>
            </w:r>
          </w:p>
        </w:tc>
        <w:tc>
          <w:tcPr>
            <w:tcW w:w="1701" w:type="dxa"/>
            <w:tcBorders>
              <w:top w:val="single" w:sz="4" w:space="0" w:color="auto"/>
              <w:left w:val="nil"/>
              <w:bottom w:val="single" w:sz="4" w:space="0" w:color="auto"/>
              <w:right w:val="single" w:sz="8" w:space="0" w:color="auto"/>
            </w:tcBorders>
          </w:tcPr>
          <w:p w14:paraId="3500F73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01196635" w14:textId="77777777" w:rsidR="00632208" w:rsidRPr="0098635C" w:rsidRDefault="00632208" w:rsidP="00A432B0">
            <w:pPr>
              <w:spacing w:after="0"/>
              <w:rPr>
                <w:color w:val="000000" w:themeColor="text1"/>
                <w:sz w:val="20"/>
                <w:szCs w:val="20"/>
              </w:rPr>
            </w:pPr>
            <w:r w:rsidRPr="0098635C">
              <w:rPr>
                <w:color w:val="000000" w:themeColor="text1"/>
                <w:sz w:val="20"/>
                <w:szCs w:val="20"/>
              </w:rPr>
              <w:t>Pickering et al, 1977</w:t>
            </w:r>
          </w:p>
        </w:tc>
      </w:tr>
      <w:tr w:rsidR="00632208" w:rsidRPr="0098635C" w14:paraId="3A865549"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9ACBCB1"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32CFB40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1090</w:t>
            </w:r>
          </w:p>
        </w:tc>
        <w:tc>
          <w:tcPr>
            <w:tcW w:w="1276" w:type="dxa"/>
            <w:tcBorders>
              <w:top w:val="single" w:sz="4" w:space="0" w:color="auto"/>
              <w:left w:val="nil"/>
              <w:bottom w:val="single" w:sz="4" w:space="0" w:color="auto"/>
              <w:right w:val="single" w:sz="8" w:space="0" w:color="auto"/>
            </w:tcBorders>
          </w:tcPr>
          <w:p w14:paraId="6539852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11</w:t>
            </w:r>
          </w:p>
        </w:tc>
        <w:tc>
          <w:tcPr>
            <w:tcW w:w="1417" w:type="dxa"/>
            <w:tcBorders>
              <w:top w:val="single" w:sz="4" w:space="0" w:color="auto"/>
              <w:left w:val="nil"/>
              <w:bottom w:val="single" w:sz="4" w:space="0" w:color="auto"/>
              <w:right w:val="single" w:sz="8" w:space="0" w:color="auto"/>
            </w:tcBorders>
          </w:tcPr>
          <w:p w14:paraId="6AB6B7A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7.4</w:t>
            </w:r>
          </w:p>
        </w:tc>
        <w:tc>
          <w:tcPr>
            <w:tcW w:w="1276" w:type="dxa"/>
            <w:tcBorders>
              <w:top w:val="single" w:sz="4" w:space="0" w:color="auto"/>
              <w:left w:val="nil"/>
              <w:bottom w:val="single" w:sz="4" w:space="0" w:color="auto"/>
              <w:right w:val="single" w:sz="8" w:space="0" w:color="auto"/>
            </w:tcBorders>
          </w:tcPr>
          <w:p w14:paraId="7EB09D97"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89AA9D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260</w:t>
            </w:r>
          </w:p>
        </w:tc>
        <w:tc>
          <w:tcPr>
            <w:tcW w:w="1701" w:type="dxa"/>
            <w:tcBorders>
              <w:top w:val="single" w:sz="4" w:space="0" w:color="auto"/>
              <w:left w:val="nil"/>
              <w:bottom w:val="single" w:sz="4" w:space="0" w:color="auto"/>
              <w:right w:val="single" w:sz="8" w:space="0" w:color="auto"/>
            </w:tcBorders>
          </w:tcPr>
          <w:p w14:paraId="4072338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782EE7FA"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6518DE95"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E82A7E9"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0570800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920</w:t>
            </w:r>
          </w:p>
        </w:tc>
        <w:tc>
          <w:tcPr>
            <w:tcW w:w="1276" w:type="dxa"/>
            <w:tcBorders>
              <w:top w:val="single" w:sz="4" w:space="0" w:color="auto"/>
              <w:left w:val="nil"/>
              <w:bottom w:val="single" w:sz="4" w:space="0" w:color="auto"/>
              <w:right w:val="single" w:sz="8" w:space="0" w:color="auto"/>
            </w:tcBorders>
          </w:tcPr>
          <w:p w14:paraId="47ECFD2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w:t>
            </w:r>
          </w:p>
        </w:tc>
        <w:tc>
          <w:tcPr>
            <w:tcW w:w="1417" w:type="dxa"/>
            <w:tcBorders>
              <w:top w:val="single" w:sz="4" w:space="0" w:color="auto"/>
              <w:left w:val="nil"/>
              <w:bottom w:val="single" w:sz="4" w:space="0" w:color="auto"/>
              <w:right w:val="single" w:sz="8" w:space="0" w:color="auto"/>
            </w:tcBorders>
          </w:tcPr>
          <w:p w14:paraId="69B80B1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tc>
        <w:tc>
          <w:tcPr>
            <w:tcW w:w="1276" w:type="dxa"/>
            <w:tcBorders>
              <w:top w:val="single" w:sz="4" w:space="0" w:color="auto"/>
              <w:left w:val="nil"/>
              <w:bottom w:val="single" w:sz="4" w:space="0" w:color="auto"/>
              <w:right w:val="single" w:sz="8" w:space="0" w:color="auto"/>
            </w:tcBorders>
          </w:tcPr>
          <w:p w14:paraId="548D85D5"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454237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240</w:t>
            </w:r>
          </w:p>
        </w:tc>
        <w:tc>
          <w:tcPr>
            <w:tcW w:w="1701" w:type="dxa"/>
            <w:tcBorders>
              <w:top w:val="single" w:sz="4" w:space="0" w:color="auto"/>
              <w:left w:val="nil"/>
              <w:bottom w:val="single" w:sz="4" w:space="0" w:color="auto"/>
              <w:right w:val="single" w:sz="8" w:space="0" w:color="auto"/>
            </w:tcBorders>
          </w:tcPr>
          <w:p w14:paraId="3AE1FD2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0AB88D7E"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223E00F0"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61FE2B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1049E94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&gt;610</w:t>
            </w:r>
          </w:p>
        </w:tc>
        <w:tc>
          <w:tcPr>
            <w:tcW w:w="1276" w:type="dxa"/>
            <w:tcBorders>
              <w:top w:val="single" w:sz="4" w:space="0" w:color="auto"/>
              <w:left w:val="nil"/>
              <w:bottom w:val="single" w:sz="4" w:space="0" w:color="auto"/>
              <w:right w:val="single" w:sz="8" w:space="0" w:color="auto"/>
            </w:tcBorders>
          </w:tcPr>
          <w:p w14:paraId="7E878F0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24.5</w:t>
            </w:r>
          </w:p>
        </w:tc>
        <w:tc>
          <w:tcPr>
            <w:tcW w:w="1417" w:type="dxa"/>
            <w:tcBorders>
              <w:top w:val="single" w:sz="4" w:space="0" w:color="auto"/>
              <w:left w:val="nil"/>
              <w:bottom w:val="single" w:sz="4" w:space="0" w:color="auto"/>
              <w:right w:val="single" w:sz="8" w:space="0" w:color="auto"/>
            </w:tcBorders>
          </w:tcPr>
          <w:p w14:paraId="3187D76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7.4</w:t>
            </w:r>
          </w:p>
        </w:tc>
        <w:tc>
          <w:tcPr>
            <w:tcW w:w="1276" w:type="dxa"/>
            <w:tcBorders>
              <w:top w:val="single" w:sz="4" w:space="0" w:color="auto"/>
              <w:left w:val="nil"/>
              <w:bottom w:val="single" w:sz="4" w:space="0" w:color="auto"/>
              <w:right w:val="single" w:sz="8" w:space="0" w:color="auto"/>
            </w:tcBorders>
          </w:tcPr>
          <w:p w14:paraId="435EDFEF"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9C1AE0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266</w:t>
            </w:r>
          </w:p>
        </w:tc>
        <w:tc>
          <w:tcPr>
            <w:tcW w:w="1701" w:type="dxa"/>
            <w:tcBorders>
              <w:top w:val="single" w:sz="4" w:space="0" w:color="auto"/>
              <w:left w:val="nil"/>
              <w:bottom w:val="single" w:sz="4" w:space="0" w:color="auto"/>
              <w:right w:val="single" w:sz="8" w:space="0" w:color="auto"/>
            </w:tcBorders>
          </w:tcPr>
          <w:p w14:paraId="063E83C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27527ACE"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03516D59"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FB6B155"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5EBDE1E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&lt;640</w:t>
            </w:r>
          </w:p>
        </w:tc>
        <w:tc>
          <w:tcPr>
            <w:tcW w:w="1276" w:type="dxa"/>
            <w:tcBorders>
              <w:top w:val="single" w:sz="4" w:space="0" w:color="auto"/>
              <w:left w:val="nil"/>
              <w:bottom w:val="single" w:sz="4" w:space="0" w:color="auto"/>
              <w:right w:val="single" w:sz="8" w:space="0" w:color="auto"/>
            </w:tcBorders>
          </w:tcPr>
          <w:p w14:paraId="3590DE9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25.5</w:t>
            </w:r>
          </w:p>
        </w:tc>
        <w:tc>
          <w:tcPr>
            <w:tcW w:w="1417" w:type="dxa"/>
            <w:tcBorders>
              <w:top w:val="single" w:sz="4" w:space="0" w:color="auto"/>
              <w:left w:val="nil"/>
              <w:bottom w:val="single" w:sz="4" w:space="0" w:color="auto"/>
              <w:right w:val="single" w:sz="8" w:space="0" w:color="auto"/>
            </w:tcBorders>
          </w:tcPr>
          <w:p w14:paraId="11B942F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tc>
        <w:tc>
          <w:tcPr>
            <w:tcW w:w="1276" w:type="dxa"/>
            <w:tcBorders>
              <w:top w:val="single" w:sz="4" w:space="0" w:color="auto"/>
              <w:left w:val="nil"/>
              <w:bottom w:val="single" w:sz="4" w:space="0" w:color="auto"/>
              <w:right w:val="single" w:sz="8" w:space="0" w:color="auto"/>
            </w:tcBorders>
          </w:tcPr>
          <w:p w14:paraId="0B4AE955"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3E60F0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280</w:t>
            </w:r>
          </w:p>
        </w:tc>
        <w:tc>
          <w:tcPr>
            <w:tcW w:w="1701" w:type="dxa"/>
            <w:tcBorders>
              <w:top w:val="single" w:sz="4" w:space="0" w:color="auto"/>
              <w:left w:val="nil"/>
              <w:bottom w:val="single" w:sz="4" w:space="0" w:color="auto"/>
              <w:right w:val="single" w:sz="8" w:space="0" w:color="auto"/>
            </w:tcBorders>
          </w:tcPr>
          <w:p w14:paraId="3BDCA09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1A09C183"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2BE33C85"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5DCAFFE"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5E589A1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&gt;780</w:t>
            </w:r>
          </w:p>
        </w:tc>
        <w:tc>
          <w:tcPr>
            <w:tcW w:w="1276" w:type="dxa"/>
            <w:tcBorders>
              <w:top w:val="single" w:sz="4" w:space="0" w:color="auto"/>
              <w:left w:val="nil"/>
              <w:bottom w:val="single" w:sz="4" w:space="0" w:color="auto"/>
              <w:right w:val="single" w:sz="8" w:space="0" w:color="auto"/>
            </w:tcBorders>
          </w:tcPr>
          <w:p w14:paraId="081D182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21.5</w:t>
            </w:r>
          </w:p>
        </w:tc>
        <w:tc>
          <w:tcPr>
            <w:tcW w:w="1417" w:type="dxa"/>
            <w:tcBorders>
              <w:top w:val="single" w:sz="4" w:space="0" w:color="auto"/>
              <w:left w:val="nil"/>
              <w:bottom w:val="single" w:sz="4" w:space="0" w:color="auto"/>
              <w:right w:val="single" w:sz="8" w:space="0" w:color="auto"/>
            </w:tcBorders>
          </w:tcPr>
          <w:p w14:paraId="5F34BDA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tc>
        <w:tc>
          <w:tcPr>
            <w:tcW w:w="1276" w:type="dxa"/>
            <w:tcBorders>
              <w:top w:val="single" w:sz="4" w:space="0" w:color="auto"/>
              <w:left w:val="nil"/>
              <w:bottom w:val="single" w:sz="4" w:space="0" w:color="auto"/>
              <w:right w:val="single" w:sz="8" w:space="0" w:color="auto"/>
            </w:tcBorders>
          </w:tcPr>
          <w:p w14:paraId="055B9013"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4B2E06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280</w:t>
            </w:r>
          </w:p>
        </w:tc>
        <w:tc>
          <w:tcPr>
            <w:tcW w:w="1701" w:type="dxa"/>
            <w:tcBorders>
              <w:top w:val="single" w:sz="4" w:space="0" w:color="auto"/>
              <w:left w:val="nil"/>
              <w:bottom w:val="single" w:sz="4" w:space="0" w:color="auto"/>
              <w:right w:val="single" w:sz="8" w:space="0" w:color="auto"/>
            </w:tcBorders>
          </w:tcPr>
          <w:p w14:paraId="7D587FE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47308821"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0F892A6B"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7958EAF"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4F8FBDA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960</w:t>
            </w:r>
          </w:p>
        </w:tc>
        <w:tc>
          <w:tcPr>
            <w:tcW w:w="1276" w:type="dxa"/>
            <w:tcBorders>
              <w:top w:val="single" w:sz="4" w:space="0" w:color="auto"/>
              <w:left w:val="nil"/>
              <w:bottom w:val="single" w:sz="4" w:space="0" w:color="auto"/>
              <w:right w:val="single" w:sz="8" w:space="0" w:color="auto"/>
            </w:tcBorders>
          </w:tcPr>
          <w:p w14:paraId="586B364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24.5</w:t>
            </w:r>
          </w:p>
        </w:tc>
        <w:tc>
          <w:tcPr>
            <w:tcW w:w="1417" w:type="dxa"/>
            <w:tcBorders>
              <w:top w:val="single" w:sz="4" w:space="0" w:color="auto"/>
              <w:left w:val="nil"/>
              <w:bottom w:val="single" w:sz="4" w:space="0" w:color="auto"/>
              <w:right w:val="single" w:sz="8" w:space="0" w:color="auto"/>
            </w:tcBorders>
          </w:tcPr>
          <w:p w14:paraId="240D819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tc>
        <w:tc>
          <w:tcPr>
            <w:tcW w:w="1276" w:type="dxa"/>
            <w:tcBorders>
              <w:top w:val="single" w:sz="4" w:space="0" w:color="auto"/>
              <w:left w:val="nil"/>
              <w:bottom w:val="single" w:sz="4" w:space="0" w:color="auto"/>
              <w:right w:val="single" w:sz="8" w:space="0" w:color="auto"/>
            </w:tcBorders>
          </w:tcPr>
          <w:p w14:paraId="3530F16B"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1AA69D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282</w:t>
            </w:r>
          </w:p>
        </w:tc>
        <w:tc>
          <w:tcPr>
            <w:tcW w:w="1701" w:type="dxa"/>
            <w:tcBorders>
              <w:top w:val="single" w:sz="4" w:space="0" w:color="auto"/>
              <w:left w:val="nil"/>
              <w:bottom w:val="single" w:sz="4" w:space="0" w:color="auto"/>
              <w:right w:val="single" w:sz="8" w:space="0" w:color="auto"/>
            </w:tcBorders>
          </w:tcPr>
          <w:p w14:paraId="71AC34E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76755D4C"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210C3B13"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C2CFD7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0503EF8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1400</w:t>
            </w:r>
          </w:p>
        </w:tc>
        <w:tc>
          <w:tcPr>
            <w:tcW w:w="1276" w:type="dxa"/>
            <w:tcBorders>
              <w:top w:val="single" w:sz="4" w:space="0" w:color="auto"/>
              <w:left w:val="nil"/>
              <w:bottom w:val="single" w:sz="4" w:space="0" w:color="auto"/>
              <w:right w:val="single" w:sz="8" w:space="0" w:color="auto"/>
            </w:tcBorders>
          </w:tcPr>
          <w:p w14:paraId="0309FF1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1417" w:type="dxa"/>
            <w:tcBorders>
              <w:top w:val="single" w:sz="4" w:space="0" w:color="auto"/>
              <w:left w:val="nil"/>
              <w:bottom w:val="single" w:sz="4" w:space="0" w:color="auto"/>
              <w:right w:val="single" w:sz="8" w:space="0" w:color="auto"/>
            </w:tcBorders>
          </w:tcPr>
          <w:p w14:paraId="318AF8E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7.4</w:t>
            </w:r>
          </w:p>
        </w:tc>
        <w:tc>
          <w:tcPr>
            <w:tcW w:w="1276" w:type="dxa"/>
            <w:tcBorders>
              <w:top w:val="single" w:sz="4" w:space="0" w:color="auto"/>
              <w:left w:val="nil"/>
              <w:bottom w:val="single" w:sz="4" w:space="0" w:color="auto"/>
              <w:right w:val="single" w:sz="8" w:space="0" w:color="auto"/>
            </w:tcBorders>
          </w:tcPr>
          <w:p w14:paraId="3B7BABEF"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27FBD8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298</w:t>
            </w:r>
          </w:p>
        </w:tc>
        <w:tc>
          <w:tcPr>
            <w:tcW w:w="1701" w:type="dxa"/>
            <w:tcBorders>
              <w:top w:val="single" w:sz="4" w:space="0" w:color="auto"/>
              <w:left w:val="nil"/>
              <w:bottom w:val="single" w:sz="4" w:space="0" w:color="auto"/>
              <w:right w:val="single" w:sz="8" w:space="0" w:color="auto"/>
            </w:tcBorders>
          </w:tcPr>
          <w:p w14:paraId="4996A56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33536310"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5A9D4C44"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D430EB5"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4098288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970</w:t>
            </w:r>
          </w:p>
        </w:tc>
        <w:tc>
          <w:tcPr>
            <w:tcW w:w="1276" w:type="dxa"/>
            <w:tcBorders>
              <w:top w:val="single" w:sz="4" w:space="0" w:color="auto"/>
              <w:left w:val="nil"/>
              <w:bottom w:val="single" w:sz="4" w:space="0" w:color="auto"/>
              <w:right w:val="single" w:sz="8" w:space="0" w:color="auto"/>
            </w:tcBorders>
          </w:tcPr>
          <w:p w14:paraId="285840D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26</w:t>
            </w:r>
          </w:p>
        </w:tc>
        <w:tc>
          <w:tcPr>
            <w:tcW w:w="1417" w:type="dxa"/>
            <w:tcBorders>
              <w:top w:val="single" w:sz="4" w:space="0" w:color="auto"/>
              <w:left w:val="nil"/>
              <w:bottom w:val="single" w:sz="4" w:space="0" w:color="auto"/>
              <w:right w:val="single" w:sz="8" w:space="0" w:color="auto"/>
            </w:tcBorders>
          </w:tcPr>
          <w:p w14:paraId="5CBBC0C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7.2</w:t>
            </w:r>
          </w:p>
        </w:tc>
        <w:tc>
          <w:tcPr>
            <w:tcW w:w="1276" w:type="dxa"/>
            <w:tcBorders>
              <w:top w:val="single" w:sz="4" w:space="0" w:color="auto"/>
              <w:left w:val="nil"/>
              <w:bottom w:val="single" w:sz="4" w:space="0" w:color="auto"/>
              <w:right w:val="single" w:sz="8" w:space="0" w:color="auto"/>
            </w:tcBorders>
          </w:tcPr>
          <w:p w14:paraId="29E09D17"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8F757A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308</w:t>
            </w:r>
          </w:p>
        </w:tc>
        <w:tc>
          <w:tcPr>
            <w:tcW w:w="1701" w:type="dxa"/>
            <w:tcBorders>
              <w:top w:val="single" w:sz="4" w:space="0" w:color="auto"/>
              <w:left w:val="nil"/>
              <w:bottom w:val="single" w:sz="4" w:space="0" w:color="auto"/>
              <w:right w:val="single" w:sz="8" w:space="0" w:color="auto"/>
            </w:tcBorders>
          </w:tcPr>
          <w:p w14:paraId="33EB0C9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5B4E0186"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37D0295F"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F83BDB2"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5C112C3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810</w:t>
            </w:r>
          </w:p>
        </w:tc>
        <w:tc>
          <w:tcPr>
            <w:tcW w:w="1276" w:type="dxa"/>
            <w:tcBorders>
              <w:top w:val="single" w:sz="4" w:space="0" w:color="auto"/>
              <w:left w:val="nil"/>
              <w:bottom w:val="single" w:sz="4" w:space="0" w:color="auto"/>
              <w:right w:val="single" w:sz="8" w:space="0" w:color="auto"/>
            </w:tcBorders>
          </w:tcPr>
          <w:p w14:paraId="19D9BF3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18.5</w:t>
            </w:r>
          </w:p>
        </w:tc>
        <w:tc>
          <w:tcPr>
            <w:tcW w:w="1417" w:type="dxa"/>
            <w:tcBorders>
              <w:top w:val="single" w:sz="4" w:space="0" w:color="auto"/>
              <w:left w:val="nil"/>
              <w:bottom w:val="single" w:sz="4" w:space="0" w:color="auto"/>
              <w:right w:val="single" w:sz="8" w:space="0" w:color="auto"/>
            </w:tcBorders>
          </w:tcPr>
          <w:p w14:paraId="5189E2F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7.3</w:t>
            </w:r>
          </w:p>
        </w:tc>
        <w:tc>
          <w:tcPr>
            <w:tcW w:w="1276" w:type="dxa"/>
            <w:tcBorders>
              <w:top w:val="single" w:sz="4" w:space="0" w:color="auto"/>
              <w:left w:val="nil"/>
              <w:bottom w:val="single" w:sz="4" w:space="0" w:color="auto"/>
              <w:right w:val="single" w:sz="8" w:space="0" w:color="auto"/>
            </w:tcBorders>
          </w:tcPr>
          <w:p w14:paraId="31D52833"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973F9C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310</w:t>
            </w:r>
          </w:p>
        </w:tc>
        <w:tc>
          <w:tcPr>
            <w:tcW w:w="1701" w:type="dxa"/>
            <w:tcBorders>
              <w:top w:val="single" w:sz="4" w:space="0" w:color="auto"/>
              <w:left w:val="nil"/>
              <w:bottom w:val="single" w:sz="4" w:space="0" w:color="auto"/>
              <w:right w:val="single" w:sz="8" w:space="0" w:color="auto"/>
            </w:tcBorders>
          </w:tcPr>
          <w:p w14:paraId="51422B8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728D750B"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09AB3AA5"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7CFFD7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113AF9C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780</w:t>
            </w:r>
          </w:p>
        </w:tc>
        <w:tc>
          <w:tcPr>
            <w:tcW w:w="1276" w:type="dxa"/>
            <w:tcBorders>
              <w:top w:val="single" w:sz="4" w:space="0" w:color="auto"/>
              <w:left w:val="nil"/>
              <w:bottom w:val="single" w:sz="4" w:space="0" w:color="auto"/>
              <w:right w:val="single" w:sz="8" w:space="0" w:color="auto"/>
            </w:tcBorders>
          </w:tcPr>
          <w:p w14:paraId="1E8BED7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1417" w:type="dxa"/>
            <w:tcBorders>
              <w:top w:val="single" w:sz="4" w:space="0" w:color="auto"/>
              <w:left w:val="nil"/>
              <w:bottom w:val="single" w:sz="4" w:space="0" w:color="auto"/>
              <w:right w:val="single" w:sz="8" w:space="0" w:color="auto"/>
            </w:tcBorders>
          </w:tcPr>
          <w:p w14:paraId="79223A0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tc>
        <w:tc>
          <w:tcPr>
            <w:tcW w:w="1276" w:type="dxa"/>
            <w:tcBorders>
              <w:top w:val="single" w:sz="4" w:space="0" w:color="auto"/>
              <w:left w:val="nil"/>
              <w:bottom w:val="single" w:sz="4" w:space="0" w:color="auto"/>
              <w:right w:val="single" w:sz="8" w:space="0" w:color="auto"/>
            </w:tcBorders>
          </w:tcPr>
          <w:p w14:paraId="31194782"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1D910C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324</w:t>
            </w:r>
          </w:p>
        </w:tc>
        <w:tc>
          <w:tcPr>
            <w:tcW w:w="1701" w:type="dxa"/>
            <w:tcBorders>
              <w:top w:val="single" w:sz="4" w:space="0" w:color="auto"/>
              <w:left w:val="nil"/>
              <w:bottom w:val="single" w:sz="4" w:space="0" w:color="auto"/>
              <w:right w:val="single" w:sz="8" w:space="0" w:color="auto"/>
            </w:tcBorders>
          </w:tcPr>
          <w:p w14:paraId="6F65983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278DE587"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51A9D4B7"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8F5942D"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504239B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&gt;800</w:t>
            </w:r>
          </w:p>
        </w:tc>
        <w:tc>
          <w:tcPr>
            <w:tcW w:w="1276" w:type="dxa"/>
            <w:tcBorders>
              <w:top w:val="single" w:sz="4" w:space="0" w:color="auto"/>
              <w:left w:val="nil"/>
              <w:bottom w:val="single" w:sz="4" w:space="0" w:color="auto"/>
              <w:right w:val="single" w:sz="8" w:space="0" w:color="auto"/>
            </w:tcBorders>
          </w:tcPr>
          <w:p w14:paraId="17AD2A9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23.5</w:t>
            </w:r>
          </w:p>
        </w:tc>
        <w:tc>
          <w:tcPr>
            <w:tcW w:w="1417" w:type="dxa"/>
            <w:tcBorders>
              <w:top w:val="single" w:sz="4" w:space="0" w:color="auto"/>
              <w:left w:val="nil"/>
              <w:bottom w:val="single" w:sz="4" w:space="0" w:color="auto"/>
              <w:right w:val="single" w:sz="8" w:space="0" w:color="auto"/>
            </w:tcBorders>
          </w:tcPr>
          <w:p w14:paraId="694818D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7.3</w:t>
            </w:r>
          </w:p>
        </w:tc>
        <w:tc>
          <w:tcPr>
            <w:tcW w:w="1276" w:type="dxa"/>
            <w:tcBorders>
              <w:top w:val="single" w:sz="4" w:space="0" w:color="auto"/>
              <w:left w:val="nil"/>
              <w:bottom w:val="single" w:sz="4" w:space="0" w:color="auto"/>
              <w:right w:val="single" w:sz="8" w:space="0" w:color="auto"/>
            </w:tcBorders>
          </w:tcPr>
          <w:p w14:paraId="0DEE6B45"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E95E42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336</w:t>
            </w:r>
          </w:p>
        </w:tc>
        <w:tc>
          <w:tcPr>
            <w:tcW w:w="1701" w:type="dxa"/>
            <w:tcBorders>
              <w:top w:val="single" w:sz="4" w:space="0" w:color="auto"/>
              <w:left w:val="nil"/>
              <w:bottom w:val="single" w:sz="4" w:space="0" w:color="auto"/>
              <w:right w:val="single" w:sz="8" w:space="0" w:color="auto"/>
            </w:tcBorders>
          </w:tcPr>
          <w:p w14:paraId="275E547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68DBC1E1"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732B813B"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B52539B"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205E6D6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465</w:t>
            </w:r>
          </w:p>
        </w:tc>
        <w:tc>
          <w:tcPr>
            <w:tcW w:w="1276" w:type="dxa"/>
            <w:tcBorders>
              <w:top w:val="single" w:sz="4" w:space="0" w:color="auto"/>
              <w:left w:val="nil"/>
              <w:bottom w:val="single" w:sz="4" w:space="0" w:color="auto"/>
              <w:right w:val="single" w:sz="8" w:space="0" w:color="auto"/>
            </w:tcBorders>
          </w:tcPr>
          <w:p w14:paraId="6198BBD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24</w:t>
            </w:r>
          </w:p>
        </w:tc>
        <w:tc>
          <w:tcPr>
            <w:tcW w:w="1417" w:type="dxa"/>
            <w:tcBorders>
              <w:top w:val="single" w:sz="4" w:space="0" w:color="auto"/>
              <w:left w:val="nil"/>
              <w:bottom w:val="single" w:sz="4" w:space="0" w:color="auto"/>
              <w:right w:val="single" w:sz="8" w:space="0" w:color="auto"/>
            </w:tcBorders>
          </w:tcPr>
          <w:p w14:paraId="3B6B581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5.0</w:t>
            </w:r>
          </w:p>
        </w:tc>
        <w:tc>
          <w:tcPr>
            <w:tcW w:w="1276" w:type="dxa"/>
            <w:tcBorders>
              <w:top w:val="single" w:sz="4" w:space="0" w:color="auto"/>
              <w:left w:val="nil"/>
              <w:bottom w:val="single" w:sz="4" w:space="0" w:color="auto"/>
              <w:right w:val="single" w:sz="8" w:space="0" w:color="auto"/>
            </w:tcBorders>
          </w:tcPr>
          <w:p w14:paraId="201F1F2F"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4FC03B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200</w:t>
            </w:r>
          </w:p>
        </w:tc>
        <w:tc>
          <w:tcPr>
            <w:tcW w:w="1701" w:type="dxa"/>
            <w:tcBorders>
              <w:top w:val="single" w:sz="4" w:space="0" w:color="auto"/>
              <w:left w:val="nil"/>
              <w:bottom w:val="single" w:sz="4" w:space="0" w:color="auto"/>
              <w:right w:val="single" w:sz="8" w:space="0" w:color="auto"/>
            </w:tcBorders>
          </w:tcPr>
          <w:p w14:paraId="3327AC2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lab water</w:t>
            </w:r>
          </w:p>
        </w:tc>
        <w:tc>
          <w:tcPr>
            <w:tcW w:w="2409" w:type="dxa"/>
            <w:tcBorders>
              <w:top w:val="single" w:sz="4" w:space="0" w:color="auto"/>
              <w:left w:val="nil"/>
              <w:bottom w:val="single" w:sz="4" w:space="0" w:color="auto"/>
              <w:right w:val="double" w:sz="6" w:space="0" w:color="auto"/>
            </w:tcBorders>
          </w:tcPr>
          <w:p w14:paraId="1403DC6A"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06DB5FAD"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709B38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7A3884D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600</w:t>
            </w:r>
          </w:p>
        </w:tc>
        <w:tc>
          <w:tcPr>
            <w:tcW w:w="1276" w:type="dxa"/>
            <w:tcBorders>
              <w:top w:val="single" w:sz="4" w:space="0" w:color="auto"/>
              <w:left w:val="nil"/>
              <w:bottom w:val="single" w:sz="4" w:space="0" w:color="auto"/>
              <w:right w:val="single" w:sz="8" w:space="0" w:color="auto"/>
            </w:tcBorders>
          </w:tcPr>
          <w:p w14:paraId="654C837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w:t>
            </w:r>
          </w:p>
        </w:tc>
        <w:tc>
          <w:tcPr>
            <w:tcW w:w="1417" w:type="dxa"/>
            <w:tcBorders>
              <w:top w:val="single" w:sz="4" w:space="0" w:color="auto"/>
              <w:left w:val="nil"/>
              <w:bottom w:val="single" w:sz="4" w:space="0" w:color="auto"/>
              <w:right w:val="single" w:sz="8" w:space="0" w:color="auto"/>
            </w:tcBorders>
          </w:tcPr>
          <w:p w14:paraId="435D67E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71677DFA"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A58CC1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206</w:t>
            </w:r>
          </w:p>
        </w:tc>
        <w:tc>
          <w:tcPr>
            <w:tcW w:w="1701" w:type="dxa"/>
            <w:tcBorders>
              <w:top w:val="single" w:sz="4" w:space="0" w:color="auto"/>
              <w:left w:val="nil"/>
              <w:bottom w:val="single" w:sz="4" w:space="0" w:color="auto"/>
              <w:right w:val="single" w:sz="8" w:space="0" w:color="auto"/>
            </w:tcBorders>
          </w:tcPr>
          <w:p w14:paraId="2B9A7A5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6053B88A"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443BD75B"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8F225A6"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lastRenderedPageBreak/>
              <w:t>Pimephales promelas</w:t>
            </w:r>
          </w:p>
        </w:tc>
        <w:tc>
          <w:tcPr>
            <w:tcW w:w="1134" w:type="dxa"/>
            <w:tcBorders>
              <w:top w:val="single" w:sz="4" w:space="0" w:color="auto"/>
              <w:left w:val="nil"/>
              <w:bottom w:val="single" w:sz="4" w:space="0" w:color="auto"/>
              <w:right w:val="single" w:sz="8" w:space="0" w:color="auto"/>
            </w:tcBorders>
          </w:tcPr>
          <w:p w14:paraId="6C9B14D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640</w:t>
            </w:r>
          </w:p>
        </w:tc>
        <w:tc>
          <w:tcPr>
            <w:tcW w:w="1276" w:type="dxa"/>
            <w:tcBorders>
              <w:top w:val="single" w:sz="4" w:space="0" w:color="auto"/>
              <w:left w:val="nil"/>
              <w:bottom w:val="single" w:sz="4" w:space="0" w:color="auto"/>
              <w:right w:val="single" w:sz="8" w:space="0" w:color="auto"/>
            </w:tcBorders>
          </w:tcPr>
          <w:p w14:paraId="147A62A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8.5</w:t>
            </w:r>
          </w:p>
        </w:tc>
        <w:tc>
          <w:tcPr>
            <w:tcW w:w="1417" w:type="dxa"/>
            <w:tcBorders>
              <w:top w:val="single" w:sz="4" w:space="0" w:color="auto"/>
              <w:left w:val="nil"/>
              <w:bottom w:val="single" w:sz="4" w:space="0" w:color="auto"/>
              <w:right w:val="single" w:sz="8" w:space="0" w:color="auto"/>
            </w:tcBorders>
          </w:tcPr>
          <w:p w14:paraId="36277A8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w:t>
            </w:r>
          </w:p>
        </w:tc>
        <w:tc>
          <w:tcPr>
            <w:tcW w:w="1276" w:type="dxa"/>
            <w:tcBorders>
              <w:top w:val="single" w:sz="4" w:space="0" w:color="auto"/>
              <w:left w:val="nil"/>
              <w:bottom w:val="single" w:sz="4" w:space="0" w:color="auto"/>
              <w:right w:val="single" w:sz="8" w:space="0" w:color="auto"/>
            </w:tcBorders>
          </w:tcPr>
          <w:p w14:paraId="23939EE7"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143B6F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242</w:t>
            </w:r>
          </w:p>
        </w:tc>
        <w:tc>
          <w:tcPr>
            <w:tcW w:w="1701" w:type="dxa"/>
            <w:tcBorders>
              <w:top w:val="single" w:sz="4" w:space="0" w:color="auto"/>
              <w:left w:val="nil"/>
              <w:bottom w:val="single" w:sz="4" w:space="0" w:color="auto"/>
              <w:right w:val="single" w:sz="8" w:space="0" w:color="auto"/>
            </w:tcBorders>
          </w:tcPr>
          <w:p w14:paraId="4DCE302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7A19A0D4"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11C188AB"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6C19F1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0D0117D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660</w:t>
            </w:r>
          </w:p>
        </w:tc>
        <w:tc>
          <w:tcPr>
            <w:tcW w:w="1276" w:type="dxa"/>
            <w:tcBorders>
              <w:top w:val="single" w:sz="4" w:space="0" w:color="auto"/>
              <w:left w:val="nil"/>
              <w:bottom w:val="single" w:sz="4" w:space="0" w:color="auto"/>
              <w:right w:val="single" w:sz="8" w:space="0" w:color="auto"/>
            </w:tcBorders>
          </w:tcPr>
          <w:p w14:paraId="7DFB53F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9.5</w:t>
            </w:r>
          </w:p>
        </w:tc>
        <w:tc>
          <w:tcPr>
            <w:tcW w:w="1417" w:type="dxa"/>
            <w:tcBorders>
              <w:top w:val="single" w:sz="4" w:space="0" w:color="auto"/>
              <w:left w:val="nil"/>
              <w:bottom w:val="single" w:sz="4" w:space="0" w:color="auto"/>
              <w:right w:val="single" w:sz="8" w:space="0" w:color="auto"/>
            </w:tcBorders>
          </w:tcPr>
          <w:p w14:paraId="2DD0F68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8.5</w:t>
            </w:r>
          </w:p>
        </w:tc>
        <w:tc>
          <w:tcPr>
            <w:tcW w:w="1276" w:type="dxa"/>
            <w:tcBorders>
              <w:top w:val="single" w:sz="4" w:space="0" w:color="auto"/>
              <w:left w:val="nil"/>
              <w:bottom w:val="single" w:sz="4" w:space="0" w:color="auto"/>
              <w:right w:val="single" w:sz="8" w:space="0" w:color="auto"/>
            </w:tcBorders>
          </w:tcPr>
          <w:p w14:paraId="448F9EE5"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4CF93F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212</w:t>
            </w:r>
          </w:p>
        </w:tc>
        <w:tc>
          <w:tcPr>
            <w:tcW w:w="1701" w:type="dxa"/>
            <w:tcBorders>
              <w:top w:val="single" w:sz="4" w:space="0" w:color="auto"/>
              <w:left w:val="nil"/>
              <w:bottom w:val="single" w:sz="4" w:space="0" w:color="auto"/>
              <w:right w:val="single" w:sz="8" w:space="0" w:color="auto"/>
            </w:tcBorders>
          </w:tcPr>
          <w:p w14:paraId="3A6BCC8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549275E4"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6EA45072"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8A4BD9F"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730B4AC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690</w:t>
            </w:r>
          </w:p>
        </w:tc>
        <w:tc>
          <w:tcPr>
            <w:tcW w:w="1276" w:type="dxa"/>
            <w:tcBorders>
              <w:top w:val="single" w:sz="4" w:space="0" w:color="auto"/>
              <w:left w:val="nil"/>
              <w:bottom w:val="single" w:sz="4" w:space="0" w:color="auto"/>
              <w:right w:val="single" w:sz="8" w:space="0" w:color="auto"/>
            </w:tcBorders>
          </w:tcPr>
          <w:p w14:paraId="133FF80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w:t>
            </w:r>
          </w:p>
        </w:tc>
        <w:tc>
          <w:tcPr>
            <w:tcW w:w="1417" w:type="dxa"/>
            <w:tcBorders>
              <w:top w:val="single" w:sz="4" w:space="0" w:color="auto"/>
              <w:left w:val="nil"/>
              <w:bottom w:val="single" w:sz="4" w:space="0" w:color="auto"/>
              <w:right w:val="single" w:sz="8" w:space="0" w:color="auto"/>
            </w:tcBorders>
          </w:tcPr>
          <w:p w14:paraId="181BE31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00E2BC93"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5690C2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210</w:t>
            </w:r>
          </w:p>
        </w:tc>
        <w:tc>
          <w:tcPr>
            <w:tcW w:w="1701" w:type="dxa"/>
            <w:tcBorders>
              <w:top w:val="single" w:sz="4" w:space="0" w:color="auto"/>
              <w:left w:val="nil"/>
              <w:bottom w:val="single" w:sz="4" w:space="0" w:color="auto"/>
              <w:right w:val="single" w:sz="8" w:space="0" w:color="auto"/>
            </w:tcBorders>
          </w:tcPr>
          <w:p w14:paraId="7A02EE5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5D7F1061"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262B99A7"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0AF253E"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4A3490D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750</w:t>
            </w:r>
          </w:p>
        </w:tc>
        <w:tc>
          <w:tcPr>
            <w:tcW w:w="1276" w:type="dxa"/>
            <w:tcBorders>
              <w:top w:val="single" w:sz="4" w:space="0" w:color="auto"/>
              <w:left w:val="nil"/>
              <w:bottom w:val="single" w:sz="4" w:space="0" w:color="auto"/>
              <w:right w:val="single" w:sz="8" w:space="0" w:color="auto"/>
            </w:tcBorders>
          </w:tcPr>
          <w:p w14:paraId="5DA66A3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6.5</w:t>
            </w:r>
          </w:p>
        </w:tc>
        <w:tc>
          <w:tcPr>
            <w:tcW w:w="1417" w:type="dxa"/>
            <w:tcBorders>
              <w:top w:val="single" w:sz="4" w:space="0" w:color="auto"/>
              <w:left w:val="nil"/>
              <w:bottom w:val="single" w:sz="4" w:space="0" w:color="auto"/>
              <w:right w:val="single" w:sz="8" w:space="0" w:color="auto"/>
            </w:tcBorders>
          </w:tcPr>
          <w:p w14:paraId="5445AA7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0FA90241"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1C8307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244</w:t>
            </w:r>
          </w:p>
        </w:tc>
        <w:tc>
          <w:tcPr>
            <w:tcW w:w="1701" w:type="dxa"/>
            <w:tcBorders>
              <w:top w:val="single" w:sz="4" w:space="0" w:color="auto"/>
              <w:left w:val="nil"/>
              <w:bottom w:val="single" w:sz="4" w:space="0" w:color="auto"/>
              <w:right w:val="single" w:sz="8" w:space="0" w:color="auto"/>
            </w:tcBorders>
          </w:tcPr>
          <w:p w14:paraId="57F8D9B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00C52510"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049E180C"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1B2500B"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60B59A1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820</w:t>
            </w:r>
          </w:p>
        </w:tc>
        <w:tc>
          <w:tcPr>
            <w:tcW w:w="1276" w:type="dxa"/>
            <w:tcBorders>
              <w:top w:val="single" w:sz="4" w:space="0" w:color="auto"/>
              <w:left w:val="nil"/>
              <w:bottom w:val="single" w:sz="4" w:space="0" w:color="auto"/>
              <w:right w:val="single" w:sz="8" w:space="0" w:color="auto"/>
            </w:tcBorders>
          </w:tcPr>
          <w:p w14:paraId="31E434C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17.5</w:t>
            </w:r>
          </w:p>
        </w:tc>
        <w:tc>
          <w:tcPr>
            <w:tcW w:w="1417" w:type="dxa"/>
            <w:tcBorders>
              <w:top w:val="single" w:sz="4" w:space="0" w:color="auto"/>
              <w:left w:val="nil"/>
              <w:bottom w:val="single" w:sz="4" w:space="0" w:color="auto"/>
              <w:right w:val="single" w:sz="8" w:space="0" w:color="auto"/>
            </w:tcBorders>
          </w:tcPr>
          <w:p w14:paraId="1ACA5FE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7.9</w:t>
            </w:r>
          </w:p>
        </w:tc>
        <w:tc>
          <w:tcPr>
            <w:tcW w:w="1276" w:type="dxa"/>
            <w:tcBorders>
              <w:top w:val="single" w:sz="4" w:space="0" w:color="auto"/>
              <w:left w:val="nil"/>
              <w:bottom w:val="single" w:sz="4" w:space="0" w:color="auto"/>
              <w:right w:val="single" w:sz="8" w:space="0" w:color="auto"/>
            </w:tcBorders>
          </w:tcPr>
          <w:p w14:paraId="60CE3367"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196D46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228</w:t>
            </w:r>
          </w:p>
        </w:tc>
        <w:tc>
          <w:tcPr>
            <w:tcW w:w="1701" w:type="dxa"/>
            <w:tcBorders>
              <w:top w:val="single" w:sz="4" w:space="0" w:color="auto"/>
              <w:left w:val="nil"/>
              <w:bottom w:val="single" w:sz="4" w:space="0" w:color="auto"/>
              <w:right w:val="single" w:sz="8" w:space="0" w:color="auto"/>
            </w:tcBorders>
          </w:tcPr>
          <w:p w14:paraId="725E5E8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295D8AAF"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7235F64F"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00D27E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53BF99F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940</w:t>
            </w:r>
          </w:p>
        </w:tc>
        <w:tc>
          <w:tcPr>
            <w:tcW w:w="1276" w:type="dxa"/>
            <w:tcBorders>
              <w:top w:val="single" w:sz="4" w:space="0" w:color="auto"/>
              <w:left w:val="nil"/>
              <w:bottom w:val="single" w:sz="4" w:space="0" w:color="auto"/>
              <w:right w:val="single" w:sz="8" w:space="0" w:color="auto"/>
            </w:tcBorders>
          </w:tcPr>
          <w:p w14:paraId="7882472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21.5</w:t>
            </w:r>
          </w:p>
        </w:tc>
        <w:tc>
          <w:tcPr>
            <w:tcW w:w="1417" w:type="dxa"/>
            <w:tcBorders>
              <w:top w:val="single" w:sz="4" w:space="0" w:color="auto"/>
              <w:left w:val="nil"/>
              <w:bottom w:val="single" w:sz="4" w:space="0" w:color="auto"/>
              <w:right w:val="single" w:sz="8" w:space="0" w:color="auto"/>
            </w:tcBorders>
          </w:tcPr>
          <w:p w14:paraId="38F1C79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7.9</w:t>
            </w:r>
          </w:p>
        </w:tc>
        <w:tc>
          <w:tcPr>
            <w:tcW w:w="1276" w:type="dxa"/>
            <w:tcBorders>
              <w:top w:val="single" w:sz="4" w:space="0" w:color="auto"/>
              <w:left w:val="nil"/>
              <w:bottom w:val="single" w:sz="4" w:space="0" w:color="auto"/>
              <w:right w:val="single" w:sz="8" w:space="0" w:color="auto"/>
            </w:tcBorders>
          </w:tcPr>
          <w:p w14:paraId="2E82CCE4"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AFB02E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150</w:t>
            </w:r>
          </w:p>
        </w:tc>
        <w:tc>
          <w:tcPr>
            <w:tcW w:w="1701" w:type="dxa"/>
            <w:tcBorders>
              <w:top w:val="single" w:sz="4" w:space="0" w:color="auto"/>
              <w:left w:val="nil"/>
              <w:bottom w:val="single" w:sz="4" w:space="0" w:color="auto"/>
              <w:right w:val="single" w:sz="8" w:space="0" w:color="auto"/>
            </w:tcBorders>
          </w:tcPr>
          <w:p w14:paraId="3AABE52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6F823B9D"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42F641DC"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B3733B5"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2FC755B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1060</w:t>
            </w:r>
          </w:p>
        </w:tc>
        <w:tc>
          <w:tcPr>
            <w:tcW w:w="1276" w:type="dxa"/>
            <w:tcBorders>
              <w:top w:val="single" w:sz="4" w:space="0" w:color="auto"/>
              <w:left w:val="nil"/>
              <w:bottom w:val="single" w:sz="4" w:space="0" w:color="auto"/>
              <w:right w:val="single" w:sz="8" w:space="0" w:color="auto"/>
            </w:tcBorders>
          </w:tcPr>
          <w:p w14:paraId="0D30E2D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18</w:t>
            </w:r>
          </w:p>
        </w:tc>
        <w:tc>
          <w:tcPr>
            <w:tcW w:w="1417" w:type="dxa"/>
            <w:tcBorders>
              <w:top w:val="single" w:sz="4" w:space="0" w:color="auto"/>
              <w:left w:val="nil"/>
              <w:bottom w:val="single" w:sz="4" w:space="0" w:color="auto"/>
              <w:right w:val="single" w:sz="8" w:space="0" w:color="auto"/>
            </w:tcBorders>
          </w:tcPr>
          <w:p w14:paraId="277C22C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604E4A96"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6903BB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224</w:t>
            </w:r>
          </w:p>
        </w:tc>
        <w:tc>
          <w:tcPr>
            <w:tcW w:w="1701" w:type="dxa"/>
            <w:tcBorders>
              <w:top w:val="single" w:sz="4" w:space="0" w:color="auto"/>
              <w:left w:val="nil"/>
              <w:bottom w:val="single" w:sz="4" w:space="0" w:color="auto"/>
              <w:right w:val="single" w:sz="8" w:space="0" w:color="auto"/>
            </w:tcBorders>
          </w:tcPr>
          <w:p w14:paraId="5650233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5B64BEBD"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46FD3AF2"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C496FA8"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284D7EF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580</w:t>
            </w:r>
          </w:p>
        </w:tc>
        <w:tc>
          <w:tcPr>
            <w:tcW w:w="1276" w:type="dxa"/>
            <w:tcBorders>
              <w:top w:val="single" w:sz="4" w:space="0" w:color="auto"/>
              <w:left w:val="nil"/>
              <w:bottom w:val="single" w:sz="4" w:space="0" w:color="auto"/>
              <w:right w:val="single" w:sz="8" w:space="0" w:color="auto"/>
            </w:tcBorders>
          </w:tcPr>
          <w:p w14:paraId="400C71D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6.5</w:t>
            </w:r>
          </w:p>
        </w:tc>
        <w:tc>
          <w:tcPr>
            <w:tcW w:w="1417" w:type="dxa"/>
            <w:tcBorders>
              <w:top w:val="single" w:sz="4" w:space="0" w:color="auto"/>
              <w:left w:val="nil"/>
              <w:bottom w:val="single" w:sz="4" w:space="0" w:color="auto"/>
              <w:right w:val="single" w:sz="8" w:space="0" w:color="auto"/>
            </w:tcBorders>
          </w:tcPr>
          <w:p w14:paraId="38773F9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51CF1D1B"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19C76D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252</w:t>
            </w:r>
          </w:p>
        </w:tc>
        <w:tc>
          <w:tcPr>
            <w:tcW w:w="1701" w:type="dxa"/>
            <w:tcBorders>
              <w:top w:val="single" w:sz="4" w:space="0" w:color="auto"/>
              <w:left w:val="nil"/>
              <w:bottom w:val="single" w:sz="4" w:space="0" w:color="auto"/>
              <w:right w:val="single" w:sz="8" w:space="0" w:color="auto"/>
            </w:tcBorders>
          </w:tcPr>
          <w:p w14:paraId="3A86F9E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672D114A"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034941C7"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BCB217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3ACEC97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830</w:t>
            </w:r>
          </w:p>
        </w:tc>
        <w:tc>
          <w:tcPr>
            <w:tcW w:w="1276" w:type="dxa"/>
            <w:tcBorders>
              <w:top w:val="single" w:sz="4" w:space="0" w:color="auto"/>
              <w:left w:val="nil"/>
              <w:bottom w:val="single" w:sz="4" w:space="0" w:color="auto"/>
              <w:right w:val="single" w:sz="8" w:space="0" w:color="auto"/>
            </w:tcBorders>
          </w:tcPr>
          <w:p w14:paraId="2A14875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w:t>
            </w:r>
          </w:p>
        </w:tc>
        <w:tc>
          <w:tcPr>
            <w:tcW w:w="1417" w:type="dxa"/>
            <w:tcBorders>
              <w:top w:val="single" w:sz="4" w:space="0" w:color="auto"/>
              <w:left w:val="nil"/>
              <w:bottom w:val="single" w:sz="4" w:space="0" w:color="auto"/>
              <w:right w:val="single" w:sz="8" w:space="0" w:color="auto"/>
            </w:tcBorders>
          </w:tcPr>
          <w:p w14:paraId="7099FB8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7.6</w:t>
            </w:r>
          </w:p>
        </w:tc>
        <w:tc>
          <w:tcPr>
            <w:tcW w:w="1276" w:type="dxa"/>
            <w:tcBorders>
              <w:top w:val="single" w:sz="4" w:space="0" w:color="auto"/>
              <w:left w:val="nil"/>
              <w:bottom w:val="single" w:sz="4" w:space="0" w:color="auto"/>
              <w:right w:val="single" w:sz="8" w:space="0" w:color="auto"/>
            </w:tcBorders>
          </w:tcPr>
          <w:p w14:paraId="5E52ACAD"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4B74BD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252</w:t>
            </w:r>
          </w:p>
        </w:tc>
        <w:tc>
          <w:tcPr>
            <w:tcW w:w="1701" w:type="dxa"/>
            <w:tcBorders>
              <w:top w:val="single" w:sz="4" w:space="0" w:color="auto"/>
              <w:left w:val="nil"/>
              <w:bottom w:val="single" w:sz="4" w:space="0" w:color="auto"/>
              <w:right w:val="single" w:sz="8" w:space="0" w:color="auto"/>
            </w:tcBorders>
          </w:tcPr>
          <w:p w14:paraId="26E4DBD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34D24FB9"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1F058090"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C6D3368"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7459D48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820</w:t>
            </w:r>
          </w:p>
        </w:tc>
        <w:tc>
          <w:tcPr>
            <w:tcW w:w="1276" w:type="dxa"/>
            <w:tcBorders>
              <w:top w:val="single" w:sz="4" w:space="0" w:color="auto"/>
              <w:left w:val="nil"/>
              <w:bottom w:val="single" w:sz="4" w:space="0" w:color="auto"/>
              <w:right w:val="single" w:sz="8" w:space="0" w:color="auto"/>
            </w:tcBorders>
          </w:tcPr>
          <w:p w14:paraId="353B354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w:t>
            </w:r>
          </w:p>
        </w:tc>
        <w:tc>
          <w:tcPr>
            <w:tcW w:w="1417" w:type="dxa"/>
            <w:tcBorders>
              <w:top w:val="single" w:sz="4" w:space="0" w:color="auto"/>
              <w:left w:val="nil"/>
              <w:bottom w:val="single" w:sz="4" w:space="0" w:color="auto"/>
              <w:right w:val="single" w:sz="8" w:space="0" w:color="auto"/>
            </w:tcBorders>
          </w:tcPr>
          <w:p w14:paraId="3B77D6E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7.9</w:t>
            </w:r>
          </w:p>
        </w:tc>
        <w:tc>
          <w:tcPr>
            <w:tcW w:w="1276" w:type="dxa"/>
            <w:tcBorders>
              <w:top w:val="single" w:sz="4" w:space="0" w:color="auto"/>
              <w:left w:val="nil"/>
              <w:bottom w:val="single" w:sz="4" w:space="0" w:color="auto"/>
              <w:right w:val="single" w:sz="8" w:space="0" w:color="auto"/>
            </w:tcBorders>
          </w:tcPr>
          <w:p w14:paraId="7F7C749E"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492D8A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260</w:t>
            </w:r>
          </w:p>
        </w:tc>
        <w:tc>
          <w:tcPr>
            <w:tcW w:w="1701" w:type="dxa"/>
            <w:tcBorders>
              <w:top w:val="single" w:sz="4" w:space="0" w:color="auto"/>
              <w:left w:val="nil"/>
              <w:bottom w:val="single" w:sz="4" w:space="0" w:color="auto"/>
              <w:right w:val="single" w:sz="8" w:space="0" w:color="auto"/>
            </w:tcBorders>
          </w:tcPr>
          <w:p w14:paraId="708E068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139D9262"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6AA0230C"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121C85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780E812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950</w:t>
            </w:r>
          </w:p>
        </w:tc>
        <w:tc>
          <w:tcPr>
            <w:tcW w:w="1276" w:type="dxa"/>
            <w:tcBorders>
              <w:top w:val="single" w:sz="4" w:space="0" w:color="auto"/>
              <w:left w:val="nil"/>
              <w:bottom w:val="single" w:sz="4" w:space="0" w:color="auto"/>
              <w:right w:val="single" w:sz="8" w:space="0" w:color="auto"/>
            </w:tcBorders>
          </w:tcPr>
          <w:p w14:paraId="5F7D71B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12.5</w:t>
            </w:r>
          </w:p>
        </w:tc>
        <w:tc>
          <w:tcPr>
            <w:tcW w:w="1417" w:type="dxa"/>
            <w:tcBorders>
              <w:top w:val="single" w:sz="4" w:space="0" w:color="auto"/>
              <w:left w:val="nil"/>
              <w:bottom w:val="single" w:sz="4" w:space="0" w:color="auto"/>
              <w:right w:val="single" w:sz="8" w:space="0" w:color="auto"/>
            </w:tcBorders>
          </w:tcPr>
          <w:p w14:paraId="6A8023F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50F09432"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872175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260</w:t>
            </w:r>
          </w:p>
        </w:tc>
        <w:tc>
          <w:tcPr>
            <w:tcW w:w="1701" w:type="dxa"/>
            <w:tcBorders>
              <w:top w:val="single" w:sz="4" w:space="0" w:color="auto"/>
              <w:left w:val="nil"/>
              <w:bottom w:val="single" w:sz="4" w:space="0" w:color="auto"/>
              <w:right w:val="single" w:sz="8" w:space="0" w:color="auto"/>
            </w:tcBorders>
          </w:tcPr>
          <w:p w14:paraId="0BF6EC0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1ACAA171"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02AF1AAE"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C6D69A4"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2C7A69B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680</w:t>
            </w:r>
          </w:p>
        </w:tc>
        <w:tc>
          <w:tcPr>
            <w:tcW w:w="1276" w:type="dxa"/>
            <w:tcBorders>
              <w:top w:val="single" w:sz="4" w:space="0" w:color="auto"/>
              <w:left w:val="nil"/>
              <w:bottom w:val="single" w:sz="4" w:space="0" w:color="auto"/>
              <w:right w:val="single" w:sz="8" w:space="0" w:color="auto"/>
            </w:tcBorders>
          </w:tcPr>
          <w:p w14:paraId="6F370AC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1417" w:type="dxa"/>
            <w:tcBorders>
              <w:top w:val="single" w:sz="4" w:space="0" w:color="auto"/>
              <w:left w:val="nil"/>
              <w:bottom w:val="single" w:sz="4" w:space="0" w:color="auto"/>
              <w:right w:val="single" w:sz="8" w:space="0" w:color="auto"/>
            </w:tcBorders>
          </w:tcPr>
          <w:p w14:paraId="2DA4E74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w:t>
            </w:r>
          </w:p>
        </w:tc>
        <w:tc>
          <w:tcPr>
            <w:tcW w:w="1276" w:type="dxa"/>
            <w:tcBorders>
              <w:top w:val="single" w:sz="4" w:space="0" w:color="auto"/>
              <w:left w:val="nil"/>
              <w:bottom w:val="single" w:sz="4" w:space="0" w:color="auto"/>
              <w:right w:val="single" w:sz="8" w:space="0" w:color="auto"/>
            </w:tcBorders>
          </w:tcPr>
          <w:p w14:paraId="2A4891BD"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D0BD36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262</w:t>
            </w:r>
          </w:p>
        </w:tc>
        <w:tc>
          <w:tcPr>
            <w:tcW w:w="1701" w:type="dxa"/>
            <w:tcBorders>
              <w:top w:val="single" w:sz="4" w:space="0" w:color="auto"/>
              <w:left w:val="nil"/>
              <w:bottom w:val="single" w:sz="4" w:space="0" w:color="auto"/>
              <w:right w:val="single" w:sz="8" w:space="0" w:color="auto"/>
            </w:tcBorders>
          </w:tcPr>
          <w:p w14:paraId="09BAFFA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65EE513A"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50F075A0"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29F3B5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01B3251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560</w:t>
            </w:r>
          </w:p>
        </w:tc>
        <w:tc>
          <w:tcPr>
            <w:tcW w:w="1276" w:type="dxa"/>
            <w:tcBorders>
              <w:top w:val="single" w:sz="4" w:space="0" w:color="auto"/>
              <w:left w:val="nil"/>
              <w:bottom w:val="single" w:sz="4" w:space="0" w:color="auto"/>
              <w:right w:val="single" w:sz="8" w:space="0" w:color="auto"/>
            </w:tcBorders>
          </w:tcPr>
          <w:p w14:paraId="50A2903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18.5</w:t>
            </w:r>
          </w:p>
        </w:tc>
        <w:tc>
          <w:tcPr>
            <w:tcW w:w="1417" w:type="dxa"/>
            <w:tcBorders>
              <w:top w:val="single" w:sz="4" w:space="0" w:color="auto"/>
              <w:left w:val="nil"/>
              <w:bottom w:val="single" w:sz="4" w:space="0" w:color="auto"/>
              <w:right w:val="single" w:sz="8" w:space="0" w:color="auto"/>
            </w:tcBorders>
          </w:tcPr>
          <w:p w14:paraId="0784467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w:t>
            </w:r>
          </w:p>
        </w:tc>
        <w:tc>
          <w:tcPr>
            <w:tcW w:w="1276" w:type="dxa"/>
            <w:tcBorders>
              <w:top w:val="single" w:sz="4" w:space="0" w:color="auto"/>
              <w:left w:val="nil"/>
              <w:bottom w:val="single" w:sz="4" w:space="0" w:color="auto"/>
              <w:right w:val="single" w:sz="8" w:space="0" w:color="auto"/>
            </w:tcBorders>
          </w:tcPr>
          <w:p w14:paraId="788EEBBC"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DF67C3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272</w:t>
            </w:r>
          </w:p>
        </w:tc>
        <w:tc>
          <w:tcPr>
            <w:tcW w:w="1701" w:type="dxa"/>
            <w:tcBorders>
              <w:top w:val="single" w:sz="4" w:space="0" w:color="auto"/>
              <w:left w:val="nil"/>
              <w:bottom w:val="single" w:sz="4" w:space="0" w:color="auto"/>
              <w:right w:val="single" w:sz="8" w:space="0" w:color="auto"/>
            </w:tcBorders>
          </w:tcPr>
          <w:p w14:paraId="140819A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15CC128D"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3B62438E"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3DD632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4F30A0F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645</w:t>
            </w:r>
          </w:p>
        </w:tc>
        <w:tc>
          <w:tcPr>
            <w:tcW w:w="1276" w:type="dxa"/>
            <w:tcBorders>
              <w:top w:val="single" w:sz="4" w:space="0" w:color="auto"/>
              <w:left w:val="nil"/>
              <w:bottom w:val="single" w:sz="4" w:space="0" w:color="auto"/>
              <w:right w:val="single" w:sz="8" w:space="0" w:color="auto"/>
            </w:tcBorders>
          </w:tcPr>
          <w:p w14:paraId="179BCB2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w:t>
            </w:r>
          </w:p>
        </w:tc>
        <w:tc>
          <w:tcPr>
            <w:tcW w:w="1417" w:type="dxa"/>
            <w:tcBorders>
              <w:top w:val="single" w:sz="4" w:space="0" w:color="auto"/>
              <w:left w:val="nil"/>
              <w:bottom w:val="single" w:sz="4" w:space="0" w:color="auto"/>
              <w:right w:val="single" w:sz="8" w:space="0" w:color="auto"/>
            </w:tcBorders>
          </w:tcPr>
          <w:p w14:paraId="4ECD12B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8.3</w:t>
            </w:r>
          </w:p>
        </w:tc>
        <w:tc>
          <w:tcPr>
            <w:tcW w:w="1276" w:type="dxa"/>
            <w:tcBorders>
              <w:top w:val="single" w:sz="4" w:space="0" w:color="auto"/>
              <w:left w:val="nil"/>
              <w:bottom w:val="single" w:sz="4" w:space="0" w:color="auto"/>
              <w:right w:val="single" w:sz="8" w:space="0" w:color="auto"/>
            </w:tcBorders>
          </w:tcPr>
          <w:p w14:paraId="2C550E18"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60A66F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274</w:t>
            </w:r>
          </w:p>
        </w:tc>
        <w:tc>
          <w:tcPr>
            <w:tcW w:w="1701" w:type="dxa"/>
            <w:tcBorders>
              <w:top w:val="single" w:sz="4" w:space="0" w:color="auto"/>
              <w:left w:val="nil"/>
              <w:bottom w:val="single" w:sz="4" w:space="0" w:color="auto"/>
              <w:right w:val="single" w:sz="8" w:space="0" w:color="auto"/>
            </w:tcBorders>
          </w:tcPr>
          <w:p w14:paraId="681DE18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5D630922"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4AAA7A3F"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3C66F22"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2EA24F4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650</w:t>
            </w:r>
          </w:p>
        </w:tc>
        <w:tc>
          <w:tcPr>
            <w:tcW w:w="1276" w:type="dxa"/>
            <w:tcBorders>
              <w:top w:val="single" w:sz="4" w:space="0" w:color="auto"/>
              <w:left w:val="nil"/>
              <w:bottom w:val="single" w:sz="4" w:space="0" w:color="auto"/>
              <w:right w:val="single" w:sz="8" w:space="0" w:color="auto"/>
            </w:tcBorders>
          </w:tcPr>
          <w:p w14:paraId="23C9490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19.5</w:t>
            </w:r>
          </w:p>
        </w:tc>
        <w:tc>
          <w:tcPr>
            <w:tcW w:w="1417" w:type="dxa"/>
            <w:tcBorders>
              <w:top w:val="single" w:sz="4" w:space="0" w:color="auto"/>
              <w:left w:val="nil"/>
              <w:bottom w:val="single" w:sz="4" w:space="0" w:color="auto"/>
              <w:right w:val="single" w:sz="8" w:space="0" w:color="auto"/>
            </w:tcBorders>
          </w:tcPr>
          <w:p w14:paraId="7C02E49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160828EF"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217159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276</w:t>
            </w:r>
          </w:p>
        </w:tc>
        <w:tc>
          <w:tcPr>
            <w:tcW w:w="1701" w:type="dxa"/>
            <w:tcBorders>
              <w:top w:val="single" w:sz="4" w:space="0" w:color="auto"/>
              <w:left w:val="nil"/>
              <w:bottom w:val="single" w:sz="4" w:space="0" w:color="auto"/>
              <w:right w:val="single" w:sz="8" w:space="0" w:color="auto"/>
            </w:tcBorders>
          </w:tcPr>
          <w:p w14:paraId="5AA4279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669058C5"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60E72B85"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920A652"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44994CB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750</w:t>
            </w:r>
          </w:p>
        </w:tc>
        <w:tc>
          <w:tcPr>
            <w:tcW w:w="1276" w:type="dxa"/>
            <w:tcBorders>
              <w:top w:val="single" w:sz="4" w:space="0" w:color="auto"/>
              <w:left w:val="nil"/>
              <w:bottom w:val="single" w:sz="4" w:space="0" w:color="auto"/>
              <w:right w:val="single" w:sz="8" w:space="0" w:color="auto"/>
            </w:tcBorders>
          </w:tcPr>
          <w:p w14:paraId="481FDEE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w:t>
            </w:r>
          </w:p>
        </w:tc>
        <w:tc>
          <w:tcPr>
            <w:tcW w:w="1417" w:type="dxa"/>
            <w:tcBorders>
              <w:top w:val="single" w:sz="4" w:space="0" w:color="auto"/>
              <w:left w:val="nil"/>
              <w:bottom w:val="single" w:sz="4" w:space="0" w:color="auto"/>
              <w:right w:val="single" w:sz="8" w:space="0" w:color="auto"/>
            </w:tcBorders>
          </w:tcPr>
          <w:p w14:paraId="09B7B53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67AEC7C7"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733193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280</w:t>
            </w:r>
          </w:p>
        </w:tc>
        <w:tc>
          <w:tcPr>
            <w:tcW w:w="1701" w:type="dxa"/>
            <w:tcBorders>
              <w:top w:val="single" w:sz="4" w:space="0" w:color="auto"/>
              <w:left w:val="nil"/>
              <w:bottom w:val="single" w:sz="4" w:space="0" w:color="auto"/>
              <w:right w:val="single" w:sz="8" w:space="0" w:color="auto"/>
            </w:tcBorders>
          </w:tcPr>
          <w:p w14:paraId="3E5B8A2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58D0E4D2"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56E276E9"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F7D885A"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2DE4A1E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820</w:t>
            </w:r>
          </w:p>
        </w:tc>
        <w:tc>
          <w:tcPr>
            <w:tcW w:w="1276" w:type="dxa"/>
            <w:tcBorders>
              <w:top w:val="single" w:sz="4" w:space="0" w:color="auto"/>
              <w:left w:val="nil"/>
              <w:bottom w:val="single" w:sz="4" w:space="0" w:color="auto"/>
              <w:right w:val="single" w:sz="8" w:space="0" w:color="auto"/>
            </w:tcBorders>
          </w:tcPr>
          <w:p w14:paraId="372450D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1417" w:type="dxa"/>
            <w:tcBorders>
              <w:top w:val="single" w:sz="4" w:space="0" w:color="auto"/>
              <w:left w:val="nil"/>
              <w:bottom w:val="single" w:sz="4" w:space="0" w:color="auto"/>
              <w:right w:val="single" w:sz="8" w:space="0" w:color="auto"/>
            </w:tcBorders>
          </w:tcPr>
          <w:p w14:paraId="073E493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7.6</w:t>
            </w:r>
          </w:p>
        </w:tc>
        <w:tc>
          <w:tcPr>
            <w:tcW w:w="1276" w:type="dxa"/>
            <w:tcBorders>
              <w:top w:val="single" w:sz="4" w:space="0" w:color="auto"/>
              <w:left w:val="nil"/>
              <w:bottom w:val="single" w:sz="4" w:space="0" w:color="auto"/>
              <w:right w:val="single" w:sz="8" w:space="0" w:color="auto"/>
            </w:tcBorders>
          </w:tcPr>
          <w:p w14:paraId="7B8B4ED1"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A5B9C9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284</w:t>
            </w:r>
          </w:p>
        </w:tc>
        <w:tc>
          <w:tcPr>
            <w:tcW w:w="1701" w:type="dxa"/>
            <w:tcBorders>
              <w:top w:val="single" w:sz="4" w:space="0" w:color="auto"/>
              <w:left w:val="nil"/>
              <w:bottom w:val="single" w:sz="4" w:space="0" w:color="auto"/>
              <w:right w:val="single" w:sz="8" w:space="0" w:color="auto"/>
            </w:tcBorders>
          </w:tcPr>
          <w:p w14:paraId="17931FA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0232187F"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5F6B6484"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8F89A05"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0439865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830</w:t>
            </w:r>
          </w:p>
        </w:tc>
        <w:tc>
          <w:tcPr>
            <w:tcW w:w="1276" w:type="dxa"/>
            <w:tcBorders>
              <w:top w:val="single" w:sz="4" w:space="0" w:color="auto"/>
              <w:left w:val="nil"/>
              <w:bottom w:val="single" w:sz="4" w:space="0" w:color="auto"/>
              <w:right w:val="single" w:sz="8" w:space="0" w:color="auto"/>
            </w:tcBorders>
          </w:tcPr>
          <w:p w14:paraId="2DE366E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24</w:t>
            </w:r>
          </w:p>
        </w:tc>
        <w:tc>
          <w:tcPr>
            <w:tcW w:w="1417" w:type="dxa"/>
            <w:tcBorders>
              <w:top w:val="single" w:sz="4" w:space="0" w:color="auto"/>
              <w:left w:val="nil"/>
              <w:bottom w:val="single" w:sz="4" w:space="0" w:color="auto"/>
              <w:right w:val="single" w:sz="8" w:space="0" w:color="auto"/>
            </w:tcBorders>
          </w:tcPr>
          <w:p w14:paraId="07EEDD8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7.7</w:t>
            </w:r>
          </w:p>
        </w:tc>
        <w:tc>
          <w:tcPr>
            <w:tcW w:w="1276" w:type="dxa"/>
            <w:tcBorders>
              <w:top w:val="single" w:sz="4" w:space="0" w:color="auto"/>
              <w:left w:val="nil"/>
              <w:bottom w:val="single" w:sz="4" w:space="0" w:color="auto"/>
              <w:right w:val="single" w:sz="8" w:space="0" w:color="auto"/>
            </w:tcBorders>
          </w:tcPr>
          <w:p w14:paraId="71B5F77B"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CE42FA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284</w:t>
            </w:r>
          </w:p>
        </w:tc>
        <w:tc>
          <w:tcPr>
            <w:tcW w:w="1701" w:type="dxa"/>
            <w:tcBorders>
              <w:top w:val="single" w:sz="4" w:space="0" w:color="auto"/>
              <w:left w:val="nil"/>
              <w:bottom w:val="single" w:sz="4" w:space="0" w:color="auto"/>
              <w:right w:val="single" w:sz="8" w:space="0" w:color="auto"/>
            </w:tcBorders>
          </w:tcPr>
          <w:p w14:paraId="0905112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2270E0C3"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4660ADC9"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5FC0754"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20B1E02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490</w:t>
            </w:r>
          </w:p>
        </w:tc>
        <w:tc>
          <w:tcPr>
            <w:tcW w:w="1276" w:type="dxa"/>
            <w:tcBorders>
              <w:top w:val="single" w:sz="4" w:space="0" w:color="auto"/>
              <w:left w:val="nil"/>
              <w:bottom w:val="single" w:sz="4" w:space="0" w:color="auto"/>
              <w:right w:val="single" w:sz="8" w:space="0" w:color="auto"/>
            </w:tcBorders>
          </w:tcPr>
          <w:p w14:paraId="62F132A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w:t>
            </w:r>
          </w:p>
        </w:tc>
        <w:tc>
          <w:tcPr>
            <w:tcW w:w="1417" w:type="dxa"/>
            <w:tcBorders>
              <w:top w:val="single" w:sz="4" w:space="0" w:color="auto"/>
              <w:left w:val="nil"/>
              <w:bottom w:val="single" w:sz="4" w:space="0" w:color="auto"/>
              <w:right w:val="single" w:sz="8" w:space="0" w:color="auto"/>
            </w:tcBorders>
          </w:tcPr>
          <w:p w14:paraId="5A31F00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7.9</w:t>
            </w:r>
          </w:p>
        </w:tc>
        <w:tc>
          <w:tcPr>
            <w:tcW w:w="1276" w:type="dxa"/>
            <w:tcBorders>
              <w:top w:val="single" w:sz="4" w:space="0" w:color="auto"/>
              <w:left w:val="nil"/>
              <w:bottom w:val="single" w:sz="4" w:space="0" w:color="auto"/>
              <w:right w:val="single" w:sz="8" w:space="0" w:color="auto"/>
            </w:tcBorders>
          </w:tcPr>
          <w:p w14:paraId="48D182C6"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892BE0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290</w:t>
            </w:r>
          </w:p>
        </w:tc>
        <w:tc>
          <w:tcPr>
            <w:tcW w:w="1701" w:type="dxa"/>
            <w:tcBorders>
              <w:top w:val="single" w:sz="4" w:space="0" w:color="auto"/>
              <w:left w:val="nil"/>
              <w:bottom w:val="single" w:sz="4" w:space="0" w:color="auto"/>
              <w:right w:val="single" w:sz="8" w:space="0" w:color="auto"/>
            </w:tcBorders>
          </w:tcPr>
          <w:p w14:paraId="20919D3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0D490C11"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708A9FA2"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5F7C80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0DC2278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1000</w:t>
            </w:r>
          </w:p>
        </w:tc>
        <w:tc>
          <w:tcPr>
            <w:tcW w:w="1276" w:type="dxa"/>
            <w:tcBorders>
              <w:top w:val="single" w:sz="4" w:space="0" w:color="auto"/>
              <w:left w:val="nil"/>
              <w:bottom w:val="single" w:sz="4" w:space="0" w:color="auto"/>
              <w:right w:val="single" w:sz="8" w:space="0" w:color="auto"/>
            </w:tcBorders>
          </w:tcPr>
          <w:p w14:paraId="6C738EE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24</w:t>
            </w:r>
          </w:p>
        </w:tc>
        <w:tc>
          <w:tcPr>
            <w:tcW w:w="1417" w:type="dxa"/>
            <w:tcBorders>
              <w:top w:val="single" w:sz="4" w:space="0" w:color="auto"/>
              <w:left w:val="nil"/>
              <w:bottom w:val="single" w:sz="4" w:space="0" w:color="auto"/>
              <w:right w:val="single" w:sz="8" w:space="0" w:color="auto"/>
            </w:tcBorders>
          </w:tcPr>
          <w:p w14:paraId="283F2A5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1A47F20C"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51D70C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303</w:t>
            </w:r>
          </w:p>
        </w:tc>
        <w:tc>
          <w:tcPr>
            <w:tcW w:w="1701" w:type="dxa"/>
            <w:tcBorders>
              <w:top w:val="single" w:sz="4" w:space="0" w:color="auto"/>
              <w:left w:val="nil"/>
              <w:bottom w:val="single" w:sz="4" w:space="0" w:color="auto"/>
              <w:right w:val="single" w:sz="8" w:space="0" w:color="auto"/>
            </w:tcBorders>
          </w:tcPr>
          <w:p w14:paraId="657D5C6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154E1BBB"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5B2DE352"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11B0DBB"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55EA666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750</w:t>
            </w:r>
          </w:p>
        </w:tc>
        <w:tc>
          <w:tcPr>
            <w:tcW w:w="1276" w:type="dxa"/>
            <w:tcBorders>
              <w:top w:val="single" w:sz="4" w:space="0" w:color="auto"/>
              <w:left w:val="nil"/>
              <w:bottom w:val="single" w:sz="4" w:space="0" w:color="auto"/>
              <w:right w:val="single" w:sz="8" w:space="0" w:color="auto"/>
            </w:tcBorders>
          </w:tcPr>
          <w:p w14:paraId="1C680C8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1417" w:type="dxa"/>
            <w:tcBorders>
              <w:top w:val="single" w:sz="4" w:space="0" w:color="auto"/>
              <w:left w:val="nil"/>
              <w:bottom w:val="single" w:sz="4" w:space="0" w:color="auto"/>
              <w:right w:val="single" w:sz="8" w:space="0" w:color="auto"/>
            </w:tcBorders>
          </w:tcPr>
          <w:p w14:paraId="5EB4B7C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55FC5F35"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DDD5A6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308</w:t>
            </w:r>
          </w:p>
        </w:tc>
        <w:tc>
          <w:tcPr>
            <w:tcW w:w="1701" w:type="dxa"/>
            <w:tcBorders>
              <w:top w:val="single" w:sz="4" w:space="0" w:color="auto"/>
              <w:left w:val="nil"/>
              <w:bottom w:val="single" w:sz="4" w:space="0" w:color="auto"/>
              <w:right w:val="single" w:sz="8" w:space="0" w:color="auto"/>
            </w:tcBorders>
          </w:tcPr>
          <w:p w14:paraId="3FE12B2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3C426BC9"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3FED8C45"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A76B0CF"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0669BDE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810</w:t>
            </w:r>
          </w:p>
        </w:tc>
        <w:tc>
          <w:tcPr>
            <w:tcW w:w="1276" w:type="dxa"/>
            <w:tcBorders>
              <w:top w:val="single" w:sz="4" w:space="0" w:color="auto"/>
              <w:left w:val="nil"/>
              <w:bottom w:val="single" w:sz="4" w:space="0" w:color="auto"/>
              <w:right w:val="single" w:sz="8" w:space="0" w:color="auto"/>
            </w:tcBorders>
          </w:tcPr>
          <w:p w14:paraId="21A641E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22.5</w:t>
            </w:r>
          </w:p>
        </w:tc>
        <w:tc>
          <w:tcPr>
            <w:tcW w:w="1417" w:type="dxa"/>
            <w:tcBorders>
              <w:top w:val="single" w:sz="4" w:space="0" w:color="auto"/>
              <w:left w:val="nil"/>
              <w:bottom w:val="single" w:sz="4" w:space="0" w:color="auto"/>
              <w:right w:val="single" w:sz="8" w:space="0" w:color="auto"/>
            </w:tcBorders>
          </w:tcPr>
          <w:p w14:paraId="023BC4C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7.9</w:t>
            </w:r>
          </w:p>
        </w:tc>
        <w:tc>
          <w:tcPr>
            <w:tcW w:w="1276" w:type="dxa"/>
            <w:tcBorders>
              <w:top w:val="single" w:sz="4" w:space="0" w:color="auto"/>
              <w:left w:val="nil"/>
              <w:bottom w:val="single" w:sz="4" w:space="0" w:color="auto"/>
              <w:right w:val="single" w:sz="8" w:space="0" w:color="auto"/>
            </w:tcBorders>
          </w:tcPr>
          <w:p w14:paraId="49F8585D"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762B45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310</w:t>
            </w:r>
          </w:p>
        </w:tc>
        <w:tc>
          <w:tcPr>
            <w:tcW w:w="1701" w:type="dxa"/>
            <w:tcBorders>
              <w:top w:val="single" w:sz="4" w:space="0" w:color="auto"/>
              <w:left w:val="nil"/>
              <w:bottom w:val="single" w:sz="4" w:space="0" w:color="auto"/>
              <w:right w:val="single" w:sz="8" w:space="0" w:color="auto"/>
            </w:tcBorders>
          </w:tcPr>
          <w:p w14:paraId="00AE36B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3674F526"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10AF51F0"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72B13BA"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6AA0862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760</w:t>
            </w:r>
          </w:p>
        </w:tc>
        <w:tc>
          <w:tcPr>
            <w:tcW w:w="1276" w:type="dxa"/>
            <w:tcBorders>
              <w:top w:val="single" w:sz="4" w:space="0" w:color="auto"/>
              <w:left w:val="nil"/>
              <w:bottom w:val="single" w:sz="4" w:space="0" w:color="auto"/>
              <w:right w:val="single" w:sz="8" w:space="0" w:color="auto"/>
            </w:tcBorders>
          </w:tcPr>
          <w:p w14:paraId="2B489B1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14.5</w:t>
            </w:r>
          </w:p>
        </w:tc>
        <w:tc>
          <w:tcPr>
            <w:tcW w:w="1417" w:type="dxa"/>
            <w:tcBorders>
              <w:top w:val="single" w:sz="4" w:space="0" w:color="auto"/>
              <w:left w:val="nil"/>
              <w:bottom w:val="single" w:sz="4" w:space="0" w:color="auto"/>
              <w:right w:val="single" w:sz="8" w:space="0" w:color="auto"/>
            </w:tcBorders>
          </w:tcPr>
          <w:p w14:paraId="1B723E9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7.6</w:t>
            </w:r>
          </w:p>
        </w:tc>
        <w:tc>
          <w:tcPr>
            <w:tcW w:w="1276" w:type="dxa"/>
            <w:tcBorders>
              <w:top w:val="single" w:sz="4" w:space="0" w:color="auto"/>
              <w:left w:val="nil"/>
              <w:bottom w:val="single" w:sz="4" w:space="0" w:color="auto"/>
              <w:right w:val="single" w:sz="8" w:space="0" w:color="auto"/>
            </w:tcBorders>
          </w:tcPr>
          <w:p w14:paraId="08D7BEB0"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7BB104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312</w:t>
            </w:r>
          </w:p>
        </w:tc>
        <w:tc>
          <w:tcPr>
            <w:tcW w:w="1701" w:type="dxa"/>
            <w:tcBorders>
              <w:top w:val="single" w:sz="4" w:space="0" w:color="auto"/>
              <w:left w:val="nil"/>
              <w:bottom w:val="single" w:sz="4" w:space="0" w:color="auto"/>
              <w:right w:val="single" w:sz="8" w:space="0" w:color="auto"/>
            </w:tcBorders>
          </w:tcPr>
          <w:p w14:paraId="3E6C18F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54064C70"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4C3CE3BA"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0E71138"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2B8C718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540</w:t>
            </w:r>
          </w:p>
        </w:tc>
        <w:tc>
          <w:tcPr>
            <w:tcW w:w="1276" w:type="dxa"/>
            <w:tcBorders>
              <w:top w:val="single" w:sz="4" w:space="0" w:color="auto"/>
              <w:left w:val="nil"/>
              <w:bottom w:val="single" w:sz="4" w:space="0" w:color="auto"/>
              <w:right w:val="single" w:sz="8" w:space="0" w:color="auto"/>
            </w:tcBorders>
          </w:tcPr>
          <w:p w14:paraId="45ED10C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24</w:t>
            </w:r>
          </w:p>
        </w:tc>
        <w:tc>
          <w:tcPr>
            <w:tcW w:w="1417" w:type="dxa"/>
            <w:tcBorders>
              <w:top w:val="single" w:sz="4" w:space="0" w:color="auto"/>
              <w:left w:val="nil"/>
              <w:bottom w:val="single" w:sz="4" w:space="0" w:color="auto"/>
              <w:right w:val="single" w:sz="8" w:space="0" w:color="auto"/>
            </w:tcBorders>
          </w:tcPr>
          <w:p w14:paraId="32A8907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07BBACC2"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5DF3B6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314</w:t>
            </w:r>
          </w:p>
        </w:tc>
        <w:tc>
          <w:tcPr>
            <w:tcW w:w="1701" w:type="dxa"/>
            <w:tcBorders>
              <w:top w:val="single" w:sz="4" w:space="0" w:color="auto"/>
              <w:left w:val="nil"/>
              <w:bottom w:val="single" w:sz="4" w:space="0" w:color="auto"/>
              <w:right w:val="single" w:sz="8" w:space="0" w:color="auto"/>
            </w:tcBorders>
          </w:tcPr>
          <w:p w14:paraId="1FF7EA9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04EE7CF8"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4C9F2DC6"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6F921C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2E92770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865</w:t>
            </w:r>
          </w:p>
        </w:tc>
        <w:tc>
          <w:tcPr>
            <w:tcW w:w="1276" w:type="dxa"/>
            <w:tcBorders>
              <w:top w:val="single" w:sz="4" w:space="0" w:color="auto"/>
              <w:left w:val="nil"/>
              <w:bottom w:val="single" w:sz="4" w:space="0" w:color="auto"/>
              <w:right w:val="single" w:sz="8" w:space="0" w:color="auto"/>
            </w:tcBorders>
          </w:tcPr>
          <w:p w14:paraId="43ED6BA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w:t>
            </w:r>
          </w:p>
        </w:tc>
        <w:tc>
          <w:tcPr>
            <w:tcW w:w="1417" w:type="dxa"/>
            <w:tcBorders>
              <w:top w:val="single" w:sz="4" w:space="0" w:color="auto"/>
              <w:left w:val="nil"/>
              <w:bottom w:val="single" w:sz="4" w:space="0" w:color="auto"/>
              <w:right w:val="single" w:sz="8" w:space="0" w:color="auto"/>
            </w:tcBorders>
          </w:tcPr>
          <w:p w14:paraId="06471E1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7.2</w:t>
            </w:r>
          </w:p>
        </w:tc>
        <w:tc>
          <w:tcPr>
            <w:tcW w:w="1276" w:type="dxa"/>
            <w:tcBorders>
              <w:top w:val="single" w:sz="4" w:space="0" w:color="auto"/>
              <w:left w:val="nil"/>
              <w:bottom w:val="single" w:sz="4" w:space="0" w:color="auto"/>
              <w:right w:val="single" w:sz="8" w:space="0" w:color="auto"/>
            </w:tcBorders>
          </w:tcPr>
          <w:p w14:paraId="715B0677"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C13EB7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316</w:t>
            </w:r>
          </w:p>
        </w:tc>
        <w:tc>
          <w:tcPr>
            <w:tcW w:w="1701" w:type="dxa"/>
            <w:tcBorders>
              <w:top w:val="single" w:sz="4" w:space="0" w:color="auto"/>
              <w:left w:val="nil"/>
              <w:bottom w:val="single" w:sz="4" w:space="0" w:color="auto"/>
              <w:right w:val="single" w:sz="8" w:space="0" w:color="auto"/>
            </w:tcBorders>
          </w:tcPr>
          <w:p w14:paraId="333CB47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3AE3B4E3"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37DEEA3E"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1ABDF72"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09A7DC1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650</w:t>
            </w:r>
          </w:p>
        </w:tc>
        <w:tc>
          <w:tcPr>
            <w:tcW w:w="1276" w:type="dxa"/>
            <w:tcBorders>
              <w:top w:val="single" w:sz="4" w:space="0" w:color="auto"/>
              <w:left w:val="nil"/>
              <w:bottom w:val="single" w:sz="4" w:space="0" w:color="auto"/>
              <w:right w:val="single" w:sz="8" w:space="0" w:color="auto"/>
            </w:tcBorders>
          </w:tcPr>
          <w:p w14:paraId="07B29F9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w:t>
            </w:r>
          </w:p>
        </w:tc>
        <w:tc>
          <w:tcPr>
            <w:tcW w:w="1417" w:type="dxa"/>
            <w:tcBorders>
              <w:top w:val="single" w:sz="4" w:space="0" w:color="auto"/>
              <w:left w:val="nil"/>
              <w:bottom w:val="single" w:sz="4" w:space="0" w:color="auto"/>
              <w:right w:val="single" w:sz="8" w:space="0" w:color="auto"/>
            </w:tcBorders>
          </w:tcPr>
          <w:p w14:paraId="6AA04F4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7.2</w:t>
            </w:r>
          </w:p>
        </w:tc>
        <w:tc>
          <w:tcPr>
            <w:tcW w:w="1276" w:type="dxa"/>
            <w:tcBorders>
              <w:top w:val="single" w:sz="4" w:space="0" w:color="auto"/>
              <w:left w:val="nil"/>
              <w:bottom w:val="single" w:sz="4" w:space="0" w:color="auto"/>
              <w:right w:val="single" w:sz="8" w:space="0" w:color="auto"/>
            </w:tcBorders>
          </w:tcPr>
          <w:p w14:paraId="230E02DA"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B90378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318</w:t>
            </w:r>
          </w:p>
        </w:tc>
        <w:tc>
          <w:tcPr>
            <w:tcW w:w="1701" w:type="dxa"/>
            <w:tcBorders>
              <w:top w:val="single" w:sz="4" w:space="0" w:color="auto"/>
              <w:left w:val="nil"/>
              <w:bottom w:val="single" w:sz="4" w:space="0" w:color="auto"/>
              <w:right w:val="single" w:sz="8" w:space="0" w:color="auto"/>
            </w:tcBorders>
          </w:tcPr>
          <w:p w14:paraId="16AF9AE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69D55306"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23027290"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DCD16E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3FF56A1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920</w:t>
            </w:r>
          </w:p>
        </w:tc>
        <w:tc>
          <w:tcPr>
            <w:tcW w:w="1276" w:type="dxa"/>
            <w:tcBorders>
              <w:top w:val="single" w:sz="4" w:space="0" w:color="auto"/>
              <w:left w:val="nil"/>
              <w:bottom w:val="single" w:sz="4" w:space="0" w:color="auto"/>
              <w:right w:val="single" w:sz="8" w:space="0" w:color="auto"/>
            </w:tcBorders>
          </w:tcPr>
          <w:p w14:paraId="44F41F6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w:t>
            </w:r>
          </w:p>
        </w:tc>
        <w:tc>
          <w:tcPr>
            <w:tcW w:w="1417" w:type="dxa"/>
            <w:tcBorders>
              <w:top w:val="single" w:sz="4" w:space="0" w:color="auto"/>
              <w:left w:val="nil"/>
              <w:bottom w:val="single" w:sz="4" w:space="0" w:color="auto"/>
              <w:right w:val="single" w:sz="8" w:space="0" w:color="auto"/>
            </w:tcBorders>
          </w:tcPr>
          <w:p w14:paraId="646619A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3BF2BD9C"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A60EE6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322</w:t>
            </w:r>
          </w:p>
        </w:tc>
        <w:tc>
          <w:tcPr>
            <w:tcW w:w="1701" w:type="dxa"/>
            <w:tcBorders>
              <w:top w:val="single" w:sz="4" w:space="0" w:color="auto"/>
              <w:left w:val="nil"/>
              <w:bottom w:val="single" w:sz="4" w:space="0" w:color="auto"/>
              <w:right w:val="single" w:sz="8" w:space="0" w:color="auto"/>
            </w:tcBorders>
          </w:tcPr>
          <w:p w14:paraId="23A5B78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277DDFE1"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1977</w:t>
            </w:r>
          </w:p>
        </w:tc>
      </w:tr>
      <w:tr w:rsidR="00632208" w:rsidRPr="0098635C" w14:paraId="7C28211A"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FF1BE2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6818AEB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136.5</w:t>
            </w:r>
          </w:p>
        </w:tc>
        <w:tc>
          <w:tcPr>
            <w:tcW w:w="1276" w:type="dxa"/>
            <w:tcBorders>
              <w:top w:val="single" w:sz="4" w:space="0" w:color="auto"/>
              <w:left w:val="nil"/>
              <w:bottom w:val="single" w:sz="4" w:space="0" w:color="auto"/>
              <w:right w:val="single" w:sz="8" w:space="0" w:color="auto"/>
            </w:tcBorders>
          </w:tcPr>
          <w:p w14:paraId="15F3867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3A79360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7.6</w:t>
            </w:r>
          </w:p>
        </w:tc>
        <w:tc>
          <w:tcPr>
            <w:tcW w:w="1276" w:type="dxa"/>
            <w:tcBorders>
              <w:top w:val="single" w:sz="4" w:space="0" w:color="auto"/>
              <w:left w:val="nil"/>
              <w:bottom w:val="single" w:sz="4" w:space="0" w:color="auto"/>
              <w:right w:val="single" w:sz="8" w:space="0" w:color="auto"/>
            </w:tcBorders>
          </w:tcPr>
          <w:p w14:paraId="57198A7F"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9E3049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44</w:t>
            </w:r>
          </w:p>
        </w:tc>
        <w:tc>
          <w:tcPr>
            <w:tcW w:w="1701" w:type="dxa"/>
            <w:tcBorders>
              <w:top w:val="single" w:sz="4" w:space="0" w:color="auto"/>
              <w:left w:val="nil"/>
              <w:bottom w:val="single" w:sz="4" w:space="0" w:color="auto"/>
              <w:right w:val="single" w:sz="8" w:space="0" w:color="auto"/>
            </w:tcBorders>
          </w:tcPr>
          <w:p w14:paraId="65335E7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7EBB8D49" w14:textId="77777777" w:rsidR="00632208" w:rsidRPr="0098635C" w:rsidRDefault="00632208" w:rsidP="00A432B0">
            <w:pPr>
              <w:spacing w:after="0"/>
              <w:rPr>
                <w:color w:val="000000" w:themeColor="text1"/>
                <w:sz w:val="20"/>
                <w:szCs w:val="20"/>
              </w:rPr>
            </w:pPr>
            <w:r w:rsidRPr="0098635C">
              <w:rPr>
                <w:color w:val="000000" w:themeColor="text1"/>
                <w:sz w:val="20"/>
                <w:szCs w:val="20"/>
              </w:rPr>
              <w:t>Curtis et al, 1979</w:t>
            </w:r>
          </w:p>
        </w:tc>
      </w:tr>
      <w:tr w:rsidR="00632208" w:rsidRPr="0098635C" w14:paraId="1C865E56"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A8ADEC1"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2C9052C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12.4</w:t>
            </w:r>
          </w:p>
        </w:tc>
        <w:tc>
          <w:tcPr>
            <w:tcW w:w="1276" w:type="dxa"/>
            <w:tcBorders>
              <w:top w:val="single" w:sz="4" w:space="0" w:color="auto"/>
              <w:left w:val="nil"/>
              <w:bottom w:val="single" w:sz="4" w:space="0" w:color="auto"/>
              <w:right w:val="single" w:sz="8" w:space="0" w:color="auto"/>
            </w:tcBorders>
          </w:tcPr>
          <w:p w14:paraId="37C46CC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058D783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w:t>
            </w:r>
          </w:p>
        </w:tc>
        <w:tc>
          <w:tcPr>
            <w:tcW w:w="1276" w:type="dxa"/>
            <w:tcBorders>
              <w:top w:val="single" w:sz="4" w:space="0" w:color="auto"/>
              <w:left w:val="nil"/>
              <w:bottom w:val="single" w:sz="4" w:space="0" w:color="auto"/>
              <w:right w:val="single" w:sz="8" w:space="0" w:color="auto"/>
            </w:tcBorders>
          </w:tcPr>
          <w:p w14:paraId="1F48B33D"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310F0E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24</w:t>
            </w:r>
          </w:p>
        </w:tc>
        <w:tc>
          <w:tcPr>
            <w:tcW w:w="1701" w:type="dxa"/>
            <w:tcBorders>
              <w:top w:val="single" w:sz="4" w:space="0" w:color="auto"/>
              <w:left w:val="nil"/>
              <w:bottom w:val="single" w:sz="4" w:space="0" w:color="auto"/>
              <w:right w:val="single" w:sz="8" w:space="0" w:color="auto"/>
            </w:tcBorders>
          </w:tcPr>
          <w:p w14:paraId="7BF7455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582B9F2D"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420FD6C9"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9DDCCAD"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7D01F4F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4.4</w:t>
            </w:r>
          </w:p>
        </w:tc>
        <w:tc>
          <w:tcPr>
            <w:tcW w:w="1276" w:type="dxa"/>
            <w:tcBorders>
              <w:top w:val="single" w:sz="4" w:space="0" w:color="auto"/>
              <w:left w:val="nil"/>
              <w:bottom w:val="single" w:sz="4" w:space="0" w:color="auto"/>
              <w:right w:val="single" w:sz="8" w:space="0" w:color="auto"/>
            </w:tcBorders>
          </w:tcPr>
          <w:p w14:paraId="4F1FAC0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0D18668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6.0</w:t>
            </w:r>
          </w:p>
        </w:tc>
        <w:tc>
          <w:tcPr>
            <w:tcW w:w="1276" w:type="dxa"/>
            <w:tcBorders>
              <w:top w:val="single" w:sz="4" w:space="0" w:color="auto"/>
              <w:left w:val="nil"/>
              <w:bottom w:val="single" w:sz="4" w:space="0" w:color="auto"/>
              <w:right w:val="single" w:sz="8" w:space="0" w:color="auto"/>
            </w:tcBorders>
          </w:tcPr>
          <w:p w14:paraId="7C225A40"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CED4A3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22.5</w:t>
            </w:r>
          </w:p>
        </w:tc>
        <w:tc>
          <w:tcPr>
            <w:tcW w:w="1701" w:type="dxa"/>
            <w:tcBorders>
              <w:top w:val="single" w:sz="4" w:space="0" w:color="auto"/>
              <w:left w:val="nil"/>
              <w:bottom w:val="single" w:sz="4" w:space="0" w:color="auto"/>
              <w:right w:val="single" w:sz="8" w:space="0" w:color="auto"/>
            </w:tcBorders>
          </w:tcPr>
          <w:p w14:paraId="4644779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4BACDFBB"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593C9371"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4AFAC4A"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127199D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1276" w:type="dxa"/>
            <w:tcBorders>
              <w:top w:val="single" w:sz="4" w:space="0" w:color="auto"/>
              <w:left w:val="nil"/>
              <w:bottom w:val="single" w:sz="4" w:space="0" w:color="auto"/>
              <w:right w:val="single" w:sz="8" w:space="0" w:color="auto"/>
            </w:tcBorders>
          </w:tcPr>
          <w:p w14:paraId="2B27391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1AC6612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7.2</w:t>
            </w:r>
          </w:p>
        </w:tc>
        <w:tc>
          <w:tcPr>
            <w:tcW w:w="1276" w:type="dxa"/>
            <w:tcBorders>
              <w:top w:val="single" w:sz="4" w:space="0" w:color="auto"/>
              <w:left w:val="nil"/>
              <w:bottom w:val="single" w:sz="4" w:space="0" w:color="auto"/>
              <w:right w:val="single" w:sz="8" w:space="0" w:color="auto"/>
            </w:tcBorders>
          </w:tcPr>
          <w:p w14:paraId="478AE72B"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6D3451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w:t>
            </w:r>
          </w:p>
        </w:tc>
        <w:tc>
          <w:tcPr>
            <w:tcW w:w="1701" w:type="dxa"/>
            <w:tcBorders>
              <w:top w:val="single" w:sz="4" w:space="0" w:color="auto"/>
              <w:left w:val="nil"/>
              <w:bottom w:val="single" w:sz="4" w:space="0" w:color="auto"/>
              <w:right w:val="single" w:sz="8" w:space="0" w:color="auto"/>
            </w:tcBorders>
          </w:tcPr>
          <w:p w14:paraId="620DA55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408C1634"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5B7AE100"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3F14BFE"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5AFCFF0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19.7</w:t>
            </w:r>
          </w:p>
        </w:tc>
        <w:tc>
          <w:tcPr>
            <w:tcW w:w="1276" w:type="dxa"/>
            <w:tcBorders>
              <w:top w:val="single" w:sz="4" w:space="0" w:color="auto"/>
              <w:left w:val="nil"/>
              <w:bottom w:val="single" w:sz="4" w:space="0" w:color="auto"/>
              <w:right w:val="single" w:sz="8" w:space="0" w:color="auto"/>
            </w:tcBorders>
          </w:tcPr>
          <w:p w14:paraId="36CF97E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5502C71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7.4</w:t>
            </w:r>
          </w:p>
        </w:tc>
        <w:tc>
          <w:tcPr>
            <w:tcW w:w="1276" w:type="dxa"/>
            <w:tcBorders>
              <w:top w:val="single" w:sz="4" w:space="0" w:color="auto"/>
              <w:left w:val="nil"/>
              <w:bottom w:val="single" w:sz="4" w:space="0" w:color="auto"/>
              <w:right w:val="single" w:sz="8" w:space="0" w:color="auto"/>
            </w:tcBorders>
          </w:tcPr>
          <w:p w14:paraId="669C9F36"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194BD0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45.5</w:t>
            </w:r>
          </w:p>
        </w:tc>
        <w:tc>
          <w:tcPr>
            <w:tcW w:w="1701" w:type="dxa"/>
            <w:tcBorders>
              <w:top w:val="single" w:sz="4" w:space="0" w:color="auto"/>
              <w:left w:val="nil"/>
              <w:bottom w:val="single" w:sz="4" w:space="0" w:color="auto"/>
              <w:right w:val="single" w:sz="8" w:space="0" w:color="auto"/>
            </w:tcBorders>
          </w:tcPr>
          <w:p w14:paraId="62236F6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0476C547"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487C1C1F"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4169D49"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429CBCA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18.2</w:t>
            </w:r>
          </w:p>
        </w:tc>
        <w:tc>
          <w:tcPr>
            <w:tcW w:w="1276" w:type="dxa"/>
            <w:tcBorders>
              <w:top w:val="single" w:sz="4" w:space="0" w:color="auto"/>
              <w:left w:val="nil"/>
              <w:bottom w:val="single" w:sz="4" w:space="0" w:color="auto"/>
              <w:right w:val="single" w:sz="8" w:space="0" w:color="auto"/>
            </w:tcBorders>
          </w:tcPr>
          <w:p w14:paraId="11FE494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634E173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7.2</w:t>
            </w:r>
          </w:p>
        </w:tc>
        <w:tc>
          <w:tcPr>
            <w:tcW w:w="1276" w:type="dxa"/>
            <w:tcBorders>
              <w:top w:val="single" w:sz="4" w:space="0" w:color="auto"/>
              <w:left w:val="nil"/>
              <w:bottom w:val="single" w:sz="4" w:space="0" w:color="auto"/>
              <w:right w:val="single" w:sz="8" w:space="0" w:color="auto"/>
            </w:tcBorders>
          </w:tcPr>
          <w:p w14:paraId="45DE4EF5"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C87F80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46</w:t>
            </w:r>
          </w:p>
        </w:tc>
        <w:tc>
          <w:tcPr>
            <w:tcW w:w="1701" w:type="dxa"/>
            <w:tcBorders>
              <w:top w:val="single" w:sz="4" w:space="0" w:color="auto"/>
              <w:left w:val="nil"/>
              <w:bottom w:val="single" w:sz="4" w:space="0" w:color="auto"/>
              <w:right w:val="single" w:sz="8" w:space="0" w:color="auto"/>
            </w:tcBorders>
          </w:tcPr>
          <w:p w14:paraId="0742008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0A1AFD82"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36805218"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C4FBE6E"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7A4974B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5.9</w:t>
            </w:r>
          </w:p>
        </w:tc>
        <w:tc>
          <w:tcPr>
            <w:tcW w:w="1276" w:type="dxa"/>
            <w:tcBorders>
              <w:top w:val="single" w:sz="4" w:space="0" w:color="auto"/>
              <w:left w:val="nil"/>
              <w:bottom w:val="single" w:sz="4" w:space="0" w:color="auto"/>
              <w:right w:val="single" w:sz="8" w:space="0" w:color="auto"/>
            </w:tcBorders>
          </w:tcPr>
          <w:p w14:paraId="6F10CE1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72BEB77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6.53</w:t>
            </w:r>
          </w:p>
        </w:tc>
        <w:tc>
          <w:tcPr>
            <w:tcW w:w="1276" w:type="dxa"/>
            <w:tcBorders>
              <w:top w:val="single" w:sz="4" w:space="0" w:color="auto"/>
              <w:left w:val="nil"/>
              <w:bottom w:val="single" w:sz="4" w:space="0" w:color="auto"/>
              <w:right w:val="single" w:sz="8" w:space="0" w:color="auto"/>
            </w:tcBorders>
          </w:tcPr>
          <w:p w14:paraId="19926213"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FC92BC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49</w:t>
            </w:r>
          </w:p>
        </w:tc>
        <w:tc>
          <w:tcPr>
            <w:tcW w:w="1701" w:type="dxa"/>
            <w:tcBorders>
              <w:top w:val="single" w:sz="4" w:space="0" w:color="auto"/>
              <w:left w:val="nil"/>
              <w:bottom w:val="single" w:sz="4" w:space="0" w:color="auto"/>
              <w:right w:val="single" w:sz="8" w:space="0" w:color="auto"/>
            </w:tcBorders>
          </w:tcPr>
          <w:p w14:paraId="03A11F9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57461429"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669EC83D"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3DA3D74"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lastRenderedPageBreak/>
              <w:t>Pimephales promelas</w:t>
            </w:r>
          </w:p>
        </w:tc>
        <w:tc>
          <w:tcPr>
            <w:tcW w:w="1134" w:type="dxa"/>
            <w:tcBorders>
              <w:top w:val="single" w:sz="4" w:space="0" w:color="auto"/>
              <w:left w:val="nil"/>
              <w:bottom w:val="single" w:sz="4" w:space="0" w:color="auto"/>
              <w:right w:val="single" w:sz="8" w:space="0" w:color="auto"/>
            </w:tcBorders>
          </w:tcPr>
          <w:p w14:paraId="16748A1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79.7</w:t>
            </w:r>
          </w:p>
        </w:tc>
        <w:tc>
          <w:tcPr>
            <w:tcW w:w="1276" w:type="dxa"/>
            <w:tcBorders>
              <w:top w:val="single" w:sz="4" w:space="0" w:color="auto"/>
              <w:left w:val="nil"/>
              <w:bottom w:val="single" w:sz="4" w:space="0" w:color="auto"/>
              <w:right w:val="single" w:sz="8" w:space="0" w:color="auto"/>
            </w:tcBorders>
          </w:tcPr>
          <w:p w14:paraId="0FE1A2F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5E36A49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7.3</w:t>
            </w:r>
          </w:p>
        </w:tc>
        <w:tc>
          <w:tcPr>
            <w:tcW w:w="1276" w:type="dxa"/>
            <w:tcBorders>
              <w:top w:val="single" w:sz="4" w:space="0" w:color="auto"/>
              <w:left w:val="nil"/>
              <w:bottom w:val="single" w:sz="4" w:space="0" w:color="auto"/>
              <w:right w:val="single" w:sz="8" w:space="0" w:color="auto"/>
            </w:tcBorders>
          </w:tcPr>
          <w:p w14:paraId="715434A7"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674CCA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85.1</w:t>
            </w:r>
          </w:p>
        </w:tc>
        <w:tc>
          <w:tcPr>
            <w:tcW w:w="1701" w:type="dxa"/>
            <w:tcBorders>
              <w:top w:val="single" w:sz="4" w:space="0" w:color="auto"/>
              <w:left w:val="nil"/>
              <w:bottom w:val="single" w:sz="4" w:space="0" w:color="auto"/>
              <w:right w:val="single" w:sz="8" w:space="0" w:color="auto"/>
            </w:tcBorders>
          </w:tcPr>
          <w:p w14:paraId="09DCD2C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778FE706"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7F91E40F"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474BE2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3DAEB60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71.2</w:t>
            </w:r>
          </w:p>
        </w:tc>
        <w:tc>
          <w:tcPr>
            <w:tcW w:w="1276" w:type="dxa"/>
            <w:tcBorders>
              <w:top w:val="single" w:sz="4" w:space="0" w:color="auto"/>
              <w:left w:val="nil"/>
              <w:bottom w:val="single" w:sz="4" w:space="0" w:color="auto"/>
              <w:right w:val="single" w:sz="8" w:space="0" w:color="auto"/>
            </w:tcBorders>
          </w:tcPr>
          <w:p w14:paraId="728A13A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36215AE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7.1</w:t>
            </w:r>
          </w:p>
        </w:tc>
        <w:tc>
          <w:tcPr>
            <w:tcW w:w="1276" w:type="dxa"/>
            <w:tcBorders>
              <w:top w:val="single" w:sz="4" w:space="0" w:color="auto"/>
              <w:left w:val="nil"/>
              <w:bottom w:val="single" w:sz="4" w:space="0" w:color="auto"/>
              <w:right w:val="single" w:sz="8" w:space="0" w:color="auto"/>
            </w:tcBorders>
          </w:tcPr>
          <w:p w14:paraId="38A8B9AA"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BE78A9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87.1</w:t>
            </w:r>
          </w:p>
        </w:tc>
        <w:tc>
          <w:tcPr>
            <w:tcW w:w="1701" w:type="dxa"/>
            <w:tcBorders>
              <w:top w:val="single" w:sz="4" w:space="0" w:color="auto"/>
              <w:left w:val="nil"/>
              <w:bottom w:val="single" w:sz="4" w:space="0" w:color="auto"/>
              <w:right w:val="single" w:sz="8" w:space="0" w:color="auto"/>
            </w:tcBorders>
          </w:tcPr>
          <w:p w14:paraId="3CBDC3C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570BED0D"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6F507A93"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AE7199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2ECCD54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663</w:t>
            </w:r>
          </w:p>
        </w:tc>
        <w:tc>
          <w:tcPr>
            <w:tcW w:w="1276" w:type="dxa"/>
            <w:tcBorders>
              <w:top w:val="single" w:sz="4" w:space="0" w:color="auto"/>
              <w:left w:val="nil"/>
              <w:bottom w:val="single" w:sz="4" w:space="0" w:color="auto"/>
              <w:right w:val="single" w:sz="8" w:space="0" w:color="auto"/>
            </w:tcBorders>
          </w:tcPr>
          <w:p w14:paraId="031EB31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4BC9A9A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7.2</w:t>
            </w:r>
          </w:p>
        </w:tc>
        <w:tc>
          <w:tcPr>
            <w:tcW w:w="1276" w:type="dxa"/>
            <w:tcBorders>
              <w:top w:val="single" w:sz="4" w:space="0" w:color="auto"/>
              <w:left w:val="nil"/>
              <w:bottom w:val="single" w:sz="4" w:space="0" w:color="auto"/>
              <w:right w:val="single" w:sz="8" w:space="0" w:color="auto"/>
            </w:tcBorders>
          </w:tcPr>
          <w:p w14:paraId="127EA199"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F0A35F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251.2</w:t>
            </w:r>
          </w:p>
        </w:tc>
        <w:tc>
          <w:tcPr>
            <w:tcW w:w="1701" w:type="dxa"/>
            <w:tcBorders>
              <w:top w:val="single" w:sz="4" w:space="0" w:color="auto"/>
              <w:left w:val="nil"/>
              <w:bottom w:val="single" w:sz="4" w:space="0" w:color="auto"/>
              <w:right w:val="single" w:sz="8" w:space="0" w:color="auto"/>
            </w:tcBorders>
          </w:tcPr>
          <w:p w14:paraId="65C4EDD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lab water</w:t>
            </w:r>
          </w:p>
        </w:tc>
        <w:tc>
          <w:tcPr>
            <w:tcW w:w="2409" w:type="dxa"/>
            <w:tcBorders>
              <w:top w:val="single" w:sz="4" w:space="0" w:color="auto"/>
              <w:left w:val="nil"/>
              <w:bottom w:val="single" w:sz="4" w:space="0" w:color="auto"/>
              <w:right w:val="double" w:sz="6" w:space="0" w:color="auto"/>
            </w:tcBorders>
          </w:tcPr>
          <w:p w14:paraId="4EE62CC6"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00DF5924"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D7B40A6"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7C6C2C3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20.5</w:t>
            </w:r>
          </w:p>
        </w:tc>
        <w:tc>
          <w:tcPr>
            <w:tcW w:w="1276" w:type="dxa"/>
            <w:tcBorders>
              <w:top w:val="single" w:sz="4" w:space="0" w:color="auto"/>
              <w:left w:val="nil"/>
              <w:bottom w:val="single" w:sz="4" w:space="0" w:color="auto"/>
              <w:right w:val="single" w:sz="8" w:space="0" w:color="auto"/>
            </w:tcBorders>
          </w:tcPr>
          <w:p w14:paraId="5CE858C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58A373D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tc>
        <w:tc>
          <w:tcPr>
            <w:tcW w:w="1276" w:type="dxa"/>
            <w:tcBorders>
              <w:top w:val="single" w:sz="4" w:space="0" w:color="auto"/>
              <w:left w:val="nil"/>
              <w:bottom w:val="single" w:sz="4" w:space="0" w:color="auto"/>
              <w:right w:val="single" w:sz="8" w:space="0" w:color="auto"/>
            </w:tcBorders>
          </w:tcPr>
          <w:p w14:paraId="119F9789"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2851E7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w:t>
            </w:r>
          </w:p>
        </w:tc>
        <w:tc>
          <w:tcPr>
            <w:tcW w:w="1701" w:type="dxa"/>
            <w:tcBorders>
              <w:top w:val="single" w:sz="4" w:space="0" w:color="auto"/>
              <w:left w:val="nil"/>
              <w:bottom w:val="single" w:sz="4" w:space="0" w:color="auto"/>
              <w:right w:val="single" w:sz="8" w:space="0" w:color="auto"/>
            </w:tcBorders>
          </w:tcPr>
          <w:p w14:paraId="37EF725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7802074F"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53ABD85B"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36B5BE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18B050C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26.9</w:t>
            </w:r>
          </w:p>
        </w:tc>
        <w:tc>
          <w:tcPr>
            <w:tcW w:w="1276" w:type="dxa"/>
            <w:tcBorders>
              <w:top w:val="single" w:sz="4" w:space="0" w:color="auto"/>
              <w:left w:val="nil"/>
              <w:bottom w:val="single" w:sz="4" w:space="0" w:color="auto"/>
              <w:right w:val="single" w:sz="8" w:space="0" w:color="auto"/>
            </w:tcBorders>
          </w:tcPr>
          <w:p w14:paraId="3F17D4A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10469BA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7FCED4B8"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CC3A2B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w:t>
            </w:r>
          </w:p>
        </w:tc>
        <w:tc>
          <w:tcPr>
            <w:tcW w:w="1701" w:type="dxa"/>
            <w:tcBorders>
              <w:top w:val="single" w:sz="4" w:space="0" w:color="auto"/>
              <w:left w:val="nil"/>
              <w:bottom w:val="single" w:sz="4" w:space="0" w:color="auto"/>
              <w:right w:val="single" w:sz="8" w:space="0" w:color="auto"/>
            </w:tcBorders>
          </w:tcPr>
          <w:p w14:paraId="3846E4E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12C9681D"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4AB631FE"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2980144"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1C7537E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12.4</w:t>
            </w:r>
          </w:p>
        </w:tc>
        <w:tc>
          <w:tcPr>
            <w:tcW w:w="1276" w:type="dxa"/>
            <w:tcBorders>
              <w:top w:val="single" w:sz="4" w:space="0" w:color="auto"/>
              <w:left w:val="nil"/>
              <w:bottom w:val="single" w:sz="4" w:space="0" w:color="auto"/>
              <w:right w:val="single" w:sz="8" w:space="0" w:color="auto"/>
            </w:tcBorders>
          </w:tcPr>
          <w:p w14:paraId="57EDE36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5C3A7C8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7.6</w:t>
            </w:r>
          </w:p>
        </w:tc>
        <w:tc>
          <w:tcPr>
            <w:tcW w:w="1276" w:type="dxa"/>
            <w:tcBorders>
              <w:top w:val="single" w:sz="4" w:space="0" w:color="auto"/>
              <w:left w:val="nil"/>
              <w:bottom w:val="single" w:sz="4" w:space="0" w:color="auto"/>
              <w:right w:val="single" w:sz="8" w:space="0" w:color="auto"/>
            </w:tcBorders>
          </w:tcPr>
          <w:p w14:paraId="4AC910A7"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E90B1E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1701" w:type="dxa"/>
            <w:tcBorders>
              <w:top w:val="single" w:sz="4" w:space="0" w:color="auto"/>
              <w:left w:val="nil"/>
              <w:bottom w:val="single" w:sz="4" w:space="0" w:color="auto"/>
              <w:right w:val="single" w:sz="8" w:space="0" w:color="auto"/>
            </w:tcBorders>
          </w:tcPr>
          <w:p w14:paraId="3006DA7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11F6F8DF"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7C0C3B2F"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AA8B2D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44E1CC9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17.2</w:t>
            </w:r>
          </w:p>
        </w:tc>
        <w:tc>
          <w:tcPr>
            <w:tcW w:w="1276" w:type="dxa"/>
            <w:tcBorders>
              <w:top w:val="single" w:sz="4" w:space="0" w:color="auto"/>
              <w:left w:val="nil"/>
              <w:bottom w:val="single" w:sz="4" w:space="0" w:color="auto"/>
              <w:right w:val="single" w:sz="8" w:space="0" w:color="auto"/>
            </w:tcBorders>
          </w:tcPr>
          <w:p w14:paraId="257227E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27709B9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7.9</w:t>
            </w:r>
          </w:p>
        </w:tc>
        <w:tc>
          <w:tcPr>
            <w:tcW w:w="1276" w:type="dxa"/>
            <w:tcBorders>
              <w:top w:val="single" w:sz="4" w:space="0" w:color="auto"/>
              <w:left w:val="nil"/>
              <w:bottom w:val="single" w:sz="4" w:space="0" w:color="auto"/>
              <w:right w:val="single" w:sz="8" w:space="0" w:color="auto"/>
            </w:tcBorders>
          </w:tcPr>
          <w:p w14:paraId="260E8458"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5F7E13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45.5</w:t>
            </w:r>
          </w:p>
        </w:tc>
        <w:tc>
          <w:tcPr>
            <w:tcW w:w="1701" w:type="dxa"/>
            <w:tcBorders>
              <w:top w:val="single" w:sz="4" w:space="0" w:color="auto"/>
              <w:left w:val="nil"/>
              <w:bottom w:val="single" w:sz="4" w:space="0" w:color="auto"/>
              <w:right w:val="single" w:sz="8" w:space="0" w:color="auto"/>
            </w:tcBorders>
          </w:tcPr>
          <w:p w14:paraId="6186B14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074BA52C"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201BC34A"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C476EB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5B701B7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20.3</w:t>
            </w:r>
          </w:p>
        </w:tc>
        <w:tc>
          <w:tcPr>
            <w:tcW w:w="1276" w:type="dxa"/>
            <w:tcBorders>
              <w:top w:val="single" w:sz="4" w:space="0" w:color="auto"/>
              <w:left w:val="nil"/>
              <w:bottom w:val="single" w:sz="4" w:space="0" w:color="auto"/>
              <w:right w:val="single" w:sz="8" w:space="0" w:color="auto"/>
            </w:tcBorders>
          </w:tcPr>
          <w:p w14:paraId="76DA266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2A00218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7.6</w:t>
            </w:r>
          </w:p>
        </w:tc>
        <w:tc>
          <w:tcPr>
            <w:tcW w:w="1276" w:type="dxa"/>
            <w:tcBorders>
              <w:top w:val="single" w:sz="4" w:space="0" w:color="auto"/>
              <w:left w:val="nil"/>
              <w:bottom w:val="single" w:sz="4" w:space="0" w:color="auto"/>
              <w:right w:val="single" w:sz="8" w:space="0" w:color="auto"/>
            </w:tcBorders>
          </w:tcPr>
          <w:p w14:paraId="6212DEEE"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8FF34B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27</w:t>
            </w:r>
          </w:p>
        </w:tc>
        <w:tc>
          <w:tcPr>
            <w:tcW w:w="1701" w:type="dxa"/>
            <w:tcBorders>
              <w:top w:val="single" w:sz="4" w:space="0" w:color="auto"/>
              <w:left w:val="nil"/>
              <w:bottom w:val="single" w:sz="4" w:space="0" w:color="auto"/>
              <w:right w:val="single" w:sz="8" w:space="0" w:color="auto"/>
            </w:tcBorders>
          </w:tcPr>
          <w:p w14:paraId="41962BA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39161B22"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5D461EE9"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41FC2DA"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3182FE4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21.6</w:t>
            </w:r>
          </w:p>
        </w:tc>
        <w:tc>
          <w:tcPr>
            <w:tcW w:w="1276" w:type="dxa"/>
            <w:tcBorders>
              <w:top w:val="single" w:sz="4" w:space="0" w:color="auto"/>
              <w:left w:val="nil"/>
              <w:bottom w:val="single" w:sz="4" w:space="0" w:color="auto"/>
              <w:right w:val="single" w:sz="8" w:space="0" w:color="auto"/>
            </w:tcBorders>
          </w:tcPr>
          <w:p w14:paraId="09620F3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11EF4D0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7.9</w:t>
            </w:r>
          </w:p>
        </w:tc>
        <w:tc>
          <w:tcPr>
            <w:tcW w:w="1276" w:type="dxa"/>
            <w:tcBorders>
              <w:top w:val="single" w:sz="4" w:space="0" w:color="auto"/>
              <w:left w:val="nil"/>
              <w:bottom w:val="single" w:sz="4" w:space="0" w:color="auto"/>
              <w:right w:val="single" w:sz="8" w:space="0" w:color="auto"/>
            </w:tcBorders>
          </w:tcPr>
          <w:p w14:paraId="246B1CC0"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C3ABA5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45.5</w:t>
            </w:r>
          </w:p>
        </w:tc>
        <w:tc>
          <w:tcPr>
            <w:tcW w:w="1701" w:type="dxa"/>
            <w:tcBorders>
              <w:top w:val="single" w:sz="4" w:space="0" w:color="auto"/>
              <w:left w:val="nil"/>
              <w:bottom w:val="single" w:sz="4" w:space="0" w:color="auto"/>
              <w:right w:val="single" w:sz="8" w:space="0" w:color="auto"/>
            </w:tcBorders>
          </w:tcPr>
          <w:p w14:paraId="340C0F4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4DB2BE94"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48A46691"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61CC71B"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790F375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23.2</w:t>
            </w:r>
          </w:p>
        </w:tc>
        <w:tc>
          <w:tcPr>
            <w:tcW w:w="1276" w:type="dxa"/>
            <w:tcBorders>
              <w:top w:val="single" w:sz="4" w:space="0" w:color="auto"/>
              <w:left w:val="nil"/>
              <w:bottom w:val="single" w:sz="4" w:space="0" w:color="auto"/>
              <w:right w:val="single" w:sz="8" w:space="0" w:color="auto"/>
            </w:tcBorders>
          </w:tcPr>
          <w:p w14:paraId="57C9F67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7A011D8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tc>
        <w:tc>
          <w:tcPr>
            <w:tcW w:w="1276" w:type="dxa"/>
            <w:tcBorders>
              <w:top w:val="single" w:sz="4" w:space="0" w:color="auto"/>
              <w:left w:val="nil"/>
              <w:bottom w:val="single" w:sz="4" w:space="0" w:color="auto"/>
              <w:right w:val="single" w:sz="8" w:space="0" w:color="auto"/>
            </w:tcBorders>
          </w:tcPr>
          <w:p w14:paraId="17D7A0C3"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63F1A1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34</w:t>
            </w:r>
          </w:p>
        </w:tc>
        <w:tc>
          <w:tcPr>
            <w:tcW w:w="1701" w:type="dxa"/>
            <w:tcBorders>
              <w:top w:val="single" w:sz="4" w:space="0" w:color="auto"/>
              <w:left w:val="nil"/>
              <w:bottom w:val="single" w:sz="4" w:space="0" w:color="auto"/>
              <w:right w:val="single" w:sz="8" w:space="0" w:color="auto"/>
            </w:tcBorders>
          </w:tcPr>
          <w:p w14:paraId="7DD9394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1178215B"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0AB21712"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5FF9F9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1A9A58A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26.7</w:t>
            </w:r>
          </w:p>
        </w:tc>
        <w:tc>
          <w:tcPr>
            <w:tcW w:w="1276" w:type="dxa"/>
            <w:tcBorders>
              <w:top w:val="single" w:sz="4" w:space="0" w:color="auto"/>
              <w:left w:val="nil"/>
              <w:bottom w:val="single" w:sz="4" w:space="0" w:color="auto"/>
              <w:right w:val="single" w:sz="8" w:space="0" w:color="auto"/>
            </w:tcBorders>
          </w:tcPr>
          <w:p w14:paraId="2E4878C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2D4E504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tc>
        <w:tc>
          <w:tcPr>
            <w:tcW w:w="1276" w:type="dxa"/>
            <w:tcBorders>
              <w:top w:val="single" w:sz="4" w:space="0" w:color="auto"/>
              <w:left w:val="nil"/>
              <w:bottom w:val="single" w:sz="4" w:space="0" w:color="auto"/>
              <w:right w:val="single" w:sz="8" w:space="0" w:color="auto"/>
            </w:tcBorders>
          </w:tcPr>
          <w:p w14:paraId="306A4913"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88227D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27</w:t>
            </w:r>
          </w:p>
        </w:tc>
        <w:tc>
          <w:tcPr>
            <w:tcW w:w="1701" w:type="dxa"/>
            <w:tcBorders>
              <w:top w:val="single" w:sz="4" w:space="0" w:color="auto"/>
              <w:left w:val="nil"/>
              <w:bottom w:val="single" w:sz="4" w:space="0" w:color="auto"/>
              <w:right w:val="single" w:sz="8" w:space="0" w:color="auto"/>
            </w:tcBorders>
          </w:tcPr>
          <w:p w14:paraId="343FE11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11ABE663"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314EE07A"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D2BBC5E"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41E6502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26.7</w:t>
            </w:r>
          </w:p>
        </w:tc>
        <w:tc>
          <w:tcPr>
            <w:tcW w:w="1276" w:type="dxa"/>
            <w:tcBorders>
              <w:top w:val="single" w:sz="4" w:space="0" w:color="auto"/>
              <w:left w:val="nil"/>
              <w:bottom w:val="single" w:sz="4" w:space="0" w:color="auto"/>
              <w:right w:val="single" w:sz="8" w:space="0" w:color="auto"/>
            </w:tcBorders>
          </w:tcPr>
          <w:p w14:paraId="3B9D67C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20A3B41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7.6</w:t>
            </w:r>
          </w:p>
        </w:tc>
        <w:tc>
          <w:tcPr>
            <w:tcW w:w="1276" w:type="dxa"/>
            <w:tcBorders>
              <w:top w:val="single" w:sz="4" w:space="0" w:color="auto"/>
              <w:left w:val="nil"/>
              <w:bottom w:val="single" w:sz="4" w:space="0" w:color="auto"/>
              <w:right w:val="single" w:sz="8" w:space="0" w:color="auto"/>
            </w:tcBorders>
          </w:tcPr>
          <w:p w14:paraId="43415616"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C90618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30</w:t>
            </w:r>
          </w:p>
        </w:tc>
        <w:tc>
          <w:tcPr>
            <w:tcW w:w="1701" w:type="dxa"/>
            <w:tcBorders>
              <w:top w:val="single" w:sz="4" w:space="0" w:color="auto"/>
              <w:left w:val="nil"/>
              <w:bottom w:val="single" w:sz="4" w:space="0" w:color="auto"/>
              <w:right w:val="single" w:sz="8" w:space="0" w:color="auto"/>
            </w:tcBorders>
          </w:tcPr>
          <w:p w14:paraId="09F9981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474B5D80"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38528C31"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A066E2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23BCB31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1276" w:type="dxa"/>
            <w:tcBorders>
              <w:top w:val="single" w:sz="4" w:space="0" w:color="auto"/>
              <w:left w:val="nil"/>
              <w:bottom w:val="single" w:sz="4" w:space="0" w:color="auto"/>
              <w:right w:val="single" w:sz="8" w:space="0" w:color="auto"/>
            </w:tcBorders>
          </w:tcPr>
          <w:p w14:paraId="192F934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5131284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7.6</w:t>
            </w:r>
          </w:p>
        </w:tc>
        <w:tc>
          <w:tcPr>
            <w:tcW w:w="1276" w:type="dxa"/>
            <w:tcBorders>
              <w:top w:val="single" w:sz="4" w:space="0" w:color="auto"/>
              <w:left w:val="nil"/>
              <w:bottom w:val="single" w:sz="4" w:space="0" w:color="auto"/>
              <w:right w:val="single" w:sz="8" w:space="0" w:color="auto"/>
            </w:tcBorders>
          </w:tcPr>
          <w:p w14:paraId="65E271A6"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B2EC8F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29</w:t>
            </w:r>
          </w:p>
        </w:tc>
        <w:tc>
          <w:tcPr>
            <w:tcW w:w="1701" w:type="dxa"/>
            <w:tcBorders>
              <w:top w:val="single" w:sz="4" w:space="0" w:color="auto"/>
              <w:left w:val="nil"/>
              <w:bottom w:val="single" w:sz="4" w:space="0" w:color="auto"/>
              <w:right w:val="single" w:sz="8" w:space="0" w:color="auto"/>
            </w:tcBorders>
          </w:tcPr>
          <w:p w14:paraId="0CDFA50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7ACA274C"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5B1C9B99"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1D8F7C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0BA5C40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35</w:t>
            </w:r>
          </w:p>
        </w:tc>
        <w:tc>
          <w:tcPr>
            <w:tcW w:w="1276" w:type="dxa"/>
            <w:tcBorders>
              <w:top w:val="single" w:sz="4" w:space="0" w:color="auto"/>
              <w:left w:val="nil"/>
              <w:bottom w:val="single" w:sz="4" w:space="0" w:color="auto"/>
              <w:right w:val="single" w:sz="8" w:space="0" w:color="auto"/>
            </w:tcBorders>
          </w:tcPr>
          <w:p w14:paraId="715D8E9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2D33249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tc>
        <w:tc>
          <w:tcPr>
            <w:tcW w:w="1276" w:type="dxa"/>
            <w:tcBorders>
              <w:top w:val="single" w:sz="4" w:space="0" w:color="auto"/>
              <w:left w:val="nil"/>
              <w:bottom w:val="single" w:sz="4" w:space="0" w:color="auto"/>
              <w:right w:val="single" w:sz="8" w:space="0" w:color="auto"/>
            </w:tcBorders>
          </w:tcPr>
          <w:p w14:paraId="1E0FC5D8"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E25B52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51</w:t>
            </w:r>
          </w:p>
        </w:tc>
        <w:tc>
          <w:tcPr>
            <w:tcW w:w="1701" w:type="dxa"/>
            <w:tcBorders>
              <w:top w:val="single" w:sz="4" w:space="0" w:color="auto"/>
              <w:left w:val="nil"/>
              <w:bottom w:val="single" w:sz="4" w:space="0" w:color="auto"/>
              <w:right w:val="single" w:sz="8" w:space="0" w:color="auto"/>
            </w:tcBorders>
          </w:tcPr>
          <w:p w14:paraId="67A3702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0412AA51"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5A08A6BD"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38A22EE"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156B095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36.9</w:t>
            </w:r>
          </w:p>
        </w:tc>
        <w:tc>
          <w:tcPr>
            <w:tcW w:w="1276" w:type="dxa"/>
            <w:tcBorders>
              <w:top w:val="single" w:sz="4" w:space="0" w:color="auto"/>
              <w:left w:val="nil"/>
              <w:bottom w:val="single" w:sz="4" w:space="0" w:color="auto"/>
              <w:right w:val="single" w:sz="8" w:space="0" w:color="auto"/>
            </w:tcBorders>
          </w:tcPr>
          <w:p w14:paraId="4650F77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2B333D7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67C8F961"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413FC9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47</w:t>
            </w:r>
          </w:p>
        </w:tc>
        <w:tc>
          <w:tcPr>
            <w:tcW w:w="1701" w:type="dxa"/>
            <w:tcBorders>
              <w:top w:val="single" w:sz="4" w:space="0" w:color="auto"/>
              <w:left w:val="nil"/>
              <w:bottom w:val="single" w:sz="4" w:space="0" w:color="auto"/>
              <w:right w:val="single" w:sz="8" w:space="0" w:color="auto"/>
            </w:tcBorders>
          </w:tcPr>
          <w:p w14:paraId="2DCD29F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32CF6955"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64862EE3"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8F177BB"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028AF6F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41.1</w:t>
            </w:r>
          </w:p>
        </w:tc>
        <w:tc>
          <w:tcPr>
            <w:tcW w:w="1276" w:type="dxa"/>
            <w:tcBorders>
              <w:top w:val="single" w:sz="4" w:space="0" w:color="auto"/>
              <w:left w:val="nil"/>
              <w:bottom w:val="single" w:sz="4" w:space="0" w:color="auto"/>
              <w:right w:val="single" w:sz="8" w:space="0" w:color="auto"/>
            </w:tcBorders>
          </w:tcPr>
          <w:p w14:paraId="2830ED6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7811089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4083C78C"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A8B2A5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44</w:t>
            </w:r>
          </w:p>
        </w:tc>
        <w:tc>
          <w:tcPr>
            <w:tcW w:w="1701" w:type="dxa"/>
            <w:tcBorders>
              <w:top w:val="single" w:sz="4" w:space="0" w:color="auto"/>
              <w:left w:val="nil"/>
              <w:bottom w:val="single" w:sz="4" w:space="0" w:color="auto"/>
              <w:right w:val="single" w:sz="8" w:space="0" w:color="auto"/>
            </w:tcBorders>
          </w:tcPr>
          <w:p w14:paraId="67E4155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341353E4"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2713879E"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AC1AB3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42D2DE6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42.1</w:t>
            </w:r>
          </w:p>
        </w:tc>
        <w:tc>
          <w:tcPr>
            <w:tcW w:w="1276" w:type="dxa"/>
            <w:tcBorders>
              <w:top w:val="single" w:sz="4" w:space="0" w:color="auto"/>
              <w:left w:val="nil"/>
              <w:bottom w:val="single" w:sz="4" w:space="0" w:color="auto"/>
              <w:right w:val="single" w:sz="8" w:space="0" w:color="auto"/>
            </w:tcBorders>
          </w:tcPr>
          <w:p w14:paraId="2EAC26A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1D53EF2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7.7</w:t>
            </w:r>
          </w:p>
        </w:tc>
        <w:tc>
          <w:tcPr>
            <w:tcW w:w="1276" w:type="dxa"/>
            <w:tcBorders>
              <w:top w:val="single" w:sz="4" w:space="0" w:color="auto"/>
              <w:left w:val="nil"/>
              <w:bottom w:val="single" w:sz="4" w:space="0" w:color="auto"/>
              <w:right w:val="single" w:sz="8" w:space="0" w:color="auto"/>
            </w:tcBorders>
          </w:tcPr>
          <w:p w14:paraId="380B334A"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0BB829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27</w:t>
            </w:r>
          </w:p>
        </w:tc>
        <w:tc>
          <w:tcPr>
            <w:tcW w:w="1701" w:type="dxa"/>
            <w:tcBorders>
              <w:top w:val="single" w:sz="4" w:space="0" w:color="auto"/>
              <w:left w:val="nil"/>
              <w:bottom w:val="single" w:sz="4" w:space="0" w:color="auto"/>
              <w:right w:val="single" w:sz="8" w:space="0" w:color="auto"/>
            </w:tcBorders>
          </w:tcPr>
          <w:p w14:paraId="548D932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56521C46"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6D19B8F0"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346783D"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317F8CB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42.6</w:t>
            </w:r>
          </w:p>
        </w:tc>
        <w:tc>
          <w:tcPr>
            <w:tcW w:w="1276" w:type="dxa"/>
            <w:tcBorders>
              <w:top w:val="single" w:sz="4" w:space="0" w:color="auto"/>
              <w:left w:val="nil"/>
              <w:bottom w:val="single" w:sz="4" w:space="0" w:color="auto"/>
              <w:right w:val="single" w:sz="8" w:space="0" w:color="auto"/>
            </w:tcBorders>
          </w:tcPr>
          <w:p w14:paraId="0545DFB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64A4086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03E45076"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8EF72F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44.5</w:t>
            </w:r>
          </w:p>
        </w:tc>
        <w:tc>
          <w:tcPr>
            <w:tcW w:w="1701" w:type="dxa"/>
            <w:tcBorders>
              <w:top w:val="single" w:sz="4" w:space="0" w:color="auto"/>
              <w:left w:val="nil"/>
              <w:bottom w:val="single" w:sz="4" w:space="0" w:color="auto"/>
              <w:right w:val="single" w:sz="8" w:space="0" w:color="auto"/>
            </w:tcBorders>
          </w:tcPr>
          <w:p w14:paraId="45196A9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7B1B9B17"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4156A036"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ED8CB7F"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2E0387C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44.7</w:t>
            </w:r>
          </w:p>
        </w:tc>
        <w:tc>
          <w:tcPr>
            <w:tcW w:w="1276" w:type="dxa"/>
            <w:tcBorders>
              <w:top w:val="single" w:sz="4" w:space="0" w:color="auto"/>
              <w:left w:val="nil"/>
              <w:bottom w:val="single" w:sz="4" w:space="0" w:color="auto"/>
              <w:right w:val="single" w:sz="8" w:space="0" w:color="auto"/>
            </w:tcBorders>
          </w:tcPr>
          <w:p w14:paraId="587D93F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64A187E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23E76C5B"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034A4D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44</w:t>
            </w:r>
          </w:p>
        </w:tc>
        <w:tc>
          <w:tcPr>
            <w:tcW w:w="1701" w:type="dxa"/>
            <w:tcBorders>
              <w:top w:val="single" w:sz="4" w:space="0" w:color="auto"/>
              <w:left w:val="nil"/>
              <w:bottom w:val="single" w:sz="4" w:space="0" w:color="auto"/>
              <w:right w:val="single" w:sz="8" w:space="0" w:color="auto"/>
            </w:tcBorders>
          </w:tcPr>
          <w:p w14:paraId="7EA3C3E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6B9EACC3"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489DAB4A"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34D1CB2"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3052B3C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46.3</w:t>
            </w:r>
          </w:p>
        </w:tc>
        <w:tc>
          <w:tcPr>
            <w:tcW w:w="1276" w:type="dxa"/>
            <w:tcBorders>
              <w:top w:val="single" w:sz="4" w:space="0" w:color="auto"/>
              <w:left w:val="nil"/>
              <w:bottom w:val="single" w:sz="4" w:space="0" w:color="auto"/>
              <w:right w:val="single" w:sz="8" w:space="0" w:color="auto"/>
            </w:tcBorders>
          </w:tcPr>
          <w:p w14:paraId="6FC7AE5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5A77F94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47A3D3B7"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2FDFE0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44.5</w:t>
            </w:r>
          </w:p>
        </w:tc>
        <w:tc>
          <w:tcPr>
            <w:tcW w:w="1701" w:type="dxa"/>
            <w:tcBorders>
              <w:top w:val="single" w:sz="4" w:space="0" w:color="auto"/>
              <w:left w:val="nil"/>
              <w:bottom w:val="single" w:sz="4" w:space="0" w:color="auto"/>
              <w:right w:val="single" w:sz="8" w:space="0" w:color="auto"/>
            </w:tcBorders>
          </w:tcPr>
          <w:p w14:paraId="150737A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50EDA9F3"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11A5054B"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3C111D1"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00D57A4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52.7</w:t>
            </w:r>
          </w:p>
        </w:tc>
        <w:tc>
          <w:tcPr>
            <w:tcW w:w="1276" w:type="dxa"/>
            <w:tcBorders>
              <w:top w:val="single" w:sz="4" w:space="0" w:color="auto"/>
              <w:left w:val="nil"/>
              <w:bottom w:val="single" w:sz="4" w:space="0" w:color="auto"/>
              <w:right w:val="single" w:sz="8" w:space="0" w:color="auto"/>
            </w:tcBorders>
          </w:tcPr>
          <w:p w14:paraId="18C00F1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1B0ED7E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w:t>
            </w:r>
          </w:p>
        </w:tc>
        <w:tc>
          <w:tcPr>
            <w:tcW w:w="1276" w:type="dxa"/>
            <w:tcBorders>
              <w:top w:val="single" w:sz="4" w:space="0" w:color="auto"/>
              <w:left w:val="nil"/>
              <w:bottom w:val="single" w:sz="4" w:space="0" w:color="auto"/>
              <w:right w:val="single" w:sz="8" w:space="0" w:color="auto"/>
            </w:tcBorders>
          </w:tcPr>
          <w:p w14:paraId="237D2D92"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449ECC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w:t>
            </w:r>
          </w:p>
        </w:tc>
        <w:tc>
          <w:tcPr>
            <w:tcW w:w="1701" w:type="dxa"/>
            <w:tcBorders>
              <w:top w:val="single" w:sz="4" w:space="0" w:color="auto"/>
              <w:left w:val="nil"/>
              <w:bottom w:val="single" w:sz="4" w:space="0" w:color="auto"/>
              <w:right w:val="single" w:sz="8" w:space="0" w:color="auto"/>
            </w:tcBorders>
          </w:tcPr>
          <w:p w14:paraId="730E63D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0A198F8F"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1D83046C"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2C8C566"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6B49818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58.5</w:t>
            </w:r>
          </w:p>
        </w:tc>
        <w:tc>
          <w:tcPr>
            <w:tcW w:w="1276" w:type="dxa"/>
            <w:tcBorders>
              <w:top w:val="single" w:sz="4" w:space="0" w:color="auto"/>
              <w:left w:val="nil"/>
              <w:bottom w:val="single" w:sz="4" w:space="0" w:color="auto"/>
              <w:right w:val="single" w:sz="8" w:space="0" w:color="auto"/>
            </w:tcBorders>
          </w:tcPr>
          <w:p w14:paraId="7DFB80C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3487FD3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8.4</w:t>
            </w:r>
          </w:p>
        </w:tc>
        <w:tc>
          <w:tcPr>
            <w:tcW w:w="1276" w:type="dxa"/>
            <w:tcBorders>
              <w:top w:val="single" w:sz="4" w:space="0" w:color="auto"/>
              <w:left w:val="nil"/>
              <w:bottom w:val="single" w:sz="4" w:space="0" w:color="auto"/>
              <w:right w:val="single" w:sz="8" w:space="0" w:color="auto"/>
            </w:tcBorders>
          </w:tcPr>
          <w:p w14:paraId="600A770E"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C863DE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48</w:t>
            </w:r>
          </w:p>
        </w:tc>
        <w:tc>
          <w:tcPr>
            <w:tcW w:w="1701" w:type="dxa"/>
            <w:tcBorders>
              <w:top w:val="single" w:sz="4" w:space="0" w:color="auto"/>
              <w:left w:val="nil"/>
              <w:bottom w:val="single" w:sz="4" w:space="0" w:color="auto"/>
              <w:right w:val="single" w:sz="8" w:space="0" w:color="auto"/>
            </w:tcBorders>
          </w:tcPr>
          <w:p w14:paraId="1500F33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607FAFAA"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6A47F45B"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64D59C8"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207A307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62.3</w:t>
            </w:r>
          </w:p>
        </w:tc>
        <w:tc>
          <w:tcPr>
            <w:tcW w:w="1276" w:type="dxa"/>
            <w:tcBorders>
              <w:top w:val="single" w:sz="4" w:space="0" w:color="auto"/>
              <w:left w:val="nil"/>
              <w:bottom w:val="single" w:sz="4" w:space="0" w:color="auto"/>
              <w:right w:val="single" w:sz="8" w:space="0" w:color="auto"/>
            </w:tcBorders>
          </w:tcPr>
          <w:p w14:paraId="0AA2F54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28A8F57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7.9</w:t>
            </w:r>
          </w:p>
        </w:tc>
        <w:tc>
          <w:tcPr>
            <w:tcW w:w="1276" w:type="dxa"/>
            <w:tcBorders>
              <w:top w:val="single" w:sz="4" w:space="0" w:color="auto"/>
              <w:left w:val="nil"/>
              <w:bottom w:val="single" w:sz="4" w:space="0" w:color="auto"/>
              <w:right w:val="single" w:sz="8" w:space="0" w:color="auto"/>
            </w:tcBorders>
          </w:tcPr>
          <w:p w14:paraId="74DDD169"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CB79AA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45.5</w:t>
            </w:r>
          </w:p>
        </w:tc>
        <w:tc>
          <w:tcPr>
            <w:tcW w:w="1701" w:type="dxa"/>
            <w:tcBorders>
              <w:top w:val="single" w:sz="4" w:space="0" w:color="auto"/>
              <w:left w:val="nil"/>
              <w:bottom w:val="single" w:sz="4" w:space="0" w:color="auto"/>
              <w:right w:val="single" w:sz="8" w:space="0" w:color="auto"/>
            </w:tcBorders>
          </w:tcPr>
          <w:p w14:paraId="2AB5266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02900622"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5BB68829"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5763521"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02E11D5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62.5</w:t>
            </w:r>
          </w:p>
        </w:tc>
        <w:tc>
          <w:tcPr>
            <w:tcW w:w="1276" w:type="dxa"/>
            <w:tcBorders>
              <w:top w:val="single" w:sz="4" w:space="0" w:color="auto"/>
              <w:left w:val="nil"/>
              <w:bottom w:val="single" w:sz="4" w:space="0" w:color="auto"/>
              <w:right w:val="single" w:sz="8" w:space="0" w:color="auto"/>
            </w:tcBorders>
          </w:tcPr>
          <w:p w14:paraId="112E563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39AF234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0EE91F5B"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064A14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41</w:t>
            </w:r>
          </w:p>
        </w:tc>
        <w:tc>
          <w:tcPr>
            <w:tcW w:w="1701" w:type="dxa"/>
            <w:tcBorders>
              <w:top w:val="single" w:sz="4" w:space="0" w:color="auto"/>
              <w:left w:val="nil"/>
              <w:bottom w:val="single" w:sz="4" w:space="0" w:color="auto"/>
              <w:right w:val="single" w:sz="8" w:space="0" w:color="auto"/>
            </w:tcBorders>
          </w:tcPr>
          <w:p w14:paraId="4F8B011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22B6D92E"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228B6565"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4926D8E"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0081A03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68.6</w:t>
            </w:r>
          </w:p>
        </w:tc>
        <w:tc>
          <w:tcPr>
            <w:tcW w:w="1276" w:type="dxa"/>
            <w:tcBorders>
              <w:top w:val="single" w:sz="4" w:space="0" w:color="auto"/>
              <w:left w:val="nil"/>
              <w:bottom w:val="single" w:sz="4" w:space="0" w:color="auto"/>
              <w:right w:val="single" w:sz="8" w:space="0" w:color="auto"/>
            </w:tcBorders>
          </w:tcPr>
          <w:p w14:paraId="07EBA68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76609FB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73DC6C42"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A3225B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44.5</w:t>
            </w:r>
          </w:p>
        </w:tc>
        <w:tc>
          <w:tcPr>
            <w:tcW w:w="1701" w:type="dxa"/>
            <w:tcBorders>
              <w:top w:val="single" w:sz="4" w:space="0" w:color="auto"/>
              <w:left w:val="nil"/>
              <w:bottom w:val="single" w:sz="4" w:space="0" w:color="auto"/>
              <w:right w:val="single" w:sz="8" w:space="0" w:color="auto"/>
            </w:tcBorders>
          </w:tcPr>
          <w:p w14:paraId="20DE0CE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01A142C6"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340B468C"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8BDA7C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7ED9C18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70.1</w:t>
            </w:r>
          </w:p>
        </w:tc>
        <w:tc>
          <w:tcPr>
            <w:tcW w:w="1276" w:type="dxa"/>
            <w:tcBorders>
              <w:top w:val="single" w:sz="4" w:space="0" w:color="auto"/>
              <w:left w:val="nil"/>
              <w:bottom w:val="single" w:sz="4" w:space="0" w:color="auto"/>
              <w:right w:val="single" w:sz="8" w:space="0" w:color="auto"/>
            </w:tcBorders>
          </w:tcPr>
          <w:p w14:paraId="02E2974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49D1ADC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7.9</w:t>
            </w:r>
          </w:p>
        </w:tc>
        <w:tc>
          <w:tcPr>
            <w:tcW w:w="1276" w:type="dxa"/>
            <w:tcBorders>
              <w:top w:val="single" w:sz="4" w:space="0" w:color="auto"/>
              <w:left w:val="nil"/>
              <w:bottom w:val="single" w:sz="4" w:space="0" w:color="auto"/>
              <w:right w:val="single" w:sz="8" w:space="0" w:color="auto"/>
            </w:tcBorders>
          </w:tcPr>
          <w:p w14:paraId="0C053764"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F2ABE5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50</w:t>
            </w:r>
          </w:p>
        </w:tc>
        <w:tc>
          <w:tcPr>
            <w:tcW w:w="1701" w:type="dxa"/>
            <w:tcBorders>
              <w:top w:val="single" w:sz="4" w:space="0" w:color="auto"/>
              <w:left w:val="nil"/>
              <w:bottom w:val="single" w:sz="4" w:space="0" w:color="auto"/>
              <w:right w:val="single" w:sz="8" w:space="0" w:color="auto"/>
            </w:tcBorders>
          </w:tcPr>
          <w:p w14:paraId="65D5B0C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51EAB414"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617AD6C2"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F9E363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6391944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70.5</w:t>
            </w:r>
          </w:p>
        </w:tc>
        <w:tc>
          <w:tcPr>
            <w:tcW w:w="1276" w:type="dxa"/>
            <w:tcBorders>
              <w:top w:val="single" w:sz="4" w:space="0" w:color="auto"/>
              <w:left w:val="nil"/>
              <w:bottom w:val="single" w:sz="4" w:space="0" w:color="auto"/>
              <w:right w:val="single" w:sz="8" w:space="0" w:color="auto"/>
            </w:tcBorders>
          </w:tcPr>
          <w:p w14:paraId="62F2FEA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1F210F3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w:t>
            </w:r>
          </w:p>
        </w:tc>
        <w:tc>
          <w:tcPr>
            <w:tcW w:w="1276" w:type="dxa"/>
            <w:tcBorders>
              <w:top w:val="single" w:sz="4" w:space="0" w:color="auto"/>
              <w:left w:val="nil"/>
              <w:bottom w:val="single" w:sz="4" w:space="0" w:color="auto"/>
              <w:right w:val="single" w:sz="8" w:space="0" w:color="auto"/>
            </w:tcBorders>
          </w:tcPr>
          <w:p w14:paraId="52524936"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9CF835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47</w:t>
            </w:r>
          </w:p>
        </w:tc>
        <w:tc>
          <w:tcPr>
            <w:tcW w:w="1701" w:type="dxa"/>
            <w:tcBorders>
              <w:top w:val="single" w:sz="4" w:space="0" w:color="auto"/>
              <w:left w:val="nil"/>
              <w:bottom w:val="single" w:sz="4" w:space="0" w:color="auto"/>
              <w:right w:val="single" w:sz="8" w:space="0" w:color="auto"/>
            </w:tcBorders>
          </w:tcPr>
          <w:p w14:paraId="68EEA1E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25C714EF"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30C40207"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08DCAAF"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1AA57F3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70.8</w:t>
            </w:r>
          </w:p>
        </w:tc>
        <w:tc>
          <w:tcPr>
            <w:tcW w:w="1276" w:type="dxa"/>
            <w:tcBorders>
              <w:top w:val="single" w:sz="4" w:space="0" w:color="auto"/>
              <w:left w:val="nil"/>
              <w:bottom w:val="single" w:sz="4" w:space="0" w:color="auto"/>
              <w:right w:val="single" w:sz="8" w:space="0" w:color="auto"/>
            </w:tcBorders>
          </w:tcPr>
          <w:p w14:paraId="5A0EC43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038B2EC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0D8E613C"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A35059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w:t>
            </w:r>
          </w:p>
        </w:tc>
        <w:tc>
          <w:tcPr>
            <w:tcW w:w="1701" w:type="dxa"/>
            <w:tcBorders>
              <w:top w:val="single" w:sz="4" w:space="0" w:color="auto"/>
              <w:left w:val="nil"/>
              <w:bottom w:val="single" w:sz="4" w:space="0" w:color="auto"/>
              <w:right w:val="single" w:sz="8" w:space="0" w:color="auto"/>
            </w:tcBorders>
          </w:tcPr>
          <w:p w14:paraId="4F23BCE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2911F3D5"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00BCEB5E"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A8EA39A"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7D273BB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75.8</w:t>
            </w:r>
          </w:p>
        </w:tc>
        <w:tc>
          <w:tcPr>
            <w:tcW w:w="1276" w:type="dxa"/>
            <w:tcBorders>
              <w:top w:val="single" w:sz="4" w:space="0" w:color="auto"/>
              <w:left w:val="nil"/>
              <w:bottom w:val="single" w:sz="4" w:space="0" w:color="auto"/>
              <w:right w:val="single" w:sz="8" w:space="0" w:color="auto"/>
            </w:tcBorders>
          </w:tcPr>
          <w:p w14:paraId="652A9D1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2EDA663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w:t>
            </w:r>
          </w:p>
        </w:tc>
        <w:tc>
          <w:tcPr>
            <w:tcW w:w="1276" w:type="dxa"/>
            <w:tcBorders>
              <w:top w:val="single" w:sz="4" w:space="0" w:color="auto"/>
              <w:left w:val="nil"/>
              <w:bottom w:val="single" w:sz="4" w:space="0" w:color="auto"/>
              <w:right w:val="single" w:sz="8" w:space="0" w:color="auto"/>
            </w:tcBorders>
          </w:tcPr>
          <w:p w14:paraId="0B90D993"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EF7A4B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w:t>
            </w:r>
          </w:p>
        </w:tc>
        <w:tc>
          <w:tcPr>
            <w:tcW w:w="1701" w:type="dxa"/>
            <w:tcBorders>
              <w:top w:val="single" w:sz="4" w:space="0" w:color="auto"/>
              <w:left w:val="nil"/>
              <w:bottom w:val="single" w:sz="4" w:space="0" w:color="auto"/>
              <w:right w:val="single" w:sz="8" w:space="0" w:color="auto"/>
            </w:tcBorders>
          </w:tcPr>
          <w:p w14:paraId="0D76987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19C39F24"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01DC38F6"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A9E2CF8"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51300C4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77</w:t>
            </w:r>
          </w:p>
        </w:tc>
        <w:tc>
          <w:tcPr>
            <w:tcW w:w="1276" w:type="dxa"/>
            <w:tcBorders>
              <w:top w:val="single" w:sz="4" w:space="0" w:color="auto"/>
              <w:left w:val="nil"/>
              <w:bottom w:val="single" w:sz="4" w:space="0" w:color="auto"/>
              <w:right w:val="single" w:sz="8" w:space="0" w:color="auto"/>
            </w:tcBorders>
          </w:tcPr>
          <w:p w14:paraId="3B549B9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37E2FEB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1A51EE00"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42428B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44</w:t>
            </w:r>
          </w:p>
        </w:tc>
        <w:tc>
          <w:tcPr>
            <w:tcW w:w="1701" w:type="dxa"/>
            <w:tcBorders>
              <w:top w:val="single" w:sz="4" w:space="0" w:color="auto"/>
              <w:left w:val="nil"/>
              <w:bottom w:val="single" w:sz="4" w:space="0" w:color="auto"/>
              <w:right w:val="single" w:sz="8" w:space="0" w:color="auto"/>
            </w:tcBorders>
          </w:tcPr>
          <w:p w14:paraId="0A3B404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1E1E0CC2"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20CD2E7E"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881D79B"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283955E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77.5</w:t>
            </w:r>
          </w:p>
        </w:tc>
        <w:tc>
          <w:tcPr>
            <w:tcW w:w="1276" w:type="dxa"/>
            <w:tcBorders>
              <w:top w:val="single" w:sz="4" w:space="0" w:color="auto"/>
              <w:left w:val="nil"/>
              <w:bottom w:val="single" w:sz="4" w:space="0" w:color="auto"/>
              <w:right w:val="single" w:sz="8" w:space="0" w:color="auto"/>
            </w:tcBorders>
          </w:tcPr>
          <w:p w14:paraId="3AA0CAB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458CD15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4648367F"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B5F86F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51</w:t>
            </w:r>
          </w:p>
        </w:tc>
        <w:tc>
          <w:tcPr>
            <w:tcW w:w="1701" w:type="dxa"/>
            <w:tcBorders>
              <w:top w:val="single" w:sz="4" w:space="0" w:color="auto"/>
              <w:left w:val="nil"/>
              <w:bottom w:val="single" w:sz="4" w:space="0" w:color="auto"/>
              <w:right w:val="single" w:sz="8" w:space="0" w:color="auto"/>
            </w:tcBorders>
          </w:tcPr>
          <w:p w14:paraId="7AC8BF7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02661200"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78A8698E"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A7D5CDB"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3660408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78.9</w:t>
            </w:r>
          </w:p>
        </w:tc>
        <w:tc>
          <w:tcPr>
            <w:tcW w:w="1276" w:type="dxa"/>
            <w:tcBorders>
              <w:top w:val="single" w:sz="4" w:space="0" w:color="auto"/>
              <w:left w:val="nil"/>
              <w:bottom w:val="single" w:sz="4" w:space="0" w:color="auto"/>
              <w:right w:val="single" w:sz="8" w:space="0" w:color="auto"/>
            </w:tcBorders>
          </w:tcPr>
          <w:p w14:paraId="25988EB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68A84FE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1C0F5FEA"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4DF508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37</w:t>
            </w:r>
          </w:p>
        </w:tc>
        <w:tc>
          <w:tcPr>
            <w:tcW w:w="1701" w:type="dxa"/>
            <w:tcBorders>
              <w:top w:val="single" w:sz="4" w:space="0" w:color="auto"/>
              <w:left w:val="nil"/>
              <w:bottom w:val="single" w:sz="4" w:space="0" w:color="auto"/>
              <w:right w:val="single" w:sz="8" w:space="0" w:color="auto"/>
            </w:tcBorders>
          </w:tcPr>
          <w:p w14:paraId="5622021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71B64600"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08B8D41E"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FE65AA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7330B26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81.6</w:t>
            </w:r>
          </w:p>
        </w:tc>
        <w:tc>
          <w:tcPr>
            <w:tcW w:w="1276" w:type="dxa"/>
            <w:tcBorders>
              <w:top w:val="single" w:sz="4" w:space="0" w:color="auto"/>
              <w:left w:val="nil"/>
              <w:bottom w:val="single" w:sz="4" w:space="0" w:color="auto"/>
              <w:right w:val="single" w:sz="8" w:space="0" w:color="auto"/>
            </w:tcBorders>
          </w:tcPr>
          <w:p w14:paraId="2E39DFE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7D4EA44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4D026847"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067561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51</w:t>
            </w:r>
          </w:p>
        </w:tc>
        <w:tc>
          <w:tcPr>
            <w:tcW w:w="1701" w:type="dxa"/>
            <w:tcBorders>
              <w:top w:val="single" w:sz="4" w:space="0" w:color="auto"/>
              <w:left w:val="nil"/>
              <w:bottom w:val="single" w:sz="4" w:space="0" w:color="auto"/>
              <w:right w:val="single" w:sz="8" w:space="0" w:color="auto"/>
            </w:tcBorders>
          </w:tcPr>
          <w:p w14:paraId="475F8D1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37B3D32A"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45E7040D"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5AE3EEB"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78B083C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83.9</w:t>
            </w:r>
          </w:p>
        </w:tc>
        <w:tc>
          <w:tcPr>
            <w:tcW w:w="1276" w:type="dxa"/>
            <w:tcBorders>
              <w:top w:val="single" w:sz="4" w:space="0" w:color="auto"/>
              <w:left w:val="nil"/>
              <w:bottom w:val="single" w:sz="4" w:space="0" w:color="auto"/>
              <w:right w:val="single" w:sz="8" w:space="0" w:color="auto"/>
            </w:tcBorders>
          </w:tcPr>
          <w:p w14:paraId="26BD45C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462B02A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7B121B01"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0A3011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45.5</w:t>
            </w:r>
          </w:p>
        </w:tc>
        <w:tc>
          <w:tcPr>
            <w:tcW w:w="1701" w:type="dxa"/>
            <w:tcBorders>
              <w:top w:val="single" w:sz="4" w:space="0" w:color="auto"/>
              <w:left w:val="nil"/>
              <w:bottom w:val="single" w:sz="4" w:space="0" w:color="auto"/>
              <w:right w:val="single" w:sz="8" w:space="0" w:color="auto"/>
            </w:tcBorders>
          </w:tcPr>
          <w:p w14:paraId="086E398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07A0FBC2"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16CA6B27"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A933C41"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0D7B5D6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84.3</w:t>
            </w:r>
          </w:p>
        </w:tc>
        <w:tc>
          <w:tcPr>
            <w:tcW w:w="1276" w:type="dxa"/>
            <w:tcBorders>
              <w:top w:val="single" w:sz="4" w:space="0" w:color="auto"/>
              <w:left w:val="nil"/>
              <w:bottom w:val="single" w:sz="4" w:space="0" w:color="auto"/>
              <w:right w:val="single" w:sz="8" w:space="0" w:color="auto"/>
            </w:tcBorders>
          </w:tcPr>
          <w:p w14:paraId="50BA554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1766C5D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5CBF6C71"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6B0078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52</w:t>
            </w:r>
          </w:p>
        </w:tc>
        <w:tc>
          <w:tcPr>
            <w:tcW w:w="1701" w:type="dxa"/>
            <w:tcBorders>
              <w:top w:val="single" w:sz="4" w:space="0" w:color="auto"/>
              <w:left w:val="nil"/>
              <w:bottom w:val="single" w:sz="4" w:space="0" w:color="auto"/>
              <w:right w:val="single" w:sz="8" w:space="0" w:color="auto"/>
            </w:tcBorders>
          </w:tcPr>
          <w:p w14:paraId="1A1D0BF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67613210"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3C5FACC1"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E7D7AC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lastRenderedPageBreak/>
              <w:t>Pimephales promelas</w:t>
            </w:r>
          </w:p>
        </w:tc>
        <w:tc>
          <w:tcPr>
            <w:tcW w:w="1134" w:type="dxa"/>
            <w:tcBorders>
              <w:top w:val="single" w:sz="4" w:space="0" w:color="auto"/>
              <w:left w:val="nil"/>
              <w:bottom w:val="single" w:sz="4" w:space="0" w:color="auto"/>
              <w:right w:val="single" w:sz="8" w:space="0" w:color="auto"/>
            </w:tcBorders>
          </w:tcPr>
          <w:p w14:paraId="5EDB11C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92.9</w:t>
            </w:r>
          </w:p>
        </w:tc>
        <w:tc>
          <w:tcPr>
            <w:tcW w:w="1276" w:type="dxa"/>
            <w:tcBorders>
              <w:top w:val="single" w:sz="4" w:space="0" w:color="auto"/>
              <w:left w:val="nil"/>
              <w:bottom w:val="single" w:sz="4" w:space="0" w:color="auto"/>
              <w:right w:val="single" w:sz="8" w:space="0" w:color="auto"/>
            </w:tcBorders>
          </w:tcPr>
          <w:p w14:paraId="154707F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610A744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691C0CA1"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41D5CD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43</w:t>
            </w:r>
          </w:p>
        </w:tc>
        <w:tc>
          <w:tcPr>
            <w:tcW w:w="1701" w:type="dxa"/>
            <w:tcBorders>
              <w:top w:val="single" w:sz="4" w:space="0" w:color="auto"/>
              <w:left w:val="nil"/>
              <w:bottom w:val="single" w:sz="4" w:space="0" w:color="auto"/>
              <w:right w:val="single" w:sz="8" w:space="0" w:color="auto"/>
            </w:tcBorders>
          </w:tcPr>
          <w:p w14:paraId="257FBAF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30335564"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57602676"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D733045"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070F9DD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94</w:t>
            </w:r>
          </w:p>
        </w:tc>
        <w:tc>
          <w:tcPr>
            <w:tcW w:w="1276" w:type="dxa"/>
            <w:tcBorders>
              <w:top w:val="single" w:sz="4" w:space="0" w:color="auto"/>
              <w:left w:val="nil"/>
              <w:bottom w:val="single" w:sz="4" w:space="0" w:color="auto"/>
              <w:right w:val="single" w:sz="8" w:space="0" w:color="auto"/>
            </w:tcBorders>
          </w:tcPr>
          <w:p w14:paraId="7D26DB4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56B6358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272FC7D2"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F1185F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44.5</w:t>
            </w:r>
          </w:p>
        </w:tc>
        <w:tc>
          <w:tcPr>
            <w:tcW w:w="1701" w:type="dxa"/>
            <w:tcBorders>
              <w:top w:val="single" w:sz="4" w:space="0" w:color="auto"/>
              <w:left w:val="nil"/>
              <w:bottom w:val="single" w:sz="4" w:space="0" w:color="auto"/>
              <w:right w:val="single" w:sz="8" w:space="0" w:color="auto"/>
            </w:tcBorders>
          </w:tcPr>
          <w:p w14:paraId="0E4D94A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514B78A5"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081B027D"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EB0528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6D5A36A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96.7</w:t>
            </w:r>
          </w:p>
        </w:tc>
        <w:tc>
          <w:tcPr>
            <w:tcW w:w="1276" w:type="dxa"/>
            <w:tcBorders>
              <w:top w:val="single" w:sz="4" w:space="0" w:color="auto"/>
              <w:left w:val="nil"/>
              <w:bottom w:val="single" w:sz="4" w:space="0" w:color="auto"/>
              <w:right w:val="single" w:sz="8" w:space="0" w:color="auto"/>
            </w:tcBorders>
          </w:tcPr>
          <w:p w14:paraId="38F0181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6DD9C9D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w:t>
            </w:r>
          </w:p>
        </w:tc>
        <w:tc>
          <w:tcPr>
            <w:tcW w:w="1276" w:type="dxa"/>
            <w:tcBorders>
              <w:top w:val="single" w:sz="4" w:space="0" w:color="auto"/>
              <w:left w:val="nil"/>
              <w:bottom w:val="single" w:sz="4" w:space="0" w:color="auto"/>
              <w:right w:val="single" w:sz="8" w:space="0" w:color="auto"/>
            </w:tcBorders>
          </w:tcPr>
          <w:p w14:paraId="5721AEAC"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236EDB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60.1</w:t>
            </w:r>
          </w:p>
        </w:tc>
        <w:tc>
          <w:tcPr>
            <w:tcW w:w="1701" w:type="dxa"/>
            <w:tcBorders>
              <w:top w:val="single" w:sz="4" w:space="0" w:color="auto"/>
              <w:left w:val="nil"/>
              <w:bottom w:val="single" w:sz="4" w:space="0" w:color="auto"/>
              <w:right w:val="single" w:sz="8" w:space="0" w:color="auto"/>
            </w:tcBorders>
          </w:tcPr>
          <w:p w14:paraId="5049D77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3BDC28EE"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079CAEFB"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F3B289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6B90DEA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97.9</w:t>
            </w:r>
          </w:p>
        </w:tc>
        <w:tc>
          <w:tcPr>
            <w:tcW w:w="1276" w:type="dxa"/>
            <w:tcBorders>
              <w:top w:val="single" w:sz="4" w:space="0" w:color="auto"/>
              <w:left w:val="nil"/>
              <w:bottom w:val="single" w:sz="4" w:space="0" w:color="auto"/>
              <w:right w:val="single" w:sz="8" w:space="0" w:color="auto"/>
            </w:tcBorders>
          </w:tcPr>
          <w:p w14:paraId="2FBA968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242E1F4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1873876B"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31EE16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51</w:t>
            </w:r>
          </w:p>
        </w:tc>
        <w:tc>
          <w:tcPr>
            <w:tcW w:w="1701" w:type="dxa"/>
            <w:tcBorders>
              <w:top w:val="single" w:sz="4" w:space="0" w:color="auto"/>
              <w:left w:val="nil"/>
              <w:bottom w:val="single" w:sz="4" w:space="0" w:color="auto"/>
              <w:right w:val="single" w:sz="8" w:space="0" w:color="auto"/>
            </w:tcBorders>
          </w:tcPr>
          <w:p w14:paraId="72BAC5F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024AB8B5"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5BA0E2DF"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0F181A5"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6C0752B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99.6</w:t>
            </w:r>
          </w:p>
        </w:tc>
        <w:tc>
          <w:tcPr>
            <w:tcW w:w="1276" w:type="dxa"/>
            <w:tcBorders>
              <w:top w:val="single" w:sz="4" w:space="0" w:color="auto"/>
              <w:left w:val="nil"/>
              <w:bottom w:val="single" w:sz="4" w:space="0" w:color="auto"/>
              <w:right w:val="single" w:sz="8" w:space="0" w:color="auto"/>
            </w:tcBorders>
          </w:tcPr>
          <w:p w14:paraId="6FFD723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6913728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7.6</w:t>
            </w:r>
          </w:p>
        </w:tc>
        <w:tc>
          <w:tcPr>
            <w:tcW w:w="1276" w:type="dxa"/>
            <w:tcBorders>
              <w:top w:val="single" w:sz="4" w:space="0" w:color="auto"/>
              <w:left w:val="nil"/>
              <w:bottom w:val="single" w:sz="4" w:space="0" w:color="auto"/>
              <w:right w:val="single" w:sz="8" w:space="0" w:color="auto"/>
            </w:tcBorders>
          </w:tcPr>
          <w:p w14:paraId="2A1DC16C"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29202E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88.1</w:t>
            </w:r>
          </w:p>
        </w:tc>
        <w:tc>
          <w:tcPr>
            <w:tcW w:w="1701" w:type="dxa"/>
            <w:tcBorders>
              <w:top w:val="single" w:sz="4" w:space="0" w:color="auto"/>
              <w:left w:val="nil"/>
              <w:bottom w:val="single" w:sz="4" w:space="0" w:color="auto"/>
              <w:right w:val="single" w:sz="8" w:space="0" w:color="auto"/>
            </w:tcBorders>
          </w:tcPr>
          <w:p w14:paraId="4687553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50DD7A12"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47237A07"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62C792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3330957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101.5</w:t>
            </w:r>
          </w:p>
        </w:tc>
        <w:tc>
          <w:tcPr>
            <w:tcW w:w="1276" w:type="dxa"/>
            <w:tcBorders>
              <w:top w:val="single" w:sz="4" w:space="0" w:color="auto"/>
              <w:left w:val="nil"/>
              <w:bottom w:val="single" w:sz="4" w:space="0" w:color="auto"/>
              <w:right w:val="single" w:sz="8" w:space="0" w:color="auto"/>
            </w:tcBorders>
          </w:tcPr>
          <w:p w14:paraId="69E327A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4A755D0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7.9</w:t>
            </w:r>
          </w:p>
        </w:tc>
        <w:tc>
          <w:tcPr>
            <w:tcW w:w="1276" w:type="dxa"/>
            <w:tcBorders>
              <w:top w:val="single" w:sz="4" w:space="0" w:color="auto"/>
              <w:left w:val="nil"/>
              <w:bottom w:val="single" w:sz="4" w:space="0" w:color="auto"/>
              <w:right w:val="single" w:sz="8" w:space="0" w:color="auto"/>
            </w:tcBorders>
          </w:tcPr>
          <w:p w14:paraId="137EBF32"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07998F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59.1</w:t>
            </w:r>
          </w:p>
        </w:tc>
        <w:tc>
          <w:tcPr>
            <w:tcW w:w="1701" w:type="dxa"/>
            <w:tcBorders>
              <w:top w:val="single" w:sz="4" w:space="0" w:color="auto"/>
              <w:left w:val="nil"/>
              <w:bottom w:val="single" w:sz="4" w:space="0" w:color="auto"/>
              <w:right w:val="single" w:sz="8" w:space="0" w:color="auto"/>
            </w:tcBorders>
          </w:tcPr>
          <w:p w14:paraId="53EEE1C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0E57534D"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0E1A5228"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70D3C34"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11CB72A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103.8</w:t>
            </w:r>
          </w:p>
        </w:tc>
        <w:tc>
          <w:tcPr>
            <w:tcW w:w="1276" w:type="dxa"/>
            <w:tcBorders>
              <w:top w:val="single" w:sz="4" w:space="0" w:color="auto"/>
              <w:left w:val="nil"/>
              <w:bottom w:val="single" w:sz="4" w:space="0" w:color="auto"/>
              <w:right w:val="single" w:sz="8" w:space="0" w:color="auto"/>
            </w:tcBorders>
          </w:tcPr>
          <w:p w14:paraId="44FB443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7675DFD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2319AC87"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AFC741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w:t>
            </w:r>
          </w:p>
        </w:tc>
        <w:tc>
          <w:tcPr>
            <w:tcW w:w="1701" w:type="dxa"/>
            <w:tcBorders>
              <w:top w:val="single" w:sz="4" w:space="0" w:color="auto"/>
              <w:left w:val="nil"/>
              <w:bottom w:val="single" w:sz="4" w:space="0" w:color="auto"/>
              <w:right w:val="single" w:sz="8" w:space="0" w:color="auto"/>
            </w:tcBorders>
          </w:tcPr>
          <w:p w14:paraId="31FF317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2618524E"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2F7495D1"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2CE778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65CBB22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110.9</w:t>
            </w:r>
          </w:p>
        </w:tc>
        <w:tc>
          <w:tcPr>
            <w:tcW w:w="1276" w:type="dxa"/>
            <w:tcBorders>
              <w:top w:val="single" w:sz="4" w:space="0" w:color="auto"/>
              <w:left w:val="nil"/>
              <w:bottom w:val="single" w:sz="4" w:space="0" w:color="auto"/>
              <w:right w:val="single" w:sz="8" w:space="0" w:color="auto"/>
            </w:tcBorders>
          </w:tcPr>
          <w:p w14:paraId="527E930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5CDA6B7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4259E031"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CFA8C7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53</w:t>
            </w:r>
          </w:p>
        </w:tc>
        <w:tc>
          <w:tcPr>
            <w:tcW w:w="1701" w:type="dxa"/>
            <w:tcBorders>
              <w:top w:val="single" w:sz="4" w:space="0" w:color="auto"/>
              <w:left w:val="nil"/>
              <w:bottom w:val="single" w:sz="4" w:space="0" w:color="auto"/>
              <w:right w:val="single" w:sz="8" w:space="0" w:color="auto"/>
            </w:tcBorders>
          </w:tcPr>
          <w:p w14:paraId="02EBBB2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2878702F"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34FDB32E"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6A43C22"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05A3A99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111.8</w:t>
            </w:r>
          </w:p>
        </w:tc>
        <w:tc>
          <w:tcPr>
            <w:tcW w:w="1276" w:type="dxa"/>
            <w:tcBorders>
              <w:top w:val="single" w:sz="4" w:space="0" w:color="auto"/>
              <w:left w:val="nil"/>
              <w:bottom w:val="single" w:sz="4" w:space="0" w:color="auto"/>
              <w:right w:val="single" w:sz="8" w:space="0" w:color="auto"/>
            </w:tcBorders>
          </w:tcPr>
          <w:p w14:paraId="72ADB30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0CBA4E6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625F12F2"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466B0F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47</w:t>
            </w:r>
          </w:p>
        </w:tc>
        <w:tc>
          <w:tcPr>
            <w:tcW w:w="1701" w:type="dxa"/>
            <w:tcBorders>
              <w:top w:val="single" w:sz="4" w:space="0" w:color="auto"/>
              <w:left w:val="nil"/>
              <w:bottom w:val="single" w:sz="4" w:space="0" w:color="auto"/>
              <w:right w:val="single" w:sz="8" w:space="0" w:color="auto"/>
            </w:tcBorders>
          </w:tcPr>
          <w:p w14:paraId="229FF8E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6E1BA108"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4EF891B6"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3CFCE8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5633746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112</w:t>
            </w:r>
          </w:p>
        </w:tc>
        <w:tc>
          <w:tcPr>
            <w:tcW w:w="1276" w:type="dxa"/>
            <w:tcBorders>
              <w:top w:val="single" w:sz="4" w:space="0" w:color="auto"/>
              <w:left w:val="nil"/>
              <w:bottom w:val="single" w:sz="4" w:space="0" w:color="auto"/>
              <w:right w:val="single" w:sz="8" w:space="0" w:color="auto"/>
            </w:tcBorders>
          </w:tcPr>
          <w:p w14:paraId="0F04647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368ED7B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w:t>
            </w:r>
          </w:p>
        </w:tc>
        <w:tc>
          <w:tcPr>
            <w:tcW w:w="1276" w:type="dxa"/>
            <w:tcBorders>
              <w:top w:val="single" w:sz="4" w:space="0" w:color="auto"/>
              <w:left w:val="nil"/>
              <w:bottom w:val="single" w:sz="4" w:space="0" w:color="auto"/>
              <w:right w:val="single" w:sz="8" w:space="0" w:color="auto"/>
            </w:tcBorders>
          </w:tcPr>
          <w:p w14:paraId="20F54618"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C8EC14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w:t>
            </w:r>
          </w:p>
        </w:tc>
        <w:tc>
          <w:tcPr>
            <w:tcW w:w="1701" w:type="dxa"/>
            <w:tcBorders>
              <w:top w:val="single" w:sz="4" w:space="0" w:color="auto"/>
              <w:left w:val="nil"/>
              <w:bottom w:val="single" w:sz="4" w:space="0" w:color="auto"/>
              <w:right w:val="single" w:sz="8" w:space="0" w:color="auto"/>
            </w:tcBorders>
          </w:tcPr>
          <w:p w14:paraId="0B9AF58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52CAF3D2"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1D247282"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0FAC57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1F76319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113.4</w:t>
            </w:r>
          </w:p>
        </w:tc>
        <w:tc>
          <w:tcPr>
            <w:tcW w:w="1276" w:type="dxa"/>
            <w:tcBorders>
              <w:top w:val="single" w:sz="4" w:space="0" w:color="auto"/>
              <w:left w:val="nil"/>
              <w:bottom w:val="single" w:sz="4" w:space="0" w:color="auto"/>
              <w:right w:val="single" w:sz="8" w:space="0" w:color="auto"/>
            </w:tcBorders>
          </w:tcPr>
          <w:p w14:paraId="1459FD2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5B52501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7FD814D0"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FA37D2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47</w:t>
            </w:r>
          </w:p>
        </w:tc>
        <w:tc>
          <w:tcPr>
            <w:tcW w:w="1701" w:type="dxa"/>
            <w:tcBorders>
              <w:top w:val="single" w:sz="4" w:space="0" w:color="auto"/>
              <w:left w:val="nil"/>
              <w:bottom w:val="single" w:sz="4" w:space="0" w:color="auto"/>
              <w:right w:val="single" w:sz="8" w:space="0" w:color="auto"/>
            </w:tcBorders>
          </w:tcPr>
          <w:p w14:paraId="5E060CE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2928CBF0"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3961F427"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A49A12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15B8D47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114.6</w:t>
            </w:r>
          </w:p>
        </w:tc>
        <w:tc>
          <w:tcPr>
            <w:tcW w:w="1276" w:type="dxa"/>
            <w:tcBorders>
              <w:top w:val="single" w:sz="4" w:space="0" w:color="auto"/>
              <w:left w:val="nil"/>
              <w:bottom w:val="single" w:sz="4" w:space="0" w:color="auto"/>
              <w:right w:val="single" w:sz="8" w:space="0" w:color="auto"/>
            </w:tcBorders>
          </w:tcPr>
          <w:p w14:paraId="6EBB13D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19F53E0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7.9</w:t>
            </w:r>
          </w:p>
        </w:tc>
        <w:tc>
          <w:tcPr>
            <w:tcW w:w="1276" w:type="dxa"/>
            <w:tcBorders>
              <w:top w:val="single" w:sz="4" w:space="0" w:color="auto"/>
              <w:left w:val="nil"/>
              <w:bottom w:val="single" w:sz="4" w:space="0" w:color="auto"/>
              <w:right w:val="single" w:sz="8" w:space="0" w:color="auto"/>
            </w:tcBorders>
          </w:tcPr>
          <w:p w14:paraId="7059766B"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320EBF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46</w:t>
            </w:r>
          </w:p>
        </w:tc>
        <w:tc>
          <w:tcPr>
            <w:tcW w:w="1701" w:type="dxa"/>
            <w:tcBorders>
              <w:top w:val="single" w:sz="4" w:space="0" w:color="auto"/>
              <w:left w:val="nil"/>
              <w:bottom w:val="single" w:sz="4" w:space="0" w:color="auto"/>
              <w:right w:val="single" w:sz="8" w:space="0" w:color="auto"/>
            </w:tcBorders>
          </w:tcPr>
          <w:p w14:paraId="11086D2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0B50E4B0"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3A6BCC69"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DE04931"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2064D28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117.4</w:t>
            </w:r>
          </w:p>
        </w:tc>
        <w:tc>
          <w:tcPr>
            <w:tcW w:w="1276" w:type="dxa"/>
            <w:tcBorders>
              <w:top w:val="single" w:sz="4" w:space="0" w:color="auto"/>
              <w:left w:val="nil"/>
              <w:bottom w:val="single" w:sz="4" w:space="0" w:color="auto"/>
              <w:right w:val="single" w:sz="8" w:space="0" w:color="auto"/>
            </w:tcBorders>
          </w:tcPr>
          <w:p w14:paraId="56ECD33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566FC6D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7.9</w:t>
            </w:r>
          </w:p>
        </w:tc>
        <w:tc>
          <w:tcPr>
            <w:tcW w:w="1276" w:type="dxa"/>
            <w:tcBorders>
              <w:top w:val="single" w:sz="4" w:space="0" w:color="auto"/>
              <w:left w:val="nil"/>
              <w:bottom w:val="single" w:sz="4" w:space="0" w:color="auto"/>
              <w:right w:val="single" w:sz="8" w:space="0" w:color="auto"/>
            </w:tcBorders>
          </w:tcPr>
          <w:p w14:paraId="192BE220"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38EAC0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75.1</w:t>
            </w:r>
          </w:p>
        </w:tc>
        <w:tc>
          <w:tcPr>
            <w:tcW w:w="1701" w:type="dxa"/>
            <w:tcBorders>
              <w:top w:val="single" w:sz="4" w:space="0" w:color="auto"/>
              <w:left w:val="nil"/>
              <w:bottom w:val="single" w:sz="4" w:space="0" w:color="auto"/>
              <w:right w:val="single" w:sz="8" w:space="0" w:color="auto"/>
            </w:tcBorders>
          </w:tcPr>
          <w:p w14:paraId="536B8B6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5FCF9AA0"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380216E9"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48D9B48"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578AE96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122.9</w:t>
            </w:r>
          </w:p>
        </w:tc>
        <w:tc>
          <w:tcPr>
            <w:tcW w:w="1276" w:type="dxa"/>
            <w:tcBorders>
              <w:top w:val="single" w:sz="4" w:space="0" w:color="auto"/>
              <w:left w:val="nil"/>
              <w:bottom w:val="single" w:sz="4" w:space="0" w:color="auto"/>
              <w:right w:val="single" w:sz="8" w:space="0" w:color="auto"/>
            </w:tcBorders>
          </w:tcPr>
          <w:p w14:paraId="072902D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4B5FA81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2FC018A1"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77D9AA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138.1</w:t>
            </w:r>
          </w:p>
        </w:tc>
        <w:tc>
          <w:tcPr>
            <w:tcW w:w="1701" w:type="dxa"/>
            <w:tcBorders>
              <w:top w:val="single" w:sz="4" w:space="0" w:color="auto"/>
              <w:left w:val="nil"/>
              <w:bottom w:val="single" w:sz="4" w:space="0" w:color="auto"/>
              <w:right w:val="single" w:sz="8" w:space="0" w:color="auto"/>
            </w:tcBorders>
          </w:tcPr>
          <w:p w14:paraId="28A2BB0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05EEDF88"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045DAF3D"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335AC74"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7D25C6B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122.9</w:t>
            </w:r>
          </w:p>
        </w:tc>
        <w:tc>
          <w:tcPr>
            <w:tcW w:w="1276" w:type="dxa"/>
            <w:tcBorders>
              <w:top w:val="single" w:sz="4" w:space="0" w:color="auto"/>
              <w:left w:val="nil"/>
              <w:bottom w:val="single" w:sz="4" w:space="0" w:color="auto"/>
              <w:right w:val="single" w:sz="8" w:space="0" w:color="auto"/>
            </w:tcBorders>
          </w:tcPr>
          <w:p w14:paraId="2D46306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78BACC7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w:t>
            </w:r>
          </w:p>
        </w:tc>
        <w:tc>
          <w:tcPr>
            <w:tcW w:w="1276" w:type="dxa"/>
            <w:tcBorders>
              <w:top w:val="single" w:sz="4" w:space="0" w:color="auto"/>
              <w:left w:val="nil"/>
              <w:bottom w:val="single" w:sz="4" w:space="0" w:color="auto"/>
              <w:right w:val="single" w:sz="8" w:space="0" w:color="auto"/>
            </w:tcBorders>
          </w:tcPr>
          <w:p w14:paraId="31438352"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611A55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243.2</w:t>
            </w:r>
          </w:p>
        </w:tc>
        <w:tc>
          <w:tcPr>
            <w:tcW w:w="1701" w:type="dxa"/>
            <w:tcBorders>
              <w:top w:val="single" w:sz="4" w:space="0" w:color="auto"/>
              <w:left w:val="nil"/>
              <w:bottom w:val="single" w:sz="4" w:space="0" w:color="auto"/>
              <w:right w:val="single" w:sz="8" w:space="0" w:color="auto"/>
            </w:tcBorders>
          </w:tcPr>
          <w:p w14:paraId="6E0128E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3D8A7956"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02A166DE"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9186638"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5816288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123.3</w:t>
            </w:r>
          </w:p>
        </w:tc>
        <w:tc>
          <w:tcPr>
            <w:tcW w:w="1276" w:type="dxa"/>
            <w:tcBorders>
              <w:top w:val="single" w:sz="4" w:space="0" w:color="auto"/>
              <w:left w:val="nil"/>
              <w:bottom w:val="single" w:sz="4" w:space="0" w:color="auto"/>
              <w:right w:val="single" w:sz="8" w:space="0" w:color="auto"/>
            </w:tcBorders>
          </w:tcPr>
          <w:p w14:paraId="651D364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2CB92CD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56F95000"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57EF66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46.5</w:t>
            </w:r>
          </w:p>
        </w:tc>
        <w:tc>
          <w:tcPr>
            <w:tcW w:w="1701" w:type="dxa"/>
            <w:tcBorders>
              <w:top w:val="single" w:sz="4" w:space="0" w:color="auto"/>
              <w:left w:val="nil"/>
              <w:bottom w:val="single" w:sz="4" w:space="0" w:color="auto"/>
              <w:right w:val="single" w:sz="8" w:space="0" w:color="auto"/>
            </w:tcBorders>
          </w:tcPr>
          <w:p w14:paraId="62C0990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11BC5F51"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2C8B3071"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4F40E38"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21D23D5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125.4</w:t>
            </w:r>
          </w:p>
        </w:tc>
        <w:tc>
          <w:tcPr>
            <w:tcW w:w="1276" w:type="dxa"/>
            <w:tcBorders>
              <w:top w:val="single" w:sz="4" w:space="0" w:color="auto"/>
              <w:left w:val="nil"/>
              <w:bottom w:val="single" w:sz="4" w:space="0" w:color="auto"/>
              <w:right w:val="single" w:sz="8" w:space="0" w:color="auto"/>
            </w:tcBorders>
          </w:tcPr>
          <w:p w14:paraId="1987BF3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07BE4C7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2A8795DB"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E8CCBF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60.1</w:t>
            </w:r>
          </w:p>
        </w:tc>
        <w:tc>
          <w:tcPr>
            <w:tcW w:w="1701" w:type="dxa"/>
            <w:tcBorders>
              <w:top w:val="single" w:sz="4" w:space="0" w:color="auto"/>
              <w:left w:val="nil"/>
              <w:bottom w:val="single" w:sz="4" w:space="0" w:color="auto"/>
              <w:right w:val="single" w:sz="8" w:space="0" w:color="auto"/>
            </w:tcBorders>
          </w:tcPr>
          <w:p w14:paraId="6A7A677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74DF108F"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66FA2B07"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2CE2781"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69CE728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125.7</w:t>
            </w:r>
          </w:p>
        </w:tc>
        <w:tc>
          <w:tcPr>
            <w:tcW w:w="1276" w:type="dxa"/>
            <w:tcBorders>
              <w:top w:val="single" w:sz="4" w:space="0" w:color="auto"/>
              <w:left w:val="nil"/>
              <w:bottom w:val="single" w:sz="4" w:space="0" w:color="auto"/>
              <w:right w:val="single" w:sz="8" w:space="0" w:color="auto"/>
            </w:tcBorders>
          </w:tcPr>
          <w:p w14:paraId="300B956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476F88C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7.9</w:t>
            </w:r>
          </w:p>
        </w:tc>
        <w:tc>
          <w:tcPr>
            <w:tcW w:w="1276" w:type="dxa"/>
            <w:tcBorders>
              <w:top w:val="single" w:sz="4" w:space="0" w:color="auto"/>
              <w:left w:val="nil"/>
              <w:bottom w:val="single" w:sz="4" w:space="0" w:color="auto"/>
              <w:right w:val="single" w:sz="8" w:space="0" w:color="auto"/>
            </w:tcBorders>
          </w:tcPr>
          <w:p w14:paraId="1CDE2304"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0F20E3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46</w:t>
            </w:r>
          </w:p>
        </w:tc>
        <w:tc>
          <w:tcPr>
            <w:tcW w:w="1701" w:type="dxa"/>
            <w:tcBorders>
              <w:top w:val="single" w:sz="4" w:space="0" w:color="auto"/>
              <w:left w:val="nil"/>
              <w:bottom w:val="single" w:sz="4" w:space="0" w:color="auto"/>
              <w:right w:val="single" w:sz="8" w:space="0" w:color="auto"/>
            </w:tcBorders>
          </w:tcPr>
          <w:p w14:paraId="3117616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690103C2"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52E7B770"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651878F"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20CA2E8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126.6</w:t>
            </w:r>
          </w:p>
        </w:tc>
        <w:tc>
          <w:tcPr>
            <w:tcW w:w="1276" w:type="dxa"/>
            <w:tcBorders>
              <w:top w:val="single" w:sz="4" w:space="0" w:color="auto"/>
              <w:left w:val="nil"/>
              <w:bottom w:val="single" w:sz="4" w:space="0" w:color="auto"/>
              <w:right w:val="single" w:sz="8" w:space="0" w:color="auto"/>
            </w:tcBorders>
          </w:tcPr>
          <w:p w14:paraId="07679FA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2D647C6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7.9</w:t>
            </w:r>
          </w:p>
        </w:tc>
        <w:tc>
          <w:tcPr>
            <w:tcW w:w="1276" w:type="dxa"/>
            <w:tcBorders>
              <w:top w:val="single" w:sz="4" w:space="0" w:color="auto"/>
              <w:left w:val="nil"/>
              <w:bottom w:val="single" w:sz="4" w:space="0" w:color="auto"/>
              <w:right w:val="single" w:sz="8" w:space="0" w:color="auto"/>
            </w:tcBorders>
          </w:tcPr>
          <w:p w14:paraId="03050769"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2F9FD0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74.1</w:t>
            </w:r>
          </w:p>
        </w:tc>
        <w:tc>
          <w:tcPr>
            <w:tcW w:w="1701" w:type="dxa"/>
            <w:tcBorders>
              <w:top w:val="single" w:sz="4" w:space="0" w:color="auto"/>
              <w:left w:val="nil"/>
              <w:bottom w:val="single" w:sz="4" w:space="0" w:color="auto"/>
              <w:right w:val="single" w:sz="8" w:space="0" w:color="auto"/>
            </w:tcBorders>
          </w:tcPr>
          <w:p w14:paraId="7B6C734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0A900A4C"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42FD9BDA"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E75158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0CC7038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127.1</w:t>
            </w:r>
          </w:p>
        </w:tc>
        <w:tc>
          <w:tcPr>
            <w:tcW w:w="1276" w:type="dxa"/>
            <w:tcBorders>
              <w:top w:val="single" w:sz="4" w:space="0" w:color="auto"/>
              <w:left w:val="nil"/>
              <w:bottom w:val="single" w:sz="4" w:space="0" w:color="auto"/>
              <w:right w:val="single" w:sz="8" w:space="0" w:color="auto"/>
            </w:tcBorders>
          </w:tcPr>
          <w:p w14:paraId="49E0249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36E7C18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w:t>
            </w:r>
          </w:p>
        </w:tc>
        <w:tc>
          <w:tcPr>
            <w:tcW w:w="1276" w:type="dxa"/>
            <w:tcBorders>
              <w:top w:val="single" w:sz="4" w:space="0" w:color="auto"/>
              <w:left w:val="nil"/>
              <w:bottom w:val="single" w:sz="4" w:space="0" w:color="auto"/>
              <w:right w:val="single" w:sz="8" w:space="0" w:color="auto"/>
            </w:tcBorders>
          </w:tcPr>
          <w:p w14:paraId="73F8B66D"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77B77F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91.1</w:t>
            </w:r>
          </w:p>
        </w:tc>
        <w:tc>
          <w:tcPr>
            <w:tcW w:w="1701" w:type="dxa"/>
            <w:tcBorders>
              <w:top w:val="single" w:sz="4" w:space="0" w:color="auto"/>
              <w:left w:val="nil"/>
              <w:bottom w:val="single" w:sz="4" w:space="0" w:color="auto"/>
              <w:right w:val="single" w:sz="8" w:space="0" w:color="auto"/>
            </w:tcBorders>
          </w:tcPr>
          <w:p w14:paraId="46B749F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009DDB95"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0FBE28E0"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650C0EF"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33063B6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129.9</w:t>
            </w:r>
          </w:p>
        </w:tc>
        <w:tc>
          <w:tcPr>
            <w:tcW w:w="1276" w:type="dxa"/>
            <w:tcBorders>
              <w:top w:val="single" w:sz="4" w:space="0" w:color="auto"/>
              <w:left w:val="nil"/>
              <w:bottom w:val="single" w:sz="4" w:space="0" w:color="auto"/>
              <w:right w:val="single" w:sz="8" w:space="0" w:color="auto"/>
            </w:tcBorders>
          </w:tcPr>
          <w:p w14:paraId="1120FF0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39E4CD5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19A670FA"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148EFA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w:t>
            </w:r>
          </w:p>
        </w:tc>
        <w:tc>
          <w:tcPr>
            <w:tcW w:w="1701" w:type="dxa"/>
            <w:tcBorders>
              <w:top w:val="single" w:sz="4" w:space="0" w:color="auto"/>
              <w:left w:val="nil"/>
              <w:bottom w:val="single" w:sz="4" w:space="0" w:color="auto"/>
              <w:right w:val="single" w:sz="8" w:space="0" w:color="auto"/>
            </w:tcBorders>
          </w:tcPr>
          <w:p w14:paraId="061EA26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6049F162"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3C7EC4C3"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D32DEE9"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739E59B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131.1</w:t>
            </w:r>
          </w:p>
        </w:tc>
        <w:tc>
          <w:tcPr>
            <w:tcW w:w="1276" w:type="dxa"/>
            <w:tcBorders>
              <w:top w:val="single" w:sz="4" w:space="0" w:color="auto"/>
              <w:left w:val="nil"/>
              <w:bottom w:val="single" w:sz="4" w:space="0" w:color="auto"/>
              <w:right w:val="single" w:sz="8" w:space="0" w:color="auto"/>
            </w:tcBorders>
          </w:tcPr>
          <w:p w14:paraId="1CE405B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72BB0CD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0CE9C259"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ED1833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w:t>
            </w:r>
          </w:p>
        </w:tc>
        <w:tc>
          <w:tcPr>
            <w:tcW w:w="1701" w:type="dxa"/>
            <w:tcBorders>
              <w:top w:val="single" w:sz="4" w:space="0" w:color="auto"/>
              <w:left w:val="nil"/>
              <w:bottom w:val="single" w:sz="4" w:space="0" w:color="auto"/>
              <w:right w:val="single" w:sz="8" w:space="0" w:color="auto"/>
            </w:tcBorders>
          </w:tcPr>
          <w:p w14:paraId="46A36EE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06E28E6E"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4796BAD3"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64F4C85"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0B3788C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132.8</w:t>
            </w:r>
          </w:p>
        </w:tc>
        <w:tc>
          <w:tcPr>
            <w:tcW w:w="1276" w:type="dxa"/>
            <w:tcBorders>
              <w:top w:val="single" w:sz="4" w:space="0" w:color="auto"/>
              <w:left w:val="nil"/>
              <w:bottom w:val="single" w:sz="4" w:space="0" w:color="auto"/>
              <w:right w:val="single" w:sz="8" w:space="0" w:color="auto"/>
            </w:tcBorders>
          </w:tcPr>
          <w:p w14:paraId="6C87C4F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2F9BFCD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7.7</w:t>
            </w:r>
          </w:p>
        </w:tc>
        <w:tc>
          <w:tcPr>
            <w:tcW w:w="1276" w:type="dxa"/>
            <w:tcBorders>
              <w:top w:val="single" w:sz="4" w:space="0" w:color="auto"/>
              <w:left w:val="nil"/>
              <w:bottom w:val="single" w:sz="4" w:space="0" w:color="auto"/>
              <w:right w:val="single" w:sz="8" w:space="0" w:color="auto"/>
            </w:tcBorders>
          </w:tcPr>
          <w:p w14:paraId="0E3EA3B0"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41A4E8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87;1</w:t>
            </w:r>
          </w:p>
        </w:tc>
        <w:tc>
          <w:tcPr>
            <w:tcW w:w="1701" w:type="dxa"/>
            <w:tcBorders>
              <w:top w:val="single" w:sz="4" w:space="0" w:color="auto"/>
              <w:left w:val="nil"/>
              <w:bottom w:val="single" w:sz="4" w:space="0" w:color="auto"/>
              <w:right w:val="single" w:sz="8" w:space="0" w:color="auto"/>
            </w:tcBorders>
          </w:tcPr>
          <w:p w14:paraId="5043AF1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4F9FFC16"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5A9F4AE7"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C89FA8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545D10F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137.2</w:t>
            </w:r>
          </w:p>
        </w:tc>
        <w:tc>
          <w:tcPr>
            <w:tcW w:w="1276" w:type="dxa"/>
            <w:tcBorders>
              <w:top w:val="single" w:sz="4" w:space="0" w:color="auto"/>
              <w:left w:val="nil"/>
              <w:bottom w:val="single" w:sz="4" w:space="0" w:color="auto"/>
              <w:right w:val="single" w:sz="8" w:space="0" w:color="auto"/>
            </w:tcBorders>
          </w:tcPr>
          <w:p w14:paraId="1161B52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6C7004B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w:t>
            </w:r>
          </w:p>
        </w:tc>
        <w:tc>
          <w:tcPr>
            <w:tcW w:w="1276" w:type="dxa"/>
            <w:tcBorders>
              <w:top w:val="single" w:sz="4" w:space="0" w:color="auto"/>
              <w:left w:val="nil"/>
              <w:bottom w:val="single" w:sz="4" w:space="0" w:color="auto"/>
              <w:right w:val="single" w:sz="8" w:space="0" w:color="auto"/>
            </w:tcBorders>
          </w:tcPr>
          <w:p w14:paraId="2072C9DD"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EB6D8D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87.1</w:t>
            </w:r>
          </w:p>
        </w:tc>
        <w:tc>
          <w:tcPr>
            <w:tcW w:w="1701" w:type="dxa"/>
            <w:tcBorders>
              <w:top w:val="single" w:sz="4" w:space="0" w:color="auto"/>
              <w:left w:val="nil"/>
              <w:bottom w:val="single" w:sz="4" w:space="0" w:color="auto"/>
              <w:right w:val="single" w:sz="8" w:space="0" w:color="auto"/>
            </w:tcBorders>
          </w:tcPr>
          <w:p w14:paraId="77AA44E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5A21B811"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238B7566"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C095AE2"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7DF0573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143.0</w:t>
            </w:r>
          </w:p>
        </w:tc>
        <w:tc>
          <w:tcPr>
            <w:tcW w:w="1276" w:type="dxa"/>
            <w:tcBorders>
              <w:top w:val="single" w:sz="4" w:space="0" w:color="auto"/>
              <w:left w:val="nil"/>
              <w:bottom w:val="single" w:sz="4" w:space="0" w:color="auto"/>
              <w:right w:val="single" w:sz="8" w:space="0" w:color="auto"/>
            </w:tcBorders>
          </w:tcPr>
          <w:p w14:paraId="084E748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44DA3F6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03C0429F"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1C8713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45.5</w:t>
            </w:r>
          </w:p>
        </w:tc>
        <w:tc>
          <w:tcPr>
            <w:tcW w:w="1701" w:type="dxa"/>
            <w:tcBorders>
              <w:top w:val="single" w:sz="4" w:space="0" w:color="auto"/>
              <w:left w:val="nil"/>
              <w:bottom w:val="single" w:sz="4" w:space="0" w:color="auto"/>
              <w:right w:val="single" w:sz="8" w:space="0" w:color="auto"/>
            </w:tcBorders>
          </w:tcPr>
          <w:p w14:paraId="01ABAE8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32528A2C"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4EF659D2"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8239DD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496A845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148.7</w:t>
            </w:r>
          </w:p>
        </w:tc>
        <w:tc>
          <w:tcPr>
            <w:tcW w:w="1276" w:type="dxa"/>
            <w:tcBorders>
              <w:top w:val="single" w:sz="4" w:space="0" w:color="auto"/>
              <w:left w:val="nil"/>
              <w:bottom w:val="single" w:sz="4" w:space="0" w:color="auto"/>
              <w:right w:val="single" w:sz="8" w:space="0" w:color="auto"/>
            </w:tcBorders>
          </w:tcPr>
          <w:p w14:paraId="1663CB8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0D83F6A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1A9A1AC5"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501B09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90.1</w:t>
            </w:r>
          </w:p>
        </w:tc>
        <w:tc>
          <w:tcPr>
            <w:tcW w:w="1701" w:type="dxa"/>
            <w:tcBorders>
              <w:top w:val="single" w:sz="4" w:space="0" w:color="auto"/>
              <w:left w:val="nil"/>
              <w:bottom w:val="single" w:sz="4" w:space="0" w:color="auto"/>
              <w:right w:val="single" w:sz="8" w:space="0" w:color="auto"/>
            </w:tcBorders>
          </w:tcPr>
          <w:p w14:paraId="4CE04D1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53FA936B"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0F0F1CC2"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BE0A0F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538CB94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150.3</w:t>
            </w:r>
          </w:p>
        </w:tc>
        <w:tc>
          <w:tcPr>
            <w:tcW w:w="1276" w:type="dxa"/>
            <w:tcBorders>
              <w:top w:val="single" w:sz="4" w:space="0" w:color="auto"/>
              <w:left w:val="nil"/>
              <w:bottom w:val="single" w:sz="4" w:space="0" w:color="auto"/>
              <w:right w:val="single" w:sz="8" w:space="0" w:color="auto"/>
            </w:tcBorders>
          </w:tcPr>
          <w:p w14:paraId="58AC37C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61E3969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73160B61"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FBF7C3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91.1</w:t>
            </w:r>
          </w:p>
        </w:tc>
        <w:tc>
          <w:tcPr>
            <w:tcW w:w="1701" w:type="dxa"/>
            <w:tcBorders>
              <w:top w:val="single" w:sz="4" w:space="0" w:color="auto"/>
              <w:left w:val="nil"/>
              <w:bottom w:val="single" w:sz="4" w:space="0" w:color="auto"/>
              <w:right w:val="single" w:sz="8" w:space="0" w:color="auto"/>
            </w:tcBorders>
          </w:tcPr>
          <w:p w14:paraId="600D9DC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056BAE6C"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2DD89737"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1CF08CE"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0E91A7D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151.0</w:t>
            </w:r>
          </w:p>
        </w:tc>
        <w:tc>
          <w:tcPr>
            <w:tcW w:w="1276" w:type="dxa"/>
            <w:tcBorders>
              <w:top w:val="single" w:sz="4" w:space="0" w:color="auto"/>
              <w:left w:val="nil"/>
              <w:bottom w:val="single" w:sz="4" w:space="0" w:color="auto"/>
              <w:right w:val="single" w:sz="8" w:space="0" w:color="auto"/>
            </w:tcBorders>
          </w:tcPr>
          <w:p w14:paraId="04E1D21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6646233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2BC19A72"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D4EDA5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46</w:t>
            </w:r>
          </w:p>
        </w:tc>
        <w:tc>
          <w:tcPr>
            <w:tcW w:w="1701" w:type="dxa"/>
            <w:tcBorders>
              <w:top w:val="single" w:sz="4" w:space="0" w:color="auto"/>
              <w:left w:val="nil"/>
              <w:bottom w:val="single" w:sz="4" w:space="0" w:color="auto"/>
              <w:right w:val="single" w:sz="8" w:space="0" w:color="auto"/>
            </w:tcBorders>
          </w:tcPr>
          <w:p w14:paraId="151BD83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684157F7"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5CE46630"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92DF5D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233C2EC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152.0</w:t>
            </w:r>
          </w:p>
        </w:tc>
        <w:tc>
          <w:tcPr>
            <w:tcW w:w="1276" w:type="dxa"/>
            <w:tcBorders>
              <w:top w:val="single" w:sz="4" w:space="0" w:color="auto"/>
              <w:left w:val="nil"/>
              <w:bottom w:val="single" w:sz="4" w:space="0" w:color="auto"/>
              <w:right w:val="single" w:sz="8" w:space="0" w:color="auto"/>
            </w:tcBorders>
          </w:tcPr>
          <w:p w14:paraId="56DBC96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48C991D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77EBB0E6"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7EE6DA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53</w:t>
            </w:r>
          </w:p>
        </w:tc>
        <w:tc>
          <w:tcPr>
            <w:tcW w:w="1701" w:type="dxa"/>
            <w:tcBorders>
              <w:top w:val="single" w:sz="4" w:space="0" w:color="auto"/>
              <w:left w:val="nil"/>
              <w:bottom w:val="single" w:sz="4" w:space="0" w:color="auto"/>
              <w:right w:val="single" w:sz="8" w:space="0" w:color="auto"/>
            </w:tcBorders>
          </w:tcPr>
          <w:p w14:paraId="00F2651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6E1CAB4C"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0091B94D"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131344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17AE5BE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155.7</w:t>
            </w:r>
          </w:p>
        </w:tc>
        <w:tc>
          <w:tcPr>
            <w:tcW w:w="1276" w:type="dxa"/>
            <w:tcBorders>
              <w:top w:val="single" w:sz="4" w:space="0" w:color="auto"/>
              <w:left w:val="nil"/>
              <w:bottom w:val="single" w:sz="4" w:space="0" w:color="auto"/>
              <w:right w:val="single" w:sz="8" w:space="0" w:color="auto"/>
            </w:tcBorders>
          </w:tcPr>
          <w:p w14:paraId="1708B94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44B7FAF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61245F80"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B70960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76.1</w:t>
            </w:r>
          </w:p>
        </w:tc>
        <w:tc>
          <w:tcPr>
            <w:tcW w:w="1701" w:type="dxa"/>
            <w:tcBorders>
              <w:top w:val="single" w:sz="4" w:space="0" w:color="auto"/>
              <w:left w:val="nil"/>
              <w:bottom w:val="single" w:sz="4" w:space="0" w:color="auto"/>
              <w:right w:val="single" w:sz="8" w:space="0" w:color="auto"/>
            </w:tcBorders>
          </w:tcPr>
          <w:p w14:paraId="393967C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6A4F558C"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351FB294"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17E5F7D"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1822382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158.1</w:t>
            </w:r>
          </w:p>
        </w:tc>
        <w:tc>
          <w:tcPr>
            <w:tcW w:w="1276" w:type="dxa"/>
            <w:tcBorders>
              <w:top w:val="single" w:sz="4" w:space="0" w:color="auto"/>
              <w:left w:val="nil"/>
              <w:bottom w:val="single" w:sz="4" w:space="0" w:color="auto"/>
              <w:right w:val="single" w:sz="8" w:space="0" w:color="auto"/>
            </w:tcBorders>
          </w:tcPr>
          <w:p w14:paraId="73D1B57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4F2A988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3029486F"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ACC8D5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107.1</w:t>
            </w:r>
          </w:p>
        </w:tc>
        <w:tc>
          <w:tcPr>
            <w:tcW w:w="1701" w:type="dxa"/>
            <w:tcBorders>
              <w:top w:val="single" w:sz="4" w:space="0" w:color="auto"/>
              <w:left w:val="nil"/>
              <w:bottom w:val="single" w:sz="4" w:space="0" w:color="auto"/>
              <w:right w:val="single" w:sz="8" w:space="0" w:color="auto"/>
            </w:tcBorders>
          </w:tcPr>
          <w:p w14:paraId="5455F86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01264B34"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16719C64"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C12A372"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12151CE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160.3</w:t>
            </w:r>
          </w:p>
        </w:tc>
        <w:tc>
          <w:tcPr>
            <w:tcW w:w="1276" w:type="dxa"/>
            <w:tcBorders>
              <w:top w:val="single" w:sz="4" w:space="0" w:color="auto"/>
              <w:left w:val="nil"/>
              <w:bottom w:val="single" w:sz="4" w:space="0" w:color="auto"/>
              <w:right w:val="single" w:sz="8" w:space="0" w:color="auto"/>
            </w:tcBorders>
          </w:tcPr>
          <w:p w14:paraId="4F037D6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53EE138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6F6FC1A9"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D65634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w:t>
            </w:r>
          </w:p>
        </w:tc>
        <w:tc>
          <w:tcPr>
            <w:tcW w:w="1701" w:type="dxa"/>
            <w:tcBorders>
              <w:top w:val="single" w:sz="4" w:space="0" w:color="auto"/>
              <w:left w:val="nil"/>
              <w:bottom w:val="single" w:sz="4" w:space="0" w:color="auto"/>
              <w:right w:val="single" w:sz="8" w:space="0" w:color="auto"/>
            </w:tcBorders>
          </w:tcPr>
          <w:p w14:paraId="259DC65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30CF2956"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30D5DD35"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F895B22"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7379E0A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166.7</w:t>
            </w:r>
          </w:p>
        </w:tc>
        <w:tc>
          <w:tcPr>
            <w:tcW w:w="1276" w:type="dxa"/>
            <w:tcBorders>
              <w:top w:val="single" w:sz="4" w:space="0" w:color="auto"/>
              <w:left w:val="nil"/>
              <w:bottom w:val="single" w:sz="4" w:space="0" w:color="auto"/>
              <w:right w:val="single" w:sz="8" w:space="0" w:color="auto"/>
            </w:tcBorders>
          </w:tcPr>
          <w:p w14:paraId="25ACFE9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78B024C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1880918F"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75CE0B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103.1</w:t>
            </w:r>
          </w:p>
        </w:tc>
        <w:tc>
          <w:tcPr>
            <w:tcW w:w="1701" w:type="dxa"/>
            <w:tcBorders>
              <w:top w:val="single" w:sz="4" w:space="0" w:color="auto"/>
              <w:left w:val="nil"/>
              <w:bottom w:val="single" w:sz="4" w:space="0" w:color="auto"/>
              <w:right w:val="single" w:sz="8" w:space="0" w:color="auto"/>
            </w:tcBorders>
          </w:tcPr>
          <w:p w14:paraId="61255DB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718906C6"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4937C6C5"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793F6B9"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226CE11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167.3</w:t>
            </w:r>
          </w:p>
        </w:tc>
        <w:tc>
          <w:tcPr>
            <w:tcW w:w="1276" w:type="dxa"/>
            <w:tcBorders>
              <w:top w:val="single" w:sz="4" w:space="0" w:color="auto"/>
              <w:left w:val="nil"/>
              <w:bottom w:val="single" w:sz="4" w:space="0" w:color="auto"/>
              <w:right w:val="single" w:sz="8" w:space="0" w:color="auto"/>
            </w:tcBorders>
          </w:tcPr>
          <w:p w14:paraId="4603E69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1EB1909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1D0495A6"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3EDBBE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103.1</w:t>
            </w:r>
          </w:p>
        </w:tc>
        <w:tc>
          <w:tcPr>
            <w:tcW w:w="1701" w:type="dxa"/>
            <w:tcBorders>
              <w:top w:val="single" w:sz="4" w:space="0" w:color="auto"/>
              <w:left w:val="nil"/>
              <w:bottom w:val="single" w:sz="4" w:space="0" w:color="auto"/>
              <w:right w:val="single" w:sz="8" w:space="0" w:color="auto"/>
            </w:tcBorders>
          </w:tcPr>
          <w:p w14:paraId="624E420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6F487184"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2D563409"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BD14A1B"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2714E62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167.4</w:t>
            </w:r>
          </w:p>
        </w:tc>
        <w:tc>
          <w:tcPr>
            <w:tcW w:w="1276" w:type="dxa"/>
            <w:tcBorders>
              <w:top w:val="single" w:sz="4" w:space="0" w:color="auto"/>
              <w:left w:val="nil"/>
              <w:bottom w:val="single" w:sz="4" w:space="0" w:color="auto"/>
              <w:right w:val="single" w:sz="8" w:space="0" w:color="auto"/>
            </w:tcBorders>
          </w:tcPr>
          <w:p w14:paraId="67CDE87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615CF57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7.9</w:t>
            </w:r>
          </w:p>
        </w:tc>
        <w:tc>
          <w:tcPr>
            <w:tcW w:w="1276" w:type="dxa"/>
            <w:tcBorders>
              <w:top w:val="single" w:sz="4" w:space="0" w:color="auto"/>
              <w:left w:val="nil"/>
              <w:bottom w:val="single" w:sz="4" w:space="0" w:color="auto"/>
              <w:right w:val="single" w:sz="8" w:space="0" w:color="auto"/>
            </w:tcBorders>
          </w:tcPr>
          <w:p w14:paraId="46412826"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CAE1EC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76.1</w:t>
            </w:r>
          </w:p>
        </w:tc>
        <w:tc>
          <w:tcPr>
            <w:tcW w:w="1701" w:type="dxa"/>
            <w:tcBorders>
              <w:top w:val="single" w:sz="4" w:space="0" w:color="auto"/>
              <w:left w:val="nil"/>
              <w:bottom w:val="single" w:sz="4" w:space="0" w:color="auto"/>
              <w:right w:val="single" w:sz="8" w:space="0" w:color="auto"/>
            </w:tcBorders>
          </w:tcPr>
          <w:p w14:paraId="4EE0BF5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1F196C23"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7A141F0D"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F171562"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lastRenderedPageBreak/>
              <w:t>Pimephales promelas</w:t>
            </w:r>
          </w:p>
        </w:tc>
        <w:tc>
          <w:tcPr>
            <w:tcW w:w="1134" w:type="dxa"/>
            <w:tcBorders>
              <w:top w:val="single" w:sz="4" w:space="0" w:color="auto"/>
              <w:left w:val="nil"/>
              <w:bottom w:val="single" w:sz="4" w:space="0" w:color="auto"/>
              <w:right w:val="single" w:sz="8" w:space="0" w:color="auto"/>
            </w:tcBorders>
          </w:tcPr>
          <w:p w14:paraId="139C41D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167.4</w:t>
            </w:r>
          </w:p>
        </w:tc>
        <w:tc>
          <w:tcPr>
            <w:tcW w:w="1276" w:type="dxa"/>
            <w:tcBorders>
              <w:top w:val="single" w:sz="4" w:space="0" w:color="auto"/>
              <w:left w:val="nil"/>
              <w:bottom w:val="single" w:sz="4" w:space="0" w:color="auto"/>
              <w:right w:val="single" w:sz="8" w:space="0" w:color="auto"/>
            </w:tcBorders>
          </w:tcPr>
          <w:p w14:paraId="6C95DA5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4BE75A7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05871726"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A8FC6F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w:t>
            </w:r>
          </w:p>
        </w:tc>
        <w:tc>
          <w:tcPr>
            <w:tcW w:w="1701" w:type="dxa"/>
            <w:tcBorders>
              <w:top w:val="single" w:sz="4" w:space="0" w:color="auto"/>
              <w:left w:val="nil"/>
              <w:bottom w:val="single" w:sz="4" w:space="0" w:color="auto"/>
              <w:right w:val="single" w:sz="8" w:space="0" w:color="auto"/>
            </w:tcBorders>
          </w:tcPr>
          <w:p w14:paraId="68D0305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15DA7DAD"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6698D96D"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0F82151"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7A231A5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168.4</w:t>
            </w:r>
          </w:p>
        </w:tc>
        <w:tc>
          <w:tcPr>
            <w:tcW w:w="1276" w:type="dxa"/>
            <w:tcBorders>
              <w:top w:val="single" w:sz="4" w:space="0" w:color="auto"/>
              <w:left w:val="nil"/>
              <w:bottom w:val="single" w:sz="4" w:space="0" w:color="auto"/>
              <w:right w:val="single" w:sz="8" w:space="0" w:color="auto"/>
            </w:tcBorders>
          </w:tcPr>
          <w:p w14:paraId="2FB61D1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7887296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744C9F79"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A8EC86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44.5</w:t>
            </w:r>
          </w:p>
        </w:tc>
        <w:tc>
          <w:tcPr>
            <w:tcW w:w="1701" w:type="dxa"/>
            <w:tcBorders>
              <w:top w:val="single" w:sz="4" w:space="0" w:color="auto"/>
              <w:left w:val="nil"/>
              <w:bottom w:val="single" w:sz="4" w:space="0" w:color="auto"/>
              <w:right w:val="single" w:sz="8" w:space="0" w:color="auto"/>
            </w:tcBorders>
          </w:tcPr>
          <w:p w14:paraId="12AA594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2C30C8EC"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13AC4879"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0DA26AF"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1C0AB34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172.4</w:t>
            </w:r>
          </w:p>
        </w:tc>
        <w:tc>
          <w:tcPr>
            <w:tcW w:w="1276" w:type="dxa"/>
            <w:tcBorders>
              <w:top w:val="single" w:sz="4" w:space="0" w:color="auto"/>
              <w:left w:val="nil"/>
              <w:bottom w:val="single" w:sz="4" w:space="0" w:color="auto"/>
              <w:right w:val="single" w:sz="8" w:space="0" w:color="auto"/>
            </w:tcBorders>
          </w:tcPr>
          <w:p w14:paraId="618BC0D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4971FE7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353B75C4"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521C0F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151.1</w:t>
            </w:r>
          </w:p>
        </w:tc>
        <w:tc>
          <w:tcPr>
            <w:tcW w:w="1701" w:type="dxa"/>
            <w:tcBorders>
              <w:top w:val="single" w:sz="4" w:space="0" w:color="auto"/>
              <w:left w:val="nil"/>
              <w:bottom w:val="single" w:sz="4" w:space="0" w:color="auto"/>
              <w:right w:val="single" w:sz="8" w:space="0" w:color="auto"/>
            </w:tcBorders>
          </w:tcPr>
          <w:p w14:paraId="3AF37DC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2A2CCC74"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45D0FBD3"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36504A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656F509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172.6</w:t>
            </w:r>
          </w:p>
        </w:tc>
        <w:tc>
          <w:tcPr>
            <w:tcW w:w="1276" w:type="dxa"/>
            <w:tcBorders>
              <w:top w:val="single" w:sz="4" w:space="0" w:color="auto"/>
              <w:left w:val="nil"/>
              <w:bottom w:val="single" w:sz="4" w:space="0" w:color="auto"/>
              <w:right w:val="single" w:sz="8" w:space="0" w:color="auto"/>
            </w:tcBorders>
          </w:tcPr>
          <w:p w14:paraId="7A73318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303FFA3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7.9</w:t>
            </w:r>
          </w:p>
        </w:tc>
        <w:tc>
          <w:tcPr>
            <w:tcW w:w="1276" w:type="dxa"/>
            <w:tcBorders>
              <w:top w:val="single" w:sz="4" w:space="0" w:color="auto"/>
              <w:left w:val="nil"/>
              <w:bottom w:val="single" w:sz="4" w:space="0" w:color="auto"/>
              <w:right w:val="single" w:sz="8" w:space="0" w:color="auto"/>
            </w:tcBorders>
          </w:tcPr>
          <w:p w14:paraId="216FA2BF"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2C32FC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43</w:t>
            </w:r>
          </w:p>
        </w:tc>
        <w:tc>
          <w:tcPr>
            <w:tcW w:w="1701" w:type="dxa"/>
            <w:tcBorders>
              <w:top w:val="single" w:sz="4" w:space="0" w:color="auto"/>
              <w:left w:val="nil"/>
              <w:bottom w:val="single" w:sz="4" w:space="0" w:color="auto"/>
              <w:right w:val="single" w:sz="8" w:space="0" w:color="auto"/>
            </w:tcBorders>
          </w:tcPr>
          <w:p w14:paraId="250D06E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7FCF1120"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54EA0776"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D59A996"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73CBDAD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172.8</w:t>
            </w:r>
          </w:p>
        </w:tc>
        <w:tc>
          <w:tcPr>
            <w:tcW w:w="1276" w:type="dxa"/>
            <w:tcBorders>
              <w:top w:val="single" w:sz="4" w:space="0" w:color="auto"/>
              <w:left w:val="nil"/>
              <w:bottom w:val="single" w:sz="4" w:space="0" w:color="auto"/>
              <w:right w:val="single" w:sz="8" w:space="0" w:color="auto"/>
            </w:tcBorders>
          </w:tcPr>
          <w:p w14:paraId="6E96A9E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2500768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7.9</w:t>
            </w:r>
          </w:p>
        </w:tc>
        <w:tc>
          <w:tcPr>
            <w:tcW w:w="1276" w:type="dxa"/>
            <w:tcBorders>
              <w:top w:val="single" w:sz="4" w:space="0" w:color="auto"/>
              <w:left w:val="nil"/>
              <w:bottom w:val="single" w:sz="4" w:space="0" w:color="auto"/>
              <w:right w:val="single" w:sz="8" w:space="0" w:color="auto"/>
            </w:tcBorders>
          </w:tcPr>
          <w:p w14:paraId="1DD100A0"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611C83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133.1</w:t>
            </w:r>
          </w:p>
        </w:tc>
        <w:tc>
          <w:tcPr>
            <w:tcW w:w="1701" w:type="dxa"/>
            <w:tcBorders>
              <w:top w:val="single" w:sz="4" w:space="0" w:color="auto"/>
              <w:left w:val="nil"/>
              <w:bottom w:val="single" w:sz="4" w:space="0" w:color="auto"/>
              <w:right w:val="single" w:sz="8" w:space="0" w:color="auto"/>
            </w:tcBorders>
          </w:tcPr>
          <w:p w14:paraId="233A30B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0A6B640D"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1D5527BA"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12D114F"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28FDDC9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175.4</w:t>
            </w:r>
          </w:p>
        </w:tc>
        <w:tc>
          <w:tcPr>
            <w:tcW w:w="1276" w:type="dxa"/>
            <w:tcBorders>
              <w:top w:val="single" w:sz="4" w:space="0" w:color="auto"/>
              <w:left w:val="nil"/>
              <w:bottom w:val="single" w:sz="4" w:space="0" w:color="auto"/>
              <w:right w:val="single" w:sz="8" w:space="0" w:color="auto"/>
            </w:tcBorders>
          </w:tcPr>
          <w:p w14:paraId="2E036A7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5418FFA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7.9</w:t>
            </w:r>
          </w:p>
        </w:tc>
        <w:tc>
          <w:tcPr>
            <w:tcW w:w="1276" w:type="dxa"/>
            <w:tcBorders>
              <w:top w:val="single" w:sz="4" w:space="0" w:color="auto"/>
              <w:left w:val="nil"/>
              <w:bottom w:val="single" w:sz="4" w:space="0" w:color="auto"/>
              <w:right w:val="single" w:sz="8" w:space="0" w:color="auto"/>
            </w:tcBorders>
          </w:tcPr>
          <w:p w14:paraId="5E144CA8"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BCDC29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52</w:t>
            </w:r>
          </w:p>
        </w:tc>
        <w:tc>
          <w:tcPr>
            <w:tcW w:w="1701" w:type="dxa"/>
            <w:tcBorders>
              <w:top w:val="single" w:sz="4" w:space="0" w:color="auto"/>
              <w:left w:val="nil"/>
              <w:bottom w:val="single" w:sz="4" w:space="0" w:color="auto"/>
              <w:right w:val="single" w:sz="8" w:space="0" w:color="auto"/>
            </w:tcBorders>
          </w:tcPr>
          <w:p w14:paraId="2FADFFF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414208B7"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30909F29"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6E1DCD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01E20EE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176.9</w:t>
            </w:r>
          </w:p>
        </w:tc>
        <w:tc>
          <w:tcPr>
            <w:tcW w:w="1276" w:type="dxa"/>
            <w:tcBorders>
              <w:top w:val="single" w:sz="4" w:space="0" w:color="auto"/>
              <w:left w:val="nil"/>
              <w:bottom w:val="single" w:sz="4" w:space="0" w:color="auto"/>
              <w:right w:val="single" w:sz="8" w:space="0" w:color="auto"/>
            </w:tcBorders>
          </w:tcPr>
          <w:p w14:paraId="5861A15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3478152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7DD12627"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BB198F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46</w:t>
            </w:r>
          </w:p>
        </w:tc>
        <w:tc>
          <w:tcPr>
            <w:tcW w:w="1701" w:type="dxa"/>
            <w:tcBorders>
              <w:top w:val="single" w:sz="4" w:space="0" w:color="auto"/>
              <w:left w:val="nil"/>
              <w:bottom w:val="single" w:sz="4" w:space="0" w:color="auto"/>
              <w:right w:val="single" w:sz="8" w:space="0" w:color="auto"/>
            </w:tcBorders>
          </w:tcPr>
          <w:p w14:paraId="4745D35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5CC94609"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1D4C9ABB"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736C435"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4B11F6B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181.0</w:t>
            </w:r>
          </w:p>
        </w:tc>
        <w:tc>
          <w:tcPr>
            <w:tcW w:w="1276" w:type="dxa"/>
            <w:tcBorders>
              <w:top w:val="single" w:sz="4" w:space="0" w:color="auto"/>
              <w:left w:val="nil"/>
              <w:bottom w:val="single" w:sz="4" w:space="0" w:color="auto"/>
              <w:right w:val="single" w:sz="8" w:space="0" w:color="auto"/>
            </w:tcBorders>
          </w:tcPr>
          <w:p w14:paraId="0B321BE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1C643AF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4C36E05C"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049FFF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w:t>
            </w:r>
          </w:p>
        </w:tc>
        <w:tc>
          <w:tcPr>
            <w:tcW w:w="1701" w:type="dxa"/>
            <w:tcBorders>
              <w:top w:val="single" w:sz="4" w:space="0" w:color="auto"/>
              <w:left w:val="nil"/>
              <w:bottom w:val="single" w:sz="4" w:space="0" w:color="auto"/>
              <w:right w:val="single" w:sz="8" w:space="0" w:color="auto"/>
            </w:tcBorders>
          </w:tcPr>
          <w:p w14:paraId="61ED78B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6E3C6070"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317A44BB"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ED8BD18"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7BDB0E4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182.4</w:t>
            </w:r>
          </w:p>
        </w:tc>
        <w:tc>
          <w:tcPr>
            <w:tcW w:w="1276" w:type="dxa"/>
            <w:tcBorders>
              <w:top w:val="single" w:sz="4" w:space="0" w:color="auto"/>
              <w:left w:val="nil"/>
              <w:bottom w:val="single" w:sz="4" w:space="0" w:color="auto"/>
              <w:right w:val="single" w:sz="8" w:space="0" w:color="auto"/>
            </w:tcBorders>
          </w:tcPr>
          <w:p w14:paraId="1DC0458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74378C9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8.4</w:t>
            </w:r>
          </w:p>
        </w:tc>
        <w:tc>
          <w:tcPr>
            <w:tcW w:w="1276" w:type="dxa"/>
            <w:tcBorders>
              <w:top w:val="single" w:sz="4" w:space="0" w:color="auto"/>
              <w:left w:val="nil"/>
              <w:bottom w:val="single" w:sz="4" w:space="0" w:color="auto"/>
              <w:right w:val="single" w:sz="8" w:space="0" w:color="auto"/>
            </w:tcBorders>
          </w:tcPr>
          <w:p w14:paraId="1218E961"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0BDD90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87.1</w:t>
            </w:r>
          </w:p>
        </w:tc>
        <w:tc>
          <w:tcPr>
            <w:tcW w:w="1701" w:type="dxa"/>
            <w:tcBorders>
              <w:top w:val="single" w:sz="4" w:space="0" w:color="auto"/>
              <w:left w:val="nil"/>
              <w:bottom w:val="single" w:sz="4" w:space="0" w:color="auto"/>
              <w:right w:val="single" w:sz="8" w:space="0" w:color="auto"/>
            </w:tcBorders>
          </w:tcPr>
          <w:p w14:paraId="6E3B8A2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7D2FE53D"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5F09CF57"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AAB7F3E"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603D480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183.0</w:t>
            </w:r>
          </w:p>
        </w:tc>
        <w:tc>
          <w:tcPr>
            <w:tcW w:w="1276" w:type="dxa"/>
            <w:tcBorders>
              <w:top w:val="single" w:sz="4" w:space="0" w:color="auto"/>
              <w:left w:val="nil"/>
              <w:bottom w:val="single" w:sz="4" w:space="0" w:color="auto"/>
              <w:right w:val="single" w:sz="8" w:space="0" w:color="auto"/>
            </w:tcBorders>
          </w:tcPr>
          <w:p w14:paraId="2A016B4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137DF6E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62761A3D"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7D98EF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44</w:t>
            </w:r>
          </w:p>
        </w:tc>
        <w:tc>
          <w:tcPr>
            <w:tcW w:w="1701" w:type="dxa"/>
            <w:tcBorders>
              <w:top w:val="single" w:sz="4" w:space="0" w:color="auto"/>
              <w:left w:val="nil"/>
              <w:bottom w:val="single" w:sz="4" w:space="0" w:color="auto"/>
              <w:right w:val="single" w:sz="8" w:space="0" w:color="auto"/>
            </w:tcBorders>
          </w:tcPr>
          <w:p w14:paraId="204DAC4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5ED651B7"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1DBCB769"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6643219"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1CE2955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183.0</w:t>
            </w:r>
          </w:p>
        </w:tc>
        <w:tc>
          <w:tcPr>
            <w:tcW w:w="1276" w:type="dxa"/>
            <w:tcBorders>
              <w:top w:val="single" w:sz="4" w:space="0" w:color="auto"/>
              <w:left w:val="nil"/>
              <w:bottom w:val="single" w:sz="4" w:space="0" w:color="auto"/>
              <w:right w:val="single" w:sz="8" w:space="0" w:color="auto"/>
            </w:tcBorders>
          </w:tcPr>
          <w:p w14:paraId="3B88F80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10A056A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7228EEED"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762E50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90.1</w:t>
            </w:r>
          </w:p>
        </w:tc>
        <w:tc>
          <w:tcPr>
            <w:tcW w:w="1701" w:type="dxa"/>
            <w:tcBorders>
              <w:top w:val="single" w:sz="4" w:space="0" w:color="auto"/>
              <w:left w:val="nil"/>
              <w:bottom w:val="single" w:sz="4" w:space="0" w:color="auto"/>
              <w:right w:val="single" w:sz="8" w:space="0" w:color="auto"/>
            </w:tcBorders>
          </w:tcPr>
          <w:p w14:paraId="17F8D27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3FAE5341"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6EB7DEC8"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BD505F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6652D83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183.0</w:t>
            </w:r>
          </w:p>
        </w:tc>
        <w:tc>
          <w:tcPr>
            <w:tcW w:w="1276" w:type="dxa"/>
            <w:tcBorders>
              <w:top w:val="single" w:sz="4" w:space="0" w:color="auto"/>
              <w:left w:val="nil"/>
              <w:bottom w:val="single" w:sz="4" w:space="0" w:color="auto"/>
              <w:right w:val="single" w:sz="8" w:space="0" w:color="auto"/>
            </w:tcBorders>
          </w:tcPr>
          <w:p w14:paraId="133E20E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5180429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w:t>
            </w:r>
          </w:p>
        </w:tc>
        <w:tc>
          <w:tcPr>
            <w:tcW w:w="1276" w:type="dxa"/>
            <w:tcBorders>
              <w:top w:val="single" w:sz="4" w:space="0" w:color="auto"/>
              <w:left w:val="nil"/>
              <w:bottom w:val="single" w:sz="4" w:space="0" w:color="auto"/>
              <w:right w:val="single" w:sz="8" w:space="0" w:color="auto"/>
            </w:tcBorders>
          </w:tcPr>
          <w:p w14:paraId="40874F15"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1F1A34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120.1</w:t>
            </w:r>
          </w:p>
        </w:tc>
        <w:tc>
          <w:tcPr>
            <w:tcW w:w="1701" w:type="dxa"/>
            <w:tcBorders>
              <w:top w:val="single" w:sz="4" w:space="0" w:color="auto"/>
              <w:left w:val="nil"/>
              <w:bottom w:val="single" w:sz="4" w:space="0" w:color="auto"/>
              <w:right w:val="single" w:sz="8" w:space="0" w:color="auto"/>
            </w:tcBorders>
          </w:tcPr>
          <w:p w14:paraId="4E10F18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7B0E4D49"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692E0D88"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EEA82D6"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25AA200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189.1</w:t>
            </w:r>
          </w:p>
        </w:tc>
        <w:tc>
          <w:tcPr>
            <w:tcW w:w="1276" w:type="dxa"/>
            <w:tcBorders>
              <w:top w:val="single" w:sz="4" w:space="0" w:color="auto"/>
              <w:left w:val="nil"/>
              <w:bottom w:val="single" w:sz="4" w:space="0" w:color="auto"/>
              <w:right w:val="single" w:sz="8" w:space="0" w:color="auto"/>
            </w:tcBorders>
          </w:tcPr>
          <w:p w14:paraId="0A9BE06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18FB73F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w:t>
            </w:r>
          </w:p>
        </w:tc>
        <w:tc>
          <w:tcPr>
            <w:tcW w:w="1276" w:type="dxa"/>
            <w:tcBorders>
              <w:top w:val="single" w:sz="4" w:space="0" w:color="auto"/>
              <w:left w:val="nil"/>
              <w:bottom w:val="single" w:sz="4" w:space="0" w:color="auto"/>
              <w:right w:val="single" w:sz="8" w:space="0" w:color="auto"/>
            </w:tcBorders>
          </w:tcPr>
          <w:p w14:paraId="019C3082"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FFDAF0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87.1</w:t>
            </w:r>
          </w:p>
        </w:tc>
        <w:tc>
          <w:tcPr>
            <w:tcW w:w="1701" w:type="dxa"/>
            <w:tcBorders>
              <w:top w:val="single" w:sz="4" w:space="0" w:color="auto"/>
              <w:left w:val="nil"/>
              <w:bottom w:val="single" w:sz="4" w:space="0" w:color="auto"/>
              <w:right w:val="single" w:sz="8" w:space="0" w:color="auto"/>
            </w:tcBorders>
          </w:tcPr>
          <w:p w14:paraId="2230D4D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466343D5"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4E82CED7"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6C9FB5E"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2DBCFA4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190.6</w:t>
            </w:r>
          </w:p>
        </w:tc>
        <w:tc>
          <w:tcPr>
            <w:tcW w:w="1276" w:type="dxa"/>
            <w:tcBorders>
              <w:top w:val="single" w:sz="4" w:space="0" w:color="auto"/>
              <w:left w:val="nil"/>
              <w:bottom w:val="single" w:sz="4" w:space="0" w:color="auto"/>
              <w:right w:val="single" w:sz="8" w:space="0" w:color="auto"/>
            </w:tcBorders>
          </w:tcPr>
          <w:p w14:paraId="45DA20F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5C2EFC1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1189FB30"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5762B7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45.5</w:t>
            </w:r>
          </w:p>
        </w:tc>
        <w:tc>
          <w:tcPr>
            <w:tcW w:w="1701" w:type="dxa"/>
            <w:tcBorders>
              <w:top w:val="single" w:sz="4" w:space="0" w:color="auto"/>
              <w:left w:val="nil"/>
              <w:bottom w:val="single" w:sz="4" w:space="0" w:color="auto"/>
              <w:right w:val="single" w:sz="8" w:space="0" w:color="auto"/>
            </w:tcBorders>
          </w:tcPr>
          <w:p w14:paraId="516D611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6C31D344"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524DF73B"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B45E0C1"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12CC0D0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190.8</w:t>
            </w:r>
          </w:p>
        </w:tc>
        <w:tc>
          <w:tcPr>
            <w:tcW w:w="1276" w:type="dxa"/>
            <w:tcBorders>
              <w:top w:val="single" w:sz="4" w:space="0" w:color="auto"/>
              <w:left w:val="nil"/>
              <w:bottom w:val="single" w:sz="4" w:space="0" w:color="auto"/>
              <w:right w:val="single" w:sz="8" w:space="0" w:color="auto"/>
            </w:tcBorders>
          </w:tcPr>
          <w:p w14:paraId="391B9E6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7397BFD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w:t>
            </w:r>
          </w:p>
        </w:tc>
        <w:tc>
          <w:tcPr>
            <w:tcW w:w="1276" w:type="dxa"/>
            <w:tcBorders>
              <w:top w:val="single" w:sz="4" w:space="0" w:color="auto"/>
              <w:left w:val="nil"/>
              <w:bottom w:val="single" w:sz="4" w:space="0" w:color="auto"/>
              <w:right w:val="single" w:sz="8" w:space="0" w:color="auto"/>
            </w:tcBorders>
          </w:tcPr>
          <w:p w14:paraId="1FA845D9"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58C511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180.2</w:t>
            </w:r>
          </w:p>
        </w:tc>
        <w:tc>
          <w:tcPr>
            <w:tcW w:w="1701" w:type="dxa"/>
            <w:tcBorders>
              <w:top w:val="single" w:sz="4" w:space="0" w:color="auto"/>
              <w:left w:val="nil"/>
              <w:bottom w:val="single" w:sz="4" w:space="0" w:color="auto"/>
              <w:right w:val="single" w:sz="8" w:space="0" w:color="auto"/>
            </w:tcBorders>
          </w:tcPr>
          <w:p w14:paraId="43101FE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5CA57387"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67496B8D"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4126F9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224F056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191.7</w:t>
            </w:r>
          </w:p>
        </w:tc>
        <w:tc>
          <w:tcPr>
            <w:tcW w:w="1276" w:type="dxa"/>
            <w:tcBorders>
              <w:top w:val="single" w:sz="4" w:space="0" w:color="auto"/>
              <w:left w:val="nil"/>
              <w:bottom w:val="single" w:sz="4" w:space="0" w:color="auto"/>
              <w:right w:val="single" w:sz="8" w:space="0" w:color="auto"/>
            </w:tcBorders>
          </w:tcPr>
          <w:p w14:paraId="4C8F710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35EFD1E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4C53E215"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91519B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189.2</w:t>
            </w:r>
          </w:p>
        </w:tc>
        <w:tc>
          <w:tcPr>
            <w:tcW w:w="1701" w:type="dxa"/>
            <w:tcBorders>
              <w:top w:val="single" w:sz="4" w:space="0" w:color="auto"/>
              <w:left w:val="nil"/>
              <w:bottom w:val="single" w:sz="4" w:space="0" w:color="auto"/>
              <w:right w:val="single" w:sz="8" w:space="0" w:color="auto"/>
            </w:tcBorders>
          </w:tcPr>
          <w:p w14:paraId="498781E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6E8E61C3"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44F5AA4A"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6AFE7DA"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255E51B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193.0</w:t>
            </w:r>
          </w:p>
        </w:tc>
        <w:tc>
          <w:tcPr>
            <w:tcW w:w="1276" w:type="dxa"/>
            <w:tcBorders>
              <w:top w:val="single" w:sz="4" w:space="0" w:color="auto"/>
              <w:left w:val="nil"/>
              <w:bottom w:val="single" w:sz="4" w:space="0" w:color="auto"/>
              <w:right w:val="single" w:sz="8" w:space="0" w:color="auto"/>
            </w:tcBorders>
          </w:tcPr>
          <w:p w14:paraId="2E70AF5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3402A33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w:t>
            </w:r>
          </w:p>
        </w:tc>
        <w:tc>
          <w:tcPr>
            <w:tcW w:w="1276" w:type="dxa"/>
            <w:tcBorders>
              <w:top w:val="single" w:sz="4" w:space="0" w:color="auto"/>
              <w:left w:val="nil"/>
              <w:bottom w:val="single" w:sz="4" w:space="0" w:color="auto"/>
              <w:right w:val="single" w:sz="8" w:space="0" w:color="auto"/>
            </w:tcBorders>
          </w:tcPr>
          <w:p w14:paraId="643C91A7"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2ACAC9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45.5</w:t>
            </w:r>
          </w:p>
        </w:tc>
        <w:tc>
          <w:tcPr>
            <w:tcW w:w="1701" w:type="dxa"/>
            <w:tcBorders>
              <w:top w:val="single" w:sz="4" w:space="0" w:color="auto"/>
              <w:left w:val="nil"/>
              <w:bottom w:val="single" w:sz="4" w:space="0" w:color="auto"/>
              <w:right w:val="single" w:sz="8" w:space="0" w:color="auto"/>
            </w:tcBorders>
          </w:tcPr>
          <w:p w14:paraId="3566703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35EC4A93"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414C7FA3"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F92BE4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5B99E0F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199.8</w:t>
            </w:r>
          </w:p>
        </w:tc>
        <w:tc>
          <w:tcPr>
            <w:tcW w:w="1276" w:type="dxa"/>
            <w:tcBorders>
              <w:top w:val="single" w:sz="4" w:space="0" w:color="auto"/>
              <w:left w:val="nil"/>
              <w:bottom w:val="single" w:sz="4" w:space="0" w:color="auto"/>
              <w:right w:val="single" w:sz="8" w:space="0" w:color="auto"/>
            </w:tcBorders>
          </w:tcPr>
          <w:p w14:paraId="3958284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060E807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7562358E"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3AD85D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134.1</w:t>
            </w:r>
          </w:p>
        </w:tc>
        <w:tc>
          <w:tcPr>
            <w:tcW w:w="1701" w:type="dxa"/>
            <w:tcBorders>
              <w:top w:val="single" w:sz="4" w:space="0" w:color="auto"/>
              <w:left w:val="nil"/>
              <w:bottom w:val="single" w:sz="4" w:space="0" w:color="auto"/>
              <w:right w:val="single" w:sz="8" w:space="0" w:color="auto"/>
            </w:tcBorders>
          </w:tcPr>
          <w:p w14:paraId="42F5641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5B0DF3BD"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6D327747"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EC97239"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012FBEA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223.7</w:t>
            </w:r>
          </w:p>
        </w:tc>
        <w:tc>
          <w:tcPr>
            <w:tcW w:w="1276" w:type="dxa"/>
            <w:tcBorders>
              <w:top w:val="single" w:sz="4" w:space="0" w:color="auto"/>
              <w:left w:val="nil"/>
              <w:bottom w:val="single" w:sz="4" w:space="0" w:color="auto"/>
              <w:right w:val="single" w:sz="8" w:space="0" w:color="auto"/>
            </w:tcBorders>
          </w:tcPr>
          <w:p w14:paraId="1FB23DF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13FF63F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w:t>
            </w:r>
          </w:p>
        </w:tc>
        <w:tc>
          <w:tcPr>
            <w:tcW w:w="1276" w:type="dxa"/>
            <w:tcBorders>
              <w:top w:val="single" w:sz="4" w:space="0" w:color="auto"/>
              <w:left w:val="nil"/>
              <w:bottom w:val="single" w:sz="4" w:space="0" w:color="auto"/>
              <w:right w:val="single" w:sz="8" w:space="0" w:color="auto"/>
            </w:tcBorders>
          </w:tcPr>
          <w:p w14:paraId="47AB44D9"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07D24E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93.1</w:t>
            </w:r>
          </w:p>
        </w:tc>
        <w:tc>
          <w:tcPr>
            <w:tcW w:w="1701" w:type="dxa"/>
            <w:tcBorders>
              <w:top w:val="single" w:sz="4" w:space="0" w:color="auto"/>
              <w:left w:val="nil"/>
              <w:bottom w:val="single" w:sz="4" w:space="0" w:color="auto"/>
              <w:right w:val="single" w:sz="8" w:space="0" w:color="auto"/>
            </w:tcBorders>
          </w:tcPr>
          <w:p w14:paraId="2BFE12B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4D205A3B"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1F49B8B9"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416C392"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38599DB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226.8</w:t>
            </w:r>
          </w:p>
        </w:tc>
        <w:tc>
          <w:tcPr>
            <w:tcW w:w="1276" w:type="dxa"/>
            <w:tcBorders>
              <w:top w:val="single" w:sz="4" w:space="0" w:color="auto"/>
              <w:left w:val="nil"/>
              <w:bottom w:val="single" w:sz="4" w:space="0" w:color="auto"/>
              <w:right w:val="single" w:sz="8" w:space="0" w:color="auto"/>
            </w:tcBorders>
          </w:tcPr>
          <w:p w14:paraId="610461F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002F8E4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3B715D08"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70ADAB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134.1</w:t>
            </w:r>
          </w:p>
        </w:tc>
        <w:tc>
          <w:tcPr>
            <w:tcW w:w="1701" w:type="dxa"/>
            <w:tcBorders>
              <w:top w:val="single" w:sz="4" w:space="0" w:color="auto"/>
              <w:left w:val="nil"/>
              <w:bottom w:val="single" w:sz="4" w:space="0" w:color="auto"/>
              <w:right w:val="single" w:sz="8" w:space="0" w:color="auto"/>
            </w:tcBorders>
          </w:tcPr>
          <w:p w14:paraId="467497E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01F496CC"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7A244ABE"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A4055EB"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412CF88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229.9</w:t>
            </w:r>
          </w:p>
        </w:tc>
        <w:tc>
          <w:tcPr>
            <w:tcW w:w="1276" w:type="dxa"/>
            <w:tcBorders>
              <w:top w:val="single" w:sz="4" w:space="0" w:color="auto"/>
              <w:left w:val="nil"/>
              <w:bottom w:val="single" w:sz="4" w:space="0" w:color="auto"/>
              <w:right w:val="single" w:sz="8" w:space="0" w:color="auto"/>
            </w:tcBorders>
          </w:tcPr>
          <w:p w14:paraId="7546486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2455561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8.3</w:t>
            </w:r>
          </w:p>
        </w:tc>
        <w:tc>
          <w:tcPr>
            <w:tcW w:w="1276" w:type="dxa"/>
            <w:tcBorders>
              <w:top w:val="single" w:sz="4" w:space="0" w:color="auto"/>
              <w:left w:val="nil"/>
              <w:bottom w:val="single" w:sz="4" w:space="0" w:color="auto"/>
              <w:right w:val="single" w:sz="8" w:space="0" w:color="auto"/>
            </w:tcBorders>
          </w:tcPr>
          <w:p w14:paraId="78D477C2"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A0351A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47</w:t>
            </w:r>
          </w:p>
        </w:tc>
        <w:tc>
          <w:tcPr>
            <w:tcW w:w="1701" w:type="dxa"/>
            <w:tcBorders>
              <w:top w:val="single" w:sz="4" w:space="0" w:color="auto"/>
              <w:left w:val="nil"/>
              <w:bottom w:val="single" w:sz="4" w:space="0" w:color="auto"/>
              <w:right w:val="single" w:sz="8" w:space="0" w:color="auto"/>
            </w:tcBorders>
          </w:tcPr>
          <w:p w14:paraId="3C60370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522BECB2"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370C41F6"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D54524F"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06E6812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230</w:t>
            </w:r>
          </w:p>
        </w:tc>
        <w:tc>
          <w:tcPr>
            <w:tcW w:w="1276" w:type="dxa"/>
            <w:tcBorders>
              <w:top w:val="single" w:sz="4" w:space="0" w:color="auto"/>
              <w:left w:val="nil"/>
              <w:bottom w:val="single" w:sz="4" w:space="0" w:color="auto"/>
              <w:right w:val="single" w:sz="8" w:space="0" w:color="auto"/>
            </w:tcBorders>
          </w:tcPr>
          <w:p w14:paraId="53F4C66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706D0B9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w:t>
            </w:r>
          </w:p>
        </w:tc>
        <w:tc>
          <w:tcPr>
            <w:tcW w:w="1276" w:type="dxa"/>
            <w:tcBorders>
              <w:top w:val="single" w:sz="4" w:space="0" w:color="auto"/>
              <w:left w:val="nil"/>
              <w:bottom w:val="single" w:sz="4" w:space="0" w:color="auto"/>
              <w:right w:val="single" w:sz="8" w:space="0" w:color="auto"/>
            </w:tcBorders>
          </w:tcPr>
          <w:p w14:paraId="22630224"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B55E7D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w:t>
            </w:r>
          </w:p>
        </w:tc>
        <w:tc>
          <w:tcPr>
            <w:tcW w:w="1701" w:type="dxa"/>
            <w:tcBorders>
              <w:top w:val="single" w:sz="4" w:space="0" w:color="auto"/>
              <w:left w:val="nil"/>
              <w:bottom w:val="single" w:sz="4" w:space="0" w:color="auto"/>
              <w:right w:val="single" w:sz="8" w:space="0" w:color="auto"/>
            </w:tcBorders>
          </w:tcPr>
          <w:p w14:paraId="39ABBE8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0CB92D51"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707CAB90"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C4B436B"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1E6663E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242.6</w:t>
            </w:r>
          </w:p>
        </w:tc>
        <w:tc>
          <w:tcPr>
            <w:tcW w:w="1276" w:type="dxa"/>
            <w:tcBorders>
              <w:top w:val="single" w:sz="4" w:space="0" w:color="auto"/>
              <w:left w:val="nil"/>
              <w:bottom w:val="single" w:sz="4" w:space="0" w:color="auto"/>
              <w:right w:val="single" w:sz="8" w:space="0" w:color="auto"/>
            </w:tcBorders>
          </w:tcPr>
          <w:p w14:paraId="5913242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4E5DDAF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01A5C219"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F13EB6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139.1</w:t>
            </w:r>
          </w:p>
        </w:tc>
        <w:tc>
          <w:tcPr>
            <w:tcW w:w="1701" w:type="dxa"/>
            <w:tcBorders>
              <w:top w:val="single" w:sz="4" w:space="0" w:color="auto"/>
              <w:left w:val="nil"/>
              <w:bottom w:val="single" w:sz="4" w:space="0" w:color="auto"/>
              <w:right w:val="single" w:sz="8" w:space="0" w:color="auto"/>
            </w:tcBorders>
          </w:tcPr>
          <w:p w14:paraId="4A3BDD9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75AFB341"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1073E378"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9CEA354"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075CBCA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253.5</w:t>
            </w:r>
          </w:p>
        </w:tc>
        <w:tc>
          <w:tcPr>
            <w:tcW w:w="1276" w:type="dxa"/>
            <w:tcBorders>
              <w:top w:val="single" w:sz="4" w:space="0" w:color="auto"/>
              <w:left w:val="nil"/>
              <w:bottom w:val="single" w:sz="4" w:space="0" w:color="auto"/>
              <w:right w:val="single" w:sz="8" w:space="0" w:color="auto"/>
            </w:tcBorders>
          </w:tcPr>
          <w:p w14:paraId="0BBD7B1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7F277B2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w:t>
            </w:r>
          </w:p>
        </w:tc>
        <w:tc>
          <w:tcPr>
            <w:tcW w:w="1276" w:type="dxa"/>
            <w:tcBorders>
              <w:top w:val="single" w:sz="4" w:space="0" w:color="auto"/>
              <w:left w:val="nil"/>
              <w:bottom w:val="single" w:sz="4" w:space="0" w:color="auto"/>
              <w:right w:val="single" w:sz="8" w:space="0" w:color="auto"/>
            </w:tcBorders>
          </w:tcPr>
          <w:p w14:paraId="28ABFBDB"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8E9CA1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92.1</w:t>
            </w:r>
          </w:p>
        </w:tc>
        <w:tc>
          <w:tcPr>
            <w:tcW w:w="1701" w:type="dxa"/>
            <w:tcBorders>
              <w:top w:val="single" w:sz="4" w:space="0" w:color="auto"/>
              <w:left w:val="nil"/>
              <w:bottom w:val="single" w:sz="4" w:space="0" w:color="auto"/>
              <w:right w:val="single" w:sz="8" w:space="0" w:color="auto"/>
            </w:tcBorders>
          </w:tcPr>
          <w:p w14:paraId="6BF9A8E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63D228CB"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4B6201BD"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8EA1F6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58C37DB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256.2</w:t>
            </w:r>
          </w:p>
        </w:tc>
        <w:tc>
          <w:tcPr>
            <w:tcW w:w="1276" w:type="dxa"/>
            <w:tcBorders>
              <w:top w:val="single" w:sz="4" w:space="0" w:color="auto"/>
              <w:left w:val="nil"/>
              <w:bottom w:val="single" w:sz="4" w:space="0" w:color="auto"/>
              <w:right w:val="single" w:sz="8" w:space="0" w:color="auto"/>
            </w:tcBorders>
          </w:tcPr>
          <w:p w14:paraId="5EBAEAB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43CC27E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w:t>
            </w:r>
          </w:p>
        </w:tc>
        <w:tc>
          <w:tcPr>
            <w:tcW w:w="1276" w:type="dxa"/>
            <w:tcBorders>
              <w:top w:val="single" w:sz="4" w:space="0" w:color="auto"/>
              <w:left w:val="nil"/>
              <w:bottom w:val="single" w:sz="4" w:space="0" w:color="auto"/>
              <w:right w:val="single" w:sz="8" w:space="0" w:color="auto"/>
            </w:tcBorders>
          </w:tcPr>
          <w:p w14:paraId="0A23C18E"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8C5290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45.5</w:t>
            </w:r>
          </w:p>
        </w:tc>
        <w:tc>
          <w:tcPr>
            <w:tcW w:w="1701" w:type="dxa"/>
            <w:tcBorders>
              <w:top w:val="single" w:sz="4" w:space="0" w:color="auto"/>
              <w:left w:val="nil"/>
              <w:bottom w:val="single" w:sz="4" w:space="0" w:color="auto"/>
              <w:right w:val="single" w:sz="8" w:space="0" w:color="auto"/>
            </w:tcBorders>
          </w:tcPr>
          <w:p w14:paraId="5EC2924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6971BCB9"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7E622DCC"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9E98528"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5EA60CA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262.3</w:t>
            </w:r>
          </w:p>
        </w:tc>
        <w:tc>
          <w:tcPr>
            <w:tcW w:w="1276" w:type="dxa"/>
            <w:tcBorders>
              <w:top w:val="single" w:sz="4" w:space="0" w:color="auto"/>
              <w:left w:val="nil"/>
              <w:bottom w:val="single" w:sz="4" w:space="0" w:color="auto"/>
              <w:right w:val="single" w:sz="8" w:space="0" w:color="auto"/>
            </w:tcBorders>
          </w:tcPr>
          <w:p w14:paraId="234104B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105EBF5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1DDF44CC"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95F17E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90.1</w:t>
            </w:r>
          </w:p>
        </w:tc>
        <w:tc>
          <w:tcPr>
            <w:tcW w:w="1701" w:type="dxa"/>
            <w:tcBorders>
              <w:top w:val="single" w:sz="4" w:space="0" w:color="auto"/>
              <w:left w:val="nil"/>
              <w:bottom w:val="single" w:sz="4" w:space="0" w:color="auto"/>
              <w:right w:val="single" w:sz="8" w:space="0" w:color="auto"/>
            </w:tcBorders>
          </w:tcPr>
          <w:p w14:paraId="7025ECC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79F9C75D"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0F0A5943"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783E46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39DEB9B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268.4</w:t>
            </w:r>
          </w:p>
        </w:tc>
        <w:tc>
          <w:tcPr>
            <w:tcW w:w="1276" w:type="dxa"/>
            <w:tcBorders>
              <w:top w:val="single" w:sz="4" w:space="0" w:color="auto"/>
              <w:left w:val="nil"/>
              <w:bottom w:val="single" w:sz="4" w:space="0" w:color="auto"/>
              <w:right w:val="single" w:sz="8" w:space="0" w:color="auto"/>
            </w:tcBorders>
          </w:tcPr>
          <w:p w14:paraId="3087309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4D60EB6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w:t>
            </w:r>
          </w:p>
        </w:tc>
        <w:tc>
          <w:tcPr>
            <w:tcW w:w="1276" w:type="dxa"/>
            <w:tcBorders>
              <w:top w:val="single" w:sz="4" w:space="0" w:color="auto"/>
              <w:left w:val="nil"/>
              <w:bottom w:val="single" w:sz="4" w:space="0" w:color="auto"/>
              <w:right w:val="single" w:sz="8" w:space="0" w:color="auto"/>
            </w:tcBorders>
          </w:tcPr>
          <w:p w14:paraId="1A338545"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58C5A0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138.1</w:t>
            </w:r>
          </w:p>
        </w:tc>
        <w:tc>
          <w:tcPr>
            <w:tcW w:w="1701" w:type="dxa"/>
            <w:tcBorders>
              <w:top w:val="single" w:sz="4" w:space="0" w:color="auto"/>
              <w:left w:val="nil"/>
              <w:bottom w:val="single" w:sz="4" w:space="0" w:color="auto"/>
              <w:right w:val="single" w:sz="8" w:space="0" w:color="auto"/>
            </w:tcBorders>
          </w:tcPr>
          <w:p w14:paraId="346737C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76D2C632"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5B266158"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B0F24CD"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2F038E9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271.4</w:t>
            </w:r>
          </w:p>
        </w:tc>
        <w:tc>
          <w:tcPr>
            <w:tcW w:w="1276" w:type="dxa"/>
            <w:tcBorders>
              <w:top w:val="single" w:sz="4" w:space="0" w:color="auto"/>
              <w:left w:val="nil"/>
              <w:bottom w:val="single" w:sz="4" w:space="0" w:color="auto"/>
              <w:right w:val="single" w:sz="8" w:space="0" w:color="auto"/>
            </w:tcBorders>
          </w:tcPr>
          <w:p w14:paraId="3680E5B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09FA125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w:t>
            </w:r>
          </w:p>
        </w:tc>
        <w:tc>
          <w:tcPr>
            <w:tcW w:w="1276" w:type="dxa"/>
            <w:tcBorders>
              <w:top w:val="single" w:sz="4" w:space="0" w:color="auto"/>
              <w:left w:val="nil"/>
              <w:bottom w:val="single" w:sz="4" w:space="0" w:color="auto"/>
              <w:right w:val="single" w:sz="8" w:space="0" w:color="auto"/>
            </w:tcBorders>
          </w:tcPr>
          <w:p w14:paraId="599EAAE2"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70E960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107.1</w:t>
            </w:r>
          </w:p>
        </w:tc>
        <w:tc>
          <w:tcPr>
            <w:tcW w:w="1701" w:type="dxa"/>
            <w:tcBorders>
              <w:top w:val="single" w:sz="4" w:space="0" w:color="auto"/>
              <w:left w:val="nil"/>
              <w:bottom w:val="single" w:sz="4" w:space="0" w:color="auto"/>
              <w:right w:val="single" w:sz="8" w:space="0" w:color="auto"/>
            </w:tcBorders>
          </w:tcPr>
          <w:p w14:paraId="459ED3B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792D5518"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692EE6C5"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A714EE6"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17ECB6E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283.3</w:t>
            </w:r>
          </w:p>
        </w:tc>
        <w:tc>
          <w:tcPr>
            <w:tcW w:w="1276" w:type="dxa"/>
            <w:tcBorders>
              <w:top w:val="single" w:sz="4" w:space="0" w:color="auto"/>
              <w:left w:val="nil"/>
              <w:bottom w:val="single" w:sz="4" w:space="0" w:color="auto"/>
              <w:right w:val="single" w:sz="8" w:space="0" w:color="auto"/>
            </w:tcBorders>
          </w:tcPr>
          <w:p w14:paraId="6F31A49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5E842B8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w:t>
            </w:r>
          </w:p>
        </w:tc>
        <w:tc>
          <w:tcPr>
            <w:tcW w:w="1276" w:type="dxa"/>
            <w:tcBorders>
              <w:top w:val="single" w:sz="4" w:space="0" w:color="auto"/>
              <w:left w:val="nil"/>
              <w:bottom w:val="single" w:sz="4" w:space="0" w:color="auto"/>
              <w:right w:val="single" w:sz="8" w:space="0" w:color="auto"/>
            </w:tcBorders>
          </w:tcPr>
          <w:p w14:paraId="0F87428C"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310C08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92.1</w:t>
            </w:r>
          </w:p>
        </w:tc>
        <w:tc>
          <w:tcPr>
            <w:tcW w:w="1701" w:type="dxa"/>
            <w:tcBorders>
              <w:top w:val="single" w:sz="4" w:space="0" w:color="auto"/>
              <w:left w:val="nil"/>
              <w:bottom w:val="single" w:sz="4" w:space="0" w:color="auto"/>
              <w:right w:val="single" w:sz="8" w:space="0" w:color="auto"/>
            </w:tcBorders>
          </w:tcPr>
          <w:p w14:paraId="44B7332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4331D115"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02EF0E8D"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7581318"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18E15F6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289.1</w:t>
            </w:r>
          </w:p>
        </w:tc>
        <w:tc>
          <w:tcPr>
            <w:tcW w:w="1276" w:type="dxa"/>
            <w:tcBorders>
              <w:top w:val="single" w:sz="4" w:space="0" w:color="auto"/>
              <w:left w:val="nil"/>
              <w:bottom w:val="single" w:sz="4" w:space="0" w:color="auto"/>
              <w:right w:val="single" w:sz="8" w:space="0" w:color="auto"/>
            </w:tcBorders>
          </w:tcPr>
          <w:p w14:paraId="1915CA8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7407B49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w:t>
            </w:r>
          </w:p>
        </w:tc>
        <w:tc>
          <w:tcPr>
            <w:tcW w:w="1276" w:type="dxa"/>
            <w:tcBorders>
              <w:top w:val="single" w:sz="4" w:space="0" w:color="auto"/>
              <w:left w:val="nil"/>
              <w:bottom w:val="single" w:sz="4" w:space="0" w:color="auto"/>
              <w:right w:val="single" w:sz="8" w:space="0" w:color="auto"/>
            </w:tcBorders>
          </w:tcPr>
          <w:p w14:paraId="66A92335"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1B8946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43</w:t>
            </w:r>
          </w:p>
        </w:tc>
        <w:tc>
          <w:tcPr>
            <w:tcW w:w="1701" w:type="dxa"/>
            <w:tcBorders>
              <w:top w:val="single" w:sz="4" w:space="0" w:color="auto"/>
              <w:left w:val="nil"/>
              <w:bottom w:val="single" w:sz="4" w:space="0" w:color="auto"/>
              <w:right w:val="single" w:sz="8" w:space="0" w:color="auto"/>
            </w:tcBorders>
          </w:tcPr>
          <w:p w14:paraId="212104D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0AC3570C"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2392F0C5"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80DEAA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38EEC6D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289.1</w:t>
            </w:r>
          </w:p>
        </w:tc>
        <w:tc>
          <w:tcPr>
            <w:tcW w:w="1276" w:type="dxa"/>
            <w:tcBorders>
              <w:top w:val="single" w:sz="4" w:space="0" w:color="auto"/>
              <w:left w:val="nil"/>
              <w:bottom w:val="single" w:sz="4" w:space="0" w:color="auto"/>
              <w:right w:val="single" w:sz="8" w:space="0" w:color="auto"/>
            </w:tcBorders>
          </w:tcPr>
          <w:p w14:paraId="3B4EA78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537DD13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w:t>
            </w:r>
          </w:p>
        </w:tc>
        <w:tc>
          <w:tcPr>
            <w:tcW w:w="1276" w:type="dxa"/>
            <w:tcBorders>
              <w:top w:val="single" w:sz="4" w:space="0" w:color="auto"/>
              <w:left w:val="nil"/>
              <w:bottom w:val="single" w:sz="4" w:space="0" w:color="auto"/>
              <w:right w:val="single" w:sz="8" w:space="0" w:color="auto"/>
            </w:tcBorders>
          </w:tcPr>
          <w:p w14:paraId="1CCF14E7"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F619C1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w:t>
            </w:r>
          </w:p>
        </w:tc>
        <w:tc>
          <w:tcPr>
            <w:tcW w:w="1701" w:type="dxa"/>
            <w:tcBorders>
              <w:top w:val="single" w:sz="4" w:space="0" w:color="auto"/>
              <w:left w:val="nil"/>
              <w:bottom w:val="single" w:sz="4" w:space="0" w:color="auto"/>
              <w:right w:val="single" w:sz="8" w:space="0" w:color="auto"/>
            </w:tcBorders>
          </w:tcPr>
          <w:p w14:paraId="6EACE9D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7A943A71"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41601CF2"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72B88D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3C2C65D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292.3</w:t>
            </w:r>
          </w:p>
        </w:tc>
        <w:tc>
          <w:tcPr>
            <w:tcW w:w="1276" w:type="dxa"/>
            <w:tcBorders>
              <w:top w:val="single" w:sz="4" w:space="0" w:color="auto"/>
              <w:left w:val="nil"/>
              <w:bottom w:val="single" w:sz="4" w:space="0" w:color="auto"/>
              <w:right w:val="single" w:sz="8" w:space="0" w:color="auto"/>
            </w:tcBorders>
          </w:tcPr>
          <w:p w14:paraId="0E4B872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028CB6C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6B4D3221"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B89188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88.1</w:t>
            </w:r>
          </w:p>
        </w:tc>
        <w:tc>
          <w:tcPr>
            <w:tcW w:w="1701" w:type="dxa"/>
            <w:tcBorders>
              <w:top w:val="single" w:sz="4" w:space="0" w:color="auto"/>
              <w:left w:val="nil"/>
              <w:bottom w:val="single" w:sz="4" w:space="0" w:color="auto"/>
              <w:right w:val="single" w:sz="8" w:space="0" w:color="auto"/>
            </w:tcBorders>
          </w:tcPr>
          <w:p w14:paraId="257E92E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03D5EFE0"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291771B1"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F434F1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743D599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370.3</w:t>
            </w:r>
          </w:p>
        </w:tc>
        <w:tc>
          <w:tcPr>
            <w:tcW w:w="1276" w:type="dxa"/>
            <w:tcBorders>
              <w:top w:val="single" w:sz="4" w:space="0" w:color="auto"/>
              <w:left w:val="nil"/>
              <w:bottom w:val="single" w:sz="4" w:space="0" w:color="auto"/>
              <w:right w:val="single" w:sz="8" w:space="0" w:color="auto"/>
            </w:tcBorders>
          </w:tcPr>
          <w:p w14:paraId="70A350A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4459B2C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402BE78A"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F5E66E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140.1</w:t>
            </w:r>
          </w:p>
        </w:tc>
        <w:tc>
          <w:tcPr>
            <w:tcW w:w="1701" w:type="dxa"/>
            <w:tcBorders>
              <w:top w:val="single" w:sz="4" w:space="0" w:color="auto"/>
              <w:left w:val="nil"/>
              <w:bottom w:val="single" w:sz="4" w:space="0" w:color="auto"/>
              <w:right w:val="single" w:sz="8" w:space="0" w:color="auto"/>
            </w:tcBorders>
          </w:tcPr>
          <w:p w14:paraId="139EC0F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4C5D0F0E"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155AEBB1"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3715278"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2D757DC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405.1</w:t>
            </w:r>
          </w:p>
        </w:tc>
        <w:tc>
          <w:tcPr>
            <w:tcW w:w="1276" w:type="dxa"/>
            <w:tcBorders>
              <w:top w:val="single" w:sz="4" w:space="0" w:color="auto"/>
              <w:left w:val="nil"/>
              <w:bottom w:val="single" w:sz="4" w:space="0" w:color="auto"/>
              <w:right w:val="single" w:sz="8" w:space="0" w:color="auto"/>
            </w:tcBorders>
          </w:tcPr>
          <w:p w14:paraId="0F67911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1334F51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71AC65B9"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DC764A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140.1</w:t>
            </w:r>
          </w:p>
        </w:tc>
        <w:tc>
          <w:tcPr>
            <w:tcW w:w="1701" w:type="dxa"/>
            <w:tcBorders>
              <w:top w:val="single" w:sz="4" w:space="0" w:color="auto"/>
              <w:left w:val="nil"/>
              <w:bottom w:val="single" w:sz="4" w:space="0" w:color="auto"/>
              <w:right w:val="single" w:sz="8" w:space="0" w:color="auto"/>
            </w:tcBorders>
          </w:tcPr>
          <w:p w14:paraId="656CB9E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1725848E"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661F8D1E"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C10B04D"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0748735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496.0</w:t>
            </w:r>
          </w:p>
        </w:tc>
        <w:tc>
          <w:tcPr>
            <w:tcW w:w="1276" w:type="dxa"/>
            <w:tcBorders>
              <w:top w:val="single" w:sz="4" w:space="0" w:color="auto"/>
              <w:left w:val="nil"/>
              <w:bottom w:val="single" w:sz="4" w:space="0" w:color="auto"/>
              <w:right w:val="single" w:sz="8" w:space="0" w:color="auto"/>
            </w:tcBorders>
          </w:tcPr>
          <w:p w14:paraId="017E4DC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657B0F2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w:t>
            </w:r>
          </w:p>
        </w:tc>
        <w:tc>
          <w:tcPr>
            <w:tcW w:w="1276" w:type="dxa"/>
            <w:tcBorders>
              <w:top w:val="single" w:sz="4" w:space="0" w:color="auto"/>
              <w:left w:val="nil"/>
              <w:bottom w:val="single" w:sz="4" w:space="0" w:color="auto"/>
              <w:right w:val="single" w:sz="8" w:space="0" w:color="auto"/>
            </w:tcBorders>
          </w:tcPr>
          <w:p w14:paraId="3D014407"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49BA55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194.2</w:t>
            </w:r>
          </w:p>
        </w:tc>
        <w:tc>
          <w:tcPr>
            <w:tcW w:w="1701" w:type="dxa"/>
            <w:tcBorders>
              <w:top w:val="single" w:sz="4" w:space="0" w:color="auto"/>
              <w:left w:val="nil"/>
              <w:bottom w:val="single" w:sz="4" w:space="0" w:color="auto"/>
              <w:right w:val="single" w:sz="8" w:space="0" w:color="auto"/>
            </w:tcBorders>
          </w:tcPr>
          <w:p w14:paraId="1222206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424181DB"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604852F3"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3759A94"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lastRenderedPageBreak/>
              <w:t>Pimephales promelas</w:t>
            </w:r>
          </w:p>
        </w:tc>
        <w:tc>
          <w:tcPr>
            <w:tcW w:w="1134" w:type="dxa"/>
            <w:tcBorders>
              <w:top w:val="single" w:sz="4" w:space="0" w:color="auto"/>
              <w:left w:val="nil"/>
              <w:bottom w:val="single" w:sz="4" w:space="0" w:color="auto"/>
              <w:right w:val="single" w:sz="8" w:space="0" w:color="auto"/>
            </w:tcBorders>
          </w:tcPr>
          <w:p w14:paraId="31B8021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521.0</w:t>
            </w:r>
          </w:p>
        </w:tc>
        <w:tc>
          <w:tcPr>
            <w:tcW w:w="1276" w:type="dxa"/>
            <w:tcBorders>
              <w:top w:val="single" w:sz="4" w:space="0" w:color="auto"/>
              <w:left w:val="nil"/>
              <w:bottom w:val="single" w:sz="4" w:space="0" w:color="auto"/>
              <w:right w:val="single" w:sz="8" w:space="0" w:color="auto"/>
            </w:tcBorders>
          </w:tcPr>
          <w:p w14:paraId="7B34525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2148B43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w:t>
            </w:r>
          </w:p>
        </w:tc>
        <w:tc>
          <w:tcPr>
            <w:tcW w:w="1276" w:type="dxa"/>
            <w:tcBorders>
              <w:top w:val="single" w:sz="4" w:space="0" w:color="auto"/>
              <w:left w:val="nil"/>
              <w:bottom w:val="single" w:sz="4" w:space="0" w:color="auto"/>
              <w:right w:val="single" w:sz="8" w:space="0" w:color="auto"/>
            </w:tcBorders>
          </w:tcPr>
          <w:p w14:paraId="7D369AB0"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2D943A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235.2</w:t>
            </w:r>
          </w:p>
        </w:tc>
        <w:tc>
          <w:tcPr>
            <w:tcW w:w="1701" w:type="dxa"/>
            <w:tcBorders>
              <w:top w:val="single" w:sz="4" w:space="0" w:color="auto"/>
              <w:left w:val="nil"/>
              <w:bottom w:val="single" w:sz="4" w:space="0" w:color="auto"/>
              <w:right w:val="single" w:sz="8" w:space="0" w:color="auto"/>
            </w:tcBorders>
          </w:tcPr>
          <w:p w14:paraId="540639D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lab water</w:t>
            </w:r>
          </w:p>
        </w:tc>
        <w:tc>
          <w:tcPr>
            <w:tcW w:w="2409" w:type="dxa"/>
            <w:tcBorders>
              <w:top w:val="single" w:sz="4" w:space="0" w:color="auto"/>
              <w:left w:val="nil"/>
              <w:bottom w:val="single" w:sz="4" w:space="0" w:color="auto"/>
              <w:right w:val="double" w:sz="6" w:space="0" w:color="auto"/>
            </w:tcBorders>
          </w:tcPr>
          <w:p w14:paraId="0DE689FC"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715022E4"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1A31C4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7980AE2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644.9</w:t>
            </w:r>
          </w:p>
        </w:tc>
        <w:tc>
          <w:tcPr>
            <w:tcW w:w="1276" w:type="dxa"/>
            <w:tcBorders>
              <w:top w:val="single" w:sz="4" w:space="0" w:color="auto"/>
              <w:left w:val="nil"/>
              <w:bottom w:val="single" w:sz="4" w:space="0" w:color="auto"/>
              <w:right w:val="single" w:sz="8" w:space="0" w:color="auto"/>
            </w:tcBorders>
          </w:tcPr>
          <w:p w14:paraId="58A4F5C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4B7528A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8.4</w:t>
            </w:r>
          </w:p>
        </w:tc>
        <w:tc>
          <w:tcPr>
            <w:tcW w:w="1276" w:type="dxa"/>
            <w:tcBorders>
              <w:top w:val="single" w:sz="4" w:space="0" w:color="auto"/>
              <w:left w:val="nil"/>
              <w:bottom w:val="single" w:sz="4" w:space="0" w:color="auto"/>
              <w:right w:val="single" w:sz="8" w:space="0" w:color="auto"/>
            </w:tcBorders>
          </w:tcPr>
          <w:p w14:paraId="68A5A7AB"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61E47E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144.1</w:t>
            </w:r>
          </w:p>
        </w:tc>
        <w:tc>
          <w:tcPr>
            <w:tcW w:w="1701" w:type="dxa"/>
            <w:tcBorders>
              <w:top w:val="single" w:sz="4" w:space="0" w:color="auto"/>
              <w:left w:val="nil"/>
              <w:bottom w:val="single" w:sz="4" w:space="0" w:color="auto"/>
              <w:right w:val="single" w:sz="8" w:space="0" w:color="auto"/>
            </w:tcBorders>
          </w:tcPr>
          <w:p w14:paraId="42B846C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327FF113"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5F516E56"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A577F7D"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79C29F3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646.8</w:t>
            </w:r>
          </w:p>
        </w:tc>
        <w:tc>
          <w:tcPr>
            <w:tcW w:w="1276" w:type="dxa"/>
            <w:tcBorders>
              <w:top w:val="single" w:sz="4" w:space="0" w:color="auto"/>
              <w:left w:val="nil"/>
              <w:bottom w:val="single" w:sz="4" w:space="0" w:color="auto"/>
              <w:right w:val="single" w:sz="8" w:space="0" w:color="auto"/>
            </w:tcBorders>
          </w:tcPr>
          <w:p w14:paraId="3A632C1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09A04FA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8.3</w:t>
            </w:r>
          </w:p>
        </w:tc>
        <w:tc>
          <w:tcPr>
            <w:tcW w:w="1276" w:type="dxa"/>
            <w:tcBorders>
              <w:top w:val="single" w:sz="4" w:space="0" w:color="auto"/>
              <w:left w:val="nil"/>
              <w:bottom w:val="single" w:sz="4" w:space="0" w:color="auto"/>
              <w:right w:val="single" w:sz="8" w:space="0" w:color="auto"/>
            </w:tcBorders>
          </w:tcPr>
          <w:p w14:paraId="661C3120"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2957DB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218.2</w:t>
            </w:r>
          </w:p>
        </w:tc>
        <w:tc>
          <w:tcPr>
            <w:tcW w:w="1701" w:type="dxa"/>
            <w:tcBorders>
              <w:top w:val="single" w:sz="4" w:space="0" w:color="auto"/>
              <w:left w:val="nil"/>
              <w:bottom w:val="single" w:sz="4" w:space="0" w:color="auto"/>
              <w:right w:val="single" w:sz="8" w:space="0" w:color="auto"/>
            </w:tcBorders>
          </w:tcPr>
          <w:p w14:paraId="1C043D8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69B852E8"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2840AB7D"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202D43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5193852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653.8</w:t>
            </w:r>
          </w:p>
        </w:tc>
        <w:tc>
          <w:tcPr>
            <w:tcW w:w="1276" w:type="dxa"/>
            <w:tcBorders>
              <w:top w:val="single" w:sz="4" w:space="0" w:color="auto"/>
              <w:left w:val="nil"/>
              <w:bottom w:val="single" w:sz="4" w:space="0" w:color="auto"/>
              <w:right w:val="single" w:sz="8" w:space="0" w:color="auto"/>
            </w:tcBorders>
          </w:tcPr>
          <w:p w14:paraId="23677D0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54349CA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8.3</w:t>
            </w:r>
          </w:p>
        </w:tc>
        <w:tc>
          <w:tcPr>
            <w:tcW w:w="1276" w:type="dxa"/>
            <w:tcBorders>
              <w:top w:val="single" w:sz="4" w:space="0" w:color="auto"/>
              <w:left w:val="nil"/>
              <w:bottom w:val="single" w:sz="4" w:space="0" w:color="auto"/>
              <w:right w:val="single" w:sz="8" w:space="0" w:color="auto"/>
            </w:tcBorders>
          </w:tcPr>
          <w:p w14:paraId="0169CEF1"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334B01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217.2</w:t>
            </w:r>
          </w:p>
        </w:tc>
        <w:tc>
          <w:tcPr>
            <w:tcW w:w="1701" w:type="dxa"/>
            <w:tcBorders>
              <w:top w:val="single" w:sz="4" w:space="0" w:color="auto"/>
              <w:left w:val="nil"/>
              <w:bottom w:val="single" w:sz="4" w:space="0" w:color="auto"/>
              <w:right w:val="single" w:sz="8" w:space="0" w:color="auto"/>
            </w:tcBorders>
          </w:tcPr>
          <w:p w14:paraId="2754599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69FCF49A"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1316D2E4"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3FF9155"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0E77493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758.1</w:t>
            </w:r>
          </w:p>
        </w:tc>
        <w:tc>
          <w:tcPr>
            <w:tcW w:w="1276" w:type="dxa"/>
            <w:tcBorders>
              <w:top w:val="single" w:sz="4" w:space="0" w:color="auto"/>
              <w:left w:val="nil"/>
              <w:bottom w:val="single" w:sz="4" w:space="0" w:color="auto"/>
              <w:right w:val="single" w:sz="8" w:space="0" w:color="auto"/>
            </w:tcBorders>
          </w:tcPr>
          <w:p w14:paraId="113F921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4ED3C25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w:t>
            </w:r>
          </w:p>
        </w:tc>
        <w:tc>
          <w:tcPr>
            <w:tcW w:w="1276" w:type="dxa"/>
            <w:tcBorders>
              <w:top w:val="single" w:sz="4" w:space="0" w:color="auto"/>
              <w:left w:val="nil"/>
              <w:bottom w:val="single" w:sz="4" w:space="0" w:color="auto"/>
              <w:right w:val="single" w:sz="8" w:space="0" w:color="auto"/>
            </w:tcBorders>
          </w:tcPr>
          <w:p w14:paraId="2CD42CFF"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2CF09D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200.2</w:t>
            </w:r>
          </w:p>
        </w:tc>
        <w:tc>
          <w:tcPr>
            <w:tcW w:w="1701" w:type="dxa"/>
            <w:tcBorders>
              <w:top w:val="single" w:sz="4" w:space="0" w:color="auto"/>
              <w:left w:val="nil"/>
              <w:bottom w:val="single" w:sz="4" w:space="0" w:color="auto"/>
              <w:right w:val="single" w:sz="8" w:space="0" w:color="auto"/>
            </w:tcBorders>
          </w:tcPr>
          <w:p w14:paraId="3BB9DA8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6400F07D"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54099188"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DA52262"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7324F43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940.4</w:t>
            </w:r>
          </w:p>
        </w:tc>
        <w:tc>
          <w:tcPr>
            <w:tcW w:w="1276" w:type="dxa"/>
            <w:tcBorders>
              <w:top w:val="single" w:sz="4" w:space="0" w:color="auto"/>
              <w:left w:val="nil"/>
              <w:bottom w:val="single" w:sz="4" w:space="0" w:color="auto"/>
              <w:right w:val="single" w:sz="8" w:space="0" w:color="auto"/>
            </w:tcBorders>
          </w:tcPr>
          <w:p w14:paraId="6BBA1AD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5DA4150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8.3</w:t>
            </w:r>
          </w:p>
        </w:tc>
        <w:tc>
          <w:tcPr>
            <w:tcW w:w="1276" w:type="dxa"/>
            <w:tcBorders>
              <w:top w:val="single" w:sz="4" w:space="0" w:color="auto"/>
              <w:left w:val="nil"/>
              <w:bottom w:val="single" w:sz="4" w:space="0" w:color="auto"/>
              <w:right w:val="single" w:sz="8" w:space="0" w:color="auto"/>
            </w:tcBorders>
          </w:tcPr>
          <w:p w14:paraId="7AC86C0F"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5E6819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212.2</w:t>
            </w:r>
          </w:p>
        </w:tc>
        <w:tc>
          <w:tcPr>
            <w:tcW w:w="1701" w:type="dxa"/>
            <w:tcBorders>
              <w:top w:val="single" w:sz="4" w:space="0" w:color="auto"/>
              <w:left w:val="nil"/>
              <w:bottom w:val="single" w:sz="4" w:space="0" w:color="auto"/>
              <w:right w:val="single" w:sz="8" w:space="0" w:color="auto"/>
            </w:tcBorders>
          </w:tcPr>
          <w:p w14:paraId="27059D4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1D6F5B2D"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3A07A1B8"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E20F37D"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2129B72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953.0</w:t>
            </w:r>
          </w:p>
        </w:tc>
        <w:tc>
          <w:tcPr>
            <w:tcW w:w="1276" w:type="dxa"/>
            <w:tcBorders>
              <w:top w:val="single" w:sz="4" w:space="0" w:color="auto"/>
              <w:left w:val="nil"/>
              <w:bottom w:val="single" w:sz="4" w:space="0" w:color="auto"/>
              <w:right w:val="single" w:sz="8" w:space="0" w:color="auto"/>
            </w:tcBorders>
          </w:tcPr>
          <w:p w14:paraId="586474F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20E6FB3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8.4</w:t>
            </w:r>
          </w:p>
        </w:tc>
        <w:tc>
          <w:tcPr>
            <w:tcW w:w="1276" w:type="dxa"/>
            <w:tcBorders>
              <w:top w:val="single" w:sz="4" w:space="0" w:color="auto"/>
              <w:left w:val="nil"/>
              <w:bottom w:val="single" w:sz="4" w:space="0" w:color="auto"/>
              <w:right w:val="single" w:sz="8" w:space="0" w:color="auto"/>
            </w:tcBorders>
          </w:tcPr>
          <w:p w14:paraId="5841747B"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21E6F4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226.2</w:t>
            </w:r>
          </w:p>
        </w:tc>
        <w:tc>
          <w:tcPr>
            <w:tcW w:w="1701" w:type="dxa"/>
            <w:tcBorders>
              <w:top w:val="single" w:sz="4" w:space="0" w:color="auto"/>
              <w:left w:val="nil"/>
              <w:bottom w:val="single" w:sz="4" w:space="0" w:color="auto"/>
              <w:right w:val="single" w:sz="8" w:space="0" w:color="auto"/>
            </w:tcBorders>
          </w:tcPr>
          <w:p w14:paraId="44A07D9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5BFDFE0A"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2ADCD864"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1D3F2C0"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4B14809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892.1</w:t>
            </w:r>
          </w:p>
        </w:tc>
        <w:tc>
          <w:tcPr>
            <w:tcW w:w="1276" w:type="dxa"/>
            <w:tcBorders>
              <w:top w:val="single" w:sz="4" w:space="0" w:color="auto"/>
              <w:left w:val="nil"/>
              <w:bottom w:val="single" w:sz="4" w:space="0" w:color="auto"/>
              <w:right w:val="single" w:sz="8" w:space="0" w:color="auto"/>
            </w:tcBorders>
          </w:tcPr>
          <w:p w14:paraId="6C96470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5C306C8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8.3</w:t>
            </w:r>
          </w:p>
        </w:tc>
        <w:tc>
          <w:tcPr>
            <w:tcW w:w="1276" w:type="dxa"/>
            <w:tcBorders>
              <w:top w:val="single" w:sz="4" w:space="0" w:color="auto"/>
              <w:left w:val="nil"/>
              <w:bottom w:val="single" w:sz="4" w:space="0" w:color="auto"/>
              <w:right w:val="single" w:sz="8" w:space="0" w:color="auto"/>
            </w:tcBorders>
          </w:tcPr>
          <w:p w14:paraId="48C14B4B"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A724F9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251.2</w:t>
            </w:r>
          </w:p>
        </w:tc>
        <w:tc>
          <w:tcPr>
            <w:tcW w:w="1701" w:type="dxa"/>
            <w:tcBorders>
              <w:top w:val="single" w:sz="4" w:space="0" w:color="auto"/>
              <w:left w:val="nil"/>
              <w:bottom w:val="single" w:sz="4" w:space="0" w:color="auto"/>
              <w:right w:val="single" w:sz="8" w:space="0" w:color="auto"/>
            </w:tcBorders>
          </w:tcPr>
          <w:p w14:paraId="4E6346E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lab water</w:t>
            </w:r>
          </w:p>
        </w:tc>
        <w:tc>
          <w:tcPr>
            <w:tcW w:w="2409" w:type="dxa"/>
            <w:tcBorders>
              <w:top w:val="single" w:sz="4" w:space="0" w:color="auto"/>
              <w:left w:val="nil"/>
              <w:bottom w:val="single" w:sz="4" w:space="0" w:color="auto"/>
              <w:right w:val="double" w:sz="6" w:space="0" w:color="auto"/>
            </w:tcBorders>
          </w:tcPr>
          <w:p w14:paraId="51A465A9"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3299CE6F"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5663F8E"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6EA1128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905.4</w:t>
            </w:r>
          </w:p>
        </w:tc>
        <w:tc>
          <w:tcPr>
            <w:tcW w:w="1276" w:type="dxa"/>
            <w:tcBorders>
              <w:top w:val="single" w:sz="4" w:space="0" w:color="auto"/>
              <w:left w:val="nil"/>
              <w:bottom w:val="single" w:sz="4" w:space="0" w:color="auto"/>
              <w:right w:val="single" w:sz="8" w:space="0" w:color="auto"/>
            </w:tcBorders>
          </w:tcPr>
          <w:p w14:paraId="3450030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7C9122D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7.6</w:t>
            </w:r>
          </w:p>
        </w:tc>
        <w:tc>
          <w:tcPr>
            <w:tcW w:w="1276" w:type="dxa"/>
            <w:tcBorders>
              <w:top w:val="single" w:sz="4" w:space="0" w:color="auto"/>
              <w:left w:val="nil"/>
              <w:bottom w:val="single" w:sz="4" w:space="0" w:color="auto"/>
              <w:right w:val="single" w:sz="8" w:space="0" w:color="auto"/>
            </w:tcBorders>
          </w:tcPr>
          <w:p w14:paraId="66F2A99C"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661AA4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252.2</w:t>
            </w:r>
          </w:p>
        </w:tc>
        <w:tc>
          <w:tcPr>
            <w:tcW w:w="1701" w:type="dxa"/>
            <w:tcBorders>
              <w:top w:val="single" w:sz="4" w:space="0" w:color="auto"/>
              <w:left w:val="nil"/>
              <w:bottom w:val="single" w:sz="4" w:space="0" w:color="auto"/>
              <w:right w:val="single" w:sz="8" w:space="0" w:color="auto"/>
            </w:tcBorders>
          </w:tcPr>
          <w:p w14:paraId="6BCF23A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lab water</w:t>
            </w:r>
          </w:p>
        </w:tc>
        <w:tc>
          <w:tcPr>
            <w:tcW w:w="2409" w:type="dxa"/>
            <w:tcBorders>
              <w:top w:val="single" w:sz="4" w:space="0" w:color="auto"/>
              <w:left w:val="nil"/>
              <w:bottom w:val="single" w:sz="4" w:space="0" w:color="auto"/>
              <w:right w:val="double" w:sz="6" w:space="0" w:color="auto"/>
            </w:tcBorders>
          </w:tcPr>
          <w:p w14:paraId="049711FD"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4B3F10B0"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19142A7"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4CB6E1B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996.3</w:t>
            </w:r>
          </w:p>
        </w:tc>
        <w:tc>
          <w:tcPr>
            <w:tcW w:w="1276" w:type="dxa"/>
            <w:tcBorders>
              <w:top w:val="single" w:sz="4" w:space="0" w:color="auto"/>
              <w:left w:val="nil"/>
              <w:bottom w:val="single" w:sz="4" w:space="0" w:color="auto"/>
              <w:right w:val="single" w:sz="8" w:space="0" w:color="auto"/>
            </w:tcBorders>
          </w:tcPr>
          <w:p w14:paraId="1EFD727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7C1DCC7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7.9</w:t>
            </w:r>
          </w:p>
        </w:tc>
        <w:tc>
          <w:tcPr>
            <w:tcW w:w="1276" w:type="dxa"/>
            <w:tcBorders>
              <w:top w:val="single" w:sz="4" w:space="0" w:color="auto"/>
              <w:left w:val="nil"/>
              <w:bottom w:val="single" w:sz="4" w:space="0" w:color="auto"/>
              <w:right w:val="single" w:sz="8" w:space="0" w:color="auto"/>
            </w:tcBorders>
          </w:tcPr>
          <w:p w14:paraId="1E39239B"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117C44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252.2</w:t>
            </w:r>
          </w:p>
        </w:tc>
        <w:tc>
          <w:tcPr>
            <w:tcW w:w="1701" w:type="dxa"/>
            <w:tcBorders>
              <w:top w:val="single" w:sz="4" w:space="0" w:color="auto"/>
              <w:left w:val="nil"/>
              <w:bottom w:val="single" w:sz="4" w:space="0" w:color="auto"/>
              <w:right w:val="single" w:sz="8" w:space="0" w:color="auto"/>
            </w:tcBorders>
          </w:tcPr>
          <w:p w14:paraId="57D0CE6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lab water</w:t>
            </w:r>
          </w:p>
        </w:tc>
        <w:tc>
          <w:tcPr>
            <w:tcW w:w="2409" w:type="dxa"/>
            <w:tcBorders>
              <w:top w:val="single" w:sz="4" w:space="0" w:color="auto"/>
              <w:left w:val="nil"/>
              <w:bottom w:val="single" w:sz="4" w:space="0" w:color="auto"/>
              <w:right w:val="double" w:sz="6" w:space="0" w:color="auto"/>
            </w:tcBorders>
          </w:tcPr>
          <w:p w14:paraId="008A0DC6"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53D213CC"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D700CC6"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5EA6EF4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38.4</w:t>
            </w:r>
          </w:p>
        </w:tc>
        <w:tc>
          <w:tcPr>
            <w:tcW w:w="1276" w:type="dxa"/>
            <w:tcBorders>
              <w:top w:val="single" w:sz="4" w:space="0" w:color="auto"/>
              <w:left w:val="nil"/>
              <w:bottom w:val="single" w:sz="4" w:space="0" w:color="auto"/>
              <w:right w:val="single" w:sz="8" w:space="0" w:color="auto"/>
            </w:tcBorders>
          </w:tcPr>
          <w:p w14:paraId="45357CF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3007B5D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8.1</w:t>
            </w:r>
          </w:p>
        </w:tc>
        <w:tc>
          <w:tcPr>
            <w:tcW w:w="1276" w:type="dxa"/>
            <w:tcBorders>
              <w:top w:val="single" w:sz="4" w:space="0" w:color="auto"/>
              <w:left w:val="nil"/>
              <w:bottom w:val="single" w:sz="4" w:space="0" w:color="auto"/>
              <w:right w:val="single" w:sz="8" w:space="0" w:color="auto"/>
            </w:tcBorders>
          </w:tcPr>
          <w:p w14:paraId="32D8F0F2"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7A051F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255.7</w:t>
            </w:r>
          </w:p>
        </w:tc>
        <w:tc>
          <w:tcPr>
            <w:tcW w:w="1701" w:type="dxa"/>
            <w:tcBorders>
              <w:top w:val="single" w:sz="4" w:space="0" w:color="auto"/>
              <w:left w:val="nil"/>
              <w:bottom w:val="single" w:sz="4" w:space="0" w:color="auto"/>
              <w:right w:val="single" w:sz="8" w:space="0" w:color="auto"/>
            </w:tcBorders>
          </w:tcPr>
          <w:p w14:paraId="6C74AF8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537F4049"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2AF6A780"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D4E6CCD"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04B0B95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698.0</w:t>
            </w:r>
          </w:p>
        </w:tc>
        <w:tc>
          <w:tcPr>
            <w:tcW w:w="1276" w:type="dxa"/>
            <w:tcBorders>
              <w:top w:val="single" w:sz="4" w:space="0" w:color="auto"/>
              <w:left w:val="nil"/>
              <w:bottom w:val="single" w:sz="4" w:space="0" w:color="auto"/>
              <w:right w:val="single" w:sz="8" w:space="0" w:color="auto"/>
            </w:tcBorders>
          </w:tcPr>
          <w:p w14:paraId="0AC2C8F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6DA3C84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8.3</w:t>
            </w:r>
          </w:p>
        </w:tc>
        <w:tc>
          <w:tcPr>
            <w:tcW w:w="1276" w:type="dxa"/>
            <w:tcBorders>
              <w:top w:val="single" w:sz="4" w:space="0" w:color="auto"/>
              <w:left w:val="nil"/>
              <w:bottom w:val="single" w:sz="4" w:space="0" w:color="auto"/>
              <w:right w:val="single" w:sz="8" w:space="0" w:color="auto"/>
            </w:tcBorders>
          </w:tcPr>
          <w:p w14:paraId="3F480A63"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9C35EB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292.3</w:t>
            </w:r>
          </w:p>
        </w:tc>
        <w:tc>
          <w:tcPr>
            <w:tcW w:w="1701" w:type="dxa"/>
            <w:tcBorders>
              <w:top w:val="single" w:sz="4" w:space="0" w:color="auto"/>
              <w:left w:val="nil"/>
              <w:bottom w:val="single" w:sz="4" w:space="0" w:color="auto"/>
              <w:right w:val="single" w:sz="8" w:space="0" w:color="auto"/>
            </w:tcBorders>
          </w:tcPr>
          <w:p w14:paraId="6714874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199602D0"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19232F54"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384AD58"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23FAECA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752.9</w:t>
            </w:r>
          </w:p>
        </w:tc>
        <w:tc>
          <w:tcPr>
            <w:tcW w:w="1276" w:type="dxa"/>
            <w:tcBorders>
              <w:top w:val="single" w:sz="4" w:space="0" w:color="auto"/>
              <w:left w:val="nil"/>
              <w:bottom w:val="single" w:sz="4" w:space="0" w:color="auto"/>
              <w:right w:val="single" w:sz="8" w:space="0" w:color="auto"/>
            </w:tcBorders>
          </w:tcPr>
          <w:p w14:paraId="6C547FE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00BCA41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5FEF6C34"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F16F80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440.4</w:t>
            </w:r>
          </w:p>
        </w:tc>
        <w:tc>
          <w:tcPr>
            <w:tcW w:w="1701" w:type="dxa"/>
            <w:tcBorders>
              <w:top w:val="single" w:sz="4" w:space="0" w:color="auto"/>
              <w:left w:val="nil"/>
              <w:bottom w:val="single" w:sz="4" w:space="0" w:color="auto"/>
              <w:right w:val="single" w:sz="8" w:space="0" w:color="auto"/>
            </w:tcBorders>
          </w:tcPr>
          <w:p w14:paraId="2F363AD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field/lab water</w:t>
            </w:r>
          </w:p>
        </w:tc>
        <w:tc>
          <w:tcPr>
            <w:tcW w:w="2409" w:type="dxa"/>
            <w:tcBorders>
              <w:top w:val="single" w:sz="4" w:space="0" w:color="auto"/>
              <w:left w:val="nil"/>
              <w:bottom w:val="single" w:sz="4" w:space="0" w:color="auto"/>
              <w:right w:val="double" w:sz="6" w:space="0" w:color="auto"/>
            </w:tcBorders>
          </w:tcPr>
          <w:p w14:paraId="4E7C7F0F" w14:textId="77777777" w:rsidR="00632208" w:rsidRPr="0098635C" w:rsidRDefault="00632208" w:rsidP="00A432B0">
            <w:pPr>
              <w:spacing w:after="0"/>
              <w:rPr>
                <w:color w:val="000000" w:themeColor="text1"/>
                <w:sz w:val="20"/>
                <w:szCs w:val="20"/>
              </w:rPr>
            </w:pPr>
            <w:r w:rsidRPr="0098635C">
              <w:rPr>
                <w:color w:val="000000" w:themeColor="text1"/>
                <w:sz w:val="20"/>
                <w:szCs w:val="20"/>
              </w:rPr>
              <w:t>Erickson et al, 1996</w:t>
            </w:r>
          </w:p>
        </w:tc>
      </w:tr>
      <w:tr w:rsidR="00632208" w:rsidRPr="0098635C" w14:paraId="3C4269E0"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5DB6AED"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7DA1F5E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297</w:t>
            </w:r>
          </w:p>
        </w:tc>
        <w:tc>
          <w:tcPr>
            <w:tcW w:w="1276" w:type="dxa"/>
            <w:tcBorders>
              <w:top w:val="single" w:sz="4" w:space="0" w:color="auto"/>
              <w:left w:val="nil"/>
              <w:bottom w:val="single" w:sz="4" w:space="0" w:color="auto"/>
              <w:right w:val="single" w:sz="8" w:space="0" w:color="auto"/>
            </w:tcBorders>
          </w:tcPr>
          <w:p w14:paraId="496305F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w:t>
            </w:r>
          </w:p>
        </w:tc>
        <w:tc>
          <w:tcPr>
            <w:tcW w:w="1417" w:type="dxa"/>
            <w:tcBorders>
              <w:top w:val="single" w:sz="4" w:space="0" w:color="auto"/>
              <w:left w:val="nil"/>
              <w:bottom w:val="single" w:sz="4" w:space="0" w:color="auto"/>
              <w:right w:val="single" w:sz="8" w:space="0" w:color="auto"/>
            </w:tcBorders>
          </w:tcPr>
          <w:p w14:paraId="76E8C25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5A74C691"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CF29AC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164</w:t>
            </w:r>
          </w:p>
        </w:tc>
        <w:tc>
          <w:tcPr>
            <w:tcW w:w="1701" w:type="dxa"/>
            <w:tcBorders>
              <w:top w:val="single" w:sz="4" w:space="0" w:color="auto"/>
              <w:left w:val="nil"/>
              <w:bottom w:val="single" w:sz="4" w:space="0" w:color="auto"/>
              <w:right w:val="single" w:sz="8" w:space="0" w:color="auto"/>
            </w:tcBorders>
          </w:tcPr>
          <w:p w14:paraId="122929B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50327F17" w14:textId="77777777" w:rsidR="00632208" w:rsidRPr="0098635C" w:rsidRDefault="00632208" w:rsidP="00A432B0">
            <w:pPr>
              <w:spacing w:after="0"/>
              <w:rPr>
                <w:color w:val="000000" w:themeColor="text1"/>
                <w:sz w:val="20"/>
                <w:szCs w:val="20"/>
              </w:rPr>
            </w:pPr>
            <w:r w:rsidRPr="0098635C">
              <w:rPr>
                <w:color w:val="000000" w:themeColor="text1"/>
                <w:sz w:val="20"/>
                <w:szCs w:val="20"/>
              </w:rPr>
              <w:t>Richards and Beitinger, 1995</w:t>
            </w:r>
          </w:p>
        </w:tc>
      </w:tr>
      <w:tr w:rsidR="00632208" w:rsidRPr="0098635C" w14:paraId="6944B156"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AE48C04"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0CDC66E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311</w:t>
            </w:r>
          </w:p>
        </w:tc>
        <w:tc>
          <w:tcPr>
            <w:tcW w:w="1276" w:type="dxa"/>
            <w:tcBorders>
              <w:top w:val="single" w:sz="4" w:space="0" w:color="auto"/>
              <w:left w:val="nil"/>
              <w:bottom w:val="single" w:sz="4" w:space="0" w:color="auto"/>
              <w:right w:val="single" w:sz="8" w:space="0" w:color="auto"/>
            </w:tcBorders>
          </w:tcPr>
          <w:p w14:paraId="7E64392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65F2795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22250FF0"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2E1392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164</w:t>
            </w:r>
          </w:p>
        </w:tc>
        <w:tc>
          <w:tcPr>
            <w:tcW w:w="1701" w:type="dxa"/>
            <w:tcBorders>
              <w:top w:val="single" w:sz="4" w:space="0" w:color="auto"/>
              <w:left w:val="nil"/>
              <w:bottom w:val="single" w:sz="4" w:space="0" w:color="auto"/>
              <w:right w:val="single" w:sz="8" w:space="0" w:color="auto"/>
            </w:tcBorders>
          </w:tcPr>
          <w:p w14:paraId="155AC4F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5643273A" w14:textId="77777777" w:rsidR="00632208" w:rsidRPr="0098635C" w:rsidRDefault="00632208" w:rsidP="00A432B0">
            <w:pPr>
              <w:spacing w:after="0"/>
              <w:rPr>
                <w:color w:val="000000" w:themeColor="text1"/>
                <w:sz w:val="20"/>
                <w:szCs w:val="20"/>
              </w:rPr>
            </w:pPr>
            <w:r w:rsidRPr="0098635C">
              <w:rPr>
                <w:color w:val="000000" w:themeColor="text1"/>
                <w:sz w:val="20"/>
                <w:szCs w:val="20"/>
              </w:rPr>
              <w:t>Richards and Beitinger, 1995</w:t>
            </w:r>
          </w:p>
        </w:tc>
      </w:tr>
      <w:tr w:rsidR="00632208" w:rsidRPr="0098635C" w14:paraId="7610C671"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B542535"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36242A7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450</w:t>
            </w:r>
          </w:p>
        </w:tc>
        <w:tc>
          <w:tcPr>
            <w:tcW w:w="1276" w:type="dxa"/>
            <w:tcBorders>
              <w:top w:val="single" w:sz="4" w:space="0" w:color="auto"/>
              <w:left w:val="nil"/>
              <w:bottom w:val="single" w:sz="4" w:space="0" w:color="auto"/>
              <w:right w:val="single" w:sz="8" w:space="0" w:color="auto"/>
            </w:tcBorders>
          </w:tcPr>
          <w:p w14:paraId="247EB4C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w:t>
            </w:r>
          </w:p>
        </w:tc>
        <w:tc>
          <w:tcPr>
            <w:tcW w:w="1417" w:type="dxa"/>
            <w:tcBorders>
              <w:top w:val="single" w:sz="4" w:space="0" w:color="auto"/>
              <w:left w:val="nil"/>
              <w:bottom w:val="single" w:sz="4" w:space="0" w:color="auto"/>
              <w:right w:val="single" w:sz="8" w:space="0" w:color="auto"/>
            </w:tcBorders>
          </w:tcPr>
          <w:p w14:paraId="2BEA3F6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548F886B"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171529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164</w:t>
            </w:r>
          </w:p>
        </w:tc>
        <w:tc>
          <w:tcPr>
            <w:tcW w:w="1701" w:type="dxa"/>
            <w:tcBorders>
              <w:top w:val="single" w:sz="4" w:space="0" w:color="auto"/>
              <w:left w:val="nil"/>
              <w:bottom w:val="single" w:sz="4" w:space="0" w:color="auto"/>
              <w:right w:val="single" w:sz="8" w:space="0" w:color="auto"/>
            </w:tcBorders>
          </w:tcPr>
          <w:p w14:paraId="1379CC3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429C024B" w14:textId="77777777" w:rsidR="00632208" w:rsidRPr="0098635C" w:rsidRDefault="00632208" w:rsidP="00A432B0">
            <w:pPr>
              <w:spacing w:after="0"/>
              <w:rPr>
                <w:color w:val="000000" w:themeColor="text1"/>
                <w:sz w:val="20"/>
                <w:szCs w:val="20"/>
              </w:rPr>
            </w:pPr>
            <w:r w:rsidRPr="0098635C">
              <w:rPr>
                <w:color w:val="000000" w:themeColor="text1"/>
                <w:sz w:val="20"/>
                <w:szCs w:val="20"/>
              </w:rPr>
              <w:t>Richards and Beitinger, 1995</w:t>
            </w:r>
          </w:p>
        </w:tc>
      </w:tr>
      <w:tr w:rsidR="00632208" w:rsidRPr="0098635C" w14:paraId="1A14D111"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C99DD06"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35C138A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513</w:t>
            </w:r>
          </w:p>
        </w:tc>
        <w:tc>
          <w:tcPr>
            <w:tcW w:w="1276" w:type="dxa"/>
            <w:tcBorders>
              <w:top w:val="single" w:sz="4" w:space="0" w:color="auto"/>
              <w:left w:val="nil"/>
              <w:bottom w:val="single" w:sz="4" w:space="0" w:color="auto"/>
              <w:right w:val="single" w:sz="8" w:space="0" w:color="auto"/>
            </w:tcBorders>
          </w:tcPr>
          <w:p w14:paraId="50A8045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32</w:t>
            </w:r>
          </w:p>
        </w:tc>
        <w:tc>
          <w:tcPr>
            <w:tcW w:w="1417" w:type="dxa"/>
            <w:tcBorders>
              <w:top w:val="single" w:sz="4" w:space="0" w:color="auto"/>
              <w:left w:val="nil"/>
              <w:bottom w:val="single" w:sz="4" w:space="0" w:color="auto"/>
              <w:right w:val="single" w:sz="8" w:space="0" w:color="auto"/>
            </w:tcBorders>
          </w:tcPr>
          <w:p w14:paraId="58BA452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7CFAFB8B"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3910DA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164</w:t>
            </w:r>
          </w:p>
        </w:tc>
        <w:tc>
          <w:tcPr>
            <w:tcW w:w="1701" w:type="dxa"/>
            <w:tcBorders>
              <w:top w:val="single" w:sz="4" w:space="0" w:color="auto"/>
              <w:left w:val="nil"/>
              <w:bottom w:val="single" w:sz="4" w:space="0" w:color="auto"/>
              <w:right w:val="single" w:sz="8" w:space="0" w:color="auto"/>
            </w:tcBorders>
          </w:tcPr>
          <w:p w14:paraId="2EC60A8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7E8D9EDF" w14:textId="77777777" w:rsidR="00632208" w:rsidRPr="0098635C" w:rsidRDefault="00632208" w:rsidP="00A432B0">
            <w:pPr>
              <w:spacing w:after="0"/>
              <w:rPr>
                <w:color w:val="000000" w:themeColor="text1"/>
                <w:sz w:val="20"/>
                <w:szCs w:val="20"/>
              </w:rPr>
            </w:pPr>
            <w:r w:rsidRPr="0098635C">
              <w:rPr>
                <w:color w:val="000000" w:themeColor="text1"/>
                <w:sz w:val="20"/>
                <w:szCs w:val="20"/>
              </w:rPr>
              <w:t>Richards and Beitinger, 1995</w:t>
            </w:r>
          </w:p>
        </w:tc>
      </w:tr>
      <w:tr w:rsidR="00632208" w:rsidRPr="0098635C" w14:paraId="73701E2C"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BA53CFD"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7D21782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232</w:t>
            </w:r>
          </w:p>
        </w:tc>
        <w:tc>
          <w:tcPr>
            <w:tcW w:w="1276" w:type="dxa"/>
            <w:tcBorders>
              <w:top w:val="single" w:sz="4" w:space="0" w:color="auto"/>
              <w:left w:val="nil"/>
              <w:bottom w:val="single" w:sz="4" w:space="0" w:color="auto"/>
              <w:right w:val="single" w:sz="8" w:space="0" w:color="auto"/>
            </w:tcBorders>
          </w:tcPr>
          <w:p w14:paraId="080B132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1417" w:type="dxa"/>
            <w:tcBorders>
              <w:top w:val="single" w:sz="4" w:space="0" w:color="auto"/>
              <w:left w:val="nil"/>
              <w:bottom w:val="single" w:sz="4" w:space="0" w:color="auto"/>
              <w:right w:val="single" w:sz="8" w:space="0" w:color="auto"/>
            </w:tcBorders>
          </w:tcPr>
          <w:p w14:paraId="2BEADF2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tc>
        <w:tc>
          <w:tcPr>
            <w:tcW w:w="1276" w:type="dxa"/>
            <w:tcBorders>
              <w:top w:val="single" w:sz="4" w:space="0" w:color="auto"/>
              <w:left w:val="nil"/>
              <w:bottom w:val="single" w:sz="4" w:space="0" w:color="auto"/>
              <w:right w:val="single" w:sz="8" w:space="0" w:color="auto"/>
            </w:tcBorders>
          </w:tcPr>
          <w:p w14:paraId="6C7F3A59"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7EE531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55</w:t>
            </w:r>
          </w:p>
        </w:tc>
        <w:tc>
          <w:tcPr>
            <w:tcW w:w="1701" w:type="dxa"/>
            <w:tcBorders>
              <w:top w:val="single" w:sz="4" w:space="0" w:color="auto"/>
              <w:left w:val="nil"/>
              <w:bottom w:val="single" w:sz="4" w:space="0" w:color="auto"/>
              <w:right w:val="single" w:sz="8" w:space="0" w:color="auto"/>
            </w:tcBorders>
          </w:tcPr>
          <w:p w14:paraId="3CF7068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6BC15894" w14:textId="77777777" w:rsidR="00632208" w:rsidRPr="0098635C" w:rsidRDefault="00632208" w:rsidP="00A432B0">
            <w:pPr>
              <w:spacing w:after="0"/>
              <w:rPr>
                <w:color w:val="000000" w:themeColor="text1"/>
                <w:sz w:val="20"/>
                <w:szCs w:val="20"/>
              </w:rPr>
            </w:pPr>
            <w:r w:rsidRPr="0098635C">
              <w:rPr>
                <w:color w:val="000000" w:themeColor="text1"/>
                <w:sz w:val="20"/>
                <w:szCs w:val="20"/>
              </w:rPr>
              <w:t>Nelson et al, 1985</w:t>
            </w:r>
          </w:p>
        </w:tc>
      </w:tr>
      <w:tr w:rsidR="00632208" w:rsidRPr="0098635C" w14:paraId="367C09F0"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F427A4B"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245A4FE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363</w:t>
            </w:r>
          </w:p>
        </w:tc>
        <w:tc>
          <w:tcPr>
            <w:tcW w:w="1276" w:type="dxa"/>
            <w:tcBorders>
              <w:top w:val="single" w:sz="4" w:space="0" w:color="auto"/>
              <w:left w:val="nil"/>
              <w:bottom w:val="single" w:sz="4" w:space="0" w:color="auto"/>
              <w:right w:val="single" w:sz="8" w:space="0" w:color="auto"/>
            </w:tcBorders>
          </w:tcPr>
          <w:p w14:paraId="37B86E1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1417" w:type="dxa"/>
            <w:tcBorders>
              <w:top w:val="single" w:sz="4" w:space="0" w:color="auto"/>
              <w:left w:val="nil"/>
              <w:bottom w:val="single" w:sz="4" w:space="0" w:color="auto"/>
              <w:right w:val="single" w:sz="8" w:space="0" w:color="auto"/>
            </w:tcBorders>
          </w:tcPr>
          <w:p w14:paraId="396551E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tc>
        <w:tc>
          <w:tcPr>
            <w:tcW w:w="1276" w:type="dxa"/>
            <w:tcBorders>
              <w:top w:val="single" w:sz="4" w:space="0" w:color="auto"/>
              <w:left w:val="nil"/>
              <w:bottom w:val="single" w:sz="4" w:space="0" w:color="auto"/>
              <w:right w:val="single" w:sz="8" w:space="0" w:color="auto"/>
            </w:tcBorders>
          </w:tcPr>
          <w:p w14:paraId="7F0334E6"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91147A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68</w:t>
            </w:r>
          </w:p>
        </w:tc>
        <w:tc>
          <w:tcPr>
            <w:tcW w:w="1701" w:type="dxa"/>
            <w:tcBorders>
              <w:top w:val="single" w:sz="4" w:space="0" w:color="auto"/>
              <w:left w:val="nil"/>
              <w:bottom w:val="single" w:sz="4" w:space="0" w:color="auto"/>
              <w:right w:val="single" w:sz="8" w:space="0" w:color="auto"/>
            </w:tcBorders>
          </w:tcPr>
          <w:p w14:paraId="66F795E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433DD75E" w14:textId="77777777" w:rsidR="00632208" w:rsidRPr="0098635C" w:rsidRDefault="00632208" w:rsidP="00A432B0">
            <w:pPr>
              <w:spacing w:after="0"/>
              <w:rPr>
                <w:color w:val="000000" w:themeColor="text1"/>
                <w:sz w:val="20"/>
                <w:szCs w:val="20"/>
              </w:rPr>
            </w:pPr>
            <w:r w:rsidRPr="0098635C">
              <w:rPr>
                <w:color w:val="000000" w:themeColor="text1"/>
                <w:sz w:val="20"/>
                <w:szCs w:val="20"/>
              </w:rPr>
              <w:t>Nelson et al, 1985</w:t>
            </w:r>
          </w:p>
        </w:tc>
      </w:tr>
      <w:tr w:rsidR="00632208" w:rsidRPr="0098635C" w14:paraId="04CFBB90"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F961F64"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4D3F2C0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&gt;449</w:t>
            </w:r>
          </w:p>
        </w:tc>
        <w:tc>
          <w:tcPr>
            <w:tcW w:w="1276" w:type="dxa"/>
            <w:tcBorders>
              <w:top w:val="single" w:sz="4" w:space="0" w:color="auto"/>
              <w:left w:val="nil"/>
              <w:bottom w:val="single" w:sz="4" w:space="0" w:color="auto"/>
              <w:right w:val="single" w:sz="8" w:space="0" w:color="auto"/>
            </w:tcBorders>
          </w:tcPr>
          <w:p w14:paraId="0B89B7B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1417" w:type="dxa"/>
            <w:tcBorders>
              <w:top w:val="single" w:sz="4" w:space="0" w:color="auto"/>
              <w:left w:val="nil"/>
              <w:bottom w:val="single" w:sz="4" w:space="0" w:color="auto"/>
              <w:right w:val="single" w:sz="8" w:space="0" w:color="auto"/>
            </w:tcBorders>
          </w:tcPr>
          <w:p w14:paraId="3D594B1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7.3</w:t>
            </w:r>
          </w:p>
        </w:tc>
        <w:tc>
          <w:tcPr>
            <w:tcW w:w="1276" w:type="dxa"/>
            <w:tcBorders>
              <w:top w:val="single" w:sz="4" w:space="0" w:color="auto"/>
              <w:left w:val="nil"/>
              <w:bottom w:val="single" w:sz="4" w:space="0" w:color="auto"/>
              <w:right w:val="single" w:sz="8" w:space="0" w:color="auto"/>
            </w:tcBorders>
          </w:tcPr>
          <w:p w14:paraId="25A2448A"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D2C28C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701" w:type="dxa"/>
            <w:tcBorders>
              <w:top w:val="single" w:sz="4" w:space="0" w:color="auto"/>
              <w:left w:val="nil"/>
              <w:bottom w:val="single" w:sz="4" w:space="0" w:color="auto"/>
              <w:right w:val="single" w:sz="8" w:space="0" w:color="auto"/>
            </w:tcBorders>
          </w:tcPr>
          <w:p w14:paraId="0225B23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7B33945D" w14:textId="77777777" w:rsidR="00632208" w:rsidRPr="0098635C" w:rsidRDefault="00632208" w:rsidP="00A432B0">
            <w:pPr>
              <w:spacing w:after="0"/>
              <w:rPr>
                <w:color w:val="000000" w:themeColor="text1"/>
                <w:sz w:val="20"/>
                <w:szCs w:val="20"/>
              </w:rPr>
            </w:pPr>
            <w:r w:rsidRPr="0098635C">
              <w:rPr>
                <w:color w:val="000000" w:themeColor="text1"/>
                <w:sz w:val="20"/>
                <w:szCs w:val="20"/>
              </w:rPr>
              <w:t>Nelson et al, 1985</w:t>
            </w:r>
          </w:p>
        </w:tc>
      </w:tr>
      <w:tr w:rsidR="00632208" w:rsidRPr="0098635C" w14:paraId="3B0F68BE"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05B2C99"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34CAC6A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427</w:t>
            </w:r>
          </w:p>
        </w:tc>
        <w:tc>
          <w:tcPr>
            <w:tcW w:w="1276" w:type="dxa"/>
            <w:tcBorders>
              <w:top w:val="single" w:sz="4" w:space="0" w:color="auto"/>
              <w:left w:val="nil"/>
              <w:bottom w:val="single" w:sz="4" w:space="0" w:color="auto"/>
              <w:right w:val="single" w:sz="8" w:space="0" w:color="auto"/>
            </w:tcBorders>
          </w:tcPr>
          <w:p w14:paraId="6233725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1417" w:type="dxa"/>
            <w:tcBorders>
              <w:top w:val="single" w:sz="4" w:space="0" w:color="auto"/>
              <w:left w:val="nil"/>
              <w:bottom w:val="single" w:sz="4" w:space="0" w:color="auto"/>
              <w:right w:val="single" w:sz="8" w:space="0" w:color="auto"/>
            </w:tcBorders>
          </w:tcPr>
          <w:p w14:paraId="6AB681F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7.3</w:t>
            </w:r>
          </w:p>
        </w:tc>
        <w:tc>
          <w:tcPr>
            <w:tcW w:w="1276" w:type="dxa"/>
            <w:tcBorders>
              <w:top w:val="single" w:sz="4" w:space="0" w:color="auto"/>
              <w:left w:val="nil"/>
              <w:bottom w:val="single" w:sz="4" w:space="0" w:color="auto"/>
              <w:right w:val="single" w:sz="8" w:space="0" w:color="auto"/>
            </w:tcBorders>
          </w:tcPr>
          <w:p w14:paraId="76A4E56D"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F027AB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90</w:t>
            </w:r>
          </w:p>
        </w:tc>
        <w:tc>
          <w:tcPr>
            <w:tcW w:w="1701" w:type="dxa"/>
            <w:tcBorders>
              <w:top w:val="single" w:sz="4" w:space="0" w:color="auto"/>
              <w:left w:val="nil"/>
              <w:bottom w:val="single" w:sz="4" w:space="0" w:color="auto"/>
              <w:right w:val="single" w:sz="8" w:space="0" w:color="auto"/>
            </w:tcBorders>
          </w:tcPr>
          <w:p w14:paraId="0D2B6D1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5605E42D" w14:textId="77777777" w:rsidR="00632208" w:rsidRPr="0098635C" w:rsidRDefault="00632208" w:rsidP="00A432B0">
            <w:pPr>
              <w:spacing w:after="0"/>
              <w:rPr>
                <w:color w:val="000000" w:themeColor="text1"/>
                <w:sz w:val="20"/>
                <w:szCs w:val="20"/>
              </w:rPr>
            </w:pPr>
            <w:r w:rsidRPr="0098635C">
              <w:rPr>
                <w:color w:val="000000" w:themeColor="text1"/>
                <w:sz w:val="20"/>
                <w:szCs w:val="20"/>
              </w:rPr>
              <w:t>Nelson et al, 1985</w:t>
            </w:r>
          </w:p>
        </w:tc>
      </w:tr>
      <w:tr w:rsidR="00632208" w:rsidRPr="0098635C" w14:paraId="4CD91076"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932050F"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6EF8E79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52</w:t>
            </w:r>
          </w:p>
        </w:tc>
        <w:tc>
          <w:tcPr>
            <w:tcW w:w="1276" w:type="dxa"/>
            <w:tcBorders>
              <w:top w:val="single" w:sz="4" w:space="0" w:color="auto"/>
              <w:left w:val="nil"/>
              <w:bottom w:val="single" w:sz="4" w:space="0" w:color="auto"/>
              <w:right w:val="single" w:sz="8" w:space="0" w:color="auto"/>
            </w:tcBorders>
          </w:tcPr>
          <w:p w14:paraId="5DD96F3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1417" w:type="dxa"/>
            <w:tcBorders>
              <w:top w:val="single" w:sz="4" w:space="0" w:color="auto"/>
              <w:left w:val="nil"/>
              <w:bottom w:val="single" w:sz="4" w:space="0" w:color="auto"/>
              <w:right w:val="single" w:sz="8" w:space="0" w:color="auto"/>
            </w:tcBorders>
          </w:tcPr>
          <w:p w14:paraId="798C3F0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7.7</w:t>
            </w:r>
          </w:p>
        </w:tc>
        <w:tc>
          <w:tcPr>
            <w:tcW w:w="1276" w:type="dxa"/>
            <w:tcBorders>
              <w:top w:val="single" w:sz="4" w:space="0" w:color="auto"/>
              <w:left w:val="nil"/>
              <w:bottom w:val="single" w:sz="4" w:space="0" w:color="auto"/>
              <w:right w:val="single" w:sz="8" w:space="0" w:color="auto"/>
            </w:tcBorders>
          </w:tcPr>
          <w:p w14:paraId="145C177D"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2BFDE5C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52</w:t>
            </w:r>
          </w:p>
        </w:tc>
        <w:tc>
          <w:tcPr>
            <w:tcW w:w="1701" w:type="dxa"/>
            <w:tcBorders>
              <w:top w:val="single" w:sz="4" w:space="0" w:color="auto"/>
              <w:left w:val="nil"/>
              <w:bottom w:val="single" w:sz="4" w:space="0" w:color="auto"/>
              <w:right w:val="single" w:sz="8" w:space="0" w:color="auto"/>
            </w:tcBorders>
          </w:tcPr>
          <w:p w14:paraId="46642B0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0BD3866F" w14:textId="77777777" w:rsidR="00632208" w:rsidRPr="0098635C" w:rsidRDefault="00632208" w:rsidP="00A432B0">
            <w:pPr>
              <w:spacing w:after="0"/>
              <w:rPr>
                <w:color w:val="000000" w:themeColor="text1"/>
                <w:sz w:val="20"/>
                <w:szCs w:val="20"/>
              </w:rPr>
            </w:pPr>
            <w:r w:rsidRPr="0098635C">
              <w:rPr>
                <w:color w:val="000000" w:themeColor="text1"/>
                <w:sz w:val="20"/>
                <w:szCs w:val="20"/>
              </w:rPr>
              <w:t>Nelson et al, 1985</w:t>
            </w:r>
          </w:p>
        </w:tc>
      </w:tr>
      <w:tr w:rsidR="00632208" w:rsidRPr="0098635C" w14:paraId="62FFE41E"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3E596B4A"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0775C95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171</w:t>
            </w:r>
          </w:p>
        </w:tc>
        <w:tc>
          <w:tcPr>
            <w:tcW w:w="1276" w:type="dxa"/>
            <w:tcBorders>
              <w:top w:val="single" w:sz="4" w:space="0" w:color="auto"/>
              <w:left w:val="nil"/>
              <w:bottom w:val="single" w:sz="4" w:space="0" w:color="auto"/>
              <w:right w:val="single" w:sz="8" w:space="0" w:color="auto"/>
            </w:tcBorders>
          </w:tcPr>
          <w:p w14:paraId="4CBA68D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1417" w:type="dxa"/>
            <w:tcBorders>
              <w:top w:val="single" w:sz="4" w:space="0" w:color="auto"/>
              <w:left w:val="nil"/>
              <w:bottom w:val="single" w:sz="4" w:space="0" w:color="auto"/>
              <w:right w:val="single" w:sz="8" w:space="0" w:color="auto"/>
            </w:tcBorders>
          </w:tcPr>
          <w:p w14:paraId="2656116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7.4</w:t>
            </w:r>
          </w:p>
        </w:tc>
        <w:tc>
          <w:tcPr>
            <w:tcW w:w="1276" w:type="dxa"/>
            <w:tcBorders>
              <w:top w:val="single" w:sz="4" w:space="0" w:color="auto"/>
              <w:left w:val="nil"/>
              <w:bottom w:val="single" w:sz="4" w:space="0" w:color="auto"/>
              <w:right w:val="single" w:sz="8" w:space="0" w:color="auto"/>
            </w:tcBorders>
          </w:tcPr>
          <w:p w14:paraId="4EE730FA"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164ED15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36</w:t>
            </w:r>
          </w:p>
        </w:tc>
        <w:tc>
          <w:tcPr>
            <w:tcW w:w="1701" w:type="dxa"/>
            <w:tcBorders>
              <w:top w:val="single" w:sz="4" w:space="0" w:color="auto"/>
              <w:left w:val="nil"/>
              <w:bottom w:val="single" w:sz="4" w:space="0" w:color="auto"/>
              <w:right w:val="single" w:sz="8" w:space="0" w:color="auto"/>
            </w:tcBorders>
          </w:tcPr>
          <w:p w14:paraId="68C2E83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1853D430" w14:textId="77777777" w:rsidR="00632208" w:rsidRPr="0098635C" w:rsidRDefault="00632208" w:rsidP="00A432B0">
            <w:pPr>
              <w:spacing w:after="0"/>
              <w:rPr>
                <w:color w:val="000000" w:themeColor="text1"/>
                <w:sz w:val="20"/>
                <w:szCs w:val="20"/>
              </w:rPr>
            </w:pPr>
            <w:r w:rsidRPr="0098635C">
              <w:rPr>
                <w:color w:val="000000" w:themeColor="text1"/>
                <w:sz w:val="20"/>
                <w:szCs w:val="20"/>
              </w:rPr>
              <w:t>Nelson et al, 1985</w:t>
            </w:r>
          </w:p>
        </w:tc>
      </w:tr>
      <w:tr w:rsidR="00632208" w:rsidRPr="0098635C" w14:paraId="4BF8E082"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DDF32F6"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46B2B59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210</w:t>
            </w:r>
          </w:p>
        </w:tc>
        <w:tc>
          <w:tcPr>
            <w:tcW w:w="1276" w:type="dxa"/>
            <w:tcBorders>
              <w:top w:val="single" w:sz="4" w:space="0" w:color="auto"/>
              <w:left w:val="nil"/>
              <w:bottom w:val="single" w:sz="4" w:space="0" w:color="auto"/>
              <w:right w:val="single" w:sz="8" w:space="0" w:color="auto"/>
            </w:tcBorders>
          </w:tcPr>
          <w:p w14:paraId="50ED8B3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4401C41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7.4</w:t>
            </w:r>
          </w:p>
        </w:tc>
        <w:tc>
          <w:tcPr>
            <w:tcW w:w="1276" w:type="dxa"/>
            <w:tcBorders>
              <w:top w:val="single" w:sz="4" w:space="0" w:color="auto"/>
              <w:left w:val="nil"/>
              <w:bottom w:val="single" w:sz="4" w:space="0" w:color="auto"/>
              <w:right w:val="single" w:sz="8" w:space="0" w:color="auto"/>
            </w:tcBorders>
          </w:tcPr>
          <w:p w14:paraId="12CDB3A1"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870DD3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103</w:t>
            </w:r>
          </w:p>
        </w:tc>
        <w:tc>
          <w:tcPr>
            <w:tcW w:w="1701" w:type="dxa"/>
            <w:tcBorders>
              <w:top w:val="single" w:sz="4" w:space="0" w:color="auto"/>
              <w:left w:val="nil"/>
              <w:bottom w:val="single" w:sz="4" w:space="0" w:color="auto"/>
              <w:right w:val="single" w:sz="8" w:space="0" w:color="auto"/>
            </w:tcBorders>
          </w:tcPr>
          <w:p w14:paraId="1CE3438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55A23C87" w14:textId="77777777" w:rsidR="00632208" w:rsidRPr="0098635C" w:rsidRDefault="00632208" w:rsidP="00A432B0">
            <w:pPr>
              <w:spacing w:after="0"/>
              <w:rPr>
                <w:color w:val="000000" w:themeColor="text1"/>
                <w:sz w:val="20"/>
                <w:szCs w:val="20"/>
              </w:rPr>
            </w:pPr>
            <w:r w:rsidRPr="0098635C">
              <w:rPr>
                <w:color w:val="000000" w:themeColor="text1"/>
                <w:sz w:val="20"/>
                <w:szCs w:val="20"/>
              </w:rPr>
              <w:t>Birge et al, 1983</w:t>
            </w:r>
          </w:p>
        </w:tc>
      </w:tr>
      <w:tr w:rsidR="00632208" w:rsidRPr="0098635C" w14:paraId="7E1554A6"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5C9B06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4581E6D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360</w:t>
            </w:r>
          </w:p>
        </w:tc>
        <w:tc>
          <w:tcPr>
            <w:tcW w:w="1276" w:type="dxa"/>
            <w:tcBorders>
              <w:top w:val="single" w:sz="4" w:space="0" w:color="auto"/>
              <w:left w:val="nil"/>
              <w:bottom w:val="single" w:sz="4" w:space="0" w:color="auto"/>
              <w:right w:val="single" w:sz="8" w:space="0" w:color="auto"/>
            </w:tcBorders>
          </w:tcPr>
          <w:p w14:paraId="23829F0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651AA05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7.4</w:t>
            </w:r>
          </w:p>
        </w:tc>
        <w:tc>
          <w:tcPr>
            <w:tcW w:w="1276" w:type="dxa"/>
            <w:tcBorders>
              <w:top w:val="single" w:sz="4" w:space="0" w:color="auto"/>
              <w:left w:val="nil"/>
              <w:bottom w:val="single" w:sz="4" w:space="0" w:color="auto"/>
              <w:right w:val="single" w:sz="8" w:space="0" w:color="auto"/>
            </w:tcBorders>
          </w:tcPr>
          <w:p w14:paraId="4986CFB3"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53DADD8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103</w:t>
            </w:r>
          </w:p>
        </w:tc>
        <w:tc>
          <w:tcPr>
            <w:tcW w:w="1701" w:type="dxa"/>
            <w:tcBorders>
              <w:top w:val="single" w:sz="4" w:space="0" w:color="auto"/>
              <w:left w:val="nil"/>
              <w:bottom w:val="single" w:sz="4" w:space="0" w:color="auto"/>
              <w:right w:val="single" w:sz="8" w:space="0" w:color="auto"/>
            </w:tcBorders>
          </w:tcPr>
          <w:p w14:paraId="0E71FD5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46106591" w14:textId="77777777" w:rsidR="00632208" w:rsidRPr="0098635C" w:rsidRDefault="00632208" w:rsidP="00A432B0">
            <w:pPr>
              <w:spacing w:after="0"/>
              <w:rPr>
                <w:color w:val="000000" w:themeColor="text1"/>
                <w:sz w:val="20"/>
                <w:szCs w:val="20"/>
              </w:rPr>
            </w:pPr>
            <w:r w:rsidRPr="0098635C">
              <w:rPr>
                <w:color w:val="000000" w:themeColor="text1"/>
                <w:sz w:val="20"/>
                <w:szCs w:val="20"/>
              </w:rPr>
              <w:t>Birge et al, 1983</w:t>
            </w:r>
          </w:p>
        </w:tc>
      </w:tr>
      <w:tr w:rsidR="00632208" w:rsidRPr="0098635C" w14:paraId="79F19B35"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135D5081"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7DE6236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390</w:t>
            </w:r>
          </w:p>
        </w:tc>
        <w:tc>
          <w:tcPr>
            <w:tcW w:w="1276" w:type="dxa"/>
            <w:tcBorders>
              <w:top w:val="single" w:sz="4" w:space="0" w:color="auto"/>
              <w:left w:val="nil"/>
              <w:bottom w:val="single" w:sz="4" w:space="0" w:color="auto"/>
              <w:right w:val="single" w:sz="8" w:space="0" w:color="auto"/>
            </w:tcBorders>
          </w:tcPr>
          <w:p w14:paraId="00EA002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2C141C2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7.4</w:t>
            </w:r>
          </w:p>
        </w:tc>
        <w:tc>
          <w:tcPr>
            <w:tcW w:w="1276" w:type="dxa"/>
            <w:tcBorders>
              <w:top w:val="single" w:sz="4" w:space="0" w:color="auto"/>
              <w:left w:val="nil"/>
              <w:bottom w:val="single" w:sz="4" w:space="0" w:color="auto"/>
              <w:right w:val="single" w:sz="8" w:space="0" w:color="auto"/>
            </w:tcBorders>
          </w:tcPr>
          <w:p w14:paraId="1A88CB0E"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CE2909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262.5</w:t>
            </w:r>
          </w:p>
        </w:tc>
        <w:tc>
          <w:tcPr>
            <w:tcW w:w="1701" w:type="dxa"/>
            <w:tcBorders>
              <w:top w:val="single" w:sz="4" w:space="0" w:color="auto"/>
              <w:left w:val="nil"/>
              <w:bottom w:val="single" w:sz="4" w:space="0" w:color="auto"/>
              <w:right w:val="single" w:sz="8" w:space="0" w:color="auto"/>
            </w:tcBorders>
          </w:tcPr>
          <w:p w14:paraId="6AD2EC4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38BE5C8F" w14:textId="77777777" w:rsidR="00632208" w:rsidRPr="0098635C" w:rsidRDefault="00632208" w:rsidP="00A432B0">
            <w:pPr>
              <w:spacing w:after="0"/>
              <w:rPr>
                <w:color w:val="000000" w:themeColor="text1"/>
                <w:sz w:val="20"/>
                <w:szCs w:val="20"/>
              </w:rPr>
            </w:pPr>
            <w:r w:rsidRPr="0098635C">
              <w:rPr>
                <w:color w:val="000000" w:themeColor="text1"/>
                <w:sz w:val="20"/>
                <w:szCs w:val="20"/>
              </w:rPr>
              <w:t>Birge et al, 1983</w:t>
            </w:r>
          </w:p>
        </w:tc>
      </w:tr>
      <w:tr w:rsidR="00632208" w:rsidRPr="0098635C" w14:paraId="75A5BBE3"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44DC4879"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Pimephales promelas</w:t>
            </w:r>
          </w:p>
        </w:tc>
        <w:tc>
          <w:tcPr>
            <w:tcW w:w="1134" w:type="dxa"/>
            <w:tcBorders>
              <w:top w:val="single" w:sz="4" w:space="0" w:color="auto"/>
              <w:left w:val="nil"/>
              <w:bottom w:val="single" w:sz="4" w:space="0" w:color="auto"/>
              <w:right w:val="single" w:sz="8" w:space="0" w:color="auto"/>
            </w:tcBorders>
          </w:tcPr>
          <w:p w14:paraId="51D52C7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410</w:t>
            </w:r>
          </w:p>
        </w:tc>
        <w:tc>
          <w:tcPr>
            <w:tcW w:w="1276" w:type="dxa"/>
            <w:tcBorders>
              <w:top w:val="single" w:sz="4" w:space="0" w:color="auto"/>
              <w:left w:val="nil"/>
              <w:bottom w:val="single" w:sz="4" w:space="0" w:color="auto"/>
              <w:right w:val="single" w:sz="8" w:space="0" w:color="auto"/>
            </w:tcBorders>
          </w:tcPr>
          <w:p w14:paraId="7A188BC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1AB73F5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7.4</w:t>
            </w:r>
          </w:p>
        </w:tc>
        <w:tc>
          <w:tcPr>
            <w:tcW w:w="1276" w:type="dxa"/>
            <w:tcBorders>
              <w:top w:val="single" w:sz="4" w:space="0" w:color="auto"/>
              <w:left w:val="nil"/>
              <w:bottom w:val="single" w:sz="4" w:space="0" w:color="auto"/>
              <w:right w:val="single" w:sz="8" w:space="0" w:color="auto"/>
            </w:tcBorders>
          </w:tcPr>
          <w:p w14:paraId="0306A62F"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312212E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262.5</w:t>
            </w:r>
          </w:p>
        </w:tc>
        <w:tc>
          <w:tcPr>
            <w:tcW w:w="1701" w:type="dxa"/>
            <w:tcBorders>
              <w:top w:val="single" w:sz="4" w:space="0" w:color="auto"/>
              <w:left w:val="nil"/>
              <w:bottom w:val="single" w:sz="4" w:space="0" w:color="auto"/>
              <w:right w:val="single" w:sz="8" w:space="0" w:color="auto"/>
            </w:tcBorders>
          </w:tcPr>
          <w:p w14:paraId="033CA3E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4868C04A" w14:textId="77777777" w:rsidR="00632208" w:rsidRPr="0098635C" w:rsidRDefault="00632208" w:rsidP="00A432B0">
            <w:pPr>
              <w:spacing w:after="0"/>
              <w:rPr>
                <w:color w:val="000000" w:themeColor="text1"/>
                <w:sz w:val="20"/>
                <w:szCs w:val="20"/>
              </w:rPr>
            </w:pPr>
            <w:r w:rsidRPr="0098635C">
              <w:rPr>
                <w:color w:val="000000" w:themeColor="text1"/>
                <w:sz w:val="20"/>
                <w:szCs w:val="20"/>
              </w:rPr>
              <w:t>Birge et al, 1983</w:t>
            </w:r>
          </w:p>
        </w:tc>
      </w:tr>
      <w:tr w:rsidR="00632208" w:rsidRPr="0098635C" w14:paraId="7C3027C7"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7225DE9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lastRenderedPageBreak/>
              <w:t>Lepomis macrochirus</w:t>
            </w:r>
          </w:p>
        </w:tc>
        <w:tc>
          <w:tcPr>
            <w:tcW w:w="1134" w:type="dxa"/>
            <w:tcBorders>
              <w:top w:val="single" w:sz="4" w:space="0" w:color="auto"/>
              <w:left w:val="nil"/>
              <w:bottom w:val="single" w:sz="4" w:space="0" w:color="auto"/>
              <w:right w:val="single" w:sz="8" w:space="0" w:color="auto"/>
            </w:tcBorders>
          </w:tcPr>
          <w:p w14:paraId="31D9FD4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4250</w:t>
            </w:r>
          </w:p>
        </w:tc>
        <w:tc>
          <w:tcPr>
            <w:tcW w:w="1276" w:type="dxa"/>
            <w:tcBorders>
              <w:top w:val="single" w:sz="4" w:space="0" w:color="auto"/>
              <w:left w:val="nil"/>
              <w:bottom w:val="single" w:sz="4" w:space="0" w:color="auto"/>
              <w:right w:val="single" w:sz="8" w:space="0" w:color="auto"/>
            </w:tcBorders>
          </w:tcPr>
          <w:p w14:paraId="12D6A1A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w:t>
            </w:r>
          </w:p>
        </w:tc>
        <w:tc>
          <w:tcPr>
            <w:tcW w:w="1417" w:type="dxa"/>
            <w:tcBorders>
              <w:top w:val="single" w:sz="4" w:space="0" w:color="auto"/>
              <w:left w:val="nil"/>
              <w:bottom w:val="single" w:sz="4" w:space="0" w:color="auto"/>
              <w:right w:val="single" w:sz="8" w:space="0" w:color="auto"/>
            </w:tcBorders>
          </w:tcPr>
          <w:p w14:paraId="4F05409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178CADEA"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AF8AC8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318</w:t>
            </w:r>
          </w:p>
        </w:tc>
        <w:tc>
          <w:tcPr>
            <w:tcW w:w="1701" w:type="dxa"/>
            <w:tcBorders>
              <w:top w:val="single" w:sz="4" w:space="0" w:color="auto"/>
              <w:left w:val="nil"/>
              <w:bottom w:val="single" w:sz="4" w:space="0" w:color="auto"/>
              <w:right w:val="single" w:sz="8" w:space="0" w:color="auto"/>
            </w:tcBorders>
          </w:tcPr>
          <w:p w14:paraId="010035B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0019E343"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1976</w:t>
            </w:r>
          </w:p>
        </w:tc>
      </w:tr>
      <w:tr w:rsidR="00632208" w:rsidRPr="0098635C" w14:paraId="7A9013CF"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E72E999"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Lepomis macrochirus</w:t>
            </w:r>
          </w:p>
        </w:tc>
        <w:tc>
          <w:tcPr>
            <w:tcW w:w="1134" w:type="dxa"/>
            <w:tcBorders>
              <w:top w:val="single" w:sz="4" w:space="0" w:color="auto"/>
              <w:left w:val="nil"/>
              <w:bottom w:val="single" w:sz="4" w:space="0" w:color="auto"/>
              <w:right w:val="single" w:sz="8" w:space="0" w:color="auto"/>
            </w:tcBorders>
          </w:tcPr>
          <w:p w14:paraId="7978805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4300</w:t>
            </w:r>
          </w:p>
        </w:tc>
        <w:tc>
          <w:tcPr>
            <w:tcW w:w="1276" w:type="dxa"/>
            <w:tcBorders>
              <w:top w:val="single" w:sz="4" w:space="0" w:color="auto"/>
              <w:left w:val="nil"/>
              <w:bottom w:val="single" w:sz="4" w:space="0" w:color="auto"/>
              <w:right w:val="single" w:sz="8" w:space="0" w:color="auto"/>
            </w:tcBorders>
          </w:tcPr>
          <w:p w14:paraId="1EE0DA8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w:t>
            </w:r>
          </w:p>
        </w:tc>
        <w:tc>
          <w:tcPr>
            <w:tcW w:w="1417" w:type="dxa"/>
            <w:tcBorders>
              <w:top w:val="single" w:sz="4" w:space="0" w:color="auto"/>
              <w:left w:val="nil"/>
              <w:bottom w:val="single" w:sz="4" w:space="0" w:color="auto"/>
              <w:right w:val="single" w:sz="8" w:space="0" w:color="auto"/>
            </w:tcBorders>
          </w:tcPr>
          <w:p w14:paraId="332B709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1276" w:type="dxa"/>
            <w:tcBorders>
              <w:top w:val="single" w:sz="4" w:space="0" w:color="auto"/>
              <w:left w:val="nil"/>
              <w:bottom w:val="single" w:sz="4" w:space="0" w:color="auto"/>
              <w:right w:val="single" w:sz="8" w:space="0" w:color="auto"/>
            </w:tcBorders>
          </w:tcPr>
          <w:p w14:paraId="248B0FA6"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5E40F0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316</w:t>
            </w:r>
          </w:p>
        </w:tc>
        <w:tc>
          <w:tcPr>
            <w:tcW w:w="1701" w:type="dxa"/>
            <w:tcBorders>
              <w:top w:val="single" w:sz="4" w:space="0" w:color="auto"/>
              <w:left w:val="nil"/>
              <w:bottom w:val="single" w:sz="4" w:space="0" w:color="auto"/>
              <w:right w:val="single" w:sz="8" w:space="0" w:color="auto"/>
            </w:tcBorders>
          </w:tcPr>
          <w:p w14:paraId="19212A1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285907E1"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1976</w:t>
            </w:r>
          </w:p>
        </w:tc>
      </w:tr>
      <w:tr w:rsidR="00632208" w:rsidRPr="0098635C" w14:paraId="1C6B623E"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0454DA93"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Lepomis macrochirus</w:t>
            </w:r>
          </w:p>
        </w:tc>
        <w:tc>
          <w:tcPr>
            <w:tcW w:w="1134" w:type="dxa"/>
            <w:tcBorders>
              <w:top w:val="single" w:sz="4" w:space="0" w:color="auto"/>
              <w:left w:val="nil"/>
              <w:bottom w:val="single" w:sz="4" w:space="0" w:color="auto"/>
              <w:right w:val="single" w:sz="8" w:space="0" w:color="auto"/>
            </w:tcBorders>
          </w:tcPr>
          <w:p w14:paraId="4651DBF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9150</w:t>
            </w:r>
          </w:p>
        </w:tc>
        <w:tc>
          <w:tcPr>
            <w:tcW w:w="1276" w:type="dxa"/>
            <w:tcBorders>
              <w:top w:val="single" w:sz="4" w:space="0" w:color="auto"/>
              <w:left w:val="nil"/>
              <w:bottom w:val="single" w:sz="4" w:space="0" w:color="auto"/>
              <w:right w:val="single" w:sz="8" w:space="0" w:color="auto"/>
            </w:tcBorders>
          </w:tcPr>
          <w:p w14:paraId="4D6FA2A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24</w:t>
            </w:r>
          </w:p>
        </w:tc>
        <w:tc>
          <w:tcPr>
            <w:tcW w:w="1417" w:type="dxa"/>
            <w:tcBorders>
              <w:top w:val="single" w:sz="4" w:space="0" w:color="auto"/>
              <w:left w:val="nil"/>
              <w:bottom w:val="single" w:sz="4" w:space="0" w:color="auto"/>
              <w:right w:val="single" w:sz="8" w:space="0" w:color="auto"/>
            </w:tcBorders>
          </w:tcPr>
          <w:p w14:paraId="4EBF2B3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276" w:type="dxa"/>
            <w:tcBorders>
              <w:top w:val="single" w:sz="4" w:space="0" w:color="auto"/>
              <w:left w:val="nil"/>
              <w:bottom w:val="single" w:sz="4" w:space="0" w:color="auto"/>
              <w:right w:val="single" w:sz="8" w:space="0" w:color="auto"/>
            </w:tcBorders>
          </w:tcPr>
          <w:p w14:paraId="16EAD62C"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4A2717F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200</w:t>
            </w:r>
          </w:p>
        </w:tc>
        <w:tc>
          <w:tcPr>
            <w:tcW w:w="1701" w:type="dxa"/>
            <w:tcBorders>
              <w:top w:val="single" w:sz="4" w:space="0" w:color="auto"/>
              <w:left w:val="nil"/>
              <w:bottom w:val="single" w:sz="4" w:space="0" w:color="auto"/>
              <w:right w:val="single" w:sz="8" w:space="0" w:color="auto"/>
            </w:tcBorders>
          </w:tcPr>
          <w:p w14:paraId="58D06C7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lab water</w:t>
            </w:r>
          </w:p>
        </w:tc>
        <w:tc>
          <w:tcPr>
            <w:tcW w:w="2409" w:type="dxa"/>
            <w:tcBorders>
              <w:top w:val="single" w:sz="4" w:space="0" w:color="auto"/>
              <w:left w:val="nil"/>
              <w:bottom w:val="single" w:sz="4" w:space="0" w:color="auto"/>
              <w:right w:val="double" w:sz="6" w:space="0" w:color="auto"/>
            </w:tcBorders>
          </w:tcPr>
          <w:p w14:paraId="4EDD574F" w14:textId="77777777" w:rsidR="00632208" w:rsidRPr="0098635C" w:rsidRDefault="00632208" w:rsidP="00A432B0">
            <w:pPr>
              <w:spacing w:after="0"/>
              <w:rPr>
                <w:color w:val="000000" w:themeColor="text1"/>
                <w:sz w:val="20"/>
                <w:szCs w:val="20"/>
              </w:rPr>
            </w:pPr>
            <w:r w:rsidRPr="0098635C">
              <w:rPr>
                <w:color w:val="000000" w:themeColor="text1"/>
                <w:sz w:val="20"/>
                <w:szCs w:val="20"/>
              </w:rPr>
              <w:t>Geckler et al, 1976</w:t>
            </w:r>
          </w:p>
        </w:tc>
      </w:tr>
      <w:tr w:rsidR="00632208" w:rsidRPr="0098635C" w14:paraId="23F5CE2A"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5EA4B79E"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Lepomis macrochirus</w:t>
            </w:r>
          </w:p>
        </w:tc>
        <w:tc>
          <w:tcPr>
            <w:tcW w:w="1134" w:type="dxa"/>
            <w:tcBorders>
              <w:top w:val="single" w:sz="4" w:space="0" w:color="auto"/>
              <w:left w:val="nil"/>
              <w:bottom w:val="single" w:sz="4" w:space="0" w:color="auto"/>
              <w:right w:val="single" w:sz="8" w:space="0" w:color="auto"/>
            </w:tcBorders>
          </w:tcPr>
          <w:p w14:paraId="7025131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1000</w:t>
            </w:r>
          </w:p>
        </w:tc>
        <w:tc>
          <w:tcPr>
            <w:tcW w:w="1276" w:type="dxa"/>
            <w:tcBorders>
              <w:top w:val="single" w:sz="4" w:space="0" w:color="auto"/>
              <w:left w:val="nil"/>
              <w:bottom w:val="single" w:sz="4" w:space="0" w:color="auto"/>
              <w:right w:val="single" w:sz="8" w:space="0" w:color="auto"/>
            </w:tcBorders>
          </w:tcPr>
          <w:p w14:paraId="595A72B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1417" w:type="dxa"/>
            <w:tcBorders>
              <w:top w:val="single" w:sz="4" w:space="0" w:color="auto"/>
              <w:left w:val="nil"/>
              <w:bottom w:val="single" w:sz="4" w:space="0" w:color="auto"/>
              <w:right w:val="single" w:sz="8" w:space="0" w:color="auto"/>
            </w:tcBorders>
          </w:tcPr>
          <w:p w14:paraId="7DF0693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7.2</w:t>
            </w:r>
          </w:p>
        </w:tc>
        <w:tc>
          <w:tcPr>
            <w:tcW w:w="1276" w:type="dxa"/>
            <w:tcBorders>
              <w:top w:val="single" w:sz="4" w:space="0" w:color="auto"/>
              <w:left w:val="nil"/>
              <w:bottom w:val="single" w:sz="4" w:space="0" w:color="auto"/>
              <w:right w:val="single" w:sz="8" w:space="0" w:color="auto"/>
            </w:tcBorders>
          </w:tcPr>
          <w:p w14:paraId="0B024C4A"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7235618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40.2</w:t>
            </w:r>
          </w:p>
        </w:tc>
        <w:tc>
          <w:tcPr>
            <w:tcW w:w="1701" w:type="dxa"/>
            <w:tcBorders>
              <w:top w:val="single" w:sz="4" w:space="0" w:color="auto"/>
              <w:left w:val="nil"/>
              <w:bottom w:val="single" w:sz="4" w:space="0" w:color="auto"/>
              <w:right w:val="single" w:sz="8" w:space="0" w:color="auto"/>
            </w:tcBorders>
          </w:tcPr>
          <w:p w14:paraId="04ECB16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tap water</w:t>
            </w:r>
          </w:p>
        </w:tc>
        <w:tc>
          <w:tcPr>
            <w:tcW w:w="2409" w:type="dxa"/>
            <w:tcBorders>
              <w:top w:val="single" w:sz="4" w:space="0" w:color="auto"/>
              <w:left w:val="nil"/>
              <w:bottom w:val="single" w:sz="4" w:space="0" w:color="auto"/>
              <w:right w:val="double" w:sz="6" w:space="0" w:color="auto"/>
            </w:tcBorders>
          </w:tcPr>
          <w:p w14:paraId="075D5E42" w14:textId="77777777" w:rsidR="00632208" w:rsidRPr="0098635C" w:rsidRDefault="00632208" w:rsidP="00A432B0">
            <w:pPr>
              <w:spacing w:after="0"/>
              <w:rPr>
                <w:color w:val="000000" w:themeColor="text1"/>
                <w:sz w:val="20"/>
                <w:szCs w:val="20"/>
              </w:rPr>
            </w:pPr>
            <w:r w:rsidRPr="0098635C">
              <w:rPr>
                <w:color w:val="000000" w:themeColor="text1"/>
                <w:sz w:val="20"/>
                <w:szCs w:val="20"/>
              </w:rPr>
              <w:t>Thompson et al, 1980</w:t>
            </w:r>
          </w:p>
        </w:tc>
      </w:tr>
      <w:tr w:rsidR="00632208" w:rsidRPr="0098635C" w14:paraId="7E5062F0"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7F2DFF9"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Lepomis macrochirus</w:t>
            </w:r>
          </w:p>
        </w:tc>
        <w:tc>
          <w:tcPr>
            <w:tcW w:w="1134" w:type="dxa"/>
            <w:tcBorders>
              <w:top w:val="single" w:sz="4" w:space="0" w:color="auto"/>
              <w:left w:val="nil"/>
              <w:bottom w:val="single" w:sz="4" w:space="0" w:color="auto"/>
              <w:right w:val="single" w:sz="8" w:space="0" w:color="auto"/>
            </w:tcBorders>
          </w:tcPr>
          <w:p w14:paraId="2B872E9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1100</w:t>
            </w:r>
          </w:p>
        </w:tc>
        <w:tc>
          <w:tcPr>
            <w:tcW w:w="1276" w:type="dxa"/>
            <w:tcBorders>
              <w:top w:val="single" w:sz="4" w:space="0" w:color="auto"/>
              <w:left w:val="nil"/>
              <w:bottom w:val="single" w:sz="4" w:space="0" w:color="auto"/>
              <w:right w:val="single" w:sz="8" w:space="0" w:color="auto"/>
            </w:tcBorders>
          </w:tcPr>
          <w:p w14:paraId="7C126C1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69C941A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tc>
        <w:tc>
          <w:tcPr>
            <w:tcW w:w="1276" w:type="dxa"/>
            <w:tcBorders>
              <w:top w:val="single" w:sz="4" w:space="0" w:color="auto"/>
              <w:left w:val="nil"/>
              <w:bottom w:val="single" w:sz="4" w:space="0" w:color="auto"/>
              <w:right w:val="single" w:sz="8" w:space="0" w:color="auto"/>
            </w:tcBorders>
          </w:tcPr>
          <w:p w14:paraId="68E9D1AE"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6D1DEAC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w:t>
            </w:r>
          </w:p>
        </w:tc>
        <w:tc>
          <w:tcPr>
            <w:tcW w:w="1701" w:type="dxa"/>
            <w:tcBorders>
              <w:top w:val="single" w:sz="4" w:space="0" w:color="auto"/>
              <w:left w:val="nil"/>
              <w:bottom w:val="single" w:sz="4" w:space="0" w:color="auto"/>
              <w:right w:val="single" w:sz="8" w:space="0" w:color="auto"/>
            </w:tcBorders>
          </w:tcPr>
          <w:p w14:paraId="2FC3F98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field water</w:t>
            </w:r>
          </w:p>
        </w:tc>
        <w:tc>
          <w:tcPr>
            <w:tcW w:w="2409" w:type="dxa"/>
            <w:tcBorders>
              <w:top w:val="single" w:sz="4" w:space="0" w:color="auto"/>
              <w:left w:val="nil"/>
              <w:bottom w:val="single" w:sz="4" w:space="0" w:color="auto"/>
              <w:right w:val="double" w:sz="6" w:space="0" w:color="auto"/>
            </w:tcBorders>
          </w:tcPr>
          <w:p w14:paraId="0C4997C7" w14:textId="77777777" w:rsidR="00632208" w:rsidRPr="0098635C" w:rsidRDefault="00632208" w:rsidP="00A432B0">
            <w:pPr>
              <w:spacing w:after="0"/>
              <w:rPr>
                <w:color w:val="000000" w:themeColor="text1"/>
                <w:sz w:val="20"/>
                <w:szCs w:val="20"/>
              </w:rPr>
            </w:pPr>
            <w:r w:rsidRPr="0098635C">
              <w:rPr>
                <w:color w:val="000000" w:themeColor="text1"/>
                <w:sz w:val="20"/>
                <w:szCs w:val="20"/>
              </w:rPr>
              <w:t>Benoit, 1975</w:t>
            </w:r>
          </w:p>
        </w:tc>
      </w:tr>
      <w:tr w:rsidR="00632208" w:rsidRPr="0098635C" w14:paraId="1155D279"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6CF0937C"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Lepomis macrochirus</w:t>
            </w:r>
          </w:p>
        </w:tc>
        <w:tc>
          <w:tcPr>
            <w:tcW w:w="1134" w:type="dxa"/>
            <w:tcBorders>
              <w:top w:val="single" w:sz="4" w:space="0" w:color="auto"/>
              <w:left w:val="nil"/>
              <w:bottom w:val="single" w:sz="4" w:space="0" w:color="auto"/>
              <w:right w:val="single" w:sz="8" w:space="0" w:color="auto"/>
            </w:tcBorders>
          </w:tcPr>
          <w:p w14:paraId="6456F77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710</w:t>
            </w:r>
          </w:p>
        </w:tc>
        <w:tc>
          <w:tcPr>
            <w:tcW w:w="1276" w:type="dxa"/>
            <w:tcBorders>
              <w:top w:val="single" w:sz="4" w:space="0" w:color="auto"/>
              <w:left w:val="nil"/>
              <w:bottom w:val="single" w:sz="4" w:space="0" w:color="auto"/>
              <w:right w:val="single" w:sz="8" w:space="0" w:color="auto"/>
            </w:tcBorders>
          </w:tcPr>
          <w:p w14:paraId="775FFD4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388441F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5.4</w:t>
            </w:r>
          </w:p>
        </w:tc>
        <w:tc>
          <w:tcPr>
            <w:tcW w:w="1276" w:type="dxa"/>
            <w:tcBorders>
              <w:top w:val="single" w:sz="4" w:space="0" w:color="auto"/>
              <w:left w:val="nil"/>
              <w:bottom w:val="single" w:sz="4" w:space="0" w:color="auto"/>
              <w:right w:val="single" w:sz="8" w:space="0" w:color="auto"/>
            </w:tcBorders>
          </w:tcPr>
          <w:p w14:paraId="44E485EA"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DF2374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46</w:t>
            </w:r>
          </w:p>
        </w:tc>
        <w:tc>
          <w:tcPr>
            <w:tcW w:w="1701" w:type="dxa"/>
            <w:tcBorders>
              <w:top w:val="single" w:sz="4" w:space="0" w:color="auto"/>
              <w:left w:val="nil"/>
              <w:bottom w:val="single" w:sz="4" w:space="0" w:color="auto"/>
              <w:right w:val="single" w:sz="8" w:space="0" w:color="auto"/>
            </w:tcBorders>
          </w:tcPr>
          <w:p w14:paraId="203F6D6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3C5483EC" w14:textId="77777777" w:rsidR="00632208" w:rsidRPr="0098635C" w:rsidRDefault="00632208" w:rsidP="00A432B0">
            <w:pPr>
              <w:spacing w:after="0"/>
              <w:rPr>
                <w:color w:val="000000" w:themeColor="text1"/>
                <w:sz w:val="20"/>
                <w:szCs w:val="20"/>
              </w:rPr>
            </w:pPr>
            <w:r w:rsidRPr="0098635C">
              <w:rPr>
                <w:color w:val="000000" w:themeColor="text1"/>
                <w:sz w:val="20"/>
                <w:szCs w:val="20"/>
              </w:rPr>
              <w:t>Trama, 1954</w:t>
            </w:r>
          </w:p>
        </w:tc>
      </w:tr>
      <w:tr w:rsidR="00632208" w:rsidRPr="0098635C" w14:paraId="69E2032C" w14:textId="77777777" w:rsidTr="00982513">
        <w:trPr>
          <w:trHeight w:val="105"/>
        </w:trPr>
        <w:tc>
          <w:tcPr>
            <w:tcW w:w="2498" w:type="dxa"/>
            <w:tcBorders>
              <w:top w:val="single" w:sz="4" w:space="0" w:color="auto"/>
              <w:left w:val="double" w:sz="6" w:space="0" w:color="auto"/>
              <w:bottom w:val="single" w:sz="4" w:space="0" w:color="auto"/>
              <w:right w:val="single" w:sz="8" w:space="0" w:color="auto"/>
            </w:tcBorders>
          </w:tcPr>
          <w:p w14:paraId="2478285A" w14:textId="77777777" w:rsidR="00632208" w:rsidRPr="0098635C" w:rsidRDefault="00632208" w:rsidP="00A432B0">
            <w:pPr>
              <w:spacing w:after="0"/>
              <w:rPr>
                <w:i/>
                <w:color w:val="000000" w:themeColor="text1"/>
                <w:sz w:val="20"/>
                <w:szCs w:val="20"/>
              </w:rPr>
            </w:pPr>
            <w:r w:rsidRPr="0098635C">
              <w:rPr>
                <w:i/>
                <w:color w:val="000000" w:themeColor="text1"/>
                <w:sz w:val="20"/>
                <w:szCs w:val="20"/>
              </w:rPr>
              <w:t>Lepomis macrochirus</w:t>
            </w:r>
          </w:p>
        </w:tc>
        <w:tc>
          <w:tcPr>
            <w:tcW w:w="1134" w:type="dxa"/>
            <w:tcBorders>
              <w:top w:val="single" w:sz="4" w:space="0" w:color="auto"/>
              <w:left w:val="nil"/>
              <w:bottom w:val="single" w:sz="4" w:space="0" w:color="auto"/>
              <w:right w:val="single" w:sz="8" w:space="0" w:color="auto"/>
            </w:tcBorders>
          </w:tcPr>
          <w:p w14:paraId="30B0C79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770</w:t>
            </w:r>
          </w:p>
        </w:tc>
        <w:tc>
          <w:tcPr>
            <w:tcW w:w="1276" w:type="dxa"/>
            <w:tcBorders>
              <w:top w:val="single" w:sz="4" w:space="0" w:color="auto"/>
              <w:left w:val="nil"/>
              <w:bottom w:val="single" w:sz="4" w:space="0" w:color="auto"/>
              <w:right w:val="single" w:sz="8" w:space="0" w:color="auto"/>
            </w:tcBorders>
          </w:tcPr>
          <w:p w14:paraId="08E6670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417" w:type="dxa"/>
            <w:tcBorders>
              <w:top w:val="single" w:sz="4" w:space="0" w:color="auto"/>
              <w:left w:val="nil"/>
              <w:bottom w:val="single" w:sz="4" w:space="0" w:color="auto"/>
              <w:right w:val="single" w:sz="8" w:space="0" w:color="auto"/>
            </w:tcBorders>
          </w:tcPr>
          <w:p w14:paraId="0A0AD8E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5.4</w:t>
            </w:r>
          </w:p>
        </w:tc>
        <w:tc>
          <w:tcPr>
            <w:tcW w:w="1276" w:type="dxa"/>
            <w:tcBorders>
              <w:top w:val="single" w:sz="4" w:space="0" w:color="auto"/>
              <w:left w:val="nil"/>
              <w:bottom w:val="single" w:sz="4" w:space="0" w:color="auto"/>
              <w:right w:val="single" w:sz="8" w:space="0" w:color="auto"/>
            </w:tcBorders>
          </w:tcPr>
          <w:p w14:paraId="5D2FBE3A" w14:textId="77777777" w:rsidR="00632208" w:rsidRPr="0098635C" w:rsidRDefault="00632208" w:rsidP="00A432B0">
            <w:pPr>
              <w:spacing w:after="0"/>
              <w:jc w:val="center"/>
              <w:rPr>
                <w:b/>
                <w:bCs/>
                <w:color w:val="000000" w:themeColor="text1"/>
                <w:sz w:val="20"/>
                <w:szCs w:val="20"/>
              </w:rPr>
            </w:pPr>
          </w:p>
        </w:tc>
        <w:tc>
          <w:tcPr>
            <w:tcW w:w="2126" w:type="dxa"/>
            <w:tcBorders>
              <w:top w:val="single" w:sz="4" w:space="0" w:color="auto"/>
              <w:left w:val="nil"/>
              <w:bottom w:val="single" w:sz="4" w:space="0" w:color="auto"/>
              <w:right w:val="single" w:sz="8" w:space="0" w:color="auto"/>
            </w:tcBorders>
          </w:tcPr>
          <w:p w14:paraId="0BA1ACA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46</w:t>
            </w:r>
          </w:p>
        </w:tc>
        <w:tc>
          <w:tcPr>
            <w:tcW w:w="1701" w:type="dxa"/>
            <w:tcBorders>
              <w:top w:val="single" w:sz="4" w:space="0" w:color="auto"/>
              <w:left w:val="nil"/>
              <w:bottom w:val="single" w:sz="4" w:space="0" w:color="auto"/>
              <w:right w:val="single" w:sz="8" w:space="0" w:color="auto"/>
            </w:tcBorders>
          </w:tcPr>
          <w:p w14:paraId="54689C7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reconstituted water</w:t>
            </w:r>
          </w:p>
        </w:tc>
        <w:tc>
          <w:tcPr>
            <w:tcW w:w="2409" w:type="dxa"/>
            <w:tcBorders>
              <w:top w:val="single" w:sz="4" w:space="0" w:color="auto"/>
              <w:left w:val="nil"/>
              <w:bottom w:val="single" w:sz="4" w:space="0" w:color="auto"/>
              <w:right w:val="double" w:sz="6" w:space="0" w:color="auto"/>
            </w:tcBorders>
          </w:tcPr>
          <w:p w14:paraId="4C47645C" w14:textId="77777777" w:rsidR="00632208" w:rsidRPr="0098635C" w:rsidRDefault="00632208" w:rsidP="00A432B0">
            <w:pPr>
              <w:spacing w:after="0"/>
              <w:rPr>
                <w:color w:val="000000" w:themeColor="text1"/>
                <w:sz w:val="20"/>
                <w:szCs w:val="20"/>
              </w:rPr>
            </w:pPr>
            <w:r w:rsidRPr="0098635C">
              <w:rPr>
                <w:color w:val="000000" w:themeColor="text1"/>
                <w:sz w:val="20"/>
                <w:szCs w:val="20"/>
              </w:rPr>
              <w:t>Trama, 1954</w:t>
            </w:r>
          </w:p>
        </w:tc>
      </w:tr>
    </w:tbl>
    <w:p w14:paraId="518A0341" w14:textId="77777777" w:rsidR="00632208" w:rsidRPr="0098635C" w:rsidRDefault="00632208" w:rsidP="00632208">
      <w:pPr>
        <w:rPr>
          <w:b/>
          <w:bCs/>
          <w:color w:val="000000" w:themeColor="text1"/>
          <w:sz w:val="20"/>
          <w:szCs w:val="20"/>
        </w:rPr>
      </w:pPr>
    </w:p>
    <w:p w14:paraId="36ABB9FE" w14:textId="77777777" w:rsidR="00632208" w:rsidRPr="0098635C" w:rsidRDefault="00632208" w:rsidP="00632208">
      <w:pPr>
        <w:rPr>
          <w:b/>
          <w:bCs/>
          <w:color w:val="000000" w:themeColor="text1"/>
          <w:sz w:val="20"/>
          <w:szCs w:val="20"/>
        </w:rPr>
      </w:pPr>
    </w:p>
    <w:p w14:paraId="4FCDF0CA" w14:textId="20E8DE07" w:rsidR="00983DC2" w:rsidRPr="0098635C" w:rsidRDefault="00EC6F09" w:rsidP="009B2B28">
      <w:pPr>
        <w:widowControl/>
        <w:autoSpaceDE/>
        <w:autoSpaceDN/>
        <w:adjustRightInd/>
        <w:spacing w:after="0"/>
        <w:jc w:val="left"/>
        <w:rPr>
          <w:rFonts w:eastAsia="Calibri"/>
          <w:color w:val="000000" w:themeColor="text1"/>
          <w:sz w:val="20"/>
          <w:szCs w:val="20"/>
        </w:rPr>
      </w:pPr>
      <w:r w:rsidRPr="0098635C">
        <w:rPr>
          <w:rFonts w:eastAsia="Calibri"/>
          <w:color w:val="000000" w:themeColor="text1"/>
          <w:sz w:val="20"/>
          <w:szCs w:val="20"/>
        </w:rPr>
        <w:t>Annex IX</w:t>
      </w:r>
      <w:r w:rsidR="009B2B28" w:rsidRPr="0098635C">
        <w:rPr>
          <w:rFonts w:eastAsia="Calibri"/>
          <w:color w:val="000000" w:themeColor="text1"/>
          <w:sz w:val="20"/>
          <w:szCs w:val="20"/>
        </w:rPr>
        <w:t xml:space="preserve">: Overview of Overview of the NOEC values (µg Cu/L) and physico-chemical parameters for freshwater fish. </w:t>
      </w:r>
    </w:p>
    <w:p w14:paraId="14BE109E" w14:textId="77777777" w:rsidR="00983DC2" w:rsidRPr="0098635C" w:rsidRDefault="00983DC2" w:rsidP="009B2B28">
      <w:pPr>
        <w:widowControl/>
        <w:autoSpaceDE/>
        <w:autoSpaceDN/>
        <w:adjustRightInd/>
        <w:spacing w:after="0"/>
        <w:jc w:val="left"/>
        <w:rPr>
          <w:rFonts w:eastAsia="Calibri"/>
          <w:color w:val="000000" w:themeColor="text1"/>
          <w:sz w:val="20"/>
          <w:szCs w:val="20"/>
        </w:rPr>
      </w:pPr>
    </w:p>
    <w:p w14:paraId="2BEE6AFB" w14:textId="2A9B5691" w:rsidR="009B2B28" w:rsidRPr="0098635C" w:rsidRDefault="009B2B28" w:rsidP="009B2B28">
      <w:pPr>
        <w:widowControl/>
        <w:autoSpaceDE/>
        <w:autoSpaceDN/>
        <w:adjustRightInd/>
        <w:spacing w:after="0"/>
        <w:jc w:val="left"/>
        <w:rPr>
          <w:b/>
          <w:bCs/>
          <w:color w:val="000000" w:themeColor="text1"/>
          <w:sz w:val="20"/>
          <w:szCs w:val="20"/>
        </w:rPr>
      </w:pPr>
      <w:r w:rsidRPr="0098635C">
        <w:rPr>
          <w:color w:val="000000" w:themeColor="text1"/>
          <w:sz w:val="20"/>
          <w:szCs w:val="20"/>
        </w:rPr>
        <w:t>Reported LC50values represent measured concentration levels, unless specified otherwise. FT= flow through, S= static, R= renewal; H= Hardness; d= days ; Cb= copper background concentration expressed as measured µg Cu/L</w:t>
      </w:r>
    </w:p>
    <w:p w14:paraId="110C4FE2" w14:textId="6D192800" w:rsidR="00632208" w:rsidRPr="0098635C" w:rsidRDefault="00632208" w:rsidP="00632208">
      <w:pPr>
        <w:spacing w:after="0"/>
        <w:rPr>
          <w:rFonts w:ascii="Arial" w:hAnsi="Arial" w:cs="Arial"/>
          <w:color w:val="000000" w:themeColor="text1"/>
          <w:sz w:val="20"/>
          <w:szCs w:val="20"/>
        </w:rPr>
      </w:pPr>
    </w:p>
    <w:p w14:paraId="20613991" w14:textId="77777777" w:rsidR="00632208" w:rsidRPr="0098635C" w:rsidRDefault="00632208" w:rsidP="00632208">
      <w:pPr>
        <w:spacing w:after="0"/>
        <w:rPr>
          <w:color w:val="000000" w:themeColor="text1"/>
          <w:sz w:val="20"/>
          <w:szCs w:val="20"/>
        </w:rPr>
      </w:pPr>
    </w:p>
    <w:tbl>
      <w:tblPr>
        <w:tblW w:w="16105" w:type="dxa"/>
        <w:tblInd w:w="-972" w:type="dxa"/>
        <w:tblLayout w:type="fixed"/>
        <w:tblLook w:val="0000" w:firstRow="0" w:lastRow="0" w:firstColumn="0" w:lastColumn="0" w:noHBand="0" w:noVBand="0"/>
      </w:tblPr>
      <w:tblGrid>
        <w:gridCol w:w="665"/>
        <w:gridCol w:w="982"/>
        <w:gridCol w:w="1701"/>
        <w:gridCol w:w="709"/>
        <w:gridCol w:w="1276"/>
        <w:gridCol w:w="850"/>
        <w:gridCol w:w="709"/>
        <w:gridCol w:w="709"/>
        <w:gridCol w:w="3118"/>
        <w:gridCol w:w="1003"/>
        <w:gridCol w:w="257"/>
        <w:gridCol w:w="4126"/>
      </w:tblGrid>
      <w:tr w:rsidR="00632208" w:rsidRPr="0098635C" w14:paraId="4CF416C3" w14:textId="77777777" w:rsidTr="00982513">
        <w:trPr>
          <w:trHeight w:val="464"/>
        </w:trPr>
        <w:tc>
          <w:tcPr>
            <w:tcW w:w="1647" w:type="dxa"/>
            <w:gridSpan w:val="2"/>
            <w:tcBorders>
              <w:top w:val="double" w:sz="6" w:space="0" w:color="auto"/>
              <w:left w:val="double" w:sz="6" w:space="0" w:color="auto"/>
              <w:bottom w:val="single" w:sz="4" w:space="0" w:color="auto"/>
              <w:right w:val="single" w:sz="8" w:space="0" w:color="auto"/>
            </w:tcBorders>
          </w:tcPr>
          <w:p w14:paraId="4CEA2673" w14:textId="77777777" w:rsidR="00632208" w:rsidRPr="0098635C" w:rsidRDefault="00632208" w:rsidP="00A432B0">
            <w:pPr>
              <w:spacing w:after="0"/>
              <w:rPr>
                <w:b/>
                <w:bCs/>
                <w:color w:val="000000" w:themeColor="text1"/>
                <w:sz w:val="20"/>
                <w:szCs w:val="20"/>
              </w:rPr>
            </w:pPr>
            <w:r w:rsidRPr="0098635C">
              <w:rPr>
                <w:b/>
                <w:bCs/>
                <w:color w:val="000000" w:themeColor="text1"/>
                <w:sz w:val="20"/>
                <w:szCs w:val="20"/>
              </w:rPr>
              <w:t>Organism</w:t>
            </w:r>
          </w:p>
        </w:tc>
        <w:tc>
          <w:tcPr>
            <w:tcW w:w="1701" w:type="dxa"/>
            <w:tcBorders>
              <w:top w:val="double" w:sz="6" w:space="0" w:color="auto"/>
              <w:left w:val="single" w:sz="8" w:space="0" w:color="auto"/>
              <w:bottom w:val="single" w:sz="4" w:space="0" w:color="auto"/>
              <w:right w:val="single" w:sz="8" w:space="0" w:color="auto"/>
            </w:tcBorders>
          </w:tcPr>
          <w:p w14:paraId="4DD1DB26" w14:textId="77777777" w:rsidR="00632208" w:rsidRPr="0098635C" w:rsidRDefault="00632208" w:rsidP="00A432B0">
            <w:pPr>
              <w:spacing w:after="0"/>
              <w:rPr>
                <w:b/>
                <w:bCs/>
                <w:color w:val="000000" w:themeColor="text1"/>
                <w:sz w:val="20"/>
                <w:szCs w:val="20"/>
              </w:rPr>
            </w:pPr>
            <w:r w:rsidRPr="0098635C">
              <w:rPr>
                <w:b/>
                <w:bCs/>
                <w:color w:val="000000" w:themeColor="text1"/>
                <w:sz w:val="20"/>
                <w:szCs w:val="20"/>
              </w:rPr>
              <w:t>Age/size of organisms</w:t>
            </w:r>
          </w:p>
        </w:tc>
        <w:tc>
          <w:tcPr>
            <w:tcW w:w="709" w:type="dxa"/>
            <w:tcBorders>
              <w:top w:val="double" w:sz="6" w:space="0" w:color="auto"/>
              <w:left w:val="single" w:sz="8" w:space="0" w:color="auto"/>
              <w:bottom w:val="single" w:sz="4" w:space="0" w:color="auto"/>
              <w:right w:val="single" w:sz="8" w:space="0" w:color="auto"/>
            </w:tcBorders>
          </w:tcPr>
          <w:p w14:paraId="06D124B0" w14:textId="77777777" w:rsidR="00632208" w:rsidRPr="0098635C" w:rsidRDefault="00632208" w:rsidP="00A432B0">
            <w:pPr>
              <w:spacing w:after="0"/>
              <w:rPr>
                <w:b/>
                <w:bCs/>
                <w:color w:val="000000" w:themeColor="text1"/>
                <w:sz w:val="20"/>
                <w:szCs w:val="20"/>
              </w:rPr>
            </w:pPr>
            <w:r w:rsidRPr="0098635C">
              <w:rPr>
                <w:b/>
                <w:bCs/>
                <w:color w:val="000000" w:themeColor="text1"/>
                <w:sz w:val="20"/>
                <w:szCs w:val="20"/>
              </w:rPr>
              <w:t>Exposure time</w:t>
            </w:r>
          </w:p>
        </w:tc>
        <w:tc>
          <w:tcPr>
            <w:tcW w:w="1276" w:type="dxa"/>
            <w:tcBorders>
              <w:top w:val="double" w:sz="6" w:space="0" w:color="auto"/>
              <w:left w:val="single" w:sz="8" w:space="0" w:color="auto"/>
              <w:bottom w:val="single" w:sz="4" w:space="0" w:color="auto"/>
              <w:right w:val="single" w:sz="8" w:space="0" w:color="auto"/>
            </w:tcBorders>
          </w:tcPr>
          <w:p w14:paraId="20792C49"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Endpoint</w:t>
            </w:r>
          </w:p>
        </w:tc>
        <w:tc>
          <w:tcPr>
            <w:tcW w:w="850" w:type="dxa"/>
            <w:tcBorders>
              <w:top w:val="double" w:sz="6" w:space="0" w:color="auto"/>
              <w:left w:val="nil"/>
              <w:bottom w:val="single" w:sz="4" w:space="0" w:color="auto"/>
              <w:right w:val="single" w:sz="8" w:space="0" w:color="auto"/>
            </w:tcBorders>
          </w:tcPr>
          <w:p w14:paraId="63A4B6C6"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NOEC</w:t>
            </w:r>
          </w:p>
          <w:p w14:paraId="4104A3FE"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(µg/L)</w:t>
            </w:r>
          </w:p>
        </w:tc>
        <w:tc>
          <w:tcPr>
            <w:tcW w:w="709" w:type="dxa"/>
            <w:tcBorders>
              <w:top w:val="double" w:sz="6" w:space="0" w:color="auto"/>
              <w:left w:val="single" w:sz="8" w:space="0" w:color="auto"/>
              <w:bottom w:val="single" w:sz="4" w:space="0" w:color="auto"/>
              <w:right w:val="single" w:sz="8" w:space="0" w:color="auto"/>
            </w:tcBorders>
          </w:tcPr>
          <w:p w14:paraId="6A142DD9"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Testtype</w:t>
            </w:r>
          </w:p>
        </w:tc>
        <w:tc>
          <w:tcPr>
            <w:tcW w:w="709" w:type="dxa"/>
            <w:tcBorders>
              <w:top w:val="double" w:sz="6" w:space="0" w:color="auto"/>
              <w:left w:val="single" w:sz="8" w:space="0" w:color="auto"/>
              <w:bottom w:val="single" w:sz="4" w:space="0" w:color="auto"/>
              <w:right w:val="single" w:sz="8" w:space="0" w:color="auto"/>
            </w:tcBorders>
          </w:tcPr>
          <w:p w14:paraId="232FD139" w14:textId="77777777" w:rsidR="00632208" w:rsidRPr="0098635C" w:rsidRDefault="00632208" w:rsidP="00A432B0">
            <w:pPr>
              <w:spacing w:after="0"/>
              <w:rPr>
                <w:b/>
                <w:bCs/>
                <w:color w:val="000000" w:themeColor="text1"/>
                <w:sz w:val="20"/>
                <w:szCs w:val="20"/>
              </w:rPr>
            </w:pPr>
            <w:r w:rsidRPr="0098635C">
              <w:rPr>
                <w:b/>
                <w:bCs/>
                <w:color w:val="000000" w:themeColor="text1"/>
                <w:sz w:val="20"/>
                <w:szCs w:val="20"/>
              </w:rPr>
              <w:t>Cb (µg Cu/l)</w:t>
            </w:r>
          </w:p>
        </w:tc>
        <w:tc>
          <w:tcPr>
            <w:tcW w:w="3118" w:type="dxa"/>
            <w:tcBorders>
              <w:top w:val="double" w:sz="6" w:space="0" w:color="auto"/>
              <w:left w:val="nil"/>
              <w:bottom w:val="single" w:sz="4" w:space="0" w:color="auto"/>
              <w:right w:val="single" w:sz="8" w:space="0" w:color="auto"/>
            </w:tcBorders>
          </w:tcPr>
          <w:p w14:paraId="7C7A470D"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Physico-chemical conditions</w:t>
            </w:r>
          </w:p>
        </w:tc>
        <w:tc>
          <w:tcPr>
            <w:tcW w:w="1003" w:type="dxa"/>
            <w:tcBorders>
              <w:top w:val="double" w:sz="6" w:space="0" w:color="auto"/>
              <w:left w:val="single" w:sz="8" w:space="0" w:color="auto"/>
              <w:bottom w:val="single" w:sz="4" w:space="0" w:color="auto"/>
              <w:right w:val="single" w:sz="8" w:space="0" w:color="auto"/>
            </w:tcBorders>
          </w:tcPr>
          <w:p w14:paraId="7A04CBA2"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Medium</w:t>
            </w:r>
          </w:p>
        </w:tc>
        <w:tc>
          <w:tcPr>
            <w:tcW w:w="4383" w:type="dxa"/>
            <w:gridSpan w:val="2"/>
            <w:tcBorders>
              <w:top w:val="double" w:sz="6" w:space="0" w:color="auto"/>
              <w:left w:val="single" w:sz="8" w:space="0" w:color="auto"/>
              <w:bottom w:val="single" w:sz="8" w:space="0" w:color="000000"/>
              <w:right w:val="double" w:sz="6" w:space="0" w:color="auto"/>
            </w:tcBorders>
          </w:tcPr>
          <w:p w14:paraId="25050741"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Reference</w:t>
            </w:r>
          </w:p>
        </w:tc>
      </w:tr>
      <w:tr w:rsidR="00632208" w:rsidRPr="0098635C" w14:paraId="10D45C5F" w14:textId="77777777" w:rsidTr="00982513">
        <w:trPr>
          <w:trHeight w:val="363"/>
        </w:trPr>
        <w:tc>
          <w:tcPr>
            <w:tcW w:w="1647" w:type="dxa"/>
            <w:gridSpan w:val="2"/>
            <w:tcBorders>
              <w:top w:val="single" w:sz="4" w:space="0" w:color="auto"/>
              <w:left w:val="double" w:sz="6" w:space="0" w:color="auto"/>
              <w:bottom w:val="single" w:sz="8" w:space="0" w:color="auto"/>
              <w:right w:val="single" w:sz="8" w:space="0" w:color="auto"/>
            </w:tcBorders>
          </w:tcPr>
          <w:p w14:paraId="4B1A21FD"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Ictalurus punctatus </w:t>
            </w:r>
          </w:p>
        </w:tc>
        <w:tc>
          <w:tcPr>
            <w:tcW w:w="1701" w:type="dxa"/>
            <w:tcBorders>
              <w:top w:val="single" w:sz="4" w:space="0" w:color="auto"/>
              <w:left w:val="nil"/>
              <w:bottom w:val="single" w:sz="8" w:space="0" w:color="auto"/>
              <w:right w:val="single" w:sz="8" w:space="0" w:color="auto"/>
            </w:tcBorders>
          </w:tcPr>
          <w:p w14:paraId="4496B702" w14:textId="77777777" w:rsidR="00632208" w:rsidRPr="0098635C" w:rsidRDefault="00632208" w:rsidP="00A432B0">
            <w:pPr>
              <w:spacing w:after="0"/>
              <w:rPr>
                <w:color w:val="000000" w:themeColor="text1"/>
                <w:sz w:val="20"/>
                <w:szCs w:val="20"/>
              </w:rPr>
            </w:pPr>
            <w:r w:rsidRPr="0098635C">
              <w:rPr>
                <w:color w:val="000000" w:themeColor="text1"/>
                <w:sz w:val="20"/>
                <w:szCs w:val="20"/>
              </w:rPr>
              <w:t>fry</w:t>
            </w:r>
          </w:p>
        </w:tc>
        <w:tc>
          <w:tcPr>
            <w:tcW w:w="709" w:type="dxa"/>
            <w:tcBorders>
              <w:top w:val="single" w:sz="4" w:space="0" w:color="auto"/>
              <w:left w:val="nil"/>
              <w:bottom w:val="single" w:sz="8" w:space="0" w:color="auto"/>
              <w:right w:val="single" w:sz="8" w:space="0" w:color="auto"/>
            </w:tcBorders>
          </w:tcPr>
          <w:p w14:paraId="64F7A83B" w14:textId="77777777" w:rsidR="00632208" w:rsidRPr="0098635C" w:rsidRDefault="00632208" w:rsidP="00A432B0">
            <w:pPr>
              <w:spacing w:after="0"/>
              <w:rPr>
                <w:color w:val="000000" w:themeColor="text1"/>
                <w:sz w:val="20"/>
                <w:szCs w:val="20"/>
              </w:rPr>
            </w:pPr>
            <w:r w:rsidRPr="0098635C">
              <w:rPr>
                <w:color w:val="000000" w:themeColor="text1"/>
                <w:sz w:val="20"/>
                <w:szCs w:val="20"/>
              </w:rPr>
              <w:t>60 d</w:t>
            </w:r>
          </w:p>
        </w:tc>
        <w:tc>
          <w:tcPr>
            <w:tcW w:w="1276" w:type="dxa"/>
            <w:tcBorders>
              <w:top w:val="single" w:sz="4" w:space="0" w:color="auto"/>
              <w:left w:val="nil"/>
              <w:bottom w:val="single" w:sz="8" w:space="0" w:color="auto"/>
              <w:right w:val="single" w:sz="8" w:space="0" w:color="auto"/>
            </w:tcBorders>
          </w:tcPr>
          <w:p w14:paraId="0BFDDDD7"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single" w:sz="4" w:space="0" w:color="auto"/>
              <w:left w:val="nil"/>
              <w:bottom w:val="single" w:sz="8" w:space="0" w:color="auto"/>
              <w:right w:val="single" w:sz="8" w:space="0" w:color="auto"/>
            </w:tcBorders>
          </w:tcPr>
          <w:p w14:paraId="253444FE"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13</w:t>
            </w:r>
          </w:p>
        </w:tc>
        <w:tc>
          <w:tcPr>
            <w:tcW w:w="709" w:type="dxa"/>
            <w:tcBorders>
              <w:top w:val="single" w:sz="4" w:space="0" w:color="auto"/>
              <w:left w:val="nil"/>
              <w:bottom w:val="single" w:sz="8" w:space="0" w:color="auto"/>
              <w:right w:val="single" w:sz="8" w:space="0" w:color="auto"/>
            </w:tcBorders>
          </w:tcPr>
          <w:p w14:paraId="61478D7A"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single" w:sz="4" w:space="0" w:color="auto"/>
              <w:left w:val="nil"/>
              <w:bottom w:val="single" w:sz="8" w:space="0" w:color="auto"/>
              <w:right w:val="single" w:sz="8" w:space="0" w:color="auto"/>
            </w:tcBorders>
          </w:tcPr>
          <w:p w14:paraId="110B6CEC"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3</w:t>
            </w:r>
          </w:p>
        </w:tc>
        <w:tc>
          <w:tcPr>
            <w:tcW w:w="3118" w:type="dxa"/>
            <w:tcBorders>
              <w:top w:val="single" w:sz="4" w:space="0" w:color="auto"/>
              <w:left w:val="nil"/>
              <w:bottom w:val="single" w:sz="8" w:space="0" w:color="auto"/>
              <w:right w:val="single" w:sz="8" w:space="0" w:color="auto"/>
            </w:tcBorders>
          </w:tcPr>
          <w:p w14:paraId="7E5E46EA"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22°C; pH: 7.65; H: 186.3 mg/l CaCO3; DOC: 1.3 mg/l </w:t>
            </w:r>
            <w:r w:rsidRPr="0098635C">
              <w:rPr>
                <w:color w:val="000000" w:themeColor="text1"/>
                <w:sz w:val="20"/>
                <w:szCs w:val="20"/>
                <w:vertAlign w:val="superscript"/>
              </w:rPr>
              <w:t>(9)</w:t>
            </w:r>
          </w:p>
        </w:tc>
        <w:tc>
          <w:tcPr>
            <w:tcW w:w="1003" w:type="dxa"/>
            <w:tcBorders>
              <w:top w:val="single" w:sz="4" w:space="0" w:color="auto"/>
              <w:left w:val="nil"/>
              <w:bottom w:val="single" w:sz="8" w:space="0" w:color="auto"/>
              <w:right w:val="single" w:sz="8" w:space="0" w:color="auto"/>
            </w:tcBorders>
          </w:tcPr>
          <w:p w14:paraId="01D36D28" w14:textId="77777777" w:rsidR="00632208" w:rsidRPr="0098635C" w:rsidRDefault="00632208" w:rsidP="00A432B0">
            <w:pPr>
              <w:spacing w:after="0"/>
              <w:rPr>
                <w:color w:val="000000" w:themeColor="text1"/>
                <w:sz w:val="20"/>
                <w:szCs w:val="20"/>
              </w:rPr>
            </w:pPr>
            <w:r w:rsidRPr="0098635C">
              <w:rPr>
                <w:color w:val="000000" w:themeColor="text1"/>
                <w:sz w:val="20"/>
                <w:szCs w:val="20"/>
              </w:rPr>
              <w:t>Well</w:t>
            </w:r>
          </w:p>
        </w:tc>
        <w:tc>
          <w:tcPr>
            <w:tcW w:w="4383" w:type="dxa"/>
            <w:gridSpan w:val="2"/>
            <w:tcBorders>
              <w:top w:val="nil"/>
              <w:left w:val="nil"/>
              <w:bottom w:val="single" w:sz="8" w:space="0" w:color="auto"/>
              <w:right w:val="double" w:sz="6" w:space="0" w:color="auto"/>
            </w:tcBorders>
          </w:tcPr>
          <w:p w14:paraId="270F4B9C"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Sauter et al., 1976 </w:t>
            </w:r>
          </w:p>
        </w:tc>
      </w:tr>
      <w:tr w:rsidR="00632208" w:rsidRPr="0098635C" w14:paraId="0098D8C2" w14:textId="77777777" w:rsidTr="00982513">
        <w:trPr>
          <w:trHeight w:val="213"/>
        </w:trPr>
        <w:tc>
          <w:tcPr>
            <w:tcW w:w="1647" w:type="dxa"/>
            <w:gridSpan w:val="2"/>
            <w:tcBorders>
              <w:top w:val="nil"/>
              <w:left w:val="double" w:sz="6" w:space="0" w:color="auto"/>
              <w:bottom w:val="single" w:sz="8" w:space="0" w:color="auto"/>
              <w:right w:val="single" w:sz="8" w:space="0" w:color="auto"/>
            </w:tcBorders>
          </w:tcPr>
          <w:p w14:paraId="3DE85193"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Ictalurus punctatus </w:t>
            </w:r>
          </w:p>
        </w:tc>
        <w:tc>
          <w:tcPr>
            <w:tcW w:w="1701" w:type="dxa"/>
            <w:tcBorders>
              <w:top w:val="nil"/>
              <w:left w:val="nil"/>
              <w:bottom w:val="single" w:sz="8" w:space="0" w:color="auto"/>
              <w:right w:val="single" w:sz="8" w:space="0" w:color="auto"/>
            </w:tcBorders>
          </w:tcPr>
          <w:p w14:paraId="148E3C90" w14:textId="77777777" w:rsidR="00632208" w:rsidRPr="0098635C" w:rsidRDefault="00632208" w:rsidP="00A432B0">
            <w:pPr>
              <w:spacing w:after="0"/>
              <w:rPr>
                <w:color w:val="000000" w:themeColor="text1"/>
                <w:sz w:val="20"/>
                <w:szCs w:val="20"/>
              </w:rPr>
            </w:pPr>
            <w:r w:rsidRPr="0098635C">
              <w:rPr>
                <w:color w:val="000000" w:themeColor="text1"/>
                <w:sz w:val="20"/>
                <w:szCs w:val="20"/>
              </w:rPr>
              <w:t>fry</w:t>
            </w:r>
          </w:p>
        </w:tc>
        <w:tc>
          <w:tcPr>
            <w:tcW w:w="709" w:type="dxa"/>
            <w:tcBorders>
              <w:top w:val="nil"/>
              <w:left w:val="nil"/>
              <w:bottom w:val="single" w:sz="8" w:space="0" w:color="auto"/>
              <w:right w:val="single" w:sz="8" w:space="0" w:color="auto"/>
            </w:tcBorders>
          </w:tcPr>
          <w:p w14:paraId="2FB610B8" w14:textId="77777777" w:rsidR="00632208" w:rsidRPr="0098635C" w:rsidRDefault="00632208" w:rsidP="00A432B0">
            <w:pPr>
              <w:spacing w:after="0"/>
              <w:rPr>
                <w:color w:val="000000" w:themeColor="text1"/>
                <w:sz w:val="20"/>
                <w:szCs w:val="20"/>
              </w:rPr>
            </w:pPr>
            <w:r w:rsidRPr="0098635C">
              <w:rPr>
                <w:color w:val="000000" w:themeColor="text1"/>
                <w:sz w:val="20"/>
                <w:szCs w:val="20"/>
              </w:rPr>
              <w:t>60 d</w:t>
            </w:r>
          </w:p>
        </w:tc>
        <w:tc>
          <w:tcPr>
            <w:tcW w:w="1276" w:type="dxa"/>
            <w:tcBorders>
              <w:top w:val="nil"/>
              <w:left w:val="nil"/>
              <w:bottom w:val="single" w:sz="8" w:space="0" w:color="auto"/>
              <w:right w:val="single" w:sz="8" w:space="0" w:color="auto"/>
            </w:tcBorders>
          </w:tcPr>
          <w:p w14:paraId="76AC235B" w14:textId="77777777" w:rsidR="00632208" w:rsidRPr="0098635C" w:rsidRDefault="00632208" w:rsidP="00A432B0">
            <w:pPr>
              <w:spacing w:after="0"/>
              <w:rPr>
                <w:color w:val="000000" w:themeColor="text1"/>
                <w:sz w:val="20"/>
                <w:szCs w:val="20"/>
              </w:rPr>
            </w:pPr>
            <w:r w:rsidRPr="0098635C">
              <w:rPr>
                <w:color w:val="000000" w:themeColor="text1"/>
                <w:sz w:val="20"/>
                <w:szCs w:val="20"/>
              </w:rPr>
              <w:t>mortality</w:t>
            </w:r>
          </w:p>
        </w:tc>
        <w:tc>
          <w:tcPr>
            <w:tcW w:w="850" w:type="dxa"/>
            <w:tcBorders>
              <w:top w:val="nil"/>
              <w:left w:val="nil"/>
              <w:bottom w:val="single" w:sz="8" w:space="0" w:color="auto"/>
              <w:right w:val="single" w:sz="8" w:space="0" w:color="auto"/>
            </w:tcBorders>
          </w:tcPr>
          <w:p w14:paraId="44D542F5"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13</w:t>
            </w:r>
          </w:p>
        </w:tc>
        <w:tc>
          <w:tcPr>
            <w:tcW w:w="709" w:type="dxa"/>
            <w:tcBorders>
              <w:top w:val="nil"/>
              <w:left w:val="nil"/>
              <w:bottom w:val="single" w:sz="8" w:space="0" w:color="auto"/>
              <w:right w:val="single" w:sz="8" w:space="0" w:color="auto"/>
            </w:tcBorders>
          </w:tcPr>
          <w:p w14:paraId="4476963B"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146E3E7C"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3</w:t>
            </w:r>
          </w:p>
        </w:tc>
        <w:tc>
          <w:tcPr>
            <w:tcW w:w="3118" w:type="dxa"/>
            <w:tcBorders>
              <w:top w:val="nil"/>
              <w:left w:val="nil"/>
              <w:bottom w:val="single" w:sz="8" w:space="0" w:color="auto"/>
              <w:right w:val="single" w:sz="8" w:space="0" w:color="auto"/>
            </w:tcBorders>
          </w:tcPr>
          <w:p w14:paraId="645FE7D9"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22°C; pH: 7.65; H: 186.3 mg/l CaCO3; DOC: 1.3 mg/L </w:t>
            </w:r>
            <w:r w:rsidRPr="0098635C">
              <w:rPr>
                <w:color w:val="000000" w:themeColor="text1"/>
                <w:sz w:val="20"/>
                <w:szCs w:val="20"/>
                <w:vertAlign w:val="superscript"/>
              </w:rPr>
              <w:t>(9)</w:t>
            </w:r>
          </w:p>
        </w:tc>
        <w:tc>
          <w:tcPr>
            <w:tcW w:w="1003" w:type="dxa"/>
            <w:tcBorders>
              <w:top w:val="nil"/>
              <w:left w:val="nil"/>
              <w:bottom w:val="single" w:sz="8" w:space="0" w:color="auto"/>
              <w:right w:val="single" w:sz="8" w:space="0" w:color="auto"/>
            </w:tcBorders>
          </w:tcPr>
          <w:p w14:paraId="4E4E50A4" w14:textId="77777777" w:rsidR="00632208" w:rsidRPr="0098635C" w:rsidRDefault="00632208" w:rsidP="00A432B0">
            <w:pPr>
              <w:spacing w:after="0"/>
              <w:rPr>
                <w:color w:val="000000" w:themeColor="text1"/>
                <w:sz w:val="20"/>
                <w:szCs w:val="20"/>
              </w:rPr>
            </w:pPr>
            <w:r w:rsidRPr="0098635C">
              <w:rPr>
                <w:color w:val="000000" w:themeColor="text1"/>
                <w:sz w:val="20"/>
                <w:szCs w:val="20"/>
              </w:rPr>
              <w:t>Well</w:t>
            </w:r>
          </w:p>
        </w:tc>
        <w:tc>
          <w:tcPr>
            <w:tcW w:w="4383" w:type="dxa"/>
            <w:gridSpan w:val="2"/>
            <w:tcBorders>
              <w:top w:val="nil"/>
              <w:left w:val="nil"/>
              <w:bottom w:val="single" w:sz="8" w:space="0" w:color="auto"/>
              <w:right w:val="double" w:sz="6" w:space="0" w:color="auto"/>
            </w:tcBorders>
          </w:tcPr>
          <w:p w14:paraId="2D787121"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Sauter et al., 1976 </w:t>
            </w:r>
          </w:p>
        </w:tc>
      </w:tr>
      <w:tr w:rsidR="00632208" w:rsidRPr="0098635C" w14:paraId="528CBBA1" w14:textId="77777777" w:rsidTr="00982513">
        <w:trPr>
          <w:trHeight w:val="347"/>
        </w:trPr>
        <w:tc>
          <w:tcPr>
            <w:tcW w:w="1647" w:type="dxa"/>
            <w:gridSpan w:val="2"/>
            <w:tcBorders>
              <w:top w:val="nil"/>
              <w:left w:val="double" w:sz="6" w:space="0" w:color="auto"/>
              <w:bottom w:val="single" w:sz="8" w:space="0" w:color="auto"/>
              <w:right w:val="single" w:sz="8" w:space="0" w:color="auto"/>
            </w:tcBorders>
          </w:tcPr>
          <w:p w14:paraId="02C02ED2"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Noemacheilus barbatulus </w:t>
            </w:r>
          </w:p>
        </w:tc>
        <w:tc>
          <w:tcPr>
            <w:tcW w:w="1701" w:type="dxa"/>
            <w:tcBorders>
              <w:top w:val="nil"/>
              <w:left w:val="nil"/>
              <w:bottom w:val="single" w:sz="8" w:space="0" w:color="auto"/>
              <w:right w:val="single" w:sz="8" w:space="0" w:color="auto"/>
            </w:tcBorders>
          </w:tcPr>
          <w:p w14:paraId="21D0E571" w14:textId="77777777" w:rsidR="00632208" w:rsidRPr="0098635C" w:rsidRDefault="00632208" w:rsidP="00A432B0">
            <w:pPr>
              <w:spacing w:after="0"/>
              <w:rPr>
                <w:color w:val="000000" w:themeColor="text1"/>
                <w:sz w:val="20"/>
                <w:szCs w:val="20"/>
              </w:rPr>
            </w:pPr>
            <w:r w:rsidRPr="0098635C">
              <w:rPr>
                <w:color w:val="000000" w:themeColor="text1"/>
                <w:sz w:val="20"/>
                <w:szCs w:val="20"/>
              </w:rPr>
              <w:t>adult (8.7 - 12.1 cm)</w:t>
            </w:r>
          </w:p>
        </w:tc>
        <w:tc>
          <w:tcPr>
            <w:tcW w:w="709" w:type="dxa"/>
            <w:tcBorders>
              <w:top w:val="nil"/>
              <w:left w:val="nil"/>
              <w:bottom w:val="single" w:sz="8" w:space="0" w:color="auto"/>
              <w:right w:val="single" w:sz="8" w:space="0" w:color="auto"/>
            </w:tcBorders>
          </w:tcPr>
          <w:p w14:paraId="65FED309" w14:textId="77777777" w:rsidR="00632208" w:rsidRPr="0098635C" w:rsidRDefault="00632208" w:rsidP="00A432B0">
            <w:pPr>
              <w:spacing w:after="0"/>
              <w:rPr>
                <w:color w:val="000000" w:themeColor="text1"/>
                <w:sz w:val="20"/>
                <w:szCs w:val="20"/>
              </w:rPr>
            </w:pPr>
            <w:r w:rsidRPr="0098635C">
              <w:rPr>
                <w:color w:val="000000" w:themeColor="text1"/>
                <w:sz w:val="20"/>
                <w:szCs w:val="20"/>
              </w:rPr>
              <w:t>64 d</w:t>
            </w:r>
          </w:p>
        </w:tc>
        <w:tc>
          <w:tcPr>
            <w:tcW w:w="1276" w:type="dxa"/>
            <w:tcBorders>
              <w:top w:val="nil"/>
              <w:left w:val="nil"/>
              <w:bottom w:val="single" w:sz="8" w:space="0" w:color="auto"/>
              <w:right w:val="single" w:sz="8" w:space="0" w:color="auto"/>
            </w:tcBorders>
          </w:tcPr>
          <w:p w14:paraId="7BF2ED8D" w14:textId="77777777" w:rsidR="00632208" w:rsidRPr="0098635C" w:rsidRDefault="00632208" w:rsidP="00A432B0">
            <w:pPr>
              <w:spacing w:after="0"/>
              <w:rPr>
                <w:color w:val="000000" w:themeColor="text1"/>
                <w:sz w:val="20"/>
                <w:szCs w:val="20"/>
              </w:rPr>
            </w:pPr>
            <w:r w:rsidRPr="0098635C">
              <w:rPr>
                <w:color w:val="000000" w:themeColor="text1"/>
                <w:sz w:val="20"/>
                <w:szCs w:val="20"/>
              </w:rPr>
              <w:t>mortality</w:t>
            </w:r>
          </w:p>
        </w:tc>
        <w:tc>
          <w:tcPr>
            <w:tcW w:w="850" w:type="dxa"/>
            <w:tcBorders>
              <w:top w:val="nil"/>
              <w:left w:val="nil"/>
              <w:bottom w:val="single" w:sz="8" w:space="0" w:color="auto"/>
              <w:right w:val="single" w:sz="8" w:space="0" w:color="auto"/>
            </w:tcBorders>
          </w:tcPr>
          <w:p w14:paraId="31902453"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120</w:t>
            </w:r>
          </w:p>
        </w:tc>
        <w:tc>
          <w:tcPr>
            <w:tcW w:w="709" w:type="dxa"/>
            <w:tcBorders>
              <w:top w:val="nil"/>
              <w:left w:val="nil"/>
              <w:bottom w:val="single" w:sz="8" w:space="0" w:color="auto"/>
              <w:right w:val="single" w:sz="8" w:space="0" w:color="auto"/>
            </w:tcBorders>
          </w:tcPr>
          <w:p w14:paraId="01CE3F6D"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6063DFB5"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2</w:t>
            </w:r>
          </w:p>
        </w:tc>
        <w:tc>
          <w:tcPr>
            <w:tcW w:w="3118" w:type="dxa"/>
            <w:tcBorders>
              <w:top w:val="nil"/>
              <w:left w:val="nil"/>
              <w:bottom w:val="single" w:sz="8" w:space="0" w:color="auto"/>
              <w:right w:val="single" w:sz="8" w:space="0" w:color="auto"/>
            </w:tcBorders>
          </w:tcPr>
          <w:p w14:paraId="728A1BEA"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11.9°C; pH: 8.26; H: 249 mg/L CaCO3;  DOC: 1.3 mg/L </w:t>
            </w:r>
            <w:r w:rsidRPr="0098635C">
              <w:rPr>
                <w:color w:val="000000" w:themeColor="text1"/>
                <w:sz w:val="20"/>
                <w:szCs w:val="20"/>
                <w:vertAlign w:val="superscript"/>
              </w:rPr>
              <w:t>(9)</w:t>
            </w:r>
          </w:p>
        </w:tc>
        <w:tc>
          <w:tcPr>
            <w:tcW w:w="1003" w:type="dxa"/>
            <w:tcBorders>
              <w:top w:val="nil"/>
              <w:left w:val="nil"/>
              <w:bottom w:val="single" w:sz="8" w:space="0" w:color="auto"/>
              <w:right w:val="single" w:sz="8" w:space="0" w:color="auto"/>
            </w:tcBorders>
          </w:tcPr>
          <w:p w14:paraId="375DC5D6" w14:textId="77777777" w:rsidR="00632208" w:rsidRPr="0098635C" w:rsidRDefault="00632208" w:rsidP="00A432B0">
            <w:pPr>
              <w:spacing w:after="0"/>
              <w:rPr>
                <w:color w:val="000000" w:themeColor="text1"/>
                <w:sz w:val="20"/>
                <w:szCs w:val="20"/>
              </w:rPr>
            </w:pPr>
            <w:r w:rsidRPr="0098635C">
              <w:rPr>
                <w:color w:val="000000" w:themeColor="text1"/>
                <w:sz w:val="20"/>
                <w:szCs w:val="20"/>
              </w:rPr>
              <w:t>Well</w:t>
            </w:r>
          </w:p>
        </w:tc>
        <w:tc>
          <w:tcPr>
            <w:tcW w:w="4383" w:type="dxa"/>
            <w:gridSpan w:val="2"/>
            <w:tcBorders>
              <w:top w:val="nil"/>
              <w:left w:val="nil"/>
              <w:bottom w:val="single" w:sz="8" w:space="0" w:color="auto"/>
              <w:right w:val="double" w:sz="6" w:space="0" w:color="auto"/>
            </w:tcBorders>
          </w:tcPr>
          <w:p w14:paraId="237B76E4" w14:textId="77777777" w:rsidR="00632208" w:rsidRPr="0098635C" w:rsidRDefault="00632208" w:rsidP="00A432B0">
            <w:pPr>
              <w:spacing w:after="0"/>
              <w:rPr>
                <w:color w:val="000000" w:themeColor="text1"/>
                <w:sz w:val="20"/>
                <w:szCs w:val="20"/>
              </w:rPr>
            </w:pPr>
            <w:r w:rsidRPr="0098635C">
              <w:rPr>
                <w:color w:val="000000" w:themeColor="text1"/>
                <w:sz w:val="20"/>
                <w:szCs w:val="20"/>
              </w:rPr>
              <w:t>Solbe &amp; Cooper, 1976</w:t>
            </w:r>
          </w:p>
        </w:tc>
      </w:tr>
      <w:tr w:rsidR="00632208" w:rsidRPr="0098635C" w14:paraId="5278D8C5" w14:textId="77777777" w:rsidTr="00982513">
        <w:trPr>
          <w:trHeight w:val="339"/>
        </w:trPr>
        <w:tc>
          <w:tcPr>
            <w:tcW w:w="1647" w:type="dxa"/>
            <w:gridSpan w:val="2"/>
            <w:tcBorders>
              <w:top w:val="nil"/>
              <w:left w:val="double" w:sz="6" w:space="0" w:color="auto"/>
              <w:bottom w:val="single" w:sz="8" w:space="0" w:color="auto"/>
              <w:right w:val="single" w:sz="8" w:space="0" w:color="auto"/>
            </w:tcBorders>
          </w:tcPr>
          <w:p w14:paraId="7C06EF2B"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Oncorhynchus kisutch </w:t>
            </w:r>
          </w:p>
        </w:tc>
        <w:tc>
          <w:tcPr>
            <w:tcW w:w="1701" w:type="dxa"/>
            <w:tcBorders>
              <w:top w:val="nil"/>
              <w:left w:val="nil"/>
              <w:bottom w:val="single" w:sz="8" w:space="0" w:color="auto"/>
              <w:right w:val="single" w:sz="8" w:space="0" w:color="auto"/>
            </w:tcBorders>
          </w:tcPr>
          <w:p w14:paraId="3112431A" w14:textId="77777777" w:rsidR="00632208" w:rsidRPr="0098635C" w:rsidRDefault="00632208" w:rsidP="00A432B0">
            <w:pPr>
              <w:spacing w:after="0"/>
              <w:rPr>
                <w:color w:val="000000" w:themeColor="text1"/>
                <w:sz w:val="20"/>
                <w:szCs w:val="20"/>
              </w:rPr>
            </w:pPr>
            <w:r w:rsidRPr="0098635C">
              <w:rPr>
                <w:color w:val="000000" w:themeColor="text1"/>
                <w:sz w:val="20"/>
                <w:szCs w:val="20"/>
              </w:rPr>
              <w:t>parr</w:t>
            </w:r>
          </w:p>
        </w:tc>
        <w:tc>
          <w:tcPr>
            <w:tcW w:w="709" w:type="dxa"/>
            <w:tcBorders>
              <w:top w:val="nil"/>
              <w:left w:val="nil"/>
              <w:bottom w:val="single" w:sz="8" w:space="0" w:color="auto"/>
              <w:right w:val="single" w:sz="8" w:space="0" w:color="auto"/>
            </w:tcBorders>
          </w:tcPr>
          <w:p w14:paraId="24A5074D" w14:textId="77777777" w:rsidR="00632208" w:rsidRPr="0098635C" w:rsidRDefault="00632208" w:rsidP="00A432B0">
            <w:pPr>
              <w:spacing w:after="0"/>
              <w:rPr>
                <w:color w:val="000000" w:themeColor="text1"/>
                <w:sz w:val="20"/>
                <w:szCs w:val="20"/>
              </w:rPr>
            </w:pPr>
            <w:r w:rsidRPr="0098635C">
              <w:rPr>
                <w:color w:val="000000" w:themeColor="text1"/>
                <w:sz w:val="20"/>
                <w:szCs w:val="20"/>
              </w:rPr>
              <w:t>61 d</w:t>
            </w:r>
          </w:p>
        </w:tc>
        <w:tc>
          <w:tcPr>
            <w:tcW w:w="1276" w:type="dxa"/>
            <w:tcBorders>
              <w:top w:val="nil"/>
              <w:left w:val="nil"/>
              <w:bottom w:val="single" w:sz="8" w:space="0" w:color="auto"/>
              <w:right w:val="single" w:sz="8" w:space="0" w:color="auto"/>
            </w:tcBorders>
          </w:tcPr>
          <w:p w14:paraId="6A15DA0E"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635B370E"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22</w:t>
            </w:r>
          </w:p>
        </w:tc>
        <w:tc>
          <w:tcPr>
            <w:tcW w:w="709" w:type="dxa"/>
            <w:tcBorders>
              <w:top w:val="nil"/>
              <w:left w:val="nil"/>
              <w:bottom w:val="single" w:sz="8" w:space="0" w:color="auto"/>
              <w:right w:val="single" w:sz="8" w:space="0" w:color="auto"/>
            </w:tcBorders>
          </w:tcPr>
          <w:p w14:paraId="3D5C0A79"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0F0A9D80" w14:textId="77777777" w:rsidR="00632208" w:rsidRPr="0098635C" w:rsidRDefault="00632208" w:rsidP="00A432B0">
            <w:pPr>
              <w:spacing w:after="0"/>
              <w:rPr>
                <w:color w:val="000000" w:themeColor="text1"/>
                <w:sz w:val="20"/>
                <w:szCs w:val="20"/>
              </w:rPr>
            </w:pPr>
            <w:r w:rsidRPr="0098635C">
              <w:rPr>
                <w:color w:val="000000" w:themeColor="text1"/>
                <w:sz w:val="20"/>
                <w:szCs w:val="20"/>
              </w:rPr>
              <w:t>/</w:t>
            </w:r>
          </w:p>
        </w:tc>
        <w:tc>
          <w:tcPr>
            <w:tcW w:w="3118" w:type="dxa"/>
            <w:tcBorders>
              <w:top w:val="nil"/>
              <w:left w:val="nil"/>
              <w:bottom w:val="single" w:sz="8" w:space="0" w:color="auto"/>
              <w:right w:val="single" w:sz="8" w:space="0" w:color="auto"/>
            </w:tcBorders>
          </w:tcPr>
          <w:p w14:paraId="2548ED4D"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9.5 °C; pH: 7.10; H: 24.4 mg/L CaCO3; DOC: 2.9 mg/L </w:t>
            </w:r>
            <w:r w:rsidRPr="0098635C">
              <w:rPr>
                <w:color w:val="000000" w:themeColor="text1"/>
                <w:sz w:val="20"/>
                <w:szCs w:val="20"/>
                <w:vertAlign w:val="superscript"/>
              </w:rPr>
              <w:t>(11)</w:t>
            </w:r>
            <w:r w:rsidRPr="0098635C">
              <w:rPr>
                <w:color w:val="000000" w:themeColor="text1"/>
                <w:sz w:val="20"/>
                <w:szCs w:val="20"/>
              </w:rPr>
              <w:t xml:space="preserve"> </w:t>
            </w:r>
          </w:p>
        </w:tc>
        <w:tc>
          <w:tcPr>
            <w:tcW w:w="1003" w:type="dxa"/>
            <w:tcBorders>
              <w:top w:val="nil"/>
              <w:left w:val="nil"/>
              <w:bottom w:val="single" w:sz="8" w:space="0" w:color="auto"/>
              <w:right w:val="single" w:sz="8" w:space="0" w:color="auto"/>
            </w:tcBorders>
          </w:tcPr>
          <w:p w14:paraId="79C4667B" w14:textId="77777777" w:rsidR="00632208" w:rsidRPr="0098635C" w:rsidRDefault="00632208" w:rsidP="00A432B0">
            <w:pPr>
              <w:spacing w:after="0"/>
              <w:rPr>
                <w:color w:val="000000" w:themeColor="text1"/>
                <w:sz w:val="20"/>
                <w:szCs w:val="20"/>
              </w:rPr>
            </w:pPr>
            <w:r w:rsidRPr="0098635C">
              <w:rPr>
                <w:color w:val="000000" w:themeColor="text1"/>
                <w:sz w:val="20"/>
                <w:szCs w:val="20"/>
              </w:rPr>
              <w:t>River (Chehalis River)</w:t>
            </w:r>
          </w:p>
        </w:tc>
        <w:tc>
          <w:tcPr>
            <w:tcW w:w="4383" w:type="dxa"/>
            <w:gridSpan w:val="2"/>
            <w:tcBorders>
              <w:top w:val="nil"/>
              <w:left w:val="nil"/>
              <w:bottom w:val="single" w:sz="8" w:space="0" w:color="auto"/>
              <w:right w:val="double" w:sz="6" w:space="0" w:color="auto"/>
            </w:tcBorders>
          </w:tcPr>
          <w:p w14:paraId="7E9C6FC5"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Mudge et al., 1993 </w:t>
            </w:r>
          </w:p>
        </w:tc>
      </w:tr>
      <w:tr w:rsidR="00632208" w:rsidRPr="0098635C" w14:paraId="10082911" w14:textId="77777777" w:rsidTr="00982513">
        <w:trPr>
          <w:trHeight w:val="176"/>
        </w:trPr>
        <w:tc>
          <w:tcPr>
            <w:tcW w:w="1647" w:type="dxa"/>
            <w:gridSpan w:val="2"/>
            <w:tcBorders>
              <w:top w:val="nil"/>
              <w:left w:val="double" w:sz="6" w:space="0" w:color="auto"/>
              <w:bottom w:val="single" w:sz="8" w:space="0" w:color="auto"/>
              <w:right w:val="single" w:sz="8" w:space="0" w:color="auto"/>
            </w:tcBorders>
          </w:tcPr>
          <w:p w14:paraId="0120CF51"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Oncorhynchus kisutch </w:t>
            </w:r>
          </w:p>
        </w:tc>
        <w:tc>
          <w:tcPr>
            <w:tcW w:w="1701" w:type="dxa"/>
            <w:tcBorders>
              <w:top w:val="nil"/>
              <w:left w:val="nil"/>
              <w:bottom w:val="single" w:sz="8" w:space="0" w:color="auto"/>
              <w:right w:val="single" w:sz="8" w:space="0" w:color="auto"/>
            </w:tcBorders>
          </w:tcPr>
          <w:p w14:paraId="62BE106B" w14:textId="77777777" w:rsidR="00632208" w:rsidRPr="0098635C" w:rsidRDefault="00632208" w:rsidP="00A432B0">
            <w:pPr>
              <w:spacing w:after="0"/>
              <w:rPr>
                <w:color w:val="000000" w:themeColor="text1"/>
                <w:sz w:val="20"/>
                <w:szCs w:val="20"/>
              </w:rPr>
            </w:pPr>
            <w:r w:rsidRPr="0098635C">
              <w:rPr>
                <w:color w:val="000000" w:themeColor="text1"/>
                <w:sz w:val="20"/>
                <w:szCs w:val="20"/>
              </w:rPr>
              <w:t>fry</w:t>
            </w:r>
          </w:p>
        </w:tc>
        <w:tc>
          <w:tcPr>
            <w:tcW w:w="709" w:type="dxa"/>
            <w:tcBorders>
              <w:top w:val="nil"/>
              <w:left w:val="nil"/>
              <w:bottom w:val="single" w:sz="8" w:space="0" w:color="auto"/>
              <w:right w:val="single" w:sz="8" w:space="0" w:color="auto"/>
            </w:tcBorders>
          </w:tcPr>
          <w:p w14:paraId="3088C957" w14:textId="77777777" w:rsidR="00632208" w:rsidRPr="0098635C" w:rsidRDefault="00632208" w:rsidP="00A432B0">
            <w:pPr>
              <w:spacing w:after="0"/>
              <w:rPr>
                <w:color w:val="000000" w:themeColor="text1"/>
                <w:sz w:val="20"/>
                <w:szCs w:val="20"/>
              </w:rPr>
            </w:pPr>
            <w:r w:rsidRPr="0098635C">
              <w:rPr>
                <w:color w:val="000000" w:themeColor="text1"/>
                <w:sz w:val="20"/>
                <w:szCs w:val="20"/>
              </w:rPr>
              <w:t>60 d</w:t>
            </w:r>
          </w:p>
        </w:tc>
        <w:tc>
          <w:tcPr>
            <w:tcW w:w="1276" w:type="dxa"/>
            <w:tcBorders>
              <w:top w:val="nil"/>
              <w:left w:val="nil"/>
              <w:bottom w:val="single" w:sz="8" w:space="0" w:color="auto"/>
              <w:right w:val="single" w:sz="8" w:space="0" w:color="auto"/>
            </w:tcBorders>
          </w:tcPr>
          <w:p w14:paraId="0AA0E633"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59ABF2F7"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21</w:t>
            </w:r>
          </w:p>
        </w:tc>
        <w:tc>
          <w:tcPr>
            <w:tcW w:w="709" w:type="dxa"/>
            <w:tcBorders>
              <w:top w:val="nil"/>
              <w:left w:val="nil"/>
              <w:bottom w:val="single" w:sz="8" w:space="0" w:color="auto"/>
              <w:right w:val="single" w:sz="8" w:space="0" w:color="auto"/>
            </w:tcBorders>
          </w:tcPr>
          <w:p w14:paraId="3494CFAA"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4BEF6FBE" w14:textId="77777777" w:rsidR="00632208" w:rsidRPr="0098635C" w:rsidRDefault="00632208" w:rsidP="00A432B0">
            <w:pPr>
              <w:spacing w:after="0"/>
              <w:rPr>
                <w:color w:val="000000" w:themeColor="text1"/>
                <w:sz w:val="20"/>
                <w:szCs w:val="20"/>
              </w:rPr>
            </w:pPr>
            <w:r w:rsidRPr="0098635C">
              <w:rPr>
                <w:color w:val="000000" w:themeColor="text1"/>
                <w:sz w:val="20"/>
                <w:szCs w:val="20"/>
              </w:rPr>
              <w:t>/</w:t>
            </w:r>
          </w:p>
        </w:tc>
        <w:tc>
          <w:tcPr>
            <w:tcW w:w="3118" w:type="dxa"/>
            <w:tcBorders>
              <w:top w:val="nil"/>
              <w:left w:val="nil"/>
              <w:bottom w:val="single" w:sz="8" w:space="0" w:color="auto"/>
              <w:right w:val="single" w:sz="8" w:space="0" w:color="auto"/>
            </w:tcBorders>
          </w:tcPr>
          <w:p w14:paraId="3B9EB4B3"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16.7 °C; pH: 7.30; H: 31.8 mg/L CaCO3; DOC: 2.9 mg/L </w:t>
            </w:r>
            <w:r w:rsidRPr="0098635C">
              <w:rPr>
                <w:color w:val="000000" w:themeColor="text1"/>
                <w:sz w:val="20"/>
                <w:szCs w:val="20"/>
                <w:vertAlign w:val="superscript"/>
              </w:rPr>
              <w:t>(11)</w:t>
            </w:r>
          </w:p>
        </w:tc>
        <w:tc>
          <w:tcPr>
            <w:tcW w:w="1003" w:type="dxa"/>
            <w:tcBorders>
              <w:top w:val="nil"/>
              <w:left w:val="nil"/>
              <w:bottom w:val="single" w:sz="8" w:space="0" w:color="auto"/>
              <w:right w:val="single" w:sz="8" w:space="0" w:color="auto"/>
            </w:tcBorders>
          </w:tcPr>
          <w:p w14:paraId="5287075A" w14:textId="77777777" w:rsidR="00632208" w:rsidRPr="0098635C" w:rsidRDefault="00632208" w:rsidP="00A432B0">
            <w:pPr>
              <w:spacing w:after="0"/>
              <w:rPr>
                <w:color w:val="000000" w:themeColor="text1"/>
                <w:sz w:val="20"/>
                <w:szCs w:val="20"/>
              </w:rPr>
            </w:pPr>
            <w:r w:rsidRPr="0098635C">
              <w:rPr>
                <w:color w:val="000000" w:themeColor="text1"/>
                <w:sz w:val="20"/>
                <w:szCs w:val="20"/>
              </w:rPr>
              <w:t>River (Chehalis River)</w:t>
            </w:r>
          </w:p>
        </w:tc>
        <w:tc>
          <w:tcPr>
            <w:tcW w:w="4383" w:type="dxa"/>
            <w:gridSpan w:val="2"/>
            <w:tcBorders>
              <w:top w:val="nil"/>
              <w:left w:val="nil"/>
              <w:bottom w:val="single" w:sz="8" w:space="0" w:color="auto"/>
              <w:right w:val="double" w:sz="6" w:space="0" w:color="auto"/>
            </w:tcBorders>
          </w:tcPr>
          <w:p w14:paraId="2131D6BF"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Mudge et al., 1993 </w:t>
            </w:r>
          </w:p>
        </w:tc>
      </w:tr>
      <w:tr w:rsidR="00632208" w:rsidRPr="0098635C" w14:paraId="5F5C83F9" w14:textId="77777777" w:rsidTr="00982513">
        <w:trPr>
          <w:trHeight w:val="167"/>
        </w:trPr>
        <w:tc>
          <w:tcPr>
            <w:tcW w:w="1647" w:type="dxa"/>
            <w:gridSpan w:val="2"/>
            <w:tcBorders>
              <w:top w:val="nil"/>
              <w:left w:val="double" w:sz="6" w:space="0" w:color="auto"/>
              <w:bottom w:val="single" w:sz="8" w:space="0" w:color="auto"/>
              <w:right w:val="single" w:sz="8" w:space="0" w:color="auto"/>
            </w:tcBorders>
          </w:tcPr>
          <w:p w14:paraId="241C3630" w14:textId="77777777" w:rsidR="00632208" w:rsidRPr="0098635C" w:rsidRDefault="00632208" w:rsidP="00A432B0">
            <w:pPr>
              <w:spacing w:after="0"/>
              <w:rPr>
                <w:color w:val="000000" w:themeColor="text1"/>
                <w:sz w:val="20"/>
                <w:szCs w:val="20"/>
              </w:rPr>
            </w:pPr>
            <w:r w:rsidRPr="0098635C">
              <w:rPr>
                <w:color w:val="000000" w:themeColor="text1"/>
                <w:sz w:val="20"/>
                <w:szCs w:val="20"/>
              </w:rPr>
              <w:lastRenderedPageBreak/>
              <w:t xml:space="preserve">Oncorhynchus kisutch </w:t>
            </w:r>
          </w:p>
        </w:tc>
        <w:tc>
          <w:tcPr>
            <w:tcW w:w="1701" w:type="dxa"/>
            <w:tcBorders>
              <w:top w:val="nil"/>
              <w:left w:val="nil"/>
              <w:bottom w:val="single" w:sz="8" w:space="0" w:color="auto"/>
              <w:right w:val="single" w:sz="8" w:space="0" w:color="auto"/>
            </w:tcBorders>
          </w:tcPr>
          <w:p w14:paraId="69578E13" w14:textId="77777777" w:rsidR="00632208" w:rsidRPr="0098635C" w:rsidRDefault="00632208" w:rsidP="00A432B0">
            <w:pPr>
              <w:spacing w:after="0"/>
              <w:rPr>
                <w:color w:val="000000" w:themeColor="text1"/>
                <w:sz w:val="20"/>
                <w:szCs w:val="20"/>
              </w:rPr>
            </w:pPr>
            <w:r w:rsidRPr="0098635C">
              <w:rPr>
                <w:color w:val="000000" w:themeColor="text1"/>
                <w:sz w:val="20"/>
                <w:szCs w:val="20"/>
              </w:rPr>
              <w:t>parr</w:t>
            </w:r>
          </w:p>
        </w:tc>
        <w:tc>
          <w:tcPr>
            <w:tcW w:w="709" w:type="dxa"/>
            <w:tcBorders>
              <w:top w:val="nil"/>
              <w:left w:val="nil"/>
              <w:bottom w:val="single" w:sz="8" w:space="0" w:color="auto"/>
              <w:right w:val="single" w:sz="8" w:space="0" w:color="auto"/>
            </w:tcBorders>
          </w:tcPr>
          <w:p w14:paraId="5EF26969" w14:textId="77777777" w:rsidR="00632208" w:rsidRPr="0098635C" w:rsidRDefault="00632208" w:rsidP="00A432B0">
            <w:pPr>
              <w:spacing w:after="0"/>
              <w:rPr>
                <w:color w:val="000000" w:themeColor="text1"/>
                <w:sz w:val="20"/>
                <w:szCs w:val="20"/>
              </w:rPr>
            </w:pPr>
            <w:r w:rsidRPr="0098635C">
              <w:rPr>
                <w:color w:val="000000" w:themeColor="text1"/>
                <w:sz w:val="20"/>
                <w:szCs w:val="20"/>
              </w:rPr>
              <w:t>61 d</w:t>
            </w:r>
          </w:p>
        </w:tc>
        <w:tc>
          <w:tcPr>
            <w:tcW w:w="1276" w:type="dxa"/>
            <w:tcBorders>
              <w:top w:val="nil"/>
              <w:left w:val="nil"/>
              <w:bottom w:val="single" w:sz="8" w:space="0" w:color="auto"/>
              <w:right w:val="single" w:sz="8" w:space="0" w:color="auto"/>
            </w:tcBorders>
          </w:tcPr>
          <w:p w14:paraId="14C2BA50"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0D724863"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28</w:t>
            </w:r>
          </w:p>
        </w:tc>
        <w:tc>
          <w:tcPr>
            <w:tcW w:w="709" w:type="dxa"/>
            <w:tcBorders>
              <w:top w:val="nil"/>
              <w:left w:val="nil"/>
              <w:bottom w:val="single" w:sz="8" w:space="0" w:color="auto"/>
              <w:right w:val="single" w:sz="8" w:space="0" w:color="auto"/>
            </w:tcBorders>
          </w:tcPr>
          <w:p w14:paraId="744FAFB7"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3014F0B3" w14:textId="77777777" w:rsidR="00632208" w:rsidRPr="0098635C" w:rsidRDefault="00632208" w:rsidP="00A432B0">
            <w:pPr>
              <w:spacing w:after="0"/>
              <w:rPr>
                <w:color w:val="000000" w:themeColor="text1"/>
                <w:sz w:val="20"/>
                <w:szCs w:val="20"/>
              </w:rPr>
            </w:pPr>
            <w:r w:rsidRPr="0098635C">
              <w:rPr>
                <w:color w:val="000000" w:themeColor="text1"/>
                <w:sz w:val="20"/>
                <w:szCs w:val="20"/>
              </w:rPr>
              <w:t>/</w:t>
            </w:r>
          </w:p>
        </w:tc>
        <w:tc>
          <w:tcPr>
            <w:tcW w:w="3118" w:type="dxa"/>
            <w:tcBorders>
              <w:top w:val="nil"/>
              <w:left w:val="nil"/>
              <w:bottom w:val="single" w:sz="8" w:space="0" w:color="auto"/>
              <w:right w:val="single" w:sz="8" w:space="0" w:color="auto"/>
            </w:tcBorders>
          </w:tcPr>
          <w:p w14:paraId="2E62C830"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8.7 °C; pH: 7.0; H: 28.7 mg/L CaCO3; DOC: 2.9 mg/L </w:t>
            </w:r>
            <w:r w:rsidRPr="0098635C">
              <w:rPr>
                <w:color w:val="000000" w:themeColor="text1"/>
                <w:sz w:val="20"/>
                <w:szCs w:val="20"/>
                <w:vertAlign w:val="superscript"/>
              </w:rPr>
              <w:t>(11)</w:t>
            </w:r>
          </w:p>
        </w:tc>
        <w:tc>
          <w:tcPr>
            <w:tcW w:w="1003" w:type="dxa"/>
            <w:tcBorders>
              <w:top w:val="nil"/>
              <w:left w:val="nil"/>
              <w:bottom w:val="single" w:sz="8" w:space="0" w:color="auto"/>
              <w:right w:val="single" w:sz="8" w:space="0" w:color="auto"/>
            </w:tcBorders>
          </w:tcPr>
          <w:p w14:paraId="1EA6A604" w14:textId="77777777" w:rsidR="00632208" w:rsidRPr="0098635C" w:rsidRDefault="00632208" w:rsidP="00A432B0">
            <w:pPr>
              <w:spacing w:after="0"/>
              <w:rPr>
                <w:color w:val="000000" w:themeColor="text1"/>
                <w:sz w:val="20"/>
                <w:szCs w:val="20"/>
              </w:rPr>
            </w:pPr>
            <w:r w:rsidRPr="0098635C">
              <w:rPr>
                <w:color w:val="000000" w:themeColor="text1"/>
                <w:sz w:val="20"/>
                <w:szCs w:val="20"/>
              </w:rPr>
              <w:t>River (Chehalis River)</w:t>
            </w:r>
          </w:p>
        </w:tc>
        <w:tc>
          <w:tcPr>
            <w:tcW w:w="4383" w:type="dxa"/>
            <w:gridSpan w:val="2"/>
            <w:tcBorders>
              <w:top w:val="nil"/>
              <w:left w:val="nil"/>
              <w:bottom w:val="single" w:sz="8" w:space="0" w:color="auto"/>
              <w:right w:val="double" w:sz="6" w:space="0" w:color="auto"/>
            </w:tcBorders>
          </w:tcPr>
          <w:p w14:paraId="7A3BB35A"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Mudge et al., 1993 </w:t>
            </w:r>
          </w:p>
        </w:tc>
      </w:tr>
      <w:tr w:rsidR="00632208" w:rsidRPr="0098635C" w14:paraId="3E5EC305" w14:textId="77777777" w:rsidTr="00982513">
        <w:trPr>
          <w:trHeight w:val="301"/>
        </w:trPr>
        <w:tc>
          <w:tcPr>
            <w:tcW w:w="1647" w:type="dxa"/>
            <w:gridSpan w:val="2"/>
            <w:tcBorders>
              <w:top w:val="nil"/>
              <w:left w:val="double" w:sz="6" w:space="0" w:color="auto"/>
              <w:bottom w:val="single" w:sz="8" w:space="0" w:color="auto"/>
              <w:right w:val="single" w:sz="8" w:space="0" w:color="auto"/>
            </w:tcBorders>
          </w:tcPr>
          <w:p w14:paraId="7B3FC018"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Oncorhynchus kisutch </w:t>
            </w:r>
          </w:p>
        </w:tc>
        <w:tc>
          <w:tcPr>
            <w:tcW w:w="1701" w:type="dxa"/>
            <w:tcBorders>
              <w:top w:val="nil"/>
              <w:left w:val="nil"/>
              <w:bottom w:val="single" w:sz="8" w:space="0" w:color="auto"/>
              <w:right w:val="single" w:sz="8" w:space="0" w:color="auto"/>
            </w:tcBorders>
          </w:tcPr>
          <w:p w14:paraId="57B95459" w14:textId="77777777" w:rsidR="00632208" w:rsidRPr="0098635C" w:rsidRDefault="00632208" w:rsidP="00A432B0">
            <w:pPr>
              <w:spacing w:after="0"/>
              <w:rPr>
                <w:color w:val="000000" w:themeColor="text1"/>
                <w:sz w:val="20"/>
                <w:szCs w:val="20"/>
              </w:rPr>
            </w:pPr>
            <w:r w:rsidRPr="0098635C">
              <w:rPr>
                <w:color w:val="000000" w:themeColor="text1"/>
                <w:sz w:val="20"/>
                <w:szCs w:val="20"/>
              </w:rPr>
              <w:t>parr</w:t>
            </w:r>
          </w:p>
        </w:tc>
        <w:tc>
          <w:tcPr>
            <w:tcW w:w="709" w:type="dxa"/>
            <w:tcBorders>
              <w:top w:val="nil"/>
              <w:left w:val="nil"/>
              <w:bottom w:val="single" w:sz="8" w:space="0" w:color="auto"/>
              <w:right w:val="single" w:sz="8" w:space="0" w:color="auto"/>
            </w:tcBorders>
          </w:tcPr>
          <w:p w14:paraId="7BE5CF71" w14:textId="77777777" w:rsidR="00632208" w:rsidRPr="0098635C" w:rsidRDefault="00632208" w:rsidP="00A432B0">
            <w:pPr>
              <w:spacing w:after="0"/>
              <w:rPr>
                <w:color w:val="000000" w:themeColor="text1"/>
                <w:sz w:val="20"/>
                <w:szCs w:val="20"/>
              </w:rPr>
            </w:pPr>
            <w:r w:rsidRPr="0098635C">
              <w:rPr>
                <w:color w:val="000000" w:themeColor="text1"/>
                <w:sz w:val="20"/>
                <w:szCs w:val="20"/>
              </w:rPr>
              <w:t>61 d</w:t>
            </w:r>
          </w:p>
        </w:tc>
        <w:tc>
          <w:tcPr>
            <w:tcW w:w="1276" w:type="dxa"/>
            <w:tcBorders>
              <w:top w:val="nil"/>
              <w:left w:val="nil"/>
              <w:bottom w:val="single" w:sz="8" w:space="0" w:color="auto"/>
              <w:right w:val="single" w:sz="8" w:space="0" w:color="auto"/>
            </w:tcBorders>
          </w:tcPr>
          <w:p w14:paraId="3A541E95" w14:textId="77777777" w:rsidR="00632208" w:rsidRPr="0098635C" w:rsidRDefault="00632208" w:rsidP="00A432B0">
            <w:pPr>
              <w:spacing w:after="0"/>
              <w:rPr>
                <w:color w:val="000000" w:themeColor="text1"/>
                <w:sz w:val="20"/>
                <w:szCs w:val="20"/>
              </w:rPr>
            </w:pPr>
            <w:r w:rsidRPr="0098635C">
              <w:rPr>
                <w:color w:val="000000" w:themeColor="text1"/>
                <w:sz w:val="20"/>
                <w:szCs w:val="20"/>
              </w:rPr>
              <w:t>mortality</w:t>
            </w:r>
          </w:p>
        </w:tc>
        <w:tc>
          <w:tcPr>
            <w:tcW w:w="850" w:type="dxa"/>
            <w:tcBorders>
              <w:top w:val="nil"/>
              <w:left w:val="nil"/>
              <w:bottom w:val="single" w:sz="8" w:space="0" w:color="auto"/>
              <w:right w:val="single" w:sz="8" w:space="0" w:color="auto"/>
            </w:tcBorders>
          </w:tcPr>
          <w:p w14:paraId="48260FC6"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24</w:t>
            </w:r>
          </w:p>
        </w:tc>
        <w:tc>
          <w:tcPr>
            <w:tcW w:w="709" w:type="dxa"/>
            <w:tcBorders>
              <w:top w:val="nil"/>
              <w:left w:val="nil"/>
              <w:bottom w:val="single" w:sz="8" w:space="0" w:color="auto"/>
              <w:right w:val="single" w:sz="8" w:space="0" w:color="auto"/>
            </w:tcBorders>
          </w:tcPr>
          <w:p w14:paraId="7737EA01"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371928B7" w14:textId="77777777" w:rsidR="00632208" w:rsidRPr="0098635C" w:rsidRDefault="00632208" w:rsidP="00A432B0">
            <w:pPr>
              <w:spacing w:after="0"/>
              <w:rPr>
                <w:color w:val="000000" w:themeColor="text1"/>
                <w:sz w:val="20"/>
                <w:szCs w:val="20"/>
              </w:rPr>
            </w:pPr>
            <w:r w:rsidRPr="0098635C">
              <w:rPr>
                <w:color w:val="000000" w:themeColor="text1"/>
                <w:sz w:val="20"/>
                <w:szCs w:val="20"/>
              </w:rPr>
              <w:t>/</w:t>
            </w:r>
          </w:p>
        </w:tc>
        <w:tc>
          <w:tcPr>
            <w:tcW w:w="3118" w:type="dxa"/>
            <w:tcBorders>
              <w:top w:val="nil"/>
              <w:left w:val="nil"/>
              <w:bottom w:val="single" w:sz="8" w:space="0" w:color="auto"/>
              <w:right w:val="single" w:sz="8" w:space="0" w:color="auto"/>
            </w:tcBorders>
          </w:tcPr>
          <w:p w14:paraId="5B3BD42A"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9.5 °C; pH: 7.10; H: 24.4 mg/L CaCO3; DOC: 2.9 mg/L </w:t>
            </w:r>
            <w:r w:rsidRPr="0098635C">
              <w:rPr>
                <w:color w:val="000000" w:themeColor="text1"/>
                <w:sz w:val="20"/>
                <w:szCs w:val="20"/>
                <w:vertAlign w:val="superscript"/>
              </w:rPr>
              <w:t>(11)</w:t>
            </w:r>
          </w:p>
        </w:tc>
        <w:tc>
          <w:tcPr>
            <w:tcW w:w="1003" w:type="dxa"/>
            <w:tcBorders>
              <w:top w:val="nil"/>
              <w:left w:val="nil"/>
              <w:bottom w:val="single" w:sz="8" w:space="0" w:color="auto"/>
              <w:right w:val="single" w:sz="8" w:space="0" w:color="auto"/>
            </w:tcBorders>
          </w:tcPr>
          <w:p w14:paraId="21472760" w14:textId="77777777" w:rsidR="00632208" w:rsidRPr="0098635C" w:rsidRDefault="00632208" w:rsidP="00A432B0">
            <w:pPr>
              <w:spacing w:after="0"/>
              <w:rPr>
                <w:color w:val="000000" w:themeColor="text1"/>
                <w:sz w:val="20"/>
                <w:szCs w:val="20"/>
              </w:rPr>
            </w:pPr>
            <w:r w:rsidRPr="0098635C">
              <w:rPr>
                <w:color w:val="000000" w:themeColor="text1"/>
                <w:sz w:val="20"/>
                <w:szCs w:val="20"/>
              </w:rPr>
              <w:t>River (Chehalis River)</w:t>
            </w:r>
          </w:p>
        </w:tc>
        <w:tc>
          <w:tcPr>
            <w:tcW w:w="4383" w:type="dxa"/>
            <w:gridSpan w:val="2"/>
            <w:tcBorders>
              <w:top w:val="nil"/>
              <w:left w:val="nil"/>
              <w:bottom w:val="single" w:sz="8" w:space="0" w:color="auto"/>
              <w:right w:val="double" w:sz="6" w:space="0" w:color="auto"/>
            </w:tcBorders>
          </w:tcPr>
          <w:p w14:paraId="41BE58BB"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Mudge et al., 1993 </w:t>
            </w:r>
          </w:p>
        </w:tc>
      </w:tr>
      <w:tr w:rsidR="00632208" w:rsidRPr="0098635C" w14:paraId="580B5AFD" w14:textId="77777777" w:rsidTr="00982513">
        <w:trPr>
          <w:trHeight w:val="64"/>
        </w:trPr>
        <w:tc>
          <w:tcPr>
            <w:tcW w:w="1647" w:type="dxa"/>
            <w:gridSpan w:val="2"/>
            <w:tcBorders>
              <w:top w:val="nil"/>
              <w:left w:val="double" w:sz="6" w:space="0" w:color="auto"/>
              <w:bottom w:val="single" w:sz="8" w:space="0" w:color="auto"/>
              <w:right w:val="single" w:sz="8" w:space="0" w:color="auto"/>
            </w:tcBorders>
          </w:tcPr>
          <w:p w14:paraId="546C5C6D"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Oncorhynchus kisutch </w:t>
            </w:r>
          </w:p>
        </w:tc>
        <w:tc>
          <w:tcPr>
            <w:tcW w:w="1701" w:type="dxa"/>
            <w:tcBorders>
              <w:top w:val="nil"/>
              <w:left w:val="nil"/>
              <w:bottom w:val="single" w:sz="8" w:space="0" w:color="auto"/>
              <w:right w:val="single" w:sz="8" w:space="0" w:color="auto"/>
            </w:tcBorders>
          </w:tcPr>
          <w:p w14:paraId="5C22919F" w14:textId="77777777" w:rsidR="00632208" w:rsidRPr="0098635C" w:rsidRDefault="00632208" w:rsidP="00A432B0">
            <w:pPr>
              <w:spacing w:after="0"/>
              <w:rPr>
                <w:color w:val="000000" w:themeColor="text1"/>
                <w:sz w:val="20"/>
                <w:szCs w:val="20"/>
              </w:rPr>
            </w:pPr>
            <w:r w:rsidRPr="0098635C">
              <w:rPr>
                <w:color w:val="000000" w:themeColor="text1"/>
                <w:sz w:val="20"/>
                <w:szCs w:val="20"/>
              </w:rPr>
              <w:t>fry</w:t>
            </w:r>
          </w:p>
        </w:tc>
        <w:tc>
          <w:tcPr>
            <w:tcW w:w="709" w:type="dxa"/>
            <w:tcBorders>
              <w:top w:val="nil"/>
              <w:left w:val="nil"/>
              <w:bottom w:val="single" w:sz="8" w:space="0" w:color="auto"/>
              <w:right w:val="single" w:sz="8" w:space="0" w:color="auto"/>
            </w:tcBorders>
          </w:tcPr>
          <w:p w14:paraId="35395A4D" w14:textId="77777777" w:rsidR="00632208" w:rsidRPr="0098635C" w:rsidRDefault="00632208" w:rsidP="00A432B0">
            <w:pPr>
              <w:spacing w:after="0"/>
              <w:rPr>
                <w:color w:val="000000" w:themeColor="text1"/>
                <w:sz w:val="20"/>
                <w:szCs w:val="20"/>
              </w:rPr>
            </w:pPr>
            <w:r w:rsidRPr="0098635C">
              <w:rPr>
                <w:color w:val="000000" w:themeColor="text1"/>
                <w:sz w:val="20"/>
                <w:szCs w:val="20"/>
              </w:rPr>
              <w:t>60 d</w:t>
            </w:r>
          </w:p>
        </w:tc>
        <w:tc>
          <w:tcPr>
            <w:tcW w:w="1276" w:type="dxa"/>
            <w:tcBorders>
              <w:top w:val="nil"/>
              <w:left w:val="nil"/>
              <w:bottom w:val="single" w:sz="8" w:space="0" w:color="auto"/>
              <w:right w:val="single" w:sz="8" w:space="0" w:color="auto"/>
            </w:tcBorders>
          </w:tcPr>
          <w:p w14:paraId="744A1822" w14:textId="77777777" w:rsidR="00632208" w:rsidRPr="0098635C" w:rsidRDefault="00632208" w:rsidP="00A432B0">
            <w:pPr>
              <w:spacing w:after="0"/>
              <w:rPr>
                <w:color w:val="000000" w:themeColor="text1"/>
                <w:sz w:val="20"/>
                <w:szCs w:val="20"/>
              </w:rPr>
            </w:pPr>
            <w:r w:rsidRPr="0098635C">
              <w:rPr>
                <w:color w:val="000000" w:themeColor="text1"/>
                <w:sz w:val="20"/>
                <w:szCs w:val="20"/>
              </w:rPr>
              <w:t>mortality</w:t>
            </w:r>
          </w:p>
        </w:tc>
        <w:tc>
          <w:tcPr>
            <w:tcW w:w="850" w:type="dxa"/>
            <w:tcBorders>
              <w:top w:val="nil"/>
              <w:left w:val="nil"/>
              <w:bottom w:val="single" w:sz="8" w:space="0" w:color="auto"/>
              <w:right w:val="single" w:sz="8" w:space="0" w:color="auto"/>
            </w:tcBorders>
          </w:tcPr>
          <w:p w14:paraId="598CBA39"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18</w:t>
            </w:r>
          </w:p>
        </w:tc>
        <w:tc>
          <w:tcPr>
            <w:tcW w:w="709" w:type="dxa"/>
            <w:tcBorders>
              <w:top w:val="nil"/>
              <w:left w:val="nil"/>
              <w:bottom w:val="single" w:sz="8" w:space="0" w:color="auto"/>
              <w:right w:val="single" w:sz="8" w:space="0" w:color="auto"/>
            </w:tcBorders>
          </w:tcPr>
          <w:p w14:paraId="06D10FE0"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1D5ABED2" w14:textId="77777777" w:rsidR="00632208" w:rsidRPr="0098635C" w:rsidRDefault="00632208" w:rsidP="00A432B0">
            <w:pPr>
              <w:spacing w:after="0"/>
              <w:rPr>
                <w:color w:val="000000" w:themeColor="text1"/>
                <w:sz w:val="20"/>
                <w:szCs w:val="20"/>
              </w:rPr>
            </w:pPr>
            <w:r w:rsidRPr="0098635C">
              <w:rPr>
                <w:color w:val="000000" w:themeColor="text1"/>
                <w:sz w:val="20"/>
                <w:szCs w:val="20"/>
              </w:rPr>
              <w:t>/</w:t>
            </w:r>
          </w:p>
        </w:tc>
        <w:tc>
          <w:tcPr>
            <w:tcW w:w="3118" w:type="dxa"/>
            <w:tcBorders>
              <w:top w:val="nil"/>
              <w:left w:val="nil"/>
              <w:bottom w:val="single" w:sz="8" w:space="0" w:color="auto"/>
              <w:right w:val="single" w:sz="8" w:space="0" w:color="auto"/>
            </w:tcBorders>
          </w:tcPr>
          <w:p w14:paraId="3D574BD7"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16.7 °C; pH: 7.30; H: 31.8 mg/L CaCO3; DOC: 2.9 mg/L </w:t>
            </w:r>
            <w:r w:rsidRPr="0098635C">
              <w:rPr>
                <w:color w:val="000000" w:themeColor="text1"/>
                <w:sz w:val="20"/>
                <w:szCs w:val="20"/>
                <w:vertAlign w:val="superscript"/>
              </w:rPr>
              <w:t>(11)</w:t>
            </w:r>
          </w:p>
        </w:tc>
        <w:tc>
          <w:tcPr>
            <w:tcW w:w="1003" w:type="dxa"/>
            <w:tcBorders>
              <w:top w:val="nil"/>
              <w:left w:val="nil"/>
              <w:bottom w:val="single" w:sz="8" w:space="0" w:color="auto"/>
              <w:right w:val="single" w:sz="8" w:space="0" w:color="auto"/>
            </w:tcBorders>
          </w:tcPr>
          <w:p w14:paraId="590550DE" w14:textId="77777777" w:rsidR="00632208" w:rsidRPr="0098635C" w:rsidRDefault="00632208" w:rsidP="00A432B0">
            <w:pPr>
              <w:spacing w:after="0"/>
              <w:rPr>
                <w:color w:val="000000" w:themeColor="text1"/>
                <w:sz w:val="20"/>
                <w:szCs w:val="20"/>
              </w:rPr>
            </w:pPr>
            <w:r w:rsidRPr="0098635C">
              <w:rPr>
                <w:color w:val="000000" w:themeColor="text1"/>
                <w:sz w:val="20"/>
                <w:szCs w:val="20"/>
              </w:rPr>
              <w:t>River (Chehalis River)</w:t>
            </w:r>
          </w:p>
        </w:tc>
        <w:tc>
          <w:tcPr>
            <w:tcW w:w="4383" w:type="dxa"/>
            <w:gridSpan w:val="2"/>
            <w:tcBorders>
              <w:top w:val="nil"/>
              <w:left w:val="nil"/>
              <w:bottom w:val="single" w:sz="8" w:space="0" w:color="auto"/>
              <w:right w:val="double" w:sz="6" w:space="0" w:color="auto"/>
            </w:tcBorders>
          </w:tcPr>
          <w:p w14:paraId="3BFC45B7"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Mudge et al., 1993 </w:t>
            </w:r>
          </w:p>
        </w:tc>
      </w:tr>
      <w:tr w:rsidR="00632208" w:rsidRPr="0098635C" w14:paraId="049138C1" w14:textId="77777777" w:rsidTr="00982513">
        <w:trPr>
          <w:trHeight w:val="285"/>
        </w:trPr>
        <w:tc>
          <w:tcPr>
            <w:tcW w:w="1647" w:type="dxa"/>
            <w:gridSpan w:val="2"/>
            <w:tcBorders>
              <w:top w:val="nil"/>
              <w:left w:val="double" w:sz="6" w:space="0" w:color="auto"/>
              <w:bottom w:val="single" w:sz="8" w:space="0" w:color="auto"/>
              <w:right w:val="single" w:sz="8" w:space="0" w:color="auto"/>
            </w:tcBorders>
          </w:tcPr>
          <w:p w14:paraId="46AE9020"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Oncorhynchus mykiss </w:t>
            </w:r>
          </w:p>
        </w:tc>
        <w:tc>
          <w:tcPr>
            <w:tcW w:w="1701" w:type="dxa"/>
            <w:tcBorders>
              <w:top w:val="nil"/>
              <w:left w:val="nil"/>
              <w:bottom w:val="single" w:sz="8" w:space="0" w:color="auto"/>
              <w:right w:val="single" w:sz="8" w:space="0" w:color="auto"/>
            </w:tcBorders>
          </w:tcPr>
          <w:p w14:paraId="31DBEAE6" w14:textId="77777777" w:rsidR="00632208" w:rsidRPr="0098635C" w:rsidRDefault="00632208" w:rsidP="00A432B0">
            <w:pPr>
              <w:spacing w:after="0"/>
              <w:rPr>
                <w:color w:val="000000" w:themeColor="text1"/>
                <w:sz w:val="20"/>
                <w:szCs w:val="20"/>
              </w:rPr>
            </w:pPr>
            <w:r w:rsidRPr="0098635C">
              <w:rPr>
                <w:color w:val="000000" w:themeColor="text1"/>
                <w:sz w:val="20"/>
                <w:szCs w:val="20"/>
              </w:rPr>
              <w:t>fry (0.12 g; 2.6 cm)</w:t>
            </w:r>
          </w:p>
        </w:tc>
        <w:tc>
          <w:tcPr>
            <w:tcW w:w="709" w:type="dxa"/>
            <w:tcBorders>
              <w:top w:val="nil"/>
              <w:left w:val="nil"/>
              <w:bottom w:val="single" w:sz="8" w:space="0" w:color="auto"/>
              <w:right w:val="single" w:sz="8" w:space="0" w:color="auto"/>
            </w:tcBorders>
          </w:tcPr>
          <w:p w14:paraId="5CCF5A23" w14:textId="77777777" w:rsidR="00632208" w:rsidRPr="0098635C" w:rsidRDefault="00632208" w:rsidP="00A432B0">
            <w:pPr>
              <w:spacing w:after="0"/>
              <w:rPr>
                <w:color w:val="000000" w:themeColor="text1"/>
                <w:sz w:val="20"/>
                <w:szCs w:val="20"/>
              </w:rPr>
            </w:pPr>
            <w:r w:rsidRPr="0098635C">
              <w:rPr>
                <w:color w:val="000000" w:themeColor="text1"/>
                <w:sz w:val="20"/>
                <w:szCs w:val="20"/>
              </w:rPr>
              <w:t>60 d</w:t>
            </w:r>
          </w:p>
        </w:tc>
        <w:tc>
          <w:tcPr>
            <w:tcW w:w="1276" w:type="dxa"/>
            <w:tcBorders>
              <w:top w:val="nil"/>
              <w:left w:val="nil"/>
              <w:bottom w:val="single" w:sz="8" w:space="0" w:color="auto"/>
              <w:right w:val="single" w:sz="8" w:space="0" w:color="auto"/>
            </w:tcBorders>
          </w:tcPr>
          <w:p w14:paraId="19C1CFBA"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3B4AD256"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2.2</w:t>
            </w:r>
          </w:p>
        </w:tc>
        <w:tc>
          <w:tcPr>
            <w:tcW w:w="709" w:type="dxa"/>
            <w:tcBorders>
              <w:top w:val="nil"/>
              <w:left w:val="nil"/>
              <w:bottom w:val="single" w:sz="8" w:space="0" w:color="auto"/>
              <w:right w:val="single" w:sz="8" w:space="0" w:color="auto"/>
            </w:tcBorders>
          </w:tcPr>
          <w:p w14:paraId="4073F6D2"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3BD0BE5D" w14:textId="77777777" w:rsidR="00632208" w:rsidRPr="0098635C" w:rsidRDefault="00632208" w:rsidP="00A432B0">
            <w:pPr>
              <w:spacing w:after="0"/>
              <w:rPr>
                <w:color w:val="000000" w:themeColor="text1"/>
                <w:sz w:val="20"/>
                <w:szCs w:val="20"/>
              </w:rPr>
            </w:pPr>
            <w:r w:rsidRPr="0098635C">
              <w:rPr>
                <w:color w:val="000000" w:themeColor="text1"/>
                <w:sz w:val="20"/>
                <w:szCs w:val="20"/>
              </w:rPr>
              <w:t>0.45*</w:t>
            </w:r>
          </w:p>
        </w:tc>
        <w:tc>
          <w:tcPr>
            <w:tcW w:w="3118" w:type="dxa"/>
            <w:tcBorders>
              <w:top w:val="nil"/>
              <w:left w:val="nil"/>
              <w:bottom w:val="single" w:sz="8" w:space="0" w:color="auto"/>
              <w:right w:val="single" w:sz="8" w:space="0" w:color="auto"/>
            </w:tcBorders>
          </w:tcPr>
          <w:p w14:paraId="5223DB16"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9.8 °C; pH: 7.5; H: 25 mg/L CaCO3; DOC: 0.2 mg/L </w:t>
            </w:r>
            <w:r w:rsidRPr="0098635C">
              <w:rPr>
                <w:color w:val="000000" w:themeColor="text1"/>
                <w:sz w:val="20"/>
                <w:szCs w:val="20"/>
                <w:vertAlign w:val="superscript"/>
              </w:rPr>
              <w:t>(12)</w:t>
            </w:r>
          </w:p>
        </w:tc>
        <w:tc>
          <w:tcPr>
            <w:tcW w:w="1003" w:type="dxa"/>
            <w:tcBorders>
              <w:top w:val="nil"/>
              <w:left w:val="nil"/>
              <w:bottom w:val="single" w:sz="8" w:space="0" w:color="auto"/>
              <w:right w:val="single" w:sz="8" w:space="0" w:color="auto"/>
            </w:tcBorders>
          </w:tcPr>
          <w:p w14:paraId="4498CB03" w14:textId="77777777" w:rsidR="00632208" w:rsidRPr="0098635C" w:rsidRDefault="00632208" w:rsidP="00A432B0">
            <w:pPr>
              <w:spacing w:after="0"/>
              <w:rPr>
                <w:color w:val="000000" w:themeColor="text1"/>
                <w:sz w:val="20"/>
                <w:szCs w:val="20"/>
              </w:rPr>
            </w:pPr>
            <w:r w:rsidRPr="0098635C">
              <w:rPr>
                <w:color w:val="000000" w:themeColor="text1"/>
                <w:sz w:val="20"/>
                <w:szCs w:val="20"/>
              </w:rPr>
              <w:t>Well + deionised water</w:t>
            </w:r>
          </w:p>
        </w:tc>
        <w:tc>
          <w:tcPr>
            <w:tcW w:w="4383" w:type="dxa"/>
            <w:gridSpan w:val="2"/>
            <w:tcBorders>
              <w:top w:val="nil"/>
              <w:left w:val="nil"/>
              <w:bottom w:val="single" w:sz="8" w:space="0" w:color="auto"/>
              <w:right w:val="double" w:sz="6" w:space="0" w:color="auto"/>
            </w:tcBorders>
          </w:tcPr>
          <w:p w14:paraId="34B0FAC5"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Marr et al., 1996 </w:t>
            </w:r>
          </w:p>
        </w:tc>
      </w:tr>
      <w:tr w:rsidR="00632208" w:rsidRPr="0098635C" w14:paraId="39CDA7D8" w14:textId="77777777" w:rsidTr="00982513">
        <w:trPr>
          <w:trHeight w:val="169"/>
        </w:trPr>
        <w:tc>
          <w:tcPr>
            <w:tcW w:w="1647" w:type="dxa"/>
            <w:gridSpan w:val="2"/>
            <w:tcBorders>
              <w:top w:val="nil"/>
              <w:left w:val="double" w:sz="6" w:space="0" w:color="auto"/>
              <w:bottom w:val="single" w:sz="8" w:space="0" w:color="auto"/>
              <w:right w:val="single" w:sz="8" w:space="0" w:color="auto"/>
            </w:tcBorders>
          </w:tcPr>
          <w:p w14:paraId="523AE7C7"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Oncorhynchus mykiss </w:t>
            </w:r>
          </w:p>
        </w:tc>
        <w:tc>
          <w:tcPr>
            <w:tcW w:w="1701" w:type="dxa"/>
            <w:tcBorders>
              <w:top w:val="nil"/>
              <w:left w:val="nil"/>
              <w:bottom w:val="single" w:sz="8" w:space="0" w:color="auto"/>
              <w:right w:val="single" w:sz="8" w:space="0" w:color="auto"/>
            </w:tcBorders>
          </w:tcPr>
          <w:p w14:paraId="38DAA8D1" w14:textId="77777777" w:rsidR="00632208" w:rsidRPr="0098635C" w:rsidRDefault="00632208" w:rsidP="00A432B0">
            <w:pPr>
              <w:spacing w:after="0"/>
              <w:rPr>
                <w:color w:val="000000" w:themeColor="text1"/>
                <w:sz w:val="20"/>
                <w:szCs w:val="20"/>
              </w:rPr>
            </w:pPr>
            <w:r w:rsidRPr="0098635C">
              <w:rPr>
                <w:color w:val="000000" w:themeColor="text1"/>
                <w:sz w:val="20"/>
                <w:szCs w:val="20"/>
              </w:rPr>
              <w:t>parr</w:t>
            </w:r>
          </w:p>
        </w:tc>
        <w:tc>
          <w:tcPr>
            <w:tcW w:w="709" w:type="dxa"/>
            <w:tcBorders>
              <w:top w:val="nil"/>
              <w:left w:val="nil"/>
              <w:bottom w:val="single" w:sz="8" w:space="0" w:color="auto"/>
              <w:right w:val="single" w:sz="8" w:space="0" w:color="auto"/>
            </w:tcBorders>
          </w:tcPr>
          <w:p w14:paraId="378B2681" w14:textId="77777777" w:rsidR="00632208" w:rsidRPr="0098635C" w:rsidRDefault="00632208" w:rsidP="00A432B0">
            <w:pPr>
              <w:spacing w:after="0"/>
              <w:rPr>
                <w:color w:val="000000" w:themeColor="text1"/>
                <w:sz w:val="20"/>
                <w:szCs w:val="20"/>
              </w:rPr>
            </w:pPr>
            <w:r w:rsidRPr="0098635C">
              <w:rPr>
                <w:color w:val="000000" w:themeColor="text1"/>
                <w:sz w:val="20"/>
                <w:szCs w:val="20"/>
              </w:rPr>
              <w:t>61 d</w:t>
            </w:r>
          </w:p>
        </w:tc>
        <w:tc>
          <w:tcPr>
            <w:tcW w:w="1276" w:type="dxa"/>
            <w:tcBorders>
              <w:top w:val="nil"/>
              <w:left w:val="nil"/>
              <w:bottom w:val="single" w:sz="8" w:space="0" w:color="auto"/>
              <w:right w:val="single" w:sz="8" w:space="0" w:color="auto"/>
            </w:tcBorders>
          </w:tcPr>
          <w:p w14:paraId="7050EEC3"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6BE4AF1D"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45</w:t>
            </w:r>
          </w:p>
        </w:tc>
        <w:tc>
          <w:tcPr>
            <w:tcW w:w="709" w:type="dxa"/>
            <w:tcBorders>
              <w:top w:val="nil"/>
              <w:left w:val="nil"/>
              <w:bottom w:val="single" w:sz="8" w:space="0" w:color="auto"/>
              <w:right w:val="single" w:sz="8" w:space="0" w:color="auto"/>
            </w:tcBorders>
          </w:tcPr>
          <w:p w14:paraId="3F1EEA8A"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2018857A" w14:textId="77777777" w:rsidR="00632208" w:rsidRPr="0098635C" w:rsidRDefault="00632208" w:rsidP="00A432B0">
            <w:pPr>
              <w:spacing w:after="0"/>
              <w:rPr>
                <w:color w:val="000000" w:themeColor="text1"/>
                <w:sz w:val="20"/>
                <w:szCs w:val="20"/>
              </w:rPr>
            </w:pPr>
            <w:r w:rsidRPr="0098635C">
              <w:rPr>
                <w:color w:val="000000" w:themeColor="text1"/>
                <w:sz w:val="20"/>
                <w:szCs w:val="20"/>
              </w:rPr>
              <w:t>/</w:t>
            </w:r>
          </w:p>
        </w:tc>
        <w:tc>
          <w:tcPr>
            <w:tcW w:w="3118" w:type="dxa"/>
            <w:tcBorders>
              <w:top w:val="nil"/>
              <w:left w:val="nil"/>
              <w:bottom w:val="single" w:sz="8" w:space="0" w:color="auto"/>
              <w:right w:val="single" w:sz="8" w:space="0" w:color="auto"/>
            </w:tcBorders>
          </w:tcPr>
          <w:p w14:paraId="67C56EE3"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9.5 °C; pH: 7.10; H: 24.4 mg/L CaCO3; DOC: 2.9 mg/L </w:t>
            </w:r>
            <w:r w:rsidRPr="0098635C">
              <w:rPr>
                <w:color w:val="000000" w:themeColor="text1"/>
                <w:sz w:val="20"/>
                <w:szCs w:val="20"/>
                <w:vertAlign w:val="superscript"/>
              </w:rPr>
              <w:t>(11)</w:t>
            </w:r>
          </w:p>
        </w:tc>
        <w:tc>
          <w:tcPr>
            <w:tcW w:w="1003" w:type="dxa"/>
            <w:tcBorders>
              <w:top w:val="nil"/>
              <w:left w:val="nil"/>
              <w:bottom w:val="single" w:sz="8" w:space="0" w:color="auto"/>
              <w:right w:val="single" w:sz="8" w:space="0" w:color="auto"/>
            </w:tcBorders>
          </w:tcPr>
          <w:p w14:paraId="1C3BE4F1" w14:textId="77777777" w:rsidR="00632208" w:rsidRPr="0098635C" w:rsidRDefault="00632208" w:rsidP="00A432B0">
            <w:pPr>
              <w:spacing w:after="0"/>
              <w:rPr>
                <w:color w:val="000000" w:themeColor="text1"/>
                <w:sz w:val="20"/>
                <w:szCs w:val="20"/>
              </w:rPr>
            </w:pPr>
            <w:r w:rsidRPr="0098635C">
              <w:rPr>
                <w:color w:val="000000" w:themeColor="text1"/>
                <w:sz w:val="20"/>
                <w:szCs w:val="20"/>
              </w:rPr>
              <w:t>River (Chehalis River)</w:t>
            </w:r>
          </w:p>
        </w:tc>
        <w:tc>
          <w:tcPr>
            <w:tcW w:w="4383" w:type="dxa"/>
            <w:gridSpan w:val="2"/>
            <w:tcBorders>
              <w:top w:val="nil"/>
              <w:left w:val="nil"/>
              <w:bottom w:val="single" w:sz="8" w:space="0" w:color="auto"/>
              <w:right w:val="double" w:sz="6" w:space="0" w:color="auto"/>
            </w:tcBorders>
          </w:tcPr>
          <w:p w14:paraId="40CAA94C"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Mudge et al., 1993 </w:t>
            </w:r>
          </w:p>
        </w:tc>
      </w:tr>
      <w:tr w:rsidR="00632208" w:rsidRPr="0098635C" w14:paraId="276185D2" w14:textId="77777777" w:rsidTr="00982513">
        <w:trPr>
          <w:trHeight w:val="64"/>
        </w:trPr>
        <w:tc>
          <w:tcPr>
            <w:tcW w:w="1647" w:type="dxa"/>
            <w:gridSpan w:val="2"/>
            <w:tcBorders>
              <w:top w:val="nil"/>
              <w:left w:val="double" w:sz="6" w:space="0" w:color="auto"/>
              <w:bottom w:val="single" w:sz="8" w:space="0" w:color="auto"/>
              <w:right w:val="single" w:sz="8" w:space="0" w:color="auto"/>
            </w:tcBorders>
          </w:tcPr>
          <w:p w14:paraId="21ACDE24"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Oncorhynchus mykiss </w:t>
            </w:r>
          </w:p>
        </w:tc>
        <w:tc>
          <w:tcPr>
            <w:tcW w:w="1701" w:type="dxa"/>
            <w:tcBorders>
              <w:top w:val="nil"/>
              <w:left w:val="nil"/>
              <w:bottom w:val="single" w:sz="8" w:space="0" w:color="auto"/>
              <w:right w:val="single" w:sz="8" w:space="0" w:color="auto"/>
            </w:tcBorders>
          </w:tcPr>
          <w:p w14:paraId="7FD2C84A" w14:textId="77777777" w:rsidR="00632208" w:rsidRPr="0098635C" w:rsidRDefault="00632208" w:rsidP="00A432B0">
            <w:pPr>
              <w:spacing w:after="0"/>
              <w:rPr>
                <w:color w:val="000000" w:themeColor="text1"/>
                <w:sz w:val="20"/>
                <w:szCs w:val="20"/>
              </w:rPr>
            </w:pPr>
            <w:r w:rsidRPr="0098635C">
              <w:rPr>
                <w:color w:val="000000" w:themeColor="text1"/>
                <w:sz w:val="20"/>
                <w:szCs w:val="20"/>
              </w:rPr>
              <w:t>eggs</w:t>
            </w:r>
          </w:p>
        </w:tc>
        <w:tc>
          <w:tcPr>
            <w:tcW w:w="709" w:type="dxa"/>
            <w:tcBorders>
              <w:top w:val="nil"/>
              <w:left w:val="nil"/>
              <w:bottom w:val="single" w:sz="8" w:space="0" w:color="auto"/>
              <w:right w:val="single" w:sz="8" w:space="0" w:color="auto"/>
            </w:tcBorders>
          </w:tcPr>
          <w:p w14:paraId="545ACE72" w14:textId="77777777" w:rsidR="00632208" w:rsidRPr="0098635C" w:rsidRDefault="00632208" w:rsidP="00A432B0">
            <w:pPr>
              <w:spacing w:after="0"/>
              <w:rPr>
                <w:color w:val="000000" w:themeColor="text1"/>
                <w:sz w:val="20"/>
                <w:szCs w:val="20"/>
              </w:rPr>
            </w:pPr>
            <w:r w:rsidRPr="0098635C">
              <w:rPr>
                <w:color w:val="000000" w:themeColor="text1"/>
                <w:sz w:val="20"/>
                <w:szCs w:val="20"/>
              </w:rPr>
              <w:t>63 d</w:t>
            </w:r>
          </w:p>
        </w:tc>
        <w:tc>
          <w:tcPr>
            <w:tcW w:w="1276" w:type="dxa"/>
            <w:tcBorders>
              <w:top w:val="nil"/>
              <w:left w:val="nil"/>
              <w:bottom w:val="single" w:sz="8" w:space="0" w:color="auto"/>
              <w:right w:val="single" w:sz="8" w:space="0" w:color="auto"/>
            </w:tcBorders>
          </w:tcPr>
          <w:p w14:paraId="3AAEC627"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5DF49EBB"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16</w:t>
            </w:r>
          </w:p>
        </w:tc>
        <w:tc>
          <w:tcPr>
            <w:tcW w:w="709" w:type="dxa"/>
            <w:tcBorders>
              <w:top w:val="nil"/>
              <w:left w:val="nil"/>
              <w:bottom w:val="single" w:sz="8" w:space="0" w:color="auto"/>
              <w:right w:val="single" w:sz="8" w:space="0" w:color="auto"/>
            </w:tcBorders>
          </w:tcPr>
          <w:p w14:paraId="0C7A609A"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4DD8A04D"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3</w:t>
            </w:r>
          </w:p>
        </w:tc>
        <w:tc>
          <w:tcPr>
            <w:tcW w:w="3118" w:type="dxa"/>
            <w:tcBorders>
              <w:top w:val="nil"/>
              <w:left w:val="nil"/>
              <w:bottom w:val="single" w:sz="8" w:space="0" w:color="auto"/>
              <w:right w:val="single" w:sz="8" w:space="0" w:color="auto"/>
            </w:tcBorders>
          </w:tcPr>
          <w:p w14:paraId="0A8A9832"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12 °C; pH: 7.65; H: 120 mg/L CaCO3; DOC: 1.3 mg/L </w:t>
            </w:r>
            <w:r w:rsidRPr="0098635C">
              <w:rPr>
                <w:color w:val="000000" w:themeColor="text1"/>
                <w:sz w:val="20"/>
                <w:szCs w:val="20"/>
                <w:vertAlign w:val="superscript"/>
              </w:rPr>
              <w:t>(9)</w:t>
            </w:r>
          </w:p>
        </w:tc>
        <w:tc>
          <w:tcPr>
            <w:tcW w:w="1003" w:type="dxa"/>
            <w:tcBorders>
              <w:top w:val="nil"/>
              <w:left w:val="nil"/>
              <w:bottom w:val="single" w:sz="8" w:space="0" w:color="auto"/>
              <w:right w:val="single" w:sz="8" w:space="0" w:color="auto"/>
            </w:tcBorders>
          </w:tcPr>
          <w:p w14:paraId="01FD7110" w14:textId="77777777" w:rsidR="00632208" w:rsidRPr="0098635C" w:rsidRDefault="00632208" w:rsidP="00A432B0">
            <w:pPr>
              <w:spacing w:after="0"/>
              <w:rPr>
                <w:color w:val="000000" w:themeColor="text1"/>
                <w:sz w:val="20"/>
                <w:szCs w:val="20"/>
              </w:rPr>
            </w:pPr>
            <w:r w:rsidRPr="0098635C">
              <w:rPr>
                <w:color w:val="000000" w:themeColor="text1"/>
                <w:sz w:val="20"/>
                <w:szCs w:val="20"/>
              </w:rPr>
              <w:t>Well</w:t>
            </w:r>
          </w:p>
        </w:tc>
        <w:tc>
          <w:tcPr>
            <w:tcW w:w="4383" w:type="dxa"/>
            <w:gridSpan w:val="2"/>
            <w:tcBorders>
              <w:top w:val="nil"/>
              <w:left w:val="nil"/>
              <w:bottom w:val="single" w:sz="8" w:space="0" w:color="auto"/>
              <w:right w:val="double" w:sz="6" w:space="0" w:color="auto"/>
            </w:tcBorders>
          </w:tcPr>
          <w:p w14:paraId="72E71D72"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Seim et al., 1984 </w:t>
            </w:r>
          </w:p>
        </w:tc>
      </w:tr>
      <w:tr w:rsidR="00632208" w:rsidRPr="0098635C" w14:paraId="2A9ACC10" w14:textId="77777777" w:rsidTr="00982513">
        <w:trPr>
          <w:trHeight w:val="105"/>
        </w:trPr>
        <w:tc>
          <w:tcPr>
            <w:tcW w:w="1647" w:type="dxa"/>
            <w:gridSpan w:val="2"/>
            <w:tcBorders>
              <w:top w:val="nil"/>
              <w:left w:val="double" w:sz="6" w:space="0" w:color="auto"/>
              <w:bottom w:val="single" w:sz="8" w:space="0" w:color="auto"/>
              <w:right w:val="single" w:sz="8" w:space="0" w:color="auto"/>
            </w:tcBorders>
          </w:tcPr>
          <w:p w14:paraId="635786F4"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Oncorhynchus mykiss </w:t>
            </w:r>
          </w:p>
        </w:tc>
        <w:tc>
          <w:tcPr>
            <w:tcW w:w="1701" w:type="dxa"/>
            <w:tcBorders>
              <w:top w:val="nil"/>
              <w:left w:val="nil"/>
              <w:bottom w:val="single" w:sz="8" w:space="0" w:color="auto"/>
              <w:right w:val="single" w:sz="8" w:space="0" w:color="auto"/>
            </w:tcBorders>
          </w:tcPr>
          <w:p w14:paraId="2FE12B4A" w14:textId="77777777" w:rsidR="00632208" w:rsidRPr="0098635C" w:rsidRDefault="00632208" w:rsidP="00A432B0">
            <w:pPr>
              <w:spacing w:after="0"/>
              <w:rPr>
                <w:color w:val="000000" w:themeColor="text1"/>
                <w:sz w:val="20"/>
                <w:szCs w:val="20"/>
              </w:rPr>
            </w:pPr>
            <w:r w:rsidRPr="0098635C">
              <w:rPr>
                <w:color w:val="000000" w:themeColor="text1"/>
                <w:sz w:val="20"/>
                <w:szCs w:val="20"/>
              </w:rPr>
              <w:t>parr</w:t>
            </w:r>
          </w:p>
        </w:tc>
        <w:tc>
          <w:tcPr>
            <w:tcW w:w="709" w:type="dxa"/>
            <w:tcBorders>
              <w:top w:val="nil"/>
              <w:left w:val="nil"/>
              <w:bottom w:val="single" w:sz="8" w:space="0" w:color="auto"/>
              <w:right w:val="single" w:sz="8" w:space="0" w:color="auto"/>
            </w:tcBorders>
          </w:tcPr>
          <w:p w14:paraId="6C4677E4" w14:textId="77777777" w:rsidR="00632208" w:rsidRPr="0098635C" w:rsidRDefault="00632208" w:rsidP="00A432B0">
            <w:pPr>
              <w:spacing w:after="0"/>
              <w:rPr>
                <w:color w:val="000000" w:themeColor="text1"/>
                <w:sz w:val="20"/>
                <w:szCs w:val="20"/>
              </w:rPr>
            </w:pPr>
            <w:r w:rsidRPr="0098635C">
              <w:rPr>
                <w:color w:val="000000" w:themeColor="text1"/>
                <w:sz w:val="20"/>
                <w:szCs w:val="20"/>
              </w:rPr>
              <w:t>61 d</w:t>
            </w:r>
          </w:p>
        </w:tc>
        <w:tc>
          <w:tcPr>
            <w:tcW w:w="1276" w:type="dxa"/>
            <w:tcBorders>
              <w:top w:val="nil"/>
              <w:left w:val="nil"/>
              <w:bottom w:val="single" w:sz="8" w:space="0" w:color="auto"/>
              <w:right w:val="single" w:sz="8" w:space="0" w:color="auto"/>
            </w:tcBorders>
          </w:tcPr>
          <w:p w14:paraId="66726701" w14:textId="77777777" w:rsidR="00632208" w:rsidRPr="0098635C" w:rsidRDefault="00632208" w:rsidP="00A432B0">
            <w:pPr>
              <w:spacing w:after="0"/>
              <w:rPr>
                <w:color w:val="000000" w:themeColor="text1"/>
                <w:sz w:val="20"/>
                <w:szCs w:val="20"/>
              </w:rPr>
            </w:pPr>
            <w:r w:rsidRPr="0098635C">
              <w:rPr>
                <w:color w:val="000000" w:themeColor="text1"/>
                <w:sz w:val="20"/>
                <w:szCs w:val="20"/>
              </w:rPr>
              <w:t>mortality</w:t>
            </w:r>
          </w:p>
        </w:tc>
        <w:tc>
          <w:tcPr>
            <w:tcW w:w="850" w:type="dxa"/>
            <w:tcBorders>
              <w:top w:val="nil"/>
              <w:left w:val="nil"/>
              <w:bottom w:val="single" w:sz="8" w:space="0" w:color="auto"/>
              <w:right w:val="single" w:sz="8" w:space="0" w:color="auto"/>
            </w:tcBorders>
          </w:tcPr>
          <w:p w14:paraId="4DE670E5"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24</w:t>
            </w:r>
          </w:p>
        </w:tc>
        <w:tc>
          <w:tcPr>
            <w:tcW w:w="709" w:type="dxa"/>
            <w:tcBorders>
              <w:top w:val="nil"/>
              <w:left w:val="nil"/>
              <w:bottom w:val="single" w:sz="8" w:space="0" w:color="auto"/>
              <w:right w:val="single" w:sz="8" w:space="0" w:color="auto"/>
            </w:tcBorders>
          </w:tcPr>
          <w:p w14:paraId="1C85F1BC"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59978C64" w14:textId="77777777" w:rsidR="00632208" w:rsidRPr="0098635C" w:rsidRDefault="00632208" w:rsidP="00A432B0">
            <w:pPr>
              <w:spacing w:after="0"/>
              <w:rPr>
                <w:color w:val="000000" w:themeColor="text1"/>
                <w:sz w:val="20"/>
                <w:szCs w:val="20"/>
              </w:rPr>
            </w:pPr>
            <w:r w:rsidRPr="0098635C">
              <w:rPr>
                <w:color w:val="000000" w:themeColor="text1"/>
                <w:sz w:val="20"/>
                <w:szCs w:val="20"/>
              </w:rPr>
              <w:t>/</w:t>
            </w:r>
          </w:p>
        </w:tc>
        <w:tc>
          <w:tcPr>
            <w:tcW w:w="3118" w:type="dxa"/>
            <w:tcBorders>
              <w:top w:val="nil"/>
              <w:left w:val="nil"/>
              <w:bottom w:val="single" w:sz="8" w:space="0" w:color="auto"/>
              <w:right w:val="single" w:sz="8" w:space="0" w:color="auto"/>
            </w:tcBorders>
          </w:tcPr>
          <w:p w14:paraId="25F1C307"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9.5 °C; pH: 7.10; H: 24.4 mg/L CaCO3; DOC: 2.9 mg/L </w:t>
            </w:r>
            <w:r w:rsidRPr="0098635C">
              <w:rPr>
                <w:color w:val="000000" w:themeColor="text1"/>
                <w:sz w:val="20"/>
                <w:szCs w:val="20"/>
                <w:vertAlign w:val="superscript"/>
              </w:rPr>
              <w:t>(11)</w:t>
            </w:r>
          </w:p>
        </w:tc>
        <w:tc>
          <w:tcPr>
            <w:tcW w:w="1003" w:type="dxa"/>
            <w:tcBorders>
              <w:top w:val="nil"/>
              <w:left w:val="nil"/>
              <w:bottom w:val="single" w:sz="8" w:space="0" w:color="auto"/>
              <w:right w:val="single" w:sz="8" w:space="0" w:color="auto"/>
            </w:tcBorders>
          </w:tcPr>
          <w:p w14:paraId="46D3B032" w14:textId="77777777" w:rsidR="00632208" w:rsidRPr="0098635C" w:rsidRDefault="00632208" w:rsidP="00A432B0">
            <w:pPr>
              <w:spacing w:after="0"/>
              <w:rPr>
                <w:color w:val="000000" w:themeColor="text1"/>
                <w:sz w:val="20"/>
                <w:szCs w:val="20"/>
              </w:rPr>
            </w:pPr>
            <w:r w:rsidRPr="0098635C">
              <w:rPr>
                <w:color w:val="000000" w:themeColor="text1"/>
                <w:sz w:val="20"/>
                <w:szCs w:val="20"/>
              </w:rPr>
              <w:t>River (Chehalis River)</w:t>
            </w:r>
          </w:p>
        </w:tc>
        <w:tc>
          <w:tcPr>
            <w:tcW w:w="4383" w:type="dxa"/>
            <w:gridSpan w:val="2"/>
            <w:tcBorders>
              <w:top w:val="nil"/>
              <w:left w:val="nil"/>
              <w:bottom w:val="single" w:sz="8" w:space="0" w:color="auto"/>
              <w:right w:val="double" w:sz="6" w:space="0" w:color="auto"/>
            </w:tcBorders>
          </w:tcPr>
          <w:p w14:paraId="421B4109"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Mudge et al., 1993 </w:t>
            </w:r>
          </w:p>
        </w:tc>
      </w:tr>
      <w:tr w:rsidR="00632208" w:rsidRPr="0098635C" w14:paraId="3D069444" w14:textId="77777777" w:rsidTr="00982513">
        <w:trPr>
          <w:trHeight w:val="64"/>
        </w:trPr>
        <w:tc>
          <w:tcPr>
            <w:tcW w:w="1647" w:type="dxa"/>
            <w:gridSpan w:val="2"/>
            <w:tcBorders>
              <w:top w:val="nil"/>
              <w:left w:val="double" w:sz="6" w:space="0" w:color="auto"/>
              <w:bottom w:val="single" w:sz="8" w:space="0" w:color="auto"/>
              <w:right w:val="single" w:sz="8" w:space="0" w:color="auto"/>
            </w:tcBorders>
          </w:tcPr>
          <w:p w14:paraId="0F935AD5"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Oncorhynchus mykiss </w:t>
            </w:r>
          </w:p>
        </w:tc>
        <w:tc>
          <w:tcPr>
            <w:tcW w:w="1701" w:type="dxa"/>
            <w:tcBorders>
              <w:top w:val="nil"/>
              <w:left w:val="nil"/>
              <w:bottom w:val="single" w:sz="8" w:space="0" w:color="auto"/>
              <w:right w:val="single" w:sz="8" w:space="0" w:color="auto"/>
            </w:tcBorders>
          </w:tcPr>
          <w:p w14:paraId="231048C4" w14:textId="77777777" w:rsidR="00632208" w:rsidRPr="0098635C" w:rsidRDefault="00632208" w:rsidP="00A432B0">
            <w:pPr>
              <w:spacing w:after="0"/>
              <w:rPr>
                <w:color w:val="000000" w:themeColor="text1"/>
                <w:sz w:val="20"/>
                <w:szCs w:val="20"/>
              </w:rPr>
            </w:pPr>
            <w:r w:rsidRPr="0098635C">
              <w:rPr>
                <w:color w:val="000000" w:themeColor="text1"/>
                <w:sz w:val="20"/>
                <w:szCs w:val="20"/>
              </w:rPr>
              <w:t>parr</w:t>
            </w:r>
          </w:p>
        </w:tc>
        <w:tc>
          <w:tcPr>
            <w:tcW w:w="709" w:type="dxa"/>
            <w:tcBorders>
              <w:top w:val="nil"/>
              <w:left w:val="nil"/>
              <w:bottom w:val="single" w:sz="8" w:space="0" w:color="auto"/>
              <w:right w:val="single" w:sz="8" w:space="0" w:color="auto"/>
            </w:tcBorders>
          </w:tcPr>
          <w:p w14:paraId="42C44133" w14:textId="77777777" w:rsidR="00632208" w:rsidRPr="0098635C" w:rsidRDefault="00632208" w:rsidP="00A432B0">
            <w:pPr>
              <w:spacing w:after="0"/>
              <w:rPr>
                <w:color w:val="000000" w:themeColor="text1"/>
                <w:sz w:val="20"/>
                <w:szCs w:val="20"/>
              </w:rPr>
            </w:pPr>
            <w:r w:rsidRPr="0098635C">
              <w:rPr>
                <w:color w:val="000000" w:themeColor="text1"/>
                <w:sz w:val="20"/>
                <w:szCs w:val="20"/>
              </w:rPr>
              <w:t>61 d</w:t>
            </w:r>
          </w:p>
        </w:tc>
        <w:tc>
          <w:tcPr>
            <w:tcW w:w="1276" w:type="dxa"/>
            <w:tcBorders>
              <w:top w:val="nil"/>
              <w:left w:val="nil"/>
              <w:bottom w:val="single" w:sz="8" w:space="0" w:color="auto"/>
              <w:right w:val="single" w:sz="8" w:space="0" w:color="auto"/>
            </w:tcBorders>
          </w:tcPr>
          <w:p w14:paraId="7E060BA1" w14:textId="77777777" w:rsidR="00632208" w:rsidRPr="0098635C" w:rsidRDefault="00632208" w:rsidP="00A432B0">
            <w:pPr>
              <w:spacing w:after="0"/>
              <w:rPr>
                <w:color w:val="000000" w:themeColor="text1"/>
                <w:sz w:val="20"/>
                <w:szCs w:val="20"/>
              </w:rPr>
            </w:pPr>
            <w:r w:rsidRPr="0098635C">
              <w:rPr>
                <w:color w:val="000000" w:themeColor="text1"/>
                <w:sz w:val="20"/>
                <w:szCs w:val="20"/>
              </w:rPr>
              <w:t>mortality</w:t>
            </w:r>
          </w:p>
        </w:tc>
        <w:tc>
          <w:tcPr>
            <w:tcW w:w="850" w:type="dxa"/>
            <w:tcBorders>
              <w:top w:val="nil"/>
              <w:left w:val="nil"/>
              <w:bottom w:val="single" w:sz="8" w:space="0" w:color="auto"/>
              <w:right w:val="single" w:sz="8" w:space="0" w:color="auto"/>
            </w:tcBorders>
          </w:tcPr>
          <w:p w14:paraId="48F911FA"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28</w:t>
            </w:r>
          </w:p>
        </w:tc>
        <w:tc>
          <w:tcPr>
            <w:tcW w:w="709" w:type="dxa"/>
            <w:tcBorders>
              <w:top w:val="nil"/>
              <w:left w:val="nil"/>
              <w:bottom w:val="single" w:sz="8" w:space="0" w:color="auto"/>
              <w:right w:val="single" w:sz="8" w:space="0" w:color="auto"/>
            </w:tcBorders>
          </w:tcPr>
          <w:p w14:paraId="163392A4"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538D69DB" w14:textId="77777777" w:rsidR="00632208" w:rsidRPr="0098635C" w:rsidRDefault="00632208" w:rsidP="00A432B0">
            <w:pPr>
              <w:spacing w:after="0"/>
              <w:rPr>
                <w:color w:val="000000" w:themeColor="text1"/>
                <w:sz w:val="20"/>
                <w:szCs w:val="20"/>
              </w:rPr>
            </w:pPr>
            <w:r w:rsidRPr="0098635C">
              <w:rPr>
                <w:color w:val="000000" w:themeColor="text1"/>
                <w:sz w:val="20"/>
                <w:szCs w:val="20"/>
              </w:rPr>
              <w:t>/</w:t>
            </w:r>
          </w:p>
        </w:tc>
        <w:tc>
          <w:tcPr>
            <w:tcW w:w="3118" w:type="dxa"/>
            <w:tcBorders>
              <w:top w:val="nil"/>
              <w:left w:val="nil"/>
              <w:bottom w:val="single" w:sz="8" w:space="0" w:color="auto"/>
              <w:right w:val="single" w:sz="8" w:space="0" w:color="auto"/>
            </w:tcBorders>
          </w:tcPr>
          <w:p w14:paraId="7322CCF3"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8.7 °C; pH: 7.0; H: 28.7 mg/L CaCO3; DOC: 2.9 mg/L </w:t>
            </w:r>
            <w:r w:rsidRPr="0098635C">
              <w:rPr>
                <w:color w:val="000000" w:themeColor="text1"/>
                <w:sz w:val="20"/>
                <w:szCs w:val="20"/>
                <w:vertAlign w:val="superscript"/>
              </w:rPr>
              <w:t>(11)</w:t>
            </w:r>
          </w:p>
        </w:tc>
        <w:tc>
          <w:tcPr>
            <w:tcW w:w="1003" w:type="dxa"/>
            <w:tcBorders>
              <w:top w:val="nil"/>
              <w:left w:val="nil"/>
              <w:bottom w:val="single" w:sz="8" w:space="0" w:color="auto"/>
              <w:right w:val="single" w:sz="8" w:space="0" w:color="auto"/>
            </w:tcBorders>
          </w:tcPr>
          <w:p w14:paraId="191D70AE" w14:textId="77777777" w:rsidR="00632208" w:rsidRPr="0098635C" w:rsidRDefault="00632208" w:rsidP="00A432B0">
            <w:pPr>
              <w:spacing w:after="0"/>
              <w:rPr>
                <w:color w:val="000000" w:themeColor="text1"/>
                <w:sz w:val="20"/>
                <w:szCs w:val="20"/>
              </w:rPr>
            </w:pPr>
            <w:r w:rsidRPr="0098635C">
              <w:rPr>
                <w:color w:val="000000" w:themeColor="text1"/>
                <w:sz w:val="20"/>
                <w:szCs w:val="20"/>
              </w:rPr>
              <w:t>River (Chehalis River)</w:t>
            </w:r>
          </w:p>
        </w:tc>
        <w:tc>
          <w:tcPr>
            <w:tcW w:w="4383" w:type="dxa"/>
            <w:gridSpan w:val="2"/>
            <w:tcBorders>
              <w:top w:val="nil"/>
              <w:left w:val="nil"/>
              <w:bottom w:val="single" w:sz="8" w:space="0" w:color="auto"/>
              <w:right w:val="double" w:sz="6" w:space="0" w:color="auto"/>
            </w:tcBorders>
          </w:tcPr>
          <w:p w14:paraId="197873FE"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Mudge et al., 1993 </w:t>
            </w:r>
          </w:p>
        </w:tc>
      </w:tr>
      <w:tr w:rsidR="00632208" w:rsidRPr="0098635C" w14:paraId="70783864" w14:textId="77777777" w:rsidTr="00982513">
        <w:trPr>
          <w:trHeight w:val="64"/>
        </w:trPr>
        <w:tc>
          <w:tcPr>
            <w:tcW w:w="1647" w:type="dxa"/>
            <w:gridSpan w:val="2"/>
            <w:tcBorders>
              <w:top w:val="nil"/>
              <w:left w:val="double" w:sz="6" w:space="0" w:color="auto"/>
              <w:bottom w:val="single" w:sz="8" w:space="0" w:color="auto"/>
              <w:right w:val="single" w:sz="8" w:space="0" w:color="auto"/>
            </w:tcBorders>
          </w:tcPr>
          <w:p w14:paraId="4072C8FF"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Oncorhynchus mykiss </w:t>
            </w:r>
          </w:p>
        </w:tc>
        <w:tc>
          <w:tcPr>
            <w:tcW w:w="1701" w:type="dxa"/>
            <w:tcBorders>
              <w:top w:val="nil"/>
              <w:left w:val="nil"/>
              <w:bottom w:val="single" w:sz="8" w:space="0" w:color="auto"/>
              <w:right w:val="single" w:sz="8" w:space="0" w:color="auto"/>
            </w:tcBorders>
          </w:tcPr>
          <w:p w14:paraId="0E95C5BE" w14:textId="77777777" w:rsidR="00632208" w:rsidRPr="0098635C" w:rsidRDefault="00632208" w:rsidP="00A432B0">
            <w:pPr>
              <w:spacing w:after="0"/>
              <w:rPr>
                <w:color w:val="000000" w:themeColor="text1"/>
                <w:sz w:val="20"/>
                <w:szCs w:val="20"/>
              </w:rPr>
            </w:pPr>
            <w:r w:rsidRPr="0098635C">
              <w:rPr>
                <w:color w:val="000000" w:themeColor="text1"/>
                <w:sz w:val="20"/>
                <w:szCs w:val="20"/>
              </w:rPr>
              <w:t>embryo</w:t>
            </w:r>
          </w:p>
        </w:tc>
        <w:tc>
          <w:tcPr>
            <w:tcW w:w="709" w:type="dxa"/>
            <w:tcBorders>
              <w:top w:val="nil"/>
              <w:left w:val="nil"/>
              <w:bottom w:val="single" w:sz="8" w:space="0" w:color="auto"/>
              <w:right w:val="single" w:sz="8" w:space="0" w:color="auto"/>
            </w:tcBorders>
          </w:tcPr>
          <w:p w14:paraId="22CFBB1B" w14:textId="77777777" w:rsidR="00632208" w:rsidRPr="0098635C" w:rsidRDefault="00632208" w:rsidP="00A432B0">
            <w:pPr>
              <w:spacing w:after="0"/>
              <w:rPr>
                <w:color w:val="000000" w:themeColor="text1"/>
                <w:sz w:val="20"/>
                <w:szCs w:val="20"/>
              </w:rPr>
            </w:pPr>
            <w:r w:rsidRPr="0098635C">
              <w:rPr>
                <w:color w:val="000000" w:themeColor="text1"/>
                <w:sz w:val="20"/>
                <w:szCs w:val="20"/>
              </w:rPr>
              <w:t>30 d</w:t>
            </w:r>
          </w:p>
        </w:tc>
        <w:tc>
          <w:tcPr>
            <w:tcW w:w="1276" w:type="dxa"/>
            <w:tcBorders>
              <w:top w:val="nil"/>
              <w:left w:val="nil"/>
              <w:bottom w:val="single" w:sz="8" w:space="0" w:color="auto"/>
              <w:right w:val="single" w:sz="8" w:space="0" w:color="auto"/>
            </w:tcBorders>
          </w:tcPr>
          <w:p w14:paraId="1649AD50"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238A99E0"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11.4</w:t>
            </w:r>
          </w:p>
        </w:tc>
        <w:tc>
          <w:tcPr>
            <w:tcW w:w="709" w:type="dxa"/>
            <w:tcBorders>
              <w:top w:val="nil"/>
              <w:left w:val="nil"/>
              <w:bottom w:val="single" w:sz="8" w:space="0" w:color="auto"/>
              <w:right w:val="single" w:sz="8" w:space="0" w:color="auto"/>
            </w:tcBorders>
          </w:tcPr>
          <w:p w14:paraId="173DE89D"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3D119864"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3</w:t>
            </w:r>
          </w:p>
        </w:tc>
        <w:tc>
          <w:tcPr>
            <w:tcW w:w="3118" w:type="dxa"/>
            <w:tcBorders>
              <w:top w:val="nil"/>
              <w:left w:val="nil"/>
              <w:bottom w:val="single" w:sz="8" w:space="0" w:color="auto"/>
              <w:right w:val="single" w:sz="8" w:space="0" w:color="auto"/>
            </w:tcBorders>
          </w:tcPr>
          <w:p w14:paraId="6710077F"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10.8 °C; pH: 7.6; H: 45.4 mg/L CaCO3; DOC: 1.0 mg/L </w:t>
            </w:r>
            <w:r w:rsidRPr="0098635C">
              <w:rPr>
                <w:color w:val="000000" w:themeColor="text1"/>
                <w:sz w:val="20"/>
                <w:szCs w:val="20"/>
                <w:vertAlign w:val="superscript"/>
              </w:rPr>
              <w:t>(13)</w:t>
            </w:r>
          </w:p>
        </w:tc>
        <w:tc>
          <w:tcPr>
            <w:tcW w:w="1003" w:type="dxa"/>
            <w:tcBorders>
              <w:top w:val="nil"/>
              <w:left w:val="nil"/>
              <w:bottom w:val="single" w:sz="8" w:space="0" w:color="auto"/>
              <w:right w:val="single" w:sz="8" w:space="0" w:color="auto"/>
            </w:tcBorders>
          </w:tcPr>
          <w:p w14:paraId="6CFC84CD" w14:textId="77777777" w:rsidR="00632208" w:rsidRPr="0098635C" w:rsidRDefault="00632208" w:rsidP="00A432B0">
            <w:pPr>
              <w:spacing w:after="0"/>
              <w:rPr>
                <w:color w:val="000000" w:themeColor="text1"/>
                <w:sz w:val="20"/>
                <w:szCs w:val="20"/>
              </w:rPr>
            </w:pPr>
            <w:r w:rsidRPr="0098635C">
              <w:rPr>
                <w:color w:val="000000" w:themeColor="text1"/>
                <w:sz w:val="20"/>
                <w:szCs w:val="20"/>
              </w:rPr>
              <w:t>Lake (Lake Superior)</w:t>
            </w:r>
          </w:p>
        </w:tc>
        <w:tc>
          <w:tcPr>
            <w:tcW w:w="4383" w:type="dxa"/>
            <w:gridSpan w:val="2"/>
            <w:tcBorders>
              <w:top w:val="nil"/>
              <w:left w:val="nil"/>
              <w:bottom w:val="single" w:sz="8" w:space="0" w:color="auto"/>
              <w:right w:val="double" w:sz="6" w:space="0" w:color="auto"/>
            </w:tcBorders>
          </w:tcPr>
          <w:p w14:paraId="2E7F9B5E"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McKim et al., 1978 </w:t>
            </w:r>
          </w:p>
        </w:tc>
      </w:tr>
      <w:tr w:rsidR="00632208" w:rsidRPr="0098635C" w14:paraId="292A14C2" w14:textId="77777777" w:rsidTr="00982513">
        <w:trPr>
          <w:trHeight w:val="67"/>
        </w:trPr>
        <w:tc>
          <w:tcPr>
            <w:tcW w:w="1647" w:type="dxa"/>
            <w:gridSpan w:val="2"/>
            <w:tcBorders>
              <w:top w:val="nil"/>
              <w:left w:val="double" w:sz="6" w:space="0" w:color="auto"/>
              <w:bottom w:val="single" w:sz="8" w:space="0" w:color="auto"/>
              <w:right w:val="single" w:sz="8" w:space="0" w:color="auto"/>
            </w:tcBorders>
          </w:tcPr>
          <w:p w14:paraId="4F184CF6"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Oncorhynchus mykiss </w:t>
            </w:r>
          </w:p>
        </w:tc>
        <w:tc>
          <w:tcPr>
            <w:tcW w:w="1701" w:type="dxa"/>
            <w:tcBorders>
              <w:top w:val="nil"/>
              <w:left w:val="nil"/>
              <w:bottom w:val="single" w:sz="8" w:space="0" w:color="auto"/>
              <w:right w:val="single" w:sz="8" w:space="0" w:color="auto"/>
            </w:tcBorders>
          </w:tcPr>
          <w:p w14:paraId="724D644A" w14:textId="77777777" w:rsidR="00632208" w:rsidRPr="0098635C" w:rsidRDefault="00632208" w:rsidP="00A432B0">
            <w:pPr>
              <w:spacing w:after="0"/>
              <w:rPr>
                <w:color w:val="000000" w:themeColor="text1"/>
                <w:sz w:val="20"/>
                <w:szCs w:val="20"/>
              </w:rPr>
            </w:pPr>
            <w:r w:rsidRPr="0098635C">
              <w:rPr>
                <w:color w:val="000000" w:themeColor="text1"/>
                <w:sz w:val="20"/>
                <w:szCs w:val="20"/>
              </w:rPr>
              <w:t>embryo</w:t>
            </w:r>
          </w:p>
        </w:tc>
        <w:tc>
          <w:tcPr>
            <w:tcW w:w="709" w:type="dxa"/>
            <w:tcBorders>
              <w:top w:val="nil"/>
              <w:left w:val="nil"/>
              <w:bottom w:val="single" w:sz="8" w:space="0" w:color="auto"/>
              <w:right w:val="single" w:sz="8" w:space="0" w:color="auto"/>
            </w:tcBorders>
          </w:tcPr>
          <w:p w14:paraId="1E0D4C71" w14:textId="77777777" w:rsidR="00632208" w:rsidRPr="0098635C" w:rsidRDefault="00632208" w:rsidP="00A432B0">
            <w:pPr>
              <w:spacing w:after="0"/>
              <w:rPr>
                <w:color w:val="000000" w:themeColor="text1"/>
                <w:sz w:val="20"/>
                <w:szCs w:val="20"/>
              </w:rPr>
            </w:pPr>
            <w:r w:rsidRPr="0098635C">
              <w:rPr>
                <w:color w:val="000000" w:themeColor="text1"/>
                <w:sz w:val="20"/>
                <w:szCs w:val="20"/>
              </w:rPr>
              <w:t>30 d</w:t>
            </w:r>
          </w:p>
        </w:tc>
        <w:tc>
          <w:tcPr>
            <w:tcW w:w="1276" w:type="dxa"/>
            <w:tcBorders>
              <w:top w:val="nil"/>
              <w:left w:val="nil"/>
              <w:bottom w:val="single" w:sz="8" w:space="0" w:color="auto"/>
              <w:right w:val="single" w:sz="8" w:space="0" w:color="auto"/>
            </w:tcBorders>
          </w:tcPr>
          <w:p w14:paraId="7F3A51B4" w14:textId="77777777" w:rsidR="00632208" w:rsidRPr="0098635C" w:rsidRDefault="00632208" w:rsidP="00A432B0">
            <w:pPr>
              <w:spacing w:after="0"/>
              <w:rPr>
                <w:color w:val="000000" w:themeColor="text1"/>
                <w:sz w:val="20"/>
                <w:szCs w:val="20"/>
              </w:rPr>
            </w:pPr>
            <w:r w:rsidRPr="0098635C">
              <w:rPr>
                <w:color w:val="000000" w:themeColor="text1"/>
                <w:sz w:val="20"/>
                <w:szCs w:val="20"/>
              </w:rPr>
              <w:t>mortality</w:t>
            </w:r>
          </w:p>
        </w:tc>
        <w:tc>
          <w:tcPr>
            <w:tcW w:w="850" w:type="dxa"/>
            <w:tcBorders>
              <w:top w:val="nil"/>
              <w:left w:val="nil"/>
              <w:bottom w:val="single" w:sz="8" w:space="0" w:color="auto"/>
              <w:right w:val="single" w:sz="8" w:space="0" w:color="auto"/>
            </w:tcBorders>
          </w:tcPr>
          <w:p w14:paraId="7B5D719B"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11.4</w:t>
            </w:r>
          </w:p>
        </w:tc>
        <w:tc>
          <w:tcPr>
            <w:tcW w:w="709" w:type="dxa"/>
            <w:tcBorders>
              <w:top w:val="nil"/>
              <w:left w:val="nil"/>
              <w:bottom w:val="single" w:sz="8" w:space="0" w:color="auto"/>
              <w:right w:val="single" w:sz="8" w:space="0" w:color="auto"/>
            </w:tcBorders>
          </w:tcPr>
          <w:p w14:paraId="4ADC3407"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7CC4DFF5"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3</w:t>
            </w:r>
          </w:p>
        </w:tc>
        <w:tc>
          <w:tcPr>
            <w:tcW w:w="3118" w:type="dxa"/>
            <w:tcBorders>
              <w:top w:val="nil"/>
              <w:left w:val="nil"/>
              <w:bottom w:val="single" w:sz="8" w:space="0" w:color="auto"/>
              <w:right w:val="single" w:sz="8" w:space="0" w:color="auto"/>
            </w:tcBorders>
          </w:tcPr>
          <w:p w14:paraId="27D0BE08"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10.8 °C; pH: 7.6; H: 45.4 mg/L CaCO3; DOC: 1.0 mg/L </w:t>
            </w:r>
            <w:r w:rsidRPr="0098635C">
              <w:rPr>
                <w:color w:val="000000" w:themeColor="text1"/>
                <w:sz w:val="20"/>
                <w:szCs w:val="20"/>
                <w:vertAlign w:val="superscript"/>
              </w:rPr>
              <w:t>(13)</w:t>
            </w:r>
          </w:p>
        </w:tc>
        <w:tc>
          <w:tcPr>
            <w:tcW w:w="1003" w:type="dxa"/>
            <w:tcBorders>
              <w:top w:val="nil"/>
              <w:left w:val="nil"/>
              <w:bottom w:val="single" w:sz="8" w:space="0" w:color="auto"/>
              <w:right w:val="single" w:sz="8" w:space="0" w:color="auto"/>
            </w:tcBorders>
          </w:tcPr>
          <w:p w14:paraId="0E16EE7C" w14:textId="77777777" w:rsidR="00632208" w:rsidRPr="0098635C" w:rsidRDefault="00632208" w:rsidP="00A432B0">
            <w:pPr>
              <w:spacing w:after="0"/>
              <w:rPr>
                <w:color w:val="000000" w:themeColor="text1"/>
                <w:sz w:val="20"/>
                <w:szCs w:val="20"/>
              </w:rPr>
            </w:pPr>
            <w:r w:rsidRPr="0098635C">
              <w:rPr>
                <w:color w:val="000000" w:themeColor="text1"/>
                <w:sz w:val="20"/>
                <w:szCs w:val="20"/>
              </w:rPr>
              <w:t>Lake (Lake Superior)</w:t>
            </w:r>
          </w:p>
        </w:tc>
        <w:tc>
          <w:tcPr>
            <w:tcW w:w="4383" w:type="dxa"/>
            <w:gridSpan w:val="2"/>
            <w:tcBorders>
              <w:top w:val="nil"/>
              <w:left w:val="nil"/>
              <w:bottom w:val="single" w:sz="8" w:space="0" w:color="auto"/>
              <w:right w:val="double" w:sz="6" w:space="0" w:color="auto"/>
            </w:tcBorders>
          </w:tcPr>
          <w:p w14:paraId="20C7B9A8"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McKim et al., 1978 </w:t>
            </w:r>
          </w:p>
        </w:tc>
      </w:tr>
      <w:tr w:rsidR="00632208" w:rsidRPr="0098635C" w14:paraId="1FF39F9A" w14:textId="77777777" w:rsidTr="00982513">
        <w:trPr>
          <w:trHeight w:val="122"/>
        </w:trPr>
        <w:tc>
          <w:tcPr>
            <w:tcW w:w="1647" w:type="dxa"/>
            <w:gridSpan w:val="2"/>
            <w:tcBorders>
              <w:top w:val="nil"/>
              <w:left w:val="double" w:sz="6" w:space="0" w:color="auto"/>
              <w:bottom w:val="single" w:sz="8" w:space="0" w:color="auto"/>
              <w:right w:val="single" w:sz="8" w:space="0" w:color="auto"/>
            </w:tcBorders>
          </w:tcPr>
          <w:p w14:paraId="4E6B2F31"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Catostomus commersoni </w:t>
            </w:r>
          </w:p>
        </w:tc>
        <w:tc>
          <w:tcPr>
            <w:tcW w:w="1701" w:type="dxa"/>
            <w:tcBorders>
              <w:top w:val="nil"/>
              <w:left w:val="nil"/>
              <w:bottom w:val="single" w:sz="8" w:space="0" w:color="auto"/>
              <w:right w:val="single" w:sz="8" w:space="0" w:color="auto"/>
            </w:tcBorders>
          </w:tcPr>
          <w:p w14:paraId="00FE470B" w14:textId="77777777" w:rsidR="00632208" w:rsidRPr="0098635C" w:rsidRDefault="00632208" w:rsidP="00A432B0">
            <w:pPr>
              <w:spacing w:after="0"/>
              <w:rPr>
                <w:color w:val="000000" w:themeColor="text1"/>
                <w:sz w:val="20"/>
                <w:szCs w:val="20"/>
              </w:rPr>
            </w:pPr>
            <w:r w:rsidRPr="0098635C">
              <w:rPr>
                <w:color w:val="000000" w:themeColor="text1"/>
                <w:sz w:val="20"/>
                <w:szCs w:val="20"/>
              </w:rPr>
              <w:t>embryo</w:t>
            </w:r>
          </w:p>
        </w:tc>
        <w:tc>
          <w:tcPr>
            <w:tcW w:w="709" w:type="dxa"/>
            <w:tcBorders>
              <w:top w:val="nil"/>
              <w:left w:val="nil"/>
              <w:bottom w:val="single" w:sz="8" w:space="0" w:color="auto"/>
              <w:right w:val="single" w:sz="8" w:space="0" w:color="auto"/>
            </w:tcBorders>
          </w:tcPr>
          <w:p w14:paraId="35F8151D" w14:textId="77777777" w:rsidR="00632208" w:rsidRPr="0098635C" w:rsidRDefault="00632208" w:rsidP="00A432B0">
            <w:pPr>
              <w:spacing w:after="0"/>
              <w:rPr>
                <w:color w:val="000000" w:themeColor="text1"/>
                <w:sz w:val="20"/>
                <w:szCs w:val="20"/>
              </w:rPr>
            </w:pPr>
            <w:r w:rsidRPr="0098635C">
              <w:rPr>
                <w:color w:val="000000" w:themeColor="text1"/>
                <w:sz w:val="20"/>
                <w:szCs w:val="20"/>
              </w:rPr>
              <w:t>30 d</w:t>
            </w:r>
          </w:p>
        </w:tc>
        <w:tc>
          <w:tcPr>
            <w:tcW w:w="1276" w:type="dxa"/>
            <w:tcBorders>
              <w:top w:val="nil"/>
              <w:left w:val="nil"/>
              <w:bottom w:val="single" w:sz="8" w:space="0" w:color="auto"/>
              <w:right w:val="single" w:sz="8" w:space="0" w:color="auto"/>
            </w:tcBorders>
          </w:tcPr>
          <w:p w14:paraId="094EC225"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2D7AC4C2"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12.9</w:t>
            </w:r>
          </w:p>
        </w:tc>
        <w:tc>
          <w:tcPr>
            <w:tcW w:w="709" w:type="dxa"/>
            <w:tcBorders>
              <w:top w:val="nil"/>
              <w:left w:val="nil"/>
              <w:bottom w:val="single" w:sz="8" w:space="0" w:color="auto"/>
              <w:right w:val="single" w:sz="8" w:space="0" w:color="auto"/>
            </w:tcBorders>
          </w:tcPr>
          <w:p w14:paraId="59DB0C9C"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437F971C"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3</w:t>
            </w:r>
          </w:p>
        </w:tc>
        <w:tc>
          <w:tcPr>
            <w:tcW w:w="3118" w:type="dxa"/>
            <w:tcBorders>
              <w:top w:val="nil"/>
              <w:left w:val="nil"/>
              <w:bottom w:val="single" w:sz="8" w:space="0" w:color="auto"/>
              <w:right w:val="single" w:sz="8" w:space="0" w:color="auto"/>
            </w:tcBorders>
          </w:tcPr>
          <w:p w14:paraId="10D4F03B"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14.9 °C; pH: 7.6; H: 45.4 mg/L CaCO3; DOC: 1.0 mg/L </w:t>
            </w:r>
            <w:r w:rsidRPr="0098635C">
              <w:rPr>
                <w:color w:val="000000" w:themeColor="text1"/>
                <w:sz w:val="20"/>
                <w:szCs w:val="20"/>
                <w:vertAlign w:val="superscript"/>
              </w:rPr>
              <w:t>(13)</w:t>
            </w:r>
          </w:p>
        </w:tc>
        <w:tc>
          <w:tcPr>
            <w:tcW w:w="1003" w:type="dxa"/>
            <w:tcBorders>
              <w:top w:val="nil"/>
              <w:left w:val="nil"/>
              <w:bottom w:val="single" w:sz="8" w:space="0" w:color="auto"/>
              <w:right w:val="single" w:sz="8" w:space="0" w:color="auto"/>
            </w:tcBorders>
          </w:tcPr>
          <w:p w14:paraId="5410BFDB" w14:textId="77777777" w:rsidR="00632208" w:rsidRPr="0098635C" w:rsidRDefault="00632208" w:rsidP="00A432B0">
            <w:pPr>
              <w:spacing w:after="0"/>
              <w:rPr>
                <w:color w:val="000000" w:themeColor="text1"/>
                <w:sz w:val="20"/>
                <w:szCs w:val="20"/>
              </w:rPr>
            </w:pPr>
            <w:r w:rsidRPr="0098635C">
              <w:rPr>
                <w:color w:val="000000" w:themeColor="text1"/>
                <w:sz w:val="20"/>
                <w:szCs w:val="20"/>
              </w:rPr>
              <w:t>Lake (Lake Superior)</w:t>
            </w:r>
          </w:p>
        </w:tc>
        <w:tc>
          <w:tcPr>
            <w:tcW w:w="4383" w:type="dxa"/>
            <w:gridSpan w:val="2"/>
            <w:tcBorders>
              <w:top w:val="nil"/>
              <w:left w:val="nil"/>
              <w:bottom w:val="single" w:sz="8" w:space="0" w:color="auto"/>
              <w:right w:val="double" w:sz="6" w:space="0" w:color="auto"/>
            </w:tcBorders>
          </w:tcPr>
          <w:p w14:paraId="219D05C8"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McKim et al., 1978 </w:t>
            </w:r>
          </w:p>
        </w:tc>
      </w:tr>
      <w:tr w:rsidR="00632208" w:rsidRPr="0098635C" w14:paraId="62FB5CE9" w14:textId="77777777" w:rsidTr="00982513">
        <w:trPr>
          <w:trHeight w:val="64"/>
        </w:trPr>
        <w:tc>
          <w:tcPr>
            <w:tcW w:w="1647" w:type="dxa"/>
            <w:gridSpan w:val="2"/>
            <w:tcBorders>
              <w:top w:val="nil"/>
              <w:left w:val="double" w:sz="6" w:space="0" w:color="auto"/>
              <w:bottom w:val="single" w:sz="8" w:space="0" w:color="auto"/>
              <w:right w:val="single" w:sz="8" w:space="0" w:color="auto"/>
            </w:tcBorders>
          </w:tcPr>
          <w:p w14:paraId="603E9788" w14:textId="77777777" w:rsidR="00632208" w:rsidRPr="0098635C" w:rsidRDefault="00632208" w:rsidP="00A432B0">
            <w:pPr>
              <w:spacing w:after="0"/>
              <w:rPr>
                <w:color w:val="000000" w:themeColor="text1"/>
                <w:sz w:val="20"/>
                <w:szCs w:val="20"/>
              </w:rPr>
            </w:pPr>
            <w:r w:rsidRPr="0098635C">
              <w:rPr>
                <w:color w:val="000000" w:themeColor="text1"/>
                <w:sz w:val="20"/>
                <w:szCs w:val="20"/>
              </w:rPr>
              <w:t>Catostomus commersoni</w:t>
            </w:r>
          </w:p>
        </w:tc>
        <w:tc>
          <w:tcPr>
            <w:tcW w:w="1701" w:type="dxa"/>
            <w:tcBorders>
              <w:top w:val="nil"/>
              <w:left w:val="nil"/>
              <w:bottom w:val="single" w:sz="8" w:space="0" w:color="auto"/>
              <w:right w:val="single" w:sz="8" w:space="0" w:color="auto"/>
            </w:tcBorders>
          </w:tcPr>
          <w:p w14:paraId="5C482C46" w14:textId="77777777" w:rsidR="00632208" w:rsidRPr="0098635C" w:rsidRDefault="00632208" w:rsidP="00A432B0">
            <w:pPr>
              <w:spacing w:after="0"/>
              <w:rPr>
                <w:color w:val="000000" w:themeColor="text1"/>
                <w:sz w:val="20"/>
                <w:szCs w:val="20"/>
              </w:rPr>
            </w:pPr>
            <w:r w:rsidRPr="0098635C">
              <w:rPr>
                <w:color w:val="000000" w:themeColor="text1"/>
                <w:sz w:val="20"/>
                <w:szCs w:val="20"/>
              </w:rPr>
              <w:t>embryo</w:t>
            </w:r>
          </w:p>
        </w:tc>
        <w:tc>
          <w:tcPr>
            <w:tcW w:w="709" w:type="dxa"/>
            <w:tcBorders>
              <w:top w:val="nil"/>
              <w:left w:val="nil"/>
              <w:bottom w:val="single" w:sz="8" w:space="0" w:color="auto"/>
              <w:right w:val="single" w:sz="8" w:space="0" w:color="auto"/>
            </w:tcBorders>
          </w:tcPr>
          <w:p w14:paraId="57D75A89" w14:textId="77777777" w:rsidR="00632208" w:rsidRPr="0098635C" w:rsidRDefault="00632208" w:rsidP="00A432B0">
            <w:pPr>
              <w:spacing w:after="0"/>
              <w:rPr>
                <w:color w:val="000000" w:themeColor="text1"/>
                <w:sz w:val="20"/>
                <w:szCs w:val="20"/>
              </w:rPr>
            </w:pPr>
            <w:r w:rsidRPr="0098635C">
              <w:rPr>
                <w:color w:val="000000" w:themeColor="text1"/>
                <w:sz w:val="20"/>
                <w:szCs w:val="20"/>
              </w:rPr>
              <w:t>30 d</w:t>
            </w:r>
          </w:p>
        </w:tc>
        <w:tc>
          <w:tcPr>
            <w:tcW w:w="1276" w:type="dxa"/>
            <w:tcBorders>
              <w:top w:val="nil"/>
              <w:left w:val="nil"/>
              <w:bottom w:val="single" w:sz="8" w:space="0" w:color="auto"/>
              <w:right w:val="single" w:sz="8" w:space="0" w:color="auto"/>
            </w:tcBorders>
          </w:tcPr>
          <w:p w14:paraId="7BB92331" w14:textId="77777777" w:rsidR="00632208" w:rsidRPr="0098635C" w:rsidRDefault="00632208" w:rsidP="00A432B0">
            <w:pPr>
              <w:spacing w:after="0"/>
              <w:rPr>
                <w:color w:val="000000" w:themeColor="text1"/>
                <w:sz w:val="20"/>
                <w:szCs w:val="20"/>
              </w:rPr>
            </w:pPr>
            <w:r w:rsidRPr="0098635C">
              <w:rPr>
                <w:color w:val="000000" w:themeColor="text1"/>
                <w:sz w:val="20"/>
                <w:szCs w:val="20"/>
              </w:rPr>
              <w:t>mortality</w:t>
            </w:r>
          </w:p>
        </w:tc>
        <w:tc>
          <w:tcPr>
            <w:tcW w:w="850" w:type="dxa"/>
            <w:tcBorders>
              <w:top w:val="nil"/>
              <w:left w:val="nil"/>
              <w:bottom w:val="single" w:sz="8" w:space="0" w:color="auto"/>
              <w:right w:val="single" w:sz="8" w:space="0" w:color="auto"/>
            </w:tcBorders>
          </w:tcPr>
          <w:p w14:paraId="0887FE73"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12.9</w:t>
            </w:r>
          </w:p>
        </w:tc>
        <w:tc>
          <w:tcPr>
            <w:tcW w:w="709" w:type="dxa"/>
            <w:tcBorders>
              <w:top w:val="nil"/>
              <w:left w:val="nil"/>
              <w:bottom w:val="single" w:sz="8" w:space="0" w:color="auto"/>
              <w:right w:val="single" w:sz="8" w:space="0" w:color="auto"/>
            </w:tcBorders>
          </w:tcPr>
          <w:p w14:paraId="643927C4"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7FB7678F"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3</w:t>
            </w:r>
          </w:p>
        </w:tc>
        <w:tc>
          <w:tcPr>
            <w:tcW w:w="3118" w:type="dxa"/>
            <w:tcBorders>
              <w:top w:val="nil"/>
              <w:left w:val="nil"/>
              <w:bottom w:val="single" w:sz="8" w:space="0" w:color="auto"/>
              <w:right w:val="single" w:sz="8" w:space="0" w:color="auto"/>
            </w:tcBorders>
          </w:tcPr>
          <w:p w14:paraId="3A0CE597"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14.9 °C; pH: 7.6; H: 45.4 mg/L CaCO3; DOC: 1.0 mg/L </w:t>
            </w:r>
            <w:r w:rsidRPr="0098635C">
              <w:rPr>
                <w:color w:val="000000" w:themeColor="text1"/>
                <w:sz w:val="20"/>
                <w:szCs w:val="20"/>
                <w:vertAlign w:val="superscript"/>
              </w:rPr>
              <w:t>(13)</w:t>
            </w:r>
          </w:p>
        </w:tc>
        <w:tc>
          <w:tcPr>
            <w:tcW w:w="1003" w:type="dxa"/>
            <w:tcBorders>
              <w:top w:val="nil"/>
              <w:left w:val="nil"/>
              <w:bottom w:val="single" w:sz="8" w:space="0" w:color="auto"/>
              <w:right w:val="single" w:sz="8" w:space="0" w:color="auto"/>
            </w:tcBorders>
          </w:tcPr>
          <w:p w14:paraId="1BD0A973" w14:textId="77777777" w:rsidR="00632208" w:rsidRPr="0098635C" w:rsidRDefault="00632208" w:rsidP="00A432B0">
            <w:pPr>
              <w:spacing w:after="0"/>
              <w:rPr>
                <w:color w:val="000000" w:themeColor="text1"/>
                <w:sz w:val="20"/>
                <w:szCs w:val="20"/>
              </w:rPr>
            </w:pPr>
            <w:r w:rsidRPr="0098635C">
              <w:rPr>
                <w:color w:val="000000" w:themeColor="text1"/>
                <w:sz w:val="20"/>
                <w:szCs w:val="20"/>
              </w:rPr>
              <w:t>Lake (Lake Superior)</w:t>
            </w:r>
          </w:p>
        </w:tc>
        <w:tc>
          <w:tcPr>
            <w:tcW w:w="4383" w:type="dxa"/>
            <w:gridSpan w:val="2"/>
            <w:tcBorders>
              <w:top w:val="nil"/>
              <w:left w:val="nil"/>
              <w:bottom w:val="single" w:sz="8" w:space="0" w:color="auto"/>
              <w:right w:val="double" w:sz="6" w:space="0" w:color="auto"/>
            </w:tcBorders>
          </w:tcPr>
          <w:p w14:paraId="2F016138"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McKim et al., 1978 </w:t>
            </w:r>
          </w:p>
        </w:tc>
      </w:tr>
      <w:tr w:rsidR="00632208" w:rsidRPr="0098635C" w14:paraId="09B91D2C" w14:textId="77777777" w:rsidTr="00982513">
        <w:trPr>
          <w:trHeight w:val="64"/>
        </w:trPr>
        <w:tc>
          <w:tcPr>
            <w:tcW w:w="1647" w:type="dxa"/>
            <w:gridSpan w:val="2"/>
            <w:tcBorders>
              <w:top w:val="nil"/>
              <w:left w:val="double" w:sz="6" w:space="0" w:color="auto"/>
              <w:bottom w:val="single" w:sz="8" w:space="0" w:color="auto"/>
              <w:right w:val="single" w:sz="8" w:space="0" w:color="auto"/>
            </w:tcBorders>
          </w:tcPr>
          <w:p w14:paraId="60283FFE" w14:textId="77777777" w:rsidR="00632208" w:rsidRPr="0098635C" w:rsidRDefault="00632208" w:rsidP="00A432B0">
            <w:pPr>
              <w:spacing w:after="0"/>
              <w:rPr>
                <w:color w:val="000000" w:themeColor="text1"/>
                <w:sz w:val="20"/>
                <w:szCs w:val="20"/>
              </w:rPr>
            </w:pPr>
            <w:r w:rsidRPr="0098635C">
              <w:rPr>
                <w:color w:val="000000" w:themeColor="text1"/>
                <w:sz w:val="20"/>
                <w:szCs w:val="20"/>
              </w:rPr>
              <w:t>Esox lucius</w:t>
            </w:r>
          </w:p>
        </w:tc>
        <w:tc>
          <w:tcPr>
            <w:tcW w:w="1701" w:type="dxa"/>
            <w:tcBorders>
              <w:top w:val="nil"/>
              <w:left w:val="nil"/>
              <w:bottom w:val="single" w:sz="8" w:space="0" w:color="auto"/>
              <w:right w:val="single" w:sz="8" w:space="0" w:color="auto"/>
            </w:tcBorders>
          </w:tcPr>
          <w:p w14:paraId="032BDBF4" w14:textId="77777777" w:rsidR="00632208" w:rsidRPr="0098635C" w:rsidRDefault="00632208" w:rsidP="00A432B0">
            <w:pPr>
              <w:spacing w:after="0"/>
              <w:rPr>
                <w:color w:val="000000" w:themeColor="text1"/>
                <w:sz w:val="20"/>
                <w:szCs w:val="20"/>
              </w:rPr>
            </w:pPr>
            <w:r w:rsidRPr="0098635C">
              <w:rPr>
                <w:color w:val="000000" w:themeColor="text1"/>
                <w:sz w:val="20"/>
                <w:szCs w:val="20"/>
              </w:rPr>
              <w:t>embryo</w:t>
            </w:r>
          </w:p>
        </w:tc>
        <w:tc>
          <w:tcPr>
            <w:tcW w:w="709" w:type="dxa"/>
            <w:tcBorders>
              <w:top w:val="nil"/>
              <w:left w:val="nil"/>
              <w:bottom w:val="single" w:sz="8" w:space="0" w:color="auto"/>
              <w:right w:val="single" w:sz="8" w:space="0" w:color="auto"/>
            </w:tcBorders>
          </w:tcPr>
          <w:p w14:paraId="44A1C99A" w14:textId="77777777" w:rsidR="00632208" w:rsidRPr="0098635C" w:rsidRDefault="00632208" w:rsidP="00A432B0">
            <w:pPr>
              <w:spacing w:after="0"/>
              <w:rPr>
                <w:color w:val="000000" w:themeColor="text1"/>
                <w:sz w:val="20"/>
                <w:szCs w:val="20"/>
              </w:rPr>
            </w:pPr>
            <w:r w:rsidRPr="0098635C">
              <w:rPr>
                <w:color w:val="000000" w:themeColor="text1"/>
                <w:sz w:val="20"/>
                <w:szCs w:val="20"/>
              </w:rPr>
              <w:t>30 d</w:t>
            </w:r>
          </w:p>
        </w:tc>
        <w:tc>
          <w:tcPr>
            <w:tcW w:w="1276" w:type="dxa"/>
            <w:tcBorders>
              <w:top w:val="nil"/>
              <w:left w:val="nil"/>
              <w:bottom w:val="single" w:sz="8" w:space="0" w:color="auto"/>
              <w:right w:val="single" w:sz="8" w:space="0" w:color="auto"/>
            </w:tcBorders>
          </w:tcPr>
          <w:p w14:paraId="0DBFE800"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16340452"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34.9</w:t>
            </w:r>
          </w:p>
        </w:tc>
        <w:tc>
          <w:tcPr>
            <w:tcW w:w="709" w:type="dxa"/>
            <w:tcBorders>
              <w:top w:val="nil"/>
              <w:left w:val="nil"/>
              <w:bottom w:val="single" w:sz="8" w:space="0" w:color="auto"/>
              <w:right w:val="single" w:sz="8" w:space="0" w:color="auto"/>
            </w:tcBorders>
          </w:tcPr>
          <w:p w14:paraId="649679BB"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7BC8E0C2"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3</w:t>
            </w:r>
          </w:p>
        </w:tc>
        <w:tc>
          <w:tcPr>
            <w:tcW w:w="3118" w:type="dxa"/>
            <w:tcBorders>
              <w:top w:val="nil"/>
              <w:left w:val="nil"/>
              <w:bottom w:val="single" w:sz="8" w:space="0" w:color="auto"/>
              <w:right w:val="single" w:sz="8" w:space="0" w:color="auto"/>
            </w:tcBorders>
          </w:tcPr>
          <w:p w14:paraId="64636CE8"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15.6 °C; pH: 7.6; H: 45.4 mg/L </w:t>
            </w:r>
            <w:r w:rsidRPr="0098635C">
              <w:rPr>
                <w:color w:val="000000" w:themeColor="text1"/>
                <w:sz w:val="20"/>
                <w:szCs w:val="20"/>
              </w:rPr>
              <w:lastRenderedPageBreak/>
              <w:t xml:space="preserve">CaCO3; DOC: 1.0 mg/L </w:t>
            </w:r>
            <w:r w:rsidRPr="0098635C">
              <w:rPr>
                <w:color w:val="000000" w:themeColor="text1"/>
                <w:sz w:val="20"/>
                <w:szCs w:val="20"/>
                <w:vertAlign w:val="superscript"/>
              </w:rPr>
              <w:t>(13)</w:t>
            </w:r>
          </w:p>
        </w:tc>
        <w:tc>
          <w:tcPr>
            <w:tcW w:w="1003" w:type="dxa"/>
            <w:tcBorders>
              <w:top w:val="nil"/>
              <w:left w:val="nil"/>
              <w:bottom w:val="single" w:sz="8" w:space="0" w:color="auto"/>
              <w:right w:val="single" w:sz="8" w:space="0" w:color="auto"/>
            </w:tcBorders>
          </w:tcPr>
          <w:p w14:paraId="5555F8FD" w14:textId="77777777" w:rsidR="00632208" w:rsidRPr="0098635C" w:rsidRDefault="00632208" w:rsidP="00A432B0">
            <w:pPr>
              <w:spacing w:after="0"/>
              <w:rPr>
                <w:color w:val="000000" w:themeColor="text1"/>
                <w:sz w:val="20"/>
                <w:szCs w:val="20"/>
              </w:rPr>
            </w:pPr>
            <w:r w:rsidRPr="0098635C">
              <w:rPr>
                <w:color w:val="000000" w:themeColor="text1"/>
                <w:sz w:val="20"/>
                <w:szCs w:val="20"/>
              </w:rPr>
              <w:lastRenderedPageBreak/>
              <w:t xml:space="preserve">Lake </w:t>
            </w:r>
            <w:r w:rsidRPr="0098635C">
              <w:rPr>
                <w:color w:val="000000" w:themeColor="text1"/>
                <w:sz w:val="20"/>
                <w:szCs w:val="20"/>
              </w:rPr>
              <w:lastRenderedPageBreak/>
              <w:t>(Lake Superior)</w:t>
            </w:r>
          </w:p>
        </w:tc>
        <w:tc>
          <w:tcPr>
            <w:tcW w:w="4383" w:type="dxa"/>
            <w:gridSpan w:val="2"/>
            <w:tcBorders>
              <w:top w:val="nil"/>
              <w:left w:val="nil"/>
              <w:bottom w:val="single" w:sz="8" w:space="0" w:color="auto"/>
              <w:right w:val="double" w:sz="6" w:space="0" w:color="auto"/>
            </w:tcBorders>
          </w:tcPr>
          <w:p w14:paraId="5E3DF3A6" w14:textId="77777777" w:rsidR="00632208" w:rsidRPr="0098635C" w:rsidRDefault="00632208" w:rsidP="00A432B0">
            <w:pPr>
              <w:spacing w:after="0"/>
              <w:rPr>
                <w:color w:val="000000" w:themeColor="text1"/>
                <w:sz w:val="20"/>
                <w:szCs w:val="20"/>
              </w:rPr>
            </w:pPr>
            <w:r w:rsidRPr="0098635C">
              <w:rPr>
                <w:color w:val="000000" w:themeColor="text1"/>
                <w:sz w:val="20"/>
                <w:szCs w:val="20"/>
              </w:rPr>
              <w:lastRenderedPageBreak/>
              <w:t xml:space="preserve">McKim et al., 1978 </w:t>
            </w:r>
          </w:p>
        </w:tc>
      </w:tr>
      <w:tr w:rsidR="00632208" w:rsidRPr="0098635C" w14:paraId="47A7B95B" w14:textId="77777777" w:rsidTr="00982513">
        <w:trPr>
          <w:trHeight w:val="64"/>
        </w:trPr>
        <w:tc>
          <w:tcPr>
            <w:tcW w:w="1647" w:type="dxa"/>
            <w:gridSpan w:val="2"/>
            <w:tcBorders>
              <w:top w:val="nil"/>
              <w:left w:val="double" w:sz="6" w:space="0" w:color="auto"/>
              <w:bottom w:val="single" w:sz="8" w:space="0" w:color="auto"/>
              <w:right w:val="single" w:sz="8" w:space="0" w:color="auto"/>
            </w:tcBorders>
          </w:tcPr>
          <w:p w14:paraId="1DA0C9BF" w14:textId="77777777" w:rsidR="00632208" w:rsidRPr="0098635C" w:rsidRDefault="00632208" w:rsidP="00A432B0">
            <w:pPr>
              <w:spacing w:after="0"/>
              <w:rPr>
                <w:color w:val="000000" w:themeColor="text1"/>
                <w:sz w:val="20"/>
                <w:szCs w:val="20"/>
              </w:rPr>
            </w:pPr>
            <w:r w:rsidRPr="0098635C">
              <w:rPr>
                <w:color w:val="000000" w:themeColor="text1"/>
                <w:sz w:val="20"/>
                <w:szCs w:val="20"/>
              </w:rPr>
              <w:t>Esox lucius</w:t>
            </w:r>
          </w:p>
        </w:tc>
        <w:tc>
          <w:tcPr>
            <w:tcW w:w="1701" w:type="dxa"/>
            <w:tcBorders>
              <w:top w:val="nil"/>
              <w:left w:val="nil"/>
              <w:bottom w:val="single" w:sz="8" w:space="0" w:color="auto"/>
              <w:right w:val="single" w:sz="8" w:space="0" w:color="auto"/>
            </w:tcBorders>
          </w:tcPr>
          <w:p w14:paraId="3C687708" w14:textId="77777777" w:rsidR="00632208" w:rsidRPr="0098635C" w:rsidRDefault="00632208" w:rsidP="00A432B0">
            <w:pPr>
              <w:spacing w:after="0"/>
              <w:rPr>
                <w:color w:val="000000" w:themeColor="text1"/>
                <w:sz w:val="20"/>
                <w:szCs w:val="20"/>
              </w:rPr>
            </w:pPr>
            <w:r w:rsidRPr="0098635C">
              <w:rPr>
                <w:color w:val="000000" w:themeColor="text1"/>
                <w:sz w:val="20"/>
                <w:szCs w:val="20"/>
              </w:rPr>
              <w:t>embryo</w:t>
            </w:r>
          </w:p>
        </w:tc>
        <w:tc>
          <w:tcPr>
            <w:tcW w:w="709" w:type="dxa"/>
            <w:tcBorders>
              <w:top w:val="nil"/>
              <w:left w:val="nil"/>
              <w:bottom w:val="single" w:sz="8" w:space="0" w:color="auto"/>
              <w:right w:val="single" w:sz="8" w:space="0" w:color="auto"/>
            </w:tcBorders>
          </w:tcPr>
          <w:p w14:paraId="0EAB5529" w14:textId="77777777" w:rsidR="00632208" w:rsidRPr="0098635C" w:rsidRDefault="00632208" w:rsidP="00A432B0">
            <w:pPr>
              <w:spacing w:after="0"/>
              <w:rPr>
                <w:color w:val="000000" w:themeColor="text1"/>
                <w:sz w:val="20"/>
                <w:szCs w:val="20"/>
              </w:rPr>
            </w:pPr>
            <w:r w:rsidRPr="0098635C">
              <w:rPr>
                <w:color w:val="000000" w:themeColor="text1"/>
                <w:sz w:val="20"/>
                <w:szCs w:val="20"/>
              </w:rPr>
              <w:t>30 d</w:t>
            </w:r>
          </w:p>
        </w:tc>
        <w:tc>
          <w:tcPr>
            <w:tcW w:w="1276" w:type="dxa"/>
            <w:tcBorders>
              <w:top w:val="nil"/>
              <w:left w:val="nil"/>
              <w:bottom w:val="single" w:sz="8" w:space="0" w:color="auto"/>
              <w:right w:val="single" w:sz="8" w:space="0" w:color="auto"/>
            </w:tcBorders>
          </w:tcPr>
          <w:p w14:paraId="5DEEC4E8" w14:textId="77777777" w:rsidR="00632208" w:rsidRPr="0098635C" w:rsidRDefault="00632208" w:rsidP="00A432B0">
            <w:pPr>
              <w:spacing w:after="0"/>
              <w:rPr>
                <w:color w:val="000000" w:themeColor="text1"/>
                <w:sz w:val="20"/>
                <w:szCs w:val="20"/>
              </w:rPr>
            </w:pPr>
            <w:r w:rsidRPr="0098635C">
              <w:rPr>
                <w:color w:val="000000" w:themeColor="text1"/>
                <w:sz w:val="20"/>
                <w:szCs w:val="20"/>
              </w:rPr>
              <w:t>mortality</w:t>
            </w:r>
          </w:p>
        </w:tc>
        <w:tc>
          <w:tcPr>
            <w:tcW w:w="850" w:type="dxa"/>
            <w:tcBorders>
              <w:top w:val="nil"/>
              <w:left w:val="nil"/>
              <w:bottom w:val="single" w:sz="8" w:space="0" w:color="auto"/>
              <w:right w:val="single" w:sz="8" w:space="0" w:color="auto"/>
            </w:tcBorders>
          </w:tcPr>
          <w:p w14:paraId="2C04EF45"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34.9</w:t>
            </w:r>
          </w:p>
        </w:tc>
        <w:tc>
          <w:tcPr>
            <w:tcW w:w="709" w:type="dxa"/>
            <w:tcBorders>
              <w:top w:val="nil"/>
              <w:left w:val="nil"/>
              <w:bottom w:val="single" w:sz="8" w:space="0" w:color="auto"/>
              <w:right w:val="single" w:sz="8" w:space="0" w:color="auto"/>
            </w:tcBorders>
          </w:tcPr>
          <w:p w14:paraId="545BEEA0"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65DE51AE"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3</w:t>
            </w:r>
          </w:p>
        </w:tc>
        <w:tc>
          <w:tcPr>
            <w:tcW w:w="3118" w:type="dxa"/>
            <w:tcBorders>
              <w:top w:val="nil"/>
              <w:left w:val="nil"/>
              <w:bottom w:val="single" w:sz="8" w:space="0" w:color="auto"/>
              <w:right w:val="single" w:sz="8" w:space="0" w:color="auto"/>
            </w:tcBorders>
          </w:tcPr>
          <w:p w14:paraId="1CF06D16"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15.6 °C; pH: 7.6; H: 45.4 mg/L CaCO3; DOC: 1.0 mg/L </w:t>
            </w:r>
            <w:r w:rsidRPr="0098635C">
              <w:rPr>
                <w:color w:val="000000" w:themeColor="text1"/>
                <w:sz w:val="20"/>
                <w:szCs w:val="20"/>
                <w:vertAlign w:val="superscript"/>
              </w:rPr>
              <w:t>(13)</w:t>
            </w:r>
          </w:p>
        </w:tc>
        <w:tc>
          <w:tcPr>
            <w:tcW w:w="1003" w:type="dxa"/>
            <w:tcBorders>
              <w:top w:val="nil"/>
              <w:left w:val="nil"/>
              <w:bottom w:val="single" w:sz="8" w:space="0" w:color="auto"/>
              <w:right w:val="single" w:sz="8" w:space="0" w:color="auto"/>
            </w:tcBorders>
          </w:tcPr>
          <w:p w14:paraId="4E95958C" w14:textId="77777777" w:rsidR="00632208" w:rsidRPr="0098635C" w:rsidRDefault="00632208" w:rsidP="00A432B0">
            <w:pPr>
              <w:spacing w:after="0"/>
              <w:rPr>
                <w:color w:val="000000" w:themeColor="text1"/>
                <w:sz w:val="20"/>
                <w:szCs w:val="20"/>
              </w:rPr>
            </w:pPr>
            <w:r w:rsidRPr="0098635C">
              <w:rPr>
                <w:color w:val="000000" w:themeColor="text1"/>
                <w:sz w:val="20"/>
                <w:szCs w:val="20"/>
              </w:rPr>
              <w:t>Lake (Lake Superior)</w:t>
            </w:r>
          </w:p>
        </w:tc>
        <w:tc>
          <w:tcPr>
            <w:tcW w:w="4383" w:type="dxa"/>
            <w:gridSpan w:val="2"/>
            <w:tcBorders>
              <w:top w:val="nil"/>
              <w:left w:val="nil"/>
              <w:bottom w:val="single" w:sz="8" w:space="0" w:color="auto"/>
              <w:right w:val="double" w:sz="6" w:space="0" w:color="auto"/>
            </w:tcBorders>
          </w:tcPr>
          <w:p w14:paraId="5B96EA4F" w14:textId="77777777" w:rsidR="00632208" w:rsidRPr="0098635C" w:rsidRDefault="00632208" w:rsidP="00A432B0">
            <w:pPr>
              <w:spacing w:after="0"/>
              <w:rPr>
                <w:color w:val="000000" w:themeColor="text1"/>
                <w:sz w:val="20"/>
                <w:szCs w:val="20"/>
              </w:rPr>
            </w:pPr>
            <w:r w:rsidRPr="0098635C">
              <w:rPr>
                <w:color w:val="000000" w:themeColor="text1"/>
                <w:sz w:val="20"/>
                <w:szCs w:val="20"/>
              </w:rPr>
              <w:t>McKim et al., 1978</w:t>
            </w:r>
          </w:p>
        </w:tc>
      </w:tr>
      <w:tr w:rsidR="00632208" w:rsidRPr="0098635C" w14:paraId="34B15AC2" w14:textId="77777777" w:rsidTr="00982513">
        <w:trPr>
          <w:trHeight w:val="64"/>
        </w:trPr>
        <w:tc>
          <w:tcPr>
            <w:tcW w:w="1647" w:type="dxa"/>
            <w:gridSpan w:val="2"/>
            <w:tcBorders>
              <w:top w:val="nil"/>
              <w:left w:val="double" w:sz="6" w:space="0" w:color="auto"/>
              <w:bottom w:val="single" w:sz="8" w:space="0" w:color="auto"/>
              <w:right w:val="single" w:sz="8" w:space="0" w:color="auto"/>
            </w:tcBorders>
          </w:tcPr>
          <w:p w14:paraId="087EBE0A"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Perca fluviatilis </w:t>
            </w:r>
          </w:p>
        </w:tc>
        <w:tc>
          <w:tcPr>
            <w:tcW w:w="1701" w:type="dxa"/>
            <w:tcBorders>
              <w:top w:val="nil"/>
              <w:left w:val="nil"/>
              <w:bottom w:val="single" w:sz="8" w:space="0" w:color="auto"/>
              <w:right w:val="single" w:sz="8" w:space="0" w:color="auto"/>
            </w:tcBorders>
          </w:tcPr>
          <w:p w14:paraId="014D4148" w14:textId="77777777" w:rsidR="00632208" w:rsidRPr="0098635C" w:rsidRDefault="00632208" w:rsidP="00A432B0">
            <w:pPr>
              <w:spacing w:after="0"/>
              <w:rPr>
                <w:color w:val="000000" w:themeColor="text1"/>
                <w:sz w:val="20"/>
                <w:szCs w:val="20"/>
              </w:rPr>
            </w:pPr>
            <w:r w:rsidRPr="0098635C">
              <w:rPr>
                <w:color w:val="000000" w:themeColor="text1"/>
                <w:sz w:val="20"/>
                <w:szCs w:val="20"/>
              </w:rPr>
              <w:t>juvenile (3.8 - 4.3 g)</w:t>
            </w:r>
          </w:p>
        </w:tc>
        <w:tc>
          <w:tcPr>
            <w:tcW w:w="709" w:type="dxa"/>
            <w:tcBorders>
              <w:top w:val="nil"/>
              <w:left w:val="nil"/>
              <w:bottom w:val="single" w:sz="8" w:space="0" w:color="auto"/>
              <w:right w:val="single" w:sz="8" w:space="0" w:color="auto"/>
            </w:tcBorders>
          </w:tcPr>
          <w:p w14:paraId="0BCE0AC0" w14:textId="77777777" w:rsidR="00632208" w:rsidRPr="0098635C" w:rsidRDefault="00632208" w:rsidP="00A432B0">
            <w:pPr>
              <w:spacing w:after="0"/>
              <w:rPr>
                <w:color w:val="000000" w:themeColor="text1"/>
                <w:sz w:val="20"/>
                <w:szCs w:val="20"/>
              </w:rPr>
            </w:pPr>
            <w:r w:rsidRPr="0098635C">
              <w:rPr>
                <w:color w:val="000000" w:themeColor="text1"/>
                <w:sz w:val="20"/>
                <w:szCs w:val="20"/>
              </w:rPr>
              <w:t>30 d</w:t>
            </w:r>
          </w:p>
        </w:tc>
        <w:tc>
          <w:tcPr>
            <w:tcW w:w="1276" w:type="dxa"/>
            <w:tcBorders>
              <w:top w:val="nil"/>
              <w:left w:val="nil"/>
              <w:bottom w:val="single" w:sz="8" w:space="0" w:color="auto"/>
              <w:right w:val="single" w:sz="8" w:space="0" w:color="auto"/>
            </w:tcBorders>
          </w:tcPr>
          <w:p w14:paraId="7A7F25F0"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7ADF6ABF"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39</w:t>
            </w:r>
          </w:p>
        </w:tc>
        <w:tc>
          <w:tcPr>
            <w:tcW w:w="709" w:type="dxa"/>
            <w:tcBorders>
              <w:top w:val="nil"/>
              <w:left w:val="nil"/>
              <w:bottom w:val="single" w:sz="8" w:space="0" w:color="auto"/>
              <w:right w:val="single" w:sz="8" w:space="0" w:color="auto"/>
            </w:tcBorders>
          </w:tcPr>
          <w:p w14:paraId="680F2209"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2799AED4"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1</w:t>
            </w:r>
          </w:p>
        </w:tc>
        <w:tc>
          <w:tcPr>
            <w:tcW w:w="3118" w:type="dxa"/>
            <w:tcBorders>
              <w:top w:val="nil"/>
              <w:left w:val="nil"/>
              <w:bottom w:val="single" w:sz="8" w:space="0" w:color="auto"/>
              <w:right w:val="single" w:sz="8" w:space="0" w:color="auto"/>
            </w:tcBorders>
          </w:tcPr>
          <w:p w14:paraId="4DD4C2A6"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17.5 °C; pH: 7.8; H: 194 mg/L CaCO3; DOC: 1 mg/L </w:t>
            </w:r>
            <w:r w:rsidRPr="0098635C">
              <w:rPr>
                <w:color w:val="000000" w:themeColor="text1"/>
                <w:sz w:val="20"/>
                <w:szCs w:val="20"/>
                <w:vertAlign w:val="superscript"/>
              </w:rPr>
              <w:t>(7)</w:t>
            </w:r>
          </w:p>
        </w:tc>
        <w:tc>
          <w:tcPr>
            <w:tcW w:w="1003" w:type="dxa"/>
            <w:tcBorders>
              <w:top w:val="nil"/>
              <w:left w:val="nil"/>
              <w:bottom w:val="single" w:sz="8" w:space="0" w:color="auto"/>
              <w:right w:val="single" w:sz="8" w:space="0" w:color="auto"/>
            </w:tcBorders>
          </w:tcPr>
          <w:p w14:paraId="763C26A7" w14:textId="77777777" w:rsidR="00632208" w:rsidRPr="0098635C" w:rsidRDefault="00632208" w:rsidP="00A432B0">
            <w:pPr>
              <w:spacing w:after="0"/>
              <w:rPr>
                <w:color w:val="000000" w:themeColor="text1"/>
                <w:sz w:val="20"/>
                <w:szCs w:val="20"/>
              </w:rPr>
            </w:pPr>
            <w:r w:rsidRPr="0098635C">
              <w:rPr>
                <w:color w:val="000000" w:themeColor="text1"/>
                <w:sz w:val="20"/>
                <w:szCs w:val="20"/>
              </w:rPr>
              <w:t>Tap</w:t>
            </w:r>
          </w:p>
        </w:tc>
        <w:tc>
          <w:tcPr>
            <w:tcW w:w="4383" w:type="dxa"/>
            <w:gridSpan w:val="2"/>
            <w:tcBorders>
              <w:top w:val="nil"/>
              <w:left w:val="nil"/>
              <w:bottom w:val="single" w:sz="8" w:space="0" w:color="auto"/>
              <w:right w:val="double" w:sz="6" w:space="0" w:color="auto"/>
            </w:tcBorders>
          </w:tcPr>
          <w:p w14:paraId="7CA3D863"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Collvin, 1985 </w:t>
            </w:r>
          </w:p>
        </w:tc>
      </w:tr>
      <w:tr w:rsidR="00632208" w:rsidRPr="0098635C" w14:paraId="52C8059C" w14:textId="77777777" w:rsidTr="00982513">
        <w:trPr>
          <w:trHeight w:val="64"/>
        </w:trPr>
        <w:tc>
          <w:tcPr>
            <w:tcW w:w="1647" w:type="dxa"/>
            <w:gridSpan w:val="2"/>
            <w:tcBorders>
              <w:top w:val="nil"/>
              <w:left w:val="double" w:sz="6" w:space="0" w:color="auto"/>
              <w:bottom w:val="single" w:sz="8" w:space="0" w:color="auto"/>
              <w:right w:val="single" w:sz="8" w:space="0" w:color="auto"/>
            </w:tcBorders>
          </w:tcPr>
          <w:p w14:paraId="12F383A5"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Perca fluviatilis </w:t>
            </w:r>
          </w:p>
        </w:tc>
        <w:tc>
          <w:tcPr>
            <w:tcW w:w="1701" w:type="dxa"/>
            <w:tcBorders>
              <w:top w:val="nil"/>
              <w:left w:val="nil"/>
              <w:bottom w:val="single" w:sz="8" w:space="0" w:color="auto"/>
              <w:right w:val="single" w:sz="8" w:space="0" w:color="auto"/>
            </w:tcBorders>
          </w:tcPr>
          <w:p w14:paraId="230E0924" w14:textId="77777777" w:rsidR="00632208" w:rsidRPr="0098635C" w:rsidRDefault="00632208" w:rsidP="00A432B0">
            <w:pPr>
              <w:spacing w:after="0"/>
              <w:rPr>
                <w:color w:val="000000" w:themeColor="text1"/>
                <w:sz w:val="20"/>
                <w:szCs w:val="20"/>
              </w:rPr>
            </w:pPr>
            <w:r w:rsidRPr="0098635C">
              <w:rPr>
                <w:color w:val="000000" w:themeColor="text1"/>
                <w:sz w:val="20"/>
                <w:szCs w:val="20"/>
              </w:rPr>
              <w:t>juvenile (3.8 g)</w:t>
            </w:r>
          </w:p>
        </w:tc>
        <w:tc>
          <w:tcPr>
            <w:tcW w:w="709" w:type="dxa"/>
            <w:tcBorders>
              <w:top w:val="nil"/>
              <w:left w:val="nil"/>
              <w:bottom w:val="single" w:sz="8" w:space="0" w:color="auto"/>
              <w:right w:val="single" w:sz="8" w:space="0" w:color="auto"/>
            </w:tcBorders>
          </w:tcPr>
          <w:p w14:paraId="6C816665" w14:textId="77777777" w:rsidR="00632208" w:rsidRPr="0098635C" w:rsidRDefault="00632208" w:rsidP="00A432B0">
            <w:pPr>
              <w:spacing w:after="0"/>
              <w:rPr>
                <w:color w:val="000000" w:themeColor="text1"/>
                <w:sz w:val="20"/>
                <w:szCs w:val="20"/>
              </w:rPr>
            </w:pPr>
            <w:r w:rsidRPr="0098635C">
              <w:rPr>
                <w:color w:val="000000" w:themeColor="text1"/>
                <w:sz w:val="20"/>
                <w:szCs w:val="20"/>
              </w:rPr>
              <w:t>30 d</w:t>
            </w:r>
          </w:p>
        </w:tc>
        <w:tc>
          <w:tcPr>
            <w:tcW w:w="1276" w:type="dxa"/>
            <w:tcBorders>
              <w:top w:val="nil"/>
              <w:left w:val="nil"/>
              <w:bottom w:val="single" w:sz="8" w:space="0" w:color="auto"/>
              <w:right w:val="single" w:sz="8" w:space="0" w:color="auto"/>
            </w:tcBorders>
          </w:tcPr>
          <w:p w14:paraId="3B4212FF" w14:textId="77777777" w:rsidR="00632208" w:rsidRPr="0098635C" w:rsidRDefault="00632208" w:rsidP="00A432B0">
            <w:pPr>
              <w:spacing w:after="0"/>
              <w:rPr>
                <w:color w:val="000000" w:themeColor="text1"/>
                <w:sz w:val="20"/>
                <w:szCs w:val="20"/>
              </w:rPr>
            </w:pPr>
            <w:r w:rsidRPr="0098635C">
              <w:rPr>
                <w:color w:val="000000" w:themeColor="text1"/>
                <w:sz w:val="20"/>
                <w:szCs w:val="20"/>
              </w:rPr>
              <w:t>mortality</w:t>
            </w:r>
          </w:p>
        </w:tc>
        <w:tc>
          <w:tcPr>
            <w:tcW w:w="850" w:type="dxa"/>
            <w:tcBorders>
              <w:top w:val="nil"/>
              <w:left w:val="nil"/>
              <w:bottom w:val="single" w:sz="8" w:space="0" w:color="auto"/>
              <w:right w:val="single" w:sz="8" w:space="0" w:color="auto"/>
            </w:tcBorders>
          </w:tcPr>
          <w:p w14:paraId="70DFA676"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188</w:t>
            </w:r>
          </w:p>
        </w:tc>
        <w:tc>
          <w:tcPr>
            <w:tcW w:w="709" w:type="dxa"/>
            <w:tcBorders>
              <w:top w:val="nil"/>
              <w:left w:val="nil"/>
              <w:bottom w:val="single" w:sz="8" w:space="0" w:color="auto"/>
              <w:right w:val="single" w:sz="8" w:space="0" w:color="auto"/>
            </w:tcBorders>
          </w:tcPr>
          <w:p w14:paraId="4F01F74D"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19791752"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3</w:t>
            </w:r>
          </w:p>
        </w:tc>
        <w:tc>
          <w:tcPr>
            <w:tcW w:w="3118" w:type="dxa"/>
            <w:tcBorders>
              <w:top w:val="nil"/>
              <w:left w:val="nil"/>
              <w:bottom w:val="single" w:sz="8" w:space="0" w:color="auto"/>
              <w:right w:val="single" w:sz="8" w:space="0" w:color="auto"/>
            </w:tcBorders>
          </w:tcPr>
          <w:p w14:paraId="5580702A"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15.1 °C; pH: 7.8; H: 178 mg/L CaCO3; DOC: 1mg/L </w:t>
            </w:r>
            <w:r w:rsidRPr="0098635C">
              <w:rPr>
                <w:color w:val="000000" w:themeColor="text1"/>
                <w:sz w:val="20"/>
                <w:szCs w:val="20"/>
                <w:vertAlign w:val="superscript"/>
              </w:rPr>
              <w:t>(7)</w:t>
            </w:r>
          </w:p>
        </w:tc>
        <w:tc>
          <w:tcPr>
            <w:tcW w:w="1003" w:type="dxa"/>
            <w:tcBorders>
              <w:top w:val="nil"/>
              <w:left w:val="nil"/>
              <w:bottom w:val="single" w:sz="8" w:space="0" w:color="auto"/>
              <w:right w:val="single" w:sz="8" w:space="0" w:color="auto"/>
            </w:tcBorders>
          </w:tcPr>
          <w:p w14:paraId="3B5BF11F" w14:textId="77777777" w:rsidR="00632208" w:rsidRPr="0098635C" w:rsidRDefault="00632208" w:rsidP="00A432B0">
            <w:pPr>
              <w:spacing w:after="0"/>
              <w:rPr>
                <w:color w:val="000000" w:themeColor="text1"/>
                <w:sz w:val="20"/>
                <w:szCs w:val="20"/>
              </w:rPr>
            </w:pPr>
            <w:r w:rsidRPr="0098635C">
              <w:rPr>
                <w:color w:val="000000" w:themeColor="text1"/>
                <w:sz w:val="20"/>
                <w:szCs w:val="20"/>
              </w:rPr>
              <w:t>Tap</w:t>
            </w:r>
          </w:p>
        </w:tc>
        <w:tc>
          <w:tcPr>
            <w:tcW w:w="4383" w:type="dxa"/>
            <w:gridSpan w:val="2"/>
            <w:tcBorders>
              <w:top w:val="nil"/>
              <w:left w:val="nil"/>
              <w:bottom w:val="single" w:sz="8" w:space="0" w:color="auto"/>
              <w:right w:val="double" w:sz="6" w:space="0" w:color="auto"/>
            </w:tcBorders>
          </w:tcPr>
          <w:p w14:paraId="513E0163"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Collvin, 1984 </w:t>
            </w:r>
          </w:p>
        </w:tc>
      </w:tr>
      <w:tr w:rsidR="00632208" w:rsidRPr="0098635C" w14:paraId="76B098BD" w14:textId="77777777" w:rsidTr="00982513">
        <w:trPr>
          <w:trHeight w:val="81"/>
        </w:trPr>
        <w:tc>
          <w:tcPr>
            <w:tcW w:w="1647" w:type="dxa"/>
            <w:gridSpan w:val="2"/>
            <w:tcBorders>
              <w:top w:val="nil"/>
              <w:left w:val="double" w:sz="6" w:space="0" w:color="auto"/>
              <w:bottom w:val="single" w:sz="8" w:space="0" w:color="auto"/>
              <w:right w:val="single" w:sz="8" w:space="0" w:color="auto"/>
            </w:tcBorders>
          </w:tcPr>
          <w:p w14:paraId="5E8C18EC" w14:textId="77777777" w:rsidR="00632208" w:rsidRPr="0098635C" w:rsidRDefault="00632208" w:rsidP="00A432B0">
            <w:pPr>
              <w:spacing w:after="0"/>
              <w:rPr>
                <w:color w:val="000000" w:themeColor="text1"/>
                <w:sz w:val="20"/>
                <w:szCs w:val="20"/>
              </w:rPr>
            </w:pPr>
            <w:r w:rsidRPr="0098635C">
              <w:rPr>
                <w:color w:val="000000" w:themeColor="text1"/>
                <w:sz w:val="20"/>
                <w:szCs w:val="20"/>
              </w:rPr>
              <w:t>Pimephales notatus</w:t>
            </w:r>
          </w:p>
        </w:tc>
        <w:tc>
          <w:tcPr>
            <w:tcW w:w="1701" w:type="dxa"/>
            <w:tcBorders>
              <w:top w:val="nil"/>
              <w:left w:val="nil"/>
              <w:bottom w:val="single" w:sz="8" w:space="0" w:color="auto"/>
              <w:right w:val="single" w:sz="8" w:space="0" w:color="auto"/>
            </w:tcBorders>
          </w:tcPr>
          <w:p w14:paraId="3FA4FB1D" w14:textId="77777777" w:rsidR="00632208" w:rsidRPr="0098635C" w:rsidRDefault="00632208" w:rsidP="00A432B0">
            <w:pPr>
              <w:spacing w:after="0"/>
              <w:rPr>
                <w:color w:val="000000" w:themeColor="text1"/>
                <w:sz w:val="20"/>
                <w:szCs w:val="20"/>
              </w:rPr>
            </w:pPr>
            <w:r w:rsidRPr="0098635C">
              <w:rPr>
                <w:color w:val="000000" w:themeColor="text1"/>
                <w:sz w:val="20"/>
                <w:szCs w:val="20"/>
              </w:rPr>
              <w:t>fry (15 - 16 mm) -second generation</w:t>
            </w:r>
          </w:p>
        </w:tc>
        <w:tc>
          <w:tcPr>
            <w:tcW w:w="709" w:type="dxa"/>
            <w:tcBorders>
              <w:top w:val="nil"/>
              <w:left w:val="nil"/>
              <w:bottom w:val="single" w:sz="8" w:space="0" w:color="auto"/>
              <w:right w:val="single" w:sz="8" w:space="0" w:color="auto"/>
            </w:tcBorders>
          </w:tcPr>
          <w:p w14:paraId="37425829" w14:textId="77777777" w:rsidR="00632208" w:rsidRPr="0098635C" w:rsidRDefault="00632208" w:rsidP="00A432B0">
            <w:pPr>
              <w:spacing w:after="0"/>
              <w:rPr>
                <w:color w:val="000000" w:themeColor="text1"/>
                <w:sz w:val="20"/>
                <w:szCs w:val="20"/>
              </w:rPr>
            </w:pPr>
            <w:r w:rsidRPr="0098635C">
              <w:rPr>
                <w:color w:val="000000" w:themeColor="text1"/>
                <w:sz w:val="20"/>
                <w:szCs w:val="20"/>
              </w:rPr>
              <w:t>30 d</w:t>
            </w:r>
          </w:p>
        </w:tc>
        <w:tc>
          <w:tcPr>
            <w:tcW w:w="1276" w:type="dxa"/>
            <w:tcBorders>
              <w:top w:val="nil"/>
              <w:left w:val="nil"/>
              <w:bottom w:val="single" w:sz="8" w:space="0" w:color="auto"/>
              <w:right w:val="single" w:sz="8" w:space="0" w:color="auto"/>
            </w:tcBorders>
          </w:tcPr>
          <w:p w14:paraId="073CE175"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45A200B2"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44</w:t>
            </w:r>
          </w:p>
        </w:tc>
        <w:tc>
          <w:tcPr>
            <w:tcW w:w="709" w:type="dxa"/>
            <w:tcBorders>
              <w:top w:val="nil"/>
              <w:left w:val="nil"/>
              <w:bottom w:val="single" w:sz="8" w:space="0" w:color="auto"/>
              <w:right w:val="single" w:sz="8" w:space="0" w:color="auto"/>
            </w:tcBorders>
          </w:tcPr>
          <w:p w14:paraId="73019988"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1F6BF3B0"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4.3</w:t>
            </w:r>
          </w:p>
        </w:tc>
        <w:tc>
          <w:tcPr>
            <w:tcW w:w="3118" w:type="dxa"/>
            <w:tcBorders>
              <w:top w:val="nil"/>
              <w:left w:val="nil"/>
              <w:bottom w:val="single" w:sz="8" w:space="0" w:color="auto"/>
              <w:right w:val="single" w:sz="8" w:space="0" w:color="auto"/>
            </w:tcBorders>
          </w:tcPr>
          <w:p w14:paraId="0B707564"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25 °C; pH: 8.1; H: 201 mg/L CaCO3; DOC: 0.55 mg/L </w:t>
            </w:r>
            <w:r w:rsidRPr="0098635C">
              <w:rPr>
                <w:color w:val="000000" w:themeColor="text1"/>
                <w:sz w:val="20"/>
                <w:szCs w:val="20"/>
                <w:vertAlign w:val="superscript"/>
              </w:rPr>
              <w:t>(14)</w:t>
            </w:r>
          </w:p>
        </w:tc>
        <w:tc>
          <w:tcPr>
            <w:tcW w:w="1003" w:type="dxa"/>
            <w:tcBorders>
              <w:top w:val="nil"/>
              <w:left w:val="nil"/>
              <w:bottom w:val="single" w:sz="8" w:space="0" w:color="auto"/>
              <w:right w:val="single" w:sz="8" w:space="0" w:color="auto"/>
            </w:tcBorders>
          </w:tcPr>
          <w:p w14:paraId="7454379F" w14:textId="77777777" w:rsidR="00632208" w:rsidRPr="0098635C" w:rsidRDefault="00632208" w:rsidP="00A432B0">
            <w:pPr>
              <w:spacing w:after="0"/>
              <w:rPr>
                <w:color w:val="000000" w:themeColor="text1"/>
                <w:sz w:val="20"/>
                <w:szCs w:val="20"/>
              </w:rPr>
            </w:pPr>
            <w:r w:rsidRPr="0098635C">
              <w:rPr>
                <w:color w:val="000000" w:themeColor="text1"/>
                <w:sz w:val="20"/>
                <w:szCs w:val="20"/>
              </w:rPr>
              <w:t>Spring + demineralised tap</w:t>
            </w:r>
          </w:p>
        </w:tc>
        <w:tc>
          <w:tcPr>
            <w:tcW w:w="4383" w:type="dxa"/>
            <w:gridSpan w:val="2"/>
            <w:tcBorders>
              <w:top w:val="nil"/>
              <w:left w:val="nil"/>
              <w:bottom w:val="single" w:sz="8" w:space="0" w:color="auto"/>
              <w:right w:val="double" w:sz="6" w:space="0" w:color="auto"/>
            </w:tcBorders>
          </w:tcPr>
          <w:p w14:paraId="5DE6B4BD"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Horning &amp;  Neiheisel, 1979 </w:t>
            </w:r>
          </w:p>
        </w:tc>
      </w:tr>
      <w:tr w:rsidR="00632208" w:rsidRPr="0098635C" w14:paraId="31428C8D" w14:textId="77777777" w:rsidTr="00982513">
        <w:trPr>
          <w:trHeight w:val="64"/>
        </w:trPr>
        <w:tc>
          <w:tcPr>
            <w:tcW w:w="1647" w:type="dxa"/>
            <w:gridSpan w:val="2"/>
            <w:tcBorders>
              <w:top w:val="nil"/>
              <w:left w:val="double" w:sz="6" w:space="0" w:color="auto"/>
              <w:bottom w:val="single" w:sz="8" w:space="0" w:color="auto"/>
              <w:right w:val="single" w:sz="8" w:space="0" w:color="auto"/>
            </w:tcBorders>
          </w:tcPr>
          <w:p w14:paraId="6FE081F2" w14:textId="77777777" w:rsidR="00632208" w:rsidRPr="0098635C" w:rsidRDefault="00632208" w:rsidP="00A432B0">
            <w:pPr>
              <w:spacing w:after="0"/>
              <w:rPr>
                <w:color w:val="000000" w:themeColor="text1"/>
                <w:sz w:val="20"/>
                <w:szCs w:val="20"/>
              </w:rPr>
            </w:pPr>
            <w:r w:rsidRPr="0098635C">
              <w:rPr>
                <w:color w:val="000000" w:themeColor="text1"/>
                <w:sz w:val="20"/>
                <w:szCs w:val="20"/>
              </w:rPr>
              <w:t>Pimephales notatus</w:t>
            </w:r>
          </w:p>
        </w:tc>
        <w:tc>
          <w:tcPr>
            <w:tcW w:w="1701" w:type="dxa"/>
            <w:tcBorders>
              <w:top w:val="nil"/>
              <w:left w:val="nil"/>
              <w:bottom w:val="single" w:sz="8" w:space="0" w:color="auto"/>
              <w:right w:val="single" w:sz="8" w:space="0" w:color="auto"/>
            </w:tcBorders>
          </w:tcPr>
          <w:p w14:paraId="12E6015A" w14:textId="77777777" w:rsidR="00632208" w:rsidRPr="0098635C" w:rsidRDefault="00632208" w:rsidP="00A432B0">
            <w:pPr>
              <w:spacing w:after="0"/>
              <w:rPr>
                <w:color w:val="000000" w:themeColor="text1"/>
                <w:sz w:val="20"/>
                <w:szCs w:val="20"/>
              </w:rPr>
            </w:pPr>
            <w:r w:rsidRPr="0098635C">
              <w:rPr>
                <w:color w:val="000000" w:themeColor="text1"/>
                <w:sz w:val="20"/>
                <w:szCs w:val="20"/>
              </w:rPr>
              <w:t>fry (15 - 16 mm)</w:t>
            </w:r>
          </w:p>
        </w:tc>
        <w:tc>
          <w:tcPr>
            <w:tcW w:w="709" w:type="dxa"/>
            <w:tcBorders>
              <w:top w:val="nil"/>
              <w:left w:val="nil"/>
              <w:bottom w:val="single" w:sz="8" w:space="0" w:color="auto"/>
              <w:right w:val="single" w:sz="8" w:space="0" w:color="auto"/>
            </w:tcBorders>
          </w:tcPr>
          <w:p w14:paraId="1CCE847B" w14:textId="77777777" w:rsidR="00632208" w:rsidRPr="0098635C" w:rsidRDefault="00632208" w:rsidP="00A432B0">
            <w:pPr>
              <w:spacing w:after="0"/>
              <w:rPr>
                <w:color w:val="000000" w:themeColor="text1"/>
                <w:sz w:val="20"/>
                <w:szCs w:val="20"/>
              </w:rPr>
            </w:pPr>
            <w:r w:rsidRPr="0098635C">
              <w:rPr>
                <w:color w:val="000000" w:themeColor="text1"/>
                <w:sz w:val="20"/>
                <w:szCs w:val="20"/>
              </w:rPr>
              <w:t>60 d</w:t>
            </w:r>
          </w:p>
        </w:tc>
        <w:tc>
          <w:tcPr>
            <w:tcW w:w="1276" w:type="dxa"/>
            <w:tcBorders>
              <w:top w:val="nil"/>
              <w:left w:val="nil"/>
              <w:bottom w:val="single" w:sz="8" w:space="0" w:color="auto"/>
              <w:right w:val="single" w:sz="8" w:space="0" w:color="auto"/>
            </w:tcBorders>
          </w:tcPr>
          <w:p w14:paraId="39BD31A9"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2A26E51B"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71.8</w:t>
            </w:r>
          </w:p>
        </w:tc>
        <w:tc>
          <w:tcPr>
            <w:tcW w:w="709" w:type="dxa"/>
            <w:tcBorders>
              <w:top w:val="nil"/>
              <w:left w:val="nil"/>
              <w:bottom w:val="single" w:sz="8" w:space="0" w:color="auto"/>
              <w:right w:val="single" w:sz="8" w:space="0" w:color="auto"/>
            </w:tcBorders>
          </w:tcPr>
          <w:p w14:paraId="313005F1"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1A60ACD2"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4.3</w:t>
            </w:r>
          </w:p>
        </w:tc>
        <w:tc>
          <w:tcPr>
            <w:tcW w:w="3118" w:type="dxa"/>
            <w:tcBorders>
              <w:top w:val="nil"/>
              <w:left w:val="nil"/>
              <w:bottom w:val="single" w:sz="8" w:space="0" w:color="auto"/>
              <w:right w:val="single" w:sz="8" w:space="0" w:color="auto"/>
            </w:tcBorders>
          </w:tcPr>
          <w:p w14:paraId="09D2A598"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25 °C; pH: 8.1; H: 201 mg/L CaCO3; DOC: 0.55 mg/L </w:t>
            </w:r>
            <w:r w:rsidRPr="0098635C">
              <w:rPr>
                <w:color w:val="000000" w:themeColor="text1"/>
                <w:sz w:val="20"/>
                <w:szCs w:val="20"/>
                <w:vertAlign w:val="superscript"/>
              </w:rPr>
              <w:t>(14)</w:t>
            </w:r>
          </w:p>
        </w:tc>
        <w:tc>
          <w:tcPr>
            <w:tcW w:w="1003" w:type="dxa"/>
            <w:tcBorders>
              <w:top w:val="nil"/>
              <w:left w:val="nil"/>
              <w:bottom w:val="single" w:sz="8" w:space="0" w:color="auto"/>
              <w:right w:val="single" w:sz="8" w:space="0" w:color="auto"/>
            </w:tcBorders>
          </w:tcPr>
          <w:p w14:paraId="71277F9F" w14:textId="77777777" w:rsidR="00632208" w:rsidRPr="0098635C" w:rsidRDefault="00632208" w:rsidP="00A432B0">
            <w:pPr>
              <w:spacing w:after="0"/>
              <w:rPr>
                <w:color w:val="000000" w:themeColor="text1"/>
                <w:sz w:val="20"/>
                <w:szCs w:val="20"/>
              </w:rPr>
            </w:pPr>
            <w:r w:rsidRPr="0098635C">
              <w:rPr>
                <w:color w:val="000000" w:themeColor="text1"/>
                <w:sz w:val="20"/>
                <w:szCs w:val="20"/>
              </w:rPr>
              <w:t>Spring + demineralised tap</w:t>
            </w:r>
          </w:p>
        </w:tc>
        <w:tc>
          <w:tcPr>
            <w:tcW w:w="4383" w:type="dxa"/>
            <w:gridSpan w:val="2"/>
            <w:tcBorders>
              <w:top w:val="nil"/>
              <w:left w:val="nil"/>
              <w:bottom w:val="single" w:sz="8" w:space="0" w:color="auto"/>
              <w:right w:val="double" w:sz="6" w:space="0" w:color="auto"/>
            </w:tcBorders>
          </w:tcPr>
          <w:p w14:paraId="1357FAF0"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Horning &amp;  Neiheisel, 1979 </w:t>
            </w:r>
          </w:p>
        </w:tc>
      </w:tr>
      <w:tr w:rsidR="00632208" w:rsidRPr="0098635C" w14:paraId="4809B2FF" w14:textId="77777777" w:rsidTr="00982513">
        <w:trPr>
          <w:trHeight w:val="64"/>
        </w:trPr>
        <w:tc>
          <w:tcPr>
            <w:tcW w:w="1647" w:type="dxa"/>
            <w:gridSpan w:val="2"/>
            <w:tcBorders>
              <w:top w:val="nil"/>
              <w:left w:val="double" w:sz="6" w:space="0" w:color="auto"/>
              <w:bottom w:val="single" w:sz="8" w:space="0" w:color="auto"/>
              <w:right w:val="single" w:sz="8" w:space="0" w:color="auto"/>
            </w:tcBorders>
          </w:tcPr>
          <w:p w14:paraId="6116BC03"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Pimephales notatus </w:t>
            </w:r>
          </w:p>
        </w:tc>
        <w:tc>
          <w:tcPr>
            <w:tcW w:w="1701" w:type="dxa"/>
            <w:tcBorders>
              <w:top w:val="nil"/>
              <w:left w:val="nil"/>
              <w:bottom w:val="single" w:sz="8" w:space="0" w:color="auto"/>
              <w:right w:val="single" w:sz="8" w:space="0" w:color="auto"/>
            </w:tcBorders>
          </w:tcPr>
          <w:p w14:paraId="4037A12C" w14:textId="77777777" w:rsidR="00632208" w:rsidRPr="0098635C" w:rsidRDefault="00632208" w:rsidP="00A432B0">
            <w:pPr>
              <w:spacing w:after="0"/>
              <w:rPr>
                <w:color w:val="000000" w:themeColor="text1"/>
                <w:sz w:val="20"/>
                <w:szCs w:val="20"/>
              </w:rPr>
            </w:pPr>
            <w:r w:rsidRPr="0098635C">
              <w:rPr>
                <w:color w:val="000000" w:themeColor="text1"/>
                <w:sz w:val="20"/>
                <w:szCs w:val="20"/>
              </w:rPr>
              <w:t>fry (15 - 16 mm)</w:t>
            </w:r>
          </w:p>
        </w:tc>
        <w:tc>
          <w:tcPr>
            <w:tcW w:w="709" w:type="dxa"/>
            <w:tcBorders>
              <w:top w:val="nil"/>
              <w:left w:val="nil"/>
              <w:bottom w:val="single" w:sz="8" w:space="0" w:color="auto"/>
              <w:right w:val="single" w:sz="8" w:space="0" w:color="auto"/>
            </w:tcBorders>
          </w:tcPr>
          <w:p w14:paraId="312EE5E8" w14:textId="77777777" w:rsidR="00632208" w:rsidRPr="0098635C" w:rsidRDefault="00632208" w:rsidP="00A432B0">
            <w:pPr>
              <w:spacing w:after="0"/>
              <w:rPr>
                <w:color w:val="000000" w:themeColor="text1"/>
                <w:sz w:val="20"/>
                <w:szCs w:val="20"/>
              </w:rPr>
            </w:pPr>
            <w:r w:rsidRPr="0098635C">
              <w:rPr>
                <w:color w:val="000000" w:themeColor="text1"/>
                <w:sz w:val="20"/>
                <w:szCs w:val="20"/>
              </w:rPr>
              <w:t>60 d</w:t>
            </w:r>
          </w:p>
        </w:tc>
        <w:tc>
          <w:tcPr>
            <w:tcW w:w="1276" w:type="dxa"/>
            <w:tcBorders>
              <w:top w:val="nil"/>
              <w:left w:val="nil"/>
              <w:bottom w:val="single" w:sz="8" w:space="0" w:color="auto"/>
              <w:right w:val="single" w:sz="8" w:space="0" w:color="auto"/>
            </w:tcBorders>
          </w:tcPr>
          <w:p w14:paraId="6F36D5B6" w14:textId="77777777" w:rsidR="00632208" w:rsidRPr="0098635C" w:rsidRDefault="00632208" w:rsidP="00A432B0">
            <w:pPr>
              <w:spacing w:after="0"/>
              <w:rPr>
                <w:color w:val="000000" w:themeColor="text1"/>
                <w:sz w:val="20"/>
                <w:szCs w:val="20"/>
              </w:rPr>
            </w:pPr>
            <w:r w:rsidRPr="0098635C">
              <w:rPr>
                <w:color w:val="000000" w:themeColor="text1"/>
                <w:sz w:val="20"/>
                <w:szCs w:val="20"/>
              </w:rPr>
              <w:t>mortality</w:t>
            </w:r>
          </w:p>
        </w:tc>
        <w:tc>
          <w:tcPr>
            <w:tcW w:w="850" w:type="dxa"/>
            <w:tcBorders>
              <w:top w:val="nil"/>
              <w:left w:val="nil"/>
              <w:bottom w:val="single" w:sz="8" w:space="0" w:color="auto"/>
              <w:right w:val="single" w:sz="8" w:space="0" w:color="auto"/>
            </w:tcBorders>
          </w:tcPr>
          <w:p w14:paraId="25B19E8E"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71.8</w:t>
            </w:r>
          </w:p>
        </w:tc>
        <w:tc>
          <w:tcPr>
            <w:tcW w:w="709" w:type="dxa"/>
            <w:tcBorders>
              <w:top w:val="nil"/>
              <w:left w:val="nil"/>
              <w:bottom w:val="single" w:sz="8" w:space="0" w:color="auto"/>
              <w:right w:val="single" w:sz="8" w:space="0" w:color="auto"/>
            </w:tcBorders>
          </w:tcPr>
          <w:p w14:paraId="2A1C75BE"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20DDD0CB"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4.3</w:t>
            </w:r>
          </w:p>
        </w:tc>
        <w:tc>
          <w:tcPr>
            <w:tcW w:w="3118" w:type="dxa"/>
            <w:tcBorders>
              <w:top w:val="nil"/>
              <w:left w:val="nil"/>
              <w:bottom w:val="single" w:sz="8" w:space="0" w:color="auto"/>
              <w:right w:val="single" w:sz="8" w:space="0" w:color="auto"/>
            </w:tcBorders>
          </w:tcPr>
          <w:p w14:paraId="789FBC42"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25 °C; pH: 8.1; H: 201 mg/L CaCO3; DOC: 0.55 mg/L </w:t>
            </w:r>
            <w:r w:rsidRPr="0098635C">
              <w:rPr>
                <w:color w:val="000000" w:themeColor="text1"/>
                <w:sz w:val="20"/>
                <w:szCs w:val="20"/>
                <w:vertAlign w:val="superscript"/>
              </w:rPr>
              <w:t>(14)</w:t>
            </w:r>
          </w:p>
        </w:tc>
        <w:tc>
          <w:tcPr>
            <w:tcW w:w="1003" w:type="dxa"/>
            <w:tcBorders>
              <w:top w:val="nil"/>
              <w:left w:val="nil"/>
              <w:bottom w:val="single" w:sz="8" w:space="0" w:color="auto"/>
              <w:right w:val="single" w:sz="8" w:space="0" w:color="auto"/>
            </w:tcBorders>
          </w:tcPr>
          <w:p w14:paraId="230618E1" w14:textId="77777777" w:rsidR="00632208" w:rsidRPr="0098635C" w:rsidRDefault="00632208" w:rsidP="00A432B0">
            <w:pPr>
              <w:spacing w:after="0"/>
              <w:rPr>
                <w:color w:val="000000" w:themeColor="text1"/>
                <w:sz w:val="20"/>
                <w:szCs w:val="20"/>
              </w:rPr>
            </w:pPr>
            <w:r w:rsidRPr="0098635C">
              <w:rPr>
                <w:color w:val="000000" w:themeColor="text1"/>
                <w:sz w:val="20"/>
                <w:szCs w:val="20"/>
              </w:rPr>
              <w:t>Spring + demineralised tap</w:t>
            </w:r>
          </w:p>
        </w:tc>
        <w:tc>
          <w:tcPr>
            <w:tcW w:w="4383" w:type="dxa"/>
            <w:gridSpan w:val="2"/>
            <w:tcBorders>
              <w:top w:val="nil"/>
              <w:left w:val="nil"/>
              <w:bottom w:val="single" w:sz="8" w:space="0" w:color="auto"/>
              <w:right w:val="double" w:sz="6" w:space="0" w:color="auto"/>
            </w:tcBorders>
          </w:tcPr>
          <w:p w14:paraId="3BF52E9B"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Horning &amp;  Neiheisel, 1979 </w:t>
            </w:r>
          </w:p>
        </w:tc>
      </w:tr>
      <w:tr w:rsidR="00632208" w:rsidRPr="0098635C" w14:paraId="2141F5AE" w14:textId="77777777" w:rsidTr="00982513">
        <w:trPr>
          <w:trHeight w:val="64"/>
        </w:trPr>
        <w:tc>
          <w:tcPr>
            <w:tcW w:w="1647" w:type="dxa"/>
            <w:gridSpan w:val="2"/>
            <w:tcBorders>
              <w:top w:val="nil"/>
              <w:left w:val="double" w:sz="6" w:space="0" w:color="auto"/>
              <w:bottom w:val="single" w:sz="8" w:space="0" w:color="auto"/>
              <w:right w:val="single" w:sz="8" w:space="0" w:color="auto"/>
            </w:tcBorders>
          </w:tcPr>
          <w:p w14:paraId="3724AD70" w14:textId="77777777" w:rsidR="00632208" w:rsidRPr="0098635C" w:rsidRDefault="00632208" w:rsidP="00A432B0">
            <w:pPr>
              <w:spacing w:after="0"/>
              <w:rPr>
                <w:color w:val="000000" w:themeColor="text1"/>
                <w:sz w:val="20"/>
                <w:szCs w:val="20"/>
              </w:rPr>
            </w:pPr>
            <w:r w:rsidRPr="0098635C">
              <w:rPr>
                <w:color w:val="000000" w:themeColor="text1"/>
                <w:sz w:val="20"/>
                <w:szCs w:val="20"/>
              </w:rPr>
              <w:t>Pimephales promelas</w:t>
            </w:r>
          </w:p>
        </w:tc>
        <w:tc>
          <w:tcPr>
            <w:tcW w:w="1701" w:type="dxa"/>
            <w:tcBorders>
              <w:top w:val="nil"/>
              <w:left w:val="nil"/>
              <w:bottom w:val="single" w:sz="8" w:space="0" w:color="auto"/>
              <w:right w:val="single" w:sz="8" w:space="0" w:color="auto"/>
            </w:tcBorders>
          </w:tcPr>
          <w:p w14:paraId="151E827F" w14:textId="77777777" w:rsidR="00632208" w:rsidRPr="0098635C" w:rsidRDefault="00632208" w:rsidP="00A432B0">
            <w:pPr>
              <w:spacing w:after="0"/>
              <w:rPr>
                <w:color w:val="000000" w:themeColor="text1"/>
                <w:sz w:val="20"/>
                <w:szCs w:val="20"/>
              </w:rPr>
            </w:pPr>
            <w:r w:rsidRPr="0098635C">
              <w:rPr>
                <w:color w:val="000000" w:themeColor="text1"/>
                <w:sz w:val="20"/>
                <w:szCs w:val="20"/>
              </w:rPr>
              <w:t>fry (10 - 15 mm)</w:t>
            </w:r>
          </w:p>
        </w:tc>
        <w:tc>
          <w:tcPr>
            <w:tcW w:w="709" w:type="dxa"/>
            <w:tcBorders>
              <w:top w:val="nil"/>
              <w:left w:val="nil"/>
              <w:bottom w:val="single" w:sz="8" w:space="0" w:color="auto"/>
              <w:right w:val="single" w:sz="8" w:space="0" w:color="auto"/>
            </w:tcBorders>
          </w:tcPr>
          <w:p w14:paraId="4E810FB0" w14:textId="77777777" w:rsidR="00632208" w:rsidRPr="0098635C" w:rsidRDefault="00632208" w:rsidP="00A432B0">
            <w:pPr>
              <w:spacing w:after="0"/>
              <w:rPr>
                <w:color w:val="000000" w:themeColor="text1"/>
                <w:sz w:val="20"/>
                <w:szCs w:val="20"/>
              </w:rPr>
            </w:pPr>
            <w:r w:rsidRPr="0098635C">
              <w:rPr>
                <w:color w:val="000000" w:themeColor="text1"/>
                <w:sz w:val="20"/>
                <w:szCs w:val="20"/>
              </w:rPr>
              <w:t>330 d</w:t>
            </w:r>
          </w:p>
        </w:tc>
        <w:tc>
          <w:tcPr>
            <w:tcW w:w="1276" w:type="dxa"/>
            <w:tcBorders>
              <w:top w:val="nil"/>
              <w:left w:val="nil"/>
              <w:bottom w:val="single" w:sz="8" w:space="0" w:color="auto"/>
              <w:right w:val="single" w:sz="8" w:space="0" w:color="auto"/>
            </w:tcBorders>
          </w:tcPr>
          <w:p w14:paraId="4843ACB4"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67454018"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33</w:t>
            </w:r>
          </w:p>
        </w:tc>
        <w:tc>
          <w:tcPr>
            <w:tcW w:w="709" w:type="dxa"/>
            <w:tcBorders>
              <w:top w:val="nil"/>
              <w:left w:val="nil"/>
              <w:bottom w:val="single" w:sz="8" w:space="0" w:color="auto"/>
              <w:right w:val="single" w:sz="8" w:space="0" w:color="auto"/>
            </w:tcBorders>
          </w:tcPr>
          <w:p w14:paraId="66B8B63A"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5733C348"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3.5</w:t>
            </w:r>
          </w:p>
        </w:tc>
        <w:tc>
          <w:tcPr>
            <w:tcW w:w="3118" w:type="dxa"/>
            <w:tcBorders>
              <w:top w:val="nil"/>
              <w:left w:val="nil"/>
              <w:bottom w:val="single" w:sz="8" w:space="0" w:color="auto"/>
              <w:right w:val="single" w:sz="8" w:space="0" w:color="auto"/>
            </w:tcBorders>
          </w:tcPr>
          <w:p w14:paraId="77D796CA"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21°C; pH: 8.0; H: 198 mg/L CaCO3; DOC: 0.55 mg/L </w:t>
            </w:r>
            <w:r w:rsidRPr="0098635C">
              <w:rPr>
                <w:color w:val="000000" w:themeColor="text1"/>
                <w:sz w:val="20"/>
                <w:szCs w:val="20"/>
                <w:vertAlign w:val="superscript"/>
              </w:rPr>
              <w:t>(14)</w:t>
            </w:r>
          </w:p>
        </w:tc>
        <w:tc>
          <w:tcPr>
            <w:tcW w:w="1003" w:type="dxa"/>
            <w:tcBorders>
              <w:top w:val="nil"/>
              <w:left w:val="nil"/>
              <w:bottom w:val="single" w:sz="8" w:space="0" w:color="auto"/>
              <w:right w:val="single" w:sz="8" w:space="0" w:color="auto"/>
            </w:tcBorders>
          </w:tcPr>
          <w:p w14:paraId="24C0CA55" w14:textId="77777777" w:rsidR="00632208" w:rsidRPr="0098635C" w:rsidRDefault="00632208" w:rsidP="00A432B0">
            <w:pPr>
              <w:spacing w:after="0"/>
              <w:rPr>
                <w:color w:val="000000" w:themeColor="text1"/>
                <w:sz w:val="20"/>
                <w:szCs w:val="20"/>
              </w:rPr>
            </w:pPr>
            <w:r w:rsidRPr="0098635C">
              <w:rPr>
                <w:color w:val="000000" w:themeColor="text1"/>
                <w:sz w:val="20"/>
                <w:szCs w:val="20"/>
              </w:rPr>
              <w:t>Spring+  deionised tap</w:t>
            </w:r>
          </w:p>
        </w:tc>
        <w:tc>
          <w:tcPr>
            <w:tcW w:w="4383" w:type="dxa"/>
            <w:gridSpan w:val="2"/>
            <w:tcBorders>
              <w:top w:val="nil"/>
              <w:left w:val="nil"/>
              <w:bottom w:val="single" w:sz="8" w:space="0" w:color="auto"/>
              <w:right w:val="double" w:sz="6" w:space="0" w:color="auto"/>
            </w:tcBorders>
          </w:tcPr>
          <w:p w14:paraId="131ED79A"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Mount, 1968 </w:t>
            </w:r>
          </w:p>
        </w:tc>
      </w:tr>
      <w:tr w:rsidR="00632208" w:rsidRPr="0098635C" w14:paraId="6C11FF66" w14:textId="77777777" w:rsidTr="00982513">
        <w:trPr>
          <w:trHeight w:val="64"/>
        </w:trPr>
        <w:tc>
          <w:tcPr>
            <w:tcW w:w="1647" w:type="dxa"/>
            <w:gridSpan w:val="2"/>
            <w:tcBorders>
              <w:top w:val="nil"/>
              <w:left w:val="double" w:sz="6" w:space="0" w:color="auto"/>
              <w:bottom w:val="single" w:sz="8" w:space="0" w:color="auto"/>
              <w:right w:val="single" w:sz="8" w:space="0" w:color="auto"/>
            </w:tcBorders>
          </w:tcPr>
          <w:p w14:paraId="7A7AD9AB" w14:textId="77777777" w:rsidR="00632208" w:rsidRPr="0098635C" w:rsidRDefault="00632208" w:rsidP="00A432B0">
            <w:pPr>
              <w:spacing w:after="0"/>
              <w:rPr>
                <w:color w:val="000000" w:themeColor="text1"/>
                <w:sz w:val="20"/>
                <w:szCs w:val="20"/>
              </w:rPr>
            </w:pPr>
            <w:r w:rsidRPr="0098635C">
              <w:rPr>
                <w:color w:val="000000" w:themeColor="text1"/>
                <w:sz w:val="20"/>
                <w:szCs w:val="20"/>
              </w:rPr>
              <w:t>Pimephales promelas</w:t>
            </w:r>
          </w:p>
        </w:tc>
        <w:tc>
          <w:tcPr>
            <w:tcW w:w="1701" w:type="dxa"/>
            <w:tcBorders>
              <w:top w:val="nil"/>
              <w:left w:val="nil"/>
              <w:bottom w:val="single" w:sz="8" w:space="0" w:color="auto"/>
              <w:right w:val="single" w:sz="8" w:space="0" w:color="auto"/>
            </w:tcBorders>
          </w:tcPr>
          <w:p w14:paraId="55FD5D92" w14:textId="77777777" w:rsidR="00632208" w:rsidRPr="0098635C" w:rsidRDefault="00632208" w:rsidP="00A432B0">
            <w:pPr>
              <w:spacing w:after="0"/>
              <w:rPr>
                <w:color w:val="000000" w:themeColor="text1"/>
                <w:sz w:val="20"/>
                <w:szCs w:val="20"/>
              </w:rPr>
            </w:pPr>
            <w:r w:rsidRPr="0098635C">
              <w:rPr>
                <w:color w:val="000000" w:themeColor="text1"/>
                <w:sz w:val="20"/>
                <w:szCs w:val="20"/>
              </w:rPr>
              <w:t>fry (10 - 20 mm)</w:t>
            </w:r>
          </w:p>
        </w:tc>
        <w:tc>
          <w:tcPr>
            <w:tcW w:w="709" w:type="dxa"/>
            <w:tcBorders>
              <w:top w:val="nil"/>
              <w:left w:val="nil"/>
              <w:bottom w:val="single" w:sz="8" w:space="0" w:color="auto"/>
              <w:right w:val="single" w:sz="8" w:space="0" w:color="auto"/>
            </w:tcBorders>
          </w:tcPr>
          <w:p w14:paraId="73FB8BF8" w14:textId="77777777" w:rsidR="00632208" w:rsidRPr="0098635C" w:rsidRDefault="00632208" w:rsidP="00A432B0">
            <w:pPr>
              <w:spacing w:after="0"/>
              <w:rPr>
                <w:color w:val="000000" w:themeColor="text1"/>
                <w:sz w:val="20"/>
                <w:szCs w:val="20"/>
              </w:rPr>
            </w:pPr>
            <w:r w:rsidRPr="0098635C">
              <w:rPr>
                <w:color w:val="000000" w:themeColor="text1"/>
                <w:sz w:val="20"/>
                <w:szCs w:val="20"/>
              </w:rPr>
              <w:t>327 d</w:t>
            </w:r>
          </w:p>
        </w:tc>
        <w:tc>
          <w:tcPr>
            <w:tcW w:w="1276" w:type="dxa"/>
            <w:tcBorders>
              <w:top w:val="nil"/>
              <w:left w:val="nil"/>
              <w:bottom w:val="single" w:sz="8" w:space="0" w:color="auto"/>
              <w:right w:val="single" w:sz="8" w:space="0" w:color="auto"/>
            </w:tcBorders>
          </w:tcPr>
          <w:p w14:paraId="14359272"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663FE1E0"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10.6</w:t>
            </w:r>
          </w:p>
        </w:tc>
        <w:tc>
          <w:tcPr>
            <w:tcW w:w="709" w:type="dxa"/>
            <w:tcBorders>
              <w:top w:val="nil"/>
              <w:left w:val="nil"/>
              <w:bottom w:val="single" w:sz="8" w:space="0" w:color="auto"/>
              <w:right w:val="single" w:sz="8" w:space="0" w:color="auto"/>
            </w:tcBorders>
          </w:tcPr>
          <w:p w14:paraId="3BC92CA3"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2FC23006"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4.4</w:t>
            </w:r>
          </w:p>
        </w:tc>
        <w:tc>
          <w:tcPr>
            <w:tcW w:w="3118" w:type="dxa"/>
            <w:tcBorders>
              <w:top w:val="nil"/>
              <w:left w:val="nil"/>
              <w:bottom w:val="single" w:sz="8" w:space="0" w:color="auto"/>
              <w:right w:val="single" w:sz="8" w:space="0" w:color="auto"/>
            </w:tcBorders>
          </w:tcPr>
          <w:p w14:paraId="47B9229B"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22°C; pH: 6.9; H: 31.4 mg/L CaCO3; DOC: 0.55 mg/L </w:t>
            </w:r>
            <w:r w:rsidRPr="0098635C">
              <w:rPr>
                <w:color w:val="000000" w:themeColor="text1"/>
                <w:sz w:val="20"/>
                <w:szCs w:val="20"/>
                <w:vertAlign w:val="superscript"/>
              </w:rPr>
              <w:t>(14)</w:t>
            </w:r>
          </w:p>
        </w:tc>
        <w:tc>
          <w:tcPr>
            <w:tcW w:w="1003" w:type="dxa"/>
            <w:tcBorders>
              <w:top w:val="nil"/>
              <w:left w:val="nil"/>
              <w:bottom w:val="single" w:sz="8" w:space="0" w:color="auto"/>
              <w:right w:val="single" w:sz="8" w:space="0" w:color="auto"/>
            </w:tcBorders>
          </w:tcPr>
          <w:p w14:paraId="247178A4" w14:textId="77777777" w:rsidR="00632208" w:rsidRPr="0098635C" w:rsidRDefault="00632208" w:rsidP="00A432B0">
            <w:pPr>
              <w:spacing w:after="0"/>
              <w:rPr>
                <w:color w:val="000000" w:themeColor="text1"/>
                <w:sz w:val="20"/>
                <w:szCs w:val="20"/>
              </w:rPr>
            </w:pPr>
            <w:r w:rsidRPr="0098635C">
              <w:rPr>
                <w:color w:val="000000" w:themeColor="text1"/>
                <w:sz w:val="20"/>
                <w:szCs w:val="20"/>
              </w:rPr>
              <w:t>Spring+  deionised tap</w:t>
            </w:r>
          </w:p>
        </w:tc>
        <w:tc>
          <w:tcPr>
            <w:tcW w:w="4383" w:type="dxa"/>
            <w:gridSpan w:val="2"/>
            <w:tcBorders>
              <w:top w:val="nil"/>
              <w:left w:val="nil"/>
              <w:bottom w:val="single" w:sz="8" w:space="0" w:color="auto"/>
              <w:right w:val="double" w:sz="6" w:space="0" w:color="auto"/>
            </w:tcBorders>
          </w:tcPr>
          <w:p w14:paraId="302DE75F"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Mount &amp; Stephan, 1969 </w:t>
            </w:r>
          </w:p>
        </w:tc>
      </w:tr>
      <w:tr w:rsidR="00632208" w:rsidRPr="0098635C" w14:paraId="04CE8D64" w14:textId="77777777" w:rsidTr="00982513">
        <w:trPr>
          <w:trHeight w:val="64"/>
        </w:trPr>
        <w:tc>
          <w:tcPr>
            <w:tcW w:w="1647" w:type="dxa"/>
            <w:gridSpan w:val="2"/>
            <w:tcBorders>
              <w:top w:val="nil"/>
              <w:left w:val="double" w:sz="6" w:space="0" w:color="auto"/>
              <w:bottom w:val="single" w:sz="8" w:space="0" w:color="auto"/>
              <w:right w:val="single" w:sz="8" w:space="0" w:color="auto"/>
            </w:tcBorders>
          </w:tcPr>
          <w:p w14:paraId="097FEEBC" w14:textId="77777777" w:rsidR="00632208" w:rsidRPr="0098635C" w:rsidRDefault="00632208" w:rsidP="00A432B0">
            <w:pPr>
              <w:spacing w:after="0"/>
              <w:rPr>
                <w:color w:val="000000" w:themeColor="text1"/>
                <w:sz w:val="20"/>
                <w:szCs w:val="20"/>
              </w:rPr>
            </w:pPr>
            <w:r w:rsidRPr="0098635C">
              <w:rPr>
                <w:color w:val="000000" w:themeColor="text1"/>
                <w:sz w:val="20"/>
                <w:szCs w:val="20"/>
              </w:rPr>
              <w:t>Pimephales promelas</w:t>
            </w:r>
          </w:p>
        </w:tc>
        <w:tc>
          <w:tcPr>
            <w:tcW w:w="1701" w:type="dxa"/>
            <w:tcBorders>
              <w:top w:val="nil"/>
              <w:left w:val="nil"/>
              <w:bottom w:val="single" w:sz="8" w:space="0" w:color="auto"/>
              <w:right w:val="single" w:sz="8" w:space="0" w:color="auto"/>
            </w:tcBorders>
          </w:tcPr>
          <w:p w14:paraId="0BF64D62" w14:textId="77777777" w:rsidR="00632208" w:rsidRPr="0098635C" w:rsidRDefault="00632208" w:rsidP="00A432B0">
            <w:pPr>
              <w:spacing w:after="0"/>
              <w:rPr>
                <w:color w:val="000000" w:themeColor="text1"/>
                <w:sz w:val="20"/>
                <w:szCs w:val="20"/>
              </w:rPr>
            </w:pPr>
            <w:r w:rsidRPr="0098635C">
              <w:rPr>
                <w:color w:val="000000" w:themeColor="text1"/>
                <w:sz w:val="20"/>
                <w:szCs w:val="20"/>
              </w:rPr>
              <w:t>larvae (4 weeks old)</w:t>
            </w:r>
          </w:p>
        </w:tc>
        <w:tc>
          <w:tcPr>
            <w:tcW w:w="709" w:type="dxa"/>
            <w:tcBorders>
              <w:top w:val="nil"/>
              <w:left w:val="nil"/>
              <w:bottom w:val="single" w:sz="8" w:space="0" w:color="auto"/>
              <w:right w:val="single" w:sz="8" w:space="0" w:color="auto"/>
            </w:tcBorders>
          </w:tcPr>
          <w:p w14:paraId="03036D17" w14:textId="77777777" w:rsidR="00632208" w:rsidRPr="0098635C" w:rsidRDefault="00632208" w:rsidP="00A432B0">
            <w:pPr>
              <w:spacing w:after="0"/>
              <w:rPr>
                <w:color w:val="000000" w:themeColor="text1"/>
                <w:sz w:val="20"/>
                <w:szCs w:val="20"/>
              </w:rPr>
            </w:pPr>
            <w:r w:rsidRPr="0098635C">
              <w:rPr>
                <w:color w:val="000000" w:themeColor="text1"/>
                <w:sz w:val="20"/>
                <w:szCs w:val="20"/>
              </w:rPr>
              <w:t>187 d</w:t>
            </w:r>
          </w:p>
        </w:tc>
        <w:tc>
          <w:tcPr>
            <w:tcW w:w="1276" w:type="dxa"/>
            <w:tcBorders>
              <w:top w:val="nil"/>
              <w:left w:val="nil"/>
              <w:bottom w:val="single" w:sz="8" w:space="0" w:color="auto"/>
              <w:right w:val="single" w:sz="8" w:space="0" w:color="auto"/>
            </w:tcBorders>
          </w:tcPr>
          <w:p w14:paraId="357CBF95"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0DCE81C3"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59.5</w:t>
            </w:r>
          </w:p>
        </w:tc>
        <w:tc>
          <w:tcPr>
            <w:tcW w:w="709" w:type="dxa"/>
            <w:tcBorders>
              <w:top w:val="nil"/>
              <w:left w:val="nil"/>
              <w:bottom w:val="single" w:sz="8" w:space="0" w:color="auto"/>
              <w:right w:val="single" w:sz="8" w:space="0" w:color="auto"/>
            </w:tcBorders>
          </w:tcPr>
          <w:p w14:paraId="4654DD06"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40AFF816"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4.2</w:t>
            </w:r>
          </w:p>
        </w:tc>
        <w:tc>
          <w:tcPr>
            <w:tcW w:w="3118" w:type="dxa"/>
            <w:tcBorders>
              <w:top w:val="nil"/>
              <w:left w:val="nil"/>
              <w:bottom w:val="single" w:sz="8" w:space="0" w:color="auto"/>
              <w:right w:val="single" w:sz="8" w:space="0" w:color="auto"/>
            </w:tcBorders>
          </w:tcPr>
          <w:p w14:paraId="39CD33B7"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23°C; pH: 7.85; H: 202 mg/L CaCO3; DOC: 0.55 mg/L </w:t>
            </w:r>
            <w:r w:rsidRPr="0098635C">
              <w:rPr>
                <w:color w:val="000000" w:themeColor="text1"/>
                <w:sz w:val="20"/>
                <w:szCs w:val="20"/>
                <w:vertAlign w:val="superscript"/>
              </w:rPr>
              <w:t>(14)</w:t>
            </w:r>
          </w:p>
        </w:tc>
        <w:tc>
          <w:tcPr>
            <w:tcW w:w="1003" w:type="dxa"/>
            <w:tcBorders>
              <w:top w:val="nil"/>
              <w:left w:val="nil"/>
              <w:bottom w:val="single" w:sz="8" w:space="0" w:color="auto"/>
              <w:right w:val="single" w:sz="8" w:space="0" w:color="auto"/>
            </w:tcBorders>
          </w:tcPr>
          <w:p w14:paraId="1045D783" w14:textId="77777777" w:rsidR="00632208" w:rsidRPr="0098635C" w:rsidRDefault="00632208" w:rsidP="00A432B0">
            <w:pPr>
              <w:spacing w:after="0"/>
              <w:rPr>
                <w:color w:val="000000" w:themeColor="text1"/>
                <w:sz w:val="20"/>
                <w:szCs w:val="20"/>
              </w:rPr>
            </w:pPr>
            <w:r w:rsidRPr="0098635C">
              <w:rPr>
                <w:color w:val="000000" w:themeColor="text1"/>
                <w:sz w:val="20"/>
                <w:szCs w:val="20"/>
              </w:rPr>
              <w:t>Spring+ demineralised tap</w:t>
            </w:r>
          </w:p>
        </w:tc>
        <w:tc>
          <w:tcPr>
            <w:tcW w:w="4383" w:type="dxa"/>
            <w:gridSpan w:val="2"/>
            <w:tcBorders>
              <w:top w:val="nil"/>
              <w:left w:val="nil"/>
              <w:bottom w:val="single" w:sz="8" w:space="0" w:color="auto"/>
              <w:right w:val="double" w:sz="6" w:space="0" w:color="auto"/>
            </w:tcBorders>
          </w:tcPr>
          <w:p w14:paraId="626982DF"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Pickering et al., 1977 </w:t>
            </w:r>
          </w:p>
        </w:tc>
      </w:tr>
      <w:tr w:rsidR="00632208" w:rsidRPr="0098635C" w14:paraId="27D851D3" w14:textId="77777777" w:rsidTr="00982513">
        <w:trPr>
          <w:trHeight w:val="64"/>
        </w:trPr>
        <w:tc>
          <w:tcPr>
            <w:tcW w:w="1647" w:type="dxa"/>
            <w:gridSpan w:val="2"/>
            <w:tcBorders>
              <w:top w:val="nil"/>
              <w:left w:val="double" w:sz="6" w:space="0" w:color="auto"/>
              <w:bottom w:val="single" w:sz="8" w:space="0" w:color="auto"/>
              <w:right w:val="single" w:sz="8" w:space="0" w:color="auto"/>
            </w:tcBorders>
          </w:tcPr>
          <w:p w14:paraId="0312E9C8" w14:textId="77777777" w:rsidR="00632208" w:rsidRPr="0098635C" w:rsidRDefault="00632208" w:rsidP="00A432B0">
            <w:pPr>
              <w:spacing w:after="0"/>
              <w:rPr>
                <w:color w:val="000000" w:themeColor="text1"/>
                <w:sz w:val="20"/>
                <w:szCs w:val="20"/>
              </w:rPr>
            </w:pPr>
            <w:r w:rsidRPr="0098635C">
              <w:rPr>
                <w:color w:val="000000" w:themeColor="text1"/>
                <w:sz w:val="20"/>
                <w:szCs w:val="20"/>
              </w:rPr>
              <w:t>Pimephales promelas</w:t>
            </w:r>
          </w:p>
        </w:tc>
        <w:tc>
          <w:tcPr>
            <w:tcW w:w="1701" w:type="dxa"/>
            <w:tcBorders>
              <w:top w:val="nil"/>
              <w:left w:val="nil"/>
              <w:bottom w:val="single" w:sz="8" w:space="0" w:color="auto"/>
              <w:right w:val="single" w:sz="8" w:space="0" w:color="auto"/>
            </w:tcBorders>
          </w:tcPr>
          <w:p w14:paraId="079F56D5" w14:textId="77777777" w:rsidR="00632208" w:rsidRPr="0098635C" w:rsidRDefault="00632208" w:rsidP="00A432B0">
            <w:pPr>
              <w:spacing w:after="0"/>
              <w:rPr>
                <w:color w:val="000000" w:themeColor="text1"/>
                <w:sz w:val="20"/>
                <w:szCs w:val="20"/>
              </w:rPr>
            </w:pPr>
            <w:r w:rsidRPr="0098635C">
              <w:rPr>
                <w:color w:val="000000" w:themeColor="text1"/>
                <w:sz w:val="20"/>
                <w:szCs w:val="20"/>
              </w:rPr>
              <w:t>embryo-larval</w:t>
            </w:r>
          </w:p>
        </w:tc>
        <w:tc>
          <w:tcPr>
            <w:tcW w:w="709" w:type="dxa"/>
            <w:tcBorders>
              <w:top w:val="nil"/>
              <w:left w:val="nil"/>
              <w:bottom w:val="single" w:sz="8" w:space="0" w:color="auto"/>
              <w:right w:val="single" w:sz="8" w:space="0" w:color="auto"/>
            </w:tcBorders>
          </w:tcPr>
          <w:p w14:paraId="06D2CD33" w14:textId="77777777" w:rsidR="00632208" w:rsidRPr="0098635C" w:rsidRDefault="00632208" w:rsidP="00A432B0">
            <w:pPr>
              <w:spacing w:after="0"/>
              <w:rPr>
                <w:color w:val="000000" w:themeColor="text1"/>
                <w:sz w:val="20"/>
                <w:szCs w:val="20"/>
              </w:rPr>
            </w:pPr>
            <w:r w:rsidRPr="0098635C">
              <w:rPr>
                <w:color w:val="000000" w:themeColor="text1"/>
                <w:sz w:val="20"/>
                <w:szCs w:val="20"/>
              </w:rPr>
              <w:t>32 d</w:t>
            </w:r>
          </w:p>
        </w:tc>
        <w:tc>
          <w:tcPr>
            <w:tcW w:w="1276" w:type="dxa"/>
            <w:tcBorders>
              <w:top w:val="nil"/>
              <w:left w:val="nil"/>
              <w:bottom w:val="single" w:sz="8" w:space="0" w:color="auto"/>
              <w:right w:val="single" w:sz="8" w:space="0" w:color="auto"/>
            </w:tcBorders>
          </w:tcPr>
          <w:p w14:paraId="6016E140"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68CC4CFC"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4.8</w:t>
            </w:r>
          </w:p>
        </w:tc>
        <w:tc>
          <w:tcPr>
            <w:tcW w:w="709" w:type="dxa"/>
            <w:tcBorders>
              <w:top w:val="nil"/>
              <w:left w:val="nil"/>
              <w:bottom w:val="single" w:sz="8" w:space="0" w:color="auto"/>
              <w:right w:val="single" w:sz="8" w:space="0" w:color="auto"/>
            </w:tcBorders>
          </w:tcPr>
          <w:p w14:paraId="00B258B6"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5501E694" w14:textId="77777777" w:rsidR="00632208" w:rsidRPr="0098635C" w:rsidRDefault="00632208" w:rsidP="00A432B0">
            <w:pPr>
              <w:spacing w:after="0"/>
              <w:rPr>
                <w:color w:val="000000" w:themeColor="text1"/>
                <w:sz w:val="20"/>
                <w:szCs w:val="20"/>
              </w:rPr>
            </w:pPr>
            <w:r w:rsidRPr="0098635C">
              <w:rPr>
                <w:color w:val="000000" w:themeColor="text1"/>
                <w:sz w:val="20"/>
                <w:szCs w:val="20"/>
              </w:rPr>
              <w:t>1.25*</w:t>
            </w:r>
          </w:p>
        </w:tc>
        <w:tc>
          <w:tcPr>
            <w:tcW w:w="3118" w:type="dxa"/>
            <w:tcBorders>
              <w:top w:val="nil"/>
              <w:left w:val="nil"/>
              <w:bottom w:val="single" w:sz="8" w:space="0" w:color="auto"/>
              <w:right w:val="single" w:sz="8" w:space="0" w:color="auto"/>
            </w:tcBorders>
          </w:tcPr>
          <w:p w14:paraId="44F798E7"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25°C; pH: 7.05; H: 43.9 mg/L CaCO3; DOC: 1 mg/L </w:t>
            </w:r>
            <w:r w:rsidRPr="0098635C">
              <w:rPr>
                <w:color w:val="000000" w:themeColor="text1"/>
                <w:sz w:val="20"/>
                <w:szCs w:val="20"/>
                <w:vertAlign w:val="superscript"/>
              </w:rPr>
              <w:t>(13)</w:t>
            </w:r>
          </w:p>
        </w:tc>
        <w:tc>
          <w:tcPr>
            <w:tcW w:w="1003" w:type="dxa"/>
            <w:tcBorders>
              <w:top w:val="nil"/>
              <w:left w:val="nil"/>
              <w:bottom w:val="single" w:sz="8" w:space="0" w:color="auto"/>
              <w:right w:val="single" w:sz="8" w:space="0" w:color="auto"/>
            </w:tcBorders>
          </w:tcPr>
          <w:p w14:paraId="69B1B2C0" w14:textId="77777777" w:rsidR="00632208" w:rsidRPr="0098635C" w:rsidRDefault="00632208" w:rsidP="00A432B0">
            <w:pPr>
              <w:spacing w:after="0"/>
              <w:rPr>
                <w:color w:val="000000" w:themeColor="text1"/>
                <w:sz w:val="20"/>
                <w:szCs w:val="20"/>
              </w:rPr>
            </w:pPr>
            <w:r w:rsidRPr="0098635C">
              <w:rPr>
                <w:color w:val="000000" w:themeColor="text1"/>
                <w:sz w:val="20"/>
                <w:szCs w:val="20"/>
              </w:rPr>
              <w:t>Lake (Lake Superior)</w:t>
            </w:r>
          </w:p>
        </w:tc>
        <w:tc>
          <w:tcPr>
            <w:tcW w:w="4383" w:type="dxa"/>
            <w:gridSpan w:val="2"/>
            <w:tcBorders>
              <w:top w:val="nil"/>
              <w:left w:val="nil"/>
              <w:bottom w:val="single" w:sz="8" w:space="0" w:color="auto"/>
              <w:right w:val="double" w:sz="6" w:space="0" w:color="auto"/>
            </w:tcBorders>
          </w:tcPr>
          <w:p w14:paraId="612371F9" w14:textId="77777777" w:rsidR="00632208" w:rsidRPr="0098635C" w:rsidRDefault="00632208" w:rsidP="00A432B0">
            <w:pPr>
              <w:spacing w:after="0"/>
              <w:rPr>
                <w:color w:val="000000" w:themeColor="text1"/>
                <w:sz w:val="20"/>
                <w:szCs w:val="20"/>
              </w:rPr>
            </w:pPr>
            <w:r w:rsidRPr="0098635C">
              <w:rPr>
                <w:color w:val="000000" w:themeColor="text1"/>
                <w:sz w:val="20"/>
                <w:szCs w:val="20"/>
              </w:rPr>
              <w:t>Spehar &amp; Fiandt, 1985</w:t>
            </w:r>
          </w:p>
        </w:tc>
      </w:tr>
      <w:tr w:rsidR="00632208" w:rsidRPr="0098635C" w14:paraId="4B5733DC" w14:textId="77777777" w:rsidTr="00982513">
        <w:trPr>
          <w:trHeight w:val="64"/>
        </w:trPr>
        <w:tc>
          <w:tcPr>
            <w:tcW w:w="1647" w:type="dxa"/>
            <w:gridSpan w:val="2"/>
            <w:tcBorders>
              <w:top w:val="nil"/>
              <w:left w:val="double" w:sz="6" w:space="0" w:color="auto"/>
              <w:bottom w:val="single" w:sz="8" w:space="0" w:color="auto"/>
              <w:right w:val="single" w:sz="8" w:space="0" w:color="auto"/>
            </w:tcBorders>
          </w:tcPr>
          <w:p w14:paraId="30C7C280" w14:textId="77777777" w:rsidR="00632208" w:rsidRPr="0098635C" w:rsidRDefault="00632208" w:rsidP="00A432B0">
            <w:pPr>
              <w:spacing w:after="0"/>
              <w:rPr>
                <w:color w:val="000000" w:themeColor="text1"/>
                <w:sz w:val="20"/>
                <w:szCs w:val="20"/>
              </w:rPr>
            </w:pPr>
            <w:r w:rsidRPr="0098635C">
              <w:rPr>
                <w:color w:val="000000" w:themeColor="text1"/>
                <w:sz w:val="20"/>
                <w:szCs w:val="20"/>
              </w:rPr>
              <w:t>Pimephales promelas</w:t>
            </w:r>
          </w:p>
        </w:tc>
        <w:tc>
          <w:tcPr>
            <w:tcW w:w="1701" w:type="dxa"/>
            <w:tcBorders>
              <w:top w:val="nil"/>
              <w:left w:val="nil"/>
              <w:bottom w:val="single" w:sz="8" w:space="0" w:color="auto"/>
              <w:right w:val="single" w:sz="8" w:space="0" w:color="auto"/>
            </w:tcBorders>
          </w:tcPr>
          <w:p w14:paraId="7A7D80D6" w14:textId="77777777" w:rsidR="00632208" w:rsidRPr="0098635C" w:rsidRDefault="00632208" w:rsidP="00A432B0">
            <w:pPr>
              <w:spacing w:after="0"/>
              <w:rPr>
                <w:color w:val="000000" w:themeColor="text1"/>
                <w:sz w:val="20"/>
                <w:szCs w:val="20"/>
              </w:rPr>
            </w:pPr>
            <w:r w:rsidRPr="0098635C">
              <w:rPr>
                <w:color w:val="000000" w:themeColor="text1"/>
                <w:sz w:val="20"/>
                <w:szCs w:val="20"/>
              </w:rPr>
              <w:t>fry (10 - 15 mm)</w:t>
            </w:r>
          </w:p>
        </w:tc>
        <w:tc>
          <w:tcPr>
            <w:tcW w:w="709" w:type="dxa"/>
            <w:tcBorders>
              <w:top w:val="nil"/>
              <w:left w:val="nil"/>
              <w:bottom w:val="single" w:sz="8" w:space="0" w:color="auto"/>
              <w:right w:val="single" w:sz="8" w:space="0" w:color="auto"/>
            </w:tcBorders>
          </w:tcPr>
          <w:p w14:paraId="3BC497DD" w14:textId="77777777" w:rsidR="00632208" w:rsidRPr="0098635C" w:rsidRDefault="00632208" w:rsidP="00A432B0">
            <w:pPr>
              <w:spacing w:after="0"/>
              <w:rPr>
                <w:color w:val="000000" w:themeColor="text1"/>
                <w:sz w:val="20"/>
                <w:szCs w:val="20"/>
              </w:rPr>
            </w:pPr>
            <w:r w:rsidRPr="0098635C">
              <w:rPr>
                <w:color w:val="000000" w:themeColor="text1"/>
                <w:sz w:val="20"/>
                <w:szCs w:val="20"/>
              </w:rPr>
              <w:t>330 d</w:t>
            </w:r>
          </w:p>
        </w:tc>
        <w:tc>
          <w:tcPr>
            <w:tcW w:w="1276" w:type="dxa"/>
            <w:tcBorders>
              <w:top w:val="nil"/>
              <w:left w:val="nil"/>
              <w:bottom w:val="single" w:sz="8" w:space="0" w:color="auto"/>
              <w:right w:val="single" w:sz="8" w:space="0" w:color="auto"/>
            </w:tcBorders>
          </w:tcPr>
          <w:p w14:paraId="0002D886" w14:textId="77777777" w:rsidR="00632208" w:rsidRPr="0098635C" w:rsidRDefault="00632208" w:rsidP="00A432B0">
            <w:pPr>
              <w:spacing w:after="0"/>
              <w:rPr>
                <w:color w:val="000000" w:themeColor="text1"/>
                <w:sz w:val="20"/>
                <w:szCs w:val="20"/>
              </w:rPr>
            </w:pPr>
            <w:r w:rsidRPr="0098635C">
              <w:rPr>
                <w:color w:val="000000" w:themeColor="text1"/>
                <w:sz w:val="20"/>
                <w:szCs w:val="20"/>
              </w:rPr>
              <w:t>mortality</w:t>
            </w:r>
          </w:p>
        </w:tc>
        <w:tc>
          <w:tcPr>
            <w:tcW w:w="850" w:type="dxa"/>
            <w:tcBorders>
              <w:top w:val="nil"/>
              <w:left w:val="nil"/>
              <w:bottom w:val="single" w:sz="8" w:space="0" w:color="auto"/>
              <w:right w:val="single" w:sz="8" w:space="0" w:color="auto"/>
            </w:tcBorders>
          </w:tcPr>
          <w:p w14:paraId="08393AFD"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33</w:t>
            </w:r>
          </w:p>
        </w:tc>
        <w:tc>
          <w:tcPr>
            <w:tcW w:w="709" w:type="dxa"/>
            <w:tcBorders>
              <w:top w:val="nil"/>
              <w:left w:val="nil"/>
              <w:bottom w:val="single" w:sz="8" w:space="0" w:color="auto"/>
              <w:right w:val="single" w:sz="8" w:space="0" w:color="auto"/>
            </w:tcBorders>
          </w:tcPr>
          <w:p w14:paraId="1698B921"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7C02F7A8"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3.5</w:t>
            </w:r>
          </w:p>
        </w:tc>
        <w:tc>
          <w:tcPr>
            <w:tcW w:w="3118" w:type="dxa"/>
            <w:tcBorders>
              <w:top w:val="nil"/>
              <w:left w:val="nil"/>
              <w:bottom w:val="single" w:sz="8" w:space="0" w:color="auto"/>
              <w:right w:val="single" w:sz="8" w:space="0" w:color="auto"/>
            </w:tcBorders>
          </w:tcPr>
          <w:p w14:paraId="18E3D282"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21°C; pH: 8.0; H: 198 mg/L CaCO3; DOC: 0.55 mg/L </w:t>
            </w:r>
            <w:r w:rsidRPr="0098635C">
              <w:rPr>
                <w:color w:val="000000" w:themeColor="text1"/>
                <w:sz w:val="20"/>
                <w:szCs w:val="20"/>
                <w:vertAlign w:val="superscript"/>
              </w:rPr>
              <w:t>(14)</w:t>
            </w:r>
          </w:p>
        </w:tc>
        <w:tc>
          <w:tcPr>
            <w:tcW w:w="1003" w:type="dxa"/>
            <w:tcBorders>
              <w:top w:val="nil"/>
              <w:left w:val="nil"/>
              <w:bottom w:val="single" w:sz="8" w:space="0" w:color="auto"/>
              <w:right w:val="single" w:sz="8" w:space="0" w:color="auto"/>
            </w:tcBorders>
          </w:tcPr>
          <w:p w14:paraId="770F7D0C" w14:textId="77777777" w:rsidR="00632208" w:rsidRPr="0098635C" w:rsidRDefault="00632208" w:rsidP="00A432B0">
            <w:pPr>
              <w:spacing w:after="0"/>
              <w:rPr>
                <w:color w:val="000000" w:themeColor="text1"/>
                <w:sz w:val="20"/>
                <w:szCs w:val="20"/>
              </w:rPr>
            </w:pPr>
            <w:r w:rsidRPr="0098635C">
              <w:rPr>
                <w:color w:val="000000" w:themeColor="text1"/>
                <w:sz w:val="20"/>
                <w:szCs w:val="20"/>
              </w:rPr>
              <w:t>Spring+  deionised tap</w:t>
            </w:r>
          </w:p>
        </w:tc>
        <w:tc>
          <w:tcPr>
            <w:tcW w:w="4383" w:type="dxa"/>
            <w:gridSpan w:val="2"/>
            <w:tcBorders>
              <w:top w:val="nil"/>
              <w:left w:val="nil"/>
              <w:bottom w:val="single" w:sz="8" w:space="0" w:color="auto"/>
              <w:right w:val="double" w:sz="6" w:space="0" w:color="auto"/>
            </w:tcBorders>
          </w:tcPr>
          <w:p w14:paraId="283D1B90"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Mount, 1968 </w:t>
            </w:r>
          </w:p>
        </w:tc>
      </w:tr>
      <w:tr w:rsidR="00632208" w:rsidRPr="0098635C" w14:paraId="77C13995" w14:textId="77777777" w:rsidTr="00982513">
        <w:trPr>
          <w:trHeight w:val="323"/>
        </w:trPr>
        <w:tc>
          <w:tcPr>
            <w:tcW w:w="1647" w:type="dxa"/>
            <w:gridSpan w:val="2"/>
            <w:tcBorders>
              <w:top w:val="nil"/>
              <w:left w:val="double" w:sz="6" w:space="0" w:color="auto"/>
              <w:bottom w:val="single" w:sz="8" w:space="0" w:color="auto"/>
              <w:right w:val="single" w:sz="8" w:space="0" w:color="auto"/>
            </w:tcBorders>
          </w:tcPr>
          <w:p w14:paraId="6B6D62E0" w14:textId="77777777" w:rsidR="00632208" w:rsidRPr="0098635C" w:rsidRDefault="00632208" w:rsidP="00A432B0">
            <w:pPr>
              <w:spacing w:after="0"/>
              <w:rPr>
                <w:color w:val="000000" w:themeColor="text1"/>
                <w:sz w:val="20"/>
                <w:szCs w:val="20"/>
              </w:rPr>
            </w:pPr>
            <w:r w:rsidRPr="0098635C">
              <w:rPr>
                <w:color w:val="000000" w:themeColor="text1"/>
                <w:sz w:val="20"/>
                <w:szCs w:val="20"/>
              </w:rPr>
              <w:t>Pimephales promelas</w:t>
            </w:r>
          </w:p>
        </w:tc>
        <w:tc>
          <w:tcPr>
            <w:tcW w:w="1701" w:type="dxa"/>
            <w:tcBorders>
              <w:top w:val="nil"/>
              <w:left w:val="nil"/>
              <w:bottom w:val="single" w:sz="8" w:space="0" w:color="auto"/>
              <w:right w:val="single" w:sz="8" w:space="0" w:color="auto"/>
            </w:tcBorders>
          </w:tcPr>
          <w:p w14:paraId="5E77110D" w14:textId="77777777" w:rsidR="00632208" w:rsidRPr="0098635C" w:rsidRDefault="00632208" w:rsidP="00A432B0">
            <w:pPr>
              <w:spacing w:after="0"/>
              <w:rPr>
                <w:color w:val="000000" w:themeColor="text1"/>
                <w:sz w:val="20"/>
                <w:szCs w:val="20"/>
              </w:rPr>
            </w:pPr>
            <w:r w:rsidRPr="0098635C">
              <w:rPr>
                <w:color w:val="000000" w:themeColor="text1"/>
                <w:sz w:val="20"/>
                <w:szCs w:val="20"/>
              </w:rPr>
              <w:t>fry (10 - 20 mm)</w:t>
            </w:r>
          </w:p>
        </w:tc>
        <w:tc>
          <w:tcPr>
            <w:tcW w:w="709" w:type="dxa"/>
            <w:tcBorders>
              <w:top w:val="nil"/>
              <w:left w:val="nil"/>
              <w:bottom w:val="single" w:sz="8" w:space="0" w:color="auto"/>
              <w:right w:val="single" w:sz="8" w:space="0" w:color="auto"/>
            </w:tcBorders>
          </w:tcPr>
          <w:p w14:paraId="18D60C4C" w14:textId="77777777" w:rsidR="00632208" w:rsidRPr="0098635C" w:rsidRDefault="00632208" w:rsidP="00A432B0">
            <w:pPr>
              <w:spacing w:after="0"/>
              <w:rPr>
                <w:color w:val="000000" w:themeColor="text1"/>
                <w:sz w:val="20"/>
                <w:szCs w:val="20"/>
              </w:rPr>
            </w:pPr>
            <w:r w:rsidRPr="0098635C">
              <w:rPr>
                <w:color w:val="000000" w:themeColor="text1"/>
                <w:sz w:val="20"/>
                <w:szCs w:val="20"/>
              </w:rPr>
              <w:t>327 d</w:t>
            </w:r>
          </w:p>
        </w:tc>
        <w:tc>
          <w:tcPr>
            <w:tcW w:w="1276" w:type="dxa"/>
            <w:tcBorders>
              <w:top w:val="nil"/>
              <w:left w:val="nil"/>
              <w:bottom w:val="single" w:sz="8" w:space="0" w:color="auto"/>
              <w:right w:val="single" w:sz="8" w:space="0" w:color="auto"/>
            </w:tcBorders>
          </w:tcPr>
          <w:p w14:paraId="66A27AA7" w14:textId="77777777" w:rsidR="00632208" w:rsidRPr="0098635C" w:rsidRDefault="00632208" w:rsidP="00A432B0">
            <w:pPr>
              <w:spacing w:after="0"/>
              <w:rPr>
                <w:color w:val="000000" w:themeColor="text1"/>
                <w:sz w:val="20"/>
                <w:szCs w:val="20"/>
              </w:rPr>
            </w:pPr>
            <w:r w:rsidRPr="0098635C">
              <w:rPr>
                <w:color w:val="000000" w:themeColor="text1"/>
                <w:sz w:val="20"/>
                <w:szCs w:val="20"/>
              </w:rPr>
              <w:t>mortality</w:t>
            </w:r>
          </w:p>
        </w:tc>
        <w:tc>
          <w:tcPr>
            <w:tcW w:w="850" w:type="dxa"/>
            <w:tcBorders>
              <w:top w:val="nil"/>
              <w:left w:val="nil"/>
              <w:bottom w:val="single" w:sz="8" w:space="0" w:color="auto"/>
              <w:right w:val="single" w:sz="8" w:space="0" w:color="auto"/>
            </w:tcBorders>
          </w:tcPr>
          <w:p w14:paraId="0248379B"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10.6</w:t>
            </w:r>
          </w:p>
        </w:tc>
        <w:tc>
          <w:tcPr>
            <w:tcW w:w="709" w:type="dxa"/>
            <w:tcBorders>
              <w:top w:val="nil"/>
              <w:left w:val="nil"/>
              <w:bottom w:val="single" w:sz="8" w:space="0" w:color="auto"/>
              <w:right w:val="single" w:sz="8" w:space="0" w:color="auto"/>
            </w:tcBorders>
          </w:tcPr>
          <w:p w14:paraId="2789EE1B"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71804F82"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4.4</w:t>
            </w:r>
          </w:p>
        </w:tc>
        <w:tc>
          <w:tcPr>
            <w:tcW w:w="3118" w:type="dxa"/>
            <w:tcBorders>
              <w:top w:val="nil"/>
              <w:left w:val="nil"/>
              <w:bottom w:val="single" w:sz="8" w:space="0" w:color="auto"/>
              <w:right w:val="single" w:sz="8" w:space="0" w:color="auto"/>
            </w:tcBorders>
          </w:tcPr>
          <w:p w14:paraId="62772CEE"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22°C; pH: 6.9; H: 31.4 mg/L CaCO3; DOC: 0.55 mg/L </w:t>
            </w:r>
            <w:r w:rsidRPr="0098635C">
              <w:rPr>
                <w:color w:val="000000" w:themeColor="text1"/>
                <w:sz w:val="20"/>
                <w:szCs w:val="20"/>
                <w:vertAlign w:val="superscript"/>
              </w:rPr>
              <w:t>(14)</w:t>
            </w:r>
          </w:p>
        </w:tc>
        <w:tc>
          <w:tcPr>
            <w:tcW w:w="1003" w:type="dxa"/>
            <w:tcBorders>
              <w:top w:val="nil"/>
              <w:left w:val="nil"/>
              <w:bottom w:val="single" w:sz="8" w:space="0" w:color="auto"/>
              <w:right w:val="single" w:sz="8" w:space="0" w:color="auto"/>
            </w:tcBorders>
          </w:tcPr>
          <w:p w14:paraId="1103864C" w14:textId="77777777" w:rsidR="00632208" w:rsidRPr="0098635C" w:rsidRDefault="00632208" w:rsidP="00A432B0">
            <w:pPr>
              <w:spacing w:after="0"/>
              <w:rPr>
                <w:color w:val="000000" w:themeColor="text1"/>
                <w:sz w:val="20"/>
                <w:szCs w:val="20"/>
              </w:rPr>
            </w:pPr>
            <w:r w:rsidRPr="0098635C">
              <w:rPr>
                <w:color w:val="000000" w:themeColor="text1"/>
                <w:sz w:val="20"/>
                <w:szCs w:val="20"/>
              </w:rPr>
              <w:t>Spring+  deionised tap</w:t>
            </w:r>
          </w:p>
        </w:tc>
        <w:tc>
          <w:tcPr>
            <w:tcW w:w="4383" w:type="dxa"/>
            <w:gridSpan w:val="2"/>
            <w:tcBorders>
              <w:top w:val="nil"/>
              <w:left w:val="nil"/>
              <w:bottom w:val="single" w:sz="8" w:space="0" w:color="auto"/>
              <w:right w:val="double" w:sz="6" w:space="0" w:color="auto"/>
            </w:tcBorders>
          </w:tcPr>
          <w:p w14:paraId="4F43D14C"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Mount &amp; Stephan, 1969 </w:t>
            </w:r>
          </w:p>
        </w:tc>
      </w:tr>
      <w:tr w:rsidR="00632208" w:rsidRPr="0098635C" w14:paraId="2EAFF910" w14:textId="77777777" w:rsidTr="00982513">
        <w:trPr>
          <w:trHeight w:val="64"/>
        </w:trPr>
        <w:tc>
          <w:tcPr>
            <w:tcW w:w="1647" w:type="dxa"/>
            <w:gridSpan w:val="2"/>
            <w:tcBorders>
              <w:top w:val="nil"/>
              <w:left w:val="double" w:sz="6" w:space="0" w:color="auto"/>
              <w:bottom w:val="single" w:sz="8" w:space="0" w:color="auto"/>
              <w:right w:val="single" w:sz="8" w:space="0" w:color="auto"/>
            </w:tcBorders>
          </w:tcPr>
          <w:p w14:paraId="4ACAF553" w14:textId="77777777" w:rsidR="00632208" w:rsidRPr="0098635C" w:rsidRDefault="00632208" w:rsidP="00A432B0">
            <w:pPr>
              <w:spacing w:after="0"/>
              <w:rPr>
                <w:color w:val="000000" w:themeColor="text1"/>
                <w:sz w:val="20"/>
                <w:szCs w:val="20"/>
              </w:rPr>
            </w:pPr>
            <w:r w:rsidRPr="0098635C">
              <w:rPr>
                <w:color w:val="000000" w:themeColor="text1"/>
                <w:sz w:val="20"/>
                <w:szCs w:val="20"/>
              </w:rPr>
              <w:lastRenderedPageBreak/>
              <w:t>Pimephales promelas</w:t>
            </w:r>
          </w:p>
        </w:tc>
        <w:tc>
          <w:tcPr>
            <w:tcW w:w="1701" w:type="dxa"/>
            <w:tcBorders>
              <w:top w:val="nil"/>
              <w:left w:val="nil"/>
              <w:bottom w:val="single" w:sz="8" w:space="0" w:color="auto"/>
              <w:right w:val="single" w:sz="8" w:space="0" w:color="auto"/>
            </w:tcBorders>
          </w:tcPr>
          <w:p w14:paraId="67325614" w14:textId="77777777" w:rsidR="00632208" w:rsidRPr="0098635C" w:rsidRDefault="00632208" w:rsidP="00A432B0">
            <w:pPr>
              <w:spacing w:after="0"/>
              <w:rPr>
                <w:color w:val="000000" w:themeColor="text1"/>
                <w:sz w:val="20"/>
                <w:szCs w:val="20"/>
              </w:rPr>
            </w:pPr>
            <w:r w:rsidRPr="0098635C">
              <w:rPr>
                <w:color w:val="000000" w:themeColor="text1"/>
                <w:sz w:val="20"/>
                <w:szCs w:val="20"/>
              </w:rPr>
              <w:t>larvae</w:t>
            </w:r>
          </w:p>
        </w:tc>
        <w:tc>
          <w:tcPr>
            <w:tcW w:w="709" w:type="dxa"/>
            <w:tcBorders>
              <w:top w:val="nil"/>
              <w:left w:val="nil"/>
              <w:bottom w:val="single" w:sz="8" w:space="0" w:color="auto"/>
              <w:right w:val="single" w:sz="8" w:space="0" w:color="auto"/>
            </w:tcBorders>
          </w:tcPr>
          <w:p w14:paraId="111D30CF" w14:textId="77777777" w:rsidR="00632208" w:rsidRPr="0098635C" w:rsidRDefault="00632208" w:rsidP="00A432B0">
            <w:pPr>
              <w:spacing w:after="0"/>
              <w:rPr>
                <w:color w:val="000000" w:themeColor="text1"/>
                <w:sz w:val="20"/>
                <w:szCs w:val="20"/>
              </w:rPr>
            </w:pPr>
            <w:r w:rsidRPr="0098635C">
              <w:rPr>
                <w:color w:val="000000" w:themeColor="text1"/>
                <w:sz w:val="20"/>
                <w:szCs w:val="20"/>
              </w:rPr>
              <w:t>28 d</w:t>
            </w:r>
          </w:p>
        </w:tc>
        <w:tc>
          <w:tcPr>
            <w:tcW w:w="1276" w:type="dxa"/>
            <w:tcBorders>
              <w:top w:val="nil"/>
              <w:left w:val="nil"/>
              <w:bottom w:val="single" w:sz="8" w:space="0" w:color="auto"/>
              <w:right w:val="single" w:sz="8" w:space="0" w:color="auto"/>
            </w:tcBorders>
          </w:tcPr>
          <w:p w14:paraId="27E62C20" w14:textId="77777777" w:rsidR="00632208" w:rsidRPr="0098635C" w:rsidRDefault="00632208" w:rsidP="00A432B0">
            <w:pPr>
              <w:spacing w:after="0"/>
              <w:rPr>
                <w:color w:val="000000" w:themeColor="text1"/>
                <w:sz w:val="20"/>
                <w:szCs w:val="20"/>
              </w:rPr>
            </w:pPr>
            <w:r w:rsidRPr="0098635C">
              <w:rPr>
                <w:color w:val="000000" w:themeColor="text1"/>
                <w:sz w:val="20"/>
                <w:szCs w:val="20"/>
              </w:rPr>
              <w:t>mortality</w:t>
            </w:r>
          </w:p>
        </w:tc>
        <w:tc>
          <w:tcPr>
            <w:tcW w:w="850" w:type="dxa"/>
            <w:tcBorders>
              <w:top w:val="nil"/>
              <w:left w:val="nil"/>
              <w:bottom w:val="single" w:sz="8" w:space="0" w:color="auto"/>
              <w:right w:val="single" w:sz="8" w:space="0" w:color="auto"/>
            </w:tcBorders>
          </w:tcPr>
          <w:p w14:paraId="44378092"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61</w:t>
            </w:r>
          </w:p>
        </w:tc>
        <w:tc>
          <w:tcPr>
            <w:tcW w:w="709" w:type="dxa"/>
            <w:tcBorders>
              <w:top w:val="nil"/>
              <w:left w:val="nil"/>
              <w:bottom w:val="single" w:sz="8" w:space="0" w:color="auto"/>
              <w:right w:val="single" w:sz="8" w:space="0" w:color="auto"/>
            </w:tcBorders>
          </w:tcPr>
          <w:p w14:paraId="204C3CAE"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27C0984F"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0.6</w:t>
            </w:r>
          </w:p>
        </w:tc>
        <w:tc>
          <w:tcPr>
            <w:tcW w:w="3118" w:type="dxa"/>
            <w:tcBorders>
              <w:top w:val="nil"/>
              <w:left w:val="nil"/>
              <w:bottom w:val="single" w:sz="8" w:space="0" w:color="auto"/>
              <w:right w:val="single" w:sz="8" w:space="0" w:color="auto"/>
            </w:tcBorders>
          </w:tcPr>
          <w:p w14:paraId="229FD1E9"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21°C; pH: 8.17; H: 202 mg/L CaCO3; DOC: 1.3 mg/L </w:t>
            </w:r>
            <w:r w:rsidRPr="0098635C">
              <w:rPr>
                <w:color w:val="000000" w:themeColor="text1"/>
                <w:sz w:val="20"/>
                <w:szCs w:val="20"/>
                <w:vertAlign w:val="superscript"/>
              </w:rPr>
              <w:t>(9)</w:t>
            </w:r>
          </w:p>
        </w:tc>
        <w:tc>
          <w:tcPr>
            <w:tcW w:w="1003" w:type="dxa"/>
            <w:tcBorders>
              <w:top w:val="nil"/>
              <w:left w:val="nil"/>
              <w:bottom w:val="single" w:sz="8" w:space="0" w:color="auto"/>
              <w:right w:val="single" w:sz="8" w:space="0" w:color="auto"/>
            </w:tcBorders>
          </w:tcPr>
          <w:p w14:paraId="6844AEDC" w14:textId="77777777" w:rsidR="00632208" w:rsidRPr="0098635C" w:rsidRDefault="00632208" w:rsidP="00A432B0">
            <w:pPr>
              <w:spacing w:after="0"/>
              <w:rPr>
                <w:color w:val="000000" w:themeColor="text1"/>
                <w:sz w:val="20"/>
                <w:szCs w:val="20"/>
              </w:rPr>
            </w:pPr>
            <w:r w:rsidRPr="0098635C">
              <w:rPr>
                <w:color w:val="000000" w:themeColor="text1"/>
                <w:sz w:val="20"/>
                <w:szCs w:val="20"/>
              </w:rPr>
              <w:t>Ground water</w:t>
            </w:r>
          </w:p>
        </w:tc>
        <w:tc>
          <w:tcPr>
            <w:tcW w:w="4383" w:type="dxa"/>
            <w:gridSpan w:val="2"/>
            <w:tcBorders>
              <w:top w:val="nil"/>
              <w:left w:val="nil"/>
              <w:bottom w:val="single" w:sz="8" w:space="0" w:color="auto"/>
              <w:right w:val="double" w:sz="6" w:space="0" w:color="auto"/>
            </w:tcBorders>
          </w:tcPr>
          <w:p w14:paraId="2DF5183F"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Scudder et al., 1988 </w:t>
            </w:r>
          </w:p>
        </w:tc>
      </w:tr>
      <w:tr w:rsidR="00632208" w:rsidRPr="0098635C" w14:paraId="04A40C41" w14:textId="77777777" w:rsidTr="00982513">
        <w:trPr>
          <w:trHeight w:val="69"/>
        </w:trPr>
        <w:tc>
          <w:tcPr>
            <w:tcW w:w="1647" w:type="dxa"/>
            <w:gridSpan w:val="2"/>
            <w:tcBorders>
              <w:top w:val="nil"/>
              <w:left w:val="double" w:sz="6" w:space="0" w:color="auto"/>
              <w:bottom w:val="single" w:sz="8" w:space="0" w:color="auto"/>
              <w:right w:val="single" w:sz="8" w:space="0" w:color="auto"/>
            </w:tcBorders>
          </w:tcPr>
          <w:p w14:paraId="2FF29BED" w14:textId="77777777" w:rsidR="00632208" w:rsidRPr="0098635C" w:rsidRDefault="00632208" w:rsidP="00A432B0">
            <w:pPr>
              <w:spacing w:after="0"/>
              <w:rPr>
                <w:color w:val="000000" w:themeColor="text1"/>
                <w:sz w:val="20"/>
                <w:szCs w:val="20"/>
              </w:rPr>
            </w:pPr>
            <w:r w:rsidRPr="0098635C">
              <w:rPr>
                <w:color w:val="000000" w:themeColor="text1"/>
                <w:sz w:val="20"/>
                <w:szCs w:val="20"/>
              </w:rPr>
              <w:t>Pimephales promelas</w:t>
            </w:r>
          </w:p>
        </w:tc>
        <w:tc>
          <w:tcPr>
            <w:tcW w:w="1701" w:type="dxa"/>
            <w:tcBorders>
              <w:top w:val="nil"/>
              <w:left w:val="nil"/>
              <w:bottom w:val="single" w:sz="8" w:space="0" w:color="auto"/>
              <w:right w:val="single" w:sz="8" w:space="0" w:color="auto"/>
            </w:tcBorders>
          </w:tcPr>
          <w:p w14:paraId="0954A705" w14:textId="77777777" w:rsidR="00632208" w:rsidRPr="0098635C" w:rsidRDefault="00632208" w:rsidP="00A432B0">
            <w:pPr>
              <w:spacing w:after="0"/>
              <w:rPr>
                <w:color w:val="000000" w:themeColor="text1"/>
                <w:sz w:val="20"/>
                <w:szCs w:val="20"/>
              </w:rPr>
            </w:pPr>
            <w:r w:rsidRPr="0098635C">
              <w:rPr>
                <w:color w:val="000000" w:themeColor="text1"/>
                <w:sz w:val="20"/>
                <w:szCs w:val="20"/>
              </w:rPr>
              <w:t>embryo-larval</w:t>
            </w:r>
          </w:p>
        </w:tc>
        <w:tc>
          <w:tcPr>
            <w:tcW w:w="709" w:type="dxa"/>
            <w:tcBorders>
              <w:top w:val="nil"/>
              <w:left w:val="nil"/>
              <w:bottom w:val="single" w:sz="8" w:space="0" w:color="auto"/>
              <w:right w:val="single" w:sz="8" w:space="0" w:color="auto"/>
            </w:tcBorders>
          </w:tcPr>
          <w:p w14:paraId="0F982F14" w14:textId="77777777" w:rsidR="00632208" w:rsidRPr="0098635C" w:rsidRDefault="00632208" w:rsidP="00A432B0">
            <w:pPr>
              <w:spacing w:after="0"/>
              <w:rPr>
                <w:color w:val="000000" w:themeColor="text1"/>
                <w:sz w:val="20"/>
                <w:szCs w:val="20"/>
              </w:rPr>
            </w:pPr>
            <w:r w:rsidRPr="0098635C">
              <w:rPr>
                <w:color w:val="000000" w:themeColor="text1"/>
                <w:sz w:val="20"/>
                <w:szCs w:val="20"/>
              </w:rPr>
              <w:t>32 d</w:t>
            </w:r>
          </w:p>
        </w:tc>
        <w:tc>
          <w:tcPr>
            <w:tcW w:w="1276" w:type="dxa"/>
            <w:tcBorders>
              <w:top w:val="nil"/>
              <w:left w:val="nil"/>
              <w:bottom w:val="single" w:sz="8" w:space="0" w:color="auto"/>
              <w:right w:val="single" w:sz="8" w:space="0" w:color="auto"/>
            </w:tcBorders>
          </w:tcPr>
          <w:p w14:paraId="5C52D7F3" w14:textId="77777777" w:rsidR="00632208" w:rsidRPr="0098635C" w:rsidRDefault="00632208" w:rsidP="00A432B0">
            <w:pPr>
              <w:spacing w:after="0"/>
              <w:rPr>
                <w:color w:val="000000" w:themeColor="text1"/>
                <w:sz w:val="20"/>
                <w:szCs w:val="20"/>
              </w:rPr>
            </w:pPr>
            <w:r w:rsidRPr="0098635C">
              <w:rPr>
                <w:color w:val="000000" w:themeColor="text1"/>
                <w:sz w:val="20"/>
                <w:szCs w:val="20"/>
              </w:rPr>
              <w:t>mortality</w:t>
            </w:r>
          </w:p>
        </w:tc>
        <w:tc>
          <w:tcPr>
            <w:tcW w:w="850" w:type="dxa"/>
            <w:tcBorders>
              <w:top w:val="nil"/>
              <w:left w:val="nil"/>
              <w:bottom w:val="single" w:sz="8" w:space="0" w:color="auto"/>
              <w:right w:val="single" w:sz="8" w:space="0" w:color="auto"/>
            </w:tcBorders>
          </w:tcPr>
          <w:p w14:paraId="71335C44"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4.8</w:t>
            </w:r>
          </w:p>
        </w:tc>
        <w:tc>
          <w:tcPr>
            <w:tcW w:w="709" w:type="dxa"/>
            <w:tcBorders>
              <w:top w:val="nil"/>
              <w:left w:val="nil"/>
              <w:bottom w:val="single" w:sz="8" w:space="0" w:color="auto"/>
              <w:right w:val="single" w:sz="8" w:space="0" w:color="auto"/>
            </w:tcBorders>
          </w:tcPr>
          <w:p w14:paraId="5A67987C"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5351A995" w14:textId="77777777" w:rsidR="00632208" w:rsidRPr="0098635C" w:rsidRDefault="00632208" w:rsidP="00A432B0">
            <w:pPr>
              <w:spacing w:after="0"/>
              <w:rPr>
                <w:color w:val="000000" w:themeColor="text1"/>
                <w:sz w:val="20"/>
                <w:szCs w:val="20"/>
              </w:rPr>
            </w:pPr>
            <w:r w:rsidRPr="0098635C">
              <w:rPr>
                <w:color w:val="000000" w:themeColor="text1"/>
                <w:sz w:val="20"/>
                <w:szCs w:val="20"/>
              </w:rPr>
              <w:t>1.25*</w:t>
            </w:r>
          </w:p>
        </w:tc>
        <w:tc>
          <w:tcPr>
            <w:tcW w:w="3118" w:type="dxa"/>
            <w:tcBorders>
              <w:top w:val="nil"/>
              <w:left w:val="nil"/>
              <w:bottom w:val="single" w:sz="8" w:space="0" w:color="auto"/>
              <w:right w:val="single" w:sz="8" w:space="0" w:color="auto"/>
            </w:tcBorders>
          </w:tcPr>
          <w:p w14:paraId="7EE39F7A"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25°C; pH: 7.05; H: 4 mg/L CaCO3; DOC: 1 mg/L </w:t>
            </w:r>
            <w:r w:rsidRPr="0098635C">
              <w:rPr>
                <w:color w:val="000000" w:themeColor="text1"/>
                <w:sz w:val="20"/>
                <w:szCs w:val="20"/>
                <w:vertAlign w:val="superscript"/>
              </w:rPr>
              <w:t>(13)</w:t>
            </w:r>
          </w:p>
        </w:tc>
        <w:tc>
          <w:tcPr>
            <w:tcW w:w="1003" w:type="dxa"/>
            <w:tcBorders>
              <w:top w:val="nil"/>
              <w:left w:val="nil"/>
              <w:bottom w:val="single" w:sz="8" w:space="0" w:color="auto"/>
              <w:right w:val="single" w:sz="8" w:space="0" w:color="auto"/>
            </w:tcBorders>
          </w:tcPr>
          <w:p w14:paraId="7D6A102A" w14:textId="77777777" w:rsidR="00632208" w:rsidRPr="0098635C" w:rsidRDefault="00632208" w:rsidP="00A432B0">
            <w:pPr>
              <w:spacing w:after="0"/>
              <w:rPr>
                <w:color w:val="000000" w:themeColor="text1"/>
                <w:sz w:val="20"/>
                <w:szCs w:val="20"/>
              </w:rPr>
            </w:pPr>
            <w:r w:rsidRPr="0098635C">
              <w:rPr>
                <w:color w:val="000000" w:themeColor="text1"/>
                <w:sz w:val="20"/>
                <w:szCs w:val="20"/>
              </w:rPr>
              <w:t>Lake (Lake Superior)</w:t>
            </w:r>
          </w:p>
        </w:tc>
        <w:tc>
          <w:tcPr>
            <w:tcW w:w="4383" w:type="dxa"/>
            <w:gridSpan w:val="2"/>
            <w:tcBorders>
              <w:top w:val="nil"/>
              <w:left w:val="nil"/>
              <w:bottom w:val="single" w:sz="8" w:space="0" w:color="auto"/>
              <w:right w:val="double" w:sz="6" w:space="0" w:color="auto"/>
            </w:tcBorders>
          </w:tcPr>
          <w:p w14:paraId="68FB1D68" w14:textId="77777777" w:rsidR="00632208" w:rsidRPr="0098635C" w:rsidRDefault="00632208" w:rsidP="00A432B0">
            <w:pPr>
              <w:spacing w:after="0"/>
              <w:rPr>
                <w:color w:val="000000" w:themeColor="text1"/>
                <w:sz w:val="20"/>
                <w:szCs w:val="20"/>
              </w:rPr>
            </w:pPr>
            <w:r w:rsidRPr="0098635C">
              <w:rPr>
                <w:color w:val="000000" w:themeColor="text1"/>
                <w:sz w:val="20"/>
                <w:szCs w:val="20"/>
              </w:rPr>
              <w:t>Spehar &amp; Fiandt, 1985</w:t>
            </w:r>
          </w:p>
        </w:tc>
      </w:tr>
      <w:tr w:rsidR="00632208" w:rsidRPr="0098635C" w14:paraId="6F9AA201" w14:textId="77777777" w:rsidTr="00982513">
        <w:trPr>
          <w:trHeight w:val="121"/>
        </w:trPr>
        <w:tc>
          <w:tcPr>
            <w:tcW w:w="1647" w:type="dxa"/>
            <w:gridSpan w:val="2"/>
            <w:tcBorders>
              <w:top w:val="nil"/>
              <w:left w:val="double" w:sz="6" w:space="0" w:color="auto"/>
              <w:bottom w:val="single" w:sz="8" w:space="0" w:color="auto"/>
              <w:right w:val="single" w:sz="8" w:space="0" w:color="auto"/>
            </w:tcBorders>
          </w:tcPr>
          <w:p w14:paraId="2476DB8D" w14:textId="77777777" w:rsidR="00632208" w:rsidRPr="0098635C" w:rsidRDefault="00632208" w:rsidP="00A432B0">
            <w:pPr>
              <w:spacing w:after="0"/>
              <w:rPr>
                <w:color w:val="000000" w:themeColor="text1"/>
                <w:sz w:val="20"/>
                <w:szCs w:val="20"/>
              </w:rPr>
            </w:pPr>
            <w:r w:rsidRPr="0098635C">
              <w:rPr>
                <w:color w:val="000000" w:themeColor="text1"/>
                <w:sz w:val="20"/>
                <w:szCs w:val="20"/>
              </w:rPr>
              <w:t>Pimephales promelas</w:t>
            </w:r>
          </w:p>
        </w:tc>
        <w:tc>
          <w:tcPr>
            <w:tcW w:w="1701" w:type="dxa"/>
            <w:tcBorders>
              <w:top w:val="nil"/>
              <w:left w:val="nil"/>
              <w:bottom w:val="single" w:sz="8" w:space="0" w:color="auto"/>
              <w:right w:val="single" w:sz="8" w:space="0" w:color="auto"/>
            </w:tcBorders>
          </w:tcPr>
          <w:p w14:paraId="7ED18410" w14:textId="77777777" w:rsidR="00632208" w:rsidRPr="0098635C" w:rsidRDefault="00632208" w:rsidP="00A432B0">
            <w:pPr>
              <w:spacing w:after="0"/>
              <w:rPr>
                <w:color w:val="000000" w:themeColor="text1"/>
                <w:sz w:val="20"/>
                <w:szCs w:val="20"/>
              </w:rPr>
            </w:pPr>
            <w:r w:rsidRPr="0098635C">
              <w:rPr>
                <w:color w:val="000000" w:themeColor="text1"/>
                <w:sz w:val="20"/>
                <w:szCs w:val="20"/>
              </w:rPr>
              <w:t>juvenile (32 - 38 mm; 5 months old)</w:t>
            </w:r>
          </w:p>
        </w:tc>
        <w:tc>
          <w:tcPr>
            <w:tcW w:w="709" w:type="dxa"/>
            <w:tcBorders>
              <w:top w:val="nil"/>
              <w:left w:val="nil"/>
              <w:bottom w:val="single" w:sz="8" w:space="0" w:color="auto"/>
              <w:right w:val="single" w:sz="8" w:space="0" w:color="auto"/>
            </w:tcBorders>
          </w:tcPr>
          <w:p w14:paraId="46C463D5" w14:textId="77777777" w:rsidR="00632208" w:rsidRPr="0098635C" w:rsidRDefault="00632208" w:rsidP="00A432B0">
            <w:pPr>
              <w:spacing w:after="0"/>
              <w:rPr>
                <w:color w:val="000000" w:themeColor="text1"/>
                <w:sz w:val="20"/>
                <w:szCs w:val="20"/>
              </w:rPr>
            </w:pPr>
            <w:r w:rsidRPr="0098635C">
              <w:rPr>
                <w:color w:val="000000" w:themeColor="text1"/>
                <w:sz w:val="20"/>
                <w:szCs w:val="20"/>
              </w:rPr>
              <w:t>270 d</w:t>
            </w:r>
          </w:p>
        </w:tc>
        <w:tc>
          <w:tcPr>
            <w:tcW w:w="1276" w:type="dxa"/>
            <w:tcBorders>
              <w:top w:val="nil"/>
              <w:left w:val="nil"/>
              <w:bottom w:val="single" w:sz="8" w:space="0" w:color="auto"/>
              <w:right w:val="single" w:sz="8" w:space="0" w:color="auto"/>
            </w:tcBorders>
          </w:tcPr>
          <w:p w14:paraId="7736AC55" w14:textId="77777777" w:rsidR="00632208" w:rsidRPr="0098635C" w:rsidRDefault="00632208" w:rsidP="00A432B0">
            <w:pPr>
              <w:spacing w:after="0"/>
              <w:rPr>
                <w:color w:val="000000" w:themeColor="text1"/>
                <w:sz w:val="20"/>
                <w:szCs w:val="20"/>
              </w:rPr>
            </w:pPr>
            <w:r w:rsidRPr="0098635C">
              <w:rPr>
                <w:color w:val="000000" w:themeColor="text1"/>
                <w:sz w:val="20"/>
                <w:szCs w:val="20"/>
              </w:rPr>
              <w:t>reproduction</w:t>
            </w:r>
          </w:p>
        </w:tc>
        <w:tc>
          <w:tcPr>
            <w:tcW w:w="850" w:type="dxa"/>
            <w:tcBorders>
              <w:top w:val="nil"/>
              <w:left w:val="nil"/>
              <w:bottom w:val="single" w:sz="8" w:space="0" w:color="auto"/>
              <w:right w:val="single" w:sz="8" w:space="0" w:color="auto"/>
            </w:tcBorders>
          </w:tcPr>
          <w:p w14:paraId="077E1D70"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66</w:t>
            </w:r>
          </w:p>
        </w:tc>
        <w:tc>
          <w:tcPr>
            <w:tcW w:w="709" w:type="dxa"/>
            <w:tcBorders>
              <w:top w:val="nil"/>
              <w:left w:val="nil"/>
              <w:bottom w:val="single" w:sz="8" w:space="0" w:color="auto"/>
              <w:right w:val="single" w:sz="8" w:space="0" w:color="auto"/>
            </w:tcBorders>
          </w:tcPr>
          <w:p w14:paraId="0C3BFC2D"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7445FD72"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7</w:t>
            </w:r>
          </w:p>
        </w:tc>
        <w:tc>
          <w:tcPr>
            <w:tcW w:w="3118" w:type="dxa"/>
            <w:tcBorders>
              <w:top w:val="nil"/>
              <w:left w:val="nil"/>
              <w:bottom w:val="single" w:sz="8" w:space="0" w:color="auto"/>
              <w:right w:val="single" w:sz="8" w:space="0" w:color="auto"/>
            </w:tcBorders>
          </w:tcPr>
          <w:p w14:paraId="3C18F9F9"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23°C; pH: 8.1; H: 274 mg/L CaCO3; DOC: 2 mg/L </w:t>
            </w:r>
            <w:r w:rsidRPr="0098635C">
              <w:rPr>
                <w:color w:val="000000" w:themeColor="text1"/>
                <w:sz w:val="20"/>
                <w:szCs w:val="20"/>
                <w:vertAlign w:val="superscript"/>
              </w:rPr>
              <w:t>(3)</w:t>
            </w:r>
          </w:p>
        </w:tc>
        <w:tc>
          <w:tcPr>
            <w:tcW w:w="1003" w:type="dxa"/>
            <w:tcBorders>
              <w:top w:val="nil"/>
              <w:left w:val="nil"/>
              <w:bottom w:val="single" w:sz="8" w:space="0" w:color="auto"/>
              <w:right w:val="single" w:sz="8" w:space="0" w:color="auto"/>
            </w:tcBorders>
          </w:tcPr>
          <w:p w14:paraId="253A8D2A" w14:textId="77777777" w:rsidR="00632208" w:rsidRPr="0098635C" w:rsidRDefault="00632208" w:rsidP="00A432B0">
            <w:pPr>
              <w:spacing w:after="0"/>
              <w:rPr>
                <w:color w:val="000000" w:themeColor="text1"/>
                <w:sz w:val="20"/>
                <w:szCs w:val="20"/>
              </w:rPr>
            </w:pPr>
            <w:r w:rsidRPr="0098635C">
              <w:rPr>
                <w:color w:val="000000" w:themeColor="text1"/>
                <w:sz w:val="20"/>
                <w:szCs w:val="20"/>
              </w:rPr>
              <w:t>River</w:t>
            </w:r>
          </w:p>
        </w:tc>
        <w:tc>
          <w:tcPr>
            <w:tcW w:w="4383" w:type="dxa"/>
            <w:gridSpan w:val="2"/>
            <w:tcBorders>
              <w:top w:val="nil"/>
              <w:left w:val="nil"/>
              <w:bottom w:val="single" w:sz="8" w:space="0" w:color="auto"/>
              <w:right w:val="double" w:sz="6" w:space="0" w:color="auto"/>
            </w:tcBorders>
          </w:tcPr>
          <w:p w14:paraId="52465794"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Brungs et al., 1976 </w:t>
            </w:r>
          </w:p>
        </w:tc>
      </w:tr>
      <w:tr w:rsidR="00632208" w:rsidRPr="0098635C" w14:paraId="75EF6F71" w14:textId="77777777" w:rsidTr="00982513">
        <w:trPr>
          <w:trHeight w:val="64"/>
        </w:trPr>
        <w:tc>
          <w:tcPr>
            <w:tcW w:w="1647" w:type="dxa"/>
            <w:gridSpan w:val="2"/>
            <w:tcBorders>
              <w:top w:val="nil"/>
              <w:left w:val="double" w:sz="6" w:space="0" w:color="auto"/>
              <w:bottom w:val="single" w:sz="8" w:space="0" w:color="auto"/>
              <w:right w:val="single" w:sz="8" w:space="0" w:color="auto"/>
            </w:tcBorders>
          </w:tcPr>
          <w:p w14:paraId="1A45E705" w14:textId="77777777" w:rsidR="00632208" w:rsidRPr="0098635C" w:rsidRDefault="00632208" w:rsidP="00A432B0">
            <w:pPr>
              <w:spacing w:after="0"/>
              <w:rPr>
                <w:color w:val="000000" w:themeColor="text1"/>
                <w:sz w:val="20"/>
                <w:szCs w:val="20"/>
              </w:rPr>
            </w:pPr>
            <w:r w:rsidRPr="0098635C">
              <w:rPr>
                <w:color w:val="000000" w:themeColor="text1"/>
                <w:sz w:val="20"/>
                <w:szCs w:val="20"/>
              </w:rPr>
              <w:t>Pimephales promelas</w:t>
            </w:r>
          </w:p>
        </w:tc>
        <w:tc>
          <w:tcPr>
            <w:tcW w:w="1701" w:type="dxa"/>
            <w:tcBorders>
              <w:top w:val="nil"/>
              <w:left w:val="nil"/>
              <w:bottom w:val="single" w:sz="8" w:space="0" w:color="auto"/>
              <w:right w:val="single" w:sz="8" w:space="0" w:color="auto"/>
            </w:tcBorders>
          </w:tcPr>
          <w:p w14:paraId="06BC589A" w14:textId="77777777" w:rsidR="00632208" w:rsidRPr="0098635C" w:rsidRDefault="00632208" w:rsidP="00A432B0">
            <w:pPr>
              <w:spacing w:after="0"/>
              <w:rPr>
                <w:color w:val="000000" w:themeColor="text1"/>
                <w:sz w:val="20"/>
                <w:szCs w:val="20"/>
              </w:rPr>
            </w:pPr>
            <w:r w:rsidRPr="0098635C">
              <w:rPr>
                <w:color w:val="000000" w:themeColor="text1"/>
                <w:sz w:val="20"/>
                <w:szCs w:val="20"/>
              </w:rPr>
              <w:t>fry (10 - 15 mm)</w:t>
            </w:r>
          </w:p>
        </w:tc>
        <w:tc>
          <w:tcPr>
            <w:tcW w:w="709" w:type="dxa"/>
            <w:tcBorders>
              <w:top w:val="nil"/>
              <w:left w:val="nil"/>
              <w:bottom w:val="single" w:sz="8" w:space="0" w:color="auto"/>
              <w:right w:val="single" w:sz="8" w:space="0" w:color="auto"/>
            </w:tcBorders>
          </w:tcPr>
          <w:p w14:paraId="029FBEC0" w14:textId="77777777" w:rsidR="00632208" w:rsidRPr="0098635C" w:rsidRDefault="00632208" w:rsidP="00A432B0">
            <w:pPr>
              <w:spacing w:after="0"/>
              <w:rPr>
                <w:color w:val="000000" w:themeColor="text1"/>
                <w:sz w:val="20"/>
                <w:szCs w:val="20"/>
              </w:rPr>
            </w:pPr>
            <w:r w:rsidRPr="0098635C">
              <w:rPr>
                <w:color w:val="000000" w:themeColor="text1"/>
                <w:sz w:val="20"/>
                <w:szCs w:val="20"/>
              </w:rPr>
              <w:t>330 d</w:t>
            </w:r>
          </w:p>
        </w:tc>
        <w:tc>
          <w:tcPr>
            <w:tcW w:w="1276" w:type="dxa"/>
            <w:tcBorders>
              <w:top w:val="nil"/>
              <w:left w:val="nil"/>
              <w:bottom w:val="single" w:sz="8" w:space="0" w:color="auto"/>
              <w:right w:val="single" w:sz="8" w:space="0" w:color="auto"/>
            </w:tcBorders>
          </w:tcPr>
          <w:p w14:paraId="45658512" w14:textId="77777777" w:rsidR="00632208" w:rsidRPr="0098635C" w:rsidRDefault="00632208" w:rsidP="00A432B0">
            <w:pPr>
              <w:spacing w:after="0"/>
              <w:rPr>
                <w:color w:val="000000" w:themeColor="text1"/>
                <w:sz w:val="20"/>
                <w:szCs w:val="20"/>
              </w:rPr>
            </w:pPr>
            <w:r w:rsidRPr="0098635C">
              <w:rPr>
                <w:color w:val="000000" w:themeColor="text1"/>
                <w:sz w:val="20"/>
                <w:szCs w:val="20"/>
              </w:rPr>
              <w:t>reproduction</w:t>
            </w:r>
          </w:p>
        </w:tc>
        <w:tc>
          <w:tcPr>
            <w:tcW w:w="850" w:type="dxa"/>
            <w:tcBorders>
              <w:top w:val="nil"/>
              <w:left w:val="nil"/>
              <w:bottom w:val="single" w:sz="8" w:space="0" w:color="auto"/>
              <w:right w:val="single" w:sz="8" w:space="0" w:color="auto"/>
            </w:tcBorders>
          </w:tcPr>
          <w:p w14:paraId="62AEDBA8"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14.5</w:t>
            </w:r>
          </w:p>
        </w:tc>
        <w:tc>
          <w:tcPr>
            <w:tcW w:w="709" w:type="dxa"/>
            <w:tcBorders>
              <w:top w:val="nil"/>
              <w:left w:val="nil"/>
              <w:bottom w:val="single" w:sz="8" w:space="0" w:color="auto"/>
              <w:right w:val="single" w:sz="8" w:space="0" w:color="auto"/>
            </w:tcBorders>
          </w:tcPr>
          <w:p w14:paraId="692D9DE3"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160EEFD9"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3.5</w:t>
            </w:r>
          </w:p>
        </w:tc>
        <w:tc>
          <w:tcPr>
            <w:tcW w:w="3118" w:type="dxa"/>
            <w:tcBorders>
              <w:top w:val="nil"/>
              <w:left w:val="nil"/>
              <w:bottom w:val="single" w:sz="8" w:space="0" w:color="auto"/>
              <w:right w:val="single" w:sz="8" w:space="0" w:color="auto"/>
            </w:tcBorders>
          </w:tcPr>
          <w:p w14:paraId="56141E43"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21°C; pH: 8.0; H: 198 mg/L CaCO3; DOC: 0.55 mg/L </w:t>
            </w:r>
            <w:r w:rsidRPr="0098635C">
              <w:rPr>
                <w:color w:val="000000" w:themeColor="text1"/>
                <w:sz w:val="20"/>
                <w:szCs w:val="20"/>
                <w:vertAlign w:val="superscript"/>
              </w:rPr>
              <w:t>(14)</w:t>
            </w:r>
          </w:p>
        </w:tc>
        <w:tc>
          <w:tcPr>
            <w:tcW w:w="1003" w:type="dxa"/>
            <w:tcBorders>
              <w:top w:val="nil"/>
              <w:left w:val="nil"/>
              <w:bottom w:val="single" w:sz="8" w:space="0" w:color="auto"/>
              <w:right w:val="single" w:sz="8" w:space="0" w:color="auto"/>
            </w:tcBorders>
          </w:tcPr>
          <w:p w14:paraId="5CD9E6A6" w14:textId="77777777" w:rsidR="00632208" w:rsidRPr="0098635C" w:rsidRDefault="00632208" w:rsidP="00A432B0">
            <w:pPr>
              <w:spacing w:after="0"/>
              <w:rPr>
                <w:color w:val="000000" w:themeColor="text1"/>
                <w:sz w:val="20"/>
                <w:szCs w:val="20"/>
              </w:rPr>
            </w:pPr>
            <w:r w:rsidRPr="0098635C">
              <w:rPr>
                <w:color w:val="000000" w:themeColor="text1"/>
                <w:sz w:val="20"/>
                <w:szCs w:val="20"/>
              </w:rPr>
              <w:t>Spring+  deionised tap</w:t>
            </w:r>
          </w:p>
        </w:tc>
        <w:tc>
          <w:tcPr>
            <w:tcW w:w="4383" w:type="dxa"/>
            <w:gridSpan w:val="2"/>
            <w:tcBorders>
              <w:top w:val="nil"/>
              <w:left w:val="nil"/>
              <w:bottom w:val="single" w:sz="8" w:space="0" w:color="auto"/>
              <w:right w:val="double" w:sz="6" w:space="0" w:color="auto"/>
            </w:tcBorders>
          </w:tcPr>
          <w:p w14:paraId="2E72673E"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Mount, 1968 </w:t>
            </w:r>
          </w:p>
        </w:tc>
      </w:tr>
      <w:tr w:rsidR="00632208" w:rsidRPr="0098635C" w14:paraId="261BB76F" w14:textId="77777777" w:rsidTr="00982513">
        <w:trPr>
          <w:trHeight w:val="64"/>
        </w:trPr>
        <w:tc>
          <w:tcPr>
            <w:tcW w:w="1647" w:type="dxa"/>
            <w:gridSpan w:val="2"/>
            <w:tcBorders>
              <w:top w:val="nil"/>
              <w:left w:val="double" w:sz="6" w:space="0" w:color="auto"/>
              <w:bottom w:val="single" w:sz="8" w:space="0" w:color="auto"/>
              <w:right w:val="single" w:sz="8" w:space="0" w:color="auto"/>
            </w:tcBorders>
          </w:tcPr>
          <w:p w14:paraId="7D932B8C" w14:textId="77777777" w:rsidR="00632208" w:rsidRPr="0098635C" w:rsidRDefault="00632208" w:rsidP="00A432B0">
            <w:pPr>
              <w:spacing w:after="0"/>
              <w:rPr>
                <w:color w:val="000000" w:themeColor="text1"/>
                <w:sz w:val="20"/>
                <w:szCs w:val="20"/>
              </w:rPr>
            </w:pPr>
            <w:r w:rsidRPr="0098635C">
              <w:rPr>
                <w:color w:val="000000" w:themeColor="text1"/>
                <w:sz w:val="20"/>
                <w:szCs w:val="20"/>
              </w:rPr>
              <w:t>Pimephales promelas</w:t>
            </w:r>
          </w:p>
        </w:tc>
        <w:tc>
          <w:tcPr>
            <w:tcW w:w="1701" w:type="dxa"/>
            <w:tcBorders>
              <w:top w:val="nil"/>
              <w:left w:val="nil"/>
              <w:bottom w:val="single" w:sz="8" w:space="0" w:color="auto"/>
              <w:right w:val="single" w:sz="8" w:space="0" w:color="auto"/>
            </w:tcBorders>
          </w:tcPr>
          <w:p w14:paraId="11FA9079" w14:textId="77777777" w:rsidR="00632208" w:rsidRPr="0098635C" w:rsidRDefault="00632208" w:rsidP="00A432B0">
            <w:pPr>
              <w:spacing w:after="0"/>
              <w:rPr>
                <w:color w:val="000000" w:themeColor="text1"/>
                <w:sz w:val="20"/>
                <w:szCs w:val="20"/>
              </w:rPr>
            </w:pPr>
            <w:r w:rsidRPr="0098635C">
              <w:rPr>
                <w:color w:val="000000" w:themeColor="text1"/>
                <w:sz w:val="20"/>
                <w:szCs w:val="20"/>
              </w:rPr>
              <w:t>fry (10 - 20 mm)</w:t>
            </w:r>
          </w:p>
        </w:tc>
        <w:tc>
          <w:tcPr>
            <w:tcW w:w="709" w:type="dxa"/>
            <w:tcBorders>
              <w:top w:val="nil"/>
              <w:left w:val="nil"/>
              <w:bottom w:val="single" w:sz="8" w:space="0" w:color="auto"/>
              <w:right w:val="single" w:sz="8" w:space="0" w:color="auto"/>
            </w:tcBorders>
          </w:tcPr>
          <w:p w14:paraId="54853A1D" w14:textId="77777777" w:rsidR="00632208" w:rsidRPr="0098635C" w:rsidRDefault="00632208" w:rsidP="00A432B0">
            <w:pPr>
              <w:spacing w:after="0"/>
              <w:rPr>
                <w:color w:val="000000" w:themeColor="text1"/>
                <w:sz w:val="20"/>
                <w:szCs w:val="20"/>
              </w:rPr>
            </w:pPr>
            <w:r w:rsidRPr="0098635C">
              <w:rPr>
                <w:color w:val="000000" w:themeColor="text1"/>
                <w:sz w:val="20"/>
                <w:szCs w:val="20"/>
              </w:rPr>
              <w:t>327 d</w:t>
            </w:r>
          </w:p>
        </w:tc>
        <w:tc>
          <w:tcPr>
            <w:tcW w:w="1276" w:type="dxa"/>
            <w:tcBorders>
              <w:top w:val="nil"/>
              <w:left w:val="nil"/>
              <w:bottom w:val="single" w:sz="8" w:space="0" w:color="auto"/>
              <w:right w:val="single" w:sz="8" w:space="0" w:color="auto"/>
            </w:tcBorders>
          </w:tcPr>
          <w:p w14:paraId="1613414E" w14:textId="77777777" w:rsidR="00632208" w:rsidRPr="0098635C" w:rsidRDefault="00632208" w:rsidP="00A432B0">
            <w:pPr>
              <w:spacing w:after="0"/>
              <w:rPr>
                <w:color w:val="000000" w:themeColor="text1"/>
                <w:sz w:val="20"/>
                <w:szCs w:val="20"/>
              </w:rPr>
            </w:pPr>
            <w:r w:rsidRPr="0098635C">
              <w:rPr>
                <w:color w:val="000000" w:themeColor="text1"/>
                <w:sz w:val="20"/>
                <w:szCs w:val="20"/>
              </w:rPr>
              <w:t>reproduction</w:t>
            </w:r>
          </w:p>
        </w:tc>
        <w:tc>
          <w:tcPr>
            <w:tcW w:w="850" w:type="dxa"/>
            <w:tcBorders>
              <w:top w:val="nil"/>
              <w:left w:val="nil"/>
              <w:bottom w:val="single" w:sz="8" w:space="0" w:color="auto"/>
              <w:right w:val="single" w:sz="8" w:space="0" w:color="auto"/>
            </w:tcBorders>
          </w:tcPr>
          <w:p w14:paraId="7BBD0DD9"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10.6</w:t>
            </w:r>
          </w:p>
        </w:tc>
        <w:tc>
          <w:tcPr>
            <w:tcW w:w="709" w:type="dxa"/>
            <w:tcBorders>
              <w:top w:val="nil"/>
              <w:left w:val="nil"/>
              <w:bottom w:val="single" w:sz="8" w:space="0" w:color="auto"/>
              <w:right w:val="single" w:sz="8" w:space="0" w:color="auto"/>
            </w:tcBorders>
          </w:tcPr>
          <w:p w14:paraId="1EC926BC"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25DFB92A"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4.4</w:t>
            </w:r>
          </w:p>
        </w:tc>
        <w:tc>
          <w:tcPr>
            <w:tcW w:w="3118" w:type="dxa"/>
            <w:tcBorders>
              <w:top w:val="nil"/>
              <w:left w:val="nil"/>
              <w:bottom w:val="single" w:sz="8" w:space="0" w:color="auto"/>
              <w:right w:val="single" w:sz="8" w:space="0" w:color="auto"/>
            </w:tcBorders>
          </w:tcPr>
          <w:p w14:paraId="12CF42F2"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22°C; pH: 6.9; H: 31.4 mg/L CaCO3; DOC: 0.55 mg/L </w:t>
            </w:r>
            <w:r w:rsidRPr="0098635C">
              <w:rPr>
                <w:color w:val="000000" w:themeColor="text1"/>
                <w:sz w:val="20"/>
                <w:szCs w:val="20"/>
                <w:vertAlign w:val="superscript"/>
              </w:rPr>
              <w:t>(14)</w:t>
            </w:r>
          </w:p>
        </w:tc>
        <w:tc>
          <w:tcPr>
            <w:tcW w:w="1003" w:type="dxa"/>
            <w:tcBorders>
              <w:top w:val="nil"/>
              <w:left w:val="nil"/>
              <w:bottom w:val="single" w:sz="8" w:space="0" w:color="auto"/>
              <w:right w:val="single" w:sz="8" w:space="0" w:color="auto"/>
            </w:tcBorders>
          </w:tcPr>
          <w:p w14:paraId="34480AB7" w14:textId="77777777" w:rsidR="00632208" w:rsidRPr="0098635C" w:rsidRDefault="00632208" w:rsidP="00A432B0">
            <w:pPr>
              <w:spacing w:after="0"/>
              <w:rPr>
                <w:color w:val="000000" w:themeColor="text1"/>
                <w:sz w:val="20"/>
                <w:szCs w:val="20"/>
              </w:rPr>
            </w:pPr>
            <w:r w:rsidRPr="0098635C">
              <w:rPr>
                <w:color w:val="000000" w:themeColor="text1"/>
                <w:sz w:val="20"/>
                <w:szCs w:val="20"/>
              </w:rPr>
              <w:t>Spring+  deionised tap</w:t>
            </w:r>
          </w:p>
        </w:tc>
        <w:tc>
          <w:tcPr>
            <w:tcW w:w="4383" w:type="dxa"/>
            <w:gridSpan w:val="2"/>
            <w:tcBorders>
              <w:top w:val="nil"/>
              <w:left w:val="nil"/>
              <w:bottom w:val="single" w:sz="8" w:space="0" w:color="auto"/>
              <w:right w:val="double" w:sz="6" w:space="0" w:color="auto"/>
            </w:tcBorders>
          </w:tcPr>
          <w:p w14:paraId="4ACFEF4A"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Mount &amp; Stephan, 1969 </w:t>
            </w:r>
          </w:p>
        </w:tc>
      </w:tr>
      <w:tr w:rsidR="00632208" w:rsidRPr="0098635C" w14:paraId="11C099F3" w14:textId="77777777" w:rsidTr="00982513">
        <w:trPr>
          <w:trHeight w:val="64"/>
        </w:trPr>
        <w:tc>
          <w:tcPr>
            <w:tcW w:w="1647" w:type="dxa"/>
            <w:gridSpan w:val="2"/>
            <w:tcBorders>
              <w:top w:val="nil"/>
              <w:left w:val="double" w:sz="6" w:space="0" w:color="auto"/>
              <w:bottom w:val="single" w:sz="8" w:space="0" w:color="auto"/>
              <w:right w:val="single" w:sz="8" w:space="0" w:color="auto"/>
            </w:tcBorders>
          </w:tcPr>
          <w:p w14:paraId="1058F717" w14:textId="77777777" w:rsidR="00632208" w:rsidRPr="0098635C" w:rsidRDefault="00632208" w:rsidP="00A432B0">
            <w:pPr>
              <w:spacing w:after="0"/>
              <w:rPr>
                <w:color w:val="000000" w:themeColor="text1"/>
                <w:sz w:val="20"/>
                <w:szCs w:val="20"/>
              </w:rPr>
            </w:pPr>
            <w:r w:rsidRPr="0098635C">
              <w:rPr>
                <w:color w:val="000000" w:themeColor="text1"/>
                <w:sz w:val="20"/>
                <w:szCs w:val="20"/>
              </w:rPr>
              <w:t>Pimephales promelas</w:t>
            </w:r>
          </w:p>
        </w:tc>
        <w:tc>
          <w:tcPr>
            <w:tcW w:w="1701" w:type="dxa"/>
            <w:tcBorders>
              <w:top w:val="nil"/>
              <w:left w:val="nil"/>
              <w:bottom w:val="single" w:sz="8" w:space="0" w:color="auto"/>
              <w:right w:val="single" w:sz="8" w:space="0" w:color="auto"/>
            </w:tcBorders>
          </w:tcPr>
          <w:p w14:paraId="400BF80F" w14:textId="77777777" w:rsidR="00632208" w:rsidRPr="0098635C" w:rsidRDefault="00632208" w:rsidP="00A432B0">
            <w:pPr>
              <w:spacing w:after="0"/>
              <w:rPr>
                <w:color w:val="000000" w:themeColor="text1"/>
                <w:sz w:val="20"/>
                <w:szCs w:val="20"/>
              </w:rPr>
            </w:pPr>
            <w:r w:rsidRPr="0098635C">
              <w:rPr>
                <w:color w:val="000000" w:themeColor="text1"/>
                <w:sz w:val="20"/>
                <w:szCs w:val="20"/>
              </w:rPr>
              <w:t>larvae (4 weeks old)</w:t>
            </w:r>
          </w:p>
        </w:tc>
        <w:tc>
          <w:tcPr>
            <w:tcW w:w="709" w:type="dxa"/>
            <w:tcBorders>
              <w:top w:val="nil"/>
              <w:left w:val="nil"/>
              <w:bottom w:val="single" w:sz="8" w:space="0" w:color="auto"/>
              <w:right w:val="single" w:sz="8" w:space="0" w:color="auto"/>
            </w:tcBorders>
          </w:tcPr>
          <w:p w14:paraId="263834F6" w14:textId="77777777" w:rsidR="00632208" w:rsidRPr="0098635C" w:rsidRDefault="00632208" w:rsidP="00A432B0">
            <w:pPr>
              <w:spacing w:after="0"/>
              <w:rPr>
                <w:color w:val="000000" w:themeColor="text1"/>
                <w:sz w:val="20"/>
                <w:szCs w:val="20"/>
              </w:rPr>
            </w:pPr>
            <w:r w:rsidRPr="0098635C">
              <w:rPr>
                <w:color w:val="000000" w:themeColor="text1"/>
                <w:sz w:val="20"/>
                <w:szCs w:val="20"/>
              </w:rPr>
              <w:t>187 d</w:t>
            </w:r>
          </w:p>
        </w:tc>
        <w:tc>
          <w:tcPr>
            <w:tcW w:w="1276" w:type="dxa"/>
            <w:tcBorders>
              <w:top w:val="nil"/>
              <w:left w:val="nil"/>
              <w:bottom w:val="single" w:sz="8" w:space="0" w:color="auto"/>
              <w:right w:val="single" w:sz="8" w:space="0" w:color="auto"/>
            </w:tcBorders>
          </w:tcPr>
          <w:p w14:paraId="55548F37" w14:textId="77777777" w:rsidR="00632208" w:rsidRPr="0098635C" w:rsidRDefault="00632208" w:rsidP="00A432B0">
            <w:pPr>
              <w:spacing w:after="0"/>
              <w:rPr>
                <w:color w:val="000000" w:themeColor="text1"/>
                <w:sz w:val="20"/>
                <w:szCs w:val="20"/>
              </w:rPr>
            </w:pPr>
            <w:r w:rsidRPr="0098635C">
              <w:rPr>
                <w:color w:val="000000" w:themeColor="text1"/>
                <w:sz w:val="20"/>
                <w:szCs w:val="20"/>
              </w:rPr>
              <w:t>reproduction</w:t>
            </w:r>
          </w:p>
        </w:tc>
        <w:tc>
          <w:tcPr>
            <w:tcW w:w="850" w:type="dxa"/>
            <w:tcBorders>
              <w:top w:val="nil"/>
              <w:left w:val="nil"/>
              <w:bottom w:val="single" w:sz="8" w:space="0" w:color="auto"/>
              <w:right w:val="single" w:sz="8" w:space="0" w:color="auto"/>
            </w:tcBorders>
          </w:tcPr>
          <w:p w14:paraId="2807269F"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25.5</w:t>
            </w:r>
          </w:p>
        </w:tc>
        <w:tc>
          <w:tcPr>
            <w:tcW w:w="709" w:type="dxa"/>
            <w:tcBorders>
              <w:top w:val="nil"/>
              <w:left w:val="nil"/>
              <w:bottom w:val="single" w:sz="8" w:space="0" w:color="auto"/>
              <w:right w:val="single" w:sz="8" w:space="0" w:color="auto"/>
            </w:tcBorders>
          </w:tcPr>
          <w:p w14:paraId="35615BFB"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73128B31"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4.2</w:t>
            </w:r>
          </w:p>
        </w:tc>
        <w:tc>
          <w:tcPr>
            <w:tcW w:w="3118" w:type="dxa"/>
            <w:tcBorders>
              <w:top w:val="nil"/>
              <w:left w:val="nil"/>
              <w:bottom w:val="single" w:sz="8" w:space="0" w:color="auto"/>
              <w:right w:val="single" w:sz="8" w:space="0" w:color="auto"/>
            </w:tcBorders>
          </w:tcPr>
          <w:p w14:paraId="2972BCEE"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23°C; pH: 7.85; H: 202 mg/L CaCO3; DOC: 0.55 mg/L </w:t>
            </w:r>
            <w:r w:rsidRPr="0098635C">
              <w:rPr>
                <w:color w:val="000000" w:themeColor="text1"/>
                <w:sz w:val="20"/>
                <w:szCs w:val="20"/>
                <w:vertAlign w:val="superscript"/>
              </w:rPr>
              <w:t>(14)</w:t>
            </w:r>
          </w:p>
        </w:tc>
        <w:tc>
          <w:tcPr>
            <w:tcW w:w="1003" w:type="dxa"/>
            <w:tcBorders>
              <w:top w:val="nil"/>
              <w:left w:val="nil"/>
              <w:bottom w:val="single" w:sz="8" w:space="0" w:color="auto"/>
              <w:right w:val="single" w:sz="8" w:space="0" w:color="auto"/>
            </w:tcBorders>
          </w:tcPr>
          <w:p w14:paraId="31C6C01E" w14:textId="77777777" w:rsidR="00632208" w:rsidRPr="0098635C" w:rsidRDefault="00632208" w:rsidP="00A432B0">
            <w:pPr>
              <w:spacing w:after="0"/>
              <w:rPr>
                <w:color w:val="000000" w:themeColor="text1"/>
                <w:sz w:val="20"/>
                <w:szCs w:val="20"/>
              </w:rPr>
            </w:pPr>
            <w:r w:rsidRPr="0098635C">
              <w:rPr>
                <w:color w:val="000000" w:themeColor="text1"/>
                <w:sz w:val="20"/>
                <w:szCs w:val="20"/>
              </w:rPr>
              <w:t>Spring+  deionised tap</w:t>
            </w:r>
          </w:p>
        </w:tc>
        <w:tc>
          <w:tcPr>
            <w:tcW w:w="4383" w:type="dxa"/>
            <w:gridSpan w:val="2"/>
            <w:tcBorders>
              <w:top w:val="nil"/>
              <w:left w:val="nil"/>
              <w:bottom w:val="single" w:sz="8" w:space="0" w:color="auto"/>
              <w:right w:val="double" w:sz="6" w:space="0" w:color="auto"/>
            </w:tcBorders>
          </w:tcPr>
          <w:p w14:paraId="30C50795"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Pickering et al., 1977 </w:t>
            </w:r>
          </w:p>
        </w:tc>
      </w:tr>
      <w:tr w:rsidR="00632208" w:rsidRPr="0098635C" w14:paraId="0BB43601" w14:textId="77777777" w:rsidTr="00982513">
        <w:trPr>
          <w:trHeight w:val="64"/>
        </w:trPr>
        <w:tc>
          <w:tcPr>
            <w:tcW w:w="1647" w:type="dxa"/>
            <w:gridSpan w:val="2"/>
            <w:tcBorders>
              <w:top w:val="nil"/>
              <w:left w:val="double" w:sz="6" w:space="0" w:color="auto"/>
              <w:bottom w:val="single" w:sz="8" w:space="0" w:color="auto"/>
              <w:right w:val="single" w:sz="8" w:space="0" w:color="auto"/>
            </w:tcBorders>
          </w:tcPr>
          <w:p w14:paraId="24DEC94F" w14:textId="77777777" w:rsidR="00632208" w:rsidRPr="0098635C" w:rsidRDefault="00632208" w:rsidP="00A432B0">
            <w:pPr>
              <w:spacing w:after="0"/>
              <w:rPr>
                <w:color w:val="000000" w:themeColor="text1"/>
                <w:sz w:val="20"/>
                <w:szCs w:val="20"/>
              </w:rPr>
            </w:pPr>
            <w:r w:rsidRPr="0098635C">
              <w:rPr>
                <w:color w:val="000000" w:themeColor="text1"/>
                <w:sz w:val="20"/>
                <w:szCs w:val="20"/>
              </w:rPr>
              <w:t>Pimephales promelas</w:t>
            </w:r>
          </w:p>
        </w:tc>
        <w:tc>
          <w:tcPr>
            <w:tcW w:w="1701" w:type="dxa"/>
            <w:tcBorders>
              <w:top w:val="nil"/>
              <w:left w:val="nil"/>
              <w:bottom w:val="single" w:sz="8" w:space="0" w:color="auto"/>
              <w:right w:val="single" w:sz="8" w:space="0" w:color="auto"/>
            </w:tcBorders>
          </w:tcPr>
          <w:p w14:paraId="11DDA0DC" w14:textId="77777777" w:rsidR="00632208" w:rsidRPr="0098635C" w:rsidRDefault="00632208" w:rsidP="00A432B0">
            <w:pPr>
              <w:spacing w:after="0"/>
              <w:rPr>
                <w:color w:val="000000" w:themeColor="text1"/>
                <w:sz w:val="20"/>
                <w:szCs w:val="20"/>
              </w:rPr>
            </w:pPr>
            <w:r w:rsidRPr="0098635C">
              <w:rPr>
                <w:color w:val="000000" w:themeColor="text1"/>
                <w:sz w:val="20"/>
                <w:szCs w:val="20"/>
              </w:rPr>
              <w:t>larvae (4 weeks old)</w:t>
            </w:r>
          </w:p>
        </w:tc>
        <w:tc>
          <w:tcPr>
            <w:tcW w:w="709" w:type="dxa"/>
            <w:tcBorders>
              <w:top w:val="nil"/>
              <w:left w:val="nil"/>
              <w:bottom w:val="single" w:sz="8" w:space="0" w:color="auto"/>
              <w:right w:val="single" w:sz="8" w:space="0" w:color="auto"/>
            </w:tcBorders>
          </w:tcPr>
          <w:p w14:paraId="7E70E47F" w14:textId="77777777" w:rsidR="00632208" w:rsidRPr="0098635C" w:rsidRDefault="00632208" w:rsidP="00A432B0">
            <w:pPr>
              <w:spacing w:after="0"/>
              <w:rPr>
                <w:color w:val="000000" w:themeColor="text1"/>
                <w:sz w:val="20"/>
                <w:szCs w:val="20"/>
              </w:rPr>
            </w:pPr>
            <w:r w:rsidRPr="0098635C">
              <w:rPr>
                <w:color w:val="000000" w:themeColor="text1"/>
                <w:sz w:val="20"/>
                <w:szCs w:val="20"/>
              </w:rPr>
              <w:t>97 d</w:t>
            </w:r>
          </w:p>
        </w:tc>
        <w:tc>
          <w:tcPr>
            <w:tcW w:w="1276" w:type="dxa"/>
            <w:tcBorders>
              <w:top w:val="nil"/>
              <w:left w:val="nil"/>
              <w:bottom w:val="single" w:sz="8" w:space="0" w:color="auto"/>
              <w:right w:val="single" w:sz="8" w:space="0" w:color="auto"/>
            </w:tcBorders>
          </w:tcPr>
          <w:p w14:paraId="4BFACE67" w14:textId="77777777" w:rsidR="00632208" w:rsidRPr="0098635C" w:rsidRDefault="00632208" w:rsidP="00A432B0">
            <w:pPr>
              <w:spacing w:after="0"/>
              <w:rPr>
                <w:color w:val="000000" w:themeColor="text1"/>
                <w:sz w:val="20"/>
                <w:szCs w:val="20"/>
              </w:rPr>
            </w:pPr>
            <w:r w:rsidRPr="0098635C">
              <w:rPr>
                <w:color w:val="000000" w:themeColor="text1"/>
                <w:sz w:val="20"/>
                <w:szCs w:val="20"/>
              </w:rPr>
              <w:t>reproduction</w:t>
            </w:r>
          </w:p>
        </w:tc>
        <w:tc>
          <w:tcPr>
            <w:tcW w:w="850" w:type="dxa"/>
            <w:tcBorders>
              <w:top w:val="nil"/>
              <w:left w:val="nil"/>
              <w:bottom w:val="single" w:sz="8" w:space="0" w:color="auto"/>
              <w:right w:val="single" w:sz="8" w:space="0" w:color="auto"/>
            </w:tcBorders>
          </w:tcPr>
          <w:p w14:paraId="6FCD1F67"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23</w:t>
            </w:r>
          </w:p>
        </w:tc>
        <w:tc>
          <w:tcPr>
            <w:tcW w:w="709" w:type="dxa"/>
            <w:tcBorders>
              <w:top w:val="nil"/>
              <w:left w:val="nil"/>
              <w:bottom w:val="single" w:sz="8" w:space="0" w:color="auto"/>
              <w:right w:val="single" w:sz="8" w:space="0" w:color="auto"/>
            </w:tcBorders>
          </w:tcPr>
          <w:p w14:paraId="2B3AB864"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06C0A57B"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4.2</w:t>
            </w:r>
          </w:p>
        </w:tc>
        <w:tc>
          <w:tcPr>
            <w:tcW w:w="3118" w:type="dxa"/>
            <w:tcBorders>
              <w:top w:val="nil"/>
              <w:left w:val="nil"/>
              <w:bottom w:val="single" w:sz="8" w:space="0" w:color="auto"/>
              <w:right w:val="single" w:sz="8" w:space="0" w:color="auto"/>
            </w:tcBorders>
          </w:tcPr>
          <w:p w14:paraId="2799084C"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23°C; pH: 7.85; H: 202 mg/L CaCO3; DOC: 0.55 mg/L </w:t>
            </w:r>
            <w:r w:rsidRPr="0098635C">
              <w:rPr>
                <w:color w:val="000000" w:themeColor="text1"/>
                <w:sz w:val="20"/>
                <w:szCs w:val="20"/>
                <w:vertAlign w:val="superscript"/>
              </w:rPr>
              <w:t>(14)</w:t>
            </w:r>
          </w:p>
        </w:tc>
        <w:tc>
          <w:tcPr>
            <w:tcW w:w="1003" w:type="dxa"/>
            <w:tcBorders>
              <w:top w:val="nil"/>
              <w:left w:val="nil"/>
              <w:bottom w:val="single" w:sz="8" w:space="0" w:color="auto"/>
              <w:right w:val="single" w:sz="8" w:space="0" w:color="auto"/>
            </w:tcBorders>
          </w:tcPr>
          <w:p w14:paraId="34E01052" w14:textId="77777777" w:rsidR="00632208" w:rsidRPr="0098635C" w:rsidRDefault="00632208" w:rsidP="00A432B0">
            <w:pPr>
              <w:spacing w:after="0"/>
              <w:rPr>
                <w:color w:val="000000" w:themeColor="text1"/>
                <w:sz w:val="20"/>
                <w:szCs w:val="20"/>
              </w:rPr>
            </w:pPr>
            <w:r w:rsidRPr="0098635C">
              <w:rPr>
                <w:color w:val="000000" w:themeColor="text1"/>
                <w:sz w:val="20"/>
                <w:szCs w:val="20"/>
              </w:rPr>
              <w:t>Spring+  deionised tap</w:t>
            </w:r>
          </w:p>
        </w:tc>
        <w:tc>
          <w:tcPr>
            <w:tcW w:w="4383" w:type="dxa"/>
            <w:gridSpan w:val="2"/>
            <w:tcBorders>
              <w:top w:val="nil"/>
              <w:left w:val="nil"/>
              <w:bottom w:val="single" w:sz="8" w:space="0" w:color="auto"/>
              <w:right w:val="double" w:sz="6" w:space="0" w:color="auto"/>
            </w:tcBorders>
          </w:tcPr>
          <w:p w14:paraId="12DEE2EC"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Pickering et al., 1977 </w:t>
            </w:r>
          </w:p>
        </w:tc>
      </w:tr>
      <w:tr w:rsidR="00632208" w:rsidRPr="0098635C" w14:paraId="2A00F7A8" w14:textId="77777777" w:rsidTr="00982513">
        <w:trPr>
          <w:trHeight w:val="64"/>
        </w:trPr>
        <w:tc>
          <w:tcPr>
            <w:tcW w:w="1647" w:type="dxa"/>
            <w:gridSpan w:val="2"/>
            <w:tcBorders>
              <w:top w:val="nil"/>
              <w:left w:val="double" w:sz="6" w:space="0" w:color="auto"/>
              <w:bottom w:val="single" w:sz="8" w:space="0" w:color="auto"/>
              <w:right w:val="single" w:sz="8" w:space="0" w:color="auto"/>
            </w:tcBorders>
          </w:tcPr>
          <w:p w14:paraId="1B8875AB" w14:textId="77777777" w:rsidR="00632208" w:rsidRPr="0098635C" w:rsidRDefault="00632208" w:rsidP="00A432B0">
            <w:pPr>
              <w:spacing w:after="0"/>
              <w:rPr>
                <w:color w:val="000000" w:themeColor="text1"/>
                <w:sz w:val="20"/>
                <w:szCs w:val="20"/>
              </w:rPr>
            </w:pPr>
            <w:r w:rsidRPr="0098635C">
              <w:rPr>
                <w:color w:val="000000" w:themeColor="text1"/>
                <w:sz w:val="20"/>
                <w:szCs w:val="20"/>
              </w:rPr>
              <w:t>Pimephales promelas</w:t>
            </w:r>
          </w:p>
        </w:tc>
        <w:tc>
          <w:tcPr>
            <w:tcW w:w="1701" w:type="dxa"/>
            <w:tcBorders>
              <w:top w:val="nil"/>
              <w:left w:val="nil"/>
              <w:bottom w:val="single" w:sz="8" w:space="0" w:color="auto"/>
              <w:right w:val="single" w:sz="8" w:space="0" w:color="auto"/>
            </w:tcBorders>
          </w:tcPr>
          <w:p w14:paraId="5D16E887" w14:textId="77777777" w:rsidR="00632208" w:rsidRPr="0098635C" w:rsidRDefault="00632208" w:rsidP="00A432B0">
            <w:pPr>
              <w:spacing w:after="0"/>
              <w:rPr>
                <w:color w:val="000000" w:themeColor="text1"/>
                <w:sz w:val="20"/>
                <w:szCs w:val="20"/>
              </w:rPr>
            </w:pPr>
            <w:r w:rsidRPr="0098635C">
              <w:rPr>
                <w:color w:val="000000" w:themeColor="text1"/>
                <w:sz w:val="20"/>
                <w:szCs w:val="20"/>
              </w:rPr>
              <w:t>larvae (4 weeks old)</w:t>
            </w:r>
          </w:p>
        </w:tc>
        <w:tc>
          <w:tcPr>
            <w:tcW w:w="709" w:type="dxa"/>
            <w:tcBorders>
              <w:top w:val="nil"/>
              <w:left w:val="nil"/>
              <w:bottom w:val="single" w:sz="8" w:space="0" w:color="auto"/>
              <w:right w:val="single" w:sz="8" w:space="0" w:color="auto"/>
            </w:tcBorders>
          </w:tcPr>
          <w:p w14:paraId="52E360DA" w14:textId="77777777" w:rsidR="00632208" w:rsidRPr="0098635C" w:rsidRDefault="00632208" w:rsidP="00A432B0">
            <w:pPr>
              <w:spacing w:after="0"/>
              <w:rPr>
                <w:color w:val="000000" w:themeColor="text1"/>
                <w:sz w:val="20"/>
                <w:szCs w:val="20"/>
              </w:rPr>
            </w:pPr>
            <w:r w:rsidRPr="0098635C">
              <w:rPr>
                <w:color w:val="000000" w:themeColor="text1"/>
                <w:sz w:val="20"/>
                <w:szCs w:val="20"/>
              </w:rPr>
              <w:t>7 d</w:t>
            </w:r>
          </w:p>
        </w:tc>
        <w:tc>
          <w:tcPr>
            <w:tcW w:w="1276" w:type="dxa"/>
            <w:tcBorders>
              <w:top w:val="nil"/>
              <w:left w:val="nil"/>
              <w:bottom w:val="single" w:sz="8" w:space="0" w:color="auto"/>
              <w:right w:val="single" w:sz="8" w:space="0" w:color="auto"/>
            </w:tcBorders>
          </w:tcPr>
          <w:p w14:paraId="780774EB" w14:textId="77777777" w:rsidR="00632208" w:rsidRPr="0098635C" w:rsidRDefault="00632208" w:rsidP="00A432B0">
            <w:pPr>
              <w:spacing w:after="0"/>
              <w:rPr>
                <w:color w:val="000000" w:themeColor="text1"/>
                <w:sz w:val="20"/>
                <w:szCs w:val="20"/>
              </w:rPr>
            </w:pPr>
            <w:r w:rsidRPr="0098635C">
              <w:rPr>
                <w:color w:val="000000" w:themeColor="text1"/>
                <w:sz w:val="20"/>
                <w:szCs w:val="20"/>
              </w:rPr>
              <w:t>reproduction</w:t>
            </w:r>
          </w:p>
        </w:tc>
        <w:tc>
          <w:tcPr>
            <w:tcW w:w="850" w:type="dxa"/>
            <w:tcBorders>
              <w:top w:val="nil"/>
              <w:left w:val="nil"/>
              <w:bottom w:val="single" w:sz="8" w:space="0" w:color="auto"/>
              <w:right w:val="single" w:sz="8" w:space="0" w:color="auto"/>
            </w:tcBorders>
          </w:tcPr>
          <w:p w14:paraId="511D4086"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22.5</w:t>
            </w:r>
          </w:p>
        </w:tc>
        <w:tc>
          <w:tcPr>
            <w:tcW w:w="709" w:type="dxa"/>
            <w:tcBorders>
              <w:top w:val="nil"/>
              <w:left w:val="nil"/>
              <w:bottom w:val="single" w:sz="8" w:space="0" w:color="auto"/>
              <w:right w:val="single" w:sz="8" w:space="0" w:color="auto"/>
            </w:tcBorders>
          </w:tcPr>
          <w:p w14:paraId="6A4136E9"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62E46780"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4.2</w:t>
            </w:r>
          </w:p>
        </w:tc>
        <w:tc>
          <w:tcPr>
            <w:tcW w:w="3118" w:type="dxa"/>
            <w:tcBorders>
              <w:top w:val="nil"/>
              <w:left w:val="nil"/>
              <w:bottom w:val="single" w:sz="8" w:space="0" w:color="auto"/>
              <w:right w:val="single" w:sz="8" w:space="0" w:color="auto"/>
            </w:tcBorders>
          </w:tcPr>
          <w:p w14:paraId="6F63980D"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23°C; pH: 7.85; H: 202 mg/L CaCO3; DOC: 0.55 mg/L </w:t>
            </w:r>
            <w:r w:rsidRPr="0098635C">
              <w:rPr>
                <w:color w:val="000000" w:themeColor="text1"/>
                <w:sz w:val="20"/>
                <w:szCs w:val="20"/>
                <w:vertAlign w:val="superscript"/>
              </w:rPr>
              <w:t>(14)</w:t>
            </w:r>
          </w:p>
        </w:tc>
        <w:tc>
          <w:tcPr>
            <w:tcW w:w="1003" w:type="dxa"/>
            <w:tcBorders>
              <w:top w:val="nil"/>
              <w:left w:val="nil"/>
              <w:bottom w:val="single" w:sz="8" w:space="0" w:color="auto"/>
              <w:right w:val="single" w:sz="8" w:space="0" w:color="auto"/>
            </w:tcBorders>
          </w:tcPr>
          <w:p w14:paraId="5ACD22E8" w14:textId="77777777" w:rsidR="00632208" w:rsidRPr="0098635C" w:rsidRDefault="00632208" w:rsidP="00A432B0">
            <w:pPr>
              <w:spacing w:after="0"/>
              <w:rPr>
                <w:color w:val="000000" w:themeColor="text1"/>
                <w:sz w:val="20"/>
                <w:szCs w:val="20"/>
              </w:rPr>
            </w:pPr>
            <w:r w:rsidRPr="0098635C">
              <w:rPr>
                <w:color w:val="000000" w:themeColor="text1"/>
                <w:sz w:val="20"/>
                <w:szCs w:val="20"/>
              </w:rPr>
              <w:t>Spring+  deionised tap</w:t>
            </w:r>
          </w:p>
        </w:tc>
        <w:tc>
          <w:tcPr>
            <w:tcW w:w="4383" w:type="dxa"/>
            <w:gridSpan w:val="2"/>
            <w:tcBorders>
              <w:top w:val="nil"/>
              <w:left w:val="nil"/>
              <w:bottom w:val="single" w:sz="8" w:space="0" w:color="auto"/>
              <w:right w:val="double" w:sz="6" w:space="0" w:color="auto"/>
            </w:tcBorders>
          </w:tcPr>
          <w:p w14:paraId="0AC1059C"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Pickering et al., 1977 </w:t>
            </w:r>
          </w:p>
        </w:tc>
      </w:tr>
      <w:tr w:rsidR="00632208" w:rsidRPr="0098635C" w14:paraId="2A4AF89A" w14:textId="77777777" w:rsidTr="00982513">
        <w:trPr>
          <w:trHeight w:val="64"/>
        </w:trPr>
        <w:tc>
          <w:tcPr>
            <w:tcW w:w="1647" w:type="dxa"/>
            <w:gridSpan w:val="2"/>
            <w:tcBorders>
              <w:top w:val="nil"/>
              <w:left w:val="double" w:sz="6" w:space="0" w:color="auto"/>
              <w:bottom w:val="single" w:sz="8" w:space="0" w:color="auto"/>
              <w:right w:val="single" w:sz="8" w:space="0" w:color="auto"/>
            </w:tcBorders>
          </w:tcPr>
          <w:p w14:paraId="0229B48A"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Salvelinus fontinalis </w:t>
            </w:r>
          </w:p>
        </w:tc>
        <w:tc>
          <w:tcPr>
            <w:tcW w:w="1701" w:type="dxa"/>
            <w:tcBorders>
              <w:top w:val="nil"/>
              <w:left w:val="nil"/>
              <w:bottom w:val="single" w:sz="8" w:space="0" w:color="auto"/>
              <w:right w:val="single" w:sz="8" w:space="0" w:color="auto"/>
            </w:tcBorders>
          </w:tcPr>
          <w:p w14:paraId="14FFB0B5" w14:textId="77777777" w:rsidR="00632208" w:rsidRPr="0098635C" w:rsidRDefault="00632208" w:rsidP="00A432B0">
            <w:pPr>
              <w:spacing w:after="0"/>
              <w:rPr>
                <w:color w:val="000000" w:themeColor="text1"/>
                <w:sz w:val="20"/>
                <w:szCs w:val="20"/>
              </w:rPr>
            </w:pPr>
            <w:r w:rsidRPr="0098635C">
              <w:rPr>
                <w:color w:val="000000" w:themeColor="text1"/>
                <w:sz w:val="20"/>
                <w:szCs w:val="20"/>
              </w:rPr>
              <w:t>embryo</w:t>
            </w:r>
          </w:p>
        </w:tc>
        <w:tc>
          <w:tcPr>
            <w:tcW w:w="709" w:type="dxa"/>
            <w:tcBorders>
              <w:top w:val="nil"/>
              <w:left w:val="nil"/>
              <w:bottom w:val="single" w:sz="8" w:space="0" w:color="auto"/>
              <w:right w:val="single" w:sz="8" w:space="0" w:color="auto"/>
            </w:tcBorders>
          </w:tcPr>
          <w:p w14:paraId="302AC76E" w14:textId="77777777" w:rsidR="00632208" w:rsidRPr="0098635C" w:rsidRDefault="00632208" w:rsidP="00A432B0">
            <w:pPr>
              <w:spacing w:after="0"/>
              <w:rPr>
                <w:color w:val="000000" w:themeColor="text1"/>
                <w:sz w:val="20"/>
                <w:szCs w:val="20"/>
              </w:rPr>
            </w:pPr>
            <w:r w:rsidRPr="0098635C">
              <w:rPr>
                <w:color w:val="000000" w:themeColor="text1"/>
                <w:sz w:val="20"/>
                <w:szCs w:val="20"/>
              </w:rPr>
              <w:t>30-60 d</w:t>
            </w:r>
          </w:p>
        </w:tc>
        <w:tc>
          <w:tcPr>
            <w:tcW w:w="1276" w:type="dxa"/>
            <w:tcBorders>
              <w:top w:val="nil"/>
              <w:left w:val="nil"/>
              <w:bottom w:val="single" w:sz="8" w:space="0" w:color="auto"/>
              <w:right w:val="single" w:sz="8" w:space="0" w:color="auto"/>
            </w:tcBorders>
          </w:tcPr>
          <w:p w14:paraId="74318FDD"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2C690760"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22.3</w:t>
            </w:r>
          </w:p>
        </w:tc>
        <w:tc>
          <w:tcPr>
            <w:tcW w:w="709" w:type="dxa"/>
            <w:tcBorders>
              <w:top w:val="nil"/>
              <w:left w:val="nil"/>
              <w:bottom w:val="single" w:sz="8" w:space="0" w:color="auto"/>
              <w:right w:val="single" w:sz="8" w:space="0" w:color="auto"/>
            </w:tcBorders>
          </w:tcPr>
          <w:p w14:paraId="544CAB8A"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1C5DB9C8" w14:textId="77777777" w:rsidR="00632208" w:rsidRPr="0098635C" w:rsidRDefault="00632208" w:rsidP="00A432B0">
            <w:pPr>
              <w:spacing w:after="0"/>
              <w:rPr>
                <w:color w:val="000000" w:themeColor="text1"/>
                <w:sz w:val="20"/>
                <w:szCs w:val="20"/>
              </w:rPr>
            </w:pPr>
            <w:r w:rsidRPr="0098635C">
              <w:rPr>
                <w:color w:val="000000" w:themeColor="text1"/>
                <w:sz w:val="20"/>
                <w:szCs w:val="20"/>
              </w:rPr>
              <w:t>/</w:t>
            </w:r>
          </w:p>
        </w:tc>
        <w:tc>
          <w:tcPr>
            <w:tcW w:w="3118" w:type="dxa"/>
            <w:tcBorders>
              <w:top w:val="nil"/>
              <w:left w:val="nil"/>
              <w:bottom w:val="single" w:sz="8" w:space="0" w:color="auto"/>
              <w:right w:val="single" w:sz="8" w:space="0" w:color="auto"/>
            </w:tcBorders>
          </w:tcPr>
          <w:p w14:paraId="52ACEFAB"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5.6 °C; pH: 7.6; H: 45.4 mg/L CaCO3; DOC: 1.0 mg/L </w:t>
            </w:r>
            <w:r w:rsidRPr="0098635C">
              <w:rPr>
                <w:color w:val="000000" w:themeColor="text1"/>
                <w:sz w:val="20"/>
                <w:szCs w:val="20"/>
                <w:vertAlign w:val="superscript"/>
              </w:rPr>
              <w:t>(13)</w:t>
            </w:r>
          </w:p>
        </w:tc>
        <w:tc>
          <w:tcPr>
            <w:tcW w:w="1003" w:type="dxa"/>
            <w:tcBorders>
              <w:top w:val="nil"/>
              <w:left w:val="nil"/>
              <w:bottom w:val="single" w:sz="8" w:space="0" w:color="auto"/>
              <w:right w:val="single" w:sz="8" w:space="0" w:color="auto"/>
            </w:tcBorders>
          </w:tcPr>
          <w:p w14:paraId="4F734DEF" w14:textId="77777777" w:rsidR="00632208" w:rsidRPr="0098635C" w:rsidRDefault="00632208" w:rsidP="00A432B0">
            <w:pPr>
              <w:spacing w:after="0"/>
              <w:rPr>
                <w:color w:val="000000" w:themeColor="text1"/>
                <w:sz w:val="20"/>
                <w:szCs w:val="20"/>
              </w:rPr>
            </w:pPr>
            <w:r w:rsidRPr="0098635C">
              <w:rPr>
                <w:color w:val="000000" w:themeColor="text1"/>
                <w:sz w:val="20"/>
                <w:szCs w:val="20"/>
              </w:rPr>
              <w:t>Lake (Lake Superior)</w:t>
            </w:r>
          </w:p>
        </w:tc>
        <w:tc>
          <w:tcPr>
            <w:tcW w:w="4383" w:type="dxa"/>
            <w:gridSpan w:val="2"/>
            <w:tcBorders>
              <w:top w:val="nil"/>
              <w:left w:val="nil"/>
              <w:bottom w:val="single" w:sz="8" w:space="0" w:color="auto"/>
              <w:right w:val="double" w:sz="6" w:space="0" w:color="auto"/>
            </w:tcBorders>
          </w:tcPr>
          <w:p w14:paraId="1581A95C"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McKim et al., 1978 </w:t>
            </w:r>
          </w:p>
        </w:tc>
      </w:tr>
      <w:tr w:rsidR="00632208" w:rsidRPr="0098635C" w14:paraId="20703AAC" w14:textId="77777777" w:rsidTr="00982513">
        <w:trPr>
          <w:trHeight w:val="64"/>
        </w:trPr>
        <w:tc>
          <w:tcPr>
            <w:tcW w:w="1647" w:type="dxa"/>
            <w:gridSpan w:val="2"/>
            <w:tcBorders>
              <w:top w:val="nil"/>
              <w:left w:val="double" w:sz="6" w:space="0" w:color="auto"/>
              <w:bottom w:val="single" w:sz="8" w:space="0" w:color="auto"/>
              <w:right w:val="single" w:sz="8" w:space="0" w:color="auto"/>
            </w:tcBorders>
          </w:tcPr>
          <w:p w14:paraId="192FFF0B"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Salvelinus fontinalis </w:t>
            </w:r>
          </w:p>
        </w:tc>
        <w:tc>
          <w:tcPr>
            <w:tcW w:w="1701" w:type="dxa"/>
            <w:tcBorders>
              <w:top w:val="nil"/>
              <w:left w:val="nil"/>
              <w:bottom w:val="single" w:sz="8" w:space="0" w:color="auto"/>
              <w:right w:val="single" w:sz="8" w:space="0" w:color="auto"/>
            </w:tcBorders>
          </w:tcPr>
          <w:p w14:paraId="61580D54" w14:textId="77777777" w:rsidR="00632208" w:rsidRPr="0098635C" w:rsidRDefault="00632208" w:rsidP="00A432B0">
            <w:pPr>
              <w:spacing w:after="0"/>
              <w:rPr>
                <w:color w:val="000000" w:themeColor="text1"/>
                <w:sz w:val="20"/>
                <w:szCs w:val="20"/>
              </w:rPr>
            </w:pPr>
            <w:r w:rsidRPr="0098635C">
              <w:rPr>
                <w:color w:val="000000" w:themeColor="text1"/>
                <w:sz w:val="20"/>
                <w:szCs w:val="20"/>
              </w:rPr>
              <w:t>embryo</w:t>
            </w:r>
          </w:p>
        </w:tc>
        <w:tc>
          <w:tcPr>
            <w:tcW w:w="709" w:type="dxa"/>
            <w:tcBorders>
              <w:top w:val="nil"/>
              <w:left w:val="nil"/>
              <w:bottom w:val="single" w:sz="8" w:space="0" w:color="auto"/>
              <w:right w:val="single" w:sz="8" w:space="0" w:color="auto"/>
            </w:tcBorders>
          </w:tcPr>
          <w:p w14:paraId="0A044289" w14:textId="77777777" w:rsidR="00632208" w:rsidRPr="0098635C" w:rsidRDefault="00632208" w:rsidP="00A432B0">
            <w:pPr>
              <w:spacing w:after="0"/>
              <w:rPr>
                <w:color w:val="000000" w:themeColor="text1"/>
                <w:sz w:val="20"/>
                <w:szCs w:val="20"/>
              </w:rPr>
            </w:pPr>
            <w:r w:rsidRPr="0098635C">
              <w:rPr>
                <w:color w:val="000000" w:themeColor="text1"/>
                <w:sz w:val="20"/>
                <w:szCs w:val="20"/>
              </w:rPr>
              <w:t>30-60 d</w:t>
            </w:r>
          </w:p>
        </w:tc>
        <w:tc>
          <w:tcPr>
            <w:tcW w:w="1276" w:type="dxa"/>
            <w:tcBorders>
              <w:top w:val="nil"/>
              <w:left w:val="nil"/>
              <w:bottom w:val="single" w:sz="8" w:space="0" w:color="auto"/>
              <w:right w:val="single" w:sz="8" w:space="0" w:color="auto"/>
            </w:tcBorders>
          </w:tcPr>
          <w:p w14:paraId="60792E46" w14:textId="77777777" w:rsidR="00632208" w:rsidRPr="0098635C" w:rsidRDefault="00632208" w:rsidP="00A432B0">
            <w:pPr>
              <w:spacing w:after="0"/>
              <w:rPr>
                <w:color w:val="000000" w:themeColor="text1"/>
                <w:sz w:val="20"/>
                <w:szCs w:val="20"/>
              </w:rPr>
            </w:pPr>
            <w:r w:rsidRPr="0098635C">
              <w:rPr>
                <w:color w:val="000000" w:themeColor="text1"/>
                <w:sz w:val="20"/>
                <w:szCs w:val="20"/>
              </w:rPr>
              <w:t>mortality</w:t>
            </w:r>
          </w:p>
        </w:tc>
        <w:tc>
          <w:tcPr>
            <w:tcW w:w="850" w:type="dxa"/>
            <w:tcBorders>
              <w:top w:val="nil"/>
              <w:left w:val="nil"/>
              <w:bottom w:val="single" w:sz="8" w:space="0" w:color="auto"/>
              <w:right w:val="single" w:sz="8" w:space="0" w:color="auto"/>
            </w:tcBorders>
          </w:tcPr>
          <w:p w14:paraId="23F12F97"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22.3</w:t>
            </w:r>
          </w:p>
        </w:tc>
        <w:tc>
          <w:tcPr>
            <w:tcW w:w="709" w:type="dxa"/>
            <w:tcBorders>
              <w:top w:val="nil"/>
              <w:left w:val="nil"/>
              <w:bottom w:val="single" w:sz="8" w:space="0" w:color="auto"/>
              <w:right w:val="single" w:sz="8" w:space="0" w:color="auto"/>
            </w:tcBorders>
          </w:tcPr>
          <w:p w14:paraId="76BB6681"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0E585AFA" w14:textId="77777777" w:rsidR="00632208" w:rsidRPr="0098635C" w:rsidRDefault="00632208" w:rsidP="00A432B0">
            <w:pPr>
              <w:spacing w:after="0"/>
              <w:rPr>
                <w:color w:val="000000" w:themeColor="text1"/>
                <w:sz w:val="20"/>
                <w:szCs w:val="20"/>
              </w:rPr>
            </w:pPr>
            <w:r w:rsidRPr="0098635C">
              <w:rPr>
                <w:color w:val="000000" w:themeColor="text1"/>
                <w:sz w:val="20"/>
                <w:szCs w:val="20"/>
              </w:rPr>
              <w:t>/</w:t>
            </w:r>
          </w:p>
        </w:tc>
        <w:tc>
          <w:tcPr>
            <w:tcW w:w="3118" w:type="dxa"/>
            <w:tcBorders>
              <w:top w:val="nil"/>
              <w:left w:val="nil"/>
              <w:bottom w:val="single" w:sz="8" w:space="0" w:color="auto"/>
              <w:right w:val="single" w:sz="8" w:space="0" w:color="auto"/>
            </w:tcBorders>
          </w:tcPr>
          <w:p w14:paraId="6EA6E2E3"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5.6 °C; pH: 7.6; H: 45.4 mg/L CaCO3; DOC: 1.0 mg/L </w:t>
            </w:r>
            <w:r w:rsidRPr="0098635C">
              <w:rPr>
                <w:color w:val="000000" w:themeColor="text1"/>
                <w:sz w:val="20"/>
                <w:szCs w:val="20"/>
                <w:vertAlign w:val="superscript"/>
              </w:rPr>
              <w:t>(13)</w:t>
            </w:r>
          </w:p>
        </w:tc>
        <w:tc>
          <w:tcPr>
            <w:tcW w:w="1003" w:type="dxa"/>
            <w:tcBorders>
              <w:top w:val="nil"/>
              <w:left w:val="nil"/>
              <w:bottom w:val="single" w:sz="8" w:space="0" w:color="auto"/>
              <w:right w:val="single" w:sz="8" w:space="0" w:color="auto"/>
            </w:tcBorders>
          </w:tcPr>
          <w:p w14:paraId="135B15E7" w14:textId="77777777" w:rsidR="00632208" w:rsidRPr="0098635C" w:rsidRDefault="00632208" w:rsidP="00A432B0">
            <w:pPr>
              <w:spacing w:after="0"/>
              <w:rPr>
                <w:color w:val="000000" w:themeColor="text1"/>
                <w:sz w:val="20"/>
                <w:szCs w:val="20"/>
              </w:rPr>
            </w:pPr>
            <w:r w:rsidRPr="0098635C">
              <w:rPr>
                <w:color w:val="000000" w:themeColor="text1"/>
                <w:sz w:val="20"/>
                <w:szCs w:val="20"/>
              </w:rPr>
              <w:t>Lake (Lake Superior)</w:t>
            </w:r>
          </w:p>
        </w:tc>
        <w:tc>
          <w:tcPr>
            <w:tcW w:w="4383" w:type="dxa"/>
            <w:gridSpan w:val="2"/>
            <w:tcBorders>
              <w:top w:val="nil"/>
              <w:left w:val="nil"/>
              <w:bottom w:val="single" w:sz="8" w:space="0" w:color="auto"/>
              <w:right w:val="double" w:sz="6" w:space="0" w:color="auto"/>
            </w:tcBorders>
          </w:tcPr>
          <w:p w14:paraId="28640713"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McKim et al., 1978 </w:t>
            </w:r>
          </w:p>
        </w:tc>
      </w:tr>
      <w:tr w:rsidR="00632208" w:rsidRPr="0098635C" w14:paraId="4677E2DA" w14:textId="77777777" w:rsidTr="00982513">
        <w:trPr>
          <w:trHeight w:val="64"/>
        </w:trPr>
        <w:tc>
          <w:tcPr>
            <w:tcW w:w="1647" w:type="dxa"/>
            <w:gridSpan w:val="2"/>
            <w:tcBorders>
              <w:top w:val="nil"/>
              <w:left w:val="double" w:sz="6" w:space="0" w:color="auto"/>
              <w:bottom w:val="single" w:sz="8" w:space="0" w:color="auto"/>
              <w:right w:val="single" w:sz="8" w:space="0" w:color="auto"/>
            </w:tcBorders>
          </w:tcPr>
          <w:p w14:paraId="0C879900"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Salvelinus fontinalis </w:t>
            </w:r>
          </w:p>
        </w:tc>
        <w:tc>
          <w:tcPr>
            <w:tcW w:w="1701" w:type="dxa"/>
            <w:tcBorders>
              <w:top w:val="nil"/>
              <w:left w:val="nil"/>
              <w:bottom w:val="single" w:sz="8" w:space="0" w:color="auto"/>
              <w:right w:val="single" w:sz="8" w:space="0" w:color="auto"/>
            </w:tcBorders>
          </w:tcPr>
          <w:p w14:paraId="49055789" w14:textId="77777777" w:rsidR="00632208" w:rsidRPr="0098635C" w:rsidRDefault="00632208" w:rsidP="00A432B0">
            <w:pPr>
              <w:spacing w:after="0"/>
              <w:rPr>
                <w:color w:val="000000" w:themeColor="text1"/>
                <w:sz w:val="20"/>
                <w:szCs w:val="20"/>
              </w:rPr>
            </w:pPr>
            <w:r w:rsidRPr="0098635C">
              <w:rPr>
                <w:color w:val="000000" w:themeColor="text1"/>
                <w:sz w:val="20"/>
                <w:szCs w:val="20"/>
              </w:rPr>
              <w:t>Alevins/juveniles</w:t>
            </w:r>
          </w:p>
        </w:tc>
        <w:tc>
          <w:tcPr>
            <w:tcW w:w="709" w:type="dxa"/>
            <w:tcBorders>
              <w:top w:val="nil"/>
              <w:left w:val="nil"/>
              <w:bottom w:val="single" w:sz="8" w:space="0" w:color="auto"/>
              <w:right w:val="single" w:sz="8" w:space="0" w:color="auto"/>
            </w:tcBorders>
          </w:tcPr>
          <w:p w14:paraId="6CFC07FF" w14:textId="77777777" w:rsidR="00632208" w:rsidRPr="0098635C" w:rsidRDefault="00632208" w:rsidP="00A432B0">
            <w:pPr>
              <w:spacing w:after="0"/>
              <w:rPr>
                <w:color w:val="000000" w:themeColor="text1"/>
                <w:sz w:val="20"/>
                <w:szCs w:val="20"/>
              </w:rPr>
            </w:pPr>
            <w:r w:rsidRPr="0098635C">
              <w:rPr>
                <w:color w:val="000000" w:themeColor="text1"/>
                <w:sz w:val="20"/>
                <w:szCs w:val="20"/>
              </w:rPr>
              <w:t>189 d</w:t>
            </w:r>
          </w:p>
        </w:tc>
        <w:tc>
          <w:tcPr>
            <w:tcW w:w="1276" w:type="dxa"/>
            <w:tcBorders>
              <w:top w:val="nil"/>
              <w:left w:val="nil"/>
              <w:bottom w:val="single" w:sz="8" w:space="0" w:color="auto"/>
              <w:right w:val="single" w:sz="8" w:space="0" w:color="auto"/>
            </w:tcBorders>
          </w:tcPr>
          <w:p w14:paraId="1BCBAAB0"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6F5FEEE3"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9.5</w:t>
            </w:r>
          </w:p>
        </w:tc>
        <w:tc>
          <w:tcPr>
            <w:tcW w:w="709" w:type="dxa"/>
            <w:tcBorders>
              <w:top w:val="nil"/>
              <w:left w:val="nil"/>
              <w:bottom w:val="single" w:sz="8" w:space="0" w:color="auto"/>
              <w:right w:val="single" w:sz="8" w:space="0" w:color="auto"/>
            </w:tcBorders>
          </w:tcPr>
          <w:p w14:paraId="4E5C6935"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4A3D0213" w14:textId="77777777" w:rsidR="00632208" w:rsidRPr="0098635C" w:rsidRDefault="00632208" w:rsidP="00A432B0">
            <w:pPr>
              <w:spacing w:after="0"/>
              <w:rPr>
                <w:color w:val="000000" w:themeColor="text1"/>
                <w:sz w:val="20"/>
                <w:szCs w:val="20"/>
              </w:rPr>
            </w:pPr>
            <w:r w:rsidRPr="0098635C">
              <w:rPr>
                <w:color w:val="000000" w:themeColor="text1"/>
                <w:sz w:val="20"/>
                <w:szCs w:val="20"/>
              </w:rPr>
              <w:t>/</w:t>
            </w:r>
          </w:p>
        </w:tc>
        <w:tc>
          <w:tcPr>
            <w:tcW w:w="3118" w:type="dxa"/>
            <w:tcBorders>
              <w:top w:val="nil"/>
              <w:left w:val="nil"/>
              <w:bottom w:val="single" w:sz="8" w:space="0" w:color="auto"/>
              <w:right w:val="single" w:sz="8" w:space="0" w:color="auto"/>
            </w:tcBorders>
          </w:tcPr>
          <w:p w14:paraId="21857B5B"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10.6 °C; pH: 7.45; H: 45.4 mg/L CaCO3; DOC: 1 mg/L </w:t>
            </w:r>
            <w:r w:rsidRPr="0098635C">
              <w:rPr>
                <w:color w:val="000000" w:themeColor="text1"/>
                <w:sz w:val="20"/>
                <w:szCs w:val="20"/>
                <w:vertAlign w:val="superscript"/>
              </w:rPr>
              <w:t>(7)</w:t>
            </w:r>
          </w:p>
        </w:tc>
        <w:tc>
          <w:tcPr>
            <w:tcW w:w="1003" w:type="dxa"/>
            <w:tcBorders>
              <w:top w:val="nil"/>
              <w:left w:val="nil"/>
              <w:bottom w:val="single" w:sz="8" w:space="0" w:color="auto"/>
              <w:right w:val="single" w:sz="8" w:space="0" w:color="auto"/>
            </w:tcBorders>
          </w:tcPr>
          <w:p w14:paraId="18DA0D7B" w14:textId="77777777" w:rsidR="00632208" w:rsidRPr="0098635C" w:rsidRDefault="00632208" w:rsidP="00A432B0">
            <w:pPr>
              <w:spacing w:after="0"/>
              <w:rPr>
                <w:color w:val="000000" w:themeColor="text1"/>
                <w:sz w:val="20"/>
                <w:szCs w:val="20"/>
              </w:rPr>
            </w:pPr>
            <w:r w:rsidRPr="0098635C">
              <w:rPr>
                <w:color w:val="000000" w:themeColor="text1"/>
                <w:sz w:val="20"/>
                <w:szCs w:val="20"/>
              </w:rPr>
              <w:t>Tap</w:t>
            </w:r>
          </w:p>
        </w:tc>
        <w:tc>
          <w:tcPr>
            <w:tcW w:w="4383" w:type="dxa"/>
            <w:gridSpan w:val="2"/>
            <w:tcBorders>
              <w:top w:val="nil"/>
              <w:left w:val="nil"/>
              <w:bottom w:val="single" w:sz="8" w:space="0" w:color="auto"/>
              <w:right w:val="double" w:sz="6" w:space="0" w:color="auto"/>
            </w:tcBorders>
          </w:tcPr>
          <w:p w14:paraId="0043DCBD"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McKim &amp; Benoit, 1971 </w:t>
            </w:r>
          </w:p>
        </w:tc>
      </w:tr>
      <w:tr w:rsidR="00632208" w:rsidRPr="0098635C" w14:paraId="2C75D862" w14:textId="77777777" w:rsidTr="00982513">
        <w:trPr>
          <w:trHeight w:val="64"/>
        </w:trPr>
        <w:tc>
          <w:tcPr>
            <w:tcW w:w="1647" w:type="dxa"/>
            <w:gridSpan w:val="2"/>
            <w:tcBorders>
              <w:top w:val="nil"/>
              <w:left w:val="double" w:sz="6" w:space="0" w:color="auto"/>
              <w:bottom w:val="single" w:sz="8" w:space="0" w:color="auto"/>
              <w:right w:val="single" w:sz="8" w:space="0" w:color="auto"/>
            </w:tcBorders>
          </w:tcPr>
          <w:p w14:paraId="004694C6"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Salvelinus fontinalis </w:t>
            </w:r>
          </w:p>
        </w:tc>
        <w:tc>
          <w:tcPr>
            <w:tcW w:w="1701" w:type="dxa"/>
            <w:tcBorders>
              <w:top w:val="nil"/>
              <w:left w:val="nil"/>
              <w:bottom w:val="single" w:sz="8" w:space="0" w:color="auto"/>
              <w:right w:val="single" w:sz="8" w:space="0" w:color="auto"/>
            </w:tcBorders>
          </w:tcPr>
          <w:p w14:paraId="2EC62E0C" w14:textId="77777777" w:rsidR="00632208" w:rsidRPr="0098635C" w:rsidRDefault="00632208" w:rsidP="00A432B0">
            <w:pPr>
              <w:spacing w:after="0"/>
              <w:rPr>
                <w:color w:val="000000" w:themeColor="text1"/>
                <w:sz w:val="20"/>
                <w:szCs w:val="20"/>
              </w:rPr>
            </w:pPr>
            <w:r w:rsidRPr="0098635C">
              <w:rPr>
                <w:color w:val="000000" w:themeColor="text1"/>
                <w:sz w:val="20"/>
                <w:szCs w:val="20"/>
              </w:rPr>
              <w:t>Alevins/juveniles</w:t>
            </w:r>
          </w:p>
        </w:tc>
        <w:tc>
          <w:tcPr>
            <w:tcW w:w="709" w:type="dxa"/>
            <w:tcBorders>
              <w:top w:val="nil"/>
              <w:left w:val="nil"/>
              <w:bottom w:val="single" w:sz="8" w:space="0" w:color="auto"/>
              <w:right w:val="single" w:sz="8" w:space="0" w:color="auto"/>
            </w:tcBorders>
          </w:tcPr>
          <w:p w14:paraId="03E14C18" w14:textId="77777777" w:rsidR="00632208" w:rsidRPr="0098635C" w:rsidRDefault="00632208" w:rsidP="00A432B0">
            <w:pPr>
              <w:spacing w:after="0"/>
              <w:rPr>
                <w:color w:val="000000" w:themeColor="text1"/>
                <w:sz w:val="20"/>
                <w:szCs w:val="20"/>
              </w:rPr>
            </w:pPr>
            <w:r w:rsidRPr="0098635C">
              <w:rPr>
                <w:color w:val="000000" w:themeColor="text1"/>
                <w:sz w:val="20"/>
                <w:szCs w:val="20"/>
              </w:rPr>
              <w:t>189 d</w:t>
            </w:r>
          </w:p>
        </w:tc>
        <w:tc>
          <w:tcPr>
            <w:tcW w:w="1276" w:type="dxa"/>
            <w:tcBorders>
              <w:top w:val="nil"/>
              <w:left w:val="nil"/>
              <w:bottom w:val="single" w:sz="8" w:space="0" w:color="auto"/>
              <w:right w:val="single" w:sz="8" w:space="0" w:color="auto"/>
            </w:tcBorders>
          </w:tcPr>
          <w:p w14:paraId="7530EC63" w14:textId="77777777" w:rsidR="00632208" w:rsidRPr="0098635C" w:rsidRDefault="00632208" w:rsidP="00A432B0">
            <w:pPr>
              <w:spacing w:after="0"/>
              <w:rPr>
                <w:color w:val="000000" w:themeColor="text1"/>
                <w:sz w:val="20"/>
                <w:szCs w:val="20"/>
              </w:rPr>
            </w:pPr>
            <w:r w:rsidRPr="0098635C">
              <w:rPr>
                <w:color w:val="000000" w:themeColor="text1"/>
                <w:sz w:val="20"/>
                <w:szCs w:val="20"/>
              </w:rPr>
              <w:t>mortality</w:t>
            </w:r>
          </w:p>
        </w:tc>
        <w:tc>
          <w:tcPr>
            <w:tcW w:w="850" w:type="dxa"/>
            <w:tcBorders>
              <w:top w:val="nil"/>
              <w:left w:val="nil"/>
              <w:bottom w:val="single" w:sz="8" w:space="0" w:color="auto"/>
              <w:right w:val="single" w:sz="8" w:space="0" w:color="auto"/>
            </w:tcBorders>
          </w:tcPr>
          <w:p w14:paraId="70E99097"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9.5</w:t>
            </w:r>
          </w:p>
        </w:tc>
        <w:tc>
          <w:tcPr>
            <w:tcW w:w="709" w:type="dxa"/>
            <w:tcBorders>
              <w:top w:val="nil"/>
              <w:left w:val="nil"/>
              <w:bottom w:val="single" w:sz="8" w:space="0" w:color="auto"/>
              <w:right w:val="single" w:sz="8" w:space="0" w:color="auto"/>
            </w:tcBorders>
          </w:tcPr>
          <w:p w14:paraId="4B5CF029"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47761FBF" w14:textId="77777777" w:rsidR="00632208" w:rsidRPr="0098635C" w:rsidRDefault="00632208" w:rsidP="00A432B0">
            <w:pPr>
              <w:spacing w:after="0"/>
              <w:rPr>
                <w:color w:val="000000" w:themeColor="text1"/>
                <w:sz w:val="20"/>
                <w:szCs w:val="20"/>
              </w:rPr>
            </w:pPr>
            <w:r w:rsidRPr="0098635C">
              <w:rPr>
                <w:color w:val="000000" w:themeColor="text1"/>
                <w:sz w:val="20"/>
                <w:szCs w:val="20"/>
              </w:rPr>
              <w:t>/</w:t>
            </w:r>
          </w:p>
        </w:tc>
        <w:tc>
          <w:tcPr>
            <w:tcW w:w="3118" w:type="dxa"/>
            <w:tcBorders>
              <w:top w:val="nil"/>
              <w:left w:val="nil"/>
              <w:bottom w:val="single" w:sz="8" w:space="0" w:color="auto"/>
              <w:right w:val="single" w:sz="8" w:space="0" w:color="auto"/>
            </w:tcBorders>
          </w:tcPr>
          <w:p w14:paraId="19ACCDD6"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10.6 °C; pH: 7.5; H: 45.4 mg/L CaCO3; DOC: 1 mg/L </w:t>
            </w:r>
            <w:r w:rsidRPr="0098635C">
              <w:rPr>
                <w:color w:val="000000" w:themeColor="text1"/>
                <w:sz w:val="20"/>
                <w:szCs w:val="20"/>
                <w:vertAlign w:val="superscript"/>
              </w:rPr>
              <w:t>(7)</w:t>
            </w:r>
          </w:p>
        </w:tc>
        <w:tc>
          <w:tcPr>
            <w:tcW w:w="1003" w:type="dxa"/>
            <w:tcBorders>
              <w:top w:val="nil"/>
              <w:left w:val="nil"/>
              <w:bottom w:val="single" w:sz="8" w:space="0" w:color="auto"/>
              <w:right w:val="single" w:sz="8" w:space="0" w:color="auto"/>
            </w:tcBorders>
          </w:tcPr>
          <w:p w14:paraId="1561505A" w14:textId="77777777" w:rsidR="00632208" w:rsidRPr="0098635C" w:rsidRDefault="00632208" w:rsidP="00A432B0">
            <w:pPr>
              <w:spacing w:after="0"/>
              <w:rPr>
                <w:color w:val="000000" w:themeColor="text1"/>
                <w:sz w:val="20"/>
                <w:szCs w:val="20"/>
              </w:rPr>
            </w:pPr>
            <w:r w:rsidRPr="0098635C">
              <w:rPr>
                <w:color w:val="000000" w:themeColor="text1"/>
                <w:sz w:val="20"/>
                <w:szCs w:val="20"/>
              </w:rPr>
              <w:t>Tap</w:t>
            </w:r>
          </w:p>
        </w:tc>
        <w:tc>
          <w:tcPr>
            <w:tcW w:w="4383" w:type="dxa"/>
            <w:gridSpan w:val="2"/>
            <w:tcBorders>
              <w:top w:val="nil"/>
              <w:left w:val="nil"/>
              <w:bottom w:val="single" w:sz="8" w:space="0" w:color="auto"/>
              <w:right w:val="double" w:sz="6" w:space="0" w:color="auto"/>
            </w:tcBorders>
          </w:tcPr>
          <w:p w14:paraId="51545CB8"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McKim &amp; Benoit, 1971 </w:t>
            </w:r>
          </w:p>
        </w:tc>
      </w:tr>
      <w:tr w:rsidR="00632208" w:rsidRPr="0098635C" w14:paraId="3E4AAC1E" w14:textId="77777777" w:rsidTr="00982513">
        <w:trPr>
          <w:trHeight w:val="64"/>
        </w:trPr>
        <w:tc>
          <w:tcPr>
            <w:tcW w:w="1647" w:type="dxa"/>
            <w:gridSpan w:val="2"/>
            <w:tcBorders>
              <w:top w:val="nil"/>
              <w:left w:val="double" w:sz="6" w:space="0" w:color="auto"/>
              <w:bottom w:val="single" w:sz="8" w:space="0" w:color="auto"/>
              <w:right w:val="single" w:sz="8" w:space="0" w:color="auto"/>
            </w:tcBorders>
          </w:tcPr>
          <w:p w14:paraId="3FFB03C4"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Salvelinus fontinalis </w:t>
            </w:r>
          </w:p>
        </w:tc>
        <w:tc>
          <w:tcPr>
            <w:tcW w:w="1701" w:type="dxa"/>
            <w:tcBorders>
              <w:top w:val="nil"/>
              <w:left w:val="nil"/>
              <w:bottom w:val="single" w:sz="8" w:space="0" w:color="auto"/>
              <w:right w:val="single" w:sz="8" w:space="0" w:color="auto"/>
            </w:tcBorders>
          </w:tcPr>
          <w:p w14:paraId="1BCC39B7" w14:textId="77777777" w:rsidR="00632208" w:rsidRPr="0098635C" w:rsidRDefault="00632208" w:rsidP="00A432B0">
            <w:pPr>
              <w:spacing w:after="0"/>
              <w:rPr>
                <w:color w:val="000000" w:themeColor="text1"/>
                <w:sz w:val="20"/>
                <w:szCs w:val="20"/>
              </w:rPr>
            </w:pPr>
            <w:r w:rsidRPr="0098635C">
              <w:rPr>
                <w:color w:val="000000" w:themeColor="text1"/>
                <w:sz w:val="20"/>
                <w:szCs w:val="20"/>
              </w:rPr>
              <w:t>yearling</w:t>
            </w:r>
          </w:p>
        </w:tc>
        <w:tc>
          <w:tcPr>
            <w:tcW w:w="709" w:type="dxa"/>
            <w:tcBorders>
              <w:top w:val="nil"/>
              <w:left w:val="nil"/>
              <w:bottom w:val="single" w:sz="8" w:space="0" w:color="auto"/>
              <w:right w:val="single" w:sz="8" w:space="0" w:color="auto"/>
            </w:tcBorders>
          </w:tcPr>
          <w:p w14:paraId="04CEEE36" w14:textId="77777777" w:rsidR="00632208" w:rsidRPr="0098635C" w:rsidRDefault="00632208" w:rsidP="00A432B0">
            <w:pPr>
              <w:spacing w:after="0"/>
              <w:rPr>
                <w:color w:val="000000" w:themeColor="text1"/>
                <w:sz w:val="20"/>
                <w:szCs w:val="20"/>
              </w:rPr>
            </w:pPr>
            <w:r w:rsidRPr="0098635C">
              <w:rPr>
                <w:color w:val="000000" w:themeColor="text1"/>
                <w:sz w:val="20"/>
                <w:szCs w:val="20"/>
              </w:rPr>
              <w:t>244 d</w:t>
            </w:r>
          </w:p>
        </w:tc>
        <w:tc>
          <w:tcPr>
            <w:tcW w:w="1276" w:type="dxa"/>
            <w:tcBorders>
              <w:top w:val="nil"/>
              <w:left w:val="nil"/>
              <w:bottom w:val="single" w:sz="8" w:space="0" w:color="auto"/>
              <w:right w:val="single" w:sz="8" w:space="0" w:color="auto"/>
            </w:tcBorders>
          </w:tcPr>
          <w:p w14:paraId="11954119"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25EF0764"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17.4</w:t>
            </w:r>
          </w:p>
        </w:tc>
        <w:tc>
          <w:tcPr>
            <w:tcW w:w="709" w:type="dxa"/>
            <w:tcBorders>
              <w:top w:val="nil"/>
              <w:left w:val="nil"/>
              <w:bottom w:val="single" w:sz="8" w:space="0" w:color="auto"/>
              <w:right w:val="single" w:sz="8" w:space="0" w:color="auto"/>
            </w:tcBorders>
          </w:tcPr>
          <w:p w14:paraId="5DFB60B7"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0FBA4112" w14:textId="77777777" w:rsidR="00632208" w:rsidRPr="0098635C" w:rsidRDefault="00632208" w:rsidP="00A432B0">
            <w:pPr>
              <w:spacing w:after="0"/>
              <w:rPr>
                <w:color w:val="000000" w:themeColor="text1"/>
                <w:sz w:val="20"/>
                <w:szCs w:val="20"/>
              </w:rPr>
            </w:pPr>
            <w:r w:rsidRPr="0098635C">
              <w:rPr>
                <w:color w:val="000000" w:themeColor="text1"/>
                <w:sz w:val="20"/>
                <w:szCs w:val="20"/>
              </w:rPr>
              <w:t>/</w:t>
            </w:r>
          </w:p>
        </w:tc>
        <w:tc>
          <w:tcPr>
            <w:tcW w:w="3118" w:type="dxa"/>
            <w:tcBorders>
              <w:top w:val="nil"/>
              <w:left w:val="nil"/>
              <w:bottom w:val="single" w:sz="8" w:space="0" w:color="auto"/>
              <w:right w:val="single" w:sz="8" w:space="0" w:color="auto"/>
            </w:tcBorders>
          </w:tcPr>
          <w:p w14:paraId="775F1B4A"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10.6 °C; pH: 7.45; H: 45.4 mg/L CaCO3; DOC: 1 mg/L </w:t>
            </w:r>
            <w:r w:rsidRPr="0098635C">
              <w:rPr>
                <w:color w:val="000000" w:themeColor="text1"/>
                <w:sz w:val="20"/>
                <w:szCs w:val="20"/>
                <w:vertAlign w:val="superscript"/>
              </w:rPr>
              <w:t>(7)</w:t>
            </w:r>
          </w:p>
        </w:tc>
        <w:tc>
          <w:tcPr>
            <w:tcW w:w="1003" w:type="dxa"/>
            <w:tcBorders>
              <w:top w:val="nil"/>
              <w:left w:val="nil"/>
              <w:bottom w:val="single" w:sz="8" w:space="0" w:color="auto"/>
              <w:right w:val="single" w:sz="8" w:space="0" w:color="auto"/>
            </w:tcBorders>
          </w:tcPr>
          <w:p w14:paraId="16A6D83A" w14:textId="77777777" w:rsidR="00632208" w:rsidRPr="0098635C" w:rsidRDefault="00632208" w:rsidP="00A432B0">
            <w:pPr>
              <w:spacing w:after="0"/>
              <w:rPr>
                <w:color w:val="000000" w:themeColor="text1"/>
                <w:sz w:val="20"/>
                <w:szCs w:val="20"/>
              </w:rPr>
            </w:pPr>
            <w:r w:rsidRPr="0098635C">
              <w:rPr>
                <w:color w:val="000000" w:themeColor="text1"/>
                <w:sz w:val="20"/>
                <w:szCs w:val="20"/>
              </w:rPr>
              <w:t>Tap</w:t>
            </w:r>
          </w:p>
        </w:tc>
        <w:tc>
          <w:tcPr>
            <w:tcW w:w="4383" w:type="dxa"/>
            <w:gridSpan w:val="2"/>
            <w:tcBorders>
              <w:top w:val="nil"/>
              <w:left w:val="nil"/>
              <w:bottom w:val="single" w:sz="8" w:space="0" w:color="auto"/>
              <w:right w:val="double" w:sz="6" w:space="0" w:color="auto"/>
            </w:tcBorders>
          </w:tcPr>
          <w:p w14:paraId="19C1E3BE"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McKim &amp; Benoit, 1971 </w:t>
            </w:r>
          </w:p>
        </w:tc>
      </w:tr>
      <w:tr w:rsidR="00632208" w:rsidRPr="0098635C" w14:paraId="2344101F" w14:textId="77777777" w:rsidTr="00982513">
        <w:trPr>
          <w:trHeight w:val="64"/>
        </w:trPr>
        <w:tc>
          <w:tcPr>
            <w:tcW w:w="1647" w:type="dxa"/>
            <w:gridSpan w:val="2"/>
            <w:tcBorders>
              <w:top w:val="nil"/>
              <w:left w:val="double" w:sz="6" w:space="0" w:color="auto"/>
              <w:bottom w:val="single" w:sz="8" w:space="0" w:color="auto"/>
              <w:right w:val="single" w:sz="8" w:space="0" w:color="auto"/>
            </w:tcBorders>
          </w:tcPr>
          <w:p w14:paraId="51B9C84C" w14:textId="77777777" w:rsidR="00632208" w:rsidRPr="0098635C" w:rsidRDefault="00632208" w:rsidP="00A432B0">
            <w:pPr>
              <w:spacing w:after="0"/>
              <w:rPr>
                <w:color w:val="000000" w:themeColor="text1"/>
                <w:sz w:val="20"/>
                <w:szCs w:val="20"/>
              </w:rPr>
            </w:pPr>
            <w:r w:rsidRPr="0098635C">
              <w:rPr>
                <w:color w:val="000000" w:themeColor="text1"/>
                <w:sz w:val="20"/>
                <w:szCs w:val="20"/>
              </w:rPr>
              <w:lastRenderedPageBreak/>
              <w:t xml:space="preserve">Salvelinus fontinalis </w:t>
            </w:r>
          </w:p>
        </w:tc>
        <w:tc>
          <w:tcPr>
            <w:tcW w:w="1701" w:type="dxa"/>
            <w:tcBorders>
              <w:top w:val="nil"/>
              <w:left w:val="nil"/>
              <w:bottom w:val="single" w:sz="8" w:space="0" w:color="auto"/>
              <w:right w:val="single" w:sz="8" w:space="0" w:color="auto"/>
            </w:tcBorders>
          </w:tcPr>
          <w:p w14:paraId="5F45FDCC"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fry </w:t>
            </w:r>
          </w:p>
        </w:tc>
        <w:tc>
          <w:tcPr>
            <w:tcW w:w="709" w:type="dxa"/>
            <w:tcBorders>
              <w:top w:val="nil"/>
              <w:left w:val="nil"/>
              <w:bottom w:val="single" w:sz="8" w:space="0" w:color="auto"/>
              <w:right w:val="single" w:sz="8" w:space="0" w:color="auto"/>
            </w:tcBorders>
          </w:tcPr>
          <w:p w14:paraId="1B26746C" w14:textId="77777777" w:rsidR="00632208" w:rsidRPr="0098635C" w:rsidRDefault="00632208" w:rsidP="00A432B0">
            <w:pPr>
              <w:spacing w:after="0"/>
              <w:rPr>
                <w:color w:val="000000" w:themeColor="text1"/>
                <w:sz w:val="20"/>
                <w:szCs w:val="20"/>
              </w:rPr>
            </w:pPr>
            <w:r w:rsidRPr="0098635C">
              <w:rPr>
                <w:color w:val="000000" w:themeColor="text1"/>
                <w:sz w:val="20"/>
                <w:szCs w:val="20"/>
              </w:rPr>
              <w:t>30 d</w:t>
            </w:r>
          </w:p>
        </w:tc>
        <w:tc>
          <w:tcPr>
            <w:tcW w:w="1276" w:type="dxa"/>
            <w:tcBorders>
              <w:top w:val="nil"/>
              <w:left w:val="nil"/>
              <w:bottom w:val="single" w:sz="8" w:space="0" w:color="auto"/>
              <w:right w:val="single" w:sz="8" w:space="0" w:color="auto"/>
            </w:tcBorders>
          </w:tcPr>
          <w:p w14:paraId="2D4D09A2"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7F7760BE"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7</w:t>
            </w:r>
          </w:p>
        </w:tc>
        <w:tc>
          <w:tcPr>
            <w:tcW w:w="709" w:type="dxa"/>
            <w:tcBorders>
              <w:top w:val="nil"/>
              <w:left w:val="nil"/>
              <w:bottom w:val="single" w:sz="8" w:space="0" w:color="auto"/>
              <w:right w:val="single" w:sz="8" w:space="0" w:color="auto"/>
            </w:tcBorders>
          </w:tcPr>
          <w:p w14:paraId="21C75183"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768EC50F"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3</w:t>
            </w:r>
          </w:p>
        </w:tc>
        <w:tc>
          <w:tcPr>
            <w:tcW w:w="3118" w:type="dxa"/>
            <w:tcBorders>
              <w:top w:val="nil"/>
              <w:left w:val="nil"/>
              <w:bottom w:val="single" w:sz="8" w:space="0" w:color="auto"/>
              <w:right w:val="single" w:sz="8" w:space="0" w:color="auto"/>
            </w:tcBorders>
          </w:tcPr>
          <w:p w14:paraId="5E2AD2AC"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10 °C; pH: 6.85; H: 37.5 mg/L CaCO3; DOC: 1.3 mg/L </w:t>
            </w:r>
            <w:r w:rsidRPr="0098635C">
              <w:rPr>
                <w:color w:val="000000" w:themeColor="text1"/>
                <w:sz w:val="20"/>
                <w:szCs w:val="20"/>
                <w:vertAlign w:val="superscript"/>
              </w:rPr>
              <w:t>(9)</w:t>
            </w:r>
          </w:p>
        </w:tc>
        <w:tc>
          <w:tcPr>
            <w:tcW w:w="1003" w:type="dxa"/>
            <w:tcBorders>
              <w:top w:val="nil"/>
              <w:left w:val="nil"/>
              <w:bottom w:val="single" w:sz="8" w:space="0" w:color="auto"/>
              <w:right w:val="single" w:sz="8" w:space="0" w:color="auto"/>
            </w:tcBorders>
          </w:tcPr>
          <w:p w14:paraId="2BE10500" w14:textId="77777777" w:rsidR="00632208" w:rsidRPr="0098635C" w:rsidRDefault="00632208" w:rsidP="00A432B0">
            <w:pPr>
              <w:spacing w:after="0"/>
              <w:rPr>
                <w:color w:val="000000" w:themeColor="text1"/>
                <w:sz w:val="20"/>
                <w:szCs w:val="20"/>
              </w:rPr>
            </w:pPr>
            <w:r w:rsidRPr="0098635C">
              <w:rPr>
                <w:color w:val="000000" w:themeColor="text1"/>
                <w:sz w:val="20"/>
                <w:szCs w:val="20"/>
              </w:rPr>
              <w:t>Well</w:t>
            </w:r>
          </w:p>
        </w:tc>
        <w:tc>
          <w:tcPr>
            <w:tcW w:w="4383" w:type="dxa"/>
            <w:gridSpan w:val="2"/>
            <w:tcBorders>
              <w:top w:val="nil"/>
              <w:left w:val="nil"/>
              <w:bottom w:val="single" w:sz="8" w:space="0" w:color="auto"/>
              <w:right w:val="double" w:sz="6" w:space="0" w:color="auto"/>
            </w:tcBorders>
          </w:tcPr>
          <w:p w14:paraId="728995C8"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Sauter et al., 1976 </w:t>
            </w:r>
          </w:p>
        </w:tc>
      </w:tr>
      <w:tr w:rsidR="00632208" w:rsidRPr="0098635C" w14:paraId="0994021D" w14:textId="77777777" w:rsidTr="00982513">
        <w:trPr>
          <w:trHeight w:val="64"/>
        </w:trPr>
        <w:tc>
          <w:tcPr>
            <w:tcW w:w="1647" w:type="dxa"/>
            <w:gridSpan w:val="2"/>
            <w:tcBorders>
              <w:top w:val="nil"/>
              <w:left w:val="double" w:sz="6" w:space="0" w:color="auto"/>
              <w:bottom w:val="single" w:sz="8" w:space="0" w:color="auto"/>
              <w:right w:val="single" w:sz="8" w:space="0" w:color="auto"/>
            </w:tcBorders>
          </w:tcPr>
          <w:p w14:paraId="052B2F7C"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Salvelinus fontinalis </w:t>
            </w:r>
          </w:p>
        </w:tc>
        <w:tc>
          <w:tcPr>
            <w:tcW w:w="1701" w:type="dxa"/>
            <w:tcBorders>
              <w:top w:val="nil"/>
              <w:left w:val="nil"/>
              <w:bottom w:val="single" w:sz="8" w:space="0" w:color="auto"/>
              <w:right w:val="single" w:sz="8" w:space="0" w:color="auto"/>
            </w:tcBorders>
          </w:tcPr>
          <w:p w14:paraId="64C960B1" w14:textId="77777777" w:rsidR="00632208" w:rsidRPr="0098635C" w:rsidRDefault="00632208" w:rsidP="00A432B0">
            <w:pPr>
              <w:spacing w:after="0"/>
              <w:rPr>
                <w:color w:val="000000" w:themeColor="text1"/>
                <w:sz w:val="20"/>
                <w:szCs w:val="20"/>
              </w:rPr>
            </w:pPr>
            <w:r w:rsidRPr="0098635C">
              <w:rPr>
                <w:color w:val="000000" w:themeColor="text1"/>
                <w:sz w:val="20"/>
                <w:szCs w:val="20"/>
              </w:rPr>
              <w:t>fry</w:t>
            </w:r>
          </w:p>
        </w:tc>
        <w:tc>
          <w:tcPr>
            <w:tcW w:w="709" w:type="dxa"/>
            <w:tcBorders>
              <w:top w:val="nil"/>
              <w:left w:val="nil"/>
              <w:bottom w:val="single" w:sz="8" w:space="0" w:color="auto"/>
              <w:right w:val="single" w:sz="8" w:space="0" w:color="auto"/>
            </w:tcBorders>
          </w:tcPr>
          <w:p w14:paraId="1C8F4C6E" w14:textId="77777777" w:rsidR="00632208" w:rsidRPr="0098635C" w:rsidRDefault="00632208" w:rsidP="00A432B0">
            <w:pPr>
              <w:spacing w:after="0"/>
              <w:rPr>
                <w:color w:val="000000" w:themeColor="text1"/>
                <w:sz w:val="20"/>
                <w:szCs w:val="20"/>
              </w:rPr>
            </w:pPr>
            <w:r w:rsidRPr="0098635C">
              <w:rPr>
                <w:color w:val="000000" w:themeColor="text1"/>
                <w:sz w:val="20"/>
                <w:szCs w:val="20"/>
              </w:rPr>
              <w:t>30 d</w:t>
            </w:r>
          </w:p>
        </w:tc>
        <w:tc>
          <w:tcPr>
            <w:tcW w:w="1276" w:type="dxa"/>
            <w:tcBorders>
              <w:top w:val="nil"/>
              <w:left w:val="nil"/>
              <w:bottom w:val="single" w:sz="8" w:space="0" w:color="auto"/>
              <w:right w:val="single" w:sz="8" w:space="0" w:color="auto"/>
            </w:tcBorders>
          </w:tcPr>
          <w:p w14:paraId="4073E18A"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38A05335"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21</w:t>
            </w:r>
          </w:p>
        </w:tc>
        <w:tc>
          <w:tcPr>
            <w:tcW w:w="709" w:type="dxa"/>
            <w:tcBorders>
              <w:top w:val="nil"/>
              <w:left w:val="nil"/>
              <w:bottom w:val="single" w:sz="8" w:space="0" w:color="auto"/>
              <w:right w:val="single" w:sz="8" w:space="0" w:color="auto"/>
            </w:tcBorders>
          </w:tcPr>
          <w:p w14:paraId="79A4FD8E"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49A0209A"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3</w:t>
            </w:r>
          </w:p>
        </w:tc>
        <w:tc>
          <w:tcPr>
            <w:tcW w:w="3118" w:type="dxa"/>
            <w:tcBorders>
              <w:top w:val="nil"/>
              <w:left w:val="nil"/>
              <w:bottom w:val="single" w:sz="8" w:space="0" w:color="auto"/>
              <w:right w:val="single" w:sz="8" w:space="0" w:color="auto"/>
            </w:tcBorders>
          </w:tcPr>
          <w:p w14:paraId="1F0FA311"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10 °C; pH:6.9; H: 187 mg/L CaCO3; DOC: 1.3 mg/L </w:t>
            </w:r>
            <w:r w:rsidRPr="0098635C">
              <w:rPr>
                <w:color w:val="000000" w:themeColor="text1"/>
                <w:sz w:val="20"/>
                <w:szCs w:val="20"/>
                <w:vertAlign w:val="superscript"/>
              </w:rPr>
              <w:t>(9)</w:t>
            </w:r>
          </w:p>
        </w:tc>
        <w:tc>
          <w:tcPr>
            <w:tcW w:w="1003" w:type="dxa"/>
            <w:tcBorders>
              <w:top w:val="nil"/>
              <w:left w:val="nil"/>
              <w:bottom w:val="single" w:sz="8" w:space="0" w:color="auto"/>
              <w:right w:val="single" w:sz="8" w:space="0" w:color="auto"/>
            </w:tcBorders>
          </w:tcPr>
          <w:p w14:paraId="35EF84F7" w14:textId="77777777" w:rsidR="00632208" w:rsidRPr="0098635C" w:rsidRDefault="00632208" w:rsidP="00A432B0">
            <w:pPr>
              <w:spacing w:after="0"/>
              <w:rPr>
                <w:color w:val="000000" w:themeColor="text1"/>
                <w:sz w:val="20"/>
                <w:szCs w:val="20"/>
              </w:rPr>
            </w:pPr>
            <w:r w:rsidRPr="0098635C">
              <w:rPr>
                <w:color w:val="000000" w:themeColor="text1"/>
                <w:sz w:val="20"/>
                <w:szCs w:val="20"/>
              </w:rPr>
              <w:t>Well</w:t>
            </w:r>
          </w:p>
        </w:tc>
        <w:tc>
          <w:tcPr>
            <w:tcW w:w="4383" w:type="dxa"/>
            <w:gridSpan w:val="2"/>
            <w:tcBorders>
              <w:top w:val="nil"/>
              <w:left w:val="nil"/>
              <w:bottom w:val="single" w:sz="8" w:space="0" w:color="auto"/>
              <w:right w:val="double" w:sz="6" w:space="0" w:color="auto"/>
            </w:tcBorders>
          </w:tcPr>
          <w:p w14:paraId="40CCBDA4" w14:textId="77777777" w:rsidR="00632208" w:rsidRPr="0098635C" w:rsidRDefault="00632208" w:rsidP="00A432B0">
            <w:pPr>
              <w:spacing w:after="0"/>
              <w:rPr>
                <w:color w:val="000000" w:themeColor="text1"/>
                <w:sz w:val="20"/>
                <w:szCs w:val="20"/>
              </w:rPr>
            </w:pPr>
            <w:r w:rsidRPr="0098635C">
              <w:rPr>
                <w:color w:val="000000" w:themeColor="text1"/>
                <w:sz w:val="20"/>
                <w:szCs w:val="20"/>
              </w:rPr>
              <w:t>Sauter et al., 1976</w:t>
            </w:r>
          </w:p>
        </w:tc>
      </w:tr>
      <w:tr w:rsidR="00632208" w:rsidRPr="0098635C" w14:paraId="07FE7CFD" w14:textId="77777777" w:rsidTr="00982513">
        <w:trPr>
          <w:trHeight w:val="64"/>
        </w:trPr>
        <w:tc>
          <w:tcPr>
            <w:tcW w:w="1647" w:type="dxa"/>
            <w:gridSpan w:val="2"/>
            <w:tcBorders>
              <w:top w:val="nil"/>
              <w:left w:val="double" w:sz="6" w:space="0" w:color="auto"/>
              <w:bottom w:val="single" w:sz="8" w:space="0" w:color="auto"/>
              <w:right w:val="single" w:sz="8" w:space="0" w:color="auto"/>
            </w:tcBorders>
          </w:tcPr>
          <w:p w14:paraId="0E21DB98"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Salvelinus fontinalis </w:t>
            </w:r>
          </w:p>
        </w:tc>
        <w:tc>
          <w:tcPr>
            <w:tcW w:w="1701" w:type="dxa"/>
            <w:tcBorders>
              <w:top w:val="nil"/>
              <w:left w:val="nil"/>
              <w:bottom w:val="single" w:sz="8" w:space="0" w:color="auto"/>
              <w:right w:val="single" w:sz="8" w:space="0" w:color="auto"/>
            </w:tcBorders>
          </w:tcPr>
          <w:p w14:paraId="43F20D84" w14:textId="77777777" w:rsidR="00632208" w:rsidRPr="0098635C" w:rsidRDefault="00632208" w:rsidP="00A432B0">
            <w:pPr>
              <w:spacing w:after="0"/>
              <w:rPr>
                <w:color w:val="000000" w:themeColor="text1"/>
                <w:sz w:val="20"/>
                <w:szCs w:val="20"/>
              </w:rPr>
            </w:pPr>
            <w:r w:rsidRPr="0098635C">
              <w:rPr>
                <w:color w:val="000000" w:themeColor="text1"/>
                <w:sz w:val="20"/>
                <w:szCs w:val="20"/>
              </w:rPr>
              <w:t>yearling</w:t>
            </w:r>
          </w:p>
        </w:tc>
        <w:tc>
          <w:tcPr>
            <w:tcW w:w="709" w:type="dxa"/>
            <w:tcBorders>
              <w:top w:val="nil"/>
              <w:left w:val="nil"/>
              <w:bottom w:val="single" w:sz="8" w:space="0" w:color="auto"/>
              <w:right w:val="single" w:sz="8" w:space="0" w:color="auto"/>
            </w:tcBorders>
          </w:tcPr>
          <w:p w14:paraId="37FD5CBE" w14:textId="77777777" w:rsidR="00632208" w:rsidRPr="0098635C" w:rsidRDefault="00632208" w:rsidP="00A432B0">
            <w:pPr>
              <w:spacing w:after="0"/>
              <w:rPr>
                <w:color w:val="000000" w:themeColor="text1"/>
                <w:sz w:val="20"/>
                <w:szCs w:val="20"/>
              </w:rPr>
            </w:pPr>
            <w:r w:rsidRPr="0098635C">
              <w:rPr>
                <w:color w:val="000000" w:themeColor="text1"/>
                <w:sz w:val="20"/>
                <w:szCs w:val="20"/>
              </w:rPr>
              <w:t>244 d</w:t>
            </w:r>
          </w:p>
        </w:tc>
        <w:tc>
          <w:tcPr>
            <w:tcW w:w="1276" w:type="dxa"/>
            <w:tcBorders>
              <w:top w:val="nil"/>
              <w:left w:val="nil"/>
              <w:bottom w:val="single" w:sz="8" w:space="0" w:color="auto"/>
              <w:right w:val="single" w:sz="8" w:space="0" w:color="auto"/>
            </w:tcBorders>
          </w:tcPr>
          <w:p w14:paraId="0DDBAC0F" w14:textId="77777777" w:rsidR="00632208" w:rsidRPr="0098635C" w:rsidRDefault="00632208" w:rsidP="00A432B0">
            <w:pPr>
              <w:spacing w:after="0"/>
              <w:rPr>
                <w:color w:val="000000" w:themeColor="text1"/>
                <w:sz w:val="20"/>
                <w:szCs w:val="20"/>
              </w:rPr>
            </w:pPr>
            <w:r w:rsidRPr="0098635C">
              <w:rPr>
                <w:color w:val="000000" w:themeColor="text1"/>
                <w:sz w:val="20"/>
                <w:szCs w:val="20"/>
              </w:rPr>
              <w:t>mortality</w:t>
            </w:r>
          </w:p>
        </w:tc>
        <w:tc>
          <w:tcPr>
            <w:tcW w:w="850" w:type="dxa"/>
            <w:tcBorders>
              <w:top w:val="nil"/>
              <w:left w:val="nil"/>
              <w:bottom w:val="single" w:sz="8" w:space="0" w:color="auto"/>
              <w:right w:val="single" w:sz="8" w:space="0" w:color="auto"/>
            </w:tcBorders>
          </w:tcPr>
          <w:p w14:paraId="3F64766B"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17.4</w:t>
            </w:r>
          </w:p>
        </w:tc>
        <w:tc>
          <w:tcPr>
            <w:tcW w:w="709" w:type="dxa"/>
            <w:tcBorders>
              <w:top w:val="nil"/>
              <w:left w:val="nil"/>
              <w:bottom w:val="single" w:sz="8" w:space="0" w:color="auto"/>
              <w:right w:val="single" w:sz="8" w:space="0" w:color="auto"/>
            </w:tcBorders>
          </w:tcPr>
          <w:p w14:paraId="0C1FBED7"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38E8FB06"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1.9</w:t>
            </w:r>
          </w:p>
        </w:tc>
        <w:tc>
          <w:tcPr>
            <w:tcW w:w="3118" w:type="dxa"/>
            <w:tcBorders>
              <w:top w:val="nil"/>
              <w:left w:val="nil"/>
              <w:bottom w:val="single" w:sz="8" w:space="0" w:color="auto"/>
              <w:right w:val="single" w:sz="8" w:space="0" w:color="auto"/>
            </w:tcBorders>
          </w:tcPr>
          <w:p w14:paraId="5CF2E281"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10.6 °C; pH: 7.45; H: 45.4 mg/L CaCO3; DOC: 1 mg/L </w:t>
            </w:r>
            <w:r w:rsidRPr="0098635C">
              <w:rPr>
                <w:color w:val="000000" w:themeColor="text1"/>
                <w:sz w:val="20"/>
                <w:szCs w:val="20"/>
                <w:vertAlign w:val="superscript"/>
              </w:rPr>
              <w:t>(7)</w:t>
            </w:r>
          </w:p>
        </w:tc>
        <w:tc>
          <w:tcPr>
            <w:tcW w:w="1003" w:type="dxa"/>
            <w:tcBorders>
              <w:top w:val="nil"/>
              <w:left w:val="nil"/>
              <w:bottom w:val="single" w:sz="8" w:space="0" w:color="auto"/>
              <w:right w:val="single" w:sz="8" w:space="0" w:color="auto"/>
            </w:tcBorders>
          </w:tcPr>
          <w:p w14:paraId="6CE85A15" w14:textId="77777777" w:rsidR="00632208" w:rsidRPr="0098635C" w:rsidRDefault="00632208" w:rsidP="00A432B0">
            <w:pPr>
              <w:spacing w:after="0"/>
              <w:rPr>
                <w:color w:val="000000" w:themeColor="text1"/>
                <w:sz w:val="20"/>
                <w:szCs w:val="20"/>
              </w:rPr>
            </w:pPr>
            <w:r w:rsidRPr="0098635C">
              <w:rPr>
                <w:color w:val="000000" w:themeColor="text1"/>
                <w:sz w:val="20"/>
                <w:szCs w:val="20"/>
              </w:rPr>
              <w:t>Tap</w:t>
            </w:r>
          </w:p>
        </w:tc>
        <w:tc>
          <w:tcPr>
            <w:tcW w:w="4383" w:type="dxa"/>
            <w:gridSpan w:val="2"/>
            <w:tcBorders>
              <w:top w:val="nil"/>
              <w:left w:val="nil"/>
              <w:bottom w:val="single" w:sz="8" w:space="0" w:color="auto"/>
              <w:right w:val="double" w:sz="6" w:space="0" w:color="auto"/>
            </w:tcBorders>
          </w:tcPr>
          <w:p w14:paraId="28D4D510"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McKim &amp; Benoit, 1971 </w:t>
            </w:r>
          </w:p>
        </w:tc>
      </w:tr>
      <w:tr w:rsidR="00632208" w:rsidRPr="0098635C" w14:paraId="354DCD78" w14:textId="77777777" w:rsidTr="00982513">
        <w:trPr>
          <w:trHeight w:val="184"/>
        </w:trPr>
        <w:tc>
          <w:tcPr>
            <w:tcW w:w="1647" w:type="dxa"/>
            <w:gridSpan w:val="2"/>
            <w:tcBorders>
              <w:top w:val="nil"/>
              <w:left w:val="double" w:sz="6" w:space="0" w:color="auto"/>
              <w:bottom w:val="single" w:sz="8" w:space="0" w:color="auto"/>
              <w:right w:val="single" w:sz="8" w:space="0" w:color="auto"/>
            </w:tcBorders>
          </w:tcPr>
          <w:p w14:paraId="490DB5E6"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Salvelinus fontinalis </w:t>
            </w:r>
          </w:p>
        </w:tc>
        <w:tc>
          <w:tcPr>
            <w:tcW w:w="1701" w:type="dxa"/>
            <w:tcBorders>
              <w:top w:val="nil"/>
              <w:left w:val="nil"/>
              <w:bottom w:val="single" w:sz="8" w:space="0" w:color="auto"/>
              <w:right w:val="single" w:sz="8" w:space="0" w:color="auto"/>
            </w:tcBorders>
          </w:tcPr>
          <w:p w14:paraId="2E08170A" w14:textId="77777777" w:rsidR="00632208" w:rsidRPr="0098635C" w:rsidRDefault="00632208" w:rsidP="00A432B0">
            <w:pPr>
              <w:spacing w:after="0"/>
              <w:rPr>
                <w:color w:val="000000" w:themeColor="text1"/>
                <w:sz w:val="20"/>
                <w:szCs w:val="20"/>
              </w:rPr>
            </w:pPr>
            <w:r w:rsidRPr="0098635C">
              <w:rPr>
                <w:color w:val="000000" w:themeColor="text1"/>
                <w:sz w:val="20"/>
                <w:szCs w:val="20"/>
              </w:rPr>
              <w:t>fry</w:t>
            </w:r>
          </w:p>
        </w:tc>
        <w:tc>
          <w:tcPr>
            <w:tcW w:w="709" w:type="dxa"/>
            <w:tcBorders>
              <w:top w:val="nil"/>
              <w:left w:val="nil"/>
              <w:bottom w:val="single" w:sz="8" w:space="0" w:color="auto"/>
              <w:right w:val="single" w:sz="8" w:space="0" w:color="auto"/>
            </w:tcBorders>
          </w:tcPr>
          <w:p w14:paraId="0768B659" w14:textId="77777777" w:rsidR="00632208" w:rsidRPr="0098635C" w:rsidRDefault="00632208" w:rsidP="00A432B0">
            <w:pPr>
              <w:spacing w:after="0"/>
              <w:rPr>
                <w:color w:val="000000" w:themeColor="text1"/>
                <w:sz w:val="20"/>
                <w:szCs w:val="20"/>
              </w:rPr>
            </w:pPr>
            <w:r w:rsidRPr="0098635C">
              <w:rPr>
                <w:color w:val="000000" w:themeColor="text1"/>
                <w:sz w:val="20"/>
                <w:szCs w:val="20"/>
              </w:rPr>
              <w:t>60 d</w:t>
            </w:r>
          </w:p>
        </w:tc>
        <w:tc>
          <w:tcPr>
            <w:tcW w:w="1276" w:type="dxa"/>
            <w:tcBorders>
              <w:top w:val="nil"/>
              <w:left w:val="nil"/>
              <w:bottom w:val="single" w:sz="8" w:space="0" w:color="auto"/>
              <w:right w:val="single" w:sz="8" w:space="0" w:color="auto"/>
            </w:tcBorders>
          </w:tcPr>
          <w:p w14:paraId="57283465" w14:textId="77777777" w:rsidR="00632208" w:rsidRPr="0098635C" w:rsidRDefault="00632208" w:rsidP="00A432B0">
            <w:pPr>
              <w:spacing w:after="0"/>
              <w:rPr>
                <w:color w:val="000000" w:themeColor="text1"/>
                <w:sz w:val="20"/>
                <w:szCs w:val="20"/>
              </w:rPr>
            </w:pPr>
            <w:r w:rsidRPr="0098635C">
              <w:rPr>
                <w:color w:val="000000" w:themeColor="text1"/>
                <w:sz w:val="20"/>
                <w:szCs w:val="20"/>
              </w:rPr>
              <w:t>mortality</w:t>
            </w:r>
          </w:p>
        </w:tc>
        <w:tc>
          <w:tcPr>
            <w:tcW w:w="850" w:type="dxa"/>
            <w:tcBorders>
              <w:top w:val="nil"/>
              <w:left w:val="nil"/>
              <w:bottom w:val="single" w:sz="8" w:space="0" w:color="auto"/>
              <w:right w:val="single" w:sz="8" w:space="0" w:color="auto"/>
            </w:tcBorders>
          </w:tcPr>
          <w:p w14:paraId="3C6EEC25"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13</w:t>
            </w:r>
          </w:p>
        </w:tc>
        <w:tc>
          <w:tcPr>
            <w:tcW w:w="709" w:type="dxa"/>
            <w:tcBorders>
              <w:top w:val="nil"/>
              <w:left w:val="nil"/>
              <w:bottom w:val="single" w:sz="8" w:space="0" w:color="auto"/>
              <w:right w:val="single" w:sz="8" w:space="0" w:color="auto"/>
            </w:tcBorders>
          </w:tcPr>
          <w:p w14:paraId="06661F09"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16C15CB6"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3</w:t>
            </w:r>
          </w:p>
        </w:tc>
        <w:tc>
          <w:tcPr>
            <w:tcW w:w="3118" w:type="dxa"/>
            <w:tcBorders>
              <w:top w:val="nil"/>
              <w:left w:val="nil"/>
              <w:bottom w:val="single" w:sz="8" w:space="0" w:color="auto"/>
              <w:right w:val="single" w:sz="8" w:space="0" w:color="auto"/>
            </w:tcBorders>
          </w:tcPr>
          <w:p w14:paraId="130E6DB0"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10 °C; pH: 6.85; H: 37.5 mg/L CaCO3; DOC: 1.3 mg/L </w:t>
            </w:r>
            <w:r w:rsidRPr="0098635C">
              <w:rPr>
                <w:color w:val="000000" w:themeColor="text1"/>
                <w:sz w:val="20"/>
                <w:szCs w:val="20"/>
                <w:vertAlign w:val="superscript"/>
              </w:rPr>
              <w:t>(9)</w:t>
            </w:r>
          </w:p>
        </w:tc>
        <w:tc>
          <w:tcPr>
            <w:tcW w:w="1003" w:type="dxa"/>
            <w:tcBorders>
              <w:top w:val="nil"/>
              <w:left w:val="nil"/>
              <w:bottom w:val="single" w:sz="8" w:space="0" w:color="auto"/>
              <w:right w:val="single" w:sz="8" w:space="0" w:color="auto"/>
            </w:tcBorders>
          </w:tcPr>
          <w:p w14:paraId="2B92BBED" w14:textId="77777777" w:rsidR="00632208" w:rsidRPr="0098635C" w:rsidRDefault="00632208" w:rsidP="00A432B0">
            <w:pPr>
              <w:spacing w:after="0"/>
              <w:rPr>
                <w:color w:val="000000" w:themeColor="text1"/>
                <w:sz w:val="20"/>
                <w:szCs w:val="20"/>
              </w:rPr>
            </w:pPr>
            <w:r w:rsidRPr="0098635C">
              <w:rPr>
                <w:color w:val="000000" w:themeColor="text1"/>
                <w:sz w:val="20"/>
                <w:szCs w:val="20"/>
              </w:rPr>
              <w:t>Well</w:t>
            </w:r>
          </w:p>
        </w:tc>
        <w:tc>
          <w:tcPr>
            <w:tcW w:w="4383" w:type="dxa"/>
            <w:gridSpan w:val="2"/>
            <w:tcBorders>
              <w:top w:val="nil"/>
              <w:left w:val="nil"/>
              <w:bottom w:val="single" w:sz="8" w:space="0" w:color="auto"/>
              <w:right w:val="double" w:sz="6" w:space="0" w:color="auto"/>
            </w:tcBorders>
          </w:tcPr>
          <w:p w14:paraId="37403569" w14:textId="77777777" w:rsidR="00632208" w:rsidRPr="0098635C" w:rsidRDefault="00632208" w:rsidP="00A432B0">
            <w:pPr>
              <w:spacing w:after="0"/>
              <w:rPr>
                <w:color w:val="000000" w:themeColor="text1"/>
                <w:sz w:val="20"/>
                <w:szCs w:val="20"/>
              </w:rPr>
            </w:pPr>
            <w:r w:rsidRPr="0098635C">
              <w:rPr>
                <w:color w:val="000000" w:themeColor="text1"/>
                <w:sz w:val="20"/>
                <w:szCs w:val="20"/>
              </w:rPr>
              <w:t>Sauter et al., 1976</w:t>
            </w:r>
          </w:p>
        </w:tc>
      </w:tr>
      <w:tr w:rsidR="00632208" w:rsidRPr="0098635C" w14:paraId="6E8CC27A" w14:textId="77777777" w:rsidTr="00982513">
        <w:trPr>
          <w:trHeight w:val="209"/>
        </w:trPr>
        <w:tc>
          <w:tcPr>
            <w:tcW w:w="1647" w:type="dxa"/>
            <w:gridSpan w:val="2"/>
            <w:tcBorders>
              <w:top w:val="nil"/>
              <w:left w:val="double" w:sz="6" w:space="0" w:color="auto"/>
              <w:bottom w:val="single" w:sz="8" w:space="0" w:color="auto"/>
              <w:right w:val="single" w:sz="8" w:space="0" w:color="auto"/>
            </w:tcBorders>
          </w:tcPr>
          <w:p w14:paraId="04D043A6"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Salvelinus fontinalis </w:t>
            </w:r>
          </w:p>
        </w:tc>
        <w:tc>
          <w:tcPr>
            <w:tcW w:w="1701" w:type="dxa"/>
            <w:tcBorders>
              <w:top w:val="nil"/>
              <w:left w:val="nil"/>
              <w:bottom w:val="single" w:sz="8" w:space="0" w:color="auto"/>
              <w:right w:val="single" w:sz="8" w:space="0" w:color="auto"/>
            </w:tcBorders>
          </w:tcPr>
          <w:p w14:paraId="44BFDC9E" w14:textId="77777777" w:rsidR="00632208" w:rsidRPr="0098635C" w:rsidRDefault="00632208" w:rsidP="00A432B0">
            <w:pPr>
              <w:spacing w:after="0"/>
              <w:rPr>
                <w:color w:val="000000" w:themeColor="text1"/>
                <w:sz w:val="20"/>
                <w:szCs w:val="20"/>
              </w:rPr>
            </w:pPr>
            <w:r w:rsidRPr="0098635C">
              <w:rPr>
                <w:color w:val="000000" w:themeColor="text1"/>
                <w:sz w:val="20"/>
                <w:szCs w:val="20"/>
              </w:rPr>
              <w:t>fry</w:t>
            </w:r>
          </w:p>
        </w:tc>
        <w:tc>
          <w:tcPr>
            <w:tcW w:w="709" w:type="dxa"/>
            <w:tcBorders>
              <w:top w:val="nil"/>
              <w:left w:val="nil"/>
              <w:bottom w:val="single" w:sz="8" w:space="0" w:color="auto"/>
              <w:right w:val="single" w:sz="8" w:space="0" w:color="auto"/>
            </w:tcBorders>
          </w:tcPr>
          <w:p w14:paraId="0F7F84C6" w14:textId="77777777" w:rsidR="00632208" w:rsidRPr="0098635C" w:rsidRDefault="00632208" w:rsidP="00A432B0">
            <w:pPr>
              <w:spacing w:after="0"/>
              <w:rPr>
                <w:color w:val="000000" w:themeColor="text1"/>
                <w:sz w:val="20"/>
                <w:szCs w:val="20"/>
              </w:rPr>
            </w:pPr>
            <w:r w:rsidRPr="0098635C">
              <w:rPr>
                <w:color w:val="000000" w:themeColor="text1"/>
                <w:sz w:val="20"/>
                <w:szCs w:val="20"/>
              </w:rPr>
              <w:t>30 d</w:t>
            </w:r>
          </w:p>
        </w:tc>
        <w:tc>
          <w:tcPr>
            <w:tcW w:w="1276" w:type="dxa"/>
            <w:tcBorders>
              <w:top w:val="nil"/>
              <w:left w:val="nil"/>
              <w:bottom w:val="single" w:sz="8" w:space="0" w:color="auto"/>
              <w:right w:val="single" w:sz="8" w:space="0" w:color="auto"/>
            </w:tcBorders>
          </w:tcPr>
          <w:p w14:paraId="2A155E92" w14:textId="77777777" w:rsidR="00632208" w:rsidRPr="0098635C" w:rsidRDefault="00632208" w:rsidP="00A432B0">
            <w:pPr>
              <w:spacing w:after="0"/>
              <w:rPr>
                <w:color w:val="000000" w:themeColor="text1"/>
                <w:sz w:val="20"/>
                <w:szCs w:val="20"/>
              </w:rPr>
            </w:pPr>
            <w:r w:rsidRPr="0098635C">
              <w:rPr>
                <w:color w:val="000000" w:themeColor="text1"/>
                <w:sz w:val="20"/>
                <w:szCs w:val="20"/>
              </w:rPr>
              <w:t>mortality</w:t>
            </w:r>
          </w:p>
        </w:tc>
        <w:tc>
          <w:tcPr>
            <w:tcW w:w="850" w:type="dxa"/>
            <w:tcBorders>
              <w:top w:val="nil"/>
              <w:left w:val="nil"/>
              <w:bottom w:val="single" w:sz="8" w:space="0" w:color="auto"/>
              <w:right w:val="single" w:sz="8" w:space="0" w:color="auto"/>
            </w:tcBorders>
          </w:tcPr>
          <w:p w14:paraId="10D9DB30"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21</w:t>
            </w:r>
          </w:p>
        </w:tc>
        <w:tc>
          <w:tcPr>
            <w:tcW w:w="709" w:type="dxa"/>
            <w:tcBorders>
              <w:top w:val="nil"/>
              <w:left w:val="nil"/>
              <w:bottom w:val="single" w:sz="8" w:space="0" w:color="auto"/>
              <w:right w:val="single" w:sz="8" w:space="0" w:color="auto"/>
            </w:tcBorders>
          </w:tcPr>
          <w:p w14:paraId="10BA733E"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5BE3CAD8"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3</w:t>
            </w:r>
          </w:p>
        </w:tc>
        <w:tc>
          <w:tcPr>
            <w:tcW w:w="3118" w:type="dxa"/>
            <w:tcBorders>
              <w:top w:val="nil"/>
              <w:left w:val="nil"/>
              <w:bottom w:val="single" w:sz="8" w:space="0" w:color="auto"/>
              <w:right w:val="single" w:sz="8" w:space="0" w:color="auto"/>
            </w:tcBorders>
          </w:tcPr>
          <w:p w14:paraId="4CE99895"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10 °C; pH:6.9; H: 187 mg/L CaCO3; DOC: 1.3 mg/L </w:t>
            </w:r>
            <w:r w:rsidRPr="0098635C">
              <w:rPr>
                <w:color w:val="000000" w:themeColor="text1"/>
                <w:sz w:val="20"/>
                <w:szCs w:val="20"/>
                <w:vertAlign w:val="superscript"/>
              </w:rPr>
              <w:t>(9)</w:t>
            </w:r>
          </w:p>
        </w:tc>
        <w:tc>
          <w:tcPr>
            <w:tcW w:w="1003" w:type="dxa"/>
            <w:tcBorders>
              <w:top w:val="nil"/>
              <w:left w:val="nil"/>
              <w:bottom w:val="single" w:sz="8" w:space="0" w:color="auto"/>
              <w:right w:val="single" w:sz="8" w:space="0" w:color="auto"/>
            </w:tcBorders>
          </w:tcPr>
          <w:p w14:paraId="388F7D59" w14:textId="77777777" w:rsidR="00632208" w:rsidRPr="0098635C" w:rsidRDefault="00632208" w:rsidP="00A432B0">
            <w:pPr>
              <w:spacing w:after="0"/>
              <w:rPr>
                <w:color w:val="000000" w:themeColor="text1"/>
                <w:sz w:val="20"/>
                <w:szCs w:val="20"/>
              </w:rPr>
            </w:pPr>
            <w:r w:rsidRPr="0098635C">
              <w:rPr>
                <w:color w:val="000000" w:themeColor="text1"/>
                <w:sz w:val="20"/>
                <w:szCs w:val="20"/>
              </w:rPr>
              <w:t>Well</w:t>
            </w:r>
          </w:p>
        </w:tc>
        <w:tc>
          <w:tcPr>
            <w:tcW w:w="4383" w:type="dxa"/>
            <w:gridSpan w:val="2"/>
            <w:tcBorders>
              <w:top w:val="nil"/>
              <w:left w:val="nil"/>
              <w:bottom w:val="single" w:sz="8" w:space="0" w:color="auto"/>
              <w:right w:val="double" w:sz="6" w:space="0" w:color="auto"/>
            </w:tcBorders>
          </w:tcPr>
          <w:p w14:paraId="73C8846A" w14:textId="77777777" w:rsidR="00632208" w:rsidRPr="0098635C" w:rsidRDefault="00632208" w:rsidP="00982513">
            <w:pPr>
              <w:spacing w:after="0"/>
              <w:ind w:left="-948" w:firstLine="948"/>
              <w:rPr>
                <w:color w:val="000000" w:themeColor="text1"/>
                <w:sz w:val="20"/>
                <w:szCs w:val="20"/>
              </w:rPr>
            </w:pPr>
            <w:r w:rsidRPr="0098635C">
              <w:rPr>
                <w:color w:val="000000" w:themeColor="text1"/>
                <w:sz w:val="20"/>
                <w:szCs w:val="20"/>
              </w:rPr>
              <w:t xml:space="preserve">Sauter et al., 1976 </w:t>
            </w:r>
          </w:p>
        </w:tc>
      </w:tr>
      <w:tr w:rsidR="00632208" w:rsidRPr="0098635C" w14:paraId="53E89E92" w14:textId="77777777" w:rsidTr="00982513">
        <w:trPr>
          <w:trHeight w:val="153"/>
        </w:trPr>
        <w:tc>
          <w:tcPr>
            <w:tcW w:w="1647" w:type="dxa"/>
            <w:gridSpan w:val="2"/>
            <w:tcBorders>
              <w:top w:val="nil"/>
              <w:left w:val="double" w:sz="6" w:space="0" w:color="auto"/>
              <w:bottom w:val="single" w:sz="8" w:space="0" w:color="auto"/>
              <w:right w:val="single" w:sz="8" w:space="0" w:color="auto"/>
            </w:tcBorders>
          </w:tcPr>
          <w:p w14:paraId="290DB8C9" w14:textId="77777777" w:rsidR="00632208" w:rsidRPr="0098635C" w:rsidRDefault="00632208" w:rsidP="00982513">
            <w:pPr>
              <w:spacing w:after="0"/>
              <w:jc w:val="left"/>
              <w:rPr>
                <w:color w:val="000000" w:themeColor="text1"/>
                <w:sz w:val="20"/>
                <w:szCs w:val="20"/>
              </w:rPr>
            </w:pPr>
            <w:r w:rsidRPr="0098635C">
              <w:rPr>
                <w:color w:val="000000" w:themeColor="text1"/>
                <w:sz w:val="20"/>
                <w:szCs w:val="20"/>
              </w:rPr>
              <w:t xml:space="preserve">Salvelinus fontinalis </w:t>
            </w:r>
          </w:p>
        </w:tc>
        <w:tc>
          <w:tcPr>
            <w:tcW w:w="1701" w:type="dxa"/>
            <w:tcBorders>
              <w:top w:val="nil"/>
              <w:left w:val="nil"/>
              <w:bottom w:val="single" w:sz="8" w:space="0" w:color="auto"/>
              <w:right w:val="single" w:sz="8" w:space="0" w:color="auto"/>
            </w:tcBorders>
          </w:tcPr>
          <w:p w14:paraId="0E76B13E" w14:textId="77777777" w:rsidR="00632208" w:rsidRPr="0098635C" w:rsidRDefault="00632208" w:rsidP="00A432B0">
            <w:pPr>
              <w:spacing w:after="0"/>
              <w:rPr>
                <w:color w:val="000000" w:themeColor="text1"/>
                <w:sz w:val="20"/>
                <w:szCs w:val="20"/>
              </w:rPr>
            </w:pPr>
            <w:r w:rsidRPr="0098635C">
              <w:rPr>
                <w:color w:val="000000" w:themeColor="text1"/>
                <w:sz w:val="20"/>
                <w:szCs w:val="20"/>
              </w:rPr>
              <w:t>yearling</w:t>
            </w:r>
          </w:p>
        </w:tc>
        <w:tc>
          <w:tcPr>
            <w:tcW w:w="709" w:type="dxa"/>
            <w:tcBorders>
              <w:top w:val="nil"/>
              <w:left w:val="nil"/>
              <w:bottom w:val="single" w:sz="8" w:space="0" w:color="auto"/>
              <w:right w:val="single" w:sz="8" w:space="0" w:color="auto"/>
            </w:tcBorders>
          </w:tcPr>
          <w:p w14:paraId="7A7A502A" w14:textId="77777777" w:rsidR="00632208" w:rsidRPr="0098635C" w:rsidRDefault="00632208" w:rsidP="00A432B0">
            <w:pPr>
              <w:spacing w:after="0"/>
              <w:rPr>
                <w:color w:val="000000" w:themeColor="text1"/>
                <w:sz w:val="20"/>
                <w:szCs w:val="20"/>
              </w:rPr>
            </w:pPr>
            <w:r w:rsidRPr="0098635C">
              <w:rPr>
                <w:color w:val="000000" w:themeColor="text1"/>
                <w:sz w:val="20"/>
                <w:szCs w:val="20"/>
              </w:rPr>
              <w:t>244 d</w:t>
            </w:r>
          </w:p>
        </w:tc>
        <w:tc>
          <w:tcPr>
            <w:tcW w:w="1276" w:type="dxa"/>
            <w:tcBorders>
              <w:top w:val="nil"/>
              <w:left w:val="nil"/>
              <w:bottom w:val="single" w:sz="8" w:space="0" w:color="auto"/>
              <w:right w:val="single" w:sz="8" w:space="0" w:color="auto"/>
            </w:tcBorders>
          </w:tcPr>
          <w:p w14:paraId="416267C0" w14:textId="77777777" w:rsidR="00632208" w:rsidRPr="0098635C" w:rsidRDefault="00632208" w:rsidP="00A432B0">
            <w:pPr>
              <w:spacing w:after="0"/>
              <w:rPr>
                <w:color w:val="000000" w:themeColor="text1"/>
                <w:sz w:val="20"/>
                <w:szCs w:val="20"/>
              </w:rPr>
            </w:pPr>
            <w:r w:rsidRPr="0098635C">
              <w:rPr>
                <w:color w:val="000000" w:themeColor="text1"/>
                <w:sz w:val="20"/>
                <w:szCs w:val="20"/>
              </w:rPr>
              <w:t>reproduction</w:t>
            </w:r>
          </w:p>
        </w:tc>
        <w:tc>
          <w:tcPr>
            <w:tcW w:w="850" w:type="dxa"/>
            <w:tcBorders>
              <w:top w:val="nil"/>
              <w:left w:val="nil"/>
              <w:bottom w:val="single" w:sz="8" w:space="0" w:color="auto"/>
              <w:right w:val="single" w:sz="8" w:space="0" w:color="auto"/>
            </w:tcBorders>
          </w:tcPr>
          <w:p w14:paraId="7732FA67"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17.4</w:t>
            </w:r>
          </w:p>
        </w:tc>
        <w:tc>
          <w:tcPr>
            <w:tcW w:w="709" w:type="dxa"/>
            <w:tcBorders>
              <w:top w:val="nil"/>
              <w:left w:val="nil"/>
              <w:bottom w:val="single" w:sz="8" w:space="0" w:color="auto"/>
              <w:right w:val="single" w:sz="8" w:space="0" w:color="auto"/>
            </w:tcBorders>
          </w:tcPr>
          <w:p w14:paraId="79BD3075"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69F90032"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1.9</w:t>
            </w:r>
          </w:p>
        </w:tc>
        <w:tc>
          <w:tcPr>
            <w:tcW w:w="3118" w:type="dxa"/>
            <w:tcBorders>
              <w:top w:val="nil"/>
              <w:left w:val="nil"/>
              <w:bottom w:val="single" w:sz="8" w:space="0" w:color="auto"/>
              <w:right w:val="single" w:sz="8" w:space="0" w:color="auto"/>
            </w:tcBorders>
          </w:tcPr>
          <w:p w14:paraId="10897C92"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10.6 °C; pH: 7.45; H: 45.4 mg/L CaCO3; DOC: 1 mg/L </w:t>
            </w:r>
            <w:r w:rsidRPr="0098635C">
              <w:rPr>
                <w:color w:val="000000" w:themeColor="text1"/>
                <w:sz w:val="20"/>
                <w:szCs w:val="20"/>
                <w:vertAlign w:val="superscript"/>
              </w:rPr>
              <w:t>(7)</w:t>
            </w:r>
          </w:p>
        </w:tc>
        <w:tc>
          <w:tcPr>
            <w:tcW w:w="1003" w:type="dxa"/>
            <w:tcBorders>
              <w:top w:val="nil"/>
              <w:left w:val="nil"/>
              <w:bottom w:val="single" w:sz="8" w:space="0" w:color="auto"/>
              <w:right w:val="single" w:sz="8" w:space="0" w:color="auto"/>
            </w:tcBorders>
          </w:tcPr>
          <w:p w14:paraId="057CB0EE" w14:textId="77777777" w:rsidR="00632208" w:rsidRPr="0098635C" w:rsidRDefault="00632208" w:rsidP="00A432B0">
            <w:pPr>
              <w:spacing w:after="0"/>
              <w:rPr>
                <w:color w:val="000000" w:themeColor="text1"/>
                <w:sz w:val="20"/>
                <w:szCs w:val="20"/>
              </w:rPr>
            </w:pPr>
            <w:r w:rsidRPr="0098635C">
              <w:rPr>
                <w:color w:val="000000" w:themeColor="text1"/>
                <w:sz w:val="20"/>
                <w:szCs w:val="20"/>
              </w:rPr>
              <w:t>Tap</w:t>
            </w:r>
          </w:p>
        </w:tc>
        <w:tc>
          <w:tcPr>
            <w:tcW w:w="4383" w:type="dxa"/>
            <w:gridSpan w:val="2"/>
            <w:tcBorders>
              <w:top w:val="nil"/>
              <w:left w:val="nil"/>
              <w:bottom w:val="single" w:sz="8" w:space="0" w:color="auto"/>
              <w:right w:val="double" w:sz="6" w:space="0" w:color="auto"/>
            </w:tcBorders>
          </w:tcPr>
          <w:p w14:paraId="1B9C3D4E"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McKim &amp; Benoit, 1971 </w:t>
            </w:r>
          </w:p>
        </w:tc>
      </w:tr>
      <w:tr w:rsidR="00632208" w:rsidRPr="0098635C" w14:paraId="1B7D259C" w14:textId="77777777" w:rsidTr="00982513">
        <w:trPr>
          <w:trHeight w:val="64"/>
        </w:trPr>
        <w:tc>
          <w:tcPr>
            <w:tcW w:w="1647" w:type="dxa"/>
            <w:gridSpan w:val="2"/>
            <w:tcBorders>
              <w:top w:val="nil"/>
              <w:left w:val="double" w:sz="6" w:space="0" w:color="auto"/>
              <w:bottom w:val="single" w:sz="8" w:space="0" w:color="auto"/>
              <w:right w:val="single" w:sz="8" w:space="0" w:color="auto"/>
            </w:tcBorders>
          </w:tcPr>
          <w:p w14:paraId="1E181A96"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Salvelinus fontinalis </w:t>
            </w:r>
          </w:p>
        </w:tc>
        <w:tc>
          <w:tcPr>
            <w:tcW w:w="1701" w:type="dxa"/>
            <w:tcBorders>
              <w:top w:val="nil"/>
              <w:left w:val="nil"/>
              <w:bottom w:val="single" w:sz="8" w:space="0" w:color="auto"/>
              <w:right w:val="single" w:sz="8" w:space="0" w:color="auto"/>
            </w:tcBorders>
          </w:tcPr>
          <w:p w14:paraId="1DC0B447" w14:textId="77777777" w:rsidR="00632208" w:rsidRPr="0098635C" w:rsidRDefault="00632208" w:rsidP="00A432B0">
            <w:pPr>
              <w:spacing w:after="0"/>
              <w:rPr>
                <w:color w:val="000000" w:themeColor="text1"/>
                <w:sz w:val="20"/>
                <w:szCs w:val="20"/>
              </w:rPr>
            </w:pPr>
            <w:r w:rsidRPr="0098635C">
              <w:rPr>
                <w:color w:val="000000" w:themeColor="text1"/>
                <w:sz w:val="20"/>
                <w:szCs w:val="20"/>
              </w:rPr>
              <w:t>fry</w:t>
            </w:r>
          </w:p>
        </w:tc>
        <w:tc>
          <w:tcPr>
            <w:tcW w:w="709" w:type="dxa"/>
            <w:tcBorders>
              <w:top w:val="nil"/>
              <w:left w:val="nil"/>
              <w:bottom w:val="single" w:sz="8" w:space="0" w:color="auto"/>
              <w:right w:val="single" w:sz="8" w:space="0" w:color="auto"/>
            </w:tcBorders>
          </w:tcPr>
          <w:p w14:paraId="04D0BBB9" w14:textId="77777777" w:rsidR="00632208" w:rsidRPr="0098635C" w:rsidRDefault="00632208" w:rsidP="00A432B0">
            <w:pPr>
              <w:spacing w:after="0"/>
              <w:rPr>
                <w:color w:val="000000" w:themeColor="text1"/>
                <w:sz w:val="20"/>
                <w:szCs w:val="20"/>
              </w:rPr>
            </w:pPr>
            <w:r w:rsidRPr="0098635C">
              <w:rPr>
                <w:color w:val="000000" w:themeColor="text1"/>
                <w:sz w:val="20"/>
                <w:szCs w:val="20"/>
              </w:rPr>
              <w:t>60 d</w:t>
            </w:r>
          </w:p>
        </w:tc>
        <w:tc>
          <w:tcPr>
            <w:tcW w:w="1276" w:type="dxa"/>
            <w:tcBorders>
              <w:top w:val="nil"/>
              <w:left w:val="nil"/>
              <w:bottom w:val="single" w:sz="8" w:space="0" w:color="auto"/>
              <w:right w:val="single" w:sz="8" w:space="0" w:color="auto"/>
            </w:tcBorders>
          </w:tcPr>
          <w:p w14:paraId="56BE56F6" w14:textId="77777777" w:rsidR="00632208" w:rsidRPr="0098635C" w:rsidRDefault="00632208" w:rsidP="00A432B0">
            <w:pPr>
              <w:spacing w:after="0"/>
              <w:rPr>
                <w:color w:val="000000" w:themeColor="text1"/>
                <w:sz w:val="20"/>
                <w:szCs w:val="20"/>
              </w:rPr>
            </w:pPr>
            <w:r w:rsidRPr="0098635C">
              <w:rPr>
                <w:color w:val="000000" w:themeColor="text1"/>
                <w:sz w:val="20"/>
                <w:szCs w:val="20"/>
              </w:rPr>
              <w:t>reproduction</w:t>
            </w:r>
          </w:p>
        </w:tc>
        <w:tc>
          <w:tcPr>
            <w:tcW w:w="850" w:type="dxa"/>
            <w:tcBorders>
              <w:top w:val="nil"/>
              <w:left w:val="nil"/>
              <w:bottom w:val="single" w:sz="8" w:space="0" w:color="auto"/>
              <w:right w:val="single" w:sz="8" w:space="0" w:color="auto"/>
            </w:tcBorders>
          </w:tcPr>
          <w:p w14:paraId="5F1B0264"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7</w:t>
            </w:r>
          </w:p>
        </w:tc>
        <w:tc>
          <w:tcPr>
            <w:tcW w:w="709" w:type="dxa"/>
            <w:tcBorders>
              <w:top w:val="nil"/>
              <w:left w:val="nil"/>
              <w:bottom w:val="single" w:sz="8" w:space="0" w:color="auto"/>
              <w:right w:val="single" w:sz="8" w:space="0" w:color="auto"/>
            </w:tcBorders>
          </w:tcPr>
          <w:p w14:paraId="2A37AD2B"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single" w:sz="8" w:space="0" w:color="auto"/>
              <w:right w:val="single" w:sz="8" w:space="0" w:color="auto"/>
            </w:tcBorders>
          </w:tcPr>
          <w:p w14:paraId="34FB013F"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3</w:t>
            </w:r>
          </w:p>
        </w:tc>
        <w:tc>
          <w:tcPr>
            <w:tcW w:w="3118" w:type="dxa"/>
            <w:tcBorders>
              <w:top w:val="nil"/>
              <w:left w:val="nil"/>
              <w:bottom w:val="single" w:sz="8" w:space="0" w:color="auto"/>
              <w:right w:val="single" w:sz="8" w:space="0" w:color="auto"/>
            </w:tcBorders>
          </w:tcPr>
          <w:p w14:paraId="1C6B9153"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10 °C; pH: 6.85; H: 37.5 mg/L CaCO3; DOC: 1.3 mg/L </w:t>
            </w:r>
            <w:r w:rsidRPr="0098635C">
              <w:rPr>
                <w:color w:val="000000" w:themeColor="text1"/>
                <w:sz w:val="20"/>
                <w:szCs w:val="20"/>
                <w:vertAlign w:val="superscript"/>
              </w:rPr>
              <w:t>(9)</w:t>
            </w:r>
          </w:p>
        </w:tc>
        <w:tc>
          <w:tcPr>
            <w:tcW w:w="1003" w:type="dxa"/>
            <w:tcBorders>
              <w:top w:val="nil"/>
              <w:left w:val="nil"/>
              <w:bottom w:val="single" w:sz="8" w:space="0" w:color="auto"/>
              <w:right w:val="single" w:sz="8" w:space="0" w:color="auto"/>
            </w:tcBorders>
          </w:tcPr>
          <w:p w14:paraId="65B2E2E9" w14:textId="77777777" w:rsidR="00632208" w:rsidRPr="0098635C" w:rsidRDefault="00632208" w:rsidP="00A432B0">
            <w:pPr>
              <w:spacing w:after="0"/>
              <w:rPr>
                <w:color w:val="000000" w:themeColor="text1"/>
                <w:sz w:val="20"/>
                <w:szCs w:val="20"/>
              </w:rPr>
            </w:pPr>
            <w:r w:rsidRPr="0098635C">
              <w:rPr>
                <w:color w:val="000000" w:themeColor="text1"/>
                <w:sz w:val="20"/>
                <w:szCs w:val="20"/>
              </w:rPr>
              <w:t>Well</w:t>
            </w:r>
          </w:p>
        </w:tc>
        <w:tc>
          <w:tcPr>
            <w:tcW w:w="4383" w:type="dxa"/>
            <w:gridSpan w:val="2"/>
            <w:tcBorders>
              <w:top w:val="nil"/>
              <w:left w:val="nil"/>
              <w:bottom w:val="single" w:sz="8" w:space="0" w:color="auto"/>
              <w:right w:val="double" w:sz="6" w:space="0" w:color="auto"/>
            </w:tcBorders>
          </w:tcPr>
          <w:p w14:paraId="1AB7E29B" w14:textId="77777777" w:rsidR="00632208" w:rsidRPr="0098635C" w:rsidRDefault="00632208" w:rsidP="00A432B0">
            <w:pPr>
              <w:spacing w:after="0"/>
              <w:rPr>
                <w:color w:val="000000" w:themeColor="text1"/>
                <w:sz w:val="20"/>
                <w:szCs w:val="20"/>
              </w:rPr>
            </w:pPr>
            <w:r w:rsidRPr="0098635C">
              <w:rPr>
                <w:color w:val="000000" w:themeColor="text1"/>
                <w:sz w:val="20"/>
                <w:szCs w:val="20"/>
              </w:rPr>
              <w:t>Sauter et al., 1976</w:t>
            </w:r>
          </w:p>
        </w:tc>
      </w:tr>
      <w:tr w:rsidR="00632208" w:rsidRPr="0098635C" w14:paraId="0E4F371C" w14:textId="77777777" w:rsidTr="00982513">
        <w:trPr>
          <w:trHeight w:val="139"/>
        </w:trPr>
        <w:tc>
          <w:tcPr>
            <w:tcW w:w="1647" w:type="dxa"/>
            <w:gridSpan w:val="2"/>
            <w:tcBorders>
              <w:top w:val="nil"/>
              <w:left w:val="double" w:sz="6" w:space="0" w:color="auto"/>
              <w:bottom w:val="double" w:sz="6" w:space="0" w:color="auto"/>
              <w:right w:val="single" w:sz="8" w:space="0" w:color="auto"/>
            </w:tcBorders>
          </w:tcPr>
          <w:p w14:paraId="2B188839"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Salvelinus fontinalis </w:t>
            </w:r>
          </w:p>
        </w:tc>
        <w:tc>
          <w:tcPr>
            <w:tcW w:w="1701" w:type="dxa"/>
            <w:tcBorders>
              <w:top w:val="nil"/>
              <w:left w:val="nil"/>
              <w:bottom w:val="double" w:sz="6" w:space="0" w:color="auto"/>
              <w:right w:val="single" w:sz="8" w:space="0" w:color="auto"/>
            </w:tcBorders>
          </w:tcPr>
          <w:p w14:paraId="672EAF2C" w14:textId="77777777" w:rsidR="00632208" w:rsidRPr="0098635C" w:rsidRDefault="00632208" w:rsidP="00A432B0">
            <w:pPr>
              <w:spacing w:after="0"/>
              <w:rPr>
                <w:color w:val="000000" w:themeColor="text1"/>
                <w:sz w:val="20"/>
                <w:szCs w:val="20"/>
              </w:rPr>
            </w:pPr>
            <w:r w:rsidRPr="0098635C">
              <w:rPr>
                <w:color w:val="000000" w:themeColor="text1"/>
                <w:sz w:val="20"/>
                <w:szCs w:val="20"/>
              </w:rPr>
              <w:t>fry</w:t>
            </w:r>
          </w:p>
        </w:tc>
        <w:tc>
          <w:tcPr>
            <w:tcW w:w="709" w:type="dxa"/>
            <w:tcBorders>
              <w:top w:val="nil"/>
              <w:left w:val="nil"/>
              <w:bottom w:val="double" w:sz="6" w:space="0" w:color="auto"/>
              <w:right w:val="single" w:sz="8" w:space="0" w:color="auto"/>
            </w:tcBorders>
          </w:tcPr>
          <w:p w14:paraId="05031B3B" w14:textId="77777777" w:rsidR="00632208" w:rsidRPr="0098635C" w:rsidRDefault="00632208" w:rsidP="00A432B0">
            <w:pPr>
              <w:spacing w:after="0"/>
              <w:rPr>
                <w:color w:val="000000" w:themeColor="text1"/>
                <w:sz w:val="20"/>
                <w:szCs w:val="20"/>
              </w:rPr>
            </w:pPr>
            <w:r w:rsidRPr="0098635C">
              <w:rPr>
                <w:color w:val="000000" w:themeColor="text1"/>
                <w:sz w:val="20"/>
                <w:szCs w:val="20"/>
              </w:rPr>
              <w:t>30 d</w:t>
            </w:r>
          </w:p>
        </w:tc>
        <w:tc>
          <w:tcPr>
            <w:tcW w:w="1276" w:type="dxa"/>
            <w:tcBorders>
              <w:top w:val="nil"/>
              <w:left w:val="nil"/>
              <w:bottom w:val="double" w:sz="6" w:space="0" w:color="auto"/>
              <w:right w:val="single" w:sz="8" w:space="0" w:color="auto"/>
            </w:tcBorders>
          </w:tcPr>
          <w:p w14:paraId="63385DA7" w14:textId="77777777" w:rsidR="00632208" w:rsidRPr="0098635C" w:rsidRDefault="00632208" w:rsidP="00A432B0">
            <w:pPr>
              <w:spacing w:after="0"/>
              <w:rPr>
                <w:color w:val="000000" w:themeColor="text1"/>
                <w:sz w:val="20"/>
                <w:szCs w:val="20"/>
              </w:rPr>
            </w:pPr>
            <w:r w:rsidRPr="0098635C">
              <w:rPr>
                <w:color w:val="000000" w:themeColor="text1"/>
                <w:sz w:val="20"/>
                <w:szCs w:val="20"/>
              </w:rPr>
              <w:t>reproduction</w:t>
            </w:r>
          </w:p>
        </w:tc>
        <w:tc>
          <w:tcPr>
            <w:tcW w:w="850" w:type="dxa"/>
            <w:tcBorders>
              <w:top w:val="nil"/>
              <w:left w:val="nil"/>
              <w:bottom w:val="double" w:sz="6" w:space="0" w:color="auto"/>
              <w:right w:val="single" w:sz="8" w:space="0" w:color="auto"/>
            </w:tcBorders>
          </w:tcPr>
          <w:p w14:paraId="046DCADB"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49</w:t>
            </w:r>
          </w:p>
        </w:tc>
        <w:tc>
          <w:tcPr>
            <w:tcW w:w="709" w:type="dxa"/>
            <w:tcBorders>
              <w:top w:val="nil"/>
              <w:left w:val="nil"/>
              <w:bottom w:val="double" w:sz="6" w:space="0" w:color="auto"/>
              <w:right w:val="single" w:sz="8" w:space="0" w:color="auto"/>
            </w:tcBorders>
          </w:tcPr>
          <w:p w14:paraId="030BD85A"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nil"/>
              <w:left w:val="nil"/>
              <w:bottom w:val="double" w:sz="6" w:space="0" w:color="auto"/>
              <w:right w:val="single" w:sz="8" w:space="0" w:color="auto"/>
            </w:tcBorders>
          </w:tcPr>
          <w:p w14:paraId="7877AF49" w14:textId="77777777" w:rsidR="00632208" w:rsidRPr="0098635C" w:rsidRDefault="00632208" w:rsidP="00A432B0">
            <w:pPr>
              <w:spacing w:after="0"/>
              <w:jc w:val="right"/>
              <w:rPr>
                <w:color w:val="000000" w:themeColor="text1"/>
                <w:sz w:val="20"/>
                <w:szCs w:val="20"/>
              </w:rPr>
            </w:pPr>
            <w:r w:rsidRPr="0098635C">
              <w:rPr>
                <w:color w:val="000000" w:themeColor="text1"/>
                <w:sz w:val="20"/>
                <w:szCs w:val="20"/>
              </w:rPr>
              <w:t>3</w:t>
            </w:r>
          </w:p>
        </w:tc>
        <w:tc>
          <w:tcPr>
            <w:tcW w:w="3118" w:type="dxa"/>
            <w:tcBorders>
              <w:top w:val="nil"/>
              <w:left w:val="nil"/>
              <w:bottom w:val="double" w:sz="6" w:space="0" w:color="auto"/>
              <w:right w:val="single" w:sz="8" w:space="0" w:color="auto"/>
            </w:tcBorders>
          </w:tcPr>
          <w:p w14:paraId="228C8560"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10 °C; pH:6.9; H: 187 mg/L CaCO3; DOC: 1.3 mg/L </w:t>
            </w:r>
            <w:r w:rsidRPr="0098635C">
              <w:rPr>
                <w:color w:val="000000" w:themeColor="text1"/>
                <w:sz w:val="20"/>
                <w:szCs w:val="20"/>
                <w:vertAlign w:val="superscript"/>
              </w:rPr>
              <w:t>(9)</w:t>
            </w:r>
          </w:p>
        </w:tc>
        <w:tc>
          <w:tcPr>
            <w:tcW w:w="1003" w:type="dxa"/>
            <w:tcBorders>
              <w:top w:val="nil"/>
              <w:left w:val="nil"/>
              <w:bottom w:val="double" w:sz="6" w:space="0" w:color="auto"/>
              <w:right w:val="single" w:sz="8" w:space="0" w:color="auto"/>
            </w:tcBorders>
          </w:tcPr>
          <w:p w14:paraId="03E5760A" w14:textId="77777777" w:rsidR="00632208" w:rsidRPr="0098635C" w:rsidRDefault="00632208" w:rsidP="00A432B0">
            <w:pPr>
              <w:spacing w:after="0"/>
              <w:rPr>
                <w:color w:val="000000" w:themeColor="text1"/>
                <w:sz w:val="20"/>
                <w:szCs w:val="20"/>
              </w:rPr>
            </w:pPr>
            <w:r w:rsidRPr="0098635C">
              <w:rPr>
                <w:color w:val="000000" w:themeColor="text1"/>
                <w:sz w:val="20"/>
                <w:szCs w:val="20"/>
              </w:rPr>
              <w:t>Well</w:t>
            </w:r>
          </w:p>
        </w:tc>
        <w:tc>
          <w:tcPr>
            <w:tcW w:w="4383" w:type="dxa"/>
            <w:gridSpan w:val="2"/>
            <w:tcBorders>
              <w:top w:val="nil"/>
              <w:left w:val="nil"/>
              <w:bottom w:val="double" w:sz="6" w:space="0" w:color="auto"/>
              <w:right w:val="double" w:sz="6" w:space="0" w:color="auto"/>
            </w:tcBorders>
          </w:tcPr>
          <w:p w14:paraId="14EE2006" w14:textId="77777777" w:rsidR="00632208" w:rsidRPr="0098635C" w:rsidRDefault="00632208" w:rsidP="00A432B0">
            <w:pPr>
              <w:spacing w:after="0"/>
              <w:rPr>
                <w:color w:val="000000" w:themeColor="text1"/>
                <w:sz w:val="20"/>
                <w:szCs w:val="20"/>
              </w:rPr>
            </w:pPr>
            <w:r w:rsidRPr="0098635C">
              <w:rPr>
                <w:color w:val="000000" w:themeColor="text1"/>
                <w:sz w:val="20"/>
                <w:szCs w:val="20"/>
              </w:rPr>
              <w:t>Sauter et al., 1976</w:t>
            </w:r>
          </w:p>
        </w:tc>
      </w:tr>
      <w:tr w:rsidR="009B2B28" w:rsidRPr="0098635C" w14:paraId="300DFE3D" w14:textId="77777777" w:rsidTr="00982513">
        <w:tblPrEx>
          <w:tblLook w:val="04A0" w:firstRow="1" w:lastRow="0" w:firstColumn="1" w:lastColumn="0" w:noHBand="0" w:noVBand="1"/>
        </w:tblPrEx>
        <w:trPr>
          <w:gridBefore w:val="1"/>
          <w:gridAfter w:val="1"/>
          <w:wBefore w:w="665" w:type="dxa"/>
          <w:wAfter w:w="4126" w:type="dxa"/>
          <w:trHeight w:val="240"/>
        </w:trPr>
        <w:tc>
          <w:tcPr>
            <w:tcW w:w="11314" w:type="dxa"/>
            <w:gridSpan w:val="10"/>
            <w:tcBorders>
              <w:top w:val="nil"/>
              <w:left w:val="nil"/>
              <w:bottom w:val="nil"/>
              <w:right w:val="nil"/>
            </w:tcBorders>
            <w:shd w:val="clear" w:color="auto" w:fill="auto"/>
            <w:vAlign w:val="center"/>
          </w:tcPr>
          <w:p w14:paraId="24A02DE9" w14:textId="5689F104" w:rsidR="009B2B28" w:rsidRPr="0098635C" w:rsidRDefault="009B2B28" w:rsidP="00982513">
            <w:pPr>
              <w:widowControl/>
              <w:autoSpaceDE/>
              <w:autoSpaceDN/>
              <w:adjustRightInd/>
              <w:spacing w:after="0"/>
              <w:ind w:left="-108"/>
              <w:jc w:val="left"/>
              <w:rPr>
                <w:color w:val="000000" w:themeColor="text1"/>
                <w:sz w:val="20"/>
                <w:szCs w:val="20"/>
                <w:lang w:eastAsia="en-GB"/>
              </w:rPr>
            </w:pPr>
          </w:p>
        </w:tc>
      </w:tr>
      <w:tr w:rsidR="009B2B28" w:rsidRPr="0098635C" w14:paraId="477FC2D4" w14:textId="77777777" w:rsidTr="00982513">
        <w:tblPrEx>
          <w:tblLook w:val="04A0" w:firstRow="1" w:lastRow="0" w:firstColumn="1" w:lastColumn="0" w:noHBand="0" w:noVBand="1"/>
        </w:tblPrEx>
        <w:trPr>
          <w:gridBefore w:val="1"/>
          <w:gridAfter w:val="1"/>
          <w:wBefore w:w="665" w:type="dxa"/>
          <w:wAfter w:w="4126" w:type="dxa"/>
          <w:trHeight w:val="240"/>
        </w:trPr>
        <w:tc>
          <w:tcPr>
            <w:tcW w:w="11314" w:type="dxa"/>
            <w:gridSpan w:val="10"/>
            <w:tcBorders>
              <w:top w:val="nil"/>
              <w:left w:val="nil"/>
              <w:bottom w:val="nil"/>
              <w:right w:val="nil"/>
            </w:tcBorders>
            <w:shd w:val="clear" w:color="auto" w:fill="auto"/>
            <w:vAlign w:val="center"/>
          </w:tcPr>
          <w:tbl>
            <w:tblPr>
              <w:tblW w:w="16280" w:type="dxa"/>
              <w:tblLayout w:type="fixed"/>
              <w:tblLook w:val="04A0" w:firstRow="1" w:lastRow="0" w:firstColumn="1" w:lastColumn="0" w:noHBand="0" w:noVBand="1"/>
            </w:tblPr>
            <w:tblGrid>
              <w:gridCol w:w="16280"/>
            </w:tblGrid>
            <w:tr w:rsidR="00965849" w:rsidRPr="0098635C" w14:paraId="4DFE8655" w14:textId="77777777" w:rsidTr="00965849">
              <w:trPr>
                <w:trHeight w:val="240"/>
              </w:trPr>
              <w:tc>
                <w:tcPr>
                  <w:tcW w:w="16280" w:type="dxa"/>
                  <w:tcBorders>
                    <w:top w:val="nil"/>
                    <w:left w:val="nil"/>
                    <w:bottom w:val="nil"/>
                    <w:right w:val="nil"/>
                  </w:tcBorders>
                  <w:shd w:val="clear" w:color="auto" w:fill="auto"/>
                  <w:vAlign w:val="center"/>
                  <w:hideMark/>
                </w:tcPr>
                <w:p w14:paraId="1737AD42" w14:textId="77777777" w:rsidR="00965849" w:rsidRPr="0098635C" w:rsidRDefault="00965849" w:rsidP="00965849">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Footnote Cb : * = estimated</w:t>
                  </w:r>
                </w:p>
              </w:tc>
            </w:tr>
            <w:tr w:rsidR="00965849" w:rsidRPr="0098635C" w14:paraId="5E7D4406" w14:textId="77777777" w:rsidTr="00965849">
              <w:trPr>
                <w:trHeight w:val="240"/>
              </w:trPr>
              <w:tc>
                <w:tcPr>
                  <w:tcW w:w="16280" w:type="dxa"/>
                  <w:tcBorders>
                    <w:top w:val="nil"/>
                    <w:left w:val="nil"/>
                    <w:bottom w:val="nil"/>
                    <w:right w:val="nil"/>
                  </w:tcBorders>
                  <w:shd w:val="clear" w:color="auto" w:fill="auto"/>
                  <w:vAlign w:val="center"/>
                  <w:hideMark/>
                </w:tcPr>
                <w:p w14:paraId="38743E0D" w14:textId="77777777" w:rsidR="00965849" w:rsidRPr="0098635C" w:rsidRDefault="00965849" w:rsidP="00965849">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(1): DOC estimation of reconstituted water is 0.5 mg/L (De Schamphelaere and Janssen, 2002 (0.3 mg DOC/L); Ryan eta al., 2004 (0.4-0.5 mg DOC/L); Karman et al., 2004 (&lt;0.1 mg DOC/L); Hollis et al, 1997 (0.4-0.6 mg DOC/L).</w:t>
                  </w:r>
                </w:p>
              </w:tc>
            </w:tr>
            <w:tr w:rsidR="00965849" w:rsidRPr="0098635C" w14:paraId="64427125" w14:textId="77777777" w:rsidTr="00965849">
              <w:trPr>
                <w:trHeight w:val="240"/>
              </w:trPr>
              <w:tc>
                <w:tcPr>
                  <w:tcW w:w="16280" w:type="dxa"/>
                  <w:tcBorders>
                    <w:top w:val="nil"/>
                    <w:left w:val="nil"/>
                    <w:bottom w:val="nil"/>
                    <w:right w:val="nil"/>
                  </w:tcBorders>
                  <w:shd w:val="clear" w:color="auto" w:fill="auto"/>
                  <w:vAlign w:val="center"/>
                  <w:hideMark/>
                </w:tcPr>
                <w:p w14:paraId="06A78914" w14:textId="77777777" w:rsidR="00965849" w:rsidRPr="0098635C" w:rsidRDefault="00965849" w:rsidP="00965849">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(2): DOC estimation for New River (USA) water extracted from the United States Geological Survey records (USGS). The USGS database reports TOC concentration of 3.65 mg/L, and assuming a DOC/TOC ratio of 0.8.</w:t>
                  </w:r>
                </w:p>
              </w:tc>
            </w:tr>
            <w:tr w:rsidR="00965849" w:rsidRPr="0098635C" w14:paraId="44F970AD" w14:textId="77777777" w:rsidTr="00965849">
              <w:trPr>
                <w:trHeight w:val="240"/>
              </w:trPr>
              <w:tc>
                <w:tcPr>
                  <w:tcW w:w="16280" w:type="dxa"/>
                  <w:tcBorders>
                    <w:top w:val="nil"/>
                    <w:left w:val="nil"/>
                    <w:bottom w:val="nil"/>
                    <w:right w:val="nil"/>
                  </w:tcBorders>
                  <w:shd w:val="clear" w:color="auto" w:fill="auto"/>
                  <w:vAlign w:val="center"/>
                  <w:hideMark/>
                </w:tcPr>
                <w:p w14:paraId="63FB9113" w14:textId="77777777" w:rsidR="00965849" w:rsidRPr="0098635C" w:rsidRDefault="00965849" w:rsidP="00965849">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(3): DOC estimation for unknown river/lake water or for which no reliable DOC concentration could be estimated is 2.0 mg/L (Santore et al., 2002)</w:t>
                  </w:r>
                </w:p>
              </w:tc>
            </w:tr>
            <w:tr w:rsidR="00965849" w:rsidRPr="0098635C" w14:paraId="183B7A59" w14:textId="77777777" w:rsidTr="00965849">
              <w:trPr>
                <w:trHeight w:val="240"/>
              </w:trPr>
              <w:tc>
                <w:tcPr>
                  <w:tcW w:w="16280" w:type="dxa"/>
                  <w:tcBorders>
                    <w:top w:val="nil"/>
                    <w:left w:val="nil"/>
                    <w:bottom w:val="nil"/>
                    <w:right w:val="nil"/>
                  </w:tcBorders>
                  <w:shd w:val="clear" w:color="auto" w:fill="auto"/>
                  <w:vAlign w:val="center"/>
                  <w:hideMark/>
                </w:tcPr>
                <w:p w14:paraId="30647078" w14:textId="77777777" w:rsidR="00965849" w:rsidRPr="0098635C" w:rsidRDefault="00965849" w:rsidP="00965849">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(4): DOC estimation for Clinch River (USA) water extracted from the United States Geological Survey records (USGS). The USGS database reports TOC concentration of 3.7 mg/L, and assuming a DOC/TOC ratio of 0.8.</w:t>
                  </w:r>
                </w:p>
              </w:tc>
            </w:tr>
            <w:tr w:rsidR="00965849" w:rsidRPr="0098635C" w14:paraId="462F0C35" w14:textId="77777777" w:rsidTr="00965849">
              <w:trPr>
                <w:trHeight w:val="240"/>
              </w:trPr>
              <w:tc>
                <w:tcPr>
                  <w:tcW w:w="16280" w:type="dxa"/>
                  <w:tcBorders>
                    <w:top w:val="nil"/>
                    <w:left w:val="nil"/>
                    <w:bottom w:val="nil"/>
                    <w:right w:val="nil"/>
                  </w:tcBorders>
                  <w:shd w:val="clear" w:color="auto" w:fill="auto"/>
                  <w:vAlign w:val="center"/>
                  <w:hideMark/>
                </w:tcPr>
                <w:p w14:paraId="3CD15823" w14:textId="77777777" w:rsidR="00965849" w:rsidRPr="0098635C" w:rsidRDefault="00965849" w:rsidP="00965849">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(5): DOC estimation for Lester River (USA) water extracted from the United States Geological Survey records (USGS). The USGS database reports TOC concentration of 7.1 mg/L, and assuming a DOC/TOC ratio of 0.8.</w:t>
                  </w:r>
                </w:p>
              </w:tc>
            </w:tr>
            <w:tr w:rsidR="00965849" w:rsidRPr="0098635C" w14:paraId="53FF64B5" w14:textId="77777777" w:rsidTr="00965849">
              <w:trPr>
                <w:trHeight w:val="499"/>
              </w:trPr>
              <w:tc>
                <w:tcPr>
                  <w:tcW w:w="16280" w:type="dxa"/>
                  <w:tcBorders>
                    <w:top w:val="nil"/>
                    <w:left w:val="nil"/>
                    <w:bottom w:val="nil"/>
                    <w:right w:val="nil"/>
                  </w:tcBorders>
                  <w:shd w:val="clear" w:color="auto" w:fill="auto"/>
                  <w:vAlign w:val="center"/>
                  <w:hideMark/>
                </w:tcPr>
                <w:p w14:paraId="15F430C3" w14:textId="77777777" w:rsidR="00965849" w:rsidRPr="0098635C" w:rsidRDefault="00965849" w:rsidP="00965849">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(6): DOC estimation for deionized water (= 0.1 mg/L according to Santore et al., 2002) with addition of artificial humic acids (no addition; 0.15 mg/L; 0.75 mg/L; 1.5 mg/L). Conversion from humic acid content to organic carbon content was performed after using a factor of 2.</w:t>
                  </w:r>
                </w:p>
              </w:tc>
            </w:tr>
            <w:tr w:rsidR="00965849" w:rsidRPr="0098635C" w14:paraId="04B9293B" w14:textId="77777777" w:rsidTr="00965849">
              <w:trPr>
                <w:trHeight w:val="240"/>
              </w:trPr>
              <w:tc>
                <w:tcPr>
                  <w:tcW w:w="16280" w:type="dxa"/>
                  <w:tcBorders>
                    <w:top w:val="nil"/>
                    <w:left w:val="nil"/>
                    <w:bottom w:val="nil"/>
                    <w:right w:val="nil"/>
                  </w:tcBorders>
                  <w:shd w:val="clear" w:color="auto" w:fill="auto"/>
                  <w:vAlign w:val="center"/>
                  <w:hideMark/>
                </w:tcPr>
                <w:p w14:paraId="07C7529E" w14:textId="77777777" w:rsidR="00965849" w:rsidRPr="0098635C" w:rsidRDefault="00965849" w:rsidP="00965849">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(7): DOC estimation for tap water is 1.0 mg/L (Santore et al., 2002)</w:t>
                  </w:r>
                </w:p>
              </w:tc>
            </w:tr>
            <w:tr w:rsidR="00965849" w:rsidRPr="0098635C" w14:paraId="22F17D28" w14:textId="77777777" w:rsidTr="00965849">
              <w:trPr>
                <w:trHeight w:val="240"/>
              </w:trPr>
              <w:tc>
                <w:tcPr>
                  <w:tcW w:w="16280" w:type="dxa"/>
                  <w:tcBorders>
                    <w:top w:val="nil"/>
                    <w:left w:val="nil"/>
                    <w:bottom w:val="nil"/>
                    <w:right w:val="nil"/>
                  </w:tcBorders>
                  <w:shd w:val="clear" w:color="auto" w:fill="auto"/>
                  <w:vAlign w:val="center"/>
                  <w:hideMark/>
                </w:tcPr>
                <w:p w14:paraId="4E6F67E4" w14:textId="77777777" w:rsidR="00965849" w:rsidRPr="0098635C" w:rsidRDefault="00965849" w:rsidP="00965849">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(8): DOC estimation for spring water is 1.0 mg/L (Santore et al., 2002)</w:t>
                  </w:r>
                </w:p>
              </w:tc>
            </w:tr>
            <w:tr w:rsidR="00965849" w:rsidRPr="0098635C" w14:paraId="35EDED75" w14:textId="77777777" w:rsidTr="00965849">
              <w:trPr>
                <w:trHeight w:val="240"/>
              </w:trPr>
              <w:tc>
                <w:tcPr>
                  <w:tcW w:w="16280" w:type="dxa"/>
                  <w:tcBorders>
                    <w:top w:val="nil"/>
                    <w:left w:val="nil"/>
                    <w:bottom w:val="nil"/>
                    <w:right w:val="nil"/>
                  </w:tcBorders>
                  <w:shd w:val="clear" w:color="auto" w:fill="auto"/>
                  <w:vAlign w:val="center"/>
                  <w:hideMark/>
                </w:tcPr>
                <w:p w14:paraId="255B2D84" w14:textId="77777777" w:rsidR="00965849" w:rsidRPr="0098635C" w:rsidRDefault="00965849" w:rsidP="00965849">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(9): DOC estimation for well water is 1.3 mg/L (Santore et al., 2002) </w:t>
                  </w:r>
                </w:p>
              </w:tc>
            </w:tr>
            <w:tr w:rsidR="00965849" w:rsidRPr="0098635C" w14:paraId="4755B4B9" w14:textId="77777777" w:rsidTr="00965849">
              <w:trPr>
                <w:trHeight w:val="499"/>
              </w:trPr>
              <w:tc>
                <w:tcPr>
                  <w:tcW w:w="16280" w:type="dxa"/>
                  <w:tcBorders>
                    <w:top w:val="nil"/>
                    <w:left w:val="nil"/>
                    <w:bottom w:val="nil"/>
                    <w:right w:val="nil"/>
                  </w:tcBorders>
                  <w:shd w:val="clear" w:color="auto" w:fill="auto"/>
                  <w:vAlign w:val="center"/>
                  <w:hideMark/>
                </w:tcPr>
                <w:p w14:paraId="03BB6671" w14:textId="77777777" w:rsidR="00965849" w:rsidRPr="0098635C" w:rsidRDefault="00965849" w:rsidP="00965849">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(10): DOC level of Markermeer (origin of the test water) was used as a basis for the DOC estimation; the Markermeer water was however  filtered extensively over a sand bed to reduce the TOC  (pers. communication)) and the resulting DOC value is therefore &lt; 7.3 mg/L. </w:t>
                  </w:r>
                </w:p>
              </w:tc>
            </w:tr>
            <w:tr w:rsidR="00965849" w:rsidRPr="0098635C" w14:paraId="128FFBC0" w14:textId="77777777" w:rsidTr="00965849">
              <w:trPr>
                <w:trHeight w:val="240"/>
              </w:trPr>
              <w:tc>
                <w:tcPr>
                  <w:tcW w:w="16280" w:type="dxa"/>
                  <w:tcBorders>
                    <w:top w:val="nil"/>
                    <w:left w:val="nil"/>
                    <w:bottom w:val="nil"/>
                    <w:right w:val="nil"/>
                  </w:tcBorders>
                  <w:shd w:val="clear" w:color="auto" w:fill="auto"/>
                  <w:vAlign w:val="center"/>
                  <w:hideMark/>
                </w:tcPr>
                <w:p w14:paraId="3E02F579" w14:textId="77777777" w:rsidR="00965849" w:rsidRPr="0098635C" w:rsidRDefault="00965849" w:rsidP="00965849">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lastRenderedPageBreak/>
                    <w:t>(11): DOC estimation for Chehalis River (USA) water extracted from the United States Geological Survey records (USGS). The USGS database reports TOC concentration of 3.6 mg/L, and assuming a DOC/TOC ratio of 0.8.</w:t>
                  </w:r>
                </w:p>
              </w:tc>
            </w:tr>
            <w:tr w:rsidR="00965849" w:rsidRPr="0098635C" w14:paraId="46DEDA94" w14:textId="77777777" w:rsidTr="00965849">
              <w:trPr>
                <w:trHeight w:val="240"/>
              </w:trPr>
              <w:tc>
                <w:tcPr>
                  <w:tcW w:w="16280" w:type="dxa"/>
                  <w:tcBorders>
                    <w:top w:val="nil"/>
                    <w:left w:val="nil"/>
                    <w:bottom w:val="nil"/>
                    <w:right w:val="nil"/>
                  </w:tcBorders>
                  <w:shd w:val="clear" w:color="auto" w:fill="auto"/>
                  <w:vAlign w:val="center"/>
                  <w:hideMark/>
                </w:tcPr>
                <w:p w14:paraId="38B9B198" w14:textId="77777777" w:rsidR="00965849" w:rsidRPr="0098635C" w:rsidRDefault="00965849" w:rsidP="00965849">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(12): DOC estimation for ultrapure deionized water (0.1 mg/L Santore et al., 2002) and well water (1.3 mg/L  according to Santore et al., 2002) in a ratio of 90%/10% is 0.45 mg/L.</w:t>
                  </w:r>
                </w:p>
              </w:tc>
            </w:tr>
            <w:tr w:rsidR="00965849" w:rsidRPr="0098635C" w14:paraId="794BFE13" w14:textId="77777777" w:rsidTr="00965849">
              <w:trPr>
                <w:trHeight w:val="240"/>
              </w:trPr>
              <w:tc>
                <w:tcPr>
                  <w:tcW w:w="16280" w:type="dxa"/>
                  <w:tcBorders>
                    <w:top w:val="nil"/>
                    <w:left w:val="nil"/>
                    <w:bottom w:val="nil"/>
                    <w:right w:val="nil"/>
                  </w:tcBorders>
                  <w:shd w:val="clear" w:color="auto" w:fill="auto"/>
                  <w:vAlign w:val="center"/>
                  <w:hideMark/>
                </w:tcPr>
                <w:p w14:paraId="6E7428BE" w14:textId="77777777" w:rsidR="00965849" w:rsidRPr="0098635C" w:rsidRDefault="00965849" w:rsidP="00965849">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(13): DOC estimation for Lake Superior water is 1.0 mg/L (Santore et al., 2002)</w:t>
                  </w:r>
                </w:p>
              </w:tc>
            </w:tr>
          </w:tbl>
          <w:p w14:paraId="23DF45A6" w14:textId="77777777" w:rsidR="009B2B28" w:rsidRPr="0098635C" w:rsidRDefault="009B2B28" w:rsidP="00982513">
            <w:pPr>
              <w:widowControl/>
              <w:autoSpaceDE/>
              <w:autoSpaceDN/>
              <w:adjustRightInd/>
              <w:spacing w:after="0"/>
              <w:ind w:left="-108"/>
              <w:jc w:val="left"/>
              <w:rPr>
                <w:color w:val="000000" w:themeColor="text1"/>
                <w:sz w:val="20"/>
                <w:szCs w:val="20"/>
                <w:lang w:eastAsia="en-GB"/>
              </w:rPr>
            </w:pPr>
          </w:p>
        </w:tc>
      </w:tr>
      <w:tr w:rsidR="009B2B28" w:rsidRPr="0098635C" w14:paraId="4B387410" w14:textId="77777777" w:rsidTr="00982513">
        <w:tblPrEx>
          <w:tblLook w:val="04A0" w:firstRow="1" w:lastRow="0" w:firstColumn="1" w:lastColumn="0" w:noHBand="0" w:noVBand="1"/>
        </w:tblPrEx>
        <w:trPr>
          <w:gridBefore w:val="1"/>
          <w:gridAfter w:val="1"/>
          <w:wBefore w:w="665" w:type="dxa"/>
          <w:wAfter w:w="4126" w:type="dxa"/>
          <w:trHeight w:val="240"/>
        </w:trPr>
        <w:tc>
          <w:tcPr>
            <w:tcW w:w="11314" w:type="dxa"/>
            <w:gridSpan w:val="10"/>
            <w:tcBorders>
              <w:top w:val="nil"/>
              <w:left w:val="nil"/>
              <w:bottom w:val="nil"/>
              <w:right w:val="nil"/>
            </w:tcBorders>
            <w:shd w:val="clear" w:color="auto" w:fill="auto"/>
            <w:vAlign w:val="center"/>
          </w:tcPr>
          <w:p w14:paraId="0B620A79" w14:textId="04F00BAF" w:rsidR="009B2B28" w:rsidRPr="0098635C" w:rsidRDefault="009B2B28" w:rsidP="00982513">
            <w:pPr>
              <w:widowControl/>
              <w:autoSpaceDE/>
              <w:autoSpaceDN/>
              <w:adjustRightInd/>
              <w:spacing w:after="0"/>
              <w:ind w:left="-108"/>
              <w:jc w:val="left"/>
              <w:rPr>
                <w:color w:val="000000" w:themeColor="text1"/>
                <w:sz w:val="20"/>
                <w:szCs w:val="20"/>
                <w:lang w:eastAsia="en-GB"/>
              </w:rPr>
            </w:pPr>
          </w:p>
        </w:tc>
      </w:tr>
      <w:tr w:rsidR="009B2B28" w:rsidRPr="0098635C" w14:paraId="79C7A8F1" w14:textId="77777777" w:rsidTr="00982513">
        <w:tblPrEx>
          <w:tblLook w:val="04A0" w:firstRow="1" w:lastRow="0" w:firstColumn="1" w:lastColumn="0" w:noHBand="0" w:noVBand="1"/>
        </w:tblPrEx>
        <w:trPr>
          <w:gridBefore w:val="1"/>
          <w:gridAfter w:val="1"/>
          <w:wBefore w:w="665" w:type="dxa"/>
          <w:wAfter w:w="4126" w:type="dxa"/>
          <w:trHeight w:val="510"/>
        </w:trPr>
        <w:tc>
          <w:tcPr>
            <w:tcW w:w="11314" w:type="dxa"/>
            <w:gridSpan w:val="10"/>
            <w:tcBorders>
              <w:top w:val="nil"/>
              <w:left w:val="nil"/>
              <w:bottom w:val="nil"/>
              <w:right w:val="nil"/>
            </w:tcBorders>
            <w:shd w:val="clear" w:color="auto" w:fill="auto"/>
            <w:vAlign w:val="center"/>
          </w:tcPr>
          <w:p w14:paraId="4FC954D1" w14:textId="0F400625" w:rsidR="009B2B28" w:rsidRPr="0098635C" w:rsidRDefault="009B2B28" w:rsidP="00982513">
            <w:pPr>
              <w:widowControl/>
              <w:autoSpaceDE/>
              <w:autoSpaceDN/>
              <w:adjustRightInd/>
              <w:spacing w:after="0"/>
              <w:jc w:val="left"/>
              <w:rPr>
                <w:color w:val="000000" w:themeColor="text1"/>
                <w:sz w:val="20"/>
                <w:szCs w:val="20"/>
                <w:lang w:eastAsia="en-GB"/>
              </w:rPr>
            </w:pPr>
          </w:p>
        </w:tc>
      </w:tr>
      <w:tr w:rsidR="009B2B28" w:rsidRPr="0098635C" w14:paraId="24959DCB" w14:textId="77777777" w:rsidTr="00982513">
        <w:tblPrEx>
          <w:tblLook w:val="04A0" w:firstRow="1" w:lastRow="0" w:firstColumn="1" w:lastColumn="0" w:noHBand="0" w:noVBand="1"/>
        </w:tblPrEx>
        <w:trPr>
          <w:gridBefore w:val="1"/>
          <w:gridAfter w:val="1"/>
          <w:wBefore w:w="665" w:type="dxa"/>
          <w:wAfter w:w="4126" w:type="dxa"/>
          <w:trHeight w:val="480"/>
        </w:trPr>
        <w:tc>
          <w:tcPr>
            <w:tcW w:w="11314" w:type="dxa"/>
            <w:gridSpan w:val="10"/>
            <w:tcBorders>
              <w:top w:val="nil"/>
              <w:left w:val="nil"/>
              <w:bottom w:val="nil"/>
              <w:right w:val="nil"/>
            </w:tcBorders>
            <w:shd w:val="clear" w:color="auto" w:fill="auto"/>
            <w:vAlign w:val="center"/>
          </w:tcPr>
          <w:p w14:paraId="7BA92FA4" w14:textId="263873E3" w:rsidR="009B2B28" w:rsidRPr="0098635C" w:rsidRDefault="009B2B28" w:rsidP="00982513">
            <w:pPr>
              <w:widowControl/>
              <w:autoSpaceDE/>
              <w:autoSpaceDN/>
              <w:adjustRightInd/>
              <w:spacing w:after="0"/>
              <w:jc w:val="left"/>
              <w:rPr>
                <w:color w:val="000000" w:themeColor="text1"/>
                <w:sz w:val="20"/>
                <w:szCs w:val="20"/>
                <w:lang w:eastAsia="en-GB"/>
              </w:rPr>
            </w:pPr>
          </w:p>
        </w:tc>
      </w:tr>
      <w:tr w:rsidR="009B2B28" w:rsidRPr="0098635C" w14:paraId="31AF64E6" w14:textId="77777777" w:rsidTr="00982513">
        <w:tblPrEx>
          <w:tblLook w:val="04A0" w:firstRow="1" w:lastRow="0" w:firstColumn="1" w:lastColumn="0" w:noHBand="0" w:noVBand="1"/>
        </w:tblPrEx>
        <w:trPr>
          <w:gridBefore w:val="1"/>
          <w:gridAfter w:val="1"/>
          <w:wBefore w:w="665" w:type="dxa"/>
          <w:wAfter w:w="4126" w:type="dxa"/>
          <w:trHeight w:val="300"/>
        </w:trPr>
        <w:tc>
          <w:tcPr>
            <w:tcW w:w="11314" w:type="dxa"/>
            <w:gridSpan w:val="10"/>
            <w:tcBorders>
              <w:top w:val="nil"/>
              <w:left w:val="nil"/>
              <w:bottom w:val="nil"/>
              <w:right w:val="nil"/>
            </w:tcBorders>
            <w:shd w:val="clear" w:color="auto" w:fill="auto"/>
            <w:vAlign w:val="center"/>
          </w:tcPr>
          <w:p w14:paraId="1AD327ED" w14:textId="6A750837" w:rsidR="009B2B28" w:rsidRPr="0098635C" w:rsidRDefault="009B2B28" w:rsidP="00982513">
            <w:pPr>
              <w:widowControl/>
              <w:autoSpaceDE/>
              <w:autoSpaceDN/>
              <w:adjustRightInd/>
              <w:spacing w:after="0"/>
              <w:ind w:left="-108"/>
              <w:jc w:val="left"/>
              <w:rPr>
                <w:color w:val="000000" w:themeColor="text1"/>
                <w:sz w:val="20"/>
                <w:szCs w:val="20"/>
                <w:lang w:eastAsia="en-GB"/>
              </w:rPr>
            </w:pPr>
          </w:p>
        </w:tc>
      </w:tr>
      <w:tr w:rsidR="009B2B28" w:rsidRPr="0098635C" w14:paraId="19834BE8" w14:textId="77777777" w:rsidTr="00982513">
        <w:tblPrEx>
          <w:tblLook w:val="04A0" w:firstRow="1" w:lastRow="0" w:firstColumn="1" w:lastColumn="0" w:noHBand="0" w:noVBand="1"/>
        </w:tblPrEx>
        <w:trPr>
          <w:gridBefore w:val="1"/>
          <w:gridAfter w:val="1"/>
          <w:wBefore w:w="665" w:type="dxa"/>
          <w:wAfter w:w="4126" w:type="dxa"/>
          <w:trHeight w:val="510"/>
        </w:trPr>
        <w:tc>
          <w:tcPr>
            <w:tcW w:w="11314" w:type="dxa"/>
            <w:gridSpan w:val="10"/>
            <w:tcBorders>
              <w:top w:val="nil"/>
              <w:left w:val="nil"/>
              <w:bottom w:val="nil"/>
              <w:right w:val="nil"/>
            </w:tcBorders>
            <w:shd w:val="clear" w:color="auto" w:fill="auto"/>
            <w:vAlign w:val="center"/>
          </w:tcPr>
          <w:p w14:paraId="30BE8F11" w14:textId="0B8604E0" w:rsidR="009B2B28" w:rsidRPr="0098635C" w:rsidRDefault="009B2B28" w:rsidP="00982513">
            <w:pPr>
              <w:widowControl/>
              <w:autoSpaceDE/>
              <w:autoSpaceDN/>
              <w:adjustRightInd/>
              <w:spacing w:after="0"/>
              <w:ind w:left="-108"/>
              <w:jc w:val="left"/>
              <w:rPr>
                <w:color w:val="000000" w:themeColor="text1"/>
                <w:sz w:val="20"/>
                <w:szCs w:val="20"/>
                <w:lang w:eastAsia="en-GB"/>
              </w:rPr>
            </w:pPr>
          </w:p>
        </w:tc>
      </w:tr>
      <w:tr w:rsidR="009B2B28" w:rsidRPr="0098635C" w14:paraId="72870225" w14:textId="77777777" w:rsidTr="00982513">
        <w:tblPrEx>
          <w:tblLook w:val="04A0" w:firstRow="1" w:lastRow="0" w:firstColumn="1" w:lastColumn="0" w:noHBand="0" w:noVBand="1"/>
        </w:tblPrEx>
        <w:trPr>
          <w:gridBefore w:val="1"/>
          <w:gridAfter w:val="1"/>
          <w:wBefore w:w="665" w:type="dxa"/>
          <w:wAfter w:w="4126" w:type="dxa"/>
          <w:trHeight w:val="240"/>
        </w:trPr>
        <w:tc>
          <w:tcPr>
            <w:tcW w:w="11314" w:type="dxa"/>
            <w:gridSpan w:val="10"/>
            <w:tcBorders>
              <w:top w:val="nil"/>
              <w:left w:val="nil"/>
              <w:bottom w:val="nil"/>
              <w:right w:val="nil"/>
            </w:tcBorders>
            <w:shd w:val="clear" w:color="auto" w:fill="auto"/>
            <w:vAlign w:val="center"/>
          </w:tcPr>
          <w:p w14:paraId="5D03B6C1" w14:textId="5075698F" w:rsidR="009B2B28" w:rsidRPr="0098635C" w:rsidRDefault="009B2B28" w:rsidP="00982513">
            <w:pPr>
              <w:widowControl/>
              <w:autoSpaceDE/>
              <w:autoSpaceDN/>
              <w:adjustRightInd/>
              <w:spacing w:after="0"/>
              <w:ind w:left="-108"/>
              <w:jc w:val="left"/>
              <w:rPr>
                <w:color w:val="000000" w:themeColor="text1"/>
                <w:sz w:val="20"/>
                <w:szCs w:val="20"/>
                <w:lang w:eastAsia="en-GB"/>
              </w:rPr>
            </w:pPr>
          </w:p>
        </w:tc>
      </w:tr>
      <w:tr w:rsidR="009B2B28" w:rsidRPr="0098635C" w14:paraId="47ED5D77" w14:textId="77777777" w:rsidTr="00982513">
        <w:tblPrEx>
          <w:tblLook w:val="04A0" w:firstRow="1" w:lastRow="0" w:firstColumn="1" w:lastColumn="0" w:noHBand="0" w:noVBand="1"/>
        </w:tblPrEx>
        <w:trPr>
          <w:gridBefore w:val="1"/>
          <w:gridAfter w:val="1"/>
          <w:wBefore w:w="665" w:type="dxa"/>
          <w:wAfter w:w="4126" w:type="dxa"/>
          <w:trHeight w:val="510"/>
        </w:trPr>
        <w:tc>
          <w:tcPr>
            <w:tcW w:w="11314" w:type="dxa"/>
            <w:gridSpan w:val="10"/>
            <w:tcBorders>
              <w:top w:val="nil"/>
              <w:left w:val="nil"/>
              <w:bottom w:val="nil"/>
              <w:right w:val="nil"/>
            </w:tcBorders>
            <w:shd w:val="clear" w:color="auto" w:fill="auto"/>
            <w:vAlign w:val="center"/>
          </w:tcPr>
          <w:p w14:paraId="406A4532" w14:textId="3FE0076A" w:rsidR="009B2B28" w:rsidRPr="0098635C" w:rsidRDefault="009B2B28" w:rsidP="00982513">
            <w:pPr>
              <w:widowControl/>
              <w:autoSpaceDE/>
              <w:autoSpaceDN/>
              <w:adjustRightInd/>
              <w:spacing w:after="0"/>
              <w:ind w:left="-108"/>
              <w:jc w:val="left"/>
              <w:rPr>
                <w:color w:val="000000" w:themeColor="text1"/>
                <w:sz w:val="20"/>
                <w:szCs w:val="20"/>
                <w:lang w:eastAsia="en-GB"/>
              </w:rPr>
            </w:pPr>
          </w:p>
        </w:tc>
      </w:tr>
      <w:tr w:rsidR="009B2B28" w:rsidRPr="0098635C" w14:paraId="1C250880" w14:textId="77777777" w:rsidTr="00982513">
        <w:tblPrEx>
          <w:tblLook w:val="04A0" w:firstRow="1" w:lastRow="0" w:firstColumn="1" w:lastColumn="0" w:noHBand="0" w:noVBand="1"/>
        </w:tblPrEx>
        <w:trPr>
          <w:gridBefore w:val="1"/>
          <w:gridAfter w:val="1"/>
          <w:wBefore w:w="665" w:type="dxa"/>
          <w:wAfter w:w="4126" w:type="dxa"/>
          <w:trHeight w:val="240"/>
        </w:trPr>
        <w:tc>
          <w:tcPr>
            <w:tcW w:w="11314" w:type="dxa"/>
            <w:gridSpan w:val="10"/>
            <w:tcBorders>
              <w:top w:val="nil"/>
              <w:left w:val="nil"/>
              <w:bottom w:val="nil"/>
              <w:right w:val="nil"/>
            </w:tcBorders>
            <w:shd w:val="clear" w:color="auto" w:fill="auto"/>
            <w:vAlign w:val="center"/>
          </w:tcPr>
          <w:p w14:paraId="782770F3" w14:textId="108953A3" w:rsidR="009B2B28" w:rsidRPr="0098635C" w:rsidRDefault="009B2B28" w:rsidP="00982513">
            <w:pPr>
              <w:widowControl/>
              <w:autoSpaceDE/>
              <w:autoSpaceDN/>
              <w:adjustRightInd/>
              <w:spacing w:after="0"/>
              <w:ind w:left="-108"/>
              <w:jc w:val="left"/>
              <w:rPr>
                <w:color w:val="000000" w:themeColor="text1"/>
                <w:sz w:val="20"/>
                <w:szCs w:val="20"/>
                <w:lang w:eastAsia="en-GB"/>
              </w:rPr>
            </w:pPr>
          </w:p>
        </w:tc>
      </w:tr>
      <w:tr w:rsidR="009B2B28" w:rsidRPr="0098635C" w14:paraId="1A47C090" w14:textId="77777777" w:rsidTr="00982513">
        <w:tblPrEx>
          <w:tblLook w:val="04A0" w:firstRow="1" w:lastRow="0" w:firstColumn="1" w:lastColumn="0" w:noHBand="0" w:noVBand="1"/>
        </w:tblPrEx>
        <w:trPr>
          <w:gridBefore w:val="1"/>
          <w:gridAfter w:val="1"/>
          <w:wBefore w:w="665" w:type="dxa"/>
          <w:wAfter w:w="4126" w:type="dxa"/>
          <w:trHeight w:val="240"/>
        </w:trPr>
        <w:tc>
          <w:tcPr>
            <w:tcW w:w="11314" w:type="dxa"/>
            <w:gridSpan w:val="10"/>
            <w:tcBorders>
              <w:top w:val="nil"/>
              <w:left w:val="nil"/>
              <w:bottom w:val="nil"/>
              <w:right w:val="nil"/>
            </w:tcBorders>
            <w:shd w:val="clear" w:color="auto" w:fill="auto"/>
            <w:vAlign w:val="center"/>
          </w:tcPr>
          <w:p w14:paraId="53C3D178" w14:textId="7F5A5DCA" w:rsidR="009B2B28" w:rsidRPr="0098635C" w:rsidRDefault="009B2B28" w:rsidP="00982513">
            <w:pPr>
              <w:widowControl/>
              <w:autoSpaceDE/>
              <w:autoSpaceDN/>
              <w:adjustRightInd/>
              <w:spacing w:after="0"/>
              <w:ind w:left="-108"/>
              <w:jc w:val="left"/>
              <w:rPr>
                <w:color w:val="000000" w:themeColor="text1"/>
                <w:sz w:val="20"/>
                <w:szCs w:val="20"/>
                <w:lang w:eastAsia="en-GB"/>
              </w:rPr>
            </w:pPr>
          </w:p>
        </w:tc>
      </w:tr>
      <w:tr w:rsidR="009B2B28" w:rsidRPr="0098635C" w14:paraId="69A8D1C2" w14:textId="77777777" w:rsidTr="00982513">
        <w:tblPrEx>
          <w:tblLook w:val="04A0" w:firstRow="1" w:lastRow="0" w:firstColumn="1" w:lastColumn="0" w:noHBand="0" w:noVBand="1"/>
        </w:tblPrEx>
        <w:trPr>
          <w:gridBefore w:val="1"/>
          <w:gridAfter w:val="1"/>
          <w:wBefore w:w="665" w:type="dxa"/>
          <w:wAfter w:w="4126" w:type="dxa"/>
          <w:trHeight w:val="240"/>
        </w:trPr>
        <w:tc>
          <w:tcPr>
            <w:tcW w:w="11314" w:type="dxa"/>
            <w:gridSpan w:val="10"/>
            <w:tcBorders>
              <w:top w:val="nil"/>
              <w:left w:val="nil"/>
              <w:bottom w:val="nil"/>
              <w:right w:val="nil"/>
            </w:tcBorders>
            <w:shd w:val="clear" w:color="auto" w:fill="auto"/>
            <w:vAlign w:val="center"/>
          </w:tcPr>
          <w:p w14:paraId="4DB3113B" w14:textId="7FD789AA" w:rsidR="009B2B28" w:rsidRPr="0098635C" w:rsidRDefault="009B2B28" w:rsidP="00982513">
            <w:pPr>
              <w:widowControl/>
              <w:autoSpaceDE/>
              <w:autoSpaceDN/>
              <w:adjustRightInd/>
              <w:spacing w:after="0"/>
              <w:ind w:left="-108"/>
              <w:jc w:val="left"/>
              <w:rPr>
                <w:color w:val="000000" w:themeColor="text1"/>
                <w:sz w:val="20"/>
                <w:szCs w:val="20"/>
                <w:lang w:eastAsia="en-GB"/>
              </w:rPr>
            </w:pPr>
          </w:p>
        </w:tc>
      </w:tr>
      <w:tr w:rsidR="009B2B28" w:rsidRPr="0098635C" w14:paraId="3BCFAC18" w14:textId="77777777" w:rsidTr="00982513">
        <w:tblPrEx>
          <w:tblLook w:val="04A0" w:firstRow="1" w:lastRow="0" w:firstColumn="1" w:lastColumn="0" w:noHBand="0" w:noVBand="1"/>
        </w:tblPrEx>
        <w:trPr>
          <w:gridBefore w:val="1"/>
          <w:gridAfter w:val="1"/>
          <w:wBefore w:w="665" w:type="dxa"/>
          <w:wAfter w:w="4126" w:type="dxa"/>
          <w:trHeight w:val="510"/>
        </w:trPr>
        <w:tc>
          <w:tcPr>
            <w:tcW w:w="11314" w:type="dxa"/>
            <w:gridSpan w:val="10"/>
            <w:tcBorders>
              <w:top w:val="nil"/>
              <w:left w:val="nil"/>
              <w:bottom w:val="nil"/>
              <w:right w:val="nil"/>
            </w:tcBorders>
            <w:shd w:val="clear" w:color="auto" w:fill="auto"/>
            <w:vAlign w:val="center"/>
          </w:tcPr>
          <w:p w14:paraId="0C83EAB4" w14:textId="641FA4F2" w:rsidR="009B2B28" w:rsidRPr="0098635C" w:rsidRDefault="009B2B28" w:rsidP="00982513">
            <w:pPr>
              <w:widowControl/>
              <w:autoSpaceDE/>
              <w:autoSpaceDN/>
              <w:adjustRightInd/>
              <w:spacing w:after="0"/>
              <w:ind w:left="-108"/>
              <w:jc w:val="left"/>
              <w:rPr>
                <w:color w:val="000000" w:themeColor="text1"/>
                <w:sz w:val="20"/>
                <w:szCs w:val="20"/>
                <w:lang w:eastAsia="en-GB"/>
              </w:rPr>
            </w:pPr>
          </w:p>
        </w:tc>
      </w:tr>
      <w:tr w:rsidR="009B2B28" w:rsidRPr="0098635C" w14:paraId="7D737138" w14:textId="77777777" w:rsidTr="00982513">
        <w:tblPrEx>
          <w:tblLook w:val="04A0" w:firstRow="1" w:lastRow="0" w:firstColumn="1" w:lastColumn="0" w:noHBand="0" w:noVBand="1"/>
        </w:tblPrEx>
        <w:trPr>
          <w:gridBefore w:val="1"/>
          <w:gridAfter w:val="1"/>
          <w:wBefore w:w="665" w:type="dxa"/>
          <w:wAfter w:w="4126" w:type="dxa"/>
          <w:trHeight w:val="510"/>
        </w:trPr>
        <w:tc>
          <w:tcPr>
            <w:tcW w:w="11314" w:type="dxa"/>
            <w:gridSpan w:val="10"/>
            <w:tcBorders>
              <w:top w:val="nil"/>
              <w:left w:val="nil"/>
              <w:bottom w:val="nil"/>
              <w:right w:val="nil"/>
            </w:tcBorders>
            <w:shd w:val="clear" w:color="auto" w:fill="auto"/>
            <w:vAlign w:val="center"/>
          </w:tcPr>
          <w:p w14:paraId="2909F11B" w14:textId="2D07B979" w:rsidR="009B2B28" w:rsidRPr="0098635C" w:rsidRDefault="009B2B28" w:rsidP="00982513">
            <w:pPr>
              <w:widowControl/>
              <w:autoSpaceDE/>
              <w:autoSpaceDN/>
              <w:adjustRightInd/>
              <w:spacing w:after="0"/>
              <w:ind w:left="-108"/>
              <w:jc w:val="left"/>
              <w:rPr>
                <w:color w:val="000000" w:themeColor="text1"/>
                <w:sz w:val="20"/>
                <w:szCs w:val="20"/>
                <w:lang w:eastAsia="en-GB"/>
              </w:rPr>
            </w:pPr>
          </w:p>
        </w:tc>
      </w:tr>
      <w:tr w:rsidR="009B2B28" w:rsidRPr="0098635C" w14:paraId="29BE435D" w14:textId="77777777" w:rsidTr="00982513">
        <w:tblPrEx>
          <w:tblLook w:val="04A0" w:firstRow="1" w:lastRow="0" w:firstColumn="1" w:lastColumn="0" w:noHBand="0" w:noVBand="1"/>
        </w:tblPrEx>
        <w:trPr>
          <w:gridBefore w:val="1"/>
          <w:gridAfter w:val="1"/>
          <w:wBefore w:w="665" w:type="dxa"/>
          <w:wAfter w:w="4126" w:type="dxa"/>
          <w:trHeight w:val="240"/>
        </w:trPr>
        <w:tc>
          <w:tcPr>
            <w:tcW w:w="11314" w:type="dxa"/>
            <w:gridSpan w:val="10"/>
            <w:tcBorders>
              <w:top w:val="nil"/>
              <w:left w:val="nil"/>
              <w:bottom w:val="nil"/>
              <w:right w:val="nil"/>
            </w:tcBorders>
            <w:shd w:val="clear" w:color="auto" w:fill="auto"/>
            <w:vAlign w:val="center"/>
          </w:tcPr>
          <w:p w14:paraId="50CB7E6F" w14:textId="216E3526" w:rsidR="009B2B28" w:rsidRPr="0098635C" w:rsidRDefault="009B2B28" w:rsidP="00982513">
            <w:pPr>
              <w:widowControl/>
              <w:autoSpaceDE/>
              <w:autoSpaceDN/>
              <w:adjustRightInd/>
              <w:spacing w:after="0"/>
              <w:ind w:left="-108"/>
              <w:jc w:val="left"/>
              <w:rPr>
                <w:color w:val="000000" w:themeColor="text1"/>
                <w:sz w:val="20"/>
                <w:szCs w:val="20"/>
                <w:lang w:eastAsia="en-GB"/>
              </w:rPr>
            </w:pPr>
          </w:p>
        </w:tc>
      </w:tr>
      <w:tr w:rsidR="009B2B28" w:rsidRPr="0098635C" w14:paraId="26CC201A" w14:textId="77777777" w:rsidTr="00982513">
        <w:tblPrEx>
          <w:tblLook w:val="04A0" w:firstRow="1" w:lastRow="0" w:firstColumn="1" w:lastColumn="0" w:noHBand="0" w:noVBand="1"/>
        </w:tblPrEx>
        <w:trPr>
          <w:gridBefore w:val="1"/>
          <w:gridAfter w:val="1"/>
          <w:wBefore w:w="665" w:type="dxa"/>
          <w:wAfter w:w="4126" w:type="dxa"/>
          <w:trHeight w:val="240"/>
        </w:trPr>
        <w:tc>
          <w:tcPr>
            <w:tcW w:w="11314" w:type="dxa"/>
            <w:gridSpan w:val="10"/>
            <w:tcBorders>
              <w:top w:val="nil"/>
              <w:left w:val="nil"/>
              <w:bottom w:val="nil"/>
              <w:right w:val="nil"/>
            </w:tcBorders>
            <w:shd w:val="clear" w:color="auto" w:fill="auto"/>
            <w:vAlign w:val="center"/>
          </w:tcPr>
          <w:p w14:paraId="032B14DD" w14:textId="1BF9C142" w:rsidR="009B2B28" w:rsidRPr="0098635C" w:rsidRDefault="009B2B28" w:rsidP="00982513">
            <w:pPr>
              <w:widowControl/>
              <w:autoSpaceDE/>
              <w:autoSpaceDN/>
              <w:adjustRightInd/>
              <w:spacing w:after="0"/>
              <w:ind w:left="-108"/>
              <w:jc w:val="left"/>
              <w:rPr>
                <w:color w:val="000000" w:themeColor="text1"/>
                <w:sz w:val="20"/>
                <w:szCs w:val="20"/>
                <w:lang w:eastAsia="en-GB"/>
              </w:rPr>
            </w:pPr>
          </w:p>
        </w:tc>
      </w:tr>
    </w:tbl>
    <w:tbl>
      <w:tblPr>
        <w:tblpPr w:leftFromText="180" w:rightFromText="180" w:vertAnchor="text" w:horzAnchor="margin" w:tblpXSpec="center" w:tblpY="-1772"/>
        <w:tblOverlap w:val="never"/>
        <w:tblW w:w="16280" w:type="dxa"/>
        <w:tblLook w:val="04A0" w:firstRow="1" w:lastRow="0" w:firstColumn="1" w:lastColumn="0" w:noHBand="0" w:noVBand="1"/>
      </w:tblPr>
      <w:tblGrid>
        <w:gridCol w:w="16280"/>
      </w:tblGrid>
      <w:tr w:rsidR="00965849" w:rsidRPr="0098635C" w14:paraId="67A8F553" w14:textId="77777777" w:rsidTr="00982513">
        <w:trPr>
          <w:trHeight w:val="240"/>
        </w:trPr>
        <w:tc>
          <w:tcPr>
            <w:tcW w:w="16280" w:type="dxa"/>
            <w:tcBorders>
              <w:top w:val="nil"/>
              <w:left w:val="nil"/>
              <w:bottom w:val="nil"/>
              <w:right w:val="nil"/>
            </w:tcBorders>
            <w:shd w:val="clear" w:color="auto" w:fill="auto"/>
            <w:vAlign w:val="center"/>
          </w:tcPr>
          <w:p w14:paraId="4230DD5C" w14:textId="643C4215" w:rsidR="00965849" w:rsidRPr="0098635C" w:rsidRDefault="00965849" w:rsidP="00965849">
            <w:pPr>
              <w:widowControl/>
              <w:autoSpaceDE/>
              <w:autoSpaceDN/>
              <w:adjustRightInd/>
              <w:spacing w:after="0"/>
              <w:rPr>
                <w:color w:val="000000" w:themeColor="text1"/>
                <w:sz w:val="20"/>
                <w:szCs w:val="20"/>
                <w:lang w:eastAsia="en-GB"/>
              </w:rPr>
            </w:pPr>
          </w:p>
        </w:tc>
      </w:tr>
      <w:tr w:rsidR="00965849" w:rsidRPr="0098635C" w14:paraId="24289140" w14:textId="77777777" w:rsidTr="00982513">
        <w:trPr>
          <w:trHeight w:val="240"/>
        </w:trPr>
        <w:tc>
          <w:tcPr>
            <w:tcW w:w="16280" w:type="dxa"/>
            <w:tcBorders>
              <w:top w:val="nil"/>
              <w:left w:val="nil"/>
              <w:bottom w:val="nil"/>
              <w:right w:val="nil"/>
            </w:tcBorders>
            <w:shd w:val="clear" w:color="auto" w:fill="auto"/>
            <w:vAlign w:val="center"/>
          </w:tcPr>
          <w:p w14:paraId="57D8685D" w14:textId="76BFFC2A" w:rsidR="00965849" w:rsidRPr="0098635C" w:rsidRDefault="00965849" w:rsidP="00965849">
            <w:pPr>
              <w:widowControl/>
              <w:autoSpaceDE/>
              <w:autoSpaceDN/>
              <w:adjustRightInd/>
              <w:spacing w:after="0"/>
              <w:rPr>
                <w:color w:val="000000" w:themeColor="text1"/>
                <w:sz w:val="20"/>
                <w:szCs w:val="20"/>
                <w:lang w:eastAsia="en-GB"/>
              </w:rPr>
            </w:pPr>
          </w:p>
        </w:tc>
      </w:tr>
      <w:tr w:rsidR="00965849" w:rsidRPr="0098635C" w14:paraId="4C31F20C" w14:textId="77777777" w:rsidTr="00982513">
        <w:trPr>
          <w:trHeight w:val="240"/>
        </w:trPr>
        <w:tc>
          <w:tcPr>
            <w:tcW w:w="16280" w:type="dxa"/>
            <w:tcBorders>
              <w:top w:val="nil"/>
              <w:left w:val="nil"/>
              <w:bottom w:val="nil"/>
              <w:right w:val="nil"/>
            </w:tcBorders>
            <w:shd w:val="clear" w:color="auto" w:fill="auto"/>
            <w:vAlign w:val="center"/>
          </w:tcPr>
          <w:p w14:paraId="43591972" w14:textId="3E39BD9C" w:rsidR="00965849" w:rsidRPr="0098635C" w:rsidRDefault="00965849" w:rsidP="00965849">
            <w:pPr>
              <w:widowControl/>
              <w:autoSpaceDE/>
              <w:autoSpaceDN/>
              <w:adjustRightInd/>
              <w:spacing w:after="0"/>
              <w:rPr>
                <w:color w:val="000000" w:themeColor="text1"/>
                <w:sz w:val="20"/>
                <w:szCs w:val="20"/>
                <w:lang w:eastAsia="en-GB"/>
              </w:rPr>
            </w:pPr>
          </w:p>
        </w:tc>
      </w:tr>
      <w:tr w:rsidR="00965849" w:rsidRPr="0098635C" w14:paraId="5AE65D7A" w14:textId="77777777" w:rsidTr="00982513">
        <w:trPr>
          <w:trHeight w:val="240"/>
        </w:trPr>
        <w:tc>
          <w:tcPr>
            <w:tcW w:w="16280" w:type="dxa"/>
            <w:tcBorders>
              <w:top w:val="nil"/>
              <w:left w:val="nil"/>
              <w:bottom w:val="nil"/>
              <w:right w:val="nil"/>
            </w:tcBorders>
            <w:shd w:val="clear" w:color="auto" w:fill="auto"/>
            <w:vAlign w:val="center"/>
          </w:tcPr>
          <w:p w14:paraId="331F82B6" w14:textId="577BE1FC" w:rsidR="00965849" w:rsidRPr="0098635C" w:rsidRDefault="00965849" w:rsidP="00965849">
            <w:pPr>
              <w:widowControl/>
              <w:autoSpaceDE/>
              <w:autoSpaceDN/>
              <w:adjustRightInd/>
              <w:spacing w:after="0"/>
              <w:rPr>
                <w:color w:val="000000" w:themeColor="text1"/>
                <w:sz w:val="20"/>
                <w:szCs w:val="20"/>
                <w:lang w:eastAsia="en-GB"/>
              </w:rPr>
            </w:pPr>
          </w:p>
        </w:tc>
      </w:tr>
      <w:tr w:rsidR="00965849" w:rsidRPr="0098635C" w14:paraId="6AD38019" w14:textId="77777777" w:rsidTr="00982513">
        <w:trPr>
          <w:trHeight w:val="240"/>
        </w:trPr>
        <w:tc>
          <w:tcPr>
            <w:tcW w:w="16280" w:type="dxa"/>
            <w:tcBorders>
              <w:top w:val="nil"/>
              <w:left w:val="nil"/>
              <w:bottom w:val="nil"/>
              <w:right w:val="nil"/>
            </w:tcBorders>
            <w:shd w:val="clear" w:color="auto" w:fill="auto"/>
            <w:vAlign w:val="center"/>
          </w:tcPr>
          <w:p w14:paraId="529CF799" w14:textId="04D41224" w:rsidR="00965849" w:rsidRPr="0098635C" w:rsidRDefault="00965849" w:rsidP="00965849">
            <w:pPr>
              <w:widowControl/>
              <w:autoSpaceDE/>
              <w:autoSpaceDN/>
              <w:adjustRightInd/>
              <w:spacing w:after="0"/>
              <w:rPr>
                <w:color w:val="000000" w:themeColor="text1"/>
                <w:sz w:val="20"/>
                <w:szCs w:val="20"/>
                <w:lang w:eastAsia="en-GB"/>
              </w:rPr>
            </w:pPr>
          </w:p>
        </w:tc>
      </w:tr>
      <w:tr w:rsidR="00965849" w:rsidRPr="0098635C" w14:paraId="6D3CDD22" w14:textId="77777777" w:rsidTr="00982513">
        <w:trPr>
          <w:trHeight w:val="240"/>
        </w:trPr>
        <w:tc>
          <w:tcPr>
            <w:tcW w:w="16280" w:type="dxa"/>
            <w:tcBorders>
              <w:top w:val="nil"/>
              <w:left w:val="nil"/>
              <w:bottom w:val="nil"/>
              <w:right w:val="nil"/>
            </w:tcBorders>
            <w:shd w:val="clear" w:color="auto" w:fill="auto"/>
            <w:vAlign w:val="center"/>
          </w:tcPr>
          <w:p w14:paraId="4EE61EEA" w14:textId="68AC834B" w:rsidR="00965849" w:rsidRPr="0098635C" w:rsidRDefault="00965849" w:rsidP="00965849">
            <w:pPr>
              <w:widowControl/>
              <w:autoSpaceDE/>
              <w:autoSpaceDN/>
              <w:adjustRightInd/>
              <w:spacing w:after="0"/>
              <w:rPr>
                <w:color w:val="000000" w:themeColor="text1"/>
                <w:sz w:val="20"/>
                <w:szCs w:val="20"/>
                <w:lang w:eastAsia="en-GB"/>
              </w:rPr>
            </w:pPr>
          </w:p>
        </w:tc>
      </w:tr>
      <w:tr w:rsidR="00965849" w:rsidRPr="0098635C" w14:paraId="34C79279" w14:textId="77777777" w:rsidTr="00982513">
        <w:trPr>
          <w:trHeight w:val="240"/>
        </w:trPr>
        <w:tc>
          <w:tcPr>
            <w:tcW w:w="16280" w:type="dxa"/>
            <w:tcBorders>
              <w:top w:val="nil"/>
              <w:left w:val="nil"/>
              <w:bottom w:val="nil"/>
              <w:right w:val="nil"/>
            </w:tcBorders>
            <w:shd w:val="clear" w:color="auto" w:fill="auto"/>
            <w:vAlign w:val="center"/>
          </w:tcPr>
          <w:p w14:paraId="52FC514B" w14:textId="3D35B9ED" w:rsidR="00965849" w:rsidRPr="0098635C" w:rsidRDefault="00965849" w:rsidP="00965849">
            <w:pPr>
              <w:widowControl/>
              <w:autoSpaceDE/>
              <w:autoSpaceDN/>
              <w:adjustRightInd/>
              <w:spacing w:after="0"/>
              <w:rPr>
                <w:color w:val="000000" w:themeColor="text1"/>
                <w:sz w:val="20"/>
                <w:szCs w:val="20"/>
                <w:lang w:eastAsia="en-GB"/>
              </w:rPr>
            </w:pPr>
          </w:p>
        </w:tc>
      </w:tr>
      <w:tr w:rsidR="00965849" w:rsidRPr="0098635C" w14:paraId="4238EB28" w14:textId="77777777" w:rsidTr="00982513">
        <w:trPr>
          <w:trHeight w:val="499"/>
        </w:trPr>
        <w:tc>
          <w:tcPr>
            <w:tcW w:w="16280" w:type="dxa"/>
            <w:tcBorders>
              <w:top w:val="nil"/>
              <w:left w:val="nil"/>
              <w:bottom w:val="nil"/>
              <w:right w:val="nil"/>
            </w:tcBorders>
            <w:shd w:val="clear" w:color="auto" w:fill="auto"/>
            <w:vAlign w:val="center"/>
          </w:tcPr>
          <w:p w14:paraId="674AF8D5" w14:textId="665FD4DF" w:rsidR="00965849" w:rsidRPr="0098635C" w:rsidRDefault="00965849" w:rsidP="00965849">
            <w:pPr>
              <w:widowControl/>
              <w:autoSpaceDE/>
              <w:autoSpaceDN/>
              <w:adjustRightInd/>
              <w:spacing w:after="0"/>
              <w:rPr>
                <w:color w:val="000000" w:themeColor="text1"/>
                <w:sz w:val="20"/>
                <w:szCs w:val="20"/>
                <w:lang w:eastAsia="en-GB"/>
              </w:rPr>
            </w:pPr>
          </w:p>
        </w:tc>
      </w:tr>
      <w:tr w:rsidR="00965849" w:rsidRPr="0098635C" w14:paraId="13BD8582" w14:textId="77777777" w:rsidTr="00982513">
        <w:trPr>
          <w:trHeight w:val="151"/>
        </w:trPr>
        <w:tc>
          <w:tcPr>
            <w:tcW w:w="16280" w:type="dxa"/>
            <w:tcBorders>
              <w:top w:val="nil"/>
              <w:left w:val="nil"/>
              <w:bottom w:val="nil"/>
              <w:right w:val="nil"/>
            </w:tcBorders>
            <w:shd w:val="clear" w:color="auto" w:fill="auto"/>
            <w:vAlign w:val="center"/>
          </w:tcPr>
          <w:p w14:paraId="1CA226F7" w14:textId="273734F6" w:rsidR="00965849" w:rsidRPr="0098635C" w:rsidRDefault="00965849" w:rsidP="00982513">
            <w:pPr>
              <w:widowControl/>
              <w:tabs>
                <w:tab w:val="left" w:pos="142"/>
              </w:tabs>
              <w:autoSpaceDE/>
              <w:autoSpaceDN/>
              <w:adjustRightInd/>
              <w:spacing w:after="0"/>
              <w:rPr>
                <w:color w:val="000000" w:themeColor="text1"/>
                <w:sz w:val="20"/>
                <w:szCs w:val="20"/>
                <w:lang w:eastAsia="en-GB"/>
              </w:rPr>
            </w:pPr>
          </w:p>
        </w:tc>
      </w:tr>
    </w:tbl>
    <w:p w14:paraId="44949E5B" w14:textId="209A6E90" w:rsidR="00983DC2" w:rsidRPr="0098635C" w:rsidRDefault="00EC6F09" w:rsidP="00982513">
      <w:pPr>
        <w:tabs>
          <w:tab w:val="left" w:pos="142"/>
        </w:tabs>
        <w:spacing w:after="0"/>
        <w:rPr>
          <w:rFonts w:eastAsia="Calibri"/>
          <w:color w:val="000000" w:themeColor="text1"/>
          <w:sz w:val="20"/>
          <w:szCs w:val="20"/>
        </w:rPr>
      </w:pPr>
      <w:r w:rsidRPr="0098635C">
        <w:rPr>
          <w:rFonts w:eastAsia="Calibri"/>
          <w:color w:val="000000" w:themeColor="text1"/>
          <w:sz w:val="20"/>
          <w:szCs w:val="20"/>
        </w:rPr>
        <w:t xml:space="preserve">Annex </w:t>
      </w:r>
      <w:r w:rsidR="009B2B28" w:rsidRPr="0098635C">
        <w:rPr>
          <w:rFonts w:eastAsia="Calibri"/>
          <w:color w:val="000000" w:themeColor="text1"/>
          <w:sz w:val="20"/>
          <w:szCs w:val="20"/>
        </w:rPr>
        <w:t>X: Overview of Overview of the NOEC values (µg Cu/L) and physico-chemical parameters for freshwater</w:t>
      </w:r>
      <w:r w:rsidR="009B1AE4" w:rsidRPr="0098635C">
        <w:rPr>
          <w:rFonts w:eastAsia="Calibri"/>
          <w:color w:val="000000" w:themeColor="text1"/>
          <w:sz w:val="20"/>
          <w:szCs w:val="20"/>
        </w:rPr>
        <w:t xml:space="preserve"> </w:t>
      </w:r>
      <w:r w:rsidR="009B2B28" w:rsidRPr="0098635C">
        <w:rPr>
          <w:rFonts w:eastAsia="Calibri"/>
          <w:color w:val="000000" w:themeColor="text1"/>
          <w:sz w:val="20"/>
          <w:szCs w:val="20"/>
        </w:rPr>
        <w:t>invertebrate</w:t>
      </w:r>
      <w:r w:rsidR="00AB66EA" w:rsidRPr="0098635C">
        <w:rPr>
          <w:rFonts w:eastAsia="Calibri"/>
          <w:color w:val="000000" w:themeColor="text1"/>
          <w:sz w:val="20"/>
          <w:szCs w:val="20"/>
        </w:rPr>
        <w:t>s</w:t>
      </w:r>
      <w:r w:rsidR="009B2B28" w:rsidRPr="0098635C">
        <w:rPr>
          <w:rFonts w:eastAsia="Calibri"/>
          <w:color w:val="000000" w:themeColor="text1"/>
          <w:sz w:val="20"/>
          <w:szCs w:val="20"/>
        </w:rPr>
        <w:t xml:space="preserve">. </w:t>
      </w:r>
    </w:p>
    <w:p w14:paraId="4B700A59" w14:textId="77777777" w:rsidR="00983DC2" w:rsidRPr="0098635C" w:rsidRDefault="00983DC2" w:rsidP="00982513">
      <w:pPr>
        <w:tabs>
          <w:tab w:val="left" w:pos="142"/>
        </w:tabs>
        <w:spacing w:after="0"/>
        <w:rPr>
          <w:color w:val="000000" w:themeColor="text1"/>
          <w:sz w:val="20"/>
          <w:szCs w:val="20"/>
        </w:rPr>
      </w:pPr>
    </w:p>
    <w:p w14:paraId="40D0701F" w14:textId="148BD93C" w:rsidR="00965849" w:rsidRPr="0098635C" w:rsidRDefault="009B2B28" w:rsidP="00982513">
      <w:pPr>
        <w:tabs>
          <w:tab w:val="left" w:pos="142"/>
        </w:tabs>
        <w:spacing w:after="0"/>
        <w:rPr>
          <w:b/>
          <w:bCs/>
          <w:color w:val="000000" w:themeColor="text1"/>
          <w:sz w:val="20"/>
          <w:szCs w:val="20"/>
        </w:rPr>
      </w:pPr>
      <w:r w:rsidRPr="0098635C">
        <w:rPr>
          <w:color w:val="000000" w:themeColor="text1"/>
          <w:sz w:val="20"/>
          <w:szCs w:val="20"/>
        </w:rPr>
        <w:t>Reported LC50values represent measured concentration levels, unless specified otherwise.; H= Hardness; d= days ; Cb= copper background concentration expressed as measured µg Cu/L</w:t>
      </w:r>
      <w:r w:rsidR="00965849" w:rsidRPr="0098635C">
        <w:rPr>
          <w:b/>
          <w:bCs/>
          <w:color w:val="000000" w:themeColor="text1"/>
          <w:sz w:val="20"/>
          <w:szCs w:val="20"/>
        </w:rPr>
        <w:t xml:space="preserve">. </w:t>
      </w:r>
    </w:p>
    <w:p w14:paraId="6BF18445" w14:textId="2F5C6672" w:rsidR="00632208" w:rsidRPr="0098635C" w:rsidRDefault="009B2B28" w:rsidP="00982513">
      <w:pPr>
        <w:tabs>
          <w:tab w:val="left" w:pos="142"/>
        </w:tabs>
        <w:spacing w:after="0"/>
        <w:rPr>
          <w:color w:val="000000" w:themeColor="text1"/>
          <w:sz w:val="20"/>
          <w:szCs w:val="20"/>
        </w:rPr>
      </w:pPr>
      <w:r w:rsidRPr="0098635C">
        <w:rPr>
          <w:color w:val="000000" w:themeColor="text1"/>
          <w:sz w:val="20"/>
          <w:szCs w:val="20"/>
        </w:rPr>
        <w:t xml:space="preserve">Footnotes see Annex </w:t>
      </w:r>
      <w:r w:rsidR="009B1AE4" w:rsidRPr="0098635C">
        <w:rPr>
          <w:color w:val="000000" w:themeColor="text1"/>
          <w:sz w:val="20"/>
          <w:szCs w:val="20"/>
        </w:rPr>
        <w:t>IX</w:t>
      </w:r>
    </w:p>
    <w:p w14:paraId="351C6760" w14:textId="77777777" w:rsidR="00965849" w:rsidRPr="0098635C" w:rsidRDefault="00965849" w:rsidP="00982513">
      <w:pPr>
        <w:spacing w:after="0"/>
        <w:rPr>
          <w:b/>
          <w:bCs/>
          <w:color w:val="000000" w:themeColor="text1"/>
          <w:sz w:val="20"/>
          <w:szCs w:val="20"/>
        </w:rPr>
      </w:pPr>
    </w:p>
    <w:tbl>
      <w:tblPr>
        <w:tblW w:w="15309" w:type="dxa"/>
        <w:tblInd w:w="-1026" w:type="dxa"/>
        <w:tblLayout w:type="fixed"/>
        <w:tblLook w:val="04A0" w:firstRow="1" w:lastRow="0" w:firstColumn="1" w:lastColumn="0" w:noHBand="0" w:noVBand="1"/>
      </w:tblPr>
      <w:tblGrid>
        <w:gridCol w:w="1701"/>
        <w:gridCol w:w="1701"/>
        <w:gridCol w:w="709"/>
        <w:gridCol w:w="1276"/>
        <w:gridCol w:w="850"/>
        <w:gridCol w:w="709"/>
        <w:gridCol w:w="709"/>
        <w:gridCol w:w="3118"/>
        <w:gridCol w:w="2127"/>
        <w:gridCol w:w="2409"/>
      </w:tblGrid>
      <w:tr w:rsidR="00632208" w:rsidRPr="0098635C" w14:paraId="3B0877DD" w14:textId="77777777" w:rsidTr="00A432B0">
        <w:trPr>
          <w:trHeight w:val="315"/>
        </w:trPr>
        <w:tc>
          <w:tcPr>
            <w:tcW w:w="1701" w:type="dxa"/>
            <w:tcBorders>
              <w:top w:val="double" w:sz="6" w:space="0" w:color="auto"/>
              <w:left w:val="double" w:sz="6" w:space="0" w:color="auto"/>
              <w:bottom w:val="single" w:sz="4" w:space="0" w:color="auto"/>
              <w:right w:val="single" w:sz="8" w:space="0" w:color="auto"/>
            </w:tcBorders>
            <w:shd w:val="clear" w:color="auto" w:fill="auto"/>
            <w:hideMark/>
          </w:tcPr>
          <w:p w14:paraId="2B6C32B2" w14:textId="1680E470" w:rsidR="00632208" w:rsidRPr="0098635C" w:rsidRDefault="00632208" w:rsidP="00A432B0">
            <w:pPr>
              <w:widowControl/>
              <w:autoSpaceDE/>
              <w:autoSpaceDN/>
              <w:adjustRightInd/>
              <w:spacing w:after="0"/>
              <w:rPr>
                <w:b/>
                <w:bCs/>
                <w:color w:val="000000" w:themeColor="text1"/>
                <w:sz w:val="20"/>
                <w:szCs w:val="20"/>
                <w:lang w:eastAsia="en-GB"/>
              </w:rPr>
            </w:pPr>
            <w:r w:rsidRPr="0098635C">
              <w:rPr>
                <w:b/>
                <w:bCs/>
                <w:color w:val="000000" w:themeColor="text1"/>
                <w:sz w:val="20"/>
                <w:szCs w:val="20"/>
                <w:lang w:eastAsia="en-GB"/>
              </w:rPr>
              <w:t>Organism</w:t>
            </w:r>
            <w:r w:rsidR="00965849" w:rsidRPr="0098635C">
              <w:rPr>
                <w:b/>
                <w:bCs/>
                <w:color w:val="000000" w:themeColor="text1"/>
                <w:sz w:val="20"/>
                <w:szCs w:val="20"/>
                <w:lang w:eastAsia="en-GB"/>
              </w:rPr>
              <w:t>I</w:t>
            </w:r>
          </w:p>
        </w:tc>
        <w:tc>
          <w:tcPr>
            <w:tcW w:w="1701" w:type="dxa"/>
            <w:tcBorders>
              <w:top w:val="double" w:sz="6" w:space="0" w:color="auto"/>
              <w:left w:val="single" w:sz="8" w:space="0" w:color="auto"/>
              <w:bottom w:val="single" w:sz="4" w:space="0" w:color="auto"/>
              <w:right w:val="single" w:sz="8" w:space="0" w:color="auto"/>
            </w:tcBorders>
            <w:shd w:val="clear" w:color="auto" w:fill="auto"/>
            <w:hideMark/>
          </w:tcPr>
          <w:p w14:paraId="70E1923B" w14:textId="77777777" w:rsidR="00632208" w:rsidRPr="0098635C" w:rsidRDefault="00632208" w:rsidP="00A432B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Age/size of organisms</w:t>
            </w:r>
          </w:p>
        </w:tc>
        <w:tc>
          <w:tcPr>
            <w:tcW w:w="709" w:type="dxa"/>
            <w:tcBorders>
              <w:top w:val="double" w:sz="6" w:space="0" w:color="auto"/>
              <w:left w:val="single" w:sz="8" w:space="0" w:color="auto"/>
              <w:bottom w:val="single" w:sz="4" w:space="0" w:color="auto"/>
              <w:right w:val="single" w:sz="8" w:space="0" w:color="auto"/>
            </w:tcBorders>
            <w:shd w:val="clear" w:color="auto" w:fill="auto"/>
            <w:hideMark/>
          </w:tcPr>
          <w:p w14:paraId="18B3CAC9" w14:textId="77777777" w:rsidR="00632208" w:rsidRPr="0098635C" w:rsidRDefault="00632208" w:rsidP="00A432B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Exposure time</w:t>
            </w:r>
          </w:p>
        </w:tc>
        <w:tc>
          <w:tcPr>
            <w:tcW w:w="1276" w:type="dxa"/>
            <w:tcBorders>
              <w:top w:val="double" w:sz="6" w:space="0" w:color="auto"/>
              <w:left w:val="single" w:sz="8" w:space="0" w:color="auto"/>
              <w:bottom w:val="single" w:sz="4" w:space="0" w:color="auto"/>
              <w:right w:val="single" w:sz="8" w:space="0" w:color="auto"/>
            </w:tcBorders>
            <w:shd w:val="clear" w:color="auto" w:fill="auto"/>
            <w:hideMark/>
          </w:tcPr>
          <w:p w14:paraId="4477437B" w14:textId="77777777" w:rsidR="00632208" w:rsidRPr="0098635C" w:rsidRDefault="00632208" w:rsidP="00A432B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Endpoint</w:t>
            </w:r>
          </w:p>
        </w:tc>
        <w:tc>
          <w:tcPr>
            <w:tcW w:w="850" w:type="dxa"/>
            <w:tcBorders>
              <w:top w:val="double" w:sz="6" w:space="0" w:color="auto"/>
              <w:left w:val="nil"/>
              <w:bottom w:val="single" w:sz="4" w:space="0" w:color="auto"/>
              <w:right w:val="single" w:sz="8" w:space="0" w:color="auto"/>
            </w:tcBorders>
            <w:shd w:val="clear" w:color="auto" w:fill="auto"/>
            <w:hideMark/>
          </w:tcPr>
          <w:p w14:paraId="2E64A3F2" w14:textId="77777777" w:rsidR="00632208" w:rsidRPr="0098635C" w:rsidRDefault="00632208" w:rsidP="00A432B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NOEC</w:t>
            </w:r>
          </w:p>
          <w:p w14:paraId="65F241B8" w14:textId="77777777" w:rsidR="00632208" w:rsidRPr="0098635C" w:rsidRDefault="00632208" w:rsidP="00A432B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(µg/L)</w:t>
            </w:r>
          </w:p>
        </w:tc>
        <w:tc>
          <w:tcPr>
            <w:tcW w:w="709" w:type="dxa"/>
            <w:tcBorders>
              <w:top w:val="double" w:sz="6" w:space="0" w:color="auto"/>
              <w:left w:val="single" w:sz="8" w:space="0" w:color="auto"/>
              <w:bottom w:val="single" w:sz="4" w:space="0" w:color="auto"/>
              <w:right w:val="single" w:sz="8" w:space="0" w:color="auto"/>
            </w:tcBorders>
            <w:shd w:val="clear" w:color="auto" w:fill="auto"/>
            <w:hideMark/>
          </w:tcPr>
          <w:p w14:paraId="19D022A3" w14:textId="77777777" w:rsidR="00632208" w:rsidRPr="0098635C" w:rsidRDefault="00632208" w:rsidP="00A432B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Test type</w:t>
            </w:r>
          </w:p>
        </w:tc>
        <w:tc>
          <w:tcPr>
            <w:tcW w:w="709" w:type="dxa"/>
            <w:tcBorders>
              <w:top w:val="double" w:sz="6" w:space="0" w:color="auto"/>
              <w:left w:val="single" w:sz="8" w:space="0" w:color="auto"/>
              <w:bottom w:val="single" w:sz="4" w:space="0" w:color="auto"/>
              <w:right w:val="single" w:sz="8" w:space="0" w:color="auto"/>
            </w:tcBorders>
            <w:shd w:val="clear" w:color="auto" w:fill="auto"/>
            <w:hideMark/>
          </w:tcPr>
          <w:p w14:paraId="60CD852E" w14:textId="77777777" w:rsidR="00632208" w:rsidRPr="0098635C" w:rsidRDefault="00632208" w:rsidP="00A432B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Cb (µg Cu/l)</w:t>
            </w:r>
          </w:p>
        </w:tc>
        <w:tc>
          <w:tcPr>
            <w:tcW w:w="3118" w:type="dxa"/>
            <w:tcBorders>
              <w:top w:val="double" w:sz="6" w:space="0" w:color="auto"/>
              <w:left w:val="nil"/>
              <w:bottom w:val="single" w:sz="4" w:space="0" w:color="auto"/>
              <w:right w:val="single" w:sz="8" w:space="0" w:color="auto"/>
            </w:tcBorders>
            <w:shd w:val="clear" w:color="auto" w:fill="auto"/>
            <w:hideMark/>
          </w:tcPr>
          <w:p w14:paraId="477B17DE" w14:textId="77777777" w:rsidR="00632208" w:rsidRPr="0098635C" w:rsidRDefault="00632208" w:rsidP="00A432B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Physico-chemical conditions</w:t>
            </w:r>
          </w:p>
        </w:tc>
        <w:tc>
          <w:tcPr>
            <w:tcW w:w="2127" w:type="dxa"/>
            <w:tcBorders>
              <w:top w:val="double" w:sz="6" w:space="0" w:color="auto"/>
              <w:left w:val="single" w:sz="8" w:space="0" w:color="auto"/>
              <w:bottom w:val="single" w:sz="4" w:space="0" w:color="auto"/>
              <w:right w:val="single" w:sz="8" w:space="0" w:color="auto"/>
            </w:tcBorders>
            <w:shd w:val="clear" w:color="auto" w:fill="auto"/>
            <w:hideMark/>
          </w:tcPr>
          <w:p w14:paraId="584F778A" w14:textId="77777777" w:rsidR="00632208" w:rsidRPr="0098635C" w:rsidRDefault="00632208" w:rsidP="00A432B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Medium</w:t>
            </w:r>
          </w:p>
        </w:tc>
        <w:tc>
          <w:tcPr>
            <w:tcW w:w="2409" w:type="dxa"/>
            <w:tcBorders>
              <w:top w:val="double" w:sz="6" w:space="0" w:color="auto"/>
              <w:left w:val="single" w:sz="8" w:space="0" w:color="auto"/>
              <w:bottom w:val="single" w:sz="8" w:space="0" w:color="000000"/>
              <w:right w:val="double" w:sz="6" w:space="0" w:color="auto"/>
            </w:tcBorders>
            <w:shd w:val="clear" w:color="auto" w:fill="auto"/>
            <w:hideMark/>
          </w:tcPr>
          <w:p w14:paraId="7BA9C571" w14:textId="77777777" w:rsidR="00632208" w:rsidRPr="0098635C" w:rsidRDefault="00632208" w:rsidP="00A432B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Reference</w:t>
            </w:r>
          </w:p>
        </w:tc>
      </w:tr>
      <w:tr w:rsidR="00632208" w:rsidRPr="0098635C" w14:paraId="3AABE538" w14:textId="77777777" w:rsidTr="00A432B0">
        <w:trPr>
          <w:trHeight w:val="257"/>
        </w:trPr>
        <w:tc>
          <w:tcPr>
            <w:tcW w:w="1701" w:type="dxa"/>
            <w:tcBorders>
              <w:top w:val="single" w:sz="4" w:space="0" w:color="auto"/>
              <w:left w:val="double" w:sz="6" w:space="0" w:color="auto"/>
              <w:bottom w:val="single" w:sz="8" w:space="0" w:color="auto"/>
              <w:right w:val="single" w:sz="8" w:space="0" w:color="auto"/>
            </w:tcBorders>
            <w:shd w:val="clear" w:color="auto" w:fill="auto"/>
            <w:hideMark/>
          </w:tcPr>
          <w:p w14:paraId="4EEB1DD8"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Ceriodaphnia dubia</w:t>
            </w:r>
          </w:p>
        </w:tc>
        <w:tc>
          <w:tcPr>
            <w:tcW w:w="1701" w:type="dxa"/>
            <w:tcBorders>
              <w:top w:val="single" w:sz="4" w:space="0" w:color="auto"/>
              <w:left w:val="nil"/>
              <w:bottom w:val="single" w:sz="8" w:space="0" w:color="auto"/>
              <w:right w:val="single" w:sz="8" w:space="0" w:color="auto"/>
            </w:tcBorders>
            <w:shd w:val="clear" w:color="auto" w:fill="auto"/>
            <w:hideMark/>
          </w:tcPr>
          <w:p w14:paraId="2CE4C907"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neonates (&lt; 24 h)</w:t>
            </w:r>
          </w:p>
        </w:tc>
        <w:tc>
          <w:tcPr>
            <w:tcW w:w="709" w:type="dxa"/>
            <w:tcBorders>
              <w:top w:val="single" w:sz="4" w:space="0" w:color="auto"/>
              <w:left w:val="nil"/>
              <w:bottom w:val="single" w:sz="8" w:space="0" w:color="auto"/>
              <w:right w:val="single" w:sz="8" w:space="0" w:color="auto"/>
            </w:tcBorders>
            <w:shd w:val="clear" w:color="auto" w:fill="auto"/>
            <w:hideMark/>
          </w:tcPr>
          <w:p w14:paraId="6000D80D"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7 d</w:t>
            </w:r>
          </w:p>
        </w:tc>
        <w:tc>
          <w:tcPr>
            <w:tcW w:w="1276" w:type="dxa"/>
            <w:tcBorders>
              <w:top w:val="single" w:sz="4" w:space="0" w:color="auto"/>
              <w:left w:val="nil"/>
              <w:bottom w:val="single" w:sz="8" w:space="0" w:color="auto"/>
              <w:right w:val="single" w:sz="8" w:space="0" w:color="auto"/>
            </w:tcBorders>
            <w:shd w:val="clear" w:color="auto" w:fill="auto"/>
            <w:hideMark/>
          </w:tcPr>
          <w:p w14:paraId="1B6D41A4"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reproduction</w:t>
            </w:r>
          </w:p>
        </w:tc>
        <w:tc>
          <w:tcPr>
            <w:tcW w:w="850" w:type="dxa"/>
            <w:tcBorders>
              <w:top w:val="single" w:sz="4" w:space="0" w:color="auto"/>
              <w:left w:val="nil"/>
              <w:bottom w:val="single" w:sz="8" w:space="0" w:color="auto"/>
              <w:right w:val="single" w:sz="8" w:space="0" w:color="auto"/>
            </w:tcBorders>
            <w:shd w:val="clear" w:color="auto" w:fill="auto"/>
            <w:hideMark/>
          </w:tcPr>
          <w:p w14:paraId="497BFF07" w14:textId="77777777" w:rsidR="00632208" w:rsidRPr="0098635C" w:rsidRDefault="00632208" w:rsidP="00A432B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10</w:t>
            </w:r>
          </w:p>
        </w:tc>
        <w:tc>
          <w:tcPr>
            <w:tcW w:w="709" w:type="dxa"/>
            <w:tcBorders>
              <w:top w:val="single" w:sz="4" w:space="0" w:color="auto"/>
              <w:left w:val="nil"/>
              <w:bottom w:val="single" w:sz="8" w:space="0" w:color="auto"/>
              <w:right w:val="single" w:sz="8" w:space="0" w:color="auto"/>
            </w:tcBorders>
            <w:shd w:val="clear" w:color="auto" w:fill="auto"/>
            <w:hideMark/>
          </w:tcPr>
          <w:p w14:paraId="34F39034"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w:t>
            </w:r>
          </w:p>
        </w:tc>
        <w:tc>
          <w:tcPr>
            <w:tcW w:w="709" w:type="dxa"/>
            <w:tcBorders>
              <w:top w:val="single" w:sz="4" w:space="0" w:color="auto"/>
              <w:left w:val="nil"/>
              <w:bottom w:val="single" w:sz="8" w:space="0" w:color="auto"/>
              <w:right w:val="single" w:sz="8" w:space="0" w:color="auto"/>
            </w:tcBorders>
            <w:shd w:val="clear" w:color="auto" w:fill="auto"/>
            <w:hideMark/>
          </w:tcPr>
          <w:p w14:paraId="7EEFDA80"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0.5*</w:t>
            </w:r>
          </w:p>
        </w:tc>
        <w:tc>
          <w:tcPr>
            <w:tcW w:w="3118" w:type="dxa"/>
            <w:tcBorders>
              <w:top w:val="single" w:sz="4" w:space="0" w:color="auto"/>
              <w:left w:val="nil"/>
              <w:bottom w:val="single" w:sz="8" w:space="0" w:color="auto"/>
              <w:right w:val="single" w:sz="8" w:space="0" w:color="auto"/>
            </w:tcBorders>
            <w:shd w:val="clear" w:color="auto" w:fill="auto"/>
            <w:hideMark/>
          </w:tcPr>
          <w:p w14:paraId="529E68DE"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T: 23°C; pH: 7.6; H: 85 mg/L CaCO3; DOC: 0.5 mg/L </w:t>
            </w:r>
            <w:r w:rsidRPr="0098635C">
              <w:rPr>
                <w:color w:val="000000" w:themeColor="text1"/>
                <w:sz w:val="20"/>
                <w:szCs w:val="20"/>
                <w:vertAlign w:val="superscript"/>
                <w:lang w:eastAsia="en-GB"/>
              </w:rPr>
              <w:t>(1)</w:t>
            </w:r>
          </w:p>
        </w:tc>
        <w:tc>
          <w:tcPr>
            <w:tcW w:w="2127" w:type="dxa"/>
            <w:tcBorders>
              <w:top w:val="single" w:sz="4" w:space="0" w:color="auto"/>
              <w:left w:val="nil"/>
              <w:bottom w:val="single" w:sz="8" w:space="0" w:color="auto"/>
              <w:right w:val="single" w:sz="8" w:space="0" w:color="auto"/>
            </w:tcBorders>
            <w:shd w:val="clear" w:color="auto" w:fill="auto"/>
            <w:hideMark/>
          </w:tcPr>
          <w:p w14:paraId="2229FCF8"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Reconstitued</w:t>
            </w:r>
          </w:p>
        </w:tc>
        <w:tc>
          <w:tcPr>
            <w:tcW w:w="2409" w:type="dxa"/>
            <w:tcBorders>
              <w:top w:val="nil"/>
              <w:left w:val="nil"/>
              <w:bottom w:val="single" w:sz="8" w:space="0" w:color="auto"/>
              <w:right w:val="double" w:sz="6" w:space="0" w:color="auto"/>
            </w:tcBorders>
            <w:shd w:val="clear" w:color="auto" w:fill="auto"/>
            <w:hideMark/>
          </w:tcPr>
          <w:p w14:paraId="3FDA7449"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Cerda &amp; Olive, 1993 </w:t>
            </w:r>
          </w:p>
        </w:tc>
      </w:tr>
      <w:tr w:rsidR="00632208" w:rsidRPr="0098635C" w14:paraId="708E367B" w14:textId="77777777" w:rsidTr="00A432B0">
        <w:trPr>
          <w:trHeight w:val="219"/>
        </w:trPr>
        <w:tc>
          <w:tcPr>
            <w:tcW w:w="1701" w:type="dxa"/>
            <w:tcBorders>
              <w:top w:val="nil"/>
              <w:left w:val="double" w:sz="6" w:space="0" w:color="auto"/>
              <w:bottom w:val="single" w:sz="8" w:space="0" w:color="auto"/>
              <w:right w:val="single" w:sz="8" w:space="0" w:color="auto"/>
            </w:tcBorders>
            <w:shd w:val="clear" w:color="auto" w:fill="auto"/>
            <w:hideMark/>
          </w:tcPr>
          <w:p w14:paraId="6F8560DE"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Ceriodaphnia dubia</w:t>
            </w:r>
          </w:p>
        </w:tc>
        <w:tc>
          <w:tcPr>
            <w:tcW w:w="1701" w:type="dxa"/>
            <w:tcBorders>
              <w:top w:val="nil"/>
              <w:left w:val="nil"/>
              <w:bottom w:val="single" w:sz="8" w:space="0" w:color="auto"/>
              <w:right w:val="single" w:sz="8" w:space="0" w:color="auto"/>
            </w:tcBorders>
            <w:shd w:val="clear" w:color="auto" w:fill="auto"/>
            <w:hideMark/>
          </w:tcPr>
          <w:p w14:paraId="6AE22872"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neonates (&lt; 24 h)</w:t>
            </w:r>
          </w:p>
        </w:tc>
        <w:tc>
          <w:tcPr>
            <w:tcW w:w="709" w:type="dxa"/>
            <w:tcBorders>
              <w:top w:val="nil"/>
              <w:left w:val="nil"/>
              <w:bottom w:val="single" w:sz="8" w:space="0" w:color="auto"/>
              <w:right w:val="single" w:sz="8" w:space="0" w:color="auto"/>
            </w:tcBorders>
            <w:shd w:val="clear" w:color="auto" w:fill="auto"/>
            <w:hideMark/>
          </w:tcPr>
          <w:p w14:paraId="01368ABD"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7 d</w:t>
            </w:r>
          </w:p>
        </w:tc>
        <w:tc>
          <w:tcPr>
            <w:tcW w:w="1276" w:type="dxa"/>
            <w:tcBorders>
              <w:top w:val="nil"/>
              <w:left w:val="nil"/>
              <w:bottom w:val="single" w:sz="8" w:space="0" w:color="auto"/>
              <w:right w:val="single" w:sz="8" w:space="0" w:color="auto"/>
            </w:tcBorders>
            <w:shd w:val="clear" w:color="auto" w:fill="auto"/>
            <w:hideMark/>
          </w:tcPr>
          <w:p w14:paraId="247528BD"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mortality</w:t>
            </w:r>
          </w:p>
        </w:tc>
        <w:tc>
          <w:tcPr>
            <w:tcW w:w="850" w:type="dxa"/>
            <w:tcBorders>
              <w:top w:val="nil"/>
              <w:left w:val="nil"/>
              <w:bottom w:val="single" w:sz="8" w:space="0" w:color="auto"/>
              <w:right w:val="single" w:sz="8" w:space="0" w:color="auto"/>
            </w:tcBorders>
            <w:shd w:val="clear" w:color="auto" w:fill="auto"/>
            <w:hideMark/>
          </w:tcPr>
          <w:p w14:paraId="3DA8975B" w14:textId="77777777" w:rsidR="00632208" w:rsidRPr="0098635C" w:rsidRDefault="00632208" w:rsidP="00A432B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20</w:t>
            </w:r>
          </w:p>
        </w:tc>
        <w:tc>
          <w:tcPr>
            <w:tcW w:w="709" w:type="dxa"/>
            <w:tcBorders>
              <w:top w:val="nil"/>
              <w:left w:val="nil"/>
              <w:bottom w:val="single" w:sz="8" w:space="0" w:color="auto"/>
              <w:right w:val="single" w:sz="8" w:space="0" w:color="auto"/>
            </w:tcBorders>
            <w:shd w:val="clear" w:color="auto" w:fill="auto"/>
            <w:hideMark/>
          </w:tcPr>
          <w:p w14:paraId="07C341FC"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w:t>
            </w:r>
          </w:p>
        </w:tc>
        <w:tc>
          <w:tcPr>
            <w:tcW w:w="709" w:type="dxa"/>
            <w:tcBorders>
              <w:top w:val="nil"/>
              <w:left w:val="nil"/>
              <w:bottom w:val="single" w:sz="8" w:space="0" w:color="auto"/>
              <w:right w:val="single" w:sz="8" w:space="0" w:color="auto"/>
            </w:tcBorders>
            <w:shd w:val="clear" w:color="auto" w:fill="auto"/>
            <w:hideMark/>
          </w:tcPr>
          <w:p w14:paraId="68C71A17"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0.5*</w:t>
            </w:r>
          </w:p>
        </w:tc>
        <w:tc>
          <w:tcPr>
            <w:tcW w:w="3118" w:type="dxa"/>
            <w:tcBorders>
              <w:top w:val="nil"/>
              <w:left w:val="nil"/>
              <w:bottom w:val="single" w:sz="8" w:space="0" w:color="auto"/>
              <w:right w:val="single" w:sz="8" w:space="0" w:color="auto"/>
            </w:tcBorders>
            <w:shd w:val="clear" w:color="auto" w:fill="auto"/>
            <w:hideMark/>
          </w:tcPr>
          <w:p w14:paraId="3940D160"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T: 23°C; pH: 7.6; H: 85 mg/L CaCO3; DOC: 0.5 mg/L </w:t>
            </w:r>
            <w:r w:rsidRPr="0098635C">
              <w:rPr>
                <w:color w:val="000000" w:themeColor="text1"/>
                <w:sz w:val="20"/>
                <w:szCs w:val="20"/>
                <w:vertAlign w:val="superscript"/>
                <w:lang w:eastAsia="en-GB"/>
              </w:rPr>
              <w:t>(1)</w:t>
            </w:r>
          </w:p>
        </w:tc>
        <w:tc>
          <w:tcPr>
            <w:tcW w:w="2127" w:type="dxa"/>
            <w:tcBorders>
              <w:top w:val="nil"/>
              <w:left w:val="nil"/>
              <w:bottom w:val="single" w:sz="8" w:space="0" w:color="auto"/>
              <w:right w:val="single" w:sz="8" w:space="0" w:color="auto"/>
            </w:tcBorders>
            <w:shd w:val="clear" w:color="auto" w:fill="auto"/>
            <w:hideMark/>
          </w:tcPr>
          <w:p w14:paraId="06AD34BB"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Reconstitued</w:t>
            </w:r>
          </w:p>
        </w:tc>
        <w:tc>
          <w:tcPr>
            <w:tcW w:w="2409" w:type="dxa"/>
            <w:tcBorders>
              <w:top w:val="nil"/>
              <w:left w:val="nil"/>
              <w:bottom w:val="single" w:sz="8" w:space="0" w:color="auto"/>
              <w:right w:val="double" w:sz="6" w:space="0" w:color="auto"/>
            </w:tcBorders>
            <w:shd w:val="clear" w:color="auto" w:fill="auto"/>
            <w:hideMark/>
          </w:tcPr>
          <w:p w14:paraId="3DCCB024"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Cerda &amp; Olive, 1993</w:t>
            </w:r>
          </w:p>
        </w:tc>
      </w:tr>
      <w:tr w:rsidR="00632208" w:rsidRPr="0098635C" w14:paraId="6586E7B9" w14:textId="77777777" w:rsidTr="00A432B0">
        <w:trPr>
          <w:trHeight w:val="105"/>
        </w:trPr>
        <w:tc>
          <w:tcPr>
            <w:tcW w:w="1701" w:type="dxa"/>
            <w:tcBorders>
              <w:top w:val="nil"/>
              <w:left w:val="double" w:sz="6" w:space="0" w:color="auto"/>
              <w:bottom w:val="single" w:sz="8" w:space="0" w:color="auto"/>
              <w:right w:val="single" w:sz="8" w:space="0" w:color="auto"/>
            </w:tcBorders>
            <w:shd w:val="clear" w:color="auto" w:fill="auto"/>
            <w:hideMark/>
          </w:tcPr>
          <w:p w14:paraId="1ACD11FC"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Ceriodaphnia dubia</w:t>
            </w:r>
          </w:p>
        </w:tc>
        <w:tc>
          <w:tcPr>
            <w:tcW w:w="1701" w:type="dxa"/>
            <w:tcBorders>
              <w:top w:val="nil"/>
              <w:left w:val="nil"/>
              <w:bottom w:val="single" w:sz="8" w:space="0" w:color="auto"/>
              <w:right w:val="single" w:sz="8" w:space="0" w:color="auto"/>
            </w:tcBorders>
            <w:shd w:val="clear" w:color="auto" w:fill="auto"/>
            <w:hideMark/>
          </w:tcPr>
          <w:p w14:paraId="4837A96B"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neonates (&lt; 24 h)</w:t>
            </w:r>
          </w:p>
        </w:tc>
        <w:tc>
          <w:tcPr>
            <w:tcW w:w="709" w:type="dxa"/>
            <w:tcBorders>
              <w:top w:val="nil"/>
              <w:left w:val="nil"/>
              <w:bottom w:val="single" w:sz="8" w:space="0" w:color="auto"/>
              <w:right w:val="single" w:sz="8" w:space="0" w:color="auto"/>
            </w:tcBorders>
            <w:shd w:val="clear" w:color="auto" w:fill="auto"/>
            <w:hideMark/>
          </w:tcPr>
          <w:p w14:paraId="1A6B428B"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7 d</w:t>
            </w:r>
          </w:p>
        </w:tc>
        <w:tc>
          <w:tcPr>
            <w:tcW w:w="1276" w:type="dxa"/>
            <w:tcBorders>
              <w:top w:val="nil"/>
              <w:left w:val="nil"/>
              <w:bottom w:val="single" w:sz="8" w:space="0" w:color="auto"/>
              <w:right w:val="single" w:sz="8" w:space="0" w:color="auto"/>
            </w:tcBorders>
            <w:shd w:val="clear" w:color="auto" w:fill="auto"/>
            <w:hideMark/>
          </w:tcPr>
          <w:p w14:paraId="1FE48BB7"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reproduction</w:t>
            </w:r>
          </w:p>
        </w:tc>
        <w:tc>
          <w:tcPr>
            <w:tcW w:w="850" w:type="dxa"/>
            <w:tcBorders>
              <w:top w:val="nil"/>
              <w:left w:val="nil"/>
              <w:bottom w:val="single" w:sz="8" w:space="0" w:color="auto"/>
              <w:right w:val="single" w:sz="8" w:space="0" w:color="auto"/>
            </w:tcBorders>
            <w:shd w:val="clear" w:color="auto" w:fill="auto"/>
            <w:hideMark/>
          </w:tcPr>
          <w:p w14:paraId="1DD0AE52" w14:textId="77777777" w:rsidR="00632208" w:rsidRPr="0098635C" w:rsidRDefault="00632208" w:rsidP="00A432B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20</w:t>
            </w:r>
          </w:p>
        </w:tc>
        <w:tc>
          <w:tcPr>
            <w:tcW w:w="709" w:type="dxa"/>
            <w:tcBorders>
              <w:top w:val="nil"/>
              <w:left w:val="nil"/>
              <w:bottom w:val="single" w:sz="8" w:space="0" w:color="auto"/>
              <w:right w:val="single" w:sz="8" w:space="0" w:color="auto"/>
            </w:tcBorders>
            <w:shd w:val="clear" w:color="auto" w:fill="auto"/>
            <w:hideMark/>
          </w:tcPr>
          <w:p w14:paraId="69BC3429"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S</w:t>
            </w:r>
          </w:p>
        </w:tc>
        <w:tc>
          <w:tcPr>
            <w:tcW w:w="709" w:type="dxa"/>
            <w:tcBorders>
              <w:top w:val="nil"/>
              <w:left w:val="nil"/>
              <w:bottom w:val="single" w:sz="8" w:space="0" w:color="auto"/>
              <w:right w:val="single" w:sz="8" w:space="0" w:color="auto"/>
            </w:tcBorders>
            <w:shd w:val="clear" w:color="auto" w:fill="auto"/>
            <w:hideMark/>
          </w:tcPr>
          <w:p w14:paraId="742A07D2"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1.5*</w:t>
            </w:r>
          </w:p>
        </w:tc>
        <w:tc>
          <w:tcPr>
            <w:tcW w:w="3118" w:type="dxa"/>
            <w:tcBorders>
              <w:top w:val="nil"/>
              <w:left w:val="nil"/>
              <w:bottom w:val="single" w:sz="8" w:space="0" w:color="auto"/>
              <w:right w:val="single" w:sz="8" w:space="0" w:color="auto"/>
            </w:tcBorders>
            <w:shd w:val="clear" w:color="auto" w:fill="auto"/>
            <w:hideMark/>
          </w:tcPr>
          <w:p w14:paraId="0B7AF7F5"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T: 25°C; pH: 6.0; H: 182 mg/L CaCO3; DOC: 3.70 mg/L </w:t>
            </w:r>
            <w:r w:rsidRPr="0098635C">
              <w:rPr>
                <w:color w:val="000000" w:themeColor="text1"/>
                <w:sz w:val="20"/>
                <w:szCs w:val="20"/>
                <w:vertAlign w:val="superscript"/>
                <w:lang w:eastAsia="en-GB"/>
              </w:rPr>
              <w:t>(4)</w:t>
            </w:r>
          </w:p>
        </w:tc>
        <w:tc>
          <w:tcPr>
            <w:tcW w:w="2127" w:type="dxa"/>
            <w:tcBorders>
              <w:top w:val="nil"/>
              <w:left w:val="nil"/>
              <w:bottom w:val="single" w:sz="8" w:space="0" w:color="auto"/>
              <w:right w:val="single" w:sz="8" w:space="0" w:color="auto"/>
            </w:tcBorders>
            <w:shd w:val="clear" w:color="auto" w:fill="auto"/>
            <w:hideMark/>
          </w:tcPr>
          <w:p w14:paraId="07871E71"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River (Clinch River)</w:t>
            </w:r>
          </w:p>
        </w:tc>
        <w:tc>
          <w:tcPr>
            <w:tcW w:w="2409" w:type="dxa"/>
            <w:tcBorders>
              <w:top w:val="nil"/>
              <w:left w:val="nil"/>
              <w:bottom w:val="single" w:sz="8" w:space="0" w:color="auto"/>
              <w:right w:val="double" w:sz="6" w:space="0" w:color="auto"/>
            </w:tcBorders>
            <w:shd w:val="clear" w:color="auto" w:fill="auto"/>
            <w:hideMark/>
          </w:tcPr>
          <w:p w14:paraId="65A77D83"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Belanger &amp; Cherry, 1990 </w:t>
            </w:r>
          </w:p>
        </w:tc>
      </w:tr>
      <w:tr w:rsidR="00632208" w:rsidRPr="0098635C" w14:paraId="41AFD0A2" w14:textId="77777777" w:rsidTr="00A432B0">
        <w:trPr>
          <w:trHeight w:val="238"/>
        </w:trPr>
        <w:tc>
          <w:tcPr>
            <w:tcW w:w="1701" w:type="dxa"/>
            <w:tcBorders>
              <w:top w:val="nil"/>
              <w:left w:val="double" w:sz="6" w:space="0" w:color="auto"/>
              <w:bottom w:val="single" w:sz="8" w:space="0" w:color="auto"/>
              <w:right w:val="single" w:sz="8" w:space="0" w:color="auto"/>
            </w:tcBorders>
            <w:shd w:val="clear" w:color="auto" w:fill="auto"/>
            <w:hideMark/>
          </w:tcPr>
          <w:p w14:paraId="03749BF2"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Ceriodaphnia dubia </w:t>
            </w:r>
          </w:p>
        </w:tc>
        <w:tc>
          <w:tcPr>
            <w:tcW w:w="1701" w:type="dxa"/>
            <w:tcBorders>
              <w:top w:val="nil"/>
              <w:left w:val="nil"/>
              <w:bottom w:val="single" w:sz="8" w:space="0" w:color="auto"/>
              <w:right w:val="single" w:sz="8" w:space="0" w:color="auto"/>
            </w:tcBorders>
            <w:shd w:val="clear" w:color="auto" w:fill="auto"/>
            <w:hideMark/>
          </w:tcPr>
          <w:p w14:paraId="2B8F506F"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neonates (&lt; 8 h)</w:t>
            </w:r>
          </w:p>
        </w:tc>
        <w:tc>
          <w:tcPr>
            <w:tcW w:w="709" w:type="dxa"/>
            <w:tcBorders>
              <w:top w:val="nil"/>
              <w:left w:val="nil"/>
              <w:bottom w:val="single" w:sz="8" w:space="0" w:color="auto"/>
              <w:right w:val="single" w:sz="8" w:space="0" w:color="auto"/>
            </w:tcBorders>
            <w:shd w:val="clear" w:color="auto" w:fill="auto"/>
            <w:hideMark/>
          </w:tcPr>
          <w:p w14:paraId="340D6AAC"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7 d</w:t>
            </w:r>
          </w:p>
        </w:tc>
        <w:tc>
          <w:tcPr>
            <w:tcW w:w="1276" w:type="dxa"/>
            <w:tcBorders>
              <w:top w:val="nil"/>
              <w:left w:val="nil"/>
              <w:bottom w:val="single" w:sz="8" w:space="0" w:color="auto"/>
              <w:right w:val="single" w:sz="8" w:space="0" w:color="auto"/>
            </w:tcBorders>
            <w:shd w:val="clear" w:color="auto" w:fill="auto"/>
            <w:hideMark/>
          </w:tcPr>
          <w:p w14:paraId="01C212BE"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mortality</w:t>
            </w:r>
          </w:p>
        </w:tc>
        <w:tc>
          <w:tcPr>
            <w:tcW w:w="850" w:type="dxa"/>
            <w:tcBorders>
              <w:top w:val="nil"/>
              <w:left w:val="nil"/>
              <w:bottom w:val="single" w:sz="8" w:space="0" w:color="auto"/>
              <w:right w:val="single" w:sz="8" w:space="0" w:color="auto"/>
            </w:tcBorders>
            <w:shd w:val="clear" w:color="auto" w:fill="auto"/>
            <w:hideMark/>
          </w:tcPr>
          <w:p w14:paraId="0D55B6BA" w14:textId="77777777" w:rsidR="00632208" w:rsidRPr="0098635C" w:rsidRDefault="00632208" w:rsidP="00A432B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19</w:t>
            </w:r>
          </w:p>
        </w:tc>
        <w:tc>
          <w:tcPr>
            <w:tcW w:w="709" w:type="dxa"/>
            <w:tcBorders>
              <w:top w:val="nil"/>
              <w:left w:val="nil"/>
              <w:bottom w:val="single" w:sz="8" w:space="0" w:color="auto"/>
              <w:right w:val="single" w:sz="8" w:space="0" w:color="auto"/>
            </w:tcBorders>
            <w:shd w:val="clear" w:color="auto" w:fill="auto"/>
            <w:hideMark/>
          </w:tcPr>
          <w:p w14:paraId="2C4FBDCA"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S</w:t>
            </w:r>
          </w:p>
        </w:tc>
        <w:tc>
          <w:tcPr>
            <w:tcW w:w="709" w:type="dxa"/>
            <w:tcBorders>
              <w:top w:val="nil"/>
              <w:left w:val="nil"/>
              <w:bottom w:val="single" w:sz="8" w:space="0" w:color="auto"/>
              <w:right w:val="single" w:sz="8" w:space="0" w:color="auto"/>
            </w:tcBorders>
            <w:shd w:val="clear" w:color="auto" w:fill="auto"/>
            <w:hideMark/>
          </w:tcPr>
          <w:p w14:paraId="0A30AC0B"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w:t>
            </w:r>
          </w:p>
        </w:tc>
        <w:tc>
          <w:tcPr>
            <w:tcW w:w="3118" w:type="dxa"/>
            <w:tcBorders>
              <w:top w:val="nil"/>
              <w:left w:val="nil"/>
              <w:bottom w:val="single" w:sz="8" w:space="0" w:color="auto"/>
              <w:right w:val="single" w:sz="8" w:space="0" w:color="auto"/>
            </w:tcBorders>
            <w:shd w:val="clear" w:color="auto" w:fill="auto"/>
            <w:hideMark/>
          </w:tcPr>
          <w:p w14:paraId="0844D909"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T: 25°C; pH: 7.0; H: 22 mg/L CaCO3; DOC: 3.20 mg/L </w:t>
            </w:r>
            <w:r w:rsidRPr="0098635C">
              <w:rPr>
                <w:color w:val="000000" w:themeColor="text1"/>
                <w:sz w:val="20"/>
                <w:szCs w:val="20"/>
                <w:vertAlign w:val="superscript"/>
                <w:lang w:eastAsia="en-GB"/>
              </w:rPr>
              <w:t>(3)</w:t>
            </w:r>
          </w:p>
        </w:tc>
        <w:tc>
          <w:tcPr>
            <w:tcW w:w="2127" w:type="dxa"/>
            <w:tcBorders>
              <w:top w:val="nil"/>
              <w:left w:val="nil"/>
              <w:bottom w:val="single" w:sz="8" w:space="0" w:color="auto"/>
              <w:right w:val="single" w:sz="8" w:space="0" w:color="auto"/>
            </w:tcBorders>
            <w:shd w:val="clear" w:color="auto" w:fill="auto"/>
            <w:hideMark/>
          </w:tcPr>
          <w:p w14:paraId="5446DE7C"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River</w:t>
            </w:r>
          </w:p>
        </w:tc>
        <w:tc>
          <w:tcPr>
            <w:tcW w:w="2409" w:type="dxa"/>
            <w:tcBorders>
              <w:top w:val="nil"/>
              <w:left w:val="nil"/>
              <w:bottom w:val="single" w:sz="8" w:space="0" w:color="auto"/>
              <w:right w:val="double" w:sz="6" w:space="0" w:color="auto"/>
            </w:tcBorders>
            <w:shd w:val="clear" w:color="auto" w:fill="auto"/>
            <w:hideMark/>
          </w:tcPr>
          <w:p w14:paraId="3DD223AF"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Jop et al., 1995 </w:t>
            </w:r>
          </w:p>
        </w:tc>
      </w:tr>
      <w:tr w:rsidR="00632208" w:rsidRPr="0098635C" w14:paraId="298B3881" w14:textId="77777777" w:rsidTr="00A432B0">
        <w:trPr>
          <w:trHeight w:val="299"/>
        </w:trPr>
        <w:tc>
          <w:tcPr>
            <w:tcW w:w="1701" w:type="dxa"/>
            <w:tcBorders>
              <w:top w:val="nil"/>
              <w:left w:val="double" w:sz="6" w:space="0" w:color="auto"/>
              <w:bottom w:val="single" w:sz="8" w:space="0" w:color="auto"/>
              <w:right w:val="single" w:sz="8" w:space="0" w:color="auto"/>
            </w:tcBorders>
            <w:shd w:val="clear" w:color="auto" w:fill="auto"/>
            <w:hideMark/>
          </w:tcPr>
          <w:p w14:paraId="10E3AB73"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Ceriodaphnia dubia </w:t>
            </w:r>
          </w:p>
        </w:tc>
        <w:tc>
          <w:tcPr>
            <w:tcW w:w="1701" w:type="dxa"/>
            <w:tcBorders>
              <w:top w:val="nil"/>
              <w:left w:val="nil"/>
              <w:bottom w:val="single" w:sz="8" w:space="0" w:color="auto"/>
              <w:right w:val="single" w:sz="8" w:space="0" w:color="auto"/>
            </w:tcBorders>
            <w:shd w:val="clear" w:color="auto" w:fill="auto"/>
            <w:hideMark/>
          </w:tcPr>
          <w:p w14:paraId="09351107"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neonates (&lt; 8 h)</w:t>
            </w:r>
          </w:p>
        </w:tc>
        <w:tc>
          <w:tcPr>
            <w:tcW w:w="709" w:type="dxa"/>
            <w:tcBorders>
              <w:top w:val="nil"/>
              <w:left w:val="nil"/>
              <w:bottom w:val="single" w:sz="8" w:space="0" w:color="auto"/>
              <w:right w:val="single" w:sz="8" w:space="0" w:color="auto"/>
            </w:tcBorders>
            <w:shd w:val="clear" w:color="auto" w:fill="auto"/>
            <w:hideMark/>
          </w:tcPr>
          <w:p w14:paraId="53DB0080"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7 d</w:t>
            </w:r>
          </w:p>
        </w:tc>
        <w:tc>
          <w:tcPr>
            <w:tcW w:w="1276" w:type="dxa"/>
            <w:tcBorders>
              <w:top w:val="nil"/>
              <w:left w:val="nil"/>
              <w:bottom w:val="single" w:sz="8" w:space="0" w:color="auto"/>
              <w:right w:val="single" w:sz="8" w:space="0" w:color="auto"/>
            </w:tcBorders>
            <w:shd w:val="clear" w:color="auto" w:fill="auto"/>
            <w:hideMark/>
          </w:tcPr>
          <w:p w14:paraId="13AF08DE"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mortality</w:t>
            </w:r>
          </w:p>
        </w:tc>
        <w:tc>
          <w:tcPr>
            <w:tcW w:w="850" w:type="dxa"/>
            <w:tcBorders>
              <w:top w:val="nil"/>
              <w:left w:val="nil"/>
              <w:bottom w:val="single" w:sz="8" w:space="0" w:color="auto"/>
              <w:right w:val="single" w:sz="8" w:space="0" w:color="auto"/>
            </w:tcBorders>
            <w:shd w:val="clear" w:color="auto" w:fill="auto"/>
            <w:hideMark/>
          </w:tcPr>
          <w:p w14:paraId="3CF3E25F" w14:textId="77777777" w:rsidR="00632208" w:rsidRPr="0098635C" w:rsidRDefault="00632208" w:rsidP="00A432B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4</w:t>
            </w:r>
          </w:p>
        </w:tc>
        <w:tc>
          <w:tcPr>
            <w:tcW w:w="709" w:type="dxa"/>
            <w:tcBorders>
              <w:top w:val="nil"/>
              <w:left w:val="nil"/>
              <w:bottom w:val="single" w:sz="8" w:space="0" w:color="auto"/>
              <w:right w:val="single" w:sz="8" w:space="0" w:color="auto"/>
            </w:tcBorders>
            <w:shd w:val="clear" w:color="auto" w:fill="auto"/>
            <w:hideMark/>
          </w:tcPr>
          <w:p w14:paraId="7340396A"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S</w:t>
            </w:r>
          </w:p>
        </w:tc>
        <w:tc>
          <w:tcPr>
            <w:tcW w:w="709" w:type="dxa"/>
            <w:tcBorders>
              <w:top w:val="nil"/>
              <w:left w:val="nil"/>
              <w:bottom w:val="single" w:sz="8" w:space="0" w:color="auto"/>
              <w:right w:val="single" w:sz="8" w:space="0" w:color="auto"/>
            </w:tcBorders>
            <w:shd w:val="clear" w:color="auto" w:fill="auto"/>
            <w:hideMark/>
          </w:tcPr>
          <w:p w14:paraId="01E78EB9"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w:t>
            </w:r>
          </w:p>
        </w:tc>
        <w:tc>
          <w:tcPr>
            <w:tcW w:w="3118" w:type="dxa"/>
            <w:tcBorders>
              <w:top w:val="nil"/>
              <w:left w:val="nil"/>
              <w:bottom w:val="single" w:sz="8" w:space="0" w:color="auto"/>
              <w:right w:val="single" w:sz="8" w:space="0" w:color="auto"/>
            </w:tcBorders>
            <w:shd w:val="clear" w:color="auto" w:fill="auto"/>
            <w:hideMark/>
          </w:tcPr>
          <w:p w14:paraId="2B5B0262"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T: 25°C; pH: 6.95; H: 20 mg/L CaCO3; DOC: 0.5 mg/L </w:t>
            </w:r>
            <w:r w:rsidRPr="0098635C">
              <w:rPr>
                <w:color w:val="000000" w:themeColor="text1"/>
                <w:sz w:val="20"/>
                <w:szCs w:val="20"/>
                <w:vertAlign w:val="superscript"/>
                <w:lang w:eastAsia="en-GB"/>
              </w:rPr>
              <w:t>(1)</w:t>
            </w:r>
          </w:p>
        </w:tc>
        <w:tc>
          <w:tcPr>
            <w:tcW w:w="2127" w:type="dxa"/>
            <w:tcBorders>
              <w:top w:val="nil"/>
              <w:left w:val="nil"/>
              <w:bottom w:val="single" w:sz="8" w:space="0" w:color="auto"/>
              <w:right w:val="single" w:sz="8" w:space="0" w:color="auto"/>
            </w:tcBorders>
            <w:shd w:val="clear" w:color="auto" w:fill="auto"/>
            <w:hideMark/>
          </w:tcPr>
          <w:p w14:paraId="5D7745C4"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Reconstituted</w:t>
            </w:r>
          </w:p>
        </w:tc>
        <w:tc>
          <w:tcPr>
            <w:tcW w:w="2409" w:type="dxa"/>
            <w:tcBorders>
              <w:top w:val="nil"/>
              <w:left w:val="nil"/>
              <w:bottom w:val="single" w:sz="8" w:space="0" w:color="auto"/>
              <w:right w:val="double" w:sz="6" w:space="0" w:color="auto"/>
            </w:tcBorders>
            <w:shd w:val="clear" w:color="auto" w:fill="auto"/>
            <w:hideMark/>
          </w:tcPr>
          <w:p w14:paraId="43BC4AB7"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Jop et al., 1995 </w:t>
            </w:r>
          </w:p>
        </w:tc>
      </w:tr>
      <w:tr w:rsidR="00632208" w:rsidRPr="0098635C" w14:paraId="283B8FF6" w14:textId="77777777" w:rsidTr="00A432B0">
        <w:trPr>
          <w:trHeight w:val="87"/>
        </w:trPr>
        <w:tc>
          <w:tcPr>
            <w:tcW w:w="1701" w:type="dxa"/>
            <w:tcBorders>
              <w:top w:val="nil"/>
              <w:left w:val="double" w:sz="6" w:space="0" w:color="auto"/>
              <w:bottom w:val="single" w:sz="8" w:space="0" w:color="auto"/>
              <w:right w:val="single" w:sz="8" w:space="0" w:color="auto"/>
            </w:tcBorders>
            <w:shd w:val="clear" w:color="auto" w:fill="auto"/>
            <w:hideMark/>
          </w:tcPr>
          <w:p w14:paraId="5D038786"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Ceriodaphnia dubia </w:t>
            </w:r>
          </w:p>
        </w:tc>
        <w:tc>
          <w:tcPr>
            <w:tcW w:w="1701" w:type="dxa"/>
            <w:tcBorders>
              <w:top w:val="nil"/>
              <w:left w:val="nil"/>
              <w:bottom w:val="single" w:sz="8" w:space="0" w:color="auto"/>
              <w:right w:val="single" w:sz="8" w:space="0" w:color="auto"/>
            </w:tcBorders>
            <w:shd w:val="clear" w:color="auto" w:fill="auto"/>
            <w:hideMark/>
          </w:tcPr>
          <w:p w14:paraId="6B7317A3"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neonates (&lt; 24 h)</w:t>
            </w:r>
          </w:p>
        </w:tc>
        <w:tc>
          <w:tcPr>
            <w:tcW w:w="709" w:type="dxa"/>
            <w:tcBorders>
              <w:top w:val="nil"/>
              <w:left w:val="nil"/>
              <w:bottom w:val="single" w:sz="8" w:space="0" w:color="auto"/>
              <w:right w:val="single" w:sz="8" w:space="0" w:color="auto"/>
            </w:tcBorders>
            <w:shd w:val="clear" w:color="auto" w:fill="auto"/>
            <w:hideMark/>
          </w:tcPr>
          <w:p w14:paraId="395EC100"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7 d</w:t>
            </w:r>
          </w:p>
        </w:tc>
        <w:tc>
          <w:tcPr>
            <w:tcW w:w="1276" w:type="dxa"/>
            <w:tcBorders>
              <w:top w:val="nil"/>
              <w:left w:val="nil"/>
              <w:bottom w:val="single" w:sz="8" w:space="0" w:color="auto"/>
              <w:right w:val="single" w:sz="8" w:space="0" w:color="auto"/>
            </w:tcBorders>
            <w:shd w:val="clear" w:color="auto" w:fill="auto"/>
            <w:hideMark/>
          </w:tcPr>
          <w:p w14:paraId="031EEF5A"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mortality</w:t>
            </w:r>
          </w:p>
        </w:tc>
        <w:tc>
          <w:tcPr>
            <w:tcW w:w="850" w:type="dxa"/>
            <w:tcBorders>
              <w:top w:val="nil"/>
              <w:left w:val="nil"/>
              <w:bottom w:val="single" w:sz="8" w:space="0" w:color="auto"/>
              <w:right w:val="single" w:sz="8" w:space="0" w:color="auto"/>
            </w:tcBorders>
            <w:shd w:val="clear" w:color="auto" w:fill="auto"/>
            <w:hideMark/>
          </w:tcPr>
          <w:p w14:paraId="54D0F4B5" w14:textId="77777777" w:rsidR="00632208" w:rsidRPr="0098635C" w:rsidRDefault="00632208" w:rsidP="00A432B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122</w:t>
            </w:r>
          </w:p>
        </w:tc>
        <w:tc>
          <w:tcPr>
            <w:tcW w:w="709" w:type="dxa"/>
            <w:tcBorders>
              <w:top w:val="nil"/>
              <w:left w:val="nil"/>
              <w:bottom w:val="single" w:sz="8" w:space="0" w:color="auto"/>
              <w:right w:val="single" w:sz="8" w:space="0" w:color="auto"/>
            </w:tcBorders>
            <w:shd w:val="clear" w:color="auto" w:fill="auto"/>
            <w:hideMark/>
          </w:tcPr>
          <w:p w14:paraId="6F48B99E"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w:t>
            </w:r>
          </w:p>
        </w:tc>
        <w:tc>
          <w:tcPr>
            <w:tcW w:w="709" w:type="dxa"/>
            <w:tcBorders>
              <w:top w:val="nil"/>
              <w:left w:val="nil"/>
              <w:bottom w:val="single" w:sz="8" w:space="0" w:color="auto"/>
              <w:right w:val="single" w:sz="8" w:space="0" w:color="auto"/>
            </w:tcBorders>
            <w:shd w:val="clear" w:color="auto" w:fill="auto"/>
            <w:hideMark/>
          </w:tcPr>
          <w:p w14:paraId="5405C886"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3.4</w:t>
            </w:r>
          </w:p>
        </w:tc>
        <w:tc>
          <w:tcPr>
            <w:tcW w:w="3118" w:type="dxa"/>
            <w:tcBorders>
              <w:top w:val="nil"/>
              <w:left w:val="nil"/>
              <w:bottom w:val="single" w:sz="8" w:space="0" w:color="auto"/>
              <w:right w:val="single" w:sz="8" w:space="0" w:color="auto"/>
            </w:tcBorders>
            <w:shd w:val="clear" w:color="auto" w:fill="auto"/>
            <w:hideMark/>
          </w:tcPr>
          <w:p w14:paraId="7CEAACB2"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T: 25°C; pH: 8.25; H: 100 mg/L CaCO3; DOC: 5.7 mg/L </w:t>
            </w:r>
            <w:r w:rsidRPr="0098635C">
              <w:rPr>
                <w:color w:val="000000" w:themeColor="text1"/>
                <w:sz w:val="20"/>
                <w:szCs w:val="20"/>
                <w:vertAlign w:val="superscript"/>
                <w:lang w:eastAsia="en-GB"/>
              </w:rPr>
              <w:t>(5)</w:t>
            </w:r>
          </w:p>
        </w:tc>
        <w:tc>
          <w:tcPr>
            <w:tcW w:w="2127" w:type="dxa"/>
            <w:tcBorders>
              <w:top w:val="nil"/>
              <w:left w:val="nil"/>
              <w:bottom w:val="single" w:sz="8" w:space="0" w:color="auto"/>
              <w:right w:val="single" w:sz="8" w:space="0" w:color="auto"/>
            </w:tcBorders>
            <w:shd w:val="clear" w:color="auto" w:fill="auto"/>
            <w:hideMark/>
          </w:tcPr>
          <w:p w14:paraId="51F017B5"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River (Lester River)</w:t>
            </w:r>
          </w:p>
        </w:tc>
        <w:tc>
          <w:tcPr>
            <w:tcW w:w="2409" w:type="dxa"/>
            <w:tcBorders>
              <w:top w:val="nil"/>
              <w:left w:val="nil"/>
              <w:bottom w:val="single" w:sz="8" w:space="0" w:color="auto"/>
              <w:right w:val="double" w:sz="6" w:space="0" w:color="auto"/>
            </w:tcBorders>
            <w:shd w:val="clear" w:color="auto" w:fill="auto"/>
            <w:hideMark/>
          </w:tcPr>
          <w:p w14:paraId="02CA5C17"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Spehar &amp; Fiandt, 1985 </w:t>
            </w:r>
          </w:p>
        </w:tc>
      </w:tr>
      <w:tr w:rsidR="00632208" w:rsidRPr="0098635C" w14:paraId="3FC692BA" w14:textId="77777777" w:rsidTr="00A432B0">
        <w:trPr>
          <w:trHeight w:val="382"/>
        </w:trPr>
        <w:tc>
          <w:tcPr>
            <w:tcW w:w="1701" w:type="dxa"/>
            <w:tcBorders>
              <w:top w:val="nil"/>
              <w:left w:val="double" w:sz="6" w:space="0" w:color="auto"/>
              <w:bottom w:val="single" w:sz="8" w:space="0" w:color="auto"/>
              <w:right w:val="single" w:sz="8" w:space="0" w:color="auto"/>
            </w:tcBorders>
            <w:shd w:val="clear" w:color="auto" w:fill="auto"/>
            <w:hideMark/>
          </w:tcPr>
          <w:p w14:paraId="100E8D4A"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Ceriodaphnia dubia </w:t>
            </w:r>
          </w:p>
        </w:tc>
        <w:tc>
          <w:tcPr>
            <w:tcW w:w="1701" w:type="dxa"/>
            <w:tcBorders>
              <w:top w:val="nil"/>
              <w:left w:val="nil"/>
              <w:bottom w:val="single" w:sz="8" w:space="0" w:color="auto"/>
              <w:right w:val="single" w:sz="8" w:space="0" w:color="auto"/>
            </w:tcBorders>
            <w:shd w:val="clear" w:color="auto" w:fill="auto"/>
            <w:hideMark/>
          </w:tcPr>
          <w:p w14:paraId="194F0DDA"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neonates (2-8 h)</w:t>
            </w:r>
          </w:p>
        </w:tc>
        <w:tc>
          <w:tcPr>
            <w:tcW w:w="709" w:type="dxa"/>
            <w:tcBorders>
              <w:top w:val="nil"/>
              <w:left w:val="nil"/>
              <w:bottom w:val="single" w:sz="8" w:space="0" w:color="auto"/>
              <w:right w:val="single" w:sz="8" w:space="0" w:color="auto"/>
            </w:tcBorders>
            <w:shd w:val="clear" w:color="auto" w:fill="auto"/>
            <w:hideMark/>
          </w:tcPr>
          <w:p w14:paraId="08D31FFE"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7 d</w:t>
            </w:r>
          </w:p>
        </w:tc>
        <w:tc>
          <w:tcPr>
            <w:tcW w:w="1276" w:type="dxa"/>
            <w:tcBorders>
              <w:top w:val="nil"/>
              <w:left w:val="nil"/>
              <w:bottom w:val="single" w:sz="8" w:space="0" w:color="auto"/>
              <w:right w:val="single" w:sz="8" w:space="0" w:color="auto"/>
            </w:tcBorders>
            <w:shd w:val="clear" w:color="auto" w:fill="auto"/>
            <w:hideMark/>
          </w:tcPr>
          <w:p w14:paraId="267F04CE"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reproduction</w:t>
            </w:r>
          </w:p>
        </w:tc>
        <w:tc>
          <w:tcPr>
            <w:tcW w:w="850" w:type="dxa"/>
            <w:tcBorders>
              <w:top w:val="nil"/>
              <w:left w:val="nil"/>
              <w:bottom w:val="single" w:sz="8" w:space="0" w:color="auto"/>
              <w:right w:val="single" w:sz="8" w:space="0" w:color="auto"/>
            </w:tcBorders>
            <w:shd w:val="clear" w:color="auto" w:fill="auto"/>
            <w:hideMark/>
          </w:tcPr>
          <w:p w14:paraId="71E808C8" w14:textId="77777777" w:rsidR="00632208" w:rsidRPr="0098635C" w:rsidRDefault="00632208" w:rsidP="00A432B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6.3</w:t>
            </w:r>
          </w:p>
        </w:tc>
        <w:tc>
          <w:tcPr>
            <w:tcW w:w="709" w:type="dxa"/>
            <w:tcBorders>
              <w:top w:val="nil"/>
              <w:left w:val="nil"/>
              <w:bottom w:val="single" w:sz="8" w:space="0" w:color="auto"/>
              <w:right w:val="single" w:sz="8" w:space="0" w:color="auto"/>
            </w:tcBorders>
            <w:shd w:val="clear" w:color="auto" w:fill="auto"/>
            <w:hideMark/>
          </w:tcPr>
          <w:p w14:paraId="6DA5D877"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S</w:t>
            </w:r>
          </w:p>
        </w:tc>
        <w:tc>
          <w:tcPr>
            <w:tcW w:w="709" w:type="dxa"/>
            <w:tcBorders>
              <w:top w:val="nil"/>
              <w:left w:val="nil"/>
              <w:bottom w:val="single" w:sz="8" w:space="0" w:color="auto"/>
              <w:right w:val="single" w:sz="8" w:space="0" w:color="auto"/>
            </w:tcBorders>
            <w:shd w:val="clear" w:color="auto" w:fill="auto"/>
            <w:hideMark/>
          </w:tcPr>
          <w:p w14:paraId="0E6E3828"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1.5</w:t>
            </w:r>
          </w:p>
        </w:tc>
        <w:tc>
          <w:tcPr>
            <w:tcW w:w="3118" w:type="dxa"/>
            <w:tcBorders>
              <w:top w:val="nil"/>
              <w:left w:val="nil"/>
              <w:bottom w:val="single" w:sz="8" w:space="0" w:color="auto"/>
              <w:right w:val="single" w:sz="8" w:space="0" w:color="auto"/>
            </w:tcBorders>
            <w:shd w:val="clear" w:color="auto" w:fill="auto"/>
            <w:hideMark/>
          </w:tcPr>
          <w:p w14:paraId="356D11CD"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T: 25°C; pH: 8.15; H: 94.1 mg/L CaCO3; DOC: 3.70 mg/L </w:t>
            </w:r>
            <w:r w:rsidRPr="0098635C">
              <w:rPr>
                <w:color w:val="000000" w:themeColor="text1"/>
                <w:sz w:val="20"/>
                <w:szCs w:val="20"/>
                <w:vertAlign w:val="superscript"/>
                <w:lang w:eastAsia="en-GB"/>
              </w:rPr>
              <w:t>(2)</w:t>
            </w:r>
          </w:p>
        </w:tc>
        <w:tc>
          <w:tcPr>
            <w:tcW w:w="2127" w:type="dxa"/>
            <w:tcBorders>
              <w:top w:val="nil"/>
              <w:left w:val="nil"/>
              <w:bottom w:val="single" w:sz="8" w:space="0" w:color="auto"/>
              <w:right w:val="single" w:sz="8" w:space="0" w:color="auto"/>
            </w:tcBorders>
            <w:shd w:val="clear" w:color="auto" w:fill="auto"/>
            <w:hideMark/>
          </w:tcPr>
          <w:p w14:paraId="3450B2F3"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River (New River)</w:t>
            </w:r>
          </w:p>
        </w:tc>
        <w:tc>
          <w:tcPr>
            <w:tcW w:w="2409" w:type="dxa"/>
            <w:tcBorders>
              <w:top w:val="nil"/>
              <w:left w:val="nil"/>
              <w:bottom w:val="single" w:sz="8" w:space="0" w:color="auto"/>
              <w:right w:val="double" w:sz="6" w:space="0" w:color="auto"/>
            </w:tcBorders>
            <w:shd w:val="clear" w:color="auto" w:fill="auto"/>
            <w:hideMark/>
          </w:tcPr>
          <w:p w14:paraId="16EDE713"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Belanger et al., 1989</w:t>
            </w:r>
          </w:p>
        </w:tc>
      </w:tr>
      <w:tr w:rsidR="00632208" w:rsidRPr="0098635C" w14:paraId="1D36B861" w14:textId="77777777" w:rsidTr="00A432B0">
        <w:trPr>
          <w:trHeight w:val="200"/>
        </w:trPr>
        <w:tc>
          <w:tcPr>
            <w:tcW w:w="1701" w:type="dxa"/>
            <w:tcBorders>
              <w:top w:val="nil"/>
              <w:left w:val="double" w:sz="6" w:space="0" w:color="auto"/>
              <w:bottom w:val="single" w:sz="8" w:space="0" w:color="auto"/>
              <w:right w:val="single" w:sz="8" w:space="0" w:color="auto"/>
            </w:tcBorders>
            <w:shd w:val="clear" w:color="auto" w:fill="auto"/>
            <w:hideMark/>
          </w:tcPr>
          <w:p w14:paraId="3FF7C6B5"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Ceriodaphnia dubia </w:t>
            </w:r>
          </w:p>
        </w:tc>
        <w:tc>
          <w:tcPr>
            <w:tcW w:w="1701" w:type="dxa"/>
            <w:tcBorders>
              <w:top w:val="nil"/>
              <w:left w:val="nil"/>
              <w:bottom w:val="single" w:sz="8" w:space="0" w:color="auto"/>
              <w:right w:val="single" w:sz="8" w:space="0" w:color="auto"/>
            </w:tcBorders>
            <w:shd w:val="clear" w:color="auto" w:fill="auto"/>
            <w:hideMark/>
          </w:tcPr>
          <w:p w14:paraId="1F8EDF21"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neonates (2-8 h)</w:t>
            </w:r>
          </w:p>
        </w:tc>
        <w:tc>
          <w:tcPr>
            <w:tcW w:w="709" w:type="dxa"/>
            <w:tcBorders>
              <w:top w:val="nil"/>
              <w:left w:val="nil"/>
              <w:bottom w:val="single" w:sz="8" w:space="0" w:color="auto"/>
              <w:right w:val="single" w:sz="8" w:space="0" w:color="auto"/>
            </w:tcBorders>
            <w:shd w:val="clear" w:color="auto" w:fill="auto"/>
            <w:hideMark/>
          </w:tcPr>
          <w:p w14:paraId="4712B281"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7 d</w:t>
            </w:r>
          </w:p>
        </w:tc>
        <w:tc>
          <w:tcPr>
            <w:tcW w:w="1276" w:type="dxa"/>
            <w:tcBorders>
              <w:top w:val="nil"/>
              <w:left w:val="nil"/>
              <w:bottom w:val="single" w:sz="8" w:space="0" w:color="auto"/>
              <w:right w:val="single" w:sz="8" w:space="0" w:color="auto"/>
            </w:tcBorders>
            <w:shd w:val="clear" w:color="auto" w:fill="auto"/>
            <w:hideMark/>
          </w:tcPr>
          <w:p w14:paraId="3356DD93"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reproduction</w:t>
            </w:r>
          </w:p>
        </w:tc>
        <w:tc>
          <w:tcPr>
            <w:tcW w:w="850" w:type="dxa"/>
            <w:tcBorders>
              <w:top w:val="nil"/>
              <w:left w:val="nil"/>
              <w:bottom w:val="single" w:sz="8" w:space="0" w:color="auto"/>
              <w:right w:val="single" w:sz="8" w:space="0" w:color="auto"/>
            </w:tcBorders>
            <w:shd w:val="clear" w:color="auto" w:fill="auto"/>
            <w:hideMark/>
          </w:tcPr>
          <w:p w14:paraId="267F1AA8" w14:textId="77777777" w:rsidR="00632208" w:rsidRPr="0098635C" w:rsidRDefault="00632208" w:rsidP="00A432B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24.1</w:t>
            </w:r>
          </w:p>
        </w:tc>
        <w:tc>
          <w:tcPr>
            <w:tcW w:w="709" w:type="dxa"/>
            <w:tcBorders>
              <w:top w:val="nil"/>
              <w:left w:val="nil"/>
              <w:bottom w:val="single" w:sz="8" w:space="0" w:color="auto"/>
              <w:right w:val="single" w:sz="8" w:space="0" w:color="auto"/>
            </w:tcBorders>
            <w:shd w:val="clear" w:color="auto" w:fill="auto"/>
            <w:hideMark/>
          </w:tcPr>
          <w:p w14:paraId="752E7918"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S</w:t>
            </w:r>
          </w:p>
        </w:tc>
        <w:tc>
          <w:tcPr>
            <w:tcW w:w="709" w:type="dxa"/>
            <w:tcBorders>
              <w:top w:val="nil"/>
              <w:left w:val="nil"/>
              <w:bottom w:val="single" w:sz="8" w:space="0" w:color="auto"/>
              <w:right w:val="single" w:sz="8" w:space="0" w:color="auto"/>
            </w:tcBorders>
            <w:shd w:val="clear" w:color="auto" w:fill="auto"/>
            <w:hideMark/>
          </w:tcPr>
          <w:p w14:paraId="12E8744C"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4.7</w:t>
            </w:r>
          </w:p>
        </w:tc>
        <w:tc>
          <w:tcPr>
            <w:tcW w:w="3118" w:type="dxa"/>
            <w:tcBorders>
              <w:top w:val="nil"/>
              <w:left w:val="nil"/>
              <w:bottom w:val="single" w:sz="8" w:space="0" w:color="auto"/>
              <w:right w:val="single" w:sz="8" w:space="0" w:color="auto"/>
            </w:tcBorders>
            <w:shd w:val="clear" w:color="auto" w:fill="auto"/>
            <w:hideMark/>
          </w:tcPr>
          <w:p w14:paraId="7AC254B5"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T: 25°C; pH: 8.31; H: 179 mg/L CaCO3; DOC: 3.70 mg/L </w:t>
            </w:r>
            <w:r w:rsidRPr="0098635C">
              <w:rPr>
                <w:color w:val="000000" w:themeColor="text1"/>
                <w:sz w:val="20"/>
                <w:szCs w:val="20"/>
                <w:vertAlign w:val="superscript"/>
                <w:lang w:eastAsia="en-GB"/>
              </w:rPr>
              <w:t>(4)</w:t>
            </w:r>
          </w:p>
        </w:tc>
        <w:tc>
          <w:tcPr>
            <w:tcW w:w="2127" w:type="dxa"/>
            <w:tcBorders>
              <w:top w:val="nil"/>
              <w:left w:val="nil"/>
              <w:bottom w:val="single" w:sz="8" w:space="0" w:color="auto"/>
              <w:right w:val="single" w:sz="8" w:space="0" w:color="auto"/>
            </w:tcBorders>
            <w:shd w:val="clear" w:color="auto" w:fill="auto"/>
            <w:hideMark/>
          </w:tcPr>
          <w:p w14:paraId="0C38A070"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River (Clinch River)</w:t>
            </w:r>
          </w:p>
        </w:tc>
        <w:tc>
          <w:tcPr>
            <w:tcW w:w="2409" w:type="dxa"/>
            <w:tcBorders>
              <w:top w:val="nil"/>
              <w:left w:val="nil"/>
              <w:bottom w:val="single" w:sz="8" w:space="0" w:color="auto"/>
              <w:right w:val="double" w:sz="6" w:space="0" w:color="auto"/>
            </w:tcBorders>
            <w:shd w:val="clear" w:color="auto" w:fill="auto"/>
            <w:hideMark/>
          </w:tcPr>
          <w:p w14:paraId="736FA5C0"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Belanger et al., 1989 </w:t>
            </w:r>
          </w:p>
        </w:tc>
      </w:tr>
      <w:tr w:rsidR="00632208" w:rsidRPr="0098635C" w14:paraId="7D089BA7" w14:textId="77777777" w:rsidTr="00A432B0">
        <w:trPr>
          <w:trHeight w:val="397"/>
        </w:trPr>
        <w:tc>
          <w:tcPr>
            <w:tcW w:w="1701" w:type="dxa"/>
            <w:tcBorders>
              <w:top w:val="nil"/>
              <w:left w:val="double" w:sz="6" w:space="0" w:color="auto"/>
              <w:bottom w:val="single" w:sz="8" w:space="0" w:color="auto"/>
              <w:right w:val="single" w:sz="8" w:space="0" w:color="auto"/>
            </w:tcBorders>
            <w:shd w:val="clear" w:color="auto" w:fill="auto"/>
            <w:hideMark/>
          </w:tcPr>
          <w:p w14:paraId="574C1E01"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Ceriodaphnia dubia </w:t>
            </w:r>
          </w:p>
        </w:tc>
        <w:tc>
          <w:tcPr>
            <w:tcW w:w="1701" w:type="dxa"/>
            <w:tcBorders>
              <w:top w:val="nil"/>
              <w:left w:val="nil"/>
              <w:bottom w:val="single" w:sz="8" w:space="0" w:color="auto"/>
              <w:right w:val="single" w:sz="8" w:space="0" w:color="auto"/>
            </w:tcBorders>
            <w:shd w:val="clear" w:color="auto" w:fill="auto"/>
            <w:hideMark/>
          </w:tcPr>
          <w:p w14:paraId="1E27F21E"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neonates (&lt; 8 h)</w:t>
            </w:r>
          </w:p>
        </w:tc>
        <w:tc>
          <w:tcPr>
            <w:tcW w:w="709" w:type="dxa"/>
            <w:tcBorders>
              <w:top w:val="nil"/>
              <w:left w:val="nil"/>
              <w:bottom w:val="single" w:sz="8" w:space="0" w:color="auto"/>
              <w:right w:val="single" w:sz="8" w:space="0" w:color="auto"/>
            </w:tcBorders>
            <w:shd w:val="clear" w:color="auto" w:fill="auto"/>
            <w:hideMark/>
          </w:tcPr>
          <w:p w14:paraId="7D8035FF"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7 d</w:t>
            </w:r>
          </w:p>
        </w:tc>
        <w:tc>
          <w:tcPr>
            <w:tcW w:w="1276" w:type="dxa"/>
            <w:tcBorders>
              <w:top w:val="nil"/>
              <w:left w:val="nil"/>
              <w:bottom w:val="single" w:sz="8" w:space="0" w:color="auto"/>
              <w:right w:val="single" w:sz="8" w:space="0" w:color="auto"/>
            </w:tcBorders>
            <w:shd w:val="clear" w:color="auto" w:fill="auto"/>
            <w:hideMark/>
          </w:tcPr>
          <w:p w14:paraId="3AA47451"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reproduction</w:t>
            </w:r>
          </w:p>
        </w:tc>
        <w:tc>
          <w:tcPr>
            <w:tcW w:w="850" w:type="dxa"/>
            <w:tcBorders>
              <w:top w:val="nil"/>
              <w:left w:val="nil"/>
              <w:bottom w:val="single" w:sz="8" w:space="0" w:color="auto"/>
              <w:right w:val="single" w:sz="8" w:space="0" w:color="auto"/>
            </w:tcBorders>
            <w:shd w:val="clear" w:color="auto" w:fill="auto"/>
            <w:hideMark/>
          </w:tcPr>
          <w:p w14:paraId="520F2ADB" w14:textId="77777777" w:rsidR="00632208" w:rsidRPr="0098635C" w:rsidRDefault="00632208" w:rsidP="00A432B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4</w:t>
            </w:r>
          </w:p>
        </w:tc>
        <w:tc>
          <w:tcPr>
            <w:tcW w:w="709" w:type="dxa"/>
            <w:tcBorders>
              <w:top w:val="nil"/>
              <w:left w:val="nil"/>
              <w:bottom w:val="single" w:sz="8" w:space="0" w:color="auto"/>
              <w:right w:val="single" w:sz="8" w:space="0" w:color="auto"/>
            </w:tcBorders>
            <w:shd w:val="clear" w:color="auto" w:fill="auto"/>
            <w:hideMark/>
          </w:tcPr>
          <w:p w14:paraId="2AEBEED3"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S</w:t>
            </w:r>
          </w:p>
        </w:tc>
        <w:tc>
          <w:tcPr>
            <w:tcW w:w="709" w:type="dxa"/>
            <w:tcBorders>
              <w:top w:val="nil"/>
              <w:left w:val="nil"/>
              <w:bottom w:val="single" w:sz="8" w:space="0" w:color="auto"/>
              <w:right w:val="single" w:sz="8" w:space="0" w:color="auto"/>
            </w:tcBorders>
            <w:shd w:val="clear" w:color="auto" w:fill="auto"/>
            <w:hideMark/>
          </w:tcPr>
          <w:p w14:paraId="3835D145"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w:t>
            </w:r>
          </w:p>
        </w:tc>
        <w:tc>
          <w:tcPr>
            <w:tcW w:w="3118" w:type="dxa"/>
            <w:tcBorders>
              <w:top w:val="nil"/>
              <w:left w:val="nil"/>
              <w:bottom w:val="single" w:sz="8" w:space="0" w:color="auto"/>
              <w:right w:val="single" w:sz="8" w:space="0" w:color="auto"/>
            </w:tcBorders>
            <w:shd w:val="clear" w:color="auto" w:fill="auto"/>
            <w:hideMark/>
          </w:tcPr>
          <w:p w14:paraId="03AA1BE3"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T: 25°C; pH: 6.95; H: 20 mg/L CaCO3; DOC: 0.5 mg/L </w:t>
            </w:r>
            <w:r w:rsidRPr="0098635C">
              <w:rPr>
                <w:color w:val="000000" w:themeColor="text1"/>
                <w:sz w:val="20"/>
                <w:szCs w:val="20"/>
                <w:vertAlign w:val="superscript"/>
                <w:lang w:eastAsia="en-GB"/>
              </w:rPr>
              <w:t>(1)</w:t>
            </w:r>
          </w:p>
        </w:tc>
        <w:tc>
          <w:tcPr>
            <w:tcW w:w="2127" w:type="dxa"/>
            <w:tcBorders>
              <w:top w:val="nil"/>
              <w:left w:val="nil"/>
              <w:bottom w:val="single" w:sz="8" w:space="0" w:color="auto"/>
              <w:right w:val="single" w:sz="8" w:space="0" w:color="auto"/>
            </w:tcBorders>
            <w:shd w:val="clear" w:color="auto" w:fill="auto"/>
            <w:hideMark/>
          </w:tcPr>
          <w:p w14:paraId="2FFC8272"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Reconstituted</w:t>
            </w:r>
          </w:p>
        </w:tc>
        <w:tc>
          <w:tcPr>
            <w:tcW w:w="2409" w:type="dxa"/>
            <w:tcBorders>
              <w:top w:val="nil"/>
              <w:left w:val="nil"/>
              <w:bottom w:val="single" w:sz="8" w:space="0" w:color="auto"/>
              <w:right w:val="double" w:sz="6" w:space="0" w:color="auto"/>
            </w:tcBorders>
            <w:shd w:val="clear" w:color="auto" w:fill="auto"/>
            <w:hideMark/>
          </w:tcPr>
          <w:p w14:paraId="052524FC"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Jop et al., 1995 </w:t>
            </w:r>
          </w:p>
        </w:tc>
      </w:tr>
      <w:tr w:rsidR="00632208" w:rsidRPr="0098635C" w14:paraId="41A801BA" w14:textId="77777777" w:rsidTr="00A432B0">
        <w:trPr>
          <w:trHeight w:val="247"/>
        </w:trPr>
        <w:tc>
          <w:tcPr>
            <w:tcW w:w="1701" w:type="dxa"/>
            <w:tcBorders>
              <w:top w:val="nil"/>
              <w:left w:val="double" w:sz="6" w:space="0" w:color="auto"/>
              <w:bottom w:val="single" w:sz="8" w:space="0" w:color="auto"/>
              <w:right w:val="single" w:sz="8" w:space="0" w:color="auto"/>
            </w:tcBorders>
            <w:shd w:val="clear" w:color="auto" w:fill="auto"/>
            <w:hideMark/>
          </w:tcPr>
          <w:p w14:paraId="4E485A24"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Ceriodaphnia dubia </w:t>
            </w:r>
          </w:p>
        </w:tc>
        <w:tc>
          <w:tcPr>
            <w:tcW w:w="1701" w:type="dxa"/>
            <w:tcBorders>
              <w:top w:val="nil"/>
              <w:left w:val="nil"/>
              <w:bottom w:val="single" w:sz="8" w:space="0" w:color="auto"/>
              <w:right w:val="single" w:sz="8" w:space="0" w:color="auto"/>
            </w:tcBorders>
            <w:shd w:val="clear" w:color="auto" w:fill="auto"/>
            <w:hideMark/>
          </w:tcPr>
          <w:p w14:paraId="48B6F650"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neonates (&lt; 8 h)</w:t>
            </w:r>
          </w:p>
        </w:tc>
        <w:tc>
          <w:tcPr>
            <w:tcW w:w="709" w:type="dxa"/>
            <w:tcBorders>
              <w:top w:val="nil"/>
              <w:left w:val="nil"/>
              <w:bottom w:val="single" w:sz="8" w:space="0" w:color="auto"/>
              <w:right w:val="single" w:sz="8" w:space="0" w:color="auto"/>
            </w:tcBorders>
            <w:shd w:val="clear" w:color="auto" w:fill="auto"/>
            <w:hideMark/>
          </w:tcPr>
          <w:p w14:paraId="2E142FBC"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7 d</w:t>
            </w:r>
          </w:p>
        </w:tc>
        <w:tc>
          <w:tcPr>
            <w:tcW w:w="1276" w:type="dxa"/>
            <w:tcBorders>
              <w:top w:val="nil"/>
              <w:left w:val="nil"/>
              <w:bottom w:val="single" w:sz="8" w:space="0" w:color="auto"/>
              <w:right w:val="single" w:sz="8" w:space="0" w:color="auto"/>
            </w:tcBorders>
            <w:shd w:val="clear" w:color="auto" w:fill="auto"/>
            <w:hideMark/>
          </w:tcPr>
          <w:p w14:paraId="5777FC83"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reproduction</w:t>
            </w:r>
          </w:p>
        </w:tc>
        <w:tc>
          <w:tcPr>
            <w:tcW w:w="850" w:type="dxa"/>
            <w:tcBorders>
              <w:top w:val="nil"/>
              <w:left w:val="nil"/>
              <w:bottom w:val="single" w:sz="8" w:space="0" w:color="auto"/>
              <w:right w:val="single" w:sz="8" w:space="0" w:color="auto"/>
            </w:tcBorders>
            <w:shd w:val="clear" w:color="auto" w:fill="auto"/>
            <w:hideMark/>
          </w:tcPr>
          <w:p w14:paraId="311F16CA" w14:textId="77777777" w:rsidR="00632208" w:rsidRPr="0098635C" w:rsidRDefault="00632208" w:rsidP="00A432B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10</w:t>
            </w:r>
          </w:p>
        </w:tc>
        <w:tc>
          <w:tcPr>
            <w:tcW w:w="709" w:type="dxa"/>
            <w:tcBorders>
              <w:top w:val="nil"/>
              <w:left w:val="nil"/>
              <w:bottom w:val="single" w:sz="8" w:space="0" w:color="auto"/>
              <w:right w:val="single" w:sz="8" w:space="0" w:color="auto"/>
            </w:tcBorders>
            <w:shd w:val="clear" w:color="auto" w:fill="auto"/>
            <w:hideMark/>
          </w:tcPr>
          <w:p w14:paraId="10BA1E20"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S</w:t>
            </w:r>
          </w:p>
        </w:tc>
        <w:tc>
          <w:tcPr>
            <w:tcW w:w="709" w:type="dxa"/>
            <w:tcBorders>
              <w:top w:val="nil"/>
              <w:left w:val="nil"/>
              <w:bottom w:val="single" w:sz="8" w:space="0" w:color="auto"/>
              <w:right w:val="single" w:sz="8" w:space="0" w:color="auto"/>
            </w:tcBorders>
            <w:shd w:val="clear" w:color="auto" w:fill="auto"/>
            <w:hideMark/>
          </w:tcPr>
          <w:p w14:paraId="4F2263D4"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w:t>
            </w:r>
          </w:p>
        </w:tc>
        <w:tc>
          <w:tcPr>
            <w:tcW w:w="3118" w:type="dxa"/>
            <w:tcBorders>
              <w:top w:val="nil"/>
              <w:left w:val="nil"/>
              <w:bottom w:val="single" w:sz="8" w:space="0" w:color="auto"/>
              <w:right w:val="single" w:sz="8" w:space="0" w:color="auto"/>
            </w:tcBorders>
            <w:shd w:val="clear" w:color="auto" w:fill="auto"/>
            <w:hideMark/>
          </w:tcPr>
          <w:p w14:paraId="755C8A50"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T: 25°C; pH: 7.00; H: 22 mg/L CaCO3; DOC: 3.20 mg/L </w:t>
            </w:r>
            <w:r w:rsidRPr="0098635C">
              <w:rPr>
                <w:color w:val="000000" w:themeColor="text1"/>
                <w:sz w:val="20"/>
                <w:szCs w:val="20"/>
                <w:vertAlign w:val="superscript"/>
                <w:lang w:eastAsia="en-GB"/>
              </w:rPr>
              <w:t>(3)</w:t>
            </w:r>
          </w:p>
        </w:tc>
        <w:tc>
          <w:tcPr>
            <w:tcW w:w="2127" w:type="dxa"/>
            <w:tcBorders>
              <w:top w:val="nil"/>
              <w:left w:val="nil"/>
              <w:bottom w:val="single" w:sz="8" w:space="0" w:color="auto"/>
              <w:right w:val="single" w:sz="8" w:space="0" w:color="auto"/>
            </w:tcBorders>
            <w:shd w:val="clear" w:color="auto" w:fill="auto"/>
            <w:hideMark/>
          </w:tcPr>
          <w:p w14:paraId="7A331825"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River</w:t>
            </w:r>
          </w:p>
        </w:tc>
        <w:tc>
          <w:tcPr>
            <w:tcW w:w="2409" w:type="dxa"/>
            <w:tcBorders>
              <w:top w:val="nil"/>
              <w:left w:val="nil"/>
              <w:bottom w:val="single" w:sz="8" w:space="0" w:color="auto"/>
              <w:right w:val="double" w:sz="6" w:space="0" w:color="auto"/>
            </w:tcBorders>
            <w:shd w:val="clear" w:color="auto" w:fill="auto"/>
            <w:hideMark/>
          </w:tcPr>
          <w:p w14:paraId="153231AA"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Jop et al., 1995 </w:t>
            </w:r>
          </w:p>
        </w:tc>
      </w:tr>
      <w:tr w:rsidR="00632208" w:rsidRPr="0098635C" w14:paraId="385A9BF8" w14:textId="77777777" w:rsidTr="00A432B0">
        <w:trPr>
          <w:trHeight w:val="239"/>
        </w:trPr>
        <w:tc>
          <w:tcPr>
            <w:tcW w:w="1701" w:type="dxa"/>
            <w:tcBorders>
              <w:top w:val="nil"/>
              <w:left w:val="double" w:sz="6" w:space="0" w:color="auto"/>
              <w:bottom w:val="single" w:sz="8" w:space="0" w:color="auto"/>
              <w:right w:val="single" w:sz="8" w:space="0" w:color="auto"/>
            </w:tcBorders>
            <w:shd w:val="clear" w:color="auto" w:fill="auto"/>
            <w:hideMark/>
          </w:tcPr>
          <w:p w14:paraId="65571489"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Ceriodaphnia dubia </w:t>
            </w:r>
          </w:p>
        </w:tc>
        <w:tc>
          <w:tcPr>
            <w:tcW w:w="1701" w:type="dxa"/>
            <w:tcBorders>
              <w:top w:val="nil"/>
              <w:left w:val="nil"/>
              <w:bottom w:val="single" w:sz="8" w:space="0" w:color="auto"/>
              <w:right w:val="single" w:sz="8" w:space="0" w:color="auto"/>
            </w:tcBorders>
            <w:shd w:val="clear" w:color="auto" w:fill="auto"/>
            <w:hideMark/>
          </w:tcPr>
          <w:p w14:paraId="58BBAF0C"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neonates (&lt; 24 h)</w:t>
            </w:r>
          </w:p>
        </w:tc>
        <w:tc>
          <w:tcPr>
            <w:tcW w:w="709" w:type="dxa"/>
            <w:tcBorders>
              <w:top w:val="nil"/>
              <w:left w:val="nil"/>
              <w:bottom w:val="single" w:sz="8" w:space="0" w:color="auto"/>
              <w:right w:val="single" w:sz="8" w:space="0" w:color="auto"/>
            </w:tcBorders>
            <w:shd w:val="clear" w:color="auto" w:fill="auto"/>
            <w:hideMark/>
          </w:tcPr>
          <w:p w14:paraId="3337530D"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7 d</w:t>
            </w:r>
          </w:p>
        </w:tc>
        <w:tc>
          <w:tcPr>
            <w:tcW w:w="1276" w:type="dxa"/>
            <w:tcBorders>
              <w:top w:val="nil"/>
              <w:left w:val="nil"/>
              <w:bottom w:val="single" w:sz="8" w:space="0" w:color="auto"/>
              <w:right w:val="single" w:sz="8" w:space="0" w:color="auto"/>
            </w:tcBorders>
            <w:shd w:val="clear" w:color="auto" w:fill="auto"/>
            <w:hideMark/>
          </w:tcPr>
          <w:p w14:paraId="6C79DE94"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reproduction</w:t>
            </w:r>
          </w:p>
        </w:tc>
        <w:tc>
          <w:tcPr>
            <w:tcW w:w="850" w:type="dxa"/>
            <w:tcBorders>
              <w:top w:val="nil"/>
              <w:left w:val="nil"/>
              <w:bottom w:val="single" w:sz="8" w:space="0" w:color="auto"/>
              <w:right w:val="single" w:sz="8" w:space="0" w:color="auto"/>
            </w:tcBorders>
            <w:shd w:val="clear" w:color="auto" w:fill="auto"/>
            <w:hideMark/>
          </w:tcPr>
          <w:p w14:paraId="1A5CD133" w14:textId="77777777" w:rsidR="00632208" w:rsidRPr="0098635C" w:rsidRDefault="00632208" w:rsidP="00A432B0">
            <w:pPr>
              <w:widowControl/>
              <w:autoSpaceDE/>
              <w:autoSpaceDN/>
              <w:adjustRightInd/>
              <w:spacing w:after="0"/>
              <w:jc w:val="center"/>
              <w:rPr>
                <w:b/>
                <w:bCs/>
                <w:color w:val="000000" w:themeColor="text1"/>
                <w:sz w:val="20"/>
                <w:szCs w:val="20"/>
                <w:lang w:eastAsia="en-GB"/>
              </w:rPr>
            </w:pPr>
            <w:r w:rsidRPr="0098635C">
              <w:rPr>
                <w:b/>
                <w:bCs/>
                <w:color w:val="000000" w:themeColor="text1"/>
                <w:sz w:val="20"/>
                <w:szCs w:val="20"/>
                <w:lang w:eastAsia="en-GB"/>
              </w:rPr>
              <w:t>31.6</w:t>
            </w:r>
          </w:p>
        </w:tc>
        <w:tc>
          <w:tcPr>
            <w:tcW w:w="709" w:type="dxa"/>
            <w:tcBorders>
              <w:top w:val="nil"/>
              <w:left w:val="nil"/>
              <w:bottom w:val="single" w:sz="8" w:space="0" w:color="auto"/>
              <w:right w:val="single" w:sz="8" w:space="0" w:color="auto"/>
            </w:tcBorders>
            <w:shd w:val="clear" w:color="auto" w:fill="auto"/>
            <w:hideMark/>
          </w:tcPr>
          <w:p w14:paraId="75D247B3"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S</w:t>
            </w:r>
          </w:p>
        </w:tc>
        <w:tc>
          <w:tcPr>
            <w:tcW w:w="709" w:type="dxa"/>
            <w:tcBorders>
              <w:top w:val="nil"/>
              <w:left w:val="nil"/>
              <w:bottom w:val="single" w:sz="8" w:space="0" w:color="auto"/>
              <w:right w:val="single" w:sz="8" w:space="0" w:color="auto"/>
            </w:tcBorders>
            <w:shd w:val="clear" w:color="auto" w:fill="auto"/>
            <w:hideMark/>
          </w:tcPr>
          <w:p w14:paraId="1F158462"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3.4</w:t>
            </w:r>
          </w:p>
        </w:tc>
        <w:tc>
          <w:tcPr>
            <w:tcW w:w="3118" w:type="dxa"/>
            <w:tcBorders>
              <w:top w:val="nil"/>
              <w:left w:val="nil"/>
              <w:bottom w:val="single" w:sz="8" w:space="0" w:color="auto"/>
              <w:right w:val="single" w:sz="8" w:space="0" w:color="auto"/>
            </w:tcBorders>
            <w:shd w:val="clear" w:color="auto" w:fill="auto"/>
            <w:hideMark/>
          </w:tcPr>
          <w:p w14:paraId="17845BE0"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T: 25°C; pH: 8.25; H: 100 mg/L CaCO3; DOC: 5.7 mg/L </w:t>
            </w:r>
            <w:r w:rsidRPr="0098635C">
              <w:rPr>
                <w:color w:val="000000" w:themeColor="text1"/>
                <w:sz w:val="20"/>
                <w:szCs w:val="20"/>
                <w:vertAlign w:val="superscript"/>
                <w:lang w:eastAsia="en-GB"/>
              </w:rPr>
              <w:t>(5)</w:t>
            </w:r>
          </w:p>
        </w:tc>
        <w:tc>
          <w:tcPr>
            <w:tcW w:w="2127" w:type="dxa"/>
            <w:tcBorders>
              <w:top w:val="nil"/>
              <w:left w:val="nil"/>
              <w:bottom w:val="single" w:sz="8" w:space="0" w:color="auto"/>
              <w:right w:val="single" w:sz="8" w:space="0" w:color="auto"/>
            </w:tcBorders>
            <w:shd w:val="clear" w:color="auto" w:fill="auto"/>
            <w:hideMark/>
          </w:tcPr>
          <w:p w14:paraId="4BC563A9"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River (Lester River)</w:t>
            </w:r>
          </w:p>
        </w:tc>
        <w:tc>
          <w:tcPr>
            <w:tcW w:w="2409" w:type="dxa"/>
            <w:tcBorders>
              <w:top w:val="nil"/>
              <w:left w:val="nil"/>
              <w:bottom w:val="single" w:sz="8" w:space="0" w:color="auto"/>
              <w:right w:val="double" w:sz="6" w:space="0" w:color="auto"/>
            </w:tcBorders>
            <w:shd w:val="clear" w:color="auto" w:fill="auto"/>
            <w:hideMark/>
          </w:tcPr>
          <w:p w14:paraId="6E8D2894"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Spehar &amp; Fiandt, 1985 </w:t>
            </w:r>
          </w:p>
        </w:tc>
      </w:tr>
      <w:tr w:rsidR="00632208" w:rsidRPr="0098635C" w14:paraId="2AD50F41" w14:textId="77777777" w:rsidTr="00A432B0">
        <w:trPr>
          <w:trHeight w:val="231"/>
        </w:trPr>
        <w:tc>
          <w:tcPr>
            <w:tcW w:w="1701" w:type="dxa"/>
            <w:tcBorders>
              <w:top w:val="nil"/>
              <w:left w:val="double" w:sz="6" w:space="0" w:color="auto"/>
              <w:bottom w:val="single" w:sz="8" w:space="0" w:color="auto"/>
              <w:right w:val="single" w:sz="8" w:space="0" w:color="auto"/>
            </w:tcBorders>
            <w:shd w:val="clear" w:color="auto" w:fill="auto"/>
            <w:hideMark/>
          </w:tcPr>
          <w:p w14:paraId="071E49A5"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lastRenderedPageBreak/>
              <w:t xml:space="preserve">Daphnia magna </w:t>
            </w:r>
          </w:p>
        </w:tc>
        <w:tc>
          <w:tcPr>
            <w:tcW w:w="1701" w:type="dxa"/>
            <w:tcBorders>
              <w:top w:val="nil"/>
              <w:left w:val="nil"/>
              <w:bottom w:val="single" w:sz="8" w:space="0" w:color="auto"/>
              <w:right w:val="single" w:sz="8" w:space="0" w:color="auto"/>
            </w:tcBorders>
            <w:shd w:val="clear" w:color="auto" w:fill="auto"/>
            <w:hideMark/>
          </w:tcPr>
          <w:p w14:paraId="2FFBFC89"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neonates</w:t>
            </w:r>
          </w:p>
        </w:tc>
        <w:tc>
          <w:tcPr>
            <w:tcW w:w="709" w:type="dxa"/>
            <w:tcBorders>
              <w:top w:val="nil"/>
              <w:left w:val="nil"/>
              <w:bottom w:val="single" w:sz="8" w:space="0" w:color="auto"/>
              <w:right w:val="single" w:sz="8" w:space="0" w:color="auto"/>
            </w:tcBorders>
            <w:shd w:val="clear" w:color="auto" w:fill="auto"/>
            <w:hideMark/>
          </w:tcPr>
          <w:p w14:paraId="7113D315"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21 d</w:t>
            </w:r>
          </w:p>
        </w:tc>
        <w:tc>
          <w:tcPr>
            <w:tcW w:w="1276" w:type="dxa"/>
            <w:tcBorders>
              <w:top w:val="nil"/>
              <w:left w:val="nil"/>
              <w:bottom w:val="single" w:sz="8" w:space="0" w:color="auto"/>
              <w:right w:val="single" w:sz="8" w:space="0" w:color="auto"/>
            </w:tcBorders>
            <w:shd w:val="clear" w:color="auto" w:fill="auto"/>
            <w:hideMark/>
          </w:tcPr>
          <w:p w14:paraId="2095B921"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growth</w:t>
            </w:r>
          </w:p>
        </w:tc>
        <w:tc>
          <w:tcPr>
            <w:tcW w:w="850" w:type="dxa"/>
            <w:tcBorders>
              <w:top w:val="nil"/>
              <w:left w:val="nil"/>
              <w:bottom w:val="single" w:sz="8" w:space="0" w:color="auto"/>
              <w:right w:val="single" w:sz="8" w:space="0" w:color="auto"/>
            </w:tcBorders>
            <w:shd w:val="clear" w:color="auto" w:fill="auto"/>
            <w:hideMark/>
          </w:tcPr>
          <w:p w14:paraId="2AEBDB11"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12.6</w:t>
            </w:r>
          </w:p>
        </w:tc>
        <w:tc>
          <w:tcPr>
            <w:tcW w:w="709" w:type="dxa"/>
            <w:tcBorders>
              <w:top w:val="nil"/>
              <w:left w:val="nil"/>
              <w:bottom w:val="single" w:sz="8" w:space="0" w:color="auto"/>
              <w:right w:val="single" w:sz="8" w:space="0" w:color="auto"/>
            </w:tcBorders>
            <w:shd w:val="clear" w:color="auto" w:fill="auto"/>
            <w:hideMark/>
          </w:tcPr>
          <w:p w14:paraId="353FD7DE"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w:t>
            </w:r>
          </w:p>
        </w:tc>
        <w:tc>
          <w:tcPr>
            <w:tcW w:w="709" w:type="dxa"/>
            <w:tcBorders>
              <w:top w:val="nil"/>
              <w:left w:val="nil"/>
              <w:bottom w:val="single" w:sz="8" w:space="0" w:color="auto"/>
              <w:right w:val="single" w:sz="8" w:space="0" w:color="auto"/>
            </w:tcBorders>
            <w:shd w:val="clear" w:color="auto" w:fill="auto"/>
            <w:hideMark/>
          </w:tcPr>
          <w:p w14:paraId="6D493E6E"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2.6</w:t>
            </w:r>
          </w:p>
        </w:tc>
        <w:tc>
          <w:tcPr>
            <w:tcW w:w="3118" w:type="dxa"/>
            <w:tcBorders>
              <w:top w:val="nil"/>
              <w:left w:val="nil"/>
              <w:bottom w:val="single" w:sz="8" w:space="0" w:color="auto"/>
              <w:right w:val="single" w:sz="8" w:space="0" w:color="auto"/>
            </w:tcBorders>
            <w:shd w:val="clear" w:color="auto" w:fill="auto"/>
            <w:hideMark/>
          </w:tcPr>
          <w:p w14:paraId="2DECF98C"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T: 20°C; pH: 8.1; H: 225 mg/L CaCO3; DOC: 2.0 mg/L </w:t>
            </w:r>
            <w:r w:rsidRPr="0098635C">
              <w:rPr>
                <w:color w:val="000000" w:themeColor="text1"/>
                <w:sz w:val="20"/>
                <w:szCs w:val="20"/>
                <w:vertAlign w:val="superscript"/>
                <w:lang w:eastAsia="en-GB"/>
              </w:rPr>
              <w:t>(3)</w:t>
            </w:r>
          </w:p>
        </w:tc>
        <w:tc>
          <w:tcPr>
            <w:tcW w:w="2127" w:type="dxa"/>
            <w:tcBorders>
              <w:top w:val="nil"/>
              <w:left w:val="nil"/>
              <w:bottom w:val="single" w:sz="8" w:space="0" w:color="auto"/>
              <w:right w:val="single" w:sz="8" w:space="0" w:color="auto"/>
            </w:tcBorders>
            <w:shd w:val="clear" w:color="auto" w:fill="auto"/>
            <w:hideMark/>
          </w:tcPr>
          <w:p w14:paraId="772E45CD"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Lake (Lake Ijssel)</w:t>
            </w:r>
          </w:p>
        </w:tc>
        <w:tc>
          <w:tcPr>
            <w:tcW w:w="2409" w:type="dxa"/>
            <w:tcBorders>
              <w:top w:val="nil"/>
              <w:left w:val="nil"/>
              <w:bottom w:val="single" w:sz="8" w:space="0" w:color="auto"/>
              <w:right w:val="double" w:sz="6" w:space="0" w:color="auto"/>
            </w:tcBorders>
            <w:shd w:val="clear" w:color="auto" w:fill="auto"/>
            <w:hideMark/>
          </w:tcPr>
          <w:p w14:paraId="4538B06D"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Van Leeuwen et al., 1988 </w:t>
            </w:r>
          </w:p>
        </w:tc>
      </w:tr>
      <w:tr w:rsidR="00632208" w:rsidRPr="0098635C" w14:paraId="3EDA7BE6" w14:textId="77777777" w:rsidTr="00A432B0">
        <w:trPr>
          <w:trHeight w:val="209"/>
        </w:trPr>
        <w:tc>
          <w:tcPr>
            <w:tcW w:w="1701" w:type="dxa"/>
            <w:tcBorders>
              <w:top w:val="nil"/>
              <w:left w:val="double" w:sz="6" w:space="0" w:color="auto"/>
              <w:bottom w:val="single" w:sz="8" w:space="0" w:color="auto"/>
              <w:right w:val="single" w:sz="8" w:space="0" w:color="auto"/>
            </w:tcBorders>
            <w:shd w:val="clear" w:color="auto" w:fill="auto"/>
            <w:hideMark/>
          </w:tcPr>
          <w:p w14:paraId="4AB6F94B"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Daphnia magna </w:t>
            </w:r>
          </w:p>
        </w:tc>
        <w:tc>
          <w:tcPr>
            <w:tcW w:w="1701" w:type="dxa"/>
            <w:tcBorders>
              <w:top w:val="nil"/>
              <w:left w:val="nil"/>
              <w:bottom w:val="single" w:sz="8" w:space="0" w:color="auto"/>
              <w:right w:val="single" w:sz="8" w:space="0" w:color="auto"/>
            </w:tcBorders>
            <w:shd w:val="clear" w:color="auto" w:fill="auto"/>
            <w:hideMark/>
          </w:tcPr>
          <w:p w14:paraId="6886936D"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neonates</w:t>
            </w:r>
          </w:p>
        </w:tc>
        <w:tc>
          <w:tcPr>
            <w:tcW w:w="709" w:type="dxa"/>
            <w:tcBorders>
              <w:top w:val="nil"/>
              <w:left w:val="nil"/>
              <w:bottom w:val="single" w:sz="8" w:space="0" w:color="auto"/>
              <w:right w:val="single" w:sz="8" w:space="0" w:color="auto"/>
            </w:tcBorders>
            <w:shd w:val="clear" w:color="auto" w:fill="auto"/>
            <w:hideMark/>
          </w:tcPr>
          <w:p w14:paraId="0DD2ACFE"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21 d</w:t>
            </w:r>
          </w:p>
        </w:tc>
        <w:tc>
          <w:tcPr>
            <w:tcW w:w="1276" w:type="dxa"/>
            <w:tcBorders>
              <w:top w:val="nil"/>
              <w:left w:val="nil"/>
              <w:bottom w:val="single" w:sz="8" w:space="0" w:color="auto"/>
              <w:right w:val="single" w:sz="8" w:space="0" w:color="auto"/>
            </w:tcBorders>
            <w:shd w:val="clear" w:color="auto" w:fill="auto"/>
            <w:hideMark/>
          </w:tcPr>
          <w:p w14:paraId="6643516E"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Survival, population growth</w:t>
            </w:r>
          </w:p>
        </w:tc>
        <w:tc>
          <w:tcPr>
            <w:tcW w:w="850" w:type="dxa"/>
            <w:tcBorders>
              <w:top w:val="nil"/>
              <w:left w:val="nil"/>
              <w:bottom w:val="single" w:sz="8" w:space="0" w:color="auto"/>
              <w:right w:val="single" w:sz="8" w:space="0" w:color="auto"/>
            </w:tcBorders>
            <w:shd w:val="clear" w:color="auto" w:fill="auto"/>
            <w:hideMark/>
          </w:tcPr>
          <w:p w14:paraId="3F97DBE7"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36.8</w:t>
            </w:r>
          </w:p>
        </w:tc>
        <w:tc>
          <w:tcPr>
            <w:tcW w:w="709" w:type="dxa"/>
            <w:tcBorders>
              <w:top w:val="nil"/>
              <w:left w:val="nil"/>
              <w:bottom w:val="single" w:sz="8" w:space="0" w:color="auto"/>
              <w:right w:val="single" w:sz="8" w:space="0" w:color="auto"/>
            </w:tcBorders>
            <w:shd w:val="clear" w:color="auto" w:fill="auto"/>
            <w:hideMark/>
          </w:tcPr>
          <w:p w14:paraId="3FDBF8D2"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FT</w:t>
            </w:r>
          </w:p>
        </w:tc>
        <w:tc>
          <w:tcPr>
            <w:tcW w:w="709" w:type="dxa"/>
            <w:tcBorders>
              <w:top w:val="nil"/>
              <w:left w:val="nil"/>
              <w:bottom w:val="single" w:sz="8" w:space="0" w:color="auto"/>
              <w:right w:val="single" w:sz="8" w:space="0" w:color="auto"/>
            </w:tcBorders>
            <w:shd w:val="clear" w:color="auto" w:fill="auto"/>
            <w:hideMark/>
          </w:tcPr>
          <w:p w14:paraId="74E56A33"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2.6</w:t>
            </w:r>
          </w:p>
        </w:tc>
        <w:tc>
          <w:tcPr>
            <w:tcW w:w="3118" w:type="dxa"/>
            <w:tcBorders>
              <w:top w:val="nil"/>
              <w:left w:val="nil"/>
              <w:bottom w:val="single" w:sz="8" w:space="0" w:color="auto"/>
              <w:right w:val="single" w:sz="8" w:space="0" w:color="auto"/>
            </w:tcBorders>
            <w:shd w:val="clear" w:color="auto" w:fill="auto"/>
            <w:hideMark/>
          </w:tcPr>
          <w:p w14:paraId="20282588"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20°C; pH: 8.1; H: 225 mg/L CaCO3; DOC: 2.0 mg/L (3)</w:t>
            </w:r>
          </w:p>
        </w:tc>
        <w:tc>
          <w:tcPr>
            <w:tcW w:w="2127" w:type="dxa"/>
            <w:tcBorders>
              <w:top w:val="nil"/>
              <w:left w:val="nil"/>
              <w:bottom w:val="single" w:sz="8" w:space="0" w:color="auto"/>
              <w:right w:val="single" w:sz="8" w:space="0" w:color="auto"/>
            </w:tcBorders>
            <w:shd w:val="clear" w:color="auto" w:fill="auto"/>
            <w:hideMark/>
          </w:tcPr>
          <w:p w14:paraId="3F34A7C0"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Lake (Lake Ijssel)</w:t>
            </w:r>
          </w:p>
        </w:tc>
        <w:tc>
          <w:tcPr>
            <w:tcW w:w="2409" w:type="dxa"/>
            <w:tcBorders>
              <w:top w:val="nil"/>
              <w:left w:val="nil"/>
              <w:bottom w:val="single" w:sz="8" w:space="0" w:color="auto"/>
              <w:right w:val="double" w:sz="6" w:space="0" w:color="auto"/>
            </w:tcBorders>
            <w:shd w:val="clear" w:color="auto" w:fill="auto"/>
            <w:hideMark/>
          </w:tcPr>
          <w:p w14:paraId="62144651"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Van Leeuwen et al., 1988 </w:t>
            </w:r>
          </w:p>
        </w:tc>
      </w:tr>
      <w:tr w:rsidR="00632208" w:rsidRPr="0098635C" w14:paraId="00A6045A" w14:textId="77777777" w:rsidTr="00A432B0">
        <w:trPr>
          <w:trHeight w:val="64"/>
        </w:trPr>
        <w:tc>
          <w:tcPr>
            <w:tcW w:w="1701" w:type="dxa"/>
            <w:tcBorders>
              <w:top w:val="nil"/>
              <w:left w:val="double" w:sz="6" w:space="0" w:color="auto"/>
              <w:bottom w:val="single" w:sz="8" w:space="0" w:color="auto"/>
              <w:right w:val="single" w:sz="8" w:space="0" w:color="auto"/>
            </w:tcBorders>
            <w:shd w:val="clear" w:color="auto" w:fill="auto"/>
            <w:hideMark/>
          </w:tcPr>
          <w:p w14:paraId="5ED004AA"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Daphnia magna </w:t>
            </w:r>
          </w:p>
        </w:tc>
        <w:tc>
          <w:tcPr>
            <w:tcW w:w="1701" w:type="dxa"/>
            <w:tcBorders>
              <w:top w:val="nil"/>
              <w:left w:val="nil"/>
              <w:bottom w:val="single" w:sz="8" w:space="0" w:color="auto"/>
              <w:right w:val="single" w:sz="8" w:space="0" w:color="auto"/>
            </w:tcBorders>
            <w:shd w:val="clear" w:color="auto" w:fill="auto"/>
            <w:hideMark/>
          </w:tcPr>
          <w:p w14:paraId="6D4FCCFD"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neonates</w:t>
            </w:r>
          </w:p>
        </w:tc>
        <w:tc>
          <w:tcPr>
            <w:tcW w:w="709" w:type="dxa"/>
            <w:tcBorders>
              <w:top w:val="nil"/>
              <w:left w:val="nil"/>
              <w:bottom w:val="single" w:sz="8" w:space="0" w:color="auto"/>
              <w:right w:val="single" w:sz="8" w:space="0" w:color="auto"/>
            </w:tcBorders>
            <w:shd w:val="clear" w:color="auto" w:fill="auto"/>
            <w:hideMark/>
          </w:tcPr>
          <w:p w14:paraId="297800F2"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21 d</w:t>
            </w:r>
          </w:p>
        </w:tc>
        <w:tc>
          <w:tcPr>
            <w:tcW w:w="1276" w:type="dxa"/>
            <w:tcBorders>
              <w:top w:val="nil"/>
              <w:left w:val="nil"/>
              <w:bottom w:val="single" w:sz="8" w:space="0" w:color="auto"/>
              <w:right w:val="single" w:sz="8" w:space="0" w:color="auto"/>
            </w:tcBorders>
            <w:shd w:val="clear" w:color="auto" w:fill="auto"/>
            <w:hideMark/>
          </w:tcPr>
          <w:p w14:paraId="7BC90147"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reproduction</w:t>
            </w:r>
          </w:p>
        </w:tc>
        <w:tc>
          <w:tcPr>
            <w:tcW w:w="850" w:type="dxa"/>
            <w:tcBorders>
              <w:top w:val="nil"/>
              <w:left w:val="nil"/>
              <w:bottom w:val="single" w:sz="8" w:space="0" w:color="auto"/>
              <w:right w:val="single" w:sz="8" w:space="0" w:color="auto"/>
            </w:tcBorders>
            <w:shd w:val="clear" w:color="auto" w:fill="auto"/>
            <w:hideMark/>
          </w:tcPr>
          <w:p w14:paraId="6942F7ED"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28</w:t>
            </w:r>
          </w:p>
        </w:tc>
        <w:tc>
          <w:tcPr>
            <w:tcW w:w="709" w:type="dxa"/>
            <w:tcBorders>
              <w:top w:val="nil"/>
              <w:left w:val="nil"/>
              <w:bottom w:val="single" w:sz="8" w:space="0" w:color="auto"/>
              <w:right w:val="single" w:sz="8" w:space="0" w:color="auto"/>
            </w:tcBorders>
            <w:shd w:val="clear" w:color="auto" w:fill="auto"/>
            <w:hideMark/>
          </w:tcPr>
          <w:p w14:paraId="492E381B"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w:t>
            </w:r>
          </w:p>
        </w:tc>
        <w:tc>
          <w:tcPr>
            <w:tcW w:w="709" w:type="dxa"/>
            <w:tcBorders>
              <w:top w:val="nil"/>
              <w:left w:val="nil"/>
              <w:bottom w:val="single" w:sz="8" w:space="0" w:color="auto"/>
              <w:right w:val="single" w:sz="8" w:space="0" w:color="auto"/>
            </w:tcBorders>
            <w:shd w:val="clear" w:color="auto" w:fill="auto"/>
            <w:hideMark/>
          </w:tcPr>
          <w:p w14:paraId="0D2B4B10"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0.5*</w:t>
            </w:r>
          </w:p>
        </w:tc>
        <w:tc>
          <w:tcPr>
            <w:tcW w:w="3118" w:type="dxa"/>
            <w:tcBorders>
              <w:top w:val="nil"/>
              <w:left w:val="nil"/>
              <w:bottom w:val="single" w:sz="8" w:space="0" w:color="auto"/>
              <w:right w:val="single" w:sz="8" w:space="0" w:color="auto"/>
            </w:tcBorders>
            <w:shd w:val="clear" w:color="auto" w:fill="auto"/>
            <w:hideMark/>
          </w:tcPr>
          <w:p w14:paraId="50EB63D4"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20°C; pH: 6.31; H: 10 mg/L CaCO3; DOC: 2.72 mg/L</w:t>
            </w:r>
          </w:p>
        </w:tc>
        <w:tc>
          <w:tcPr>
            <w:tcW w:w="2127" w:type="dxa"/>
            <w:tcBorders>
              <w:top w:val="nil"/>
              <w:left w:val="nil"/>
              <w:bottom w:val="single" w:sz="8" w:space="0" w:color="auto"/>
              <w:right w:val="single" w:sz="8" w:space="0" w:color="auto"/>
            </w:tcBorders>
            <w:shd w:val="clear" w:color="auto" w:fill="auto"/>
            <w:hideMark/>
          </w:tcPr>
          <w:p w14:paraId="71618CA3"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Lake </w:t>
            </w:r>
          </w:p>
        </w:tc>
        <w:tc>
          <w:tcPr>
            <w:tcW w:w="2409" w:type="dxa"/>
            <w:tcBorders>
              <w:top w:val="nil"/>
              <w:left w:val="nil"/>
              <w:bottom w:val="single" w:sz="8" w:space="0" w:color="auto"/>
              <w:right w:val="double" w:sz="6" w:space="0" w:color="auto"/>
            </w:tcBorders>
            <w:shd w:val="clear" w:color="auto" w:fill="auto"/>
            <w:hideMark/>
          </w:tcPr>
          <w:p w14:paraId="465D3423"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Heijerick et al., 2002 </w:t>
            </w:r>
          </w:p>
        </w:tc>
      </w:tr>
      <w:tr w:rsidR="00632208" w:rsidRPr="0098635C" w14:paraId="35B879BD" w14:textId="77777777" w:rsidTr="00A432B0">
        <w:trPr>
          <w:trHeight w:val="122"/>
        </w:trPr>
        <w:tc>
          <w:tcPr>
            <w:tcW w:w="1701" w:type="dxa"/>
            <w:tcBorders>
              <w:top w:val="nil"/>
              <w:left w:val="double" w:sz="6" w:space="0" w:color="auto"/>
              <w:bottom w:val="single" w:sz="8" w:space="0" w:color="auto"/>
              <w:right w:val="single" w:sz="8" w:space="0" w:color="auto"/>
            </w:tcBorders>
            <w:shd w:val="clear" w:color="auto" w:fill="auto"/>
            <w:hideMark/>
          </w:tcPr>
          <w:p w14:paraId="7C0197CE"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Daphnia magna </w:t>
            </w:r>
          </w:p>
        </w:tc>
        <w:tc>
          <w:tcPr>
            <w:tcW w:w="1701" w:type="dxa"/>
            <w:tcBorders>
              <w:top w:val="nil"/>
              <w:left w:val="nil"/>
              <w:bottom w:val="single" w:sz="8" w:space="0" w:color="auto"/>
              <w:right w:val="single" w:sz="8" w:space="0" w:color="auto"/>
            </w:tcBorders>
            <w:shd w:val="clear" w:color="auto" w:fill="auto"/>
            <w:hideMark/>
          </w:tcPr>
          <w:p w14:paraId="6429B2FF"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neonates</w:t>
            </w:r>
          </w:p>
        </w:tc>
        <w:tc>
          <w:tcPr>
            <w:tcW w:w="709" w:type="dxa"/>
            <w:tcBorders>
              <w:top w:val="nil"/>
              <w:left w:val="nil"/>
              <w:bottom w:val="single" w:sz="8" w:space="0" w:color="auto"/>
              <w:right w:val="single" w:sz="8" w:space="0" w:color="auto"/>
            </w:tcBorders>
            <w:shd w:val="clear" w:color="auto" w:fill="auto"/>
            <w:hideMark/>
          </w:tcPr>
          <w:p w14:paraId="2EC4BB14"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21 d</w:t>
            </w:r>
          </w:p>
        </w:tc>
        <w:tc>
          <w:tcPr>
            <w:tcW w:w="1276" w:type="dxa"/>
            <w:tcBorders>
              <w:top w:val="nil"/>
              <w:left w:val="nil"/>
              <w:bottom w:val="single" w:sz="8" w:space="0" w:color="auto"/>
              <w:right w:val="single" w:sz="8" w:space="0" w:color="auto"/>
            </w:tcBorders>
            <w:shd w:val="clear" w:color="auto" w:fill="auto"/>
            <w:hideMark/>
          </w:tcPr>
          <w:p w14:paraId="4C49AAF5"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reproduction</w:t>
            </w:r>
          </w:p>
        </w:tc>
        <w:tc>
          <w:tcPr>
            <w:tcW w:w="850" w:type="dxa"/>
            <w:tcBorders>
              <w:top w:val="nil"/>
              <w:left w:val="nil"/>
              <w:bottom w:val="single" w:sz="8" w:space="0" w:color="auto"/>
              <w:right w:val="single" w:sz="8" w:space="0" w:color="auto"/>
            </w:tcBorders>
            <w:shd w:val="clear" w:color="auto" w:fill="auto"/>
            <w:hideMark/>
          </w:tcPr>
          <w:p w14:paraId="413057CA"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21.5</w:t>
            </w:r>
          </w:p>
        </w:tc>
        <w:tc>
          <w:tcPr>
            <w:tcW w:w="709" w:type="dxa"/>
            <w:tcBorders>
              <w:top w:val="nil"/>
              <w:left w:val="nil"/>
              <w:bottom w:val="single" w:sz="8" w:space="0" w:color="auto"/>
              <w:right w:val="single" w:sz="8" w:space="0" w:color="auto"/>
            </w:tcBorders>
            <w:shd w:val="clear" w:color="auto" w:fill="auto"/>
            <w:hideMark/>
          </w:tcPr>
          <w:p w14:paraId="76A4B19A"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w:t>
            </w:r>
          </w:p>
        </w:tc>
        <w:tc>
          <w:tcPr>
            <w:tcW w:w="709" w:type="dxa"/>
            <w:tcBorders>
              <w:top w:val="nil"/>
              <w:left w:val="nil"/>
              <w:bottom w:val="single" w:sz="8" w:space="0" w:color="auto"/>
              <w:right w:val="single" w:sz="8" w:space="0" w:color="auto"/>
            </w:tcBorders>
            <w:shd w:val="clear" w:color="auto" w:fill="auto"/>
            <w:hideMark/>
          </w:tcPr>
          <w:p w14:paraId="273E5D41"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0.5*</w:t>
            </w:r>
          </w:p>
        </w:tc>
        <w:tc>
          <w:tcPr>
            <w:tcW w:w="3118" w:type="dxa"/>
            <w:tcBorders>
              <w:top w:val="nil"/>
              <w:left w:val="nil"/>
              <w:bottom w:val="single" w:sz="8" w:space="0" w:color="auto"/>
              <w:right w:val="single" w:sz="8" w:space="0" w:color="auto"/>
            </w:tcBorders>
            <w:shd w:val="clear" w:color="auto" w:fill="auto"/>
            <w:hideMark/>
          </w:tcPr>
          <w:p w14:paraId="1E8C4747"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20°C; pH: 6.1; H: 12.4 mg/L CaCO3; DOC: 2.34 mg/L</w:t>
            </w:r>
          </w:p>
        </w:tc>
        <w:tc>
          <w:tcPr>
            <w:tcW w:w="2127" w:type="dxa"/>
            <w:tcBorders>
              <w:top w:val="nil"/>
              <w:left w:val="nil"/>
              <w:bottom w:val="single" w:sz="8" w:space="0" w:color="auto"/>
              <w:right w:val="single" w:sz="8" w:space="0" w:color="auto"/>
            </w:tcBorders>
            <w:shd w:val="clear" w:color="auto" w:fill="auto"/>
            <w:hideMark/>
          </w:tcPr>
          <w:p w14:paraId="06973F45"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Lake </w:t>
            </w:r>
          </w:p>
        </w:tc>
        <w:tc>
          <w:tcPr>
            <w:tcW w:w="2409" w:type="dxa"/>
            <w:tcBorders>
              <w:top w:val="nil"/>
              <w:left w:val="nil"/>
              <w:bottom w:val="single" w:sz="8" w:space="0" w:color="auto"/>
              <w:right w:val="double" w:sz="6" w:space="0" w:color="auto"/>
            </w:tcBorders>
            <w:shd w:val="clear" w:color="auto" w:fill="auto"/>
            <w:hideMark/>
          </w:tcPr>
          <w:p w14:paraId="7362F0B0"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Heijerick et al., 2002 </w:t>
            </w:r>
          </w:p>
        </w:tc>
      </w:tr>
      <w:tr w:rsidR="00632208" w:rsidRPr="0098635C" w14:paraId="6375B3EC" w14:textId="77777777" w:rsidTr="00A432B0">
        <w:trPr>
          <w:trHeight w:val="412"/>
        </w:trPr>
        <w:tc>
          <w:tcPr>
            <w:tcW w:w="1701" w:type="dxa"/>
            <w:tcBorders>
              <w:top w:val="nil"/>
              <w:left w:val="double" w:sz="6" w:space="0" w:color="auto"/>
              <w:bottom w:val="single" w:sz="8" w:space="0" w:color="auto"/>
              <w:right w:val="single" w:sz="8" w:space="0" w:color="auto"/>
            </w:tcBorders>
            <w:shd w:val="clear" w:color="auto" w:fill="auto"/>
            <w:hideMark/>
          </w:tcPr>
          <w:p w14:paraId="01230D6C"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Daphnia magna </w:t>
            </w:r>
          </w:p>
        </w:tc>
        <w:tc>
          <w:tcPr>
            <w:tcW w:w="1701" w:type="dxa"/>
            <w:tcBorders>
              <w:top w:val="nil"/>
              <w:left w:val="nil"/>
              <w:bottom w:val="single" w:sz="8" w:space="0" w:color="auto"/>
              <w:right w:val="single" w:sz="8" w:space="0" w:color="auto"/>
            </w:tcBorders>
            <w:shd w:val="clear" w:color="auto" w:fill="auto"/>
            <w:hideMark/>
          </w:tcPr>
          <w:p w14:paraId="38C69FD5"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neonates</w:t>
            </w:r>
          </w:p>
        </w:tc>
        <w:tc>
          <w:tcPr>
            <w:tcW w:w="709" w:type="dxa"/>
            <w:tcBorders>
              <w:top w:val="nil"/>
              <w:left w:val="nil"/>
              <w:bottom w:val="single" w:sz="8" w:space="0" w:color="auto"/>
              <w:right w:val="single" w:sz="8" w:space="0" w:color="auto"/>
            </w:tcBorders>
            <w:shd w:val="clear" w:color="auto" w:fill="auto"/>
            <w:hideMark/>
          </w:tcPr>
          <w:p w14:paraId="36EE7FAE"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21 d</w:t>
            </w:r>
          </w:p>
        </w:tc>
        <w:tc>
          <w:tcPr>
            <w:tcW w:w="1276" w:type="dxa"/>
            <w:tcBorders>
              <w:top w:val="nil"/>
              <w:left w:val="nil"/>
              <w:bottom w:val="single" w:sz="8" w:space="0" w:color="auto"/>
              <w:right w:val="single" w:sz="8" w:space="0" w:color="auto"/>
            </w:tcBorders>
            <w:shd w:val="clear" w:color="auto" w:fill="auto"/>
            <w:hideMark/>
          </w:tcPr>
          <w:p w14:paraId="76A4F838"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reproduction</w:t>
            </w:r>
          </w:p>
        </w:tc>
        <w:tc>
          <w:tcPr>
            <w:tcW w:w="850" w:type="dxa"/>
            <w:tcBorders>
              <w:top w:val="nil"/>
              <w:left w:val="nil"/>
              <w:bottom w:val="single" w:sz="8" w:space="0" w:color="auto"/>
              <w:right w:val="single" w:sz="8" w:space="0" w:color="auto"/>
            </w:tcBorders>
            <w:shd w:val="clear" w:color="auto" w:fill="auto"/>
            <w:hideMark/>
          </w:tcPr>
          <w:p w14:paraId="31D37D85"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71.4</w:t>
            </w:r>
          </w:p>
        </w:tc>
        <w:tc>
          <w:tcPr>
            <w:tcW w:w="709" w:type="dxa"/>
            <w:tcBorders>
              <w:top w:val="nil"/>
              <w:left w:val="nil"/>
              <w:bottom w:val="single" w:sz="8" w:space="0" w:color="auto"/>
              <w:right w:val="single" w:sz="8" w:space="0" w:color="auto"/>
            </w:tcBorders>
            <w:shd w:val="clear" w:color="auto" w:fill="auto"/>
            <w:hideMark/>
          </w:tcPr>
          <w:p w14:paraId="198336DA"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w:t>
            </w:r>
          </w:p>
        </w:tc>
        <w:tc>
          <w:tcPr>
            <w:tcW w:w="709" w:type="dxa"/>
            <w:tcBorders>
              <w:top w:val="nil"/>
              <w:left w:val="nil"/>
              <w:bottom w:val="single" w:sz="8" w:space="0" w:color="auto"/>
              <w:right w:val="single" w:sz="8" w:space="0" w:color="auto"/>
            </w:tcBorders>
            <w:shd w:val="clear" w:color="auto" w:fill="auto"/>
            <w:hideMark/>
          </w:tcPr>
          <w:p w14:paraId="59DC1360"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0.5*</w:t>
            </w:r>
          </w:p>
        </w:tc>
        <w:tc>
          <w:tcPr>
            <w:tcW w:w="3118" w:type="dxa"/>
            <w:tcBorders>
              <w:top w:val="nil"/>
              <w:left w:val="nil"/>
              <w:bottom w:val="single" w:sz="8" w:space="0" w:color="auto"/>
              <w:right w:val="single" w:sz="8" w:space="0" w:color="auto"/>
            </w:tcBorders>
            <w:shd w:val="clear" w:color="auto" w:fill="auto"/>
            <w:hideMark/>
          </w:tcPr>
          <w:p w14:paraId="6AE01CF8"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20°C; pH: 8.3; H: 238 mg/L CaCO3; DOC: 8.24 mg/L</w:t>
            </w:r>
          </w:p>
        </w:tc>
        <w:tc>
          <w:tcPr>
            <w:tcW w:w="2127" w:type="dxa"/>
            <w:tcBorders>
              <w:top w:val="nil"/>
              <w:left w:val="nil"/>
              <w:bottom w:val="single" w:sz="8" w:space="0" w:color="auto"/>
              <w:right w:val="single" w:sz="8" w:space="0" w:color="auto"/>
            </w:tcBorders>
            <w:shd w:val="clear" w:color="auto" w:fill="auto"/>
            <w:hideMark/>
          </w:tcPr>
          <w:p w14:paraId="32C440CB"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Lake </w:t>
            </w:r>
          </w:p>
        </w:tc>
        <w:tc>
          <w:tcPr>
            <w:tcW w:w="2409" w:type="dxa"/>
            <w:tcBorders>
              <w:top w:val="nil"/>
              <w:left w:val="nil"/>
              <w:bottom w:val="single" w:sz="8" w:space="0" w:color="auto"/>
              <w:right w:val="double" w:sz="6" w:space="0" w:color="auto"/>
            </w:tcBorders>
            <w:shd w:val="clear" w:color="auto" w:fill="auto"/>
            <w:hideMark/>
          </w:tcPr>
          <w:p w14:paraId="2DF67866"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Heijerick et al., 2002 </w:t>
            </w:r>
          </w:p>
        </w:tc>
      </w:tr>
      <w:tr w:rsidR="00632208" w:rsidRPr="0098635C" w14:paraId="356BBAF1" w14:textId="77777777" w:rsidTr="00A432B0">
        <w:trPr>
          <w:trHeight w:val="120"/>
        </w:trPr>
        <w:tc>
          <w:tcPr>
            <w:tcW w:w="1701" w:type="dxa"/>
            <w:tcBorders>
              <w:top w:val="nil"/>
              <w:left w:val="double" w:sz="6" w:space="0" w:color="auto"/>
              <w:bottom w:val="single" w:sz="8" w:space="0" w:color="auto"/>
              <w:right w:val="single" w:sz="8" w:space="0" w:color="auto"/>
            </w:tcBorders>
            <w:shd w:val="clear" w:color="auto" w:fill="auto"/>
            <w:hideMark/>
          </w:tcPr>
          <w:p w14:paraId="358460E4"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Daphnia magna </w:t>
            </w:r>
          </w:p>
        </w:tc>
        <w:tc>
          <w:tcPr>
            <w:tcW w:w="1701" w:type="dxa"/>
            <w:tcBorders>
              <w:top w:val="nil"/>
              <w:left w:val="nil"/>
              <w:bottom w:val="single" w:sz="8" w:space="0" w:color="auto"/>
              <w:right w:val="single" w:sz="8" w:space="0" w:color="auto"/>
            </w:tcBorders>
            <w:shd w:val="clear" w:color="auto" w:fill="auto"/>
            <w:hideMark/>
          </w:tcPr>
          <w:p w14:paraId="3285E3D8"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neonates</w:t>
            </w:r>
          </w:p>
        </w:tc>
        <w:tc>
          <w:tcPr>
            <w:tcW w:w="709" w:type="dxa"/>
            <w:tcBorders>
              <w:top w:val="nil"/>
              <w:left w:val="nil"/>
              <w:bottom w:val="single" w:sz="8" w:space="0" w:color="auto"/>
              <w:right w:val="single" w:sz="8" w:space="0" w:color="auto"/>
            </w:tcBorders>
            <w:shd w:val="clear" w:color="auto" w:fill="auto"/>
            <w:hideMark/>
          </w:tcPr>
          <w:p w14:paraId="5582A737"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21 d</w:t>
            </w:r>
          </w:p>
        </w:tc>
        <w:tc>
          <w:tcPr>
            <w:tcW w:w="1276" w:type="dxa"/>
            <w:tcBorders>
              <w:top w:val="nil"/>
              <w:left w:val="nil"/>
              <w:bottom w:val="single" w:sz="8" w:space="0" w:color="auto"/>
              <w:right w:val="single" w:sz="8" w:space="0" w:color="auto"/>
            </w:tcBorders>
            <w:shd w:val="clear" w:color="auto" w:fill="auto"/>
            <w:hideMark/>
          </w:tcPr>
          <w:p w14:paraId="1055C957"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reproduction</w:t>
            </w:r>
          </w:p>
        </w:tc>
        <w:tc>
          <w:tcPr>
            <w:tcW w:w="850" w:type="dxa"/>
            <w:tcBorders>
              <w:top w:val="nil"/>
              <w:left w:val="nil"/>
              <w:bottom w:val="single" w:sz="8" w:space="0" w:color="auto"/>
              <w:right w:val="single" w:sz="8" w:space="0" w:color="auto"/>
            </w:tcBorders>
            <w:shd w:val="clear" w:color="auto" w:fill="auto"/>
            <w:hideMark/>
          </w:tcPr>
          <w:p w14:paraId="4619D8B6"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68.8</w:t>
            </w:r>
          </w:p>
        </w:tc>
        <w:tc>
          <w:tcPr>
            <w:tcW w:w="709" w:type="dxa"/>
            <w:tcBorders>
              <w:top w:val="nil"/>
              <w:left w:val="nil"/>
              <w:bottom w:val="single" w:sz="8" w:space="0" w:color="auto"/>
              <w:right w:val="single" w:sz="8" w:space="0" w:color="auto"/>
            </w:tcBorders>
            <w:shd w:val="clear" w:color="auto" w:fill="auto"/>
            <w:hideMark/>
          </w:tcPr>
          <w:p w14:paraId="689B8A3E"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w:t>
            </w:r>
          </w:p>
        </w:tc>
        <w:tc>
          <w:tcPr>
            <w:tcW w:w="709" w:type="dxa"/>
            <w:tcBorders>
              <w:top w:val="nil"/>
              <w:left w:val="nil"/>
              <w:bottom w:val="single" w:sz="8" w:space="0" w:color="auto"/>
              <w:right w:val="single" w:sz="8" w:space="0" w:color="auto"/>
            </w:tcBorders>
            <w:shd w:val="clear" w:color="auto" w:fill="auto"/>
            <w:hideMark/>
          </w:tcPr>
          <w:p w14:paraId="32135B58"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0.5*</w:t>
            </w:r>
          </w:p>
        </w:tc>
        <w:tc>
          <w:tcPr>
            <w:tcW w:w="3118" w:type="dxa"/>
            <w:tcBorders>
              <w:top w:val="nil"/>
              <w:left w:val="nil"/>
              <w:bottom w:val="single" w:sz="8" w:space="0" w:color="auto"/>
              <w:right w:val="single" w:sz="8" w:space="0" w:color="auto"/>
            </w:tcBorders>
            <w:shd w:val="clear" w:color="auto" w:fill="auto"/>
            <w:hideMark/>
          </w:tcPr>
          <w:p w14:paraId="2BA40B3F"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20°C; pH: 8.06; H: 191 mg/L CaCO3; DOC: 1.99 mg/L</w:t>
            </w:r>
          </w:p>
        </w:tc>
        <w:tc>
          <w:tcPr>
            <w:tcW w:w="2127" w:type="dxa"/>
            <w:tcBorders>
              <w:top w:val="nil"/>
              <w:left w:val="nil"/>
              <w:bottom w:val="single" w:sz="8" w:space="0" w:color="auto"/>
              <w:right w:val="single" w:sz="8" w:space="0" w:color="auto"/>
            </w:tcBorders>
            <w:shd w:val="clear" w:color="auto" w:fill="auto"/>
            <w:hideMark/>
          </w:tcPr>
          <w:p w14:paraId="4F504647"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River</w:t>
            </w:r>
          </w:p>
        </w:tc>
        <w:tc>
          <w:tcPr>
            <w:tcW w:w="2409" w:type="dxa"/>
            <w:tcBorders>
              <w:top w:val="nil"/>
              <w:left w:val="nil"/>
              <w:bottom w:val="single" w:sz="8" w:space="0" w:color="auto"/>
              <w:right w:val="double" w:sz="6" w:space="0" w:color="auto"/>
            </w:tcBorders>
            <w:shd w:val="clear" w:color="auto" w:fill="auto"/>
            <w:hideMark/>
          </w:tcPr>
          <w:p w14:paraId="55A4FC31"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Heijerick et al., 2002 </w:t>
            </w:r>
          </w:p>
        </w:tc>
      </w:tr>
      <w:tr w:rsidR="00632208" w:rsidRPr="0098635C" w14:paraId="331F771E" w14:textId="77777777" w:rsidTr="00A432B0">
        <w:trPr>
          <w:trHeight w:val="64"/>
        </w:trPr>
        <w:tc>
          <w:tcPr>
            <w:tcW w:w="1701" w:type="dxa"/>
            <w:tcBorders>
              <w:top w:val="nil"/>
              <w:left w:val="double" w:sz="6" w:space="0" w:color="auto"/>
              <w:bottom w:val="single" w:sz="8" w:space="0" w:color="auto"/>
              <w:right w:val="single" w:sz="8" w:space="0" w:color="auto"/>
            </w:tcBorders>
            <w:shd w:val="clear" w:color="auto" w:fill="auto"/>
            <w:hideMark/>
          </w:tcPr>
          <w:p w14:paraId="00EF92E9"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Daphnia magna </w:t>
            </w:r>
          </w:p>
        </w:tc>
        <w:tc>
          <w:tcPr>
            <w:tcW w:w="1701" w:type="dxa"/>
            <w:tcBorders>
              <w:top w:val="nil"/>
              <w:left w:val="nil"/>
              <w:bottom w:val="single" w:sz="8" w:space="0" w:color="auto"/>
              <w:right w:val="single" w:sz="8" w:space="0" w:color="auto"/>
            </w:tcBorders>
            <w:shd w:val="clear" w:color="auto" w:fill="auto"/>
            <w:hideMark/>
          </w:tcPr>
          <w:p w14:paraId="01E3A294"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neonates</w:t>
            </w:r>
          </w:p>
        </w:tc>
        <w:tc>
          <w:tcPr>
            <w:tcW w:w="709" w:type="dxa"/>
            <w:tcBorders>
              <w:top w:val="nil"/>
              <w:left w:val="nil"/>
              <w:bottom w:val="single" w:sz="8" w:space="0" w:color="auto"/>
              <w:right w:val="single" w:sz="8" w:space="0" w:color="auto"/>
            </w:tcBorders>
            <w:shd w:val="clear" w:color="auto" w:fill="auto"/>
            <w:hideMark/>
          </w:tcPr>
          <w:p w14:paraId="14E0C882"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21 d</w:t>
            </w:r>
          </w:p>
        </w:tc>
        <w:tc>
          <w:tcPr>
            <w:tcW w:w="1276" w:type="dxa"/>
            <w:tcBorders>
              <w:top w:val="nil"/>
              <w:left w:val="nil"/>
              <w:bottom w:val="single" w:sz="8" w:space="0" w:color="auto"/>
              <w:right w:val="single" w:sz="8" w:space="0" w:color="auto"/>
            </w:tcBorders>
            <w:shd w:val="clear" w:color="auto" w:fill="auto"/>
            <w:hideMark/>
          </w:tcPr>
          <w:p w14:paraId="0E78DFCF"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reproduction</w:t>
            </w:r>
          </w:p>
        </w:tc>
        <w:tc>
          <w:tcPr>
            <w:tcW w:w="850" w:type="dxa"/>
            <w:tcBorders>
              <w:top w:val="nil"/>
              <w:left w:val="nil"/>
              <w:bottom w:val="single" w:sz="8" w:space="0" w:color="auto"/>
              <w:right w:val="single" w:sz="8" w:space="0" w:color="auto"/>
            </w:tcBorders>
            <w:shd w:val="clear" w:color="auto" w:fill="auto"/>
            <w:hideMark/>
          </w:tcPr>
          <w:p w14:paraId="4E2EB259"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106</w:t>
            </w:r>
          </w:p>
        </w:tc>
        <w:tc>
          <w:tcPr>
            <w:tcW w:w="709" w:type="dxa"/>
            <w:tcBorders>
              <w:top w:val="nil"/>
              <w:left w:val="nil"/>
              <w:bottom w:val="single" w:sz="8" w:space="0" w:color="auto"/>
              <w:right w:val="single" w:sz="8" w:space="0" w:color="auto"/>
            </w:tcBorders>
            <w:shd w:val="clear" w:color="auto" w:fill="auto"/>
            <w:hideMark/>
          </w:tcPr>
          <w:p w14:paraId="707CCD9E"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w:t>
            </w:r>
          </w:p>
        </w:tc>
        <w:tc>
          <w:tcPr>
            <w:tcW w:w="709" w:type="dxa"/>
            <w:tcBorders>
              <w:top w:val="nil"/>
              <w:left w:val="nil"/>
              <w:bottom w:val="single" w:sz="8" w:space="0" w:color="auto"/>
              <w:right w:val="single" w:sz="8" w:space="0" w:color="auto"/>
            </w:tcBorders>
            <w:shd w:val="clear" w:color="auto" w:fill="auto"/>
            <w:hideMark/>
          </w:tcPr>
          <w:p w14:paraId="7EE92147"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0.5*</w:t>
            </w:r>
          </w:p>
        </w:tc>
        <w:tc>
          <w:tcPr>
            <w:tcW w:w="3118" w:type="dxa"/>
            <w:tcBorders>
              <w:top w:val="nil"/>
              <w:left w:val="nil"/>
              <w:bottom w:val="single" w:sz="8" w:space="0" w:color="auto"/>
              <w:right w:val="single" w:sz="8" w:space="0" w:color="auto"/>
            </w:tcBorders>
            <w:shd w:val="clear" w:color="auto" w:fill="auto"/>
            <w:hideMark/>
          </w:tcPr>
          <w:p w14:paraId="50AE9CCC"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20°C; pH: 7.55; H: 132 mg/L CaCO3; DOC: 6.13 mg/L</w:t>
            </w:r>
          </w:p>
        </w:tc>
        <w:tc>
          <w:tcPr>
            <w:tcW w:w="2127" w:type="dxa"/>
            <w:tcBorders>
              <w:top w:val="nil"/>
              <w:left w:val="nil"/>
              <w:bottom w:val="single" w:sz="8" w:space="0" w:color="auto"/>
              <w:right w:val="single" w:sz="8" w:space="0" w:color="auto"/>
            </w:tcBorders>
            <w:shd w:val="clear" w:color="auto" w:fill="auto"/>
            <w:hideMark/>
          </w:tcPr>
          <w:p w14:paraId="55C22FA0"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River</w:t>
            </w:r>
          </w:p>
        </w:tc>
        <w:tc>
          <w:tcPr>
            <w:tcW w:w="2409" w:type="dxa"/>
            <w:tcBorders>
              <w:top w:val="nil"/>
              <w:left w:val="nil"/>
              <w:bottom w:val="single" w:sz="8" w:space="0" w:color="auto"/>
              <w:right w:val="double" w:sz="6" w:space="0" w:color="auto"/>
            </w:tcBorders>
            <w:shd w:val="clear" w:color="auto" w:fill="auto"/>
            <w:hideMark/>
          </w:tcPr>
          <w:p w14:paraId="15A9EE16"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Heijerick et al., 2002 </w:t>
            </w:r>
          </w:p>
        </w:tc>
      </w:tr>
      <w:tr w:rsidR="00632208" w:rsidRPr="0098635C" w14:paraId="407A5315" w14:textId="77777777" w:rsidTr="00A432B0">
        <w:trPr>
          <w:trHeight w:val="259"/>
        </w:trPr>
        <w:tc>
          <w:tcPr>
            <w:tcW w:w="1701" w:type="dxa"/>
            <w:tcBorders>
              <w:top w:val="nil"/>
              <w:left w:val="double" w:sz="6" w:space="0" w:color="auto"/>
              <w:bottom w:val="single" w:sz="8" w:space="0" w:color="auto"/>
              <w:right w:val="single" w:sz="8" w:space="0" w:color="auto"/>
            </w:tcBorders>
            <w:shd w:val="clear" w:color="auto" w:fill="auto"/>
            <w:hideMark/>
          </w:tcPr>
          <w:p w14:paraId="59298B6B"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Daphnia magna </w:t>
            </w:r>
          </w:p>
        </w:tc>
        <w:tc>
          <w:tcPr>
            <w:tcW w:w="1701" w:type="dxa"/>
            <w:tcBorders>
              <w:top w:val="nil"/>
              <w:left w:val="nil"/>
              <w:bottom w:val="single" w:sz="8" w:space="0" w:color="auto"/>
              <w:right w:val="single" w:sz="8" w:space="0" w:color="auto"/>
            </w:tcBorders>
            <w:shd w:val="clear" w:color="auto" w:fill="auto"/>
            <w:hideMark/>
          </w:tcPr>
          <w:p w14:paraId="29D679B0"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neonates</w:t>
            </w:r>
          </w:p>
        </w:tc>
        <w:tc>
          <w:tcPr>
            <w:tcW w:w="709" w:type="dxa"/>
            <w:tcBorders>
              <w:top w:val="nil"/>
              <w:left w:val="nil"/>
              <w:bottom w:val="single" w:sz="8" w:space="0" w:color="auto"/>
              <w:right w:val="single" w:sz="8" w:space="0" w:color="auto"/>
            </w:tcBorders>
            <w:shd w:val="clear" w:color="auto" w:fill="auto"/>
            <w:hideMark/>
          </w:tcPr>
          <w:p w14:paraId="24072B68"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21 d</w:t>
            </w:r>
          </w:p>
        </w:tc>
        <w:tc>
          <w:tcPr>
            <w:tcW w:w="1276" w:type="dxa"/>
            <w:tcBorders>
              <w:top w:val="nil"/>
              <w:left w:val="nil"/>
              <w:bottom w:val="single" w:sz="8" w:space="0" w:color="auto"/>
              <w:right w:val="single" w:sz="8" w:space="0" w:color="auto"/>
            </w:tcBorders>
            <w:shd w:val="clear" w:color="auto" w:fill="auto"/>
            <w:hideMark/>
          </w:tcPr>
          <w:p w14:paraId="4218FFC9"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reproduction</w:t>
            </w:r>
          </w:p>
        </w:tc>
        <w:tc>
          <w:tcPr>
            <w:tcW w:w="850" w:type="dxa"/>
            <w:tcBorders>
              <w:top w:val="nil"/>
              <w:left w:val="nil"/>
              <w:bottom w:val="single" w:sz="8" w:space="0" w:color="auto"/>
              <w:right w:val="single" w:sz="8" w:space="0" w:color="auto"/>
            </w:tcBorders>
            <w:shd w:val="clear" w:color="auto" w:fill="auto"/>
            <w:hideMark/>
          </w:tcPr>
          <w:p w14:paraId="5419950A"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181</w:t>
            </w:r>
          </w:p>
        </w:tc>
        <w:tc>
          <w:tcPr>
            <w:tcW w:w="709" w:type="dxa"/>
            <w:tcBorders>
              <w:top w:val="nil"/>
              <w:left w:val="nil"/>
              <w:bottom w:val="single" w:sz="8" w:space="0" w:color="auto"/>
              <w:right w:val="single" w:sz="8" w:space="0" w:color="auto"/>
            </w:tcBorders>
            <w:shd w:val="clear" w:color="auto" w:fill="auto"/>
            <w:hideMark/>
          </w:tcPr>
          <w:p w14:paraId="7477845C"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w:t>
            </w:r>
          </w:p>
        </w:tc>
        <w:tc>
          <w:tcPr>
            <w:tcW w:w="709" w:type="dxa"/>
            <w:tcBorders>
              <w:top w:val="nil"/>
              <w:left w:val="nil"/>
              <w:bottom w:val="single" w:sz="8" w:space="0" w:color="auto"/>
              <w:right w:val="single" w:sz="8" w:space="0" w:color="auto"/>
            </w:tcBorders>
            <w:shd w:val="clear" w:color="auto" w:fill="auto"/>
            <w:hideMark/>
          </w:tcPr>
          <w:p w14:paraId="281DB48F"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0.5*</w:t>
            </w:r>
          </w:p>
        </w:tc>
        <w:tc>
          <w:tcPr>
            <w:tcW w:w="3118" w:type="dxa"/>
            <w:tcBorders>
              <w:top w:val="nil"/>
              <w:left w:val="nil"/>
              <w:bottom w:val="single" w:sz="8" w:space="0" w:color="auto"/>
              <w:right w:val="single" w:sz="8" w:space="0" w:color="auto"/>
            </w:tcBorders>
            <w:shd w:val="clear" w:color="auto" w:fill="auto"/>
            <w:hideMark/>
          </w:tcPr>
          <w:p w14:paraId="16A4A499"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20°C; pH: 7.5; H: 134 mg/L CaCO3; DOC: 20.4 mg/L</w:t>
            </w:r>
          </w:p>
        </w:tc>
        <w:tc>
          <w:tcPr>
            <w:tcW w:w="2127" w:type="dxa"/>
            <w:tcBorders>
              <w:top w:val="nil"/>
              <w:left w:val="nil"/>
              <w:bottom w:val="single" w:sz="8" w:space="0" w:color="auto"/>
              <w:right w:val="single" w:sz="8" w:space="0" w:color="auto"/>
            </w:tcBorders>
            <w:shd w:val="clear" w:color="auto" w:fill="auto"/>
            <w:hideMark/>
          </w:tcPr>
          <w:p w14:paraId="454B4278"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Lake </w:t>
            </w:r>
          </w:p>
        </w:tc>
        <w:tc>
          <w:tcPr>
            <w:tcW w:w="2409" w:type="dxa"/>
            <w:tcBorders>
              <w:top w:val="nil"/>
              <w:left w:val="nil"/>
              <w:bottom w:val="single" w:sz="8" w:space="0" w:color="auto"/>
              <w:right w:val="double" w:sz="6" w:space="0" w:color="auto"/>
            </w:tcBorders>
            <w:shd w:val="clear" w:color="auto" w:fill="auto"/>
            <w:hideMark/>
          </w:tcPr>
          <w:p w14:paraId="7341DAF8"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Heijerick et al., 2002 </w:t>
            </w:r>
          </w:p>
        </w:tc>
      </w:tr>
      <w:tr w:rsidR="00632208" w:rsidRPr="0098635C" w14:paraId="16A23C50" w14:textId="77777777" w:rsidTr="00A432B0">
        <w:trPr>
          <w:trHeight w:val="251"/>
        </w:trPr>
        <w:tc>
          <w:tcPr>
            <w:tcW w:w="1701" w:type="dxa"/>
            <w:tcBorders>
              <w:top w:val="nil"/>
              <w:left w:val="double" w:sz="6" w:space="0" w:color="auto"/>
              <w:bottom w:val="single" w:sz="8" w:space="0" w:color="auto"/>
              <w:right w:val="single" w:sz="8" w:space="0" w:color="auto"/>
            </w:tcBorders>
            <w:shd w:val="clear" w:color="auto" w:fill="auto"/>
            <w:hideMark/>
          </w:tcPr>
          <w:p w14:paraId="2FD21131"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Daphnia pulex </w:t>
            </w:r>
          </w:p>
        </w:tc>
        <w:tc>
          <w:tcPr>
            <w:tcW w:w="1701" w:type="dxa"/>
            <w:tcBorders>
              <w:top w:val="nil"/>
              <w:left w:val="nil"/>
              <w:bottom w:val="single" w:sz="8" w:space="0" w:color="auto"/>
              <w:right w:val="single" w:sz="8" w:space="0" w:color="auto"/>
            </w:tcBorders>
            <w:shd w:val="clear" w:color="auto" w:fill="auto"/>
            <w:hideMark/>
          </w:tcPr>
          <w:p w14:paraId="28EA3FFF"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neonates (&lt; 24 h)</w:t>
            </w:r>
          </w:p>
        </w:tc>
        <w:tc>
          <w:tcPr>
            <w:tcW w:w="709" w:type="dxa"/>
            <w:tcBorders>
              <w:top w:val="nil"/>
              <w:left w:val="nil"/>
              <w:bottom w:val="single" w:sz="8" w:space="0" w:color="auto"/>
              <w:right w:val="single" w:sz="8" w:space="0" w:color="auto"/>
            </w:tcBorders>
            <w:shd w:val="clear" w:color="auto" w:fill="auto"/>
            <w:hideMark/>
          </w:tcPr>
          <w:p w14:paraId="3DA5E025"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42 d</w:t>
            </w:r>
          </w:p>
        </w:tc>
        <w:tc>
          <w:tcPr>
            <w:tcW w:w="1276" w:type="dxa"/>
            <w:tcBorders>
              <w:top w:val="nil"/>
              <w:left w:val="nil"/>
              <w:bottom w:val="single" w:sz="8" w:space="0" w:color="auto"/>
              <w:right w:val="single" w:sz="8" w:space="0" w:color="auto"/>
            </w:tcBorders>
            <w:shd w:val="clear" w:color="auto" w:fill="auto"/>
            <w:hideMark/>
          </w:tcPr>
          <w:p w14:paraId="1F94C25C"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mortality</w:t>
            </w:r>
          </w:p>
        </w:tc>
        <w:tc>
          <w:tcPr>
            <w:tcW w:w="850" w:type="dxa"/>
            <w:tcBorders>
              <w:top w:val="nil"/>
              <w:left w:val="nil"/>
              <w:bottom w:val="single" w:sz="8" w:space="0" w:color="auto"/>
              <w:right w:val="single" w:sz="8" w:space="0" w:color="auto"/>
            </w:tcBorders>
            <w:shd w:val="clear" w:color="auto" w:fill="auto"/>
            <w:hideMark/>
          </w:tcPr>
          <w:p w14:paraId="28F111E0"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4</w:t>
            </w:r>
          </w:p>
        </w:tc>
        <w:tc>
          <w:tcPr>
            <w:tcW w:w="709" w:type="dxa"/>
            <w:tcBorders>
              <w:top w:val="nil"/>
              <w:left w:val="nil"/>
              <w:bottom w:val="single" w:sz="8" w:space="0" w:color="auto"/>
              <w:right w:val="single" w:sz="8" w:space="0" w:color="auto"/>
            </w:tcBorders>
            <w:shd w:val="clear" w:color="auto" w:fill="auto"/>
            <w:hideMark/>
          </w:tcPr>
          <w:p w14:paraId="434778AB"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w:t>
            </w:r>
          </w:p>
        </w:tc>
        <w:tc>
          <w:tcPr>
            <w:tcW w:w="709" w:type="dxa"/>
            <w:tcBorders>
              <w:top w:val="nil"/>
              <w:left w:val="nil"/>
              <w:bottom w:val="single" w:sz="8" w:space="0" w:color="auto"/>
              <w:right w:val="single" w:sz="8" w:space="0" w:color="auto"/>
            </w:tcBorders>
            <w:shd w:val="clear" w:color="auto" w:fill="auto"/>
            <w:hideMark/>
          </w:tcPr>
          <w:p w14:paraId="27ED1E1A"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0.5*</w:t>
            </w:r>
          </w:p>
        </w:tc>
        <w:tc>
          <w:tcPr>
            <w:tcW w:w="3118" w:type="dxa"/>
            <w:tcBorders>
              <w:top w:val="nil"/>
              <w:left w:val="nil"/>
              <w:bottom w:val="single" w:sz="8" w:space="0" w:color="auto"/>
              <w:right w:val="single" w:sz="8" w:space="0" w:color="auto"/>
            </w:tcBorders>
            <w:shd w:val="clear" w:color="auto" w:fill="auto"/>
            <w:hideMark/>
          </w:tcPr>
          <w:p w14:paraId="4EA88716"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20°C; pH: 8.6; H: 57.5 mg/L CaCO3; DOC: 0.1 mg/L (6)</w:t>
            </w:r>
          </w:p>
        </w:tc>
        <w:tc>
          <w:tcPr>
            <w:tcW w:w="2127" w:type="dxa"/>
            <w:tcBorders>
              <w:top w:val="nil"/>
              <w:left w:val="nil"/>
              <w:bottom w:val="single" w:sz="8" w:space="0" w:color="auto"/>
              <w:right w:val="single" w:sz="8" w:space="0" w:color="auto"/>
            </w:tcBorders>
            <w:shd w:val="clear" w:color="auto" w:fill="auto"/>
            <w:hideMark/>
          </w:tcPr>
          <w:p w14:paraId="32534750"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Deionized reconstituted </w:t>
            </w:r>
          </w:p>
        </w:tc>
        <w:tc>
          <w:tcPr>
            <w:tcW w:w="2409" w:type="dxa"/>
            <w:tcBorders>
              <w:top w:val="nil"/>
              <w:left w:val="nil"/>
              <w:bottom w:val="single" w:sz="8" w:space="0" w:color="auto"/>
              <w:right w:val="double" w:sz="6" w:space="0" w:color="auto"/>
            </w:tcBorders>
            <w:shd w:val="clear" w:color="auto" w:fill="auto"/>
            <w:hideMark/>
          </w:tcPr>
          <w:p w14:paraId="3FE38641"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Winner, 1985 </w:t>
            </w:r>
          </w:p>
        </w:tc>
      </w:tr>
      <w:tr w:rsidR="00632208" w:rsidRPr="0098635C" w14:paraId="02EF5256" w14:textId="77777777" w:rsidTr="00A432B0">
        <w:trPr>
          <w:trHeight w:val="244"/>
        </w:trPr>
        <w:tc>
          <w:tcPr>
            <w:tcW w:w="1701" w:type="dxa"/>
            <w:tcBorders>
              <w:top w:val="nil"/>
              <w:left w:val="double" w:sz="6" w:space="0" w:color="auto"/>
              <w:bottom w:val="single" w:sz="8" w:space="0" w:color="auto"/>
              <w:right w:val="single" w:sz="8" w:space="0" w:color="auto"/>
            </w:tcBorders>
            <w:shd w:val="clear" w:color="auto" w:fill="auto"/>
            <w:hideMark/>
          </w:tcPr>
          <w:p w14:paraId="68F09497"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Daphnia pulex </w:t>
            </w:r>
          </w:p>
        </w:tc>
        <w:tc>
          <w:tcPr>
            <w:tcW w:w="1701" w:type="dxa"/>
            <w:tcBorders>
              <w:top w:val="nil"/>
              <w:left w:val="nil"/>
              <w:bottom w:val="single" w:sz="8" w:space="0" w:color="auto"/>
              <w:right w:val="single" w:sz="8" w:space="0" w:color="auto"/>
            </w:tcBorders>
            <w:shd w:val="clear" w:color="auto" w:fill="auto"/>
            <w:hideMark/>
          </w:tcPr>
          <w:p w14:paraId="7081424A"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neonates (&lt; 24 h)</w:t>
            </w:r>
          </w:p>
        </w:tc>
        <w:tc>
          <w:tcPr>
            <w:tcW w:w="709" w:type="dxa"/>
            <w:tcBorders>
              <w:top w:val="nil"/>
              <w:left w:val="nil"/>
              <w:bottom w:val="single" w:sz="8" w:space="0" w:color="auto"/>
              <w:right w:val="single" w:sz="8" w:space="0" w:color="auto"/>
            </w:tcBorders>
            <w:shd w:val="clear" w:color="auto" w:fill="auto"/>
            <w:hideMark/>
          </w:tcPr>
          <w:p w14:paraId="29D8FE21"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42 d</w:t>
            </w:r>
          </w:p>
        </w:tc>
        <w:tc>
          <w:tcPr>
            <w:tcW w:w="1276" w:type="dxa"/>
            <w:tcBorders>
              <w:top w:val="nil"/>
              <w:left w:val="nil"/>
              <w:bottom w:val="single" w:sz="8" w:space="0" w:color="auto"/>
              <w:right w:val="single" w:sz="8" w:space="0" w:color="auto"/>
            </w:tcBorders>
            <w:shd w:val="clear" w:color="auto" w:fill="auto"/>
            <w:hideMark/>
          </w:tcPr>
          <w:p w14:paraId="049A0B8A"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mortality</w:t>
            </w:r>
          </w:p>
        </w:tc>
        <w:tc>
          <w:tcPr>
            <w:tcW w:w="850" w:type="dxa"/>
            <w:tcBorders>
              <w:top w:val="nil"/>
              <w:left w:val="nil"/>
              <w:bottom w:val="single" w:sz="8" w:space="0" w:color="auto"/>
              <w:right w:val="single" w:sz="8" w:space="0" w:color="auto"/>
            </w:tcBorders>
            <w:shd w:val="clear" w:color="auto" w:fill="auto"/>
            <w:hideMark/>
          </w:tcPr>
          <w:p w14:paraId="24B94E8E"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20</w:t>
            </w:r>
          </w:p>
        </w:tc>
        <w:tc>
          <w:tcPr>
            <w:tcW w:w="709" w:type="dxa"/>
            <w:tcBorders>
              <w:top w:val="nil"/>
              <w:left w:val="nil"/>
              <w:bottom w:val="single" w:sz="8" w:space="0" w:color="auto"/>
              <w:right w:val="single" w:sz="8" w:space="0" w:color="auto"/>
            </w:tcBorders>
            <w:shd w:val="clear" w:color="auto" w:fill="auto"/>
            <w:hideMark/>
          </w:tcPr>
          <w:p w14:paraId="74075182"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w:t>
            </w:r>
          </w:p>
        </w:tc>
        <w:tc>
          <w:tcPr>
            <w:tcW w:w="709" w:type="dxa"/>
            <w:tcBorders>
              <w:top w:val="nil"/>
              <w:left w:val="nil"/>
              <w:bottom w:val="single" w:sz="8" w:space="0" w:color="auto"/>
              <w:right w:val="single" w:sz="8" w:space="0" w:color="auto"/>
            </w:tcBorders>
            <w:shd w:val="clear" w:color="auto" w:fill="auto"/>
            <w:hideMark/>
          </w:tcPr>
          <w:p w14:paraId="57CEE3B5"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0.5*</w:t>
            </w:r>
          </w:p>
        </w:tc>
        <w:tc>
          <w:tcPr>
            <w:tcW w:w="3118" w:type="dxa"/>
            <w:tcBorders>
              <w:top w:val="nil"/>
              <w:left w:val="nil"/>
              <w:bottom w:val="single" w:sz="8" w:space="0" w:color="auto"/>
              <w:right w:val="single" w:sz="8" w:space="0" w:color="auto"/>
            </w:tcBorders>
            <w:shd w:val="clear" w:color="auto" w:fill="auto"/>
            <w:hideMark/>
          </w:tcPr>
          <w:p w14:paraId="37027DC8"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20°C; pH: 8.5; H: 57.5 mg/L CaCO3; DOC: 0.475 mg/L (6)</w:t>
            </w:r>
          </w:p>
        </w:tc>
        <w:tc>
          <w:tcPr>
            <w:tcW w:w="2127" w:type="dxa"/>
            <w:tcBorders>
              <w:top w:val="nil"/>
              <w:left w:val="nil"/>
              <w:bottom w:val="single" w:sz="8" w:space="0" w:color="auto"/>
              <w:right w:val="single" w:sz="8" w:space="0" w:color="auto"/>
            </w:tcBorders>
            <w:shd w:val="clear" w:color="auto" w:fill="auto"/>
            <w:hideMark/>
          </w:tcPr>
          <w:p w14:paraId="75A03220"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Deionized reconstituted + DOC</w:t>
            </w:r>
          </w:p>
        </w:tc>
        <w:tc>
          <w:tcPr>
            <w:tcW w:w="2409" w:type="dxa"/>
            <w:tcBorders>
              <w:top w:val="nil"/>
              <w:left w:val="nil"/>
              <w:bottom w:val="single" w:sz="8" w:space="0" w:color="auto"/>
              <w:right w:val="double" w:sz="6" w:space="0" w:color="auto"/>
            </w:tcBorders>
            <w:shd w:val="clear" w:color="auto" w:fill="auto"/>
            <w:hideMark/>
          </w:tcPr>
          <w:p w14:paraId="1DAFF8FA"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Winner, 1985 </w:t>
            </w:r>
          </w:p>
        </w:tc>
      </w:tr>
      <w:tr w:rsidR="00632208" w:rsidRPr="0098635C" w14:paraId="734D5A29" w14:textId="77777777" w:rsidTr="00A432B0">
        <w:trPr>
          <w:trHeight w:val="363"/>
        </w:trPr>
        <w:tc>
          <w:tcPr>
            <w:tcW w:w="1701" w:type="dxa"/>
            <w:tcBorders>
              <w:top w:val="nil"/>
              <w:left w:val="double" w:sz="6" w:space="0" w:color="auto"/>
              <w:bottom w:val="single" w:sz="8" w:space="0" w:color="auto"/>
              <w:right w:val="single" w:sz="8" w:space="0" w:color="auto"/>
            </w:tcBorders>
            <w:shd w:val="clear" w:color="auto" w:fill="auto"/>
            <w:hideMark/>
          </w:tcPr>
          <w:p w14:paraId="3236539B"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Daphnia pulex </w:t>
            </w:r>
          </w:p>
        </w:tc>
        <w:tc>
          <w:tcPr>
            <w:tcW w:w="1701" w:type="dxa"/>
            <w:tcBorders>
              <w:top w:val="nil"/>
              <w:left w:val="nil"/>
              <w:bottom w:val="single" w:sz="8" w:space="0" w:color="auto"/>
              <w:right w:val="single" w:sz="8" w:space="0" w:color="auto"/>
            </w:tcBorders>
            <w:shd w:val="clear" w:color="auto" w:fill="auto"/>
            <w:hideMark/>
          </w:tcPr>
          <w:p w14:paraId="69323B26"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neonates (&lt; 24 h)</w:t>
            </w:r>
          </w:p>
        </w:tc>
        <w:tc>
          <w:tcPr>
            <w:tcW w:w="709" w:type="dxa"/>
            <w:tcBorders>
              <w:top w:val="nil"/>
              <w:left w:val="nil"/>
              <w:bottom w:val="single" w:sz="8" w:space="0" w:color="auto"/>
              <w:right w:val="single" w:sz="8" w:space="0" w:color="auto"/>
            </w:tcBorders>
            <w:shd w:val="clear" w:color="auto" w:fill="auto"/>
            <w:hideMark/>
          </w:tcPr>
          <w:p w14:paraId="4714097B"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42 d</w:t>
            </w:r>
          </w:p>
        </w:tc>
        <w:tc>
          <w:tcPr>
            <w:tcW w:w="1276" w:type="dxa"/>
            <w:tcBorders>
              <w:top w:val="nil"/>
              <w:left w:val="nil"/>
              <w:bottom w:val="single" w:sz="8" w:space="0" w:color="auto"/>
              <w:right w:val="single" w:sz="8" w:space="0" w:color="auto"/>
            </w:tcBorders>
            <w:shd w:val="clear" w:color="auto" w:fill="auto"/>
            <w:hideMark/>
          </w:tcPr>
          <w:p w14:paraId="66BC8401"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mortality</w:t>
            </w:r>
          </w:p>
        </w:tc>
        <w:tc>
          <w:tcPr>
            <w:tcW w:w="850" w:type="dxa"/>
            <w:tcBorders>
              <w:top w:val="nil"/>
              <w:left w:val="nil"/>
              <w:bottom w:val="single" w:sz="8" w:space="0" w:color="auto"/>
              <w:right w:val="single" w:sz="8" w:space="0" w:color="auto"/>
            </w:tcBorders>
            <w:shd w:val="clear" w:color="auto" w:fill="auto"/>
            <w:hideMark/>
          </w:tcPr>
          <w:p w14:paraId="69210FC6"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30</w:t>
            </w:r>
          </w:p>
        </w:tc>
        <w:tc>
          <w:tcPr>
            <w:tcW w:w="709" w:type="dxa"/>
            <w:tcBorders>
              <w:top w:val="nil"/>
              <w:left w:val="nil"/>
              <w:bottom w:val="single" w:sz="8" w:space="0" w:color="auto"/>
              <w:right w:val="single" w:sz="8" w:space="0" w:color="auto"/>
            </w:tcBorders>
            <w:shd w:val="clear" w:color="auto" w:fill="auto"/>
            <w:hideMark/>
          </w:tcPr>
          <w:p w14:paraId="346710F9"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w:t>
            </w:r>
          </w:p>
        </w:tc>
        <w:tc>
          <w:tcPr>
            <w:tcW w:w="709" w:type="dxa"/>
            <w:tcBorders>
              <w:top w:val="nil"/>
              <w:left w:val="nil"/>
              <w:bottom w:val="single" w:sz="8" w:space="0" w:color="auto"/>
              <w:right w:val="single" w:sz="8" w:space="0" w:color="auto"/>
            </w:tcBorders>
            <w:shd w:val="clear" w:color="auto" w:fill="auto"/>
            <w:hideMark/>
          </w:tcPr>
          <w:p w14:paraId="7102E577"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0.5*</w:t>
            </w:r>
          </w:p>
        </w:tc>
        <w:tc>
          <w:tcPr>
            <w:tcW w:w="3118" w:type="dxa"/>
            <w:tcBorders>
              <w:top w:val="nil"/>
              <w:left w:val="nil"/>
              <w:bottom w:val="single" w:sz="8" w:space="0" w:color="auto"/>
              <w:right w:val="single" w:sz="8" w:space="0" w:color="auto"/>
            </w:tcBorders>
            <w:shd w:val="clear" w:color="auto" w:fill="auto"/>
            <w:hideMark/>
          </w:tcPr>
          <w:p w14:paraId="1729EB3D"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20°C; pH: 8.7; H: 57.5 mg/L CaCO3; DOC: 0.85 mg/L (6)</w:t>
            </w:r>
          </w:p>
        </w:tc>
        <w:tc>
          <w:tcPr>
            <w:tcW w:w="2127" w:type="dxa"/>
            <w:tcBorders>
              <w:top w:val="nil"/>
              <w:left w:val="nil"/>
              <w:bottom w:val="single" w:sz="8" w:space="0" w:color="auto"/>
              <w:right w:val="single" w:sz="8" w:space="0" w:color="auto"/>
            </w:tcBorders>
            <w:shd w:val="clear" w:color="auto" w:fill="auto"/>
            <w:hideMark/>
          </w:tcPr>
          <w:p w14:paraId="3E3230F1"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Deionized reconstituted + DOC</w:t>
            </w:r>
          </w:p>
        </w:tc>
        <w:tc>
          <w:tcPr>
            <w:tcW w:w="2409" w:type="dxa"/>
            <w:tcBorders>
              <w:top w:val="nil"/>
              <w:left w:val="nil"/>
              <w:bottom w:val="single" w:sz="8" w:space="0" w:color="auto"/>
              <w:right w:val="double" w:sz="6" w:space="0" w:color="auto"/>
            </w:tcBorders>
            <w:shd w:val="clear" w:color="auto" w:fill="auto"/>
            <w:hideMark/>
          </w:tcPr>
          <w:p w14:paraId="268C66B8"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Winner, 1985 </w:t>
            </w:r>
          </w:p>
        </w:tc>
      </w:tr>
      <w:tr w:rsidR="00632208" w:rsidRPr="0098635C" w14:paraId="45D47606" w14:textId="77777777" w:rsidTr="00A432B0">
        <w:trPr>
          <w:trHeight w:val="213"/>
        </w:trPr>
        <w:tc>
          <w:tcPr>
            <w:tcW w:w="1701" w:type="dxa"/>
            <w:tcBorders>
              <w:top w:val="nil"/>
              <w:left w:val="double" w:sz="6" w:space="0" w:color="auto"/>
              <w:bottom w:val="single" w:sz="8" w:space="0" w:color="auto"/>
              <w:right w:val="single" w:sz="8" w:space="0" w:color="auto"/>
            </w:tcBorders>
            <w:shd w:val="clear" w:color="auto" w:fill="auto"/>
            <w:hideMark/>
          </w:tcPr>
          <w:p w14:paraId="7988D55F"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Daphnia pulex </w:t>
            </w:r>
          </w:p>
        </w:tc>
        <w:tc>
          <w:tcPr>
            <w:tcW w:w="1701" w:type="dxa"/>
            <w:tcBorders>
              <w:top w:val="nil"/>
              <w:left w:val="nil"/>
              <w:bottom w:val="single" w:sz="8" w:space="0" w:color="auto"/>
              <w:right w:val="single" w:sz="8" w:space="0" w:color="auto"/>
            </w:tcBorders>
            <w:shd w:val="clear" w:color="auto" w:fill="auto"/>
            <w:hideMark/>
          </w:tcPr>
          <w:p w14:paraId="116E8EBB"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neonates (&lt; 24 h)</w:t>
            </w:r>
          </w:p>
        </w:tc>
        <w:tc>
          <w:tcPr>
            <w:tcW w:w="709" w:type="dxa"/>
            <w:tcBorders>
              <w:top w:val="nil"/>
              <w:left w:val="nil"/>
              <w:bottom w:val="single" w:sz="8" w:space="0" w:color="auto"/>
              <w:right w:val="single" w:sz="8" w:space="0" w:color="auto"/>
            </w:tcBorders>
            <w:shd w:val="clear" w:color="auto" w:fill="auto"/>
            <w:hideMark/>
          </w:tcPr>
          <w:p w14:paraId="59666117"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42 d</w:t>
            </w:r>
          </w:p>
        </w:tc>
        <w:tc>
          <w:tcPr>
            <w:tcW w:w="1276" w:type="dxa"/>
            <w:tcBorders>
              <w:top w:val="nil"/>
              <w:left w:val="nil"/>
              <w:bottom w:val="single" w:sz="8" w:space="0" w:color="auto"/>
              <w:right w:val="single" w:sz="8" w:space="0" w:color="auto"/>
            </w:tcBorders>
            <w:shd w:val="clear" w:color="auto" w:fill="auto"/>
            <w:hideMark/>
          </w:tcPr>
          <w:p w14:paraId="47A7A24C"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mortality</w:t>
            </w:r>
          </w:p>
        </w:tc>
        <w:tc>
          <w:tcPr>
            <w:tcW w:w="850" w:type="dxa"/>
            <w:tcBorders>
              <w:top w:val="nil"/>
              <w:left w:val="nil"/>
              <w:bottom w:val="single" w:sz="8" w:space="0" w:color="auto"/>
              <w:right w:val="single" w:sz="8" w:space="0" w:color="auto"/>
            </w:tcBorders>
            <w:shd w:val="clear" w:color="auto" w:fill="auto"/>
            <w:hideMark/>
          </w:tcPr>
          <w:p w14:paraId="050A0984"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5</w:t>
            </w:r>
          </w:p>
        </w:tc>
        <w:tc>
          <w:tcPr>
            <w:tcW w:w="709" w:type="dxa"/>
            <w:tcBorders>
              <w:top w:val="nil"/>
              <w:left w:val="nil"/>
              <w:bottom w:val="single" w:sz="8" w:space="0" w:color="auto"/>
              <w:right w:val="single" w:sz="8" w:space="0" w:color="auto"/>
            </w:tcBorders>
            <w:shd w:val="clear" w:color="auto" w:fill="auto"/>
            <w:hideMark/>
          </w:tcPr>
          <w:p w14:paraId="6D1BC080"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w:t>
            </w:r>
          </w:p>
        </w:tc>
        <w:tc>
          <w:tcPr>
            <w:tcW w:w="709" w:type="dxa"/>
            <w:tcBorders>
              <w:top w:val="nil"/>
              <w:left w:val="nil"/>
              <w:bottom w:val="single" w:sz="8" w:space="0" w:color="auto"/>
              <w:right w:val="single" w:sz="8" w:space="0" w:color="auto"/>
            </w:tcBorders>
            <w:shd w:val="clear" w:color="auto" w:fill="auto"/>
            <w:hideMark/>
          </w:tcPr>
          <w:p w14:paraId="5CB4ED81"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0.5*</w:t>
            </w:r>
          </w:p>
        </w:tc>
        <w:tc>
          <w:tcPr>
            <w:tcW w:w="3118" w:type="dxa"/>
            <w:tcBorders>
              <w:top w:val="nil"/>
              <w:left w:val="nil"/>
              <w:bottom w:val="single" w:sz="8" w:space="0" w:color="auto"/>
              <w:right w:val="single" w:sz="8" w:space="0" w:color="auto"/>
            </w:tcBorders>
            <w:shd w:val="clear" w:color="auto" w:fill="auto"/>
            <w:hideMark/>
          </w:tcPr>
          <w:p w14:paraId="24084335"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20°C; pH: 8.7; H:115 mg/L CaCO3; DOC: 0.1 mg/L (6)</w:t>
            </w:r>
          </w:p>
        </w:tc>
        <w:tc>
          <w:tcPr>
            <w:tcW w:w="2127" w:type="dxa"/>
            <w:tcBorders>
              <w:top w:val="nil"/>
              <w:left w:val="nil"/>
              <w:bottom w:val="single" w:sz="8" w:space="0" w:color="auto"/>
              <w:right w:val="single" w:sz="8" w:space="0" w:color="auto"/>
            </w:tcBorders>
            <w:shd w:val="clear" w:color="auto" w:fill="auto"/>
            <w:hideMark/>
          </w:tcPr>
          <w:p w14:paraId="6C071DD2"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Deionized reconstituted </w:t>
            </w:r>
          </w:p>
        </w:tc>
        <w:tc>
          <w:tcPr>
            <w:tcW w:w="2409" w:type="dxa"/>
            <w:tcBorders>
              <w:top w:val="nil"/>
              <w:left w:val="nil"/>
              <w:bottom w:val="single" w:sz="8" w:space="0" w:color="auto"/>
              <w:right w:val="double" w:sz="6" w:space="0" w:color="auto"/>
            </w:tcBorders>
            <w:shd w:val="clear" w:color="auto" w:fill="auto"/>
            <w:hideMark/>
          </w:tcPr>
          <w:p w14:paraId="680FEBC3"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Winner, 1985 </w:t>
            </w:r>
          </w:p>
        </w:tc>
      </w:tr>
      <w:tr w:rsidR="00632208" w:rsidRPr="0098635C" w14:paraId="507E7A9B" w14:textId="77777777" w:rsidTr="00A432B0">
        <w:trPr>
          <w:trHeight w:val="205"/>
        </w:trPr>
        <w:tc>
          <w:tcPr>
            <w:tcW w:w="1701" w:type="dxa"/>
            <w:tcBorders>
              <w:top w:val="nil"/>
              <w:left w:val="double" w:sz="6" w:space="0" w:color="auto"/>
              <w:bottom w:val="single" w:sz="8" w:space="0" w:color="auto"/>
              <w:right w:val="single" w:sz="8" w:space="0" w:color="auto"/>
            </w:tcBorders>
            <w:shd w:val="clear" w:color="auto" w:fill="auto"/>
            <w:hideMark/>
          </w:tcPr>
          <w:p w14:paraId="02C0AA63"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Daphnia pulex </w:t>
            </w:r>
          </w:p>
        </w:tc>
        <w:tc>
          <w:tcPr>
            <w:tcW w:w="1701" w:type="dxa"/>
            <w:tcBorders>
              <w:top w:val="nil"/>
              <w:left w:val="nil"/>
              <w:bottom w:val="single" w:sz="8" w:space="0" w:color="auto"/>
              <w:right w:val="single" w:sz="8" w:space="0" w:color="auto"/>
            </w:tcBorders>
            <w:shd w:val="clear" w:color="auto" w:fill="auto"/>
            <w:hideMark/>
          </w:tcPr>
          <w:p w14:paraId="34554227"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neonates (&lt; 24 h)</w:t>
            </w:r>
          </w:p>
        </w:tc>
        <w:tc>
          <w:tcPr>
            <w:tcW w:w="709" w:type="dxa"/>
            <w:tcBorders>
              <w:top w:val="nil"/>
              <w:left w:val="nil"/>
              <w:bottom w:val="single" w:sz="8" w:space="0" w:color="auto"/>
              <w:right w:val="single" w:sz="8" w:space="0" w:color="auto"/>
            </w:tcBorders>
            <w:shd w:val="clear" w:color="auto" w:fill="auto"/>
            <w:hideMark/>
          </w:tcPr>
          <w:p w14:paraId="45D78FC3"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42 d</w:t>
            </w:r>
          </w:p>
        </w:tc>
        <w:tc>
          <w:tcPr>
            <w:tcW w:w="1276" w:type="dxa"/>
            <w:tcBorders>
              <w:top w:val="nil"/>
              <w:left w:val="nil"/>
              <w:bottom w:val="single" w:sz="8" w:space="0" w:color="auto"/>
              <w:right w:val="single" w:sz="8" w:space="0" w:color="auto"/>
            </w:tcBorders>
            <w:shd w:val="clear" w:color="auto" w:fill="auto"/>
            <w:hideMark/>
          </w:tcPr>
          <w:p w14:paraId="79B30227"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mortality</w:t>
            </w:r>
          </w:p>
        </w:tc>
        <w:tc>
          <w:tcPr>
            <w:tcW w:w="850" w:type="dxa"/>
            <w:tcBorders>
              <w:top w:val="nil"/>
              <w:left w:val="nil"/>
              <w:bottom w:val="single" w:sz="8" w:space="0" w:color="auto"/>
              <w:right w:val="single" w:sz="8" w:space="0" w:color="auto"/>
            </w:tcBorders>
            <w:shd w:val="clear" w:color="auto" w:fill="auto"/>
            <w:hideMark/>
          </w:tcPr>
          <w:p w14:paraId="63669BF6"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20</w:t>
            </w:r>
          </w:p>
        </w:tc>
        <w:tc>
          <w:tcPr>
            <w:tcW w:w="709" w:type="dxa"/>
            <w:tcBorders>
              <w:top w:val="nil"/>
              <w:left w:val="nil"/>
              <w:bottom w:val="single" w:sz="8" w:space="0" w:color="auto"/>
              <w:right w:val="single" w:sz="8" w:space="0" w:color="auto"/>
            </w:tcBorders>
            <w:shd w:val="clear" w:color="auto" w:fill="auto"/>
            <w:hideMark/>
          </w:tcPr>
          <w:p w14:paraId="727A07B4"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w:t>
            </w:r>
          </w:p>
        </w:tc>
        <w:tc>
          <w:tcPr>
            <w:tcW w:w="709" w:type="dxa"/>
            <w:tcBorders>
              <w:top w:val="nil"/>
              <w:left w:val="nil"/>
              <w:bottom w:val="single" w:sz="8" w:space="0" w:color="auto"/>
              <w:right w:val="single" w:sz="8" w:space="0" w:color="auto"/>
            </w:tcBorders>
            <w:shd w:val="clear" w:color="auto" w:fill="auto"/>
            <w:hideMark/>
          </w:tcPr>
          <w:p w14:paraId="4E866E57"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0.5*</w:t>
            </w:r>
          </w:p>
        </w:tc>
        <w:tc>
          <w:tcPr>
            <w:tcW w:w="3118" w:type="dxa"/>
            <w:tcBorders>
              <w:top w:val="nil"/>
              <w:left w:val="nil"/>
              <w:bottom w:val="single" w:sz="8" w:space="0" w:color="auto"/>
              <w:right w:val="single" w:sz="8" w:space="0" w:color="auto"/>
            </w:tcBorders>
            <w:shd w:val="clear" w:color="auto" w:fill="auto"/>
            <w:hideMark/>
          </w:tcPr>
          <w:p w14:paraId="1643D374"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20°C; pH: 8.55; H: 115 mg/L CaCO3; DOC: 0.475 mg/L (6)</w:t>
            </w:r>
          </w:p>
        </w:tc>
        <w:tc>
          <w:tcPr>
            <w:tcW w:w="2127" w:type="dxa"/>
            <w:tcBorders>
              <w:top w:val="nil"/>
              <w:left w:val="nil"/>
              <w:bottom w:val="single" w:sz="8" w:space="0" w:color="auto"/>
              <w:right w:val="single" w:sz="8" w:space="0" w:color="auto"/>
            </w:tcBorders>
            <w:shd w:val="clear" w:color="auto" w:fill="auto"/>
            <w:hideMark/>
          </w:tcPr>
          <w:p w14:paraId="4313C66F"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Deionized reconstituted + DOC</w:t>
            </w:r>
          </w:p>
        </w:tc>
        <w:tc>
          <w:tcPr>
            <w:tcW w:w="2409" w:type="dxa"/>
            <w:tcBorders>
              <w:top w:val="nil"/>
              <w:left w:val="nil"/>
              <w:bottom w:val="single" w:sz="8" w:space="0" w:color="auto"/>
              <w:right w:val="double" w:sz="6" w:space="0" w:color="auto"/>
            </w:tcBorders>
            <w:shd w:val="clear" w:color="auto" w:fill="auto"/>
            <w:hideMark/>
          </w:tcPr>
          <w:p w14:paraId="68B05A20"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Winner, 1985 </w:t>
            </w:r>
          </w:p>
        </w:tc>
      </w:tr>
      <w:tr w:rsidR="00632208" w:rsidRPr="0098635C" w14:paraId="4B1D9AA4" w14:textId="77777777" w:rsidTr="00A432B0">
        <w:trPr>
          <w:trHeight w:val="197"/>
        </w:trPr>
        <w:tc>
          <w:tcPr>
            <w:tcW w:w="1701" w:type="dxa"/>
            <w:tcBorders>
              <w:top w:val="nil"/>
              <w:left w:val="double" w:sz="6" w:space="0" w:color="auto"/>
              <w:bottom w:val="single" w:sz="8" w:space="0" w:color="auto"/>
              <w:right w:val="single" w:sz="8" w:space="0" w:color="auto"/>
            </w:tcBorders>
            <w:shd w:val="clear" w:color="auto" w:fill="auto"/>
            <w:hideMark/>
          </w:tcPr>
          <w:p w14:paraId="1F326540"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Daphnia pulex </w:t>
            </w:r>
          </w:p>
        </w:tc>
        <w:tc>
          <w:tcPr>
            <w:tcW w:w="1701" w:type="dxa"/>
            <w:tcBorders>
              <w:top w:val="nil"/>
              <w:left w:val="nil"/>
              <w:bottom w:val="single" w:sz="8" w:space="0" w:color="auto"/>
              <w:right w:val="single" w:sz="8" w:space="0" w:color="auto"/>
            </w:tcBorders>
            <w:shd w:val="clear" w:color="auto" w:fill="auto"/>
            <w:hideMark/>
          </w:tcPr>
          <w:p w14:paraId="6B631307"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neonates (&lt; 24 h)</w:t>
            </w:r>
          </w:p>
        </w:tc>
        <w:tc>
          <w:tcPr>
            <w:tcW w:w="709" w:type="dxa"/>
            <w:tcBorders>
              <w:top w:val="nil"/>
              <w:left w:val="nil"/>
              <w:bottom w:val="single" w:sz="8" w:space="0" w:color="auto"/>
              <w:right w:val="single" w:sz="8" w:space="0" w:color="auto"/>
            </w:tcBorders>
            <w:shd w:val="clear" w:color="auto" w:fill="auto"/>
            <w:hideMark/>
          </w:tcPr>
          <w:p w14:paraId="52DDD805"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42 d</w:t>
            </w:r>
          </w:p>
        </w:tc>
        <w:tc>
          <w:tcPr>
            <w:tcW w:w="1276" w:type="dxa"/>
            <w:tcBorders>
              <w:top w:val="nil"/>
              <w:left w:val="nil"/>
              <w:bottom w:val="single" w:sz="8" w:space="0" w:color="auto"/>
              <w:right w:val="single" w:sz="8" w:space="0" w:color="auto"/>
            </w:tcBorders>
            <w:shd w:val="clear" w:color="auto" w:fill="auto"/>
            <w:hideMark/>
          </w:tcPr>
          <w:p w14:paraId="23B527FC"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mortality</w:t>
            </w:r>
          </w:p>
        </w:tc>
        <w:tc>
          <w:tcPr>
            <w:tcW w:w="850" w:type="dxa"/>
            <w:tcBorders>
              <w:top w:val="nil"/>
              <w:left w:val="nil"/>
              <w:bottom w:val="single" w:sz="8" w:space="0" w:color="auto"/>
              <w:right w:val="single" w:sz="8" w:space="0" w:color="auto"/>
            </w:tcBorders>
            <w:shd w:val="clear" w:color="auto" w:fill="auto"/>
            <w:hideMark/>
          </w:tcPr>
          <w:p w14:paraId="77CBC529"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40</w:t>
            </w:r>
          </w:p>
        </w:tc>
        <w:tc>
          <w:tcPr>
            <w:tcW w:w="709" w:type="dxa"/>
            <w:tcBorders>
              <w:top w:val="nil"/>
              <w:left w:val="nil"/>
              <w:bottom w:val="single" w:sz="8" w:space="0" w:color="auto"/>
              <w:right w:val="single" w:sz="8" w:space="0" w:color="auto"/>
            </w:tcBorders>
            <w:shd w:val="clear" w:color="auto" w:fill="auto"/>
            <w:hideMark/>
          </w:tcPr>
          <w:p w14:paraId="5F57B532"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w:t>
            </w:r>
          </w:p>
        </w:tc>
        <w:tc>
          <w:tcPr>
            <w:tcW w:w="709" w:type="dxa"/>
            <w:tcBorders>
              <w:top w:val="nil"/>
              <w:left w:val="nil"/>
              <w:bottom w:val="single" w:sz="8" w:space="0" w:color="auto"/>
              <w:right w:val="single" w:sz="8" w:space="0" w:color="auto"/>
            </w:tcBorders>
            <w:shd w:val="clear" w:color="auto" w:fill="auto"/>
            <w:hideMark/>
          </w:tcPr>
          <w:p w14:paraId="42CF3062"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0.5*</w:t>
            </w:r>
          </w:p>
        </w:tc>
        <w:tc>
          <w:tcPr>
            <w:tcW w:w="3118" w:type="dxa"/>
            <w:tcBorders>
              <w:top w:val="nil"/>
              <w:left w:val="nil"/>
              <w:bottom w:val="single" w:sz="8" w:space="0" w:color="auto"/>
              <w:right w:val="single" w:sz="8" w:space="0" w:color="auto"/>
            </w:tcBorders>
            <w:shd w:val="clear" w:color="auto" w:fill="auto"/>
            <w:hideMark/>
          </w:tcPr>
          <w:p w14:paraId="217FE4B0"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20°C; pH: 8.55; H:115 mg/L CaCO3; DOC: 0.85 mg/L (6)</w:t>
            </w:r>
          </w:p>
        </w:tc>
        <w:tc>
          <w:tcPr>
            <w:tcW w:w="2127" w:type="dxa"/>
            <w:tcBorders>
              <w:top w:val="nil"/>
              <w:left w:val="nil"/>
              <w:bottom w:val="single" w:sz="8" w:space="0" w:color="auto"/>
              <w:right w:val="single" w:sz="8" w:space="0" w:color="auto"/>
            </w:tcBorders>
            <w:shd w:val="clear" w:color="auto" w:fill="auto"/>
            <w:hideMark/>
          </w:tcPr>
          <w:p w14:paraId="4274F98C"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Deionized reconstituted + DOC</w:t>
            </w:r>
          </w:p>
        </w:tc>
        <w:tc>
          <w:tcPr>
            <w:tcW w:w="2409" w:type="dxa"/>
            <w:tcBorders>
              <w:top w:val="nil"/>
              <w:left w:val="nil"/>
              <w:bottom w:val="single" w:sz="8" w:space="0" w:color="auto"/>
              <w:right w:val="double" w:sz="6" w:space="0" w:color="auto"/>
            </w:tcBorders>
            <w:shd w:val="clear" w:color="auto" w:fill="auto"/>
            <w:hideMark/>
          </w:tcPr>
          <w:p w14:paraId="1C963FE3"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Winner, 1985 </w:t>
            </w:r>
          </w:p>
        </w:tc>
      </w:tr>
      <w:tr w:rsidR="00632208" w:rsidRPr="0098635C" w14:paraId="01AEC5EB" w14:textId="77777777" w:rsidTr="00A432B0">
        <w:trPr>
          <w:trHeight w:val="189"/>
        </w:trPr>
        <w:tc>
          <w:tcPr>
            <w:tcW w:w="1701" w:type="dxa"/>
            <w:tcBorders>
              <w:top w:val="nil"/>
              <w:left w:val="double" w:sz="6" w:space="0" w:color="auto"/>
              <w:bottom w:val="single" w:sz="8" w:space="0" w:color="auto"/>
              <w:right w:val="single" w:sz="8" w:space="0" w:color="auto"/>
            </w:tcBorders>
            <w:shd w:val="clear" w:color="auto" w:fill="auto"/>
            <w:hideMark/>
          </w:tcPr>
          <w:p w14:paraId="49C261BD"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Daphnia pulex </w:t>
            </w:r>
          </w:p>
        </w:tc>
        <w:tc>
          <w:tcPr>
            <w:tcW w:w="1701" w:type="dxa"/>
            <w:tcBorders>
              <w:top w:val="nil"/>
              <w:left w:val="nil"/>
              <w:bottom w:val="single" w:sz="8" w:space="0" w:color="auto"/>
              <w:right w:val="single" w:sz="8" w:space="0" w:color="auto"/>
            </w:tcBorders>
            <w:shd w:val="clear" w:color="auto" w:fill="auto"/>
            <w:hideMark/>
          </w:tcPr>
          <w:p w14:paraId="412C7989"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neonates (&lt; 24 h)</w:t>
            </w:r>
          </w:p>
        </w:tc>
        <w:tc>
          <w:tcPr>
            <w:tcW w:w="709" w:type="dxa"/>
            <w:tcBorders>
              <w:top w:val="nil"/>
              <w:left w:val="nil"/>
              <w:bottom w:val="single" w:sz="8" w:space="0" w:color="auto"/>
              <w:right w:val="single" w:sz="8" w:space="0" w:color="auto"/>
            </w:tcBorders>
            <w:shd w:val="clear" w:color="auto" w:fill="auto"/>
            <w:hideMark/>
          </w:tcPr>
          <w:p w14:paraId="623F497F"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42 d</w:t>
            </w:r>
          </w:p>
        </w:tc>
        <w:tc>
          <w:tcPr>
            <w:tcW w:w="1276" w:type="dxa"/>
            <w:tcBorders>
              <w:top w:val="nil"/>
              <w:left w:val="nil"/>
              <w:bottom w:val="single" w:sz="8" w:space="0" w:color="auto"/>
              <w:right w:val="single" w:sz="8" w:space="0" w:color="auto"/>
            </w:tcBorders>
            <w:shd w:val="clear" w:color="auto" w:fill="auto"/>
            <w:hideMark/>
          </w:tcPr>
          <w:p w14:paraId="30F366FA"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mortality</w:t>
            </w:r>
          </w:p>
        </w:tc>
        <w:tc>
          <w:tcPr>
            <w:tcW w:w="850" w:type="dxa"/>
            <w:tcBorders>
              <w:top w:val="nil"/>
              <w:left w:val="nil"/>
              <w:bottom w:val="single" w:sz="8" w:space="0" w:color="auto"/>
              <w:right w:val="single" w:sz="8" w:space="0" w:color="auto"/>
            </w:tcBorders>
            <w:shd w:val="clear" w:color="auto" w:fill="auto"/>
            <w:hideMark/>
          </w:tcPr>
          <w:p w14:paraId="04C2567F"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10</w:t>
            </w:r>
          </w:p>
        </w:tc>
        <w:tc>
          <w:tcPr>
            <w:tcW w:w="709" w:type="dxa"/>
            <w:tcBorders>
              <w:top w:val="nil"/>
              <w:left w:val="nil"/>
              <w:bottom w:val="single" w:sz="8" w:space="0" w:color="auto"/>
              <w:right w:val="single" w:sz="8" w:space="0" w:color="auto"/>
            </w:tcBorders>
            <w:shd w:val="clear" w:color="auto" w:fill="auto"/>
            <w:hideMark/>
          </w:tcPr>
          <w:p w14:paraId="2E7CF92A"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w:t>
            </w:r>
          </w:p>
        </w:tc>
        <w:tc>
          <w:tcPr>
            <w:tcW w:w="709" w:type="dxa"/>
            <w:tcBorders>
              <w:top w:val="nil"/>
              <w:left w:val="nil"/>
              <w:bottom w:val="single" w:sz="8" w:space="0" w:color="auto"/>
              <w:right w:val="single" w:sz="8" w:space="0" w:color="auto"/>
            </w:tcBorders>
            <w:shd w:val="clear" w:color="auto" w:fill="auto"/>
            <w:hideMark/>
          </w:tcPr>
          <w:p w14:paraId="0B6F8E7D"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0.5*</w:t>
            </w:r>
          </w:p>
        </w:tc>
        <w:tc>
          <w:tcPr>
            <w:tcW w:w="3118" w:type="dxa"/>
            <w:tcBorders>
              <w:top w:val="nil"/>
              <w:left w:val="nil"/>
              <w:bottom w:val="single" w:sz="8" w:space="0" w:color="auto"/>
              <w:right w:val="single" w:sz="8" w:space="0" w:color="auto"/>
            </w:tcBorders>
            <w:shd w:val="clear" w:color="auto" w:fill="auto"/>
            <w:hideMark/>
          </w:tcPr>
          <w:p w14:paraId="51B9F6CC"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20°C; pH: 8.55; H: 230 mg/L CaCO3; DOC: 0.175 mg/L (6)</w:t>
            </w:r>
          </w:p>
        </w:tc>
        <w:tc>
          <w:tcPr>
            <w:tcW w:w="2127" w:type="dxa"/>
            <w:tcBorders>
              <w:top w:val="nil"/>
              <w:left w:val="nil"/>
              <w:bottom w:val="single" w:sz="8" w:space="0" w:color="auto"/>
              <w:right w:val="single" w:sz="8" w:space="0" w:color="auto"/>
            </w:tcBorders>
            <w:shd w:val="clear" w:color="auto" w:fill="auto"/>
            <w:hideMark/>
          </w:tcPr>
          <w:p w14:paraId="663DE273"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Deionized reconstituted + DOC</w:t>
            </w:r>
          </w:p>
        </w:tc>
        <w:tc>
          <w:tcPr>
            <w:tcW w:w="2409" w:type="dxa"/>
            <w:tcBorders>
              <w:top w:val="nil"/>
              <w:left w:val="nil"/>
              <w:bottom w:val="single" w:sz="8" w:space="0" w:color="auto"/>
              <w:right w:val="double" w:sz="6" w:space="0" w:color="auto"/>
            </w:tcBorders>
            <w:shd w:val="clear" w:color="auto" w:fill="auto"/>
            <w:hideMark/>
          </w:tcPr>
          <w:p w14:paraId="6F2536A8"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Winner, 1985 </w:t>
            </w:r>
          </w:p>
        </w:tc>
      </w:tr>
      <w:tr w:rsidR="00632208" w:rsidRPr="0098635C" w14:paraId="77D1ED3E" w14:textId="77777777" w:rsidTr="00A432B0">
        <w:trPr>
          <w:trHeight w:val="181"/>
        </w:trPr>
        <w:tc>
          <w:tcPr>
            <w:tcW w:w="1701" w:type="dxa"/>
            <w:tcBorders>
              <w:top w:val="nil"/>
              <w:left w:val="double" w:sz="6" w:space="0" w:color="auto"/>
              <w:bottom w:val="single" w:sz="8" w:space="0" w:color="auto"/>
              <w:right w:val="single" w:sz="8" w:space="0" w:color="auto"/>
            </w:tcBorders>
            <w:shd w:val="clear" w:color="auto" w:fill="auto"/>
            <w:hideMark/>
          </w:tcPr>
          <w:p w14:paraId="28EB77A7"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Daphnia pulex </w:t>
            </w:r>
          </w:p>
        </w:tc>
        <w:tc>
          <w:tcPr>
            <w:tcW w:w="1701" w:type="dxa"/>
            <w:tcBorders>
              <w:top w:val="nil"/>
              <w:left w:val="nil"/>
              <w:bottom w:val="single" w:sz="8" w:space="0" w:color="auto"/>
              <w:right w:val="single" w:sz="8" w:space="0" w:color="auto"/>
            </w:tcBorders>
            <w:shd w:val="clear" w:color="auto" w:fill="auto"/>
            <w:hideMark/>
          </w:tcPr>
          <w:p w14:paraId="6C5A0CBF"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neonates (&lt; 24 h)</w:t>
            </w:r>
          </w:p>
        </w:tc>
        <w:tc>
          <w:tcPr>
            <w:tcW w:w="709" w:type="dxa"/>
            <w:tcBorders>
              <w:top w:val="nil"/>
              <w:left w:val="nil"/>
              <w:bottom w:val="single" w:sz="8" w:space="0" w:color="auto"/>
              <w:right w:val="single" w:sz="8" w:space="0" w:color="auto"/>
            </w:tcBorders>
            <w:shd w:val="clear" w:color="auto" w:fill="auto"/>
            <w:hideMark/>
          </w:tcPr>
          <w:p w14:paraId="55A7EC61"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42 d</w:t>
            </w:r>
          </w:p>
        </w:tc>
        <w:tc>
          <w:tcPr>
            <w:tcW w:w="1276" w:type="dxa"/>
            <w:tcBorders>
              <w:top w:val="nil"/>
              <w:left w:val="nil"/>
              <w:bottom w:val="single" w:sz="8" w:space="0" w:color="auto"/>
              <w:right w:val="single" w:sz="8" w:space="0" w:color="auto"/>
            </w:tcBorders>
            <w:shd w:val="clear" w:color="auto" w:fill="auto"/>
            <w:hideMark/>
          </w:tcPr>
          <w:p w14:paraId="26241BC8"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mortality</w:t>
            </w:r>
          </w:p>
        </w:tc>
        <w:tc>
          <w:tcPr>
            <w:tcW w:w="850" w:type="dxa"/>
            <w:tcBorders>
              <w:top w:val="nil"/>
              <w:left w:val="nil"/>
              <w:bottom w:val="single" w:sz="8" w:space="0" w:color="auto"/>
              <w:right w:val="single" w:sz="8" w:space="0" w:color="auto"/>
            </w:tcBorders>
            <w:shd w:val="clear" w:color="auto" w:fill="auto"/>
            <w:hideMark/>
          </w:tcPr>
          <w:p w14:paraId="524A99A1"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15</w:t>
            </w:r>
          </w:p>
        </w:tc>
        <w:tc>
          <w:tcPr>
            <w:tcW w:w="709" w:type="dxa"/>
            <w:tcBorders>
              <w:top w:val="nil"/>
              <w:left w:val="nil"/>
              <w:bottom w:val="single" w:sz="8" w:space="0" w:color="auto"/>
              <w:right w:val="single" w:sz="8" w:space="0" w:color="auto"/>
            </w:tcBorders>
            <w:shd w:val="clear" w:color="auto" w:fill="auto"/>
            <w:hideMark/>
          </w:tcPr>
          <w:p w14:paraId="12F48464"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w:t>
            </w:r>
          </w:p>
        </w:tc>
        <w:tc>
          <w:tcPr>
            <w:tcW w:w="709" w:type="dxa"/>
            <w:tcBorders>
              <w:top w:val="nil"/>
              <w:left w:val="nil"/>
              <w:bottom w:val="single" w:sz="8" w:space="0" w:color="auto"/>
              <w:right w:val="single" w:sz="8" w:space="0" w:color="auto"/>
            </w:tcBorders>
            <w:shd w:val="clear" w:color="auto" w:fill="auto"/>
            <w:hideMark/>
          </w:tcPr>
          <w:p w14:paraId="4987AE12"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0.5*</w:t>
            </w:r>
          </w:p>
        </w:tc>
        <w:tc>
          <w:tcPr>
            <w:tcW w:w="3118" w:type="dxa"/>
            <w:tcBorders>
              <w:top w:val="nil"/>
              <w:left w:val="nil"/>
              <w:bottom w:val="single" w:sz="8" w:space="0" w:color="auto"/>
              <w:right w:val="single" w:sz="8" w:space="0" w:color="auto"/>
            </w:tcBorders>
            <w:shd w:val="clear" w:color="auto" w:fill="auto"/>
            <w:hideMark/>
          </w:tcPr>
          <w:p w14:paraId="752DB5CA"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20°C; pH: 8.6; H: 230 mg/L CaCO3; DOC: 0.475 mg/L (6)</w:t>
            </w:r>
          </w:p>
        </w:tc>
        <w:tc>
          <w:tcPr>
            <w:tcW w:w="2127" w:type="dxa"/>
            <w:tcBorders>
              <w:top w:val="nil"/>
              <w:left w:val="nil"/>
              <w:bottom w:val="single" w:sz="8" w:space="0" w:color="auto"/>
              <w:right w:val="single" w:sz="8" w:space="0" w:color="auto"/>
            </w:tcBorders>
            <w:shd w:val="clear" w:color="auto" w:fill="auto"/>
            <w:hideMark/>
          </w:tcPr>
          <w:p w14:paraId="75A3EAA2"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Deionized reconstituted + DOC</w:t>
            </w:r>
          </w:p>
        </w:tc>
        <w:tc>
          <w:tcPr>
            <w:tcW w:w="2409" w:type="dxa"/>
            <w:tcBorders>
              <w:top w:val="nil"/>
              <w:left w:val="nil"/>
              <w:bottom w:val="single" w:sz="8" w:space="0" w:color="auto"/>
              <w:right w:val="double" w:sz="6" w:space="0" w:color="auto"/>
            </w:tcBorders>
            <w:shd w:val="clear" w:color="auto" w:fill="auto"/>
            <w:hideMark/>
          </w:tcPr>
          <w:p w14:paraId="2C6D4A8E"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Winner, 1985 </w:t>
            </w:r>
          </w:p>
        </w:tc>
      </w:tr>
      <w:tr w:rsidR="00632208" w:rsidRPr="0098635C" w14:paraId="50DEB762" w14:textId="77777777" w:rsidTr="00A432B0">
        <w:trPr>
          <w:trHeight w:val="315"/>
        </w:trPr>
        <w:tc>
          <w:tcPr>
            <w:tcW w:w="1701" w:type="dxa"/>
            <w:tcBorders>
              <w:top w:val="nil"/>
              <w:left w:val="double" w:sz="6" w:space="0" w:color="auto"/>
              <w:bottom w:val="single" w:sz="8" w:space="0" w:color="auto"/>
              <w:right w:val="single" w:sz="8" w:space="0" w:color="auto"/>
            </w:tcBorders>
            <w:shd w:val="clear" w:color="auto" w:fill="auto"/>
            <w:hideMark/>
          </w:tcPr>
          <w:p w14:paraId="4B87648D"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Daphnia pulex </w:t>
            </w:r>
          </w:p>
        </w:tc>
        <w:tc>
          <w:tcPr>
            <w:tcW w:w="1701" w:type="dxa"/>
            <w:tcBorders>
              <w:top w:val="nil"/>
              <w:left w:val="nil"/>
              <w:bottom w:val="single" w:sz="8" w:space="0" w:color="auto"/>
              <w:right w:val="single" w:sz="8" w:space="0" w:color="auto"/>
            </w:tcBorders>
            <w:shd w:val="clear" w:color="auto" w:fill="auto"/>
            <w:hideMark/>
          </w:tcPr>
          <w:p w14:paraId="242946F9"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neonates (&lt; 24 h)</w:t>
            </w:r>
          </w:p>
        </w:tc>
        <w:tc>
          <w:tcPr>
            <w:tcW w:w="709" w:type="dxa"/>
            <w:tcBorders>
              <w:top w:val="nil"/>
              <w:left w:val="nil"/>
              <w:bottom w:val="single" w:sz="8" w:space="0" w:color="auto"/>
              <w:right w:val="single" w:sz="8" w:space="0" w:color="auto"/>
            </w:tcBorders>
            <w:shd w:val="clear" w:color="auto" w:fill="auto"/>
            <w:hideMark/>
          </w:tcPr>
          <w:p w14:paraId="5E947873"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42 d</w:t>
            </w:r>
          </w:p>
        </w:tc>
        <w:tc>
          <w:tcPr>
            <w:tcW w:w="1276" w:type="dxa"/>
            <w:tcBorders>
              <w:top w:val="nil"/>
              <w:left w:val="nil"/>
              <w:bottom w:val="single" w:sz="8" w:space="0" w:color="auto"/>
              <w:right w:val="single" w:sz="8" w:space="0" w:color="auto"/>
            </w:tcBorders>
            <w:shd w:val="clear" w:color="auto" w:fill="auto"/>
            <w:hideMark/>
          </w:tcPr>
          <w:p w14:paraId="00DDC440"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mortality</w:t>
            </w:r>
          </w:p>
        </w:tc>
        <w:tc>
          <w:tcPr>
            <w:tcW w:w="850" w:type="dxa"/>
            <w:tcBorders>
              <w:top w:val="nil"/>
              <w:left w:val="nil"/>
              <w:bottom w:val="single" w:sz="8" w:space="0" w:color="auto"/>
              <w:right w:val="single" w:sz="8" w:space="0" w:color="auto"/>
            </w:tcBorders>
            <w:shd w:val="clear" w:color="auto" w:fill="auto"/>
            <w:hideMark/>
          </w:tcPr>
          <w:p w14:paraId="56BE7103"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20</w:t>
            </w:r>
          </w:p>
        </w:tc>
        <w:tc>
          <w:tcPr>
            <w:tcW w:w="709" w:type="dxa"/>
            <w:tcBorders>
              <w:top w:val="nil"/>
              <w:left w:val="nil"/>
              <w:bottom w:val="single" w:sz="8" w:space="0" w:color="auto"/>
              <w:right w:val="single" w:sz="8" w:space="0" w:color="auto"/>
            </w:tcBorders>
            <w:shd w:val="clear" w:color="auto" w:fill="auto"/>
            <w:hideMark/>
          </w:tcPr>
          <w:p w14:paraId="63026EE8"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w:t>
            </w:r>
          </w:p>
        </w:tc>
        <w:tc>
          <w:tcPr>
            <w:tcW w:w="709" w:type="dxa"/>
            <w:tcBorders>
              <w:top w:val="nil"/>
              <w:left w:val="nil"/>
              <w:bottom w:val="single" w:sz="8" w:space="0" w:color="auto"/>
              <w:right w:val="single" w:sz="8" w:space="0" w:color="auto"/>
            </w:tcBorders>
            <w:shd w:val="clear" w:color="auto" w:fill="auto"/>
            <w:hideMark/>
          </w:tcPr>
          <w:p w14:paraId="6F65B862"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0.5*</w:t>
            </w:r>
          </w:p>
        </w:tc>
        <w:tc>
          <w:tcPr>
            <w:tcW w:w="3118" w:type="dxa"/>
            <w:tcBorders>
              <w:top w:val="nil"/>
              <w:left w:val="nil"/>
              <w:bottom w:val="single" w:sz="8" w:space="0" w:color="auto"/>
              <w:right w:val="single" w:sz="8" w:space="0" w:color="auto"/>
            </w:tcBorders>
            <w:shd w:val="clear" w:color="auto" w:fill="auto"/>
            <w:hideMark/>
          </w:tcPr>
          <w:p w14:paraId="2C5F7C57"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20°C; pH: 8.6; H: 230 mg/L CaCO3; DOC: 0.85 mg/L (6)</w:t>
            </w:r>
          </w:p>
        </w:tc>
        <w:tc>
          <w:tcPr>
            <w:tcW w:w="2127" w:type="dxa"/>
            <w:tcBorders>
              <w:top w:val="nil"/>
              <w:left w:val="nil"/>
              <w:bottom w:val="single" w:sz="8" w:space="0" w:color="auto"/>
              <w:right w:val="single" w:sz="8" w:space="0" w:color="auto"/>
            </w:tcBorders>
            <w:shd w:val="clear" w:color="auto" w:fill="auto"/>
            <w:hideMark/>
          </w:tcPr>
          <w:p w14:paraId="6631EF71"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Deionized reconstituted + DOC</w:t>
            </w:r>
          </w:p>
        </w:tc>
        <w:tc>
          <w:tcPr>
            <w:tcW w:w="2409" w:type="dxa"/>
            <w:tcBorders>
              <w:top w:val="nil"/>
              <w:left w:val="nil"/>
              <w:bottom w:val="single" w:sz="8" w:space="0" w:color="auto"/>
              <w:right w:val="double" w:sz="6" w:space="0" w:color="auto"/>
            </w:tcBorders>
            <w:shd w:val="clear" w:color="auto" w:fill="auto"/>
            <w:hideMark/>
          </w:tcPr>
          <w:p w14:paraId="24BBBA17"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Winner, 1985 </w:t>
            </w:r>
          </w:p>
        </w:tc>
      </w:tr>
      <w:tr w:rsidR="00632208" w:rsidRPr="0098635C" w14:paraId="7919D42F" w14:textId="77777777" w:rsidTr="00A432B0">
        <w:trPr>
          <w:trHeight w:val="165"/>
        </w:trPr>
        <w:tc>
          <w:tcPr>
            <w:tcW w:w="1701" w:type="dxa"/>
            <w:tcBorders>
              <w:top w:val="nil"/>
              <w:left w:val="double" w:sz="6" w:space="0" w:color="auto"/>
              <w:bottom w:val="single" w:sz="8" w:space="0" w:color="auto"/>
              <w:right w:val="single" w:sz="8" w:space="0" w:color="auto"/>
            </w:tcBorders>
            <w:shd w:val="clear" w:color="auto" w:fill="auto"/>
            <w:hideMark/>
          </w:tcPr>
          <w:p w14:paraId="0B2DF8D5"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lastRenderedPageBreak/>
              <w:t>Brachionus calyciflorus</w:t>
            </w:r>
          </w:p>
        </w:tc>
        <w:tc>
          <w:tcPr>
            <w:tcW w:w="1701" w:type="dxa"/>
            <w:tcBorders>
              <w:top w:val="nil"/>
              <w:left w:val="nil"/>
              <w:bottom w:val="single" w:sz="8" w:space="0" w:color="auto"/>
              <w:right w:val="single" w:sz="8" w:space="0" w:color="auto"/>
            </w:tcBorders>
            <w:shd w:val="clear" w:color="auto" w:fill="auto"/>
            <w:hideMark/>
          </w:tcPr>
          <w:p w14:paraId="7DAFA8C4"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neonates (&lt; 2 h)</w:t>
            </w:r>
          </w:p>
        </w:tc>
        <w:tc>
          <w:tcPr>
            <w:tcW w:w="709" w:type="dxa"/>
            <w:tcBorders>
              <w:top w:val="nil"/>
              <w:left w:val="nil"/>
              <w:bottom w:val="single" w:sz="8" w:space="0" w:color="auto"/>
              <w:right w:val="single" w:sz="8" w:space="0" w:color="auto"/>
            </w:tcBorders>
            <w:shd w:val="clear" w:color="auto" w:fill="auto"/>
            <w:hideMark/>
          </w:tcPr>
          <w:p w14:paraId="56EA598B"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 d</w:t>
            </w:r>
          </w:p>
        </w:tc>
        <w:tc>
          <w:tcPr>
            <w:tcW w:w="1276" w:type="dxa"/>
            <w:tcBorders>
              <w:top w:val="nil"/>
              <w:left w:val="nil"/>
              <w:bottom w:val="single" w:sz="8" w:space="0" w:color="auto"/>
              <w:right w:val="single" w:sz="8" w:space="0" w:color="auto"/>
            </w:tcBorders>
            <w:shd w:val="clear" w:color="auto" w:fill="auto"/>
            <w:hideMark/>
          </w:tcPr>
          <w:p w14:paraId="777A0A86"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reproduction</w:t>
            </w:r>
          </w:p>
        </w:tc>
        <w:tc>
          <w:tcPr>
            <w:tcW w:w="850" w:type="dxa"/>
            <w:tcBorders>
              <w:top w:val="nil"/>
              <w:left w:val="nil"/>
              <w:bottom w:val="single" w:sz="8" w:space="0" w:color="auto"/>
              <w:right w:val="single" w:sz="8" w:space="0" w:color="auto"/>
            </w:tcBorders>
            <w:shd w:val="clear" w:color="auto" w:fill="auto"/>
            <w:hideMark/>
          </w:tcPr>
          <w:p w14:paraId="1FF2BF80"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8.2</w:t>
            </w:r>
          </w:p>
        </w:tc>
        <w:tc>
          <w:tcPr>
            <w:tcW w:w="709" w:type="dxa"/>
            <w:tcBorders>
              <w:top w:val="nil"/>
              <w:left w:val="nil"/>
              <w:bottom w:val="single" w:sz="8" w:space="0" w:color="auto"/>
              <w:right w:val="single" w:sz="8" w:space="0" w:color="auto"/>
            </w:tcBorders>
            <w:shd w:val="clear" w:color="auto" w:fill="auto"/>
            <w:hideMark/>
          </w:tcPr>
          <w:p w14:paraId="3EA95F0D"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S</w:t>
            </w:r>
          </w:p>
        </w:tc>
        <w:tc>
          <w:tcPr>
            <w:tcW w:w="709" w:type="dxa"/>
            <w:tcBorders>
              <w:top w:val="nil"/>
              <w:left w:val="nil"/>
              <w:bottom w:val="single" w:sz="8" w:space="0" w:color="auto"/>
              <w:right w:val="single" w:sz="8" w:space="0" w:color="auto"/>
            </w:tcBorders>
            <w:shd w:val="clear" w:color="auto" w:fill="auto"/>
            <w:hideMark/>
          </w:tcPr>
          <w:p w14:paraId="02B04F7E"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0.3</w:t>
            </w:r>
          </w:p>
        </w:tc>
        <w:tc>
          <w:tcPr>
            <w:tcW w:w="3118" w:type="dxa"/>
            <w:tcBorders>
              <w:top w:val="nil"/>
              <w:left w:val="nil"/>
              <w:bottom w:val="single" w:sz="8" w:space="0" w:color="auto"/>
              <w:right w:val="single" w:sz="8" w:space="0" w:color="auto"/>
            </w:tcBorders>
            <w:shd w:val="clear" w:color="auto" w:fill="auto"/>
            <w:hideMark/>
          </w:tcPr>
          <w:p w14:paraId="40E6391D"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25°C; pH: 6.0; H: 100 mg/L CaCO3; DOC: 4.91 mg/L</w:t>
            </w:r>
          </w:p>
        </w:tc>
        <w:tc>
          <w:tcPr>
            <w:tcW w:w="2127" w:type="dxa"/>
            <w:tcBorders>
              <w:top w:val="nil"/>
              <w:left w:val="nil"/>
              <w:bottom w:val="single" w:sz="8" w:space="0" w:color="auto"/>
              <w:right w:val="single" w:sz="8" w:space="0" w:color="auto"/>
            </w:tcBorders>
            <w:shd w:val="clear" w:color="auto" w:fill="auto"/>
            <w:hideMark/>
          </w:tcPr>
          <w:p w14:paraId="5B29EB0C"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Reconstituted</w:t>
            </w:r>
          </w:p>
        </w:tc>
        <w:tc>
          <w:tcPr>
            <w:tcW w:w="2409" w:type="dxa"/>
            <w:tcBorders>
              <w:top w:val="nil"/>
              <w:left w:val="nil"/>
              <w:bottom w:val="single" w:sz="8" w:space="0" w:color="auto"/>
              <w:right w:val="double" w:sz="6" w:space="0" w:color="auto"/>
            </w:tcBorders>
            <w:shd w:val="clear" w:color="auto" w:fill="auto"/>
            <w:hideMark/>
          </w:tcPr>
          <w:p w14:paraId="722B1036"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De Schamphelaere et al., 2006 (13)</w:t>
            </w:r>
          </w:p>
        </w:tc>
      </w:tr>
      <w:tr w:rsidR="00632208" w:rsidRPr="0098635C" w14:paraId="029E1D03" w14:textId="77777777" w:rsidTr="00A432B0">
        <w:trPr>
          <w:trHeight w:val="143"/>
        </w:trPr>
        <w:tc>
          <w:tcPr>
            <w:tcW w:w="1701" w:type="dxa"/>
            <w:tcBorders>
              <w:top w:val="nil"/>
              <w:left w:val="double" w:sz="6" w:space="0" w:color="auto"/>
              <w:bottom w:val="single" w:sz="8" w:space="0" w:color="auto"/>
              <w:right w:val="single" w:sz="8" w:space="0" w:color="auto"/>
            </w:tcBorders>
            <w:shd w:val="clear" w:color="auto" w:fill="auto"/>
            <w:hideMark/>
          </w:tcPr>
          <w:p w14:paraId="6EEE16EB"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Brachionus calyciflorus</w:t>
            </w:r>
          </w:p>
        </w:tc>
        <w:tc>
          <w:tcPr>
            <w:tcW w:w="1701" w:type="dxa"/>
            <w:tcBorders>
              <w:top w:val="nil"/>
              <w:left w:val="nil"/>
              <w:bottom w:val="single" w:sz="8" w:space="0" w:color="auto"/>
              <w:right w:val="single" w:sz="8" w:space="0" w:color="auto"/>
            </w:tcBorders>
            <w:shd w:val="clear" w:color="auto" w:fill="auto"/>
            <w:hideMark/>
          </w:tcPr>
          <w:p w14:paraId="3EF21B59"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neonates (&lt; 2 h)</w:t>
            </w:r>
          </w:p>
        </w:tc>
        <w:tc>
          <w:tcPr>
            <w:tcW w:w="709" w:type="dxa"/>
            <w:tcBorders>
              <w:top w:val="nil"/>
              <w:left w:val="nil"/>
              <w:bottom w:val="single" w:sz="8" w:space="0" w:color="auto"/>
              <w:right w:val="single" w:sz="8" w:space="0" w:color="auto"/>
            </w:tcBorders>
            <w:shd w:val="clear" w:color="auto" w:fill="auto"/>
            <w:hideMark/>
          </w:tcPr>
          <w:p w14:paraId="69100769"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 d</w:t>
            </w:r>
          </w:p>
        </w:tc>
        <w:tc>
          <w:tcPr>
            <w:tcW w:w="1276" w:type="dxa"/>
            <w:tcBorders>
              <w:top w:val="nil"/>
              <w:left w:val="nil"/>
              <w:bottom w:val="single" w:sz="8" w:space="0" w:color="auto"/>
              <w:right w:val="single" w:sz="8" w:space="0" w:color="auto"/>
            </w:tcBorders>
            <w:shd w:val="clear" w:color="auto" w:fill="auto"/>
            <w:hideMark/>
          </w:tcPr>
          <w:p w14:paraId="26F93E6F"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reproduction</w:t>
            </w:r>
          </w:p>
        </w:tc>
        <w:tc>
          <w:tcPr>
            <w:tcW w:w="850" w:type="dxa"/>
            <w:tcBorders>
              <w:top w:val="nil"/>
              <w:left w:val="nil"/>
              <w:bottom w:val="single" w:sz="8" w:space="0" w:color="auto"/>
              <w:right w:val="single" w:sz="8" w:space="0" w:color="auto"/>
            </w:tcBorders>
            <w:shd w:val="clear" w:color="auto" w:fill="auto"/>
            <w:hideMark/>
          </w:tcPr>
          <w:p w14:paraId="42DCE265"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31.2</w:t>
            </w:r>
          </w:p>
        </w:tc>
        <w:tc>
          <w:tcPr>
            <w:tcW w:w="709" w:type="dxa"/>
            <w:tcBorders>
              <w:top w:val="nil"/>
              <w:left w:val="nil"/>
              <w:bottom w:val="single" w:sz="8" w:space="0" w:color="auto"/>
              <w:right w:val="single" w:sz="8" w:space="0" w:color="auto"/>
            </w:tcBorders>
            <w:shd w:val="clear" w:color="auto" w:fill="auto"/>
            <w:hideMark/>
          </w:tcPr>
          <w:p w14:paraId="2EE60DC4"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S</w:t>
            </w:r>
          </w:p>
        </w:tc>
        <w:tc>
          <w:tcPr>
            <w:tcW w:w="709" w:type="dxa"/>
            <w:tcBorders>
              <w:top w:val="nil"/>
              <w:left w:val="nil"/>
              <w:bottom w:val="single" w:sz="8" w:space="0" w:color="auto"/>
              <w:right w:val="single" w:sz="8" w:space="0" w:color="auto"/>
            </w:tcBorders>
            <w:shd w:val="clear" w:color="auto" w:fill="auto"/>
            <w:hideMark/>
          </w:tcPr>
          <w:p w14:paraId="4AAAE035"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0.3</w:t>
            </w:r>
          </w:p>
        </w:tc>
        <w:tc>
          <w:tcPr>
            <w:tcW w:w="3118" w:type="dxa"/>
            <w:tcBorders>
              <w:top w:val="nil"/>
              <w:left w:val="nil"/>
              <w:bottom w:val="single" w:sz="8" w:space="0" w:color="auto"/>
              <w:right w:val="single" w:sz="8" w:space="0" w:color="auto"/>
            </w:tcBorders>
            <w:shd w:val="clear" w:color="auto" w:fill="auto"/>
            <w:hideMark/>
          </w:tcPr>
          <w:p w14:paraId="18684073"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25°C; pH: 6.0; H: 100 mg/L CaCO3; DOC: 14.5 mg/L</w:t>
            </w:r>
          </w:p>
        </w:tc>
        <w:tc>
          <w:tcPr>
            <w:tcW w:w="2127" w:type="dxa"/>
            <w:tcBorders>
              <w:top w:val="nil"/>
              <w:left w:val="nil"/>
              <w:bottom w:val="single" w:sz="8" w:space="0" w:color="auto"/>
              <w:right w:val="single" w:sz="8" w:space="0" w:color="auto"/>
            </w:tcBorders>
            <w:shd w:val="clear" w:color="auto" w:fill="auto"/>
            <w:hideMark/>
          </w:tcPr>
          <w:p w14:paraId="727D4488"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Reconstituted</w:t>
            </w:r>
          </w:p>
        </w:tc>
        <w:tc>
          <w:tcPr>
            <w:tcW w:w="2409" w:type="dxa"/>
            <w:tcBorders>
              <w:top w:val="nil"/>
              <w:left w:val="nil"/>
              <w:bottom w:val="single" w:sz="8" w:space="0" w:color="auto"/>
              <w:right w:val="double" w:sz="6" w:space="0" w:color="auto"/>
            </w:tcBorders>
            <w:shd w:val="clear" w:color="auto" w:fill="auto"/>
            <w:hideMark/>
          </w:tcPr>
          <w:p w14:paraId="4ABAFD8E"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De Schamphelaere et al., 2006 (13)</w:t>
            </w:r>
          </w:p>
        </w:tc>
      </w:tr>
      <w:tr w:rsidR="00632208" w:rsidRPr="0098635C" w14:paraId="07167927" w14:textId="77777777" w:rsidTr="00A432B0">
        <w:trPr>
          <w:trHeight w:val="64"/>
        </w:trPr>
        <w:tc>
          <w:tcPr>
            <w:tcW w:w="1701" w:type="dxa"/>
            <w:tcBorders>
              <w:top w:val="nil"/>
              <w:left w:val="double" w:sz="6" w:space="0" w:color="auto"/>
              <w:bottom w:val="single" w:sz="8" w:space="0" w:color="auto"/>
              <w:right w:val="single" w:sz="8" w:space="0" w:color="auto"/>
            </w:tcBorders>
            <w:shd w:val="clear" w:color="auto" w:fill="auto"/>
            <w:hideMark/>
          </w:tcPr>
          <w:p w14:paraId="06CBA933"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Brachionus calyciflorus</w:t>
            </w:r>
          </w:p>
        </w:tc>
        <w:tc>
          <w:tcPr>
            <w:tcW w:w="1701" w:type="dxa"/>
            <w:tcBorders>
              <w:top w:val="nil"/>
              <w:left w:val="nil"/>
              <w:bottom w:val="single" w:sz="8" w:space="0" w:color="auto"/>
              <w:right w:val="single" w:sz="8" w:space="0" w:color="auto"/>
            </w:tcBorders>
            <w:shd w:val="clear" w:color="auto" w:fill="auto"/>
            <w:hideMark/>
          </w:tcPr>
          <w:p w14:paraId="4E26CA58"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neonates (&lt; 2 h)</w:t>
            </w:r>
          </w:p>
        </w:tc>
        <w:tc>
          <w:tcPr>
            <w:tcW w:w="709" w:type="dxa"/>
            <w:tcBorders>
              <w:top w:val="nil"/>
              <w:left w:val="nil"/>
              <w:bottom w:val="single" w:sz="8" w:space="0" w:color="auto"/>
              <w:right w:val="single" w:sz="8" w:space="0" w:color="auto"/>
            </w:tcBorders>
            <w:shd w:val="clear" w:color="auto" w:fill="auto"/>
            <w:hideMark/>
          </w:tcPr>
          <w:p w14:paraId="412D6102"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 d</w:t>
            </w:r>
          </w:p>
        </w:tc>
        <w:tc>
          <w:tcPr>
            <w:tcW w:w="1276" w:type="dxa"/>
            <w:tcBorders>
              <w:top w:val="nil"/>
              <w:left w:val="nil"/>
              <w:bottom w:val="single" w:sz="8" w:space="0" w:color="auto"/>
              <w:right w:val="single" w:sz="8" w:space="0" w:color="auto"/>
            </w:tcBorders>
            <w:shd w:val="clear" w:color="auto" w:fill="auto"/>
            <w:hideMark/>
          </w:tcPr>
          <w:p w14:paraId="04EF6C7C"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reproduction</w:t>
            </w:r>
          </w:p>
        </w:tc>
        <w:tc>
          <w:tcPr>
            <w:tcW w:w="850" w:type="dxa"/>
            <w:tcBorders>
              <w:top w:val="nil"/>
              <w:left w:val="nil"/>
              <w:bottom w:val="single" w:sz="8" w:space="0" w:color="auto"/>
              <w:right w:val="single" w:sz="8" w:space="0" w:color="auto"/>
            </w:tcBorders>
            <w:shd w:val="clear" w:color="auto" w:fill="auto"/>
            <w:hideMark/>
          </w:tcPr>
          <w:p w14:paraId="702193F5"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47.8</w:t>
            </w:r>
          </w:p>
        </w:tc>
        <w:tc>
          <w:tcPr>
            <w:tcW w:w="709" w:type="dxa"/>
            <w:tcBorders>
              <w:top w:val="nil"/>
              <w:left w:val="nil"/>
              <w:bottom w:val="single" w:sz="8" w:space="0" w:color="auto"/>
              <w:right w:val="single" w:sz="8" w:space="0" w:color="auto"/>
            </w:tcBorders>
            <w:shd w:val="clear" w:color="auto" w:fill="auto"/>
            <w:hideMark/>
          </w:tcPr>
          <w:p w14:paraId="5335FFB6"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S</w:t>
            </w:r>
          </w:p>
        </w:tc>
        <w:tc>
          <w:tcPr>
            <w:tcW w:w="709" w:type="dxa"/>
            <w:tcBorders>
              <w:top w:val="nil"/>
              <w:left w:val="nil"/>
              <w:bottom w:val="single" w:sz="8" w:space="0" w:color="auto"/>
              <w:right w:val="single" w:sz="8" w:space="0" w:color="auto"/>
            </w:tcBorders>
            <w:shd w:val="clear" w:color="auto" w:fill="auto"/>
            <w:hideMark/>
          </w:tcPr>
          <w:p w14:paraId="599FBD8F"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0.3</w:t>
            </w:r>
          </w:p>
        </w:tc>
        <w:tc>
          <w:tcPr>
            <w:tcW w:w="3118" w:type="dxa"/>
            <w:tcBorders>
              <w:top w:val="nil"/>
              <w:left w:val="nil"/>
              <w:bottom w:val="single" w:sz="8" w:space="0" w:color="auto"/>
              <w:right w:val="single" w:sz="8" w:space="0" w:color="auto"/>
            </w:tcBorders>
            <w:shd w:val="clear" w:color="auto" w:fill="auto"/>
            <w:hideMark/>
          </w:tcPr>
          <w:p w14:paraId="60380BFC"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25°C; pH: 7.8; H: 100 mg/L CaCO3; DOC: 4.83 mg/L</w:t>
            </w:r>
          </w:p>
        </w:tc>
        <w:tc>
          <w:tcPr>
            <w:tcW w:w="2127" w:type="dxa"/>
            <w:tcBorders>
              <w:top w:val="nil"/>
              <w:left w:val="nil"/>
              <w:bottom w:val="single" w:sz="8" w:space="0" w:color="auto"/>
              <w:right w:val="single" w:sz="8" w:space="0" w:color="auto"/>
            </w:tcBorders>
            <w:shd w:val="clear" w:color="auto" w:fill="auto"/>
            <w:hideMark/>
          </w:tcPr>
          <w:p w14:paraId="6130B81C"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Reconstituted</w:t>
            </w:r>
          </w:p>
        </w:tc>
        <w:tc>
          <w:tcPr>
            <w:tcW w:w="2409" w:type="dxa"/>
            <w:tcBorders>
              <w:top w:val="nil"/>
              <w:left w:val="nil"/>
              <w:bottom w:val="single" w:sz="8" w:space="0" w:color="auto"/>
              <w:right w:val="double" w:sz="6" w:space="0" w:color="auto"/>
            </w:tcBorders>
            <w:shd w:val="clear" w:color="auto" w:fill="auto"/>
            <w:hideMark/>
          </w:tcPr>
          <w:p w14:paraId="2513E3CA"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De Schamphelaere et al., 2006 (13)</w:t>
            </w:r>
          </w:p>
        </w:tc>
      </w:tr>
      <w:tr w:rsidR="00632208" w:rsidRPr="0098635C" w14:paraId="3352F57D" w14:textId="77777777" w:rsidTr="00A432B0">
        <w:trPr>
          <w:trHeight w:val="64"/>
        </w:trPr>
        <w:tc>
          <w:tcPr>
            <w:tcW w:w="1701" w:type="dxa"/>
            <w:tcBorders>
              <w:top w:val="nil"/>
              <w:left w:val="double" w:sz="6" w:space="0" w:color="auto"/>
              <w:bottom w:val="single" w:sz="8" w:space="0" w:color="auto"/>
              <w:right w:val="single" w:sz="8" w:space="0" w:color="auto"/>
            </w:tcBorders>
            <w:shd w:val="clear" w:color="auto" w:fill="auto"/>
            <w:hideMark/>
          </w:tcPr>
          <w:p w14:paraId="04328C90"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Brachionus calyciflorus</w:t>
            </w:r>
          </w:p>
        </w:tc>
        <w:tc>
          <w:tcPr>
            <w:tcW w:w="1701" w:type="dxa"/>
            <w:tcBorders>
              <w:top w:val="nil"/>
              <w:left w:val="nil"/>
              <w:bottom w:val="single" w:sz="8" w:space="0" w:color="auto"/>
              <w:right w:val="single" w:sz="8" w:space="0" w:color="auto"/>
            </w:tcBorders>
            <w:shd w:val="clear" w:color="auto" w:fill="auto"/>
            <w:hideMark/>
          </w:tcPr>
          <w:p w14:paraId="2247170D"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neonates (&lt; 2 h)</w:t>
            </w:r>
          </w:p>
        </w:tc>
        <w:tc>
          <w:tcPr>
            <w:tcW w:w="709" w:type="dxa"/>
            <w:tcBorders>
              <w:top w:val="nil"/>
              <w:left w:val="nil"/>
              <w:bottom w:val="single" w:sz="8" w:space="0" w:color="auto"/>
              <w:right w:val="single" w:sz="8" w:space="0" w:color="auto"/>
            </w:tcBorders>
            <w:shd w:val="clear" w:color="auto" w:fill="auto"/>
            <w:hideMark/>
          </w:tcPr>
          <w:p w14:paraId="1C4C240B"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 d</w:t>
            </w:r>
          </w:p>
        </w:tc>
        <w:tc>
          <w:tcPr>
            <w:tcW w:w="1276" w:type="dxa"/>
            <w:tcBorders>
              <w:top w:val="nil"/>
              <w:left w:val="nil"/>
              <w:bottom w:val="single" w:sz="8" w:space="0" w:color="auto"/>
              <w:right w:val="single" w:sz="8" w:space="0" w:color="auto"/>
            </w:tcBorders>
            <w:shd w:val="clear" w:color="auto" w:fill="auto"/>
            <w:hideMark/>
          </w:tcPr>
          <w:p w14:paraId="300F7710"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reproduction</w:t>
            </w:r>
          </w:p>
        </w:tc>
        <w:tc>
          <w:tcPr>
            <w:tcW w:w="850" w:type="dxa"/>
            <w:tcBorders>
              <w:top w:val="nil"/>
              <w:left w:val="nil"/>
              <w:bottom w:val="single" w:sz="8" w:space="0" w:color="auto"/>
              <w:right w:val="single" w:sz="8" w:space="0" w:color="auto"/>
            </w:tcBorders>
            <w:shd w:val="clear" w:color="auto" w:fill="auto"/>
            <w:hideMark/>
          </w:tcPr>
          <w:p w14:paraId="5C577C13"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103</w:t>
            </w:r>
          </w:p>
        </w:tc>
        <w:tc>
          <w:tcPr>
            <w:tcW w:w="709" w:type="dxa"/>
            <w:tcBorders>
              <w:top w:val="nil"/>
              <w:left w:val="nil"/>
              <w:bottom w:val="single" w:sz="8" w:space="0" w:color="auto"/>
              <w:right w:val="single" w:sz="8" w:space="0" w:color="auto"/>
            </w:tcBorders>
            <w:shd w:val="clear" w:color="auto" w:fill="auto"/>
            <w:hideMark/>
          </w:tcPr>
          <w:p w14:paraId="233FC7E2"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S</w:t>
            </w:r>
          </w:p>
        </w:tc>
        <w:tc>
          <w:tcPr>
            <w:tcW w:w="709" w:type="dxa"/>
            <w:tcBorders>
              <w:top w:val="nil"/>
              <w:left w:val="nil"/>
              <w:bottom w:val="single" w:sz="8" w:space="0" w:color="auto"/>
              <w:right w:val="single" w:sz="8" w:space="0" w:color="auto"/>
            </w:tcBorders>
            <w:shd w:val="clear" w:color="auto" w:fill="auto"/>
            <w:hideMark/>
          </w:tcPr>
          <w:p w14:paraId="60E400EA"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0.3</w:t>
            </w:r>
          </w:p>
        </w:tc>
        <w:tc>
          <w:tcPr>
            <w:tcW w:w="3118" w:type="dxa"/>
            <w:tcBorders>
              <w:top w:val="nil"/>
              <w:left w:val="nil"/>
              <w:bottom w:val="single" w:sz="8" w:space="0" w:color="auto"/>
              <w:right w:val="single" w:sz="8" w:space="0" w:color="auto"/>
            </w:tcBorders>
            <w:shd w:val="clear" w:color="auto" w:fill="auto"/>
            <w:hideMark/>
          </w:tcPr>
          <w:p w14:paraId="26040CB7"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25°C; pH: 7.8; H: 100 mg/L CaCO3; DOC: 14.7 mg/L</w:t>
            </w:r>
          </w:p>
        </w:tc>
        <w:tc>
          <w:tcPr>
            <w:tcW w:w="2127" w:type="dxa"/>
            <w:tcBorders>
              <w:top w:val="nil"/>
              <w:left w:val="nil"/>
              <w:bottom w:val="single" w:sz="8" w:space="0" w:color="auto"/>
              <w:right w:val="single" w:sz="8" w:space="0" w:color="auto"/>
            </w:tcBorders>
            <w:shd w:val="clear" w:color="auto" w:fill="auto"/>
            <w:hideMark/>
          </w:tcPr>
          <w:p w14:paraId="04689E0D"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Reconstituted</w:t>
            </w:r>
          </w:p>
        </w:tc>
        <w:tc>
          <w:tcPr>
            <w:tcW w:w="2409" w:type="dxa"/>
            <w:tcBorders>
              <w:top w:val="nil"/>
              <w:left w:val="nil"/>
              <w:bottom w:val="single" w:sz="8" w:space="0" w:color="auto"/>
              <w:right w:val="double" w:sz="6" w:space="0" w:color="auto"/>
            </w:tcBorders>
            <w:shd w:val="clear" w:color="auto" w:fill="auto"/>
            <w:hideMark/>
          </w:tcPr>
          <w:p w14:paraId="3C841CD5"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De Schamphelaere et al., 2006 (13)</w:t>
            </w:r>
          </w:p>
        </w:tc>
      </w:tr>
      <w:tr w:rsidR="00632208" w:rsidRPr="0098635C" w14:paraId="52E6CA58" w14:textId="77777777" w:rsidTr="00A432B0">
        <w:trPr>
          <w:trHeight w:val="64"/>
        </w:trPr>
        <w:tc>
          <w:tcPr>
            <w:tcW w:w="1701" w:type="dxa"/>
            <w:tcBorders>
              <w:top w:val="nil"/>
              <w:left w:val="double" w:sz="6" w:space="0" w:color="auto"/>
              <w:bottom w:val="single" w:sz="8" w:space="0" w:color="auto"/>
              <w:right w:val="single" w:sz="8" w:space="0" w:color="auto"/>
            </w:tcBorders>
            <w:shd w:val="clear" w:color="auto" w:fill="auto"/>
            <w:hideMark/>
          </w:tcPr>
          <w:p w14:paraId="10A09BA6"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Gammarus pulex</w:t>
            </w:r>
          </w:p>
        </w:tc>
        <w:tc>
          <w:tcPr>
            <w:tcW w:w="1701" w:type="dxa"/>
            <w:tcBorders>
              <w:top w:val="nil"/>
              <w:left w:val="nil"/>
              <w:bottom w:val="single" w:sz="8" w:space="0" w:color="auto"/>
              <w:right w:val="single" w:sz="8" w:space="0" w:color="auto"/>
            </w:tcBorders>
            <w:shd w:val="clear" w:color="auto" w:fill="auto"/>
            <w:hideMark/>
          </w:tcPr>
          <w:p w14:paraId="7C7FDD9B"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mixed sizes (1.5-14 mm)</w:t>
            </w:r>
          </w:p>
        </w:tc>
        <w:tc>
          <w:tcPr>
            <w:tcW w:w="709" w:type="dxa"/>
            <w:tcBorders>
              <w:top w:val="nil"/>
              <w:left w:val="nil"/>
              <w:bottom w:val="single" w:sz="8" w:space="0" w:color="auto"/>
              <w:right w:val="single" w:sz="8" w:space="0" w:color="auto"/>
            </w:tcBorders>
            <w:shd w:val="clear" w:color="auto" w:fill="auto"/>
            <w:hideMark/>
          </w:tcPr>
          <w:p w14:paraId="50658D40"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100 d</w:t>
            </w:r>
          </w:p>
        </w:tc>
        <w:tc>
          <w:tcPr>
            <w:tcW w:w="1276" w:type="dxa"/>
            <w:tcBorders>
              <w:top w:val="nil"/>
              <w:left w:val="nil"/>
              <w:bottom w:val="single" w:sz="8" w:space="0" w:color="auto"/>
              <w:right w:val="single" w:sz="8" w:space="0" w:color="auto"/>
            </w:tcBorders>
            <w:shd w:val="clear" w:color="auto" w:fill="auto"/>
            <w:hideMark/>
          </w:tcPr>
          <w:p w14:paraId="62E8B986"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population response</w:t>
            </w:r>
          </w:p>
        </w:tc>
        <w:tc>
          <w:tcPr>
            <w:tcW w:w="850" w:type="dxa"/>
            <w:tcBorders>
              <w:top w:val="nil"/>
              <w:left w:val="nil"/>
              <w:bottom w:val="single" w:sz="8" w:space="0" w:color="auto"/>
              <w:right w:val="single" w:sz="8" w:space="0" w:color="auto"/>
            </w:tcBorders>
            <w:shd w:val="clear" w:color="auto" w:fill="auto"/>
            <w:hideMark/>
          </w:tcPr>
          <w:p w14:paraId="15222B64"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11</w:t>
            </w:r>
          </w:p>
        </w:tc>
        <w:tc>
          <w:tcPr>
            <w:tcW w:w="709" w:type="dxa"/>
            <w:tcBorders>
              <w:top w:val="nil"/>
              <w:left w:val="nil"/>
              <w:bottom w:val="single" w:sz="8" w:space="0" w:color="auto"/>
              <w:right w:val="single" w:sz="8" w:space="0" w:color="auto"/>
            </w:tcBorders>
            <w:shd w:val="clear" w:color="auto" w:fill="auto"/>
            <w:hideMark/>
          </w:tcPr>
          <w:p w14:paraId="5AE74968"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FT</w:t>
            </w:r>
          </w:p>
        </w:tc>
        <w:tc>
          <w:tcPr>
            <w:tcW w:w="709" w:type="dxa"/>
            <w:tcBorders>
              <w:top w:val="nil"/>
              <w:left w:val="nil"/>
              <w:bottom w:val="single" w:sz="8" w:space="0" w:color="auto"/>
              <w:right w:val="single" w:sz="8" w:space="0" w:color="auto"/>
            </w:tcBorders>
            <w:shd w:val="clear" w:color="auto" w:fill="auto"/>
            <w:hideMark/>
          </w:tcPr>
          <w:p w14:paraId="75F80FD1"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2.6</w:t>
            </w:r>
          </w:p>
        </w:tc>
        <w:tc>
          <w:tcPr>
            <w:tcW w:w="3118" w:type="dxa"/>
            <w:tcBorders>
              <w:top w:val="nil"/>
              <w:left w:val="nil"/>
              <w:bottom w:val="single" w:sz="8" w:space="0" w:color="auto"/>
              <w:right w:val="single" w:sz="8" w:space="0" w:color="auto"/>
            </w:tcBorders>
            <w:shd w:val="clear" w:color="auto" w:fill="auto"/>
            <w:hideMark/>
          </w:tcPr>
          <w:p w14:paraId="4883BA7D"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11°C; pH: ; H: 103 mg/L CaCO3; DOC: 1 mg/L (7)</w:t>
            </w:r>
          </w:p>
        </w:tc>
        <w:tc>
          <w:tcPr>
            <w:tcW w:w="2127" w:type="dxa"/>
            <w:tcBorders>
              <w:top w:val="nil"/>
              <w:left w:val="nil"/>
              <w:bottom w:val="single" w:sz="8" w:space="0" w:color="auto"/>
              <w:right w:val="single" w:sz="8" w:space="0" w:color="auto"/>
            </w:tcBorders>
            <w:shd w:val="clear" w:color="auto" w:fill="auto"/>
            <w:hideMark/>
          </w:tcPr>
          <w:p w14:paraId="0096271B"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Tap</w:t>
            </w:r>
          </w:p>
        </w:tc>
        <w:tc>
          <w:tcPr>
            <w:tcW w:w="2409" w:type="dxa"/>
            <w:tcBorders>
              <w:top w:val="nil"/>
              <w:left w:val="nil"/>
              <w:bottom w:val="single" w:sz="8" w:space="0" w:color="auto"/>
              <w:right w:val="double" w:sz="6" w:space="0" w:color="auto"/>
            </w:tcBorders>
            <w:shd w:val="clear" w:color="auto" w:fill="auto"/>
            <w:hideMark/>
          </w:tcPr>
          <w:p w14:paraId="1B66D42F"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Maund et al., 1992 </w:t>
            </w:r>
          </w:p>
        </w:tc>
      </w:tr>
      <w:tr w:rsidR="00632208" w:rsidRPr="0098635C" w14:paraId="446CCFD9" w14:textId="77777777" w:rsidTr="00A432B0">
        <w:trPr>
          <w:trHeight w:val="64"/>
        </w:trPr>
        <w:tc>
          <w:tcPr>
            <w:tcW w:w="1701" w:type="dxa"/>
            <w:tcBorders>
              <w:top w:val="nil"/>
              <w:left w:val="double" w:sz="6" w:space="0" w:color="auto"/>
              <w:bottom w:val="single" w:sz="8" w:space="0" w:color="auto"/>
              <w:right w:val="single" w:sz="8" w:space="0" w:color="auto"/>
            </w:tcBorders>
            <w:shd w:val="clear" w:color="auto" w:fill="auto"/>
            <w:hideMark/>
          </w:tcPr>
          <w:p w14:paraId="7AED6AF1"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Hyalella azteca </w:t>
            </w:r>
          </w:p>
        </w:tc>
        <w:tc>
          <w:tcPr>
            <w:tcW w:w="1701" w:type="dxa"/>
            <w:tcBorders>
              <w:top w:val="nil"/>
              <w:left w:val="nil"/>
              <w:bottom w:val="single" w:sz="8" w:space="0" w:color="auto"/>
              <w:right w:val="single" w:sz="8" w:space="0" w:color="auto"/>
            </w:tcBorders>
            <w:shd w:val="clear" w:color="auto" w:fill="auto"/>
            <w:hideMark/>
          </w:tcPr>
          <w:p w14:paraId="012CA753"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2 - 3 weeks old</w:t>
            </w:r>
          </w:p>
        </w:tc>
        <w:tc>
          <w:tcPr>
            <w:tcW w:w="709" w:type="dxa"/>
            <w:tcBorders>
              <w:top w:val="nil"/>
              <w:left w:val="nil"/>
              <w:bottom w:val="single" w:sz="8" w:space="0" w:color="auto"/>
              <w:right w:val="single" w:sz="8" w:space="0" w:color="auto"/>
            </w:tcBorders>
            <w:shd w:val="clear" w:color="auto" w:fill="auto"/>
            <w:hideMark/>
          </w:tcPr>
          <w:p w14:paraId="291BD3BA"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10 d</w:t>
            </w:r>
          </w:p>
        </w:tc>
        <w:tc>
          <w:tcPr>
            <w:tcW w:w="1276" w:type="dxa"/>
            <w:tcBorders>
              <w:top w:val="nil"/>
              <w:left w:val="nil"/>
              <w:bottom w:val="single" w:sz="8" w:space="0" w:color="auto"/>
              <w:right w:val="single" w:sz="8" w:space="0" w:color="auto"/>
            </w:tcBorders>
            <w:shd w:val="clear" w:color="auto" w:fill="auto"/>
            <w:hideMark/>
          </w:tcPr>
          <w:p w14:paraId="2B963F5E"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mortality</w:t>
            </w:r>
          </w:p>
        </w:tc>
        <w:tc>
          <w:tcPr>
            <w:tcW w:w="850" w:type="dxa"/>
            <w:tcBorders>
              <w:top w:val="nil"/>
              <w:left w:val="nil"/>
              <w:bottom w:val="single" w:sz="8" w:space="0" w:color="auto"/>
              <w:right w:val="single" w:sz="8" w:space="0" w:color="auto"/>
            </w:tcBorders>
            <w:shd w:val="clear" w:color="auto" w:fill="auto"/>
            <w:hideMark/>
          </w:tcPr>
          <w:p w14:paraId="3E09D25A"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50</w:t>
            </w:r>
          </w:p>
        </w:tc>
        <w:tc>
          <w:tcPr>
            <w:tcW w:w="709" w:type="dxa"/>
            <w:tcBorders>
              <w:top w:val="nil"/>
              <w:left w:val="nil"/>
              <w:bottom w:val="single" w:sz="8" w:space="0" w:color="auto"/>
              <w:right w:val="single" w:sz="8" w:space="0" w:color="auto"/>
            </w:tcBorders>
            <w:shd w:val="clear" w:color="auto" w:fill="auto"/>
            <w:hideMark/>
          </w:tcPr>
          <w:p w14:paraId="19D796AF"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S</w:t>
            </w:r>
          </w:p>
        </w:tc>
        <w:tc>
          <w:tcPr>
            <w:tcW w:w="709" w:type="dxa"/>
            <w:tcBorders>
              <w:top w:val="nil"/>
              <w:left w:val="nil"/>
              <w:bottom w:val="single" w:sz="8" w:space="0" w:color="auto"/>
              <w:right w:val="single" w:sz="8" w:space="0" w:color="auto"/>
            </w:tcBorders>
            <w:shd w:val="clear" w:color="auto" w:fill="auto"/>
            <w:hideMark/>
          </w:tcPr>
          <w:p w14:paraId="7EBC7A68"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w:t>
            </w:r>
          </w:p>
        </w:tc>
        <w:tc>
          <w:tcPr>
            <w:tcW w:w="3118" w:type="dxa"/>
            <w:tcBorders>
              <w:top w:val="nil"/>
              <w:left w:val="nil"/>
              <w:bottom w:val="single" w:sz="8" w:space="0" w:color="auto"/>
              <w:right w:val="single" w:sz="8" w:space="0" w:color="auto"/>
            </w:tcBorders>
            <w:shd w:val="clear" w:color="auto" w:fill="auto"/>
            <w:hideMark/>
          </w:tcPr>
          <w:p w14:paraId="1FB0E8E3"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20°C; pH: 7.65; H: 36 mg/L CaCO3; DOC: 1 mg/L (8)</w:t>
            </w:r>
          </w:p>
        </w:tc>
        <w:tc>
          <w:tcPr>
            <w:tcW w:w="2127" w:type="dxa"/>
            <w:tcBorders>
              <w:top w:val="nil"/>
              <w:left w:val="nil"/>
              <w:bottom w:val="single" w:sz="8" w:space="0" w:color="auto"/>
              <w:right w:val="single" w:sz="8" w:space="0" w:color="auto"/>
            </w:tcBorders>
            <w:shd w:val="clear" w:color="auto" w:fill="auto"/>
            <w:hideMark/>
          </w:tcPr>
          <w:p w14:paraId="60E2FEBD"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Spring</w:t>
            </w:r>
          </w:p>
        </w:tc>
        <w:tc>
          <w:tcPr>
            <w:tcW w:w="2409" w:type="dxa"/>
            <w:tcBorders>
              <w:top w:val="nil"/>
              <w:left w:val="nil"/>
              <w:bottom w:val="single" w:sz="8" w:space="0" w:color="auto"/>
              <w:right w:val="double" w:sz="6" w:space="0" w:color="auto"/>
            </w:tcBorders>
            <w:shd w:val="clear" w:color="auto" w:fill="auto"/>
            <w:hideMark/>
          </w:tcPr>
          <w:p w14:paraId="7F53944A"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Deaver &amp; Rodgers, 1996 </w:t>
            </w:r>
          </w:p>
        </w:tc>
      </w:tr>
      <w:tr w:rsidR="00632208" w:rsidRPr="0098635C" w14:paraId="0073F2F3" w14:textId="77777777" w:rsidTr="00A432B0">
        <w:trPr>
          <w:trHeight w:val="64"/>
        </w:trPr>
        <w:tc>
          <w:tcPr>
            <w:tcW w:w="1701" w:type="dxa"/>
            <w:tcBorders>
              <w:top w:val="nil"/>
              <w:left w:val="double" w:sz="6" w:space="0" w:color="auto"/>
              <w:bottom w:val="single" w:sz="8" w:space="0" w:color="auto"/>
              <w:right w:val="single" w:sz="8" w:space="0" w:color="auto"/>
            </w:tcBorders>
            <w:shd w:val="clear" w:color="auto" w:fill="auto"/>
            <w:hideMark/>
          </w:tcPr>
          <w:p w14:paraId="1D6E8024"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Hyalella azteca </w:t>
            </w:r>
          </w:p>
        </w:tc>
        <w:tc>
          <w:tcPr>
            <w:tcW w:w="1701" w:type="dxa"/>
            <w:tcBorders>
              <w:top w:val="nil"/>
              <w:left w:val="nil"/>
              <w:bottom w:val="single" w:sz="8" w:space="0" w:color="auto"/>
              <w:right w:val="single" w:sz="8" w:space="0" w:color="auto"/>
            </w:tcBorders>
            <w:shd w:val="clear" w:color="auto" w:fill="auto"/>
            <w:hideMark/>
          </w:tcPr>
          <w:p w14:paraId="3336A36B"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2 - 3 weeks old</w:t>
            </w:r>
          </w:p>
        </w:tc>
        <w:tc>
          <w:tcPr>
            <w:tcW w:w="709" w:type="dxa"/>
            <w:tcBorders>
              <w:top w:val="nil"/>
              <w:left w:val="nil"/>
              <w:bottom w:val="single" w:sz="8" w:space="0" w:color="auto"/>
              <w:right w:val="single" w:sz="8" w:space="0" w:color="auto"/>
            </w:tcBorders>
            <w:shd w:val="clear" w:color="auto" w:fill="auto"/>
            <w:hideMark/>
          </w:tcPr>
          <w:p w14:paraId="52281E81"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10 d</w:t>
            </w:r>
          </w:p>
        </w:tc>
        <w:tc>
          <w:tcPr>
            <w:tcW w:w="1276" w:type="dxa"/>
            <w:tcBorders>
              <w:top w:val="nil"/>
              <w:left w:val="nil"/>
              <w:bottom w:val="single" w:sz="8" w:space="0" w:color="auto"/>
              <w:right w:val="single" w:sz="8" w:space="0" w:color="auto"/>
            </w:tcBorders>
            <w:shd w:val="clear" w:color="auto" w:fill="auto"/>
            <w:hideMark/>
          </w:tcPr>
          <w:p w14:paraId="68272483"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mortality</w:t>
            </w:r>
          </w:p>
        </w:tc>
        <w:tc>
          <w:tcPr>
            <w:tcW w:w="850" w:type="dxa"/>
            <w:tcBorders>
              <w:top w:val="nil"/>
              <w:left w:val="nil"/>
              <w:bottom w:val="single" w:sz="8" w:space="0" w:color="auto"/>
              <w:right w:val="single" w:sz="8" w:space="0" w:color="auto"/>
            </w:tcBorders>
            <w:shd w:val="clear" w:color="auto" w:fill="auto"/>
            <w:hideMark/>
          </w:tcPr>
          <w:p w14:paraId="40B093C6"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50</w:t>
            </w:r>
          </w:p>
        </w:tc>
        <w:tc>
          <w:tcPr>
            <w:tcW w:w="709" w:type="dxa"/>
            <w:tcBorders>
              <w:top w:val="nil"/>
              <w:left w:val="nil"/>
              <w:bottom w:val="single" w:sz="8" w:space="0" w:color="auto"/>
              <w:right w:val="single" w:sz="8" w:space="0" w:color="auto"/>
            </w:tcBorders>
            <w:shd w:val="clear" w:color="auto" w:fill="auto"/>
            <w:hideMark/>
          </w:tcPr>
          <w:p w14:paraId="5121F922"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S</w:t>
            </w:r>
          </w:p>
        </w:tc>
        <w:tc>
          <w:tcPr>
            <w:tcW w:w="709" w:type="dxa"/>
            <w:tcBorders>
              <w:top w:val="nil"/>
              <w:left w:val="nil"/>
              <w:bottom w:val="single" w:sz="8" w:space="0" w:color="auto"/>
              <w:right w:val="single" w:sz="8" w:space="0" w:color="auto"/>
            </w:tcBorders>
            <w:shd w:val="clear" w:color="auto" w:fill="auto"/>
            <w:hideMark/>
          </w:tcPr>
          <w:p w14:paraId="1F5F5DE7"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w:t>
            </w:r>
          </w:p>
        </w:tc>
        <w:tc>
          <w:tcPr>
            <w:tcW w:w="3118" w:type="dxa"/>
            <w:tcBorders>
              <w:top w:val="nil"/>
              <w:left w:val="nil"/>
              <w:bottom w:val="single" w:sz="8" w:space="0" w:color="auto"/>
              <w:right w:val="single" w:sz="8" w:space="0" w:color="auto"/>
            </w:tcBorders>
            <w:shd w:val="clear" w:color="auto" w:fill="auto"/>
            <w:hideMark/>
          </w:tcPr>
          <w:p w14:paraId="28A22483"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20°C; pH: 7.8; H: 50 mg/L CaCO3; DOC: 1 mg/L (8)</w:t>
            </w:r>
          </w:p>
        </w:tc>
        <w:tc>
          <w:tcPr>
            <w:tcW w:w="2127" w:type="dxa"/>
            <w:tcBorders>
              <w:top w:val="nil"/>
              <w:left w:val="nil"/>
              <w:bottom w:val="single" w:sz="8" w:space="0" w:color="auto"/>
              <w:right w:val="single" w:sz="8" w:space="0" w:color="auto"/>
            </w:tcBorders>
            <w:shd w:val="clear" w:color="auto" w:fill="auto"/>
            <w:hideMark/>
          </w:tcPr>
          <w:p w14:paraId="6F5F74E7"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Spring</w:t>
            </w:r>
          </w:p>
        </w:tc>
        <w:tc>
          <w:tcPr>
            <w:tcW w:w="2409" w:type="dxa"/>
            <w:tcBorders>
              <w:top w:val="nil"/>
              <w:left w:val="nil"/>
              <w:bottom w:val="single" w:sz="8" w:space="0" w:color="auto"/>
              <w:right w:val="double" w:sz="6" w:space="0" w:color="auto"/>
            </w:tcBorders>
            <w:shd w:val="clear" w:color="auto" w:fill="auto"/>
            <w:hideMark/>
          </w:tcPr>
          <w:p w14:paraId="3C14AE6A"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Deaver &amp; Rodgers, 1996 </w:t>
            </w:r>
          </w:p>
        </w:tc>
      </w:tr>
      <w:tr w:rsidR="00632208" w:rsidRPr="0098635C" w14:paraId="014B12E1" w14:textId="77777777" w:rsidTr="00A432B0">
        <w:trPr>
          <w:trHeight w:val="154"/>
        </w:trPr>
        <w:tc>
          <w:tcPr>
            <w:tcW w:w="1701" w:type="dxa"/>
            <w:tcBorders>
              <w:top w:val="nil"/>
              <w:left w:val="double" w:sz="6" w:space="0" w:color="auto"/>
              <w:bottom w:val="single" w:sz="8" w:space="0" w:color="auto"/>
              <w:right w:val="single" w:sz="8" w:space="0" w:color="auto"/>
            </w:tcBorders>
            <w:shd w:val="clear" w:color="auto" w:fill="auto"/>
            <w:hideMark/>
          </w:tcPr>
          <w:p w14:paraId="7B3C10F7"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Hyalella azteca </w:t>
            </w:r>
          </w:p>
        </w:tc>
        <w:tc>
          <w:tcPr>
            <w:tcW w:w="1701" w:type="dxa"/>
            <w:tcBorders>
              <w:top w:val="nil"/>
              <w:left w:val="nil"/>
              <w:bottom w:val="single" w:sz="8" w:space="0" w:color="auto"/>
              <w:right w:val="single" w:sz="8" w:space="0" w:color="auto"/>
            </w:tcBorders>
            <w:shd w:val="clear" w:color="auto" w:fill="auto"/>
            <w:hideMark/>
          </w:tcPr>
          <w:p w14:paraId="4A63D8E1"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2 - 3 weeks old</w:t>
            </w:r>
          </w:p>
        </w:tc>
        <w:tc>
          <w:tcPr>
            <w:tcW w:w="709" w:type="dxa"/>
            <w:tcBorders>
              <w:top w:val="nil"/>
              <w:left w:val="nil"/>
              <w:bottom w:val="single" w:sz="8" w:space="0" w:color="auto"/>
              <w:right w:val="single" w:sz="8" w:space="0" w:color="auto"/>
            </w:tcBorders>
            <w:shd w:val="clear" w:color="auto" w:fill="auto"/>
            <w:hideMark/>
          </w:tcPr>
          <w:p w14:paraId="73840C92"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10 d</w:t>
            </w:r>
          </w:p>
        </w:tc>
        <w:tc>
          <w:tcPr>
            <w:tcW w:w="1276" w:type="dxa"/>
            <w:tcBorders>
              <w:top w:val="nil"/>
              <w:left w:val="nil"/>
              <w:bottom w:val="single" w:sz="8" w:space="0" w:color="auto"/>
              <w:right w:val="single" w:sz="8" w:space="0" w:color="auto"/>
            </w:tcBorders>
            <w:shd w:val="clear" w:color="auto" w:fill="auto"/>
            <w:hideMark/>
          </w:tcPr>
          <w:p w14:paraId="2BE33F44"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mortality</w:t>
            </w:r>
          </w:p>
        </w:tc>
        <w:tc>
          <w:tcPr>
            <w:tcW w:w="850" w:type="dxa"/>
            <w:tcBorders>
              <w:top w:val="nil"/>
              <w:left w:val="nil"/>
              <w:bottom w:val="single" w:sz="8" w:space="0" w:color="auto"/>
              <w:right w:val="single" w:sz="8" w:space="0" w:color="auto"/>
            </w:tcBorders>
            <w:shd w:val="clear" w:color="auto" w:fill="auto"/>
            <w:hideMark/>
          </w:tcPr>
          <w:p w14:paraId="47FEE1DA"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82</w:t>
            </w:r>
          </w:p>
        </w:tc>
        <w:tc>
          <w:tcPr>
            <w:tcW w:w="709" w:type="dxa"/>
            <w:tcBorders>
              <w:top w:val="nil"/>
              <w:left w:val="nil"/>
              <w:bottom w:val="single" w:sz="8" w:space="0" w:color="auto"/>
              <w:right w:val="single" w:sz="8" w:space="0" w:color="auto"/>
            </w:tcBorders>
            <w:shd w:val="clear" w:color="auto" w:fill="auto"/>
            <w:hideMark/>
          </w:tcPr>
          <w:p w14:paraId="182B5358"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S</w:t>
            </w:r>
          </w:p>
        </w:tc>
        <w:tc>
          <w:tcPr>
            <w:tcW w:w="709" w:type="dxa"/>
            <w:tcBorders>
              <w:top w:val="nil"/>
              <w:left w:val="nil"/>
              <w:bottom w:val="single" w:sz="8" w:space="0" w:color="auto"/>
              <w:right w:val="single" w:sz="8" w:space="0" w:color="auto"/>
            </w:tcBorders>
            <w:shd w:val="clear" w:color="auto" w:fill="auto"/>
            <w:hideMark/>
          </w:tcPr>
          <w:p w14:paraId="51292711"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w:t>
            </w:r>
          </w:p>
        </w:tc>
        <w:tc>
          <w:tcPr>
            <w:tcW w:w="3118" w:type="dxa"/>
            <w:tcBorders>
              <w:top w:val="nil"/>
              <w:left w:val="nil"/>
              <w:bottom w:val="single" w:sz="8" w:space="0" w:color="auto"/>
              <w:right w:val="single" w:sz="8" w:space="0" w:color="auto"/>
            </w:tcBorders>
            <w:shd w:val="clear" w:color="auto" w:fill="auto"/>
            <w:hideMark/>
          </w:tcPr>
          <w:p w14:paraId="32CC97AF"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20°C; pH: 8.05; H: 64 mg/L CaCO3; DOC: 1 mg/L (8)</w:t>
            </w:r>
          </w:p>
        </w:tc>
        <w:tc>
          <w:tcPr>
            <w:tcW w:w="2127" w:type="dxa"/>
            <w:tcBorders>
              <w:top w:val="nil"/>
              <w:left w:val="nil"/>
              <w:bottom w:val="single" w:sz="8" w:space="0" w:color="auto"/>
              <w:right w:val="single" w:sz="8" w:space="0" w:color="auto"/>
            </w:tcBorders>
            <w:shd w:val="clear" w:color="auto" w:fill="auto"/>
            <w:hideMark/>
          </w:tcPr>
          <w:p w14:paraId="6DE3EC9D"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Spring</w:t>
            </w:r>
          </w:p>
        </w:tc>
        <w:tc>
          <w:tcPr>
            <w:tcW w:w="2409" w:type="dxa"/>
            <w:tcBorders>
              <w:top w:val="nil"/>
              <w:left w:val="nil"/>
              <w:bottom w:val="single" w:sz="8" w:space="0" w:color="auto"/>
              <w:right w:val="double" w:sz="6" w:space="0" w:color="auto"/>
            </w:tcBorders>
            <w:shd w:val="clear" w:color="auto" w:fill="auto"/>
            <w:hideMark/>
          </w:tcPr>
          <w:p w14:paraId="5BF92D48"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Deaver &amp; Rodgers, 1996 </w:t>
            </w:r>
          </w:p>
        </w:tc>
      </w:tr>
      <w:tr w:rsidR="00632208" w:rsidRPr="0098635C" w14:paraId="583BBBD2" w14:textId="77777777" w:rsidTr="00A432B0">
        <w:trPr>
          <w:trHeight w:val="378"/>
        </w:trPr>
        <w:tc>
          <w:tcPr>
            <w:tcW w:w="1701" w:type="dxa"/>
            <w:tcBorders>
              <w:top w:val="nil"/>
              <w:left w:val="double" w:sz="6" w:space="0" w:color="auto"/>
              <w:bottom w:val="single" w:sz="8" w:space="0" w:color="auto"/>
              <w:right w:val="single" w:sz="8" w:space="0" w:color="auto"/>
            </w:tcBorders>
            <w:shd w:val="clear" w:color="auto" w:fill="auto"/>
            <w:hideMark/>
          </w:tcPr>
          <w:p w14:paraId="381FEE8C"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Hyalella azteca </w:t>
            </w:r>
          </w:p>
        </w:tc>
        <w:tc>
          <w:tcPr>
            <w:tcW w:w="1701" w:type="dxa"/>
            <w:tcBorders>
              <w:top w:val="nil"/>
              <w:left w:val="nil"/>
              <w:bottom w:val="single" w:sz="8" w:space="0" w:color="auto"/>
              <w:right w:val="single" w:sz="8" w:space="0" w:color="auto"/>
            </w:tcBorders>
            <w:shd w:val="clear" w:color="auto" w:fill="auto"/>
            <w:hideMark/>
          </w:tcPr>
          <w:p w14:paraId="3C0F3C2A"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2 - 3 weeks old</w:t>
            </w:r>
          </w:p>
        </w:tc>
        <w:tc>
          <w:tcPr>
            <w:tcW w:w="709" w:type="dxa"/>
            <w:tcBorders>
              <w:top w:val="nil"/>
              <w:left w:val="nil"/>
              <w:bottom w:val="single" w:sz="8" w:space="0" w:color="auto"/>
              <w:right w:val="single" w:sz="8" w:space="0" w:color="auto"/>
            </w:tcBorders>
            <w:shd w:val="clear" w:color="auto" w:fill="auto"/>
            <w:hideMark/>
          </w:tcPr>
          <w:p w14:paraId="2F83EB41"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10 d</w:t>
            </w:r>
          </w:p>
        </w:tc>
        <w:tc>
          <w:tcPr>
            <w:tcW w:w="1276" w:type="dxa"/>
            <w:tcBorders>
              <w:top w:val="nil"/>
              <w:left w:val="nil"/>
              <w:bottom w:val="single" w:sz="8" w:space="0" w:color="auto"/>
              <w:right w:val="single" w:sz="8" w:space="0" w:color="auto"/>
            </w:tcBorders>
            <w:shd w:val="clear" w:color="auto" w:fill="auto"/>
            <w:hideMark/>
          </w:tcPr>
          <w:p w14:paraId="72E4E7D7"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mortality</w:t>
            </w:r>
          </w:p>
        </w:tc>
        <w:tc>
          <w:tcPr>
            <w:tcW w:w="850" w:type="dxa"/>
            <w:tcBorders>
              <w:top w:val="nil"/>
              <w:left w:val="nil"/>
              <w:bottom w:val="single" w:sz="8" w:space="0" w:color="auto"/>
              <w:right w:val="single" w:sz="8" w:space="0" w:color="auto"/>
            </w:tcBorders>
            <w:shd w:val="clear" w:color="auto" w:fill="auto"/>
            <w:hideMark/>
          </w:tcPr>
          <w:p w14:paraId="529F0B08"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82</w:t>
            </w:r>
          </w:p>
        </w:tc>
        <w:tc>
          <w:tcPr>
            <w:tcW w:w="709" w:type="dxa"/>
            <w:tcBorders>
              <w:top w:val="nil"/>
              <w:left w:val="nil"/>
              <w:bottom w:val="single" w:sz="8" w:space="0" w:color="auto"/>
              <w:right w:val="single" w:sz="8" w:space="0" w:color="auto"/>
            </w:tcBorders>
            <w:shd w:val="clear" w:color="auto" w:fill="auto"/>
            <w:hideMark/>
          </w:tcPr>
          <w:p w14:paraId="3A770959"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S</w:t>
            </w:r>
          </w:p>
        </w:tc>
        <w:tc>
          <w:tcPr>
            <w:tcW w:w="709" w:type="dxa"/>
            <w:tcBorders>
              <w:top w:val="nil"/>
              <w:left w:val="nil"/>
              <w:bottom w:val="single" w:sz="8" w:space="0" w:color="auto"/>
              <w:right w:val="single" w:sz="8" w:space="0" w:color="auto"/>
            </w:tcBorders>
            <w:shd w:val="clear" w:color="auto" w:fill="auto"/>
            <w:hideMark/>
          </w:tcPr>
          <w:p w14:paraId="03AE7433"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w:t>
            </w:r>
          </w:p>
        </w:tc>
        <w:tc>
          <w:tcPr>
            <w:tcW w:w="3118" w:type="dxa"/>
            <w:tcBorders>
              <w:top w:val="nil"/>
              <w:left w:val="nil"/>
              <w:bottom w:val="single" w:sz="8" w:space="0" w:color="auto"/>
              <w:right w:val="single" w:sz="8" w:space="0" w:color="auto"/>
            </w:tcBorders>
            <w:shd w:val="clear" w:color="auto" w:fill="auto"/>
            <w:hideMark/>
          </w:tcPr>
          <w:p w14:paraId="56AC8C56"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20°C; pH: 7.5; H: 22 mg/L CaCO3; DOC: 1 mg/L (8)</w:t>
            </w:r>
          </w:p>
        </w:tc>
        <w:tc>
          <w:tcPr>
            <w:tcW w:w="2127" w:type="dxa"/>
            <w:tcBorders>
              <w:top w:val="nil"/>
              <w:left w:val="nil"/>
              <w:bottom w:val="single" w:sz="8" w:space="0" w:color="auto"/>
              <w:right w:val="single" w:sz="8" w:space="0" w:color="auto"/>
            </w:tcBorders>
            <w:shd w:val="clear" w:color="auto" w:fill="auto"/>
            <w:hideMark/>
          </w:tcPr>
          <w:p w14:paraId="3490A7D8"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Spring</w:t>
            </w:r>
          </w:p>
        </w:tc>
        <w:tc>
          <w:tcPr>
            <w:tcW w:w="2409" w:type="dxa"/>
            <w:tcBorders>
              <w:top w:val="nil"/>
              <w:left w:val="nil"/>
              <w:bottom w:val="single" w:sz="8" w:space="0" w:color="auto"/>
              <w:right w:val="double" w:sz="6" w:space="0" w:color="auto"/>
            </w:tcBorders>
            <w:shd w:val="clear" w:color="auto" w:fill="auto"/>
            <w:hideMark/>
          </w:tcPr>
          <w:p w14:paraId="2C83D2D3"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Deaver &amp; Rodgers, 1996 </w:t>
            </w:r>
          </w:p>
        </w:tc>
      </w:tr>
      <w:tr w:rsidR="00632208" w:rsidRPr="0098635C" w14:paraId="6EF6B8D1" w14:textId="77777777" w:rsidTr="00A432B0">
        <w:trPr>
          <w:trHeight w:val="189"/>
        </w:trPr>
        <w:tc>
          <w:tcPr>
            <w:tcW w:w="1701" w:type="dxa"/>
            <w:tcBorders>
              <w:top w:val="nil"/>
              <w:left w:val="double" w:sz="6" w:space="0" w:color="auto"/>
              <w:bottom w:val="single" w:sz="8" w:space="0" w:color="auto"/>
              <w:right w:val="single" w:sz="8" w:space="0" w:color="auto"/>
            </w:tcBorders>
            <w:shd w:val="clear" w:color="auto" w:fill="auto"/>
            <w:hideMark/>
          </w:tcPr>
          <w:p w14:paraId="06A158F6"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Hyalella azteca </w:t>
            </w:r>
          </w:p>
        </w:tc>
        <w:tc>
          <w:tcPr>
            <w:tcW w:w="1701" w:type="dxa"/>
            <w:tcBorders>
              <w:top w:val="nil"/>
              <w:left w:val="nil"/>
              <w:bottom w:val="single" w:sz="8" w:space="0" w:color="auto"/>
              <w:right w:val="single" w:sz="8" w:space="0" w:color="auto"/>
            </w:tcBorders>
            <w:shd w:val="clear" w:color="auto" w:fill="auto"/>
            <w:hideMark/>
          </w:tcPr>
          <w:p w14:paraId="76DE7788"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2 - 3 weeks old</w:t>
            </w:r>
          </w:p>
        </w:tc>
        <w:tc>
          <w:tcPr>
            <w:tcW w:w="709" w:type="dxa"/>
            <w:tcBorders>
              <w:top w:val="nil"/>
              <w:left w:val="nil"/>
              <w:bottom w:val="single" w:sz="8" w:space="0" w:color="auto"/>
              <w:right w:val="single" w:sz="8" w:space="0" w:color="auto"/>
            </w:tcBorders>
            <w:shd w:val="clear" w:color="auto" w:fill="auto"/>
            <w:hideMark/>
          </w:tcPr>
          <w:p w14:paraId="4F9C9604"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10 d</w:t>
            </w:r>
          </w:p>
        </w:tc>
        <w:tc>
          <w:tcPr>
            <w:tcW w:w="1276" w:type="dxa"/>
            <w:tcBorders>
              <w:top w:val="nil"/>
              <w:left w:val="nil"/>
              <w:bottom w:val="single" w:sz="8" w:space="0" w:color="auto"/>
              <w:right w:val="single" w:sz="8" w:space="0" w:color="auto"/>
            </w:tcBorders>
            <w:shd w:val="clear" w:color="auto" w:fill="auto"/>
            <w:hideMark/>
          </w:tcPr>
          <w:p w14:paraId="4533E9CD"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mortality</w:t>
            </w:r>
          </w:p>
        </w:tc>
        <w:tc>
          <w:tcPr>
            <w:tcW w:w="850" w:type="dxa"/>
            <w:tcBorders>
              <w:top w:val="nil"/>
              <w:left w:val="nil"/>
              <w:bottom w:val="single" w:sz="8" w:space="0" w:color="auto"/>
              <w:right w:val="single" w:sz="8" w:space="0" w:color="auto"/>
            </w:tcBorders>
            <w:shd w:val="clear" w:color="auto" w:fill="auto"/>
            <w:hideMark/>
          </w:tcPr>
          <w:p w14:paraId="739D28D9"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30</w:t>
            </w:r>
          </w:p>
        </w:tc>
        <w:tc>
          <w:tcPr>
            <w:tcW w:w="709" w:type="dxa"/>
            <w:tcBorders>
              <w:top w:val="nil"/>
              <w:left w:val="nil"/>
              <w:bottom w:val="single" w:sz="8" w:space="0" w:color="auto"/>
              <w:right w:val="single" w:sz="8" w:space="0" w:color="auto"/>
            </w:tcBorders>
            <w:shd w:val="clear" w:color="auto" w:fill="auto"/>
            <w:hideMark/>
          </w:tcPr>
          <w:p w14:paraId="6F3502B1"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S</w:t>
            </w:r>
          </w:p>
        </w:tc>
        <w:tc>
          <w:tcPr>
            <w:tcW w:w="709" w:type="dxa"/>
            <w:tcBorders>
              <w:top w:val="nil"/>
              <w:left w:val="nil"/>
              <w:bottom w:val="single" w:sz="8" w:space="0" w:color="auto"/>
              <w:right w:val="single" w:sz="8" w:space="0" w:color="auto"/>
            </w:tcBorders>
            <w:shd w:val="clear" w:color="auto" w:fill="auto"/>
            <w:hideMark/>
          </w:tcPr>
          <w:p w14:paraId="5FB535DD"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w:t>
            </w:r>
          </w:p>
        </w:tc>
        <w:tc>
          <w:tcPr>
            <w:tcW w:w="3118" w:type="dxa"/>
            <w:tcBorders>
              <w:top w:val="nil"/>
              <w:left w:val="nil"/>
              <w:bottom w:val="single" w:sz="8" w:space="0" w:color="auto"/>
              <w:right w:val="single" w:sz="8" w:space="0" w:color="auto"/>
            </w:tcBorders>
            <w:shd w:val="clear" w:color="auto" w:fill="auto"/>
            <w:hideMark/>
          </w:tcPr>
          <w:p w14:paraId="45E038F9"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20°C; pH: 6.95; H: 5 mg/L CaCO3; DOC: 1 mg/L (8)</w:t>
            </w:r>
          </w:p>
        </w:tc>
        <w:tc>
          <w:tcPr>
            <w:tcW w:w="2127" w:type="dxa"/>
            <w:tcBorders>
              <w:top w:val="nil"/>
              <w:left w:val="nil"/>
              <w:bottom w:val="single" w:sz="8" w:space="0" w:color="auto"/>
              <w:right w:val="single" w:sz="8" w:space="0" w:color="auto"/>
            </w:tcBorders>
            <w:shd w:val="clear" w:color="auto" w:fill="auto"/>
            <w:hideMark/>
          </w:tcPr>
          <w:p w14:paraId="45F6928E"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Spring</w:t>
            </w:r>
          </w:p>
        </w:tc>
        <w:tc>
          <w:tcPr>
            <w:tcW w:w="2409" w:type="dxa"/>
            <w:tcBorders>
              <w:top w:val="nil"/>
              <w:left w:val="nil"/>
              <w:bottom w:val="single" w:sz="8" w:space="0" w:color="auto"/>
              <w:right w:val="double" w:sz="6" w:space="0" w:color="auto"/>
            </w:tcBorders>
            <w:shd w:val="clear" w:color="auto" w:fill="auto"/>
            <w:hideMark/>
          </w:tcPr>
          <w:p w14:paraId="1F613338"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Deaver &amp; Rodgers, 1996 </w:t>
            </w:r>
          </w:p>
        </w:tc>
      </w:tr>
      <w:tr w:rsidR="00632208" w:rsidRPr="0098635C" w14:paraId="0B35C304" w14:textId="77777777" w:rsidTr="00A432B0">
        <w:trPr>
          <w:trHeight w:val="426"/>
        </w:trPr>
        <w:tc>
          <w:tcPr>
            <w:tcW w:w="1701" w:type="dxa"/>
            <w:tcBorders>
              <w:top w:val="nil"/>
              <w:left w:val="double" w:sz="6" w:space="0" w:color="auto"/>
              <w:bottom w:val="single" w:sz="8" w:space="0" w:color="auto"/>
              <w:right w:val="single" w:sz="8" w:space="0" w:color="auto"/>
            </w:tcBorders>
            <w:shd w:val="clear" w:color="auto" w:fill="auto"/>
            <w:hideMark/>
          </w:tcPr>
          <w:p w14:paraId="0A1D2317"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Hyalella azteca </w:t>
            </w:r>
          </w:p>
        </w:tc>
        <w:tc>
          <w:tcPr>
            <w:tcW w:w="1701" w:type="dxa"/>
            <w:tcBorders>
              <w:top w:val="nil"/>
              <w:left w:val="nil"/>
              <w:bottom w:val="single" w:sz="8" w:space="0" w:color="auto"/>
              <w:right w:val="single" w:sz="8" w:space="0" w:color="auto"/>
            </w:tcBorders>
            <w:shd w:val="clear" w:color="auto" w:fill="auto"/>
            <w:hideMark/>
          </w:tcPr>
          <w:p w14:paraId="1AD7D1E5"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&lt;7 days old</w:t>
            </w:r>
          </w:p>
        </w:tc>
        <w:tc>
          <w:tcPr>
            <w:tcW w:w="709" w:type="dxa"/>
            <w:tcBorders>
              <w:top w:val="nil"/>
              <w:left w:val="nil"/>
              <w:bottom w:val="single" w:sz="8" w:space="0" w:color="auto"/>
              <w:right w:val="single" w:sz="8" w:space="0" w:color="auto"/>
            </w:tcBorders>
            <w:shd w:val="clear" w:color="auto" w:fill="auto"/>
            <w:hideMark/>
          </w:tcPr>
          <w:p w14:paraId="649BFBEE"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35 d</w:t>
            </w:r>
          </w:p>
        </w:tc>
        <w:tc>
          <w:tcPr>
            <w:tcW w:w="1276" w:type="dxa"/>
            <w:tcBorders>
              <w:top w:val="nil"/>
              <w:left w:val="nil"/>
              <w:bottom w:val="single" w:sz="8" w:space="0" w:color="auto"/>
              <w:right w:val="single" w:sz="8" w:space="0" w:color="auto"/>
            </w:tcBorders>
            <w:shd w:val="clear" w:color="auto" w:fill="auto"/>
            <w:hideMark/>
          </w:tcPr>
          <w:p w14:paraId="4F1CCD13"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mortality</w:t>
            </w:r>
          </w:p>
        </w:tc>
        <w:tc>
          <w:tcPr>
            <w:tcW w:w="850" w:type="dxa"/>
            <w:tcBorders>
              <w:top w:val="nil"/>
              <w:left w:val="nil"/>
              <w:bottom w:val="single" w:sz="8" w:space="0" w:color="auto"/>
              <w:right w:val="single" w:sz="8" w:space="0" w:color="auto"/>
            </w:tcBorders>
            <w:shd w:val="clear" w:color="auto" w:fill="auto"/>
            <w:hideMark/>
          </w:tcPr>
          <w:p w14:paraId="1EF43629"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32</w:t>
            </w:r>
          </w:p>
        </w:tc>
        <w:tc>
          <w:tcPr>
            <w:tcW w:w="709" w:type="dxa"/>
            <w:tcBorders>
              <w:top w:val="nil"/>
              <w:left w:val="nil"/>
              <w:bottom w:val="single" w:sz="8" w:space="0" w:color="auto"/>
              <w:right w:val="single" w:sz="8" w:space="0" w:color="auto"/>
            </w:tcBorders>
            <w:shd w:val="clear" w:color="auto" w:fill="auto"/>
            <w:hideMark/>
          </w:tcPr>
          <w:p w14:paraId="19CE77B9"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w:t>
            </w:r>
          </w:p>
        </w:tc>
        <w:tc>
          <w:tcPr>
            <w:tcW w:w="709" w:type="dxa"/>
            <w:tcBorders>
              <w:top w:val="nil"/>
              <w:left w:val="nil"/>
              <w:bottom w:val="single" w:sz="8" w:space="0" w:color="auto"/>
              <w:right w:val="single" w:sz="8" w:space="0" w:color="auto"/>
            </w:tcBorders>
            <w:shd w:val="clear" w:color="auto" w:fill="auto"/>
            <w:hideMark/>
          </w:tcPr>
          <w:p w14:paraId="20D3A9DC"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3</w:t>
            </w:r>
          </w:p>
        </w:tc>
        <w:tc>
          <w:tcPr>
            <w:tcW w:w="3118" w:type="dxa"/>
            <w:tcBorders>
              <w:top w:val="nil"/>
              <w:left w:val="nil"/>
              <w:bottom w:val="single" w:sz="8" w:space="0" w:color="auto"/>
              <w:right w:val="single" w:sz="8" w:space="0" w:color="auto"/>
            </w:tcBorders>
            <w:shd w:val="clear" w:color="auto" w:fill="auto"/>
            <w:hideMark/>
          </w:tcPr>
          <w:p w14:paraId="7328127E"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22°C; pH: 7.6; H: 127.7 mg/L CaCO3; DOC: 1 mg/L (7)</w:t>
            </w:r>
          </w:p>
        </w:tc>
        <w:tc>
          <w:tcPr>
            <w:tcW w:w="2127" w:type="dxa"/>
            <w:tcBorders>
              <w:top w:val="nil"/>
              <w:left w:val="nil"/>
              <w:bottom w:val="single" w:sz="8" w:space="0" w:color="auto"/>
              <w:right w:val="single" w:sz="8" w:space="0" w:color="auto"/>
            </w:tcBorders>
            <w:shd w:val="clear" w:color="auto" w:fill="auto"/>
            <w:hideMark/>
          </w:tcPr>
          <w:p w14:paraId="635A671B"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Tap</w:t>
            </w:r>
          </w:p>
        </w:tc>
        <w:tc>
          <w:tcPr>
            <w:tcW w:w="2409" w:type="dxa"/>
            <w:tcBorders>
              <w:top w:val="nil"/>
              <w:left w:val="nil"/>
              <w:bottom w:val="single" w:sz="8" w:space="0" w:color="auto"/>
              <w:right w:val="double" w:sz="6" w:space="0" w:color="auto"/>
            </w:tcBorders>
            <w:shd w:val="clear" w:color="auto" w:fill="auto"/>
            <w:hideMark/>
          </w:tcPr>
          <w:p w14:paraId="1E32500D"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Othman &amp; Pascoe, 2002 </w:t>
            </w:r>
          </w:p>
        </w:tc>
      </w:tr>
      <w:tr w:rsidR="00632208" w:rsidRPr="0098635C" w14:paraId="113D15E2" w14:textId="77777777" w:rsidTr="00A432B0">
        <w:trPr>
          <w:trHeight w:val="239"/>
        </w:trPr>
        <w:tc>
          <w:tcPr>
            <w:tcW w:w="1701" w:type="dxa"/>
            <w:tcBorders>
              <w:top w:val="nil"/>
              <w:left w:val="double" w:sz="6" w:space="0" w:color="auto"/>
              <w:bottom w:val="single" w:sz="8" w:space="0" w:color="auto"/>
              <w:right w:val="single" w:sz="8" w:space="0" w:color="auto"/>
            </w:tcBorders>
            <w:shd w:val="clear" w:color="auto" w:fill="auto"/>
            <w:hideMark/>
          </w:tcPr>
          <w:p w14:paraId="28871E16"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Chironomus riparius </w:t>
            </w:r>
          </w:p>
        </w:tc>
        <w:tc>
          <w:tcPr>
            <w:tcW w:w="1701" w:type="dxa"/>
            <w:tcBorders>
              <w:top w:val="nil"/>
              <w:left w:val="nil"/>
              <w:bottom w:val="single" w:sz="8" w:space="0" w:color="auto"/>
              <w:right w:val="single" w:sz="8" w:space="0" w:color="auto"/>
            </w:tcBorders>
            <w:shd w:val="clear" w:color="auto" w:fill="auto"/>
            <w:hideMark/>
          </w:tcPr>
          <w:p w14:paraId="6299FD38"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eggs (&lt; 12 h)</w:t>
            </w:r>
          </w:p>
        </w:tc>
        <w:tc>
          <w:tcPr>
            <w:tcW w:w="709" w:type="dxa"/>
            <w:tcBorders>
              <w:top w:val="nil"/>
              <w:left w:val="nil"/>
              <w:bottom w:val="single" w:sz="8" w:space="0" w:color="auto"/>
              <w:right w:val="single" w:sz="8" w:space="0" w:color="auto"/>
            </w:tcBorders>
            <w:shd w:val="clear" w:color="auto" w:fill="auto"/>
            <w:hideMark/>
          </w:tcPr>
          <w:p w14:paraId="48943545"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10 d</w:t>
            </w:r>
          </w:p>
        </w:tc>
        <w:tc>
          <w:tcPr>
            <w:tcW w:w="1276" w:type="dxa"/>
            <w:tcBorders>
              <w:top w:val="nil"/>
              <w:left w:val="nil"/>
              <w:bottom w:val="single" w:sz="8" w:space="0" w:color="auto"/>
              <w:right w:val="single" w:sz="8" w:space="0" w:color="auto"/>
            </w:tcBorders>
            <w:shd w:val="clear" w:color="auto" w:fill="auto"/>
            <w:hideMark/>
          </w:tcPr>
          <w:p w14:paraId="78CC6F6E"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growth</w:t>
            </w:r>
          </w:p>
        </w:tc>
        <w:tc>
          <w:tcPr>
            <w:tcW w:w="850" w:type="dxa"/>
            <w:tcBorders>
              <w:top w:val="nil"/>
              <w:left w:val="nil"/>
              <w:bottom w:val="single" w:sz="8" w:space="0" w:color="auto"/>
              <w:right w:val="single" w:sz="8" w:space="0" w:color="auto"/>
            </w:tcBorders>
            <w:shd w:val="clear" w:color="auto" w:fill="auto"/>
            <w:hideMark/>
          </w:tcPr>
          <w:p w14:paraId="55DBC738"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16.9</w:t>
            </w:r>
          </w:p>
        </w:tc>
        <w:tc>
          <w:tcPr>
            <w:tcW w:w="709" w:type="dxa"/>
            <w:tcBorders>
              <w:top w:val="nil"/>
              <w:left w:val="nil"/>
              <w:bottom w:val="single" w:sz="8" w:space="0" w:color="auto"/>
              <w:right w:val="single" w:sz="8" w:space="0" w:color="auto"/>
            </w:tcBorders>
            <w:shd w:val="clear" w:color="auto" w:fill="auto"/>
            <w:hideMark/>
          </w:tcPr>
          <w:p w14:paraId="6B769DB6"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w:t>
            </w:r>
          </w:p>
        </w:tc>
        <w:tc>
          <w:tcPr>
            <w:tcW w:w="709" w:type="dxa"/>
            <w:tcBorders>
              <w:top w:val="nil"/>
              <w:left w:val="nil"/>
              <w:bottom w:val="single" w:sz="8" w:space="0" w:color="auto"/>
              <w:right w:val="single" w:sz="8" w:space="0" w:color="auto"/>
            </w:tcBorders>
            <w:shd w:val="clear" w:color="auto" w:fill="auto"/>
            <w:hideMark/>
          </w:tcPr>
          <w:p w14:paraId="408D3E50"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0.5*</w:t>
            </w:r>
          </w:p>
        </w:tc>
        <w:tc>
          <w:tcPr>
            <w:tcW w:w="3118" w:type="dxa"/>
            <w:tcBorders>
              <w:top w:val="nil"/>
              <w:left w:val="nil"/>
              <w:bottom w:val="single" w:sz="8" w:space="0" w:color="auto"/>
              <w:right w:val="single" w:sz="8" w:space="0" w:color="auto"/>
            </w:tcBorders>
            <w:shd w:val="clear" w:color="auto" w:fill="auto"/>
            <w:hideMark/>
          </w:tcPr>
          <w:p w14:paraId="059C4BD2"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20°C; pH: 7.0; H: 151.2 mg/L CaCO3; DOC: 0.5 mg/L (1)</w:t>
            </w:r>
          </w:p>
        </w:tc>
        <w:tc>
          <w:tcPr>
            <w:tcW w:w="2127" w:type="dxa"/>
            <w:tcBorders>
              <w:top w:val="nil"/>
              <w:left w:val="nil"/>
              <w:bottom w:val="single" w:sz="8" w:space="0" w:color="auto"/>
              <w:right w:val="single" w:sz="8" w:space="0" w:color="auto"/>
            </w:tcBorders>
            <w:shd w:val="clear" w:color="auto" w:fill="auto"/>
            <w:hideMark/>
          </w:tcPr>
          <w:p w14:paraId="58157913"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Reconstituted</w:t>
            </w:r>
          </w:p>
        </w:tc>
        <w:tc>
          <w:tcPr>
            <w:tcW w:w="2409" w:type="dxa"/>
            <w:tcBorders>
              <w:top w:val="nil"/>
              <w:left w:val="nil"/>
              <w:bottom w:val="single" w:sz="8" w:space="0" w:color="auto"/>
              <w:right w:val="double" w:sz="6" w:space="0" w:color="auto"/>
            </w:tcBorders>
            <w:shd w:val="clear" w:color="auto" w:fill="auto"/>
            <w:hideMark/>
          </w:tcPr>
          <w:p w14:paraId="4AD2BA2C"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Taylor et al., 1991 </w:t>
            </w:r>
          </w:p>
        </w:tc>
      </w:tr>
      <w:tr w:rsidR="00632208" w:rsidRPr="0098635C" w14:paraId="05D3436B" w14:textId="77777777" w:rsidTr="00A432B0">
        <w:trPr>
          <w:trHeight w:val="64"/>
        </w:trPr>
        <w:tc>
          <w:tcPr>
            <w:tcW w:w="1701" w:type="dxa"/>
            <w:tcBorders>
              <w:top w:val="nil"/>
              <w:left w:val="double" w:sz="6" w:space="0" w:color="auto"/>
              <w:bottom w:val="single" w:sz="8" w:space="0" w:color="auto"/>
              <w:right w:val="single" w:sz="8" w:space="0" w:color="auto"/>
            </w:tcBorders>
            <w:shd w:val="clear" w:color="auto" w:fill="auto"/>
            <w:hideMark/>
          </w:tcPr>
          <w:p w14:paraId="6F7D4827"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Clistoronia magnifica </w:t>
            </w:r>
          </w:p>
        </w:tc>
        <w:tc>
          <w:tcPr>
            <w:tcW w:w="1701" w:type="dxa"/>
            <w:tcBorders>
              <w:top w:val="nil"/>
              <w:left w:val="nil"/>
              <w:bottom w:val="single" w:sz="8" w:space="0" w:color="auto"/>
              <w:right w:val="single" w:sz="8" w:space="0" w:color="auto"/>
            </w:tcBorders>
            <w:shd w:val="clear" w:color="auto" w:fill="auto"/>
            <w:hideMark/>
          </w:tcPr>
          <w:p w14:paraId="34460431"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larvae 1st generation</w:t>
            </w:r>
          </w:p>
        </w:tc>
        <w:tc>
          <w:tcPr>
            <w:tcW w:w="709" w:type="dxa"/>
            <w:tcBorders>
              <w:top w:val="nil"/>
              <w:left w:val="nil"/>
              <w:bottom w:val="single" w:sz="8" w:space="0" w:color="auto"/>
              <w:right w:val="single" w:sz="8" w:space="0" w:color="auto"/>
            </w:tcBorders>
            <w:shd w:val="clear" w:color="auto" w:fill="auto"/>
            <w:hideMark/>
          </w:tcPr>
          <w:p w14:paraId="7D1BA7BC"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240 d</w:t>
            </w:r>
          </w:p>
        </w:tc>
        <w:tc>
          <w:tcPr>
            <w:tcW w:w="1276" w:type="dxa"/>
            <w:tcBorders>
              <w:top w:val="nil"/>
              <w:left w:val="nil"/>
              <w:bottom w:val="single" w:sz="8" w:space="0" w:color="auto"/>
              <w:right w:val="single" w:sz="8" w:space="0" w:color="auto"/>
            </w:tcBorders>
            <w:shd w:val="clear" w:color="auto" w:fill="auto"/>
            <w:hideMark/>
          </w:tcPr>
          <w:p w14:paraId="28FED2A1"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Life cycle</w:t>
            </w:r>
          </w:p>
        </w:tc>
        <w:tc>
          <w:tcPr>
            <w:tcW w:w="850" w:type="dxa"/>
            <w:tcBorders>
              <w:top w:val="nil"/>
              <w:left w:val="nil"/>
              <w:bottom w:val="single" w:sz="8" w:space="0" w:color="auto"/>
              <w:right w:val="single" w:sz="8" w:space="0" w:color="auto"/>
            </w:tcBorders>
            <w:shd w:val="clear" w:color="auto" w:fill="auto"/>
            <w:hideMark/>
          </w:tcPr>
          <w:p w14:paraId="52E343BA"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8.3</w:t>
            </w:r>
          </w:p>
        </w:tc>
        <w:tc>
          <w:tcPr>
            <w:tcW w:w="709" w:type="dxa"/>
            <w:tcBorders>
              <w:top w:val="nil"/>
              <w:left w:val="nil"/>
              <w:bottom w:val="single" w:sz="8" w:space="0" w:color="auto"/>
              <w:right w:val="single" w:sz="8" w:space="0" w:color="auto"/>
            </w:tcBorders>
            <w:shd w:val="clear" w:color="auto" w:fill="auto"/>
            <w:hideMark/>
          </w:tcPr>
          <w:p w14:paraId="73AA1D38"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FT</w:t>
            </w:r>
          </w:p>
        </w:tc>
        <w:tc>
          <w:tcPr>
            <w:tcW w:w="709" w:type="dxa"/>
            <w:tcBorders>
              <w:top w:val="nil"/>
              <w:left w:val="nil"/>
              <w:bottom w:val="single" w:sz="8" w:space="0" w:color="auto"/>
              <w:right w:val="single" w:sz="8" w:space="0" w:color="auto"/>
            </w:tcBorders>
            <w:shd w:val="clear" w:color="auto" w:fill="auto"/>
            <w:hideMark/>
          </w:tcPr>
          <w:p w14:paraId="602FE7B3"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w:t>
            </w:r>
          </w:p>
        </w:tc>
        <w:tc>
          <w:tcPr>
            <w:tcW w:w="3118" w:type="dxa"/>
            <w:tcBorders>
              <w:top w:val="nil"/>
              <w:left w:val="nil"/>
              <w:bottom w:val="single" w:sz="8" w:space="0" w:color="auto"/>
              <w:right w:val="single" w:sz="8" w:space="0" w:color="auto"/>
            </w:tcBorders>
            <w:shd w:val="clear" w:color="auto" w:fill="auto"/>
            <w:hideMark/>
          </w:tcPr>
          <w:p w14:paraId="28D8AFB2"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15°C; pH: 7.3; H: 26 mg/L CaCO3; DOC: 1.3 mg/L (9)</w:t>
            </w:r>
          </w:p>
        </w:tc>
        <w:tc>
          <w:tcPr>
            <w:tcW w:w="2127" w:type="dxa"/>
            <w:tcBorders>
              <w:top w:val="nil"/>
              <w:left w:val="nil"/>
              <w:bottom w:val="single" w:sz="8" w:space="0" w:color="auto"/>
              <w:right w:val="single" w:sz="8" w:space="0" w:color="auto"/>
            </w:tcBorders>
            <w:shd w:val="clear" w:color="auto" w:fill="auto"/>
            <w:hideMark/>
          </w:tcPr>
          <w:p w14:paraId="1BD90832"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Well</w:t>
            </w:r>
          </w:p>
        </w:tc>
        <w:tc>
          <w:tcPr>
            <w:tcW w:w="2409" w:type="dxa"/>
            <w:tcBorders>
              <w:top w:val="nil"/>
              <w:left w:val="nil"/>
              <w:bottom w:val="single" w:sz="8" w:space="0" w:color="auto"/>
              <w:right w:val="double" w:sz="6" w:space="0" w:color="auto"/>
            </w:tcBorders>
            <w:shd w:val="clear" w:color="auto" w:fill="auto"/>
            <w:hideMark/>
          </w:tcPr>
          <w:p w14:paraId="701C3968"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Nebeker et al., 1984 </w:t>
            </w:r>
          </w:p>
        </w:tc>
      </w:tr>
      <w:tr w:rsidR="00632208" w:rsidRPr="0098635C" w14:paraId="071CDA9D" w14:textId="77777777" w:rsidTr="00A432B0">
        <w:trPr>
          <w:trHeight w:val="147"/>
        </w:trPr>
        <w:tc>
          <w:tcPr>
            <w:tcW w:w="1701" w:type="dxa"/>
            <w:tcBorders>
              <w:top w:val="nil"/>
              <w:left w:val="double" w:sz="6" w:space="0" w:color="auto"/>
              <w:bottom w:val="single" w:sz="8" w:space="0" w:color="auto"/>
              <w:right w:val="single" w:sz="8" w:space="0" w:color="auto"/>
            </w:tcBorders>
            <w:shd w:val="clear" w:color="auto" w:fill="auto"/>
            <w:hideMark/>
          </w:tcPr>
          <w:p w14:paraId="14CE246F"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Clistoronia magnifica </w:t>
            </w:r>
          </w:p>
        </w:tc>
        <w:tc>
          <w:tcPr>
            <w:tcW w:w="1701" w:type="dxa"/>
            <w:tcBorders>
              <w:top w:val="nil"/>
              <w:left w:val="nil"/>
              <w:bottom w:val="single" w:sz="8" w:space="0" w:color="auto"/>
              <w:right w:val="single" w:sz="8" w:space="0" w:color="auto"/>
            </w:tcBorders>
            <w:shd w:val="clear" w:color="auto" w:fill="auto"/>
            <w:hideMark/>
          </w:tcPr>
          <w:p w14:paraId="43587185"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larvae- 2nd generation</w:t>
            </w:r>
          </w:p>
        </w:tc>
        <w:tc>
          <w:tcPr>
            <w:tcW w:w="709" w:type="dxa"/>
            <w:tcBorders>
              <w:top w:val="nil"/>
              <w:left w:val="nil"/>
              <w:bottom w:val="single" w:sz="8" w:space="0" w:color="auto"/>
              <w:right w:val="single" w:sz="8" w:space="0" w:color="auto"/>
            </w:tcBorders>
            <w:shd w:val="clear" w:color="auto" w:fill="auto"/>
            <w:hideMark/>
          </w:tcPr>
          <w:p w14:paraId="3307C1D3"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240 d</w:t>
            </w:r>
          </w:p>
        </w:tc>
        <w:tc>
          <w:tcPr>
            <w:tcW w:w="1276" w:type="dxa"/>
            <w:tcBorders>
              <w:top w:val="nil"/>
              <w:left w:val="nil"/>
              <w:bottom w:val="single" w:sz="8" w:space="0" w:color="auto"/>
              <w:right w:val="single" w:sz="8" w:space="0" w:color="auto"/>
            </w:tcBorders>
            <w:shd w:val="clear" w:color="auto" w:fill="auto"/>
            <w:hideMark/>
          </w:tcPr>
          <w:p w14:paraId="4BA39292"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Life cycle</w:t>
            </w:r>
          </w:p>
        </w:tc>
        <w:tc>
          <w:tcPr>
            <w:tcW w:w="850" w:type="dxa"/>
            <w:tcBorders>
              <w:top w:val="nil"/>
              <w:left w:val="nil"/>
              <w:bottom w:val="single" w:sz="8" w:space="0" w:color="auto"/>
              <w:right w:val="single" w:sz="8" w:space="0" w:color="auto"/>
            </w:tcBorders>
            <w:shd w:val="clear" w:color="auto" w:fill="auto"/>
            <w:hideMark/>
          </w:tcPr>
          <w:p w14:paraId="5D3AB97D"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13</w:t>
            </w:r>
          </w:p>
        </w:tc>
        <w:tc>
          <w:tcPr>
            <w:tcW w:w="709" w:type="dxa"/>
            <w:tcBorders>
              <w:top w:val="nil"/>
              <w:left w:val="nil"/>
              <w:bottom w:val="single" w:sz="8" w:space="0" w:color="auto"/>
              <w:right w:val="single" w:sz="8" w:space="0" w:color="auto"/>
            </w:tcBorders>
            <w:shd w:val="clear" w:color="auto" w:fill="auto"/>
            <w:hideMark/>
          </w:tcPr>
          <w:p w14:paraId="30EAD112"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FT</w:t>
            </w:r>
          </w:p>
        </w:tc>
        <w:tc>
          <w:tcPr>
            <w:tcW w:w="709" w:type="dxa"/>
            <w:tcBorders>
              <w:top w:val="nil"/>
              <w:left w:val="nil"/>
              <w:bottom w:val="single" w:sz="8" w:space="0" w:color="auto"/>
              <w:right w:val="single" w:sz="8" w:space="0" w:color="auto"/>
            </w:tcBorders>
            <w:shd w:val="clear" w:color="auto" w:fill="auto"/>
            <w:hideMark/>
          </w:tcPr>
          <w:p w14:paraId="3B635F27"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w:t>
            </w:r>
          </w:p>
        </w:tc>
        <w:tc>
          <w:tcPr>
            <w:tcW w:w="3118" w:type="dxa"/>
            <w:tcBorders>
              <w:top w:val="nil"/>
              <w:left w:val="nil"/>
              <w:bottom w:val="single" w:sz="8" w:space="0" w:color="auto"/>
              <w:right w:val="single" w:sz="8" w:space="0" w:color="auto"/>
            </w:tcBorders>
            <w:shd w:val="clear" w:color="auto" w:fill="auto"/>
            <w:hideMark/>
          </w:tcPr>
          <w:p w14:paraId="6E463D2C"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15°C; pH: 7.3; H: 26 mg/L CaCO3; DOC: 1.3 mg/L (9)</w:t>
            </w:r>
          </w:p>
        </w:tc>
        <w:tc>
          <w:tcPr>
            <w:tcW w:w="2127" w:type="dxa"/>
            <w:tcBorders>
              <w:top w:val="nil"/>
              <w:left w:val="nil"/>
              <w:bottom w:val="single" w:sz="8" w:space="0" w:color="auto"/>
              <w:right w:val="single" w:sz="8" w:space="0" w:color="auto"/>
            </w:tcBorders>
            <w:shd w:val="clear" w:color="auto" w:fill="auto"/>
            <w:hideMark/>
          </w:tcPr>
          <w:p w14:paraId="17A5B14E"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Well</w:t>
            </w:r>
          </w:p>
        </w:tc>
        <w:tc>
          <w:tcPr>
            <w:tcW w:w="2409" w:type="dxa"/>
            <w:tcBorders>
              <w:top w:val="nil"/>
              <w:left w:val="nil"/>
              <w:bottom w:val="single" w:sz="8" w:space="0" w:color="auto"/>
              <w:right w:val="double" w:sz="6" w:space="0" w:color="auto"/>
            </w:tcBorders>
            <w:shd w:val="clear" w:color="auto" w:fill="auto"/>
            <w:hideMark/>
          </w:tcPr>
          <w:p w14:paraId="4A8FBB9A"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Nebeker et al., 1984 </w:t>
            </w:r>
          </w:p>
        </w:tc>
      </w:tr>
      <w:tr w:rsidR="00632208" w:rsidRPr="0098635C" w14:paraId="4E7274FB" w14:textId="77777777" w:rsidTr="00A432B0">
        <w:trPr>
          <w:trHeight w:val="243"/>
        </w:trPr>
        <w:tc>
          <w:tcPr>
            <w:tcW w:w="1701" w:type="dxa"/>
            <w:tcBorders>
              <w:top w:val="nil"/>
              <w:left w:val="double" w:sz="6" w:space="0" w:color="auto"/>
              <w:bottom w:val="single" w:sz="8" w:space="0" w:color="auto"/>
              <w:right w:val="single" w:sz="8" w:space="0" w:color="auto"/>
            </w:tcBorders>
            <w:shd w:val="clear" w:color="auto" w:fill="auto"/>
            <w:hideMark/>
          </w:tcPr>
          <w:p w14:paraId="78FB8070"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Paratanytarsus parthenogeneticus </w:t>
            </w:r>
          </w:p>
        </w:tc>
        <w:tc>
          <w:tcPr>
            <w:tcW w:w="1701" w:type="dxa"/>
            <w:tcBorders>
              <w:top w:val="nil"/>
              <w:left w:val="nil"/>
              <w:bottom w:val="single" w:sz="8" w:space="0" w:color="auto"/>
              <w:right w:val="single" w:sz="8" w:space="0" w:color="auto"/>
            </w:tcBorders>
            <w:shd w:val="clear" w:color="auto" w:fill="auto"/>
            <w:hideMark/>
          </w:tcPr>
          <w:p w14:paraId="637B4CDC"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larvae (7 days old)</w:t>
            </w:r>
          </w:p>
        </w:tc>
        <w:tc>
          <w:tcPr>
            <w:tcW w:w="709" w:type="dxa"/>
            <w:tcBorders>
              <w:top w:val="nil"/>
              <w:left w:val="nil"/>
              <w:bottom w:val="single" w:sz="8" w:space="0" w:color="auto"/>
              <w:right w:val="single" w:sz="8" w:space="0" w:color="auto"/>
            </w:tcBorders>
            <w:shd w:val="clear" w:color="auto" w:fill="auto"/>
            <w:hideMark/>
          </w:tcPr>
          <w:p w14:paraId="0C407DA6"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16 d</w:t>
            </w:r>
          </w:p>
        </w:tc>
        <w:tc>
          <w:tcPr>
            <w:tcW w:w="1276" w:type="dxa"/>
            <w:tcBorders>
              <w:top w:val="nil"/>
              <w:left w:val="nil"/>
              <w:bottom w:val="single" w:sz="8" w:space="0" w:color="auto"/>
              <w:right w:val="single" w:sz="8" w:space="0" w:color="auto"/>
            </w:tcBorders>
            <w:shd w:val="clear" w:color="auto" w:fill="auto"/>
            <w:hideMark/>
          </w:tcPr>
          <w:p w14:paraId="21210819"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growth</w:t>
            </w:r>
          </w:p>
        </w:tc>
        <w:tc>
          <w:tcPr>
            <w:tcW w:w="850" w:type="dxa"/>
            <w:tcBorders>
              <w:top w:val="nil"/>
              <w:left w:val="nil"/>
              <w:bottom w:val="single" w:sz="8" w:space="0" w:color="auto"/>
              <w:right w:val="single" w:sz="8" w:space="0" w:color="auto"/>
            </w:tcBorders>
            <w:shd w:val="clear" w:color="auto" w:fill="auto"/>
            <w:hideMark/>
          </w:tcPr>
          <w:p w14:paraId="0B4062CE"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40</w:t>
            </w:r>
          </w:p>
        </w:tc>
        <w:tc>
          <w:tcPr>
            <w:tcW w:w="709" w:type="dxa"/>
            <w:tcBorders>
              <w:top w:val="nil"/>
              <w:left w:val="nil"/>
              <w:bottom w:val="single" w:sz="8" w:space="0" w:color="auto"/>
              <w:right w:val="single" w:sz="8" w:space="0" w:color="auto"/>
            </w:tcBorders>
            <w:shd w:val="clear" w:color="auto" w:fill="auto"/>
            <w:hideMark/>
          </w:tcPr>
          <w:p w14:paraId="401B2365"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w:t>
            </w:r>
          </w:p>
        </w:tc>
        <w:tc>
          <w:tcPr>
            <w:tcW w:w="709" w:type="dxa"/>
            <w:tcBorders>
              <w:top w:val="nil"/>
              <w:left w:val="nil"/>
              <w:bottom w:val="single" w:sz="8" w:space="0" w:color="auto"/>
              <w:right w:val="single" w:sz="8" w:space="0" w:color="auto"/>
            </w:tcBorders>
            <w:shd w:val="clear" w:color="auto" w:fill="auto"/>
            <w:hideMark/>
          </w:tcPr>
          <w:p w14:paraId="6C29BA1F"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0.5*</w:t>
            </w:r>
          </w:p>
        </w:tc>
        <w:tc>
          <w:tcPr>
            <w:tcW w:w="3118" w:type="dxa"/>
            <w:tcBorders>
              <w:top w:val="nil"/>
              <w:left w:val="nil"/>
              <w:bottom w:val="single" w:sz="8" w:space="0" w:color="auto"/>
              <w:right w:val="single" w:sz="8" w:space="0" w:color="auto"/>
            </w:tcBorders>
            <w:shd w:val="clear" w:color="auto" w:fill="auto"/>
            <w:hideMark/>
          </w:tcPr>
          <w:p w14:paraId="17D62EB3"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23°C; pH: 7.0; H: 25 mg/L CaCO3; DOC: 0.5 mg/L (1)</w:t>
            </w:r>
          </w:p>
        </w:tc>
        <w:tc>
          <w:tcPr>
            <w:tcW w:w="2127" w:type="dxa"/>
            <w:tcBorders>
              <w:top w:val="nil"/>
              <w:left w:val="nil"/>
              <w:bottom w:val="single" w:sz="8" w:space="0" w:color="auto"/>
              <w:right w:val="single" w:sz="8" w:space="0" w:color="auto"/>
            </w:tcBorders>
            <w:shd w:val="clear" w:color="auto" w:fill="auto"/>
            <w:hideMark/>
          </w:tcPr>
          <w:p w14:paraId="0ECA5130"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Reconstituted</w:t>
            </w:r>
          </w:p>
        </w:tc>
        <w:tc>
          <w:tcPr>
            <w:tcW w:w="2409" w:type="dxa"/>
            <w:tcBorders>
              <w:top w:val="nil"/>
              <w:left w:val="nil"/>
              <w:bottom w:val="single" w:sz="8" w:space="0" w:color="auto"/>
              <w:right w:val="double" w:sz="6" w:space="0" w:color="auto"/>
            </w:tcBorders>
            <w:shd w:val="clear" w:color="auto" w:fill="auto"/>
            <w:hideMark/>
          </w:tcPr>
          <w:p w14:paraId="02994ED8"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Hatakeyama &amp; Yasuno, 1981 </w:t>
            </w:r>
          </w:p>
        </w:tc>
      </w:tr>
      <w:tr w:rsidR="00632208" w:rsidRPr="0098635C" w14:paraId="7EAEAA7B" w14:textId="77777777" w:rsidTr="00A432B0">
        <w:trPr>
          <w:trHeight w:val="339"/>
        </w:trPr>
        <w:tc>
          <w:tcPr>
            <w:tcW w:w="1701" w:type="dxa"/>
            <w:tcBorders>
              <w:top w:val="nil"/>
              <w:left w:val="double" w:sz="6" w:space="0" w:color="auto"/>
              <w:bottom w:val="single" w:sz="8" w:space="0" w:color="auto"/>
              <w:right w:val="single" w:sz="8" w:space="0" w:color="auto"/>
            </w:tcBorders>
            <w:shd w:val="clear" w:color="auto" w:fill="auto"/>
            <w:hideMark/>
          </w:tcPr>
          <w:p w14:paraId="17FEAA17"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Paratanytarsus parthenogeneticus </w:t>
            </w:r>
          </w:p>
        </w:tc>
        <w:tc>
          <w:tcPr>
            <w:tcW w:w="1701" w:type="dxa"/>
            <w:tcBorders>
              <w:top w:val="nil"/>
              <w:left w:val="nil"/>
              <w:bottom w:val="single" w:sz="8" w:space="0" w:color="auto"/>
              <w:right w:val="single" w:sz="8" w:space="0" w:color="auto"/>
            </w:tcBorders>
            <w:shd w:val="clear" w:color="auto" w:fill="auto"/>
            <w:hideMark/>
          </w:tcPr>
          <w:p w14:paraId="1FCFE3DD"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larvae (7 days old)</w:t>
            </w:r>
          </w:p>
        </w:tc>
        <w:tc>
          <w:tcPr>
            <w:tcW w:w="709" w:type="dxa"/>
            <w:tcBorders>
              <w:top w:val="nil"/>
              <w:left w:val="nil"/>
              <w:bottom w:val="single" w:sz="8" w:space="0" w:color="auto"/>
              <w:right w:val="single" w:sz="8" w:space="0" w:color="auto"/>
            </w:tcBorders>
            <w:shd w:val="clear" w:color="auto" w:fill="auto"/>
            <w:hideMark/>
          </w:tcPr>
          <w:p w14:paraId="05654EE9"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16 d</w:t>
            </w:r>
          </w:p>
        </w:tc>
        <w:tc>
          <w:tcPr>
            <w:tcW w:w="1276" w:type="dxa"/>
            <w:tcBorders>
              <w:top w:val="nil"/>
              <w:left w:val="nil"/>
              <w:bottom w:val="single" w:sz="8" w:space="0" w:color="auto"/>
              <w:right w:val="single" w:sz="8" w:space="0" w:color="auto"/>
            </w:tcBorders>
            <w:shd w:val="clear" w:color="auto" w:fill="auto"/>
            <w:hideMark/>
          </w:tcPr>
          <w:p w14:paraId="1A90E7E9"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reproduction</w:t>
            </w:r>
          </w:p>
        </w:tc>
        <w:tc>
          <w:tcPr>
            <w:tcW w:w="850" w:type="dxa"/>
            <w:tcBorders>
              <w:top w:val="nil"/>
              <w:left w:val="nil"/>
              <w:bottom w:val="single" w:sz="8" w:space="0" w:color="auto"/>
              <w:right w:val="single" w:sz="8" w:space="0" w:color="auto"/>
            </w:tcBorders>
            <w:shd w:val="clear" w:color="auto" w:fill="auto"/>
            <w:hideMark/>
          </w:tcPr>
          <w:p w14:paraId="441D9004"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40</w:t>
            </w:r>
          </w:p>
        </w:tc>
        <w:tc>
          <w:tcPr>
            <w:tcW w:w="709" w:type="dxa"/>
            <w:tcBorders>
              <w:top w:val="nil"/>
              <w:left w:val="nil"/>
              <w:bottom w:val="single" w:sz="8" w:space="0" w:color="auto"/>
              <w:right w:val="single" w:sz="8" w:space="0" w:color="auto"/>
            </w:tcBorders>
            <w:shd w:val="clear" w:color="auto" w:fill="auto"/>
            <w:hideMark/>
          </w:tcPr>
          <w:p w14:paraId="3D2AB009"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w:t>
            </w:r>
          </w:p>
        </w:tc>
        <w:tc>
          <w:tcPr>
            <w:tcW w:w="709" w:type="dxa"/>
            <w:tcBorders>
              <w:top w:val="nil"/>
              <w:left w:val="nil"/>
              <w:bottom w:val="single" w:sz="8" w:space="0" w:color="auto"/>
              <w:right w:val="single" w:sz="8" w:space="0" w:color="auto"/>
            </w:tcBorders>
            <w:shd w:val="clear" w:color="auto" w:fill="auto"/>
            <w:hideMark/>
          </w:tcPr>
          <w:p w14:paraId="29B02728"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0.5*</w:t>
            </w:r>
          </w:p>
        </w:tc>
        <w:tc>
          <w:tcPr>
            <w:tcW w:w="3118" w:type="dxa"/>
            <w:tcBorders>
              <w:top w:val="nil"/>
              <w:left w:val="nil"/>
              <w:bottom w:val="single" w:sz="8" w:space="0" w:color="auto"/>
              <w:right w:val="single" w:sz="8" w:space="0" w:color="auto"/>
            </w:tcBorders>
            <w:shd w:val="clear" w:color="auto" w:fill="auto"/>
            <w:hideMark/>
          </w:tcPr>
          <w:p w14:paraId="65DAF3DC"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23°C; pH: 7.0; H: 25 mg/L CaCO3; DOC: 0.5 mg/L (1)</w:t>
            </w:r>
          </w:p>
        </w:tc>
        <w:tc>
          <w:tcPr>
            <w:tcW w:w="2127" w:type="dxa"/>
            <w:tcBorders>
              <w:top w:val="nil"/>
              <w:left w:val="nil"/>
              <w:bottom w:val="single" w:sz="8" w:space="0" w:color="auto"/>
              <w:right w:val="single" w:sz="8" w:space="0" w:color="auto"/>
            </w:tcBorders>
            <w:shd w:val="clear" w:color="auto" w:fill="auto"/>
            <w:hideMark/>
          </w:tcPr>
          <w:p w14:paraId="1BCA1FF5"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Reconstituted</w:t>
            </w:r>
          </w:p>
        </w:tc>
        <w:tc>
          <w:tcPr>
            <w:tcW w:w="2409" w:type="dxa"/>
            <w:tcBorders>
              <w:top w:val="nil"/>
              <w:left w:val="nil"/>
              <w:bottom w:val="single" w:sz="8" w:space="0" w:color="auto"/>
              <w:right w:val="double" w:sz="6" w:space="0" w:color="auto"/>
            </w:tcBorders>
            <w:shd w:val="clear" w:color="auto" w:fill="auto"/>
            <w:hideMark/>
          </w:tcPr>
          <w:p w14:paraId="3438B619"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Hatakeyama &amp; Yasuno, 1981 </w:t>
            </w:r>
          </w:p>
        </w:tc>
      </w:tr>
      <w:tr w:rsidR="00632208" w:rsidRPr="0098635C" w14:paraId="1EC6CFDB" w14:textId="77777777" w:rsidTr="00A432B0">
        <w:trPr>
          <w:trHeight w:val="151"/>
        </w:trPr>
        <w:tc>
          <w:tcPr>
            <w:tcW w:w="1701" w:type="dxa"/>
            <w:tcBorders>
              <w:top w:val="nil"/>
              <w:left w:val="double" w:sz="6" w:space="0" w:color="auto"/>
              <w:bottom w:val="single" w:sz="8" w:space="0" w:color="auto"/>
              <w:right w:val="single" w:sz="8" w:space="0" w:color="auto"/>
            </w:tcBorders>
            <w:shd w:val="clear" w:color="auto" w:fill="auto"/>
            <w:hideMark/>
          </w:tcPr>
          <w:p w14:paraId="0DCF22E1"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Dreissenia polymorpha</w:t>
            </w:r>
          </w:p>
        </w:tc>
        <w:tc>
          <w:tcPr>
            <w:tcW w:w="1701" w:type="dxa"/>
            <w:tcBorders>
              <w:top w:val="nil"/>
              <w:left w:val="nil"/>
              <w:bottom w:val="single" w:sz="8" w:space="0" w:color="auto"/>
              <w:right w:val="single" w:sz="8" w:space="0" w:color="auto"/>
            </w:tcBorders>
            <w:shd w:val="clear" w:color="auto" w:fill="auto"/>
            <w:hideMark/>
          </w:tcPr>
          <w:p w14:paraId="5E79BE52"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18-22 mm </w:t>
            </w:r>
          </w:p>
        </w:tc>
        <w:tc>
          <w:tcPr>
            <w:tcW w:w="709" w:type="dxa"/>
            <w:tcBorders>
              <w:top w:val="nil"/>
              <w:left w:val="nil"/>
              <w:bottom w:val="single" w:sz="8" w:space="0" w:color="auto"/>
              <w:right w:val="single" w:sz="8" w:space="0" w:color="auto"/>
            </w:tcBorders>
            <w:shd w:val="clear" w:color="auto" w:fill="auto"/>
            <w:hideMark/>
          </w:tcPr>
          <w:p w14:paraId="7F872C8C"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63-77 d</w:t>
            </w:r>
          </w:p>
        </w:tc>
        <w:tc>
          <w:tcPr>
            <w:tcW w:w="1276" w:type="dxa"/>
            <w:tcBorders>
              <w:top w:val="nil"/>
              <w:left w:val="nil"/>
              <w:bottom w:val="single" w:sz="8" w:space="0" w:color="auto"/>
              <w:right w:val="single" w:sz="8" w:space="0" w:color="auto"/>
            </w:tcBorders>
            <w:shd w:val="clear" w:color="auto" w:fill="auto"/>
            <w:hideMark/>
          </w:tcPr>
          <w:p w14:paraId="7FC4F21D"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Filtration rate</w:t>
            </w:r>
          </w:p>
        </w:tc>
        <w:tc>
          <w:tcPr>
            <w:tcW w:w="850" w:type="dxa"/>
            <w:tcBorders>
              <w:top w:val="nil"/>
              <w:left w:val="nil"/>
              <w:bottom w:val="single" w:sz="8" w:space="0" w:color="auto"/>
              <w:right w:val="single" w:sz="8" w:space="0" w:color="auto"/>
            </w:tcBorders>
            <w:shd w:val="clear" w:color="auto" w:fill="auto"/>
            <w:hideMark/>
          </w:tcPr>
          <w:p w14:paraId="41893B18"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16</w:t>
            </w:r>
          </w:p>
        </w:tc>
        <w:tc>
          <w:tcPr>
            <w:tcW w:w="709" w:type="dxa"/>
            <w:tcBorders>
              <w:top w:val="nil"/>
              <w:left w:val="nil"/>
              <w:bottom w:val="single" w:sz="8" w:space="0" w:color="auto"/>
              <w:right w:val="single" w:sz="8" w:space="0" w:color="auto"/>
            </w:tcBorders>
            <w:shd w:val="clear" w:color="auto" w:fill="auto"/>
            <w:hideMark/>
          </w:tcPr>
          <w:p w14:paraId="48ACEB99"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S</w:t>
            </w:r>
          </w:p>
        </w:tc>
        <w:tc>
          <w:tcPr>
            <w:tcW w:w="709" w:type="dxa"/>
            <w:tcBorders>
              <w:top w:val="nil"/>
              <w:left w:val="nil"/>
              <w:bottom w:val="single" w:sz="8" w:space="0" w:color="auto"/>
              <w:right w:val="single" w:sz="8" w:space="0" w:color="auto"/>
            </w:tcBorders>
            <w:shd w:val="clear" w:color="auto" w:fill="auto"/>
            <w:hideMark/>
          </w:tcPr>
          <w:p w14:paraId="2CD72B4B"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3</w:t>
            </w:r>
          </w:p>
        </w:tc>
        <w:tc>
          <w:tcPr>
            <w:tcW w:w="3118" w:type="dxa"/>
            <w:tcBorders>
              <w:top w:val="nil"/>
              <w:left w:val="nil"/>
              <w:bottom w:val="single" w:sz="8" w:space="0" w:color="auto"/>
              <w:right w:val="single" w:sz="8" w:space="0" w:color="auto"/>
            </w:tcBorders>
            <w:shd w:val="clear" w:color="auto" w:fill="auto"/>
            <w:hideMark/>
          </w:tcPr>
          <w:p w14:paraId="55A4A680"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15°C; pH: 7.9; H: 150 mg/L CaCO3; DOC: 7.10 mg/L (10)</w:t>
            </w:r>
          </w:p>
        </w:tc>
        <w:tc>
          <w:tcPr>
            <w:tcW w:w="2127" w:type="dxa"/>
            <w:tcBorders>
              <w:top w:val="nil"/>
              <w:left w:val="nil"/>
              <w:bottom w:val="single" w:sz="8" w:space="0" w:color="auto"/>
              <w:right w:val="single" w:sz="8" w:space="0" w:color="auto"/>
            </w:tcBorders>
            <w:shd w:val="clear" w:color="auto" w:fill="auto"/>
            <w:hideMark/>
          </w:tcPr>
          <w:p w14:paraId="28945691"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Lake (Lake Markermeer)</w:t>
            </w:r>
          </w:p>
        </w:tc>
        <w:tc>
          <w:tcPr>
            <w:tcW w:w="2409" w:type="dxa"/>
            <w:tcBorders>
              <w:top w:val="nil"/>
              <w:left w:val="nil"/>
              <w:bottom w:val="single" w:sz="8" w:space="0" w:color="auto"/>
              <w:right w:val="double" w:sz="6" w:space="0" w:color="auto"/>
            </w:tcBorders>
            <w:shd w:val="clear" w:color="auto" w:fill="auto"/>
            <w:hideMark/>
          </w:tcPr>
          <w:p w14:paraId="5DC9B8E3"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Kraak et al., 1994</w:t>
            </w:r>
          </w:p>
        </w:tc>
      </w:tr>
      <w:tr w:rsidR="00632208" w:rsidRPr="0098635C" w14:paraId="6042A6C0" w14:textId="77777777" w:rsidTr="00A432B0">
        <w:trPr>
          <w:trHeight w:val="64"/>
        </w:trPr>
        <w:tc>
          <w:tcPr>
            <w:tcW w:w="1701" w:type="dxa"/>
            <w:tcBorders>
              <w:top w:val="nil"/>
              <w:left w:val="double" w:sz="6" w:space="0" w:color="auto"/>
              <w:bottom w:val="single" w:sz="8" w:space="0" w:color="auto"/>
              <w:right w:val="single" w:sz="8" w:space="0" w:color="auto"/>
            </w:tcBorders>
            <w:shd w:val="clear" w:color="auto" w:fill="auto"/>
            <w:hideMark/>
          </w:tcPr>
          <w:p w14:paraId="4C20D3E8"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lastRenderedPageBreak/>
              <w:t>Dreissenia polymorpha</w:t>
            </w:r>
          </w:p>
        </w:tc>
        <w:tc>
          <w:tcPr>
            <w:tcW w:w="1701" w:type="dxa"/>
            <w:tcBorders>
              <w:top w:val="nil"/>
              <w:left w:val="nil"/>
              <w:bottom w:val="single" w:sz="8" w:space="0" w:color="auto"/>
              <w:right w:val="single" w:sz="8" w:space="0" w:color="auto"/>
            </w:tcBorders>
            <w:shd w:val="clear" w:color="auto" w:fill="auto"/>
            <w:hideMark/>
          </w:tcPr>
          <w:p w14:paraId="226E52D6"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 xml:space="preserve">18-22 mm </w:t>
            </w:r>
          </w:p>
        </w:tc>
        <w:tc>
          <w:tcPr>
            <w:tcW w:w="709" w:type="dxa"/>
            <w:tcBorders>
              <w:top w:val="nil"/>
              <w:left w:val="nil"/>
              <w:bottom w:val="single" w:sz="8" w:space="0" w:color="auto"/>
              <w:right w:val="single" w:sz="8" w:space="0" w:color="auto"/>
            </w:tcBorders>
            <w:shd w:val="clear" w:color="auto" w:fill="auto"/>
            <w:hideMark/>
          </w:tcPr>
          <w:p w14:paraId="7D6C9043"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27 d</w:t>
            </w:r>
          </w:p>
        </w:tc>
        <w:tc>
          <w:tcPr>
            <w:tcW w:w="1276" w:type="dxa"/>
            <w:tcBorders>
              <w:top w:val="nil"/>
              <w:left w:val="nil"/>
              <w:bottom w:val="single" w:sz="8" w:space="0" w:color="auto"/>
              <w:right w:val="single" w:sz="8" w:space="0" w:color="auto"/>
            </w:tcBorders>
            <w:shd w:val="clear" w:color="auto" w:fill="auto"/>
            <w:hideMark/>
          </w:tcPr>
          <w:p w14:paraId="48E76734"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Filtration rate</w:t>
            </w:r>
          </w:p>
        </w:tc>
        <w:tc>
          <w:tcPr>
            <w:tcW w:w="850" w:type="dxa"/>
            <w:tcBorders>
              <w:top w:val="nil"/>
              <w:left w:val="nil"/>
              <w:bottom w:val="single" w:sz="8" w:space="0" w:color="auto"/>
              <w:right w:val="single" w:sz="8" w:space="0" w:color="auto"/>
            </w:tcBorders>
            <w:shd w:val="clear" w:color="auto" w:fill="auto"/>
            <w:hideMark/>
          </w:tcPr>
          <w:p w14:paraId="706F224F"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21</w:t>
            </w:r>
          </w:p>
        </w:tc>
        <w:tc>
          <w:tcPr>
            <w:tcW w:w="709" w:type="dxa"/>
            <w:tcBorders>
              <w:top w:val="nil"/>
              <w:left w:val="nil"/>
              <w:bottom w:val="single" w:sz="8" w:space="0" w:color="auto"/>
              <w:right w:val="single" w:sz="8" w:space="0" w:color="auto"/>
            </w:tcBorders>
            <w:shd w:val="clear" w:color="auto" w:fill="auto"/>
            <w:hideMark/>
          </w:tcPr>
          <w:p w14:paraId="72842A88"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R</w:t>
            </w:r>
          </w:p>
        </w:tc>
        <w:tc>
          <w:tcPr>
            <w:tcW w:w="709" w:type="dxa"/>
            <w:tcBorders>
              <w:top w:val="nil"/>
              <w:left w:val="nil"/>
              <w:bottom w:val="single" w:sz="8" w:space="0" w:color="auto"/>
              <w:right w:val="single" w:sz="8" w:space="0" w:color="auto"/>
            </w:tcBorders>
            <w:shd w:val="clear" w:color="auto" w:fill="auto"/>
            <w:hideMark/>
          </w:tcPr>
          <w:p w14:paraId="53608ABB"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w:t>
            </w:r>
          </w:p>
        </w:tc>
        <w:tc>
          <w:tcPr>
            <w:tcW w:w="3118" w:type="dxa"/>
            <w:tcBorders>
              <w:top w:val="nil"/>
              <w:left w:val="nil"/>
              <w:bottom w:val="single" w:sz="8" w:space="0" w:color="auto"/>
              <w:right w:val="single" w:sz="8" w:space="0" w:color="auto"/>
            </w:tcBorders>
            <w:shd w:val="clear" w:color="auto" w:fill="auto"/>
            <w:hideMark/>
          </w:tcPr>
          <w:p w14:paraId="39B7145B"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13.4°C; pH: 7.8; H: 296 mg/L CaCO3; DOC: 1.0 mg/L (7)</w:t>
            </w:r>
          </w:p>
        </w:tc>
        <w:tc>
          <w:tcPr>
            <w:tcW w:w="2127" w:type="dxa"/>
            <w:tcBorders>
              <w:top w:val="nil"/>
              <w:left w:val="nil"/>
              <w:bottom w:val="single" w:sz="8" w:space="0" w:color="auto"/>
              <w:right w:val="single" w:sz="8" w:space="0" w:color="auto"/>
            </w:tcBorders>
            <w:shd w:val="clear" w:color="auto" w:fill="auto"/>
            <w:hideMark/>
          </w:tcPr>
          <w:p w14:paraId="3F94BA87"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Tap</w:t>
            </w:r>
          </w:p>
        </w:tc>
        <w:tc>
          <w:tcPr>
            <w:tcW w:w="2409" w:type="dxa"/>
            <w:tcBorders>
              <w:top w:val="nil"/>
              <w:left w:val="nil"/>
              <w:bottom w:val="single" w:sz="8" w:space="0" w:color="auto"/>
              <w:right w:val="double" w:sz="6" w:space="0" w:color="auto"/>
            </w:tcBorders>
            <w:shd w:val="clear" w:color="auto" w:fill="auto"/>
            <w:hideMark/>
          </w:tcPr>
          <w:p w14:paraId="47C4B438"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Mersch et al., 1993 </w:t>
            </w:r>
          </w:p>
        </w:tc>
      </w:tr>
      <w:tr w:rsidR="00632208" w:rsidRPr="0098635C" w14:paraId="775FBD66" w14:textId="77777777" w:rsidTr="00A432B0">
        <w:trPr>
          <w:trHeight w:val="90"/>
        </w:trPr>
        <w:tc>
          <w:tcPr>
            <w:tcW w:w="1701" w:type="dxa"/>
            <w:tcBorders>
              <w:top w:val="nil"/>
              <w:left w:val="double" w:sz="6" w:space="0" w:color="auto"/>
              <w:bottom w:val="single" w:sz="8" w:space="0" w:color="auto"/>
              <w:right w:val="single" w:sz="8" w:space="0" w:color="auto"/>
            </w:tcBorders>
            <w:shd w:val="clear" w:color="auto" w:fill="auto"/>
            <w:hideMark/>
          </w:tcPr>
          <w:p w14:paraId="78040EDB"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Villosa iris</w:t>
            </w:r>
          </w:p>
        </w:tc>
        <w:tc>
          <w:tcPr>
            <w:tcW w:w="1701" w:type="dxa"/>
            <w:tcBorders>
              <w:top w:val="nil"/>
              <w:left w:val="nil"/>
              <w:bottom w:val="single" w:sz="8" w:space="0" w:color="auto"/>
              <w:right w:val="single" w:sz="8" w:space="0" w:color="auto"/>
            </w:tcBorders>
            <w:shd w:val="clear" w:color="auto" w:fill="auto"/>
            <w:hideMark/>
          </w:tcPr>
          <w:p w14:paraId="4EBAD21B"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glochidia</w:t>
            </w:r>
          </w:p>
        </w:tc>
        <w:tc>
          <w:tcPr>
            <w:tcW w:w="709" w:type="dxa"/>
            <w:tcBorders>
              <w:top w:val="nil"/>
              <w:left w:val="nil"/>
              <w:bottom w:val="single" w:sz="8" w:space="0" w:color="auto"/>
              <w:right w:val="single" w:sz="8" w:space="0" w:color="auto"/>
            </w:tcBorders>
            <w:shd w:val="clear" w:color="auto" w:fill="auto"/>
            <w:hideMark/>
          </w:tcPr>
          <w:p w14:paraId="701B3B09"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30 d</w:t>
            </w:r>
          </w:p>
        </w:tc>
        <w:tc>
          <w:tcPr>
            <w:tcW w:w="1276" w:type="dxa"/>
            <w:tcBorders>
              <w:top w:val="nil"/>
              <w:left w:val="nil"/>
              <w:bottom w:val="single" w:sz="8" w:space="0" w:color="auto"/>
              <w:right w:val="single" w:sz="8" w:space="0" w:color="auto"/>
            </w:tcBorders>
            <w:shd w:val="clear" w:color="auto" w:fill="auto"/>
            <w:hideMark/>
          </w:tcPr>
          <w:p w14:paraId="5FB4B151"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mortality</w:t>
            </w:r>
          </w:p>
        </w:tc>
        <w:tc>
          <w:tcPr>
            <w:tcW w:w="850" w:type="dxa"/>
            <w:tcBorders>
              <w:top w:val="nil"/>
              <w:left w:val="nil"/>
              <w:bottom w:val="single" w:sz="8" w:space="0" w:color="auto"/>
              <w:right w:val="single" w:sz="8" w:space="0" w:color="auto"/>
            </w:tcBorders>
            <w:shd w:val="clear" w:color="auto" w:fill="auto"/>
            <w:hideMark/>
          </w:tcPr>
          <w:p w14:paraId="320363BE"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19.1</w:t>
            </w:r>
          </w:p>
        </w:tc>
        <w:tc>
          <w:tcPr>
            <w:tcW w:w="709" w:type="dxa"/>
            <w:tcBorders>
              <w:top w:val="nil"/>
              <w:left w:val="nil"/>
              <w:bottom w:val="single" w:sz="8" w:space="0" w:color="auto"/>
              <w:right w:val="single" w:sz="8" w:space="0" w:color="auto"/>
            </w:tcBorders>
            <w:shd w:val="clear" w:color="auto" w:fill="auto"/>
            <w:hideMark/>
          </w:tcPr>
          <w:p w14:paraId="47163867"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FT</w:t>
            </w:r>
          </w:p>
        </w:tc>
        <w:tc>
          <w:tcPr>
            <w:tcW w:w="709" w:type="dxa"/>
            <w:tcBorders>
              <w:top w:val="nil"/>
              <w:left w:val="nil"/>
              <w:bottom w:val="single" w:sz="8" w:space="0" w:color="auto"/>
              <w:right w:val="single" w:sz="8" w:space="0" w:color="auto"/>
            </w:tcBorders>
            <w:shd w:val="clear" w:color="auto" w:fill="auto"/>
            <w:hideMark/>
          </w:tcPr>
          <w:p w14:paraId="3A7EB317"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3.2</w:t>
            </w:r>
          </w:p>
        </w:tc>
        <w:tc>
          <w:tcPr>
            <w:tcW w:w="3118" w:type="dxa"/>
            <w:tcBorders>
              <w:top w:val="nil"/>
              <w:left w:val="nil"/>
              <w:bottom w:val="single" w:sz="8" w:space="0" w:color="auto"/>
              <w:right w:val="single" w:sz="8" w:space="0" w:color="auto"/>
            </w:tcBorders>
            <w:shd w:val="clear" w:color="auto" w:fill="auto"/>
            <w:hideMark/>
          </w:tcPr>
          <w:p w14:paraId="29A953DF"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20.8°C; pH: 8.39; H: 152 mg/L CaCO3; DOC: 3.7 mg/L (4)</w:t>
            </w:r>
          </w:p>
        </w:tc>
        <w:tc>
          <w:tcPr>
            <w:tcW w:w="2127" w:type="dxa"/>
            <w:tcBorders>
              <w:top w:val="nil"/>
              <w:left w:val="nil"/>
              <w:bottom w:val="single" w:sz="8" w:space="0" w:color="auto"/>
              <w:right w:val="single" w:sz="8" w:space="0" w:color="auto"/>
            </w:tcBorders>
            <w:shd w:val="clear" w:color="auto" w:fill="auto"/>
            <w:hideMark/>
          </w:tcPr>
          <w:p w14:paraId="600355AC"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River (Clinch River)</w:t>
            </w:r>
          </w:p>
        </w:tc>
        <w:tc>
          <w:tcPr>
            <w:tcW w:w="2409" w:type="dxa"/>
            <w:tcBorders>
              <w:top w:val="nil"/>
              <w:left w:val="nil"/>
              <w:bottom w:val="single" w:sz="8" w:space="0" w:color="auto"/>
              <w:right w:val="double" w:sz="6" w:space="0" w:color="auto"/>
            </w:tcBorders>
            <w:shd w:val="clear" w:color="auto" w:fill="auto"/>
            <w:hideMark/>
          </w:tcPr>
          <w:p w14:paraId="7AFA8225"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Jacobson et al., 1997</w:t>
            </w:r>
          </w:p>
        </w:tc>
      </w:tr>
      <w:tr w:rsidR="00632208" w:rsidRPr="0098635C" w14:paraId="5C7E71AB" w14:textId="77777777" w:rsidTr="00A432B0">
        <w:trPr>
          <w:trHeight w:val="199"/>
        </w:trPr>
        <w:tc>
          <w:tcPr>
            <w:tcW w:w="1701" w:type="dxa"/>
            <w:tcBorders>
              <w:top w:val="nil"/>
              <w:left w:val="double" w:sz="6" w:space="0" w:color="auto"/>
              <w:bottom w:val="single" w:sz="8" w:space="0" w:color="auto"/>
              <w:right w:val="single" w:sz="8" w:space="0" w:color="auto"/>
            </w:tcBorders>
            <w:shd w:val="clear" w:color="auto" w:fill="auto"/>
            <w:hideMark/>
          </w:tcPr>
          <w:p w14:paraId="2EF1EAEA"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Campeloma decisum </w:t>
            </w:r>
          </w:p>
        </w:tc>
        <w:tc>
          <w:tcPr>
            <w:tcW w:w="1701" w:type="dxa"/>
            <w:tcBorders>
              <w:top w:val="nil"/>
              <w:left w:val="nil"/>
              <w:bottom w:val="single" w:sz="8" w:space="0" w:color="auto"/>
              <w:right w:val="single" w:sz="8" w:space="0" w:color="auto"/>
            </w:tcBorders>
            <w:shd w:val="clear" w:color="auto" w:fill="auto"/>
            <w:hideMark/>
          </w:tcPr>
          <w:p w14:paraId="11CDEC67"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11 to 27 mm snail</w:t>
            </w:r>
          </w:p>
        </w:tc>
        <w:tc>
          <w:tcPr>
            <w:tcW w:w="709" w:type="dxa"/>
            <w:tcBorders>
              <w:top w:val="nil"/>
              <w:left w:val="nil"/>
              <w:bottom w:val="single" w:sz="8" w:space="0" w:color="auto"/>
              <w:right w:val="single" w:sz="8" w:space="0" w:color="auto"/>
            </w:tcBorders>
            <w:shd w:val="clear" w:color="auto" w:fill="auto"/>
            <w:hideMark/>
          </w:tcPr>
          <w:p w14:paraId="23F2D348"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42 d</w:t>
            </w:r>
          </w:p>
        </w:tc>
        <w:tc>
          <w:tcPr>
            <w:tcW w:w="1276" w:type="dxa"/>
            <w:tcBorders>
              <w:top w:val="nil"/>
              <w:left w:val="nil"/>
              <w:bottom w:val="single" w:sz="8" w:space="0" w:color="auto"/>
              <w:right w:val="single" w:sz="8" w:space="0" w:color="auto"/>
            </w:tcBorders>
            <w:shd w:val="clear" w:color="auto" w:fill="auto"/>
            <w:hideMark/>
          </w:tcPr>
          <w:p w14:paraId="35A03CE9"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mortality</w:t>
            </w:r>
          </w:p>
        </w:tc>
        <w:tc>
          <w:tcPr>
            <w:tcW w:w="850" w:type="dxa"/>
            <w:tcBorders>
              <w:top w:val="nil"/>
              <w:left w:val="nil"/>
              <w:bottom w:val="single" w:sz="8" w:space="0" w:color="auto"/>
              <w:right w:val="single" w:sz="8" w:space="0" w:color="auto"/>
            </w:tcBorders>
            <w:shd w:val="clear" w:color="auto" w:fill="auto"/>
            <w:hideMark/>
          </w:tcPr>
          <w:p w14:paraId="5F4D829F"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8</w:t>
            </w:r>
          </w:p>
        </w:tc>
        <w:tc>
          <w:tcPr>
            <w:tcW w:w="709" w:type="dxa"/>
            <w:tcBorders>
              <w:top w:val="nil"/>
              <w:left w:val="nil"/>
              <w:bottom w:val="single" w:sz="8" w:space="0" w:color="auto"/>
              <w:right w:val="single" w:sz="8" w:space="0" w:color="auto"/>
            </w:tcBorders>
            <w:shd w:val="clear" w:color="auto" w:fill="auto"/>
            <w:hideMark/>
          </w:tcPr>
          <w:p w14:paraId="3B98EEA5"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FT</w:t>
            </w:r>
          </w:p>
        </w:tc>
        <w:tc>
          <w:tcPr>
            <w:tcW w:w="709" w:type="dxa"/>
            <w:tcBorders>
              <w:top w:val="nil"/>
              <w:left w:val="nil"/>
              <w:bottom w:val="single" w:sz="8" w:space="0" w:color="auto"/>
              <w:right w:val="single" w:sz="8" w:space="0" w:color="auto"/>
            </w:tcBorders>
            <w:shd w:val="clear" w:color="auto" w:fill="auto"/>
            <w:hideMark/>
          </w:tcPr>
          <w:p w14:paraId="75080475"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1.9</w:t>
            </w:r>
          </w:p>
        </w:tc>
        <w:tc>
          <w:tcPr>
            <w:tcW w:w="3118" w:type="dxa"/>
            <w:tcBorders>
              <w:top w:val="nil"/>
              <w:left w:val="nil"/>
              <w:bottom w:val="single" w:sz="8" w:space="0" w:color="auto"/>
              <w:right w:val="single" w:sz="8" w:space="0" w:color="auto"/>
            </w:tcBorders>
            <w:shd w:val="clear" w:color="auto" w:fill="auto"/>
            <w:hideMark/>
          </w:tcPr>
          <w:p w14:paraId="4F9FF882"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15°C; pH: 8.15; H: 45 mg/L CaCO3; DOC: 1 mg/L (7)</w:t>
            </w:r>
          </w:p>
        </w:tc>
        <w:tc>
          <w:tcPr>
            <w:tcW w:w="2127" w:type="dxa"/>
            <w:tcBorders>
              <w:top w:val="nil"/>
              <w:left w:val="nil"/>
              <w:bottom w:val="single" w:sz="8" w:space="0" w:color="auto"/>
              <w:right w:val="single" w:sz="8" w:space="0" w:color="auto"/>
            </w:tcBorders>
            <w:shd w:val="clear" w:color="auto" w:fill="auto"/>
            <w:hideMark/>
          </w:tcPr>
          <w:p w14:paraId="470D84BE"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Tap</w:t>
            </w:r>
          </w:p>
        </w:tc>
        <w:tc>
          <w:tcPr>
            <w:tcW w:w="2409" w:type="dxa"/>
            <w:tcBorders>
              <w:top w:val="nil"/>
              <w:left w:val="nil"/>
              <w:bottom w:val="single" w:sz="8" w:space="0" w:color="auto"/>
              <w:right w:val="double" w:sz="6" w:space="0" w:color="auto"/>
            </w:tcBorders>
            <w:shd w:val="clear" w:color="auto" w:fill="auto"/>
            <w:hideMark/>
          </w:tcPr>
          <w:p w14:paraId="6CAA4DFA"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Arthur &amp; Leonard, 1970 </w:t>
            </w:r>
          </w:p>
        </w:tc>
      </w:tr>
      <w:tr w:rsidR="00632208" w:rsidRPr="0098635C" w14:paraId="0E8A9921" w14:textId="77777777" w:rsidTr="00A432B0">
        <w:trPr>
          <w:trHeight w:val="295"/>
        </w:trPr>
        <w:tc>
          <w:tcPr>
            <w:tcW w:w="1701" w:type="dxa"/>
            <w:tcBorders>
              <w:top w:val="nil"/>
              <w:left w:val="double" w:sz="6" w:space="0" w:color="auto"/>
              <w:bottom w:val="single" w:sz="8" w:space="0" w:color="auto"/>
              <w:right w:val="single" w:sz="8" w:space="0" w:color="auto"/>
            </w:tcBorders>
            <w:shd w:val="clear" w:color="auto" w:fill="auto"/>
            <w:hideMark/>
          </w:tcPr>
          <w:p w14:paraId="79DBA514"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Campeloma decisum </w:t>
            </w:r>
          </w:p>
        </w:tc>
        <w:tc>
          <w:tcPr>
            <w:tcW w:w="1701" w:type="dxa"/>
            <w:tcBorders>
              <w:top w:val="nil"/>
              <w:left w:val="nil"/>
              <w:bottom w:val="single" w:sz="8" w:space="0" w:color="auto"/>
              <w:right w:val="single" w:sz="8" w:space="0" w:color="auto"/>
            </w:tcBorders>
            <w:shd w:val="clear" w:color="auto" w:fill="auto"/>
            <w:hideMark/>
          </w:tcPr>
          <w:p w14:paraId="7A58E90C"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11 to 27 mm snail</w:t>
            </w:r>
          </w:p>
        </w:tc>
        <w:tc>
          <w:tcPr>
            <w:tcW w:w="709" w:type="dxa"/>
            <w:tcBorders>
              <w:top w:val="nil"/>
              <w:left w:val="nil"/>
              <w:bottom w:val="single" w:sz="8" w:space="0" w:color="auto"/>
              <w:right w:val="single" w:sz="8" w:space="0" w:color="auto"/>
            </w:tcBorders>
            <w:shd w:val="clear" w:color="auto" w:fill="auto"/>
            <w:hideMark/>
          </w:tcPr>
          <w:p w14:paraId="3FF16A12"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42 d</w:t>
            </w:r>
          </w:p>
        </w:tc>
        <w:tc>
          <w:tcPr>
            <w:tcW w:w="1276" w:type="dxa"/>
            <w:tcBorders>
              <w:top w:val="nil"/>
              <w:left w:val="nil"/>
              <w:bottom w:val="single" w:sz="8" w:space="0" w:color="auto"/>
              <w:right w:val="single" w:sz="8" w:space="0" w:color="auto"/>
            </w:tcBorders>
            <w:shd w:val="clear" w:color="auto" w:fill="auto"/>
            <w:hideMark/>
          </w:tcPr>
          <w:p w14:paraId="2B7EFFFE"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mortality</w:t>
            </w:r>
          </w:p>
        </w:tc>
        <w:tc>
          <w:tcPr>
            <w:tcW w:w="850" w:type="dxa"/>
            <w:tcBorders>
              <w:top w:val="nil"/>
              <w:left w:val="nil"/>
              <w:bottom w:val="single" w:sz="8" w:space="0" w:color="auto"/>
              <w:right w:val="single" w:sz="8" w:space="0" w:color="auto"/>
            </w:tcBorders>
            <w:shd w:val="clear" w:color="auto" w:fill="auto"/>
            <w:hideMark/>
          </w:tcPr>
          <w:p w14:paraId="422F89BE"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8</w:t>
            </w:r>
          </w:p>
        </w:tc>
        <w:tc>
          <w:tcPr>
            <w:tcW w:w="709" w:type="dxa"/>
            <w:tcBorders>
              <w:top w:val="nil"/>
              <w:left w:val="nil"/>
              <w:bottom w:val="single" w:sz="8" w:space="0" w:color="auto"/>
              <w:right w:val="single" w:sz="8" w:space="0" w:color="auto"/>
            </w:tcBorders>
            <w:shd w:val="clear" w:color="auto" w:fill="auto"/>
            <w:hideMark/>
          </w:tcPr>
          <w:p w14:paraId="34C40907"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FT</w:t>
            </w:r>
          </w:p>
        </w:tc>
        <w:tc>
          <w:tcPr>
            <w:tcW w:w="709" w:type="dxa"/>
            <w:tcBorders>
              <w:top w:val="nil"/>
              <w:left w:val="nil"/>
              <w:bottom w:val="single" w:sz="8" w:space="0" w:color="auto"/>
              <w:right w:val="single" w:sz="8" w:space="0" w:color="auto"/>
            </w:tcBorders>
            <w:shd w:val="clear" w:color="auto" w:fill="auto"/>
            <w:hideMark/>
          </w:tcPr>
          <w:p w14:paraId="5F9B2490"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1.9</w:t>
            </w:r>
          </w:p>
        </w:tc>
        <w:tc>
          <w:tcPr>
            <w:tcW w:w="3118" w:type="dxa"/>
            <w:tcBorders>
              <w:top w:val="nil"/>
              <w:left w:val="nil"/>
              <w:bottom w:val="single" w:sz="8" w:space="0" w:color="auto"/>
              <w:right w:val="single" w:sz="8" w:space="0" w:color="auto"/>
            </w:tcBorders>
            <w:shd w:val="clear" w:color="auto" w:fill="auto"/>
            <w:hideMark/>
          </w:tcPr>
          <w:p w14:paraId="5DD68C0A"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15°C; pH: 8.15; H: 45 mg/L CaCO3; DOC: 1 mg/L (7)</w:t>
            </w:r>
          </w:p>
        </w:tc>
        <w:tc>
          <w:tcPr>
            <w:tcW w:w="2127" w:type="dxa"/>
            <w:tcBorders>
              <w:top w:val="nil"/>
              <w:left w:val="nil"/>
              <w:bottom w:val="single" w:sz="8" w:space="0" w:color="auto"/>
              <w:right w:val="single" w:sz="8" w:space="0" w:color="auto"/>
            </w:tcBorders>
            <w:shd w:val="clear" w:color="auto" w:fill="auto"/>
            <w:hideMark/>
          </w:tcPr>
          <w:p w14:paraId="0AC752C6"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Tap</w:t>
            </w:r>
          </w:p>
        </w:tc>
        <w:tc>
          <w:tcPr>
            <w:tcW w:w="2409" w:type="dxa"/>
            <w:tcBorders>
              <w:top w:val="nil"/>
              <w:left w:val="nil"/>
              <w:bottom w:val="single" w:sz="8" w:space="0" w:color="auto"/>
              <w:right w:val="double" w:sz="6" w:space="0" w:color="auto"/>
            </w:tcBorders>
            <w:shd w:val="clear" w:color="auto" w:fill="auto"/>
            <w:hideMark/>
          </w:tcPr>
          <w:p w14:paraId="1BBF2211"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 xml:space="preserve">Arthur &amp; Leonard, 1970 </w:t>
            </w:r>
          </w:p>
        </w:tc>
      </w:tr>
      <w:tr w:rsidR="00632208" w:rsidRPr="0098635C" w14:paraId="0B287CCA" w14:textId="77777777" w:rsidTr="00A432B0">
        <w:trPr>
          <w:trHeight w:val="377"/>
        </w:trPr>
        <w:tc>
          <w:tcPr>
            <w:tcW w:w="1701" w:type="dxa"/>
            <w:tcBorders>
              <w:top w:val="nil"/>
              <w:left w:val="double" w:sz="6" w:space="0" w:color="auto"/>
              <w:bottom w:val="single" w:sz="8" w:space="0" w:color="auto"/>
              <w:right w:val="single" w:sz="8" w:space="0" w:color="auto"/>
            </w:tcBorders>
            <w:shd w:val="clear" w:color="auto" w:fill="auto"/>
            <w:hideMark/>
          </w:tcPr>
          <w:p w14:paraId="76214E3E"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Juga plicifera</w:t>
            </w:r>
          </w:p>
        </w:tc>
        <w:tc>
          <w:tcPr>
            <w:tcW w:w="1701" w:type="dxa"/>
            <w:tcBorders>
              <w:top w:val="nil"/>
              <w:left w:val="nil"/>
              <w:bottom w:val="single" w:sz="8" w:space="0" w:color="auto"/>
              <w:right w:val="single" w:sz="8" w:space="0" w:color="auto"/>
            </w:tcBorders>
            <w:shd w:val="clear" w:color="auto" w:fill="auto"/>
            <w:hideMark/>
          </w:tcPr>
          <w:p w14:paraId="76C396C2"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mature</w:t>
            </w:r>
          </w:p>
        </w:tc>
        <w:tc>
          <w:tcPr>
            <w:tcW w:w="709" w:type="dxa"/>
            <w:tcBorders>
              <w:top w:val="nil"/>
              <w:left w:val="nil"/>
              <w:bottom w:val="single" w:sz="8" w:space="0" w:color="auto"/>
              <w:right w:val="single" w:sz="8" w:space="0" w:color="auto"/>
            </w:tcBorders>
            <w:shd w:val="clear" w:color="auto" w:fill="auto"/>
            <w:hideMark/>
          </w:tcPr>
          <w:p w14:paraId="487B8298"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30 d</w:t>
            </w:r>
          </w:p>
        </w:tc>
        <w:tc>
          <w:tcPr>
            <w:tcW w:w="1276" w:type="dxa"/>
            <w:tcBorders>
              <w:top w:val="nil"/>
              <w:left w:val="nil"/>
              <w:bottom w:val="single" w:sz="8" w:space="0" w:color="auto"/>
              <w:right w:val="single" w:sz="8" w:space="0" w:color="auto"/>
            </w:tcBorders>
            <w:shd w:val="clear" w:color="auto" w:fill="auto"/>
            <w:hideMark/>
          </w:tcPr>
          <w:p w14:paraId="454DCD45"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mortality</w:t>
            </w:r>
          </w:p>
        </w:tc>
        <w:tc>
          <w:tcPr>
            <w:tcW w:w="850" w:type="dxa"/>
            <w:tcBorders>
              <w:top w:val="nil"/>
              <w:left w:val="nil"/>
              <w:bottom w:val="single" w:sz="8" w:space="0" w:color="auto"/>
              <w:right w:val="single" w:sz="8" w:space="0" w:color="auto"/>
            </w:tcBorders>
            <w:shd w:val="clear" w:color="auto" w:fill="auto"/>
            <w:hideMark/>
          </w:tcPr>
          <w:p w14:paraId="54C8B7EB" w14:textId="77777777" w:rsidR="00632208" w:rsidRPr="0098635C" w:rsidRDefault="00632208" w:rsidP="00A432B0">
            <w:pPr>
              <w:widowControl/>
              <w:autoSpaceDE/>
              <w:autoSpaceDN/>
              <w:adjustRightInd/>
              <w:spacing w:after="0"/>
              <w:jc w:val="center"/>
              <w:rPr>
                <w:bCs/>
                <w:color w:val="000000" w:themeColor="text1"/>
                <w:sz w:val="20"/>
                <w:szCs w:val="20"/>
                <w:lang w:eastAsia="en-GB"/>
              </w:rPr>
            </w:pPr>
            <w:r w:rsidRPr="0098635C">
              <w:rPr>
                <w:bCs/>
                <w:color w:val="000000" w:themeColor="text1"/>
                <w:sz w:val="20"/>
                <w:szCs w:val="20"/>
                <w:lang w:eastAsia="en-GB"/>
              </w:rPr>
              <w:t>6</w:t>
            </w:r>
          </w:p>
        </w:tc>
        <w:tc>
          <w:tcPr>
            <w:tcW w:w="709" w:type="dxa"/>
            <w:tcBorders>
              <w:top w:val="nil"/>
              <w:left w:val="nil"/>
              <w:bottom w:val="single" w:sz="8" w:space="0" w:color="auto"/>
              <w:right w:val="single" w:sz="8" w:space="0" w:color="auto"/>
            </w:tcBorders>
            <w:shd w:val="clear" w:color="auto" w:fill="auto"/>
            <w:hideMark/>
          </w:tcPr>
          <w:p w14:paraId="334482C5"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FT</w:t>
            </w:r>
          </w:p>
        </w:tc>
        <w:tc>
          <w:tcPr>
            <w:tcW w:w="709" w:type="dxa"/>
            <w:tcBorders>
              <w:top w:val="nil"/>
              <w:left w:val="nil"/>
              <w:bottom w:val="single" w:sz="8" w:space="0" w:color="auto"/>
              <w:right w:val="single" w:sz="8" w:space="0" w:color="auto"/>
            </w:tcBorders>
            <w:shd w:val="clear" w:color="auto" w:fill="auto"/>
            <w:hideMark/>
          </w:tcPr>
          <w:p w14:paraId="66599595"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0.5*</w:t>
            </w:r>
          </w:p>
        </w:tc>
        <w:tc>
          <w:tcPr>
            <w:tcW w:w="3118" w:type="dxa"/>
            <w:tcBorders>
              <w:top w:val="nil"/>
              <w:left w:val="nil"/>
              <w:bottom w:val="single" w:sz="8" w:space="0" w:color="auto"/>
              <w:right w:val="single" w:sz="8" w:space="0" w:color="auto"/>
            </w:tcBorders>
            <w:shd w:val="clear" w:color="auto" w:fill="auto"/>
            <w:hideMark/>
          </w:tcPr>
          <w:p w14:paraId="15CC630D" w14:textId="77777777" w:rsidR="00632208" w:rsidRPr="0098635C" w:rsidRDefault="00632208" w:rsidP="00A432B0">
            <w:pPr>
              <w:widowControl/>
              <w:autoSpaceDE/>
              <w:autoSpaceDN/>
              <w:adjustRightInd/>
              <w:spacing w:after="0"/>
              <w:jc w:val="center"/>
              <w:rPr>
                <w:color w:val="000000" w:themeColor="text1"/>
                <w:sz w:val="20"/>
                <w:szCs w:val="20"/>
                <w:lang w:eastAsia="en-GB"/>
              </w:rPr>
            </w:pPr>
            <w:r w:rsidRPr="0098635C">
              <w:rPr>
                <w:color w:val="000000" w:themeColor="text1"/>
                <w:sz w:val="20"/>
                <w:szCs w:val="20"/>
                <w:lang w:eastAsia="en-GB"/>
              </w:rPr>
              <w:t>T: 15°C; pH: 7.1; H: 23 mg/L CaCO3; DOC: 1.3 mg/L (9)</w:t>
            </w:r>
          </w:p>
        </w:tc>
        <w:tc>
          <w:tcPr>
            <w:tcW w:w="2127" w:type="dxa"/>
            <w:tcBorders>
              <w:top w:val="nil"/>
              <w:left w:val="nil"/>
              <w:bottom w:val="single" w:sz="8" w:space="0" w:color="auto"/>
              <w:right w:val="single" w:sz="8" w:space="0" w:color="auto"/>
            </w:tcBorders>
            <w:shd w:val="clear" w:color="auto" w:fill="auto"/>
            <w:hideMark/>
          </w:tcPr>
          <w:p w14:paraId="5D00AF1B"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Well</w:t>
            </w:r>
          </w:p>
        </w:tc>
        <w:tc>
          <w:tcPr>
            <w:tcW w:w="2409" w:type="dxa"/>
            <w:tcBorders>
              <w:top w:val="nil"/>
              <w:left w:val="nil"/>
              <w:bottom w:val="single" w:sz="8" w:space="0" w:color="auto"/>
              <w:right w:val="double" w:sz="6" w:space="0" w:color="auto"/>
            </w:tcBorders>
            <w:shd w:val="clear" w:color="auto" w:fill="auto"/>
            <w:hideMark/>
          </w:tcPr>
          <w:p w14:paraId="7E4A8049" w14:textId="77777777" w:rsidR="00632208" w:rsidRPr="0098635C" w:rsidRDefault="00632208" w:rsidP="00A432B0">
            <w:pPr>
              <w:widowControl/>
              <w:autoSpaceDE/>
              <w:autoSpaceDN/>
              <w:adjustRightInd/>
              <w:spacing w:after="0"/>
              <w:rPr>
                <w:color w:val="000000" w:themeColor="text1"/>
                <w:sz w:val="20"/>
                <w:szCs w:val="20"/>
                <w:lang w:eastAsia="en-GB"/>
              </w:rPr>
            </w:pPr>
            <w:r w:rsidRPr="0098635C">
              <w:rPr>
                <w:color w:val="000000" w:themeColor="text1"/>
                <w:sz w:val="20"/>
                <w:szCs w:val="20"/>
                <w:lang w:eastAsia="en-GB"/>
              </w:rPr>
              <w:t>Nebeker et al., 1986</w:t>
            </w:r>
          </w:p>
        </w:tc>
      </w:tr>
    </w:tbl>
    <w:p w14:paraId="2B48060F" w14:textId="77777777" w:rsidR="00632208" w:rsidRPr="0098635C" w:rsidRDefault="00632208" w:rsidP="00632208">
      <w:pPr>
        <w:tabs>
          <w:tab w:val="left" w:pos="1993"/>
        </w:tabs>
        <w:rPr>
          <w:b/>
          <w:color w:val="000000" w:themeColor="text1"/>
          <w:sz w:val="20"/>
          <w:szCs w:val="20"/>
        </w:rPr>
      </w:pPr>
    </w:p>
    <w:p w14:paraId="051D3B87" w14:textId="77777777" w:rsidR="00632208" w:rsidRPr="0098635C" w:rsidRDefault="00632208" w:rsidP="00632208">
      <w:pPr>
        <w:widowControl/>
        <w:autoSpaceDE/>
        <w:autoSpaceDN/>
        <w:adjustRightInd/>
        <w:rPr>
          <w:b/>
          <w:color w:val="000000" w:themeColor="text1"/>
          <w:sz w:val="20"/>
          <w:szCs w:val="20"/>
        </w:rPr>
      </w:pPr>
      <w:r w:rsidRPr="0098635C">
        <w:rPr>
          <w:b/>
          <w:color w:val="000000" w:themeColor="text1"/>
          <w:sz w:val="20"/>
          <w:szCs w:val="20"/>
        </w:rPr>
        <w:br w:type="page"/>
      </w:r>
    </w:p>
    <w:p w14:paraId="3549E231" w14:textId="77777777" w:rsidR="00983DC2" w:rsidRPr="0098635C" w:rsidRDefault="009B2B28" w:rsidP="00632208">
      <w:pPr>
        <w:spacing w:after="0"/>
        <w:rPr>
          <w:color w:val="000000" w:themeColor="text1"/>
          <w:sz w:val="20"/>
          <w:szCs w:val="20"/>
        </w:rPr>
      </w:pPr>
      <w:r w:rsidRPr="0098635C">
        <w:rPr>
          <w:rFonts w:eastAsia="Calibri"/>
          <w:color w:val="000000" w:themeColor="text1"/>
          <w:sz w:val="20"/>
          <w:szCs w:val="20"/>
        </w:rPr>
        <w:lastRenderedPageBreak/>
        <w:t>Annex X</w:t>
      </w:r>
      <w:r w:rsidR="00EC6F09" w:rsidRPr="0098635C">
        <w:rPr>
          <w:rFonts w:eastAsia="Calibri"/>
          <w:color w:val="000000" w:themeColor="text1"/>
          <w:sz w:val="20"/>
          <w:szCs w:val="20"/>
        </w:rPr>
        <w:t>I</w:t>
      </w:r>
      <w:r w:rsidRPr="0098635C">
        <w:rPr>
          <w:rFonts w:eastAsia="Calibri"/>
          <w:color w:val="000000" w:themeColor="text1"/>
          <w:sz w:val="20"/>
          <w:szCs w:val="20"/>
        </w:rPr>
        <w:t xml:space="preserve">: Overview </w:t>
      </w:r>
      <w:r w:rsidR="00632208" w:rsidRPr="0098635C">
        <w:rPr>
          <w:color w:val="000000" w:themeColor="text1"/>
          <w:sz w:val="20"/>
          <w:szCs w:val="20"/>
        </w:rPr>
        <w:t xml:space="preserve">NOECs </w:t>
      </w:r>
      <w:r w:rsidR="009B1AE4" w:rsidRPr="0098635C">
        <w:rPr>
          <w:color w:val="000000" w:themeColor="text1"/>
          <w:sz w:val="20"/>
          <w:szCs w:val="20"/>
        </w:rPr>
        <w:t xml:space="preserve">for freshwater algae. </w:t>
      </w:r>
    </w:p>
    <w:p w14:paraId="05F86244" w14:textId="77777777" w:rsidR="00983DC2" w:rsidRPr="0098635C" w:rsidRDefault="00983DC2" w:rsidP="00632208">
      <w:pPr>
        <w:spacing w:after="0"/>
        <w:rPr>
          <w:color w:val="000000" w:themeColor="text1"/>
          <w:sz w:val="20"/>
          <w:szCs w:val="20"/>
        </w:rPr>
      </w:pPr>
    </w:p>
    <w:p w14:paraId="787A3723" w14:textId="6E7732B0" w:rsidR="00632208" w:rsidRPr="0098635C" w:rsidRDefault="009B1AE4" w:rsidP="00632208">
      <w:pPr>
        <w:spacing w:after="0"/>
        <w:rPr>
          <w:color w:val="000000" w:themeColor="text1"/>
          <w:sz w:val="20"/>
          <w:szCs w:val="20"/>
        </w:rPr>
      </w:pPr>
      <w:r w:rsidRPr="0098635C">
        <w:rPr>
          <w:color w:val="000000" w:themeColor="text1"/>
          <w:sz w:val="20"/>
          <w:szCs w:val="20"/>
        </w:rPr>
        <w:t xml:space="preserve">NOEC values </w:t>
      </w:r>
      <w:r w:rsidR="00632208" w:rsidRPr="0098635C">
        <w:rPr>
          <w:color w:val="000000" w:themeColor="text1"/>
          <w:sz w:val="20"/>
          <w:szCs w:val="20"/>
        </w:rPr>
        <w:t>are expressed as measured µg Cu/L  H= Hardness; d= days ; Cb= copper background concentration expressed as measured µg Cu/L</w:t>
      </w:r>
    </w:p>
    <w:p w14:paraId="2009D687" w14:textId="6538CABA" w:rsidR="00965849" w:rsidRPr="0098635C" w:rsidRDefault="00965849" w:rsidP="00965849">
      <w:pPr>
        <w:spacing w:after="0"/>
        <w:rPr>
          <w:color w:val="000000" w:themeColor="text1"/>
          <w:sz w:val="20"/>
          <w:szCs w:val="20"/>
        </w:rPr>
      </w:pPr>
      <w:r w:rsidRPr="0098635C">
        <w:rPr>
          <w:color w:val="000000" w:themeColor="text1"/>
          <w:sz w:val="20"/>
          <w:szCs w:val="20"/>
        </w:rPr>
        <w:t xml:space="preserve">Footnotes see Annex </w:t>
      </w:r>
      <w:r w:rsidR="009B1AE4" w:rsidRPr="0098635C">
        <w:rPr>
          <w:color w:val="000000" w:themeColor="text1"/>
          <w:sz w:val="20"/>
          <w:szCs w:val="20"/>
        </w:rPr>
        <w:t>IX</w:t>
      </w:r>
    </w:p>
    <w:p w14:paraId="02863342" w14:textId="134FDA67" w:rsidR="00632208" w:rsidRPr="0098635C" w:rsidRDefault="00632208" w:rsidP="00982513">
      <w:pPr>
        <w:tabs>
          <w:tab w:val="left" w:pos="1993"/>
        </w:tabs>
        <w:spacing w:after="0"/>
        <w:rPr>
          <w:color w:val="000000" w:themeColor="text1"/>
          <w:sz w:val="20"/>
          <w:szCs w:val="20"/>
        </w:rPr>
      </w:pPr>
      <w:r w:rsidRPr="0098635C">
        <w:rPr>
          <w:color w:val="000000" w:themeColor="text1"/>
          <w:sz w:val="20"/>
          <w:szCs w:val="20"/>
        </w:rPr>
        <w:tab/>
      </w:r>
    </w:p>
    <w:tbl>
      <w:tblPr>
        <w:tblW w:w="15309" w:type="dxa"/>
        <w:tblInd w:w="-1026" w:type="dxa"/>
        <w:tblLayout w:type="fixed"/>
        <w:tblLook w:val="0000" w:firstRow="0" w:lastRow="0" w:firstColumn="0" w:lastColumn="0" w:noHBand="0" w:noVBand="0"/>
      </w:tblPr>
      <w:tblGrid>
        <w:gridCol w:w="1701"/>
        <w:gridCol w:w="1701"/>
        <w:gridCol w:w="709"/>
        <w:gridCol w:w="1276"/>
        <w:gridCol w:w="850"/>
        <w:gridCol w:w="709"/>
        <w:gridCol w:w="709"/>
        <w:gridCol w:w="3260"/>
        <w:gridCol w:w="1985"/>
        <w:gridCol w:w="2409"/>
      </w:tblGrid>
      <w:tr w:rsidR="00632208" w:rsidRPr="0098635C" w14:paraId="3FC7FF58" w14:textId="77777777" w:rsidTr="00A432B0">
        <w:trPr>
          <w:trHeight w:val="414"/>
        </w:trPr>
        <w:tc>
          <w:tcPr>
            <w:tcW w:w="1701" w:type="dxa"/>
            <w:tcBorders>
              <w:top w:val="double" w:sz="6" w:space="0" w:color="auto"/>
              <w:left w:val="double" w:sz="6" w:space="0" w:color="auto"/>
              <w:bottom w:val="single" w:sz="4" w:space="0" w:color="auto"/>
              <w:right w:val="single" w:sz="8" w:space="0" w:color="auto"/>
            </w:tcBorders>
          </w:tcPr>
          <w:p w14:paraId="71692412"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Organism</w:t>
            </w:r>
          </w:p>
        </w:tc>
        <w:tc>
          <w:tcPr>
            <w:tcW w:w="1701" w:type="dxa"/>
            <w:tcBorders>
              <w:top w:val="double" w:sz="6" w:space="0" w:color="auto"/>
              <w:left w:val="single" w:sz="8" w:space="0" w:color="auto"/>
              <w:bottom w:val="single" w:sz="4" w:space="0" w:color="auto"/>
              <w:right w:val="single" w:sz="8" w:space="0" w:color="auto"/>
            </w:tcBorders>
          </w:tcPr>
          <w:p w14:paraId="6999B01D"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Age/size of organisms</w:t>
            </w:r>
          </w:p>
        </w:tc>
        <w:tc>
          <w:tcPr>
            <w:tcW w:w="709" w:type="dxa"/>
            <w:tcBorders>
              <w:top w:val="double" w:sz="6" w:space="0" w:color="auto"/>
              <w:left w:val="single" w:sz="8" w:space="0" w:color="auto"/>
              <w:bottom w:val="single" w:sz="4" w:space="0" w:color="auto"/>
              <w:right w:val="single" w:sz="8" w:space="0" w:color="auto"/>
            </w:tcBorders>
          </w:tcPr>
          <w:p w14:paraId="480636C1"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Exposure time</w:t>
            </w:r>
          </w:p>
        </w:tc>
        <w:tc>
          <w:tcPr>
            <w:tcW w:w="1276" w:type="dxa"/>
            <w:tcBorders>
              <w:top w:val="double" w:sz="6" w:space="0" w:color="auto"/>
              <w:left w:val="single" w:sz="8" w:space="0" w:color="auto"/>
              <w:bottom w:val="single" w:sz="4" w:space="0" w:color="auto"/>
              <w:right w:val="single" w:sz="8" w:space="0" w:color="auto"/>
            </w:tcBorders>
          </w:tcPr>
          <w:p w14:paraId="316F6B5F"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Endpoint</w:t>
            </w:r>
          </w:p>
        </w:tc>
        <w:tc>
          <w:tcPr>
            <w:tcW w:w="850" w:type="dxa"/>
            <w:tcBorders>
              <w:top w:val="double" w:sz="6" w:space="0" w:color="auto"/>
              <w:left w:val="nil"/>
              <w:bottom w:val="single" w:sz="4" w:space="0" w:color="auto"/>
              <w:right w:val="single" w:sz="8" w:space="0" w:color="auto"/>
            </w:tcBorders>
          </w:tcPr>
          <w:p w14:paraId="1A76EC83"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NOEC</w:t>
            </w:r>
          </w:p>
          <w:p w14:paraId="5F5C1EA0"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(µg.L)</w:t>
            </w:r>
          </w:p>
        </w:tc>
        <w:tc>
          <w:tcPr>
            <w:tcW w:w="709" w:type="dxa"/>
            <w:tcBorders>
              <w:top w:val="double" w:sz="6" w:space="0" w:color="auto"/>
              <w:left w:val="single" w:sz="8" w:space="0" w:color="auto"/>
              <w:bottom w:val="single" w:sz="4" w:space="0" w:color="auto"/>
              <w:right w:val="single" w:sz="8" w:space="0" w:color="auto"/>
            </w:tcBorders>
          </w:tcPr>
          <w:p w14:paraId="6C0FD370"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Testtype</w:t>
            </w:r>
          </w:p>
        </w:tc>
        <w:tc>
          <w:tcPr>
            <w:tcW w:w="709" w:type="dxa"/>
            <w:tcBorders>
              <w:top w:val="double" w:sz="6" w:space="0" w:color="auto"/>
              <w:left w:val="single" w:sz="8" w:space="0" w:color="auto"/>
              <w:bottom w:val="single" w:sz="4" w:space="0" w:color="auto"/>
              <w:right w:val="single" w:sz="8" w:space="0" w:color="auto"/>
            </w:tcBorders>
          </w:tcPr>
          <w:p w14:paraId="362F5E6F"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Cb (µg Cu/l)</w:t>
            </w:r>
          </w:p>
        </w:tc>
        <w:tc>
          <w:tcPr>
            <w:tcW w:w="3260" w:type="dxa"/>
            <w:tcBorders>
              <w:top w:val="double" w:sz="6" w:space="0" w:color="auto"/>
              <w:left w:val="nil"/>
              <w:bottom w:val="single" w:sz="4" w:space="0" w:color="auto"/>
              <w:right w:val="single" w:sz="8" w:space="0" w:color="auto"/>
            </w:tcBorders>
          </w:tcPr>
          <w:p w14:paraId="52468DC8"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Physico-chemical conditions</w:t>
            </w:r>
          </w:p>
        </w:tc>
        <w:tc>
          <w:tcPr>
            <w:tcW w:w="1985" w:type="dxa"/>
            <w:tcBorders>
              <w:top w:val="double" w:sz="6" w:space="0" w:color="auto"/>
              <w:left w:val="single" w:sz="8" w:space="0" w:color="auto"/>
              <w:bottom w:val="single" w:sz="4" w:space="0" w:color="auto"/>
              <w:right w:val="single" w:sz="8" w:space="0" w:color="auto"/>
            </w:tcBorders>
          </w:tcPr>
          <w:p w14:paraId="77BA1A1A"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Medium</w:t>
            </w:r>
          </w:p>
        </w:tc>
        <w:tc>
          <w:tcPr>
            <w:tcW w:w="2409" w:type="dxa"/>
            <w:tcBorders>
              <w:top w:val="double" w:sz="6" w:space="0" w:color="auto"/>
              <w:left w:val="single" w:sz="8" w:space="0" w:color="auto"/>
              <w:bottom w:val="single" w:sz="4" w:space="0" w:color="auto"/>
              <w:right w:val="double" w:sz="6" w:space="0" w:color="auto"/>
            </w:tcBorders>
          </w:tcPr>
          <w:p w14:paraId="39885F97"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Reference</w:t>
            </w:r>
          </w:p>
        </w:tc>
      </w:tr>
      <w:tr w:rsidR="00632208" w:rsidRPr="0098635C" w14:paraId="3CED39D6" w14:textId="77777777" w:rsidTr="00A432B0">
        <w:trPr>
          <w:trHeight w:val="275"/>
        </w:trPr>
        <w:tc>
          <w:tcPr>
            <w:tcW w:w="1701" w:type="dxa"/>
            <w:tcBorders>
              <w:top w:val="single" w:sz="4" w:space="0" w:color="auto"/>
              <w:left w:val="double" w:sz="6" w:space="0" w:color="auto"/>
              <w:bottom w:val="single" w:sz="8" w:space="0" w:color="auto"/>
              <w:right w:val="single" w:sz="8" w:space="0" w:color="auto"/>
            </w:tcBorders>
          </w:tcPr>
          <w:p w14:paraId="769BA47D"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Chlamydomonas reinhardtii </w:t>
            </w:r>
          </w:p>
        </w:tc>
        <w:tc>
          <w:tcPr>
            <w:tcW w:w="1701" w:type="dxa"/>
            <w:tcBorders>
              <w:top w:val="single" w:sz="4" w:space="0" w:color="auto"/>
              <w:left w:val="nil"/>
              <w:bottom w:val="single" w:sz="8" w:space="0" w:color="auto"/>
              <w:right w:val="single" w:sz="8" w:space="0" w:color="auto"/>
            </w:tcBorders>
          </w:tcPr>
          <w:p w14:paraId="4C02413A"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 c/ml</w:t>
            </w:r>
          </w:p>
        </w:tc>
        <w:tc>
          <w:tcPr>
            <w:tcW w:w="709" w:type="dxa"/>
            <w:tcBorders>
              <w:top w:val="single" w:sz="4" w:space="0" w:color="auto"/>
              <w:left w:val="nil"/>
              <w:bottom w:val="single" w:sz="8" w:space="0" w:color="auto"/>
              <w:right w:val="single" w:sz="8" w:space="0" w:color="auto"/>
            </w:tcBorders>
          </w:tcPr>
          <w:p w14:paraId="0D8D249E" w14:textId="77777777" w:rsidR="00632208" w:rsidRPr="0098635C" w:rsidRDefault="00632208" w:rsidP="00A432B0">
            <w:pPr>
              <w:spacing w:after="0"/>
              <w:rPr>
                <w:color w:val="000000" w:themeColor="text1"/>
                <w:sz w:val="20"/>
                <w:szCs w:val="20"/>
              </w:rPr>
            </w:pPr>
            <w:r w:rsidRPr="0098635C">
              <w:rPr>
                <w:color w:val="000000" w:themeColor="text1"/>
                <w:sz w:val="20"/>
                <w:szCs w:val="20"/>
              </w:rPr>
              <w:t>10 d</w:t>
            </w:r>
          </w:p>
        </w:tc>
        <w:tc>
          <w:tcPr>
            <w:tcW w:w="1276" w:type="dxa"/>
            <w:tcBorders>
              <w:top w:val="single" w:sz="4" w:space="0" w:color="auto"/>
              <w:left w:val="nil"/>
              <w:bottom w:val="single" w:sz="8" w:space="0" w:color="auto"/>
              <w:right w:val="single" w:sz="8" w:space="0" w:color="auto"/>
            </w:tcBorders>
          </w:tcPr>
          <w:p w14:paraId="7AC26D01"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single" w:sz="4" w:space="0" w:color="auto"/>
              <w:left w:val="nil"/>
              <w:bottom w:val="single" w:sz="8" w:space="0" w:color="auto"/>
              <w:right w:val="single" w:sz="8" w:space="0" w:color="auto"/>
            </w:tcBorders>
          </w:tcPr>
          <w:p w14:paraId="0FDCB4A1"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22</w:t>
            </w:r>
          </w:p>
        </w:tc>
        <w:tc>
          <w:tcPr>
            <w:tcW w:w="709" w:type="dxa"/>
            <w:tcBorders>
              <w:top w:val="single" w:sz="4" w:space="0" w:color="auto"/>
              <w:left w:val="nil"/>
              <w:bottom w:val="single" w:sz="8" w:space="0" w:color="auto"/>
              <w:right w:val="single" w:sz="8" w:space="0" w:color="auto"/>
            </w:tcBorders>
          </w:tcPr>
          <w:p w14:paraId="210A424E" w14:textId="77777777" w:rsidR="00632208" w:rsidRPr="0098635C" w:rsidRDefault="00632208" w:rsidP="00A432B0">
            <w:pPr>
              <w:spacing w:after="0"/>
              <w:rPr>
                <w:color w:val="000000" w:themeColor="text1"/>
                <w:sz w:val="20"/>
                <w:szCs w:val="20"/>
              </w:rPr>
            </w:pPr>
            <w:r w:rsidRPr="0098635C">
              <w:rPr>
                <w:color w:val="000000" w:themeColor="text1"/>
                <w:sz w:val="20"/>
                <w:szCs w:val="20"/>
              </w:rPr>
              <w:t>FT</w:t>
            </w:r>
          </w:p>
        </w:tc>
        <w:tc>
          <w:tcPr>
            <w:tcW w:w="709" w:type="dxa"/>
            <w:tcBorders>
              <w:top w:val="single" w:sz="4" w:space="0" w:color="auto"/>
              <w:left w:val="nil"/>
              <w:bottom w:val="single" w:sz="8" w:space="0" w:color="auto"/>
              <w:right w:val="single" w:sz="8" w:space="0" w:color="auto"/>
            </w:tcBorders>
          </w:tcPr>
          <w:p w14:paraId="219E7E8F"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single" w:sz="4" w:space="0" w:color="auto"/>
              <w:left w:val="nil"/>
              <w:bottom w:val="single" w:sz="8" w:space="0" w:color="auto"/>
              <w:right w:val="single" w:sz="8" w:space="0" w:color="auto"/>
            </w:tcBorders>
          </w:tcPr>
          <w:p w14:paraId="5869EDB8"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24°C; pH: 6.20; H: 25 mg/L CaCO3; DOC: 0.5 mg/L </w:t>
            </w:r>
            <w:r w:rsidRPr="0098635C">
              <w:rPr>
                <w:color w:val="000000" w:themeColor="text1"/>
                <w:sz w:val="20"/>
                <w:szCs w:val="20"/>
                <w:vertAlign w:val="superscript"/>
              </w:rPr>
              <w:t>(1)</w:t>
            </w:r>
            <w:r w:rsidRPr="0098635C">
              <w:rPr>
                <w:color w:val="000000" w:themeColor="text1"/>
                <w:sz w:val="20"/>
                <w:szCs w:val="20"/>
              </w:rPr>
              <w:t xml:space="preserve">  </w:t>
            </w:r>
          </w:p>
        </w:tc>
        <w:tc>
          <w:tcPr>
            <w:tcW w:w="1985" w:type="dxa"/>
            <w:tcBorders>
              <w:top w:val="single" w:sz="4" w:space="0" w:color="auto"/>
              <w:left w:val="nil"/>
              <w:bottom w:val="single" w:sz="8" w:space="0" w:color="auto"/>
              <w:right w:val="single" w:sz="8" w:space="0" w:color="auto"/>
            </w:tcBorders>
          </w:tcPr>
          <w:p w14:paraId="72D18767" w14:textId="77777777" w:rsidR="00632208" w:rsidRPr="0098635C" w:rsidRDefault="00632208" w:rsidP="00A432B0">
            <w:pPr>
              <w:spacing w:after="0"/>
              <w:rPr>
                <w:color w:val="000000" w:themeColor="text1"/>
                <w:sz w:val="20"/>
                <w:szCs w:val="20"/>
              </w:rPr>
            </w:pPr>
            <w:r w:rsidRPr="0098635C">
              <w:rPr>
                <w:color w:val="000000" w:themeColor="text1"/>
                <w:sz w:val="20"/>
                <w:szCs w:val="20"/>
              </w:rPr>
              <w:t>Reconstituted</w:t>
            </w:r>
          </w:p>
        </w:tc>
        <w:tc>
          <w:tcPr>
            <w:tcW w:w="2409" w:type="dxa"/>
            <w:tcBorders>
              <w:top w:val="single" w:sz="4" w:space="0" w:color="auto"/>
              <w:left w:val="nil"/>
              <w:bottom w:val="single" w:sz="8" w:space="0" w:color="auto"/>
              <w:right w:val="double" w:sz="6" w:space="0" w:color="auto"/>
            </w:tcBorders>
          </w:tcPr>
          <w:p w14:paraId="6B447945"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Schäfer et al., 1994 </w:t>
            </w:r>
          </w:p>
        </w:tc>
      </w:tr>
      <w:tr w:rsidR="00632208" w:rsidRPr="0098635C" w14:paraId="05EF5D49" w14:textId="77777777" w:rsidTr="00A432B0">
        <w:trPr>
          <w:trHeight w:val="64"/>
        </w:trPr>
        <w:tc>
          <w:tcPr>
            <w:tcW w:w="1701" w:type="dxa"/>
            <w:tcBorders>
              <w:top w:val="nil"/>
              <w:left w:val="double" w:sz="6" w:space="0" w:color="auto"/>
              <w:bottom w:val="single" w:sz="8" w:space="0" w:color="auto"/>
              <w:right w:val="single" w:sz="8" w:space="0" w:color="auto"/>
            </w:tcBorders>
          </w:tcPr>
          <w:p w14:paraId="73D0A4A0"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Chlamydomonas reinhardtii </w:t>
            </w:r>
          </w:p>
        </w:tc>
        <w:tc>
          <w:tcPr>
            <w:tcW w:w="1701" w:type="dxa"/>
            <w:tcBorders>
              <w:top w:val="nil"/>
              <w:left w:val="nil"/>
              <w:bottom w:val="single" w:sz="8" w:space="0" w:color="auto"/>
              <w:right w:val="single" w:sz="8" w:space="0" w:color="auto"/>
            </w:tcBorders>
          </w:tcPr>
          <w:p w14:paraId="26487ED2"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10,000 c/ml</w:t>
            </w:r>
          </w:p>
        </w:tc>
        <w:tc>
          <w:tcPr>
            <w:tcW w:w="709" w:type="dxa"/>
            <w:tcBorders>
              <w:top w:val="nil"/>
              <w:left w:val="nil"/>
              <w:bottom w:val="single" w:sz="8" w:space="0" w:color="auto"/>
              <w:right w:val="single" w:sz="8" w:space="0" w:color="auto"/>
            </w:tcBorders>
          </w:tcPr>
          <w:p w14:paraId="4635F8F5" w14:textId="77777777" w:rsidR="00632208" w:rsidRPr="0098635C" w:rsidRDefault="00632208" w:rsidP="00A432B0">
            <w:pPr>
              <w:spacing w:after="0"/>
              <w:rPr>
                <w:color w:val="000000" w:themeColor="text1"/>
                <w:sz w:val="20"/>
                <w:szCs w:val="20"/>
              </w:rPr>
            </w:pPr>
            <w:r w:rsidRPr="0098635C">
              <w:rPr>
                <w:color w:val="000000" w:themeColor="text1"/>
                <w:sz w:val="20"/>
                <w:szCs w:val="20"/>
              </w:rPr>
              <w:t>3 d</w:t>
            </w:r>
          </w:p>
        </w:tc>
        <w:tc>
          <w:tcPr>
            <w:tcW w:w="1276" w:type="dxa"/>
            <w:tcBorders>
              <w:top w:val="nil"/>
              <w:left w:val="nil"/>
              <w:bottom w:val="single" w:sz="8" w:space="0" w:color="auto"/>
              <w:right w:val="single" w:sz="8" w:space="0" w:color="auto"/>
            </w:tcBorders>
          </w:tcPr>
          <w:p w14:paraId="1F9CB176"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5950C944"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178</w:t>
            </w:r>
          </w:p>
        </w:tc>
        <w:tc>
          <w:tcPr>
            <w:tcW w:w="709" w:type="dxa"/>
            <w:tcBorders>
              <w:top w:val="nil"/>
              <w:left w:val="nil"/>
              <w:bottom w:val="single" w:sz="8" w:space="0" w:color="auto"/>
              <w:right w:val="single" w:sz="8" w:space="0" w:color="auto"/>
            </w:tcBorders>
          </w:tcPr>
          <w:p w14:paraId="0B4627E6"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1D754F24"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single" w:sz="8" w:space="0" w:color="auto"/>
              <w:right w:val="single" w:sz="8" w:space="0" w:color="auto"/>
            </w:tcBorders>
          </w:tcPr>
          <w:p w14:paraId="3869CE7A" w14:textId="77777777" w:rsidR="00632208" w:rsidRPr="0098635C" w:rsidRDefault="00632208" w:rsidP="00A432B0">
            <w:pPr>
              <w:spacing w:after="0"/>
              <w:rPr>
                <w:color w:val="000000" w:themeColor="text1"/>
                <w:sz w:val="20"/>
                <w:szCs w:val="20"/>
              </w:rPr>
            </w:pPr>
            <w:r w:rsidRPr="0098635C">
              <w:rPr>
                <w:color w:val="000000" w:themeColor="text1"/>
                <w:sz w:val="20"/>
                <w:szCs w:val="20"/>
              </w:rPr>
              <w:t>T: 20°C; pH: 6.02; H: 250 mg/L CaCO3; DOC: 9.84 mg/L</w:t>
            </w:r>
          </w:p>
        </w:tc>
        <w:tc>
          <w:tcPr>
            <w:tcW w:w="1985" w:type="dxa"/>
            <w:tcBorders>
              <w:top w:val="nil"/>
              <w:left w:val="nil"/>
              <w:bottom w:val="single" w:sz="8" w:space="0" w:color="auto"/>
              <w:right w:val="single" w:sz="8" w:space="0" w:color="auto"/>
            </w:tcBorders>
          </w:tcPr>
          <w:p w14:paraId="4E22F337" w14:textId="77777777" w:rsidR="00632208" w:rsidRPr="0098635C" w:rsidRDefault="00632208" w:rsidP="00A432B0">
            <w:pPr>
              <w:spacing w:after="0"/>
              <w:rPr>
                <w:color w:val="000000" w:themeColor="text1"/>
                <w:sz w:val="20"/>
                <w:szCs w:val="20"/>
              </w:rPr>
            </w:pPr>
            <w:r w:rsidRPr="0098635C">
              <w:rPr>
                <w:color w:val="000000" w:themeColor="text1"/>
                <w:sz w:val="20"/>
                <w:szCs w:val="20"/>
              </w:rPr>
              <w:t>Reconstituted</w:t>
            </w:r>
          </w:p>
        </w:tc>
        <w:tc>
          <w:tcPr>
            <w:tcW w:w="2409" w:type="dxa"/>
            <w:tcBorders>
              <w:top w:val="nil"/>
              <w:left w:val="nil"/>
              <w:bottom w:val="single" w:sz="8" w:space="0" w:color="auto"/>
              <w:right w:val="double" w:sz="6" w:space="0" w:color="auto"/>
            </w:tcBorders>
          </w:tcPr>
          <w:p w14:paraId="2DD9571A"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De Schamphelaere et al., 2006 </w:t>
            </w:r>
          </w:p>
        </w:tc>
      </w:tr>
      <w:tr w:rsidR="00632208" w:rsidRPr="0098635C" w14:paraId="08826F99" w14:textId="77777777" w:rsidTr="00A432B0">
        <w:trPr>
          <w:trHeight w:val="64"/>
        </w:trPr>
        <w:tc>
          <w:tcPr>
            <w:tcW w:w="1701" w:type="dxa"/>
            <w:tcBorders>
              <w:top w:val="nil"/>
              <w:left w:val="double" w:sz="6" w:space="0" w:color="auto"/>
              <w:bottom w:val="single" w:sz="8" w:space="0" w:color="auto"/>
              <w:right w:val="single" w:sz="8" w:space="0" w:color="auto"/>
            </w:tcBorders>
          </w:tcPr>
          <w:p w14:paraId="4ADA6F05"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Chlamydomonas reinhardtii </w:t>
            </w:r>
          </w:p>
        </w:tc>
        <w:tc>
          <w:tcPr>
            <w:tcW w:w="1701" w:type="dxa"/>
            <w:tcBorders>
              <w:top w:val="nil"/>
              <w:left w:val="nil"/>
              <w:bottom w:val="single" w:sz="8" w:space="0" w:color="auto"/>
              <w:right w:val="single" w:sz="8" w:space="0" w:color="auto"/>
            </w:tcBorders>
          </w:tcPr>
          <w:p w14:paraId="38E1E0D1"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10,000 c/ml</w:t>
            </w:r>
          </w:p>
        </w:tc>
        <w:tc>
          <w:tcPr>
            <w:tcW w:w="709" w:type="dxa"/>
            <w:tcBorders>
              <w:top w:val="nil"/>
              <w:left w:val="nil"/>
              <w:bottom w:val="single" w:sz="8" w:space="0" w:color="auto"/>
              <w:right w:val="single" w:sz="8" w:space="0" w:color="auto"/>
            </w:tcBorders>
          </w:tcPr>
          <w:p w14:paraId="4C7A8F23" w14:textId="77777777" w:rsidR="00632208" w:rsidRPr="0098635C" w:rsidRDefault="00632208" w:rsidP="00A432B0">
            <w:pPr>
              <w:spacing w:after="0"/>
              <w:rPr>
                <w:color w:val="000000" w:themeColor="text1"/>
                <w:sz w:val="20"/>
                <w:szCs w:val="20"/>
              </w:rPr>
            </w:pPr>
            <w:r w:rsidRPr="0098635C">
              <w:rPr>
                <w:color w:val="000000" w:themeColor="text1"/>
                <w:sz w:val="20"/>
                <w:szCs w:val="20"/>
              </w:rPr>
              <w:t>3 d</w:t>
            </w:r>
          </w:p>
        </w:tc>
        <w:tc>
          <w:tcPr>
            <w:tcW w:w="1276" w:type="dxa"/>
            <w:tcBorders>
              <w:top w:val="nil"/>
              <w:left w:val="nil"/>
              <w:bottom w:val="single" w:sz="8" w:space="0" w:color="auto"/>
              <w:right w:val="single" w:sz="8" w:space="0" w:color="auto"/>
            </w:tcBorders>
          </w:tcPr>
          <w:p w14:paraId="14D20A0F"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58D89AD8"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108</w:t>
            </w:r>
          </w:p>
        </w:tc>
        <w:tc>
          <w:tcPr>
            <w:tcW w:w="709" w:type="dxa"/>
            <w:tcBorders>
              <w:top w:val="nil"/>
              <w:left w:val="nil"/>
              <w:bottom w:val="single" w:sz="8" w:space="0" w:color="auto"/>
              <w:right w:val="single" w:sz="8" w:space="0" w:color="auto"/>
            </w:tcBorders>
          </w:tcPr>
          <w:p w14:paraId="08B92F8E"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43622152"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single" w:sz="8" w:space="0" w:color="auto"/>
              <w:right w:val="single" w:sz="8" w:space="0" w:color="auto"/>
            </w:tcBorders>
          </w:tcPr>
          <w:p w14:paraId="26A50C40" w14:textId="77777777" w:rsidR="00632208" w:rsidRPr="0098635C" w:rsidRDefault="00632208" w:rsidP="00A432B0">
            <w:pPr>
              <w:spacing w:after="0"/>
              <w:rPr>
                <w:color w:val="000000" w:themeColor="text1"/>
                <w:sz w:val="20"/>
                <w:szCs w:val="20"/>
              </w:rPr>
            </w:pPr>
            <w:r w:rsidRPr="0098635C">
              <w:rPr>
                <w:color w:val="000000" w:themeColor="text1"/>
                <w:sz w:val="20"/>
                <w:szCs w:val="20"/>
              </w:rPr>
              <w:t>T: 20°C; pH: 7.03; H: 250 mg/L CaCO3; DOC: 9.84 mg/L</w:t>
            </w:r>
          </w:p>
        </w:tc>
        <w:tc>
          <w:tcPr>
            <w:tcW w:w="1985" w:type="dxa"/>
            <w:tcBorders>
              <w:top w:val="nil"/>
              <w:left w:val="nil"/>
              <w:bottom w:val="single" w:sz="8" w:space="0" w:color="auto"/>
              <w:right w:val="single" w:sz="8" w:space="0" w:color="auto"/>
            </w:tcBorders>
          </w:tcPr>
          <w:p w14:paraId="24D3B557" w14:textId="77777777" w:rsidR="00632208" w:rsidRPr="0098635C" w:rsidRDefault="00632208" w:rsidP="00A432B0">
            <w:pPr>
              <w:spacing w:after="0"/>
              <w:rPr>
                <w:color w:val="000000" w:themeColor="text1"/>
                <w:sz w:val="20"/>
                <w:szCs w:val="20"/>
              </w:rPr>
            </w:pPr>
            <w:r w:rsidRPr="0098635C">
              <w:rPr>
                <w:color w:val="000000" w:themeColor="text1"/>
                <w:sz w:val="20"/>
                <w:szCs w:val="20"/>
              </w:rPr>
              <w:t>Reconstituted</w:t>
            </w:r>
          </w:p>
        </w:tc>
        <w:tc>
          <w:tcPr>
            <w:tcW w:w="2409" w:type="dxa"/>
            <w:tcBorders>
              <w:top w:val="nil"/>
              <w:left w:val="nil"/>
              <w:bottom w:val="single" w:sz="8" w:space="0" w:color="auto"/>
              <w:right w:val="double" w:sz="6" w:space="0" w:color="auto"/>
            </w:tcBorders>
          </w:tcPr>
          <w:p w14:paraId="68E08605"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2006</w:t>
            </w:r>
          </w:p>
        </w:tc>
      </w:tr>
      <w:tr w:rsidR="00632208" w:rsidRPr="0098635C" w14:paraId="5D45B4BC" w14:textId="77777777" w:rsidTr="00A432B0">
        <w:trPr>
          <w:trHeight w:val="97"/>
        </w:trPr>
        <w:tc>
          <w:tcPr>
            <w:tcW w:w="1701" w:type="dxa"/>
            <w:tcBorders>
              <w:top w:val="nil"/>
              <w:left w:val="double" w:sz="6" w:space="0" w:color="auto"/>
              <w:bottom w:val="single" w:sz="8" w:space="0" w:color="auto"/>
              <w:right w:val="single" w:sz="8" w:space="0" w:color="auto"/>
            </w:tcBorders>
          </w:tcPr>
          <w:p w14:paraId="0EFFE4C7"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Chlamydomonas reinhardtii </w:t>
            </w:r>
          </w:p>
        </w:tc>
        <w:tc>
          <w:tcPr>
            <w:tcW w:w="1701" w:type="dxa"/>
            <w:tcBorders>
              <w:top w:val="nil"/>
              <w:left w:val="nil"/>
              <w:bottom w:val="single" w:sz="8" w:space="0" w:color="auto"/>
              <w:right w:val="single" w:sz="8" w:space="0" w:color="auto"/>
            </w:tcBorders>
          </w:tcPr>
          <w:p w14:paraId="09F84F82"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10,000 c/ml</w:t>
            </w:r>
          </w:p>
        </w:tc>
        <w:tc>
          <w:tcPr>
            <w:tcW w:w="709" w:type="dxa"/>
            <w:tcBorders>
              <w:top w:val="nil"/>
              <w:left w:val="nil"/>
              <w:bottom w:val="single" w:sz="8" w:space="0" w:color="auto"/>
              <w:right w:val="single" w:sz="8" w:space="0" w:color="auto"/>
            </w:tcBorders>
          </w:tcPr>
          <w:p w14:paraId="160EDDF5" w14:textId="77777777" w:rsidR="00632208" w:rsidRPr="0098635C" w:rsidRDefault="00632208" w:rsidP="00A432B0">
            <w:pPr>
              <w:spacing w:after="0"/>
              <w:rPr>
                <w:color w:val="000000" w:themeColor="text1"/>
                <w:sz w:val="20"/>
                <w:szCs w:val="20"/>
              </w:rPr>
            </w:pPr>
            <w:r w:rsidRPr="0098635C">
              <w:rPr>
                <w:color w:val="000000" w:themeColor="text1"/>
                <w:sz w:val="20"/>
                <w:szCs w:val="20"/>
              </w:rPr>
              <w:t>3 d</w:t>
            </w:r>
          </w:p>
        </w:tc>
        <w:tc>
          <w:tcPr>
            <w:tcW w:w="1276" w:type="dxa"/>
            <w:tcBorders>
              <w:top w:val="nil"/>
              <w:left w:val="nil"/>
              <w:bottom w:val="single" w:sz="8" w:space="0" w:color="auto"/>
              <w:right w:val="single" w:sz="8" w:space="0" w:color="auto"/>
            </w:tcBorders>
          </w:tcPr>
          <w:p w14:paraId="5365CE87"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03B0F8AC"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96</w:t>
            </w:r>
          </w:p>
        </w:tc>
        <w:tc>
          <w:tcPr>
            <w:tcW w:w="709" w:type="dxa"/>
            <w:tcBorders>
              <w:top w:val="nil"/>
              <w:left w:val="nil"/>
              <w:bottom w:val="single" w:sz="8" w:space="0" w:color="auto"/>
              <w:right w:val="single" w:sz="8" w:space="0" w:color="auto"/>
            </w:tcBorders>
          </w:tcPr>
          <w:p w14:paraId="374099FA"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445FEE34"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single" w:sz="8" w:space="0" w:color="auto"/>
              <w:right w:val="single" w:sz="8" w:space="0" w:color="auto"/>
            </w:tcBorders>
          </w:tcPr>
          <w:p w14:paraId="2F420753" w14:textId="77777777" w:rsidR="00632208" w:rsidRPr="0098635C" w:rsidRDefault="00632208" w:rsidP="00A432B0">
            <w:pPr>
              <w:spacing w:after="0"/>
              <w:rPr>
                <w:color w:val="000000" w:themeColor="text1"/>
                <w:sz w:val="20"/>
                <w:szCs w:val="20"/>
              </w:rPr>
            </w:pPr>
            <w:r w:rsidRPr="0098635C">
              <w:rPr>
                <w:color w:val="000000" w:themeColor="text1"/>
                <w:sz w:val="20"/>
                <w:szCs w:val="20"/>
              </w:rPr>
              <w:t>T: 20°C; pH: 8.11; H: 250 mg/L CaCO3; DOC: 9.84 mg/L</w:t>
            </w:r>
          </w:p>
        </w:tc>
        <w:tc>
          <w:tcPr>
            <w:tcW w:w="1985" w:type="dxa"/>
            <w:tcBorders>
              <w:top w:val="nil"/>
              <w:left w:val="nil"/>
              <w:bottom w:val="single" w:sz="8" w:space="0" w:color="auto"/>
              <w:right w:val="single" w:sz="8" w:space="0" w:color="auto"/>
            </w:tcBorders>
          </w:tcPr>
          <w:p w14:paraId="131FCB1B" w14:textId="77777777" w:rsidR="00632208" w:rsidRPr="0098635C" w:rsidRDefault="00632208" w:rsidP="00A432B0">
            <w:pPr>
              <w:spacing w:after="0"/>
              <w:rPr>
                <w:color w:val="000000" w:themeColor="text1"/>
                <w:sz w:val="20"/>
                <w:szCs w:val="20"/>
              </w:rPr>
            </w:pPr>
            <w:r w:rsidRPr="0098635C">
              <w:rPr>
                <w:color w:val="000000" w:themeColor="text1"/>
                <w:sz w:val="20"/>
                <w:szCs w:val="20"/>
              </w:rPr>
              <w:t>Reconstituted</w:t>
            </w:r>
          </w:p>
        </w:tc>
        <w:tc>
          <w:tcPr>
            <w:tcW w:w="2409" w:type="dxa"/>
            <w:tcBorders>
              <w:top w:val="nil"/>
              <w:left w:val="nil"/>
              <w:bottom w:val="single" w:sz="8" w:space="0" w:color="auto"/>
              <w:right w:val="double" w:sz="6" w:space="0" w:color="auto"/>
            </w:tcBorders>
          </w:tcPr>
          <w:p w14:paraId="45BF7704"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De Schamphelaere et al., 2006 </w:t>
            </w:r>
          </w:p>
        </w:tc>
      </w:tr>
      <w:tr w:rsidR="00632208" w:rsidRPr="0098635C" w14:paraId="08CE3D54" w14:textId="77777777" w:rsidTr="00A432B0">
        <w:trPr>
          <w:trHeight w:val="145"/>
        </w:trPr>
        <w:tc>
          <w:tcPr>
            <w:tcW w:w="1701" w:type="dxa"/>
            <w:tcBorders>
              <w:top w:val="nil"/>
              <w:left w:val="double" w:sz="6" w:space="0" w:color="auto"/>
              <w:bottom w:val="single" w:sz="8" w:space="0" w:color="auto"/>
              <w:right w:val="single" w:sz="8" w:space="0" w:color="auto"/>
            </w:tcBorders>
          </w:tcPr>
          <w:p w14:paraId="563379CB" w14:textId="77777777" w:rsidR="00632208" w:rsidRPr="0098635C" w:rsidRDefault="00632208" w:rsidP="00A432B0">
            <w:pPr>
              <w:spacing w:after="0"/>
              <w:rPr>
                <w:color w:val="000000" w:themeColor="text1"/>
                <w:sz w:val="20"/>
                <w:szCs w:val="20"/>
              </w:rPr>
            </w:pPr>
            <w:r w:rsidRPr="0098635C">
              <w:rPr>
                <w:color w:val="000000" w:themeColor="text1"/>
                <w:sz w:val="20"/>
                <w:szCs w:val="20"/>
              </w:rPr>
              <w:t>Chlorella vulgaris</w:t>
            </w:r>
          </w:p>
        </w:tc>
        <w:tc>
          <w:tcPr>
            <w:tcW w:w="1701" w:type="dxa"/>
            <w:tcBorders>
              <w:top w:val="nil"/>
              <w:left w:val="nil"/>
              <w:bottom w:val="single" w:sz="8" w:space="0" w:color="auto"/>
              <w:right w:val="single" w:sz="8" w:space="0" w:color="auto"/>
            </w:tcBorders>
          </w:tcPr>
          <w:p w14:paraId="0FD4575C"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10,000 c/ml</w:t>
            </w:r>
          </w:p>
        </w:tc>
        <w:tc>
          <w:tcPr>
            <w:tcW w:w="709" w:type="dxa"/>
            <w:tcBorders>
              <w:top w:val="nil"/>
              <w:left w:val="nil"/>
              <w:bottom w:val="single" w:sz="8" w:space="0" w:color="auto"/>
              <w:right w:val="single" w:sz="8" w:space="0" w:color="auto"/>
            </w:tcBorders>
          </w:tcPr>
          <w:p w14:paraId="60282C80" w14:textId="77777777" w:rsidR="00632208" w:rsidRPr="0098635C" w:rsidRDefault="00632208" w:rsidP="00A432B0">
            <w:pPr>
              <w:spacing w:after="0"/>
              <w:rPr>
                <w:color w:val="000000" w:themeColor="text1"/>
                <w:sz w:val="20"/>
                <w:szCs w:val="20"/>
              </w:rPr>
            </w:pPr>
            <w:r w:rsidRPr="0098635C">
              <w:rPr>
                <w:color w:val="000000" w:themeColor="text1"/>
                <w:sz w:val="20"/>
                <w:szCs w:val="20"/>
              </w:rPr>
              <w:t>3 d</w:t>
            </w:r>
          </w:p>
        </w:tc>
        <w:tc>
          <w:tcPr>
            <w:tcW w:w="1276" w:type="dxa"/>
            <w:tcBorders>
              <w:top w:val="nil"/>
              <w:left w:val="nil"/>
              <w:bottom w:val="single" w:sz="8" w:space="0" w:color="auto"/>
              <w:right w:val="single" w:sz="8" w:space="0" w:color="auto"/>
            </w:tcBorders>
          </w:tcPr>
          <w:p w14:paraId="004020AB"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3731DE65"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108.3</w:t>
            </w:r>
          </w:p>
        </w:tc>
        <w:tc>
          <w:tcPr>
            <w:tcW w:w="709" w:type="dxa"/>
            <w:tcBorders>
              <w:top w:val="nil"/>
              <w:left w:val="nil"/>
              <w:bottom w:val="single" w:sz="8" w:space="0" w:color="auto"/>
              <w:right w:val="single" w:sz="8" w:space="0" w:color="auto"/>
            </w:tcBorders>
          </w:tcPr>
          <w:p w14:paraId="0F2D8ADC"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6134C454"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single" w:sz="8" w:space="0" w:color="auto"/>
              <w:right w:val="single" w:sz="8" w:space="0" w:color="auto"/>
            </w:tcBorders>
          </w:tcPr>
          <w:p w14:paraId="405CC360" w14:textId="77777777" w:rsidR="00632208" w:rsidRPr="0098635C" w:rsidRDefault="00632208" w:rsidP="00A432B0">
            <w:pPr>
              <w:spacing w:after="0"/>
              <w:rPr>
                <w:color w:val="000000" w:themeColor="text1"/>
                <w:sz w:val="20"/>
                <w:szCs w:val="20"/>
              </w:rPr>
            </w:pPr>
            <w:r w:rsidRPr="0098635C">
              <w:rPr>
                <w:color w:val="000000" w:themeColor="text1"/>
                <w:sz w:val="20"/>
                <w:szCs w:val="20"/>
              </w:rPr>
              <w:t>T: 20°C; pH: 6.03; H: 100 mg/L CaCO3; DOC: 5.17 mg/L</w:t>
            </w:r>
          </w:p>
        </w:tc>
        <w:tc>
          <w:tcPr>
            <w:tcW w:w="1985" w:type="dxa"/>
            <w:tcBorders>
              <w:top w:val="nil"/>
              <w:left w:val="nil"/>
              <w:bottom w:val="single" w:sz="8" w:space="0" w:color="auto"/>
              <w:right w:val="single" w:sz="8" w:space="0" w:color="auto"/>
            </w:tcBorders>
          </w:tcPr>
          <w:p w14:paraId="41C01331" w14:textId="77777777" w:rsidR="00632208" w:rsidRPr="0098635C" w:rsidRDefault="00632208" w:rsidP="00A432B0">
            <w:pPr>
              <w:spacing w:after="0"/>
              <w:rPr>
                <w:color w:val="000000" w:themeColor="text1"/>
                <w:sz w:val="20"/>
                <w:szCs w:val="20"/>
              </w:rPr>
            </w:pPr>
            <w:r w:rsidRPr="0098635C">
              <w:rPr>
                <w:color w:val="000000" w:themeColor="text1"/>
                <w:sz w:val="20"/>
                <w:szCs w:val="20"/>
              </w:rPr>
              <w:t>Reconstituted</w:t>
            </w:r>
          </w:p>
        </w:tc>
        <w:tc>
          <w:tcPr>
            <w:tcW w:w="2409" w:type="dxa"/>
            <w:tcBorders>
              <w:top w:val="nil"/>
              <w:left w:val="nil"/>
              <w:bottom w:val="single" w:sz="8" w:space="0" w:color="auto"/>
              <w:right w:val="double" w:sz="6" w:space="0" w:color="auto"/>
            </w:tcBorders>
          </w:tcPr>
          <w:p w14:paraId="00AD0610"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De Schamphelaere et al., 2006 </w:t>
            </w:r>
          </w:p>
        </w:tc>
      </w:tr>
      <w:tr w:rsidR="00632208" w:rsidRPr="0098635C" w14:paraId="135E1060" w14:textId="77777777" w:rsidTr="00A432B0">
        <w:trPr>
          <w:trHeight w:val="64"/>
        </w:trPr>
        <w:tc>
          <w:tcPr>
            <w:tcW w:w="1701" w:type="dxa"/>
            <w:tcBorders>
              <w:top w:val="nil"/>
              <w:left w:val="double" w:sz="6" w:space="0" w:color="auto"/>
              <w:bottom w:val="single" w:sz="8" w:space="0" w:color="auto"/>
              <w:right w:val="single" w:sz="8" w:space="0" w:color="auto"/>
            </w:tcBorders>
          </w:tcPr>
          <w:p w14:paraId="6B1364C1" w14:textId="77777777" w:rsidR="00632208" w:rsidRPr="0098635C" w:rsidRDefault="00632208" w:rsidP="00A432B0">
            <w:pPr>
              <w:spacing w:after="0"/>
              <w:rPr>
                <w:color w:val="000000" w:themeColor="text1"/>
                <w:sz w:val="20"/>
                <w:szCs w:val="20"/>
              </w:rPr>
            </w:pPr>
            <w:r w:rsidRPr="0098635C">
              <w:rPr>
                <w:color w:val="000000" w:themeColor="text1"/>
                <w:sz w:val="20"/>
                <w:szCs w:val="20"/>
              </w:rPr>
              <w:t>Chlorella vulgaris</w:t>
            </w:r>
          </w:p>
        </w:tc>
        <w:tc>
          <w:tcPr>
            <w:tcW w:w="1701" w:type="dxa"/>
            <w:tcBorders>
              <w:top w:val="nil"/>
              <w:left w:val="nil"/>
              <w:bottom w:val="single" w:sz="8" w:space="0" w:color="auto"/>
              <w:right w:val="single" w:sz="8" w:space="0" w:color="auto"/>
            </w:tcBorders>
          </w:tcPr>
          <w:p w14:paraId="620D3004"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10,000 c/ml</w:t>
            </w:r>
          </w:p>
        </w:tc>
        <w:tc>
          <w:tcPr>
            <w:tcW w:w="709" w:type="dxa"/>
            <w:tcBorders>
              <w:top w:val="nil"/>
              <w:left w:val="nil"/>
              <w:bottom w:val="single" w:sz="8" w:space="0" w:color="auto"/>
              <w:right w:val="single" w:sz="8" w:space="0" w:color="auto"/>
            </w:tcBorders>
          </w:tcPr>
          <w:p w14:paraId="2EF80144" w14:textId="77777777" w:rsidR="00632208" w:rsidRPr="0098635C" w:rsidRDefault="00632208" w:rsidP="00A432B0">
            <w:pPr>
              <w:spacing w:after="0"/>
              <w:rPr>
                <w:color w:val="000000" w:themeColor="text1"/>
                <w:sz w:val="20"/>
                <w:szCs w:val="20"/>
              </w:rPr>
            </w:pPr>
            <w:r w:rsidRPr="0098635C">
              <w:rPr>
                <w:color w:val="000000" w:themeColor="text1"/>
                <w:sz w:val="20"/>
                <w:szCs w:val="20"/>
              </w:rPr>
              <w:t>3 d</w:t>
            </w:r>
          </w:p>
        </w:tc>
        <w:tc>
          <w:tcPr>
            <w:tcW w:w="1276" w:type="dxa"/>
            <w:tcBorders>
              <w:top w:val="nil"/>
              <w:left w:val="nil"/>
              <w:bottom w:val="single" w:sz="8" w:space="0" w:color="auto"/>
              <w:right w:val="single" w:sz="8" w:space="0" w:color="auto"/>
            </w:tcBorders>
          </w:tcPr>
          <w:p w14:paraId="7B55522F"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133ED607"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407.4</w:t>
            </w:r>
          </w:p>
        </w:tc>
        <w:tc>
          <w:tcPr>
            <w:tcW w:w="709" w:type="dxa"/>
            <w:tcBorders>
              <w:top w:val="nil"/>
              <w:left w:val="nil"/>
              <w:bottom w:val="single" w:sz="8" w:space="0" w:color="auto"/>
              <w:right w:val="single" w:sz="8" w:space="0" w:color="auto"/>
            </w:tcBorders>
          </w:tcPr>
          <w:p w14:paraId="6CA5953E"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275B6F66"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single" w:sz="8" w:space="0" w:color="auto"/>
              <w:right w:val="single" w:sz="8" w:space="0" w:color="auto"/>
            </w:tcBorders>
          </w:tcPr>
          <w:p w14:paraId="79CD69E7" w14:textId="77777777" w:rsidR="00632208" w:rsidRPr="0098635C" w:rsidRDefault="00632208" w:rsidP="00A432B0">
            <w:pPr>
              <w:spacing w:after="0"/>
              <w:rPr>
                <w:color w:val="000000" w:themeColor="text1"/>
                <w:sz w:val="20"/>
                <w:szCs w:val="20"/>
              </w:rPr>
            </w:pPr>
            <w:r w:rsidRPr="0098635C">
              <w:rPr>
                <w:color w:val="000000" w:themeColor="text1"/>
                <w:sz w:val="20"/>
                <w:szCs w:val="20"/>
              </w:rPr>
              <w:t>T: 20°C; pH: 6.04; H: 100 mg/L CaCO3; DOC: 15.5 mg/L</w:t>
            </w:r>
          </w:p>
        </w:tc>
        <w:tc>
          <w:tcPr>
            <w:tcW w:w="1985" w:type="dxa"/>
            <w:tcBorders>
              <w:top w:val="nil"/>
              <w:left w:val="nil"/>
              <w:bottom w:val="single" w:sz="8" w:space="0" w:color="auto"/>
              <w:right w:val="single" w:sz="8" w:space="0" w:color="auto"/>
            </w:tcBorders>
          </w:tcPr>
          <w:p w14:paraId="5864B88E" w14:textId="77777777" w:rsidR="00632208" w:rsidRPr="0098635C" w:rsidRDefault="00632208" w:rsidP="00A432B0">
            <w:pPr>
              <w:spacing w:after="0"/>
              <w:rPr>
                <w:color w:val="000000" w:themeColor="text1"/>
                <w:sz w:val="20"/>
                <w:szCs w:val="20"/>
              </w:rPr>
            </w:pPr>
            <w:r w:rsidRPr="0098635C">
              <w:rPr>
                <w:color w:val="000000" w:themeColor="text1"/>
                <w:sz w:val="20"/>
                <w:szCs w:val="20"/>
              </w:rPr>
              <w:t>Reconstituted</w:t>
            </w:r>
          </w:p>
        </w:tc>
        <w:tc>
          <w:tcPr>
            <w:tcW w:w="2409" w:type="dxa"/>
            <w:tcBorders>
              <w:top w:val="nil"/>
              <w:left w:val="nil"/>
              <w:bottom w:val="single" w:sz="8" w:space="0" w:color="auto"/>
              <w:right w:val="double" w:sz="6" w:space="0" w:color="auto"/>
            </w:tcBorders>
          </w:tcPr>
          <w:p w14:paraId="2B090052"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2006</w:t>
            </w:r>
          </w:p>
        </w:tc>
      </w:tr>
      <w:tr w:rsidR="00632208" w:rsidRPr="0098635C" w14:paraId="1806D9F5" w14:textId="77777777" w:rsidTr="00A432B0">
        <w:trPr>
          <w:trHeight w:val="355"/>
        </w:trPr>
        <w:tc>
          <w:tcPr>
            <w:tcW w:w="1701" w:type="dxa"/>
            <w:tcBorders>
              <w:top w:val="nil"/>
              <w:left w:val="double" w:sz="6" w:space="0" w:color="auto"/>
              <w:bottom w:val="single" w:sz="8" w:space="0" w:color="auto"/>
              <w:right w:val="single" w:sz="8" w:space="0" w:color="auto"/>
            </w:tcBorders>
          </w:tcPr>
          <w:p w14:paraId="1AA6EA66" w14:textId="77777777" w:rsidR="00632208" w:rsidRPr="0098635C" w:rsidRDefault="00632208" w:rsidP="00A432B0">
            <w:pPr>
              <w:spacing w:after="0"/>
              <w:rPr>
                <w:color w:val="000000" w:themeColor="text1"/>
                <w:sz w:val="20"/>
                <w:szCs w:val="20"/>
              </w:rPr>
            </w:pPr>
            <w:r w:rsidRPr="0098635C">
              <w:rPr>
                <w:color w:val="000000" w:themeColor="text1"/>
                <w:sz w:val="20"/>
                <w:szCs w:val="20"/>
              </w:rPr>
              <w:t>Chlorella vulgaris</w:t>
            </w:r>
          </w:p>
        </w:tc>
        <w:tc>
          <w:tcPr>
            <w:tcW w:w="1701" w:type="dxa"/>
            <w:tcBorders>
              <w:top w:val="nil"/>
              <w:left w:val="nil"/>
              <w:bottom w:val="single" w:sz="8" w:space="0" w:color="auto"/>
              <w:right w:val="single" w:sz="8" w:space="0" w:color="auto"/>
            </w:tcBorders>
          </w:tcPr>
          <w:p w14:paraId="107B1563"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10,000 c/ml</w:t>
            </w:r>
          </w:p>
        </w:tc>
        <w:tc>
          <w:tcPr>
            <w:tcW w:w="709" w:type="dxa"/>
            <w:tcBorders>
              <w:top w:val="nil"/>
              <w:left w:val="nil"/>
              <w:bottom w:val="single" w:sz="8" w:space="0" w:color="auto"/>
              <w:right w:val="single" w:sz="8" w:space="0" w:color="auto"/>
            </w:tcBorders>
          </w:tcPr>
          <w:p w14:paraId="5CF031A2" w14:textId="77777777" w:rsidR="00632208" w:rsidRPr="0098635C" w:rsidRDefault="00632208" w:rsidP="00A432B0">
            <w:pPr>
              <w:spacing w:after="0"/>
              <w:rPr>
                <w:color w:val="000000" w:themeColor="text1"/>
                <w:sz w:val="20"/>
                <w:szCs w:val="20"/>
              </w:rPr>
            </w:pPr>
            <w:r w:rsidRPr="0098635C">
              <w:rPr>
                <w:color w:val="000000" w:themeColor="text1"/>
                <w:sz w:val="20"/>
                <w:szCs w:val="20"/>
              </w:rPr>
              <w:t>3 d</w:t>
            </w:r>
          </w:p>
        </w:tc>
        <w:tc>
          <w:tcPr>
            <w:tcW w:w="1276" w:type="dxa"/>
            <w:tcBorders>
              <w:top w:val="nil"/>
              <w:left w:val="nil"/>
              <w:bottom w:val="single" w:sz="8" w:space="0" w:color="auto"/>
              <w:right w:val="single" w:sz="8" w:space="0" w:color="auto"/>
            </w:tcBorders>
          </w:tcPr>
          <w:p w14:paraId="05ACF650"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57720219"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55.6</w:t>
            </w:r>
          </w:p>
        </w:tc>
        <w:tc>
          <w:tcPr>
            <w:tcW w:w="709" w:type="dxa"/>
            <w:tcBorders>
              <w:top w:val="nil"/>
              <w:left w:val="nil"/>
              <w:bottom w:val="single" w:sz="8" w:space="0" w:color="auto"/>
              <w:right w:val="single" w:sz="8" w:space="0" w:color="auto"/>
            </w:tcBorders>
          </w:tcPr>
          <w:p w14:paraId="4BC76B46"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3C6B2F60"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single" w:sz="8" w:space="0" w:color="auto"/>
              <w:right w:val="single" w:sz="8" w:space="0" w:color="auto"/>
            </w:tcBorders>
          </w:tcPr>
          <w:p w14:paraId="770552A2" w14:textId="77777777" w:rsidR="00632208" w:rsidRPr="0098635C" w:rsidRDefault="00632208" w:rsidP="00A432B0">
            <w:pPr>
              <w:spacing w:after="0"/>
              <w:rPr>
                <w:color w:val="000000" w:themeColor="text1"/>
                <w:sz w:val="20"/>
                <w:szCs w:val="20"/>
              </w:rPr>
            </w:pPr>
            <w:r w:rsidRPr="0098635C">
              <w:rPr>
                <w:color w:val="000000" w:themeColor="text1"/>
                <w:sz w:val="20"/>
                <w:szCs w:val="20"/>
              </w:rPr>
              <w:t>T: 20°C; pH: 7.92; H: 400 mg/L CaCO3; DOC: 5.0 mg/L</w:t>
            </w:r>
          </w:p>
        </w:tc>
        <w:tc>
          <w:tcPr>
            <w:tcW w:w="1985" w:type="dxa"/>
            <w:tcBorders>
              <w:top w:val="nil"/>
              <w:left w:val="nil"/>
              <w:bottom w:val="single" w:sz="8" w:space="0" w:color="auto"/>
              <w:right w:val="single" w:sz="8" w:space="0" w:color="auto"/>
            </w:tcBorders>
          </w:tcPr>
          <w:p w14:paraId="22400C1C" w14:textId="77777777" w:rsidR="00632208" w:rsidRPr="0098635C" w:rsidRDefault="00632208" w:rsidP="00A432B0">
            <w:pPr>
              <w:spacing w:after="0"/>
              <w:rPr>
                <w:color w:val="000000" w:themeColor="text1"/>
                <w:sz w:val="20"/>
                <w:szCs w:val="20"/>
              </w:rPr>
            </w:pPr>
            <w:r w:rsidRPr="0098635C">
              <w:rPr>
                <w:color w:val="000000" w:themeColor="text1"/>
                <w:sz w:val="20"/>
                <w:szCs w:val="20"/>
              </w:rPr>
              <w:t>Reconstituted</w:t>
            </w:r>
          </w:p>
        </w:tc>
        <w:tc>
          <w:tcPr>
            <w:tcW w:w="2409" w:type="dxa"/>
            <w:tcBorders>
              <w:top w:val="nil"/>
              <w:left w:val="nil"/>
              <w:bottom w:val="single" w:sz="8" w:space="0" w:color="auto"/>
              <w:right w:val="double" w:sz="6" w:space="0" w:color="auto"/>
            </w:tcBorders>
          </w:tcPr>
          <w:p w14:paraId="0E1D605F"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De Schamphelaere et al., 2006 </w:t>
            </w:r>
          </w:p>
        </w:tc>
      </w:tr>
      <w:tr w:rsidR="00632208" w:rsidRPr="0098635C" w14:paraId="37ED591D" w14:textId="77777777" w:rsidTr="00A432B0">
        <w:trPr>
          <w:trHeight w:val="92"/>
        </w:trPr>
        <w:tc>
          <w:tcPr>
            <w:tcW w:w="1701" w:type="dxa"/>
            <w:tcBorders>
              <w:top w:val="nil"/>
              <w:left w:val="double" w:sz="6" w:space="0" w:color="auto"/>
              <w:bottom w:val="single" w:sz="8" w:space="0" w:color="auto"/>
              <w:right w:val="single" w:sz="8" w:space="0" w:color="auto"/>
            </w:tcBorders>
          </w:tcPr>
          <w:p w14:paraId="59E43D61" w14:textId="77777777" w:rsidR="00632208" w:rsidRPr="0098635C" w:rsidRDefault="00632208" w:rsidP="00A432B0">
            <w:pPr>
              <w:spacing w:after="0"/>
              <w:rPr>
                <w:color w:val="000000" w:themeColor="text1"/>
                <w:sz w:val="20"/>
                <w:szCs w:val="20"/>
              </w:rPr>
            </w:pPr>
            <w:r w:rsidRPr="0098635C">
              <w:rPr>
                <w:color w:val="000000" w:themeColor="text1"/>
                <w:sz w:val="20"/>
                <w:szCs w:val="20"/>
              </w:rPr>
              <w:t>Chlorella vulgaris</w:t>
            </w:r>
          </w:p>
        </w:tc>
        <w:tc>
          <w:tcPr>
            <w:tcW w:w="1701" w:type="dxa"/>
            <w:tcBorders>
              <w:top w:val="nil"/>
              <w:left w:val="nil"/>
              <w:bottom w:val="single" w:sz="8" w:space="0" w:color="auto"/>
              <w:right w:val="single" w:sz="8" w:space="0" w:color="auto"/>
            </w:tcBorders>
          </w:tcPr>
          <w:p w14:paraId="2413A6FB"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10,000 c/ml</w:t>
            </w:r>
          </w:p>
        </w:tc>
        <w:tc>
          <w:tcPr>
            <w:tcW w:w="709" w:type="dxa"/>
            <w:tcBorders>
              <w:top w:val="nil"/>
              <w:left w:val="nil"/>
              <w:bottom w:val="single" w:sz="8" w:space="0" w:color="auto"/>
              <w:right w:val="single" w:sz="8" w:space="0" w:color="auto"/>
            </w:tcBorders>
          </w:tcPr>
          <w:p w14:paraId="20F99E83" w14:textId="77777777" w:rsidR="00632208" w:rsidRPr="0098635C" w:rsidRDefault="00632208" w:rsidP="00A432B0">
            <w:pPr>
              <w:spacing w:after="0"/>
              <w:rPr>
                <w:color w:val="000000" w:themeColor="text1"/>
                <w:sz w:val="20"/>
                <w:szCs w:val="20"/>
              </w:rPr>
            </w:pPr>
            <w:r w:rsidRPr="0098635C">
              <w:rPr>
                <w:color w:val="000000" w:themeColor="text1"/>
                <w:sz w:val="20"/>
                <w:szCs w:val="20"/>
              </w:rPr>
              <w:t>3 d</w:t>
            </w:r>
          </w:p>
        </w:tc>
        <w:tc>
          <w:tcPr>
            <w:tcW w:w="1276" w:type="dxa"/>
            <w:tcBorders>
              <w:top w:val="nil"/>
              <w:left w:val="nil"/>
              <w:bottom w:val="single" w:sz="8" w:space="0" w:color="auto"/>
              <w:right w:val="single" w:sz="8" w:space="0" w:color="auto"/>
            </w:tcBorders>
          </w:tcPr>
          <w:p w14:paraId="2342CB54"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547F10C8"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36.4</w:t>
            </w:r>
          </w:p>
        </w:tc>
        <w:tc>
          <w:tcPr>
            <w:tcW w:w="709" w:type="dxa"/>
            <w:tcBorders>
              <w:top w:val="nil"/>
              <w:left w:val="nil"/>
              <w:bottom w:val="single" w:sz="8" w:space="0" w:color="auto"/>
              <w:right w:val="single" w:sz="8" w:space="0" w:color="auto"/>
            </w:tcBorders>
          </w:tcPr>
          <w:p w14:paraId="29B3BC7F"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6F5326EE"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single" w:sz="8" w:space="0" w:color="auto"/>
              <w:right w:val="single" w:sz="8" w:space="0" w:color="auto"/>
            </w:tcBorders>
          </w:tcPr>
          <w:p w14:paraId="64096DA6" w14:textId="77777777" w:rsidR="00632208" w:rsidRPr="0098635C" w:rsidRDefault="00632208" w:rsidP="00A432B0">
            <w:pPr>
              <w:spacing w:after="0"/>
              <w:rPr>
                <w:color w:val="000000" w:themeColor="text1"/>
                <w:sz w:val="20"/>
                <w:szCs w:val="20"/>
              </w:rPr>
            </w:pPr>
            <w:r w:rsidRPr="0098635C">
              <w:rPr>
                <w:color w:val="000000" w:themeColor="text1"/>
                <w:sz w:val="20"/>
                <w:szCs w:val="20"/>
              </w:rPr>
              <w:t>T: 20°C; pH: 7.04; H: 250 mg/L CaCO3; DOC: 1.5 mg/L</w:t>
            </w:r>
          </w:p>
        </w:tc>
        <w:tc>
          <w:tcPr>
            <w:tcW w:w="1985" w:type="dxa"/>
            <w:tcBorders>
              <w:top w:val="nil"/>
              <w:left w:val="nil"/>
              <w:bottom w:val="single" w:sz="8" w:space="0" w:color="auto"/>
              <w:right w:val="single" w:sz="8" w:space="0" w:color="auto"/>
            </w:tcBorders>
          </w:tcPr>
          <w:p w14:paraId="58C05670" w14:textId="77777777" w:rsidR="00632208" w:rsidRPr="0098635C" w:rsidRDefault="00632208" w:rsidP="00A432B0">
            <w:pPr>
              <w:spacing w:after="0"/>
              <w:rPr>
                <w:color w:val="000000" w:themeColor="text1"/>
                <w:sz w:val="20"/>
                <w:szCs w:val="20"/>
              </w:rPr>
            </w:pPr>
            <w:r w:rsidRPr="0098635C">
              <w:rPr>
                <w:color w:val="000000" w:themeColor="text1"/>
                <w:sz w:val="20"/>
                <w:szCs w:val="20"/>
              </w:rPr>
              <w:t>Reconstituted</w:t>
            </w:r>
          </w:p>
        </w:tc>
        <w:tc>
          <w:tcPr>
            <w:tcW w:w="2409" w:type="dxa"/>
            <w:tcBorders>
              <w:top w:val="nil"/>
              <w:left w:val="nil"/>
              <w:bottom w:val="single" w:sz="8" w:space="0" w:color="auto"/>
              <w:right w:val="double" w:sz="6" w:space="0" w:color="auto"/>
            </w:tcBorders>
          </w:tcPr>
          <w:p w14:paraId="65C0FE6C"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De Schamphelaere et al., 2006 </w:t>
            </w:r>
          </w:p>
        </w:tc>
      </w:tr>
      <w:tr w:rsidR="00632208" w:rsidRPr="0098635C" w14:paraId="05E48A9D" w14:textId="77777777" w:rsidTr="00A432B0">
        <w:trPr>
          <w:trHeight w:val="225"/>
        </w:trPr>
        <w:tc>
          <w:tcPr>
            <w:tcW w:w="1701" w:type="dxa"/>
            <w:tcBorders>
              <w:top w:val="nil"/>
              <w:left w:val="double" w:sz="6" w:space="0" w:color="auto"/>
              <w:bottom w:val="single" w:sz="8" w:space="0" w:color="auto"/>
              <w:right w:val="single" w:sz="8" w:space="0" w:color="auto"/>
            </w:tcBorders>
          </w:tcPr>
          <w:p w14:paraId="27808C3F" w14:textId="77777777" w:rsidR="00632208" w:rsidRPr="0098635C" w:rsidRDefault="00632208" w:rsidP="00A432B0">
            <w:pPr>
              <w:spacing w:after="0"/>
              <w:rPr>
                <w:color w:val="000000" w:themeColor="text1"/>
                <w:sz w:val="20"/>
                <w:szCs w:val="20"/>
              </w:rPr>
            </w:pPr>
            <w:r w:rsidRPr="0098635C">
              <w:rPr>
                <w:color w:val="000000" w:themeColor="text1"/>
                <w:sz w:val="20"/>
                <w:szCs w:val="20"/>
              </w:rPr>
              <w:t>Chlorella vulgaris</w:t>
            </w:r>
          </w:p>
        </w:tc>
        <w:tc>
          <w:tcPr>
            <w:tcW w:w="1701" w:type="dxa"/>
            <w:tcBorders>
              <w:top w:val="nil"/>
              <w:left w:val="nil"/>
              <w:bottom w:val="single" w:sz="8" w:space="0" w:color="auto"/>
              <w:right w:val="single" w:sz="8" w:space="0" w:color="auto"/>
            </w:tcBorders>
          </w:tcPr>
          <w:p w14:paraId="09911725"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10,000 c/ml</w:t>
            </w:r>
          </w:p>
        </w:tc>
        <w:tc>
          <w:tcPr>
            <w:tcW w:w="709" w:type="dxa"/>
            <w:tcBorders>
              <w:top w:val="nil"/>
              <w:left w:val="nil"/>
              <w:bottom w:val="single" w:sz="8" w:space="0" w:color="auto"/>
              <w:right w:val="single" w:sz="8" w:space="0" w:color="auto"/>
            </w:tcBorders>
          </w:tcPr>
          <w:p w14:paraId="1E319A25" w14:textId="77777777" w:rsidR="00632208" w:rsidRPr="0098635C" w:rsidRDefault="00632208" w:rsidP="00A432B0">
            <w:pPr>
              <w:spacing w:after="0"/>
              <w:rPr>
                <w:color w:val="000000" w:themeColor="text1"/>
                <w:sz w:val="20"/>
                <w:szCs w:val="20"/>
              </w:rPr>
            </w:pPr>
            <w:r w:rsidRPr="0098635C">
              <w:rPr>
                <w:color w:val="000000" w:themeColor="text1"/>
                <w:sz w:val="20"/>
                <w:szCs w:val="20"/>
              </w:rPr>
              <w:t>3 d</w:t>
            </w:r>
          </w:p>
        </w:tc>
        <w:tc>
          <w:tcPr>
            <w:tcW w:w="1276" w:type="dxa"/>
            <w:tcBorders>
              <w:top w:val="nil"/>
              <w:left w:val="nil"/>
              <w:bottom w:val="single" w:sz="8" w:space="0" w:color="auto"/>
              <w:right w:val="single" w:sz="8" w:space="0" w:color="auto"/>
            </w:tcBorders>
          </w:tcPr>
          <w:p w14:paraId="6FF33DA7"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6191230E"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172.9</w:t>
            </w:r>
          </w:p>
        </w:tc>
        <w:tc>
          <w:tcPr>
            <w:tcW w:w="709" w:type="dxa"/>
            <w:tcBorders>
              <w:top w:val="nil"/>
              <w:left w:val="nil"/>
              <w:bottom w:val="single" w:sz="8" w:space="0" w:color="auto"/>
              <w:right w:val="single" w:sz="8" w:space="0" w:color="auto"/>
            </w:tcBorders>
          </w:tcPr>
          <w:p w14:paraId="17FAC5CD"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0A830AAA"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single" w:sz="8" w:space="0" w:color="auto"/>
              <w:right w:val="single" w:sz="8" w:space="0" w:color="auto"/>
            </w:tcBorders>
          </w:tcPr>
          <w:p w14:paraId="603CD048" w14:textId="77777777" w:rsidR="00632208" w:rsidRPr="0098635C" w:rsidRDefault="00632208" w:rsidP="00A432B0">
            <w:pPr>
              <w:spacing w:after="0"/>
              <w:rPr>
                <w:color w:val="000000" w:themeColor="text1"/>
                <w:sz w:val="20"/>
                <w:szCs w:val="20"/>
              </w:rPr>
            </w:pPr>
            <w:r w:rsidRPr="0098635C">
              <w:rPr>
                <w:color w:val="000000" w:themeColor="text1"/>
                <w:sz w:val="20"/>
                <w:szCs w:val="20"/>
              </w:rPr>
              <w:t>T: 20°C; pH: 7.97; H: 400 mg/L CaCO3; DOC: 15.8 mg/L</w:t>
            </w:r>
          </w:p>
        </w:tc>
        <w:tc>
          <w:tcPr>
            <w:tcW w:w="1985" w:type="dxa"/>
            <w:tcBorders>
              <w:top w:val="nil"/>
              <w:left w:val="nil"/>
              <w:bottom w:val="single" w:sz="8" w:space="0" w:color="auto"/>
              <w:right w:val="single" w:sz="8" w:space="0" w:color="auto"/>
            </w:tcBorders>
          </w:tcPr>
          <w:p w14:paraId="180F40A9" w14:textId="77777777" w:rsidR="00632208" w:rsidRPr="0098635C" w:rsidRDefault="00632208" w:rsidP="00A432B0">
            <w:pPr>
              <w:spacing w:after="0"/>
              <w:rPr>
                <w:color w:val="000000" w:themeColor="text1"/>
                <w:sz w:val="20"/>
                <w:szCs w:val="20"/>
              </w:rPr>
            </w:pPr>
            <w:r w:rsidRPr="0098635C">
              <w:rPr>
                <w:color w:val="000000" w:themeColor="text1"/>
                <w:sz w:val="20"/>
                <w:szCs w:val="20"/>
              </w:rPr>
              <w:t>Reconstituted</w:t>
            </w:r>
          </w:p>
        </w:tc>
        <w:tc>
          <w:tcPr>
            <w:tcW w:w="2409" w:type="dxa"/>
            <w:tcBorders>
              <w:top w:val="nil"/>
              <w:left w:val="nil"/>
              <w:bottom w:val="single" w:sz="8" w:space="0" w:color="auto"/>
              <w:right w:val="double" w:sz="6" w:space="0" w:color="auto"/>
            </w:tcBorders>
          </w:tcPr>
          <w:p w14:paraId="1C305974"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De Schamphelaere et al., 2006 </w:t>
            </w:r>
          </w:p>
        </w:tc>
      </w:tr>
      <w:tr w:rsidR="00632208" w:rsidRPr="0098635C" w14:paraId="0577C8DE" w14:textId="77777777" w:rsidTr="00A432B0">
        <w:trPr>
          <w:trHeight w:val="221"/>
        </w:trPr>
        <w:tc>
          <w:tcPr>
            <w:tcW w:w="1701" w:type="dxa"/>
            <w:tcBorders>
              <w:top w:val="nil"/>
              <w:left w:val="double" w:sz="6" w:space="0" w:color="auto"/>
              <w:bottom w:val="single" w:sz="8" w:space="0" w:color="auto"/>
              <w:right w:val="single" w:sz="8" w:space="0" w:color="auto"/>
            </w:tcBorders>
          </w:tcPr>
          <w:p w14:paraId="2BA669DA" w14:textId="77777777" w:rsidR="00632208" w:rsidRPr="0098635C" w:rsidRDefault="00632208" w:rsidP="00A432B0">
            <w:pPr>
              <w:spacing w:after="0"/>
              <w:rPr>
                <w:color w:val="000000" w:themeColor="text1"/>
                <w:sz w:val="20"/>
                <w:szCs w:val="20"/>
              </w:rPr>
            </w:pPr>
            <w:r w:rsidRPr="0098635C">
              <w:rPr>
                <w:color w:val="000000" w:themeColor="text1"/>
                <w:sz w:val="20"/>
                <w:szCs w:val="20"/>
              </w:rPr>
              <w:t>Chlorella vulgaris</w:t>
            </w:r>
          </w:p>
        </w:tc>
        <w:tc>
          <w:tcPr>
            <w:tcW w:w="1701" w:type="dxa"/>
            <w:tcBorders>
              <w:top w:val="nil"/>
              <w:left w:val="nil"/>
              <w:bottom w:val="single" w:sz="8" w:space="0" w:color="auto"/>
              <w:right w:val="single" w:sz="8" w:space="0" w:color="auto"/>
            </w:tcBorders>
          </w:tcPr>
          <w:p w14:paraId="2A37883E"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10,000 c/ml</w:t>
            </w:r>
          </w:p>
        </w:tc>
        <w:tc>
          <w:tcPr>
            <w:tcW w:w="709" w:type="dxa"/>
            <w:tcBorders>
              <w:top w:val="nil"/>
              <w:left w:val="nil"/>
              <w:bottom w:val="single" w:sz="8" w:space="0" w:color="auto"/>
              <w:right w:val="single" w:sz="8" w:space="0" w:color="auto"/>
            </w:tcBorders>
          </w:tcPr>
          <w:p w14:paraId="2F728745" w14:textId="77777777" w:rsidR="00632208" w:rsidRPr="0098635C" w:rsidRDefault="00632208" w:rsidP="00A432B0">
            <w:pPr>
              <w:spacing w:after="0"/>
              <w:rPr>
                <w:color w:val="000000" w:themeColor="text1"/>
                <w:sz w:val="20"/>
                <w:szCs w:val="20"/>
              </w:rPr>
            </w:pPr>
            <w:r w:rsidRPr="0098635C">
              <w:rPr>
                <w:color w:val="000000" w:themeColor="text1"/>
                <w:sz w:val="20"/>
                <w:szCs w:val="20"/>
              </w:rPr>
              <w:t>3 d</w:t>
            </w:r>
          </w:p>
        </w:tc>
        <w:tc>
          <w:tcPr>
            <w:tcW w:w="1276" w:type="dxa"/>
            <w:tcBorders>
              <w:top w:val="nil"/>
              <w:left w:val="nil"/>
              <w:bottom w:val="single" w:sz="8" w:space="0" w:color="auto"/>
              <w:right w:val="single" w:sz="8" w:space="0" w:color="auto"/>
            </w:tcBorders>
          </w:tcPr>
          <w:p w14:paraId="57BC2640"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68144A53"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98.9</w:t>
            </w:r>
          </w:p>
        </w:tc>
        <w:tc>
          <w:tcPr>
            <w:tcW w:w="709" w:type="dxa"/>
            <w:tcBorders>
              <w:top w:val="nil"/>
              <w:left w:val="nil"/>
              <w:bottom w:val="single" w:sz="8" w:space="0" w:color="auto"/>
              <w:right w:val="single" w:sz="8" w:space="0" w:color="auto"/>
            </w:tcBorders>
          </w:tcPr>
          <w:p w14:paraId="6D7453A0"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22B91C89"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single" w:sz="8" w:space="0" w:color="auto"/>
              <w:right w:val="single" w:sz="8" w:space="0" w:color="auto"/>
            </w:tcBorders>
          </w:tcPr>
          <w:p w14:paraId="32886D8A" w14:textId="77777777" w:rsidR="00632208" w:rsidRPr="0098635C" w:rsidRDefault="00632208" w:rsidP="00A432B0">
            <w:pPr>
              <w:spacing w:after="0"/>
              <w:rPr>
                <w:color w:val="000000" w:themeColor="text1"/>
                <w:sz w:val="20"/>
                <w:szCs w:val="20"/>
              </w:rPr>
            </w:pPr>
            <w:r w:rsidRPr="0098635C">
              <w:rPr>
                <w:color w:val="000000" w:themeColor="text1"/>
                <w:sz w:val="20"/>
                <w:szCs w:val="20"/>
              </w:rPr>
              <w:t>T: 20°C; pH: 7.03; H: 250 mg/L CaCO3; DOC: 10.8 mg/L</w:t>
            </w:r>
          </w:p>
        </w:tc>
        <w:tc>
          <w:tcPr>
            <w:tcW w:w="1985" w:type="dxa"/>
            <w:tcBorders>
              <w:top w:val="nil"/>
              <w:left w:val="nil"/>
              <w:bottom w:val="single" w:sz="8" w:space="0" w:color="auto"/>
              <w:right w:val="single" w:sz="8" w:space="0" w:color="auto"/>
            </w:tcBorders>
          </w:tcPr>
          <w:p w14:paraId="36DF22B2" w14:textId="77777777" w:rsidR="00632208" w:rsidRPr="0098635C" w:rsidRDefault="00632208" w:rsidP="00A432B0">
            <w:pPr>
              <w:spacing w:after="0"/>
              <w:rPr>
                <w:color w:val="000000" w:themeColor="text1"/>
                <w:sz w:val="20"/>
                <w:szCs w:val="20"/>
              </w:rPr>
            </w:pPr>
            <w:r w:rsidRPr="0098635C">
              <w:rPr>
                <w:color w:val="000000" w:themeColor="text1"/>
                <w:sz w:val="20"/>
                <w:szCs w:val="20"/>
              </w:rPr>
              <w:t>Reconstituted</w:t>
            </w:r>
          </w:p>
        </w:tc>
        <w:tc>
          <w:tcPr>
            <w:tcW w:w="2409" w:type="dxa"/>
            <w:tcBorders>
              <w:top w:val="nil"/>
              <w:left w:val="nil"/>
              <w:bottom w:val="single" w:sz="8" w:space="0" w:color="auto"/>
              <w:right w:val="double" w:sz="6" w:space="0" w:color="auto"/>
            </w:tcBorders>
          </w:tcPr>
          <w:p w14:paraId="2942DF28"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2006</w:t>
            </w:r>
          </w:p>
        </w:tc>
      </w:tr>
      <w:tr w:rsidR="00632208" w:rsidRPr="0098635C" w14:paraId="007DAF0F" w14:textId="77777777" w:rsidTr="00A432B0">
        <w:trPr>
          <w:trHeight w:val="331"/>
        </w:trPr>
        <w:tc>
          <w:tcPr>
            <w:tcW w:w="1701" w:type="dxa"/>
            <w:tcBorders>
              <w:top w:val="nil"/>
              <w:left w:val="double" w:sz="6" w:space="0" w:color="auto"/>
              <w:bottom w:val="single" w:sz="8" w:space="0" w:color="auto"/>
              <w:right w:val="single" w:sz="8" w:space="0" w:color="auto"/>
            </w:tcBorders>
          </w:tcPr>
          <w:p w14:paraId="5F619D20" w14:textId="77777777" w:rsidR="00632208" w:rsidRPr="0098635C" w:rsidRDefault="00632208" w:rsidP="00A432B0">
            <w:pPr>
              <w:spacing w:after="0"/>
              <w:rPr>
                <w:color w:val="000000" w:themeColor="text1"/>
                <w:sz w:val="20"/>
                <w:szCs w:val="20"/>
              </w:rPr>
            </w:pPr>
            <w:r w:rsidRPr="0098635C">
              <w:rPr>
                <w:color w:val="000000" w:themeColor="text1"/>
                <w:sz w:val="20"/>
                <w:szCs w:val="20"/>
              </w:rPr>
              <w:t>Chlorella vulgaris</w:t>
            </w:r>
          </w:p>
        </w:tc>
        <w:tc>
          <w:tcPr>
            <w:tcW w:w="1701" w:type="dxa"/>
            <w:tcBorders>
              <w:top w:val="nil"/>
              <w:left w:val="nil"/>
              <w:bottom w:val="single" w:sz="8" w:space="0" w:color="auto"/>
              <w:right w:val="single" w:sz="8" w:space="0" w:color="auto"/>
            </w:tcBorders>
          </w:tcPr>
          <w:p w14:paraId="3ED5C278"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10,000 c/ml</w:t>
            </w:r>
          </w:p>
        </w:tc>
        <w:tc>
          <w:tcPr>
            <w:tcW w:w="709" w:type="dxa"/>
            <w:tcBorders>
              <w:top w:val="nil"/>
              <w:left w:val="nil"/>
              <w:bottom w:val="single" w:sz="8" w:space="0" w:color="auto"/>
              <w:right w:val="single" w:sz="8" w:space="0" w:color="auto"/>
            </w:tcBorders>
          </w:tcPr>
          <w:p w14:paraId="29925A60" w14:textId="77777777" w:rsidR="00632208" w:rsidRPr="0098635C" w:rsidRDefault="00632208" w:rsidP="00A432B0">
            <w:pPr>
              <w:spacing w:after="0"/>
              <w:rPr>
                <w:color w:val="000000" w:themeColor="text1"/>
                <w:sz w:val="20"/>
                <w:szCs w:val="20"/>
              </w:rPr>
            </w:pPr>
            <w:r w:rsidRPr="0098635C">
              <w:rPr>
                <w:color w:val="000000" w:themeColor="text1"/>
                <w:sz w:val="20"/>
                <w:szCs w:val="20"/>
              </w:rPr>
              <w:t>3 d</w:t>
            </w:r>
          </w:p>
        </w:tc>
        <w:tc>
          <w:tcPr>
            <w:tcW w:w="1276" w:type="dxa"/>
            <w:tcBorders>
              <w:top w:val="nil"/>
              <w:left w:val="nil"/>
              <w:bottom w:val="single" w:sz="8" w:space="0" w:color="auto"/>
              <w:right w:val="single" w:sz="8" w:space="0" w:color="auto"/>
            </w:tcBorders>
          </w:tcPr>
          <w:p w14:paraId="6EA1D41D"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51534210"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85.4</w:t>
            </w:r>
          </w:p>
        </w:tc>
        <w:tc>
          <w:tcPr>
            <w:tcW w:w="709" w:type="dxa"/>
            <w:tcBorders>
              <w:top w:val="nil"/>
              <w:left w:val="nil"/>
              <w:bottom w:val="single" w:sz="8" w:space="0" w:color="auto"/>
              <w:right w:val="single" w:sz="8" w:space="0" w:color="auto"/>
            </w:tcBorders>
          </w:tcPr>
          <w:p w14:paraId="021A3E73"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43DA8510"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single" w:sz="8" w:space="0" w:color="auto"/>
              <w:right w:val="single" w:sz="8" w:space="0" w:color="auto"/>
            </w:tcBorders>
          </w:tcPr>
          <w:p w14:paraId="312F9500" w14:textId="77777777" w:rsidR="00632208" w:rsidRPr="0098635C" w:rsidRDefault="00632208" w:rsidP="00A432B0">
            <w:pPr>
              <w:spacing w:after="0"/>
              <w:rPr>
                <w:color w:val="000000" w:themeColor="text1"/>
                <w:sz w:val="20"/>
                <w:szCs w:val="20"/>
              </w:rPr>
            </w:pPr>
            <w:r w:rsidRPr="0098635C">
              <w:rPr>
                <w:color w:val="000000" w:themeColor="text1"/>
                <w:sz w:val="20"/>
                <w:szCs w:val="20"/>
              </w:rPr>
              <w:t>T: 20°C; pH: 7.01; H: 500 mg/L CaCO3; DOC: 10.0 mg/L</w:t>
            </w:r>
          </w:p>
        </w:tc>
        <w:tc>
          <w:tcPr>
            <w:tcW w:w="1985" w:type="dxa"/>
            <w:tcBorders>
              <w:top w:val="nil"/>
              <w:left w:val="nil"/>
              <w:bottom w:val="single" w:sz="8" w:space="0" w:color="auto"/>
              <w:right w:val="single" w:sz="8" w:space="0" w:color="auto"/>
            </w:tcBorders>
          </w:tcPr>
          <w:p w14:paraId="0973F7D8" w14:textId="77777777" w:rsidR="00632208" w:rsidRPr="0098635C" w:rsidRDefault="00632208" w:rsidP="00A432B0">
            <w:pPr>
              <w:spacing w:after="0"/>
              <w:rPr>
                <w:color w:val="000000" w:themeColor="text1"/>
                <w:sz w:val="20"/>
                <w:szCs w:val="20"/>
              </w:rPr>
            </w:pPr>
            <w:r w:rsidRPr="0098635C">
              <w:rPr>
                <w:color w:val="000000" w:themeColor="text1"/>
                <w:sz w:val="20"/>
                <w:szCs w:val="20"/>
              </w:rPr>
              <w:t>Reconstituted</w:t>
            </w:r>
          </w:p>
        </w:tc>
        <w:tc>
          <w:tcPr>
            <w:tcW w:w="2409" w:type="dxa"/>
            <w:tcBorders>
              <w:top w:val="nil"/>
              <w:left w:val="nil"/>
              <w:bottom w:val="single" w:sz="8" w:space="0" w:color="auto"/>
              <w:right w:val="double" w:sz="6" w:space="0" w:color="auto"/>
            </w:tcBorders>
          </w:tcPr>
          <w:p w14:paraId="40F7E0F3" w14:textId="77777777" w:rsidR="00632208" w:rsidRPr="0098635C" w:rsidRDefault="00632208" w:rsidP="00A432B0">
            <w:pPr>
              <w:spacing w:after="0"/>
              <w:rPr>
                <w:color w:val="000000" w:themeColor="text1"/>
                <w:sz w:val="20"/>
                <w:szCs w:val="20"/>
              </w:rPr>
            </w:pPr>
            <w:r w:rsidRPr="0098635C">
              <w:rPr>
                <w:color w:val="000000" w:themeColor="text1"/>
                <w:sz w:val="20"/>
                <w:szCs w:val="20"/>
              </w:rPr>
              <w:t>De Schamphelaere et al., 2006</w:t>
            </w:r>
          </w:p>
        </w:tc>
      </w:tr>
      <w:tr w:rsidR="00632208" w:rsidRPr="0098635C" w14:paraId="5207E8AC" w14:textId="77777777" w:rsidTr="00A432B0">
        <w:trPr>
          <w:trHeight w:val="343"/>
        </w:trPr>
        <w:tc>
          <w:tcPr>
            <w:tcW w:w="1701" w:type="dxa"/>
            <w:tcBorders>
              <w:top w:val="nil"/>
              <w:left w:val="double" w:sz="6" w:space="0" w:color="auto"/>
              <w:bottom w:val="single" w:sz="8" w:space="0" w:color="auto"/>
              <w:right w:val="single" w:sz="8" w:space="0" w:color="auto"/>
            </w:tcBorders>
          </w:tcPr>
          <w:p w14:paraId="70B191B0" w14:textId="77777777" w:rsidR="00632208" w:rsidRPr="0098635C" w:rsidRDefault="00632208" w:rsidP="00A432B0">
            <w:pPr>
              <w:spacing w:after="0"/>
              <w:rPr>
                <w:color w:val="000000" w:themeColor="text1"/>
                <w:sz w:val="20"/>
                <w:szCs w:val="20"/>
              </w:rPr>
            </w:pPr>
            <w:r w:rsidRPr="0098635C">
              <w:rPr>
                <w:color w:val="000000" w:themeColor="text1"/>
                <w:sz w:val="20"/>
                <w:szCs w:val="20"/>
              </w:rPr>
              <w:t>Chlorella vulgaris</w:t>
            </w:r>
          </w:p>
        </w:tc>
        <w:tc>
          <w:tcPr>
            <w:tcW w:w="1701" w:type="dxa"/>
            <w:tcBorders>
              <w:top w:val="nil"/>
              <w:left w:val="nil"/>
              <w:bottom w:val="single" w:sz="8" w:space="0" w:color="auto"/>
              <w:right w:val="single" w:sz="8" w:space="0" w:color="auto"/>
            </w:tcBorders>
          </w:tcPr>
          <w:p w14:paraId="672EF277"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10,000 c/ml</w:t>
            </w:r>
          </w:p>
        </w:tc>
        <w:tc>
          <w:tcPr>
            <w:tcW w:w="709" w:type="dxa"/>
            <w:tcBorders>
              <w:top w:val="nil"/>
              <w:left w:val="nil"/>
              <w:bottom w:val="single" w:sz="8" w:space="0" w:color="auto"/>
              <w:right w:val="single" w:sz="8" w:space="0" w:color="auto"/>
            </w:tcBorders>
          </w:tcPr>
          <w:p w14:paraId="0F18A968" w14:textId="77777777" w:rsidR="00632208" w:rsidRPr="0098635C" w:rsidRDefault="00632208" w:rsidP="00A432B0">
            <w:pPr>
              <w:spacing w:after="0"/>
              <w:rPr>
                <w:color w:val="000000" w:themeColor="text1"/>
                <w:sz w:val="20"/>
                <w:szCs w:val="20"/>
              </w:rPr>
            </w:pPr>
            <w:r w:rsidRPr="0098635C">
              <w:rPr>
                <w:color w:val="000000" w:themeColor="text1"/>
                <w:sz w:val="20"/>
                <w:szCs w:val="20"/>
              </w:rPr>
              <w:t>3 d</w:t>
            </w:r>
          </w:p>
        </w:tc>
        <w:tc>
          <w:tcPr>
            <w:tcW w:w="1276" w:type="dxa"/>
            <w:tcBorders>
              <w:top w:val="nil"/>
              <w:left w:val="nil"/>
              <w:bottom w:val="single" w:sz="8" w:space="0" w:color="auto"/>
              <w:right w:val="single" w:sz="8" w:space="0" w:color="auto"/>
            </w:tcBorders>
          </w:tcPr>
          <w:p w14:paraId="4027BD05"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4F8B322C"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161.9</w:t>
            </w:r>
          </w:p>
        </w:tc>
        <w:tc>
          <w:tcPr>
            <w:tcW w:w="709" w:type="dxa"/>
            <w:tcBorders>
              <w:top w:val="nil"/>
              <w:left w:val="nil"/>
              <w:bottom w:val="single" w:sz="8" w:space="0" w:color="auto"/>
              <w:right w:val="single" w:sz="8" w:space="0" w:color="auto"/>
            </w:tcBorders>
          </w:tcPr>
          <w:p w14:paraId="2A109528"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5936EAD5"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single" w:sz="8" w:space="0" w:color="auto"/>
              <w:right w:val="single" w:sz="8" w:space="0" w:color="auto"/>
            </w:tcBorders>
          </w:tcPr>
          <w:p w14:paraId="2ADBDC46" w14:textId="77777777" w:rsidR="00632208" w:rsidRPr="0098635C" w:rsidRDefault="00632208" w:rsidP="00A432B0">
            <w:pPr>
              <w:spacing w:after="0"/>
              <w:rPr>
                <w:color w:val="000000" w:themeColor="text1"/>
                <w:sz w:val="20"/>
                <w:szCs w:val="20"/>
              </w:rPr>
            </w:pPr>
            <w:r w:rsidRPr="0098635C">
              <w:rPr>
                <w:color w:val="000000" w:themeColor="text1"/>
                <w:sz w:val="20"/>
                <w:szCs w:val="20"/>
              </w:rPr>
              <w:t>T: 20°C; pH: 8.75; H: 250 mg/L CaCO3; DOC: 9.9 mg/L</w:t>
            </w:r>
          </w:p>
        </w:tc>
        <w:tc>
          <w:tcPr>
            <w:tcW w:w="1985" w:type="dxa"/>
            <w:tcBorders>
              <w:top w:val="nil"/>
              <w:left w:val="nil"/>
              <w:bottom w:val="single" w:sz="8" w:space="0" w:color="auto"/>
              <w:right w:val="single" w:sz="8" w:space="0" w:color="auto"/>
            </w:tcBorders>
          </w:tcPr>
          <w:p w14:paraId="4F9E3CAD" w14:textId="77777777" w:rsidR="00632208" w:rsidRPr="0098635C" w:rsidRDefault="00632208" w:rsidP="00A432B0">
            <w:pPr>
              <w:spacing w:after="0"/>
              <w:rPr>
                <w:color w:val="000000" w:themeColor="text1"/>
                <w:sz w:val="20"/>
                <w:szCs w:val="20"/>
              </w:rPr>
            </w:pPr>
            <w:r w:rsidRPr="0098635C">
              <w:rPr>
                <w:color w:val="000000" w:themeColor="text1"/>
                <w:sz w:val="20"/>
                <w:szCs w:val="20"/>
              </w:rPr>
              <w:t>Reconstituted</w:t>
            </w:r>
          </w:p>
        </w:tc>
        <w:tc>
          <w:tcPr>
            <w:tcW w:w="2409" w:type="dxa"/>
            <w:tcBorders>
              <w:top w:val="nil"/>
              <w:left w:val="nil"/>
              <w:bottom w:val="single" w:sz="8" w:space="0" w:color="auto"/>
              <w:right w:val="double" w:sz="6" w:space="0" w:color="auto"/>
            </w:tcBorders>
          </w:tcPr>
          <w:p w14:paraId="048A8B1F"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De Schamphelaere et al., 2006 </w:t>
            </w:r>
          </w:p>
        </w:tc>
      </w:tr>
      <w:tr w:rsidR="00632208" w:rsidRPr="0098635C" w14:paraId="3D28825F" w14:textId="77777777" w:rsidTr="00A432B0">
        <w:trPr>
          <w:trHeight w:val="321"/>
        </w:trPr>
        <w:tc>
          <w:tcPr>
            <w:tcW w:w="1701" w:type="dxa"/>
            <w:tcBorders>
              <w:top w:val="nil"/>
              <w:left w:val="double" w:sz="6" w:space="0" w:color="auto"/>
              <w:bottom w:val="single" w:sz="8" w:space="0" w:color="auto"/>
              <w:right w:val="single" w:sz="8" w:space="0" w:color="auto"/>
            </w:tcBorders>
          </w:tcPr>
          <w:p w14:paraId="1475E21B" w14:textId="77777777" w:rsidR="00632208" w:rsidRPr="0098635C" w:rsidRDefault="00632208" w:rsidP="00A432B0">
            <w:pPr>
              <w:spacing w:after="0"/>
              <w:rPr>
                <w:color w:val="000000" w:themeColor="text1"/>
                <w:sz w:val="20"/>
                <w:szCs w:val="20"/>
              </w:rPr>
            </w:pPr>
            <w:r w:rsidRPr="0098635C">
              <w:rPr>
                <w:color w:val="000000" w:themeColor="text1"/>
                <w:sz w:val="20"/>
                <w:szCs w:val="20"/>
              </w:rPr>
              <w:t>Chlorella vulgaris</w:t>
            </w:r>
          </w:p>
        </w:tc>
        <w:tc>
          <w:tcPr>
            <w:tcW w:w="1701" w:type="dxa"/>
            <w:tcBorders>
              <w:top w:val="nil"/>
              <w:left w:val="nil"/>
              <w:bottom w:val="single" w:sz="8" w:space="0" w:color="auto"/>
              <w:right w:val="single" w:sz="8" w:space="0" w:color="auto"/>
            </w:tcBorders>
          </w:tcPr>
          <w:p w14:paraId="096FF490"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10,000 c/ml</w:t>
            </w:r>
          </w:p>
        </w:tc>
        <w:tc>
          <w:tcPr>
            <w:tcW w:w="709" w:type="dxa"/>
            <w:tcBorders>
              <w:top w:val="nil"/>
              <w:left w:val="nil"/>
              <w:bottom w:val="single" w:sz="8" w:space="0" w:color="auto"/>
              <w:right w:val="single" w:sz="8" w:space="0" w:color="auto"/>
            </w:tcBorders>
          </w:tcPr>
          <w:p w14:paraId="2705E81E" w14:textId="77777777" w:rsidR="00632208" w:rsidRPr="0098635C" w:rsidRDefault="00632208" w:rsidP="00A432B0">
            <w:pPr>
              <w:spacing w:after="0"/>
              <w:rPr>
                <w:color w:val="000000" w:themeColor="text1"/>
                <w:sz w:val="20"/>
                <w:szCs w:val="20"/>
              </w:rPr>
            </w:pPr>
            <w:r w:rsidRPr="0098635C">
              <w:rPr>
                <w:color w:val="000000" w:themeColor="text1"/>
                <w:sz w:val="20"/>
                <w:szCs w:val="20"/>
              </w:rPr>
              <w:t>3 d</w:t>
            </w:r>
          </w:p>
        </w:tc>
        <w:tc>
          <w:tcPr>
            <w:tcW w:w="1276" w:type="dxa"/>
            <w:tcBorders>
              <w:top w:val="nil"/>
              <w:left w:val="nil"/>
              <w:bottom w:val="single" w:sz="8" w:space="0" w:color="auto"/>
              <w:right w:val="single" w:sz="8" w:space="0" w:color="auto"/>
            </w:tcBorders>
          </w:tcPr>
          <w:p w14:paraId="28A69C65"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1ACA8BD6"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282.9</w:t>
            </w:r>
          </w:p>
        </w:tc>
        <w:tc>
          <w:tcPr>
            <w:tcW w:w="709" w:type="dxa"/>
            <w:tcBorders>
              <w:top w:val="nil"/>
              <w:left w:val="nil"/>
              <w:bottom w:val="single" w:sz="8" w:space="0" w:color="auto"/>
              <w:right w:val="single" w:sz="8" w:space="0" w:color="auto"/>
            </w:tcBorders>
          </w:tcPr>
          <w:p w14:paraId="67634C9C"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677EDB87"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single" w:sz="8" w:space="0" w:color="auto"/>
              <w:right w:val="single" w:sz="8" w:space="0" w:color="auto"/>
            </w:tcBorders>
          </w:tcPr>
          <w:p w14:paraId="08B8C89A" w14:textId="77777777" w:rsidR="00632208" w:rsidRPr="0098635C" w:rsidRDefault="00632208" w:rsidP="00A432B0">
            <w:pPr>
              <w:spacing w:after="0"/>
              <w:rPr>
                <w:color w:val="000000" w:themeColor="text1"/>
                <w:sz w:val="20"/>
                <w:szCs w:val="20"/>
              </w:rPr>
            </w:pPr>
            <w:r w:rsidRPr="0098635C">
              <w:rPr>
                <w:color w:val="000000" w:themeColor="text1"/>
                <w:sz w:val="20"/>
                <w:szCs w:val="20"/>
              </w:rPr>
              <w:t>T: 20°C; pH: 7.05; H: 250 mg/L CaCO3; DOC: 19.10 mg/L</w:t>
            </w:r>
          </w:p>
        </w:tc>
        <w:tc>
          <w:tcPr>
            <w:tcW w:w="1985" w:type="dxa"/>
            <w:tcBorders>
              <w:top w:val="nil"/>
              <w:left w:val="nil"/>
              <w:bottom w:val="single" w:sz="8" w:space="0" w:color="auto"/>
              <w:right w:val="single" w:sz="8" w:space="0" w:color="auto"/>
            </w:tcBorders>
          </w:tcPr>
          <w:p w14:paraId="33F46768" w14:textId="77777777" w:rsidR="00632208" w:rsidRPr="0098635C" w:rsidRDefault="00632208" w:rsidP="00A432B0">
            <w:pPr>
              <w:spacing w:after="0"/>
              <w:rPr>
                <w:color w:val="000000" w:themeColor="text1"/>
                <w:sz w:val="20"/>
                <w:szCs w:val="20"/>
              </w:rPr>
            </w:pPr>
            <w:r w:rsidRPr="0098635C">
              <w:rPr>
                <w:color w:val="000000" w:themeColor="text1"/>
                <w:sz w:val="20"/>
                <w:szCs w:val="20"/>
              </w:rPr>
              <w:t>Reconstituted</w:t>
            </w:r>
          </w:p>
        </w:tc>
        <w:tc>
          <w:tcPr>
            <w:tcW w:w="2409" w:type="dxa"/>
            <w:tcBorders>
              <w:top w:val="nil"/>
              <w:left w:val="nil"/>
              <w:bottom w:val="single" w:sz="8" w:space="0" w:color="auto"/>
              <w:right w:val="double" w:sz="6" w:space="0" w:color="auto"/>
            </w:tcBorders>
          </w:tcPr>
          <w:p w14:paraId="422FC1BF"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De Schamphelaere et al., 2006 </w:t>
            </w:r>
          </w:p>
        </w:tc>
      </w:tr>
      <w:tr w:rsidR="00632208" w:rsidRPr="0098635C" w14:paraId="42601ADC" w14:textId="77777777" w:rsidTr="00A432B0">
        <w:trPr>
          <w:trHeight w:val="185"/>
        </w:trPr>
        <w:tc>
          <w:tcPr>
            <w:tcW w:w="1701" w:type="dxa"/>
            <w:tcBorders>
              <w:top w:val="nil"/>
              <w:left w:val="double" w:sz="6" w:space="0" w:color="auto"/>
              <w:bottom w:val="single" w:sz="8" w:space="0" w:color="auto"/>
              <w:right w:val="single" w:sz="8" w:space="0" w:color="auto"/>
            </w:tcBorders>
          </w:tcPr>
          <w:p w14:paraId="561E4303" w14:textId="77777777" w:rsidR="00632208" w:rsidRPr="0098635C" w:rsidRDefault="00632208" w:rsidP="00A432B0">
            <w:pPr>
              <w:spacing w:after="0"/>
              <w:rPr>
                <w:color w:val="000000" w:themeColor="text1"/>
                <w:sz w:val="20"/>
                <w:szCs w:val="20"/>
              </w:rPr>
            </w:pPr>
            <w:r w:rsidRPr="0098635C">
              <w:rPr>
                <w:color w:val="000000" w:themeColor="text1"/>
                <w:sz w:val="20"/>
                <w:szCs w:val="20"/>
              </w:rPr>
              <w:lastRenderedPageBreak/>
              <w:t>Chlorella vulgaris</w:t>
            </w:r>
          </w:p>
        </w:tc>
        <w:tc>
          <w:tcPr>
            <w:tcW w:w="1701" w:type="dxa"/>
            <w:tcBorders>
              <w:top w:val="nil"/>
              <w:left w:val="nil"/>
              <w:bottom w:val="single" w:sz="8" w:space="0" w:color="auto"/>
              <w:right w:val="single" w:sz="8" w:space="0" w:color="auto"/>
            </w:tcBorders>
          </w:tcPr>
          <w:p w14:paraId="61FDB563"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10,000 c/ml</w:t>
            </w:r>
          </w:p>
        </w:tc>
        <w:tc>
          <w:tcPr>
            <w:tcW w:w="709" w:type="dxa"/>
            <w:tcBorders>
              <w:top w:val="nil"/>
              <w:left w:val="nil"/>
              <w:bottom w:val="single" w:sz="8" w:space="0" w:color="auto"/>
              <w:right w:val="single" w:sz="8" w:space="0" w:color="auto"/>
            </w:tcBorders>
          </w:tcPr>
          <w:p w14:paraId="5D247500" w14:textId="77777777" w:rsidR="00632208" w:rsidRPr="0098635C" w:rsidRDefault="00632208" w:rsidP="00A432B0">
            <w:pPr>
              <w:spacing w:after="0"/>
              <w:rPr>
                <w:color w:val="000000" w:themeColor="text1"/>
                <w:sz w:val="20"/>
                <w:szCs w:val="20"/>
              </w:rPr>
            </w:pPr>
            <w:r w:rsidRPr="0098635C">
              <w:rPr>
                <w:color w:val="000000" w:themeColor="text1"/>
                <w:sz w:val="20"/>
                <w:szCs w:val="20"/>
              </w:rPr>
              <w:t>3 d</w:t>
            </w:r>
          </w:p>
        </w:tc>
        <w:tc>
          <w:tcPr>
            <w:tcW w:w="1276" w:type="dxa"/>
            <w:tcBorders>
              <w:top w:val="nil"/>
              <w:left w:val="nil"/>
              <w:bottom w:val="single" w:sz="8" w:space="0" w:color="auto"/>
              <w:right w:val="single" w:sz="8" w:space="0" w:color="auto"/>
            </w:tcBorders>
          </w:tcPr>
          <w:p w14:paraId="5AA95944"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2DD25E7F"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187.8</w:t>
            </w:r>
          </w:p>
        </w:tc>
        <w:tc>
          <w:tcPr>
            <w:tcW w:w="709" w:type="dxa"/>
            <w:tcBorders>
              <w:top w:val="nil"/>
              <w:left w:val="nil"/>
              <w:bottom w:val="single" w:sz="8" w:space="0" w:color="auto"/>
              <w:right w:val="single" w:sz="8" w:space="0" w:color="auto"/>
            </w:tcBorders>
          </w:tcPr>
          <w:p w14:paraId="7A7FEAFA"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1866658B"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single" w:sz="8" w:space="0" w:color="auto"/>
              <w:right w:val="single" w:sz="8" w:space="0" w:color="auto"/>
            </w:tcBorders>
          </w:tcPr>
          <w:p w14:paraId="2B524E8E" w14:textId="77777777" w:rsidR="00632208" w:rsidRPr="0098635C" w:rsidRDefault="00632208" w:rsidP="00A432B0">
            <w:pPr>
              <w:spacing w:after="0"/>
              <w:rPr>
                <w:color w:val="000000" w:themeColor="text1"/>
                <w:sz w:val="20"/>
                <w:szCs w:val="20"/>
              </w:rPr>
            </w:pPr>
            <w:r w:rsidRPr="0098635C">
              <w:rPr>
                <w:color w:val="000000" w:themeColor="text1"/>
                <w:sz w:val="20"/>
                <w:szCs w:val="20"/>
              </w:rPr>
              <w:t>T: 20°C; pH: 6.01; H: 400 mg/L CaCO3; DOC: 5.0 mg/L</w:t>
            </w:r>
          </w:p>
        </w:tc>
        <w:tc>
          <w:tcPr>
            <w:tcW w:w="1985" w:type="dxa"/>
            <w:tcBorders>
              <w:top w:val="nil"/>
              <w:left w:val="nil"/>
              <w:bottom w:val="single" w:sz="8" w:space="0" w:color="auto"/>
              <w:right w:val="single" w:sz="8" w:space="0" w:color="auto"/>
            </w:tcBorders>
          </w:tcPr>
          <w:p w14:paraId="0F9C54E3" w14:textId="77777777" w:rsidR="00632208" w:rsidRPr="0098635C" w:rsidRDefault="00632208" w:rsidP="00A432B0">
            <w:pPr>
              <w:spacing w:after="0"/>
              <w:rPr>
                <w:color w:val="000000" w:themeColor="text1"/>
                <w:sz w:val="20"/>
                <w:szCs w:val="20"/>
              </w:rPr>
            </w:pPr>
            <w:r w:rsidRPr="0098635C">
              <w:rPr>
                <w:color w:val="000000" w:themeColor="text1"/>
                <w:sz w:val="20"/>
                <w:szCs w:val="20"/>
              </w:rPr>
              <w:t>Reconstituted</w:t>
            </w:r>
          </w:p>
        </w:tc>
        <w:tc>
          <w:tcPr>
            <w:tcW w:w="2409" w:type="dxa"/>
            <w:tcBorders>
              <w:top w:val="nil"/>
              <w:left w:val="nil"/>
              <w:bottom w:val="single" w:sz="8" w:space="0" w:color="auto"/>
              <w:right w:val="double" w:sz="6" w:space="0" w:color="auto"/>
            </w:tcBorders>
          </w:tcPr>
          <w:p w14:paraId="7B713DE3"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De Schamphelaere et al., 2006 </w:t>
            </w:r>
          </w:p>
        </w:tc>
      </w:tr>
      <w:tr w:rsidR="00632208" w:rsidRPr="0098635C" w14:paraId="3E4CBF07" w14:textId="77777777" w:rsidTr="00A432B0">
        <w:trPr>
          <w:trHeight w:val="64"/>
        </w:trPr>
        <w:tc>
          <w:tcPr>
            <w:tcW w:w="1701" w:type="dxa"/>
            <w:tcBorders>
              <w:top w:val="nil"/>
              <w:left w:val="double" w:sz="6" w:space="0" w:color="auto"/>
              <w:bottom w:val="single" w:sz="8" w:space="0" w:color="auto"/>
              <w:right w:val="single" w:sz="8" w:space="0" w:color="auto"/>
            </w:tcBorders>
          </w:tcPr>
          <w:p w14:paraId="7BF34B40" w14:textId="77777777" w:rsidR="00632208" w:rsidRPr="0098635C" w:rsidRDefault="00632208" w:rsidP="00A432B0">
            <w:pPr>
              <w:spacing w:after="0"/>
              <w:rPr>
                <w:color w:val="000000" w:themeColor="text1"/>
                <w:sz w:val="20"/>
                <w:szCs w:val="20"/>
              </w:rPr>
            </w:pPr>
            <w:r w:rsidRPr="0098635C">
              <w:rPr>
                <w:color w:val="000000" w:themeColor="text1"/>
                <w:sz w:val="20"/>
                <w:szCs w:val="20"/>
              </w:rPr>
              <w:t>Chlorella vulgaris</w:t>
            </w:r>
          </w:p>
        </w:tc>
        <w:tc>
          <w:tcPr>
            <w:tcW w:w="1701" w:type="dxa"/>
            <w:tcBorders>
              <w:top w:val="nil"/>
              <w:left w:val="nil"/>
              <w:bottom w:val="single" w:sz="8" w:space="0" w:color="auto"/>
              <w:right w:val="single" w:sz="8" w:space="0" w:color="auto"/>
            </w:tcBorders>
          </w:tcPr>
          <w:p w14:paraId="3F9AD494"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10,000 c/ml</w:t>
            </w:r>
          </w:p>
        </w:tc>
        <w:tc>
          <w:tcPr>
            <w:tcW w:w="709" w:type="dxa"/>
            <w:tcBorders>
              <w:top w:val="nil"/>
              <w:left w:val="nil"/>
              <w:bottom w:val="single" w:sz="8" w:space="0" w:color="auto"/>
              <w:right w:val="single" w:sz="8" w:space="0" w:color="auto"/>
            </w:tcBorders>
          </w:tcPr>
          <w:p w14:paraId="31DA1532" w14:textId="77777777" w:rsidR="00632208" w:rsidRPr="0098635C" w:rsidRDefault="00632208" w:rsidP="00A432B0">
            <w:pPr>
              <w:spacing w:after="0"/>
              <w:rPr>
                <w:color w:val="000000" w:themeColor="text1"/>
                <w:sz w:val="20"/>
                <w:szCs w:val="20"/>
              </w:rPr>
            </w:pPr>
            <w:r w:rsidRPr="0098635C">
              <w:rPr>
                <w:color w:val="000000" w:themeColor="text1"/>
                <w:sz w:val="20"/>
                <w:szCs w:val="20"/>
              </w:rPr>
              <w:t>3 d</w:t>
            </w:r>
          </w:p>
        </w:tc>
        <w:tc>
          <w:tcPr>
            <w:tcW w:w="1276" w:type="dxa"/>
            <w:tcBorders>
              <w:top w:val="nil"/>
              <w:left w:val="nil"/>
              <w:bottom w:val="single" w:sz="8" w:space="0" w:color="auto"/>
              <w:right w:val="single" w:sz="8" w:space="0" w:color="auto"/>
            </w:tcBorders>
          </w:tcPr>
          <w:p w14:paraId="166BFA6E"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47730A94"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510.2</w:t>
            </w:r>
          </w:p>
        </w:tc>
        <w:tc>
          <w:tcPr>
            <w:tcW w:w="709" w:type="dxa"/>
            <w:tcBorders>
              <w:top w:val="nil"/>
              <w:left w:val="nil"/>
              <w:bottom w:val="single" w:sz="8" w:space="0" w:color="auto"/>
              <w:right w:val="single" w:sz="8" w:space="0" w:color="auto"/>
            </w:tcBorders>
          </w:tcPr>
          <w:p w14:paraId="2369A795"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274ED479"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single" w:sz="8" w:space="0" w:color="auto"/>
              <w:right w:val="single" w:sz="8" w:space="0" w:color="auto"/>
            </w:tcBorders>
          </w:tcPr>
          <w:p w14:paraId="1639FB87" w14:textId="77777777" w:rsidR="00632208" w:rsidRPr="0098635C" w:rsidRDefault="00632208" w:rsidP="00A432B0">
            <w:pPr>
              <w:spacing w:after="0"/>
              <w:rPr>
                <w:color w:val="000000" w:themeColor="text1"/>
                <w:sz w:val="20"/>
                <w:szCs w:val="20"/>
              </w:rPr>
            </w:pPr>
            <w:r w:rsidRPr="0098635C">
              <w:rPr>
                <w:color w:val="000000" w:themeColor="text1"/>
                <w:sz w:val="20"/>
                <w:szCs w:val="20"/>
              </w:rPr>
              <w:t>T: 20°C; pH: 6.05; H: 400 mg/L CaCO3; DOC: 15.2 mg/L</w:t>
            </w:r>
          </w:p>
        </w:tc>
        <w:tc>
          <w:tcPr>
            <w:tcW w:w="1985" w:type="dxa"/>
            <w:tcBorders>
              <w:top w:val="nil"/>
              <w:left w:val="nil"/>
              <w:bottom w:val="single" w:sz="8" w:space="0" w:color="auto"/>
              <w:right w:val="single" w:sz="8" w:space="0" w:color="auto"/>
            </w:tcBorders>
          </w:tcPr>
          <w:p w14:paraId="49732E27" w14:textId="77777777" w:rsidR="00632208" w:rsidRPr="0098635C" w:rsidRDefault="00632208" w:rsidP="00A432B0">
            <w:pPr>
              <w:spacing w:after="0"/>
              <w:rPr>
                <w:color w:val="000000" w:themeColor="text1"/>
                <w:sz w:val="20"/>
                <w:szCs w:val="20"/>
              </w:rPr>
            </w:pPr>
            <w:r w:rsidRPr="0098635C">
              <w:rPr>
                <w:color w:val="000000" w:themeColor="text1"/>
                <w:sz w:val="20"/>
                <w:szCs w:val="20"/>
              </w:rPr>
              <w:t>Reconstituted</w:t>
            </w:r>
          </w:p>
        </w:tc>
        <w:tc>
          <w:tcPr>
            <w:tcW w:w="2409" w:type="dxa"/>
            <w:tcBorders>
              <w:top w:val="nil"/>
              <w:left w:val="nil"/>
              <w:bottom w:val="single" w:sz="8" w:space="0" w:color="auto"/>
              <w:right w:val="double" w:sz="6" w:space="0" w:color="auto"/>
            </w:tcBorders>
          </w:tcPr>
          <w:p w14:paraId="62BE6C47"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De Schamphelaere et al., 2006 </w:t>
            </w:r>
          </w:p>
        </w:tc>
      </w:tr>
      <w:tr w:rsidR="00632208" w:rsidRPr="0098635C" w14:paraId="37F26AB8" w14:textId="77777777" w:rsidTr="00A432B0">
        <w:trPr>
          <w:trHeight w:val="64"/>
        </w:trPr>
        <w:tc>
          <w:tcPr>
            <w:tcW w:w="1701" w:type="dxa"/>
            <w:tcBorders>
              <w:top w:val="nil"/>
              <w:left w:val="double" w:sz="6" w:space="0" w:color="auto"/>
              <w:bottom w:val="single" w:sz="8" w:space="0" w:color="auto"/>
              <w:right w:val="single" w:sz="8" w:space="0" w:color="auto"/>
            </w:tcBorders>
          </w:tcPr>
          <w:p w14:paraId="21494437" w14:textId="77777777" w:rsidR="00632208" w:rsidRPr="0098635C" w:rsidRDefault="00632208" w:rsidP="00A432B0">
            <w:pPr>
              <w:spacing w:after="0"/>
              <w:rPr>
                <w:color w:val="000000" w:themeColor="text1"/>
                <w:sz w:val="20"/>
                <w:szCs w:val="20"/>
              </w:rPr>
            </w:pPr>
            <w:r w:rsidRPr="0098635C">
              <w:rPr>
                <w:color w:val="000000" w:themeColor="text1"/>
                <w:sz w:val="20"/>
                <w:szCs w:val="20"/>
              </w:rPr>
              <w:t>Chlorella vulgaris</w:t>
            </w:r>
          </w:p>
        </w:tc>
        <w:tc>
          <w:tcPr>
            <w:tcW w:w="1701" w:type="dxa"/>
            <w:tcBorders>
              <w:top w:val="nil"/>
              <w:left w:val="nil"/>
              <w:bottom w:val="single" w:sz="8" w:space="0" w:color="auto"/>
              <w:right w:val="single" w:sz="8" w:space="0" w:color="auto"/>
            </w:tcBorders>
          </w:tcPr>
          <w:p w14:paraId="12CAAF33"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10,000 c/ml</w:t>
            </w:r>
          </w:p>
        </w:tc>
        <w:tc>
          <w:tcPr>
            <w:tcW w:w="709" w:type="dxa"/>
            <w:tcBorders>
              <w:top w:val="nil"/>
              <w:left w:val="nil"/>
              <w:bottom w:val="single" w:sz="8" w:space="0" w:color="auto"/>
              <w:right w:val="single" w:sz="8" w:space="0" w:color="auto"/>
            </w:tcBorders>
          </w:tcPr>
          <w:p w14:paraId="04AFFA5E" w14:textId="77777777" w:rsidR="00632208" w:rsidRPr="0098635C" w:rsidRDefault="00632208" w:rsidP="00A432B0">
            <w:pPr>
              <w:spacing w:after="0"/>
              <w:rPr>
                <w:color w:val="000000" w:themeColor="text1"/>
                <w:sz w:val="20"/>
                <w:szCs w:val="20"/>
              </w:rPr>
            </w:pPr>
            <w:r w:rsidRPr="0098635C">
              <w:rPr>
                <w:color w:val="000000" w:themeColor="text1"/>
                <w:sz w:val="20"/>
                <w:szCs w:val="20"/>
              </w:rPr>
              <w:t>3 d</w:t>
            </w:r>
          </w:p>
        </w:tc>
        <w:tc>
          <w:tcPr>
            <w:tcW w:w="1276" w:type="dxa"/>
            <w:tcBorders>
              <w:top w:val="nil"/>
              <w:left w:val="nil"/>
              <w:bottom w:val="single" w:sz="8" w:space="0" w:color="auto"/>
              <w:right w:val="single" w:sz="8" w:space="0" w:color="auto"/>
            </w:tcBorders>
          </w:tcPr>
          <w:p w14:paraId="6E249C85"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0D959940"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31</w:t>
            </w:r>
          </w:p>
        </w:tc>
        <w:tc>
          <w:tcPr>
            <w:tcW w:w="709" w:type="dxa"/>
            <w:tcBorders>
              <w:top w:val="nil"/>
              <w:left w:val="nil"/>
              <w:bottom w:val="single" w:sz="8" w:space="0" w:color="auto"/>
              <w:right w:val="single" w:sz="8" w:space="0" w:color="auto"/>
            </w:tcBorders>
          </w:tcPr>
          <w:p w14:paraId="3F24D456"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02F2C7E7"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single" w:sz="8" w:space="0" w:color="auto"/>
              <w:right w:val="single" w:sz="8" w:space="0" w:color="auto"/>
            </w:tcBorders>
          </w:tcPr>
          <w:p w14:paraId="36EBA888" w14:textId="77777777" w:rsidR="00632208" w:rsidRPr="0098635C" w:rsidRDefault="00632208" w:rsidP="00A432B0">
            <w:pPr>
              <w:spacing w:after="0"/>
              <w:rPr>
                <w:color w:val="000000" w:themeColor="text1"/>
                <w:sz w:val="20"/>
                <w:szCs w:val="20"/>
              </w:rPr>
            </w:pPr>
            <w:r w:rsidRPr="0098635C">
              <w:rPr>
                <w:color w:val="000000" w:themeColor="text1"/>
                <w:sz w:val="20"/>
                <w:szCs w:val="20"/>
              </w:rPr>
              <w:t>T: 20°C; pH: 7.88; H: 100 mg/L CaCO3; DOC: 5.3 mg/L</w:t>
            </w:r>
          </w:p>
        </w:tc>
        <w:tc>
          <w:tcPr>
            <w:tcW w:w="1985" w:type="dxa"/>
            <w:tcBorders>
              <w:top w:val="nil"/>
              <w:left w:val="nil"/>
              <w:bottom w:val="single" w:sz="8" w:space="0" w:color="auto"/>
              <w:right w:val="single" w:sz="8" w:space="0" w:color="auto"/>
            </w:tcBorders>
          </w:tcPr>
          <w:p w14:paraId="09AD4B6B" w14:textId="77777777" w:rsidR="00632208" w:rsidRPr="0098635C" w:rsidRDefault="00632208" w:rsidP="00A432B0">
            <w:pPr>
              <w:spacing w:after="0"/>
              <w:rPr>
                <w:color w:val="000000" w:themeColor="text1"/>
                <w:sz w:val="20"/>
                <w:szCs w:val="20"/>
              </w:rPr>
            </w:pPr>
            <w:r w:rsidRPr="0098635C">
              <w:rPr>
                <w:color w:val="000000" w:themeColor="text1"/>
                <w:sz w:val="20"/>
                <w:szCs w:val="20"/>
              </w:rPr>
              <w:t>Reconstituted</w:t>
            </w:r>
          </w:p>
        </w:tc>
        <w:tc>
          <w:tcPr>
            <w:tcW w:w="2409" w:type="dxa"/>
            <w:tcBorders>
              <w:top w:val="nil"/>
              <w:left w:val="nil"/>
              <w:bottom w:val="single" w:sz="8" w:space="0" w:color="auto"/>
              <w:right w:val="double" w:sz="6" w:space="0" w:color="auto"/>
            </w:tcBorders>
          </w:tcPr>
          <w:p w14:paraId="58330277"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De Schamphelaere et al., 2006 </w:t>
            </w:r>
          </w:p>
        </w:tc>
      </w:tr>
      <w:tr w:rsidR="00632208" w:rsidRPr="0098635C" w14:paraId="386D1B3E" w14:textId="77777777" w:rsidTr="00A432B0">
        <w:trPr>
          <w:trHeight w:val="64"/>
        </w:trPr>
        <w:tc>
          <w:tcPr>
            <w:tcW w:w="1701" w:type="dxa"/>
            <w:tcBorders>
              <w:top w:val="nil"/>
              <w:left w:val="double" w:sz="6" w:space="0" w:color="auto"/>
              <w:bottom w:val="single" w:sz="8" w:space="0" w:color="auto"/>
              <w:right w:val="single" w:sz="8" w:space="0" w:color="auto"/>
            </w:tcBorders>
          </w:tcPr>
          <w:p w14:paraId="69F4E65D" w14:textId="77777777" w:rsidR="00632208" w:rsidRPr="0098635C" w:rsidRDefault="00632208" w:rsidP="00A432B0">
            <w:pPr>
              <w:spacing w:after="0"/>
              <w:rPr>
                <w:color w:val="000000" w:themeColor="text1"/>
                <w:sz w:val="20"/>
                <w:szCs w:val="20"/>
              </w:rPr>
            </w:pPr>
            <w:r w:rsidRPr="0098635C">
              <w:rPr>
                <w:color w:val="000000" w:themeColor="text1"/>
                <w:sz w:val="20"/>
                <w:szCs w:val="20"/>
              </w:rPr>
              <w:t>Chlorella vulgaris</w:t>
            </w:r>
          </w:p>
        </w:tc>
        <w:tc>
          <w:tcPr>
            <w:tcW w:w="1701" w:type="dxa"/>
            <w:tcBorders>
              <w:top w:val="nil"/>
              <w:left w:val="nil"/>
              <w:bottom w:val="single" w:sz="8" w:space="0" w:color="auto"/>
              <w:right w:val="single" w:sz="8" w:space="0" w:color="auto"/>
            </w:tcBorders>
          </w:tcPr>
          <w:p w14:paraId="73366F99"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10,000 c/ml</w:t>
            </w:r>
          </w:p>
        </w:tc>
        <w:tc>
          <w:tcPr>
            <w:tcW w:w="709" w:type="dxa"/>
            <w:tcBorders>
              <w:top w:val="nil"/>
              <w:left w:val="nil"/>
              <w:bottom w:val="single" w:sz="8" w:space="0" w:color="auto"/>
              <w:right w:val="single" w:sz="8" w:space="0" w:color="auto"/>
            </w:tcBorders>
          </w:tcPr>
          <w:p w14:paraId="0A643D6B" w14:textId="77777777" w:rsidR="00632208" w:rsidRPr="0098635C" w:rsidRDefault="00632208" w:rsidP="00A432B0">
            <w:pPr>
              <w:spacing w:after="0"/>
              <w:rPr>
                <w:color w:val="000000" w:themeColor="text1"/>
                <w:sz w:val="20"/>
                <w:szCs w:val="20"/>
              </w:rPr>
            </w:pPr>
            <w:r w:rsidRPr="0098635C">
              <w:rPr>
                <w:color w:val="000000" w:themeColor="text1"/>
                <w:sz w:val="20"/>
                <w:szCs w:val="20"/>
              </w:rPr>
              <w:t>3 d</w:t>
            </w:r>
          </w:p>
        </w:tc>
        <w:tc>
          <w:tcPr>
            <w:tcW w:w="1276" w:type="dxa"/>
            <w:tcBorders>
              <w:top w:val="nil"/>
              <w:left w:val="nil"/>
              <w:bottom w:val="single" w:sz="8" w:space="0" w:color="auto"/>
              <w:right w:val="single" w:sz="8" w:space="0" w:color="auto"/>
            </w:tcBorders>
          </w:tcPr>
          <w:p w14:paraId="4294D6A9"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62FBF25A"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188</w:t>
            </w:r>
          </w:p>
        </w:tc>
        <w:tc>
          <w:tcPr>
            <w:tcW w:w="709" w:type="dxa"/>
            <w:tcBorders>
              <w:top w:val="nil"/>
              <w:left w:val="nil"/>
              <w:bottom w:val="single" w:sz="8" w:space="0" w:color="auto"/>
              <w:right w:val="single" w:sz="8" w:space="0" w:color="auto"/>
            </w:tcBorders>
          </w:tcPr>
          <w:p w14:paraId="768D422E"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2430D699"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single" w:sz="8" w:space="0" w:color="auto"/>
              <w:right w:val="single" w:sz="8" w:space="0" w:color="auto"/>
            </w:tcBorders>
          </w:tcPr>
          <w:p w14:paraId="00A5770A" w14:textId="77777777" w:rsidR="00632208" w:rsidRPr="0098635C" w:rsidRDefault="00632208" w:rsidP="00A432B0">
            <w:pPr>
              <w:spacing w:after="0"/>
              <w:rPr>
                <w:color w:val="000000" w:themeColor="text1"/>
                <w:sz w:val="20"/>
                <w:szCs w:val="20"/>
              </w:rPr>
            </w:pPr>
            <w:r w:rsidRPr="0098635C">
              <w:rPr>
                <w:color w:val="000000" w:themeColor="text1"/>
                <w:sz w:val="20"/>
                <w:szCs w:val="20"/>
              </w:rPr>
              <w:t>T: 20°C; pH: 7.88; H: 100 mg/L CaCO3; DOC: 15.7 mg/L</w:t>
            </w:r>
          </w:p>
        </w:tc>
        <w:tc>
          <w:tcPr>
            <w:tcW w:w="1985" w:type="dxa"/>
            <w:tcBorders>
              <w:top w:val="nil"/>
              <w:left w:val="nil"/>
              <w:bottom w:val="single" w:sz="8" w:space="0" w:color="auto"/>
              <w:right w:val="single" w:sz="8" w:space="0" w:color="auto"/>
            </w:tcBorders>
          </w:tcPr>
          <w:p w14:paraId="66D46ABC" w14:textId="77777777" w:rsidR="00632208" w:rsidRPr="0098635C" w:rsidRDefault="00632208" w:rsidP="00A432B0">
            <w:pPr>
              <w:spacing w:after="0"/>
              <w:rPr>
                <w:color w:val="000000" w:themeColor="text1"/>
                <w:sz w:val="20"/>
                <w:szCs w:val="20"/>
              </w:rPr>
            </w:pPr>
            <w:r w:rsidRPr="0098635C">
              <w:rPr>
                <w:color w:val="000000" w:themeColor="text1"/>
                <w:sz w:val="20"/>
                <w:szCs w:val="20"/>
              </w:rPr>
              <w:t>Reconstituted</w:t>
            </w:r>
          </w:p>
        </w:tc>
        <w:tc>
          <w:tcPr>
            <w:tcW w:w="2409" w:type="dxa"/>
            <w:tcBorders>
              <w:top w:val="nil"/>
              <w:left w:val="nil"/>
              <w:bottom w:val="single" w:sz="8" w:space="0" w:color="auto"/>
              <w:right w:val="double" w:sz="6" w:space="0" w:color="auto"/>
            </w:tcBorders>
          </w:tcPr>
          <w:p w14:paraId="7E0F9FA9"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De Schamphelaere et al., 2006 </w:t>
            </w:r>
          </w:p>
        </w:tc>
      </w:tr>
      <w:tr w:rsidR="00632208" w:rsidRPr="0098635C" w14:paraId="3FC16D24" w14:textId="77777777" w:rsidTr="00A432B0">
        <w:trPr>
          <w:trHeight w:val="64"/>
        </w:trPr>
        <w:tc>
          <w:tcPr>
            <w:tcW w:w="1701" w:type="dxa"/>
            <w:tcBorders>
              <w:top w:val="nil"/>
              <w:left w:val="double" w:sz="6" w:space="0" w:color="auto"/>
              <w:bottom w:val="single" w:sz="8" w:space="0" w:color="auto"/>
              <w:right w:val="single" w:sz="8" w:space="0" w:color="auto"/>
            </w:tcBorders>
          </w:tcPr>
          <w:p w14:paraId="4CBAF54F" w14:textId="77777777" w:rsidR="00632208" w:rsidRPr="0098635C" w:rsidRDefault="00632208" w:rsidP="00A432B0">
            <w:pPr>
              <w:spacing w:after="0"/>
              <w:rPr>
                <w:color w:val="000000" w:themeColor="text1"/>
                <w:sz w:val="20"/>
                <w:szCs w:val="20"/>
              </w:rPr>
            </w:pPr>
            <w:r w:rsidRPr="0098635C">
              <w:rPr>
                <w:color w:val="000000" w:themeColor="text1"/>
                <w:sz w:val="20"/>
                <w:szCs w:val="20"/>
              </w:rPr>
              <w:t>Chlorella vulgaris</w:t>
            </w:r>
          </w:p>
        </w:tc>
        <w:tc>
          <w:tcPr>
            <w:tcW w:w="1701" w:type="dxa"/>
            <w:tcBorders>
              <w:top w:val="nil"/>
              <w:left w:val="nil"/>
              <w:bottom w:val="single" w:sz="8" w:space="0" w:color="auto"/>
              <w:right w:val="single" w:sz="8" w:space="0" w:color="auto"/>
            </w:tcBorders>
          </w:tcPr>
          <w:p w14:paraId="3B61C518"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10,000 c/ml</w:t>
            </w:r>
          </w:p>
        </w:tc>
        <w:tc>
          <w:tcPr>
            <w:tcW w:w="709" w:type="dxa"/>
            <w:tcBorders>
              <w:top w:val="nil"/>
              <w:left w:val="nil"/>
              <w:bottom w:val="single" w:sz="8" w:space="0" w:color="auto"/>
              <w:right w:val="single" w:sz="8" w:space="0" w:color="auto"/>
            </w:tcBorders>
          </w:tcPr>
          <w:p w14:paraId="30D30B0D" w14:textId="77777777" w:rsidR="00632208" w:rsidRPr="0098635C" w:rsidRDefault="00632208" w:rsidP="00A432B0">
            <w:pPr>
              <w:spacing w:after="0"/>
              <w:rPr>
                <w:color w:val="000000" w:themeColor="text1"/>
                <w:sz w:val="20"/>
                <w:szCs w:val="20"/>
              </w:rPr>
            </w:pPr>
            <w:r w:rsidRPr="0098635C">
              <w:rPr>
                <w:color w:val="000000" w:themeColor="text1"/>
                <w:sz w:val="20"/>
                <w:szCs w:val="20"/>
              </w:rPr>
              <w:t>3 d</w:t>
            </w:r>
          </w:p>
        </w:tc>
        <w:tc>
          <w:tcPr>
            <w:tcW w:w="1276" w:type="dxa"/>
            <w:tcBorders>
              <w:top w:val="nil"/>
              <w:left w:val="nil"/>
              <w:bottom w:val="single" w:sz="8" w:space="0" w:color="auto"/>
              <w:right w:val="single" w:sz="8" w:space="0" w:color="auto"/>
            </w:tcBorders>
          </w:tcPr>
          <w:p w14:paraId="2B5BC9B1"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7B554837"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404.1</w:t>
            </w:r>
          </w:p>
        </w:tc>
        <w:tc>
          <w:tcPr>
            <w:tcW w:w="709" w:type="dxa"/>
            <w:tcBorders>
              <w:top w:val="nil"/>
              <w:left w:val="nil"/>
              <w:bottom w:val="single" w:sz="8" w:space="0" w:color="auto"/>
              <w:right w:val="single" w:sz="8" w:space="0" w:color="auto"/>
            </w:tcBorders>
          </w:tcPr>
          <w:p w14:paraId="11C059AC"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1B3CE059"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single" w:sz="8" w:space="0" w:color="auto"/>
              <w:right w:val="single" w:sz="8" w:space="0" w:color="auto"/>
            </w:tcBorders>
          </w:tcPr>
          <w:p w14:paraId="0977670A" w14:textId="77777777" w:rsidR="00632208" w:rsidRPr="0098635C" w:rsidRDefault="00632208" w:rsidP="00A432B0">
            <w:pPr>
              <w:spacing w:after="0"/>
              <w:rPr>
                <w:color w:val="000000" w:themeColor="text1"/>
                <w:sz w:val="20"/>
                <w:szCs w:val="20"/>
              </w:rPr>
            </w:pPr>
            <w:r w:rsidRPr="0098635C">
              <w:rPr>
                <w:color w:val="000000" w:themeColor="text1"/>
                <w:sz w:val="20"/>
                <w:szCs w:val="20"/>
              </w:rPr>
              <w:t>T: 20°C; pH: 5.5; H: 250 mg/L CaCO3; DOC: 10.3 mg/L</w:t>
            </w:r>
          </w:p>
        </w:tc>
        <w:tc>
          <w:tcPr>
            <w:tcW w:w="1985" w:type="dxa"/>
            <w:tcBorders>
              <w:top w:val="nil"/>
              <w:left w:val="nil"/>
              <w:bottom w:val="single" w:sz="8" w:space="0" w:color="auto"/>
              <w:right w:val="single" w:sz="8" w:space="0" w:color="auto"/>
            </w:tcBorders>
          </w:tcPr>
          <w:p w14:paraId="44B8A0A8" w14:textId="77777777" w:rsidR="00632208" w:rsidRPr="0098635C" w:rsidRDefault="00632208" w:rsidP="00A432B0">
            <w:pPr>
              <w:spacing w:after="0"/>
              <w:rPr>
                <w:color w:val="000000" w:themeColor="text1"/>
                <w:sz w:val="20"/>
                <w:szCs w:val="20"/>
              </w:rPr>
            </w:pPr>
            <w:r w:rsidRPr="0098635C">
              <w:rPr>
                <w:color w:val="000000" w:themeColor="text1"/>
                <w:sz w:val="20"/>
                <w:szCs w:val="20"/>
              </w:rPr>
              <w:t>Reconstituted</w:t>
            </w:r>
          </w:p>
        </w:tc>
        <w:tc>
          <w:tcPr>
            <w:tcW w:w="2409" w:type="dxa"/>
            <w:tcBorders>
              <w:top w:val="nil"/>
              <w:left w:val="nil"/>
              <w:bottom w:val="single" w:sz="8" w:space="0" w:color="auto"/>
              <w:right w:val="double" w:sz="6" w:space="0" w:color="auto"/>
            </w:tcBorders>
          </w:tcPr>
          <w:p w14:paraId="79F82572"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De Schamphelaere et al., 2006 </w:t>
            </w:r>
          </w:p>
        </w:tc>
      </w:tr>
      <w:tr w:rsidR="00632208" w:rsidRPr="0098635C" w14:paraId="0A8B46EC" w14:textId="77777777" w:rsidTr="00A432B0">
        <w:trPr>
          <w:trHeight w:val="64"/>
        </w:trPr>
        <w:tc>
          <w:tcPr>
            <w:tcW w:w="1701" w:type="dxa"/>
            <w:tcBorders>
              <w:top w:val="nil"/>
              <w:left w:val="double" w:sz="6" w:space="0" w:color="auto"/>
              <w:bottom w:val="single" w:sz="8" w:space="0" w:color="auto"/>
              <w:right w:val="single" w:sz="8" w:space="0" w:color="auto"/>
            </w:tcBorders>
          </w:tcPr>
          <w:p w14:paraId="7A84D91D" w14:textId="77777777" w:rsidR="00632208" w:rsidRPr="0098635C" w:rsidRDefault="00632208" w:rsidP="00A432B0">
            <w:pPr>
              <w:spacing w:after="0"/>
              <w:rPr>
                <w:color w:val="000000" w:themeColor="text1"/>
                <w:sz w:val="20"/>
                <w:szCs w:val="20"/>
              </w:rPr>
            </w:pPr>
            <w:r w:rsidRPr="0098635C">
              <w:rPr>
                <w:color w:val="000000" w:themeColor="text1"/>
                <w:sz w:val="20"/>
                <w:szCs w:val="20"/>
              </w:rPr>
              <w:t>Chlorella vulgaris</w:t>
            </w:r>
          </w:p>
        </w:tc>
        <w:tc>
          <w:tcPr>
            <w:tcW w:w="1701" w:type="dxa"/>
            <w:tcBorders>
              <w:top w:val="nil"/>
              <w:left w:val="nil"/>
              <w:bottom w:val="single" w:sz="8" w:space="0" w:color="auto"/>
              <w:right w:val="single" w:sz="8" w:space="0" w:color="auto"/>
            </w:tcBorders>
          </w:tcPr>
          <w:p w14:paraId="558A21F9"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10,000 c/ml</w:t>
            </w:r>
          </w:p>
        </w:tc>
        <w:tc>
          <w:tcPr>
            <w:tcW w:w="709" w:type="dxa"/>
            <w:tcBorders>
              <w:top w:val="nil"/>
              <w:left w:val="nil"/>
              <w:bottom w:val="single" w:sz="8" w:space="0" w:color="auto"/>
              <w:right w:val="single" w:sz="8" w:space="0" w:color="auto"/>
            </w:tcBorders>
          </w:tcPr>
          <w:p w14:paraId="2F4631CA" w14:textId="77777777" w:rsidR="00632208" w:rsidRPr="0098635C" w:rsidRDefault="00632208" w:rsidP="00A432B0">
            <w:pPr>
              <w:spacing w:after="0"/>
              <w:rPr>
                <w:color w:val="000000" w:themeColor="text1"/>
                <w:sz w:val="20"/>
                <w:szCs w:val="20"/>
              </w:rPr>
            </w:pPr>
            <w:r w:rsidRPr="0098635C">
              <w:rPr>
                <w:color w:val="000000" w:themeColor="text1"/>
                <w:sz w:val="20"/>
                <w:szCs w:val="20"/>
              </w:rPr>
              <w:t>3 d</w:t>
            </w:r>
          </w:p>
        </w:tc>
        <w:tc>
          <w:tcPr>
            <w:tcW w:w="1276" w:type="dxa"/>
            <w:tcBorders>
              <w:top w:val="nil"/>
              <w:left w:val="nil"/>
              <w:bottom w:val="single" w:sz="8" w:space="0" w:color="auto"/>
              <w:right w:val="single" w:sz="8" w:space="0" w:color="auto"/>
            </w:tcBorders>
          </w:tcPr>
          <w:p w14:paraId="32F0CE2D"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5B226C3D"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158.7</w:t>
            </w:r>
          </w:p>
        </w:tc>
        <w:tc>
          <w:tcPr>
            <w:tcW w:w="709" w:type="dxa"/>
            <w:tcBorders>
              <w:top w:val="nil"/>
              <w:left w:val="nil"/>
              <w:bottom w:val="single" w:sz="8" w:space="0" w:color="auto"/>
              <w:right w:val="single" w:sz="8" w:space="0" w:color="auto"/>
            </w:tcBorders>
          </w:tcPr>
          <w:p w14:paraId="529F3C79"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41DFBF68"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single" w:sz="8" w:space="0" w:color="auto"/>
              <w:right w:val="single" w:sz="8" w:space="0" w:color="auto"/>
            </w:tcBorders>
          </w:tcPr>
          <w:p w14:paraId="3FBEBD44" w14:textId="77777777" w:rsidR="00632208" w:rsidRPr="0098635C" w:rsidRDefault="00632208" w:rsidP="00A432B0">
            <w:pPr>
              <w:spacing w:after="0"/>
              <w:rPr>
                <w:color w:val="000000" w:themeColor="text1"/>
                <w:sz w:val="20"/>
                <w:szCs w:val="20"/>
              </w:rPr>
            </w:pPr>
            <w:r w:rsidRPr="0098635C">
              <w:rPr>
                <w:color w:val="000000" w:themeColor="text1"/>
                <w:sz w:val="20"/>
                <w:szCs w:val="20"/>
              </w:rPr>
              <w:t>T: 20°C; pH: 7.07; H: 25 mg/L CaCO3; DOC: 10.3 mg/L</w:t>
            </w:r>
          </w:p>
        </w:tc>
        <w:tc>
          <w:tcPr>
            <w:tcW w:w="1985" w:type="dxa"/>
            <w:tcBorders>
              <w:top w:val="nil"/>
              <w:left w:val="nil"/>
              <w:bottom w:val="single" w:sz="8" w:space="0" w:color="auto"/>
              <w:right w:val="single" w:sz="8" w:space="0" w:color="auto"/>
            </w:tcBorders>
          </w:tcPr>
          <w:p w14:paraId="136FB44B" w14:textId="77777777" w:rsidR="00632208" w:rsidRPr="0098635C" w:rsidRDefault="00632208" w:rsidP="00A432B0">
            <w:pPr>
              <w:spacing w:after="0"/>
              <w:rPr>
                <w:color w:val="000000" w:themeColor="text1"/>
                <w:sz w:val="20"/>
                <w:szCs w:val="20"/>
              </w:rPr>
            </w:pPr>
            <w:r w:rsidRPr="0098635C">
              <w:rPr>
                <w:color w:val="000000" w:themeColor="text1"/>
                <w:sz w:val="20"/>
                <w:szCs w:val="20"/>
              </w:rPr>
              <w:t>Reconstituted</w:t>
            </w:r>
          </w:p>
        </w:tc>
        <w:tc>
          <w:tcPr>
            <w:tcW w:w="2409" w:type="dxa"/>
            <w:tcBorders>
              <w:top w:val="nil"/>
              <w:left w:val="nil"/>
              <w:bottom w:val="single" w:sz="8" w:space="0" w:color="auto"/>
              <w:right w:val="double" w:sz="6" w:space="0" w:color="auto"/>
            </w:tcBorders>
          </w:tcPr>
          <w:p w14:paraId="3F646BE0"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De Schamphelaere et al., 2006 </w:t>
            </w:r>
          </w:p>
        </w:tc>
      </w:tr>
      <w:tr w:rsidR="00632208" w:rsidRPr="0098635C" w14:paraId="35A4386A" w14:textId="77777777" w:rsidTr="00A432B0">
        <w:trPr>
          <w:trHeight w:val="64"/>
        </w:trPr>
        <w:tc>
          <w:tcPr>
            <w:tcW w:w="1701" w:type="dxa"/>
            <w:tcBorders>
              <w:top w:val="nil"/>
              <w:left w:val="double" w:sz="6" w:space="0" w:color="auto"/>
              <w:bottom w:val="single" w:sz="8" w:space="0" w:color="auto"/>
              <w:right w:val="single" w:sz="8" w:space="0" w:color="auto"/>
            </w:tcBorders>
          </w:tcPr>
          <w:p w14:paraId="1C2C7758" w14:textId="77777777" w:rsidR="00632208" w:rsidRPr="0098635C" w:rsidRDefault="00632208" w:rsidP="00A432B0">
            <w:pPr>
              <w:spacing w:after="0"/>
              <w:rPr>
                <w:color w:val="000000" w:themeColor="text1"/>
                <w:sz w:val="20"/>
                <w:szCs w:val="20"/>
              </w:rPr>
            </w:pPr>
            <w:r w:rsidRPr="0098635C">
              <w:rPr>
                <w:color w:val="000000" w:themeColor="text1"/>
                <w:sz w:val="20"/>
                <w:szCs w:val="20"/>
              </w:rPr>
              <w:t>Chlorella vulgaris</w:t>
            </w:r>
          </w:p>
        </w:tc>
        <w:tc>
          <w:tcPr>
            <w:tcW w:w="1701" w:type="dxa"/>
            <w:tcBorders>
              <w:top w:val="nil"/>
              <w:left w:val="nil"/>
              <w:bottom w:val="single" w:sz="8" w:space="0" w:color="auto"/>
              <w:right w:val="single" w:sz="8" w:space="0" w:color="auto"/>
            </w:tcBorders>
          </w:tcPr>
          <w:p w14:paraId="70EB39DE"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10,000 c/ml</w:t>
            </w:r>
          </w:p>
        </w:tc>
        <w:tc>
          <w:tcPr>
            <w:tcW w:w="709" w:type="dxa"/>
            <w:tcBorders>
              <w:top w:val="nil"/>
              <w:left w:val="nil"/>
              <w:bottom w:val="single" w:sz="8" w:space="0" w:color="auto"/>
              <w:right w:val="single" w:sz="8" w:space="0" w:color="auto"/>
            </w:tcBorders>
          </w:tcPr>
          <w:p w14:paraId="0B17DDC2" w14:textId="77777777" w:rsidR="00632208" w:rsidRPr="0098635C" w:rsidRDefault="00632208" w:rsidP="00A432B0">
            <w:pPr>
              <w:spacing w:after="0"/>
              <w:rPr>
                <w:color w:val="000000" w:themeColor="text1"/>
                <w:sz w:val="20"/>
                <w:szCs w:val="20"/>
              </w:rPr>
            </w:pPr>
            <w:r w:rsidRPr="0098635C">
              <w:rPr>
                <w:color w:val="000000" w:themeColor="text1"/>
                <w:sz w:val="20"/>
                <w:szCs w:val="20"/>
              </w:rPr>
              <w:t>3 d</w:t>
            </w:r>
          </w:p>
        </w:tc>
        <w:tc>
          <w:tcPr>
            <w:tcW w:w="1276" w:type="dxa"/>
            <w:tcBorders>
              <w:top w:val="nil"/>
              <w:left w:val="nil"/>
              <w:bottom w:val="single" w:sz="8" w:space="0" w:color="auto"/>
              <w:right w:val="single" w:sz="8" w:space="0" w:color="auto"/>
            </w:tcBorders>
          </w:tcPr>
          <w:p w14:paraId="2DA3025E"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619E8E0A"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83.9</w:t>
            </w:r>
          </w:p>
        </w:tc>
        <w:tc>
          <w:tcPr>
            <w:tcW w:w="709" w:type="dxa"/>
            <w:tcBorders>
              <w:top w:val="nil"/>
              <w:left w:val="nil"/>
              <w:bottom w:val="single" w:sz="8" w:space="0" w:color="auto"/>
              <w:right w:val="single" w:sz="8" w:space="0" w:color="auto"/>
            </w:tcBorders>
          </w:tcPr>
          <w:p w14:paraId="1ABBF0D3"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3712844D"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single" w:sz="8" w:space="0" w:color="auto"/>
              <w:right w:val="single" w:sz="8" w:space="0" w:color="auto"/>
            </w:tcBorders>
          </w:tcPr>
          <w:p w14:paraId="5C6A59E9" w14:textId="77777777" w:rsidR="00632208" w:rsidRPr="0098635C" w:rsidRDefault="00632208" w:rsidP="00A432B0">
            <w:pPr>
              <w:spacing w:after="0"/>
              <w:rPr>
                <w:color w:val="000000" w:themeColor="text1"/>
                <w:sz w:val="20"/>
                <w:szCs w:val="20"/>
              </w:rPr>
            </w:pPr>
            <w:r w:rsidRPr="0098635C">
              <w:rPr>
                <w:color w:val="000000" w:themeColor="text1"/>
                <w:sz w:val="20"/>
                <w:szCs w:val="20"/>
              </w:rPr>
              <w:t>T: 20°C; pH: 7.03; H: 250 mg/L CaCO3; DOC: 10.8 mg/L</w:t>
            </w:r>
          </w:p>
        </w:tc>
        <w:tc>
          <w:tcPr>
            <w:tcW w:w="1985" w:type="dxa"/>
            <w:tcBorders>
              <w:top w:val="nil"/>
              <w:left w:val="nil"/>
              <w:bottom w:val="single" w:sz="8" w:space="0" w:color="auto"/>
              <w:right w:val="single" w:sz="8" w:space="0" w:color="auto"/>
            </w:tcBorders>
          </w:tcPr>
          <w:p w14:paraId="7708149C" w14:textId="77777777" w:rsidR="00632208" w:rsidRPr="0098635C" w:rsidRDefault="00632208" w:rsidP="00A432B0">
            <w:pPr>
              <w:spacing w:after="0"/>
              <w:rPr>
                <w:color w:val="000000" w:themeColor="text1"/>
                <w:sz w:val="20"/>
                <w:szCs w:val="20"/>
              </w:rPr>
            </w:pPr>
            <w:r w:rsidRPr="0098635C">
              <w:rPr>
                <w:color w:val="000000" w:themeColor="text1"/>
                <w:sz w:val="20"/>
                <w:szCs w:val="20"/>
              </w:rPr>
              <w:t>Reconstituted</w:t>
            </w:r>
          </w:p>
        </w:tc>
        <w:tc>
          <w:tcPr>
            <w:tcW w:w="2409" w:type="dxa"/>
            <w:tcBorders>
              <w:top w:val="nil"/>
              <w:left w:val="nil"/>
              <w:bottom w:val="single" w:sz="8" w:space="0" w:color="auto"/>
              <w:right w:val="double" w:sz="6" w:space="0" w:color="auto"/>
            </w:tcBorders>
          </w:tcPr>
          <w:p w14:paraId="0C0BA421"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De Schamphelaere et al., 2006 </w:t>
            </w:r>
          </w:p>
        </w:tc>
      </w:tr>
      <w:tr w:rsidR="00632208" w:rsidRPr="0098635C" w14:paraId="07C3365E" w14:textId="77777777" w:rsidTr="00A432B0">
        <w:trPr>
          <w:trHeight w:val="127"/>
        </w:trPr>
        <w:tc>
          <w:tcPr>
            <w:tcW w:w="1701" w:type="dxa"/>
            <w:tcBorders>
              <w:top w:val="nil"/>
              <w:left w:val="double" w:sz="6" w:space="0" w:color="auto"/>
              <w:bottom w:val="single" w:sz="8" w:space="0" w:color="auto"/>
              <w:right w:val="single" w:sz="8" w:space="0" w:color="auto"/>
            </w:tcBorders>
          </w:tcPr>
          <w:p w14:paraId="78151DB6" w14:textId="77777777" w:rsidR="00632208" w:rsidRPr="0098635C" w:rsidRDefault="00632208" w:rsidP="00A432B0">
            <w:pPr>
              <w:spacing w:after="0"/>
              <w:rPr>
                <w:color w:val="000000" w:themeColor="text1"/>
                <w:sz w:val="20"/>
                <w:szCs w:val="20"/>
              </w:rPr>
            </w:pPr>
            <w:r w:rsidRPr="0098635C">
              <w:rPr>
                <w:color w:val="000000" w:themeColor="text1"/>
                <w:sz w:val="20"/>
                <w:szCs w:val="20"/>
              </w:rPr>
              <w:t>Chlorella vulgaris</w:t>
            </w:r>
          </w:p>
        </w:tc>
        <w:tc>
          <w:tcPr>
            <w:tcW w:w="1701" w:type="dxa"/>
            <w:tcBorders>
              <w:top w:val="nil"/>
              <w:left w:val="nil"/>
              <w:bottom w:val="single" w:sz="8" w:space="0" w:color="auto"/>
              <w:right w:val="single" w:sz="8" w:space="0" w:color="auto"/>
            </w:tcBorders>
          </w:tcPr>
          <w:p w14:paraId="5D21BBD6"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10,000 c/ml</w:t>
            </w:r>
          </w:p>
        </w:tc>
        <w:tc>
          <w:tcPr>
            <w:tcW w:w="709" w:type="dxa"/>
            <w:tcBorders>
              <w:top w:val="nil"/>
              <w:left w:val="nil"/>
              <w:bottom w:val="single" w:sz="8" w:space="0" w:color="auto"/>
              <w:right w:val="single" w:sz="8" w:space="0" w:color="auto"/>
            </w:tcBorders>
          </w:tcPr>
          <w:p w14:paraId="722FF028" w14:textId="77777777" w:rsidR="00632208" w:rsidRPr="0098635C" w:rsidRDefault="00632208" w:rsidP="00A432B0">
            <w:pPr>
              <w:spacing w:after="0"/>
              <w:rPr>
                <w:color w:val="000000" w:themeColor="text1"/>
                <w:sz w:val="20"/>
                <w:szCs w:val="20"/>
              </w:rPr>
            </w:pPr>
            <w:r w:rsidRPr="0098635C">
              <w:rPr>
                <w:color w:val="000000" w:themeColor="text1"/>
                <w:sz w:val="20"/>
                <w:szCs w:val="20"/>
              </w:rPr>
              <w:t>3 d</w:t>
            </w:r>
          </w:p>
        </w:tc>
        <w:tc>
          <w:tcPr>
            <w:tcW w:w="1276" w:type="dxa"/>
            <w:tcBorders>
              <w:top w:val="nil"/>
              <w:left w:val="nil"/>
              <w:bottom w:val="single" w:sz="8" w:space="0" w:color="auto"/>
              <w:right w:val="single" w:sz="8" w:space="0" w:color="auto"/>
            </w:tcBorders>
          </w:tcPr>
          <w:p w14:paraId="341D328E"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5F294D85"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132.3</w:t>
            </w:r>
          </w:p>
        </w:tc>
        <w:tc>
          <w:tcPr>
            <w:tcW w:w="709" w:type="dxa"/>
            <w:tcBorders>
              <w:top w:val="nil"/>
              <w:left w:val="nil"/>
              <w:bottom w:val="single" w:sz="8" w:space="0" w:color="auto"/>
              <w:right w:val="single" w:sz="8" w:space="0" w:color="auto"/>
            </w:tcBorders>
          </w:tcPr>
          <w:p w14:paraId="4E8FE2A6"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00F6D366"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single" w:sz="8" w:space="0" w:color="auto"/>
              <w:right w:val="single" w:sz="8" w:space="0" w:color="auto"/>
            </w:tcBorders>
          </w:tcPr>
          <w:p w14:paraId="1818A269" w14:textId="77777777" w:rsidR="00632208" w:rsidRPr="0098635C" w:rsidRDefault="00632208" w:rsidP="00A432B0">
            <w:pPr>
              <w:spacing w:after="0"/>
              <w:rPr>
                <w:color w:val="000000" w:themeColor="text1"/>
                <w:sz w:val="20"/>
                <w:szCs w:val="20"/>
              </w:rPr>
            </w:pPr>
            <w:r w:rsidRPr="0098635C">
              <w:rPr>
                <w:color w:val="000000" w:themeColor="text1"/>
                <w:sz w:val="20"/>
                <w:szCs w:val="20"/>
              </w:rPr>
              <w:t>T: 20°C; pH: 7.04; H: 250 mg/L CaCO3; DOC: 10.2 mg/L</w:t>
            </w:r>
          </w:p>
        </w:tc>
        <w:tc>
          <w:tcPr>
            <w:tcW w:w="1985" w:type="dxa"/>
            <w:tcBorders>
              <w:top w:val="nil"/>
              <w:left w:val="nil"/>
              <w:bottom w:val="single" w:sz="8" w:space="0" w:color="auto"/>
              <w:right w:val="single" w:sz="8" w:space="0" w:color="auto"/>
            </w:tcBorders>
          </w:tcPr>
          <w:p w14:paraId="041B4C06" w14:textId="77777777" w:rsidR="00632208" w:rsidRPr="0098635C" w:rsidRDefault="00632208" w:rsidP="00A432B0">
            <w:pPr>
              <w:spacing w:after="0"/>
              <w:rPr>
                <w:color w:val="000000" w:themeColor="text1"/>
                <w:sz w:val="20"/>
                <w:szCs w:val="20"/>
              </w:rPr>
            </w:pPr>
            <w:r w:rsidRPr="0098635C">
              <w:rPr>
                <w:color w:val="000000" w:themeColor="text1"/>
                <w:sz w:val="20"/>
                <w:szCs w:val="20"/>
              </w:rPr>
              <w:t>Reconstituted</w:t>
            </w:r>
          </w:p>
        </w:tc>
        <w:tc>
          <w:tcPr>
            <w:tcW w:w="2409" w:type="dxa"/>
            <w:tcBorders>
              <w:top w:val="nil"/>
              <w:left w:val="nil"/>
              <w:bottom w:val="single" w:sz="8" w:space="0" w:color="auto"/>
              <w:right w:val="double" w:sz="6" w:space="0" w:color="auto"/>
            </w:tcBorders>
          </w:tcPr>
          <w:p w14:paraId="264031CC"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De Schamphelaere et al., 2006 </w:t>
            </w:r>
          </w:p>
        </w:tc>
      </w:tr>
      <w:tr w:rsidR="00632208" w:rsidRPr="0098635C" w14:paraId="33102AE3" w14:textId="77777777" w:rsidTr="00A432B0">
        <w:trPr>
          <w:trHeight w:val="64"/>
        </w:trPr>
        <w:tc>
          <w:tcPr>
            <w:tcW w:w="1701" w:type="dxa"/>
            <w:tcBorders>
              <w:top w:val="nil"/>
              <w:left w:val="double" w:sz="6" w:space="0" w:color="auto"/>
              <w:bottom w:val="single" w:sz="8" w:space="0" w:color="auto"/>
              <w:right w:val="single" w:sz="8" w:space="0" w:color="auto"/>
            </w:tcBorders>
          </w:tcPr>
          <w:p w14:paraId="67096869" w14:textId="77777777" w:rsidR="00632208" w:rsidRPr="0098635C" w:rsidRDefault="00632208" w:rsidP="00A432B0">
            <w:pPr>
              <w:spacing w:after="0"/>
              <w:rPr>
                <w:color w:val="000000" w:themeColor="text1"/>
                <w:sz w:val="20"/>
                <w:szCs w:val="20"/>
              </w:rPr>
            </w:pPr>
            <w:r w:rsidRPr="0098635C">
              <w:rPr>
                <w:color w:val="000000" w:themeColor="text1"/>
                <w:sz w:val="20"/>
                <w:szCs w:val="20"/>
              </w:rPr>
              <w:t>Pseudokirchneriella subcapitata</w:t>
            </w:r>
          </w:p>
        </w:tc>
        <w:tc>
          <w:tcPr>
            <w:tcW w:w="1701" w:type="dxa"/>
            <w:tcBorders>
              <w:top w:val="nil"/>
              <w:left w:val="nil"/>
              <w:bottom w:val="single" w:sz="8" w:space="0" w:color="auto"/>
              <w:right w:val="single" w:sz="8" w:space="0" w:color="auto"/>
            </w:tcBorders>
          </w:tcPr>
          <w:p w14:paraId="6EF76570"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10,000 c/ml</w:t>
            </w:r>
          </w:p>
        </w:tc>
        <w:tc>
          <w:tcPr>
            <w:tcW w:w="709" w:type="dxa"/>
            <w:tcBorders>
              <w:top w:val="nil"/>
              <w:left w:val="nil"/>
              <w:bottom w:val="single" w:sz="8" w:space="0" w:color="auto"/>
              <w:right w:val="single" w:sz="8" w:space="0" w:color="auto"/>
            </w:tcBorders>
          </w:tcPr>
          <w:p w14:paraId="23FB6164" w14:textId="77777777" w:rsidR="00632208" w:rsidRPr="0098635C" w:rsidRDefault="00632208" w:rsidP="00A432B0">
            <w:pPr>
              <w:spacing w:after="0"/>
              <w:rPr>
                <w:color w:val="000000" w:themeColor="text1"/>
                <w:sz w:val="20"/>
                <w:szCs w:val="20"/>
              </w:rPr>
            </w:pPr>
            <w:r w:rsidRPr="0098635C">
              <w:rPr>
                <w:color w:val="000000" w:themeColor="text1"/>
                <w:sz w:val="20"/>
                <w:szCs w:val="20"/>
              </w:rPr>
              <w:t>3 d</w:t>
            </w:r>
          </w:p>
        </w:tc>
        <w:tc>
          <w:tcPr>
            <w:tcW w:w="1276" w:type="dxa"/>
            <w:tcBorders>
              <w:top w:val="nil"/>
              <w:left w:val="nil"/>
              <w:bottom w:val="single" w:sz="8" w:space="0" w:color="auto"/>
              <w:right w:val="single" w:sz="8" w:space="0" w:color="auto"/>
            </w:tcBorders>
          </w:tcPr>
          <w:p w14:paraId="7DD3FBC9"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486F52A4"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52.9</w:t>
            </w:r>
          </w:p>
        </w:tc>
        <w:tc>
          <w:tcPr>
            <w:tcW w:w="709" w:type="dxa"/>
            <w:tcBorders>
              <w:top w:val="nil"/>
              <w:left w:val="nil"/>
              <w:bottom w:val="single" w:sz="8" w:space="0" w:color="auto"/>
              <w:right w:val="single" w:sz="8" w:space="0" w:color="auto"/>
            </w:tcBorders>
          </w:tcPr>
          <w:p w14:paraId="71C24AE5"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45C033EB"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single" w:sz="8" w:space="0" w:color="auto"/>
              <w:right w:val="single" w:sz="8" w:space="0" w:color="auto"/>
            </w:tcBorders>
          </w:tcPr>
          <w:p w14:paraId="79949A9B" w14:textId="77777777" w:rsidR="00632208" w:rsidRPr="0098635C" w:rsidRDefault="00632208" w:rsidP="00A432B0">
            <w:pPr>
              <w:spacing w:after="0"/>
              <w:rPr>
                <w:color w:val="000000" w:themeColor="text1"/>
                <w:sz w:val="20"/>
                <w:szCs w:val="20"/>
              </w:rPr>
            </w:pPr>
            <w:r w:rsidRPr="0098635C">
              <w:rPr>
                <w:color w:val="000000" w:themeColor="text1"/>
                <w:sz w:val="20"/>
                <w:szCs w:val="20"/>
              </w:rPr>
              <w:t>T: 23°C; pH: 6.31; H: 10.0 mg/L CaCO3; DOC: 2.72 mg/L</w:t>
            </w:r>
          </w:p>
        </w:tc>
        <w:tc>
          <w:tcPr>
            <w:tcW w:w="1985" w:type="dxa"/>
            <w:tcBorders>
              <w:top w:val="nil"/>
              <w:left w:val="nil"/>
              <w:bottom w:val="single" w:sz="8" w:space="0" w:color="auto"/>
              <w:right w:val="single" w:sz="8" w:space="0" w:color="auto"/>
            </w:tcBorders>
          </w:tcPr>
          <w:p w14:paraId="54FC1D26" w14:textId="77777777" w:rsidR="00632208" w:rsidRPr="0098635C" w:rsidRDefault="00632208" w:rsidP="00A432B0">
            <w:pPr>
              <w:spacing w:after="0"/>
              <w:rPr>
                <w:color w:val="000000" w:themeColor="text1"/>
                <w:sz w:val="20"/>
                <w:szCs w:val="20"/>
              </w:rPr>
            </w:pPr>
            <w:r w:rsidRPr="0098635C">
              <w:rPr>
                <w:color w:val="000000" w:themeColor="text1"/>
                <w:sz w:val="20"/>
                <w:szCs w:val="20"/>
              </w:rPr>
              <w:t>Lake</w:t>
            </w:r>
          </w:p>
        </w:tc>
        <w:tc>
          <w:tcPr>
            <w:tcW w:w="2409" w:type="dxa"/>
            <w:tcBorders>
              <w:top w:val="nil"/>
              <w:left w:val="nil"/>
              <w:bottom w:val="single" w:sz="8" w:space="0" w:color="auto"/>
              <w:right w:val="double" w:sz="6" w:space="0" w:color="auto"/>
            </w:tcBorders>
          </w:tcPr>
          <w:p w14:paraId="66F729EC"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Heijerick et al., 2002 </w:t>
            </w:r>
          </w:p>
        </w:tc>
      </w:tr>
      <w:tr w:rsidR="00632208" w:rsidRPr="0098635C" w14:paraId="4AAA1932" w14:textId="77777777" w:rsidTr="00A432B0">
        <w:trPr>
          <w:trHeight w:val="263"/>
        </w:trPr>
        <w:tc>
          <w:tcPr>
            <w:tcW w:w="1701" w:type="dxa"/>
            <w:tcBorders>
              <w:top w:val="nil"/>
              <w:left w:val="double" w:sz="6" w:space="0" w:color="auto"/>
              <w:bottom w:val="single" w:sz="8" w:space="0" w:color="auto"/>
              <w:right w:val="single" w:sz="8" w:space="0" w:color="auto"/>
            </w:tcBorders>
          </w:tcPr>
          <w:p w14:paraId="0E4A0C60" w14:textId="77777777" w:rsidR="00632208" w:rsidRPr="0098635C" w:rsidRDefault="00632208" w:rsidP="00A432B0">
            <w:pPr>
              <w:spacing w:after="0"/>
              <w:rPr>
                <w:color w:val="000000" w:themeColor="text1"/>
                <w:sz w:val="20"/>
                <w:szCs w:val="20"/>
              </w:rPr>
            </w:pPr>
            <w:r w:rsidRPr="0098635C">
              <w:rPr>
                <w:color w:val="000000" w:themeColor="text1"/>
                <w:sz w:val="20"/>
                <w:szCs w:val="20"/>
              </w:rPr>
              <w:t>Pseudokirchneriella subcapitata</w:t>
            </w:r>
          </w:p>
        </w:tc>
        <w:tc>
          <w:tcPr>
            <w:tcW w:w="1701" w:type="dxa"/>
            <w:tcBorders>
              <w:top w:val="nil"/>
              <w:left w:val="nil"/>
              <w:bottom w:val="single" w:sz="8" w:space="0" w:color="auto"/>
              <w:right w:val="single" w:sz="8" w:space="0" w:color="auto"/>
            </w:tcBorders>
          </w:tcPr>
          <w:p w14:paraId="49C98468"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10,000 c/ml</w:t>
            </w:r>
          </w:p>
        </w:tc>
        <w:tc>
          <w:tcPr>
            <w:tcW w:w="709" w:type="dxa"/>
            <w:tcBorders>
              <w:top w:val="nil"/>
              <w:left w:val="nil"/>
              <w:bottom w:val="single" w:sz="8" w:space="0" w:color="auto"/>
              <w:right w:val="single" w:sz="8" w:space="0" w:color="auto"/>
            </w:tcBorders>
          </w:tcPr>
          <w:p w14:paraId="52E97933" w14:textId="77777777" w:rsidR="00632208" w:rsidRPr="0098635C" w:rsidRDefault="00632208" w:rsidP="00A432B0">
            <w:pPr>
              <w:spacing w:after="0"/>
              <w:rPr>
                <w:color w:val="000000" w:themeColor="text1"/>
                <w:sz w:val="20"/>
                <w:szCs w:val="20"/>
              </w:rPr>
            </w:pPr>
            <w:r w:rsidRPr="0098635C">
              <w:rPr>
                <w:color w:val="000000" w:themeColor="text1"/>
                <w:sz w:val="20"/>
                <w:szCs w:val="20"/>
              </w:rPr>
              <w:t>3 d</w:t>
            </w:r>
          </w:p>
        </w:tc>
        <w:tc>
          <w:tcPr>
            <w:tcW w:w="1276" w:type="dxa"/>
            <w:tcBorders>
              <w:top w:val="nil"/>
              <w:left w:val="nil"/>
              <w:bottom w:val="single" w:sz="8" w:space="0" w:color="auto"/>
              <w:right w:val="single" w:sz="8" w:space="0" w:color="auto"/>
            </w:tcBorders>
          </w:tcPr>
          <w:p w14:paraId="61DB7730"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3B78483A"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61.8</w:t>
            </w:r>
          </w:p>
        </w:tc>
        <w:tc>
          <w:tcPr>
            <w:tcW w:w="709" w:type="dxa"/>
            <w:tcBorders>
              <w:top w:val="nil"/>
              <w:left w:val="nil"/>
              <w:bottom w:val="single" w:sz="8" w:space="0" w:color="auto"/>
              <w:right w:val="single" w:sz="8" w:space="0" w:color="auto"/>
            </w:tcBorders>
          </w:tcPr>
          <w:p w14:paraId="1077A01B"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5845E6C7"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single" w:sz="8" w:space="0" w:color="auto"/>
              <w:right w:val="single" w:sz="8" w:space="0" w:color="auto"/>
            </w:tcBorders>
          </w:tcPr>
          <w:p w14:paraId="0CB33843" w14:textId="77777777" w:rsidR="00632208" w:rsidRPr="0098635C" w:rsidRDefault="00632208" w:rsidP="00A432B0">
            <w:pPr>
              <w:spacing w:after="0"/>
              <w:rPr>
                <w:color w:val="000000" w:themeColor="text1"/>
                <w:sz w:val="20"/>
                <w:szCs w:val="20"/>
              </w:rPr>
            </w:pPr>
            <w:r w:rsidRPr="0098635C">
              <w:rPr>
                <w:color w:val="000000" w:themeColor="text1"/>
                <w:sz w:val="20"/>
                <w:szCs w:val="20"/>
              </w:rPr>
              <w:t>T: 23°C; pH: 6.1; H: 12.4 mg/L CaCO3; DOC: 2.34 mg/L</w:t>
            </w:r>
          </w:p>
        </w:tc>
        <w:tc>
          <w:tcPr>
            <w:tcW w:w="1985" w:type="dxa"/>
            <w:tcBorders>
              <w:top w:val="nil"/>
              <w:left w:val="nil"/>
              <w:bottom w:val="single" w:sz="8" w:space="0" w:color="auto"/>
              <w:right w:val="single" w:sz="8" w:space="0" w:color="auto"/>
            </w:tcBorders>
          </w:tcPr>
          <w:p w14:paraId="52821F41" w14:textId="77777777" w:rsidR="00632208" w:rsidRPr="0098635C" w:rsidRDefault="00632208" w:rsidP="00A432B0">
            <w:pPr>
              <w:spacing w:after="0"/>
              <w:rPr>
                <w:color w:val="000000" w:themeColor="text1"/>
                <w:sz w:val="20"/>
                <w:szCs w:val="20"/>
              </w:rPr>
            </w:pPr>
            <w:r w:rsidRPr="0098635C">
              <w:rPr>
                <w:color w:val="000000" w:themeColor="text1"/>
                <w:sz w:val="20"/>
                <w:szCs w:val="20"/>
              </w:rPr>
              <w:t>Lake</w:t>
            </w:r>
          </w:p>
        </w:tc>
        <w:tc>
          <w:tcPr>
            <w:tcW w:w="2409" w:type="dxa"/>
            <w:tcBorders>
              <w:top w:val="nil"/>
              <w:left w:val="nil"/>
              <w:bottom w:val="single" w:sz="8" w:space="0" w:color="auto"/>
              <w:right w:val="double" w:sz="6" w:space="0" w:color="auto"/>
            </w:tcBorders>
          </w:tcPr>
          <w:p w14:paraId="64F5F44D"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Heijerick et al., 2002 </w:t>
            </w:r>
          </w:p>
        </w:tc>
      </w:tr>
      <w:tr w:rsidR="00632208" w:rsidRPr="0098635C" w14:paraId="5B3A4C05" w14:textId="77777777" w:rsidTr="00A432B0">
        <w:trPr>
          <w:trHeight w:val="147"/>
        </w:trPr>
        <w:tc>
          <w:tcPr>
            <w:tcW w:w="1701" w:type="dxa"/>
            <w:tcBorders>
              <w:top w:val="nil"/>
              <w:left w:val="double" w:sz="6" w:space="0" w:color="auto"/>
              <w:bottom w:val="single" w:sz="8" w:space="0" w:color="auto"/>
              <w:right w:val="single" w:sz="8" w:space="0" w:color="auto"/>
            </w:tcBorders>
          </w:tcPr>
          <w:p w14:paraId="7A956A3A" w14:textId="77777777" w:rsidR="00632208" w:rsidRPr="0098635C" w:rsidRDefault="00632208" w:rsidP="00A432B0">
            <w:pPr>
              <w:spacing w:after="0"/>
              <w:rPr>
                <w:color w:val="000000" w:themeColor="text1"/>
                <w:sz w:val="20"/>
                <w:szCs w:val="20"/>
              </w:rPr>
            </w:pPr>
            <w:r w:rsidRPr="0098635C">
              <w:rPr>
                <w:color w:val="000000" w:themeColor="text1"/>
                <w:sz w:val="20"/>
                <w:szCs w:val="20"/>
              </w:rPr>
              <w:t>Pseudokirchneriella subcapitata</w:t>
            </w:r>
          </w:p>
        </w:tc>
        <w:tc>
          <w:tcPr>
            <w:tcW w:w="1701" w:type="dxa"/>
            <w:tcBorders>
              <w:top w:val="nil"/>
              <w:left w:val="nil"/>
              <w:bottom w:val="single" w:sz="8" w:space="0" w:color="auto"/>
              <w:right w:val="single" w:sz="8" w:space="0" w:color="auto"/>
            </w:tcBorders>
          </w:tcPr>
          <w:p w14:paraId="511935D2"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10,000 c/ml</w:t>
            </w:r>
          </w:p>
        </w:tc>
        <w:tc>
          <w:tcPr>
            <w:tcW w:w="709" w:type="dxa"/>
            <w:tcBorders>
              <w:top w:val="nil"/>
              <w:left w:val="nil"/>
              <w:bottom w:val="single" w:sz="8" w:space="0" w:color="auto"/>
              <w:right w:val="single" w:sz="8" w:space="0" w:color="auto"/>
            </w:tcBorders>
          </w:tcPr>
          <w:p w14:paraId="4F3291C7" w14:textId="77777777" w:rsidR="00632208" w:rsidRPr="0098635C" w:rsidRDefault="00632208" w:rsidP="00A432B0">
            <w:pPr>
              <w:spacing w:after="0"/>
              <w:rPr>
                <w:color w:val="000000" w:themeColor="text1"/>
                <w:sz w:val="20"/>
                <w:szCs w:val="20"/>
              </w:rPr>
            </w:pPr>
            <w:r w:rsidRPr="0098635C">
              <w:rPr>
                <w:color w:val="000000" w:themeColor="text1"/>
                <w:sz w:val="20"/>
                <w:szCs w:val="20"/>
              </w:rPr>
              <w:t>3 d</w:t>
            </w:r>
          </w:p>
        </w:tc>
        <w:tc>
          <w:tcPr>
            <w:tcW w:w="1276" w:type="dxa"/>
            <w:tcBorders>
              <w:top w:val="nil"/>
              <w:left w:val="nil"/>
              <w:bottom w:val="single" w:sz="8" w:space="0" w:color="auto"/>
              <w:right w:val="single" w:sz="8" w:space="0" w:color="auto"/>
            </w:tcBorders>
          </w:tcPr>
          <w:p w14:paraId="620F6CFC"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04D4FCC2"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94.7</w:t>
            </w:r>
          </w:p>
        </w:tc>
        <w:tc>
          <w:tcPr>
            <w:tcW w:w="709" w:type="dxa"/>
            <w:tcBorders>
              <w:top w:val="nil"/>
              <w:left w:val="nil"/>
              <w:bottom w:val="single" w:sz="8" w:space="0" w:color="auto"/>
              <w:right w:val="single" w:sz="8" w:space="0" w:color="auto"/>
            </w:tcBorders>
          </w:tcPr>
          <w:p w14:paraId="79F13F97"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37218F00"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single" w:sz="8" w:space="0" w:color="auto"/>
              <w:right w:val="single" w:sz="8" w:space="0" w:color="auto"/>
            </w:tcBorders>
          </w:tcPr>
          <w:p w14:paraId="1D77B251" w14:textId="77777777" w:rsidR="00632208" w:rsidRPr="0098635C" w:rsidRDefault="00632208" w:rsidP="00A432B0">
            <w:pPr>
              <w:spacing w:after="0"/>
              <w:rPr>
                <w:color w:val="000000" w:themeColor="text1"/>
                <w:sz w:val="20"/>
                <w:szCs w:val="20"/>
              </w:rPr>
            </w:pPr>
            <w:r w:rsidRPr="0098635C">
              <w:rPr>
                <w:color w:val="000000" w:themeColor="text1"/>
                <w:sz w:val="20"/>
                <w:szCs w:val="20"/>
              </w:rPr>
              <w:t>T: 23°C; pH: 5.52; H: 7.9 mg/L CaCO3; DOC: 10.3 mg/L</w:t>
            </w:r>
          </w:p>
        </w:tc>
        <w:tc>
          <w:tcPr>
            <w:tcW w:w="1985" w:type="dxa"/>
            <w:tcBorders>
              <w:top w:val="nil"/>
              <w:left w:val="nil"/>
              <w:bottom w:val="single" w:sz="8" w:space="0" w:color="auto"/>
              <w:right w:val="single" w:sz="8" w:space="0" w:color="auto"/>
            </w:tcBorders>
          </w:tcPr>
          <w:p w14:paraId="14009390" w14:textId="77777777" w:rsidR="00632208" w:rsidRPr="0098635C" w:rsidRDefault="00632208" w:rsidP="00A432B0">
            <w:pPr>
              <w:spacing w:after="0"/>
              <w:rPr>
                <w:color w:val="000000" w:themeColor="text1"/>
                <w:sz w:val="20"/>
                <w:szCs w:val="20"/>
              </w:rPr>
            </w:pPr>
            <w:r w:rsidRPr="0098635C">
              <w:rPr>
                <w:color w:val="000000" w:themeColor="text1"/>
                <w:sz w:val="20"/>
                <w:szCs w:val="20"/>
              </w:rPr>
              <w:t>Lake</w:t>
            </w:r>
          </w:p>
        </w:tc>
        <w:tc>
          <w:tcPr>
            <w:tcW w:w="2409" w:type="dxa"/>
            <w:tcBorders>
              <w:top w:val="nil"/>
              <w:left w:val="nil"/>
              <w:bottom w:val="single" w:sz="8" w:space="0" w:color="auto"/>
              <w:right w:val="double" w:sz="6" w:space="0" w:color="auto"/>
            </w:tcBorders>
          </w:tcPr>
          <w:p w14:paraId="7529AF62"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Heijerick et al., 2002 </w:t>
            </w:r>
          </w:p>
        </w:tc>
      </w:tr>
      <w:tr w:rsidR="00632208" w:rsidRPr="0098635C" w14:paraId="5512B95D" w14:textId="77777777" w:rsidTr="00A432B0">
        <w:trPr>
          <w:trHeight w:val="64"/>
        </w:trPr>
        <w:tc>
          <w:tcPr>
            <w:tcW w:w="1701" w:type="dxa"/>
            <w:tcBorders>
              <w:top w:val="nil"/>
              <w:left w:val="double" w:sz="6" w:space="0" w:color="auto"/>
              <w:bottom w:val="single" w:sz="8" w:space="0" w:color="auto"/>
              <w:right w:val="single" w:sz="8" w:space="0" w:color="auto"/>
            </w:tcBorders>
          </w:tcPr>
          <w:p w14:paraId="66833AC0" w14:textId="77777777" w:rsidR="00632208" w:rsidRPr="0098635C" w:rsidRDefault="00632208" w:rsidP="00A432B0">
            <w:pPr>
              <w:spacing w:after="0"/>
              <w:rPr>
                <w:color w:val="000000" w:themeColor="text1"/>
                <w:sz w:val="20"/>
                <w:szCs w:val="20"/>
              </w:rPr>
            </w:pPr>
            <w:r w:rsidRPr="0098635C">
              <w:rPr>
                <w:color w:val="000000" w:themeColor="text1"/>
                <w:sz w:val="20"/>
                <w:szCs w:val="20"/>
              </w:rPr>
              <w:t>Pseudokirchneriella subcapitata</w:t>
            </w:r>
          </w:p>
        </w:tc>
        <w:tc>
          <w:tcPr>
            <w:tcW w:w="1701" w:type="dxa"/>
            <w:tcBorders>
              <w:top w:val="nil"/>
              <w:left w:val="nil"/>
              <w:bottom w:val="single" w:sz="8" w:space="0" w:color="auto"/>
              <w:right w:val="single" w:sz="8" w:space="0" w:color="auto"/>
            </w:tcBorders>
          </w:tcPr>
          <w:p w14:paraId="5371B6E8"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10,000 c/ml</w:t>
            </w:r>
          </w:p>
        </w:tc>
        <w:tc>
          <w:tcPr>
            <w:tcW w:w="709" w:type="dxa"/>
            <w:tcBorders>
              <w:top w:val="nil"/>
              <w:left w:val="nil"/>
              <w:bottom w:val="single" w:sz="8" w:space="0" w:color="auto"/>
              <w:right w:val="single" w:sz="8" w:space="0" w:color="auto"/>
            </w:tcBorders>
          </w:tcPr>
          <w:p w14:paraId="4C82D658" w14:textId="77777777" w:rsidR="00632208" w:rsidRPr="0098635C" w:rsidRDefault="00632208" w:rsidP="00A432B0">
            <w:pPr>
              <w:spacing w:after="0"/>
              <w:rPr>
                <w:color w:val="000000" w:themeColor="text1"/>
                <w:sz w:val="20"/>
                <w:szCs w:val="20"/>
              </w:rPr>
            </w:pPr>
            <w:r w:rsidRPr="0098635C">
              <w:rPr>
                <w:color w:val="000000" w:themeColor="text1"/>
                <w:sz w:val="20"/>
                <w:szCs w:val="20"/>
              </w:rPr>
              <w:t>3 d</w:t>
            </w:r>
          </w:p>
        </w:tc>
        <w:tc>
          <w:tcPr>
            <w:tcW w:w="1276" w:type="dxa"/>
            <w:tcBorders>
              <w:top w:val="nil"/>
              <w:left w:val="nil"/>
              <w:bottom w:val="single" w:sz="8" w:space="0" w:color="auto"/>
              <w:right w:val="single" w:sz="8" w:space="0" w:color="auto"/>
            </w:tcBorders>
          </w:tcPr>
          <w:p w14:paraId="5265D5AB"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27C2E9F3"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17.9</w:t>
            </w:r>
          </w:p>
        </w:tc>
        <w:tc>
          <w:tcPr>
            <w:tcW w:w="709" w:type="dxa"/>
            <w:tcBorders>
              <w:top w:val="nil"/>
              <w:left w:val="nil"/>
              <w:bottom w:val="single" w:sz="8" w:space="0" w:color="auto"/>
              <w:right w:val="single" w:sz="8" w:space="0" w:color="auto"/>
            </w:tcBorders>
          </w:tcPr>
          <w:p w14:paraId="7B95C72C"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3C06D028"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single" w:sz="8" w:space="0" w:color="auto"/>
              <w:right w:val="single" w:sz="8" w:space="0" w:color="auto"/>
            </w:tcBorders>
          </w:tcPr>
          <w:p w14:paraId="6C6C5B08" w14:textId="77777777" w:rsidR="00632208" w:rsidRPr="0098635C" w:rsidRDefault="00632208" w:rsidP="00A432B0">
            <w:pPr>
              <w:spacing w:after="0"/>
              <w:rPr>
                <w:color w:val="000000" w:themeColor="text1"/>
                <w:sz w:val="20"/>
                <w:szCs w:val="20"/>
              </w:rPr>
            </w:pPr>
            <w:r w:rsidRPr="0098635C">
              <w:rPr>
                <w:color w:val="000000" w:themeColor="text1"/>
                <w:sz w:val="20"/>
                <w:szCs w:val="20"/>
              </w:rPr>
              <w:t>T 23°C; pH: 8.23; H: 48.7 mg/L CaCO3; DOC: 2.52 mg/L</w:t>
            </w:r>
          </w:p>
        </w:tc>
        <w:tc>
          <w:tcPr>
            <w:tcW w:w="1985" w:type="dxa"/>
            <w:tcBorders>
              <w:top w:val="nil"/>
              <w:left w:val="nil"/>
              <w:bottom w:val="single" w:sz="8" w:space="0" w:color="auto"/>
              <w:right w:val="single" w:sz="8" w:space="0" w:color="auto"/>
            </w:tcBorders>
          </w:tcPr>
          <w:p w14:paraId="13ED2D35" w14:textId="77777777" w:rsidR="00632208" w:rsidRPr="0098635C" w:rsidRDefault="00632208" w:rsidP="00A432B0">
            <w:pPr>
              <w:spacing w:after="0"/>
              <w:rPr>
                <w:color w:val="000000" w:themeColor="text1"/>
                <w:sz w:val="20"/>
                <w:szCs w:val="20"/>
              </w:rPr>
            </w:pPr>
            <w:r w:rsidRPr="0098635C">
              <w:rPr>
                <w:color w:val="000000" w:themeColor="text1"/>
                <w:sz w:val="20"/>
                <w:szCs w:val="20"/>
              </w:rPr>
              <w:t>Lake</w:t>
            </w:r>
          </w:p>
        </w:tc>
        <w:tc>
          <w:tcPr>
            <w:tcW w:w="2409" w:type="dxa"/>
            <w:tcBorders>
              <w:top w:val="nil"/>
              <w:left w:val="nil"/>
              <w:bottom w:val="single" w:sz="8" w:space="0" w:color="auto"/>
              <w:right w:val="double" w:sz="6" w:space="0" w:color="auto"/>
            </w:tcBorders>
          </w:tcPr>
          <w:p w14:paraId="0CEC01EE"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Heijerick et al., 2002 </w:t>
            </w:r>
          </w:p>
        </w:tc>
      </w:tr>
      <w:tr w:rsidR="00632208" w:rsidRPr="0098635C" w14:paraId="03600C95" w14:textId="77777777" w:rsidTr="00A432B0">
        <w:trPr>
          <w:trHeight w:val="64"/>
        </w:trPr>
        <w:tc>
          <w:tcPr>
            <w:tcW w:w="1701" w:type="dxa"/>
            <w:tcBorders>
              <w:top w:val="nil"/>
              <w:left w:val="double" w:sz="6" w:space="0" w:color="auto"/>
              <w:bottom w:val="single" w:sz="8" w:space="0" w:color="auto"/>
              <w:right w:val="single" w:sz="8" w:space="0" w:color="auto"/>
            </w:tcBorders>
          </w:tcPr>
          <w:p w14:paraId="4A5DFD93" w14:textId="77777777" w:rsidR="00632208" w:rsidRPr="0098635C" w:rsidRDefault="00632208" w:rsidP="00A432B0">
            <w:pPr>
              <w:spacing w:after="0"/>
              <w:rPr>
                <w:color w:val="000000" w:themeColor="text1"/>
                <w:sz w:val="20"/>
                <w:szCs w:val="20"/>
              </w:rPr>
            </w:pPr>
            <w:r w:rsidRPr="0098635C">
              <w:rPr>
                <w:color w:val="000000" w:themeColor="text1"/>
                <w:sz w:val="20"/>
                <w:szCs w:val="20"/>
              </w:rPr>
              <w:t>Pseudokirchneriella subcapitata</w:t>
            </w:r>
          </w:p>
        </w:tc>
        <w:tc>
          <w:tcPr>
            <w:tcW w:w="1701" w:type="dxa"/>
            <w:tcBorders>
              <w:top w:val="nil"/>
              <w:left w:val="nil"/>
              <w:bottom w:val="single" w:sz="8" w:space="0" w:color="auto"/>
              <w:right w:val="single" w:sz="8" w:space="0" w:color="auto"/>
            </w:tcBorders>
          </w:tcPr>
          <w:p w14:paraId="12D5D39C"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10,000 c/ml</w:t>
            </w:r>
          </w:p>
        </w:tc>
        <w:tc>
          <w:tcPr>
            <w:tcW w:w="709" w:type="dxa"/>
            <w:tcBorders>
              <w:top w:val="nil"/>
              <w:left w:val="nil"/>
              <w:bottom w:val="single" w:sz="8" w:space="0" w:color="auto"/>
              <w:right w:val="single" w:sz="8" w:space="0" w:color="auto"/>
            </w:tcBorders>
          </w:tcPr>
          <w:p w14:paraId="3023CE08" w14:textId="77777777" w:rsidR="00632208" w:rsidRPr="0098635C" w:rsidRDefault="00632208" w:rsidP="00A432B0">
            <w:pPr>
              <w:spacing w:after="0"/>
              <w:rPr>
                <w:color w:val="000000" w:themeColor="text1"/>
                <w:sz w:val="20"/>
                <w:szCs w:val="20"/>
              </w:rPr>
            </w:pPr>
            <w:r w:rsidRPr="0098635C">
              <w:rPr>
                <w:color w:val="000000" w:themeColor="text1"/>
                <w:sz w:val="20"/>
                <w:szCs w:val="20"/>
              </w:rPr>
              <w:t>3 d</w:t>
            </w:r>
          </w:p>
        </w:tc>
        <w:tc>
          <w:tcPr>
            <w:tcW w:w="1276" w:type="dxa"/>
            <w:tcBorders>
              <w:top w:val="nil"/>
              <w:left w:val="nil"/>
              <w:bottom w:val="single" w:sz="8" w:space="0" w:color="auto"/>
              <w:right w:val="single" w:sz="8" w:space="0" w:color="auto"/>
            </w:tcBorders>
          </w:tcPr>
          <w:p w14:paraId="68A3D1E2"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6FB7C827"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49</w:t>
            </w:r>
          </w:p>
        </w:tc>
        <w:tc>
          <w:tcPr>
            <w:tcW w:w="709" w:type="dxa"/>
            <w:tcBorders>
              <w:top w:val="nil"/>
              <w:left w:val="nil"/>
              <w:bottom w:val="single" w:sz="8" w:space="0" w:color="auto"/>
              <w:right w:val="single" w:sz="8" w:space="0" w:color="auto"/>
            </w:tcBorders>
          </w:tcPr>
          <w:p w14:paraId="78868670"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5BE063B5"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single" w:sz="8" w:space="0" w:color="auto"/>
              <w:right w:val="single" w:sz="8" w:space="0" w:color="auto"/>
            </w:tcBorders>
          </w:tcPr>
          <w:p w14:paraId="4A5DFBAF" w14:textId="77777777" w:rsidR="00632208" w:rsidRPr="0098635C" w:rsidRDefault="00632208" w:rsidP="00A432B0">
            <w:pPr>
              <w:spacing w:after="0"/>
              <w:rPr>
                <w:color w:val="000000" w:themeColor="text1"/>
                <w:sz w:val="20"/>
                <w:szCs w:val="20"/>
              </w:rPr>
            </w:pPr>
            <w:r w:rsidRPr="0098635C">
              <w:rPr>
                <w:color w:val="000000" w:themeColor="text1"/>
                <w:sz w:val="20"/>
                <w:szCs w:val="20"/>
              </w:rPr>
              <w:t>T: 23°C; pH: 8.26; H: 220 mg/L CaCO3; DOC: 6.42 mg/L</w:t>
            </w:r>
          </w:p>
        </w:tc>
        <w:tc>
          <w:tcPr>
            <w:tcW w:w="1985" w:type="dxa"/>
            <w:tcBorders>
              <w:top w:val="nil"/>
              <w:left w:val="nil"/>
              <w:bottom w:val="single" w:sz="8" w:space="0" w:color="auto"/>
              <w:right w:val="single" w:sz="8" w:space="0" w:color="auto"/>
            </w:tcBorders>
          </w:tcPr>
          <w:p w14:paraId="128D35C1" w14:textId="77777777" w:rsidR="00632208" w:rsidRPr="0098635C" w:rsidRDefault="00632208" w:rsidP="00A432B0">
            <w:pPr>
              <w:spacing w:after="0"/>
              <w:rPr>
                <w:color w:val="000000" w:themeColor="text1"/>
                <w:sz w:val="20"/>
                <w:szCs w:val="20"/>
              </w:rPr>
            </w:pPr>
            <w:r w:rsidRPr="0098635C">
              <w:rPr>
                <w:color w:val="000000" w:themeColor="text1"/>
                <w:sz w:val="20"/>
                <w:szCs w:val="20"/>
              </w:rPr>
              <w:t>Lake</w:t>
            </w:r>
          </w:p>
        </w:tc>
        <w:tc>
          <w:tcPr>
            <w:tcW w:w="2409" w:type="dxa"/>
            <w:tcBorders>
              <w:top w:val="nil"/>
              <w:left w:val="nil"/>
              <w:bottom w:val="single" w:sz="8" w:space="0" w:color="auto"/>
              <w:right w:val="double" w:sz="6" w:space="0" w:color="auto"/>
            </w:tcBorders>
          </w:tcPr>
          <w:p w14:paraId="4E53E409"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Heijerick et al., 2002 </w:t>
            </w:r>
          </w:p>
        </w:tc>
      </w:tr>
      <w:tr w:rsidR="00632208" w:rsidRPr="0098635C" w14:paraId="797DE189" w14:textId="77777777" w:rsidTr="00A432B0">
        <w:trPr>
          <w:trHeight w:val="64"/>
        </w:trPr>
        <w:tc>
          <w:tcPr>
            <w:tcW w:w="1701" w:type="dxa"/>
            <w:tcBorders>
              <w:top w:val="nil"/>
              <w:left w:val="double" w:sz="6" w:space="0" w:color="auto"/>
              <w:bottom w:val="single" w:sz="8" w:space="0" w:color="auto"/>
              <w:right w:val="single" w:sz="8" w:space="0" w:color="auto"/>
            </w:tcBorders>
          </w:tcPr>
          <w:p w14:paraId="16CF6568" w14:textId="77777777" w:rsidR="00632208" w:rsidRPr="0098635C" w:rsidRDefault="00632208" w:rsidP="00A432B0">
            <w:pPr>
              <w:spacing w:after="0"/>
              <w:rPr>
                <w:color w:val="000000" w:themeColor="text1"/>
                <w:sz w:val="20"/>
                <w:szCs w:val="20"/>
              </w:rPr>
            </w:pPr>
            <w:r w:rsidRPr="0098635C">
              <w:rPr>
                <w:color w:val="000000" w:themeColor="text1"/>
                <w:sz w:val="20"/>
                <w:szCs w:val="20"/>
              </w:rPr>
              <w:t>Pseudokirchneriella subcapitata</w:t>
            </w:r>
          </w:p>
        </w:tc>
        <w:tc>
          <w:tcPr>
            <w:tcW w:w="1701" w:type="dxa"/>
            <w:tcBorders>
              <w:top w:val="nil"/>
              <w:left w:val="nil"/>
              <w:bottom w:val="single" w:sz="8" w:space="0" w:color="auto"/>
              <w:right w:val="single" w:sz="8" w:space="0" w:color="auto"/>
            </w:tcBorders>
          </w:tcPr>
          <w:p w14:paraId="2D71FFE1"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10,000 c/ml</w:t>
            </w:r>
          </w:p>
        </w:tc>
        <w:tc>
          <w:tcPr>
            <w:tcW w:w="709" w:type="dxa"/>
            <w:tcBorders>
              <w:top w:val="nil"/>
              <w:left w:val="nil"/>
              <w:bottom w:val="single" w:sz="8" w:space="0" w:color="auto"/>
              <w:right w:val="single" w:sz="8" w:space="0" w:color="auto"/>
            </w:tcBorders>
          </w:tcPr>
          <w:p w14:paraId="09721DF4" w14:textId="77777777" w:rsidR="00632208" w:rsidRPr="0098635C" w:rsidRDefault="00632208" w:rsidP="00A432B0">
            <w:pPr>
              <w:spacing w:after="0"/>
              <w:rPr>
                <w:color w:val="000000" w:themeColor="text1"/>
                <w:sz w:val="20"/>
                <w:szCs w:val="20"/>
              </w:rPr>
            </w:pPr>
            <w:r w:rsidRPr="0098635C">
              <w:rPr>
                <w:color w:val="000000" w:themeColor="text1"/>
                <w:sz w:val="20"/>
                <w:szCs w:val="20"/>
              </w:rPr>
              <w:t>3 d</w:t>
            </w:r>
          </w:p>
        </w:tc>
        <w:tc>
          <w:tcPr>
            <w:tcW w:w="1276" w:type="dxa"/>
            <w:tcBorders>
              <w:top w:val="nil"/>
              <w:left w:val="nil"/>
              <w:bottom w:val="single" w:sz="8" w:space="0" w:color="auto"/>
              <w:right w:val="single" w:sz="8" w:space="0" w:color="auto"/>
            </w:tcBorders>
          </w:tcPr>
          <w:p w14:paraId="79F3CA7E"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18AC2E19"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35.4</w:t>
            </w:r>
          </w:p>
        </w:tc>
        <w:tc>
          <w:tcPr>
            <w:tcW w:w="709" w:type="dxa"/>
            <w:tcBorders>
              <w:top w:val="nil"/>
              <w:left w:val="nil"/>
              <w:bottom w:val="single" w:sz="8" w:space="0" w:color="auto"/>
              <w:right w:val="single" w:sz="8" w:space="0" w:color="auto"/>
            </w:tcBorders>
          </w:tcPr>
          <w:p w14:paraId="20714555"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347D95F6"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single" w:sz="8" w:space="0" w:color="auto"/>
              <w:right w:val="single" w:sz="8" w:space="0" w:color="auto"/>
            </w:tcBorders>
          </w:tcPr>
          <w:p w14:paraId="50EECE2A" w14:textId="77777777" w:rsidR="00632208" w:rsidRPr="0098635C" w:rsidRDefault="00632208" w:rsidP="00A432B0">
            <w:pPr>
              <w:spacing w:after="0"/>
              <w:rPr>
                <w:color w:val="000000" w:themeColor="text1"/>
                <w:sz w:val="20"/>
                <w:szCs w:val="20"/>
              </w:rPr>
            </w:pPr>
            <w:r w:rsidRPr="0098635C">
              <w:rPr>
                <w:color w:val="000000" w:themeColor="text1"/>
                <w:sz w:val="20"/>
                <w:szCs w:val="20"/>
              </w:rPr>
              <w:t>T: 23°C; pH: 8.30; H: 238 mg/L CaCO3; DOC: 8.24 mg/L</w:t>
            </w:r>
          </w:p>
        </w:tc>
        <w:tc>
          <w:tcPr>
            <w:tcW w:w="1985" w:type="dxa"/>
            <w:tcBorders>
              <w:top w:val="nil"/>
              <w:left w:val="nil"/>
              <w:bottom w:val="single" w:sz="8" w:space="0" w:color="auto"/>
              <w:right w:val="single" w:sz="8" w:space="0" w:color="auto"/>
            </w:tcBorders>
          </w:tcPr>
          <w:p w14:paraId="74680C41" w14:textId="77777777" w:rsidR="00632208" w:rsidRPr="0098635C" w:rsidRDefault="00632208" w:rsidP="00A432B0">
            <w:pPr>
              <w:spacing w:after="0"/>
              <w:rPr>
                <w:color w:val="000000" w:themeColor="text1"/>
                <w:sz w:val="20"/>
                <w:szCs w:val="20"/>
              </w:rPr>
            </w:pPr>
            <w:r w:rsidRPr="0098635C">
              <w:rPr>
                <w:color w:val="000000" w:themeColor="text1"/>
                <w:sz w:val="20"/>
                <w:szCs w:val="20"/>
              </w:rPr>
              <w:t>Lake</w:t>
            </w:r>
          </w:p>
        </w:tc>
        <w:tc>
          <w:tcPr>
            <w:tcW w:w="2409" w:type="dxa"/>
            <w:tcBorders>
              <w:top w:val="nil"/>
              <w:left w:val="nil"/>
              <w:bottom w:val="single" w:sz="8" w:space="0" w:color="auto"/>
              <w:right w:val="double" w:sz="6" w:space="0" w:color="auto"/>
            </w:tcBorders>
          </w:tcPr>
          <w:p w14:paraId="56AB0223"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Heijerick et al., 2002 </w:t>
            </w:r>
          </w:p>
        </w:tc>
      </w:tr>
      <w:tr w:rsidR="00632208" w:rsidRPr="0098635C" w14:paraId="700BF213" w14:textId="77777777" w:rsidTr="00A432B0">
        <w:trPr>
          <w:trHeight w:val="64"/>
        </w:trPr>
        <w:tc>
          <w:tcPr>
            <w:tcW w:w="1701" w:type="dxa"/>
            <w:tcBorders>
              <w:top w:val="nil"/>
              <w:left w:val="double" w:sz="6" w:space="0" w:color="auto"/>
              <w:bottom w:val="single" w:sz="8" w:space="0" w:color="auto"/>
              <w:right w:val="single" w:sz="8" w:space="0" w:color="auto"/>
            </w:tcBorders>
          </w:tcPr>
          <w:p w14:paraId="6D424964" w14:textId="77777777" w:rsidR="00632208" w:rsidRPr="0098635C" w:rsidRDefault="00632208" w:rsidP="00A432B0">
            <w:pPr>
              <w:spacing w:after="0"/>
              <w:rPr>
                <w:color w:val="000000" w:themeColor="text1"/>
                <w:sz w:val="20"/>
                <w:szCs w:val="20"/>
              </w:rPr>
            </w:pPr>
            <w:r w:rsidRPr="0098635C">
              <w:rPr>
                <w:color w:val="000000" w:themeColor="text1"/>
                <w:sz w:val="20"/>
                <w:szCs w:val="20"/>
              </w:rPr>
              <w:t>Pseudokirchneriella subcapitata</w:t>
            </w:r>
          </w:p>
        </w:tc>
        <w:tc>
          <w:tcPr>
            <w:tcW w:w="1701" w:type="dxa"/>
            <w:tcBorders>
              <w:top w:val="nil"/>
              <w:left w:val="nil"/>
              <w:bottom w:val="single" w:sz="8" w:space="0" w:color="auto"/>
              <w:right w:val="single" w:sz="8" w:space="0" w:color="auto"/>
            </w:tcBorders>
          </w:tcPr>
          <w:p w14:paraId="23066EA7"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10,000 c/ml</w:t>
            </w:r>
          </w:p>
        </w:tc>
        <w:tc>
          <w:tcPr>
            <w:tcW w:w="709" w:type="dxa"/>
            <w:tcBorders>
              <w:top w:val="nil"/>
              <w:left w:val="nil"/>
              <w:bottom w:val="single" w:sz="8" w:space="0" w:color="auto"/>
              <w:right w:val="single" w:sz="8" w:space="0" w:color="auto"/>
            </w:tcBorders>
          </w:tcPr>
          <w:p w14:paraId="48CFB0BE" w14:textId="77777777" w:rsidR="00632208" w:rsidRPr="0098635C" w:rsidRDefault="00632208" w:rsidP="00A432B0">
            <w:pPr>
              <w:spacing w:after="0"/>
              <w:rPr>
                <w:color w:val="000000" w:themeColor="text1"/>
                <w:sz w:val="20"/>
                <w:szCs w:val="20"/>
              </w:rPr>
            </w:pPr>
            <w:r w:rsidRPr="0098635C">
              <w:rPr>
                <w:color w:val="000000" w:themeColor="text1"/>
                <w:sz w:val="20"/>
                <w:szCs w:val="20"/>
              </w:rPr>
              <w:t>3 d</w:t>
            </w:r>
          </w:p>
        </w:tc>
        <w:tc>
          <w:tcPr>
            <w:tcW w:w="1276" w:type="dxa"/>
            <w:tcBorders>
              <w:top w:val="nil"/>
              <w:left w:val="nil"/>
              <w:bottom w:val="single" w:sz="8" w:space="0" w:color="auto"/>
              <w:right w:val="single" w:sz="8" w:space="0" w:color="auto"/>
            </w:tcBorders>
          </w:tcPr>
          <w:p w14:paraId="62BC4C14"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6CBF7A0C"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23.1</w:t>
            </w:r>
          </w:p>
        </w:tc>
        <w:tc>
          <w:tcPr>
            <w:tcW w:w="709" w:type="dxa"/>
            <w:tcBorders>
              <w:top w:val="nil"/>
              <w:left w:val="nil"/>
              <w:bottom w:val="single" w:sz="8" w:space="0" w:color="auto"/>
              <w:right w:val="single" w:sz="8" w:space="0" w:color="auto"/>
            </w:tcBorders>
          </w:tcPr>
          <w:p w14:paraId="08BA15F3"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65E8BADB"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single" w:sz="8" w:space="0" w:color="auto"/>
              <w:right w:val="single" w:sz="8" w:space="0" w:color="auto"/>
            </w:tcBorders>
          </w:tcPr>
          <w:p w14:paraId="2C554A83" w14:textId="77777777" w:rsidR="00632208" w:rsidRPr="0098635C" w:rsidRDefault="00632208" w:rsidP="00A432B0">
            <w:pPr>
              <w:spacing w:after="0"/>
              <w:rPr>
                <w:color w:val="000000" w:themeColor="text1"/>
                <w:sz w:val="20"/>
                <w:szCs w:val="20"/>
              </w:rPr>
            </w:pPr>
            <w:r w:rsidRPr="0098635C">
              <w:rPr>
                <w:color w:val="000000" w:themeColor="text1"/>
                <w:sz w:val="20"/>
                <w:szCs w:val="20"/>
              </w:rPr>
              <w:t>T: 20°C; pH: 7.93; H: 191 mg/L CaCO3; DOC: 1.99 mg/L</w:t>
            </w:r>
          </w:p>
        </w:tc>
        <w:tc>
          <w:tcPr>
            <w:tcW w:w="1985" w:type="dxa"/>
            <w:tcBorders>
              <w:top w:val="nil"/>
              <w:left w:val="nil"/>
              <w:bottom w:val="single" w:sz="8" w:space="0" w:color="auto"/>
              <w:right w:val="single" w:sz="8" w:space="0" w:color="auto"/>
            </w:tcBorders>
          </w:tcPr>
          <w:p w14:paraId="5F184D18" w14:textId="77777777" w:rsidR="00632208" w:rsidRPr="0098635C" w:rsidRDefault="00632208" w:rsidP="00A432B0">
            <w:pPr>
              <w:spacing w:after="0"/>
              <w:rPr>
                <w:color w:val="000000" w:themeColor="text1"/>
                <w:sz w:val="20"/>
                <w:szCs w:val="20"/>
              </w:rPr>
            </w:pPr>
            <w:r w:rsidRPr="0098635C">
              <w:rPr>
                <w:color w:val="000000" w:themeColor="text1"/>
                <w:sz w:val="20"/>
                <w:szCs w:val="20"/>
              </w:rPr>
              <w:t>River</w:t>
            </w:r>
          </w:p>
        </w:tc>
        <w:tc>
          <w:tcPr>
            <w:tcW w:w="2409" w:type="dxa"/>
            <w:tcBorders>
              <w:top w:val="nil"/>
              <w:left w:val="nil"/>
              <w:bottom w:val="single" w:sz="8" w:space="0" w:color="auto"/>
              <w:right w:val="double" w:sz="6" w:space="0" w:color="auto"/>
            </w:tcBorders>
          </w:tcPr>
          <w:p w14:paraId="425272D3"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Heijerick et al., 2002 </w:t>
            </w:r>
          </w:p>
        </w:tc>
      </w:tr>
      <w:tr w:rsidR="00632208" w:rsidRPr="0098635C" w14:paraId="38D53B5A" w14:textId="77777777" w:rsidTr="00A432B0">
        <w:trPr>
          <w:trHeight w:val="64"/>
        </w:trPr>
        <w:tc>
          <w:tcPr>
            <w:tcW w:w="1701" w:type="dxa"/>
            <w:tcBorders>
              <w:top w:val="nil"/>
              <w:left w:val="double" w:sz="6" w:space="0" w:color="auto"/>
              <w:bottom w:val="single" w:sz="8" w:space="0" w:color="auto"/>
              <w:right w:val="single" w:sz="8" w:space="0" w:color="auto"/>
            </w:tcBorders>
          </w:tcPr>
          <w:p w14:paraId="1552B28C" w14:textId="77777777" w:rsidR="00632208" w:rsidRPr="0098635C" w:rsidRDefault="00632208" w:rsidP="00A432B0">
            <w:pPr>
              <w:spacing w:after="0"/>
              <w:rPr>
                <w:color w:val="000000" w:themeColor="text1"/>
                <w:sz w:val="20"/>
                <w:szCs w:val="20"/>
              </w:rPr>
            </w:pPr>
            <w:r w:rsidRPr="0098635C">
              <w:rPr>
                <w:color w:val="000000" w:themeColor="text1"/>
                <w:sz w:val="20"/>
                <w:szCs w:val="20"/>
              </w:rPr>
              <w:t>Pseudokirchneriella subcapitata</w:t>
            </w:r>
          </w:p>
        </w:tc>
        <w:tc>
          <w:tcPr>
            <w:tcW w:w="1701" w:type="dxa"/>
            <w:tcBorders>
              <w:top w:val="nil"/>
              <w:left w:val="nil"/>
              <w:bottom w:val="single" w:sz="8" w:space="0" w:color="auto"/>
              <w:right w:val="single" w:sz="8" w:space="0" w:color="auto"/>
            </w:tcBorders>
          </w:tcPr>
          <w:p w14:paraId="20987137"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10,000 c/ml</w:t>
            </w:r>
          </w:p>
        </w:tc>
        <w:tc>
          <w:tcPr>
            <w:tcW w:w="709" w:type="dxa"/>
            <w:tcBorders>
              <w:top w:val="nil"/>
              <w:left w:val="nil"/>
              <w:bottom w:val="single" w:sz="8" w:space="0" w:color="auto"/>
              <w:right w:val="single" w:sz="8" w:space="0" w:color="auto"/>
            </w:tcBorders>
          </w:tcPr>
          <w:p w14:paraId="133C01FB" w14:textId="77777777" w:rsidR="00632208" w:rsidRPr="0098635C" w:rsidRDefault="00632208" w:rsidP="00A432B0">
            <w:pPr>
              <w:spacing w:after="0"/>
              <w:rPr>
                <w:color w:val="000000" w:themeColor="text1"/>
                <w:sz w:val="20"/>
                <w:szCs w:val="20"/>
              </w:rPr>
            </w:pPr>
            <w:r w:rsidRPr="0098635C">
              <w:rPr>
                <w:color w:val="000000" w:themeColor="text1"/>
                <w:sz w:val="20"/>
                <w:szCs w:val="20"/>
              </w:rPr>
              <w:t>3 d</w:t>
            </w:r>
          </w:p>
        </w:tc>
        <w:tc>
          <w:tcPr>
            <w:tcW w:w="1276" w:type="dxa"/>
            <w:tcBorders>
              <w:top w:val="nil"/>
              <w:left w:val="nil"/>
              <w:bottom w:val="single" w:sz="8" w:space="0" w:color="auto"/>
              <w:right w:val="single" w:sz="8" w:space="0" w:color="auto"/>
            </w:tcBorders>
          </w:tcPr>
          <w:p w14:paraId="0024BA1A"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1C04289A"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19.3</w:t>
            </w:r>
          </w:p>
        </w:tc>
        <w:tc>
          <w:tcPr>
            <w:tcW w:w="709" w:type="dxa"/>
            <w:tcBorders>
              <w:top w:val="nil"/>
              <w:left w:val="nil"/>
              <w:bottom w:val="single" w:sz="8" w:space="0" w:color="auto"/>
              <w:right w:val="single" w:sz="8" w:space="0" w:color="auto"/>
            </w:tcBorders>
          </w:tcPr>
          <w:p w14:paraId="6696556A"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3057B7F3"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single" w:sz="8" w:space="0" w:color="auto"/>
              <w:right w:val="single" w:sz="8" w:space="0" w:color="auto"/>
            </w:tcBorders>
          </w:tcPr>
          <w:p w14:paraId="3038A318" w14:textId="77777777" w:rsidR="00632208" w:rsidRPr="0098635C" w:rsidRDefault="00632208" w:rsidP="00A432B0">
            <w:pPr>
              <w:spacing w:after="0"/>
              <w:rPr>
                <w:color w:val="000000" w:themeColor="text1"/>
                <w:sz w:val="20"/>
                <w:szCs w:val="20"/>
              </w:rPr>
            </w:pPr>
            <w:r w:rsidRPr="0098635C">
              <w:rPr>
                <w:color w:val="000000" w:themeColor="text1"/>
                <w:sz w:val="20"/>
                <w:szCs w:val="20"/>
              </w:rPr>
              <w:t>T: 23°C; pH: 8.06; H: 191 mg/L CaCO3; DOC: 1.98 mg/L</w:t>
            </w:r>
          </w:p>
        </w:tc>
        <w:tc>
          <w:tcPr>
            <w:tcW w:w="1985" w:type="dxa"/>
            <w:tcBorders>
              <w:top w:val="nil"/>
              <w:left w:val="nil"/>
              <w:bottom w:val="single" w:sz="8" w:space="0" w:color="auto"/>
              <w:right w:val="single" w:sz="8" w:space="0" w:color="auto"/>
            </w:tcBorders>
          </w:tcPr>
          <w:p w14:paraId="07D5A3F1" w14:textId="77777777" w:rsidR="00632208" w:rsidRPr="0098635C" w:rsidRDefault="00632208" w:rsidP="00A432B0">
            <w:pPr>
              <w:spacing w:after="0"/>
              <w:rPr>
                <w:color w:val="000000" w:themeColor="text1"/>
                <w:sz w:val="20"/>
                <w:szCs w:val="20"/>
              </w:rPr>
            </w:pPr>
            <w:r w:rsidRPr="0098635C">
              <w:rPr>
                <w:color w:val="000000" w:themeColor="text1"/>
                <w:sz w:val="20"/>
                <w:szCs w:val="20"/>
              </w:rPr>
              <w:t>River</w:t>
            </w:r>
          </w:p>
        </w:tc>
        <w:tc>
          <w:tcPr>
            <w:tcW w:w="2409" w:type="dxa"/>
            <w:tcBorders>
              <w:top w:val="nil"/>
              <w:left w:val="nil"/>
              <w:bottom w:val="single" w:sz="8" w:space="0" w:color="auto"/>
              <w:right w:val="double" w:sz="6" w:space="0" w:color="auto"/>
            </w:tcBorders>
          </w:tcPr>
          <w:p w14:paraId="29FF0E52"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Heijerick et al., 2002 </w:t>
            </w:r>
          </w:p>
        </w:tc>
      </w:tr>
      <w:tr w:rsidR="00632208" w:rsidRPr="0098635C" w14:paraId="10E2C5D8" w14:textId="77777777" w:rsidTr="00A432B0">
        <w:trPr>
          <w:trHeight w:val="64"/>
        </w:trPr>
        <w:tc>
          <w:tcPr>
            <w:tcW w:w="1701" w:type="dxa"/>
            <w:tcBorders>
              <w:top w:val="nil"/>
              <w:left w:val="double" w:sz="6" w:space="0" w:color="auto"/>
              <w:bottom w:val="single" w:sz="8" w:space="0" w:color="auto"/>
              <w:right w:val="single" w:sz="8" w:space="0" w:color="auto"/>
            </w:tcBorders>
          </w:tcPr>
          <w:p w14:paraId="6752C42F" w14:textId="77777777" w:rsidR="00632208" w:rsidRPr="0098635C" w:rsidRDefault="00632208" w:rsidP="00A432B0">
            <w:pPr>
              <w:spacing w:after="0"/>
              <w:rPr>
                <w:color w:val="000000" w:themeColor="text1"/>
                <w:sz w:val="20"/>
                <w:szCs w:val="20"/>
              </w:rPr>
            </w:pPr>
            <w:r w:rsidRPr="0098635C">
              <w:rPr>
                <w:color w:val="000000" w:themeColor="text1"/>
                <w:sz w:val="20"/>
                <w:szCs w:val="20"/>
              </w:rPr>
              <w:t>Pseudokirchneriella subcapitata</w:t>
            </w:r>
          </w:p>
        </w:tc>
        <w:tc>
          <w:tcPr>
            <w:tcW w:w="1701" w:type="dxa"/>
            <w:tcBorders>
              <w:top w:val="nil"/>
              <w:left w:val="nil"/>
              <w:bottom w:val="single" w:sz="8" w:space="0" w:color="auto"/>
              <w:right w:val="single" w:sz="8" w:space="0" w:color="auto"/>
            </w:tcBorders>
          </w:tcPr>
          <w:p w14:paraId="6D3D2CC4"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10,000 c/ml</w:t>
            </w:r>
          </w:p>
        </w:tc>
        <w:tc>
          <w:tcPr>
            <w:tcW w:w="709" w:type="dxa"/>
            <w:tcBorders>
              <w:top w:val="nil"/>
              <w:left w:val="nil"/>
              <w:bottom w:val="single" w:sz="8" w:space="0" w:color="auto"/>
              <w:right w:val="single" w:sz="8" w:space="0" w:color="auto"/>
            </w:tcBorders>
          </w:tcPr>
          <w:p w14:paraId="5EEB5868" w14:textId="77777777" w:rsidR="00632208" w:rsidRPr="0098635C" w:rsidRDefault="00632208" w:rsidP="00A432B0">
            <w:pPr>
              <w:spacing w:after="0"/>
              <w:rPr>
                <w:color w:val="000000" w:themeColor="text1"/>
                <w:sz w:val="20"/>
                <w:szCs w:val="20"/>
              </w:rPr>
            </w:pPr>
            <w:r w:rsidRPr="0098635C">
              <w:rPr>
                <w:color w:val="000000" w:themeColor="text1"/>
                <w:sz w:val="20"/>
                <w:szCs w:val="20"/>
              </w:rPr>
              <w:t>3 d</w:t>
            </w:r>
          </w:p>
        </w:tc>
        <w:tc>
          <w:tcPr>
            <w:tcW w:w="1276" w:type="dxa"/>
            <w:tcBorders>
              <w:top w:val="nil"/>
              <w:left w:val="nil"/>
              <w:bottom w:val="single" w:sz="8" w:space="0" w:color="auto"/>
              <w:right w:val="single" w:sz="8" w:space="0" w:color="auto"/>
            </w:tcBorders>
          </w:tcPr>
          <w:p w14:paraId="05AB7BB4"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1EB56DC7"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56.4</w:t>
            </w:r>
          </w:p>
        </w:tc>
        <w:tc>
          <w:tcPr>
            <w:tcW w:w="709" w:type="dxa"/>
            <w:tcBorders>
              <w:top w:val="nil"/>
              <w:left w:val="nil"/>
              <w:bottom w:val="single" w:sz="8" w:space="0" w:color="auto"/>
              <w:right w:val="single" w:sz="8" w:space="0" w:color="auto"/>
            </w:tcBorders>
          </w:tcPr>
          <w:p w14:paraId="3141266A"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2B6B700C"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single" w:sz="8" w:space="0" w:color="auto"/>
              <w:right w:val="single" w:sz="8" w:space="0" w:color="auto"/>
            </w:tcBorders>
          </w:tcPr>
          <w:p w14:paraId="53B65765" w14:textId="77777777" w:rsidR="00632208" w:rsidRPr="0098635C" w:rsidRDefault="00632208" w:rsidP="00A432B0">
            <w:pPr>
              <w:spacing w:after="0"/>
              <w:rPr>
                <w:color w:val="000000" w:themeColor="text1"/>
                <w:sz w:val="20"/>
                <w:szCs w:val="20"/>
              </w:rPr>
            </w:pPr>
            <w:r w:rsidRPr="0098635C">
              <w:rPr>
                <w:color w:val="000000" w:themeColor="text1"/>
                <w:sz w:val="20"/>
                <w:szCs w:val="20"/>
              </w:rPr>
              <w:t>T: 23°C; pH: 7.55; H: 132 mg/L CaCO3; DOC: 6.13 mg/L</w:t>
            </w:r>
          </w:p>
        </w:tc>
        <w:tc>
          <w:tcPr>
            <w:tcW w:w="1985" w:type="dxa"/>
            <w:tcBorders>
              <w:top w:val="nil"/>
              <w:left w:val="nil"/>
              <w:bottom w:val="single" w:sz="8" w:space="0" w:color="auto"/>
              <w:right w:val="single" w:sz="8" w:space="0" w:color="auto"/>
            </w:tcBorders>
          </w:tcPr>
          <w:p w14:paraId="1543B222" w14:textId="77777777" w:rsidR="00632208" w:rsidRPr="0098635C" w:rsidRDefault="00632208" w:rsidP="00A432B0">
            <w:pPr>
              <w:spacing w:after="0"/>
              <w:rPr>
                <w:color w:val="000000" w:themeColor="text1"/>
                <w:sz w:val="20"/>
                <w:szCs w:val="20"/>
              </w:rPr>
            </w:pPr>
            <w:r w:rsidRPr="0098635C">
              <w:rPr>
                <w:color w:val="000000" w:themeColor="text1"/>
                <w:sz w:val="20"/>
                <w:szCs w:val="20"/>
              </w:rPr>
              <w:t>River</w:t>
            </w:r>
          </w:p>
        </w:tc>
        <w:tc>
          <w:tcPr>
            <w:tcW w:w="2409" w:type="dxa"/>
            <w:tcBorders>
              <w:top w:val="nil"/>
              <w:left w:val="nil"/>
              <w:bottom w:val="single" w:sz="8" w:space="0" w:color="auto"/>
              <w:right w:val="double" w:sz="6" w:space="0" w:color="auto"/>
            </w:tcBorders>
          </w:tcPr>
          <w:p w14:paraId="6115802A"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Heijerick et al., 2002 </w:t>
            </w:r>
          </w:p>
        </w:tc>
      </w:tr>
      <w:tr w:rsidR="00632208" w:rsidRPr="0098635C" w14:paraId="282D4D85" w14:textId="77777777" w:rsidTr="00A432B0">
        <w:trPr>
          <w:trHeight w:val="64"/>
        </w:trPr>
        <w:tc>
          <w:tcPr>
            <w:tcW w:w="1701" w:type="dxa"/>
            <w:tcBorders>
              <w:top w:val="nil"/>
              <w:left w:val="double" w:sz="6" w:space="0" w:color="auto"/>
              <w:bottom w:val="single" w:sz="8" w:space="0" w:color="auto"/>
              <w:right w:val="single" w:sz="8" w:space="0" w:color="auto"/>
            </w:tcBorders>
          </w:tcPr>
          <w:p w14:paraId="66CCA93D" w14:textId="77777777" w:rsidR="00632208" w:rsidRPr="0098635C" w:rsidRDefault="00632208" w:rsidP="00A432B0">
            <w:pPr>
              <w:spacing w:after="0"/>
              <w:rPr>
                <w:color w:val="000000" w:themeColor="text1"/>
                <w:sz w:val="20"/>
                <w:szCs w:val="20"/>
              </w:rPr>
            </w:pPr>
            <w:r w:rsidRPr="0098635C">
              <w:rPr>
                <w:color w:val="000000" w:themeColor="text1"/>
                <w:sz w:val="20"/>
                <w:szCs w:val="20"/>
              </w:rPr>
              <w:lastRenderedPageBreak/>
              <w:t>Pseudokirchneriella subcapitata</w:t>
            </w:r>
          </w:p>
        </w:tc>
        <w:tc>
          <w:tcPr>
            <w:tcW w:w="1701" w:type="dxa"/>
            <w:tcBorders>
              <w:top w:val="nil"/>
              <w:left w:val="nil"/>
              <w:bottom w:val="single" w:sz="8" w:space="0" w:color="auto"/>
              <w:right w:val="single" w:sz="8" w:space="0" w:color="auto"/>
            </w:tcBorders>
          </w:tcPr>
          <w:p w14:paraId="548564B9"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10,000 c/ml</w:t>
            </w:r>
          </w:p>
        </w:tc>
        <w:tc>
          <w:tcPr>
            <w:tcW w:w="709" w:type="dxa"/>
            <w:tcBorders>
              <w:top w:val="nil"/>
              <w:left w:val="nil"/>
              <w:bottom w:val="single" w:sz="8" w:space="0" w:color="auto"/>
              <w:right w:val="single" w:sz="8" w:space="0" w:color="auto"/>
            </w:tcBorders>
          </w:tcPr>
          <w:p w14:paraId="1C75E5B3" w14:textId="77777777" w:rsidR="00632208" w:rsidRPr="0098635C" w:rsidRDefault="00632208" w:rsidP="00A432B0">
            <w:pPr>
              <w:spacing w:after="0"/>
              <w:rPr>
                <w:color w:val="000000" w:themeColor="text1"/>
                <w:sz w:val="20"/>
                <w:szCs w:val="20"/>
              </w:rPr>
            </w:pPr>
            <w:r w:rsidRPr="0098635C">
              <w:rPr>
                <w:color w:val="000000" w:themeColor="text1"/>
                <w:sz w:val="20"/>
                <w:szCs w:val="20"/>
              </w:rPr>
              <w:t>3 d</w:t>
            </w:r>
          </w:p>
        </w:tc>
        <w:tc>
          <w:tcPr>
            <w:tcW w:w="1276" w:type="dxa"/>
            <w:tcBorders>
              <w:top w:val="nil"/>
              <w:left w:val="nil"/>
              <w:bottom w:val="single" w:sz="8" w:space="0" w:color="auto"/>
              <w:right w:val="single" w:sz="8" w:space="0" w:color="auto"/>
            </w:tcBorders>
          </w:tcPr>
          <w:p w14:paraId="71F9CB5B"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16FB5F44"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164</w:t>
            </w:r>
          </w:p>
        </w:tc>
        <w:tc>
          <w:tcPr>
            <w:tcW w:w="709" w:type="dxa"/>
            <w:tcBorders>
              <w:top w:val="nil"/>
              <w:left w:val="nil"/>
              <w:bottom w:val="single" w:sz="8" w:space="0" w:color="auto"/>
              <w:right w:val="single" w:sz="8" w:space="0" w:color="auto"/>
            </w:tcBorders>
          </w:tcPr>
          <w:p w14:paraId="44827B42"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5CBF7EB9"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single" w:sz="8" w:space="0" w:color="auto"/>
              <w:right w:val="single" w:sz="8" w:space="0" w:color="auto"/>
            </w:tcBorders>
          </w:tcPr>
          <w:p w14:paraId="396D60B1" w14:textId="77777777" w:rsidR="00632208" w:rsidRPr="0098635C" w:rsidRDefault="00632208" w:rsidP="00A432B0">
            <w:pPr>
              <w:spacing w:after="0"/>
              <w:rPr>
                <w:color w:val="000000" w:themeColor="text1"/>
                <w:sz w:val="20"/>
                <w:szCs w:val="20"/>
              </w:rPr>
            </w:pPr>
            <w:r w:rsidRPr="0098635C">
              <w:rPr>
                <w:color w:val="000000" w:themeColor="text1"/>
                <w:sz w:val="20"/>
                <w:szCs w:val="20"/>
              </w:rPr>
              <w:t>T: 23°C; pH: 7.30; H: 166 mg/L CaCO3; DOC: 17.8 mg/L</w:t>
            </w:r>
          </w:p>
        </w:tc>
        <w:tc>
          <w:tcPr>
            <w:tcW w:w="1985" w:type="dxa"/>
            <w:tcBorders>
              <w:top w:val="nil"/>
              <w:left w:val="nil"/>
              <w:bottom w:val="single" w:sz="8" w:space="0" w:color="auto"/>
              <w:right w:val="single" w:sz="8" w:space="0" w:color="auto"/>
            </w:tcBorders>
          </w:tcPr>
          <w:p w14:paraId="342325D7" w14:textId="77777777" w:rsidR="00632208" w:rsidRPr="0098635C" w:rsidRDefault="00632208" w:rsidP="00A432B0">
            <w:pPr>
              <w:spacing w:after="0"/>
              <w:rPr>
                <w:color w:val="000000" w:themeColor="text1"/>
                <w:sz w:val="20"/>
                <w:szCs w:val="20"/>
              </w:rPr>
            </w:pPr>
            <w:r w:rsidRPr="0098635C">
              <w:rPr>
                <w:color w:val="000000" w:themeColor="text1"/>
                <w:sz w:val="20"/>
                <w:szCs w:val="20"/>
              </w:rPr>
              <w:t>Lake</w:t>
            </w:r>
          </w:p>
        </w:tc>
        <w:tc>
          <w:tcPr>
            <w:tcW w:w="2409" w:type="dxa"/>
            <w:tcBorders>
              <w:top w:val="nil"/>
              <w:left w:val="nil"/>
              <w:bottom w:val="single" w:sz="8" w:space="0" w:color="auto"/>
              <w:right w:val="double" w:sz="6" w:space="0" w:color="auto"/>
            </w:tcBorders>
          </w:tcPr>
          <w:p w14:paraId="436F8425"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Heijerick et al., 2002 </w:t>
            </w:r>
          </w:p>
        </w:tc>
      </w:tr>
      <w:tr w:rsidR="00632208" w:rsidRPr="0098635C" w14:paraId="29ADA2FF" w14:textId="77777777" w:rsidTr="00A432B0">
        <w:trPr>
          <w:trHeight w:val="68"/>
        </w:trPr>
        <w:tc>
          <w:tcPr>
            <w:tcW w:w="1701" w:type="dxa"/>
            <w:tcBorders>
              <w:top w:val="nil"/>
              <w:left w:val="double" w:sz="6" w:space="0" w:color="auto"/>
              <w:bottom w:val="single" w:sz="8" w:space="0" w:color="auto"/>
              <w:right w:val="single" w:sz="8" w:space="0" w:color="auto"/>
            </w:tcBorders>
          </w:tcPr>
          <w:p w14:paraId="6D03A521" w14:textId="77777777" w:rsidR="00632208" w:rsidRPr="0098635C" w:rsidRDefault="00632208" w:rsidP="00A432B0">
            <w:pPr>
              <w:spacing w:after="0"/>
              <w:rPr>
                <w:color w:val="000000" w:themeColor="text1"/>
                <w:sz w:val="20"/>
                <w:szCs w:val="20"/>
              </w:rPr>
            </w:pPr>
            <w:r w:rsidRPr="0098635C">
              <w:rPr>
                <w:color w:val="000000" w:themeColor="text1"/>
                <w:sz w:val="20"/>
                <w:szCs w:val="20"/>
              </w:rPr>
              <w:t>Pseudokirchneriella subcapitata</w:t>
            </w:r>
          </w:p>
        </w:tc>
        <w:tc>
          <w:tcPr>
            <w:tcW w:w="1701" w:type="dxa"/>
            <w:tcBorders>
              <w:top w:val="nil"/>
              <w:left w:val="nil"/>
              <w:bottom w:val="single" w:sz="8" w:space="0" w:color="auto"/>
              <w:right w:val="single" w:sz="8" w:space="0" w:color="auto"/>
            </w:tcBorders>
          </w:tcPr>
          <w:p w14:paraId="3FE2DD92"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10,000 c/ml</w:t>
            </w:r>
          </w:p>
        </w:tc>
        <w:tc>
          <w:tcPr>
            <w:tcW w:w="709" w:type="dxa"/>
            <w:tcBorders>
              <w:top w:val="nil"/>
              <w:left w:val="nil"/>
              <w:bottom w:val="single" w:sz="8" w:space="0" w:color="auto"/>
              <w:right w:val="single" w:sz="8" w:space="0" w:color="auto"/>
            </w:tcBorders>
          </w:tcPr>
          <w:p w14:paraId="7D5B0A2B" w14:textId="77777777" w:rsidR="00632208" w:rsidRPr="0098635C" w:rsidRDefault="00632208" w:rsidP="00A432B0">
            <w:pPr>
              <w:spacing w:after="0"/>
              <w:rPr>
                <w:color w:val="000000" w:themeColor="text1"/>
                <w:sz w:val="20"/>
                <w:szCs w:val="20"/>
              </w:rPr>
            </w:pPr>
            <w:r w:rsidRPr="0098635C">
              <w:rPr>
                <w:color w:val="000000" w:themeColor="text1"/>
                <w:sz w:val="20"/>
                <w:szCs w:val="20"/>
              </w:rPr>
              <w:t>3 d</w:t>
            </w:r>
          </w:p>
        </w:tc>
        <w:tc>
          <w:tcPr>
            <w:tcW w:w="1276" w:type="dxa"/>
            <w:tcBorders>
              <w:top w:val="nil"/>
              <w:left w:val="nil"/>
              <w:bottom w:val="single" w:sz="8" w:space="0" w:color="auto"/>
              <w:right w:val="single" w:sz="8" w:space="0" w:color="auto"/>
            </w:tcBorders>
          </w:tcPr>
          <w:p w14:paraId="28A2158C"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6D21747F"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65.5</w:t>
            </w:r>
          </w:p>
        </w:tc>
        <w:tc>
          <w:tcPr>
            <w:tcW w:w="709" w:type="dxa"/>
            <w:tcBorders>
              <w:top w:val="nil"/>
              <w:left w:val="nil"/>
              <w:bottom w:val="single" w:sz="8" w:space="0" w:color="auto"/>
              <w:right w:val="single" w:sz="8" w:space="0" w:color="auto"/>
            </w:tcBorders>
          </w:tcPr>
          <w:p w14:paraId="377F27C5"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24257F51"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single" w:sz="8" w:space="0" w:color="auto"/>
              <w:right w:val="single" w:sz="8" w:space="0" w:color="auto"/>
            </w:tcBorders>
          </w:tcPr>
          <w:p w14:paraId="4D921C98" w14:textId="77777777" w:rsidR="00632208" w:rsidRPr="0098635C" w:rsidRDefault="00632208" w:rsidP="00A432B0">
            <w:pPr>
              <w:spacing w:after="0"/>
              <w:rPr>
                <w:color w:val="000000" w:themeColor="text1"/>
                <w:sz w:val="20"/>
                <w:szCs w:val="20"/>
              </w:rPr>
            </w:pPr>
            <w:r w:rsidRPr="0098635C">
              <w:rPr>
                <w:color w:val="000000" w:themeColor="text1"/>
                <w:sz w:val="20"/>
                <w:szCs w:val="20"/>
              </w:rPr>
              <w:t>T: 23°C; pH: 7.50; H: 134 mg/L CaCO3; DOC: 20.4 mg/L</w:t>
            </w:r>
          </w:p>
        </w:tc>
        <w:tc>
          <w:tcPr>
            <w:tcW w:w="1985" w:type="dxa"/>
            <w:tcBorders>
              <w:top w:val="nil"/>
              <w:left w:val="nil"/>
              <w:bottom w:val="single" w:sz="8" w:space="0" w:color="auto"/>
              <w:right w:val="single" w:sz="8" w:space="0" w:color="auto"/>
            </w:tcBorders>
          </w:tcPr>
          <w:p w14:paraId="795FC8B5" w14:textId="77777777" w:rsidR="00632208" w:rsidRPr="0098635C" w:rsidRDefault="00632208" w:rsidP="00A432B0">
            <w:pPr>
              <w:spacing w:after="0"/>
              <w:rPr>
                <w:color w:val="000000" w:themeColor="text1"/>
                <w:sz w:val="20"/>
                <w:szCs w:val="20"/>
              </w:rPr>
            </w:pPr>
            <w:r w:rsidRPr="0098635C">
              <w:rPr>
                <w:color w:val="000000" w:themeColor="text1"/>
                <w:sz w:val="20"/>
                <w:szCs w:val="20"/>
              </w:rPr>
              <w:t>Lake</w:t>
            </w:r>
          </w:p>
        </w:tc>
        <w:tc>
          <w:tcPr>
            <w:tcW w:w="2409" w:type="dxa"/>
            <w:tcBorders>
              <w:top w:val="nil"/>
              <w:left w:val="nil"/>
              <w:bottom w:val="single" w:sz="8" w:space="0" w:color="auto"/>
              <w:right w:val="double" w:sz="6" w:space="0" w:color="auto"/>
            </w:tcBorders>
          </w:tcPr>
          <w:p w14:paraId="6AA3D19F"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Heijerick et al., 2002 </w:t>
            </w:r>
          </w:p>
        </w:tc>
      </w:tr>
      <w:tr w:rsidR="00632208" w:rsidRPr="0098635C" w14:paraId="1B3212F5" w14:textId="77777777" w:rsidTr="00A432B0">
        <w:trPr>
          <w:trHeight w:val="64"/>
        </w:trPr>
        <w:tc>
          <w:tcPr>
            <w:tcW w:w="1701" w:type="dxa"/>
            <w:tcBorders>
              <w:top w:val="nil"/>
              <w:left w:val="double" w:sz="6" w:space="0" w:color="auto"/>
              <w:bottom w:val="single" w:sz="8" w:space="0" w:color="auto"/>
              <w:right w:val="single" w:sz="8" w:space="0" w:color="auto"/>
            </w:tcBorders>
          </w:tcPr>
          <w:p w14:paraId="0552C923" w14:textId="77777777" w:rsidR="00632208" w:rsidRPr="0098635C" w:rsidRDefault="00632208" w:rsidP="00A432B0">
            <w:pPr>
              <w:spacing w:after="0"/>
              <w:rPr>
                <w:color w:val="000000" w:themeColor="text1"/>
                <w:sz w:val="20"/>
                <w:szCs w:val="20"/>
              </w:rPr>
            </w:pPr>
            <w:r w:rsidRPr="0098635C">
              <w:rPr>
                <w:color w:val="000000" w:themeColor="text1"/>
                <w:sz w:val="20"/>
                <w:szCs w:val="20"/>
              </w:rPr>
              <w:t>Pseudokirchneriella subcapitata</w:t>
            </w:r>
          </w:p>
        </w:tc>
        <w:tc>
          <w:tcPr>
            <w:tcW w:w="1701" w:type="dxa"/>
            <w:tcBorders>
              <w:top w:val="nil"/>
              <w:left w:val="nil"/>
              <w:bottom w:val="single" w:sz="8" w:space="0" w:color="auto"/>
              <w:right w:val="single" w:sz="8" w:space="0" w:color="auto"/>
            </w:tcBorders>
          </w:tcPr>
          <w:p w14:paraId="53FAF58B" w14:textId="77777777" w:rsidR="00632208" w:rsidRPr="0098635C" w:rsidRDefault="00632208" w:rsidP="00A432B0">
            <w:pPr>
              <w:spacing w:after="0"/>
              <w:rPr>
                <w:color w:val="000000" w:themeColor="text1"/>
                <w:sz w:val="20"/>
                <w:szCs w:val="20"/>
              </w:rPr>
            </w:pPr>
            <w:r w:rsidRPr="0098635C">
              <w:rPr>
                <w:color w:val="000000" w:themeColor="text1"/>
                <w:sz w:val="20"/>
                <w:szCs w:val="20"/>
              </w:rPr>
              <w:t>Inoculum: 10,000 c/ml</w:t>
            </w:r>
          </w:p>
        </w:tc>
        <w:tc>
          <w:tcPr>
            <w:tcW w:w="709" w:type="dxa"/>
            <w:tcBorders>
              <w:top w:val="nil"/>
              <w:left w:val="nil"/>
              <w:bottom w:val="single" w:sz="8" w:space="0" w:color="auto"/>
              <w:right w:val="single" w:sz="8" w:space="0" w:color="auto"/>
            </w:tcBorders>
          </w:tcPr>
          <w:p w14:paraId="5DAAA751" w14:textId="77777777" w:rsidR="00632208" w:rsidRPr="0098635C" w:rsidRDefault="00632208" w:rsidP="00A432B0">
            <w:pPr>
              <w:spacing w:after="0"/>
              <w:rPr>
                <w:color w:val="000000" w:themeColor="text1"/>
                <w:sz w:val="20"/>
                <w:szCs w:val="20"/>
              </w:rPr>
            </w:pPr>
            <w:r w:rsidRPr="0098635C">
              <w:rPr>
                <w:color w:val="000000" w:themeColor="text1"/>
                <w:sz w:val="20"/>
                <w:szCs w:val="20"/>
              </w:rPr>
              <w:t>3 d</w:t>
            </w:r>
          </w:p>
        </w:tc>
        <w:tc>
          <w:tcPr>
            <w:tcW w:w="1276" w:type="dxa"/>
            <w:tcBorders>
              <w:top w:val="nil"/>
              <w:left w:val="nil"/>
              <w:bottom w:val="single" w:sz="8" w:space="0" w:color="auto"/>
              <w:right w:val="single" w:sz="8" w:space="0" w:color="auto"/>
            </w:tcBorders>
          </w:tcPr>
          <w:p w14:paraId="76E1B5C0"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single" w:sz="8" w:space="0" w:color="auto"/>
              <w:right w:val="single" w:sz="8" w:space="0" w:color="auto"/>
            </w:tcBorders>
          </w:tcPr>
          <w:p w14:paraId="4C067319"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15.7</w:t>
            </w:r>
          </w:p>
        </w:tc>
        <w:tc>
          <w:tcPr>
            <w:tcW w:w="709" w:type="dxa"/>
            <w:tcBorders>
              <w:top w:val="nil"/>
              <w:left w:val="nil"/>
              <w:bottom w:val="single" w:sz="8" w:space="0" w:color="auto"/>
              <w:right w:val="single" w:sz="8" w:space="0" w:color="auto"/>
            </w:tcBorders>
          </w:tcPr>
          <w:p w14:paraId="2E7A52BC"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single" w:sz="8" w:space="0" w:color="auto"/>
              <w:right w:val="single" w:sz="8" w:space="0" w:color="auto"/>
            </w:tcBorders>
          </w:tcPr>
          <w:p w14:paraId="25C4C92B"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single" w:sz="8" w:space="0" w:color="auto"/>
              <w:right w:val="single" w:sz="8" w:space="0" w:color="auto"/>
            </w:tcBorders>
          </w:tcPr>
          <w:p w14:paraId="09664C6B" w14:textId="77777777" w:rsidR="00632208" w:rsidRPr="0098635C" w:rsidRDefault="00632208" w:rsidP="00A432B0">
            <w:pPr>
              <w:spacing w:after="0"/>
              <w:rPr>
                <w:color w:val="000000" w:themeColor="text1"/>
                <w:sz w:val="20"/>
                <w:szCs w:val="20"/>
              </w:rPr>
            </w:pPr>
            <w:r w:rsidRPr="0098635C">
              <w:rPr>
                <w:color w:val="000000" w:themeColor="text1"/>
                <w:sz w:val="20"/>
                <w:szCs w:val="20"/>
              </w:rPr>
              <w:t>T: 23°C; pH: 8.2016; H: 169 mg/L CaCO3; DOC: 1.7 mg/L</w:t>
            </w:r>
          </w:p>
        </w:tc>
        <w:tc>
          <w:tcPr>
            <w:tcW w:w="1985" w:type="dxa"/>
            <w:tcBorders>
              <w:top w:val="nil"/>
              <w:left w:val="nil"/>
              <w:bottom w:val="single" w:sz="8" w:space="0" w:color="auto"/>
              <w:right w:val="single" w:sz="8" w:space="0" w:color="auto"/>
            </w:tcBorders>
          </w:tcPr>
          <w:p w14:paraId="348E5786" w14:textId="77777777" w:rsidR="00632208" w:rsidRPr="0098635C" w:rsidRDefault="00632208" w:rsidP="00A432B0">
            <w:pPr>
              <w:spacing w:after="0"/>
              <w:rPr>
                <w:color w:val="000000" w:themeColor="text1"/>
                <w:sz w:val="20"/>
                <w:szCs w:val="20"/>
              </w:rPr>
            </w:pPr>
            <w:r w:rsidRPr="0098635C">
              <w:rPr>
                <w:color w:val="000000" w:themeColor="text1"/>
                <w:sz w:val="20"/>
                <w:szCs w:val="20"/>
              </w:rPr>
              <w:t>Lake</w:t>
            </w:r>
          </w:p>
        </w:tc>
        <w:tc>
          <w:tcPr>
            <w:tcW w:w="2409" w:type="dxa"/>
            <w:tcBorders>
              <w:top w:val="nil"/>
              <w:left w:val="nil"/>
              <w:bottom w:val="single" w:sz="8" w:space="0" w:color="auto"/>
              <w:right w:val="double" w:sz="6" w:space="0" w:color="auto"/>
            </w:tcBorders>
          </w:tcPr>
          <w:p w14:paraId="53C0816D"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Heijerick et al., 2002 </w:t>
            </w:r>
          </w:p>
        </w:tc>
      </w:tr>
      <w:tr w:rsidR="00632208" w:rsidRPr="0098635C" w14:paraId="216E950D" w14:textId="77777777" w:rsidTr="00A432B0">
        <w:trPr>
          <w:trHeight w:val="173"/>
        </w:trPr>
        <w:tc>
          <w:tcPr>
            <w:tcW w:w="1701" w:type="dxa"/>
            <w:tcBorders>
              <w:top w:val="nil"/>
              <w:left w:val="double" w:sz="6" w:space="0" w:color="auto"/>
              <w:bottom w:val="double" w:sz="6" w:space="0" w:color="auto"/>
              <w:right w:val="single" w:sz="8" w:space="0" w:color="auto"/>
            </w:tcBorders>
          </w:tcPr>
          <w:p w14:paraId="6B0E0B1B" w14:textId="77777777" w:rsidR="00632208" w:rsidRPr="0098635C" w:rsidRDefault="00632208" w:rsidP="00A432B0">
            <w:pPr>
              <w:spacing w:after="0"/>
              <w:rPr>
                <w:color w:val="000000" w:themeColor="text1"/>
                <w:sz w:val="20"/>
                <w:szCs w:val="20"/>
              </w:rPr>
            </w:pPr>
            <w:r w:rsidRPr="0098635C">
              <w:rPr>
                <w:color w:val="000000" w:themeColor="text1"/>
                <w:sz w:val="20"/>
                <w:szCs w:val="20"/>
              </w:rPr>
              <w:t>Lemna minor</w:t>
            </w:r>
          </w:p>
        </w:tc>
        <w:tc>
          <w:tcPr>
            <w:tcW w:w="1701" w:type="dxa"/>
            <w:tcBorders>
              <w:top w:val="nil"/>
              <w:left w:val="nil"/>
              <w:bottom w:val="double" w:sz="6" w:space="0" w:color="auto"/>
              <w:right w:val="single" w:sz="8" w:space="0" w:color="auto"/>
            </w:tcBorders>
          </w:tcPr>
          <w:p w14:paraId="14CCFD4D" w14:textId="77777777" w:rsidR="00632208" w:rsidRPr="0098635C" w:rsidRDefault="00632208" w:rsidP="00A432B0">
            <w:pPr>
              <w:spacing w:after="0"/>
              <w:rPr>
                <w:color w:val="000000" w:themeColor="text1"/>
                <w:sz w:val="20"/>
                <w:szCs w:val="20"/>
              </w:rPr>
            </w:pPr>
            <w:r w:rsidRPr="0098635C">
              <w:rPr>
                <w:color w:val="000000" w:themeColor="text1"/>
                <w:sz w:val="20"/>
                <w:szCs w:val="20"/>
              </w:rPr>
              <w:t>Double fronded colonies</w:t>
            </w:r>
          </w:p>
        </w:tc>
        <w:tc>
          <w:tcPr>
            <w:tcW w:w="709" w:type="dxa"/>
            <w:tcBorders>
              <w:top w:val="nil"/>
              <w:left w:val="nil"/>
              <w:bottom w:val="double" w:sz="6" w:space="0" w:color="auto"/>
              <w:right w:val="single" w:sz="8" w:space="0" w:color="auto"/>
            </w:tcBorders>
          </w:tcPr>
          <w:p w14:paraId="171E3B6E" w14:textId="77777777" w:rsidR="00632208" w:rsidRPr="0098635C" w:rsidRDefault="00632208" w:rsidP="00A432B0">
            <w:pPr>
              <w:spacing w:after="0"/>
              <w:rPr>
                <w:color w:val="000000" w:themeColor="text1"/>
                <w:sz w:val="20"/>
                <w:szCs w:val="20"/>
              </w:rPr>
            </w:pPr>
            <w:r w:rsidRPr="0098635C">
              <w:rPr>
                <w:color w:val="000000" w:themeColor="text1"/>
                <w:sz w:val="20"/>
                <w:szCs w:val="20"/>
              </w:rPr>
              <w:t>7 d</w:t>
            </w:r>
          </w:p>
        </w:tc>
        <w:tc>
          <w:tcPr>
            <w:tcW w:w="1276" w:type="dxa"/>
            <w:tcBorders>
              <w:top w:val="nil"/>
              <w:left w:val="nil"/>
              <w:bottom w:val="double" w:sz="6" w:space="0" w:color="auto"/>
              <w:right w:val="single" w:sz="8" w:space="0" w:color="auto"/>
            </w:tcBorders>
          </w:tcPr>
          <w:p w14:paraId="7DDAB73C"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0" w:type="dxa"/>
            <w:tcBorders>
              <w:top w:val="nil"/>
              <w:left w:val="nil"/>
              <w:bottom w:val="double" w:sz="6" w:space="0" w:color="auto"/>
              <w:right w:val="single" w:sz="8" w:space="0" w:color="auto"/>
            </w:tcBorders>
          </w:tcPr>
          <w:p w14:paraId="4AB4758D" w14:textId="77777777" w:rsidR="00632208" w:rsidRPr="0098635C" w:rsidRDefault="00632208" w:rsidP="00A432B0">
            <w:pPr>
              <w:spacing w:after="0"/>
              <w:jc w:val="right"/>
              <w:rPr>
                <w:b/>
                <w:bCs/>
                <w:color w:val="000000" w:themeColor="text1"/>
                <w:sz w:val="20"/>
                <w:szCs w:val="20"/>
              </w:rPr>
            </w:pPr>
            <w:r w:rsidRPr="0098635C">
              <w:rPr>
                <w:b/>
                <w:bCs/>
                <w:color w:val="000000" w:themeColor="text1"/>
                <w:sz w:val="20"/>
                <w:szCs w:val="20"/>
              </w:rPr>
              <w:t>30</w:t>
            </w:r>
          </w:p>
        </w:tc>
        <w:tc>
          <w:tcPr>
            <w:tcW w:w="709" w:type="dxa"/>
            <w:tcBorders>
              <w:top w:val="nil"/>
              <w:left w:val="nil"/>
              <w:bottom w:val="double" w:sz="6" w:space="0" w:color="auto"/>
              <w:right w:val="single" w:sz="8" w:space="0" w:color="auto"/>
            </w:tcBorders>
          </w:tcPr>
          <w:p w14:paraId="080E8CB3" w14:textId="77777777" w:rsidR="00632208" w:rsidRPr="0098635C" w:rsidRDefault="00632208" w:rsidP="00A432B0">
            <w:pPr>
              <w:spacing w:after="0"/>
              <w:rPr>
                <w:color w:val="000000" w:themeColor="text1"/>
                <w:sz w:val="20"/>
                <w:szCs w:val="20"/>
              </w:rPr>
            </w:pPr>
            <w:r w:rsidRPr="0098635C">
              <w:rPr>
                <w:color w:val="000000" w:themeColor="text1"/>
                <w:sz w:val="20"/>
                <w:szCs w:val="20"/>
              </w:rPr>
              <w:t>S</w:t>
            </w:r>
          </w:p>
        </w:tc>
        <w:tc>
          <w:tcPr>
            <w:tcW w:w="709" w:type="dxa"/>
            <w:tcBorders>
              <w:top w:val="nil"/>
              <w:left w:val="nil"/>
              <w:bottom w:val="double" w:sz="6" w:space="0" w:color="auto"/>
              <w:right w:val="single" w:sz="8" w:space="0" w:color="auto"/>
            </w:tcBorders>
          </w:tcPr>
          <w:p w14:paraId="313866C6" w14:textId="77777777" w:rsidR="00632208" w:rsidRPr="0098635C" w:rsidRDefault="00632208" w:rsidP="00A432B0">
            <w:pPr>
              <w:spacing w:after="0"/>
              <w:rPr>
                <w:color w:val="000000" w:themeColor="text1"/>
                <w:sz w:val="20"/>
                <w:szCs w:val="20"/>
              </w:rPr>
            </w:pPr>
            <w:r w:rsidRPr="0098635C">
              <w:rPr>
                <w:color w:val="000000" w:themeColor="text1"/>
                <w:sz w:val="20"/>
                <w:szCs w:val="20"/>
              </w:rPr>
              <w:t>0.5*</w:t>
            </w:r>
          </w:p>
        </w:tc>
        <w:tc>
          <w:tcPr>
            <w:tcW w:w="3260" w:type="dxa"/>
            <w:tcBorders>
              <w:top w:val="nil"/>
              <w:left w:val="nil"/>
              <w:bottom w:val="double" w:sz="6" w:space="0" w:color="auto"/>
              <w:right w:val="single" w:sz="8" w:space="0" w:color="auto"/>
            </w:tcBorders>
          </w:tcPr>
          <w:p w14:paraId="5BCB992A"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 25°C; pH: 6.5; H : 26.8 mg/L CaCO3; DOC: 0.5 mg/L </w:t>
            </w:r>
            <w:r w:rsidRPr="0098635C">
              <w:rPr>
                <w:color w:val="000000" w:themeColor="text1"/>
                <w:sz w:val="20"/>
                <w:szCs w:val="20"/>
                <w:vertAlign w:val="superscript"/>
              </w:rPr>
              <w:t>(1)</w:t>
            </w:r>
          </w:p>
        </w:tc>
        <w:tc>
          <w:tcPr>
            <w:tcW w:w="1985" w:type="dxa"/>
            <w:tcBorders>
              <w:top w:val="nil"/>
              <w:left w:val="nil"/>
              <w:bottom w:val="double" w:sz="6" w:space="0" w:color="auto"/>
              <w:right w:val="single" w:sz="8" w:space="0" w:color="auto"/>
            </w:tcBorders>
          </w:tcPr>
          <w:p w14:paraId="2CBFB4EE" w14:textId="77777777" w:rsidR="00632208" w:rsidRPr="0098635C" w:rsidRDefault="00632208" w:rsidP="00A432B0">
            <w:pPr>
              <w:spacing w:after="0"/>
              <w:rPr>
                <w:color w:val="000000" w:themeColor="text1"/>
                <w:sz w:val="20"/>
                <w:szCs w:val="20"/>
              </w:rPr>
            </w:pPr>
            <w:r w:rsidRPr="0098635C">
              <w:rPr>
                <w:color w:val="000000" w:themeColor="text1"/>
                <w:sz w:val="20"/>
                <w:szCs w:val="20"/>
              </w:rPr>
              <w:t>artificial</w:t>
            </w:r>
          </w:p>
        </w:tc>
        <w:tc>
          <w:tcPr>
            <w:tcW w:w="2409" w:type="dxa"/>
            <w:tcBorders>
              <w:top w:val="nil"/>
              <w:left w:val="nil"/>
              <w:bottom w:val="double" w:sz="6" w:space="0" w:color="auto"/>
              <w:right w:val="double" w:sz="6" w:space="0" w:color="auto"/>
            </w:tcBorders>
          </w:tcPr>
          <w:p w14:paraId="518CCBAD"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Teisseire et al., 1998 </w:t>
            </w:r>
          </w:p>
        </w:tc>
      </w:tr>
    </w:tbl>
    <w:p w14:paraId="2A58C819" w14:textId="77777777" w:rsidR="00632208" w:rsidRPr="0098635C" w:rsidRDefault="00632208" w:rsidP="00632208">
      <w:pPr>
        <w:rPr>
          <w:color w:val="000000" w:themeColor="text1"/>
          <w:sz w:val="20"/>
          <w:szCs w:val="20"/>
        </w:rPr>
      </w:pPr>
    </w:p>
    <w:p w14:paraId="1C499D05" w14:textId="77777777" w:rsidR="00965849" w:rsidRPr="0098635C" w:rsidRDefault="00965849">
      <w:pPr>
        <w:widowControl/>
        <w:autoSpaceDE/>
        <w:autoSpaceDN/>
        <w:adjustRightInd/>
        <w:spacing w:after="0"/>
        <w:jc w:val="left"/>
        <w:rPr>
          <w:b/>
          <w:bCs/>
          <w:color w:val="000000" w:themeColor="text1"/>
          <w:sz w:val="20"/>
          <w:szCs w:val="20"/>
        </w:rPr>
      </w:pPr>
      <w:r w:rsidRPr="0098635C">
        <w:rPr>
          <w:b/>
          <w:bCs/>
          <w:color w:val="000000" w:themeColor="text1"/>
          <w:sz w:val="20"/>
          <w:szCs w:val="20"/>
        </w:rPr>
        <w:br w:type="page"/>
      </w:r>
    </w:p>
    <w:p w14:paraId="3CA0CA2C" w14:textId="5F9050BE" w:rsidR="00983DC2" w:rsidRPr="0098635C" w:rsidRDefault="00965849" w:rsidP="00632208">
      <w:pPr>
        <w:spacing w:before="80"/>
        <w:rPr>
          <w:color w:val="000000" w:themeColor="text1"/>
          <w:sz w:val="20"/>
          <w:szCs w:val="20"/>
        </w:rPr>
      </w:pPr>
      <w:r w:rsidRPr="0098635C">
        <w:rPr>
          <w:rFonts w:eastAsia="Calibri"/>
          <w:color w:val="000000" w:themeColor="text1"/>
          <w:sz w:val="20"/>
          <w:szCs w:val="20"/>
        </w:rPr>
        <w:lastRenderedPageBreak/>
        <w:t>Annex XI</w:t>
      </w:r>
      <w:r w:rsidR="00EC6F09" w:rsidRPr="0098635C">
        <w:rPr>
          <w:rFonts w:eastAsia="Calibri"/>
          <w:color w:val="000000" w:themeColor="text1"/>
          <w:sz w:val="20"/>
          <w:szCs w:val="20"/>
        </w:rPr>
        <w:t>I</w:t>
      </w:r>
      <w:r w:rsidRPr="0098635C">
        <w:rPr>
          <w:rFonts w:eastAsia="Calibri"/>
          <w:color w:val="000000" w:themeColor="text1"/>
          <w:sz w:val="20"/>
          <w:szCs w:val="20"/>
        </w:rPr>
        <w:t xml:space="preserve">: </w:t>
      </w:r>
      <w:r w:rsidR="00632208" w:rsidRPr="0098635C">
        <w:rPr>
          <w:bCs/>
          <w:color w:val="000000" w:themeColor="text1"/>
          <w:sz w:val="20"/>
          <w:szCs w:val="20"/>
        </w:rPr>
        <w:t>High quality NOEC values for marine fish and related chemistry of the test waters.</w:t>
      </w:r>
      <w:r w:rsidR="00632208" w:rsidRPr="0098635C">
        <w:rPr>
          <w:color w:val="000000" w:themeColor="text1"/>
          <w:sz w:val="20"/>
          <w:szCs w:val="20"/>
        </w:rPr>
        <w:t xml:space="preserve"> </w:t>
      </w:r>
    </w:p>
    <w:p w14:paraId="1C6D0FD4" w14:textId="4E151214" w:rsidR="00632208" w:rsidRPr="0098635C" w:rsidRDefault="00632208" w:rsidP="00982513">
      <w:pPr>
        <w:spacing w:before="80"/>
        <w:rPr>
          <w:color w:val="000000" w:themeColor="text1"/>
          <w:sz w:val="20"/>
          <w:szCs w:val="20"/>
        </w:rPr>
      </w:pPr>
      <w:r w:rsidRPr="0098635C">
        <w:rPr>
          <w:color w:val="000000" w:themeColor="text1"/>
          <w:sz w:val="20"/>
          <w:szCs w:val="20"/>
        </w:rPr>
        <w:t>e: value was estimated; m: value was measured and reported; NR :  Background concentration not reported, but since results are based on measured concentrations, this does not affect the validity of the final result</w:t>
      </w:r>
      <w:r w:rsidR="00965849" w:rsidRPr="0098635C">
        <w:rPr>
          <w:color w:val="000000" w:themeColor="text1"/>
          <w:sz w:val="20"/>
          <w:szCs w:val="20"/>
        </w:rPr>
        <w:t xml:space="preserve">. </w:t>
      </w:r>
      <w:r w:rsidRPr="0098635C">
        <w:rPr>
          <w:color w:val="000000" w:themeColor="text1"/>
          <w:sz w:val="20"/>
          <w:szCs w:val="20"/>
        </w:rPr>
        <w:t>NOEC values between brachets are not included in the derivation of a species mean NOEC, because they are not the most sensitive biological endpoint for the species</w:t>
      </w:r>
    </w:p>
    <w:p w14:paraId="1F050738" w14:textId="77777777" w:rsidR="00632208" w:rsidRPr="0098635C" w:rsidRDefault="00632208" w:rsidP="00632208">
      <w:pPr>
        <w:spacing w:before="80" w:after="0"/>
        <w:rPr>
          <w:color w:val="000000" w:themeColor="text1"/>
          <w:sz w:val="20"/>
          <w:szCs w:val="20"/>
        </w:rPr>
      </w:pPr>
    </w:p>
    <w:tbl>
      <w:tblPr>
        <w:tblW w:w="15027" w:type="dxa"/>
        <w:tblInd w:w="-885" w:type="dxa"/>
        <w:tblLayout w:type="fixed"/>
        <w:tblLook w:val="0000" w:firstRow="0" w:lastRow="0" w:firstColumn="0" w:lastColumn="0" w:noHBand="0" w:noVBand="0"/>
      </w:tblPr>
      <w:tblGrid>
        <w:gridCol w:w="1844"/>
        <w:gridCol w:w="1701"/>
        <w:gridCol w:w="1134"/>
        <w:gridCol w:w="1701"/>
        <w:gridCol w:w="709"/>
        <w:gridCol w:w="1417"/>
        <w:gridCol w:w="851"/>
        <w:gridCol w:w="850"/>
        <w:gridCol w:w="851"/>
        <w:gridCol w:w="1984"/>
        <w:gridCol w:w="1985"/>
      </w:tblGrid>
      <w:tr w:rsidR="00632208" w:rsidRPr="0098635C" w14:paraId="05DF03C3" w14:textId="77777777" w:rsidTr="00A432B0">
        <w:trPr>
          <w:trHeight w:val="542"/>
        </w:trPr>
        <w:tc>
          <w:tcPr>
            <w:tcW w:w="1844" w:type="dxa"/>
            <w:tcBorders>
              <w:top w:val="double" w:sz="6" w:space="0" w:color="auto"/>
              <w:left w:val="double" w:sz="6" w:space="0" w:color="auto"/>
              <w:bottom w:val="single" w:sz="8" w:space="0" w:color="auto"/>
              <w:right w:val="single" w:sz="4" w:space="0" w:color="auto"/>
            </w:tcBorders>
          </w:tcPr>
          <w:p w14:paraId="1EF2A299" w14:textId="77777777" w:rsidR="00632208" w:rsidRPr="0098635C" w:rsidRDefault="00632208" w:rsidP="00A432B0">
            <w:pPr>
              <w:spacing w:after="0"/>
              <w:rPr>
                <w:b/>
                <w:bCs/>
                <w:color w:val="000000" w:themeColor="text1"/>
                <w:sz w:val="20"/>
                <w:szCs w:val="20"/>
              </w:rPr>
            </w:pPr>
            <w:r w:rsidRPr="0098635C">
              <w:rPr>
                <w:b/>
                <w:bCs/>
                <w:color w:val="000000" w:themeColor="text1"/>
                <w:sz w:val="20"/>
                <w:szCs w:val="20"/>
              </w:rPr>
              <w:t xml:space="preserve">Species </w:t>
            </w:r>
          </w:p>
        </w:tc>
        <w:tc>
          <w:tcPr>
            <w:tcW w:w="1701" w:type="dxa"/>
            <w:tcBorders>
              <w:top w:val="double" w:sz="6" w:space="0" w:color="auto"/>
              <w:left w:val="nil"/>
              <w:bottom w:val="single" w:sz="8" w:space="0" w:color="auto"/>
              <w:right w:val="single" w:sz="4" w:space="0" w:color="auto"/>
            </w:tcBorders>
          </w:tcPr>
          <w:p w14:paraId="5D548459" w14:textId="77777777" w:rsidR="00632208" w:rsidRPr="0098635C" w:rsidRDefault="00632208" w:rsidP="00A432B0">
            <w:pPr>
              <w:spacing w:after="0"/>
              <w:rPr>
                <w:b/>
                <w:bCs/>
                <w:color w:val="000000" w:themeColor="text1"/>
                <w:sz w:val="20"/>
                <w:szCs w:val="20"/>
              </w:rPr>
            </w:pPr>
            <w:r w:rsidRPr="0098635C">
              <w:rPr>
                <w:b/>
                <w:bCs/>
                <w:color w:val="000000" w:themeColor="text1"/>
                <w:sz w:val="20"/>
                <w:szCs w:val="20"/>
              </w:rPr>
              <w:t>Age and/or size of test organism</w:t>
            </w:r>
          </w:p>
        </w:tc>
        <w:tc>
          <w:tcPr>
            <w:tcW w:w="1134" w:type="dxa"/>
            <w:tcBorders>
              <w:top w:val="double" w:sz="6" w:space="0" w:color="auto"/>
              <w:left w:val="nil"/>
              <w:bottom w:val="single" w:sz="8" w:space="0" w:color="auto"/>
              <w:right w:val="single" w:sz="4" w:space="0" w:color="auto"/>
            </w:tcBorders>
          </w:tcPr>
          <w:p w14:paraId="0E663017" w14:textId="77777777" w:rsidR="00632208" w:rsidRPr="0098635C" w:rsidRDefault="00632208" w:rsidP="00A432B0">
            <w:pPr>
              <w:spacing w:after="0"/>
              <w:rPr>
                <w:b/>
                <w:bCs/>
                <w:color w:val="000000" w:themeColor="text1"/>
                <w:sz w:val="20"/>
                <w:szCs w:val="20"/>
              </w:rPr>
            </w:pPr>
            <w:r w:rsidRPr="0098635C">
              <w:rPr>
                <w:b/>
                <w:bCs/>
                <w:color w:val="000000" w:themeColor="text1"/>
                <w:sz w:val="20"/>
                <w:szCs w:val="20"/>
              </w:rPr>
              <w:t>Test duration</w:t>
            </w:r>
          </w:p>
        </w:tc>
        <w:tc>
          <w:tcPr>
            <w:tcW w:w="1701" w:type="dxa"/>
            <w:tcBorders>
              <w:top w:val="double" w:sz="6" w:space="0" w:color="auto"/>
              <w:left w:val="nil"/>
              <w:bottom w:val="single" w:sz="8" w:space="0" w:color="auto"/>
              <w:right w:val="single" w:sz="4" w:space="0" w:color="auto"/>
            </w:tcBorders>
          </w:tcPr>
          <w:p w14:paraId="014F8919" w14:textId="77777777" w:rsidR="00632208" w:rsidRPr="0098635C" w:rsidRDefault="00632208" w:rsidP="00A432B0">
            <w:pPr>
              <w:spacing w:after="0"/>
              <w:rPr>
                <w:b/>
                <w:bCs/>
                <w:color w:val="000000" w:themeColor="text1"/>
                <w:sz w:val="20"/>
                <w:szCs w:val="20"/>
              </w:rPr>
            </w:pPr>
            <w:r w:rsidRPr="0098635C">
              <w:rPr>
                <w:b/>
                <w:bCs/>
                <w:color w:val="000000" w:themeColor="text1"/>
                <w:sz w:val="20"/>
                <w:szCs w:val="20"/>
              </w:rPr>
              <w:t>Effect parameter</w:t>
            </w:r>
          </w:p>
        </w:tc>
        <w:tc>
          <w:tcPr>
            <w:tcW w:w="709" w:type="dxa"/>
            <w:tcBorders>
              <w:top w:val="double" w:sz="6" w:space="0" w:color="auto"/>
              <w:left w:val="nil"/>
              <w:bottom w:val="single" w:sz="8" w:space="0" w:color="auto"/>
              <w:right w:val="single" w:sz="4" w:space="0" w:color="auto"/>
            </w:tcBorders>
          </w:tcPr>
          <w:p w14:paraId="634B3409" w14:textId="77777777" w:rsidR="00632208" w:rsidRPr="0098635C" w:rsidRDefault="00632208" w:rsidP="00A432B0">
            <w:pPr>
              <w:spacing w:after="0"/>
              <w:rPr>
                <w:b/>
                <w:bCs/>
                <w:color w:val="000000" w:themeColor="text1"/>
                <w:sz w:val="20"/>
                <w:szCs w:val="20"/>
              </w:rPr>
            </w:pPr>
            <w:r w:rsidRPr="0098635C">
              <w:rPr>
                <w:b/>
                <w:bCs/>
                <w:color w:val="000000" w:themeColor="text1"/>
                <w:sz w:val="20"/>
                <w:szCs w:val="20"/>
              </w:rPr>
              <w:t>NOEC Value (µg/l)</w:t>
            </w:r>
          </w:p>
        </w:tc>
        <w:tc>
          <w:tcPr>
            <w:tcW w:w="1417" w:type="dxa"/>
            <w:tcBorders>
              <w:top w:val="double" w:sz="6" w:space="0" w:color="auto"/>
              <w:left w:val="nil"/>
              <w:bottom w:val="single" w:sz="8" w:space="0" w:color="auto"/>
              <w:right w:val="single" w:sz="4" w:space="0" w:color="auto"/>
            </w:tcBorders>
          </w:tcPr>
          <w:p w14:paraId="571820B3" w14:textId="77777777" w:rsidR="00632208" w:rsidRPr="0098635C" w:rsidRDefault="00632208" w:rsidP="00A432B0">
            <w:pPr>
              <w:spacing w:after="0"/>
              <w:rPr>
                <w:b/>
                <w:bCs/>
                <w:color w:val="000000" w:themeColor="text1"/>
                <w:sz w:val="20"/>
                <w:szCs w:val="20"/>
              </w:rPr>
            </w:pPr>
            <w:r w:rsidRPr="0098635C">
              <w:rPr>
                <w:b/>
                <w:bCs/>
                <w:color w:val="000000" w:themeColor="text1"/>
                <w:sz w:val="20"/>
                <w:szCs w:val="20"/>
              </w:rPr>
              <w:t>Administration of test substance</w:t>
            </w:r>
          </w:p>
        </w:tc>
        <w:tc>
          <w:tcPr>
            <w:tcW w:w="851" w:type="dxa"/>
            <w:tcBorders>
              <w:top w:val="double" w:sz="6" w:space="0" w:color="auto"/>
              <w:left w:val="nil"/>
              <w:bottom w:val="single" w:sz="8" w:space="0" w:color="auto"/>
              <w:right w:val="single" w:sz="4" w:space="0" w:color="auto"/>
            </w:tcBorders>
          </w:tcPr>
          <w:p w14:paraId="0ACC6320" w14:textId="77777777" w:rsidR="00632208" w:rsidRPr="0098635C" w:rsidRDefault="00632208" w:rsidP="00A432B0">
            <w:pPr>
              <w:spacing w:after="0"/>
              <w:rPr>
                <w:b/>
                <w:bCs/>
                <w:color w:val="000000" w:themeColor="text1"/>
                <w:sz w:val="20"/>
                <w:szCs w:val="20"/>
              </w:rPr>
            </w:pPr>
            <w:r w:rsidRPr="0098635C">
              <w:rPr>
                <w:b/>
                <w:bCs/>
                <w:color w:val="000000" w:themeColor="text1"/>
                <w:sz w:val="20"/>
                <w:szCs w:val="20"/>
              </w:rPr>
              <w:t>Cu back-ground</w:t>
            </w:r>
          </w:p>
          <w:p w14:paraId="53AB59C1" w14:textId="2B6C6A4A" w:rsidR="00AB66EA" w:rsidRPr="0098635C" w:rsidRDefault="00AB66EA" w:rsidP="00A432B0">
            <w:pPr>
              <w:spacing w:after="0"/>
              <w:rPr>
                <w:b/>
                <w:bCs/>
                <w:color w:val="000000" w:themeColor="text1"/>
                <w:sz w:val="20"/>
                <w:szCs w:val="20"/>
              </w:rPr>
            </w:pPr>
            <w:r w:rsidRPr="0098635C">
              <w:rPr>
                <w:b/>
                <w:bCs/>
                <w:color w:val="000000" w:themeColor="text1"/>
                <w:sz w:val="20"/>
                <w:szCs w:val="20"/>
              </w:rPr>
              <w:t>(µg/l)</w:t>
            </w:r>
          </w:p>
        </w:tc>
        <w:tc>
          <w:tcPr>
            <w:tcW w:w="850" w:type="dxa"/>
            <w:tcBorders>
              <w:top w:val="double" w:sz="6" w:space="0" w:color="auto"/>
              <w:left w:val="nil"/>
              <w:bottom w:val="single" w:sz="8" w:space="0" w:color="auto"/>
              <w:right w:val="single" w:sz="4" w:space="0" w:color="auto"/>
            </w:tcBorders>
          </w:tcPr>
          <w:p w14:paraId="6F9F1C13" w14:textId="77777777" w:rsidR="00632208" w:rsidRPr="0098635C" w:rsidRDefault="00632208" w:rsidP="00A432B0">
            <w:pPr>
              <w:spacing w:after="0"/>
              <w:rPr>
                <w:b/>
                <w:bCs/>
                <w:color w:val="000000" w:themeColor="text1"/>
                <w:sz w:val="20"/>
                <w:szCs w:val="20"/>
              </w:rPr>
            </w:pPr>
            <w:r w:rsidRPr="0098635C">
              <w:rPr>
                <w:b/>
                <w:bCs/>
                <w:color w:val="000000" w:themeColor="text1"/>
                <w:sz w:val="20"/>
                <w:szCs w:val="20"/>
              </w:rPr>
              <w:t>DOC</w:t>
            </w:r>
          </w:p>
          <w:p w14:paraId="4604F25F" w14:textId="77777777" w:rsidR="00632208" w:rsidRPr="0098635C" w:rsidRDefault="00632208" w:rsidP="00A432B0">
            <w:pPr>
              <w:spacing w:after="0"/>
              <w:rPr>
                <w:b/>
                <w:bCs/>
                <w:color w:val="000000" w:themeColor="text1"/>
                <w:sz w:val="20"/>
                <w:szCs w:val="20"/>
              </w:rPr>
            </w:pPr>
            <w:r w:rsidRPr="0098635C">
              <w:rPr>
                <w:b/>
                <w:bCs/>
                <w:color w:val="000000" w:themeColor="text1"/>
                <w:sz w:val="20"/>
                <w:szCs w:val="20"/>
              </w:rPr>
              <w:t>mg/L</w:t>
            </w:r>
          </w:p>
        </w:tc>
        <w:tc>
          <w:tcPr>
            <w:tcW w:w="851" w:type="dxa"/>
            <w:tcBorders>
              <w:top w:val="double" w:sz="6" w:space="0" w:color="auto"/>
              <w:left w:val="nil"/>
              <w:bottom w:val="single" w:sz="8" w:space="0" w:color="auto"/>
              <w:right w:val="single" w:sz="4" w:space="0" w:color="auto"/>
            </w:tcBorders>
          </w:tcPr>
          <w:p w14:paraId="46D30EE3" w14:textId="77777777" w:rsidR="00632208" w:rsidRPr="0098635C" w:rsidRDefault="00632208" w:rsidP="00A432B0">
            <w:pPr>
              <w:spacing w:after="0"/>
              <w:rPr>
                <w:b/>
                <w:bCs/>
                <w:color w:val="000000" w:themeColor="text1"/>
                <w:sz w:val="20"/>
                <w:szCs w:val="20"/>
              </w:rPr>
            </w:pPr>
            <w:r w:rsidRPr="0098635C">
              <w:rPr>
                <w:b/>
                <w:bCs/>
                <w:color w:val="000000" w:themeColor="text1"/>
                <w:sz w:val="20"/>
                <w:szCs w:val="20"/>
              </w:rPr>
              <w:t>Salinity</w:t>
            </w:r>
          </w:p>
          <w:p w14:paraId="29EEF548" w14:textId="77777777" w:rsidR="00632208" w:rsidRPr="0098635C" w:rsidRDefault="00632208" w:rsidP="00A432B0">
            <w:pPr>
              <w:spacing w:after="0"/>
              <w:rPr>
                <w:b/>
                <w:bCs/>
                <w:color w:val="000000" w:themeColor="text1"/>
                <w:sz w:val="20"/>
                <w:szCs w:val="20"/>
              </w:rPr>
            </w:pPr>
            <w:r w:rsidRPr="0098635C">
              <w:rPr>
                <w:b/>
                <w:bCs/>
                <w:color w:val="000000" w:themeColor="text1"/>
                <w:sz w:val="20"/>
                <w:szCs w:val="20"/>
              </w:rPr>
              <w:t>(g/l)</w:t>
            </w:r>
          </w:p>
        </w:tc>
        <w:tc>
          <w:tcPr>
            <w:tcW w:w="1984" w:type="dxa"/>
            <w:tcBorders>
              <w:top w:val="double" w:sz="6" w:space="0" w:color="auto"/>
              <w:left w:val="nil"/>
              <w:bottom w:val="single" w:sz="8" w:space="0" w:color="auto"/>
              <w:right w:val="single" w:sz="4" w:space="0" w:color="auto"/>
            </w:tcBorders>
          </w:tcPr>
          <w:p w14:paraId="4F448453" w14:textId="77777777" w:rsidR="00632208" w:rsidRPr="0098635C" w:rsidRDefault="00632208" w:rsidP="00A432B0">
            <w:pPr>
              <w:spacing w:after="0"/>
              <w:rPr>
                <w:b/>
                <w:bCs/>
                <w:color w:val="000000" w:themeColor="text1"/>
                <w:sz w:val="20"/>
                <w:szCs w:val="20"/>
              </w:rPr>
            </w:pPr>
            <w:r w:rsidRPr="0098635C">
              <w:rPr>
                <w:b/>
                <w:bCs/>
                <w:color w:val="000000" w:themeColor="text1"/>
                <w:sz w:val="20"/>
                <w:szCs w:val="20"/>
              </w:rPr>
              <w:t>Test water</w:t>
            </w:r>
          </w:p>
        </w:tc>
        <w:tc>
          <w:tcPr>
            <w:tcW w:w="1985" w:type="dxa"/>
            <w:tcBorders>
              <w:top w:val="double" w:sz="6" w:space="0" w:color="auto"/>
              <w:left w:val="nil"/>
              <w:bottom w:val="single" w:sz="8" w:space="0" w:color="auto"/>
              <w:right w:val="double" w:sz="6" w:space="0" w:color="auto"/>
            </w:tcBorders>
          </w:tcPr>
          <w:p w14:paraId="129554B3" w14:textId="77777777" w:rsidR="00632208" w:rsidRPr="0098635C" w:rsidRDefault="00632208" w:rsidP="00A432B0">
            <w:pPr>
              <w:spacing w:after="0"/>
              <w:rPr>
                <w:b/>
                <w:bCs/>
                <w:color w:val="000000" w:themeColor="text1"/>
                <w:sz w:val="20"/>
                <w:szCs w:val="20"/>
              </w:rPr>
            </w:pPr>
            <w:r w:rsidRPr="0098635C">
              <w:rPr>
                <w:b/>
                <w:bCs/>
                <w:color w:val="000000" w:themeColor="text1"/>
                <w:sz w:val="20"/>
                <w:szCs w:val="20"/>
              </w:rPr>
              <w:t>Reference</w:t>
            </w:r>
          </w:p>
        </w:tc>
      </w:tr>
      <w:tr w:rsidR="00632208" w:rsidRPr="0098635C" w14:paraId="49F8880D" w14:textId="77777777" w:rsidTr="00A432B0">
        <w:trPr>
          <w:trHeight w:val="64"/>
        </w:trPr>
        <w:tc>
          <w:tcPr>
            <w:tcW w:w="1844" w:type="dxa"/>
            <w:tcBorders>
              <w:top w:val="nil"/>
              <w:left w:val="double" w:sz="6" w:space="0" w:color="auto"/>
              <w:bottom w:val="single" w:sz="4" w:space="0" w:color="auto"/>
              <w:right w:val="single" w:sz="4" w:space="0" w:color="auto"/>
            </w:tcBorders>
          </w:tcPr>
          <w:p w14:paraId="57A0142C"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Atherinops affinis</w:t>
            </w:r>
          </w:p>
        </w:tc>
        <w:tc>
          <w:tcPr>
            <w:tcW w:w="1701" w:type="dxa"/>
            <w:tcBorders>
              <w:top w:val="nil"/>
              <w:left w:val="nil"/>
              <w:bottom w:val="single" w:sz="4" w:space="0" w:color="auto"/>
              <w:right w:val="single" w:sz="4" w:space="0" w:color="auto"/>
            </w:tcBorders>
          </w:tcPr>
          <w:p w14:paraId="3332CF00"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early blastula embryo </w:t>
            </w:r>
          </w:p>
        </w:tc>
        <w:tc>
          <w:tcPr>
            <w:tcW w:w="1134" w:type="dxa"/>
            <w:tcBorders>
              <w:top w:val="nil"/>
              <w:left w:val="nil"/>
              <w:bottom w:val="single" w:sz="4" w:space="0" w:color="auto"/>
              <w:right w:val="single" w:sz="4" w:space="0" w:color="auto"/>
            </w:tcBorders>
          </w:tcPr>
          <w:p w14:paraId="3F3C05DF" w14:textId="77777777" w:rsidR="00632208" w:rsidRPr="0098635C" w:rsidRDefault="00632208" w:rsidP="00A432B0">
            <w:pPr>
              <w:spacing w:after="0"/>
              <w:rPr>
                <w:color w:val="000000" w:themeColor="text1"/>
                <w:sz w:val="20"/>
                <w:szCs w:val="20"/>
              </w:rPr>
            </w:pPr>
            <w:r w:rsidRPr="0098635C">
              <w:rPr>
                <w:color w:val="000000" w:themeColor="text1"/>
                <w:sz w:val="20"/>
                <w:szCs w:val="20"/>
              </w:rPr>
              <w:t>12 days</w:t>
            </w:r>
          </w:p>
        </w:tc>
        <w:tc>
          <w:tcPr>
            <w:tcW w:w="1701" w:type="dxa"/>
            <w:tcBorders>
              <w:top w:val="nil"/>
              <w:left w:val="nil"/>
              <w:bottom w:val="single" w:sz="4" w:space="0" w:color="auto"/>
              <w:right w:val="single" w:sz="4" w:space="0" w:color="auto"/>
            </w:tcBorders>
          </w:tcPr>
          <w:p w14:paraId="7CBA11CD" w14:textId="77777777" w:rsidR="00632208" w:rsidRPr="0098635C" w:rsidRDefault="00632208" w:rsidP="00A432B0">
            <w:pPr>
              <w:spacing w:after="0"/>
              <w:rPr>
                <w:color w:val="000000" w:themeColor="text1"/>
                <w:sz w:val="20"/>
                <w:szCs w:val="20"/>
              </w:rPr>
            </w:pPr>
            <w:r w:rsidRPr="0098635C">
              <w:rPr>
                <w:color w:val="000000" w:themeColor="text1"/>
                <w:sz w:val="20"/>
                <w:szCs w:val="20"/>
              </w:rPr>
              <w:t>embryo abnormalities</w:t>
            </w:r>
          </w:p>
        </w:tc>
        <w:tc>
          <w:tcPr>
            <w:tcW w:w="709" w:type="dxa"/>
            <w:tcBorders>
              <w:top w:val="nil"/>
              <w:left w:val="nil"/>
              <w:bottom w:val="single" w:sz="4" w:space="0" w:color="auto"/>
              <w:right w:val="single" w:sz="4" w:space="0" w:color="auto"/>
            </w:tcBorders>
          </w:tcPr>
          <w:p w14:paraId="0949E4DB" w14:textId="77777777" w:rsidR="00632208" w:rsidRPr="0098635C" w:rsidRDefault="00632208" w:rsidP="00A432B0">
            <w:pPr>
              <w:spacing w:after="0"/>
              <w:rPr>
                <w:color w:val="000000" w:themeColor="text1"/>
                <w:sz w:val="20"/>
                <w:szCs w:val="20"/>
              </w:rPr>
            </w:pPr>
            <w:r w:rsidRPr="0098635C">
              <w:rPr>
                <w:color w:val="000000" w:themeColor="text1"/>
                <w:sz w:val="20"/>
                <w:szCs w:val="20"/>
              </w:rPr>
              <w:t>(123)</w:t>
            </w:r>
          </w:p>
        </w:tc>
        <w:tc>
          <w:tcPr>
            <w:tcW w:w="1417" w:type="dxa"/>
            <w:tcBorders>
              <w:top w:val="nil"/>
              <w:left w:val="nil"/>
              <w:bottom w:val="single" w:sz="4" w:space="0" w:color="auto"/>
              <w:right w:val="single" w:sz="4" w:space="0" w:color="auto"/>
            </w:tcBorders>
          </w:tcPr>
          <w:p w14:paraId="72DD50F0" w14:textId="77777777" w:rsidR="00632208" w:rsidRPr="0098635C" w:rsidRDefault="00632208" w:rsidP="00A432B0">
            <w:pPr>
              <w:spacing w:after="0"/>
              <w:rPr>
                <w:color w:val="000000" w:themeColor="text1"/>
                <w:sz w:val="20"/>
                <w:szCs w:val="20"/>
              </w:rPr>
            </w:pPr>
            <w:r w:rsidRPr="0098635C">
              <w:rPr>
                <w:color w:val="000000" w:themeColor="text1"/>
                <w:sz w:val="20"/>
                <w:szCs w:val="20"/>
              </w:rPr>
              <w:t>static</w:t>
            </w:r>
          </w:p>
        </w:tc>
        <w:tc>
          <w:tcPr>
            <w:tcW w:w="851" w:type="dxa"/>
            <w:tcBorders>
              <w:top w:val="nil"/>
              <w:left w:val="nil"/>
              <w:bottom w:val="single" w:sz="4" w:space="0" w:color="auto"/>
              <w:right w:val="single" w:sz="4" w:space="0" w:color="auto"/>
            </w:tcBorders>
          </w:tcPr>
          <w:p w14:paraId="2F770DE9" w14:textId="77777777" w:rsidR="00632208" w:rsidRPr="0098635C" w:rsidRDefault="00632208" w:rsidP="00A432B0">
            <w:pPr>
              <w:spacing w:after="0"/>
              <w:rPr>
                <w:color w:val="000000" w:themeColor="text1"/>
                <w:sz w:val="20"/>
                <w:szCs w:val="20"/>
              </w:rPr>
            </w:pPr>
            <w:r w:rsidRPr="0098635C">
              <w:rPr>
                <w:color w:val="000000" w:themeColor="text1"/>
                <w:sz w:val="20"/>
                <w:szCs w:val="20"/>
              </w:rPr>
              <w:t>&lt;3m</w:t>
            </w:r>
          </w:p>
        </w:tc>
        <w:tc>
          <w:tcPr>
            <w:tcW w:w="850" w:type="dxa"/>
            <w:tcBorders>
              <w:top w:val="nil"/>
              <w:left w:val="nil"/>
              <w:bottom w:val="single" w:sz="4" w:space="0" w:color="auto"/>
              <w:right w:val="single" w:sz="4" w:space="0" w:color="auto"/>
            </w:tcBorders>
          </w:tcPr>
          <w:p w14:paraId="055D6DE7" w14:textId="77777777" w:rsidR="00632208" w:rsidRPr="0098635C" w:rsidRDefault="00632208" w:rsidP="00A432B0">
            <w:pPr>
              <w:spacing w:after="0"/>
              <w:rPr>
                <w:color w:val="000000" w:themeColor="text1"/>
                <w:sz w:val="20"/>
                <w:szCs w:val="20"/>
              </w:rPr>
            </w:pPr>
            <w:r w:rsidRPr="0098635C">
              <w:rPr>
                <w:color w:val="000000" w:themeColor="text1"/>
                <w:sz w:val="20"/>
                <w:szCs w:val="20"/>
              </w:rPr>
              <w:t>2.0e</w:t>
            </w:r>
          </w:p>
        </w:tc>
        <w:tc>
          <w:tcPr>
            <w:tcW w:w="851" w:type="dxa"/>
            <w:tcBorders>
              <w:top w:val="nil"/>
              <w:left w:val="nil"/>
              <w:bottom w:val="single" w:sz="4" w:space="0" w:color="auto"/>
              <w:right w:val="single" w:sz="4" w:space="0" w:color="auto"/>
            </w:tcBorders>
          </w:tcPr>
          <w:p w14:paraId="6C4DEA9E" w14:textId="77777777" w:rsidR="00632208" w:rsidRPr="0098635C" w:rsidRDefault="00632208" w:rsidP="00A432B0">
            <w:pPr>
              <w:spacing w:after="0"/>
              <w:rPr>
                <w:color w:val="000000" w:themeColor="text1"/>
                <w:sz w:val="20"/>
                <w:szCs w:val="20"/>
              </w:rPr>
            </w:pPr>
            <w:r w:rsidRPr="0098635C">
              <w:rPr>
                <w:color w:val="000000" w:themeColor="text1"/>
                <w:sz w:val="20"/>
                <w:szCs w:val="20"/>
              </w:rPr>
              <w:t>33</w:t>
            </w:r>
          </w:p>
        </w:tc>
        <w:tc>
          <w:tcPr>
            <w:tcW w:w="1984" w:type="dxa"/>
            <w:tcBorders>
              <w:top w:val="nil"/>
              <w:left w:val="nil"/>
              <w:bottom w:val="single" w:sz="4" w:space="0" w:color="auto"/>
              <w:right w:val="single" w:sz="4" w:space="0" w:color="auto"/>
            </w:tcBorders>
          </w:tcPr>
          <w:p w14:paraId="042E95FB" w14:textId="77777777" w:rsidR="00632208" w:rsidRPr="0098635C" w:rsidRDefault="00632208" w:rsidP="00A432B0">
            <w:pPr>
              <w:spacing w:after="0"/>
              <w:rPr>
                <w:color w:val="000000" w:themeColor="text1"/>
                <w:sz w:val="20"/>
                <w:szCs w:val="20"/>
              </w:rPr>
            </w:pPr>
            <w:r w:rsidRPr="0098635C">
              <w:rPr>
                <w:color w:val="000000" w:themeColor="text1"/>
                <w:sz w:val="20"/>
                <w:szCs w:val="20"/>
              </w:rPr>
              <w:t>filtered natural seawater</w:t>
            </w:r>
          </w:p>
        </w:tc>
        <w:tc>
          <w:tcPr>
            <w:tcW w:w="1985" w:type="dxa"/>
            <w:tcBorders>
              <w:top w:val="nil"/>
              <w:left w:val="nil"/>
              <w:bottom w:val="single" w:sz="4" w:space="0" w:color="auto"/>
              <w:right w:val="double" w:sz="6" w:space="0" w:color="auto"/>
            </w:tcBorders>
          </w:tcPr>
          <w:p w14:paraId="0A3C64ED" w14:textId="77777777" w:rsidR="00632208" w:rsidRPr="0098635C" w:rsidRDefault="00632208" w:rsidP="00A432B0">
            <w:pPr>
              <w:spacing w:after="0"/>
              <w:rPr>
                <w:color w:val="000000" w:themeColor="text1"/>
                <w:sz w:val="20"/>
                <w:szCs w:val="20"/>
              </w:rPr>
            </w:pPr>
            <w:r w:rsidRPr="0098635C">
              <w:rPr>
                <w:color w:val="000000" w:themeColor="text1"/>
                <w:sz w:val="20"/>
                <w:szCs w:val="20"/>
              </w:rPr>
              <w:t>Anderson et al., 1991</w:t>
            </w:r>
          </w:p>
        </w:tc>
      </w:tr>
      <w:tr w:rsidR="00632208" w:rsidRPr="0098635C" w14:paraId="20233D13" w14:textId="77777777" w:rsidTr="00A432B0">
        <w:trPr>
          <w:trHeight w:val="74"/>
        </w:trPr>
        <w:tc>
          <w:tcPr>
            <w:tcW w:w="1844" w:type="dxa"/>
            <w:tcBorders>
              <w:top w:val="nil"/>
              <w:left w:val="double" w:sz="6" w:space="0" w:color="auto"/>
              <w:bottom w:val="single" w:sz="4" w:space="0" w:color="auto"/>
              <w:right w:val="single" w:sz="4" w:space="0" w:color="auto"/>
            </w:tcBorders>
          </w:tcPr>
          <w:p w14:paraId="5E883E27"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Atherinops affinis</w:t>
            </w:r>
          </w:p>
        </w:tc>
        <w:tc>
          <w:tcPr>
            <w:tcW w:w="1701" w:type="dxa"/>
            <w:tcBorders>
              <w:top w:val="nil"/>
              <w:left w:val="nil"/>
              <w:bottom w:val="single" w:sz="4" w:space="0" w:color="auto"/>
              <w:right w:val="single" w:sz="4" w:space="0" w:color="auto"/>
            </w:tcBorders>
          </w:tcPr>
          <w:p w14:paraId="2BC5396F"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early blastula embryo </w:t>
            </w:r>
          </w:p>
        </w:tc>
        <w:tc>
          <w:tcPr>
            <w:tcW w:w="1134" w:type="dxa"/>
            <w:tcBorders>
              <w:top w:val="nil"/>
              <w:left w:val="nil"/>
              <w:bottom w:val="single" w:sz="4" w:space="0" w:color="auto"/>
              <w:right w:val="single" w:sz="4" w:space="0" w:color="auto"/>
            </w:tcBorders>
          </w:tcPr>
          <w:p w14:paraId="483913F1" w14:textId="77777777" w:rsidR="00632208" w:rsidRPr="0098635C" w:rsidRDefault="00632208" w:rsidP="00A432B0">
            <w:pPr>
              <w:spacing w:after="0"/>
              <w:rPr>
                <w:color w:val="000000" w:themeColor="text1"/>
                <w:sz w:val="20"/>
                <w:szCs w:val="20"/>
              </w:rPr>
            </w:pPr>
            <w:r w:rsidRPr="0098635C">
              <w:rPr>
                <w:color w:val="000000" w:themeColor="text1"/>
                <w:sz w:val="20"/>
                <w:szCs w:val="20"/>
              </w:rPr>
              <w:t>12 days</w:t>
            </w:r>
          </w:p>
        </w:tc>
        <w:tc>
          <w:tcPr>
            <w:tcW w:w="1701" w:type="dxa"/>
            <w:tcBorders>
              <w:top w:val="nil"/>
              <w:left w:val="nil"/>
              <w:bottom w:val="single" w:sz="4" w:space="0" w:color="auto"/>
              <w:right w:val="single" w:sz="4" w:space="0" w:color="auto"/>
            </w:tcBorders>
          </w:tcPr>
          <w:p w14:paraId="50BEDC5E" w14:textId="77777777" w:rsidR="00632208" w:rsidRPr="0098635C" w:rsidRDefault="00632208" w:rsidP="00A432B0">
            <w:pPr>
              <w:spacing w:after="0"/>
              <w:rPr>
                <w:color w:val="000000" w:themeColor="text1"/>
                <w:sz w:val="20"/>
                <w:szCs w:val="20"/>
              </w:rPr>
            </w:pPr>
            <w:r w:rsidRPr="0098635C">
              <w:rPr>
                <w:color w:val="000000" w:themeColor="text1"/>
                <w:sz w:val="20"/>
                <w:szCs w:val="20"/>
              </w:rPr>
              <w:t>hatchability</w:t>
            </w:r>
          </w:p>
        </w:tc>
        <w:tc>
          <w:tcPr>
            <w:tcW w:w="709" w:type="dxa"/>
            <w:tcBorders>
              <w:top w:val="nil"/>
              <w:left w:val="nil"/>
              <w:bottom w:val="single" w:sz="4" w:space="0" w:color="auto"/>
              <w:right w:val="single" w:sz="4" w:space="0" w:color="auto"/>
            </w:tcBorders>
          </w:tcPr>
          <w:p w14:paraId="4518D77E" w14:textId="77777777" w:rsidR="00632208" w:rsidRPr="0098635C" w:rsidRDefault="00632208" w:rsidP="00A432B0">
            <w:pPr>
              <w:spacing w:after="0"/>
              <w:rPr>
                <w:color w:val="000000" w:themeColor="text1"/>
                <w:sz w:val="20"/>
                <w:szCs w:val="20"/>
              </w:rPr>
            </w:pPr>
            <w:r w:rsidRPr="0098635C">
              <w:rPr>
                <w:color w:val="000000" w:themeColor="text1"/>
                <w:sz w:val="20"/>
                <w:szCs w:val="20"/>
              </w:rPr>
              <w:t>(123-</w:t>
            </w:r>
          </w:p>
        </w:tc>
        <w:tc>
          <w:tcPr>
            <w:tcW w:w="1417" w:type="dxa"/>
            <w:tcBorders>
              <w:top w:val="nil"/>
              <w:left w:val="nil"/>
              <w:bottom w:val="single" w:sz="4" w:space="0" w:color="auto"/>
              <w:right w:val="single" w:sz="4" w:space="0" w:color="auto"/>
            </w:tcBorders>
          </w:tcPr>
          <w:p w14:paraId="650FD257" w14:textId="77777777" w:rsidR="00632208" w:rsidRPr="0098635C" w:rsidRDefault="00632208" w:rsidP="00A432B0">
            <w:pPr>
              <w:spacing w:after="0"/>
              <w:rPr>
                <w:color w:val="000000" w:themeColor="text1"/>
                <w:sz w:val="20"/>
                <w:szCs w:val="20"/>
              </w:rPr>
            </w:pPr>
            <w:r w:rsidRPr="0098635C">
              <w:rPr>
                <w:color w:val="000000" w:themeColor="text1"/>
                <w:sz w:val="20"/>
                <w:szCs w:val="20"/>
              </w:rPr>
              <w:t>static</w:t>
            </w:r>
          </w:p>
        </w:tc>
        <w:tc>
          <w:tcPr>
            <w:tcW w:w="851" w:type="dxa"/>
            <w:tcBorders>
              <w:top w:val="nil"/>
              <w:left w:val="nil"/>
              <w:bottom w:val="single" w:sz="4" w:space="0" w:color="auto"/>
              <w:right w:val="single" w:sz="4" w:space="0" w:color="auto"/>
            </w:tcBorders>
          </w:tcPr>
          <w:p w14:paraId="2B053E15" w14:textId="77777777" w:rsidR="00632208" w:rsidRPr="0098635C" w:rsidRDefault="00632208" w:rsidP="00A432B0">
            <w:pPr>
              <w:spacing w:after="0"/>
              <w:rPr>
                <w:color w:val="000000" w:themeColor="text1"/>
                <w:sz w:val="20"/>
                <w:szCs w:val="20"/>
              </w:rPr>
            </w:pPr>
            <w:r w:rsidRPr="0098635C">
              <w:rPr>
                <w:color w:val="000000" w:themeColor="text1"/>
                <w:sz w:val="20"/>
                <w:szCs w:val="20"/>
              </w:rPr>
              <w:t>&lt;3m</w:t>
            </w:r>
          </w:p>
        </w:tc>
        <w:tc>
          <w:tcPr>
            <w:tcW w:w="850" w:type="dxa"/>
            <w:tcBorders>
              <w:top w:val="nil"/>
              <w:left w:val="nil"/>
              <w:bottom w:val="single" w:sz="4" w:space="0" w:color="auto"/>
              <w:right w:val="single" w:sz="4" w:space="0" w:color="auto"/>
            </w:tcBorders>
          </w:tcPr>
          <w:p w14:paraId="032B6361" w14:textId="77777777" w:rsidR="00632208" w:rsidRPr="0098635C" w:rsidRDefault="00632208" w:rsidP="00A432B0">
            <w:pPr>
              <w:spacing w:after="0"/>
              <w:rPr>
                <w:color w:val="000000" w:themeColor="text1"/>
                <w:sz w:val="20"/>
                <w:szCs w:val="20"/>
              </w:rPr>
            </w:pPr>
            <w:r w:rsidRPr="0098635C">
              <w:rPr>
                <w:color w:val="000000" w:themeColor="text1"/>
                <w:sz w:val="20"/>
                <w:szCs w:val="20"/>
              </w:rPr>
              <w:t>2.0e</w:t>
            </w:r>
          </w:p>
        </w:tc>
        <w:tc>
          <w:tcPr>
            <w:tcW w:w="851" w:type="dxa"/>
            <w:tcBorders>
              <w:top w:val="nil"/>
              <w:left w:val="nil"/>
              <w:bottom w:val="single" w:sz="4" w:space="0" w:color="auto"/>
              <w:right w:val="single" w:sz="4" w:space="0" w:color="auto"/>
            </w:tcBorders>
          </w:tcPr>
          <w:p w14:paraId="3290391C" w14:textId="77777777" w:rsidR="00632208" w:rsidRPr="0098635C" w:rsidRDefault="00632208" w:rsidP="00A432B0">
            <w:pPr>
              <w:spacing w:after="0"/>
              <w:rPr>
                <w:color w:val="000000" w:themeColor="text1"/>
                <w:sz w:val="20"/>
                <w:szCs w:val="20"/>
              </w:rPr>
            </w:pPr>
            <w:r w:rsidRPr="0098635C">
              <w:rPr>
                <w:color w:val="000000" w:themeColor="text1"/>
                <w:sz w:val="20"/>
                <w:szCs w:val="20"/>
              </w:rPr>
              <w:t>33</w:t>
            </w:r>
          </w:p>
        </w:tc>
        <w:tc>
          <w:tcPr>
            <w:tcW w:w="1984" w:type="dxa"/>
            <w:tcBorders>
              <w:top w:val="nil"/>
              <w:left w:val="nil"/>
              <w:bottom w:val="single" w:sz="4" w:space="0" w:color="auto"/>
              <w:right w:val="single" w:sz="4" w:space="0" w:color="auto"/>
            </w:tcBorders>
          </w:tcPr>
          <w:p w14:paraId="61EBBBD7" w14:textId="77777777" w:rsidR="00632208" w:rsidRPr="0098635C" w:rsidRDefault="00632208" w:rsidP="00A432B0">
            <w:pPr>
              <w:spacing w:after="0"/>
              <w:rPr>
                <w:color w:val="000000" w:themeColor="text1"/>
                <w:sz w:val="20"/>
                <w:szCs w:val="20"/>
              </w:rPr>
            </w:pPr>
            <w:r w:rsidRPr="0098635C">
              <w:rPr>
                <w:color w:val="000000" w:themeColor="text1"/>
                <w:sz w:val="20"/>
                <w:szCs w:val="20"/>
              </w:rPr>
              <w:t>filtered natural seawater</w:t>
            </w:r>
          </w:p>
        </w:tc>
        <w:tc>
          <w:tcPr>
            <w:tcW w:w="1985" w:type="dxa"/>
            <w:tcBorders>
              <w:top w:val="nil"/>
              <w:left w:val="nil"/>
              <w:bottom w:val="single" w:sz="4" w:space="0" w:color="auto"/>
              <w:right w:val="double" w:sz="6" w:space="0" w:color="auto"/>
            </w:tcBorders>
          </w:tcPr>
          <w:p w14:paraId="2B9221B1" w14:textId="77777777" w:rsidR="00632208" w:rsidRPr="0098635C" w:rsidRDefault="00632208" w:rsidP="00A432B0">
            <w:pPr>
              <w:spacing w:after="0"/>
              <w:rPr>
                <w:color w:val="000000" w:themeColor="text1"/>
                <w:sz w:val="20"/>
                <w:szCs w:val="20"/>
              </w:rPr>
            </w:pPr>
            <w:r w:rsidRPr="0098635C">
              <w:rPr>
                <w:color w:val="000000" w:themeColor="text1"/>
                <w:sz w:val="20"/>
                <w:szCs w:val="20"/>
              </w:rPr>
              <w:t>Anderson et al., 1991</w:t>
            </w:r>
          </w:p>
        </w:tc>
      </w:tr>
      <w:tr w:rsidR="00632208" w:rsidRPr="0098635C" w14:paraId="6E7250D4" w14:textId="77777777" w:rsidTr="00A432B0">
        <w:trPr>
          <w:trHeight w:val="74"/>
        </w:trPr>
        <w:tc>
          <w:tcPr>
            <w:tcW w:w="1844" w:type="dxa"/>
            <w:tcBorders>
              <w:top w:val="nil"/>
              <w:left w:val="double" w:sz="6" w:space="0" w:color="auto"/>
              <w:bottom w:val="single" w:sz="4" w:space="0" w:color="auto"/>
              <w:right w:val="single" w:sz="4" w:space="0" w:color="auto"/>
            </w:tcBorders>
          </w:tcPr>
          <w:p w14:paraId="02EAB71B"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Atherinops affinis</w:t>
            </w:r>
          </w:p>
        </w:tc>
        <w:tc>
          <w:tcPr>
            <w:tcW w:w="1701" w:type="dxa"/>
            <w:tcBorders>
              <w:top w:val="nil"/>
              <w:left w:val="nil"/>
              <w:bottom w:val="single" w:sz="4" w:space="0" w:color="auto"/>
              <w:right w:val="single" w:sz="4" w:space="0" w:color="auto"/>
            </w:tcBorders>
          </w:tcPr>
          <w:p w14:paraId="017F38F1"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early blastula embryo </w:t>
            </w:r>
          </w:p>
        </w:tc>
        <w:tc>
          <w:tcPr>
            <w:tcW w:w="1134" w:type="dxa"/>
            <w:tcBorders>
              <w:top w:val="nil"/>
              <w:left w:val="nil"/>
              <w:bottom w:val="single" w:sz="4" w:space="0" w:color="auto"/>
              <w:right w:val="single" w:sz="4" w:space="0" w:color="auto"/>
            </w:tcBorders>
          </w:tcPr>
          <w:p w14:paraId="08B81686" w14:textId="77777777" w:rsidR="00632208" w:rsidRPr="0098635C" w:rsidRDefault="00632208" w:rsidP="00A432B0">
            <w:pPr>
              <w:spacing w:after="0"/>
              <w:rPr>
                <w:color w:val="000000" w:themeColor="text1"/>
                <w:sz w:val="20"/>
                <w:szCs w:val="20"/>
              </w:rPr>
            </w:pPr>
            <w:r w:rsidRPr="0098635C">
              <w:rPr>
                <w:color w:val="000000" w:themeColor="text1"/>
                <w:sz w:val="20"/>
                <w:szCs w:val="20"/>
              </w:rPr>
              <w:t>12 days</w:t>
            </w:r>
          </w:p>
        </w:tc>
        <w:tc>
          <w:tcPr>
            <w:tcW w:w="1701" w:type="dxa"/>
            <w:tcBorders>
              <w:top w:val="nil"/>
              <w:left w:val="nil"/>
              <w:bottom w:val="single" w:sz="4" w:space="0" w:color="auto"/>
              <w:right w:val="single" w:sz="4" w:space="0" w:color="auto"/>
            </w:tcBorders>
          </w:tcPr>
          <w:p w14:paraId="1944DA28" w14:textId="77777777" w:rsidR="00632208" w:rsidRPr="0098635C" w:rsidRDefault="00632208" w:rsidP="00A432B0">
            <w:pPr>
              <w:spacing w:after="0"/>
              <w:rPr>
                <w:color w:val="000000" w:themeColor="text1"/>
                <w:sz w:val="20"/>
                <w:szCs w:val="20"/>
              </w:rPr>
            </w:pPr>
            <w:r w:rsidRPr="0098635C">
              <w:rPr>
                <w:color w:val="000000" w:themeColor="text1"/>
                <w:sz w:val="20"/>
                <w:szCs w:val="20"/>
              </w:rPr>
              <w:t>young abnormalities</w:t>
            </w:r>
          </w:p>
        </w:tc>
        <w:tc>
          <w:tcPr>
            <w:tcW w:w="709" w:type="dxa"/>
            <w:tcBorders>
              <w:top w:val="nil"/>
              <w:left w:val="nil"/>
              <w:bottom w:val="single" w:sz="4" w:space="0" w:color="auto"/>
              <w:right w:val="single" w:sz="4" w:space="0" w:color="auto"/>
            </w:tcBorders>
          </w:tcPr>
          <w:p w14:paraId="01720230" w14:textId="77777777" w:rsidR="00632208" w:rsidRPr="0098635C" w:rsidRDefault="00632208" w:rsidP="00A432B0">
            <w:pPr>
              <w:spacing w:after="0"/>
              <w:rPr>
                <w:color w:val="000000" w:themeColor="text1"/>
                <w:sz w:val="20"/>
                <w:szCs w:val="20"/>
              </w:rPr>
            </w:pPr>
            <w:r w:rsidRPr="0098635C">
              <w:rPr>
                <w:color w:val="000000" w:themeColor="text1"/>
                <w:sz w:val="20"/>
                <w:szCs w:val="20"/>
              </w:rPr>
              <w:t>63</w:t>
            </w:r>
          </w:p>
        </w:tc>
        <w:tc>
          <w:tcPr>
            <w:tcW w:w="1417" w:type="dxa"/>
            <w:tcBorders>
              <w:top w:val="nil"/>
              <w:left w:val="nil"/>
              <w:bottom w:val="single" w:sz="4" w:space="0" w:color="auto"/>
              <w:right w:val="single" w:sz="4" w:space="0" w:color="auto"/>
            </w:tcBorders>
          </w:tcPr>
          <w:p w14:paraId="0DCAA651" w14:textId="77777777" w:rsidR="00632208" w:rsidRPr="0098635C" w:rsidRDefault="00632208" w:rsidP="00A432B0">
            <w:pPr>
              <w:spacing w:after="0"/>
              <w:rPr>
                <w:color w:val="000000" w:themeColor="text1"/>
                <w:sz w:val="20"/>
                <w:szCs w:val="20"/>
              </w:rPr>
            </w:pPr>
            <w:r w:rsidRPr="0098635C">
              <w:rPr>
                <w:color w:val="000000" w:themeColor="text1"/>
                <w:sz w:val="20"/>
                <w:szCs w:val="20"/>
              </w:rPr>
              <w:t>static</w:t>
            </w:r>
          </w:p>
        </w:tc>
        <w:tc>
          <w:tcPr>
            <w:tcW w:w="851" w:type="dxa"/>
            <w:tcBorders>
              <w:top w:val="nil"/>
              <w:left w:val="nil"/>
              <w:bottom w:val="single" w:sz="4" w:space="0" w:color="auto"/>
              <w:right w:val="single" w:sz="4" w:space="0" w:color="auto"/>
            </w:tcBorders>
          </w:tcPr>
          <w:p w14:paraId="325B23E9" w14:textId="77777777" w:rsidR="00632208" w:rsidRPr="0098635C" w:rsidRDefault="00632208" w:rsidP="00A432B0">
            <w:pPr>
              <w:spacing w:after="0"/>
              <w:rPr>
                <w:color w:val="000000" w:themeColor="text1"/>
                <w:sz w:val="20"/>
                <w:szCs w:val="20"/>
              </w:rPr>
            </w:pPr>
            <w:r w:rsidRPr="0098635C">
              <w:rPr>
                <w:color w:val="000000" w:themeColor="text1"/>
                <w:sz w:val="20"/>
                <w:szCs w:val="20"/>
              </w:rPr>
              <w:t>&lt;3m</w:t>
            </w:r>
          </w:p>
        </w:tc>
        <w:tc>
          <w:tcPr>
            <w:tcW w:w="850" w:type="dxa"/>
            <w:tcBorders>
              <w:top w:val="nil"/>
              <w:left w:val="nil"/>
              <w:bottom w:val="single" w:sz="4" w:space="0" w:color="auto"/>
              <w:right w:val="single" w:sz="4" w:space="0" w:color="auto"/>
            </w:tcBorders>
          </w:tcPr>
          <w:p w14:paraId="6D7D78CD" w14:textId="77777777" w:rsidR="00632208" w:rsidRPr="0098635C" w:rsidRDefault="00632208" w:rsidP="00A432B0">
            <w:pPr>
              <w:spacing w:after="0"/>
              <w:rPr>
                <w:color w:val="000000" w:themeColor="text1"/>
                <w:sz w:val="20"/>
                <w:szCs w:val="20"/>
              </w:rPr>
            </w:pPr>
            <w:r w:rsidRPr="0098635C">
              <w:rPr>
                <w:color w:val="000000" w:themeColor="text1"/>
                <w:sz w:val="20"/>
                <w:szCs w:val="20"/>
              </w:rPr>
              <w:t>2.0e</w:t>
            </w:r>
          </w:p>
        </w:tc>
        <w:tc>
          <w:tcPr>
            <w:tcW w:w="851" w:type="dxa"/>
            <w:tcBorders>
              <w:top w:val="nil"/>
              <w:left w:val="nil"/>
              <w:bottom w:val="single" w:sz="4" w:space="0" w:color="auto"/>
              <w:right w:val="single" w:sz="4" w:space="0" w:color="auto"/>
            </w:tcBorders>
          </w:tcPr>
          <w:p w14:paraId="01905254" w14:textId="77777777" w:rsidR="00632208" w:rsidRPr="0098635C" w:rsidRDefault="00632208" w:rsidP="00A432B0">
            <w:pPr>
              <w:spacing w:after="0"/>
              <w:rPr>
                <w:color w:val="000000" w:themeColor="text1"/>
                <w:sz w:val="20"/>
                <w:szCs w:val="20"/>
              </w:rPr>
            </w:pPr>
            <w:r w:rsidRPr="0098635C">
              <w:rPr>
                <w:color w:val="000000" w:themeColor="text1"/>
                <w:sz w:val="20"/>
                <w:szCs w:val="20"/>
              </w:rPr>
              <w:t>33</w:t>
            </w:r>
          </w:p>
        </w:tc>
        <w:tc>
          <w:tcPr>
            <w:tcW w:w="1984" w:type="dxa"/>
            <w:tcBorders>
              <w:top w:val="nil"/>
              <w:left w:val="nil"/>
              <w:bottom w:val="single" w:sz="4" w:space="0" w:color="auto"/>
              <w:right w:val="single" w:sz="4" w:space="0" w:color="auto"/>
            </w:tcBorders>
          </w:tcPr>
          <w:p w14:paraId="18B30BC1" w14:textId="77777777" w:rsidR="00632208" w:rsidRPr="0098635C" w:rsidRDefault="00632208" w:rsidP="00A432B0">
            <w:pPr>
              <w:spacing w:after="0"/>
              <w:rPr>
                <w:color w:val="000000" w:themeColor="text1"/>
                <w:sz w:val="20"/>
                <w:szCs w:val="20"/>
              </w:rPr>
            </w:pPr>
            <w:r w:rsidRPr="0098635C">
              <w:rPr>
                <w:color w:val="000000" w:themeColor="text1"/>
                <w:sz w:val="20"/>
                <w:szCs w:val="20"/>
              </w:rPr>
              <w:t>filtered natural seawater</w:t>
            </w:r>
          </w:p>
        </w:tc>
        <w:tc>
          <w:tcPr>
            <w:tcW w:w="1985" w:type="dxa"/>
            <w:tcBorders>
              <w:top w:val="nil"/>
              <w:left w:val="nil"/>
              <w:bottom w:val="single" w:sz="4" w:space="0" w:color="auto"/>
              <w:right w:val="double" w:sz="6" w:space="0" w:color="auto"/>
            </w:tcBorders>
          </w:tcPr>
          <w:p w14:paraId="27D6972D" w14:textId="77777777" w:rsidR="00632208" w:rsidRPr="0098635C" w:rsidRDefault="00632208" w:rsidP="00A432B0">
            <w:pPr>
              <w:spacing w:after="0"/>
              <w:rPr>
                <w:color w:val="000000" w:themeColor="text1"/>
                <w:sz w:val="20"/>
                <w:szCs w:val="20"/>
              </w:rPr>
            </w:pPr>
            <w:r w:rsidRPr="0098635C">
              <w:rPr>
                <w:color w:val="000000" w:themeColor="text1"/>
                <w:sz w:val="20"/>
                <w:szCs w:val="20"/>
              </w:rPr>
              <w:t>Anderson et al., 1991</w:t>
            </w:r>
          </w:p>
        </w:tc>
      </w:tr>
      <w:tr w:rsidR="00632208" w:rsidRPr="0098635C" w14:paraId="4B08EE39" w14:textId="77777777" w:rsidTr="00A432B0">
        <w:trPr>
          <w:trHeight w:val="74"/>
        </w:trPr>
        <w:tc>
          <w:tcPr>
            <w:tcW w:w="1844" w:type="dxa"/>
            <w:tcBorders>
              <w:top w:val="nil"/>
              <w:left w:val="double" w:sz="6" w:space="0" w:color="auto"/>
              <w:bottom w:val="single" w:sz="4" w:space="0" w:color="auto"/>
              <w:right w:val="single" w:sz="4" w:space="0" w:color="auto"/>
            </w:tcBorders>
          </w:tcPr>
          <w:p w14:paraId="3293D568"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Atherinops affinis</w:t>
            </w:r>
          </w:p>
        </w:tc>
        <w:tc>
          <w:tcPr>
            <w:tcW w:w="1701" w:type="dxa"/>
            <w:tcBorders>
              <w:top w:val="nil"/>
              <w:left w:val="nil"/>
              <w:bottom w:val="single" w:sz="4" w:space="0" w:color="auto"/>
              <w:right w:val="single" w:sz="4" w:space="0" w:color="auto"/>
            </w:tcBorders>
          </w:tcPr>
          <w:p w14:paraId="6C6EC6BA"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early blastula embryo </w:t>
            </w:r>
          </w:p>
        </w:tc>
        <w:tc>
          <w:tcPr>
            <w:tcW w:w="1134" w:type="dxa"/>
            <w:tcBorders>
              <w:top w:val="nil"/>
              <w:left w:val="nil"/>
              <w:bottom w:val="single" w:sz="4" w:space="0" w:color="auto"/>
              <w:right w:val="single" w:sz="4" w:space="0" w:color="auto"/>
            </w:tcBorders>
          </w:tcPr>
          <w:p w14:paraId="70CAC680" w14:textId="77777777" w:rsidR="00632208" w:rsidRPr="0098635C" w:rsidRDefault="00632208" w:rsidP="00A432B0">
            <w:pPr>
              <w:spacing w:after="0"/>
              <w:rPr>
                <w:color w:val="000000" w:themeColor="text1"/>
                <w:sz w:val="20"/>
                <w:szCs w:val="20"/>
              </w:rPr>
            </w:pPr>
            <w:r w:rsidRPr="0098635C">
              <w:rPr>
                <w:color w:val="000000" w:themeColor="text1"/>
                <w:sz w:val="20"/>
                <w:szCs w:val="20"/>
              </w:rPr>
              <w:t>12 days</w:t>
            </w:r>
          </w:p>
        </w:tc>
        <w:tc>
          <w:tcPr>
            <w:tcW w:w="1701" w:type="dxa"/>
            <w:tcBorders>
              <w:top w:val="nil"/>
              <w:left w:val="nil"/>
              <w:bottom w:val="single" w:sz="4" w:space="0" w:color="auto"/>
              <w:right w:val="single" w:sz="4" w:space="0" w:color="auto"/>
            </w:tcBorders>
          </w:tcPr>
          <w:p w14:paraId="2E2E234C" w14:textId="77777777" w:rsidR="00632208" w:rsidRPr="0098635C" w:rsidRDefault="00632208" w:rsidP="00A432B0">
            <w:pPr>
              <w:spacing w:after="0"/>
              <w:rPr>
                <w:color w:val="000000" w:themeColor="text1"/>
                <w:sz w:val="20"/>
                <w:szCs w:val="20"/>
              </w:rPr>
            </w:pPr>
            <w:r w:rsidRPr="0098635C">
              <w:rPr>
                <w:color w:val="000000" w:themeColor="text1"/>
                <w:sz w:val="20"/>
                <w:szCs w:val="20"/>
              </w:rPr>
              <w:t>embryo abnormalities</w:t>
            </w:r>
          </w:p>
        </w:tc>
        <w:tc>
          <w:tcPr>
            <w:tcW w:w="709" w:type="dxa"/>
            <w:tcBorders>
              <w:top w:val="nil"/>
              <w:left w:val="nil"/>
              <w:bottom w:val="single" w:sz="4" w:space="0" w:color="auto"/>
              <w:right w:val="single" w:sz="4" w:space="0" w:color="auto"/>
            </w:tcBorders>
          </w:tcPr>
          <w:p w14:paraId="3B0CEBC2" w14:textId="77777777" w:rsidR="00632208" w:rsidRPr="0098635C" w:rsidRDefault="00632208" w:rsidP="00A432B0">
            <w:pPr>
              <w:spacing w:after="0"/>
              <w:rPr>
                <w:color w:val="000000" w:themeColor="text1"/>
                <w:sz w:val="20"/>
                <w:szCs w:val="20"/>
              </w:rPr>
            </w:pPr>
            <w:r w:rsidRPr="0098635C">
              <w:rPr>
                <w:color w:val="000000" w:themeColor="text1"/>
                <w:sz w:val="20"/>
                <w:szCs w:val="20"/>
              </w:rPr>
              <w:t>(115)</w:t>
            </w:r>
          </w:p>
        </w:tc>
        <w:tc>
          <w:tcPr>
            <w:tcW w:w="1417" w:type="dxa"/>
            <w:tcBorders>
              <w:top w:val="nil"/>
              <w:left w:val="nil"/>
              <w:bottom w:val="single" w:sz="4" w:space="0" w:color="auto"/>
              <w:right w:val="single" w:sz="4" w:space="0" w:color="auto"/>
            </w:tcBorders>
          </w:tcPr>
          <w:p w14:paraId="79BD4073" w14:textId="77777777" w:rsidR="00632208" w:rsidRPr="0098635C" w:rsidRDefault="00632208" w:rsidP="00A432B0">
            <w:pPr>
              <w:spacing w:after="0"/>
              <w:rPr>
                <w:color w:val="000000" w:themeColor="text1"/>
                <w:sz w:val="20"/>
                <w:szCs w:val="20"/>
              </w:rPr>
            </w:pPr>
            <w:r w:rsidRPr="0098635C">
              <w:rPr>
                <w:color w:val="000000" w:themeColor="text1"/>
                <w:sz w:val="20"/>
                <w:szCs w:val="20"/>
              </w:rPr>
              <w:t>static</w:t>
            </w:r>
          </w:p>
        </w:tc>
        <w:tc>
          <w:tcPr>
            <w:tcW w:w="851" w:type="dxa"/>
            <w:tcBorders>
              <w:top w:val="nil"/>
              <w:left w:val="nil"/>
              <w:bottom w:val="single" w:sz="4" w:space="0" w:color="auto"/>
              <w:right w:val="single" w:sz="4" w:space="0" w:color="auto"/>
            </w:tcBorders>
          </w:tcPr>
          <w:p w14:paraId="6C5E66D9" w14:textId="77777777" w:rsidR="00632208" w:rsidRPr="0098635C" w:rsidRDefault="00632208" w:rsidP="00A432B0">
            <w:pPr>
              <w:spacing w:after="0"/>
              <w:rPr>
                <w:color w:val="000000" w:themeColor="text1"/>
                <w:sz w:val="20"/>
                <w:szCs w:val="20"/>
              </w:rPr>
            </w:pPr>
            <w:r w:rsidRPr="0098635C">
              <w:rPr>
                <w:color w:val="000000" w:themeColor="text1"/>
                <w:sz w:val="20"/>
                <w:szCs w:val="20"/>
              </w:rPr>
              <w:t>&lt;3m</w:t>
            </w:r>
          </w:p>
        </w:tc>
        <w:tc>
          <w:tcPr>
            <w:tcW w:w="850" w:type="dxa"/>
            <w:tcBorders>
              <w:top w:val="nil"/>
              <w:left w:val="nil"/>
              <w:bottom w:val="single" w:sz="4" w:space="0" w:color="auto"/>
              <w:right w:val="single" w:sz="4" w:space="0" w:color="auto"/>
            </w:tcBorders>
          </w:tcPr>
          <w:p w14:paraId="7C9C8266" w14:textId="77777777" w:rsidR="00632208" w:rsidRPr="0098635C" w:rsidRDefault="00632208" w:rsidP="00A432B0">
            <w:pPr>
              <w:spacing w:after="0"/>
              <w:rPr>
                <w:color w:val="000000" w:themeColor="text1"/>
                <w:sz w:val="20"/>
                <w:szCs w:val="20"/>
              </w:rPr>
            </w:pPr>
            <w:r w:rsidRPr="0098635C">
              <w:rPr>
                <w:color w:val="000000" w:themeColor="text1"/>
                <w:sz w:val="20"/>
                <w:szCs w:val="20"/>
              </w:rPr>
              <w:t>2.0e</w:t>
            </w:r>
          </w:p>
        </w:tc>
        <w:tc>
          <w:tcPr>
            <w:tcW w:w="851" w:type="dxa"/>
            <w:tcBorders>
              <w:top w:val="nil"/>
              <w:left w:val="nil"/>
              <w:bottom w:val="single" w:sz="4" w:space="0" w:color="auto"/>
              <w:right w:val="single" w:sz="4" w:space="0" w:color="auto"/>
            </w:tcBorders>
          </w:tcPr>
          <w:p w14:paraId="1B436EBB" w14:textId="77777777" w:rsidR="00632208" w:rsidRPr="0098635C" w:rsidRDefault="00632208" w:rsidP="00A432B0">
            <w:pPr>
              <w:spacing w:after="0"/>
              <w:rPr>
                <w:color w:val="000000" w:themeColor="text1"/>
                <w:sz w:val="20"/>
                <w:szCs w:val="20"/>
              </w:rPr>
            </w:pPr>
            <w:r w:rsidRPr="0098635C">
              <w:rPr>
                <w:color w:val="000000" w:themeColor="text1"/>
                <w:sz w:val="20"/>
                <w:szCs w:val="20"/>
              </w:rPr>
              <w:t>33</w:t>
            </w:r>
          </w:p>
        </w:tc>
        <w:tc>
          <w:tcPr>
            <w:tcW w:w="1984" w:type="dxa"/>
            <w:tcBorders>
              <w:top w:val="nil"/>
              <w:left w:val="nil"/>
              <w:bottom w:val="single" w:sz="4" w:space="0" w:color="auto"/>
              <w:right w:val="single" w:sz="4" w:space="0" w:color="auto"/>
            </w:tcBorders>
          </w:tcPr>
          <w:p w14:paraId="04FBB02A" w14:textId="77777777" w:rsidR="00632208" w:rsidRPr="0098635C" w:rsidRDefault="00632208" w:rsidP="00A432B0">
            <w:pPr>
              <w:spacing w:after="0"/>
              <w:rPr>
                <w:color w:val="000000" w:themeColor="text1"/>
                <w:sz w:val="20"/>
                <w:szCs w:val="20"/>
              </w:rPr>
            </w:pPr>
            <w:r w:rsidRPr="0098635C">
              <w:rPr>
                <w:color w:val="000000" w:themeColor="text1"/>
                <w:sz w:val="20"/>
                <w:szCs w:val="20"/>
              </w:rPr>
              <w:t>filtered natural seawater</w:t>
            </w:r>
          </w:p>
        </w:tc>
        <w:tc>
          <w:tcPr>
            <w:tcW w:w="1985" w:type="dxa"/>
            <w:tcBorders>
              <w:top w:val="nil"/>
              <w:left w:val="nil"/>
              <w:bottom w:val="single" w:sz="4" w:space="0" w:color="auto"/>
              <w:right w:val="double" w:sz="6" w:space="0" w:color="auto"/>
            </w:tcBorders>
          </w:tcPr>
          <w:p w14:paraId="46A1DF86"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Anderson et al., 1991 </w:t>
            </w:r>
          </w:p>
        </w:tc>
      </w:tr>
      <w:tr w:rsidR="00632208" w:rsidRPr="0098635C" w14:paraId="2910C37A" w14:textId="77777777" w:rsidTr="00A432B0">
        <w:trPr>
          <w:trHeight w:val="74"/>
        </w:trPr>
        <w:tc>
          <w:tcPr>
            <w:tcW w:w="1844" w:type="dxa"/>
            <w:tcBorders>
              <w:top w:val="nil"/>
              <w:left w:val="double" w:sz="6" w:space="0" w:color="auto"/>
              <w:bottom w:val="single" w:sz="4" w:space="0" w:color="auto"/>
              <w:right w:val="single" w:sz="4" w:space="0" w:color="auto"/>
            </w:tcBorders>
          </w:tcPr>
          <w:p w14:paraId="30A7D2AE"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Atherinops affinis</w:t>
            </w:r>
          </w:p>
        </w:tc>
        <w:tc>
          <w:tcPr>
            <w:tcW w:w="1701" w:type="dxa"/>
            <w:tcBorders>
              <w:top w:val="nil"/>
              <w:left w:val="nil"/>
              <w:bottom w:val="single" w:sz="4" w:space="0" w:color="auto"/>
              <w:right w:val="single" w:sz="4" w:space="0" w:color="auto"/>
            </w:tcBorders>
          </w:tcPr>
          <w:p w14:paraId="314A2C1D"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early blastula embryo </w:t>
            </w:r>
          </w:p>
        </w:tc>
        <w:tc>
          <w:tcPr>
            <w:tcW w:w="1134" w:type="dxa"/>
            <w:tcBorders>
              <w:top w:val="nil"/>
              <w:left w:val="nil"/>
              <w:bottom w:val="single" w:sz="4" w:space="0" w:color="auto"/>
              <w:right w:val="single" w:sz="4" w:space="0" w:color="auto"/>
            </w:tcBorders>
          </w:tcPr>
          <w:p w14:paraId="058B1248" w14:textId="77777777" w:rsidR="00632208" w:rsidRPr="0098635C" w:rsidRDefault="00632208" w:rsidP="00A432B0">
            <w:pPr>
              <w:spacing w:after="0"/>
              <w:rPr>
                <w:color w:val="000000" w:themeColor="text1"/>
                <w:sz w:val="20"/>
                <w:szCs w:val="20"/>
              </w:rPr>
            </w:pPr>
            <w:r w:rsidRPr="0098635C">
              <w:rPr>
                <w:color w:val="000000" w:themeColor="text1"/>
                <w:sz w:val="20"/>
                <w:szCs w:val="20"/>
              </w:rPr>
              <w:t>12 days</w:t>
            </w:r>
          </w:p>
        </w:tc>
        <w:tc>
          <w:tcPr>
            <w:tcW w:w="1701" w:type="dxa"/>
            <w:tcBorders>
              <w:top w:val="nil"/>
              <w:left w:val="nil"/>
              <w:bottom w:val="single" w:sz="4" w:space="0" w:color="auto"/>
              <w:right w:val="single" w:sz="4" w:space="0" w:color="auto"/>
            </w:tcBorders>
          </w:tcPr>
          <w:p w14:paraId="4348FB0B" w14:textId="77777777" w:rsidR="00632208" w:rsidRPr="0098635C" w:rsidRDefault="00632208" w:rsidP="00A432B0">
            <w:pPr>
              <w:spacing w:after="0"/>
              <w:rPr>
                <w:color w:val="000000" w:themeColor="text1"/>
                <w:sz w:val="20"/>
                <w:szCs w:val="20"/>
              </w:rPr>
            </w:pPr>
            <w:r w:rsidRPr="0098635C">
              <w:rPr>
                <w:color w:val="000000" w:themeColor="text1"/>
                <w:sz w:val="20"/>
                <w:szCs w:val="20"/>
              </w:rPr>
              <w:t>hatchability</w:t>
            </w:r>
          </w:p>
        </w:tc>
        <w:tc>
          <w:tcPr>
            <w:tcW w:w="709" w:type="dxa"/>
            <w:tcBorders>
              <w:top w:val="nil"/>
              <w:left w:val="nil"/>
              <w:bottom w:val="single" w:sz="4" w:space="0" w:color="auto"/>
              <w:right w:val="single" w:sz="4" w:space="0" w:color="auto"/>
            </w:tcBorders>
          </w:tcPr>
          <w:p w14:paraId="61D3B940" w14:textId="77777777" w:rsidR="00632208" w:rsidRPr="0098635C" w:rsidRDefault="00632208" w:rsidP="00A432B0">
            <w:pPr>
              <w:spacing w:after="0"/>
              <w:rPr>
                <w:color w:val="000000" w:themeColor="text1"/>
                <w:sz w:val="20"/>
                <w:szCs w:val="20"/>
              </w:rPr>
            </w:pPr>
            <w:r w:rsidRPr="0098635C">
              <w:rPr>
                <w:color w:val="000000" w:themeColor="text1"/>
                <w:sz w:val="20"/>
                <w:szCs w:val="20"/>
              </w:rPr>
              <w:t>(115)</w:t>
            </w:r>
          </w:p>
        </w:tc>
        <w:tc>
          <w:tcPr>
            <w:tcW w:w="1417" w:type="dxa"/>
            <w:tcBorders>
              <w:top w:val="nil"/>
              <w:left w:val="nil"/>
              <w:bottom w:val="single" w:sz="4" w:space="0" w:color="auto"/>
              <w:right w:val="single" w:sz="4" w:space="0" w:color="auto"/>
            </w:tcBorders>
          </w:tcPr>
          <w:p w14:paraId="1276A771" w14:textId="77777777" w:rsidR="00632208" w:rsidRPr="0098635C" w:rsidRDefault="00632208" w:rsidP="00A432B0">
            <w:pPr>
              <w:spacing w:after="0"/>
              <w:rPr>
                <w:color w:val="000000" w:themeColor="text1"/>
                <w:sz w:val="20"/>
                <w:szCs w:val="20"/>
              </w:rPr>
            </w:pPr>
            <w:r w:rsidRPr="0098635C">
              <w:rPr>
                <w:color w:val="000000" w:themeColor="text1"/>
                <w:sz w:val="20"/>
                <w:szCs w:val="20"/>
              </w:rPr>
              <w:t>static</w:t>
            </w:r>
          </w:p>
        </w:tc>
        <w:tc>
          <w:tcPr>
            <w:tcW w:w="851" w:type="dxa"/>
            <w:tcBorders>
              <w:top w:val="nil"/>
              <w:left w:val="nil"/>
              <w:bottom w:val="single" w:sz="4" w:space="0" w:color="auto"/>
              <w:right w:val="single" w:sz="4" w:space="0" w:color="auto"/>
            </w:tcBorders>
          </w:tcPr>
          <w:p w14:paraId="6D024FB2" w14:textId="77777777" w:rsidR="00632208" w:rsidRPr="0098635C" w:rsidRDefault="00632208" w:rsidP="00A432B0">
            <w:pPr>
              <w:spacing w:after="0"/>
              <w:rPr>
                <w:color w:val="000000" w:themeColor="text1"/>
                <w:sz w:val="20"/>
                <w:szCs w:val="20"/>
              </w:rPr>
            </w:pPr>
            <w:r w:rsidRPr="0098635C">
              <w:rPr>
                <w:color w:val="000000" w:themeColor="text1"/>
                <w:sz w:val="20"/>
                <w:szCs w:val="20"/>
              </w:rPr>
              <w:t>&lt;3m</w:t>
            </w:r>
          </w:p>
        </w:tc>
        <w:tc>
          <w:tcPr>
            <w:tcW w:w="850" w:type="dxa"/>
            <w:tcBorders>
              <w:top w:val="nil"/>
              <w:left w:val="nil"/>
              <w:bottom w:val="single" w:sz="4" w:space="0" w:color="auto"/>
              <w:right w:val="single" w:sz="4" w:space="0" w:color="auto"/>
            </w:tcBorders>
          </w:tcPr>
          <w:p w14:paraId="0CB861F8" w14:textId="77777777" w:rsidR="00632208" w:rsidRPr="0098635C" w:rsidRDefault="00632208" w:rsidP="00A432B0">
            <w:pPr>
              <w:spacing w:after="0"/>
              <w:rPr>
                <w:color w:val="000000" w:themeColor="text1"/>
                <w:sz w:val="20"/>
                <w:szCs w:val="20"/>
              </w:rPr>
            </w:pPr>
            <w:r w:rsidRPr="0098635C">
              <w:rPr>
                <w:color w:val="000000" w:themeColor="text1"/>
                <w:sz w:val="20"/>
                <w:szCs w:val="20"/>
              </w:rPr>
              <w:t>2.0e</w:t>
            </w:r>
          </w:p>
        </w:tc>
        <w:tc>
          <w:tcPr>
            <w:tcW w:w="851" w:type="dxa"/>
            <w:tcBorders>
              <w:top w:val="nil"/>
              <w:left w:val="nil"/>
              <w:bottom w:val="single" w:sz="4" w:space="0" w:color="auto"/>
              <w:right w:val="single" w:sz="4" w:space="0" w:color="auto"/>
            </w:tcBorders>
          </w:tcPr>
          <w:p w14:paraId="189315C7" w14:textId="77777777" w:rsidR="00632208" w:rsidRPr="0098635C" w:rsidRDefault="00632208" w:rsidP="00A432B0">
            <w:pPr>
              <w:spacing w:after="0"/>
              <w:rPr>
                <w:color w:val="000000" w:themeColor="text1"/>
                <w:sz w:val="20"/>
                <w:szCs w:val="20"/>
              </w:rPr>
            </w:pPr>
            <w:r w:rsidRPr="0098635C">
              <w:rPr>
                <w:color w:val="000000" w:themeColor="text1"/>
                <w:sz w:val="20"/>
                <w:szCs w:val="20"/>
              </w:rPr>
              <w:t>33</w:t>
            </w:r>
          </w:p>
        </w:tc>
        <w:tc>
          <w:tcPr>
            <w:tcW w:w="1984" w:type="dxa"/>
            <w:tcBorders>
              <w:top w:val="nil"/>
              <w:left w:val="nil"/>
              <w:bottom w:val="single" w:sz="4" w:space="0" w:color="auto"/>
              <w:right w:val="single" w:sz="4" w:space="0" w:color="auto"/>
            </w:tcBorders>
          </w:tcPr>
          <w:p w14:paraId="5DB72CFC" w14:textId="77777777" w:rsidR="00632208" w:rsidRPr="0098635C" w:rsidRDefault="00632208" w:rsidP="00A432B0">
            <w:pPr>
              <w:spacing w:after="0"/>
              <w:rPr>
                <w:color w:val="000000" w:themeColor="text1"/>
                <w:sz w:val="20"/>
                <w:szCs w:val="20"/>
              </w:rPr>
            </w:pPr>
            <w:r w:rsidRPr="0098635C">
              <w:rPr>
                <w:color w:val="000000" w:themeColor="text1"/>
                <w:sz w:val="20"/>
                <w:szCs w:val="20"/>
              </w:rPr>
              <w:t>filtered natural seawater</w:t>
            </w:r>
          </w:p>
        </w:tc>
        <w:tc>
          <w:tcPr>
            <w:tcW w:w="1985" w:type="dxa"/>
            <w:tcBorders>
              <w:top w:val="nil"/>
              <w:left w:val="nil"/>
              <w:bottom w:val="single" w:sz="4" w:space="0" w:color="auto"/>
              <w:right w:val="double" w:sz="6" w:space="0" w:color="auto"/>
            </w:tcBorders>
          </w:tcPr>
          <w:p w14:paraId="5745BA81"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Anderson et al., 1991 </w:t>
            </w:r>
          </w:p>
        </w:tc>
      </w:tr>
      <w:tr w:rsidR="00632208" w:rsidRPr="0098635C" w14:paraId="190B862F" w14:textId="77777777" w:rsidTr="00A432B0">
        <w:trPr>
          <w:trHeight w:val="74"/>
        </w:trPr>
        <w:tc>
          <w:tcPr>
            <w:tcW w:w="1844" w:type="dxa"/>
            <w:tcBorders>
              <w:top w:val="nil"/>
              <w:left w:val="double" w:sz="6" w:space="0" w:color="auto"/>
              <w:bottom w:val="single" w:sz="4" w:space="0" w:color="auto"/>
              <w:right w:val="single" w:sz="4" w:space="0" w:color="auto"/>
            </w:tcBorders>
          </w:tcPr>
          <w:p w14:paraId="0327E648"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Atherinops affinis</w:t>
            </w:r>
          </w:p>
        </w:tc>
        <w:tc>
          <w:tcPr>
            <w:tcW w:w="1701" w:type="dxa"/>
            <w:tcBorders>
              <w:top w:val="nil"/>
              <w:left w:val="nil"/>
              <w:bottom w:val="single" w:sz="4" w:space="0" w:color="auto"/>
              <w:right w:val="single" w:sz="4" w:space="0" w:color="auto"/>
            </w:tcBorders>
          </w:tcPr>
          <w:p w14:paraId="2CBA0C28"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early blastula embryo </w:t>
            </w:r>
          </w:p>
        </w:tc>
        <w:tc>
          <w:tcPr>
            <w:tcW w:w="1134" w:type="dxa"/>
            <w:tcBorders>
              <w:top w:val="nil"/>
              <w:left w:val="nil"/>
              <w:bottom w:val="single" w:sz="4" w:space="0" w:color="auto"/>
              <w:right w:val="single" w:sz="4" w:space="0" w:color="auto"/>
            </w:tcBorders>
          </w:tcPr>
          <w:p w14:paraId="7871369E" w14:textId="77777777" w:rsidR="00632208" w:rsidRPr="0098635C" w:rsidRDefault="00632208" w:rsidP="00A432B0">
            <w:pPr>
              <w:spacing w:after="0"/>
              <w:rPr>
                <w:color w:val="000000" w:themeColor="text1"/>
                <w:sz w:val="20"/>
                <w:szCs w:val="20"/>
              </w:rPr>
            </w:pPr>
            <w:r w:rsidRPr="0098635C">
              <w:rPr>
                <w:color w:val="000000" w:themeColor="text1"/>
                <w:sz w:val="20"/>
                <w:szCs w:val="20"/>
              </w:rPr>
              <w:t>12 days</w:t>
            </w:r>
          </w:p>
        </w:tc>
        <w:tc>
          <w:tcPr>
            <w:tcW w:w="1701" w:type="dxa"/>
            <w:tcBorders>
              <w:top w:val="nil"/>
              <w:left w:val="nil"/>
              <w:bottom w:val="single" w:sz="4" w:space="0" w:color="auto"/>
              <w:right w:val="single" w:sz="4" w:space="0" w:color="auto"/>
            </w:tcBorders>
          </w:tcPr>
          <w:p w14:paraId="2A49454F" w14:textId="77777777" w:rsidR="00632208" w:rsidRPr="0098635C" w:rsidRDefault="00632208" w:rsidP="00A432B0">
            <w:pPr>
              <w:spacing w:after="0"/>
              <w:rPr>
                <w:color w:val="000000" w:themeColor="text1"/>
                <w:sz w:val="20"/>
                <w:szCs w:val="20"/>
              </w:rPr>
            </w:pPr>
            <w:r w:rsidRPr="0098635C">
              <w:rPr>
                <w:color w:val="000000" w:themeColor="text1"/>
                <w:sz w:val="20"/>
                <w:szCs w:val="20"/>
              </w:rPr>
              <w:t>young abnormalities</w:t>
            </w:r>
          </w:p>
        </w:tc>
        <w:tc>
          <w:tcPr>
            <w:tcW w:w="709" w:type="dxa"/>
            <w:tcBorders>
              <w:top w:val="nil"/>
              <w:left w:val="nil"/>
              <w:bottom w:val="single" w:sz="4" w:space="0" w:color="auto"/>
              <w:right w:val="single" w:sz="4" w:space="0" w:color="auto"/>
            </w:tcBorders>
          </w:tcPr>
          <w:p w14:paraId="57F4AF8E" w14:textId="77777777" w:rsidR="00632208" w:rsidRPr="0098635C" w:rsidRDefault="00632208" w:rsidP="00A432B0">
            <w:pPr>
              <w:spacing w:after="0"/>
              <w:rPr>
                <w:color w:val="000000" w:themeColor="text1"/>
                <w:sz w:val="20"/>
                <w:szCs w:val="20"/>
              </w:rPr>
            </w:pPr>
            <w:r w:rsidRPr="0098635C">
              <w:rPr>
                <w:color w:val="000000" w:themeColor="text1"/>
                <w:sz w:val="20"/>
                <w:szCs w:val="20"/>
              </w:rPr>
              <w:t>68</w:t>
            </w:r>
          </w:p>
        </w:tc>
        <w:tc>
          <w:tcPr>
            <w:tcW w:w="1417" w:type="dxa"/>
            <w:tcBorders>
              <w:top w:val="nil"/>
              <w:left w:val="nil"/>
              <w:bottom w:val="single" w:sz="4" w:space="0" w:color="auto"/>
              <w:right w:val="single" w:sz="4" w:space="0" w:color="auto"/>
            </w:tcBorders>
          </w:tcPr>
          <w:p w14:paraId="60FFBBD7" w14:textId="77777777" w:rsidR="00632208" w:rsidRPr="0098635C" w:rsidRDefault="00632208" w:rsidP="00A432B0">
            <w:pPr>
              <w:spacing w:after="0"/>
              <w:rPr>
                <w:color w:val="000000" w:themeColor="text1"/>
                <w:sz w:val="20"/>
                <w:szCs w:val="20"/>
              </w:rPr>
            </w:pPr>
            <w:r w:rsidRPr="0098635C">
              <w:rPr>
                <w:color w:val="000000" w:themeColor="text1"/>
                <w:sz w:val="20"/>
                <w:szCs w:val="20"/>
              </w:rPr>
              <w:t>static</w:t>
            </w:r>
          </w:p>
        </w:tc>
        <w:tc>
          <w:tcPr>
            <w:tcW w:w="851" w:type="dxa"/>
            <w:tcBorders>
              <w:top w:val="nil"/>
              <w:left w:val="nil"/>
              <w:bottom w:val="single" w:sz="4" w:space="0" w:color="auto"/>
              <w:right w:val="single" w:sz="4" w:space="0" w:color="auto"/>
            </w:tcBorders>
          </w:tcPr>
          <w:p w14:paraId="4DD61E77" w14:textId="77777777" w:rsidR="00632208" w:rsidRPr="0098635C" w:rsidRDefault="00632208" w:rsidP="00A432B0">
            <w:pPr>
              <w:spacing w:after="0"/>
              <w:rPr>
                <w:color w:val="000000" w:themeColor="text1"/>
                <w:sz w:val="20"/>
                <w:szCs w:val="20"/>
              </w:rPr>
            </w:pPr>
            <w:r w:rsidRPr="0098635C">
              <w:rPr>
                <w:color w:val="000000" w:themeColor="text1"/>
                <w:sz w:val="20"/>
                <w:szCs w:val="20"/>
              </w:rPr>
              <w:t>&lt;3m</w:t>
            </w:r>
          </w:p>
        </w:tc>
        <w:tc>
          <w:tcPr>
            <w:tcW w:w="850" w:type="dxa"/>
            <w:tcBorders>
              <w:top w:val="nil"/>
              <w:left w:val="nil"/>
              <w:bottom w:val="single" w:sz="4" w:space="0" w:color="auto"/>
              <w:right w:val="single" w:sz="4" w:space="0" w:color="auto"/>
            </w:tcBorders>
          </w:tcPr>
          <w:p w14:paraId="2A5BA2A2" w14:textId="77777777" w:rsidR="00632208" w:rsidRPr="0098635C" w:rsidRDefault="00632208" w:rsidP="00A432B0">
            <w:pPr>
              <w:spacing w:after="0"/>
              <w:rPr>
                <w:color w:val="000000" w:themeColor="text1"/>
                <w:sz w:val="20"/>
                <w:szCs w:val="20"/>
              </w:rPr>
            </w:pPr>
            <w:r w:rsidRPr="0098635C">
              <w:rPr>
                <w:color w:val="000000" w:themeColor="text1"/>
                <w:sz w:val="20"/>
                <w:szCs w:val="20"/>
              </w:rPr>
              <w:t>2.0e</w:t>
            </w:r>
          </w:p>
        </w:tc>
        <w:tc>
          <w:tcPr>
            <w:tcW w:w="851" w:type="dxa"/>
            <w:tcBorders>
              <w:top w:val="nil"/>
              <w:left w:val="nil"/>
              <w:bottom w:val="single" w:sz="4" w:space="0" w:color="auto"/>
              <w:right w:val="single" w:sz="4" w:space="0" w:color="auto"/>
            </w:tcBorders>
          </w:tcPr>
          <w:p w14:paraId="187AEDCE" w14:textId="77777777" w:rsidR="00632208" w:rsidRPr="0098635C" w:rsidRDefault="00632208" w:rsidP="00A432B0">
            <w:pPr>
              <w:spacing w:after="0"/>
              <w:rPr>
                <w:color w:val="000000" w:themeColor="text1"/>
                <w:sz w:val="20"/>
                <w:szCs w:val="20"/>
              </w:rPr>
            </w:pPr>
            <w:r w:rsidRPr="0098635C">
              <w:rPr>
                <w:color w:val="000000" w:themeColor="text1"/>
                <w:sz w:val="20"/>
                <w:szCs w:val="20"/>
              </w:rPr>
              <w:t>33</w:t>
            </w:r>
          </w:p>
        </w:tc>
        <w:tc>
          <w:tcPr>
            <w:tcW w:w="1984" w:type="dxa"/>
            <w:tcBorders>
              <w:top w:val="nil"/>
              <w:left w:val="nil"/>
              <w:bottom w:val="single" w:sz="4" w:space="0" w:color="auto"/>
              <w:right w:val="single" w:sz="4" w:space="0" w:color="auto"/>
            </w:tcBorders>
          </w:tcPr>
          <w:p w14:paraId="3F01C038" w14:textId="77777777" w:rsidR="00632208" w:rsidRPr="0098635C" w:rsidRDefault="00632208" w:rsidP="00A432B0">
            <w:pPr>
              <w:spacing w:after="0"/>
              <w:rPr>
                <w:color w:val="000000" w:themeColor="text1"/>
                <w:sz w:val="20"/>
                <w:szCs w:val="20"/>
              </w:rPr>
            </w:pPr>
            <w:r w:rsidRPr="0098635C">
              <w:rPr>
                <w:color w:val="000000" w:themeColor="text1"/>
                <w:sz w:val="20"/>
                <w:szCs w:val="20"/>
              </w:rPr>
              <w:t>filtered natural seawater</w:t>
            </w:r>
          </w:p>
        </w:tc>
        <w:tc>
          <w:tcPr>
            <w:tcW w:w="1985" w:type="dxa"/>
            <w:tcBorders>
              <w:top w:val="nil"/>
              <w:left w:val="nil"/>
              <w:bottom w:val="single" w:sz="4" w:space="0" w:color="auto"/>
              <w:right w:val="double" w:sz="6" w:space="0" w:color="auto"/>
            </w:tcBorders>
          </w:tcPr>
          <w:p w14:paraId="4137E9A7"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Anderson et al., 1991 </w:t>
            </w:r>
          </w:p>
        </w:tc>
      </w:tr>
      <w:tr w:rsidR="00632208" w:rsidRPr="0098635C" w14:paraId="506FC742" w14:textId="77777777" w:rsidTr="00A432B0">
        <w:trPr>
          <w:trHeight w:val="78"/>
        </w:trPr>
        <w:tc>
          <w:tcPr>
            <w:tcW w:w="1844" w:type="dxa"/>
            <w:tcBorders>
              <w:top w:val="nil"/>
              <w:left w:val="double" w:sz="6" w:space="0" w:color="auto"/>
              <w:bottom w:val="single" w:sz="4" w:space="0" w:color="auto"/>
              <w:right w:val="single" w:sz="4" w:space="0" w:color="auto"/>
            </w:tcBorders>
          </w:tcPr>
          <w:p w14:paraId="6A277CBB"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Atherinops affinis</w:t>
            </w:r>
          </w:p>
        </w:tc>
        <w:tc>
          <w:tcPr>
            <w:tcW w:w="1701" w:type="dxa"/>
            <w:tcBorders>
              <w:top w:val="nil"/>
              <w:left w:val="nil"/>
              <w:bottom w:val="single" w:sz="4" w:space="0" w:color="auto"/>
              <w:right w:val="single" w:sz="4" w:space="0" w:color="auto"/>
            </w:tcBorders>
          </w:tcPr>
          <w:p w14:paraId="07E912F7"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early blastula embryo </w:t>
            </w:r>
          </w:p>
        </w:tc>
        <w:tc>
          <w:tcPr>
            <w:tcW w:w="1134" w:type="dxa"/>
            <w:tcBorders>
              <w:top w:val="nil"/>
              <w:left w:val="nil"/>
              <w:bottom w:val="single" w:sz="4" w:space="0" w:color="auto"/>
              <w:right w:val="single" w:sz="4" w:space="0" w:color="auto"/>
            </w:tcBorders>
          </w:tcPr>
          <w:p w14:paraId="138938F8" w14:textId="77777777" w:rsidR="00632208" w:rsidRPr="0098635C" w:rsidRDefault="00632208" w:rsidP="00A432B0">
            <w:pPr>
              <w:spacing w:after="0"/>
              <w:rPr>
                <w:color w:val="000000" w:themeColor="text1"/>
                <w:sz w:val="20"/>
                <w:szCs w:val="20"/>
              </w:rPr>
            </w:pPr>
            <w:r w:rsidRPr="0098635C">
              <w:rPr>
                <w:color w:val="000000" w:themeColor="text1"/>
                <w:sz w:val="20"/>
                <w:szCs w:val="20"/>
              </w:rPr>
              <w:t>12 days</w:t>
            </w:r>
          </w:p>
        </w:tc>
        <w:tc>
          <w:tcPr>
            <w:tcW w:w="1701" w:type="dxa"/>
            <w:tcBorders>
              <w:top w:val="nil"/>
              <w:left w:val="nil"/>
              <w:bottom w:val="single" w:sz="4" w:space="0" w:color="auto"/>
              <w:right w:val="single" w:sz="4" w:space="0" w:color="auto"/>
            </w:tcBorders>
          </w:tcPr>
          <w:p w14:paraId="125B2E28" w14:textId="77777777" w:rsidR="00632208" w:rsidRPr="0098635C" w:rsidRDefault="00632208" w:rsidP="00A432B0">
            <w:pPr>
              <w:spacing w:after="0"/>
              <w:rPr>
                <w:color w:val="000000" w:themeColor="text1"/>
                <w:sz w:val="20"/>
                <w:szCs w:val="20"/>
              </w:rPr>
            </w:pPr>
            <w:r w:rsidRPr="0098635C">
              <w:rPr>
                <w:color w:val="000000" w:themeColor="text1"/>
                <w:sz w:val="20"/>
                <w:szCs w:val="20"/>
              </w:rPr>
              <w:t>embryo abnormalities</w:t>
            </w:r>
          </w:p>
        </w:tc>
        <w:tc>
          <w:tcPr>
            <w:tcW w:w="709" w:type="dxa"/>
            <w:tcBorders>
              <w:top w:val="nil"/>
              <w:left w:val="nil"/>
              <w:bottom w:val="single" w:sz="4" w:space="0" w:color="auto"/>
              <w:right w:val="single" w:sz="4" w:space="0" w:color="auto"/>
            </w:tcBorders>
          </w:tcPr>
          <w:p w14:paraId="4F066083" w14:textId="77777777" w:rsidR="00632208" w:rsidRPr="0098635C" w:rsidRDefault="00632208" w:rsidP="00A432B0">
            <w:pPr>
              <w:spacing w:after="0"/>
              <w:rPr>
                <w:color w:val="000000" w:themeColor="text1"/>
                <w:sz w:val="20"/>
                <w:szCs w:val="20"/>
              </w:rPr>
            </w:pPr>
            <w:r w:rsidRPr="0098635C">
              <w:rPr>
                <w:color w:val="000000" w:themeColor="text1"/>
                <w:sz w:val="20"/>
                <w:szCs w:val="20"/>
              </w:rPr>
              <w:t>55</w:t>
            </w:r>
          </w:p>
        </w:tc>
        <w:tc>
          <w:tcPr>
            <w:tcW w:w="1417" w:type="dxa"/>
            <w:tcBorders>
              <w:top w:val="nil"/>
              <w:left w:val="nil"/>
              <w:bottom w:val="single" w:sz="4" w:space="0" w:color="auto"/>
              <w:right w:val="single" w:sz="4" w:space="0" w:color="auto"/>
            </w:tcBorders>
          </w:tcPr>
          <w:p w14:paraId="42B17355" w14:textId="77777777" w:rsidR="00632208" w:rsidRPr="0098635C" w:rsidRDefault="00632208" w:rsidP="00A432B0">
            <w:pPr>
              <w:spacing w:after="0"/>
              <w:rPr>
                <w:color w:val="000000" w:themeColor="text1"/>
                <w:sz w:val="20"/>
                <w:szCs w:val="20"/>
              </w:rPr>
            </w:pPr>
            <w:r w:rsidRPr="0098635C">
              <w:rPr>
                <w:color w:val="000000" w:themeColor="text1"/>
                <w:sz w:val="20"/>
                <w:szCs w:val="20"/>
              </w:rPr>
              <w:t>static</w:t>
            </w:r>
          </w:p>
        </w:tc>
        <w:tc>
          <w:tcPr>
            <w:tcW w:w="851" w:type="dxa"/>
            <w:tcBorders>
              <w:top w:val="nil"/>
              <w:left w:val="nil"/>
              <w:bottom w:val="single" w:sz="4" w:space="0" w:color="auto"/>
              <w:right w:val="single" w:sz="4" w:space="0" w:color="auto"/>
            </w:tcBorders>
          </w:tcPr>
          <w:p w14:paraId="2CA25361" w14:textId="77777777" w:rsidR="00632208" w:rsidRPr="0098635C" w:rsidRDefault="00632208" w:rsidP="00A432B0">
            <w:pPr>
              <w:spacing w:after="0"/>
              <w:rPr>
                <w:color w:val="000000" w:themeColor="text1"/>
                <w:sz w:val="20"/>
                <w:szCs w:val="20"/>
              </w:rPr>
            </w:pPr>
            <w:r w:rsidRPr="0098635C">
              <w:rPr>
                <w:color w:val="000000" w:themeColor="text1"/>
                <w:sz w:val="20"/>
                <w:szCs w:val="20"/>
              </w:rPr>
              <w:t>&lt;3m</w:t>
            </w:r>
          </w:p>
        </w:tc>
        <w:tc>
          <w:tcPr>
            <w:tcW w:w="850" w:type="dxa"/>
            <w:tcBorders>
              <w:top w:val="nil"/>
              <w:left w:val="nil"/>
              <w:bottom w:val="single" w:sz="4" w:space="0" w:color="auto"/>
              <w:right w:val="single" w:sz="4" w:space="0" w:color="auto"/>
            </w:tcBorders>
          </w:tcPr>
          <w:p w14:paraId="6A657F5C" w14:textId="77777777" w:rsidR="00632208" w:rsidRPr="0098635C" w:rsidRDefault="00632208" w:rsidP="00A432B0">
            <w:pPr>
              <w:spacing w:after="0"/>
              <w:rPr>
                <w:color w:val="000000" w:themeColor="text1"/>
                <w:sz w:val="20"/>
                <w:szCs w:val="20"/>
              </w:rPr>
            </w:pPr>
            <w:r w:rsidRPr="0098635C">
              <w:rPr>
                <w:color w:val="000000" w:themeColor="text1"/>
                <w:sz w:val="20"/>
                <w:szCs w:val="20"/>
              </w:rPr>
              <w:t>2.0e</w:t>
            </w:r>
          </w:p>
        </w:tc>
        <w:tc>
          <w:tcPr>
            <w:tcW w:w="851" w:type="dxa"/>
            <w:tcBorders>
              <w:top w:val="nil"/>
              <w:left w:val="nil"/>
              <w:bottom w:val="single" w:sz="4" w:space="0" w:color="auto"/>
              <w:right w:val="single" w:sz="4" w:space="0" w:color="auto"/>
            </w:tcBorders>
          </w:tcPr>
          <w:p w14:paraId="52D3E56E" w14:textId="77777777" w:rsidR="00632208" w:rsidRPr="0098635C" w:rsidRDefault="00632208" w:rsidP="00A432B0">
            <w:pPr>
              <w:spacing w:after="0"/>
              <w:rPr>
                <w:color w:val="000000" w:themeColor="text1"/>
                <w:sz w:val="20"/>
                <w:szCs w:val="20"/>
              </w:rPr>
            </w:pPr>
            <w:r w:rsidRPr="0098635C">
              <w:rPr>
                <w:color w:val="000000" w:themeColor="text1"/>
                <w:sz w:val="20"/>
                <w:szCs w:val="20"/>
              </w:rPr>
              <w:t>33</w:t>
            </w:r>
          </w:p>
        </w:tc>
        <w:tc>
          <w:tcPr>
            <w:tcW w:w="1984" w:type="dxa"/>
            <w:tcBorders>
              <w:top w:val="nil"/>
              <w:left w:val="nil"/>
              <w:bottom w:val="single" w:sz="4" w:space="0" w:color="auto"/>
              <w:right w:val="single" w:sz="4" w:space="0" w:color="auto"/>
            </w:tcBorders>
          </w:tcPr>
          <w:p w14:paraId="26159437" w14:textId="77777777" w:rsidR="00632208" w:rsidRPr="0098635C" w:rsidRDefault="00632208" w:rsidP="00A432B0">
            <w:pPr>
              <w:spacing w:after="0"/>
              <w:rPr>
                <w:color w:val="000000" w:themeColor="text1"/>
                <w:sz w:val="20"/>
                <w:szCs w:val="20"/>
              </w:rPr>
            </w:pPr>
            <w:r w:rsidRPr="0098635C">
              <w:rPr>
                <w:color w:val="000000" w:themeColor="text1"/>
                <w:sz w:val="20"/>
                <w:szCs w:val="20"/>
              </w:rPr>
              <w:t>filtered natural seawater</w:t>
            </w:r>
          </w:p>
        </w:tc>
        <w:tc>
          <w:tcPr>
            <w:tcW w:w="1985" w:type="dxa"/>
            <w:tcBorders>
              <w:top w:val="nil"/>
              <w:left w:val="nil"/>
              <w:bottom w:val="single" w:sz="4" w:space="0" w:color="auto"/>
              <w:right w:val="double" w:sz="6" w:space="0" w:color="auto"/>
            </w:tcBorders>
          </w:tcPr>
          <w:p w14:paraId="24E3C0FF"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Anderson et al., 1991 </w:t>
            </w:r>
          </w:p>
        </w:tc>
      </w:tr>
      <w:tr w:rsidR="00632208" w:rsidRPr="0098635C" w14:paraId="0C8B4B6E" w14:textId="77777777" w:rsidTr="00A432B0">
        <w:trPr>
          <w:trHeight w:val="99"/>
        </w:trPr>
        <w:tc>
          <w:tcPr>
            <w:tcW w:w="1844" w:type="dxa"/>
            <w:tcBorders>
              <w:top w:val="nil"/>
              <w:left w:val="double" w:sz="6" w:space="0" w:color="auto"/>
              <w:bottom w:val="single" w:sz="4" w:space="0" w:color="auto"/>
              <w:right w:val="single" w:sz="4" w:space="0" w:color="auto"/>
            </w:tcBorders>
          </w:tcPr>
          <w:p w14:paraId="6B3C19E6"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Atherinops affinis</w:t>
            </w:r>
          </w:p>
        </w:tc>
        <w:tc>
          <w:tcPr>
            <w:tcW w:w="1701" w:type="dxa"/>
            <w:tcBorders>
              <w:top w:val="nil"/>
              <w:left w:val="nil"/>
              <w:bottom w:val="single" w:sz="4" w:space="0" w:color="auto"/>
              <w:right w:val="single" w:sz="4" w:space="0" w:color="auto"/>
            </w:tcBorders>
          </w:tcPr>
          <w:p w14:paraId="7BBA6E1C"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early blastula embryo </w:t>
            </w:r>
          </w:p>
        </w:tc>
        <w:tc>
          <w:tcPr>
            <w:tcW w:w="1134" w:type="dxa"/>
            <w:tcBorders>
              <w:top w:val="nil"/>
              <w:left w:val="nil"/>
              <w:bottom w:val="single" w:sz="4" w:space="0" w:color="auto"/>
              <w:right w:val="single" w:sz="4" w:space="0" w:color="auto"/>
            </w:tcBorders>
          </w:tcPr>
          <w:p w14:paraId="3A1F1531" w14:textId="77777777" w:rsidR="00632208" w:rsidRPr="0098635C" w:rsidRDefault="00632208" w:rsidP="00A432B0">
            <w:pPr>
              <w:spacing w:after="0"/>
              <w:rPr>
                <w:color w:val="000000" w:themeColor="text1"/>
                <w:sz w:val="20"/>
                <w:szCs w:val="20"/>
              </w:rPr>
            </w:pPr>
            <w:r w:rsidRPr="0098635C">
              <w:rPr>
                <w:color w:val="000000" w:themeColor="text1"/>
                <w:sz w:val="20"/>
                <w:szCs w:val="20"/>
              </w:rPr>
              <w:t>12 days</w:t>
            </w:r>
          </w:p>
        </w:tc>
        <w:tc>
          <w:tcPr>
            <w:tcW w:w="1701" w:type="dxa"/>
            <w:tcBorders>
              <w:top w:val="nil"/>
              <w:left w:val="nil"/>
              <w:bottom w:val="single" w:sz="4" w:space="0" w:color="auto"/>
              <w:right w:val="single" w:sz="4" w:space="0" w:color="auto"/>
            </w:tcBorders>
          </w:tcPr>
          <w:p w14:paraId="557CDDBA" w14:textId="77777777" w:rsidR="00632208" w:rsidRPr="0098635C" w:rsidRDefault="00632208" w:rsidP="00A432B0">
            <w:pPr>
              <w:spacing w:after="0"/>
              <w:rPr>
                <w:color w:val="000000" w:themeColor="text1"/>
                <w:sz w:val="20"/>
                <w:szCs w:val="20"/>
              </w:rPr>
            </w:pPr>
            <w:r w:rsidRPr="0098635C">
              <w:rPr>
                <w:color w:val="000000" w:themeColor="text1"/>
                <w:sz w:val="20"/>
                <w:szCs w:val="20"/>
              </w:rPr>
              <w:t>hatchability</w:t>
            </w:r>
          </w:p>
        </w:tc>
        <w:tc>
          <w:tcPr>
            <w:tcW w:w="709" w:type="dxa"/>
            <w:tcBorders>
              <w:top w:val="nil"/>
              <w:left w:val="nil"/>
              <w:bottom w:val="single" w:sz="4" w:space="0" w:color="auto"/>
              <w:right w:val="single" w:sz="4" w:space="0" w:color="auto"/>
            </w:tcBorders>
          </w:tcPr>
          <w:p w14:paraId="32531C1C" w14:textId="77777777" w:rsidR="00632208" w:rsidRPr="0098635C" w:rsidRDefault="00632208" w:rsidP="00A432B0">
            <w:pPr>
              <w:spacing w:after="0"/>
              <w:rPr>
                <w:color w:val="000000" w:themeColor="text1"/>
                <w:sz w:val="20"/>
                <w:szCs w:val="20"/>
              </w:rPr>
            </w:pPr>
            <w:r w:rsidRPr="0098635C">
              <w:rPr>
                <w:color w:val="000000" w:themeColor="text1"/>
                <w:sz w:val="20"/>
                <w:szCs w:val="20"/>
              </w:rPr>
              <w:t>55</w:t>
            </w:r>
          </w:p>
        </w:tc>
        <w:tc>
          <w:tcPr>
            <w:tcW w:w="1417" w:type="dxa"/>
            <w:tcBorders>
              <w:top w:val="nil"/>
              <w:left w:val="nil"/>
              <w:bottom w:val="single" w:sz="4" w:space="0" w:color="auto"/>
              <w:right w:val="single" w:sz="4" w:space="0" w:color="auto"/>
            </w:tcBorders>
          </w:tcPr>
          <w:p w14:paraId="396A3B75" w14:textId="77777777" w:rsidR="00632208" w:rsidRPr="0098635C" w:rsidRDefault="00632208" w:rsidP="00A432B0">
            <w:pPr>
              <w:spacing w:after="0"/>
              <w:rPr>
                <w:color w:val="000000" w:themeColor="text1"/>
                <w:sz w:val="20"/>
                <w:szCs w:val="20"/>
              </w:rPr>
            </w:pPr>
            <w:r w:rsidRPr="0098635C">
              <w:rPr>
                <w:color w:val="000000" w:themeColor="text1"/>
                <w:sz w:val="20"/>
                <w:szCs w:val="20"/>
              </w:rPr>
              <w:t>static</w:t>
            </w:r>
          </w:p>
        </w:tc>
        <w:tc>
          <w:tcPr>
            <w:tcW w:w="851" w:type="dxa"/>
            <w:tcBorders>
              <w:top w:val="nil"/>
              <w:left w:val="nil"/>
              <w:bottom w:val="single" w:sz="4" w:space="0" w:color="auto"/>
              <w:right w:val="single" w:sz="4" w:space="0" w:color="auto"/>
            </w:tcBorders>
          </w:tcPr>
          <w:p w14:paraId="3B77D6D0" w14:textId="77777777" w:rsidR="00632208" w:rsidRPr="0098635C" w:rsidRDefault="00632208" w:rsidP="00A432B0">
            <w:pPr>
              <w:spacing w:after="0"/>
              <w:rPr>
                <w:color w:val="000000" w:themeColor="text1"/>
                <w:sz w:val="20"/>
                <w:szCs w:val="20"/>
              </w:rPr>
            </w:pPr>
            <w:r w:rsidRPr="0098635C">
              <w:rPr>
                <w:color w:val="000000" w:themeColor="text1"/>
                <w:sz w:val="20"/>
                <w:szCs w:val="20"/>
              </w:rPr>
              <w:t>&lt;3m</w:t>
            </w:r>
          </w:p>
        </w:tc>
        <w:tc>
          <w:tcPr>
            <w:tcW w:w="850" w:type="dxa"/>
            <w:tcBorders>
              <w:top w:val="nil"/>
              <w:left w:val="nil"/>
              <w:bottom w:val="single" w:sz="4" w:space="0" w:color="auto"/>
              <w:right w:val="single" w:sz="4" w:space="0" w:color="auto"/>
            </w:tcBorders>
          </w:tcPr>
          <w:p w14:paraId="7F78C532" w14:textId="77777777" w:rsidR="00632208" w:rsidRPr="0098635C" w:rsidRDefault="00632208" w:rsidP="00A432B0">
            <w:pPr>
              <w:spacing w:after="0"/>
              <w:rPr>
                <w:color w:val="000000" w:themeColor="text1"/>
                <w:sz w:val="20"/>
                <w:szCs w:val="20"/>
              </w:rPr>
            </w:pPr>
            <w:r w:rsidRPr="0098635C">
              <w:rPr>
                <w:color w:val="000000" w:themeColor="text1"/>
                <w:sz w:val="20"/>
                <w:szCs w:val="20"/>
              </w:rPr>
              <w:t>2.0e</w:t>
            </w:r>
          </w:p>
        </w:tc>
        <w:tc>
          <w:tcPr>
            <w:tcW w:w="851" w:type="dxa"/>
            <w:tcBorders>
              <w:top w:val="nil"/>
              <w:left w:val="nil"/>
              <w:bottom w:val="single" w:sz="4" w:space="0" w:color="auto"/>
              <w:right w:val="single" w:sz="4" w:space="0" w:color="auto"/>
            </w:tcBorders>
          </w:tcPr>
          <w:p w14:paraId="573214FC" w14:textId="77777777" w:rsidR="00632208" w:rsidRPr="0098635C" w:rsidRDefault="00632208" w:rsidP="00A432B0">
            <w:pPr>
              <w:spacing w:after="0"/>
              <w:rPr>
                <w:color w:val="000000" w:themeColor="text1"/>
                <w:sz w:val="20"/>
                <w:szCs w:val="20"/>
              </w:rPr>
            </w:pPr>
            <w:r w:rsidRPr="0098635C">
              <w:rPr>
                <w:color w:val="000000" w:themeColor="text1"/>
                <w:sz w:val="20"/>
                <w:szCs w:val="20"/>
              </w:rPr>
              <w:t>33</w:t>
            </w:r>
          </w:p>
        </w:tc>
        <w:tc>
          <w:tcPr>
            <w:tcW w:w="1984" w:type="dxa"/>
            <w:tcBorders>
              <w:top w:val="nil"/>
              <w:left w:val="nil"/>
              <w:bottom w:val="single" w:sz="4" w:space="0" w:color="auto"/>
              <w:right w:val="single" w:sz="4" w:space="0" w:color="auto"/>
            </w:tcBorders>
          </w:tcPr>
          <w:p w14:paraId="375BF146" w14:textId="77777777" w:rsidR="00632208" w:rsidRPr="0098635C" w:rsidRDefault="00632208" w:rsidP="00A432B0">
            <w:pPr>
              <w:spacing w:after="0"/>
              <w:rPr>
                <w:color w:val="000000" w:themeColor="text1"/>
                <w:sz w:val="20"/>
                <w:szCs w:val="20"/>
              </w:rPr>
            </w:pPr>
            <w:r w:rsidRPr="0098635C">
              <w:rPr>
                <w:color w:val="000000" w:themeColor="text1"/>
                <w:sz w:val="20"/>
                <w:szCs w:val="20"/>
              </w:rPr>
              <w:t>natural seawater</w:t>
            </w:r>
          </w:p>
        </w:tc>
        <w:tc>
          <w:tcPr>
            <w:tcW w:w="1985" w:type="dxa"/>
            <w:tcBorders>
              <w:top w:val="nil"/>
              <w:left w:val="nil"/>
              <w:bottom w:val="single" w:sz="4" w:space="0" w:color="auto"/>
              <w:right w:val="double" w:sz="6" w:space="0" w:color="auto"/>
            </w:tcBorders>
          </w:tcPr>
          <w:p w14:paraId="5D43C938"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Anderson et al., 1991 </w:t>
            </w:r>
          </w:p>
        </w:tc>
      </w:tr>
      <w:tr w:rsidR="00632208" w:rsidRPr="0098635C" w14:paraId="51349B49" w14:textId="77777777" w:rsidTr="00A432B0">
        <w:trPr>
          <w:trHeight w:val="74"/>
        </w:trPr>
        <w:tc>
          <w:tcPr>
            <w:tcW w:w="1844" w:type="dxa"/>
            <w:tcBorders>
              <w:top w:val="nil"/>
              <w:left w:val="double" w:sz="6" w:space="0" w:color="auto"/>
              <w:bottom w:val="single" w:sz="4" w:space="0" w:color="auto"/>
              <w:right w:val="single" w:sz="4" w:space="0" w:color="auto"/>
            </w:tcBorders>
          </w:tcPr>
          <w:p w14:paraId="56D96585"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Atherinops affinis</w:t>
            </w:r>
          </w:p>
        </w:tc>
        <w:tc>
          <w:tcPr>
            <w:tcW w:w="1701" w:type="dxa"/>
            <w:tcBorders>
              <w:top w:val="nil"/>
              <w:left w:val="nil"/>
              <w:bottom w:val="single" w:sz="4" w:space="0" w:color="auto"/>
              <w:right w:val="single" w:sz="4" w:space="0" w:color="auto"/>
            </w:tcBorders>
          </w:tcPr>
          <w:p w14:paraId="6D187FBF"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early blastula embryo </w:t>
            </w:r>
          </w:p>
        </w:tc>
        <w:tc>
          <w:tcPr>
            <w:tcW w:w="1134" w:type="dxa"/>
            <w:tcBorders>
              <w:top w:val="nil"/>
              <w:left w:val="nil"/>
              <w:bottom w:val="single" w:sz="4" w:space="0" w:color="auto"/>
              <w:right w:val="single" w:sz="4" w:space="0" w:color="auto"/>
            </w:tcBorders>
          </w:tcPr>
          <w:p w14:paraId="5FE9B9D2" w14:textId="77777777" w:rsidR="00632208" w:rsidRPr="0098635C" w:rsidRDefault="00632208" w:rsidP="00A432B0">
            <w:pPr>
              <w:spacing w:after="0"/>
              <w:rPr>
                <w:color w:val="000000" w:themeColor="text1"/>
                <w:sz w:val="20"/>
                <w:szCs w:val="20"/>
              </w:rPr>
            </w:pPr>
            <w:r w:rsidRPr="0098635C">
              <w:rPr>
                <w:color w:val="000000" w:themeColor="text1"/>
                <w:sz w:val="20"/>
                <w:szCs w:val="20"/>
              </w:rPr>
              <w:t>12 days</w:t>
            </w:r>
          </w:p>
        </w:tc>
        <w:tc>
          <w:tcPr>
            <w:tcW w:w="1701" w:type="dxa"/>
            <w:tcBorders>
              <w:top w:val="nil"/>
              <w:left w:val="nil"/>
              <w:bottom w:val="single" w:sz="4" w:space="0" w:color="auto"/>
              <w:right w:val="single" w:sz="4" w:space="0" w:color="auto"/>
            </w:tcBorders>
          </w:tcPr>
          <w:p w14:paraId="248A9BCF" w14:textId="77777777" w:rsidR="00632208" w:rsidRPr="0098635C" w:rsidRDefault="00632208" w:rsidP="00A432B0">
            <w:pPr>
              <w:spacing w:after="0"/>
              <w:rPr>
                <w:color w:val="000000" w:themeColor="text1"/>
                <w:sz w:val="20"/>
                <w:szCs w:val="20"/>
              </w:rPr>
            </w:pPr>
            <w:r w:rsidRPr="0098635C">
              <w:rPr>
                <w:color w:val="000000" w:themeColor="text1"/>
                <w:sz w:val="20"/>
                <w:szCs w:val="20"/>
              </w:rPr>
              <w:t>young abnormalities</w:t>
            </w:r>
          </w:p>
        </w:tc>
        <w:tc>
          <w:tcPr>
            <w:tcW w:w="709" w:type="dxa"/>
            <w:tcBorders>
              <w:top w:val="nil"/>
              <w:left w:val="nil"/>
              <w:bottom w:val="single" w:sz="4" w:space="0" w:color="auto"/>
              <w:right w:val="single" w:sz="4" w:space="0" w:color="auto"/>
            </w:tcBorders>
          </w:tcPr>
          <w:p w14:paraId="74882AF7" w14:textId="77777777" w:rsidR="00632208" w:rsidRPr="0098635C" w:rsidRDefault="00632208" w:rsidP="00A432B0">
            <w:pPr>
              <w:spacing w:after="0"/>
              <w:rPr>
                <w:color w:val="000000" w:themeColor="text1"/>
                <w:sz w:val="20"/>
                <w:szCs w:val="20"/>
              </w:rPr>
            </w:pPr>
            <w:r w:rsidRPr="0098635C">
              <w:rPr>
                <w:color w:val="000000" w:themeColor="text1"/>
                <w:sz w:val="20"/>
                <w:szCs w:val="20"/>
              </w:rPr>
              <w:t>55</w:t>
            </w:r>
          </w:p>
        </w:tc>
        <w:tc>
          <w:tcPr>
            <w:tcW w:w="1417" w:type="dxa"/>
            <w:tcBorders>
              <w:top w:val="nil"/>
              <w:left w:val="nil"/>
              <w:bottom w:val="single" w:sz="4" w:space="0" w:color="auto"/>
              <w:right w:val="single" w:sz="4" w:space="0" w:color="auto"/>
            </w:tcBorders>
          </w:tcPr>
          <w:p w14:paraId="26E52C9C" w14:textId="77777777" w:rsidR="00632208" w:rsidRPr="0098635C" w:rsidRDefault="00632208" w:rsidP="00A432B0">
            <w:pPr>
              <w:spacing w:after="0"/>
              <w:rPr>
                <w:color w:val="000000" w:themeColor="text1"/>
                <w:sz w:val="20"/>
                <w:szCs w:val="20"/>
              </w:rPr>
            </w:pPr>
            <w:r w:rsidRPr="0098635C">
              <w:rPr>
                <w:color w:val="000000" w:themeColor="text1"/>
                <w:sz w:val="20"/>
                <w:szCs w:val="20"/>
              </w:rPr>
              <w:t>static</w:t>
            </w:r>
          </w:p>
        </w:tc>
        <w:tc>
          <w:tcPr>
            <w:tcW w:w="851" w:type="dxa"/>
            <w:tcBorders>
              <w:top w:val="nil"/>
              <w:left w:val="nil"/>
              <w:bottom w:val="single" w:sz="4" w:space="0" w:color="auto"/>
              <w:right w:val="single" w:sz="4" w:space="0" w:color="auto"/>
            </w:tcBorders>
          </w:tcPr>
          <w:p w14:paraId="40ED1F49" w14:textId="77777777" w:rsidR="00632208" w:rsidRPr="0098635C" w:rsidRDefault="00632208" w:rsidP="00A432B0">
            <w:pPr>
              <w:spacing w:after="0"/>
              <w:rPr>
                <w:color w:val="000000" w:themeColor="text1"/>
                <w:sz w:val="20"/>
                <w:szCs w:val="20"/>
              </w:rPr>
            </w:pPr>
            <w:r w:rsidRPr="0098635C">
              <w:rPr>
                <w:color w:val="000000" w:themeColor="text1"/>
                <w:sz w:val="20"/>
                <w:szCs w:val="20"/>
              </w:rPr>
              <w:t>&lt;3m</w:t>
            </w:r>
          </w:p>
        </w:tc>
        <w:tc>
          <w:tcPr>
            <w:tcW w:w="850" w:type="dxa"/>
            <w:tcBorders>
              <w:top w:val="nil"/>
              <w:left w:val="nil"/>
              <w:bottom w:val="single" w:sz="4" w:space="0" w:color="auto"/>
              <w:right w:val="single" w:sz="4" w:space="0" w:color="auto"/>
            </w:tcBorders>
          </w:tcPr>
          <w:p w14:paraId="63D5F95A" w14:textId="77777777" w:rsidR="00632208" w:rsidRPr="0098635C" w:rsidRDefault="00632208" w:rsidP="00A432B0">
            <w:pPr>
              <w:spacing w:after="0"/>
              <w:rPr>
                <w:color w:val="000000" w:themeColor="text1"/>
                <w:sz w:val="20"/>
                <w:szCs w:val="20"/>
              </w:rPr>
            </w:pPr>
            <w:r w:rsidRPr="0098635C">
              <w:rPr>
                <w:color w:val="000000" w:themeColor="text1"/>
                <w:sz w:val="20"/>
                <w:szCs w:val="20"/>
              </w:rPr>
              <w:t>2.0e</w:t>
            </w:r>
          </w:p>
        </w:tc>
        <w:tc>
          <w:tcPr>
            <w:tcW w:w="851" w:type="dxa"/>
            <w:tcBorders>
              <w:top w:val="nil"/>
              <w:left w:val="nil"/>
              <w:bottom w:val="single" w:sz="4" w:space="0" w:color="auto"/>
              <w:right w:val="single" w:sz="4" w:space="0" w:color="auto"/>
            </w:tcBorders>
          </w:tcPr>
          <w:p w14:paraId="22CBD6A0" w14:textId="77777777" w:rsidR="00632208" w:rsidRPr="0098635C" w:rsidRDefault="00632208" w:rsidP="00A432B0">
            <w:pPr>
              <w:spacing w:after="0"/>
              <w:rPr>
                <w:color w:val="000000" w:themeColor="text1"/>
                <w:sz w:val="20"/>
                <w:szCs w:val="20"/>
              </w:rPr>
            </w:pPr>
            <w:r w:rsidRPr="0098635C">
              <w:rPr>
                <w:color w:val="000000" w:themeColor="text1"/>
                <w:sz w:val="20"/>
                <w:szCs w:val="20"/>
              </w:rPr>
              <w:t>33</w:t>
            </w:r>
          </w:p>
        </w:tc>
        <w:tc>
          <w:tcPr>
            <w:tcW w:w="1984" w:type="dxa"/>
            <w:tcBorders>
              <w:top w:val="nil"/>
              <w:left w:val="nil"/>
              <w:bottom w:val="single" w:sz="4" w:space="0" w:color="auto"/>
              <w:right w:val="single" w:sz="4" w:space="0" w:color="auto"/>
            </w:tcBorders>
          </w:tcPr>
          <w:p w14:paraId="00F5854E" w14:textId="77777777" w:rsidR="00632208" w:rsidRPr="0098635C" w:rsidRDefault="00632208" w:rsidP="00A432B0">
            <w:pPr>
              <w:spacing w:after="0"/>
              <w:rPr>
                <w:color w:val="000000" w:themeColor="text1"/>
                <w:sz w:val="20"/>
                <w:szCs w:val="20"/>
              </w:rPr>
            </w:pPr>
            <w:r w:rsidRPr="0098635C">
              <w:rPr>
                <w:color w:val="000000" w:themeColor="text1"/>
                <w:sz w:val="20"/>
                <w:szCs w:val="20"/>
              </w:rPr>
              <w:t>natural seawater</w:t>
            </w:r>
          </w:p>
        </w:tc>
        <w:tc>
          <w:tcPr>
            <w:tcW w:w="1985" w:type="dxa"/>
            <w:tcBorders>
              <w:top w:val="nil"/>
              <w:left w:val="nil"/>
              <w:bottom w:val="single" w:sz="4" w:space="0" w:color="auto"/>
              <w:right w:val="double" w:sz="6" w:space="0" w:color="auto"/>
            </w:tcBorders>
          </w:tcPr>
          <w:p w14:paraId="6607B842"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Anderson et al., 1991 </w:t>
            </w:r>
          </w:p>
        </w:tc>
      </w:tr>
      <w:tr w:rsidR="00632208" w:rsidRPr="0098635C" w14:paraId="7AC20ACD" w14:textId="77777777" w:rsidTr="00A432B0">
        <w:trPr>
          <w:trHeight w:val="116"/>
        </w:trPr>
        <w:tc>
          <w:tcPr>
            <w:tcW w:w="1844" w:type="dxa"/>
            <w:tcBorders>
              <w:top w:val="nil"/>
              <w:left w:val="double" w:sz="6" w:space="0" w:color="auto"/>
              <w:bottom w:val="single" w:sz="4" w:space="0" w:color="auto"/>
              <w:right w:val="single" w:sz="4" w:space="0" w:color="auto"/>
            </w:tcBorders>
          </w:tcPr>
          <w:p w14:paraId="6A36269E"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Cyprinodon variegates</w:t>
            </w:r>
          </w:p>
        </w:tc>
        <w:tc>
          <w:tcPr>
            <w:tcW w:w="1701" w:type="dxa"/>
            <w:tcBorders>
              <w:top w:val="nil"/>
              <w:left w:val="nil"/>
              <w:bottom w:val="single" w:sz="4" w:space="0" w:color="auto"/>
              <w:right w:val="single" w:sz="4" w:space="0" w:color="auto"/>
            </w:tcBorders>
          </w:tcPr>
          <w:p w14:paraId="3A747934" w14:textId="77777777" w:rsidR="00632208" w:rsidRPr="0098635C" w:rsidRDefault="00632208" w:rsidP="00A432B0">
            <w:pPr>
              <w:spacing w:after="0"/>
              <w:rPr>
                <w:color w:val="000000" w:themeColor="text1"/>
                <w:sz w:val="20"/>
                <w:szCs w:val="20"/>
              </w:rPr>
            </w:pPr>
            <w:r w:rsidRPr="0098635C">
              <w:rPr>
                <w:color w:val="000000" w:themeColor="text1"/>
                <w:sz w:val="20"/>
                <w:szCs w:val="20"/>
              </w:rPr>
              <w:t>Egg</w:t>
            </w:r>
          </w:p>
        </w:tc>
        <w:tc>
          <w:tcPr>
            <w:tcW w:w="1134" w:type="dxa"/>
            <w:tcBorders>
              <w:top w:val="nil"/>
              <w:left w:val="nil"/>
              <w:bottom w:val="single" w:sz="4" w:space="0" w:color="auto"/>
              <w:right w:val="single" w:sz="4" w:space="0" w:color="auto"/>
            </w:tcBorders>
          </w:tcPr>
          <w:p w14:paraId="215A98C2" w14:textId="77777777" w:rsidR="00632208" w:rsidRPr="0098635C" w:rsidRDefault="00632208" w:rsidP="00A432B0">
            <w:pPr>
              <w:spacing w:after="0"/>
              <w:rPr>
                <w:color w:val="000000" w:themeColor="text1"/>
                <w:sz w:val="20"/>
                <w:szCs w:val="20"/>
              </w:rPr>
            </w:pPr>
            <w:r w:rsidRPr="0098635C">
              <w:rPr>
                <w:color w:val="000000" w:themeColor="text1"/>
                <w:sz w:val="20"/>
                <w:szCs w:val="20"/>
              </w:rPr>
              <w:t>7 days</w:t>
            </w:r>
          </w:p>
        </w:tc>
        <w:tc>
          <w:tcPr>
            <w:tcW w:w="1701" w:type="dxa"/>
            <w:tcBorders>
              <w:top w:val="nil"/>
              <w:left w:val="nil"/>
              <w:bottom w:val="single" w:sz="4" w:space="0" w:color="auto"/>
              <w:right w:val="single" w:sz="4" w:space="0" w:color="auto"/>
            </w:tcBorders>
          </w:tcPr>
          <w:p w14:paraId="2BA30E4A" w14:textId="77777777" w:rsidR="00632208" w:rsidRPr="0098635C" w:rsidRDefault="00632208" w:rsidP="00A432B0">
            <w:pPr>
              <w:spacing w:after="0"/>
              <w:rPr>
                <w:color w:val="000000" w:themeColor="text1"/>
                <w:sz w:val="20"/>
                <w:szCs w:val="20"/>
              </w:rPr>
            </w:pPr>
            <w:r w:rsidRPr="0098635C">
              <w:rPr>
                <w:color w:val="000000" w:themeColor="text1"/>
                <w:sz w:val="20"/>
                <w:szCs w:val="20"/>
              </w:rPr>
              <w:t>hatchability</w:t>
            </w:r>
          </w:p>
        </w:tc>
        <w:tc>
          <w:tcPr>
            <w:tcW w:w="709" w:type="dxa"/>
            <w:tcBorders>
              <w:top w:val="nil"/>
              <w:left w:val="nil"/>
              <w:bottom w:val="single" w:sz="4" w:space="0" w:color="auto"/>
              <w:right w:val="single" w:sz="4" w:space="0" w:color="auto"/>
            </w:tcBorders>
          </w:tcPr>
          <w:p w14:paraId="2967EF1F" w14:textId="77777777" w:rsidR="00632208" w:rsidRPr="0098635C" w:rsidRDefault="00632208" w:rsidP="00A432B0">
            <w:pPr>
              <w:spacing w:after="0"/>
              <w:rPr>
                <w:color w:val="000000" w:themeColor="text1"/>
                <w:sz w:val="20"/>
                <w:szCs w:val="20"/>
              </w:rPr>
            </w:pPr>
            <w:r w:rsidRPr="0098635C">
              <w:rPr>
                <w:color w:val="000000" w:themeColor="text1"/>
                <w:sz w:val="20"/>
                <w:szCs w:val="20"/>
              </w:rPr>
              <w:t>(109)</w:t>
            </w:r>
          </w:p>
        </w:tc>
        <w:tc>
          <w:tcPr>
            <w:tcW w:w="1417" w:type="dxa"/>
            <w:tcBorders>
              <w:top w:val="nil"/>
              <w:left w:val="nil"/>
              <w:bottom w:val="single" w:sz="4" w:space="0" w:color="auto"/>
              <w:right w:val="single" w:sz="4" w:space="0" w:color="auto"/>
            </w:tcBorders>
          </w:tcPr>
          <w:p w14:paraId="134D419F" w14:textId="77777777" w:rsidR="00632208" w:rsidRPr="0098635C" w:rsidRDefault="00632208" w:rsidP="00A432B0">
            <w:pPr>
              <w:spacing w:after="0"/>
              <w:rPr>
                <w:color w:val="000000" w:themeColor="text1"/>
                <w:sz w:val="20"/>
                <w:szCs w:val="20"/>
              </w:rPr>
            </w:pPr>
            <w:r w:rsidRPr="0098635C">
              <w:rPr>
                <w:color w:val="000000" w:themeColor="text1"/>
                <w:sz w:val="20"/>
                <w:szCs w:val="20"/>
              </w:rPr>
              <w:t>flowthrough</w:t>
            </w:r>
          </w:p>
        </w:tc>
        <w:tc>
          <w:tcPr>
            <w:tcW w:w="851" w:type="dxa"/>
            <w:tcBorders>
              <w:top w:val="nil"/>
              <w:left w:val="nil"/>
              <w:bottom w:val="single" w:sz="4" w:space="0" w:color="auto"/>
              <w:right w:val="single" w:sz="4" w:space="0" w:color="auto"/>
            </w:tcBorders>
          </w:tcPr>
          <w:p w14:paraId="15DB1D92" w14:textId="77777777" w:rsidR="00632208" w:rsidRPr="0098635C" w:rsidRDefault="00632208" w:rsidP="00A432B0">
            <w:pPr>
              <w:spacing w:after="0"/>
              <w:rPr>
                <w:color w:val="000000" w:themeColor="text1"/>
                <w:sz w:val="20"/>
                <w:szCs w:val="20"/>
              </w:rPr>
            </w:pPr>
            <w:r w:rsidRPr="0098635C">
              <w:rPr>
                <w:color w:val="000000" w:themeColor="text1"/>
                <w:sz w:val="20"/>
                <w:szCs w:val="20"/>
              </w:rPr>
              <w:t>&lt;0.4m</w:t>
            </w:r>
          </w:p>
        </w:tc>
        <w:tc>
          <w:tcPr>
            <w:tcW w:w="850" w:type="dxa"/>
            <w:tcBorders>
              <w:top w:val="nil"/>
              <w:left w:val="nil"/>
              <w:bottom w:val="single" w:sz="4" w:space="0" w:color="auto"/>
              <w:right w:val="single" w:sz="4" w:space="0" w:color="auto"/>
            </w:tcBorders>
          </w:tcPr>
          <w:p w14:paraId="120A3558" w14:textId="77777777" w:rsidR="00632208" w:rsidRPr="0098635C" w:rsidRDefault="00632208" w:rsidP="00A432B0">
            <w:pPr>
              <w:spacing w:after="0"/>
              <w:rPr>
                <w:color w:val="000000" w:themeColor="text1"/>
                <w:sz w:val="20"/>
                <w:szCs w:val="20"/>
              </w:rPr>
            </w:pPr>
            <w:r w:rsidRPr="0098635C">
              <w:rPr>
                <w:color w:val="000000" w:themeColor="text1"/>
                <w:sz w:val="20"/>
                <w:szCs w:val="20"/>
              </w:rPr>
              <w:t>1.19m</w:t>
            </w:r>
          </w:p>
        </w:tc>
        <w:tc>
          <w:tcPr>
            <w:tcW w:w="851" w:type="dxa"/>
            <w:tcBorders>
              <w:top w:val="nil"/>
              <w:left w:val="nil"/>
              <w:bottom w:val="single" w:sz="4" w:space="0" w:color="auto"/>
              <w:right w:val="single" w:sz="4" w:space="0" w:color="auto"/>
            </w:tcBorders>
          </w:tcPr>
          <w:p w14:paraId="2CAD3980" w14:textId="77777777" w:rsidR="00632208" w:rsidRPr="0098635C" w:rsidRDefault="00632208" w:rsidP="00A432B0">
            <w:pPr>
              <w:spacing w:after="0"/>
              <w:rPr>
                <w:color w:val="000000" w:themeColor="text1"/>
                <w:sz w:val="20"/>
                <w:szCs w:val="20"/>
              </w:rPr>
            </w:pPr>
            <w:r w:rsidRPr="0098635C">
              <w:rPr>
                <w:color w:val="000000" w:themeColor="text1"/>
                <w:sz w:val="20"/>
                <w:szCs w:val="20"/>
              </w:rPr>
              <w:t>23.5-27</w:t>
            </w:r>
          </w:p>
        </w:tc>
        <w:tc>
          <w:tcPr>
            <w:tcW w:w="1984" w:type="dxa"/>
            <w:tcBorders>
              <w:top w:val="nil"/>
              <w:left w:val="nil"/>
              <w:bottom w:val="single" w:sz="4" w:space="0" w:color="auto"/>
              <w:right w:val="single" w:sz="4" w:space="0" w:color="auto"/>
            </w:tcBorders>
          </w:tcPr>
          <w:p w14:paraId="0C83B6C0" w14:textId="77777777" w:rsidR="00632208" w:rsidRPr="0098635C" w:rsidRDefault="00632208" w:rsidP="00A432B0">
            <w:pPr>
              <w:spacing w:after="0"/>
              <w:rPr>
                <w:color w:val="000000" w:themeColor="text1"/>
                <w:sz w:val="20"/>
                <w:szCs w:val="20"/>
              </w:rPr>
            </w:pPr>
            <w:r w:rsidRPr="0098635C">
              <w:rPr>
                <w:color w:val="000000" w:themeColor="text1"/>
                <w:sz w:val="20"/>
                <w:szCs w:val="20"/>
              </w:rPr>
              <w:t>natural seawater</w:t>
            </w:r>
          </w:p>
        </w:tc>
        <w:tc>
          <w:tcPr>
            <w:tcW w:w="1985" w:type="dxa"/>
            <w:tcBorders>
              <w:top w:val="nil"/>
              <w:left w:val="nil"/>
              <w:bottom w:val="single" w:sz="4" w:space="0" w:color="auto"/>
              <w:right w:val="double" w:sz="6" w:space="0" w:color="auto"/>
            </w:tcBorders>
          </w:tcPr>
          <w:p w14:paraId="34068FA9"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Hurd, K., 2006b </w:t>
            </w:r>
          </w:p>
        </w:tc>
      </w:tr>
      <w:tr w:rsidR="00632208" w:rsidRPr="0098635C" w14:paraId="4B6D4C35" w14:textId="77777777" w:rsidTr="00A432B0">
        <w:trPr>
          <w:trHeight w:val="74"/>
        </w:trPr>
        <w:tc>
          <w:tcPr>
            <w:tcW w:w="1844" w:type="dxa"/>
            <w:tcBorders>
              <w:top w:val="nil"/>
              <w:left w:val="double" w:sz="6" w:space="0" w:color="auto"/>
              <w:bottom w:val="single" w:sz="4" w:space="0" w:color="auto"/>
              <w:right w:val="single" w:sz="4" w:space="0" w:color="auto"/>
            </w:tcBorders>
          </w:tcPr>
          <w:p w14:paraId="01255476"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Cyprinodon variegates</w:t>
            </w:r>
          </w:p>
        </w:tc>
        <w:tc>
          <w:tcPr>
            <w:tcW w:w="1701" w:type="dxa"/>
            <w:tcBorders>
              <w:top w:val="nil"/>
              <w:left w:val="nil"/>
              <w:bottom w:val="single" w:sz="4" w:space="0" w:color="auto"/>
              <w:right w:val="single" w:sz="4" w:space="0" w:color="auto"/>
            </w:tcBorders>
          </w:tcPr>
          <w:p w14:paraId="1025DB42" w14:textId="77777777" w:rsidR="00632208" w:rsidRPr="0098635C" w:rsidRDefault="00632208" w:rsidP="00A432B0">
            <w:pPr>
              <w:spacing w:after="0"/>
              <w:rPr>
                <w:color w:val="000000" w:themeColor="text1"/>
                <w:sz w:val="20"/>
                <w:szCs w:val="20"/>
              </w:rPr>
            </w:pPr>
            <w:r w:rsidRPr="0098635C">
              <w:rPr>
                <w:color w:val="000000" w:themeColor="text1"/>
                <w:sz w:val="20"/>
                <w:szCs w:val="20"/>
              </w:rPr>
              <w:t>Embryo-larval stages</w:t>
            </w:r>
          </w:p>
        </w:tc>
        <w:tc>
          <w:tcPr>
            <w:tcW w:w="1134" w:type="dxa"/>
            <w:tcBorders>
              <w:top w:val="nil"/>
              <w:left w:val="nil"/>
              <w:bottom w:val="single" w:sz="4" w:space="0" w:color="auto"/>
              <w:right w:val="single" w:sz="4" w:space="0" w:color="auto"/>
            </w:tcBorders>
          </w:tcPr>
          <w:p w14:paraId="175922C9" w14:textId="77777777" w:rsidR="00632208" w:rsidRPr="0098635C" w:rsidRDefault="00632208" w:rsidP="00A432B0">
            <w:pPr>
              <w:spacing w:after="0"/>
              <w:rPr>
                <w:color w:val="000000" w:themeColor="text1"/>
                <w:sz w:val="20"/>
                <w:szCs w:val="20"/>
              </w:rPr>
            </w:pPr>
            <w:r w:rsidRPr="0098635C">
              <w:rPr>
                <w:color w:val="000000" w:themeColor="text1"/>
                <w:sz w:val="20"/>
                <w:szCs w:val="20"/>
              </w:rPr>
              <w:t>32 days</w:t>
            </w:r>
          </w:p>
        </w:tc>
        <w:tc>
          <w:tcPr>
            <w:tcW w:w="1701" w:type="dxa"/>
            <w:tcBorders>
              <w:top w:val="nil"/>
              <w:left w:val="nil"/>
              <w:bottom w:val="single" w:sz="4" w:space="0" w:color="auto"/>
              <w:right w:val="single" w:sz="4" w:space="0" w:color="auto"/>
            </w:tcBorders>
          </w:tcPr>
          <w:p w14:paraId="519833A6" w14:textId="77777777" w:rsidR="00632208" w:rsidRPr="0098635C" w:rsidRDefault="00632208" w:rsidP="00A432B0">
            <w:pPr>
              <w:spacing w:after="0"/>
              <w:rPr>
                <w:color w:val="000000" w:themeColor="text1"/>
                <w:sz w:val="20"/>
                <w:szCs w:val="20"/>
              </w:rPr>
            </w:pPr>
            <w:r w:rsidRPr="0098635C">
              <w:rPr>
                <w:color w:val="000000" w:themeColor="text1"/>
                <w:sz w:val="20"/>
                <w:szCs w:val="20"/>
              </w:rPr>
              <w:t>Survival</w:t>
            </w:r>
          </w:p>
        </w:tc>
        <w:tc>
          <w:tcPr>
            <w:tcW w:w="709" w:type="dxa"/>
            <w:tcBorders>
              <w:top w:val="nil"/>
              <w:left w:val="nil"/>
              <w:bottom w:val="single" w:sz="4" w:space="0" w:color="auto"/>
              <w:right w:val="single" w:sz="4" w:space="0" w:color="auto"/>
            </w:tcBorders>
          </w:tcPr>
          <w:p w14:paraId="57025975" w14:textId="77777777" w:rsidR="00632208" w:rsidRPr="0098635C" w:rsidRDefault="00632208" w:rsidP="00A432B0">
            <w:pPr>
              <w:spacing w:after="0"/>
              <w:rPr>
                <w:color w:val="000000" w:themeColor="text1"/>
                <w:sz w:val="20"/>
                <w:szCs w:val="20"/>
              </w:rPr>
            </w:pPr>
            <w:r w:rsidRPr="0098635C">
              <w:rPr>
                <w:color w:val="000000" w:themeColor="text1"/>
                <w:sz w:val="20"/>
                <w:szCs w:val="20"/>
              </w:rPr>
              <w:t>(109)</w:t>
            </w:r>
          </w:p>
        </w:tc>
        <w:tc>
          <w:tcPr>
            <w:tcW w:w="1417" w:type="dxa"/>
            <w:tcBorders>
              <w:top w:val="nil"/>
              <w:left w:val="nil"/>
              <w:bottom w:val="single" w:sz="4" w:space="0" w:color="auto"/>
              <w:right w:val="single" w:sz="4" w:space="0" w:color="auto"/>
            </w:tcBorders>
          </w:tcPr>
          <w:p w14:paraId="102EC01D" w14:textId="77777777" w:rsidR="00632208" w:rsidRPr="0098635C" w:rsidRDefault="00632208" w:rsidP="00A432B0">
            <w:pPr>
              <w:spacing w:after="0"/>
              <w:rPr>
                <w:color w:val="000000" w:themeColor="text1"/>
                <w:sz w:val="20"/>
                <w:szCs w:val="20"/>
              </w:rPr>
            </w:pPr>
            <w:r w:rsidRPr="0098635C">
              <w:rPr>
                <w:color w:val="000000" w:themeColor="text1"/>
                <w:sz w:val="20"/>
                <w:szCs w:val="20"/>
              </w:rPr>
              <w:t>flowthrough</w:t>
            </w:r>
          </w:p>
        </w:tc>
        <w:tc>
          <w:tcPr>
            <w:tcW w:w="851" w:type="dxa"/>
            <w:tcBorders>
              <w:top w:val="nil"/>
              <w:left w:val="nil"/>
              <w:bottom w:val="single" w:sz="4" w:space="0" w:color="auto"/>
              <w:right w:val="single" w:sz="4" w:space="0" w:color="auto"/>
            </w:tcBorders>
          </w:tcPr>
          <w:p w14:paraId="6C8CCD82" w14:textId="77777777" w:rsidR="00632208" w:rsidRPr="0098635C" w:rsidRDefault="00632208" w:rsidP="00A432B0">
            <w:pPr>
              <w:spacing w:after="0"/>
              <w:rPr>
                <w:color w:val="000000" w:themeColor="text1"/>
                <w:sz w:val="20"/>
                <w:szCs w:val="20"/>
              </w:rPr>
            </w:pPr>
            <w:r w:rsidRPr="0098635C">
              <w:rPr>
                <w:color w:val="000000" w:themeColor="text1"/>
                <w:sz w:val="20"/>
                <w:szCs w:val="20"/>
              </w:rPr>
              <w:t>&lt;0.4m</w:t>
            </w:r>
          </w:p>
        </w:tc>
        <w:tc>
          <w:tcPr>
            <w:tcW w:w="850" w:type="dxa"/>
            <w:tcBorders>
              <w:top w:val="nil"/>
              <w:left w:val="nil"/>
              <w:bottom w:val="single" w:sz="4" w:space="0" w:color="auto"/>
              <w:right w:val="single" w:sz="4" w:space="0" w:color="auto"/>
            </w:tcBorders>
          </w:tcPr>
          <w:p w14:paraId="70B4DE2C" w14:textId="77777777" w:rsidR="00632208" w:rsidRPr="0098635C" w:rsidRDefault="00632208" w:rsidP="00A432B0">
            <w:pPr>
              <w:spacing w:after="0"/>
              <w:rPr>
                <w:color w:val="000000" w:themeColor="text1"/>
                <w:sz w:val="20"/>
                <w:szCs w:val="20"/>
              </w:rPr>
            </w:pPr>
            <w:r w:rsidRPr="0098635C">
              <w:rPr>
                <w:color w:val="000000" w:themeColor="text1"/>
                <w:sz w:val="20"/>
                <w:szCs w:val="20"/>
              </w:rPr>
              <w:t>1.19m</w:t>
            </w:r>
          </w:p>
        </w:tc>
        <w:tc>
          <w:tcPr>
            <w:tcW w:w="851" w:type="dxa"/>
            <w:tcBorders>
              <w:top w:val="nil"/>
              <w:left w:val="nil"/>
              <w:bottom w:val="single" w:sz="4" w:space="0" w:color="auto"/>
              <w:right w:val="single" w:sz="4" w:space="0" w:color="auto"/>
            </w:tcBorders>
          </w:tcPr>
          <w:p w14:paraId="65BC3831" w14:textId="77777777" w:rsidR="00632208" w:rsidRPr="0098635C" w:rsidRDefault="00632208" w:rsidP="00A432B0">
            <w:pPr>
              <w:spacing w:after="0"/>
              <w:rPr>
                <w:color w:val="000000" w:themeColor="text1"/>
                <w:sz w:val="20"/>
                <w:szCs w:val="20"/>
              </w:rPr>
            </w:pPr>
            <w:r w:rsidRPr="0098635C">
              <w:rPr>
                <w:color w:val="000000" w:themeColor="text1"/>
                <w:sz w:val="20"/>
                <w:szCs w:val="20"/>
              </w:rPr>
              <w:t>23.5-27</w:t>
            </w:r>
          </w:p>
        </w:tc>
        <w:tc>
          <w:tcPr>
            <w:tcW w:w="1984" w:type="dxa"/>
            <w:tcBorders>
              <w:top w:val="nil"/>
              <w:left w:val="nil"/>
              <w:bottom w:val="single" w:sz="4" w:space="0" w:color="auto"/>
              <w:right w:val="single" w:sz="4" w:space="0" w:color="auto"/>
            </w:tcBorders>
          </w:tcPr>
          <w:p w14:paraId="00C49389" w14:textId="77777777" w:rsidR="00632208" w:rsidRPr="0098635C" w:rsidRDefault="00632208" w:rsidP="00A432B0">
            <w:pPr>
              <w:spacing w:after="0"/>
              <w:rPr>
                <w:color w:val="000000" w:themeColor="text1"/>
                <w:sz w:val="20"/>
                <w:szCs w:val="20"/>
              </w:rPr>
            </w:pPr>
            <w:r w:rsidRPr="0098635C">
              <w:rPr>
                <w:color w:val="000000" w:themeColor="text1"/>
                <w:sz w:val="20"/>
                <w:szCs w:val="20"/>
              </w:rPr>
              <w:t>natural seawater</w:t>
            </w:r>
          </w:p>
        </w:tc>
        <w:tc>
          <w:tcPr>
            <w:tcW w:w="1985" w:type="dxa"/>
            <w:tcBorders>
              <w:top w:val="nil"/>
              <w:left w:val="nil"/>
              <w:bottom w:val="single" w:sz="4" w:space="0" w:color="auto"/>
              <w:right w:val="double" w:sz="6" w:space="0" w:color="auto"/>
            </w:tcBorders>
          </w:tcPr>
          <w:p w14:paraId="105C992F"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Hurd, K., 2006b </w:t>
            </w:r>
          </w:p>
        </w:tc>
      </w:tr>
      <w:tr w:rsidR="00632208" w:rsidRPr="0098635C" w14:paraId="3B5C6830" w14:textId="77777777" w:rsidTr="00A432B0">
        <w:trPr>
          <w:trHeight w:val="74"/>
        </w:trPr>
        <w:tc>
          <w:tcPr>
            <w:tcW w:w="1844" w:type="dxa"/>
            <w:tcBorders>
              <w:top w:val="nil"/>
              <w:left w:val="double" w:sz="6" w:space="0" w:color="auto"/>
              <w:bottom w:val="single" w:sz="4" w:space="0" w:color="auto"/>
              <w:right w:val="single" w:sz="4" w:space="0" w:color="auto"/>
            </w:tcBorders>
          </w:tcPr>
          <w:p w14:paraId="3B117212"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Cyprinodon variegates</w:t>
            </w:r>
          </w:p>
        </w:tc>
        <w:tc>
          <w:tcPr>
            <w:tcW w:w="1701" w:type="dxa"/>
            <w:tcBorders>
              <w:top w:val="nil"/>
              <w:left w:val="nil"/>
              <w:bottom w:val="single" w:sz="4" w:space="0" w:color="auto"/>
              <w:right w:val="single" w:sz="4" w:space="0" w:color="auto"/>
            </w:tcBorders>
          </w:tcPr>
          <w:p w14:paraId="2751F269" w14:textId="77777777" w:rsidR="00632208" w:rsidRPr="0098635C" w:rsidRDefault="00632208" w:rsidP="00A432B0">
            <w:pPr>
              <w:spacing w:after="0"/>
              <w:rPr>
                <w:color w:val="000000" w:themeColor="text1"/>
                <w:sz w:val="20"/>
                <w:szCs w:val="20"/>
              </w:rPr>
            </w:pPr>
            <w:r w:rsidRPr="0098635C">
              <w:rPr>
                <w:color w:val="000000" w:themeColor="text1"/>
                <w:sz w:val="20"/>
                <w:szCs w:val="20"/>
              </w:rPr>
              <w:t>Embryo-larval stages</w:t>
            </w:r>
          </w:p>
        </w:tc>
        <w:tc>
          <w:tcPr>
            <w:tcW w:w="1134" w:type="dxa"/>
            <w:tcBorders>
              <w:top w:val="nil"/>
              <w:left w:val="nil"/>
              <w:bottom w:val="single" w:sz="4" w:space="0" w:color="auto"/>
              <w:right w:val="single" w:sz="4" w:space="0" w:color="auto"/>
            </w:tcBorders>
          </w:tcPr>
          <w:p w14:paraId="0DCD5FC5" w14:textId="77777777" w:rsidR="00632208" w:rsidRPr="0098635C" w:rsidRDefault="00632208" w:rsidP="00A432B0">
            <w:pPr>
              <w:spacing w:after="0"/>
              <w:rPr>
                <w:color w:val="000000" w:themeColor="text1"/>
                <w:sz w:val="20"/>
                <w:szCs w:val="20"/>
              </w:rPr>
            </w:pPr>
            <w:r w:rsidRPr="0098635C">
              <w:rPr>
                <w:color w:val="000000" w:themeColor="text1"/>
                <w:sz w:val="20"/>
                <w:szCs w:val="20"/>
              </w:rPr>
              <w:t>32 days</w:t>
            </w:r>
          </w:p>
        </w:tc>
        <w:tc>
          <w:tcPr>
            <w:tcW w:w="1701" w:type="dxa"/>
            <w:tcBorders>
              <w:top w:val="nil"/>
              <w:left w:val="nil"/>
              <w:bottom w:val="single" w:sz="4" w:space="0" w:color="auto"/>
              <w:right w:val="single" w:sz="4" w:space="0" w:color="auto"/>
            </w:tcBorders>
          </w:tcPr>
          <w:p w14:paraId="1ADFAFD5" w14:textId="77777777" w:rsidR="00632208" w:rsidRPr="0098635C" w:rsidRDefault="00632208" w:rsidP="00A432B0">
            <w:pPr>
              <w:spacing w:after="0"/>
              <w:rPr>
                <w:color w:val="000000" w:themeColor="text1"/>
                <w:sz w:val="20"/>
                <w:szCs w:val="20"/>
              </w:rPr>
            </w:pPr>
            <w:r w:rsidRPr="0098635C">
              <w:rPr>
                <w:color w:val="000000" w:themeColor="text1"/>
                <w:sz w:val="20"/>
                <w:szCs w:val="20"/>
              </w:rPr>
              <w:t>Embryo development (weight)</w:t>
            </w:r>
          </w:p>
        </w:tc>
        <w:tc>
          <w:tcPr>
            <w:tcW w:w="709" w:type="dxa"/>
            <w:tcBorders>
              <w:top w:val="nil"/>
              <w:left w:val="nil"/>
              <w:bottom w:val="single" w:sz="4" w:space="0" w:color="auto"/>
              <w:right w:val="single" w:sz="4" w:space="0" w:color="auto"/>
            </w:tcBorders>
          </w:tcPr>
          <w:p w14:paraId="126938C0" w14:textId="77777777" w:rsidR="00632208" w:rsidRPr="0098635C" w:rsidRDefault="00632208" w:rsidP="00A432B0">
            <w:pPr>
              <w:spacing w:after="0"/>
              <w:rPr>
                <w:color w:val="000000" w:themeColor="text1"/>
                <w:sz w:val="20"/>
                <w:szCs w:val="20"/>
              </w:rPr>
            </w:pPr>
            <w:r w:rsidRPr="0098635C">
              <w:rPr>
                <w:color w:val="000000" w:themeColor="text1"/>
                <w:sz w:val="20"/>
                <w:szCs w:val="20"/>
              </w:rPr>
              <w:t>57.8</w:t>
            </w:r>
          </w:p>
        </w:tc>
        <w:tc>
          <w:tcPr>
            <w:tcW w:w="1417" w:type="dxa"/>
            <w:tcBorders>
              <w:top w:val="nil"/>
              <w:left w:val="nil"/>
              <w:bottom w:val="single" w:sz="4" w:space="0" w:color="auto"/>
              <w:right w:val="single" w:sz="4" w:space="0" w:color="auto"/>
            </w:tcBorders>
          </w:tcPr>
          <w:p w14:paraId="69B2E455" w14:textId="77777777" w:rsidR="00632208" w:rsidRPr="0098635C" w:rsidRDefault="00632208" w:rsidP="00A432B0">
            <w:pPr>
              <w:spacing w:after="0"/>
              <w:rPr>
                <w:color w:val="000000" w:themeColor="text1"/>
                <w:sz w:val="20"/>
                <w:szCs w:val="20"/>
              </w:rPr>
            </w:pPr>
            <w:r w:rsidRPr="0098635C">
              <w:rPr>
                <w:color w:val="000000" w:themeColor="text1"/>
                <w:sz w:val="20"/>
                <w:szCs w:val="20"/>
              </w:rPr>
              <w:t>flowthrough</w:t>
            </w:r>
          </w:p>
        </w:tc>
        <w:tc>
          <w:tcPr>
            <w:tcW w:w="851" w:type="dxa"/>
            <w:tcBorders>
              <w:top w:val="nil"/>
              <w:left w:val="nil"/>
              <w:bottom w:val="single" w:sz="4" w:space="0" w:color="auto"/>
              <w:right w:val="single" w:sz="4" w:space="0" w:color="auto"/>
            </w:tcBorders>
          </w:tcPr>
          <w:p w14:paraId="0EEE6EC4" w14:textId="77777777" w:rsidR="00632208" w:rsidRPr="0098635C" w:rsidRDefault="00632208" w:rsidP="00A432B0">
            <w:pPr>
              <w:spacing w:after="0"/>
              <w:rPr>
                <w:color w:val="000000" w:themeColor="text1"/>
                <w:sz w:val="20"/>
                <w:szCs w:val="20"/>
              </w:rPr>
            </w:pPr>
            <w:r w:rsidRPr="0098635C">
              <w:rPr>
                <w:color w:val="000000" w:themeColor="text1"/>
                <w:sz w:val="20"/>
                <w:szCs w:val="20"/>
              </w:rPr>
              <w:t>&lt;0.4m</w:t>
            </w:r>
          </w:p>
        </w:tc>
        <w:tc>
          <w:tcPr>
            <w:tcW w:w="850" w:type="dxa"/>
            <w:tcBorders>
              <w:top w:val="nil"/>
              <w:left w:val="nil"/>
              <w:bottom w:val="single" w:sz="4" w:space="0" w:color="auto"/>
              <w:right w:val="single" w:sz="4" w:space="0" w:color="auto"/>
            </w:tcBorders>
          </w:tcPr>
          <w:p w14:paraId="6C1C1F88" w14:textId="77777777" w:rsidR="00632208" w:rsidRPr="0098635C" w:rsidRDefault="00632208" w:rsidP="00A432B0">
            <w:pPr>
              <w:spacing w:after="0"/>
              <w:rPr>
                <w:color w:val="000000" w:themeColor="text1"/>
                <w:sz w:val="20"/>
                <w:szCs w:val="20"/>
              </w:rPr>
            </w:pPr>
            <w:r w:rsidRPr="0098635C">
              <w:rPr>
                <w:color w:val="000000" w:themeColor="text1"/>
                <w:sz w:val="20"/>
                <w:szCs w:val="20"/>
              </w:rPr>
              <w:t>1.19m</w:t>
            </w:r>
          </w:p>
        </w:tc>
        <w:tc>
          <w:tcPr>
            <w:tcW w:w="851" w:type="dxa"/>
            <w:tcBorders>
              <w:top w:val="nil"/>
              <w:left w:val="nil"/>
              <w:bottom w:val="single" w:sz="4" w:space="0" w:color="auto"/>
              <w:right w:val="single" w:sz="4" w:space="0" w:color="auto"/>
            </w:tcBorders>
          </w:tcPr>
          <w:p w14:paraId="0DF28571" w14:textId="77777777" w:rsidR="00632208" w:rsidRPr="0098635C" w:rsidRDefault="00632208" w:rsidP="00A432B0">
            <w:pPr>
              <w:spacing w:after="0"/>
              <w:rPr>
                <w:color w:val="000000" w:themeColor="text1"/>
                <w:sz w:val="20"/>
                <w:szCs w:val="20"/>
              </w:rPr>
            </w:pPr>
            <w:r w:rsidRPr="0098635C">
              <w:rPr>
                <w:color w:val="000000" w:themeColor="text1"/>
                <w:sz w:val="20"/>
                <w:szCs w:val="20"/>
              </w:rPr>
              <w:t>23.5-27</w:t>
            </w:r>
          </w:p>
        </w:tc>
        <w:tc>
          <w:tcPr>
            <w:tcW w:w="1984" w:type="dxa"/>
            <w:tcBorders>
              <w:top w:val="nil"/>
              <w:left w:val="nil"/>
              <w:bottom w:val="single" w:sz="4" w:space="0" w:color="auto"/>
              <w:right w:val="single" w:sz="4" w:space="0" w:color="auto"/>
            </w:tcBorders>
          </w:tcPr>
          <w:p w14:paraId="2BF5FC38" w14:textId="77777777" w:rsidR="00632208" w:rsidRPr="0098635C" w:rsidRDefault="00632208" w:rsidP="00A432B0">
            <w:pPr>
              <w:spacing w:after="0"/>
              <w:rPr>
                <w:color w:val="000000" w:themeColor="text1"/>
                <w:sz w:val="20"/>
                <w:szCs w:val="20"/>
              </w:rPr>
            </w:pPr>
            <w:r w:rsidRPr="0098635C">
              <w:rPr>
                <w:color w:val="000000" w:themeColor="text1"/>
                <w:sz w:val="20"/>
                <w:szCs w:val="20"/>
              </w:rPr>
              <w:t>natural seawater</w:t>
            </w:r>
          </w:p>
        </w:tc>
        <w:tc>
          <w:tcPr>
            <w:tcW w:w="1985" w:type="dxa"/>
            <w:tcBorders>
              <w:top w:val="nil"/>
              <w:left w:val="nil"/>
              <w:bottom w:val="single" w:sz="4" w:space="0" w:color="auto"/>
              <w:right w:val="double" w:sz="6" w:space="0" w:color="auto"/>
            </w:tcBorders>
          </w:tcPr>
          <w:p w14:paraId="16D9C4B7"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Hurd, K., 2006b </w:t>
            </w:r>
          </w:p>
        </w:tc>
      </w:tr>
      <w:tr w:rsidR="00632208" w:rsidRPr="0098635C" w14:paraId="3530AEE2" w14:textId="77777777" w:rsidTr="00A432B0">
        <w:trPr>
          <w:trHeight w:val="317"/>
        </w:trPr>
        <w:tc>
          <w:tcPr>
            <w:tcW w:w="1844" w:type="dxa"/>
            <w:tcBorders>
              <w:top w:val="nil"/>
              <w:left w:val="double" w:sz="6" w:space="0" w:color="auto"/>
              <w:bottom w:val="double" w:sz="6" w:space="0" w:color="auto"/>
              <w:right w:val="single" w:sz="4" w:space="0" w:color="auto"/>
            </w:tcBorders>
          </w:tcPr>
          <w:p w14:paraId="6315CCC2"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lastRenderedPageBreak/>
              <w:t>Cyprinodon variegates</w:t>
            </w:r>
          </w:p>
        </w:tc>
        <w:tc>
          <w:tcPr>
            <w:tcW w:w="1701" w:type="dxa"/>
            <w:tcBorders>
              <w:top w:val="nil"/>
              <w:left w:val="nil"/>
              <w:bottom w:val="double" w:sz="6" w:space="0" w:color="auto"/>
              <w:right w:val="single" w:sz="4" w:space="0" w:color="auto"/>
            </w:tcBorders>
          </w:tcPr>
          <w:p w14:paraId="565D07B7" w14:textId="77777777" w:rsidR="00632208" w:rsidRPr="0098635C" w:rsidRDefault="00632208" w:rsidP="00A432B0">
            <w:pPr>
              <w:spacing w:after="0"/>
              <w:rPr>
                <w:color w:val="000000" w:themeColor="text1"/>
                <w:sz w:val="20"/>
                <w:szCs w:val="20"/>
              </w:rPr>
            </w:pPr>
            <w:r w:rsidRPr="0098635C">
              <w:rPr>
                <w:color w:val="000000" w:themeColor="text1"/>
                <w:sz w:val="20"/>
                <w:szCs w:val="20"/>
              </w:rPr>
              <w:t>Embryo-larval stages</w:t>
            </w:r>
          </w:p>
        </w:tc>
        <w:tc>
          <w:tcPr>
            <w:tcW w:w="1134" w:type="dxa"/>
            <w:tcBorders>
              <w:top w:val="nil"/>
              <w:left w:val="nil"/>
              <w:bottom w:val="double" w:sz="6" w:space="0" w:color="auto"/>
              <w:right w:val="single" w:sz="4" w:space="0" w:color="auto"/>
            </w:tcBorders>
          </w:tcPr>
          <w:p w14:paraId="49FDDE22" w14:textId="77777777" w:rsidR="00632208" w:rsidRPr="0098635C" w:rsidRDefault="00632208" w:rsidP="00A432B0">
            <w:pPr>
              <w:spacing w:after="0"/>
              <w:rPr>
                <w:color w:val="000000" w:themeColor="text1"/>
                <w:sz w:val="20"/>
                <w:szCs w:val="20"/>
              </w:rPr>
            </w:pPr>
            <w:r w:rsidRPr="0098635C">
              <w:rPr>
                <w:color w:val="000000" w:themeColor="text1"/>
                <w:sz w:val="20"/>
                <w:szCs w:val="20"/>
              </w:rPr>
              <w:t>32 days</w:t>
            </w:r>
          </w:p>
        </w:tc>
        <w:tc>
          <w:tcPr>
            <w:tcW w:w="1701" w:type="dxa"/>
            <w:tcBorders>
              <w:top w:val="nil"/>
              <w:left w:val="nil"/>
              <w:bottom w:val="double" w:sz="6" w:space="0" w:color="auto"/>
              <w:right w:val="single" w:sz="4" w:space="0" w:color="auto"/>
            </w:tcBorders>
          </w:tcPr>
          <w:p w14:paraId="2B3F9259" w14:textId="77777777" w:rsidR="00632208" w:rsidRPr="0098635C" w:rsidRDefault="00632208" w:rsidP="00A432B0">
            <w:pPr>
              <w:spacing w:after="0"/>
              <w:rPr>
                <w:color w:val="000000" w:themeColor="text1"/>
                <w:sz w:val="20"/>
                <w:szCs w:val="20"/>
              </w:rPr>
            </w:pPr>
            <w:r w:rsidRPr="0098635C">
              <w:rPr>
                <w:color w:val="000000" w:themeColor="text1"/>
                <w:sz w:val="20"/>
                <w:szCs w:val="20"/>
              </w:rPr>
              <w:t>Embryo development (length)</w:t>
            </w:r>
          </w:p>
        </w:tc>
        <w:tc>
          <w:tcPr>
            <w:tcW w:w="709" w:type="dxa"/>
            <w:tcBorders>
              <w:top w:val="nil"/>
              <w:left w:val="nil"/>
              <w:bottom w:val="double" w:sz="6" w:space="0" w:color="auto"/>
              <w:right w:val="single" w:sz="4" w:space="0" w:color="auto"/>
            </w:tcBorders>
          </w:tcPr>
          <w:p w14:paraId="40DE2B8F" w14:textId="77777777" w:rsidR="00632208" w:rsidRPr="0098635C" w:rsidRDefault="00632208" w:rsidP="00A432B0">
            <w:pPr>
              <w:spacing w:after="0"/>
              <w:rPr>
                <w:color w:val="000000" w:themeColor="text1"/>
                <w:sz w:val="20"/>
                <w:szCs w:val="20"/>
              </w:rPr>
            </w:pPr>
            <w:r w:rsidRPr="0098635C">
              <w:rPr>
                <w:color w:val="000000" w:themeColor="text1"/>
                <w:sz w:val="20"/>
                <w:szCs w:val="20"/>
              </w:rPr>
              <w:t>57.8</w:t>
            </w:r>
          </w:p>
        </w:tc>
        <w:tc>
          <w:tcPr>
            <w:tcW w:w="1417" w:type="dxa"/>
            <w:tcBorders>
              <w:top w:val="nil"/>
              <w:left w:val="nil"/>
              <w:bottom w:val="double" w:sz="6" w:space="0" w:color="auto"/>
              <w:right w:val="single" w:sz="4" w:space="0" w:color="auto"/>
            </w:tcBorders>
          </w:tcPr>
          <w:p w14:paraId="2639F4E0" w14:textId="77777777" w:rsidR="00632208" w:rsidRPr="0098635C" w:rsidRDefault="00632208" w:rsidP="00A432B0">
            <w:pPr>
              <w:spacing w:after="0"/>
              <w:rPr>
                <w:color w:val="000000" w:themeColor="text1"/>
                <w:sz w:val="20"/>
                <w:szCs w:val="20"/>
              </w:rPr>
            </w:pPr>
            <w:r w:rsidRPr="0098635C">
              <w:rPr>
                <w:color w:val="000000" w:themeColor="text1"/>
                <w:sz w:val="20"/>
                <w:szCs w:val="20"/>
              </w:rPr>
              <w:t>flowthrough</w:t>
            </w:r>
          </w:p>
        </w:tc>
        <w:tc>
          <w:tcPr>
            <w:tcW w:w="851" w:type="dxa"/>
            <w:tcBorders>
              <w:top w:val="nil"/>
              <w:left w:val="nil"/>
              <w:bottom w:val="double" w:sz="6" w:space="0" w:color="auto"/>
              <w:right w:val="single" w:sz="4" w:space="0" w:color="auto"/>
            </w:tcBorders>
          </w:tcPr>
          <w:p w14:paraId="18740CBE" w14:textId="77777777" w:rsidR="00632208" w:rsidRPr="0098635C" w:rsidRDefault="00632208" w:rsidP="00A432B0">
            <w:pPr>
              <w:spacing w:after="0"/>
              <w:rPr>
                <w:color w:val="000000" w:themeColor="text1"/>
                <w:sz w:val="20"/>
                <w:szCs w:val="20"/>
              </w:rPr>
            </w:pPr>
            <w:r w:rsidRPr="0098635C">
              <w:rPr>
                <w:color w:val="000000" w:themeColor="text1"/>
                <w:sz w:val="20"/>
                <w:szCs w:val="20"/>
              </w:rPr>
              <w:t>&lt;0.4m</w:t>
            </w:r>
          </w:p>
        </w:tc>
        <w:tc>
          <w:tcPr>
            <w:tcW w:w="850" w:type="dxa"/>
            <w:tcBorders>
              <w:top w:val="nil"/>
              <w:left w:val="nil"/>
              <w:bottom w:val="double" w:sz="6" w:space="0" w:color="auto"/>
              <w:right w:val="single" w:sz="4" w:space="0" w:color="auto"/>
            </w:tcBorders>
          </w:tcPr>
          <w:p w14:paraId="3719A6EC" w14:textId="77777777" w:rsidR="00632208" w:rsidRPr="0098635C" w:rsidRDefault="00632208" w:rsidP="00A432B0">
            <w:pPr>
              <w:spacing w:after="0"/>
              <w:rPr>
                <w:color w:val="000000" w:themeColor="text1"/>
                <w:sz w:val="20"/>
                <w:szCs w:val="20"/>
              </w:rPr>
            </w:pPr>
            <w:r w:rsidRPr="0098635C">
              <w:rPr>
                <w:color w:val="000000" w:themeColor="text1"/>
                <w:sz w:val="20"/>
                <w:szCs w:val="20"/>
              </w:rPr>
              <w:t>1.19m</w:t>
            </w:r>
          </w:p>
        </w:tc>
        <w:tc>
          <w:tcPr>
            <w:tcW w:w="851" w:type="dxa"/>
            <w:tcBorders>
              <w:top w:val="nil"/>
              <w:left w:val="nil"/>
              <w:bottom w:val="double" w:sz="6" w:space="0" w:color="auto"/>
              <w:right w:val="single" w:sz="4" w:space="0" w:color="auto"/>
            </w:tcBorders>
          </w:tcPr>
          <w:p w14:paraId="6E2573AA" w14:textId="77777777" w:rsidR="00632208" w:rsidRPr="0098635C" w:rsidRDefault="00632208" w:rsidP="00A432B0">
            <w:pPr>
              <w:spacing w:after="0"/>
              <w:rPr>
                <w:color w:val="000000" w:themeColor="text1"/>
                <w:sz w:val="20"/>
                <w:szCs w:val="20"/>
              </w:rPr>
            </w:pPr>
            <w:r w:rsidRPr="0098635C">
              <w:rPr>
                <w:color w:val="000000" w:themeColor="text1"/>
                <w:sz w:val="20"/>
                <w:szCs w:val="20"/>
              </w:rPr>
              <w:t>23.5-27</w:t>
            </w:r>
          </w:p>
        </w:tc>
        <w:tc>
          <w:tcPr>
            <w:tcW w:w="1984" w:type="dxa"/>
            <w:tcBorders>
              <w:top w:val="nil"/>
              <w:left w:val="nil"/>
              <w:bottom w:val="double" w:sz="6" w:space="0" w:color="auto"/>
              <w:right w:val="single" w:sz="4" w:space="0" w:color="auto"/>
            </w:tcBorders>
          </w:tcPr>
          <w:p w14:paraId="2DD328FC" w14:textId="77777777" w:rsidR="00632208" w:rsidRPr="0098635C" w:rsidRDefault="00632208" w:rsidP="00A432B0">
            <w:pPr>
              <w:spacing w:after="0"/>
              <w:rPr>
                <w:color w:val="000000" w:themeColor="text1"/>
                <w:sz w:val="20"/>
                <w:szCs w:val="20"/>
              </w:rPr>
            </w:pPr>
            <w:r w:rsidRPr="0098635C">
              <w:rPr>
                <w:color w:val="000000" w:themeColor="text1"/>
                <w:sz w:val="20"/>
                <w:szCs w:val="20"/>
              </w:rPr>
              <w:t>natural seawater</w:t>
            </w:r>
          </w:p>
        </w:tc>
        <w:tc>
          <w:tcPr>
            <w:tcW w:w="1985" w:type="dxa"/>
            <w:tcBorders>
              <w:top w:val="nil"/>
              <w:left w:val="nil"/>
              <w:bottom w:val="double" w:sz="6" w:space="0" w:color="auto"/>
              <w:right w:val="double" w:sz="6" w:space="0" w:color="auto"/>
            </w:tcBorders>
          </w:tcPr>
          <w:p w14:paraId="18D81880"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Hurd, K., 2006b </w:t>
            </w:r>
          </w:p>
        </w:tc>
      </w:tr>
    </w:tbl>
    <w:p w14:paraId="27B1D969" w14:textId="77777777" w:rsidR="00632208" w:rsidRPr="0098635C" w:rsidRDefault="00632208" w:rsidP="00632208">
      <w:pPr>
        <w:ind w:left="-720"/>
        <w:rPr>
          <w:color w:val="000000" w:themeColor="text1"/>
          <w:sz w:val="20"/>
          <w:szCs w:val="20"/>
        </w:rPr>
      </w:pPr>
    </w:p>
    <w:p w14:paraId="6CEE6BA8" w14:textId="77777777" w:rsidR="00632208" w:rsidRPr="0098635C" w:rsidRDefault="00632208" w:rsidP="00632208">
      <w:pPr>
        <w:spacing w:before="80"/>
        <w:rPr>
          <w:b/>
          <w:bCs/>
          <w:color w:val="000000" w:themeColor="text1"/>
          <w:sz w:val="20"/>
          <w:szCs w:val="20"/>
        </w:rPr>
      </w:pPr>
    </w:p>
    <w:p w14:paraId="55CFE437" w14:textId="62FFD8D0" w:rsidR="00632208" w:rsidRPr="0098635C" w:rsidRDefault="00632208" w:rsidP="00632208">
      <w:pPr>
        <w:spacing w:before="80"/>
        <w:rPr>
          <w:color w:val="000000" w:themeColor="text1"/>
          <w:sz w:val="20"/>
          <w:szCs w:val="20"/>
        </w:rPr>
      </w:pPr>
      <w:r w:rsidRPr="0098635C">
        <w:rPr>
          <w:b/>
          <w:bCs/>
          <w:color w:val="000000" w:themeColor="text1"/>
          <w:sz w:val="20"/>
          <w:szCs w:val="20"/>
        </w:rPr>
        <w:br w:type="page"/>
      </w:r>
      <w:r w:rsidR="00965849" w:rsidRPr="0098635C">
        <w:rPr>
          <w:rFonts w:eastAsia="Calibri"/>
          <w:color w:val="000000" w:themeColor="text1"/>
          <w:sz w:val="20"/>
          <w:szCs w:val="20"/>
        </w:rPr>
        <w:lastRenderedPageBreak/>
        <w:t>Annex X</w:t>
      </w:r>
      <w:r w:rsidR="00EC6F09" w:rsidRPr="0098635C">
        <w:rPr>
          <w:rFonts w:eastAsia="Calibri"/>
          <w:color w:val="000000" w:themeColor="text1"/>
          <w:sz w:val="20"/>
          <w:szCs w:val="20"/>
        </w:rPr>
        <w:t>I</w:t>
      </w:r>
      <w:r w:rsidR="00965849" w:rsidRPr="0098635C">
        <w:rPr>
          <w:rFonts w:eastAsia="Calibri"/>
          <w:color w:val="000000" w:themeColor="text1"/>
          <w:sz w:val="20"/>
          <w:szCs w:val="20"/>
        </w:rPr>
        <w:t xml:space="preserve">II: </w:t>
      </w:r>
      <w:r w:rsidRPr="0098635C">
        <w:rPr>
          <w:bCs/>
          <w:color w:val="000000" w:themeColor="text1"/>
          <w:sz w:val="20"/>
          <w:szCs w:val="20"/>
        </w:rPr>
        <w:t>High quality NOEC values for marine invertebrates and related chemistry of the test waters.</w:t>
      </w:r>
      <w:r w:rsidRPr="0098635C">
        <w:rPr>
          <w:color w:val="000000" w:themeColor="text1"/>
          <w:sz w:val="20"/>
          <w:szCs w:val="20"/>
        </w:rPr>
        <w:t xml:space="preserve"> </w:t>
      </w:r>
    </w:p>
    <w:p w14:paraId="237306A6" w14:textId="77777777" w:rsidR="00632208" w:rsidRPr="0098635C" w:rsidRDefault="00632208" w:rsidP="00632208">
      <w:pPr>
        <w:spacing w:before="80" w:after="0"/>
        <w:rPr>
          <w:color w:val="000000" w:themeColor="text1"/>
          <w:sz w:val="20"/>
          <w:szCs w:val="20"/>
        </w:rPr>
      </w:pPr>
      <w:r w:rsidRPr="0098635C">
        <w:rPr>
          <w:color w:val="000000" w:themeColor="text1"/>
          <w:sz w:val="20"/>
          <w:szCs w:val="20"/>
        </w:rPr>
        <w:t>e: value was estimated; m: value was measured and reported; NR :  Background concentration not reported, but since results are based on measured concentrations, this does not affect the validity of the final result</w:t>
      </w:r>
    </w:p>
    <w:p w14:paraId="0ED2C621" w14:textId="77777777" w:rsidR="00632208" w:rsidRPr="0098635C" w:rsidRDefault="00632208" w:rsidP="00632208">
      <w:pPr>
        <w:spacing w:after="0"/>
        <w:rPr>
          <w:color w:val="000000" w:themeColor="text1"/>
          <w:sz w:val="20"/>
          <w:szCs w:val="20"/>
        </w:rPr>
      </w:pPr>
      <w:r w:rsidRPr="0098635C">
        <w:rPr>
          <w:color w:val="000000" w:themeColor="text1"/>
          <w:sz w:val="20"/>
          <w:szCs w:val="20"/>
        </w:rPr>
        <w:t>NOEC values between brachets are not included in the derivation of a species mean NOEC, because they are not the most sensitive biological endpoint for the species</w:t>
      </w:r>
    </w:p>
    <w:p w14:paraId="47079FD4" w14:textId="77777777" w:rsidR="00632208" w:rsidRPr="0098635C" w:rsidRDefault="00632208" w:rsidP="00632208">
      <w:pPr>
        <w:spacing w:after="0"/>
        <w:rPr>
          <w:color w:val="000000" w:themeColor="text1"/>
          <w:sz w:val="20"/>
          <w:szCs w:val="20"/>
        </w:rPr>
      </w:pPr>
    </w:p>
    <w:tbl>
      <w:tblPr>
        <w:tblW w:w="15114" w:type="dxa"/>
        <w:tblInd w:w="-972" w:type="dxa"/>
        <w:tblLayout w:type="fixed"/>
        <w:tblLook w:val="0000" w:firstRow="0" w:lastRow="0" w:firstColumn="0" w:lastColumn="0" w:noHBand="0" w:noVBand="0"/>
      </w:tblPr>
      <w:tblGrid>
        <w:gridCol w:w="2073"/>
        <w:gridCol w:w="1559"/>
        <w:gridCol w:w="992"/>
        <w:gridCol w:w="1134"/>
        <w:gridCol w:w="851"/>
        <w:gridCol w:w="1275"/>
        <w:gridCol w:w="851"/>
        <w:gridCol w:w="850"/>
        <w:gridCol w:w="1276"/>
        <w:gridCol w:w="2268"/>
        <w:gridCol w:w="1985"/>
      </w:tblGrid>
      <w:tr w:rsidR="00632208" w:rsidRPr="0098635C" w14:paraId="78B925A9" w14:textId="77777777" w:rsidTr="00A432B0">
        <w:trPr>
          <w:trHeight w:val="364"/>
        </w:trPr>
        <w:tc>
          <w:tcPr>
            <w:tcW w:w="2073" w:type="dxa"/>
            <w:tcBorders>
              <w:top w:val="double" w:sz="6" w:space="0" w:color="auto"/>
              <w:left w:val="double" w:sz="6" w:space="0" w:color="auto"/>
              <w:bottom w:val="single" w:sz="8" w:space="0" w:color="auto"/>
              <w:right w:val="single" w:sz="4" w:space="0" w:color="auto"/>
            </w:tcBorders>
          </w:tcPr>
          <w:p w14:paraId="0A8B5891" w14:textId="77777777" w:rsidR="00632208" w:rsidRPr="0098635C" w:rsidRDefault="00632208" w:rsidP="00A432B0">
            <w:pPr>
              <w:spacing w:after="0"/>
              <w:rPr>
                <w:b/>
                <w:bCs/>
                <w:color w:val="000000" w:themeColor="text1"/>
                <w:sz w:val="20"/>
                <w:szCs w:val="20"/>
              </w:rPr>
            </w:pPr>
            <w:r w:rsidRPr="0098635C">
              <w:rPr>
                <w:b/>
                <w:bCs/>
                <w:color w:val="000000" w:themeColor="text1"/>
                <w:sz w:val="20"/>
                <w:szCs w:val="20"/>
              </w:rPr>
              <w:t xml:space="preserve">Species </w:t>
            </w:r>
          </w:p>
        </w:tc>
        <w:tc>
          <w:tcPr>
            <w:tcW w:w="1559" w:type="dxa"/>
            <w:tcBorders>
              <w:top w:val="double" w:sz="6" w:space="0" w:color="auto"/>
              <w:left w:val="nil"/>
              <w:bottom w:val="single" w:sz="8" w:space="0" w:color="auto"/>
              <w:right w:val="single" w:sz="4" w:space="0" w:color="auto"/>
            </w:tcBorders>
          </w:tcPr>
          <w:p w14:paraId="1ED17045" w14:textId="77777777" w:rsidR="00632208" w:rsidRPr="0098635C" w:rsidRDefault="00632208" w:rsidP="00A432B0">
            <w:pPr>
              <w:spacing w:after="0"/>
              <w:rPr>
                <w:b/>
                <w:bCs/>
                <w:color w:val="000000" w:themeColor="text1"/>
                <w:sz w:val="20"/>
                <w:szCs w:val="20"/>
              </w:rPr>
            </w:pPr>
            <w:r w:rsidRPr="0098635C">
              <w:rPr>
                <w:b/>
                <w:bCs/>
                <w:color w:val="000000" w:themeColor="text1"/>
                <w:sz w:val="20"/>
                <w:szCs w:val="20"/>
              </w:rPr>
              <w:t>Age and/or size of test organism</w:t>
            </w:r>
          </w:p>
        </w:tc>
        <w:tc>
          <w:tcPr>
            <w:tcW w:w="992" w:type="dxa"/>
            <w:tcBorders>
              <w:top w:val="double" w:sz="6" w:space="0" w:color="auto"/>
              <w:left w:val="nil"/>
              <w:bottom w:val="single" w:sz="8" w:space="0" w:color="auto"/>
              <w:right w:val="single" w:sz="4" w:space="0" w:color="auto"/>
            </w:tcBorders>
          </w:tcPr>
          <w:p w14:paraId="63CCC661" w14:textId="77777777" w:rsidR="00632208" w:rsidRPr="0098635C" w:rsidRDefault="00632208" w:rsidP="00A432B0">
            <w:pPr>
              <w:spacing w:after="0"/>
              <w:rPr>
                <w:b/>
                <w:bCs/>
                <w:color w:val="000000" w:themeColor="text1"/>
                <w:sz w:val="20"/>
                <w:szCs w:val="20"/>
              </w:rPr>
            </w:pPr>
            <w:r w:rsidRPr="0098635C">
              <w:rPr>
                <w:b/>
                <w:bCs/>
                <w:color w:val="000000" w:themeColor="text1"/>
                <w:sz w:val="20"/>
                <w:szCs w:val="20"/>
              </w:rPr>
              <w:t>Test duration</w:t>
            </w:r>
          </w:p>
        </w:tc>
        <w:tc>
          <w:tcPr>
            <w:tcW w:w="1134" w:type="dxa"/>
            <w:tcBorders>
              <w:top w:val="double" w:sz="6" w:space="0" w:color="auto"/>
              <w:left w:val="nil"/>
              <w:bottom w:val="single" w:sz="8" w:space="0" w:color="auto"/>
              <w:right w:val="single" w:sz="4" w:space="0" w:color="auto"/>
            </w:tcBorders>
          </w:tcPr>
          <w:p w14:paraId="41E363BC" w14:textId="77777777" w:rsidR="00632208" w:rsidRPr="0098635C" w:rsidRDefault="00632208" w:rsidP="00A432B0">
            <w:pPr>
              <w:spacing w:after="0"/>
              <w:rPr>
                <w:b/>
                <w:bCs/>
                <w:color w:val="000000" w:themeColor="text1"/>
                <w:sz w:val="20"/>
                <w:szCs w:val="20"/>
              </w:rPr>
            </w:pPr>
            <w:r w:rsidRPr="0098635C">
              <w:rPr>
                <w:b/>
                <w:bCs/>
                <w:color w:val="000000" w:themeColor="text1"/>
                <w:sz w:val="20"/>
                <w:szCs w:val="20"/>
              </w:rPr>
              <w:t>Effect parameter</w:t>
            </w:r>
          </w:p>
        </w:tc>
        <w:tc>
          <w:tcPr>
            <w:tcW w:w="851" w:type="dxa"/>
            <w:tcBorders>
              <w:top w:val="double" w:sz="6" w:space="0" w:color="auto"/>
              <w:left w:val="nil"/>
              <w:bottom w:val="single" w:sz="8" w:space="0" w:color="auto"/>
              <w:right w:val="single" w:sz="4" w:space="0" w:color="auto"/>
            </w:tcBorders>
          </w:tcPr>
          <w:p w14:paraId="4B75FDBC" w14:textId="77777777" w:rsidR="00632208" w:rsidRPr="0098635C" w:rsidRDefault="00632208" w:rsidP="00A432B0">
            <w:pPr>
              <w:spacing w:after="0"/>
              <w:rPr>
                <w:b/>
                <w:bCs/>
                <w:color w:val="000000" w:themeColor="text1"/>
                <w:sz w:val="20"/>
                <w:szCs w:val="20"/>
              </w:rPr>
            </w:pPr>
            <w:r w:rsidRPr="0098635C">
              <w:rPr>
                <w:b/>
                <w:bCs/>
                <w:color w:val="000000" w:themeColor="text1"/>
                <w:sz w:val="20"/>
                <w:szCs w:val="20"/>
              </w:rPr>
              <w:t>NOEC Value (µg/l)</w:t>
            </w:r>
          </w:p>
        </w:tc>
        <w:tc>
          <w:tcPr>
            <w:tcW w:w="1275" w:type="dxa"/>
            <w:tcBorders>
              <w:top w:val="double" w:sz="6" w:space="0" w:color="auto"/>
              <w:left w:val="nil"/>
              <w:bottom w:val="single" w:sz="8" w:space="0" w:color="auto"/>
              <w:right w:val="single" w:sz="4" w:space="0" w:color="auto"/>
            </w:tcBorders>
          </w:tcPr>
          <w:p w14:paraId="0893F85B" w14:textId="77777777" w:rsidR="00632208" w:rsidRPr="0098635C" w:rsidRDefault="00632208" w:rsidP="00A432B0">
            <w:pPr>
              <w:spacing w:after="0"/>
              <w:rPr>
                <w:b/>
                <w:bCs/>
                <w:color w:val="000000" w:themeColor="text1"/>
                <w:sz w:val="20"/>
                <w:szCs w:val="20"/>
              </w:rPr>
            </w:pPr>
            <w:r w:rsidRPr="0098635C">
              <w:rPr>
                <w:b/>
                <w:bCs/>
                <w:color w:val="000000" w:themeColor="text1"/>
                <w:sz w:val="20"/>
                <w:szCs w:val="20"/>
              </w:rPr>
              <w:t>Administra-tion of test substance</w:t>
            </w:r>
          </w:p>
        </w:tc>
        <w:tc>
          <w:tcPr>
            <w:tcW w:w="851" w:type="dxa"/>
            <w:tcBorders>
              <w:top w:val="double" w:sz="6" w:space="0" w:color="auto"/>
              <w:left w:val="nil"/>
              <w:bottom w:val="single" w:sz="8" w:space="0" w:color="auto"/>
              <w:right w:val="single" w:sz="4" w:space="0" w:color="auto"/>
            </w:tcBorders>
          </w:tcPr>
          <w:p w14:paraId="2FAB737B" w14:textId="77777777" w:rsidR="00632208" w:rsidRPr="0098635C" w:rsidRDefault="00632208" w:rsidP="00A432B0">
            <w:pPr>
              <w:spacing w:after="0"/>
              <w:rPr>
                <w:b/>
                <w:bCs/>
                <w:color w:val="000000" w:themeColor="text1"/>
                <w:sz w:val="20"/>
                <w:szCs w:val="20"/>
              </w:rPr>
            </w:pPr>
            <w:r w:rsidRPr="0098635C">
              <w:rPr>
                <w:b/>
                <w:bCs/>
                <w:color w:val="000000" w:themeColor="text1"/>
                <w:sz w:val="20"/>
                <w:szCs w:val="20"/>
              </w:rPr>
              <w:t>Cu back-ground   (µg l</w:t>
            </w:r>
            <w:r w:rsidRPr="0098635C">
              <w:rPr>
                <w:b/>
                <w:bCs/>
                <w:color w:val="000000" w:themeColor="text1"/>
                <w:sz w:val="20"/>
                <w:szCs w:val="20"/>
                <w:vertAlign w:val="superscript"/>
              </w:rPr>
              <w:t>-1</w:t>
            </w:r>
            <w:r w:rsidRPr="0098635C">
              <w:rPr>
                <w:b/>
                <w:bCs/>
                <w:color w:val="000000" w:themeColor="text1"/>
                <w:sz w:val="20"/>
                <w:szCs w:val="20"/>
              </w:rPr>
              <w:t>)</w:t>
            </w:r>
          </w:p>
        </w:tc>
        <w:tc>
          <w:tcPr>
            <w:tcW w:w="850" w:type="dxa"/>
            <w:tcBorders>
              <w:top w:val="double" w:sz="6" w:space="0" w:color="auto"/>
              <w:left w:val="nil"/>
              <w:bottom w:val="single" w:sz="8" w:space="0" w:color="auto"/>
              <w:right w:val="single" w:sz="4" w:space="0" w:color="auto"/>
            </w:tcBorders>
          </w:tcPr>
          <w:p w14:paraId="5F7A06E7" w14:textId="77777777" w:rsidR="00632208" w:rsidRPr="0098635C" w:rsidRDefault="00632208" w:rsidP="00A432B0">
            <w:pPr>
              <w:spacing w:after="0"/>
              <w:rPr>
                <w:b/>
                <w:bCs/>
                <w:color w:val="000000" w:themeColor="text1"/>
                <w:sz w:val="20"/>
                <w:szCs w:val="20"/>
              </w:rPr>
            </w:pPr>
            <w:r w:rsidRPr="0098635C">
              <w:rPr>
                <w:b/>
                <w:bCs/>
                <w:color w:val="000000" w:themeColor="text1"/>
                <w:sz w:val="20"/>
                <w:szCs w:val="20"/>
              </w:rPr>
              <w:t>DOC (mg/L)</w:t>
            </w:r>
          </w:p>
        </w:tc>
        <w:tc>
          <w:tcPr>
            <w:tcW w:w="1276" w:type="dxa"/>
            <w:tcBorders>
              <w:top w:val="double" w:sz="6" w:space="0" w:color="auto"/>
              <w:left w:val="nil"/>
              <w:bottom w:val="single" w:sz="8" w:space="0" w:color="auto"/>
              <w:right w:val="single" w:sz="4" w:space="0" w:color="auto"/>
            </w:tcBorders>
          </w:tcPr>
          <w:p w14:paraId="6767C839" w14:textId="77777777" w:rsidR="00632208" w:rsidRPr="0098635C" w:rsidRDefault="00632208" w:rsidP="00A432B0">
            <w:pPr>
              <w:spacing w:after="0"/>
              <w:rPr>
                <w:b/>
                <w:bCs/>
                <w:color w:val="000000" w:themeColor="text1"/>
                <w:sz w:val="20"/>
                <w:szCs w:val="20"/>
              </w:rPr>
            </w:pPr>
            <w:r w:rsidRPr="0098635C">
              <w:rPr>
                <w:b/>
                <w:bCs/>
                <w:color w:val="000000" w:themeColor="text1"/>
                <w:sz w:val="20"/>
                <w:szCs w:val="20"/>
              </w:rPr>
              <w:t>Salinity (g/l)</w:t>
            </w:r>
          </w:p>
        </w:tc>
        <w:tc>
          <w:tcPr>
            <w:tcW w:w="2268" w:type="dxa"/>
            <w:tcBorders>
              <w:top w:val="double" w:sz="6" w:space="0" w:color="auto"/>
              <w:left w:val="nil"/>
              <w:bottom w:val="single" w:sz="8" w:space="0" w:color="auto"/>
              <w:right w:val="single" w:sz="4" w:space="0" w:color="auto"/>
            </w:tcBorders>
          </w:tcPr>
          <w:p w14:paraId="137919A9" w14:textId="77777777" w:rsidR="00632208" w:rsidRPr="0098635C" w:rsidRDefault="00632208" w:rsidP="00A432B0">
            <w:pPr>
              <w:spacing w:after="0"/>
              <w:rPr>
                <w:b/>
                <w:bCs/>
                <w:color w:val="000000" w:themeColor="text1"/>
                <w:sz w:val="20"/>
                <w:szCs w:val="20"/>
              </w:rPr>
            </w:pPr>
            <w:r w:rsidRPr="0098635C">
              <w:rPr>
                <w:b/>
                <w:bCs/>
                <w:color w:val="000000" w:themeColor="text1"/>
                <w:sz w:val="20"/>
                <w:szCs w:val="20"/>
              </w:rPr>
              <w:t>Test water</w:t>
            </w:r>
          </w:p>
        </w:tc>
        <w:tc>
          <w:tcPr>
            <w:tcW w:w="1985" w:type="dxa"/>
            <w:tcBorders>
              <w:top w:val="double" w:sz="6" w:space="0" w:color="auto"/>
              <w:left w:val="nil"/>
              <w:bottom w:val="single" w:sz="8" w:space="0" w:color="auto"/>
              <w:right w:val="double" w:sz="6" w:space="0" w:color="auto"/>
            </w:tcBorders>
          </w:tcPr>
          <w:p w14:paraId="27DA31E7" w14:textId="77777777" w:rsidR="00632208" w:rsidRPr="0098635C" w:rsidRDefault="00632208" w:rsidP="00A432B0">
            <w:pPr>
              <w:spacing w:after="0"/>
              <w:rPr>
                <w:b/>
                <w:bCs/>
                <w:color w:val="000000" w:themeColor="text1"/>
                <w:sz w:val="20"/>
                <w:szCs w:val="20"/>
              </w:rPr>
            </w:pPr>
            <w:r w:rsidRPr="0098635C">
              <w:rPr>
                <w:b/>
                <w:bCs/>
                <w:color w:val="000000" w:themeColor="text1"/>
                <w:sz w:val="20"/>
                <w:szCs w:val="20"/>
              </w:rPr>
              <w:t>Reference</w:t>
            </w:r>
          </w:p>
        </w:tc>
      </w:tr>
      <w:tr w:rsidR="00632208" w:rsidRPr="0098635C" w14:paraId="3E8FC6A3" w14:textId="77777777" w:rsidTr="00A432B0">
        <w:trPr>
          <w:trHeight w:val="80"/>
        </w:trPr>
        <w:tc>
          <w:tcPr>
            <w:tcW w:w="2073" w:type="dxa"/>
            <w:tcBorders>
              <w:top w:val="nil"/>
              <w:left w:val="double" w:sz="6" w:space="0" w:color="auto"/>
              <w:bottom w:val="single" w:sz="4" w:space="0" w:color="auto"/>
              <w:right w:val="single" w:sz="4" w:space="0" w:color="auto"/>
            </w:tcBorders>
          </w:tcPr>
          <w:p w14:paraId="71E6ADD1"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 xml:space="preserve">Penaeus mergulensis </w:t>
            </w:r>
          </w:p>
        </w:tc>
        <w:tc>
          <w:tcPr>
            <w:tcW w:w="1559" w:type="dxa"/>
            <w:tcBorders>
              <w:top w:val="nil"/>
              <w:left w:val="nil"/>
              <w:bottom w:val="single" w:sz="4" w:space="0" w:color="auto"/>
              <w:right w:val="single" w:sz="4" w:space="0" w:color="auto"/>
            </w:tcBorders>
          </w:tcPr>
          <w:p w14:paraId="39A71AA5" w14:textId="77777777" w:rsidR="00632208" w:rsidRPr="0098635C" w:rsidRDefault="00632208" w:rsidP="00A432B0">
            <w:pPr>
              <w:spacing w:after="0"/>
              <w:rPr>
                <w:color w:val="000000" w:themeColor="text1"/>
                <w:sz w:val="20"/>
                <w:szCs w:val="20"/>
              </w:rPr>
            </w:pPr>
            <w:r w:rsidRPr="0098635C">
              <w:rPr>
                <w:color w:val="000000" w:themeColor="text1"/>
                <w:sz w:val="20"/>
                <w:szCs w:val="20"/>
              </w:rPr>
              <w:t>Juvenile</w:t>
            </w:r>
          </w:p>
        </w:tc>
        <w:tc>
          <w:tcPr>
            <w:tcW w:w="992" w:type="dxa"/>
            <w:tcBorders>
              <w:top w:val="nil"/>
              <w:left w:val="nil"/>
              <w:bottom w:val="single" w:sz="4" w:space="0" w:color="auto"/>
              <w:right w:val="single" w:sz="4" w:space="0" w:color="auto"/>
            </w:tcBorders>
          </w:tcPr>
          <w:p w14:paraId="5AB5FF2F" w14:textId="77777777" w:rsidR="00632208" w:rsidRPr="0098635C" w:rsidRDefault="00632208" w:rsidP="00A432B0">
            <w:pPr>
              <w:spacing w:after="0"/>
              <w:rPr>
                <w:color w:val="000000" w:themeColor="text1"/>
                <w:sz w:val="20"/>
                <w:szCs w:val="20"/>
              </w:rPr>
            </w:pPr>
            <w:r w:rsidRPr="0098635C">
              <w:rPr>
                <w:color w:val="000000" w:themeColor="text1"/>
                <w:sz w:val="20"/>
                <w:szCs w:val="20"/>
              </w:rPr>
              <w:t>14 days</w:t>
            </w:r>
          </w:p>
        </w:tc>
        <w:tc>
          <w:tcPr>
            <w:tcW w:w="1134" w:type="dxa"/>
            <w:tcBorders>
              <w:top w:val="nil"/>
              <w:left w:val="nil"/>
              <w:bottom w:val="single" w:sz="4" w:space="0" w:color="auto"/>
              <w:right w:val="single" w:sz="4" w:space="0" w:color="auto"/>
            </w:tcBorders>
          </w:tcPr>
          <w:p w14:paraId="130BA6B6"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1" w:type="dxa"/>
            <w:tcBorders>
              <w:top w:val="nil"/>
              <w:left w:val="nil"/>
              <w:bottom w:val="single" w:sz="4" w:space="0" w:color="auto"/>
              <w:right w:val="single" w:sz="4" w:space="0" w:color="auto"/>
            </w:tcBorders>
          </w:tcPr>
          <w:p w14:paraId="41075887" w14:textId="77777777" w:rsidR="00632208" w:rsidRPr="0098635C" w:rsidRDefault="00632208" w:rsidP="00A432B0">
            <w:pPr>
              <w:spacing w:after="0"/>
              <w:rPr>
                <w:color w:val="000000" w:themeColor="text1"/>
                <w:sz w:val="20"/>
                <w:szCs w:val="20"/>
              </w:rPr>
            </w:pPr>
            <w:r w:rsidRPr="0098635C">
              <w:rPr>
                <w:color w:val="000000" w:themeColor="text1"/>
                <w:sz w:val="20"/>
                <w:szCs w:val="20"/>
              </w:rPr>
              <w:t>33</w:t>
            </w:r>
          </w:p>
        </w:tc>
        <w:tc>
          <w:tcPr>
            <w:tcW w:w="1275" w:type="dxa"/>
            <w:tcBorders>
              <w:top w:val="nil"/>
              <w:left w:val="nil"/>
              <w:bottom w:val="single" w:sz="4" w:space="0" w:color="auto"/>
              <w:right w:val="single" w:sz="4" w:space="0" w:color="auto"/>
            </w:tcBorders>
          </w:tcPr>
          <w:p w14:paraId="51DC06AA" w14:textId="77777777" w:rsidR="00632208" w:rsidRPr="0098635C" w:rsidRDefault="00632208" w:rsidP="00A432B0">
            <w:pPr>
              <w:spacing w:after="0"/>
              <w:rPr>
                <w:color w:val="000000" w:themeColor="text1"/>
                <w:sz w:val="20"/>
                <w:szCs w:val="20"/>
              </w:rPr>
            </w:pPr>
            <w:r w:rsidRPr="0098635C">
              <w:rPr>
                <w:color w:val="000000" w:themeColor="text1"/>
                <w:sz w:val="20"/>
                <w:szCs w:val="20"/>
              </w:rPr>
              <w:t>Flowthrough</w:t>
            </w:r>
          </w:p>
        </w:tc>
        <w:tc>
          <w:tcPr>
            <w:tcW w:w="851" w:type="dxa"/>
            <w:tcBorders>
              <w:top w:val="nil"/>
              <w:left w:val="nil"/>
              <w:bottom w:val="single" w:sz="4" w:space="0" w:color="auto"/>
              <w:right w:val="single" w:sz="4" w:space="0" w:color="auto"/>
            </w:tcBorders>
          </w:tcPr>
          <w:p w14:paraId="00F87683" w14:textId="77777777" w:rsidR="00632208" w:rsidRPr="0098635C" w:rsidRDefault="00632208" w:rsidP="00A432B0">
            <w:pPr>
              <w:spacing w:after="0"/>
              <w:rPr>
                <w:color w:val="000000" w:themeColor="text1"/>
                <w:sz w:val="20"/>
                <w:szCs w:val="20"/>
              </w:rPr>
            </w:pPr>
            <w:r w:rsidRPr="0098635C">
              <w:rPr>
                <w:color w:val="000000" w:themeColor="text1"/>
                <w:sz w:val="20"/>
                <w:szCs w:val="20"/>
              </w:rPr>
              <w:t>&lt;1m</w:t>
            </w:r>
          </w:p>
        </w:tc>
        <w:tc>
          <w:tcPr>
            <w:tcW w:w="850" w:type="dxa"/>
            <w:tcBorders>
              <w:top w:val="nil"/>
              <w:left w:val="nil"/>
              <w:bottom w:val="single" w:sz="4" w:space="0" w:color="auto"/>
              <w:right w:val="single" w:sz="4" w:space="0" w:color="auto"/>
            </w:tcBorders>
          </w:tcPr>
          <w:p w14:paraId="56E72F65" w14:textId="77777777" w:rsidR="00632208" w:rsidRPr="0098635C" w:rsidRDefault="00632208" w:rsidP="00A432B0">
            <w:pPr>
              <w:spacing w:after="0"/>
              <w:rPr>
                <w:color w:val="000000" w:themeColor="text1"/>
                <w:sz w:val="20"/>
                <w:szCs w:val="20"/>
              </w:rPr>
            </w:pPr>
            <w:r w:rsidRPr="0098635C">
              <w:rPr>
                <w:color w:val="000000" w:themeColor="text1"/>
                <w:sz w:val="20"/>
                <w:szCs w:val="20"/>
              </w:rPr>
              <w:t>2.0e</w:t>
            </w:r>
          </w:p>
        </w:tc>
        <w:tc>
          <w:tcPr>
            <w:tcW w:w="1276" w:type="dxa"/>
            <w:tcBorders>
              <w:top w:val="nil"/>
              <w:left w:val="nil"/>
              <w:bottom w:val="single" w:sz="4" w:space="0" w:color="auto"/>
              <w:right w:val="single" w:sz="4" w:space="0" w:color="auto"/>
            </w:tcBorders>
          </w:tcPr>
          <w:p w14:paraId="7E120B2F" w14:textId="77777777" w:rsidR="00632208" w:rsidRPr="0098635C" w:rsidRDefault="00632208" w:rsidP="00A432B0">
            <w:pPr>
              <w:spacing w:after="0"/>
              <w:rPr>
                <w:color w:val="000000" w:themeColor="text1"/>
                <w:sz w:val="20"/>
                <w:szCs w:val="20"/>
              </w:rPr>
            </w:pPr>
            <w:r w:rsidRPr="0098635C">
              <w:rPr>
                <w:color w:val="000000" w:themeColor="text1"/>
                <w:sz w:val="20"/>
                <w:szCs w:val="20"/>
              </w:rPr>
              <w:t>20</w:t>
            </w:r>
          </w:p>
        </w:tc>
        <w:tc>
          <w:tcPr>
            <w:tcW w:w="2268" w:type="dxa"/>
            <w:tcBorders>
              <w:top w:val="nil"/>
              <w:left w:val="nil"/>
              <w:bottom w:val="single" w:sz="4" w:space="0" w:color="auto"/>
              <w:right w:val="single" w:sz="4" w:space="0" w:color="auto"/>
            </w:tcBorders>
          </w:tcPr>
          <w:p w14:paraId="1543F90C" w14:textId="77777777" w:rsidR="00632208" w:rsidRPr="0098635C" w:rsidRDefault="00632208" w:rsidP="00A432B0">
            <w:pPr>
              <w:spacing w:after="0"/>
              <w:rPr>
                <w:color w:val="000000" w:themeColor="text1"/>
                <w:sz w:val="20"/>
                <w:szCs w:val="20"/>
              </w:rPr>
            </w:pPr>
            <w:r w:rsidRPr="0098635C">
              <w:rPr>
                <w:color w:val="000000" w:themeColor="text1"/>
                <w:sz w:val="20"/>
                <w:szCs w:val="20"/>
              </w:rPr>
              <w:t>natural seawater</w:t>
            </w:r>
          </w:p>
        </w:tc>
        <w:tc>
          <w:tcPr>
            <w:tcW w:w="1985" w:type="dxa"/>
            <w:tcBorders>
              <w:top w:val="nil"/>
              <w:left w:val="nil"/>
              <w:bottom w:val="single" w:sz="4" w:space="0" w:color="auto"/>
              <w:right w:val="double" w:sz="6" w:space="0" w:color="auto"/>
            </w:tcBorders>
          </w:tcPr>
          <w:p w14:paraId="6BB5F548"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Ahsanullah, M. Et al 1995 </w:t>
            </w:r>
          </w:p>
        </w:tc>
      </w:tr>
      <w:tr w:rsidR="00632208" w:rsidRPr="0098635C" w14:paraId="26544045" w14:textId="77777777" w:rsidTr="00A432B0">
        <w:trPr>
          <w:trHeight w:val="74"/>
        </w:trPr>
        <w:tc>
          <w:tcPr>
            <w:tcW w:w="2073" w:type="dxa"/>
            <w:tcBorders>
              <w:top w:val="nil"/>
              <w:left w:val="double" w:sz="6" w:space="0" w:color="auto"/>
              <w:bottom w:val="single" w:sz="4" w:space="0" w:color="auto"/>
              <w:right w:val="single" w:sz="4" w:space="0" w:color="auto"/>
            </w:tcBorders>
          </w:tcPr>
          <w:p w14:paraId="2CC4423E"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 xml:space="preserve">Penaeus monodon </w:t>
            </w:r>
          </w:p>
        </w:tc>
        <w:tc>
          <w:tcPr>
            <w:tcW w:w="1559" w:type="dxa"/>
            <w:tcBorders>
              <w:top w:val="nil"/>
              <w:left w:val="nil"/>
              <w:bottom w:val="single" w:sz="4" w:space="0" w:color="auto"/>
              <w:right w:val="single" w:sz="4" w:space="0" w:color="auto"/>
            </w:tcBorders>
          </w:tcPr>
          <w:p w14:paraId="002E1500" w14:textId="77777777" w:rsidR="00632208" w:rsidRPr="0098635C" w:rsidRDefault="00632208" w:rsidP="00A432B0">
            <w:pPr>
              <w:spacing w:after="0"/>
              <w:rPr>
                <w:color w:val="000000" w:themeColor="text1"/>
                <w:sz w:val="20"/>
                <w:szCs w:val="20"/>
              </w:rPr>
            </w:pPr>
            <w:r w:rsidRPr="0098635C">
              <w:rPr>
                <w:color w:val="000000" w:themeColor="text1"/>
                <w:sz w:val="20"/>
                <w:szCs w:val="20"/>
              </w:rPr>
              <w:t>Juvenile</w:t>
            </w:r>
          </w:p>
        </w:tc>
        <w:tc>
          <w:tcPr>
            <w:tcW w:w="992" w:type="dxa"/>
            <w:tcBorders>
              <w:top w:val="nil"/>
              <w:left w:val="nil"/>
              <w:bottom w:val="single" w:sz="4" w:space="0" w:color="auto"/>
              <w:right w:val="single" w:sz="4" w:space="0" w:color="auto"/>
            </w:tcBorders>
          </w:tcPr>
          <w:p w14:paraId="02E857A0" w14:textId="77777777" w:rsidR="00632208" w:rsidRPr="0098635C" w:rsidRDefault="00632208" w:rsidP="00A432B0">
            <w:pPr>
              <w:spacing w:after="0"/>
              <w:rPr>
                <w:color w:val="000000" w:themeColor="text1"/>
                <w:sz w:val="20"/>
                <w:szCs w:val="20"/>
              </w:rPr>
            </w:pPr>
            <w:r w:rsidRPr="0098635C">
              <w:rPr>
                <w:color w:val="000000" w:themeColor="text1"/>
                <w:sz w:val="20"/>
                <w:szCs w:val="20"/>
              </w:rPr>
              <w:t>14 days</w:t>
            </w:r>
          </w:p>
        </w:tc>
        <w:tc>
          <w:tcPr>
            <w:tcW w:w="1134" w:type="dxa"/>
            <w:tcBorders>
              <w:top w:val="nil"/>
              <w:left w:val="nil"/>
              <w:bottom w:val="single" w:sz="4" w:space="0" w:color="auto"/>
              <w:right w:val="single" w:sz="4" w:space="0" w:color="auto"/>
            </w:tcBorders>
          </w:tcPr>
          <w:p w14:paraId="26765890"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1" w:type="dxa"/>
            <w:tcBorders>
              <w:top w:val="nil"/>
              <w:left w:val="nil"/>
              <w:bottom w:val="single" w:sz="4" w:space="0" w:color="auto"/>
              <w:right w:val="single" w:sz="4" w:space="0" w:color="auto"/>
            </w:tcBorders>
          </w:tcPr>
          <w:p w14:paraId="25306072" w14:textId="77777777" w:rsidR="00632208" w:rsidRPr="0098635C" w:rsidRDefault="00632208" w:rsidP="00A432B0">
            <w:pPr>
              <w:spacing w:after="0"/>
              <w:rPr>
                <w:color w:val="000000" w:themeColor="text1"/>
                <w:sz w:val="20"/>
                <w:szCs w:val="20"/>
              </w:rPr>
            </w:pPr>
            <w:r w:rsidRPr="0098635C">
              <w:rPr>
                <w:color w:val="000000" w:themeColor="text1"/>
                <w:sz w:val="20"/>
                <w:szCs w:val="20"/>
              </w:rPr>
              <w:t>145</w:t>
            </w:r>
          </w:p>
        </w:tc>
        <w:tc>
          <w:tcPr>
            <w:tcW w:w="1275" w:type="dxa"/>
            <w:tcBorders>
              <w:top w:val="nil"/>
              <w:left w:val="nil"/>
              <w:bottom w:val="single" w:sz="4" w:space="0" w:color="auto"/>
              <w:right w:val="single" w:sz="4" w:space="0" w:color="auto"/>
            </w:tcBorders>
          </w:tcPr>
          <w:p w14:paraId="4BF0CEB1" w14:textId="77777777" w:rsidR="00632208" w:rsidRPr="0098635C" w:rsidRDefault="00632208" w:rsidP="00A432B0">
            <w:pPr>
              <w:spacing w:after="0"/>
              <w:rPr>
                <w:color w:val="000000" w:themeColor="text1"/>
                <w:sz w:val="20"/>
                <w:szCs w:val="20"/>
              </w:rPr>
            </w:pPr>
            <w:r w:rsidRPr="0098635C">
              <w:rPr>
                <w:color w:val="000000" w:themeColor="text1"/>
                <w:sz w:val="20"/>
                <w:szCs w:val="20"/>
              </w:rPr>
              <w:t>Flowthrough</w:t>
            </w:r>
          </w:p>
        </w:tc>
        <w:tc>
          <w:tcPr>
            <w:tcW w:w="851" w:type="dxa"/>
            <w:tcBorders>
              <w:top w:val="nil"/>
              <w:left w:val="nil"/>
              <w:bottom w:val="single" w:sz="4" w:space="0" w:color="auto"/>
              <w:right w:val="single" w:sz="4" w:space="0" w:color="auto"/>
            </w:tcBorders>
          </w:tcPr>
          <w:p w14:paraId="70363341" w14:textId="77777777" w:rsidR="00632208" w:rsidRPr="0098635C" w:rsidRDefault="00632208" w:rsidP="00A432B0">
            <w:pPr>
              <w:spacing w:after="0"/>
              <w:rPr>
                <w:color w:val="000000" w:themeColor="text1"/>
                <w:sz w:val="20"/>
                <w:szCs w:val="20"/>
              </w:rPr>
            </w:pPr>
            <w:r w:rsidRPr="0098635C">
              <w:rPr>
                <w:color w:val="000000" w:themeColor="text1"/>
                <w:sz w:val="20"/>
                <w:szCs w:val="20"/>
              </w:rPr>
              <w:t>&lt;1m</w:t>
            </w:r>
          </w:p>
        </w:tc>
        <w:tc>
          <w:tcPr>
            <w:tcW w:w="850" w:type="dxa"/>
            <w:tcBorders>
              <w:top w:val="nil"/>
              <w:left w:val="nil"/>
              <w:bottom w:val="single" w:sz="4" w:space="0" w:color="auto"/>
              <w:right w:val="single" w:sz="4" w:space="0" w:color="auto"/>
            </w:tcBorders>
          </w:tcPr>
          <w:p w14:paraId="6A5929C4" w14:textId="77777777" w:rsidR="00632208" w:rsidRPr="0098635C" w:rsidRDefault="00632208" w:rsidP="00A432B0">
            <w:pPr>
              <w:spacing w:after="0"/>
              <w:rPr>
                <w:color w:val="000000" w:themeColor="text1"/>
                <w:sz w:val="20"/>
                <w:szCs w:val="20"/>
              </w:rPr>
            </w:pPr>
            <w:r w:rsidRPr="0098635C">
              <w:rPr>
                <w:color w:val="000000" w:themeColor="text1"/>
                <w:sz w:val="20"/>
                <w:szCs w:val="20"/>
              </w:rPr>
              <w:t>2.0e</w:t>
            </w:r>
          </w:p>
        </w:tc>
        <w:tc>
          <w:tcPr>
            <w:tcW w:w="1276" w:type="dxa"/>
            <w:tcBorders>
              <w:top w:val="nil"/>
              <w:left w:val="nil"/>
              <w:bottom w:val="single" w:sz="4" w:space="0" w:color="auto"/>
              <w:right w:val="single" w:sz="4" w:space="0" w:color="auto"/>
            </w:tcBorders>
          </w:tcPr>
          <w:p w14:paraId="79A4266E" w14:textId="77777777" w:rsidR="00632208" w:rsidRPr="0098635C" w:rsidRDefault="00632208" w:rsidP="00A432B0">
            <w:pPr>
              <w:spacing w:after="0"/>
              <w:rPr>
                <w:color w:val="000000" w:themeColor="text1"/>
                <w:sz w:val="20"/>
                <w:szCs w:val="20"/>
              </w:rPr>
            </w:pPr>
            <w:r w:rsidRPr="0098635C">
              <w:rPr>
                <w:color w:val="000000" w:themeColor="text1"/>
                <w:sz w:val="20"/>
                <w:szCs w:val="20"/>
              </w:rPr>
              <w:t>20</w:t>
            </w:r>
          </w:p>
        </w:tc>
        <w:tc>
          <w:tcPr>
            <w:tcW w:w="2268" w:type="dxa"/>
            <w:tcBorders>
              <w:top w:val="nil"/>
              <w:left w:val="nil"/>
              <w:bottom w:val="single" w:sz="4" w:space="0" w:color="auto"/>
              <w:right w:val="single" w:sz="4" w:space="0" w:color="auto"/>
            </w:tcBorders>
          </w:tcPr>
          <w:p w14:paraId="29634F2F" w14:textId="77777777" w:rsidR="00632208" w:rsidRPr="0098635C" w:rsidRDefault="00632208" w:rsidP="00A432B0">
            <w:pPr>
              <w:spacing w:after="0"/>
              <w:rPr>
                <w:color w:val="000000" w:themeColor="text1"/>
                <w:sz w:val="20"/>
                <w:szCs w:val="20"/>
              </w:rPr>
            </w:pPr>
            <w:r w:rsidRPr="0098635C">
              <w:rPr>
                <w:color w:val="000000" w:themeColor="text1"/>
                <w:sz w:val="20"/>
                <w:szCs w:val="20"/>
              </w:rPr>
              <w:t>natural seawater</w:t>
            </w:r>
          </w:p>
        </w:tc>
        <w:tc>
          <w:tcPr>
            <w:tcW w:w="1985" w:type="dxa"/>
            <w:tcBorders>
              <w:top w:val="nil"/>
              <w:left w:val="nil"/>
              <w:bottom w:val="single" w:sz="4" w:space="0" w:color="auto"/>
              <w:right w:val="double" w:sz="6" w:space="0" w:color="auto"/>
            </w:tcBorders>
          </w:tcPr>
          <w:p w14:paraId="61E1966A"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Ahsanullah, M. Et al 1995 </w:t>
            </w:r>
          </w:p>
        </w:tc>
      </w:tr>
      <w:tr w:rsidR="00632208" w:rsidRPr="0098635C" w14:paraId="05DAF6A7" w14:textId="77777777" w:rsidTr="00A432B0">
        <w:trPr>
          <w:trHeight w:val="74"/>
        </w:trPr>
        <w:tc>
          <w:tcPr>
            <w:tcW w:w="2073" w:type="dxa"/>
            <w:tcBorders>
              <w:top w:val="nil"/>
              <w:left w:val="double" w:sz="6" w:space="0" w:color="auto"/>
              <w:bottom w:val="single" w:sz="4" w:space="0" w:color="auto"/>
              <w:right w:val="single" w:sz="4" w:space="0" w:color="auto"/>
            </w:tcBorders>
          </w:tcPr>
          <w:p w14:paraId="09324FCA"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Tisbe furcata</w:t>
            </w:r>
          </w:p>
        </w:tc>
        <w:tc>
          <w:tcPr>
            <w:tcW w:w="1559" w:type="dxa"/>
            <w:tcBorders>
              <w:top w:val="nil"/>
              <w:left w:val="nil"/>
              <w:bottom w:val="single" w:sz="4" w:space="0" w:color="auto"/>
              <w:right w:val="single" w:sz="4" w:space="0" w:color="auto"/>
            </w:tcBorders>
          </w:tcPr>
          <w:p w14:paraId="6A2BBF1D" w14:textId="77777777" w:rsidR="00632208" w:rsidRPr="0098635C" w:rsidRDefault="00632208" w:rsidP="00A432B0">
            <w:pPr>
              <w:spacing w:after="0"/>
              <w:rPr>
                <w:color w:val="000000" w:themeColor="text1"/>
                <w:sz w:val="20"/>
                <w:szCs w:val="20"/>
              </w:rPr>
            </w:pPr>
            <w:r w:rsidRPr="0098635C">
              <w:rPr>
                <w:color w:val="000000" w:themeColor="text1"/>
                <w:sz w:val="20"/>
                <w:szCs w:val="20"/>
              </w:rPr>
              <w:t>Life cycle</w:t>
            </w:r>
          </w:p>
        </w:tc>
        <w:tc>
          <w:tcPr>
            <w:tcW w:w="992" w:type="dxa"/>
            <w:tcBorders>
              <w:top w:val="nil"/>
              <w:left w:val="nil"/>
              <w:bottom w:val="single" w:sz="4" w:space="0" w:color="auto"/>
              <w:right w:val="single" w:sz="4" w:space="0" w:color="auto"/>
            </w:tcBorders>
          </w:tcPr>
          <w:p w14:paraId="2B4FA75C" w14:textId="77777777" w:rsidR="00632208" w:rsidRPr="0098635C" w:rsidRDefault="00632208" w:rsidP="00A432B0">
            <w:pPr>
              <w:spacing w:after="0"/>
              <w:rPr>
                <w:color w:val="000000" w:themeColor="text1"/>
                <w:sz w:val="20"/>
                <w:szCs w:val="20"/>
              </w:rPr>
            </w:pPr>
            <w:r w:rsidRPr="0098635C">
              <w:rPr>
                <w:color w:val="000000" w:themeColor="text1"/>
                <w:sz w:val="20"/>
                <w:szCs w:val="20"/>
              </w:rPr>
              <w:t>100 days max</w:t>
            </w:r>
          </w:p>
        </w:tc>
        <w:tc>
          <w:tcPr>
            <w:tcW w:w="1134" w:type="dxa"/>
            <w:tcBorders>
              <w:top w:val="nil"/>
              <w:left w:val="nil"/>
              <w:bottom w:val="single" w:sz="4" w:space="0" w:color="auto"/>
              <w:right w:val="single" w:sz="4" w:space="0" w:color="auto"/>
            </w:tcBorders>
          </w:tcPr>
          <w:p w14:paraId="29D43683" w14:textId="77777777" w:rsidR="00632208" w:rsidRPr="0098635C" w:rsidRDefault="00632208" w:rsidP="00A432B0">
            <w:pPr>
              <w:spacing w:after="0"/>
              <w:rPr>
                <w:color w:val="000000" w:themeColor="text1"/>
                <w:sz w:val="20"/>
                <w:szCs w:val="20"/>
              </w:rPr>
            </w:pPr>
            <w:r w:rsidRPr="0098635C">
              <w:rPr>
                <w:color w:val="000000" w:themeColor="text1"/>
                <w:sz w:val="20"/>
                <w:szCs w:val="20"/>
              </w:rPr>
              <w:t>Survival / reproduction</w:t>
            </w:r>
          </w:p>
        </w:tc>
        <w:tc>
          <w:tcPr>
            <w:tcW w:w="851" w:type="dxa"/>
            <w:tcBorders>
              <w:top w:val="nil"/>
              <w:left w:val="nil"/>
              <w:bottom w:val="single" w:sz="4" w:space="0" w:color="auto"/>
              <w:right w:val="single" w:sz="4" w:space="0" w:color="auto"/>
            </w:tcBorders>
          </w:tcPr>
          <w:p w14:paraId="4D3BFB02" w14:textId="77777777" w:rsidR="00632208" w:rsidRPr="0098635C" w:rsidRDefault="00632208" w:rsidP="00A432B0">
            <w:pPr>
              <w:spacing w:after="0"/>
              <w:rPr>
                <w:color w:val="000000" w:themeColor="text1"/>
                <w:sz w:val="20"/>
                <w:szCs w:val="20"/>
              </w:rPr>
            </w:pPr>
            <w:r w:rsidRPr="0098635C">
              <w:rPr>
                <w:color w:val="000000" w:themeColor="text1"/>
                <w:sz w:val="20"/>
                <w:szCs w:val="20"/>
              </w:rPr>
              <w:t>19.1</w:t>
            </w:r>
          </w:p>
        </w:tc>
        <w:tc>
          <w:tcPr>
            <w:tcW w:w="1275" w:type="dxa"/>
            <w:tcBorders>
              <w:top w:val="nil"/>
              <w:left w:val="nil"/>
              <w:bottom w:val="single" w:sz="4" w:space="0" w:color="auto"/>
              <w:right w:val="single" w:sz="4" w:space="0" w:color="auto"/>
            </w:tcBorders>
          </w:tcPr>
          <w:p w14:paraId="11195724" w14:textId="77777777" w:rsidR="00632208" w:rsidRPr="0098635C" w:rsidRDefault="00632208" w:rsidP="00A432B0">
            <w:pPr>
              <w:spacing w:after="0"/>
              <w:rPr>
                <w:color w:val="000000" w:themeColor="text1"/>
                <w:sz w:val="20"/>
                <w:szCs w:val="20"/>
              </w:rPr>
            </w:pPr>
            <w:r w:rsidRPr="0098635C">
              <w:rPr>
                <w:color w:val="000000" w:themeColor="text1"/>
                <w:sz w:val="20"/>
                <w:szCs w:val="20"/>
              </w:rPr>
              <w:t>Static renewal</w:t>
            </w:r>
          </w:p>
        </w:tc>
        <w:tc>
          <w:tcPr>
            <w:tcW w:w="851" w:type="dxa"/>
            <w:tcBorders>
              <w:top w:val="nil"/>
              <w:left w:val="nil"/>
              <w:bottom w:val="single" w:sz="4" w:space="0" w:color="auto"/>
              <w:right w:val="single" w:sz="4" w:space="0" w:color="auto"/>
            </w:tcBorders>
          </w:tcPr>
          <w:p w14:paraId="1430CAA3" w14:textId="77777777" w:rsidR="00632208" w:rsidRPr="0098635C" w:rsidRDefault="00632208" w:rsidP="00A432B0">
            <w:pPr>
              <w:spacing w:after="0"/>
              <w:rPr>
                <w:color w:val="000000" w:themeColor="text1"/>
                <w:sz w:val="20"/>
                <w:szCs w:val="20"/>
              </w:rPr>
            </w:pPr>
            <w:r w:rsidRPr="0098635C">
              <w:rPr>
                <w:color w:val="000000" w:themeColor="text1"/>
                <w:sz w:val="20"/>
                <w:szCs w:val="20"/>
              </w:rPr>
              <w:t>NR</w:t>
            </w:r>
          </w:p>
        </w:tc>
        <w:tc>
          <w:tcPr>
            <w:tcW w:w="850" w:type="dxa"/>
            <w:tcBorders>
              <w:top w:val="nil"/>
              <w:left w:val="nil"/>
              <w:bottom w:val="single" w:sz="4" w:space="0" w:color="auto"/>
              <w:right w:val="single" w:sz="4" w:space="0" w:color="auto"/>
            </w:tcBorders>
          </w:tcPr>
          <w:p w14:paraId="2EDA786D" w14:textId="77777777" w:rsidR="00632208" w:rsidRPr="0098635C" w:rsidRDefault="00632208" w:rsidP="00A432B0">
            <w:pPr>
              <w:spacing w:after="0"/>
              <w:rPr>
                <w:color w:val="000000" w:themeColor="text1"/>
                <w:sz w:val="20"/>
                <w:szCs w:val="20"/>
              </w:rPr>
            </w:pPr>
            <w:r w:rsidRPr="0098635C">
              <w:rPr>
                <w:color w:val="000000" w:themeColor="text1"/>
                <w:sz w:val="20"/>
                <w:szCs w:val="20"/>
              </w:rPr>
              <w:t>2.0e</w:t>
            </w:r>
          </w:p>
        </w:tc>
        <w:tc>
          <w:tcPr>
            <w:tcW w:w="1276" w:type="dxa"/>
            <w:tcBorders>
              <w:top w:val="nil"/>
              <w:left w:val="nil"/>
              <w:bottom w:val="single" w:sz="4" w:space="0" w:color="auto"/>
              <w:right w:val="single" w:sz="4" w:space="0" w:color="auto"/>
            </w:tcBorders>
          </w:tcPr>
          <w:p w14:paraId="0E4AC3B2" w14:textId="77777777" w:rsidR="00632208" w:rsidRPr="0098635C" w:rsidRDefault="00632208" w:rsidP="00A432B0">
            <w:pPr>
              <w:spacing w:after="0"/>
              <w:rPr>
                <w:color w:val="000000" w:themeColor="text1"/>
                <w:sz w:val="20"/>
                <w:szCs w:val="20"/>
              </w:rPr>
            </w:pPr>
            <w:r w:rsidRPr="0098635C">
              <w:rPr>
                <w:color w:val="000000" w:themeColor="text1"/>
                <w:sz w:val="20"/>
                <w:szCs w:val="20"/>
              </w:rPr>
              <w:t>34</w:t>
            </w:r>
          </w:p>
        </w:tc>
        <w:tc>
          <w:tcPr>
            <w:tcW w:w="2268" w:type="dxa"/>
            <w:tcBorders>
              <w:top w:val="nil"/>
              <w:left w:val="nil"/>
              <w:bottom w:val="single" w:sz="4" w:space="0" w:color="auto"/>
              <w:right w:val="single" w:sz="4" w:space="0" w:color="auto"/>
            </w:tcBorders>
          </w:tcPr>
          <w:p w14:paraId="65422BD3" w14:textId="77777777" w:rsidR="00632208" w:rsidRPr="0098635C" w:rsidRDefault="00632208" w:rsidP="00A432B0">
            <w:pPr>
              <w:spacing w:after="0"/>
              <w:rPr>
                <w:color w:val="000000" w:themeColor="text1"/>
                <w:sz w:val="20"/>
                <w:szCs w:val="20"/>
              </w:rPr>
            </w:pPr>
            <w:r w:rsidRPr="0098635C">
              <w:rPr>
                <w:color w:val="000000" w:themeColor="text1"/>
                <w:sz w:val="20"/>
                <w:szCs w:val="20"/>
              </w:rPr>
              <w:t>Natural seawater</w:t>
            </w:r>
          </w:p>
        </w:tc>
        <w:tc>
          <w:tcPr>
            <w:tcW w:w="1985" w:type="dxa"/>
            <w:tcBorders>
              <w:top w:val="nil"/>
              <w:left w:val="nil"/>
              <w:bottom w:val="single" w:sz="4" w:space="0" w:color="auto"/>
              <w:right w:val="double" w:sz="6" w:space="0" w:color="auto"/>
            </w:tcBorders>
          </w:tcPr>
          <w:p w14:paraId="36982547" w14:textId="77777777" w:rsidR="00632208" w:rsidRPr="0098635C" w:rsidRDefault="00632208" w:rsidP="00A432B0">
            <w:pPr>
              <w:spacing w:after="0"/>
              <w:rPr>
                <w:color w:val="000000" w:themeColor="text1"/>
                <w:sz w:val="20"/>
                <w:szCs w:val="20"/>
              </w:rPr>
            </w:pPr>
            <w:r w:rsidRPr="0098635C">
              <w:rPr>
                <w:color w:val="000000" w:themeColor="text1"/>
                <w:sz w:val="20"/>
                <w:szCs w:val="20"/>
              </w:rPr>
              <w:t>Bechmann R.K., 1994</w:t>
            </w:r>
          </w:p>
        </w:tc>
      </w:tr>
      <w:tr w:rsidR="00632208" w:rsidRPr="0098635C" w14:paraId="34D475F1" w14:textId="77777777" w:rsidTr="00A432B0">
        <w:trPr>
          <w:trHeight w:val="74"/>
        </w:trPr>
        <w:tc>
          <w:tcPr>
            <w:tcW w:w="2073" w:type="dxa"/>
            <w:tcBorders>
              <w:top w:val="nil"/>
              <w:left w:val="double" w:sz="6" w:space="0" w:color="auto"/>
              <w:bottom w:val="single" w:sz="4" w:space="0" w:color="auto"/>
              <w:right w:val="single" w:sz="4" w:space="0" w:color="auto"/>
            </w:tcBorders>
          </w:tcPr>
          <w:p w14:paraId="3C3520B0"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Artemia franciscana</w:t>
            </w:r>
          </w:p>
        </w:tc>
        <w:tc>
          <w:tcPr>
            <w:tcW w:w="1559" w:type="dxa"/>
            <w:tcBorders>
              <w:top w:val="nil"/>
              <w:left w:val="nil"/>
              <w:bottom w:val="single" w:sz="4" w:space="0" w:color="auto"/>
              <w:right w:val="single" w:sz="4" w:space="0" w:color="auto"/>
            </w:tcBorders>
          </w:tcPr>
          <w:p w14:paraId="5D33C65E" w14:textId="77777777" w:rsidR="00632208" w:rsidRPr="0098635C" w:rsidRDefault="00632208" w:rsidP="00A432B0">
            <w:pPr>
              <w:spacing w:after="0"/>
              <w:rPr>
                <w:color w:val="000000" w:themeColor="text1"/>
                <w:sz w:val="20"/>
                <w:szCs w:val="20"/>
              </w:rPr>
            </w:pPr>
            <w:r w:rsidRPr="0098635C">
              <w:rPr>
                <w:color w:val="000000" w:themeColor="text1"/>
                <w:sz w:val="20"/>
                <w:szCs w:val="20"/>
              </w:rPr>
              <w:t>Cysts</w:t>
            </w:r>
          </w:p>
        </w:tc>
        <w:tc>
          <w:tcPr>
            <w:tcW w:w="992" w:type="dxa"/>
            <w:tcBorders>
              <w:top w:val="nil"/>
              <w:left w:val="nil"/>
              <w:bottom w:val="single" w:sz="4" w:space="0" w:color="auto"/>
              <w:right w:val="single" w:sz="4" w:space="0" w:color="auto"/>
            </w:tcBorders>
          </w:tcPr>
          <w:p w14:paraId="264DFA76" w14:textId="77777777" w:rsidR="00632208" w:rsidRPr="0098635C" w:rsidRDefault="00632208" w:rsidP="00A432B0">
            <w:pPr>
              <w:spacing w:after="0"/>
              <w:rPr>
                <w:color w:val="000000" w:themeColor="text1"/>
                <w:sz w:val="20"/>
                <w:szCs w:val="20"/>
              </w:rPr>
            </w:pPr>
            <w:r w:rsidRPr="0098635C">
              <w:rPr>
                <w:color w:val="000000" w:themeColor="text1"/>
                <w:sz w:val="20"/>
                <w:szCs w:val="20"/>
              </w:rPr>
              <w:t>48 hours</w:t>
            </w:r>
          </w:p>
        </w:tc>
        <w:tc>
          <w:tcPr>
            <w:tcW w:w="1134" w:type="dxa"/>
            <w:tcBorders>
              <w:top w:val="nil"/>
              <w:left w:val="nil"/>
              <w:bottom w:val="single" w:sz="4" w:space="0" w:color="auto"/>
              <w:right w:val="single" w:sz="4" w:space="0" w:color="auto"/>
            </w:tcBorders>
          </w:tcPr>
          <w:p w14:paraId="188E5371" w14:textId="77777777" w:rsidR="00632208" w:rsidRPr="0098635C" w:rsidRDefault="00632208" w:rsidP="00A432B0">
            <w:pPr>
              <w:spacing w:after="0"/>
              <w:rPr>
                <w:color w:val="000000" w:themeColor="text1"/>
                <w:sz w:val="20"/>
                <w:szCs w:val="20"/>
              </w:rPr>
            </w:pPr>
            <w:r w:rsidRPr="0098635C">
              <w:rPr>
                <w:color w:val="000000" w:themeColor="text1"/>
                <w:sz w:val="20"/>
                <w:szCs w:val="20"/>
              </w:rPr>
              <w:t>Hatching success</w:t>
            </w:r>
          </w:p>
        </w:tc>
        <w:tc>
          <w:tcPr>
            <w:tcW w:w="851" w:type="dxa"/>
            <w:tcBorders>
              <w:top w:val="nil"/>
              <w:left w:val="nil"/>
              <w:bottom w:val="single" w:sz="4" w:space="0" w:color="auto"/>
              <w:right w:val="single" w:sz="4" w:space="0" w:color="auto"/>
            </w:tcBorders>
          </w:tcPr>
          <w:p w14:paraId="2723CFF9" w14:textId="77777777" w:rsidR="00632208" w:rsidRPr="0098635C" w:rsidRDefault="00632208" w:rsidP="00A432B0">
            <w:pPr>
              <w:spacing w:after="0"/>
              <w:rPr>
                <w:color w:val="000000" w:themeColor="text1"/>
                <w:sz w:val="20"/>
                <w:szCs w:val="20"/>
              </w:rPr>
            </w:pPr>
            <w:r w:rsidRPr="0098635C">
              <w:rPr>
                <w:color w:val="000000" w:themeColor="text1"/>
                <w:sz w:val="20"/>
                <w:szCs w:val="20"/>
              </w:rPr>
              <w:t>6.6</w:t>
            </w:r>
          </w:p>
        </w:tc>
        <w:tc>
          <w:tcPr>
            <w:tcW w:w="1275" w:type="dxa"/>
            <w:tcBorders>
              <w:top w:val="nil"/>
              <w:left w:val="nil"/>
              <w:bottom w:val="single" w:sz="4" w:space="0" w:color="auto"/>
              <w:right w:val="single" w:sz="4" w:space="0" w:color="auto"/>
            </w:tcBorders>
          </w:tcPr>
          <w:p w14:paraId="23EE4698" w14:textId="77777777" w:rsidR="00632208" w:rsidRPr="0098635C" w:rsidRDefault="00632208" w:rsidP="00A432B0">
            <w:pPr>
              <w:spacing w:after="0"/>
              <w:rPr>
                <w:color w:val="000000" w:themeColor="text1"/>
                <w:sz w:val="20"/>
                <w:szCs w:val="20"/>
              </w:rPr>
            </w:pPr>
            <w:r w:rsidRPr="0098635C">
              <w:rPr>
                <w:color w:val="000000" w:themeColor="text1"/>
                <w:sz w:val="20"/>
                <w:szCs w:val="20"/>
              </w:rPr>
              <w:t>Static</w:t>
            </w:r>
          </w:p>
        </w:tc>
        <w:tc>
          <w:tcPr>
            <w:tcW w:w="851" w:type="dxa"/>
            <w:tcBorders>
              <w:top w:val="nil"/>
              <w:left w:val="nil"/>
              <w:bottom w:val="single" w:sz="4" w:space="0" w:color="auto"/>
              <w:right w:val="single" w:sz="4" w:space="0" w:color="auto"/>
            </w:tcBorders>
          </w:tcPr>
          <w:p w14:paraId="07170579" w14:textId="77777777" w:rsidR="00632208" w:rsidRPr="0098635C" w:rsidRDefault="00632208" w:rsidP="00A432B0">
            <w:pPr>
              <w:spacing w:after="0"/>
              <w:rPr>
                <w:color w:val="000000" w:themeColor="text1"/>
                <w:sz w:val="20"/>
                <w:szCs w:val="20"/>
              </w:rPr>
            </w:pPr>
            <w:r w:rsidRPr="0098635C">
              <w:rPr>
                <w:color w:val="000000" w:themeColor="text1"/>
                <w:sz w:val="20"/>
                <w:szCs w:val="20"/>
              </w:rPr>
              <w:t>0.2m</w:t>
            </w:r>
          </w:p>
        </w:tc>
        <w:tc>
          <w:tcPr>
            <w:tcW w:w="850" w:type="dxa"/>
            <w:tcBorders>
              <w:top w:val="nil"/>
              <w:left w:val="nil"/>
              <w:bottom w:val="single" w:sz="4" w:space="0" w:color="auto"/>
              <w:right w:val="single" w:sz="4" w:space="0" w:color="auto"/>
            </w:tcBorders>
          </w:tcPr>
          <w:p w14:paraId="193994AD" w14:textId="77777777" w:rsidR="00632208" w:rsidRPr="0098635C" w:rsidRDefault="00632208" w:rsidP="00A432B0">
            <w:pPr>
              <w:spacing w:after="0"/>
              <w:rPr>
                <w:color w:val="000000" w:themeColor="text1"/>
                <w:sz w:val="20"/>
                <w:szCs w:val="20"/>
              </w:rPr>
            </w:pPr>
            <w:r w:rsidRPr="0098635C">
              <w:rPr>
                <w:color w:val="000000" w:themeColor="text1"/>
                <w:sz w:val="20"/>
                <w:szCs w:val="20"/>
              </w:rPr>
              <w:t>0.48m</w:t>
            </w:r>
          </w:p>
        </w:tc>
        <w:tc>
          <w:tcPr>
            <w:tcW w:w="1276" w:type="dxa"/>
            <w:tcBorders>
              <w:top w:val="nil"/>
              <w:left w:val="nil"/>
              <w:bottom w:val="single" w:sz="4" w:space="0" w:color="auto"/>
              <w:right w:val="single" w:sz="4" w:space="0" w:color="auto"/>
            </w:tcBorders>
          </w:tcPr>
          <w:p w14:paraId="510980A5" w14:textId="77777777" w:rsidR="00632208" w:rsidRPr="0098635C" w:rsidRDefault="00632208" w:rsidP="00A432B0">
            <w:pPr>
              <w:spacing w:after="0"/>
              <w:rPr>
                <w:color w:val="000000" w:themeColor="text1"/>
                <w:sz w:val="20"/>
                <w:szCs w:val="20"/>
              </w:rPr>
            </w:pPr>
            <w:r w:rsidRPr="0098635C">
              <w:rPr>
                <w:color w:val="000000" w:themeColor="text1"/>
                <w:sz w:val="20"/>
                <w:szCs w:val="20"/>
              </w:rPr>
              <w:t>Not reported</w:t>
            </w:r>
          </w:p>
        </w:tc>
        <w:tc>
          <w:tcPr>
            <w:tcW w:w="2268" w:type="dxa"/>
            <w:tcBorders>
              <w:top w:val="nil"/>
              <w:left w:val="nil"/>
              <w:bottom w:val="single" w:sz="4" w:space="0" w:color="auto"/>
              <w:right w:val="single" w:sz="4" w:space="0" w:color="auto"/>
            </w:tcBorders>
          </w:tcPr>
          <w:p w14:paraId="749924F0" w14:textId="77777777" w:rsidR="00632208" w:rsidRPr="0098635C" w:rsidRDefault="00632208" w:rsidP="00A432B0">
            <w:pPr>
              <w:spacing w:after="0"/>
              <w:rPr>
                <w:color w:val="000000" w:themeColor="text1"/>
                <w:sz w:val="20"/>
                <w:szCs w:val="20"/>
              </w:rPr>
            </w:pPr>
            <w:r w:rsidRPr="0098635C">
              <w:rPr>
                <w:color w:val="000000" w:themeColor="text1"/>
                <w:sz w:val="20"/>
                <w:szCs w:val="20"/>
              </w:rPr>
              <w:t>Artificial seawater</w:t>
            </w:r>
          </w:p>
        </w:tc>
        <w:tc>
          <w:tcPr>
            <w:tcW w:w="1985" w:type="dxa"/>
            <w:tcBorders>
              <w:top w:val="nil"/>
              <w:left w:val="nil"/>
              <w:bottom w:val="single" w:sz="4" w:space="0" w:color="auto"/>
              <w:right w:val="double" w:sz="6" w:space="0" w:color="auto"/>
            </w:tcBorders>
          </w:tcPr>
          <w:p w14:paraId="322AF3B7" w14:textId="77777777" w:rsidR="00632208" w:rsidRPr="0098635C" w:rsidRDefault="00632208" w:rsidP="00A432B0">
            <w:pPr>
              <w:spacing w:after="0"/>
              <w:rPr>
                <w:color w:val="000000" w:themeColor="text1"/>
                <w:sz w:val="20"/>
                <w:szCs w:val="20"/>
              </w:rPr>
            </w:pPr>
            <w:r w:rsidRPr="0098635C">
              <w:rPr>
                <w:color w:val="000000" w:themeColor="text1"/>
                <w:sz w:val="20"/>
                <w:szCs w:val="20"/>
              </w:rPr>
              <w:t>Brix, 2006</w:t>
            </w:r>
          </w:p>
        </w:tc>
      </w:tr>
      <w:tr w:rsidR="00632208" w:rsidRPr="0098635C" w14:paraId="06FF9B0F" w14:textId="77777777" w:rsidTr="00A432B0">
        <w:trPr>
          <w:trHeight w:val="297"/>
        </w:trPr>
        <w:tc>
          <w:tcPr>
            <w:tcW w:w="2073" w:type="dxa"/>
            <w:tcBorders>
              <w:top w:val="nil"/>
              <w:left w:val="double" w:sz="6" w:space="0" w:color="auto"/>
              <w:bottom w:val="single" w:sz="4" w:space="0" w:color="auto"/>
              <w:right w:val="single" w:sz="4" w:space="0" w:color="auto"/>
            </w:tcBorders>
          </w:tcPr>
          <w:p w14:paraId="55BD7CCF"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Mytilus edulis</w:t>
            </w:r>
          </w:p>
        </w:tc>
        <w:tc>
          <w:tcPr>
            <w:tcW w:w="1559" w:type="dxa"/>
            <w:tcBorders>
              <w:top w:val="nil"/>
              <w:left w:val="nil"/>
              <w:bottom w:val="single" w:sz="4" w:space="0" w:color="auto"/>
              <w:right w:val="single" w:sz="4" w:space="0" w:color="auto"/>
            </w:tcBorders>
          </w:tcPr>
          <w:p w14:paraId="6169FE5E" w14:textId="77777777" w:rsidR="00632208" w:rsidRPr="0098635C" w:rsidRDefault="00632208" w:rsidP="00A432B0">
            <w:pPr>
              <w:spacing w:after="0"/>
              <w:rPr>
                <w:color w:val="000000" w:themeColor="text1"/>
                <w:sz w:val="20"/>
                <w:szCs w:val="20"/>
              </w:rPr>
            </w:pPr>
            <w:r w:rsidRPr="0098635C">
              <w:rPr>
                <w:color w:val="000000" w:themeColor="text1"/>
                <w:sz w:val="20"/>
                <w:szCs w:val="20"/>
              </w:rPr>
              <w:t>Embryo</w:t>
            </w:r>
          </w:p>
        </w:tc>
        <w:tc>
          <w:tcPr>
            <w:tcW w:w="992" w:type="dxa"/>
            <w:tcBorders>
              <w:top w:val="nil"/>
              <w:left w:val="nil"/>
              <w:bottom w:val="single" w:sz="4" w:space="0" w:color="auto"/>
              <w:right w:val="single" w:sz="4" w:space="0" w:color="auto"/>
            </w:tcBorders>
          </w:tcPr>
          <w:p w14:paraId="3A504EF0" w14:textId="77777777" w:rsidR="00632208" w:rsidRPr="0098635C" w:rsidRDefault="00632208" w:rsidP="00A432B0">
            <w:pPr>
              <w:spacing w:after="0"/>
              <w:rPr>
                <w:color w:val="000000" w:themeColor="text1"/>
                <w:sz w:val="20"/>
                <w:szCs w:val="20"/>
              </w:rPr>
            </w:pPr>
            <w:r w:rsidRPr="0098635C">
              <w:rPr>
                <w:color w:val="000000" w:themeColor="text1"/>
                <w:sz w:val="20"/>
                <w:szCs w:val="20"/>
              </w:rPr>
              <w:t>48 hours</w:t>
            </w:r>
          </w:p>
        </w:tc>
        <w:tc>
          <w:tcPr>
            <w:tcW w:w="1134" w:type="dxa"/>
            <w:tcBorders>
              <w:top w:val="nil"/>
              <w:left w:val="nil"/>
              <w:bottom w:val="single" w:sz="4" w:space="0" w:color="auto"/>
              <w:right w:val="single" w:sz="4" w:space="0" w:color="auto"/>
            </w:tcBorders>
          </w:tcPr>
          <w:p w14:paraId="35F13184" w14:textId="77777777" w:rsidR="00632208" w:rsidRPr="0098635C" w:rsidRDefault="00632208" w:rsidP="00A432B0">
            <w:pPr>
              <w:spacing w:after="0"/>
              <w:rPr>
                <w:color w:val="000000" w:themeColor="text1"/>
                <w:sz w:val="20"/>
                <w:szCs w:val="20"/>
              </w:rPr>
            </w:pPr>
            <w:r w:rsidRPr="0098635C">
              <w:rPr>
                <w:color w:val="000000" w:themeColor="text1"/>
                <w:sz w:val="20"/>
                <w:szCs w:val="20"/>
              </w:rPr>
              <w:t>Development</w:t>
            </w:r>
          </w:p>
        </w:tc>
        <w:tc>
          <w:tcPr>
            <w:tcW w:w="851" w:type="dxa"/>
            <w:tcBorders>
              <w:top w:val="nil"/>
              <w:left w:val="nil"/>
              <w:bottom w:val="single" w:sz="4" w:space="0" w:color="auto"/>
              <w:right w:val="single" w:sz="4" w:space="0" w:color="auto"/>
            </w:tcBorders>
          </w:tcPr>
          <w:p w14:paraId="0105771D" w14:textId="77777777" w:rsidR="00632208" w:rsidRPr="0098635C" w:rsidRDefault="00632208" w:rsidP="00A432B0">
            <w:pPr>
              <w:spacing w:after="0"/>
              <w:rPr>
                <w:color w:val="000000" w:themeColor="text1"/>
                <w:sz w:val="20"/>
                <w:szCs w:val="20"/>
              </w:rPr>
            </w:pPr>
            <w:r w:rsidRPr="0098635C">
              <w:rPr>
                <w:color w:val="000000" w:themeColor="text1"/>
                <w:sz w:val="20"/>
                <w:szCs w:val="20"/>
              </w:rPr>
              <w:t>6.2</w:t>
            </w:r>
          </w:p>
        </w:tc>
        <w:tc>
          <w:tcPr>
            <w:tcW w:w="1275" w:type="dxa"/>
            <w:tcBorders>
              <w:top w:val="nil"/>
              <w:left w:val="nil"/>
              <w:bottom w:val="single" w:sz="4" w:space="0" w:color="auto"/>
              <w:right w:val="single" w:sz="4" w:space="0" w:color="auto"/>
            </w:tcBorders>
          </w:tcPr>
          <w:p w14:paraId="49B74510" w14:textId="77777777" w:rsidR="00632208" w:rsidRPr="0098635C" w:rsidRDefault="00632208" w:rsidP="00A432B0">
            <w:pPr>
              <w:spacing w:after="0"/>
              <w:rPr>
                <w:color w:val="000000" w:themeColor="text1"/>
                <w:sz w:val="20"/>
                <w:szCs w:val="20"/>
              </w:rPr>
            </w:pPr>
            <w:r w:rsidRPr="0098635C">
              <w:rPr>
                <w:color w:val="000000" w:themeColor="text1"/>
                <w:sz w:val="20"/>
                <w:szCs w:val="20"/>
              </w:rPr>
              <w:t>Flowthrough</w:t>
            </w:r>
          </w:p>
        </w:tc>
        <w:tc>
          <w:tcPr>
            <w:tcW w:w="851" w:type="dxa"/>
            <w:tcBorders>
              <w:top w:val="nil"/>
              <w:left w:val="nil"/>
              <w:bottom w:val="single" w:sz="4" w:space="0" w:color="auto"/>
              <w:right w:val="single" w:sz="4" w:space="0" w:color="auto"/>
            </w:tcBorders>
          </w:tcPr>
          <w:p w14:paraId="16E15321" w14:textId="77777777" w:rsidR="00632208" w:rsidRPr="0098635C" w:rsidRDefault="00632208" w:rsidP="00A432B0">
            <w:pPr>
              <w:spacing w:after="0"/>
              <w:rPr>
                <w:color w:val="000000" w:themeColor="text1"/>
                <w:sz w:val="20"/>
                <w:szCs w:val="20"/>
              </w:rPr>
            </w:pPr>
            <w:r w:rsidRPr="0098635C">
              <w:rPr>
                <w:color w:val="000000" w:themeColor="text1"/>
                <w:sz w:val="20"/>
                <w:szCs w:val="20"/>
              </w:rPr>
              <w:t>1.8m</w:t>
            </w:r>
          </w:p>
        </w:tc>
        <w:tc>
          <w:tcPr>
            <w:tcW w:w="850" w:type="dxa"/>
            <w:tcBorders>
              <w:top w:val="nil"/>
              <w:left w:val="nil"/>
              <w:bottom w:val="single" w:sz="4" w:space="0" w:color="auto"/>
              <w:right w:val="single" w:sz="4" w:space="0" w:color="auto"/>
            </w:tcBorders>
          </w:tcPr>
          <w:p w14:paraId="5D3ECF89" w14:textId="77777777" w:rsidR="00632208" w:rsidRPr="0098635C" w:rsidRDefault="00632208" w:rsidP="00A432B0">
            <w:pPr>
              <w:spacing w:after="0"/>
              <w:rPr>
                <w:color w:val="000000" w:themeColor="text1"/>
                <w:sz w:val="20"/>
                <w:szCs w:val="20"/>
              </w:rPr>
            </w:pPr>
            <w:r w:rsidRPr="0098635C">
              <w:rPr>
                <w:color w:val="000000" w:themeColor="text1"/>
                <w:sz w:val="20"/>
                <w:szCs w:val="20"/>
              </w:rPr>
              <w:t>1.51m</w:t>
            </w:r>
          </w:p>
        </w:tc>
        <w:tc>
          <w:tcPr>
            <w:tcW w:w="1276" w:type="dxa"/>
            <w:tcBorders>
              <w:top w:val="nil"/>
              <w:left w:val="nil"/>
              <w:bottom w:val="single" w:sz="4" w:space="0" w:color="auto"/>
              <w:right w:val="single" w:sz="4" w:space="0" w:color="auto"/>
            </w:tcBorders>
          </w:tcPr>
          <w:p w14:paraId="4DAC9D99" w14:textId="77777777" w:rsidR="00632208" w:rsidRPr="0098635C" w:rsidRDefault="00632208" w:rsidP="00A432B0">
            <w:pPr>
              <w:spacing w:after="0"/>
              <w:rPr>
                <w:color w:val="000000" w:themeColor="text1"/>
                <w:sz w:val="20"/>
                <w:szCs w:val="20"/>
              </w:rPr>
            </w:pPr>
            <w:r w:rsidRPr="0098635C">
              <w:rPr>
                <w:color w:val="000000" w:themeColor="text1"/>
                <w:sz w:val="20"/>
                <w:szCs w:val="20"/>
              </w:rPr>
              <w:t>32</w:t>
            </w:r>
          </w:p>
        </w:tc>
        <w:tc>
          <w:tcPr>
            <w:tcW w:w="2268" w:type="dxa"/>
            <w:tcBorders>
              <w:top w:val="nil"/>
              <w:left w:val="nil"/>
              <w:bottom w:val="single" w:sz="4" w:space="0" w:color="auto"/>
              <w:right w:val="single" w:sz="4" w:space="0" w:color="auto"/>
            </w:tcBorders>
          </w:tcPr>
          <w:p w14:paraId="7226E6D2" w14:textId="77777777" w:rsidR="00632208" w:rsidRPr="0098635C" w:rsidRDefault="00632208" w:rsidP="00A432B0">
            <w:pPr>
              <w:spacing w:after="0"/>
              <w:rPr>
                <w:color w:val="000000" w:themeColor="text1"/>
                <w:sz w:val="20"/>
                <w:szCs w:val="20"/>
              </w:rPr>
            </w:pPr>
            <w:r w:rsidRPr="0098635C">
              <w:rPr>
                <w:color w:val="000000" w:themeColor="text1"/>
                <w:sz w:val="20"/>
                <w:szCs w:val="20"/>
              </w:rPr>
              <w:t>natural seawater</w:t>
            </w:r>
          </w:p>
        </w:tc>
        <w:tc>
          <w:tcPr>
            <w:tcW w:w="1985" w:type="dxa"/>
            <w:tcBorders>
              <w:top w:val="nil"/>
              <w:left w:val="nil"/>
              <w:bottom w:val="single" w:sz="4" w:space="0" w:color="auto"/>
              <w:right w:val="double" w:sz="6" w:space="0" w:color="auto"/>
            </w:tcBorders>
          </w:tcPr>
          <w:p w14:paraId="59720A3D"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Brooks, S. 2006 </w:t>
            </w:r>
          </w:p>
        </w:tc>
      </w:tr>
      <w:tr w:rsidR="00632208" w:rsidRPr="0098635C" w14:paraId="263A4609" w14:textId="77777777" w:rsidTr="00A432B0">
        <w:trPr>
          <w:trHeight w:val="261"/>
        </w:trPr>
        <w:tc>
          <w:tcPr>
            <w:tcW w:w="2073" w:type="dxa"/>
            <w:tcBorders>
              <w:top w:val="nil"/>
              <w:left w:val="double" w:sz="6" w:space="0" w:color="auto"/>
              <w:bottom w:val="single" w:sz="4" w:space="0" w:color="auto"/>
              <w:right w:val="single" w:sz="4" w:space="0" w:color="auto"/>
            </w:tcBorders>
          </w:tcPr>
          <w:p w14:paraId="16EC3A36"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Crassostreas gigas</w:t>
            </w:r>
          </w:p>
        </w:tc>
        <w:tc>
          <w:tcPr>
            <w:tcW w:w="1559" w:type="dxa"/>
            <w:tcBorders>
              <w:top w:val="nil"/>
              <w:left w:val="nil"/>
              <w:bottom w:val="single" w:sz="4" w:space="0" w:color="auto"/>
              <w:right w:val="single" w:sz="4" w:space="0" w:color="auto"/>
            </w:tcBorders>
          </w:tcPr>
          <w:p w14:paraId="7F81E016" w14:textId="77777777" w:rsidR="00632208" w:rsidRPr="0098635C" w:rsidRDefault="00632208" w:rsidP="00A432B0">
            <w:pPr>
              <w:spacing w:after="0"/>
              <w:rPr>
                <w:color w:val="000000" w:themeColor="text1"/>
                <w:sz w:val="20"/>
                <w:szCs w:val="20"/>
              </w:rPr>
            </w:pPr>
            <w:r w:rsidRPr="0098635C">
              <w:rPr>
                <w:color w:val="000000" w:themeColor="text1"/>
                <w:sz w:val="20"/>
                <w:szCs w:val="20"/>
              </w:rPr>
              <w:t>Embryo</w:t>
            </w:r>
          </w:p>
        </w:tc>
        <w:tc>
          <w:tcPr>
            <w:tcW w:w="992" w:type="dxa"/>
            <w:tcBorders>
              <w:top w:val="nil"/>
              <w:left w:val="nil"/>
              <w:bottom w:val="single" w:sz="4" w:space="0" w:color="auto"/>
              <w:right w:val="single" w:sz="4" w:space="0" w:color="auto"/>
            </w:tcBorders>
          </w:tcPr>
          <w:p w14:paraId="347EAE38" w14:textId="77777777" w:rsidR="00632208" w:rsidRPr="0098635C" w:rsidRDefault="00632208" w:rsidP="00A432B0">
            <w:pPr>
              <w:spacing w:after="0"/>
              <w:rPr>
                <w:color w:val="000000" w:themeColor="text1"/>
                <w:sz w:val="20"/>
                <w:szCs w:val="20"/>
              </w:rPr>
            </w:pPr>
            <w:r w:rsidRPr="0098635C">
              <w:rPr>
                <w:color w:val="000000" w:themeColor="text1"/>
                <w:sz w:val="20"/>
                <w:szCs w:val="20"/>
              </w:rPr>
              <w:t>24 hour</w:t>
            </w:r>
          </w:p>
        </w:tc>
        <w:tc>
          <w:tcPr>
            <w:tcW w:w="1134" w:type="dxa"/>
            <w:tcBorders>
              <w:top w:val="nil"/>
              <w:left w:val="nil"/>
              <w:bottom w:val="single" w:sz="4" w:space="0" w:color="auto"/>
              <w:right w:val="single" w:sz="4" w:space="0" w:color="auto"/>
            </w:tcBorders>
          </w:tcPr>
          <w:p w14:paraId="7AEE687E" w14:textId="77777777" w:rsidR="00632208" w:rsidRPr="0098635C" w:rsidRDefault="00632208" w:rsidP="00A432B0">
            <w:pPr>
              <w:spacing w:after="0"/>
              <w:rPr>
                <w:color w:val="000000" w:themeColor="text1"/>
                <w:sz w:val="20"/>
                <w:szCs w:val="20"/>
              </w:rPr>
            </w:pPr>
            <w:r w:rsidRPr="0098635C">
              <w:rPr>
                <w:color w:val="000000" w:themeColor="text1"/>
                <w:sz w:val="20"/>
                <w:szCs w:val="20"/>
              </w:rPr>
              <w:t>Development</w:t>
            </w:r>
          </w:p>
        </w:tc>
        <w:tc>
          <w:tcPr>
            <w:tcW w:w="851" w:type="dxa"/>
            <w:tcBorders>
              <w:top w:val="nil"/>
              <w:left w:val="nil"/>
              <w:bottom w:val="single" w:sz="4" w:space="0" w:color="auto"/>
              <w:right w:val="single" w:sz="4" w:space="0" w:color="auto"/>
            </w:tcBorders>
          </w:tcPr>
          <w:p w14:paraId="272B94EC" w14:textId="77777777" w:rsidR="00632208" w:rsidRPr="0098635C" w:rsidRDefault="00632208" w:rsidP="00A432B0">
            <w:pPr>
              <w:spacing w:after="0"/>
              <w:rPr>
                <w:color w:val="000000" w:themeColor="text1"/>
                <w:sz w:val="20"/>
                <w:szCs w:val="20"/>
              </w:rPr>
            </w:pPr>
            <w:r w:rsidRPr="0098635C">
              <w:rPr>
                <w:color w:val="000000" w:themeColor="text1"/>
                <w:sz w:val="20"/>
                <w:szCs w:val="20"/>
              </w:rPr>
              <w:t>10.89</w:t>
            </w:r>
          </w:p>
        </w:tc>
        <w:tc>
          <w:tcPr>
            <w:tcW w:w="1275" w:type="dxa"/>
            <w:tcBorders>
              <w:top w:val="nil"/>
              <w:left w:val="nil"/>
              <w:bottom w:val="single" w:sz="4" w:space="0" w:color="auto"/>
              <w:right w:val="single" w:sz="4" w:space="0" w:color="auto"/>
            </w:tcBorders>
          </w:tcPr>
          <w:p w14:paraId="4DFCF1FB" w14:textId="77777777" w:rsidR="00632208" w:rsidRPr="0098635C" w:rsidRDefault="00632208" w:rsidP="00A432B0">
            <w:pPr>
              <w:spacing w:after="0"/>
              <w:rPr>
                <w:color w:val="000000" w:themeColor="text1"/>
                <w:sz w:val="20"/>
                <w:szCs w:val="20"/>
              </w:rPr>
            </w:pPr>
            <w:r w:rsidRPr="0098635C">
              <w:rPr>
                <w:color w:val="000000" w:themeColor="text1"/>
                <w:sz w:val="20"/>
                <w:szCs w:val="20"/>
              </w:rPr>
              <w:t>Flowthrough</w:t>
            </w:r>
          </w:p>
        </w:tc>
        <w:tc>
          <w:tcPr>
            <w:tcW w:w="851" w:type="dxa"/>
            <w:tcBorders>
              <w:top w:val="nil"/>
              <w:left w:val="nil"/>
              <w:bottom w:val="single" w:sz="4" w:space="0" w:color="auto"/>
              <w:right w:val="single" w:sz="4" w:space="0" w:color="auto"/>
            </w:tcBorders>
          </w:tcPr>
          <w:p w14:paraId="7BDC18A0" w14:textId="77777777" w:rsidR="00632208" w:rsidRPr="0098635C" w:rsidRDefault="00632208" w:rsidP="00A432B0">
            <w:pPr>
              <w:spacing w:after="0"/>
              <w:rPr>
                <w:color w:val="000000" w:themeColor="text1"/>
                <w:sz w:val="20"/>
                <w:szCs w:val="20"/>
              </w:rPr>
            </w:pPr>
            <w:r w:rsidRPr="0098635C">
              <w:rPr>
                <w:color w:val="000000" w:themeColor="text1"/>
                <w:sz w:val="20"/>
                <w:szCs w:val="20"/>
              </w:rPr>
              <w:t>2.8m</w:t>
            </w:r>
          </w:p>
        </w:tc>
        <w:tc>
          <w:tcPr>
            <w:tcW w:w="850" w:type="dxa"/>
            <w:tcBorders>
              <w:top w:val="nil"/>
              <w:left w:val="nil"/>
              <w:bottom w:val="single" w:sz="4" w:space="0" w:color="auto"/>
              <w:right w:val="single" w:sz="4" w:space="0" w:color="auto"/>
            </w:tcBorders>
          </w:tcPr>
          <w:p w14:paraId="45A9A849" w14:textId="77777777" w:rsidR="00632208" w:rsidRPr="0098635C" w:rsidRDefault="00632208" w:rsidP="00A432B0">
            <w:pPr>
              <w:spacing w:after="0"/>
              <w:rPr>
                <w:color w:val="000000" w:themeColor="text1"/>
                <w:sz w:val="20"/>
                <w:szCs w:val="20"/>
              </w:rPr>
            </w:pPr>
            <w:r w:rsidRPr="0098635C">
              <w:rPr>
                <w:color w:val="000000" w:themeColor="text1"/>
                <w:sz w:val="20"/>
                <w:szCs w:val="20"/>
              </w:rPr>
              <w:t>2.19m</w:t>
            </w:r>
          </w:p>
        </w:tc>
        <w:tc>
          <w:tcPr>
            <w:tcW w:w="1276" w:type="dxa"/>
            <w:tcBorders>
              <w:top w:val="nil"/>
              <w:left w:val="nil"/>
              <w:bottom w:val="single" w:sz="4" w:space="0" w:color="auto"/>
              <w:right w:val="single" w:sz="4" w:space="0" w:color="auto"/>
            </w:tcBorders>
          </w:tcPr>
          <w:p w14:paraId="18A9E398" w14:textId="77777777" w:rsidR="00632208" w:rsidRPr="0098635C" w:rsidRDefault="00632208" w:rsidP="00A432B0">
            <w:pPr>
              <w:spacing w:after="0"/>
              <w:rPr>
                <w:color w:val="000000" w:themeColor="text1"/>
                <w:sz w:val="20"/>
                <w:szCs w:val="20"/>
              </w:rPr>
            </w:pPr>
            <w:r w:rsidRPr="0098635C">
              <w:rPr>
                <w:color w:val="000000" w:themeColor="text1"/>
                <w:sz w:val="20"/>
                <w:szCs w:val="20"/>
              </w:rPr>
              <w:t>31.1 - 34.2</w:t>
            </w:r>
          </w:p>
        </w:tc>
        <w:tc>
          <w:tcPr>
            <w:tcW w:w="2268" w:type="dxa"/>
            <w:tcBorders>
              <w:top w:val="nil"/>
              <w:left w:val="nil"/>
              <w:bottom w:val="single" w:sz="4" w:space="0" w:color="auto"/>
              <w:right w:val="single" w:sz="4" w:space="0" w:color="auto"/>
            </w:tcBorders>
          </w:tcPr>
          <w:p w14:paraId="488D0759" w14:textId="77777777" w:rsidR="00632208" w:rsidRPr="0098635C" w:rsidRDefault="00632208" w:rsidP="00A432B0">
            <w:pPr>
              <w:spacing w:after="0"/>
              <w:rPr>
                <w:color w:val="000000" w:themeColor="text1"/>
                <w:sz w:val="20"/>
                <w:szCs w:val="20"/>
              </w:rPr>
            </w:pPr>
            <w:r w:rsidRPr="0098635C">
              <w:rPr>
                <w:color w:val="000000" w:themeColor="text1"/>
                <w:sz w:val="20"/>
                <w:szCs w:val="20"/>
              </w:rPr>
              <w:t>natural seawater + 0.1 mg DOC/L, added as humic acids</w:t>
            </w:r>
          </w:p>
        </w:tc>
        <w:tc>
          <w:tcPr>
            <w:tcW w:w="1985" w:type="dxa"/>
            <w:tcBorders>
              <w:top w:val="nil"/>
              <w:left w:val="nil"/>
              <w:bottom w:val="single" w:sz="4" w:space="0" w:color="auto"/>
              <w:right w:val="double" w:sz="6" w:space="0" w:color="auto"/>
            </w:tcBorders>
          </w:tcPr>
          <w:p w14:paraId="655FC5F5" w14:textId="77777777" w:rsidR="00632208" w:rsidRPr="0098635C" w:rsidRDefault="00632208" w:rsidP="00A432B0">
            <w:pPr>
              <w:spacing w:after="0"/>
              <w:rPr>
                <w:color w:val="000000" w:themeColor="text1"/>
                <w:sz w:val="20"/>
                <w:szCs w:val="20"/>
              </w:rPr>
            </w:pPr>
            <w:r w:rsidRPr="0098635C">
              <w:rPr>
                <w:color w:val="000000" w:themeColor="text1"/>
                <w:sz w:val="20"/>
                <w:szCs w:val="20"/>
              </w:rPr>
              <w:t>Brooks, S. 2006</w:t>
            </w:r>
          </w:p>
        </w:tc>
      </w:tr>
      <w:tr w:rsidR="00632208" w:rsidRPr="0098635C" w14:paraId="13B4CC5A" w14:textId="77777777" w:rsidTr="00A432B0">
        <w:trPr>
          <w:trHeight w:val="115"/>
        </w:trPr>
        <w:tc>
          <w:tcPr>
            <w:tcW w:w="2073" w:type="dxa"/>
            <w:tcBorders>
              <w:top w:val="nil"/>
              <w:left w:val="double" w:sz="6" w:space="0" w:color="auto"/>
              <w:bottom w:val="single" w:sz="4" w:space="0" w:color="auto"/>
              <w:right w:val="single" w:sz="4" w:space="0" w:color="auto"/>
            </w:tcBorders>
          </w:tcPr>
          <w:p w14:paraId="249D8EAE"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Crassostreas gigas</w:t>
            </w:r>
          </w:p>
        </w:tc>
        <w:tc>
          <w:tcPr>
            <w:tcW w:w="1559" w:type="dxa"/>
            <w:tcBorders>
              <w:top w:val="nil"/>
              <w:left w:val="nil"/>
              <w:bottom w:val="single" w:sz="4" w:space="0" w:color="auto"/>
              <w:right w:val="single" w:sz="4" w:space="0" w:color="auto"/>
            </w:tcBorders>
          </w:tcPr>
          <w:p w14:paraId="4B7760A8" w14:textId="77777777" w:rsidR="00632208" w:rsidRPr="0098635C" w:rsidRDefault="00632208" w:rsidP="00A432B0">
            <w:pPr>
              <w:spacing w:after="0"/>
              <w:rPr>
                <w:color w:val="000000" w:themeColor="text1"/>
                <w:sz w:val="20"/>
                <w:szCs w:val="20"/>
              </w:rPr>
            </w:pPr>
            <w:r w:rsidRPr="0098635C">
              <w:rPr>
                <w:color w:val="000000" w:themeColor="text1"/>
                <w:sz w:val="20"/>
                <w:szCs w:val="20"/>
              </w:rPr>
              <w:t>Embryo</w:t>
            </w:r>
          </w:p>
        </w:tc>
        <w:tc>
          <w:tcPr>
            <w:tcW w:w="992" w:type="dxa"/>
            <w:tcBorders>
              <w:top w:val="nil"/>
              <w:left w:val="nil"/>
              <w:bottom w:val="single" w:sz="4" w:space="0" w:color="auto"/>
              <w:right w:val="single" w:sz="4" w:space="0" w:color="auto"/>
            </w:tcBorders>
          </w:tcPr>
          <w:p w14:paraId="3DC3F6C1" w14:textId="77777777" w:rsidR="00632208" w:rsidRPr="0098635C" w:rsidRDefault="00632208" w:rsidP="00A432B0">
            <w:pPr>
              <w:spacing w:after="0"/>
              <w:rPr>
                <w:color w:val="000000" w:themeColor="text1"/>
                <w:sz w:val="20"/>
                <w:szCs w:val="20"/>
              </w:rPr>
            </w:pPr>
            <w:r w:rsidRPr="0098635C">
              <w:rPr>
                <w:color w:val="000000" w:themeColor="text1"/>
                <w:sz w:val="20"/>
                <w:szCs w:val="20"/>
              </w:rPr>
              <w:t>24 hour</w:t>
            </w:r>
          </w:p>
        </w:tc>
        <w:tc>
          <w:tcPr>
            <w:tcW w:w="1134" w:type="dxa"/>
            <w:tcBorders>
              <w:top w:val="nil"/>
              <w:left w:val="nil"/>
              <w:bottom w:val="single" w:sz="4" w:space="0" w:color="auto"/>
              <w:right w:val="single" w:sz="4" w:space="0" w:color="auto"/>
            </w:tcBorders>
          </w:tcPr>
          <w:p w14:paraId="21DE2F45" w14:textId="77777777" w:rsidR="00632208" w:rsidRPr="0098635C" w:rsidRDefault="00632208" w:rsidP="00A432B0">
            <w:pPr>
              <w:spacing w:after="0"/>
              <w:rPr>
                <w:color w:val="000000" w:themeColor="text1"/>
                <w:sz w:val="20"/>
                <w:szCs w:val="20"/>
              </w:rPr>
            </w:pPr>
            <w:r w:rsidRPr="0098635C">
              <w:rPr>
                <w:color w:val="000000" w:themeColor="text1"/>
                <w:sz w:val="20"/>
                <w:szCs w:val="20"/>
              </w:rPr>
              <w:t>Development</w:t>
            </w:r>
          </w:p>
        </w:tc>
        <w:tc>
          <w:tcPr>
            <w:tcW w:w="851" w:type="dxa"/>
            <w:tcBorders>
              <w:top w:val="nil"/>
              <w:left w:val="nil"/>
              <w:bottom w:val="single" w:sz="4" w:space="0" w:color="auto"/>
              <w:right w:val="single" w:sz="4" w:space="0" w:color="auto"/>
            </w:tcBorders>
          </w:tcPr>
          <w:p w14:paraId="63C825C8" w14:textId="77777777" w:rsidR="00632208" w:rsidRPr="0098635C" w:rsidRDefault="00632208" w:rsidP="00A432B0">
            <w:pPr>
              <w:spacing w:after="0"/>
              <w:rPr>
                <w:color w:val="000000" w:themeColor="text1"/>
                <w:sz w:val="20"/>
                <w:szCs w:val="20"/>
              </w:rPr>
            </w:pPr>
            <w:r w:rsidRPr="0098635C">
              <w:rPr>
                <w:color w:val="000000" w:themeColor="text1"/>
                <w:sz w:val="20"/>
                <w:szCs w:val="20"/>
              </w:rPr>
              <w:t>10.42</w:t>
            </w:r>
          </w:p>
        </w:tc>
        <w:tc>
          <w:tcPr>
            <w:tcW w:w="1275" w:type="dxa"/>
            <w:tcBorders>
              <w:top w:val="nil"/>
              <w:left w:val="nil"/>
              <w:bottom w:val="single" w:sz="4" w:space="0" w:color="auto"/>
              <w:right w:val="single" w:sz="4" w:space="0" w:color="auto"/>
            </w:tcBorders>
          </w:tcPr>
          <w:p w14:paraId="105E60F2" w14:textId="77777777" w:rsidR="00632208" w:rsidRPr="0098635C" w:rsidRDefault="00632208" w:rsidP="00A432B0">
            <w:pPr>
              <w:spacing w:after="0"/>
              <w:rPr>
                <w:color w:val="000000" w:themeColor="text1"/>
                <w:sz w:val="20"/>
                <w:szCs w:val="20"/>
              </w:rPr>
            </w:pPr>
            <w:r w:rsidRPr="0098635C">
              <w:rPr>
                <w:color w:val="000000" w:themeColor="text1"/>
                <w:sz w:val="20"/>
                <w:szCs w:val="20"/>
              </w:rPr>
              <w:t>Flowthrough</w:t>
            </w:r>
          </w:p>
        </w:tc>
        <w:tc>
          <w:tcPr>
            <w:tcW w:w="851" w:type="dxa"/>
            <w:tcBorders>
              <w:top w:val="nil"/>
              <w:left w:val="nil"/>
              <w:bottom w:val="single" w:sz="4" w:space="0" w:color="auto"/>
              <w:right w:val="single" w:sz="4" w:space="0" w:color="auto"/>
            </w:tcBorders>
          </w:tcPr>
          <w:p w14:paraId="0FB9DDFD" w14:textId="77777777" w:rsidR="00632208" w:rsidRPr="0098635C" w:rsidRDefault="00632208" w:rsidP="00A432B0">
            <w:pPr>
              <w:spacing w:after="0"/>
              <w:rPr>
                <w:color w:val="000000" w:themeColor="text1"/>
                <w:sz w:val="20"/>
                <w:szCs w:val="20"/>
              </w:rPr>
            </w:pPr>
            <w:r w:rsidRPr="0098635C">
              <w:rPr>
                <w:color w:val="000000" w:themeColor="text1"/>
                <w:sz w:val="20"/>
                <w:szCs w:val="20"/>
              </w:rPr>
              <w:t>2.5m</w:t>
            </w:r>
          </w:p>
        </w:tc>
        <w:tc>
          <w:tcPr>
            <w:tcW w:w="850" w:type="dxa"/>
            <w:tcBorders>
              <w:top w:val="nil"/>
              <w:left w:val="nil"/>
              <w:bottom w:val="single" w:sz="4" w:space="0" w:color="auto"/>
              <w:right w:val="single" w:sz="4" w:space="0" w:color="auto"/>
            </w:tcBorders>
          </w:tcPr>
          <w:p w14:paraId="6885DD9E" w14:textId="77777777" w:rsidR="00632208" w:rsidRPr="0098635C" w:rsidRDefault="00632208" w:rsidP="00A432B0">
            <w:pPr>
              <w:spacing w:after="0"/>
              <w:rPr>
                <w:color w:val="000000" w:themeColor="text1"/>
                <w:sz w:val="20"/>
                <w:szCs w:val="20"/>
              </w:rPr>
            </w:pPr>
            <w:r w:rsidRPr="0098635C">
              <w:rPr>
                <w:color w:val="000000" w:themeColor="text1"/>
                <w:sz w:val="20"/>
                <w:szCs w:val="20"/>
              </w:rPr>
              <w:t>3.36m</w:t>
            </w:r>
          </w:p>
        </w:tc>
        <w:tc>
          <w:tcPr>
            <w:tcW w:w="1276" w:type="dxa"/>
            <w:tcBorders>
              <w:top w:val="nil"/>
              <w:left w:val="nil"/>
              <w:bottom w:val="single" w:sz="4" w:space="0" w:color="auto"/>
              <w:right w:val="single" w:sz="4" w:space="0" w:color="auto"/>
            </w:tcBorders>
          </w:tcPr>
          <w:p w14:paraId="7293E4C4" w14:textId="77777777" w:rsidR="00632208" w:rsidRPr="0098635C" w:rsidRDefault="00632208" w:rsidP="00A432B0">
            <w:pPr>
              <w:spacing w:after="0"/>
              <w:rPr>
                <w:color w:val="000000" w:themeColor="text1"/>
                <w:sz w:val="20"/>
                <w:szCs w:val="20"/>
              </w:rPr>
            </w:pPr>
            <w:r w:rsidRPr="0098635C">
              <w:rPr>
                <w:color w:val="000000" w:themeColor="text1"/>
                <w:sz w:val="20"/>
                <w:szCs w:val="20"/>
              </w:rPr>
              <w:t>31.1 - 34.2</w:t>
            </w:r>
          </w:p>
        </w:tc>
        <w:tc>
          <w:tcPr>
            <w:tcW w:w="2268" w:type="dxa"/>
            <w:tcBorders>
              <w:top w:val="nil"/>
              <w:left w:val="nil"/>
              <w:bottom w:val="single" w:sz="4" w:space="0" w:color="auto"/>
              <w:right w:val="single" w:sz="4" w:space="0" w:color="auto"/>
            </w:tcBorders>
          </w:tcPr>
          <w:p w14:paraId="2EBC2266" w14:textId="77777777" w:rsidR="00632208" w:rsidRPr="0098635C" w:rsidRDefault="00632208" w:rsidP="00A432B0">
            <w:pPr>
              <w:spacing w:after="0"/>
              <w:rPr>
                <w:color w:val="000000" w:themeColor="text1"/>
                <w:sz w:val="20"/>
                <w:szCs w:val="20"/>
              </w:rPr>
            </w:pPr>
            <w:r w:rsidRPr="0098635C">
              <w:rPr>
                <w:color w:val="000000" w:themeColor="text1"/>
                <w:sz w:val="20"/>
                <w:szCs w:val="20"/>
              </w:rPr>
              <w:t>natural seawater, + 0.81 mg DOC/L, added as humic acids</w:t>
            </w:r>
          </w:p>
        </w:tc>
        <w:tc>
          <w:tcPr>
            <w:tcW w:w="1985" w:type="dxa"/>
            <w:tcBorders>
              <w:top w:val="nil"/>
              <w:left w:val="nil"/>
              <w:bottom w:val="single" w:sz="4" w:space="0" w:color="auto"/>
              <w:right w:val="double" w:sz="6" w:space="0" w:color="auto"/>
            </w:tcBorders>
          </w:tcPr>
          <w:p w14:paraId="02806BD0"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Brooks, S. 2006 </w:t>
            </w:r>
          </w:p>
        </w:tc>
      </w:tr>
      <w:tr w:rsidR="00632208" w:rsidRPr="0098635C" w14:paraId="1EFEB25F" w14:textId="77777777" w:rsidTr="00A432B0">
        <w:trPr>
          <w:trHeight w:val="283"/>
        </w:trPr>
        <w:tc>
          <w:tcPr>
            <w:tcW w:w="2073" w:type="dxa"/>
            <w:tcBorders>
              <w:top w:val="nil"/>
              <w:left w:val="double" w:sz="6" w:space="0" w:color="auto"/>
              <w:bottom w:val="single" w:sz="4" w:space="0" w:color="auto"/>
              <w:right w:val="single" w:sz="4" w:space="0" w:color="auto"/>
            </w:tcBorders>
          </w:tcPr>
          <w:p w14:paraId="1A105E9C"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Crassostreas gigas</w:t>
            </w:r>
          </w:p>
        </w:tc>
        <w:tc>
          <w:tcPr>
            <w:tcW w:w="1559" w:type="dxa"/>
            <w:tcBorders>
              <w:top w:val="nil"/>
              <w:left w:val="nil"/>
              <w:bottom w:val="single" w:sz="4" w:space="0" w:color="auto"/>
              <w:right w:val="single" w:sz="4" w:space="0" w:color="auto"/>
            </w:tcBorders>
          </w:tcPr>
          <w:p w14:paraId="010A3CD9" w14:textId="77777777" w:rsidR="00632208" w:rsidRPr="0098635C" w:rsidRDefault="00632208" w:rsidP="00A432B0">
            <w:pPr>
              <w:spacing w:after="0"/>
              <w:rPr>
                <w:color w:val="000000" w:themeColor="text1"/>
                <w:sz w:val="20"/>
                <w:szCs w:val="20"/>
              </w:rPr>
            </w:pPr>
            <w:r w:rsidRPr="0098635C">
              <w:rPr>
                <w:color w:val="000000" w:themeColor="text1"/>
                <w:sz w:val="20"/>
                <w:szCs w:val="20"/>
              </w:rPr>
              <w:t>Embryo</w:t>
            </w:r>
          </w:p>
        </w:tc>
        <w:tc>
          <w:tcPr>
            <w:tcW w:w="992" w:type="dxa"/>
            <w:tcBorders>
              <w:top w:val="nil"/>
              <w:left w:val="nil"/>
              <w:bottom w:val="single" w:sz="4" w:space="0" w:color="auto"/>
              <w:right w:val="single" w:sz="4" w:space="0" w:color="auto"/>
            </w:tcBorders>
          </w:tcPr>
          <w:p w14:paraId="00CD10D3" w14:textId="77777777" w:rsidR="00632208" w:rsidRPr="0098635C" w:rsidRDefault="00632208" w:rsidP="00A432B0">
            <w:pPr>
              <w:spacing w:after="0"/>
              <w:rPr>
                <w:color w:val="000000" w:themeColor="text1"/>
                <w:sz w:val="20"/>
                <w:szCs w:val="20"/>
              </w:rPr>
            </w:pPr>
            <w:r w:rsidRPr="0098635C">
              <w:rPr>
                <w:color w:val="000000" w:themeColor="text1"/>
                <w:sz w:val="20"/>
                <w:szCs w:val="20"/>
              </w:rPr>
              <w:t>24 hour</w:t>
            </w:r>
          </w:p>
        </w:tc>
        <w:tc>
          <w:tcPr>
            <w:tcW w:w="1134" w:type="dxa"/>
            <w:tcBorders>
              <w:top w:val="nil"/>
              <w:left w:val="nil"/>
              <w:bottom w:val="single" w:sz="4" w:space="0" w:color="auto"/>
              <w:right w:val="single" w:sz="4" w:space="0" w:color="auto"/>
            </w:tcBorders>
          </w:tcPr>
          <w:p w14:paraId="560B26C6" w14:textId="77777777" w:rsidR="00632208" w:rsidRPr="0098635C" w:rsidRDefault="00632208" w:rsidP="00A432B0">
            <w:pPr>
              <w:spacing w:after="0"/>
              <w:rPr>
                <w:color w:val="000000" w:themeColor="text1"/>
                <w:sz w:val="20"/>
                <w:szCs w:val="20"/>
              </w:rPr>
            </w:pPr>
            <w:r w:rsidRPr="0098635C">
              <w:rPr>
                <w:color w:val="000000" w:themeColor="text1"/>
                <w:sz w:val="20"/>
                <w:szCs w:val="20"/>
              </w:rPr>
              <w:t>Development</w:t>
            </w:r>
          </w:p>
        </w:tc>
        <w:tc>
          <w:tcPr>
            <w:tcW w:w="851" w:type="dxa"/>
            <w:tcBorders>
              <w:top w:val="nil"/>
              <w:left w:val="nil"/>
              <w:bottom w:val="single" w:sz="4" w:space="0" w:color="auto"/>
              <w:right w:val="single" w:sz="4" w:space="0" w:color="auto"/>
            </w:tcBorders>
          </w:tcPr>
          <w:p w14:paraId="04DB6125" w14:textId="77777777" w:rsidR="00632208" w:rsidRPr="0098635C" w:rsidRDefault="00632208" w:rsidP="00A432B0">
            <w:pPr>
              <w:spacing w:after="0"/>
              <w:rPr>
                <w:color w:val="000000" w:themeColor="text1"/>
                <w:sz w:val="20"/>
                <w:szCs w:val="20"/>
              </w:rPr>
            </w:pPr>
            <w:r w:rsidRPr="0098635C">
              <w:rPr>
                <w:color w:val="000000" w:themeColor="text1"/>
                <w:sz w:val="20"/>
                <w:szCs w:val="20"/>
              </w:rPr>
              <w:t>12.83</w:t>
            </w:r>
          </w:p>
        </w:tc>
        <w:tc>
          <w:tcPr>
            <w:tcW w:w="1275" w:type="dxa"/>
            <w:tcBorders>
              <w:top w:val="nil"/>
              <w:left w:val="nil"/>
              <w:bottom w:val="single" w:sz="4" w:space="0" w:color="auto"/>
              <w:right w:val="single" w:sz="4" w:space="0" w:color="auto"/>
            </w:tcBorders>
          </w:tcPr>
          <w:p w14:paraId="6F2A802F" w14:textId="77777777" w:rsidR="00632208" w:rsidRPr="0098635C" w:rsidRDefault="00632208" w:rsidP="00A432B0">
            <w:pPr>
              <w:spacing w:after="0"/>
              <w:rPr>
                <w:color w:val="000000" w:themeColor="text1"/>
                <w:sz w:val="20"/>
                <w:szCs w:val="20"/>
              </w:rPr>
            </w:pPr>
            <w:r w:rsidRPr="0098635C">
              <w:rPr>
                <w:color w:val="000000" w:themeColor="text1"/>
                <w:sz w:val="20"/>
                <w:szCs w:val="20"/>
              </w:rPr>
              <w:t>Flowthrough</w:t>
            </w:r>
          </w:p>
        </w:tc>
        <w:tc>
          <w:tcPr>
            <w:tcW w:w="851" w:type="dxa"/>
            <w:tcBorders>
              <w:top w:val="nil"/>
              <w:left w:val="nil"/>
              <w:bottom w:val="single" w:sz="4" w:space="0" w:color="auto"/>
              <w:right w:val="single" w:sz="4" w:space="0" w:color="auto"/>
            </w:tcBorders>
          </w:tcPr>
          <w:p w14:paraId="4C8490AC" w14:textId="77777777" w:rsidR="00632208" w:rsidRPr="0098635C" w:rsidRDefault="00632208" w:rsidP="00A432B0">
            <w:pPr>
              <w:spacing w:after="0"/>
              <w:rPr>
                <w:color w:val="000000" w:themeColor="text1"/>
                <w:sz w:val="20"/>
                <w:szCs w:val="20"/>
              </w:rPr>
            </w:pPr>
            <w:r w:rsidRPr="0098635C">
              <w:rPr>
                <w:color w:val="000000" w:themeColor="text1"/>
                <w:sz w:val="20"/>
                <w:szCs w:val="20"/>
              </w:rPr>
              <w:t>3.0m</w:t>
            </w:r>
          </w:p>
        </w:tc>
        <w:tc>
          <w:tcPr>
            <w:tcW w:w="850" w:type="dxa"/>
            <w:tcBorders>
              <w:top w:val="nil"/>
              <w:left w:val="nil"/>
              <w:bottom w:val="single" w:sz="4" w:space="0" w:color="auto"/>
              <w:right w:val="single" w:sz="4" w:space="0" w:color="auto"/>
            </w:tcBorders>
          </w:tcPr>
          <w:p w14:paraId="14AEEB3B" w14:textId="77777777" w:rsidR="00632208" w:rsidRPr="0098635C" w:rsidRDefault="00632208" w:rsidP="00A432B0">
            <w:pPr>
              <w:spacing w:after="0"/>
              <w:rPr>
                <w:color w:val="000000" w:themeColor="text1"/>
                <w:sz w:val="20"/>
                <w:szCs w:val="20"/>
              </w:rPr>
            </w:pPr>
            <w:r w:rsidRPr="0098635C">
              <w:rPr>
                <w:color w:val="000000" w:themeColor="text1"/>
                <w:sz w:val="20"/>
                <w:szCs w:val="20"/>
              </w:rPr>
              <w:t>3.36m</w:t>
            </w:r>
          </w:p>
        </w:tc>
        <w:tc>
          <w:tcPr>
            <w:tcW w:w="1276" w:type="dxa"/>
            <w:tcBorders>
              <w:top w:val="nil"/>
              <w:left w:val="nil"/>
              <w:bottom w:val="single" w:sz="4" w:space="0" w:color="auto"/>
              <w:right w:val="single" w:sz="4" w:space="0" w:color="auto"/>
            </w:tcBorders>
          </w:tcPr>
          <w:p w14:paraId="1582FA9F" w14:textId="77777777" w:rsidR="00632208" w:rsidRPr="0098635C" w:rsidRDefault="00632208" w:rsidP="00A432B0">
            <w:pPr>
              <w:spacing w:after="0"/>
              <w:rPr>
                <w:color w:val="000000" w:themeColor="text1"/>
                <w:sz w:val="20"/>
                <w:szCs w:val="20"/>
              </w:rPr>
            </w:pPr>
            <w:r w:rsidRPr="0098635C">
              <w:rPr>
                <w:color w:val="000000" w:themeColor="text1"/>
                <w:sz w:val="20"/>
                <w:szCs w:val="20"/>
              </w:rPr>
              <w:t>31.1 - 34.2</w:t>
            </w:r>
          </w:p>
        </w:tc>
        <w:tc>
          <w:tcPr>
            <w:tcW w:w="2268" w:type="dxa"/>
            <w:tcBorders>
              <w:top w:val="nil"/>
              <w:left w:val="nil"/>
              <w:bottom w:val="single" w:sz="4" w:space="0" w:color="auto"/>
              <w:right w:val="single" w:sz="4" w:space="0" w:color="auto"/>
            </w:tcBorders>
          </w:tcPr>
          <w:p w14:paraId="5CD5647A" w14:textId="77777777" w:rsidR="00632208" w:rsidRPr="0098635C" w:rsidRDefault="00632208" w:rsidP="00A432B0">
            <w:pPr>
              <w:spacing w:after="0"/>
              <w:rPr>
                <w:color w:val="000000" w:themeColor="text1"/>
                <w:sz w:val="20"/>
                <w:szCs w:val="20"/>
              </w:rPr>
            </w:pPr>
            <w:r w:rsidRPr="0098635C">
              <w:rPr>
                <w:color w:val="000000" w:themeColor="text1"/>
                <w:sz w:val="20"/>
                <w:szCs w:val="20"/>
              </w:rPr>
              <w:t>natural seawater+ 1.02 mg DOC/L, added as humic acids</w:t>
            </w:r>
          </w:p>
        </w:tc>
        <w:tc>
          <w:tcPr>
            <w:tcW w:w="1985" w:type="dxa"/>
            <w:tcBorders>
              <w:top w:val="nil"/>
              <w:left w:val="nil"/>
              <w:bottom w:val="single" w:sz="4" w:space="0" w:color="auto"/>
              <w:right w:val="double" w:sz="6" w:space="0" w:color="auto"/>
            </w:tcBorders>
          </w:tcPr>
          <w:p w14:paraId="017C7770"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Brooks, S. 2006 </w:t>
            </w:r>
          </w:p>
        </w:tc>
      </w:tr>
      <w:tr w:rsidR="00632208" w:rsidRPr="0098635C" w14:paraId="4FACCF30" w14:textId="77777777" w:rsidTr="00A432B0">
        <w:trPr>
          <w:trHeight w:val="349"/>
        </w:trPr>
        <w:tc>
          <w:tcPr>
            <w:tcW w:w="2073" w:type="dxa"/>
            <w:tcBorders>
              <w:top w:val="nil"/>
              <w:left w:val="double" w:sz="6" w:space="0" w:color="auto"/>
              <w:bottom w:val="single" w:sz="4" w:space="0" w:color="auto"/>
              <w:right w:val="single" w:sz="4" w:space="0" w:color="auto"/>
            </w:tcBorders>
          </w:tcPr>
          <w:p w14:paraId="2C0DA036"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Crassostreas gigas</w:t>
            </w:r>
          </w:p>
        </w:tc>
        <w:tc>
          <w:tcPr>
            <w:tcW w:w="1559" w:type="dxa"/>
            <w:tcBorders>
              <w:top w:val="nil"/>
              <w:left w:val="nil"/>
              <w:bottom w:val="single" w:sz="4" w:space="0" w:color="auto"/>
              <w:right w:val="single" w:sz="4" w:space="0" w:color="auto"/>
            </w:tcBorders>
          </w:tcPr>
          <w:p w14:paraId="21C7F15A" w14:textId="77777777" w:rsidR="00632208" w:rsidRPr="0098635C" w:rsidRDefault="00632208" w:rsidP="00A432B0">
            <w:pPr>
              <w:spacing w:after="0"/>
              <w:rPr>
                <w:color w:val="000000" w:themeColor="text1"/>
                <w:sz w:val="20"/>
                <w:szCs w:val="20"/>
              </w:rPr>
            </w:pPr>
            <w:r w:rsidRPr="0098635C">
              <w:rPr>
                <w:color w:val="000000" w:themeColor="text1"/>
                <w:sz w:val="20"/>
                <w:szCs w:val="20"/>
              </w:rPr>
              <w:t>Embryo</w:t>
            </w:r>
          </w:p>
        </w:tc>
        <w:tc>
          <w:tcPr>
            <w:tcW w:w="992" w:type="dxa"/>
            <w:tcBorders>
              <w:top w:val="nil"/>
              <w:left w:val="nil"/>
              <w:bottom w:val="single" w:sz="4" w:space="0" w:color="auto"/>
              <w:right w:val="single" w:sz="4" w:space="0" w:color="auto"/>
            </w:tcBorders>
          </w:tcPr>
          <w:p w14:paraId="0E82CE98" w14:textId="77777777" w:rsidR="00632208" w:rsidRPr="0098635C" w:rsidRDefault="00632208" w:rsidP="00A432B0">
            <w:pPr>
              <w:spacing w:after="0"/>
              <w:rPr>
                <w:color w:val="000000" w:themeColor="text1"/>
                <w:sz w:val="20"/>
                <w:szCs w:val="20"/>
              </w:rPr>
            </w:pPr>
            <w:r w:rsidRPr="0098635C">
              <w:rPr>
                <w:color w:val="000000" w:themeColor="text1"/>
                <w:sz w:val="20"/>
                <w:szCs w:val="20"/>
              </w:rPr>
              <w:t>24 hour</w:t>
            </w:r>
          </w:p>
        </w:tc>
        <w:tc>
          <w:tcPr>
            <w:tcW w:w="1134" w:type="dxa"/>
            <w:tcBorders>
              <w:top w:val="nil"/>
              <w:left w:val="nil"/>
              <w:bottom w:val="single" w:sz="4" w:space="0" w:color="auto"/>
              <w:right w:val="single" w:sz="4" w:space="0" w:color="auto"/>
            </w:tcBorders>
          </w:tcPr>
          <w:p w14:paraId="4B3C6496" w14:textId="77777777" w:rsidR="00632208" w:rsidRPr="0098635C" w:rsidRDefault="00632208" w:rsidP="00A432B0">
            <w:pPr>
              <w:spacing w:after="0"/>
              <w:rPr>
                <w:color w:val="000000" w:themeColor="text1"/>
                <w:sz w:val="20"/>
                <w:szCs w:val="20"/>
              </w:rPr>
            </w:pPr>
            <w:r w:rsidRPr="0098635C">
              <w:rPr>
                <w:color w:val="000000" w:themeColor="text1"/>
                <w:sz w:val="20"/>
                <w:szCs w:val="20"/>
              </w:rPr>
              <w:t>Development</w:t>
            </w:r>
          </w:p>
        </w:tc>
        <w:tc>
          <w:tcPr>
            <w:tcW w:w="851" w:type="dxa"/>
            <w:tcBorders>
              <w:top w:val="nil"/>
              <w:left w:val="nil"/>
              <w:bottom w:val="single" w:sz="4" w:space="0" w:color="auto"/>
              <w:right w:val="single" w:sz="4" w:space="0" w:color="auto"/>
            </w:tcBorders>
          </w:tcPr>
          <w:p w14:paraId="66EBBBFF" w14:textId="77777777" w:rsidR="00632208" w:rsidRPr="0098635C" w:rsidRDefault="00632208" w:rsidP="00A432B0">
            <w:pPr>
              <w:spacing w:after="0"/>
              <w:rPr>
                <w:color w:val="000000" w:themeColor="text1"/>
                <w:sz w:val="20"/>
                <w:szCs w:val="20"/>
              </w:rPr>
            </w:pPr>
            <w:r w:rsidRPr="0098635C">
              <w:rPr>
                <w:color w:val="000000" w:themeColor="text1"/>
                <w:sz w:val="20"/>
                <w:szCs w:val="20"/>
              </w:rPr>
              <w:t>19.53</w:t>
            </w:r>
          </w:p>
        </w:tc>
        <w:tc>
          <w:tcPr>
            <w:tcW w:w="1275" w:type="dxa"/>
            <w:tcBorders>
              <w:top w:val="nil"/>
              <w:left w:val="nil"/>
              <w:bottom w:val="single" w:sz="4" w:space="0" w:color="auto"/>
              <w:right w:val="single" w:sz="4" w:space="0" w:color="auto"/>
            </w:tcBorders>
          </w:tcPr>
          <w:p w14:paraId="7C982490" w14:textId="77777777" w:rsidR="00632208" w:rsidRPr="0098635C" w:rsidRDefault="00632208" w:rsidP="00A432B0">
            <w:pPr>
              <w:spacing w:after="0"/>
              <w:rPr>
                <w:color w:val="000000" w:themeColor="text1"/>
                <w:sz w:val="20"/>
                <w:szCs w:val="20"/>
              </w:rPr>
            </w:pPr>
            <w:r w:rsidRPr="0098635C">
              <w:rPr>
                <w:color w:val="000000" w:themeColor="text1"/>
                <w:sz w:val="20"/>
                <w:szCs w:val="20"/>
              </w:rPr>
              <w:t>Flowthrough</w:t>
            </w:r>
          </w:p>
        </w:tc>
        <w:tc>
          <w:tcPr>
            <w:tcW w:w="851" w:type="dxa"/>
            <w:tcBorders>
              <w:top w:val="nil"/>
              <w:left w:val="nil"/>
              <w:bottom w:val="single" w:sz="4" w:space="0" w:color="auto"/>
              <w:right w:val="single" w:sz="4" w:space="0" w:color="auto"/>
            </w:tcBorders>
          </w:tcPr>
          <w:p w14:paraId="73BF9CF9" w14:textId="77777777" w:rsidR="00632208" w:rsidRPr="0098635C" w:rsidRDefault="00632208" w:rsidP="00A432B0">
            <w:pPr>
              <w:spacing w:after="0"/>
              <w:rPr>
                <w:color w:val="000000" w:themeColor="text1"/>
                <w:sz w:val="20"/>
                <w:szCs w:val="20"/>
              </w:rPr>
            </w:pPr>
            <w:r w:rsidRPr="0098635C">
              <w:rPr>
                <w:color w:val="000000" w:themeColor="text1"/>
                <w:sz w:val="20"/>
                <w:szCs w:val="20"/>
              </w:rPr>
              <w:t>3.6m</w:t>
            </w:r>
          </w:p>
        </w:tc>
        <w:tc>
          <w:tcPr>
            <w:tcW w:w="850" w:type="dxa"/>
            <w:tcBorders>
              <w:top w:val="nil"/>
              <w:left w:val="nil"/>
              <w:bottom w:val="single" w:sz="4" w:space="0" w:color="auto"/>
              <w:right w:val="single" w:sz="4" w:space="0" w:color="auto"/>
            </w:tcBorders>
          </w:tcPr>
          <w:p w14:paraId="18F5F59E" w14:textId="77777777" w:rsidR="00632208" w:rsidRPr="0098635C" w:rsidRDefault="00632208" w:rsidP="00A432B0">
            <w:pPr>
              <w:spacing w:after="0"/>
              <w:rPr>
                <w:color w:val="000000" w:themeColor="text1"/>
                <w:sz w:val="20"/>
                <w:szCs w:val="20"/>
              </w:rPr>
            </w:pPr>
            <w:r w:rsidRPr="0098635C">
              <w:rPr>
                <w:color w:val="000000" w:themeColor="text1"/>
                <w:sz w:val="20"/>
                <w:szCs w:val="20"/>
              </w:rPr>
              <w:t>3.88m</w:t>
            </w:r>
          </w:p>
        </w:tc>
        <w:tc>
          <w:tcPr>
            <w:tcW w:w="1276" w:type="dxa"/>
            <w:tcBorders>
              <w:top w:val="nil"/>
              <w:left w:val="nil"/>
              <w:bottom w:val="single" w:sz="4" w:space="0" w:color="auto"/>
              <w:right w:val="single" w:sz="4" w:space="0" w:color="auto"/>
            </w:tcBorders>
          </w:tcPr>
          <w:p w14:paraId="2EDC7D4D" w14:textId="77777777" w:rsidR="00632208" w:rsidRPr="0098635C" w:rsidRDefault="00632208" w:rsidP="00A432B0">
            <w:pPr>
              <w:spacing w:after="0"/>
              <w:rPr>
                <w:color w:val="000000" w:themeColor="text1"/>
                <w:sz w:val="20"/>
                <w:szCs w:val="20"/>
              </w:rPr>
            </w:pPr>
            <w:r w:rsidRPr="0098635C">
              <w:rPr>
                <w:color w:val="000000" w:themeColor="text1"/>
                <w:sz w:val="20"/>
                <w:szCs w:val="20"/>
              </w:rPr>
              <w:t>31.1 - 34.2</w:t>
            </w:r>
          </w:p>
        </w:tc>
        <w:tc>
          <w:tcPr>
            <w:tcW w:w="2268" w:type="dxa"/>
            <w:tcBorders>
              <w:top w:val="nil"/>
              <w:left w:val="nil"/>
              <w:bottom w:val="single" w:sz="4" w:space="0" w:color="auto"/>
              <w:right w:val="single" w:sz="4" w:space="0" w:color="auto"/>
            </w:tcBorders>
          </w:tcPr>
          <w:p w14:paraId="5BBFB0B6" w14:textId="77777777" w:rsidR="00632208" w:rsidRPr="0098635C" w:rsidRDefault="00632208" w:rsidP="00A432B0">
            <w:pPr>
              <w:spacing w:after="0"/>
              <w:rPr>
                <w:color w:val="000000" w:themeColor="text1"/>
                <w:sz w:val="20"/>
                <w:szCs w:val="20"/>
              </w:rPr>
            </w:pPr>
            <w:r w:rsidRPr="0098635C">
              <w:rPr>
                <w:color w:val="000000" w:themeColor="text1"/>
                <w:sz w:val="20"/>
                <w:szCs w:val="20"/>
              </w:rPr>
              <w:t>natural seawater, + 1.85 mg DOC/L, added as humic acids</w:t>
            </w:r>
          </w:p>
        </w:tc>
        <w:tc>
          <w:tcPr>
            <w:tcW w:w="1985" w:type="dxa"/>
            <w:tcBorders>
              <w:top w:val="nil"/>
              <w:left w:val="nil"/>
              <w:bottom w:val="single" w:sz="4" w:space="0" w:color="auto"/>
              <w:right w:val="double" w:sz="6" w:space="0" w:color="auto"/>
            </w:tcBorders>
          </w:tcPr>
          <w:p w14:paraId="63EB29BB"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Brooks, S. 2006 </w:t>
            </w:r>
          </w:p>
        </w:tc>
      </w:tr>
      <w:tr w:rsidR="00632208" w:rsidRPr="0098635C" w14:paraId="47A399E7" w14:textId="77777777" w:rsidTr="00A432B0">
        <w:trPr>
          <w:trHeight w:val="147"/>
        </w:trPr>
        <w:tc>
          <w:tcPr>
            <w:tcW w:w="2073" w:type="dxa"/>
            <w:tcBorders>
              <w:top w:val="nil"/>
              <w:left w:val="double" w:sz="6" w:space="0" w:color="auto"/>
              <w:bottom w:val="single" w:sz="4" w:space="0" w:color="auto"/>
              <w:right w:val="single" w:sz="4" w:space="0" w:color="auto"/>
            </w:tcBorders>
          </w:tcPr>
          <w:p w14:paraId="33953FA0"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Crassostreas gigas</w:t>
            </w:r>
          </w:p>
        </w:tc>
        <w:tc>
          <w:tcPr>
            <w:tcW w:w="1559" w:type="dxa"/>
            <w:tcBorders>
              <w:top w:val="nil"/>
              <w:left w:val="nil"/>
              <w:bottom w:val="single" w:sz="4" w:space="0" w:color="auto"/>
              <w:right w:val="single" w:sz="4" w:space="0" w:color="auto"/>
            </w:tcBorders>
          </w:tcPr>
          <w:p w14:paraId="7FB6B922" w14:textId="77777777" w:rsidR="00632208" w:rsidRPr="0098635C" w:rsidRDefault="00632208" w:rsidP="00A432B0">
            <w:pPr>
              <w:spacing w:after="0"/>
              <w:rPr>
                <w:color w:val="000000" w:themeColor="text1"/>
                <w:sz w:val="20"/>
                <w:szCs w:val="20"/>
              </w:rPr>
            </w:pPr>
            <w:r w:rsidRPr="0098635C">
              <w:rPr>
                <w:color w:val="000000" w:themeColor="text1"/>
                <w:sz w:val="20"/>
                <w:szCs w:val="20"/>
              </w:rPr>
              <w:t>Embryo</w:t>
            </w:r>
          </w:p>
        </w:tc>
        <w:tc>
          <w:tcPr>
            <w:tcW w:w="992" w:type="dxa"/>
            <w:tcBorders>
              <w:top w:val="nil"/>
              <w:left w:val="nil"/>
              <w:bottom w:val="single" w:sz="4" w:space="0" w:color="auto"/>
              <w:right w:val="single" w:sz="4" w:space="0" w:color="auto"/>
            </w:tcBorders>
          </w:tcPr>
          <w:p w14:paraId="1FE94FA7" w14:textId="77777777" w:rsidR="00632208" w:rsidRPr="0098635C" w:rsidRDefault="00632208" w:rsidP="00A432B0">
            <w:pPr>
              <w:spacing w:after="0"/>
              <w:rPr>
                <w:color w:val="000000" w:themeColor="text1"/>
                <w:sz w:val="20"/>
                <w:szCs w:val="20"/>
              </w:rPr>
            </w:pPr>
            <w:r w:rsidRPr="0098635C">
              <w:rPr>
                <w:color w:val="000000" w:themeColor="text1"/>
                <w:sz w:val="20"/>
                <w:szCs w:val="20"/>
              </w:rPr>
              <w:t>24 hour</w:t>
            </w:r>
          </w:p>
        </w:tc>
        <w:tc>
          <w:tcPr>
            <w:tcW w:w="1134" w:type="dxa"/>
            <w:tcBorders>
              <w:top w:val="nil"/>
              <w:left w:val="nil"/>
              <w:bottom w:val="single" w:sz="4" w:space="0" w:color="auto"/>
              <w:right w:val="single" w:sz="4" w:space="0" w:color="auto"/>
            </w:tcBorders>
          </w:tcPr>
          <w:p w14:paraId="54A18EB6" w14:textId="77777777" w:rsidR="00632208" w:rsidRPr="0098635C" w:rsidRDefault="00632208" w:rsidP="00A432B0">
            <w:pPr>
              <w:spacing w:after="0"/>
              <w:rPr>
                <w:color w:val="000000" w:themeColor="text1"/>
                <w:sz w:val="20"/>
                <w:szCs w:val="20"/>
              </w:rPr>
            </w:pPr>
            <w:r w:rsidRPr="0098635C">
              <w:rPr>
                <w:color w:val="000000" w:themeColor="text1"/>
                <w:sz w:val="20"/>
                <w:szCs w:val="20"/>
              </w:rPr>
              <w:t>Development</w:t>
            </w:r>
          </w:p>
        </w:tc>
        <w:tc>
          <w:tcPr>
            <w:tcW w:w="851" w:type="dxa"/>
            <w:tcBorders>
              <w:top w:val="nil"/>
              <w:left w:val="nil"/>
              <w:bottom w:val="single" w:sz="4" w:space="0" w:color="auto"/>
              <w:right w:val="single" w:sz="4" w:space="0" w:color="auto"/>
            </w:tcBorders>
          </w:tcPr>
          <w:p w14:paraId="54ECBC2D" w14:textId="77777777" w:rsidR="00632208" w:rsidRPr="0098635C" w:rsidRDefault="00632208" w:rsidP="00A432B0">
            <w:pPr>
              <w:spacing w:after="0"/>
              <w:rPr>
                <w:color w:val="000000" w:themeColor="text1"/>
                <w:sz w:val="20"/>
                <w:szCs w:val="20"/>
              </w:rPr>
            </w:pPr>
            <w:r w:rsidRPr="0098635C">
              <w:rPr>
                <w:color w:val="000000" w:themeColor="text1"/>
                <w:sz w:val="20"/>
                <w:szCs w:val="20"/>
              </w:rPr>
              <w:t>28.19</w:t>
            </w:r>
          </w:p>
        </w:tc>
        <w:tc>
          <w:tcPr>
            <w:tcW w:w="1275" w:type="dxa"/>
            <w:tcBorders>
              <w:top w:val="nil"/>
              <w:left w:val="nil"/>
              <w:bottom w:val="single" w:sz="4" w:space="0" w:color="auto"/>
              <w:right w:val="single" w:sz="4" w:space="0" w:color="auto"/>
            </w:tcBorders>
          </w:tcPr>
          <w:p w14:paraId="18FBDEF2" w14:textId="77777777" w:rsidR="00632208" w:rsidRPr="0098635C" w:rsidRDefault="00632208" w:rsidP="00A432B0">
            <w:pPr>
              <w:spacing w:after="0"/>
              <w:rPr>
                <w:color w:val="000000" w:themeColor="text1"/>
                <w:sz w:val="20"/>
                <w:szCs w:val="20"/>
              </w:rPr>
            </w:pPr>
            <w:r w:rsidRPr="0098635C">
              <w:rPr>
                <w:color w:val="000000" w:themeColor="text1"/>
                <w:sz w:val="20"/>
                <w:szCs w:val="20"/>
              </w:rPr>
              <w:t>Flowthrough</w:t>
            </w:r>
          </w:p>
        </w:tc>
        <w:tc>
          <w:tcPr>
            <w:tcW w:w="851" w:type="dxa"/>
            <w:tcBorders>
              <w:top w:val="nil"/>
              <w:left w:val="nil"/>
              <w:bottom w:val="single" w:sz="4" w:space="0" w:color="auto"/>
              <w:right w:val="single" w:sz="4" w:space="0" w:color="auto"/>
            </w:tcBorders>
          </w:tcPr>
          <w:p w14:paraId="11A4A02A" w14:textId="77777777" w:rsidR="00632208" w:rsidRPr="0098635C" w:rsidRDefault="00632208" w:rsidP="00A432B0">
            <w:pPr>
              <w:spacing w:after="0"/>
              <w:rPr>
                <w:color w:val="000000" w:themeColor="text1"/>
                <w:sz w:val="20"/>
                <w:szCs w:val="20"/>
              </w:rPr>
            </w:pPr>
            <w:r w:rsidRPr="0098635C">
              <w:rPr>
                <w:color w:val="000000" w:themeColor="text1"/>
                <w:sz w:val="20"/>
                <w:szCs w:val="20"/>
              </w:rPr>
              <w:t>1.1m</w:t>
            </w:r>
          </w:p>
        </w:tc>
        <w:tc>
          <w:tcPr>
            <w:tcW w:w="850" w:type="dxa"/>
            <w:tcBorders>
              <w:top w:val="nil"/>
              <w:left w:val="nil"/>
              <w:bottom w:val="single" w:sz="4" w:space="0" w:color="auto"/>
              <w:right w:val="single" w:sz="4" w:space="0" w:color="auto"/>
            </w:tcBorders>
          </w:tcPr>
          <w:p w14:paraId="73A13236" w14:textId="77777777" w:rsidR="00632208" w:rsidRPr="0098635C" w:rsidRDefault="00632208" w:rsidP="00A432B0">
            <w:pPr>
              <w:spacing w:after="0"/>
              <w:rPr>
                <w:color w:val="000000" w:themeColor="text1"/>
                <w:sz w:val="20"/>
                <w:szCs w:val="20"/>
              </w:rPr>
            </w:pPr>
            <w:r w:rsidRPr="0098635C">
              <w:rPr>
                <w:color w:val="000000" w:themeColor="text1"/>
                <w:sz w:val="20"/>
                <w:szCs w:val="20"/>
              </w:rPr>
              <w:t>4.66m</w:t>
            </w:r>
          </w:p>
        </w:tc>
        <w:tc>
          <w:tcPr>
            <w:tcW w:w="1276" w:type="dxa"/>
            <w:tcBorders>
              <w:top w:val="nil"/>
              <w:left w:val="nil"/>
              <w:bottom w:val="single" w:sz="4" w:space="0" w:color="auto"/>
              <w:right w:val="single" w:sz="4" w:space="0" w:color="auto"/>
            </w:tcBorders>
          </w:tcPr>
          <w:p w14:paraId="0A104259" w14:textId="77777777" w:rsidR="00632208" w:rsidRPr="0098635C" w:rsidRDefault="00632208" w:rsidP="00A432B0">
            <w:pPr>
              <w:spacing w:after="0"/>
              <w:rPr>
                <w:color w:val="000000" w:themeColor="text1"/>
                <w:sz w:val="20"/>
                <w:szCs w:val="20"/>
              </w:rPr>
            </w:pPr>
            <w:r w:rsidRPr="0098635C">
              <w:rPr>
                <w:color w:val="000000" w:themeColor="text1"/>
                <w:sz w:val="20"/>
                <w:szCs w:val="20"/>
              </w:rPr>
              <w:t>31.1 - 34.2</w:t>
            </w:r>
          </w:p>
        </w:tc>
        <w:tc>
          <w:tcPr>
            <w:tcW w:w="2268" w:type="dxa"/>
            <w:tcBorders>
              <w:top w:val="nil"/>
              <w:left w:val="nil"/>
              <w:bottom w:val="single" w:sz="4" w:space="0" w:color="auto"/>
              <w:right w:val="single" w:sz="4" w:space="0" w:color="auto"/>
            </w:tcBorders>
          </w:tcPr>
          <w:p w14:paraId="2CCE0635" w14:textId="77777777" w:rsidR="00632208" w:rsidRPr="0098635C" w:rsidRDefault="00632208" w:rsidP="00A432B0">
            <w:pPr>
              <w:spacing w:after="0"/>
              <w:rPr>
                <w:color w:val="000000" w:themeColor="text1"/>
                <w:sz w:val="20"/>
                <w:szCs w:val="20"/>
              </w:rPr>
            </w:pPr>
            <w:r w:rsidRPr="0098635C">
              <w:rPr>
                <w:color w:val="000000" w:themeColor="text1"/>
                <w:sz w:val="20"/>
                <w:szCs w:val="20"/>
              </w:rPr>
              <w:t>natural seawater; + 2.77 mg DOC/L, added as humic acids</w:t>
            </w:r>
          </w:p>
        </w:tc>
        <w:tc>
          <w:tcPr>
            <w:tcW w:w="1985" w:type="dxa"/>
            <w:tcBorders>
              <w:top w:val="nil"/>
              <w:left w:val="nil"/>
              <w:bottom w:val="single" w:sz="4" w:space="0" w:color="auto"/>
              <w:right w:val="double" w:sz="6" w:space="0" w:color="auto"/>
            </w:tcBorders>
          </w:tcPr>
          <w:p w14:paraId="76D0E9BB"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Brooks, S. 2006 </w:t>
            </w:r>
          </w:p>
        </w:tc>
      </w:tr>
      <w:tr w:rsidR="00632208" w:rsidRPr="0098635C" w14:paraId="3874F9B3" w14:textId="77777777" w:rsidTr="00A432B0">
        <w:trPr>
          <w:trHeight w:val="74"/>
        </w:trPr>
        <w:tc>
          <w:tcPr>
            <w:tcW w:w="2073" w:type="dxa"/>
            <w:tcBorders>
              <w:top w:val="nil"/>
              <w:left w:val="double" w:sz="6" w:space="0" w:color="auto"/>
              <w:bottom w:val="single" w:sz="4" w:space="0" w:color="auto"/>
              <w:right w:val="single" w:sz="4" w:space="0" w:color="auto"/>
            </w:tcBorders>
          </w:tcPr>
          <w:p w14:paraId="6A540D34"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lastRenderedPageBreak/>
              <w:t>Crassostreas gigas</w:t>
            </w:r>
          </w:p>
        </w:tc>
        <w:tc>
          <w:tcPr>
            <w:tcW w:w="1559" w:type="dxa"/>
            <w:tcBorders>
              <w:top w:val="nil"/>
              <w:left w:val="nil"/>
              <w:bottom w:val="single" w:sz="4" w:space="0" w:color="auto"/>
              <w:right w:val="single" w:sz="4" w:space="0" w:color="auto"/>
            </w:tcBorders>
          </w:tcPr>
          <w:p w14:paraId="358B7F60" w14:textId="77777777" w:rsidR="00632208" w:rsidRPr="0098635C" w:rsidRDefault="00632208" w:rsidP="00A432B0">
            <w:pPr>
              <w:spacing w:after="0"/>
              <w:rPr>
                <w:color w:val="000000" w:themeColor="text1"/>
                <w:sz w:val="20"/>
                <w:szCs w:val="20"/>
              </w:rPr>
            </w:pPr>
            <w:r w:rsidRPr="0098635C">
              <w:rPr>
                <w:color w:val="000000" w:themeColor="text1"/>
                <w:sz w:val="20"/>
                <w:szCs w:val="20"/>
              </w:rPr>
              <w:t>Embryo</w:t>
            </w:r>
          </w:p>
        </w:tc>
        <w:tc>
          <w:tcPr>
            <w:tcW w:w="992" w:type="dxa"/>
            <w:tcBorders>
              <w:top w:val="nil"/>
              <w:left w:val="nil"/>
              <w:bottom w:val="single" w:sz="4" w:space="0" w:color="auto"/>
              <w:right w:val="single" w:sz="4" w:space="0" w:color="auto"/>
            </w:tcBorders>
          </w:tcPr>
          <w:p w14:paraId="43A2468A" w14:textId="77777777" w:rsidR="00632208" w:rsidRPr="0098635C" w:rsidRDefault="00632208" w:rsidP="00A432B0">
            <w:pPr>
              <w:spacing w:after="0"/>
              <w:rPr>
                <w:color w:val="000000" w:themeColor="text1"/>
                <w:sz w:val="20"/>
                <w:szCs w:val="20"/>
              </w:rPr>
            </w:pPr>
            <w:r w:rsidRPr="0098635C">
              <w:rPr>
                <w:color w:val="000000" w:themeColor="text1"/>
                <w:sz w:val="20"/>
                <w:szCs w:val="20"/>
              </w:rPr>
              <w:t>24 hour</w:t>
            </w:r>
          </w:p>
        </w:tc>
        <w:tc>
          <w:tcPr>
            <w:tcW w:w="1134" w:type="dxa"/>
            <w:tcBorders>
              <w:top w:val="nil"/>
              <w:left w:val="nil"/>
              <w:bottom w:val="single" w:sz="4" w:space="0" w:color="auto"/>
              <w:right w:val="single" w:sz="4" w:space="0" w:color="auto"/>
            </w:tcBorders>
          </w:tcPr>
          <w:p w14:paraId="4378EC9B" w14:textId="77777777" w:rsidR="00632208" w:rsidRPr="0098635C" w:rsidRDefault="00632208" w:rsidP="00A432B0">
            <w:pPr>
              <w:spacing w:after="0"/>
              <w:rPr>
                <w:color w:val="000000" w:themeColor="text1"/>
                <w:sz w:val="20"/>
                <w:szCs w:val="20"/>
              </w:rPr>
            </w:pPr>
            <w:r w:rsidRPr="0098635C">
              <w:rPr>
                <w:color w:val="000000" w:themeColor="text1"/>
                <w:sz w:val="20"/>
                <w:szCs w:val="20"/>
              </w:rPr>
              <w:t>Development</w:t>
            </w:r>
          </w:p>
        </w:tc>
        <w:tc>
          <w:tcPr>
            <w:tcW w:w="851" w:type="dxa"/>
            <w:tcBorders>
              <w:top w:val="nil"/>
              <w:left w:val="nil"/>
              <w:bottom w:val="single" w:sz="4" w:space="0" w:color="auto"/>
              <w:right w:val="single" w:sz="4" w:space="0" w:color="auto"/>
            </w:tcBorders>
          </w:tcPr>
          <w:p w14:paraId="1119D34C" w14:textId="77777777" w:rsidR="00632208" w:rsidRPr="0098635C" w:rsidRDefault="00632208" w:rsidP="00A432B0">
            <w:pPr>
              <w:spacing w:after="0"/>
              <w:rPr>
                <w:color w:val="000000" w:themeColor="text1"/>
                <w:sz w:val="20"/>
                <w:szCs w:val="20"/>
              </w:rPr>
            </w:pPr>
            <w:r w:rsidRPr="0098635C">
              <w:rPr>
                <w:color w:val="000000" w:themeColor="text1"/>
                <w:sz w:val="20"/>
                <w:szCs w:val="20"/>
              </w:rPr>
              <w:t>47.13</w:t>
            </w:r>
          </w:p>
        </w:tc>
        <w:tc>
          <w:tcPr>
            <w:tcW w:w="1275" w:type="dxa"/>
            <w:tcBorders>
              <w:top w:val="nil"/>
              <w:left w:val="nil"/>
              <w:bottom w:val="single" w:sz="4" w:space="0" w:color="auto"/>
              <w:right w:val="single" w:sz="4" w:space="0" w:color="auto"/>
            </w:tcBorders>
          </w:tcPr>
          <w:p w14:paraId="26CBCE0C" w14:textId="77777777" w:rsidR="00632208" w:rsidRPr="0098635C" w:rsidRDefault="00632208" w:rsidP="00A432B0">
            <w:pPr>
              <w:spacing w:after="0"/>
              <w:rPr>
                <w:color w:val="000000" w:themeColor="text1"/>
                <w:sz w:val="20"/>
                <w:szCs w:val="20"/>
              </w:rPr>
            </w:pPr>
            <w:r w:rsidRPr="0098635C">
              <w:rPr>
                <w:color w:val="000000" w:themeColor="text1"/>
                <w:sz w:val="20"/>
                <w:szCs w:val="20"/>
              </w:rPr>
              <w:t>Flowthrough</w:t>
            </w:r>
          </w:p>
        </w:tc>
        <w:tc>
          <w:tcPr>
            <w:tcW w:w="851" w:type="dxa"/>
            <w:tcBorders>
              <w:top w:val="nil"/>
              <w:left w:val="nil"/>
              <w:bottom w:val="single" w:sz="4" w:space="0" w:color="auto"/>
              <w:right w:val="single" w:sz="4" w:space="0" w:color="auto"/>
            </w:tcBorders>
          </w:tcPr>
          <w:p w14:paraId="73AC681D" w14:textId="77777777" w:rsidR="00632208" w:rsidRPr="0098635C" w:rsidRDefault="00632208" w:rsidP="00A432B0">
            <w:pPr>
              <w:spacing w:after="0"/>
              <w:rPr>
                <w:color w:val="000000" w:themeColor="text1"/>
                <w:sz w:val="20"/>
                <w:szCs w:val="20"/>
              </w:rPr>
            </w:pPr>
            <w:r w:rsidRPr="0098635C">
              <w:rPr>
                <w:color w:val="000000" w:themeColor="text1"/>
                <w:sz w:val="20"/>
                <w:szCs w:val="20"/>
              </w:rPr>
              <w:t>3.2m</w:t>
            </w:r>
          </w:p>
        </w:tc>
        <w:tc>
          <w:tcPr>
            <w:tcW w:w="850" w:type="dxa"/>
            <w:tcBorders>
              <w:top w:val="nil"/>
              <w:left w:val="nil"/>
              <w:bottom w:val="single" w:sz="4" w:space="0" w:color="auto"/>
              <w:right w:val="single" w:sz="4" w:space="0" w:color="auto"/>
            </w:tcBorders>
          </w:tcPr>
          <w:p w14:paraId="382324DC" w14:textId="77777777" w:rsidR="00632208" w:rsidRPr="0098635C" w:rsidRDefault="00632208" w:rsidP="00A432B0">
            <w:pPr>
              <w:spacing w:after="0"/>
              <w:rPr>
                <w:color w:val="000000" w:themeColor="text1"/>
                <w:sz w:val="20"/>
                <w:szCs w:val="20"/>
              </w:rPr>
            </w:pPr>
            <w:r w:rsidRPr="0098635C">
              <w:rPr>
                <w:color w:val="000000" w:themeColor="text1"/>
                <w:sz w:val="20"/>
                <w:szCs w:val="20"/>
              </w:rPr>
              <w:t>5.19m</w:t>
            </w:r>
          </w:p>
        </w:tc>
        <w:tc>
          <w:tcPr>
            <w:tcW w:w="1276" w:type="dxa"/>
            <w:tcBorders>
              <w:top w:val="nil"/>
              <w:left w:val="nil"/>
              <w:bottom w:val="single" w:sz="4" w:space="0" w:color="auto"/>
              <w:right w:val="single" w:sz="4" w:space="0" w:color="auto"/>
            </w:tcBorders>
          </w:tcPr>
          <w:p w14:paraId="3749DD5F" w14:textId="77777777" w:rsidR="00632208" w:rsidRPr="0098635C" w:rsidRDefault="00632208" w:rsidP="00A432B0">
            <w:pPr>
              <w:spacing w:after="0"/>
              <w:rPr>
                <w:color w:val="000000" w:themeColor="text1"/>
                <w:sz w:val="20"/>
                <w:szCs w:val="20"/>
              </w:rPr>
            </w:pPr>
            <w:r w:rsidRPr="0098635C">
              <w:rPr>
                <w:color w:val="000000" w:themeColor="text1"/>
                <w:sz w:val="20"/>
                <w:szCs w:val="20"/>
              </w:rPr>
              <w:t>31.1 - 34.2</w:t>
            </w:r>
          </w:p>
        </w:tc>
        <w:tc>
          <w:tcPr>
            <w:tcW w:w="2268" w:type="dxa"/>
            <w:tcBorders>
              <w:top w:val="nil"/>
              <w:left w:val="nil"/>
              <w:bottom w:val="single" w:sz="4" w:space="0" w:color="auto"/>
              <w:right w:val="single" w:sz="4" w:space="0" w:color="auto"/>
            </w:tcBorders>
          </w:tcPr>
          <w:p w14:paraId="27BE49FF" w14:textId="77777777" w:rsidR="00632208" w:rsidRPr="0098635C" w:rsidRDefault="00632208" w:rsidP="00A432B0">
            <w:pPr>
              <w:spacing w:after="0"/>
              <w:rPr>
                <w:color w:val="000000" w:themeColor="text1"/>
                <w:sz w:val="20"/>
                <w:szCs w:val="20"/>
              </w:rPr>
            </w:pPr>
            <w:r w:rsidRPr="0098635C">
              <w:rPr>
                <w:color w:val="000000" w:themeColor="text1"/>
                <w:sz w:val="20"/>
                <w:szCs w:val="20"/>
              </w:rPr>
              <w:t>natural seawater,+ 3.13 mg DOC/L, added as humic acids</w:t>
            </w:r>
          </w:p>
        </w:tc>
        <w:tc>
          <w:tcPr>
            <w:tcW w:w="1985" w:type="dxa"/>
            <w:tcBorders>
              <w:top w:val="nil"/>
              <w:left w:val="nil"/>
              <w:bottom w:val="single" w:sz="4" w:space="0" w:color="auto"/>
              <w:right w:val="double" w:sz="6" w:space="0" w:color="auto"/>
            </w:tcBorders>
          </w:tcPr>
          <w:p w14:paraId="4A29963A"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Brooks, S. 2006 </w:t>
            </w:r>
          </w:p>
        </w:tc>
      </w:tr>
      <w:tr w:rsidR="00632208" w:rsidRPr="0098635C" w14:paraId="5220A0AE" w14:textId="77777777" w:rsidTr="00A432B0">
        <w:trPr>
          <w:trHeight w:val="74"/>
        </w:trPr>
        <w:tc>
          <w:tcPr>
            <w:tcW w:w="2073" w:type="dxa"/>
            <w:tcBorders>
              <w:top w:val="nil"/>
              <w:left w:val="double" w:sz="6" w:space="0" w:color="auto"/>
              <w:bottom w:val="single" w:sz="4" w:space="0" w:color="auto"/>
              <w:right w:val="single" w:sz="4" w:space="0" w:color="auto"/>
            </w:tcBorders>
          </w:tcPr>
          <w:p w14:paraId="7A9C1E91"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Placopecten magellanicus</w:t>
            </w:r>
          </w:p>
        </w:tc>
        <w:tc>
          <w:tcPr>
            <w:tcW w:w="1559" w:type="dxa"/>
            <w:tcBorders>
              <w:top w:val="nil"/>
              <w:left w:val="nil"/>
              <w:bottom w:val="single" w:sz="4" w:space="0" w:color="auto"/>
              <w:right w:val="single" w:sz="4" w:space="0" w:color="auto"/>
            </w:tcBorders>
          </w:tcPr>
          <w:p w14:paraId="524D9903" w14:textId="77777777" w:rsidR="00632208" w:rsidRPr="0098635C" w:rsidRDefault="00632208" w:rsidP="00A432B0">
            <w:pPr>
              <w:spacing w:after="0"/>
              <w:rPr>
                <w:color w:val="000000" w:themeColor="text1"/>
                <w:sz w:val="20"/>
                <w:szCs w:val="20"/>
              </w:rPr>
            </w:pPr>
            <w:r w:rsidRPr="0098635C">
              <w:rPr>
                <w:color w:val="000000" w:themeColor="text1"/>
                <w:sz w:val="20"/>
                <w:szCs w:val="20"/>
              </w:rPr>
              <w:t>Adult</w:t>
            </w:r>
          </w:p>
        </w:tc>
        <w:tc>
          <w:tcPr>
            <w:tcW w:w="992" w:type="dxa"/>
            <w:tcBorders>
              <w:top w:val="nil"/>
              <w:left w:val="nil"/>
              <w:bottom w:val="single" w:sz="4" w:space="0" w:color="auto"/>
              <w:right w:val="single" w:sz="4" w:space="0" w:color="auto"/>
            </w:tcBorders>
          </w:tcPr>
          <w:p w14:paraId="05F3D725" w14:textId="77777777" w:rsidR="00632208" w:rsidRPr="0098635C" w:rsidRDefault="00632208" w:rsidP="00A432B0">
            <w:pPr>
              <w:spacing w:after="0"/>
              <w:rPr>
                <w:color w:val="000000" w:themeColor="text1"/>
                <w:sz w:val="20"/>
                <w:szCs w:val="20"/>
              </w:rPr>
            </w:pPr>
            <w:r w:rsidRPr="0098635C">
              <w:rPr>
                <w:color w:val="000000" w:themeColor="text1"/>
                <w:sz w:val="20"/>
                <w:szCs w:val="20"/>
              </w:rPr>
              <w:t>8 weeks</w:t>
            </w:r>
          </w:p>
        </w:tc>
        <w:tc>
          <w:tcPr>
            <w:tcW w:w="1134" w:type="dxa"/>
            <w:tcBorders>
              <w:top w:val="nil"/>
              <w:left w:val="nil"/>
              <w:bottom w:val="single" w:sz="4" w:space="0" w:color="auto"/>
              <w:right w:val="single" w:sz="4" w:space="0" w:color="auto"/>
            </w:tcBorders>
          </w:tcPr>
          <w:p w14:paraId="76914BC1" w14:textId="77777777" w:rsidR="00632208" w:rsidRPr="0098635C" w:rsidRDefault="00632208" w:rsidP="00A432B0">
            <w:pPr>
              <w:spacing w:after="0"/>
              <w:rPr>
                <w:color w:val="000000" w:themeColor="text1"/>
                <w:sz w:val="20"/>
                <w:szCs w:val="20"/>
              </w:rPr>
            </w:pPr>
            <w:r w:rsidRPr="0098635C">
              <w:rPr>
                <w:color w:val="000000" w:themeColor="text1"/>
                <w:sz w:val="20"/>
                <w:szCs w:val="20"/>
              </w:rPr>
              <w:t>gonad development</w:t>
            </w:r>
          </w:p>
        </w:tc>
        <w:tc>
          <w:tcPr>
            <w:tcW w:w="851" w:type="dxa"/>
            <w:tcBorders>
              <w:top w:val="nil"/>
              <w:left w:val="nil"/>
              <w:bottom w:val="single" w:sz="4" w:space="0" w:color="auto"/>
              <w:right w:val="single" w:sz="4" w:space="0" w:color="auto"/>
            </w:tcBorders>
          </w:tcPr>
          <w:p w14:paraId="3F14167C" w14:textId="77777777" w:rsidR="00632208" w:rsidRPr="0098635C" w:rsidRDefault="00632208" w:rsidP="00A432B0">
            <w:pPr>
              <w:spacing w:after="0"/>
              <w:rPr>
                <w:color w:val="000000" w:themeColor="text1"/>
                <w:sz w:val="20"/>
                <w:szCs w:val="20"/>
              </w:rPr>
            </w:pPr>
            <w:r w:rsidRPr="0098635C">
              <w:rPr>
                <w:color w:val="000000" w:themeColor="text1"/>
                <w:sz w:val="20"/>
                <w:szCs w:val="20"/>
              </w:rPr>
              <w:t>10.0</w:t>
            </w:r>
          </w:p>
        </w:tc>
        <w:tc>
          <w:tcPr>
            <w:tcW w:w="1275" w:type="dxa"/>
            <w:tcBorders>
              <w:top w:val="nil"/>
              <w:left w:val="nil"/>
              <w:bottom w:val="single" w:sz="4" w:space="0" w:color="auto"/>
              <w:right w:val="single" w:sz="4" w:space="0" w:color="auto"/>
            </w:tcBorders>
          </w:tcPr>
          <w:p w14:paraId="00AF7821" w14:textId="77777777" w:rsidR="00632208" w:rsidRPr="0098635C" w:rsidRDefault="00632208" w:rsidP="00A432B0">
            <w:pPr>
              <w:spacing w:after="0"/>
              <w:rPr>
                <w:color w:val="000000" w:themeColor="text1"/>
                <w:sz w:val="20"/>
                <w:szCs w:val="20"/>
              </w:rPr>
            </w:pPr>
            <w:r w:rsidRPr="0098635C">
              <w:rPr>
                <w:color w:val="000000" w:themeColor="text1"/>
                <w:sz w:val="20"/>
                <w:szCs w:val="20"/>
              </w:rPr>
              <w:t>Flowthrough</w:t>
            </w:r>
          </w:p>
        </w:tc>
        <w:tc>
          <w:tcPr>
            <w:tcW w:w="851" w:type="dxa"/>
            <w:tcBorders>
              <w:top w:val="nil"/>
              <w:left w:val="nil"/>
              <w:bottom w:val="single" w:sz="4" w:space="0" w:color="auto"/>
              <w:right w:val="single" w:sz="4" w:space="0" w:color="auto"/>
            </w:tcBorders>
          </w:tcPr>
          <w:p w14:paraId="66A03EBC" w14:textId="77777777" w:rsidR="00632208" w:rsidRPr="0098635C" w:rsidRDefault="00632208" w:rsidP="00A432B0">
            <w:pPr>
              <w:spacing w:after="0"/>
              <w:rPr>
                <w:color w:val="000000" w:themeColor="text1"/>
                <w:sz w:val="20"/>
                <w:szCs w:val="20"/>
              </w:rPr>
            </w:pPr>
            <w:r w:rsidRPr="0098635C">
              <w:rPr>
                <w:color w:val="000000" w:themeColor="text1"/>
                <w:sz w:val="20"/>
                <w:szCs w:val="20"/>
              </w:rPr>
              <w:t>2.5-3.4m</w:t>
            </w:r>
          </w:p>
        </w:tc>
        <w:tc>
          <w:tcPr>
            <w:tcW w:w="850" w:type="dxa"/>
            <w:tcBorders>
              <w:top w:val="nil"/>
              <w:left w:val="nil"/>
              <w:bottom w:val="single" w:sz="4" w:space="0" w:color="auto"/>
              <w:right w:val="single" w:sz="4" w:space="0" w:color="auto"/>
            </w:tcBorders>
          </w:tcPr>
          <w:p w14:paraId="2C93ADB5" w14:textId="77777777" w:rsidR="00632208" w:rsidRPr="0098635C" w:rsidRDefault="00632208" w:rsidP="00A432B0">
            <w:pPr>
              <w:spacing w:after="0"/>
              <w:rPr>
                <w:color w:val="000000" w:themeColor="text1"/>
                <w:sz w:val="20"/>
                <w:szCs w:val="20"/>
              </w:rPr>
            </w:pPr>
            <w:r w:rsidRPr="0098635C">
              <w:rPr>
                <w:color w:val="000000" w:themeColor="text1"/>
                <w:sz w:val="20"/>
                <w:szCs w:val="20"/>
              </w:rPr>
              <w:t>2.0e</w:t>
            </w:r>
          </w:p>
        </w:tc>
        <w:tc>
          <w:tcPr>
            <w:tcW w:w="1276" w:type="dxa"/>
            <w:tcBorders>
              <w:top w:val="nil"/>
              <w:left w:val="nil"/>
              <w:bottom w:val="single" w:sz="4" w:space="0" w:color="auto"/>
              <w:right w:val="single" w:sz="4" w:space="0" w:color="auto"/>
            </w:tcBorders>
          </w:tcPr>
          <w:p w14:paraId="387BBDEA" w14:textId="77777777" w:rsidR="00632208" w:rsidRPr="0098635C" w:rsidRDefault="00632208" w:rsidP="00A432B0">
            <w:pPr>
              <w:spacing w:after="0"/>
              <w:rPr>
                <w:color w:val="000000" w:themeColor="text1"/>
                <w:sz w:val="20"/>
                <w:szCs w:val="20"/>
              </w:rPr>
            </w:pPr>
            <w:r w:rsidRPr="0098635C">
              <w:rPr>
                <w:color w:val="000000" w:themeColor="text1"/>
                <w:sz w:val="20"/>
                <w:szCs w:val="20"/>
              </w:rPr>
              <w:t>25</w:t>
            </w:r>
          </w:p>
        </w:tc>
        <w:tc>
          <w:tcPr>
            <w:tcW w:w="2268" w:type="dxa"/>
            <w:tcBorders>
              <w:top w:val="nil"/>
              <w:left w:val="nil"/>
              <w:bottom w:val="single" w:sz="4" w:space="0" w:color="auto"/>
              <w:right w:val="single" w:sz="4" w:space="0" w:color="auto"/>
            </w:tcBorders>
          </w:tcPr>
          <w:p w14:paraId="7E318695" w14:textId="77777777" w:rsidR="00632208" w:rsidRPr="0098635C" w:rsidRDefault="00632208" w:rsidP="00A432B0">
            <w:pPr>
              <w:spacing w:after="0"/>
              <w:rPr>
                <w:color w:val="000000" w:themeColor="text1"/>
                <w:sz w:val="20"/>
                <w:szCs w:val="20"/>
              </w:rPr>
            </w:pPr>
            <w:r w:rsidRPr="0098635C">
              <w:rPr>
                <w:color w:val="000000" w:themeColor="text1"/>
                <w:sz w:val="20"/>
                <w:szCs w:val="20"/>
              </w:rPr>
              <w:t>Natural seawater</w:t>
            </w:r>
          </w:p>
        </w:tc>
        <w:tc>
          <w:tcPr>
            <w:tcW w:w="1985" w:type="dxa"/>
            <w:tcBorders>
              <w:top w:val="nil"/>
              <w:left w:val="nil"/>
              <w:bottom w:val="single" w:sz="4" w:space="0" w:color="auto"/>
              <w:right w:val="double" w:sz="6" w:space="0" w:color="auto"/>
            </w:tcBorders>
          </w:tcPr>
          <w:p w14:paraId="4D04F465" w14:textId="77777777" w:rsidR="00632208" w:rsidRPr="0098635C" w:rsidRDefault="00632208" w:rsidP="00A432B0">
            <w:pPr>
              <w:spacing w:after="0"/>
              <w:rPr>
                <w:color w:val="000000" w:themeColor="text1"/>
                <w:sz w:val="20"/>
                <w:szCs w:val="20"/>
              </w:rPr>
            </w:pPr>
            <w:r w:rsidRPr="0098635C">
              <w:rPr>
                <w:color w:val="000000" w:themeColor="text1"/>
                <w:sz w:val="20"/>
                <w:szCs w:val="20"/>
              </w:rPr>
              <w:t>Gould, 1988</w:t>
            </w:r>
          </w:p>
        </w:tc>
      </w:tr>
      <w:tr w:rsidR="00632208" w:rsidRPr="0098635C" w14:paraId="03795867" w14:textId="77777777" w:rsidTr="00A432B0">
        <w:trPr>
          <w:trHeight w:val="98"/>
        </w:trPr>
        <w:tc>
          <w:tcPr>
            <w:tcW w:w="2073" w:type="dxa"/>
            <w:tcBorders>
              <w:top w:val="nil"/>
              <w:left w:val="double" w:sz="6" w:space="0" w:color="auto"/>
              <w:bottom w:val="single" w:sz="4" w:space="0" w:color="auto"/>
              <w:right w:val="single" w:sz="4" w:space="0" w:color="auto"/>
            </w:tcBorders>
          </w:tcPr>
          <w:p w14:paraId="48C112D2"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Eurytemora affinis</w:t>
            </w:r>
          </w:p>
        </w:tc>
        <w:tc>
          <w:tcPr>
            <w:tcW w:w="1559" w:type="dxa"/>
            <w:tcBorders>
              <w:top w:val="nil"/>
              <w:left w:val="nil"/>
              <w:bottom w:val="single" w:sz="4" w:space="0" w:color="auto"/>
              <w:right w:val="single" w:sz="4" w:space="0" w:color="auto"/>
            </w:tcBorders>
          </w:tcPr>
          <w:p w14:paraId="31FBD370" w14:textId="77777777" w:rsidR="00632208" w:rsidRPr="0098635C" w:rsidRDefault="00632208" w:rsidP="00A432B0">
            <w:pPr>
              <w:spacing w:after="0"/>
              <w:rPr>
                <w:color w:val="000000" w:themeColor="text1"/>
                <w:sz w:val="20"/>
                <w:szCs w:val="20"/>
              </w:rPr>
            </w:pPr>
            <w:r w:rsidRPr="0098635C">
              <w:rPr>
                <w:color w:val="000000" w:themeColor="text1"/>
                <w:sz w:val="20"/>
                <w:szCs w:val="20"/>
              </w:rPr>
              <w:t>&lt;24 hrs</w:t>
            </w:r>
          </w:p>
        </w:tc>
        <w:tc>
          <w:tcPr>
            <w:tcW w:w="992" w:type="dxa"/>
            <w:tcBorders>
              <w:top w:val="nil"/>
              <w:left w:val="nil"/>
              <w:bottom w:val="single" w:sz="4" w:space="0" w:color="auto"/>
              <w:right w:val="single" w:sz="4" w:space="0" w:color="auto"/>
            </w:tcBorders>
          </w:tcPr>
          <w:p w14:paraId="24EB3EAA" w14:textId="77777777" w:rsidR="00632208" w:rsidRPr="0098635C" w:rsidRDefault="00632208" w:rsidP="00A432B0">
            <w:pPr>
              <w:spacing w:after="0"/>
              <w:rPr>
                <w:color w:val="000000" w:themeColor="text1"/>
                <w:sz w:val="20"/>
                <w:szCs w:val="20"/>
              </w:rPr>
            </w:pPr>
            <w:r w:rsidRPr="0098635C">
              <w:rPr>
                <w:color w:val="000000" w:themeColor="text1"/>
                <w:sz w:val="20"/>
                <w:szCs w:val="20"/>
              </w:rPr>
              <w:t>8 days</w:t>
            </w:r>
          </w:p>
        </w:tc>
        <w:tc>
          <w:tcPr>
            <w:tcW w:w="1134" w:type="dxa"/>
            <w:tcBorders>
              <w:top w:val="nil"/>
              <w:left w:val="nil"/>
              <w:bottom w:val="single" w:sz="4" w:space="0" w:color="auto"/>
              <w:right w:val="single" w:sz="4" w:space="0" w:color="auto"/>
            </w:tcBorders>
          </w:tcPr>
          <w:p w14:paraId="6FCFC477" w14:textId="77777777" w:rsidR="00632208" w:rsidRPr="0098635C" w:rsidRDefault="00632208" w:rsidP="00A432B0">
            <w:pPr>
              <w:spacing w:after="0"/>
              <w:rPr>
                <w:color w:val="000000" w:themeColor="text1"/>
                <w:sz w:val="20"/>
                <w:szCs w:val="20"/>
              </w:rPr>
            </w:pPr>
            <w:r w:rsidRPr="0098635C">
              <w:rPr>
                <w:color w:val="000000" w:themeColor="text1"/>
                <w:sz w:val="20"/>
                <w:szCs w:val="20"/>
              </w:rPr>
              <w:t>Mortality, fecundity and maturation</w:t>
            </w:r>
          </w:p>
        </w:tc>
        <w:tc>
          <w:tcPr>
            <w:tcW w:w="851" w:type="dxa"/>
            <w:tcBorders>
              <w:top w:val="nil"/>
              <w:left w:val="nil"/>
              <w:bottom w:val="single" w:sz="4" w:space="0" w:color="auto"/>
              <w:right w:val="single" w:sz="4" w:space="0" w:color="auto"/>
            </w:tcBorders>
          </w:tcPr>
          <w:p w14:paraId="10B0F8BA" w14:textId="77777777" w:rsidR="00632208" w:rsidRPr="0098635C" w:rsidRDefault="00632208" w:rsidP="00A432B0">
            <w:pPr>
              <w:spacing w:after="0"/>
              <w:rPr>
                <w:color w:val="000000" w:themeColor="text1"/>
                <w:sz w:val="20"/>
                <w:szCs w:val="20"/>
              </w:rPr>
            </w:pPr>
            <w:r w:rsidRPr="0098635C">
              <w:rPr>
                <w:color w:val="000000" w:themeColor="text1"/>
                <w:sz w:val="20"/>
                <w:szCs w:val="20"/>
              </w:rPr>
              <w:t>51.1</w:t>
            </w:r>
          </w:p>
        </w:tc>
        <w:tc>
          <w:tcPr>
            <w:tcW w:w="1275" w:type="dxa"/>
            <w:tcBorders>
              <w:top w:val="nil"/>
              <w:left w:val="nil"/>
              <w:bottom w:val="single" w:sz="4" w:space="0" w:color="auto"/>
              <w:right w:val="single" w:sz="4" w:space="0" w:color="auto"/>
            </w:tcBorders>
          </w:tcPr>
          <w:p w14:paraId="7042B5D5" w14:textId="77777777" w:rsidR="00632208" w:rsidRPr="0098635C" w:rsidRDefault="00632208" w:rsidP="00A432B0">
            <w:pPr>
              <w:spacing w:after="0"/>
              <w:rPr>
                <w:color w:val="000000" w:themeColor="text1"/>
                <w:sz w:val="20"/>
                <w:szCs w:val="20"/>
              </w:rPr>
            </w:pPr>
            <w:r w:rsidRPr="0098635C">
              <w:rPr>
                <w:color w:val="000000" w:themeColor="text1"/>
                <w:sz w:val="20"/>
                <w:szCs w:val="20"/>
              </w:rPr>
              <w:t>Semi-static</w:t>
            </w:r>
          </w:p>
        </w:tc>
        <w:tc>
          <w:tcPr>
            <w:tcW w:w="851" w:type="dxa"/>
            <w:tcBorders>
              <w:top w:val="nil"/>
              <w:left w:val="nil"/>
              <w:bottom w:val="single" w:sz="4" w:space="0" w:color="auto"/>
              <w:right w:val="single" w:sz="4" w:space="0" w:color="auto"/>
            </w:tcBorders>
          </w:tcPr>
          <w:p w14:paraId="4A46AA68" w14:textId="77777777" w:rsidR="00632208" w:rsidRPr="0098635C" w:rsidRDefault="00632208" w:rsidP="00A432B0">
            <w:pPr>
              <w:spacing w:after="0"/>
              <w:rPr>
                <w:color w:val="000000" w:themeColor="text1"/>
                <w:sz w:val="20"/>
                <w:szCs w:val="20"/>
              </w:rPr>
            </w:pPr>
            <w:r w:rsidRPr="0098635C">
              <w:rPr>
                <w:color w:val="000000" w:themeColor="text1"/>
                <w:sz w:val="20"/>
                <w:szCs w:val="20"/>
              </w:rPr>
              <w:t>&lt;3m</w:t>
            </w:r>
          </w:p>
        </w:tc>
        <w:tc>
          <w:tcPr>
            <w:tcW w:w="850" w:type="dxa"/>
            <w:tcBorders>
              <w:top w:val="nil"/>
              <w:left w:val="nil"/>
              <w:bottom w:val="single" w:sz="4" w:space="0" w:color="auto"/>
              <w:right w:val="single" w:sz="4" w:space="0" w:color="auto"/>
            </w:tcBorders>
          </w:tcPr>
          <w:p w14:paraId="140445B4" w14:textId="77777777" w:rsidR="00632208" w:rsidRPr="0098635C" w:rsidRDefault="00632208" w:rsidP="00A432B0">
            <w:pPr>
              <w:spacing w:after="0"/>
              <w:rPr>
                <w:color w:val="000000" w:themeColor="text1"/>
                <w:sz w:val="20"/>
                <w:szCs w:val="20"/>
              </w:rPr>
            </w:pPr>
            <w:r w:rsidRPr="0098635C">
              <w:rPr>
                <w:color w:val="000000" w:themeColor="text1"/>
                <w:sz w:val="20"/>
                <w:szCs w:val="20"/>
              </w:rPr>
              <w:t>2.0e</w:t>
            </w:r>
          </w:p>
        </w:tc>
        <w:tc>
          <w:tcPr>
            <w:tcW w:w="1276" w:type="dxa"/>
            <w:tcBorders>
              <w:top w:val="nil"/>
              <w:left w:val="nil"/>
              <w:bottom w:val="single" w:sz="4" w:space="0" w:color="auto"/>
              <w:right w:val="single" w:sz="4" w:space="0" w:color="auto"/>
            </w:tcBorders>
          </w:tcPr>
          <w:p w14:paraId="02F2CFC7" w14:textId="77777777" w:rsidR="00632208" w:rsidRPr="0098635C" w:rsidRDefault="00632208" w:rsidP="00A432B0">
            <w:pPr>
              <w:spacing w:after="0"/>
              <w:rPr>
                <w:color w:val="000000" w:themeColor="text1"/>
                <w:sz w:val="20"/>
                <w:szCs w:val="20"/>
              </w:rPr>
            </w:pPr>
            <w:r w:rsidRPr="0098635C">
              <w:rPr>
                <w:color w:val="000000" w:themeColor="text1"/>
                <w:sz w:val="20"/>
                <w:szCs w:val="20"/>
              </w:rPr>
              <w:t>14 - 17</w:t>
            </w:r>
          </w:p>
        </w:tc>
        <w:tc>
          <w:tcPr>
            <w:tcW w:w="2268" w:type="dxa"/>
            <w:tcBorders>
              <w:top w:val="nil"/>
              <w:left w:val="nil"/>
              <w:bottom w:val="single" w:sz="4" w:space="0" w:color="auto"/>
              <w:right w:val="single" w:sz="4" w:space="0" w:color="auto"/>
            </w:tcBorders>
          </w:tcPr>
          <w:p w14:paraId="3819C06A" w14:textId="77777777" w:rsidR="00632208" w:rsidRPr="0098635C" w:rsidRDefault="00632208" w:rsidP="00A432B0">
            <w:pPr>
              <w:spacing w:after="0"/>
              <w:rPr>
                <w:color w:val="000000" w:themeColor="text1"/>
                <w:sz w:val="20"/>
                <w:szCs w:val="20"/>
              </w:rPr>
            </w:pPr>
            <w:r w:rsidRPr="0098635C">
              <w:rPr>
                <w:color w:val="000000" w:themeColor="text1"/>
                <w:sz w:val="20"/>
                <w:szCs w:val="20"/>
              </w:rPr>
              <w:t>natural estuarine water</w:t>
            </w:r>
          </w:p>
        </w:tc>
        <w:tc>
          <w:tcPr>
            <w:tcW w:w="1985" w:type="dxa"/>
            <w:tcBorders>
              <w:top w:val="nil"/>
              <w:left w:val="nil"/>
              <w:bottom w:val="single" w:sz="4" w:space="0" w:color="auto"/>
              <w:right w:val="double" w:sz="6" w:space="0" w:color="auto"/>
            </w:tcBorders>
          </w:tcPr>
          <w:p w14:paraId="4EF7620C"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Hall, L., 1997 </w:t>
            </w:r>
          </w:p>
        </w:tc>
      </w:tr>
      <w:tr w:rsidR="00632208" w:rsidRPr="0098635C" w14:paraId="24F539B1" w14:textId="77777777" w:rsidTr="00A432B0">
        <w:trPr>
          <w:trHeight w:val="74"/>
        </w:trPr>
        <w:tc>
          <w:tcPr>
            <w:tcW w:w="2073" w:type="dxa"/>
            <w:tcBorders>
              <w:top w:val="nil"/>
              <w:left w:val="double" w:sz="6" w:space="0" w:color="auto"/>
              <w:bottom w:val="single" w:sz="4" w:space="0" w:color="auto"/>
              <w:right w:val="single" w:sz="4" w:space="0" w:color="auto"/>
            </w:tcBorders>
          </w:tcPr>
          <w:p w14:paraId="61412C6D"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Paracentrotus lividus</w:t>
            </w:r>
          </w:p>
        </w:tc>
        <w:tc>
          <w:tcPr>
            <w:tcW w:w="1559" w:type="dxa"/>
            <w:tcBorders>
              <w:top w:val="nil"/>
              <w:left w:val="nil"/>
              <w:bottom w:val="single" w:sz="4" w:space="0" w:color="auto"/>
              <w:right w:val="single" w:sz="4" w:space="0" w:color="auto"/>
            </w:tcBorders>
          </w:tcPr>
          <w:p w14:paraId="1C52369A" w14:textId="77777777" w:rsidR="00632208" w:rsidRPr="0098635C" w:rsidRDefault="00632208" w:rsidP="00A432B0">
            <w:pPr>
              <w:spacing w:after="0"/>
              <w:rPr>
                <w:color w:val="000000" w:themeColor="text1"/>
                <w:sz w:val="20"/>
                <w:szCs w:val="20"/>
              </w:rPr>
            </w:pPr>
            <w:r w:rsidRPr="0098635C">
              <w:rPr>
                <w:color w:val="000000" w:themeColor="text1"/>
                <w:sz w:val="20"/>
                <w:szCs w:val="20"/>
              </w:rPr>
              <w:t>Embryo</w:t>
            </w:r>
          </w:p>
        </w:tc>
        <w:tc>
          <w:tcPr>
            <w:tcW w:w="992" w:type="dxa"/>
            <w:tcBorders>
              <w:top w:val="nil"/>
              <w:left w:val="nil"/>
              <w:bottom w:val="single" w:sz="4" w:space="0" w:color="auto"/>
              <w:right w:val="single" w:sz="4" w:space="0" w:color="auto"/>
            </w:tcBorders>
          </w:tcPr>
          <w:p w14:paraId="19058618" w14:textId="77777777" w:rsidR="00632208" w:rsidRPr="0098635C" w:rsidRDefault="00632208" w:rsidP="00A432B0">
            <w:pPr>
              <w:spacing w:after="0"/>
              <w:rPr>
                <w:color w:val="000000" w:themeColor="text1"/>
                <w:sz w:val="20"/>
                <w:szCs w:val="20"/>
              </w:rPr>
            </w:pPr>
            <w:r w:rsidRPr="0098635C">
              <w:rPr>
                <w:color w:val="000000" w:themeColor="text1"/>
                <w:sz w:val="20"/>
                <w:szCs w:val="20"/>
              </w:rPr>
              <w:t>48 hours</w:t>
            </w:r>
          </w:p>
        </w:tc>
        <w:tc>
          <w:tcPr>
            <w:tcW w:w="1134" w:type="dxa"/>
            <w:tcBorders>
              <w:top w:val="nil"/>
              <w:left w:val="nil"/>
              <w:bottom w:val="single" w:sz="4" w:space="0" w:color="auto"/>
              <w:right w:val="single" w:sz="4" w:space="0" w:color="auto"/>
            </w:tcBorders>
          </w:tcPr>
          <w:p w14:paraId="03F5F986" w14:textId="77777777" w:rsidR="00632208" w:rsidRPr="0098635C" w:rsidRDefault="00632208" w:rsidP="00A432B0">
            <w:pPr>
              <w:spacing w:after="0"/>
              <w:rPr>
                <w:color w:val="000000" w:themeColor="text1"/>
                <w:sz w:val="20"/>
                <w:szCs w:val="20"/>
              </w:rPr>
            </w:pPr>
            <w:r w:rsidRPr="0098635C">
              <w:rPr>
                <w:color w:val="000000" w:themeColor="text1"/>
                <w:sz w:val="20"/>
                <w:szCs w:val="20"/>
              </w:rPr>
              <w:t>Development</w:t>
            </w:r>
          </w:p>
        </w:tc>
        <w:tc>
          <w:tcPr>
            <w:tcW w:w="851" w:type="dxa"/>
            <w:tcBorders>
              <w:top w:val="nil"/>
              <w:left w:val="nil"/>
              <w:bottom w:val="single" w:sz="4" w:space="0" w:color="auto"/>
              <w:right w:val="single" w:sz="4" w:space="0" w:color="auto"/>
            </w:tcBorders>
          </w:tcPr>
          <w:p w14:paraId="0E724301" w14:textId="77777777" w:rsidR="00632208" w:rsidRPr="0098635C" w:rsidRDefault="00632208" w:rsidP="00A432B0">
            <w:pPr>
              <w:spacing w:after="0"/>
              <w:rPr>
                <w:color w:val="000000" w:themeColor="text1"/>
                <w:sz w:val="20"/>
                <w:szCs w:val="20"/>
              </w:rPr>
            </w:pPr>
            <w:r w:rsidRPr="0098635C">
              <w:rPr>
                <w:color w:val="000000" w:themeColor="text1"/>
                <w:sz w:val="20"/>
                <w:szCs w:val="20"/>
              </w:rPr>
              <w:t>8.8</w:t>
            </w:r>
          </w:p>
        </w:tc>
        <w:tc>
          <w:tcPr>
            <w:tcW w:w="1275" w:type="dxa"/>
            <w:tcBorders>
              <w:top w:val="nil"/>
              <w:left w:val="nil"/>
              <w:bottom w:val="single" w:sz="4" w:space="0" w:color="auto"/>
              <w:right w:val="single" w:sz="4" w:space="0" w:color="auto"/>
            </w:tcBorders>
          </w:tcPr>
          <w:p w14:paraId="50812F1D" w14:textId="77777777" w:rsidR="00632208" w:rsidRPr="0098635C" w:rsidRDefault="00632208" w:rsidP="00A432B0">
            <w:pPr>
              <w:spacing w:after="0"/>
              <w:rPr>
                <w:color w:val="000000" w:themeColor="text1"/>
                <w:sz w:val="20"/>
                <w:szCs w:val="20"/>
              </w:rPr>
            </w:pPr>
            <w:r w:rsidRPr="0098635C">
              <w:rPr>
                <w:color w:val="000000" w:themeColor="text1"/>
                <w:sz w:val="20"/>
                <w:szCs w:val="20"/>
              </w:rPr>
              <w:t>Static</w:t>
            </w:r>
          </w:p>
        </w:tc>
        <w:tc>
          <w:tcPr>
            <w:tcW w:w="851" w:type="dxa"/>
            <w:tcBorders>
              <w:top w:val="nil"/>
              <w:left w:val="nil"/>
              <w:bottom w:val="single" w:sz="4" w:space="0" w:color="auto"/>
              <w:right w:val="single" w:sz="4" w:space="0" w:color="auto"/>
            </w:tcBorders>
          </w:tcPr>
          <w:p w14:paraId="06F95CC1" w14:textId="77777777" w:rsidR="00632208" w:rsidRPr="0098635C" w:rsidRDefault="00632208" w:rsidP="00A432B0">
            <w:pPr>
              <w:spacing w:after="0"/>
              <w:rPr>
                <w:color w:val="000000" w:themeColor="text1"/>
                <w:sz w:val="20"/>
                <w:szCs w:val="20"/>
              </w:rPr>
            </w:pPr>
            <w:r w:rsidRPr="0098635C">
              <w:rPr>
                <w:color w:val="000000" w:themeColor="text1"/>
                <w:sz w:val="20"/>
                <w:szCs w:val="20"/>
              </w:rPr>
              <w:t>&lt;0.4m</w:t>
            </w:r>
          </w:p>
        </w:tc>
        <w:tc>
          <w:tcPr>
            <w:tcW w:w="850" w:type="dxa"/>
            <w:tcBorders>
              <w:top w:val="nil"/>
              <w:left w:val="nil"/>
              <w:bottom w:val="single" w:sz="4" w:space="0" w:color="auto"/>
              <w:right w:val="single" w:sz="4" w:space="0" w:color="auto"/>
            </w:tcBorders>
          </w:tcPr>
          <w:p w14:paraId="27681D33" w14:textId="77777777" w:rsidR="00632208" w:rsidRPr="0098635C" w:rsidRDefault="00632208" w:rsidP="00A432B0">
            <w:pPr>
              <w:spacing w:after="0"/>
              <w:rPr>
                <w:color w:val="000000" w:themeColor="text1"/>
                <w:sz w:val="20"/>
                <w:szCs w:val="20"/>
              </w:rPr>
            </w:pPr>
            <w:r w:rsidRPr="0098635C">
              <w:rPr>
                <w:color w:val="000000" w:themeColor="text1"/>
                <w:sz w:val="20"/>
                <w:szCs w:val="20"/>
              </w:rPr>
              <w:t>1.83m</w:t>
            </w:r>
          </w:p>
        </w:tc>
        <w:tc>
          <w:tcPr>
            <w:tcW w:w="1276" w:type="dxa"/>
            <w:tcBorders>
              <w:top w:val="nil"/>
              <w:left w:val="nil"/>
              <w:bottom w:val="single" w:sz="4" w:space="0" w:color="auto"/>
              <w:right w:val="single" w:sz="4" w:space="0" w:color="auto"/>
            </w:tcBorders>
          </w:tcPr>
          <w:p w14:paraId="6034F322" w14:textId="77777777" w:rsidR="00632208" w:rsidRPr="0098635C" w:rsidRDefault="00632208" w:rsidP="00A432B0">
            <w:pPr>
              <w:spacing w:after="0"/>
              <w:rPr>
                <w:color w:val="000000" w:themeColor="text1"/>
                <w:sz w:val="20"/>
                <w:szCs w:val="20"/>
              </w:rPr>
            </w:pPr>
            <w:r w:rsidRPr="0098635C">
              <w:rPr>
                <w:color w:val="000000" w:themeColor="text1"/>
                <w:sz w:val="20"/>
                <w:szCs w:val="20"/>
              </w:rPr>
              <w:t>34.4</w:t>
            </w:r>
          </w:p>
        </w:tc>
        <w:tc>
          <w:tcPr>
            <w:tcW w:w="2268" w:type="dxa"/>
            <w:tcBorders>
              <w:top w:val="nil"/>
              <w:left w:val="nil"/>
              <w:bottom w:val="single" w:sz="4" w:space="0" w:color="auto"/>
              <w:right w:val="single" w:sz="4" w:space="0" w:color="auto"/>
            </w:tcBorders>
          </w:tcPr>
          <w:p w14:paraId="6A6055BC" w14:textId="77777777" w:rsidR="00632208" w:rsidRPr="0098635C" w:rsidRDefault="00632208" w:rsidP="00A432B0">
            <w:pPr>
              <w:spacing w:after="0"/>
              <w:rPr>
                <w:color w:val="000000" w:themeColor="text1"/>
                <w:sz w:val="20"/>
                <w:szCs w:val="20"/>
              </w:rPr>
            </w:pPr>
            <w:r w:rsidRPr="0098635C">
              <w:rPr>
                <w:color w:val="000000" w:themeColor="text1"/>
                <w:sz w:val="20"/>
                <w:szCs w:val="20"/>
              </w:rPr>
              <w:t>natural seawater</w:t>
            </w:r>
          </w:p>
        </w:tc>
        <w:tc>
          <w:tcPr>
            <w:tcW w:w="1985" w:type="dxa"/>
            <w:tcBorders>
              <w:top w:val="nil"/>
              <w:left w:val="nil"/>
              <w:bottom w:val="single" w:sz="4" w:space="0" w:color="auto"/>
              <w:right w:val="double" w:sz="6" w:space="0" w:color="auto"/>
            </w:tcBorders>
          </w:tcPr>
          <w:p w14:paraId="0CC60D34"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Hurd, K. 2006a </w:t>
            </w:r>
          </w:p>
        </w:tc>
      </w:tr>
      <w:tr w:rsidR="00632208" w:rsidRPr="0098635C" w14:paraId="09B92503" w14:textId="77777777" w:rsidTr="00A432B0">
        <w:trPr>
          <w:trHeight w:val="74"/>
        </w:trPr>
        <w:tc>
          <w:tcPr>
            <w:tcW w:w="2073" w:type="dxa"/>
            <w:tcBorders>
              <w:top w:val="nil"/>
              <w:left w:val="double" w:sz="6" w:space="0" w:color="auto"/>
              <w:bottom w:val="single" w:sz="4" w:space="0" w:color="auto"/>
              <w:right w:val="single" w:sz="4" w:space="0" w:color="auto"/>
            </w:tcBorders>
          </w:tcPr>
          <w:p w14:paraId="6EB2FECF"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Mercenaria mercenaria</w:t>
            </w:r>
          </w:p>
        </w:tc>
        <w:tc>
          <w:tcPr>
            <w:tcW w:w="1559" w:type="dxa"/>
            <w:tcBorders>
              <w:top w:val="nil"/>
              <w:left w:val="nil"/>
              <w:bottom w:val="single" w:sz="4" w:space="0" w:color="auto"/>
              <w:right w:val="single" w:sz="4" w:space="0" w:color="auto"/>
            </w:tcBorders>
          </w:tcPr>
          <w:p w14:paraId="63E63E4A" w14:textId="77777777" w:rsidR="00632208" w:rsidRPr="0098635C" w:rsidRDefault="00632208" w:rsidP="00A432B0">
            <w:pPr>
              <w:spacing w:after="0"/>
              <w:rPr>
                <w:color w:val="000000" w:themeColor="text1"/>
                <w:sz w:val="20"/>
                <w:szCs w:val="20"/>
              </w:rPr>
            </w:pPr>
            <w:r w:rsidRPr="0098635C">
              <w:rPr>
                <w:color w:val="000000" w:themeColor="text1"/>
                <w:sz w:val="20"/>
                <w:szCs w:val="20"/>
              </w:rPr>
              <w:t>Larvae</w:t>
            </w:r>
          </w:p>
        </w:tc>
        <w:tc>
          <w:tcPr>
            <w:tcW w:w="992" w:type="dxa"/>
            <w:tcBorders>
              <w:top w:val="nil"/>
              <w:left w:val="nil"/>
              <w:bottom w:val="single" w:sz="4" w:space="0" w:color="auto"/>
              <w:right w:val="single" w:sz="4" w:space="0" w:color="auto"/>
            </w:tcBorders>
          </w:tcPr>
          <w:p w14:paraId="12F076BA" w14:textId="77777777" w:rsidR="00632208" w:rsidRPr="0098635C" w:rsidRDefault="00632208" w:rsidP="00A432B0">
            <w:pPr>
              <w:spacing w:after="0"/>
              <w:rPr>
                <w:color w:val="000000" w:themeColor="text1"/>
                <w:sz w:val="20"/>
                <w:szCs w:val="20"/>
              </w:rPr>
            </w:pPr>
            <w:r w:rsidRPr="0098635C">
              <w:rPr>
                <w:color w:val="000000" w:themeColor="text1"/>
                <w:sz w:val="20"/>
                <w:szCs w:val="20"/>
              </w:rPr>
              <w:t>96 hours</w:t>
            </w:r>
          </w:p>
        </w:tc>
        <w:tc>
          <w:tcPr>
            <w:tcW w:w="1134" w:type="dxa"/>
            <w:tcBorders>
              <w:top w:val="nil"/>
              <w:left w:val="nil"/>
              <w:bottom w:val="single" w:sz="4" w:space="0" w:color="auto"/>
              <w:right w:val="single" w:sz="4" w:space="0" w:color="auto"/>
            </w:tcBorders>
          </w:tcPr>
          <w:p w14:paraId="2E0768E1" w14:textId="77777777" w:rsidR="00632208" w:rsidRPr="0098635C" w:rsidRDefault="00632208" w:rsidP="00A432B0">
            <w:pPr>
              <w:spacing w:after="0"/>
              <w:rPr>
                <w:color w:val="000000" w:themeColor="text1"/>
                <w:sz w:val="20"/>
                <w:szCs w:val="20"/>
              </w:rPr>
            </w:pPr>
            <w:r w:rsidRPr="0098635C">
              <w:rPr>
                <w:color w:val="000000" w:themeColor="text1"/>
                <w:sz w:val="20"/>
                <w:szCs w:val="20"/>
              </w:rPr>
              <w:t>Development</w:t>
            </w:r>
          </w:p>
        </w:tc>
        <w:tc>
          <w:tcPr>
            <w:tcW w:w="851" w:type="dxa"/>
            <w:tcBorders>
              <w:top w:val="nil"/>
              <w:left w:val="nil"/>
              <w:bottom w:val="single" w:sz="4" w:space="0" w:color="auto"/>
              <w:right w:val="single" w:sz="4" w:space="0" w:color="auto"/>
            </w:tcBorders>
          </w:tcPr>
          <w:p w14:paraId="6D4F5920" w14:textId="77777777" w:rsidR="00632208" w:rsidRPr="0098635C" w:rsidRDefault="00632208" w:rsidP="00A432B0">
            <w:pPr>
              <w:spacing w:after="0"/>
              <w:rPr>
                <w:color w:val="000000" w:themeColor="text1"/>
                <w:sz w:val="20"/>
                <w:szCs w:val="20"/>
              </w:rPr>
            </w:pPr>
            <w:r w:rsidRPr="0098635C">
              <w:rPr>
                <w:color w:val="000000" w:themeColor="text1"/>
                <w:sz w:val="20"/>
                <w:szCs w:val="20"/>
              </w:rPr>
              <w:t>7.0</w:t>
            </w:r>
          </w:p>
        </w:tc>
        <w:tc>
          <w:tcPr>
            <w:tcW w:w="1275" w:type="dxa"/>
            <w:tcBorders>
              <w:top w:val="nil"/>
              <w:left w:val="nil"/>
              <w:bottom w:val="single" w:sz="4" w:space="0" w:color="auto"/>
              <w:right w:val="single" w:sz="4" w:space="0" w:color="auto"/>
            </w:tcBorders>
          </w:tcPr>
          <w:p w14:paraId="181B1537" w14:textId="77777777" w:rsidR="00632208" w:rsidRPr="0098635C" w:rsidRDefault="00632208" w:rsidP="00A432B0">
            <w:pPr>
              <w:spacing w:after="0"/>
              <w:rPr>
                <w:color w:val="000000" w:themeColor="text1"/>
                <w:sz w:val="20"/>
                <w:szCs w:val="20"/>
              </w:rPr>
            </w:pPr>
            <w:r w:rsidRPr="0098635C">
              <w:rPr>
                <w:color w:val="000000" w:themeColor="text1"/>
                <w:sz w:val="20"/>
                <w:szCs w:val="20"/>
              </w:rPr>
              <w:t>Static</w:t>
            </w:r>
          </w:p>
        </w:tc>
        <w:tc>
          <w:tcPr>
            <w:tcW w:w="851" w:type="dxa"/>
            <w:tcBorders>
              <w:top w:val="nil"/>
              <w:left w:val="nil"/>
              <w:bottom w:val="single" w:sz="4" w:space="0" w:color="auto"/>
              <w:right w:val="single" w:sz="4" w:space="0" w:color="auto"/>
            </w:tcBorders>
          </w:tcPr>
          <w:p w14:paraId="6209AABB" w14:textId="77777777" w:rsidR="00632208" w:rsidRPr="0098635C" w:rsidRDefault="00632208" w:rsidP="00A432B0">
            <w:pPr>
              <w:spacing w:after="0"/>
              <w:rPr>
                <w:color w:val="000000" w:themeColor="text1"/>
                <w:sz w:val="20"/>
                <w:szCs w:val="20"/>
              </w:rPr>
            </w:pPr>
            <w:r w:rsidRPr="0098635C">
              <w:rPr>
                <w:color w:val="000000" w:themeColor="text1"/>
                <w:sz w:val="20"/>
                <w:szCs w:val="20"/>
              </w:rPr>
              <w:t>1m</w:t>
            </w:r>
          </w:p>
        </w:tc>
        <w:tc>
          <w:tcPr>
            <w:tcW w:w="850" w:type="dxa"/>
            <w:tcBorders>
              <w:top w:val="nil"/>
              <w:left w:val="nil"/>
              <w:bottom w:val="single" w:sz="4" w:space="0" w:color="auto"/>
              <w:right w:val="single" w:sz="4" w:space="0" w:color="auto"/>
            </w:tcBorders>
          </w:tcPr>
          <w:p w14:paraId="27E7BA47" w14:textId="77777777" w:rsidR="00632208" w:rsidRPr="0098635C" w:rsidRDefault="00632208" w:rsidP="00A432B0">
            <w:pPr>
              <w:spacing w:after="0"/>
              <w:rPr>
                <w:color w:val="000000" w:themeColor="text1"/>
                <w:sz w:val="20"/>
                <w:szCs w:val="20"/>
              </w:rPr>
            </w:pPr>
            <w:r w:rsidRPr="0098635C">
              <w:rPr>
                <w:color w:val="000000" w:themeColor="text1"/>
                <w:sz w:val="20"/>
                <w:szCs w:val="20"/>
              </w:rPr>
              <w:t>0.5e</w:t>
            </w:r>
          </w:p>
        </w:tc>
        <w:tc>
          <w:tcPr>
            <w:tcW w:w="1276" w:type="dxa"/>
            <w:tcBorders>
              <w:top w:val="nil"/>
              <w:left w:val="nil"/>
              <w:bottom w:val="single" w:sz="4" w:space="0" w:color="auto"/>
              <w:right w:val="single" w:sz="4" w:space="0" w:color="auto"/>
            </w:tcBorders>
          </w:tcPr>
          <w:p w14:paraId="7FE1F04F" w14:textId="77777777" w:rsidR="00632208" w:rsidRPr="0098635C" w:rsidRDefault="00632208" w:rsidP="00A432B0">
            <w:pPr>
              <w:spacing w:after="0"/>
              <w:rPr>
                <w:color w:val="000000" w:themeColor="text1"/>
                <w:sz w:val="20"/>
                <w:szCs w:val="20"/>
              </w:rPr>
            </w:pPr>
            <w:r w:rsidRPr="0098635C">
              <w:rPr>
                <w:color w:val="000000" w:themeColor="text1"/>
                <w:sz w:val="20"/>
                <w:szCs w:val="20"/>
              </w:rPr>
              <w:t>26.5</w:t>
            </w:r>
          </w:p>
        </w:tc>
        <w:tc>
          <w:tcPr>
            <w:tcW w:w="2268" w:type="dxa"/>
            <w:tcBorders>
              <w:top w:val="nil"/>
              <w:left w:val="nil"/>
              <w:bottom w:val="single" w:sz="4" w:space="0" w:color="auto"/>
              <w:right w:val="single" w:sz="4" w:space="0" w:color="auto"/>
            </w:tcBorders>
          </w:tcPr>
          <w:p w14:paraId="19CD0196" w14:textId="77777777" w:rsidR="00632208" w:rsidRPr="0098635C" w:rsidRDefault="00632208" w:rsidP="00A432B0">
            <w:pPr>
              <w:spacing w:after="0"/>
              <w:rPr>
                <w:color w:val="000000" w:themeColor="text1"/>
                <w:sz w:val="20"/>
                <w:szCs w:val="20"/>
              </w:rPr>
            </w:pPr>
            <w:r w:rsidRPr="0098635C">
              <w:rPr>
                <w:color w:val="000000" w:themeColor="text1"/>
                <w:sz w:val="20"/>
                <w:szCs w:val="20"/>
              </w:rPr>
              <w:t>Artificial seawater</w:t>
            </w:r>
          </w:p>
        </w:tc>
        <w:tc>
          <w:tcPr>
            <w:tcW w:w="1985" w:type="dxa"/>
            <w:tcBorders>
              <w:top w:val="nil"/>
              <w:left w:val="nil"/>
              <w:bottom w:val="single" w:sz="4" w:space="0" w:color="auto"/>
              <w:right w:val="double" w:sz="6" w:space="0" w:color="auto"/>
            </w:tcBorders>
          </w:tcPr>
          <w:p w14:paraId="68C286C5" w14:textId="77777777" w:rsidR="00632208" w:rsidRPr="0098635C" w:rsidRDefault="00632208" w:rsidP="00A432B0">
            <w:pPr>
              <w:spacing w:after="0"/>
              <w:rPr>
                <w:color w:val="000000" w:themeColor="text1"/>
                <w:sz w:val="20"/>
                <w:szCs w:val="20"/>
              </w:rPr>
            </w:pPr>
            <w:r w:rsidRPr="0098635C">
              <w:rPr>
                <w:color w:val="000000" w:themeColor="text1"/>
                <w:sz w:val="20"/>
                <w:szCs w:val="20"/>
              </w:rPr>
              <w:t>LaBreche, 2002</w:t>
            </w:r>
          </w:p>
        </w:tc>
      </w:tr>
      <w:tr w:rsidR="00632208" w:rsidRPr="0098635C" w14:paraId="451E3159" w14:textId="77777777" w:rsidTr="00A432B0">
        <w:trPr>
          <w:trHeight w:val="74"/>
        </w:trPr>
        <w:tc>
          <w:tcPr>
            <w:tcW w:w="2073" w:type="dxa"/>
            <w:tcBorders>
              <w:top w:val="nil"/>
              <w:left w:val="double" w:sz="6" w:space="0" w:color="auto"/>
              <w:bottom w:val="single" w:sz="4" w:space="0" w:color="auto"/>
              <w:right w:val="single" w:sz="4" w:space="0" w:color="auto"/>
            </w:tcBorders>
          </w:tcPr>
          <w:p w14:paraId="1ECD97B8"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Paracentrotus lividus</w:t>
            </w:r>
          </w:p>
        </w:tc>
        <w:tc>
          <w:tcPr>
            <w:tcW w:w="1559" w:type="dxa"/>
            <w:tcBorders>
              <w:top w:val="nil"/>
              <w:left w:val="nil"/>
              <w:bottom w:val="single" w:sz="4" w:space="0" w:color="auto"/>
              <w:right w:val="single" w:sz="4" w:space="0" w:color="auto"/>
            </w:tcBorders>
          </w:tcPr>
          <w:p w14:paraId="50422717" w14:textId="77777777" w:rsidR="00632208" w:rsidRPr="0098635C" w:rsidRDefault="00632208" w:rsidP="00A432B0">
            <w:pPr>
              <w:spacing w:after="0"/>
              <w:rPr>
                <w:color w:val="000000" w:themeColor="text1"/>
                <w:sz w:val="20"/>
                <w:szCs w:val="20"/>
              </w:rPr>
            </w:pPr>
            <w:r w:rsidRPr="0098635C">
              <w:rPr>
                <w:color w:val="000000" w:themeColor="text1"/>
                <w:sz w:val="20"/>
                <w:szCs w:val="20"/>
              </w:rPr>
              <w:t>Embryo</w:t>
            </w:r>
          </w:p>
        </w:tc>
        <w:tc>
          <w:tcPr>
            <w:tcW w:w="992" w:type="dxa"/>
            <w:tcBorders>
              <w:top w:val="nil"/>
              <w:left w:val="nil"/>
              <w:bottom w:val="single" w:sz="4" w:space="0" w:color="auto"/>
              <w:right w:val="single" w:sz="4" w:space="0" w:color="auto"/>
            </w:tcBorders>
          </w:tcPr>
          <w:p w14:paraId="14E26E81" w14:textId="77777777" w:rsidR="00632208" w:rsidRPr="0098635C" w:rsidRDefault="00632208" w:rsidP="00A432B0">
            <w:pPr>
              <w:spacing w:after="0"/>
              <w:rPr>
                <w:color w:val="000000" w:themeColor="text1"/>
                <w:sz w:val="20"/>
                <w:szCs w:val="20"/>
              </w:rPr>
            </w:pPr>
            <w:r w:rsidRPr="0098635C">
              <w:rPr>
                <w:color w:val="000000" w:themeColor="text1"/>
                <w:sz w:val="20"/>
                <w:szCs w:val="20"/>
              </w:rPr>
              <w:t>48 hours</w:t>
            </w:r>
          </w:p>
        </w:tc>
        <w:tc>
          <w:tcPr>
            <w:tcW w:w="1134" w:type="dxa"/>
            <w:tcBorders>
              <w:top w:val="nil"/>
              <w:left w:val="nil"/>
              <w:bottom w:val="single" w:sz="4" w:space="0" w:color="auto"/>
              <w:right w:val="single" w:sz="4" w:space="0" w:color="auto"/>
            </w:tcBorders>
          </w:tcPr>
          <w:p w14:paraId="4DB619D6" w14:textId="77777777" w:rsidR="00632208" w:rsidRPr="0098635C" w:rsidRDefault="00632208" w:rsidP="00A432B0">
            <w:pPr>
              <w:spacing w:after="0"/>
              <w:rPr>
                <w:color w:val="000000" w:themeColor="text1"/>
                <w:sz w:val="20"/>
                <w:szCs w:val="20"/>
              </w:rPr>
            </w:pPr>
            <w:r w:rsidRPr="0098635C">
              <w:rPr>
                <w:color w:val="000000" w:themeColor="text1"/>
                <w:sz w:val="20"/>
                <w:szCs w:val="20"/>
              </w:rPr>
              <w:t>Development</w:t>
            </w:r>
          </w:p>
        </w:tc>
        <w:tc>
          <w:tcPr>
            <w:tcW w:w="851" w:type="dxa"/>
            <w:tcBorders>
              <w:top w:val="nil"/>
              <w:left w:val="nil"/>
              <w:bottom w:val="single" w:sz="4" w:space="0" w:color="auto"/>
              <w:right w:val="single" w:sz="4" w:space="0" w:color="auto"/>
            </w:tcBorders>
          </w:tcPr>
          <w:p w14:paraId="5E0A11D0" w14:textId="77777777" w:rsidR="00632208" w:rsidRPr="0098635C" w:rsidRDefault="00632208" w:rsidP="00A432B0">
            <w:pPr>
              <w:spacing w:after="0"/>
              <w:rPr>
                <w:color w:val="000000" w:themeColor="text1"/>
                <w:sz w:val="20"/>
                <w:szCs w:val="20"/>
              </w:rPr>
            </w:pPr>
            <w:r w:rsidRPr="0098635C">
              <w:rPr>
                <w:color w:val="000000" w:themeColor="text1"/>
                <w:sz w:val="20"/>
                <w:szCs w:val="20"/>
              </w:rPr>
              <w:t>16.5</w:t>
            </w:r>
          </w:p>
        </w:tc>
        <w:tc>
          <w:tcPr>
            <w:tcW w:w="1275" w:type="dxa"/>
            <w:tcBorders>
              <w:top w:val="nil"/>
              <w:left w:val="nil"/>
              <w:bottom w:val="single" w:sz="4" w:space="0" w:color="auto"/>
              <w:right w:val="single" w:sz="4" w:space="0" w:color="auto"/>
            </w:tcBorders>
          </w:tcPr>
          <w:p w14:paraId="435A480E" w14:textId="77777777" w:rsidR="00632208" w:rsidRPr="0098635C" w:rsidRDefault="00632208" w:rsidP="00A432B0">
            <w:pPr>
              <w:spacing w:after="0"/>
              <w:rPr>
                <w:color w:val="000000" w:themeColor="text1"/>
                <w:sz w:val="20"/>
                <w:szCs w:val="20"/>
              </w:rPr>
            </w:pPr>
            <w:r w:rsidRPr="0098635C">
              <w:rPr>
                <w:color w:val="000000" w:themeColor="text1"/>
                <w:sz w:val="20"/>
                <w:szCs w:val="20"/>
              </w:rPr>
              <w:t>Static</w:t>
            </w:r>
          </w:p>
        </w:tc>
        <w:tc>
          <w:tcPr>
            <w:tcW w:w="851" w:type="dxa"/>
            <w:tcBorders>
              <w:top w:val="nil"/>
              <w:left w:val="nil"/>
              <w:bottom w:val="single" w:sz="4" w:space="0" w:color="auto"/>
              <w:right w:val="single" w:sz="4" w:space="0" w:color="auto"/>
            </w:tcBorders>
          </w:tcPr>
          <w:p w14:paraId="798B25B6" w14:textId="77777777" w:rsidR="00632208" w:rsidRPr="0098635C" w:rsidRDefault="00632208" w:rsidP="00A432B0">
            <w:pPr>
              <w:spacing w:after="0"/>
              <w:rPr>
                <w:color w:val="000000" w:themeColor="text1"/>
                <w:sz w:val="20"/>
                <w:szCs w:val="20"/>
              </w:rPr>
            </w:pPr>
            <w:r w:rsidRPr="0098635C">
              <w:rPr>
                <w:color w:val="000000" w:themeColor="text1"/>
                <w:sz w:val="20"/>
                <w:szCs w:val="20"/>
              </w:rPr>
              <w:t>0.32 – 1.45m</w:t>
            </w:r>
          </w:p>
        </w:tc>
        <w:tc>
          <w:tcPr>
            <w:tcW w:w="850" w:type="dxa"/>
            <w:tcBorders>
              <w:top w:val="nil"/>
              <w:left w:val="nil"/>
              <w:bottom w:val="single" w:sz="4" w:space="0" w:color="auto"/>
              <w:right w:val="single" w:sz="4" w:space="0" w:color="auto"/>
            </w:tcBorders>
          </w:tcPr>
          <w:p w14:paraId="6A32B525" w14:textId="77777777" w:rsidR="00632208" w:rsidRPr="0098635C" w:rsidRDefault="00632208" w:rsidP="00A432B0">
            <w:pPr>
              <w:spacing w:after="0"/>
              <w:rPr>
                <w:color w:val="000000" w:themeColor="text1"/>
                <w:sz w:val="20"/>
                <w:szCs w:val="20"/>
              </w:rPr>
            </w:pPr>
            <w:r w:rsidRPr="0098635C">
              <w:rPr>
                <w:color w:val="000000" w:themeColor="text1"/>
                <w:sz w:val="20"/>
                <w:szCs w:val="20"/>
              </w:rPr>
              <w:t>2.0e</w:t>
            </w:r>
          </w:p>
        </w:tc>
        <w:tc>
          <w:tcPr>
            <w:tcW w:w="1276" w:type="dxa"/>
            <w:tcBorders>
              <w:top w:val="nil"/>
              <w:left w:val="nil"/>
              <w:bottom w:val="single" w:sz="4" w:space="0" w:color="auto"/>
              <w:right w:val="single" w:sz="4" w:space="0" w:color="auto"/>
            </w:tcBorders>
          </w:tcPr>
          <w:p w14:paraId="365C3A5D" w14:textId="77777777" w:rsidR="00632208" w:rsidRPr="0098635C" w:rsidRDefault="00632208" w:rsidP="00A432B0">
            <w:pPr>
              <w:spacing w:after="0"/>
              <w:rPr>
                <w:color w:val="000000" w:themeColor="text1"/>
                <w:sz w:val="20"/>
                <w:szCs w:val="20"/>
              </w:rPr>
            </w:pPr>
            <w:r w:rsidRPr="0098635C">
              <w:rPr>
                <w:color w:val="000000" w:themeColor="text1"/>
                <w:sz w:val="20"/>
                <w:szCs w:val="20"/>
              </w:rPr>
              <w:t>35</w:t>
            </w:r>
          </w:p>
        </w:tc>
        <w:tc>
          <w:tcPr>
            <w:tcW w:w="2268" w:type="dxa"/>
            <w:tcBorders>
              <w:top w:val="nil"/>
              <w:left w:val="nil"/>
              <w:bottom w:val="single" w:sz="4" w:space="0" w:color="auto"/>
              <w:right w:val="single" w:sz="4" w:space="0" w:color="auto"/>
            </w:tcBorders>
          </w:tcPr>
          <w:p w14:paraId="0B37C72C" w14:textId="77777777" w:rsidR="00632208" w:rsidRPr="0098635C" w:rsidRDefault="00632208" w:rsidP="00A432B0">
            <w:pPr>
              <w:spacing w:after="0"/>
              <w:rPr>
                <w:color w:val="000000" w:themeColor="text1"/>
                <w:sz w:val="20"/>
                <w:szCs w:val="20"/>
              </w:rPr>
            </w:pPr>
            <w:r w:rsidRPr="0098635C">
              <w:rPr>
                <w:color w:val="000000" w:themeColor="text1"/>
                <w:sz w:val="20"/>
                <w:szCs w:val="20"/>
              </w:rPr>
              <w:t>natural seawater</w:t>
            </w:r>
          </w:p>
        </w:tc>
        <w:tc>
          <w:tcPr>
            <w:tcW w:w="1985" w:type="dxa"/>
            <w:tcBorders>
              <w:top w:val="nil"/>
              <w:left w:val="nil"/>
              <w:bottom w:val="single" w:sz="4" w:space="0" w:color="auto"/>
              <w:right w:val="double" w:sz="6" w:space="0" w:color="auto"/>
            </w:tcBorders>
          </w:tcPr>
          <w:p w14:paraId="75E09E1A"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Lorenzo, J. 2006 </w:t>
            </w:r>
          </w:p>
        </w:tc>
      </w:tr>
      <w:tr w:rsidR="00632208" w:rsidRPr="0098635C" w14:paraId="67A92A71" w14:textId="77777777" w:rsidTr="00A432B0">
        <w:trPr>
          <w:trHeight w:val="74"/>
        </w:trPr>
        <w:tc>
          <w:tcPr>
            <w:tcW w:w="2073" w:type="dxa"/>
            <w:tcBorders>
              <w:top w:val="nil"/>
              <w:left w:val="double" w:sz="6" w:space="0" w:color="auto"/>
              <w:bottom w:val="single" w:sz="4" w:space="0" w:color="auto"/>
              <w:right w:val="single" w:sz="4" w:space="0" w:color="auto"/>
            </w:tcBorders>
          </w:tcPr>
          <w:p w14:paraId="3257FE5F"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Neanthes arenaceodentata</w:t>
            </w:r>
          </w:p>
        </w:tc>
        <w:tc>
          <w:tcPr>
            <w:tcW w:w="1559" w:type="dxa"/>
            <w:tcBorders>
              <w:top w:val="nil"/>
              <w:left w:val="nil"/>
              <w:bottom w:val="single" w:sz="4" w:space="0" w:color="auto"/>
              <w:right w:val="single" w:sz="4" w:space="0" w:color="auto"/>
            </w:tcBorders>
          </w:tcPr>
          <w:p w14:paraId="74C65096" w14:textId="77777777" w:rsidR="00632208" w:rsidRPr="0098635C" w:rsidRDefault="00632208" w:rsidP="00A432B0">
            <w:pPr>
              <w:spacing w:after="0"/>
              <w:rPr>
                <w:color w:val="000000" w:themeColor="text1"/>
                <w:sz w:val="20"/>
                <w:szCs w:val="20"/>
              </w:rPr>
            </w:pPr>
            <w:r w:rsidRPr="0098635C">
              <w:rPr>
                <w:color w:val="000000" w:themeColor="text1"/>
                <w:sz w:val="20"/>
                <w:szCs w:val="20"/>
              </w:rPr>
              <w:t>3-4 week larva</w:t>
            </w:r>
          </w:p>
        </w:tc>
        <w:tc>
          <w:tcPr>
            <w:tcW w:w="992" w:type="dxa"/>
            <w:tcBorders>
              <w:top w:val="nil"/>
              <w:left w:val="nil"/>
              <w:bottom w:val="single" w:sz="4" w:space="0" w:color="auto"/>
              <w:right w:val="single" w:sz="4" w:space="0" w:color="auto"/>
            </w:tcBorders>
          </w:tcPr>
          <w:p w14:paraId="770E6EAB" w14:textId="77777777" w:rsidR="00632208" w:rsidRPr="0098635C" w:rsidRDefault="00632208" w:rsidP="00A432B0">
            <w:pPr>
              <w:spacing w:after="0"/>
              <w:rPr>
                <w:color w:val="000000" w:themeColor="text1"/>
                <w:sz w:val="20"/>
                <w:szCs w:val="20"/>
              </w:rPr>
            </w:pPr>
            <w:r w:rsidRPr="0098635C">
              <w:rPr>
                <w:color w:val="000000" w:themeColor="text1"/>
                <w:sz w:val="20"/>
                <w:szCs w:val="20"/>
              </w:rPr>
              <w:t>28 days</w:t>
            </w:r>
          </w:p>
        </w:tc>
        <w:tc>
          <w:tcPr>
            <w:tcW w:w="1134" w:type="dxa"/>
            <w:tcBorders>
              <w:top w:val="nil"/>
              <w:left w:val="nil"/>
              <w:bottom w:val="single" w:sz="4" w:space="0" w:color="auto"/>
              <w:right w:val="single" w:sz="4" w:space="0" w:color="auto"/>
            </w:tcBorders>
          </w:tcPr>
          <w:p w14:paraId="7FB890C6"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1" w:type="dxa"/>
            <w:tcBorders>
              <w:top w:val="nil"/>
              <w:left w:val="nil"/>
              <w:bottom w:val="single" w:sz="4" w:space="0" w:color="auto"/>
              <w:right w:val="single" w:sz="4" w:space="0" w:color="auto"/>
            </w:tcBorders>
          </w:tcPr>
          <w:p w14:paraId="66970978" w14:textId="77777777" w:rsidR="00632208" w:rsidRPr="0098635C" w:rsidRDefault="00632208" w:rsidP="00A432B0">
            <w:pPr>
              <w:spacing w:after="0"/>
              <w:rPr>
                <w:color w:val="000000" w:themeColor="text1"/>
                <w:sz w:val="20"/>
                <w:szCs w:val="20"/>
              </w:rPr>
            </w:pPr>
            <w:r w:rsidRPr="0098635C">
              <w:rPr>
                <w:color w:val="000000" w:themeColor="text1"/>
                <w:sz w:val="20"/>
                <w:szCs w:val="20"/>
              </w:rPr>
              <w:t>13.5</w:t>
            </w:r>
          </w:p>
        </w:tc>
        <w:tc>
          <w:tcPr>
            <w:tcW w:w="1275" w:type="dxa"/>
            <w:tcBorders>
              <w:top w:val="nil"/>
              <w:left w:val="nil"/>
              <w:bottom w:val="single" w:sz="4" w:space="0" w:color="auto"/>
              <w:right w:val="single" w:sz="4" w:space="0" w:color="auto"/>
            </w:tcBorders>
          </w:tcPr>
          <w:p w14:paraId="4B531F14" w14:textId="77777777" w:rsidR="00632208" w:rsidRPr="0098635C" w:rsidRDefault="00632208" w:rsidP="00A432B0">
            <w:pPr>
              <w:spacing w:after="0"/>
              <w:rPr>
                <w:color w:val="000000" w:themeColor="text1"/>
                <w:sz w:val="20"/>
                <w:szCs w:val="20"/>
              </w:rPr>
            </w:pPr>
            <w:r w:rsidRPr="0098635C">
              <w:rPr>
                <w:color w:val="000000" w:themeColor="text1"/>
                <w:sz w:val="20"/>
                <w:szCs w:val="20"/>
              </w:rPr>
              <w:t>Flow through</w:t>
            </w:r>
          </w:p>
        </w:tc>
        <w:tc>
          <w:tcPr>
            <w:tcW w:w="851" w:type="dxa"/>
            <w:tcBorders>
              <w:top w:val="nil"/>
              <w:left w:val="nil"/>
              <w:bottom w:val="single" w:sz="4" w:space="0" w:color="auto"/>
              <w:right w:val="single" w:sz="4" w:space="0" w:color="auto"/>
            </w:tcBorders>
          </w:tcPr>
          <w:p w14:paraId="4EDC1DFA" w14:textId="77777777" w:rsidR="00632208" w:rsidRPr="0098635C" w:rsidRDefault="00632208" w:rsidP="00A432B0">
            <w:pPr>
              <w:spacing w:after="0"/>
              <w:rPr>
                <w:color w:val="000000" w:themeColor="text1"/>
                <w:sz w:val="20"/>
                <w:szCs w:val="20"/>
              </w:rPr>
            </w:pPr>
            <w:r w:rsidRPr="0098635C">
              <w:rPr>
                <w:color w:val="000000" w:themeColor="text1"/>
                <w:sz w:val="20"/>
                <w:szCs w:val="20"/>
              </w:rPr>
              <w:t>2±1m</w:t>
            </w:r>
          </w:p>
        </w:tc>
        <w:tc>
          <w:tcPr>
            <w:tcW w:w="850" w:type="dxa"/>
            <w:tcBorders>
              <w:top w:val="nil"/>
              <w:left w:val="nil"/>
              <w:bottom w:val="single" w:sz="4" w:space="0" w:color="auto"/>
              <w:right w:val="single" w:sz="4" w:space="0" w:color="auto"/>
            </w:tcBorders>
          </w:tcPr>
          <w:p w14:paraId="6D76E63F" w14:textId="77777777" w:rsidR="00632208" w:rsidRPr="0098635C" w:rsidRDefault="00632208" w:rsidP="00A432B0">
            <w:pPr>
              <w:spacing w:after="0"/>
              <w:rPr>
                <w:color w:val="000000" w:themeColor="text1"/>
                <w:sz w:val="20"/>
                <w:szCs w:val="20"/>
              </w:rPr>
            </w:pPr>
            <w:r w:rsidRPr="0098635C">
              <w:rPr>
                <w:color w:val="000000" w:themeColor="text1"/>
                <w:sz w:val="20"/>
                <w:szCs w:val="20"/>
              </w:rPr>
              <w:t>2.0m</w:t>
            </w:r>
          </w:p>
        </w:tc>
        <w:tc>
          <w:tcPr>
            <w:tcW w:w="1276" w:type="dxa"/>
            <w:tcBorders>
              <w:top w:val="nil"/>
              <w:left w:val="nil"/>
              <w:bottom w:val="single" w:sz="4" w:space="0" w:color="auto"/>
              <w:right w:val="single" w:sz="4" w:space="0" w:color="auto"/>
            </w:tcBorders>
          </w:tcPr>
          <w:p w14:paraId="056BE458" w14:textId="77777777" w:rsidR="00632208" w:rsidRPr="0098635C" w:rsidRDefault="00632208" w:rsidP="00A432B0">
            <w:pPr>
              <w:spacing w:after="0"/>
              <w:rPr>
                <w:color w:val="000000" w:themeColor="text1"/>
                <w:sz w:val="20"/>
                <w:szCs w:val="20"/>
              </w:rPr>
            </w:pPr>
            <w:r w:rsidRPr="0098635C">
              <w:rPr>
                <w:color w:val="000000" w:themeColor="text1"/>
                <w:sz w:val="20"/>
                <w:szCs w:val="20"/>
              </w:rPr>
              <w:t>32</w:t>
            </w:r>
          </w:p>
        </w:tc>
        <w:tc>
          <w:tcPr>
            <w:tcW w:w="2268" w:type="dxa"/>
            <w:tcBorders>
              <w:top w:val="nil"/>
              <w:left w:val="nil"/>
              <w:bottom w:val="single" w:sz="4" w:space="0" w:color="auto"/>
              <w:right w:val="single" w:sz="4" w:space="0" w:color="auto"/>
            </w:tcBorders>
          </w:tcPr>
          <w:p w14:paraId="1723B559" w14:textId="77777777" w:rsidR="00632208" w:rsidRPr="0098635C" w:rsidRDefault="00632208" w:rsidP="00A432B0">
            <w:pPr>
              <w:spacing w:after="0"/>
              <w:rPr>
                <w:color w:val="000000" w:themeColor="text1"/>
                <w:sz w:val="20"/>
                <w:szCs w:val="20"/>
              </w:rPr>
            </w:pPr>
            <w:r w:rsidRPr="0098635C">
              <w:rPr>
                <w:color w:val="000000" w:themeColor="text1"/>
                <w:sz w:val="20"/>
                <w:szCs w:val="20"/>
              </w:rPr>
              <w:t>filtered natural seawater</w:t>
            </w:r>
          </w:p>
        </w:tc>
        <w:tc>
          <w:tcPr>
            <w:tcW w:w="1985" w:type="dxa"/>
            <w:tcBorders>
              <w:top w:val="nil"/>
              <w:left w:val="nil"/>
              <w:bottom w:val="single" w:sz="4" w:space="0" w:color="auto"/>
              <w:right w:val="double" w:sz="6" w:space="0" w:color="auto"/>
            </w:tcBorders>
          </w:tcPr>
          <w:p w14:paraId="4FF0E5B5"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Pesch et al., 1986 </w:t>
            </w:r>
          </w:p>
        </w:tc>
      </w:tr>
      <w:tr w:rsidR="00632208" w:rsidRPr="0098635C" w14:paraId="41199963" w14:textId="77777777" w:rsidTr="00A432B0">
        <w:trPr>
          <w:trHeight w:val="74"/>
        </w:trPr>
        <w:tc>
          <w:tcPr>
            <w:tcW w:w="2073" w:type="dxa"/>
            <w:tcBorders>
              <w:top w:val="nil"/>
              <w:left w:val="double" w:sz="6" w:space="0" w:color="auto"/>
              <w:bottom w:val="single" w:sz="4" w:space="0" w:color="auto"/>
              <w:right w:val="single" w:sz="4" w:space="0" w:color="auto"/>
            </w:tcBorders>
          </w:tcPr>
          <w:p w14:paraId="5FCE1B26"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Neanthes arenaceodentata</w:t>
            </w:r>
          </w:p>
        </w:tc>
        <w:tc>
          <w:tcPr>
            <w:tcW w:w="1559" w:type="dxa"/>
            <w:tcBorders>
              <w:top w:val="nil"/>
              <w:left w:val="nil"/>
              <w:bottom w:val="single" w:sz="4" w:space="0" w:color="auto"/>
              <w:right w:val="single" w:sz="4" w:space="0" w:color="auto"/>
            </w:tcBorders>
          </w:tcPr>
          <w:p w14:paraId="00F46271" w14:textId="77777777" w:rsidR="00632208" w:rsidRPr="0098635C" w:rsidRDefault="00632208" w:rsidP="00A432B0">
            <w:pPr>
              <w:spacing w:after="0"/>
              <w:rPr>
                <w:color w:val="000000" w:themeColor="text1"/>
                <w:sz w:val="20"/>
                <w:szCs w:val="20"/>
              </w:rPr>
            </w:pPr>
            <w:r w:rsidRPr="0098635C">
              <w:rPr>
                <w:color w:val="000000" w:themeColor="text1"/>
                <w:sz w:val="20"/>
                <w:szCs w:val="20"/>
              </w:rPr>
              <w:t>3-4 week larva</w:t>
            </w:r>
          </w:p>
        </w:tc>
        <w:tc>
          <w:tcPr>
            <w:tcW w:w="992" w:type="dxa"/>
            <w:tcBorders>
              <w:top w:val="nil"/>
              <w:left w:val="nil"/>
              <w:bottom w:val="single" w:sz="4" w:space="0" w:color="auto"/>
              <w:right w:val="single" w:sz="4" w:space="0" w:color="auto"/>
            </w:tcBorders>
          </w:tcPr>
          <w:p w14:paraId="3A71302A" w14:textId="77777777" w:rsidR="00632208" w:rsidRPr="0098635C" w:rsidRDefault="00632208" w:rsidP="00A432B0">
            <w:pPr>
              <w:spacing w:after="0"/>
              <w:rPr>
                <w:color w:val="000000" w:themeColor="text1"/>
                <w:sz w:val="20"/>
                <w:szCs w:val="20"/>
              </w:rPr>
            </w:pPr>
            <w:r w:rsidRPr="0098635C">
              <w:rPr>
                <w:color w:val="000000" w:themeColor="text1"/>
                <w:sz w:val="20"/>
                <w:szCs w:val="20"/>
              </w:rPr>
              <w:t>28 days</w:t>
            </w:r>
          </w:p>
        </w:tc>
        <w:tc>
          <w:tcPr>
            <w:tcW w:w="1134" w:type="dxa"/>
            <w:tcBorders>
              <w:top w:val="nil"/>
              <w:left w:val="nil"/>
              <w:bottom w:val="single" w:sz="4" w:space="0" w:color="auto"/>
              <w:right w:val="single" w:sz="4" w:space="0" w:color="auto"/>
            </w:tcBorders>
          </w:tcPr>
          <w:p w14:paraId="23518E0F"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w:t>
            </w:r>
          </w:p>
        </w:tc>
        <w:tc>
          <w:tcPr>
            <w:tcW w:w="851" w:type="dxa"/>
            <w:tcBorders>
              <w:top w:val="nil"/>
              <w:left w:val="nil"/>
              <w:bottom w:val="single" w:sz="4" w:space="0" w:color="auto"/>
              <w:right w:val="single" w:sz="4" w:space="0" w:color="auto"/>
            </w:tcBorders>
          </w:tcPr>
          <w:p w14:paraId="0AC38961" w14:textId="77777777" w:rsidR="00632208" w:rsidRPr="0098635C" w:rsidRDefault="00632208" w:rsidP="00A432B0">
            <w:pPr>
              <w:spacing w:after="0"/>
              <w:rPr>
                <w:color w:val="000000" w:themeColor="text1"/>
                <w:sz w:val="20"/>
                <w:szCs w:val="20"/>
              </w:rPr>
            </w:pPr>
            <w:r w:rsidRPr="0098635C">
              <w:rPr>
                <w:color w:val="000000" w:themeColor="text1"/>
                <w:sz w:val="20"/>
                <w:szCs w:val="20"/>
              </w:rPr>
              <w:t>12.1</w:t>
            </w:r>
          </w:p>
        </w:tc>
        <w:tc>
          <w:tcPr>
            <w:tcW w:w="1275" w:type="dxa"/>
            <w:tcBorders>
              <w:top w:val="nil"/>
              <w:left w:val="nil"/>
              <w:bottom w:val="single" w:sz="4" w:space="0" w:color="auto"/>
              <w:right w:val="single" w:sz="4" w:space="0" w:color="auto"/>
            </w:tcBorders>
          </w:tcPr>
          <w:p w14:paraId="0A79FCFF" w14:textId="77777777" w:rsidR="00632208" w:rsidRPr="0098635C" w:rsidRDefault="00632208" w:rsidP="00A432B0">
            <w:pPr>
              <w:spacing w:after="0"/>
              <w:rPr>
                <w:color w:val="000000" w:themeColor="text1"/>
                <w:sz w:val="20"/>
                <w:szCs w:val="20"/>
              </w:rPr>
            </w:pPr>
            <w:r w:rsidRPr="0098635C">
              <w:rPr>
                <w:color w:val="000000" w:themeColor="text1"/>
                <w:sz w:val="20"/>
                <w:szCs w:val="20"/>
              </w:rPr>
              <w:t>Flow through</w:t>
            </w:r>
          </w:p>
        </w:tc>
        <w:tc>
          <w:tcPr>
            <w:tcW w:w="851" w:type="dxa"/>
            <w:tcBorders>
              <w:top w:val="nil"/>
              <w:left w:val="nil"/>
              <w:bottom w:val="single" w:sz="4" w:space="0" w:color="auto"/>
              <w:right w:val="single" w:sz="4" w:space="0" w:color="auto"/>
            </w:tcBorders>
          </w:tcPr>
          <w:p w14:paraId="04EB834E" w14:textId="77777777" w:rsidR="00632208" w:rsidRPr="0098635C" w:rsidRDefault="00632208" w:rsidP="00A432B0">
            <w:pPr>
              <w:spacing w:after="0"/>
              <w:rPr>
                <w:color w:val="000000" w:themeColor="text1"/>
                <w:sz w:val="20"/>
                <w:szCs w:val="20"/>
              </w:rPr>
            </w:pPr>
            <w:r w:rsidRPr="0098635C">
              <w:rPr>
                <w:color w:val="000000" w:themeColor="text1"/>
                <w:sz w:val="20"/>
                <w:szCs w:val="20"/>
              </w:rPr>
              <w:t>2±1m</w:t>
            </w:r>
          </w:p>
        </w:tc>
        <w:tc>
          <w:tcPr>
            <w:tcW w:w="850" w:type="dxa"/>
            <w:tcBorders>
              <w:top w:val="nil"/>
              <w:left w:val="nil"/>
              <w:bottom w:val="single" w:sz="4" w:space="0" w:color="auto"/>
              <w:right w:val="single" w:sz="4" w:space="0" w:color="auto"/>
            </w:tcBorders>
          </w:tcPr>
          <w:p w14:paraId="5A18F172" w14:textId="77777777" w:rsidR="00632208" w:rsidRPr="0098635C" w:rsidRDefault="00632208" w:rsidP="00A432B0">
            <w:pPr>
              <w:spacing w:after="0"/>
              <w:rPr>
                <w:color w:val="000000" w:themeColor="text1"/>
                <w:sz w:val="20"/>
                <w:szCs w:val="20"/>
              </w:rPr>
            </w:pPr>
            <w:r w:rsidRPr="0098635C">
              <w:rPr>
                <w:color w:val="000000" w:themeColor="text1"/>
                <w:sz w:val="20"/>
                <w:szCs w:val="20"/>
              </w:rPr>
              <w:t>2.0m</w:t>
            </w:r>
          </w:p>
        </w:tc>
        <w:tc>
          <w:tcPr>
            <w:tcW w:w="1276" w:type="dxa"/>
            <w:tcBorders>
              <w:top w:val="nil"/>
              <w:left w:val="nil"/>
              <w:bottom w:val="single" w:sz="4" w:space="0" w:color="auto"/>
              <w:right w:val="single" w:sz="4" w:space="0" w:color="auto"/>
            </w:tcBorders>
          </w:tcPr>
          <w:p w14:paraId="09F37F67" w14:textId="77777777" w:rsidR="00632208" w:rsidRPr="0098635C" w:rsidRDefault="00632208" w:rsidP="00A432B0">
            <w:pPr>
              <w:spacing w:after="0"/>
              <w:rPr>
                <w:color w:val="000000" w:themeColor="text1"/>
                <w:sz w:val="20"/>
                <w:szCs w:val="20"/>
              </w:rPr>
            </w:pPr>
            <w:r w:rsidRPr="0098635C">
              <w:rPr>
                <w:color w:val="000000" w:themeColor="text1"/>
                <w:sz w:val="20"/>
                <w:szCs w:val="20"/>
              </w:rPr>
              <w:t>32</w:t>
            </w:r>
          </w:p>
        </w:tc>
        <w:tc>
          <w:tcPr>
            <w:tcW w:w="2268" w:type="dxa"/>
            <w:tcBorders>
              <w:top w:val="nil"/>
              <w:left w:val="nil"/>
              <w:bottom w:val="single" w:sz="4" w:space="0" w:color="auto"/>
              <w:right w:val="single" w:sz="4" w:space="0" w:color="auto"/>
            </w:tcBorders>
          </w:tcPr>
          <w:p w14:paraId="5D6B55DA" w14:textId="77777777" w:rsidR="00632208" w:rsidRPr="0098635C" w:rsidRDefault="00632208" w:rsidP="00A432B0">
            <w:pPr>
              <w:spacing w:after="0"/>
              <w:rPr>
                <w:color w:val="000000" w:themeColor="text1"/>
                <w:sz w:val="20"/>
                <w:szCs w:val="20"/>
              </w:rPr>
            </w:pPr>
            <w:r w:rsidRPr="0098635C">
              <w:rPr>
                <w:color w:val="000000" w:themeColor="text1"/>
                <w:sz w:val="20"/>
                <w:szCs w:val="20"/>
              </w:rPr>
              <w:t>filtered natural seawater</w:t>
            </w:r>
          </w:p>
        </w:tc>
        <w:tc>
          <w:tcPr>
            <w:tcW w:w="1985" w:type="dxa"/>
            <w:tcBorders>
              <w:top w:val="nil"/>
              <w:left w:val="nil"/>
              <w:bottom w:val="single" w:sz="4" w:space="0" w:color="auto"/>
              <w:right w:val="double" w:sz="6" w:space="0" w:color="auto"/>
            </w:tcBorders>
          </w:tcPr>
          <w:p w14:paraId="79C97850"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Pesch et al., 1986 </w:t>
            </w:r>
          </w:p>
        </w:tc>
      </w:tr>
      <w:tr w:rsidR="00632208" w:rsidRPr="0098635C" w14:paraId="2EF59B97" w14:textId="77777777" w:rsidTr="00A432B0">
        <w:trPr>
          <w:trHeight w:val="74"/>
        </w:trPr>
        <w:tc>
          <w:tcPr>
            <w:tcW w:w="2073" w:type="dxa"/>
            <w:tcBorders>
              <w:top w:val="nil"/>
              <w:left w:val="double" w:sz="6" w:space="0" w:color="auto"/>
              <w:bottom w:val="single" w:sz="4" w:space="0" w:color="auto"/>
              <w:right w:val="single" w:sz="4" w:space="0" w:color="auto"/>
            </w:tcBorders>
          </w:tcPr>
          <w:p w14:paraId="0E1E3C6A"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Mytilus edulis</w:t>
            </w:r>
          </w:p>
        </w:tc>
        <w:tc>
          <w:tcPr>
            <w:tcW w:w="1559" w:type="dxa"/>
            <w:tcBorders>
              <w:top w:val="nil"/>
              <w:left w:val="nil"/>
              <w:bottom w:val="single" w:sz="4" w:space="0" w:color="auto"/>
              <w:right w:val="single" w:sz="4" w:space="0" w:color="auto"/>
            </w:tcBorders>
          </w:tcPr>
          <w:p w14:paraId="390072FE" w14:textId="77777777" w:rsidR="00632208" w:rsidRPr="0098635C" w:rsidRDefault="00632208" w:rsidP="00A432B0">
            <w:pPr>
              <w:spacing w:after="0"/>
              <w:rPr>
                <w:color w:val="000000" w:themeColor="text1"/>
                <w:sz w:val="20"/>
                <w:szCs w:val="20"/>
              </w:rPr>
            </w:pPr>
            <w:r w:rsidRPr="0098635C">
              <w:rPr>
                <w:color w:val="000000" w:themeColor="text1"/>
                <w:sz w:val="20"/>
                <w:szCs w:val="20"/>
              </w:rPr>
              <w:t>1.0-1.5 cm individuals</w:t>
            </w:r>
          </w:p>
        </w:tc>
        <w:tc>
          <w:tcPr>
            <w:tcW w:w="992" w:type="dxa"/>
            <w:tcBorders>
              <w:top w:val="nil"/>
              <w:left w:val="nil"/>
              <w:bottom w:val="single" w:sz="4" w:space="0" w:color="auto"/>
              <w:right w:val="single" w:sz="4" w:space="0" w:color="auto"/>
            </w:tcBorders>
          </w:tcPr>
          <w:p w14:paraId="614854DC" w14:textId="77777777" w:rsidR="00632208" w:rsidRPr="0098635C" w:rsidRDefault="00632208" w:rsidP="00A432B0">
            <w:pPr>
              <w:spacing w:after="0"/>
              <w:rPr>
                <w:color w:val="000000" w:themeColor="text1"/>
                <w:sz w:val="20"/>
                <w:szCs w:val="20"/>
              </w:rPr>
            </w:pPr>
            <w:r w:rsidRPr="0098635C">
              <w:rPr>
                <w:color w:val="000000" w:themeColor="text1"/>
                <w:sz w:val="20"/>
                <w:szCs w:val="20"/>
              </w:rPr>
              <w:t>10 days</w:t>
            </w:r>
          </w:p>
        </w:tc>
        <w:tc>
          <w:tcPr>
            <w:tcW w:w="1134" w:type="dxa"/>
            <w:tcBorders>
              <w:top w:val="nil"/>
              <w:left w:val="nil"/>
              <w:bottom w:val="single" w:sz="4" w:space="0" w:color="auto"/>
              <w:right w:val="single" w:sz="4" w:space="0" w:color="auto"/>
            </w:tcBorders>
          </w:tcPr>
          <w:p w14:paraId="2EEC6CEA" w14:textId="77777777" w:rsidR="00632208" w:rsidRPr="0098635C" w:rsidRDefault="00632208" w:rsidP="00A432B0">
            <w:pPr>
              <w:spacing w:after="0"/>
              <w:rPr>
                <w:color w:val="000000" w:themeColor="text1"/>
                <w:sz w:val="20"/>
                <w:szCs w:val="20"/>
              </w:rPr>
            </w:pPr>
            <w:r w:rsidRPr="0098635C">
              <w:rPr>
                <w:color w:val="000000" w:themeColor="text1"/>
                <w:sz w:val="20"/>
                <w:szCs w:val="20"/>
              </w:rPr>
              <w:t>growth rate</w:t>
            </w:r>
          </w:p>
        </w:tc>
        <w:tc>
          <w:tcPr>
            <w:tcW w:w="851" w:type="dxa"/>
            <w:tcBorders>
              <w:top w:val="nil"/>
              <w:left w:val="nil"/>
              <w:bottom w:val="single" w:sz="4" w:space="0" w:color="auto"/>
              <w:right w:val="single" w:sz="4" w:space="0" w:color="auto"/>
            </w:tcBorders>
          </w:tcPr>
          <w:p w14:paraId="3F1B238D" w14:textId="77777777" w:rsidR="00632208" w:rsidRPr="0098635C" w:rsidRDefault="00632208" w:rsidP="00A432B0">
            <w:pPr>
              <w:spacing w:after="0"/>
              <w:rPr>
                <w:color w:val="000000" w:themeColor="text1"/>
                <w:sz w:val="20"/>
                <w:szCs w:val="20"/>
              </w:rPr>
            </w:pPr>
            <w:r w:rsidRPr="0098635C">
              <w:rPr>
                <w:color w:val="000000" w:themeColor="text1"/>
                <w:sz w:val="20"/>
                <w:szCs w:val="20"/>
              </w:rPr>
              <w:t>6.0</w:t>
            </w:r>
          </w:p>
        </w:tc>
        <w:tc>
          <w:tcPr>
            <w:tcW w:w="1275" w:type="dxa"/>
            <w:tcBorders>
              <w:top w:val="nil"/>
              <w:left w:val="nil"/>
              <w:bottom w:val="single" w:sz="4" w:space="0" w:color="auto"/>
              <w:right w:val="single" w:sz="4" w:space="0" w:color="auto"/>
            </w:tcBorders>
          </w:tcPr>
          <w:p w14:paraId="0F2FAA33" w14:textId="77777777" w:rsidR="00632208" w:rsidRPr="0098635C" w:rsidRDefault="00632208" w:rsidP="00A432B0">
            <w:pPr>
              <w:spacing w:after="0"/>
              <w:rPr>
                <w:color w:val="000000" w:themeColor="text1"/>
                <w:sz w:val="20"/>
                <w:szCs w:val="20"/>
              </w:rPr>
            </w:pPr>
            <w:r w:rsidRPr="0098635C">
              <w:rPr>
                <w:color w:val="000000" w:themeColor="text1"/>
                <w:sz w:val="20"/>
                <w:szCs w:val="20"/>
              </w:rPr>
              <w:t>daily renewal of solutions</w:t>
            </w:r>
          </w:p>
        </w:tc>
        <w:tc>
          <w:tcPr>
            <w:tcW w:w="851" w:type="dxa"/>
            <w:tcBorders>
              <w:top w:val="nil"/>
              <w:left w:val="nil"/>
              <w:bottom w:val="single" w:sz="4" w:space="0" w:color="auto"/>
              <w:right w:val="single" w:sz="4" w:space="0" w:color="auto"/>
            </w:tcBorders>
          </w:tcPr>
          <w:p w14:paraId="32A10F11" w14:textId="77777777" w:rsidR="00632208" w:rsidRPr="0098635C" w:rsidRDefault="00632208" w:rsidP="00A432B0">
            <w:pPr>
              <w:spacing w:after="0"/>
              <w:rPr>
                <w:color w:val="000000" w:themeColor="text1"/>
                <w:sz w:val="20"/>
                <w:szCs w:val="20"/>
              </w:rPr>
            </w:pPr>
            <w:r w:rsidRPr="0098635C">
              <w:rPr>
                <w:color w:val="000000" w:themeColor="text1"/>
                <w:sz w:val="20"/>
                <w:szCs w:val="20"/>
              </w:rPr>
              <w:t>2.0 – 2.4m</w:t>
            </w:r>
          </w:p>
        </w:tc>
        <w:tc>
          <w:tcPr>
            <w:tcW w:w="850" w:type="dxa"/>
            <w:tcBorders>
              <w:top w:val="nil"/>
              <w:left w:val="nil"/>
              <w:bottom w:val="single" w:sz="4" w:space="0" w:color="auto"/>
              <w:right w:val="single" w:sz="4" w:space="0" w:color="auto"/>
            </w:tcBorders>
          </w:tcPr>
          <w:p w14:paraId="67CBBCEA" w14:textId="77777777" w:rsidR="00632208" w:rsidRPr="0098635C" w:rsidRDefault="00632208" w:rsidP="00A432B0">
            <w:pPr>
              <w:spacing w:after="0"/>
              <w:rPr>
                <w:color w:val="000000" w:themeColor="text1"/>
                <w:sz w:val="20"/>
                <w:szCs w:val="20"/>
              </w:rPr>
            </w:pPr>
            <w:r w:rsidRPr="0098635C">
              <w:rPr>
                <w:color w:val="000000" w:themeColor="text1"/>
                <w:sz w:val="20"/>
                <w:szCs w:val="20"/>
              </w:rPr>
              <w:t>2.0m</w:t>
            </w:r>
          </w:p>
        </w:tc>
        <w:tc>
          <w:tcPr>
            <w:tcW w:w="1276" w:type="dxa"/>
            <w:tcBorders>
              <w:top w:val="nil"/>
              <w:left w:val="nil"/>
              <w:bottom w:val="single" w:sz="4" w:space="0" w:color="auto"/>
              <w:right w:val="single" w:sz="4" w:space="0" w:color="auto"/>
            </w:tcBorders>
          </w:tcPr>
          <w:p w14:paraId="0E1B50A0" w14:textId="77777777" w:rsidR="00632208" w:rsidRPr="0098635C" w:rsidRDefault="00632208" w:rsidP="00A432B0">
            <w:pPr>
              <w:spacing w:after="0"/>
              <w:rPr>
                <w:color w:val="000000" w:themeColor="text1"/>
                <w:sz w:val="20"/>
                <w:szCs w:val="20"/>
              </w:rPr>
            </w:pPr>
            <w:r w:rsidRPr="0098635C">
              <w:rPr>
                <w:color w:val="000000" w:themeColor="text1"/>
                <w:sz w:val="20"/>
                <w:szCs w:val="20"/>
              </w:rPr>
              <w:t>not reported</w:t>
            </w:r>
          </w:p>
        </w:tc>
        <w:tc>
          <w:tcPr>
            <w:tcW w:w="2268" w:type="dxa"/>
            <w:tcBorders>
              <w:top w:val="nil"/>
              <w:left w:val="nil"/>
              <w:bottom w:val="single" w:sz="4" w:space="0" w:color="auto"/>
              <w:right w:val="single" w:sz="4" w:space="0" w:color="auto"/>
            </w:tcBorders>
          </w:tcPr>
          <w:p w14:paraId="48F0C804" w14:textId="77777777" w:rsidR="00632208" w:rsidRPr="0098635C" w:rsidRDefault="00632208" w:rsidP="00A432B0">
            <w:pPr>
              <w:spacing w:after="0"/>
              <w:rPr>
                <w:color w:val="000000" w:themeColor="text1"/>
                <w:sz w:val="20"/>
                <w:szCs w:val="20"/>
              </w:rPr>
            </w:pPr>
            <w:r w:rsidRPr="0098635C">
              <w:rPr>
                <w:color w:val="000000" w:themeColor="text1"/>
                <w:sz w:val="20"/>
                <w:szCs w:val="20"/>
              </w:rPr>
              <w:t>Filtered seawater</w:t>
            </w:r>
          </w:p>
        </w:tc>
        <w:tc>
          <w:tcPr>
            <w:tcW w:w="1985" w:type="dxa"/>
            <w:tcBorders>
              <w:top w:val="nil"/>
              <w:left w:val="nil"/>
              <w:bottom w:val="single" w:sz="4" w:space="0" w:color="auto"/>
              <w:right w:val="double" w:sz="6" w:space="0" w:color="auto"/>
            </w:tcBorders>
          </w:tcPr>
          <w:p w14:paraId="58361CA4"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Redpath, K.J. 1985 </w:t>
            </w:r>
          </w:p>
        </w:tc>
      </w:tr>
      <w:tr w:rsidR="00632208" w:rsidRPr="0098635C" w14:paraId="71A294FC" w14:textId="77777777" w:rsidTr="00A432B0">
        <w:trPr>
          <w:trHeight w:val="74"/>
        </w:trPr>
        <w:tc>
          <w:tcPr>
            <w:tcW w:w="2073" w:type="dxa"/>
            <w:tcBorders>
              <w:top w:val="nil"/>
              <w:left w:val="double" w:sz="6" w:space="0" w:color="auto"/>
              <w:bottom w:val="single" w:sz="4" w:space="0" w:color="auto"/>
              <w:right w:val="single" w:sz="4" w:space="0" w:color="auto"/>
            </w:tcBorders>
          </w:tcPr>
          <w:p w14:paraId="1F5ECBCB"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Goniastrea aspera</w:t>
            </w:r>
          </w:p>
        </w:tc>
        <w:tc>
          <w:tcPr>
            <w:tcW w:w="1559" w:type="dxa"/>
            <w:tcBorders>
              <w:top w:val="nil"/>
              <w:left w:val="nil"/>
              <w:bottom w:val="single" w:sz="4" w:space="0" w:color="auto"/>
              <w:right w:val="single" w:sz="4" w:space="0" w:color="auto"/>
            </w:tcBorders>
          </w:tcPr>
          <w:p w14:paraId="12BCFFB8" w14:textId="77777777" w:rsidR="00632208" w:rsidRPr="0098635C" w:rsidRDefault="00632208" w:rsidP="00A432B0">
            <w:pPr>
              <w:spacing w:after="0"/>
              <w:rPr>
                <w:color w:val="000000" w:themeColor="text1"/>
                <w:sz w:val="20"/>
                <w:szCs w:val="20"/>
              </w:rPr>
            </w:pPr>
            <w:r w:rsidRPr="0098635C">
              <w:rPr>
                <w:color w:val="000000" w:themeColor="text1"/>
                <w:sz w:val="20"/>
                <w:szCs w:val="20"/>
              </w:rPr>
              <w:t>Larvae</w:t>
            </w:r>
          </w:p>
        </w:tc>
        <w:tc>
          <w:tcPr>
            <w:tcW w:w="992" w:type="dxa"/>
            <w:tcBorders>
              <w:top w:val="nil"/>
              <w:left w:val="nil"/>
              <w:bottom w:val="single" w:sz="4" w:space="0" w:color="auto"/>
              <w:right w:val="single" w:sz="4" w:space="0" w:color="auto"/>
            </w:tcBorders>
          </w:tcPr>
          <w:p w14:paraId="77AAE891" w14:textId="77777777" w:rsidR="00632208" w:rsidRPr="0098635C" w:rsidRDefault="00632208" w:rsidP="00A432B0">
            <w:pPr>
              <w:spacing w:after="0"/>
              <w:rPr>
                <w:color w:val="000000" w:themeColor="text1"/>
                <w:sz w:val="20"/>
                <w:szCs w:val="20"/>
              </w:rPr>
            </w:pPr>
            <w:r w:rsidRPr="0098635C">
              <w:rPr>
                <w:color w:val="000000" w:themeColor="text1"/>
                <w:sz w:val="20"/>
                <w:szCs w:val="20"/>
              </w:rPr>
              <w:t>72 hours</w:t>
            </w:r>
          </w:p>
        </w:tc>
        <w:tc>
          <w:tcPr>
            <w:tcW w:w="1134" w:type="dxa"/>
            <w:tcBorders>
              <w:top w:val="nil"/>
              <w:left w:val="nil"/>
              <w:bottom w:val="single" w:sz="4" w:space="0" w:color="auto"/>
              <w:right w:val="single" w:sz="4" w:space="0" w:color="auto"/>
            </w:tcBorders>
          </w:tcPr>
          <w:p w14:paraId="72A901C0" w14:textId="77777777" w:rsidR="00632208" w:rsidRPr="0098635C" w:rsidRDefault="00632208" w:rsidP="00A432B0">
            <w:pPr>
              <w:spacing w:after="0"/>
              <w:rPr>
                <w:color w:val="000000" w:themeColor="text1"/>
                <w:sz w:val="20"/>
                <w:szCs w:val="20"/>
              </w:rPr>
            </w:pPr>
            <w:r w:rsidRPr="0098635C">
              <w:rPr>
                <w:color w:val="000000" w:themeColor="text1"/>
                <w:sz w:val="20"/>
                <w:szCs w:val="20"/>
              </w:rPr>
              <w:t>Motility</w:t>
            </w:r>
          </w:p>
        </w:tc>
        <w:tc>
          <w:tcPr>
            <w:tcW w:w="851" w:type="dxa"/>
            <w:tcBorders>
              <w:top w:val="nil"/>
              <w:left w:val="nil"/>
              <w:bottom w:val="single" w:sz="4" w:space="0" w:color="auto"/>
              <w:right w:val="single" w:sz="4" w:space="0" w:color="auto"/>
            </w:tcBorders>
          </w:tcPr>
          <w:p w14:paraId="58B52559" w14:textId="77777777" w:rsidR="00632208" w:rsidRPr="0098635C" w:rsidRDefault="00632208" w:rsidP="00A432B0">
            <w:pPr>
              <w:spacing w:after="0"/>
              <w:rPr>
                <w:color w:val="000000" w:themeColor="text1"/>
                <w:sz w:val="20"/>
                <w:szCs w:val="20"/>
              </w:rPr>
            </w:pPr>
            <w:r w:rsidRPr="0098635C">
              <w:rPr>
                <w:color w:val="000000" w:themeColor="text1"/>
                <w:sz w:val="20"/>
                <w:szCs w:val="20"/>
              </w:rPr>
              <w:t>14.2</w:t>
            </w:r>
          </w:p>
        </w:tc>
        <w:tc>
          <w:tcPr>
            <w:tcW w:w="1275" w:type="dxa"/>
            <w:tcBorders>
              <w:top w:val="nil"/>
              <w:left w:val="nil"/>
              <w:bottom w:val="single" w:sz="4" w:space="0" w:color="auto"/>
              <w:right w:val="single" w:sz="4" w:space="0" w:color="auto"/>
            </w:tcBorders>
          </w:tcPr>
          <w:p w14:paraId="3866B840" w14:textId="77777777" w:rsidR="00632208" w:rsidRPr="0098635C" w:rsidRDefault="00632208" w:rsidP="00A432B0">
            <w:pPr>
              <w:spacing w:after="0"/>
              <w:rPr>
                <w:color w:val="000000" w:themeColor="text1"/>
                <w:sz w:val="20"/>
                <w:szCs w:val="20"/>
              </w:rPr>
            </w:pPr>
            <w:r w:rsidRPr="0098635C">
              <w:rPr>
                <w:color w:val="000000" w:themeColor="text1"/>
                <w:sz w:val="20"/>
                <w:szCs w:val="20"/>
              </w:rPr>
              <w:t>Static</w:t>
            </w:r>
          </w:p>
        </w:tc>
        <w:tc>
          <w:tcPr>
            <w:tcW w:w="851" w:type="dxa"/>
            <w:tcBorders>
              <w:top w:val="nil"/>
              <w:left w:val="nil"/>
              <w:bottom w:val="single" w:sz="4" w:space="0" w:color="auto"/>
              <w:right w:val="single" w:sz="4" w:space="0" w:color="auto"/>
            </w:tcBorders>
          </w:tcPr>
          <w:p w14:paraId="57B73ED3" w14:textId="77777777" w:rsidR="00632208" w:rsidRPr="0098635C" w:rsidRDefault="00632208" w:rsidP="00A432B0">
            <w:pPr>
              <w:spacing w:after="0"/>
              <w:rPr>
                <w:color w:val="000000" w:themeColor="text1"/>
                <w:sz w:val="20"/>
                <w:szCs w:val="20"/>
              </w:rPr>
            </w:pPr>
            <w:r w:rsidRPr="0098635C">
              <w:rPr>
                <w:color w:val="000000" w:themeColor="text1"/>
                <w:sz w:val="20"/>
                <w:szCs w:val="20"/>
              </w:rPr>
              <w:t>1.2m</w:t>
            </w:r>
          </w:p>
        </w:tc>
        <w:tc>
          <w:tcPr>
            <w:tcW w:w="850" w:type="dxa"/>
            <w:tcBorders>
              <w:top w:val="nil"/>
              <w:left w:val="nil"/>
              <w:bottom w:val="single" w:sz="4" w:space="0" w:color="auto"/>
              <w:right w:val="single" w:sz="4" w:space="0" w:color="auto"/>
            </w:tcBorders>
          </w:tcPr>
          <w:p w14:paraId="2BF1FABF" w14:textId="77777777" w:rsidR="00632208" w:rsidRPr="0098635C" w:rsidRDefault="00632208" w:rsidP="00A432B0">
            <w:pPr>
              <w:spacing w:after="0"/>
              <w:rPr>
                <w:color w:val="000000" w:themeColor="text1"/>
                <w:sz w:val="20"/>
                <w:szCs w:val="20"/>
              </w:rPr>
            </w:pPr>
            <w:r w:rsidRPr="0098635C">
              <w:rPr>
                <w:color w:val="000000" w:themeColor="text1"/>
                <w:sz w:val="20"/>
                <w:szCs w:val="20"/>
              </w:rPr>
              <w:t>2.0e</w:t>
            </w:r>
          </w:p>
        </w:tc>
        <w:tc>
          <w:tcPr>
            <w:tcW w:w="1276" w:type="dxa"/>
            <w:tcBorders>
              <w:top w:val="nil"/>
              <w:left w:val="nil"/>
              <w:bottom w:val="single" w:sz="4" w:space="0" w:color="auto"/>
              <w:right w:val="single" w:sz="4" w:space="0" w:color="auto"/>
            </w:tcBorders>
          </w:tcPr>
          <w:p w14:paraId="7D2D3FE8" w14:textId="77777777" w:rsidR="00632208" w:rsidRPr="0098635C" w:rsidRDefault="00632208" w:rsidP="00A432B0">
            <w:pPr>
              <w:spacing w:after="0"/>
              <w:rPr>
                <w:color w:val="000000" w:themeColor="text1"/>
                <w:sz w:val="20"/>
                <w:szCs w:val="20"/>
              </w:rPr>
            </w:pPr>
            <w:r w:rsidRPr="0098635C">
              <w:rPr>
                <w:color w:val="000000" w:themeColor="text1"/>
                <w:sz w:val="20"/>
                <w:szCs w:val="20"/>
              </w:rPr>
              <w:t>not reported</w:t>
            </w:r>
          </w:p>
        </w:tc>
        <w:tc>
          <w:tcPr>
            <w:tcW w:w="2268" w:type="dxa"/>
            <w:tcBorders>
              <w:top w:val="nil"/>
              <w:left w:val="nil"/>
              <w:bottom w:val="single" w:sz="4" w:space="0" w:color="auto"/>
              <w:right w:val="single" w:sz="4" w:space="0" w:color="auto"/>
            </w:tcBorders>
          </w:tcPr>
          <w:p w14:paraId="4BF9B545" w14:textId="77777777" w:rsidR="00632208" w:rsidRPr="0098635C" w:rsidRDefault="00632208" w:rsidP="00A432B0">
            <w:pPr>
              <w:spacing w:after="0"/>
              <w:rPr>
                <w:color w:val="000000" w:themeColor="text1"/>
                <w:sz w:val="20"/>
                <w:szCs w:val="20"/>
              </w:rPr>
            </w:pPr>
            <w:r w:rsidRPr="0098635C">
              <w:rPr>
                <w:color w:val="000000" w:themeColor="text1"/>
                <w:sz w:val="20"/>
                <w:szCs w:val="20"/>
              </w:rPr>
              <w:t>Natural seawater</w:t>
            </w:r>
          </w:p>
        </w:tc>
        <w:tc>
          <w:tcPr>
            <w:tcW w:w="1985" w:type="dxa"/>
            <w:tcBorders>
              <w:top w:val="nil"/>
              <w:left w:val="nil"/>
              <w:bottom w:val="single" w:sz="4" w:space="0" w:color="auto"/>
              <w:right w:val="double" w:sz="6" w:space="0" w:color="auto"/>
            </w:tcBorders>
          </w:tcPr>
          <w:p w14:paraId="45ABF9FF" w14:textId="77777777" w:rsidR="00632208" w:rsidRPr="0098635C" w:rsidRDefault="00632208" w:rsidP="00A432B0">
            <w:pPr>
              <w:spacing w:after="0"/>
              <w:rPr>
                <w:color w:val="000000" w:themeColor="text1"/>
                <w:sz w:val="20"/>
                <w:szCs w:val="20"/>
              </w:rPr>
            </w:pPr>
            <w:r w:rsidRPr="0098635C">
              <w:rPr>
                <w:color w:val="000000" w:themeColor="text1"/>
                <w:sz w:val="20"/>
                <w:szCs w:val="20"/>
              </w:rPr>
              <w:t>Reichelt-Brushett, 2004</w:t>
            </w:r>
          </w:p>
        </w:tc>
      </w:tr>
      <w:tr w:rsidR="00632208" w:rsidRPr="0098635C" w14:paraId="254DE5BC" w14:textId="77777777" w:rsidTr="00A432B0">
        <w:trPr>
          <w:trHeight w:val="74"/>
        </w:trPr>
        <w:tc>
          <w:tcPr>
            <w:tcW w:w="2073" w:type="dxa"/>
            <w:tcBorders>
              <w:top w:val="nil"/>
              <w:left w:val="double" w:sz="6" w:space="0" w:color="auto"/>
              <w:bottom w:val="single" w:sz="4" w:space="0" w:color="auto"/>
              <w:right w:val="single" w:sz="4" w:space="0" w:color="auto"/>
            </w:tcBorders>
          </w:tcPr>
          <w:p w14:paraId="053A703A"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Acropora tenuis</w:t>
            </w:r>
          </w:p>
        </w:tc>
        <w:tc>
          <w:tcPr>
            <w:tcW w:w="1559" w:type="dxa"/>
            <w:tcBorders>
              <w:top w:val="nil"/>
              <w:left w:val="nil"/>
              <w:bottom w:val="single" w:sz="4" w:space="0" w:color="auto"/>
              <w:right w:val="single" w:sz="4" w:space="0" w:color="auto"/>
            </w:tcBorders>
          </w:tcPr>
          <w:p w14:paraId="2DF00B1B" w14:textId="77777777" w:rsidR="00632208" w:rsidRPr="0098635C" w:rsidRDefault="00632208" w:rsidP="00A432B0">
            <w:pPr>
              <w:spacing w:after="0"/>
              <w:rPr>
                <w:color w:val="000000" w:themeColor="text1"/>
                <w:sz w:val="20"/>
                <w:szCs w:val="20"/>
              </w:rPr>
            </w:pPr>
            <w:r w:rsidRPr="0098635C">
              <w:rPr>
                <w:color w:val="000000" w:themeColor="text1"/>
                <w:sz w:val="20"/>
                <w:szCs w:val="20"/>
              </w:rPr>
              <w:t>Larvae</w:t>
            </w:r>
          </w:p>
        </w:tc>
        <w:tc>
          <w:tcPr>
            <w:tcW w:w="992" w:type="dxa"/>
            <w:tcBorders>
              <w:top w:val="nil"/>
              <w:left w:val="nil"/>
              <w:bottom w:val="single" w:sz="4" w:space="0" w:color="auto"/>
              <w:right w:val="single" w:sz="4" w:space="0" w:color="auto"/>
            </w:tcBorders>
          </w:tcPr>
          <w:p w14:paraId="6CE6E0D3" w14:textId="77777777" w:rsidR="00632208" w:rsidRPr="0098635C" w:rsidRDefault="00632208" w:rsidP="00A432B0">
            <w:pPr>
              <w:spacing w:after="0"/>
              <w:rPr>
                <w:color w:val="000000" w:themeColor="text1"/>
                <w:sz w:val="20"/>
                <w:szCs w:val="20"/>
              </w:rPr>
            </w:pPr>
            <w:r w:rsidRPr="0098635C">
              <w:rPr>
                <w:color w:val="000000" w:themeColor="text1"/>
                <w:sz w:val="20"/>
                <w:szCs w:val="20"/>
              </w:rPr>
              <w:t>48 hours</w:t>
            </w:r>
          </w:p>
        </w:tc>
        <w:tc>
          <w:tcPr>
            <w:tcW w:w="1134" w:type="dxa"/>
            <w:tcBorders>
              <w:top w:val="nil"/>
              <w:left w:val="nil"/>
              <w:bottom w:val="single" w:sz="4" w:space="0" w:color="auto"/>
              <w:right w:val="single" w:sz="4" w:space="0" w:color="auto"/>
            </w:tcBorders>
          </w:tcPr>
          <w:p w14:paraId="704BEC92" w14:textId="77777777" w:rsidR="00632208" w:rsidRPr="0098635C" w:rsidRDefault="00632208" w:rsidP="00A432B0">
            <w:pPr>
              <w:spacing w:after="0"/>
              <w:rPr>
                <w:color w:val="000000" w:themeColor="text1"/>
                <w:sz w:val="20"/>
                <w:szCs w:val="20"/>
              </w:rPr>
            </w:pPr>
            <w:r w:rsidRPr="0098635C">
              <w:rPr>
                <w:color w:val="000000" w:themeColor="text1"/>
                <w:sz w:val="20"/>
                <w:szCs w:val="20"/>
              </w:rPr>
              <w:t>Settlement success</w:t>
            </w:r>
          </w:p>
        </w:tc>
        <w:tc>
          <w:tcPr>
            <w:tcW w:w="851" w:type="dxa"/>
            <w:tcBorders>
              <w:top w:val="nil"/>
              <w:left w:val="nil"/>
              <w:bottom w:val="single" w:sz="4" w:space="0" w:color="auto"/>
              <w:right w:val="single" w:sz="4" w:space="0" w:color="auto"/>
            </w:tcBorders>
          </w:tcPr>
          <w:p w14:paraId="2BBF88DD" w14:textId="77777777" w:rsidR="00632208" w:rsidRPr="0098635C" w:rsidRDefault="00632208" w:rsidP="00A432B0">
            <w:pPr>
              <w:spacing w:after="0"/>
              <w:rPr>
                <w:color w:val="000000" w:themeColor="text1"/>
                <w:sz w:val="20"/>
                <w:szCs w:val="20"/>
              </w:rPr>
            </w:pPr>
            <w:r w:rsidRPr="0098635C">
              <w:rPr>
                <w:color w:val="000000" w:themeColor="text1"/>
                <w:sz w:val="20"/>
                <w:szCs w:val="20"/>
              </w:rPr>
              <w:t>17.3</w:t>
            </w:r>
          </w:p>
        </w:tc>
        <w:tc>
          <w:tcPr>
            <w:tcW w:w="1275" w:type="dxa"/>
            <w:tcBorders>
              <w:top w:val="nil"/>
              <w:left w:val="nil"/>
              <w:bottom w:val="single" w:sz="4" w:space="0" w:color="auto"/>
              <w:right w:val="single" w:sz="4" w:space="0" w:color="auto"/>
            </w:tcBorders>
          </w:tcPr>
          <w:p w14:paraId="6DF24872" w14:textId="77777777" w:rsidR="00632208" w:rsidRPr="0098635C" w:rsidRDefault="00632208" w:rsidP="00A432B0">
            <w:pPr>
              <w:spacing w:after="0"/>
              <w:rPr>
                <w:color w:val="000000" w:themeColor="text1"/>
                <w:sz w:val="20"/>
                <w:szCs w:val="20"/>
              </w:rPr>
            </w:pPr>
            <w:r w:rsidRPr="0098635C">
              <w:rPr>
                <w:color w:val="000000" w:themeColor="text1"/>
                <w:sz w:val="20"/>
                <w:szCs w:val="20"/>
              </w:rPr>
              <w:t>Static</w:t>
            </w:r>
          </w:p>
        </w:tc>
        <w:tc>
          <w:tcPr>
            <w:tcW w:w="851" w:type="dxa"/>
            <w:tcBorders>
              <w:top w:val="nil"/>
              <w:left w:val="nil"/>
              <w:bottom w:val="single" w:sz="4" w:space="0" w:color="auto"/>
              <w:right w:val="single" w:sz="4" w:space="0" w:color="auto"/>
            </w:tcBorders>
          </w:tcPr>
          <w:p w14:paraId="02D2262B" w14:textId="77777777" w:rsidR="00632208" w:rsidRPr="0098635C" w:rsidRDefault="00632208" w:rsidP="00A432B0">
            <w:pPr>
              <w:spacing w:after="0"/>
              <w:rPr>
                <w:color w:val="000000" w:themeColor="text1"/>
                <w:sz w:val="20"/>
                <w:szCs w:val="20"/>
              </w:rPr>
            </w:pPr>
            <w:r w:rsidRPr="0098635C">
              <w:rPr>
                <w:color w:val="000000" w:themeColor="text1"/>
                <w:sz w:val="20"/>
                <w:szCs w:val="20"/>
              </w:rPr>
              <w:t>0.63m</w:t>
            </w:r>
          </w:p>
        </w:tc>
        <w:tc>
          <w:tcPr>
            <w:tcW w:w="850" w:type="dxa"/>
            <w:tcBorders>
              <w:top w:val="nil"/>
              <w:left w:val="nil"/>
              <w:bottom w:val="single" w:sz="4" w:space="0" w:color="auto"/>
              <w:right w:val="single" w:sz="4" w:space="0" w:color="auto"/>
            </w:tcBorders>
          </w:tcPr>
          <w:p w14:paraId="530EF0B3" w14:textId="77777777" w:rsidR="00632208" w:rsidRPr="0098635C" w:rsidRDefault="00632208" w:rsidP="00A432B0">
            <w:pPr>
              <w:spacing w:after="0"/>
              <w:rPr>
                <w:color w:val="000000" w:themeColor="text1"/>
                <w:sz w:val="20"/>
                <w:szCs w:val="20"/>
              </w:rPr>
            </w:pPr>
            <w:r w:rsidRPr="0098635C">
              <w:rPr>
                <w:color w:val="000000" w:themeColor="text1"/>
                <w:sz w:val="20"/>
                <w:szCs w:val="20"/>
              </w:rPr>
              <w:t>2.0e</w:t>
            </w:r>
          </w:p>
        </w:tc>
        <w:tc>
          <w:tcPr>
            <w:tcW w:w="1276" w:type="dxa"/>
            <w:tcBorders>
              <w:top w:val="nil"/>
              <w:left w:val="nil"/>
              <w:bottom w:val="single" w:sz="4" w:space="0" w:color="auto"/>
              <w:right w:val="single" w:sz="4" w:space="0" w:color="auto"/>
            </w:tcBorders>
          </w:tcPr>
          <w:p w14:paraId="7F34DBE4" w14:textId="77777777" w:rsidR="00632208" w:rsidRPr="0098635C" w:rsidRDefault="00632208" w:rsidP="00A432B0">
            <w:pPr>
              <w:spacing w:after="0"/>
              <w:rPr>
                <w:color w:val="000000" w:themeColor="text1"/>
                <w:sz w:val="20"/>
                <w:szCs w:val="20"/>
              </w:rPr>
            </w:pPr>
            <w:r w:rsidRPr="0098635C">
              <w:rPr>
                <w:color w:val="000000" w:themeColor="text1"/>
                <w:sz w:val="20"/>
                <w:szCs w:val="20"/>
              </w:rPr>
              <w:t>not reported</w:t>
            </w:r>
          </w:p>
        </w:tc>
        <w:tc>
          <w:tcPr>
            <w:tcW w:w="2268" w:type="dxa"/>
            <w:tcBorders>
              <w:top w:val="nil"/>
              <w:left w:val="nil"/>
              <w:bottom w:val="single" w:sz="4" w:space="0" w:color="auto"/>
              <w:right w:val="single" w:sz="4" w:space="0" w:color="auto"/>
            </w:tcBorders>
          </w:tcPr>
          <w:p w14:paraId="29E4BB02" w14:textId="77777777" w:rsidR="00632208" w:rsidRPr="0098635C" w:rsidRDefault="00632208" w:rsidP="00A432B0">
            <w:pPr>
              <w:spacing w:after="0"/>
              <w:rPr>
                <w:color w:val="000000" w:themeColor="text1"/>
                <w:sz w:val="20"/>
                <w:szCs w:val="20"/>
              </w:rPr>
            </w:pPr>
            <w:r w:rsidRPr="0098635C">
              <w:rPr>
                <w:color w:val="000000" w:themeColor="text1"/>
                <w:sz w:val="20"/>
                <w:szCs w:val="20"/>
              </w:rPr>
              <w:t>Natural seawater</w:t>
            </w:r>
          </w:p>
        </w:tc>
        <w:tc>
          <w:tcPr>
            <w:tcW w:w="1985" w:type="dxa"/>
            <w:tcBorders>
              <w:top w:val="nil"/>
              <w:left w:val="nil"/>
              <w:bottom w:val="single" w:sz="4" w:space="0" w:color="auto"/>
              <w:right w:val="double" w:sz="6" w:space="0" w:color="auto"/>
            </w:tcBorders>
          </w:tcPr>
          <w:p w14:paraId="46E6F4E6" w14:textId="77777777" w:rsidR="00632208" w:rsidRPr="0098635C" w:rsidRDefault="00632208" w:rsidP="00A432B0">
            <w:pPr>
              <w:spacing w:after="0"/>
              <w:rPr>
                <w:color w:val="000000" w:themeColor="text1"/>
                <w:sz w:val="20"/>
                <w:szCs w:val="20"/>
              </w:rPr>
            </w:pPr>
            <w:r w:rsidRPr="0098635C">
              <w:rPr>
                <w:color w:val="000000" w:themeColor="text1"/>
                <w:sz w:val="20"/>
                <w:szCs w:val="20"/>
              </w:rPr>
              <w:t>Reichelt-Brushett, 2000</w:t>
            </w:r>
          </w:p>
        </w:tc>
      </w:tr>
      <w:tr w:rsidR="00632208" w:rsidRPr="0098635C" w14:paraId="24381DDB" w14:textId="77777777" w:rsidTr="00A432B0">
        <w:trPr>
          <w:trHeight w:val="265"/>
        </w:trPr>
        <w:tc>
          <w:tcPr>
            <w:tcW w:w="2073" w:type="dxa"/>
            <w:tcBorders>
              <w:top w:val="nil"/>
              <w:left w:val="double" w:sz="6" w:space="0" w:color="auto"/>
              <w:bottom w:val="single" w:sz="4" w:space="0" w:color="auto"/>
              <w:right w:val="single" w:sz="4" w:space="0" w:color="auto"/>
            </w:tcBorders>
          </w:tcPr>
          <w:p w14:paraId="38733065"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Lobophytum compactum</w:t>
            </w:r>
          </w:p>
        </w:tc>
        <w:tc>
          <w:tcPr>
            <w:tcW w:w="1559" w:type="dxa"/>
            <w:tcBorders>
              <w:top w:val="nil"/>
              <w:left w:val="nil"/>
              <w:bottom w:val="single" w:sz="4" w:space="0" w:color="auto"/>
              <w:right w:val="single" w:sz="4" w:space="0" w:color="auto"/>
            </w:tcBorders>
          </w:tcPr>
          <w:p w14:paraId="36145707" w14:textId="77777777" w:rsidR="00632208" w:rsidRPr="0098635C" w:rsidRDefault="00632208" w:rsidP="00A432B0">
            <w:pPr>
              <w:spacing w:after="0"/>
              <w:rPr>
                <w:color w:val="000000" w:themeColor="text1"/>
                <w:sz w:val="20"/>
                <w:szCs w:val="20"/>
              </w:rPr>
            </w:pPr>
            <w:r w:rsidRPr="0098635C">
              <w:rPr>
                <w:color w:val="000000" w:themeColor="text1"/>
                <w:sz w:val="20"/>
                <w:szCs w:val="20"/>
              </w:rPr>
              <w:t>Eggs/sperm</w:t>
            </w:r>
          </w:p>
        </w:tc>
        <w:tc>
          <w:tcPr>
            <w:tcW w:w="992" w:type="dxa"/>
            <w:tcBorders>
              <w:top w:val="nil"/>
              <w:left w:val="nil"/>
              <w:bottom w:val="single" w:sz="4" w:space="0" w:color="auto"/>
              <w:right w:val="single" w:sz="4" w:space="0" w:color="auto"/>
            </w:tcBorders>
          </w:tcPr>
          <w:p w14:paraId="455B7432" w14:textId="77777777" w:rsidR="00632208" w:rsidRPr="0098635C" w:rsidRDefault="00632208" w:rsidP="00A432B0">
            <w:pPr>
              <w:spacing w:after="0"/>
              <w:rPr>
                <w:color w:val="000000" w:themeColor="text1"/>
                <w:sz w:val="20"/>
                <w:szCs w:val="20"/>
              </w:rPr>
            </w:pPr>
            <w:r w:rsidRPr="0098635C">
              <w:rPr>
                <w:color w:val="000000" w:themeColor="text1"/>
                <w:sz w:val="20"/>
                <w:szCs w:val="20"/>
              </w:rPr>
              <w:t>5 hours</w:t>
            </w:r>
          </w:p>
        </w:tc>
        <w:tc>
          <w:tcPr>
            <w:tcW w:w="1134" w:type="dxa"/>
            <w:tcBorders>
              <w:top w:val="nil"/>
              <w:left w:val="nil"/>
              <w:bottom w:val="single" w:sz="4" w:space="0" w:color="auto"/>
              <w:right w:val="single" w:sz="4" w:space="0" w:color="auto"/>
            </w:tcBorders>
          </w:tcPr>
          <w:p w14:paraId="60857508" w14:textId="77777777" w:rsidR="00632208" w:rsidRPr="0098635C" w:rsidRDefault="00632208" w:rsidP="00A432B0">
            <w:pPr>
              <w:spacing w:after="0"/>
              <w:rPr>
                <w:color w:val="000000" w:themeColor="text1"/>
                <w:sz w:val="20"/>
                <w:szCs w:val="20"/>
              </w:rPr>
            </w:pPr>
            <w:r w:rsidRPr="0098635C">
              <w:rPr>
                <w:color w:val="000000" w:themeColor="text1"/>
                <w:sz w:val="20"/>
                <w:szCs w:val="20"/>
              </w:rPr>
              <w:t>Fertilisa-tion success</w:t>
            </w:r>
          </w:p>
        </w:tc>
        <w:tc>
          <w:tcPr>
            <w:tcW w:w="851" w:type="dxa"/>
            <w:tcBorders>
              <w:top w:val="nil"/>
              <w:left w:val="nil"/>
              <w:bottom w:val="single" w:sz="4" w:space="0" w:color="auto"/>
              <w:right w:val="single" w:sz="4" w:space="0" w:color="auto"/>
            </w:tcBorders>
          </w:tcPr>
          <w:p w14:paraId="7AE7B00F" w14:textId="77777777" w:rsidR="00632208" w:rsidRPr="0098635C" w:rsidRDefault="00632208" w:rsidP="00A432B0">
            <w:pPr>
              <w:spacing w:after="0"/>
              <w:rPr>
                <w:color w:val="000000" w:themeColor="text1"/>
                <w:sz w:val="20"/>
                <w:szCs w:val="20"/>
              </w:rPr>
            </w:pPr>
            <w:r w:rsidRPr="0098635C">
              <w:rPr>
                <w:color w:val="000000" w:themeColor="text1"/>
                <w:sz w:val="20"/>
                <w:szCs w:val="20"/>
              </w:rPr>
              <w:t>36.0</w:t>
            </w:r>
          </w:p>
        </w:tc>
        <w:tc>
          <w:tcPr>
            <w:tcW w:w="1275" w:type="dxa"/>
            <w:tcBorders>
              <w:top w:val="nil"/>
              <w:left w:val="nil"/>
              <w:bottom w:val="single" w:sz="4" w:space="0" w:color="auto"/>
              <w:right w:val="single" w:sz="4" w:space="0" w:color="auto"/>
            </w:tcBorders>
          </w:tcPr>
          <w:p w14:paraId="255A2ED4" w14:textId="77777777" w:rsidR="00632208" w:rsidRPr="0098635C" w:rsidRDefault="00632208" w:rsidP="00A432B0">
            <w:pPr>
              <w:spacing w:after="0"/>
              <w:rPr>
                <w:color w:val="000000" w:themeColor="text1"/>
                <w:sz w:val="20"/>
                <w:szCs w:val="20"/>
              </w:rPr>
            </w:pPr>
            <w:r w:rsidRPr="0098635C">
              <w:rPr>
                <w:color w:val="000000" w:themeColor="text1"/>
                <w:sz w:val="20"/>
                <w:szCs w:val="20"/>
              </w:rPr>
              <w:t>Static</w:t>
            </w:r>
          </w:p>
        </w:tc>
        <w:tc>
          <w:tcPr>
            <w:tcW w:w="851" w:type="dxa"/>
            <w:tcBorders>
              <w:top w:val="nil"/>
              <w:left w:val="nil"/>
              <w:bottom w:val="single" w:sz="4" w:space="0" w:color="auto"/>
              <w:right w:val="single" w:sz="4" w:space="0" w:color="auto"/>
            </w:tcBorders>
          </w:tcPr>
          <w:p w14:paraId="0FC34CC4" w14:textId="77777777" w:rsidR="00632208" w:rsidRPr="0098635C" w:rsidRDefault="00632208" w:rsidP="00A432B0">
            <w:pPr>
              <w:spacing w:after="0"/>
              <w:rPr>
                <w:color w:val="000000" w:themeColor="text1"/>
                <w:sz w:val="20"/>
                <w:szCs w:val="20"/>
              </w:rPr>
            </w:pPr>
            <w:r w:rsidRPr="0098635C">
              <w:rPr>
                <w:color w:val="000000" w:themeColor="text1"/>
                <w:sz w:val="20"/>
                <w:szCs w:val="20"/>
              </w:rPr>
              <w:t>NR</w:t>
            </w:r>
          </w:p>
        </w:tc>
        <w:tc>
          <w:tcPr>
            <w:tcW w:w="850" w:type="dxa"/>
            <w:tcBorders>
              <w:top w:val="nil"/>
              <w:left w:val="nil"/>
              <w:bottom w:val="single" w:sz="4" w:space="0" w:color="auto"/>
              <w:right w:val="single" w:sz="4" w:space="0" w:color="auto"/>
            </w:tcBorders>
          </w:tcPr>
          <w:p w14:paraId="5264B532" w14:textId="77777777" w:rsidR="00632208" w:rsidRPr="0098635C" w:rsidRDefault="00632208" w:rsidP="00A432B0">
            <w:pPr>
              <w:spacing w:after="0"/>
              <w:rPr>
                <w:color w:val="000000" w:themeColor="text1"/>
                <w:sz w:val="20"/>
                <w:szCs w:val="20"/>
              </w:rPr>
            </w:pPr>
            <w:r w:rsidRPr="0098635C">
              <w:rPr>
                <w:color w:val="000000" w:themeColor="text1"/>
                <w:sz w:val="20"/>
                <w:szCs w:val="20"/>
              </w:rPr>
              <w:t>2.0e</w:t>
            </w:r>
          </w:p>
        </w:tc>
        <w:tc>
          <w:tcPr>
            <w:tcW w:w="1276" w:type="dxa"/>
            <w:tcBorders>
              <w:top w:val="nil"/>
              <w:left w:val="nil"/>
              <w:bottom w:val="single" w:sz="4" w:space="0" w:color="auto"/>
              <w:right w:val="single" w:sz="4" w:space="0" w:color="auto"/>
            </w:tcBorders>
          </w:tcPr>
          <w:p w14:paraId="7C882FA1" w14:textId="77777777" w:rsidR="00632208" w:rsidRPr="0098635C" w:rsidRDefault="00632208" w:rsidP="00A432B0">
            <w:pPr>
              <w:spacing w:after="0"/>
              <w:rPr>
                <w:color w:val="000000" w:themeColor="text1"/>
                <w:sz w:val="20"/>
                <w:szCs w:val="20"/>
              </w:rPr>
            </w:pPr>
            <w:r w:rsidRPr="0098635C">
              <w:rPr>
                <w:color w:val="000000" w:themeColor="text1"/>
                <w:sz w:val="20"/>
                <w:szCs w:val="20"/>
              </w:rPr>
              <w:t>not reported</w:t>
            </w:r>
          </w:p>
        </w:tc>
        <w:tc>
          <w:tcPr>
            <w:tcW w:w="2268" w:type="dxa"/>
            <w:tcBorders>
              <w:top w:val="nil"/>
              <w:left w:val="nil"/>
              <w:bottom w:val="single" w:sz="4" w:space="0" w:color="auto"/>
              <w:right w:val="single" w:sz="4" w:space="0" w:color="auto"/>
            </w:tcBorders>
          </w:tcPr>
          <w:p w14:paraId="0F9825FB" w14:textId="77777777" w:rsidR="00632208" w:rsidRPr="0098635C" w:rsidRDefault="00632208" w:rsidP="00A432B0">
            <w:pPr>
              <w:spacing w:after="0"/>
              <w:rPr>
                <w:color w:val="000000" w:themeColor="text1"/>
                <w:sz w:val="20"/>
                <w:szCs w:val="20"/>
              </w:rPr>
            </w:pPr>
            <w:r w:rsidRPr="0098635C">
              <w:rPr>
                <w:color w:val="000000" w:themeColor="text1"/>
                <w:sz w:val="20"/>
                <w:szCs w:val="20"/>
              </w:rPr>
              <w:t>Natural seawater</w:t>
            </w:r>
          </w:p>
        </w:tc>
        <w:tc>
          <w:tcPr>
            <w:tcW w:w="1985" w:type="dxa"/>
            <w:tcBorders>
              <w:top w:val="nil"/>
              <w:left w:val="nil"/>
              <w:bottom w:val="single" w:sz="4" w:space="0" w:color="auto"/>
              <w:right w:val="double" w:sz="6" w:space="0" w:color="auto"/>
            </w:tcBorders>
          </w:tcPr>
          <w:p w14:paraId="5AF5D6A3" w14:textId="77777777" w:rsidR="00632208" w:rsidRPr="0098635C" w:rsidRDefault="00632208" w:rsidP="00A432B0">
            <w:pPr>
              <w:spacing w:after="0"/>
              <w:rPr>
                <w:color w:val="000000" w:themeColor="text1"/>
                <w:sz w:val="20"/>
                <w:szCs w:val="20"/>
              </w:rPr>
            </w:pPr>
            <w:r w:rsidRPr="0098635C">
              <w:rPr>
                <w:color w:val="000000" w:themeColor="text1"/>
                <w:sz w:val="20"/>
                <w:szCs w:val="20"/>
              </w:rPr>
              <w:t>Reichelt-Brushett, 2005</w:t>
            </w:r>
          </w:p>
        </w:tc>
      </w:tr>
      <w:tr w:rsidR="00632208" w:rsidRPr="0098635C" w14:paraId="653085CB" w14:textId="77777777" w:rsidTr="00A432B0">
        <w:trPr>
          <w:trHeight w:val="74"/>
        </w:trPr>
        <w:tc>
          <w:tcPr>
            <w:tcW w:w="2073" w:type="dxa"/>
            <w:tcBorders>
              <w:top w:val="nil"/>
              <w:left w:val="double" w:sz="6" w:space="0" w:color="auto"/>
              <w:bottom w:val="single" w:sz="4" w:space="0" w:color="auto"/>
              <w:right w:val="single" w:sz="4" w:space="0" w:color="auto"/>
            </w:tcBorders>
          </w:tcPr>
          <w:p w14:paraId="17DE30F4"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Protothaca staminea</w:t>
            </w:r>
          </w:p>
        </w:tc>
        <w:tc>
          <w:tcPr>
            <w:tcW w:w="1559" w:type="dxa"/>
            <w:tcBorders>
              <w:top w:val="nil"/>
              <w:left w:val="nil"/>
              <w:bottom w:val="single" w:sz="4" w:space="0" w:color="auto"/>
              <w:right w:val="single" w:sz="4" w:space="0" w:color="auto"/>
            </w:tcBorders>
          </w:tcPr>
          <w:p w14:paraId="4208C4AD" w14:textId="77777777" w:rsidR="00632208" w:rsidRPr="0098635C" w:rsidRDefault="00632208" w:rsidP="00A432B0">
            <w:pPr>
              <w:spacing w:after="0"/>
              <w:rPr>
                <w:color w:val="000000" w:themeColor="text1"/>
                <w:sz w:val="20"/>
                <w:szCs w:val="20"/>
              </w:rPr>
            </w:pPr>
            <w:r w:rsidRPr="0098635C">
              <w:rPr>
                <w:color w:val="000000" w:themeColor="text1"/>
                <w:sz w:val="20"/>
                <w:szCs w:val="20"/>
              </w:rPr>
              <w:t>5.2 to 5.8 cm total length</w:t>
            </w:r>
          </w:p>
        </w:tc>
        <w:tc>
          <w:tcPr>
            <w:tcW w:w="992" w:type="dxa"/>
            <w:tcBorders>
              <w:top w:val="nil"/>
              <w:left w:val="nil"/>
              <w:bottom w:val="single" w:sz="4" w:space="0" w:color="auto"/>
              <w:right w:val="single" w:sz="4" w:space="0" w:color="auto"/>
            </w:tcBorders>
          </w:tcPr>
          <w:p w14:paraId="656DF7FD" w14:textId="77777777" w:rsidR="00632208" w:rsidRPr="0098635C" w:rsidRDefault="00632208" w:rsidP="00A432B0">
            <w:pPr>
              <w:spacing w:after="0"/>
              <w:rPr>
                <w:color w:val="000000" w:themeColor="text1"/>
                <w:sz w:val="20"/>
                <w:szCs w:val="20"/>
              </w:rPr>
            </w:pPr>
            <w:r w:rsidRPr="0098635C">
              <w:rPr>
                <w:color w:val="000000" w:themeColor="text1"/>
                <w:sz w:val="20"/>
                <w:szCs w:val="20"/>
              </w:rPr>
              <w:t>30 days</w:t>
            </w:r>
          </w:p>
        </w:tc>
        <w:tc>
          <w:tcPr>
            <w:tcW w:w="1134" w:type="dxa"/>
            <w:tcBorders>
              <w:top w:val="nil"/>
              <w:left w:val="nil"/>
              <w:bottom w:val="single" w:sz="4" w:space="0" w:color="auto"/>
              <w:right w:val="single" w:sz="4" w:space="0" w:color="auto"/>
            </w:tcBorders>
          </w:tcPr>
          <w:p w14:paraId="46CF8844" w14:textId="77777777" w:rsidR="00632208" w:rsidRPr="0098635C" w:rsidRDefault="00632208" w:rsidP="00A432B0">
            <w:pPr>
              <w:spacing w:after="0"/>
              <w:rPr>
                <w:color w:val="000000" w:themeColor="text1"/>
                <w:sz w:val="20"/>
                <w:szCs w:val="20"/>
              </w:rPr>
            </w:pPr>
            <w:r w:rsidRPr="0098635C">
              <w:rPr>
                <w:color w:val="000000" w:themeColor="text1"/>
                <w:sz w:val="20"/>
                <w:szCs w:val="20"/>
              </w:rPr>
              <w:t>Mortality</w:t>
            </w:r>
          </w:p>
        </w:tc>
        <w:tc>
          <w:tcPr>
            <w:tcW w:w="851" w:type="dxa"/>
            <w:tcBorders>
              <w:top w:val="nil"/>
              <w:left w:val="nil"/>
              <w:bottom w:val="single" w:sz="4" w:space="0" w:color="auto"/>
              <w:right w:val="single" w:sz="4" w:space="0" w:color="auto"/>
            </w:tcBorders>
          </w:tcPr>
          <w:p w14:paraId="22AB6D00" w14:textId="77777777" w:rsidR="00632208" w:rsidRPr="0098635C" w:rsidRDefault="00632208" w:rsidP="00A432B0">
            <w:pPr>
              <w:spacing w:after="0"/>
              <w:rPr>
                <w:color w:val="000000" w:themeColor="text1"/>
                <w:sz w:val="20"/>
                <w:szCs w:val="20"/>
              </w:rPr>
            </w:pPr>
            <w:r w:rsidRPr="0098635C">
              <w:rPr>
                <w:color w:val="000000" w:themeColor="text1"/>
                <w:sz w:val="20"/>
                <w:szCs w:val="20"/>
              </w:rPr>
              <w:t>18</w:t>
            </w:r>
          </w:p>
        </w:tc>
        <w:tc>
          <w:tcPr>
            <w:tcW w:w="1275" w:type="dxa"/>
            <w:tcBorders>
              <w:top w:val="nil"/>
              <w:left w:val="nil"/>
              <w:bottom w:val="single" w:sz="4" w:space="0" w:color="auto"/>
              <w:right w:val="single" w:sz="4" w:space="0" w:color="auto"/>
            </w:tcBorders>
          </w:tcPr>
          <w:p w14:paraId="258159BD" w14:textId="77777777" w:rsidR="00632208" w:rsidRPr="0098635C" w:rsidRDefault="00632208" w:rsidP="00A432B0">
            <w:pPr>
              <w:spacing w:after="0"/>
              <w:rPr>
                <w:color w:val="000000" w:themeColor="text1"/>
                <w:sz w:val="20"/>
                <w:szCs w:val="20"/>
              </w:rPr>
            </w:pPr>
            <w:r w:rsidRPr="0098635C">
              <w:rPr>
                <w:color w:val="000000" w:themeColor="text1"/>
                <w:sz w:val="20"/>
                <w:szCs w:val="20"/>
              </w:rPr>
              <w:t>Flowthrough</w:t>
            </w:r>
          </w:p>
        </w:tc>
        <w:tc>
          <w:tcPr>
            <w:tcW w:w="851" w:type="dxa"/>
            <w:tcBorders>
              <w:top w:val="nil"/>
              <w:left w:val="nil"/>
              <w:bottom w:val="single" w:sz="4" w:space="0" w:color="auto"/>
              <w:right w:val="single" w:sz="4" w:space="0" w:color="auto"/>
            </w:tcBorders>
          </w:tcPr>
          <w:p w14:paraId="6E5C7F19" w14:textId="77777777" w:rsidR="00632208" w:rsidRPr="0098635C" w:rsidRDefault="00632208" w:rsidP="00A432B0">
            <w:pPr>
              <w:spacing w:after="0"/>
              <w:rPr>
                <w:color w:val="000000" w:themeColor="text1"/>
                <w:sz w:val="20"/>
                <w:szCs w:val="20"/>
              </w:rPr>
            </w:pPr>
            <w:r w:rsidRPr="0098635C">
              <w:rPr>
                <w:color w:val="000000" w:themeColor="text1"/>
                <w:sz w:val="20"/>
                <w:szCs w:val="20"/>
              </w:rPr>
              <w:t>0.35m</w:t>
            </w:r>
          </w:p>
        </w:tc>
        <w:tc>
          <w:tcPr>
            <w:tcW w:w="850" w:type="dxa"/>
            <w:tcBorders>
              <w:top w:val="nil"/>
              <w:left w:val="nil"/>
              <w:bottom w:val="single" w:sz="4" w:space="0" w:color="auto"/>
              <w:right w:val="single" w:sz="4" w:space="0" w:color="auto"/>
            </w:tcBorders>
          </w:tcPr>
          <w:p w14:paraId="6D84E14F" w14:textId="77777777" w:rsidR="00632208" w:rsidRPr="0098635C" w:rsidRDefault="00632208" w:rsidP="00A432B0">
            <w:pPr>
              <w:spacing w:after="0"/>
              <w:rPr>
                <w:color w:val="000000" w:themeColor="text1"/>
                <w:sz w:val="20"/>
                <w:szCs w:val="20"/>
              </w:rPr>
            </w:pPr>
            <w:r w:rsidRPr="0098635C">
              <w:rPr>
                <w:color w:val="000000" w:themeColor="text1"/>
                <w:sz w:val="20"/>
                <w:szCs w:val="20"/>
              </w:rPr>
              <w:t>2.0e</w:t>
            </w:r>
          </w:p>
        </w:tc>
        <w:tc>
          <w:tcPr>
            <w:tcW w:w="1276" w:type="dxa"/>
            <w:tcBorders>
              <w:top w:val="nil"/>
              <w:left w:val="nil"/>
              <w:bottom w:val="single" w:sz="4" w:space="0" w:color="auto"/>
              <w:right w:val="single" w:sz="4" w:space="0" w:color="auto"/>
            </w:tcBorders>
          </w:tcPr>
          <w:p w14:paraId="1DC47E06" w14:textId="77777777" w:rsidR="00632208" w:rsidRPr="0098635C" w:rsidRDefault="00632208" w:rsidP="00A432B0">
            <w:pPr>
              <w:spacing w:after="0"/>
              <w:rPr>
                <w:color w:val="000000" w:themeColor="text1"/>
                <w:sz w:val="20"/>
                <w:szCs w:val="20"/>
              </w:rPr>
            </w:pPr>
            <w:r w:rsidRPr="0098635C">
              <w:rPr>
                <w:color w:val="000000" w:themeColor="text1"/>
                <w:sz w:val="20"/>
                <w:szCs w:val="20"/>
              </w:rPr>
              <w:t>32</w:t>
            </w:r>
          </w:p>
        </w:tc>
        <w:tc>
          <w:tcPr>
            <w:tcW w:w="2268" w:type="dxa"/>
            <w:tcBorders>
              <w:top w:val="nil"/>
              <w:left w:val="nil"/>
              <w:bottom w:val="single" w:sz="4" w:space="0" w:color="auto"/>
              <w:right w:val="single" w:sz="4" w:space="0" w:color="auto"/>
            </w:tcBorders>
          </w:tcPr>
          <w:p w14:paraId="16237C6E" w14:textId="77777777" w:rsidR="00632208" w:rsidRPr="0098635C" w:rsidRDefault="00632208" w:rsidP="00A432B0">
            <w:pPr>
              <w:spacing w:after="0"/>
              <w:rPr>
                <w:color w:val="000000" w:themeColor="text1"/>
                <w:sz w:val="20"/>
                <w:szCs w:val="20"/>
              </w:rPr>
            </w:pPr>
            <w:r w:rsidRPr="0098635C">
              <w:rPr>
                <w:color w:val="000000" w:themeColor="text1"/>
                <w:sz w:val="20"/>
                <w:szCs w:val="20"/>
              </w:rPr>
              <w:t>natural seawater</w:t>
            </w:r>
          </w:p>
        </w:tc>
        <w:tc>
          <w:tcPr>
            <w:tcW w:w="1985" w:type="dxa"/>
            <w:tcBorders>
              <w:top w:val="nil"/>
              <w:left w:val="nil"/>
              <w:bottom w:val="single" w:sz="4" w:space="0" w:color="auto"/>
              <w:right w:val="double" w:sz="6" w:space="0" w:color="auto"/>
            </w:tcBorders>
          </w:tcPr>
          <w:p w14:paraId="6A69500A"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Roesijida, G. 1980 </w:t>
            </w:r>
          </w:p>
        </w:tc>
      </w:tr>
      <w:tr w:rsidR="00632208" w:rsidRPr="0098635C" w14:paraId="2FA056B0" w14:textId="77777777" w:rsidTr="00A432B0">
        <w:trPr>
          <w:trHeight w:val="74"/>
        </w:trPr>
        <w:tc>
          <w:tcPr>
            <w:tcW w:w="2073" w:type="dxa"/>
            <w:tcBorders>
              <w:top w:val="nil"/>
              <w:left w:val="double" w:sz="6" w:space="0" w:color="auto"/>
              <w:bottom w:val="single" w:sz="4" w:space="0" w:color="auto"/>
              <w:right w:val="single" w:sz="4" w:space="0" w:color="auto"/>
            </w:tcBorders>
          </w:tcPr>
          <w:p w14:paraId="1189A7BF"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Mytilus galloprovincialis</w:t>
            </w:r>
          </w:p>
        </w:tc>
        <w:tc>
          <w:tcPr>
            <w:tcW w:w="1559" w:type="dxa"/>
            <w:tcBorders>
              <w:top w:val="nil"/>
              <w:left w:val="nil"/>
              <w:bottom w:val="single" w:sz="4" w:space="0" w:color="auto"/>
              <w:right w:val="single" w:sz="4" w:space="0" w:color="auto"/>
            </w:tcBorders>
          </w:tcPr>
          <w:p w14:paraId="68F50C8C" w14:textId="77777777" w:rsidR="00632208" w:rsidRPr="0098635C" w:rsidRDefault="00632208" w:rsidP="00A432B0">
            <w:pPr>
              <w:spacing w:after="0"/>
              <w:rPr>
                <w:color w:val="000000" w:themeColor="text1"/>
                <w:sz w:val="20"/>
                <w:szCs w:val="20"/>
              </w:rPr>
            </w:pPr>
            <w:r w:rsidRPr="0098635C">
              <w:rPr>
                <w:color w:val="000000" w:themeColor="text1"/>
                <w:sz w:val="20"/>
                <w:szCs w:val="20"/>
              </w:rPr>
              <w:t>Embryo</w:t>
            </w:r>
          </w:p>
        </w:tc>
        <w:tc>
          <w:tcPr>
            <w:tcW w:w="992" w:type="dxa"/>
            <w:tcBorders>
              <w:top w:val="nil"/>
              <w:left w:val="nil"/>
              <w:bottom w:val="single" w:sz="4" w:space="0" w:color="auto"/>
              <w:right w:val="single" w:sz="4" w:space="0" w:color="auto"/>
            </w:tcBorders>
          </w:tcPr>
          <w:p w14:paraId="1BEF3F9D" w14:textId="77777777" w:rsidR="00632208" w:rsidRPr="0098635C" w:rsidRDefault="00632208" w:rsidP="00A432B0">
            <w:pPr>
              <w:spacing w:after="0"/>
              <w:rPr>
                <w:color w:val="000000" w:themeColor="text1"/>
                <w:sz w:val="20"/>
                <w:szCs w:val="20"/>
              </w:rPr>
            </w:pPr>
            <w:r w:rsidRPr="0098635C">
              <w:rPr>
                <w:color w:val="000000" w:themeColor="text1"/>
                <w:sz w:val="20"/>
                <w:szCs w:val="20"/>
              </w:rPr>
              <w:t>48 hours</w:t>
            </w:r>
          </w:p>
        </w:tc>
        <w:tc>
          <w:tcPr>
            <w:tcW w:w="1134" w:type="dxa"/>
            <w:tcBorders>
              <w:top w:val="nil"/>
              <w:left w:val="nil"/>
              <w:bottom w:val="single" w:sz="4" w:space="0" w:color="auto"/>
              <w:right w:val="single" w:sz="4" w:space="0" w:color="auto"/>
            </w:tcBorders>
          </w:tcPr>
          <w:p w14:paraId="44681AF7" w14:textId="77777777" w:rsidR="00632208" w:rsidRPr="0098635C" w:rsidRDefault="00632208" w:rsidP="00A432B0">
            <w:pPr>
              <w:spacing w:after="0"/>
              <w:rPr>
                <w:color w:val="000000" w:themeColor="text1"/>
                <w:sz w:val="20"/>
                <w:szCs w:val="20"/>
              </w:rPr>
            </w:pPr>
            <w:r w:rsidRPr="0098635C">
              <w:rPr>
                <w:color w:val="000000" w:themeColor="text1"/>
                <w:sz w:val="20"/>
                <w:szCs w:val="20"/>
              </w:rPr>
              <w:t>Development</w:t>
            </w:r>
          </w:p>
        </w:tc>
        <w:tc>
          <w:tcPr>
            <w:tcW w:w="851" w:type="dxa"/>
            <w:tcBorders>
              <w:top w:val="nil"/>
              <w:left w:val="nil"/>
              <w:bottom w:val="single" w:sz="4" w:space="0" w:color="auto"/>
              <w:right w:val="single" w:sz="4" w:space="0" w:color="auto"/>
            </w:tcBorders>
          </w:tcPr>
          <w:p w14:paraId="68DF40A8" w14:textId="77777777" w:rsidR="00632208" w:rsidRPr="0098635C" w:rsidRDefault="00632208" w:rsidP="00A432B0">
            <w:pPr>
              <w:spacing w:after="0"/>
              <w:rPr>
                <w:color w:val="000000" w:themeColor="text1"/>
                <w:sz w:val="20"/>
                <w:szCs w:val="20"/>
              </w:rPr>
            </w:pPr>
            <w:r w:rsidRPr="0098635C">
              <w:rPr>
                <w:color w:val="000000" w:themeColor="text1"/>
                <w:sz w:val="20"/>
                <w:szCs w:val="20"/>
              </w:rPr>
              <w:t>5.9</w:t>
            </w:r>
          </w:p>
        </w:tc>
        <w:tc>
          <w:tcPr>
            <w:tcW w:w="1275" w:type="dxa"/>
            <w:tcBorders>
              <w:top w:val="nil"/>
              <w:left w:val="nil"/>
              <w:bottom w:val="single" w:sz="4" w:space="0" w:color="auto"/>
              <w:right w:val="single" w:sz="4" w:space="0" w:color="auto"/>
            </w:tcBorders>
          </w:tcPr>
          <w:p w14:paraId="57C05F72" w14:textId="77777777" w:rsidR="00632208" w:rsidRPr="0098635C" w:rsidRDefault="00632208" w:rsidP="00A432B0">
            <w:pPr>
              <w:spacing w:after="0"/>
              <w:rPr>
                <w:color w:val="000000" w:themeColor="text1"/>
                <w:sz w:val="20"/>
                <w:szCs w:val="20"/>
              </w:rPr>
            </w:pPr>
            <w:r w:rsidRPr="0098635C">
              <w:rPr>
                <w:color w:val="000000" w:themeColor="text1"/>
                <w:sz w:val="20"/>
                <w:szCs w:val="20"/>
              </w:rPr>
              <w:t>Static</w:t>
            </w:r>
          </w:p>
        </w:tc>
        <w:tc>
          <w:tcPr>
            <w:tcW w:w="851" w:type="dxa"/>
            <w:tcBorders>
              <w:top w:val="nil"/>
              <w:left w:val="nil"/>
              <w:bottom w:val="single" w:sz="4" w:space="0" w:color="auto"/>
              <w:right w:val="single" w:sz="4" w:space="0" w:color="auto"/>
            </w:tcBorders>
          </w:tcPr>
          <w:p w14:paraId="0A1A8045" w14:textId="77777777" w:rsidR="00632208" w:rsidRPr="0098635C" w:rsidRDefault="00632208" w:rsidP="00A432B0">
            <w:pPr>
              <w:spacing w:after="0"/>
              <w:rPr>
                <w:color w:val="000000" w:themeColor="text1"/>
                <w:sz w:val="20"/>
                <w:szCs w:val="20"/>
              </w:rPr>
            </w:pPr>
            <w:r w:rsidRPr="0098635C">
              <w:rPr>
                <w:color w:val="000000" w:themeColor="text1"/>
                <w:sz w:val="20"/>
                <w:szCs w:val="20"/>
              </w:rPr>
              <w:t>0.6m</w:t>
            </w:r>
          </w:p>
        </w:tc>
        <w:tc>
          <w:tcPr>
            <w:tcW w:w="850" w:type="dxa"/>
            <w:tcBorders>
              <w:top w:val="nil"/>
              <w:left w:val="nil"/>
              <w:bottom w:val="single" w:sz="4" w:space="0" w:color="auto"/>
              <w:right w:val="single" w:sz="4" w:space="0" w:color="auto"/>
            </w:tcBorders>
          </w:tcPr>
          <w:p w14:paraId="35B7811A" w14:textId="77777777" w:rsidR="00632208" w:rsidRPr="0098635C" w:rsidRDefault="00632208" w:rsidP="00A432B0">
            <w:pPr>
              <w:spacing w:after="0"/>
              <w:rPr>
                <w:color w:val="000000" w:themeColor="text1"/>
                <w:sz w:val="20"/>
                <w:szCs w:val="20"/>
              </w:rPr>
            </w:pPr>
            <w:r w:rsidRPr="0098635C">
              <w:rPr>
                <w:color w:val="000000" w:themeColor="text1"/>
                <w:sz w:val="20"/>
                <w:szCs w:val="20"/>
              </w:rPr>
              <w:t>0.9m</w:t>
            </w:r>
          </w:p>
        </w:tc>
        <w:tc>
          <w:tcPr>
            <w:tcW w:w="1276" w:type="dxa"/>
            <w:tcBorders>
              <w:top w:val="nil"/>
              <w:left w:val="nil"/>
              <w:bottom w:val="single" w:sz="4" w:space="0" w:color="auto"/>
              <w:right w:val="single" w:sz="4" w:space="0" w:color="auto"/>
            </w:tcBorders>
          </w:tcPr>
          <w:p w14:paraId="5BE09876" w14:textId="77777777" w:rsidR="00632208" w:rsidRPr="0098635C" w:rsidRDefault="00632208" w:rsidP="00A432B0">
            <w:pPr>
              <w:spacing w:after="0"/>
              <w:rPr>
                <w:color w:val="000000" w:themeColor="text1"/>
                <w:sz w:val="20"/>
                <w:szCs w:val="20"/>
              </w:rPr>
            </w:pPr>
            <w:r w:rsidRPr="0098635C">
              <w:rPr>
                <w:color w:val="000000" w:themeColor="text1"/>
                <w:sz w:val="20"/>
                <w:szCs w:val="20"/>
              </w:rPr>
              <w:t>Not reported</w:t>
            </w:r>
          </w:p>
        </w:tc>
        <w:tc>
          <w:tcPr>
            <w:tcW w:w="2268" w:type="dxa"/>
            <w:tcBorders>
              <w:top w:val="nil"/>
              <w:left w:val="nil"/>
              <w:bottom w:val="single" w:sz="4" w:space="0" w:color="auto"/>
              <w:right w:val="single" w:sz="4" w:space="0" w:color="auto"/>
            </w:tcBorders>
          </w:tcPr>
          <w:p w14:paraId="5245D4C9" w14:textId="77777777" w:rsidR="00632208" w:rsidRPr="0098635C" w:rsidRDefault="00632208" w:rsidP="00A432B0">
            <w:pPr>
              <w:spacing w:after="0"/>
              <w:rPr>
                <w:color w:val="000000" w:themeColor="text1"/>
                <w:sz w:val="20"/>
                <w:szCs w:val="20"/>
              </w:rPr>
            </w:pPr>
            <w:r w:rsidRPr="0098635C">
              <w:rPr>
                <w:color w:val="000000" w:themeColor="text1"/>
                <w:sz w:val="20"/>
                <w:szCs w:val="20"/>
              </w:rPr>
              <w:t>Filtered seawater</w:t>
            </w:r>
          </w:p>
        </w:tc>
        <w:tc>
          <w:tcPr>
            <w:tcW w:w="1985" w:type="dxa"/>
            <w:tcBorders>
              <w:top w:val="nil"/>
              <w:left w:val="nil"/>
              <w:bottom w:val="single" w:sz="4" w:space="0" w:color="auto"/>
              <w:right w:val="double" w:sz="6" w:space="0" w:color="auto"/>
            </w:tcBorders>
          </w:tcPr>
          <w:p w14:paraId="5C010EC4" w14:textId="77777777" w:rsidR="00632208" w:rsidRPr="0098635C" w:rsidRDefault="00632208" w:rsidP="00A432B0">
            <w:pPr>
              <w:spacing w:after="0"/>
              <w:rPr>
                <w:color w:val="000000" w:themeColor="text1"/>
                <w:sz w:val="20"/>
                <w:szCs w:val="20"/>
              </w:rPr>
            </w:pPr>
            <w:r w:rsidRPr="0098635C">
              <w:rPr>
                <w:color w:val="000000" w:themeColor="text1"/>
                <w:sz w:val="20"/>
                <w:szCs w:val="20"/>
              </w:rPr>
              <w:t>Rosen, 2005</w:t>
            </w:r>
          </w:p>
        </w:tc>
      </w:tr>
      <w:tr w:rsidR="00632208" w:rsidRPr="0098635C" w14:paraId="3E49BE0B" w14:textId="77777777" w:rsidTr="00A432B0">
        <w:trPr>
          <w:trHeight w:val="74"/>
        </w:trPr>
        <w:tc>
          <w:tcPr>
            <w:tcW w:w="2073" w:type="dxa"/>
            <w:tcBorders>
              <w:top w:val="nil"/>
              <w:left w:val="double" w:sz="6" w:space="0" w:color="auto"/>
              <w:bottom w:val="single" w:sz="4" w:space="0" w:color="auto"/>
              <w:right w:val="single" w:sz="4" w:space="0" w:color="auto"/>
            </w:tcBorders>
          </w:tcPr>
          <w:p w14:paraId="352A5D7A"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Mytilus galloprovincialis</w:t>
            </w:r>
          </w:p>
        </w:tc>
        <w:tc>
          <w:tcPr>
            <w:tcW w:w="1559" w:type="dxa"/>
            <w:tcBorders>
              <w:top w:val="nil"/>
              <w:left w:val="nil"/>
              <w:bottom w:val="single" w:sz="4" w:space="0" w:color="auto"/>
              <w:right w:val="single" w:sz="4" w:space="0" w:color="auto"/>
            </w:tcBorders>
          </w:tcPr>
          <w:p w14:paraId="3550EC5C" w14:textId="77777777" w:rsidR="00632208" w:rsidRPr="0098635C" w:rsidRDefault="00632208" w:rsidP="00A432B0">
            <w:pPr>
              <w:spacing w:after="0"/>
              <w:rPr>
                <w:color w:val="000000" w:themeColor="text1"/>
                <w:sz w:val="20"/>
                <w:szCs w:val="20"/>
              </w:rPr>
            </w:pPr>
            <w:r w:rsidRPr="0098635C">
              <w:rPr>
                <w:color w:val="000000" w:themeColor="text1"/>
                <w:sz w:val="20"/>
                <w:szCs w:val="20"/>
              </w:rPr>
              <w:t>Embryo</w:t>
            </w:r>
          </w:p>
        </w:tc>
        <w:tc>
          <w:tcPr>
            <w:tcW w:w="992" w:type="dxa"/>
            <w:tcBorders>
              <w:top w:val="nil"/>
              <w:left w:val="nil"/>
              <w:bottom w:val="single" w:sz="4" w:space="0" w:color="auto"/>
              <w:right w:val="single" w:sz="4" w:space="0" w:color="auto"/>
            </w:tcBorders>
          </w:tcPr>
          <w:p w14:paraId="7C88537E" w14:textId="77777777" w:rsidR="00632208" w:rsidRPr="0098635C" w:rsidRDefault="00632208" w:rsidP="00A432B0">
            <w:pPr>
              <w:spacing w:after="0"/>
              <w:rPr>
                <w:color w:val="000000" w:themeColor="text1"/>
                <w:sz w:val="20"/>
                <w:szCs w:val="20"/>
              </w:rPr>
            </w:pPr>
            <w:r w:rsidRPr="0098635C">
              <w:rPr>
                <w:color w:val="000000" w:themeColor="text1"/>
                <w:sz w:val="20"/>
                <w:szCs w:val="20"/>
              </w:rPr>
              <w:t>48 hours</w:t>
            </w:r>
          </w:p>
        </w:tc>
        <w:tc>
          <w:tcPr>
            <w:tcW w:w="1134" w:type="dxa"/>
            <w:tcBorders>
              <w:top w:val="nil"/>
              <w:left w:val="nil"/>
              <w:bottom w:val="single" w:sz="4" w:space="0" w:color="auto"/>
              <w:right w:val="single" w:sz="4" w:space="0" w:color="auto"/>
            </w:tcBorders>
          </w:tcPr>
          <w:p w14:paraId="14F81352" w14:textId="77777777" w:rsidR="00632208" w:rsidRPr="0098635C" w:rsidRDefault="00632208" w:rsidP="00A432B0">
            <w:pPr>
              <w:spacing w:after="0"/>
              <w:rPr>
                <w:color w:val="000000" w:themeColor="text1"/>
                <w:sz w:val="20"/>
                <w:szCs w:val="20"/>
              </w:rPr>
            </w:pPr>
            <w:r w:rsidRPr="0098635C">
              <w:rPr>
                <w:color w:val="000000" w:themeColor="text1"/>
                <w:sz w:val="20"/>
                <w:szCs w:val="20"/>
              </w:rPr>
              <w:t>Development</w:t>
            </w:r>
          </w:p>
        </w:tc>
        <w:tc>
          <w:tcPr>
            <w:tcW w:w="851" w:type="dxa"/>
            <w:tcBorders>
              <w:top w:val="nil"/>
              <w:left w:val="nil"/>
              <w:bottom w:val="single" w:sz="4" w:space="0" w:color="auto"/>
              <w:right w:val="single" w:sz="4" w:space="0" w:color="auto"/>
            </w:tcBorders>
          </w:tcPr>
          <w:p w14:paraId="0C09DEB9" w14:textId="77777777" w:rsidR="00632208" w:rsidRPr="0098635C" w:rsidRDefault="00632208" w:rsidP="00A432B0">
            <w:pPr>
              <w:spacing w:after="0"/>
              <w:rPr>
                <w:color w:val="000000" w:themeColor="text1"/>
                <w:sz w:val="20"/>
                <w:szCs w:val="20"/>
              </w:rPr>
            </w:pPr>
            <w:r w:rsidRPr="0098635C">
              <w:rPr>
                <w:color w:val="000000" w:themeColor="text1"/>
                <w:sz w:val="20"/>
                <w:szCs w:val="20"/>
              </w:rPr>
              <w:t>7.5</w:t>
            </w:r>
          </w:p>
        </w:tc>
        <w:tc>
          <w:tcPr>
            <w:tcW w:w="1275" w:type="dxa"/>
            <w:tcBorders>
              <w:top w:val="nil"/>
              <w:left w:val="nil"/>
              <w:bottom w:val="single" w:sz="4" w:space="0" w:color="auto"/>
              <w:right w:val="single" w:sz="4" w:space="0" w:color="auto"/>
            </w:tcBorders>
          </w:tcPr>
          <w:p w14:paraId="71B21FF1" w14:textId="77777777" w:rsidR="00632208" w:rsidRPr="0098635C" w:rsidRDefault="00632208" w:rsidP="00A432B0">
            <w:pPr>
              <w:spacing w:after="0"/>
              <w:rPr>
                <w:color w:val="000000" w:themeColor="text1"/>
                <w:sz w:val="20"/>
                <w:szCs w:val="20"/>
              </w:rPr>
            </w:pPr>
            <w:r w:rsidRPr="0098635C">
              <w:rPr>
                <w:color w:val="000000" w:themeColor="text1"/>
                <w:sz w:val="20"/>
                <w:szCs w:val="20"/>
              </w:rPr>
              <w:t>Static</w:t>
            </w:r>
          </w:p>
        </w:tc>
        <w:tc>
          <w:tcPr>
            <w:tcW w:w="851" w:type="dxa"/>
            <w:tcBorders>
              <w:top w:val="nil"/>
              <w:left w:val="nil"/>
              <w:bottom w:val="single" w:sz="4" w:space="0" w:color="auto"/>
              <w:right w:val="single" w:sz="4" w:space="0" w:color="auto"/>
            </w:tcBorders>
          </w:tcPr>
          <w:p w14:paraId="59805E5B" w14:textId="77777777" w:rsidR="00632208" w:rsidRPr="0098635C" w:rsidRDefault="00632208" w:rsidP="00A432B0">
            <w:pPr>
              <w:spacing w:after="0"/>
              <w:rPr>
                <w:color w:val="000000" w:themeColor="text1"/>
                <w:sz w:val="20"/>
                <w:szCs w:val="20"/>
              </w:rPr>
            </w:pPr>
            <w:r w:rsidRPr="0098635C">
              <w:rPr>
                <w:color w:val="000000" w:themeColor="text1"/>
                <w:sz w:val="20"/>
                <w:szCs w:val="20"/>
              </w:rPr>
              <w:t>1.5m</w:t>
            </w:r>
          </w:p>
        </w:tc>
        <w:tc>
          <w:tcPr>
            <w:tcW w:w="850" w:type="dxa"/>
            <w:tcBorders>
              <w:top w:val="nil"/>
              <w:left w:val="nil"/>
              <w:bottom w:val="single" w:sz="4" w:space="0" w:color="auto"/>
              <w:right w:val="single" w:sz="4" w:space="0" w:color="auto"/>
            </w:tcBorders>
          </w:tcPr>
          <w:p w14:paraId="2CB0A200" w14:textId="77777777" w:rsidR="00632208" w:rsidRPr="0098635C" w:rsidRDefault="00632208" w:rsidP="00A432B0">
            <w:pPr>
              <w:spacing w:after="0"/>
              <w:rPr>
                <w:color w:val="000000" w:themeColor="text1"/>
                <w:sz w:val="20"/>
                <w:szCs w:val="20"/>
              </w:rPr>
            </w:pPr>
            <w:r w:rsidRPr="0098635C">
              <w:rPr>
                <w:color w:val="000000" w:themeColor="text1"/>
                <w:sz w:val="20"/>
                <w:szCs w:val="20"/>
              </w:rPr>
              <w:t>0.9m</w:t>
            </w:r>
          </w:p>
        </w:tc>
        <w:tc>
          <w:tcPr>
            <w:tcW w:w="1276" w:type="dxa"/>
            <w:tcBorders>
              <w:top w:val="nil"/>
              <w:left w:val="nil"/>
              <w:bottom w:val="single" w:sz="4" w:space="0" w:color="auto"/>
              <w:right w:val="single" w:sz="4" w:space="0" w:color="auto"/>
            </w:tcBorders>
          </w:tcPr>
          <w:p w14:paraId="0F43A4C8" w14:textId="77777777" w:rsidR="00632208" w:rsidRPr="0098635C" w:rsidRDefault="00632208" w:rsidP="00A432B0">
            <w:pPr>
              <w:spacing w:after="0"/>
              <w:rPr>
                <w:color w:val="000000" w:themeColor="text1"/>
                <w:sz w:val="20"/>
                <w:szCs w:val="20"/>
              </w:rPr>
            </w:pPr>
            <w:r w:rsidRPr="0098635C">
              <w:rPr>
                <w:color w:val="000000" w:themeColor="text1"/>
                <w:sz w:val="20"/>
                <w:szCs w:val="20"/>
              </w:rPr>
              <w:t>Not reported</w:t>
            </w:r>
          </w:p>
        </w:tc>
        <w:tc>
          <w:tcPr>
            <w:tcW w:w="2268" w:type="dxa"/>
            <w:tcBorders>
              <w:top w:val="nil"/>
              <w:left w:val="nil"/>
              <w:bottom w:val="single" w:sz="4" w:space="0" w:color="auto"/>
              <w:right w:val="single" w:sz="4" w:space="0" w:color="auto"/>
            </w:tcBorders>
          </w:tcPr>
          <w:p w14:paraId="31154AC6" w14:textId="77777777" w:rsidR="00632208" w:rsidRPr="0098635C" w:rsidRDefault="00632208" w:rsidP="00A432B0">
            <w:pPr>
              <w:spacing w:after="0"/>
              <w:rPr>
                <w:color w:val="000000" w:themeColor="text1"/>
                <w:sz w:val="20"/>
                <w:szCs w:val="20"/>
              </w:rPr>
            </w:pPr>
            <w:r w:rsidRPr="0098635C">
              <w:rPr>
                <w:color w:val="000000" w:themeColor="text1"/>
                <w:sz w:val="20"/>
                <w:szCs w:val="20"/>
              </w:rPr>
              <w:t>Filtered seawater</w:t>
            </w:r>
          </w:p>
        </w:tc>
        <w:tc>
          <w:tcPr>
            <w:tcW w:w="1985" w:type="dxa"/>
            <w:tcBorders>
              <w:top w:val="nil"/>
              <w:left w:val="nil"/>
              <w:bottom w:val="single" w:sz="4" w:space="0" w:color="auto"/>
              <w:right w:val="double" w:sz="6" w:space="0" w:color="auto"/>
            </w:tcBorders>
          </w:tcPr>
          <w:p w14:paraId="18E257A9" w14:textId="77777777" w:rsidR="00632208" w:rsidRPr="0098635C" w:rsidRDefault="00632208" w:rsidP="00A432B0">
            <w:pPr>
              <w:spacing w:after="0"/>
              <w:rPr>
                <w:color w:val="000000" w:themeColor="text1"/>
                <w:sz w:val="20"/>
                <w:szCs w:val="20"/>
              </w:rPr>
            </w:pPr>
            <w:r w:rsidRPr="0098635C">
              <w:rPr>
                <w:color w:val="000000" w:themeColor="text1"/>
                <w:sz w:val="20"/>
                <w:szCs w:val="20"/>
              </w:rPr>
              <w:t>Rosen, 2005</w:t>
            </w:r>
          </w:p>
        </w:tc>
      </w:tr>
      <w:tr w:rsidR="00632208" w:rsidRPr="0098635C" w14:paraId="38E1F5CB" w14:textId="77777777" w:rsidTr="00A432B0">
        <w:trPr>
          <w:trHeight w:val="74"/>
        </w:trPr>
        <w:tc>
          <w:tcPr>
            <w:tcW w:w="2073" w:type="dxa"/>
            <w:tcBorders>
              <w:top w:val="nil"/>
              <w:left w:val="double" w:sz="6" w:space="0" w:color="auto"/>
              <w:bottom w:val="single" w:sz="4" w:space="0" w:color="auto"/>
              <w:right w:val="single" w:sz="4" w:space="0" w:color="auto"/>
            </w:tcBorders>
          </w:tcPr>
          <w:p w14:paraId="2E0C890F"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lastRenderedPageBreak/>
              <w:t>Mytilus galloprovincialis</w:t>
            </w:r>
          </w:p>
        </w:tc>
        <w:tc>
          <w:tcPr>
            <w:tcW w:w="1559" w:type="dxa"/>
            <w:tcBorders>
              <w:top w:val="nil"/>
              <w:left w:val="nil"/>
              <w:bottom w:val="single" w:sz="4" w:space="0" w:color="auto"/>
              <w:right w:val="single" w:sz="4" w:space="0" w:color="auto"/>
            </w:tcBorders>
          </w:tcPr>
          <w:p w14:paraId="31F2CEDB" w14:textId="77777777" w:rsidR="00632208" w:rsidRPr="0098635C" w:rsidRDefault="00632208" w:rsidP="00A432B0">
            <w:pPr>
              <w:spacing w:after="0"/>
              <w:rPr>
                <w:color w:val="000000" w:themeColor="text1"/>
                <w:sz w:val="20"/>
                <w:szCs w:val="20"/>
              </w:rPr>
            </w:pPr>
            <w:r w:rsidRPr="0098635C">
              <w:rPr>
                <w:color w:val="000000" w:themeColor="text1"/>
                <w:sz w:val="20"/>
                <w:szCs w:val="20"/>
              </w:rPr>
              <w:t>Embryo</w:t>
            </w:r>
          </w:p>
        </w:tc>
        <w:tc>
          <w:tcPr>
            <w:tcW w:w="992" w:type="dxa"/>
            <w:tcBorders>
              <w:top w:val="nil"/>
              <w:left w:val="nil"/>
              <w:bottom w:val="single" w:sz="4" w:space="0" w:color="auto"/>
              <w:right w:val="single" w:sz="4" w:space="0" w:color="auto"/>
            </w:tcBorders>
          </w:tcPr>
          <w:p w14:paraId="4AF66932" w14:textId="77777777" w:rsidR="00632208" w:rsidRPr="0098635C" w:rsidRDefault="00632208" w:rsidP="00A432B0">
            <w:pPr>
              <w:spacing w:after="0"/>
              <w:rPr>
                <w:color w:val="000000" w:themeColor="text1"/>
                <w:sz w:val="20"/>
                <w:szCs w:val="20"/>
              </w:rPr>
            </w:pPr>
            <w:r w:rsidRPr="0098635C">
              <w:rPr>
                <w:color w:val="000000" w:themeColor="text1"/>
                <w:sz w:val="20"/>
                <w:szCs w:val="20"/>
              </w:rPr>
              <w:t>48 hours</w:t>
            </w:r>
          </w:p>
        </w:tc>
        <w:tc>
          <w:tcPr>
            <w:tcW w:w="1134" w:type="dxa"/>
            <w:tcBorders>
              <w:top w:val="nil"/>
              <w:left w:val="nil"/>
              <w:bottom w:val="single" w:sz="4" w:space="0" w:color="auto"/>
              <w:right w:val="single" w:sz="4" w:space="0" w:color="auto"/>
            </w:tcBorders>
          </w:tcPr>
          <w:p w14:paraId="6A2E817F" w14:textId="77777777" w:rsidR="00632208" w:rsidRPr="0098635C" w:rsidRDefault="00632208" w:rsidP="00A432B0">
            <w:pPr>
              <w:spacing w:after="0"/>
              <w:rPr>
                <w:color w:val="000000" w:themeColor="text1"/>
                <w:sz w:val="20"/>
                <w:szCs w:val="20"/>
              </w:rPr>
            </w:pPr>
            <w:r w:rsidRPr="0098635C">
              <w:rPr>
                <w:color w:val="000000" w:themeColor="text1"/>
                <w:sz w:val="20"/>
                <w:szCs w:val="20"/>
              </w:rPr>
              <w:t>Development</w:t>
            </w:r>
          </w:p>
        </w:tc>
        <w:tc>
          <w:tcPr>
            <w:tcW w:w="851" w:type="dxa"/>
            <w:tcBorders>
              <w:top w:val="nil"/>
              <w:left w:val="nil"/>
              <w:bottom w:val="single" w:sz="4" w:space="0" w:color="auto"/>
              <w:right w:val="single" w:sz="4" w:space="0" w:color="auto"/>
            </w:tcBorders>
          </w:tcPr>
          <w:p w14:paraId="152AD947" w14:textId="77777777" w:rsidR="00632208" w:rsidRPr="0098635C" w:rsidRDefault="00632208" w:rsidP="00A432B0">
            <w:pPr>
              <w:spacing w:after="0"/>
              <w:rPr>
                <w:color w:val="000000" w:themeColor="text1"/>
                <w:sz w:val="20"/>
                <w:szCs w:val="20"/>
              </w:rPr>
            </w:pPr>
            <w:r w:rsidRPr="0098635C">
              <w:rPr>
                <w:color w:val="000000" w:themeColor="text1"/>
                <w:sz w:val="20"/>
                <w:szCs w:val="20"/>
              </w:rPr>
              <w:t>9.2</w:t>
            </w:r>
          </w:p>
        </w:tc>
        <w:tc>
          <w:tcPr>
            <w:tcW w:w="1275" w:type="dxa"/>
            <w:tcBorders>
              <w:top w:val="nil"/>
              <w:left w:val="nil"/>
              <w:bottom w:val="single" w:sz="4" w:space="0" w:color="auto"/>
              <w:right w:val="single" w:sz="4" w:space="0" w:color="auto"/>
            </w:tcBorders>
          </w:tcPr>
          <w:p w14:paraId="27DE411A" w14:textId="77777777" w:rsidR="00632208" w:rsidRPr="0098635C" w:rsidRDefault="00632208" w:rsidP="00A432B0">
            <w:pPr>
              <w:spacing w:after="0"/>
              <w:rPr>
                <w:color w:val="000000" w:themeColor="text1"/>
                <w:sz w:val="20"/>
                <w:szCs w:val="20"/>
              </w:rPr>
            </w:pPr>
            <w:r w:rsidRPr="0098635C">
              <w:rPr>
                <w:color w:val="000000" w:themeColor="text1"/>
                <w:sz w:val="20"/>
                <w:szCs w:val="20"/>
              </w:rPr>
              <w:t>Static</w:t>
            </w:r>
          </w:p>
        </w:tc>
        <w:tc>
          <w:tcPr>
            <w:tcW w:w="851" w:type="dxa"/>
            <w:tcBorders>
              <w:top w:val="nil"/>
              <w:left w:val="nil"/>
              <w:bottom w:val="single" w:sz="4" w:space="0" w:color="auto"/>
              <w:right w:val="single" w:sz="4" w:space="0" w:color="auto"/>
            </w:tcBorders>
          </w:tcPr>
          <w:p w14:paraId="147440CA" w14:textId="77777777" w:rsidR="00632208" w:rsidRPr="0098635C" w:rsidRDefault="00632208" w:rsidP="00A432B0">
            <w:pPr>
              <w:spacing w:after="0"/>
              <w:rPr>
                <w:color w:val="000000" w:themeColor="text1"/>
                <w:sz w:val="20"/>
                <w:szCs w:val="20"/>
              </w:rPr>
            </w:pPr>
            <w:r w:rsidRPr="0098635C">
              <w:rPr>
                <w:color w:val="000000" w:themeColor="text1"/>
                <w:sz w:val="20"/>
                <w:szCs w:val="20"/>
              </w:rPr>
              <w:t>0.7m</w:t>
            </w:r>
          </w:p>
        </w:tc>
        <w:tc>
          <w:tcPr>
            <w:tcW w:w="850" w:type="dxa"/>
            <w:tcBorders>
              <w:top w:val="nil"/>
              <w:left w:val="nil"/>
              <w:bottom w:val="single" w:sz="4" w:space="0" w:color="auto"/>
              <w:right w:val="single" w:sz="4" w:space="0" w:color="auto"/>
            </w:tcBorders>
          </w:tcPr>
          <w:p w14:paraId="4AE63DA7" w14:textId="77777777" w:rsidR="00632208" w:rsidRPr="0098635C" w:rsidRDefault="00632208" w:rsidP="00A432B0">
            <w:pPr>
              <w:spacing w:after="0"/>
              <w:rPr>
                <w:color w:val="000000" w:themeColor="text1"/>
                <w:sz w:val="20"/>
                <w:szCs w:val="20"/>
              </w:rPr>
            </w:pPr>
            <w:r w:rsidRPr="0098635C">
              <w:rPr>
                <w:color w:val="000000" w:themeColor="text1"/>
                <w:sz w:val="20"/>
                <w:szCs w:val="20"/>
              </w:rPr>
              <w:t>1.5m</w:t>
            </w:r>
          </w:p>
        </w:tc>
        <w:tc>
          <w:tcPr>
            <w:tcW w:w="1276" w:type="dxa"/>
            <w:tcBorders>
              <w:top w:val="nil"/>
              <w:left w:val="nil"/>
              <w:bottom w:val="single" w:sz="4" w:space="0" w:color="auto"/>
              <w:right w:val="single" w:sz="4" w:space="0" w:color="auto"/>
            </w:tcBorders>
          </w:tcPr>
          <w:p w14:paraId="7DD81950" w14:textId="77777777" w:rsidR="00632208" w:rsidRPr="0098635C" w:rsidRDefault="00632208" w:rsidP="00A432B0">
            <w:pPr>
              <w:spacing w:after="0"/>
              <w:rPr>
                <w:color w:val="000000" w:themeColor="text1"/>
                <w:sz w:val="20"/>
                <w:szCs w:val="20"/>
              </w:rPr>
            </w:pPr>
            <w:r w:rsidRPr="0098635C">
              <w:rPr>
                <w:color w:val="000000" w:themeColor="text1"/>
                <w:sz w:val="20"/>
                <w:szCs w:val="20"/>
              </w:rPr>
              <w:t>Not reported</w:t>
            </w:r>
          </w:p>
        </w:tc>
        <w:tc>
          <w:tcPr>
            <w:tcW w:w="2268" w:type="dxa"/>
            <w:tcBorders>
              <w:top w:val="nil"/>
              <w:left w:val="nil"/>
              <w:bottom w:val="single" w:sz="4" w:space="0" w:color="auto"/>
              <w:right w:val="single" w:sz="4" w:space="0" w:color="auto"/>
            </w:tcBorders>
          </w:tcPr>
          <w:p w14:paraId="6650169C" w14:textId="77777777" w:rsidR="00632208" w:rsidRPr="0098635C" w:rsidRDefault="00632208" w:rsidP="00A432B0">
            <w:pPr>
              <w:spacing w:after="0"/>
              <w:rPr>
                <w:color w:val="000000" w:themeColor="text1"/>
                <w:sz w:val="20"/>
                <w:szCs w:val="20"/>
              </w:rPr>
            </w:pPr>
            <w:r w:rsidRPr="0098635C">
              <w:rPr>
                <w:color w:val="000000" w:themeColor="text1"/>
                <w:sz w:val="20"/>
                <w:szCs w:val="20"/>
              </w:rPr>
              <w:t>Filtered seawater</w:t>
            </w:r>
          </w:p>
        </w:tc>
        <w:tc>
          <w:tcPr>
            <w:tcW w:w="1985" w:type="dxa"/>
            <w:tcBorders>
              <w:top w:val="nil"/>
              <w:left w:val="nil"/>
              <w:bottom w:val="single" w:sz="4" w:space="0" w:color="auto"/>
              <w:right w:val="double" w:sz="6" w:space="0" w:color="auto"/>
            </w:tcBorders>
          </w:tcPr>
          <w:p w14:paraId="298044F3" w14:textId="77777777" w:rsidR="00632208" w:rsidRPr="0098635C" w:rsidRDefault="00632208" w:rsidP="00A432B0">
            <w:pPr>
              <w:spacing w:after="0"/>
              <w:rPr>
                <w:color w:val="000000" w:themeColor="text1"/>
                <w:sz w:val="20"/>
                <w:szCs w:val="20"/>
              </w:rPr>
            </w:pPr>
            <w:r w:rsidRPr="0098635C">
              <w:rPr>
                <w:color w:val="000000" w:themeColor="text1"/>
                <w:sz w:val="20"/>
                <w:szCs w:val="20"/>
              </w:rPr>
              <w:t>Rosen, 2005</w:t>
            </w:r>
          </w:p>
        </w:tc>
      </w:tr>
      <w:tr w:rsidR="00632208" w:rsidRPr="0098635C" w14:paraId="4DA9B839" w14:textId="77777777" w:rsidTr="00A432B0">
        <w:trPr>
          <w:trHeight w:val="74"/>
        </w:trPr>
        <w:tc>
          <w:tcPr>
            <w:tcW w:w="2073" w:type="dxa"/>
            <w:tcBorders>
              <w:top w:val="nil"/>
              <w:left w:val="double" w:sz="6" w:space="0" w:color="auto"/>
              <w:bottom w:val="single" w:sz="4" w:space="0" w:color="auto"/>
              <w:right w:val="single" w:sz="4" w:space="0" w:color="auto"/>
            </w:tcBorders>
          </w:tcPr>
          <w:p w14:paraId="4F9F4C94"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Mytilus galloprovincialis</w:t>
            </w:r>
          </w:p>
        </w:tc>
        <w:tc>
          <w:tcPr>
            <w:tcW w:w="1559" w:type="dxa"/>
            <w:tcBorders>
              <w:top w:val="nil"/>
              <w:left w:val="nil"/>
              <w:bottom w:val="single" w:sz="4" w:space="0" w:color="auto"/>
              <w:right w:val="single" w:sz="4" w:space="0" w:color="auto"/>
            </w:tcBorders>
          </w:tcPr>
          <w:p w14:paraId="2D49AFD2" w14:textId="77777777" w:rsidR="00632208" w:rsidRPr="0098635C" w:rsidRDefault="00632208" w:rsidP="00A432B0">
            <w:pPr>
              <w:spacing w:after="0"/>
              <w:rPr>
                <w:color w:val="000000" w:themeColor="text1"/>
                <w:sz w:val="20"/>
                <w:szCs w:val="20"/>
              </w:rPr>
            </w:pPr>
            <w:r w:rsidRPr="0098635C">
              <w:rPr>
                <w:color w:val="000000" w:themeColor="text1"/>
                <w:sz w:val="20"/>
                <w:szCs w:val="20"/>
              </w:rPr>
              <w:t>Embryo</w:t>
            </w:r>
          </w:p>
        </w:tc>
        <w:tc>
          <w:tcPr>
            <w:tcW w:w="992" w:type="dxa"/>
            <w:tcBorders>
              <w:top w:val="nil"/>
              <w:left w:val="nil"/>
              <w:bottom w:val="single" w:sz="4" w:space="0" w:color="auto"/>
              <w:right w:val="single" w:sz="4" w:space="0" w:color="auto"/>
            </w:tcBorders>
          </w:tcPr>
          <w:p w14:paraId="7EEACDE6" w14:textId="77777777" w:rsidR="00632208" w:rsidRPr="0098635C" w:rsidRDefault="00632208" w:rsidP="00A432B0">
            <w:pPr>
              <w:spacing w:after="0"/>
              <w:rPr>
                <w:color w:val="000000" w:themeColor="text1"/>
                <w:sz w:val="20"/>
                <w:szCs w:val="20"/>
              </w:rPr>
            </w:pPr>
            <w:r w:rsidRPr="0098635C">
              <w:rPr>
                <w:color w:val="000000" w:themeColor="text1"/>
                <w:sz w:val="20"/>
                <w:szCs w:val="20"/>
              </w:rPr>
              <w:t>48 hours</w:t>
            </w:r>
          </w:p>
        </w:tc>
        <w:tc>
          <w:tcPr>
            <w:tcW w:w="1134" w:type="dxa"/>
            <w:tcBorders>
              <w:top w:val="nil"/>
              <w:left w:val="nil"/>
              <w:bottom w:val="single" w:sz="4" w:space="0" w:color="auto"/>
              <w:right w:val="single" w:sz="4" w:space="0" w:color="auto"/>
            </w:tcBorders>
          </w:tcPr>
          <w:p w14:paraId="10E9DCC1" w14:textId="77777777" w:rsidR="00632208" w:rsidRPr="0098635C" w:rsidRDefault="00632208" w:rsidP="00A432B0">
            <w:pPr>
              <w:spacing w:after="0"/>
              <w:rPr>
                <w:color w:val="000000" w:themeColor="text1"/>
                <w:sz w:val="20"/>
                <w:szCs w:val="20"/>
              </w:rPr>
            </w:pPr>
            <w:r w:rsidRPr="0098635C">
              <w:rPr>
                <w:color w:val="000000" w:themeColor="text1"/>
                <w:sz w:val="20"/>
                <w:szCs w:val="20"/>
              </w:rPr>
              <w:t>Development</w:t>
            </w:r>
          </w:p>
        </w:tc>
        <w:tc>
          <w:tcPr>
            <w:tcW w:w="851" w:type="dxa"/>
            <w:tcBorders>
              <w:top w:val="nil"/>
              <w:left w:val="nil"/>
              <w:bottom w:val="single" w:sz="4" w:space="0" w:color="auto"/>
              <w:right w:val="single" w:sz="4" w:space="0" w:color="auto"/>
            </w:tcBorders>
          </w:tcPr>
          <w:p w14:paraId="76C696AD" w14:textId="77777777" w:rsidR="00632208" w:rsidRPr="0098635C" w:rsidRDefault="00632208" w:rsidP="00A432B0">
            <w:pPr>
              <w:spacing w:after="0"/>
              <w:rPr>
                <w:color w:val="000000" w:themeColor="text1"/>
                <w:sz w:val="20"/>
                <w:szCs w:val="20"/>
              </w:rPr>
            </w:pPr>
            <w:r w:rsidRPr="0098635C">
              <w:rPr>
                <w:color w:val="000000" w:themeColor="text1"/>
                <w:sz w:val="20"/>
                <w:szCs w:val="20"/>
              </w:rPr>
              <w:t>9.7</w:t>
            </w:r>
          </w:p>
        </w:tc>
        <w:tc>
          <w:tcPr>
            <w:tcW w:w="1275" w:type="dxa"/>
            <w:tcBorders>
              <w:top w:val="nil"/>
              <w:left w:val="nil"/>
              <w:bottom w:val="single" w:sz="4" w:space="0" w:color="auto"/>
              <w:right w:val="single" w:sz="4" w:space="0" w:color="auto"/>
            </w:tcBorders>
          </w:tcPr>
          <w:p w14:paraId="3B8F5E63" w14:textId="77777777" w:rsidR="00632208" w:rsidRPr="0098635C" w:rsidRDefault="00632208" w:rsidP="00A432B0">
            <w:pPr>
              <w:spacing w:after="0"/>
              <w:rPr>
                <w:color w:val="000000" w:themeColor="text1"/>
                <w:sz w:val="20"/>
                <w:szCs w:val="20"/>
              </w:rPr>
            </w:pPr>
            <w:r w:rsidRPr="0098635C">
              <w:rPr>
                <w:color w:val="000000" w:themeColor="text1"/>
                <w:sz w:val="20"/>
                <w:szCs w:val="20"/>
              </w:rPr>
              <w:t>Static</w:t>
            </w:r>
          </w:p>
        </w:tc>
        <w:tc>
          <w:tcPr>
            <w:tcW w:w="851" w:type="dxa"/>
            <w:tcBorders>
              <w:top w:val="nil"/>
              <w:left w:val="nil"/>
              <w:bottom w:val="single" w:sz="4" w:space="0" w:color="auto"/>
              <w:right w:val="single" w:sz="4" w:space="0" w:color="auto"/>
            </w:tcBorders>
          </w:tcPr>
          <w:p w14:paraId="0624D967" w14:textId="77777777" w:rsidR="00632208" w:rsidRPr="0098635C" w:rsidRDefault="00632208" w:rsidP="00A432B0">
            <w:pPr>
              <w:spacing w:after="0"/>
              <w:rPr>
                <w:color w:val="000000" w:themeColor="text1"/>
                <w:sz w:val="20"/>
                <w:szCs w:val="20"/>
              </w:rPr>
            </w:pPr>
            <w:r w:rsidRPr="0098635C">
              <w:rPr>
                <w:color w:val="000000" w:themeColor="text1"/>
                <w:sz w:val="20"/>
                <w:szCs w:val="20"/>
              </w:rPr>
              <w:t>1.0m</w:t>
            </w:r>
          </w:p>
        </w:tc>
        <w:tc>
          <w:tcPr>
            <w:tcW w:w="850" w:type="dxa"/>
            <w:tcBorders>
              <w:top w:val="nil"/>
              <w:left w:val="nil"/>
              <w:bottom w:val="single" w:sz="4" w:space="0" w:color="auto"/>
              <w:right w:val="single" w:sz="4" w:space="0" w:color="auto"/>
            </w:tcBorders>
          </w:tcPr>
          <w:p w14:paraId="4EB50B4D" w14:textId="77777777" w:rsidR="00632208" w:rsidRPr="0098635C" w:rsidRDefault="00632208" w:rsidP="00A432B0">
            <w:pPr>
              <w:spacing w:after="0"/>
              <w:rPr>
                <w:color w:val="000000" w:themeColor="text1"/>
                <w:sz w:val="20"/>
                <w:szCs w:val="20"/>
              </w:rPr>
            </w:pPr>
            <w:r w:rsidRPr="0098635C">
              <w:rPr>
                <w:color w:val="000000" w:themeColor="text1"/>
                <w:sz w:val="20"/>
                <w:szCs w:val="20"/>
              </w:rPr>
              <w:t>0.9m</w:t>
            </w:r>
          </w:p>
        </w:tc>
        <w:tc>
          <w:tcPr>
            <w:tcW w:w="1276" w:type="dxa"/>
            <w:tcBorders>
              <w:top w:val="nil"/>
              <w:left w:val="nil"/>
              <w:bottom w:val="single" w:sz="4" w:space="0" w:color="auto"/>
              <w:right w:val="single" w:sz="4" w:space="0" w:color="auto"/>
            </w:tcBorders>
          </w:tcPr>
          <w:p w14:paraId="127F5C5F" w14:textId="77777777" w:rsidR="00632208" w:rsidRPr="0098635C" w:rsidRDefault="00632208" w:rsidP="00A432B0">
            <w:pPr>
              <w:spacing w:after="0"/>
              <w:rPr>
                <w:color w:val="000000" w:themeColor="text1"/>
                <w:sz w:val="20"/>
                <w:szCs w:val="20"/>
              </w:rPr>
            </w:pPr>
            <w:r w:rsidRPr="0098635C">
              <w:rPr>
                <w:color w:val="000000" w:themeColor="text1"/>
                <w:sz w:val="20"/>
                <w:szCs w:val="20"/>
              </w:rPr>
              <w:t>Not reported</w:t>
            </w:r>
          </w:p>
        </w:tc>
        <w:tc>
          <w:tcPr>
            <w:tcW w:w="2268" w:type="dxa"/>
            <w:tcBorders>
              <w:top w:val="nil"/>
              <w:left w:val="nil"/>
              <w:bottom w:val="single" w:sz="4" w:space="0" w:color="auto"/>
              <w:right w:val="single" w:sz="4" w:space="0" w:color="auto"/>
            </w:tcBorders>
          </w:tcPr>
          <w:p w14:paraId="3B07625B" w14:textId="77777777" w:rsidR="00632208" w:rsidRPr="0098635C" w:rsidRDefault="00632208" w:rsidP="00A432B0">
            <w:pPr>
              <w:spacing w:after="0"/>
              <w:rPr>
                <w:color w:val="000000" w:themeColor="text1"/>
                <w:sz w:val="20"/>
                <w:szCs w:val="20"/>
              </w:rPr>
            </w:pPr>
            <w:r w:rsidRPr="0098635C">
              <w:rPr>
                <w:color w:val="000000" w:themeColor="text1"/>
                <w:sz w:val="20"/>
                <w:szCs w:val="20"/>
              </w:rPr>
              <w:t>Filtered seawater</w:t>
            </w:r>
          </w:p>
        </w:tc>
        <w:tc>
          <w:tcPr>
            <w:tcW w:w="1985" w:type="dxa"/>
            <w:tcBorders>
              <w:top w:val="nil"/>
              <w:left w:val="nil"/>
              <w:bottom w:val="single" w:sz="4" w:space="0" w:color="auto"/>
              <w:right w:val="double" w:sz="6" w:space="0" w:color="auto"/>
            </w:tcBorders>
          </w:tcPr>
          <w:p w14:paraId="25551F97" w14:textId="77777777" w:rsidR="00632208" w:rsidRPr="0098635C" w:rsidRDefault="00632208" w:rsidP="00A432B0">
            <w:pPr>
              <w:spacing w:after="0"/>
              <w:rPr>
                <w:color w:val="000000" w:themeColor="text1"/>
                <w:sz w:val="20"/>
                <w:szCs w:val="20"/>
              </w:rPr>
            </w:pPr>
            <w:r w:rsidRPr="0098635C">
              <w:rPr>
                <w:color w:val="000000" w:themeColor="text1"/>
                <w:sz w:val="20"/>
                <w:szCs w:val="20"/>
              </w:rPr>
              <w:t>Rosen, 2005</w:t>
            </w:r>
          </w:p>
        </w:tc>
      </w:tr>
      <w:tr w:rsidR="00632208" w:rsidRPr="0098635C" w14:paraId="4F407581" w14:textId="77777777" w:rsidTr="00A432B0">
        <w:trPr>
          <w:trHeight w:val="74"/>
        </w:trPr>
        <w:tc>
          <w:tcPr>
            <w:tcW w:w="2073" w:type="dxa"/>
            <w:tcBorders>
              <w:top w:val="nil"/>
              <w:left w:val="double" w:sz="6" w:space="0" w:color="auto"/>
              <w:bottom w:val="single" w:sz="4" w:space="0" w:color="auto"/>
              <w:right w:val="single" w:sz="4" w:space="0" w:color="auto"/>
            </w:tcBorders>
          </w:tcPr>
          <w:p w14:paraId="030D50C8"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Tisbe battagliai</w:t>
            </w:r>
          </w:p>
        </w:tc>
        <w:tc>
          <w:tcPr>
            <w:tcW w:w="1559" w:type="dxa"/>
            <w:tcBorders>
              <w:top w:val="nil"/>
              <w:left w:val="nil"/>
              <w:bottom w:val="single" w:sz="4" w:space="0" w:color="auto"/>
              <w:right w:val="single" w:sz="4" w:space="0" w:color="auto"/>
            </w:tcBorders>
          </w:tcPr>
          <w:p w14:paraId="30E0B59D" w14:textId="77777777" w:rsidR="00632208" w:rsidRPr="0098635C" w:rsidRDefault="00632208" w:rsidP="00A432B0">
            <w:pPr>
              <w:spacing w:after="0"/>
              <w:rPr>
                <w:color w:val="000000" w:themeColor="text1"/>
                <w:sz w:val="20"/>
                <w:szCs w:val="20"/>
              </w:rPr>
            </w:pPr>
            <w:r w:rsidRPr="0098635C">
              <w:rPr>
                <w:color w:val="000000" w:themeColor="text1"/>
                <w:sz w:val="20"/>
                <w:szCs w:val="20"/>
              </w:rPr>
              <w:t>&lt;24 hrs</w:t>
            </w:r>
          </w:p>
        </w:tc>
        <w:tc>
          <w:tcPr>
            <w:tcW w:w="992" w:type="dxa"/>
            <w:tcBorders>
              <w:top w:val="nil"/>
              <w:left w:val="nil"/>
              <w:bottom w:val="single" w:sz="4" w:space="0" w:color="auto"/>
              <w:right w:val="single" w:sz="4" w:space="0" w:color="auto"/>
            </w:tcBorders>
          </w:tcPr>
          <w:p w14:paraId="37A42147" w14:textId="77777777" w:rsidR="00632208" w:rsidRPr="0098635C" w:rsidRDefault="00632208" w:rsidP="00A432B0">
            <w:pPr>
              <w:spacing w:after="0"/>
              <w:rPr>
                <w:color w:val="000000" w:themeColor="text1"/>
                <w:sz w:val="20"/>
                <w:szCs w:val="20"/>
              </w:rPr>
            </w:pPr>
            <w:r w:rsidRPr="0098635C">
              <w:rPr>
                <w:color w:val="000000" w:themeColor="text1"/>
                <w:sz w:val="20"/>
                <w:szCs w:val="20"/>
              </w:rPr>
              <w:t>21 days</w:t>
            </w:r>
          </w:p>
        </w:tc>
        <w:tc>
          <w:tcPr>
            <w:tcW w:w="1134" w:type="dxa"/>
            <w:tcBorders>
              <w:top w:val="nil"/>
              <w:left w:val="nil"/>
              <w:bottom w:val="single" w:sz="4" w:space="0" w:color="auto"/>
              <w:right w:val="single" w:sz="4" w:space="0" w:color="auto"/>
            </w:tcBorders>
          </w:tcPr>
          <w:p w14:paraId="2E9D7816" w14:textId="77777777" w:rsidR="00632208" w:rsidRPr="0098635C" w:rsidRDefault="00632208" w:rsidP="00A432B0">
            <w:pPr>
              <w:spacing w:after="0"/>
              <w:rPr>
                <w:color w:val="000000" w:themeColor="text1"/>
                <w:sz w:val="20"/>
                <w:szCs w:val="20"/>
              </w:rPr>
            </w:pPr>
            <w:r w:rsidRPr="0098635C">
              <w:rPr>
                <w:color w:val="000000" w:themeColor="text1"/>
                <w:sz w:val="20"/>
                <w:szCs w:val="20"/>
              </w:rPr>
              <w:t>Survival</w:t>
            </w:r>
          </w:p>
        </w:tc>
        <w:tc>
          <w:tcPr>
            <w:tcW w:w="851" w:type="dxa"/>
            <w:tcBorders>
              <w:top w:val="nil"/>
              <w:left w:val="nil"/>
              <w:bottom w:val="single" w:sz="4" w:space="0" w:color="auto"/>
              <w:right w:val="single" w:sz="4" w:space="0" w:color="auto"/>
            </w:tcBorders>
          </w:tcPr>
          <w:p w14:paraId="6A14AEEB" w14:textId="77777777" w:rsidR="00632208" w:rsidRPr="0098635C" w:rsidRDefault="00632208" w:rsidP="00A432B0">
            <w:pPr>
              <w:spacing w:after="0"/>
              <w:rPr>
                <w:color w:val="000000" w:themeColor="text1"/>
                <w:sz w:val="20"/>
                <w:szCs w:val="20"/>
              </w:rPr>
            </w:pPr>
            <w:r w:rsidRPr="0098635C">
              <w:rPr>
                <w:color w:val="000000" w:themeColor="text1"/>
                <w:sz w:val="20"/>
                <w:szCs w:val="20"/>
              </w:rPr>
              <w:t>18</w:t>
            </w:r>
          </w:p>
        </w:tc>
        <w:tc>
          <w:tcPr>
            <w:tcW w:w="1275" w:type="dxa"/>
            <w:tcBorders>
              <w:top w:val="nil"/>
              <w:left w:val="nil"/>
              <w:bottom w:val="single" w:sz="4" w:space="0" w:color="auto"/>
              <w:right w:val="single" w:sz="4" w:space="0" w:color="auto"/>
            </w:tcBorders>
          </w:tcPr>
          <w:p w14:paraId="36875FCA" w14:textId="77777777" w:rsidR="00632208" w:rsidRPr="0098635C" w:rsidRDefault="00632208" w:rsidP="00A432B0">
            <w:pPr>
              <w:spacing w:after="0"/>
              <w:rPr>
                <w:color w:val="000000" w:themeColor="text1"/>
                <w:sz w:val="20"/>
                <w:szCs w:val="20"/>
              </w:rPr>
            </w:pPr>
            <w:r w:rsidRPr="0098635C">
              <w:rPr>
                <w:color w:val="000000" w:themeColor="text1"/>
                <w:sz w:val="20"/>
                <w:szCs w:val="20"/>
              </w:rPr>
              <w:t>Semi-Static</w:t>
            </w:r>
          </w:p>
        </w:tc>
        <w:tc>
          <w:tcPr>
            <w:tcW w:w="851" w:type="dxa"/>
            <w:tcBorders>
              <w:top w:val="nil"/>
              <w:left w:val="nil"/>
              <w:bottom w:val="single" w:sz="4" w:space="0" w:color="auto"/>
              <w:right w:val="single" w:sz="4" w:space="0" w:color="auto"/>
            </w:tcBorders>
          </w:tcPr>
          <w:p w14:paraId="027289E0" w14:textId="77777777" w:rsidR="00632208" w:rsidRPr="0098635C" w:rsidRDefault="00632208" w:rsidP="00A432B0">
            <w:pPr>
              <w:spacing w:after="0"/>
              <w:rPr>
                <w:color w:val="000000" w:themeColor="text1"/>
                <w:sz w:val="20"/>
                <w:szCs w:val="20"/>
              </w:rPr>
            </w:pPr>
            <w:r w:rsidRPr="0098635C">
              <w:rPr>
                <w:color w:val="000000" w:themeColor="text1"/>
                <w:sz w:val="20"/>
                <w:szCs w:val="20"/>
              </w:rPr>
              <w:t>2.0m</w:t>
            </w:r>
          </w:p>
        </w:tc>
        <w:tc>
          <w:tcPr>
            <w:tcW w:w="850" w:type="dxa"/>
            <w:tcBorders>
              <w:top w:val="nil"/>
              <w:left w:val="nil"/>
              <w:bottom w:val="single" w:sz="4" w:space="0" w:color="auto"/>
              <w:right w:val="single" w:sz="4" w:space="0" w:color="auto"/>
            </w:tcBorders>
          </w:tcPr>
          <w:p w14:paraId="7F200068" w14:textId="77777777" w:rsidR="00632208" w:rsidRPr="0098635C" w:rsidRDefault="00632208" w:rsidP="00A432B0">
            <w:pPr>
              <w:spacing w:after="0"/>
              <w:rPr>
                <w:color w:val="000000" w:themeColor="text1"/>
                <w:sz w:val="20"/>
                <w:szCs w:val="20"/>
              </w:rPr>
            </w:pPr>
            <w:r w:rsidRPr="0098635C">
              <w:rPr>
                <w:color w:val="000000" w:themeColor="text1"/>
                <w:sz w:val="20"/>
                <w:szCs w:val="20"/>
              </w:rPr>
              <w:t>2.79m</w:t>
            </w:r>
          </w:p>
        </w:tc>
        <w:tc>
          <w:tcPr>
            <w:tcW w:w="1276" w:type="dxa"/>
            <w:tcBorders>
              <w:top w:val="nil"/>
              <w:left w:val="nil"/>
              <w:bottom w:val="single" w:sz="4" w:space="0" w:color="auto"/>
              <w:right w:val="single" w:sz="4" w:space="0" w:color="auto"/>
            </w:tcBorders>
          </w:tcPr>
          <w:p w14:paraId="09BC922B" w14:textId="77777777" w:rsidR="00632208" w:rsidRPr="0098635C" w:rsidRDefault="00632208" w:rsidP="00A432B0">
            <w:pPr>
              <w:spacing w:after="0"/>
              <w:rPr>
                <w:color w:val="000000" w:themeColor="text1"/>
                <w:sz w:val="20"/>
                <w:szCs w:val="20"/>
              </w:rPr>
            </w:pPr>
            <w:r w:rsidRPr="0098635C">
              <w:rPr>
                <w:color w:val="000000" w:themeColor="text1"/>
                <w:sz w:val="20"/>
                <w:szCs w:val="20"/>
              </w:rPr>
              <w:t>35</w:t>
            </w:r>
          </w:p>
        </w:tc>
        <w:tc>
          <w:tcPr>
            <w:tcW w:w="2268" w:type="dxa"/>
            <w:tcBorders>
              <w:top w:val="nil"/>
              <w:left w:val="nil"/>
              <w:bottom w:val="single" w:sz="4" w:space="0" w:color="auto"/>
              <w:right w:val="single" w:sz="4" w:space="0" w:color="auto"/>
            </w:tcBorders>
          </w:tcPr>
          <w:p w14:paraId="224033E5" w14:textId="77777777" w:rsidR="00632208" w:rsidRPr="0098635C" w:rsidRDefault="00632208" w:rsidP="00A432B0">
            <w:pPr>
              <w:spacing w:after="0"/>
              <w:rPr>
                <w:color w:val="000000" w:themeColor="text1"/>
                <w:sz w:val="20"/>
                <w:szCs w:val="20"/>
              </w:rPr>
            </w:pPr>
            <w:r w:rsidRPr="0098635C">
              <w:rPr>
                <w:color w:val="000000" w:themeColor="text1"/>
                <w:sz w:val="20"/>
                <w:szCs w:val="20"/>
              </w:rPr>
              <w:t>natural seawater</w:t>
            </w:r>
          </w:p>
        </w:tc>
        <w:tc>
          <w:tcPr>
            <w:tcW w:w="1985" w:type="dxa"/>
            <w:tcBorders>
              <w:top w:val="nil"/>
              <w:left w:val="nil"/>
              <w:bottom w:val="single" w:sz="4" w:space="0" w:color="auto"/>
              <w:right w:val="double" w:sz="6" w:space="0" w:color="auto"/>
            </w:tcBorders>
          </w:tcPr>
          <w:p w14:paraId="14139B7B" w14:textId="77777777" w:rsidR="00632208" w:rsidRPr="0098635C" w:rsidRDefault="00632208" w:rsidP="00A432B0">
            <w:pPr>
              <w:spacing w:after="0"/>
              <w:rPr>
                <w:color w:val="000000" w:themeColor="text1"/>
                <w:sz w:val="20"/>
                <w:szCs w:val="20"/>
              </w:rPr>
            </w:pPr>
            <w:r w:rsidRPr="0098635C">
              <w:rPr>
                <w:color w:val="000000" w:themeColor="text1"/>
                <w:sz w:val="20"/>
                <w:szCs w:val="20"/>
              </w:rPr>
              <w:t>Williams, T.  2006</w:t>
            </w:r>
          </w:p>
        </w:tc>
      </w:tr>
      <w:tr w:rsidR="00632208" w:rsidRPr="0098635C" w14:paraId="51966A99" w14:textId="77777777" w:rsidTr="00A432B0">
        <w:trPr>
          <w:trHeight w:val="74"/>
        </w:trPr>
        <w:tc>
          <w:tcPr>
            <w:tcW w:w="2073" w:type="dxa"/>
            <w:tcBorders>
              <w:top w:val="nil"/>
              <w:left w:val="double" w:sz="6" w:space="0" w:color="auto"/>
              <w:bottom w:val="single" w:sz="4" w:space="0" w:color="auto"/>
              <w:right w:val="single" w:sz="4" w:space="0" w:color="auto"/>
            </w:tcBorders>
          </w:tcPr>
          <w:p w14:paraId="76E8BC10"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Tisbe battagliai</w:t>
            </w:r>
          </w:p>
        </w:tc>
        <w:tc>
          <w:tcPr>
            <w:tcW w:w="1559" w:type="dxa"/>
            <w:tcBorders>
              <w:top w:val="nil"/>
              <w:left w:val="nil"/>
              <w:bottom w:val="single" w:sz="4" w:space="0" w:color="auto"/>
              <w:right w:val="single" w:sz="4" w:space="0" w:color="auto"/>
            </w:tcBorders>
          </w:tcPr>
          <w:p w14:paraId="5983A8B9" w14:textId="77777777" w:rsidR="00632208" w:rsidRPr="0098635C" w:rsidRDefault="00632208" w:rsidP="00A432B0">
            <w:pPr>
              <w:spacing w:after="0"/>
              <w:rPr>
                <w:color w:val="000000" w:themeColor="text1"/>
                <w:sz w:val="20"/>
                <w:szCs w:val="20"/>
              </w:rPr>
            </w:pPr>
            <w:r w:rsidRPr="0098635C">
              <w:rPr>
                <w:color w:val="000000" w:themeColor="text1"/>
                <w:sz w:val="20"/>
                <w:szCs w:val="20"/>
              </w:rPr>
              <w:t>&lt;24 hrs</w:t>
            </w:r>
          </w:p>
        </w:tc>
        <w:tc>
          <w:tcPr>
            <w:tcW w:w="992" w:type="dxa"/>
            <w:tcBorders>
              <w:top w:val="nil"/>
              <w:left w:val="nil"/>
              <w:bottom w:val="single" w:sz="4" w:space="0" w:color="auto"/>
              <w:right w:val="single" w:sz="4" w:space="0" w:color="auto"/>
            </w:tcBorders>
          </w:tcPr>
          <w:p w14:paraId="2AECA53D" w14:textId="77777777" w:rsidR="00632208" w:rsidRPr="0098635C" w:rsidRDefault="00632208" w:rsidP="00A432B0">
            <w:pPr>
              <w:spacing w:after="0"/>
              <w:rPr>
                <w:color w:val="000000" w:themeColor="text1"/>
                <w:sz w:val="20"/>
                <w:szCs w:val="20"/>
              </w:rPr>
            </w:pPr>
            <w:r w:rsidRPr="0098635C">
              <w:rPr>
                <w:color w:val="000000" w:themeColor="text1"/>
                <w:sz w:val="20"/>
                <w:szCs w:val="20"/>
              </w:rPr>
              <w:t>21 days</w:t>
            </w:r>
          </w:p>
        </w:tc>
        <w:tc>
          <w:tcPr>
            <w:tcW w:w="1134" w:type="dxa"/>
            <w:tcBorders>
              <w:top w:val="nil"/>
              <w:left w:val="nil"/>
              <w:bottom w:val="single" w:sz="4" w:space="0" w:color="auto"/>
              <w:right w:val="single" w:sz="4" w:space="0" w:color="auto"/>
            </w:tcBorders>
          </w:tcPr>
          <w:p w14:paraId="538BDB71" w14:textId="77777777" w:rsidR="00632208" w:rsidRPr="0098635C" w:rsidRDefault="00632208" w:rsidP="00A432B0">
            <w:pPr>
              <w:spacing w:after="0"/>
              <w:rPr>
                <w:color w:val="000000" w:themeColor="text1"/>
                <w:sz w:val="20"/>
                <w:szCs w:val="20"/>
              </w:rPr>
            </w:pPr>
            <w:r w:rsidRPr="0098635C">
              <w:rPr>
                <w:color w:val="000000" w:themeColor="text1"/>
                <w:sz w:val="20"/>
                <w:szCs w:val="20"/>
              </w:rPr>
              <w:t>Development</w:t>
            </w:r>
          </w:p>
        </w:tc>
        <w:tc>
          <w:tcPr>
            <w:tcW w:w="851" w:type="dxa"/>
            <w:tcBorders>
              <w:top w:val="nil"/>
              <w:left w:val="nil"/>
              <w:bottom w:val="single" w:sz="4" w:space="0" w:color="auto"/>
              <w:right w:val="single" w:sz="4" w:space="0" w:color="auto"/>
            </w:tcBorders>
          </w:tcPr>
          <w:p w14:paraId="376E666D" w14:textId="77777777" w:rsidR="00632208" w:rsidRPr="0098635C" w:rsidRDefault="00632208" w:rsidP="00A432B0">
            <w:pPr>
              <w:spacing w:after="0"/>
              <w:rPr>
                <w:color w:val="000000" w:themeColor="text1"/>
                <w:sz w:val="20"/>
                <w:szCs w:val="20"/>
              </w:rPr>
            </w:pPr>
            <w:r w:rsidRPr="0098635C">
              <w:rPr>
                <w:color w:val="000000" w:themeColor="text1"/>
                <w:sz w:val="20"/>
                <w:szCs w:val="20"/>
              </w:rPr>
              <w:t>18</w:t>
            </w:r>
          </w:p>
        </w:tc>
        <w:tc>
          <w:tcPr>
            <w:tcW w:w="1275" w:type="dxa"/>
            <w:tcBorders>
              <w:top w:val="nil"/>
              <w:left w:val="nil"/>
              <w:bottom w:val="single" w:sz="4" w:space="0" w:color="auto"/>
              <w:right w:val="single" w:sz="4" w:space="0" w:color="auto"/>
            </w:tcBorders>
          </w:tcPr>
          <w:p w14:paraId="215C3E6A" w14:textId="77777777" w:rsidR="00632208" w:rsidRPr="0098635C" w:rsidRDefault="00632208" w:rsidP="00A432B0">
            <w:pPr>
              <w:spacing w:after="0"/>
              <w:rPr>
                <w:color w:val="000000" w:themeColor="text1"/>
                <w:sz w:val="20"/>
                <w:szCs w:val="20"/>
              </w:rPr>
            </w:pPr>
            <w:r w:rsidRPr="0098635C">
              <w:rPr>
                <w:color w:val="000000" w:themeColor="text1"/>
                <w:sz w:val="20"/>
                <w:szCs w:val="20"/>
              </w:rPr>
              <w:t>Semi-Static</w:t>
            </w:r>
          </w:p>
        </w:tc>
        <w:tc>
          <w:tcPr>
            <w:tcW w:w="851" w:type="dxa"/>
            <w:tcBorders>
              <w:top w:val="nil"/>
              <w:left w:val="nil"/>
              <w:bottom w:val="single" w:sz="4" w:space="0" w:color="auto"/>
              <w:right w:val="single" w:sz="4" w:space="0" w:color="auto"/>
            </w:tcBorders>
          </w:tcPr>
          <w:p w14:paraId="6AD321AD" w14:textId="77777777" w:rsidR="00632208" w:rsidRPr="0098635C" w:rsidRDefault="00632208" w:rsidP="00A432B0">
            <w:pPr>
              <w:spacing w:after="0"/>
              <w:rPr>
                <w:color w:val="000000" w:themeColor="text1"/>
                <w:sz w:val="20"/>
                <w:szCs w:val="20"/>
              </w:rPr>
            </w:pPr>
            <w:r w:rsidRPr="0098635C">
              <w:rPr>
                <w:color w:val="000000" w:themeColor="text1"/>
                <w:sz w:val="20"/>
                <w:szCs w:val="20"/>
              </w:rPr>
              <w:t>2.0m</w:t>
            </w:r>
          </w:p>
        </w:tc>
        <w:tc>
          <w:tcPr>
            <w:tcW w:w="850" w:type="dxa"/>
            <w:tcBorders>
              <w:top w:val="nil"/>
              <w:left w:val="nil"/>
              <w:bottom w:val="single" w:sz="4" w:space="0" w:color="auto"/>
              <w:right w:val="single" w:sz="4" w:space="0" w:color="auto"/>
            </w:tcBorders>
          </w:tcPr>
          <w:p w14:paraId="40BFDA64" w14:textId="77777777" w:rsidR="00632208" w:rsidRPr="0098635C" w:rsidRDefault="00632208" w:rsidP="00A432B0">
            <w:pPr>
              <w:spacing w:after="0"/>
              <w:rPr>
                <w:color w:val="000000" w:themeColor="text1"/>
                <w:sz w:val="20"/>
                <w:szCs w:val="20"/>
              </w:rPr>
            </w:pPr>
            <w:r w:rsidRPr="0098635C">
              <w:rPr>
                <w:color w:val="000000" w:themeColor="text1"/>
                <w:sz w:val="20"/>
                <w:szCs w:val="20"/>
              </w:rPr>
              <w:t>2.79m</w:t>
            </w:r>
          </w:p>
        </w:tc>
        <w:tc>
          <w:tcPr>
            <w:tcW w:w="1276" w:type="dxa"/>
            <w:tcBorders>
              <w:top w:val="nil"/>
              <w:left w:val="nil"/>
              <w:bottom w:val="single" w:sz="4" w:space="0" w:color="auto"/>
              <w:right w:val="single" w:sz="4" w:space="0" w:color="auto"/>
            </w:tcBorders>
          </w:tcPr>
          <w:p w14:paraId="1B2A0193" w14:textId="77777777" w:rsidR="00632208" w:rsidRPr="0098635C" w:rsidRDefault="00632208" w:rsidP="00A432B0">
            <w:pPr>
              <w:spacing w:after="0"/>
              <w:rPr>
                <w:color w:val="000000" w:themeColor="text1"/>
                <w:sz w:val="20"/>
                <w:szCs w:val="20"/>
              </w:rPr>
            </w:pPr>
            <w:r w:rsidRPr="0098635C">
              <w:rPr>
                <w:color w:val="000000" w:themeColor="text1"/>
                <w:sz w:val="20"/>
                <w:szCs w:val="20"/>
              </w:rPr>
              <w:t>35</w:t>
            </w:r>
          </w:p>
        </w:tc>
        <w:tc>
          <w:tcPr>
            <w:tcW w:w="2268" w:type="dxa"/>
            <w:tcBorders>
              <w:top w:val="nil"/>
              <w:left w:val="nil"/>
              <w:bottom w:val="single" w:sz="4" w:space="0" w:color="auto"/>
              <w:right w:val="single" w:sz="4" w:space="0" w:color="auto"/>
            </w:tcBorders>
          </w:tcPr>
          <w:p w14:paraId="358B36AD" w14:textId="77777777" w:rsidR="00632208" w:rsidRPr="0098635C" w:rsidRDefault="00632208" w:rsidP="00A432B0">
            <w:pPr>
              <w:spacing w:after="0"/>
              <w:rPr>
                <w:color w:val="000000" w:themeColor="text1"/>
                <w:sz w:val="20"/>
                <w:szCs w:val="20"/>
              </w:rPr>
            </w:pPr>
            <w:r w:rsidRPr="0098635C">
              <w:rPr>
                <w:color w:val="000000" w:themeColor="text1"/>
                <w:sz w:val="20"/>
                <w:szCs w:val="20"/>
              </w:rPr>
              <w:t>natural seawater</w:t>
            </w:r>
          </w:p>
        </w:tc>
        <w:tc>
          <w:tcPr>
            <w:tcW w:w="1985" w:type="dxa"/>
            <w:tcBorders>
              <w:top w:val="nil"/>
              <w:left w:val="nil"/>
              <w:bottom w:val="single" w:sz="4" w:space="0" w:color="auto"/>
              <w:right w:val="double" w:sz="6" w:space="0" w:color="auto"/>
            </w:tcBorders>
          </w:tcPr>
          <w:p w14:paraId="38BD4F42" w14:textId="77777777" w:rsidR="00632208" w:rsidRPr="0098635C" w:rsidRDefault="00632208" w:rsidP="00A432B0">
            <w:pPr>
              <w:spacing w:after="0"/>
              <w:rPr>
                <w:color w:val="000000" w:themeColor="text1"/>
                <w:sz w:val="20"/>
                <w:szCs w:val="20"/>
              </w:rPr>
            </w:pPr>
            <w:r w:rsidRPr="0098635C">
              <w:rPr>
                <w:color w:val="000000" w:themeColor="text1"/>
                <w:sz w:val="20"/>
                <w:szCs w:val="20"/>
              </w:rPr>
              <w:t>Williams, T.  2006</w:t>
            </w:r>
          </w:p>
        </w:tc>
      </w:tr>
      <w:tr w:rsidR="00632208" w:rsidRPr="0098635C" w14:paraId="36D576AC" w14:textId="77777777" w:rsidTr="00A432B0">
        <w:trPr>
          <w:trHeight w:val="185"/>
        </w:trPr>
        <w:tc>
          <w:tcPr>
            <w:tcW w:w="2073" w:type="dxa"/>
            <w:tcBorders>
              <w:top w:val="nil"/>
              <w:left w:val="double" w:sz="6" w:space="0" w:color="auto"/>
              <w:bottom w:val="single" w:sz="4" w:space="0" w:color="auto"/>
              <w:right w:val="single" w:sz="4" w:space="0" w:color="auto"/>
            </w:tcBorders>
          </w:tcPr>
          <w:p w14:paraId="12843E56"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Tisbe battagliai</w:t>
            </w:r>
          </w:p>
        </w:tc>
        <w:tc>
          <w:tcPr>
            <w:tcW w:w="1559" w:type="dxa"/>
            <w:tcBorders>
              <w:top w:val="nil"/>
              <w:left w:val="nil"/>
              <w:bottom w:val="single" w:sz="4" w:space="0" w:color="auto"/>
              <w:right w:val="single" w:sz="4" w:space="0" w:color="auto"/>
            </w:tcBorders>
          </w:tcPr>
          <w:p w14:paraId="7658190B" w14:textId="77777777" w:rsidR="00632208" w:rsidRPr="0098635C" w:rsidRDefault="00632208" w:rsidP="00A432B0">
            <w:pPr>
              <w:spacing w:after="0"/>
              <w:rPr>
                <w:color w:val="000000" w:themeColor="text1"/>
                <w:sz w:val="20"/>
                <w:szCs w:val="20"/>
              </w:rPr>
            </w:pPr>
            <w:r w:rsidRPr="0098635C">
              <w:rPr>
                <w:color w:val="000000" w:themeColor="text1"/>
                <w:sz w:val="20"/>
                <w:szCs w:val="20"/>
              </w:rPr>
              <w:t>&lt;24 hrs</w:t>
            </w:r>
          </w:p>
        </w:tc>
        <w:tc>
          <w:tcPr>
            <w:tcW w:w="992" w:type="dxa"/>
            <w:tcBorders>
              <w:top w:val="nil"/>
              <w:left w:val="nil"/>
              <w:bottom w:val="single" w:sz="4" w:space="0" w:color="auto"/>
              <w:right w:val="single" w:sz="4" w:space="0" w:color="auto"/>
            </w:tcBorders>
          </w:tcPr>
          <w:p w14:paraId="2CC5B6DB" w14:textId="77777777" w:rsidR="00632208" w:rsidRPr="0098635C" w:rsidRDefault="00632208" w:rsidP="00A432B0">
            <w:pPr>
              <w:spacing w:after="0"/>
              <w:rPr>
                <w:color w:val="000000" w:themeColor="text1"/>
                <w:sz w:val="20"/>
                <w:szCs w:val="20"/>
              </w:rPr>
            </w:pPr>
            <w:r w:rsidRPr="0098635C">
              <w:rPr>
                <w:color w:val="000000" w:themeColor="text1"/>
                <w:sz w:val="20"/>
                <w:szCs w:val="20"/>
              </w:rPr>
              <w:t>21 days</w:t>
            </w:r>
          </w:p>
        </w:tc>
        <w:tc>
          <w:tcPr>
            <w:tcW w:w="1134" w:type="dxa"/>
            <w:tcBorders>
              <w:top w:val="nil"/>
              <w:left w:val="nil"/>
              <w:bottom w:val="single" w:sz="4" w:space="0" w:color="auto"/>
              <w:right w:val="single" w:sz="4" w:space="0" w:color="auto"/>
            </w:tcBorders>
          </w:tcPr>
          <w:p w14:paraId="3804ACC7" w14:textId="77777777" w:rsidR="00632208" w:rsidRPr="0098635C" w:rsidRDefault="00632208" w:rsidP="00A432B0">
            <w:pPr>
              <w:spacing w:after="0"/>
              <w:rPr>
                <w:color w:val="000000" w:themeColor="text1"/>
                <w:sz w:val="20"/>
                <w:szCs w:val="20"/>
              </w:rPr>
            </w:pPr>
            <w:r w:rsidRPr="0098635C">
              <w:rPr>
                <w:color w:val="000000" w:themeColor="text1"/>
                <w:sz w:val="20"/>
                <w:szCs w:val="20"/>
              </w:rPr>
              <w:t>Reproduction</w:t>
            </w:r>
          </w:p>
        </w:tc>
        <w:tc>
          <w:tcPr>
            <w:tcW w:w="851" w:type="dxa"/>
            <w:tcBorders>
              <w:top w:val="nil"/>
              <w:left w:val="nil"/>
              <w:bottom w:val="single" w:sz="4" w:space="0" w:color="auto"/>
              <w:right w:val="single" w:sz="4" w:space="0" w:color="auto"/>
            </w:tcBorders>
          </w:tcPr>
          <w:p w14:paraId="26651122" w14:textId="77777777" w:rsidR="00632208" w:rsidRPr="0098635C" w:rsidRDefault="00632208" w:rsidP="00A432B0">
            <w:pPr>
              <w:spacing w:after="0"/>
              <w:rPr>
                <w:color w:val="000000" w:themeColor="text1"/>
                <w:sz w:val="20"/>
                <w:szCs w:val="20"/>
              </w:rPr>
            </w:pPr>
            <w:r w:rsidRPr="0098635C">
              <w:rPr>
                <w:color w:val="000000" w:themeColor="text1"/>
                <w:sz w:val="20"/>
                <w:szCs w:val="20"/>
              </w:rPr>
              <w:t>18</w:t>
            </w:r>
          </w:p>
        </w:tc>
        <w:tc>
          <w:tcPr>
            <w:tcW w:w="1275" w:type="dxa"/>
            <w:tcBorders>
              <w:top w:val="nil"/>
              <w:left w:val="nil"/>
              <w:bottom w:val="single" w:sz="4" w:space="0" w:color="auto"/>
              <w:right w:val="single" w:sz="4" w:space="0" w:color="auto"/>
            </w:tcBorders>
          </w:tcPr>
          <w:p w14:paraId="0E4EF9BB" w14:textId="77777777" w:rsidR="00632208" w:rsidRPr="0098635C" w:rsidRDefault="00632208" w:rsidP="00A432B0">
            <w:pPr>
              <w:spacing w:after="0"/>
              <w:rPr>
                <w:color w:val="000000" w:themeColor="text1"/>
                <w:sz w:val="20"/>
                <w:szCs w:val="20"/>
              </w:rPr>
            </w:pPr>
            <w:r w:rsidRPr="0098635C">
              <w:rPr>
                <w:color w:val="000000" w:themeColor="text1"/>
                <w:sz w:val="20"/>
                <w:szCs w:val="20"/>
              </w:rPr>
              <w:t>Semi-Static</w:t>
            </w:r>
          </w:p>
        </w:tc>
        <w:tc>
          <w:tcPr>
            <w:tcW w:w="851" w:type="dxa"/>
            <w:tcBorders>
              <w:top w:val="nil"/>
              <w:left w:val="nil"/>
              <w:bottom w:val="single" w:sz="4" w:space="0" w:color="auto"/>
              <w:right w:val="single" w:sz="4" w:space="0" w:color="auto"/>
            </w:tcBorders>
          </w:tcPr>
          <w:p w14:paraId="06CF2D24" w14:textId="77777777" w:rsidR="00632208" w:rsidRPr="0098635C" w:rsidRDefault="00632208" w:rsidP="00A432B0">
            <w:pPr>
              <w:spacing w:after="0"/>
              <w:rPr>
                <w:color w:val="000000" w:themeColor="text1"/>
                <w:sz w:val="20"/>
                <w:szCs w:val="20"/>
              </w:rPr>
            </w:pPr>
            <w:r w:rsidRPr="0098635C">
              <w:rPr>
                <w:color w:val="000000" w:themeColor="text1"/>
                <w:sz w:val="20"/>
                <w:szCs w:val="20"/>
              </w:rPr>
              <w:t>2.0m</w:t>
            </w:r>
          </w:p>
        </w:tc>
        <w:tc>
          <w:tcPr>
            <w:tcW w:w="850" w:type="dxa"/>
            <w:tcBorders>
              <w:top w:val="nil"/>
              <w:left w:val="nil"/>
              <w:bottom w:val="single" w:sz="4" w:space="0" w:color="auto"/>
              <w:right w:val="single" w:sz="4" w:space="0" w:color="auto"/>
            </w:tcBorders>
          </w:tcPr>
          <w:p w14:paraId="55036604" w14:textId="77777777" w:rsidR="00632208" w:rsidRPr="0098635C" w:rsidRDefault="00632208" w:rsidP="00A432B0">
            <w:pPr>
              <w:spacing w:after="0"/>
              <w:rPr>
                <w:color w:val="000000" w:themeColor="text1"/>
                <w:sz w:val="20"/>
                <w:szCs w:val="20"/>
              </w:rPr>
            </w:pPr>
            <w:r w:rsidRPr="0098635C">
              <w:rPr>
                <w:color w:val="000000" w:themeColor="text1"/>
                <w:sz w:val="20"/>
                <w:szCs w:val="20"/>
              </w:rPr>
              <w:t>2.79m</w:t>
            </w:r>
          </w:p>
        </w:tc>
        <w:tc>
          <w:tcPr>
            <w:tcW w:w="1276" w:type="dxa"/>
            <w:tcBorders>
              <w:top w:val="nil"/>
              <w:left w:val="nil"/>
              <w:bottom w:val="single" w:sz="4" w:space="0" w:color="auto"/>
              <w:right w:val="single" w:sz="4" w:space="0" w:color="auto"/>
            </w:tcBorders>
          </w:tcPr>
          <w:p w14:paraId="7E6D7A2C" w14:textId="77777777" w:rsidR="00632208" w:rsidRPr="0098635C" w:rsidRDefault="00632208" w:rsidP="00A432B0">
            <w:pPr>
              <w:spacing w:after="0"/>
              <w:rPr>
                <w:color w:val="000000" w:themeColor="text1"/>
                <w:sz w:val="20"/>
                <w:szCs w:val="20"/>
              </w:rPr>
            </w:pPr>
            <w:r w:rsidRPr="0098635C">
              <w:rPr>
                <w:color w:val="000000" w:themeColor="text1"/>
                <w:sz w:val="20"/>
                <w:szCs w:val="20"/>
              </w:rPr>
              <w:t>35</w:t>
            </w:r>
          </w:p>
        </w:tc>
        <w:tc>
          <w:tcPr>
            <w:tcW w:w="2268" w:type="dxa"/>
            <w:tcBorders>
              <w:top w:val="nil"/>
              <w:left w:val="nil"/>
              <w:bottom w:val="single" w:sz="4" w:space="0" w:color="auto"/>
              <w:right w:val="single" w:sz="4" w:space="0" w:color="auto"/>
            </w:tcBorders>
          </w:tcPr>
          <w:p w14:paraId="48F4D834" w14:textId="77777777" w:rsidR="00632208" w:rsidRPr="0098635C" w:rsidRDefault="00632208" w:rsidP="00A432B0">
            <w:pPr>
              <w:spacing w:after="0"/>
              <w:rPr>
                <w:color w:val="000000" w:themeColor="text1"/>
                <w:sz w:val="20"/>
                <w:szCs w:val="20"/>
              </w:rPr>
            </w:pPr>
            <w:r w:rsidRPr="0098635C">
              <w:rPr>
                <w:color w:val="000000" w:themeColor="text1"/>
                <w:sz w:val="20"/>
                <w:szCs w:val="20"/>
              </w:rPr>
              <w:t>natural seawater</w:t>
            </w:r>
          </w:p>
        </w:tc>
        <w:tc>
          <w:tcPr>
            <w:tcW w:w="1985" w:type="dxa"/>
            <w:tcBorders>
              <w:top w:val="nil"/>
              <w:left w:val="nil"/>
              <w:bottom w:val="single" w:sz="4" w:space="0" w:color="auto"/>
              <w:right w:val="double" w:sz="6" w:space="0" w:color="auto"/>
            </w:tcBorders>
          </w:tcPr>
          <w:p w14:paraId="74172438" w14:textId="77777777" w:rsidR="00632208" w:rsidRPr="0098635C" w:rsidRDefault="00632208" w:rsidP="00A432B0">
            <w:pPr>
              <w:spacing w:after="0"/>
              <w:rPr>
                <w:color w:val="000000" w:themeColor="text1"/>
                <w:sz w:val="20"/>
                <w:szCs w:val="20"/>
              </w:rPr>
            </w:pPr>
            <w:r w:rsidRPr="0098635C">
              <w:rPr>
                <w:color w:val="000000" w:themeColor="text1"/>
                <w:sz w:val="20"/>
                <w:szCs w:val="20"/>
              </w:rPr>
              <w:t>Williams, T.  2006</w:t>
            </w:r>
          </w:p>
        </w:tc>
      </w:tr>
      <w:tr w:rsidR="00632208" w:rsidRPr="0098635C" w14:paraId="4F54B6F5" w14:textId="77777777" w:rsidTr="00A432B0">
        <w:trPr>
          <w:trHeight w:val="74"/>
        </w:trPr>
        <w:tc>
          <w:tcPr>
            <w:tcW w:w="2073" w:type="dxa"/>
            <w:tcBorders>
              <w:top w:val="nil"/>
              <w:left w:val="double" w:sz="6" w:space="0" w:color="auto"/>
              <w:bottom w:val="single" w:sz="4" w:space="0" w:color="auto"/>
              <w:right w:val="single" w:sz="4" w:space="0" w:color="auto"/>
            </w:tcBorders>
          </w:tcPr>
          <w:p w14:paraId="363687EA"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Pandalus danae</w:t>
            </w:r>
          </w:p>
        </w:tc>
        <w:tc>
          <w:tcPr>
            <w:tcW w:w="1559" w:type="dxa"/>
            <w:tcBorders>
              <w:top w:val="nil"/>
              <w:left w:val="nil"/>
              <w:bottom w:val="single" w:sz="4" w:space="0" w:color="auto"/>
              <w:right w:val="single" w:sz="4" w:space="0" w:color="auto"/>
            </w:tcBorders>
          </w:tcPr>
          <w:p w14:paraId="6508F745" w14:textId="77777777" w:rsidR="00632208" w:rsidRPr="0098635C" w:rsidRDefault="00632208" w:rsidP="00A432B0">
            <w:pPr>
              <w:spacing w:after="0"/>
              <w:rPr>
                <w:color w:val="000000" w:themeColor="text1"/>
                <w:sz w:val="20"/>
                <w:szCs w:val="20"/>
              </w:rPr>
            </w:pPr>
            <w:r w:rsidRPr="0098635C">
              <w:rPr>
                <w:color w:val="000000" w:themeColor="text1"/>
                <w:sz w:val="20"/>
                <w:szCs w:val="20"/>
              </w:rPr>
              <w:t>Larvae</w:t>
            </w:r>
          </w:p>
        </w:tc>
        <w:tc>
          <w:tcPr>
            <w:tcW w:w="992" w:type="dxa"/>
            <w:tcBorders>
              <w:top w:val="nil"/>
              <w:left w:val="nil"/>
              <w:bottom w:val="single" w:sz="4" w:space="0" w:color="auto"/>
              <w:right w:val="single" w:sz="4" w:space="0" w:color="auto"/>
            </w:tcBorders>
          </w:tcPr>
          <w:p w14:paraId="2402F50C" w14:textId="77777777" w:rsidR="00632208" w:rsidRPr="0098635C" w:rsidRDefault="00632208" w:rsidP="00A432B0">
            <w:pPr>
              <w:spacing w:after="0"/>
              <w:rPr>
                <w:color w:val="000000" w:themeColor="text1"/>
                <w:sz w:val="20"/>
                <w:szCs w:val="20"/>
              </w:rPr>
            </w:pPr>
            <w:r w:rsidRPr="0098635C">
              <w:rPr>
                <w:color w:val="000000" w:themeColor="text1"/>
                <w:sz w:val="20"/>
                <w:szCs w:val="20"/>
              </w:rPr>
              <w:t>&gt;42 days</w:t>
            </w:r>
          </w:p>
        </w:tc>
        <w:tc>
          <w:tcPr>
            <w:tcW w:w="1134" w:type="dxa"/>
            <w:tcBorders>
              <w:top w:val="nil"/>
              <w:left w:val="nil"/>
              <w:bottom w:val="single" w:sz="4" w:space="0" w:color="auto"/>
              <w:right w:val="single" w:sz="4" w:space="0" w:color="auto"/>
            </w:tcBorders>
          </w:tcPr>
          <w:p w14:paraId="207FA52D" w14:textId="77777777" w:rsidR="00632208" w:rsidRPr="0098635C" w:rsidRDefault="00632208" w:rsidP="00A432B0">
            <w:pPr>
              <w:spacing w:after="0"/>
              <w:rPr>
                <w:color w:val="000000" w:themeColor="text1"/>
                <w:sz w:val="20"/>
                <w:szCs w:val="20"/>
              </w:rPr>
            </w:pPr>
            <w:r w:rsidRPr="0098635C">
              <w:rPr>
                <w:color w:val="000000" w:themeColor="text1"/>
                <w:sz w:val="20"/>
                <w:szCs w:val="20"/>
              </w:rPr>
              <w:t>Mortality</w:t>
            </w:r>
          </w:p>
        </w:tc>
        <w:tc>
          <w:tcPr>
            <w:tcW w:w="851" w:type="dxa"/>
            <w:tcBorders>
              <w:top w:val="nil"/>
              <w:left w:val="nil"/>
              <w:bottom w:val="single" w:sz="4" w:space="0" w:color="auto"/>
              <w:right w:val="single" w:sz="4" w:space="0" w:color="auto"/>
            </w:tcBorders>
          </w:tcPr>
          <w:p w14:paraId="5BF084B1" w14:textId="77777777" w:rsidR="00632208" w:rsidRPr="0098635C" w:rsidRDefault="00632208" w:rsidP="00A432B0">
            <w:pPr>
              <w:spacing w:after="0"/>
              <w:rPr>
                <w:color w:val="000000" w:themeColor="text1"/>
                <w:sz w:val="20"/>
                <w:szCs w:val="20"/>
              </w:rPr>
            </w:pPr>
            <w:r w:rsidRPr="0098635C">
              <w:rPr>
                <w:color w:val="000000" w:themeColor="text1"/>
                <w:sz w:val="20"/>
                <w:szCs w:val="20"/>
              </w:rPr>
              <w:t>9.9</w:t>
            </w:r>
          </w:p>
        </w:tc>
        <w:tc>
          <w:tcPr>
            <w:tcW w:w="1275" w:type="dxa"/>
            <w:tcBorders>
              <w:top w:val="nil"/>
              <w:left w:val="nil"/>
              <w:bottom w:val="single" w:sz="4" w:space="0" w:color="auto"/>
              <w:right w:val="single" w:sz="4" w:space="0" w:color="auto"/>
            </w:tcBorders>
          </w:tcPr>
          <w:p w14:paraId="351F4FDF" w14:textId="77777777" w:rsidR="00632208" w:rsidRPr="0098635C" w:rsidRDefault="00632208" w:rsidP="00A432B0">
            <w:pPr>
              <w:spacing w:after="0"/>
              <w:rPr>
                <w:color w:val="000000" w:themeColor="text1"/>
                <w:sz w:val="20"/>
                <w:szCs w:val="20"/>
              </w:rPr>
            </w:pPr>
            <w:r w:rsidRPr="0098635C">
              <w:rPr>
                <w:color w:val="000000" w:themeColor="text1"/>
                <w:sz w:val="20"/>
                <w:szCs w:val="20"/>
              </w:rPr>
              <w:t>Flow through</w:t>
            </w:r>
          </w:p>
        </w:tc>
        <w:tc>
          <w:tcPr>
            <w:tcW w:w="851" w:type="dxa"/>
            <w:tcBorders>
              <w:top w:val="nil"/>
              <w:left w:val="nil"/>
              <w:bottom w:val="single" w:sz="4" w:space="0" w:color="auto"/>
              <w:right w:val="single" w:sz="4" w:space="0" w:color="auto"/>
            </w:tcBorders>
          </w:tcPr>
          <w:p w14:paraId="0D47E220" w14:textId="77777777" w:rsidR="00632208" w:rsidRPr="0098635C" w:rsidRDefault="00632208" w:rsidP="00A432B0">
            <w:pPr>
              <w:spacing w:after="0"/>
              <w:rPr>
                <w:color w:val="000000" w:themeColor="text1"/>
                <w:sz w:val="20"/>
                <w:szCs w:val="20"/>
              </w:rPr>
            </w:pPr>
            <w:r w:rsidRPr="0098635C">
              <w:rPr>
                <w:color w:val="000000" w:themeColor="text1"/>
                <w:sz w:val="20"/>
                <w:szCs w:val="20"/>
              </w:rPr>
              <w:t>0.47m</w:t>
            </w:r>
          </w:p>
        </w:tc>
        <w:tc>
          <w:tcPr>
            <w:tcW w:w="850" w:type="dxa"/>
            <w:tcBorders>
              <w:top w:val="nil"/>
              <w:left w:val="nil"/>
              <w:bottom w:val="single" w:sz="4" w:space="0" w:color="auto"/>
              <w:right w:val="single" w:sz="4" w:space="0" w:color="auto"/>
            </w:tcBorders>
          </w:tcPr>
          <w:p w14:paraId="19BA9D60" w14:textId="77777777" w:rsidR="00632208" w:rsidRPr="0098635C" w:rsidRDefault="00632208" w:rsidP="00A432B0">
            <w:pPr>
              <w:spacing w:after="0"/>
              <w:rPr>
                <w:color w:val="000000" w:themeColor="text1"/>
                <w:sz w:val="20"/>
                <w:szCs w:val="20"/>
              </w:rPr>
            </w:pPr>
            <w:r w:rsidRPr="0098635C">
              <w:rPr>
                <w:color w:val="000000" w:themeColor="text1"/>
                <w:sz w:val="20"/>
                <w:szCs w:val="20"/>
              </w:rPr>
              <w:t>2.0e</w:t>
            </w:r>
          </w:p>
        </w:tc>
        <w:tc>
          <w:tcPr>
            <w:tcW w:w="1276" w:type="dxa"/>
            <w:tcBorders>
              <w:top w:val="nil"/>
              <w:left w:val="nil"/>
              <w:bottom w:val="single" w:sz="4" w:space="0" w:color="auto"/>
              <w:right w:val="single" w:sz="4" w:space="0" w:color="auto"/>
            </w:tcBorders>
          </w:tcPr>
          <w:p w14:paraId="273424BF" w14:textId="77777777" w:rsidR="00632208" w:rsidRPr="0098635C" w:rsidRDefault="00632208" w:rsidP="00A432B0">
            <w:pPr>
              <w:spacing w:after="0"/>
              <w:rPr>
                <w:color w:val="000000" w:themeColor="text1"/>
                <w:sz w:val="20"/>
                <w:szCs w:val="20"/>
              </w:rPr>
            </w:pPr>
            <w:r w:rsidRPr="0098635C">
              <w:rPr>
                <w:color w:val="000000" w:themeColor="text1"/>
                <w:sz w:val="20"/>
                <w:szCs w:val="20"/>
              </w:rPr>
              <w:t>29.8-30.6</w:t>
            </w:r>
          </w:p>
        </w:tc>
        <w:tc>
          <w:tcPr>
            <w:tcW w:w="2268" w:type="dxa"/>
            <w:tcBorders>
              <w:top w:val="nil"/>
              <w:left w:val="nil"/>
              <w:bottom w:val="single" w:sz="4" w:space="0" w:color="auto"/>
              <w:right w:val="single" w:sz="4" w:space="0" w:color="auto"/>
            </w:tcBorders>
          </w:tcPr>
          <w:p w14:paraId="1672880F" w14:textId="77777777" w:rsidR="00632208" w:rsidRPr="0098635C" w:rsidRDefault="00632208" w:rsidP="00A432B0">
            <w:pPr>
              <w:spacing w:after="0"/>
              <w:rPr>
                <w:color w:val="000000" w:themeColor="text1"/>
                <w:sz w:val="20"/>
                <w:szCs w:val="20"/>
              </w:rPr>
            </w:pPr>
            <w:r w:rsidRPr="0098635C">
              <w:rPr>
                <w:color w:val="000000" w:themeColor="text1"/>
                <w:sz w:val="20"/>
                <w:szCs w:val="20"/>
              </w:rPr>
              <w:t>natural seawater</w:t>
            </w:r>
          </w:p>
        </w:tc>
        <w:tc>
          <w:tcPr>
            <w:tcW w:w="1985" w:type="dxa"/>
            <w:tcBorders>
              <w:top w:val="nil"/>
              <w:left w:val="nil"/>
              <w:bottom w:val="single" w:sz="4" w:space="0" w:color="auto"/>
              <w:right w:val="double" w:sz="6" w:space="0" w:color="auto"/>
            </w:tcBorders>
          </w:tcPr>
          <w:p w14:paraId="42DA64AA"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Young et al., 1979 </w:t>
            </w:r>
          </w:p>
        </w:tc>
      </w:tr>
      <w:tr w:rsidR="00632208" w:rsidRPr="0098635C" w14:paraId="199E9C0D" w14:textId="77777777" w:rsidTr="00A432B0">
        <w:trPr>
          <w:trHeight w:val="129"/>
        </w:trPr>
        <w:tc>
          <w:tcPr>
            <w:tcW w:w="2073" w:type="dxa"/>
            <w:tcBorders>
              <w:top w:val="nil"/>
              <w:left w:val="double" w:sz="6" w:space="0" w:color="auto"/>
              <w:bottom w:val="double" w:sz="6" w:space="0" w:color="auto"/>
              <w:right w:val="single" w:sz="4" w:space="0" w:color="auto"/>
            </w:tcBorders>
          </w:tcPr>
          <w:p w14:paraId="7FFBAFBD" w14:textId="77777777" w:rsidR="00632208" w:rsidRPr="0098635C" w:rsidRDefault="00632208" w:rsidP="00A432B0">
            <w:pPr>
              <w:spacing w:after="0"/>
              <w:rPr>
                <w:i/>
                <w:iCs/>
                <w:color w:val="000000" w:themeColor="text1"/>
                <w:sz w:val="20"/>
                <w:szCs w:val="20"/>
              </w:rPr>
            </w:pPr>
            <w:r w:rsidRPr="0098635C">
              <w:rPr>
                <w:i/>
                <w:iCs/>
                <w:color w:val="000000" w:themeColor="text1"/>
                <w:sz w:val="20"/>
                <w:szCs w:val="20"/>
              </w:rPr>
              <w:t>Pandalus danae</w:t>
            </w:r>
          </w:p>
        </w:tc>
        <w:tc>
          <w:tcPr>
            <w:tcW w:w="1559" w:type="dxa"/>
            <w:tcBorders>
              <w:top w:val="nil"/>
              <w:left w:val="nil"/>
              <w:bottom w:val="double" w:sz="6" w:space="0" w:color="auto"/>
              <w:right w:val="single" w:sz="4" w:space="0" w:color="auto"/>
            </w:tcBorders>
          </w:tcPr>
          <w:p w14:paraId="7591E496" w14:textId="77777777" w:rsidR="00632208" w:rsidRPr="0098635C" w:rsidRDefault="00632208" w:rsidP="00A432B0">
            <w:pPr>
              <w:spacing w:after="0"/>
              <w:rPr>
                <w:color w:val="000000" w:themeColor="text1"/>
                <w:sz w:val="20"/>
                <w:szCs w:val="20"/>
              </w:rPr>
            </w:pPr>
            <w:r w:rsidRPr="0098635C">
              <w:rPr>
                <w:color w:val="000000" w:themeColor="text1"/>
                <w:sz w:val="20"/>
                <w:szCs w:val="20"/>
              </w:rPr>
              <w:t>Larvae</w:t>
            </w:r>
          </w:p>
        </w:tc>
        <w:tc>
          <w:tcPr>
            <w:tcW w:w="992" w:type="dxa"/>
            <w:tcBorders>
              <w:top w:val="nil"/>
              <w:left w:val="nil"/>
              <w:bottom w:val="double" w:sz="6" w:space="0" w:color="auto"/>
              <w:right w:val="single" w:sz="4" w:space="0" w:color="auto"/>
            </w:tcBorders>
          </w:tcPr>
          <w:p w14:paraId="78FB434D" w14:textId="77777777" w:rsidR="00632208" w:rsidRPr="0098635C" w:rsidRDefault="00632208" w:rsidP="00A432B0">
            <w:pPr>
              <w:spacing w:after="0"/>
              <w:rPr>
                <w:color w:val="000000" w:themeColor="text1"/>
                <w:sz w:val="20"/>
                <w:szCs w:val="20"/>
              </w:rPr>
            </w:pPr>
            <w:r w:rsidRPr="0098635C">
              <w:rPr>
                <w:color w:val="000000" w:themeColor="text1"/>
                <w:sz w:val="20"/>
                <w:szCs w:val="20"/>
              </w:rPr>
              <w:t>&gt;42 days</w:t>
            </w:r>
          </w:p>
        </w:tc>
        <w:tc>
          <w:tcPr>
            <w:tcW w:w="1134" w:type="dxa"/>
            <w:tcBorders>
              <w:top w:val="nil"/>
              <w:left w:val="nil"/>
              <w:bottom w:val="double" w:sz="6" w:space="0" w:color="auto"/>
              <w:right w:val="single" w:sz="4" w:space="0" w:color="auto"/>
            </w:tcBorders>
          </w:tcPr>
          <w:p w14:paraId="5A51E811" w14:textId="77777777" w:rsidR="00632208" w:rsidRPr="0098635C" w:rsidRDefault="00632208" w:rsidP="00A432B0">
            <w:pPr>
              <w:spacing w:after="0"/>
              <w:rPr>
                <w:color w:val="000000" w:themeColor="text1"/>
                <w:sz w:val="20"/>
                <w:szCs w:val="20"/>
              </w:rPr>
            </w:pPr>
            <w:r w:rsidRPr="0098635C">
              <w:rPr>
                <w:color w:val="000000" w:themeColor="text1"/>
                <w:sz w:val="20"/>
                <w:szCs w:val="20"/>
              </w:rPr>
              <w:t>Development</w:t>
            </w:r>
          </w:p>
        </w:tc>
        <w:tc>
          <w:tcPr>
            <w:tcW w:w="851" w:type="dxa"/>
            <w:tcBorders>
              <w:top w:val="nil"/>
              <w:left w:val="nil"/>
              <w:bottom w:val="double" w:sz="6" w:space="0" w:color="auto"/>
              <w:right w:val="single" w:sz="4" w:space="0" w:color="auto"/>
            </w:tcBorders>
          </w:tcPr>
          <w:p w14:paraId="1340C133" w14:textId="77777777" w:rsidR="00632208" w:rsidRPr="0098635C" w:rsidRDefault="00632208" w:rsidP="00A432B0">
            <w:pPr>
              <w:spacing w:after="0"/>
              <w:rPr>
                <w:color w:val="000000" w:themeColor="text1"/>
                <w:sz w:val="20"/>
                <w:szCs w:val="20"/>
              </w:rPr>
            </w:pPr>
            <w:r w:rsidRPr="0098635C">
              <w:rPr>
                <w:color w:val="000000" w:themeColor="text1"/>
                <w:sz w:val="20"/>
                <w:szCs w:val="20"/>
              </w:rPr>
              <w:t>9.9</w:t>
            </w:r>
          </w:p>
        </w:tc>
        <w:tc>
          <w:tcPr>
            <w:tcW w:w="1275" w:type="dxa"/>
            <w:tcBorders>
              <w:top w:val="nil"/>
              <w:left w:val="nil"/>
              <w:bottom w:val="double" w:sz="6" w:space="0" w:color="auto"/>
              <w:right w:val="single" w:sz="4" w:space="0" w:color="auto"/>
            </w:tcBorders>
          </w:tcPr>
          <w:p w14:paraId="36408005" w14:textId="77777777" w:rsidR="00632208" w:rsidRPr="0098635C" w:rsidRDefault="00632208" w:rsidP="00A432B0">
            <w:pPr>
              <w:spacing w:after="0"/>
              <w:rPr>
                <w:color w:val="000000" w:themeColor="text1"/>
                <w:sz w:val="20"/>
                <w:szCs w:val="20"/>
              </w:rPr>
            </w:pPr>
            <w:r w:rsidRPr="0098635C">
              <w:rPr>
                <w:color w:val="000000" w:themeColor="text1"/>
                <w:sz w:val="20"/>
                <w:szCs w:val="20"/>
              </w:rPr>
              <w:t>Flow through</w:t>
            </w:r>
          </w:p>
        </w:tc>
        <w:tc>
          <w:tcPr>
            <w:tcW w:w="851" w:type="dxa"/>
            <w:tcBorders>
              <w:top w:val="nil"/>
              <w:left w:val="nil"/>
              <w:bottom w:val="double" w:sz="6" w:space="0" w:color="auto"/>
              <w:right w:val="single" w:sz="4" w:space="0" w:color="auto"/>
            </w:tcBorders>
          </w:tcPr>
          <w:p w14:paraId="637C0606" w14:textId="77777777" w:rsidR="00632208" w:rsidRPr="0098635C" w:rsidRDefault="00632208" w:rsidP="00A432B0">
            <w:pPr>
              <w:spacing w:after="0"/>
              <w:rPr>
                <w:color w:val="000000" w:themeColor="text1"/>
                <w:sz w:val="20"/>
                <w:szCs w:val="20"/>
              </w:rPr>
            </w:pPr>
            <w:r w:rsidRPr="0098635C">
              <w:rPr>
                <w:color w:val="000000" w:themeColor="text1"/>
                <w:sz w:val="20"/>
                <w:szCs w:val="20"/>
              </w:rPr>
              <w:t>0.47m</w:t>
            </w:r>
          </w:p>
        </w:tc>
        <w:tc>
          <w:tcPr>
            <w:tcW w:w="850" w:type="dxa"/>
            <w:tcBorders>
              <w:top w:val="nil"/>
              <w:left w:val="nil"/>
              <w:bottom w:val="double" w:sz="6" w:space="0" w:color="auto"/>
              <w:right w:val="single" w:sz="4" w:space="0" w:color="auto"/>
            </w:tcBorders>
          </w:tcPr>
          <w:p w14:paraId="27FFF597" w14:textId="77777777" w:rsidR="00632208" w:rsidRPr="0098635C" w:rsidRDefault="00632208" w:rsidP="00A432B0">
            <w:pPr>
              <w:spacing w:after="0"/>
              <w:rPr>
                <w:color w:val="000000" w:themeColor="text1"/>
                <w:sz w:val="20"/>
                <w:szCs w:val="20"/>
              </w:rPr>
            </w:pPr>
            <w:r w:rsidRPr="0098635C">
              <w:rPr>
                <w:color w:val="000000" w:themeColor="text1"/>
                <w:sz w:val="20"/>
                <w:szCs w:val="20"/>
              </w:rPr>
              <w:t>2.0e</w:t>
            </w:r>
          </w:p>
        </w:tc>
        <w:tc>
          <w:tcPr>
            <w:tcW w:w="1276" w:type="dxa"/>
            <w:tcBorders>
              <w:top w:val="nil"/>
              <w:left w:val="nil"/>
              <w:bottom w:val="double" w:sz="6" w:space="0" w:color="auto"/>
              <w:right w:val="single" w:sz="4" w:space="0" w:color="auto"/>
            </w:tcBorders>
          </w:tcPr>
          <w:p w14:paraId="217D5A6E" w14:textId="77777777" w:rsidR="00632208" w:rsidRPr="0098635C" w:rsidRDefault="00632208" w:rsidP="00A432B0">
            <w:pPr>
              <w:spacing w:after="0"/>
              <w:rPr>
                <w:color w:val="000000" w:themeColor="text1"/>
                <w:sz w:val="20"/>
                <w:szCs w:val="20"/>
              </w:rPr>
            </w:pPr>
            <w:r w:rsidRPr="0098635C">
              <w:rPr>
                <w:color w:val="000000" w:themeColor="text1"/>
                <w:sz w:val="20"/>
                <w:szCs w:val="20"/>
              </w:rPr>
              <w:t>29.8-30.6</w:t>
            </w:r>
          </w:p>
        </w:tc>
        <w:tc>
          <w:tcPr>
            <w:tcW w:w="2268" w:type="dxa"/>
            <w:tcBorders>
              <w:top w:val="nil"/>
              <w:left w:val="nil"/>
              <w:bottom w:val="double" w:sz="6" w:space="0" w:color="auto"/>
              <w:right w:val="single" w:sz="4" w:space="0" w:color="auto"/>
            </w:tcBorders>
          </w:tcPr>
          <w:p w14:paraId="6102E6C1" w14:textId="77777777" w:rsidR="00632208" w:rsidRPr="0098635C" w:rsidRDefault="00632208" w:rsidP="00A432B0">
            <w:pPr>
              <w:spacing w:after="0"/>
              <w:rPr>
                <w:color w:val="000000" w:themeColor="text1"/>
                <w:sz w:val="20"/>
                <w:szCs w:val="20"/>
              </w:rPr>
            </w:pPr>
            <w:r w:rsidRPr="0098635C">
              <w:rPr>
                <w:color w:val="000000" w:themeColor="text1"/>
                <w:sz w:val="20"/>
                <w:szCs w:val="20"/>
              </w:rPr>
              <w:t>natural seawater</w:t>
            </w:r>
          </w:p>
        </w:tc>
        <w:tc>
          <w:tcPr>
            <w:tcW w:w="1985" w:type="dxa"/>
            <w:tcBorders>
              <w:top w:val="nil"/>
              <w:left w:val="nil"/>
              <w:bottom w:val="double" w:sz="6" w:space="0" w:color="auto"/>
              <w:right w:val="double" w:sz="6" w:space="0" w:color="auto"/>
            </w:tcBorders>
          </w:tcPr>
          <w:p w14:paraId="475B6E2D" w14:textId="77777777" w:rsidR="00632208" w:rsidRPr="0098635C" w:rsidRDefault="00632208" w:rsidP="00A432B0">
            <w:pPr>
              <w:spacing w:after="0"/>
              <w:rPr>
                <w:color w:val="000000" w:themeColor="text1"/>
                <w:sz w:val="20"/>
                <w:szCs w:val="20"/>
              </w:rPr>
            </w:pPr>
            <w:r w:rsidRPr="0098635C">
              <w:rPr>
                <w:color w:val="000000" w:themeColor="text1"/>
                <w:sz w:val="20"/>
                <w:szCs w:val="20"/>
              </w:rPr>
              <w:t xml:space="preserve">Young et al., 1979 </w:t>
            </w:r>
          </w:p>
        </w:tc>
      </w:tr>
    </w:tbl>
    <w:p w14:paraId="74D5612E" w14:textId="77777777" w:rsidR="00632208" w:rsidRPr="0098635C" w:rsidRDefault="00632208" w:rsidP="00632208">
      <w:pPr>
        <w:ind w:left="-720"/>
        <w:rPr>
          <w:color w:val="000000" w:themeColor="text1"/>
          <w:sz w:val="20"/>
          <w:szCs w:val="20"/>
        </w:rPr>
      </w:pPr>
    </w:p>
    <w:p w14:paraId="38FE2656" w14:textId="77777777" w:rsidR="00632208" w:rsidRPr="0098635C" w:rsidRDefault="00632208" w:rsidP="00632208">
      <w:pPr>
        <w:spacing w:before="80"/>
        <w:rPr>
          <w:b/>
          <w:bCs/>
          <w:color w:val="000000" w:themeColor="text1"/>
          <w:sz w:val="20"/>
          <w:szCs w:val="20"/>
        </w:rPr>
      </w:pPr>
    </w:p>
    <w:p w14:paraId="09117834" w14:textId="77777777" w:rsidR="00632208" w:rsidRPr="0098635C" w:rsidRDefault="00632208" w:rsidP="00632208">
      <w:pPr>
        <w:widowControl/>
        <w:autoSpaceDE/>
        <w:autoSpaceDN/>
        <w:adjustRightInd/>
        <w:rPr>
          <w:b/>
          <w:bCs/>
          <w:color w:val="000000" w:themeColor="text1"/>
          <w:sz w:val="20"/>
          <w:szCs w:val="20"/>
        </w:rPr>
      </w:pPr>
      <w:r w:rsidRPr="0098635C">
        <w:rPr>
          <w:b/>
          <w:bCs/>
          <w:color w:val="000000" w:themeColor="text1"/>
          <w:sz w:val="20"/>
          <w:szCs w:val="20"/>
        </w:rPr>
        <w:br w:type="page"/>
      </w:r>
    </w:p>
    <w:p w14:paraId="7E3D16E3" w14:textId="65467F5A" w:rsidR="00632208" w:rsidRPr="0098635C" w:rsidRDefault="00965849" w:rsidP="00632208">
      <w:pPr>
        <w:spacing w:before="80"/>
        <w:rPr>
          <w:color w:val="000000" w:themeColor="text1"/>
          <w:sz w:val="20"/>
          <w:szCs w:val="20"/>
        </w:rPr>
      </w:pPr>
      <w:r w:rsidRPr="0098635C">
        <w:rPr>
          <w:rFonts w:eastAsia="Calibri"/>
          <w:color w:val="000000" w:themeColor="text1"/>
          <w:sz w:val="20"/>
          <w:szCs w:val="20"/>
        </w:rPr>
        <w:lastRenderedPageBreak/>
        <w:t>Annex XI</w:t>
      </w:r>
      <w:r w:rsidR="00EC6F09" w:rsidRPr="0098635C">
        <w:rPr>
          <w:rFonts w:eastAsia="Calibri"/>
          <w:color w:val="000000" w:themeColor="text1"/>
          <w:sz w:val="20"/>
          <w:szCs w:val="20"/>
        </w:rPr>
        <w:t>V</w:t>
      </w:r>
      <w:r w:rsidRPr="0098635C">
        <w:rPr>
          <w:rFonts w:eastAsia="Calibri"/>
          <w:color w:val="000000" w:themeColor="text1"/>
          <w:sz w:val="20"/>
          <w:szCs w:val="20"/>
        </w:rPr>
        <w:t xml:space="preserve">: </w:t>
      </w:r>
      <w:r w:rsidR="00632208" w:rsidRPr="0098635C">
        <w:rPr>
          <w:bCs/>
          <w:color w:val="000000" w:themeColor="text1"/>
          <w:sz w:val="20"/>
          <w:szCs w:val="20"/>
        </w:rPr>
        <w:t>High quality NOEC values for marine algae and related chemistry of the test waters.</w:t>
      </w:r>
      <w:r w:rsidR="00632208" w:rsidRPr="0098635C">
        <w:rPr>
          <w:color w:val="000000" w:themeColor="text1"/>
          <w:sz w:val="20"/>
          <w:szCs w:val="20"/>
        </w:rPr>
        <w:t xml:space="preserve"> </w:t>
      </w:r>
    </w:p>
    <w:p w14:paraId="756B2CB9" w14:textId="05E6DFBF" w:rsidR="00632208" w:rsidRPr="0098635C" w:rsidRDefault="00632208" w:rsidP="00982513">
      <w:pPr>
        <w:spacing w:before="80"/>
        <w:rPr>
          <w:color w:val="000000" w:themeColor="text1"/>
          <w:sz w:val="20"/>
          <w:szCs w:val="20"/>
        </w:rPr>
      </w:pPr>
      <w:r w:rsidRPr="0098635C">
        <w:rPr>
          <w:color w:val="000000" w:themeColor="text1"/>
          <w:sz w:val="20"/>
          <w:szCs w:val="20"/>
        </w:rPr>
        <w:t>e: value was estimated; m: value was measured and reported; NR :  Background concentration not reported, but since results are based on measured concentrations, this does not affect the validity of the final result</w:t>
      </w:r>
      <w:r w:rsidR="00965849" w:rsidRPr="0098635C">
        <w:rPr>
          <w:color w:val="000000" w:themeColor="text1"/>
          <w:sz w:val="20"/>
          <w:szCs w:val="20"/>
        </w:rPr>
        <w:t xml:space="preserve">. </w:t>
      </w:r>
      <w:r w:rsidRPr="0098635C">
        <w:rPr>
          <w:color w:val="000000" w:themeColor="text1"/>
          <w:sz w:val="20"/>
          <w:szCs w:val="20"/>
        </w:rPr>
        <w:t>NOEC values between brackets are not included in the derivation of a species mean NOEC, because they are not the most sensitive biological endpoint for the species</w:t>
      </w:r>
    </w:p>
    <w:tbl>
      <w:tblPr>
        <w:tblW w:w="15217" w:type="dxa"/>
        <w:tblInd w:w="-792" w:type="dxa"/>
        <w:tblLayout w:type="fixed"/>
        <w:tblLook w:val="0000" w:firstRow="0" w:lastRow="0" w:firstColumn="0" w:lastColumn="0" w:noHBand="0" w:noVBand="0"/>
      </w:tblPr>
      <w:tblGrid>
        <w:gridCol w:w="2743"/>
        <w:gridCol w:w="1985"/>
        <w:gridCol w:w="850"/>
        <w:gridCol w:w="992"/>
        <w:gridCol w:w="709"/>
        <w:gridCol w:w="1418"/>
        <w:gridCol w:w="992"/>
        <w:gridCol w:w="850"/>
        <w:gridCol w:w="851"/>
        <w:gridCol w:w="2268"/>
        <w:gridCol w:w="1559"/>
      </w:tblGrid>
      <w:tr w:rsidR="00632208" w:rsidRPr="0098635C" w14:paraId="0AB59FD7" w14:textId="77777777" w:rsidTr="00A432B0">
        <w:trPr>
          <w:trHeight w:val="426"/>
        </w:trPr>
        <w:tc>
          <w:tcPr>
            <w:tcW w:w="2743" w:type="dxa"/>
            <w:tcBorders>
              <w:top w:val="double" w:sz="6" w:space="0" w:color="auto"/>
              <w:left w:val="double" w:sz="6" w:space="0" w:color="auto"/>
              <w:bottom w:val="single" w:sz="4" w:space="0" w:color="auto"/>
              <w:right w:val="single" w:sz="4" w:space="0" w:color="auto"/>
            </w:tcBorders>
          </w:tcPr>
          <w:p w14:paraId="2B9FB0EA" w14:textId="77777777" w:rsidR="00632208" w:rsidRPr="0098635C" w:rsidRDefault="00632208" w:rsidP="00A432B0">
            <w:pPr>
              <w:spacing w:after="0"/>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 xml:space="preserve">Species </w:t>
            </w:r>
          </w:p>
        </w:tc>
        <w:tc>
          <w:tcPr>
            <w:tcW w:w="1985" w:type="dxa"/>
            <w:tcBorders>
              <w:top w:val="double" w:sz="6" w:space="0" w:color="auto"/>
              <w:left w:val="single" w:sz="4" w:space="0" w:color="auto"/>
              <w:bottom w:val="single" w:sz="4" w:space="0" w:color="auto"/>
              <w:right w:val="single" w:sz="4" w:space="0" w:color="auto"/>
            </w:tcBorders>
          </w:tcPr>
          <w:p w14:paraId="2852D6A7" w14:textId="77777777" w:rsidR="00632208" w:rsidRPr="0098635C" w:rsidRDefault="00632208" w:rsidP="00A432B0">
            <w:pPr>
              <w:spacing w:after="0"/>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Age and/or size of test organism</w:t>
            </w:r>
          </w:p>
        </w:tc>
        <w:tc>
          <w:tcPr>
            <w:tcW w:w="850" w:type="dxa"/>
            <w:tcBorders>
              <w:top w:val="double" w:sz="6" w:space="0" w:color="auto"/>
              <w:left w:val="single" w:sz="4" w:space="0" w:color="auto"/>
              <w:bottom w:val="single" w:sz="4" w:space="0" w:color="auto"/>
              <w:right w:val="single" w:sz="4" w:space="0" w:color="auto"/>
            </w:tcBorders>
          </w:tcPr>
          <w:p w14:paraId="0D018FC0" w14:textId="77777777" w:rsidR="00632208" w:rsidRPr="0098635C" w:rsidRDefault="00632208" w:rsidP="00A432B0">
            <w:pPr>
              <w:spacing w:after="0"/>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Test duration</w:t>
            </w:r>
          </w:p>
        </w:tc>
        <w:tc>
          <w:tcPr>
            <w:tcW w:w="992" w:type="dxa"/>
            <w:tcBorders>
              <w:top w:val="double" w:sz="6" w:space="0" w:color="auto"/>
              <w:left w:val="single" w:sz="4" w:space="0" w:color="auto"/>
              <w:bottom w:val="single" w:sz="4" w:space="0" w:color="auto"/>
              <w:right w:val="single" w:sz="4" w:space="0" w:color="auto"/>
            </w:tcBorders>
          </w:tcPr>
          <w:p w14:paraId="0FF46C61" w14:textId="77777777" w:rsidR="00632208" w:rsidRPr="0098635C" w:rsidRDefault="00632208" w:rsidP="00A432B0">
            <w:pPr>
              <w:spacing w:after="0"/>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Effect parameter</w:t>
            </w:r>
          </w:p>
        </w:tc>
        <w:tc>
          <w:tcPr>
            <w:tcW w:w="709" w:type="dxa"/>
            <w:tcBorders>
              <w:top w:val="double" w:sz="6" w:space="0" w:color="auto"/>
              <w:left w:val="single" w:sz="4" w:space="0" w:color="auto"/>
              <w:bottom w:val="single" w:sz="4" w:space="0" w:color="auto"/>
              <w:right w:val="single" w:sz="4" w:space="0" w:color="auto"/>
            </w:tcBorders>
          </w:tcPr>
          <w:p w14:paraId="2EEE7E7C" w14:textId="77777777" w:rsidR="00632208" w:rsidRPr="0098635C" w:rsidRDefault="00632208" w:rsidP="00A432B0">
            <w:pPr>
              <w:spacing w:after="0"/>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NOEC value (µg/l)</w:t>
            </w:r>
          </w:p>
        </w:tc>
        <w:tc>
          <w:tcPr>
            <w:tcW w:w="1418" w:type="dxa"/>
            <w:tcBorders>
              <w:top w:val="double" w:sz="6" w:space="0" w:color="auto"/>
              <w:left w:val="single" w:sz="4" w:space="0" w:color="auto"/>
              <w:bottom w:val="single" w:sz="4" w:space="0" w:color="auto"/>
              <w:right w:val="single" w:sz="4" w:space="0" w:color="auto"/>
            </w:tcBorders>
          </w:tcPr>
          <w:p w14:paraId="0E772C33" w14:textId="77777777" w:rsidR="00632208" w:rsidRPr="0098635C" w:rsidRDefault="00632208" w:rsidP="00A432B0">
            <w:pPr>
              <w:spacing w:after="0"/>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Administration of test substance</w:t>
            </w:r>
          </w:p>
        </w:tc>
        <w:tc>
          <w:tcPr>
            <w:tcW w:w="992" w:type="dxa"/>
            <w:tcBorders>
              <w:top w:val="double" w:sz="6" w:space="0" w:color="auto"/>
              <w:left w:val="nil"/>
              <w:bottom w:val="single" w:sz="4" w:space="0" w:color="auto"/>
              <w:right w:val="single" w:sz="4" w:space="0" w:color="auto"/>
            </w:tcBorders>
          </w:tcPr>
          <w:p w14:paraId="0CE74924" w14:textId="77777777" w:rsidR="00632208" w:rsidRPr="0098635C" w:rsidRDefault="00632208" w:rsidP="00A432B0">
            <w:pPr>
              <w:spacing w:after="0"/>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Cu background</w:t>
            </w:r>
          </w:p>
          <w:p w14:paraId="1FEDAECA" w14:textId="77777777" w:rsidR="00632208" w:rsidRPr="0098635C" w:rsidRDefault="00632208" w:rsidP="00A432B0">
            <w:pPr>
              <w:spacing w:after="0"/>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(µg/L)</w:t>
            </w:r>
          </w:p>
        </w:tc>
        <w:tc>
          <w:tcPr>
            <w:tcW w:w="850" w:type="dxa"/>
            <w:tcBorders>
              <w:top w:val="double" w:sz="6" w:space="0" w:color="auto"/>
              <w:left w:val="single" w:sz="4" w:space="0" w:color="auto"/>
              <w:bottom w:val="single" w:sz="4" w:space="0" w:color="auto"/>
              <w:right w:val="single" w:sz="4" w:space="0" w:color="auto"/>
            </w:tcBorders>
          </w:tcPr>
          <w:p w14:paraId="7C574482" w14:textId="77777777" w:rsidR="00632208" w:rsidRPr="0098635C" w:rsidRDefault="00632208" w:rsidP="00A432B0">
            <w:pPr>
              <w:spacing w:after="0"/>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DOC (mg/L)</w:t>
            </w:r>
          </w:p>
        </w:tc>
        <w:tc>
          <w:tcPr>
            <w:tcW w:w="851" w:type="dxa"/>
            <w:tcBorders>
              <w:top w:val="double" w:sz="6" w:space="0" w:color="auto"/>
              <w:left w:val="single" w:sz="4" w:space="0" w:color="auto"/>
              <w:bottom w:val="single" w:sz="4" w:space="0" w:color="auto"/>
              <w:right w:val="single" w:sz="4" w:space="0" w:color="auto"/>
            </w:tcBorders>
          </w:tcPr>
          <w:p w14:paraId="3AEC3A38" w14:textId="77777777" w:rsidR="00632208" w:rsidRPr="0098635C" w:rsidRDefault="00632208" w:rsidP="00A432B0">
            <w:pPr>
              <w:spacing w:after="0"/>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Salinity (g/l)</w:t>
            </w:r>
          </w:p>
        </w:tc>
        <w:tc>
          <w:tcPr>
            <w:tcW w:w="2268" w:type="dxa"/>
            <w:tcBorders>
              <w:top w:val="double" w:sz="6" w:space="0" w:color="auto"/>
              <w:left w:val="single" w:sz="4" w:space="0" w:color="auto"/>
              <w:bottom w:val="single" w:sz="4" w:space="0" w:color="auto"/>
              <w:right w:val="single" w:sz="4" w:space="0" w:color="auto"/>
            </w:tcBorders>
          </w:tcPr>
          <w:p w14:paraId="13824E16" w14:textId="77777777" w:rsidR="00632208" w:rsidRPr="0098635C" w:rsidRDefault="00632208" w:rsidP="00A432B0">
            <w:pPr>
              <w:spacing w:after="0"/>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Test water</w:t>
            </w:r>
          </w:p>
        </w:tc>
        <w:tc>
          <w:tcPr>
            <w:tcW w:w="1559" w:type="dxa"/>
            <w:tcBorders>
              <w:top w:val="double" w:sz="6" w:space="0" w:color="auto"/>
              <w:left w:val="single" w:sz="4" w:space="0" w:color="auto"/>
              <w:bottom w:val="single" w:sz="8" w:space="0" w:color="000000"/>
              <w:right w:val="double" w:sz="6" w:space="0" w:color="auto"/>
            </w:tcBorders>
          </w:tcPr>
          <w:p w14:paraId="08FA705F" w14:textId="77777777" w:rsidR="00632208" w:rsidRPr="0098635C" w:rsidRDefault="00632208" w:rsidP="00A432B0">
            <w:pPr>
              <w:spacing w:after="0"/>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Reference</w:t>
            </w:r>
          </w:p>
        </w:tc>
      </w:tr>
      <w:tr w:rsidR="00632208" w:rsidRPr="0098635C" w14:paraId="7995C33F" w14:textId="77777777" w:rsidTr="00A432B0">
        <w:trPr>
          <w:trHeight w:val="289"/>
        </w:trPr>
        <w:tc>
          <w:tcPr>
            <w:tcW w:w="2743" w:type="dxa"/>
            <w:tcBorders>
              <w:top w:val="single" w:sz="4" w:space="0" w:color="auto"/>
              <w:left w:val="double" w:sz="6" w:space="0" w:color="auto"/>
              <w:bottom w:val="single" w:sz="4" w:space="0" w:color="auto"/>
              <w:right w:val="single" w:sz="4" w:space="0" w:color="auto"/>
            </w:tcBorders>
          </w:tcPr>
          <w:p w14:paraId="74C1BED6" w14:textId="77777777" w:rsidR="00632208" w:rsidRPr="0098635C" w:rsidRDefault="00632208" w:rsidP="00A432B0">
            <w:pPr>
              <w:spacing w:after="0"/>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 xml:space="preserve">Macrocystis pyrifera, </w:t>
            </w:r>
            <w:r w:rsidRPr="0098635C">
              <w:rPr>
                <w:rFonts w:ascii="Arial Narrow" w:hAnsi="Arial Narrow" w:cs="Arial Narrow"/>
                <w:color w:val="000000" w:themeColor="text1"/>
                <w:sz w:val="20"/>
                <w:szCs w:val="20"/>
              </w:rPr>
              <w:t>motile zoospore</w:t>
            </w:r>
          </w:p>
        </w:tc>
        <w:tc>
          <w:tcPr>
            <w:tcW w:w="1985" w:type="dxa"/>
            <w:tcBorders>
              <w:top w:val="single" w:sz="4" w:space="0" w:color="auto"/>
              <w:left w:val="nil"/>
              <w:bottom w:val="single" w:sz="4" w:space="0" w:color="auto"/>
              <w:right w:val="single" w:sz="4" w:space="0" w:color="auto"/>
            </w:tcBorders>
          </w:tcPr>
          <w:p w14:paraId="47C31FBD"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Zoospores</w:t>
            </w:r>
          </w:p>
        </w:tc>
        <w:tc>
          <w:tcPr>
            <w:tcW w:w="850" w:type="dxa"/>
            <w:tcBorders>
              <w:top w:val="single" w:sz="4" w:space="0" w:color="auto"/>
              <w:left w:val="nil"/>
              <w:bottom w:val="single" w:sz="4" w:space="0" w:color="auto"/>
              <w:right w:val="single" w:sz="4" w:space="0" w:color="auto"/>
            </w:tcBorders>
          </w:tcPr>
          <w:p w14:paraId="23A56337"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 days</w:t>
            </w:r>
          </w:p>
        </w:tc>
        <w:tc>
          <w:tcPr>
            <w:tcW w:w="992" w:type="dxa"/>
            <w:tcBorders>
              <w:top w:val="single" w:sz="4" w:space="0" w:color="auto"/>
              <w:left w:val="nil"/>
              <w:bottom w:val="single" w:sz="4" w:space="0" w:color="auto"/>
              <w:right w:val="single" w:sz="4" w:space="0" w:color="auto"/>
            </w:tcBorders>
          </w:tcPr>
          <w:p w14:paraId="1ADBE862"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sporophyte growth</w:t>
            </w:r>
          </w:p>
        </w:tc>
        <w:tc>
          <w:tcPr>
            <w:tcW w:w="709" w:type="dxa"/>
            <w:tcBorders>
              <w:top w:val="single" w:sz="4" w:space="0" w:color="auto"/>
              <w:left w:val="nil"/>
              <w:bottom w:val="single" w:sz="4" w:space="0" w:color="auto"/>
              <w:right w:val="single" w:sz="4" w:space="0" w:color="auto"/>
            </w:tcBorders>
          </w:tcPr>
          <w:p w14:paraId="016EC24F"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10.2</w:t>
            </w:r>
          </w:p>
        </w:tc>
        <w:tc>
          <w:tcPr>
            <w:tcW w:w="1418" w:type="dxa"/>
            <w:tcBorders>
              <w:top w:val="single" w:sz="4" w:space="0" w:color="auto"/>
              <w:left w:val="nil"/>
              <w:bottom w:val="single" w:sz="4" w:space="0" w:color="auto"/>
              <w:right w:val="single" w:sz="4" w:space="0" w:color="auto"/>
            </w:tcBorders>
          </w:tcPr>
          <w:p w14:paraId="112107DA"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static renewal</w:t>
            </w:r>
          </w:p>
        </w:tc>
        <w:tc>
          <w:tcPr>
            <w:tcW w:w="992" w:type="dxa"/>
            <w:tcBorders>
              <w:top w:val="single" w:sz="4" w:space="0" w:color="auto"/>
              <w:left w:val="nil"/>
              <w:bottom w:val="single" w:sz="4" w:space="0" w:color="auto"/>
              <w:right w:val="single" w:sz="4" w:space="0" w:color="auto"/>
            </w:tcBorders>
          </w:tcPr>
          <w:p w14:paraId="3B36DDAF"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&lt;0.6m</w:t>
            </w:r>
          </w:p>
        </w:tc>
        <w:tc>
          <w:tcPr>
            <w:tcW w:w="850" w:type="dxa"/>
            <w:tcBorders>
              <w:top w:val="single" w:sz="4" w:space="0" w:color="auto"/>
              <w:left w:val="nil"/>
              <w:bottom w:val="single" w:sz="4" w:space="0" w:color="auto"/>
              <w:right w:val="single" w:sz="4" w:space="0" w:color="auto"/>
            </w:tcBorders>
          </w:tcPr>
          <w:p w14:paraId="42E35D5A"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2.0e</w:t>
            </w:r>
          </w:p>
        </w:tc>
        <w:tc>
          <w:tcPr>
            <w:tcW w:w="851" w:type="dxa"/>
            <w:tcBorders>
              <w:top w:val="single" w:sz="4" w:space="0" w:color="auto"/>
              <w:left w:val="nil"/>
              <w:bottom w:val="single" w:sz="4" w:space="0" w:color="auto"/>
              <w:right w:val="single" w:sz="4" w:space="0" w:color="auto"/>
            </w:tcBorders>
          </w:tcPr>
          <w:p w14:paraId="27810E87"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35-37</w:t>
            </w:r>
          </w:p>
        </w:tc>
        <w:tc>
          <w:tcPr>
            <w:tcW w:w="2268" w:type="dxa"/>
            <w:tcBorders>
              <w:top w:val="single" w:sz="4" w:space="0" w:color="auto"/>
              <w:left w:val="nil"/>
              <w:bottom w:val="single" w:sz="4" w:space="0" w:color="auto"/>
              <w:right w:val="single" w:sz="4" w:space="0" w:color="auto"/>
            </w:tcBorders>
          </w:tcPr>
          <w:p w14:paraId="1D1719CD"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artificial filtered seawater</w:t>
            </w:r>
          </w:p>
        </w:tc>
        <w:tc>
          <w:tcPr>
            <w:tcW w:w="1559" w:type="dxa"/>
            <w:tcBorders>
              <w:top w:val="nil"/>
              <w:left w:val="nil"/>
              <w:bottom w:val="single" w:sz="4" w:space="0" w:color="auto"/>
              <w:right w:val="double" w:sz="6" w:space="0" w:color="auto"/>
            </w:tcBorders>
          </w:tcPr>
          <w:p w14:paraId="1A458F43"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xml:space="preserve">Anderson et al., 1990 </w:t>
            </w:r>
          </w:p>
        </w:tc>
      </w:tr>
      <w:tr w:rsidR="00632208" w:rsidRPr="0098635C" w14:paraId="171CA63F" w14:textId="77777777" w:rsidTr="00A432B0">
        <w:trPr>
          <w:trHeight w:val="177"/>
        </w:trPr>
        <w:tc>
          <w:tcPr>
            <w:tcW w:w="2743" w:type="dxa"/>
            <w:tcBorders>
              <w:top w:val="nil"/>
              <w:left w:val="double" w:sz="6" w:space="0" w:color="auto"/>
              <w:bottom w:val="single" w:sz="4" w:space="0" w:color="auto"/>
              <w:right w:val="single" w:sz="4" w:space="0" w:color="auto"/>
            </w:tcBorders>
          </w:tcPr>
          <w:p w14:paraId="017033CA" w14:textId="77777777" w:rsidR="00632208" w:rsidRPr="0098635C" w:rsidRDefault="00632208" w:rsidP="00A432B0">
            <w:pPr>
              <w:spacing w:after="0"/>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 xml:space="preserve">Macrocystis pyrifera, </w:t>
            </w:r>
            <w:r w:rsidRPr="0098635C">
              <w:rPr>
                <w:rFonts w:ascii="Arial Narrow" w:hAnsi="Arial Narrow" w:cs="Arial Narrow"/>
                <w:color w:val="000000" w:themeColor="text1"/>
                <w:sz w:val="20"/>
                <w:szCs w:val="20"/>
              </w:rPr>
              <w:t>motile zoospore</w:t>
            </w:r>
          </w:p>
        </w:tc>
        <w:tc>
          <w:tcPr>
            <w:tcW w:w="1985" w:type="dxa"/>
            <w:tcBorders>
              <w:top w:val="nil"/>
              <w:left w:val="nil"/>
              <w:bottom w:val="single" w:sz="4" w:space="0" w:color="auto"/>
              <w:right w:val="single" w:sz="4" w:space="0" w:color="auto"/>
            </w:tcBorders>
          </w:tcPr>
          <w:p w14:paraId="487F6F13"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Zoospores</w:t>
            </w:r>
          </w:p>
        </w:tc>
        <w:tc>
          <w:tcPr>
            <w:tcW w:w="850" w:type="dxa"/>
            <w:tcBorders>
              <w:top w:val="nil"/>
              <w:left w:val="nil"/>
              <w:bottom w:val="single" w:sz="4" w:space="0" w:color="auto"/>
              <w:right w:val="single" w:sz="4" w:space="0" w:color="auto"/>
            </w:tcBorders>
          </w:tcPr>
          <w:p w14:paraId="5BD50990"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 days</w:t>
            </w:r>
          </w:p>
        </w:tc>
        <w:tc>
          <w:tcPr>
            <w:tcW w:w="992" w:type="dxa"/>
            <w:tcBorders>
              <w:top w:val="nil"/>
              <w:left w:val="nil"/>
              <w:bottom w:val="single" w:sz="4" w:space="0" w:color="auto"/>
              <w:right w:val="single" w:sz="4" w:space="0" w:color="auto"/>
            </w:tcBorders>
          </w:tcPr>
          <w:p w14:paraId="16DCC091"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germination</w:t>
            </w:r>
          </w:p>
        </w:tc>
        <w:tc>
          <w:tcPr>
            <w:tcW w:w="709" w:type="dxa"/>
            <w:tcBorders>
              <w:top w:val="nil"/>
              <w:left w:val="nil"/>
              <w:bottom w:val="single" w:sz="4" w:space="0" w:color="auto"/>
              <w:right w:val="single" w:sz="4" w:space="0" w:color="auto"/>
            </w:tcBorders>
          </w:tcPr>
          <w:p w14:paraId="2DD439B1"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(50.1)</w:t>
            </w:r>
          </w:p>
        </w:tc>
        <w:tc>
          <w:tcPr>
            <w:tcW w:w="1418" w:type="dxa"/>
            <w:tcBorders>
              <w:top w:val="nil"/>
              <w:left w:val="nil"/>
              <w:bottom w:val="single" w:sz="4" w:space="0" w:color="auto"/>
              <w:right w:val="single" w:sz="4" w:space="0" w:color="auto"/>
            </w:tcBorders>
          </w:tcPr>
          <w:p w14:paraId="41B60BED"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static renewal</w:t>
            </w:r>
          </w:p>
        </w:tc>
        <w:tc>
          <w:tcPr>
            <w:tcW w:w="992" w:type="dxa"/>
            <w:tcBorders>
              <w:top w:val="nil"/>
              <w:left w:val="nil"/>
              <w:bottom w:val="single" w:sz="4" w:space="0" w:color="auto"/>
              <w:right w:val="single" w:sz="4" w:space="0" w:color="auto"/>
            </w:tcBorders>
          </w:tcPr>
          <w:p w14:paraId="7FF447A7"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&lt;0.6m</w:t>
            </w:r>
          </w:p>
        </w:tc>
        <w:tc>
          <w:tcPr>
            <w:tcW w:w="850" w:type="dxa"/>
            <w:tcBorders>
              <w:top w:val="nil"/>
              <w:left w:val="nil"/>
              <w:bottom w:val="single" w:sz="4" w:space="0" w:color="auto"/>
              <w:right w:val="single" w:sz="4" w:space="0" w:color="auto"/>
            </w:tcBorders>
          </w:tcPr>
          <w:p w14:paraId="596DD996"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2.0e</w:t>
            </w:r>
          </w:p>
        </w:tc>
        <w:tc>
          <w:tcPr>
            <w:tcW w:w="851" w:type="dxa"/>
            <w:tcBorders>
              <w:top w:val="nil"/>
              <w:left w:val="nil"/>
              <w:bottom w:val="single" w:sz="4" w:space="0" w:color="auto"/>
              <w:right w:val="single" w:sz="4" w:space="0" w:color="auto"/>
            </w:tcBorders>
          </w:tcPr>
          <w:p w14:paraId="66413C83"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35-37</w:t>
            </w:r>
          </w:p>
        </w:tc>
        <w:tc>
          <w:tcPr>
            <w:tcW w:w="2268" w:type="dxa"/>
            <w:tcBorders>
              <w:top w:val="nil"/>
              <w:left w:val="nil"/>
              <w:bottom w:val="single" w:sz="4" w:space="0" w:color="auto"/>
              <w:right w:val="single" w:sz="4" w:space="0" w:color="auto"/>
            </w:tcBorders>
          </w:tcPr>
          <w:p w14:paraId="6FBB5271"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artificial filtered seawater</w:t>
            </w:r>
          </w:p>
        </w:tc>
        <w:tc>
          <w:tcPr>
            <w:tcW w:w="1559" w:type="dxa"/>
            <w:tcBorders>
              <w:top w:val="nil"/>
              <w:left w:val="nil"/>
              <w:bottom w:val="single" w:sz="4" w:space="0" w:color="auto"/>
              <w:right w:val="double" w:sz="6" w:space="0" w:color="auto"/>
            </w:tcBorders>
          </w:tcPr>
          <w:p w14:paraId="0056A5A0"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Anderson et al., 1990</w:t>
            </w:r>
          </w:p>
        </w:tc>
      </w:tr>
      <w:tr w:rsidR="00632208" w:rsidRPr="0098635C" w14:paraId="507BB3EB" w14:textId="77777777" w:rsidTr="00A432B0">
        <w:trPr>
          <w:trHeight w:val="74"/>
        </w:trPr>
        <w:tc>
          <w:tcPr>
            <w:tcW w:w="2743" w:type="dxa"/>
            <w:tcBorders>
              <w:top w:val="nil"/>
              <w:left w:val="double" w:sz="6" w:space="0" w:color="auto"/>
              <w:bottom w:val="single" w:sz="4" w:space="0" w:color="auto"/>
              <w:right w:val="single" w:sz="4" w:space="0" w:color="auto"/>
            </w:tcBorders>
          </w:tcPr>
          <w:p w14:paraId="41227E6D" w14:textId="77777777" w:rsidR="00632208" w:rsidRPr="0098635C" w:rsidRDefault="00632208" w:rsidP="00A432B0">
            <w:pPr>
              <w:spacing w:after="0"/>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 xml:space="preserve">Macrocystis pyrifera, </w:t>
            </w:r>
            <w:r w:rsidRPr="0098635C">
              <w:rPr>
                <w:rFonts w:ascii="Arial Narrow" w:hAnsi="Arial Narrow" w:cs="Arial Narrow"/>
                <w:color w:val="000000" w:themeColor="text1"/>
                <w:sz w:val="20"/>
                <w:szCs w:val="20"/>
              </w:rPr>
              <w:t>motile zoospore</w:t>
            </w:r>
          </w:p>
        </w:tc>
        <w:tc>
          <w:tcPr>
            <w:tcW w:w="1985" w:type="dxa"/>
            <w:tcBorders>
              <w:top w:val="nil"/>
              <w:left w:val="nil"/>
              <w:bottom w:val="single" w:sz="4" w:space="0" w:color="auto"/>
              <w:right w:val="single" w:sz="4" w:space="0" w:color="auto"/>
            </w:tcBorders>
          </w:tcPr>
          <w:p w14:paraId="63590500"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Zoospores</w:t>
            </w:r>
          </w:p>
        </w:tc>
        <w:tc>
          <w:tcPr>
            <w:tcW w:w="850" w:type="dxa"/>
            <w:tcBorders>
              <w:top w:val="nil"/>
              <w:left w:val="nil"/>
              <w:bottom w:val="single" w:sz="4" w:space="0" w:color="auto"/>
              <w:right w:val="single" w:sz="4" w:space="0" w:color="auto"/>
            </w:tcBorders>
          </w:tcPr>
          <w:p w14:paraId="6921C882"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 days</w:t>
            </w:r>
          </w:p>
        </w:tc>
        <w:tc>
          <w:tcPr>
            <w:tcW w:w="992" w:type="dxa"/>
            <w:tcBorders>
              <w:top w:val="nil"/>
              <w:left w:val="nil"/>
              <w:bottom w:val="single" w:sz="4" w:space="0" w:color="auto"/>
              <w:right w:val="single" w:sz="4" w:space="0" w:color="auto"/>
            </w:tcBorders>
          </w:tcPr>
          <w:p w14:paraId="50161890"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germ tube growth</w:t>
            </w:r>
          </w:p>
        </w:tc>
        <w:tc>
          <w:tcPr>
            <w:tcW w:w="709" w:type="dxa"/>
            <w:tcBorders>
              <w:top w:val="nil"/>
              <w:left w:val="nil"/>
              <w:bottom w:val="single" w:sz="4" w:space="0" w:color="auto"/>
              <w:right w:val="single" w:sz="4" w:space="0" w:color="auto"/>
            </w:tcBorders>
          </w:tcPr>
          <w:p w14:paraId="7AB93762"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10.2</w:t>
            </w:r>
          </w:p>
        </w:tc>
        <w:tc>
          <w:tcPr>
            <w:tcW w:w="1418" w:type="dxa"/>
            <w:tcBorders>
              <w:top w:val="nil"/>
              <w:left w:val="nil"/>
              <w:bottom w:val="single" w:sz="4" w:space="0" w:color="auto"/>
              <w:right w:val="single" w:sz="4" w:space="0" w:color="auto"/>
            </w:tcBorders>
          </w:tcPr>
          <w:p w14:paraId="2E8E9A19"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static renewal</w:t>
            </w:r>
          </w:p>
        </w:tc>
        <w:tc>
          <w:tcPr>
            <w:tcW w:w="992" w:type="dxa"/>
            <w:tcBorders>
              <w:top w:val="nil"/>
              <w:left w:val="nil"/>
              <w:bottom w:val="single" w:sz="4" w:space="0" w:color="auto"/>
              <w:right w:val="single" w:sz="4" w:space="0" w:color="auto"/>
            </w:tcBorders>
          </w:tcPr>
          <w:p w14:paraId="2FBA6F59"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&lt;0.6m</w:t>
            </w:r>
          </w:p>
        </w:tc>
        <w:tc>
          <w:tcPr>
            <w:tcW w:w="850" w:type="dxa"/>
            <w:tcBorders>
              <w:top w:val="nil"/>
              <w:left w:val="nil"/>
              <w:bottom w:val="single" w:sz="4" w:space="0" w:color="auto"/>
              <w:right w:val="single" w:sz="4" w:space="0" w:color="auto"/>
            </w:tcBorders>
          </w:tcPr>
          <w:p w14:paraId="1E4E8100"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2.0e</w:t>
            </w:r>
          </w:p>
        </w:tc>
        <w:tc>
          <w:tcPr>
            <w:tcW w:w="851" w:type="dxa"/>
            <w:tcBorders>
              <w:top w:val="nil"/>
              <w:left w:val="nil"/>
              <w:bottom w:val="single" w:sz="4" w:space="0" w:color="auto"/>
              <w:right w:val="single" w:sz="4" w:space="0" w:color="auto"/>
            </w:tcBorders>
          </w:tcPr>
          <w:p w14:paraId="44B7A468"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35-37</w:t>
            </w:r>
          </w:p>
        </w:tc>
        <w:tc>
          <w:tcPr>
            <w:tcW w:w="2268" w:type="dxa"/>
            <w:tcBorders>
              <w:top w:val="nil"/>
              <w:left w:val="nil"/>
              <w:bottom w:val="single" w:sz="4" w:space="0" w:color="auto"/>
              <w:right w:val="single" w:sz="4" w:space="0" w:color="auto"/>
            </w:tcBorders>
          </w:tcPr>
          <w:p w14:paraId="542B0797"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artificial filtered seawater</w:t>
            </w:r>
          </w:p>
        </w:tc>
        <w:tc>
          <w:tcPr>
            <w:tcW w:w="1559" w:type="dxa"/>
            <w:tcBorders>
              <w:top w:val="nil"/>
              <w:left w:val="nil"/>
              <w:bottom w:val="single" w:sz="4" w:space="0" w:color="auto"/>
              <w:right w:val="double" w:sz="6" w:space="0" w:color="auto"/>
            </w:tcBorders>
          </w:tcPr>
          <w:p w14:paraId="11CF1595"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xml:space="preserve">Anderson et al., 1990 </w:t>
            </w:r>
          </w:p>
        </w:tc>
      </w:tr>
      <w:tr w:rsidR="00632208" w:rsidRPr="0098635C" w14:paraId="7441660D" w14:textId="77777777" w:rsidTr="00A432B0">
        <w:trPr>
          <w:trHeight w:val="74"/>
        </w:trPr>
        <w:tc>
          <w:tcPr>
            <w:tcW w:w="2743" w:type="dxa"/>
            <w:tcBorders>
              <w:top w:val="nil"/>
              <w:left w:val="double" w:sz="6" w:space="0" w:color="auto"/>
              <w:bottom w:val="single" w:sz="4" w:space="0" w:color="auto"/>
              <w:right w:val="single" w:sz="4" w:space="0" w:color="auto"/>
            </w:tcBorders>
          </w:tcPr>
          <w:p w14:paraId="34B22074" w14:textId="77777777" w:rsidR="00632208" w:rsidRPr="0098635C" w:rsidRDefault="00632208" w:rsidP="00A432B0">
            <w:pPr>
              <w:spacing w:after="0"/>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Fucus vesiculosis</w:t>
            </w:r>
          </w:p>
        </w:tc>
        <w:tc>
          <w:tcPr>
            <w:tcW w:w="1985" w:type="dxa"/>
            <w:tcBorders>
              <w:top w:val="nil"/>
              <w:left w:val="nil"/>
              <w:bottom w:val="single" w:sz="4" w:space="0" w:color="auto"/>
              <w:right w:val="single" w:sz="4" w:space="0" w:color="auto"/>
            </w:tcBorders>
          </w:tcPr>
          <w:p w14:paraId="3093D310"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Zoospore</w:t>
            </w:r>
          </w:p>
        </w:tc>
        <w:tc>
          <w:tcPr>
            <w:tcW w:w="850" w:type="dxa"/>
            <w:tcBorders>
              <w:top w:val="nil"/>
              <w:left w:val="nil"/>
              <w:bottom w:val="single" w:sz="4" w:space="0" w:color="auto"/>
              <w:right w:val="single" w:sz="4" w:space="0" w:color="auto"/>
            </w:tcBorders>
          </w:tcPr>
          <w:p w14:paraId="3214ED3F"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 days</w:t>
            </w:r>
          </w:p>
        </w:tc>
        <w:tc>
          <w:tcPr>
            <w:tcW w:w="992" w:type="dxa"/>
            <w:tcBorders>
              <w:top w:val="nil"/>
              <w:left w:val="nil"/>
              <w:bottom w:val="single" w:sz="4" w:space="0" w:color="auto"/>
              <w:right w:val="single" w:sz="4" w:space="0" w:color="auto"/>
            </w:tcBorders>
          </w:tcPr>
          <w:p w14:paraId="67DE5AF5"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Growth</w:t>
            </w:r>
          </w:p>
        </w:tc>
        <w:tc>
          <w:tcPr>
            <w:tcW w:w="709" w:type="dxa"/>
            <w:tcBorders>
              <w:top w:val="nil"/>
              <w:left w:val="nil"/>
              <w:bottom w:val="single" w:sz="4" w:space="0" w:color="auto"/>
              <w:right w:val="single" w:sz="4" w:space="0" w:color="auto"/>
            </w:tcBorders>
          </w:tcPr>
          <w:p w14:paraId="5854575F"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11</w:t>
            </w:r>
          </w:p>
        </w:tc>
        <w:tc>
          <w:tcPr>
            <w:tcW w:w="1418" w:type="dxa"/>
            <w:tcBorders>
              <w:top w:val="nil"/>
              <w:left w:val="nil"/>
              <w:bottom w:val="single" w:sz="4" w:space="0" w:color="auto"/>
              <w:right w:val="single" w:sz="4" w:space="0" w:color="auto"/>
            </w:tcBorders>
          </w:tcPr>
          <w:p w14:paraId="36A8C6B5"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flow through</w:t>
            </w:r>
          </w:p>
        </w:tc>
        <w:tc>
          <w:tcPr>
            <w:tcW w:w="992" w:type="dxa"/>
            <w:tcBorders>
              <w:top w:val="nil"/>
              <w:left w:val="nil"/>
              <w:bottom w:val="single" w:sz="4" w:space="0" w:color="auto"/>
              <w:right w:val="single" w:sz="4" w:space="0" w:color="auto"/>
            </w:tcBorders>
          </w:tcPr>
          <w:p w14:paraId="03DBD683"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4.2m</w:t>
            </w:r>
          </w:p>
        </w:tc>
        <w:tc>
          <w:tcPr>
            <w:tcW w:w="850" w:type="dxa"/>
            <w:tcBorders>
              <w:top w:val="nil"/>
              <w:left w:val="nil"/>
              <w:bottom w:val="single" w:sz="4" w:space="0" w:color="auto"/>
              <w:right w:val="single" w:sz="4" w:space="0" w:color="auto"/>
            </w:tcBorders>
          </w:tcPr>
          <w:p w14:paraId="23C12161"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1.67m</w:t>
            </w:r>
          </w:p>
        </w:tc>
        <w:tc>
          <w:tcPr>
            <w:tcW w:w="851" w:type="dxa"/>
            <w:tcBorders>
              <w:top w:val="nil"/>
              <w:left w:val="nil"/>
              <w:bottom w:val="single" w:sz="4" w:space="0" w:color="auto"/>
              <w:right w:val="single" w:sz="4" w:space="0" w:color="auto"/>
            </w:tcBorders>
          </w:tcPr>
          <w:p w14:paraId="432A4C26"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30.9</w:t>
            </w:r>
          </w:p>
        </w:tc>
        <w:tc>
          <w:tcPr>
            <w:tcW w:w="2268" w:type="dxa"/>
            <w:tcBorders>
              <w:top w:val="nil"/>
              <w:left w:val="nil"/>
              <w:bottom w:val="single" w:sz="4" w:space="0" w:color="auto"/>
              <w:right w:val="single" w:sz="4" w:space="0" w:color="auto"/>
            </w:tcBorders>
          </w:tcPr>
          <w:p w14:paraId="48B81357"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natural filtered seawater</w:t>
            </w:r>
          </w:p>
        </w:tc>
        <w:tc>
          <w:tcPr>
            <w:tcW w:w="1559" w:type="dxa"/>
            <w:tcBorders>
              <w:top w:val="nil"/>
              <w:left w:val="nil"/>
              <w:bottom w:val="single" w:sz="4" w:space="0" w:color="auto"/>
              <w:right w:val="double" w:sz="6" w:space="0" w:color="auto"/>
            </w:tcBorders>
          </w:tcPr>
          <w:p w14:paraId="58CAB9A9"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Brooks, S., 2006d</w:t>
            </w:r>
          </w:p>
        </w:tc>
      </w:tr>
      <w:tr w:rsidR="00632208" w:rsidRPr="0098635C" w14:paraId="781184A7" w14:textId="77777777" w:rsidTr="00A432B0">
        <w:trPr>
          <w:trHeight w:val="131"/>
        </w:trPr>
        <w:tc>
          <w:tcPr>
            <w:tcW w:w="2743" w:type="dxa"/>
            <w:tcBorders>
              <w:top w:val="nil"/>
              <w:left w:val="double" w:sz="6" w:space="0" w:color="auto"/>
              <w:bottom w:val="single" w:sz="4" w:space="0" w:color="auto"/>
              <w:right w:val="single" w:sz="4" w:space="0" w:color="auto"/>
            </w:tcBorders>
          </w:tcPr>
          <w:p w14:paraId="0BF502E0" w14:textId="77777777" w:rsidR="00632208" w:rsidRPr="0098635C" w:rsidRDefault="00632208" w:rsidP="00A432B0">
            <w:pPr>
              <w:spacing w:after="0"/>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Fucus vesiculosis</w:t>
            </w:r>
          </w:p>
        </w:tc>
        <w:tc>
          <w:tcPr>
            <w:tcW w:w="1985" w:type="dxa"/>
            <w:tcBorders>
              <w:top w:val="nil"/>
              <w:left w:val="nil"/>
              <w:bottom w:val="single" w:sz="4" w:space="0" w:color="auto"/>
              <w:right w:val="single" w:sz="4" w:space="0" w:color="auto"/>
            </w:tcBorders>
          </w:tcPr>
          <w:p w14:paraId="517C127B"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zoospore</w:t>
            </w:r>
          </w:p>
        </w:tc>
        <w:tc>
          <w:tcPr>
            <w:tcW w:w="850" w:type="dxa"/>
            <w:tcBorders>
              <w:top w:val="nil"/>
              <w:left w:val="nil"/>
              <w:bottom w:val="single" w:sz="4" w:space="0" w:color="auto"/>
              <w:right w:val="single" w:sz="4" w:space="0" w:color="auto"/>
            </w:tcBorders>
          </w:tcPr>
          <w:p w14:paraId="1FDDE0FC"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 days</w:t>
            </w:r>
          </w:p>
        </w:tc>
        <w:tc>
          <w:tcPr>
            <w:tcW w:w="992" w:type="dxa"/>
            <w:tcBorders>
              <w:top w:val="nil"/>
              <w:left w:val="nil"/>
              <w:bottom w:val="single" w:sz="4" w:space="0" w:color="auto"/>
              <w:right w:val="single" w:sz="4" w:space="0" w:color="auto"/>
            </w:tcBorders>
          </w:tcPr>
          <w:p w14:paraId="1E0CF765"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Growth</w:t>
            </w:r>
          </w:p>
        </w:tc>
        <w:tc>
          <w:tcPr>
            <w:tcW w:w="709" w:type="dxa"/>
            <w:tcBorders>
              <w:top w:val="nil"/>
              <w:left w:val="nil"/>
              <w:bottom w:val="single" w:sz="4" w:space="0" w:color="auto"/>
              <w:right w:val="single" w:sz="4" w:space="0" w:color="auto"/>
            </w:tcBorders>
          </w:tcPr>
          <w:p w14:paraId="727B9AFB"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18.5</w:t>
            </w:r>
          </w:p>
        </w:tc>
        <w:tc>
          <w:tcPr>
            <w:tcW w:w="1418" w:type="dxa"/>
            <w:tcBorders>
              <w:top w:val="nil"/>
              <w:left w:val="nil"/>
              <w:bottom w:val="single" w:sz="4" w:space="0" w:color="auto"/>
              <w:right w:val="single" w:sz="4" w:space="0" w:color="auto"/>
            </w:tcBorders>
          </w:tcPr>
          <w:p w14:paraId="0AF57F5B"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flow through</w:t>
            </w:r>
          </w:p>
        </w:tc>
        <w:tc>
          <w:tcPr>
            <w:tcW w:w="992" w:type="dxa"/>
            <w:tcBorders>
              <w:top w:val="nil"/>
              <w:left w:val="nil"/>
              <w:bottom w:val="single" w:sz="4" w:space="0" w:color="auto"/>
              <w:right w:val="single" w:sz="4" w:space="0" w:color="auto"/>
            </w:tcBorders>
          </w:tcPr>
          <w:p w14:paraId="07237664"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2.3m</w:t>
            </w:r>
          </w:p>
        </w:tc>
        <w:tc>
          <w:tcPr>
            <w:tcW w:w="850" w:type="dxa"/>
            <w:tcBorders>
              <w:top w:val="nil"/>
              <w:left w:val="nil"/>
              <w:bottom w:val="single" w:sz="4" w:space="0" w:color="auto"/>
              <w:right w:val="single" w:sz="4" w:space="0" w:color="auto"/>
            </w:tcBorders>
          </w:tcPr>
          <w:p w14:paraId="768193DF"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2.11m</w:t>
            </w:r>
          </w:p>
        </w:tc>
        <w:tc>
          <w:tcPr>
            <w:tcW w:w="851" w:type="dxa"/>
            <w:tcBorders>
              <w:top w:val="nil"/>
              <w:left w:val="nil"/>
              <w:bottom w:val="single" w:sz="4" w:space="0" w:color="auto"/>
              <w:right w:val="single" w:sz="4" w:space="0" w:color="auto"/>
            </w:tcBorders>
          </w:tcPr>
          <w:p w14:paraId="6412BF08"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31</w:t>
            </w:r>
          </w:p>
        </w:tc>
        <w:tc>
          <w:tcPr>
            <w:tcW w:w="2268" w:type="dxa"/>
            <w:tcBorders>
              <w:top w:val="nil"/>
              <w:left w:val="nil"/>
              <w:bottom w:val="single" w:sz="4" w:space="0" w:color="auto"/>
              <w:right w:val="single" w:sz="4" w:space="0" w:color="auto"/>
            </w:tcBorders>
          </w:tcPr>
          <w:p w14:paraId="3E377AD6"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natural filtered seawater,+ 0.56 mg DOC/L added as humic acids</w:t>
            </w:r>
          </w:p>
        </w:tc>
        <w:tc>
          <w:tcPr>
            <w:tcW w:w="1559" w:type="dxa"/>
            <w:tcBorders>
              <w:top w:val="nil"/>
              <w:left w:val="nil"/>
              <w:bottom w:val="single" w:sz="4" w:space="0" w:color="auto"/>
              <w:right w:val="double" w:sz="6" w:space="0" w:color="auto"/>
            </w:tcBorders>
          </w:tcPr>
          <w:p w14:paraId="717030EA"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Brooks, S., 2006d</w:t>
            </w:r>
          </w:p>
        </w:tc>
      </w:tr>
      <w:tr w:rsidR="00632208" w:rsidRPr="0098635C" w14:paraId="640B0FB6" w14:textId="77777777" w:rsidTr="00A432B0">
        <w:trPr>
          <w:trHeight w:val="74"/>
        </w:trPr>
        <w:tc>
          <w:tcPr>
            <w:tcW w:w="2743" w:type="dxa"/>
            <w:tcBorders>
              <w:top w:val="nil"/>
              <w:left w:val="double" w:sz="6" w:space="0" w:color="auto"/>
              <w:bottom w:val="single" w:sz="4" w:space="0" w:color="auto"/>
              <w:right w:val="single" w:sz="4" w:space="0" w:color="auto"/>
            </w:tcBorders>
          </w:tcPr>
          <w:p w14:paraId="531B006A" w14:textId="77777777" w:rsidR="00632208" w:rsidRPr="0098635C" w:rsidRDefault="00632208" w:rsidP="00A432B0">
            <w:pPr>
              <w:spacing w:after="0"/>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Fucus vesiculosis</w:t>
            </w:r>
          </w:p>
        </w:tc>
        <w:tc>
          <w:tcPr>
            <w:tcW w:w="1985" w:type="dxa"/>
            <w:tcBorders>
              <w:top w:val="nil"/>
              <w:left w:val="nil"/>
              <w:bottom w:val="single" w:sz="4" w:space="0" w:color="auto"/>
              <w:right w:val="single" w:sz="4" w:space="0" w:color="auto"/>
            </w:tcBorders>
          </w:tcPr>
          <w:p w14:paraId="4DEBC530"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zoospore</w:t>
            </w:r>
          </w:p>
        </w:tc>
        <w:tc>
          <w:tcPr>
            <w:tcW w:w="850" w:type="dxa"/>
            <w:tcBorders>
              <w:top w:val="nil"/>
              <w:left w:val="nil"/>
              <w:bottom w:val="single" w:sz="4" w:space="0" w:color="auto"/>
              <w:right w:val="single" w:sz="4" w:space="0" w:color="auto"/>
            </w:tcBorders>
          </w:tcPr>
          <w:p w14:paraId="68F8A4BE"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 days</w:t>
            </w:r>
          </w:p>
        </w:tc>
        <w:tc>
          <w:tcPr>
            <w:tcW w:w="992" w:type="dxa"/>
            <w:tcBorders>
              <w:top w:val="nil"/>
              <w:left w:val="nil"/>
              <w:bottom w:val="single" w:sz="4" w:space="0" w:color="auto"/>
              <w:right w:val="single" w:sz="4" w:space="0" w:color="auto"/>
            </w:tcBorders>
          </w:tcPr>
          <w:p w14:paraId="25D4F2DA"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Growth</w:t>
            </w:r>
          </w:p>
        </w:tc>
        <w:tc>
          <w:tcPr>
            <w:tcW w:w="709" w:type="dxa"/>
            <w:tcBorders>
              <w:top w:val="nil"/>
              <w:left w:val="nil"/>
              <w:bottom w:val="single" w:sz="4" w:space="0" w:color="auto"/>
              <w:right w:val="single" w:sz="4" w:space="0" w:color="auto"/>
            </w:tcBorders>
          </w:tcPr>
          <w:p w14:paraId="75756943"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32</w:t>
            </w:r>
          </w:p>
        </w:tc>
        <w:tc>
          <w:tcPr>
            <w:tcW w:w="1418" w:type="dxa"/>
            <w:tcBorders>
              <w:top w:val="nil"/>
              <w:left w:val="nil"/>
              <w:bottom w:val="single" w:sz="4" w:space="0" w:color="auto"/>
              <w:right w:val="single" w:sz="4" w:space="0" w:color="auto"/>
            </w:tcBorders>
          </w:tcPr>
          <w:p w14:paraId="345427E7"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flow through</w:t>
            </w:r>
          </w:p>
        </w:tc>
        <w:tc>
          <w:tcPr>
            <w:tcW w:w="992" w:type="dxa"/>
            <w:tcBorders>
              <w:top w:val="nil"/>
              <w:left w:val="nil"/>
              <w:bottom w:val="single" w:sz="4" w:space="0" w:color="auto"/>
              <w:right w:val="single" w:sz="4" w:space="0" w:color="auto"/>
            </w:tcBorders>
          </w:tcPr>
          <w:p w14:paraId="1B8B8670"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2.9m</w:t>
            </w:r>
          </w:p>
        </w:tc>
        <w:tc>
          <w:tcPr>
            <w:tcW w:w="850" w:type="dxa"/>
            <w:tcBorders>
              <w:top w:val="nil"/>
              <w:left w:val="nil"/>
              <w:bottom w:val="single" w:sz="4" w:space="0" w:color="auto"/>
              <w:right w:val="single" w:sz="4" w:space="0" w:color="auto"/>
            </w:tcBorders>
          </w:tcPr>
          <w:p w14:paraId="52B12F08"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2.56m</w:t>
            </w:r>
          </w:p>
        </w:tc>
        <w:tc>
          <w:tcPr>
            <w:tcW w:w="851" w:type="dxa"/>
            <w:tcBorders>
              <w:top w:val="nil"/>
              <w:left w:val="nil"/>
              <w:bottom w:val="single" w:sz="4" w:space="0" w:color="auto"/>
              <w:right w:val="single" w:sz="4" w:space="0" w:color="auto"/>
            </w:tcBorders>
          </w:tcPr>
          <w:p w14:paraId="72663685"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31.4</w:t>
            </w:r>
          </w:p>
        </w:tc>
        <w:tc>
          <w:tcPr>
            <w:tcW w:w="2268" w:type="dxa"/>
            <w:tcBorders>
              <w:top w:val="nil"/>
              <w:left w:val="nil"/>
              <w:bottom w:val="single" w:sz="4" w:space="0" w:color="auto"/>
              <w:right w:val="single" w:sz="4" w:space="0" w:color="auto"/>
            </w:tcBorders>
          </w:tcPr>
          <w:p w14:paraId="56468CBE"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natural filtered seawater,,+ 1.65 mg DOC/L added as humic acids</w:t>
            </w:r>
          </w:p>
        </w:tc>
        <w:tc>
          <w:tcPr>
            <w:tcW w:w="1559" w:type="dxa"/>
            <w:tcBorders>
              <w:top w:val="nil"/>
              <w:left w:val="nil"/>
              <w:bottom w:val="single" w:sz="4" w:space="0" w:color="auto"/>
              <w:right w:val="double" w:sz="6" w:space="0" w:color="auto"/>
            </w:tcBorders>
          </w:tcPr>
          <w:p w14:paraId="6B923BBF"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Brooks, S., 2006d</w:t>
            </w:r>
          </w:p>
        </w:tc>
      </w:tr>
      <w:tr w:rsidR="00632208" w:rsidRPr="0098635C" w14:paraId="20F38BAD" w14:textId="77777777" w:rsidTr="00A432B0">
        <w:trPr>
          <w:trHeight w:val="361"/>
        </w:trPr>
        <w:tc>
          <w:tcPr>
            <w:tcW w:w="2743" w:type="dxa"/>
            <w:tcBorders>
              <w:top w:val="nil"/>
              <w:left w:val="double" w:sz="6" w:space="0" w:color="auto"/>
              <w:bottom w:val="single" w:sz="4" w:space="0" w:color="auto"/>
              <w:right w:val="single" w:sz="4" w:space="0" w:color="auto"/>
            </w:tcBorders>
          </w:tcPr>
          <w:p w14:paraId="1766A6BD" w14:textId="77777777" w:rsidR="00632208" w:rsidRPr="0098635C" w:rsidRDefault="00632208" w:rsidP="00A432B0">
            <w:pPr>
              <w:spacing w:after="0"/>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Fucus vesiculosis</w:t>
            </w:r>
          </w:p>
        </w:tc>
        <w:tc>
          <w:tcPr>
            <w:tcW w:w="1985" w:type="dxa"/>
            <w:tcBorders>
              <w:top w:val="nil"/>
              <w:left w:val="nil"/>
              <w:bottom w:val="single" w:sz="4" w:space="0" w:color="auto"/>
              <w:right w:val="single" w:sz="4" w:space="0" w:color="auto"/>
            </w:tcBorders>
          </w:tcPr>
          <w:p w14:paraId="58177088"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zoospore</w:t>
            </w:r>
          </w:p>
        </w:tc>
        <w:tc>
          <w:tcPr>
            <w:tcW w:w="850" w:type="dxa"/>
            <w:tcBorders>
              <w:top w:val="nil"/>
              <w:left w:val="nil"/>
              <w:bottom w:val="single" w:sz="4" w:space="0" w:color="auto"/>
              <w:right w:val="single" w:sz="4" w:space="0" w:color="auto"/>
            </w:tcBorders>
          </w:tcPr>
          <w:p w14:paraId="16450360"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 days</w:t>
            </w:r>
          </w:p>
        </w:tc>
        <w:tc>
          <w:tcPr>
            <w:tcW w:w="992" w:type="dxa"/>
            <w:tcBorders>
              <w:top w:val="nil"/>
              <w:left w:val="nil"/>
              <w:bottom w:val="single" w:sz="4" w:space="0" w:color="auto"/>
              <w:right w:val="single" w:sz="4" w:space="0" w:color="auto"/>
            </w:tcBorders>
          </w:tcPr>
          <w:p w14:paraId="709F37EA"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Growth</w:t>
            </w:r>
          </w:p>
        </w:tc>
        <w:tc>
          <w:tcPr>
            <w:tcW w:w="709" w:type="dxa"/>
            <w:tcBorders>
              <w:top w:val="nil"/>
              <w:left w:val="nil"/>
              <w:bottom w:val="single" w:sz="4" w:space="0" w:color="auto"/>
              <w:right w:val="single" w:sz="4" w:space="0" w:color="auto"/>
            </w:tcBorders>
          </w:tcPr>
          <w:p w14:paraId="2730F522"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46</w:t>
            </w:r>
          </w:p>
        </w:tc>
        <w:tc>
          <w:tcPr>
            <w:tcW w:w="1418" w:type="dxa"/>
            <w:tcBorders>
              <w:top w:val="nil"/>
              <w:left w:val="nil"/>
              <w:bottom w:val="single" w:sz="4" w:space="0" w:color="auto"/>
              <w:right w:val="single" w:sz="4" w:space="0" w:color="auto"/>
            </w:tcBorders>
          </w:tcPr>
          <w:p w14:paraId="1C38ED33"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flow through</w:t>
            </w:r>
          </w:p>
        </w:tc>
        <w:tc>
          <w:tcPr>
            <w:tcW w:w="992" w:type="dxa"/>
            <w:tcBorders>
              <w:top w:val="nil"/>
              <w:left w:val="nil"/>
              <w:bottom w:val="single" w:sz="4" w:space="0" w:color="auto"/>
              <w:right w:val="single" w:sz="4" w:space="0" w:color="auto"/>
            </w:tcBorders>
          </w:tcPr>
          <w:p w14:paraId="4EF07AD1"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2.8m</w:t>
            </w:r>
          </w:p>
        </w:tc>
        <w:tc>
          <w:tcPr>
            <w:tcW w:w="850" w:type="dxa"/>
            <w:tcBorders>
              <w:top w:val="nil"/>
              <w:left w:val="nil"/>
              <w:bottom w:val="single" w:sz="4" w:space="0" w:color="auto"/>
              <w:right w:val="single" w:sz="4" w:space="0" w:color="auto"/>
            </w:tcBorders>
          </w:tcPr>
          <w:p w14:paraId="7AA49417"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2.88m</w:t>
            </w:r>
          </w:p>
        </w:tc>
        <w:tc>
          <w:tcPr>
            <w:tcW w:w="851" w:type="dxa"/>
            <w:tcBorders>
              <w:top w:val="nil"/>
              <w:left w:val="nil"/>
              <w:bottom w:val="single" w:sz="4" w:space="0" w:color="auto"/>
              <w:right w:val="single" w:sz="4" w:space="0" w:color="auto"/>
            </w:tcBorders>
          </w:tcPr>
          <w:p w14:paraId="16D23357"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30.9</w:t>
            </w:r>
          </w:p>
        </w:tc>
        <w:tc>
          <w:tcPr>
            <w:tcW w:w="2268" w:type="dxa"/>
            <w:tcBorders>
              <w:top w:val="nil"/>
              <w:left w:val="nil"/>
              <w:bottom w:val="single" w:sz="4" w:space="0" w:color="auto"/>
              <w:right w:val="single" w:sz="4" w:space="0" w:color="auto"/>
            </w:tcBorders>
          </w:tcPr>
          <w:p w14:paraId="1908432F"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natural filtered seawater,,+ 2.03 mg DOC/L added as humic acids</w:t>
            </w:r>
          </w:p>
        </w:tc>
        <w:tc>
          <w:tcPr>
            <w:tcW w:w="1559" w:type="dxa"/>
            <w:tcBorders>
              <w:top w:val="nil"/>
              <w:left w:val="nil"/>
              <w:bottom w:val="single" w:sz="4" w:space="0" w:color="auto"/>
              <w:right w:val="double" w:sz="6" w:space="0" w:color="auto"/>
            </w:tcBorders>
          </w:tcPr>
          <w:p w14:paraId="6D062CDA"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Brooks, S., 2006d</w:t>
            </w:r>
          </w:p>
        </w:tc>
      </w:tr>
      <w:tr w:rsidR="00632208" w:rsidRPr="0098635C" w14:paraId="7D4980DE" w14:textId="77777777" w:rsidTr="00A432B0">
        <w:trPr>
          <w:trHeight w:val="74"/>
        </w:trPr>
        <w:tc>
          <w:tcPr>
            <w:tcW w:w="2743" w:type="dxa"/>
            <w:tcBorders>
              <w:top w:val="nil"/>
              <w:left w:val="double" w:sz="6" w:space="0" w:color="auto"/>
              <w:bottom w:val="single" w:sz="4" w:space="0" w:color="auto"/>
              <w:right w:val="single" w:sz="4" w:space="0" w:color="auto"/>
            </w:tcBorders>
          </w:tcPr>
          <w:p w14:paraId="3A4235A7" w14:textId="77777777" w:rsidR="00632208" w:rsidRPr="0098635C" w:rsidRDefault="00632208" w:rsidP="00A432B0">
            <w:pPr>
              <w:spacing w:after="0"/>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Phaeodactylum tricornutum</w:t>
            </w:r>
          </w:p>
        </w:tc>
        <w:tc>
          <w:tcPr>
            <w:tcW w:w="1985" w:type="dxa"/>
            <w:tcBorders>
              <w:top w:val="nil"/>
              <w:left w:val="nil"/>
              <w:bottom w:val="single" w:sz="4" w:space="0" w:color="auto"/>
              <w:right w:val="single" w:sz="4" w:space="0" w:color="auto"/>
            </w:tcBorders>
          </w:tcPr>
          <w:p w14:paraId="19111E4A"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w:t>
            </w:r>
            <w:r w:rsidRPr="0098635C">
              <w:rPr>
                <w:rFonts w:ascii="Arial Narrow" w:hAnsi="Arial Narrow" w:cs="Arial Narrow"/>
                <w:color w:val="000000" w:themeColor="text1"/>
                <w:sz w:val="20"/>
                <w:szCs w:val="20"/>
                <w:vertAlign w:val="superscript"/>
              </w:rPr>
              <w:t>3</w:t>
            </w:r>
            <w:r w:rsidRPr="0098635C">
              <w:rPr>
                <w:rFonts w:ascii="Arial Narrow" w:hAnsi="Arial Narrow" w:cs="Arial Narrow"/>
                <w:color w:val="000000" w:themeColor="text1"/>
                <w:sz w:val="20"/>
                <w:szCs w:val="20"/>
              </w:rPr>
              <w:t xml:space="preserve"> cells/ml</w:t>
            </w:r>
          </w:p>
        </w:tc>
        <w:tc>
          <w:tcPr>
            <w:tcW w:w="850" w:type="dxa"/>
            <w:tcBorders>
              <w:top w:val="nil"/>
              <w:left w:val="nil"/>
              <w:bottom w:val="single" w:sz="4" w:space="0" w:color="auto"/>
              <w:right w:val="single" w:sz="4" w:space="0" w:color="auto"/>
            </w:tcBorders>
          </w:tcPr>
          <w:p w14:paraId="40C3AF76"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72 hours</w:t>
            </w:r>
          </w:p>
        </w:tc>
        <w:tc>
          <w:tcPr>
            <w:tcW w:w="992" w:type="dxa"/>
            <w:tcBorders>
              <w:top w:val="nil"/>
              <w:left w:val="nil"/>
              <w:bottom w:val="single" w:sz="4" w:space="0" w:color="auto"/>
              <w:right w:val="single" w:sz="4" w:space="0" w:color="auto"/>
            </w:tcBorders>
          </w:tcPr>
          <w:p w14:paraId="2E2F0CA6"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Growth rate</w:t>
            </w:r>
          </w:p>
        </w:tc>
        <w:tc>
          <w:tcPr>
            <w:tcW w:w="709" w:type="dxa"/>
            <w:tcBorders>
              <w:top w:val="nil"/>
              <w:left w:val="nil"/>
              <w:bottom w:val="single" w:sz="4" w:space="0" w:color="auto"/>
              <w:right w:val="single" w:sz="4" w:space="0" w:color="auto"/>
            </w:tcBorders>
          </w:tcPr>
          <w:p w14:paraId="5E04FA6B"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2.9</w:t>
            </w:r>
          </w:p>
        </w:tc>
        <w:tc>
          <w:tcPr>
            <w:tcW w:w="1418" w:type="dxa"/>
            <w:tcBorders>
              <w:top w:val="nil"/>
              <w:left w:val="nil"/>
              <w:bottom w:val="single" w:sz="4" w:space="0" w:color="auto"/>
              <w:right w:val="single" w:sz="4" w:space="0" w:color="auto"/>
            </w:tcBorders>
          </w:tcPr>
          <w:p w14:paraId="0007CAF8"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static</w:t>
            </w:r>
          </w:p>
        </w:tc>
        <w:tc>
          <w:tcPr>
            <w:tcW w:w="992" w:type="dxa"/>
            <w:tcBorders>
              <w:top w:val="nil"/>
              <w:left w:val="nil"/>
              <w:bottom w:val="single" w:sz="4" w:space="0" w:color="auto"/>
              <w:right w:val="single" w:sz="4" w:space="0" w:color="auto"/>
            </w:tcBorders>
          </w:tcPr>
          <w:p w14:paraId="46023561"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NR</w:t>
            </w:r>
          </w:p>
        </w:tc>
        <w:tc>
          <w:tcPr>
            <w:tcW w:w="850" w:type="dxa"/>
            <w:tcBorders>
              <w:top w:val="nil"/>
              <w:left w:val="nil"/>
              <w:bottom w:val="single" w:sz="4" w:space="0" w:color="auto"/>
              <w:right w:val="single" w:sz="4" w:space="0" w:color="auto"/>
            </w:tcBorders>
          </w:tcPr>
          <w:p w14:paraId="5DC6A74D"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1.0m</w:t>
            </w:r>
          </w:p>
        </w:tc>
        <w:tc>
          <w:tcPr>
            <w:tcW w:w="851" w:type="dxa"/>
            <w:tcBorders>
              <w:top w:val="nil"/>
              <w:left w:val="nil"/>
              <w:bottom w:val="single" w:sz="4" w:space="0" w:color="auto"/>
              <w:right w:val="single" w:sz="4" w:space="0" w:color="auto"/>
            </w:tcBorders>
          </w:tcPr>
          <w:p w14:paraId="290D0D04"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31</w:t>
            </w:r>
          </w:p>
        </w:tc>
        <w:tc>
          <w:tcPr>
            <w:tcW w:w="2268" w:type="dxa"/>
            <w:tcBorders>
              <w:top w:val="nil"/>
              <w:left w:val="nil"/>
              <w:bottom w:val="single" w:sz="4" w:space="0" w:color="auto"/>
              <w:right w:val="single" w:sz="4" w:space="0" w:color="auto"/>
            </w:tcBorders>
          </w:tcPr>
          <w:p w14:paraId="74B91656"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natural filtered seawater</w:t>
            </w:r>
          </w:p>
        </w:tc>
        <w:tc>
          <w:tcPr>
            <w:tcW w:w="1559" w:type="dxa"/>
            <w:tcBorders>
              <w:top w:val="nil"/>
              <w:left w:val="nil"/>
              <w:bottom w:val="single" w:sz="4" w:space="0" w:color="auto"/>
              <w:right w:val="double" w:sz="6" w:space="0" w:color="auto"/>
            </w:tcBorders>
          </w:tcPr>
          <w:p w14:paraId="7B9AD0CF"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Simpson, 2003</w:t>
            </w:r>
          </w:p>
        </w:tc>
      </w:tr>
      <w:tr w:rsidR="00632208" w:rsidRPr="0098635C" w14:paraId="3D6F7500" w14:textId="77777777" w:rsidTr="00A432B0">
        <w:trPr>
          <w:trHeight w:val="74"/>
        </w:trPr>
        <w:tc>
          <w:tcPr>
            <w:tcW w:w="2743" w:type="dxa"/>
            <w:tcBorders>
              <w:top w:val="nil"/>
              <w:left w:val="double" w:sz="6" w:space="0" w:color="auto"/>
              <w:bottom w:val="single" w:sz="4" w:space="0" w:color="auto"/>
              <w:right w:val="single" w:sz="4" w:space="0" w:color="auto"/>
            </w:tcBorders>
          </w:tcPr>
          <w:p w14:paraId="07E1C59B" w14:textId="77777777" w:rsidR="00632208" w:rsidRPr="0098635C" w:rsidRDefault="00632208" w:rsidP="00A432B0">
            <w:pPr>
              <w:spacing w:after="0"/>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Skeletonema costantum</w:t>
            </w:r>
          </w:p>
        </w:tc>
        <w:tc>
          <w:tcPr>
            <w:tcW w:w="1985" w:type="dxa"/>
            <w:tcBorders>
              <w:top w:val="nil"/>
              <w:left w:val="nil"/>
              <w:bottom w:val="single" w:sz="4" w:space="0" w:color="auto"/>
              <w:right w:val="single" w:sz="4" w:space="0" w:color="auto"/>
            </w:tcBorders>
          </w:tcPr>
          <w:p w14:paraId="7B666FA5"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0" w:type="dxa"/>
            <w:tcBorders>
              <w:top w:val="nil"/>
              <w:left w:val="nil"/>
              <w:bottom w:val="single" w:sz="4" w:space="0" w:color="auto"/>
              <w:right w:val="single" w:sz="4" w:space="0" w:color="auto"/>
            </w:tcBorders>
          </w:tcPr>
          <w:p w14:paraId="23D610D1"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72 hours</w:t>
            </w:r>
          </w:p>
        </w:tc>
        <w:tc>
          <w:tcPr>
            <w:tcW w:w="992" w:type="dxa"/>
            <w:tcBorders>
              <w:top w:val="nil"/>
              <w:left w:val="nil"/>
              <w:bottom w:val="single" w:sz="4" w:space="0" w:color="auto"/>
              <w:right w:val="single" w:sz="4" w:space="0" w:color="auto"/>
            </w:tcBorders>
          </w:tcPr>
          <w:p w14:paraId="664FEFC6"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Growth rate</w:t>
            </w:r>
          </w:p>
        </w:tc>
        <w:tc>
          <w:tcPr>
            <w:tcW w:w="709" w:type="dxa"/>
            <w:tcBorders>
              <w:top w:val="nil"/>
              <w:left w:val="nil"/>
              <w:bottom w:val="single" w:sz="4" w:space="0" w:color="auto"/>
              <w:right w:val="single" w:sz="4" w:space="0" w:color="auto"/>
            </w:tcBorders>
          </w:tcPr>
          <w:p w14:paraId="23AE7492"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7.5</w:t>
            </w:r>
          </w:p>
        </w:tc>
        <w:tc>
          <w:tcPr>
            <w:tcW w:w="1418" w:type="dxa"/>
            <w:tcBorders>
              <w:top w:val="nil"/>
              <w:left w:val="nil"/>
              <w:bottom w:val="single" w:sz="4" w:space="0" w:color="auto"/>
              <w:right w:val="single" w:sz="4" w:space="0" w:color="auto"/>
            </w:tcBorders>
          </w:tcPr>
          <w:p w14:paraId="76BABF41"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static</w:t>
            </w:r>
          </w:p>
        </w:tc>
        <w:tc>
          <w:tcPr>
            <w:tcW w:w="992" w:type="dxa"/>
            <w:tcBorders>
              <w:top w:val="nil"/>
              <w:left w:val="nil"/>
              <w:bottom w:val="single" w:sz="4" w:space="0" w:color="auto"/>
              <w:right w:val="single" w:sz="4" w:space="0" w:color="auto"/>
            </w:tcBorders>
          </w:tcPr>
          <w:p w14:paraId="754825FC"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&lt;0.4m</w:t>
            </w:r>
          </w:p>
        </w:tc>
        <w:tc>
          <w:tcPr>
            <w:tcW w:w="850" w:type="dxa"/>
            <w:tcBorders>
              <w:top w:val="nil"/>
              <w:left w:val="nil"/>
              <w:bottom w:val="single" w:sz="4" w:space="0" w:color="auto"/>
              <w:right w:val="single" w:sz="4" w:space="0" w:color="auto"/>
            </w:tcBorders>
          </w:tcPr>
          <w:p w14:paraId="6BE61AAC"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2.19m</w:t>
            </w:r>
          </w:p>
        </w:tc>
        <w:tc>
          <w:tcPr>
            <w:tcW w:w="851" w:type="dxa"/>
            <w:tcBorders>
              <w:top w:val="nil"/>
              <w:left w:val="nil"/>
              <w:bottom w:val="single" w:sz="4" w:space="0" w:color="auto"/>
              <w:right w:val="single" w:sz="4" w:space="0" w:color="auto"/>
            </w:tcBorders>
          </w:tcPr>
          <w:p w14:paraId="759A2880"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31</w:t>
            </w:r>
          </w:p>
        </w:tc>
        <w:tc>
          <w:tcPr>
            <w:tcW w:w="2268" w:type="dxa"/>
            <w:tcBorders>
              <w:top w:val="nil"/>
              <w:left w:val="nil"/>
              <w:bottom w:val="single" w:sz="4" w:space="0" w:color="auto"/>
              <w:right w:val="single" w:sz="4" w:space="0" w:color="auto"/>
            </w:tcBorders>
          </w:tcPr>
          <w:p w14:paraId="3610A59F"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natural filtered seawater</w:t>
            </w:r>
          </w:p>
        </w:tc>
        <w:tc>
          <w:tcPr>
            <w:tcW w:w="1559" w:type="dxa"/>
            <w:tcBorders>
              <w:top w:val="nil"/>
              <w:left w:val="nil"/>
              <w:bottom w:val="single" w:sz="4" w:space="0" w:color="auto"/>
              <w:right w:val="double" w:sz="6" w:space="0" w:color="auto"/>
            </w:tcBorders>
          </w:tcPr>
          <w:p w14:paraId="37AE86A0"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xml:space="preserve">Smyth, D. 2006a </w:t>
            </w:r>
          </w:p>
        </w:tc>
      </w:tr>
      <w:tr w:rsidR="00632208" w:rsidRPr="0098635C" w14:paraId="603AE5CE" w14:textId="77777777" w:rsidTr="00A432B0">
        <w:trPr>
          <w:trHeight w:val="167"/>
        </w:trPr>
        <w:tc>
          <w:tcPr>
            <w:tcW w:w="2743" w:type="dxa"/>
            <w:tcBorders>
              <w:top w:val="nil"/>
              <w:left w:val="double" w:sz="6" w:space="0" w:color="auto"/>
              <w:bottom w:val="double" w:sz="6" w:space="0" w:color="auto"/>
              <w:right w:val="single" w:sz="4" w:space="0" w:color="auto"/>
            </w:tcBorders>
          </w:tcPr>
          <w:p w14:paraId="77E868C6" w14:textId="77777777" w:rsidR="00632208" w:rsidRPr="0098635C" w:rsidRDefault="00632208" w:rsidP="00A432B0">
            <w:pPr>
              <w:spacing w:after="0"/>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Phaeodactylum tricornutum</w:t>
            </w:r>
          </w:p>
        </w:tc>
        <w:tc>
          <w:tcPr>
            <w:tcW w:w="1985" w:type="dxa"/>
            <w:tcBorders>
              <w:top w:val="nil"/>
              <w:left w:val="nil"/>
              <w:bottom w:val="double" w:sz="6" w:space="0" w:color="auto"/>
              <w:right w:val="single" w:sz="4" w:space="0" w:color="auto"/>
            </w:tcBorders>
          </w:tcPr>
          <w:p w14:paraId="2A0863B9"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w:t>
            </w:r>
            <w:r w:rsidRPr="0098635C">
              <w:rPr>
                <w:rFonts w:ascii="Arial Narrow" w:hAnsi="Arial Narrow" w:cs="Arial Narrow"/>
                <w:color w:val="000000" w:themeColor="text1"/>
                <w:sz w:val="20"/>
                <w:szCs w:val="20"/>
                <w:vertAlign w:val="superscript"/>
              </w:rPr>
              <w:t>4</w:t>
            </w:r>
            <w:r w:rsidRPr="0098635C">
              <w:rPr>
                <w:rFonts w:ascii="Arial Narrow" w:hAnsi="Arial Narrow" w:cs="Arial Narrow"/>
                <w:color w:val="000000" w:themeColor="text1"/>
                <w:sz w:val="20"/>
                <w:szCs w:val="20"/>
              </w:rPr>
              <w:t xml:space="preserve"> cells/ml</w:t>
            </w:r>
          </w:p>
        </w:tc>
        <w:tc>
          <w:tcPr>
            <w:tcW w:w="850" w:type="dxa"/>
            <w:tcBorders>
              <w:top w:val="nil"/>
              <w:left w:val="nil"/>
              <w:bottom w:val="double" w:sz="6" w:space="0" w:color="auto"/>
              <w:right w:val="single" w:sz="4" w:space="0" w:color="auto"/>
            </w:tcBorders>
          </w:tcPr>
          <w:p w14:paraId="1EE68A59"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72 hours</w:t>
            </w:r>
          </w:p>
        </w:tc>
        <w:tc>
          <w:tcPr>
            <w:tcW w:w="992" w:type="dxa"/>
            <w:tcBorders>
              <w:top w:val="nil"/>
              <w:left w:val="nil"/>
              <w:bottom w:val="double" w:sz="6" w:space="0" w:color="auto"/>
              <w:right w:val="single" w:sz="4" w:space="0" w:color="auto"/>
            </w:tcBorders>
          </w:tcPr>
          <w:p w14:paraId="0D563F84"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Growth rate</w:t>
            </w:r>
          </w:p>
        </w:tc>
        <w:tc>
          <w:tcPr>
            <w:tcW w:w="709" w:type="dxa"/>
            <w:tcBorders>
              <w:top w:val="nil"/>
              <w:left w:val="nil"/>
              <w:bottom w:val="double" w:sz="6" w:space="0" w:color="auto"/>
              <w:right w:val="single" w:sz="4" w:space="0" w:color="auto"/>
            </w:tcBorders>
          </w:tcPr>
          <w:p w14:paraId="40CF73DC"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5.7</w:t>
            </w:r>
          </w:p>
        </w:tc>
        <w:tc>
          <w:tcPr>
            <w:tcW w:w="1418" w:type="dxa"/>
            <w:tcBorders>
              <w:top w:val="nil"/>
              <w:left w:val="nil"/>
              <w:bottom w:val="double" w:sz="6" w:space="0" w:color="auto"/>
              <w:right w:val="single" w:sz="4" w:space="0" w:color="auto"/>
            </w:tcBorders>
          </w:tcPr>
          <w:p w14:paraId="719C8EA5"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static</w:t>
            </w:r>
          </w:p>
        </w:tc>
        <w:tc>
          <w:tcPr>
            <w:tcW w:w="992" w:type="dxa"/>
            <w:tcBorders>
              <w:top w:val="nil"/>
              <w:left w:val="nil"/>
              <w:bottom w:val="double" w:sz="6" w:space="0" w:color="auto"/>
              <w:right w:val="single" w:sz="4" w:space="0" w:color="auto"/>
            </w:tcBorders>
          </w:tcPr>
          <w:p w14:paraId="1E1933F9"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&lt;0.4m</w:t>
            </w:r>
          </w:p>
        </w:tc>
        <w:tc>
          <w:tcPr>
            <w:tcW w:w="850" w:type="dxa"/>
            <w:tcBorders>
              <w:top w:val="nil"/>
              <w:left w:val="nil"/>
              <w:bottom w:val="double" w:sz="6" w:space="0" w:color="auto"/>
              <w:right w:val="single" w:sz="4" w:space="0" w:color="auto"/>
            </w:tcBorders>
          </w:tcPr>
          <w:p w14:paraId="47EB9DD1"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2.19m</w:t>
            </w:r>
          </w:p>
        </w:tc>
        <w:tc>
          <w:tcPr>
            <w:tcW w:w="851" w:type="dxa"/>
            <w:tcBorders>
              <w:top w:val="nil"/>
              <w:left w:val="nil"/>
              <w:bottom w:val="double" w:sz="6" w:space="0" w:color="auto"/>
              <w:right w:val="single" w:sz="4" w:space="0" w:color="auto"/>
            </w:tcBorders>
          </w:tcPr>
          <w:p w14:paraId="351223E8"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31</w:t>
            </w:r>
          </w:p>
        </w:tc>
        <w:tc>
          <w:tcPr>
            <w:tcW w:w="2268" w:type="dxa"/>
            <w:tcBorders>
              <w:top w:val="nil"/>
              <w:left w:val="nil"/>
              <w:bottom w:val="double" w:sz="6" w:space="0" w:color="auto"/>
              <w:right w:val="single" w:sz="4" w:space="0" w:color="auto"/>
            </w:tcBorders>
          </w:tcPr>
          <w:p w14:paraId="13F851FA"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natural filtered seawater</w:t>
            </w:r>
          </w:p>
        </w:tc>
        <w:tc>
          <w:tcPr>
            <w:tcW w:w="1559" w:type="dxa"/>
            <w:tcBorders>
              <w:top w:val="nil"/>
              <w:left w:val="nil"/>
              <w:bottom w:val="double" w:sz="6" w:space="0" w:color="auto"/>
              <w:right w:val="double" w:sz="6" w:space="0" w:color="auto"/>
            </w:tcBorders>
          </w:tcPr>
          <w:p w14:paraId="386D9D5E" w14:textId="77777777" w:rsidR="00632208" w:rsidRPr="0098635C" w:rsidRDefault="00632208" w:rsidP="00A432B0">
            <w:pPr>
              <w:spacing w:after="0"/>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Smyth, D. 2006b</w:t>
            </w:r>
          </w:p>
        </w:tc>
      </w:tr>
    </w:tbl>
    <w:p w14:paraId="5D4DF082" w14:textId="0C2D83D9" w:rsidR="00632208" w:rsidRPr="0098635C" w:rsidRDefault="00632208" w:rsidP="00632208">
      <w:pPr>
        <w:spacing w:before="80"/>
        <w:rPr>
          <w:bCs/>
          <w:color w:val="000000" w:themeColor="text1"/>
          <w:sz w:val="20"/>
          <w:szCs w:val="20"/>
        </w:rPr>
      </w:pPr>
      <w:r w:rsidRPr="0098635C">
        <w:rPr>
          <w:color w:val="000000" w:themeColor="text1"/>
          <w:sz w:val="20"/>
          <w:szCs w:val="20"/>
        </w:rPr>
        <w:br w:type="page"/>
      </w:r>
      <w:r w:rsidRPr="0098635C" w:rsidDel="00A73E7A">
        <w:rPr>
          <w:b/>
          <w:bCs/>
          <w:color w:val="000000" w:themeColor="text1"/>
          <w:sz w:val="20"/>
          <w:szCs w:val="20"/>
        </w:rPr>
        <w:lastRenderedPageBreak/>
        <w:t xml:space="preserve"> </w:t>
      </w:r>
      <w:r w:rsidR="00965849" w:rsidRPr="0098635C">
        <w:rPr>
          <w:rFonts w:eastAsia="Calibri"/>
          <w:color w:val="000000" w:themeColor="text1"/>
          <w:sz w:val="20"/>
          <w:szCs w:val="20"/>
        </w:rPr>
        <w:t xml:space="preserve">Annex XV: </w:t>
      </w:r>
      <w:r w:rsidRPr="0098635C">
        <w:rPr>
          <w:bCs/>
          <w:color w:val="000000" w:themeColor="text1"/>
          <w:sz w:val="20"/>
          <w:szCs w:val="20"/>
        </w:rPr>
        <w:t xml:space="preserve">Overview of the NOEC values for soil invertebrates. </w:t>
      </w:r>
    </w:p>
    <w:p w14:paraId="12108CA3" w14:textId="659E3CC5" w:rsidR="00632208" w:rsidRPr="0098635C" w:rsidRDefault="00632208" w:rsidP="00982513">
      <w:pPr>
        <w:pStyle w:val="BodyText"/>
        <w:rPr>
          <w:color w:val="000000" w:themeColor="text1"/>
          <w:sz w:val="20"/>
        </w:rPr>
      </w:pPr>
      <w:r w:rsidRPr="0098635C">
        <w:rPr>
          <w:bCs/>
          <w:color w:val="000000" w:themeColor="text1"/>
          <w:sz w:val="20"/>
        </w:rPr>
        <w:t xml:space="preserve">Values selected for the effects assessment are underlined. </w:t>
      </w:r>
      <w:r w:rsidRPr="0098635C">
        <w:rPr>
          <w:color w:val="000000" w:themeColor="text1"/>
          <w:sz w:val="20"/>
        </w:rPr>
        <w:t xml:space="preserve"> See IUCLID/RAR (2008) for reasons on the selection.</w:t>
      </w:r>
    </w:p>
    <w:p w14:paraId="55815B2D" w14:textId="41C5F4D0" w:rsidR="00632208" w:rsidRPr="0098635C" w:rsidRDefault="00632208" w:rsidP="00632208">
      <w:pPr>
        <w:pStyle w:val="Tablenote"/>
        <w:ind w:left="0"/>
        <w:rPr>
          <w:color w:val="000000" w:themeColor="text1"/>
        </w:rPr>
      </w:pPr>
      <w:r w:rsidRPr="0098635C">
        <w:rPr>
          <w:color w:val="000000" w:themeColor="text1"/>
        </w:rPr>
        <w:t>NOEC indices: m: mortality, r: reproduction (based on cocoon production (cp), juvenile production (jp)); h: hatching success, g: growth, ab: abundance, f: fragmentation, lb: litter breakdown, mi: maturity index; ri: Instantaneous rate of population increase. Estimated background copper concentrations and CEC** are indicated in italics.</w:t>
      </w:r>
    </w:p>
    <w:p w14:paraId="0B46074C" w14:textId="0C3B8749" w:rsidR="00632208" w:rsidRPr="0098635C" w:rsidRDefault="00632208" w:rsidP="00982513">
      <w:pPr>
        <w:pStyle w:val="BodyText"/>
        <w:rPr>
          <w:color w:val="000000" w:themeColor="text1"/>
          <w:sz w:val="20"/>
        </w:rPr>
      </w:pPr>
      <w:r w:rsidRPr="0098635C">
        <w:rPr>
          <w:color w:val="000000" w:themeColor="text1"/>
          <w:sz w:val="20"/>
        </w:rPr>
        <w:t>*measured concentration-C</w:t>
      </w:r>
      <w:r w:rsidRPr="0098635C">
        <w:rPr>
          <w:color w:val="000000" w:themeColor="text1"/>
          <w:sz w:val="20"/>
          <w:vertAlign w:val="subscript"/>
        </w:rPr>
        <w:t>b</w:t>
      </w:r>
      <w:r w:rsidR="00965849" w:rsidRPr="0098635C">
        <w:rPr>
          <w:color w:val="000000" w:themeColor="text1"/>
          <w:sz w:val="20"/>
          <w:vertAlign w:val="subscript"/>
        </w:rPr>
        <w:t xml:space="preserve">; </w:t>
      </w:r>
      <w:r w:rsidRPr="0098635C">
        <w:rPr>
          <w:color w:val="000000" w:themeColor="text1"/>
          <w:sz w:val="20"/>
        </w:rPr>
        <w:t>** If the CEC was missing from a test with plants/invertebrates/micro-organisms, then it was estimated from % clay, pH and %organic matter using an experimentally derived regression model: CEC=(30+4.4 pH)*clay/100+(-34.66+29.72 pH)*OM/100; the clay is the % clay in the soil (Helling et al., 1964; regression based on CEC measured at various pH values on 60 different soils; CEC refers to the soil pH)</w:t>
      </w:r>
      <w:r w:rsidRPr="0098635C">
        <w:rPr>
          <w:i/>
          <w:iCs/>
          <w:color w:val="000000" w:themeColor="text1"/>
          <w:sz w:val="20"/>
        </w:rPr>
        <w:t>.</w:t>
      </w:r>
      <w:r w:rsidR="00982513" w:rsidRPr="0098635C">
        <w:rPr>
          <w:color w:val="000000" w:themeColor="text1"/>
          <w:sz w:val="20"/>
        </w:rPr>
        <w:t xml:space="preserve"> </w:t>
      </w:r>
    </w:p>
    <w:tbl>
      <w:tblPr>
        <w:tblW w:w="15294" w:type="dxa"/>
        <w:tblInd w:w="-1152" w:type="dxa"/>
        <w:tblLayout w:type="fixed"/>
        <w:tblLook w:val="0000" w:firstRow="0" w:lastRow="0" w:firstColumn="0" w:lastColumn="0" w:noHBand="0" w:noVBand="0"/>
      </w:tblPr>
      <w:tblGrid>
        <w:gridCol w:w="1402"/>
        <w:gridCol w:w="1276"/>
        <w:gridCol w:w="709"/>
        <w:gridCol w:w="708"/>
        <w:gridCol w:w="709"/>
        <w:gridCol w:w="851"/>
        <w:gridCol w:w="850"/>
        <w:gridCol w:w="992"/>
        <w:gridCol w:w="851"/>
        <w:gridCol w:w="992"/>
        <w:gridCol w:w="851"/>
        <w:gridCol w:w="1134"/>
        <w:gridCol w:w="850"/>
        <w:gridCol w:w="1134"/>
        <w:gridCol w:w="1985"/>
      </w:tblGrid>
      <w:tr w:rsidR="00632208" w:rsidRPr="0098635C" w14:paraId="10450147" w14:textId="77777777" w:rsidTr="00A432B0">
        <w:trPr>
          <w:trHeight w:val="251"/>
        </w:trPr>
        <w:tc>
          <w:tcPr>
            <w:tcW w:w="1402" w:type="dxa"/>
            <w:tcBorders>
              <w:top w:val="single" w:sz="12" w:space="0" w:color="auto"/>
              <w:left w:val="single" w:sz="12" w:space="0" w:color="auto"/>
              <w:bottom w:val="single" w:sz="8" w:space="0" w:color="auto"/>
              <w:right w:val="nil"/>
            </w:tcBorders>
          </w:tcPr>
          <w:p w14:paraId="1892A682"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 </w:t>
            </w:r>
          </w:p>
        </w:tc>
        <w:tc>
          <w:tcPr>
            <w:tcW w:w="1276" w:type="dxa"/>
            <w:tcBorders>
              <w:top w:val="single" w:sz="12" w:space="0" w:color="auto"/>
              <w:left w:val="nil"/>
              <w:bottom w:val="single" w:sz="8" w:space="0" w:color="auto"/>
              <w:right w:val="nil"/>
            </w:tcBorders>
          </w:tcPr>
          <w:p w14:paraId="4D0A9009"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 </w:t>
            </w:r>
          </w:p>
        </w:tc>
        <w:tc>
          <w:tcPr>
            <w:tcW w:w="709" w:type="dxa"/>
            <w:tcBorders>
              <w:top w:val="single" w:sz="12" w:space="0" w:color="auto"/>
              <w:left w:val="nil"/>
              <w:bottom w:val="single" w:sz="8" w:space="0" w:color="auto"/>
              <w:right w:val="nil"/>
            </w:tcBorders>
          </w:tcPr>
          <w:p w14:paraId="294475B3"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 </w:t>
            </w:r>
          </w:p>
        </w:tc>
        <w:tc>
          <w:tcPr>
            <w:tcW w:w="708" w:type="dxa"/>
            <w:tcBorders>
              <w:top w:val="single" w:sz="12" w:space="0" w:color="auto"/>
              <w:left w:val="nil"/>
              <w:bottom w:val="single" w:sz="8" w:space="0" w:color="auto"/>
              <w:right w:val="nil"/>
            </w:tcBorders>
          </w:tcPr>
          <w:p w14:paraId="426411FE"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 </w:t>
            </w:r>
          </w:p>
        </w:tc>
        <w:tc>
          <w:tcPr>
            <w:tcW w:w="709" w:type="dxa"/>
            <w:tcBorders>
              <w:top w:val="single" w:sz="12" w:space="0" w:color="auto"/>
              <w:left w:val="nil"/>
              <w:bottom w:val="single" w:sz="8" w:space="0" w:color="auto"/>
              <w:right w:val="nil"/>
            </w:tcBorders>
          </w:tcPr>
          <w:p w14:paraId="14131F6F"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 </w:t>
            </w:r>
          </w:p>
        </w:tc>
        <w:tc>
          <w:tcPr>
            <w:tcW w:w="851" w:type="dxa"/>
            <w:tcBorders>
              <w:top w:val="single" w:sz="12" w:space="0" w:color="auto"/>
              <w:left w:val="nil"/>
              <w:bottom w:val="single" w:sz="8" w:space="0" w:color="auto"/>
              <w:right w:val="nil"/>
            </w:tcBorders>
          </w:tcPr>
          <w:p w14:paraId="3CA996DA"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 </w:t>
            </w:r>
          </w:p>
        </w:tc>
        <w:tc>
          <w:tcPr>
            <w:tcW w:w="850" w:type="dxa"/>
            <w:tcBorders>
              <w:top w:val="single" w:sz="12" w:space="0" w:color="auto"/>
              <w:left w:val="nil"/>
              <w:bottom w:val="single" w:sz="8" w:space="0" w:color="auto"/>
              <w:right w:val="nil"/>
            </w:tcBorders>
          </w:tcPr>
          <w:p w14:paraId="510D0582"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 </w:t>
            </w:r>
          </w:p>
        </w:tc>
        <w:tc>
          <w:tcPr>
            <w:tcW w:w="992" w:type="dxa"/>
            <w:tcBorders>
              <w:top w:val="single" w:sz="12" w:space="0" w:color="auto"/>
              <w:left w:val="nil"/>
              <w:bottom w:val="single" w:sz="8" w:space="0" w:color="auto"/>
              <w:right w:val="nil"/>
            </w:tcBorders>
          </w:tcPr>
          <w:p w14:paraId="7B991DAC"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 </w:t>
            </w:r>
          </w:p>
        </w:tc>
        <w:tc>
          <w:tcPr>
            <w:tcW w:w="851" w:type="dxa"/>
            <w:tcBorders>
              <w:top w:val="single" w:sz="12" w:space="0" w:color="auto"/>
              <w:left w:val="nil"/>
              <w:bottom w:val="single" w:sz="8" w:space="0" w:color="auto"/>
              <w:right w:val="nil"/>
            </w:tcBorders>
          </w:tcPr>
          <w:p w14:paraId="3C143A55"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 </w:t>
            </w:r>
          </w:p>
        </w:tc>
        <w:tc>
          <w:tcPr>
            <w:tcW w:w="992" w:type="dxa"/>
            <w:tcBorders>
              <w:top w:val="single" w:sz="12" w:space="0" w:color="auto"/>
              <w:left w:val="nil"/>
              <w:bottom w:val="single" w:sz="8" w:space="0" w:color="auto"/>
              <w:right w:val="single" w:sz="8" w:space="0" w:color="auto"/>
            </w:tcBorders>
          </w:tcPr>
          <w:p w14:paraId="6F0EA99D"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 </w:t>
            </w:r>
          </w:p>
        </w:tc>
        <w:tc>
          <w:tcPr>
            <w:tcW w:w="1985" w:type="dxa"/>
            <w:gridSpan w:val="2"/>
            <w:tcBorders>
              <w:top w:val="single" w:sz="12" w:space="0" w:color="auto"/>
              <w:left w:val="nil"/>
              <w:bottom w:val="single" w:sz="8" w:space="0" w:color="auto"/>
              <w:right w:val="single" w:sz="8" w:space="0" w:color="000000"/>
            </w:tcBorders>
          </w:tcPr>
          <w:p w14:paraId="208DEAF7"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Added NOEC</w:t>
            </w:r>
          </w:p>
        </w:tc>
        <w:tc>
          <w:tcPr>
            <w:tcW w:w="1984" w:type="dxa"/>
            <w:gridSpan w:val="2"/>
            <w:tcBorders>
              <w:top w:val="single" w:sz="12" w:space="0" w:color="auto"/>
              <w:left w:val="nil"/>
              <w:bottom w:val="single" w:sz="8" w:space="0" w:color="auto"/>
              <w:right w:val="single" w:sz="12" w:space="0" w:color="000000"/>
            </w:tcBorders>
          </w:tcPr>
          <w:p w14:paraId="7F7BD42D"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Total NOEC</w:t>
            </w:r>
          </w:p>
        </w:tc>
        <w:tc>
          <w:tcPr>
            <w:tcW w:w="1985" w:type="dxa"/>
            <w:tcBorders>
              <w:top w:val="single" w:sz="12" w:space="0" w:color="auto"/>
              <w:left w:val="nil"/>
              <w:bottom w:val="single" w:sz="8" w:space="0" w:color="auto"/>
              <w:right w:val="single" w:sz="12" w:space="0" w:color="000000"/>
            </w:tcBorders>
          </w:tcPr>
          <w:p w14:paraId="4C87C95E" w14:textId="77777777" w:rsidR="00632208" w:rsidRPr="0098635C" w:rsidRDefault="00632208" w:rsidP="00A432B0">
            <w:pPr>
              <w:spacing w:after="0"/>
              <w:jc w:val="center"/>
              <w:rPr>
                <w:b/>
                <w:bCs/>
                <w:color w:val="000000" w:themeColor="text1"/>
                <w:sz w:val="20"/>
                <w:szCs w:val="20"/>
              </w:rPr>
            </w:pPr>
          </w:p>
        </w:tc>
      </w:tr>
      <w:tr w:rsidR="00632208" w:rsidRPr="0098635C" w14:paraId="52DD9A9A" w14:textId="77777777" w:rsidTr="00A432B0">
        <w:trPr>
          <w:trHeight w:val="516"/>
        </w:trPr>
        <w:tc>
          <w:tcPr>
            <w:tcW w:w="1402" w:type="dxa"/>
            <w:tcBorders>
              <w:top w:val="nil"/>
              <w:left w:val="single" w:sz="8" w:space="0" w:color="auto"/>
              <w:bottom w:val="single" w:sz="8" w:space="0" w:color="auto"/>
              <w:right w:val="single" w:sz="8" w:space="0" w:color="auto"/>
            </w:tcBorders>
          </w:tcPr>
          <w:p w14:paraId="424ECA5F"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Organism</w:t>
            </w:r>
          </w:p>
        </w:tc>
        <w:tc>
          <w:tcPr>
            <w:tcW w:w="1276" w:type="dxa"/>
            <w:tcBorders>
              <w:top w:val="nil"/>
              <w:left w:val="nil"/>
              <w:bottom w:val="single" w:sz="8" w:space="0" w:color="auto"/>
              <w:right w:val="single" w:sz="8" w:space="0" w:color="auto"/>
            </w:tcBorders>
          </w:tcPr>
          <w:p w14:paraId="63B68696"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Medium</w:t>
            </w:r>
          </w:p>
        </w:tc>
        <w:tc>
          <w:tcPr>
            <w:tcW w:w="709" w:type="dxa"/>
            <w:tcBorders>
              <w:top w:val="nil"/>
              <w:left w:val="nil"/>
              <w:bottom w:val="single" w:sz="8" w:space="0" w:color="auto"/>
              <w:right w:val="single" w:sz="8" w:space="0" w:color="auto"/>
            </w:tcBorders>
          </w:tcPr>
          <w:p w14:paraId="6C560DCB"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pH</w:t>
            </w:r>
          </w:p>
        </w:tc>
        <w:tc>
          <w:tcPr>
            <w:tcW w:w="708" w:type="dxa"/>
            <w:tcBorders>
              <w:top w:val="nil"/>
              <w:left w:val="nil"/>
              <w:bottom w:val="single" w:sz="8" w:space="0" w:color="auto"/>
              <w:right w:val="single" w:sz="8" w:space="0" w:color="auto"/>
            </w:tcBorders>
          </w:tcPr>
          <w:p w14:paraId="3C5C14C4"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OM</w:t>
            </w:r>
          </w:p>
        </w:tc>
        <w:tc>
          <w:tcPr>
            <w:tcW w:w="709" w:type="dxa"/>
            <w:tcBorders>
              <w:top w:val="nil"/>
              <w:left w:val="nil"/>
              <w:bottom w:val="single" w:sz="8" w:space="0" w:color="auto"/>
              <w:right w:val="single" w:sz="8" w:space="0" w:color="auto"/>
            </w:tcBorders>
          </w:tcPr>
          <w:p w14:paraId="33956BF6"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clay</w:t>
            </w:r>
          </w:p>
        </w:tc>
        <w:tc>
          <w:tcPr>
            <w:tcW w:w="851" w:type="dxa"/>
            <w:tcBorders>
              <w:top w:val="nil"/>
              <w:left w:val="nil"/>
              <w:bottom w:val="single" w:sz="8" w:space="0" w:color="auto"/>
              <w:right w:val="single" w:sz="8" w:space="0" w:color="auto"/>
            </w:tcBorders>
          </w:tcPr>
          <w:p w14:paraId="065B7E28"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Cb</w:t>
            </w:r>
          </w:p>
        </w:tc>
        <w:tc>
          <w:tcPr>
            <w:tcW w:w="850" w:type="dxa"/>
            <w:tcBorders>
              <w:top w:val="nil"/>
              <w:left w:val="nil"/>
              <w:bottom w:val="single" w:sz="8" w:space="0" w:color="auto"/>
              <w:right w:val="single" w:sz="8" w:space="0" w:color="auto"/>
            </w:tcBorders>
          </w:tcPr>
          <w:p w14:paraId="7F038A70"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CEC</w:t>
            </w:r>
          </w:p>
        </w:tc>
        <w:tc>
          <w:tcPr>
            <w:tcW w:w="992" w:type="dxa"/>
            <w:tcBorders>
              <w:top w:val="nil"/>
              <w:left w:val="nil"/>
              <w:bottom w:val="single" w:sz="8" w:space="0" w:color="auto"/>
              <w:right w:val="single" w:sz="8" w:space="0" w:color="auto"/>
            </w:tcBorders>
          </w:tcPr>
          <w:p w14:paraId="45E2D696"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Equil. Period</w:t>
            </w:r>
          </w:p>
        </w:tc>
        <w:tc>
          <w:tcPr>
            <w:tcW w:w="851" w:type="dxa"/>
            <w:tcBorders>
              <w:top w:val="nil"/>
              <w:left w:val="nil"/>
              <w:bottom w:val="single" w:sz="8" w:space="0" w:color="auto"/>
              <w:right w:val="single" w:sz="8" w:space="0" w:color="auto"/>
            </w:tcBorders>
          </w:tcPr>
          <w:p w14:paraId="2A4F018D"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Durat.</w:t>
            </w:r>
          </w:p>
        </w:tc>
        <w:tc>
          <w:tcPr>
            <w:tcW w:w="992" w:type="dxa"/>
            <w:tcBorders>
              <w:top w:val="nil"/>
              <w:left w:val="nil"/>
              <w:bottom w:val="single" w:sz="8" w:space="0" w:color="auto"/>
              <w:right w:val="single" w:sz="8" w:space="0" w:color="auto"/>
            </w:tcBorders>
          </w:tcPr>
          <w:p w14:paraId="33FB3585"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Endpoint</w:t>
            </w:r>
          </w:p>
        </w:tc>
        <w:tc>
          <w:tcPr>
            <w:tcW w:w="851" w:type="dxa"/>
            <w:tcBorders>
              <w:top w:val="nil"/>
              <w:left w:val="nil"/>
              <w:bottom w:val="single" w:sz="8" w:space="0" w:color="auto"/>
              <w:right w:val="single" w:sz="8" w:space="0" w:color="auto"/>
            </w:tcBorders>
          </w:tcPr>
          <w:p w14:paraId="47410B1A"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NOEC or EC</w:t>
            </w:r>
            <w:r w:rsidRPr="0098635C">
              <w:rPr>
                <w:b/>
                <w:bCs/>
                <w:color w:val="000000" w:themeColor="text1"/>
                <w:sz w:val="20"/>
                <w:szCs w:val="20"/>
                <w:vertAlign w:val="subscript"/>
              </w:rPr>
              <w:t>10</w:t>
            </w:r>
          </w:p>
        </w:tc>
        <w:tc>
          <w:tcPr>
            <w:tcW w:w="1134" w:type="dxa"/>
            <w:tcBorders>
              <w:top w:val="nil"/>
              <w:left w:val="nil"/>
              <w:bottom w:val="single" w:sz="8" w:space="0" w:color="auto"/>
              <w:right w:val="single" w:sz="8" w:space="0" w:color="auto"/>
            </w:tcBorders>
          </w:tcPr>
          <w:p w14:paraId="2553D1D8"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Unbounded NOEC</w:t>
            </w:r>
          </w:p>
        </w:tc>
        <w:tc>
          <w:tcPr>
            <w:tcW w:w="850" w:type="dxa"/>
            <w:tcBorders>
              <w:top w:val="single" w:sz="8" w:space="0" w:color="auto"/>
              <w:left w:val="nil"/>
              <w:bottom w:val="single" w:sz="8" w:space="0" w:color="auto"/>
              <w:right w:val="single" w:sz="8" w:space="0" w:color="000000"/>
            </w:tcBorders>
          </w:tcPr>
          <w:p w14:paraId="1BA60671"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NOEC or EC</w:t>
            </w:r>
            <w:r w:rsidRPr="0098635C">
              <w:rPr>
                <w:b/>
                <w:bCs/>
                <w:color w:val="000000" w:themeColor="text1"/>
                <w:sz w:val="20"/>
                <w:szCs w:val="20"/>
                <w:vertAlign w:val="subscript"/>
              </w:rPr>
              <w:t>10</w:t>
            </w:r>
          </w:p>
        </w:tc>
        <w:tc>
          <w:tcPr>
            <w:tcW w:w="1134" w:type="dxa"/>
            <w:tcBorders>
              <w:top w:val="nil"/>
              <w:left w:val="nil"/>
              <w:bottom w:val="single" w:sz="8" w:space="0" w:color="auto"/>
              <w:right w:val="single" w:sz="12" w:space="0" w:color="auto"/>
            </w:tcBorders>
          </w:tcPr>
          <w:p w14:paraId="4B51CEA7"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Unbounded NOEC</w:t>
            </w:r>
          </w:p>
        </w:tc>
        <w:tc>
          <w:tcPr>
            <w:tcW w:w="1985" w:type="dxa"/>
            <w:tcBorders>
              <w:top w:val="nil"/>
              <w:left w:val="nil"/>
              <w:bottom w:val="single" w:sz="8" w:space="0" w:color="auto"/>
              <w:right w:val="single" w:sz="12" w:space="0" w:color="auto"/>
            </w:tcBorders>
          </w:tcPr>
          <w:p w14:paraId="1C71BFF3" w14:textId="77777777" w:rsidR="00632208" w:rsidRPr="0098635C" w:rsidRDefault="00632208" w:rsidP="00A432B0">
            <w:pPr>
              <w:spacing w:after="0"/>
              <w:jc w:val="center"/>
              <w:rPr>
                <w:b/>
                <w:bCs/>
                <w:color w:val="000000" w:themeColor="text1"/>
                <w:sz w:val="20"/>
                <w:szCs w:val="20"/>
              </w:rPr>
            </w:pPr>
          </w:p>
        </w:tc>
      </w:tr>
      <w:tr w:rsidR="00632208" w:rsidRPr="0098635C" w14:paraId="39FD4580" w14:textId="77777777" w:rsidTr="00A432B0">
        <w:trPr>
          <w:trHeight w:val="291"/>
        </w:trPr>
        <w:tc>
          <w:tcPr>
            <w:tcW w:w="1402" w:type="dxa"/>
            <w:tcBorders>
              <w:top w:val="nil"/>
              <w:left w:val="single" w:sz="8" w:space="0" w:color="auto"/>
              <w:bottom w:val="single" w:sz="8" w:space="0" w:color="auto"/>
              <w:right w:val="single" w:sz="8" w:space="0" w:color="auto"/>
            </w:tcBorders>
          </w:tcPr>
          <w:p w14:paraId="1A80F12C" w14:textId="77777777" w:rsidR="00632208" w:rsidRPr="0098635C" w:rsidRDefault="00632208" w:rsidP="00A432B0">
            <w:pPr>
              <w:spacing w:after="0"/>
              <w:jc w:val="center"/>
              <w:rPr>
                <w:b/>
                <w:bCs/>
                <w:i/>
                <w:iCs/>
                <w:color w:val="000000" w:themeColor="text1"/>
                <w:sz w:val="20"/>
                <w:szCs w:val="20"/>
              </w:rPr>
            </w:pPr>
            <w:r w:rsidRPr="0098635C">
              <w:rPr>
                <w:b/>
                <w:bCs/>
                <w:i/>
                <w:iCs/>
                <w:color w:val="000000" w:themeColor="text1"/>
                <w:sz w:val="20"/>
                <w:szCs w:val="20"/>
              </w:rPr>
              <w:t> </w:t>
            </w:r>
          </w:p>
        </w:tc>
        <w:tc>
          <w:tcPr>
            <w:tcW w:w="1276" w:type="dxa"/>
            <w:tcBorders>
              <w:top w:val="nil"/>
              <w:left w:val="nil"/>
              <w:bottom w:val="single" w:sz="8" w:space="0" w:color="auto"/>
              <w:right w:val="single" w:sz="8" w:space="0" w:color="auto"/>
            </w:tcBorders>
          </w:tcPr>
          <w:p w14:paraId="5FB0D5B0"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 </w:t>
            </w:r>
          </w:p>
        </w:tc>
        <w:tc>
          <w:tcPr>
            <w:tcW w:w="709" w:type="dxa"/>
            <w:tcBorders>
              <w:top w:val="nil"/>
              <w:left w:val="nil"/>
              <w:bottom w:val="single" w:sz="8" w:space="0" w:color="auto"/>
              <w:right w:val="single" w:sz="8" w:space="0" w:color="auto"/>
            </w:tcBorders>
          </w:tcPr>
          <w:p w14:paraId="1E029D54"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 </w:t>
            </w:r>
          </w:p>
        </w:tc>
        <w:tc>
          <w:tcPr>
            <w:tcW w:w="708" w:type="dxa"/>
            <w:tcBorders>
              <w:top w:val="nil"/>
              <w:left w:val="nil"/>
              <w:bottom w:val="single" w:sz="8" w:space="0" w:color="auto"/>
              <w:right w:val="single" w:sz="8" w:space="0" w:color="auto"/>
            </w:tcBorders>
          </w:tcPr>
          <w:p w14:paraId="655A5191"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w:t>
            </w:r>
          </w:p>
        </w:tc>
        <w:tc>
          <w:tcPr>
            <w:tcW w:w="709" w:type="dxa"/>
            <w:tcBorders>
              <w:top w:val="nil"/>
              <w:left w:val="nil"/>
              <w:bottom w:val="single" w:sz="8" w:space="0" w:color="auto"/>
              <w:right w:val="single" w:sz="8" w:space="0" w:color="auto"/>
            </w:tcBorders>
          </w:tcPr>
          <w:p w14:paraId="54F80E67"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w:t>
            </w:r>
          </w:p>
        </w:tc>
        <w:tc>
          <w:tcPr>
            <w:tcW w:w="851" w:type="dxa"/>
            <w:tcBorders>
              <w:top w:val="nil"/>
              <w:left w:val="nil"/>
              <w:bottom w:val="single" w:sz="8" w:space="0" w:color="auto"/>
              <w:right w:val="single" w:sz="8" w:space="0" w:color="auto"/>
            </w:tcBorders>
          </w:tcPr>
          <w:p w14:paraId="4B4D6061"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mg/kg</w:t>
            </w:r>
            <w:r w:rsidRPr="0098635C">
              <w:rPr>
                <w:b/>
                <w:bCs/>
                <w:color w:val="000000" w:themeColor="text1"/>
                <w:sz w:val="20"/>
                <w:szCs w:val="20"/>
                <w:vertAlign w:val="subscript"/>
              </w:rPr>
              <w:t>dw</w:t>
            </w:r>
          </w:p>
        </w:tc>
        <w:tc>
          <w:tcPr>
            <w:tcW w:w="850" w:type="dxa"/>
            <w:tcBorders>
              <w:top w:val="nil"/>
              <w:left w:val="nil"/>
              <w:bottom w:val="single" w:sz="8" w:space="0" w:color="auto"/>
              <w:right w:val="single" w:sz="8" w:space="0" w:color="auto"/>
            </w:tcBorders>
          </w:tcPr>
          <w:p w14:paraId="727756B5"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cmol/kg</w:t>
            </w:r>
          </w:p>
        </w:tc>
        <w:tc>
          <w:tcPr>
            <w:tcW w:w="992" w:type="dxa"/>
            <w:tcBorders>
              <w:top w:val="nil"/>
              <w:left w:val="nil"/>
              <w:bottom w:val="single" w:sz="8" w:space="0" w:color="auto"/>
              <w:right w:val="single" w:sz="8" w:space="0" w:color="auto"/>
            </w:tcBorders>
          </w:tcPr>
          <w:p w14:paraId="6746460D"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days</w:t>
            </w:r>
          </w:p>
        </w:tc>
        <w:tc>
          <w:tcPr>
            <w:tcW w:w="851" w:type="dxa"/>
            <w:tcBorders>
              <w:top w:val="nil"/>
              <w:left w:val="nil"/>
              <w:bottom w:val="single" w:sz="8" w:space="0" w:color="auto"/>
              <w:right w:val="single" w:sz="8" w:space="0" w:color="auto"/>
            </w:tcBorders>
          </w:tcPr>
          <w:p w14:paraId="0DFA5AEF"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days</w:t>
            </w:r>
          </w:p>
        </w:tc>
        <w:tc>
          <w:tcPr>
            <w:tcW w:w="992" w:type="dxa"/>
            <w:tcBorders>
              <w:top w:val="nil"/>
              <w:left w:val="nil"/>
              <w:bottom w:val="single" w:sz="8" w:space="0" w:color="auto"/>
              <w:right w:val="single" w:sz="8" w:space="0" w:color="auto"/>
            </w:tcBorders>
          </w:tcPr>
          <w:p w14:paraId="587F401D"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 </w:t>
            </w:r>
          </w:p>
        </w:tc>
        <w:tc>
          <w:tcPr>
            <w:tcW w:w="851" w:type="dxa"/>
            <w:tcBorders>
              <w:top w:val="nil"/>
              <w:left w:val="nil"/>
              <w:bottom w:val="single" w:sz="8" w:space="0" w:color="auto"/>
              <w:right w:val="single" w:sz="8" w:space="0" w:color="auto"/>
            </w:tcBorders>
          </w:tcPr>
          <w:p w14:paraId="24CB88B4"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mg/kg</w:t>
            </w:r>
            <w:r w:rsidRPr="0098635C">
              <w:rPr>
                <w:b/>
                <w:bCs/>
                <w:color w:val="000000" w:themeColor="text1"/>
                <w:sz w:val="20"/>
                <w:szCs w:val="20"/>
                <w:vertAlign w:val="subscript"/>
              </w:rPr>
              <w:t>dw</w:t>
            </w:r>
          </w:p>
        </w:tc>
        <w:tc>
          <w:tcPr>
            <w:tcW w:w="1134" w:type="dxa"/>
            <w:tcBorders>
              <w:top w:val="nil"/>
              <w:left w:val="nil"/>
              <w:bottom w:val="single" w:sz="8" w:space="0" w:color="auto"/>
              <w:right w:val="single" w:sz="8" w:space="0" w:color="auto"/>
            </w:tcBorders>
          </w:tcPr>
          <w:p w14:paraId="2F483802"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mg/kg</w:t>
            </w:r>
            <w:r w:rsidRPr="0098635C">
              <w:rPr>
                <w:b/>
                <w:bCs/>
                <w:color w:val="000000" w:themeColor="text1"/>
                <w:sz w:val="20"/>
                <w:szCs w:val="20"/>
                <w:vertAlign w:val="subscript"/>
              </w:rPr>
              <w:t>dw</w:t>
            </w:r>
          </w:p>
        </w:tc>
        <w:tc>
          <w:tcPr>
            <w:tcW w:w="850" w:type="dxa"/>
            <w:tcBorders>
              <w:top w:val="single" w:sz="8" w:space="0" w:color="auto"/>
              <w:left w:val="nil"/>
              <w:bottom w:val="single" w:sz="8" w:space="0" w:color="auto"/>
              <w:right w:val="single" w:sz="8" w:space="0" w:color="000000"/>
            </w:tcBorders>
          </w:tcPr>
          <w:p w14:paraId="00997DAC"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mg/kg</w:t>
            </w:r>
            <w:r w:rsidRPr="0098635C">
              <w:rPr>
                <w:b/>
                <w:bCs/>
                <w:color w:val="000000" w:themeColor="text1"/>
                <w:sz w:val="20"/>
                <w:szCs w:val="20"/>
                <w:vertAlign w:val="subscript"/>
              </w:rPr>
              <w:t>dw</w:t>
            </w:r>
          </w:p>
        </w:tc>
        <w:tc>
          <w:tcPr>
            <w:tcW w:w="1134" w:type="dxa"/>
            <w:tcBorders>
              <w:top w:val="nil"/>
              <w:left w:val="nil"/>
              <w:bottom w:val="single" w:sz="8" w:space="0" w:color="auto"/>
              <w:right w:val="single" w:sz="12" w:space="0" w:color="auto"/>
            </w:tcBorders>
          </w:tcPr>
          <w:p w14:paraId="1B76D3E7" w14:textId="77777777" w:rsidR="00632208" w:rsidRPr="0098635C" w:rsidRDefault="00632208" w:rsidP="00A432B0">
            <w:pPr>
              <w:spacing w:after="0"/>
              <w:jc w:val="center"/>
              <w:rPr>
                <w:b/>
                <w:bCs/>
                <w:color w:val="000000" w:themeColor="text1"/>
                <w:sz w:val="20"/>
                <w:szCs w:val="20"/>
              </w:rPr>
            </w:pPr>
            <w:r w:rsidRPr="0098635C">
              <w:rPr>
                <w:b/>
                <w:bCs/>
                <w:color w:val="000000" w:themeColor="text1"/>
                <w:sz w:val="20"/>
                <w:szCs w:val="20"/>
              </w:rPr>
              <w:t>mg/kg</w:t>
            </w:r>
            <w:r w:rsidRPr="0098635C">
              <w:rPr>
                <w:b/>
                <w:bCs/>
                <w:color w:val="000000" w:themeColor="text1"/>
                <w:sz w:val="20"/>
                <w:szCs w:val="20"/>
                <w:vertAlign w:val="subscript"/>
              </w:rPr>
              <w:t>dw</w:t>
            </w:r>
          </w:p>
        </w:tc>
        <w:tc>
          <w:tcPr>
            <w:tcW w:w="1985" w:type="dxa"/>
            <w:tcBorders>
              <w:top w:val="nil"/>
              <w:left w:val="nil"/>
              <w:bottom w:val="single" w:sz="8" w:space="0" w:color="auto"/>
              <w:right w:val="single" w:sz="12" w:space="0" w:color="auto"/>
            </w:tcBorders>
          </w:tcPr>
          <w:p w14:paraId="38AC0309" w14:textId="77777777" w:rsidR="00632208" w:rsidRPr="0098635C" w:rsidRDefault="00632208" w:rsidP="00A432B0">
            <w:pPr>
              <w:spacing w:after="0"/>
              <w:jc w:val="center"/>
              <w:rPr>
                <w:b/>
                <w:bCs/>
                <w:color w:val="000000" w:themeColor="text1"/>
                <w:sz w:val="20"/>
                <w:szCs w:val="20"/>
              </w:rPr>
            </w:pPr>
          </w:p>
        </w:tc>
      </w:tr>
      <w:tr w:rsidR="00632208" w:rsidRPr="0098635C" w14:paraId="0F1A928B" w14:textId="77777777" w:rsidTr="00A432B0">
        <w:trPr>
          <w:trHeight w:val="64"/>
        </w:trPr>
        <w:tc>
          <w:tcPr>
            <w:tcW w:w="1402" w:type="dxa"/>
            <w:tcBorders>
              <w:top w:val="nil"/>
              <w:left w:val="single" w:sz="8" w:space="0" w:color="auto"/>
              <w:bottom w:val="single" w:sz="8" w:space="0" w:color="auto"/>
              <w:right w:val="single" w:sz="8" w:space="0" w:color="auto"/>
            </w:tcBorders>
          </w:tcPr>
          <w:p w14:paraId="44601DC3"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Allobophora chlorotica</w:t>
            </w:r>
          </w:p>
        </w:tc>
        <w:tc>
          <w:tcPr>
            <w:tcW w:w="1276" w:type="dxa"/>
            <w:tcBorders>
              <w:top w:val="nil"/>
              <w:left w:val="nil"/>
              <w:bottom w:val="single" w:sz="8" w:space="0" w:color="auto"/>
              <w:right w:val="single" w:sz="8" w:space="0" w:color="auto"/>
            </w:tcBorders>
          </w:tcPr>
          <w:p w14:paraId="366288A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Sandy soil</w:t>
            </w:r>
          </w:p>
        </w:tc>
        <w:tc>
          <w:tcPr>
            <w:tcW w:w="709" w:type="dxa"/>
            <w:tcBorders>
              <w:top w:val="nil"/>
              <w:left w:val="nil"/>
              <w:bottom w:val="single" w:sz="8" w:space="0" w:color="auto"/>
              <w:right w:val="single" w:sz="8" w:space="0" w:color="auto"/>
            </w:tcBorders>
          </w:tcPr>
          <w:p w14:paraId="7D2114B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4.8-5.2</w:t>
            </w:r>
          </w:p>
        </w:tc>
        <w:tc>
          <w:tcPr>
            <w:tcW w:w="708" w:type="dxa"/>
            <w:tcBorders>
              <w:top w:val="nil"/>
              <w:left w:val="nil"/>
              <w:bottom w:val="single" w:sz="8" w:space="0" w:color="auto"/>
              <w:right w:val="single" w:sz="8" w:space="0" w:color="auto"/>
            </w:tcBorders>
          </w:tcPr>
          <w:p w14:paraId="79252E4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04-Jun</w:t>
            </w:r>
          </w:p>
        </w:tc>
        <w:tc>
          <w:tcPr>
            <w:tcW w:w="709" w:type="dxa"/>
            <w:tcBorders>
              <w:top w:val="nil"/>
              <w:left w:val="nil"/>
              <w:bottom w:val="single" w:sz="8" w:space="0" w:color="auto"/>
              <w:right w:val="single" w:sz="8" w:space="0" w:color="auto"/>
            </w:tcBorders>
          </w:tcPr>
          <w:p w14:paraId="226CA29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02-Apr</w:t>
            </w:r>
          </w:p>
        </w:tc>
        <w:tc>
          <w:tcPr>
            <w:tcW w:w="851" w:type="dxa"/>
            <w:tcBorders>
              <w:top w:val="nil"/>
              <w:left w:val="nil"/>
              <w:bottom w:val="single" w:sz="8" w:space="0" w:color="auto"/>
              <w:right w:val="single" w:sz="8" w:space="0" w:color="auto"/>
            </w:tcBorders>
          </w:tcPr>
          <w:p w14:paraId="3CA599F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w:t>
            </w:r>
          </w:p>
        </w:tc>
        <w:tc>
          <w:tcPr>
            <w:tcW w:w="850" w:type="dxa"/>
            <w:tcBorders>
              <w:top w:val="nil"/>
              <w:left w:val="nil"/>
              <w:bottom w:val="single" w:sz="8" w:space="0" w:color="auto"/>
              <w:right w:val="single" w:sz="8" w:space="0" w:color="auto"/>
            </w:tcBorders>
          </w:tcPr>
          <w:p w14:paraId="3810C49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05-Sep</w:t>
            </w:r>
          </w:p>
        </w:tc>
        <w:tc>
          <w:tcPr>
            <w:tcW w:w="992" w:type="dxa"/>
            <w:tcBorders>
              <w:top w:val="nil"/>
              <w:left w:val="nil"/>
              <w:bottom w:val="single" w:sz="8" w:space="0" w:color="auto"/>
              <w:right w:val="single" w:sz="8" w:space="0" w:color="auto"/>
            </w:tcBorders>
          </w:tcPr>
          <w:p w14:paraId="7653AF1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037139C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nil"/>
              <w:left w:val="nil"/>
              <w:bottom w:val="single" w:sz="8" w:space="0" w:color="auto"/>
              <w:right w:val="single" w:sz="8" w:space="0" w:color="auto"/>
            </w:tcBorders>
          </w:tcPr>
          <w:p w14:paraId="29C2967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r(cp)</w:t>
            </w:r>
          </w:p>
        </w:tc>
        <w:tc>
          <w:tcPr>
            <w:tcW w:w="851" w:type="dxa"/>
            <w:tcBorders>
              <w:top w:val="nil"/>
              <w:left w:val="nil"/>
              <w:bottom w:val="single" w:sz="8" w:space="0" w:color="auto"/>
              <w:right w:val="single" w:sz="8" w:space="0" w:color="auto"/>
            </w:tcBorders>
          </w:tcPr>
          <w:p w14:paraId="2913CAF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1134" w:type="dxa"/>
            <w:tcBorders>
              <w:top w:val="nil"/>
              <w:left w:val="nil"/>
              <w:bottom w:val="single" w:sz="8" w:space="0" w:color="auto"/>
              <w:right w:val="single" w:sz="8" w:space="0" w:color="auto"/>
            </w:tcBorders>
          </w:tcPr>
          <w:p w14:paraId="775D6CB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5620C1A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40</w:t>
            </w:r>
          </w:p>
        </w:tc>
        <w:tc>
          <w:tcPr>
            <w:tcW w:w="1134" w:type="dxa"/>
            <w:tcBorders>
              <w:top w:val="nil"/>
              <w:left w:val="nil"/>
              <w:bottom w:val="single" w:sz="8" w:space="0" w:color="auto"/>
              <w:right w:val="single" w:sz="12" w:space="0" w:color="auto"/>
            </w:tcBorders>
          </w:tcPr>
          <w:p w14:paraId="41B1482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492AEED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Ma, 1988</w:t>
            </w:r>
          </w:p>
        </w:tc>
      </w:tr>
      <w:tr w:rsidR="00632208" w:rsidRPr="0098635C" w14:paraId="2194E97A" w14:textId="77777777" w:rsidTr="00A432B0">
        <w:trPr>
          <w:trHeight w:val="179"/>
        </w:trPr>
        <w:tc>
          <w:tcPr>
            <w:tcW w:w="1402" w:type="dxa"/>
            <w:tcBorders>
              <w:top w:val="nil"/>
              <w:left w:val="single" w:sz="8" w:space="0" w:color="auto"/>
              <w:bottom w:val="single" w:sz="8" w:space="0" w:color="auto"/>
              <w:right w:val="single" w:sz="8" w:space="0" w:color="auto"/>
            </w:tcBorders>
          </w:tcPr>
          <w:p w14:paraId="09749473"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Allobophora caliginosa</w:t>
            </w:r>
          </w:p>
        </w:tc>
        <w:tc>
          <w:tcPr>
            <w:tcW w:w="1276" w:type="dxa"/>
            <w:tcBorders>
              <w:top w:val="nil"/>
              <w:left w:val="nil"/>
              <w:bottom w:val="single" w:sz="8" w:space="0" w:color="auto"/>
              <w:right w:val="single" w:sz="8" w:space="0" w:color="auto"/>
            </w:tcBorders>
          </w:tcPr>
          <w:p w14:paraId="586FAAD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Non-EU sandy soil</w:t>
            </w:r>
          </w:p>
        </w:tc>
        <w:tc>
          <w:tcPr>
            <w:tcW w:w="709" w:type="dxa"/>
            <w:tcBorders>
              <w:top w:val="nil"/>
              <w:left w:val="nil"/>
              <w:bottom w:val="single" w:sz="8" w:space="0" w:color="auto"/>
              <w:right w:val="single" w:sz="8" w:space="0" w:color="auto"/>
            </w:tcBorders>
          </w:tcPr>
          <w:p w14:paraId="4EFAA4C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8" w:type="dxa"/>
            <w:tcBorders>
              <w:top w:val="nil"/>
              <w:left w:val="nil"/>
              <w:bottom w:val="single" w:sz="8" w:space="0" w:color="auto"/>
              <w:right w:val="single" w:sz="8" w:space="0" w:color="auto"/>
            </w:tcBorders>
          </w:tcPr>
          <w:p w14:paraId="008FF42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nil"/>
              <w:left w:val="nil"/>
              <w:bottom w:val="single" w:sz="8" w:space="0" w:color="auto"/>
              <w:right w:val="single" w:sz="8" w:space="0" w:color="auto"/>
            </w:tcBorders>
          </w:tcPr>
          <w:p w14:paraId="2D966D2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7EE6946F"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10.7</w:t>
            </w:r>
          </w:p>
        </w:tc>
        <w:tc>
          <w:tcPr>
            <w:tcW w:w="850" w:type="dxa"/>
            <w:tcBorders>
              <w:top w:val="nil"/>
              <w:left w:val="nil"/>
              <w:bottom w:val="single" w:sz="8" w:space="0" w:color="auto"/>
              <w:right w:val="single" w:sz="8" w:space="0" w:color="auto"/>
            </w:tcBorders>
          </w:tcPr>
          <w:p w14:paraId="6ED96A2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single" w:sz="8" w:space="0" w:color="auto"/>
              <w:right w:val="single" w:sz="8" w:space="0" w:color="auto"/>
            </w:tcBorders>
          </w:tcPr>
          <w:p w14:paraId="25CA847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6549379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14</w:t>
            </w:r>
          </w:p>
        </w:tc>
        <w:tc>
          <w:tcPr>
            <w:tcW w:w="992" w:type="dxa"/>
            <w:tcBorders>
              <w:top w:val="nil"/>
              <w:left w:val="nil"/>
              <w:bottom w:val="single" w:sz="8" w:space="0" w:color="auto"/>
              <w:right w:val="single" w:sz="8" w:space="0" w:color="auto"/>
            </w:tcBorders>
          </w:tcPr>
          <w:p w14:paraId="44E5FAE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m</w:t>
            </w:r>
          </w:p>
        </w:tc>
        <w:tc>
          <w:tcPr>
            <w:tcW w:w="851" w:type="dxa"/>
            <w:tcBorders>
              <w:top w:val="nil"/>
              <w:left w:val="nil"/>
              <w:bottom w:val="single" w:sz="8" w:space="0" w:color="auto"/>
              <w:right w:val="single" w:sz="8" w:space="0" w:color="auto"/>
            </w:tcBorders>
          </w:tcPr>
          <w:p w14:paraId="45D6B34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500</w:t>
            </w:r>
          </w:p>
        </w:tc>
        <w:tc>
          <w:tcPr>
            <w:tcW w:w="1134" w:type="dxa"/>
            <w:tcBorders>
              <w:top w:val="nil"/>
              <w:left w:val="nil"/>
              <w:bottom w:val="single" w:sz="8" w:space="0" w:color="auto"/>
              <w:right w:val="single" w:sz="8" w:space="0" w:color="auto"/>
            </w:tcBorders>
          </w:tcPr>
          <w:p w14:paraId="58A96CD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76C11BB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510.7</w:t>
            </w:r>
          </w:p>
        </w:tc>
        <w:tc>
          <w:tcPr>
            <w:tcW w:w="1134" w:type="dxa"/>
            <w:tcBorders>
              <w:top w:val="nil"/>
              <w:left w:val="nil"/>
              <w:bottom w:val="single" w:sz="8" w:space="0" w:color="auto"/>
              <w:right w:val="single" w:sz="12" w:space="0" w:color="auto"/>
            </w:tcBorders>
          </w:tcPr>
          <w:p w14:paraId="6952253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0F6B472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Martin, 1986</w:t>
            </w:r>
          </w:p>
        </w:tc>
      </w:tr>
      <w:tr w:rsidR="00632208" w:rsidRPr="0098635C" w14:paraId="422636D5" w14:textId="77777777" w:rsidTr="00A432B0">
        <w:trPr>
          <w:trHeight w:val="144"/>
        </w:trPr>
        <w:tc>
          <w:tcPr>
            <w:tcW w:w="1402" w:type="dxa"/>
            <w:tcBorders>
              <w:top w:val="nil"/>
              <w:left w:val="single" w:sz="8" w:space="0" w:color="auto"/>
              <w:bottom w:val="single" w:sz="8" w:space="0" w:color="auto"/>
              <w:right w:val="single" w:sz="8" w:space="0" w:color="auto"/>
            </w:tcBorders>
          </w:tcPr>
          <w:p w14:paraId="68CDA60A"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Allobophora caliginosa</w:t>
            </w:r>
          </w:p>
        </w:tc>
        <w:tc>
          <w:tcPr>
            <w:tcW w:w="1276" w:type="dxa"/>
            <w:tcBorders>
              <w:top w:val="nil"/>
              <w:left w:val="nil"/>
              <w:bottom w:val="single" w:sz="8" w:space="0" w:color="auto"/>
              <w:right w:val="single" w:sz="8" w:space="0" w:color="auto"/>
            </w:tcBorders>
          </w:tcPr>
          <w:p w14:paraId="3467BAB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Non-EU sandy soil</w:t>
            </w:r>
          </w:p>
        </w:tc>
        <w:tc>
          <w:tcPr>
            <w:tcW w:w="709" w:type="dxa"/>
            <w:tcBorders>
              <w:top w:val="nil"/>
              <w:left w:val="nil"/>
              <w:bottom w:val="single" w:sz="8" w:space="0" w:color="auto"/>
              <w:right w:val="single" w:sz="8" w:space="0" w:color="auto"/>
            </w:tcBorders>
          </w:tcPr>
          <w:p w14:paraId="0A735D6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8" w:type="dxa"/>
            <w:tcBorders>
              <w:top w:val="nil"/>
              <w:left w:val="nil"/>
              <w:bottom w:val="single" w:sz="8" w:space="0" w:color="auto"/>
              <w:right w:val="single" w:sz="8" w:space="0" w:color="auto"/>
            </w:tcBorders>
          </w:tcPr>
          <w:p w14:paraId="06D2ADC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nil"/>
              <w:left w:val="nil"/>
              <w:bottom w:val="single" w:sz="8" w:space="0" w:color="auto"/>
              <w:right w:val="single" w:sz="8" w:space="0" w:color="auto"/>
            </w:tcBorders>
          </w:tcPr>
          <w:p w14:paraId="5B618D1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486DED51"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10.7</w:t>
            </w:r>
          </w:p>
        </w:tc>
        <w:tc>
          <w:tcPr>
            <w:tcW w:w="850" w:type="dxa"/>
            <w:tcBorders>
              <w:top w:val="nil"/>
              <w:left w:val="nil"/>
              <w:bottom w:val="single" w:sz="8" w:space="0" w:color="auto"/>
              <w:right w:val="single" w:sz="8" w:space="0" w:color="auto"/>
            </w:tcBorders>
          </w:tcPr>
          <w:p w14:paraId="3C3606F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single" w:sz="8" w:space="0" w:color="auto"/>
              <w:right w:val="single" w:sz="8" w:space="0" w:color="auto"/>
            </w:tcBorders>
          </w:tcPr>
          <w:p w14:paraId="7FB69AC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1B5BDA9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14</w:t>
            </w:r>
          </w:p>
        </w:tc>
        <w:tc>
          <w:tcPr>
            <w:tcW w:w="992" w:type="dxa"/>
            <w:tcBorders>
              <w:top w:val="nil"/>
              <w:left w:val="nil"/>
              <w:bottom w:val="single" w:sz="8" w:space="0" w:color="auto"/>
              <w:right w:val="single" w:sz="8" w:space="0" w:color="auto"/>
            </w:tcBorders>
          </w:tcPr>
          <w:p w14:paraId="2DDCE1A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r(cp)</w:t>
            </w:r>
          </w:p>
        </w:tc>
        <w:tc>
          <w:tcPr>
            <w:tcW w:w="851" w:type="dxa"/>
            <w:tcBorders>
              <w:top w:val="nil"/>
              <w:left w:val="nil"/>
              <w:bottom w:val="single" w:sz="8" w:space="0" w:color="auto"/>
              <w:right w:val="single" w:sz="8" w:space="0" w:color="auto"/>
            </w:tcBorders>
          </w:tcPr>
          <w:p w14:paraId="0DC918D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50</w:t>
            </w:r>
          </w:p>
        </w:tc>
        <w:tc>
          <w:tcPr>
            <w:tcW w:w="1134" w:type="dxa"/>
            <w:tcBorders>
              <w:top w:val="nil"/>
              <w:left w:val="nil"/>
              <w:bottom w:val="single" w:sz="8" w:space="0" w:color="auto"/>
              <w:right w:val="single" w:sz="8" w:space="0" w:color="auto"/>
            </w:tcBorders>
          </w:tcPr>
          <w:p w14:paraId="76C99AE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2F49A59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60.7</w:t>
            </w:r>
          </w:p>
        </w:tc>
        <w:tc>
          <w:tcPr>
            <w:tcW w:w="1134" w:type="dxa"/>
            <w:tcBorders>
              <w:top w:val="nil"/>
              <w:left w:val="nil"/>
              <w:bottom w:val="single" w:sz="8" w:space="0" w:color="auto"/>
              <w:right w:val="single" w:sz="12" w:space="0" w:color="auto"/>
            </w:tcBorders>
          </w:tcPr>
          <w:p w14:paraId="3762083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46E1091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Martin, 1986</w:t>
            </w:r>
          </w:p>
        </w:tc>
      </w:tr>
      <w:tr w:rsidR="00632208" w:rsidRPr="0098635C" w14:paraId="5C38351E" w14:textId="77777777" w:rsidTr="00A432B0">
        <w:trPr>
          <w:trHeight w:val="64"/>
        </w:trPr>
        <w:tc>
          <w:tcPr>
            <w:tcW w:w="1402" w:type="dxa"/>
            <w:tcBorders>
              <w:top w:val="nil"/>
              <w:left w:val="single" w:sz="8" w:space="0" w:color="auto"/>
              <w:bottom w:val="single" w:sz="8" w:space="0" w:color="auto"/>
              <w:right w:val="single" w:sz="8" w:space="0" w:color="auto"/>
            </w:tcBorders>
          </w:tcPr>
          <w:p w14:paraId="4F1258CD"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Aporrectodea caliginosa</w:t>
            </w:r>
          </w:p>
        </w:tc>
        <w:tc>
          <w:tcPr>
            <w:tcW w:w="1276" w:type="dxa"/>
            <w:tcBorders>
              <w:top w:val="nil"/>
              <w:left w:val="nil"/>
              <w:bottom w:val="single" w:sz="8" w:space="0" w:color="auto"/>
              <w:right w:val="single" w:sz="8" w:space="0" w:color="auto"/>
            </w:tcBorders>
          </w:tcPr>
          <w:p w14:paraId="0DE59EF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Sandy soil</w:t>
            </w:r>
          </w:p>
        </w:tc>
        <w:tc>
          <w:tcPr>
            <w:tcW w:w="709" w:type="dxa"/>
            <w:tcBorders>
              <w:top w:val="nil"/>
              <w:left w:val="nil"/>
              <w:bottom w:val="single" w:sz="8" w:space="0" w:color="auto"/>
              <w:right w:val="single" w:sz="8" w:space="0" w:color="auto"/>
            </w:tcBorders>
          </w:tcPr>
          <w:p w14:paraId="3D114D0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4.8-5.2</w:t>
            </w:r>
          </w:p>
        </w:tc>
        <w:tc>
          <w:tcPr>
            <w:tcW w:w="708" w:type="dxa"/>
            <w:tcBorders>
              <w:top w:val="nil"/>
              <w:left w:val="nil"/>
              <w:bottom w:val="single" w:sz="8" w:space="0" w:color="auto"/>
              <w:right w:val="single" w:sz="8" w:space="0" w:color="auto"/>
            </w:tcBorders>
          </w:tcPr>
          <w:p w14:paraId="5BC55F8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04-Jun</w:t>
            </w:r>
          </w:p>
        </w:tc>
        <w:tc>
          <w:tcPr>
            <w:tcW w:w="709" w:type="dxa"/>
            <w:tcBorders>
              <w:top w:val="nil"/>
              <w:left w:val="nil"/>
              <w:bottom w:val="single" w:sz="8" w:space="0" w:color="auto"/>
              <w:right w:val="single" w:sz="8" w:space="0" w:color="auto"/>
            </w:tcBorders>
          </w:tcPr>
          <w:p w14:paraId="3DEDE72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02-Apr</w:t>
            </w:r>
          </w:p>
        </w:tc>
        <w:tc>
          <w:tcPr>
            <w:tcW w:w="851" w:type="dxa"/>
            <w:tcBorders>
              <w:top w:val="nil"/>
              <w:left w:val="nil"/>
              <w:bottom w:val="single" w:sz="8" w:space="0" w:color="auto"/>
              <w:right w:val="single" w:sz="8" w:space="0" w:color="auto"/>
            </w:tcBorders>
          </w:tcPr>
          <w:p w14:paraId="6AC89BDA"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10.7</w:t>
            </w:r>
          </w:p>
        </w:tc>
        <w:tc>
          <w:tcPr>
            <w:tcW w:w="850" w:type="dxa"/>
            <w:tcBorders>
              <w:top w:val="nil"/>
              <w:left w:val="nil"/>
              <w:bottom w:val="single" w:sz="8" w:space="0" w:color="auto"/>
              <w:right w:val="single" w:sz="8" w:space="0" w:color="auto"/>
            </w:tcBorders>
          </w:tcPr>
          <w:p w14:paraId="2D0FE33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single" w:sz="8" w:space="0" w:color="auto"/>
              <w:right w:val="single" w:sz="8" w:space="0" w:color="auto"/>
            </w:tcBorders>
          </w:tcPr>
          <w:p w14:paraId="558DB4D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385F647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nil"/>
              <w:left w:val="nil"/>
              <w:bottom w:val="single" w:sz="8" w:space="0" w:color="auto"/>
              <w:right w:val="single" w:sz="8" w:space="0" w:color="auto"/>
            </w:tcBorders>
          </w:tcPr>
          <w:p w14:paraId="3E9ED4B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r(cp)</w:t>
            </w:r>
          </w:p>
        </w:tc>
        <w:tc>
          <w:tcPr>
            <w:tcW w:w="851" w:type="dxa"/>
            <w:tcBorders>
              <w:top w:val="nil"/>
              <w:left w:val="nil"/>
              <w:bottom w:val="single" w:sz="8" w:space="0" w:color="auto"/>
              <w:right w:val="single" w:sz="8" w:space="0" w:color="auto"/>
            </w:tcBorders>
          </w:tcPr>
          <w:p w14:paraId="6E53715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27</w:t>
            </w:r>
          </w:p>
        </w:tc>
        <w:tc>
          <w:tcPr>
            <w:tcW w:w="1134" w:type="dxa"/>
            <w:tcBorders>
              <w:top w:val="nil"/>
              <w:left w:val="nil"/>
              <w:bottom w:val="single" w:sz="8" w:space="0" w:color="auto"/>
              <w:right w:val="single" w:sz="8" w:space="0" w:color="auto"/>
            </w:tcBorders>
          </w:tcPr>
          <w:p w14:paraId="12309A1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6D93F25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37.7</w:t>
            </w:r>
          </w:p>
        </w:tc>
        <w:tc>
          <w:tcPr>
            <w:tcW w:w="1134" w:type="dxa"/>
            <w:tcBorders>
              <w:top w:val="nil"/>
              <w:left w:val="nil"/>
              <w:bottom w:val="single" w:sz="8" w:space="0" w:color="auto"/>
              <w:right w:val="single" w:sz="12" w:space="0" w:color="auto"/>
            </w:tcBorders>
          </w:tcPr>
          <w:p w14:paraId="5FC5D8B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4417B2E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Ma, 1988</w:t>
            </w:r>
          </w:p>
        </w:tc>
      </w:tr>
      <w:tr w:rsidR="00632208" w:rsidRPr="0098635C" w14:paraId="23BBD39A" w14:textId="77777777" w:rsidTr="00A432B0">
        <w:trPr>
          <w:trHeight w:val="155"/>
        </w:trPr>
        <w:tc>
          <w:tcPr>
            <w:tcW w:w="1402" w:type="dxa"/>
            <w:tcBorders>
              <w:top w:val="nil"/>
              <w:left w:val="single" w:sz="8" w:space="0" w:color="auto"/>
              <w:bottom w:val="single" w:sz="8" w:space="0" w:color="auto"/>
              <w:right w:val="single" w:sz="8" w:space="0" w:color="auto"/>
            </w:tcBorders>
          </w:tcPr>
          <w:p w14:paraId="735AA5DF"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Aporrectodea caliginosa</w:t>
            </w:r>
          </w:p>
        </w:tc>
        <w:tc>
          <w:tcPr>
            <w:tcW w:w="1276" w:type="dxa"/>
            <w:tcBorders>
              <w:top w:val="nil"/>
              <w:left w:val="nil"/>
              <w:bottom w:val="single" w:sz="8" w:space="0" w:color="auto"/>
              <w:right w:val="single" w:sz="8" w:space="0" w:color="auto"/>
            </w:tcBorders>
          </w:tcPr>
          <w:p w14:paraId="779A646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Non-EU soil</w:t>
            </w:r>
          </w:p>
        </w:tc>
        <w:tc>
          <w:tcPr>
            <w:tcW w:w="709" w:type="dxa"/>
            <w:tcBorders>
              <w:top w:val="nil"/>
              <w:left w:val="nil"/>
              <w:bottom w:val="single" w:sz="8" w:space="0" w:color="auto"/>
              <w:right w:val="single" w:sz="8" w:space="0" w:color="auto"/>
            </w:tcBorders>
          </w:tcPr>
          <w:p w14:paraId="7909CD8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7.05</w:t>
            </w:r>
          </w:p>
        </w:tc>
        <w:tc>
          <w:tcPr>
            <w:tcW w:w="708" w:type="dxa"/>
            <w:tcBorders>
              <w:top w:val="nil"/>
              <w:left w:val="nil"/>
              <w:bottom w:val="single" w:sz="8" w:space="0" w:color="auto"/>
              <w:right w:val="single" w:sz="8" w:space="0" w:color="auto"/>
            </w:tcBorders>
          </w:tcPr>
          <w:p w14:paraId="081FA53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21.6</w:t>
            </w:r>
          </w:p>
        </w:tc>
        <w:tc>
          <w:tcPr>
            <w:tcW w:w="709" w:type="dxa"/>
            <w:tcBorders>
              <w:top w:val="nil"/>
              <w:left w:val="nil"/>
              <w:bottom w:val="single" w:sz="8" w:space="0" w:color="auto"/>
              <w:right w:val="single" w:sz="8" w:space="0" w:color="auto"/>
            </w:tcBorders>
          </w:tcPr>
          <w:p w14:paraId="411206B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6B98B594"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10.7</w:t>
            </w:r>
          </w:p>
        </w:tc>
        <w:tc>
          <w:tcPr>
            <w:tcW w:w="850" w:type="dxa"/>
            <w:tcBorders>
              <w:top w:val="nil"/>
              <w:left w:val="nil"/>
              <w:bottom w:val="single" w:sz="8" w:space="0" w:color="auto"/>
              <w:right w:val="single" w:sz="8" w:space="0" w:color="auto"/>
            </w:tcBorders>
          </w:tcPr>
          <w:p w14:paraId="5C7AEED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single" w:sz="8" w:space="0" w:color="auto"/>
              <w:right w:val="single" w:sz="8" w:space="0" w:color="auto"/>
            </w:tcBorders>
          </w:tcPr>
          <w:p w14:paraId="7328B21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7B4551A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42</w:t>
            </w:r>
          </w:p>
        </w:tc>
        <w:tc>
          <w:tcPr>
            <w:tcW w:w="992" w:type="dxa"/>
            <w:tcBorders>
              <w:top w:val="nil"/>
              <w:left w:val="nil"/>
              <w:bottom w:val="single" w:sz="8" w:space="0" w:color="auto"/>
              <w:right w:val="single" w:sz="8" w:space="0" w:color="auto"/>
            </w:tcBorders>
          </w:tcPr>
          <w:p w14:paraId="2D5B6FE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g</w:t>
            </w:r>
          </w:p>
        </w:tc>
        <w:tc>
          <w:tcPr>
            <w:tcW w:w="851" w:type="dxa"/>
            <w:tcBorders>
              <w:top w:val="nil"/>
              <w:left w:val="nil"/>
              <w:bottom w:val="single" w:sz="8" w:space="0" w:color="auto"/>
              <w:right w:val="single" w:sz="8" w:space="0" w:color="auto"/>
            </w:tcBorders>
          </w:tcPr>
          <w:p w14:paraId="27E1D0B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1134" w:type="dxa"/>
            <w:tcBorders>
              <w:top w:val="nil"/>
              <w:left w:val="nil"/>
              <w:bottom w:val="single" w:sz="8" w:space="0" w:color="auto"/>
              <w:right w:val="single" w:sz="8" w:space="0" w:color="auto"/>
            </w:tcBorders>
          </w:tcPr>
          <w:p w14:paraId="1D10820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1D590AF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35.7</w:t>
            </w:r>
          </w:p>
        </w:tc>
        <w:tc>
          <w:tcPr>
            <w:tcW w:w="1134" w:type="dxa"/>
            <w:tcBorders>
              <w:top w:val="nil"/>
              <w:left w:val="nil"/>
              <w:bottom w:val="single" w:sz="8" w:space="0" w:color="auto"/>
              <w:right w:val="single" w:sz="12" w:space="0" w:color="auto"/>
            </w:tcBorders>
          </w:tcPr>
          <w:p w14:paraId="7C06064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0E2B071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Khalil et al., 1996a and b</w:t>
            </w:r>
          </w:p>
        </w:tc>
      </w:tr>
      <w:tr w:rsidR="00632208" w:rsidRPr="0098635C" w14:paraId="6374C2F1" w14:textId="77777777" w:rsidTr="00A432B0">
        <w:trPr>
          <w:trHeight w:val="189"/>
        </w:trPr>
        <w:tc>
          <w:tcPr>
            <w:tcW w:w="1402" w:type="dxa"/>
            <w:tcBorders>
              <w:top w:val="nil"/>
              <w:left w:val="single" w:sz="8" w:space="0" w:color="auto"/>
              <w:bottom w:val="single" w:sz="8" w:space="0" w:color="auto"/>
              <w:right w:val="single" w:sz="8" w:space="0" w:color="auto"/>
            </w:tcBorders>
          </w:tcPr>
          <w:p w14:paraId="77B1710A"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Aporrectodea caliginosa</w:t>
            </w:r>
          </w:p>
        </w:tc>
        <w:tc>
          <w:tcPr>
            <w:tcW w:w="1276" w:type="dxa"/>
            <w:tcBorders>
              <w:top w:val="nil"/>
              <w:left w:val="nil"/>
              <w:bottom w:val="single" w:sz="8" w:space="0" w:color="auto"/>
              <w:right w:val="single" w:sz="8" w:space="0" w:color="auto"/>
            </w:tcBorders>
          </w:tcPr>
          <w:p w14:paraId="6D4A926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Non-EU soil</w:t>
            </w:r>
          </w:p>
        </w:tc>
        <w:tc>
          <w:tcPr>
            <w:tcW w:w="709" w:type="dxa"/>
            <w:tcBorders>
              <w:top w:val="nil"/>
              <w:left w:val="nil"/>
              <w:bottom w:val="single" w:sz="8" w:space="0" w:color="auto"/>
              <w:right w:val="single" w:sz="8" w:space="0" w:color="auto"/>
            </w:tcBorders>
          </w:tcPr>
          <w:p w14:paraId="60DE75E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7.05</w:t>
            </w:r>
          </w:p>
        </w:tc>
        <w:tc>
          <w:tcPr>
            <w:tcW w:w="708" w:type="dxa"/>
            <w:tcBorders>
              <w:top w:val="nil"/>
              <w:left w:val="nil"/>
              <w:bottom w:val="single" w:sz="8" w:space="0" w:color="auto"/>
              <w:right w:val="single" w:sz="8" w:space="0" w:color="auto"/>
            </w:tcBorders>
          </w:tcPr>
          <w:p w14:paraId="515E9AC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21.6</w:t>
            </w:r>
          </w:p>
        </w:tc>
        <w:tc>
          <w:tcPr>
            <w:tcW w:w="709" w:type="dxa"/>
            <w:tcBorders>
              <w:top w:val="nil"/>
              <w:left w:val="nil"/>
              <w:bottom w:val="single" w:sz="8" w:space="0" w:color="auto"/>
              <w:right w:val="single" w:sz="8" w:space="0" w:color="auto"/>
            </w:tcBorders>
          </w:tcPr>
          <w:p w14:paraId="3563A48C"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851" w:type="dxa"/>
            <w:tcBorders>
              <w:top w:val="nil"/>
              <w:left w:val="nil"/>
              <w:bottom w:val="single" w:sz="8" w:space="0" w:color="auto"/>
              <w:right w:val="single" w:sz="8" w:space="0" w:color="auto"/>
            </w:tcBorders>
          </w:tcPr>
          <w:p w14:paraId="4AAC5ECF"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10.7</w:t>
            </w:r>
          </w:p>
        </w:tc>
        <w:tc>
          <w:tcPr>
            <w:tcW w:w="850" w:type="dxa"/>
            <w:tcBorders>
              <w:top w:val="nil"/>
              <w:left w:val="nil"/>
              <w:bottom w:val="single" w:sz="8" w:space="0" w:color="auto"/>
              <w:right w:val="single" w:sz="8" w:space="0" w:color="auto"/>
            </w:tcBorders>
          </w:tcPr>
          <w:p w14:paraId="51BDFDC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single" w:sz="8" w:space="0" w:color="auto"/>
              <w:right w:val="single" w:sz="8" w:space="0" w:color="auto"/>
            </w:tcBorders>
          </w:tcPr>
          <w:p w14:paraId="00BD4ED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7986C45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56</w:t>
            </w:r>
          </w:p>
        </w:tc>
        <w:tc>
          <w:tcPr>
            <w:tcW w:w="992" w:type="dxa"/>
            <w:tcBorders>
              <w:top w:val="nil"/>
              <w:left w:val="nil"/>
              <w:bottom w:val="single" w:sz="8" w:space="0" w:color="auto"/>
              <w:right w:val="single" w:sz="8" w:space="0" w:color="auto"/>
            </w:tcBorders>
          </w:tcPr>
          <w:p w14:paraId="4226C12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r(cp)</w:t>
            </w:r>
          </w:p>
        </w:tc>
        <w:tc>
          <w:tcPr>
            <w:tcW w:w="851" w:type="dxa"/>
            <w:tcBorders>
              <w:top w:val="nil"/>
              <w:left w:val="nil"/>
              <w:bottom w:val="single" w:sz="8" w:space="0" w:color="auto"/>
              <w:right w:val="single" w:sz="8" w:space="0" w:color="auto"/>
            </w:tcBorders>
          </w:tcPr>
          <w:p w14:paraId="63CBE2A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w:t>
            </w:r>
          </w:p>
        </w:tc>
        <w:tc>
          <w:tcPr>
            <w:tcW w:w="1134" w:type="dxa"/>
            <w:tcBorders>
              <w:top w:val="nil"/>
              <w:left w:val="nil"/>
              <w:bottom w:val="single" w:sz="8" w:space="0" w:color="auto"/>
              <w:right w:val="single" w:sz="8" w:space="0" w:color="auto"/>
            </w:tcBorders>
          </w:tcPr>
          <w:p w14:paraId="1FC4294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4370F44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80.7</w:t>
            </w:r>
          </w:p>
        </w:tc>
        <w:tc>
          <w:tcPr>
            <w:tcW w:w="1134" w:type="dxa"/>
            <w:tcBorders>
              <w:top w:val="nil"/>
              <w:left w:val="nil"/>
              <w:bottom w:val="single" w:sz="8" w:space="0" w:color="auto"/>
              <w:right w:val="single" w:sz="12" w:space="0" w:color="auto"/>
            </w:tcBorders>
          </w:tcPr>
          <w:p w14:paraId="5F58B71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6975B38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Khalil et al., 1996a and b</w:t>
            </w:r>
          </w:p>
        </w:tc>
      </w:tr>
      <w:tr w:rsidR="00632208" w:rsidRPr="0098635C" w14:paraId="278EB1FC" w14:textId="77777777" w:rsidTr="00A432B0">
        <w:trPr>
          <w:trHeight w:val="521"/>
        </w:trPr>
        <w:tc>
          <w:tcPr>
            <w:tcW w:w="1402" w:type="dxa"/>
            <w:tcBorders>
              <w:top w:val="nil"/>
              <w:left w:val="single" w:sz="8" w:space="0" w:color="auto"/>
              <w:bottom w:val="single" w:sz="8" w:space="0" w:color="auto"/>
              <w:right w:val="single" w:sz="8" w:space="0" w:color="auto"/>
            </w:tcBorders>
          </w:tcPr>
          <w:p w14:paraId="11677849"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Cognettia sphagnetorum</w:t>
            </w:r>
          </w:p>
        </w:tc>
        <w:tc>
          <w:tcPr>
            <w:tcW w:w="1276" w:type="dxa"/>
            <w:tcBorders>
              <w:top w:val="nil"/>
              <w:left w:val="nil"/>
              <w:bottom w:val="single" w:sz="8" w:space="0" w:color="auto"/>
              <w:right w:val="single" w:sz="8" w:space="0" w:color="auto"/>
            </w:tcBorders>
          </w:tcPr>
          <w:p w14:paraId="497E4F1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LUFA 2.2 + peat + fungus</w:t>
            </w:r>
          </w:p>
        </w:tc>
        <w:tc>
          <w:tcPr>
            <w:tcW w:w="709" w:type="dxa"/>
            <w:tcBorders>
              <w:top w:val="nil"/>
              <w:left w:val="nil"/>
              <w:bottom w:val="single" w:sz="8" w:space="0" w:color="auto"/>
              <w:right w:val="single" w:sz="8" w:space="0" w:color="auto"/>
            </w:tcBorders>
          </w:tcPr>
          <w:p w14:paraId="0DAD765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4.1</w:t>
            </w:r>
          </w:p>
        </w:tc>
        <w:tc>
          <w:tcPr>
            <w:tcW w:w="708" w:type="dxa"/>
            <w:tcBorders>
              <w:top w:val="nil"/>
              <w:left w:val="nil"/>
              <w:bottom w:val="single" w:sz="8" w:space="0" w:color="auto"/>
              <w:right w:val="single" w:sz="8" w:space="0" w:color="auto"/>
            </w:tcBorders>
          </w:tcPr>
          <w:p w14:paraId="52A1653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66</w:t>
            </w:r>
          </w:p>
        </w:tc>
        <w:tc>
          <w:tcPr>
            <w:tcW w:w="709" w:type="dxa"/>
            <w:tcBorders>
              <w:top w:val="nil"/>
              <w:left w:val="nil"/>
              <w:bottom w:val="single" w:sz="8" w:space="0" w:color="auto"/>
              <w:right w:val="single" w:sz="8" w:space="0" w:color="auto"/>
            </w:tcBorders>
          </w:tcPr>
          <w:p w14:paraId="14B4834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5.1</w:t>
            </w:r>
          </w:p>
        </w:tc>
        <w:tc>
          <w:tcPr>
            <w:tcW w:w="851" w:type="dxa"/>
            <w:tcBorders>
              <w:top w:val="nil"/>
              <w:left w:val="nil"/>
              <w:bottom w:val="single" w:sz="8" w:space="0" w:color="auto"/>
              <w:right w:val="single" w:sz="8" w:space="0" w:color="auto"/>
            </w:tcBorders>
          </w:tcPr>
          <w:p w14:paraId="6C1D69F9"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10.7</w:t>
            </w:r>
          </w:p>
        </w:tc>
        <w:tc>
          <w:tcPr>
            <w:tcW w:w="850" w:type="dxa"/>
            <w:tcBorders>
              <w:top w:val="nil"/>
              <w:left w:val="nil"/>
              <w:bottom w:val="single" w:sz="8" w:space="0" w:color="auto"/>
              <w:right w:val="single" w:sz="8" w:space="0" w:color="auto"/>
            </w:tcBorders>
          </w:tcPr>
          <w:p w14:paraId="3F776939"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60.6</w:t>
            </w:r>
          </w:p>
        </w:tc>
        <w:tc>
          <w:tcPr>
            <w:tcW w:w="992" w:type="dxa"/>
            <w:tcBorders>
              <w:top w:val="nil"/>
              <w:left w:val="nil"/>
              <w:bottom w:val="single" w:sz="8" w:space="0" w:color="auto"/>
              <w:right w:val="single" w:sz="8" w:space="0" w:color="auto"/>
            </w:tcBorders>
          </w:tcPr>
          <w:p w14:paraId="630C7B9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70EEE99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63</w:t>
            </w:r>
          </w:p>
        </w:tc>
        <w:tc>
          <w:tcPr>
            <w:tcW w:w="992" w:type="dxa"/>
            <w:tcBorders>
              <w:top w:val="nil"/>
              <w:left w:val="nil"/>
              <w:bottom w:val="single" w:sz="8" w:space="0" w:color="auto"/>
              <w:right w:val="single" w:sz="8" w:space="0" w:color="auto"/>
            </w:tcBorders>
          </w:tcPr>
          <w:p w14:paraId="1883F82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g</w:t>
            </w:r>
          </w:p>
        </w:tc>
        <w:tc>
          <w:tcPr>
            <w:tcW w:w="851" w:type="dxa"/>
            <w:tcBorders>
              <w:top w:val="nil"/>
              <w:left w:val="nil"/>
              <w:bottom w:val="single" w:sz="8" w:space="0" w:color="auto"/>
              <w:right w:val="single" w:sz="8" w:space="0" w:color="auto"/>
            </w:tcBorders>
          </w:tcPr>
          <w:p w14:paraId="19D305B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1134" w:type="dxa"/>
            <w:tcBorders>
              <w:top w:val="nil"/>
              <w:left w:val="nil"/>
              <w:bottom w:val="single" w:sz="8" w:space="0" w:color="auto"/>
              <w:right w:val="single" w:sz="8" w:space="0" w:color="auto"/>
            </w:tcBorders>
          </w:tcPr>
          <w:p w14:paraId="4F8E533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221BE8E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30.7</w:t>
            </w:r>
          </w:p>
        </w:tc>
        <w:tc>
          <w:tcPr>
            <w:tcW w:w="1134" w:type="dxa"/>
            <w:tcBorders>
              <w:top w:val="nil"/>
              <w:left w:val="nil"/>
              <w:bottom w:val="single" w:sz="8" w:space="0" w:color="auto"/>
              <w:right w:val="single" w:sz="12" w:space="0" w:color="auto"/>
            </w:tcBorders>
          </w:tcPr>
          <w:p w14:paraId="23C2EA6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07A6DD9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Augustsson and Rundgren, 1998</w:t>
            </w:r>
          </w:p>
        </w:tc>
      </w:tr>
      <w:tr w:rsidR="00632208" w:rsidRPr="0098635C" w14:paraId="538E0D9E" w14:textId="77777777" w:rsidTr="00A432B0">
        <w:trPr>
          <w:trHeight w:val="259"/>
        </w:trPr>
        <w:tc>
          <w:tcPr>
            <w:tcW w:w="1402" w:type="dxa"/>
            <w:tcBorders>
              <w:top w:val="nil"/>
              <w:left w:val="single" w:sz="8" w:space="0" w:color="auto"/>
              <w:bottom w:val="single" w:sz="8" w:space="0" w:color="auto"/>
              <w:right w:val="single" w:sz="8" w:space="0" w:color="auto"/>
            </w:tcBorders>
          </w:tcPr>
          <w:p w14:paraId="284ECDC4"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Cognettia sphagnetorum</w:t>
            </w:r>
          </w:p>
        </w:tc>
        <w:tc>
          <w:tcPr>
            <w:tcW w:w="1276" w:type="dxa"/>
            <w:tcBorders>
              <w:top w:val="nil"/>
              <w:left w:val="nil"/>
              <w:bottom w:val="single" w:sz="8" w:space="0" w:color="auto"/>
              <w:right w:val="single" w:sz="8" w:space="0" w:color="auto"/>
            </w:tcBorders>
          </w:tcPr>
          <w:p w14:paraId="72389B0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LUFA 2.2 + peat + fungus</w:t>
            </w:r>
          </w:p>
        </w:tc>
        <w:tc>
          <w:tcPr>
            <w:tcW w:w="709" w:type="dxa"/>
            <w:tcBorders>
              <w:top w:val="nil"/>
              <w:left w:val="nil"/>
              <w:bottom w:val="single" w:sz="8" w:space="0" w:color="auto"/>
              <w:right w:val="single" w:sz="8" w:space="0" w:color="auto"/>
            </w:tcBorders>
          </w:tcPr>
          <w:p w14:paraId="00A0A96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4.1</w:t>
            </w:r>
          </w:p>
        </w:tc>
        <w:tc>
          <w:tcPr>
            <w:tcW w:w="708" w:type="dxa"/>
            <w:tcBorders>
              <w:top w:val="nil"/>
              <w:left w:val="nil"/>
              <w:bottom w:val="single" w:sz="8" w:space="0" w:color="auto"/>
              <w:right w:val="single" w:sz="8" w:space="0" w:color="auto"/>
            </w:tcBorders>
          </w:tcPr>
          <w:p w14:paraId="2E8E7A2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66</w:t>
            </w:r>
          </w:p>
        </w:tc>
        <w:tc>
          <w:tcPr>
            <w:tcW w:w="709" w:type="dxa"/>
            <w:tcBorders>
              <w:top w:val="nil"/>
              <w:left w:val="nil"/>
              <w:bottom w:val="single" w:sz="8" w:space="0" w:color="auto"/>
              <w:right w:val="single" w:sz="8" w:space="0" w:color="auto"/>
            </w:tcBorders>
          </w:tcPr>
          <w:p w14:paraId="2AF0FF7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5.1</w:t>
            </w:r>
          </w:p>
        </w:tc>
        <w:tc>
          <w:tcPr>
            <w:tcW w:w="851" w:type="dxa"/>
            <w:tcBorders>
              <w:top w:val="nil"/>
              <w:left w:val="nil"/>
              <w:bottom w:val="single" w:sz="8" w:space="0" w:color="auto"/>
              <w:right w:val="single" w:sz="8" w:space="0" w:color="auto"/>
            </w:tcBorders>
          </w:tcPr>
          <w:p w14:paraId="7A8445C9"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10.7</w:t>
            </w:r>
          </w:p>
        </w:tc>
        <w:tc>
          <w:tcPr>
            <w:tcW w:w="850" w:type="dxa"/>
            <w:tcBorders>
              <w:top w:val="nil"/>
              <w:left w:val="nil"/>
              <w:bottom w:val="single" w:sz="8" w:space="0" w:color="auto"/>
              <w:right w:val="single" w:sz="8" w:space="0" w:color="auto"/>
            </w:tcBorders>
          </w:tcPr>
          <w:p w14:paraId="3F762D43"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60.6</w:t>
            </w:r>
          </w:p>
        </w:tc>
        <w:tc>
          <w:tcPr>
            <w:tcW w:w="992" w:type="dxa"/>
            <w:tcBorders>
              <w:top w:val="nil"/>
              <w:left w:val="nil"/>
              <w:bottom w:val="single" w:sz="8" w:space="0" w:color="auto"/>
              <w:right w:val="single" w:sz="8" w:space="0" w:color="auto"/>
            </w:tcBorders>
          </w:tcPr>
          <w:p w14:paraId="33B3418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7EE597E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35</w:t>
            </w:r>
          </w:p>
        </w:tc>
        <w:tc>
          <w:tcPr>
            <w:tcW w:w="992" w:type="dxa"/>
            <w:tcBorders>
              <w:top w:val="nil"/>
              <w:left w:val="nil"/>
              <w:bottom w:val="single" w:sz="8" w:space="0" w:color="auto"/>
              <w:right w:val="single" w:sz="8" w:space="0" w:color="auto"/>
            </w:tcBorders>
          </w:tcPr>
          <w:p w14:paraId="490089A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g</w:t>
            </w:r>
          </w:p>
        </w:tc>
        <w:tc>
          <w:tcPr>
            <w:tcW w:w="851" w:type="dxa"/>
            <w:tcBorders>
              <w:top w:val="nil"/>
              <w:left w:val="nil"/>
              <w:bottom w:val="single" w:sz="8" w:space="0" w:color="auto"/>
              <w:right w:val="single" w:sz="8" w:space="0" w:color="auto"/>
            </w:tcBorders>
          </w:tcPr>
          <w:p w14:paraId="34AD8956"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63</w:t>
            </w:r>
          </w:p>
        </w:tc>
        <w:tc>
          <w:tcPr>
            <w:tcW w:w="1134" w:type="dxa"/>
            <w:tcBorders>
              <w:top w:val="nil"/>
              <w:left w:val="nil"/>
              <w:bottom w:val="single" w:sz="8" w:space="0" w:color="auto"/>
              <w:right w:val="single" w:sz="8" w:space="0" w:color="auto"/>
            </w:tcBorders>
          </w:tcPr>
          <w:p w14:paraId="007A6E8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73EEF30D"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73.7</w:t>
            </w:r>
          </w:p>
        </w:tc>
        <w:tc>
          <w:tcPr>
            <w:tcW w:w="1134" w:type="dxa"/>
            <w:tcBorders>
              <w:top w:val="nil"/>
              <w:left w:val="nil"/>
              <w:bottom w:val="single" w:sz="8" w:space="0" w:color="auto"/>
              <w:right w:val="single" w:sz="12" w:space="0" w:color="auto"/>
            </w:tcBorders>
          </w:tcPr>
          <w:p w14:paraId="30EF3AE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64B374A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Augustsson and Rundgren, 1998</w:t>
            </w:r>
          </w:p>
        </w:tc>
      </w:tr>
      <w:tr w:rsidR="00632208" w:rsidRPr="0098635C" w14:paraId="288590ED" w14:textId="77777777" w:rsidTr="00A432B0">
        <w:trPr>
          <w:trHeight w:val="95"/>
        </w:trPr>
        <w:tc>
          <w:tcPr>
            <w:tcW w:w="1402" w:type="dxa"/>
            <w:tcBorders>
              <w:top w:val="nil"/>
              <w:left w:val="single" w:sz="8" w:space="0" w:color="auto"/>
              <w:bottom w:val="single" w:sz="8" w:space="0" w:color="auto"/>
              <w:right w:val="single" w:sz="8" w:space="0" w:color="auto"/>
            </w:tcBorders>
          </w:tcPr>
          <w:p w14:paraId="0BAD4B08"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Cognettia sphagnetorum</w:t>
            </w:r>
          </w:p>
        </w:tc>
        <w:tc>
          <w:tcPr>
            <w:tcW w:w="1276" w:type="dxa"/>
            <w:tcBorders>
              <w:top w:val="nil"/>
              <w:left w:val="nil"/>
              <w:bottom w:val="single" w:sz="8" w:space="0" w:color="auto"/>
              <w:right w:val="single" w:sz="8" w:space="0" w:color="auto"/>
            </w:tcBorders>
          </w:tcPr>
          <w:p w14:paraId="1224233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LUFA 2.2 + peat + algae</w:t>
            </w:r>
          </w:p>
        </w:tc>
        <w:tc>
          <w:tcPr>
            <w:tcW w:w="709" w:type="dxa"/>
            <w:tcBorders>
              <w:top w:val="nil"/>
              <w:left w:val="nil"/>
              <w:bottom w:val="single" w:sz="8" w:space="0" w:color="auto"/>
              <w:right w:val="single" w:sz="8" w:space="0" w:color="auto"/>
            </w:tcBorders>
          </w:tcPr>
          <w:p w14:paraId="0F67960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4.1</w:t>
            </w:r>
          </w:p>
        </w:tc>
        <w:tc>
          <w:tcPr>
            <w:tcW w:w="708" w:type="dxa"/>
            <w:tcBorders>
              <w:top w:val="nil"/>
              <w:left w:val="nil"/>
              <w:bottom w:val="single" w:sz="8" w:space="0" w:color="auto"/>
              <w:right w:val="single" w:sz="8" w:space="0" w:color="auto"/>
            </w:tcBorders>
          </w:tcPr>
          <w:p w14:paraId="13F341F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66</w:t>
            </w:r>
          </w:p>
        </w:tc>
        <w:tc>
          <w:tcPr>
            <w:tcW w:w="709" w:type="dxa"/>
            <w:tcBorders>
              <w:top w:val="nil"/>
              <w:left w:val="nil"/>
              <w:bottom w:val="single" w:sz="8" w:space="0" w:color="auto"/>
              <w:right w:val="single" w:sz="8" w:space="0" w:color="auto"/>
            </w:tcBorders>
          </w:tcPr>
          <w:p w14:paraId="763770A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5.1</w:t>
            </w:r>
          </w:p>
        </w:tc>
        <w:tc>
          <w:tcPr>
            <w:tcW w:w="851" w:type="dxa"/>
            <w:tcBorders>
              <w:top w:val="nil"/>
              <w:left w:val="nil"/>
              <w:bottom w:val="single" w:sz="8" w:space="0" w:color="auto"/>
              <w:right w:val="single" w:sz="8" w:space="0" w:color="auto"/>
            </w:tcBorders>
          </w:tcPr>
          <w:p w14:paraId="47E8DC01"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10.7</w:t>
            </w:r>
          </w:p>
        </w:tc>
        <w:tc>
          <w:tcPr>
            <w:tcW w:w="850" w:type="dxa"/>
            <w:tcBorders>
              <w:top w:val="nil"/>
              <w:left w:val="nil"/>
              <w:bottom w:val="single" w:sz="8" w:space="0" w:color="auto"/>
              <w:right w:val="single" w:sz="8" w:space="0" w:color="auto"/>
            </w:tcBorders>
          </w:tcPr>
          <w:p w14:paraId="4B4CF498"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60.6</w:t>
            </w:r>
          </w:p>
        </w:tc>
        <w:tc>
          <w:tcPr>
            <w:tcW w:w="992" w:type="dxa"/>
            <w:tcBorders>
              <w:top w:val="nil"/>
              <w:left w:val="nil"/>
              <w:bottom w:val="single" w:sz="8" w:space="0" w:color="auto"/>
              <w:right w:val="single" w:sz="8" w:space="0" w:color="auto"/>
            </w:tcBorders>
          </w:tcPr>
          <w:p w14:paraId="62504A1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3D36B97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63</w:t>
            </w:r>
          </w:p>
        </w:tc>
        <w:tc>
          <w:tcPr>
            <w:tcW w:w="992" w:type="dxa"/>
            <w:tcBorders>
              <w:top w:val="nil"/>
              <w:left w:val="nil"/>
              <w:bottom w:val="single" w:sz="8" w:space="0" w:color="auto"/>
              <w:right w:val="single" w:sz="8" w:space="0" w:color="auto"/>
            </w:tcBorders>
          </w:tcPr>
          <w:p w14:paraId="77758F5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g</w:t>
            </w:r>
          </w:p>
        </w:tc>
        <w:tc>
          <w:tcPr>
            <w:tcW w:w="851" w:type="dxa"/>
            <w:tcBorders>
              <w:top w:val="nil"/>
              <w:left w:val="nil"/>
              <w:bottom w:val="single" w:sz="8" w:space="0" w:color="auto"/>
              <w:right w:val="single" w:sz="8" w:space="0" w:color="auto"/>
            </w:tcBorders>
          </w:tcPr>
          <w:p w14:paraId="74084A7A"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441</w:t>
            </w:r>
          </w:p>
        </w:tc>
        <w:tc>
          <w:tcPr>
            <w:tcW w:w="1134" w:type="dxa"/>
            <w:tcBorders>
              <w:top w:val="nil"/>
              <w:left w:val="nil"/>
              <w:bottom w:val="single" w:sz="8" w:space="0" w:color="auto"/>
              <w:right w:val="single" w:sz="8" w:space="0" w:color="auto"/>
            </w:tcBorders>
          </w:tcPr>
          <w:p w14:paraId="7D1E16B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065B4A93"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451.7</w:t>
            </w:r>
          </w:p>
        </w:tc>
        <w:tc>
          <w:tcPr>
            <w:tcW w:w="1134" w:type="dxa"/>
            <w:tcBorders>
              <w:top w:val="nil"/>
              <w:left w:val="nil"/>
              <w:bottom w:val="single" w:sz="8" w:space="0" w:color="auto"/>
              <w:right w:val="single" w:sz="12" w:space="0" w:color="auto"/>
            </w:tcBorders>
          </w:tcPr>
          <w:p w14:paraId="77488AE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3505547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Augustsson and Rundgren, 1998</w:t>
            </w:r>
          </w:p>
        </w:tc>
      </w:tr>
      <w:tr w:rsidR="00632208" w:rsidRPr="0098635C" w14:paraId="2D0AD814" w14:textId="77777777" w:rsidTr="00A432B0">
        <w:trPr>
          <w:trHeight w:val="122"/>
        </w:trPr>
        <w:tc>
          <w:tcPr>
            <w:tcW w:w="1402" w:type="dxa"/>
            <w:tcBorders>
              <w:top w:val="nil"/>
              <w:left w:val="single" w:sz="8" w:space="0" w:color="auto"/>
              <w:bottom w:val="single" w:sz="8" w:space="0" w:color="auto"/>
              <w:right w:val="single" w:sz="8" w:space="0" w:color="auto"/>
            </w:tcBorders>
          </w:tcPr>
          <w:p w14:paraId="2715A313"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lastRenderedPageBreak/>
              <w:t>Cognettia sphagnetorum</w:t>
            </w:r>
          </w:p>
        </w:tc>
        <w:tc>
          <w:tcPr>
            <w:tcW w:w="1276" w:type="dxa"/>
            <w:tcBorders>
              <w:top w:val="nil"/>
              <w:left w:val="nil"/>
              <w:bottom w:val="single" w:sz="8" w:space="0" w:color="auto"/>
              <w:right w:val="single" w:sz="8" w:space="0" w:color="auto"/>
            </w:tcBorders>
          </w:tcPr>
          <w:p w14:paraId="041DD49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LUFA 2.2 + peat + algae</w:t>
            </w:r>
          </w:p>
        </w:tc>
        <w:tc>
          <w:tcPr>
            <w:tcW w:w="709" w:type="dxa"/>
            <w:tcBorders>
              <w:top w:val="nil"/>
              <w:left w:val="nil"/>
              <w:bottom w:val="single" w:sz="8" w:space="0" w:color="auto"/>
              <w:right w:val="single" w:sz="8" w:space="0" w:color="auto"/>
            </w:tcBorders>
          </w:tcPr>
          <w:p w14:paraId="0772542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4.1</w:t>
            </w:r>
          </w:p>
        </w:tc>
        <w:tc>
          <w:tcPr>
            <w:tcW w:w="708" w:type="dxa"/>
            <w:tcBorders>
              <w:top w:val="nil"/>
              <w:left w:val="nil"/>
              <w:bottom w:val="single" w:sz="8" w:space="0" w:color="auto"/>
              <w:right w:val="single" w:sz="8" w:space="0" w:color="auto"/>
            </w:tcBorders>
          </w:tcPr>
          <w:p w14:paraId="4813B3E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66</w:t>
            </w:r>
          </w:p>
        </w:tc>
        <w:tc>
          <w:tcPr>
            <w:tcW w:w="709" w:type="dxa"/>
            <w:tcBorders>
              <w:top w:val="nil"/>
              <w:left w:val="nil"/>
              <w:bottom w:val="single" w:sz="8" w:space="0" w:color="auto"/>
              <w:right w:val="single" w:sz="8" w:space="0" w:color="auto"/>
            </w:tcBorders>
          </w:tcPr>
          <w:p w14:paraId="36E8E32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5.1</w:t>
            </w:r>
          </w:p>
        </w:tc>
        <w:tc>
          <w:tcPr>
            <w:tcW w:w="851" w:type="dxa"/>
            <w:tcBorders>
              <w:top w:val="nil"/>
              <w:left w:val="nil"/>
              <w:bottom w:val="single" w:sz="8" w:space="0" w:color="auto"/>
              <w:right w:val="single" w:sz="8" w:space="0" w:color="auto"/>
            </w:tcBorders>
          </w:tcPr>
          <w:p w14:paraId="1F5E56C3"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10.7</w:t>
            </w:r>
          </w:p>
        </w:tc>
        <w:tc>
          <w:tcPr>
            <w:tcW w:w="850" w:type="dxa"/>
            <w:tcBorders>
              <w:top w:val="nil"/>
              <w:left w:val="nil"/>
              <w:bottom w:val="single" w:sz="8" w:space="0" w:color="auto"/>
              <w:right w:val="single" w:sz="8" w:space="0" w:color="auto"/>
            </w:tcBorders>
          </w:tcPr>
          <w:p w14:paraId="01332E4A"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60.6</w:t>
            </w:r>
          </w:p>
        </w:tc>
        <w:tc>
          <w:tcPr>
            <w:tcW w:w="992" w:type="dxa"/>
            <w:tcBorders>
              <w:top w:val="nil"/>
              <w:left w:val="nil"/>
              <w:bottom w:val="single" w:sz="8" w:space="0" w:color="auto"/>
              <w:right w:val="single" w:sz="8" w:space="0" w:color="auto"/>
            </w:tcBorders>
          </w:tcPr>
          <w:p w14:paraId="2383903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09417FA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42</w:t>
            </w:r>
          </w:p>
        </w:tc>
        <w:tc>
          <w:tcPr>
            <w:tcW w:w="992" w:type="dxa"/>
            <w:tcBorders>
              <w:top w:val="nil"/>
              <w:left w:val="nil"/>
              <w:bottom w:val="single" w:sz="8" w:space="0" w:color="auto"/>
              <w:right w:val="single" w:sz="8" w:space="0" w:color="auto"/>
            </w:tcBorders>
          </w:tcPr>
          <w:p w14:paraId="30CBFD6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g</w:t>
            </w:r>
          </w:p>
        </w:tc>
        <w:tc>
          <w:tcPr>
            <w:tcW w:w="851" w:type="dxa"/>
            <w:tcBorders>
              <w:top w:val="nil"/>
              <w:left w:val="nil"/>
              <w:bottom w:val="single" w:sz="8" w:space="0" w:color="auto"/>
              <w:right w:val="single" w:sz="8" w:space="0" w:color="auto"/>
            </w:tcBorders>
          </w:tcPr>
          <w:p w14:paraId="1CC64489"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312</w:t>
            </w:r>
          </w:p>
        </w:tc>
        <w:tc>
          <w:tcPr>
            <w:tcW w:w="1134" w:type="dxa"/>
            <w:tcBorders>
              <w:top w:val="nil"/>
              <w:left w:val="nil"/>
              <w:bottom w:val="single" w:sz="8" w:space="0" w:color="auto"/>
              <w:right w:val="single" w:sz="8" w:space="0" w:color="auto"/>
            </w:tcBorders>
          </w:tcPr>
          <w:p w14:paraId="7D3FF63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19D6D978"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322.7</w:t>
            </w:r>
          </w:p>
        </w:tc>
        <w:tc>
          <w:tcPr>
            <w:tcW w:w="1134" w:type="dxa"/>
            <w:tcBorders>
              <w:top w:val="nil"/>
              <w:left w:val="nil"/>
              <w:bottom w:val="single" w:sz="8" w:space="0" w:color="auto"/>
              <w:right w:val="single" w:sz="12" w:space="0" w:color="auto"/>
            </w:tcBorders>
          </w:tcPr>
          <w:p w14:paraId="6261952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54A3DAB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Augustsson and Rundgren, 1998</w:t>
            </w:r>
          </w:p>
        </w:tc>
      </w:tr>
      <w:tr w:rsidR="00632208" w:rsidRPr="0098635C" w14:paraId="015B3D9A" w14:textId="77777777" w:rsidTr="00A432B0">
        <w:trPr>
          <w:trHeight w:val="168"/>
        </w:trPr>
        <w:tc>
          <w:tcPr>
            <w:tcW w:w="1402" w:type="dxa"/>
            <w:tcBorders>
              <w:top w:val="nil"/>
              <w:left w:val="single" w:sz="8" w:space="0" w:color="auto"/>
              <w:bottom w:val="single" w:sz="8" w:space="0" w:color="auto"/>
              <w:right w:val="single" w:sz="8" w:space="0" w:color="auto"/>
            </w:tcBorders>
          </w:tcPr>
          <w:p w14:paraId="14104E2F"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Cognettia sphagnetorum</w:t>
            </w:r>
          </w:p>
        </w:tc>
        <w:tc>
          <w:tcPr>
            <w:tcW w:w="1276" w:type="dxa"/>
            <w:tcBorders>
              <w:top w:val="nil"/>
              <w:left w:val="nil"/>
              <w:bottom w:val="single" w:sz="8" w:space="0" w:color="auto"/>
              <w:right w:val="single" w:sz="8" w:space="0" w:color="auto"/>
            </w:tcBorders>
          </w:tcPr>
          <w:p w14:paraId="50942F8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LUFA 2.2 + peat + fungus</w:t>
            </w:r>
          </w:p>
        </w:tc>
        <w:tc>
          <w:tcPr>
            <w:tcW w:w="709" w:type="dxa"/>
            <w:tcBorders>
              <w:top w:val="nil"/>
              <w:left w:val="nil"/>
              <w:bottom w:val="single" w:sz="8" w:space="0" w:color="auto"/>
              <w:right w:val="single" w:sz="8" w:space="0" w:color="auto"/>
            </w:tcBorders>
          </w:tcPr>
          <w:p w14:paraId="5FF0085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4.1</w:t>
            </w:r>
          </w:p>
        </w:tc>
        <w:tc>
          <w:tcPr>
            <w:tcW w:w="708" w:type="dxa"/>
            <w:tcBorders>
              <w:top w:val="nil"/>
              <w:left w:val="nil"/>
              <w:bottom w:val="single" w:sz="8" w:space="0" w:color="auto"/>
              <w:right w:val="single" w:sz="8" w:space="0" w:color="auto"/>
            </w:tcBorders>
          </w:tcPr>
          <w:p w14:paraId="167CB13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66</w:t>
            </w:r>
          </w:p>
        </w:tc>
        <w:tc>
          <w:tcPr>
            <w:tcW w:w="709" w:type="dxa"/>
            <w:tcBorders>
              <w:top w:val="nil"/>
              <w:left w:val="nil"/>
              <w:bottom w:val="single" w:sz="8" w:space="0" w:color="auto"/>
              <w:right w:val="single" w:sz="8" w:space="0" w:color="auto"/>
            </w:tcBorders>
          </w:tcPr>
          <w:p w14:paraId="48A7935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5.1</w:t>
            </w:r>
          </w:p>
        </w:tc>
        <w:tc>
          <w:tcPr>
            <w:tcW w:w="851" w:type="dxa"/>
            <w:tcBorders>
              <w:top w:val="nil"/>
              <w:left w:val="nil"/>
              <w:bottom w:val="single" w:sz="8" w:space="0" w:color="auto"/>
              <w:right w:val="single" w:sz="8" w:space="0" w:color="auto"/>
            </w:tcBorders>
          </w:tcPr>
          <w:p w14:paraId="5FCCADA6"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10.7</w:t>
            </w:r>
          </w:p>
        </w:tc>
        <w:tc>
          <w:tcPr>
            <w:tcW w:w="850" w:type="dxa"/>
            <w:tcBorders>
              <w:top w:val="nil"/>
              <w:left w:val="nil"/>
              <w:bottom w:val="single" w:sz="8" w:space="0" w:color="auto"/>
              <w:right w:val="single" w:sz="8" w:space="0" w:color="auto"/>
            </w:tcBorders>
          </w:tcPr>
          <w:p w14:paraId="4A2E9DDC"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60.6</w:t>
            </w:r>
          </w:p>
        </w:tc>
        <w:tc>
          <w:tcPr>
            <w:tcW w:w="992" w:type="dxa"/>
            <w:tcBorders>
              <w:top w:val="nil"/>
              <w:left w:val="nil"/>
              <w:bottom w:val="single" w:sz="8" w:space="0" w:color="auto"/>
              <w:right w:val="single" w:sz="8" w:space="0" w:color="auto"/>
            </w:tcBorders>
          </w:tcPr>
          <w:p w14:paraId="796AD19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11F88C4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w:t>
            </w:r>
          </w:p>
        </w:tc>
        <w:tc>
          <w:tcPr>
            <w:tcW w:w="992" w:type="dxa"/>
            <w:tcBorders>
              <w:top w:val="nil"/>
              <w:left w:val="nil"/>
              <w:bottom w:val="single" w:sz="8" w:space="0" w:color="auto"/>
              <w:right w:val="single" w:sz="8" w:space="0" w:color="auto"/>
            </w:tcBorders>
          </w:tcPr>
          <w:p w14:paraId="072AD05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f</w:t>
            </w:r>
          </w:p>
        </w:tc>
        <w:tc>
          <w:tcPr>
            <w:tcW w:w="851" w:type="dxa"/>
            <w:tcBorders>
              <w:top w:val="nil"/>
              <w:left w:val="nil"/>
              <w:bottom w:val="single" w:sz="8" w:space="0" w:color="auto"/>
              <w:right w:val="single" w:sz="8" w:space="0" w:color="auto"/>
            </w:tcBorders>
          </w:tcPr>
          <w:p w14:paraId="1086A0A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w:t>
            </w:r>
          </w:p>
        </w:tc>
        <w:tc>
          <w:tcPr>
            <w:tcW w:w="1134" w:type="dxa"/>
            <w:tcBorders>
              <w:top w:val="nil"/>
              <w:left w:val="nil"/>
              <w:bottom w:val="single" w:sz="8" w:space="0" w:color="auto"/>
              <w:right w:val="single" w:sz="8" w:space="0" w:color="auto"/>
            </w:tcBorders>
          </w:tcPr>
          <w:p w14:paraId="17CEB9E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70BDCCF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33.7</w:t>
            </w:r>
          </w:p>
        </w:tc>
        <w:tc>
          <w:tcPr>
            <w:tcW w:w="1134" w:type="dxa"/>
            <w:tcBorders>
              <w:top w:val="nil"/>
              <w:left w:val="nil"/>
              <w:bottom w:val="single" w:sz="8" w:space="0" w:color="auto"/>
              <w:right w:val="single" w:sz="12" w:space="0" w:color="auto"/>
            </w:tcBorders>
          </w:tcPr>
          <w:p w14:paraId="3C6C427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203DE3D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Augustsson and Rundgren, 1998</w:t>
            </w:r>
          </w:p>
        </w:tc>
      </w:tr>
      <w:tr w:rsidR="00632208" w:rsidRPr="0098635C" w14:paraId="69ECB194" w14:textId="77777777" w:rsidTr="00A432B0">
        <w:trPr>
          <w:trHeight w:val="430"/>
        </w:trPr>
        <w:tc>
          <w:tcPr>
            <w:tcW w:w="1402" w:type="dxa"/>
            <w:tcBorders>
              <w:top w:val="nil"/>
              <w:left w:val="single" w:sz="8" w:space="0" w:color="auto"/>
              <w:bottom w:val="single" w:sz="8" w:space="0" w:color="auto"/>
              <w:right w:val="single" w:sz="8" w:space="0" w:color="auto"/>
            </w:tcBorders>
          </w:tcPr>
          <w:p w14:paraId="2456E5C9"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Cognettia sphagnetorum</w:t>
            </w:r>
          </w:p>
        </w:tc>
        <w:tc>
          <w:tcPr>
            <w:tcW w:w="1276" w:type="dxa"/>
            <w:tcBorders>
              <w:top w:val="nil"/>
              <w:left w:val="nil"/>
              <w:bottom w:val="single" w:sz="8" w:space="0" w:color="auto"/>
              <w:right w:val="single" w:sz="8" w:space="0" w:color="auto"/>
            </w:tcBorders>
          </w:tcPr>
          <w:p w14:paraId="34BA034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LUFA 2.2 + peat + algae</w:t>
            </w:r>
          </w:p>
        </w:tc>
        <w:tc>
          <w:tcPr>
            <w:tcW w:w="709" w:type="dxa"/>
            <w:tcBorders>
              <w:top w:val="nil"/>
              <w:left w:val="nil"/>
              <w:bottom w:val="single" w:sz="8" w:space="0" w:color="auto"/>
              <w:right w:val="single" w:sz="8" w:space="0" w:color="auto"/>
            </w:tcBorders>
          </w:tcPr>
          <w:p w14:paraId="5F1C5CB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4.1</w:t>
            </w:r>
          </w:p>
        </w:tc>
        <w:tc>
          <w:tcPr>
            <w:tcW w:w="708" w:type="dxa"/>
            <w:tcBorders>
              <w:top w:val="nil"/>
              <w:left w:val="nil"/>
              <w:bottom w:val="single" w:sz="8" w:space="0" w:color="auto"/>
              <w:right w:val="single" w:sz="8" w:space="0" w:color="auto"/>
            </w:tcBorders>
          </w:tcPr>
          <w:p w14:paraId="5E1D0D1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66</w:t>
            </w:r>
          </w:p>
        </w:tc>
        <w:tc>
          <w:tcPr>
            <w:tcW w:w="709" w:type="dxa"/>
            <w:tcBorders>
              <w:top w:val="nil"/>
              <w:left w:val="nil"/>
              <w:bottom w:val="single" w:sz="8" w:space="0" w:color="auto"/>
              <w:right w:val="single" w:sz="8" w:space="0" w:color="auto"/>
            </w:tcBorders>
          </w:tcPr>
          <w:p w14:paraId="1B8B12A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5.1</w:t>
            </w:r>
          </w:p>
        </w:tc>
        <w:tc>
          <w:tcPr>
            <w:tcW w:w="851" w:type="dxa"/>
            <w:tcBorders>
              <w:top w:val="nil"/>
              <w:left w:val="nil"/>
              <w:bottom w:val="single" w:sz="8" w:space="0" w:color="auto"/>
              <w:right w:val="single" w:sz="8" w:space="0" w:color="auto"/>
            </w:tcBorders>
          </w:tcPr>
          <w:p w14:paraId="41576377"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10.7</w:t>
            </w:r>
          </w:p>
        </w:tc>
        <w:tc>
          <w:tcPr>
            <w:tcW w:w="850" w:type="dxa"/>
            <w:tcBorders>
              <w:top w:val="nil"/>
              <w:left w:val="nil"/>
              <w:bottom w:val="single" w:sz="8" w:space="0" w:color="auto"/>
              <w:right w:val="single" w:sz="8" w:space="0" w:color="auto"/>
            </w:tcBorders>
          </w:tcPr>
          <w:p w14:paraId="508F9B0E"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60.6</w:t>
            </w:r>
          </w:p>
        </w:tc>
        <w:tc>
          <w:tcPr>
            <w:tcW w:w="992" w:type="dxa"/>
            <w:tcBorders>
              <w:top w:val="nil"/>
              <w:left w:val="nil"/>
              <w:bottom w:val="single" w:sz="8" w:space="0" w:color="auto"/>
              <w:right w:val="single" w:sz="8" w:space="0" w:color="auto"/>
            </w:tcBorders>
          </w:tcPr>
          <w:p w14:paraId="303C453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13386D1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w:t>
            </w:r>
          </w:p>
        </w:tc>
        <w:tc>
          <w:tcPr>
            <w:tcW w:w="992" w:type="dxa"/>
            <w:tcBorders>
              <w:top w:val="nil"/>
              <w:left w:val="nil"/>
              <w:bottom w:val="single" w:sz="8" w:space="0" w:color="auto"/>
              <w:right w:val="single" w:sz="8" w:space="0" w:color="auto"/>
            </w:tcBorders>
          </w:tcPr>
          <w:p w14:paraId="76BD7C2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f</w:t>
            </w:r>
          </w:p>
        </w:tc>
        <w:tc>
          <w:tcPr>
            <w:tcW w:w="851" w:type="dxa"/>
            <w:tcBorders>
              <w:top w:val="nil"/>
              <w:left w:val="nil"/>
              <w:bottom w:val="single" w:sz="8" w:space="0" w:color="auto"/>
              <w:right w:val="single" w:sz="8" w:space="0" w:color="auto"/>
            </w:tcBorders>
          </w:tcPr>
          <w:p w14:paraId="5E507626"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455</w:t>
            </w:r>
          </w:p>
        </w:tc>
        <w:tc>
          <w:tcPr>
            <w:tcW w:w="1134" w:type="dxa"/>
            <w:tcBorders>
              <w:top w:val="nil"/>
              <w:left w:val="nil"/>
              <w:bottom w:val="single" w:sz="8" w:space="0" w:color="auto"/>
              <w:right w:val="single" w:sz="8" w:space="0" w:color="auto"/>
            </w:tcBorders>
          </w:tcPr>
          <w:p w14:paraId="4FD1806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3338894D"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465.7</w:t>
            </w:r>
          </w:p>
        </w:tc>
        <w:tc>
          <w:tcPr>
            <w:tcW w:w="1134" w:type="dxa"/>
            <w:tcBorders>
              <w:top w:val="nil"/>
              <w:left w:val="nil"/>
              <w:bottom w:val="single" w:sz="8" w:space="0" w:color="auto"/>
              <w:right w:val="single" w:sz="12" w:space="0" w:color="auto"/>
            </w:tcBorders>
          </w:tcPr>
          <w:p w14:paraId="1AF80F3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396B717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Augustsson and Rundgren, 1998</w:t>
            </w:r>
          </w:p>
        </w:tc>
      </w:tr>
      <w:tr w:rsidR="00632208" w:rsidRPr="0098635C" w14:paraId="73F61D60" w14:textId="77777777" w:rsidTr="00A432B0">
        <w:trPr>
          <w:trHeight w:val="394"/>
        </w:trPr>
        <w:tc>
          <w:tcPr>
            <w:tcW w:w="1402" w:type="dxa"/>
            <w:tcBorders>
              <w:top w:val="nil"/>
              <w:left w:val="single" w:sz="8" w:space="0" w:color="auto"/>
              <w:bottom w:val="single" w:sz="8" w:space="0" w:color="auto"/>
              <w:right w:val="single" w:sz="8" w:space="0" w:color="auto"/>
            </w:tcBorders>
          </w:tcPr>
          <w:p w14:paraId="38656251"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Dendrobaena rubida</w:t>
            </w:r>
          </w:p>
        </w:tc>
        <w:tc>
          <w:tcPr>
            <w:tcW w:w="1276" w:type="dxa"/>
            <w:tcBorders>
              <w:top w:val="nil"/>
              <w:left w:val="nil"/>
              <w:bottom w:val="single" w:sz="8" w:space="0" w:color="auto"/>
              <w:right w:val="single" w:sz="8" w:space="0" w:color="auto"/>
            </w:tcBorders>
          </w:tcPr>
          <w:p w14:paraId="2479985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Sand+cattle dung</w:t>
            </w:r>
          </w:p>
        </w:tc>
        <w:tc>
          <w:tcPr>
            <w:tcW w:w="709" w:type="dxa"/>
            <w:tcBorders>
              <w:top w:val="nil"/>
              <w:left w:val="nil"/>
              <w:bottom w:val="single" w:sz="8" w:space="0" w:color="auto"/>
              <w:right w:val="single" w:sz="8" w:space="0" w:color="auto"/>
            </w:tcBorders>
          </w:tcPr>
          <w:p w14:paraId="67D51B9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w:t>
            </w:r>
          </w:p>
        </w:tc>
        <w:tc>
          <w:tcPr>
            <w:tcW w:w="708" w:type="dxa"/>
            <w:tcBorders>
              <w:top w:val="nil"/>
              <w:left w:val="nil"/>
              <w:bottom w:val="single" w:sz="8" w:space="0" w:color="auto"/>
              <w:right w:val="single" w:sz="8" w:space="0" w:color="auto"/>
            </w:tcBorders>
          </w:tcPr>
          <w:p w14:paraId="758F4FB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7.7-11.7</w:t>
            </w:r>
          </w:p>
        </w:tc>
        <w:tc>
          <w:tcPr>
            <w:tcW w:w="709" w:type="dxa"/>
            <w:tcBorders>
              <w:top w:val="nil"/>
              <w:left w:val="nil"/>
              <w:bottom w:val="single" w:sz="8" w:space="0" w:color="auto"/>
              <w:right w:val="single" w:sz="8" w:space="0" w:color="auto"/>
            </w:tcBorders>
          </w:tcPr>
          <w:p w14:paraId="15F2B2C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1AC0F08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3.6</w:t>
            </w:r>
          </w:p>
        </w:tc>
        <w:tc>
          <w:tcPr>
            <w:tcW w:w="850" w:type="dxa"/>
            <w:tcBorders>
              <w:top w:val="nil"/>
              <w:left w:val="nil"/>
              <w:bottom w:val="single" w:sz="8" w:space="0" w:color="auto"/>
              <w:right w:val="single" w:sz="8" w:space="0" w:color="auto"/>
            </w:tcBorders>
          </w:tcPr>
          <w:p w14:paraId="76D85763"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992" w:type="dxa"/>
            <w:tcBorders>
              <w:top w:val="nil"/>
              <w:left w:val="nil"/>
              <w:bottom w:val="single" w:sz="8" w:space="0" w:color="auto"/>
              <w:right w:val="single" w:sz="8" w:space="0" w:color="auto"/>
            </w:tcBorders>
          </w:tcPr>
          <w:p w14:paraId="649D63D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851" w:type="dxa"/>
            <w:tcBorders>
              <w:top w:val="nil"/>
              <w:left w:val="nil"/>
              <w:bottom w:val="single" w:sz="8" w:space="0" w:color="auto"/>
              <w:right w:val="single" w:sz="8" w:space="0" w:color="auto"/>
            </w:tcBorders>
          </w:tcPr>
          <w:p w14:paraId="050BA76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90</w:t>
            </w:r>
          </w:p>
        </w:tc>
        <w:tc>
          <w:tcPr>
            <w:tcW w:w="992" w:type="dxa"/>
            <w:tcBorders>
              <w:top w:val="nil"/>
              <w:left w:val="nil"/>
              <w:bottom w:val="single" w:sz="8" w:space="0" w:color="auto"/>
              <w:right w:val="single" w:sz="8" w:space="0" w:color="auto"/>
            </w:tcBorders>
          </w:tcPr>
          <w:p w14:paraId="2B2165F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h</w:t>
            </w:r>
          </w:p>
        </w:tc>
        <w:tc>
          <w:tcPr>
            <w:tcW w:w="851" w:type="dxa"/>
            <w:tcBorders>
              <w:top w:val="nil"/>
              <w:left w:val="nil"/>
              <w:bottom w:val="single" w:sz="8" w:space="0" w:color="auto"/>
              <w:right w:val="single" w:sz="8" w:space="0" w:color="auto"/>
            </w:tcBorders>
          </w:tcPr>
          <w:p w14:paraId="3B51AF3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100</w:t>
            </w:r>
          </w:p>
        </w:tc>
        <w:tc>
          <w:tcPr>
            <w:tcW w:w="1134" w:type="dxa"/>
            <w:tcBorders>
              <w:top w:val="nil"/>
              <w:left w:val="nil"/>
              <w:bottom w:val="single" w:sz="8" w:space="0" w:color="auto"/>
              <w:right w:val="single" w:sz="8" w:space="0" w:color="auto"/>
            </w:tcBorders>
          </w:tcPr>
          <w:p w14:paraId="47BC905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27F99FD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103.6</w:t>
            </w:r>
          </w:p>
        </w:tc>
        <w:tc>
          <w:tcPr>
            <w:tcW w:w="1134" w:type="dxa"/>
            <w:tcBorders>
              <w:top w:val="nil"/>
              <w:left w:val="nil"/>
              <w:bottom w:val="single" w:sz="8" w:space="0" w:color="auto"/>
              <w:right w:val="single" w:sz="12" w:space="0" w:color="auto"/>
            </w:tcBorders>
          </w:tcPr>
          <w:p w14:paraId="2E75ACD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73753EC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Bengtsson et al., 1986</w:t>
            </w:r>
          </w:p>
        </w:tc>
      </w:tr>
      <w:tr w:rsidR="00632208" w:rsidRPr="0098635C" w14:paraId="698AE18C" w14:textId="77777777" w:rsidTr="00A432B0">
        <w:trPr>
          <w:trHeight w:val="64"/>
        </w:trPr>
        <w:tc>
          <w:tcPr>
            <w:tcW w:w="1402" w:type="dxa"/>
            <w:tcBorders>
              <w:top w:val="nil"/>
              <w:left w:val="single" w:sz="8" w:space="0" w:color="auto"/>
              <w:bottom w:val="single" w:sz="8" w:space="0" w:color="auto"/>
              <w:right w:val="single" w:sz="8" w:space="0" w:color="auto"/>
            </w:tcBorders>
          </w:tcPr>
          <w:p w14:paraId="43D1D7FF"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Dendrobaena rubida</w:t>
            </w:r>
          </w:p>
        </w:tc>
        <w:tc>
          <w:tcPr>
            <w:tcW w:w="1276" w:type="dxa"/>
            <w:tcBorders>
              <w:top w:val="nil"/>
              <w:left w:val="nil"/>
              <w:bottom w:val="single" w:sz="8" w:space="0" w:color="auto"/>
              <w:right w:val="single" w:sz="8" w:space="0" w:color="auto"/>
            </w:tcBorders>
          </w:tcPr>
          <w:p w14:paraId="64582FA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Sand+cattle dung</w:t>
            </w:r>
          </w:p>
        </w:tc>
        <w:tc>
          <w:tcPr>
            <w:tcW w:w="709" w:type="dxa"/>
            <w:tcBorders>
              <w:top w:val="nil"/>
              <w:left w:val="nil"/>
              <w:bottom w:val="single" w:sz="8" w:space="0" w:color="auto"/>
              <w:right w:val="single" w:sz="8" w:space="0" w:color="auto"/>
            </w:tcBorders>
          </w:tcPr>
          <w:p w14:paraId="2629B1C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5.5</w:t>
            </w:r>
          </w:p>
        </w:tc>
        <w:tc>
          <w:tcPr>
            <w:tcW w:w="708" w:type="dxa"/>
            <w:tcBorders>
              <w:top w:val="nil"/>
              <w:left w:val="nil"/>
              <w:bottom w:val="single" w:sz="8" w:space="0" w:color="auto"/>
              <w:right w:val="single" w:sz="8" w:space="0" w:color="auto"/>
            </w:tcBorders>
          </w:tcPr>
          <w:p w14:paraId="2894EB8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7.7-11.7</w:t>
            </w:r>
          </w:p>
        </w:tc>
        <w:tc>
          <w:tcPr>
            <w:tcW w:w="709" w:type="dxa"/>
            <w:tcBorders>
              <w:top w:val="nil"/>
              <w:left w:val="nil"/>
              <w:bottom w:val="single" w:sz="8" w:space="0" w:color="auto"/>
              <w:right w:val="single" w:sz="8" w:space="0" w:color="auto"/>
            </w:tcBorders>
          </w:tcPr>
          <w:p w14:paraId="741CF05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153CFFF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&lt;0.5</w:t>
            </w:r>
          </w:p>
        </w:tc>
        <w:tc>
          <w:tcPr>
            <w:tcW w:w="850" w:type="dxa"/>
            <w:tcBorders>
              <w:top w:val="nil"/>
              <w:left w:val="nil"/>
              <w:bottom w:val="single" w:sz="8" w:space="0" w:color="auto"/>
              <w:right w:val="single" w:sz="8" w:space="0" w:color="auto"/>
            </w:tcBorders>
          </w:tcPr>
          <w:p w14:paraId="60346FC9"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992" w:type="dxa"/>
            <w:tcBorders>
              <w:top w:val="nil"/>
              <w:left w:val="nil"/>
              <w:bottom w:val="single" w:sz="8" w:space="0" w:color="auto"/>
              <w:right w:val="single" w:sz="8" w:space="0" w:color="auto"/>
            </w:tcBorders>
          </w:tcPr>
          <w:p w14:paraId="56B14FA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851" w:type="dxa"/>
            <w:tcBorders>
              <w:top w:val="nil"/>
              <w:left w:val="nil"/>
              <w:bottom w:val="single" w:sz="8" w:space="0" w:color="auto"/>
              <w:right w:val="single" w:sz="8" w:space="0" w:color="auto"/>
            </w:tcBorders>
          </w:tcPr>
          <w:p w14:paraId="6B4AA1F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90</w:t>
            </w:r>
          </w:p>
        </w:tc>
        <w:tc>
          <w:tcPr>
            <w:tcW w:w="992" w:type="dxa"/>
            <w:tcBorders>
              <w:top w:val="nil"/>
              <w:left w:val="nil"/>
              <w:bottom w:val="single" w:sz="8" w:space="0" w:color="auto"/>
              <w:right w:val="single" w:sz="8" w:space="0" w:color="auto"/>
            </w:tcBorders>
          </w:tcPr>
          <w:p w14:paraId="2935A10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h</w:t>
            </w:r>
          </w:p>
        </w:tc>
        <w:tc>
          <w:tcPr>
            <w:tcW w:w="851" w:type="dxa"/>
            <w:tcBorders>
              <w:top w:val="nil"/>
              <w:left w:val="nil"/>
              <w:bottom w:val="single" w:sz="8" w:space="0" w:color="auto"/>
              <w:right w:val="single" w:sz="8" w:space="0" w:color="auto"/>
            </w:tcBorders>
          </w:tcPr>
          <w:p w14:paraId="096F913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100</w:t>
            </w:r>
          </w:p>
        </w:tc>
        <w:tc>
          <w:tcPr>
            <w:tcW w:w="1134" w:type="dxa"/>
            <w:tcBorders>
              <w:top w:val="nil"/>
              <w:left w:val="nil"/>
              <w:bottom w:val="single" w:sz="8" w:space="0" w:color="auto"/>
              <w:right w:val="single" w:sz="8" w:space="0" w:color="auto"/>
            </w:tcBorders>
          </w:tcPr>
          <w:p w14:paraId="1823A92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2B1C13E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100</w:t>
            </w:r>
          </w:p>
        </w:tc>
        <w:tc>
          <w:tcPr>
            <w:tcW w:w="1134" w:type="dxa"/>
            <w:tcBorders>
              <w:top w:val="nil"/>
              <w:left w:val="nil"/>
              <w:bottom w:val="single" w:sz="8" w:space="0" w:color="auto"/>
              <w:right w:val="single" w:sz="12" w:space="0" w:color="auto"/>
            </w:tcBorders>
          </w:tcPr>
          <w:p w14:paraId="6F34789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4B03BD8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Bengtsson et al., 1986</w:t>
            </w:r>
          </w:p>
        </w:tc>
      </w:tr>
      <w:tr w:rsidR="00632208" w:rsidRPr="0098635C" w14:paraId="10C2DDDF" w14:textId="77777777" w:rsidTr="00A432B0">
        <w:trPr>
          <w:trHeight w:val="179"/>
        </w:trPr>
        <w:tc>
          <w:tcPr>
            <w:tcW w:w="1402" w:type="dxa"/>
            <w:tcBorders>
              <w:top w:val="nil"/>
              <w:left w:val="single" w:sz="8" w:space="0" w:color="auto"/>
              <w:bottom w:val="single" w:sz="8" w:space="0" w:color="auto"/>
              <w:right w:val="single" w:sz="8" w:space="0" w:color="auto"/>
            </w:tcBorders>
          </w:tcPr>
          <w:p w14:paraId="0FFB9B38"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Dendrobaena rubida</w:t>
            </w:r>
          </w:p>
        </w:tc>
        <w:tc>
          <w:tcPr>
            <w:tcW w:w="1276" w:type="dxa"/>
            <w:tcBorders>
              <w:top w:val="nil"/>
              <w:left w:val="nil"/>
              <w:bottom w:val="single" w:sz="8" w:space="0" w:color="auto"/>
              <w:right w:val="single" w:sz="8" w:space="0" w:color="auto"/>
            </w:tcBorders>
          </w:tcPr>
          <w:p w14:paraId="427E614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Sand+cattle dung</w:t>
            </w:r>
          </w:p>
        </w:tc>
        <w:tc>
          <w:tcPr>
            <w:tcW w:w="709" w:type="dxa"/>
            <w:tcBorders>
              <w:top w:val="nil"/>
              <w:left w:val="nil"/>
              <w:bottom w:val="single" w:sz="8" w:space="0" w:color="auto"/>
              <w:right w:val="single" w:sz="8" w:space="0" w:color="auto"/>
            </w:tcBorders>
          </w:tcPr>
          <w:p w14:paraId="0566A18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5.5</w:t>
            </w:r>
          </w:p>
        </w:tc>
        <w:tc>
          <w:tcPr>
            <w:tcW w:w="708" w:type="dxa"/>
            <w:tcBorders>
              <w:top w:val="nil"/>
              <w:left w:val="nil"/>
              <w:bottom w:val="single" w:sz="8" w:space="0" w:color="auto"/>
              <w:right w:val="single" w:sz="8" w:space="0" w:color="auto"/>
            </w:tcBorders>
          </w:tcPr>
          <w:p w14:paraId="4D4FB5D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7.7-11.7</w:t>
            </w:r>
          </w:p>
        </w:tc>
        <w:tc>
          <w:tcPr>
            <w:tcW w:w="709" w:type="dxa"/>
            <w:tcBorders>
              <w:top w:val="nil"/>
              <w:left w:val="nil"/>
              <w:bottom w:val="single" w:sz="8" w:space="0" w:color="auto"/>
              <w:right w:val="single" w:sz="8" w:space="0" w:color="auto"/>
            </w:tcBorders>
          </w:tcPr>
          <w:p w14:paraId="06001EB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4DA67CD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&lt;0.5</w:t>
            </w:r>
          </w:p>
        </w:tc>
        <w:tc>
          <w:tcPr>
            <w:tcW w:w="850" w:type="dxa"/>
            <w:tcBorders>
              <w:top w:val="nil"/>
              <w:left w:val="nil"/>
              <w:bottom w:val="single" w:sz="8" w:space="0" w:color="auto"/>
              <w:right w:val="single" w:sz="8" w:space="0" w:color="auto"/>
            </w:tcBorders>
          </w:tcPr>
          <w:p w14:paraId="07100659"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992" w:type="dxa"/>
            <w:tcBorders>
              <w:top w:val="nil"/>
              <w:left w:val="nil"/>
              <w:bottom w:val="single" w:sz="8" w:space="0" w:color="auto"/>
              <w:right w:val="single" w:sz="8" w:space="0" w:color="auto"/>
            </w:tcBorders>
          </w:tcPr>
          <w:p w14:paraId="0CD0275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851" w:type="dxa"/>
            <w:tcBorders>
              <w:top w:val="nil"/>
              <w:left w:val="nil"/>
              <w:bottom w:val="single" w:sz="8" w:space="0" w:color="auto"/>
              <w:right w:val="single" w:sz="8" w:space="0" w:color="auto"/>
            </w:tcBorders>
          </w:tcPr>
          <w:p w14:paraId="28816E5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90</w:t>
            </w:r>
          </w:p>
        </w:tc>
        <w:tc>
          <w:tcPr>
            <w:tcW w:w="992" w:type="dxa"/>
            <w:tcBorders>
              <w:top w:val="nil"/>
              <w:left w:val="nil"/>
              <w:bottom w:val="single" w:sz="8" w:space="0" w:color="auto"/>
              <w:right w:val="single" w:sz="8" w:space="0" w:color="auto"/>
            </w:tcBorders>
          </w:tcPr>
          <w:p w14:paraId="0872317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r(cp)</w:t>
            </w:r>
          </w:p>
        </w:tc>
        <w:tc>
          <w:tcPr>
            <w:tcW w:w="851" w:type="dxa"/>
            <w:tcBorders>
              <w:top w:val="nil"/>
              <w:left w:val="nil"/>
              <w:bottom w:val="single" w:sz="8" w:space="0" w:color="auto"/>
              <w:right w:val="single" w:sz="8" w:space="0" w:color="auto"/>
            </w:tcBorders>
          </w:tcPr>
          <w:p w14:paraId="1FE01E0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100</w:t>
            </w:r>
          </w:p>
        </w:tc>
        <w:tc>
          <w:tcPr>
            <w:tcW w:w="1134" w:type="dxa"/>
            <w:tcBorders>
              <w:top w:val="nil"/>
              <w:left w:val="nil"/>
              <w:bottom w:val="single" w:sz="8" w:space="0" w:color="auto"/>
              <w:right w:val="single" w:sz="8" w:space="0" w:color="auto"/>
            </w:tcBorders>
          </w:tcPr>
          <w:p w14:paraId="73ED128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68EC243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100</w:t>
            </w:r>
          </w:p>
        </w:tc>
        <w:tc>
          <w:tcPr>
            <w:tcW w:w="1134" w:type="dxa"/>
            <w:tcBorders>
              <w:top w:val="nil"/>
              <w:left w:val="nil"/>
              <w:bottom w:val="single" w:sz="8" w:space="0" w:color="auto"/>
              <w:right w:val="single" w:sz="12" w:space="0" w:color="auto"/>
            </w:tcBorders>
          </w:tcPr>
          <w:p w14:paraId="463689A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354AC70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Bengtsson et al., 1986</w:t>
            </w:r>
          </w:p>
        </w:tc>
      </w:tr>
      <w:tr w:rsidR="00632208" w:rsidRPr="0098635C" w14:paraId="0EDCEED3" w14:textId="77777777" w:rsidTr="00A432B0">
        <w:trPr>
          <w:trHeight w:val="145"/>
        </w:trPr>
        <w:tc>
          <w:tcPr>
            <w:tcW w:w="1402" w:type="dxa"/>
            <w:tcBorders>
              <w:top w:val="nil"/>
              <w:left w:val="single" w:sz="8" w:space="0" w:color="auto"/>
              <w:bottom w:val="single" w:sz="8" w:space="0" w:color="auto"/>
              <w:right w:val="single" w:sz="8" w:space="0" w:color="auto"/>
            </w:tcBorders>
          </w:tcPr>
          <w:p w14:paraId="1EC66491"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Dendrobaena rubida</w:t>
            </w:r>
          </w:p>
        </w:tc>
        <w:tc>
          <w:tcPr>
            <w:tcW w:w="1276" w:type="dxa"/>
            <w:tcBorders>
              <w:top w:val="nil"/>
              <w:left w:val="nil"/>
              <w:bottom w:val="single" w:sz="8" w:space="0" w:color="auto"/>
              <w:right w:val="single" w:sz="8" w:space="0" w:color="auto"/>
            </w:tcBorders>
          </w:tcPr>
          <w:p w14:paraId="3C0CDD2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Sand+cattle dung</w:t>
            </w:r>
          </w:p>
        </w:tc>
        <w:tc>
          <w:tcPr>
            <w:tcW w:w="709" w:type="dxa"/>
            <w:tcBorders>
              <w:top w:val="nil"/>
              <w:left w:val="nil"/>
              <w:bottom w:val="single" w:sz="8" w:space="0" w:color="auto"/>
              <w:right w:val="single" w:sz="8" w:space="0" w:color="auto"/>
            </w:tcBorders>
          </w:tcPr>
          <w:p w14:paraId="548BF54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6.5</w:t>
            </w:r>
          </w:p>
        </w:tc>
        <w:tc>
          <w:tcPr>
            <w:tcW w:w="708" w:type="dxa"/>
            <w:tcBorders>
              <w:top w:val="nil"/>
              <w:left w:val="nil"/>
              <w:bottom w:val="single" w:sz="8" w:space="0" w:color="auto"/>
              <w:right w:val="single" w:sz="8" w:space="0" w:color="auto"/>
            </w:tcBorders>
          </w:tcPr>
          <w:p w14:paraId="184DB12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7.7-11.7</w:t>
            </w:r>
          </w:p>
        </w:tc>
        <w:tc>
          <w:tcPr>
            <w:tcW w:w="709" w:type="dxa"/>
            <w:tcBorders>
              <w:top w:val="nil"/>
              <w:left w:val="nil"/>
              <w:bottom w:val="single" w:sz="8" w:space="0" w:color="auto"/>
              <w:right w:val="single" w:sz="8" w:space="0" w:color="auto"/>
            </w:tcBorders>
          </w:tcPr>
          <w:p w14:paraId="7791475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1B6B5E6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w:t>
            </w:r>
          </w:p>
        </w:tc>
        <w:tc>
          <w:tcPr>
            <w:tcW w:w="850" w:type="dxa"/>
            <w:tcBorders>
              <w:top w:val="nil"/>
              <w:left w:val="nil"/>
              <w:bottom w:val="single" w:sz="8" w:space="0" w:color="auto"/>
              <w:right w:val="single" w:sz="8" w:space="0" w:color="auto"/>
            </w:tcBorders>
          </w:tcPr>
          <w:p w14:paraId="01106D82"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992" w:type="dxa"/>
            <w:tcBorders>
              <w:top w:val="nil"/>
              <w:left w:val="nil"/>
              <w:bottom w:val="single" w:sz="8" w:space="0" w:color="auto"/>
              <w:right w:val="single" w:sz="8" w:space="0" w:color="auto"/>
            </w:tcBorders>
          </w:tcPr>
          <w:p w14:paraId="6E45C58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851" w:type="dxa"/>
            <w:tcBorders>
              <w:top w:val="nil"/>
              <w:left w:val="nil"/>
              <w:bottom w:val="single" w:sz="8" w:space="0" w:color="auto"/>
              <w:right w:val="single" w:sz="8" w:space="0" w:color="auto"/>
            </w:tcBorders>
          </w:tcPr>
          <w:p w14:paraId="05B7B9D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90</w:t>
            </w:r>
          </w:p>
        </w:tc>
        <w:tc>
          <w:tcPr>
            <w:tcW w:w="992" w:type="dxa"/>
            <w:tcBorders>
              <w:top w:val="nil"/>
              <w:left w:val="nil"/>
              <w:bottom w:val="single" w:sz="8" w:space="0" w:color="auto"/>
              <w:right w:val="single" w:sz="8" w:space="0" w:color="auto"/>
            </w:tcBorders>
          </w:tcPr>
          <w:p w14:paraId="746049F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h</w:t>
            </w:r>
          </w:p>
        </w:tc>
        <w:tc>
          <w:tcPr>
            <w:tcW w:w="851" w:type="dxa"/>
            <w:tcBorders>
              <w:top w:val="nil"/>
              <w:left w:val="nil"/>
              <w:bottom w:val="single" w:sz="8" w:space="0" w:color="auto"/>
              <w:right w:val="single" w:sz="8" w:space="0" w:color="auto"/>
            </w:tcBorders>
          </w:tcPr>
          <w:p w14:paraId="2D03383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100</w:t>
            </w:r>
          </w:p>
        </w:tc>
        <w:tc>
          <w:tcPr>
            <w:tcW w:w="1134" w:type="dxa"/>
            <w:tcBorders>
              <w:top w:val="nil"/>
              <w:left w:val="nil"/>
              <w:bottom w:val="single" w:sz="8" w:space="0" w:color="auto"/>
              <w:right w:val="single" w:sz="8" w:space="0" w:color="auto"/>
            </w:tcBorders>
          </w:tcPr>
          <w:p w14:paraId="6F8F7C2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6E9AC18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101.3</w:t>
            </w:r>
          </w:p>
        </w:tc>
        <w:tc>
          <w:tcPr>
            <w:tcW w:w="1134" w:type="dxa"/>
            <w:tcBorders>
              <w:top w:val="nil"/>
              <w:left w:val="nil"/>
              <w:bottom w:val="single" w:sz="8" w:space="0" w:color="auto"/>
              <w:right w:val="single" w:sz="12" w:space="0" w:color="auto"/>
            </w:tcBorders>
          </w:tcPr>
          <w:p w14:paraId="41FF3E7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780C671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Bengtsson et al., 1986</w:t>
            </w:r>
          </w:p>
        </w:tc>
      </w:tr>
      <w:tr w:rsidR="00632208" w:rsidRPr="0098635C" w14:paraId="033B5886" w14:textId="77777777" w:rsidTr="00A432B0">
        <w:trPr>
          <w:trHeight w:val="79"/>
        </w:trPr>
        <w:tc>
          <w:tcPr>
            <w:tcW w:w="1402" w:type="dxa"/>
            <w:tcBorders>
              <w:top w:val="nil"/>
              <w:left w:val="single" w:sz="8" w:space="0" w:color="auto"/>
              <w:bottom w:val="single" w:sz="8" w:space="0" w:color="auto"/>
              <w:right w:val="single" w:sz="8" w:space="0" w:color="auto"/>
            </w:tcBorders>
          </w:tcPr>
          <w:p w14:paraId="4CC2D11E"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Dendrobaena rubida</w:t>
            </w:r>
          </w:p>
        </w:tc>
        <w:tc>
          <w:tcPr>
            <w:tcW w:w="1276" w:type="dxa"/>
            <w:tcBorders>
              <w:top w:val="nil"/>
              <w:left w:val="nil"/>
              <w:bottom w:val="single" w:sz="8" w:space="0" w:color="auto"/>
              <w:right w:val="single" w:sz="8" w:space="0" w:color="auto"/>
            </w:tcBorders>
          </w:tcPr>
          <w:p w14:paraId="68DD5C2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Sand+cattle dung</w:t>
            </w:r>
          </w:p>
        </w:tc>
        <w:tc>
          <w:tcPr>
            <w:tcW w:w="709" w:type="dxa"/>
            <w:tcBorders>
              <w:top w:val="nil"/>
              <w:left w:val="nil"/>
              <w:bottom w:val="single" w:sz="8" w:space="0" w:color="auto"/>
              <w:right w:val="single" w:sz="8" w:space="0" w:color="auto"/>
            </w:tcBorders>
          </w:tcPr>
          <w:p w14:paraId="0F24AEA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6.5</w:t>
            </w:r>
          </w:p>
        </w:tc>
        <w:tc>
          <w:tcPr>
            <w:tcW w:w="708" w:type="dxa"/>
            <w:tcBorders>
              <w:top w:val="nil"/>
              <w:left w:val="nil"/>
              <w:bottom w:val="single" w:sz="8" w:space="0" w:color="auto"/>
              <w:right w:val="single" w:sz="8" w:space="0" w:color="auto"/>
            </w:tcBorders>
          </w:tcPr>
          <w:p w14:paraId="0D4D849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7.7-11.7</w:t>
            </w:r>
          </w:p>
        </w:tc>
        <w:tc>
          <w:tcPr>
            <w:tcW w:w="709" w:type="dxa"/>
            <w:tcBorders>
              <w:top w:val="nil"/>
              <w:left w:val="nil"/>
              <w:bottom w:val="single" w:sz="8" w:space="0" w:color="auto"/>
              <w:right w:val="single" w:sz="8" w:space="0" w:color="auto"/>
            </w:tcBorders>
          </w:tcPr>
          <w:p w14:paraId="71E3ECE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5004D45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w:t>
            </w:r>
          </w:p>
        </w:tc>
        <w:tc>
          <w:tcPr>
            <w:tcW w:w="850" w:type="dxa"/>
            <w:tcBorders>
              <w:top w:val="nil"/>
              <w:left w:val="nil"/>
              <w:bottom w:val="single" w:sz="8" w:space="0" w:color="auto"/>
              <w:right w:val="single" w:sz="8" w:space="0" w:color="auto"/>
            </w:tcBorders>
          </w:tcPr>
          <w:p w14:paraId="64527627"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992" w:type="dxa"/>
            <w:tcBorders>
              <w:top w:val="nil"/>
              <w:left w:val="nil"/>
              <w:bottom w:val="single" w:sz="8" w:space="0" w:color="auto"/>
              <w:right w:val="single" w:sz="8" w:space="0" w:color="auto"/>
            </w:tcBorders>
          </w:tcPr>
          <w:p w14:paraId="4A8B95A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851" w:type="dxa"/>
            <w:tcBorders>
              <w:top w:val="nil"/>
              <w:left w:val="nil"/>
              <w:bottom w:val="single" w:sz="8" w:space="0" w:color="auto"/>
              <w:right w:val="single" w:sz="8" w:space="0" w:color="auto"/>
            </w:tcBorders>
          </w:tcPr>
          <w:p w14:paraId="67F804B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90</w:t>
            </w:r>
          </w:p>
        </w:tc>
        <w:tc>
          <w:tcPr>
            <w:tcW w:w="992" w:type="dxa"/>
            <w:tcBorders>
              <w:top w:val="nil"/>
              <w:left w:val="nil"/>
              <w:bottom w:val="single" w:sz="8" w:space="0" w:color="auto"/>
              <w:right w:val="single" w:sz="8" w:space="0" w:color="auto"/>
            </w:tcBorders>
          </w:tcPr>
          <w:p w14:paraId="30D91E3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r(cp)</w:t>
            </w:r>
          </w:p>
        </w:tc>
        <w:tc>
          <w:tcPr>
            <w:tcW w:w="851" w:type="dxa"/>
            <w:tcBorders>
              <w:top w:val="nil"/>
              <w:left w:val="nil"/>
              <w:bottom w:val="single" w:sz="8" w:space="0" w:color="auto"/>
              <w:right w:val="single" w:sz="8" w:space="0" w:color="auto"/>
            </w:tcBorders>
          </w:tcPr>
          <w:p w14:paraId="146A1AD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100</w:t>
            </w:r>
          </w:p>
        </w:tc>
        <w:tc>
          <w:tcPr>
            <w:tcW w:w="1134" w:type="dxa"/>
            <w:tcBorders>
              <w:top w:val="nil"/>
              <w:left w:val="nil"/>
              <w:bottom w:val="single" w:sz="8" w:space="0" w:color="auto"/>
              <w:right w:val="single" w:sz="8" w:space="0" w:color="auto"/>
            </w:tcBorders>
          </w:tcPr>
          <w:p w14:paraId="4594C70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77A358D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101.3</w:t>
            </w:r>
          </w:p>
        </w:tc>
        <w:tc>
          <w:tcPr>
            <w:tcW w:w="1134" w:type="dxa"/>
            <w:tcBorders>
              <w:top w:val="nil"/>
              <w:left w:val="nil"/>
              <w:bottom w:val="single" w:sz="8" w:space="0" w:color="auto"/>
              <w:right w:val="single" w:sz="12" w:space="0" w:color="auto"/>
            </w:tcBorders>
          </w:tcPr>
          <w:p w14:paraId="5094040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596B44C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Bengtsson et al., 1986</w:t>
            </w:r>
          </w:p>
        </w:tc>
      </w:tr>
      <w:tr w:rsidR="00632208" w:rsidRPr="0098635C" w14:paraId="6B1F2878" w14:textId="77777777" w:rsidTr="00A432B0">
        <w:trPr>
          <w:trHeight w:val="64"/>
        </w:trPr>
        <w:tc>
          <w:tcPr>
            <w:tcW w:w="1402" w:type="dxa"/>
            <w:tcBorders>
              <w:top w:val="nil"/>
              <w:left w:val="single" w:sz="8" w:space="0" w:color="auto"/>
              <w:bottom w:val="single" w:sz="8" w:space="0" w:color="auto"/>
              <w:right w:val="single" w:sz="8" w:space="0" w:color="auto"/>
            </w:tcBorders>
          </w:tcPr>
          <w:p w14:paraId="16BFBD50"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andrei</w:t>
            </w:r>
          </w:p>
        </w:tc>
        <w:tc>
          <w:tcPr>
            <w:tcW w:w="1276" w:type="dxa"/>
            <w:tcBorders>
              <w:top w:val="nil"/>
              <w:left w:val="nil"/>
              <w:bottom w:val="single" w:sz="8" w:space="0" w:color="auto"/>
              <w:right w:val="single" w:sz="8" w:space="0" w:color="auto"/>
            </w:tcBorders>
          </w:tcPr>
          <w:p w14:paraId="54CE551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OECD soil</w:t>
            </w:r>
          </w:p>
        </w:tc>
        <w:tc>
          <w:tcPr>
            <w:tcW w:w="709" w:type="dxa"/>
            <w:tcBorders>
              <w:top w:val="nil"/>
              <w:left w:val="nil"/>
              <w:bottom w:val="single" w:sz="8" w:space="0" w:color="auto"/>
              <w:right w:val="single" w:sz="8" w:space="0" w:color="auto"/>
            </w:tcBorders>
          </w:tcPr>
          <w:p w14:paraId="0AA4537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6.2</w:t>
            </w:r>
          </w:p>
        </w:tc>
        <w:tc>
          <w:tcPr>
            <w:tcW w:w="708" w:type="dxa"/>
            <w:tcBorders>
              <w:top w:val="nil"/>
              <w:left w:val="nil"/>
              <w:bottom w:val="single" w:sz="8" w:space="0" w:color="auto"/>
              <w:right w:val="single" w:sz="8" w:space="0" w:color="auto"/>
            </w:tcBorders>
          </w:tcPr>
          <w:p w14:paraId="5D21CCF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709" w:type="dxa"/>
            <w:tcBorders>
              <w:top w:val="nil"/>
              <w:left w:val="nil"/>
              <w:bottom w:val="single" w:sz="8" w:space="0" w:color="auto"/>
              <w:right w:val="single" w:sz="8" w:space="0" w:color="auto"/>
            </w:tcBorders>
          </w:tcPr>
          <w:p w14:paraId="74C14BC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851" w:type="dxa"/>
            <w:tcBorders>
              <w:top w:val="nil"/>
              <w:left w:val="nil"/>
              <w:bottom w:val="single" w:sz="8" w:space="0" w:color="auto"/>
              <w:right w:val="single" w:sz="8" w:space="0" w:color="auto"/>
            </w:tcBorders>
          </w:tcPr>
          <w:p w14:paraId="368479D7"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3.2</w:t>
            </w:r>
          </w:p>
        </w:tc>
        <w:tc>
          <w:tcPr>
            <w:tcW w:w="850" w:type="dxa"/>
            <w:tcBorders>
              <w:top w:val="nil"/>
              <w:left w:val="nil"/>
              <w:bottom w:val="single" w:sz="8" w:space="0" w:color="auto"/>
              <w:right w:val="single" w:sz="8" w:space="0" w:color="auto"/>
            </w:tcBorders>
          </w:tcPr>
          <w:p w14:paraId="13430CA4"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15.1</w:t>
            </w:r>
          </w:p>
        </w:tc>
        <w:tc>
          <w:tcPr>
            <w:tcW w:w="992" w:type="dxa"/>
            <w:tcBorders>
              <w:top w:val="nil"/>
              <w:left w:val="nil"/>
              <w:bottom w:val="single" w:sz="8" w:space="0" w:color="auto"/>
              <w:right w:val="single" w:sz="8" w:space="0" w:color="auto"/>
            </w:tcBorders>
          </w:tcPr>
          <w:p w14:paraId="0E48B9C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170B1A9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84</w:t>
            </w:r>
          </w:p>
        </w:tc>
        <w:tc>
          <w:tcPr>
            <w:tcW w:w="992" w:type="dxa"/>
            <w:tcBorders>
              <w:top w:val="nil"/>
              <w:left w:val="nil"/>
              <w:bottom w:val="single" w:sz="8" w:space="0" w:color="auto"/>
              <w:right w:val="single" w:sz="8" w:space="0" w:color="auto"/>
            </w:tcBorders>
          </w:tcPr>
          <w:p w14:paraId="20073DB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g</w:t>
            </w:r>
          </w:p>
        </w:tc>
        <w:tc>
          <w:tcPr>
            <w:tcW w:w="851" w:type="dxa"/>
            <w:tcBorders>
              <w:top w:val="nil"/>
              <w:left w:val="nil"/>
              <w:bottom w:val="single" w:sz="8" w:space="0" w:color="auto"/>
              <w:right w:val="single" w:sz="8" w:space="0" w:color="auto"/>
            </w:tcBorders>
          </w:tcPr>
          <w:p w14:paraId="50D84850"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56</w:t>
            </w:r>
          </w:p>
        </w:tc>
        <w:tc>
          <w:tcPr>
            <w:tcW w:w="1134" w:type="dxa"/>
            <w:tcBorders>
              <w:top w:val="nil"/>
              <w:left w:val="nil"/>
              <w:bottom w:val="single" w:sz="8" w:space="0" w:color="auto"/>
              <w:right w:val="single" w:sz="8" w:space="0" w:color="auto"/>
            </w:tcBorders>
          </w:tcPr>
          <w:p w14:paraId="145AF7F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00E6619F"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59.2</w:t>
            </w:r>
          </w:p>
        </w:tc>
        <w:tc>
          <w:tcPr>
            <w:tcW w:w="1134" w:type="dxa"/>
            <w:tcBorders>
              <w:top w:val="nil"/>
              <w:left w:val="nil"/>
              <w:bottom w:val="single" w:sz="8" w:space="0" w:color="auto"/>
              <w:right w:val="single" w:sz="12" w:space="0" w:color="auto"/>
            </w:tcBorders>
          </w:tcPr>
          <w:p w14:paraId="213BC36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0CC48B4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Van Dis et al., 1988</w:t>
            </w:r>
          </w:p>
        </w:tc>
      </w:tr>
      <w:tr w:rsidR="00632208" w:rsidRPr="0098635C" w14:paraId="0A9CF191" w14:textId="77777777" w:rsidTr="00A432B0">
        <w:trPr>
          <w:trHeight w:val="64"/>
        </w:trPr>
        <w:tc>
          <w:tcPr>
            <w:tcW w:w="1402" w:type="dxa"/>
            <w:tcBorders>
              <w:top w:val="nil"/>
              <w:left w:val="single" w:sz="8" w:space="0" w:color="auto"/>
              <w:bottom w:val="single" w:sz="8" w:space="0" w:color="auto"/>
              <w:right w:val="single" w:sz="8" w:space="0" w:color="auto"/>
            </w:tcBorders>
          </w:tcPr>
          <w:p w14:paraId="256082B6"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andrei</w:t>
            </w:r>
          </w:p>
        </w:tc>
        <w:tc>
          <w:tcPr>
            <w:tcW w:w="1276" w:type="dxa"/>
            <w:tcBorders>
              <w:top w:val="nil"/>
              <w:left w:val="nil"/>
              <w:bottom w:val="single" w:sz="8" w:space="0" w:color="auto"/>
              <w:right w:val="single" w:sz="8" w:space="0" w:color="auto"/>
            </w:tcBorders>
          </w:tcPr>
          <w:p w14:paraId="02834CC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OECD soil</w:t>
            </w:r>
          </w:p>
        </w:tc>
        <w:tc>
          <w:tcPr>
            <w:tcW w:w="709" w:type="dxa"/>
            <w:tcBorders>
              <w:top w:val="nil"/>
              <w:left w:val="nil"/>
              <w:bottom w:val="single" w:sz="8" w:space="0" w:color="auto"/>
              <w:right w:val="single" w:sz="8" w:space="0" w:color="auto"/>
            </w:tcBorders>
          </w:tcPr>
          <w:p w14:paraId="0224F47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6.3-7.1</w:t>
            </w:r>
          </w:p>
        </w:tc>
        <w:tc>
          <w:tcPr>
            <w:tcW w:w="708" w:type="dxa"/>
            <w:tcBorders>
              <w:top w:val="nil"/>
              <w:left w:val="nil"/>
              <w:bottom w:val="single" w:sz="8" w:space="0" w:color="auto"/>
              <w:right w:val="single" w:sz="8" w:space="0" w:color="auto"/>
            </w:tcBorders>
          </w:tcPr>
          <w:p w14:paraId="5EC2427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709" w:type="dxa"/>
            <w:tcBorders>
              <w:top w:val="nil"/>
              <w:left w:val="nil"/>
              <w:bottom w:val="single" w:sz="8" w:space="0" w:color="auto"/>
              <w:right w:val="single" w:sz="8" w:space="0" w:color="auto"/>
            </w:tcBorders>
          </w:tcPr>
          <w:p w14:paraId="5D7D58B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851" w:type="dxa"/>
            <w:tcBorders>
              <w:top w:val="nil"/>
              <w:left w:val="nil"/>
              <w:bottom w:val="single" w:sz="8" w:space="0" w:color="auto"/>
              <w:right w:val="single" w:sz="8" w:space="0" w:color="auto"/>
            </w:tcBorders>
          </w:tcPr>
          <w:p w14:paraId="2CC08C11"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3.2</w:t>
            </w:r>
          </w:p>
        </w:tc>
        <w:tc>
          <w:tcPr>
            <w:tcW w:w="850" w:type="dxa"/>
            <w:tcBorders>
              <w:top w:val="nil"/>
              <w:left w:val="nil"/>
              <w:bottom w:val="single" w:sz="8" w:space="0" w:color="auto"/>
              <w:right w:val="single" w:sz="8" w:space="0" w:color="auto"/>
            </w:tcBorders>
          </w:tcPr>
          <w:p w14:paraId="71CA3520"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16.6</w:t>
            </w:r>
          </w:p>
        </w:tc>
        <w:tc>
          <w:tcPr>
            <w:tcW w:w="992" w:type="dxa"/>
            <w:tcBorders>
              <w:top w:val="nil"/>
              <w:left w:val="nil"/>
              <w:bottom w:val="single" w:sz="8" w:space="0" w:color="auto"/>
              <w:right w:val="single" w:sz="8" w:space="0" w:color="auto"/>
            </w:tcBorders>
          </w:tcPr>
          <w:p w14:paraId="7564FB5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3E0C30F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nil"/>
              <w:left w:val="nil"/>
              <w:bottom w:val="single" w:sz="8" w:space="0" w:color="auto"/>
              <w:right w:val="single" w:sz="8" w:space="0" w:color="auto"/>
            </w:tcBorders>
          </w:tcPr>
          <w:p w14:paraId="74BF829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r(cp)</w:t>
            </w:r>
          </w:p>
        </w:tc>
        <w:tc>
          <w:tcPr>
            <w:tcW w:w="851" w:type="dxa"/>
            <w:tcBorders>
              <w:top w:val="nil"/>
              <w:left w:val="nil"/>
              <w:bottom w:val="single" w:sz="8" w:space="0" w:color="auto"/>
              <w:right w:val="single" w:sz="8" w:space="0" w:color="auto"/>
            </w:tcBorders>
          </w:tcPr>
          <w:p w14:paraId="7202D025"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120</w:t>
            </w:r>
          </w:p>
        </w:tc>
        <w:tc>
          <w:tcPr>
            <w:tcW w:w="1134" w:type="dxa"/>
            <w:tcBorders>
              <w:top w:val="nil"/>
              <w:left w:val="nil"/>
              <w:bottom w:val="single" w:sz="8" w:space="0" w:color="auto"/>
              <w:right w:val="single" w:sz="8" w:space="0" w:color="auto"/>
            </w:tcBorders>
          </w:tcPr>
          <w:p w14:paraId="70F8193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78ED5ED3"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123.2</w:t>
            </w:r>
          </w:p>
        </w:tc>
        <w:tc>
          <w:tcPr>
            <w:tcW w:w="1134" w:type="dxa"/>
            <w:tcBorders>
              <w:top w:val="nil"/>
              <w:left w:val="nil"/>
              <w:bottom w:val="single" w:sz="8" w:space="0" w:color="auto"/>
              <w:right w:val="single" w:sz="12" w:space="0" w:color="auto"/>
            </w:tcBorders>
          </w:tcPr>
          <w:p w14:paraId="455BB5D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6A5CF12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Van Gestel et al., 1989</w:t>
            </w:r>
          </w:p>
        </w:tc>
      </w:tr>
      <w:tr w:rsidR="00632208" w:rsidRPr="0098635C" w14:paraId="2D11D8E0" w14:textId="77777777" w:rsidTr="00A432B0">
        <w:trPr>
          <w:trHeight w:val="64"/>
        </w:trPr>
        <w:tc>
          <w:tcPr>
            <w:tcW w:w="1402" w:type="dxa"/>
            <w:tcBorders>
              <w:top w:val="nil"/>
              <w:left w:val="single" w:sz="8" w:space="0" w:color="auto"/>
              <w:bottom w:val="single" w:sz="8" w:space="0" w:color="auto"/>
              <w:right w:val="single" w:sz="8" w:space="0" w:color="auto"/>
            </w:tcBorders>
          </w:tcPr>
          <w:p w14:paraId="41EBED37"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andrei</w:t>
            </w:r>
          </w:p>
        </w:tc>
        <w:tc>
          <w:tcPr>
            <w:tcW w:w="1276" w:type="dxa"/>
            <w:tcBorders>
              <w:top w:val="nil"/>
              <w:left w:val="nil"/>
              <w:bottom w:val="single" w:sz="8" w:space="0" w:color="auto"/>
              <w:right w:val="single" w:sz="8" w:space="0" w:color="auto"/>
            </w:tcBorders>
          </w:tcPr>
          <w:p w14:paraId="12F830E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OECD soil</w:t>
            </w:r>
          </w:p>
        </w:tc>
        <w:tc>
          <w:tcPr>
            <w:tcW w:w="709" w:type="dxa"/>
            <w:tcBorders>
              <w:top w:val="nil"/>
              <w:left w:val="nil"/>
              <w:bottom w:val="single" w:sz="8" w:space="0" w:color="auto"/>
              <w:right w:val="single" w:sz="8" w:space="0" w:color="auto"/>
            </w:tcBorders>
          </w:tcPr>
          <w:p w14:paraId="567899D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6.2</w:t>
            </w:r>
          </w:p>
        </w:tc>
        <w:tc>
          <w:tcPr>
            <w:tcW w:w="708" w:type="dxa"/>
            <w:tcBorders>
              <w:top w:val="nil"/>
              <w:left w:val="nil"/>
              <w:bottom w:val="single" w:sz="8" w:space="0" w:color="auto"/>
              <w:right w:val="single" w:sz="8" w:space="0" w:color="auto"/>
            </w:tcBorders>
          </w:tcPr>
          <w:p w14:paraId="6BB255A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709" w:type="dxa"/>
            <w:tcBorders>
              <w:top w:val="nil"/>
              <w:left w:val="nil"/>
              <w:bottom w:val="single" w:sz="8" w:space="0" w:color="auto"/>
              <w:right w:val="single" w:sz="8" w:space="0" w:color="auto"/>
            </w:tcBorders>
          </w:tcPr>
          <w:p w14:paraId="338C8FE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851" w:type="dxa"/>
            <w:tcBorders>
              <w:top w:val="nil"/>
              <w:left w:val="nil"/>
              <w:bottom w:val="single" w:sz="8" w:space="0" w:color="auto"/>
              <w:right w:val="single" w:sz="8" w:space="0" w:color="auto"/>
            </w:tcBorders>
          </w:tcPr>
          <w:p w14:paraId="32797F9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6.1</w:t>
            </w:r>
          </w:p>
        </w:tc>
        <w:tc>
          <w:tcPr>
            <w:tcW w:w="850" w:type="dxa"/>
            <w:tcBorders>
              <w:top w:val="nil"/>
              <w:left w:val="nil"/>
              <w:bottom w:val="single" w:sz="8" w:space="0" w:color="auto"/>
              <w:right w:val="single" w:sz="8" w:space="0" w:color="auto"/>
            </w:tcBorders>
          </w:tcPr>
          <w:p w14:paraId="7A208231"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15.1</w:t>
            </w:r>
          </w:p>
        </w:tc>
        <w:tc>
          <w:tcPr>
            <w:tcW w:w="992" w:type="dxa"/>
            <w:tcBorders>
              <w:top w:val="nil"/>
              <w:left w:val="nil"/>
              <w:bottom w:val="single" w:sz="8" w:space="0" w:color="auto"/>
              <w:right w:val="single" w:sz="8" w:space="0" w:color="auto"/>
            </w:tcBorders>
          </w:tcPr>
          <w:p w14:paraId="4C2F96C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58B8F9D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84</w:t>
            </w:r>
          </w:p>
        </w:tc>
        <w:tc>
          <w:tcPr>
            <w:tcW w:w="992" w:type="dxa"/>
            <w:tcBorders>
              <w:top w:val="nil"/>
              <w:left w:val="nil"/>
              <w:bottom w:val="single" w:sz="8" w:space="0" w:color="auto"/>
              <w:right w:val="single" w:sz="8" w:space="0" w:color="auto"/>
            </w:tcBorders>
          </w:tcPr>
          <w:p w14:paraId="4B55458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g</w:t>
            </w:r>
          </w:p>
        </w:tc>
        <w:tc>
          <w:tcPr>
            <w:tcW w:w="851" w:type="dxa"/>
            <w:tcBorders>
              <w:top w:val="nil"/>
              <w:left w:val="nil"/>
              <w:bottom w:val="single" w:sz="8" w:space="0" w:color="auto"/>
              <w:right w:val="single" w:sz="8" w:space="0" w:color="auto"/>
            </w:tcBorders>
          </w:tcPr>
          <w:p w14:paraId="2159547D"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56</w:t>
            </w:r>
          </w:p>
        </w:tc>
        <w:tc>
          <w:tcPr>
            <w:tcW w:w="1134" w:type="dxa"/>
            <w:tcBorders>
              <w:top w:val="nil"/>
              <w:left w:val="nil"/>
              <w:bottom w:val="single" w:sz="8" w:space="0" w:color="auto"/>
              <w:right w:val="single" w:sz="8" w:space="0" w:color="auto"/>
            </w:tcBorders>
          </w:tcPr>
          <w:p w14:paraId="7B0B105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727E6D4F"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62</w:t>
            </w:r>
          </w:p>
        </w:tc>
        <w:tc>
          <w:tcPr>
            <w:tcW w:w="1134" w:type="dxa"/>
            <w:tcBorders>
              <w:top w:val="nil"/>
              <w:left w:val="nil"/>
              <w:bottom w:val="single" w:sz="8" w:space="0" w:color="auto"/>
              <w:right w:val="single" w:sz="12" w:space="0" w:color="auto"/>
            </w:tcBorders>
          </w:tcPr>
          <w:p w14:paraId="7734673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306851A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Van Gestel et al., 1991</w:t>
            </w:r>
          </w:p>
        </w:tc>
      </w:tr>
      <w:tr w:rsidR="00632208" w:rsidRPr="0098635C" w14:paraId="62E00965" w14:textId="77777777" w:rsidTr="00A432B0">
        <w:trPr>
          <w:trHeight w:val="80"/>
        </w:trPr>
        <w:tc>
          <w:tcPr>
            <w:tcW w:w="1402" w:type="dxa"/>
            <w:tcBorders>
              <w:top w:val="nil"/>
              <w:left w:val="single" w:sz="8" w:space="0" w:color="auto"/>
              <w:bottom w:val="single" w:sz="8" w:space="0" w:color="auto"/>
              <w:right w:val="single" w:sz="8" w:space="0" w:color="auto"/>
            </w:tcBorders>
          </w:tcPr>
          <w:p w14:paraId="20B9D55B"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andrei</w:t>
            </w:r>
          </w:p>
        </w:tc>
        <w:tc>
          <w:tcPr>
            <w:tcW w:w="1276" w:type="dxa"/>
            <w:tcBorders>
              <w:top w:val="nil"/>
              <w:left w:val="nil"/>
              <w:bottom w:val="single" w:sz="8" w:space="0" w:color="auto"/>
              <w:right w:val="single" w:sz="8" w:space="0" w:color="auto"/>
            </w:tcBorders>
          </w:tcPr>
          <w:p w14:paraId="143ABE9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Forest soil</w:t>
            </w:r>
          </w:p>
        </w:tc>
        <w:tc>
          <w:tcPr>
            <w:tcW w:w="709" w:type="dxa"/>
            <w:tcBorders>
              <w:top w:val="nil"/>
              <w:left w:val="nil"/>
              <w:bottom w:val="single" w:sz="8" w:space="0" w:color="auto"/>
              <w:right w:val="single" w:sz="8" w:space="0" w:color="auto"/>
            </w:tcBorders>
          </w:tcPr>
          <w:p w14:paraId="2CAE084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5.6</w:t>
            </w:r>
          </w:p>
        </w:tc>
        <w:tc>
          <w:tcPr>
            <w:tcW w:w="708" w:type="dxa"/>
            <w:tcBorders>
              <w:top w:val="nil"/>
              <w:left w:val="nil"/>
              <w:bottom w:val="single" w:sz="8" w:space="0" w:color="auto"/>
              <w:right w:val="single" w:sz="8" w:space="0" w:color="auto"/>
            </w:tcBorders>
          </w:tcPr>
          <w:p w14:paraId="2B80AE2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&lt;1</w:t>
            </w:r>
          </w:p>
        </w:tc>
        <w:tc>
          <w:tcPr>
            <w:tcW w:w="709" w:type="dxa"/>
            <w:tcBorders>
              <w:top w:val="nil"/>
              <w:left w:val="nil"/>
              <w:bottom w:val="single" w:sz="8" w:space="0" w:color="auto"/>
              <w:right w:val="single" w:sz="8" w:space="0" w:color="auto"/>
            </w:tcBorders>
          </w:tcPr>
          <w:p w14:paraId="02A64C5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w:t>
            </w:r>
          </w:p>
        </w:tc>
        <w:tc>
          <w:tcPr>
            <w:tcW w:w="851" w:type="dxa"/>
            <w:tcBorders>
              <w:top w:val="nil"/>
              <w:left w:val="nil"/>
              <w:bottom w:val="single" w:sz="8" w:space="0" w:color="auto"/>
              <w:right w:val="single" w:sz="8" w:space="0" w:color="auto"/>
            </w:tcBorders>
          </w:tcPr>
          <w:p w14:paraId="40CB593B"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3.7</w:t>
            </w:r>
          </w:p>
        </w:tc>
        <w:tc>
          <w:tcPr>
            <w:tcW w:w="850" w:type="dxa"/>
            <w:tcBorders>
              <w:top w:val="nil"/>
              <w:left w:val="nil"/>
              <w:bottom w:val="single" w:sz="8" w:space="0" w:color="auto"/>
              <w:right w:val="single" w:sz="8" w:space="0" w:color="auto"/>
            </w:tcBorders>
          </w:tcPr>
          <w:p w14:paraId="542B0C0B"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2.9</w:t>
            </w:r>
          </w:p>
        </w:tc>
        <w:tc>
          <w:tcPr>
            <w:tcW w:w="992" w:type="dxa"/>
            <w:tcBorders>
              <w:top w:val="nil"/>
              <w:left w:val="nil"/>
              <w:bottom w:val="single" w:sz="8" w:space="0" w:color="auto"/>
              <w:right w:val="single" w:sz="8" w:space="0" w:color="auto"/>
            </w:tcBorders>
          </w:tcPr>
          <w:p w14:paraId="1279EA2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w:t>
            </w:r>
          </w:p>
        </w:tc>
        <w:tc>
          <w:tcPr>
            <w:tcW w:w="851" w:type="dxa"/>
            <w:tcBorders>
              <w:top w:val="nil"/>
              <w:left w:val="nil"/>
              <w:bottom w:val="single" w:sz="8" w:space="0" w:color="auto"/>
              <w:right w:val="single" w:sz="8" w:space="0" w:color="auto"/>
            </w:tcBorders>
          </w:tcPr>
          <w:p w14:paraId="6A1879B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nil"/>
              <w:left w:val="nil"/>
              <w:bottom w:val="single" w:sz="8" w:space="0" w:color="auto"/>
              <w:right w:val="single" w:sz="8" w:space="0" w:color="auto"/>
            </w:tcBorders>
          </w:tcPr>
          <w:p w14:paraId="4802270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159F8D83"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188*</w:t>
            </w:r>
          </w:p>
        </w:tc>
        <w:tc>
          <w:tcPr>
            <w:tcW w:w="1134" w:type="dxa"/>
            <w:tcBorders>
              <w:top w:val="nil"/>
              <w:left w:val="nil"/>
              <w:bottom w:val="single" w:sz="8" w:space="0" w:color="auto"/>
              <w:right w:val="single" w:sz="8" w:space="0" w:color="auto"/>
            </w:tcBorders>
          </w:tcPr>
          <w:p w14:paraId="250491E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3B5D8D41"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192</w:t>
            </w:r>
          </w:p>
        </w:tc>
        <w:tc>
          <w:tcPr>
            <w:tcW w:w="1134" w:type="dxa"/>
            <w:tcBorders>
              <w:top w:val="nil"/>
              <w:left w:val="nil"/>
              <w:bottom w:val="single" w:sz="8" w:space="0" w:color="auto"/>
              <w:right w:val="single" w:sz="12" w:space="0" w:color="auto"/>
            </w:tcBorders>
          </w:tcPr>
          <w:p w14:paraId="0F00BDA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2A78444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Svendsen &amp; Weeks, 1997a</w:t>
            </w:r>
          </w:p>
        </w:tc>
      </w:tr>
      <w:tr w:rsidR="00632208" w:rsidRPr="0098635C" w14:paraId="3035F329" w14:textId="77777777" w:rsidTr="00A432B0">
        <w:trPr>
          <w:trHeight w:val="463"/>
        </w:trPr>
        <w:tc>
          <w:tcPr>
            <w:tcW w:w="1402" w:type="dxa"/>
            <w:tcBorders>
              <w:top w:val="nil"/>
              <w:left w:val="single" w:sz="8" w:space="0" w:color="auto"/>
              <w:bottom w:val="single" w:sz="8" w:space="0" w:color="auto"/>
              <w:right w:val="single" w:sz="8" w:space="0" w:color="auto"/>
            </w:tcBorders>
          </w:tcPr>
          <w:p w14:paraId="47D54AF9"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andrei</w:t>
            </w:r>
          </w:p>
        </w:tc>
        <w:tc>
          <w:tcPr>
            <w:tcW w:w="1276" w:type="dxa"/>
            <w:tcBorders>
              <w:top w:val="nil"/>
              <w:left w:val="nil"/>
              <w:bottom w:val="single" w:sz="8" w:space="0" w:color="auto"/>
              <w:right w:val="single" w:sz="8" w:space="0" w:color="auto"/>
            </w:tcBorders>
          </w:tcPr>
          <w:p w14:paraId="5CA9FFC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Forest soil</w:t>
            </w:r>
          </w:p>
        </w:tc>
        <w:tc>
          <w:tcPr>
            <w:tcW w:w="709" w:type="dxa"/>
            <w:tcBorders>
              <w:top w:val="nil"/>
              <w:left w:val="nil"/>
              <w:bottom w:val="single" w:sz="8" w:space="0" w:color="auto"/>
              <w:right w:val="single" w:sz="8" w:space="0" w:color="auto"/>
            </w:tcBorders>
          </w:tcPr>
          <w:p w14:paraId="00C686E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5.6</w:t>
            </w:r>
          </w:p>
        </w:tc>
        <w:tc>
          <w:tcPr>
            <w:tcW w:w="708" w:type="dxa"/>
            <w:tcBorders>
              <w:top w:val="nil"/>
              <w:left w:val="nil"/>
              <w:bottom w:val="single" w:sz="8" w:space="0" w:color="auto"/>
              <w:right w:val="single" w:sz="8" w:space="0" w:color="auto"/>
            </w:tcBorders>
          </w:tcPr>
          <w:p w14:paraId="5B313CC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&lt;1</w:t>
            </w:r>
          </w:p>
        </w:tc>
        <w:tc>
          <w:tcPr>
            <w:tcW w:w="709" w:type="dxa"/>
            <w:tcBorders>
              <w:top w:val="nil"/>
              <w:left w:val="nil"/>
              <w:bottom w:val="single" w:sz="8" w:space="0" w:color="auto"/>
              <w:right w:val="single" w:sz="8" w:space="0" w:color="auto"/>
            </w:tcBorders>
          </w:tcPr>
          <w:p w14:paraId="0AF6873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w:t>
            </w:r>
          </w:p>
        </w:tc>
        <w:tc>
          <w:tcPr>
            <w:tcW w:w="851" w:type="dxa"/>
            <w:tcBorders>
              <w:top w:val="nil"/>
              <w:left w:val="nil"/>
              <w:bottom w:val="single" w:sz="8" w:space="0" w:color="auto"/>
              <w:right w:val="single" w:sz="8" w:space="0" w:color="auto"/>
            </w:tcBorders>
          </w:tcPr>
          <w:p w14:paraId="2EAE7996"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3.7</w:t>
            </w:r>
          </w:p>
        </w:tc>
        <w:tc>
          <w:tcPr>
            <w:tcW w:w="850" w:type="dxa"/>
            <w:tcBorders>
              <w:top w:val="nil"/>
              <w:left w:val="nil"/>
              <w:bottom w:val="single" w:sz="8" w:space="0" w:color="auto"/>
              <w:right w:val="single" w:sz="8" w:space="0" w:color="auto"/>
            </w:tcBorders>
          </w:tcPr>
          <w:p w14:paraId="767B4E33"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2.9</w:t>
            </w:r>
          </w:p>
        </w:tc>
        <w:tc>
          <w:tcPr>
            <w:tcW w:w="992" w:type="dxa"/>
            <w:tcBorders>
              <w:top w:val="nil"/>
              <w:left w:val="nil"/>
              <w:bottom w:val="single" w:sz="8" w:space="0" w:color="auto"/>
              <w:right w:val="single" w:sz="8" w:space="0" w:color="auto"/>
            </w:tcBorders>
          </w:tcPr>
          <w:p w14:paraId="7373EB2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w:t>
            </w:r>
          </w:p>
        </w:tc>
        <w:tc>
          <w:tcPr>
            <w:tcW w:w="851" w:type="dxa"/>
            <w:tcBorders>
              <w:top w:val="nil"/>
              <w:left w:val="nil"/>
              <w:bottom w:val="single" w:sz="8" w:space="0" w:color="auto"/>
              <w:right w:val="single" w:sz="8" w:space="0" w:color="auto"/>
            </w:tcBorders>
          </w:tcPr>
          <w:p w14:paraId="4110C49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nil"/>
              <w:left w:val="nil"/>
              <w:bottom w:val="single" w:sz="8" w:space="0" w:color="auto"/>
              <w:right w:val="single" w:sz="8" w:space="0" w:color="auto"/>
            </w:tcBorders>
          </w:tcPr>
          <w:p w14:paraId="3B524F6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tcBorders>
              <w:top w:val="nil"/>
              <w:left w:val="nil"/>
              <w:bottom w:val="single" w:sz="8" w:space="0" w:color="auto"/>
              <w:right w:val="single" w:sz="8" w:space="0" w:color="auto"/>
            </w:tcBorders>
          </w:tcPr>
          <w:p w14:paraId="5FBC58D6"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188*</w:t>
            </w:r>
          </w:p>
        </w:tc>
        <w:tc>
          <w:tcPr>
            <w:tcW w:w="1134" w:type="dxa"/>
            <w:tcBorders>
              <w:top w:val="nil"/>
              <w:left w:val="nil"/>
              <w:bottom w:val="single" w:sz="8" w:space="0" w:color="auto"/>
              <w:right w:val="single" w:sz="8" w:space="0" w:color="auto"/>
            </w:tcBorders>
          </w:tcPr>
          <w:p w14:paraId="57A8FBB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08CD3329"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192</w:t>
            </w:r>
          </w:p>
        </w:tc>
        <w:tc>
          <w:tcPr>
            <w:tcW w:w="1134" w:type="dxa"/>
            <w:tcBorders>
              <w:top w:val="nil"/>
              <w:left w:val="nil"/>
              <w:bottom w:val="single" w:sz="8" w:space="0" w:color="auto"/>
              <w:right w:val="single" w:sz="12" w:space="0" w:color="auto"/>
            </w:tcBorders>
          </w:tcPr>
          <w:p w14:paraId="43306EA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3411F6C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Svendsen &amp; Weeks, 1997a</w:t>
            </w:r>
          </w:p>
        </w:tc>
      </w:tr>
      <w:tr w:rsidR="00632208" w:rsidRPr="0098635C" w14:paraId="2D3EA868" w14:textId="77777777" w:rsidTr="00A432B0">
        <w:trPr>
          <w:trHeight w:val="64"/>
        </w:trPr>
        <w:tc>
          <w:tcPr>
            <w:tcW w:w="1402" w:type="dxa"/>
            <w:tcBorders>
              <w:top w:val="nil"/>
              <w:left w:val="single" w:sz="8" w:space="0" w:color="auto"/>
              <w:bottom w:val="single" w:sz="8" w:space="0" w:color="auto"/>
              <w:right w:val="single" w:sz="8" w:space="0" w:color="auto"/>
            </w:tcBorders>
          </w:tcPr>
          <w:p w14:paraId="20BE39D2"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andrei</w:t>
            </w:r>
          </w:p>
        </w:tc>
        <w:tc>
          <w:tcPr>
            <w:tcW w:w="1276" w:type="dxa"/>
            <w:tcBorders>
              <w:top w:val="nil"/>
              <w:left w:val="nil"/>
              <w:bottom w:val="single" w:sz="8" w:space="0" w:color="auto"/>
              <w:right w:val="single" w:sz="8" w:space="0" w:color="auto"/>
            </w:tcBorders>
          </w:tcPr>
          <w:p w14:paraId="3CBD038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OECD soil</w:t>
            </w:r>
          </w:p>
        </w:tc>
        <w:tc>
          <w:tcPr>
            <w:tcW w:w="709" w:type="dxa"/>
            <w:tcBorders>
              <w:top w:val="nil"/>
              <w:left w:val="nil"/>
              <w:bottom w:val="single" w:sz="8" w:space="0" w:color="auto"/>
              <w:right w:val="single" w:sz="8" w:space="0" w:color="auto"/>
            </w:tcBorders>
          </w:tcPr>
          <w:p w14:paraId="3A3D54D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w:t>
            </w:r>
          </w:p>
        </w:tc>
        <w:tc>
          <w:tcPr>
            <w:tcW w:w="708" w:type="dxa"/>
            <w:tcBorders>
              <w:top w:val="nil"/>
              <w:left w:val="nil"/>
              <w:bottom w:val="single" w:sz="8" w:space="0" w:color="auto"/>
              <w:right w:val="single" w:sz="8" w:space="0" w:color="auto"/>
            </w:tcBorders>
          </w:tcPr>
          <w:p w14:paraId="5DEDA80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709" w:type="dxa"/>
            <w:tcBorders>
              <w:top w:val="nil"/>
              <w:left w:val="nil"/>
              <w:bottom w:val="single" w:sz="8" w:space="0" w:color="auto"/>
              <w:right w:val="single" w:sz="8" w:space="0" w:color="auto"/>
            </w:tcBorders>
          </w:tcPr>
          <w:p w14:paraId="01541D8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851" w:type="dxa"/>
            <w:tcBorders>
              <w:top w:val="nil"/>
              <w:left w:val="nil"/>
              <w:bottom w:val="single" w:sz="8" w:space="0" w:color="auto"/>
              <w:right w:val="single" w:sz="8" w:space="0" w:color="auto"/>
            </w:tcBorders>
          </w:tcPr>
          <w:p w14:paraId="12FD05EE"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3.2</w:t>
            </w:r>
          </w:p>
        </w:tc>
        <w:tc>
          <w:tcPr>
            <w:tcW w:w="850" w:type="dxa"/>
            <w:tcBorders>
              <w:top w:val="nil"/>
              <w:left w:val="nil"/>
              <w:bottom w:val="single" w:sz="8" w:space="0" w:color="auto"/>
              <w:right w:val="single" w:sz="8" w:space="0" w:color="auto"/>
            </w:tcBorders>
          </w:tcPr>
          <w:p w14:paraId="0FD93F0D"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14.5</w:t>
            </w:r>
          </w:p>
        </w:tc>
        <w:tc>
          <w:tcPr>
            <w:tcW w:w="992" w:type="dxa"/>
            <w:tcBorders>
              <w:top w:val="nil"/>
              <w:left w:val="nil"/>
              <w:bottom w:val="single" w:sz="8" w:space="0" w:color="auto"/>
              <w:right w:val="single" w:sz="8" w:space="0" w:color="auto"/>
            </w:tcBorders>
          </w:tcPr>
          <w:p w14:paraId="1C548E8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72EDC1F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nil"/>
              <w:left w:val="nil"/>
              <w:bottom w:val="single" w:sz="8" w:space="0" w:color="auto"/>
              <w:right w:val="single" w:sz="8" w:space="0" w:color="auto"/>
            </w:tcBorders>
          </w:tcPr>
          <w:p w14:paraId="2636801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r(cp)</w:t>
            </w:r>
          </w:p>
        </w:tc>
        <w:tc>
          <w:tcPr>
            <w:tcW w:w="851" w:type="dxa"/>
            <w:tcBorders>
              <w:top w:val="nil"/>
              <w:left w:val="nil"/>
              <w:bottom w:val="single" w:sz="8" w:space="0" w:color="auto"/>
              <w:right w:val="single" w:sz="8" w:space="0" w:color="auto"/>
            </w:tcBorders>
          </w:tcPr>
          <w:p w14:paraId="13DD2836"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100</w:t>
            </w:r>
          </w:p>
        </w:tc>
        <w:tc>
          <w:tcPr>
            <w:tcW w:w="1134" w:type="dxa"/>
            <w:tcBorders>
              <w:top w:val="nil"/>
              <w:left w:val="nil"/>
              <w:bottom w:val="single" w:sz="8" w:space="0" w:color="auto"/>
              <w:right w:val="single" w:sz="8" w:space="0" w:color="auto"/>
            </w:tcBorders>
          </w:tcPr>
          <w:p w14:paraId="265C4D0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3E03BBDE"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103.2</w:t>
            </w:r>
          </w:p>
        </w:tc>
        <w:tc>
          <w:tcPr>
            <w:tcW w:w="1134" w:type="dxa"/>
            <w:tcBorders>
              <w:top w:val="nil"/>
              <w:left w:val="nil"/>
              <w:bottom w:val="single" w:sz="8" w:space="0" w:color="auto"/>
              <w:right w:val="single" w:sz="12" w:space="0" w:color="auto"/>
            </w:tcBorders>
          </w:tcPr>
          <w:p w14:paraId="304B019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48883AA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Kula and Larink, 1997</w:t>
            </w:r>
          </w:p>
        </w:tc>
      </w:tr>
      <w:tr w:rsidR="00632208" w:rsidRPr="0098635C" w14:paraId="61AF37EC" w14:textId="77777777" w:rsidTr="00A432B0">
        <w:trPr>
          <w:trHeight w:val="64"/>
        </w:trPr>
        <w:tc>
          <w:tcPr>
            <w:tcW w:w="1402" w:type="dxa"/>
            <w:tcBorders>
              <w:top w:val="nil"/>
              <w:left w:val="single" w:sz="8" w:space="0" w:color="auto"/>
              <w:bottom w:val="single" w:sz="8" w:space="0" w:color="auto"/>
              <w:right w:val="single" w:sz="8" w:space="0" w:color="auto"/>
            </w:tcBorders>
          </w:tcPr>
          <w:p w14:paraId="57CF56CD"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andrei</w:t>
            </w:r>
          </w:p>
        </w:tc>
        <w:tc>
          <w:tcPr>
            <w:tcW w:w="1276" w:type="dxa"/>
            <w:tcBorders>
              <w:top w:val="nil"/>
              <w:left w:val="nil"/>
              <w:bottom w:val="single" w:sz="8" w:space="0" w:color="auto"/>
              <w:right w:val="single" w:sz="8" w:space="0" w:color="auto"/>
            </w:tcBorders>
          </w:tcPr>
          <w:p w14:paraId="4841D91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OECD soil</w:t>
            </w:r>
          </w:p>
        </w:tc>
        <w:tc>
          <w:tcPr>
            <w:tcW w:w="709" w:type="dxa"/>
            <w:tcBorders>
              <w:top w:val="nil"/>
              <w:left w:val="nil"/>
              <w:bottom w:val="single" w:sz="8" w:space="0" w:color="auto"/>
              <w:right w:val="single" w:sz="8" w:space="0" w:color="auto"/>
            </w:tcBorders>
          </w:tcPr>
          <w:p w14:paraId="2131AF9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w:t>
            </w:r>
          </w:p>
        </w:tc>
        <w:tc>
          <w:tcPr>
            <w:tcW w:w="708" w:type="dxa"/>
            <w:tcBorders>
              <w:top w:val="nil"/>
              <w:left w:val="nil"/>
              <w:bottom w:val="single" w:sz="8" w:space="0" w:color="auto"/>
              <w:right w:val="single" w:sz="8" w:space="0" w:color="auto"/>
            </w:tcBorders>
          </w:tcPr>
          <w:p w14:paraId="0A2A90E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709" w:type="dxa"/>
            <w:tcBorders>
              <w:top w:val="nil"/>
              <w:left w:val="nil"/>
              <w:bottom w:val="single" w:sz="8" w:space="0" w:color="auto"/>
              <w:right w:val="single" w:sz="8" w:space="0" w:color="auto"/>
            </w:tcBorders>
          </w:tcPr>
          <w:p w14:paraId="1E0574E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851" w:type="dxa"/>
            <w:tcBorders>
              <w:top w:val="nil"/>
              <w:left w:val="nil"/>
              <w:bottom w:val="single" w:sz="8" w:space="0" w:color="auto"/>
              <w:right w:val="single" w:sz="8" w:space="0" w:color="auto"/>
            </w:tcBorders>
          </w:tcPr>
          <w:p w14:paraId="5261FE2F"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3.2</w:t>
            </w:r>
          </w:p>
        </w:tc>
        <w:tc>
          <w:tcPr>
            <w:tcW w:w="850" w:type="dxa"/>
            <w:tcBorders>
              <w:top w:val="nil"/>
              <w:left w:val="nil"/>
              <w:bottom w:val="single" w:sz="8" w:space="0" w:color="auto"/>
              <w:right w:val="single" w:sz="8" w:space="0" w:color="auto"/>
            </w:tcBorders>
          </w:tcPr>
          <w:p w14:paraId="14612320"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14.5</w:t>
            </w:r>
          </w:p>
        </w:tc>
        <w:tc>
          <w:tcPr>
            <w:tcW w:w="992" w:type="dxa"/>
            <w:tcBorders>
              <w:top w:val="nil"/>
              <w:left w:val="nil"/>
              <w:bottom w:val="single" w:sz="8" w:space="0" w:color="auto"/>
              <w:right w:val="single" w:sz="8" w:space="0" w:color="auto"/>
            </w:tcBorders>
          </w:tcPr>
          <w:p w14:paraId="6D8D322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5CC8FBF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nil"/>
              <w:left w:val="nil"/>
              <w:bottom w:val="single" w:sz="8" w:space="0" w:color="auto"/>
              <w:right w:val="single" w:sz="8" w:space="0" w:color="auto"/>
            </w:tcBorders>
          </w:tcPr>
          <w:p w14:paraId="25774D2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r(jp)</w:t>
            </w:r>
          </w:p>
        </w:tc>
        <w:tc>
          <w:tcPr>
            <w:tcW w:w="851" w:type="dxa"/>
            <w:tcBorders>
              <w:top w:val="nil"/>
              <w:left w:val="nil"/>
              <w:bottom w:val="single" w:sz="8" w:space="0" w:color="auto"/>
              <w:right w:val="single" w:sz="8" w:space="0" w:color="auto"/>
            </w:tcBorders>
          </w:tcPr>
          <w:p w14:paraId="6CD7DF3B"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100</w:t>
            </w:r>
          </w:p>
        </w:tc>
        <w:tc>
          <w:tcPr>
            <w:tcW w:w="1134" w:type="dxa"/>
            <w:tcBorders>
              <w:top w:val="nil"/>
              <w:left w:val="nil"/>
              <w:bottom w:val="single" w:sz="8" w:space="0" w:color="auto"/>
              <w:right w:val="single" w:sz="8" w:space="0" w:color="auto"/>
            </w:tcBorders>
          </w:tcPr>
          <w:p w14:paraId="309BC34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629E994F"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103.2</w:t>
            </w:r>
          </w:p>
        </w:tc>
        <w:tc>
          <w:tcPr>
            <w:tcW w:w="1134" w:type="dxa"/>
            <w:tcBorders>
              <w:top w:val="nil"/>
              <w:left w:val="nil"/>
              <w:bottom w:val="single" w:sz="8" w:space="0" w:color="auto"/>
              <w:right w:val="single" w:sz="12" w:space="0" w:color="auto"/>
            </w:tcBorders>
          </w:tcPr>
          <w:p w14:paraId="796C5FD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4DA5836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Kula and Larink, 1997</w:t>
            </w:r>
          </w:p>
        </w:tc>
      </w:tr>
      <w:tr w:rsidR="00632208" w:rsidRPr="0098635C" w14:paraId="1370FB9A" w14:textId="77777777" w:rsidTr="00A432B0">
        <w:trPr>
          <w:trHeight w:val="233"/>
        </w:trPr>
        <w:tc>
          <w:tcPr>
            <w:tcW w:w="1402" w:type="dxa"/>
            <w:tcBorders>
              <w:top w:val="nil"/>
              <w:left w:val="single" w:sz="8" w:space="0" w:color="auto"/>
              <w:bottom w:val="single" w:sz="8" w:space="0" w:color="auto"/>
              <w:right w:val="single" w:sz="8" w:space="0" w:color="auto"/>
            </w:tcBorders>
          </w:tcPr>
          <w:p w14:paraId="1A013E57"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andrei</w:t>
            </w:r>
          </w:p>
        </w:tc>
        <w:tc>
          <w:tcPr>
            <w:tcW w:w="1276" w:type="dxa"/>
            <w:tcBorders>
              <w:top w:val="nil"/>
              <w:left w:val="nil"/>
              <w:bottom w:val="single" w:sz="8" w:space="0" w:color="auto"/>
              <w:right w:val="single" w:sz="8" w:space="0" w:color="auto"/>
            </w:tcBorders>
          </w:tcPr>
          <w:p w14:paraId="3CC14EC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OECD soil</w:t>
            </w:r>
          </w:p>
        </w:tc>
        <w:tc>
          <w:tcPr>
            <w:tcW w:w="709" w:type="dxa"/>
            <w:tcBorders>
              <w:top w:val="nil"/>
              <w:left w:val="nil"/>
              <w:bottom w:val="single" w:sz="8" w:space="0" w:color="auto"/>
              <w:right w:val="single" w:sz="8" w:space="0" w:color="auto"/>
            </w:tcBorders>
          </w:tcPr>
          <w:p w14:paraId="5EF7BA2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w:t>
            </w:r>
          </w:p>
        </w:tc>
        <w:tc>
          <w:tcPr>
            <w:tcW w:w="708" w:type="dxa"/>
            <w:tcBorders>
              <w:top w:val="nil"/>
              <w:left w:val="nil"/>
              <w:bottom w:val="single" w:sz="8" w:space="0" w:color="auto"/>
              <w:right w:val="single" w:sz="8" w:space="0" w:color="auto"/>
            </w:tcBorders>
          </w:tcPr>
          <w:p w14:paraId="60AC404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709" w:type="dxa"/>
            <w:tcBorders>
              <w:top w:val="nil"/>
              <w:left w:val="nil"/>
              <w:bottom w:val="single" w:sz="8" w:space="0" w:color="auto"/>
              <w:right w:val="single" w:sz="8" w:space="0" w:color="auto"/>
            </w:tcBorders>
          </w:tcPr>
          <w:p w14:paraId="4B2BD2A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851" w:type="dxa"/>
            <w:tcBorders>
              <w:top w:val="nil"/>
              <w:left w:val="nil"/>
              <w:bottom w:val="single" w:sz="8" w:space="0" w:color="auto"/>
              <w:right w:val="single" w:sz="8" w:space="0" w:color="auto"/>
            </w:tcBorders>
          </w:tcPr>
          <w:p w14:paraId="6B3CC367"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3.2</w:t>
            </w:r>
          </w:p>
        </w:tc>
        <w:tc>
          <w:tcPr>
            <w:tcW w:w="850" w:type="dxa"/>
            <w:tcBorders>
              <w:top w:val="nil"/>
              <w:left w:val="nil"/>
              <w:bottom w:val="single" w:sz="8" w:space="0" w:color="auto"/>
              <w:right w:val="single" w:sz="8" w:space="0" w:color="auto"/>
            </w:tcBorders>
          </w:tcPr>
          <w:p w14:paraId="152140DB"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14.5</w:t>
            </w:r>
          </w:p>
        </w:tc>
        <w:tc>
          <w:tcPr>
            <w:tcW w:w="992" w:type="dxa"/>
            <w:tcBorders>
              <w:top w:val="nil"/>
              <w:left w:val="nil"/>
              <w:bottom w:val="single" w:sz="8" w:space="0" w:color="auto"/>
              <w:right w:val="single" w:sz="8" w:space="0" w:color="auto"/>
            </w:tcBorders>
          </w:tcPr>
          <w:p w14:paraId="37C1BD8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1E9148E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nil"/>
              <w:left w:val="nil"/>
              <w:bottom w:val="single" w:sz="8" w:space="0" w:color="auto"/>
              <w:right w:val="single" w:sz="8" w:space="0" w:color="auto"/>
            </w:tcBorders>
          </w:tcPr>
          <w:p w14:paraId="46A588E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g</w:t>
            </w:r>
          </w:p>
        </w:tc>
        <w:tc>
          <w:tcPr>
            <w:tcW w:w="851" w:type="dxa"/>
            <w:tcBorders>
              <w:top w:val="nil"/>
              <w:left w:val="nil"/>
              <w:bottom w:val="single" w:sz="8" w:space="0" w:color="auto"/>
              <w:right w:val="single" w:sz="8" w:space="0" w:color="auto"/>
            </w:tcBorders>
          </w:tcPr>
          <w:p w14:paraId="5780C88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tcBorders>
              <w:top w:val="nil"/>
              <w:left w:val="nil"/>
              <w:bottom w:val="single" w:sz="8" w:space="0" w:color="auto"/>
              <w:right w:val="single" w:sz="8" w:space="0" w:color="auto"/>
            </w:tcBorders>
          </w:tcPr>
          <w:p w14:paraId="0298A92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320</w:t>
            </w:r>
          </w:p>
        </w:tc>
        <w:tc>
          <w:tcPr>
            <w:tcW w:w="850" w:type="dxa"/>
            <w:tcBorders>
              <w:top w:val="single" w:sz="8" w:space="0" w:color="auto"/>
              <w:left w:val="nil"/>
              <w:bottom w:val="single" w:sz="8" w:space="0" w:color="auto"/>
              <w:right w:val="single" w:sz="8" w:space="0" w:color="000000"/>
            </w:tcBorders>
          </w:tcPr>
          <w:p w14:paraId="359DD7B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tcBorders>
              <w:top w:val="nil"/>
              <w:left w:val="nil"/>
              <w:bottom w:val="single" w:sz="8" w:space="0" w:color="auto"/>
              <w:right w:val="single" w:sz="12" w:space="0" w:color="auto"/>
            </w:tcBorders>
          </w:tcPr>
          <w:p w14:paraId="036886A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323.2</w:t>
            </w:r>
          </w:p>
        </w:tc>
        <w:tc>
          <w:tcPr>
            <w:tcW w:w="1985" w:type="dxa"/>
            <w:tcBorders>
              <w:top w:val="nil"/>
              <w:left w:val="nil"/>
              <w:bottom w:val="single" w:sz="8" w:space="0" w:color="auto"/>
              <w:right w:val="single" w:sz="12" w:space="0" w:color="auto"/>
            </w:tcBorders>
          </w:tcPr>
          <w:p w14:paraId="5C03A8D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Kula and Larink, 1997</w:t>
            </w:r>
          </w:p>
        </w:tc>
      </w:tr>
      <w:tr w:rsidR="00632208" w:rsidRPr="0098635C" w14:paraId="48E9D68C" w14:textId="77777777" w:rsidTr="00A432B0">
        <w:trPr>
          <w:trHeight w:val="64"/>
        </w:trPr>
        <w:tc>
          <w:tcPr>
            <w:tcW w:w="1402" w:type="dxa"/>
            <w:tcBorders>
              <w:top w:val="nil"/>
              <w:left w:val="single" w:sz="8" w:space="0" w:color="auto"/>
              <w:bottom w:val="single" w:sz="8" w:space="0" w:color="auto"/>
              <w:right w:val="single" w:sz="8" w:space="0" w:color="auto"/>
            </w:tcBorders>
          </w:tcPr>
          <w:p w14:paraId="7070FEF6"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andrei</w:t>
            </w:r>
          </w:p>
        </w:tc>
        <w:tc>
          <w:tcPr>
            <w:tcW w:w="1276" w:type="dxa"/>
            <w:tcBorders>
              <w:top w:val="nil"/>
              <w:left w:val="nil"/>
              <w:bottom w:val="single" w:sz="8" w:space="0" w:color="auto"/>
              <w:right w:val="single" w:sz="8" w:space="0" w:color="auto"/>
            </w:tcBorders>
          </w:tcPr>
          <w:p w14:paraId="39F2102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LUFA 2.2</w:t>
            </w:r>
          </w:p>
        </w:tc>
        <w:tc>
          <w:tcPr>
            <w:tcW w:w="709" w:type="dxa"/>
            <w:tcBorders>
              <w:top w:val="nil"/>
              <w:left w:val="nil"/>
              <w:bottom w:val="single" w:sz="8" w:space="0" w:color="auto"/>
              <w:right w:val="single" w:sz="8" w:space="0" w:color="auto"/>
            </w:tcBorders>
          </w:tcPr>
          <w:p w14:paraId="1662EB3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5.8</w:t>
            </w:r>
          </w:p>
        </w:tc>
        <w:tc>
          <w:tcPr>
            <w:tcW w:w="708" w:type="dxa"/>
            <w:tcBorders>
              <w:top w:val="nil"/>
              <w:left w:val="nil"/>
              <w:bottom w:val="single" w:sz="8" w:space="0" w:color="auto"/>
              <w:right w:val="single" w:sz="8" w:space="0" w:color="auto"/>
            </w:tcBorders>
          </w:tcPr>
          <w:p w14:paraId="6BE622D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w:t>
            </w:r>
          </w:p>
        </w:tc>
        <w:tc>
          <w:tcPr>
            <w:tcW w:w="709" w:type="dxa"/>
            <w:tcBorders>
              <w:top w:val="nil"/>
              <w:left w:val="nil"/>
              <w:bottom w:val="single" w:sz="8" w:space="0" w:color="auto"/>
              <w:right w:val="single" w:sz="8" w:space="0" w:color="auto"/>
            </w:tcBorders>
          </w:tcPr>
          <w:p w14:paraId="76D2D8E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5.1</w:t>
            </w:r>
          </w:p>
        </w:tc>
        <w:tc>
          <w:tcPr>
            <w:tcW w:w="851" w:type="dxa"/>
            <w:tcBorders>
              <w:top w:val="nil"/>
              <w:left w:val="nil"/>
              <w:bottom w:val="single" w:sz="8" w:space="0" w:color="auto"/>
              <w:right w:val="single" w:sz="8" w:space="0" w:color="auto"/>
            </w:tcBorders>
          </w:tcPr>
          <w:p w14:paraId="11D93267"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5.2</w:t>
            </w:r>
          </w:p>
        </w:tc>
        <w:tc>
          <w:tcPr>
            <w:tcW w:w="850" w:type="dxa"/>
            <w:tcBorders>
              <w:top w:val="nil"/>
              <w:left w:val="nil"/>
              <w:bottom w:val="single" w:sz="8" w:space="0" w:color="auto"/>
              <w:right w:val="single" w:sz="8" w:space="0" w:color="auto"/>
            </w:tcBorders>
          </w:tcPr>
          <w:p w14:paraId="546F4A58"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8.3</w:t>
            </w:r>
          </w:p>
        </w:tc>
        <w:tc>
          <w:tcPr>
            <w:tcW w:w="992" w:type="dxa"/>
            <w:tcBorders>
              <w:top w:val="nil"/>
              <w:left w:val="nil"/>
              <w:bottom w:val="single" w:sz="8" w:space="0" w:color="auto"/>
              <w:right w:val="single" w:sz="8" w:space="0" w:color="auto"/>
            </w:tcBorders>
          </w:tcPr>
          <w:p w14:paraId="4C84034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7F7DED6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nil"/>
              <w:left w:val="nil"/>
              <w:bottom w:val="single" w:sz="8" w:space="0" w:color="auto"/>
              <w:right w:val="single" w:sz="8" w:space="0" w:color="auto"/>
            </w:tcBorders>
          </w:tcPr>
          <w:p w14:paraId="1D08FD2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r(cp)</w:t>
            </w:r>
          </w:p>
        </w:tc>
        <w:tc>
          <w:tcPr>
            <w:tcW w:w="851" w:type="dxa"/>
            <w:tcBorders>
              <w:top w:val="nil"/>
              <w:left w:val="nil"/>
              <w:bottom w:val="single" w:sz="8" w:space="0" w:color="auto"/>
              <w:right w:val="single" w:sz="8" w:space="0" w:color="auto"/>
            </w:tcBorders>
          </w:tcPr>
          <w:p w14:paraId="7CE59E41"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3.2</w:t>
            </w:r>
          </w:p>
        </w:tc>
        <w:tc>
          <w:tcPr>
            <w:tcW w:w="1134" w:type="dxa"/>
            <w:tcBorders>
              <w:top w:val="nil"/>
              <w:left w:val="nil"/>
              <w:bottom w:val="single" w:sz="8" w:space="0" w:color="auto"/>
              <w:right w:val="single" w:sz="8" w:space="0" w:color="auto"/>
            </w:tcBorders>
          </w:tcPr>
          <w:p w14:paraId="0FF52DE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4BEFE94A"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8.4</w:t>
            </w:r>
          </w:p>
        </w:tc>
        <w:tc>
          <w:tcPr>
            <w:tcW w:w="1134" w:type="dxa"/>
            <w:tcBorders>
              <w:top w:val="nil"/>
              <w:left w:val="nil"/>
              <w:bottom w:val="single" w:sz="8" w:space="0" w:color="auto"/>
              <w:right w:val="single" w:sz="12" w:space="0" w:color="auto"/>
            </w:tcBorders>
          </w:tcPr>
          <w:p w14:paraId="4DD58FF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150055D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Kula and Larink, 1997</w:t>
            </w:r>
          </w:p>
        </w:tc>
      </w:tr>
      <w:tr w:rsidR="00632208" w:rsidRPr="0098635C" w14:paraId="19E1D0C1" w14:textId="77777777" w:rsidTr="00A432B0">
        <w:trPr>
          <w:trHeight w:val="64"/>
        </w:trPr>
        <w:tc>
          <w:tcPr>
            <w:tcW w:w="1402" w:type="dxa"/>
            <w:tcBorders>
              <w:top w:val="nil"/>
              <w:left w:val="single" w:sz="8" w:space="0" w:color="auto"/>
              <w:bottom w:val="single" w:sz="8" w:space="0" w:color="auto"/>
              <w:right w:val="single" w:sz="8" w:space="0" w:color="auto"/>
            </w:tcBorders>
          </w:tcPr>
          <w:p w14:paraId="4DD8909A"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andrei</w:t>
            </w:r>
          </w:p>
        </w:tc>
        <w:tc>
          <w:tcPr>
            <w:tcW w:w="1276" w:type="dxa"/>
            <w:tcBorders>
              <w:top w:val="nil"/>
              <w:left w:val="nil"/>
              <w:bottom w:val="single" w:sz="8" w:space="0" w:color="auto"/>
              <w:right w:val="single" w:sz="8" w:space="0" w:color="auto"/>
            </w:tcBorders>
          </w:tcPr>
          <w:p w14:paraId="0830325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LUFA 2.2</w:t>
            </w:r>
          </w:p>
        </w:tc>
        <w:tc>
          <w:tcPr>
            <w:tcW w:w="709" w:type="dxa"/>
            <w:tcBorders>
              <w:top w:val="nil"/>
              <w:left w:val="nil"/>
              <w:bottom w:val="single" w:sz="8" w:space="0" w:color="auto"/>
              <w:right w:val="single" w:sz="8" w:space="0" w:color="auto"/>
            </w:tcBorders>
          </w:tcPr>
          <w:p w14:paraId="3C074D7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5.8</w:t>
            </w:r>
          </w:p>
        </w:tc>
        <w:tc>
          <w:tcPr>
            <w:tcW w:w="708" w:type="dxa"/>
            <w:tcBorders>
              <w:top w:val="nil"/>
              <w:left w:val="nil"/>
              <w:bottom w:val="single" w:sz="8" w:space="0" w:color="auto"/>
              <w:right w:val="single" w:sz="8" w:space="0" w:color="auto"/>
            </w:tcBorders>
          </w:tcPr>
          <w:p w14:paraId="7F342B6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w:t>
            </w:r>
          </w:p>
        </w:tc>
        <w:tc>
          <w:tcPr>
            <w:tcW w:w="709" w:type="dxa"/>
            <w:tcBorders>
              <w:top w:val="nil"/>
              <w:left w:val="nil"/>
              <w:bottom w:val="single" w:sz="8" w:space="0" w:color="auto"/>
              <w:right w:val="single" w:sz="8" w:space="0" w:color="auto"/>
            </w:tcBorders>
          </w:tcPr>
          <w:p w14:paraId="0F72898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5.1</w:t>
            </w:r>
          </w:p>
        </w:tc>
        <w:tc>
          <w:tcPr>
            <w:tcW w:w="851" w:type="dxa"/>
            <w:tcBorders>
              <w:top w:val="nil"/>
              <w:left w:val="nil"/>
              <w:bottom w:val="single" w:sz="8" w:space="0" w:color="auto"/>
              <w:right w:val="single" w:sz="8" w:space="0" w:color="auto"/>
            </w:tcBorders>
          </w:tcPr>
          <w:p w14:paraId="3811E76A"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5.2</w:t>
            </w:r>
          </w:p>
        </w:tc>
        <w:tc>
          <w:tcPr>
            <w:tcW w:w="850" w:type="dxa"/>
            <w:tcBorders>
              <w:top w:val="nil"/>
              <w:left w:val="nil"/>
              <w:bottom w:val="single" w:sz="8" w:space="0" w:color="auto"/>
              <w:right w:val="single" w:sz="8" w:space="0" w:color="auto"/>
            </w:tcBorders>
          </w:tcPr>
          <w:p w14:paraId="21E7A746"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8.3</w:t>
            </w:r>
          </w:p>
        </w:tc>
        <w:tc>
          <w:tcPr>
            <w:tcW w:w="992" w:type="dxa"/>
            <w:tcBorders>
              <w:top w:val="nil"/>
              <w:left w:val="nil"/>
              <w:bottom w:val="single" w:sz="8" w:space="0" w:color="auto"/>
              <w:right w:val="single" w:sz="8" w:space="0" w:color="auto"/>
            </w:tcBorders>
          </w:tcPr>
          <w:p w14:paraId="4F08F32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25643CD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nil"/>
              <w:left w:val="nil"/>
              <w:bottom w:val="single" w:sz="8" w:space="0" w:color="auto"/>
              <w:right w:val="single" w:sz="8" w:space="0" w:color="auto"/>
            </w:tcBorders>
          </w:tcPr>
          <w:p w14:paraId="117FB82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g</w:t>
            </w:r>
          </w:p>
        </w:tc>
        <w:tc>
          <w:tcPr>
            <w:tcW w:w="851" w:type="dxa"/>
            <w:tcBorders>
              <w:top w:val="nil"/>
              <w:left w:val="nil"/>
              <w:bottom w:val="single" w:sz="8" w:space="0" w:color="auto"/>
              <w:right w:val="single" w:sz="8" w:space="0" w:color="auto"/>
            </w:tcBorders>
          </w:tcPr>
          <w:p w14:paraId="6BC7E5F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tcBorders>
              <w:top w:val="nil"/>
              <w:left w:val="nil"/>
              <w:bottom w:val="single" w:sz="8" w:space="0" w:color="auto"/>
              <w:right w:val="single" w:sz="8" w:space="0" w:color="auto"/>
            </w:tcBorders>
          </w:tcPr>
          <w:p w14:paraId="6ECEFB7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320</w:t>
            </w:r>
          </w:p>
        </w:tc>
        <w:tc>
          <w:tcPr>
            <w:tcW w:w="850" w:type="dxa"/>
            <w:tcBorders>
              <w:top w:val="single" w:sz="8" w:space="0" w:color="auto"/>
              <w:left w:val="nil"/>
              <w:bottom w:val="single" w:sz="8" w:space="0" w:color="auto"/>
              <w:right w:val="single" w:sz="8" w:space="0" w:color="000000"/>
            </w:tcBorders>
          </w:tcPr>
          <w:p w14:paraId="1592EFD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tcBorders>
              <w:top w:val="nil"/>
              <w:left w:val="nil"/>
              <w:bottom w:val="single" w:sz="8" w:space="0" w:color="auto"/>
              <w:right w:val="single" w:sz="12" w:space="0" w:color="auto"/>
            </w:tcBorders>
          </w:tcPr>
          <w:p w14:paraId="410891BB"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 325.2</w:t>
            </w:r>
            <w:r w:rsidRPr="0098635C">
              <w:rPr>
                <w:color w:val="000000" w:themeColor="text1"/>
                <w:sz w:val="20"/>
                <w:szCs w:val="20"/>
                <w:u w:val="single"/>
                <w:vertAlign w:val="superscript"/>
              </w:rPr>
              <w:t>a</w:t>
            </w:r>
          </w:p>
        </w:tc>
        <w:tc>
          <w:tcPr>
            <w:tcW w:w="1985" w:type="dxa"/>
            <w:tcBorders>
              <w:top w:val="nil"/>
              <w:left w:val="nil"/>
              <w:bottom w:val="single" w:sz="8" w:space="0" w:color="auto"/>
              <w:right w:val="single" w:sz="12" w:space="0" w:color="auto"/>
            </w:tcBorders>
          </w:tcPr>
          <w:p w14:paraId="00CB7F5D"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rPr>
              <w:t xml:space="preserve">Kula and Larink, </w:t>
            </w:r>
            <w:r w:rsidRPr="0098635C">
              <w:rPr>
                <w:color w:val="000000" w:themeColor="text1"/>
                <w:sz w:val="20"/>
                <w:szCs w:val="20"/>
              </w:rPr>
              <w:lastRenderedPageBreak/>
              <w:t>1997</w:t>
            </w:r>
          </w:p>
        </w:tc>
      </w:tr>
      <w:tr w:rsidR="00632208" w:rsidRPr="0098635C" w14:paraId="07DD1A06" w14:textId="77777777" w:rsidTr="00A432B0">
        <w:trPr>
          <w:trHeight w:val="64"/>
        </w:trPr>
        <w:tc>
          <w:tcPr>
            <w:tcW w:w="1402" w:type="dxa"/>
            <w:tcBorders>
              <w:top w:val="nil"/>
              <w:left w:val="single" w:sz="8" w:space="0" w:color="auto"/>
              <w:bottom w:val="single" w:sz="8" w:space="0" w:color="auto"/>
              <w:right w:val="single" w:sz="8" w:space="0" w:color="auto"/>
            </w:tcBorders>
          </w:tcPr>
          <w:p w14:paraId="071237E9"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nil"/>
              <w:left w:val="nil"/>
              <w:bottom w:val="single" w:sz="8" w:space="0" w:color="auto"/>
              <w:right w:val="single" w:sz="8" w:space="0" w:color="auto"/>
            </w:tcBorders>
          </w:tcPr>
          <w:p w14:paraId="60F7A2A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OECD soil</w:t>
            </w:r>
          </w:p>
        </w:tc>
        <w:tc>
          <w:tcPr>
            <w:tcW w:w="709" w:type="dxa"/>
            <w:tcBorders>
              <w:top w:val="nil"/>
              <w:left w:val="nil"/>
              <w:bottom w:val="single" w:sz="8" w:space="0" w:color="auto"/>
              <w:right w:val="single" w:sz="8" w:space="0" w:color="auto"/>
            </w:tcBorders>
          </w:tcPr>
          <w:p w14:paraId="17288B7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6.3</w:t>
            </w:r>
          </w:p>
        </w:tc>
        <w:tc>
          <w:tcPr>
            <w:tcW w:w="708" w:type="dxa"/>
            <w:tcBorders>
              <w:top w:val="nil"/>
              <w:left w:val="nil"/>
              <w:bottom w:val="single" w:sz="8" w:space="0" w:color="auto"/>
              <w:right w:val="single" w:sz="8" w:space="0" w:color="auto"/>
            </w:tcBorders>
          </w:tcPr>
          <w:p w14:paraId="097A663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709" w:type="dxa"/>
            <w:tcBorders>
              <w:top w:val="nil"/>
              <w:left w:val="nil"/>
              <w:bottom w:val="single" w:sz="8" w:space="0" w:color="auto"/>
              <w:right w:val="single" w:sz="8" w:space="0" w:color="auto"/>
            </w:tcBorders>
          </w:tcPr>
          <w:p w14:paraId="37B0F32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851" w:type="dxa"/>
            <w:tcBorders>
              <w:top w:val="nil"/>
              <w:left w:val="nil"/>
              <w:bottom w:val="single" w:sz="8" w:space="0" w:color="auto"/>
              <w:right w:val="single" w:sz="8" w:space="0" w:color="auto"/>
            </w:tcBorders>
          </w:tcPr>
          <w:p w14:paraId="1A6BD89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2.4</w:t>
            </w:r>
          </w:p>
        </w:tc>
        <w:tc>
          <w:tcPr>
            <w:tcW w:w="850" w:type="dxa"/>
            <w:tcBorders>
              <w:top w:val="nil"/>
              <w:left w:val="nil"/>
              <w:bottom w:val="single" w:sz="8" w:space="0" w:color="auto"/>
              <w:right w:val="single" w:sz="8" w:space="0" w:color="auto"/>
            </w:tcBorders>
          </w:tcPr>
          <w:p w14:paraId="3661A52D"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15.4</w:t>
            </w:r>
          </w:p>
        </w:tc>
        <w:tc>
          <w:tcPr>
            <w:tcW w:w="992" w:type="dxa"/>
            <w:tcBorders>
              <w:top w:val="nil"/>
              <w:left w:val="nil"/>
              <w:bottom w:val="single" w:sz="8" w:space="0" w:color="auto"/>
              <w:right w:val="single" w:sz="8" w:space="0" w:color="auto"/>
            </w:tcBorders>
          </w:tcPr>
          <w:p w14:paraId="5B0A744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3B1BCC3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56</w:t>
            </w:r>
          </w:p>
        </w:tc>
        <w:tc>
          <w:tcPr>
            <w:tcW w:w="992" w:type="dxa"/>
            <w:tcBorders>
              <w:top w:val="nil"/>
              <w:left w:val="nil"/>
              <w:bottom w:val="single" w:sz="8" w:space="0" w:color="auto"/>
              <w:right w:val="single" w:sz="8" w:space="0" w:color="auto"/>
            </w:tcBorders>
          </w:tcPr>
          <w:p w14:paraId="34754C1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m</w:t>
            </w:r>
          </w:p>
        </w:tc>
        <w:tc>
          <w:tcPr>
            <w:tcW w:w="851" w:type="dxa"/>
            <w:tcBorders>
              <w:top w:val="nil"/>
              <w:left w:val="nil"/>
              <w:bottom w:val="single" w:sz="8" w:space="0" w:color="auto"/>
              <w:right w:val="single" w:sz="8" w:space="0" w:color="auto"/>
            </w:tcBorders>
          </w:tcPr>
          <w:p w14:paraId="12F400F8"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200</w:t>
            </w:r>
          </w:p>
        </w:tc>
        <w:tc>
          <w:tcPr>
            <w:tcW w:w="1134" w:type="dxa"/>
            <w:tcBorders>
              <w:top w:val="nil"/>
              <w:left w:val="nil"/>
              <w:bottom w:val="single" w:sz="8" w:space="0" w:color="auto"/>
              <w:right w:val="single" w:sz="8" w:space="0" w:color="auto"/>
            </w:tcBorders>
          </w:tcPr>
          <w:p w14:paraId="35D5E6F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6A094B8B"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202.4</w:t>
            </w:r>
          </w:p>
        </w:tc>
        <w:tc>
          <w:tcPr>
            <w:tcW w:w="1134" w:type="dxa"/>
            <w:tcBorders>
              <w:top w:val="nil"/>
              <w:left w:val="nil"/>
              <w:bottom w:val="single" w:sz="8" w:space="0" w:color="auto"/>
              <w:right w:val="single" w:sz="12" w:space="0" w:color="auto"/>
            </w:tcBorders>
          </w:tcPr>
          <w:p w14:paraId="01A402D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0C0DC8C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Spurgeon et al., 1994</w:t>
            </w:r>
          </w:p>
        </w:tc>
      </w:tr>
      <w:tr w:rsidR="00632208" w:rsidRPr="0098635C" w14:paraId="3954DFC4" w14:textId="77777777" w:rsidTr="00A432B0">
        <w:trPr>
          <w:trHeight w:val="64"/>
        </w:trPr>
        <w:tc>
          <w:tcPr>
            <w:tcW w:w="1402" w:type="dxa"/>
            <w:tcBorders>
              <w:top w:val="nil"/>
              <w:left w:val="single" w:sz="8" w:space="0" w:color="auto"/>
              <w:bottom w:val="single" w:sz="8" w:space="0" w:color="auto"/>
              <w:right w:val="single" w:sz="8" w:space="0" w:color="auto"/>
            </w:tcBorders>
          </w:tcPr>
          <w:p w14:paraId="483C03FA"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nil"/>
              <w:left w:val="nil"/>
              <w:bottom w:val="single" w:sz="8" w:space="0" w:color="auto"/>
              <w:right w:val="single" w:sz="8" w:space="0" w:color="auto"/>
            </w:tcBorders>
          </w:tcPr>
          <w:p w14:paraId="41715AF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OECD soil</w:t>
            </w:r>
          </w:p>
        </w:tc>
        <w:tc>
          <w:tcPr>
            <w:tcW w:w="709" w:type="dxa"/>
            <w:tcBorders>
              <w:top w:val="nil"/>
              <w:left w:val="nil"/>
              <w:bottom w:val="single" w:sz="8" w:space="0" w:color="auto"/>
              <w:right w:val="single" w:sz="8" w:space="0" w:color="auto"/>
            </w:tcBorders>
          </w:tcPr>
          <w:p w14:paraId="34BB55F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6.3</w:t>
            </w:r>
          </w:p>
        </w:tc>
        <w:tc>
          <w:tcPr>
            <w:tcW w:w="708" w:type="dxa"/>
            <w:tcBorders>
              <w:top w:val="nil"/>
              <w:left w:val="nil"/>
              <w:bottom w:val="single" w:sz="8" w:space="0" w:color="auto"/>
              <w:right w:val="single" w:sz="8" w:space="0" w:color="auto"/>
            </w:tcBorders>
          </w:tcPr>
          <w:p w14:paraId="11DD292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709" w:type="dxa"/>
            <w:tcBorders>
              <w:top w:val="nil"/>
              <w:left w:val="nil"/>
              <w:bottom w:val="single" w:sz="8" w:space="0" w:color="auto"/>
              <w:right w:val="single" w:sz="8" w:space="0" w:color="auto"/>
            </w:tcBorders>
          </w:tcPr>
          <w:p w14:paraId="6C80FA9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851" w:type="dxa"/>
            <w:tcBorders>
              <w:top w:val="nil"/>
              <w:left w:val="nil"/>
              <w:bottom w:val="single" w:sz="8" w:space="0" w:color="auto"/>
              <w:right w:val="single" w:sz="8" w:space="0" w:color="auto"/>
            </w:tcBorders>
          </w:tcPr>
          <w:p w14:paraId="2B1A2D8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2.4</w:t>
            </w:r>
          </w:p>
        </w:tc>
        <w:tc>
          <w:tcPr>
            <w:tcW w:w="850" w:type="dxa"/>
            <w:tcBorders>
              <w:top w:val="nil"/>
              <w:left w:val="nil"/>
              <w:bottom w:val="single" w:sz="8" w:space="0" w:color="auto"/>
              <w:right w:val="single" w:sz="8" w:space="0" w:color="auto"/>
            </w:tcBorders>
          </w:tcPr>
          <w:p w14:paraId="26515036"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15.4</w:t>
            </w:r>
          </w:p>
        </w:tc>
        <w:tc>
          <w:tcPr>
            <w:tcW w:w="992" w:type="dxa"/>
            <w:tcBorders>
              <w:top w:val="nil"/>
              <w:left w:val="nil"/>
              <w:bottom w:val="single" w:sz="8" w:space="0" w:color="auto"/>
              <w:right w:val="single" w:sz="8" w:space="0" w:color="auto"/>
            </w:tcBorders>
          </w:tcPr>
          <w:p w14:paraId="187EFBF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5A95E09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56</w:t>
            </w:r>
          </w:p>
        </w:tc>
        <w:tc>
          <w:tcPr>
            <w:tcW w:w="992" w:type="dxa"/>
            <w:tcBorders>
              <w:top w:val="nil"/>
              <w:left w:val="nil"/>
              <w:bottom w:val="single" w:sz="8" w:space="0" w:color="auto"/>
              <w:right w:val="single" w:sz="8" w:space="0" w:color="auto"/>
            </w:tcBorders>
          </w:tcPr>
          <w:p w14:paraId="42D6E0B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r(cp)</w:t>
            </w:r>
          </w:p>
        </w:tc>
        <w:tc>
          <w:tcPr>
            <w:tcW w:w="851" w:type="dxa"/>
            <w:tcBorders>
              <w:top w:val="nil"/>
              <w:left w:val="nil"/>
              <w:bottom w:val="single" w:sz="8" w:space="0" w:color="auto"/>
              <w:right w:val="single" w:sz="8" w:space="0" w:color="auto"/>
            </w:tcBorders>
          </w:tcPr>
          <w:p w14:paraId="4877CC15"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10</w:t>
            </w:r>
          </w:p>
        </w:tc>
        <w:tc>
          <w:tcPr>
            <w:tcW w:w="1134" w:type="dxa"/>
            <w:tcBorders>
              <w:top w:val="nil"/>
              <w:left w:val="nil"/>
              <w:bottom w:val="single" w:sz="8" w:space="0" w:color="auto"/>
              <w:right w:val="single" w:sz="8" w:space="0" w:color="auto"/>
            </w:tcBorders>
          </w:tcPr>
          <w:p w14:paraId="36DD284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5D5F2626"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12.4</w:t>
            </w:r>
          </w:p>
        </w:tc>
        <w:tc>
          <w:tcPr>
            <w:tcW w:w="1134" w:type="dxa"/>
            <w:tcBorders>
              <w:top w:val="nil"/>
              <w:left w:val="nil"/>
              <w:bottom w:val="single" w:sz="8" w:space="0" w:color="auto"/>
              <w:right w:val="single" w:sz="12" w:space="0" w:color="auto"/>
            </w:tcBorders>
          </w:tcPr>
          <w:p w14:paraId="2647716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1DD6179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Spurgeon et al., 1994</w:t>
            </w:r>
          </w:p>
        </w:tc>
      </w:tr>
      <w:tr w:rsidR="00632208" w:rsidRPr="0098635C" w14:paraId="56213512" w14:textId="77777777" w:rsidTr="00A432B0">
        <w:trPr>
          <w:trHeight w:val="463"/>
        </w:trPr>
        <w:tc>
          <w:tcPr>
            <w:tcW w:w="1402" w:type="dxa"/>
            <w:tcBorders>
              <w:top w:val="nil"/>
              <w:left w:val="single" w:sz="8" w:space="0" w:color="auto"/>
              <w:bottom w:val="single" w:sz="8" w:space="0" w:color="auto"/>
              <w:right w:val="single" w:sz="8" w:space="0" w:color="auto"/>
            </w:tcBorders>
          </w:tcPr>
          <w:p w14:paraId="0819341A"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nil"/>
              <w:left w:val="nil"/>
              <w:bottom w:val="single" w:sz="8" w:space="0" w:color="auto"/>
              <w:right w:val="single" w:sz="8" w:space="0" w:color="auto"/>
            </w:tcBorders>
          </w:tcPr>
          <w:p w14:paraId="49F0916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OECD soil</w:t>
            </w:r>
          </w:p>
        </w:tc>
        <w:tc>
          <w:tcPr>
            <w:tcW w:w="709" w:type="dxa"/>
            <w:tcBorders>
              <w:top w:val="nil"/>
              <w:left w:val="nil"/>
              <w:bottom w:val="single" w:sz="8" w:space="0" w:color="auto"/>
              <w:right w:val="single" w:sz="8" w:space="0" w:color="auto"/>
            </w:tcBorders>
          </w:tcPr>
          <w:p w14:paraId="2D05F81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6.1</w:t>
            </w:r>
          </w:p>
        </w:tc>
        <w:tc>
          <w:tcPr>
            <w:tcW w:w="708" w:type="dxa"/>
            <w:tcBorders>
              <w:top w:val="nil"/>
              <w:left w:val="nil"/>
              <w:bottom w:val="single" w:sz="8" w:space="0" w:color="auto"/>
              <w:right w:val="single" w:sz="8" w:space="0" w:color="auto"/>
            </w:tcBorders>
          </w:tcPr>
          <w:p w14:paraId="590BCA5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709" w:type="dxa"/>
            <w:tcBorders>
              <w:top w:val="nil"/>
              <w:left w:val="nil"/>
              <w:bottom w:val="single" w:sz="8" w:space="0" w:color="auto"/>
              <w:right w:val="single" w:sz="8" w:space="0" w:color="auto"/>
            </w:tcBorders>
          </w:tcPr>
          <w:p w14:paraId="345D939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851" w:type="dxa"/>
            <w:tcBorders>
              <w:top w:val="nil"/>
              <w:left w:val="nil"/>
              <w:bottom w:val="single" w:sz="8" w:space="0" w:color="auto"/>
              <w:right w:val="single" w:sz="8" w:space="0" w:color="auto"/>
            </w:tcBorders>
          </w:tcPr>
          <w:p w14:paraId="04F2EB1C"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3.2</w:t>
            </w:r>
          </w:p>
        </w:tc>
        <w:tc>
          <w:tcPr>
            <w:tcW w:w="850" w:type="dxa"/>
            <w:tcBorders>
              <w:top w:val="nil"/>
              <w:left w:val="nil"/>
              <w:bottom w:val="single" w:sz="8" w:space="0" w:color="auto"/>
              <w:right w:val="single" w:sz="8" w:space="0" w:color="auto"/>
            </w:tcBorders>
          </w:tcPr>
          <w:p w14:paraId="763244F2"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14.8</w:t>
            </w:r>
          </w:p>
        </w:tc>
        <w:tc>
          <w:tcPr>
            <w:tcW w:w="992" w:type="dxa"/>
            <w:tcBorders>
              <w:top w:val="nil"/>
              <w:left w:val="nil"/>
              <w:bottom w:val="single" w:sz="8" w:space="0" w:color="auto"/>
              <w:right w:val="single" w:sz="8" w:space="0" w:color="auto"/>
            </w:tcBorders>
          </w:tcPr>
          <w:p w14:paraId="018BE57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6EEEA8E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992" w:type="dxa"/>
            <w:tcBorders>
              <w:top w:val="nil"/>
              <w:left w:val="nil"/>
              <w:bottom w:val="single" w:sz="8" w:space="0" w:color="auto"/>
              <w:right w:val="single" w:sz="8" w:space="0" w:color="auto"/>
            </w:tcBorders>
          </w:tcPr>
          <w:p w14:paraId="54D3436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r(cp)</w:t>
            </w:r>
          </w:p>
        </w:tc>
        <w:tc>
          <w:tcPr>
            <w:tcW w:w="851" w:type="dxa"/>
            <w:tcBorders>
              <w:top w:val="nil"/>
              <w:left w:val="nil"/>
              <w:bottom w:val="single" w:sz="8" w:space="0" w:color="auto"/>
              <w:right w:val="single" w:sz="8" w:space="0" w:color="auto"/>
            </w:tcBorders>
          </w:tcPr>
          <w:p w14:paraId="47CD6104"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29</w:t>
            </w:r>
          </w:p>
        </w:tc>
        <w:tc>
          <w:tcPr>
            <w:tcW w:w="1134" w:type="dxa"/>
            <w:tcBorders>
              <w:top w:val="nil"/>
              <w:left w:val="nil"/>
              <w:bottom w:val="single" w:sz="8" w:space="0" w:color="auto"/>
              <w:right w:val="single" w:sz="8" w:space="0" w:color="auto"/>
            </w:tcBorders>
          </w:tcPr>
          <w:p w14:paraId="2D0FC2C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50B0FEF9"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32.3</w:t>
            </w:r>
          </w:p>
        </w:tc>
        <w:tc>
          <w:tcPr>
            <w:tcW w:w="1134" w:type="dxa"/>
            <w:tcBorders>
              <w:top w:val="nil"/>
              <w:left w:val="nil"/>
              <w:bottom w:val="single" w:sz="8" w:space="0" w:color="auto"/>
              <w:right w:val="single" w:sz="12" w:space="0" w:color="auto"/>
            </w:tcBorders>
          </w:tcPr>
          <w:p w14:paraId="313281C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79A8A72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Spurgeon and Hopkin, 1995</w:t>
            </w:r>
          </w:p>
        </w:tc>
      </w:tr>
      <w:tr w:rsidR="00632208" w:rsidRPr="0098635C" w14:paraId="3E31A562" w14:textId="77777777" w:rsidTr="00A432B0">
        <w:trPr>
          <w:trHeight w:val="64"/>
        </w:trPr>
        <w:tc>
          <w:tcPr>
            <w:tcW w:w="1402" w:type="dxa"/>
            <w:tcBorders>
              <w:top w:val="nil"/>
              <w:left w:val="single" w:sz="8" w:space="0" w:color="auto"/>
              <w:bottom w:val="single" w:sz="8" w:space="0" w:color="auto"/>
              <w:right w:val="single" w:sz="8" w:space="0" w:color="auto"/>
            </w:tcBorders>
          </w:tcPr>
          <w:p w14:paraId="52FDCC7A"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nil"/>
              <w:left w:val="nil"/>
              <w:bottom w:val="single" w:sz="8" w:space="0" w:color="auto"/>
              <w:right w:val="single" w:sz="8" w:space="0" w:color="auto"/>
            </w:tcBorders>
          </w:tcPr>
          <w:p w14:paraId="6D9A557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OECD soil</w:t>
            </w:r>
          </w:p>
        </w:tc>
        <w:tc>
          <w:tcPr>
            <w:tcW w:w="709" w:type="dxa"/>
            <w:tcBorders>
              <w:top w:val="nil"/>
              <w:left w:val="nil"/>
              <w:bottom w:val="single" w:sz="8" w:space="0" w:color="auto"/>
              <w:right w:val="single" w:sz="8" w:space="0" w:color="auto"/>
            </w:tcBorders>
          </w:tcPr>
          <w:p w14:paraId="54CD745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6.1</w:t>
            </w:r>
          </w:p>
        </w:tc>
        <w:tc>
          <w:tcPr>
            <w:tcW w:w="708" w:type="dxa"/>
            <w:tcBorders>
              <w:top w:val="nil"/>
              <w:left w:val="nil"/>
              <w:bottom w:val="single" w:sz="8" w:space="0" w:color="auto"/>
              <w:right w:val="single" w:sz="8" w:space="0" w:color="auto"/>
            </w:tcBorders>
          </w:tcPr>
          <w:p w14:paraId="68F5442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709" w:type="dxa"/>
            <w:tcBorders>
              <w:top w:val="nil"/>
              <w:left w:val="nil"/>
              <w:bottom w:val="single" w:sz="8" w:space="0" w:color="auto"/>
              <w:right w:val="single" w:sz="8" w:space="0" w:color="auto"/>
            </w:tcBorders>
          </w:tcPr>
          <w:p w14:paraId="2443C95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851" w:type="dxa"/>
            <w:tcBorders>
              <w:top w:val="nil"/>
              <w:left w:val="nil"/>
              <w:bottom w:val="single" w:sz="8" w:space="0" w:color="auto"/>
              <w:right w:val="single" w:sz="8" w:space="0" w:color="auto"/>
            </w:tcBorders>
          </w:tcPr>
          <w:p w14:paraId="578F9AD1"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3.2</w:t>
            </w:r>
          </w:p>
        </w:tc>
        <w:tc>
          <w:tcPr>
            <w:tcW w:w="850" w:type="dxa"/>
            <w:tcBorders>
              <w:top w:val="nil"/>
              <w:left w:val="nil"/>
              <w:bottom w:val="single" w:sz="8" w:space="0" w:color="auto"/>
              <w:right w:val="single" w:sz="8" w:space="0" w:color="auto"/>
            </w:tcBorders>
          </w:tcPr>
          <w:p w14:paraId="3B333511"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14.8</w:t>
            </w:r>
          </w:p>
        </w:tc>
        <w:tc>
          <w:tcPr>
            <w:tcW w:w="992" w:type="dxa"/>
            <w:tcBorders>
              <w:top w:val="nil"/>
              <w:left w:val="nil"/>
              <w:bottom w:val="single" w:sz="8" w:space="0" w:color="auto"/>
              <w:right w:val="single" w:sz="8" w:space="0" w:color="auto"/>
            </w:tcBorders>
          </w:tcPr>
          <w:p w14:paraId="3687B1A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0EB743C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992" w:type="dxa"/>
            <w:tcBorders>
              <w:top w:val="nil"/>
              <w:left w:val="nil"/>
              <w:bottom w:val="single" w:sz="8" w:space="0" w:color="auto"/>
              <w:right w:val="single" w:sz="8" w:space="0" w:color="auto"/>
            </w:tcBorders>
          </w:tcPr>
          <w:p w14:paraId="27AF5F7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g</w:t>
            </w:r>
          </w:p>
        </w:tc>
        <w:tc>
          <w:tcPr>
            <w:tcW w:w="851" w:type="dxa"/>
            <w:tcBorders>
              <w:top w:val="nil"/>
              <w:left w:val="nil"/>
              <w:bottom w:val="single" w:sz="8" w:space="0" w:color="auto"/>
              <w:right w:val="single" w:sz="8" w:space="0" w:color="auto"/>
            </w:tcBorders>
          </w:tcPr>
          <w:p w14:paraId="0DEF1B79"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725</w:t>
            </w:r>
          </w:p>
        </w:tc>
        <w:tc>
          <w:tcPr>
            <w:tcW w:w="1134" w:type="dxa"/>
            <w:tcBorders>
              <w:top w:val="nil"/>
              <w:left w:val="nil"/>
              <w:bottom w:val="single" w:sz="8" w:space="0" w:color="auto"/>
              <w:right w:val="single" w:sz="8" w:space="0" w:color="auto"/>
            </w:tcBorders>
          </w:tcPr>
          <w:p w14:paraId="28FDBB5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2909A06D"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728.2</w:t>
            </w:r>
          </w:p>
        </w:tc>
        <w:tc>
          <w:tcPr>
            <w:tcW w:w="1134" w:type="dxa"/>
            <w:tcBorders>
              <w:top w:val="nil"/>
              <w:left w:val="nil"/>
              <w:bottom w:val="single" w:sz="8" w:space="0" w:color="auto"/>
              <w:right w:val="single" w:sz="12" w:space="0" w:color="auto"/>
            </w:tcBorders>
          </w:tcPr>
          <w:p w14:paraId="715C2D9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784D07D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Spurgeon and Hopkin, 1995</w:t>
            </w:r>
          </w:p>
        </w:tc>
      </w:tr>
      <w:tr w:rsidR="00632208" w:rsidRPr="0098635C" w14:paraId="2B3FF1FC" w14:textId="77777777" w:rsidTr="00A432B0">
        <w:trPr>
          <w:trHeight w:val="463"/>
        </w:trPr>
        <w:tc>
          <w:tcPr>
            <w:tcW w:w="1402" w:type="dxa"/>
            <w:tcBorders>
              <w:top w:val="single" w:sz="8" w:space="0" w:color="auto"/>
              <w:left w:val="single" w:sz="8" w:space="0" w:color="auto"/>
              <w:bottom w:val="single" w:sz="4" w:space="0" w:color="auto"/>
              <w:right w:val="single" w:sz="8" w:space="0" w:color="auto"/>
            </w:tcBorders>
          </w:tcPr>
          <w:p w14:paraId="11A26CF5"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single" w:sz="8" w:space="0" w:color="auto"/>
              <w:left w:val="nil"/>
              <w:bottom w:val="single" w:sz="4" w:space="0" w:color="auto"/>
              <w:right w:val="single" w:sz="8" w:space="0" w:color="auto"/>
            </w:tcBorders>
          </w:tcPr>
          <w:p w14:paraId="1F3AAA0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OECD soil</w:t>
            </w:r>
          </w:p>
        </w:tc>
        <w:tc>
          <w:tcPr>
            <w:tcW w:w="709" w:type="dxa"/>
            <w:tcBorders>
              <w:top w:val="single" w:sz="8" w:space="0" w:color="auto"/>
              <w:left w:val="nil"/>
              <w:bottom w:val="single" w:sz="4" w:space="0" w:color="auto"/>
              <w:right w:val="single" w:sz="8" w:space="0" w:color="auto"/>
            </w:tcBorders>
          </w:tcPr>
          <w:p w14:paraId="2898A84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6.1</w:t>
            </w:r>
          </w:p>
        </w:tc>
        <w:tc>
          <w:tcPr>
            <w:tcW w:w="708" w:type="dxa"/>
            <w:tcBorders>
              <w:top w:val="single" w:sz="8" w:space="0" w:color="auto"/>
              <w:left w:val="nil"/>
              <w:bottom w:val="single" w:sz="4" w:space="0" w:color="auto"/>
              <w:right w:val="single" w:sz="8" w:space="0" w:color="auto"/>
            </w:tcBorders>
          </w:tcPr>
          <w:p w14:paraId="037C835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709" w:type="dxa"/>
            <w:tcBorders>
              <w:top w:val="single" w:sz="8" w:space="0" w:color="auto"/>
              <w:left w:val="nil"/>
              <w:bottom w:val="single" w:sz="4" w:space="0" w:color="auto"/>
              <w:right w:val="single" w:sz="8" w:space="0" w:color="auto"/>
            </w:tcBorders>
          </w:tcPr>
          <w:p w14:paraId="5AC64D8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851" w:type="dxa"/>
            <w:tcBorders>
              <w:top w:val="single" w:sz="8" w:space="0" w:color="auto"/>
              <w:left w:val="nil"/>
              <w:bottom w:val="single" w:sz="4" w:space="0" w:color="auto"/>
              <w:right w:val="single" w:sz="8" w:space="0" w:color="auto"/>
            </w:tcBorders>
          </w:tcPr>
          <w:p w14:paraId="04994076"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3.2</w:t>
            </w:r>
          </w:p>
        </w:tc>
        <w:tc>
          <w:tcPr>
            <w:tcW w:w="850" w:type="dxa"/>
            <w:tcBorders>
              <w:top w:val="single" w:sz="8" w:space="0" w:color="auto"/>
              <w:left w:val="nil"/>
              <w:bottom w:val="single" w:sz="4" w:space="0" w:color="auto"/>
              <w:right w:val="single" w:sz="8" w:space="0" w:color="auto"/>
            </w:tcBorders>
          </w:tcPr>
          <w:p w14:paraId="064AB17B"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14.8</w:t>
            </w:r>
          </w:p>
        </w:tc>
        <w:tc>
          <w:tcPr>
            <w:tcW w:w="992" w:type="dxa"/>
            <w:tcBorders>
              <w:top w:val="single" w:sz="8" w:space="0" w:color="auto"/>
              <w:left w:val="nil"/>
              <w:bottom w:val="single" w:sz="4" w:space="0" w:color="auto"/>
              <w:right w:val="single" w:sz="8" w:space="0" w:color="auto"/>
            </w:tcBorders>
          </w:tcPr>
          <w:p w14:paraId="7A87818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single" w:sz="8" w:space="0" w:color="auto"/>
              <w:left w:val="nil"/>
              <w:bottom w:val="single" w:sz="4" w:space="0" w:color="auto"/>
              <w:right w:val="single" w:sz="8" w:space="0" w:color="auto"/>
            </w:tcBorders>
          </w:tcPr>
          <w:p w14:paraId="3B8089E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14</w:t>
            </w:r>
          </w:p>
        </w:tc>
        <w:tc>
          <w:tcPr>
            <w:tcW w:w="992" w:type="dxa"/>
            <w:tcBorders>
              <w:top w:val="single" w:sz="8" w:space="0" w:color="auto"/>
              <w:left w:val="nil"/>
              <w:bottom w:val="single" w:sz="4" w:space="0" w:color="auto"/>
              <w:right w:val="single" w:sz="8" w:space="0" w:color="auto"/>
            </w:tcBorders>
          </w:tcPr>
          <w:p w14:paraId="4D36705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m</w:t>
            </w:r>
          </w:p>
        </w:tc>
        <w:tc>
          <w:tcPr>
            <w:tcW w:w="851" w:type="dxa"/>
            <w:tcBorders>
              <w:top w:val="single" w:sz="8" w:space="0" w:color="auto"/>
              <w:left w:val="nil"/>
              <w:bottom w:val="single" w:sz="4" w:space="0" w:color="auto"/>
              <w:right w:val="single" w:sz="8" w:space="0" w:color="auto"/>
            </w:tcBorders>
          </w:tcPr>
          <w:p w14:paraId="3C8110F3"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293</w:t>
            </w:r>
          </w:p>
        </w:tc>
        <w:tc>
          <w:tcPr>
            <w:tcW w:w="1134" w:type="dxa"/>
            <w:tcBorders>
              <w:top w:val="single" w:sz="8" w:space="0" w:color="auto"/>
              <w:left w:val="nil"/>
              <w:bottom w:val="single" w:sz="4" w:space="0" w:color="auto"/>
              <w:right w:val="single" w:sz="8" w:space="0" w:color="auto"/>
            </w:tcBorders>
          </w:tcPr>
          <w:p w14:paraId="3E74157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4" w:space="0" w:color="auto"/>
              <w:right w:val="single" w:sz="8" w:space="0" w:color="000000"/>
            </w:tcBorders>
          </w:tcPr>
          <w:p w14:paraId="0668523F"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296.2</w:t>
            </w:r>
          </w:p>
        </w:tc>
        <w:tc>
          <w:tcPr>
            <w:tcW w:w="1134" w:type="dxa"/>
            <w:tcBorders>
              <w:top w:val="single" w:sz="8" w:space="0" w:color="auto"/>
              <w:left w:val="nil"/>
              <w:bottom w:val="single" w:sz="4" w:space="0" w:color="auto"/>
              <w:right w:val="single" w:sz="12" w:space="0" w:color="auto"/>
            </w:tcBorders>
          </w:tcPr>
          <w:p w14:paraId="6B27F07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auto"/>
              <w:left w:val="nil"/>
              <w:bottom w:val="single" w:sz="4" w:space="0" w:color="auto"/>
              <w:right w:val="single" w:sz="12" w:space="0" w:color="auto"/>
            </w:tcBorders>
          </w:tcPr>
          <w:p w14:paraId="7640B3D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Spurgeon and Hopkin, 1995</w:t>
            </w:r>
          </w:p>
        </w:tc>
      </w:tr>
      <w:tr w:rsidR="00632208" w:rsidRPr="0098635C" w14:paraId="7FFDF18C" w14:textId="77777777" w:rsidTr="00A432B0">
        <w:trPr>
          <w:trHeight w:val="463"/>
        </w:trPr>
        <w:tc>
          <w:tcPr>
            <w:tcW w:w="1402" w:type="dxa"/>
            <w:tcBorders>
              <w:top w:val="single" w:sz="4" w:space="0" w:color="auto"/>
              <w:left w:val="single" w:sz="8" w:space="0" w:color="auto"/>
              <w:bottom w:val="single" w:sz="4" w:space="0" w:color="auto"/>
              <w:right w:val="single" w:sz="8" w:space="0" w:color="auto"/>
            </w:tcBorders>
          </w:tcPr>
          <w:p w14:paraId="4F3310E9"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single" w:sz="4" w:space="0" w:color="auto"/>
              <w:left w:val="nil"/>
              <w:bottom w:val="single" w:sz="4" w:space="0" w:color="auto"/>
              <w:right w:val="single" w:sz="8" w:space="0" w:color="auto"/>
            </w:tcBorders>
          </w:tcPr>
          <w:p w14:paraId="751C959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OECD soil</w:t>
            </w:r>
          </w:p>
        </w:tc>
        <w:tc>
          <w:tcPr>
            <w:tcW w:w="709" w:type="dxa"/>
            <w:tcBorders>
              <w:top w:val="single" w:sz="4" w:space="0" w:color="auto"/>
              <w:left w:val="nil"/>
              <w:bottom w:val="single" w:sz="4" w:space="0" w:color="auto"/>
              <w:right w:val="single" w:sz="8" w:space="0" w:color="auto"/>
            </w:tcBorders>
          </w:tcPr>
          <w:p w14:paraId="64A448C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w:t>
            </w:r>
          </w:p>
        </w:tc>
        <w:tc>
          <w:tcPr>
            <w:tcW w:w="708" w:type="dxa"/>
            <w:tcBorders>
              <w:top w:val="single" w:sz="4" w:space="0" w:color="auto"/>
              <w:left w:val="nil"/>
              <w:bottom w:val="single" w:sz="4" w:space="0" w:color="auto"/>
              <w:right w:val="single" w:sz="8" w:space="0" w:color="auto"/>
            </w:tcBorders>
          </w:tcPr>
          <w:p w14:paraId="0D88E2A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709" w:type="dxa"/>
            <w:tcBorders>
              <w:top w:val="single" w:sz="4" w:space="0" w:color="auto"/>
              <w:left w:val="nil"/>
              <w:bottom w:val="single" w:sz="4" w:space="0" w:color="auto"/>
              <w:right w:val="single" w:sz="8" w:space="0" w:color="auto"/>
            </w:tcBorders>
          </w:tcPr>
          <w:p w14:paraId="576C94E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851" w:type="dxa"/>
            <w:tcBorders>
              <w:top w:val="single" w:sz="4" w:space="0" w:color="auto"/>
              <w:left w:val="nil"/>
              <w:bottom w:val="single" w:sz="4" w:space="0" w:color="auto"/>
              <w:right w:val="single" w:sz="8" w:space="0" w:color="auto"/>
            </w:tcBorders>
          </w:tcPr>
          <w:p w14:paraId="7B9A745B"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3.2</w:t>
            </w:r>
          </w:p>
        </w:tc>
        <w:tc>
          <w:tcPr>
            <w:tcW w:w="850" w:type="dxa"/>
            <w:tcBorders>
              <w:top w:val="single" w:sz="4" w:space="0" w:color="auto"/>
              <w:left w:val="nil"/>
              <w:bottom w:val="single" w:sz="4" w:space="0" w:color="auto"/>
              <w:right w:val="single" w:sz="8" w:space="0" w:color="auto"/>
            </w:tcBorders>
          </w:tcPr>
          <w:p w14:paraId="6F6EB799"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14.5</w:t>
            </w:r>
          </w:p>
        </w:tc>
        <w:tc>
          <w:tcPr>
            <w:tcW w:w="992" w:type="dxa"/>
            <w:tcBorders>
              <w:top w:val="single" w:sz="4" w:space="0" w:color="auto"/>
              <w:left w:val="nil"/>
              <w:bottom w:val="single" w:sz="4" w:space="0" w:color="auto"/>
              <w:right w:val="single" w:sz="8" w:space="0" w:color="auto"/>
            </w:tcBorders>
          </w:tcPr>
          <w:p w14:paraId="0586623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single" w:sz="4" w:space="0" w:color="auto"/>
              <w:left w:val="nil"/>
              <w:bottom w:val="single" w:sz="4" w:space="0" w:color="auto"/>
              <w:right w:val="single" w:sz="8" w:space="0" w:color="auto"/>
            </w:tcBorders>
          </w:tcPr>
          <w:p w14:paraId="0F71C42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single" w:sz="4" w:space="0" w:color="auto"/>
              <w:left w:val="nil"/>
              <w:bottom w:val="single" w:sz="4" w:space="0" w:color="auto"/>
              <w:right w:val="single" w:sz="8" w:space="0" w:color="auto"/>
            </w:tcBorders>
          </w:tcPr>
          <w:p w14:paraId="1A7EB12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r(cp)</w:t>
            </w:r>
          </w:p>
        </w:tc>
        <w:tc>
          <w:tcPr>
            <w:tcW w:w="851" w:type="dxa"/>
            <w:tcBorders>
              <w:top w:val="single" w:sz="4" w:space="0" w:color="auto"/>
              <w:left w:val="nil"/>
              <w:bottom w:val="single" w:sz="4" w:space="0" w:color="auto"/>
              <w:right w:val="single" w:sz="8" w:space="0" w:color="auto"/>
            </w:tcBorders>
          </w:tcPr>
          <w:p w14:paraId="09602794"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10</w:t>
            </w:r>
          </w:p>
        </w:tc>
        <w:tc>
          <w:tcPr>
            <w:tcW w:w="1134" w:type="dxa"/>
            <w:tcBorders>
              <w:top w:val="single" w:sz="4" w:space="0" w:color="auto"/>
              <w:left w:val="nil"/>
              <w:bottom w:val="single" w:sz="4" w:space="0" w:color="auto"/>
              <w:right w:val="single" w:sz="8" w:space="0" w:color="auto"/>
            </w:tcBorders>
          </w:tcPr>
          <w:p w14:paraId="48DB018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4" w:space="0" w:color="auto"/>
              <w:left w:val="nil"/>
              <w:bottom w:val="single" w:sz="4" w:space="0" w:color="auto"/>
              <w:right w:val="single" w:sz="8" w:space="0" w:color="000000"/>
            </w:tcBorders>
          </w:tcPr>
          <w:p w14:paraId="14D66AB1"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13.2</w:t>
            </w:r>
          </w:p>
        </w:tc>
        <w:tc>
          <w:tcPr>
            <w:tcW w:w="1134" w:type="dxa"/>
            <w:tcBorders>
              <w:top w:val="single" w:sz="4" w:space="0" w:color="auto"/>
              <w:left w:val="nil"/>
              <w:bottom w:val="single" w:sz="4" w:space="0" w:color="auto"/>
              <w:right w:val="single" w:sz="12" w:space="0" w:color="auto"/>
            </w:tcBorders>
          </w:tcPr>
          <w:p w14:paraId="00C7C93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4" w:space="0" w:color="auto"/>
              <w:left w:val="nil"/>
              <w:bottom w:val="single" w:sz="4" w:space="0" w:color="auto"/>
              <w:right w:val="single" w:sz="12" w:space="0" w:color="auto"/>
            </w:tcBorders>
          </w:tcPr>
          <w:p w14:paraId="0B7E1BD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Spurgeon and Hopkin, 1995</w:t>
            </w:r>
          </w:p>
        </w:tc>
      </w:tr>
      <w:tr w:rsidR="00632208" w:rsidRPr="0098635C" w14:paraId="5826A492" w14:textId="77777777" w:rsidTr="00A432B0">
        <w:trPr>
          <w:trHeight w:val="74"/>
        </w:trPr>
        <w:tc>
          <w:tcPr>
            <w:tcW w:w="1402" w:type="dxa"/>
            <w:tcBorders>
              <w:top w:val="single" w:sz="4" w:space="0" w:color="auto"/>
              <w:left w:val="single" w:sz="8" w:space="0" w:color="auto"/>
              <w:bottom w:val="single" w:sz="8" w:space="0" w:color="auto"/>
              <w:right w:val="single" w:sz="8" w:space="0" w:color="auto"/>
            </w:tcBorders>
          </w:tcPr>
          <w:p w14:paraId="4C287E48"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single" w:sz="4" w:space="0" w:color="auto"/>
              <w:left w:val="nil"/>
              <w:bottom w:val="single" w:sz="8" w:space="0" w:color="auto"/>
              <w:right w:val="single" w:sz="8" w:space="0" w:color="auto"/>
            </w:tcBorders>
          </w:tcPr>
          <w:p w14:paraId="4881807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OECD soil</w:t>
            </w:r>
          </w:p>
        </w:tc>
        <w:tc>
          <w:tcPr>
            <w:tcW w:w="709" w:type="dxa"/>
            <w:tcBorders>
              <w:top w:val="single" w:sz="4" w:space="0" w:color="auto"/>
              <w:left w:val="nil"/>
              <w:bottom w:val="single" w:sz="8" w:space="0" w:color="auto"/>
              <w:right w:val="single" w:sz="8" w:space="0" w:color="auto"/>
            </w:tcBorders>
          </w:tcPr>
          <w:p w14:paraId="2B2A868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w:t>
            </w:r>
          </w:p>
        </w:tc>
        <w:tc>
          <w:tcPr>
            <w:tcW w:w="708" w:type="dxa"/>
            <w:tcBorders>
              <w:top w:val="single" w:sz="4" w:space="0" w:color="auto"/>
              <w:left w:val="nil"/>
              <w:bottom w:val="single" w:sz="8" w:space="0" w:color="auto"/>
              <w:right w:val="single" w:sz="8" w:space="0" w:color="auto"/>
            </w:tcBorders>
          </w:tcPr>
          <w:p w14:paraId="1977204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709" w:type="dxa"/>
            <w:tcBorders>
              <w:top w:val="single" w:sz="4" w:space="0" w:color="auto"/>
              <w:left w:val="nil"/>
              <w:bottom w:val="single" w:sz="8" w:space="0" w:color="auto"/>
              <w:right w:val="single" w:sz="8" w:space="0" w:color="auto"/>
            </w:tcBorders>
          </w:tcPr>
          <w:p w14:paraId="0A1E826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851" w:type="dxa"/>
            <w:tcBorders>
              <w:top w:val="single" w:sz="4" w:space="0" w:color="auto"/>
              <w:left w:val="nil"/>
              <w:bottom w:val="single" w:sz="8" w:space="0" w:color="auto"/>
              <w:right w:val="single" w:sz="8" w:space="0" w:color="auto"/>
            </w:tcBorders>
          </w:tcPr>
          <w:p w14:paraId="4F7DD394"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3.2</w:t>
            </w:r>
          </w:p>
        </w:tc>
        <w:tc>
          <w:tcPr>
            <w:tcW w:w="850" w:type="dxa"/>
            <w:tcBorders>
              <w:top w:val="single" w:sz="4" w:space="0" w:color="auto"/>
              <w:left w:val="nil"/>
              <w:bottom w:val="single" w:sz="8" w:space="0" w:color="auto"/>
              <w:right w:val="single" w:sz="8" w:space="0" w:color="auto"/>
            </w:tcBorders>
          </w:tcPr>
          <w:p w14:paraId="292AC203"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14.5</w:t>
            </w:r>
          </w:p>
        </w:tc>
        <w:tc>
          <w:tcPr>
            <w:tcW w:w="992" w:type="dxa"/>
            <w:tcBorders>
              <w:top w:val="single" w:sz="4" w:space="0" w:color="auto"/>
              <w:left w:val="nil"/>
              <w:bottom w:val="single" w:sz="8" w:space="0" w:color="auto"/>
              <w:right w:val="single" w:sz="8" w:space="0" w:color="auto"/>
            </w:tcBorders>
          </w:tcPr>
          <w:p w14:paraId="6861C07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single" w:sz="4" w:space="0" w:color="auto"/>
              <w:left w:val="nil"/>
              <w:bottom w:val="single" w:sz="8" w:space="0" w:color="auto"/>
              <w:right w:val="single" w:sz="8" w:space="0" w:color="auto"/>
            </w:tcBorders>
          </w:tcPr>
          <w:p w14:paraId="0922354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single" w:sz="4" w:space="0" w:color="auto"/>
              <w:left w:val="nil"/>
              <w:bottom w:val="single" w:sz="8" w:space="0" w:color="auto"/>
              <w:right w:val="single" w:sz="8" w:space="0" w:color="auto"/>
            </w:tcBorders>
          </w:tcPr>
          <w:p w14:paraId="0061E12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r(jp)</w:t>
            </w:r>
          </w:p>
        </w:tc>
        <w:tc>
          <w:tcPr>
            <w:tcW w:w="851" w:type="dxa"/>
            <w:tcBorders>
              <w:top w:val="single" w:sz="4" w:space="0" w:color="auto"/>
              <w:left w:val="nil"/>
              <w:bottom w:val="single" w:sz="8" w:space="0" w:color="auto"/>
              <w:right w:val="single" w:sz="8" w:space="0" w:color="auto"/>
            </w:tcBorders>
          </w:tcPr>
          <w:p w14:paraId="46071CD0"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32</w:t>
            </w:r>
          </w:p>
        </w:tc>
        <w:tc>
          <w:tcPr>
            <w:tcW w:w="1134" w:type="dxa"/>
            <w:tcBorders>
              <w:top w:val="single" w:sz="4" w:space="0" w:color="auto"/>
              <w:left w:val="nil"/>
              <w:bottom w:val="single" w:sz="8" w:space="0" w:color="auto"/>
              <w:right w:val="single" w:sz="8" w:space="0" w:color="auto"/>
            </w:tcBorders>
          </w:tcPr>
          <w:p w14:paraId="19E91F4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4" w:space="0" w:color="auto"/>
              <w:left w:val="nil"/>
              <w:bottom w:val="single" w:sz="8" w:space="0" w:color="auto"/>
              <w:right w:val="single" w:sz="8" w:space="0" w:color="000000"/>
            </w:tcBorders>
          </w:tcPr>
          <w:p w14:paraId="1F617BC6"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35.2</w:t>
            </w:r>
          </w:p>
        </w:tc>
        <w:tc>
          <w:tcPr>
            <w:tcW w:w="1134" w:type="dxa"/>
            <w:tcBorders>
              <w:top w:val="single" w:sz="4" w:space="0" w:color="auto"/>
              <w:left w:val="nil"/>
              <w:bottom w:val="single" w:sz="8" w:space="0" w:color="auto"/>
              <w:right w:val="single" w:sz="12" w:space="0" w:color="auto"/>
            </w:tcBorders>
          </w:tcPr>
          <w:p w14:paraId="79D62F5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4" w:space="0" w:color="auto"/>
              <w:left w:val="nil"/>
              <w:bottom w:val="single" w:sz="8" w:space="0" w:color="auto"/>
              <w:right w:val="single" w:sz="12" w:space="0" w:color="auto"/>
            </w:tcBorders>
          </w:tcPr>
          <w:p w14:paraId="28E4448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Kula and Larink, 1997</w:t>
            </w:r>
          </w:p>
        </w:tc>
      </w:tr>
      <w:tr w:rsidR="00632208" w:rsidRPr="0098635C" w14:paraId="2A6E3BDB" w14:textId="77777777" w:rsidTr="00A432B0">
        <w:trPr>
          <w:trHeight w:val="64"/>
        </w:trPr>
        <w:tc>
          <w:tcPr>
            <w:tcW w:w="1402" w:type="dxa"/>
            <w:tcBorders>
              <w:top w:val="nil"/>
              <w:left w:val="single" w:sz="8" w:space="0" w:color="auto"/>
              <w:bottom w:val="single" w:sz="8" w:space="0" w:color="auto"/>
              <w:right w:val="single" w:sz="8" w:space="0" w:color="auto"/>
            </w:tcBorders>
          </w:tcPr>
          <w:p w14:paraId="5D845C97"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nil"/>
              <w:left w:val="nil"/>
              <w:bottom w:val="single" w:sz="8" w:space="0" w:color="auto"/>
              <w:right w:val="single" w:sz="8" w:space="0" w:color="auto"/>
            </w:tcBorders>
          </w:tcPr>
          <w:p w14:paraId="39E0E7B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OECD soil</w:t>
            </w:r>
          </w:p>
        </w:tc>
        <w:tc>
          <w:tcPr>
            <w:tcW w:w="709" w:type="dxa"/>
            <w:tcBorders>
              <w:top w:val="nil"/>
              <w:left w:val="nil"/>
              <w:bottom w:val="single" w:sz="8" w:space="0" w:color="auto"/>
              <w:right w:val="single" w:sz="8" w:space="0" w:color="auto"/>
            </w:tcBorders>
          </w:tcPr>
          <w:p w14:paraId="04274A8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w:t>
            </w:r>
          </w:p>
        </w:tc>
        <w:tc>
          <w:tcPr>
            <w:tcW w:w="708" w:type="dxa"/>
            <w:tcBorders>
              <w:top w:val="nil"/>
              <w:left w:val="nil"/>
              <w:bottom w:val="single" w:sz="8" w:space="0" w:color="auto"/>
              <w:right w:val="single" w:sz="8" w:space="0" w:color="auto"/>
            </w:tcBorders>
          </w:tcPr>
          <w:p w14:paraId="7262E31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709" w:type="dxa"/>
            <w:tcBorders>
              <w:top w:val="nil"/>
              <w:left w:val="nil"/>
              <w:bottom w:val="single" w:sz="8" w:space="0" w:color="auto"/>
              <w:right w:val="single" w:sz="8" w:space="0" w:color="auto"/>
            </w:tcBorders>
          </w:tcPr>
          <w:p w14:paraId="56AF2FE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851" w:type="dxa"/>
            <w:tcBorders>
              <w:top w:val="nil"/>
              <w:left w:val="nil"/>
              <w:bottom w:val="single" w:sz="8" w:space="0" w:color="auto"/>
              <w:right w:val="single" w:sz="8" w:space="0" w:color="auto"/>
            </w:tcBorders>
          </w:tcPr>
          <w:p w14:paraId="19CE0B56"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3.2</w:t>
            </w:r>
          </w:p>
        </w:tc>
        <w:tc>
          <w:tcPr>
            <w:tcW w:w="850" w:type="dxa"/>
            <w:tcBorders>
              <w:top w:val="nil"/>
              <w:left w:val="nil"/>
              <w:bottom w:val="single" w:sz="8" w:space="0" w:color="auto"/>
              <w:right w:val="single" w:sz="8" w:space="0" w:color="auto"/>
            </w:tcBorders>
          </w:tcPr>
          <w:p w14:paraId="1095A83A"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14.5</w:t>
            </w:r>
          </w:p>
        </w:tc>
        <w:tc>
          <w:tcPr>
            <w:tcW w:w="992" w:type="dxa"/>
            <w:tcBorders>
              <w:top w:val="nil"/>
              <w:left w:val="nil"/>
              <w:bottom w:val="single" w:sz="8" w:space="0" w:color="auto"/>
              <w:right w:val="single" w:sz="8" w:space="0" w:color="auto"/>
            </w:tcBorders>
          </w:tcPr>
          <w:p w14:paraId="5863859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7D081D5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nil"/>
              <w:left w:val="nil"/>
              <w:bottom w:val="single" w:sz="8" w:space="0" w:color="auto"/>
              <w:right w:val="single" w:sz="8" w:space="0" w:color="auto"/>
            </w:tcBorders>
          </w:tcPr>
          <w:p w14:paraId="3B5A4A4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g</w:t>
            </w:r>
          </w:p>
        </w:tc>
        <w:tc>
          <w:tcPr>
            <w:tcW w:w="851" w:type="dxa"/>
            <w:tcBorders>
              <w:top w:val="nil"/>
              <w:left w:val="nil"/>
              <w:bottom w:val="single" w:sz="8" w:space="0" w:color="auto"/>
              <w:right w:val="single" w:sz="8" w:space="0" w:color="auto"/>
            </w:tcBorders>
          </w:tcPr>
          <w:p w14:paraId="11E05E2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tcBorders>
              <w:top w:val="nil"/>
              <w:left w:val="nil"/>
              <w:bottom w:val="single" w:sz="8" w:space="0" w:color="auto"/>
              <w:right w:val="single" w:sz="8" w:space="0" w:color="auto"/>
            </w:tcBorders>
          </w:tcPr>
          <w:p w14:paraId="67881E1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320</w:t>
            </w:r>
          </w:p>
        </w:tc>
        <w:tc>
          <w:tcPr>
            <w:tcW w:w="850" w:type="dxa"/>
            <w:tcBorders>
              <w:top w:val="single" w:sz="8" w:space="0" w:color="auto"/>
              <w:left w:val="nil"/>
              <w:bottom w:val="single" w:sz="8" w:space="0" w:color="auto"/>
              <w:right w:val="single" w:sz="8" w:space="0" w:color="000000"/>
            </w:tcBorders>
          </w:tcPr>
          <w:p w14:paraId="6BF7F74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tcBorders>
              <w:top w:val="nil"/>
              <w:left w:val="nil"/>
              <w:bottom w:val="single" w:sz="8" w:space="0" w:color="auto"/>
              <w:right w:val="single" w:sz="12" w:space="0" w:color="auto"/>
            </w:tcBorders>
          </w:tcPr>
          <w:p w14:paraId="22D565B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323.2</w:t>
            </w:r>
          </w:p>
        </w:tc>
        <w:tc>
          <w:tcPr>
            <w:tcW w:w="1985" w:type="dxa"/>
            <w:tcBorders>
              <w:top w:val="nil"/>
              <w:left w:val="nil"/>
              <w:bottom w:val="single" w:sz="8" w:space="0" w:color="auto"/>
              <w:right w:val="single" w:sz="12" w:space="0" w:color="auto"/>
            </w:tcBorders>
          </w:tcPr>
          <w:p w14:paraId="6FABBC9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Kula and Larink, 1997</w:t>
            </w:r>
          </w:p>
        </w:tc>
      </w:tr>
      <w:tr w:rsidR="00632208" w:rsidRPr="0098635C" w14:paraId="62477CE3" w14:textId="77777777" w:rsidTr="00A432B0">
        <w:trPr>
          <w:trHeight w:val="64"/>
        </w:trPr>
        <w:tc>
          <w:tcPr>
            <w:tcW w:w="1402" w:type="dxa"/>
            <w:tcBorders>
              <w:top w:val="nil"/>
              <w:left w:val="single" w:sz="8" w:space="0" w:color="auto"/>
              <w:bottom w:val="single" w:sz="8" w:space="0" w:color="auto"/>
              <w:right w:val="single" w:sz="8" w:space="0" w:color="auto"/>
            </w:tcBorders>
          </w:tcPr>
          <w:p w14:paraId="61FAFC20"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nil"/>
              <w:left w:val="nil"/>
              <w:bottom w:val="single" w:sz="8" w:space="0" w:color="auto"/>
              <w:right w:val="single" w:sz="8" w:space="0" w:color="auto"/>
            </w:tcBorders>
          </w:tcPr>
          <w:p w14:paraId="74A740F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LUFA 2.2</w:t>
            </w:r>
          </w:p>
        </w:tc>
        <w:tc>
          <w:tcPr>
            <w:tcW w:w="709" w:type="dxa"/>
            <w:tcBorders>
              <w:top w:val="nil"/>
              <w:left w:val="nil"/>
              <w:bottom w:val="single" w:sz="8" w:space="0" w:color="auto"/>
              <w:right w:val="single" w:sz="8" w:space="0" w:color="auto"/>
            </w:tcBorders>
          </w:tcPr>
          <w:p w14:paraId="4F74792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5.8</w:t>
            </w:r>
          </w:p>
        </w:tc>
        <w:tc>
          <w:tcPr>
            <w:tcW w:w="708" w:type="dxa"/>
            <w:tcBorders>
              <w:top w:val="nil"/>
              <w:left w:val="nil"/>
              <w:bottom w:val="single" w:sz="8" w:space="0" w:color="auto"/>
              <w:right w:val="single" w:sz="8" w:space="0" w:color="auto"/>
            </w:tcBorders>
          </w:tcPr>
          <w:p w14:paraId="4257DDC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w:t>
            </w:r>
          </w:p>
        </w:tc>
        <w:tc>
          <w:tcPr>
            <w:tcW w:w="709" w:type="dxa"/>
            <w:tcBorders>
              <w:top w:val="nil"/>
              <w:left w:val="nil"/>
              <w:bottom w:val="single" w:sz="8" w:space="0" w:color="auto"/>
              <w:right w:val="single" w:sz="8" w:space="0" w:color="auto"/>
            </w:tcBorders>
          </w:tcPr>
          <w:p w14:paraId="3FE2E4C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5.1</w:t>
            </w:r>
          </w:p>
        </w:tc>
        <w:tc>
          <w:tcPr>
            <w:tcW w:w="851" w:type="dxa"/>
            <w:tcBorders>
              <w:top w:val="nil"/>
              <w:left w:val="nil"/>
              <w:bottom w:val="single" w:sz="8" w:space="0" w:color="auto"/>
              <w:right w:val="single" w:sz="8" w:space="0" w:color="auto"/>
            </w:tcBorders>
          </w:tcPr>
          <w:p w14:paraId="7E6F211F"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5.2</w:t>
            </w:r>
          </w:p>
        </w:tc>
        <w:tc>
          <w:tcPr>
            <w:tcW w:w="850" w:type="dxa"/>
            <w:tcBorders>
              <w:top w:val="nil"/>
              <w:left w:val="nil"/>
              <w:bottom w:val="single" w:sz="8" w:space="0" w:color="auto"/>
              <w:right w:val="single" w:sz="8" w:space="0" w:color="auto"/>
            </w:tcBorders>
          </w:tcPr>
          <w:p w14:paraId="08568E03"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8.3</w:t>
            </w:r>
          </w:p>
        </w:tc>
        <w:tc>
          <w:tcPr>
            <w:tcW w:w="992" w:type="dxa"/>
            <w:tcBorders>
              <w:top w:val="nil"/>
              <w:left w:val="nil"/>
              <w:bottom w:val="single" w:sz="8" w:space="0" w:color="auto"/>
              <w:right w:val="single" w:sz="8" w:space="0" w:color="auto"/>
            </w:tcBorders>
          </w:tcPr>
          <w:p w14:paraId="7B92C45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4883CAE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nil"/>
              <w:left w:val="nil"/>
              <w:bottom w:val="single" w:sz="8" w:space="0" w:color="auto"/>
              <w:right w:val="single" w:sz="8" w:space="0" w:color="auto"/>
            </w:tcBorders>
          </w:tcPr>
          <w:p w14:paraId="030BAC8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r(cp)</w:t>
            </w:r>
          </w:p>
        </w:tc>
        <w:tc>
          <w:tcPr>
            <w:tcW w:w="851" w:type="dxa"/>
            <w:tcBorders>
              <w:top w:val="nil"/>
              <w:left w:val="nil"/>
              <w:bottom w:val="single" w:sz="8" w:space="0" w:color="auto"/>
              <w:right w:val="single" w:sz="8" w:space="0" w:color="auto"/>
            </w:tcBorders>
          </w:tcPr>
          <w:p w14:paraId="71E5874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1134" w:type="dxa"/>
            <w:tcBorders>
              <w:top w:val="nil"/>
              <w:left w:val="nil"/>
              <w:bottom w:val="single" w:sz="8" w:space="0" w:color="auto"/>
              <w:right w:val="single" w:sz="8" w:space="0" w:color="auto"/>
            </w:tcBorders>
          </w:tcPr>
          <w:p w14:paraId="0D82EA3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7260E8E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15.2</w:t>
            </w:r>
          </w:p>
        </w:tc>
        <w:tc>
          <w:tcPr>
            <w:tcW w:w="1134" w:type="dxa"/>
            <w:tcBorders>
              <w:top w:val="nil"/>
              <w:left w:val="nil"/>
              <w:bottom w:val="single" w:sz="8" w:space="0" w:color="auto"/>
              <w:right w:val="single" w:sz="12" w:space="0" w:color="auto"/>
            </w:tcBorders>
          </w:tcPr>
          <w:p w14:paraId="0AD4798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144626B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Kula and Larink, 1997</w:t>
            </w:r>
          </w:p>
        </w:tc>
      </w:tr>
      <w:tr w:rsidR="00632208" w:rsidRPr="0098635C" w14:paraId="16952E9D" w14:textId="77777777" w:rsidTr="00A432B0">
        <w:trPr>
          <w:trHeight w:val="72"/>
        </w:trPr>
        <w:tc>
          <w:tcPr>
            <w:tcW w:w="1402" w:type="dxa"/>
            <w:tcBorders>
              <w:top w:val="nil"/>
              <w:left w:val="single" w:sz="8" w:space="0" w:color="auto"/>
              <w:bottom w:val="single" w:sz="8" w:space="0" w:color="auto"/>
              <w:right w:val="single" w:sz="8" w:space="0" w:color="auto"/>
            </w:tcBorders>
          </w:tcPr>
          <w:p w14:paraId="6B8F04D3"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nil"/>
              <w:left w:val="nil"/>
              <w:bottom w:val="single" w:sz="8" w:space="0" w:color="auto"/>
              <w:right w:val="single" w:sz="8" w:space="0" w:color="auto"/>
            </w:tcBorders>
          </w:tcPr>
          <w:p w14:paraId="68B9163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LUFA 2.2</w:t>
            </w:r>
          </w:p>
        </w:tc>
        <w:tc>
          <w:tcPr>
            <w:tcW w:w="709" w:type="dxa"/>
            <w:tcBorders>
              <w:top w:val="nil"/>
              <w:left w:val="nil"/>
              <w:bottom w:val="single" w:sz="8" w:space="0" w:color="auto"/>
              <w:right w:val="single" w:sz="8" w:space="0" w:color="auto"/>
            </w:tcBorders>
          </w:tcPr>
          <w:p w14:paraId="1F96876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5.8</w:t>
            </w:r>
          </w:p>
        </w:tc>
        <w:tc>
          <w:tcPr>
            <w:tcW w:w="708" w:type="dxa"/>
            <w:tcBorders>
              <w:top w:val="nil"/>
              <w:left w:val="nil"/>
              <w:bottom w:val="single" w:sz="8" w:space="0" w:color="auto"/>
              <w:right w:val="single" w:sz="8" w:space="0" w:color="auto"/>
            </w:tcBorders>
          </w:tcPr>
          <w:p w14:paraId="6CD5A6E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w:t>
            </w:r>
          </w:p>
        </w:tc>
        <w:tc>
          <w:tcPr>
            <w:tcW w:w="709" w:type="dxa"/>
            <w:tcBorders>
              <w:top w:val="nil"/>
              <w:left w:val="nil"/>
              <w:bottom w:val="single" w:sz="8" w:space="0" w:color="auto"/>
              <w:right w:val="single" w:sz="8" w:space="0" w:color="auto"/>
            </w:tcBorders>
          </w:tcPr>
          <w:p w14:paraId="5B70CB0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5.1</w:t>
            </w:r>
          </w:p>
        </w:tc>
        <w:tc>
          <w:tcPr>
            <w:tcW w:w="851" w:type="dxa"/>
            <w:tcBorders>
              <w:top w:val="nil"/>
              <w:left w:val="nil"/>
              <w:bottom w:val="single" w:sz="8" w:space="0" w:color="auto"/>
              <w:right w:val="single" w:sz="8" w:space="0" w:color="auto"/>
            </w:tcBorders>
          </w:tcPr>
          <w:p w14:paraId="1128AC2C"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5.2</w:t>
            </w:r>
          </w:p>
        </w:tc>
        <w:tc>
          <w:tcPr>
            <w:tcW w:w="850" w:type="dxa"/>
            <w:tcBorders>
              <w:top w:val="nil"/>
              <w:left w:val="nil"/>
              <w:bottom w:val="single" w:sz="8" w:space="0" w:color="auto"/>
              <w:right w:val="single" w:sz="8" w:space="0" w:color="auto"/>
            </w:tcBorders>
          </w:tcPr>
          <w:p w14:paraId="6061E069"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8.3</w:t>
            </w:r>
          </w:p>
        </w:tc>
        <w:tc>
          <w:tcPr>
            <w:tcW w:w="992" w:type="dxa"/>
            <w:tcBorders>
              <w:top w:val="nil"/>
              <w:left w:val="nil"/>
              <w:bottom w:val="single" w:sz="8" w:space="0" w:color="auto"/>
              <w:right w:val="single" w:sz="8" w:space="0" w:color="auto"/>
            </w:tcBorders>
          </w:tcPr>
          <w:p w14:paraId="25EB007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437E041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nil"/>
              <w:left w:val="nil"/>
              <w:bottom w:val="single" w:sz="8" w:space="0" w:color="auto"/>
              <w:right w:val="single" w:sz="8" w:space="0" w:color="auto"/>
            </w:tcBorders>
          </w:tcPr>
          <w:p w14:paraId="5470A46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r(jp)</w:t>
            </w:r>
          </w:p>
        </w:tc>
        <w:tc>
          <w:tcPr>
            <w:tcW w:w="851" w:type="dxa"/>
            <w:tcBorders>
              <w:top w:val="nil"/>
              <w:left w:val="nil"/>
              <w:bottom w:val="single" w:sz="8" w:space="0" w:color="auto"/>
              <w:right w:val="single" w:sz="8" w:space="0" w:color="auto"/>
            </w:tcBorders>
          </w:tcPr>
          <w:p w14:paraId="0060C5EA"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32</w:t>
            </w:r>
          </w:p>
        </w:tc>
        <w:tc>
          <w:tcPr>
            <w:tcW w:w="1134" w:type="dxa"/>
            <w:tcBorders>
              <w:top w:val="nil"/>
              <w:left w:val="nil"/>
              <w:bottom w:val="single" w:sz="8" w:space="0" w:color="auto"/>
              <w:right w:val="single" w:sz="8" w:space="0" w:color="auto"/>
            </w:tcBorders>
          </w:tcPr>
          <w:p w14:paraId="1B954D1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49BB5634"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37.2</w:t>
            </w:r>
          </w:p>
        </w:tc>
        <w:tc>
          <w:tcPr>
            <w:tcW w:w="1134" w:type="dxa"/>
            <w:tcBorders>
              <w:top w:val="nil"/>
              <w:left w:val="nil"/>
              <w:bottom w:val="single" w:sz="8" w:space="0" w:color="auto"/>
              <w:right w:val="single" w:sz="12" w:space="0" w:color="auto"/>
            </w:tcBorders>
          </w:tcPr>
          <w:p w14:paraId="32E6F1D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60D9977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Kula and Larink, 1997</w:t>
            </w:r>
          </w:p>
        </w:tc>
      </w:tr>
      <w:tr w:rsidR="00632208" w:rsidRPr="0098635C" w14:paraId="5998630B" w14:textId="77777777" w:rsidTr="00A432B0">
        <w:trPr>
          <w:trHeight w:val="151"/>
        </w:trPr>
        <w:tc>
          <w:tcPr>
            <w:tcW w:w="1402" w:type="dxa"/>
            <w:tcBorders>
              <w:top w:val="nil"/>
              <w:left w:val="single" w:sz="8" w:space="0" w:color="auto"/>
              <w:bottom w:val="single" w:sz="8" w:space="0" w:color="auto"/>
              <w:right w:val="single" w:sz="8" w:space="0" w:color="auto"/>
            </w:tcBorders>
          </w:tcPr>
          <w:p w14:paraId="742A0A35"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nil"/>
              <w:left w:val="nil"/>
              <w:bottom w:val="single" w:sz="8" w:space="0" w:color="auto"/>
              <w:right w:val="single" w:sz="8" w:space="0" w:color="auto"/>
            </w:tcBorders>
          </w:tcPr>
          <w:p w14:paraId="0BD696E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LUFA 2.2</w:t>
            </w:r>
          </w:p>
        </w:tc>
        <w:tc>
          <w:tcPr>
            <w:tcW w:w="709" w:type="dxa"/>
            <w:tcBorders>
              <w:top w:val="nil"/>
              <w:left w:val="nil"/>
              <w:bottom w:val="single" w:sz="8" w:space="0" w:color="auto"/>
              <w:right w:val="single" w:sz="8" w:space="0" w:color="auto"/>
            </w:tcBorders>
          </w:tcPr>
          <w:p w14:paraId="4267FB4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5.8</w:t>
            </w:r>
          </w:p>
        </w:tc>
        <w:tc>
          <w:tcPr>
            <w:tcW w:w="708" w:type="dxa"/>
            <w:tcBorders>
              <w:top w:val="nil"/>
              <w:left w:val="nil"/>
              <w:bottom w:val="single" w:sz="8" w:space="0" w:color="auto"/>
              <w:right w:val="single" w:sz="8" w:space="0" w:color="auto"/>
            </w:tcBorders>
          </w:tcPr>
          <w:p w14:paraId="2A209B9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w:t>
            </w:r>
          </w:p>
        </w:tc>
        <w:tc>
          <w:tcPr>
            <w:tcW w:w="709" w:type="dxa"/>
            <w:tcBorders>
              <w:top w:val="nil"/>
              <w:left w:val="nil"/>
              <w:bottom w:val="single" w:sz="8" w:space="0" w:color="auto"/>
              <w:right w:val="single" w:sz="8" w:space="0" w:color="auto"/>
            </w:tcBorders>
          </w:tcPr>
          <w:p w14:paraId="3FFD581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5.1</w:t>
            </w:r>
          </w:p>
        </w:tc>
        <w:tc>
          <w:tcPr>
            <w:tcW w:w="851" w:type="dxa"/>
            <w:tcBorders>
              <w:top w:val="nil"/>
              <w:left w:val="nil"/>
              <w:bottom w:val="single" w:sz="8" w:space="0" w:color="auto"/>
              <w:right w:val="single" w:sz="8" w:space="0" w:color="auto"/>
            </w:tcBorders>
          </w:tcPr>
          <w:p w14:paraId="7529C764"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5.2</w:t>
            </w:r>
          </w:p>
        </w:tc>
        <w:tc>
          <w:tcPr>
            <w:tcW w:w="850" w:type="dxa"/>
            <w:tcBorders>
              <w:top w:val="nil"/>
              <w:left w:val="nil"/>
              <w:bottom w:val="single" w:sz="8" w:space="0" w:color="auto"/>
              <w:right w:val="single" w:sz="8" w:space="0" w:color="auto"/>
            </w:tcBorders>
          </w:tcPr>
          <w:p w14:paraId="5ED34162"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8.3</w:t>
            </w:r>
          </w:p>
        </w:tc>
        <w:tc>
          <w:tcPr>
            <w:tcW w:w="992" w:type="dxa"/>
            <w:tcBorders>
              <w:top w:val="nil"/>
              <w:left w:val="nil"/>
              <w:bottom w:val="single" w:sz="8" w:space="0" w:color="auto"/>
              <w:right w:val="single" w:sz="8" w:space="0" w:color="auto"/>
            </w:tcBorders>
          </w:tcPr>
          <w:p w14:paraId="698048C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7974137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nil"/>
              <w:left w:val="nil"/>
              <w:bottom w:val="single" w:sz="8" w:space="0" w:color="auto"/>
              <w:right w:val="single" w:sz="8" w:space="0" w:color="auto"/>
            </w:tcBorders>
          </w:tcPr>
          <w:p w14:paraId="751C9A8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g</w:t>
            </w:r>
          </w:p>
        </w:tc>
        <w:tc>
          <w:tcPr>
            <w:tcW w:w="851" w:type="dxa"/>
            <w:tcBorders>
              <w:top w:val="nil"/>
              <w:left w:val="nil"/>
              <w:bottom w:val="single" w:sz="8" w:space="0" w:color="auto"/>
              <w:right w:val="single" w:sz="8" w:space="0" w:color="auto"/>
            </w:tcBorders>
          </w:tcPr>
          <w:p w14:paraId="6560C0B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tcBorders>
              <w:top w:val="nil"/>
              <w:left w:val="nil"/>
              <w:bottom w:val="single" w:sz="8" w:space="0" w:color="auto"/>
              <w:right w:val="single" w:sz="8" w:space="0" w:color="auto"/>
            </w:tcBorders>
          </w:tcPr>
          <w:p w14:paraId="4BCF56E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320</w:t>
            </w:r>
          </w:p>
        </w:tc>
        <w:tc>
          <w:tcPr>
            <w:tcW w:w="850" w:type="dxa"/>
            <w:tcBorders>
              <w:top w:val="single" w:sz="8" w:space="0" w:color="auto"/>
              <w:left w:val="nil"/>
              <w:bottom w:val="single" w:sz="8" w:space="0" w:color="auto"/>
              <w:right w:val="single" w:sz="8" w:space="0" w:color="000000"/>
            </w:tcBorders>
          </w:tcPr>
          <w:p w14:paraId="6C45848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tcBorders>
              <w:top w:val="nil"/>
              <w:left w:val="nil"/>
              <w:bottom w:val="single" w:sz="8" w:space="0" w:color="auto"/>
              <w:right w:val="single" w:sz="12" w:space="0" w:color="auto"/>
            </w:tcBorders>
          </w:tcPr>
          <w:p w14:paraId="41FA1A1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325.2</w:t>
            </w:r>
          </w:p>
        </w:tc>
        <w:tc>
          <w:tcPr>
            <w:tcW w:w="1985" w:type="dxa"/>
            <w:tcBorders>
              <w:top w:val="nil"/>
              <w:left w:val="nil"/>
              <w:bottom w:val="single" w:sz="8" w:space="0" w:color="auto"/>
              <w:right w:val="single" w:sz="12" w:space="0" w:color="auto"/>
            </w:tcBorders>
          </w:tcPr>
          <w:p w14:paraId="32C8BA1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Kula and Larink, 1997</w:t>
            </w:r>
          </w:p>
        </w:tc>
      </w:tr>
      <w:tr w:rsidR="00632208" w:rsidRPr="0098635C" w14:paraId="782AF3AD" w14:textId="77777777" w:rsidTr="00A432B0">
        <w:trPr>
          <w:trHeight w:val="242"/>
        </w:trPr>
        <w:tc>
          <w:tcPr>
            <w:tcW w:w="1402" w:type="dxa"/>
            <w:tcBorders>
              <w:top w:val="nil"/>
              <w:left w:val="single" w:sz="8" w:space="0" w:color="auto"/>
              <w:bottom w:val="single" w:sz="8" w:space="0" w:color="auto"/>
              <w:right w:val="single" w:sz="8" w:space="0" w:color="auto"/>
            </w:tcBorders>
          </w:tcPr>
          <w:p w14:paraId="461C708B"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nil"/>
              <w:left w:val="nil"/>
              <w:bottom w:val="single" w:sz="8" w:space="0" w:color="auto"/>
              <w:right w:val="single" w:sz="8" w:space="0" w:color="auto"/>
            </w:tcBorders>
          </w:tcPr>
          <w:p w14:paraId="4C164C4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OECD soil</w:t>
            </w:r>
          </w:p>
        </w:tc>
        <w:tc>
          <w:tcPr>
            <w:tcW w:w="709" w:type="dxa"/>
            <w:tcBorders>
              <w:top w:val="nil"/>
              <w:left w:val="nil"/>
              <w:bottom w:val="single" w:sz="8" w:space="0" w:color="auto"/>
              <w:right w:val="single" w:sz="8" w:space="0" w:color="auto"/>
            </w:tcBorders>
          </w:tcPr>
          <w:p w14:paraId="0E791A1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w:t>
            </w:r>
          </w:p>
        </w:tc>
        <w:tc>
          <w:tcPr>
            <w:tcW w:w="708" w:type="dxa"/>
            <w:tcBorders>
              <w:top w:val="nil"/>
              <w:left w:val="nil"/>
              <w:bottom w:val="single" w:sz="8" w:space="0" w:color="auto"/>
              <w:right w:val="single" w:sz="8" w:space="0" w:color="auto"/>
            </w:tcBorders>
          </w:tcPr>
          <w:p w14:paraId="56EA6CB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709" w:type="dxa"/>
            <w:tcBorders>
              <w:top w:val="nil"/>
              <w:left w:val="nil"/>
              <w:bottom w:val="single" w:sz="8" w:space="0" w:color="auto"/>
              <w:right w:val="single" w:sz="8" w:space="0" w:color="auto"/>
            </w:tcBorders>
          </w:tcPr>
          <w:p w14:paraId="7A5AC26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851" w:type="dxa"/>
            <w:tcBorders>
              <w:top w:val="nil"/>
              <w:left w:val="nil"/>
              <w:bottom w:val="single" w:sz="8" w:space="0" w:color="auto"/>
              <w:right w:val="single" w:sz="8" w:space="0" w:color="auto"/>
            </w:tcBorders>
          </w:tcPr>
          <w:p w14:paraId="06E12CFC"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3.2</w:t>
            </w:r>
          </w:p>
        </w:tc>
        <w:tc>
          <w:tcPr>
            <w:tcW w:w="850" w:type="dxa"/>
            <w:tcBorders>
              <w:top w:val="nil"/>
              <w:left w:val="nil"/>
              <w:bottom w:val="single" w:sz="8" w:space="0" w:color="auto"/>
              <w:right w:val="single" w:sz="8" w:space="0" w:color="auto"/>
            </w:tcBorders>
          </w:tcPr>
          <w:p w14:paraId="07877653"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14.5</w:t>
            </w:r>
          </w:p>
        </w:tc>
        <w:tc>
          <w:tcPr>
            <w:tcW w:w="992" w:type="dxa"/>
            <w:tcBorders>
              <w:top w:val="nil"/>
              <w:left w:val="nil"/>
              <w:bottom w:val="single" w:sz="8" w:space="0" w:color="auto"/>
              <w:right w:val="single" w:sz="8" w:space="0" w:color="auto"/>
            </w:tcBorders>
          </w:tcPr>
          <w:p w14:paraId="72D2F92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22AD7DC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nil"/>
              <w:left w:val="nil"/>
              <w:bottom w:val="single" w:sz="8" w:space="0" w:color="auto"/>
              <w:right w:val="single" w:sz="8" w:space="0" w:color="auto"/>
            </w:tcBorders>
          </w:tcPr>
          <w:p w14:paraId="74BEF3B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m</w:t>
            </w:r>
          </w:p>
        </w:tc>
        <w:tc>
          <w:tcPr>
            <w:tcW w:w="851" w:type="dxa"/>
            <w:tcBorders>
              <w:top w:val="nil"/>
              <w:left w:val="nil"/>
              <w:bottom w:val="single" w:sz="8" w:space="0" w:color="auto"/>
              <w:right w:val="single" w:sz="8" w:space="0" w:color="auto"/>
            </w:tcBorders>
          </w:tcPr>
          <w:p w14:paraId="5C9884B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tcBorders>
              <w:top w:val="nil"/>
              <w:left w:val="nil"/>
              <w:bottom w:val="single" w:sz="8" w:space="0" w:color="auto"/>
              <w:right w:val="single" w:sz="8" w:space="0" w:color="auto"/>
            </w:tcBorders>
          </w:tcPr>
          <w:p w14:paraId="6227C35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320</w:t>
            </w:r>
          </w:p>
        </w:tc>
        <w:tc>
          <w:tcPr>
            <w:tcW w:w="850" w:type="dxa"/>
            <w:tcBorders>
              <w:top w:val="single" w:sz="8" w:space="0" w:color="auto"/>
              <w:left w:val="nil"/>
              <w:bottom w:val="single" w:sz="8" w:space="0" w:color="auto"/>
              <w:right w:val="single" w:sz="8" w:space="0" w:color="000000"/>
            </w:tcBorders>
          </w:tcPr>
          <w:p w14:paraId="2A7D7AD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tcBorders>
              <w:top w:val="nil"/>
              <w:left w:val="nil"/>
              <w:bottom w:val="single" w:sz="8" w:space="0" w:color="auto"/>
              <w:right w:val="single" w:sz="12" w:space="0" w:color="auto"/>
            </w:tcBorders>
          </w:tcPr>
          <w:p w14:paraId="2ADE06E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323.2</w:t>
            </w:r>
          </w:p>
        </w:tc>
        <w:tc>
          <w:tcPr>
            <w:tcW w:w="1985" w:type="dxa"/>
            <w:tcBorders>
              <w:top w:val="nil"/>
              <w:left w:val="nil"/>
              <w:bottom w:val="single" w:sz="8" w:space="0" w:color="auto"/>
              <w:right w:val="single" w:sz="12" w:space="0" w:color="auto"/>
            </w:tcBorders>
          </w:tcPr>
          <w:p w14:paraId="22BAED3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Kula and Larink, 1998</w:t>
            </w:r>
          </w:p>
        </w:tc>
      </w:tr>
      <w:tr w:rsidR="00632208" w:rsidRPr="0098635C" w14:paraId="55C8CAD8" w14:textId="77777777" w:rsidTr="00A432B0">
        <w:trPr>
          <w:trHeight w:val="64"/>
        </w:trPr>
        <w:tc>
          <w:tcPr>
            <w:tcW w:w="1402" w:type="dxa"/>
            <w:tcBorders>
              <w:top w:val="nil"/>
              <w:left w:val="single" w:sz="8" w:space="0" w:color="auto"/>
              <w:bottom w:val="single" w:sz="8" w:space="0" w:color="auto"/>
              <w:right w:val="single" w:sz="8" w:space="0" w:color="auto"/>
            </w:tcBorders>
          </w:tcPr>
          <w:p w14:paraId="22D3237E"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nil"/>
              <w:left w:val="nil"/>
              <w:bottom w:val="single" w:sz="8" w:space="0" w:color="auto"/>
              <w:right w:val="single" w:sz="8" w:space="0" w:color="auto"/>
            </w:tcBorders>
          </w:tcPr>
          <w:p w14:paraId="1905652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LUFA 2.2</w:t>
            </w:r>
          </w:p>
        </w:tc>
        <w:tc>
          <w:tcPr>
            <w:tcW w:w="709" w:type="dxa"/>
            <w:tcBorders>
              <w:top w:val="nil"/>
              <w:left w:val="nil"/>
              <w:bottom w:val="single" w:sz="8" w:space="0" w:color="auto"/>
              <w:right w:val="single" w:sz="8" w:space="0" w:color="auto"/>
            </w:tcBorders>
          </w:tcPr>
          <w:p w14:paraId="7F0559F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5.8</w:t>
            </w:r>
          </w:p>
        </w:tc>
        <w:tc>
          <w:tcPr>
            <w:tcW w:w="708" w:type="dxa"/>
            <w:tcBorders>
              <w:top w:val="nil"/>
              <w:left w:val="nil"/>
              <w:bottom w:val="single" w:sz="8" w:space="0" w:color="auto"/>
              <w:right w:val="single" w:sz="8" w:space="0" w:color="auto"/>
            </w:tcBorders>
          </w:tcPr>
          <w:p w14:paraId="0B59FED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w:t>
            </w:r>
          </w:p>
        </w:tc>
        <w:tc>
          <w:tcPr>
            <w:tcW w:w="709" w:type="dxa"/>
            <w:tcBorders>
              <w:top w:val="nil"/>
              <w:left w:val="nil"/>
              <w:bottom w:val="single" w:sz="8" w:space="0" w:color="auto"/>
              <w:right w:val="single" w:sz="8" w:space="0" w:color="auto"/>
            </w:tcBorders>
          </w:tcPr>
          <w:p w14:paraId="1691BC3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5.1</w:t>
            </w:r>
          </w:p>
        </w:tc>
        <w:tc>
          <w:tcPr>
            <w:tcW w:w="851" w:type="dxa"/>
            <w:tcBorders>
              <w:top w:val="nil"/>
              <w:left w:val="nil"/>
              <w:bottom w:val="single" w:sz="8" w:space="0" w:color="auto"/>
              <w:right w:val="single" w:sz="8" w:space="0" w:color="auto"/>
            </w:tcBorders>
          </w:tcPr>
          <w:p w14:paraId="6FEF7D53"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5.2</w:t>
            </w:r>
          </w:p>
        </w:tc>
        <w:tc>
          <w:tcPr>
            <w:tcW w:w="850" w:type="dxa"/>
            <w:tcBorders>
              <w:top w:val="nil"/>
              <w:left w:val="nil"/>
              <w:bottom w:val="single" w:sz="8" w:space="0" w:color="auto"/>
              <w:right w:val="single" w:sz="8" w:space="0" w:color="auto"/>
            </w:tcBorders>
          </w:tcPr>
          <w:p w14:paraId="51A7BB15"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8.3</w:t>
            </w:r>
          </w:p>
        </w:tc>
        <w:tc>
          <w:tcPr>
            <w:tcW w:w="992" w:type="dxa"/>
            <w:tcBorders>
              <w:top w:val="nil"/>
              <w:left w:val="nil"/>
              <w:bottom w:val="single" w:sz="8" w:space="0" w:color="auto"/>
              <w:right w:val="single" w:sz="8" w:space="0" w:color="auto"/>
            </w:tcBorders>
          </w:tcPr>
          <w:p w14:paraId="2AC0FE0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48DF285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nil"/>
              <w:left w:val="nil"/>
              <w:bottom w:val="single" w:sz="8" w:space="0" w:color="auto"/>
              <w:right w:val="single" w:sz="8" w:space="0" w:color="auto"/>
            </w:tcBorders>
          </w:tcPr>
          <w:p w14:paraId="341C6A5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m</w:t>
            </w:r>
          </w:p>
        </w:tc>
        <w:tc>
          <w:tcPr>
            <w:tcW w:w="851" w:type="dxa"/>
            <w:tcBorders>
              <w:top w:val="nil"/>
              <w:left w:val="nil"/>
              <w:bottom w:val="single" w:sz="8" w:space="0" w:color="auto"/>
              <w:right w:val="single" w:sz="8" w:space="0" w:color="auto"/>
            </w:tcBorders>
          </w:tcPr>
          <w:p w14:paraId="4128CE1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tcBorders>
              <w:top w:val="nil"/>
              <w:left w:val="nil"/>
              <w:bottom w:val="single" w:sz="8" w:space="0" w:color="auto"/>
              <w:right w:val="single" w:sz="8" w:space="0" w:color="auto"/>
            </w:tcBorders>
          </w:tcPr>
          <w:p w14:paraId="5578436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320</w:t>
            </w:r>
          </w:p>
        </w:tc>
        <w:tc>
          <w:tcPr>
            <w:tcW w:w="850" w:type="dxa"/>
            <w:tcBorders>
              <w:top w:val="single" w:sz="8" w:space="0" w:color="auto"/>
              <w:left w:val="nil"/>
              <w:bottom w:val="single" w:sz="8" w:space="0" w:color="auto"/>
              <w:right w:val="single" w:sz="8" w:space="0" w:color="000000"/>
            </w:tcBorders>
          </w:tcPr>
          <w:p w14:paraId="01BF36A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tcBorders>
              <w:top w:val="nil"/>
              <w:left w:val="nil"/>
              <w:bottom w:val="single" w:sz="8" w:space="0" w:color="auto"/>
              <w:right w:val="single" w:sz="12" w:space="0" w:color="auto"/>
            </w:tcBorders>
          </w:tcPr>
          <w:p w14:paraId="1F9FF21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325.2</w:t>
            </w:r>
          </w:p>
        </w:tc>
        <w:tc>
          <w:tcPr>
            <w:tcW w:w="1985" w:type="dxa"/>
            <w:tcBorders>
              <w:top w:val="nil"/>
              <w:left w:val="nil"/>
              <w:bottom w:val="single" w:sz="8" w:space="0" w:color="auto"/>
              <w:right w:val="single" w:sz="12" w:space="0" w:color="auto"/>
            </w:tcBorders>
          </w:tcPr>
          <w:p w14:paraId="5617454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Kula and Larink, 1998</w:t>
            </w:r>
          </w:p>
        </w:tc>
      </w:tr>
      <w:tr w:rsidR="00632208" w:rsidRPr="0098635C" w14:paraId="3ACBF6BB" w14:textId="77777777" w:rsidTr="00A432B0">
        <w:trPr>
          <w:trHeight w:val="463"/>
        </w:trPr>
        <w:tc>
          <w:tcPr>
            <w:tcW w:w="1402" w:type="dxa"/>
            <w:tcBorders>
              <w:top w:val="nil"/>
              <w:left w:val="single" w:sz="8" w:space="0" w:color="auto"/>
              <w:bottom w:val="single" w:sz="8" w:space="0" w:color="auto"/>
              <w:right w:val="single" w:sz="8" w:space="0" w:color="auto"/>
            </w:tcBorders>
          </w:tcPr>
          <w:p w14:paraId="131AA074"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nil"/>
              <w:left w:val="nil"/>
              <w:bottom w:val="single" w:sz="8" w:space="0" w:color="auto"/>
              <w:right w:val="single" w:sz="8" w:space="0" w:color="auto"/>
            </w:tcBorders>
          </w:tcPr>
          <w:p w14:paraId="7F8A4FC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Sandy clay</w:t>
            </w:r>
          </w:p>
        </w:tc>
        <w:tc>
          <w:tcPr>
            <w:tcW w:w="709" w:type="dxa"/>
            <w:tcBorders>
              <w:top w:val="nil"/>
              <w:left w:val="nil"/>
              <w:bottom w:val="single" w:sz="8" w:space="0" w:color="auto"/>
              <w:right w:val="single" w:sz="8" w:space="0" w:color="auto"/>
            </w:tcBorders>
          </w:tcPr>
          <w:p w14:paraId="7822F2E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6.5-7.0</w:t>
            </w:r>
          </w:p>
        </w:tc>
        <w:tc>
          <w:tcPr>
            <w:tcW w:w="708" w:type="dxa"/>
            <w:tcBorders>
              <w:top w:val="nil"/>
              <w:left w:val="nil"/>
              <w:bottom w:val="single" w:sz="8" w:space="0" w:color="auto"/>
              <w:right w:val="single" w:sz="8" w:space="0" w:color="auto"/>
            </w:tcBorders>
          </w:tcPr>
          <w:p w14:paraId="6FCEA7D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3.9-5.5</w:t>
            </w:r>
          </w:p>
        </w:tc>
        <w:tc>
          <w:tcPr>
            <w:tcW w:w="709" w:type="dxa"/>
            <w:tcBorders>
              <w:top w:val="nil"/>
              <w:left w:val="nil"/>
              <w:bottom w:val="single" w:sz="8" w:space="0" w:color="auto"/>
              <w:right w:val="single" w:sz="8" w:space="0" w:color="auto"/>
            </w:tcBorders>
          </w:tcPr>
          <w:p w14:paraId="6609EE6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13-16</w:t>
            </w:r>
          </w:p>
        </w:tc>
        <w:tc>
          <w:tcPr>
            <w:tcW w:w="851" w:type="dxa"/>
            <w:tcBorders>
              <w:top w:val="nil"/>
              <w:left w:val="nil"/>
              <w:bottom w:val="single" w:sz="8" w:space="0" w:color="auto"/>
              <w:right w:val="single" w:sz="8" w:space="0" w:color="auto"/>
            </w:tcBorders>
          </w:tcPr>
          <w:p w14:paraId="260B8C4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w:t>
            </w:r>
          </w:p>
        </w:tc>
        <w:tc>
          <w:tcPr>
            <w:tcW w:w="850" w:type="dxa"/>
            <w:tcBorders>
              <w:top w:val="nil"/>
              <w:left w:val="nil"/>
              <w:bottom w:val="single" w:sz="8" w:space="0" w:color="auto"/>
              <w:right w:val="single" w:sz="8" w:space="0" w:color="auto"/>
            </w:tcBorders>
          </w:tcPr>
          <w:p w14:paraId="24127098"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16.6</w:t>
            </w:r>
          </w:p>
        </w:tc>
        <w:tc>
          <w:tcPr>
            <w:tcW w:w="992" w:type="dxa"/>
            <w:tcBorders>
              <w:top w:val="nil"/>
              <w:left w:val="nil"/>
              <w:bottom w:val="single" w:sz="8" w:space="0" w:color="auto"/>
              <w:right w:val="single" w:sz="8" w:space="0" w:color="auto"/>
            </w:tcBorders>
          </w:tcPr>
          <w:p w14:paraId="72762C0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w:t>
            </w:r>
          </w:p>
        </w:tc>
        <w:tc>
          <w:tcPr>
            <w:tcW w:w="851" w:type="dxa"/>
            <w:tcBorders>
              <w:top w:val="nil"/>
              <w:left w:val="nil"/>
              <w:bottom w:val="single" w:sz="8" w:space="0" w:color="auto"/>
              <w:right w:val="single" w:sz="8" w:space="0" w:color="auto"/>
            </w:tcBorders>
          </w:tcPr>
          <w:p w14:paraId="3A847E0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992" w:type="dxa"/>
            <w:tcBorders>
              <w:top w:val="nil"/>
              <w:left w:val="nil"/>
              <w:bottom w:val="single" w:sz="8" w:space="0" w:color="auto"/>
              <w:right w:val="single" w:sz="8" w:space="0" w:color="auto"/>
            </w:tcBorders>
          </w:tcPr>
          <w:p w14:paraId="07E2EEA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m</w:t>
            </w:r>
          </w:p>
        </w:tc>
        <w:tc>
          <w:tcPr>
            <w:tcW w:w="851" w:type="dxa"/>
            <w:tcBorders>
              <w:top w:val="nil"/>
              <w:left w:val="nil"/>
              <w:bottom w:val="single" w:sz="8" w:space="0" w:color="auto"/>
              <w:right w:val="single" w:sz="8" w:space="0" w:color="auto"/>
            </w:tcBorders>
          </w:tcPr>
          <w:p w14:paraId="27EAC4B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tcBorders>
              <w:top w:val="nil"/>
              <w:left w:val="nil"/>
              <w:bottom w:val="single" w:sz="8" w:space="0" w:color="auto"/>
              <w:right w:val="single" w:sz="8" w:space="0" w:color="auto"/>
            </w:tcBorders>
          </w:tcPr>
          <w:p w14:paraId="7489ECA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1,400</w:t>
            </w:r>
          </w:p>
        </w:tc>
        <w:tc>
          <w:tcPr>
            <w:tcW w:w="850" w:type="dxa"/>
            <w:tcBorders>
              <w:top w:val="single" w:sz="8" w:space="0" w:color="auto"/>
              <w:left w:val="nil"/>
              <w:bottom w:val="single" w:sz="8" w:space="0" w:color="auto"/>
              <w:right w:val="single" w:sz="8" w:space="0" w:color="000000"/>
            </w:tcBorders>
          </w:tcPr>
          <w:p w14:paraId="6A48E81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tcBorders>
              <w:top w:val="nil"/>
              <w:left w:val="nil"/>
              <w:bottom w:val="single" w:sz="8" w:space="0" w:color="auto"/>
              <w:right w:val="single" w:sz="12" w:space="0" w:color="auto"/>
            </w:tcBorders>
          </w:tcPr>
          <w:p w14:paraId="09FD566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1,415</w:t>
            </w:r>
          </w:p>
        </w:tc>
        <w:tc>
          <w:tcPr>
            <w:tcW w:w="1985" w:type="dxa"/>
            <w:tcBorders>
              <w:top w:val="nil"/>
              <w:left w:val="nil"/>
              <w:bottom w:val="single" w:sz="8" w:space="0" w:color="auto"/>
              <w:right w:val="single" w:sz="12" w:space="0" w:color="auto"/>
            </w:tcBorders>
          </w:tcPr>
          <w:p w14:paraId="56E8C49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Scott-Fordsmand et al., 2000</w:t>
            </w:r>
          </w:p>
        </w:tc>
      </w:tr>
      <w:tr w:rsidR="00632208" w:rsidRPr="0098635C" w14:paraId="6A4686F4" w14:textId="77777777" w:rsidTr="00A432B0">
        <w:trPr>
          <w:trHeight w:val="205"/>
        </w:trPr>
        <w:tc>
          <w:tcPr>
            <w:tcW w:w="1402" w:type="dxa"/>
            <w:tcBorders>
              <w:top w:val="nil"/>
              <w:left w:val="single" w:sz="8" w:space="0" w:color="auto"/>
              <w:bottom w:val="single" w:sz="8" w:space="0" w:color="auto"/>
              <w:right w:val="single" w:sz="8" w:space="0" w:color="auto"/>
            </w:tcBorders>
          </w:tcPr>
          <w:p w14:paraId="3DC53E26"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nil"/>
              <w:left w:val="nil"/>
              <w:bottom w:val="single" w:sz="8" w:space="0" w:color="auto"/>
              <w:right w:val="single" w:sz="8" w:space="0" w:color="auto"/>
            </w:tcBorders>
          </w:tcPr>
          <w:p w14:paraId="52EE05F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Sandy clay</w:t>
            </w:r>
          </w:p>
        </w:tc>
        <w:tc>
          <w:tcPr>
            <w:tcW w:w="709" w:type="dxa"/>
            <w:tcBorders>
              <w:top w:val="nil"/>
              <w:left w:val="nil"/>
              <w:bottom w:val="single" w:sz="8" w:space="0" w:color="auto"/>
              <w:right w:val="single" w:sz="8" w:space="0" w:color="auto"/>
            </w:tcBorders>
          </w:tcPr>
          <w:p w14:paraId="10674CC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6.5-7.0</w:t>
            </w:r>
          </w:p>
        </w:tc>
        <w:tc>
          <w:tcPr>
            <w:tcW w:w="708" w:type="dxa"/>
            <w:tcBorders>
              <w:top w:val="nil"/>
              <w:left w:val="nil"/>
              <w:bottom w:val="single" w:sz="8" w:space="0" w:color="auto"/>
              <w:right w:val="single" w:sz="8" w:space="0" w:color="auto"/>
            </w:tcBorders>
          </w:tcPr>
          <w:p w14:paraId="65F9B17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3.9-5.5</w:t>
            </w:r>
          </w:p>
        </w:tc>
        <w:tc>
          <w:tcPr>
            <w:tcW w:w="709" w:type="dxa"/>
            <w:tcBorders>
              <w:top w:val="nil"/>
              <w:left w:val="nil"/>
              <w:bottom w:val="single" w:sz="8" w:space="0" w:color="auto"/>
              <w:right w:val="single" w:sz="8" w:space="0" w:color="auto"/>
            </w:tcBorders>
          </w:tcPr>
          <w:p w14:paraId="371A9C3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13-16</w:t>
            </w:r>
          </w:p>
        </w:tc>
        <w:tc>
          <w:tcPr>
            <w:tcW w:w="851" w:type="dxa"/>
            <w:tcBorders>
              <w:top w:val="nil"/>
              <w:left w:val="nil"/>
              <w:bottom w:val="single" w:sz="8" w:space="0" w:color="auto"/>
              <w:right w:val="single" w:sz="8" w:space="0" w:color="auto"/>
            </w:tcBorders>
          </w:tcPr>
          <w:p w14:paraId="12E6DBD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w:t>
            </w:r>
          </w:p>
        </w:tc>
        <w:tc>
          <w:tcPr>
            <w:tcW w:w="850" w:type="dxa"/>
            <w:tcBorders>
              <w:top w:val="nil"/>
              <w:left w:val="nil"/>
              <w:bottom w:val="single" w:sz="8" w:space="0" w:color="auto"/>
              <w:right w:val="single" w:sz="8" w:space="0" w:color="auto"/>
            </w:tcBorders>
          </w:tcPr>
          <w:p w14:paraId="3D8CB15B"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16.6</w:t>
            </w:r>
          </w:p>
        </w:tc>
        <w:tc>
          <w:tcPr>
            <w:tcW w:w="992" w:type="dxa"/>
            <w:tcBorders>
              <w:top w:val="nil"/>
              <w:left w:val="nil"/>
              <w:bottom w:val="single" w:sz="8" w:space="0" w:color="auto"/>
              <w:right w:val="single" w:sz="8" w:space="0" w:color="auto"/>
            </w:tcBorders>
          </w:tcPr>
          <w:p w14:paraId="597CB94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w:t>
            </w:r>
          </w:p>
        </w:tc>
        <w:tc>
          <w:tcPr>
            <w:tcW w:w="851" w:type="dxa"/>
            <w:tcBorders>
              <w:top w:val="nil"/>
              <w:left w:val="nil"/>
              <w:bottom w:val="single" w:sz="8" w:space="0" w:color="auto"/>
              <w:right w:val="single" w:sz="8" w:space="0" w:color="auto"/>
            </w:tcBorders>
          </w:tcPr>
          <w:p w14:paraId="20DC2AF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992" w:type="dxa"/>
            <w:tcBorders>
              <w:top w:val="nil"/>
              <w:left w:val="nil"/>
              <w:bottom w:val="single" w:sz="8" w:space="0" w:color="auto"/>
              <w:right w:val="single" w:sz="8" w:space="0" w:color="auto"/>
            </w:tcBorders>
          </w:tcPr>
          <w:p w14:paraId="39680CB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g</w:t>
            </w:r>
          </w:p>
        </w:tc>
        <w:tc>
          <w:tcPr>
            <w:tcW w:w="851" w:type="dxa"/>
            <w:tcBorders>
              <w:top w:val="nil"/>
              <w:left w:val="nil"/>
              <w:bottom w:val="single" w:sz="8" w:space="0" w:color="auto"/>
              <w:right w:val="single" w:sz="8" w:space="0" w:color="auto"/>
            </w:tcBorders>
          </w:tcPr>
          <w:p w14:paraId="67BD5013"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700</w:t>
            </w:r>
          </w:p>
        </w:tc>
        <w:tc>
          <w:tcPr>
            <w:tcW w:w="1134" w:type="dxa"/>
            <w:tcBorders>
              <w:top w:val="nil"/>
              <w:left w:val="nil"/>
              <w:bottom w:val="single" w:sz="8" w:space="0" w:color="auto"/>
              <w:right w:val="single" w:sz="8" w:space="0" w:color="auto"/>
            </w:tcBorders>
          </w:tcPr>
          <w:p w14:paraId="64B5E98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31CDC1B5"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715</w:t>
            </w:r>
          </w:p>
        </w:tc>
        <w:tc>
          <w:tcPr>
            <w:tcW w:w="1134" w:type="dxa"/>
            <w:tcBorders>
              <w:top w:val="nil"/>
              <w:left w:val="nil"/>
              <w:bottom w:val="single" w:sz="8" w:space="0" w:color="auto"/>
              <w:right w:val="single" w:sz="12" w:space="0" w:color="auto"/>
            </w:tcBorders>
          </w:tcPr>
          <w:p w14:paraId="3D8CFD6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64E2C25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Scott-Fordsmand et al., 2000</w:t>
            </w:r>
          </w:p>
        </w:tc>
      </w:tr>
      <w:tr w:rsidR="00632208" w:rsidRPr="0098635C" w14:paraId="35AEC511" w14:textId="77777777" w:rsidTr="00A432B0">
        <w:trPr>
          <w:trHeight w:val="64"/>
        </w:trPr>
        <w:tc>
          <w:tcPr>
            <w:tcW w:w="1402" w:type="dxa"/>
            <w:tcBorders>
              <w:top w:val="nil"/>
              <w:left w:val="single" w:sz="8" w:space="0" w:color="auto"/>
              <w:bottom w:val="single" w:sz="8" w:space="0" w:color="auto"/>
              <w:right w:val="single" w:sz="8" w:space="0" w:color="auto"/>
            </w:tcBorders>
          </w:tcPr>
          <w:p w14:paraId="2EB42871"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nil"/>
              <w:left w:val="nil"/>
              <w:bottom w:val="single" w:sz="8" w:space="0" w:color="auto"/>
              <w:right w:val="single" w:sz="8" w:space="0" w:color="auto"/>
            </w:tcBorders>
          </w:tcPr>
          <w:p w14:paraId="50803CC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Sandy clay</w:t>
            </w:r>
          </w:p>
        </w:tc>
        <w:tc>
          <w:tcPr>
            <w:tcW w:w="709" w:type="dxa"/>
            <w:tcBorders>
              <w:top w:val="nil"/>
              <w:left w:val="nil"/>
              <w:bottom w:val="single" w:sz="8" w:space="0" w:color="auto"/>
              <w:right w:val="single" w:sz="8" w:space="0" w:color="auto"/>
            </w:tcBorders>
          </w:tcPr>
          <w:p w14:paraId="62A9AF2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6.5-7.0</w:t>
            </w:r>
          </w:p>
        </w:tc>
        <w:tc>
          <w:tcPr>
            <w:tcW w:w="708" w:type="dxa"/>
            <w:tcBorders>
              <w:top w:val="nil"/>
              <w:left w:val="nil"/>
              <w:bottom w:val="single" w:sz="8" w:space="0" w:color="auto"/>
              <w:right w:val="single" w:sz="8" w:space="0" w:color="auto"/>
            </w:tcBorders>
          </w:tcPr>
          <w:p w14:paraId="22B1893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3.9-5.5</w:t>
            </w:r>
          </w:p>
        </w:tc>
        <w:tc>
          <w:tcPr>
            <w:tcW w:w="709" w:type="dxa"/>
            <w:tcBorders>
              <w:top w:val="nil"/>
              <w:left w:val="nil"/>
              <w:bottom w:val="single" w:sz="8" w:space="0" w:color="auto"/>
              <w:right w:val="single" w:sz="8" w:space="0" w:color="auto"/>
            </w:tcBorders>
          </w:tcPr>
          <w:p w14:paraId="0FE8F9B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13-16</w:t>
            </w:r>
          </w:p>
        </w:tc>
        <w:tc>
          <w:tcPr>
            <w:tcW w:w="851" w:type="dxa"/>
            <w:tcBorders>
              <w:top w:val="nil"/>
              <w:left w:val="nil"/>
              <w:bottom w:val="single" w:sz="8" w:space="0" w:color="auto"/>
              <w:right w:val="single" w:sz="8" w:space="0" w:color="auto"/>
            </w:tcBorders>
          </w:tcPr>
          <w:p w14:paraId="77C09DF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w:t>
            </w:r>
          </w:p>
        </w:tc>
        <w:tc>
          <w:tcPr>
            <w:tcW w:w="850" w:type="dxa"/>
            <w:tcBorders>
              <w:top w:val="nil"/>
              <w:left w:val="nil"/>
              <w:bottom w:val="single" w:sz="8" w:space="0" w:color="auto"/>
              <w:right w:val="single" w:sz="8" w:space="0" w:color="auto"/>
            </w:tcBorders>
          </w:tcPr>
          <w:p w14:paraId="33783D28"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16.6</w:t>
            </w:r>
          </w:p>
        </w:tc>
        <w:tc>
          <w:tcPr>
            <w:tcW w:w="992" w:type="dxa"/>
            <w:tcBorders>
              <w:top w:val="nil"/>
              <w:left w:val="nil"/>
              <w:bottom w:val="single" w:sz="8" w:space="0" w:color="auto"/>
              <w:right w:val="single" w:sz="8" w:space="0" w:color="auto"/>
            </w:tcBorders>
          </w:tcPr>
          <w:p w14:paraId="26CF054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w:t>
            </w:r>
          </w:p>
        </w:tc>
        <w:tc>
          <w:tcPr>
            <w:tcW w:w="851" w:type="dxa"/>
            <w:tcBorders>
              <w:top w:val="nil"/>
              <w:left w:val="nil"/>
              <w:bottom w:val="single" w:sz="8" w:space="0" w:color="auto"/>
              <w:right w:val="single" w:sz="8" w:space="0" w:color="auto"/>
            </w:tcBorders>
          </w:tcPr>
          <w:p w14:paraId="6F09E47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992" w:type="dxa"/>
            <w:tcBorders>
              <w:top w:val="nil"/>
              <w:left w:val="nil"/>
              <w:bottom w:val="single" w:sz="8" w:space="0" w:color="auto"/>
              <w:right w:val="single" w:sz="8" w:space="0" w:color="auto"/>
            </w:tcBorders>
          </w:tcPr>
          <w:p w14:paraId="698E45C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tcBorders>
              <w:top w:val="nil"/>
              <w:left w:val="nil"/>
              <w:bottom w:val="single" w:sz="8" w:space="0" w:color="auto"/>
              <w:right w:val="single" w:sz="8" w:space="0" w:color="auto"/>
            </w:tcBorders>
          </w:tcPr>
          <w:p w14:paraId="1217C514"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100</w:t>
            </w:r>
          </w:p>
        </w:tc>
        <w:tc>
          <w:tcPr>
            <w:tcW w:w="1134" w:type="dxa"/>
            <w:tcBorders>
              <w:top w:val="nil"/>
              <w:left w:val="nil"/>
              <w:bottom w:val="single" w:sz="8" w:space="0" w:color="auto"/>
              <w:right w:val="single" w:sz="8" w:space="0" w:color="auto"/>
            </w:tcBorders>
          </w:tcPr>
          <w:p w14:paraId="34F0455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009FFEFC"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115</w:t>
            </w:r>
          </w:p>
        </w:tc>
        <w:tc>
          <w:tcPr>
            <w:tcW w:w="1134" w:type="dxa"/>
            <w:tcBorders>
              <w:top w:val="nil"/>
              <w:left w:val="nil"/>
              <w:bottom w:val="single" w:sz="8" w:space="0" w:color="auto"/>
              <w:right w:val="single" w:sz="12" w:space="0" w:color="auto"/>
            </w:tcBorders>
          </w:tcPr>
          <w:p w14:paraId="1505B2C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16A7929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Scott-Fordsmand et al., 2000</w:t>
            </w:r>
          </w:p>
        </w:tc>
      </w:tr>
      <w:tr w:rsidR="00632208" w:rsidRPr="0098635C" w14:paraId="10CABF12" w14:textId="77777777" w:rsidTr="00A432B0">
        <w:trPr>
          <w:trHeight w:val="64"/>
        </w:trPr>
        <w:tc>
          <w:tcPr>
            <w:tcW w:w="1402" w:type="dxa"/>
            <w:tcBorders>
              <w:top w:val="nil"/>
              <w:left w:val="single" w:sz="8" w:space="0" w:color="auto"/>
              <w:bottom w:val="single" w:sz="8" w:space="0" w:color="auto"/>
              <w:right w:val="single" w:sz="8" w:space="0" w:color="auto"/>
            </w:tcBorders>
          </w:tcPr>
          <w:p w14:paraId="0CCAED17"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Enchytraeus albidus</w:t>
            </w:r>
          </w:p>
        </w:tc>
        <w:tc>
          <w:tcPr>
            <w:tcW w:w="1276" w:type="dxa"/>
            <w:tcBorders>
              <w:top w:val="nil"/>
              <w:left w:val="nil"/>
              <w:bottom w:val="single" w:sz="8" w:space="0" w:color="auto"/>
              <w:right w:val="single" w:sz="8" w:space="0" w:color="auto"/>
            </w:tcBorders>
          </w:tcPr>
          <w:p w14:paraId="5FF6474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OECD soil</w:t>
            </w:r>
          </w:p>
        </w:tc>
        <w:tc>
          <w:tcPr>
            <w:tcW w:w="709" w:type="dxa"/>
            <w:tcBorders>
              <w:top w:val="nil"/>
              <w:left w:val="nil"/>
              <w:bottom w:val="single" w:sz="8" w:space="0" w:color="auto"/>
              <w:right w:val="single" w:sz="8" w:space="0" w:color="auto"/>
            </w:tcBorders>
          </w:tcPr>
          <w:p w14:paraId="061A147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w:t>
            </w:r>
          </w:p>
        </w:tc>
        <w:tc>
          <w:tcPr>
            <w:tcW w:w="708" w:type="dxa"/>
            <w:tcBorders>
              <w:top w:val="nil"/>
              <w:left w:val="nil"/>
              <w:bottom w:val="single" w:sz="8" w:space="0" w:color="auto"/>
              <w:right w:val="single" w:sz="8" w:space="0" w:color="auto"/>
            </w:tcBorders>
          </w:tcPr>
          <w:p w14:paraId="318EE0C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709" w:type="dxa"/>
            <w:tcBorders>
              <w:top w:val="nil"/>
              <w:left w:val="nil"/>
              <w:bottom w:val="single" w:sz="8" w:space="0" w:color="auto"/>
              <w:right w:val="single" w:sz="8" w:space="0" w:color="auto"/>
            </w:tcBorders>
          </w:tcPr>
          <w:p w14:paraId="515144A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851" w:type="dxa"/>
            <w:tcBorders>
              <w:top w:val="nil"/>
              <w:left w:val="nil"/>
              <w:bottom w:val="single" w:sz="8" w:space="0" w:color="auto"/>
              <w:right w:val="single" w:sz="8" w:space="0" w:color="auto"/>
            </w:tcBorders>
          </w:tcPr>
          <w:p w14:paraId="35C45E4A" w14:textId="77777777" w:rsidR="00632208" w:rsidRPr="0098635C" w:rsidRDefault="00632208" w:rsidP="00A432B0">
            <w:pPr>
              <w:spacing w:after="0"/>
              <w:jc w:val="center"/>
              <w:rPr>
                <w:color w:val="000000" w:themeColor="text1"/>
                <w:sz w:val="20"/>
                <w:szCs w:val="20"/>
              </w:rPr>
            </w:pPr>
            <w:r w:rsidRPr="0098635C">
              <w:rPr>
                <w:i/>
                <w:iCs/>
                <w:color w:val="000000" w:themeColor="text1"/>
                <w:sz w:val="20"/>
                <w:szCs w:val="20"/>
              </w:rPr>
              <w:t>3.2</w:t>
            </w:r>
          </w:p>
        </w:tc>
        <w:tc>
          <w:tcPr>
            <w:tcW w:w="850" w:type="dxa"/>
            <w:tcBorders>
              <w:top w:val="nil"/>
              <w:left w:val="nil"/>
              <w:bottom w:val="single" w:sz="8" w:space="0" w:color="auto"/>
              <w:right w:val="single" w:sz="8" w:space="0" w:color="auto"/>
            </w:tcBorders>
          </w:tcPr>
          <w:p w14:paraId="496214A0"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14.5</w:t>
            </w:r>
          </w:p>
        </w:tc>
        <w:tc>
          <w:tcPr>
            <w:tcW w:w="992" w:type="dxa"/>
            <w:tcBorders>
              <w:top w:val="nil"/>
              <w:left w:val="nil"/>
              <w:bottom w:val="single" w:sz="8" w:space="0" w:color="auto"/>
              <w:right w:val="single" w:sz="8" w:space="0" w:color="auto"/>
            </w:tcBorders>
          </w:tcPr>
          <w:p w14:paraId="52BE0C8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5FF2643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42</w:t>
            </w:r>
          </w:p>
        </w:tc>
        <w:tc>
          <w:tcPr>
            <w:tcW w:w="992" w:type="dxa"/>
            <w:tcBorders>
              <w:top w:val="nil"/>
              <w:left w:val="nil"/>
              <w:bottom w:val="single" w:sz="8" w:space="0" w:color="auto"/>
              <w:right w:val="single" w:sz="8" w:space="0" w:color="auto"/>
            </w:tcBorders>
          </w:tcPr>
          <w:p w14:paraId="70FA6F8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 – P-</w:t>
            </w:r>
          </w:p>
        </w:tc>
        <w:tc>
          <w:tcPr>
            <w:tcW w:w="851" w:type="dxa"/>
            <w:tcBorders>
              <w:top w:val="nil"/>
              <w:left w:val="nil"/>
              <w:bottom w:val="single" w:sz="8" w:space="0" w:color="auto"/>
              <w:right w:val="single" w:sz="8" w:space="0" w:color="auto"/>
            </w:tcBorders>
          </w:tcPr>
          <w:p w14:paraId="5295BC66" w14:textId="77777777" w:rsidR="00632208" w:rsidRPr="0098635C" w:rsidRDefault="00632208" w:rsidP="00A432B0">
            <w:pPr>
              <w:spacing w:after="0"/>
              <w:jc w:val="center"/>
              <w:rPr>
                <w:color w:val="000000" w:themeColor="text1"/>
                <w:sz w:val="20"/>
                <w:szCs w:val="20"/>
                <w:u w:val="single"/>
              </w:rPr>
            </w:pPr>
          </w:p>
        </w:tc>
        <w:tc>
          <w:tcPr>
            <w:tcW w:w="1134" w:type="dxa"/>
            <w:tcBorders>
              <w:top w:val="nil"/>
              <w:left w:val="nil"/>
              <w:bottom w:val="single" w:sz="8" w:space="0" w:color="auto"/>
              <w:right w:val="single" w:sz="8" w:space="0" w:color="auto"/>
            </w:tcBorders>
          </w:tcPr>
          <w:p w14:paraId="556988F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&lt;175.7</w:t>
            </w:r>
          </w:p>
        </w:tc>
        <w:tc>
          <w:tcPr>
            <w:tcW w:w="850" w:type="dxa"/>
            <w:tcBorders>
              <w:top w:val="single" w:sz="8" w:space="0" w:color="auto"/>
              <w:left w:val="nil"/>
              <w:bottom w:val="single" w:sz="8" w:space="0" w:color="auto"/>
              <w:right w:val="single" w:sz="8" w:space="0" w:color="000000"/>
            </w:tcBorders>
          </w:tcPr>
          <w:p w14:paraId="4CB86BDB" w14:textId="77777777" w:rsidR="00632208" w:rsidRPr="0098635C" w:rsidRDefault="00632208" w:rsidP="00A432B0">
            <w:pPr>
              <w:spacing w:after="0"/>
              <w:jc w:val="center"/>
              <w:rPr>
                <w:color w:val="000000" w:themeColor="text1"/>
                <w:sz w:val="20"/>
                <w:szCs w:val="20"/>
                <w:u w:val="single"/>
              </w:rPr>
            </w:pPr>
          </w:p>
        </w:tc>
        <w:tc>
          <w:tcPr>
            <w:tcW w:w="1134" w:type="dxa"/>
            <w:tcBorders>
              <w:top w:val="nil"/>
              <w:left w:val="nil"/>
              <w:bottom w:val="single" w:sz="8" w:space="0" w:color="auto"/>
              <w:right w:val="single" w:sz="12" w:space="0" w:color="auto"/>
            </w:tcBorders>
          </w:tcPr>
          <w:p w14:paraId="5A0EA1A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&lt;178.9</w:t>
            </w:r>
          </w:p>
        </w:tc>
        <w:tc>
          <w:tcPr>
            <w:tcW w:w="1985" w:type="dxa"/>
            <w:tcBorders>
              <w:top w:val="nil"/>
              <w:left w:val="nil"/>
              <w:bottom w:val="single" w:sz="8" w:space="0" w:color="auto"/>
              <w:right w:val="single" w:sz="12" w:space="0" w:color="auto"/>
            </w:tcBorders>
          </w:tcPr>
          <w:p w14:paraId="7E5B54A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Lock and Janssen (2002</w:t>
            </w:r>
          </w:p>
        </w:tc>
      </w:tr>
      <w:tr w:rsidR="00632208" w:rsidRPr="0098635C" w14:paraId="5D43AAAA" w14:textId="77777777" w:rsidTr="00A432B0">
        <w:trPr>
          <w:trHeight w:val="64"/>
        </w:trPr>
        <w:tc>
          <w:tcPr>
            <w:tcW w:w="1402" w:type="dxa"/>
            <w:tcBorders>
              <w:top w:val="nil"/>
              <w:left w:val="single" w:sz="8" w:space="0" w:color="auto"/>
              <w:bottom w:val="single" w:sz="8" w:space="0" w:color="auto"/>
              <w:right w:val="single" w:sz="8" w:space="0" w:color="auto"/>
            </w:tcBorders>
          </w:tcPr>
          <w:p w14:paraId="4D10BE86"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xml:space="preserve">Enchytraeus </w:t>
            </w:r>
            <w:r w:rsidRPr="0098635C">
              <w:rPr>
                <w:i/>
                <w:iCs/>
                <w:color w:val="000000" w:themeColor="text1"/>
                <w:sz w:val="20"/>
                <w:szCs w:val="20"/>
              </w:rPr>
              <w:lastRenderedPageBreak/>
              <w:t>albidus</w:t>
            </w:r>
          </w:p>
        </w:tc>
        <w:tc>
          <w:tcPr>
            <w:tcW w:w="1276" w:type="dxa"/>
            <w:tcBorders>
              <w:top w:val="nil"/>
              <w:left w:val="nil"/>
              <w:bottom w:val="single" w:sz="8" w:space="0" w:color="auto"/>
              <w:right w:val="single" w:sz="8" w:space="0" w:color="auto"/>
            </w:tcBorders>
          </w:tcPr>
          <w:p w14:paraId="166A023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lastRenderedPageBreak/>
              <w:t>OECD soil</w:t>
            </w:r>
          </w:p>
        </w:tc>
        <w:tc>
          <w:tcPr>
            <w:tcW w:w="709" w:type="dxa"/>
            <w:tcBorders>
              <w:top w:val="nil"/>
              <w:left w:val="nil"/>
              <w:bottom w:val="single" w:sz="8" w:space="0" w:color="auto"/>
              <w:right w:val="single" w:sz="8" w:space="0" w:color="auto"/>
            </w:tcBorders>
          </w:tcPr>
          <w:p w14:paraId="7BE46C5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w:t>
            </w:r>
          </w:p>
        </w:tc>
        <w:tc>
          <w:tcPr>
            <w:tcW w:w="708" w:type="dxa"/>
            <w:tcBorders>
              <w:top w:val="nil"/>
              <w:left w:val="nil"/>
              <w:bottom w:val="single" w:sz="8" w:space="0" w:color="auto"/>
              <w:right w:val="single" w:sz="8" w:space="0" w:color="auto"/>
            </w:tcBorders>
          </w:tcPr>
          <w:p w14:paraId="051C6C4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709" w:type="dxa"/>
            <w:tcBorders>
              <w:top w:val="nil"/>
              <w:left w:val="nil"/>
              <w:bottom w:val="single" w:sz="8" w:space="0" w:color="auto"/>
              <w:right w:val="single" w:sz="8" w:space="0" w:color="auto"/>
            </w:tcBorders>
          </w:tcPr>
          <w:p w14:paraId="2E733F4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851" w:type="dxa"/>
            <w:tcBorders>
              <w:top w:val="nil"/>
              <w:left w:val="nil"/>
              <w:bottom w:val="single" w:sz="8" w:space="0" w:color="auto"/>
              <w:right w:val="single" w:sz="8" w:space="0" w:color="auto"/>
            </w:tcBorders>
          </w:tcPr>
          <w:p w14:paraId="165066CF"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3.2</w:t>
            </w:r>
          </w:p>
        </w:tc>
        <w:tc>
          <w:tcPr>
            <w:tcW w:w="850" w:type="dxa"/>
            <w:tcBorders>
              <w:top w:val="nil"/>
              <w:left w:val="nil"/>
              <w:bottom w:val="single" w:sz="8" w:space="0" w:color="auto"/>
              <w:right w:val="single" w:sz="8" w:space="0" w:color="auto"/>
            </w:tcBorders>
          </w:tcPr>
          <w:p w14:paraId="2584D404"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14.5</w:t>
            </w:r>
          </w:p>
        </w:tc>
        <w:tc>
          <w:tcPr>
            <w:tcW w:w="992" w:type="dxa"/>
            <w:tcBorders>
              <w:top w:val="nil"/>
              <w:left w:val="nil"/>
              <w:bottom w:val="single" w:sz="8" w:space="0" w:color="auto"/>
              <w:right w:val="single" w:sz="8" w:space="0" w:color="auto"/>
            </w:tcBorders>
          </w:tcPr>
          <w:p w14:paraId="73C6557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1ACAE43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42</w:t>
            </w:r>
          </w:p>
        </w:tc>
        <w:tc>
          <w:tcPr>
            <w:tcW w:w="992" w:type="dxa"/>
            <w:tcBorders>
              <w:top w:val="nil"/>
              <w:left w:val="nil"/>
              <w:bottom w:val="single" w:sz="8" w:space="0" w:color="auto"/>
              <w:right w:val="single" w:sz="8" w:space="0" w:color="auto"/>
            </w:tcBorders>
          </w:tcPr>
          <w:p w14:paraId="74A3092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r-F1</w:t>
            </w:r>
          </w:p>
        </w:tc>
        <w:tc>
          <w:tcPr>
            <w:tcW w:w="851" w:type="dxa"/>
            <w:tcBorders>
              <w:top w:val="nil"/>
              <w:left w:val="nil"/>
              <w:bottom w:val="single" w:sz="8" w:space="0" w:color="auto"/>
              <w:right w:val="single" w:sz="8" w:space="0" w:color="auto"/>
            </w:tcBorders>
          </w:tcPr>
          <w:p w14:paraId="2DA2BC7D" w14:textId="77777777" w:rsidR="00632208" w:rsidRPr="0098635C" w:rsidRDefault="00632208" w:rsidP="00A432B0">
            <w:pPr>
              <w:spacing w:after="0"/>
              <w:jc w:val="center"/>
              <w:rPr>
                <w:color w:val="000000" w:themeColor="text1"/>
                <w:sz w:val="20"/>
                <w:szCs w:val="20"/>
                <w:u w:val="single"/>
              </w:rPr>
            </w:pPr>
          </w:p>
        </w:tc>
        <w:tc>
          <w:tcPr>
            <w:tcW w:w="1134" w:type="dxa"/>
            <w:tcBorders>
              <w:top w:val="nil"/>
              <w:left w:val="nil"/>
              <w:bottom w:val="single" w:sz="8" w:space="0" w:color="auto"/>
              <w:right w:val="single" w:sz="8" w:space="0" w:color="auto"/>
            </w:tcBorders>
          </w:tcPr>
          <w:p w14:paraId="5725DE8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&lt;175.7</w:t>
            </w:r>
          </w:p>
        </w:tc>
        <w:tc>
          <w:tcPr>
            <w:tcW w:w="850" w:type="dxa"/>
            <w:tcBorders>
              <w:top w:val="single" w:sz="8" w:space="0" w:color="auto"/>
              <w:left w:val="nil"/>
              <w:bottom w:val="single" w:sz="8" w:space="0" w:color="auto"/>
              <w:right w:val="single" w:sz="8" w:space="0" w:color="000000"/>
            </w:tcBorders>
          </w:tcPr>
          <w:p w14:paraId="62D7AA93" w14:textId="77777777" w:rsidR="00632208" w:rsidRPr="0098635C" w:rsidRDefault="00632208" w:rsidP="00A432B0">
            <w:pPr>
              <w:spacing w:after="0"/>
              <w:jc w:val="center"/>
              <w:rPr>
                <w:color w:val="000000" w:themeColor="text1"/>
                <w:sz w:val="20"/>
                <w:szCs w:val="20"/>
                <w:u w:val="single"/>
              </w:rPr>
            </w:pPr>
          </w:p>
        </w:tc>
        <w:tc>
          <w:tcPr>
            <w:tcW w:w="1134" w:type="dxa"/>
            <w:tcBorders>
              <w:top w:val="nil"/>
              <w:left w:val="nil"/>
              <w:bottom w:val="single" w:sz="8" w:space="0" w:color="auto"/>
              <w:right w:val="single" w:sz="12" w:space="0" w:color="auto"/>
            </w:tcBorders>
          </w:tcPr>
          <w:p w14:paraId="06B7C41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&lt;178.9</w:t>
            </w:r>
          </w:p>
        </w:tc>
        <w:tc>
          <w:tcPr>
            <w:tcW w:w="1985" w:type="dxa"/>
            <w:tcBorders>
              <w:top w:val="nil"/>
              <w:left w:val="nil"/>
              <w:bottom w:val="single" w:sz="8" w:space="0" w:color="auto"/>
              <w:right w:val="single" w:sz="12" w:space="0" w:color="auto"/>
            </w:tcBorders>
          </w:tcPr>
          <w:p w14:paraId="52E95A8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xml:space="preserve">Lock and Janssen </w:t>
            </w:r>
            <w:r w:rsidRPr="0098635C">
              <w:rPr>
                <w:color w:val="000000" w:themeColor="text1"/>
                <w:sz w:val="20"/>
                <w:szCs w:val="20"/>
              </w:rPr>
              <w:lastRenderedPageBreak/>
              <w:t>(2002</w:t>
            </w:r>
          </w:p>
        </w:tc>
      </w:tr>
      <w:tr w:rsidR="00632208" w:rsidRPr="0098635C" w14:paraId="32B4FBEF" w14:textId="77777777" w:rsidTr="00A432B0">
        <w:trPr>
          <w:trHeight w:val="64"/>
        </w:trPr>
        <w:tc>
          <w:tcPr>
            <w:tcW w:w="1402" w:type="dxa"/>
            <w:tcBorders>
              <w:top w:val="nil"/>
              <w:left w:val="single" w:sz="8" w:space="0" w:color="auto"/>
              <w:bottom w:val="single" w:sz="8" w:space="0" w:color="auto"/>
              <w:right w:val="single" w:sz="8" w:space="0" w:color="auto"/>
            </w:tcBorders>
          </w:tcPr>
          <w:p w14:paraId="07F714A0"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nil"/>
              <w:left w:val="nil"/>
              <w:bottom w:val="single" w:sz="8" w:space="0" w:color="auto"/>
              <w:right w:val="single" w:sz="8" w:space="0" w:color="auto"/>
            </w:tcBorders>
          </w:tcPr>
          <w:p w14:paraId="2CDF01F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natural soil</w:t>
            </w:r>
          </w:p>
        </w:tc>
        <w:tc>
          <w:tcPr>
            <w:tcW w:w="709" w:type="dxa"/>
            <w:tcBorders>
              <w:top w:val="nil"/>
              <w:left w:val="nil"/>
              <w:bottom w:val="single" w:sz="8" w:space="0" w:color="auto"/>
              <w:right w:val="single" w:sz="8" w:space="0" w:color="auto"/>
            </w:tcBorders>
          </w:tcPr>
          <w:p w14:paraId="025A166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t>
            </w:r>
          </w:p>
        </w:tc>
        <w:tc>
          <w:tcPr>
            <w:tcW w:w="708" w:type="dxa"/>
            <w:tcBorders>
              <w:top w:val="nil"/>
              <w:left w:val="nil"/>
              <w:bottom w:val="single" w:sz="8" w:space="0" w:color="auto"/>
              <w:right w:val="single" w:sz="8" w:space="0" w:color="auto"/>
            </w:tcBorders>
          </w:tcPr>
          <w:p w14:paraId="551B1CF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t>
            </w:r>
          </w:p>
        </w:tc>
        <w:tc>
          <w:tcPr>
            <w:tcW w:w="709" w:type="dxa"/>
            <w:tcBorders>
              <w:top w:val="nil"/>
              <w:left w:val="nil"/>
              <w:bottom w:val="single" w:sz="8" w:space="0" w:color="auto"/>
              <w:right w:val="single" w:sz="8" w:space="0" w:color="auto"/>
            </w:tcBorders>
          </w:tcPr>
          <w:p w14:paraId="0C328FD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t>
            </w:r>
          </w:p>
        </w:tc>
        <w:tc>
          <w:tcPr>
            <w:tcW w:w="851" w:type="dxa"/>
            <w:tcBorders>
              <w:top w:val="nil"/>
              <w:left w:val="nil"/>
              <w:bottom w:val="single" w:sz="8" w:space="0" w:color="auto"/>
              <w:right w:val="single" w:sz="8" w:space="0" w:color="auto"/>
            </w:tcBorders>
          </w:tcPr>
          <w:p w14:paraId="0AC400DF"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10.7</w:t>
            </w:r>
          </w:p>
        </w:tc>
        <w:tc>
          <w:tcPr>
            <w:tcW w:w="850" w:type="dxa"/>
            <w:tcBorders>
              <w:top w:val="nil"/>
              <w:left w:val="nil"/>
              <w:bottom w:val="single" w:sz="8" w:space="0" w:color="auto"/>
              <w:right w:val="single" w:sz="8" w:space="0" w:color="auto"/>
            </w:tcBorders>
          </w:tcPr>
          <w:p w14:paraId="1C622A7A"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w:t>
            </w:r>
          </w:p>
        </w:tc>
        <w:tc>
          <w:tcPr>
            <w:tcW w:w="992" w:type="dxa"/>
            <w:tcBorders>
              <w:top w:val="nil"/>
              <w:left w:val="nil"/>
              <w:bottom w:val="single" w:sz="8" w:space="0" w:color="auto"/>
              <w:right w:val="single" w:sz="8" w:space="0" w:color="auto"/>
            </w:tcBorders>
          </w:tcPr>
          <w:p w14:paraId="7D045E6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2BA5F48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14</w:t>
            </w:r>
          </w:p>
        </w:tc>
        <w:tc>
          <w:tcPr>
            <w:tcW w:w="992" w:type="dxa"/>
            <w:tcBorders>
              <w:top w:val="nil"/>
              <w:left w:val="nil"/>
              <w:bottom w:val="single" w:sz="8" w:space="0" w:color="auto"/>
              <w:right w:val="single" w:sz="8" w:space="0" w:color="auto"/>
            </w:tcBorders>
          </w:tcPr>
          <w:p w14:paraId="18A29C9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m</w:t>
            </w:r>
          </w:p>
        </w:tc>
        <w:tc>
          <w:tcPr>
            <w:tcW w:w="851" w:type="dxa"/>
            <w:tcBorders>
              <w:top w:val="nil"/>
              <w:left w:val="nil"/>
              <w:bottom w:val="single" w:sz="8" w:space="0" w:color="auto"/>
              <w:right w:val="single" w:sz="8" w:space="0" w:color="auto"/>
            </w:tcBorders>
          </w:tcPr>
          <w:p w14:paraId="315CF8A9"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rPr>
              <w:t>650</w:t>
            </w:r>
          </w:p>
        </w:tc>
        <w:tc>
          <w:tcPr>
            <w:tcW w:w="1134" w:type="dxa"/>
            <w:tcBorders>
              <w:top w:val="nil"/>
              <w:left w:val="nil"/>
              <w:bottom w:val="single" w:sz="8" w:space="0" w:color="auto"/>
              <w:right w:val="single" w:sz="8" w:space="0" w:color="auto"/>
            </w:tcBorders>
          </w:tcPr>
          <w:p w14:paraId="56BC35A6" w14:textId="77777777" w:rsidR="00632208" w:rsidRPr="0098635C" w:rsidRDefault="00632208" w:rsidP="00A432B0">
            <w:pPr>
              <w:spacing w:after="0"/>
              <w:jc w:val="center"/>
              <w:rPr>
                <w:color w:val="000000" w:themeColor="text1"/>
                <w:sz w:val="20"/>
                <w:szCs w:val="20"/>
              </w:rPr>
            </w:pPr>
          </w:p>
        </w:tc>
        <w:tc>
          <w:tcPr>
            <w:tcW w:w="850" w:type="dxa"/>
            <w:tcBorders>
              <w:top w:val="single" w:sz="8" w:space="0" w:color="auto"/>
              <w:left w:val="nil"/>
              <w:bottom w:val="single" w:sz="8" w:space="0" w:color="auto"/>
              <w:right w:val="single" w:sz="8" w:space="0" w:color="000000"/>
            </w:tcBorders>
          </w:tcPr>
          <w:p w14:paraId="0D62FB5F"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rPr>
              <w:t>660.7</w:t>
            </w:r>
          </w:p>
        </w:tc>
        <w:tc>
          <w:tcPr>
            <w:tcW w:w="1134" w:type="dxa"/>
            <w:tcBorders>
              <w:top w:val="nil"/>
              <w:left w:val="nil"/>
              <w:bottom w:val="single" w:sz="8" w:space="0" w:color="auto"/>
              <w:right w:val="single" w:sz="12" w:space="0" w:color="auto"/>
            </w:tcBorders>
          </w:tcPr>
          <w:p w14:paraId="29522BBA" w14:textId="77777777" w:rsidR="00632208" w:rsidRPr="0098635C" w:rsidRDefault="00632208" w:rsidP="00A432B0">
            <w:pPr>
              <w:spacing w:after="0"/>
              <w:jc w:val="center"/>
              <w:rPr>
                <w:color w:val="000000" w:themeColor="text1"/>
                <w:sz w:val="20"/>
                <w:szCs w:val="20"/>
              </w:rPr>
            </w:pPr>
          </w:p>
        </w:tc>
        <w:tc>
          <w:tcPr>
            <w:tcW w:w="1985" w:type="dxa"/>
            <w:tcBorders>
              <w:top w:val="nil"/>
              <w:left w:val="nil"/>
              <w:bottom w:val="single" w:sz="8" w:space="0" w:color="auto"/>
              <w:right w:val="single" w:sz="12" w:space="0" w:color="auto"/>
            </w:tcBorders>
          </w:tcPr>
          <w:p w14:paraId="50644B9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Liang and Zhou, 2003</w:t>
            </w:r>
          </w:p>
        </w:tc>
      </w:tr>
      <w:tr w:rsidR="00632208" w:rsidRPr="0098635C" w14:paraId="7483CDC4" w14:textId="77777777" w:rsidTr="00A432B0">
        <w:trPr>
          <w:trHeight w:val="463"/>
        </w:trPr>
        <w:tc>
          <w:tcPr>
            <w:tcW w:w="1402" w:type="dxa"/>
            <w:tcBorders>
              <w:top w:val="nil"/>
              <w:left w:val="single" w:sz="8" w:space="0" w:color="auto"/>
              <w:bottom w:val="single" w:sz="8" w:space="0" w:color="auto"/>
              <w:right w:val="single" w:sz="8" w:space="0" w:color="auto"/>
            </w:tcBorders>
          </w:tcPr>
          <w:p w14:paraId="6431C103"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single" w:sz="8" w:space="0" w:color="auto"/>
              <w:right w:val="single" w:sz="8" w:space="0" w:color="auto"/>
            </w:tcBorders>
          </w:tcPr>
          <w:p w14:paraId="63C66AF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OECD soil</w:t>
            </w:r>
          </w:p>
        </w:tc>
        <w:tc>
          <w:tcPr>
            <w:tcW w:w="709" w:type="dxa"/>
            <w:tcBorders>
              <w:top w:val="nil"/>
              <w:left w:val="nil"/>
              <w:bottom w:val="single" w:sz="8" w:space="0" w:color="auto"/>
              <w:right w:val="single" w:sz="8" w:space="0" w:color="auto"/>
            </w:tcBorders>
          </w:tcPr>
          <w:p w14:paraId="4E02DF5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w:t>
            </w:r>
          </w:p>
        </w:tc>
        <w:tc>
          <w:tcPr>
            <w:tcW w:w="708" w:type="dxa"/>
            <w:tcBorders>
              <w:top w:val="nil"/>
              <w:left w:val="nil"/>
              <w:bottom w:val="single" w:sz="8" w:space="0" w:color="auto"/>
              <w:right w:val="single" w:sz="8" w:space="0" w:color="auto"/>
            </w:tcBorders>
          </w:tcPr>
          <w:p w14:paraId="5F3E393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709" w:type="dxa"/>
            <w:tcBorders>
              <w:top w:val="nil"/>
              <w:left w:val="nil"/>
              <w:bottom w:val="single" w:sz="8" w:space="0" w:color="auto"/>
              <w:right w:val="single" w:sz="8" w:space="0" w:color="auto"/>
            </w:tcBorders>
          </w:tcPr>
          <w:p w14:paraId="7125A01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851" w:type="dxa"/>
            <w:tcBorders>
              <w:top w:val="nil"/>
              <w:left w:val="nil"/>
              <w:bottom w:val="single" w:sz="8" w:space="0" w:color="auto"/>
              <w:right w:val="single" w:sz="8" w:space="0" w:color="auto"/>
            </w:tcBorders>
          </w:tcPr>
          <w:p w14:paraId="4B7B532B"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3.2</w:t>
            </w:r>
          </w:p>
        </w:tc>
        <w:tc>
          <w:tcPr>
            <w:tcW w:w="850" w:type="dxa"/>
            <w:tcBorders>
              <w:top w:val="nil"/>
              <w:left w:val="nil"/>
              <w:bottom w:val="single" w:sz="8" w:space="0" w:color="auto"/>
              <w:right w:val="single" w:sz="8" w:space="0" w:color="auto"/>
            </w:tcBorders>
          </w:tcPr>
          <w:p w14:paraId="5532771B"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14.5</w:t>
            </w:r>
          </w:p>
        </w:tc>
        <w:tc>
          <w:tcPr>
            <w:tcW w:w="992" w:type="dxa"/>
            <w:tcBorders>
              <w:top w:val="nil"/>
              <w:left w:val="nil"/>
              <w:bottom w:val="single" w:sz="8" w:space="0" w:color="auto"/>
              <w:right w:val="single" w:sz="8" w:space="0" w:color="auto"/>
            </w:tcBorders>
          </w:tcPr>
          <w:p w14:paraId="0C10228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w:t>
            </w:r>
          </w:p>
        </w:tc>
        <w:tc>
          <w:tcPr>
            <w:tcW w:w="851" w:type="dxa"/>
            <w:tcBorders>
              <w:top w:val="nil"/>
              <w:left w:val="nil"/>
              <w:bottom w:val="single" w:sz="8" w:space="0" w:color="auto"/>
              <w:right w:val="single" w:sz="8" w:space="0" w:color="auto"/>
            </w:tcBorders>
          </w:tcPr>
          <w:p w14:paraId="62092EB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nil"/>
              <w:left w:val="nil"/>
              <w:bottom w:val="single" w:sz="8" w:space="0" w:color="auto"/>
              <w:right w:val="single" w:sz="8" w:space="0" w:color="auto"/>
            </w:tcBorders>
          </w:tcPr>
          <w:p w14:paraId="1553147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m</w:t>
            </w:r>
          </w:p>
        </w:tc>
        <w:tc>
          <w:tcPr>
            <w:tcW w:w="851" w:type="dxa"/>
            <w:tcBorders>
              <w:top w:val="nil"/>
              <w:left w:val="nil"/>
              <w:bottom w:val="single" w:sz="8" w:space="0" w:color="auto"/>
              <w:right w:val="single" w:sz="8" w:space="0" w:color="auto"/>
            </w:tcBorders>
          </w:tcPr>
          <w:p w14:paraId="2F4563E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tcBorders>
              <w:top w:val="nil"/>
              <w:left w:val="nil"/>
              <w:bottom w:val="single" w:sz="8" w:space="0" w:color="auto"/>
              <w:right w:val="single" w:sz="8" w:space="0" w:color="auto"/>
            </w:tcBorders>
          </w:tcPr>
          <w:p w14:paraId="1416C87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3000</w:t>
            </w:r>
          </w:p>
        </w:tc>
        <w:tc>
          <w:tcPr>
            <w:tcW w:w="850" w:type="dxa"/>
            <w:tcBorders>
              <w:top w:val="single" w:sz="8" w:space="0" w:color="auto"/>
              <w:left w:val="nil"/>
              <w:bottom w:val="single" w:sz="8" w:space="0" w:color="auto"/>
              <w:right w:val="single" w:sz="8" w:space="0" w:color="000000"/>
            </w:tcBorders>
          </w:tcPr>
          <w:p w14:paraId="49149F5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tcBorders>
              <w:top w:val="nil"/>
              <w:left w:val="nil"/>
              <w:bottom w:val="single" w:sz="8" w:space="0" w:color="auto"/>
              <w:right w:val="single" w:sz="12" w:space="0" w:color="auto"/>
            </w:tcBorders>
          </w:tcPr>
          <w:p w14:paraId="3731DC5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3003.2</w:t>
            </w:r>
          </w:p>
        </w:tc>
        <w:tc>
          <w:tcPr>
            <w:tcW w:w="1985" w:type="dxa"/>
            <w:tcBorders>
              <w:top w:val="nil"/>
              <w:left w:val="nil"/>
              <w:bottom w:val="single" w:sz="8" w:space="0" w:color="auto"/>
              <w:right w:val="single" w:sz="12" w:space="0" w:color="auto"/>
            </w:tcBorders>
          </w:tcPr>
          <w:p w14:paraId="0EDDF81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Sandifer &amp; Hopkin, 1996</w:t>
            </w:r>
          </w:p>
        </w:tc>
      </w:tr>
      <w:tr w:rsidR="00632208" w:rsidRPr="0098635C" w14:paraId="6FDDB316" w14:textId="77777777" w:rsidTr="00A432B0">
        <w:trPr>
          <w:trHeight w:val="64"/>
        </w:trPr>
        <w:tc>
          <w:tcPr>
            <w:tcW w:w="1402" w:type="dxa"/>
            <w:tcBorders>
              <w:top w:val="nil"/>
              <w:left w:val="single" w:sz="8" w:space="0" w:color="auto"/>
              <w:bottom w:val="single" w:sz="8" w:space="0" w:color="auto"/>
              <w:right w:val="single" w:sz="8" w:space="0" w:color="auto"/>
            </w:tcBorders>
          </w:tcPr>
          <w:p w14:paraId="7F79CD9D"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single" w:sz="8" w:space="0" w:color="auto"/>
              <w:right w:val="single" w:sz="8" w:space="0" w:color="auto"/>
            </w:tcBorders>
          </w:tcPr>
          <w:p w14:paraId="7ED1F22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OECD soil</w:t>
            </w:r>
          </w:p>
        </w:tc>
        <w:tc>
          <w:tcPr>
            <w:tcW w:w="709" w:type="dxa"/>
            <w:tcBorders>
              <w:top w:val="nil"/>
              <w:left w:val="nil"/>
              <w:bottom w:val="single" w:sz="8" w:space="0" w:color="auto"/>
              <w:right w:val="single" w:sz="8" w:space="0" w:color="auto"/>
            </w:tcBorders>
          </w:tcPr>
          <w:p w14:paraId="57438E3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w:t>
            </w:r>
          </w:p>
        </w:tc>
        <w:tc>
          <w:tcPr>
            <w:tcW w:w="708" w:type="dxa"/>
            <w:tcBorders>
              <w:top w:val="nil"/>
              <w:left w:val="nil"/>
              <w:bottom w:val="single" w:sz="8" w:space="0" w:color="auto"/>
              <w:right w:val="single" w:sz="8" w:space="0" w:color="auto"/>
            </w:tcBorders>
          </w:tcPr>
          <w:p w14:paraId="55B3E24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709" w:type="dxa"/>
            <w:tcBorders>
              <w:top w:val="nil"/>
              <w:left w:val="nil"/>
              <w:bottom w:val="single" w:sz="8" w:space="0" w:color="auto"/>
              <w:right w:val="single" w:sz="8" w:space="0" w:color="auto"/>
            </w:tcBorders>
          </w:tcPr>
          <w:p w14:paraId="70FC486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851" w:type="dxa"/>
            <w:tcBorders>
              <w:top w:val="nil"/>
              <w:left w:val="nil"/>
              <w:bottom w:val="single" w:sz="8" w:space="0" w:color="auto"/>
              <w:right w:val="single" w:sz="8" w:space="0" w:color="auto"/>
            </w:tcBorders>
          </w:tcPr>
          <w:p w14:paraId="19739C39"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3.2</w:t>
            </w:r>
          </w:p>
        </w:tc>
        <w:tc>
          <w:tcPr>
            <w:tcW w:w="850" w:type="dxa"/>
            <w:tcBorders>
              <w:top w:val="nil"/>
              <w:left w:val="nil"/>
              <w:bottom w:val="single" w:sz="8" w:space="0" w:color="auto"/>
              <w:right w:val="single" w:sz="8" w:space="0" w:color="auto"/>
            </w:tcBorders>
          </w:tcPr>
          <w:p w14:paraId="033CFEB8"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14.5</w:t>
            </w:r>
          </w:p>
        </w:tc>
        <w:tc>
          <w:tcPr>
            <w:tcW w:w="992" w:type="dxa"/>
            <w:tcBorders>
              <w:top w:val="nil"/>
              <w:left w:val="nil"/>
              <w:bottom w:val="single" w:sz="8" w:space="0" w:color="auto"/>
              <w:right w:val="single" w:sz="8" w:space="0" w:color="auto"/>
            </w:tcBorders>
          </w:tcPr>
          <w:p w14:paraId="56047B4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w:t>
            </w:r>
          </w:p>
        </w:tc>
        <w:tc>
          <w:tcPr>
            <w:tcW w:w="851" w:type="dxa"/>
            <w:tcBorders>
              <w:top w:val="nil"/>
              <w:left w:val="nil"/>
              <w:bottom w:val="single" w:sz="8" w:space="0" w:color="auto"/>
              <w:right w:val="single" w:sz="8" w:space="0" w:color="auto"/>
            </w:tcBorders>
          </w:tcPr>
          <w:p w14:paraId="04FB74D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nil"/>
              <w:left w:val="nil"/>
              <w:bottom w:val="single" w:sz="8" w:space="0" w:color="auto"/>
              <w:right w:val="single" w:sz="8" w:space="0" w:color="auto"/>
            </w:tcBorders>
          </w:tcPr>
          <w:p w14:paraId="3DBD751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tcBorders>
              <w:top w:val="nil"/>
              <w:left w:val="nil"/>
              <w:bottom w:val="single" w:sz="8" w:space="0" w:color="auto"/>
              <w:right w:val="single" w:sz="8" w:space="0" w:color="auto"/>
            </w:tcBorders>
          </w:tcPr>
          <w:p w14:paraId="28416379"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200</w:t>
            </w:r>
          </w:p>
        </w:tc>
        <w:tc>
          <w:tcPr>
            <w:tcW w:w="1134" w:type="dxa"/>
            <w:tcBorders>
              <w:top w:val="nil"/>
              <w:left w:val="nil"/>
              <w:bottom w:val="single" w:sz="8" w:space="0" w:color="auto"/>
              <w:right w:val="single" w:sz="8" w:space="0" w:color="auto"/>
            </w:tcBorders>
          </w:tcPr>
          <w:p w14:paraId="6F91DF5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4A30EF68"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203.2</w:t>
            </w:r>
          </w:p>
        </w:tc>
        <w:tc>
          <w:tcPr>
            <w:tcW w:w="1134" w:type="dxa"/>
            <w:tcBorders>
              <w:top w:val="nil"/>
              <w:left w:val="nil"/>
              <w:bottom w:val="single" w:sz="8" w:space="0" w:color="auto"/>
              <w:right w:val="single" w:sz="12" w:space="0" w:color="auto"/>
            </w:tcBorders>
          </w:tcPr>
          <w:p w14:paraId="525D3F9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5E5EA49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Sandifer &amp; Hopkin, 1996</w:t>
            </w:r>
          </w:p>
        </w:tc>
      </w:tr>
      <w:tr w:rsidR="00632208" w:rsidRPr="0098635C" w14:paraId="47246A94" w14:textId="77777777" w:rsidTr="00A432B0">
        <w:trPr>
          <w:trHeight w:val="463"/>
        </w:trPr>
        <w:tc>
          <w:tcPr>
            <w:tcW w:w="1402" w:type="dxa"/>
            <w:tcBorders>
              <w:top w:val="nil"/>
              <w:left w:val="single" w:sz="8" w:space="0" w:color="auto"/>
              <w:bottom w:val="single" w:sz="8" w:space="0" w:color="auto"/>
              <w:right w:val="single" w:sz="8" w:space="0" w:color="auto"/>
            </w:tcBorders>
          </w:tcPr>
          <w:p w14:paraId="272C3899"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single" w:sz="8" w:space="0" w:color="auto"/>
              <w:right w:val="single" w:sz="8" w:space="0" w:color="auto"/>
            </w:tcBorders>
          </w:tcPr>
          <w:p w14:paraId="668404B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OECD soil</w:t>
            </w:r>
          </w:p>
        </w:tc>
        <w:tc>
          <w:tcPr>
            <w:tcW w:w="709" w:type="dxa"/>
            <w:tcBorders>
              <w:top w:val="nil"/>
              <w:left w:val="nil"/>
              <w:bottom w:val="single" w:sz="8" w:space="0" w:color="auto"/>
              <w:right w:val="single" w:sz="8" w:space="0" w:color="auto"/>
            </w:tcBorders>
          </w:tcPr>
          <w:p w14:paraId="71B6F1F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w:t>
            </w:r>
          </w:p>
        </w:tc>
        <w:tc>
          <w:tcPr>
            <w:tcW w:w="708" w:type="dxa"/>
            <w:tcBorders>
              <w:top w:val="nil"/>
              <w:left w:val="nil"/>
              <w:bottom w:val="single" w:sz="8" w:space="0" w:color="auto"/>
              <w:right w:val="single" w:sz="8" w:space="0" w:color="auto"/>
            </w:tcBorders>
          </w:tcPr>
          <w:p w14:paraId="126CB39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709" w:type="dxa"/>
            <w:tcBorders>
              <w:top w:val="nil"/>
              <w:left w:val="nil"/>
              <w:bottom w:val="single" w:sz="8" w:space="0" w:color="auto"/>
              <w:right w:val="single" w:sz="8" w:space="0" w:color="auto"/>
            </w:tcBorders>
          </w:tcPr>
          <w:p w14:paraId="6F32B09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851" w:type="dxa"/>
            <w:tcBorders>
              <w:top w:val="nil"/>
              <w:left w:val="nil"/>
              <w:bottom w:val="single" w:sz="8" w:space="0" w:color="auto"/>
              <w:right w:val="single" w:sz="8" w:space="0" w:color="auto"/>
            </w:tcBorders>
          </w:tcPr>
          <w:p w14:paraId="06ADCA62"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3.2</w:t>
            </w:r>
          </w:p>
        </w:tc>
        <w:tc>
          <w:tcPr>
            <w:tcW w:w="850" w:type="dxa"/>
            <w:tcBorders>
              <w:top w:val="nil"/>
              <w:left w:val="nil"/>
              <w:bottom w:val="single" w:sz="8" w:space="0" w:color="auto"/>
              <w:right w:val="single" w:sz="8" w:space="0" w:color="auto"/>
            </w:tcBorders>
          </w:tcPr>
          <w:p w14:paraId="5439BB30"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11.5</w:t>
            </w:r>
          </w:p>
        </w:tc>
        <w:tc>
          <w:tcPr>
            <w:tcW w:w="992" w:type="dxa"/>
            <w:tcBorders>
              <w:top w:val="nil"/>
              <w:left w:val="nil"/>
              <w:bottom w:val="single" w:sz="8" w:space="0" w:color="auto"/>
              <w:right w:val="single" w:sz="8" w:space="0" w:color="auto"/>
            </w:tcBorders>
          </w:tcPr>
          <w:p w14:paraId="45CEF30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w:t>
            </w:r>
          </w:p>
        </w:tc>
        <w:tc>
          <w:tcPr>
            <w:tcW w:w="851" w:type="dxa"/>
            <w:tcBorders>
              <w:top w:val="nil"/>
              <w:left w:val="nil"/>
              <w:bottom w:val="single" w:sz="8" w:space="0" w:color="auto"/>
              <w:right w:val="single" w:sz="8" w:space="0" w:color="auto"/>
            </w:tcBorders>
          </w:tcPr>
          <w:p w14:paraId="2F4D740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nil"/>
              <w:left w:val="nil"/>
              <w:bottom w:val="single" w:sz="8" w:space="0" w:color="auto"/>
              <w:right w:val="single" w:sz="8" w:space="0" w:color="auto"/>
            </w:tcBorders>
          </w:tcPr>
          <w:p w14:paraId="49685A3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m</w:t>
            </w:r>
          </w:p>
        </w:tc>
        <w:tc>
          <w:tcPr>
            <w:tcW w:w="851" w:type="dxa"/>
            <w:tcBorders>
              <w:top w:val="nil"/>
              <w:left w:val="nil"/>
              <w:bottom w:val="single" w:sz="8" w:space="0" w:color="auto"/>
              <w:right w:val="single" w:sz="8" w:space="0" w:color="auto"/>
            </w:tcBorders>
          </w:tcPr>
          <w:p w14:paraId="435A3352"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40</w:t>
            </w:r>
          </w:p>
        </w:tc>
        <w:tc>
          <w:tcPr>
            <w:tcW w:w="1134" w:type="dxa"/>
            <w:tcBorders>
              <w:top w:val="nil"/>
              <w:left w:val="nil"/>
              <w:bottom w:val="single" w:sz="8" w:space="0" w:color="auto"/>
              <w:right w:val="single" w:sz="8" w:space="0" w:color="auto"/>
            </w:tcBorders>
          </w:tcPr>
          <w:p w14:paraId="766F98D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324872D0"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43.2</w:t>
            </w:r>
          </w:p>
        </w:tc>
        <w:tc>
          <w:tcPr>
            <w:tcW w:w="1134" w:type="dxa"/>
            <w:tcBorders>
              <w:top w:val="nil"/>
              <w:left w:val="nil"/>
              <w:bottom w:val="single" w:sz="8" w:space="0" w:color="auto"/>
              <w:right w:val="single" w:sz="12" w:space="0" w:color="auto"/>
            </w:tcBorders>
          </w:tcPr>
          <w:p w14:paraId="20695A4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04B8F89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Sandifer &amp; Hopkin, 1996</w:t>
            </w:r>
          </w:p>
        </w:tc>
      </w:tr>
      <w:tr w:rsidR="00632208" w:rsidRPr="0098635C" w14:paraId="73D6C842" w14:textId="77777777" w:rsidTr="00A432B0">
        <w:trPr>
          <w:trHeight w:val="463"/>
        </w:trPr>
        <w:tc>
          <w:tcPr>
            <w:tcW w:w="1402" w:type="dxa"/>
            <w:tcBorders>
              <w:top w:val="nil"/>
              <w:left w:val="single" w:sz="8" w:space="0" w:color="auto"/>
              <w:bottom w:val="single" w:sz="8" w:space="0" w:color="auto"/>
              <w:right w:val="single" w:sz="8" w:space="0" w:color="auto"/>
            </w:tcBorders>
          </w:tcPr>
          <w:p w14:paraId="5B19876E"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single" w:sz="8" w:space="0" w:color="auto"/>
              <w:right w:val="single" w:sz="8" w:space="0" w:color="auto"/>
            </w:tcBorders>
          </w:tcPr>
          <w:p w14:paraId="7D6D74B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OECD soil</w:t>
            </w:r>
          </w:p>
        </w:tc>
        <w:tc>
          <w:tcPr>
            <w:tcW w:w="709" w:type="dxa"/>
            <w:tcBorders>
              <w:top w:val="nil"/>
              <w:left w:val="nil"/>
              <w:bottom w:val="single" w:sz="8" w:space="0" w:color="auto"/>
              <w:right w:val="single" w:sz="8" w:space="0" w:color="auto"/>
            </w:tcBorders>
          </w:tcPr>
          <w:p w14:paraId="6B2407B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w:t>
            </w:r>
          </w:p>
        </w:tc>
        <w:tc>
          <w:tcPr>
            <w:tcW w:w="708" w:type="dxa"/>
            <w:tcBorders>
              <w:top w:val="nil"/>
              <w:left w:val="nil"/>
              <w:bottom w:val="single" w:sz="8" w:space="0" w:color="auto"/>
              <w:right w:val="single" w:sz="8" w:space="0" w:color="auto"/>
            </w:tcBorders>
          </w:tcPr>
          <w:p w14:paraId="6049EDB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709" w:type="dxa"/>
            <w:tcBorders>
              <w:top w:val="nil"/>
              <w:left w:val="nil"/>
              <w:bottom w:val="single" w:sz="8" w:space="0" w:color="auto"/>
              <w:right w:val="single" w:sz="8" w:space="0" w:color="auto"/>
            </w:tcBorders>
          </w:tcPr>
          <w:p w14:paraId="0F329D9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851" w:type="dxa"/>
            <w:tcBorders>
              <w:top w:val="nil"/>
              <w:left w:val="nil"/>
              <w:bottom w:val="single" w:sz="8" w:space="0" w:color="auto"/>
              <w:right w:val="single" w:sz="8" w:space="0" w:color="auto"/>
            </w:tcBorders>
          </w:tcPr>
          <w:p w14:paraId="23D57916"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3.2</w:t>
            </w:r>
          </w:p>
        </w:tc>
        <w:tc>
          <w:tcPr>
            <w:tcW w:w="850" w:type="dxa"/>
            <w:tcBorders>
              <w:top w:val="nil"/>
              <w:left w:val="nil"/>
              <w:bottom w:val="single" w:sz="8" w:space="0" w:color="auto"/>
              <w:right w:val="single" w:sz="8" w:space="0" w:color="auto"/>
            </w:tcBorders>
          </w:tcPr>
          <w:p w14:paraId="4F930DCB"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11.5</w:t>
            </w:r>
          </w:p>
        </w:tc>
        <w:tc>
          <w:tcPr>
            <w:tcW w:w="992" w:type="dxa"/>
            <w:tcBorders>
              <w:top w:val="nil"/>
              <w:left w:val="nil"/>
              <w:bottom w:val="single" w:sz="8" w:space="0" w:color="auto"/>
              <w:right w:val="single" w:sz="8" w:space="0" w:color="auto"/>
            </w:tcBorders>
          </w:tcPr>
          <w:p w14:paraId="5785058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w:t>
            </w:r>
          </w:p>
        </w:tc>
        <w:tc>
          <w:tcPr>
            <w:tcW w:w="851" w:type="dxa"/>
            <w:tcBorders>
              <w:top w:val="nil"/>
              <w:left w:val="nil"/>
              <w:bottom w:val="single" w:sz="8" w:space="0" w:color="auto"/>
              <w:right w:val="single" w:sz="8" w:space="0" w:color="auto"/>
            </w:tcBorders>
          </w:tcPr>
          <w:p w14:paraId="2532E62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nil"/>
              <w:left w:val="nil"/>
              <w:bottom w:val="single" w:sz="8" w:space="0" w:color="auto"/>
              <w:right w:val="single" w:sz="8" w:space="0" w:color="auto"/>
            </w:tcBorders>
          </w:tcPr>
          <w:p w14:paraId="2CB3A67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tcBorders>
              <w:top w:val="nil"/>
              <w:left w:val="nil"/>
              <w:bottom w:val="single" w:sz="8" w:space="0" w:color="auto"/>
              <w:right w:val="single" w:sz="8" w:space="0" w:color="auto"/>
            </w:tcBorders>
          </w:tcPr>
          <w:p w14:paraId="03068764"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200</w:t>
            </w:r>
          </w:p>
        </w:tc>
        <w:tc>
          <w:tcPr>
            <w:tcW w:w="1134" w:type="dxa"/>
            <w:tcBorders>
              <w:top w:val="nil"/>
              <w:left w:val="nil"/>
              <w:bottom w:val="single" w:sz="8" w:space="0" w:color="auto"/>
              <w:right w:val="single" w:sz="8" w:space="0" w:color="auto"/>
            </w:tcBorders>
          </w:tcPr>
          <w:p w14:paraId="2C84BE7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7B8C1C2B"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203.2</w:t>
            </w:r>
          </w:p>
        </w:tc>
        <w:tc>
          <w:tcPr>
            <w:tcW w:w="1134" w:type="dxa"/>
            <w:tcBorders>
              <w:top w:val="nil"/>
              <w:left w:val="nil"/>
              <w:bottom w:val="single" w:sz="8" w:space="0" w:color="auto"/>
              <w:right w:val="single" w:sz="12" w:space="0" w:color="auto"/>
            </w:tcBorders>
          </w:tcPr>
          <w:p w14:paraId="4921AA4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2B8DA3E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Sandifer &amp; Hopkin, 1996</w:t>
            </w:r>
          </w:p>
        </w:tc>
      </w:tr>
      <w:tr w:rsidR="00632208" w:rsidRPr="0098635C" w14:paraId="5F05CCF8" w14:textId="77777777" w:rsidTr="00A432B0">
        <w:trPr>
          <w:trHeight w:val="463"/>
        </w:trPr>
        <w:tc>
          <w:tcPr>
            <w:tcW w:w="1402" w:type="dxa"/>
            <w:tcBorders>
              <w:top w:val="nil"/>
              <w:left w:val="single" w:sz="8" w:space="0" w:color="auto"/>
              <w:bottom w:val="single" w:sz="8" w:space="0" w:color="auto"/>
              <w:right w:val="single" w:sz="8" w:space="0" w:color="auto"/>
            </w:tcBorders>
          </w:tcPr>
          <w:p w14:paraId="11CD9446"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single" w:sz="8" w:space="0" w:color="auto"/>
              <w:right w:val="single" w:sz="8" w:space="0" w:color="auto"/>
            </w:tcBorders>
          </w:tcPr>
          <w:p w14:paraId="16BE047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OECD soil</w:t>
            </w:r>
          </w:p>
        </w:tc>
        <w:tc>
          <w:tcPr>
            <w:tcW w:w="709" w:type="dxa"/>
            <w:tcBorders>
              <w:top w:val="nil"/>
              <w:left w:val="nil"/>
              <w:bottom w:val="single" w:sz="8" w:space="0" w:color="auto"/>
              <w:right w:val="single" w:sz="8" w:space="0" w:color="auto"/>
            </w:tcBorders>
          </w:tcPr>
          <w:p w14:paraId="12BF1F0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w:t>
            </w:r>
          </w:p>
        </w:tc>
        <w:tc>
          <w:tcPr>
            <w:tcW w:w="708" w:type="dxa"/>
            <w:tcBorders>
              <w:top w:val="nil"/>
              <w:left w:val="nil"/>
              <w:bottom w:val="single" w:sz="8" w:space="0" w:color="auto"/>
              <w:right w:val="single" w:sz="8" w:space="0" w:color="auto"/>
            </w:tcBorders>
          </w:tcPr>
          <w:p w14:paraId="4917284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709" w:type="dxa"/>
            <w:tcBorders>
              <w:top w:val="nil"/>
              <w:left w:val="nil"/>
              <w:bottom w:val="single" w:sz="8" w:space="0" w:color="auto"/>
              <w:right w:val="single" w:sz="8" w:space="0" w:color="auto"/>
            </w:tcBorders>
          </w:tcPr>
          <w:p w14:paraId="18716E4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851" w:type="dxa"/>
            <w:tcBorders>
              <w:top w:val="nil"/>
              <w:left w:val="nil"/>
              <w:bottom w:val="single" w:sz="8" w:space="0" w:color="auto"/>
              <w:right w:val="single" w:sz="8" w:space="0" w:color="auto"/>
            </w:tcBorders>
          </w:tcPr>
          <w:p w14:paraId="52A194DB"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3.2</w:t>
            </w:r>
          </w:p>
        </w:tc>
        <w:tc>
          <w:tcPr>
            <w:tcW w:w="850" w:type="dxa"/>
            <w:tcBorders>
              <w:top w:val="nil"/>
              <w:left w:val="nil"/>
              <w:bottom w:val="single" w:sz="8" w:space="0" w:color="auto"/>
              <w:right w:val="single" w:sz="8" w:space="0" w:color="auto"/>
            </w:tcBorders>
          </w:tcPr>
          <w:p w14:paraId="1BD86C54"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10</w:t>
            </w:r>
          </w:p>
        </w:tc>
        <w:tc>
          <w:tcPr>
            <w:tcW w:w="992" w:type="dxa"/>
            <w:tcBorders>
              <w:top w:val="nil"/>
              <w:left w:val="nil"/>
              <w:bottom w:val="single" w:sz="8" w:space="0" w:color="auto"/>
              <w:right w:val="single" w:sz="8" w:space="0" w:color="auto"/>
            </w:tcBorders>
          </w:tcPr>
          <w:p w14:paraId="58C0930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w:t>
            </w:r>
          </w:p>
        </w:tc>
        <w:tc>
          <w:tcPr>
            <w:tcW w:w="851" w:type="dxa"/>
            <w:tcBorders>
              <w:top w:val="nil"/>
              <w:left w:val="nil"/>
              <w:bottom w:val="single" w:sz="8" w:space="0" w:color="auto"/>
              <w:right w:val="single" w:sz="8" w:space="0" w:color="auto"/>
            </w:tcBorders>
          </w:tcPr>
          <w:p w14:paraId="6ED55C7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nil"/>
              <w:left w:val="nil"/>
              <w:bottom w:val="single" w:sz="8" w:space="0" w:color="auto"/>
              <w:right w:val="single" w:sz="8" w:space="0" w:color="auto"/>
            </w:tcBorders>
          </w:tcPr>
          <w:p w14:paraId="0A48404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m</w:t>
            </w:r>
          </w:p>
        </w:tc>
        <w:tc>
          <w:tcPr>
            <w:tcW w:w="851" w:type="dxa"/>
            <w:tcBorders>
              <w:top w:val="nil"/>
              <w:left w:val="nil"/>
              <w:bottom w:val="single" w:sz="8" w:space="0" w:color="auto"/>
              <w:right w:val="single" w:sz="8" w:space="0" w:color="auto"/>
            </w:tcBorders>
          </w:tcPr>
          <w:p w14:paraId="10D6CCE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tcBorders>
              <w:top w:val="nil"/>
              <w:left w:val="nil"/>
              <w:bottom w:val="single" w:sz="8" w:space="0" w:color="auto"/>
              <w:right w:val="single" w:sz="8" w:space="0" w:color="auto"/>
            </w:tcBorders>
          </w:tcPr>
          <w:p w14:paraId="1B80272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3000</w:t>
            </w:r>
          </w:p>
        </w:tc>
        <w:tc>
          <w:tcPr>
            <w:tcW w:w="850" w:type="dxa"/>
            <w:tcBorders>
              <w:top w:val="single" w:sz="8" w:space="0" w:color="auto"/>
              <w:left w:val="nil"/>
              <w:bottom w:val="single" w:sz="8" w:space="0" w:color="auto"/>
              <w:right w:val="single" w:sz="8" w:space="0" w:color="000000"/>
            </w:tcBorders>
          </w:tcPr>
          <w:p w14:paraId="1E6A6CC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tcBorders>
              <w:top w:val="nil"/>
              <w:left w:val="nil"/>
              <w:bottom w:val="single" w:sz="8" w:space="0" w:color="auto"/>
              <w:right w:val="single" w:sz="12" w:space="0" w:color="auto"/>
            </w:tcBorders>
          </w:tcPr>
          <w:p w14:paraId="73DB692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3003.2</w:t>
            </w:r>
          </w:p>
        </w:tc>
        <w:tc>
          <w:tcPr>
            <w:tcW w:w="1985" w:type="dxa"/>
            <w:tcBorders>
              <w:top w:val="nil"/>
              <w:left w:val="nil"/>
              <w:bottom w:val="single" w:sz="8" w:space="0" w:color="auto"/>
              <w:right w:val="single" w:sz="12" w:space="0" w:color="auto"/>
            </w:tcBorders>
          </w:tcPr>
          <w:p w14:paraId="435CED3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Sandifer &amp; Hopkin, 1996</w:t>
            </w:r>
          </w:p>
        </w:tc>
      </w:tr>
      <w:tr w:rsidR="00632208" w:rsidRPr="0098635C" w14:paraId="5E28500A" w14:textId="77777777" w:rsidTr="00A432B0">
        <w:trPr>
          <w:trHeight w:val="463"/>
        </w:trPr>
        <w:tc>
          <w:tcPr>
            <w:tcW w:w="1402" w:type="dxa"/>
            <w:tcBorders>
              <w:top w:val="nil"/>
              <w:left w:val="single" w:sz="8" w:space="0" w:color="auto"/>
              <w:bottom w:val="single" w:sz="8" w:space="0" w:color="auto"/>
              <w:right w:val="single" w:sz="8" w:space="0" w:color="auto"/>
            </w:tcBorders>
          </w:tcPr>
          <w:p w14:paraId="7C952C71"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single" w:sz="8" w:space="0" w:color="auto"/>
              <w:right w:val="single" w:sz="8" w:space="0" w:color="auto"/>
            </w:tcBorders>
          </w:tcPr>
          <w:p w14:paraId="01D6EFE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OECD soil</w:t>
            </w:r>
          </w:p>
        </w:tc>
        <w:tc>
          <w:tcPr>
            <w:tcW w:w="709" w:type="dxa"/>
            <w:tcBorders>
              <w:top w:val="nil"/>
              <w:left w:val="nil"/>
              <w:bottom w:val="single" w:sz="8" w:space="0" w:color="auto"/>
              <w:right w:val="single" w:sz="8" w:space="0" w:color="auto"/>
            </w:tcBorders>
          </w:tcPr>
          <w:p w14:paraId="2DBE265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w:t>
            </w:r>
          </w:p>
        </w:tc>
        <w:tc>
          <w:tcPr>
            <w:tcW w:w="708" w:type="dxa"/>
            <w:tcBorders>
              <w:top w:val="nil"/>
              <w:left w:val="nil"/>
              <w:bottom w:val="single" w:sz="8" w:space="0" w:color="auto"/>
              <w:right w:val="single" w:sz="8" w:space="0" w:color="auto"/>
            </w:tcBorders>
          </w:tcPr>
          <w:p w14:paraId="72D1C50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709" w:type="dxa"/>
            <w:tcBorders>
              <w:top w:val="nil"/>
              <w:left w:val="nil"/>
              <w:bottom w:val="single" w:sz="8" w:space="0" w:color="auto"/>
              <w:right w:val="single" w:sz="8" w:space="0" w:color="auto"/>
            </w:tcBorders>
          </w:tcPr>
          <w:p w14:paraId="747F895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851" w:type="dxa"/>
            <w:tcBorders>
              <w:top w:val="nil"/>
              <w:left w:val="nil"/>
              <w:bottom w:val="single" w:sz="8" w:space="0" w:color="auto"/>
              <w:right w:val="single" w:sz="8" w:space="0" w:color="auto"/>
            </w:tcBorders>
          </w:tcPr>
          <w:p w14:paraId="5BC4774A"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3.2</w:t>
            </w:r>
          </w:p>
        </w:tc>
        <w:tc>
          <w:tcPr>
            <w:tcW w:w="850" w:type="dxa"/>
            <w:tcBorders>
              <w:top w:val="nil"/>
              <w:left w:val="nil"/>
              <w:bottom w:val="single" w:sz="8" w:space="0" w:color="auto"/>
              <w:right w:val="single" w:sz="8" w:space="0" w:color="auto"/>
            </w:tcBorders>
          </w:tcPr>
          <w:p w14:paraId="1B214400"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10</w:t>
            </w:r>
          </w:p>
        </w:tc>
        <w:tc>
          <w:tcPr>
            <w:tcW w:w="992" w:type="dxa"/>
            <w:tcBorders>
              <w:top w:val="nil"/>
              <w:left w:val="nil"/>
              <w:bottom w:val="single" w:sz="8" w:space="0" w:color="auto"/>
              <w:right w:val="single" w:sz="8" w:space="0" w:color="auto"/>
            </w:tcBorders>
          </w:tcPr>
          <w:p w14:paraId="663A7FF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w:t>
            </w:r>
          </w:p>
        </w:tc>
        <w:tc>
          <w:tcPr>
            <w:tcW w:w="851" w:type="dxa"/>
            <w:tcBorders>
              <w:top w:val="nil"/>
              <w:left w:val="nil"/>
              <w:bottom w:val="single" w:sz="8" w:space="0" w:color="auto"/>
              <w:right w:val="single" w:sz="8" w:space="0" w:color="auto"/>
            </w:tcBorders>
          </w:tcPr>
          <w:p w14:paraId="6D4C7AB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nil"/>
              <w:left w:val="nil"/>
              <w:bottom w:val="single" w:sz="8" w:space="0" w:color="auto"/>
              <w:right w:val="single" w:sz="8" w:space="0" w:color="auto"/>
            </w:tcBorders>
          </w:tcPr>
          <w:p w14:paraId="2A0C1FE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tcBorders>
              <w:top w:val="nil"/>
              <w:left w:val="nil"/>
              <w:bottom w:val="single" w:sz="8" w:space="0" w:color="auto"/>
              <w:right w:val="single" w:sz="8" w:space="0" w:color="auto"/>
            </w:tcBorders>
          </w:tcPr>
          <w:p w14:paraId="2E31034A"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1,000</w:t>
            </w:r>
          </w:p>
        </w:tc>
        <w:tc>
          <w:tcPr>
            <w:tcW w:w="1134" w:type="dxa"/>
            <w:tcBorders>
              <w:top w:val="nil"/>
              <w:left w:val="nil"/>
              <w:bottom w:val="single" w:sz="8" w:space="0" w:color="auto"/>
              <w:right w:val="single" w:sz="8" w:space="0" w:color="auto"/>
            </w:tcBorders>
          </w:tcPr>
          <w:p w14:paraId="2957F8F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2EF6CF5C"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1,003.20</w:t>
            </w:r>
          </w:p>
        </w:tc>
        <w:tc>
          <w:tcPr>
            <w:tcW w:w="1134" w:type="dxa"/>
            <w:tcBorders>
              <w:top w:val="nil"/>
              <w:left w:val="nil"/>
              <w:bottom w:val="single" w:sz="8" w:space="0" w:color="auto"/>
              <w:right w:val="single" w:sz="12" w:space="0" w:color="auto"/>
            </w:tcBorders>
          </w:tcPr>
          <w:p w14:paraId="4D7DB5A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6AAF324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Sandifer &amp; Hopkin, 1996</w:t>
            </w:r>
          </w:p>
        </w:tc>
      </w:tr>
      <w:tr w:rsidR="00632208" w:rsidRPr="0098635C" w14:paraId="27BE6273" w14:textId="77777777" w:rsidTr="00A432B0">
        <w:trPr>
          <w:trHeight w:val="463"/>
        </w:trPr>
        <w:tc>
          <w:tcPr>
            <w:tcW w:w="1402" w:type="dxa"/>
            <w:tcBorders>
              <w:top w:val="nil"/>
              <w:left w:val="single" w:sz="8" w:space="0" w:color="auto"/>
              <w:bottom w:val="single" w:sz="8" w:space="0" w:color="auto"/>
              <w:right w:val="single" w:sz="8" w:space="0" w:color="auto"/>
            </w:tcBorders>
          </w:tcPr>
          <w:p w14:paraId="4B937AB4"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single" w:sz="8" w:space="0" w:color="auto"/>
              <w:right w:val="single" w:sz="8" w:space="0" w:color="auto"/>
            </w:tcBorders>
          </w:tcPr>
          <w:p w14:paraId="73D73AE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OECD soil</w:t>
            </w:r>
          </w:p>
        </w:tc>
        <w:tc>
          <w:tcPr>
            <w:tcW w:w="709" w:type="dxa"/>
            <w:tcBorders>
              <w:top w:val="nil"/>
              <w:left w:val="nil"/>
              <w:bottom w:val="single" w:sz="8" w:space="0" w:color="auto"/>
              <w:right w:val="single" w:sz="8" w:space="0" w:color="auto"/>
            </w:tcBorders>
          </w:tcPr>
          <w:p w14:paraId="22FAD4B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w:t>
            </w:r>
          </w:p>
        </w:tc>
        <w:tc>
          <w:tcPr>
            <w:tcW w:w="708" w:type="dxa"/>
            <w:tcBorders>
              <w:top w:val="nil"/>
              <w:left w:val="nil"/>
              <w:bottom w:val="single" w:sz="8" w:space="0" w:color="auto"/>
              <w:right w:val="single" w:sz="8" w:space="0" w:color="auto"/>
            </w:tcBorders>
          </w:tcPr>
          <w:p w14:paraId="0BBFE1A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709" w:type="dxa"/>
            <w:tcBorders>
              <w:top w:val="nil"/>
              <w:left w:val="nil"/>
              <w:bottom w:val="single" w:sz="8" w:space="0" w:color="auto"/>
              <w:right w:val="single" w:sz="8" w:space="0" w:color="auto"/>
            </w:tcBorders>
          </w:tcPr>
          <w:p w14:paraId="5B41783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851" w:type="dxa"/>
            <w:tcBorders>
              <w:top w:val="nil"/>
              <w:left w:val="nil"/>
              <w:bottom w:val="single" w:sz="8" w:space="0" w:color="auto"/>
              <w:right w:val="single" w:sz="8" w:space="0" w:color="auto"/>
            </w:tcBorders>
          </w:tcPr>
          <w:p w14:paraId="79ADFC65"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3.2</w:t>
            </w:r>
          </w:p>
        </w:tc>
        <w:tc>
          <w:tcPr>
            <w:tcW w:w="850" w:type="dxa"/>
            <w:tcBorders>
              <w:top w:val="nil"/>
              <w:left w:val="nil"/>
              <w:bottom w:val="single" w:sz="8" w:space="0" w:color="auto"/>
              <w:right w:val="single" w:sz="8" w:space="0" w:color="auto"/>
            </w:tcBorders>
          </w:tcPr>
          <w:p w14:paraId="22B898CB"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14.5</w:t>
            </w:r>
          </w:p>
        </w:tc>
        <w:tc>
          <w:tcPr>
            <w:tcW w:w="992" w:type="dxa"/>
            <w:tcBorders>
              <w:top w:val="nil"/>
              <w:left w:val="nil"/>
              <w:bottom w:val="single" w:sz="8" w:space="0" w:color="auto"/>
              <w:right w:val="single" w:sz="8" w:space="0" w:color="auto"/>
            </w:tcBorders>
          </w:tcPr>
          <w:p w14:paraId="1ECA5F0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w:t>
            </w:r>
          </w:p>
        </w:tc>
        <w:tc>
          <w:tcPr>
            <w:tcW w:w="851" w:type="dxa"/>
            <w:tcBorders>
              <w:top w:val="nil"/>
              <w:left w:val="nil"/>
              <w:bottom w:val="single" w:sz="8" w:space="0" w:color="auto"/>
              <w:right w:val="single" w:sz="8" w:space="0" w:color="auto"/>
            </w:tcBorders>
          </w:tcPr>
          <w:p w14:paraId="54ABE9E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nil"/>
              <w:left w:val="nil"/>
              <w:bottom w:val="single" w:sz="8" w:space="0" w:color="auto"/>
              <w:right w:val="single" w:sz="8" w:space="0" w:color="auto"/>
            </w:tcBorders>
          </w:tcPr>
          <w:p w14:paraId="623A224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tcBorders>
              <w:top w:val="nil"/>
              <w:left w:val="nil"/>
              <w:bottom w:val="single" w:sz="8" w:space="0" w:color="auto"/>
              <w:right w:val="single" w:sz="8" w:space="0" w:color="auto"/>
            </w:tcBorders>
          </w:tcPr>
          <w:p w14:paraId="6B410CCC"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200</w:t>
            </w:r>
          </w:p>
        </w:tc>
        <w:tc>
          <w:tcPr>
            <w:tcW w:w="1134" w:type="dxa"/>
            <w:tcBorders>
              <w:top w:val="nil"/>
              <w:left w:val="nil"/>
              <w:bottom w:val="single" w:sz="8" w:space="0" w:color="auto"/>
              <w:right w:val="single" w:sz="8" w:space="0" w:color="auto"/>
            </w:tcBorders>
          </w:tcPr>
          <w:p w14:paraId="3994F19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2205BF1F"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203.2</w:t>
            </w:r>
          </w:p>
        </w:tc>
        <w:tc>
          <w:tcPr>
            <w:tcW w:w="1134" w:type="dxa"/>
            <w:tcBorders>
              <w:top w:val="nil"/>
              <w:left w:val="nil"/>
              <w:bottom w:val="single" w:sz="8" w:space="0" w:color="auto"/>
              <w:right w:val="single" w:sz="12" w:space="0" w:color="auto"/>
            </w:tcBorders>
          </w:tcPr>
          <w:p w14:paraId="5181CCB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7B9895F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Sandifer &amp; Hopkin, 1997</w:t>
            </w:r>
          </w:p>
        </w:tc>
      </w:tr>
      <w:tr w:rsidR="00632208" w:rsidRPr="0098635C" w14:paraId="7F3DAB73" w14:textId="77777777" w:rsidTr="00A432B0">
        <w:trPr>
          <w:trHeight w:val="463"/>
        </w:trPr>
        <w:tc>
          <w:tcPr>
            <w:tcW w:w="1402" w:type="dxa"/>
            <w:tcBorders>
              <w:top w:val="nil"/>
              <w:left w:val="single" w:sz="8" w:space="0" w:color="auto"/>
              <w:bottom w:val="single" w:sz="8" w:space="0" w:color="auto"/>
              <w:right w:val="single" w:sz="8" w:space="0" w:color="auto"/>
            </w:tcBorders>
          </w:tcPr>
          <w:p w14:paraId="4DD3AC52"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single" w:sz="8" w:space="0" w:color="auto"/>
              <w:right w:val="single" w:sz="8" w:space="0" w:color="auto"/>
            </w:tcBorders>
          </w:tcPr>
          <w:p w14:paraId="4C8697C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OECD soil</w:t>
            </w:r>
          </w:p>
        </w:tc>
        <w:tc>
          <w:tcPr>
            <w:tcW w:w="709" w:type="dxa"/>
            <w:tcBorders>
              <w:top w:val="nil"/>
              <w:left w:val="nil"/>
              <w:bottom w:val="single" w:sz="8" w:space="0" w:color="auto"/>
              <w:right w:val="single" w:sz="8" w:space="0" w:color="auto"/>
            </w:tcBorders>
          </w:tcPr>
          <w:p w14:paraId="6278E2B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w:t>
            </w:r>
          </w:p>
        </w:tc>
        <w:tc>
          <w:tcPr>
            <w:tcW w:w="708" w:type="dxa"/>
            <w:tcBorders>
              <w:top w:val="nil"/>
              <w:left w:val="nil"/>
              <w:bottom w:val="single" w:sz="8" w:space="0" w:color="auto"/>
              <w:right w:val="single" w:sz="8" w:space="0" w:color="auto"/>
            </w:tcBorders>
          </w:tcPr>
          <w:p w14:paraId="529F50C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709" w:type="dxa"/>
            <w:tcBorders>
              <w:top w:val="nil"/>
              <w:left w:val="nil"/>
              <w:bottom w:val="single" w:sz="8" w:space="0" w:color="auto"/>
              <w:right w:val="single" w:sz="8" w:space="0" w:color="auto"/>
            </w:tcBorders>
          </w:tcPr>
          <w:p w14:paraId="44EA3C7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851" w:type="dxa"/>
            <w:tcBorders>
              <w:top w:val="nil"/>
              <w:left w:val="nil"/>
              <w:bottom w:val="single" w:sz="8" w:space="0" w:color="auto"/>
              <w:right w:val="single" w:sz="8" w:space="0" w:color="auto"/>
            </w:tcBorders>
          </w:tcPr>
          <w:p w14:paraId="691E1264"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3.2</w:t>
            </w:r>
          </w:p>
        </w:tc>
        <w:tc>
          <w:tcPr>
            <w:tcW w:w="850" w:type="dxa"/>
            <w:tcBorders>
              <w:top w:val="nil"/>
              <w:left w:val="nil"/>
              <w:bottom w:val="single" w:sz="8" w:space="0" w:color="auto"/>
              <w:right w:val="single" w:sz="8" w:space="0" w:color="auto"/>
            </w:tcBorders>
          </w:tcPr>
          <w:p w14:paraId="41B487E1"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14.5</w:t>
            </w:r>
          </w:p>
        </w:tc>
        <w:tc>
          <w:tcPr>
            <w:tcW w:w="992" w:type="dxa"/>
            <w:tcBorders>
              <w:top w:val="nil"/>
              <w:left w:val="nil"/>
              <w:bottom w:val="single" w:sz="8" w:space="0" w:color="auto"/>
              <w:right w:val="single" w:sz="8" w:space="0" w:color="auto"/>
            </w:tcBorders>
          </w:tcPr>
          <w:p w14:paraId="45CD9EC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w:t>
            </w:r>
          </w:p>
        </w:tc>
        <w:tc>
          <w:tcPr>
            <w:tcW w:w="851" w:type="dxa"/>
            <w:tcBorders>
              <w:top w:val="nil"/>
              <w:left w:val="nil"/>
              <w:bottom w:val="single" w:sz="8" w:space="0" w:color="auto"/>
              <w:right w:val="single" w:sz="8" w:space="0" w:color="auto"/>
            </w:tcBorders>
          </w:tcPr>
          <w:p w14:paraId="7C5007A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42</w:t>
            </w:r>
          </w:p>
        </w:tc>
        <w:tc>
          <w:tcPr>
            <w:tcW w:w="992" w:type="dxa"/>
            <w:tcBorders>
              <w:top w:val="nil"/>
              <w:left w:val="nil"/>
              <w:bottom w:val="single" w:sz="8" w:space="0" w:color="auto"/>
              <w:right w:val="single" w:sz="8" w:space="0" w:color="auto"/>
            </w:tcBorders>
          </w:tcPr>
          <w:p w14:paraId="2543BFE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tcBorders>
              <w:top w:val="nil"/>
              <w:left w:val="nil"/>
              <w:bottom w:val="single" w:sz="8" w:space="0" w:color="auto"/>
              <w:right w:val="single" w:sz="8" w:space="0" w:color="auto"/>
            </w:tcBorders>
          </w:tcPr>
          <w:p w14:paraId="33260086"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200</w:t>
            </w:r>
          </w:p>
        </w:tc>
        <w:tc>
          <w:tcPr>
            <w:tcW w:w="1134" w:type="dxa"/>
            <w:tcBorders>
              <w:top w:val="nil"/>
              <w:left w:val="nil"/>
              <w:bottom w:val="single" w:sz="8" w:space="0" w:color="auto"/>
              <w:right w:val="single" w:sz="8" w:space="0" w:color="auto"/>
            </w:tcBorders>
          </w:tcPr>
          <w:p w14:paraId="53EED4F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0C6D0218"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203.2</w:t>
            </w:r>
          </w:p>
        </w:tc>
        <w:tc>
          <w:tcPr>
            <w:tcW w:w="1134" w:type="dxa"/>
            <w:tcBorders>
              <w:top w:val="nil"/>
              <w:left w:val="nil"/>
              <w:bottom w:val="single" w:sz="8" w:space="0" w:color="auto"/>
              <w:right w:val="single" w:sz="12" w:space="0" w:color="auto"/>
            </w:tcBorders>
          </w:tcPr>
          <w:p w14:paraId="4CF5F79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1327F70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Sandifer &amp; Hopkin, 1997</w:t>
            </w:r>
          </w:p>
        </w:tc>
      </w:tr>
      <w:tr w:rsidR="00632208" w:rsidRPr="0098635C" w14:paraId="6B40FBE5" w14:textId="77777777" w:rsidTr="00A432B0">
        <w:trPr>
          <w:trHeight w:val="463"/>
        </w:trPr>
        <w:tc>
          <w:tcPr>
            <w:tcW w:w="1402" w:type="dxa"/>
            <w:tcBorders>
              <w:top w:val="nil"/>
              <w:left w:val="single" w:sz="8" w:space="0" w:color="auto"/>
              <w:bottom w:val="single" w:sz="8" w:space="0" w:color="auto"/>
              <w:right w:val="single" w:sz="8" w:space="0" w:color="auto"/>
            </w:tcBorders>
          </w:tcPr>
          <w:p w14:paraId="7BE75309"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single" w:sz="8" w:space="0" w:color="auto"/>
              <w:right w:val="single" w:sz="8" w:space="0" w:color="auto"/>
            </w:tcBorders>
          </w:tcPr>
          <w:p w14:paraId="74696EA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OECD soil</w:t>
            </w:r>
          </w:p>
        </w:tc>
        <w:tc>
          <w:tcPr>
            <w:tcW w:w="709" w:type="dxa"/>
            <w:tcBorders>
              <w:top w:val="nil"/>
              <w:left w:val="nil"/>
              <w:bottom w:val="single" w:sz="8" w:space="0" w:color="auto"/>
              <w:right w:val="single" w:sz="8" w:space="0" w:color="auto"/>
            </w:tcBorders>
          </w:tcPr>
          <w:p w14:paraId="0BC6527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w:t>
            </w:r>
          </w:p>
        </w:tc>
        <w:tc>
          <w:tcPr>
            <w:tcW w:w="708" w:type="dxa"/>
            <w:tcBorders>
              <w:top w:val="nil"/>
              <w:left w:val="nil"/>
              <w:bottom w:val="single" w:sz="8" w:space="0" w:color="auto"/>
              <w:right w:val="single" w:sz="8" w:space="0" w:color="auto"/>
            </w:tcBorders>
          </w:tcPr>
          <w:p w14:paraId="52572ED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709" w:type="dxa"/>
            <w:tcBorders>
              <w:top w:val="nil"/>
              <w:left w:val="nil"/>
              <w:bottom w:val="single" w:sz="8" w:space="0" w:color="auto"/>
              <w:right w:val="single" w:sz="8" w:space="0" w:color="auto"/>
            </w:tcBorders>
          </w:tcPr>
          <w:p w14:paraId="75ACFF7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851" w:type="dxa"/>
            <w:tcBorders>
              <w:top w:val="nil"/>
              <w:left w:val="nil"/>
              <w:bottom w:val="single" w:sz="8" w:space="0" w:color="auto"/>
              <w:right w:val="single" w:sz="8" w:space="0" w:color="auto"/>
            </w:tcBorders>
          </w:tcPr>
          <w:p w14:paraId="08D160C2"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3.2</w:t>
            </w:r>
          </w:p>
        </w:tc>
        <w:tc>
          <w:tcPr>
            <w:tcW w:w="850" w:type="dxa"/>
            <w:tcBorders>
              <w:top w:val="nil"/>
              <w:left w:val="nil"/>
              <w:bottom w:val="single" w:sz="8" w:space="0" w:color="auto"/>
              <w:right w:val="single" w:sz="8" w:space="0" w:color="auto"/>
            </w:tcBorders>
          </w:tcPr>
          <w:p w14:paraId="6379B4F0"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14.5</w:t>
            </w:r>
          </w:p>
        </w:tc>
        <w:tc>
          <w:tcPr>
            <w:tcW w:w="992" w:type="dxa"/>
            <w:tcBorders>
              <w:top w:val="nil"/>
              <w:left w:val="nil"/>
              <w:bottom w:val="single" w:sz="8" w:space="0" w:color="auto"/>
              <w:right w:val="single" w:sz="8" w:space="0" w:color="auto"/>
            </w:tcBorders>
          </w:tcPr>
          <w:p w14:paraId="4F1F397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w:t>
            </w:r>
          </w:p>
        </w:tc>
        <w:tc>
          <w:tcPr>
            <w:tcW w:w="851" w:type="dxa"/>
            <w:tcBorders>
              <w:top w:val="nil"/>
              <w:left w:val="nil"/>
              <w:bottom w:val="single" w:sz="8" w:space="0" w:color="auto"/>
              <w:right w:val="single" w:sz="8" w:space="0" w:color="auto"/>
            </w:tcBorders>
          </w:tcPr>
          <w:p w14:paraId="7BEBB79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nil"/>
              <w:left w:val="nil"/>
              <w:bottom w:val="single" w:sz="8" w:space="0" w:color="auto"/>
              <w:right w:val="single" w:sz="8" w:space="0" w:color="auto"/>
            </w:tcBorders>
          </w:tcPr>
          <w:p w14:paraId="1CEEC1E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m</w:t>
            </w:r>
          </w:p>
        </w:tc>
        <w:tc>
          <w:tcPr>
            <w:tcW w:w="851" w:type="dxa"/>
            <w:tcBorders>
              <w:top w:val="nil"/>
              <w:left w:val="nil"/>
              <w:bottom w:val="single" w:sz="8" w:space="0" w:color="auto"/>
              <w:right w:val="single" w:sz="8" w:space="0" w:color="auto"/>
            </w:tcBorders>
          </w:tcPr>
          <w:p w14:paraId="0E9238B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tcBorders>
              <w:top w:val="nil"/>
              <w:left w:val="nil"/>
              <w:bottom w:val="single" w:sz="8" w:space="0" w:color="auto"/>
              <w:right w:val="single" w:sz="8" w:space="0" w:color="auto"/>
            </w:tcBorders>
          </w:tcPr>
          <w:p w14:paraId="1A960D3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3,000</w:t>
            </w:r>
          </w:p>
        </w:tc>
        <w:tc>
          <w:tcPr>
            <w:tcW w:w="850" w:type="dxa"/>
            <w:tcBorders>
              <w:top w:val="single" w:sz="8" w:space="0" w:color="auto"/>
              <w:left w:val="nil"/>
              <w:bottom w:val="single" w:sz="8" w:space="0" w:color="auto"/>
              <w:right w:val="single" w:sz="8" w:space="0" w:color="000000"/>
            </w:tcBorders>
          </w:tcPr>
          <w:p w14:paraId="09849BF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tcBorders>
              <w:top w:val="nil"/>
              <w:left w:val="nil"/>
              <w:bottom w:val="single" w:sz="8" w:space="0" w:color="auto"/>
              <w:right w:val="single" w:sz="12" w:space="0" w:color="auto"/>
            </w:tcBorders>
          </w:tcPr>
          <w:p w14:paraId="3F602F0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3,003</w:t>
            </w:r>
          </w:p>
        </w:tc>
        <w:tc>
          <w:tcPr>
            <w:tcW w:w="1985" w:type="dxa"/>
            <w:tcBorders>
              <w:top w:val="nil"/>
              <w:left w:val="nil"/>
              <w:bottom w:val="single" w:sz="8" w:space="0" w:color="auto"/>
              <w:right w:val="single" w:sz="12" w:space="0" w:color="auto"/>
            </w:tcBorders>
          </w:tcPr>
          <w:p w14:paraId="67F98A7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Sandifer &amp; Hopkin, 1997</w:t>
            </w:r>
          </w:p>
        </w:tc>
      </w:tr>
      <w:tr w:rsidR="00632208" w:rsidRPr="0098635C" w14:paraId="3CC61C4A" w14:textId="77777777" w:rsidTr="00A432B0">
        <w:trPr>
          <w:trHeight w:val="463"/>
        </w:trPr>
        <w:tc>
          <w:tcPr>
            <w:tcW w:w="1402" w:type="dxa"/>
            <w:tcBorders>
              <w:top w:val="nil"/>
              <w:left w:val="single" w:sz="8" w:space="0" w:color="auto"/>
              <w:bottom w:val="single" w:sz="4" w:space="0" w:color="auto"/>
              <w:right w:val="single" w:sz="8" w:space="0" w:color="auto"/>
            </w:tcBorders>
          </w:tcPr>
          <w:p w14:paraId="370C8125"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single" w:sz="4" w:space="0" w:color="auto"/>
              <w:right w:val="single" w:sz="8" w:space="0" w:color="auto"/>
            </w:tcBorders>
          </w:tcPr>
          <w:p w14:paraId="75C3332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OECD soil</w:t>
            </w:r>
          </w:p>
        </w:tc>
        <w:tc>
          <w:tcPr>
            <w:tcW w:w="709" w:type="dxa"/>
            <w:tcBorders>
              <w:top w:val="nil"/>
              <w:left w:val="nil"/>
              <w:bottom w:val="single" w:sz="4" w:space="0" w:color="auto"/>
              <w:right w:val="single" w:sz="8" w:space="0" w:color="auto"/>
            </w:tcBorders>
          </w:tcPr>
          <w:p w14:paraId="5C8DEFF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w:t>
            </w:r>
          </w:p>
        </w:tc>
        <w:tc>
          <w:tcPr>
            <w:tcW w:w="708" w:type="dxa"/>
            <w:tcBorders>
              <w:top w:val="nil"/>
              <w:left w:val="nil"/>
              <w:bottom w:val="single" w:sz="4" w:space="0" w:color="auto"/>
              <w:right w:val="single" w:sz="8" w:space="0" w:color="auto"/>
            </w:tcBorders>
          </w:tcPr>
          <w:p w14:paraId="4C3B317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709" w:type="dxa"/>
            <w:tcBorders>
              <w:top w:val="nil"/>
              <w:left w:val="nil"/>
              <w:bottom w:val="single" w:sz="4" w:space="0" w:color="auto"/>
              <w:right w:val="single" w:sz="8" w:space="0" w:color="auto"/>
            </w:tcBorders>
          </w:tcPr>
          <w:p w14:paraId="15E67E0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851" w:type="dxa"/>
            <w:tcBorders>
              <w:top w:val="nil"/>
              <w:left w:val="nil"/>
              <w:bottom w:val="single" w:sz="4" w:space="0" w:color="auto"/>
              <w:right w:val="single" w:sz="8" w:space="0" w:color="auto"/>
            </w:tcBorders>
          </w:tcPr>
          <w:p w14:paraId="467E72F1"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3.2</w:t>
            </w:r>
          </w:p>
        </w:tc>
        <w:tc>
          <w:tcPr>
            <w:tcW w:w="850" w:type="dxa"/>
            <w:tcBorders>
              <w:top w:val="nil"/>
              <w:left w:val="nil"/>
              <w:bottom w:val="single" w:sz="4" w:space="0" w:color="auto"/>
              <w:right w:val="single" w:sz="8" w:space="0" w:color="auto"/>
            </w:tcBorders>
          </w:tcPr>
          <w:p w14:paraId="7C0C668E"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14.5</w:t>
            </w:r>
          </w:p>
        </w:tc>
        <w:tc>
          <w:tcPr>
            <w:tcW w:w="992" w:type="dxa"/>
            <w:tcBorders>
              <w:top w:val="nil"/>
              <w:left w:val="nil"/>
              <w:bottom w:val="single" w:sz="4" w:space="0" w:color="auto"/>
              <w:right w:val="single" w:sz="8" w:space="0" w:color="auto"/>
            </w:tcBorders>
          </w:tcPr>
          <w:p w14:paraId="02C7621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w:t>
            </w:r>
          </w:p>
        </w:tc>
        <w:tc>
          <w:tcPr>
            <w:tcW w:w="851" w:type="dxa"/>
            <w:tcBorders>
              <w:top w:val="nil"/>
              <w:left w:val="nil"/>
              <w:bottom w:val="single" w:sz="4" w:space="0" w:color="auto"/>
              <w:right w:val="single" w:sz="8" w:space="0" w:color="auto"/>
            </w:tcBorders>
          </w:tcPr>
          <w:p w14:paraId="360A62E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nil"/>
              <w:left w:val="nil"/>
              <w:bottom w:val="single" w:sz="4" w:space="0" w:color="auto"/>
              <w:right w:val="single" w:sz="8" w:space="0" w:color="auto"/>
            </w:tcBorders>
          </w:tcPr>
          <w:p w14:paraId="4781C06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m</w:t>
            </w:r>
          </w:p>
        </w:tc>
        <w:tc>
          <w:tcPr>
            <w:tcW w:w="851" w:type="dxa"/>
            <w:tcBorders>
              <w:top w:val="nil"/>
              <w:left w:val="nil"/>
              <w:bottom w:val="single" w:sz="4" w:space="0" w:color="auto"/>
              <w:right w:val="single" w:sz="8" w:space="0" w:color="auto"/>
            </w:tcBorders>
          </w:tcPr>
          <w:p w14:paraId="57BF9AB1"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1,000</w:t>
            </w:r>
          </w:p>
        </w:tc>
        <w:tc>
          <w:tcPr>
            <w:tcW w:w="1134" w:type="dxa"/>
            <w:tcBorders>
              <w:top w:val="nil"/>
              <w:left w:val="nil"/>
              <w:bottom w:val="single" w:sz="4" w:space="0" w:color="auto"/>
              <w:right w:val="single" w:sz="8" w:space="0" w:color="auto"/>
            </w:tcBorders>
          </w:tcPr>
          <w:p w14:paraId="6C9E5FA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4" w:space="0" w:color="auto"/>
              <w:right w:val="single" w:sz="8" w:space="0" w:color="000000"/>
            </w:tcBorders>
          </w:tcPr>
          <w:p w14:paraId="12C76979"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1,003.20</w:t>
            </w:r>
          </w:p>
        </w:tc>
        <w:tc>
          <w:tcPr>
            <w:tcW w:w="1134" w:type="dxa"/>
            <w:tcBorders>
              <w:top w:val="nil"/>
              <w:left w:val="nil"/>
              <w:bottom w:val="single" w:sz="4" w:space="0" w:color="auto"/>
              <w:right w:val="single" w:sz="12" w:space="0" w:color="auto"/>
            </w:tcBorders>
          </w:tcPr>
          <w:p w14:paraId="0726139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4" w:space="0" w:color="auto"/>
              <w:right w:val="single" w:sz="12" w:space="0" w:color="auto"/>
            </w:tcBorders>
          </w:tcPr>
          <w:p w14:paraId="5ACB1A8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Sandifer &amp; Hopkin, 1997</w:t>
            </w:r>
          </w:p>
        </w:tc>
      </w:tr>
      <w:tr w:rsidR="00632208" w:rsidRPr="0098635C" w14:paraId="6FCC8631" w14:textId="77777777" w:rsidTr="00A432B0">
        <w:trPr>
          <w:trHeight w:val="463"/>
        </w:trPr>
        <w:tc>
          <w:tcPr>
            <w:tcW w:w="1402" w:type="dxa"/>
            <w:tcBorders>
              <w:top w:val="single" w:sz="4" w:space="0" w:color="auto"/>
              <w:left w:val="single" w:sz="8" w:space="0" w:color="auto"/>
              <w:bottom w:val="single" w:sz="8" w:space="0" w:color="auto"/>
              <w:right w:val="single" w:sz="8" w:space="0" w:color="auto"/>
            </w:tcBorders>
          </w:tcPr>
          <w:p w14:paraId="17381BE7"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single" w:sz="4" w:space="0" w:color="auto"/>
              <w:left w:val="nil"/>
              <w:bottom w:val="single" w:sz="8" w:space="0" w:color="auto"/>
              <w:right w:val="single" w:sz="8" w:space="0" w:color="auto"/>
            </w:tcBorders>
          </w:tcPr>
          <w:p w14:paraId="5E93184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OECD soil</w:t>
            </w:r>
          </w:p>
        </w:tc>
        <w:tc>
          <w:tcPr>
            <w:tcW w:w="709" w:type="dxa"/>
            <w:tcBorders>
              <w:top w:val="single" w:sz="4" w:space="0" w:color="auto"/>
              <w:left w:val="nil"/>
              <w:bottom w:val="single" w:sz="8" w:space="0" w:color="auto"/>
              <w:right w:val="single" w:sz="8" w:space="0" w:color="auto"/>
            </w:tcBorders>
          </w:tcPr>
          <w:p w14:paraId="4C18225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w:t>
            </w:r>
          </w:p>
        </w:tc>
        <w:tc>
          <w:tcPr>
            <w:tcW w:w="708" w:type="dxa"/>
            <w:tcBorders>
              <w:top w:val="single" w:sz="4" w:space="0" w:color="auto"/>
              <w:left w:val="nil"/>
              <w:bottom w:val="single" w:sz="8" w:space="0" w:color="auto"/>
              <w:right w:val="single" w:sz="8" w:space="0" w:color="auto"/>
            </w:tcBorders>
          </w:tcPr>
          <w:p w14:paraId="54E9E0F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709" w:type="dxa"/>
            <w:tcBorders>
              <w:top w:val="single" w:sz="4" w:space="0" w:color="auto"/>
              <w:left w:val="nil"/>
              <w:bottom w:val="single" w:sz="8" w:space="0" w:color="auto"/>
              <w:right w:val="single" w:sz="8" w:space="0" w:color="auto"/>
            </w:tcBorders>
          </w:tcPr>
          <w:p w14:paraId="2B68EFA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851" w:type="dxa"/>
            <w:tcBorders>
              <w:top w:val="single" w:sz="4" w:space="0" w:color="auto"/>
              <w:left w:val="nil"/>
              <w:bottom w:val="single" w:sz="8" w:space="0" w:color="auto"/>
              <w:right w:val="single" w:sz="8" w:space="0" w:color="auto"/>
            </w:tcBorders>
          </w:tcPr>
          <w:p w14:paraId="73BF884D"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3.2</w:t>
            </w:r>
          </w:p>
        </w:tc>
        <w:tc>
          <w:tcPr>
            <w:tcW w:w="850" w:type="dxa"/>
            <w:tcBorders>
              <w:top w:val="single" w:sz="4" w:space="0" w:color="auto"/>
              <w:left w:val="nil"/>
              <w:bottom w:val="single" w:sz="8" w:space="0" w:color="auto"/>
              <w:right w:val="single" w:sz="8" w:space="0" w:color="auto"/>
            </w:tcBorders>
          </w:tcPr>
          <w:p w14:paraId="15DCE49E"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14.5</w:t>
            </w:r>
          </w:p>
        </w:tc>
        <w:tc>
          <w:tcPr>
            <w:tcW w:w="992" w:type="dxa"/>
            <w:tcBorders>
              <w:top w:val="single" w:sz="4" w:space="0" w:color="auto"/>
              <w:left w:val="nil"/>
              <w:bottom w:val="single" w:sz="8" w:space="0" w:color="auto"/>
              <w:right w:val="single" w:sz="8" w:space="0" w:color="auto"/>
            </w:tcBorders>
          </w:tcPr>
          <w:p w14:paraId="563B319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w:t>
            </w:r>
          </w:p>
        </w:tc>
        <w:tc>
          <w:tcPr>
            <w:tcW w:w="851" w:type="dxa"/>
            <w:tcBorders>
              <w:top w:val="single" w:sz="4" w:space="0" w:color="auto"/>
              <w:left w:val="nil"/>
              <w:bottom w:val="single" w:sz="8" w:space="0" w:color="auto"/>
              <w:right w:val="single" w:sz="8" w:space="0" w:color="auto"/>
            </w:tcBorders>
          </w:tcPr>
          <w:p w14:paraId="37E9CCB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42</w:t>
            </w:r>
          </w:p>
        </w:tc>
        <w:tc>
          <w:tcPr>
            <w:tcW w:w="992" w:type="dxa"/>
            <w:tcBorders>
              <w:top w:val="single" w:sz="4" w:space="0" w:color="auto"/>
              <w:left w:val="nil"/>
              <w:bottom w:val="single" w:sz="8" w:space="0" w:color="auto"/>
              <w:right w:val="single" w:sz="8" w:space="0" w:color="auto"/>
            </w:tcBorders>
          </w:tcPr>
          <w:p w14:paraId="1F603D9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m</w:t>
            </w:r>
          </w:p>
        </w:tc>
        <w:tc>
          <w:tcPr>
            <w:tcW w:w="851" w:type="dxa"/>
            <w:tcBorders>
              <w:top w:val="single" w:sz="4" w:space="0" w:color="auto"/>
              <w:left w:val="nil"/>
              <w:bottom w:val="single" w:sz="8" w:space="0" w:color="auto"/>
              <w:right w:val="single" w:sz="8" w:space="0" w:color="auto"/>
            </w:tcBorders>
          </w:tcPr>
          <w:p w14:paraId="4A267B0E"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1,000</w:t>
            </w:r>
          </w:p>
        </w:tc>
        <w:tc>
          <w:tcPr>
            <w:tcW w:w="1134" w:type="dxa"/>
            <w:tcBorders>
              <w:top w:val="single" w:sz="4" w:space="0" w:color="auto"/>
              <w:left w:val="nil"/>
              <w:bottom w:val="single" w:sz="8" w:space="0" w:color="auto"/>
              <w:right w:val="single" w:sz="8" w:space="0" w:color="auto"/>
            </w:tcBorders>
          </w:tcPr>
          <w:p w14:paraId="414B955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4" w:space="0" w:color="auto"/>
              <w:left w:val="nil"/>
              <w:bottom w:val="single" w:sz="8" w:space="0" w:color="auto"/>
              <w:right w:val="single" w:sz="8" w:space="0" w:color="000000"/>
            </w:tcBorders>
          </w:tcPr>
          <w:p w14:paraId="0BACE880"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1,003.20</w:t>
            </w:r>
          </w:p>
        </w:tc>
        <w:tc>
          <w:tcPr>
            <w:tcW w:w="1134" w:type="dxa"/>
            <w:tcBorders>
              <w:top w:val="single" w:sz="4" w:space="0" w:color="auto"/>
              <w:left w:val="nil"/>
              <w:bottom w:val="single" w:sz="8" w:space="0" w:color="auto"/>
              <w:right w:val="single" w:sz="12" w:space="0" w:color="auto"/>
            </w:tcBorders>
          </w:tcPr>
          <w:p w14:paraId="03602B5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4" w:space="0" w:color="auto"/>
              <w:left w:val="nil"/>
              <w:bottom w:val="single" w:sz="8" w:space="0" w:color="auto"/>
              <w:right w:val="single" w:sz="12" w:space="0" w:color="auto"/>
            </w:tcBorders>
          </w:tcPr>
          <w:p w14:paraId="1B6AEB2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Sandifer &amp; Hopkin, 1997</w:t>
            </w:r>
          </w:p>
        </w:tc>
      </w:tr>
      <w:tr w:rsidR="00632208" w:rsidRPr="0098635C" w14:paraId="1AAB13A5" w14:textId="77777777" w:rsidTr="00A432B0">
        <w:trPr>
          <w:trHeight w:val="463"/>
        </w:trPr>
        <w:tc>
          <w:tcPr>
            <w:tcW w:w="1402" w:type="dxa"/>
            <w:tcBorders>
              <w:top w:val="nil"/>
              <w:left w:val="single" w:sz="8" w:space="0" w:color="auto"/>
              <w:bottom w:val="single" w:sz="8" w:space="0" w:color="auto"/>
              <w:right w:val="single" w:sz="8" w:space="0" w:color="auto"/>
            </w:tcBorders>
          </w:tcPr>
          <w:p w14:paraId="14450123"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single" w:sz="8" w:space="0" w:color="auto"/>
              <w:right w:val="single" w:sz="8" w:space="0" w:color="auto"/>
            </w:tcBorders>
          </w:tcPr>
          <w:p w14:paraId="36494E9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LUFA 2.2</w:t>
            </w:r>
          </w:p>
        </w:tc>
        <w:tc>
          <w:tcPr>
            <w:tcW w:w="709" w:type="dxa"/>
            <w:tcBorders>
              <w:top w:val="nil"/>
              <w:left w:val="nil"/>
              <w:bottom w:val="single" w:sz="8" w:space="0" w:color="auto"/>
              <w:right w:val="single" w:sz="8" w:space="0" w:color="auto"/>
            </w:tcBorders>
          </w:tcPr>
          <w:p w14:paraId="3558DD8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5.8</w:t>
            </w:r>
          </w:p>
        </w:tc>
        <w:tc>
          <w:tcPr>
            <w:tcW w:w="708" w:type="dxa"/>
            <w:tcBorders>
              <w:top w:val="nil"/>
              <w:left w:val="nil"/>
              <w:bottom w:val="single" w:sz="8" w:space="0" w:color="auto"/>
              <w:right w:val="single" w:sz="8" w:space="0" w:color="auto"/>
            </w:tcBorders>
          </w:tcPr>
          <w:p w14:paraId="2D36983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w:t>
            </w:r>
          </w:p>
        </w:tc>
        <w:tc>
          <w:tcPr>
            <w:tcW w:w="709" w:type="dxa"/>
            <w:tcBorders>
              <w:top w:val="nil"/>
              <w:left w:val="nil"/>
              <w:bottom w:val="single" w:sz="8" w:space="0" w:color="auto"/>
              <w:right w:val="single" w:sz="8" w:space="0" w:color="auto"/>
            </w:tcBorders>
          </w:tcPr>
          <w:p w14:paraId="227A8DF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5.1</w:t>
            </w:r>
          </w:p>
        </w:tc>
        <w:tc>
          <w:tcPr>
            <w:tcW w:w="851" w:type="dxa"/>
            <w:tcBorders>
              <w:top w:val="nil"/>
              <w:left w:val="nil"/>
              <w:bottom w:val="single" w:sz="8" w:space="0" w:color="auto"/>
              <w:right w:val="single" w:sz="8" w:space="0" w:color="auto"/>
            </w:tcBorders>
          </w:tcPr>
          <w:p w14:paraId="52A3F1C0"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5.2</w:t>
            </w:r>
          </w:p>
        </w:tc>
        <w:tc>
          <w:tcPr>
            <w:tcW w:w="850" w:type="dxa"/>
            <w:tcBorders>
              <w:top w:val="nil"/>
              <w:left w:val="nil"/>
              <w:bottom w:val="single" w:sz="8" w:space="0" w:color="auto"/>
              <w:right w:val="single" w:sz="8" w:space="0" w:color="auto"/>
            </w:tcBorders>
          </w:tcPr>
          <w:p w14:paraId="767E2A1D"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8.3</w:t>
            </w:r>
          </w:p>
        </w:tc>
        <w:tc>
          <w:tcPr>
            <w:tcW w:w="992" w:type="dxa"/>
            <w:tcBorders>
              <w:top w:val="nil"/>
              <w:left w:val="nil"/>
              <w:bottom w:val="single" w:sz="8" w:space="0" w:color="auto"/>
              <w:right w:val="single" w:sz="8" w:space="0" w:color="auto"/>
            </w:tcBorders>
          </w:tcPr>
          <w:p w14:paraId="612292C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0666641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992" w:type="dxa"/>
            <w:tcBorders>
              <w:top w:val="nil"/>
              <w:left w:val="nil"/>
              <w:bottom w:val="single" w:sz="8" w:space="0" w:color="auto"/>
              <w:right w:val="single" w:sz="8" w:space="0" w:color="auto"/>
            </w:tcBorders>
          </w:tcPr>
          <w:p w14:paraId="211B9BB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g</w:t>
            </w:r>
          </w:p>
        </w:tc>
        <w:tc>
          <w:tcPr>
            <w:tcW w:w="851" w:type="dxa"/>
            <w:tcBorders>
              <w:top w:val="nil"/>
              <w:left w:val="nil"/>
              <w:bottom w:val="single" w:sz="8" w:space="0" w:color="auto"/>
              <w:right w:val="single" w:sz="8" w:space="0" w:color="auto"/>
            </w:tcBorders>
          </w:tcPr>
          <w:p w14:paraId="3B321DB1"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200</w:t>
            </w:r>
          </w:p>
        </w:tc>
        <w:tc>
          <w:tcPr>
            <w:tcW w:w="1134" w:type="dxa"/>
            <w:tcBorders>
              <w:top w:val="nil"/>
              <w:left w:val="nil"/>
              <w:bottom w:val="single" w:sz="8" w:space="0" w:color="auto"/>
              <w:right w:val="single" w:sz="8" w:space="0" w:color="auto"/>
            </w:tcBorders>
          </w:tcPr>
          <w:p w14:paraId="0CA9D11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69C72543"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205.2</w:t>
            </w:r>
          </w:p>
        </w:tc>
        <w:tc>
          <w:tcPr>
            <w:tcW w:w="1134" w:type="dxa"/>
            <w:tcBorders>
              <w:top w:val="nil"/>
              <w:left w:val="nil"/>
              <w:bottom w:val="single" w:sz="8" w:space="0" w:color="auto"/>
              <w:right w:val="single" w:sz="12" w:space="0" w:color="auto"/>
            </w:tcBorders>
          </w:tcPr>
          <w:p w14:paraId="17ED673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099E583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Rundgren and Van Gestel, 1988</w:t>
            </w:r>
          </w:p>
        </w:tc>
      </w:tr>
      <w:tr w:rsidR="00632208" w:rsidRPr="0098635C" w14:paraId="5674244E" w14:textId="77777777" w:rsidTr="00A432B0">
        <w:trPr>
          <w:trHeight w:val="463"/>
        </w:trPr>
        <w:tc>
          <w:tcPr>
            <w:tcW w:w="1402" w:type="dxa"/>
            <w:tcBorders>
              <w:top w:val="nil"/>
              <w:left w:val="single" w:sz="8" w:space="0" w:color="auto"/>
              <w:bottom w:val="single" w:sz="8" w:space="0" w:color="auto"/>
              <w:right w:val="single" w:sz="8" w:space="0" w:color="auto"/>
            </w:tcBorders>
          </w:tcPr>
          <w:p w14:paraId="301D565E"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single" w:sz="8" w:space="0" w:color="auto"/>
              <w:right w:val="single" w:sz="8" w:space="0" w:color="auto"/>
            </w:tcBorders>
          </w:tcPr>
          <w:p w14:paraId="70871B2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LUFA 2.2</w:t>
            </w:r>
          </w:p>
        </w:tc>
        <w:tc>
          <w:tcPr>
            <w:tcW w:w="709" w:type="dxa"/>
            <w:tcBorders>
              <w:top w:val="nil"/>
              <w:left w:val="nil"/>
              <w:bottom w:val="single" w:sz="8" w:space="0" w:color="auto"/>
              <w:right w:val="single" w:sz="8" w:space="0" w:color="auto"/>
            </w:tcBorders>
          </w:tcPr>
          <w:p w14:paraId="0A2A950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5.8</w:t>
            </w:r>
          </w:p>
        </w:tc>
        <w:tc>
          <w:tcPr>
            <w:tcW w:w="708" w:type="dxa"/>
            <w:tcBorders>
              <w:top w:val="nil"/>
              <w:left w:val="nil"/>
              <w:bottom w:val="single" w:sz="8" w:space="0" w:color="auto"/>
              <w:right w:val="single" w:sz="8" w:space="0" w:color="auto"/>
            </w:tcBorders>
          </w:tcPr>
          <w:p w14:paraId="1EA49F0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w:t>
            </w:r>
          </w:p>
        </w:tc>
        <w:tc>
          <w:tcPr>
            <w:tcW w:w="709" w:type="dxa"/>
            <w:tcBorders>
              <w:top w:val="nil"/>
              <w:left w:val="nil"/>
              <w:bottom w:val="single" w:sz="8" w:space="0" w:color="auto"/>
              <w:right w:val="single" w:sz="8" w:space="0" w:color="auto"/>
            </w:tcBorders>
          </w:tcPr>
          <w:p w14:paraId="2C76068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5.1</w:t>
            </w:r>
          </w:p>
        </w:tc>
        <w:tc>
          <w:tcPr>
            <w:tcW w:w="851" w:type="dxa"/>
            <w:tcBorders>
              <w:top w:val="nil"/>
              <w:left w:val="nil"/>
              <w:bottom w:val="single" w:sz="8" w:space="0" w:color="auto"/>
              <w:right w:val="single" w:sz="8" w:space="0" w:color="auto"/>
            </w:tcBorders>
          </w:tcPr>
          <w:p w14:paraId="46E4E585"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5.2</w:t>
            </w:r>
          </w:p>
        </w:tc>
        <w:tc>
          <w:tcPr>
            <w:tcW w:w="850" w:type="dxa"/>
            <w:tcBorders>
              <w:top w:val="nil"/>
              <w:left w:val="nil"/>
              <w:bottom w:val="single" w:sz="8" w:space="0" w:color="auto"/>
              <w:right w:val="single" w:sz="8" w:space="0" w:color="auto"/>
            </w:tcBorders>
          </w:tcPr>
          <w:p w14:paraId="56460AEA"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8.3</w:t>
            </w:r>
          </w:p>
        </w:tc>
        <w:tc>
          <w:tcPr>
            <w:tcW w:w="992" w:type="dxa"/>
            <w:tcBorders>
              <w:top w:val="nil"/>
              <w:left w:val="nil"/>
              <w:bottom w:val="single" w:sz="8" w:space="0" w:color="auto"/>
              <w:right w:val="single" w:sz="8" w:space="0" w:color="auto"/>
            </w:tcBorders>
          </w:tcPr>
          <w:p w14:paraId="581D868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7FBFBD5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992" w:type="dxa"/>
            <w:tcBorders>
              <w:top w:val="nil"/>
              <w:left w:val="nil"/>
              <w:bottom w:val="single" w:sz="8" w:space="0" w:color="auto"/>
              <w:right w:val="single" w:sz="8" w:space="0" w:color="auto"/>
            </w:tcBorders>
          </w:tcPr>
          <w:p w14:paraId="79D0996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tcBorders>
              <w:top w:val="nil"/>
              <w:left w:val="nil"/>
              <w:bottom w:val="single" w:sz="8" w:space="0" w:color="auto"/>
              <w:right w:val="single" w:sz="8" w:space="0" w:color="auto"/>
            </w:tcBorders>
          </w:tcPr>
          <w:p w14:paraId="529B32E1"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400</w:t>
            </w:r>
          </w:p>
        </w:tc>
        <w:tc>
          <w:tcPr>
            <w:tcW w:w="1134" w:type="dxa"/>
            <w:tcBorders>
              <w:top w:val="nil"/>
              <w:left w:val="nil"/>
              <w:bottom w:val="single" w:sz="8" w:space="0" w:color="auto"/>
              <w:right w:val="single" w:sz="8" w:space="0" w:color="auto"/>
            </w:tcBorders>
          </w:tcPr>
          <w:p w14:paraId="26FBCFC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25600B85"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405.2</w:t>
            </w:r>
          </w:p>
        </w:tc>
        <w:tc>
          <w:tcPr>
            <w:tcW w:w="1134" w:type="dxa"/>
            <w:tcBorders>
              <w:top w:val="nil"/>
              <w:left w:val="nil"/>
              <w:bottom w:val="single" w:sz="8" w:space="0" w:color="auto"/>
              <w:right w:val="single" w:sz="12" w:space="0" w:color="auto"/>
            </w:tcBorders>
          </w:tcPr>
          <w:p w14:paraId="70A6C68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491C1C3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Rundgren and Van Gestel, 1988</w:t>
            </w:r>
          </w:p>
        </w:tc>
      </w:tr>
      <w:tr w:rsidR="00632208" w:rsidRPr="0098635C" w14:paraId="54634772" w14:textId="77777777" w:rsidTr="00A432B0">
        <w:trPr>
          <w:trHeight w:val="463"/>
        </w:trPr>
        <w:tc>
          <w:tcPr>
            <w:tcW w:w="1402" w:type="dxa"/>
            <w:tcBorders>
              <w:top w:val="nil"/>
              <w:left w:val="single" w:sz="8" w:space="0" w:color="auto"/>
              <w:bottom w:val="single" w:sz="8" w:space="0" w:color="auto"/>
              <w:right w:val="single" w:sz="8" w:space="0" w:color="auto"/>
            </w:tcBorders>
          </w:tcPr>
          <w:p w14:paraId="40A19D80"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single" w:sz="8" w:space="0" w:color="auto"/>
              <w:right w:val="single" w:sz="8" w:space="0" w:color="auto"/>
            </w:tcBorders>
          </w:tcPr>
          <w:p w14:paraId="1324173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OECD</w:t>
            </w:r>
          </w:p>
        </w:tc>
        <w:tc>
          <w:tcPr>
            <w:tcW w:w="709" w:type="dxa"/>
            <w:tcBorders>
              <w:top w:val="nil"/>
              <w:left w:val="nil"/>
              <w:bottom w:val="single" w:sz="8" w:space="0" w:color="auto"/>
              <w:right w:val="single" w:sz="8" w:space="0" w:color="auto"/>
            </w:tcBorders>
          </w:tcPr>
          <w:p w14:paraId="6A9A3E3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w:t>
            </w:r>
          </w:p>
        </w:tc>
        <w:tc>
          <w:tcPr>
            <w:tcW w:w="708" w:type="dxa"/>
            <w:tcBorders>
              <w:top w:val="nil"/>
              <w:left w:val="nil"/>
              <w:bottom w:val="single" w:sz="8" w:space="0" w:color="auto"/>
              <w:right w:val="single" w:sz="8" w:space="0" w:color="auto"/>
            </w:tcBorders>
          </w:tcPr>
          <w:p w14:paraId="3A50A8A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709" w:type="dxa"/>
            <w:tcBorders>
              <w:top w:val="nil"/>
              <w:left w:val="nil"/>
              <w:bottom w:val="single" w:sz="8" w:space="0" w:color="auto"/>
              <w:right w:val="single" w:sz="8" w:space="0" w:color="auto"/>
            </w:tcBorders>
          </w:tcPr>
          <w:p w14:paraId="4362FA1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851" w:type="dxa"/>
            <w:tcBorders>
              <w:top w:val="nil"/>
              <w:left w:val="nil"/>
              <w:bottom w:val="single" w:sz="8" w:space="0" w:color="auto"/>
              <w:right w:val="single" w:sz="8" w:space="0" w:color="auto"/>
            </w:tcBorders>
          </w:tcPr>
          <w:p w14:paraId="47221682"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3.2</w:t>
            </w:r>
          </w:p>
        </w:tc>
        <w:tc>
          <w:tcPr>
            <w:tcW w:w="850" w:type="dxa"/>
            <w:tcBorders>
              <w:top w:val="nil"/>
              <w:left w:val="nil"/>
              <w:bottom w:val="single" w:sz="8" w:space="0" w:color="auto"/>
              <w:right w:val="single" w:sz="8" w:space="0" w:color="auto"/>
            </w:tcBorders>
          </w:tcPr>
          <w:p w14:paraId="01C64941"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14.5</w:t>
            </w:r>
          </w:p>
        </w:tc>
        <w:tc>
          <w:tcPr>
            <w:tcW w:w="992" w:type="dxa"/>
            <w:tcBorders>
              <w:top w:val="nil"/>
              <w:left w:val="nil"/>
              <w:bottom w:val="single" w:sz="8" w:space="0" w:color="auto"/>
              <w:right w:val="single" w:sz="8" w:space="0" w:color="auto"/>
            </w:tcBorders>
          </w:tcPr>
          <w:p w14:paraId="2EF4F5C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0686228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56</w:t>
            </w:r>
          </w:p>
        </w:tc>
        <w:tc>
          <w:tcPr>
            <w:tcW w:w="992" w:type="dxa"/>
            <w:tcBorders>
              <w:top w:val="nil"/>
              <w:left w:val="nil"/>
              <w:bottom w:val="single" w:sz="8" w:space="0" w:color="auto"/>
              <w:right w:val="single" w:sz="8" w:space="0" w:color="auto"/>
            </w:tcBorders>
          </w:tcPr>
          <w:p w14:paraId="62E82F5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g</w:t>
            </w:r>
          </w:p>
        </w:tc>
        <w:tc>
          <w:tcPr>
            <w:tcW w:w="851" w:type="dxa"/>
            <w:tcBorders>
              <w:top w:val="nil"/>
              <w:left w:val="nil"/>
              <w:bottom w:val="single" w:sz="8" w:space="0" w:color="auto"/>
              <w:right w:val="single" w:sz="8" w:space="0" w:color="auto"/>
            </w:tcBorders>
          </w:tcPr>
          <w:p w14:paraId="006E398A"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800</w:t>
            </w:r>
          </w:p>
        </w:tc>
        <w:tc>
          <w:tcPr>
            <w:tcW w:w="1134" w:type="dxa"/>
            <w:tcBorders>
              <w:top w:val="nil"/>
              <w:left w:val="nil"/>
              <w:bottom w:val="single" w:sz="8" w:space="0" w:color="auto"/>
              <w:right w:val="single" w:sz="8" w:space="0" w:color="auto"/>
            </w:tcBorders>
          </w:tcPr>
          <w:p w14:paraId="1FA2176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2869CEED"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803.2</w:t>
            </w:r>
          </w:p>
        </w:tc>
        <w:tc>
          <w:tcPr>
            <w:tcW w:w="1134" w:type="dxa"/>
            <w:tcBorders>
              <w:top w:val="nil"/>
              <w:left w:val="nil"/>
              <w:bottom w:val="single" w:sz="8" w:space="0" w:color="auto"/>
              <w:right w:val="single" w:sz="12" w:space="0" w:color="auto"/>
            </w:tcBorders>
          </w:tcPr>
          <w:p w14:paraId="7E3411A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2E963B0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Rundgren and Van Gestel, 1988</w:t>
            </w:r>
          </w:p>
        </w:tc>
      </w:tr>
      <w:tr w:rsidR="00632208" w:rsidRPr="0098635C" w14:paraId="25019471" w14:textId="77777777" w:rsidTr="00A432B0">
        <w:trPr>
          <w:trHeight w:val="463"/>
        </w:trPr>
        <w:tc>
          <w:tcPr>
            <w:tcW w:w="1402" w:type="dxa"/>
            <w:tcBorders>
              <w:top w:val="nil"/>
              <w:left w:val="single" w:sz="8" w:space="0" w:color="auto"/>
              <w:bottom w:val="single" w:sz="8" w:space="0" w:color="auto"/>
              <w:right w:val="single" w:sz="8" w:space="0" w:color="auto"/>
            </w:tcBorders>
          </w:tcPr>
          <w:p w14:paraId="7FB8BA53"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single" w:sz="8" w:space="0" w:color="auto"/>
              <w:right w:val="single" w:sz="8" w:space="0" w:color="auto"/>
            </w:tcBorders>
          </w:tcPr>
          <w:p w14:paraId="6CD1012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OECD</w:t>
            </w:r>
          </w:p>
        </w:tc>
        <w:tc>
          <w:tcPr>
            <w:tcW w:w="709" w:type="dxa"/>
            <w:tcBorders>
              <w:top w:val="nil"/>
              <w:left w:val="nil"/>
              <w:bottom w:val="single" w:sz="8" w:space="0" w:color="auto"/>
              <w:right w:val="single" w:sz="8" w:space="0" w:color="auto"/>
            </w:tcBorders>
          </w:tcPr>
          <w:p w14:paraId="292630E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w:t>
            </w:r>
          </w:p>
        </w:tc>
        <w:tc>
          <w:tcPr>
            <w:tcW w:w="708" w:type="dxa"/>
            <w:tcBorders>
              <w:top w:val="nil"/>
              <w:left w:val="nil"/>
              <w:bottom w:val="single" w:sz="8" w:space="0" w:color="auto"/>
              <w:right w:val="single" w:sz="8" w:space="0" w:color="auto"/>
            </w:tcBorders>
          </w:tcPr>
          <w:p w14:paraId="392DD70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709" w:type="dxa"/>
            <w:tcBorders>
              <w:top w:val="nil"/>
              <w:left w:val="nil"/>
              <w:bottom w:val="single" w:sz="8" w:space="0" w:color="auto"/>
              <w:right w:val="single" w:sz="8" w:space="0" w:color="auto"/>
            </w:tcBorders>
          </w:tcPr>
          <w:p w14:paraId="2E9EA5E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851" w:type="dxa"/>
            <w:tcBorders>
              <w:top w:val="nil"/>
              <w:left w:val="nil"/>
              <w:bottom w:val="single" w:sz="8" w:space="0" w:color="auto"/>
              <w:right w:val="single" w:sz="8" w:space="0" w:color="auto"/>
            </w:tcBorders>
          </w:tcPr>
          <w:p w14:paraId="174F1C2F"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3.2</w:t>
            </w:r>
          </w:p>
        </w:tc>
        <w:tc>
          <w:tcPr>
            <w:tcW w:w="850" w:type="dxa"/>
            <w:tcBorders>
              <w:top w:val="nil"/>
              <w:left w:val="nil"/>
              <w:bottom w:val="single" w:sz="8" w:space="0" w:color="auto"/>
              <w:right w:val="single" w:sz="8" w:space="0" w:color="auto"/>
            </w:tcBorders>
          </w:tcPr>
          <w:p w14:paraId="50F8F052"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14.5</w:t>
            </w:r>
          </w:p>
        </w:tc>
        <w:tc>
          <w:tcPr>
            <w:tcW w:w="992" w:type="dxa"/>
            <w:tcBorders>
              <w:top w:val="nil"/>
              <w:left w:val="nil"/>
              <w:bottom w:val="single" w:sz="8" w:space="0" w:color="auto"/>
              <w:right w:val="single" w:sz="8" w:space="0" w:color="auto"/>
            </w:tcBorders>
          </w:tcPr>
          <w:p w14:paraId="79284AE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19CFA82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56</w:t>
            </w:r>
          </w:p>
        </w:tc>
        <w:tc>
          <w:tcPr>
            <w:tcW w:w="992" w:type="dxa"/>
            <w:tcBorders>
              <w:top w:val="nil"/>
              <w:left w:val="nil"/>
              <w:bottom w:val="single" w:sz="8" w:space="0" w:color="auto"/>
              <w:right w:val="single" w:sz="8" w:space="0" w:color="auto"/>
            </w:tcBorders>
          </w:tcPr>
          <w:p w14:paraId="4E73181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tcBorders>
              <w:top w:val="nil"/>
              <w:left w:val="nil"/>
              <w:bottom w:val="single" w:sz="8" w:space="0" w:color="auto"/>
              <w:right w:val="single" w:sz="8" w:space="0" w:color="auto"/>
            </w:tcBorders>
          </w:tcPr>
          <w:p w14:paraId="30710DF7"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400</w:t>
            </w:r>
          </w:p>
        </w:tc>
        <w:tc>
          <w:tcPr>
            <w:tcW w:w="1134" w:type="dxa"/>
            <w:tcBorders>
              <w:top w:val="nil"/>
              <w:left w:val="nil"/>
              <w:bottom w:val="single" w:sz="8" w:space="0" w:color="auto"/>
              <w:right w:val="single" w:sz="8" w:space="0" w:color="auto"/>
            </w:tcBorders>
          </w:tcPr>
          <w:p w14:paraId="7C31991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15CBEC51"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403.2</w:t>
            </w:r>
          </w:p>
        </w:tc>
        <w:tc>
          <w:tcPr>
            <w:tcW w:w="1134" w:type="dxa"/>
            <w:tcBorders>
              <w:top w:val="nil"/>
              <w:left w:val="nil"/>
              <w:bottom w:val="single" w:sz="8" w:space="0" w:color="auto"/>
              <w:right w:val="single" w:sz="12" w:space="0" w:color="auto"/>
            </w:tcBorders>
          </w:tcPr>
          <w:p w14:paraId="4B359FC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633FE35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Rundgren and Van Gestel, 1988</w:t>
            </w:r>
          </w:p>
        </w:tc>
      </w:tr>
      <w:tr w:rsidR="00632208" w:rsidRPr="0098635C" w14:paraId="1B962381" w14:textId="77777777" w:rsidTr="00A432B0">
        <w:trPr>
          <w:trHeight w:val="463"/>
        </w:trPr>
        <w:tc>
          <w:tcPr>
            <w:tcW w:w="1402" w:type="dxa"/>
            <w:tcBorders>
              <w:top w:val="nil"/>
              <w:left w:val="single" w:sz="8" w:space="0" w:color="auto"/>
              <w:bottom w:val="single" w:sz="8" w:space="0" w:color="auto"/>
              <w:right w:val="single" w:sz="8" w:space="0" w:color="auto"/>
            </w:tcBorders>
          </w:tcPr>
          <w:p w14:paraId="48A874FD"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fimetaria</w:t>
            </w:r>
          </w:p>
        </w:tc>
        <w:tc>
          <w:tcPr>
            <w:tcW w:w="1276" w:type="dxa"/>
            <w:tcBorders>
              <w:top w:val="nil"/>
              <w:left w:val="nil"/>
              <w:bottom w:val="single" w:sz="8" w:space="0" w:color="auto"/>
              <w:right w:val="single" w:sz="8" w:space="0" w:color="auto"/>
            </w:tcBorders>
          </w:tcPr>
          <w:p w14:paraId="019CE1C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LUFA 2.2</w:t>
            </w:r>
          </w:p>
        </w:tc>
        <w:tc>
          <w:tcPr>
            <w:tcW w:w="709" w:type="dxa"/>
            <w:tcBorders>
              <w:top w:val="nil"/>
              <w:left w:val="nil"/>
              <w:bottom w:val="single" w:sz="8" w:space="0" w:color="auto"/>
              <w:right w:val="single" w:sz="8" w:space="0" w:color="auto"/>
            </w:tcBorders>
          </w:tcPr>
          <w:p w14:paraId="7A8D8CC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5.5</w:t>
            </w:r>
          </w:p>
        </w:tc>
        <w:tc>
          <w:tcPr>
            <w:tcW w:w="708" w:type="dxa"/>
            <w:tcBorders>
              <w:top w:val="nil"/>
              <w:left w:val="nil"/>
              <w:bottom w:val="single" w:sz="8" w:space="0" w:color="auto"/>
              <w:right w:val="single" w:sz="8" w:space="0" w:color="auto"/>
            </w:tcBorders>
          </w:tcPr>
          <w:p w14:paraId="235E2B6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3.91</w:t>
            </w:r>
          </w:p>
        </w:tc>
        <w:tc>
          <w:tcPr>
            <w:tcW w:w="709" w:type="dxa"/>
            <w:tcBorders>
              <w:top w:val="nil"/>
              <w:left w:val="nil"/>
              <w:bottom w:val="single" w:sz="8" w:space="0" w:color="auto"/>
              <w:right w:val="single" w:sz="8" w:space="0" w:color="auto"/>
            </w:tcBorders>
          </w:tcPr>
          <w:p w14:paraId="6EB2BDB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w:t>
            </w:r>
          </w:p>
        </w:tc>
        <w:tc>
          <w:tcPr>
            <w:tcW w:w="851" w:type="dxa"/>
            <w:tcBorders>
              <w:top w:val="nil"/>
              <w:left w:val="nil"/>
              <w:bottom w:val="single" w:sz="8" w:space="0" w:color="auto"/>
              <w:right w:val="single" w:sz="8" w:space="0" w:color="auto"/>
            </w:tcBorders>
          </w:tcPr>
          <w:p w14:paraId="5A2600E2"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5.2</w:t>
            </w:r>
          </w:p>
        </w:tc>
        <w:tc>
          <w:tcPr>
            <w:tcW w:w="850" w:type="dxa"/>
            <w:tcBorders>
              <w:top w:val="nil"/>
              <w:left w:val="nil"/>
              <w:bottom w:val="single" w:sz="8" w:space="0" w:color="auto"/>
              <w:right w:val="single" w:sz="8" w:space="0" w:color="auto"/>
            </w:tcBorders>
          </w:tcPr>
          <w:p w14:paraId="7EFCB670"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7.8</w:t>
            </w:r>
          </w:p>
        </w:tc>
        <w:tc>
          <w:tcPr>
            <w:tcW w:w="992" w:type="dxa"/>
            <w:tcBorders>
              <w:top w:val="nil"/>
              <w:left w:val="nil"/>
              <w:bottom w:val="single" w:sz="8" w:space="0" w:color="auto"/>
              <w:right w:val="single" w:sz="8" w:space="0" w:color="auto"/>
            </w:tcBorders>
          </w:tcPr>
          <w:p w14:paraId="3FEFECC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w:t>
            </w:r>
          </w:p>
        </w:tc>
        <w:tc>
          <w:tcPr>
            <w:tcW w:w="851" w:type="dxa"/>
            <w:tcBorders>
              <w:top w:val="nil"/>
              <w:left w:val="nil"/>
              <w:bottom w:val="single" w:sz="8" w:space="0" w:color="auto"/>
              <w:right w:val="single" w:sz="8" w:space="0" w:color="auto"/>
            </w:tcBorders>
          </w:tcPr>
          <w:p w14:paraId="725CA06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992" w:type="dxa"/>
            <w:tcBorders>
              <w:top w:val="nil"/>
              <w:left w:val="nil"/>
              <w:bottom w:val="single" w:sz="8" w:space="0" w:color="auto"/>
              <w:right w:val="single" w:sz="8" w:space="0" w:color="auto"/>
            </w:tcBorders>
          </w:tcPr>
          <w:p w14:paraId="668396F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m</w:t>
            </w:r>
          </w:p>
        </w:tc>
        <w:tc>
          <w:tcPr>
            <w:tcW w:w="851" w:type="dxa"/>
            <w:tcBorders>
              <w:top w:val="nil"/>
              <w:left w:val="nil"/>
              <w:bottom w:val="single" w:sz="8" w:space="0" w:color="auto"/>
              <w:right w:val="single" w:sz="8" w:space="0" w:color="auto"/>
            </w:tcBorders>
          </w:tcPr>
          <w:p w14:paraId="61447200"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800</w:t>
            </w:r>
          </w:p>
        </w:tc>
        <w:tc>
          <w:tcPr>
            <w:tcW w:w="1134" w:type="dxa"/>
            <w:tcBorders>
              <w:top w:val="nil"/>
              <w:left w:val="nil"/>
              <w:bottom w:val="single" w:sz="8" w:space="0" w:color="auto"/>
              <w:right w:val="single" w:sz="8" w:space="0" w:color="auto"/>
            </w:tcBorders>
          </w:tcPr>
          <w:p w14:paraId="19D6612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50594E36"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805.2</w:t>
            </w:r>
          </w:p>
        </w:tc>
        <w:tc>
          <w:tcPr>
            <w:tcW w:w="1134" w:type="dxa"/>
            <w:tcBorders>
              <w:top w:val="nil"/>
              <w:left w:val="nil"/>
              <w:bottom w:val="single" w:sz="8" w:space="0" w:color="auto"/>
              <w:right w:val="single" w:sz="12" w:space="0" w:color="auto"/>
            </w:tcBorders>
          </w:tcPr>
          <w:p w14:paraId="0D1A46E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4420061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Scott-Fordsmand et al., 1997</w:t>
            </w:r>
          </w:p>
        </w:tc>
      </w:tr>
      <w:tr w:rsidR="00632208" w:rsidRPr="0098635C" w14:paraId="21F4188B" w14:textId="77777777" w:rsidTr="00A432B0">
        <w:trPr>
          <w:trHeight w:val="463"/>
        </w:trPr>
        <w:tc>
          <w:tcPr>
            <w:tcW w:w="1402" w:type="dxa"/>
            <w:tcBorders>
              <w:top w:val="nil"/>
              <w:left w:val="single" w:sz="8" w:space="0" w:color="auto"/>
              <w:bottom w:val="single" w:sz="8" w:space="0" w:color="auto"/>
              <w:right w:val="single" w:sz="8" w:space="0" w:color="auto"/>
            </w:tcBorders>
          </w:tcPr>
          <w:p w14:paraId="69DCD777"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lastRenderedPageBreak/>
              <w:t>Folsomia fimetaria</w:t>
            </w:r>
          </w:p>
        </w:tc>
        <w:tc>
          <w:tcPr>
            <w:tcW w:w="1276" w:type="dxa"/>
            <w:tcBorders>
              <w:top w:val="nil"/>
              <w:left w:val="nil"/>
              <w:bottom w:val="single" w:sz="8" w:space="0" w:color="auto"/>
              <w:right w:val="single" w:sz="8" w:space="0" w:color="auto"/>
            </w:tcBorders>
          </w:tcPr>
          <w:p w14:paraId="5842D4A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LUFA 2.2</w:t>
            </w:r>
          </w:p>
        </w:tc>
        <w:tc>
          <w:tcPr>
            <w:tcW w:w="709" w:type="dxa"/>
            <w:tcBorders>
              <w:top w:val="nil"/>
              <w:left w:val="nil"/>
              <w:bottom w:val="single" w:sz="8" w:space="0" w:color="auto"/>
              <w:right w:val="single" w:sz="8" w:space="0" w:color="auto"/>
            </w:tcBorders>
          </w:tcPr>
          <w:p w14:paraId="16E433F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5.5</w:t>
            </w:r>
          </w:p>
        </w:tc>
        <w:tc>
          <w:tcPr>
            <w:tcW w:w="708" w:type="dxa"/>
            <w:tcBorders>
              <w:top w:val="nil"/>
              <w:left w:val="nil"/>
              <w:bottom w:val="single" w:sz="8" w:space="0" w:color="auto"/>
              <w:right w:val="single" w:sz="8" w:space="0" w:color="auto"/>
            </w:tcBorders>
          </w:tcPr>
          <w:p w14:paraId="4BAAD19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3.91</w:t>
            </w:r>
          </w:p>
        </w:tc>
        <w:tc>
          <w:tcPr>
            <w:tcW w:w="709" w:type="dxa"/>
            <w:tcBorders>
              <w:top w:val="nil"/>
              <w:left w:val="nil"/>
              <w:bottom w:val="single" w:sz="8" w:space="0" w:color="auto"/>
              <w:right w:val="single" w:sz="8" w:space="0" w:color="auto"/>
            </w:tcBorders>
          </w:tcPr>
          <w:p w14:paraId="73376A8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w:t>
            </w:r>
          </w:p>
        </w:tc>
        <w:tc>
          <w:tcPr>
            <w:tcW w:w="851" w:type="dxa"/>
            <w:tcBorders>
              <w:top w:val="nil"/>
              <w:left w:val="nil"/>
              <w:bottom w:val="single" w:sz="8" w:space="0" w:color="auto"/>
              <w:right w:val="single" w:sz="8" w:space="0" w:color="auto"/>
            </w:tcBorders>
          </w:tcPr>
          <w:p w14:paraId="2FFF246C"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5.2</w:t>
            </w:r>
          </w:p>
        </w:tc>
        <w:tc>
          <w:tcPr>
            <w:tcW w:w="850" w:type="dxa"/>
            <w:tcBorders>
              <w:top w:val="nil"/>
              <w:left w:val="nil"/>
              <w:bottom w:val="single" w:sz="8" w:space="0" w:color="auto"/>
              <w:right w:val="single" w:sz="8" w:space="0" w:color="auto"/>
            </w:tcBorders>
          </w:tcPr>
          <w:p w14:paraId="6A251979"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7.8</w:t>
            </w:r>
          </w:p>
        </w:tc>
        <w:tc>
          <w:tcPr>
            <w:tcW w:w="992" w:type="dxa"/>
            <w:tcBorders>
              <w:top w:val="nil"/>
              <w:left w:val="nil"/>
              <w:bottom w:val="single" w:sz="8" w:space="0" w:color="auto"/>
              <w:right w:val="single" w:sz="8" w:space="0" w:color="auto"/>
            </w:tcBorders>
          </w:tcPr>
          <w:p w14:paraId="2C4F39C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w:t>
            </w:r>
          </w:p>
        </w:tc>
        <w:tc>
          <w:tcPr>
            <w:tcW w:w="851" w:type="dxa"/>
            <w:tcBorders>
              <w:top w:val="nil"/>
              <w:left w:val="nil"/>
              <w:bottom w:val="single" w:sz="8" w:space="0" w:color="auto"/>
              <w:right w:val="single" w:sz="8" w:space="0" w:color="auto"/>
            </w:tcBorders>
          </w:tcPr>
          <w:p w14:paraId="76688D0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992" w:type="dxa"/>
            <w:tcBorders>
              <w:top w:val="nil"/>
              <w:left w:val="nil"/>
              <w:bottom w:val="single" w:sz="8" w:space="0" w:color="auto"/>
              <w:right w:val="single" w:sz="8" w:space="0" w:color="auto"/>
            </w:tcBorders>
          </w:tcPr>
          <w:p w14:paraId="23F79B3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m</w:t>
            </w:r>
          </w:p>
        </w:tc>
        <w:tc>
          <w:tcPr>
            <w:tcW w:w="851" w:type="dxa"/>
            <w:tcBorders>
              <w:top w:val="nil"/>
              <w:left w:val="nil"/>
              <w:bottom w:val="single" w:sz="8" w:space="0" w:color="auto"/>
              <w:right w:val="single" w:sz="8" w:space="0" w:color="auto"/>
            </w:tcBorders>
          </w:tcPr>
          <w:p w14:paraId="6D0B4E7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tcBorders>
              <w:top w:val="nil"/>
              <w:left w:val="nil"/>
              <w:bottom w:val="single" w:sz="8" w:space="0" w:color="auto"/>
              <w:right w:val="single" w:sz="8" w:space="0" w:color="auto"/>
            </w:tcBorders>
          </w:tcPr>
          <w:p w14:paraId="65CF481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≥1,000</w:t>
            </w:r>
          </w:p>
        </w:tc>
        <w:tc>
          <w:tcPr>
            <w:tcW w:w="850" w:type="dxa"/>
            <w:tcBorders>
              <w:top w:val="single" w:sz="8" w:space="0" w:color="auto"/>
              <w:left w:val="nil"/>
              <w:bottom w:val="single" w:sz="8" w:space="0" w:color="auto"/>
              <w:right w:val="single" w:sz="8" w:space="0" w:color="000000"/>
            </w:tcBorders>
          </w:tcPr>
          <w:p w14:paraId="5C0D47D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tcBorders>
              <w:top w:val="nil"/>
              <w:left w:val="nil"/>
              <w:bottom w:val="single" w:sz="8" w:space="0" w:color="auto"/>
              <w:right w:val="single" w:sz="12" w:space="0" w:color="auto"/>
            </w:tcBorders>
          </w:tcPr>
          <w:p w14:paraId="0489C06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≥1,005</w:t>
            </w:r>
          </w:p>
        </w:tc>
        <w:tc>
          <w:tcPr>
            <w:tcW w:w="1985" w:type="dxa"/>
            <w:tcBorders>
              <w:top w:val="nil"/>
              <w:left w:val="nil"/>
              <w:bottom w:val="single" w:sz="8" w:space="0" w:color="auto"/>
              <w:right w:val="single" w:sz="12" w:space="0" w:color="auto"/>
            </w:tcBorders>
          </w:tcPr>
          <w:p w14:paraId="33A6D2D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Scott-Fordsmand et al., 1997</w:t>
            </w:r>
          </w:p>
        </w:tc>
      </w:tr>
      <w:tr w:rsidR="00632208" w:rsidRPr="0098635C" w14:paraId="06C7B8B0" w14:textId="77777777" w:rsidTr="00A432B0">
        <w:trPr>
          <w:trHeight w:val="463"/>
        </w:trPr>
        <w:tc>
          <w:tcPr>
            <w:tcW w:w="1402" w:type="dxa"/>
            <w:tcBorders>
              <w:top w:val="nil"/>
              <w:left w:val="single" w:sz="8" w:space="0" w:color="auto"/>
              <w:bottom w:val="single" w:sz="8" w:space="0" w:color="auto"/>
              <w:right w:val="single" w:sz="8" w:space="0" w:color="auto"/>
            </w:tcBorders>
          </w:tcPr>
          <w:p w14:paraId="2C5E3F13"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fimetaria</w:t>
            </w:r>
          </w:p>
        </w:tc>
        <w:tc>
          <w:tcPr>
            <w:tcW w:w="1276" w:type="dxa"/>
            <w:tcBorders>
              <w:top w:val="nil"/>
              <w:left w:val="nil"/>
              <w:bottom w:val="single" w:sz="8" w:space="0" w:color="auto"/>
              <w:right w:val="single" w:sz="8" w:space="0" w:color="auto"/>
            </w:tcBorders>
          </w:tcPr>
          <w:p w14:paraId="36A686A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LUFA 2.2</w:t>
            </w:r>
          </w:p>
        </w:tc>
        <w:tc>
          <w:tcPr>
            <w:tcW w:w="709" w:type="dxa"/>
            <w:tcBorders>
              <w:top w:val="nil"/>
              <w:left w:val="nil"/>
              <w:bottom w:val="single" w:sz="8" w:space="0" w:color="auto"/>
              <w:right w:val="single" w:sz="8" w:space="0" w:color="auto"/>
            </w:tcBorders>
          </w:tcPr>
          <w:p w14:paraId="2D89A5B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5.5</w:t>
            </w:r>
          </w:p>
        </w:tc>
        <w:tc>
          <w:tcPr>
            <w:tcW w:w="708" w:type="dxa"/>
            <w:tcBorders>
              <w:top w:val="nil"/>
              <w:left w:val="nil"/>
              <w:bottom w:val="single" w:sz="8" w:space="0" w:color="auto"/>
              <w:right w:val="single" w:sz="8" w:space="0" w:color="auto"/>
            </w:tcBorders>
          </w:tcPr>
          <w:p w14:paraId="14A6410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3.91</w:t>
            </w:r>
          </w:p>
        </w:tc>
        <w:tc>
          <w:tcPr>
            <w:tcW w:w="709" w:type="dxa"/>
            <w:tcBorders>
              <w:top w:val="nil"/>
              <w:left w:val="nil"/>
              <w:bottom w:val="single" w:sz="8" w:space="0" w:color="auto"/>
              <w:right w:val="single" w:sz="8" w:space="0" w:color="auto"/>
            </w:tcBorders>
          </w:tcPr>
          <w:p w14:paraId="49199F8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w:t>
            </w:r>
          </w:p>
        </w:tc>
        <w:tc>
          <w:tcPr>
            <w:tcW w:w="851" w:type="dxa"/>
            <w:tcBorders>
              <w:top w:val="nil"/>
              <w:left w:val="nil"/>
              <w:bottom w:val="single" w:sz="8" w:space="0" w:color="auto"/>
              <w:right w:val="single" w:sz="8" w:space="0" w:color="auto"/>
            </w:tcBorders>
          </w:tcPr>
          <w:p w14:paraId="770AE7A5"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5.2</w:t>
            </w:r>
          </w:p>
        </w:tc>
        <w:tc>
          <w:tcPr>
            <w:tcW w:w="850" w:type="dxa"/>
            <w:tcBorders>
              <w:top w:val="nil"/>
              <w:left w:val="nil"/>
              <w:bottom w:val="single" w:sz="8" w:space="0" w:color="auto"/>
              <w:right w:val="single" w:sz="8" w:space="0" w:color="auto"/>
            </w:tcBorders>
          </w:tcPr>
          <w:p w14:paraId="786595B5"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7.8</w:t>
            </w:r>
          </w:p>
        </w:tc>
        <w:tc>
          <w:tcPr>
            <w:tcW w:w="992" w:type="dxa"/>
            <w:tcBorders>
              <w:top w:val="nil"/>
              <w:left w:val="nil"/>
              <w:bottom w:val="single" w:sz="8" w:space="0" w:color="auto"/>
              <w:right w:val="single" w:sz="8" w:space="0" w:color="auto"/>
            </w:tcBorders>
          </w:tcPr>
          <w:p w14:paraId="6C2D28D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w:t>
            </w:r>
          </w:p>
        </w:tc>
        <w:tc>
          <w:tcPr>
            <w:tcW w:w="851" w:type="dxa"/>
            <w:tcBorders>
              <w:top w:val="nil"/>
              <w:left w:val="nil"/>
              <w:bottom w:val="single" w:sz="8" w:space="0" w:color="auto"/>
              <w:right w:val="single" w:sz="8" w:space="0" w:color="auto"/>
            </w:tcBorders>
          </w:tcPr>
          <w:p w14:paraId="1B84326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992" w:type="dxa"/>
            <w:tcBorders>
              <w:top w:val="nil"/>
              <w:left w:val="nil"/>
              <w:bottom w:val="single" w:sz="8" w:space="0" w:color="auto"/>
              <w:right w:val="single" w:sz="8" w:space="0" w:color="auto"/>
            </w:tcBorders>
          </w:tcPr>
          <w:p w14:paraId="398E1D6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g</w:t>
            </w:r>
          </w:p>
        </w:tc>
        <w:tc>
          <w:tcPr>
            <w:tcW w:w="851" w:type="dxa"/>
            <w:tcBorders>
              <w:top w:val="nil"/>
              <w:left w:val="nil"/>
              <w:bottom w:val="single" w:sz="8" w:space="0" w:color="auto"/>
              <w:right w:val="single" w:sz="8" w:space="0" w:color="auto"/>
            </w:tcBorders>
          </w:tcPr>
          <w:p w14:paraId="1C0A50DC"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542</w:t>
            </w:r>
          </w:p>
        </w:tc>
        <w:tc>
          <w:tcPr>
            <w:tcW w:w="1134" w:type="dxa"/>
            <w:tcBorders>
              <w:top w:val="nil"/>
              <w:left w:val="nil"/>
              <w:bottom w:val="single" w:sz="8" w:space="0" w:color="auto"/>
              <w:right w:val="single" w:sz="8" w:space="0" w:color="auto"/>
            </w:tcBorders>
          </w:tcPr>
          <w:p w14:paraId="52CCBEF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13C80386"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547.2</w:t>
            </w:r>
          </w:p>
        </w:tc>
        <w:tc>
          <w:tcPr>
            <w:tcW w:w="1134" w:type="dxa"/>
            <w:tcBorders>
              <w:top w:val="nil"/>
              <w:left w:val="nil"/>
              <w:bottom w:val="single" w:sz="8" w:space="0" w:color="auto"/>
              <w:right w:val="single" w:sz="12" w:space="0" w:color="auto"/>
            </w:tcBorders>
          </w:tcPr>
          <w:p w14:paraId="7B3BD8B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41F59E5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Scott-Fordsmand et al., 1997</w:t>
            </w:r>
          </w:p>
        </w:tc>
      </w:tr>
      <w:tr w:rsidR="00632208" w:rsidRPr="0098635C" w14:paraId="3B497048" w14:textId="77777777" w:rsidTr="00A432B0">
        <w:trPr>
          <w:trHeight w:val="463"/>
        </w:trPr>
        <w:tc>
          <w:tcPr>
            <w:tcW w:w="1402" w:type="dxa"/>
            <w:tcBorders>
              <w:top w:val="nil"/>
              <w:left w:val="single" w:sz="8" w:space="0" w:color="auto"/>
              <w:bottom w:val="single" w:sz="8" w:space="0" w:color="auto"/>
              <w:right w:val="single" w:sz="8" w:space="0" w:color="auto"/>
            </w:tcBorders>
          </w:tcPr>
          <w:p w14:paraId="3704E5F2"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fimetaria</w:t>
            </w:r>
          </w:p>
        </w:tc>
        <w:tc>
          <w:tcPr>
            <w:tcW w:w="1276" w:type="dxa"/>
            <w:tcBorders>
              <w:top w:val="nil"/>
              <w:left w:val="nil"/>
              <w:bottom w:val="single" w:sz="8" w:space="0" w:color="auto"/>
              <w:right w:val="single" w:sz="8" w:space="0" w:color="auto"/>
            </w:tcBorders>
          </w:tcPr>
          <w:p w14:paraId="51F63C9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LUFA 2.2</w:t>
            </w:r>
          </w:p>
        </w:tc>
        <w:tc>
          <w:tcPr>
            <w:tcW w:w="709" w:type="dxa"/>
            <w:tcBorders>
              <w:top w:val="nil"/>
              <w:left w:val="nil"/>
              <w:bottom w:val="single" w:sz="8" w:space="0" w:color="auto"/>
              <w:right w:val="single" w:sz="8" w:space="0" w:color="auto"/>
            </w:tcBorders>
          </w:tcPr>
          <w:p w14:paraId="6E80731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5.5</w:t>
            </w:r>
          </w:p>
        </w:tc>
        <w:tc>
          <w:tcPr>
            <w:tcW w:w="708" w:type="dxa"/>
            <w:tcBorders>
              <w:top w:val="nil"/>
              <w:left w:val="nil"/>
              <w:bottom w:val="single" w:sz="8" w:space="0" w:color="auto"/>
              <w:right w:val="single" w:sz="8" w:space="0" w:color="auto"/>
            </w:tcBorders>
          </w:tcPr>
          <w:p w14:paraId="50CBC5D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3.91</w:t>
            </w:r>
          </w:p>
        </w:tc>
        <w:tc>
          <w:tcPr>
            <w:tcW w:w="709" w:type="dxa"/>
            <w:tcBorders>
              <w:top w:val="nil"/>
              <w:left w:val="nil"/>
              <w:bottom w:val="single" w:sz="8" w:space="0" w:color="auto"/>
              <w:right w:val="single" w:sz="8" w:space="0" w:color="auto"/>
            </w:tcBorders>
          </w:tcPr>
          <w:p w14:paraId="3472BC6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w:t>
            </w:r>
          </w:p>
        </w:tc>
        <w:tc>
          <w:tcPr>
            <w:tcW w:w="851" w:type="dxa"/>
            <w:tcBorders>
              <w:top w:val="nil"/>
              <w:left w:val="nil"/>
              <w:bottom w:val="single" w:sz="8" w:space="0" w:color="auto"/>
              <w:right w:val="single" w:sz="8" w:space="0" w:color="auto"/>
            </w:tcBorders>
          </w:tcPr>
          <w:p w14:paraId="30B189D7"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5.2</w:t>
            </w:r>
          </w:p>
        </w:tc>
        <w:tc>
          <w:tcPr>
            <w:tcW w:w="850" w:type="dxa"/>
            <w:tcBorders>
              <w:top w:val="nil"/>
              <w:left w:val="nil"/>
              <w:bottom w:val="single" w:sz="8" w:space="0" w:color="auto"/>
              <w:right w:val="single" w:sz="8" w:space="0" w:color="auto"/>
            </w:tcBorders>
          </w:tcPr>
          <w:p w14:paraId="2601C437"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7.8</w:t>
            </w:r>
          </w:p>
        </w:tc>
        <w:tc>
          <w:tcPr>
            <w:tcW w:w="992" w:type="dxa"/>
            <w:tcBorders>
              <w:top w:val="nil"/>
              <w:left w:val="nil"/>
              <w:bottom w:val="single" w:sz="8" w:space="0" w:color="auto"/>
              <w:right w:val="single" w:sz="8" w:space="0" w:color="auto"/>
            </w:tcBorders>
          </w:tcPr>
          <w:p w14:paraId="2CD133E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w:t>
            </w:r>
          </w:p>
        </w:tc>
        <w:tc>
          <w:tcPr>
            <w:tcW w:w="851" w:type="dxa"/>
            <w:tcBorders>
              <w:top w:val="nil"/>
              <w:left w:val="nil"/>
              <w:bottom w:val="single" w:sz="8" w:space="0" w:color="auto"/>
              <w:right w:val="single" w:sz="8" w:space="0" w:color="auto"/>
            </w:tcBorders>
          </w:tcPr>
          <w:p w14:paraId="70C1923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992" w:type="dxa"/>
            <w:tcBorders>
              <w:top w:val="nil"/>
              <w:left w:val="nil"/>
              <w:bottom w:val="single" w:sz="8" w:space="0" w:color="auto"/>
              <w:right w:val="single" w:sz="8" w:space="0" w:color="auto"/>
            </w:tcBorders>
          </w:tcPr>
          <w:p w14:paraId="4D132BA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g</w:t>
            </w:r>
          </w:p>
        </w:tc>
        <w:tc>
          <w:tcPr>
            <w:tcW w:w="851" w:type="dxa"/>
            <w:tcBorders>
              <w:top w:val="nil"/>
              <w:left w:val="nil"/>
              <w:bottom w:val="single" w:sz="8" w:space="0" w:color="auto"/>
              <w:right w:val="single" w:sz="8" w:space="0" w:color="auto"/>
            </w:tcBorders>
          </w:tcPr>
          <w:p w14:paraId="737DD62B"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845</w:t>
            </w:r>
          </w:p>
        </w:tc>
        <w:tc>
          <w:tcPr>
            <w:tcW w:w="1134" w:type="dxa"/>
            <w:tcBorders>
              <w:top w:val="nil"/>
              <w:left w:val="nil"/>
              <w:bottom w:val="single" w:sz="8" w:space="0" w:color="auto"/>
              <w:right w:val="single" w:sz="8" w:space="0" w:color="auto"/>
            </w:tcBorders>
          </w:tcPr>
          <w:p w14:paraId="3D8E142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0EA8D333"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850.2</w:t>
            </w:r>
          </w:p>
        </w:tc>
        <w:tc>
          <w:tcPr>
            <w:tcW w:w="1134" w:type="dxa"/>
            <w:tcBorders>
              <w:top w:val="nil"/>
              <w:left w:val="nil"/>
              <w:bottom w:val="single" w:sz="8" w:space="0" w:color="auto"/>
              <w:right w:val="single" w:sz="12" w:space="0" w:color="auto"/>
            </w:tcBorders>
          </w:tcPr>
          <w:p w14:paraId="7DBAFEA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09C73BA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Scott-Fordsmand et al., 1997</w:t>
            </w:r>
          </w:p>
        </w:tc>
      </w:tr>
      <w:tr w:rsidR="00632208" w:rsidRPr="0098635C" w14:paraId="332314F0" w14:textId="77777777" w:rsidTr="00A432B0">
        <w:trPr>
          <w:trHeight w:val="463"/>
        </w:trPr>
        <w:tc>
          <w:tcPr>
            <w:tcW w:w="1402" w:type="dxa"/>
            <w:tcBorders>
              <w:top w:val="nil"/>
              <w:left w:val="single" w:sz="8" w:space="0" w:color="auto"/>
              <w:bottom w:val="single" w:sz="8" w:space="0" w:color="auto"/>
              <w:right w:val="single" w:sz="8" w:space="0" w:color="auto"/>
            </w:tcBorders>
          </w:tcPr>
          <w:p w14:paraId="0B654D7B"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fimetaria</w:t>
            </w:r>
          </w:p>
        </w:tc>
        <w:tc>
          <w:tcPr>
            <w:tcW w:w="1276" w:type="dxa"/>
            <w:tcBorders>
              <w:top w:val="nil"/>
              <w:left w:val="nil"/>
              <w:bottom w:val="single" w:sz="8" w:space="0" w:color="auto"/>
              <w:right w:val="single" w:sz="8" w:space="0" w:color="auto"/>
            </w:tcBorders>
          </w:tcPr>
          <w:p w14:paraId="485A1A8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LUFA 2.2</w:t>
            </w:r>
          </w:p>
        </w:tc>
        <w:tc>
          <w:tcPr>
            <w:tcW w:w="709" w:type="dxa"/>
            <w:tcBorders>
              <w:top w:val="nil"/>
              <w:left w:val="nil"/>
              <w:bottom w:val="single" w:sz="8" w:space="0" w:color="auto"/>
              <w:right w:val="single" w:sz="8" w:space="0" w:color="auto"/>
            </w:tcBorders>
          </w:tcPr>
          <w:p w14:paraId="43B9C69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5.5</w:t>
            </w:r>
          </w:p>
        </w:tc>
        <w:tc>
          <w:tcPr>
            <w:tcW w:w="708" w:type="dxa"/>
            <w:tcBorders>
              <w:top w:val="nil"/>
              <w:left w:val="nil"/>
              <w:bottom w:val="single" w:sz="8" w:space="0" w:color="auto"/>
              <w:right w:val="single" w:sz="8" w:space="0" w:color="auto"/>
            </w:tcBorders>
          </w:tcPr>
          <w:p w14:paraId="4904D5F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3.91</w:t>
            </w:r>
          </w:p>
        </w:tc>
        <w:tc>
          <w:tcPr>
            <w:tcW w:w="709" w:type="dxa"/>
            <w:tcBorders>
              <w:top w:val="nil"/>
              <w:left w:val="nil"/>
              <w:bottom w:val="single" w:sz="8" w:space="0" w:color="auto"/>
              <w:right w:val="single" w:sz="8" w:space="0" w:color="auto"/>
            </w:tcBorders>
          </w:tcPr>
          <w:p w14:paraId="599049C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w:t>
            </w:r>
          </w:p>
        </w:tc>
        <w:tc>
          <w:tcPr>
            <w:tcW w:w="851" w:type="dxa"/>
            <w:tcBorders>
              <w:top w:val="nil"/>
              <w:left w:val="nil"/>
              <w:bottom w:val="single" w:sz="8" w:space="0" w:color="auto"/>
              <w:right w:val="single" w:sz="8" w:space="0" w:color="auto"/>
            </w:tcBorders>
          </w:tcPr>
          <w:p w14:paraId="0F6B3F39"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5.2</w:t>
            </w:r>
          </w:p>
        </w:tc>
        <w:tc>
          <w:tcPr>
            <w:tcW w:w="850" w:type="dxa"/>
            <w:tcBorders>
              <w:top w:val="nil"/>
              <w:left w:val="nil"/>
              <w:bottom w:val="single" w:sz="8" w:space="0" w:color="auto"/>
              <w:right w:val="single" w:sz="8" w:space="0" w:color="auto"/>
            </w:tcBorders>
          </w:tcPr>
          <w:p w14:paraId="20651EB6"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7.8</w:t>
            </w:r>
          </w:p>
        </w:tc>
        <w:tc>
          <w:tcPr>
            <w:tcW w:w="992" w:type="dxa"/>
            <w:tcBorders>
              <w:top w:val="nil"/>
              <w:left w:val="nil"/>
              <w:bottom w:val="single" w:sz="8" w:space="0" w:color="auto"/>
              <w:right w:val="single" w:sz="8" w:space="0" w:color="auto"/>
            </w:tcBorders>
          </w:tcPr>
          <w:p w14:paraId="6257FE0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w:t>
            </w:r>
          </w:p>
        </w:tc>
        <w:tc>
          <w:tcPr>
            <w:tcW w:w="851" w:type="dxa"/>
            <w:tcBorders>
              <w:top w:val="nil"/>
              <w:left w:val="nil"/>
              <w:bottom w:val="single" w:sz="8" w:space="0" w:color="auto"/>
              <w:right w:val="single" w:sz="8" w:space="0" w:color="auto"/>
            </w:tcBorders>
          </w:tcPr>
          <w:p w14:paraId="64B8A76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992" w:type="dxa"/>
            <w:tcBorders>
              <w:top w:val="nil"/>
              <w:left w:val="nil"/>
              <w:bottom w:val="single" w:sz="8" w:space="0" w:color="auto"/>
              <w:right w:val="single" w:sz="8" w:space="0" w:color="auto"/>
            </w:tcBorders>
          </w:tcPr>
          <w:p w14:paraId="1AFA42D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g</w:t>
            </w:r>
          </w:p>
        </w:tc>
        <w:tc>
          <w:tcPr>
            <w:tcW w:w="851" w:type="dxa"/>
            <w:tcBorders>
              <w:top w:val="nil"/>
              <w:left w:val="nil"/>
              <w:bottom w:val="single" w:sz="8" w:space="0" w:color="auto"/>
              <w:right w:val="single" w:sz="8" w:space="0" w:color="auto"/>
            </w:tcBorders>
          </w:tcPr>
          <w:p w14:paraId="0DE28BE5"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400</w:t>
            </w:r>
          </w:p>
        </w:tc>
        <w:tc>
          <w:tcPr>
            <w:tcW w:w="1134" w:type="dxa"/>
            <w:tcBorders>
              <w:top w:val="nil"/>
              <w:left w:val="nil"/>
              <w:bottom w:val="single" w:sz="8" w:space="0" w:color="auto"/>
              <w:right w:val="single" w:sz="8" w:space="0" w:color="auto"/>
            </w:tcBorders>
          </w:tcPr>
          <w:p w14:paraId="471D919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5467B0BD"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405.2</w:t>
            </w:r>
          </w:p>
        </w:tc>
        <w:tc>
          <w:tcPr>
            <w:tcW w:w="1134" w:type="dxa"/>
            <w:tcBorders>
              <w:top w:val="nil"/>
              <w:left w:val="nil"/>
              <w:bottom w:val="single" w:sz="8" w:space="0" w:color="auto"/>
              <w:right w:val="single" w:sz="12" w:space="0" w:color="auto"/>
            </w:tcBorders>
          </w:tcPr>
          <w:p w14:paraId="28F41CC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3801ABA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Scott-Fordsmand et al., 1997</w:t>
            </w:r>
          </w:p>
        </w:tc>
      </w:tr>
      <w:tr w:rsidR="00632208" w:rsidRPr="0098635C" w14:paraId="32794626" w14:textId="77777777" w:rsidTr="00A432B0">
        <w:trPr>
          <w:trHeight w:val="463"/>
        </w:trPr>
        <w:tc>
          <w:tcPr>
            <w:tcW w:w="1402" w:type="dxa"/>
            <w:tcBorders>
              <w:top w:val="nil"/>
              <w:left w:val="single" w:sz="8" w:space="0" w:color="auto"/>
              <w:bottom w:val="single" w:sz="8" w:space="0" w:color="auto"/>
              <w:right w:val="single" w:sz="8" w:space="0" w:color="auto"/>
            </w:tcBorders>
          </w:tcPr>
          <w:p w14:paraId="63E70AE9"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fimetaria</w:t>
            </w:r>
          </w:p>
        </w:tc>
        <w:tc>
          <w:tcPr>
            <w:tcW w:w="1276" w:type="dxa"/>
            <w:tcBorders>
              <w:top w:val="nil"/>
              <w:left w:val="nil"/>
              <w:bottom w:val="single" w:sz="8" w:space="0" w:color="auto"/>
              <w:right w:val="single" w:sz="8" w:space="0" w:color="auto"/>
            </w:tcBorders>
          </w:tcPr>
          <w:p w14:paraId="319A70A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Sandy clay</w:t>
            </w:r>
          </w:p>
        </w:tc>
        <w:tc>
          <w:tcPr>
            <w:tcW w:w="709" w:type="dxa"/>
            <w:tcBorders>
              <w:top w:val="nil"/>
              <w:left w:val="nil"/>
              <w:bottom w:val="single" w:sz="8" w:space="0" w:color="auto"/>
              <w:right w:val="single" w:sz="8" w:space="0" w:color="auto"/>
            </w:tcBorders>
          </w:tcPr>
          <w:p w14:paraId="0CE1632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6.5-7.0</w:t>
            </w:r>
          </w:p>
        </w:tc>
        <w:tc>
          <w:tcPr>
            <w:tcW w:w="708" w:type="dxa"/>
            <w:tcBorders>
              <w:top w:val="nil"/>
              <w:left w:val="nil"/>
              <w:bottom w:val="single" w:sz="8" w:space="0" w:color="auto"/>
              <w:right w:val="single" w:sz="8" w:space="0" w:color="auto"/>
            </w:tcBorders>
          </w:tcPr>
          <w:p w14:paraId="3DA4D15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3.9-5.5</w:t>
            </w:r>
          </w:p>
        </w:tc>
        <w:tc>
          <w:tcPr>
            <w:tcW w:w="709" w:type="dxa"/>
            <w:tcBorders>
              <w:top w:val="nil"/>
              <w:left w:val="nil"/>
              <w:bottom w:val="single" w:sz="8" w:space="0" w:color="auto"/>
              <w:right w:val="single" w:sz="8" w:space="0" w:color="auto"/>
            </w:tcBorders>
          </w:tcPr>
          <w:p w14:paraId="7700B79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13-16</w:t>
            </w:r>
          </w:p>
        </w:tc>
        <w:tc>
          <w:tcPr>
            <w:tcW w:w="851" w:type="dxa"/>
            <w:tcBorders>
              <w:top w:val="nil"/>
              <w:left w:val="nil"/>
              <w:bottom w:val="single" w:sz="8" w:space="0" w:color="auto"/>
              <w:right w:val="single" w:sz="8" w:space="0" w:color="auto"/>
            </w:tcBorders>
          </w:tcPr>
          <w:p w14:paraId="7190481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w:t>
            </w:r>
          </w:p>
        </w:tc>
        <w:tc>
          <w:tcPr>
            <w:tcW w:w="850" w:type="dxa"/>
            <w:tcBorders>
              <w:top w:val="nil"/>
              <w:left w:val="nil"/>
              <w:bottom w:val="single" w:sz="8" w:space="0" w:color="auto"/>
              <w:right w:val="single" w:sz="8" w:space="0" w:color="auto"/>
            </w:tcBorders>
          </w:tcPr>
          <w:p w14:paraId="472B7127"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16.6</w:t>
            </w:r>
          </w:p>
        </w:tc>
        <w:tc>
          <w:tcPr>
            <w:tcW w:w="992" w:type="dxa"/>
            <w:tcBorders>
              <w:top w:val="nil"/>
              <w:left w:val="nil"/>
              <w:bottom w:val="single" w:sz="8" w:space="0" w:color="auto"/>
              <w:right w:val="single" w:sz="8" w:space="0" w:color="auto"/>
            </w:tcBorders>
          </w:tcPr>
          <w:p w14:paraId="68A0BF4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w:t>
            </w:r>
          </w:p>
        </w:tc>
        <w:tc>
          <w:tcPr>
            <w:tcW w:w="851" w:type="dxa"/>
            <w:tcBorders>
              <w:top w:val="nil"/>
              <w:left w:val="nil"/>
              <w:bottom w:val="single" w:sz="8" w:space="0" w:color="auto"/>
              <w:right w:val="single" w:sz="8" w:space="0" w:color="auto"/>
            </w:tcBorders>
          </w:tcPr>
          <w:p w14:paraId="79D800E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992" w:type="dxa"/>
            <w:tcBorders>
              <w:top w:val="nil"/>
              <w:left w:val="nil"/>
              <w:bottom w:val="single" w:sz="8" w:space="0" w:color="auto"/>
              <w:right w:val="single" w:sz="8" w:space="0" w:color="auto"/>
            </w:tcBorders>
          </w:tcPr>
          <w:p w14:paraId="6EA6A70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m</w:t>
            </w:r>
          </w:p>
        </w:tc>
        <w:tc>
          <w:tcPr>
            <w:tcW w:w="851" w:type="dxa"/>
            <w:tcBorders>
              <w:top w:val="nil"/>
              <w:left w:val="nil"/>
              <w:bottom w:val="single" w:sz="8" w:space="0" w:color="auto"/>
              <w:right w:val="single" w:sz="8" w:space="0" w:color="auto"/>
            </w:tcBorders>
          </w:tcPr>
          <w:p w14:paraId="0A61C787"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1,000</w:t>
            </w:r>
          </w:p>
        </w:tc>
        <w:tc>
          <w:tcPr>
            <w:tcW w:w="1134" w:type="dxa"/>
            <w:tcBorders>
              <w:top w:val="nil"/>
              <w:left w:val="nil"/>
              <w:bottom w:val="single" w:sz="8" w:space="0" w:color="auto"/>
              <w:right w:val="single" w:sz="8" w:space="0" w:color="auto"/>
            </w:tcBorders>
          </w:tcPr>
          <w:p w14:paraId="64304AC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2BB0973F"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1,015</w:t>
            </w:r>
          </w:p>
        </w:tc>
        <w:tc>
          <w:tcPr>
            <w:tcW w:w="1134" w:type="dxa"/>
            <w:tcBorders>
              <w:top w:val="nil"/>
              <w:left w:val="nil"/>
              <w:bottom w:val="single" w:sz="8" w:space="0" w:color="auto"/>
              <w:right w:val="single" w:sz="12" w:space="0" w:color="auto"/>
            </w:tcBorders>
          </w:tcPr>
          <w:p w14:paraId="30A70A2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133D51D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Scott-Fordsmand et al., 2000a</w:t>
            </w:r>
          </w:p>
        </w:tc>
      </w:tr>
      <w:tr w:rsidR="00632208" w:rsidRPr="0098635C" w14:paraId="4F0E83CF" w14:textId="77777777" w:rsidTr="00A432B0">
        <w:trPr>
          <w:trHeight w:val="463"/>
        </w:trPr>
        <w:tc>
          <w:tcPr>
            <w:tcW w:w="1402" w:type="dxa"/>
            <w:tcBorders>
              <w:top w:val="nil"/>
              <w:left w:val="single" w:sz="8" w:space="0" w:color="auto"/>
              <w:bottom w:val="single" w:sz="8" w:space="0" w:color="auto"/>
              <w:right w:val="single" w:sz="8" w:space="0" w:color="auto"/>
            </w:tcBorders>
          </w:tcPr>
          <w:p w14:paraId="7184FD9D"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fimetaria</w:t>
            </w:r>
          </w:p>
        </w:tc>
        <w:tc>
          <w:tcPr>
            <w:tcW w:w="1276" w:type="dxa"/>
            <w:tcBorders>
              <w:top w:val="nil"/>
              <w:left w:val="nil"/>
              <w:bottom w:val="single" w:sz="8" w:space="0" w:color="auto"/>
              <w:right w:val="single" w:sz="8" w:space="0" w:color="auto"/>
            </w:tcBorders>
          </w:tcPr>
          <w:p w14:paraId="160259C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Sandy clay</w:t>
            </w:r>
          </w:p>
        </w:tc>
        <w:tc>
          <w:tcPr>
            <w:tcW w:w="709" w:type="dxa"/>
            <w:tcBorders>
              <w:top w:val="nil"/>
              <w:left w:val="nil"/>
              <w:bottom w:val="single" w:sz="8" w:space="0" w:color="auto"/>
              <w:right w:val="single" w:sz="8" w:space="0" w:color="auto"/>
            </w:tcBorders>
          </w:tcPr>
          <w:p w14:paraId="733A4CB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6.5-7.0</w:t>
            </w:r>
          </w:p>
        </w:tc>
        <w:tc>
          <w:tcPr>
            <w:tcW w:w="708" w:type="dxa"/>
            <w:tcBorders>
              <w:top w:val="nil"/>
              <w:left w:val="nil"/>
              <w:bottom w:val="single" w:sz="8" w:space="0" w:color="auto"/>
              <w:right w:val="single" w:sz="8" w:space="0" w:color="auto"/>
            </w:tcBorders>
          </w:tcPr>
          <w:p w14:paraId="1E9D7E7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3.9-5.5</w:t>
            </w:r>
          </w:p>
        </w:tc>
        <w:tc>
          <w:tcPr>
            <w:tcW w:w="709" w:type="dxa"/>
            <w:tcBorders>
              <w:top w:val="nil"/>
              <w:left w:val="nil"/>
              <w:bottom w:val="single" w:sz="8" w:space="0" w:color="auto"/>
              <w:right w:val="single" w:sz="8" w:space="0" w:color="auto"/>
            </w:tcBorders>
          </w:tcPr>
          <w:p w14:paraId="1B08820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13-16</w:t>
            </w:r>
          </w:p>
        </w:tc>
        <w:tc>
          <w:tcPr>
            <w:tcW w:w="851" w:type="dxa"/>
            <w:tcBorders>
              <w:top w:val="nil"/>
              <w:left w:val="nil"/>
              <w:bottom w:val="single" w:sz="8" w:space="0" w:color="auto"/>
              <w:right w:val="single" w:sz="8" w:space="0" w:color="auto"/>
            </w:tcBorders>
          </w:tcPr>
          <w:p w14:paraId="307028B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w:t>
            </w:r>
          </w:p>
        </w:tc>
        <w:tc>
          <w:tcPr>
            <w:tcW w:w="850" w:type="dxa"/>
            <w:tcBorders>
              <w:top w:val="nil"/>
              <w:left w:val="nil"/>
              <w:bottom w:val="single" w:sz="8" w:space="0" w:color="auto"/>
              <w:right w:val="single" w:sz="8" w:space="0" w:color="auto"/>
            </w:tcBorders>
          </w:tcPr>
          <w:p w14:paraId="59D7ECB2"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16.6</w:t>
            </w:r>
          </w:p>
        </w:tc>
        <w:tc>
          <w:tcPr>
            <w:tcW w:w="992" w:type="dxa"/>
            <w:tcBorders>
              <w:top w:val="nil"/>
              <w:left w:val="nil"/>
              <w:bottom w:val="single" w:sz="8" w:space="0" w:color="auto"/>
              <w:right w:val="single" w:sz="8" w:space="0" w:color="auto"/>
            </w:tcBorders>
          </w:tcPr>
          <w:p w14:paraId="4BA0432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w:t>
            </w:r>
          </w:p>
        </w:tc>
        <w:tc>
          <w:tcPr>
            <w:tcW w:w="851" w:type="dxa"/>
            <w:tcBorders>
              <w:top w:val="nil"/>
              <w:left w:val="nil"/>
              <w:bottom w:val="single" w:sz="8" w:space="0" w:color="auto"/>
              <w:right w:val="single" w:sz="8" w:space="0" w:color="auto"/>
            </w:tcBorders>
          </w:tcPr>
          <w:p w14:paraId="5E3DFF5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992" w:type="dxa"/>
            <w:tcBorders>
              <w:top w:val="nil"/>
              <w:left w:val="nil"/>
              <w:bottom w:val="single" w:sz="8" w:space="0" w:color="auto"/>
              <w:right w:val="single" w:sz="8" w:space="0" w:color="auto"/>
            </w:tcBorders>
          </w:tcPr>
          <w:p w14:paraId="0B7ABA2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m</w:t>
            </w:r>
          </w:p>
        </w:tc>
        <w:tc>
          <w:tcPr>
            <w:tcW w:w="851" w:type="dxa"/>
            <w:tcBorders>
              <w:top w:val="nil"/>
              <w:left w:val="nil"/>
              <w:bottom w:val="single" w:sz="8" w:space="0" w:color="auto"/>
              <w:right w:val="single" w:sz="8" w:space="0" w:color="auto"/>
            </w:tcBorders>
          </w:tcPr>
          <w:p w14:paraId="7E4521F1"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600</w:t>
            </w:r>
          </w:p>
        </w:tc>
        <w:tc>
          <w:tcPr>
            <w:tcW w:w="1134" w:type="dxa"/>
            <w:tcBorders>
              <w:top w:val="nil"/>
              <w:left w:val="nil"/>
              <w:bottom w:val="single" w:sz="8" w:space="0" w:color="auto"/>
              <w:right w:val="single" w:sz="8" w:space="0" w:color="auto"/>
            </w:tcBorders>
          </w:tcPr>
          <w:p w14:paraId="3D34135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11D69C97"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615</w:t>
            </w:r>
          </w:p>
        </w:tc>
        <w:tc>
          <w:tcPr>
            <w:tcW w:w="1134" w:type="dxa"/>
            <w:tcBorders>
              <w:top w:val="nil"/>
              <w:left w:val="nil"/>
              <w:bottom w:val="single" w:sz="8" w:space="0" w:color="auto"/>
              <w:right w:val="single" w:sz="12" w:space="0" w:color="auto"/>
            </w:tcBorders>
          </w:tcPr>
          <w:p w14:paraId="7142183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0FA8854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Scott-Fordsmand et al., 2000a</w:t>
            </w:r>
          </w:p>
        </w:tc>
      </w:tr>
      <w:tr w:rsidR="00632208" w:rsidRPr="0098635C" w14:paraId="383AF016" w14:textId="77777777" w:rsidTr="00A432B0">
        <w:trPr>
          <w:trHeight w:val="463"/>
        </w:trPr>
        <w:tc>
          <w:tcPr>
            <w:tcW w:w="1402" w:type="dxa"/>
            <w:tcBorders>
              <w:top w:val="nil"/>
              <w:left w:val="single" w:sz="8" w:space="0" w:color="auto"/>
              <w:bottom w:val="single" w:sz="12" w:space="0" w:color="auto"/>
              <w:right w:val="single" w:sz="8" w:space="0" w:color="auto"/>
            </w:tcBorders>
          </w:tcPr>
          <w:p w14:paraId="7AE375CF"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fimetaria</w:t>
            </w:r>
          </w:p>
        </w:tc>
        <w:tc>
          <w:tcPr>
            <w:tcW w:w="1276" w:type="dxa"/>
            <w:tcBorders>
              <w:top w:val="nil"/>
              <w:left w:val="nil"/>
              <w:bottom w:val="single" w:sz="12" w:space="0" w:color="auto"/>
              <w:right w:val="single" w:sz="8" w:space="0" w:color="auto"/>
            </w:tcBorders>
          </w:tcPr>
          <w:p w14:paraId="032B8FB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Sandy clay</w:t>
            </w:r>
          </w:p>
        </w:tc>
        <w:tc>
          <w:tcPr>
            <w:tcW w:w="709" w:type="dxa"/>
            <w:tcBorders>
              <w:top w:val="nil"/>
              <w:left w:val="nil"/>
              <w:bottom w:val="single" w:sz="12" w:space="0" w:color="auto"/>
              <w:right w:val="single" w:sz="8" w:space="0" w:color="auto"/>
            </w:tcBorders>
          </w:tcPr>
          <w:p w14:paraId="39345F2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6.5-7.0</w:t>
            </w:r>
          </w:p>
        </w:tc>
        <w:tc>
          <w:tcPr>
            <w:tcW w:w="708" w:type="dxa"/>
            <w:tcBorders>
              <w:top w:val="nil"/>
              <w:left w:val="nil"/>
              <w:bottom w:val="single" w:sz="12" w:space="0" w:color="auto"/>
              <w:right w:val="single" w:sz="8" w:space="0" w:color="auto"/>
            </w:tcBorders>
          </w:tcPr>
          <w:p w14:paraId="2932491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3.9-5.5</w:t>
            </w:r>
          </w:p>
        </w:tc>
        <w:tc>
          <w:tcPr>
            <w:tcW w:w="709" w:type="dxa"/>
            <w:tcBorders>
              <w:top w:val="nil"/>
              <w:left w:val="nil"/>
              <w:bottom w:val="single" w:sz="12" w:space="0" w:color="auto"/>
              <w:right w:val="single" w:sz="8" w:space="0" w:color="auto"/>
            </w:tcBorders>
          </w:tcPr>
          <w:p w14:paraId="0929ADA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13-16</w:t>
            </w:r>
          </w:p>
        </w:tc>
        <w:tc>
          <w:tcPr>
            <w:tcW w:w="851" w:type="dxa"/>
            <w:tcBorders>
              <w:top w:val="nil"/>
              <w:left w:val="nil"/>
              <w:bottom w:val="single" w:sz="12" w:space="0" w:color="auto"/>
              <w:right w:val="single" w:sz="8" w:space="0" w:color="auto"/>
            </w:tcBorders>
          </w:tcPr>
          <w:p w14:paraId="1EF7940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w:t>
            </w:r>
          </w:p>
        </w:tc>
        <w:tc>
          <w:tcPr>
            <w:tcW w:w="850" w:type="dxa"/>
            <w:tcBorders>
              <w:top w:val="nil"/>
              <w:left w:val="nil"/>
              <w:bottom w:val="single" w:sz="12" w:space="0" w:color="auto"/>
              <w:right w:val="single" w:sz="8" w:space="0" w:color="auto"/>
            </w:tcBorders>
          </w:tcPr>
          <w:p w14:paraId="1AF74290"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16.6</w:t>
            </w:r>
          </w:p>
        </w:tc>
        <w:tc>
          <w:tcPr>
            <w:tcW w:w="992" w:type="dxa"/>
            <w:tcBorders>
              <w:top w:val="nil"/>
              <w:left w:val="nil"/>
              <w:bottom w:val="single" w:sz="12" w:space="0" w:color="auto"/>
              <w:right w:val="single" w:sz="8" w:space="0" w:color="auto"/>
            </w:tcBorders>
          </w:tcPr>
          <w:p w14:paraId="1AC15C9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w:t>
            </w:r>
          </w:p>
        </w:tc>
        <w:tc>
          <w:tcPr>
            <w:tcW w:w="851" w:type="dxa"/>
            <w:tcBorders>
              <w:top w:val="nil"/>
              <w:left w:val="nil"/>
              <w:bottom w:val="single" w:sz="12" w:space="0" w:color="auto"/>
              <w:right w:val="single" w:sz="8" w:space="0" w:color="auto"/>
            </w:tcBorders>
          </w:tcPr>
          <w:p w14:paraId="070AC5C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992" w:type="dxa"/>
            <w:tcBorders>
              <w:top w:val="nil"/>
              <w:left w:val="nil"/>
              <w:bottom w:val="single" w:sz="12" w:space="0" w:color="auto"/>
              <w:right w:val="single" w:sz="8" w:space="0" w:color="auto"/>
            </w:tcBorders>
          </w:tcPr>
          <w:p w14:paraId="43516B5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m</w:t>
            </w:r>
          </w:p>
        </w:tc>
        <w:tc>
          <w:tcPr>
            <w:tcW w:w="851" w:type="dxa"/>
            <w:tcBorders>
              <w:top w:val="nil"/>
              <w:left w:val="nil"/>
              <w:bottom w:val="single" w:sz="12" w:space="0" w:color="auto"/>
              <w:right w:val="single" w:sz="8" w:space="0" w:color="auto"/>
            </w:tcBorders>
          </w:tcPr>
          <w:p w14:paraId="258F7D23"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1,000</w:t>
            </w:r>
          </w:p>
        </w:tc>
        <w:tc>
          <w:tcPr>
            <w:tcW w:w="1134" w:type="dxa"/>
            <w:tcBorders>
              <w:top w:val="nil"/>
              <w:left w:val="nil"/>
              <w:bottom w:val="single" w:sz="12" w:space="0" w:color="auto"/>
              <w:right w:val="single" w:sz="8" w:space="0" w:color="auto"/>
            </w:tcBorders>
          </w:tcPr>
          <w:p w14:paraId="0CC078B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12" w:space="0" w:color="auto"/>
              <w:right w:val="single" w:sz="8" w:space="0" w:color="000000"/>
            </w:tcBorders>
          </w:tcPr>
          <w:p w14:paraId="4EE3C585"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1,015</w:t>
            </w:r>
          </w:p>
        </w:tc>
        <w:tc>
          <w:tcPr>
            <w:tcW w:w="1134" w:type="dxa"/>
            <w:tcBorders>
              <w:top w:val="nil"/>
              <w:left w:val="nil"/>
              <w:bottom w:val="single" w:sz="12" w:space="0" w:color="auto"/>
              <w:right w:val="single" w:sz="12" w:space="0" w:color="auto"/>
            </w:tcBorders>
          </w:tcPr>
          <w:p w14:paraId="131D4C4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12" w:space="0" w:color="auto"/>
              <w:right w:val="single" w:sz="12" w:space="0" w:color="auto"/>
            </w:tcBorders>
          </w:tcPr>
          <w:p w14:paraId="6603BB7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Scott-Fordsmand et al., 2000a</w:t>
            </w:r>
          </w:p>
        </w:tc>
      </w:tr>
      <w:tr w:rsidR="00632208" w:rsidRPr="0098635C" w14:paraId="00187F27" w14:textId="77777777" w:rsidTr="00A432B0">
        <w:trPr>
          <w:trHeight w:val="476"/>
        </w:trPr>
        <w:tc>
          <w:tcPr>
            <w:tcW w:w="1402" w:type="dxa"/>
            <w:tcBorders>
              <w:top w:val="nil"/>
              <w:left w:val="single" w:sz="8" w:space="0" w:color="auto"/>
              <w:bottom w:val="single" w:sz="8" w:space="0" w:color="auto"/>
              <w:right w:val="single" w:sz="8" w:space="0" w:color="auto"/>
            </w:tcBorders>
          </w:tcPr>
          <w:p w14:paraId="48195681"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fimetaria</w:t>
            </w:r>
          </w:p>
        </w:tc>
        <w:tc>
          <w:tcPr>
            <w:tcW w:w="1276" w:type="dxa"/>
            <w:tcBorders>
              <w:top w:val="nil"/>
              <w:left w:val="nil"/>
              <w:bottom w:val="single" w:sz="8" w:space="0" w:color="auto"/>
              <w:right w:val="single" w:sz="8" w:space="0" w:color="auto"/>
            </w:tcBorders>
          </w:tcPr>
          <w:p w14:paraId="0F187CE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Sandy clay</w:t>
            </w:r>
          </w:p>
        </w:tc>
        <w:tc>
          <w:tcPr>
            <w:tcW w:w="709" w:type="dxa"/>
            <w:tcBorders>
              <w:top w:val="nil"/>
              <w:left w:val="nil"/>
              <w:bottom w:val="single" w:sz="8" w:space="0" w:color="auto"/>
              <w:right w:val="single" w:sz="8" w:space="0" w:color="auto"/>
            </w:tcBorders>
          </w:tcPr>
          <w:p w14:paraId="397BEB2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6.5-7.0</w:t>
            </w:r>
          </w:p>
        </w:tc>
        <w:tc>
          <w:tcPr>
            <w:tcW w:w="708" w:type="dxa"/>
            <w:tcBorders>
              <w:top w:val="nil"/>
              <w:left w:val="nil"/>
              <w:bottom w:val="single" w:sz="8" w:space="0" w:color="auto"/>
              <w:right w:val="single" w:sz="8" w:space="0" w:color="auto"/>
            </w:tcBorders>
          </w:tcPr>
          <w:p w14:paraId="61F8229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3.9-5.5</w:t>
            </w:r>
          </w:p>
        </w:tc>
        <w:tc>
          <w:tcPr>
            <w:tcW w:w="709" w:type="dxa"/>
            <w:tcBorders>
              <w:top w:val="nil"/>
              <w:left w:val="nil"/>
              <w:bottom w:val="single" w:sz="8" w:space="0" w:color="auto"/>
              <w:right w:val="single" w:sz="8" w:space="0" w:color="auto"/>
            </w:tcBorders>
          </w:tcPr>
          <w:p w14:paraId="0753A6E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13-16</w:t>
            </w:r>
          </w:p>
        </w:tc>
        <w:tc>
          <w:tcPr>
            <w:tcW w:w="851" w:type="dxa"/>
            <w:tcBorders>
              <w:top w:val="nil"/>
              <w:left w:val="nil"/>
              <w:bottom w:val="single" w:sz="8" w:space="0" w:color="auto"/>
              <w:right w:val="single" w:sz="8" w:space="0" w:color="auto"/>
            </w:tcBorders>
          </w:tcPr>
          <w:p w14:paraId="2F37315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w:t>
            </w:r>
          </w:p>
        </w:tc>
        <w:tc>
          <w:tcPr>
            <w:tcW w:w="850" w:type="dxa"/>
            <w:tcBorders>
              <w:top w:val="nil"/>
              <w:left w:val="nil"/>
              <w:bottom w:val="single" w:sz="8" w:space="0" w:color="auto"/>
              <w:right w:val="single" w:sz="8" w:space="0" w:color="auto"/>
            </w:tcBorders>
          </w:tcPr>
          <w:p w14:paraId="736D3B6F"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16.6</w:t>
            </w:r>
          </w:p>
        </w:tc>
        <w:tc>
          <w:tcPr>
            <w:tcW w:w="992" w:type="dxa"/>
            <w:tcBorders>
              <w:top w:val="nil"/>
              <w:left w:val="nil"/>
              <w:bottom w:val="single" w:sz="8" w:space="0" w:color="auto"/>
              <w:right w:val="single" w:sz="8" w:space="0" w:color="auto"/>
            </w:tcBorders>
          </w:tcPr>
          <w:p w14:paraId="408E073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w:t>
            </w:r>
          </w:p>
        </w:tc>
        <w:tc>
          <w:tcPr>
            <w:tcW w:w="851" w:type="dxa"/>
            <w:tcBorders>
              <w:top w:val="nil"/>
              <w:left w:val="nil"/>
              <w:bottom w:val="single" w:sz="8" w:space="0" w:color="auto"/>
              <w:right w:val="single" w:sz="8" w:space="0" w:color="auto"/>
            </w:tcBorders>
          </w:tcPr>
          <w:p w14:paraId="23B68BA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992" w:type="dxa"/>
            <w:tcBorders>
              <w:top w:val="nil"/>
              <w:left w:val="nil"/>
              <w:bottom w:val="single" w:sz="8" w:space="0" w:color="auto"/>
              <w:right w:val="single" w:sz="8" w:space="0" w:color="auto"/>
            </w:tcBorders>
          </w:tcPr>
          <w:p w14:paraId="2D17C5D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g</w:t>
            </w:r>
          </w:p>
        </w:tc>
        <w:tc>
          <w:tcPr>
            <w:tcW w:w="851" w:type="dxa"/>
            <w:tcBorders>
              <w:top w:val="nil"/>
              <w:left w:val="nil"/>
              <w:bottom w:val="single" w:sz="8" w:space="0" w:color="auto"/>
              <w:right w:val="single" w:sz="8" w:space="0" w:color="auto"/>
            </w:tcBorders>
          </w:tcPr>
          <w:p w14:paraId="040D3926"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1,000</w:t>
            </w:r>
          </w:p>
        </w:tc>
        <w:tc>
          <w:tcPr>
            <w:tcW w:w="1134" w:type="dxa"/>
            <w:tcBorders>
              <w:top w:val="nil"/>
              <w:left w:val="nil"/>
              <w:bottom w:val="single" w:sz="8" w:space="0" w:color="auto"/>
              <w:right w:val="single" w:sz="8" w:space="0" w:color="auto"/>
            </w:tcBorders>
          </w:tcPr>
          <w:p w14:paraId="0A56263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12" w:space="0" w:color="auto"/>
              <w:left w:val="nil"/>
              <w:bottom w:val="single" w:sz="8" w:space="0" w:color="auto"/>
              <w:right w:val="single" w:sz="8" w:space="0" w:color="000000"/>
            </w:tcBorders>
          </w:tcPr>
          <w:p w14:paraId="26041944"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1,015</w:t>
            </w:r>
          </w:p>
        </w:tc>
        <w:tc>
          <w:tcPr>
            <w:tcW w:w="1134" w:type="dxa"/>
            <w:tcBorders>
              <w:top w:val="nil"/>
              <w:left w:val="nil"/>
              <w:bottom w:val="single" w:sz="8" w:space="0" w:color="auto"/>
              <w:right w:val="single" w:sz="12" w:space="0" w:color="auto"/>
            </w:tcBorders>
          </w:tcPr>
          <w:p w14:paraId="064A1C0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6421CF3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Scott-Fordsmand et al., 2000a</w:t>
            </w:r>
          </w:p>
        </w:tc>
      </w:tr>
      <w:tr w:rsidR="00632208" w:rsidRPr="0098635C" w14:paraId="1ABBA20A" w14:textId="77777777" w:rsidTr="00A432B0">
        <w:trPr>
          <w:trHeight w:val="463"/>
        </w:trPr>
        <w:tc>
          <w:tcPr>
            <w:tcW w:w="1402" w:type="dxa"/>
            <w:tcBorders>
              <w:top w:val="nil"/>
              <w:left w:val="single" w:sz="8" w:space="0" w:color="auto"/>
              <w:bottom w:val="single" w:sz="8" w:space="0" w:color="auto"/>
              <w:right w:val="single" w:sz="8" w:space="0" w:color="auto"/>
            </w:tcBorders>
          </w:tcPr>
          <w:p w14:paraId="46D2B7C9"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fimetaria</w:t>
            </w:r>
          </w:p>
        </w:tc>
        <w:tc>
          <w:tcPr>
            <w:tcW w:w="1276" w:type="dxa"/>
            <w:tcBorders>
              <w:top w:val="nil"/>
              <w:left w:val="nil"/>
              <w:bottom w:val="single" w:sz="8" w:space="0" w:color="auto"/>
              <w:right w:val="single" w:sz="8" w:space="0" w:color="auto"/>
            </w:tcBorders>
          </w:tcPr>
          <w:p w14:paraId="1CE171D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Sandy clay</w:t>
            </w:r>
          </w:p>
        </w:tc>
        <w:tc>
          <w:tcPr>
            <w:tcW w:w="709" w:type="dxa"/>
            <w:tcBorders>
              <w:top w:val="nil"/>
              <w:left w:val="nil"/>
              <w:bottom w:val="single" w:sz="8" w:space="0" w:color="auto"/>
              <w:right w:val="single" w:sz="8" w:space="0" w:color="auto"/>
            </w:tcBorders>
          </w:tcPr>
          <w:p w14:paraId="0FD901B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6.5-7.0</w:t>
            </w:r>
          </w:p>
        </w:tc>
        <w:tc>
          <w:tcPr>
            <w:tcW w:w="708" w:type="dxa"/>
            <w:tcBorders>
              <w:top w:val="nil"/>
              <w:left w:val="nil"/>
              <w:bottom w:val="single" w:sz="8" w:space="0" w:color="auto"/>
              <w:right w:val="single" w:sz="8" w:space="0" w:color="auto"/>
            </w:tcBorders>
          </w:tcPr>
          <w:p w14:paraId="1323EE0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3.9-5.5</w:t>
            </w:r>
          </w:p>
        </w:tc>
        <w:tc>
          <w:tcPr>
            <w:tcW w:w="709" w:type="dxa"/>
            <w:tcBorders>
              <w:top w:val="nil"/>
              <w:left w:val="nil"/>
              <w:bottom w:val="single" w:sz="8" w:space="0" w:color="auto"/>
              <w:right w:val="single" w:sz="8" w:space="0" w:color="auto"/>
            </w:tcBorders>
          </w:tcPr>
          <w:p w14:paraId="646F318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13-16</w:t>
            </w:r>
          </w:p>
        </w:tc>
        <w:tc>
          <w:tcPr>
            <w:tcW w:w="851" w:type="dxa"/>
            <w:tcBorders>
              <w:top w:val="nil"/>
              <w:left w:val="nil"/>
              <w:bottom w:val="single" w:sz="8" w:space="0" w:color="auto"/>
              <w:right w:val="single" w:sz="8" w:space="0" w:color="auto"/>
            </w:tcBorders>
          </w:tcPr>
          <w:p w14:paraId="18CBB74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w:t>
            </w:r>
          </w:p>
        </w:tc>
        <w:tc>
          <w:tcPr>
            <w:tcW w:w="850" w:type="dxa"/>
            <w:tcBorders>
              <w:top w:val="nil"/>
              <w:left w:val="nil"/>
              <w:bottom w:val="single" w:sz="8" w:space="0" w:color="auto"/>
              <w:right w:val="single" w:sz="8" w:space="0" w:color="auto"/>
            </w:tcBorders>
          </w:tcPr>
          <w:p w14:paraId="5A41D65C"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16.6</w:t>
            </w:r>
          </w:p>
        </w:tc>
        <w:tc>
          <w:tcPr>
            <w:tcW w:w="992" w:type="dxa"/>
            <w:tcBorders>
              <w:top w:val="nil"/>
              <w:left w:val="nil"/>
              <w:bottom w:val="single" w:sz="8" w:space="0" w:color="auto"/>
              <w:right w:val="single" w:sz="8" w:space="0" w:color="auto"/>
            </w:tcBorders>
          </w:tcPr>
          <w:p w14:paraId="2AC9658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w:t>
            </w:r>
          </w:p>
        </w:tc>
        <w:tc>
          <w:tcPr>
            <w:tcW w:w="851" w:type="dxa"/>
            <w:tcBorders>
              <w:top w:val="nil"/>
              <w:left w:val="nil"/>
              <w:bottom w:val="single" w:sz="8" w:space="0" w:color="auto"/>
              <w:right w:val="single" w:sz="8" w:space="0" w:color="auto"/>
            </w:tcBorders>
          </w:tcPr>
          <w:p w14:paraId="0B48F1A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992" w:type="dxa"/>
            <w:tcBorders>
              <w:top w:val="nil"/>
              <w:left w:val="nil"/>
              <w:bottom w:val="single" w:sz="8" w:space="0" w:color="auto"/>
              <w:right w:val="single" w:sz="8" w:space="0" w:color="auto"/>
            </w:tcBorders>
          </w:tcPr>
          <w:p w14:paraId="086AF54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g</w:t>
            </w:r>
          </w:p>
        </w:tc>
        <w:tc>
          <w:tcPr>
            <w:tcW w:w="851" w:type="dxa"/>
            <w:tcBorders>
              <w:top w:val="nil"/>
              <w:left w:val="nil"/>
              <w:bottom w:val="single" w:sz="8" w:space="0" w:color="auto"/>
              <w:right w:val="single" w:sz="8" w:space="0" w:color="auto"/>
            </w:tcBorders>
          </w:tcPr>
          <w:p w14:paraId="0A4F5578"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1,000</w:t>
            </w:r>
          </w:p>
        </w:tc>
        <w:tc>
          <w:tcPr>
            <w:tcW w:w="1134" w:type="dxa"/>
            <w:tcBorders>
              <w:top w:val="nil"/>
              <w:left w:val="nil"/>
              <w:bottom w:val="single" w:sz="8" w:space="0" w:color="auto"/>
              <w:right w:val="single" w:sz="8" w:space="0" w:color="auto"/>
            </w:tcBorders>
          </w:tcPr>
          <w:p w14:paraId="208E9F6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1A8719B4"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1,015</w:t>
            </w:r>
          </w:p>
        </w:tc>
        <w:tc>
          <w:tcPr>
            <w:tcW w:w="1134" w:type="dxa"/>
            <w:tcBorders>
              <w:top w:val="nil"/>
              <w:left w:val="nil"/>
              <w:bottom w:val="single" w:sz="8" w:space="0" w:color="auto"/>
              <w:right w:val="single" w:sz="12" w:space="0" w:color="auto"/>
            </w:tcBorders>
          </w:tcPr>
          <w:p w14:paraId="4BF1C09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1476558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Scott-Fordsmand et al., 2000a</w:t>
            </w:r>
          </w:p>
        </w:tc>
      </w:tr>
      <w:tr w:rsidR="00632208" w:rsidRPr="0098635C" w14:paraId="08DE39AE" w14:textId="77777777" w:rsidTr="00A432B0">
        <w:trPr>
          <w:trHeight w:val="463"/>
        </w:trPr>
        <w:tc>
          <w:tcPr>
            <w:tcW w:w="1402" w:type="dxa"/>
            <w:tcBorders>
              <w:top w:val="nil"/>
              <w:left w:val="single" w:sz="8" w:space="0" w:color="auto"/>
              <w:bottom w:val="single" w:sz="8" w:space="0" w:color="auto"/>
              <w:right w:val="single" w:sz="8" w:space="0" w:color="auto"/>
            </w:tcBorders>
          </w:tcPr>
          <w:p w14:paraId="2B44217E"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fimetaria</w:t>
            </w:r>
          </w:p>
        </w:tc>
        <w:tc>
          <w:tcPr>
            <w:tcW w:w="1276" w:type="dxa"/>
            <w:tcBorders>
              <w:top w:val="nil"/>
              <w:left w:val="nil"/>
              <w:bottom w:val="single" w:sz="8" w:space="0" w:color="auto"/>
              <w:right w:val="single" w:sz="8" w:space="0" w:color="auto"/>
            </w:tcBorders>
          </w:tcPr>
          <w:p w14:paraId="6FC599A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Sandy clay</w:t>
            </w:r>
          </w:p>
        </w:tc>
        <w:tc>
          <w:tcPr>
            <w:tcW w:w="709" w:type="dxa"/>
            <w:tcBorders>
              <w:top w:val="nil"/>
              <w:left w:val="nil"/>
              <w:bottom w:val="single" w:sz="8" w:space="0" w:color="auto"/>
              <w:right w:val="single" w:sz="8" w:space="0" w:color="auto"/>
            </w:tcBorders>
          </w:tcPr>
          <w:p w14:paraId="0AA5061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6.5-7.0</w:t>
            </w:r>
          </w:p>
        </w:tc>
        <w:tc>
          <w:tcPr>
            <w:tcW w:w="708" w:type="dxa"/>
            <w:tcBorders>
              <w:top w:val="nil"/>
              <w:left w:val="nil"/>
              <w:bottom w:val="single" w:sz="8" w:space="0" w:color="auto"/>
              <w:right w:val="single" w:sz="8" w:space="0" w:color="auto"/>
            </w:tcBorders>
          </w:tcPr>
          <w:p w14:paraId="77E8945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3.9-5.5</w:t>
            </w:r>
          </w:p>
        </w:tc>
        <w:tc>
          <w:tcPr>
            <w:tcW w:w="709" w:type="dxa"/>
            <w:tcBorders>
              <w:top w:val="nil"/>
              <w:left w:val="nil"/>
              <w:bottom w:val="single" w:sz="8" w:space="0" w:color="auto"/>
              <w:right w:val="single" w:sz="8" w:space="0" w:color="auto"/>
            </w:tcBorders>
          </w:tcPr>
          <w:p w14:paraId="3090FAC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13-16</w:t>
            </w:r>
          </w:p>
        </w:tc>
        <w:tc>
          <w:tcPr>
            <w:tcW w:w="851" w:type="dxa"/>
            <w:tcBorders>
              <w:top w:val="nil"/>
              <w:left w:val="nil"/>
              <w:bottom w:val="single" w:sz="8" w:space="0" w:color="auto"/>
              <w:right w:val="single" w:sz="8" w:space="0" w:color="auto"/>
            </w:tcBorders>
          </w:tcPr>
          <w:p w14:paraId="44F2285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w:t>
            </w:r>
          </w:p>
        </w:tc>
        <w:tc>
          <w:tcPr>
            <w:tcW w:w="850" w:type="dxa"/>
            <w:tcBorders>
              <w:top w:val="nil"/>
              <w:left w:val="nil"/>
              <w:bottom w:val="single" w:sz="8" w:space="0" w:color="auto"/>
              <w:right w:val="single" w:sz="8" w:space="0" w:color="auto"/>
            </w:tcBorders>
          </w:tcPr>
          <w:p w14:paraId="19038A33"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16.6</w:t>
            </w:r>
          </w:p>
        </w:tc>
        <w:tc>
          <w:tcPr>
            <w:tcW w:w="992" w:type="dxa"/>
            <w:tcBorders>
              <w:top w:val="nil"/>
              <w:left w:val="nil"/>
              <w:bottom w:val="single" w:sz="8" w:space="0" w:color="auto"/>
              <w:right w:val="single" w:sz="8" w:space="0" w:color="auto"/>
            </w:tcBorders>
          </w:tcPr>
          <w:p w14:paraId="37D9772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w:t>
            </w:r>
          </w:p>
        </w:tc>
        <w:tc>
          <w:tcPr>
            <w:tcW w:w="851" w:type="dxa"/>
            <w:tcBorders>
              <w:top w:val="nil"/>
              <w:left w:val="nil"/>
              <w:bottom w:val="single" w:sz="8" w:space="0" w:color="auto"/>
              <w:right w:val="single" w:sz="8" w:space="0" w:color="auto"/>
            </w:tcBorders>
          </w:tcPr>
          <w:p w14:paraId="2CBD0EF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992" w:type="dxa"/>
            <w:tcBorders>
              <w:top w:val="nil"/>
              <w:left w:val="nil"/>
              <w:bottom w:val="single" w:sz="8" w:space="0" w:color="auto"/>
              <w:right w:val="single" w:sz="8" w:space="0" w:color="auto"/>
            </w:tcBorders>
          </w:tcPr>
          <w:p w14:paraId="6BF35CD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g</w:t>
            </w:r>
          </w:p>
        </w:tc>
        <w:tc>
          <w:tcPr>
            <w:tcW w:w="851" w:type="dxa"/>
            <w:tcBorders>
              <w:top w:val="nil"/>
              <w:left w:val="nil"/>
              <w:bottom w:val="single" w:sz="8" w:space="0" w:color="auto"/>
              <w:right w:val="single" w:sz="8" w:space="0" w:color="auto"/>
            </w:tcBorders>
          </w:tcPr>
          <w:p w14:paraId="723C7DE9"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1,000</w:t>
            </w:r>
          </w:p>
        </w:tc>
        <w:tc>
          <w:tcPr>
            <w:tcW w:w="1134" w:type="dxa"/>
            <w:tcBorders>
              <w:top w:val="nil"/>
              <w:left w:val="nil"/>
              <w:bottom w:val="single" w:sz="8" w:space="0" w:color="auto"/>
              <w:right w:val="single" w:sz="8" w:space="0" w:color="auto"/>
            </w:tcBorders>
          </w:tcPr>
          <w:p w14:paraId="15B758A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35D0754E"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1,015</w:t>
            </w:r>
          </w:p>
        </w:tc>
        <w:tc>
          <w:tcPr>
            <w:tcW w:w="1134" w:type="dxa"/>
            <w:tcBorders>
              <w:top w:val="nil"/>
              <w:left w:val="nil"/>
              <w:bottom w:val="single" w:sz="8" w:space="0" w:color="auto"/>
              <w:right w:val="single" w:sz="12" w:space="0" w:color="auto"/>
            </w:tcBorders>
          </w:tcPr>
          <w:p w14:paraId="1930F02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0578DDB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Scott-Fordsmand et al., 2000a</w:t>
            </w:r>
          </w:p>
        </w:tc>
      </w:tr>
      <w:tr w:rsidR="00632208" w:rsidRPr="0098635C" w14:paraId="6D78E709" w14:textId="77777777" w:rsidTr="00A432B0">
        <w:trPr>
          <w:trHeight w:val="463"/>
        </w:trPr>
        <w:tc>
          <w:tcPr>
            <w:tcW w:w="1402" w:type="dxa"/>
            <w:tcBorders>
              <w:top w:val="nil"/>
              <w:left w:val="single" w:sz="8" w:space="0" w:color="auto"/>
              <w:bottom w:val="single" w:sz="8" w:space="0" w:color="auto"/>
              <w:right w:val="single" w:sz="8" w:space="0" w:color="auto"/>
            </w:tcBorders>
          </w:tcPr>
          <w:p w14:paraId="50578248"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fimetaria</w:t>
            </w:r>
          </w:p>
        </w:tc>
        <w:tc>
          <w:tcPr>
            <w:tcW w:w="1276" w:type="dxa"/>
            <w:tcBorders>
              <w:top w:val="nil"/>
              <w:left w:val="nil"/>
              <w:bottom w:val="single" w:sz="8" w:space="0" w:color="auto"/>
              <w:right w:val="single" w:sz="8" w:space="0" w:color="auto"/>
            </w:tcBorders>
          </w:tcPr>
          <w:p w14:paraId="482DD53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Sandy clay</w:t>
            </w:r>
          </w:p>
        </w:tc>
        <w:tc>
          <w:tcPr>
            <w:tcW w:w="709" w:type="dxa"/>
            <w:tcBorders>
              <w:top w:val="nil"/>
              <w:left w:val="nil"/>
              <w:bottom w:val="single" w:sz="8" w:space="0" w:color="auto"/>
              <w:right w:val="single" w:sz="8" w:space="0" w:color="auto"/>
            </w:tcBorders>
          </w:tcPr>
          <w:p w14:paraId="215A007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6.5-7.0</w:t>
            </w:r>
          </w:p>
        </w:tc>
        <w:tc>
          <w:tcPr>
            <w:tcW w:w="708" w:type="dxa"/>
            <w:tcBorders>
              <w:top w:val="nil"/>
              <w:left w:val="nil"/>
              <w:bottom w:val="single" w:sz="8" w:space="0" w:color="auto"/>
              <w:right w:val="single" w:sz="8" w:space="0" w:color="auto"/>
            </w:tcBorders>
          </w:tcPr>
          <w:p w14:paraId="14CFB7E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3.9-5.5</w:t>
            </w:r>
          </w:p>
        </w:tc>
        <w:tc>
          <w:tcPr>
            <w:tcW w:w="709" w:type="dxa"/>
            <w:tcBorders>
              <w:top w:val="nil"/>
              <w:left w:val="nil"/>
              <w:bottom w:val="single" w:sz="8" w:space="0" w:color="auto"/>
              <w:right w:val="single" w:sz="8" w:space="0" w:color="auto"/>
            </w:tcBorders>
          </w:tcPr>
          <w:p w14:paraId="7FCE21D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13-16</w:t>
            </w:r>
          </w:p>
        </w:tc>
        <w:tc>
          <w:tcPr>
            <w:tcW w:w="851" w:type="dxa"/>
            <w:tcBorders>
              <w:top w:val="nil"/>
              <w:left w:val="nil"/>
              <w:bottom w:val="single" w:sz="8" w:space="0" w:color="auto"/>
              <w:right w:val="single" w:sz="8" w:space="0" w:color="auto"/>
            </w:tcBorders>
          </w:tcPr>
          <w:p w14:paraId="21F5B6B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w:t>
            </w:r>
          </w:p>
        </w:tc>
        <w:tc>
          <w:tcPr>
            <w:tcW w:w="850" w:type="dxa"/>
            <w:tcBorders>
              <w:top w:val="nil"/>
              <w:left w:val="nil"/>
              <w:bottom w:val="single" w:sz="8" w:space="0" w:color="auto"/>
              <w:right w:val="single" w:sz="8" w:space="0" w:color="auto"/>
            </w:tcBorders>
          </w:tcPr>
          <w:p w14:paraId="6A6F2A2C"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16.6</w:t>
            </w:r>
          </w:p>
        </w:tc>
        <w:tc>
          <w:tcPr>
            <w:tcW w:w="992" w:type="dxa"/>
            <w:tcBorders>
              <w:top w:val="nil"/>
              <w:left w:val="nil"/>
              <w:bottom w:val="single" w:sz="8" w:space="0" w:color="auto"/>
              <w:right w:val="single" w:sz="8" w:space="0" w:color="auto"/>
            </w:tcBorders>
          </w:tcPr>
          <w:p w14:paraId="45B1D3D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w:t>
            </w:r>
          </w:p>
        </w:tc>
        <w:tc>
          <w:tcPr>
            <w:tcW w:w="851" w:type="dxa"/>
            <w:tcBorders>
              <w:top w:val="nil"/>
              <w:left w:val="nil"/>
              <w:bottom w:val="single" w:sz="8" w:space="0" w:color="auto"/>
              <w:right w:val="single" w:sz="8" w:space="0" w:color="auto"/>
            </w:tcBorders>
          </w:tcPr>
          <w:p w14:paraId="5217E01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992" w:type="dxa"/>
            <w:tcBorders>
              <w:top w:val="nil"/>
              <w:left w:val="nil"/>
              <w:bottom w:val="single" w:sz="8" w:space="0" w:color="auto"/>
              <w:right w:val="single" w:sz="8" w:space="0" w:color="auto"/>
            </w:tcBorders>
          </w:tcPr>
          <w:p w14:paraId="78FD23D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tcBorders>
              <w:top w:val="nil"/>
              <w:left w:val="nil"/>
              <w:bottom w:val="single" w:sz="8" w:space="0" w:color="auto"/>
              <w:right w:val="single" w:sz="8" w:space="0" w:color="auto"/>
            </w:tcBorders>
          </w:tcPr>
          <w:p w14:paraId="22555D4E"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400</w:t>
            </w:r>
          </w:p>
        </w:tc>
        <w:tc>
          <w:tcPr>
            <w:tcW w:w="1134" w:type="dxa"/>
            <w:tcBorders>
              <w:top w:val="nil"/>
              <w:left w:val="nil"/>
              <w:bottom w:val="single" w:sz="8" w:space="0" w:color="auto"/>
              <w:right w:val="single" w:sz="8" w:space="0" w:color="auto"/>
            </w:tcBorders>
          </w:tcPr>
          <w:p w14:paraId="3FE93D9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71ECDC43"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415</w:t>
            </w:r>
          </w:p>
        </w:tc>
        <w:tc>
          <w:tcPr>
            <w:tcW w:w="1134" w:type="dxa"/>
            <w:tcBorders>
              <w:top w:val="nil"/>
              <w:left w:val="nil"/>
              <w:bottom w:val="single" w:sz="8" w:space="0" w:color="auto"/>
              <w:right w:val="single" w:sz="12" w:space="0" w:color="auto"/>
            </w:tcBorders>
          </w:tcPr>
          <w:p w14:paraId="26CAF3B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52F3C92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Scott-Fordsmand et al., 2000a</w:t>
            </w:r>
          </w:p>
        </w:tc>
      </w:tr>
      <w:tr w:rsidR="00632208" w:rsidRPr="0098635C" w14:paraId="734BD860" w14:textId="77777777" w:rsidTr="00A432B0">
        <w:trPr>
          <w:trHeight w:val="225"/>
        </w:trPr>
        <w:tc>
          <w:tcPr>
            <w:tcW w:w="1402" w:type="dxa"/>
            <w:vMerge w:val="restart"/>
            <w:tcBorders>
              <w:top w:val="nil"/>
              <w:left w:val="single" w:sz="8" w:space="0" w:color="auto"/>
              <w:bottom w:val="single" w:sz="8" w:space="0" w:color="000000"/>
              <w:right w:val="single" w:sz="8" w:space="0" w:color="auto"/>
            </w:tcBorders>
          </w:tcPr>
          <w:p w14:paraId="52442680"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fimetaria</w:t>
            </w:r>
          </w:p>
        </w:tc>
        <w:tc>
          <w:tcPr>
            <w:tcW w:w="1276" w:type="dxa"/>
            <w:tcBorders>
              <w:top w:val="nil"/>
              <w:left w:val="nil"/>
              <w:bottom w:val="nil"/>
              <w:right w:val="single" w:sz="8" w:space="0" w:color="auto"/>
            </w:tcBorders>
          </w:tcPr>
          <w:p w14:paraId="1B85DB7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Sandy clay</w:t>
            </w:r>
          </w:p>
        </w:tc>
        <w:tc>
          <w:tcPr>
            <w:tcW w:w="709" w:type="dxa"/>
            <w:tcBorders>
              <w:top w:val="nil"/>
              <w:left w:val="nil"/>
              <w:bottom w:val="nil"/>
              <w:right w:val="single" w:sz="8" w:space="0" w:color="auto"/>
            </w:tcBorders>
          </w:tcPr>
          <w:p w14:paraId="7940107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6.7</w:t>
            </w:r>
          </w:p>
        </w:tc>
        <w:tc>
          <w:tcPr>
            <w:tcW w:w="708" w:type="dxa"/>
            <w:tcBorders>
              <w:top w:val="nil"/>
              <w:left w:val="nil"/>
              <w:bottom w:val="nil"/>
              <w:right w:val="single" w:sz="8" w:space="0" w:color="auto"/>
            </w:tcBorders>
          </w:tcPr>
          <w:p w14:paraId="29C532C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w:t>
            </w:r>
          </w:p>
        </w:tc>
        <w:tc>
          <w:tcPr>
            <w:tcW w:w="709" w:type="dxa"/>
            <w:tcBorders>
              <w:top w:val="nil"/>
              <w:left w:val="nil"/>
              <w:bottom w:val="nil"/>
              <w:right w:val="single" w:sz="8" w:space="0" w:color="auto"/>
            </w:tcBorders>
          </w:tcPr>
          <w:p w14:paraId="0D38B12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13.8</w:t>
            </w:r>
          </w:p>
        </w:tc>
        <w:tc>
          <w:tcPr>
            <w:tcW w:w="851" w:type="dxa"/>
            <w:tcBorders>
              <w:top w:val="nil"/>
              <w:left w:val="nil"/>
              <w:bottom w:val="nil"/>
              <w:right w:val="single" w:sz="8" w:space="0" w:color="auto"/>
            </w:tcBorders>
          </w:tcPr>
          <w:p w14:paraId="52F161B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w:t>
            </w:r>
          </w:p>
        </w:tc>
        <w:tc>
          <w:tcPr>
            <w:tcW w:w="850" w:type="dxa"/>
            <w:tcBorders>
              <w:top w:val="nil"/>
              <w:left w:val="nil"/>
              <w:bottom w:val="nil"/>
              <w:right w:val="single" w:sz="8" w:space="0" w:color="auto"/>
            </w:tcBorders>
          </w:tcPr>
          <w:p w14:paraId="113D7714"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15.6</w:t>
            </w:r>
          </w:p>
        </w:tc>
        <w:tc>
          <w:tcPr>
            <w:tcW w:w="992" w:type="dxa"/>
            <w:tcBorders>
              <w:top w:val="nil"/>
              <w:left w:val="nil"/>
              <w:bottom w:val="nil"/>
              <w:right w:val="single" w:sz="8" w:space="0" w:color="auto"/>
            </w:tcBorders>
          </w:tcPr>
          <w:p w14:paraId="7E0E017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nil"/>
              <w:right w:val="single" w:sz="8" w:space="0" w:color="auto"/>
            </w:tcBorders>
          </w:tcPr>
          <w:p w14:paraId="7A5A61A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992" w:type="dxa"/>
            <w:vMerge w:val="restart"/>
            <w:tcBorders>
              <w:top w:val="nil"/>
              <w:left w:val="single" w:sz="8" w:space="0" w:color="auto"/>
              <w:bottom w:val="single" w:sz="8" w:space="0" w:color="000000"/>
              <w:right w:val="single" w:sz="8" w:space="0" w:color="auto"/>
            </w:tcBorders>
          </w:tcPr>
          <w:p w14:paraId="7862465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EC10</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6D329595"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122</w:t>
            </w:r>
          </w:p>
        </w:tc>
        <w:tc>
          <w:tcPr>
            <w:tcW w:w="1134" w:type="dxa"/>
            <w:vMerge w:val="restart"/>
            <w:tcBorders>
              <w:top w:val="nil"/>
              <w:left w:val="single" w:sz="8" w:space="0" w:color="auto"/>
              <w:bottom w:val="single" w:sz="8" w:space="0" w:color="000000"/>
              <w:right w:val="single" w:sz="8" w:space="0" w:color="auto"/>
            </w:tcBorders>
          </w:tcPr>
          <w:p w14:paraId="48A164B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72A0EC55"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141</w:t>
            </w:r>
          </w:p>
        </w:tc>
        <w:tc>
          <w:tcPr>
            <w:tcW w:w="1134" w:type="dxa"/>
            <w:vMerge w:val="restart"/>
            <w:tcBorders>
              <w:top w:val="nil"/>
              <w:left w:val="single" w:sz="8" w:space="0" w:color="auto"/>
              <w:bottom w:val="nil"/>
              <w:right w:val="single" w:sz="12" w:space="0" w:color="auto"/>
            </w:tcBorders>
          </w:tcPr>
          <w:p w14:paraId="229779C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single" w:sz="8" w:space="0" w:color="auto"/>
              <w:bottom w:val="nil"/>
              <w:right w:val="single" w:sz="12" w:space="0" w:color="auto"/>
            </w:tcBorders>
          </w:tcPr>
          <w:p w14:paraId="2826CB23" w14:textId="77777777" w:rsidR="00632208" w:rsidRPr="0098635C" w:rsidRDefault="00632208" w:rsidP="00A432B0">
            <w:pPr>
              <w:spacing w:after="0"/>
              <w:jc w:val="center"/>
              <w:rPr>
                <w:color w:val="000000" w:themeColor="text1"/>
                <w:sz w:val="20"/>
                <w:szCs w:val="20"/>
              </w:rPr>
            </w:pPr>
          </w:p>
        </w:tc>
      </w:tr>
      <w:tr w:rsidR="00632208" w:rsidRPr="0098635C" w14:paraId="5FC5004B" w14:textId="77777777" w:rsidTr="00A432B0">
        <w:trPr>
          <w:trHeight w:val="238"/>
        </w:trPr>
        <w:tc>
          <w:tcPr>
            <w:tcW w:w="1402" w:type="dxa"/>
            <w:vMerge/>
            <w:tcBorders>
              <w:top w:val="nil"/>
              <w:left w:val="single" w:sz="8" w:space="0" w:color="auto"/>
              <w:bottom w:val="single" w:sz="4" w:space="0" w:color="auto"/>
              <w:right w:val="single" w:sz="8" w:space="0" w:color="auto"/>
            </w:tcBorders>
            <w:vAlign w:val="center"/>
          </w:tcPr>
          <w:p w14:paraId="3FB8D2D6"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4" w:space="0" w:color="auto"/>
              <w:right w:val="single" w:sz="8" w:space="0" w:color="auto"/>
            </w:tcBorders>
          </w:tcPr>
          <w:p w14:paraId="307D2E3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Hygum</w:t>
            </w:r>
          </w:p>
        </w:tc>
        <w:tc>
          <w:tcPr>
            <w:tcW w:w="709" w:type="dxa"/>
            <w:tcBorders>
              <w:top w:val="nil"/>
              <w:left w:val="nil"/>
              <w:bottom w:val="single" w:sz="4" w:space="0" w:color="auto"/>
              <w:right w:val="single" w:sz="8" w:space="0" w:color="auto"/>
            </w:tcBorders>
          </w:tcPr>
          <w:p w14:paraId="4D63B37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6.7</w:t>
            </w:r>
          </w:p>
        </w:tc>
        <w:tc>
          <w:tcPr>
            <w:tcW w:w="708" w:type="dxa"/>
            <w:tcBorders>
              <w:top w:val="nil"/>
              <w:left w:val="nil"/>
              <w:bottom w:val="single" w:sz="4" w:space="0" w:color="auto"/>
              <w:right w:val="single" w:sz="8" w:space="0" w:color="auto"/>
            </w:tcBorders>
          </w:tcPr>
          <w:p w14:paraId="04E9169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w:t>
            </w:r>
          </w:p>
        </w:tc>
        <w:tc>
          <w:tcPr>
            <w:tcW w:w="709" w:type="dxa"/>
            <w:tcBorders>
              <w:top w:val="nil"/>
              <w:left w:val="nil"/>
              <w:bottom w:val="single" w:sz="4" w:space="0" w:color="auto"/>
              <w:right w:val="single" w:sz="8" w:space="0" w:color="auto"/>
            </w:tcBorders>
          </w:tcPr>
          <w:p w14:paraId="7D13FBA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13.8</w:t>
            </w:r>
          </w:p>
        </w:tc>
        <w:tc>
          <w:tcPr>
            <w:tcW w:w="851" w:type="dxa"/>
            <w:tcBorders>
              <w:top w:val="nil"/>
              <w:left w:val="nil"/>
              <w:bottom w:val="single" w:sz="4" w:space="0" w:color="auto"/>
              <w:right w:val="single" w:sz="8" w:space="0" w:color="auto"/>
            </w:tcBorders>
          </w:tcPr>
          <w:p w14:paraId="02A98E2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w:t>
            </w:r>
          </w:p>
        </w:tc>
        <w:tc>
          <w:tcPr>
            <w:tcW w:w="850" w:type="dxa"/>
            <w:tcBorders>
              <w:top w:val="nil"/>
              <w:left w:val="nil"/>
              <w:bottom w:val="single" w:sz="4" w:space="0" w:color="auto"/>
              <w:right w:val="single" w:sz="8" w:space="0" w:color="auto"/>
            </w:tcBorders>
          </w:tcPr>
          <w:p w14:paraId="3DC05F31"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15.6</w:t>
            </w:r>
          </w:p>
        </w:tc>
        <w:tc>
          <w:tcPr>
            <w:tcW w:w="992" w:type="dxa"/>
            <w:tcBorders>
              <w:top w:val="nil"/>
              <w:left w:val="nil"/>
              <w:bottom w:val="single" w:sz="4" w:space="0" w:color="auto"/>
              <w:right w:val="single" w:sz="8" w:space="0" w:color="auto"/>
            </w:tcBorders>
          </w:tcPr>
          <w:p w14:paraId="1810A48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4" w:space="0" w:color="auto"/>
              <w:right w:val="single" w:sz="8" w:space="0" w:color="auto"/>
            </w:tcBorders>
          </w:tcPr>
          <w:p w14:paraId="5184DC0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992" w:type="dxa"/>
            <w:vMerge/>
            <w:tcBorders>
              <w:top w:val="nil"/>
              <w:left w:val="single" w:sz="8" w:space="0" w:color="auto"/>
              <w:bottom w:val="single" w:sz="4" w:space="0" w:color="auto"/>
              <w:right w:val="single" w:sz="8" w:space="0" w:color="auto"/>
            </w:tcBorders>
            <w:vAlign w:val="center"/>
          </w:tcPr>
          <w:p w14:paraId="70FAFF71"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4" w:space="0" w:color="auto"/>
              <w:right w:val="single" w:sz="8" w:space="0" w:color="auto"/>
            </w:tcBorders>
            <w:vAlign w:val="center"/>
          </w:tcPr>
          <w:p w14:paraId="682683A4"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4" w:space="0" w:color="auto"/>
              <w:right w:val="single" w:sz="8" w:space="0" w:color="auto"/>
            </w:tcBorders>
            <w:vAlign w:val="center"/>
          </w:tcPr>
          <w:p w14:paraId="28951281"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4" w:space="0" w:color="auto"/>
              <w:right w:val="single" w:sz="8" w:space="0" w:color="000000"/>
            </w:tcBorders>
            <w:vAlign w:val="center"/>
          </w:tcPr>
          <w:p w14:paraId="79F3B63A"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4" w:space="0" w:color="auto"/>
              <w:right w:val="single" w:sz="12" w:space="0" w:color="auto"/>
            </w:tcBorders>
            <w:vAlign w:val="center"/>
          </w:tcPr>
          <w:p w14:paraId="15A2C755"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4" w:space="0" w:color="auto"/>
              <w:right w:val="single" w:sz="12" w:space="0" w:color="auto"/>
            </w:tcBorders>
          </w:tcPr>
          <w:p w14:paraId="20C5CFE3" w14:textId="77777777" w:rsidR="00632208" w:rsidRPr="0098635C" w:rsidRDefault="00632208" w:rsidP="00A432B0">
            <w:pPr>
              <w:spacing w:after="0"/>
              <w:rPr>
                <w:color w:val="000000" w:themeColor="text1"/>
                <w:sz w:val="20"/>
                <w:szCs w:val="20"/>
              </w:rPr>
            </w:pPr>
            <w:r w:rsidRPr="0098635C">
              <w:rPr>
                <w:color w:val="000000" w:themeColor="text1"/>
                <w:sz w:val="20"/>
                <w:szCs w:val="20"/>
              </w:rPr>
              <w:t>Pedersen et al., 2000</w:t>
            </w:r>
          </w:p>
        </w:tc>
      </w:tr>
      <w:tr w:rsidR="00632208" w:rsidRPr="0098635C" w14:paraId="66011E77" w14:textId="77777777" w:rsidTr="00A432B0">
        <w:trPr>
          <w:trHeight w:val="104"/>
        </w:trPr>
        <w:tc>
          <w:tcPr>
            <w:tcW w:w="1402" w:type="dxa"/>
            <w:tcBorders>
              <w:top w:val="single" w:sz="4" w:space="0" w:color="auto"/>
              <w:left w:val="single" w:sz="8" w:space="0" w:color="auto"/>
              <w:bottom w:val="single" w:sz="4" w:space="0" w:color="auto"/>
              <w:right w:val="single" w:sz="8" w:space="0" w:color="auto"/>
            </w:tcBorders>
          </w:tcPr>
          <w:p w14:paraId="23A92C5E"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single" w:sz="4" w:space="0" w:color="auto"/>
              <w:left w:val="nil"/>
              <w:bottom w:val="single" w:sz="4" w:space="0" w:color="auto"/>
              <w:right w:val="single" w:sz="8" w:space="0" w:color="auto"/>
            </w:tcBorders>
          </w:tcPr>
          <w:p w14:paraId="2C17D3F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Sandy clay</w:t>
            </w:r>
          </w:p>
        </w:tc>
        <w:tc>
          <w:tcPr>
            <w:tcW w:w="709" w:type="dxa"/>
            <w:tcBorders>
              <w:top w:val="single" w:sz="4" w:space="0" w:color="auto"/>
              <w:left w:val="nil"/>
              <w:bottom w:val="single" w:sz="4" w:space="0" w:color="auto"/>
              <w:right w:val="single" w:sz="8" w:space="0" w:color="auto"/>
            </w:tcBorders>
          </w:tcPr>
          <w:p w14:paraId="292A641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6.7 </w:t>
            </w:r>
          </w:p>
        </w:tc>
        <w:tc>
          <w:tcPr>
            <w:tcW w:w="708" w:type="dxa"/>
            <w:tcBorders>
              <w:top w:val="single" w:sz="4" w:space="0" w:color="auto"/>
              <w:left w:val="nil"/>
              <w:bottom w:val="single" w:sz="4" w:space="0" w:color="auto"/>
              <w:right w:val="single" w:sz="8" w:space="0" w:color="auto"/>
            </w:tcBorders>
          </w:tcPr>
          <w:p w14:paraId="5A4ED89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single" w:sz="4" w:space="0" w:color="auto"/>
              <w:left w:val="nil"/>
              <w:bottom w:val="single" w:sz="4" w:space="0" w:color="auto"/>
              <w:right w:val="single" w:sz="8" w:space="0" w:color="auto"/>
            </w:tcBorders>
          </w:tcPr>
          <w:p w14:paraId="1DD8EE75" w14:textId="77777777" w:rsidR="00632208" w:rsidRPr="0098635C" w:rsidRDefault="00632208" w:rsidP="00A432B0">
            <w:pPr>
              <w:jc w:val="center"/>
              <w:rPr>
                <w:color w:val="000000" w:themeColor="text1"/>
                <w:sz w:val="20"/>
                <w:szCs w:val="20"/>
              </w:rPr>
            </w:pPr>
          </w:p>
        </w:tc>
        <w:tc>
          <w:tcPr>
            <w:tcW w:w="851" w:type="dxa"/>
            <w:tcBorders>
              <w:top w:val="single" w:sz="4" w:space="0" w:color="auto"/>
              <w:left w:val="nil"/>
              <w:bottom w:val="single" w:sz="4" w:space="0" w:color="auto"/>
              <w:right w:val="single" w:sz="8" w:space="0" w:color="auto"/>
            </w:tcBorders>
          </w:tcPr>
          <w:p w14:paraId="2640B5CE" w14:textId="77777777" w:rsidR="00632208" w:rsidRPr="0098635C" w:rsidRDefault="00632208" w:rsidP="00A432B0">
            <w:pPr>
              <w:jc w:val="center"/>
              <w:rPr>
                <w:color w:val="000000" w:themeColor="text1"/>
                <w:sz w:val="20"/>
                <w:szCs w:val="20"/>
              </w:rPr>
            </w:pPr>
          </w:p>
        </w:tc>
        <w:tc>
          <w:tcPr>
            <w:tcW w:w="850" w:type="dxa"/>
            <w:tcBorders>
              <w:top w:val="single" w:sz="4" w:space="0" w:color="auto"/>
              <w:left w:val="nil"/>
              <w:bottom w:val="single" w:sz="4" w:space="0" w:color="auto"/>
              <w:right w:val="single" w:sz="8" w:space="0" w:color="auto"/>
            </w:tcBorders>
          </w:tcPr>
          <w:p w14:paraId="1B8B5543"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992" w:type="dxa"/>
            <w:tcBorders>
              <w:top w:val="single" w:sz="4" w:space="0" w:color="auto"/>
              <w:left w:val="nil"/>
              <w:bottom w:val="single" w:sz="4" w:space="0" w:color="auto"/>
              <w:right w:val="single" w:sz="8" w:space="0" w:color="auto"/>
            </w:tcBorders>
          </w:tcPr>
          <w:p w14:paraId="4B52B25F" w14:textId="77777777" w:rsidR="00632208" w:rsidRPr="0098635C" w:rsidRDefault="00632208" w:rsidP="00A432B0">
            <w:pPr>
              <w:jc w:val="center"/>
              <w:rPr>
                <w:color w:val="000000" w:themeColor="text1"/>
                <w:sz w:val="20"/>
                <w:szCs w:val="20"/>
              </w:rPr>
            </w:pPr>
          </w:p>
        </w:tc>
        <w:tc>
          <w:tcPr>
            <w:tcW w:w="851" w:type="dxa"/>
            <w:tcBorders>
              <w:top w:val="single" w:sz="4" w:space="0" w:color="auto"/>
              <w:left w:val="nil"/>
              <w:bottom w:val="single" w:sz="4" w:space="0" w:color="auto"/>
              <w:right w:val="single" w:sz="8" w:space="0" w:color="auto"/>
            </w:tcBorders>
          </w:tcPr>
          <w:p w14:paraId="3E91C7D8" w14:textId="77777777" w:rsidR="00632208" w:rsidRPr="0098635C" w:rsidRDefault="00632208" w:rsidP="00A432B0">
            <w:pPr>
              <w:jc w:val="center"/>
              <w:rPr>
                <w:color w:val="000000" w:themeColor="text1"/>
                <w:sz w:val="20"/>
                <w:szCs w:val="20"/>
              </w:rPr>
            </w:pPr>
          </w:p>
        </w:tc>
        <w:tc>
          <w:tcPr>
            <w:tcW w:w="992" w:type="dxa"/>
            <w:tcBorders>
              <w:top w:val="single" w:sz="4" w:space="0" w:color="auto"/>
              <w:left w:val="single" w:sz="8" w:space="0" w:color="auto"/>
              <w:bottom w:val="single" w:sz="4" w:space="0" w:color="auto"/>
              <w:right w:val="single" w:sz="8" w:space="0" w:color="auto"/>
            </w:tcBorders>
          </w:tcPr>
          <w:p w14:paraId="79AC816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EC10</w:t>
            </w:r>
            <w:r w:rsidRPr="0098635C">
              <w:rPr>
                <w:color w:val="000000" w:themeColor="text1"/>
                <w:sz w:val="20"/>
                <w:szCs w:val="20"/>
                <w:vertAlign w:val="subscript"/>
              </w:rPr>
              <w:t>r</w:t>
            </w:r>
          </w:p>
        </w:tc>
        <w:tc>
          <w:tcPr>
            <w:tcW w:w="851" w:type="dxa"/>
            <w:tcBorders>
              <w:top w:val="single" w:sz="4" w:space="0" w:color="auto"/>
              <w:left w:val="single" w:sz="8" w:space="0" w:color="auto"/>
              <w:bottom w:val="single" w:sz="4" w:space="0" w:color="auto"/>
              <w:right w:val="single" w:sz="8" w:space="0" w:color="auto"/>
            </w:tcBorders>
          </w:tcPr>
          <w:p w14:paraId="69EE629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&lt;31</w:t>
            </w:r>
          </w:p>
        </w:tc>
        <w:tc>
          <w:tcPr>
            <w:tcW w:w="1134" w:type="dxa"/>
            <w:tcBorders>
              <w:top w:val="single" w:sz="4" w:space="0" w:color="auto"/>
              <w:left w:val="single" w:sz="8" w:space="0" w:color="auto"/>
              <w:bottom w:val="single" w:sz="4" w:space="0" w:color="auto"/>
              <w:right w:val="single" w:sz="8" w:space="0" w:color="auto"/>
            </w:tcBorders>
          </w:tcPr>
          <w:p w14:paraId="7949A1B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4" w:space="0" w:color="auto"/>
              <w:left w:val="single" w:sz="8" w:space="0" w:color="auto"/>
              <w:bottom w:val="single" w:sz="4" w:space="0" w:color="auto"/>
              <w:right w:val="single" w:sz="8" w:space="0" w:color="000000"/>
            </w:tcBorders>
          </w:tcPr>
          <w:p w14:paraId="18CD8EF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tcBorders>
              <w:top w:val="single" w:sz="4" w:space="0" w:color="auto"/>
              <w:left w:val="single" w:sz="8" w:space="0" w:color="auto"/>
              <w:bottom w:val="single" w:sz="4" w:space="0" w:color="auto"/>
              <w:right w:val="single" w:sz="12" w:space="0" w:color="auto"/>
            </w:tcBorders>
          </w:tcPr>
          <w:p w14:paraId="20F1ACD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&lt;50</w:t>
            </w:r>
          </w:p>
        </w:tc>
        <w:tc>
          <w:tcPr>
            <w:tcW w:w="1985" w:type="dxa"/>
            <w:tcBorders>
              <w:top w:val="single" w:sz="4" w:space="0" w:color="auto"/>
              <w:left w:val="single" w:sz="8" w:space="0" w:color="auto"/>
              <w:bottom w:val="single" w:sz="4" w:space="0" w:color="auto"/>
              <w:right w:val="single" w:sz="12" w:space="0" w:color="auto"/>
            </w:tcBorders>
          </w:tcPr>
          <w:p w14:paraId="728150AE" w14:textId="77777777" w:rsidR="00632208" w:rsidRPr="0098635C" w:rsidRDefault="00632208" w:rsidP="00A432B0">
            <w:pPr>
              <w:rPr>
                <w:color w:val="000000" w:themeColor="text1"/>
                <w:sz w:val="20"/>
                <w:szCs w:val="20"/>
              </w:rPr>
            </w:pPr>
            <w:r w:rsidRPr="0098635C">
              <w:rPr>
                <w:color w:val="000000" w:themeColor="text1"/>
                <w:sz w:val="20"/>
                <w:szCs w:val="20"/>
              </w:rPr>
              <w:t>Pedersen et al., 2000</w:t>
            </w:r>
          </w:p>
        </w:tc>
      </w:tr>
      <w:tr w:rsidR="00632208" w:rsidRPr="0098635C" w14:paraId="0A4070E3" w14:textId="77777777" w:rsidTr="00A432B0">
        <w:trPr>
          <w:trHeight w:val="225"/>
        </w:trPr>
        <w:tc>
          <w:tcPr>
            <w:tcW w:w="1402" w:type="dxa"/>
            <w:vMerge w:val="restart"/>
            <w:tcBorders>
              <w:top w:val="single" w:sz="4" w:space="0" w:color="auto"/>
              <w:left w:val="single" w:sz="8" w:space="0" w:color="auto"/>
              <w:bottom w:val="single" w:sz="8" w:space="0" w:color="000000"/>
              <w:right w:val="single" w:sz="8" w:space="0" w:color="auto"/>
            </w:tcBorders>
          </w:tcPr>
          <w:p w14:paraId="53FAB3CA"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fimetaria</w:t>
            </w:r>
          </w:p>
        </w:tc>
        <w:tc>
          <w:tcPr>
            <w:tcW w:w="1276" w:type="dxa"/>
            <w:tcBorders>
              <w:top w:val="single" w:sz="4" w:space="0" w:color="auto"/>
              <w:left w:val="nil"/>
              <w:bottom w:val="nil"/>
              <w:right w:val="single" w:sz="8" w:space="0" w:color="auto"/>
            </w:tcBorders>
          </w:tcPr>
          <w:p w14:paraId="53D0303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Sandy clay</w:t>
            </w:r>
          </w:p>
        </w:tc>
        <w:tc>
          <w:tcPr>
            <w:tcW w:w="709" w:type="dxa"/>
            <w:tcBorders>
              <w:top w:val="single" w:sz="4" w:space="0" w:color="auto"/>
              <w:left w:val="nil"/>
              <w:bottom w:val="nil"/>
              <w:right w:val="single" w:sz="8" w:space="0" w:color="auto"/>
            </w:tcBorders>
          </w:tcPr>
          <w:p w14:paraId="74D5792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6.7</w:t>
            </w:r>
          </w:p>
        </w:tc>
        <w:tc>
          <w:tcPr>
            <w:tcW w:w="708" w:type="dxa"/>
            <w:tcBorders>
              <w:top w:val="single" w:sz="4" w:space="0" w:color="auto"/>
              <w:left w:val="nil"/>
              <w:bottom w:val="nil"/>
              <w:right w:val="single" w:sz="8" w:space="0" w:color="auto"/>
            </w:tcBorders>
          </w:tcPr>
          <w:p w14:paraId="3C96A81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single" w:sz="4" w:space="0" w:color="auto"/>
              <w:left w:val="nil"/>
              <w:bottom w:val="nil"/>
              <w:right w:val="single" w:sz="8" w:space="0" w:color="auto"/>
            </w:tcBorders>
          </w:tcPr>
          <w:p w14:paraId="7ABB2DD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single" w:sz="4" w:space="0" w:color="auto"/>
              <w:left w:val="nil"/>
              <w:bottom w:val="nil"/>
              <w:right w:val="single" w:sz="8" w:space="0" w:color="auto"/>
            </w:tcBorders>
          </w:tcPr>
          <w:p w14:paraId="79DA160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4" w:space="0" w:color="auto"/>
              <w:left w:val="nil"/>
              <w:bottom w:val="nil"/>
              <w:right w:val="single" w:sz="8" w:space="0" w:color="auto"/>
            </w:tcBorders>
          </w:tcPr>
          <w:p w14:paraId="3E8CCA43"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992" w:type="dxa"/>
            <w:tcBorders>
              <w:top w:val="single" w:sz="4" w:space="0" w:color="auto"/>
              <w:left w:val="nil"/>
              <w:bottom w:val="nil"/>
              <w:right w:val="single" w:sz="8" w:space="0" w:color="auto"/>
            </w:tcBorders>
          </w:tcPr>
          <w:p w14:paraId="3A38489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single" w:sz="4" w:space="0" w:color="auto"/>
              <w:left w:val="nil"/>
              <w:bottom w:val="nil"/>
              <w:right w:val="single" w:sz="8" w:space="0" w:color="auto"/>
            </w:tcBorders>
          </w:tcPr>
          <w:p w14:paraId="1C45203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vMerge w:val="restart"/>
            <w:tcBorders>
              <w:top w:val="single" w:sz="4" w:space="0" w:color="auto"/>
              <w:left w:val="single" w:sz="8" w:space="0" w:color="auto"/>
              <w:bottom w:val="single" w:sz="8" w:space="0" w:color="000000"/>
              <w:right w:val="single" w:sz="8" w:space="0" w:color="auto"/>
            </w:tcBorders>
          </w:tcPr>
          <w:p w14:paraId="22F2D97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EC10</w:t>
            </w:r>
            <w:r w:rsidRPr="0098635C">
              <w:rPr>
                <w:color w:val="000000" w:themeColor="text1"/>
                <w:sz w:val="20"/>
                <w:szCs w:val="20"/>
                <w:vertAlign w:val="subscript"/>
              </w:rPr>
              <w:t>r</w:t>
            </w:r>
          </w:p>
        </w:tc>
        <w:tc>
          <w:tcPr>
            <w:tcW w:w="851" w:type="dxa"/>
            <w:tcBorders>
              <w:top w:val="single" w:sz="4" w:space="0" w:color="auto"/>
              <w:left w:val="nil"/>
              <w:bottom w:val="nil"/>
              <w:right w:val="single" w:sz="8" w:space="0" w:color="auto"/>
            </w:tcBorders>
          </w:tcPr>
          <w:p w14:paraId="598E90FC"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698</w:t>
            </w:r>
          </w:p>
        </w:tc>
        <w:tc>
          <w:tcPr>
            <w:tcW w:w="1134" w:type="dxa"/>
            <w:vMerge w:val="restart"/>
            <w:tcBorders>
              <w:top w:val="single" w:sz="4" w:space="0" w:color="auto"/>
              <w:left w:val="single" w:sz="8" w:space="0" w:color="auto"/>
              <w:bottom w:val="single" w:sz="8" w:space="0" w:color="000000"/>
              <w:right w:val="single" w:sz="8" w:space="0" w:color="auto"/>
            </w:tcBorders>
          </w:tcPr>
          <w:p w14:paraId="4D5D080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4" w:space="0" w:color="auto"/>
              <w:left w:val="nil"/>
              <w:bottom w:val="nil"/>
              <w:right w:val="single" w:sz="8" w:space="0" w:color="000000"/>
            </w:tcBorders>
          </w:tcPr>
          <w:p w14:paraId="050B129A"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717</w:t>
            </w:r>
          </w:p>
        </w:tc>
        <w:tc>
          <w:tcPr>
            <w:tcW w:w="1134" w:type="dxa"/>
            <w:vMerge w:val="restart"/>
            <w:tcBorders>
              <w:top w:val="single" w:sz="4" w:space="0" w:color="auto"/>
              <w:left w:val="single" w:sz="8" w:space="0" w:color="auto"/>
              <w:bottom w:val="single" w:sz="4" w:space="0" w:color="auto"/>
              <w:right w:val="single" w:sz="12" w:space="0" w:color="auto"/>
            </w:tcBorders>
          </w:tcPr>
          <w:p w14:paraId="14D547A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4" w:space="0" w:color="auto"/>
              <w:left w:val="single" w:sz="8" w:space="0" w:color="auto"/>
              <w:right w:val="single" w:sz="12" w:space="0" w:color="auto"/>
            </w:tcBorders>
          </w:tcPr>
          <w:p w14:paraId="552BBEB8" w14:textId="77777777" w:rsidR="00632208" w:rsidRPr="0098635C" w:rsidRDefault="00632208" w:rsidP="00A432B0">
            <w:pPr>
              <w:spacing w:after="0"/>
              <w:jc w:val="center"/>
              <w:rPr>
                <w:color w:val="000000" w:themeColor="text1"/>
                <w:sz w:val="20"/>
                <w:szCs w:val="20"/>
              </w:rPr>
            </w:pPr>
          </w:p>
        </w:tc>
      </w:tr>
      <w:tr w:rsidR="00632208" w:rsidRPr="0098635C" w14:paraId="7AF59FA5" w14:textId="77777777" w:rsidTr="00A432B0">
        <w:trPr>
          <w:trHeight w:val="225"/>
        </w:trPr>
        <w:tc>
          <w:tcPr>
            <w:tcW w:w="1402" w:type="dxa"/>
            <w:vMerge/>
            <w:tcBorders>
              <w:top w:val="nil"/>
              <w:left w:val="single" w:sz="8" w:space="0" w:color="auto"/>
              <w:bottom w:val="single" w:sz="8" w:space="0" w:color="000000"/>
              <w:right w:val="single" w:sz="8" w:space="0" w:color="auto"/>
            </w:tcBorders>
            <w:vAlign w:val="center"/>
          </w:tcPr>
          <w:p w14:paraId="65377859"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nil"/>
              <w:right w:val="single" w:sz="8" w:space="0" w:color="auto"/>
            </w:tcBorders>
          </w:tcPr>
          <w:p w14:paraId="1C10DDE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Hygum</w:t>
            </w:r>
          </w:p>
        </w:tc>
        <w:tc>
          <w:tcPr>
            <w:tcW w:w="709" w:type="dxa"/>
            <w:tcBorders>
              <w:top w:val="nil"/>
              <w:left w:val="nil"/>
              <w:bottom w:val="nil"/>
              <w:right w:val="single" w:sz="8" w:space="0" w:color="auto"/>
            </w:tcBorders>
          </w:tcPr>
          <w:p w14:paraId="4E1DAC2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6.7</w:t>
            </w:r>
          </w:p>
        </w:tc>
        <w:tc>
          <w:tcPr>
            <w:tcW w:w="708" w:type="dxa"/>
            <w:tcBorders>
              <w:top w:val="nil"/>
              <w:left w:val="nil"/>
              <w:bottom w:val="nil"/>
              <w:right w:val="single" w:sz="8" w:space="0" w:color="auto"/>
            </w:tcBorders>
          </w:tcPr>
          <w:p w14:paraId="636227B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nil"/>
              <w:left w:val="nil"/>
              <w:bottom w:val="nil"/>
              <w:right w:val="single" w:sz="8" w:space="0" w:color="auto"/>
            </w:tcBorders>
          </w:tcPr>
          <w:p w14:paraId="479A5F4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nil"/>
              <w:right w:val="single" w:sz="8" w:space="0" w:color="auto"/>
            </w:tcBorders>
          </w:tcPr>
          <w:p w14:paraId="084567A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nil"/>
              <w:left w:val="nil"/>
              <w:bottom w:val="nil"/>
              <w:right w:val="single" w:sz="8" w:space="0" w:color="auto"/>
            </w:tcBorders>
          </w:tcPr>
          <w:p w14:paraId="69A5609B"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992" w:type="dxa"/>
            <w:tcBorders>
              <w:top w:val="nil"/>
              <w:left w:val="nil"/>
              <w:bottom w:val="nil"/>
              <w:right w:val="single" w:sz="8" w:space="0" w:color="auto"/>
            </w:tcBorders>
          </w:tcPr>
          <w:p w14:paraId="0878015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nil"/>
              <w:right w:val="single" w:sz="8" w:space="0" w:color="auto"/>
            </w:tcBorders>
          </w:tcPr>
          <w:p w14:paraId="7ED810B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vMerge/>
            <w:tcBorders>
              <w:top w:val="nil"/>
              <w:left w:val="single" w:sz="8" w:space="0" w:color="auto"/>
              <w:bottom w:val="single" w:sz="8" w:space="0" w:color="000000"/>
              <w:right w:val="single" w:sz="8" w:space="0" w:color="auto"/>
            </w:tcBorders>
            <w:vAlign w:val="center"/>
          </w:tcPr>
          <w:p w14:paraId="42061977" w14:textId="77777777" w:rsidR="00632208" w:rsidRPr="0098635C" w:rsidRDefault="00632208" w:rsidP="00A432B0">
            <w:pPr>
              <w:spacing w:after="0"/>
              <w:rPr>
                <w:color w:val="000000" w:themeColor="text1"/>
                <w:sz w:val="20"/>
                <w:szCs w:val="20"/>
              </w:rPr>
            </w:pPr>
          </w:p>
        </w:tc>
        <w:tc>
          <w:tcPr>
            <w:tcW w:w="851" w:type="dxa"/>
            <w:tcBorders>
              <w:top w:val="nil"/>
              <w:left w:val="nil"/>
              <w:bottom w:val="nil"/>
              <w:right w:val="single" w:sz="8" w:space="0" w:color="auto"/>
            </w:tcBorders>
          </w:tcPr>
          <w:p w14:paraId="7F0BD41A"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776</w:t>
            </w:r>
          </w:p>
        </w:tc>
        <w:tc>
          <w:tcPr>
            <w:tcW w:w="1134" w:type="dxa"/>
            <w:vMerge/>
            <w:tcBorders>
              <w:top w:val="nil"/>
              <w:left w:val="single" w:sz="8" w:space="0" w:color="auto"/>
              <w:bottom w:val="single" w:sz="8" w:space="0" w:color="000000"/>
              <w:right w:val="single" w:sz="8" w:space="0" w:color="auto"/>
            </w:tcBorders>
            <w:vAlign w:val="center"/>
          </w:tcPr>
          <w:p w14:paraId="03D4DC8A" w14:textId="77777777" w:rsidR="00632208" w:rsidRPr="0098635C" w:rsidRDefault="00632208" w:rsidP="00A432B0">
            <w:pPr>
              <w:spacing w:after="0"/>
              <w:rPr>
                <w:color w:val="000000" w:themeColor="text1"/>
                <w:sz w:val="20"/>
                <w:szCs w:val="20"/>
              </w:rPr>
            </w:pPr>
          </w:p>
        </w:tc>
        <w:tc>
          <w:tcPr>
            <w:tcW w:w="850" w:type="dxa"/>
            <w:tcBorders>
              <w:top w:val="nil"/>
              <w:left w:val="nil"/>
              <w:bottom w:val="nil"/>
              <w:right w:val="single" w:sz="8" w:space="0" w:color="000000"/>
            </w:tcBorders>
          </w:tcPr>
          <w:p w14:paraId="181D4D9C"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795</w:t>
            </w:r>
          </w:p>
        </w:tc>
        <w:tc>
          <w:tcPr>
            <w:tcW w:w="1134" w:type="dxa"/>
            <w:vMerge/>
            <w:tcBorders>
              <w:top w:val="single" w:sz="4" w:space="0" w:color="auto"/>
              <w:left w:val="single" w:sz="8" w:space="0" w:color="auto"/>
              <w:bottom w:val="single" w:sz="4" w:space="0" w:color="auto"/>
              <w:right w:val="single" w:sz="12" w:space="0" w:color="auto"/>
            </w:tcBorders>
            <w:vAlign w:val="center"/>
          </w:tcPr>
          <w:p w14:paraId="37372B58" w14:textId="77777777" w:rsidR="00632208" w:rsidRPr="0098635C" w:rsidRDefault="00632208" w:rsidP="00A432B0">
            <w:pPr>
              <w:spacing w:after="0"/>
              <w:rPr>
                <w:color w:val="000000" w:themeColor="text1"/>
                <w:sz w:val="20"/>
                <w:szCs w:val="20"/>
              </w:rPr>
            </w:pPr>
          </w:p>
        </w:tc>
        <w:tc>
          <w:tcPr>
            <w:tcW w:w="1985" w:type="dxa"/>
            <w:tcBorders>
              <w:left w:val="single" w:sz="8" w:space="0" w:color="auto"/>
              <w:right w:val="single" w:sz="12" w:space="0" w:color="auto"/>
            </w:tcBorders>
          </w:tcPr>
          <w:p w14:paraId="5A86A85B" w14:textId="77777777" w:rsidR="00632208" w:rsidRPr="0098635C" w:rsidRDefault="00632208" w:rsidP="00A432B0">
            <w:pPr>
              <w:spacing w:after="0"/>
              <w:rPr>
                <w:color w:val="000000" w:themeColor="text1"/>
                <w:sz w:val="20"/>
                <w:szCs w:val="20"/>
              </w:rPr>
            </w:pPr>
          </w:p>
        </w:tc>
      </w:tr>
      <w:tr w:rsidR="00632208" w:rsidRPr="0098635C" w14:paraId="1E4D7650" w14:textId="77777777" w:rsidTr="00A432B0">
        <w:trPr>
          <w:trHeight w:val="225"/>
        </w:trPr>
        <w:tc>
          <w:tcPr>
            <w:tcW w:w="1402" w:type="dxa"/>
            <w:vMerge/>
            <w:tcBorders>
              <w:top w:val="nil"/>
              <w:left w:val="single" w:sz="8" w:space="0" w:color="auto"/>
              <w:bottom w:val="single" w:sz="8" w:space="0" w:color="000000"/>
              <w:right w:val="single" w:sz="8" w:space="0" w:color="auto"/>
            </w:tcBorders>
            <w:vAlign w:val="center"/>
          </w:tcPr>
          <w:p w14:paraId="3BFA6F0F"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nil"/>
              <w:right w:val="single" w:sz="8" w:space="0" w:color="auto"/>
            </w:tcBorders>
          </w:tcPr>
          <w:p w14:paraId="11835E81" w14:textId="77777777" w:rsidR="00632208" w:rsidRPr="0098635C" w:rsidRDefault="00632208" w:rsidP="00A432B0">
            <w:pPr>
              <w:spacing w:after="0"/>
              <w:rPr>
                <w:color w:val="000000" w:themeColor="text1"/>
                <w:sz w:val="20"/>
                <w:szCs w:val="20"/>
              </w:rPr>
            </w:pPr>
            <w:r w:rsidRPr="0098635C">
              <w:rPr>
                <w:color w:val="000000" w:themeColor="text1"/>
                <w:sz w:val="20"/>
                <w:szCs w:val="20"/>
              </w:rPr>
              <w:t> </w:t>
            </w:r>
          </w:p>
        </w:tc>
        <w:tc>
          <w:tcPr>
            <w:tcW w:w="709" w:type="dxa"/>
            <w:tcBorders>
              <w:top w:val="nil"/>
              <w:left w:val="nil"/>
              <w:bottom w:val="nil"/>
              <w:right w:val="single" w:sz="8" w:space="0" w:color="auto"/>
            </w:tcBorders>
          </w:tcPr>
          <w:p w14:paraId="77CD3C5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6.7</w:t>
            </w:r>
          </w:p>
        </w:tc>
        <w:tc>
          <w:tcPr>
            <w:tcW w:w="708" w:type="dxa"/>
            <w:tcBorders>
              <w:top w:val="nil"/>
              <w:left w:val="nil"/>
              <w:bottom w:val="nil"/>
              <w:right w:val="single" w:sz="8" w:space="0" w:color="auto"/>
            </w:tcBorders>
          </w:tcPr>
          <w:p w14:paraId="1791191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w:t>
            </w:r>
          </w:p>
        </w:tc>
        <w:tc>
          <w:tcPr>
            <w:tcW w:w="709" w:type="dxa"/>
            <w:tcBorders>
              <w:top w:val="nil"/>
              <w:left w:val="nil"/>
              <w:bottom w:val="nil"/>
              <w:right w:val="single" w:sz="8" w:space="0" w:color="auto"/>
            </w:tcBorders>
          </w:tcPr>
          <w:p w14:paraId="347C83D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nil"/>
              <w:right w:val="single" w:sz="8" w:space="0" w:color="auto"/>
            </w:tcBorders>
          </w:tcPr>
          <w:p w14:paraId="27D9911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nil"/>
              <w:left w:val="nil"/>
              <w:bottom w:val="nil"/>
              <w:right w:val="single" w:sz="8" w:space="0" w:color="auto"/>
            </w:tcBorders>
          </w:tcPr>
          <w:p w14:paraId="609FE09E"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992" w:type="dxa"/>
            <w:tcBorders>
              <w:top w:val="nil"/>
              <w:left w:val="nil"/>
              <w:bottom w:val="nil"/>
              <w:right w:val="single" w:sz="8" w:space="0" w:color="auto"/>
            </w:tcBorders>
          </w:tcPr>
          <w:p w14:paraId="7078EF4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nil"/>
              <w:right w:val="single" w:sz="8" w:space="0" w:color="auto"/>
            </w:tcBorders>
          </w:tcPr>
          <w:p w14:paraId="6A7F72F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vMerge/>
            <w:tcBorders>
              <w:top w:val="nil"/>
              <w:left w:val="single" w:sz="8" w:space="0" w:color="auto"/>
              <w:bottom w:val="single" w:sz="8" w:space="0" w:color="000000"/>
              <w:right w:val="single" w:sz="8" w:space="0" w:color="auto"/>
            </w:tcBorders>
            <w:vAlign w:val="center"/>
          </w:tcPr>
          <w:p w14:paraId="366B6725" w14:textId="77777777" w:rsidR="00632208" w:rsidRPr="0098635C" w:rsidRDefault="00632208" w:rsidP="00A432B0">
            <w:pPr>
              <w:spacing w:after="0"/>
              <w:rPr>
                <w:color w:val="000000" w:themeColor="text1"/>
                <w:sz w:val="20"/>
                <w:szCs w:val="20"/>
              </w:rPr>
            </w:pPr>
          </w:p>
        </w:tc>
        <w:tc>
          <w:tcPr>
            <w:tcW w:w="851" w:type="dxa"/>
            <w:tcBorders>
              <w:top w:val="nil"/>
              <w:left w:val="nil"/>
              <w:bottom w:val="nil"/>
              <w:right w:val="single" w:sz="8" w:space="0" w:color="auto"/>
            </w:tcBorders>
          </w:tcPr>
          <w:p w14:paraId="5160CD5C"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888</w:t>
            </w:r>
          </w:p>
        </w:tc>
        <w:tc>
          <w:tcPr>
            <w:tcW w:w="1134" w:type="dxa"/>
            <w:vMerge/>
            <w:tcBorders>
              <w:top w:val="nil"/>
              <w:left w:val="single" w:sz="8" w:space="0" w:color="auto"/>
              <w:bottom w:val="single" w:sz="8" w:space="0" w:color="000000"/>
              <w:right w:val="single" w:sz="8" w:space="0" w:color="auto"/>
            </w:tcBorders>
            <w:vAlign w:val="center"/>
          </w:tcPr>
          <w:p w14:paraId="09B310E0" w14:textId="77777777" w:rsidR="00632208" w:rsidRPr="0098635C" w:rsidRDefault="00632208" w:rsidP="00A432B0">
            <w:pPr>
              <w:spacing w:after="0"/>
              <w:rPr>
                <w:color w:val="000000" w:themeColor="text1"/>
                <w:sz w:val="20"/>
                <w:szCs w:val="20"/>
              </w:rPr>
            </w:pPr>
          </w:p>
        </w:tc>
        <w:tc>
          <w:tcPr>
            <w:tcW w:w="850" w:type="dxa"/>
            <w:tcBorders>
              <w:top w:val="nil"/>
              <w:left w:val="nil"/>
              <w:bottom w:val="nil"/>
              <w:right w:val="single" w:sz="8" w:space="0" w:color="000000"/>
            </w:tcBorders>
          </w:tcPr>
          <w:p w14:paraId="359B1BAC"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907</w:t>
            </w:r>
          </w:p>
        </w:tc>
        <w:tc>
          <w:tcPr>
            <w:tcW w:w="1134" w:type="dxa"/>
            <w:vMerge/>
            <w:tcBorders>
              <w:top w:val="single" w:sz="4" w:space="0" w:color="auto"/>
              <w:left w:val="single" w:sz="8" w:space="0" w:color="auto"/>
              <w:bottom w:val="single" w:sz="4" w:space="0" w:color="auto"/>
              <w:right w:val="single" w:sz="12" w:space="0" w:color="auto"/>
            </w:tcBorders>
            <w:vAlign w:val="center"/>
          </w:tcPr>
          <w:p w14:paraId="1A81551A" w14:textId="77777777" w:rsidR="00632208" w:rsidRPr="0098635C" w:rsidRDefault="00632208" w:rsidP="00A432B0">
            <w:pPr>
              <w:spacing w:after="0"/>
              <w:rPr>
                <w:color w:val="000000" w:themeColor="text1"/>
                <w:sz w:val="20"/>
                <w:szCs w:val="20"/>
              </w:rPr>
            </w:pPr>
          </w:p>
        </w:tc>
        <w:tc>
          <w:tcPr>
            <w:tcW w:w="1985" w:type="dxa"/>
            <w:tcBorders>
              <w:left w:val="single" w:sz="8" w:space="0" w:color="auto"/>
              <w:right w:val="single" w:sz="12" w:space="0" w:color="auto"/>
            </w:tcBorders>
          </w:tcPr>
          <w:p w14:paraId="6EAA8216" w14:textId="77777777" w:rsidR="00632208" w:rsidRPr="0098635C" w:rsidRDefault="00632208" w:rsidP="00A432B0">
            <w:pPr>
              <w:spacing w:after="0"/>
              <w:rPr>
                <w:color w:val="000000" w:themeColor="text1"/>
                <w:sz w:val="20"/>
                <w:szCs w:val="20"/>
              </w:rPr>
            </w:pPr>
            <w:r w:rsidRPr="0098635C">
              <w:rPr>
                <w:color w:val="000000" w:themeColor="text1"/>
                <w:sz w:val="20"/>
                <w:szCs w:val="20"/>
              </w:rPr>
              <w:t>Pedersen et al., 2001</w:t>
            </w:r>
          </w:p>
        </w:tc>
      </w:tr>
      <w:tr w:rsidR="00632208" w:rsidRPr="0098635C" w14:paraId="70D9DD7B" w14:textId="77777777" w:rsidTr="00A432B0">
        <w:trPr>
          <w:trHeight w:val="225"/>
        </w:trPr>
        <w:tc>
          <w:tcPr>
            <w:tcW w:w="1402" w:type="dxa"/>
            <w:vMerge/>
            <w:tcBorders>
              <w:top w:val="nil"/>
              <w:left w:val="single" w:sz="8" w:space="0" w:color="auto"/>
              <w:bottom w:val="single" w:sz="8" w:space="0" w:color="000000"/>
              <w:right w:val="single" w:sz="8" w:space="0" w:color="auto"/>
            </w:tcBorders>
            <w:vAlign w:val="center"/>
          </w:tcPr>
          <w:p w14:paraId="1CC09955"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nil"/>
              <w:right w:val="single" w:sz="8" w:space="0" w:color="auto"/>
            </w:tcBorders>
          </w:tcPr>
          <w:p w14:paraId="23C7032F" w14:textId="77777777" w:rsidR="00632208" w:rsidRPr="0098635C" w:rsidRDefault="00632208" w:rsidP="00A432B0">
            <w:pPr>
              <w:spacing w:after="0"/>
              <w:rPr>
                <w:color w:val="000000" w:themeColor="text1"/>
                <w:sz w:val="20"/>
                <w:szCs w:val="20"/>
              </w:rPr>
            </w:pPr>
            <w:r w:rsidRPr="0098635C">
              <w:rPr>
                <w:color w:val="000000" w:themeColor="text1"/>
                <w:sz w:val="20"/>
                <w:szCs w:val="20"/>
              </w:rPr>
              <w:t> </w:t>
            </w:r>
          </w:p>
        </w:tc>
        <w:tc>
          <w:tcPr>
            <w:tcW w:w="709" w:type="dxa"/>
            <w:tcBorders>
              <w:top w:val="nil"/>
              <w:left w:val="nil"/>
              <w:bottom w:val="nil"/>
              <w:right w:val="single" w:sz="8" w:space="0" w:color="auto"/>
            </w:tcBorders>
          </w:tcPr>
          <w:p w14:paraId="24D1E97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w:t>
            </w:r>
          </w:p>
        </w:tc>
        <w:tc>
          <w:tcPr>
            <w:tcW w:w="708" w:type="dxa"/>
            <w:tcBorders>
              <w:top w:val="nil"/>
              <w:left w:val="nil"/>
              <w:bottom w:val="nil"/>
              <w:right w:val="single" w:sz="8" w:space="0" w:color="auto"/>
            </w:tcBorders>
          </w:tcPr>
          <w:p w14:paraId="23F6F17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nil"/>
              <w:left w:val="nil"/>
              <w:bottom w:val="nil"/>
              <w:right w:val="single" w:sz="8" w:space="0" w:color="auto"/>
            </w:tcBorders>
          </w:tcPr>
          <w:p w14:paraId="539B587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nil"/>
              <w:right w:val="single" w:sz="8" w:space="0" w:color="auto"/>
            </w:tcBorders>
          </w:tcPr>
          <w:p w14:paraId="099EE54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nil"/>
              <w:left w:val="nil"/>
              <w:bottom w:val="nil"/>
              <w:right w:val="single" w:sz="8" w:space="0" w:color="auto"/>
            </w:tcBorders>
          </w:tcPr>
          <w:p w14:paraId="2FCF29F7"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992" w:type="dxa"/>
            <w:tcBorders>
              <w:top w:val="nil"/>
              <w:left w:val="nil"/>
              <w:bottom w:val="nil"/>
              <w:right w:val="single" w:sz="8" w:space="0" w:color="auto"/>
            </w:tcBorders>
          </w:tcPr>
          <w:p w14:paraId="3989B9A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nil"/>
              <w:right w:val="single" w:sz="8" w:space="0" w:color="auto"/>
            </w:tcBorders>
          </w:tcPr>
          <w:p w14:paraId="73A41C1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vMerge/>
            <w:tcBorders>
              <w:top w:val="nil"/>
              <w:left w:val="single" w:sz="8" w:space="0" w:color="auto"/>
              <w:bottom w:val="single" w:sz="8" w:space="0" w:color="000000"/>
              <w:right w:val="single" w:sz="8" w:space="0" w:color="auto"/>
            </w:tcBorders>
            <w:vAlign w:val="center"/>
          </w:tcPr>
          <w:p w14:paraId="79D6E284" w14:textId="77777777" w:rsidR="00632208" w:rsidRPr="0098635C" w:rsidRDefault="00632208" w:rsidP="00A432B0">
            <w:pPr>
              <w:spacing w:after="0"/>
              <w:rPr>
                <w:color w:val="000000" w:themeColor="text1"/>
                <w:sz w:val="20"/>
                <w:szCs w:val="20"/>
              </w:rPr>
            </w:pPr>
          </w:p>
        </w:tc>
        <w:tc>
          <w:tcPr>
            <w:tcW w:w="851" w:type="dxa"/>
            <w:tcBorders>
              <w:top w:val="nil"/>
              <w:left w:val="nil"/>
              <w:bottom w:val="nil"/>
              <w:right w:val="single" w:sz="8" w:space="0" w:color="auto"/>
            </w:tcBorders>
          </w:tcPr>
          <w:p w14:paraId="43BCD079"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648</w:t>
            </w:r>
          </w:p>
        </w:tc>
        <w:tc>
          <w:tcPr>
            <w:tcW w:w="1134" w:type="dxa"/>
            <w:vMerge/>
            <w:tcBorders>
              <w:top w:val="nil"/>
              <w:left w:val="single" w:sz="8" w:space="0" w:color="auto"/>
              <w:bottom w:val="single" w:sz="8" w:space="0" w:color="000000"/>
              <w:right w:val="single" w:sz="8" w:space="0" w:color="auto"/>
            </w:tcBorders>
            <w:vAlign w:val="center"/>
          </w:tcPr>
          <w:p w14:paraId="3D9688CD" w14:textId="77777777" w:rsidR="00632208" w:rsidRPr="0098635C" w:rsidRDefault="00632208" w:rsidP="00A432B0">
            <w:pPr>
              <w:spacing w:after="0"/>
              <w:rPr>
                <w:color w:val="000000" w:themeColor="text1"/>
                <w:sz w:val="20"/>
                <w:szCs w:val="20"/>
              </w:rPr>
            </w:pPr>
          </w:p>
        </w:tc>
        <w:tc>
          <w:tcPr>
            <w:tcW w:w="850" w:type="dxa"/>
            <w:tcBorders>
              <w:top w:val="nil"/>
              <w:left w:val="nil"/>
              <w:bottom w:val="nil"/>
              <w:right w:val="single" w:sz="8" w:space="0" w:color="000000"/>
            </w:tcBorders>
          </w:tcPr>
          <w:p w14:paraId="530AE7F4"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667</w:t>
            </w:r>
          </w:p>
        </w:tc>
        <w:tc>
          <w:tcPr>
            <w:tcW w:w="1134" w:type="dxa"/>
            <w:vMerge/>
            <w:tcBorders>
              <w:top w:val="single" w:sz="4" w:space="0" w:color="auto"/>
              <w:left w:val="single" w:sz="8" w:space="0" w:color="auto"/>
              <w:bottom w:val="single" w:sz="4" w:space="0" w:color="auto"/>
              <w:right w:val="single" w:sz="12" w:space="0" w:color="auto"/>
            </w:tcBorders>
            <w:vAlign w:val="center"/>
          </w:tcPr>
          <w:p w14:paraId="6471606B" w14:textId="77777777" w:rsidR="00632208" w:rsidRPr="0098635C" w:rsidRDefault="00632208" w:rsidP="00A432B0">
            <w:pPr>
              <w:spacing w:after="0"/>
              <w:rPr>
                <w:color w:val="000000" w:themeColor="text1"/>
                <w:sz w:val="20"/>
                <w:szCs w:val="20"/>
              </w:rPr>
            </w:pPr>
          </w:p>
        </w:tc>
        <w:tc>
          <w:tcPr>
            <w:tcW w:w="1985" w:type="dxa"/>
            <w:tcBorders>
              <w:left w:val="single" w:sz="8" w:space="0" w:color="auto"/>
              <w:right w:val="single" w:sz="12" w:space="0" w:color="auto"/>
            </w:tcBorders>
          </w:tcPr>
          <w:p w14:paraId="6C8CCE79" w14:textId="77777777" w:rsidR="00632208" w:rsidRPr="0098635C" w:rsidRDefault="00632208" w:rsidP="00A432B0">
            <w:pPr>
              <w:spacing w:after="0"/>
              <w:rPr>
                <w:color w:val="000000" w:themeColor="text1"/>
                <w:sz w:val="20"/>
                <w:szCs w:val="20"/>
              </w:rPr>
            </w:pPr>
          </w:p>
        </w:tc>
      </w:tr>
      <w:tr w:rsidR="00632208" w:rsidRPr="0098635C" w14:paraId="1ADD9354"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7112BCAE"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76DD48EF" w14:textId="77777777" w:rsidR="00632208" w:rsidRPr="0098635C" w:rsidRDefault="00632208" w:rsidP="00A432B0">
            <w:pPr>
              <w:spacing w:after="0"/>
              <w:rPr>
                <w:color w:val="000000" w:themeColor="text1"/>
                <w:sz w:val="20"/>
                <w:szCs w:val="20"/>
              </w:rPr>
            </w:pPr>
            <w:r w:rsidRPr="0098635C">
              <w:rPr>
                <w:color w:val="000000" w:themeColor="text1"/>
                <w:sz w:val="20"/>
                <w:szCs w:val="20"/>
              </w:rPr>
              <w:t> </w:t>
            </w:r>
          </w:p>
        </w:tc>
        <w:tc>
          <w:tcPr>
            <w:tcW w:w="709" w:type="dxa"/>
            <w:tcBorders>
              <w:top w:val="nil"/>
              <w:left w:val="nil"/>
              <w:bottom w:val="single" w:sz="8" w:space="0" w:color="auto"/>
              <w:right w:val="single" w:sz="8" w:space="0" w:color="auto"/>
            </w:tcBorders>
          </w:tcPr>
          <w:p w14:paraId="2243DE0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w:t>
            </w:r>
          </w:p>
        </w:tc>
        <w:tc>
          <w:tcPr>
            <w:tcW w:w="708" w:type="dxa"/>
            <w:tcBorders>
              <w:top w:val="nil"/>
              <w:left w:val="nil"/>
              <w:bottom w:val="single" w:sz="8" w:space="0" w:color="auto"/>
              <w:right w:val="single" w:sz="8" w:space="0" w:color="auto"/>
            </w:tcBorders>
          </w:tcPr>
          <w:p w14:paraId="20AA81D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nil"/>
              <w:left w:val="nil"/>
              <w:bottom w:val="single" w:sz="8" w:space="0" w:color="auto"/>
              <w:right w:val="single" w:sz="8" w:space="0" w:color="auto"/>
            </w:tcBorders>
          </w:tcPr>
          <w:p w14:paraId="4844359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7BC931A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nil"/>
              <w:left w:val="nil"/>
              <w:bottom w:val="single" w:sz="8" w:space="0" w:color="auto"/>
              <w:right w:val="single" w:sz="8" w:space="0" w:color="auto"/>
            </w:tcBorders>
          </w:tcPr>
          <w:p w14:paraId="7081E1C6"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992" w:type="dxa"/>
            <w:tcBorders>
              <w:top w:val="nil"/>
              <w:left w:val="nil"/>
              <w:bottom w:val="single" w:sz="8" w:space="0" w:color="auto"/>
              <w:right w:val="single" w:sz="8" w:space="0" w:color="auto"/>
            </w:tcBorders>
          </w:tcPr>
          <w:p w14:paraId="41BF6589" w14:textId="77777777" w:rsidR="00632208" w:rsidRPr="0098635C" w:rsidRDefault="00632208" w:rsidP="00A432B0">
            <w:pPr>
              <w:spacing w:after="0"/>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66A7154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vMerge/>
            <w:tcBorders>
              <w:top w:val="nil"/>
              <w:left w:val="single" w:sz="8" w:space="0" w:color="auto"/>
              <w:bottom w:val="single" w:sz="8" w:space="0" w:color="000000"/>
              <w:right w:val="single" w:sz="8" w:space="0" w:color="auto"/>
            </w:tcBorders>
            <w:vAlign w:val="center"/>
          </w:tcPr>
          <w:p w14:paraId="32E937B0" w14:textId="77777777" w:rsidR="00632208" w:rsidRPr="0098635C" w:rsidRDefault="00632208" w:rsidP="00A432B0">
            <w:pPr>
              <w:spacing w:after="0"/>
              <w:rPr>
                <w:color w:val="000000" w:themeColor="text1"/>
                <w:sz w:val="20"/>
                <w:szCs w:val="20"/>
              </w:rPr>
            </w:pPr>
          </w:p>
        </w:tc>
        <w:tc>
          <w:tcPr>
            <w:tcW w:w="851" w:type="dxa"/>
            <w:tcBorders>
              <w:top w:val="nil"/>
              <w:left w:val="nil"/>
              <w:bottom w:val="single" w:sz="8" w:space="0" w:color="auto"/>
              <w:right w:val="single" w:sz="8" w:space="0" w:color="auto"/>
            </w:tcBorders>
          </w:tcPr>
          <w:p w14:paraId="380A396C"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688</w:t>
            </w:r>
          </w:p>
        </w:tc>
        <w:tc>
          <w:tcPr>
            <w:tcW w:w="1134" w:type="dxa"/>
            <w:vMerge/>
            <w:tcBorders>
              <w:top w:val="nil"/>
              <w:left w:val="single" w:sz="8" w:space="0" w:color="auto"/>
              <w:bottom w:val="single" w:sz="8" w:space="0" w:color="000000"/>
              <w:right w:val="single" w:sz="8" w:space="0" w:color="auto"/>
            </w:tcBorders>
            <w:vAlign w:val="center"/>
          </w:tcPr>
          <w:p w14:paraId="7B49BFF1" w14:textId="77777777" w:rsidR="00632208" w:rsidRPr="0098635C" w:rsidRDefault="00632208" w:rsidP="00A432B0">
            <w:pPr>
              <w:spacing w:after="0"/>
              <w:rPr>
                <w:color w:val="000000" w:themeColor="text1"/>
                <w:sz w:val="20"/>
                <w:szCs w:val="20"/>
              </w:rPr>
            </w:pPr>
          </w:p>
        </w:tc>
        <w:tc>
          <w:tcPr>
            <w:tcW w:w="850" w:type="dxa"/>
            <w:tcBorders>
              <w:top w:val="nil"/>
              <w:left w:val="nil"/>
              <w:bottom w:val="single" w:sz="8" w:space="0" w:color="auto"/>
              <w:right w:val="single" w:sz="8" w:space="0" w:color="000000"/>
            </w:tcBorders>
          </w:tcPr>
          <w:p w14:paraId="57558D57"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707</w:t>
            </w:r>
          </w:p>
        </w:tc>
        <w:tc>
          <w:tcPr>
            <w:tcW w:w="1134" w:type="dxa"/>
            <w:vMerge/>
            <w:tcBorders>
              <w:top w:val="single" w:sz="4" w:space="0" w:color="auto"/>
              <w:left w:val="single" w:sz="8" w:space="0" w:color="auto"/>
              <w:bottom w:val="single" w:sz="4" w:space="0" w:color="auto"/>
              <w:right w:val="single" w:sz="12" w:space="0" w:color="auto"/>
            </w:tcBorders>
            <w:vAlign w:val="center"/>
          </w:tcPr>
          <w:p w14:paraId="081C2823" w14:textId="77777777" w:rsidR="00632208" w:rsidRPr="0098635C" w:rsidRDefault="00632208" w:rsidP="00A432B0">
            <w:pPr>
              <w:spacing w:after="0"/>
              <w:rPr>
                <w:color w:val="000000" w:themeColor="text1"/>
                <w:sz w:val="20"/>
                <w:szCs w:val="20"/>
              </w:rPr>
            </w:pPr>
          </w:p>
        </w:tc>
        <w:tc>
          <w:tcPr>
            <w:tcW w:w="1985" w:type="dxa"/>
            <w:tcBorders>
              <w:left w:val="single" w:sz="8" w:space="0" w:color="auto"/>
              <w:bottom w:val="single" w:sz="4" w:space="0" w:color="auto"/>
              <w:right w:val="single" w:sz="12" w:space="0" w:color="auto"/>
            </w:tcBorders>
          </w:tcPr>
          <w:p w14:paraId="3B3C7EE9" w14:textId="77777777" w:rsidR="00632208" w:rsidRPr="0098635C" w:rsidRDefault="00632208" w:rsidP="00A432B0">
            <w:pPr>
              <w:spacing w:after="0"/>
              <w:rPr>
                <w:color w:val="000000" w:themeColor="text1"/>
                <w:sz w:val="20"/>
                <w:szCs w:val="20"/>
              </w:rPr>
            </w:pPr>
          </w:p>
        </w:tc>
      </w:tr>
      <w:tr w:rsidR="00632208" w:rsidRPr="0098635C" w14:paraId="2D566C20" w14:textId="77777777" w:rsidTr="00A432B0">
        <w:trPr>
          <w:trHeight w:val="463"/>
        </w:trPr>
        <w:tc>
          <w:tcPr>
            <w:tcW w:w="1402" w:type="dxa"/>
            <w:tcBorders>
              <w:top w:val="nil"/>
              <w:left w:val="single" w:sz="8" w:space="0" w:color="auto"/>
              <w:bottom w:val="single" w:sz="8" w:space="0" w:color="auto"/>
              <w:right w:val="single" w:sz="8" w:space="0" w:color="auto"/>
            </w:tcBorders>
          </w:tcPr>
          <w:p w14:paraId="4169B975"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single" w:sz="8" w:space="0" w:color="auto"/>
              <w:right w:val="single" w:sz="8" w:space="0" w:color="auto"/>
            </w:tcBorders>
          </w:tcPr>
          <w:p w14:paraId="0FFCA35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artificial OECD soil</w:t>
            </w:r>
          </w:p>
        </w:tc>
        <w:tc>
          <w:tcPr>
            <w:tcW w:w="709" w:type="dxa"/>
            <w:tcBorders>
              <w:top w:val="nil"/>
              <w:left w:val="nil"/>
              <w:bottom w:val="single" w:sz="8" w:space="0" w:color="auto"/>
              <w:right w:val="single" w:sz="8" w:space="0" w:color="auto"/>
            </w:tcBorders>
          </w:tcPr>
          <w:p w14:paraId="6A12C7F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w:t>
            </w:r>
          </w:p>
        </w:tc>
        <w:tc>
          <w:tcPr>
            <w:tcW w:w="708" w:type="dxa"/>
            <w:tcBorders>
              <w:top w:val="nil"/>
              <w:left w:val="nil"/>
              <w:bottom w:val="single" w:sz="8" w:space="0" w:color="auto"/>
              <w:right w:val="single" w:sz="8" w:space="0" w:color="auto"/>
            </w:tcBorders>
          </w:tcPr>
          <w:p w14:paraId="6D8D877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13.8</w:t>
            </w:r>
          </w:p>
        </w:tc>
        <w:tc>
          <w:tcPr>
            <w:tcW w:w="709" w:type="dxa"/>
            <w:tcBorders>
              <w:top w:val="nil"/>
              <w:left w:val="nil"/>
              <w:bottom w:val="single" w:sz="8" w:space="0" w:color="auto"/>
              <w:right w:val="single" w:sz="8" w:space="0" w:color="auto"/>
            </w:tcBorders>
          </w:tcPr>
          <w:p w14:paraId="699310C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49F6E095"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850" w:type="dxa"/>
            <w:tcBorders>
              <w:top w:val="nil"/>
              <w:left w:val="nil"/>
              <w:bottom w:val="single" w:sz="8" w:space="0" w:color="auto"/>
              <w:right w:val="single" w:sz="8" w:space="0" w:color="auto"/>
            </w:tcBorders>
          </w:tcPr>
          <w:p w14:paraId="1F128282"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992" w:type="dxa"/>
            <w:tcBorders>
              <w:top w:val="nil"/>
              <w:left w:val="nil"/>
              <w:bottom w:val="single" w:sz="8" w:space="0" w:color="auto"/>
              <w:right w:val="single" w:sz="8" w:space="0" w:color="auto"/>
            </w:tcBorders>
          </w:tcPr>
          <w:p w14:paraId="2425688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4A28D35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single" w:sz="8" w:space="0" w:color="auto"/>
              <w:right w:val="single" w:sz="8" w:space="0" w:color="auto"/>
            </w:tcBorders>
          </w:tcPr>
          <w:p w14:paraId="1B3FD26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ri</w:t>
            </w:r>
          </w:p>
        </w:tc>
        <w:tc>
          <w:tcPr>
            <w:tcW w:w="851" w:type="dxa"/>
            <w:tcBorders>
              <w:top w:val="nil"/>
              <w:left w:val="nil"/>
              <w:bottom w:val="single" w:sz="8" w:space="0" w:color="auto"/>
              <w:right w:val="single" w:sz="8" w:space="0" w:color="auto"/>
            </w:tcBorders>
          </w:tcPr>
          <w:p w14:paraId="7A7846B5"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796.8</w:t>
            </w:r>
          </w:p>
        </w:tc>
        <w:tc>
          <w:tcPr>
            <w:tcW w:w="1134" w:type="dxa"/>
            <w:tcBorders>
              <w:top w:val="nil"/>
              <w:left w:val="nil"/>
              <w:bottom w:val="single" w:sz="8" w:space="0" w:color="auto"/>
              <w:right w:val="single" w:sz="8" w:space="0" w:color="auto"/>
            </w:tcBorders>
          </w:tcPr>
          <w:p w14:paraId="733D86E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1A6D8DE9"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800</w:t>
            </w:r>
          </w:p>
        </w:tc>
        <w:tc>
          <w:tcPr>
            <w:tcW w:w="1134" w:type="dxa"/>
            <w:tcBorders>
              <w:top w:val="single" w:sz="4" w:space="0" w:color="auto"/>
              <w:left w:val="nil"/>
              <w:bottom w:val="single" w:sz="4" w:space="0" w:color="auto"/>
              <w:right w:val="single" w:sz="12" w:space="0" w:color="auto"/>
            </w:tcBorders>
          </w:tcPr>
          <w:p w14:paraId="77E9E17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4" w:space="0" w:color="auto"/>
              <w:left w:val="nil"/>
              <w:bottom w:val="single" w:sz="4" w:space="0" w:color="auto"/>
              <w:right w:val="single" w:sz="12" w:space="0" w:color="auto"/>
            </w:tcBorders>
          </w:tcPr>
          <w:p w14:paraId="627B401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Herbert et al, 2004.</w:t>
            </w:r>
          </w:p>
        </w:tc>
      </w:tr>
      <w:tr w:rsidR="00632208" w:rsidRPr="0098635C" w14:paraId="0AA5C522" w14:textId="77777777" w:rsidTr="00A432B0">
        <w:trPr>
          <w:trHeight w:val="463"/>
        </w:trPr>
        <w:tc>
          <w:tcPr>
            <w:tcW w:w="1402" w:type="dxa"/>
            <w:tcBorders>
              <w:top w:val="nil"/>
              <w:left w:val="single" w:sz="8" w:space="0" w:color="auto"/>
              <w:bottom w:val="single" w:sz="8" w:space="0" w:color="auto"/>
              <w:right w:val="single" w:sz="8" w:space="0" w:color="auto"/>
            </w:tcBorders>
          </w:tcPr>
          <w:p w14:paraId="677EE32F"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lastRenderedPageBreak/>
              <w:t>Hypoaspis aculeifer</w:t>
            </w:r>
          </w:p>
        </w:tc>
        <w:tc>
          <w:tcPr>
            <w:tcW w:w="1276" w:type="dxa"/>
            <w:tcBorders>
              <w:top w:val="nil"/>
              <w:left w:val="nil"/>
              <w:bottom w:val="single" w:sz="8" w:space="0" w:color="auto"/>
              <w:right w:val="single" w:sz="8" w:space="0" w:color="auto"/>
            </w:tcBorders>
          </w:tcPr>
          <w:p w14:paraId="09DE80E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LUFA 2.2</w:t>
            </w:r>
          </w:p>
        </w:tc>
        <w:tc>
          <w:tcPr>
            <w:tcW w:w="709" w:type="dxa"/>
            <w:tcBorders>
              <w:top w:val="nil"/>
              <w:left w:val="nil"/>
              <w:bottom w:val="single" w:sz="8" w:space="0" w:color="auto"/>
              <w:right w:val="single" w:sz="8" w:space="0" w:color="auto"/>
            </w:tcBorders>
          </w:tcPr>
          <w:p w14:paraId="3804F1C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13.8</w:t>
            </w:r>
          </w:p>
        </w:tc>
        <w:tc>
          <w:tcPr>
            <w:tcW w:w="708" w:type="dxa"/>
            <w:tcBorders>
              <w:top w:val="nil"/>
              <w:left w:val="nil"/>
              <w:bottom w:val="single" w:sz="8" w:space="0" w:color="auto"/>
              <w:right w:val="single" w:sz="8" w:space="0" w:color="auto"/>
            </w:tcBorders>
          </w:tcPr>
          <w:p w14:paraId="30BCCF9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nil"/>
              <w:left w:val="nil"/>
              <w:bottom w:val="single" w:sz="8" w:space="0" w:color="auto"/>
              <w:right w:val="single" w:sz="8" w:space="0" w:color="auto"/>
            </w:tcBorders>
          </w:tcPr>
          <w:p w14:paraId="56749B5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52781705"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850" w:type="dxa"/>
            <w:tcBorders>
              <w:top w:val="nil"/>
              <w:left w:val="nil"/>
              <w:bottom w:val="single" w:sz="8" w:space="0" w:color="auto"/>
              <w:right w:val="single" w:sz="8" w:space="0" w:color="auto"/>
            </w:tcBorders>
          </w:tcPr>
          <w:p w14:paraId="6418006B"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992" w:type="dxa"/>
            <w:tcBorders>
              <w:top w:val="nil"/>
              <w:left w:val="nil"/>
              <w:bottom w:val="single" w:sz="8" w:space="0" w:color="auto"/>
              <w:right w:val="single" w:sz="8" w:space="0" w:color="auto"/>
            </w:tcBorders>
          </w:tcPr>
          <w:p w14:paraId="07D4EE6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0ECA9D9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single" w:sz="8" w:space="0" w:color="auto"/>
              <w:right w:val="single" w:sz="8" w:space="0" w:color="auto"/>
            </w:tcBorders>
          </w:tcPr>
          <w:p w14:paraId="0E0D72B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tcBorders>
              <w:top w:val="nil"/>
              <w:left w:val="nil"/>
              <w:bottom w:val="single" w:sz="8" w:space="0" w:color="auto"/>
              <w:right w:val="single" w:sz="8" w:space="0" w:color="auto"/>
            </w:tcBorders>
          </w:tcPr>
          <w:p w14:paraId="34F6B8CA"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174</w:t>
            </w:r>
          </w:p>
        </w:tc>
        <w:tc>
          <w:tcPr>
            <w:tcW w:w="1134" w:type="dxa"/>
            <w:tcBorders>
              <w:top w:val="nil"/>
              <w:left w:val="nil"/>
              <w:bottom w:val="single" w:sz="8" w:space="0" w:color="auto"/>
              <w:right w:val="single" w:sz="8" w:space="0" w:color="auto"/>
            </w:tcBorders>
          </w:tcPr>
          <w:p w14:paraId="781BDCD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5FF444E6"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179.2</w:t>
            </w:r>
          </w:p>
        </w:tc>
        <w:tc>
          <w:tcPr>
            <w:tcW w:w="1134" w:type="dxa"/>
            <w:tcBorders>
              <w:top w:val="single" w:sz="4" w:space="0" w:color="auto"/>
              <w:left w:val="nil"/>
              <w:bottom w:val="single" w:sz="8" w:space="0" w:color="auto"/>
              <w:right w:val="single" w:sz="12" w:space="0" w:color="auto"/>
            </w:tcBorders>
          </w:tcPr>
          <w:p w14:paraId="3904244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4" w:space="0" w:color="auto"/>
              <w:left w:val="nil"/>
              <w:bottom w:val="single" w:sz="8" w:space="0" w:color="auto"/>
              <w:right w:val="single" w:sz="12" w:space="0" w:color="auto"/>
            </w:tcBorders>
          </w:tcPr>
          <w:p w14:paraId="6EF0101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Krogh and Axelsen, 1998</w:t>
            </w:r>
          </w:p>
        </w:tc>
      </w:tr>
      <w:tr w:rsidR="00632208" w:rsidRPr="0098635C" w14:paraId="71D3D3C0" w14:textId="77777777" w:rsidTr="00A432B0">
        <w:trPr>
          <w:trHeight w:val="463"/>
        </w:trPr>
        <w:tc>
          <w:tcPr>
            <w:tcW w:w="1402" w:type="dxa"/>
            <w:tcBorders>
              <w:top w:val="nil"/>
              <w:left w:val="single" w:sz="8" w:space="0" w:color="auto"/>
              <w:bottom w:val="single" w:sz="12" w:space="0" w:color="auto"/>
              <w:right w:val="single" w:sz="8" w:space="0" w:color="auto"/>
            </w:tcBorders>
          </w:tcPr>
          <w:p w14:paraId="14885231"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Hypoaspis aculeifer</w:t>
            </w:r>
          </w:p>
        </w:tc>
        <w:tc>
          <w:tcPr>
            <w:tcW w:w="1276" w:type="dxa"/>
            <w:tcBorders>
              <w:top w:val="nil"/>
              <w:left w:val="nil"/>
              <w:bottom w:val="single" w:sz="12" w:space="0" w:color="auto"/>
              <w:right w:val="single" w:sz="8" w:space="0" w:color="auto"/>
            </w:tcBorders>
          </w:tcPr>
          <w:p w14:paraId="4CC5D50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LUFA 2.2</w:t>
            </w:r>
          </w:p>
        </w:tc>
        <w:tc>
          <w:tcPr>
            <w:tcW w:w="709" w:type="dxa"/>
            <w:tcBorders>
              <w:top w:val="nil"/>
              <w:left w:val="nil"/>
              <w:bottom w:val="single" w:sz="12" w:space="0" w:color="auto"/>
              <w:right w:val="single" w:sz="8" w:space="0" w:color="auto"/>
            </w:tcBorders>
          </w:tcPr>
          <w:p w14:paraId="5C8B36D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13.8</w:t>
            </w:r>
          </w:p>
        </w:tc>
        <w:tc>
          <w:tcPr>
            <w:tcW w:w="708" w:type="dxa"/>
            <w:tcBorders>
              <w:top w:val="nil"/>
              <w:left w:val="nil"/>
              <w:bottom w:val="single" w:sz="12" w:space="0" w:color="auto"/>
              <w:right w:val="single" w:sz="8" w:space="0" w:color="auto"/>
            </w:tcBorders>
          </w:tcPr>
          <w:p w14:paraId="63C42EF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nil"/>
              <w:left w:val="nil"/>
              <w:bottom w:val="single" w:sz="12" w:space="0" w:color="auto"/>
              <w:right w:val="single" w:sz="8" w:space="0" w:color="auto"/>
            </w:tcBorders>
          </w:tcPr>
          <w:p w14:paraId="7849ED6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12" w:space="0" w:color="auto"/>
              <w:right w:val="single" w:sz="8" w:space="0" w:color="auto"/>
            </w:tcBorders>
          </w:tcPr>
          <w:p w14:paraId="4724788E"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850" w:type="dxa"/>
            <w:tcBorders>
              <w:top w:val="nil"/>
              <w:left w:val="nil"/>
              <w:bottom w:val="single" w:sz="12" w:space="0" w:color="auto"/>
              <w:right w:val="single" w:sz="8" w:space="0" w:color="auto"/>
            </w:tcBorders>
          </w:tcPr>
          <w:p w14:paraId="5D31C304"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992" w:type="dxa"/>
            <w:tcBorders>
              <w:top w:val="nil"/>
              <w:left w:val="nil"/>
              <w:bottom w:val="single" w:sz="12" w:space="0" w:color="auto"/>
              <w:right w:val="single" w:sz="8" w:space="0" w:color="auto"/>
            </w:tcBorders>
          </w:tcPr>
          <w:p w14:paraId="59134BB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12" w:space="0" w:color="auto"/>
              <w:right w:val="single" w:sz="8" w:space="0" w:color="auto"/>
            </w:tcBorders>
          </w:tcPr>
          <w:p w14:paraId="544C8E7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single" w:sz="12" w:space="0" w:color="auto"/>
              <w:right w:val="single" w:sz="8" w:space="0" w:color="auto"/>
            </w:tcBorders>
          </w:tcPr>
          <w:p w14:paraId="18021CB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m</w:t>
            </w:r>
          </w:p>
        </w:tc>
        <w:tc>
          <w:tcPr>
            <w:tcW w:w="851" w:type="dxa"/>
            <w:tcBorders>
              <w:top w:val="nil"/>
              <w:left w:val="nil"/>
              <w:bottom w:val="single" w:sz="12" w:space="0" w:color="auto"/>
              <w:right w:val="single" w:sz="8" w:space="0" w:color="auto"/>
            </w:tcBorders>
          </w:tcPr>
          <w:p w14:paraId="24133AE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tcBorders>
              <w:top w:val="nil"/>
              <w:left w:val="nil"/>
              <w:bottom w:val="single" w:sz="12" w:space="0" w:color="auto"/>
              <w:right w:val="single" w:sz="8" w:space="0" w:color="auto"/>
            </w:tcBorders>
          </w:tcPr>
          <w:p w14:paraId="10C81EF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1,000</w:t>
            </w:r>
          </w:p>
        </w:tc>
        <w:tc>
          <w:tcPr>
            <w:tcW w:w="850" w:type="dxa"/>
            <w:tcBorders>
              <w:top w:val="single" w:sz="8" w:space="0" w:color="auto"/>
              <w:left w:val="nil"/>
              <w:bottom w:val="single" w:sz="12" w:space="0" w:color="auto"/>
              <w:right w:val="single" w:sz="8" w:space="0" w:color="000000"/>
            </w:tcBorders>
          </w:tcPr>
          <w:p w14:paraId="6857C7A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tcBorders>
              <w:top w:val="nil"/>
              <w:left w:val="nil"/>
              <w:bottom w:val="single" w:sz="12" w:space="0" w:color="auto"/>
              <w:right w:val="single" w:sz="12" w:space="0" w:color="auto"/>
            </w:tcBorders>
          </w:tcPr>
          <w:p w14:paraId="0A937C8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1,005</w:t>
            </w:r>
          </w:p>
        </w:tc>
        <w:tc>
          <w:tcPr>
            <w:tcW w:w="1985" w:type="dxa"/>
            <w:tcBorders>
              <w:top w:val="nil"/>
              <w:left w:val="nil"/>
              <w:bottom w:val="single" w:sz="12" w:space="0" w:color="auto"/>
              <w:right w:val="single" w:sz="12" w:space="0" w:color="auto"/>
            </w:tcBorders>
          </w:tcPr>
          <w:p w14:paraId="571C401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Krogh and Axelsen, 1998</w:t>
            </w:r>
          </w:p>
        </w:tc>
      </w:tr>
      <w:tr w:rsidR="00632208" w:rsidRPr="0098635C" w14:paraId="29B48CA4" w14:textId="77777777" w:rsidTr="00A432B0">
        <w:trPr>
          <w:trHeight w:val="463"/>
        </w:trPr>
        <w:tc>
          <w:tcPr>
            <w:tcW w:w="1402" w:type="dxa"/>
            <w:tcBorders>
              <w:top w:val="nil"/>
              <w:left w:val="single" w:sz="8" w:space="0" w:color="auto"/>
              <w:bottom w:val="single" w:sz="8" w:space="0" w:color="auto"/>
              <w:right w:val="single" w:sz="8" w:space="0" w:color="auto"/>
            </w:tcBorders>
          </w:tcPr>
          <w:p w14:paraId="666F5054"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Isotoma viridis</w:t>
            </w:r>
          </w:p>
        </w:tc>
        <w:tc>
          <w:tcPr>
            <w:tcW w:w="1276" w:type="dxa"/>
            <w:tcBorders>
              <w:top w:val="nil"/>
              <w:left w:val="nil"/>
              <w:bottom w:val="single" w:sz="8" w:space="0" w:color="auto"/>
              <w:right w:val="single" w:sz="8" w:space="0" w:color="auto"/>
            </w:tcBorders>
          </w:tcPr>
          <w:p w14:paraId="57698FC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LUFA 2.2</w:t>
            </w:r>
          </w:p>
        </w:tc>
        <w:tc>
          <w:tcPr>
            <w:tcW w:w="709" w:type="dxa"/>
            <w:tcBorders>
              <w:top w:val="nil"/>
              <w:left w:val="nil"/>
              <w:bottom w:val="single" w:sz="8" w:space="0" w:color="auto"/>
              <w:right w:val="single" w:sz="8" w:space="0" w:color="auto"/>
            </w:tcBorders>
          </w:tcPr>
          <w:p w14:paraId="07BE1A1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w:t>
            </w:r>
          </w:p>
        </w:tc>
        <w:tc>
          <w:tcPr>
            <w:tcW w:w="708" w:type="dxa"/>
            <w:tcBorders>
              <w:top w:val="nil"/>
              <w:left w:val="nil"/>
              <w:bottom w:val="single" w:sz="8" w:space="0" w:color="auto"/>
              <w:right w:val="single" w:sz="8" w:space="0" w:color="auto"/>
            </w:tcBorders>
          </w:tcPr>
          <w:p w14:paraId="22FBB8C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nil"/>
              <w:left w:val="nil"/>
              <w:bottom w:val="single" w:sz="8" w:space="0" w:color="auto"/>
              <w:right w:val="single" w:sz="8" w:space="0" w:color="auto"/>
            </w:tcBorders>
          </w:tcPr>
          <w:p w14:paraId="2DED5F2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06680402"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850" w:type="dxa"/>
            <w:tcBorders>
              <w:top w:val="nil"/>
              <w:left w:val="nil"/>
              <w:bottom w:val="single" w:sz="8" w:space="0" w:color="auto"/>
              <w:right w:val="single" w:sz="8" w:space="0" w:color="auto"/>
            </w:tcBorders>
          </w:tcPr>
          <w:p w14:paraId="5F6E73FA"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992" w:type="dxa"/>
            <w:tcBorders>
              <w:top w:val="nil"/>
              <w:left w:val="nil"/>
              <w:bottom w:val="single" w:sz="8" w:space="0" w:color="auto"/>
              <w:right w:val="single" w:sz="8" w:space="0" w:color="auto"/>
            </w:tcBorders>
          </w:tcPr>
          <w:p w14:paraId="2B6420F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3B50F00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single" w:sz="8" w:space="0" w:color="auto"/>
              <w:right w:val="single" w:sz="8" w:space="0" w:color="auto"/>
            </w:tcBorders>
          </w:tcPr>
          <w:p w14:paraId="2B15300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g</w:t>
            </w:r>
          </w:p>
        </w:tc>
        <w:tc>
          <w:tcPr>
            <w:tcW w:w="851" w:type="dxa"/>
            <w:tcBorders>
              <w:top w:val="nil"/>
              <w:left w:val="nil"/>
              <w:bottom w:val="single" w:sz="8" w:space="0" w:color="auto"/>
              <w:right w:val="single" w:sz="8" w:space="0" w:color="auto"/>
            </w:tcBorders>
          </w:tcPr>
          <w:p w14:paraId="66DF930B"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50</w:t>
            </w:r>
          </w:p>
        </w:tc>
        <w:tc>
          <w:tcPr>
            <w:tcW w:w="1134" w:type="dxa"/>
            <w:tcBorders>
              <w:top w:val="nil"/>
              <w:left w:val="nil"/>
              <w:bottom w:val="single" w:sz="8" w:space="0" w:color="auto"/>
              <w:right w:val="single" w:sz="8" w:space="0" w:color="auto"/>
            </w:tcBorders>
          </w:tcPr>
          <w:p w14:paraId="2A18F06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19CC60DD"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55.2</w:t>
            </w:r>
          </w:p>
        </w:tc>
        <w:tc>
          <w:tcPr>
            <w:tcW w:w="1134" w:type="dxa"/>
            <w:tcBorders>
              <w:top w:val="nil"/>
              <w:left w:val="nil"/>
              <w:bottom w:val="single" w:sz="8" w:space="0" w:color="auto"/>
              <w:right w:val="single" w:sz="12" w:space="0" w:color="auto"/>
            </w:tcBorders>
          </w:tcPr>
          <w:p w14:paraId="50ACBAE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0D8B07B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Rundgren and Van Gestel, 1988</w:t>
            </w:r>
          </w:p>
        </w:tc>
      </w:tr>
      <w:tr w:rsidR="00632208" w:rsidRPr="0098635C" w14:paraId="64FBAC38" w14:textId="77777777" w:rsidTr="00A432B0">
        <w:trPr>
          <w:trHeight w:val="463"/>
        </w:trPr>
        <w:tc>
          <w:tcPr>
            <w:tcW w:w="1402" w:type="dxa"/>
            <w:tcBorders>
              <w:top w:val="nil"/>
              <w:left w:val="single" w:sz="8" w:space="0" w:color="auto"/>
              <w:bottom w:val="single" w:sz="8" w:space="0" w:color="auto"/>
              <w:right w:val="single" w:sz="8" w:space="0" w:color="auto"/>
            </w:tcBorders>
          </w:tcPr>
          <w:p w14:paraId="0E844526"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Isotoma viridis</w:t>
            </w:r>
          </w:p>
        </w:tc>
        <w:tc>
          <w:tcPr>
            <w:tcW w:w="1276" w:type="dxa"/>
            <w:tcBorders>
              <w:top w:val="nil"/>
              <w:left w:val="nil"/>
              <w:bottom w:val="single" w:sz="8" w:space="0" w:color="auto"/>
              <w:right w:val="single" w:sz="8" w:space="0" w:color="auto"/>
            </w:tcBorders>
          </w:tcPr>
          <w:p w14:paraId="035D86E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OECD</w:t>
            </w:r>
          </w:p>
        </w:tc>
        <w:tc>
          <w:tcPr>
            <w:tcW w:w="709" w:type="dxa"/>
            <w:tcBorders>
              <w:top w:val="nil"/>
              <w:left w:val="nil"/>
              <w:bottom w:val="single" w:sz="8" w:space="0" w:color="auto"/>
              <w:right w:val="single" w:sz="8" w:space="0" w:color="auto"/>
            </w:tcBorders>
          </w:tcPr>
          <w:p w14:paraId="360D9D1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w:t>
            </w:r>
          </w:p>
        </w:tc>
        <w:tc>
          <w:tcPr>
            <w:tcW w:w="708" w:type="dxa"/>
            <w:tcBorders>
              <w:top w:val="nil"/>
              <w:left w:val="nil"/>
              <w:bottom w:val="single" w:sz="8" w:space="0" w:color="auto"/>
              <w:right w:val="single" w:sz="8" w:space="0" w:color="auto"/>
            </w:tcBorders>
          </w:tcPr>
          <w:p w14:paraId="4351672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nil"/>
              <w:left w:val="nil"/>
              <w:bottom w:val="single" w:sz="8" w:space="0" w:color="auto"/>
              <w:right w:val="single" w:sz="8" w:space="0" w:color="auto"/>
            </w:tcBorders>
          </w:tcPr>
          <w:p w14:paraId="24EE580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66B39B65"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850" w:type="dxa"/>
            <w:tcBorders>
              <w:top w:val="nil"/>
              <w:left w:val="nil"/>
              <w:bottom w:val="single" w:sz="8" w:space="0" w:color="auto"/>
              <w:right w:val="single" w:sz="8" w:space="0" w:color="auto"/>
            </w:tcBorders>
          </w:tcPr>
          <w:p w14:paraId="135D5AE5"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992" w:type="dxa"/>
            <w:tcBorders>
              <w:top w:val="nil"/>
              <w:left w:val="nil"/>
              <w:bottom w:val="single" w:sz="8" w:space="0" w:color="auto"/>
              <w:right w:val="single" w:sz="8" w:space="0" w:color="auto"/>
            </w:tcBorders>
          </w:tcPr>
          <w:p w14:paraId="7F74B79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3BB30E3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single" w:sz="8" w:space="0" w:color="auto"/>
              <w:right w:val="single" w:sz="8" w:space="0" w:color="auto"/>
            </w:tcBorders>
          </w:tcPr>
          <w:p w14:paraId="5F362EF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g</w:t>
            </w:r>
          </w:p>
        </w:tc>
        <w:tc>
          <w:tcPr>
            <w:tcW w:w="851" w:type="dxa"/>
            <w:tcBorders>
              <w:top w:val="nil"/>
              <w:left w:val="nil"/>
              <w:bottom w:val="single" w:sz="8" w:space="0" w:color="auto"/>
              <w:right w:val="single" w:sz="8" w:space="0" w:color="auto"/>
            </w:tcBorders>
          </w:tcPr>
          <w:p w14:paraId="3CB4E71D"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400</w:t>
            </w:r>
          </w:p>
        </w:tc>
        <w:tc>
          <w:tcPr>
            <w:tcW w:w="1134" w:type="dxa"/>
            <w:tcBorders>
              <w:top w:val="nil"/>
              <w:left w:val="nil"/>
              <w:bottom w:val="single" w:sz="8" w:space="0" w:color="auto"/>
              <w:right w:val="single" w:sz="8" w:space="0" w:color="auto"/>
            </w:tcBorders>
          </w:tcPr>
          <w:p w14:paraId="0313298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112C6899"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403.2</w:t>
            </w:r>
          </w:p>
        </w:tc>
        <w:tc>
          <w:tcPr>
            <w:tcW w:w="1134" w:type="dxa"/>
            <w:tcBorders>
              <w:top w:val="nil"/>
              <w:left w:val="nil"/>
              <w:bottom w:val="single" w:sz="8" w:space="0" w:color="auto"/>
              <w:right w:val="single" w:sz="12" w:space="0" w:color="auto"/>
            </w:tcBorders>
          </w:tcPr>
          <w:p w14:paraId="6FB57F8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20EAA65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Rundgren and Van Gestel, 1988</w:t>
            </w:r>
          </w:p>
        </w:tc>
      </w:tr>
      <w:tr w:rsidR="00632208" w:rsidRPr="0098635C" w14:paraId="61711220" w14:textId="77777777" w:rsidTr="00A432B0">
        <w:trPr>
          <w:trHeight w:val="463"/>
        </w:trPr>
        <w:tc>
          <w:tcPr>
            <w:tcW w:w="1402" w:type="dxa"/>
            <w:tcBorders>
              <w:top w:val="nil"/>
              <w:left w:val="single" w:sz="8" w:space="0" w:color="auto"/>
              <w:bottom w:val="single" w:sz="8" w:space="0" w:color="auto"/>
              <w:right w:val="single" w:sz="8" w:space="0" w:color="auto"/>
            </w:tcBorders>
          </w:tcPr>
          <w:p w14:paraId="260ADA07"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Lumbricus rubellus</w:t>
            </w:r>
          </w:p>
        </w:tc>
        <w:tc>
          <w:tcPr>
            <w:tcW w:w="1276" w:type="dxa"/>
            <w:tcBorders>
              <w:top w:val="nil"/>
              <w:left w:val="nil"/>
              <w:bottom w:val="single" w:sz="8" w:space="0" w:color="auto"/>
              <w:right w:val="single" w:sz="8" w:space="0" w:color="auto"/>
            </w:tcBorders>
          </w:tcPr>
          <w:p w14:paraId="095B17C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Sandy loam</w:t>
            </w:r>
          </w:p>
        </w:tc>
        <w:tc>
          <w:tcPr>
            <w:tcW w:w="709" w:type="dxa"/>
            <w:tcBorders>
              <w:top w:val="nil"/>
              <w:left w:val="nil"/>
              <w:bottom w:val="single" w:sz="8" w:space="0" w:color="auto"/>
              <w:right w:val="single" w:sz="8" w:space="0" w:color="auto"/>
            </w:tcBorders>
          </w:tcPr>
          <w:p w14:paraId="06AC3A5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w:t>
            </w:r>
          </w:p>
        </w:tc>
        <w:tc>
          <w:tcPr>
            <w:tcW w:w="708" w:type="dxa"/>
            <w:tcBorders>
              <w:top w:val="nil"/>
              <w:left w:val="nil"/>
              <w:bottom w:val="single" w:sz="8" w:space="0" w:color="auto"/>
              <w:right w:val="single" w:sz="8" w:space="0" w:color="auto"/>
            </w:tcBorders>
          </w:tcPr>
          <w:p w14:paraId="1845BCB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15.6</w:t>
            </w:r>
          </w:p>
        </w:tc>
        <w:tc>
          <w:tcPr>
            <w:tcW w:w="709" w:type="dxa"/>
            <w:tcBorders>
              <w:top w:val="nil"/>
              <w:left w:val="nil"/>
              <w:bottom w:val="single" w:sz="8" w:space="0" w:color="auto"/>
              <w:right w:val="single" w:sz="8" w:space="0" w:color="auto"/>
            </w:tcBorders>
          </w:tcPr>
          <w:p w14:paraId="4664C3E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22BBE9C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nil"/>
              <w:left w:val="nil"/>
              <w:bottom w:val="single" w:sz="8" w:space="0" w:color="auto"/>
              <w:right w:val="single" w:sz="8" w:space="0" w:color="auto"/>
            </w:tcBorders>
          </w:tcPr>
          <w:p w14:paraId="1E03687B"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992" w:type="dxa"/>
            <w:tcBorders>
              <w:top w:val="nil"/>
              <w:left w:val="nil"/>
              <w:bottom w:val="single" w:sz="8" w:space="0" w:color="auto"/>
              <w:right w:val="single" w:sz="8" w:space="0" w:color="auto"/>
            </w:tcBorders>
          </w:tcPr>
          <w:p w14:paraId="03CC089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4572040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single" w:sz="8" w:space="0" w:color="auto"/>
              <w:right w:val="single" w:sz="8" w:space="0" w:color="auto"/>
            </w:tcBorders>
          </w:tcPr>
          <w:p w14:paraId="42129BA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m</w:t>
            </w:r>
          </w:p>
        </w:tc>
        <w:tc>
          <w:tcPr>
            <w:tcW w:w="851" w:type="dxa"/>
            <w:tcBorders>
              <w:top w:val="nil"/>
              <w:left w:val="nil"/>
              <w:bottom w:val="single" w:sz="8" w:space="0" w:color="auto"/>
              <w:right w:val="single" w:sz="8" w:space="0" w:color="auto"/>
            </w:tcBorders>
          </w:tcPr>
          <w:p w14:paraId="5EEB08B9"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150</w:t>
            </w:r>
          </w:p>
        </w:tc>
        <w:tc>
          <w:tcPr>
            <w:tcW w:w="1134" w:type="dxa"/>
            <w:tcBorders>
              <w:top w:val="nil"/>
              <w:left w:val="nil"/>
              <w:bottom w:val="single" w:sz="8" w:space="0" w:color="auto"/>
              <w:right w:val="single" w:sz="8" w:space="0" w:color="auto"/>
            </w:tcBorders>
          </w:tcPr>
          <w:p w14:paraId="79BA88F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0425F4FB"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162</w:t>
            </w:r>
          </w:p>
        </w:tc>
        <w:tc>
          <w:tcPr>
            <w:tcW w:w="1134" w:type="dxa"/>
            <w:tcBorders>
              <w:top w:val="nil"/>
              <w:left w:val="nil"/>
              <w:bottom w:val="single" w:sz="8" w:space="0" w:color="auto"/>
              <w:right w:val="single" w:sz="12" w:space="0" w:color="auto"/>
            </w:tcBorders>
          </w:tcPr>
          <w:p w14:paraId="3F33F4F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4749488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Ma, 1982</w:t>
            </w:r>
          </w:p>
        </w:tc>
      </w:tr>
      <w:tr w:rsidR="00632208" w:rsidRPr="0098635C" w14:paraId="771A4D9C" w14:textId="77777777" w:rsidTr="00A432B0">
        <w:trPr>
          <w:trHeight w:val="463"/>
        </w:trPr>
        <w:tc>
          <w:tcPr>
            <w:tcW w:w="1402" w:type="dxa"/>
            <w:tcBorders>
              <w:top w:val="nil"/>
              <w:left w:val="single" w:sz="8" w:space="0" w:color="auto"/>
              <w:bottom w:val="single" w:sz="8" w:space="0" w:color="auto"/>
              <w:right w:val="single" w:sz="8" w:space="0" w:color="auto"/>
            </w:tcBorders>
          </w:tcPr>
          <w:p w14:paraId="49D14BB6"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Lumbricus rubellus</w:t>
            </w:r>
          </w:p>
        </w:tc>
        <w:tc>
          <w:tcPr>
            <w:tcW w:w="1276" w:type="dxa"/>
            <w:tcBorders>
              <w:top w:val="nil"/>
              <w:left w:val="nil"/>
              <w:bottom w:val="single" w:sz="8" w:space="0" w:color="auto"/>
              <w:right w:val="single" w:sz="8" w:space="0" w:color="auto"/>
            </w:tcBorders>
          </w:tcPr>
          <w:p w14:paraId="7D52692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Loamy sand</w:t>
            </w:r>
          </w:p>
        </w:tc>
        <w:tc>
          <w:tcPr>
            <w:tcW w:w="709" w:type="dxa"/>
            <w:tcBorders>
              <w:top w:val="nil"/>
              <w:left w:val="nil"/>
              <w:bottom w:val="single" w:sz="8" w:space="0" w:color="auto"/>
              <w:right w:val="single" w:sz="8" w:space="0" w:color="auto"/>
            </w:tcBorders>
          </w:tcPr>
          <w:p w14:paraId="5D989D1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15.6</w:t>
            </w:r>
          </w:p>
        </w:tc>
        <w:tc>
          <w:tcPr>
            <w:tcW w:w="708" w:type="dxa"/>
            <w:tcBorders>
              <w:top w:val="nil"/>
              <w:left w:val="nil"/>
              <w:bottom w:val="single" w:sz="8" w:space="0" w:color="auto"/>
              <w:right w:val="single" w:sz="8" w:space="0" w:color="auto"/>
            </w:tcBorders>
          </w:tcPr>
          <w:p w14:paraId="42CF3D8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nil"/>
              <w:left w:val="nil"/>
              <w:bottom w:val="single" w:sz="8" w:space="0" w:color="auto"/>
              <w:right w:val="single" w:sz="8" w:space="0" w:color="auto"/>
            </w:tcBorders>
          </w:tcPr>
          <w:p w14:paraId="2377D9B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47E7A5A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nil"/>
              <w:left w:val="nil"/>
              <w:bottom w:val="single" w:sz="8" w:space="0" w:color="auto"/>
              <w:right w:val="single" w:sz="8" w:space="0" w:color="auto"/>
            </w:tcBorders>
          </w:tcPr>
          <w:p w14:paraId="1CCBF581"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992" w:type="dxa"/>
            <w:tcBorders>
              <w:top w:val="nil"/>
              <w:left w:val="nil"/>
              <w:bottom w:val="single" w:sz="8" w:space="0" w:color="auto"/>
              <w:right w:val="single" w:sz="8" w:space="0" w:color="auto"/>
            </w:tcBorders>
          </w:tcPr>
          <w:p w14:paraId="579621E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359FF5D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single" w:sz="8" w:space="0" w:color="auto"/>
              <w:right w:val="single" w:sz="8" w:space="0" w:color="auto"/>
            </w:tcBorders>
          </w:tcPr>
          <w:p w14:paraId="54A7C95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tcBorders>
              <w:top w:val="nil"/>
              <w:left w:val="nil"/>
              <w:bottom w:val="single" w:sz="8" w:space="0" w:color="auto"/>
              <w:right w:val="single" w:sz="8" w:space="0" w:color="auto"/>
            </w:tcBorders>
          </w:tcPr>
          <w:p w14:paraId="43E324CF"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40</w:t>
            </w:r>
            <w:r w:rsidRPr="0098635C">
              <w:rPr>
                <w:color w:val="000000" w:themeColor="text1"/>
                <w:sz w:val="20"/>
                <w:szCs w:val="20"/>
              </w:rPr>
              <w:t>*</w:t>
            </w:r>
          </w:p>
        </w:tc>
        <w:tc>
          <w:tcPr>
            <w:tcW w:w="1134" w:type="dxa"/>
            <w:tcBorders>
              <w:top w:val="nil"/>
              <w:left w:val="nil"/>
              <w:bottom w:val="single" w:sz="8" w:space="0" w:color="auto"/>
              <w:right w:val="single" w:sz="8" w:space="0" w:color="auto"/>
            </w:tcBorders>
          </w:tcPr>
          <w:p w14:paraId="7C07E0C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554637DC"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54</w:t>
            </w:r>
          </w:p>
        </w:tc>
        <w:tc>
          <w:tcPr>
            <w:tcW w:w="1134" w:type="dxa"/>
            <w:tcBorders>
              <w:top w:val="nil"/>
              <w:left w:val="nil"/>
              <w:bottom w:val="single" w:sz="8" w:space="0" w:color="auto"/>
              <w:right w:val="single" w:sz="12" w:space="0" w:color="auto"/>
            </w:tcBorders>
          </w:tcPr>
          <w:p w14:paraId="01D9D48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1CBC191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Ma, 1984</w:t>
            </w:r>
          </w:p>
        </w:tc>
      </w:tr>
      <w:tr w:rsidR="00632208" w:rsidRPr="0098635C" w14:paraId="4C9BB8F2" w14:textId="77777777" w:rsidTr="00A432B0">
        <w:trPr>
          <w:trHeight w:val="463"/>
        </w:trPr>
        <w:tc>
          <w:tcPr>
            <w:tcW w:w="1402" w:type="dxa"/>
            <w:tcBorders>
              <w:top w:val="nil"/>
              <w:left w:val="single" w:sz="8" w:space="0" w:color="auto"/>
              <w:bottom w:val="single" w:sz="8" w:space="0" w:color="auto"/>
              <w:right w:val="single" w:sz="8" w:space="0" w:color="auto"/>
            </w:tcBorders>
          </w:tcPr>
          <w:p w14:paraId="47203F80"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Lumbricus rubellus</w:t>
            </w:r>
          </w:p>
        </w:tc>
        <w:tc>
          <w:tcPr>
            <w:tcW w:w="1276" w:type="dxa"/>
            <w:tcBorders>
              <w:top w:val="nil"/>
              <w:left w:val="nil"/>
              <w:bottom w:val="single" w:sz="8" w:space="0" w:color="auto"/>
              <w:right w:val="single" w:sz="8" w:space="0" w:color="auto"/>
            </w:tcBorders>
          </w:tcPr>
          <w:p w14:paraId="3B30E5A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Loamy sand</w:t>
            </w:r>
          </w:p>
        </w:tc>
        <w:tc>
          <w:tcPr>
            <w:tcW w:w="709" w:type="dxa"/>
            <w:tcBorders>
              <w:top w:val="nil"/>
              <w:left w:val="nil"/>
              <w:bottom w:val="single" w:sz="8" w:space="0" w:color="auto"/>
              <w:right w:val="single" w:sz="8" w:space="0" w:color="auto"/>
            </w:tcBorders>
          </w:tcPr>
          <w:p w14:paraId="5DE6C41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15.6</w:t>
            </w:r>
          </w:p>
        </w:tc>
        <w:tc>
          <w:tcPr>
            <w:tcW w:w="708" w:type="dxa"/>
            <w:tcBorders>
              <w:top w:val="nil"/>
              <w:left w:val="nil"/>
              <w:bottom w:val="single" w:sz="8" w:space="0" w:color="auto"/>
              <w:right w:val="single" w:sz="8" w:space="0" w:color="auto"/>
            </w:tcBorders>
          </w:tcPr>
          <w:p w14:paraId="78FE1F7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nil"/>
              <w:left w:val="nil"/>
              <w:bottom w:val="single" w:sz="8" w:space="0" w:color="auto"/>
              <w:right w:val="single" w:sz="8" w:space="0" w:color="auto"/>
            </w:tcBorders>
          </w:tcPr>
          <w:p w14:paraId="480AFCE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689481A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nil"/>
              <w:left w:val="nil"/>
              <w:bottom w:val="single" w:sz="8" w:space="0" w:color="auto"/>
              <w:right w:val="single" w:sz="8" w:space="0" w:color="auto"/>
            </w:tcBorders>
          </w:tcPr>
          <w:p w14:paraId="243FDBA9"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992" w:type="dxa"/>
            <w:tcBorders>
              <w:top w:val="nil"/>
              <w:left w:val="nil"/>
              <w:bottom w:val="single" w:sz="8" w:space="0" w:color="auto"/>
              <w:right w:val="single" w:sz="8" w:space="0" w:color="auto"/>
            </w:tcBorders>
          </w:tcPr>
          <w:p w14:paraId="40DAA80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1F6BFE6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single" w:sz="8" w:space="0" w:color="auto"/>
              <w:right w:val="single" w:sz="8" w:space="0" w:color="auto"/>
            </w:tcBorders>
          </w:tcPr>
          <w:p w14:paraId="0D0AF58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lb</w:t>
            </w:r>
          </w:p>
        </w:tc>
        <w:tc>
          <w:tcPr>
            <w:tcW w:w="851" w:type="dxa"/>
            <w:tcBorders>
              <w:top w:val="nil"/>
              <w:left w:val="nil"/>
              <w:bottom w:val="single" w:sz="8" w:space="0" w:color="auto"/>
              <w:right w:val="single" w:sz="8" w:space="0" w:color="auto"/>
            </w:tcBorders>
          </w:tcPr>
          <w:p w14:paraId="78793206"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40*</w:t>
            </w:r>
          </w:p>
        </w:tc>
        <w:tc>
          <w:tcPr>
            <w:tcW w:w="1134" w:type="dxa"/>
            <w:tcBorders>
              <w:top w:val="nil"/>
              <w:left w:val="nil"/>
              <w:bottom w:val="single" w:sz="8" w:space="0" w:color="auto"/>
              <w:right w:val="single" w:sz="8" w:space="0" w:color="auto"/>
            </w:tcBorders>
          </w:tcPr>
          <w:p w14:paraId="5C80FA0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5B05B7E3"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54</w:t>
            </w:r>
          </w:p>
        </w:tc>
        <w:tc>
          <w:tcPr>
            <w:tcW w:w="1134" w:type="dxa"/>
            <w:tcBorders>
              <w:top w:val="nil"/>
              <w:left w:val="nil"/>
              <w:bottom w:val="single" w:sz="8" w:space="0" w:color="auto"/>
              <w:right w:val="single" w:sz="12" w:space="0" w:color="auto"/>
            </w:tcBorders>
          </w:tcPr>
          <w:p w14:paraId="056C604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29B62AF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Ma, 1984</w:t>
            </w:r>
          </w:p>
        </w:tc>
      </w:tr>
      <w:tr w:rsidR="00632208" w:rsidRPr="0098635C" w14:paraId="670704FF" w14:textId="77777777" w:rsidTr="00A432B0">
        <w:trPr>
          <w:trHeight w:val="463"/>
        </w:trPr>
        <w:tc>
          <w:tcPr>
            <w:tcW w:w="1402" w:type="dxa"/>
            <w:tcBorders>
              <w:top w:val="nil"/>
              <w:left w:val="single" w:sz="8" w:space="0" w:color="auto"/>
              <w:bottom w:val="single" w:sz="8" w:space="0" w:color="auto"/>
              <w:right w:val="single" w:sz="8" w:space="0" w:color="auto"/>
            </w:tcBorders>
          </w:tcPr>
          <w:p w14:paraId="0D130CFC"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Lumbricus rubellus</w:t>
            </w:r>
          </w:p>
        </w:tc>
        <w:tc>
          <w:tcPr>
            <w:tcW w:w="1276" w:type="dxa"/>
            <w:tcBorders>
              <w:top w:val="nil"/>
              <w:left w:val="nil"/>
              <w:bottom w:val="single" w:sz="8" w:space="0" w:color="auto"/>
              <w:right w:val="single" w:sz="8" w:space="0" w:color="auto"/>
            </w:tcBorders>
          </w:tcPr>
          <w:p w14:paraId="2EE5D6B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Loamy sand</w:t>
            </w:r>
          </w:p>
        </w:tc>
        <w:tc>
          <w:tcPr>
            <w:tcW w:w="709" w:type="dxa"/>
            <w:tcBorders>
              <w:top w:val="nil"/>
              <w:left w:val="nil"/>
              <w:bottom w:val="single" w:sz="8" w:space="0" w:color="auto"/>
              <w:right w:val="single" w:sz="8" w:space="0" w:color="auto"/>
            </w:tcBorders>
          </w:tcPr>
          <w:p w14:paraId="426A388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15.6</w:t>
            </w:r>
          </w:p>
        </w:tc>
        <w:tc>
          <w:tcPr>
            <w:tcW w:w="708" w:type="dxa"/>
            <w:tcBorders>
              <w:top w:val="nil"/>
              <w:left w:val="nil"/>
              <w:bottom w:val="single" w:sz="8" w:space="0" w:color="auto"/>
              <w:right w:val="single" w:sz="8" w:space="0" w:color="auto"/>
            </w:tcBorders>
          </w:tcPr>
          <w:p w14:paraId="0006EF3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w:t>
            </w:r>
          </w:p>
        </w:tc>
        <w:tc>
          <w:tcPr>
            <w:tcW w:w="709" w:type="dxa"/>
            <w:tcBorders>
              <w:top w:val="nil"/>
              <w:left w:val="nil"/>
              <w:bottom w:val="single" w:sz="8" w:space="0" w:color="auto"/>
              <w:right w:val="single" w:sz="8" w:space="0" w:color="auto"/>
            </w:tcBorders>
          </w:tcPr>
          <w:p w14:paraId="251464A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1A6639A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nil"/>
              <w:left w:val="nil"/>
              <w:bottom w:val="single" w:sz="8" w:space="0" w:color="auto"/>
              <w:right w:val="single" w:sz="8" w:space="0" w:color="auto"/>
            </w:tcBorders>
          </w:tcPr>
          <w:p w14:paraId="5EBF959C"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992" w:type="dxa"/>
            <w:tcBorders>
              <w:top w:val="nil"/>
              <w:left w:val="nil"/>
              <w:bottom w:val="single" w:sz="8" w:space="0" w:color="auto"/>
              <w:right w:val="single" w:sz="8" w:space="0" w:color="auto"/>
            </w:tcBorders>
          </w:tcPr>
          <w:p w14:paraId="76DB73D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5BF8B83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single" w:sz="8" w:space="0" w:color="auto"/>
              <w:right w:val="single" w:sz="8" w:space="0" w:color="auto"/>
            </w:tcBorders>
          </w:tcPr>
          <w:p w14:paraId="6FC08C4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g</w:t>
            </w:r>
          </w:p>
        </w:tc>
        <w:tc>
          <w:tcPr>
            <w:tcW w:w="851" w:type="dxa"/>
            <w:tcBorders>
              <w:top w:val="nil"/>
              <w:left w:val="nil"/>
              <w:bottom w:val="single" w:sz="8" w:space="0" w:color="auto"/>
              <w:right w:val="single" w:sz="8" w:space="0" w:color="auto"/>
            </w:tcBorders>
          </w:tcPr>
          <w:p w14:paraId="48D20EEE"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117*</w:t>
            </w:r>
          </w:p>
        </w:tc>
        <w:tc>
          <w:tcPr>
            <w:tcW w:w="1134" w:type="dxa"/>
            <w:tcBorders>
              <w:top w:val="nil"/>
              <w:left w:val="nil"/>
              <w:bottom w:val="single" w:sz="8" w:space="0" w:color="auto"/>
              <w:right w:val="single" w:sz="8" w:space="0" w:color="auto"/>
            </w:tcBorders>
          </w:tcPr>
          <w:p w14:paraId="3D938E9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60D2E1D1"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131</w:t>
            </w:r>
          </w:p>
        </w:tc>
        <w:tc>
          <w:tcPr>
            <w:tcW w:w="1134" w:type="dxa"/>
            <w:tcBorders>
              <w:top w:val="nil"/>
              <w:left w:val="nil"/>
              <w:bottom w:val="single" w:sz="8" w:space="0" w:color="auto"/>
              <w:right w:val="single" w:sz="12" w:space="0" w:color="auto"/>
            </w:tcBorders>
          </w:tcPr>
          <w:p w14:paraId="152E056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2191877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Ma, 1984</w:t>
            </w:r>
          </w:p>
        </w:tc>
      </w:tr>
      <w:tr w:rsidR="00632208" w:rsidRPr="0098635C" w14:paraId="73589FA0" w14:textId="77777777" w:rsidTr="00A432B0">
        <w:trPr>
          <w:trHeight w:val="463"/>
        </w:trPr>
        <w:tc>
          <w:tcPr>
            <w:tcW w:w="1402" w:type="dxa"/>
            <w:tcBorders>
              <w:top w:val="nil"/>
              <w:left w:val="single" w:sz="8" w:space="0" w:color="auto"/>
              <w:bottom w:val="single" w:sz="8" w:space="0" w:color="auto"/>
              <w:right w:val="single" w:sz="8" w:space="0" w:color="auto"/>
            </w:tcBorders>
          </w:tcPr>
          <w:p w14:paraId="135794E3"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Lumbricus rubellus</w:t>
            </w:r>
          </w:p>
        </w:tc>
        <w:tc>
          <w:tcPr>
            <w:tcW w:w="1276" w:type="dxa"/>
            <w:tcBorders>
              <w:top w:val="nil"/>
              <w:left w:val="nil"/>
              <w:bottom w:val="single" w:sz="8" w:space="0" w:color="auto"/>
              <w:right w:val="single" w:sz="8" w:space="0" w:color="auto"/>
            </w:tcBorders>
          </w:tcPr>
          <w:p w14:paraId="21F791A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Loamy sand</w:t>
            </w:r>
          </w:p>
        </w:tc>
        <w:tc>
          <w:tcPr>
            <w:tcW w:w="709" w:type="dxa"/>
            <w:tcBorders>
              <w:top w:val="nil"/>
              <w:left w:val="nil"/>
              <w:bottom w:val="single" w:sz="8" w:space="0" w:color="auto"/>
              <w:right w:val="single" w:sz="8" w:space="0" w:color="auto"/>
            </w:tcBorders>
          </w:tcPr>
          <w:p w14:paraId="319C38B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708" w:type="dxa"/>
            <w:tcBorders>
              <w:top w:val="nil"/>
              <w:left w:val="nil"/>
              <w:bottom w:val="single" w:sz="8" w:space="0" w:color="auto"/>
              <w:right w:val="single" w:sz="8" w:space="0" w:color="auto"/>
            </w:tcBorders>
          </w:tcPr>
          <w:p w14:paraId="5138BE6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nil"/>
              <w:left w:val="nil"/>
              <w:bottom w:val="single" w:sz="8" w:space="0" w:color="auto"/>
              <w:right w:val="single" w:sz="8" w:space="0" w:color="auto"/>
            </w:tcBorders>
          </w:tcPr>
          <w:p w14:paraId="08ECCA1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7F126E7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nil"/>
              <w:left w:val="nil"/>
              <w:bottom w:val="single" w:sz="8" w:space="0" w:color="auto"/>
              <w:right w:val="single" w:sz="8" w:space="0" w:color="auto"/>
            </w:tcBorders>
          </w:tcPr>
          <w:p w14:paraId="012479FD"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992" w:type="dxa"/>
            <w:tcBorders>
              <w:top w:val="nil"/>
              <w:left w:val="nil"/>
              <w:bottom w:val="single" w:sz="8" w:space="0" w:color="auto"/>
              <w:right w:val="single" w:sz="8" w:space="0" w:color="auto"/>
            </w:tcBorders>
          </w:tcPr>
          <w:p w14:paraId="6F689F9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1BBE9AE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single" w:sz="8" w:space="0" w:color="auto"/>
              <w:right w:val="single" w:sz="8" w:space="0" w:color="auto"/>
            </w:tcBorders>
          </w:tcPr>
          <w:p w14:paraId="7A486BE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m</w:t>
            </w:r>
          </w:p>
        </w:tc>
        <w:tc>
          <w:tcPr>
            <w:tcW w:w="851" w:type="dxa"/>
            <w:tcBorders>
              <w:top w:val="nil"/>
              <w:left w:val="nil"/>
              <w:bottom w:val="single" w:sz="8" w:space="0" w:color="auto"/>
              <w:right w:val="single" w:sz="8" w:space="0" w:color="auto"/>
            </w:tcBorders>
          </w:tcPr>
          <w:p w14:paraId="47603F4E"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117*</w:t>
            </w:r>
          </w:p>
        </w:tc>
        <w:tc>
          <w:tcPr>
            <w:tcW w:w="1134" w:type="dxa"/>
            <w:tcBorders>
              <w:top w:val="nil"/>
              <w:left w:val="nil"/>
              <w:bottom w:val="single" w:sz="8" w:space="0" w:color="auto"/>
              <w:right w:val="single" w:sz="8" w:space="0" w:color="auto"/>
            </w:tcBorders>
          </w:tcPr>
          <w:p w14:paraId="52696AC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31322D29"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131</w:t>
            </w:r>
          </w:p>
        </w:tc>
        <w:tc>
          <w:tcPr>
            <w:tcW w:w="1134" w:type="dxa"/>
            <w:tcBorders>
              <w:top w:val="nil"/>
              <w:left w:val="nil"/>
              <w:bottom w:val="single" w:sz="8" w:space="0" w:color="auto"/>
              <w:right w:val="single" w:sz="12" w:space="0" w:color="auto"/>
            </w:tcBorders>
          </w:tcPr>
          <w:p w14:paraId="6CFB41B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7E147EF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Ma, 1984</w:t>
            </w:r>
          </w:p>
        </w:tc>
      </w:tr>
      <w:tr w:rsidR="00632208" w:rsidRPr="0098635C" w14:paraId="265BEB5A" w14:textId="77777777" w:rsidTr="00A432B0">
        <w:trPr>
          <w:trHeight w:val="463"/>
        </w:trPr>
        <w:tc>
          <w:tcPr>
            <w:tcW w:w="1402" w:type="dxa"/>
            <w:tcBorders>
              <w:top w:val="nil"/>
              <w:left w:val="single" w:sz="8" w:space="0" w:color="auto"/>
              <w:bottom w:val="single" w:sz="8" w:space="0" w:color="auto"/>
              <w:right w:val="single" w:sz="8" w:space="0" w:color="auto"/>
            </w:tcBorders>
          </w:tcPr>
          <w:p w14:paraId="29F0B6BC"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Lumbricus rubellus</w:t>
            </w:r>
          </w:p>
        </w:tc>
        <w:tc>
          <w:tcPr>
            <w:tcW w:w="1276" w:type="dxa"/>
            <w:tcBorders>
              <w:top w:val="nil"/>
              <w:left w:val="nil"/>
              <w:bottom w:val="single" w:sz="8" w:space="0" w:color="auto"/>
              <w:right w:val="single" w:sz="8" w:space="0" w:color="auto"/>
            </w:tcBorders>
          </w:tcPr>
          <w:p w14:paraId="129F1CA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Calcareous sandy loam</w:t>
            </w:r>
          </w:p>
        </w:tc>
        <w:tc>
          <w:tcPr>
            <w:tcW w:w="709" w:type="dxa"/>
            <w:tcBorders>
              <w:top w:val="nil"/>
              <w:left w:val="nil"/>
              <w:bottom w:val="single" w:sz="8" w:space="0" w:color="auto"/>
              <w:right w:val="single" w:sz="8" w:space="0" w:color="auto"/>
            </w:tcBorders>
          </w:tcPr>
          <w:p w14:paraId="7D1AB15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35</w:t>
            </w:r>
          </w:p>
        </w:tc>
        <w:tc>
          <w:tcPr>
            <w:tcW w:w="708" w:type="dxa"/>
            <w:tcBorders>
              <w:top w:val="nil"/>
              <w:left w:val="nil"/>
              <w:bottom w:val="single" w:sz="8" w:space="0" w:color="auto"/>
              <w:right w:val="single" w:sz="8" w:space="0" w:color="auto"/>
            </w:tcBorders>
          </w:tcPr>
          <w:p w14:paraId="0411664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nil"/>
              <w:left w:val="nil"/>
              <w:bottom w:val="single" w:sz="8" w:space="0" w:color="auto"/>
              <w:right w:val="single" w:sz="8" w:space="0" w:color="auto"/>
            </w:tcBorders>
          </w:tcPr>
          <w:p w14:paraId="2A8DF41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22D9A33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nil"/>
              <w:left w:val="nil"/>
              <w:bottom w:val="single" w:sz="8" w:space="0" w:color="auto"/>
              <w:right w:val="single" w:sz="8" w:space="0" w:color="auto"/>
            </w:tcBorders>
          </w:tcPr>
          <w:p w14:paraId="125864A8"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992" w:type="dxa"/>
            <w:tcBorders>
              <w:top w:val="nil"/>
              <w:left w:val="nil"/>
              <w:bottom w:val="single" w:sz="8" w:space="0" w:color="auto"/>
              <w:right w:val="single" w:sz="8" w:space="0" w:color="auto"/>
            </w:tcBorders>
          </w:tcPr>
          <w:p w14:paraId="641A406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5E263C5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single" w:sz="8" w:space="0" w:color="auto"/>
              <w:right w:val="single" w:sz="8" w:space="0" w:color="auto"/>
            </w:tcBorders>
          </w:tcPr>
          <w:p w14:paraId="7BE5858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lb</w:t>
            </w:r>
          </w:p>
        </w:tc>
        <w:tc>
          <w:tcPr>
            <w:tcW w:w="851" w:type="dxa"/>
            <w:tcBorders>
              <w:top w:val="nil"/>
              <w:left w:val="nil"/>
              <w:bottom w:val="single" w:sz="8" w:space="0" w:color="auto"/>
              <w:right w:val="single" w:sz="8" w:space="0" w:color="auto"/>
            </w:tcBorders>
          </w:tcPr>
          <w:p w14:paraId="2F41A261"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50</w:t>
            </w:r>
            <w:r w:rsidRPr="0098635C">
              <w:rPr>
                <w:color w:val="000000" w:themeColor="text1"/>
                <w:sz w:val="20"/>
                <w:szCs w:val="20"/>
              </w:rPr>
              <w:t>*</w:t>
            </w:r>
          </w:p>
        </w:tc>
        <w:tc>
          <w:tcPr>
            <w:tcW w:w="1134" w:type="dxa"/>
            <w:tcBorders>
              <w:top w:val="nil"/>
              <w:left w:val="nil"/>
              <w:bottom w:val="single" w:sz="8" w:space="0" w:color="auto"/>
              <w:right w:val="single" w:sz="8" w:space="0" w:color="auto"/>
            </w:tcBorders>
          </w:tcPr>
          <w:p w14:paraId="03FF3E9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72107759"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63</w:t>
            </w:r>
          </w:p>
        </w:tc>
        <w:tc>
          <w:tcPr>
            <w:tcW w:w="1134" w:type="dxa"/>
            <w:tcBorders>
              <w:top w:val="nil"/>
              <w:left w:val="nil"/>
              <w:bottom w:val="single" w:sz="8" w:space="0" w:color="auto"/>
              <w:right w:val="single" w:sz="12" w:space="0" w:color="auto"/>
            </w:tcBorders>
          </w:tcPr>
          <w:p w14:paraId="7CBF8B6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5B53511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Ma, 1984</w:t>
            </w:r>
          </w:p>
        </w:tc>
      </w:tr>
      <w:tr w:rsidR="00632208" w:rsidRPr="0098635C" w14:paraId="338E19A6" w14:textId="77777777" w:rsidTr="00A432B0">
        <w:trPr>
          <w:trHeight w:val="463"/>
        </w:trPr>
        <w:tc>
          <w:tcPr>
            <w:tcW w:w="1402" w:type="dxa"/>
            <w:tcBorders>
              <w:top w:val="nil"/>
              <w:left w:val="single" w:sz="8" w:space="0" w:color="auto"/>
              <w:bottom w:val="single" w:sz="8" w:space="0" w:color="auto"/>
              <w:right w:val="single" w:sz="8" w:space="0" w:color="auto"/>
            </w:tcBorders>
          </w:tcPr>
          <w:p w14:paraId="2F60B469"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Lumbricus rubellus</w:t>
            </w:r>
          </w:p>
        </w:tc>
        <w:tc>
          <w:tcPr>
            <w:tcW w:w="1276" w:type="dxa"/>
            <w:tcBorders>
              <w:top w:val="nil"/>
              <w:left w:val="nil"/>
              <w:bottom w:val="single" w:sz="8" w:space="0" w:color="auto"/>
              <w:right w:val="single" w:sz="8" w:space="0" w:color="auto"/>
            </w:tcBorders>
          </w:tcPr>
          <w:p w14:paraId="2BF5FC6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Calcareous sandy loam</w:t>
            </w:r>
          </w:p>
        </w:tc>
        <w:tc>
          <w:tcPr>
            <w:tcW w:w="709" w:type="dxa"/>
            <w:tcBorders>
              <w:top w:val="nil"/>
              <w:left w:val="nil"/>
              <w:bottom w:val="single" w:sz="8" w:space="0" w:color="auto"/>
              <w:right w:val="single" w:sz="8" w:space="0" w:color="auto"/>
            </w:tcBorders>
          </w:tcPr>
          <w:p w14:paraId="16E0061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84</w:t>
            </w:r>
          </w:p>
        </w:tc>
        <w:tc>
          <w:tcPr>
            <w:tcW w:w="708" w:type="dxa"/>
            <w:tcBorders>
              <w:top w:val="nil"/>
              <w:left w:val="nil"/>
              <w:bottom w:val="single" w:sz="8" w:space="0" w:color="auto"/>
              <w:right w:val="single" w:sz="8" w:space="0" w:color="auto"/>
            </w:tcBorders>
          </w:tcPr>
          <w:p w14:paraId="2B561C3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709" w:type="dxa"/>
            <w:tcBorders>
              <w:top w:val="nil"/>
              <w:left w:val="nil"/>
              <w:bottom w:val="single" w:sz="8" w:space="0" w:color="auto"/>
              <w:right w:val="single" w:sz="8" w:space="0" w:color="auto"/>
            </w:tcBorders>
          </w:tcPr>
          <w:p w14:paraId="2186040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2D54B53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nil"/>
              <w:left w:val="nil"/>
              <w:bottom w:val="single" w:sz="8" w:space="0" w:color="auto"/>
              <w:right w:val="single" w:sz="8" w:space="0" w:color="auto"/>
            </w:tcBorders>
          </w:tcPr>
          <w:p w14:paraId="25B9D04F"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992" w:type="dxa"/>
            <w:tcBorders>
              <w:top w:val="nil"/>
              <w:left w:val="nil"/>
              <w:bottom w:val="single" w:sz="8" w:space="0" w:color="auto"/>
              <w:right w:val="single" w:sz="8" w:space="0" w:color="auto"/>
            </w:tcBorders>
          </w:tcPr>
          <w:p w14:paraId="647936C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1938109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single" w:sz="8" w:space="0" w:color="auto"/>
              <w:right w:val="single" w:sz="8" w:space="0" w:color="auto"/>
            </w:tcBorders>
          </w:tcPr>
          <w:p w14:paraId="16E2557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g</w:t>
            </w:r>
          </w:p>
        </w:tc>
        <w:tc>
          <w:tcPr>
            <w:tcW w:w="851" w:type="dxa"/>
            <w:tcBorders>
              <w:top w:val="nil"/>
              <w:left w:val="nil"/>
              <w:bottom w:val="single" w:sz="8" w:space="0" w:color="auto"/>
              <w:right w:val="single" w:sz="8" w:space="0" w:color="auto"/>
            </w:tcBorders>
          </w:tcPr>
          <w:p w14:paraId="03F493F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tcBorders>
              <w:top w:val="nil"/>
              <w:left w:val="nil"/>
              <w:bottom w:val="single" w:sz="8" w:space="0" w:color="auto"/>
              <w:right w:val="single" w:sz="8" w:space="0" w:color="auto"/>
            </w:tcBorders>
          </w:tcPr>
          <w:p w14:paraId="58DC276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360</w:t>
            </w:r>
          </w:p>
        </w:tc>
        <w:tc>
          <w:tcPr>
            <w:tcW w:w="850" w:type="dxa"/>
            <w:tcBorders>
              <w:top w:val="single" w:sz="8" w:space="0" w:color="auto"/>
              <w:left w:val="nil"/>
              <w:bottom w:val="single" w:sz="8" w:space="0" w:color="auto"/>
              <w:right w:val="single" w:sz="8" w:space="0" w:color="000000"/>
            </w:tcBorders>
          </w:tcPr>
          <w:p w14:paraId="10E012E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tcBorders>
              <w:top w:val="nil"/>
              <w:left w:val="nil"/>
              <w:bottom w:val="single" w:sz="8" w:space="0" w:color="auto"/>
              <w:right w:val="single" w:sz="12" w:space="0" w:color="auto"/>
            </w:tcBorders>
          </w:tcPr>
          <w:p w14:paraId="7F42E1A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373</w:t>
            </w:r>
          </w:p>
        </w:tc>
        <w:tc>
          <w:tcPr>
            <w:tcW w:w="1985" w:type="dxa"/>
            <w:tcBorders>
              <w:top w:val="nil"/>
              <w:left w:val="nil"/>
              <w:bottom w:val="single" w:sz="8" w:space="0" w:color="auto"/>
              <w:right w:val="single" w:sz="12" w:space="0" w:color="auto"/>
            </w:tcBorders>
          </w:tcPr>
          <w:p w14:paraId="43D73EB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Ma, 1984</w:t>
            </w:r>
          </w:p>
        </w:tc>
      </w:tr>
      <w:tr w:rsidR="00632208" w:rsidRPr="0098635C" w14:paraId="2A714868" w14:textId="77777777" w:rsidTr="00A432B0">
        <w:trPr>
          <w:trHeight w:val="463"/>
        </w:trPr>
        <w:tc>
          <w:tcPr>
            <w:tcW w:w="1402" w:type="dxa"/>
            <w:tcBorders>
              <w:top w:val="nil"/>
              <w:left w:val="single" w:sz="8" w:space="0" w:color="auto"/>
              <w:bottom w:val="single" w:sz="8" w:space="0" w:color="auto"/>
              <w:right w:val="single" w:sz="8" w:space="0" w:color="auto"/>
            </w:tcBorders>
          </w:tcPr>
          <w:p w14:paraId="6D7AB1FF"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Lumbricus rubellus</w:t>
            </w:r>
          </w:p>
        </w:tc>
        <w:tc>
          <w:tcPr>
            <w:tcW w:w="1276" w:type="dxa"/>
            <w:tcBorders>
              <w:top w:val="nil"/>
              <w:left w:val="nil"/>
              <w:bottom w:val="single" w:sz="8" w:space="0" w:color="auto"/>
              <w:right w:val="single" w:sz="8" w:space="0" w:color="auto"/>
            </w:tcBorders>
          </w:tcPr>
          <w:p w14:paraId="170B626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Calcareous sandy loam</w:t>
            </w:r>
          </w:p>
        </w:tc>
        <w:tc>
          <w:tcPr>
            <w:tcW w:w="709" w:type="dxa"/>
            <w:tcBorders>
              <w:top w:val="nil"/>
              <w:left w:val="nil"/>
              <w:bottom w:val="single" w:sz="8" w:space="0" w:color="auto"/>
              <w:right w:val="single" w:sz="8" w:space="0" w:color="auto"/>
            </w:tcBorders>
          </w:tcPr>
          <w:p w14:paraId="2ACB9A8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708" w:type="dxa"/>
            <w:tcBorders>
              <w:top w:val="nil"/>
              <w:left w:val="nil"/>
              <w:bottom w:val="single" w:sz="8" w:space="0" w:color="auto"/>
              <w:right w:val="single" w:sz="8" w:space="0" w:color="auto"/>
            </w:tcBorders>
          </w:tcPr>
          <w:p w14:paraId="5FF4305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nil"/>
              <w:left w:val="nil"/>
              <w:bottom w:val="single" w:sz="8" w:space="0" w:color="auto"/>
              <w:right w:val="single" w:sz="8" w:space="0" w:color="auto"/>
            </w:tcBorders>
          </w:tcPr>
          <w:p w14:paraId="35EE764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183B8BD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nil"/>
              <w:left w:val="nil"/>
              <w:bottom w:val="single" w:sz="8" w:space="0" w:color="auto"/>
              <w:right w:val="single" w:sz="8" w:space="0" w:color="auto"/>
            </w:tcBorders>
          </w:tcPr>
          <w:p w14:paraId="3F712E25"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992" w:type="dxa"/>
            <w:tcBorders>
              <w:top w:val="nil"/>
              <w:left w:val="nil"/>
              <w:bottom w:val="single" w:sz="8" w:space="0" w:color="auto"/>
              <w:right w:val="single" w:sz="8" w:space="0" w:color="auto"/>
            </w:tcBorders>
          </w:tcPr>
          <w:p w14:paraId="7404164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5BD6D37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single" w:sz="8" w:space="0" w:color="auto"/>
              <w:right w:val="single" w:sz="8" w:space="0" w:color="auto"/>
            </w:tcBorders>
          </w:tcPr>
          <w:p w14:paraId="5B7C69C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m</w:t>
            </w:r>
          </w:p>
        </w:tc>
        <w:tc>
          <w:tcPr>
            <w:tcW w:w="851" w:type="dxa"/>
            <w:tcBorders>
              <w:top w:val="nil"/>
              <w:left w:val="nil"/>
              <w:bottom w:val="single" w:sz="8" w:space="0" w:color="auto"/>
              <w:right w:val="single" w:sz="8" w:space="0" w:color="auto"/>
            </w:tcBorders>
          </w:tcPr>
          <w:p w14:paraId="4EF3E64B"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123*</w:t>
            </w:r>
          </w:p>
        </w:tc>
        <w:tc>
          <w:tcPr>
            <w:tcW w:w="1134" w:type="dxa"/>
            <w:tcBorders>
              <w:top w:val="nil"/>
              <w:left w:val="nil"/>
              <w:bottom w:val="single" w:sz="8" w:space="0" w:color="auto"/>
              <w:right w:val="single" w:sz="8" w:space="0" w:color="auto"/>
            </w:tcBorders>
          </w:tcPr>
          <w:p w14:paraId="7DD698A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2CAAE422"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136</w:t>
            </w:r>
          </w:p>
        </w:tc>
        <w:tc>
          <w:tcPr>
            <w:tcW w:w="1134" w:type="dxa"/>
            <w:tcBorders>
              <w:top w:val="nil"/>
              <w:left w:val="nil"/>
              <w:bottom w:val="single" w:sz="8" w:space="0" w:color="auto"/>
              <w:right w:val="single" w:sz="12" w:space="0" w:color="auto"/>
            </w:tcBorders>
          </w:tcPr>
          <w:p w14:paraId="32FEBF4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71FDA35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Ma, 1984</w:t>
            </w:r>
          </w:p>
        </w:tc>
      </w:tr>
      <w:tr w:rsidR="00632208" w:rsidRPr="0098635C" w14:paraId="21990A4C" w14:textId="77777777" w:rsidTr="00A432B0">
        <w:trPr>
          <w:trHeight w:val="463"/>
        </w:trPr>
        <w:tc>
          <w:tcPr>
            <w:tcW w:w="1402" w:type="dxa"/>
            <w:tcBorders>
              <w:top w:val="nil"/>
              <w:left w:val="single" w:sz="8" w:space="0" w:color="auto"/>
              <w:bottom w:val="single" w:sz="8" w:space="0" w:color="auto"/>
              <w:right w:val="single" w:sz="8" w:space="0" w:color="auto"/>
            </w:tcBorders>
          </w:tcPr>
          <w:p w14:paraId="56F38FFA"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Lumbricus rubellus</w:t>
            </w:r>
          </w:p>
        </w:tc>
        <w:tc>
          <w:tcPr>
            <w:tcW w:w="1276" w:type="dxa"/>
            <w:tcBorders>
              <w:top w:val="nil"/>
              <w:left w:val="nil"/>
              <w:bottom w:val="single" w:sz="8" w:space="0" w:color="auto"/>
              <w:right w:val="single" w:sz="8" w:space="0" w:color="auto"/>
            </w:tcBorders>
          </w:tcPr>
          <w:p w14:paraId="58E74DA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Sandy soil</w:t>
            </w:r>
          </w:p>
        </w:tc>
        <w:tc>
          <w:tcPr>
            <w:tcW w:w="709" w:type="dxa"/>
            <w:tcBorders>
              <w:top w:val="nil"/>
              <w:left w:val="nil"/>
              <w:bottom w:val="single" w:sz="8" w:space="0" w:color="auto"/>
              <w:right w:val="single" w:sz="8" w:space="0" w:color="auto"/>
            </w:tcBorders>
          </w:tcPr>
          <w:p w14:paraId="3C99CAD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708" w:type="dxa"/>
            <w:tcBorders>
              <w:top w:val="nil"/>
              <w:left w:val="nil"/>
              <w:bottom w:val="single" w:sz="8" w:space="0" w:color="auto"/>
              <w:right w:val="single" w:sz="8" w:space="0" w:color="auto"/>
            </w:tcBorders>
          </w:tcPr>
          <w:p w14:paraId="7308750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nil"/>
              <w:left w:val="nil"/>
              <w:bottom w:val="single" w:sz="8" w:space="0" w:color="auto"/>
              <w:right w:val="single" w:sz="8" w:space="0" w:color="auto"/>
            </w:tcBorders>
          </w:tcPr>
          <w:p w14:paraId="267E40D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548B6ED2"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850" w:type="dxa"/>
            <w:tcBorders>
              <w:top w:val="nil"/>
              <w:left w:val="nil"/>
              <w:bottom w:val="single" w:sz="8" w:space="0" w:color="auto"/>
              <w:right w:val="single" w:sz="8" w:space="0" w:color="auto"/>
            </w:tcBorders>
          </w:tcPr>
          <w:p w14:paraId="042756E5"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992" w:type="dxa"/>
            <w:tcBorders>
              <w:top w:val="nil"/>
              <w:left w:val="nil"/>
              <w:bottom w:val="single" w:sz="8" w:space="0" w:color="auto"/>
              <w:right w:val="single" w:sz="8" w:space="0" w:color="auto"/>
            </w:tcBorders>
          </w:tcPr>
          <w:p w14:paraId="743D322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6ABB083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single" w:sz="8" w:space="0" w:color="auto"/>
              <w:right w:val="single" w:sz="8" w:space="0" w:color="auto"/>
            </w:tcBorders>
          </w:tcPr>
          <w:p w14:paraId="2438245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r(cp)</w:t>
            </w:r>
          </w:p>
        </w:tc>
        <w:tc>
          <w:tcPr>
            <w:tcW w:w="851" w:type="dxa"/>
            <w:tcBorders>
              <w:top w:val="nil"/>
              <w:left w:val="nil"/>
              <w:bottom w:val="single" w:sz="8" w:space="0" w:color="auto"/>
              <w:right w:val="single" w:sz="8" w:space="0" w:color="auto"/>
            </w:tcBorders>
          </w:tcPr>
          <w:p w14:paraId="18D6F41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80</w:t>
            </w:r>
          </w:p>
        </w:tc>
        <w:tc>
          <w:tcPr>
            <w:tcW w:w="1134" w:type="dxa"/>
            <w:tcBorders>
              <w:top w:val="nil"/>
              <w:left w:val="nil"/>
              <w:bottom w:val="single" w:sz="8" w:space="0" w:color="auto"/>
              <w:right w:val="single" w:sz="8" w:space="0" w:color="auto"/>
            </w:tcBorders>
          </w:tcPr>
          <w:p w14:paraId="095E47E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00F9624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90.7</w:t>
            </w:r>
          </w:p>
        </w:tc>
        <w:tc>
          <w:tcPr>
            <w:tcW w:w="1134" w:type="dxa"/>
            <w:tcBorders>
              <w:top w:val="nil"/>
              <w:left w:val="nil"/>
              <w:bottom w:val="single" w:sz="8" w:space="0" w:color="auto"/>
              <w:right w:val="single" w:sz="12" w:space="0" w:color="auto"/>
            </w:tcBorders>
          </w:tcPr>
          <w:p w14:paraId="7A3D07B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125D552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Ma, 1988</w:t>
            </w:r>
          </w:p>
        </w:tc>
      </w:tr>
      <w:tr w:rsidR="00632208" w:rsidRPr="0098635C" w14:paraId="5B9C84C1" w14:textId="77777777" w:rsidTr="00A432B0">
        <w:trPr>
          <w:trHeight w:val="463"/>
        </w:trPr>
        <w:tc>
          <w:tcPr>
            <w:tcW w:w="1402" w:type="dxa"/>
            <w:tcBorders>
              <w:top w:val="nil"/>
              <w:left w:val="single" w:sz="8" w:space="0" w:color="auto"/>
              <w:bottom w:val="single" w:sz="8" w:space="0" w:color="auto"/>
              <w:right w:val="single" w:sz="8" w:space="0" w:color="auto"/>
            </w:tcBorders>
          </w:tcPr>
          <w:p w14:paraId="072CB784"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Lumbricus rubellus</w:t>
            </w:r>
          </w:p>
        </w:tc>
        <w:tc>
          <w:tcPr>
            <w:tcW w:w="1276" w:type="dxa"/>
            <w:tcBorders>
              <w:top w:val="nil"/>
              <w:left w:val="nil"/>
              <w:bottom w:val="single" w:sz="8" w:space="0" w:color="auto"/>
              <w:right w:val="single" w:sz="8" w:space="0" w:color="auto"/>
            </w:tcBorders>
          </w:tcPr>
          <w:p w14:paraId="5988F56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Forest soil</w:t>
            </w:r>
          </w:p>
        </w:tc>
        <w:tc>
          <w:tcPr>
            <w:tcW w:w="709" w:type="dxa"/>
            <w:tcBorders>
              <w:top w:val="nil"/>
              <w:left w:val="nil"/>
              <w:bottom w:val="single" w:sz="8" w:space="0" w:color="auto"/>
              <w:right w:val="single" w:sz="8" w:space="0" w:color="auto"/>
            </w:tcBorders>
          </w:tcPr>
          <w:p w14:paraId="763A6D7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8" w:type="dxa"/>
            <w:tcBorders>
              <w:top w:val="nil"/>
              <w:left w:val="nil"/>
              <w:bottom w:val="single" w:sz="8" w:space="0" w:color="auto"/>
              <w:right w:val="single" w:sz="8" w:space="0" w:color="auto"/>
            </w:tcBorders>
          </w:tcPr>
          <w:p w14:paraId="3A8574C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nil"/>
              <w:left w:val="nil"/>
              <w:bottom w:val="single" w:sz="8" w:space="0" w:color="auto"/>
              <w:right w:val="single" w:sz="8" w:space="0" w:color="auto"/>
            </w:tcBorders>
          </w:tcPr>
          <w:p w14:paraId="2CDD98F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4C42D93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nil"/>
              <w:left w:val="nil"/>
              <w:bottom w:val="single" w:sz="8" w:space="0" w:color="auto"/>
              <w:right w:val="single" w:sz="8" w:space="0" w:color="auto"/>
            </w:tcBorders>
          </w:tcPr>
          <w:p w14:paraId="3B93A20B"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992" w:type="dxa"/>
            <w:tcBorders>
              <w:top w:val="nil"/>
              <w:left w:val="nil"/>
              <w:bottom w:val="single" w:sz="8" w:space="0" w:color="auto"/>
              <w:right w:val="single" w:sz="8" w:space="0" w:color="auto"/>
            </w:tcBorders>
          </w:tcPr>
          <w:p w14:paraId="29BC470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36FDB8E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single" w:sz="8" w:space="0" w:color="auto"/>
              <w:right w:val="single" w:sz="8" w:space="0" w:color="auto"/>
            </w:tcBorders>
          </w:tcPr>
          <w:p w14:paraId="3EAA415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g</w:t>
            </w:r>
          </w:p>
        </w:tc>
        <w:tc>
          <w:tcPr>
            <w:tcW w:w="851" w:type="dxa"/>
            <w:tcBorders>
              <w:top w:val="nil"/>
              <w:left w:val="nil"/>
              <w:bottom w:val="single" w:sz="8" w:space="0" w:color="auto"/>
              <w:right w:val="single" w:sz="8" w:space="0" w:color="auto"/>
            </w:tcBorders>
          </w:tcPr>
          <w:p w14:paraId="249989E3"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73</w:t>
            </w:r>
            <w:r w:rsidRPr="0098635C">
              <w:rPr>
                <w:color w:val="000000" w:themeColor="text1"/>
                <w:sz w:val="20"/>
                <w:szCs w:val="20"/>
              </w:rPr>
              <w:t>*</w:t>
            </w:r>
          </w:p>
        </w:tc>
        <w:tc>
          <w:tcPr>
            <w:tcW w:w="1134" w:type="dxa"/>
            <w:tcBorders>
              <w:top w:val="nil"/>
              <w:left w:val="nil"/>
              <w:bottom w:val="single" w:sz="8" w:space="0" w:color="auto"/>
              <w:right w:val="single" w:sz="8" w:space="0" w:color="auto"/>
            </w:tcBorders>
          </w:tcPr>
          <w:p w14:paraId="314B96C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3BE4AE9B"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76</w:t>
            </w:r>
          </w:p>
        </w:tc>
        <w:tc>
          <w:tcPr>
            <w:tcW w:w="1134" w:type="dxa"/>
            <w:tcBorders>
              <w:top w:val="nil"/>
              <w:left w:val="nil"/>
              <w:bottom w:val="single" w:sz="8" w:space="0" w:color="auto"/>
              <w:right w:val="single" w:sz="12" w:space="0" w:color="auto"/>
            </w:tcBorders>
          </w:tcPr>
          <w:p w14:paraId="4F0B476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7EBE0A4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Svendsen &amp; Weeks, 1997b</w:t>
            </w:r>
          </w:p>
        </w:tc>
      </w:tr>
      <w:tr w:rsidR="00632208" w:rsidRPr="0098635C" w14:paraId="58C1E227" w14:textId="77777777" w:rsidTr="00A432B0">
        <w:trPr>
          <w:trHeight w:val="463"/>
        </w:trPr>
        <w:tc>
          <w:tcPr>
            <w:tcW w:w="1402" w:type="dxa"/>
            <w:tcBorders>
              <w:top w:val="nil"/>
              <w:left w:val="single" w:sz="8" w:space="0" w:color="auto"/>
              <w:bottom w:val="single" w:sz="8" w:space="0" w:color="auto"/>
              <w:right w:val="single" w:sz="8" w:space="0" w:color="auto"/>
            </w:tcBorders>
          </w:tcPr>
          <w:p w14:paraId="1E9DC6D8"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Lumbricus rubellus</w:t>
            </w:r>
          </w:p>
        </w:tc>
        <w:tc>
          <w:tcPr>
            <w:tcW w:w="1276" w:type="dxa"/>
            <w:tcBorders>
              <w:top w:val="nil"/>
              <w:left w:val="nil"/>
              <w:bottom w:val="single" w:sz="8" w:space="0" w:color="auto"/>
              <w:right w:val="single" w:sz="8" w:space="0" w:color="auto"/>
            </w:tcBorders>
          </w:tcPr>
          <w:p w14:paraId="25E2011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Forest soil</w:t>
            </w:r>
          </w:p>
        </w:tc>
        <w:tc>
          <w:tcPr>
            <w:tcW w:w="709" w:type="dxa"/>
            <w:tcBorders>
              <w:top w:val="nil"/>
              <w:left w:val="nil"/>
              <w:bottom w:val="single" w:sz="8" w:space="0" w:color="auto"/>
              <w:right w:val="single" w:sz="8" w:space="0" w:color="auto"/>
            </w:tcBorders>
          </w:tcPr>
          <w:p w14:paraId="6A4FD6A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w:t>
            </w:r>
          </w:p>
        </w:tc>
        <w:tc>
          <w:tcPr>
            <w:tcW w:w="708" w:type="dxa"/>
            <w:tcBorders>
              <w:top w:val="nil"/>
              <w:left w:val="nil"/>
              <w:bottom w:val="single" w:sz="8" w:space="0" w:color="auto"/>
              <w:right w:val="single" w:sz="8" w:space="0" w:color="auto"/>
            </w:tcBorders>
          </w:tcPr>
          <w:p w14:paraId="13EA603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709" w:type="dxa"/>
            <w:tcBorders>
              <w:top w:val="nil"/>
              <w:left w:val="nil"/>
              <w:bottom w:val="single" w:sz="8" w:space="0" w:color="auto"/>
              <w:right w:val="single" w:sz="8" w:space="0" w:color="auto"/>
            </w:tcBorders>
          </w:tcPr>
          <w:p w14:paraId="217AFE5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851" w:type="dxa"/>
            <w:tcBorders>
              <w:top w:val="nil"/>
              <w:left w:val="nil"/>
              <w:bottom w:val="single" w:sz="8" w:space="0" w:color="auto"/>
              <w:right w:val="single" w:sz="8" w:space="0" w:color="auto"/>
            </w:tcBorders>
          </w:tcPr>
          <w:p w14:paraId="067D3FC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3.2</w:t>
            </w:r>
          </w:p>
        </w:tc>
        <w:tc>
          <w:tcPr>
            <w:tcW w:w="850" w:type="dxa"/>
            <w:tcBorders>
              <w:top w:val="nil"/>
              <w:left w:val="nil"/>
              <w:bottom w:val="single" w:sz="8" w:space="0" w:color="auto"/>
              <w:right w:val="single" w:sz="8" w:space="0" w:color="auto"/>
            </w:tcBorders>
          </w:tcPr>
          <w:p w14:paraId="0E058BA5"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14.5</w:t>
            </w:r>
          </w:p>
        </w:tc>
        <w:tc>
          <w:tcPr>
            <w:tcW w:w="992" w:type="dxa"/>
            <w:tcBorders>
              <w:top w:val="nil"/>
              <w:left w:val="nil"/>
              <w:bottom w:val="single" w:sz="8" w:space="0" w:color="auto"/>
              <w:right w:val="single" w:sz="8" w:space="0" w:color="auto"/>
            </w:tcBorders>
          </w:tcPr>
          <w:p w14:paraId="05CAE93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single" w:sz="8" w:space="0" w:color="auto"/>
              <w:right w:val="single" w:sz="8" w:space="0" w:color="auto"/>
            </w:tcBorders>
          </w:tcPr>
          <w:p w14:paraId="5460FC1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nil"/>
              <w:left w:val="nil"/>
              <w:bottom w:val="single" w:sz="8" w:space="0" w:color="auto"/>
              <w:right w:val="single" w:sz="8" w:space="0" w:color="auto"/>
            </w:tcBorders>
          </w:tcPr>
          <w:p w14:paraId="27B4629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m</w:t>
            </w:r>
          </w:p>
        </w:tc>
        <w:tc>
          <w:tcPr>
            <w:tcW w:w="851" w:type="dxa"/>
            <w:tcBorders>
              <w:top w:val="nil"/>
              <w:left w:val="nil"/>
              <w:bottom w:val="single" w:sz="8" w:space="0" w:color="auto"/>
              <w:right w:val="single" w:sz="8" w:space="0" w:color="auto"/>
            </w:tcBorders>
          </w:tcPr>
          <w:p w14:paraId="4E36F8F8"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150*</w:t>
            </w:r>
          </w:p>
        </w:tc>
        <w:tc>
          <w:tcPr>
            <w:tcW w:w="1134" w:type="dxa"/>
            <w:tcBorders>
              <w:top w:val="nil"/>
              <w:left w:val="nil"/>
              <w:bottom w:val="single" w:sz="8" w:space="0" w:color="auto"/>
              <w:right w:val="single" w:sz="8" w:space="0" w:color="auto"/>
            </w:tcBorders>
          </w:tcPr>
          <w:p w14:paraId="2DFA323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72642B15"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153</w:t>
            </w:r>
          </w:p>
        </w:tc>
        <w:tc>
          <w:tcPr>
            <w:tcW w:w="1134" w:type="dxa"/>
            <w:tcBorders>
              <w:top w:val="nil"/>
              <w:left w:val="nil"/>
              <w:bottom w:val="single" w:sz="8" w:space="0" w:color="auto"/>
              <w:right w:val="single" w:sz="12" w:space="0" w:color="auto"/>
            </w:tcBorders>
          </w:tcPr>
          <w:p w14:paraId="07D5C80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2F688BA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Svendsen &amp; Weeks, 1997b</w:t>
            </w:r>
          </w:p>
        </w:tc>
      </w:tr>
      <w:tr w:rsidR="00632208" w:rsidRPr="0098635C" w14:paraId="5697A073" w14:textId="77777777" w:rsidTr="00A432B0">
        <w:trPr>
          <w:trHeight w:val="463"/>
        </w:trPr>
        <w:tc>
          <w:tcPr>
            <w:tcW w:w="1402" w:type="dxa"/>
            <w:tcBorders>
              <w:top w:val="nil"/>
              <w:left w:val="single" w:sz="8" w:space="0" w:color="auto"/>
              <w:bottom w:val="single" w:sz="8" w:space="0" w:color="auto"/>
              <w:right w:val="single" w:sz="8" w:space="0" w:color="auto"/>
            </w:tcBorders>
          </w:tcPr>
          <w:p w14:paraId="210DC843"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Lumbricus rubellus</w:t>
            </w:r>
          </w:p>
        </w:tc>
        <w:tc>
          <w:tcPr>
            <w:tcW w:w="1276" w:type="dxa"/>
            <w:tcBorders>
              <w:top w:val="nil"/>
              <w:left w:val="nil"/>
              <w:bottom w:val="single" w:sz="8" w:space="0" w:color="auto"/>
              <w:right w:val="single" w:sz="8" w:space="0" w:color="auto"/>
            </w:tcBorders>
          </w:tcPr>
          <w:p w14:paraId="28C880D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Clay loam</w:t>
            </w:r>
          </w:p>
        </w:tc>
        <w:tc>
          <w:tcPr>
            <w:tcW w:w="709" w:type="dxa"/>
            <w:tcBorders>
              <w:top w:val="nil"/>
              <w:left w:val="nil"/>
              <w:bottom w:val="single" w:sz="8" w:space="0" w:color="auto"/>
              <w:right w:val="single" w:sz="8" w:space="0" w:color="auto"/>
            </w:tcBorders>
          </w:tcPr>
          <w:p w14:paraId="2F0485E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5.8</w:t>
            </w:r>
          </w:p>
        </w:tc>
        <w:tc>
          <w:tcPr>
            <w:tcW w:w="708" w:type="dxa"/>
            <w:tcBorders>
              <w:top w:val="nil"/>
              <w:left w:val="nil"/>
              <w:bottom w:val="single" w:sz="8" w:space="0" w:color="auto"/>
              <w:right w:val="single" w:sz="8" w:space="0" w:color="auto"/>
            </w:tcBorders>
          </w:tcPr>
          <w:p w14:paraId="5B921D8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w:t>
            </w:r>
          </w:p>
        </w:tc>
        <w:tc>
          <w:tcPr>
            <w:tcW w:w="709" w:type="dxa"/>
            <w:tcBorders>
              <w:top w:val="nil"/>
              <w:left w:val="nil"/>
              <w:bottom w:val="single" w:sz="8" w:space="0" w:color="auto"/>
              <w:right w:val="single" w:sz="8" w:space="0" w:color="auto"/>
            </w:tcBorders>
          </w:tcPr>
          <w:p w14:paraId="0F8299E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5.1</w:t>
            </w:r>
          </w:p>
        </w:tc>
        <w:tc>
          <w:tcPr>
            <w:tcW w:w="851" w:type="dxa"/>
            <w:tcBorders>
              <w:top w:val="nil"/>
              <w:left w:val="nil"/>
              <w:bottom w:val="single" w:sz="8" w:space="0" w:color="auto"/>
              <w:right w:val="single" w:sz="8" w:space="0" w:color="auto"/>
            </w:tcBorders>
          </w:tcPr>
          <w:p w14:paraId="2056398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5.2</w:t>
            </w:r>
          </w:p>
        </w:tc>
        <w:tc>
          <w:tcPr>
            <w:tcW w:w="850" w:type="dxa"/>
            <w:tcBorders>
              <w:top w:val="nil"/>
              <w:left w:val="nil"/>
              <w:bottom w:val="single" w:sz="8" w:space="0" w:color="auto"/>
              <w:right w:val="single" w:sz="8" w:space="0" w:color="auto"/>
            </w:tcBorders>
          </w:tcPr>
          <w:p w14:paraId="26EA0CB8"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8.3</w:t>
            </w:r>
          </w:p>
        </w:tc>
        <w:tc>
          <w:tcPr>
            <w:tcW w:w="992" w:type="dxa"/>
            <w:tcBorders>
              <w:top w:val="nil"/>
              <w:left w:val="nil"/>
              <w:bottom w:val="single" w:sz="8" w:space="0" w:color="auto"/>
              <w:right w:val="single" w:sz="8" w:space="0" w:color="auto"/>
            </w:tcBorders>
          </w:tcPr>
          <w:p w14:paraId="7BF6C16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4466DFC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992" w:type="dxa"/>
            <w:tcBorders>
              <w:top w:val="nil"/>
              <w:left w:val="nil"/>
              <w:bottom w:val="single" w:sz="8" w:space="0" w:color="auto"/>
              <w:right w:val="single" w:sz="8" w:space="0" w:color="auto"/>
            </w:tcBorders>
          </w:tcPr>
          <w:p w14:paraId="39A431F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g</w:t>
            </w:r>
          </w:p>
        </w:tc>
        <w:tc>
          <w:tcPr>
            <w:tcW w:w="851" w:type="dxa"/>
            <w:tcBorders>
              <w:top w:val="nil"/>
              <w:left w:val="nil"/>
              <w:bottom w:val="nil"/>
              <w:right w:val="single" w:sz="8" w:space="0" w:color="auto"/>
            </w:tcBorders>
          </w:tcPr>
          <w:p w14:paraId="6B1D5B38"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139.6</w:t>
            </w:r>
          </w:p>
        </w:tc>
        <w:tc>
          <w:tcPr>
            <w:tcW w:w="1134" w:type="dxa"/>
            <w:tcBorders>
              <w:top w:val="nil"/>
              <w:left w:val="nil"/>
              <w:bottom w:val="nil"/>
              <w:right w:val="single" w:sz="8" w:space="0" w:color="auto"/>
            </w:tcBorders>
          </w:tcPr>
          <w:p w14:paraId="60415DA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nil"/>
              <w:right w:val="single" w:sz="8" w:space="0" w:color="000000"/>
            </w:tcBorders>
          </w:tcPr>
          <w:p w14:paraId="46B3395F"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154</w:t>
            </w:r>
          </w:p>
        </w:tc>
        <w:tc>
          <w:tcPr>
            <w:tcW w:w="1134" w:type="dxa"/>
            <w:tcBorders>
              <w:top w:val="nil"/>
              <w:left w:val="nil"/>
              <w:bottom w:val="nil"/>
              <w:right w:val="single" w:sz="12" w:space="0" w:color="auto"/>
            </w:tcBorders>
          </w:tcPr>
          <w:p w14:paraId="64ACB99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nil"/>
              <w:right w:val="single" w:sz="12" w:space="0" w:color="auto"/>
            </w:tcBorders>
          </w:tcPr>
          <w:p w14:paraId="5158CC0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Spurgeon et al (2004)</w:t>
            </w:r>
          </w:p>
        </w:tc>
      </w:tr>
      <w:tr w:rsidR="00632208" w:rsidRPr="0098635C" w14:paraId="6C9B9E27" w14:textId="77777777" w:rsidTr="00A432B0">
        <w:trPr>
          <w:trHeight w:val="463"/>
        </w:trPr>
        <w:tc>
          <w:tcPr>
            <w:tcW w:w="1402" w:type="dxa"/>
            <w:tcBorders>
              <w:top w:val="nil"/>
              <w:left w:val="single" w:sz="8" w:space="0" w:color="auto"/>
              <w:bottom w:val="single" w:sz="8" w:space="0" w:color="auto"/>
              <w:right w:val="single" w:sz="8" w:space="0" w:color="auto"/>
            </w:tcBorders>
          </w:tcPr>
          <w:p w14:paraId="11F3444E"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Octalasium cyaneum</w:t>
            </w:r>
          </w:p>
        </w:tc>
        <w:tc>
          <w:tcPr>
            <w:tcW w:w="1276" w:type="dxa"/>
            <w:tcBorders>
              <w:top w:val="nil"/>
              <w:left w:val="nil"/>
              <w:bottom w:val="single" w:sz="8" w:space="0" w:color="auto"/>
              <w:right w:val="single" w:sz="8" w:space="0" w:color="auto"/>
            </w:tcBorders>
          </w:tcPr>
          <w:p w14:paraId="3C9026B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brown soil</w:t>
            </w:r>
          </w:p>
        </w:tc>
        <w:tc>
          <w:tcPr>
            <w:tcW w:w="709" w:type="dxa"/>
            <w:tcBorders>
              <w:top w:val="nil"/>
              <w:left w:val="nil"/>
              <w:bottom w:val="single" w:sz="8" w:space="0" w:color="auto"/>
              <w:right w:val="single" w:sz="8" w:space="0" w:color="auto"/>
            </w:tcBorders>
          </w:tcPr>
          <w:p w14:paraId="012A5E8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8" w:type="dxa"/>
            <w:tcBorders>
              <w:top w:val="nil"/>
              <w:left w:val="nil"/>
              <w:bottom w:val="single" w:sz="8" w:space="0" w:color="auto"/>
              <w:right w:val="single" w:sz="8" w:space="0" w:color="auto"/>
            </w:tcBorders>
          </w:tcPr>
          <w:p w14:paraId="51781F6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nil"/>
              <w:left w:val="nil"/>
              <w:bottom w:val="single" w:sz="8" w:space="0" w:color="auto"/>
              <w:right w:val="single" w:sz="8" w:space="0" w:color="auto"/>
            </w:tcBorders>
          </w:tcPr>
          <w:p w14:paraId="085A8B0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1493E56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nil"/>
              <w:left w:val="nil"/>
              <w:bottom w:val="single" w:sz="8" w:space="0" w:color="auto"/>
              <w:right w:val="single" w:sz="8" w:space="0" w:color="auto"/>
            </w:tcBorders>
          </w:tcPr>
          <w:p w14:paraId="08D48F2A"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992" w:type="dxa"/>
            <w:tcBorders>
              <w:top w:val="nil"/>
              <w:left w:val="nil"/>
              <w:bottom w:val="single" w:sz="8" w:space="0" w:color="auto"/>
              <w:right w:val="single" w:sz="8" w:space="0" w:color="auto"/>
            </w:tcBorders>
          </w:tcPr>
          <w:p w14:paraId="5D85039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52E6AC3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single" w:sz="8" w:space="0" w:color="auto"/>
              <w:right w:val="single" w:sz="8" w:space="0" w:color="auto"/>
            </w:tcBorders>
          </w:tcPr>
          <w:p w14:paraId="7668977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m</w:t>
            </w:r>
          </w:p>
        </w:tc>
        <w:tc>
          <w:tcPr>
            <w:tcW w:w="851" w:type="dxa"/>
            <w:tcBorders>
              <w:top w:val="nil"/>
              <w:left w:val="nil"/>
              <w:bottom w:val="single" w:sz="8" w:space="0" w:color="auto"/>
              <w:right w:val="single" w:sz="8" w:space="0" w:color="auto"/>
            </w:tcBorders>
          </w:tcPr>
          <w:p w14:paraId="2587648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100</w:t>
            </w:r>
          </w:p>
        </w:tc>
        <w:tc>
          <w:tcPr>
            <w:tcW w:w="1134" w:type="dxa"/>
            <w:tcBorders>
              <w:top w:val="nil"/>
              <w:left w:val="nil"/>
              <w:bottom w:val="single" w:sz="8" w:space="0" w:color="auto"/>
              <w:right w:val="single" w:sz="8" w:space="0" w:color="auto"/>
            </w:tcBorders>
          </w:tcPr>
          <w:p w14:paraId="5628872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6BD5C38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153</w:t>
            </w:r>
          </w:p>
        </w:tc>
        <w:tc>
          <w:tcPr>
            <w:tcW w:w="1134" w:type="dxa"/>
            <w:tcBorders>
              <w:top w:val="nil"/>
              <w:left w:val="nil"/>
              <w:bottom w:val="single" w:sz="8" w:space="0" w:color="auto"/>
              <w:right w:val="single" w:sz="12" w:space="0" w:color="auto"/>
            </w:tcBorders>
          </w:tcPr>
          <w:p w14:paraId="02BADC2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559C6A0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Spurgeon et al (2004)</w:t>
            </w:r>
          </w:p>
        </w:tc>
      </w:tr>
      <w:tr w:rsidR="00632208" w:rsidRPr="0098635C" w14:paraId="7540B161" w14:textId="77777777" w:rsidTr="00A432B0">
        <w:trPr>
          <w:trHeight w:val="463"/>
        </w:trPr>
        <w:tc>
          <w:tcPr>
            <w:tcW w:w="1402" w:type="dxa"/>
            <w:tcBorders>
              <w:top w:val="nil"/>
              <w:left w:val="single" w:sz="8" w:space="0" w:color="auto"/>
              <w:bottom w:val="single" w:sz="8" w:space="0" w:color="auto"/>
              <w:right w:val="single" w:sz="8" w:space="0" w:color="auto"/>
            </w:tcBorders>
          </w:tcPr>
          <w:p w14:paraId="290F1D54"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lastRenderedPageBreak/>
              <w:t>Octalasium cyaneum</w:t>
            </w:r>
          </w:p>
        </w:tc>
        <w:tc>
          <w:tcPr>
            <w:tcW w:w="1276" w:type="dxa"/>
            <w:tcBorders>
              <w:top w:val="nil"/>
              <w:left w:val="nil"/>
              <w:bottom w:val="single" w:sz="8" w:space="0" w:color="auto"/>
              <w:right w:val="single" w:sz="8" w:space="0" w:color="auto"/>
            </w:tcBorders>
          </w:tcPr>
          <w:p w14:paraId="43E4ED5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peaty soil</w:t>
            </w:r>
          </w:p>
        </w:tc>
        <w:tc>
          <w:tcPr>
            <w:tcW w:w="709" w:type="dxa"/>
            <w:tcBorders>
              <w:top w:val="nil"/>
              <w:left w:val="nil"/>
              <w:bottom w:val="single" w:sz="8" w:space="0" w:color="auto"/>
              <w:right w:val="single" w:sz="8" w:space="0" w:color="auto"/>
            </w:tcBorders>
          </w:tcPr>
          <w:p w14:paraId="4072FE6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5.8</w:t>
            </w:r>
          </w:p>
        </w:tc>
        <w:tc>
          <w:tcPr>
            <w:tcW w:w="708" w:type="dxa"/>
            <w:tcBorders>
              <w:top w:val="nil"/>
              <w:left w:val="nil"/>
              <w:bottom w:val="single" w:sz="8" w:space="0" w:color="auto"/>
              <w:right w:val="single" w:sz="8" w:space="0" w:color="auto"/>
            </w:tcBorders>
          </w:tcPr>
          <w:p w14:paraId="169755D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w:t>
            </w:r>
          </w:p>
        </w:tc>
        <w:tc>
          <w:tcPr>
            <w:tcW w:w="709" w:type="dxa"/>
            <w:tcBorders>
              <w:top w:val="nil"/>
              <w:left w:val="nil"/>
              <w:bottom w:val="single" w:sz="8" w:space="0" w:color="auto"/>
              <w:right w:val="single" w:sz="8" w:space="0" w:color="auto"/>
            </w:tcBorders>
          </w:tcPr>
          <w:p w14:paraId="46C411E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5.1</w:t>
            </w:r>
          </w:p>
        </w:tc>
        <w:tc>
          <w:tcPr>
            <w:tcW w:w="851" w:type="dxa"/>
            <w:tcBorders>
              <w:top w:val="nil"/>
              <w:left w:val="nil"/>
              <w:bottom w:val="single" w:sz="8" w:space="0" w:color="auto"/>
              <w:right w:val="single" w:sz="8" w:space="0" w:color="auto"/>
            </w:tcBorders>
          </w:tcPr>
          <w:p w14:paraId="6AF0E3F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5.2</w:t>
            </w:r>
          </w:p>
        </w:tc>
        <w:tc>
          <w:tcPr>
            <w:tcW w:w="850" w:type="dxa"/>
            <w:tcBorders>
              <w:top w:val="nil"/>
              <w:left w:val="nil"/>
              <w:bottom w:val="single" w:sz="8" w:space="0" w:color="auto"/>
              <w:right w:val="single" w:sz="8" w:space="0" w:color="auto"/>
            </w:tcBorders>
          </w:tcPr>
          <w:p w14:paraId="3665D139"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8.3</w:t>
            </w:r>
          </w:p>
        </w:tc>
        <w:tc>
          <w:tcPr>
            <w:tcW w:w="992" w:type="dxa"/>
            <w:tcBorders>
              <w:top w:val="nil"/>
              <w:left w:val="nil"/>
              <w:bottom w:val="single" w:sz="8" w:space="0" w:color="auto"/>
              <w:right w:val="single" w:sz="8" w:space="0" w:color="auto"/>
            </w:tcBorders>
          </w:tcPr>
          <w:p w14:paraId="7B18399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6B6562E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56</w:t>
            </w:r>
          </w:p>
        </w:tc>
        <w:tc>
          <w:tcPr>
            <w:tcW w:w="992" w:type="dxa"/>
            <w:tcBorders>
              <w:top w:val="nil"/>
              <w:left w:val="nil"/>
              <w:bottom w:val="single" w:sz="8" w:space="0" w:color="auto"/>
              <w:right w:val="single" w:sz="8" w:space="0" w:color="auto"/>
            </w:tcBorders>
          </w:tcPr>
          <w:p w14:paraId="2B9092E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m</w:t>
            </w:r>
          </w:p>
        </w:tc>
        <w:tc>
          <w:tcPr>
            <w:tcW w:w="851" w:type="dxa"/>
            <w:tcBorders>
              <w:top w:val="nil"/>
              <w:left w:val="nil"/>
              <w:bottom w:val="single" w:sz="8" w:space="0" w:color="auto"/>
              <w:right w:val="single" w:sz="8" w:space="0" w:color="auto"/>
            </w:tcBorders>
          </w:tcPr>
          <w:p w14:paraId="6461B24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1,200</w:t>
            </w:r>
          </w:p>
        </w:tc>
        <w:tc>
          <w:tcPr>
            <w:tcW w:w="1134" w:type="dxa"/>
            <w:tcBorders>
              <w:top w:val="nil"/>
              <w:left w:val="nil"/>
              <w:bottom w:val="single" w:sz="8" w:space="0" w:color="auto"/>
              <w:right w:val="single" w:sz="8" w:space="0" w:color="auto"/>
            </w:tcBorders>
          </w:tcPr>
          <w:p w14:paraId="1300B39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1CF5ABD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1,214</w:t>
            </w:r>
          </w:p>
        </w:tc>
        <w:tc>
          <w:tcPr>
            <w:tcW w:w="1134" w:type="dxa"/>
            <w:tcBorders>
              <w:top w:val="nil"/>
              <w:left w:val="nil"/>
              <w:bottom w:val="single" w:sz="8" w:space="0" w:color="auto"/>
              <w:right w:val="single" w:sz="12" w:space="0" w:color="auto"/>
            </w:tcBorders>
          </w:tcPr>
          <w:p w14:paraId="17CE8C6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69EE47A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Jäggy &amp; Streit, 1982</w:t>
            </w:r>
          </w:p>
        </w:tc>
      </w:tr>
      <w:tr w:rsidR="00632208" w:rsidRPr="0098635C" w14:paraId="78574B52" w14:textId="77777777" w:rsidTr="00A432B0">
        <w:trPr>
          <w:trHeight w:val="463"/>
        </w:trPr>
        <w:tc>
          <w:tcPr>
            <w:tcW w:w="1402" w:type="dxa"/>
            <w:tcBorders>
              <w:top w:val="nil"/>
              <w:left w:val="single" w:sz="8" w:space="0" w:color="auto"/>
              <w:bottom w:val="single" w:sz="8" w:space="0" w:color="auto"/>
              <w:right w:val="single" w:sz="8" w:space="0" w:color="auto"/>
            </w:tcBorders>
          </w:tcPr>
          <w:p w14:paraId="4DE1C7E7"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Plectus acuminatus</w:t>
            </w:r>
          </w:p>
        </w:tc>
        <w:tc>
          <w:tcPr>
            <w:tcW w:w="1276" w:type="dxa"/>
            <w:tcBorders>
              <w:top w:val="nil"/>
              <w:left w:val="nil"/>
              <w:bottom w:val="single" w:sz="8" w:space="0" w:color="auto"/>
              <w:right w:val="single" w:sz="8" w:space="0" w:color="auto"/>
            </w:tcBorders>
          </w:tcPr>
          <w:p w14:paraId="69BED7E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OECD</w:t>
            </w:r>
          </w:p>
        </w:tc>
        <w:tc>
          <w:tcPr>
            <w:tcW w:w="709" w:type="dxa"/>
            <w:tcBorders>
              <w:top w:val="nil"/>
              <w:left w:val="nil"/>
              <w:bottom w:val="single" w:sz="8" w:space="0" w:color="auto"/>
              <w:right w:val="single" w:sz="8" w:space="0" w:color="auto"/>
            </w:tcBorders>
          </w:tcPr>
          <w:p w14:paraId="596CF9A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8" w:type="dxa"/>
            <w:tcBorders>
              <w:top w:val="nil"/>
              <w:left w:val="nil"/>
              <w:bottom w:val="single" w:sz="8" w:space="0" w:color="auto"/>
              <w:right w:val="single" w:sz="8" w:space="0" w:color="auto"/>
            </w:tcBorders>
          </w:tcPr>
          <w:p w14:paraId="44B3565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nil"/>
              <w:left w:val="nil"/>
              <w:bottom w:val="single" w:sz="8" w:space="0" w:color="auto"/>
              <w:right w:val="single" w:sz="8" w:space="0" w:color="auto"/>
            </w:tcBorders>
          </w:tcPr>
          <w:p w14:paraId="2F04F29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6BDA9B23"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850" w:type="dxa"/>
            <w:tcBorders>
              <w:top w:val="nil"/>
              <w:left w:val="nil"/>
              <w:bottom w:val="single" w:sz="8" w:space="0" w:color="auto"/>
              <w:right w:val="single" w:sz="8" w:space="0" w:color="auto"/>
            </w:tcBorders>
          </w:tcPr>
          <w:p w14:paraId="3C7E6E39"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992" w:type="dxa"/>
            <w:tcBorders>
              <w:top w:val="nil"/>
              <w:left w:val="nil"/>
              <w:bottom w:val="single" w:sz="8" w:space="0" w:color="auto"/>
              <w:right w:val="single" w:sz="8" w:space="0" w:color="auto"/>
            </w:tcBorders>
          </w:tcPr>
          <w:p w14:paraId="595758B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06F481A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single" w:sz="8" w:space="0" w:color="auto"/>
              <w:right w:val="single" w:sz="8" w:space="0" w:color="auto"/>
            </w:tcBorders>
          </w:tcPr>
          <w:p w14:paraId="6D1E136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r(jp)</w:t>
            </w:r>
          </w:p>
        </w:tc>
        <w:tc>
          <w:tcPr>
            <w:tcW w:w="851" w:type="dxa"/>
            <w:tcBorders>
              <w:top w:val="nil"/>
              <w:left w:val="nil"/>
              <w:bottom w:val="single" w:sz="8" w:space="0" w:color="auto"/>
              <w:right w:val="single" w:sz="8" w:space="0" w:color="auto"/>
            </w:tcBorders>
          </w:tcPr>
          <w:p w14:paraId="35DBDB78"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32</w:t>
            </w:r>
          </w:p>
        </w:tc>
        <w:tc>
          <w:tcPr>
            <w:tcW w:w="1134" w:type="dxa"/>
            <w:tcBorders>
              <w:top w:val="nil"/>
              <w:left w:val="nil"/>
              <w:bottom w:val="single" w:sz="8" w:space="0" w:color="auto"/>
              <w:right w:val="single" w:sz="8" w:space="0" w:color="auto"/>
            </w:tcBorders>
          </w:tcPr>
          <w:p w14:paraId="4E7F5E2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074B52DD"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35.2</w:t>
            </w:r>
          </w:p>
        </w:tc>
        <w:tc>
          <w:tcPr>
            <w:tcW w:w="1134" w:type="dxa"/>
            <w:tcBorders>
              <w:top w:val="nil"/>
              <w:left w:val="nil"/>
              <w:bottom w:val="single" w:sz="8" w:space="0" w:color="auto"/>
              <w:right w:val="single" w:sz="12" w:space="0" w:color="auto"/>
            </w:tcBorders>
          </w:tcPr>
          <w:p w14:paraId="6FB69C3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4B9398B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Kammenga et al., 1996</w:t>
            </w:r>
          </w:p>
        </w:tc>
      </w:tr>
      <w:tr w:rsidR="00632208" w:rsidRPr="0098635C" w14:paraId="390ADECC" w14:textId="77777777" w:rsidTr="00A432B0">
        <w:trPr>
          <w:trHeight w:val="463"/>
        </w:trPr>
        <w:tc>
          <w:tcPr>
            <w:tcW w:w="1402" w:type="dxa"/>
            <w:tcBorders>
              <w:top w:val="nil"/>
              <w:left w:val="single" w:sz="8" w:space="0" w:color="auto"/>
              <w:bottom w:val="single" w:sz="8" w:space="0" w:color="auto"/>
              <w:right w:val="single" w:sz="8" w:space="0" w:color="auto"/>
            </w:tcBorders>
          </w:tcPr>
          <w:p w14:paraId="47F17FA0"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Platynothrus peltifer</w:t>
            </w:r>
          </w:p>
        </w:tc>
        <w:tc>
          <w:tcPr>
            <w:tcW w:w="1276" w:type="dxa"/>
            <w:tcBorders>
              <w:top w:val="nil"/>
              <w:left w:val="nil"/>
              <w:bottom w:val="single" w:sz="8" w:space="0" w:color="auto"/>
              <w:right w:val="single" w:sz="8" w:space="0" w:color="auto"/>
            </w:tcBorders>
          </w:tcPr>
          <w:p w14:paraId="16B9FA4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LUFA 2.2</w:t>
            </w:r>
          </w:p>
        </w:tc>
        <w:tc>
          <w:tcPr>
            <w:tcW w:w="709" w:type="dxa"/>
            <w:tcBorders>
              <w:top w:val="nil"/>
              <w:left w:val="nil"/>
              <w:bottom w:val="single" w:sz="8" w:space="0" w:color="auto"/>
              <w:right w:val="single" w:sz="8" w:space="0" w:color="auto"/>
            </w:tcBorders>
          </w:tcPr>
          <w:p w14:paraId="77C2ADB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8" w:type="dxa"/>
            <w:tcBorders>
              <w:top w:val="nil"/>
              <w:left w:val="nil"/>
              <w:bottom w:val="single" w:sz="8" w:space="0" w:color="auto"/>
              <w:right w:val="single" w:sz="8" w:space="0" w:color="auto"/>
            </w:tcBorders>
          </w:tcPr>
          <w:p w14:paraId="028F030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nil"/>
              <w:left w:val="nil"/>
              <w:bottom w:val="single" w:sz="8" w:space="0" w:color="auto"/>
              <w:right w:val="single" w:sz="8" w:space="0" w:color="auto"/>
            </w:tcBorders>
          </w:tcPr>
          <w:p w14:paraId="4372CF6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268C3376"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850" w:type="dxa"/>
            <w:tcBorders>
              <w:top w:val="nil"/>
              <w:left w:val="nil"/>
              <w:bottom w:val="single" w:sz="8" w:space="0" w:color="auto"/>
              <w:right w:val="single" w:sz="8" w:space="0" w:color="auto"/>
            </w:tcBorders>
          </w:tcPr>
          <w:p w14:paraId="6B9EFC73"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 </w:t>
            </w:r>
          </w:p>
        </w:tc>
        <w:tc>
          <w:tcPr>
            <w:tcW w:w="992" w:type="dxa"/>
            <w:tcBorders>
              <w:top w:val="nil"/>
              <w:left w:val="nil"/>
              <w:bottom w:val="single" w:sz="8" w:space="0" w:color="auto"/>
              <w:right w:val="single" w:sz="8" w:space="0" w:color="auto"/>
            </w:tcBorders>
          </w:tcPr>
          <w:p w14:paraId="4D47A5A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50AB352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single" w:sz="8" w:space="0" w:color="auto"/>
              <w:right w:val="single" w:sz="8" w:space="0" w:color="auto"/>
            </w:tcBorders>
          </w:tcPr>
          <w:p w14:paraId="53234DE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r(jp)</w:t>
            </w:r>
          </w:p>
        </w:tc>
        <w:tc>
          <w:tcPr>
            <w:tcW w:w="851" w:type="dxa"/>
            <w:tcBorders>
              <w:top w:val="nil"/>
              <w:left w:val="nil"/>
              <w:bottom w:val="single" w:sz="8" w:space="0" w:color="auto"/>
              <w:right w:val="single" w:sz="8" w:space="0" w:color="auto"/>
            </w:tcBorders>
          </w:tcPr>
          <w:p w14:paraId="0C702888"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63</w:t>
            </w:r>
          </w:p>
        </w:tc>
        <w:tc>
          <w:tcPr>
            <w:tcW w:w="1134" w:type="dxa"/>
            <w:tcBorders>
              <w:top w:val="nil"/>
              <w:left w:val="nil"/>
              <w:bottom w:val="single" w:sz="8" w:space="0" w:color="auto"/>
              <w:right w:val="single" w:sz="8" w:space="0" w:color="auto"/>
            </w:tcBorders>
          </w:tcPr>
          <w:p w14:paraId="45CF90D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46F39098"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68.2</w:t>
            </w:r>
          </w:p>
        </w:tc>
        <w:tc>
          <w:tcPr>
            <w:tcW w:w="1134" w:type="dxa"/>
            <w:tcBorders>
              <w:top w:val="nil"/>
              <w:left w:val="nil"/>
              <w:bottom w:val="single" w:sz="8" w:space="0" w:color="auto"/>
              <w:right w:val="single" w:sz="12" w:space="0" w:color="auto"/>
            </w:tcBorders>
          </w:tcPr>
          <w:p w14:paraId="08FEFBE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39136B5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Van Gestel and Doornekamp, 1998</w:t>
            </w:r>
          </w:p>
        </w:tc>
      </w:tr>
      <w:tr w:rsidR="00632208" w:rsidRPr="0098635C" w14:paraId="56FE2F78" w14:textId="77777777" w:rsidTr="00A432B0">
        <w:trPr>
          <w:trHeight w:val="463"/>
        </w:trPr>
        <w:tc>
          <w:tcPr>
            <w:tcW w:w="1402" w:type="dxa"/>
            <w:tcBorders>
              <w:top w:val="nil"/>
              <w:left w:val="single" w:sz="8" w:space="0" w:color="auto"/>
              <w:bottom w:val="single" w:sz="8" w:space="0" w:color="auto"/>
              <w:right w:val="single" w:sz="8" w:space="0" w:color="auto"/>
            </w:tcBorders>
          </w:tcPr>
          <w:p w14:paraId="7112164B"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Platynothrus peltifer</w:t>
            </w:r>
          </w:p>
        </w:tc>
        <w:tc>
          <w:tcPr>
            <w:tcW w:w="1276" w:type="dxa"/>
            <w:tcBorders>
              <w:top w:val="nil"/>
              <w:left w:val="nil"/>
              <w:bottom w:val="single" w:sz="8" w:space="0" w:color="auto"/>
              <w:right w:val="single" w:sz="8" w:space="0" w:color="auto"/>
            </w:tcBorders>
          </w:tcPr>
          <w:p w14:paraId="5DEE217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LUFA 2.2</w:t>
            </w:r>
          </w:p>
        </w:tc>
        <w:tc>
          <w:tcPr>
            <w:tcW w:w="709" w:type="dxa"/>
            <w:tcBorders>
              <w:top w:val="nil"/>
              <w:left w:val="nil"/>
              <w:bottom w:val="single" w:sz="8" w:space="0" w:color="auto"/>
              <w:right w:val="single" w:sz="8" w:space="0" w:color="auto"/>
            </w:tcBorders>
          </w:tcPr>
          <w:p w14:paraId="1386095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4.8</w:t>
            </w:r>
          </w:p>
        </w:tc>
        <w:tc>
          <w:tcPr>
            <w:tcW w:w="708" w:type="dxa"/>
            <w:tcBorders>
              <w:top w:val="nil"/>
              <w:left w:val="nil"/>
              <w:bottom w:val="single" w:sz="8" w:space="0" w:color="auto"/>
              <w:right w:val="single" w:sz="8" w:space="0" w:color="auto"/>
            </w:tcBorders>
          </w:tcPr>
          <w:p w14:paraId="1820991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5.7</w:t>
            </w:r>
          </w:p>
        </w:tc>
        <w:tc>
          <w:tcPr>
            <w:tcW w:w="709" w:type="dxa"/>
            <w:tcBorders>
              <w:top w:val="nil"/>
              <w:left w:val="nil"/>
              <w:bottom w:val="single" w:sz="8" w:space="0" w:color="auto"/>
              <w:right w:val="single" w:sz="8" w:space="0" w:color="auto"/>
            </w:tcBorders>
          </w:tcPr>
          <w:p w14:paraId="359E867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w:t>
            </w:r>
          </w:p>
        </w:tc>
        <w:tc>
          <w:tcPr>
            <w:tcW w:w="851" w:type="dxa"/>
            <w:tcBorders>
              <w:top w:val="nil"/>
              <w:left w:val="nil"/>
              <w:bottom w:val="single" w:sz="8" w:space="0" w:color="auto"/>
              <w:right w:val="single" w:sz="8" w:space="0" w:color="auto"/>
            </w:tcBorders>
          </w:tcPr>
          <w:p w14:paraId="1D9A2F8C"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14</w:t>
            </w:r>
          </w:p>
        </w:tc>
        <w:tc>
          <w:tcPr>
            <w:tcW w:w="850" w:type="dxa"/>
            <w:tcBorders>
              <w:top w:val="nil"/>
              <w:left w:val="nil"/>
              <w:bottom w:val="single" w:sz="8" w:space="0" w:color="auto"/>
              <w:right w:val="single" w:sz="8" w:space="0" w:color="auto"/>
            </w:tcBorders>
          </w:tcPr>
          <w:p w14:paraId="3F1EC1EF"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7.2</w:t>
            </w:r>
          </w:p>
        </w:tc>
        <w:tc>
          <w:tcPr>
            <w:tcW w:w="992" w:type="dxa"/>
            <w:tcBorders>
              <w:top w:val="nil"/>
              <w:left w:val="nil"/>
              <w:bottom w:val="single" w:sz="8" w:space="0" w:color="auto"/>
              <w:right w:val="single" w:sz="8" w:space="0" w:color="auto"/>
            </w:tcBorders>
          </w:tcPr>
          <w:p w14:paraId="1A02D0E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7914268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42</w:t>
            </w:r>
          </w:p>
        </w:tc>
        <w:tc>
          <w:tcPr>
            <w:tcW w:w="992" w:type="dxa"/>
            <w:tcBorders>
              <w:top w:val="nil"/>
              <w:left w:val="nil"/>
              <w:bottom w:val="single" w:sz="8" w:space="0" w:color="auto"/>
              <w:right w:val="single" w:sz="8" w:space="0" w:color="auto"/>
            </w:tcBorders>
          </w:tcPr>
          <w:p w14:paraId="1516B3E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r(jp)</w:t>
            </w:r>
          </w:p>
        </w:tc>
        <w:tc>
          <w:tcPr>
            <w:tcW w:w="851" w:type="dxa"/>
            <w:tcBorders>
              <w:top w:val="nil"/>
              <w:left w:val="nil"/>
              <w:bottom w:val="single" w:sz="8" w:space="0" w:color="auto"/>
              <w:right w:val="single" w:sz="8" w:space="0" w:color="auto"/>
            </w:tcBorders>
          </w:tcPr>
          <w:p w14:paraId="23007ADD"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63</w:t>
            </w:r>
          </w:p>
        </w:tc>
        <w:tc>
          <w:tcPr>
            <w:tcW w:w="1134" w:type="dxa"/>
            <w:tcBorders>
              <w:top w:val="nil"/>
              <w:left w:val="nil"/>
              <w:bottom w:val="single" w:sz="8" w:space="0" w:color="auto"/>
              <w:right w:val="single" w:sz="8" w:space="0" w:color="auto"/>
            </w:tcBorders>
          </w:tcPr>
          <w:p w14:paraId="647630D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253DCAE2"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68.2</w:t>
            </w:r>
          </w:p>
        </w:tc>
        <w:tc>
          <w:tcPr>
            <w:tcW w:w="1134" w:type="dxa"/>
            <w:tcBorders>
              <w:top w:val="nil"/>
              <w:left w:val="nil"/>
              <w:bottom w:val="single" w:sz="8" w:space="0" w:color="auto"/>
              <w:right w:val="single" w:sz="12" w:space="0" w:color="auto"/>
            </w:tcBorders>
          </w:tcPr>
          <w:p w14:paraId="4E9CFAD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775019E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Van Gestel and Doornekamp, 1998</w:t>
            </w:r>
          </w:p>
        </w:tc>
      </w:tr>
      <w:tr w:rsidR="00632208" w:rsidRPr="0098635C" w14:paraId="1668AC14" w14:textId="77777777" w:rsidTr="00A432B0">
        <w:trPr>
          <w:trHeight w:val="463"/>
        </w:trPr>
        <w:tc>
          <w:tcPr>
            <w:tcW w:w="1402" w:type="dxa"/>
            <w:tcBorders>
              <w:top w:val="nil"/>
              <w:left w:val="single" w:sz="8" w:space="0" w:color="auto"/>
              <w:bottom w:val="single" w:sz="8" w:space="0" w:color="auto"/>
              <w:right w:val="single" w:sz="8" w:space="0" w:color="auto"/>
            </w:tcBorders>
          </w:tcPr>
          <w:p w14:paraId="7070014E"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Platynothrus peltifer</w:t>
            </w:r>
          </w:p>
        </w:tc>
        <w:tc>
          <w:tcPr>
            <w:tcW w:w="1276" w:type="dxa"/>
            <w:tcBorders>
              <w:top w:val="nil"/>
              <w:left w:val="nil"/>
              <w:bottom w:val="single" w:sz="8" w:space="0" w:color="auto"/>
              <w:right w:val="single" w:sz="8" w:space="0" w:color="auto"/>
            </w:tcBorders>
          </w:tcPr>
          <w:p w14:paraId="13EF111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LUFA 2.2</w:t>
            </w:r>
          </w:p>
        </w:tc>
        <w:tc>
          <w:tcPr>
            <w:tcW w:w="709" w:type="dxa"/>
            <w:tcBorders>
              <w:top w:val="nil"/>
              <w:left w:val="nil"/>
              <w:bottom w:val="single" w:sz="8" w:space="0" w:color="auto"/>
              <w:right w:val="single" w:sz="8" w:space="0" w:color="auto"/>
            </w:tcBorders>
          </w:tcPr>
          <w:p w14:paraId="556E52E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4.8</w:t>
            </w:r>
          </w:p>
        </w:tc>
        <w:tc>
          <w:tcPr>
            <w:tcW w:w="708" w:type="dxa"/>
            <w:tcBorders>
              <w:top w:val="nil"/>
              <w:left w:val="nil"/>
              <w:bottom w:val="single" w:sz="8" w:space="0" w:color="auto"/>
              <w:right w:val="single" w:sz="8" w:space="0" w:color="auto"/>
            </w:tcBorders>
          </w:tcPr>
          <w:p w14:paraId="046E40D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5.7</w:t>
            </w:r>
          </w:p>
        </w:tc>
        <w:tc>
          <w:tcPr>
            <w:tcW w:w="709" w:type="dxa"/>
            <w:tcBorders>
              <w:top w:val="nil"/>
              <w:left w:val="nil"/>
              <w:bottom w:val="single" w:sz="8" w:space="0" w:color="auto"/>
              <w:right w:val="single" w:sz="8" w:space="0" w:color="auto"/>
            </w:tcBorders>
          </w:tcPr>
          <w:p w14:paraId="14B9DC9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w:t>
            </w:r>
          </w:p>
        </w:tc>
        <w:tc>
          <w:tcPr>
            <w:tcW w:w="851" w:type="dxa"/>
            <w:tcBorders>
              <w:top w:val="nil"/>
              <w:left w:val="nil"/>
              <w:bottom w:val="single" w:sz="8" w:space="0" w:color="auto"/>
              <w:right w:val="single" w:sz="8" w:space="0" w:color="auto"/>
            </w:tcBorders>
          </w:tcPr>
          <w:p w14:paraId="39510D1C"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14</w:t>
            </w:r>
          </w:p>
        </w:tc>
        <w:tc>
          <w:tcPr>
            <w:tcW w:w="850" w:type="dxa"/>
            <w:tcBorders>
              <w:top w:val="nil"/>
              <w:left w:val="nil"/>
              <w:bottom w:val="single" w:sz="8" w:space="0" w:color="auto"/>
              <w:right w:val="single" w:sz="8" w:space="0" w:color="auto"/>
            </w:tcBorders>
          </w:tcPr>
          <w:p w14:paraId="7570CD1A"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7.2</w:t>
            </w:r>
          </w:p>
        </w:tc>
        <w:tc>
          <w:tcPr>
            <w:tcW w:w="992" w:type="dxa"/>
            <w:tcBorders>
              <w:top w:val="nil"/>
              <w:left w:val="nil"/>
              <w:bottom w:val="single" w:sz="8" w:space="0" w:color="auto"/>
              <w:right w:val="single" w:sz="8" w:space="0" w:color="auto"/>
            </w:tcBorders>
          </w:tcPr>
          <w:p w14:paraId="037947C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5EC41F9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42</w:t>
            </w:r>
          </w:p>
        </w:tc>
        <w:tc>
          <w:tcPr>
            <w:tcW w:w="992" w:type="dxa"/>
            <w:tcBorders>
              <w:top w:val="nil"/>
              <w:left w:val="nil"/>
              <w:bottom w:val="single" w:sz="8" w:space="0" w:color="auto"/>
              <w:right w:val="single" w:sz="8" w:space="0" w:color="auto"/>
            </w:tcBorders>
          </w:tcPr>
          <w:p w14:paraId="24FC024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r(jp)</w:t>
            </w:r>
          </w:p>
        </w:tc>
        <w:tc>
          <w:tcPr>
            <w:tcW w:w="851" w:type="dxa"/>
            <w:tcBorders>
              <w:top w:val="nil"/>
              <w:left w:val="nil"/>
              <w:bottom w:val="single" w:sz="8" w:space="0" w:color="auto"/>
              <w:right w:val="single" w:sz="8" w:space="0" w:color="auto"/>
            </w:tcBorders>
          </w:tcPr>
          <w:p w14:paraId="72F10AC7"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63</w:t>
            </w:r>
          </w:p>
        </w:tc>
        <w:tc>
          <w:tcPr>
            <w:tcW w:w="1134" w:type="dxa"/>
            <w:tcBorders>
              <w:top w:val="nil"/>
              <w:left w:val="nil"/>
              <w:bottom w:val="single" w:sz="8" w:space="0" w:color="auto"/>
              <w:right w:val="single" w:sz="8" w:space="0" w:color="auto"/>
            </w:tcBorders>
          </w:tcPr>
          <w:p w14:paraId="2437671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7C7A74F4"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68.2</w:t>
            </w:r>
          </w:p>
        </w:tc>
        <w:tc>
          <w:tcPr>
            <w:tcW w:w="1134" w:type="dxa"/>
            <w:tcBorders>
              <w:top w:val="nil"/>
              <w:left w:val="nil"/>
              <w:bottom w:val="single" w:sz="8" w:space="0" w:color="auto"/>
              <w:right w:val="single" w:sz="12" w:space="0" w:color="auto"/>
            </w:tcBorders>
          </w:tcPr>
          <w:p w14:paraId="00E5BD2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0896A5F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Van Gestel and Doornekamp, 1998</w:t>
            </w:r>
          </w:p>
        </w:tc>
      </w:tr>
      <w:tr w:rsidR="00632208" w:rsidRPr="0098635C" w14:paraId="5E533290" w14:textId="77777777" w:rsidTr="00A432B0">
        <w:trPr>
          <w:trHeight w:val="225"/>
        </w:trPr>
        <w:tc>
          <w:tcPr>
            <w:tcW w:w="1402" w:type="dxa"/>
            <w:vMerge w:val="restart"/>
            <w:tcBorders>
              <w:top w:val="nil"/>
              <w:left w:val="single" w:sz="8" w:space="0" w:color="auto"/>
              <w:bottom w:val="single" w:sz="8" w:space="0" w:color="000000"/>
              <w:right w:val="single" w:sz="8" w:space="0" w:color="auto"/>
            </w:tcBorders>
          </w:tcPr>
          <w:p w14:paraId="489E299C"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nil"/>
              <w:right w:val="single" w:sz="8" w:space="0" w:color="auto"/>
            </w:tcBorders>
          </w:tcPr>
          <w:p w14:paraId="76AF198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loamy sand</w:t>
            </w:r>
          </w:p>
        </w:tc>
        <w:tc>
          <w:tcPr>
            <w:tcW w:w="709" w:type="dxa"/>
            <w:tcBorders>
              <w:top w:val="nil"/>
              <w:left w:val="nil"/>
              <w:bottom w:val="nil"/>
              <w:right w:val="single" w:sz="8" w:space="0" w:color="auto"/>
            </w:tcBorders>
          </w:tcPr>
          <w:p w14:paraId="3674308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4.8</w:t>
            </w:r>
          </w:p>
        </w:tc>
        <w:tc>
          <w:tcPr>
            <w:tcW w:w="708" w:type="dxa"/>
            <w:tcBorders>
              <w:top w:val="nil"/>
              <w:left w:val="nil"/>
              <w:bottom w:val="nil"/>
              <w:right w:val="single" w:sz="8" w:space="0" w:color="auto"/>
            </w:tcBorders>
          </w:tcPr>
          <w:p w14:paraId="2275AF7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5.7</w:t>
            </w:r>
          </w:p>
        </w:tc>
        <w:tc>
          <w:tcPr>
            <w:tcW w:w="709" w:type="dxa"/>
            <w:tcBorders>
              <w:top w:val="nil"/>
              <w:left w:val="nil"/>
              <w:bottom w:val="nil"/>
              <w:right w:val="single" w:sz="8" w:space="0" w:color="auto"/>
            </w:tcBorders>
          </w:tcPr>
          <w:p w14:paraId="17DA141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w:t>
            </w:r>
          </w:p>
        </w:tc>
        <w:tc>
          <w:tcPr>
            <w:tcW w:w="851" w:type="dxa"/>
            <w:tcBorders>
              <w:top w:val="nil"/>
              <w:left w:val="nil"/>
              <w:bottom w:val="nil"/>
              <w:right w:val="single" w:sz="8" w:space="0" w:color="auto"/>
            </w:tcBorders>
          </w:tcPr>
          <w:p w14:paraId="2441B3B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14</w:t>
            </w:r>
          </w:p>
        </w:tc>
        <w:tc>
          <w:tcPr>
            <w:tcW w:w="850" w:type="dxa"/>
            <w:tcBorders>
              <w:top w:val="nil"/>
              <w:left w:val="nil"/>
              <w:bottom w:val="nil"/>
              <w:right w:val="single" w:sz="8" w:space="0" w:color="auto"/>
            </w:tcBorders>
          </w:tcPr>
          <w:p w14:paraId="0798228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7.2</w:t>
            </w:r>
          </w:p>
        </w:tc>
        <w:tc>
          <w:tcPr>
            <w:tcW w:w="992" w:type="dxa"/>
            <w:tcBorders>
              <w:top w:val="nil"/>
              <w:left w:val="nil"/>
              <w:bottom w:val="nil"/>
              <w:right w:val="single" w:sz="8" w:space="0" w:color="auto"/>
            </w:tcBorders>
          </w:tcPr>
          <w:p w14:paraId="7271BE4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nil"/>
              <w:right w:val="single" w:sz="8" w:space="0" w:color="auto"/>
            </w:tcBorders>
          </w:tcPr>
          <w:p w14:paraId="109E9CB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42</w:t>
            </w:r>
          </w:p>
        </w:tc>
        <w:tc>
          <w:tcPr>
            <w:tcW w:w="992" w:type="dxa"/>
            <w:vMerge w:val="restart"/>
            <w:tcBorders>
              <w:top w:val="nil"/>
              <w:left w:val="single" w:sz="8" w:space="0" w:color="auto"/>
              <w:bottom w:val="single" w:sz="8" w:space="0" w:color="000000"/>
              <w:right w:val="single" w:sz="8" w:space="0" w:color="auto"/>
            </w:tcBorders>
          </w:tcPr>
          <w:p w14:paraId="2FEDEA9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554CCCB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vMerge w:val="restart"/>
            <w:tcBorders>
              <w:top w:val="nil"/>
              <w:left w:val="single" w:sz="8" w:space="0" w:color="auto"/>
              <w:bottom w:val="single" w:sz="8" w:space="0" w:color="000000"/>
              <w:right w:val="single" w:sz="8" w:space="0" w:color="auto"/>
            </w:tcBorders>
          </w:tcPr>
          <w:p w14:paraId="7E555A1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&lt; 29.7</w:t>
            </w:r>
          </w:p>
        </w:tc>
        <w:tc>
          <w:tcPr>
            <w:tcW w:w="850" w:type="dxa"/>
            <w:vMerge w:val="restart"/>
            <w:tcBorders>
              <w:top w:val="single" w:sz="8" w:space="0" w:color="auto"/>
              <w:left w:val="single" w:sz="8" w:space="0" w:color="auto"/>
              <w:bottom w:val="single" w:sz="8" w:space="0" w:color="000000"/>
              <w:right w:val="single" w:sz="8" w:space="0" w:color="000000"/>
            </w:tcBorders>
          </w:tcPr>
          <w:p w14:paraId="2B6F3D7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vMerge w:val="restart"/>
            <w:tcBorders>
              <w:top w:val="nil"/>
              <w:left w:val="single" w:sz="8" w:space="0" w:color="auto"/>
              <w:bottom w:val="single" w:sz="8" w:space="0" w:color="000000"/>
              <w:right w:val="single" w:sz="12" w:space="0" w:color="auto"/>
            </w:tcBorders>
          </w:tcPr>
          <w:p w14:paraId="6595CEC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&lt;31.7</w:t>
            </w:r>
          </w:p>
        </w:tc>
        <w:tc>
          <w:tcPr>
            <w:tcW w:w="1985" w:type="dxa"/>
            <w:tcBorders>
              <w:top w:val="single" w:sz="8" w:space="0" w:color="auto"/>
              <w:left w:val="single" w:sz="8" w:space="0" w:color="auto"/>
              <w:right w:val="single" w:sz="12" w:space="0" w:color="auto"/>
            </w:tcBorders>
          </w:tcPr>
          <w:p w14:paraId="3F2A8C3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764D8BFF"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38C7AACF"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5EF0A1A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Gudow</w:t>
            </w:r>
          </w:p>
        </w:tc>
        <w:tc>
          <w:tcPr>
            <w:tcW w:w="709" w:type="dxa"/>
            <w:tcBorders>
              <w:top w:val="nil"/>
              <w:left w:val="nil"/>
              <w:bottom w:val="single" w:sz="8" w:space="0" w:color="auto"/>
              <w:right w:val="single" w:sz="8" w:space="0" w:color="auto"/>
            </w:tcBorders>
          </w:tcPr>
          <w:p w14:paraId="5075CD4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7.3</w:t>
            </w:r>
          </w:p>
        </w:tc>
        <w:tc>
          <w:tcPr>
            <w:tcW w:w="708" w:type="dxa"/>
            <w:tcBorders>
              <w:top w:val="nil"/>
              <w:left w:val="nil"/>
              <w:bottom w:val="single" w:sz="8" w:space="0" w:color="auto"/>
              <w:right w:val="single" w:sz="8" w:space="0" w:color="auto"/>
            </w:tcBorders>
          </w:tcPr>
          <w:p w14:paraId="5250AED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3.4</w:t>
            </w:r>
          </w:p>
        </w:tc>
        <w:tc>
          <w:tcPr>
            <w:tcW w:w="709" w:type="dxa"/>
            <w:tcBorders>
              <w:top w:val="nil"/>
              <w:left w:val="nil"/>
              <w:bottom w:val="single" w:sz="8" w:space="0" w:color="auto"/>
              <w:right w:val="single" w:sz="8" w:space="0" w:color="auto"/>
            </w:tcBorders>
          </w:tcPr>
          <w:p w14:paraId="7C50B26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w:t>
            </w:r>
          </w:p>
        </w:tc>
        <w:tc>
          <w:tcPr>
            <w:tcW w:w="851" w:type="dxa"/>
            <w:tcBorders>
              <w:top w:val="nil"/>
              <w:left w:val="nil"/>
              <w:bottom w:val="single" w:sz="8" w:space="0" w:color="auto"/>
              <w:right w:val="single" w:sz="8" w:space="0" w:color="auto"/>
            </w:tcBorders>
          </w:tcPr>
          <w:p w14:paraId="3ED988D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w:t>
            </w:r>
          </w:p>
        </w:tc>
        <w:tc>
          <w:tcPr>
            <w:tcW w:w="850" w:type="dxa"/>
            <w:tcBorders>
              <w:top w:val="nil"/>
              <w:left w:val="nil"/>
              <w:bottom w:val="single" w:sz="8" w:space="0" w:color="auto"/>
              <w:right w:val="single" w:sz="8" w:space="0" w:color="auto"/>
            </w:tcBorders>
          </w:tcPr>
          <w:p w14:paraId="3A627A9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16.9</w:t>
            </w:r>
          </w:p>
        </w:tc>
        <w:tc>
          <w:tcPr>
            <w:tcW w:w="992" w:type="dxa"/>
            <w:tcBorders>
              <w:top w:val="nil"/>
              <w:left w:val="nil"/>
              <w:bottom w:val="single" w:sz="8" w:space="0" w:color="auto"/>
              <w:right w:val="single" w:sz="8" w:space="0" w:color="auto"/>
            </w:tcBorders>
          </w:tcPr>
          <w:p w14:paraId="6F05C35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4B234A8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42</w:t>
            </w:r>
          </w:p>
        </w:tc>
        <w:tc>
          <w:tcPr>
            <w:tcW w:w="992" w:type="dxa"/>
            <w:vMerge/>
            <w:tcBorders>
              <w:top w:val="nil"/>
              <w:left w:val="single" w:sz="8" w:space="0" w:color="auto"/>
              <w:bottom w:val="single" w:sz="8" w:space="0" w:color="000000"/>
              <w:right w:val="single" w:sz="8" w:space="0" w:color="auto"/>
            </w:tcBorders>
            <w:vAlign w:val="center"/>
          </w:tcPr>
          <w:p w14:paraId="23EDFA60"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7BAB0199" w14:textId="77777777" w:rsidR="00632208" w:rsidRPr="0098635C" w:rsidRDefault="00632208" w:rsidP="00A432B0">
            <w:pPr>
              <w:spacing w:after="0"/>
              <w:rPr>
                <w:color w:val="000000" w:themeColor="text1"/>
                <w:sz w:val="20"/>
                <w:szCs w:val="20"/>
              </w:rPr>
            </w:pPr>
          </w:p>
        </w:tc>
        <w:tc>
          <w:tcPr>
            <w:tcW w:w="1134" w:type="dxa"/>
            <w:vMerge/>
            <w:tcBorders>
              <w:top w:val="nil"/>
              <w:left w:val="single" w:sz="8" w:space="0" w:color="auto"/>
              <w:bottom w:val="single" w:sz="8" w:space="0" w:color="000000"/>
              <w:right w:val="single" w:sz="8" w:space="0" w:color="auto"/>
            </w:tcBorders>
            <w:vAlign w:val="center"/>
          </w:tcPr>
          <w:p w14:paraId="6A694AC8"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6466D2C4" w14:textId="77777777" w:rsidR="00632208" w:rsidRPr="0098635C" w:rsidRDefault="00632208" w:rsidP="00A432B0">
            <w:pPr>
              <w:spacing w:after="0"/>
              <w:rPr>
                <w:color w:val="000000" w:themeColor="text1"/>
                <w:sz w:val="20"/>
                <w:szCs w:val="20"/>
              </w:rPr>
            </w:pPr>
          </w:p>
        </w:tc>
        <w:tc>
          <w:tcPr>
            <w:tcW w:w="1134" w:type="dxa"/>
            <w:vMerge/>
            <w:tcBorders>
              <w:top w:val="nil"/>
              <w:left w:val="single" w:sz="8" w:space="0" w:color="auto"/>
              <w:bottom w:val="single" w:sz="8" w:space="0" w:color="000000"/>
              <w:right w:val="single" w:sz="12" w:space="0" w:color="auto"/>
            </w:tcBorders>
            <w:vAlign w:val="center"/>
          </w:tcPr>
          <w:p w14:paraId="57B0898F"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2A9A236B" w14:textId="77777777" w:rsidR="00632208" w:rsidRPr="0098635C" w:rsidRDefault="00632208" w:rsidP="00A432B0">
            <w:pPr>
              <w:spacing w:after="0"/>
              <w:rPr>
                <w:color w:val="000000" w:themeColor="text1"/>
                <w:sz w:val="20"/>
                <w:szCs w:val="20"/>
              </w:rPr>
            </w:pPr>
          </w:p>
        </w:tc>
      </w:tr>
      <w:tr w:rsidR="00632208" w:rsidRPr="0098635C" w14:paraId="26146D85" w14:textId="77777777" w:rsidTr="00A432B0">
        <w:trPr>
          <w:trHeight w:val="225"/>
        </w:trPr>
        <w:tc>
          <w:tcPr>
            <w:tcW w:w="1402" w:type="dxa"/>
            <w:vMerge w:val="restart"/>
            <w:tcBorders>
              <w:top w:val="nil"/>
              <w:left w:val="single" w:sz="8" w:space="0" w:color="auto"/>
              <w:bottom w:val="single" w:sz="8" w:space="0" w:color="000000"/>
              <w:right w:val="single" w:sz="8" w:space="0" w:color="auto"/>
            </w:tcBorders>
          </w:tcPr>
          <w:p w14:paraId="1800A475"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nil"/>
              <w:right w:val="single" w:sz="8" w:space="0" w:color="auto"/>
            </w:tcBorders>
          </w:tcPr>
          <w:p w14:paraId="6BB1E8D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Sandy loam</w:t>
            </w:r>
          </w:p>
        </w:tc>
        <w:tc>
          <w:tcPr>
            <w:tcW w:w="709" w:type="dxa"/>
            <w:tcBorders>
              <w:top w:val="nil"/>
              <w:left w:val="nil"/>
              <w:bottom w:val="nil"/>
              <w:right w:val="single" w:sz="8" w:space="0" w:color="auto"/>
            </w:tcBorders>
          </w:tcPr>
          <w:p w14:paraId="233EF6E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7.3</w:t>
            </w:r>
          </w:p>
        </w:tc>
        <w:tc>
          <w:tcPr>
            <w:tcW w:w="708" w:type="dxa"/>
            <w:tcBorders>
              <w:top w:val="nil"/>
              <w:left w:val="nil"/>
              <w:bottom w:val="nil"/>
              <w:right w:val="single" w:sz="8" w:space="0" w:color="auto"/>
            </w:tcBorders>
          </w:tcPr>
          <w:p w14:paraId="41937BC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3.4</w:t>
            </w:r>
          </w:p>
        </w:tc>
        <w:tc>
          <w:tcPr>
            <w:tcW w:w="709" w:type="dxa"/>
            <w:tcBorders>
              <w:top w:val="nil"/>
              <w:left w:val="nil"/>
              <w:bottom w:val="nil"/>
              <w:right w:val="single" w:sz="8" w:space="0" w:color="auto"/>
            </w:tcBorders>
          </w:tcPr>
          <w:p w14:paraId="5201269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w:t>
            </w:r>
          </w:p>
        </w:tc>
        <w:tc>
          <w:tcPr>
            <w:tcW w:w="851" w:type="dxa"/>
            <w:tcBorders>
              <w:top w:val="nil"/>
              <w:left w:val="nil"/>
              <w:bottom w:val="nil"/>
              <w:right w:val="single" w:sz="8" w:space="0" w:color="auto"/>
            </w:tcBorders>
          </w:tcPr>
          <w:p w14:paraId="113139E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w:t>
            </w:r>
          </w:p>
        </w:tc>
        <w:tc>
          <w:tcPr>
            <w:tcW w:w="850" w:type="dxa"/>
            <w:tcBorders>
              <w:top w:val="nil"/>
              <w:left w:val="nil"/>
              <w:bottom w:val="nil"/>
              <w:right w:val="single" w:sz="8" w:space="0" w:color="auto"/>
            </w:tcBorders>
          </w:tcPr>
          <w:p w14:paraId="288739B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16.9</w:t>
            </w:r>
          </w:p>
        </w:tc>
        <w:tc>
          <w:tcPr>
            <w:tcW w:w="992" w:type="dxa"/>
            <w:tcBorders>
              <w:top w:val="nil"/>
              <w:left w:val="nil"/>
              <w:bottom w:val="nil"/>
              <w:right w:val="single" w:sz="8" w:space="0" w:color="auto"/>
            </w:tcBorders>
          </w:tcPr>
          <w:p w14:paraId="66BE29C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nil"/>
              <w:right w:val="single" w:sz="8" w:space="0" w:color="auto"/>
            </w:tcBorders>
          </w:tcPr>
          <w:p w14:paraId="28557A4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42</w:t>
            </w:r>
          </w:p>
        </w:tc>
        <w:tc>
          <w:tcPr>
            <w:tcW w:w="992" w:type="dxa"/>
            <w:vMerge w:val="restart"/>
            <w:tcBorders>
              <w:top w:val="nil"/>
              <w:left w:val="single" w:sz="8" w:space="0" w:color="auto"/>
              <w:bottom w:val="single" w:sz="8" w:space="0" w:color="000000"/>
              <w:right w:val="single" w:sz="8" w:space="0" w:color="auto"/>
            </w:tcBorders>
          </w:tcPr>
          <w:p w14:paraId="7240DE7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3DA371EB"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174</w:t>
            </w:r>
          </w:p>
        </w:tc>
        <w:tc>
          <w:tcPr>
            <w:tcW w:w="1134" w:type="dxa"/>
            <w:vMerge w:val="restart"/>
            <w:tcBorders>
              <w:top w:val="nil"/>
              <w:left w:val="single" w:sz="8" w:space="0" w:color="auto"/>
              <w:bottom w:val="single" w:sz="8" w:space="0" w:color="000000"/>
              <w:right w:val="single" w:sz="8" w:space="0" w:color="auto"/>
            </w:tcBorders>
          </w:tcPr>
          <w:p w14:paraId="4256136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7B33E1E9"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191</w:t>
            </w:r>
          </w:p>
        </w:tc>
        <w:tc>
          <w:tcPr>
            <w:tcW w:w="1134" w:type="dxa"/>
            <w:vMerge w:val="restart"/>
            <w:tcBorders>
              <w:top w:val="nil"/>
              <w:left w:val="single" w:sz="8" w:space="0" w:color="auto"/>
              <w:bottom w:val="single" w:sz="8" w:space="0" w:color="000000"/>
              <w:right w:val="single" w:sz="12" w:space="0" w:color="auto"/>
            </w:tcBorders>
          </w:tcPr>
          <w:p w14:paraId="106E930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7D0AE58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6E9AD7A2"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78BA5C5B"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2076157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Nottingham</w:t>
            </w:r>
          </w:p>
        </w:tc>
        <w:tc>
          <w:tcPr>
            <w:tcW w:w="709" w:type="dxa"/>
            <w:tcBorders>
              <w:top w:val="nil"/>
              <w:left w:val="nil"/>
              <w:bottom w:val="single" w:sz="8" w:space="0" w:color="auto"/>
              <w:right w:val="single" w:sz="8" w:space="0" w:color="auto"/>
            </w:tcBorders>
          </w:tcPr>
          <w:p w14:paraId="6D22E46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7.3</w:t>
            </w:r>
          </w:p>
        </w:tc>
        <w:tc>
          <w:tcPr>
            <w:tcW w:w="708" w:type="dxa"/>
            <w:tcBorders>
              <w:top w:val="nil"/>
              <w:left w:val="nil"/>
              <w:bottom w:val="single" w:sz="8" w:space="0" w:color="auto"/>
              <w:right w:val="single" w:sz="8" w:space="0" w:color="auto"/>
            </w:tcBorders>
          </w:tcPr>
          <w:p w14:paraId="6EA2142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3.4</w:t>
            </w:r>
          </w:p>
        </w:tc>
        <w:tc>
          <w:tcPr>
            <w:tcW w:w="709" w:type="dxa"/>
            <w:tcBorders>
              <w:top w:val="nil"/>
              <w:left w:val="nil"/>
              <w:bottom w:val="single" w:sz="8" w:space="0" w:color="auto"/>
              <w:right w:val="single" w:sz="8" w:space="0" w:color="auto"/>
            </w:tcBorders>
          </w:tcPr>
          <w:p w14:paraId="5AEBB4A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w:t>
            </w:r>
          </w:p>
        </w:tc>
        <w:tc>
          <w:tcPr>
            <w:tcW w:w="851" w:type="dxa"/>
            <w:tcBorders>
              <w:top w:val="nil"/>
              <w:left w:val="nil"/>
              <w:bottom w:val="single" w:sz="8" w:space="0" w:color="auto"/>
              <w:right w:val="single" w:sz="8" w:space="0" w:color="auto"/>
            </w:tcBorders>
          </w:tcPr>
          <w:p w14:paraId="1F7EED3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w:t>
            </w:r>
          </w:p>
        </w:tc>
        <w:tc>
          <w:tcPr>
            <w:tcW w:w="850" w:type="dxa"/>
            <w:tcBorders>
              <w:top w:val="nil"/>
              <w:left w:val="nil"/>
              <w:bottom w:val="single" w:sz="8" w:space="0" w:color="auto"/>
              <w:right w:val="single" w:sz="8" w:space="0" w:color="auto"/>
            </w:tcBorders>
          </w:tcPr>
          <w:p w14:paraId="63605DA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16.9</w:t>
            </w:r>
          </w:p>
        </w:tc>
        <w:tc>
          <w:tcPr>
            <w:tcW w:w="992" w:type="dxa"/>
            <w:tcBorders>
              <w:top w:val="nil"/>
              <w:left w:val="nil"/>
              <w:bottom w:val="single" w:sz="8" w:space="0" w:color="auto"/>
              <w:right w:val="single" w:sz="8" w:space="0" w:color="auto"/>
            </w:tcBorders>
          </w:tcPr>
          <w:p w14:paraId="02F5D2B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2BA1AAC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42</w:t>
            </w:r>
          </w:p>
        </w:tc>
        <w:tc>
          <w:tcPr>
            <w:tcW w:w="992" w:type="dxa"/>
            <w:vMerge/>
            <w:tcBorders>
              <w:top w:val="nil"/>
              <w:left w:val="single" w:sz="8" w:space="0" w:color="auto"/>
              <w:bottom w:val="single" w:sz="8" w:space="0" w:color="000000"/>
              <w:right w:val="single" w:sz="8" w:space="0" w:color="auto"/>
            </w:tcBorders>
            <w:vAlign w:val="center"/>
          </w:tcPr>
          <w:p w14:paraId="74211DCF"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358181AA"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44582D26"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05C8F535"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0973A309"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34424D43" w14:textId="77777777" w:rsidR="00632208" w:rsidRPr="0098635C" w:rsidRDefault="00632208" w:rsidP="00A432B0">
            <w:pPr>
              <w:spacing w:after="0"/>
              <w:rPr>
                <w:color w:val="000000" w:themeColor="text1"/>
                <w:sz w:val="20"/>
                <w:szCs w:val="20"/>
              </w:rPr>
            </w:pPr>
          </w:p>
        </w:tc>
      </w:tr>
      <w:tr w:rsidR="00632208" w:rsidRPr="0098635C" w14:paraId="1296C2F5" w14:textId="77777777" w:rsidTr="00A432B0">
        <w:trPr>
          <w:trHeight w:val="225"/>
        </w:trPr>
        <w:tc>
          <w:tcPr>
            <w:tcW w:w="1402" w:type="dxa"/>
            <w:vMerge w:val="restart"/>
            <w:tcBorders>
              <w:top w:val="nil"/>
              <w:left w:val="single" w:sz="8" w:space="0" w:color="auto"/>
              <w:bottom w:val="single" w:sz="8" w:space="0" w:color="000000"/>
              <w:right w:val="single" w:sz="8" w:space="0" w:color="auto"/>
            </w:tcBorders>
          </w:tcPr>
          <w:p w14:paraId="454F48F4"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nil"/>
              <w:right w:val="single" w:sz="8" w:space="0" w:color="auto"/>
            </w:tcBorders>
          </w:tcPr>
          <w:p w14:paraId="0DAE901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loamy sand</w:t>
            </w:r>
          </w:p>
        </w:tc>
        <w:tc>
          <w:tcPr>
            <w:tcW w:w="709" w:type="dxa"/>
            <w:tcBorders>
              <w:top w:val="nil"/>
              <w:left w:val="nil"/>
              <w:bottom w:val="nil"/>
              <w:right w:val="single" w:sz="8" w:space="0" w:color="auto"/>
            </w:tcBorders>
          </w:tcPr>
          <w:p w14:paraId="7CDA4E7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8" w:type="dxa"/>
            <w:tcBorders>
              <w:top w:val="nil"/>
              <w:left w:val="nil"/>
              <w:bottom w:val="nil"/>
              <w:right w:val="single" w:sz="8" w:space="0" w:color="auto"/>
            </w:tcBorders>
          </w:tcPr>
          <w:p w14:paraId="5E0221F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nil"/>
              <w:left w:val="nil"/>
              <w:bottom w:val="nil"/>
              <w:right w:val="single" w:sz="8" w:space="0" w:color="auto"/>
            </w:tcBorders>
          </w:tcPr>
          <w:p w14:paraId="12DD299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nil"/>
              <w:right w:val="single" w:sz="8" w:space="0" w:color="auto"/>
            </w:tcBorders>
          </w:tcPr>
          <w:p w14:paraId="4991562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nil"/>
              <w:left w:val="nil"/>
              <w:bottom w:val="nil"/>
              <w:right w:val="single" w:sz="8" w:space="0" w:color="auto"/>
            </w:tcBorders>
          </w:tcPr>
          <w:p w14:paraId="67A3F1C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nil"/>
              <w:right w:val="single" w:sz="8" w:space="0" w:color="auto"/>
            </w:tcBorders>
          </w:tcPr>
          <w:p w14:paraId="177E918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nil"/>
              <w:right w:val="single" w:sz="8" w:space="0" w:color="auto"/>
            </w:tcBorders>
          </w:tcPr>
          <w:p w14:paraId="6DA1605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vMerge w:val="restart"/>
            <w:tcBorders>
              <w:top w:val="nil"/>
              <w:left w:val="single" w:sz="8" w:space="0" w:color="auto"/>
              <w:bottom w:val="single" w:sz="8" w:space="0" w:color="000000"/>
              <w:right w:val="single" w:sz="8" w:space="0" w:color="auto"/>
            </w:tcBorders>
          </w:tcPr>
          <w:p w14:paraId="62F9352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0D7913AE"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28.2</w:t>
            </w:r>
          </w:p>
        </w:tc>
        <w:tc>
          <w:tcPr>
            <w:tcW w:w="1134" w:type="dxa"/>
            <w:vMerge w:val="restart"/>
            <w:tcBorders>
              <w:top w:val="nil"/>
              <w:left w:val="single" w:sz="8" w:space="0" w:color="auto"/>
              <w:bottom w:val="single" w:sz="8" w:space="0" w:color="000000"/>
              <w:right w:val="single" w:sz="8" w:space="0" w:color="auto"/>
            </w:tcBorders>
          </w:tcPr>
          <w:p w14:paraId="78F4AD0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5D9E2BC6"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31</w:t>
            </w:r>
          </w:p>
        </w:tc>
        <w:tc>
          <w:tcPr>
            <w:tcW w:w="1134" w:type="dxa"/>
            <w:vMerge w:val="restart"/>
            <w:tcBorders>
              <w:top w:val="nil"/>
              <w:left w:val="single" w:sz="8" w:space="0" w:color="auto"/>
              <w:bottom w:val="single" w:sz="8" w:space="0" w:color="000000"/>
              <w:right w:val="single" w:sz="12" w:space="0" w:color="auto"/>
            </w:tcBorders>
          </w:tcPr>
          <w:p w14:paraId="1802232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250A2E1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11B94C1D"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3CC1F6FD"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782D146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Houthalen</w:t>
            </w:r>
          </w:p>
        </w:tc>
        <w:tc>
          <w:tcPr>
            <w:tcW w:w="709" w:type="dxa"/>
            <w:tcBorders>
              <w:top w:val="nil"/>
              <w:left w:val="nil"/>
              <w:bottom w:val="single" w:sz="8" w:space="0" w:color="auto"/>
              <w:right w:val="single" w:sz="8" w:space="0" w:color="auto"/>
            </w:tcBorders>
          </w:tcPr>
          <w:p w14:paraId="7474EB7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4.8-5.2</w:t>
            </w:r>
          </w:p>
        </w:tc>
        <w:tc>
          <w:tcPr>
            <w:tcW w:w="708" w:type="dxa"/>
            <w:tcBorders>
              <w:top w:val="nil"/>
              <w:left w:val="nil"/>
              <w:bottom w:val="single" w:sz="8" w:space="0" w:color="auto"/>
              <w:right w:val="single" w:sz="8" w:space="0" w:color="auto"/>
            </w:tcBorders>
          </w:tcPr>
          <w:p w14:paraId="44792C1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04-Jun</w:t>
            </w:r>
          </w:p>
        </w:tc>
        <w:tc>
          <w:tcPr>
            <w:tcW w:w="709" w:type="dxa"/>
            <w:tcBorders>
              <w:top w:val="nil"/>
              <w:left w:val="nil"/>
              <w:bottom w:val="single" w:sz="8" w:space="0" w:color="auto"/>
              <w:right w:val="single" w:sz="8" w:space="0" w:color="auto"/>
            </w:tcBorders>
          </w:tcPr>
          <w:p w14:paraId="779D205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02-Apr</w:t>
            </w:r>
          </w:p>
        </w:tc>
        <w:tc>
          <w:tcPr>
            <w:tcW w:w="851" w:type="dxa"/>
            <w:tcBorders>
              <w:top w:val="nil"/>
              <w:left w:val="nil"/>
              <w:bottom w:val="single" w:sz="8" w:space="0" w:color="auto"/>
              <w:right w:val="single" w:sz="8" w:space="0" w:color="auto"/>
            </w:tcBorders>
          </w:tcPr>
          <w:p w14:paraId="61EE3CA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10.7</w:t>
            </w:r>
          </w:p>
        </w:tc>
        <w:tc>
          <w:tcPr>
            <w:tcW w:w="850" w:type="dxa"/>
            <w:tcBorders>
              <w:top w:val="nil"/>
              <w:left w:val="nil"/>
              <w:bottom w:val="single" w:sz="8" w:space="0" w:color="auto"/>
              <w:right w:val="single" w:sz="8" w:space="0" w:color="auto"/>
            </w:tcBorders>
          </w:tcPr>
          <w:p w14:paraId="0B99187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single" w:sz="8" w:space="0" w:color="auto"/>
              <w:right w:val="single" w:sz="8" w:space="0" w:color="auto"/>
            </w:tcBorders>
          </w:tcPr>
          <w:p w14:paraId="0B4BC87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7555A0F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tcBorders>
              <w:top w:val="nil"/>
              <w:left w:val="single" w:sz="8" w:space="0" w:color="auto"/>
              <w:bottom w:val="single" w:sz="8" w:space="0" w:color="000000"/>
              <w:right w:val="single" w:sz="8" w:space="0" w:color="auto"/>
            </w:tcBorders>
            <w:vAlign w:val="center"/>
          </w:tcPr>
          <w:p w14:paraId="710E1978"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44F411B2"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6257B24D"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59602F9A"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5A0F1BE8"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10AE81E1" w14:textId="77777777" w:rsidR="00632208" w:rsidRPr="0098635C" w:rsidRDefault="00632208" w:rsidP="00A432B0">
            <w:pPr>
              <w:spacing w:after="0"/>
              <w:rPr>
                <w:color w:val="000000" w:themeColor="text1"/>
                <w:sz w:val="20"/>
                <w:szCs w:val="20"/>
              </w:rPr>
            </w:pPr>
          </w:p>
        </w:tc>
      </w:tr>
      <w:tr w:rsidR="00632208" w:rsidRPr="0098635C" w14:paraId="5493C0BA" w14:textId="77777777" w:rsidTr="00A432B0">
        <w:trPr>
          <w:trHeight w:val="225"/>
        </w:trPr>
        <w:tc>
          <w:tcPr>
            <w:tcW w:w="1402" w:type="dxa"/>
            <w:vMerge w:val="restart"/>
            <w:tcBorders>
              <w:top w:val="nil"/>
              <w:left w:val="single" w:sz="8" w:space="0" w:color="auto"/>
              <w:bottom w:val="single" w:sz="8" w:space="0" w:color="000000"/>
              <w:right w:val="single" w:sz="8" w:space="0" w:color="auto"/>
            </w:tcBorders>
          </w:tcPr>
          <w:p w14:paraId="0CA9B0EE"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nil"/>
              <w:right w:val="single" w:sz="8" w:space="0" w:color="auto"/>
            </w:tcBorders>
          </w:tcPr>
          <w:p w14:paraId="64F55D5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loamy sand</w:t>
            </w:r>
          </w:p>
        </w:tc>
        <w:tc>
          <w:tcPr>
            <w:tcW w:w="709" w:type="dxa"/>
            <w:tcBorders>
              <w:top w:val="nil"/>
              <w:left w:val="nil"/>
              <w:bottom w:val="nil"/>
              <w:right w:val="single" w:sz="8" w:space="0" w:color="auto"/>
            </w:tcBorders>
          </w:tcPr>
          <w:p w14:paraId="340BE73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8" w:type="dxa"/>
            <w:tcBorders>
              <w:top w:val="nil"/>
              <w:left w:val="nil"/>
              <w:bottom w:val="nil"/>
              <w:right w:val="single" w:sz="8" w:space="0" w:color="auto"/>
            </w:tcBorders>
          </w:tcPr>
          <w:p w14:paraId="47B223C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nil"/>
              <w:left w:val="nil"/>
              <w:bottom w:val="nil"/>
              <w:right w:val="single" w:sz="8" w:space="0" w:color="auto"/>
            </w:tcBorders>
          </w:tcPr>
          <w:p w14:paraId="1813CB0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nil"/>
              <w:right w:val="single" w:sz="8" w:space="0" w:color="auto"/>
            </w:tcBorders>
          </w:tcPr>
          <w:p w14:paraId="4A61CDA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nil"/>
              <w:left w:val="nil"/>
              <w:bottom w:val="nil"/>
              <w:right w:val="single" w:sz="8" w:space="0" w:color="auto"/>
            </w:tcBorders>
          </w:tcPr>
          <w:p w14:paraId="251B32E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nil"/>
              <w:right w:val="single" w:sz="8" w:space="0" w:color="auto"/>
            </w:tcBorders>
          </w:tcPr>
          <w:p w14:paraId="1F7D448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nil"/>
              <w:right w:val="single" w:sz="8" w:space="0" w:color="auto"/>
            </w:tcBorders>
          </w:tcPr>
          <w:p w14:paraId="23B9C84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vMerge w:val="restart"/>
            <w:tcBorders>
              <w:top w:val="nil"/>
              <w:left w:val="single" w:sz="8" w:space="0" w:color="auto"/>
              <w:bottom w:val="single" w:sz="8" w:space="0" w:color="000000"/>
              <w:right w:val="single" w:sz="8" w:space="0" w:color="auto"/>
            </w:tcBorders>
          </w:tcPr>
          <w:p w14:paraId="294432B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385A6CCC"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279</w:t>
            </w:r>
          </w:p>
        </w:tc>
        <w:tc>
          <w:tcPr>
            <w:tcW w:w="1134" w:type="dxa"/>
            <w:vMerge w:val="restart"/>
            <w:tcBorders>
              <w:top w:val="nil"/>
              <w:left w:val="single" w:sz="8" w:space="0" w:color="auto"/>
              <w:bottom w:val="single" w:sz="8" w:space="0" w:color="000000"/>
              <w:right w:val="single" w:sz="8" w:space="0" w:color="auto"/>
            </w:tcBorders>
          </w:tcPr>
          <w:p w14:paraId="000CB18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0203D666"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293</w:t>
            </w:r>
          </w:p>
        </w:tc>
        <w:tc>
          <w:tcPr>
            <w:tcW w:w="1134" w:type="dxa"/>
            <w:vMerge w:val="restart"/>
            <w:tcBorders>
              <w:top w:val="nil"/>
              <w:left w:val="single" w:sz="8" w:space="0" w:color="auto"/>
              <w:bottom w:val="single" w:sz="8" w:space="0" w:color="000000"/>
              <w:right w:val="single" w:sz="12" w:space="0" w:color="auto"/>
            </w:tcBorders>
          </w:tcPr>
          <w:p w14:paraId="6844C3A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311382F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63255263"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4355839A"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42A6713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Rhydtalog</w:t>
            </w:r>
          </w:p>
        </w:tc>
        <w:tc>
          <w:tcPr>
            <w:tcW w:w="709" w:type="dxa"/>
            <w:tcBorders>
              <w:top w:val="nil"/>
              <w:left w:val="nil"/>
              <w:bottom w:val="single" w:sz="8" w:space="0" w:color="auto"/>
              <w:right w:val="single" w:sz="8" w:space="0" w:color="auto"/>
            </w:tcBorders>
          </w:tcPr>
          <w:p w14:paraId="0652A67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5.6</w:t>
            </w:r>
          </w:p>
        </w:tc>
        <w:tc>
          <w:tcPr>
            <w:tcW w:w="708" w:type="dxa"/>
            <w:tcBorders>
              <w:top w:val="nil"/>
              <w:left w:val="nil"/>
              <w:bottom w:val="single" w:sz="8" w:space="0" w:color="auto"/>
              <w:right w:val="single" w:sz="8" w:space="0" w:color="auto"/>
            </w:tcBorders>
          </w:tcPr>
          <w:p w14:paraId="2BC83E3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&lt;1</w:t>
            </w:r>
          </w:p>
        </w:tc>
        <w:tc>
          <w:tcPr>
            <w:tcW w:w="709" w:type="dxa"/>
            <w:tcBorders>
              <w:top w:val="nil"/>
              <w:left w:val="nil"/>
              <w:bottom w:val="single" w:sz="8" w:space="0" w:color="auto"/>
              <w:right w:val="single" w:sz="8" w:space="0" w:color="auto"/>
            </w:tcBorders>
          </w:tcPr>
          <w:p w14:paraId="3C08169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w:t>
            </w:r>
          </w:p>
        </w:tc>
        <w:tc>
          <w:tcPr>
            <w:tcW w:w="851" w:type="dxa"/>
            <w:tcBorders>
              <w:top w:val="nil"/>
              <w:left w:val="nil"/>
              <w:bottom w:val="single" w:sz="8" w:space="0" w:color="auto"/>
              <w:right w:val="single" w:sz="8" w:space="0" w:color="auto"/>
            </w:tcBorders>
          </w:tcPr>
          <w:p w14:paraId="1D58027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w:t>
            </w:r>
          </w:p>
        </w:tc>
        <w:tc>
          <w:tcPr>
            <w:tcW w:w="850" w:type="dxa"/>
            <w:tcBorders>
              <w:top w:val="nil"/>
              <w:left w:val="nil"/>
              <w:bottom w:val="single" w:sz="8" w:space="0" w:color="auto"/>
              <w:right w:val="single" w:sz="8" w:space="0" w:color="auto"/>
            </w:tcBorders>
          </w:tcPr>
          <w:p w14:paraId="5464488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2.9</w:t>
            </w:r>
          </w:p>
        </w:tc>
        <w:tc>
          <w:tcPr>
            <w:tcW w:w="992" w:type="dxa"/>
            <w:tcBorders>
              <w:top w:val="nil"/>
              <w:left w:val="nil"/>
              <w:bottom w:val="single" w:sz="8" w:space="0" w:color="auto"/>
              <w:right w:val="single" w:sz="8" w:space="0" w:color="auto"/>
            </w:tcBorders>
          </w:tcPr>
          <w:p w14:paraId="263E679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w:t>
            </w:r>
          </w:p>
        </w:tc>
        <w:tc>
          <w:tcPr>
            <w:tcW w:w="851" w:type="dxa"/>
            <w:tcBorders>
              <w:top w:val="nil"/>
              <w:left w:val="nil"/>
              <w:bottom w:val="single" w:sz="8" w:space="0" w:color="auto"/>
              <w:right w:val="single" w:sz="8" w:space="0" w:color="auto"/>
            </w:tcBorders>
          </w:tcPr>
          <w:p w14:paraId="4317CBF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110</w:t>
            </w:r>
          </w:p>
        </w:tc>
        <w:tc>
          <w:tcPr>
            <w:tcW w:w="992" w:type="dxa"/>
            <w:vMerge/>
            <w:tcBorders>
              <w:top w:val="nil"/>
              <w:left w:val="single" w:sz="8" w:space="0" w:color="auto"/>
              <w:bottom w:val="single" w:sz="8" w:space="0" w:color="000000"/>
              <w:right w:val="single" w:sz="8" w:space="0" w:color="auto"/>
            </w:tcBorders>
            <w:vAlign w:val="center"/>
          </w:tcPr>
          <w:p w14:paraId="02F8959B"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15900ABE"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51F8CDAD"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50F74E99"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3A8F1AE0"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1F06CE4E" w14:textId="77777777" w:rsidR="00632208" w:rsidRPr="0098635C" w:rsidRDefault="00632208" w:rsidP="00A432B0">
            <w:pPr>
              <w:spacing w:after="0"/>
              <w:rPr>
                <w:color w:val="000000" w:themeColor="text1"/>
                <w:sz w:val="20"/>
                <w:szCs w:val="20"/>
                <w:u w:val="single"/>
              </w:rPr>
            </w:pPr>
          </w:p>
        </w:tc>
      </w:tr>
      <w:tr w:rsidR="00632208" w:rsidRPr="0098635C" w14:paraId="193E2461" w14:textId="77777777" w:rsidTr="00A432B0">
        <w:trPr>
          <w:trHeight w:val="450"/>
        </w:trPr>
        <w:tc>
          <w:tcPr>
            <w:tcW w:w="1402" w:type="dxa"/>
            <w:vMerge w:val="restart"/>
            <w:tcBorders>
              <w:top w:val="nil"/>
              <w:left w:val="single" w:sz="8" w:space="0" w:color="auto"/>
              <w:bottom w:val="single" w:sz="8" w:space="0" w:color="000000"/>
              <w:right w:val="single" w:sz="8" w:space="0" w:color="auto"/>
            </w:tcBorders>
          </w:tcPr>
          <w:p w14:paraId="29D687D1"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nil"/>
              <w:right w:val="single" w:sz="8" w:space="0" w:color="auto"/>
            </w:tcBorders>
          </w:tcPr>
          <w:p w14:paraId="26252D5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Sandy clay loam</w:t>
            </w:r>
          </w:p>
        </w:tc>
        <w:tc>
          <w:tcPr>
            <w:tcW w:w="709" w:type="dxa"/>
            <w:tcBorders>
              <w:top w:val="nil"/>
              <w:left w:val="nil"/>
              <w:bottom w:val="nil"/>
              <w:right w:val="single" w:sz="8" w:space="0" w:color="auto"/>
            </w:tcBorders>
          </w:tcPr>
          <w:p w14:paraId="7B489F2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5.6</w:t>
            </w:r>
          </w:p>
        </w:tc>
        <w:tc>
          <w:tcPr>
            <w:tcW w:w="708" w:type="dxa"/>
            <w:tcBorders>
              <w:top w:val="nil"/>
              <w:left w:val="nil"/>
              <w:bottom w:val="nil"/>
              <w:right w:val="single" w:sz="8" w:space="0" w:color="auto"/>
            </w:tcBorders>
          </w:tcPr>
          <w:p w14:paraId="2C0F228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&lt;1</w:t>
            </w:r>
          </w:p>
        </w:tc>
        <w:tc>
          <w:tcPr>
            <w:tcW w:w="709" w:type="dxa"/>
            <w:tcBorders>
              <w:top w:val="nil"/>
              <w:left w:val="nil"/>
              <w:bottom w:val="nil"/>
              <w:right w:val="single" w:sz="8" w:space="0" w:color="auto"/>
            </w:tcBorders>
          </w:tcPr>
          <w:p w14:paraId="5BACF3F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w:t>
            </w:r>
          </w:p>
        </w:tc>
        <w:tc>
          <w:tcPr>
            <w:tcW w:w="851" w:type="dxa"/>
            <w:tcBorders>
              <w:top w:val="nil"/>
              <w:left w:val="nil"/>
              <w:bottom w:val="nil"/>
              <w:right w:val="single" w:sz="8" w:space="0" w:color="auto"/>
            </w:tcBorders>
          </w:tcPr>
          <w:p w14:paraId="1517C01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w:t>
            </w:r>
          </w:p>
        </w:tc>
        <w:tc>
          <w:tcPr>
            <w:tcW w:w="850" w:type="dxa"/>
            <w:tcBorders>
              <w:top w:val="nil"/>
              <w:left w:val="nil"/>
              <w:bottom w:val="nil"/>
              <w:right w:val="single" w:sz="8" w:space="0" w:color="auto"/>
            </w:tcBorders>
          </w:tcPr>
          <w:p w14:paraId="4B31142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2.9</w:t>
            </w:r>
          </w:p>
        </w:tc>
        <w:tc>
          <w:tcPr>
            <w:tcW w:w="992" w:type="dxa"/>
            <w:tcBorders>
              <w:top w:val="nil"/>
              <w:left w:val="nil"/>
              <w:bottom w:val="nil"/>
              <w:right w:val="single" w:sz="8" w:space="0" w:color="auto"/>
            </w:tcBorders>
          </w:tcPr>
          <w:p w14:paraId="34DE5E2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w:t>
            </w:r>
          </w:p>
        </w:tc>
        <w:tc>
          <w:tcPr>
            <w:tcW w:w="851" w:type="dxa"/>
            <w:tcBorders>
              <w:top w:val="nil"/>
              <w:left w:val="nil"/>
              <w:bottom w:val="nil"/>
              <w:right w:val="single" w:sz="8" w:space="0" w:color="auto"/>
            </w:tcBorders>
          </w:tcPr>
          <w:p w14:paraId="51CDE28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110</w:t>
            </w:r>
          </w:p>
        </w:tc>
        <w:tc>
          <w:tcPr>
            <w:tcW w:w="992" w:type="dxa"/>
            <w:vMerge w:val="restart"/>
            <w:tcBorders>
              <w:top w:val="nil"/>
              <w:left w:val="single" w:sz="8" w:space="0" w:color="auto"/>
              <w:bottom w:val="single" w:sz="8" w:space="0" w:color="000000"/>
              <w:right w:val="single" w:sz="8" w:space="0" w:color="auto"/>
            </w:tcBorders>
          </w:tcPr>
          <w:p w14:paraId="6278BE1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ED</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4D208EA2"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1390</w:t>
            </w:r>
          </w:p>
        </w:tc>
        <w:tc>
          <w:tcPr>
            <w:tcW w:w="1134" w:type="dxa"/>
            <w:vMerge w:val="restart"/>
            <w:tcBorders>
              <w:top w:val="nil"/>
              <w:left w:val="single" w:sz="8" w:space="0" w:color="auto"/>
              <w:bottom w:val="single" w:sz="8" w:space="0" w:color="000000"/>
              <w:right w:val="single" w:sz="8" w:space="0" w:color="auto"/>
            </w:tcBorders>
          </w:tcPr>
          <w:p w14:paraId="750CAB6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02176981"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1460</w:t>
            </w:r>
          </w:p>
        </w:tc>
        <w:tc>
          <w:tcPr>
            <w:tcW w:w="1134" w:type="dxa"/>
            <w:vMerge w:val="restart"/>
            <w:tcBorders>
              <w:top w:val="nil"/>
              <w:left w:val="single" w:sz="8" w:space="0" w:color="auto"/>
              <w:bottom w:val="single" w:sz="8" w:space="0" w:color="000000"/>
              <w:right w:val="single" w:sz="12" w:space="0" w:color="auto"/>
            </w:tcBorders>
          </w:tcPr>
          <w:p w14:paraId="5737356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7C09A64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45A8E70A"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00066480"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104A2C0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Zegveld</w:t>
            </w:r>
          </w:p>
        </w:tc>
        <w:tc>
          <w:tcPr>
            <w:tcW w:w="709" w:type="dxa"/>
            <w:tcBorders>
              <w:top w:val="nil"/>
              <w:left w:val="nil"/>
              <w:bottom w:val="single" w:sz="8" w:space="0" w:color="auto"/>
              <w:right w:val="single" w:sz="8" w:space="0" w:color="auto"/>
            </w:tcBorders>
          </w:tcPr>
          <w:p w14:paraId="08873AB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8" w:type="dxa"/>
            <w:tcBorders>
              <w:top w:val="nil"/>
              <w:left w:val="nil"/>
              <w:bottom w:val="single" w:sz="8" w:space="0" w:color="auto"/>
              <w:right w:val="single" w:sz="8" w:space="0" w:color="auto"/>
            </w:tcBorders>
          </w:tcPr>
          <w:p w14:paraId="46E38A5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nil"/>
              <w:left w:val="nil"/>
              <w:bottom w:val="single" w:sz="8" w:space="0" w:color="auto"/>
              <w:right w:val="single" w:sz="8" w:space="0" w:color="auto"/>
            </w:tcBorders>
          </w:tcPr>
          <w:p w14:paraId="223FCEF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04F2F44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nil"/>
              <w:left w:val="nil"/>
              <w:bottom w:val="single" w:sz="8" w:space="0" w:color="auto"/>
              <w:right w:val="single" w:sz="8" w:space="0" w:color="auto"/>
            </w:tcBorders>
          </w:tcPr>
          <w:p w14:paraId="779223E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single" w:sz="8" w:space="0" w:color="auto"/>
              <w:right w:val="single" w:sz="8" w:space="0" w:color="auto"/>
            </w:tcBorders>
          </w:tcPr>
          <w:p w14:paraId="3C7751A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4883F7C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vMerge/>
            <w:tcBorders>
              <w:top w:val="nil"/>
              <w:left w:val="single" w:sz="8" w:space="0" w:color="auto"/>
              <w:bottom w:val="single" w:sz="8" w:space="0" w:color="000000"/>
              <w:right w:val="single" w:sz="8" w:space="0" w:color="auto"/>
            </w:tcBorders>
            <w:vAlign w:val="center"/>
          </w:tcPr>
          <w:p w14:paraId="09C5D9DA"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06432F08"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5A6FE72C"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120475B4"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50243163"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1787893F" w14:textId="77777777" w:rsidR="00632208" w:rsidRPr="0098635C" w:rsidRDefault="00632208" w:rsidP="00A432B0">
            <w:pPr>
              <w:spacing w:after="0"/>
              <w:rPr>
                <w:color w:val="000000" w:themeColor="text1"/>
                <w:sz w:val="20"/>
                <w:szCs w:val="20"/>
              </w:rPr>
            </w:pPr>
          </w:p>
        </w:tc>
      </w:tr>
      <w:tr w:rsidR="00632208" w:rsidRPr="0098635C" w14:paraId="4E13C4BA" w14:textId="77777777" w:rsidTr="00A432B0">
        <w:trPr>
          <w:trHeight w:val="450"/>
        </w:trPr>
        <w:tc>
          <w:tcPr>
            <w:tcW w:w="1402" w:type="dxa"/>
            <w:vMerge w:val="restart"/>
            <w:tcBorders>
              <w:top w:val="nil"/>
              <w:left w:val="single" w:sz="8" w:space="0" w:color="auto"/>
              <w:bottom w:val="single" w:sz="8" w:space="0" w:color="000000"/>
              <w:right w:val="single" w:sz="8" w:space="0" w:color="auto"/>
            </w:tcBorders>
          </w:tcPr>
          <w:p w14:paraId="7BB44A76"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nil"/>
              <w:right w:val="single" w:sz="8" w:space="0" w:color="auto"/>
            </w:tcBorders>
          </w:tcPr>
          <w:p w14:paraId="4E999D4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Loamy sand</w:t>
            </w:r>
          </w:p>
        </w:tc>
        <w:tc>
          <w:tcPr>
            <w:tcW w:w="709" w:type="dxa"/>
            <w:tcBorders>
              <w:top w:val="nil"/>
              <w:left w:val="nil"/>
              <w:bottom w:val="nil"/>
              <w:right w:val="single" w:sz="8" w:space="0" w:color="auto"/>
            </w:tcBorders>
          </w:tcPr>
          <w:p w14:paraId="7633BC4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7.2-7.8</w:t>
            </w:r>
          </w:p>
        </w:tc>
        <w:tc>
          <w:tcPr>
            <w:tcW w:w="708" w:type="dxa"/>
            <w:tcBorders>
              <w:top w:val="nil"/>
              <w:left w:val="nil"/>
              <w:bottom w:val="nil"/>
              <w:right w:val="single" w:sz="8" w:space="0" w:color="auto"/>
            </w:tcBorders>
          </w:tcPr>
          <w:p w14:paraId="39CAE9E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9.6-9.95</w:t>
            </w:r>
          </w:p>
        </w:tc>
        <w:tc>
          <w:tcPr>
            <w:tcW w:w="709" w:type="dxa"/>
            <w:tcBorders>
              <w:top w:val="nil"/>
              <w:left w:val="nil"/>
              <w:bottom w:val="nil"/>
              <w:right w:val="single" w:sz="8" w:space="0" w:color="auto"/>
            </w:tcBorders>
          </w:tcPr>
          <w:p w14:paraId="387D05E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41</w:t>
            </w:r>
          </w:p>
        </w:tc>
        <w:tc>
          <w:tcPr>
            <w:tcW w:w="851" w:type="dxa"/>
            <w:tcBorders>
              <w:top w:val="nil"/>
              <w:left w:val="nil"/>
              <w:bottom w:val="nil"/>
              <w:right w:val="single" w:sz="8" w:space="0" w:color="auto"/>
            </w:tcBorders>
          </w:tcPr>
          <w:p w14:paraId="2F597DB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14.4</w:t>
            </w:r>
          </w:p>
        </w:tc>
        <w:tc>
          <w:tcPr>
            <w:tcW w:w="850" w:type="dxa"/>
            <w:tcBorders>
              <w:top w:val="nil"/>
              <w:left w:val="nil"/>
              <w:bottom w:val="nil"/>
              <w:right w:val="single" w:sz="8" w:space="0" w:color="auto"/>
            </w:tcBorders>
          </w:tcPr>
          <w:p w14:paraId="173796F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44.2</w:t>
            </w:r>
          </w:p>
        </w:tc>
        <w:tc>
          <w:tcPr>
            <w:tcW w:w="992" w:type="dxa"/>
            <w:tcBorders>
              <w:top w:val="nil"/>
              <w:left w:val="nil"/>
              <w:bottom w:val="nil"/>
              <w:right w:val="single" w:sz="8" w:space="0" w:color="auto"/>
            </w:tcBorders>
          </w:tcPr>
          <w:p w14:paraId="4AA6526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14</w:t>
            </w:r>
          </w:p>
        </w:tc>
        <w:tc>
          <w:tcPr>
            <w:tcW w:w="851" w:type="dxa"/>
            <w:tcBorders>
              <w:top w:val="nil"/>
              <w:left w:val="nil"/>
              <w:bottom w:val="nil"/>
              <w:right w:val="single" w:sz="8" w:space="0" w:color="auto"/>
            </w:tcBorders>
          </w:tcPr>
          <w:p w14:paraId="69B3EB6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294</w:t>
            </w:r>
          </w:p>
        </w:tc>
        <w:tc>
          <w:tcPr>
            <w:tcW w:w="992" w:type="dxa"/>
            <w:vMerge w:val="restart"/>
            <w:tcBorders>
              <w:top w:val="nil"/>
              <w:left w:val="single" w:sz="8" w:space="0" w:color="auto"/>
              <w:bottom w:val="single" w:sz="8" w:space="0" w:color="000000"/>
              <w:right w:val="single" w:sz="8" w:space="0" w:color="auto"/>
            </w:tcBorders>
          </w:tcPr>
          <w:p w14:paraId="365A617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445957DD"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55.5</w:t>
            </w:r>
          </w:p>
        </w:tc>
        <w:tc>
          <w:tcPr>
            <w:tcW w:w="1134" w:type="dxa"/>
            <w:vMerge w:val="restart"/>
            <w:tcBorders>
              <w:top w:val="nil"/>
              <w:left w:val="single" w:sz="8" w:space="0" w:color="auto"/>
              <w:bottom w:val="single" w:sz="8" w:space="0" w:color="000000"/>
              <w:right w:val="single" w:sz="8" w:space="0" w:color="auto"/>
            </w:tcBorders>
          </w:tcPr>
          <w:p w14:paraId="328C800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53180546"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61.5</w:t>
            </w:r>
          </w:p>
        </w:tc>
        <w:tc>
          <w:tcPr>
            <w:tcW w:w="1134" w:type="dxa"/>
            <w:vMerge w:val="restart"/>
            <w:tcBorders>
              <w:top w:val="nil"/>
              <w:left w:val="single" w:sz="8" w:space="0" w:color="auto"/>
              <w:bottom w:val="single" w:sz="8" w:space="0" w:color="000000"/>
              <w:right w:val="single" w:sz="12" w:space="0" w:color="auto"/>
            </w:tcBorders>
          </w:tcPr>
          <w:p w14:paraId="5B8F36E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2039378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5F1A5B47"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676F047C"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290BFEF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Kovlinge</w:t>
            </w:r>
          </w:p>
        </w:tc>
        <w:tc>
          <w:tcPr>
            <w:tcW w:w="709" w:type="dxa"/>
            <w:tcBorders>
              <w:top w:val="nil"/>
              <w:left w:val="nil"/>
              <w:bottom w:val="single" w:sz="8" w:space="0" w:color="auto"/>
              <w:right w:val="single" w:sz="8" w:space="0" w:color="auto"/>
            </w:tcBorders>
          </w:tcPr>
          <w:p w14:paraId="4C41DFA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8" w:type="dxa"/>
            <w:tcBorders>
              <w:top w:val="nil"/>
              <w:left w:val="nil"/>
              <w:bottom w:val="single" w:sz="8" w:space="0" w:color="auto"/>
              <w:right w:val="single" w:sz="8" w:space="0" w:color="auto"/>
            </w:tcBorders>
          </w:tcPr>
          <w:p w14:paraId="162D651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nil"/>
              <w:left w:val="nil"/>
              <w:bottom w:val="single" w:sz="8" w:space="0" w:color="auto"/>
              <w:right w:val="single" w:sz="8" w:space="0" w:color="auto"/>
            </w:tcBorders>
          </w:tcPr>
          <w:p w14:paraId="668C7E1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36CD5A6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nil"/>
              <w:left w:val="nil"/>
              <w:bottom w:val="single" w:sz="8" w:space="0" w:color="auto"/>
              <w:right w:val="single" w:sz="8" w:space="0" w:color="auto"/>
            </w:tcBorders>
          </w:tcPr>
          <w:p w14:paraId="7F11B71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single" w:sz="8" w:space="0" w:color="auto"/>
              <w:right w:val="single" w:sz="8" w:space="0" w:color="auto"/>
            </w:tcBorders>
          </w:tcPr>
          <w:p w14:paraId="65A91A5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2364253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vMerge/>
            <w:tcBorders>
              <w:top w:val="nil"/>
              <w:left w:val="single" w:sz="8" w:space="0" w:color="auto"/>
              <w:bottom w:val="single" w:sz="8" w:space="0" w:color="000000"/>
              <w:right w:val="single" w:sz="8" w:space="0" w:color="auto"/>
            </w:tcBorders>
            <w:vAlign w:val="center"/>
          </w:tcPr>
          <w:p w14:paraId="53F39B5F"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439C6BCB"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62E0343E"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4E412522"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343A77CC"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42129CE9" w14:textId="77777777" w:rsidR="00632208" w:rsidRPr="0098635C" w:rsidRDefault="00632208" w:rsidP="00A432B0">
            <w:pPr>
              <w:spacing w:after="0"/>
              <w:rPr>
                <w:color w:val="000000" w:themeColor="text1"/>
                <w:sz w:val="20"/>
                <w:szCs w:val="20"/>
              </w:rPr>
            </w:pPr>
          </w:p>
        </w:tc>
      </w:tr>
      <w:tr w:rsidR="00632208" w:rsidRPr="0098635C" w14:paraId="765C068D" w14:textId="77777777" w:rsidTr="00A432B0">
        <w:trPr>
          <w:trHeight w:val="225"/>
        </w:trPr>
        <w:tc>
          <w:tcPr>
            <w:tcW w:w="1402" w:type="dxa"/>
            <w:vMerge w:val="restart"/>
            <w:tcBorders>
              <w:top w:val="nil"/>
              <w:left w:val="single" w:sz="8" w:space="0" w:color="auto"/>
              <w:bottom w:val="single" w:sz="8" w:space="0" w:color="000000"/>
              <w:right w:val="single" w:sz="8" w:space="0" w:color="auto"/>
            </w:tcBorders>
          </w:tcPr>
          <w:p w14:paraId="112C9B52"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nil"/>
              <w:right w:val="single" w:sz="8" w:space="0" w:color="auto"/>
            </w:tcBorders>
          </w:tcPr>
          <w:p w14:paraId="774F5B2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Sandy clay</w:t>
            </w:r>
          </w:p>
        </w:tc>
        <w:tc>
          <w:tcPr>
            <w:tcW w:w="709" w:type="dxa"/>
            <w:tcBorders>
              <w:top w:val="nil"/>
              <w:left w:val="nil"/>
              <w:bottom w:val="nil"/>
              <w:right w:val="single" w:sz="8" w:space="0" w:color="auto"/>
            </w:tcBorders>
          </w:tcPr>
          <w:p w14:paraId="3A69A4A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4.78</w:t>
            </w:r>
          </w:p>
        </w:tc>
        <w:tc>
          <w:tcPr>
            <w:tcW w:w="708" w:type="dxa"/>
            <w:tcBorders>
              <w:top w:val="nil"/>
              <w:left w:val="nil"/>
              <w:bottom w:val="nil"/>
              <w:right w:val="single" w:sz="8" w:space="0" w:color="auto"/>
            </w:tcBorders>
          </w:tcPr>
          <w:p w14:paraId="01DDF29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5.4</w:t>
            </w:r>
          </w:p>
        </w:tc>
        <w:tc>
          <w:tcPr>
            <w:tcW w:w="709" w:type="dxa"/>
            <w:tcBorders>
              <w:top w:val="nil"/>
              <w:left w:val="nil"/>
              <w:bottom w:val="nil"/>
              <w:right w:val="single" w:sz="8" w:space="0" w:color="auto"/>
            </w:tcBorders>
          </w:tcPr>
          <w:p w14:paraId="3AB0112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nil"/>
              <w:right w:val="single" w:sz="8" w:space="0" w:color="auto"/>
            </w:tcBorders>
          </w:tcPr>
          <w:p w14:paraId="0F8EC28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53</w:t>
            </w:r>
          </w:p>
        </w:tc>
        <w:tc>
          <w:tcPr>
            <w:tcW w:w="850" w:type="dxa"/>
            <w:tcBorders>
              <w:top w:val="nil"/>
              <w:left w:val="nil"/>
              <w:bottom w:val="nil"/>
              <w:right w:val="single" w:sz="8" w:space="0" w:color="auto"/>
            </w:tcBorders>
          </w:tcPr>
          <w:p w14:paraId="72C9E98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nil"/>
              <w:right w:val="single" w:sz="8" w:space="0" w:color="auto"/>
            </w:tcBorders>
          </w:tcPr>
          <w:p w14:paraId="4711694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nil"/>
              <w:right w:val="single" w:sz="8" w:space="0" w:color="auto"/>
            </w:tcBorders>
          </w:tcPr>
          <w:p w14:paraId="0201160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30</w:t>
            </w:r>
          </w:p>
        </w:tc>
        <w:tc>
          <w:tcPr>
            <w:tcW w:w="992" w:type="dxa"/>
            <w:vMerge w:val="restart"/>
            <w:tcBorders>
              <w:top w:val="nil"/>
              <w:left w:val="single" w:sz="8" w:space="0" w:color="auto"/>
              <w:bottom w:val="single" w:sz="8" w:space="0" w:color="000000"/>
              <w:right w:val="single" w:sz="8" w:space="0" w:color="auto"/>
            </w:tcBorders>
          </w:tcPr>
          <w:p w14:paraId="7EB6AB5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40D8D7B1"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53.1</w:t>
            </w:r>
          </w:p>
        </w:tc>
        <w:tc>
          <w:tcPr>
            <w:tcW w:w="1134" w:type="dxa"/>
            <w:vMerge w:val="restart"/>
            <w:tcBorders>
              <w:top w:val="nil"/>
              <w:left w:val="single" w:sz="8" w:space="0" w:color="auto"/>
              <w:bottom w:val="single" w:sz="8" w:space="0" w:color="000000"/>
              <w:right w:val="single" w:sz="8" w:space="0" w:color="auto"/>
            </w:tcBorders>
          </w:tcPr>
          <w:p w14:paraId="59D7880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3C8A4F82"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84.1</w:t>
            </w:r>
          </w:p>
        </w:tc>
        <w:tc>
          <w:tcPr>
            <w:tcW w:w="1134" w:type="dxa"/>
            <w:vMerge w:val="restart"/>
            <w:tcBorders>
              <w:top w:val="nil"/>
              <w:left w:val="single" w:sz="8" w:space="0" w:color="auto"/>
              <w:bottom w:val="single" w:sz="8" w:space="0" w:color="000000"/>
              <w:right w:val="single" w:sz="12" w:space="0" w:color="auto"/>
            </w:tcBorders>
          </w:tcPr>
          <w:p w14:paraId="2118F55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5588A62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6F284D53"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4374593E"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6190697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Souli</w:t>
            </w:r>
          </w:p>
        </w:tc>
        <w:tc>
          <w:tcPr>
            <w:tcW w:w="709" w:type="dxa"/>
            <w:tcBorders>
              <w:top w:val="nil"/>
              <w:left w:val="nil"/>
              <w:bottom w:val="single" w:sz="8" w:space="0" w:color="auto"/>
              <w:right w:val="single" w:sz="8" w:space="0" w:color="auto"/>
            </w:tcBorders>
          </w:tcPr>
          <w:p w14:paraId="7C2B51D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4.5</w:t>
            </w:r>
          </w:p>
        </w:tc>
        <w:tc>
          <w:tcPr>
            <w:tcW w:w="708" w:type="dxa"/>
            <w:tcBorders>
              <w:top w:val="nil"/>
              <w:left w:val="nil"/>
              <w:bottom w:val="single" w:sz="8" w:space="0" w:color="auto"/>
              <w:right w:val="single" w:sz="8" w:space="0" w:color="auto"/>
            </w:tcBorders>
          </w:tcPr>
          <w:p w14:paraId="24F0CF1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72</w:t>
            </w:r>
          </w:p>
        </w:tc>
        <w:tc>
          <w:tcPr>
            <w:tcW w:w="709" w:type="dxa"/>
            <w:tcBorders>
              <w:top w:val="nil"/>
              <w:left w:val="nil"/>
              <w:bottom w:val="single" w:sz="8" w:space="0" w:color="auto"/>
              <w:right w:val="single" w:sz="8" w:space="0" w:color="auto"/>
            </w:tcBorders>
          </w:tcPr>
          <w:p w14:paraId="4544D78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7D0C544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14</w:t>
            </w:r>
          </w:p>
        </w:tc>
        <w:tc>
          <w:tcPr>
            <w:tcW w:w="850" w:type="dxa"/>
            <w:tcBorders>
              <w:top w:val="nil"/>
              <w:left w:val="nil"/>
              <w:bottom w:val="single" w:sz="8" w:space="0" w:color="auto"/>
              <w:right w:val="single" w:sz="8" w:space="0" w:color="auto"/>
            </w:tcBorders>
          </w:tcPr>
          <w:p w14:paraId="5D099DD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single" w:sz="8" w:space="0" w:color="auto"/>
              <w:right w:val="single" w:sz="8" w:space="0" w:color="auto"/>
            </w:tcBorders>
          </w:tcPr>
          <w:p w14:paraId="54F8A1D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6166589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14</w:t>
            </w:r>
          </w:p>
        </w:tc>
        <w:tc>
          <w:tcPr>
            <w:tcW w:w="992" w:type="dxa"/>
            <w:vMerge/>
            <w:tcBorders>
              <w:top w:val="nil"/>
              <w:left w:val="single" w:sz="8" w:space="0" w:color="auto"/>
              <w:bottom w:val="single" w:sz="8" w:space="0" w:color="000000"/>
              <w:right w:val="single" w:sz="8" w:space="0" w:color="auto"/>
            </w:tcBorders>
            <w:vAlign w:val="center"/>
          </w:tcPr>
          <w:p w14:paraId="2E60EF92"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57D38AA8"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697B27F8"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34B9463D"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42C85047"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19BC7D86" w14:textId="77777777" w:rsidR="00632208" w:rsidRPr="0098635C" w:rsidRDefault="00632208" w:rsidP="00A432B0">
            <w:pPr>
              <w:spacing w:after="0"/>
              <w:rPr>
                <w:color w:val="000000" w:themeColor="text1"/>
                <w:sz w:val="20"/>
                <w:szCs w:val="20"/>
              </w:rPr>
            </w:pPr>
          </w:p>
        </w:tc>
      </w:tr>
      <w:tr w:rsidR="00632208" w:rsidRPr="0098635C" w14:paraId="40FBFA6A" w14:textId="77777777" w:rsidTr="00A432B0">
        <w:trPr>
          <w:trHeight w:val="225"/>
        </w:trPr>
        <w:tc>
          <w:tcPr>
            <w:tcW w:w="1402" w:type="dxa"/>
            <w:vMerge w:val="restart"/>
            <w:tcBorders>
              <w:top w:val="nil"/>
              <w:left w:val="single" w:sz="8" w:space="0" w:color="auto"/>
              <w:bottom w:val="single" w:sz="8" w:space="0" w:color="000000"/>
              <w:right w:val="single" w:sz="8" w:space="0" w:color="auto"/>
            </w:tcBorders>
          </w:tcPr>
          <w:p w14:paraId="782B6C93"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nil"/>
              <w:right w:val="single" w:sz="8" w:space="0" w:color="auto"/>
            </w:tcBorders>
          </w:tcPr>
          <w:p w14:paraId="34F1345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loamy sand</w:t>
            </w:r>
          </w:p>
        </w:tc>
        <w:tc>
          <w:tcPr>
            <w:tcW w:w="709" w:type="dxa"/>
            <w:tcBorders>
              <w:top w:val="nil"/>
              <w:left w:val="nil"/>
              <w:bottom w:val="nil"/>
              <w:right w:val="single" w:sz="8" w:space="0" w:color="auto"/>
            </w:tcBorders>
          </w:tcPr>
          <w:p w14:paraId="2470FD7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8" w:type="dxa"/>
            <w:tcBorders>
              <w:top w:val="nil"/>
              <w:left w:val="nil"/>
              <w:bottom w:val="nil"/>
              <w:right w:val="single" w:sz="8" w:space="0" w:color="auto"/>
            </w:tcBorders>
          </w:tcPr>
          <w:p w14:paraId="1DB78EC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nil"/>
              <w:left w:val="nil"/>
              <w:bottom w:val="nil"/>
              <w:right w:val="single" w:sz="8" w:space="0" w:color="auto"/>
            </w:tcBorders>
          </w:tcPr>
          <w:p w14:paraId="25EC262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nil"/>
              <w:right w:val="single" w:sz="8" w:space="0" w:color="auto"/>
            </w:tcBorders>
          </w:tcPr>
          <w:p w14:paraId="6F808E2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nil"/>
              <w:left w:val="nil"/>
              <w:bottom w:val="nil"/>
              <w:right w:val="single" w:sz="8" w:space="0" w:color="auto"/>
            </w:tcBorders>
          </w:tcPr>
          <w:p w14:paraId="31DAE5F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nil"/>
              <w:right w:val="single" w:sz="8" w:space="0" w:color="auto"/>
            </w:tcBorders>
          </w:tcPr>
          <w:p w14:paraId="35B4B5D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nil"/>
              <w:right w:val="single" w:sz="8" w:space="0" w:color="auto"/>
            </w:tcBorders>
          </w:tcPr>
          <w:p w14:paraId="70B161D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vMerge w:val="restart"/>
            <w:tcBorders>
              <w:top w:val="nil"/>
              <w:left w:val="single" w:sz="8" w:space="0" w:color="auto"/>
              <w:bottom w:val="single" w:sz="8" w:space="0" w:color="000000"/>
              <w:right w:val="single" w:sz="8" w:space="0" w:color="auto"/>
            </w:tcBorders>
          </w:tcPr>
          <w:p w14:paraId="600308F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6F7BA473"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172</w:t>
            </w:r>
          </w:p>
        </w:tc>
        <w:tc>
          <w:tcPr>
            <w:tcW w:w="1134" w:type="dxa"/>
            <w:vMerge w:val="restart"/>
            <w:tcBorders>
              <w:top w:val="nil"/>
              <w:left w:val="single" w:sz="8" w:space="0" w:color="auto"/>
              <w:bottom w:val="single" w:sz="8" w:space="0" w:color="000000"/>
              <w:right w:val="single" w:sz="8" w:space="0" w:color="auto"/>
            </w:tcBorders>
          </w:tcPr>
          <w:p w14:paraId="7560BCD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1B3AA2D6"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177</w:t>
            </w:r>
          </w:p>
        </w:tc>
        <w:tc>
          <w:tcPr>
            <w:tcW w:w="1134" w:type="dxa"/>
            <w:vMerge w:val="restart"/>
            <w:tcBorders>
              <w:top w:val="nil"/>
              <w:left w:val="single" w:sz="8" w:space="0" w:color="auto"/>
              <w:bottom w:val="single" w:sz="8" w:space="0" w:color="000000"/>
              <w:right w:val="single" w:sz="12" w:space="0" w:color="auto"/>
            </w:tcBorders>
          </w:tcPr>
          <w:p w14:paraId="3385ADE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2A6D5FA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36EA7CEC"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1DC27F70"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499FB7B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Montpellier</w:t>
            </w:r>
          </w:p>
        </w:tc>
        <w:tc>
          <w:tcPr>
            <w:tcW w:w="709" w:type="dxa"/>
            <w:tcBorders>
              <w:top w:val="nil"/>
              <w:left w:val="nil"/>
              <w:bottom w:val="single" w:sz="8" w:space="0" w:color="auto"/>
              <w:right w:val="single" w:sz="8" w:space="0" w:color="auto"/>
            </w:tcBorders>
          </w:tcPr>
          <w:p w14:paraId="0F58B58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5.5</w:t>
            </w:r>
          </w:p>
        </w:tc>
        <w:tc>
          <w:tcPr>
            <w:tcW w:w="708" w:type="dxa"/>
            <w:tcBorders>
              <w:top w:val="nil"/>
              <w:left w:val="nil"/>
              <w:bottom w:val="single" w:sz="8" w:space="0" w:color="auto"/>
              <w:right w:val="single" w:sz="8" w:space="0" w:color="auto"/>
            </w:tcBorders>
          </w:tcPr>
          <w:p w14:paraId="593832F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10</w:t>
            </w:r>
          </w:p>
        </w:tc>
        <w:tc>
          <w:tcPr>
            <w:tcW w:w="709" w:type="dxa"/>
            <w:tcBorders>
              <w:top w:val="nil"/>
              <w:left w:val="nil"/>
              <w:bottom w:val="single" w:sz="8" w:space="0" w:color="auto"/>
              <w:right w:val="single" w:sz="8" w:space="0" w:color="auto"/>
            </w:tcBorders>
          </w:tcPr>
          <w:p w14:paraId="5C08E9E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851" w:type="dxa"/>
            <w:tcBorders>
              <w:top w:val="nil"/>
              <w:left w:val="nil"/>
              <w:bottom w:val="single" w:sz="8" w:space="0" w:color="auto"/>
              <w:right w:val="single" w:sz="8" w:space="0" w:color="auto"/>
            </w:tcBorders>
          </w:tcPr>
          <w:p w14:paraId="5D03170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3.2</w:t>
            </w:r>
          </w:p>
        </w:tc>
        <w:tc>
          <w:tcPr>
            <w:tcW w:w="850" w:type="dxa"/>
            <w:tcBorders>
              <w:top w:val="nil"/>
              <w:left w:val="nil"/>
              <w:bottom w:val="single" w:sz="8" w:space="0" w:color="auto"/>
              <w:right w:val="single" w:sz="8" w:space="0" w:color="auto"/>
            </w:tcBorders>
          </w:tcPr>
          <w:p w14:paraId="5A96E03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w:t>
            </w:r>
          </w:p>
        </w:tc>
        <w:tc>
          <w:tcPr>
            <w:tcW w:w="992" w:type="dxa"/>
            <w:tcBorders>
              <w:top w:val="nil"/>
              <w:left w:val="nil"/>
              <w:bottom w:val="single" w:sz="8" w:space="0" w:color="auto"/>
              <w:right w:val="single" w:sz="8" w:space="0" w:color="auto"/>
            </w:tcBorders>
          </w:tcPr>
          <w:p w14:paraId="6923E60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5h</w:t>
            </w:r>
          </w:p>
        </w:tc>
        <w:tc>
          <w:tcPr>
            <w:tcW w:w="851" w:type="dxa"/>
            <w:tcBorders>
              <w:top w:val="nil"/>
              <w:left w:val="nil"/>
              <w:bottom w:val="single" w:sz="8" w:space="0" w:color="auto"/>
              <w:right w:val="single" w:sz="8" w:space="0" w:color="auto"/>
            </w:tcBorders>
          </w:tcPr>
          <w:p w14:paraId="213BC0A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992" w:type="dxa"/>
            <w:vMerge/>
            <w:tcBorders>
              <w:top w:val="nil"/>
              <w:left w:val="single" w:sz="8" w:space="0" w:color="auto"/>
              <w:bottom w:val="single" w:sz="8" w:space="0" w:color="000000"/>
              <w:right w:val="single" w:sz="8" w:space="0" w:color="auto"/>
            </w:tcBorders>
            <w:vAlign w:val="center"/>
          </w:tcPr>
          <w:p w14:paraId="0C59BB88"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697BF81E"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53EA7B14"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6580827C"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0E1AAF2F"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30BF5346" w14:textId="77777777" w:rsidR="00632208" w:rsidRPr="0098635C" w:rsidRDefault="00632208" w:rsidP="00A432B0">
            <w:pPr>
              <w:spacing w:after="0"/>
              <w:rPr>
                <w:color w:val="000000" w:themeColor="text1"/>
                <w:sz w:val="20"/>
                <w:szCs w:val="20"/>
              </w:rPr>
            </w:pPr>
          </w:p>
        </w:tc>
      </w:tr>
      <w:tr w:rsidR="00632208" w:rsidRPr="0098635C" w14:paraId="2CBA33BC" w14:textId="77777777" w:rsidTr="00A432B0">
        <w:trPr>
          <w:trHeight w:val="225"/>
        </w:trPr>
        <w:tc>
          <w:tcPr>
            <w:tcW w:w="1402" w:type="dxa"/>
            <w:vMerge w:val="restart"/>
            <w:tcBorders>
              <w:top w:val="nil"/>
              <w:left w:val="single" w:sz="8" w:space="0" w:color="auto"/>
              <w:bottom w:val="single" w:sz="8" w:space="0" w:color="000000"/>
              <w:right w:val="single" w:sz="8" w:space="0" w:color="auto"/>
            </w:tcBorders>
          </w:tcPr>
          <w:p w14:paraId="5CC73111"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nil"/>
              <w:right w:val="single" w:sz="8" w:space="0" w:color="auto"/>
            </w:tcBorders>
          </w:tcPr>
          <w:p w14:paraId="60B2300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Clay</w:t>
            </w:r>
          </w:p>
        </w:tc>
        <w:tc>
          <w:tcPr>
            <w:tcW w:w="709" w:type="dxa"/>
            <w:tcBorders>
              <w:top w:val="nil"/>
              <w:left w:val="nil"/>
              <w:bottom w:val="nil"/>
              <w:right w:val="single" w:sz="8" w:space="0" w:color="auto"/>
            </w:tcBorders>
          </w:tcPr>
          <w:p w14:paraId="2EE8F74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8" w:type="dxa"/>
            <w:tcBorders>
              <w:top w:val="nil"/>
              <w:left w:val="nil"/>
              <w:bottom w:val="nil"/>
              <w:right w:val="single" w:sz="8" w:space="0" w:color="auto"/>
            </w:tcBorders>
          </w:tcPr>
          <w:p w14:paraId="3A64036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nil"/>
              <w:left w:val="nil"/>
              <w:bottom w:val="nil"/>
              <w:right w:val="single" w:sz="8" w:space="0" w:color="auto"/>
            </w:tcBorders>
          </w:tcPr>
          <w:p w14:paraId="29E2D29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nil"/>
              <w:right w:val="single" w:sz="8" w:space="0" w:color="auto"/>
            </w:tcBorders>
          </w:tcPr>
          <w:p w14:paraId="7DB4EA3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nil"/>
              <w:left w:val="nil"/>
              <w:bottom w:val="nil"/>
              <w:right w:val="single" w:sz="8" w:space="0" w:color="auto"/>
            </w:tcBorders>
          </w:tcPr>
          <w:p w14:paraId="2089AB7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nil"/>
              <w:right w:val="single" w:sz="8" w:space="0" w:color="auto"/>
            </w:tcBorders>
          </w:tcPr>
          <w:p w14:paraId="5C833D9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nil"/>
              <w:right w:val="single" w:sz="8" w:space="0" w:color="auto"/>
            </w:tcBorders>
          </w:tcPr>
          <w:p w14:paraId="31DF538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vMerge w:val="restart"/>
            <w:tcBorders>
              <w:top w:val="nil"/>
              <w:left w:val="single" w:sz="8" w:space="0" w:color="auto"/>
              <w:bottom w:val="single" w:sz="8" w:space="0" w:color="000000"/>
              <w:right w:val="single" w:sz="8" w:space="0" w:color="auto"/>
            </w:tcBorders>
          </w:tcPr>
          <w:p w14:paraId="5F9525C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77D84B04"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276</w:t>
            </w:r>
          </w:p>
        </w:tc>
        <w:tc>
          <w:tcPr>
            <w:tcW w:w="1134" w:type="dxa"/>
            <w:vMerge w:val="restart"/>
            <w:tcBorders>
              <w:top w:val="nil"/>
              <w:left w:val="single" w:sz="8" w:space="0" w:color="auto"/>
              <w:bottom w:val="single" w:sz="8" w:space="0" w:color="000000"/>
              <w:right w:val="single" w:sz="8" w:space="0" w:color="auto"/>
            </w:tcBorders>
          </w:tcPr>
          <w:p w14:paraId="3FC2C9F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2ECB1021"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297</w:t>
            </w:r>
          </w:p>
        </w:tc>
        <w:tc>
          <w:tcPr>
            <w:tcW w:w="1134" w:type="dxa"/>
            <w:vMerge w:val="restart"/>
            <w:tcBorders>
              <w:top w:val="nil"/>
              <w:left w:val="single" w:sz="8" w:space="0" w:color="auto"/>
              <w:bottom w:val="single" w:sz="8" w:space="0" w:color="000000"/>
              <w:right w:val="single" w:sz="12" w:space="0" w:color="auto"/>
            </w:tcBorders>
          </w:tcPr>
          <w:p w14:paraId="3F367E1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288FB90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311764F1"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7E5F863D"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31ADD54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Aluminusa</w:t>
            </w:r>
          </w:p>
        </w:tc>
        <w:tc>
          <w:tcPr>
            <w:tcW w:w="709" w:type="dxa"/>
            <w:tcBorders>
              <w:top w:val="nil"/>
              <w:left w:val="nil"/>
              <w:bottom w:val="single" w:sz="8" w:space="0" w:color="auto"/>
              <w:right w:val="single" w:sz="8" w:space="0" w:color="auto"/>
            </w:tcBorders>
          </w:tcPr>
          <w:p w14:paraId="74DC268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5.8</w:t>
            </w:r>
          </w:p>
        </w:tc>
        <w:tc>
          <w:tcPr>
            <w:tcW w:w="708" w:type="dxa"/>
            <w:tcBorders>
              <w:top w:val="nil"/>
              <w:left w:val="nil"/>
              <w:bottom w:val="single" w:sz="8" w:space="0" w:color="auto"/>
              <w:right w:val="single" w:sz="8" w:space="0" w:color="auto"/>
            </w:tcBorders>
          </w:tcPr>
          <w:p w14:paraId="3CC0425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w:t>
            </w:r>
          </w:p>
        </w:tc>
        <w:tc>
          <w:tcPr>
            <w:tcW w:w="709" w:type="dxa"/>
            <w:tcBorders>
              <w:top w:val="nil"/>
              <w:left w:val="nil"/>
              <w:bottom w:val="single" w:sz="8" w:space="0" w:color="auto"/>
              <w:right w:val="single" w:sz="8" w:space="0" w:color="auto"/>
            </w:tcBorders>
          </w:tcPr>
          <w:p w14:paraId="36BF0B4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5.1</w:t>
            </w:r>
          </w:p>
        </w:tc>
        <w:tc>
          <w:tcPr>
            <w:tcW w:w="851" w:type="dxa"/>
            <w:tcBorders>
              <w:top w:val="nil"/>
              <w:left w:val="nil"/>
              <w:bottom w:val="single" w:sz="8" w:space="0" w:color="auto"/>
              <w:right w:val="single" w:sz="8" w:space="0" w:color="auto"/>
            </w:tcBorders>
          </w:tcPr>
          <w:p w14:paraId="5A1FA72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5.2</w:t>
            </w:r>
          </w:p>
        </w:tc>
        <w:tc>
          <w:tcPr>
            <w:tcW w:w="850" w:type="dxa"/>
            <w:tcBorders>
              <w:top w:val="nil"/>
              <w:left w:val="nil"/>
              <w:bottom w:val="single" w:sz="8" w:space="0" w:color="auto"/>
              <w:right w:val="single" w:sz="8" w:space="0" w:color="auto"/>
            </w:tcBorders>
          </w:tcPr>
          <w:p w14:paraId="0B5CB4F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8.3</w:t>
            </w:r>
          </w:p>
        </w:tc>
        <w:tc>
          <w:tcPr>
            <w:tcW w:w="992" w:type="dxa"/>
            <w:tcBorders>
              <w:top w:val="nil"/>
              <w:left w:val="nil"/>
              <w:bottom w:val="single" w:sz="8" w:space="0" w:color="auto"/>
              <w:right w:val="single" w:sz="8" w:space="0" w:color="auto"/>
            </w:tcBorders>
          </w:tcPr>
          <w:p w14:paraId="7E978F9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176BA91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w:t>
            </w:r>
          </w:p>
        </w:tc>
        <w:tc>
          <w:tcPr>
            <w:tcW w:w="992" w:type="dxa"/>
            <w:vMerge/>
            <w:tcBorders>
              <w:top w:val="nil"/>
              <w:left w:val="single" w:sz="8" w:space="0" w:color="auto"/>
              <w:bottom w:val="single" w:sz="8" w:space="0" w:color="000000"/>
              <w:right w:val="single" w:sz="8" w:space="0" w:color="auto"/>
            </w:tcBorders>
            <w:vAlign w:val="center"/>
          </w:tcPr>
          <w:p w14:paraId="18426AC4"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47069667"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62C4C5E8"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31E942FA"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5CBB47A9"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17B90C3E" w14:textId="77777777" w:rsidR="00632208" w:rsidRPr="0098635C" w:rsidRDefault="00632208" w:rsidP="00A432B0">
            <w:pPr>
              <w:spacing w:after="0"/>
              <w:rPr>
                <w:color w:val="000000" w:themeColor="text1"/>
                <w:sz w:val="20"/>
                <w:szCs w:val="20"/>
              </w:rPr>
            </w:pPr>
          </w:p>
        </w:tc>
      </w:tr>
      <w:tr w:rsidR="00632208" w:rsidRPr="0098635C" w14:paraId="313A6DD8" w14:textId="77777777" w:rsidTr="00A432B0">
        <w:trPr>
          <w:trHeight w:val="450"/>
        </w:trPr>
        <w:tc>
          <w:tcPr>
            <w:tcW w:w="1402" w:type="dxa"/>
            <w:vMerge w:val="restart"/>
            <w:tcBorders>
              <w:top w:val="nil"/>
              <w:left w:val="single" w:sz="8" w:space="0" w:color="auto"/>
              <w:bottom w:val="single" w:sz="8" w:space="0" w:color="000000"/>
              <w:right w:val="single" w:sz="8" w:space="0" w:color="auto"/>
            </w:tcBorders>
          </w:tcPr>
          <w:p w14:paraId="698830CA"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nil"/>
              <w:right w:val="single" w:sz="8" w:space="0" w:color="auto"/>
            </w:tcBorders>
          </w:tcPr>
          <w:p w14:paraId="28C49AE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Sandy clay loam</w:t>
            </w:r>
          </w:p>
        </w:tc>
        <w:tc>
          <w:tcPr>
            <w:tcW w:w="709" w:type="dxa"/>
            <w:tcBorders>
              <w:top w:val="nil"/>
              <w:left w:val="nil"/>
              <w:bottom w:val="nil"/>
              <w:right w:val="single" w:sz="8" w:space="0" w:color="auto"/>
            </w:tcBorders>
          </w:tcPr>
          <w:p w14:paraId="1977BB3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5.8</w:t>
            </w:r>
          </w:p>
        </w:tc>
        <w:tc>
          <w:tcPr>
            <w:tcW w:w="708" w:type="dxa"/>
            <w:tcBorders>
              <w:top w:val="nil"/>
              <w:left w:val="nil"/>
              <w:bottom w:val="nil"/>
              <w:right w:val="single" w:sz="8" w:space="0" w:color="auto"/>
            </w:tcBorders>
          </w:tcPr>
          <w:p w14:paraId="21559C9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w:t>
            </w:r>
          </w:p>
        </w:tc>
        <w:tc>
          <w:tcPr>
            <w:tcW w:w="709" w:type="dxa"/>
            <w:tcBorders>
              <w:top w:val="nil"/>
              <w:left w:val="nil"/>
              <w:bottom w:val="nil"/>
              <w:right w:val="single" w:sz="8" w:space="0" w:color="auto"/>
            </w:tcBorders>
          </w:tcPr>
          <w:p w14:paraId="6C646F5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5.1</w:t>
            </w:r>
          </w:p>
        </w:tc>
        <w:tc>
          <w:tcPr>
            <w:tcW w:w="851" w:type="dxa"/>
            <w:tcBorders>
              <w:top w:val="nil"/>
              <w:left w:val="nil"/>
              <w:bottom w:val="nil"/>
              <w:right w:val="single" w:sz="8" w:space="0" w:color="auto"/>
            </w:tcBorders>
          </w:tcPr>
          <w:p w14:paraId="641068C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5.2</w:t>
            </w:r>
          </w:p>
        </w:tc>
        <w:tc>
          <w:tcPr>
            <w:tcW w:w="850" w:type="dxa"/>
            <w:tcBorders>
              <w:top w:val="nil"/>
              <w:left w:val="nil"/>
              <w:bottom w:val="nil"/>
              <w:right w:val="single" w:sz="8" w:space="0" w:color="auto"/>
            </w:tcBorders>
          </w:tcPr>
          <w:p w14:paraId="64912E4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8.3</w:t>
            </w:r>
          </w:p>
        </w:tc>
        <w:tc>
          <w:tcPr>
            <w:tcW w:w="992" w:type="dxa"/>
            <w:tcBorders>
              <w:top w:val="nil"/>
              <w:left w:val="nil"/>
              <w:bottom w:val="nil"/>
              <w:right w:val="single" w:sz="8" w:space="0" w:color="auto"/>
            </w:tcBorders>
          </w:tcPr>
          <w:p w14:paraId="30A84CC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nil"/>
              <w:right w:val="single" w:sz="8" w:space="0" w:color="auto"/>
            </w:tcBorders>
          </w:tcPr>
          <w:p w14:paraId="43964DF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w:t>
            </w:r>
          </w:p>
        </w:tc>
        <w:tc>
          <w:tcPr>
            <w:tcW w:w="992" w:type="dxa"/>
            <w:vMerge w:val="restart"/>
            <w:tcBorders>
              <w:top w:val="nil"/>
              <w:left w:val="single" w:sz="8" w:space="0" w:color="auto"/>
              <w:bottom w:val="single" w:sz="8" w:space="0" w:color="000000"/>
              <w:right w:val="single" w:sz="8" w:space="0" w:color="auto"/>
            </w:tcBorders>
          </w:tcPr>
          <w:p w14:paraId="783A47E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6EE68D0A"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244</w:t>
            </w:r>
          </w:p>
        </w:tc>
        <w:tc>
          <w:tcPr>
            <w:tcW w:w="1134" w:type="dxa"/>
            <w:vMerge w:val="restart"/>
            <w:tcBorders>
              <w:top w:val="nil"/>
              <w:left w:val="single" w:sz="8" w:space="0" w:color="auto"/>
              <w:bottom w:val="single" w:sz="8" w:space="0" w:color="000000"/>
              <w:right w:val="single" w:sz="8" w:space="0" w:color="auto"/>
            </w:tcBorders>
          </w:tcPr>
          <w:p w14:paraId="1DBDA42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0F4F5F30"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266</w:t>
            </w:r>
          </w:p>
        </w:tc>
        <w:tc>
          <w:tcPr>
            <w:tcW w:w="1134" w:type="dxa"/>
            <w:vMerge w:val="restart"/>
            <w:tcBorders>
              <w:top w:val="nil"/>
              <w:left w:val="single" w:sz="8" w:space="0" w:color="auto"/>
              <w:bottom w:val="single" w:sz="8" w:space="0" w:color="000000"/>
              <w:right w:val="single" w:sz="12" w:space="0" w:color="auto"/>
            </w:tcBorders>
          </w:tcPr>
          <w:p w14:paraId="730360F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63AAF9B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313D917D"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2994D02F"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4D03774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Woburn</w:t>
            </w:r>
          </w:p>
        </w:tc>
        <w:tc>
          <w:tcPr>
            <w:tcW w:w="709" w:type="dxa"/>
            <w:tcBorders>
              <w:top w:val="nil"/>
              <w:left w:val="nil"/>
              <w:bottom w:val="single" w:sz="8" w:space="0" w:color="auto"/>
              <w:right w:val="single" w:sz="8" w:space="0" w:color="auto"/>
            </w:tcBorders>
          </w:tcPr>
          <w:p w14:paraId="1905028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5.8</w:t>
            </w:r>
          </w:p>
        </w:tc>
        <w:tc>
          <w:tcPr>
            <w:tcW w:w="708" w:type="dxa"/>
            <w:tcBorders>
              <w:top w:val="nil"/>
              <w:left w:val="nil"/>
              <w:bottom w:val="single" w:sz="8" w:space="0" w:color="auto"/>
              <w:right w:val="single" w:sz="8" w:space="0" w:color="auto"/>
            </w:tcBorders>
          </w:tcPr>
          <w:p w14:paraId="703F571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3.9</w:t>
            </w:r>
          </w:p>
        </w:tc>
        <w:tc>
          <w:tcPr>
            <w:tcW w:w="709" w:type="dxa"/>
            <w:tcBorders>
              <w:top w:val="nil"/>
              <w:left w:val="nil"/>
              <w:bottom w:val="single" w:sz="8" w:space="0" w:color="auto"/>
              <w:right w:val="single" w:sz="8" w:space="0" w:color="auto"/>
            </w:tcBorders>
          </w:tcPr>
          <w:p w14:paraId="48FD5AA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5.1</w:t>
            </w:r>
          </w:p>
        </w:tc>
        <w:tc>
          <w:tcPr>
            <w:tcW w:w="851" w:type="dxa"/>
            <w:tcBorders>
              <w:top w:val="nil"/>
              <w:left w:val="nil"/>
              <w:bottom w:val="single" w:sz="8" w:space="0" w:color="auto"/>
              <w:right w:val="single" w:sz="8" w:space="0" w:color="auto"/>
            </w:tcBorders>
          </w:tcPr>
          <w:p w14:paraId="3A8BD38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5.2</w:t>
            </w:r>
          </w:p>
        </w:tc>
        <w:tc>
          <w:tcPr>
            <w:tcW w:w="850" w:type="dxa"/>
            <w:tcBorders>
              <w:top w:val="nil"/>
              <w:left w:val="nil"/>
              <w:bottom w:val="single" w:sz="8" w:space="0" w:color="auto"/>
              <w:right w:val="single" w:sz="8" w:space="0" w:color="auto"/>
            </w:tcBorders>
          </w:tcPr>
          <w:p w14:paraId="213F66A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8.3</w:t>
            </w:r>
          </w:p>
        </w:tc>
        <w:tc>
          <w:tcPr>
            <w:tcW w:w="992" w:type="dxa"/>
            <w:tcBorders>
              <w:top w:val="nil"/>
              <w:left w:val="nil"/>
              <w:bottom w:val="single" w:sz="8" w:space="0" w:color="auto"/>
              <w:right w:val="single" w:sz="8" w:space="0" w:color="auto"/>
            </w:tcBorders>
          </w:tcPr>
          <w:p w14:paraId="1851980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w:t>
            </w:r>
          </w:p>
        </w:tc>
        <w:tc>
          <w:tcPr>
            <w:tcW w:w="851" w:type="dxa"/>
            <w:tcBorders>
              <w:top w:val="nil"/>
              <w:left w:val="nil"/>
              <w:bottom w:val="single" w:sz="8" w:space="0" w:color="auto"/>
              <w:right w:val="single" w:sz="8" w:space="0" w:color="auto"/>
            </w:tcBorders>
          </w:tcPr>
          <w:p w14:paraId="0D42982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w:t>
            </w:r>
          </w:p>
        </w:tc>
        <w:tc>
          <w:tcPr>
            <w:tcW w:w="992" w:type="dxa"/>
            <w:vMerge/>
            <w:tcBorders>
              <w:top w:val="nil"/>
              <w:left w:val="single" w:sz="8" w:space="0" w:color="auto"/>
              <w:bottom w:val="single" w:sz="8" w:space="0" w:color="000000"/>
              <w:right w:val="single" w:sz="8" w:space="0" w:color="auto"/>
            </w:tcBorders>
            <w:vAlign w:val="center"/>
          </w:tcPr>
          <w:p w14:paraId="4ED3751E"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2140EA26"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52637D02"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4DBFA153"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4B9CC0B2"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57995ACF" w14:textId="77777777" w:rsidR="00632208" w:rsidRPr="0098635C" w:rsidRDefault="00632208" w:rsidP="00A432B0">
            <w:pPr>
              <w:spacing w:after="0"/>
              <w:rPr>
                <w:color w:val="000000" w:themeColor="text1"/>
                <w:sz w:val="20"/>
                <w:szCs w:val="20"/>
              </w:rPr>
            </w:pPr>
          </w:p>
        </w:tc>
      </w:tr>
      <w:tr w:rsidR="00632208" w:rsidRPr="0098635C" w14:paraId="4C23F904" w14:textId="77777777" w:rsidTr="00A432B0">
        <w:trPr>
          <w:trHeight w:val="225"/>
        </w:trPr>
        <w:tc>
          <w:tcPr>
            <w:tcW w:w="1402" w:type="dxa"/>
            <w:vMerge w:val="restart"/>
            <w:tcBorders>
              <w:top w:val="nil"/>
              <w:left w:val="single" w:sz="8" w:space="0" w:color="auto"/>
              <w:bottom w:val="single" w:sz="8" w:space="0" w:color="000000"/>
              <w:right w:val="single" w:sz="8" w:space="0" w:color="auto"/>
            </w:tcBorders>
          </w:tcPr>
          <w:p w14:paraId="22033D88"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lastRenderedPageBreak/>
              <w:t>Folsomia candida</w:t>
            </w:r>
          </w:p>
        </w:tc>
        <w:tc>
          <w:tcPr>
            <w:tcW w:w="1276" w:type="dxa"/>
            <w:tcBorders>
              <w:top w:val="nil"/>
              <w:left w:val="nil"/>
              <w:bottom w:val="nil"/>
              <w:right w:val="single" w:sz="8" w:space="0" w:color="auto"/>
            </w:tcBorders>
          </w:tcPr>
          <w:p w14:paraId="715C4B1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Silt loam</w:t>
            </w:r>
          </w:p>
        </w:tc>
        <w:tc>
          <w:tcPr>
            <w:tcW w:w="709" w:type="dxa"/>
            <w:tcBorders>
              <w:top w:val="nil"/>
              <w:left w:val="nil"/>
              <w:bottom w:val="nil"/>
              <w:right w:val="single" w:sz="8" w:space="0" w:color="auto"/>
            </w:tcBorders>
          </w:tcPr>
          <w:p w14:paraId="7CB8C20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8" w:type="dxa"/>
            <w:tcBorders>
              <w:top w:val="nil"/>
              <w:left w:val="nil"/>
              <w:bottom w:val="nil"/>
              <w:right w:val="single" w:sz="8" w:space="0" w:color="auto"/>
            </w:tcBorders>
          </w:tcPr>
          <w:p w14:paraId="56F7CA3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nil"/>
              <w:left w:val="nil"/>
              <w:bottom w:val="nil"/>
              <w:right w:val="single" w:sz="8" w:space="0" w:color="auto"/>
            </w:tcBorders>
          </w:tcPr>
          <w:p w14:paraId="7B15E48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nil"/>
              <w:right w:val="single" w:sz="8" w:space="0" w:color="auto"/>
            </w:tcBorders>
          </w:tcPr>
          <w:p w14:paraId="11EC86C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nil"/>
              <w:left w:val="nil"/>
              <w:bottom w:val="nil"/>
              <w:right w:val="single" w:sz="8" w:space="0" w:color="auto"/>
            </w:tcBorders>
          </w:tcPr>
          <w:p w14:paraId="39FC413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nil"/>
              <w:right w:val="single" w:sz="8" w:space="0" w:color="auto"/>
            </w:tcBorders>
          </w:tcPr>
          <w:p w14:paraId="1D5E8D2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nil"/>
              <w:right w:val="single" w:sz="8" w:space="0" w:color="auto"/>
            </w:tcBorders>
          </w:tcPr>
          <w:p w14:paraId="4F5B126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vMerge w:val="restart"/>
            <w:tcBorders>
              <w:top w:val="nil"/>
              <w:left w:val="single" w:sz="8" w:space="0" w:color="auto"/>
              <w:bottom w:val="single" w:sz="8" w:space="0" w:color="000000"/>
              <w:right w:val="single" w:sz="8" w:space="0" w:color="auto"/>
            </w:tcBorders>
          </w:tcPr>
          <w:p w14:paraId="73DCBF9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76AF186F"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237</w:t>
            </w:r>
          </w:p>
        </w:tc>
        <w:tc>
          <w:tcPr>
            <w:tcW w:w="1134" w:type="dxa"/>
            <w:vMerge w:val="restart"/>
            <w:tcBorders>
              <w:top w:val="nil"/>
              <w:left w:val="single" w:sz="8" w:space="0" w:color="auto"/>
              <w:bottom w:val="single" w:sz="8" w:space="0" w:color="000000"/>
              <w:right w:val="single" w:sz="8" w:space="0" w:color="auto"/>
            </w:tcBorders>
          </w:tcPr>
          <w:p w14:paraId="3649620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384231DC"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259</w:t>
            </w:r>
          </w:p>
        </w:tc>
        <w:tc>
          <w:tcPr>
            <w:tcW w:w="1134" w:type="dxa"/>
            <w:vMerge w:val="restart"/>
            <w:tcBorders>
              <w:top w:val="nil"/>
              <w:left w:val="single" w:sz="8" w:space="0" w:color="auto"/>
              <w:bottom w:val="single" w:sz="8" w:space="0" w:color="000000"/>
              <w:right w:val="single" w:sz="12" w:space="0" w:color="auto"/>
            </w:tcBorders>
          </w:tcPr>
          <w:p w14:paraId="5E7F88C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5DB0366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154AC2B8"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1B14E200"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0B2EE1C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Ter Munck</w:t>
            </w:r>
          </w:p>
        </w:tc>
        <w:tc>
          <w:tcPr>
            <w:tcW w:w="709" w:type="dxa"/>
            <w:tcBorders>
              <w:top w:val="nil"/>
              <w:left w:val="nil"/>
              <w:bottom w:val="single" w:sz="8" w:space="0" w:color="auto"/>
              <w:right w:val="single" w:sz="8" w:space="0" w:color="auto"/>
            </w:tcBorders>
          </w:tcPr>
          <w:p w14:paraId="20988FF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w:t>
            </w:r>
          </w:p>
        </w:tc>
        <w:tc>
          <w:tcPr>
            <w:tcW w:w="708" w:type="dxa"/>
            <w:tcBorders>
              <w:top w:val="nil"/>
              <w:left w:val="nil"/>
              <w:bottom w:val="single" w:sz="8" w:space="0" w:color="auto"/>
              <w:right w:val="single" w:sz="8" w:space="0" w:color="auto"/>
            </w:tcBorders>
          </w:tcPr>
          <w:p w14:paraId="17D70C0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709" w:type="dxa"/>
            <w:tcBorders>
              <w:top w:val="nil"/>
              <w:left w:val="nil"/>
              <w:bottom w:val="single" w:sz="8" w:space="0" w:color="auto"/>
              <w:right w:val="single" w:sz="8" w:space="0" w:color="auto"/>
            </w:tcBorders>
          </w:tcPr>
          <w:p w14:paraId="2FF575E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single" w:sz="8" w:space="0" w:color="auto"/>
              <w:right w:val="single" w:sz="8" w:space="0" w:color="auto"/>
            </w:tcBorders>
          </w:tcPr>
          <w:p w14:paraId="76BA224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w:t>
            </w:r>
          </w:p>
        </w:tc>
        <w:tc>
          <w:tcPr>
            <w:tcW w:w="850" w:type="dxa"/>
            <w:tcBorders>
              <w:top w:val="nil"/>
              <w:left w:val="nil"/>
              <w:bottom w:val="single" w:sz="8" w:space="0" w:color="auto"/>
              <w:right w:val="single" w:sz="8" w:space="0" w:color="auto"/>
            </w:tcBorders>
          </w:tcPr>
          <w:p w14:paraId="5DC29A9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5.8</w:t>
            </w:r>
          </w:p>
        </w:tc>
        <w:tc>
          <w:tcPr>
            <w:tcW w:w="992" w:type="dxa"/>
            <w:tcBorders>
              <w:top w:val="nil"/>
              <w:left w:val="nil"/>
              <w:bottom w:val="single" w:sz="8" w:space="0" w:color="auto"/>
              <w:right w:val="single" w:sz="8" w:space="0" w:color="auto"/>
            </w:tcBorders>
          </w:tcPr>
          <w:p w14:paraId="0DB1A31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single" w:sz="8" w:space="0" w:color="auto"/>
              <w:right w:val="single" w:sz="8" w:space="0" w:color="auto"/>
            </w:tcBorders>
          </w:tcPr>
          <w:p w14:paraId="72CA9C7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tcBorders>
              <w:top w:val="nil"/>
              <w:left w:val="single" w:sz="8" w:space="0" w:color="auto"/>
              <w:bottom w:val="single" w:sz="8" w:space="0" w:color="000000"/>
              <w:right w:val="single" w:sz="8" w:space="0" w:color="auto"/>
            </w:tcBorders>
            <w:vAlign w:val="center"/>
          </w:tcPr>
          <w:p w14:paraId="61E09B40"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00B0DE5D"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1C4F4FC8"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29B475C3"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0B169179"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7BD77FB2" w14:textId="77777777" w:rsidR="00632208" w:rsidRPr="0098635C" w:rsidRDefault="00632208" w:rsidP="00A432B0">
            <w:pPr>
              <w:spacing w:after="0"/>
              <w:rPr>
                <w:color w:val="000000" w:themeColor="text1"/>
                <w:sz w:val="20"/>
                <w:szCs w:val="20"/>
              </w:rPr>
            </w:pPr>
          </w:p>
        </w:tc>
      </w:tr>
      <w:tr w:rsidR="00632208" w:rsidRPr="0098635C" w14:paraId="27CEF373" w14:textId="77777777" w:rsidTr="00A432B0">
        <w:trPr>
          <w:trHeight w:val="450"/>
        </w:trPr>
        <w:tc>
          <w:tcPr>
            <w:tcW w:w="1402" w:type="dxa"/>
            <w:vMerge w:val="restart"/>
            <w:tcBorders>
              <w:top w:val="nil"/>
              <w:left w:val="single" w:sz="8" w:space="0" w:color="auto"/>
              <w:bottom w:val="single" w:sz="8" w:space="0" w:color="000000"/>
              <w:right w:val="single" w:sz="8" w:space="0" w:color="auto"/>
            </w:tcBorders>
          </w:tcPr>
          <w:p w14:paraId="701CD00D"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nil"/>
              <w:right w:val="single" w:sz="8" w:space="0" w:color="auto"/>
            </w:tcBorders>
          </w:tcPr>
          <w:p w14:paraId="1C66804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Silty clay loam</w:t>
            </w:r>
          </w:p>
        </w:tc>
        <w:tc>
          <w:tcPr>
            <w:tcW w:w="709" w:type="dxa"/>
            <w:tcBorders>
              <w:top w:val="nil"/>
              <w:left w:val="nil"/>
              <w:bottom w:val="nil"/>
              <w:right w:val="single" w:sz="8" w:space="0" w:color="auto"/>
            </w:tcBorders>
          </w:tcPr>
          <w:p w14:paraId="2354F44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3.4</w:t>
            </w:r>
          </w:p>
        </w:tc>
        <w:tc>
          <w:tcPr>
            <w:tcW w:w="708" w:type="dxa"/>
            <w:tcBorders>
              <w:top w:val="nil"/>
              <w:left w:val="nil"/>
              <w:bottom w:val="nil"/>
              <w:right w:val="single" w:sz="8" w:space="0" w:color="auto"/>
            </w:tcBorders>
          </w:tcPr>
          <w:p w14:paraId="0D2CD7C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8.3</w:t>
            </w:r>
          </w:p>
        </w:tc>
        <w:tc>
          <w:tcPr>
            <w:tcW w:w="709" w:type="dxa"/>
            <w:tcBorders>
              <w:top w:val="nil"/>
              <w:left w:val="nil"/>
              <w:bottom w:val="nil"/>
              <w:right w:val="single" w:sz="8" w:space="0" w:color="auto"/>
            </w:tcBorders>
          </w:tcPr>
          <w:p w14:paraId="0C5EFB2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w:t>
            </w:r>
          </w:p>
        </w:tc>
        <w:tc>
          <w:tcPr>
            <w:tcW w:w="851" w:type="dxa"/>
            <w:tcBorders>
              <w:top w:val="nil"/>
              <w:left w:val="nil"/>
              <w:bottom w:val="nil"/>
              <w:right w:val="single" w:sz="8" w:space="0" w:color="auto"/>
            </w:tcBorders>
          </w:tcPr>
          <w:p w14:paraId="32D51B4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w:t>
            </w:r>
          </w:p>
        </w:tc>
        <w:tc>
          <w:tcPr>
            <w:tcW w:w="850" w:type="dxa"/>
            <w:tcBorders>
              <w:top w:val="nil"/>
              <w:left w:val="nil"/>
              <w:bottom w:val="nil"/>
              <w:right w:val="single" w:sz="8" w:space="0" w:color="auto"/>
            </w:tcBorders>
          </w:tcPr>
          <w:p w14:paraId="348410B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6.7</w:t>
            </w:r>
          </w:p>
        </w:tc>
        <w:tc>
          <w:tcPr>
            <w:tcW w:w="992" w:type="dxa"/>
            <w:tcBorders>
              <w:top w:val="nil"/>
              <w:left w:val="nil"/>
              <w:bottom w:val="nil"/>
              <w:right w:val="single" w:sz="8" w:space="0" w:color="auto"/>
            </w:tcBorders>
          </w:tcPr>
          <w:p w14:paraId="49811BF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nil"/>
              <w:right w:val="single" w:sz="8" w:space="0" w:color="auto"/>
            </w:tcBorders>
          </w:tcPr>
          <w:p w14:paraId="791B698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val="restart"/>
            <w:tcBorders>
              <w:top w:val="nil"/>
              <w:left w:val="single" w:sz="8" w:space="0" w:color="auto"/>
              <w:bottom w:val="single" w:sz="8" w:space="0" w:color="000000"/>
              <w:right w:val="single" w:sz="8" w:space="0" w:color="auto"/>
            </w:tcBorders>
          </w:tcPr>
          <w:p w14:paraId="2BACA88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19CB05C3"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534</w:t>
            </w:r>
          </w:p>
        </w:tc>
        <w:tc>
          <w:tcPr>
            <w:tcW w:w="1134" w:type="dxa"/>
            <w:vMerge w:val="restart"/>
            <w:tcBorders>
              <w:top w:val="nil"/>
              <w:left w:val="single" w:sz="8" w:space="0" w:color="auto"/>
              <w:bottom w:val="single" w:sz="8" w:space="0" w:color="000000"/>
              <w:right w:val="single" w:sz="8" w:space="0" w:color="auto"/>
            </w:tcBorders>
          </w:tcPr>
          <w:p w14:paraId="1CA8C9D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1253A881"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555</w:t>
            </w:r>
          </w:p>
        </w:tc>
        <w:tc>
          <w:tcPr>
            <w:tcW w:w="1134" w:type="dxa"/>
            <w:vMerge w:val="restart"/>
            <w:tcBorders>
              <w:top w:val="nil"/>
              <w:left w:val="single" w:sz="8" w:space="0" w:color="auto"/>
              <w:bottom w:val="single" w:sz="8" w:space="0" w:color="000000"/>
              <w:right w:val="single" w:sz="12" w:space="0" w:color="auto"/>
            </w:tcBorders>
          </w:tcPr>
          <w:p w14:paraId="2E74123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35EB880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66809C96" w14:textId="77777777" w:rsidTr="00A432B0">
        <w:trPr>
          <w:trHeight w:val="463"/>
        </w:trPr>
        <w:tc>
          <w:tcPr>
            <w:tcW w:w="1402" w:type="dxa"/>
            <w:vMerge/>
            <w:tcBorders>
              <w:top w:val="nil"/>
              <w:left w:val="single" w:sz="8" w:space="0" w:color="auto"/>
              <w:bottom w:val="single" w:sz="8" w:space="0" w:color="000000"/>
              <w:right w:val="single" w:sz="8" w:space="0" w:color="auto"/>
            </w:tcBorders>
            <w:vAlign w:val="center"/>
          </w:tcPr>
          <w:p w14:paraId="495E5A5E"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43BDAEF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Vault de lugny</w:t>
            </w:r>
          </w:p>
        </w:tc>
        <w:tc>
          <w:tcPr>
            <w:tcW w:w="709" w:type="dxa"/>
            <w:tcBorders>
              <w:top w:val="nil"/>
              <w:left w:val="nil"/>
              <w:bottom w:val="single" w:sz="8" w:space="0" w:color="auto"/>
              <w:right w:val="single" w:sz="8" w:space="0" w:color="auto"/>
            </w:tcBorders>
          </w:tcPr>
          <w:p w14:paraId="5EED823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3.4</w:t>
            </w:r>
          </w:p>
        </w:tc>
        <w:tc>
          <w:tcPr>
            <w:tcW w:w="708" w:type="dxa"/>
            <w:tcBorders>
              <w:top w:val="nil"/>
              <w:left w:val="nil"/>
              <w:bottom w:val="single" w:sz="8" w:space="0" w:color="auto"/>
              <w:right w:val="single" w:sz="8" w:space="0" w:color="auto"/>
            </w:tcBorders>
          </w:tcPr>
          <w:p w14:paraId="58A9149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w:t>
            </w:r>
          </w:p>
        </w:tc>
        <w:tc>
          <w:tcPr>
            <w:tcW w:w="709" w:type="dxa"/>
            <w:tcBorders>
              <w:top w:val="nil"/>
              <w:left w:val="nil"/>
              <w:bottom w:val="single" w:sz="8" w:space="0" w:color="auto"/>
              <w:right w:val="single" w:sz="8" w:space="0" w:color="auto"/>
            </w:tcBorders>
          </w:tcPr>
          <w:p w14:paraId="6988409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w:t>
            </w:r>
          </w:p>
        </w:tc>
        <w:tc>
          <w:tcPr>
            <w:tcW w:w="851" w:type="dxa"/>
            <w:tcBorders>
              <w:top w:val="nil"/>
              <w:left w:val="nil"/>
              <w:bottom w:val="single" w:sz="8" w:space="0" w:color="auto"/>
              <w:right w:val="single" w:sz="8" w:space="0" w:color="auto"/>
            </w:tcBorders>
          </w:tcPr>
          <w:p w14:paraId="2B23E41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w:t>
            </w:r>
          </w:p>
        </w:tc>
        <w:tc>
          <w:tcPr>
            <w:tcW w:w="850" w:type="dxa"/>
            <w:tcBorders>
              <w:top w:val="nil"/>
              <w:left w:val="nil"/>
              <w:bottom w:val="single" w:sz="8" w:space="0" w:color="auto"/>
              <w:right w:val="single" w:sz="8" w:space="0" w:color="auto"/>
            </w:tcBorders>
          </w:tcPr>
          <w:p w14:paraId="1AF1EF0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w:t>
            </w:r>
          </w:p>
        </w:tc>
        <w:tc>
          <w:tcPr>
            <w:tcW w:w="992" w:type="dxa"/>
            <w:tcBorders>
              <w:top w:val="nil"/>
              <w:left w:val="nil"/>
              <w:bottom w:val="single" w:sz="8" w:space="0" w:color="auto"/>
              <w:right w:val="single" w:sz="8" w:space="0" w:color="auto"/>
            </w:tcBorders>
          </w:tcPr>
          <w:p w14:paraId="4E6C44A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single" w:sz="8" w:space="0" w:color="auto"/>
              <w:right w:val="single" w:sz="8" w:space="0" w:color="auto"/>
            </w:tcBorders>
          </w:tcPr>
          <w:p w14:paraId="2A9365D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tcBorders>
              <w:top w:val="nil"/>
              <w:left w:val="single" w:sz="8" w:space="0" w:color="auto"/>
              <w:bottom w:val="single" w:sz="8" w:space="0" w:color="000000"/>
              <w:right w:val="single" w:sz="8" w:space="0" w:color="auto"/>
            </w:tcBorders>
            <w:vAlign w:val="center"/>
          </w:tcPr>
          <w:p w14:paraId="73B7678F"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5E0CD375"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2D1908BF"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347147AD"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78D78BD7"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001CA8B3" w14:textId="77777777" w:rsidR="00632208" w:rsidRPr="0098635C" w:rsidRDefault="00632208" w:rsidP="00A432B0">
            <w:pPr>
              <w:spacing w:after="0"/>
              <w:rPr>
                <w:color w:val="000000" w:themeColor="text1"/>
                <w:sz w:val="20"/>
                <w:szCs w:val="20"/>
              </w:rPr>
            </w:pPr>
          </w:p>
        </w:tc>
      </w:tr>
      <w:tr w:rsidR="00632208" w:rsidRPr="0098635C" w14:paraId="49E3037E" w14:textId="77777777" w:rsidTr="00A432B0">
        <w:trPr>
          <w:trHeight w:val="450"/>
        </w:trPr>
        <w:tc>
          <w:tcPr>
            <w:tcW w:w="1402" w:type="dxa"/>
            <w:vMerge w:val="restart"/>
            <w:tcBorders>
              <w:top w:val="nil"/>
              <w:left w:val="single" w:sz="8" w:space="0" w:color="auto"/>
              <w:bottom w:val="single" w:sz="8" w:space="0" w:color="000000"/>
              <w:right w:val="single" w:sz="8" w:space="0" w:color="auto"/>
            </w:tcBorders>
          </w:tcPr>
          <w:p w14:paraId="6F042439"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nil"/>
              <w:right w:val="single" w:sz="8" w:space="0" w:color="auto"/>
            </w:tcBorders>
          </w:tcPr>
          <w:p w14:paraId="0CEE7EF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Silty clay loam</w:t>
            </w:r>
          </w:p>
        </w:tc>
        <w:tc>
          <w:tcPr>
            <w:tcW w:w="709" w:type="dxa"/>
            <w:tcBorders>
              <w:top w:val="nil"/>
              <w:left w:val="nil"/>
              <w:bottom w:val="nil"/>
              <w:right w:val="single" w:sz="8" w:space="0" w:color="auto"/>
            </w:tcBorders>
          </w:tcPr>
          <w:p w14:paraId="348A997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4.2</w:t>
            </w:r>
          </w:p>
        </w:tc>
        <w:tc>
          <w:tcPr>
            <w:tcW w:w="708" w:type="dxa"/>
            <w:tcBorders>
              <w:top w:val="nil"/>
              <w:left w:val="nil"/>
              <w:bottom w:val="nil"/>
              <w:right w:val="single" w:sz="8" w:space="0" w:color="auto"/>
            </w:tcBorders>
          </w:tcPr>
          <w:p w14:paraId="442F014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20.7</w:t>
            </w:r>
          </w:p>
        </w:tc>
        <w:tc>
          <w:tcPr>
            <w:tcW w:w="709" w:type="dxa"/>
            <w:tcBorders>
              <w:top w:val="nil"/>
              <w:left w:val="nil"/>
              <w:bottom w:val="nil"/>
              <w:right w:val="single" w:sz="8" w:space="0" w:color="auto"/>
            </w:tcBorders>
          </w:tcPr>
          <w:p w14:paraId="5A5051A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w:t>
            </w:r>
          </w:p>
        </w:tc>
        <w:tc>
          <w:tcPr>
            <w:tcW w:w="851" w:type="dxa"/>
            <w:tcBorders>
              <w:top w:val="nil"/>
              <w:left w:val="nil"/>
              <w:bottom w:val="nil"/>
              <w:right w:val="single" w:sz="8" w:space="0" w:color="auto"/>
            </w:tcBorders>
          </w:tcPr>
          <w:p w14:paraId="5659B6E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14</w:t>
            </w:r>
          </w:p>
        </w:tc>
        <w:tc>
          <w:tcPr>
            <w:tcW w:w="850" w:type="dxa"/>
            <w:tcBorders>
              <w:top w:val="nil"/>
              <w:left w:val="nil"/>
              <w:bottom w:val="nil"/>
              <w:right w:val="single" w:sz="8" w:space="0" w:color="auto"/>
            </w:tcBorders>
          </w:tcPr>
          <w:p w14:paraId="4ACBAFF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15.2</w:t>
            </w:r>
          </w:p>
        </w:tc>
        <w:tc>
          <w:tcPr>
            <w:tcW w:w="992" w:type="dxa"/>
            <w:tcBorders>
              <w:top w:val="nil"/>
              <w:left w:val="nil"/>
              <w:bottom w:val="nil"/>
              <w:right w:val="single" w:sz="8" w:space="0" w:color="auto"/>
            </w:tcBorders>
          </w:tcPr>
          <w:p w14:paraId="03295E1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nil"/>
              <w:right w:val="single" w:sz="8" w:space="0" w:color="auto"/>
            </w:tcBorders>
          </w:tcPr>
          <w:p w14:paraId="650C1C6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val="restart"/>
            <w:tcBorders>
              <w:top w:val="nil"/>
              <w:left w:val="single" w:sz="8" w:space="0" w:color="auto"/>
              <w:bottom w:val="single" w:sz="8" w:space="0" w:color="000000"/>
              <w:right w:val="single" w:sz="8" w:space="0" w:color="auto"/>
            </w:tcBorders>
          </w:tcPr>
          <w:p w14:paraId="1CAB940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7D59FEB8"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160</w:t>
            </w:r>
          </w:p>
        </w:tc>
        <w:tc>
          <w:tcPr>
            <w:tcW w:w="1134" w:type="dxa"/>
            <w:vMerge w:val="restart"/>
            <w:tcBorders>
              <w:top w:val="nil"/>
              <w:left w:val="single" w:sz="8" w:space="0" w:color="auto"/>
              <w:bottom w:val="single" w:sz="8" w:space="0" w:color="000000"/>
              <w:right w:val="single" w:sz="8" w:space="0" w:color="auto"/>
            </w:tcBorders>
          </w:tcPr>
          <w:p w14:paraId="008DCB9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5AC70A62"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174</w:t>
            </w:r>
          </w:p>
        </w:tc>
        <w:tc>
          <w:tcPr>
            <w:tcW w:w="1134" w:type="dxa"/>
            <w:vMerge w:val="restart"/>
            <w:tcBorders>
              <w:top w:val="nil"/>
              <w:left w:val="single" w:sz="8" w:space="0" w:color="auto"/>
              <w:bottom w:val="single" w:sz="8" w:space="0" w:color="000000"/>
              <w:right w:val="single" w:sz="12" w:space="0" w:color="auto"/>
            </w:tcBorders>
          </w:tcPr>
          <w:p w14:paraId="20E63ED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3C05E9B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31CF2EB0"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2509CA99"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03AE108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Rots</w:t>
            </w:r>
          </w:p>
        </w:tc>
        <w:tc>
          <w:tcPr>
            <w:tcW w:w="709" w:type="dxa"/>
            <w:tcBorders>
              <w:top w:val="nil"/>
              <w:left w:val="nil"/>
              <w:bottom w:val="single" w:sz="8" w:space="0" w:color="auto"/>
              <w:right w:val="single" w:sz="8" w:space="0" w:color="auto"/>
            </w:tcBorders>
          </w:tcPr>
          <w:p w14:paraId="47BD90D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4.7</w:t>
            </w:r>
          </w:p>
        </w:tc>
        <w:tc>
          <w:tcPr>
            <w:tcW w:w="708" w:type="dxa"/>
            <w:tcBorders>
              <w:top w:val="nil"/>
              <w:left w:val="nil"/>
              <w:bottom w:val="single" w:sz="8" w:space="0" w:color="auto"/>
              <w:right w:val="single" w:sz="8" w:space="0" w:color="auto"/>
            </w:tcBorders>
          </w:tcPr>
          <w:p w14:paraId="4E6A7AF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37.3</w:t>
            </w:r>
          </w:p>
        </w:tc>
        <w:tc>
          <w:tcPr>
            <w:tcW w:w="709" w:type="dxa"/>
            <w:tcBorders>
              <w:top w:val="nil"/>
              <w:left w:val="nil"/>
              <w:bottom w:val="single" w:sz="8" w:space="0" w:color="auto"/>
              <w:right w:val="single" w:sz="8" w:space="0" w:color="auto"/>
            </w:tcBorders>
          </w:tcPr>
          <w:p w14:paraId="65FC676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24</w:t>
            </w:r>
          </w:p>
        </w:tc>
        <w:tc>
          <w:tcPr>
            <w:tcW w:w="851" w:type="dxa"/>
            <w:tcBorders>
              <w:top w:val="nil"/>
              <w:left w:val="nil"/>
              <w:bottom w:val="single" w:sz="8" w:space="0" w:color="auto"/>
              <w:right w:val="single" w:sz="8" w:space="0" w:color="auto"/>
            </w:tcBorders>
          </w:tcPr>
          <w:p w14:paraId="1F17455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w:t>
            </w:r>
          </w:p>
        </w:tc>
        <w:tc>
          <w:tcPr>
            <w:tcW w:w="850" w:type="dxa"/>
            <w:tcBorders>
              <w:top w:val="nil"/>
              <w:left w:val="nil"/>
              <w:bottom w:val="single" w:sz="8" w:space="0" w:color="auto"/>
              <w:right w:val="single" w:sz="8" w:space="0" w:color="auto"/>
            </w:tcBorders>
          </w:tcPr>
          <w:p w14:paraId="5ACCD90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35.3</w:t>
            </w:r>
          </w:p>
        </w:tc>
        <w:tc>
          <w:tcPr>
            <w:tcW w:w="992" w:type="dxa"/>
            <w:tcBorders>
              <w:top w:val="nil"/>
              <w:left w:val="nil"/>
              <w:bottom w:val="single" w:sz="8" w:space="0" w:color="auto"/>
              <w:right w:val="single" w:sz="8" w:space="0" w:color="auto"/>
            </w:tcBorders>
          </w:tcPr>
          <w:p w14:paraId="7FAFA08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single" w:sz="8" w:space="0" w:color="auto"/>
              <w:right w:val="single" w:sz="8" w:space="0" w:color="auto"/>
            </w:tcBorders>
          </w:tcPr>
          <w:p w14:paraId="0FADA4C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tcBorders>
              <w:top w:val="nil"/>
              <w:left w:val="single" w:sz="8" w:space="0" w:color="auto"/>
              <w:bottom w:val="single" w:sz="8" w:space="0" w:color="000000"/>
              <w:right w:val="single" w:sz="8" w:space="0" w:color="auto"/>
            </w:tcBorders>
            <w:vAlign w:val="center"/>
          </w:tcPr>
          <w:p w14:paraId="1397EC78"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46578093"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25EC5E19"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77E29EA0"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4BEC4D25"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4358695F" w14:textId="77777777" w:rsidR="00632208" w:rsidRPr="0098635C" w:rsidRDefault="00632208" w:rsidP="00A432B0">
            <w:pPr>
              <w:spacing w:after="0"/>
              <w:rPr>
                <w:color w:val="000000" w:themeColor="text1"/>
                <w:sz w:val="20"/>
                <w:szCs w:val="20"/>
              </w:rPr>
            </w:pPr>
          </w:p>
        </w:tc>
      </w:tr>
      <w:tr w:rsidR="00632208" w:rsidRPr="0098635C" w14:paraId="0B187F87" w14:textId="77777777" w:rsidTr="00A432B0">
        <w:trPr>
          <w:trHeight w:val="225"/>
        </w:trPr>
        <w:tc>
          <w:tcPr>
            <w:tcW w:w="1402" w:type="dxa"/>
            <w:vMerge w:val="restart"/>
            <w:tcBorders>
              <w:top w:val="nil"/>
              <w:left w:val="single" w:sz="8" w:space="0" w:color="auto"/>
              <w:bottom w:val="single" w:sz="8" w:space="0" w:color="000000"/>
              <w:right w:val="single" w:sz="8" w:space="0" w:color="auto"/>
            </w:tcBorders>
          </w:tcPr>
          <w:p w14:paraId="743EF338"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nil"/>
              <w:right w:val="single" w:sz="8" w:space="0" w:color="auto"/>
            </w:tcBorders>
          </w:tcPr>
          <w:p w14:paraId="2E05B10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Clay</w:t>
            </w:r>
          </w:p>
        </w:tc>
        <w:tc>
          <w:tcPr>
            <w:tcW w:w="709" w:type="dxa"/>
            <w:tcBorders>
              <w:top w:val="nil"/>
              <w:left w:val="nil"/>
              <w:bottom w:val="nil"/>
              <w:right w:val="single" w:sz="8" w:space="0" w:color="auto"/>
            </w:tcBorders>
          </w:tcPr>
          <w:p w14:paraId="2B64C21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4.8</w:t>
            </w:r>
          </w:p>
        </w:tc>
        <w:tc>
          <w:tcPr>
            <w:tcW w:w="708" w:type="dxa"/>
            <w:tcBorders>
              <w:top w:val="nil"/>
              <w:left w:val="nil"/>
              <w:bottom w:val="nil"/>
              <w:right w:val="single" w:sz="8" w:space="0" w:color="auto"/>
            </w:tcBorders>
          </w:tcPr>
          <w:p w14:paraId="5376CBD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2.6</w:t>
            </w:r>
          </w:p>
        </w:tc>
        <w:tc>
          <w:tcPr>
            <w:tcW w:w="709" w:type="dxa"/>
            <w:tcBorders>
              <w:top w:val="nil"/>
              <w:left w:val="nil"/>
              <w:bottom w:val="nil"/>
              <w:right w:val="single" w:sz="8" w:space="0" w:color="auto"/>
            </w:tcBorders>
          </w:tcPr>
          <w:p w14:paraId="0F75D42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nil"/>
              <w:right w:val="single" w:sz="8" w:space="0" w:color="auto"/>
            </w:tcBorders>
          </w:tcPr>
          <w:p w14:paraId="365819E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w:t>
            </w:r>
          </w:p>
        </w:tc>
        <w:tc>
          <w:tcPr>
            <w:tcW w:w="850" w:type="dxa"/>
            <w:tcBorders>
              <w:top w:val="nil"/>
              <w:left w:val="nil"/>
              <w:bottom w:val="nil"/>
              <w:right w:val="single" w:sz="8" w:space="0" w:color="auto"/>
            </w:tcBorders>
          </w:tcPr>
          <w:p w14:paraId="6CE7A9C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2.4</w:t>
            </w:r>
          </w:p>
        </w:tc>
        <w:tc>
          <w:tcPr>
            <w:tcW w:w="992" w:type="dxa"/>
            <w:tcBorders>
              <w:top w:val="nil"/>
              <w:left w:val="nil"/>
              <w:bottom w:val="nil"/>
              <w:right w:val="single" w:sz="8" w:space="0" w:color="auto"/>
            </w:tcBorders>
          </w:tcPr>
          <w:p w14:paraId="0E69543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nil"/>
              <w:right w:val="single" w:sz="8" w:space="0" w:color="auto"/>
            </w:tcBorders>
          </w:tcPr>
          <w:p w14:paraId="79CFC36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val="restart"/>
            <w:tcBorders>
              <w:top w:val="nil"/>
              <w:left w:val="single" w:sz="8" w:space="0" w:color="auto"/>
              <w:bottom w:val="single" w:sz="8" w:space="0" w:color="000000"/>
              <w:right w:val="single" w:sz="8" w:space="0" w:color="auto"/>
            </w:tcBorders>
          </w:tcPr>
          <w:p w14:paraId="32890E7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4EFC5AAC"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887</w:t>
            </w:r>
          </w:p>
        </w:tc>
        <w:tc>
          <w:tcPr>
            <w:tcW w:w="1134" w:type="dxa"/>
            <w:vMerge w:val="restart"/>
            <w:tcBorders>
              <w:top w:val="nil"/>
              <w:left w:val="single" w:sz="8" w:space="0" w:color="auto"/>
              <w:bottom w:val="single" w:sz="8" w:space="0" w:color="000000"/>
              <w:right w:val="single" w:sz="8" w:space="0" w:color="auto"/>
            </w:tcBorders>
          </w:tcPr>
          <w:p w14:paraId="422F4CD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2BA43544"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921</w:t>
            </w:r>
          </w:p>
        </w:tc>
        <w:tc>
          <w:tcPr>
            <w:tcW w:w="1134" w:type="dxa"/>
            <w:vMerge w:val="restart"/>
            <w:tcBorders>
              <w:top w:val="nil"/>
              <w:left w:val="single" w:sz="8" w:space="0" w:color="auto"/>
              <w:bottom w:val="single" w:sz="8" w:space="0" w:color="000000"/>
              <w:right w:val="single" w:sz="12" w:space="0" w:color="auto"/>
            </w:tcBorders>
          </w:tcPr>
          <w:p w14:paraId="559C450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6710D06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408DE9BC"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45E10BAD"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6589B71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Souli</w:t>
            </w:r>
          </w:p>
        </w:tc>
        <w:tc>
          <w:tcPr>
            <w:tcW w:w="709" w:type="dxa"/>
            <w:tcBorders>
              <w:top w:val="nil"/>
              <w:left w:val="nil"/>
              <w:bottom w:val="single" w:sz="8" w:space="0" w:color="auto"/>
              <w:right w:val="single" w:sz="8" w:space="0" w:color="auto"/>
            </w:tcBorders>
          </w:tcPr>
          <w:p w14:paraId="6F413BD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4.8</w:t>
            </w:r>
          </w:p>
        </w:tc>
        <w:tc>
          <w:tcPr>
            <w:tcW w:w="708" w:type="dxa"/>
            <w:tcBorders>
              <w:top w:val="nil"/>
              <w:left w:val="nil"/>
              <w:bottom w:val="single" w:sz="8" w:space="0" w:color="auto"/>
              <w:right w:val="single" w:sz="8" w:space="0" w:color="auto"/>
            </w:tcBorders>
          </w:tcPr>
          <w:p w14:paraId="34A10B6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0.7</w:t>
            </w:r>
          </w:p>
        </w:tc>
        <w:tc>
          <w:tcPr>
            <w:tcW w:w="709" w:type="dxa"/>
            <w:tcBorders>
              <w:top w:val="nil"/>
              <w:left w:val="nil"/>
              <w:bottom w:val="single" w:sz="8" w:space="0" w:color="auto"/>
              <w:right w:val="single" w:sz="8" w:space="0" w:color="auto"/>
            </w:tcBorders>
          </w:tcPr>
          <w:p w14:paraId="213E80A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38</w:t>
            </w:r>
          </w:p>
        </w:tc>
        <w:tc>
          <w:tcPr>
            <w:tcW w:w="851" w:type="dxa"/>
            <w:tcBorders>
              <w:top w:val="nil"/>
              <w:left w:val="nil"/>
              <w:bottom w:val="single" w:sz="8" w:space="0" w:color="auto"/>
              <w:right w:val="single" w:sz="8" w:space="0" w:color="auto"/>
            </w:tcBorders>
          </w:tcPr>
          <w:p w14:paraId="75DA362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31</w:t>
            </w:r>
          </w:p>
        </w:tc>
        <w:tc>
          <w:tcPr>
            <w:tcW w:w="850" w:type="dxa"/>
            <w:tcBorders>
              <w:top w:val="nil"/>
              <w:left w:val="nil"/>
              <w:bottom w:val="single" w:sz="8" w:space="0" w:color="auto"/>
              <w:right w:val="single" w:sz="8" w:space="0" w:color="auto"/>
            </w:tcBorders>
          </w:tcPr>
          <w:p w14:paraId="4F5D15F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11.2</w:t>
            </w:r>
          </w:p>
        </w:tc>
        <w:tc>
          <w:tcPr>
            <w:tcW w:w="992" w:type="dxa"/>
            <w:tcBorders>
              <w:top w:val="nil"/>
              <w:left w:val="nil"/>
              <w:bottom w:val="single" w:sz="8" w:space="0" w:color="auto"/>
              <w:right w:val="single" w:sz="8" w:space="0" w:color="auto"/>
            </w:tcBorders>
          </w:tcPr>
          <w:p w14:paraId="412098C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single" w:sz="8" w:space="0" w:color="auto"/>
              <w:right w:val="single" w:sz="8" w:space="0" w:color="auto"/>
            </w:tcBorders>
          </w:tcPr>
          <w:p w14:paraId="1A928B7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tcBorders>
              <w:top w:val="nil"/>
              <w:left w:val="single" w:sz="8" w:space="0" w:color="auto"/>
              <w:bottom w:val="single" w:sz="8" w:space="0" w:color="000000"/>
              <w:right w:val="single" w:sz="8" w:space="0" w:color="auto"/>
            </w:tcBorders>
            <w:vAlign w:val="center"/>
          </w:tcPr>
          <w:p w14:paraId="02FC7D3E"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2B5D6B6C"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39EED50B"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1A6FEA6E"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528132DC"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418904E7" w14:textId="77777777" w:rsidR="00632208" w:rsidRPr="0098635C" w:rsidRDefault="00632208" w:rsidP="00A432B0">
            <w:pPr>
              <w:spacing w:after="0"/>
              <w:rPr>
                <w:color w:val="000000" w:themeColor="text1"/>
                <w:sz w:val="20"/>
                <w:szCs w:val="20"/>
              </w:rPr>
            </w:pPr>
          </w:p>
        </w:tc>
      </w:tr>
      <w:tr w:rsidR="00632208" w:rsidRPr="0098635C" w14:paraId="04636B84" w14:textId="77777777" w:rsidTr="00A432B0">
        <w:trPr>
          <w:trHeight w:val="225"/>
        </w:trPr>
        <w:tc>
          <w:tcPr>
            <w:tcW w:w="1402" w:type="dxa"/>
            <w:vMerge w:val="restart"/>
            <w:tcBorders>
              <w:top w:val="nil"/>
              <w:left w:val="single" w:sz="8" w:space="0" w:color="auto"/>
              <w:bottom w:val="single" w:sz="8" w:space="0" w:color="000000"/>
              <w:right w:val="single" w:sz="8" w:space="0" w:color="auto"/>
            </w:tcBorders>
          </w:tcPr>
          <w:p w14:paraId="1F4CA6A4"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nil"/>
              <w:right w:val="single" w:sz="8" w:space="0" w:color="auto"/>
            </w:tcBorders>
          </w:tcPr>
          <w:p w14:paraId="5AA1B72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Silt loam</w:t>
            </w:r>
          </w:p>
        </w:tc>
        <w:tc>
          <w:tcPr>
            <w:tcW w:w="709" w:type="dxa"/>
            <w:tcBorders>
              <w:top w:val="nil"/>
              <w:left w:val="nil"/>
              <w:bottom w:val="nil"/>
              <w:right w:val="single" w:sz="8" w:space="0" w:color="auto"/>
            </w:tcBorders>
          </w:tcPr>
          <w:p w14:paraId="08FBF0E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5.2</w:t>
            </w:r>
          </w:p>
        </w:tc>
        <w:tc>
          <w:tcPr>
            <w:tcW w:w="708" w:type="dxa"/>
            <w:tcBorders>
              <w:top w:val="nil"/>
              <w:left w:val="nil"/>
              <w:bottom w:val="nil"/>
              <w:right w:val="single" w:sz="8" w:space="0" w:color="auto"/>
            </w:tcBorders>
          </w:tcPr>
          <w:p w14:paraId="44561F1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w:t>
            </w:r>
          </w:p>
        </w:tc>
        <w:tc>
          <w:tcPr>
            <w:tcW w:w="709" w:type="dxa"/>
            <w:tcBorders>
              <w:top w:val="nil"/>
              <w:left w:val="nil"/>
              <w:bottom w:val="nil"/>
              <w:right w:val="single" w:sz="8" w:space="0" w:color="auto"/>
            </w:tcBorders>
          </w:tcPr>
          <w:p w14:paraId="36F4A12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w:t>
            </w:r>
          </w:p>
        </w:tc>
        <w:tc>
          <w:tcPr>
            <w:tcW w:w="851" w:type="dxa"/>
            <w:tcBorders>
              <w:top w:val="nil"/>
              <w:left w:val="nil"/>
              <w:bottom w:val="nil"/>
              <w:right w:val="single" w:sz="8" w:space="0" w:color="auto"/>
            </w:tcBorders>
          </w:tcPr>
          <w:p w14:paraId="61D66A0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w:t>
            </w:r>
          </w:p>
        </w:tc>
        <w:tc>
          <w:tcPr>
            <w:tcW w:w="850" w:type="dxa"/>
            <w:tcBorders>
              <w:top w:val="nil"/>
              <w:left w:val="nil"/>
              <w:bottom w:val="nil"/>
              <w:right w:val="single" w:sz="8" w:space="0" w:color="auto"/>
            </w:tcBorders>
          </w:tcPr>
          <w:p w14:paraId="79AE256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992" w:type="dxa"/>
            <w:tcBorders>
              <w:top w:val="nil"/>
              <w:left w:val="nil"/>
              <w:bottom w:val="nil"/>
              <w:right w:val="single" w:sz="8" w:space="0" w:color="auto"/>
            </w:tcBorders>
          </w:tcPr>
          <w:p w14:paraId="28DD7CE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nil"/>
              <w:right w:val="single" w:sz="8" w:space="0" w:color="auto"/>
            </w:tcBorders>
          </w:tcPr>
          <w:p w14:paraId="540D119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val="restart"/>
            <w:tcBorders>
              <w:top w:val="nil"/>
              <w:left w:val="single" w:sz="8" w:space="0" w:color="auto"/>
              <w:bottom w:val="single" w:sz="8" w:space="0" w:color="000000"/>
              <w:right w:val="single" w:sz="8" w:space="0" w:color="auto"/>
            </w:tcBorders>
          </w:tcPr>
          <w:p w14:paraId="1467C03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6B46D8D2"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453</w:t>
            </w:r>
          </w:p>
        </w:tc>
        <w:tc>
          <w:tcPr>
            <w:tcW w:w="1134" w:type="dxa"/>
            <w:vMerge w:val="restart"/>
            <w:tcBorders>
              <w:top w:val="nil"/>
              <w:left w:val="single" w:sz="8" w:space="0" w:color="auto"/>
              <w:bottom w:val="single" w:sz="8" w:space="0" w:color="000000"/>
              <w:right w:val="single" w:sz="8" w:space="0" w:color="auto"/>
            </w:tcBorders>
          </w:tcPr>
          <w:p w14:paraId="17F8E96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431DCFBB"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471</w:t>
            </w:r>
          </w:p>
        </w:tc>
        <w:tc>
          <w:tcPr>
            <w:tcW w:w="1134" w:type="dxa"/>
            <w:vMerge w:val="restart"/>
            <w:tcBorders>
              <w:top w:val="nil"/>
              <w:left w:val="single" w:sz="8" w:space="0" w:color="auto"/>
              <w:bottom w:val="single" w:sz="8" w:space="0" w:color="000000"/>
              <w:right w:val="single" w:sz="12" w:space="0" w:color="auto"/>
            </w:tcBorders>
          </w:tcPr>
          <w:p w14:paraId="69B71A3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30749AC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79779B78"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75204D8A"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734B95E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Marknesse</w:t>
            </w:r>
          </w:p>
        </w:tc>
        <w:tc>
          <w:tcPr>
            <w:tcW w:w="709" w:type="dxa"/>
            <w:tcBorders>
              <w:top w:val="nil"/>
              <w:left w:val="nil"/>
              <w:bottom w:val="single" w:sz="8" w:space="0" w:color="auto"/>
              <w:right w:val="single" w:sz="8" w:space="0" w:color="auto"/>
            </w:tcBorders>
          </w:tcPr>
          <w:p w14:paraId="35C19E3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5.4</w:t>
            </w:r>
          </w:p>
        </w:tc>
        <w:tc>
          <w:tcPr>
            <w:tcW w:w="708" w:type="dxa"/>
            <w:tcBorders>
              <w:top w:val="nil"/>
              <w:left w:val="nil"/>
              <w:bottom w:val="single" w:sz="8" w:space="0" w:color="auto"/>
              <w:right w:val="single" w:sz="8" w:space="0" w:color="auto"/>
            </w:tcBorders>
          </w:tcPr>
          <w:p w14:paraId="5FDECCB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1.4</w:t>
            </w:r>
          </w:p>
        </w:tc>
        <w:tc>
          <w:tcPr>
            <w:tcW w:w="709" w:type="dxa"/>
            <w:tcBorders>
              <w:top w:val="nil"/>
              <w:left w:val="nil"/>
              <w:bottom w:val="single" w:sz="8" w:space="0" w:color="auto"/>
              <w:right w:val="single" w:sz="8" w:space="0" w:color="auto"/>
            </w:tcBorders>
          </w:tcPr>
          <w:p w14:paraId="015F64B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51</w:t>
            </w:r>
          </w:p>
        </w:tc>
        <w:tc>
          <w:tcPr>
            <w:tcW w:w="851" w:type="dxa"/>
            <w:tcBorders>
              <w:top w:val="nil"/>
              <w:left w:val="nil"/>
              <w:bottom w:val="single" w:sz="8" w:space="0" w:color="auto"/>
              <w:right w:val="single" w:sz="8" w:space="0" w:color="auto"/>
            </w:tcBorders>
          </w:tcPr>
          <w:p w14:paraId="43A68B3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850" w:type="dxa"/>
            <w:tcBorders>
              <w:top w:val="nil"/>
              <w:left w:val="nil"/>
              <w:bottom w:val="single" w:sz="8" w:space="0" w:color="auto"/>
              <w:right w:val="single" w:sz="8" w:space="0" w:color="auto"/>
            </w:tcBorders>
          </w:tcPr>
          <w:p w14:paraId="6738215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22.6</w:t>
            </w:r>
          </w:p>
        </w:tc>
        <w:tc>
          <w:tcPr>
            <w:tcW w:w="992" w:type="dxa"/>
            <w:tcBorders>
              <w:top w:val="nil"/>
              <w:left w:val="nil"/>
              <w:bottom w:val="single" w:sz="8" w:space="0" w:color="auto"/>
              <w:right w:val="single" w:sz="8" w:space="0" w:color="auto"/>
            </w:tcBorders>
          </w:tcPr>
          <w:p w14:paraId="6F64C44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single" w:sz="8" w:space="0" w:color="auto"/>
              <w:right w:val="single" w:sz="8" w:space="0" w:color="auto"/>
            </w:tcBorders>
          </w:tcPr>
          <w:p w14:paraId="07CB9DC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tcBorders>
              <w:top w:val="nil"/>
              <w:left w:val="single" w:sz="8" w:space="0" w:color="auto"/>
              <w:bottom w:val="single" w:sz="8" w:space="0" w:color="000000"/>
              <w:right w:val="single" w:sz="8" w:space="0" w:color="auto"/>
            </w:tcBorders>
            <w:vAlign w:val="center"/>
          </w:tcPr>
          <w:p w14:paraId="2971CDF7"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0DF74650"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62512CC6"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5F2F8D3B"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3E4A0074"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38002AD2" w14:textId="77777777" w:rsidR="00632208" w:rsidRPr="0098635C" w:rsidRDefault="00632208" w:rsidP="00A432B0">
            <w:pPr>
              <w:spacing w:after="0"/>
              <w:rPr>
                <w:color w:val="000000" w:themeColor="text1"/>
                <w:sz w:val="20"/>
                <w:szCs w:val="20"/>
              </w:rPr>
            </w:pPr>
          </w:p>
        </w:tc>
      </w:tr>
      <w:tr w:rsidR="00632208" w:rsidRPr="0098635C" w14:paraId="50285480" w14:textId="77777777" w:rsidTr="00A432B0">
        <w:trPr>
          <w:trHeight w:val="225"/>
        </w:trPr>
        <w:tc>
          <w:tcPr>
            <w:tcW w:w="1402" w:type="dxa"/>
            <w:vMerge w:val="restart"/>
            <w:tcBorders>
              <w:top w:val="nil"/>
              <w:left w:val="single" w:sz="8" w:space="0" w:color="auto"/>
              <w:bottom w:val="single" w:sz="8" w:space="0" w:color="000000"/>
              <w:right w:val="single" w:sz="8" w:space="0" w:color="auto"/>
            </w:tcBorders>
          </w:tcPr>
          <w:p w14:paraId="7C943AFC"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nil"/>
              <w:right w:val="single" w:sz="8" w:space="0" w:color="auto"/>
            </w:tcBorders>
          </w:tcPr>
          <w:p w14:paraId="5DA7C11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Loam</w:t>
            </w:r>
          </w:p>
        </w:tc>
        <w:tc>
          <w:tcPr>
            <w:tcW w:w="709" w:type="dxa"/>
            <w:tcBorders>
              <w:top w:val="nil"/>
              <w:left w:val="nil"/>
              <w:bottom w:val="nil"/>
              <w:right w:val="single" w:sz="8" w:space="0" w:color="auto"/>
            </w:tcBorders>
          </w:tcPr>
          <w:p w14:paraId="07A69C3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6.4</w:t>
            </w:r>
          </w:p>
        </w:tc>
        <w:tc>
          <w:tcPr>
            <w:tcW w:w="708" w:type="dxa"/>
            <w:tcBorders>
              <w:top w:val="nil"/>
              <w:left w:val="nil"/>
              <w:bottom w:val="nil"/>
              <w:right w:val="single" w:sz="8" w:space="0" w:color="auto"/>
            </w:tcBorders>
          </w:tcPr>
          <w:p w14:paraId="1DC2D6A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709" w:type="dxa"/>
            <w:tcBorders>
              <w:top w:val="nil"/>
              <w:left w:val="nil"/>
              <w:bottom w:val="nil"/>
              <w:right w:val="single" w:sz="8" w:space="0" w:color="auto"/>
            </w:tcBorders>
          </w:tcPr>
          <w:p w14:paraId="56B25A4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851" w:type="dxa"/>
            <w:tcBorders>
              <w:top w:val="nil"/>
              <w:left w:val="nil"/>
              <w:bottom w:val="nil"/>
              <w:right w:val="single" w:sz="8" w:space="0" w:color="auto"/>
            </w:tcBorders>
          </w:tcPr>
          <w:p w14:paraId="133E2ED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850" w:type="dxa"/>
            <w:tcBorders>
              <w:top w:val="nil"/>
              <w:left w:val="nil"/>
              <w:bottom w:val="nil"/>
              <w:right w:val="single" w:sz="8" w:space="0" w:color="auto"/>
            </w:tcBorders>
          </w:tcPr>
          <w:p w14:paraId="53968CF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23.4</w:t>
            </w:r>
          </w:p>
        </w:tc>
        <w:tc>
          <w:tcPr>
            <w:tcW w:w="992" w:type="dxa"/>
            <w:tcBorders>
              <w:top w:val="nil"/>
              <w:left w:val="nil"/>
              <w:bottom w:val="nil"/>
              <w:right w:val="single" w:sz="8" w:space="0" w:color="auto"/>
            </w:tcBorders>
          </w:tcPr>
          <w:p w14:paraId="51AA004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nil"/>
              <w:right w:val="single" w:sz="8" w:space="0" w:color="auto"/>
            </w:tcBorders>
          </w:tcPr>
          <w:p w14:paraId="01D9478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val="restart"/>
            <w:tcBorders>
              <w:top w:val="nil"/>
              <w:left w:val="single" w:sz="8" w:space="0" w:color="auto"/>
              <w:bottom w:val="single" w:sz="8" w:space="0" w:color="000000"/>
              <w:right w:val="single" w:sz="8" w:space="0" w:color="auto"/>
            </w:tcBorders>
          </w:tcPr>
          <w:p w14:paraId="079A1EE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3EA02603"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139</w:t>
            </w:r>
          </w:p>
        </w:tc>
        <w:tc>
          <w:tcPr>
            <w:tcW w:w="1134" w:type="dxa"/>
            <w:vMerge w:val="restart"/>
            <w:tcBorders>
              <w:top w:val="nil"/>
              <w:left w:val="single" w:sz="8" w:space="0" w:color="auto"/>
              <w:bottom w:val="single" w:sz="8" w:space="0" w:color="000000"/>
              <w:right w:val="single" w:sz="8" w:space="0" w:color="auto"/>
            </w:tcBorders>
          </w:tcPr>
          <w:p w14:paraId="20DF245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2B82C1D4"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227</w:t>
            </w:r>
          </w:p>
        </w:tc>
        <w:tc>
          <w:tcPr>
            <w:tcW w:w="1134" w:type="dxa"/>
            <w:vMerge w:val="restart"/>
            <w:tcBorders>
              <w:top w:val="nil"/>
              <w:left w:val="single" w:sz="8" w:space="0" w:color="auto"/>
              <w:bottom w:val="single" w:sz="8" w:space="0" w:color="000000"/>
              <w:right w:val="single" w:sz="12" w:space="0" w:color="auto"/>
            </w:tcBorders>
          </w:tcPr>
          <w:p w14:paraId="5252A4C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47883A1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1EE9340A"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363E806D"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16D1ABD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Barcelona</w:t>
            </w:r>
          </w:p>
        </w:tc>
        <w:tc>
          <w:tcPr>
            <w:tcW w:w="709" w:type="dxa"/>
            <w:tcBorders>
              <w:top w:val="nil"/>
              <w:left w:val="nil"/>
              <w:bottom w:val="single" w:sz="8" w:space="0" w:color="auto"/>
              <w:right w:val="single" w:sz="8" w:space="0" w:color="auto"/>
            </w:tcBorders>
          </w:tcPr>
          <w:p w14:paraId="04BA339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6.8</w:t>
            </w:r>
          </w:p>
        </w:tc>
        <w:tc>
          <w:tcPr>
            <w:tcW w:w="708" w:type="dxa"/>
            <w:tcBorders>
              <w:top w:val="nil"/>
              <w:left w:val="nil"/>
              <w:bottom w:val="single" w:sz="8" w:space="0" w:color="auto"/>
              <w:right w:val="single" w:sz="8" w:space="0" w:color="auto"/>
            </w:tcBorders>
          </w:tcPr>
          <w:p w14:paraId="7659210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1.6</w:t>
            </w:r>
          </w:p>
        </w:tc>
        <w:tc>
          <w:tcPr>
            <w:tcW w:w="709" w:type="dxa"/>
            <w:tcBorders>
              <w:top w:val="nil"/>
              <w:left w:val="nil"/>
              <w:bottom w:val="single" w:sz="8" w:space="0" w:color="auto"/>
              <w:right w:val="single" w:sz="8" w:space="0" w:color="auto"/>
            </w:tcBorders>
          </w:tcPr>
          <w:p w14:paraId="54561F0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w:t>
            </w:r>
          </w:p>
        </w:tc>
        <w:tc>
          <w:tcPr>
            <w:tcW w:w="851" w:type="dxa"/>
            <w:tcBorders>
              <w:top w:val="nil"/>
              <w:left w:val="nil"/>
              <w:bottom w:val="single" w:sz="8" w:space="0" w:color="auto"/>
              <w:right w:val="single" w:sz="8" w:space="0" w:color="auto"/>
            </w:tcBorders>
          </w:tcPr>
          <w:p w14:paraId="06F2376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850" w:type="dxa"/>
            <w:tcBorders>
              <w:top w:val="nil"/>
              <w:left w:val="nil"/>
              <w:bottom w:val="single" w:sz="8" w:space="0" w:color="auto"/>
              <w:right w:val="single" w:sz="8" w:space="0" w:color="auto"/>
            </w:tcBorders>
          </w:tcPr>
          <w:p w14:paraId="1545143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8.9</w:t>
            </w:r>
          </w:p>
        </w:tc>
        <w:tc>
          <w:tcPr>
            <w:tcW w:w="992" w:type="dxa"/>
            <w:tcBorders>
              <w:top w:val="nil"/>
              <w:left w:val="nil"/>
              <w:bottom w:val="single" w:sz="8" w:space="0" w:color="auto"/>
              <w:right w:val="single" w:sz="8" w:space="0" w:color="auto"/>
            </w:tcBorders>
          </w:tcPr>
          <w:p w14:paraId="162422C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single" w:sz="8" w:space="0" w:color="auto"/>
              <w:right w:val="single" w:sz="8" w:space="0" w:color="auto"/>
            </w:tcBorders>
          </w:tcPr>
          <w:p w14:paraId="0356B54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tcBorders>
              <w:top w:val="nil"/>
              <w:left w:val="single" w:sz="8" w:space="0" w:color="auto"/>
              <w:bottom w:val="single" w:sz="8" w:space="0" w:color="000000"/>
              <w:right w:val="single" w:sz="8" w:space="0" w:color="auto"/>
            </w:tcBorders>
            <w:vAlign w:val="center"/>
          </w:tcPr>
          <w:p w14:paraId="30758391"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2745278C"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230ADF7B"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732C3F4E"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03859A70"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37825AFC" w14:textId="77777777" w:rsidR="00632208" w:rsidRPr="0098635C" w:rsidRDefault="00632208" w:rsidP="00A432B0">
            <w:pPr>
              <w:spacing w:after="0"/>
              <w:rPr>
                <w:color w:val="000000" w:themeColor="text1"/>
                <w:sz w:val="20"/>
                <w:szCs w:val="20"/>
              </w:rPr>
            </w:pPr>
          </w:p>
        </w:tc>
      </w:tr>
      <w:tr w:rsidR="00632208" w:rsidRPr="0098635C" w14:paraId="72BB3D55" w14:textId="77777777" w:rsidTr="00A432B0">
        <w:trPr>
          <w:trHeight w:val="225"/>
        </w:trPr>
        <w:tc>
          <w:tcPr>
            <w:tcW w:w="1402" w:type="dxa"/>
            <w:vMerge w:val="restart"/>
            <w:tcBorders>
              <w:top w:val="nil"/>
              <w:left w:val="single" w:sz="8" w:space="0" w:color="auto"/>
              <w:bottom w:val="single" w:sz="8" w:space="0" w:color="000000"/>
              <w:right w:val="single" w:sz="8" w:space="0" w:color="auto"/>
            </w:tcBorders>
          </w:tcPr>
          <w:p w14:paraId="737E29D6"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nil"/>
              <w:right w:val="single" w:sz="8" w:space="0" w:color="auto"/>
            </w:tcBorders>
          </w:tcPr>
          <w:p w14:paraId="4A17FE8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Clay</w:t>
            </w:r>
          </w:p>
        </w:tc>
        <w:tc>
          <w:tcPr>
            <w:tcW w:w="709" w:type="dxa"/>
            <w:tcBorders>
              <w:top w:val="nil"/>
              <w:left w:val="nil"/>
              <w:bottom w:val="nil"/>
              <w:right w:val="single" w:sz="8" w:space="0" w:color="auto"/>
            </w:tcBorders>
          </w:tcPr>
          <w:p w14:paraId="158BC68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7.3</w:t>
            </w:r>
          </w:p>
        </w:tc>
        <w:tc>
          <w:tcPr>
            <w:tcW w:w="708" w:type="dxa"/>
            <w:tcBorders>
              <w:top w:val="nil"/>
              <w:left w:val="nil"/>
              <w:bottom w:val="nil"/>
              <w:right w:val="single" w:sz="8" w:space="0" w:color="auto"/>
            </w:tcBorders>
          </w:tcPr>
          <w:p w14:paraId="2E4BE1D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709" w:type="dxa"/>
            <w:tcBorders>
              <w:top w:val="nil"/>
              <w:left w:val="nil"/>
              <w:bottom w:val="nil"/>
              <w:right w:val="single" w:sz="8" w:space="0" w:color="auto"/>
            </w:tcBorders>
          </w:tcPr>
          <w:p w14:paraId="3023C2C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38</w:t>
            </w:r>
          </w:p>
        </w:tc>
        <w:tc>
          <w:tcPr>
            <w:tcW w:w="851" w:type="dxa"/>
            <w:tcBorders>
              <w:top w:val="nil"/>
              <w:left w:val="nil"/>
              <w:bottom w:val="nil"/>
              <w:right w:val="single" w:sz="8" w:space="0" w:color="auto"/>
            </w:tcBorders>
          </w:tcPr>
          <w:p w14:paraId="66F5408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850" w:type="dxa"/>
            <w:tcBorders>
              <w:top w:val="nil"/>
              <w:left w:val="nil"/>
              <w:bottom w:val="nil"/>
              <w:right w:val="single" w:sz="8" w:space="0" w:color="auto"/>
            </w:tcBorders>
          </w:tcPr>
          <w:p w14:paraId="69B9B09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26.2</w:t>
            </w:r>
          </w:p>
        </w:tc>
        <w:tc>
          <w:tcPr>
            <w:tcW w:w="992" w:type="dxa"/>
            <w:tcBorders>
              <w:top w:val="nil"/>
              <w:left w:val="nil"/>
              <w:bottom w:val="nil"/>
              <w:right w:val="single" w:sz="8" w:space="0" w:color="auto"/>
            </w:tcBorders>
          </w:tcPr>
          <w:p w14:paraId="13B8957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nil"/>
              <w:right w:val="single" w:sz="8" w:space="0" w:color="auto"/>
            </w:tcBorders>
          </w:tcPr>
          <w:p w14:paraId="2B4B567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val="restart"/>
            <w:tcBorders>
              <w:top w:val="nil"/>
              <w:left w:val="single" w:sz="8" w:space="0" w:color="auto"/>
              <w:bottom w:val="single" w:sz="8" w:space="0" w:color="000000"/>
              <w:right w:val="single" w:sz="8" w:space="0" w:color="auto"/>
            </w:tcBorders>
          </w:tcPr>
          <w:p w14:paraId="0441EC3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700F44DB"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632</w:t>
            </w:r>
          </w:p>
        </w:tc>
        <w:tc>
          <w:tcPr>
            <w:tcW w:w="1134" w:type="dxa"/>
            <w:vMerge w:val="restart"/>
            <w:tcBorders>
              <w:top w:val="nil"/>
              <w:left w:val="single" w:sz="8" w:space="0" w:color="auto"/>
              <w:bottom w:val="single" w:sz="8" w:space="0" w:color="000000"/>
              <w:right w:val="single" w:sz="8" w:space="0" w:color="auto"/>
            </w:tcBorders>
          </w:tcPr>
          <w:p w14:paraId="14D167B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4084AF86"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663</w:t>
            </w:r>
          </w:p>
        </w:tc>
        <w:tc>
          <w:tcPr>
            <w:tcW w:w="1134" w:type="dxa"/>
            <w:vMerge w:val="restart"/>
            <w:tcBorders>
              <w:top w:val="nil"/>
              <w:left w:val="single" w:sz="8" w:space="0" w:color="auto"/>
              <w:bottom w:val="single" w:sz="8" w:space="0" w:color="000000"/>
              <w:right w:val="single" w:sz="12" w:space="0" w:color="auto"/>
            </w:tcBorders>
          </w:tcPr>
          <w:p w14:paraId="3D4E6B9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048162E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15EABC15"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142CDFCA"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1892103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Brécy</w:t>
            </w:r>
          </w:p>
        </w:tc>
        <w:tc>
          <w:tcPr>
            <w:tcW w:w="709" w:type="dxa"/>
            <w:tcBorders>
              <w:top w:val="nil"/>
              <w:left w:val="nil"/>
              <w:bottom w:val="single" w:sz="8" w:space="0" w:color="auto"/>
              <w:right w:val="single" w:sz="8" w:space="0" w:color="auto"/>
            </w:tcBorders>
          </w:tcPr>
          <w:p w14:paraId="3685D56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7.4</w:t>
            </w:r>
          </w:p>
        </w:tc>
        <w:tc>
          <w:tcPr>
            <w:tcW w:w="708" w:type="dxa"/>
            <w:tcBorders>
              <w:top w:val="nil"/>
              <w:left w:val="nil"/>
              <w:bottom w:val="single" w:sz="8" w:space="0" w:color="auto"/>
              <w:right w:val="single" w:sz="8" w:space="0" w:color="auto"/>
            </w:tcBorders>
          </w:tcPr>
          <w:p w14:paraId="47593AD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w:t>
            </w:r>
          </w:p>
        </w:tc>
        <w:tc>
          <w:tcPr>
            <w:tcW w:w="709" w:type="dxa"/>
            <w:tcBorders>
              <w:top w:val="nil"/>
              <w:left w:val="nil"/>
              <w:bottom w:val="single" w:sz="8" w:space="0" w:color="auto"/>
              <w:right w:val="single" w:sz="8" w:space="0" w:color="auto"/>
            </w:tcBorders>
          </w:tcPr>
          <w:p w14:paraId="45343E0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27</w:t>
            </w:r>
          </w:p>
        </w:tc>
        <w:tc>
          <w:tcPr>
            <w:tcW w:w="851" w:type="dxa"/>
            <w:tcBorders>
              <w:top w:val="nil"/>
              <w:left w:val="nil"/>
              <w:bottom w:val="single" w:sz="8" w:space="0" w:color="auto"/>
              <w:right w:val="single" w:sz="8" w:space="0" w:color="auto"/>
            </w:tcBorders>
          </w:tcPr>
          <w:p w14:paraId="003D45A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14</w:t>
            </w:r>
          </w:p>
        </w:tc>
        <w:tc>
          <w:tcPr>
            <w:tcW w:w="850" w:type="dxa"/>
            <w:tcBorders>
              <w:top w:val="nil"/>
              <w:left w:val="nil"/>
              <w:bottom w:val="single" w:sz="8" w:space="0" w:color="auto"/>
              <w:right w:val="single" w:sz="8" w:space="0" w:color="auto"/>
            </w:tcBorders>
          </w:tcPr>
          <w:p w14:paraId="49A6C63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992" w:type="dxa"/>
            <w:tcBorders>
              <w:top w:val="nil"/>
              <w:left w:val="nil"/>
              <w:bottom w:val="single" w:sz="8" w:space="0" w:color="auto"/>
              <w:right w:val="single" w:sz="8" w:space="0" w:color="auto"/>
            </w:tcBorders>
          </w:tcPr>
          <w:p w14:paraId="1E0F8AB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single" w:sz="8" w:space="0" w:color="auto"/>
              <w:right w:val="single" w:sz="8" w:space="0" w:color="auto"/>
            </w:tcBorders>
          </w:tcPr>
          <w:p w14:paraId="554A83E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tcBorders>
              <w:top w:val="nil"/>
              <w:left w:val="single" w:sz="8" w:space="0" w:color="auto"/>
              <w:bottom w:val="single" w:sz="8" w:space="0" w:color="000000"/>
              <w:right w:val="single" w:sz="8" w:space="0" w:color="auto"/>
            </w:tcBorders>
            <w:vAlign w:val="center"/>
          </w:tcPr>
          <w:p w14:paraId="26B3D9F7"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5CBD9B6A"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710024AC"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2D8BBB4B"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649CF9CC"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7527E0DF" w14:textId="77777777" w:rsidR="00632208" w:rsidRPr="0098635C" w:rsidRDefault="00632208" w:rsidP="00A432B0">
            <w:pPr>
              <w:spacing w:after="0"/>
              <w:rPr>
                <w:color w:val="000000" w:themeColor="text1"/>
                <w:sz w:val="20"/>
                <w:szCs w:val="20"/>
              </w:rPr>
            </w:pPr>
          </w:p>
        </w:tc>
      </w:tr>
      <w:tr w:rsidR="00632208" w:rsidRPr="0098635C" w14:paraId="0671B1B5" w14:textId="77777777" w:rsidTr="00A432B0">
        <w:trPr>
          <w:trHeight w:val="225"/>
        </w:trPr>
        <w:tc>
          <w:tcPr>
            <w:tcW w:w="1402" w:type="dxa"/>
            <w:vMerge w:val="restart"/>
            <w:tcBorders>
              <w:top w:val="nil"/>
              <w:left w:val="single" w:sz="8" w:space="0" w:color="auto"/>
              <w:bottom w:val="single" w:sz="8" w:space="0" w:color="000000"/>
              <w:right w:val="single" w:sz="8" w:space="0" w:color="auto"/>
            </w:tcBorders>
          </w:tcPr>
          <w:p w14:paraId="693E28D9"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nil"/>
              <w:right w:val="single" w:sz="8" w:space="0" w:color="auto"/>
            </w:tcBorders>
          </w:tcPr>
          <w:p w14:paraId="10B2080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Loam</w:t>
            </w:r>
          </w:p>
        </w:tc>
        <w:tc>
          <w:tcPr>
            <w:tcW w:w="709" w:type="dxa"/>
            <w:tcBorders>
              <w:top w:val="nil"/>
              <w:left w:val="nil"/>
              <w:bottom w:val="nil"/>
              <w:right w:val="single" w:sz="8" w:space="0" w:color="auto"/>
            </w:tcBorders>
          </w:tcPr>
          <w:p w14:paraId="18EA4C9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7.4</w:t>
            </w:r>
          </w:p>
        </w:tc>
        <w:tc>
          <w:tcPr>
            <w:tcW w:w="708" w:type="dxa"/>
            <w:tcBorders>
              <w:top w:val="nil"/>
              <w:left w:val="nil"/>
              <w:bottom w:val="nil"/>
              <w:right w:val="single" w:sz="8" w:space="0" w:color="auto"/>
            </w:tcBorders>
          </w:tcPr>
          <w:p w14:paraId="6F89B74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4.2</w:t>
            </w:r>
          </w:p>
        </w:tc>
        <w:tc>
          <w:tcPr>
            <w:tcW w:w="709" w:type="dxa"/>
            <w:tcBorders>
              <w:top w:val="nil"/>
              <w:left w:val="nil"/>
              <w:bottom w:val="nil"/>
              <w:right w:val="single" w:sz="8" w:space="0" w:color="auto"/>
            </w:tcBorders>
          </w:tcPr>
          <w:p w14:paraId="1148873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46</w:t>
            </w:r>
          </w:p>
        </w:tc>
        <w:tc>
          <w:tcPr>
            <w:tcW w:w="851" w:type="dxa"/>
            <w:tcBorders>
              <w:top w:val="nil"/>
              <w:left w:val="nil"/>
              <w:bottom w:val="nil"/>
              <w:right w:val="single" w:sz="8" w:space="0" w:color="auto"/>
            </w:tcBorders>
          </w:tcPr>
          <w:p w14:paraId="2677346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34</w:t>
            </w:r>
          </w:p>
        </w:tc>
        <w:tc>
          <w:tcPr>
            <w:tcW w:w="850" w:type="dxa"/>
            <w:tcBorders>
              <w:top w:val="nil"/>
              <w:left w:val="nil"/>
              <w:bottom w:val="nil"/>
              <w:right w:val="single" w:sz="8" w:space="0" w:color="auto"/>
            </w:tcBorders>
          </w:tcPr>
          <w:p w14:paraId="4621FF7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36.3</w:t>
            </w:r>
          </w:p>
        </w:tc>
        <w:tc>
          <w:tcPr>
            <w:tcW w:w="992" w:type="dxa"/>
            <w:tcBorders>
              <w:top w:val="nil"/>
              <w:left w:val="nil"/>
              <w:bottom w:val="nil"/>
              <w:right w:val="single" w:sz="8" w:space="0" w:color="auto"/>
            </w:tcBorders>
          </w:tcPr>
          <w:p w14:paraId="2152BDA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nil"/>
              <w:right w:val="single" w:sz="8" w:space="0" w:color="auto"/>
            </w:tcBorders>
          </w:tcPr>
          <w:p w14:paraId="7E43147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val="restart"/>
            <w:tcBorders>
              <w:top w:val="nil"/>
              <w:left w:val="single" w:sz="8" w:space="0" w:color="auto"/>
              <w:bottom w:val="single" w:sz="8" w:space="0" w:color="000000"/>
              <w:right w:val="single" w:sz="8" w:space="0" w:color="auto"/>
            </w:tcBorders>
          </w:tcPr>
          <w:p w14:paraId="6E7641F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49CEC933"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538</w:t>
            </w:r>
          </w:p>
        </w:tc>
        <w:tc>
          <w:tcPr>
            <w:tcW w:w="1134" w:type="dxa"/>
            <w:vMerge w:val="restart"/>
            <w:tcBorders>
              <w:top w:val="nil"/>
              <w:left w:val="single" w:sz="8" w:space="0" w:color="auto"/>
              <w:bottom w:val="single" w:sz="8" w:space="0" w:color="000000"/>
              <w:right w:val="single" w:sz="8" w:space="0" w:color="auto"/>
            </w:tcBorders>
          </w:tcPr>
          <w:p w14:paraId="1D09833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10FBBF15"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545</w:t>
            </w:r>
          </w:p>
        </w:tc>
        <w:tc>
          <w:tcPr>
            <w:tcW w:w="1134" w:type="dxa"/>
            <w:vMerge w:val="restart"/>
            <w:tcBorders>
              <w:top w:val="nil"/>
              <w:left w:val="single" w:sz="8" w:space="0" w:color="auto"/>
              <w:bottom w:val="single" w:sz="8" w:space="0" w:color="000000"/>
              <w:right w:val="single" w:sz="12" w:space="0" w:color="auto"/>
            </w:tcBorders>
          </w:tcPr>
          <w:p w14:paraId="24DE43E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7DDF9C0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314E48CE" w14:textId="77777777" w:rsidTr="00A432B0">
        <w:trPr>
          <w:trHeight w:val="463"/>
        </w:trPr>
        <w:tc>
          <w:tcPr>
            <w:tcW w:w="1402" w:type="dxa"/>
            <w:vMerge/>
            <w:tcBorders>
              <w:top w:val="nil"/>
              <w:left w:val="single" w:sz="8" w:space="0" w:color="auto"/>
              <w:bottom w:val="single" w:sz="8" w:space="0" w:color="000000"/>
              <w:right w:val="single" w:sz="8" w:space="0" w:color="auto"/>
            </w:tcBorders>
            <w:vAlign w:val="center"/>
          </w:tcPr>
          <w:p w14:paraId="52BB154A"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6E2C9BF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Guadalajara</w:t>
            </w:r>
          </w:p>
        </w:tc>
        <w:tc>
          <w:tcPr>
            <w:tcW w:w="709" w:type="dxa"/>
            <w:tcBorders>
              <w:top w:val="nil"/>
              <w:left w:val="nil"/>
              <w:bottom w:val="single" w:sz="8" w:space="0" w:color="auto"/>
              <w:right w:val="single" w:sz="8" w:space="0" w:color="auto"/>
            </w:tcBorders>
          </w:tcPr>
          <w:p w14:paraId="4069062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tc>
        <w:tc>
          <w:tcPr>
            <w:tcW w:w="708" w:type="dxa"/>
            <w:tcBorders>
              <w:top w:val="nil"/>
              <w:left w:val="nil"/>
              <w:bottom w:val="single" w:sz="8" w:space="0" w:color="auto"/>
              <w:right w:val="single" w:sz="8" w:space="0" w:color="auto"/>
            </w:tcBorders>
          </w:tcPr>
          <w:p w14:paraId="181E373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w:t>
            </w:r>
          </w:p>
        </w:tc>
        <w:tc>
          <w:tcPr>
            <w:tcW w:w="709" w:type="dxa"/>
            <w:tcBorders>
              <w:top w:val="nil"/>
              <w:left w:val="nil"/>
              <w:bottom w:val="single" w:sz="8" w:space="0" w:color="auto"/>
              <w:right w:val="single" w:sz="8" w:space="0" w:color="auto"/>
            </w:tcBorders>
          </w:tcPr>
          <w:p w14:paraId="5A3967D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26</w:t>
            </w:r>
          </w:p>
        </w:tc>
        <w:tc>
          <w:tcPr>
            <w:tcW w:w="851" w:type="dxa"/>
            <w:tcBorders>
              <w:top w:val="nil"/>
              <w:left w:val="nil"/>
              <w:bottom w:val="single" w:sz="8" w:space="0" w:color="auto"/>
              <w:right w:val="single" w:sz="8" w:space="0" w:color="auto"/>
            </w:tcBorders>
          </w:tcPr>
          <w:p w14:paraId="6752612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18</w:t>
            </w:r>
          </w:p>
        </w:tc>
        <w:tc>
          <w:tcPr>
            <w:tcW w:w="850" w:type="dxa"/>
            <w:tcBorders>
              <w:top w:val="nil"/>
              <w:left w:val="nil"/>
              <w:bottom w:val="single" w:sz="8" w:space="0" w:color="auto"/>
              <w:right w:val="single" w:sz="8" w:space="0" w:color="auto"/>
            </w:tcBorders>
          </w:tcPr>
          <w:p w14:paraId="5E66D7A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20.1</w:t>
            </w:r>
          </w:p>
        </w:tc>
        <w:tc>
          <w:tcPr>
            <w:tcW w:w="992" w:type="dxa"/>
            <w:tcBorders>
              <w:top w:val="nil"/>
              <w:left w:val="nil"/>
              <w:bottom w:val="single" w:sz="8" w:space="0" w:color="auto"/>
              <w:right w:val="single" w:sz="8" w:space="0" w:color="auto"/>
            </w:tcBorders>
          </w:tcPr>
          <w:p w14:paraId="2A6C3FD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single" w:sz="8" w:space="0" w:color="auto"/>
              <w:right w:val="single" w:sz="8" w:space="0" w:color="auto"/>
            </w:tcBorders>
          </w:tcPr>
          <w:p w14:paraId="15DA05F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tcBorders>
              <w:top w:val="nil"/>
              <w:left w:val="single" w:sz="8" w:space="0" w:color="auto"/>
              <w:bottom w:val="single" w:sz="8" w:space="0" w:color="000000"/>
              <w:right w:val="single" w:sz="8" w:space="0" w:color="auto"/>
            </w:tcBorders>
            <w:vAlign w:val="center"/>
          </w:tcPr>
          <w:p w14:paraId="68233C3A"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2ACA6E10"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32ED325B"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50B19F08"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492EC4CE"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2240F6F1" w14:textId="77777777" w:rsidR="00632208" w:rsidRPr="0098635C" w:rsidRDefault="00632208" w:rsidP="00A432B0">
            <w:pPr>
              <w:spacing w:after="0"/>
              <w:rPr>
                <w:color w:val="000000" w:themeColor="text1"/>
                <w:sz w:val="20"/>
                <w:szCs w:val="20"/>
              </w:rPr>
            </w:pPr>
          </w:p>
        </w:tc>
      </w:tr>
      <w:tr w:rsidR="00632208" w:rsidRPr="0098635C" w14:paraId="4FE8EF90" w14:textId="77777777" w:rsidTr="00A432B0">
        <w:trPr>
          <w:trHeight w:val="225"/>
        </w:trPr>
        <w:tc>
          <w:tcPr>
            <w:tcW w:w="1402" w:type="dxa"/>
            <w:vMerge w:val="restart"/>
            <w:tcBorders>
              <w:top w:val="nil"/>
              <w:left w:val="single" w:sz="8" w:space="0" w:color="auto"/>
              <w:bottom w:val="single" w:sz="8" w:space="0" w:color="000000"/>
              <w:right w:val="single" w:sz="8" w:space="0" w:color="auto"/>
            </w:tcBorders>
          </w:tcPr>
          <w:p w14:paraId="234BC4BB"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nil"/>
              <w:right w:val="single" w:sz="8" w:space="0" w:color="auto"/>
            </w:tcBorders>
          </w:tcPr>
          <w:p w14:paraId="2CC6EEC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Sandy clay</w:t>
            </w:r>
          </w:p>
        </w:tc>
        <w:tc>
          <w:tcPr>
            <w:tcW w:w="709" w:type="dxa"/>
            <w:tcBorders>
              <w:top w:val="nil"/>
              <w:left w:val="nil"/>
              <w:bottom w:val="nil"/>
              <w:right w:val="single" w:sz="8" w:space="0" w:color="auto"/>
            </w:tcBorders>
          </w:tcPr>
          <w:p w14:paraId="66C2647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tc>
        <w:tc>
          <w:tcPr>
            <w:tcW w:w="708" w:type="dxa"/>
            <w:tcBorders>
              <w:top w:val="nil"/>
              <w:left w:val="nil"/>
              <w:bottom w:val="nil"/>
              <w:right w:val="single" w:sz="8" w:space="0" w:color="auto"/>
            </w:tcBorders>
          </w:tcPr>
          <w:p w14:paraId="4A95EB5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2.4</w:t>
            </w:r>
          </w:p>
        </w:tc>
        <w:tc>
          <w:tcPr>
            <w:tcW w:w="709" w:type="dxa"/>
            <w:tcBorders>
              <w:top w:val="nil"/>
              <w:left w:val="nil"/>
              <w:bottom w:val="nil"/>
              <w:right w:val="single" w:sz="8" w:space="0" w:color="auto"/>
            </w:tcBorders>
          </w:tcPr>
          <w:p w14:paraId="74728A4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851" w:type="dxa"/>
            <w:tcBorders>
              <w:top w:val="nil"/>
              <w:left w:val="nil"/>
              <w:bottom w:val="nil"/>
              <w:right w:val="single" w:sz="8" w:space="0" w:color="auto"/>
            </w:tcBorders>
          </w:tcPr>
          <w:p w14:paraId="6930850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88</w:t>
            </w:r>
          </w:p>
        </w:tc>
        <w:tc>
          <w:tcPr>
            <w:tcW w:w="850" w:type="dxa"/>
            <w:tcBorders>
              <w:top w:val="nil"/>
              <w:left w:val="nil"/>
              <w:bottom w:val="nil"/>
              <w:right w:val="single" w:sz="8" w:space="0" w:color="auto"/>
            </w:tcBorders>
          </w:tcPr>
          <w:p w14:paraId="056D8F9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14.3</w:t>
            </w:r>
          </w:p>
        </w:tc>
        <w:tc>
          <w:tcPr>
            <w:tcW w:w="992" w:type="dxa"/>
            <w:tcBorders>
              <w:top w:val="nil"/>
              <w:left w:val="nil"/>
              <w:bottom w:val="nil"/>
              <w:right w:val="single" w:sz="8" w:space="0" w:color="auto"/>
            </w:tcBorders>
          </w:tcPr>
          <w:p w14:paraId="572AEA2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nil"/>
              <w:right w:val="single" w:sz="8" w:space="0" w:color="auto"/>
            </w:tcBorders>
          </w:tcPr>
          <w:p w14:paraId="2465A08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val="restart"/>
            <w:tcBorders>
              <w:top w:val="nil"/>
              <w:left w:val="single" w:sz="8" w:space="0" w:color="auto"/>
              <w:bottom w:val="single" w:sz="8" w:space="0" w:color="000000"/>
              <w:right w:val="single" w:sz="8" w:space="0" w:color="auto"/>
            </w:tcBorders>
          </w:tcPr>
          <w:p w14:paraId="69CC240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578ED0DF"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493</w:t>
            </w:r>
          </w:p>
        </w:tc>
        <w:tc>
          <w:tcPr>
            <w:tcW w:w="1134" w:type="dxa"/>
            <w:vMerge w:val="restart"/>
            <w:tcBorders>
              <w:top w:val="nil"/>
              <w:left w:val="single" w:sz="8" w:space="0" w:color="auto"/>
              <w:bottom w:val="single" w:sz="8" w:space="0" w:color="000000"/>
              <w:right w:val="single" w:sz="8" w:space="0" w:color="auto"/>
            </w:tcBorders>
          </w:tcPr>
          <w:p w14:paraId="1CEFDAE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38AE5664"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511</w:t>
            </w:r>
          </w:p>
        </w:tc>
        <w:tc>
          <w:tcPr>
            <w:tcW w:w="1134" w:type="dxa"/>
            <w:vMerge w:val="restart"/>
            <w:tcBorders>
              <w:top w:val="nil"/>
              <w:left w:val="single" w:sz="8" w:space="0" w:color="auto"/>
              <w:bottom w:val="single" w:sz="8" w:space="0" w:color="000000"/>
              <w:right w:val="single" w:sz="12" w:space="0" w:color="auto"/>
            </w:tcBorders>
          </w:tcPr>
          <w:p w14:paraId="13351F2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77FA144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7BC3A12E"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363B463F"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1B02BE0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Hygum</w:t>
            </w:r>
          </w:p>
        </w:tc>
        <w:tc>
          <w:tcPr>
            <w:tcW w:w="709" w:type="dxa"/>
            <w:tcBorders>
              <w:top w:val="nil"/>
              <w:left w:val="nil"/>
              <w:bottom w:val="single" w:sz="8" w:space="0" w:color="auto"/>
              <w:right w:val="single" w:sz="8" w:space="0" w:color="auto"/>
            </w:tcBorders>
          </w:tcPr>
          <w:p w14:paraId="5341A00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tc>
        <w:tc>
          <w:tcPr>
            <w:tcW w:w="708" w:type="dxa"/>
            <w:tcBorders>
              <w:top w:val="nil"/>
              <w:left w:val="nil"/>
              <w:bottom w:val="single" w:sz="8" w:space="0" w:color="auto"/>
              <w:right w:val="single" w:sz="8" w:space="0" w:color="auto"/>
            </w:tcBorders>
          </w:tcPr>
          <w:p w14:paraId="17A6472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2.4</w:t>
            </w:r>
          </w:p>
        </w:tc>
        <w:tc>
          <w:tcPr>
            <w:tcW w:w="709" w:type="dxa"/>
            <w:tcBorders>
              <w:top w:val="nil"/>
              <w:left w:val="nil"/>
              <w:bottom w:val="single" w:sz="8" w:space="0" w:color="auto"/>
              <w:right w:val="single" w:sz="8" w:space="0" w:color="auto"/>
            </w:tcBorders>
          </w:tcPr>
          <w:p w14:paraId="610465A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50</w:t>
            </w:r>
          </w:p>
        </w:tc>
        <w:tc>
          <w:tcPr>
            <w:tcW w:w="851" w:type="dxa"/>
            <w:tcBorders>
              <w:top w:val="nil"/>
              <w:left w:val="nil"/>
              <w:bottom w:val="single" w:sz="8" w:space="0" w:color="auto"/>
              <w:right w:val="single" w:sz="8" w:space="0" w:color="auto"/>
            </w:tcBorders>
          </w:tcPr>
          <w:p w14:paraId="00BBAFC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31</w:t>
            </w:r>
          </w:p>
        </w:tc>
        <w:tc>
          <w:tcPr>
            <w:tcW w:w="850" w:type="dxa"/>
            <w:tcBorders>
              <w:top w:val="nil"/>
              <w:left w:val="nil"/>
              <w:bottom w:val="single" w:sz="8" w:space="0" w:color="auto"/>
              <w:right w:val="single" w:sz="8" w:space="0" w:color="auto"/>
            </w:tcBorders>
          </w:tcPr>
          <w:p w14:paraId="3B521F8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23.5</w:t>
            </w:r>
          </w:p>
        </w:tc>
        <w:tc>
          <w:tcPr>
            <w:tcW w:w="992" w:type="dxa"/>
            <w:tcBorders>
              <w:top w:val="nil"/>
              <w:left w:val="nil"/>
              <w:bottom w:val="single" w:sz="8" w:space="0" w:color="auto"/>
              <w:right w:val="single" w:sz="8" w:space="0" w:color="auto"/>
            </w:tcBorders>
          </w:tcPr>
          <w:p w14:paraId="58917D6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single" w:sz="8" w:space="0" w:color="auto"/>
              <w:right w:val="single" w:sz="8" w:space="0" w:color="auto"/>
            </w:tcBorders>
          </w:tcPr>
          <w:p w14:paraId="6083BBA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tcBorders>
              <w:top w:val="nil"/>
              <w:left w:val="single" w:sz="8" w:space="0" w:color="auto"/>
              <w:bottom w:val="single" w:sz="8" w:space="0" w:color="000000"/>
              <w:right w:val="single" w:sz="8" w:space="0" w:color="auto"/>
            </w:tcBorders>
            <w:vAlign w:val="center"/>
          </w:tcPr>
          <w:p w14:paraId="38C36943"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3BA9F686"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02633B97"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33F1B938"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5B5B5703"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5A25EB60" w14:textId="77777777" w:rsidR="00632208" w:rsidRPr="0098635C" w:rsidRDefault="00632208" w:rsidP="00A432B0">
            <w:pPr>
              <w:spacing w:after="0"/>
              <w:rPr>
                <w:color w:val="000000" w:themeColor="text1"/>
                <w:sz w:val="20"/>
                <w:szCs w:val="20"/>
              </w:rPr>
            </w:pPr>
          </w:p>
        </w:tc>
      </w:tr>
      <w:tr w:rsidR="00632208" w:rsidRPr="0098635C" w14:paraId="1B51CC72" w14:textId="77777777" w:rsidTr="00A432B0">
        <w:trPr>
          <w:trHeight w:val="913"/>
        </w:trPr>
        <w:tc>
          <w:tcPr>
            <w:tcW w:w="1402" w:type="dxa"/>
            <w:tcBorders>
              <w:top w:val="nil"/>
              <w:left w:val="single" w:sz="8" w:space="0" w:color="auto"/>
              <w:bottom w:val="single" w:sz="8" w:space="0" w:color="auto"/>
              <w:right w:val="single" w:sz="8" w:space="0" w:color="auto"/>
            </w:tcBorders>
          </w:tcPr>
          <w:p w14:paraId="1B0B63B7"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single" w:sz="8" w:space="0" w:color="auto"/>
              <w:right w:val="single" w:sz="8" w:space="0" w:color="auto"/>
            </w:tcBorders>
          </w:tcPr>
          <w:p w14:paraId="1EFD1CA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Loamy sand Wageningen A</w:t>
            </w:r>
          </w:p>
        </w:tc>
        <w:tc>
          <w:tcPr>
            <w:tcW w:w="709" w:type="dxa"/>
            <w:tcBorders>
              <w:top w:val="nil"/>
              <w:left w:val="nil"/>
              <w:bottom w:val="single" w:sz="8" w:space="0" w:color="auto"/>
              <w:right w:val="single" w:sz="8" w:space="0" w:color="auto"/>
            </w:tcBorders>
          </w:tcPr>
          <w:p w14:paraId="6F40FCD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tc>
        <w:tc>
          <w:tcPr>
            <w:tcW w:w="708" w:type="dxa"/>
            <w:tcBorders>
              <w:top w:val="nil"/>
              <w:left w:val="nil"/>
              <w:bottom w:val="single" w:sz="8" w:space="0" w:color="auto"/>
              <w:right w:val="single" w:sz="8" w:space="0" w:color="auto"/>
            </w:tcBorders>
          </w:tcPr>
          <w:p w14:paraId="2B30E3E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0.6</w:t>
            </w:r>
          </w:p>
        </w:tc>
        <w:tc>
          <w:tcPr>
            <w:tcW w:w="709" w:type="dxa"/>
            <w:tcBorders>
              <w:top w:val="nil"/>
              <w:left w:val="nil"/>
              <w:bottom w:val="single" w:sz="8" w:space="0" w:color="auto"/>
              <w:right w:val="single" w:sz="8" w:space="0" w:color="auto"/>
            </w:tcBorders>
          </w:tcPr>
          <w:p w14:paraId="0DA4E5E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851" w:type="dxa"/>
            <w:tcBorders>
              <w:top w:val="nil"/>
              <w:left w:val="nil"/>
              <w:bottom w:val="single" w:sz="8" w:space="0" w:color="auto"/>
              <w:right w:val="single" w:sz="8" w:space="0" w:color="auto"/>
            </w:tcBorders>
          </w:tcPr>
          <w:p w14:paraId="0A136FA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0" w:type="dxa"/>
            <w:tcBorders>
              <w:top w:val="nil"/>
              <w:left w:val="nil"/>
              <w:bottom w:val="single" w:sz="8" w:space="0" w:color="auto"/>
              <w:right w:val="single" w:sz="8" w:space="0" w:color="auto"/>
            </w:tcBorders>
          </w:tcPr>
          <w:p w14:paraId="26AE689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16.9</w:t>
            </w:r>
          </w:p>
        </w:tc>
        <w:tc>
          <w:tcPr>
            <w:tcW w:w="992" w:type="dxa"/>
            <w:tcBorders>
              <w:top w:val="nil"/>
              <w:left w:val="nil"/>
              <w:bottom w:val="single" w:sz="8" w:space="0" w:color="auto"/>
              <w:right w:val="single" w:sz="8" w:space="0" w:color="auto"/>
            </w:tcBorders>
          </w:tcPr>
          <w:p w14:paraId="0BEFB21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single" w:sz="8" w:space="0" w:color="auto"/>
              <w:right w:val="single" w:sz="8" w:space="0" w:color="auto"/>
            </w:tcBorders>
          </w:tcPr>
          <w:p w14:paraId="0590D80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nil"/>
              <w:left w:val="nil"/>
              <w:bottom w:val="single" w:sz="8" w:space="0" w:color="auto"/>
              <w:right w:val="single" w:sz="8" w:space="0" w:color="auto"/>
            </w:tcBorders>
          </w:tcPr>
          <w:p w14:paraId="20BC680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tcBorders>
              <w:top w:val="nil"/>
              <w:left w:val="nil"/>
              <w:bottom w:val="single" w:sz="8" w:space="0" w:color="auto"/>
              <w:right w:val="single" w:sz="8" w:space="0" w:color="auto"/>
            </w:tcBorders>
          </w:tcPr>
          <w:p w14:paraId="76F07696"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27.9</w:t>
            </w:r>
          </w:p>
        </w:tc>
        <w:tc>
          <w:tcPr>
            <w:tcW w:w="1134" w:type="dxa"/>
            <w:tcBorders>
              <w:top w:val="nil"/>
              <w:left w:val="nil"/>
              <w:bottom w:val="single" w:sz="8" w:space="0" w:color="auto"/>
              <w:right w:val="single" w:sz="8" w:space="0" w:color="auto"/>
            </w:tcBorders>
          </w:tcPr>
          <w:p w14:paraId="02025DB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2FD20DD2"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45.4</w:t>
            </w:r>
          </w:p>
        </w:tc>
        <w:tc>
          <w:tcPr>
            <w:tcW w:w="1134" w:type="dxa"/>
            <w:tcBorders>
              <w:top w:val="nil"/>
              <w:left w:val="nil"/>
              <w:bottom w:val="single" w:sz="8" w:space="0" w:color="auto"/>
              <w:right w:val="single" w:sz="12" w:space="0" w:color="auto"/>
            </w:tcBorders>
          </w:tcPr>
          <w:p w14:paraId="2869110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61BFEF7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35D5F8B0" w14:textId="77777777" w:rsidTr="00A432B0">
        <w:trPr>
          <w:trHeight w:val="913"/>
        </w:trPr>
        <w:tc>
          <w:tcPr>
            <w:tcW w:w="1402" w:type="dxa"/>
            <w:tcBorders>
              <w:top w:val="nil"/>
              <w:left w:val="single" w:sz="8" w:space="0" w:color="auto"/>
              <w:bottom w:val="single" w:sz="8" w:space="0" w:color="auto"/>
              <w:right w:val="single" w:sz="8" w:space="0" w:color="auto"/>
            </w:tcBorders>
          </w:tcPr>
          <w:p w14:paraId="2C1CF7B3"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single" w:sz="8" w:space="0" w:color="auto"/>
              <w:right w:val="single" w:sz="8" w:space="0" w:color="auto"/>
            </w:tcBorders>
          </w:tcPr>
          <w:p w14:paraId="6E57500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Loamy sand Wageningen D</w:t>
            </w:r>
          </w:p>
        </w:tc>
        <w:tc>
          <w:tcPr>
            <w:tcW w:w="709" w:type="dxa"/>
            <w:tcBorders>
              <w:top w:val="nil"/>
              <w:left w:val="nil"/>
              <w:bottom w:val="single" w:sz="8" w:space="0" w:color="auto"/>
              <w:right w:val="single" w:sz="8" w:space="0" w:color="auto"/>
            </w:tcBorders>
          </w:tcPr>
          <w:p w14:paraId="26A66A7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5.4</w:t>
            </w:r>
          </w:p>
        </w:tc>
        <w:tc>
          <w:tcPr>
            <w:tcW w:w="708" w:type="dxa"/>
            <w:tcBorders>
              <w:top w:val="nil"/>
              <w:left w:val="nil"/>
              <w:bottom w:val="single" w:sz="8" w:space="0" w:color="auto"/>
              <w:right w:val="single" w:sz="8" w:space="0" w:color="auto"/>
            </w:tcBorders>
          </w:tcPr>
          <w:p w14:paraId="594E76F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3.3</w:t>
            </w:r>
          </w:p>
        </w:tc>
        <w:tc>
          <w:tcPr>
            <w:tcW w:w="709" w:type="dxa"/>
            <w:tcBorders>
              <w:top w:val="nil"/>
              <w:left w:val="nil"/>
              <w:bottom w:val="single" w:sz="8" w:space="0" w:color="auto"/>
              <w:right w:val="single" w:sz="8" w:space="0" w:color="auto"/>
            </w:tcBorders>
          </w:tcPr>
          <w:p w14:paraId="3236127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w:t>
            </w:r>
          </w:p>
        </w:tc>
        <w:tc>
          <w:tcPr>
            <w:tcW w:w="851" w:type="dxa"/>
            <w:tcBorders>
              <w:top w:val="nil"/>
              <w:left w:val="nil"/>
              <w:bottom w:val="single" w:sz="8" w:space="0" w:color="auto"/>
              <w:right w:val="single" w:sz="8" w:space="0" w:color="auto"/>
            </w:tcBorders>
          </w:tcPr>
          <w:p w14:paraId="5F6EE59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850" w:type="dxa"/>
            <w:tcBorders>
              <w:top w:val="nil"/>
              <w:left w:val="nil"/>
              <w:bottom w:val="single" w:sz="8" w:space="0" w:color="auto"/>
              <w:right w:val="single" w:sz="8" w:space="0" w:color="auto"/>
            </w:tcBorders>
          </w:tcPr>
          <w:p w14:paraId="3C6B094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6.7</w:t>
            </w:r>
          </w:p>
        </w:tc>
        <w:tc>
          <w:tcPr>
            <w:tcW w:w="992" w:type="dxa"/>
            <w:tcBorders>
              <w:top w:val="nil"/>
              <w:left w:val="nil"/>
              <w:bottom w:val="single" w:sz="8" w:space="0" w:color="auto"/>
              <w:right w:val="single" w:sz="8" w:space="0" w:color="auto"/>
            </w:tcBorders>
          </w:tcPr>
          <w:p w14:paraId="714FDBC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single" w:sz="8" w:space="0" w:color="auto"/>
              <w:right w:val="single" w:sz="8" w:space="0" w:color="auto"/>
            </w:tcBorders>
          </w:tcPr>
          <w:p w14:paraId="1FB0671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nil"/>
              <w:left w:val="nil"/>
              <w:bottom w:val="single" w:sz="8" w:space="0" w:color="auto"/>
              <w:right w:val="single" w:sz="8" w:space="0" w:color="auto"/>
            </w:tcBorders>
          </w:tcPr>
          <w:p w14:paraId="4D6EF37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tcBorders>
              <w:top w:val="nil"/>
              <w:left w:val="nil"/>
              <w:bottom w:val="single" w:sz="8" w:space="0" w:color="auto"/>
              <w:right w:val="single" w:sz="8" w:space="0" w:color="auto"/>
            </w:tcBorders>
          </w:tcPr>
          <w:p w14:paraId="347F9CA3"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48</w:t>
            </w:r>
          </w:p>
        </w:tc>
        <w:tc>
          <w:tcPr>
            <w:tcW w:w="1134" w:type="dxa"/>
            <w:tcBorders>
              <w:top w:val="nil"/>
              <w:left w:val="nil"/>
              <w:bottom w:val="single" w:sz="8" w:space="0" w:color="auto"/>
              <w:right w:val="single" w:sz="8" w:space="0" w:color="auto"/>
            </w:tcBorders>
          </w:tcPr>
          <w:p w14:paraId="1EA8E2B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8" w:space="0" w:color="auto"/>
              <w:right w:val="single" w:sz="8" w:space="0" w:color="000000"/>
            </w:tcBorders>
          </w:tcPr>
          <w:p w14:paraId="500E8DF3"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65.4</w:t>
            </w:r>
          </w:p>
        </w:tc>
        <w:tc>
          <w:tcPr>
            <w:tcW w:w="1134" w:type="dxa"/>
            <w:tcBorders>
              <w:top w:val="nil"/>
              <w:left w:val="nil"/>
              <w:bottom w:val="single" w:sz="8" w:space="0" w:color="auto"/>
              <w:right w:val="single" w:sz="12" w:space="0" w:color="auto"/>
            </w:tcBorders>
          </w:tcPr>
          <w:p w14:paraId="59688CB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8" w:space="0" w:color="auto"/>
              <w:right w:val="single" w:sz="12" w:space="0" w:color="auto"/>
            </w:tcBorders>
          </w:tcPr>
          <w:p w14:paraId="1AEA9EA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3A4259C2" w14:textId="77777777" w:rsidTr="00A432B0">
        <w:trPr>
          <w:trHeight w:val="225"/>
        </w:trPr>
        <w:tc>
          <w:tcPr>
            <w:tcW w:w="1402" w:type="dxa"/>
            <w:vMerge w:val="restart"/>
            <w:tcBorders>
              <w:top w:val="nil"/>
              <w:left w:val="single" w:sz="8" w:space="0" w:color="auto"/>
              <w:bottom w:val="single" w:sz="8" w:space="0" w:color="000000"/>
              <w:right w:val="single" w:sz="8" w:space="0" w:color="auto"/>
            </w:tcBorders>
          </w:tcPr>
          <w:p w14:paraId="6CB2475C"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nil"/>
              <w:right w:val="single" w:sz="8" w:space="0" w:color="auto"/>
            </w:tcBorders>
          </w:tcPr>
          <w:p w14:paraId="0E6882F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w:t>
            </w:r>
          </w:p>
        </w:tc>
        <w:tc>
          <w:tcPr>
            <w:tcW w:w="709" w:type="dxa"/>
            <w:tcBorders>
              <w:top w:val="nil"/>
              <w:left w:val="nil"/>
              <w:bottom w:val="nil"/>
              <w:right w:val="single" w:sz="8" w:space="0" w:color="auto"/>
            </w:tcBorders>
          </w:tcPr>
          <w:p w14:paraId="5A742E6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4.3</w:t>
            </w:r>
          </w:p>
        </w:tc>
        <w:tc>
          <w:tcPr>
            <w:tcW w:w="708" w:type="dxa"/>
            <w:tcBorders>
              <w:top w:val="nil"/>
              <w:left w:val="nil"/>
              <w:bottom w:val="nil"/>
              <w:right w:val="single" w:sz="8" w:space="0" w:color="auto"/>
            </w:tcBorders>
          </w:tcPr>
          <w:p w14:paraId="3624A02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709" w:type="dxa"/>
            <w:tcBorders>
              <w:top w:val="nil"/>
              <w:left w:val="nil"/>
              <w:bottom w:val="nil"/>
              <w:right w:val="single" w:sz="8" w:space="0" w:color="auto"/>
            </w:tcBorders>
          </w:tcPr>
          <w:p w14:paraId="36219CC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w:t>
            </w:r>
          </w:p>
        </w:tc>
        <w:tc>
          <w:tcPr>
            <w:tcW w:w="851" w:type="dxa"/>
            <w:tcBorders>
              <w:top w:val="nil"/>
              <w:left w:val="nil"/>
              <w:bottom w:val="nil"/>
              <w:right w:val="single" w:sz="8" w:space="0" w:color="auto"/>
            </w:tcBorders>
          </w:tcPr>
          <w:p w14:paraId="4287CA7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w:t>
            </w:r>
          </w:p>
        </w:tc>
        <w:tc>
          <w:tcPr>
            <w:tcW w:w="850" w:type="dxa"/>
            <w:tcBorders>
              <w:top w:val="nil"/>
              <w:left w:val="nil"/>
              <w:bottom w:val="nil"/>
              <w:right w:val="single" w:sz="8" w:space="0" w:color="auto"/>
            </w:tcBorders>
          </w:tcPr>
          <w:p w14:paraId="6E6E369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w:t>
            </w:r>
          </w:p>
        </w:tc>
        <w:tc>
          <w:tcPr>
            <w:tcW w:w="992" w:type="dxa"/>
            <w:tcBorders>
              <w:top w:val="nil"/>
              <w:left w:val="nil"/>
              <w:bottom w:val="nil"/>
              <w:right w:val="single" w:sz="8" w:space="0" w:color="auto"/>
            </w:tcBorders>
          </w:tcPr>
          <w:p w14:paraId="1530AA5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nil"/>
              <w:right w:val="single" w:sz="8" w:space="0" w:color="auto"/>
            </w:tcBorders>
          </w:tcPr>
          <w:p w14:paraId="070314F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val="restart"/>
            <w:tcBorders>
              <w:top w:val="nil"/>
              <w:left w:val="single" w:sz="8" w:space="0" w:color="auto"/>
              <w:bottom w:val="single" w:sz="8" w:space="0" w:color="000000"/>
              <w:right w:val="single" w:sz="8" w:space="0" w:color="auto"/>
            </w:tcBorders>
          </w:tcPr>
          <w:p w14:paraId="1C48D16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3097202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vMerge w:val="restart"/>
            <w:tcBorders>
              <w:top w:val="nil"/>
              <w:left w:val="single" w:sz="8" w:space="0" w:color="auto"/>
              <w:bottom w:val="single" w:sz="8" w:space="0" w:color="000000"/>
              <w:right w:val="single" w:sz="8" w:space="0" w:color="auto"/>
            </w:tcBorders>
          </w:tcPr>
          <w:p w14:paraId="30BA7FE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7DC93F5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vMerge w:val="restart"/>
            <w:tcBorders>
              <w:top w:val="nil"/>
              <w:left w:val="single" w:sz="8" w:space="0" w:color="auto"/>
              <w:bottom w:val="single" w:sz="8" w:space="0" w:color="000000"/>
              <w:right w:val="single" w:sz="12" w:space="0" w:color="auto"/>
            </w:tcBorders>
          </w:tcPr>
          <w:p w14:paraId="2C8FF3E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auto"/>
              <w:left w:val="single" w:sz="8" w:space="0" w:color="auto"/>
              <w:right w:val="single" w:sz="12" w:space="0" w:color="auto"/>
            </w:tcBorders>
          </w:tcPr>
          <w:p w14:paraId="298DA6B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0AED68C1"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1E7A2AB1"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4FC4792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Woburn salt</w:t>
            </w:r>
          </w:p>
        </w:tc>
        <w:tc>
          <w:tcPr>
            <w:tcW w:w="709" w:type="dxa"/>
            <w:tcBorders>
              <w:top w:val="nil"/>
              <w:left w:val="nil"/>
              <w:bottom w:val="single" w:sz="8" w:space="0" w:color="auto"/>
              <w:right w:val="single" w:sz="8" w:space="0" w:color="auto"/>
            </w:tcBorders>
          </w:tcPr>
          <w:p w14:paraId="3F68B77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w:t>
            </w:r>
          </w:p>
        </w:tc>
        <w:tc>
          <w:tcPr>
            <w:tcW w:w="708" w:type="dxa"/>
            <w:tcBorders>
              <w:top w:val="nil"/>
              <w:left w:val="nil"/>
              <w:bottom w:val="single" w:sz="8" w:space="0" w:color="auto"/>
              <w:right w:val="single" w:sz="8" w:space="0" w:color="auto"/>
            </w:tcBorders>
          </w:tcPr>
          <w:p w14:paraId="2F542CF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w:t>
            </w:r>
          </w:p>
        </w:tc>
        <w:tc>
          <w:tcPr>
            <w:tcW w:w="709" w:type="dxa"/>
            <w:tcBorders>
              <w:top w:val="nil"/>
              <w:left w:val="nil"/>
              <w:bottom w:val="single" w:sz="8" w:space="0" w:color="auto"/>
              <w:right w:val="single" w:sz="8" w:space="0" w:color="auto"/>
            </w:tcBorders>
          </w:tcPr>
          <w:p w14:paraId="4B4D276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w:t>
            </w:r>
          </w:p>
        </w:tc>
        <w:tc>
          <w:tcPr>
            <w:tcW w:w="851" w:type="dxa"/>
            <w:tcBorders>
              <w:top w:val="nil"/>
              <w:left w:val="nil"/>
              <w:bottom w:val="single" w:sz="8" w:space="0" w:color="auto"/>
              <w:right w:val="single" w:sz="8" w:space="0" w:color="auto"/>
            </w:tcBorders>
          </w:tcPr>
          <w:p w14:paraId="69ECFB3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w:t>
            </w:r>
          </w:p>
        </w:tc>
        <w:tc>
          <w:tcPr>
            <w:tcW w:w="850" w:type="dxa"/>
            <w:tcBorders>
              <w:top w:val="nil"/>
              <w:left w:val="nil"/>
              <w:bottom w:val="single" w:sz="8" w:space="0" w:color="auto"/>
              <w:right w:val="single" w:sz="8" w:space="0" w:color="auto"/>
            </w:tcBorders>
          </w:tcPr>
          <w:p w14:paraId="436F8A8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1.9</w:t>
            </w:r>
          </w:p>
        </w:tc>
        <w:tc>
          <w:tcPr>
            <w:tcW w:w="992" w:type="dxa"/>
            <w:tcBorders>
              <w:top w:val="nil"/>
              <w:left w:val="nil"/>
              <w:bottom w:val="single" w:sz="8" w:space="0" w:color="auto"/>
              <w:right w:val="single" w:sz="8" w:space="0" w:color="auto"/>
            </w:tcBorders>
          </w:tcPr>
          <w:p w14:paraId="2921894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single" w:sz="8" w:space="0" w:color="auto"/>
              <w:right w:val="single" w:sz="8" w:space="0" w:color="auto"/>
            </w:tcBorders>
          </w:tcPr>
          <w:p w14:paraId="069C196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tcBorders>
              <w:top w:val="nil"/>
              <w:left w:val="single" w:sz="8" w:space="0" w:color="auto"/>
              <w:bottom w:val="single" w:sz="8" w:space="0" w:color="000000"/>
              <w:right w:val="single" w:sz="8" w:space="0" w:color="auto"/>
            </w:tcBorders>
            <w:vAlign w:val="center"/>
          </w:tcPr>
          <w:p w14:paraId="2D8819A7"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594CF834" w14:textId="77777777" w:rsidR="00632208" w:rsidRPr="0098635C" w:rsidRDefault="00632208" w:rsidP="00A432B0">
            <w:pPr>
              <w:spacing w:after="0"/>
              <w:rPr>
                <w:color w:val="000000" w:themeColor="text1"/>
                <w:sz w:val="20"/>
                <w:szCs w:val="20"/>
              </w:rPr>
            </w:pPr>
          </w:p>
        </w:tc>
        <w:tc>
          <w:tcPr>
            <w:tcW w:w="1134" w:type="dxa"/>
            <w:vMerge/>
            <w:tcBorders>
              <w:top w:val="nil"/>
              <w:left w:val="single" w:sz="8" w:space="0" w:color="auto"/>
              <w:bottom w:val="single" w:sz="8" w:space="0" w:color="000000"/>
              <w:right w:val="single" w:sz="8" w:space="0" w:color="auto"/>
            </w:tcBorders>
            <w:vAlign w:val="center"/>
          </w:tcPr>
          <w:p w14:paraId="78DAC93D"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7C672E01" w14:textId="77777777" w:rsidR="00632208" w:rsidRPr="0098635C" w:rsidRDefault="00632208" w:rsidP="00A432B0">
            <w:pPr>
              <w:spacing w:after="0"/>
              <w:rPr>
                <w:color w:val="000000" w:themeColor="text1"/>
                <w:sz w:val="20"/>
                <w:szCs w:val="20"/>
              </w:rPr>
            </w:pPr>
          </w:p>
        </w:tc>
        <w:tc>
          <w:tcPr>
            <w:tcW w:w="1134" w:type="dxa"/>
            <w:vMerge/>
            <w:tcBorders>
              <w:top w:val="nil"/>
              <w:left w:val="single" w:sz="8" w:space="0" w:color="auto"/>
              <w:bottom w:val="single" w:sz="8" w:space="0" w:color="000000"/>
              <w:right w:val="single" w:sz="12" w:space="0" w:color="auto"/>
            </w:tcBorders>
            <w:vAlign w:val="center"/>
          </w:tcPr>
          <w:p w14:paraId="1D5CDE84"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0ED13510" w14:textId="77777777" w:rsidR="00632208" w:rsidRPr="0098635C" w:rsidRDefault="00632208" w:rsidP="00A432B0">
            <w:pPr>
              <w:spacing w:after="0"/>
              <w:rPr>
                <w:color w:val="000000" w:themeColor="text1"/>
                <w:sz w:val="20"/>
                <w:szCs w:val="20"/>
              </w:rPr>
            </w:pPr>
          </w:p>
        </w:tc>
      </w:tr>
      <w:tr w:rsidR="00632208" w:rsidRPr="0098635C" w14:paraId="1DC16AC6" w14:textId="77777777" w:rsidTr="00A432B0">
        <w:trPr>
          <w:trHeight w:val="225"/>
        </w:trPr>
        <w:tc>
          <w:tcPr>
            <w:tcW w:w="1402" w:type="dxa"/>
            <w:vMerge w:val="restart"/>
            <w:tcBorders>
              <w:top w:val="nil"/>
              <w:left w:val="single" w:sz="8" w:space="0" w:color="auto"/>
              <w:bottom w:val="single" w:sz="8" w:space="0" w:color="000000"/>
              <w:right w:val="single" w:sz="8" w:space="0" w:color="auto"/>
            </w:tcBorders>
          </w:tcPr>
          <w:p w14:paraId="50D86198"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Folsomia candida</w:t>
            </w:r>
          </w:p>
        </w:tc>
        <w:tc>
          <w:tcPr>
            <w:tcW w:w="1276" w:type="dxa"/>
            <w:tcBorders>
              <w:top w:val="nil"/>
              <w:left w:val="nil"/>
              <w:bottom w:val="nil"/>
              <w:right w:val="single" w:sz="8" w:space="0" w:color="auto"/>
            </w:tcBorders>
          </w:tcPr>
          <w:p w14:paraId="1824E7E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w:t>
            </w:r>
          </w:p>
        </w:tc>
        <w:tc>
          <w:tcPr>
            <w:tcW w:w="709" w:type="dxa"/>
            <w:tcBorders>
              <w:top w:val="nil"/>
              <w:left w:val="nil"/>
              <w:bottom w:val="nil"/>
              <w:right w:val="single" w:sz="8" w:space="0" w:color="auto"/>
            </w:tcBorders>
          </w:tcPr>
          <w:p w14:paraId="5AE0462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6.5</w:t>
            </w:r>
          </w:p>
        </w:tc>
        <w:tc>
          <w:tcPr>
            <w:tcW w:w="708" w:type="dxa"/>
            <w:tcBorders>
              <w:top w:val="nil"/>
              <w:left w:val="nil"/>
              <w:bottom w:val="nil"/>
              <w:right w:val="single" w:sz="8" w:space="0" w:color="auto"/>
            </w:tcBorders>
          </w:tcPr>
          <w:p w14:paraId="68F1295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0.2</w:t>
            </w:r>
          </w:p>
        </w:tc>
        <w:tc>
          <w:tcPr>
            <w:tcW w:w="709" w:type="dxa"/>
            <w:tcBorders>
              <w:top w:val="nil"/>
              <w:left w:val="nil"/>
              <w:bottom w:val="nil"/>
              <w:right w:val="single" w:sz="8" w:space="0" w:color="auto"/>
            </w:tcBorders>
          </w:tcPr>
          <w:p w14:paraId="06CB547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w:t>
            </w:r>
          </w:p>
        </w:tc>
        <w:tc>
          <w:tcPr>
            <w:tcW w:w="851" w:type="dxa"/>
            <w:tcBorders>
              <w:top w:val="nil"/>
              <w:left w:val="nil"/>
              <w:bottom w:val="nil"/>
              <w:right w:val="single" w:sz="8" w:space="0" w:color="auto"/>
            </w:tcBorders>
          </w:tcPr>
          <w:p w14:paraId="4173D74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w:t>
            </w:r>
          </w:p>
        </w:tc>
        <w:tc>
          <w:tcPr>
            <w:tcW w:w="850" w:type="dxa"/>
            <w:tcBorders>
              <w:top w:val="nil"/>
              <w:left w:val="nil"/>
              <w:bottom w:val="nil"/>
              <w:right w:val="single" w:sz="8" w:space="0" w:color="auto"/>
            </w:tcBorders>
          </w:tcPr>
          <w:p w14:paraId="1416C9A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8.4</w:t>
            </w:r>
          </w:p>
        </w:tc>
        <w:tc>
          <w:tcPr>
            <w:tcW w:w="992" w:type="dxa"/>
            <w:tcBorders>
              <w:top w:val="nil"/>
              <w:left w:val="nil"/>
              <w:bottom w:val="nil"/>
              <w:right w:val="single" w:sz="8" w:space="0" w:color="auto"/>
            </w:tcBorders>
          </w:tcPr>
          <w:p w14:paraId="49423BF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nil"/>
              <w:right w:val="single" w:sz="8" w:space="0" w:color="auto"/>
            </w:tcBorders>
          </w:tcPr>
          <w:p w14:paraId="0D02829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val="restart"/>
            <w:tcBorders>
              <w:top w:val="nil"/>
              <w:left w:val="single" w:sz="8" w:space="0" w:color="auto"/>
              <w:bottom w:val="single" w:sz="8" w:space="0" w:color="000000"/>
              <w:right w:val="single" w:sz="8" w:space="0" w:color="auto"/>
            </w:tcBorders>
          </w:tcPr>
          <w:p w14:paraId="3457AB6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22564C48"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132</w:t>
            </w:r>
          </w:p>
        </w:tc>
        <w:tc>
          <w:tcPr>
            <w:tcW w:w="1134" w:type="dxa"/>
            <w:vMerge w:val="restart"/>
            <w:tcBorders>
              <w:top w:val="nil"/>
              <w:left w:val="single" w:sz="8" w:space="0" w:color="auto"/>
              <w:bottom w:val="single" w:sz="8" w:space="0" w:color="000000"/>
              <w:right w:val="single" w:sz="8" w:space="0" w:color="auto"/>
            </w:tcBorders>
          </w:tcPr>
          <w:p w14:paraId="63B927C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51387515"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167</w:t>
            </w:r>
          </w:p>
        </w:tc>
        <w:tc>
          <w:tcPr>
            <w:tcW w:w="1134" w:type="dxa"/>
            <w:vMerge w:val="restart"/>
            <w:tcBorders>
              <w:top w:val="nil"/>
              <w:left w:val="single" w:sz="8" w:space="0" w:color="auto"/>
              <w:bottom w:val="single" w:sz="8" w:space="0" w:color="000000"/>
              <w:right w:val="single" w:sz="12" w:space="0" w:color="auto"/>
            </w:tcBorders>
          </w:tcPr>
          <w:p w14:paraId="7DF0746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single" w:sz="8" w:space="0" w:color="auto"/>
              <w:bottom w:val="single" w:sz="8" w:space="0" w:color="000000"/>
              <w:right w:val="single" w:sz="12" w:space="0" w:color="auto"/>
            </w:tcBorders>
          </w:tcPr>
          <w:p w14:paraId="0CAE821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6ADD3A47" w14:textId="77777777" w:rsidTr="00A432B0">
        <w:trPr>
          <w:trHeight w:val="463"/>
        </w:trPr>
        <w:tc>
          <w:tcPr>
            <w:tcW w:w="1402" w:type="dxa"/>
            <w:vMerge/>
            <w:tcBorders>
              <w:top w:val="nil"/>
              <w:left w:val="single" w:sz="8" w:space="0" w:color="auto"/>
              <w:bottom w:val="single" w:sz="8" w:space="0" w:color="000000"/>
              <w:right w:val="single" w:sz="8" w:space="0" w:color="auto"/>
            </w:tcBorders>
            <w:vAlign w:val="center"/>
          </w:tcPr>
          <w:p w14:paraId="2029ED2C"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037C702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Woburn cake</w:t>
            </w:r>
          </w:p>
        </w:tc>
        <w:tc>
          <w:tcPr>
            <w:tcW w:w="709" w:type="dxa"/>
            <w:tcBorders>
              <w:top w:val="nil"/>
              <w:left w:val="nil"/>
              <w:bottom w:val="single" w:sz="8" w:space="0" w:color="auto"/>
              <w:right w:val="single" w:sz="8" w:space="0" w:color="auto"/>
            </w:tcBorders>
          </w:tcPr>
          <w:p w14:paraId="57E7405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6.5</w:t>
            </w:r>
          </w:p>
        </w:tc>
        <w:tc>
          <w:tcPr>
            <w:tcW w:w="708" w:type="dxa"/>
            <w:tcBorders>
              <w:top w:val="nil"/>
              <w:left w:val="nil"/>
              <w:bottom w:val="single" w:sz="8" w:space="0" w:color="auto"/>
              <w:right w:val="single" w:sz="8" w:space="0" w:color="auto"/>
            </w:tcBorders>
          </w:tcPr>
          <w:p w14:paraId="5D9D127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0.3</w:t>
            </w:r>
          </w:p>
        </w:tc>
        <w:tc>
          <w:tcPr>
            <w:tcW w:w="709" w:type="dxa"/>
            <w:tcBorders>
              <w:top w:val="nil"/>
              <w:left w:val="nil"/>
              <w:bottom w:val="single" w:sz="8" w:space="0" w:color="auto"/>
              <w:right w:val="single" w:sz="8" w:space="0" w:color="auto"/>
            </w:tcBorders>
          </w:tcPr>
          <w:p w14:paraId="6DDA418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w:t>
            </w:r>
          </w:p>
        </w:tc>
        <w:tc>
          <w:tcPr>
            <w:tcW w:w="851" w:type="dxa"/>
            <w:tcBorders>
              <w:top w:val="nil"/>
              <w:left w:val="nil"/>
              <w:bottom w:val="single" w:sz="8" w:space="0" w:color="auto"/>
              <w:right w:val="single" w:sz="8" w:space="0" w:color="auto"/>
            </w:tcBorders>
          </w:tcPr>
          <w:p w14:paraId="69110A9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35</w:t>
            </w:r>
          </w:p>
        </w:tc>
        <w:tc>
          <w:tcPr>
            <w:tcW w:w="850" w:type="dxa"/>
            <w:tcBorders>
              <w:top w:val="nil"/>
              <w:left w:val="nil"/>
              <w:bottom w:val="single" w:sz="8" w:space="0" w:color="auto"/>
              <w:right w:val="single" w:sz="8" w:space="0" w:color="auto"/>
            </w:tcBorders>
          </w:tcPr>
          <w:p w14:paraId="4DD063B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11.6</w:t>
            </w:r>
          </w:p>
        </w:tc>
        <w:tc>
          <w:tcPr>
            <w:tcW w:w="992" w:type="dxa"/>
            <w:tcBorders>
              <w:top w:val="nil"/>
              <w:left w:val="nil"/>
              <w:bottom w:val="single" w:sz="8" w:space="0" w:color="auto"/>
              <w:right w:val="single" w:sz="8" w:space="0" w:color="auto"/>
            </w:tcBorders>
          </w:tcPr>
          <w:p w14:paraId="4E8EAFB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single" w:sz="8" w:space="0" w:color="auto"/>
              <w:right w:val="single" w:sz="8" w:space="0" w:color="auto"/>
            </w:tcBorders>
          </w:tcPr>
          <w:p w14:paraId="52F89EF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tcBorders>
              <w:top w:val="nil"/>
              <w:left w:val="single" w:sz="8" w:space="0" w:color="auto"/>
              <w:bottom w:val="single" w:sz="8" w:space="0" w:color="000000"/>
              <w:right w:val="single" w:sz="8" w:space="0" w:color="auto"/>
            </w:tcBorders>
            <w:vAlign w:val="center"/>
          </w:tcPr>
          <w:p w14:paraId="26F7DB4D"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0DA4E3D4"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09C5011A"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65C8080D"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45E9D11C"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3607F8B6" w14:textId="77777777" w:rsidR="00632208" w:rsidRPr="0098635C" w:rsidRDefault="00632208" w:rsidP="00A432B0">
            <w:pPr>
              <w:spacing w:after="0"/>
              <w:rPr>
                <w:color w:val="000000" w:themeColor="text1"/>
                <w:sz w:val="20"/>
                <w:szCs w:val="20"/>
              </w:rPr>
            </w:pPr>
          </w:p>
        </w:tc>
      </w:tr>
      <w:tr w:rsidR="00632208" w:rsidRPr="0098635C" w14:paraId="535B2C54" w14:textId="77777777" w:rsidTr="00A432B0">
        <w:trPr>
          <w:trHeight w:val="225"/>
        </w:trPr>
        <w:tc>
          <w:tcPr>
            <w:tcW w:w="1402" w:type="dxa"/>
            <w:vMerge w:val="restart"/>
            <w:tcBorders>
              <w:top w:val="nil"/>
              <w:left w:val="single" w:sz="8" w:space="0" w:color="auto"/>
              <w:bottom w:val="single" w:sz="8" w:space="0" w:color="000000"/>
              <w:right w:val="single" w:sz="8" w:space="0" w:color="auto"/>
            </w:tcBorders>
          </w:tcPr>
          <w:p w14:paraId="44119FAB"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nil"/>
              <w:left w:val="nil"/>
              <w:bottom w:val="nil"/>
              <w:right w:val="single" w:sz="8" w:space="0" w:color="auto"/>
            </w:tcBorders>
          </w:tcPr>
          <w:p w14:paraId="73272FE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loamy sand</w:t>
            </w:r>
          </w:p>
        </w:tc>
        <w:tc>
          <w:tcPr>
            <w:tcW w:w="709" w:type="dxa"/>
            <w:tcBorders>
              <w:top w:val="nil"/>
              <w:left w:val="nil"/>
              <w:bottom w:val="nil"/>
              <w:right w:val="single" w:sz="8" w:space="0" w:color="auto"/>
            </w:tcBorders>
          </w:tcPr>
          <w:p w14:paraId="4166518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w:t>
            </w:r>
          </w:p>
        </w:tc>
        <w:tc>
          <w:tcPr>
            <w:tcW w:w="708" w:type="dxa"/>
            <w:tcBorders>
              <w:top w:val="nil"/>
              <w:left w:val="nil"/>
              <w:bottom w:val="nil"/>
              <w:right w:val="single" w:sz="8" w:space="0" w:color="auto"/>
            </w:tcBorders>
          </w:tcPr>
          <w:p w14:paraId="0D530F0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8.2</w:t>
            </w:r>
          </w:p>
        </w:tc>
        <w:tc>
          <w:tcPr>
            <w:tcW w:w="709" w:type="dxa"/>
            <w:tcBorders>
              <w:top w:val="nil"/>
              <w:left w:val="nil"/>
              <w:bottom w:val="nil"/>
              <w:right w:val="single" w:sz="8" w:space="0" w:color="auto"/>
            </w:tcBorders>
          </w:tcPr>
          <w:p w14:paraId="4675192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nil"/>
              <w:right w:val="single" w:sz="8" w:space="0" w:color="auto"/>
            </w:tcBorders>
          </w:tcPr>
          <w:p w14:paraId="1551AB5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w:t>
            </w:r>
          </w:p>
        </w:tc>
        <w:tc>
          <w:tcPr>
            <w:tcW w:w="850" w:type="dxa"/>
            <w:tcBorders>
              <w:top w:val="nil"/>
              <w:left w:val="nil"/>
              <w:bottom w:val="nil"/>
              <w:right w:val="single" w:sz="8" w:space="0" w:color="auto"/>
            </w:tcBorders>
          </w:tcPr>
          <w:p w14:paraId="7926930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5.8</w:t>
            </w:r>
          </w:p>
        </w:tc>
        <w:tc>
          <w:tcPr>
            <w:tcW w:w="992" w:type="dxa"/>
            <w:tcBorders>
              <w:top w:val="nil"/>
              <w:left w:val="nil"/>
              <w:bottom w:val="nil"/>
              <w:right w:val="single" w:sz="8" w:space="0" w:color="auto"/>
            </w:tcBorders>
          </w:tcPr>
          <w:p w14:paraId="57E3416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nil"/>
              <w:right w:val="single" w:sz="8" w:space="0" w:color="auto"/>
            </w:tcBorders>
          </w:tcPr>
          <w:p w14:paraId="44508F0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val="restart"/>
            <w:tcBorders>
              <w:top w:val="nil"/>
              <w:left w:val="single" w:sz="8" w:space="0" w:color="auto"/>
              <w:bottom w:val="single" w:sz="8" w:space="0" w:color="000000"/>
              <w:right w:val="single" w:sz="8" w:space="0" w:color="auto"/>
            </w:tcBorders>
          </w:tcPr>
          <w:p w14:paraId="618C5A2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606C97F6"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177</w:t>
            </w:r>
          </w:p>
        </w:tc>
        <w:tc>
          <w:tcPr>
            <w:tcW w:w="1134" w:type="dxa"/>
            <w:vMerge w:val="restart"/>
            <w:tcBorders>
              <w:top w:val="nil"/>
              <w:left w:val="single" w:sz="8" w:space="0" w:color="auto"/>
              <w:bottom w:val="single" w:sz="8" w:space="0" w:color="000000"/>
              <w:right w:val="single" w:sz="8" w:space="0" w:color="auto"/>
            </w:tcBorders>
          </w:tcPr>
          <w:p w14:paraId="410E9ED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68F19711"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179</w:t>
            </w:r>
          </w:p>
        </w:tc>
        <w:tc>
          <w:tcPr>
            <w:tcW w:w="1134" w:type="dxa"/>
            <w:vMerge w:val="restart"/>
            <w:tcBorders>
              <w:top w:val="nil"/>
              <w:left w:val="single" w:sz="8" w:space="0" w:color="auto"/>
              <w:bottom w:val="single" w:sz="8" w:space="0" w:color="000000"/>
              <w:right w:val="single" w:sz="12" w:space="0" w:color="auto"/>
            </w:tcBorders>
          </w:tcPr>
          <w:p w14:paraId="173D610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28BF70E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3DF06A9E"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6BC06742"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4F46398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Gudow</w:t>
            </w:r>
          </w:p>
        </w:tc>
        <w:tc>
          <w:tcPr>
            <w:tcW w:w="709" w:type="dxa"/>
            <w:tcBorders>
              <w:top w:val="nil"/>
              <w:left w:val="nil"/>
              <w:bottom w:val="single" w:sz="8" w:space="0" w:color="auto"/>
              <w:right w:val="single" w:sz="8" w:space="0" w:color="auto"/>
            </w:tcBorders>
          </w:tcPr>
          <w:p w14:paraId="5419AEE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3.4</w:t>
            </w:r>
          </w:p>
        </w:tc>
        <w:tc>
          <w:tcPr>
            <w:tcW w:w="708" w:type="dxa"/>
            <w:tcBorders>
              <w:top w:val="nil"/>
              <w:left w:val="nil"/>
              <w:bottom w:val="single" w:sz="8" w:space="0" w:color="auto"/>
              <w:right w:val="single" w:sz="8" w:space="0" w:color="auto"/>
            </w:tcBorders>
          </w:tcPr>
          <w:p w14:paraId="7857E35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8.3</w:t>
            </w:r>
          </w:p>
        </w:tc>
        <w:tc>
          <w:tcPr>
            <w:tcW w:w="709" w:type="dxa"/>
            <w:tcBorders>
              <w:top w:val="nil"/>
              <w:left w:val="nil"/>
              <w:bottom w:val="single" w:sz="8" w:space="0" w:color="auto"/>
              <w:right w:val="single" w:sz="8" w:space="0" w:color="auto"/>
            </w:tcBorders>
          </w:tcPr>
          <w:p w14:paraId="5EB900A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13</w:t>
            </w:r>
          </w:p>
        </w:tc>
        <w:tc>
          <w:tcPr>
            <w:tcW w:w="851" w:type="dxa"/>
            <w:tcBorders>
              <w:top w:val="nil"/>
              <w:left w:val="nil"/>
              <w:bottom w:val="single" w:sz="8" w:space="0" w:color="auto"/>
              <w:right w:val="single" w:sz="8" w:space="0" w:color="auto"/>
            </w:tcBorders>
          </w:tcPr>
          <w:p w14:paraId="7A5BF41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17</w:t>
            </w:r>
          </w:p>
        </w:tc>
        <w:tc>
          <w:tcPr>
            <w:tcW w:w="850" w:type="dxa"/>
            <w:tcBorders>
              <w:top w:val="nil"/>
              <w:left w:val="nil"/>
              <w:bottom w:val="single" w:sz="8" w:space="0" w:color="auto"/>
              <w:right w:val="single" w:sz="8" w:space="0" w:color="auto"/>
            </w:tcBorders>
          </w:tcPr>
          <w:p w14:paraId="34B0113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6.7</w:t>
            </w:r>
          </w:p>
        </w:tc>
        <w:tc>
          <w:tcPr>
            <w:tcW w:w="992" w:type="dxa"/>
            <w:tcBorders>
              <w:top w:val="nil"/>
              <w:left w:val="nil"/>
              <w:bottom w:val="single" w:sz="8" w:space="0" w:color="auto"/>
              <w:right w:val="single" w:sz="8" w:space="0" w:color="auto"/>
            </w:tcBorders>
          </w:tcPr>
          <w:p w14:paraId="619226C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single" w:sz="8" w:space="0" w:color="auto"/>
              <w:right w:val="single" w:sz="8" w:space="0" w:color="auto"/>
            </w:tcBorders>
          </w:tcPr>
          <w:p w14:paraId="3EE777E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tcBorders>
              <w:top w:val="nil"/>
              <w:left w:val="single" w:sz="8" w:space="0" w:color="auto"/>
              <w:bottom w:val="single" w:sz="8" w:space="0" w:color="000000"/>
              <w:right w:val="single" w:sz="8" w:space="0" w:color="auto"/>
            </w:tcBorders>
            <w:vAlign w:val="center"/>
          </w:tcPr>
          <w:p w14:paraId="50F025FF"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27EE873F"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04C74D0A"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6CE3213E"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607F3298"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0AC4E0CA" w14:textId="77777777" w:rsidR="00632208" w:rsidRPr="0098635C" w:rsidRDefault="00632208" w:rsidP="00A432B0">
            <w:pPr>
              <w:spacing w:after="0"/>
              <w:rPr>
                <w:color w:val="000000" w:themeColor="text1"/>
                <w:sz w:val="20"/>
                <w:szCs w:val="20"/>
              </w:rPr>
            </w:pPr>
          </w:p>
        </w:tc>
      </w:tr>
      <w:tr w:rsidR="00632208" w:rsidRPr="0098635C" w14:paraId="0B5214A6" w14:textId="77777777" w:rsidTr="00A432B0">
        <w:trPr>
          <w:trHeight w:val="225"/>
        </w:trPr>
        <w:tc>
          <w:tcPr>
            <w:tcW w:w="1402" w:type="dxa"/>
            <w:vMerge w:val="restart"/>
            <w:tcBorders>
              <w:top w:val="nil"/>
              <w:left w:val="single" w:sz="8" w:space="0" w:color="auto"/>
              <w:bottom w:val="single" w:sz="8" w:space="0" w:color="000000"/>
              <w:right w:val="single" w:sz="8" w:space="0" w:color="auto"/>
            </w:tcBorders>
          </w:tcPr>
          <w:p w14:paraId="4B3702F1"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nil"/>
              <w:left w:val="nil"/>
              <w:bottom w:val="nil"/>
              <w:right w:val="single" w:sz="8" w:space="0" w:color="auto"/>
            </w:tcBorders>
          </w:tcPr>
          <w:p w14:paraId="1878C5B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Sandy loam</w:t>
            </w:r>
          </w:p>
        </w:tc>
        <w:tc>
          <w:tcPr>
            <w:tcW w:w="709" w:type="dxa"/>
            <w:tcBorders>
              <w:top w:val="nil"/>
              <w:left w:val="nil"/>
              <w:bottom w:val="nil"/>
              <w:right w:val="single" w:sz="8" w:space="0" w:color="auto"/>
            </w:tcBorders>
          </w:tcPr>
          <w:p w14:paraId="6C4517F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4.7</w:t>
            </w:r>
          </w:p>
        </w:tc>
        <w:tc>
          <w:tcPr>
            <w:tcW w:w="708" w:type="dxa"/>
            <w:tcBorders>
              <w:top w:val="nil"/>
              <w:left w:val="nil"/>
              <w:bottom w:val="nil"/>
              <w:right w:val="single" w:sz="8" w:space="0" w:color="auto"/>
            </w:tcBorders>
          </w:tcPr>
          <w:p w14:paraId="31B4C0C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37.3</w:t>
            </w:r>
          </w:p>
        </w:tc>
        <w:tc>
          <w:tcPr>
            <w:tcW w:w="709" w:type="dxa"/>
            <w:tcBorders>
              <w:top w:val="nil"/>
              <w:left w:val="nil"/>
              <w:bottom w:val="nil"/>
              <w:right w:val="single" w:sz="8" w:space="0" w:color="auto"/>
            </w:tcBorders>
          </w:tcPr>
          <w:p w14:paraId="7E53B98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24</w:t>
            </w:r>
          </w:p>
        </w:tc>
        <w:tc>
          <w:tcPr>
            <w:tcW w:w="851" w:type="dxa"/>
            <w:tcBorders>
              <w:top w:val="nil"/>
              <w:left w:val="nil"/>
              <w:bottom w:val="nil"/>
              <w:right w:val="single" w:sz="8" w:space="0" w:color="auto"/>
            </w:tcBorders>
          </w:tcPr>
          <w:p w14:paraId="6D005A5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70</w:t>
            </w:r>
          </w:p>
        </w:tc>
        <w:tc>
          <w:tcPr>
            <w:tcW w:w="850" w:type="dxa"/>
            <w:tcBorders>
              <w:top w:val="nil"/>
              <w:left w:val="nil"/>
              <w:bottom w:val="nil"/>
              <w:right w:val="single" w:sz="8" w:space="0" w:color="auto"/>
            </w:tcBorders>
          </w:tcPr>
          <w:p w14:paraId="4196726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35.3</w:t>
            </w:r>
          </w:p>
        </w:tc>
        <w:tc>
          <w:tcPr>
            <w:tcW w:w="992" w:type="dxa"/>
            <w:tcBorders>
              <w:top w:val="nil"/>
              <w:left w:val="nil"/>
              <w:bottom w:val="nil"/>
              <w:right w:val="single" w:sz="8" w:space="0" w:color="auto"/>
            </w:tcBorders>
          </w:tcPr>
          <w:p w14:paraId="43AEC4A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nil"/>
              <w:right w:val="single" w:sz="8" w:space="0" w:color="auto"/>
            </w:tcBorders>
          </w:tcPr>
          <w:p w14:paraId="22BC586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val="restart"/>
            <w:tcBorders>
              <w:top w:val="nil"/>
              <w:left w:val="single" w:sz="8" w:space="0" w:color="auto"/>
              <w:bottom w:val="single" w:sz="8" w:space="0" w:color="000000"/>
              <w:right w:val="single" w:sz="8" w:space="0" w:color="auto"/>
            </w:tcBorders>
          </w:tcPr>
          <w:p w14:paraId="2E9901D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3EE7C648"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93.6</w:t>
            </w:r>
          </w:p>
        </w:tc>
        <w:tc>
          <w:tcPr>
            <w:tcW w:w="1134" w:type="dxa"/>
            <w:vMerge w:val="restart"/>
            <w:tcBorders>
              <w:top w:val="nil"/>
              <w:left w:val="single" w:sz="8" w:space="0" w:color="auto"/>
              <w:bottom w:val="single" w:sz="8" w:space="0" w:color="000000"/>
              <w:right w:val="single" w:sz="8" w:space="0" w:color="auto"/>
            </w:tcBorders>
          </w:tcPr>
          <w:p w14:paraId="5CAE8EB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2FA53B00"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110.6</w:t>
            </w:r>
          </w:p>
        </w:tc>
        <w:tc>
          <w:tcPr>
            <w:tcW w:w="1134" w:type="dxa"/>
            <w:vMerge w:val="restart"/>
            <w:tcBorders>
              <w:top w:val="nil"/>
              <w:left w:val="single" w:sz="8" w:space="0" w:color="auto"/>
              <w:bottom w:val="single" w:sz="8" w:space="0" w:color="000000"/>
              <w:right w:val="single" w:sz="12" w:space="0" w:color="auto"/>
            </w:tcBorders>
          </w:tcPr>
          <w:p w14:paraId="70D53DE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3FB484A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1552D2A9"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66EEE232"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7568735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Nottingham</w:t>
            </w:r>
          </w:p>
        </w:tc>
        <w:tc>
          <w:tcPr>
            <w:tcW w:w="709" w:type="dxa"/>
            <w:tcBorders>
              <w:top w:val="nil"/>
              <w:left w:val="nil"/>
              <w:bottom w:val="single" w:sz="8" w:space="0" w:color="auto"/>
              <w:right w:val="single" w:sz="8" w:space="0" w:color="auto"/>
            </w:tcBorders>
          </w:tcPr>
          <w:p w14:paraId="431E1FB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4.8</w:t>
            </w:r>
          </w:p>
        </w:tc>
        <w:tc>
          <w:tcPr>
            <w:tcW w:w="708" w:type="dxa"/>
            <w:tcBorders>
              <w:top w:val="nil"/>
              <w:left w:val="nil"/>
              <w:bottom w:val="single" w:sz="8" w:space="0" w:color="auto"/>
              <w:right w:val="single" w:sz="8" w:space="0" w:color="auto"/>
            </w:tcBorders>
          </w:tcPr>
          <w:p w14:paraId="75B33EB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2.6</w:t>
            </w:r>
          </w:p>
        </w:tc>
        <w:tc>
          <w:tcPr>
            <w:tcW w:w="709" w:type="dxa"/>
            <w:tcBorders>
              <w:top w:val="nil"/>
              <w:left w:val="nil"/>
              <w:bottom w:val="single" w:sz="8" w:space="0" w:color="auto"/>
              <w:right w:val="single" w:sz="8" w:space="0" w:color="auto"/>
            </w:tcBorders>
          </w:tcPr>
          <w:p w14:paraId="7878E14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single" w:sz="8" w:space="0" w:color="auto"/>
              <w:right w:val="single" w:sz="8" w:space="0" w:color="auto"/>
            </w:tcBorders>
          </w:tcPr>
          <w:p w14:paraId="5066ED4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w:t>
            </w:r>
          </w:p>
        </w:tc>
        <w:tc>
          <w:tcPr>
            <w:tcW w:w="850" w:type="dxa"/>
            <w:tcBorders>
              <w:top w:val="nil"/>
              <w:left w:val="nil"/>
              <w:bottom w:val="single" w:sz="8" w:space="0" w:color="auto"/>
              <w:right w:val="single" w:sz="8" w:space="0" w:color="auto"/>
            </w:tcBorders>
          </w:tcPr>
          <w:p w14:paraId="17AAB01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2.4</w:t>
            </w:r>
          </w:p>
        </w:tc>
        <w:tc>
          <w:tcPr>
            <w:tcW w:w="992" w:type="dxa"/>
            <w:tcBorders>
              <w:top w:val="nil"/>
              <w:left w:val="nil"/>
              <w:bottom w:val="single" w:sz="8" w:space="0" w:color="auto"/>
              <w:right w:val="single" w:sz="8" w:space="0" w:color="auto"/>
            </w:tcBorders>
          </w:tcPr>
          <w:p w14:paraId="0A3130C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single" w:sz="8" w:space="0" w:color="auto"/>
              <w:right w:val="single" w:sz="8" w:space="0" w:color="auto"/>
            </w:tcBorders>
          </w:tcPr>
          <w:p w14:paraId="1C29096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tcBorders>
              <w:top w:val="nil"/>
              <w:left w:val="single" w:sz="8" w:space="0" w:color="auto"/>
              <w:bottom w:val="single" w:sz="8" w:space="0" w:color="000000"/>
              <w:right w:val="single" w:sz="8" w:space="0" w:color="auto"/>
            </w:tcBorders>
            <w:vAlign w:val="center"/>
          </w:tcPr>
          <w:p w14:paraId="6D5A765A"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427B54E7"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107505A7"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74668213"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1B990BC4"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5965113A" w14:textId="77777777" w:rsidR="00632208" w:rsidRPr="0098635C" w:rsidRDefault="00632208" w:rsidP="00A432B0">
            <w:pPr>
              <w:spacing w:after="0"/>
              <w:rPr>
                <w:color w:val="000000" w:themeColor="text1"/>
                <w:sz w:val="20"/>
                <w:szCs w:val="20"/>
              </w:rPr>
            </w:pPr>
          </w:p>
        </w:tc>
      </w:tr>
      <w:tr w:rsidR="00632208" w:rsidRPr="0098635C" w14:paraId="61FF1452" w14:textId="77777777" w:rsidTr="00A432B0">
        <w:trPr>
          <w:trHeight w:val="450"/>
        </w:trPr>
        <w:tc>
          <w:tcPr>
            <w:tcW w:w="1402" w:type="dxa"/>
            <w:vMerge w:val="restart"/>
            <w:tcBorders>
              <w:top w:val="nil"/>
              <w:left w:val="single" w:sz="8" w:space="0" w:color="auto"/>
              <w:bottom w:val="single" w:sz="8" w:space="0" w:color="000000"/>
              <w:right w:val="single" w:sz="8" w:space="0" w:color="auto"/>
            </w:tcBorders>
          </w:tcPr>
          <w:p w14:paraId="25686926"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nil"/>
              <w:left w:val="nil"/>
              <w:bottom w:val="nil"/>
              <w:right w:val="single" w:sz="8" w:space="0" w:color="auto"/>
            </w:tcBorders>
          </w:tcPr>
          <w:p w14:paraId="3196A2C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Sandy clay loam</w:t>
            </w:r>
          </w:p>
        </w:tc>
        <w:tc>
          <w:tcPr>
            <w:tcW w:w="709" w:type="dxa"/>
            <w:tcBorders>
              <w:top w:val="nil"/>
              <w:left w:val="nil"/>
              <w:bottom w:val="nil"/>
              <w:right w:val="single" w:sz="8" w:space="0" w:color="auto"/>
            </w:tcBorders>
          </w:tcPr>
          <w:p w14:paraId="7AEFB38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4.8</w:t>
            </w:r>
          </w:p>
        </w:tc>
        <w:tc>
          <w:tcPr>
            <w:tcW w:w="708" w:type="dxa"/>
            <w:tcBorders>
              <w:top w:val="nil"/>
              <w:left w:val="nil"/>
              <w:bottom w:val="nil"/>
              <w:right w:val="single" w:sz="8" w:space="0" w:color="auto"/>
            </w:tcBorders>
          </w:tcPr>
          <w:p w14:paraId="58C789A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0.7</w:t>
            </w:r>
          </w:p>
        </w:tc>
        <w:tc>
          <w:tcPr>
            <w:tcW w:w="709" w:type="dxa"/>
            <w:tcBorders>
              <w:top w:val="nil"/>
              <w:left w:val="nil"/>
              <w:bottom w:val="nil"/>
              <w:right w:val="single" w:sz="8" w:space="0" w:color="auto"/>
            </w:tcBorders>
          </w:tcPr>
          <w:p w14:paraId="79F8A14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38</w:t>
            </w:r>
          </w:p>
        </w:tc>
        <w:tc>
          <w:tcPr>
            <w:tcW w:w="851" w:type="dxa"/>
            <w:tcBorders>
              <w:top w:val="nil"/>
              <w:left w:val="nil"/>
              <w:bottom w:val="nil"/>
              <w:right w:val="single" w:sz="8" w:space="0" w:color="auto"/>
            </w:tcBorders>
          </w:tcPr>
          <w:p w14:paraId="5251452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31</w:t>
            </w:r>
          </w:p>
        </w:tc>
        <w:tc>
          <w:tcPr>
            <w:tcW w:w="850" w:type="dxa"/>
            <w:tcBorders>
              <w:top w:val="nil"/>
              <w:left w:val="nil"/>
              <w:bottom w:val="nil"/>
              <w:right w:val="single" w:sz="8" w:space="0" w:color="auto"/>
            </w:tcBorders>
          </w:tcPr>
          <w:p w14:paraId="12D6503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11.2</w:t>
            </w:r>
          </w:p>
        </w:tc>
        <w:tc>
          <w:tcPr>
            <w:tcW w:w="992" w:type="dxa"/>
            <w:tcBorders>
              <w:top w:val="nil"/>
              <w:left w:val="nil"/>
              <w:bottom w:val="nil"/>
              <w:right w:val="single" w:sz="8" w:space="0" w:color="auto"/>
            </w:tcBorders>
          </w:tcPr>
          <w:p w14:paraId="42D03B8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nil"/>
              <w:right w:val="single" w:sz="8" w:space="0" w:color="auto"/>
            </w:tcBorders>
          </w:tcPr>
          <w:p w14:paraId="498872F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val="restart"/>
            <w:tcBorders>
              <w:top w:val="nil"/>
              <w:left w:val="single" w:sz="8" w:space="0" w:color="auto"/>
              <w:bottom w:val="single" w:sz="8" w:space="0" w:color="000000"/>
              <w:right w:val="single" w:sz="8" w:space="0" w:color="auto"/>
            </w:tcBorders>
          </w:tcPr>
          <w:p w14:paraId="12AEA40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50D67807"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56.4</w:t>
            </w:r>
          </w:p>
        </w:tc>
        <w:tc>
          <w:tcPr>
            <w:tcW w:w="1134" w:type="dxa"/>
            <w:vMerge w:val="restart"/>
            <w:tcBorders>
              <w:top w:val="nil"/>
              <w:left w:val="single" w:sz="8" w:space="0" w:color="auto"/>
              <w:bottom w:val="single" w:sz="8" w:space="0" w:color="000000"/>
              <w:right w:val="single" w:sz="8" w:space="0" w:color="auto"/>
            </w:tcBorders>
          </w:tcPr>
          <w:p w14:paraId="4EC7913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5919C6D0"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126</w:t>
            </w:r>
          </w:p>
        </w:tc>
        <w:tc>
          <w:tcPr>
            <w:tcW w:w="1134" w:type="dxa"/>
            <w:vMerge w:val="restart"/>
            <w:tcBorders>
              <w:top w:val="nil"/>
              <w:left w:val="single" w:sz="8" w:space="0" w:color="auto"/>
              <w:bottom w:val="single" w:sz="8" w:space="0" w:color="000000"/>
              <w:right w:val="single" w:sz="12" w:space="0" w:color="auto"/>
            </w:tcBorders>
          </w:tcPr>
          <w:p w14:paraId="4CECF46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3967E66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05C0189D"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11BB8740"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6240669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Zegveld</w:t>
            </w:r>
          </w:p>
        </w:tc>
        <w:tc>
          <w:tcPr>
            <w:tcW w:w="709" w:type="dxa"/>
            <w:tcBorders>
              <w:top w:val="nil"/>
              <w:left w:val="nil"/>
              <w:bottom w:val="single" w:sz="8" w:space="0" w:color="auto"/>
              <w:right w:val="single" w:sz="8" w:space="0" w:color="auto"/>
            </w:tcBorders>
          </w:tcPr>
          <w:p w14:paraId="5BAC552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5.1</w:t>
            </w:r>
          </w:p>
        </w:tc>
        <w:tc>
          <w:tcPr>
            <w:tcW w:w="708" w:type="dxa"/>
            <w:tcBorders>
              <w:top w:val="nil"/>
              <w:left w:val="nil"/>
              <w:bottom w:val="single" w:sz="8" w:space="0" w:color="auto"/>
              <w:right w:val="single" w:sz="8" w:space="0" w:color="auto"/>
            </w:tcBorders>
          </w:tcPr>
          <w:p w14:paraId="7D4B3F4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3.8</w:t>
            </w:r>
          </w:p>
        </w:tc>
        <w:tc>
          <w:tcPr>
            <w:tcW w:w="709" w:type="dxa"/>
            <w:tcBorders>
              <w:top w:val="nil"/>
              <w:left w:val="nil"/>
              <w:bottom w:val="single" w:sz="8" w:space="0" w:color="auto"/>
              <w:right w:val="single" w:sz="8" w:space="0" w:color="auto"/>
            </w:tcBorders>
          </w:tcPr>
          <w:p w14:paraId="4AC8B5D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w:t>
            </w:r>
          </w:p>
        </w:tc>
        <w:tc>
          <w:tcPr>
            <w:tcW w:w="851" w:type="dxa"/>
            <w:tcBorders>
              <w:top w:val="nil"/>
              <w:left w:val="nil"/>
              <w:bottom w:val="single" w:sz="8" w:space="0" w:color="auto"/>
              <w:right w:val="single" w:sz="8" w:space="0" w:color="auto"/>
            </w:tcBorders>
          </w:tcPr>
          <w:p w14:paraId="10F56BA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w:t>
            </w:r>
          </w:p>
        </w:tc>
        <w:tc>
          <w:tcPr>
            <w:tcW w:w="850" w:type="dxa"/>
            <w:tcBorders>
              <w:top w:val="nil"/>
              <w:left w:val="nil"/>
              <w:bottom w:val="single" w:sz="8" w:space="0" w:color="auto"/>
              <w:right w:val="single" w:sz="8" w:space="0" w:color="auto"/>
            </w:tcBorders>
          </w:tcPr>
          <w:p w14:paraId="322F980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4.7</w:t>
            </w:r>
          </w:p>
        </w:tc>
        <w:tc>
          <w:tcPr>
            <w:tcW w:w="992" w:type="dxa"/>
            <w:tcBorders>
              <w:top w:val="nil"/>
              <w:left w:val="nil"/>
              <w:bottom w:val="single" w:sz="8" w:space="0" w:color="auto"/>
              <w:right w:val="single" w:sz="8" w:space="0" w:color="auto"/>
            </w:tcBorders>
          </w:tcPr>
          <w:p w14:paraId="66E7D40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single" w:sz="8" w:space="0" w:color="auto"/>
              <w:right w:val="single" w:sz="8" w:space="0" w:color="auto"/>
            </w:tcBorders>
          </w:tcPr>
          <w:p w14:paraId="66BEE79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tcBorders>
              <w:top w:val="nil"/>
              <w:left w:val="single" w:sz="8" w:space="0" w:color="auto"/>
              <w:bottom w:val="single" w:sz="8" w:space="0" w:color="000000"/>
              <w:right w:val="single" w:sz="8" w:space="0" w:color="auto"/>
            </w:tcBorders>
            <w:vAlign w:val="center"/>
          </w:tcPr>
          <w:p w14:paraId="44C66E48"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0B819A60"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060BFCAA"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14E8CA8C"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41AF0698"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729CD5B9" w14:textId="77777777" w:rsidR="00632208" w:rsidRPr="0098635C" w:rsidRDefault="00632208" w:rsidP="00A432B0">
            <w:pPr>
              <w:spacing w:after="0"/>
              <w:rPr>
                <w:color w:val="000000" w:themeColor="text1"/>
                <w:sz w:val="20"/>
                <w:szCs w:val="20"/>
              </w:rPr>
            </w:pPr>
          </w:p>
        </w:tc>
      </w:tr>
      <w:tr w:rsidR="00632208" w:rsidRPr="0098635C" w14:paraId="74B6BBCE" w14:textId="77777777" w:rsidTr="00A432B0">
        <w:trPr>
          <w:trHeight w:val="450"/>
        </w:trPr>
        <w:tc>
          <w:tcPr>
            <w:tcW w:w="1402" w:type="dxa"/>
            <w:vMerge w:val="restart"/>
            <w:tcBorders>
              <w:top w:val="nil"/>
              <w:left w:val="single" w:sz="8" w:space="0" w:color="auto"/>
              <w:bottom w:val="single" w:sz="8" w:space="0" w:color="000000"/>
              <w:right w:val="single" w:sz="8" w:space="0" w:color="auto"/>
            </w:tcBorders>
          </w:tcPr>
          <w:p w14:paraId="357D02FF"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nil"/>
              <w:left w:val="nil"/>
              <w:bottom w:val="nil"/>
              <w:right w:val="single" w:sz="8" w:space="0" w:color="auto"/>
            </w:tcBorders>
          </w:tcPr>
          <w:p w14:paraId="17E8C0D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Loamy sand</w:t>
            </w:r>
          </w:p>
        </w:tc>
        <w:tc>
          <w:tcPr>
            <w:tcW w:w="709" w:type="dxa"/>
            <w:tcBorders>
              <w:top w:val="nil"/>
              <w:left w:val="nil"/>
              <w:bottom w:val="nil"/>
              <w:right w:val="single" w:sz="8" w:space="0" w:color="auto"/>
            </w:tcBorders>
          </w:tcPr>
          <w:p w14:paraId="5739ACA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5.2</w:t>
            </w:r>
          </w:p>
        </w:tc>
        <w:tc>
          <w:tcPr>
            <w:tcW w:w="708" w:type="dxa"/>
            <w:tcBorders>
              <w:top w:val="nil"/>
              <w:left w:val="nil"/>
              <w:bottom w:val="nil"/>
              <w:right w:val="single" w:sz="8" w:space="0" w:color="auto"/>
            </w:tcBorders>
          </w:tcPr>
          <w:p w14:paraId="5AA23CC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1.2</w:t>
            </w:r>
          </w:p>
        </w:tc>
        <w:tc>
          <w:tcPr>
            <w:tcW w:w="709" w:type="dxa"/>
            <w:tcBorders>
              <w:top w:val="nil"/>
              <w:left w:val="nil"/>
              <w:bottom w:val="nil"/>
              <w:right w:val="single" w:sz="8" w:space="0" w:color="auto"/>
            </w:tcBorders>
          </w:tcPr>
          <w:p w14:paraId="1D0215D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9</w:t>
            </w:r>
          </w:p>
        </w:tc>
        <w:tc>
          <w:tcPr>
            <w:tcW w:w="851" w:type="dxa"/>
            <w:tcBorders>
              <w:top w:val="nil"/>
              <w:left w:val="nil"/>
              <w:bottom w:val="nil"/>
              <w:right w:val="single" w:sz="8" w:space="0" w:color="auto"/>
            </w:tcBorders>
          </w:tcPr>
          <w:p w14:paraId="740C2BB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w:t>
            </w:r>
          </w:p>
        </w:tc>
        <w:tc>
          <w:tcPr>
            <w:tcW w:w="850" w:type="dxa"/>
            <w:tcBorders>
              <w:top w:val="nil"/>
              <w:left w:val="nil"/>
              <w:bottom w:val="nil"/>
              <w:right w:val="single" w:sz="8" w:space="0" w:color="auto"/>
            </w:tcBorders>
          </w:tcPr>
          <w:p w14:paraId="11F5490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2.5</w:t>
            </w:r>
          </w:p>
        </w:tc>
        <w:tc>
          <w:tcPr>
            <w:tcW w:w="992" w:type="dxa"/>
            <w:tcBorders>
              <w:top w:val="nil"/>
              <w:left w:val="nil"/>
              <w:bottom w:val="nil"/>
              <w:right w:val="single" w:sz="8" w:space="0" w:color="auto"/>
            </w:tcBorders>
          </w:tcPr>
          <w:p w14:paraId="09FF1A5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nil"/>
              <w:right w:val="single" w:sz="8" w:space="0" w:color="auto"/>
            </w:tcBorders>
          </w:tcPr>
          <w:p w14:paraId="1AA12C3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val="restart"/>
            <w:tcBorders>
              <w:top w:val="nil"/>
              <w:left w:val="single" w:sz="8" w:space="0" w:color="auto"/>
              <w:bottom w:val="single" w:sz="8" w:space="0" w:color="000000"/>
              <w:right w:val="single" w:sz="8" w:space="0" w:color="auto"/>
            </w:tcBorders>
          </w:tcPr>
          <w:p w14:paraId="3429A91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3D49E91F"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48.2</w:t>
            </w:r>
          </w:p>
        </w:tc>
        <w:tc>
          <w:tcPr>
            <w:tcW w:w="1134" w:type="dxa"/>
            <w:vMerge w:val="restart"/>
            <w:tcBorders>
              <w:top w:val="nil"/>
              <w:left w:val="single" w:sz="8" w:space="0" w:color="auto"/>
              <w:bottom w:val="single" w:sz="8" w:space="0" w:color="000000"/>
              <w:right w:val="single" w:sz="8" w:space="0" w:color="auto"/>
            </w:tcBorders>
          </w:tcPr>
          <w:p w14:paraId="5781227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10138DF7"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54</w:t>
            </w:r>
          </w:p>
        </w:tc>
        <w:tc>
          <w:tcPr>
            <w:tcW w:w="1134" w:type="dxa"/>
            <w:vMerge w:val="restart"/>
            <w:tcBorders>
              <w:top w:val="nil"/>
              <w:left w:val="single" w:sz="8" w:space="0" w:color="auto"/>
              <w:bottom w:val="single" w:sz="8" w:space="0" w:color="000000"/>
              <w:right w:val="single" w:sz="12" w:space="0" w:color="auto"/>
            </w:tcBorders>
          </w:tcPr>
          <w:p w14:paraId="5939FDB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20C65BA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4F89826C"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214FB923"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0A7E2B6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Kovlinge</w:t>
            </w:r>
          </w:p>
        </w:tc>
        <w:tc>
          <w:tcPr>
            <w:tcW w:w="709" w:type="dxa"/>
            <w:tcBorders>
              <w:top w:val="nil"/>
              <w:left w:val="nil"/>
              <w:bottom w:val="single" w:sz="8" w:space="0" w:color="auto"/>
              <w:right w:val="single" w:sz="8" w:space="0" w:color="auto"/>
            </w:tcBorders>
          </w:tcPr>
          <w:p w14:paraId="25534D3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5.4</w:t>
            </w:r>
          </w:p>
        </w:tc>
        <w:tc>
          <w:tcPr>
            <w:tcW w:w="708" w:type="dxa"/>
            <w:tcBorders>
              <w:top w:val="nil"/>
              <w:left w:val="nil"/>
              <w:bottom w:val="single" w:sz="8" w:space="0" w:color="auto"/>
              <w:right w:val="single" w:sz="8" w:space="0" w:color="auto"/>
            </w:tcBorders>
          </w:tcPr>
          <w:p w14:paraId="07C6A93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1.4</w:t>
            </w:r>
          </w:p>
        </w:tc>
        <w:tc>
          <w:tcPr>
            <w:tcW w:w="709" w:type="dxa"/>
            <w:tcBorders>
              <w:top w:val="nil"/>
              <w:left w:val="nil"/>
              <w:bottom w:val="single" w:sz="8" w:space="0" w:color="auto"/>
              <w:right w:val="single" w:sz="8" w:space="0" w:color="auto"/>
            </w:tcBorders>
          </w:tcPr>
          <w:p w14:paraId="6B56D2E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51</w:t>
            </w:r>
          </w:p>
        </w:tc>
        <w:tc>
          <w:tcPr>
            <w:tcW w:w="851" w:type="dxa"/>
            <w:tcBorders>
              <w:top w:val="nil"/>
              <w:left w:val="nil"/>
              <w:bottom w:val="single" w:sz="8" w:space="0" w:color="auto"/>
              <w:right w:val="single" w:sz="8" w:space="0" w:color="auto"/>
            </w:tcBorders>
          </w:tcPr>
          <w:p w14:paraId="7CE6215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850" w:type="dxa"/>
            <w:tcBorders>
              <w:top w:val="nil"/>
              <w:left w:val="nil"/>
              <w:bottom w:val="single" w:sz="8" w:space="0" w:color="auto"/>
              <w:right w:val="single" w:sz="8" w:space="0" w:color="auto"/>
            </w:tcBorders>
          </w:tcPr>
          <w:p w14:paraId="239ADC3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22.6</w:t>
            </w:r>
          </w:p>
        </w:tc>
        <w:tc>
          <w:tcPr>
            <w:tcW w:w="992" w:type="dxa"/>
            <w:tcBorders>
              <w:top w:val="nil"/>
              <w:left w:val="nil"/>
              <w:bottom w:val="single" w:sz="8" w:space="0" w:color="auto"/>
              <w:right w:val="single" w:sz="8" w:space="0" w:color="auto"/>
            </w:tcBorders>
          </w:tcPr>
          <w:p w14:paraId="06FE94A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single" w:sz="8" w:space="0" w:color="auto"/>
              <w:right w:val="single" w:sz="8" w:space="0" w:color="auto"/>
            </w:tcBorders>
          </w:tcPr>
          <w:p w14:paraId="6F98A0E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tcBorders>
              <w:top w:val="nil"/>
              <w:left w:val="single" w:sz="8" w:space="0" w:color="auto"/>
              <w:bottom w:val="single" w:sz="8" w:space="0" w:color="000000"/>
              <w:right w:val="single" w:sz="8" w:space="0" w:color="auto"/>
            </w:tcBorders>
            <w:vAlign w:val="center"/>
          </w:tcPr>
          <w:p w14:paraId="4D60C103"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13D971E0"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17F2536D"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46774727"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68F172BD"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11CBB91F" w14:textId="77777777" w:rsidR="00632208" w:rsidRPr="0098635C" w:rsidRDefault="00632208" w:rsidP="00A432B0">
            <w:pPr>
              <w:spacing w:after="0"/>
              <w:rPr>
                <w:color w:val="000000" w:themeColor="text1"/>
                <w:sz w:val="20"/>
                <w:szCs w:val="20"/>
              </w:rPr>
            </w:pPr>
          </w:p>
        </w:tc>
      </w:tr>
      <w:tr w:rsidR="00632208" w:rsidRPr="0098635C" w14:paraId="69CD29CA" w14:textId="77777777" w:rsidTr="00A432B0">
        <w:trPr>
          <w:trHeight w:val="225"/>
        </w:trPr>
        <w:tc>
          <w:tcPr>
            <w:tcW w:w="1402" w:type="dxa"/>
            <w:vMerge w:val="restart"/>
            <w:tcBorders>
              <w:top w:val="nil"/>
              <w:left w:val="single" w:sz="8" w:space="0" w:color="auto"/>
              <w:bottom w:val="single" w:sz="8" w:space="0" w:color="000000"/>
              <w:right w:val="single" w:sz="8" w:space="0" w:color="auto"/>
            </w:tcBorders>
          </w:tcPr>
          <w:p w14:paraId="695D50DC"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nil"/>
              <w:left w:val="nil"/>
              <w:bottom w:val="nil"/>
              <w:right w:val="single" w:sz="8" w:space="0" w:color="auto"/>
            </w:tcBorders>
          </w:tcPr>
          <w:p w14:paraId="3BF3E9C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Sandy clay</w:t>
            </w:r>
          </w:p>
        </w:tc>
        <w:tc>
          <w:tcPr>
            <w:tcW w:w="709" w:type="dxa"/>
            <w:tcBorders>
              <w:top w:val="nil"/>
              <w:left w:val="nil"/>
              <w:bottom w:val="nil"/>
              <w:right w:val="single" w:sz="8" w:space="0" w:color="auto"/>
            </w:tcBorders>
          </w:tcPr>
          <w:p w14:paraId="175C59A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6.4</w:t>
            </w:r>
          </w:p>
        </w:tc>
        <w:tc>
          <w:tcPr>
            <w:tcW w:w="708" w:type="dxa"/>
            <w:tcBorders>
              <w:top w:val="nil"/>
              <w:left w:val="nil"/>
              <w:bottom w:val="nil"/>
              <w:right w:val="single" w:sz="8" w:space="0" w:color="auto"/>
            </w:tcBorders>
          </w:tcPr>
          <w:p w14:paraId="4CE9084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709" w:type="dxa"/>
            <w:tcBorders>
              <w:top w:val="nil"/>
              <w:left w:val="nil"/>
              <w:bottom w:val="nil"/>
              <w:right w:val="single" w:sz="8" w:space="0" w:color="auto"/>
            </w:tcBorders>
          </w:tcPr>
          <w:p w14:paraId="22EF821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851" w:type="dxa"/>
            <w:tcBorders>
              <w:top w:val="nil"/>
              <w:left w:val="nil"/>
              <w:bottom w:val="nil"/>
              <w:right w:val="single" w:sz="8" w:space="0" w:color="auto"/>
            </w:tcBorders>
          </w:tcPr>
          <w:p w14:paraId="595F186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850" w:type="dxa"/>
            <w:tcBorders>
              <w:top w:val="nil"/>
              <w:left w:val="nil"/>
              <w:bottom w:val="nil"/>
              <w:right w:val="single" w:sz="8" w:space="0" w:color="auto"/>
            </w:tcBorders>
          </w:tcPr>
          <w:p w14:paraId="3037218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23.4</w:t>
            </w:r>
          </w:p>
        </w:tc>
        <w:tc>
          <w:tcPr>
            <w:tcW w:w="992" w:type="dxa"/>
            <w:tcBorders>
              <w:top w:val="nil"/>
              <w:left w:val="nil"/>
              <w:bottom w:val="nil"/>
              <w:right w:val="single" w:sz="8" w:space="0" w:color="auto"/>
            </w:tcBorders>
          </w:tcPr>
          <w:p w14:paraId="4E0DD4D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nil"/>
              <w:right w:val="single" w:sz="8" w:space="0" w:color="auto"/>
            </w:tcBorders>
          </w:tcPr>
          <w:p w14:paraId="03AA262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val="restart"/>
            <w:tcBorders>
              <w:top w:val="nil"/>
              <w:left w:val="single" w:sz="8" w:space="0" w:color="auto"/>
              <w:bottom w:val="single" w:sz="8" w:space="0" w:color="000000"/>
              <w:right w:val="single" w:sz="8" w:space="0" w:color="auto"/>
            </w:tcBorders>
          </w:tcPr>
          <w:p w14:paraId="3187546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2FBECFC3"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179</w:t>
            </w:r>
          </w:p>
        </w:tc>
        <w:tc>
          <w:tcPr>
            <w:tcW w:w="1134" w:type="dxa"/>
            <w:vMerge w:val="restart"/>
            <w:tcBorders>
              <w:top w:val="nil"/>
              <w:left w:val="single" w:sz="8" w:space="0" w:color="auto"/>
              <w:bottom w:val="single" w:sz="8" w:space="0" w:color="000000"/>
              <w:right w:val="single" w:sz="8" w:space="0" w:color="auto"/>
            </w:tcBorders>
          </w:tcPr>
          <w:p w14:paraId="4635307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01917A7C"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210</w:t>
            </w:r>
          </w:p>
        </w:tc>
        <w:tc>
          <w:tcPr>
            <w:tcW w:w="1134" w:type="dxa"/>
            <w:vMerge w:val="restart"/>
            <w:tcBorders>
              <w:top w:val="nil"/>
              <w:left w:val="single" w:sz="8" w:space="0" w:color="auto"/>
              <w:bottom w:val="single" w:sz="8" w:space="0" w:color="000000"/>
              <w:right w:val="single" w:sz="12" w:space="0" w:color="auto"/>
            </w:tcBorders>
          </w:tcPr>
          <w:p w14:paraId="4514A96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44B4DE9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408FE565"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7EC914C7"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032F13C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Souli</w:t>
            </w:r>
          </w:p>
        </w:tc>
        <w:tc>
          <w:tcPr>
            <w:tcW w:w="709" w:type="dxa"/>
            <w:tcBorders>
              <w:top w:val="nil"/>
              <w:left w:val="nil"/>
              <w:bottom w:val="single" w:sz="8" w:space="0" w:color="auto"/>
              <w:right w:val="single" w:sz="8" w:space="0" w:color="auto"/>
            </w:tcBorders>
          </w:tcPr>
          <w:p w14:paraId="40175C8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6.8</w:t>
            </w:r>
          </w:p>
        </w:tc>
        <w:tc>
          <w:tcPr>
            <w:tcW w:w="708" w:type="dxa"/>
            <w:tcBorders>
              <w:top w:val="nil"/>
              <w:left w:val="nil"/>
              <w:bottom w:val="single" w:sz="8" w:space="0" w:color="auto"/>
              <w:right w:val="single" w:sz="8" w:space="0" w:color="auto"/>
            </w:tcBorders>
          </w:tcPr>
          <w:p w14:paraId="5B45F56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1.6</w:t>
            </w:r>
          </w:p>
        </w:tc>
        <w:tc>
          <w:tcPr>
            <w:tcW w:w="709" w:type="dxa"/>
            <w:tcBorders>
              <w:top w:val="nil"/>
              <w:left w:val="nil"/>
              <w:bottom w:val="single" w:sz="8" w:space="0" w:color="auto"/>
              <w:right w:val="single" w:sz="8" w:space="0" w:color="auto"/>
            </w:tcBorders>
          </w:tcPr>
          <w:p w14:paraId="25E41DA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15</w:t>
            </w:r>
          </w:p>
        </w:tc>
        <w:tc>
          <w:tcPr>
            <w:tcW w:w="851" w:type="dxa"/>
            <w:tcBorders>
              <w:top w:val="nil"/>
              <w:left w:val="nil"/>
              <w:bottom w:val="single" w:sz="8" w:space="0" w:color="auto"/>
              <w:right w:val="single" w:sz="8" w:space="0" w:color="auto"/>
            </w:tcBorders>
          </w:tcPr>
          <w:p w14:paraId="3B53449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22</w:t>
            </w:r>
          </w:p>
        </w:tc>
        <w:tc>
          <w:tcPr>
            <w:tcW w:w="850" w:type="dxa"/>
            <w:tcBorders>
              <w:top w:val="nil"/>
              <w:left w:val="nil"/>
              <w:bottom w:val="single" w:sz="8" w:space="0" w:color="auto"/>
              <w:right w:val="single" w:sz="8" w:space="0" w:color="auto"/>
            </w:tcBorders>
          </w:tcPr>
          <w:p w14:paraId="047B77C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8.9</w:t>
            </w:r>
          </w:p>
        </w:tc>
        <w:tc>
          <w:tcPr>
            <w:tcW w:w="992" w:type="dxa"/>
            <w:tcBorders>
              <w:top w:val="nil"/>
              <w:left w:val="nil"/>
              <w:bottom w:val="single" w:sz="8" w:space="0" w:color="auto"/>
              <w:right w:val="single" w:sz="8" w:space="0" w:color="auto"/>
            </w:tcBorders>
          </w:tcPr>
          <w:p w14:paraId="0FADD63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single" w:sz="8" w:space="0" w:color="auto"/>
              <w:right w:val="single" w:sz="8" w:space="0" w:color="auto"/>
            </w:tcBorders>
          </w:tcPr>
          <w:p w14:paraId="1B00EC0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tcBorders>
              <w:top w:val="nil"/>
              <w:left w:val="single" w:sz="8" w:space="0" w:color="auto"/>
              <w:bottom w:val="single" w:sz="8" w:space="0" w:color="000000"/>
              <w:right w:val="single" w:sz="8" w:space="0" w:color="auto"/>
            </w:tcBorders>
            <w:vAlign w:val="center"/>
          </w:tcPr>
          <w:p w14:paraId="0D6BAAC7"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76834CC9"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2625B993"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104D0E4D"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772A67E7"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30E0F125" w14:textId="77777777" w:rsidR="00632208" w:rsidRPr="0098635C" w:rsidRDefault="00632208" w:rsidP="00A432B0">
            <w:pPr>
              <w:spacing w:after="0"/>
              <w:rPr>
                <w:color w:val="000000" w:themeColor="text1"/>
                <w:sz w:val="20"/>
                <w:szCs w:val="20"/>
              </w:rPr>
            </w:pPr>
          </w:p>
        </w:tc>
      </w:tr>
      <w:tr w:rsidR="00632208" w:rsidRPr="0098635C" w14:paraId="20AD35D4" w14:textId="77777777" w:rsidTr="00A432B0">
        <w:trPr>
          <w:trHeight w:val="225"/>
        </w:trPr>
        <w:tc>
          <w:tcPr>
            <w:tcW w:w="1402" w:type="dxa"/>
            <w:vMerge w:val="restart"/>
            <w:tcBorders>
              <w:top w:val="nil"/>
              <w:left w:val="single" w:sz="8" w:space="0" w:color="auto"/>
              <w:bottom w:val="single" w:sz="8" w:space="0" w:color="000000"/>
              <w:right w:val="single" w:sz="8" w:space="0" w:color="auto"/>
            </w:tcBorders>
          </w:tcPr>
          <w:p w14:paraId="6B601C12"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nil"/>
              <w:left w:val="nil"/>
              <w:bottom w:val="nil"/>
              <w:right w:val="single" w:sz="8" w:space="0" w:color="auto"/>
            </w:tcBorders>
          </w:tcPr>
          <w:p w14:paraId="6121CA3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Sandy loam</w:t>
            </w:r>
          </w:p>
        </w:tc>
        <w:tc>
          <w:tcPr>
            <w:tcW w:w="709" w:type="dxa"/>
            <w:tcBorders>
              <w:top w:val="nil"/>
              <w:left w:val="nil"/>
              <w:bottom w:val="nil"/>
              <w:right w:val="single" w:sz="8" w:space="0" w:color="auto"/>
            </w:tcBorders>
          </w:tcPr>
          <w:p w14:paraId="6857543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7.3</w:t>
            </w:r>
          </w:p>
        </w:tc>
        <w:tc>
          <w:tcPr>
            <w:tcW w:w="708" w:type="dxa"/>
            <w:tcBorders>
              <w:top w:val="nil"/>
              <w:left w:val="nil"/>
              <w:bottom w:val="nil"/>
              <w:right w:val="single" w:sz="8" w:space="0" w:color="auto"/>
            </w:tcBorders>
          </w:tcPr>
          <w:p w14:paraId="79463FE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w:t>
            </w:r>
          </w:p>
        </w:tc>
        <w:tc>
          <w:tcPr>
            <w:tcW w:w="709" w:type="dxa"/>
            <w:tcBorders>
              <w:top w:val="nil"/>
              <w:left w:val="nil"/>
              <w:bottom w:val="nil"/>
              <w:right w:val="single" w:sz="8" w:space="0" w:color="auto"/>
            </w:tcBorders>
          </w:tcPr>
          <w:p w14:paraId="170D97A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38</w:t>
            </w:r>
          </w:p>
        </w:tc>
        <w:tc>
          <w:tcPr>
            <w:tcW w:w="851" w:type="dxa"/>
            <w:tcBorders>
              <w:top w:val="nil"/>
              <w:left w:val="nil"/>
              <w:bottom w:val="nil"/>
              <w:right w:val="single" w:sz="8" w:space="0" w:color="auto"/>
            </w:tcBorders>
          </w:tcPr>
          <w:p w14:paraId="7F7F66F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850" w:type="dxa"/>
            <w:tcBorders>
              <w:top w:val="nil"/>
              <w:left w:val="nil"/>
              <w:bottom w:val="nil"/>
              <w:right w:val="single" w:sz="8" w:space="0" w:color="auto"/>
            </w:tcBorders>
          </w:tcPr>
          <w:p w14:paraId="559ECDC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26.2</w:t>
            </w:r>
          </w:p>
        </w:tc>
        <w:tc>
          <w:tcPr>
            <w:tcW w:w="992" w:type="dxa"/>
            <w:tcBorders>
              <w:top w:val="nil"/>
              <w:left w:val="nil"/>
              <w:bottom w:val="nil"/>
              <w:right w:val="single" w:sz="8" w:space="0" w:color="auto"/>
            </w:tcBorders>
          </w:tcPr>
          <w:p w14:paraId="48492B6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nil"/>
              <w:right w:val="single" w:sz="8" w:space="0" w:color="auto"/>
            </w:tcBorders>
          </w:tcPr>
          <w:p w14:paraId="3A13D02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val="restart"/>
            <w:tcBorders>
              <w:top w:val="nil"/>
              <w:left w:val="single" w:sz="8" w:space="0" w:color="auto"/>
              <w:bottom w:val="single" w:sz="8" w:space="0" w:color="000000"/>
              <w:right w:val="single" w:sz="8" w:space="0" w:color="auto"/>
            </w:tcBorders>
          </w:tcPr>
          <w:p w14:paraId="25258D6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2CADD64C"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86.8</w:t>
            </w:r>
          </w:p>
        </w:tc>
        <w:tc>
          <w:tcPr>
            <w:tcW w:w="1134" w:type="dxa"/>
            <w:vMerge w:val="restart"/>
            <w:tcBorders>
              <w:top w:val="nil"/>
              <w:left w:val="single" w:sz="8" w:space="0" w:color="auto"/>
              <w:bottom w:val="single" w:sz="8" w:space="0" w:color="000000"/>
              <w:right w:val="single" w:sz="8" w:space="0" w:color="auto"/>
            </w:tcBorders>
          </w:tcPr>
          <w:p w14:paraId="2402F87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210241A0"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95</w:t>
            </w:r>
          </w:p>
        </w:tc>
        <w:tc>
          <w:tcPr>
            <w:tcW w:w="1134" w:type="dxa"/>
            <w:vMerge w:val="restart"/>
            <w:tcBorders>
              <w:top w:val="nil"/>
              <w:left w:val="single" w:sz="8" w:space="0" w:color="auto"/>
              <w:bottom w:val="single" w:sz="8" w:space="0" w:color="000000"/>
              <w:right w:val="single" w:sz="12" w:space="0" w:color="auto"/>
            </w:tcBorders>
          </w:tcPr>
          <w:p w14:paraId="6E9C558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7E8A74B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04DF3A74"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2FF6BE4A"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27EEE02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Kovlinge</w:t>
            </w:r>
          </w:p>
        </w:tc>
        <w:tc>
          <w:tcPr>
            <w:tcW w:w="709" w:type="dxa"/>
            <w:tcBorders>
              <w:top w:val="nil"/>
              <w:left w:val="nil"/>
              <w:bottom w:val="single" w:sz="8" w:space="0" w:color="auto"/>
              <w:right w:val="single" w:sz="8" w:space="0" w:color="auto"/>
            </w:tcBorders>
          </w:tcPr>
          <w:p w14:paraId="121AAFC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7.4</w:t>
            </w:r>
          </w:p>
        </w:tc>
        <w:tc>
          <w:tcPr>
            <w:tcW w:w="708" w:type="dxa"/>
            <w:tcBorders>
              <w:top w:val="nil"/>
              <w:left w:val="nil"/>
              <w:bottom w:val="single" w:sz="8" w:space="0" w:color="auto"/>
              <w:right w:val="single" w:sz="8" w:space="0" w:color="auto"/>
            </w:tcBorders>
          </w:tcPr>
          <w:p w14:paraId="24D7580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w:t>
            </w:r>
          </w:p>
        </w:tc>
        <w:tc>
          <w:tcPr>
            <w:tcW w:w="709" w:type="dxa"/>
            <w:tcBorders>
              <w:top w:val="nil"/>
              <w:left w:val="nil"/>
              <w:bottom w:val="single" w:sz="8" w:space="0" w:color="auto"/>
              <w:right w:val="single" w:sz="8" w:space="0" w:color="auto"/>
            </w:tcBorders>
          </w:tcPr>
          <w:p w14:paraId="7459482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27</w:t>
            </w:r>
          </w:p>
        </w:tc>
        <w:tc>
          <w:tcPr>
            <w:tcW w:w="851" w:type="dxa"/>
            <w:tcBorders>
              <w:top w:val="nil"/>
              <w:left w:val="nil"/>
              <w:bottom w:val="single" w:sz="8" w:space="0" w:color="auto"/>
              <w:right w:val="single" w:sz="8" w:space="0" w:color="auto"/>
            </w:tcBorders>
          </w:tcPr>
          <w:p w14:paraId="2032F0A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14</w:t>
            </w:r>
          </w:p>
        </w:tc>
        <w:tc>
          <w:tcPr>
            <w:tcW w:w="850" w:type="dxa"/>
            <w:tcBorders>
              <w:top w:val="nil"/>
              <w:left w:val="nil"/>
              <w:bottom w:val="single" w:sz="8" w:space="0" w:color="auto"/>
              <w:right w:val="single" w:sz="8" w:space="0" w:color="auto"/>
            </w:tcBorders>
          </w:tcPr>
          <w:p w14:paraId="5D478F9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992" w:type="dxa"/>
            <w:tcBorders>
              <w:top w:val="nil"/>
              <w:left w:val="nil"/>
              <w:bottom w:val="single" w:sz="8" w:space="0" w:color="auto"/>
              <w:right w:val="single" w:sz="8" w:space="0" w:color="auto"/>
            </w:tcBorders>
          </w:tcPr>
          <w:p w14:paraId="1D5C419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single" w:sz="8" w:space="0" w:color="auto"/>
              <w:right w:val="single" w:sz="8" w:space="0" w:color="auto"/>
            </w:tcBorders>
          </w:tcPr>
          <w:p w14:paraId="774C038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tcBorders>
              <w:top w:val="nil"/>
              <w:left w:val="single" w:sz="8" w:space="0" w:color="auto"/>
              <w:bottom w:val="single" w:sz="8" w:space="0" w:color="000000"/>
              <w:right w:val="single" w:sz="8" w:space="0" w:color="auto"/>
            </w:tcBorders>
            <w:vAlign w:val="center"/>
          </w:tcPr>
          <w:p w14:paraId="3A2F7608"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49CFE8A6"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481CF6AE"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1A304AE7"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49B643A7"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704E3F4C" w14:textId="77777777" w:rsidR="00632208" w:rsidRPr="0098635C" w:rsidRDefault="00632208" w:rsidP="00A432B0">
            <w:pPr>
              <w:spacing w:after="0"/>
              <w:rPr>
                <w:color w:val="000000" w:themeColor="text1"/>
                <w:sz w:val="20"/>
                <w:szCs w:val="20"/>
              </w:rPr>
            </w:pPr>
          </w:p>
        </w:tc>
      </w:tr>
      <w:tr w:rsidR="00632208" w:rsidRPr="0098635C" w14:paraId="2A35E7FE" w14:textId="77777777" w:rsidTr="00A432B0">
        <w:trPr>
          <w:trHeight w:val="450"/>
        </w:trPr>
        <w:tc>
          <w:tcPr>
            <w:tcW w:w="1402" w:type="dxa"/>
            <w:vMerge w:val="restart"/>
            <w:tcBorders>
              <w:top w:val="nil"/>
              <w:left w:val="single" w:sz="8" w:space="0" w:color="auto"/>
              <w:bottom w:val="single" w:sz="8" w:space="0" w:color="000000"/>
              <w:right w:val="single" w:sz="8" w:space="0" w:color="auto"/>
            </w:tcBorders>
          </w:tcPr>
          <w:p w14:paraId="02D220BA"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nil"/>
              <w:left w:val="nil"/>
              <w:bottom w:val="nil"/>
              <w:right w:val="single" w:sz="8" w:space="0" w:color="auto"/>
            </w:tcBorders>
          </w:tcPr>
          <w:p w14:paraId="523E35F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Loamy sand</w:t>
            </w:r>
          </w:p>
        </w:tc>
        <w:tc>
          <w:tcPr>
            <w:tcW w:w="709" w:type="dxa"/>
            <w:tcBorders>
              <w:top w:val="nil"/>
              <w:left w:val="nil"/>
              <w:bottom w:val="nil"/>
              <w:right w:val="single" w:sz="8" w:space="0" w:color="auto"/>
            </w:tcBorders>
          </w:tcPr>
          <w:p w14:paraId="37A93FF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7.4</w:t>
            </w:r>
          </w:p>
        </w:tc>
        <w:tc>
          <w:tcPr>
            <w:tcW w:w="708" w:type="dxa"/>
            <w:tcBorders>
              <w:top w:val="nil"/>
              <w:left w:val="nil"/>
              <w:bottom w:val="nil"/>
              <w:right w:val="single" w:sz="8" w:space="0" w:color="auto"/>
            </w:tcBorders>
          </w:tcPr>
          <w:p w14:paraId="7308B60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4.2</w:t>
            </w:r>
          </w:p>
        </w:tc>
        <w:tc>
          <w:tcPr>
            <w:tcW w:w="709" w:type="dxa"/>
            <w:tcBorders>
              <w:top w:val="nil"/>
              <w:left w:val="nil"/>
              <w:bottom w:val="nil"/>
              <w:right w:val="single" w:sz="8" w:space="0" w:color="auto"/>
            </w:tcBorders>
          </w:tcPr>
          <w:p w14:paraId="303C4B0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46</w:t>
            </w:r>
          </w:p>
        </w:tc>
        <w:tc>
          <w:tcPr>
            <w:tcW w:w="851" w:type="dxa"/>
            <w:tcBorders>
              <w:top w:val="nil"/>
              <w:left w:val="nil"/>
              <w:bottom w:val="nil"/>
              <w:right w:val="single" w:sz="8" w:space="0" w:color="auto"/>
            </w:tcBorders>
          </w:tcPr>
          <w:p w14:paraId="14179B7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34</w:t>
            </w:r>
          </w:p>
        </w:tc>
        <w:tc>
          <w:tcPr>
            <w:tcW w:w="850" w:type="dxa"/>
            <w:tcBorders>
              <w:top w:val="nil"/>
              <w:left w:val="nil"/>
              <w:bottom w:val="nil"/>
              <w:right w:val="single" w:sz="8" w:space="0" w:color="auto"/>
            </w:tcBorders>
          </w:tcPr>
          <w:p w14:paraId="68B4267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36.3</w:t>
            </w:r>
          </w:p>
        </w:tc>
        <w:tc>
          <w:tcPr>
            <w:tcW w:w="992" w:type="dxa"/>
            <w:tcBorders>
              <w:top w:val="nil"/>
              <w:left w:val="nil"/>
              <w:bottom w:val="nil"/>
              <w:right w:val="single" w:sz="8" w:space="0" w:color="auto"/>
            </w:tcBorders>
          </w:tcPr>
          <w:p w14:paraId="6234248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nil"/>
              <w:right w:val="single" w:sz="8" w:space="0" w:color="auto"/>
            </w:tcBorders>
          </w:tcPr>
          <w:p w14:paraId="0569461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val="restart"/>
            <w:tcBorders>
              <w:top w:val="nil"/>
              <w:left w:val="single" w:sz="8" w:space="0" w:color="auto"/>
              <w:bottom w:val="single" w:sz="8" w:space="0" w:color="000000"/>
              <w:right w:val="single" w:sz="8" w:space="0" w:color="auto"/>
            </w:tcBorders>
          </w:tcPr>
          <w:p w14:paraId="32B21F3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76656D47"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54.9</w:t>
            </w:r>
          </w:p>
        </w:tc>
        <w:tc>
          <w:tcPr>
            <w:tcW w:w="1134" w:type="dxa"/>
            <w:vMerge w:val="restart"/>
            <w:tcBorders>
              <w:top w:val="nil"/>
              <w:left w:val="single" w:sz="8" w:space="0" w:color="auto"/>
              <w:bottom w:val="single" w:sz="8" w:space="0" w:color="000000"/>
              <w:right w:val="single" w:sz="8" w:space="0" w:color="auto"/>
            </w:tcBorders>
          </w:tcPr>
          <w:p w14:paraId="2C1E423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1FE00B55"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60</w:t>
            </w:r>
          </w:p>
        </w:tc>
        <w:tc>
          <w:tcPr>
            <w:tcW w:w="1134" w:type="dxa"/>
            <w:vMerge w:val="restart"/>
            <w:tcBorders>
              <w:top w:val="nil"/>
              <w:left w:val="single" w:sz="8" w:space="0" w:color="auto"/>
              <w:bottom w:val="single" w:sz="8" w:space="0" w:color="000000"/>
              <w:right w:val="single" w:sz="12" w:space="0" w:color="auto"/>
            </w:tcBorders>
          </w:tcPr>
          <w:p w14:paraId="711F884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61BCFCA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0F9223A1"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7111B3C4"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4F2A64C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Montpellier</w:t>
            </w:r>
          </w:p>
        </w:tc>
        <w:tc>
          <w:tcPr>
            <w:tcW w:w="709" w:type="dxa"/>
            <w:tcBorders>
              <w:top w:val="nil"/>
              <w:left w:val="nil"/>
              <w:bottom w:val="single" w:sz="8" w:space="0" w:color="auto"/>
              <w:right w:val="single" w:sz="8" w:space="0" w:color="auto"/>
            </w:tcBorders>
          </w:tcPr>
          <w:p w14:paraId="2868386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tc>
        <w:tc>
          <w:tcPr>
            <w:tcW w:w="708" w:type="dxa"/>
            <w:tcBorders>
              <w:top w:val="nil"/>
              <w:left w:val="nil"/>
              <w:bottom w:val="single" w:sz="8" w:space="0" w:color="auto"/>
              <w:right w:val="single" w:sz="8" w:space="0" w:color="auto"/>
            </w:tcBorders>
          </w:tcPr>
          <w:p w14:paraId="414782C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w:t>
            </w:r>
          </w:p>
        </w:tc>
        <w:tc>
          <w:tcPr>
            <w:tcW w:w="709" w:type="dxa"/>
            <w:tcBorders>
              <w:top w:val="nil"/>
              <w:left w:val="nil"/>
              <w:bottom w:val="single" w:sz="8" w:space="0" w:color="auto"/>
              <w:right w:val="single" w:sz="8" w:space="0" w:color="auto"/>
            </w:tcBorders>
          </w:tcPr>
          <w:p w14:paraId="6F72010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26</w:t>
            </w:r>
          </w:p>
        </w:tc>
        <w:tc>
          <w:tcPr>
            <w:tcW w:w="851" w:type="dxa"/>
            <w:tcBorders>
              <w:top w:val="nil"/>
              <w:left w:val="nil"/>
              <w:bottom w:val="single" w:sz="8" w:space="0" w:color="auto"/>
              <w:right w:val="single" w:sz="8" w:space="0" w:color="auto"/>
            </w:tcBorders>
          </w:tcPr>
          <w:p w14:paraId="039F8FB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18</w:t>
            </w:r>
          </w:p>
        </w:tc>
        <w:tc>
          <w:tcPr>
            <w:tcW w:w="850" w:type="dxa"/>
            <w:tcBorders>
              <w:top w:val="nil"/>
              <w:left w:val="nil"/>
              <w:bottom w:val="single" w:sz="8" w:space="0" w:color="auto"/>
              <w:right w:val="single" w:sz="8" w:space="0" w:color="auto"/>
            </w:tcBorders>
          </w:tcPr>
          <w:p w14:paraId="1B583AD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20.1</w:t>
            </w:r>
          </w:p>
        </w:tc>
        <w:tc>
          <w:tcPr>
            <w:tcW w:w="992" w:type="dxa"/>
            <w:tcBorders>
              <w:top w:val="nil"/>
              <w:left w:val="nil"/>
              <w:bottom w:val="single" w:sz="8" w:space="0" w:color="auto"/>
              <w:right w:val="single" w:sz="8" w:space="0" w:color="auto"/>
            </w:tcBorders>
          </w:tcPr>
          <w:p w14:paraId="22D707A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single" w:sz="8" w:space="0" w:color="auto"/>
              <w:right w:val="single" w:sz="8" w:space="0" w:color="auto"/>
            </w:tcBorders>
          </w:tcPr>
          <w:p w14:paraId="2E4D639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tcBorders>
              <w:top w:val="nil"/>
              <w:left w:val="single" w:sz="8" w:space="0" w:color="auto"/>
              <w:bottom w:val="single" w:sz="8" w:space="0" w:color="000000"/>
              <w:right w:val="single" w:sz="8" w:space="0" w:color="auto"/>
            </w:tcBorders>
            <w:vAlign w:val="center"/>
          </w:tcPr>
          <w:p w14:paraId="69F1799B"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6FD31788"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103AAFA6"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367134DE"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30060004"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713B6B59" w14:textId="77777777" w:rsidR="00632208" w:rsidRPr="0098635C" w:rsidRDefault="00632208" w:rsidP="00A432B0">
            <w:pPr>
              <w:spacing w:after="0"/>
              <w:rPr>
                <w:color w:val="000000" w:themeColor="text1"/>
                <w:sz w:val="20"/>
                <w:szCs w:val="20"/>
              </w:rPr>
            </w:pPr>
          </w:p>
        </w:tc>
      </w:tr>
      <w:tr w:rsidR="00632208" w:rsidRPr="0098635C" w14:paraId="77FB20AC" w14:textId="77777777" w:rsidTr="00A432B0">
        <w:trPr>
          <w:trHeight w:val="225"/>
        </w:trPr>
        <w:tc>
          <w:tcPr>
            <w:tcW w:w="1402" w:type="dxa"/>
            <w:vMerge w:val="restart"/>
            <w:tcBorders>
              <w:top w:val="nil"/>
              <w:left w:val="single" w:sz="8" w:space="0" w:color="auto"/>
              <w:bottom w:val="single" w:sz="8" w:space="0" w:color="000000"/>
              <w:right w:val="single" w:sz="8" w:space="0" w:color="auto"/>
            </w:tcBorders>
          </w:tcPr>
          <w:p w14:paraId="746D9959"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nil"/>
              <w:left w:val="nil"/>
              <w:bottom w:val="nil"/>
              <w:right w:val="single" w:sz="8" w:space="0" w:color="auto"/>
            </w:tcBorders>
          </w:tcPr>
          <w:p w14:paraId="2BA0DE9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Clay</w:t>
            </w:r>
          </w:p>
        </w:tc>
        <w:tc>
          <w:tcPr>
            <w:tcW w:w="709" w:type="dxa"/>
            <w:tcBorders>
              <w:top w:val="nil"/>
              <w:left w:val="nil"/>
              <w:bottom w:val="nil"/>
              <w:right w:val="single" w:sz="8" w:space="0" w:color="auto"/>
            </w:tcBorders>
          </w:tcPr>
          <w:p w14:paraId="55876EF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tc>
        <w:tc>
          <w:tcPr>
            <w:tcW w:w="708" w:type="dxa"/>
            <w:tcBorders>
              <w:top w:val="nil"/>
              <w:left w:val="nil"/>
              <w:bottom w:val="nil"/>
              <w:right w:val="single" w:sz="8" w:space="0" w:color="auto"/>
            </w:tcBorders>
          </w:tcPr>
          <w:p w14:paraId="47B8D11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2.4</w:t>
            </w:r>
          </w:p>
        </w:tc>
        <w:tc>
          <w:tcPr>
            <w:tcW w:w="709" w:type="dxa"/>
            <w:tcBorders>
              <w:top w:val="nil"/>
              <w:left w:val="nil"/>
              <w:bottom w:val="nil"/>
              <w:right w:val="single" w:sz="8" w:space="0" w:color="auto"/>
            </w:tcBorders>
          </w:tcPr>
          <w:p w14:paraId="183A7DF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50</w:t>
            </w:r>
          </w:p>
        </w:tc>
        <w:tc>
          <w:tcPr>
            <w:tcW w:w="851" w:type="dxa"/>
            <w:tcBorders>
              <w:top w:val="nil"/>
              <w:left w:val="nil"/>
              <w:bottom w:val="nil"/>
              <w:right w:val="single" w:sz="8" w:space="0" w:color="auto"/>
            </w:tcBorders>
          </w:tcPr>
          <w:p w14:paraId="16FFCE1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31</w:t>
            </w:r>
          </w:p>
        </w:tc>
        <w:tc>
          <w:tcPr>
            <w:tcW w:w="850" w:type="dxa"/>
            <w:tcBorders>
              <w:top w:val="nil"/>
              <w:left w:val="nil"/>
              <w:bottom w:val="nil"/>
              <w:right w:val="single" w:sz="8" w:space="0" w:color="auto"/>
            </w:tcBorders>
          </w:tcPr>
          <w:p w14:paraId="6E9316C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23.5</w:t>
            </w:r>
          </w:p>
        </w:tc>
        <w:tc>
          <w:tcPr>
            <w:tcW w:w="992" w:type="dxa"/>
            <w:tcBorders>
              <w:top w:val="nil"/>
              <w:left w:val="nil"/>
              <w:bottom w:val="nil"/>
              <w:right w:val="single" w:sz="8" w:space="0" w:color="auto"/>
            </w:tcBorders>
          </w:tcPr>
          <w:p w14:paraId="1BDD03B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nil"/>
              <w:right w:val="single" w:sz="8" w:space="0" w:color="auto"/>
            </w:tcBorders>
          </w:tcPr>
          <w:p w14:paraId="08E46B6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val="restart"/>
            <w:tcBorders>
              <w:top w:val="nil"/>
              <w:left w:val="single" w:sz="8" w:space="0" w:color="auto"/>
              <w:bottom w:val="single" w:sz="8" w:space="0" w:color="000000"/>
              <w:right w:val="single" w:sz="8" w:space="0" w:color="auto"/>
            </w:tcBorders>
          </w:tcPr>
          <w:p w14:paraId="3DF94C2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1FEB1FB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vMerge w:val="restart"/>
            <w:tcBorders>
              <w:top w:val="nil"/>
              <w:left w:val="single" w:sz="8" w:space="0" w:color="auto"/>
              <w:bottom w:val="single" w:sz="8" w:space="0" w:color="000000"/>
              <w:right w:val="single" w:sz="8" w:space="0" w:color="auto"/>
            </w:tcBorders>
          </w:tcPr>
          <w:p w14:paraId="1A2C045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&lt; 91.9</w:t>
            </w:r>
          </w:p>
        </w:tc>
        <w:tc>
          <w:tcPr>
            <w:tcW w:w="850" w:type="dxa"/>
            <w:vMerge w:val="restart"/>
            <w:tcBorders>
              <w:top w:val="single" w:sz="8" w:space="0" w:color="auto"/>
              <w:left w:val="single" w:sz="8" w:space="0" w:color="auto"/>
              <w:bottom w:val="single" w:sz="8" w:space="0" w:color="000000"/>
              <w:right w:val="single" w:sz="8" w:space="0" w:color="000000"/>
            </w:tcBorders>
          </w:tcPr>
          <w:p w14:paraId="25AEA60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134" w:type="dxa"/>
            <w:vMerge w:val="restart"/>
            <w:tcBorders>
              <w:top w:val="nil"/>
              <w:left w:val="single" w:sz="8" w:space="0" w:color="auto"/>
              <w:bottom w:val="single" w:sz="8" w:space="0" w:color="000000"/>
              <w:right w:val="single" w:sz="12" w:space="0" w:color="auto"/>
            </w:tcBorders>
          </w:tcPr>
          <w:p w14:paraId="3823B45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&lt; 113</w:t>
            </w:r>
          </w:p>
        </w:tc>
        <w:tc>
          <w:tcPr>
            <w:tcW w:w="1985" w:type="dxa"/>
            <w:tcBorders>
              <w:top w:val="single" w:sz="8" w:space="0" w:color="000000"/>
              <w:left w:val="single" w:sz="8" w:space="0" w:color="auto"/>
              <w:right w:val="single" w:sz="12" w:space="0" w:color="auto"/>
            </w:tcBorders>
          </w:tcPr>
          <w:p w14:paraId="4CC9E24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3BB873D1"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782166FC"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3478BF2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Aluminusa</w:t>
            </w:r>
          </w:p>
        </w:tc>
        <w:tc>
          <w:tcPr>
            <w:tcW w:w="709" w:type="dxa"/>
            <w:tcBorders>
              <w:top w:val="nil"/>
              <w:left w:val="nil"/>
              <w:bottom w:val="single" w:sz="8" w:space="0" w:color="auto"/>
              <w:right w:val="single" w:sz="8" w:space="0" w:color="auto"/>
            </w:tcBorders>
          </w:tcPr>
          <w:p w14:paraId="174AA49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5.4</w:t>
            </w:r>
          </w:p>
        </w:tc>
        <w:tc>
          <w:tcPr>
            <w:tcW w:w="708" w:type="dxa"/>
            <w:tcBorders>
              <w:top w:val="nil"/>
              <w:left w:val="nil"/>
              <w:bottom w:val="single" w:sz="8" w:space="0" w:color="auto"/>
              <w:right w:val="single" w:sz="8" w:space="0" w:color="auto"/>
            </w:tcBorders>
          </w:tcPr>
          <w:p w14:paraId="2598479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3.3</w:t>
            </w:r>
          </w:p>
        </w:tc>
        <w:tc>
          <w:tcPr>
            <w:tcW w:w="709" w:type="dxa"/>
            <w:tcBorders>
              <w:top w:val="nil"/>
              <w:left w:val="nil"/>
              <w:bottom w:val="single" w:sz="8" w:space="0" w:color="auto"/>
              <w:right w:val="single" w:sz="8" w:space="0" w:color="auto"/>
            </w:tcBorders>
          </w:tcPr>
          <w:p w14:paraId="5E000BF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w:t>
            </w:r>
          </w:p>
        </w:tc>
        <w:tc>
          <w:tcPr>
            <w:tcW w:w="851" w:type="dxa"/>
            <w:tcBorders>
              <w:top w:val="nil"/>
              <w:left w:val="nil"/>
              <w:bottom w:val="single" w:sz="8" w:space="0" w:color="auto"/>
              <w:right w:val="single" w:sz="8" w:space="0" w:color="auto"/>
            </w:tcBorders>
          </w:tcPr>
          <w:p w14:paraId="42D7792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850" w:type="dxa"/>
            <w:tcBorders>
              <w:top w:val="nil"/>
              <w:left w:val="nil"/>
              <w:bottom w:val="single" w:sz="8" w:space="0" w:color="auto"/>
              <w:right w:val="single" w:sz="8" w:space="0" w:color="auto"/>
            </w:tcBorders>
          </w:tcPr>
          <w:p w14:paraId="5F4F2A5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6.7</w:t>
            </w:r>
          </w:p>
        </w:tc>
        <w:tc>
          <w:tcPr>
            <w:tcW w:w="992" w:type="dxa"/>
            <w:tcBorders>
              <w:top w:val="nil"/>
              <w:left w:val="nil"/>
              <w:bottom w:val="single" w:sz="8" w:space="0" w:color="auto"/>
              <w:right w:val="single" w:sz="8" w:space="0" w:color="auto"/>
            </w:tcBorders>
          </w:tcPr>
          <w:p w14:paraId="7B17A09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single" w:sz="8" w:space="0" w:color="auto"/>
              <w:right w:val="single" w:sz="8" w:space="0" w:color="auto"/>
            </w:tcBorders>
          </w:tcPr>
          <w:p w14:paraId="5478DD6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tcBorders>
              <w:top w:val="nil"/>
              <w:left w:val="single" w:sz="8" w:space="0" w:color="auto"/>
              <w:bottom w:val="single" w:sz="8" w:space="0" w:color="000000"/>
              <w:right w:val="single" w:sz="8" w:space="0" w:color="auto"/>
            </w:tcBorders>
            <w:vAlign w:val="center"/>
          </w:tcPr>
          <w:p w14:paraId="3BD1BD50"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78586F30" w14:textId="77777777" w:rsidR="00632208" w:rsidRPr="0098635C" w:rsidRDefault="00632208" w:rsidP="00A432B0">
            <w:pPr>
              <w:spacing w:after="0"/>
              <w:rPr>
                <w:color w:val="000000" w:themeColor="text1"/>
                <w:sz w:val="20"/>
                <w:szCs w:val="20"/>
              </w:rPr>
            </w:pPr>
          </w:p>
        </w:tc>
        <w:tc>
          <w:tcPr>
            <w:tcW w:w="1134" w:type="dxa"/>
            <w:vMerge/>
            <w:tcBorders>
              <w:top w:val="nil"/>
              <w:left w:val="single" w:sz="8" w:space="0" w:color="auto"/>
              <w:bottom w:val="single" w:sz="8" w:space="0" w:color="000000"/>
              <w:right w:val="single" w:sz="8" w:space="0" w:color="auto"/>
            </w:tcBorders>
            <w:vAlign w:val="center"/>
          </w:tcPr>
          <w:p w14:paraId="73AE8F6D"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0AC146B5" w14:textId="77777777" w:rsidR="00632208" w:rsidRPr="0098635C" w:rsidRDefault="00632208" w:rsidP="00A432B0">
            <w:pPr>
              <w:spacing w:after="0"/>
              <w:rPr>
                <w:color w:val="000000" w:themeColor="text1"/>
                <w:sz w:val="20"/>
                <w:szCs w:val="20"/>
              </w:rPr>
            </w:pPr>
          </w:p>
        </w:tc>
        <w:tc>
          <w:tcPr>
            <w:tcW w:w="1134" w:type="dxa"/>
            <w:vMerge/>
            <w:tcBorders>
              <w:top w:val="nil"/>
              <w:left w:val="single" w:sz="8" w:space="0" w:color="auto"/>
              <w:bottom w:val="single" w:sz="8" w:space="0" w:color="000000"/>
              <w:right w:val="single" w:sz="12" w:space="0" w:color="auto"/>
            </w:tcBorders>
            <w:vAlign w:val="center"/>
          </w:tcPr>
          <w:p w14:paraId="33C235D7"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3C9859C3" w14:textId="77777777" w:rsidR="00632208" w:rsidRPr="0098635C" w:rsidRDefault="00632208" w:rsidP="00A432B0">
            <w:pPr>
              <w:spacing w:after="0"/>
              <w:rPr>
                <w:color w:val="000000" w:themeColor="text1"/>
                <w:sz w:val="20"/>
                <w:szCs w:val="20"/>
              </w:rPr>
            </w:pPr>
          </w:p>
        </w:tc>
      </w:tr>
      <w:tr w:rsidR="00632208" w:rsidRPr="0098635C" w14:paraId="3691672C" w14:textId="77777777" w:rsidTr="00A432B0">
        <w:trPr>
          <w:trHeight w:val="450"/>
        </w:trPr>
        <w:tc>
          <w:tcPr>
            <w:tcW w:w="1402" w:type="dxa"/>
            <w:vMerge w:val="restart"/>
            <w:tcBorders>
              <w:top w:val="nil"/>
              <w:left w:val="single" w:sz="8" w:space="0" w:color="auto"/>
              <w:bottom w:val="single" w:sz="8" w:space="0" w:color="000000"/>
              <w:right w:val="single" w:sz="8" w:space="0" w:color="auto"/>
            </w:tcBorders>
          </w:tcPr>
          <w:p w14:paraId="2E3FFAEF"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nil"/>
              <w:left w:val="nil"/>
              <w:bottom w:val="nil"/>
              <w:right w:val="single" w:sz="8" w:space="0" w:color="auto"/>
            </w:tcBorders>
          </w:tcPr>
          <w:p w14:paraId="678A6CC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Sandy clay loam</w:t>
            </w:r>
          </w:p>
        </w:tc>
        <w:tc>
          <w:tcPr>
            <w:tcW w:w="709" w:type="dxa"/>
            <w:tcBorders>
              <w:top w:val="nil"/>
              <w:left w:val="nil"/>
              <w:bottom w:val="nil"/>
              <w:right w:val="single" w:sz="8" w:space="0" w:color="auto"/>
            </w:tcBorders>
          </w:tcPr>
          <w:p w14:paraId="447BF2D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w:t>
            </w:r>
          </w:p>
        </w:tc>
        <w:tc>
          <w:tcPr>
            <w:tcW w:w="708" w:type="dxa"/>
            <w:tcBorders>
              <w:top w:val="nil"/>
              <w:left w:val="nil"/>
              <w:bottom w:val="nil"/>
              <w:right w:val="single" w:sz="8" w:space="0" w:color="auto"/>
            </w:tcBorders>
          </w:tcPr>
          <w:p w14:paraId="62203F8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nil"/>
              <w:left w:val="nil"/>
              <w:bottom w:val="nil"/>
              <w:right w:val="single" w:sz="8" w:space="0" w:color="auto"/>
            </w:tcBorders>
          </w:tcPr>
          <w:p w14:paraId="0A320FF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nil"/>
              <w:right w:val="single" w:sz="8" w:space="0" w:color="auto"/>
            </w:tcBorders>
          </w:tcPr>
          <w:p w14:paraId="3D9A214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5.7</w:t>
            </w:r>
          </w:p>
        </w:tc>
        <w:tc>
          <w:tcPr>
            <w:tcW w:w="850" w:type="dxa"/>
            <w:tcBorders>
              <w:top w:val="nil"/>
              <w:left w:val="nil"/>
              <w:bottom w:val="nil"/>
              <w:right w:val="single" w:sz="8" w:space="0" w:color="auto"/>
            </w:tcBorders>
          </w:tcPr>
          <w:p w14:paraId="5CFACE3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7.88</w:t>
            </w:r>
          </w:p>
        </w:tc>
        <w:tc>
          <w:tcPr>
            <w:tcW w:w="992" w:type="dxa"/>
            <w:tcBorders>
              <w:top w:val="nil"/>
              <w:left w:val="nil"/>
              <w:bottom w:val="nil"/>
              <w:right w:val="single" w:sz="8" w:space="0" w:color="auto"/>
            </w:tcBorders>
          </w:tcPr>
          <w:p w14:paraId="1CC6341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nil"/>
              <w:right w:val="single" w:sz="8" w:space="0" w:color="auto"/>
            </w:tcBorders>
          </w:tcPr>
          <w:p w14:paraId="7AC9A9A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val="restart"/>
            <w:tcBorders>
              <w:top w:val="nil"/>
              <w:left w:val="single" w:sz="8" w:space="0" w:color="auto"/>
              <w:bottom w:val="single" w:sz="8" w:space="0" w:color="000000"/>
              <w:right w:val="single" w:sz="8" w:space="0" w:color="auto"/>
            </w:tcBorders>
          </w:tcPr>
          <w:p w14:paraId="257E4E3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798ACEF8"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177</w:t>
            </w:r>
          </w:p>
        </w:tc>
        <w:tc>
          <w:tcPr>
            <w:tcW w:w="1134" w:type="dxa"/>
            <w:vMerge w:val="restart"/>
            <w:tcBorders>
              <w:top w:val="nil"/>
              <w:left w:val="single" w:sz="8" w:space="0" w:color="auto"/>
              <w:bottom w:val="single" w:sz="8" w:space="0" w:color="000000"/>
              <w:right w:val="single" w:sz="8" w:space="0" w:color="auto"/>
            </w:tcBorders>
          </w:tcPr>
          <w:p w14:paraId="5D32F52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06F2E8B4"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199</w:t>
            </w:r>
          </w:p>
        </w:tc>
        <w:tc>
          <w:tcPr>
            <w:tcW w:w="1134" w:type="dxa"/>
            <w:vMerge w:val="restart"/>
            <w:tcBorders>
              <w:top w:val="nil"/>
              <w:left w:val="single" w:sz="8" w:space="0" w:color="auto"/>
              <w:bottom w:val="single" w:sz="8" w:space="0" w:color="000000"/>
              <w:right w:val="single" w:sz="12" w:space="0" w:color="auto"/>
            </w:tcBorders>
          </w:tcPr>
          <w:p w14:paraId="2FD6029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402DC2A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1E550702"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032FC90C"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5B407E7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Woburn</w:t>
            </w:r>
          </w:p>
        </w:tc>
        <w:tc>
          <w:tcPr>
            <w:tcW w:w="709" w:type="dxa"/>
            <w:tcBorders>
              <w:top w:val="nil"/>
              <w:left w:val="nil"/>
              <w:bottom w:val="single" w:sz="8" w:space="0" w:color="auto"/>
              <w:right w:val="single" w:sz="8" w:space="0" w:color="auto"/>
            </w:tcBorders>
          </w:tcPr>
          <w:p w14:paraId="5440826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6.45</w:t>
            </w:r>
          </w:p>
        </w:tc>
        <w:tc>
          <w:tcPr>
            <w:tcW w:w="708" w:type="dxa"/>
            <w:tcBorders>
              <w:top w:val="nil"/>
              <w:left w:val="nil"/>
              <w:bottom w:val="single" w:sz="8" w:space="0" w:color="auto"/>
              <w:right w:val="single" w:sz="8" w:space="0" w:color="auto"/>
            </w:tcBorders>
          </w:tcPr>
          <w:p w14:paraId="49D7C53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nil"/>
              <w:left w:val="nil"/>
              <w:bottom w:val="single" w:sz="8" w:space="0" w:color="auto"/>
              <w:right w:val="single" w:sz="8" w:space="0" w:color="auto"/>
            </w:tcBorders>
          </w:tcPr>
          <w:p w14:paraId="75B4DAD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363C557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w:t>
            </w:r>
          </w:p>
        </w:tc>
        <w:tc>
          <w:tcPr>
            <w:tcW w:w="850" w:type="dxa"/>
            <w:tcBorders>
              <w:top w:val="nil"/>
              <w:left w:val="nil"/>
              <w:bottom w:val="single" w:sz="8" w:space="0" w:color="auto"/>
              <w:right w:val="single" w:sz="8" w:space="0" w:color="auto"/>
            </w:tcBorders>
          </w:tcPr>
          <w:p w14:paraId="43A80E6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16.74</w:t>
            </w:r>
          </w:p>
        </w:tc>
        <w:tc>
          <w:tcPr>
            <w:tcW w:w="992" w:type="dxa"/>
            <w:tcBorders>
              <w:top w:val="nil"/>
              <w:left w:val="nil"/>
              <w:bottom w:val="single" w:sz="8" w:space="0" w:color="auto"/>
              <w:right w:val="single" w:sz="8" w:space="0" w:color="auto"/>
            </w:tcBorders>
          </w:tcPr>
          <w:p w14:paraId="213D3A2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single" w:sz="8" w:space="0" w:color="auto"/>
              <w:right w:val="single" w:sz="8" w:space="0" w:color="auto"/>
            </w:tcBorders>
          </w:tcPr>
          <w:p w14:paraId="44ED58A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tcBorders>
              <w:top w:val="nil"/>
              <w:left w:val="single" w:sz="8" w:space="0" w:color="auto"/>
              <w:bottom w:val="single" w:sz="8" w:space="0" w:color="000000"/>
              <w:right w:val="single" w:sz="8" w:space="0" w:color="auto"/>
            </w:tcBorders>
            <w:vAlign w:val="center"/>
          </w:tcPr>
          <w:p w14:paraId="606F51D0"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29A29386"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5D0231ED"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38423E6B"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6061693C"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140EFEE3" w14:textId="77777777" w:rsidR="00632208" w:rsidRPr="0098635C" w:rsidRDefault="00632208" w:rsidP="00A432B0">
            <w:pPr>
              <w:spacing w:after="0"/>
              <w:rPr>
                <w:color w:val="000000" w:themeColor="text1"/>
                <w:sz w:val="20"/>
                <w:szCs w:val="20"/>
              </w:rPr>
            </w:pPr>
          </w:p>
        </w:tc>
      </w:tr>
      <w:tr w:rsidR="00632208" w:rsidRPr="0098635C" w14:paraId="70335FAE" w14:textId="77777777" w:rsidTr="00A432B0">
        <w:trPr>
          <w:trHeight w:val="225"/>
        </w:trPr>
        <w:tc>
          <w:tcPr>
            <w:tcW w:w="1402" w:type="dxa"/>
            <w:vMerge w:val="restart"/>
            <w:tcBorders>
              <w:top w:val="nil"/>
              <w:left w:val="single" w:sz="8" w:space="0" w:color="auto"/>
              <w:bottom w:val="single" w:sz="8" w:space="0" w:color="000000"/>
              <w:right w:val="single" w:sz="8" w:space="0" w:color="auto"/>
            </w:tcBorders>
          </w:tcPr>
          <w:p w14:paraId="3EFAA893"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nil"/>
              <w:left w:val="nil"/>
              <w:bottom w:val="nil"/>
              <w:right w:val="single" w:sz="8" w:space="0" w:color="auto"/>
            </w:tcBorders>
          </w:tcPr>
          <w:p w14:paraId="3121E8D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Silt loam</w:t>
            </w:r>
          </w:p>
        </w:tc>
        <w:tc>
          <w:tcPr>
            <w:tcW w:w="709" w:type="dxa"/>
            <w:tcBorders>
              <w:top w:val="nil"/>
              <w:left w:val="nil"/>
              <w:bottom w:val="nil"/>
              <w:right w:val="single" w:sz="8" w:space="0" w:color="auto"/>
            </w:tcBorders>
          </w:tcPr>
          <w:p w14:paraId="7CEF61D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w:t>
            </w:r>
          </w:p>
        </w:tc>
        <w:tc>
          <w:tcPr>
            <w:tcW w:w="708" w:type="dxa"/>
            <w:tcBorders>
              <w:top w:val="nil"/>
              <w:left w:val="nil"/>
              <w:bottom w:val="nil"/>
              <w:right w:val="single" w:sz="8" w:space="0" w:color="auto"/>
            </w:tcBorders>
          </w:tcPr>
          <w:p w14:paraId="0689631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nil"/>
              <w:left w:val="nil"/>
              <w:bottom w:val="nil"/>
              <w:right w:val="single" w:sz="8" w:space="0" w:color="auto"/>
            </w:tcBorders>
          </w:tcPr>
          <w:p w14:paraId="5FABA8C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nil"/>
              <w:right w:val="single" w:sz="8" w:space="0" w:color="auto"/>
            </w:tcBorders>
          </w:tcPr>
          <w:p w14:paraId="5777777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5.7</w:t>
            </w:r>
          </w:p>
        </w:tc>
        <w:tc>
          <w:tcPr>
            <w:tcW w:w="850" w:type="dxa"/>
            <w:tcBorders>
              <w:top w:val="nil"/>
              <w:left w:val="nil"/>
              <w:bottom w:val="nil"/>
              <w:right w:val="single" w:sz="8" w:space="0" w:color="auto"/>
            </w:tcBorders>
          </w:tcPr>
          <w:p w14:paraId="1D2F1CE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7.88</w:t>
            </w:r>
          </w:p>
        </w:tc>
        <w:tc>
          <w:tcPr>
            <w:tcW w:w="992" w:type="dxa"/>
            <w:tcBorders>
              <w:top w:val="nil"/>
              <w:left w:val="nil"/>
              <w:bottom w:val="nil"/>
              <w:right w:val="single" w:sz="8" w:space="0" w:color="auto"/>
            </w:tcBorders>
          </w:tcPr>
          <w:p w14:paraId="33736E8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nil"/>
              <w:right w:val="single" w:sz="8" w:space="0" w:color="auto"/>
            </w:tcBorders>
          </w:tcPr>
          <w:p w14:paraId="6E6410E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val="restart"/>
            <w:tcBorders>
              <w:top w:val="nil"/>
              <w:left w:val="single" w:sz="8" w:space="0" w:color="auto"/>
              <w:bottom w:val="single" w:sz="8" w:space="0" w:color="000000"/>
              <w:right w:val="single" w:sz="8" w:space="0" w:color="auto"/>
            </w:tcBorders>
          </w:tcPr>
          <w:p w14:paraId="0FE8476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ED10</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5D0909B8"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91.8</w:t>
            </w:r>
          </w:p>
        </w:tc>
        <w:tc>
          <w:tcPr>
            <w:tcW w:w="1134" w:type="dxa"/>
            <w:vMerge w:val="restart"/>
            <w:tcBorders>
              <w:top w:val="nil"/>
              <w:left w:val="single" w:sz="8" w:space="0" w:color="auto"/>
              <w:bottom w:val="single" w:sz="8" w:space="0" w:color="000000"/>
              <w:right w:val="single" w:sz="8" w:space="0" w:color="auto"/>
            </w:tcBorders>
          </w:tcPr>
          <w:p w14:paraId="3EC6D1F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6C724081"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114</w:t>
            </w:r>
          </w:p>
        </w:tc>
        <w:tc>
          <w:tcPr>
            <w:tcW w:w="1134" w:type="dxa"/>
            <w:vMerge w:val="restart"/>
            <w:tcBorders>
              <w:top w:val="nil"/>
              <w:left w:val="single" w:sz="8" w:space="0" w:color="auto"/>
              <w:bottom w:val="single" w:sz="8" w:space="0" w:color="000000"/>
              <w:right w:val="single" w:sz="12" w:space="0" w:color="auto"/>
            </w:tcBorders>
          </w:tcPr>
          <w:p w14:paraId="7621892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7F97736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39B6C75D"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7DEA7CA2"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27BC5EB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Ter Munck</w:t>
            </w:r>
          </w:p>
        </w:tc>
        <w:tc>
          <w:tcPr>
            <w:tcW w:w="709" w:type="dxa"/>
            <w:tcBorders>
              <w:top w:val="nil"/>
              <w:left w:val="nil"/>
              <w:bottom w:val="single" w:sz="8" w:space="0" w:color="auto"/>
              <w:right w:val="single" w:sz="8" w:space="0" w:color="auto"/>
            </w:tcBorders>
          </w:tcPr>
          <w:p w14:paraId="008B7DA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8" w:type="dxa"/>
            <w:tcBorders>
              <w:top w:val="nil"/>
              <w:left w:val="nil"/>
              <w:bottom w:val="single" w:sz="8" w:space="0" w:color="auto"/>
              <w:right w:val="single" w:sz="8" w:space="0" w:color="auto"/>
            </w:tcBorders>
          </w:tcPr>
          <w:p w14:paraId="02607FA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nil"/>
              <w:left w:val="nil"/>
              <w:bottom w:val="single" w:sz="8" w:space="0" w:color="auto"/>
              <w:right w:val="single" w:sz="8" w:space="0" w:color="auto"/>
            </w:tcBorders>
          </w:tcPr>
          <w:p w14:paraId="4B0F146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1C8E586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nil"/>
              <w:left w:val="nil"/>
              <w:bottom w:val="single" w:sz="8" w:space="0" w:color="auto"/>
              <w:right w:val="single" w:sz="8" w:space="0" w:color="auto"/>
            </w:tcBorders>
          </w:tcPr>
          <w:p w14:paraId="1BE1E2E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tcBorders>
              <w:top w:val="nil"/>
              <w:left w:val="nil"/>
              <w:bottom w:val="single" w:sz="8" w:space="0" w:color="auto"/>
              <w:right w:val="single" w:sz="8" w:space="0" w:color="auto"/>
            </w:tcBorders>
          </w:tcPr>
          <w:p w14:paraId="43CB557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8" w:space="0" w:color="auto"/>
              <w:right w:val="single" w:sz="8" w:space="0" w:color="auto"/>
            </w:tcBorders>
          </w:tcPr>
          <w:p w14:paraId="6A9ABF5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992" w:type="dxa"/>
            <w:vMerge/>
            <w:tcBorders>
              <w:top w:val="nil"/>
              <w:left w:val="single" w:sz="8" w:space="0" w:color="auto"/>
              <w:bottom w:val="single" w:sz="8" w:space="0" w:color="000000"/>
              <w:right w:val="single" w:sz="8" w:space="0" w:color="auto"/>
            </w:tcBorders>
            <w:vAlign w:val="center"/>
          </w:tcPr>
          <w:p w14:paraId="4DABA29B"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4C89F604"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63AFCBE5"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6A2E053A"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028B77A3"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3B795B77" w14:textId="77777777" w:rsidR="00632208" w:rsidRPr="0098635C" w:rsidRDefault="00632208" w:rsidP="00A432B0">
            <w:pPr>
              <w:spacing w:after="0"/>
              <w:rPr>
                <w:color w:val="000000" w:themeColor="text1"/>
                <w:sz w:val="20"/>
                <w:szCs w:val="20"/>
              </w:rPr>
            </w:pPr>
          </w:p>
        </w:tc>
      </w:tr>
      <w:tr w:rsidR="00632208" w:rsidRPr="0098635C" w14:paraId="416D28C7" w14:textId="77777777" w:rsidTr="00A432B0">
        <w:trPr>
          <w:trHeight w:val="450"/>
        </w:trPr>
        <w:tc>
          <w:tcPr>
            <w:tcW w:w="1402" w:type="dxa"/>
            <w:vMerge w:val="restart"/>
            <w:tcBorders>
              <w:top w:val="nil"/>
              <w:left w:val="single" w:sz="8" w:space="0" w:color="auto"/>
              <w:bottom w:val="single" w:sz="8" w:space="0" w:color="000000"/>
              <w:right w:val="single" w:sz="8" w:space="0" w:color="auto"/>
            </w:tcBorders>
          </w:tcPr>
          <w:p w14:paraId="340B112E"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nil"/>
              <w:left w:val="nil"/>
              <w:bottom w:val="nil"/>
              <w:right w:val="single" w:sz="8" w:space="0" w:color="auto"/>
            </w:tcBorders>
          </w:tcPr>
          <w:p w14:paraId="279ED5B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Silty clay loam</w:t>
            </w:r>
          </w:p>
        </w:tc>
        <w:tc>
          <w:tcPr>
            <w:tcW w:w="709" w:type="dxa"/>
            <w:vMerge w:val="restart"/>
            <w:tcBorders>
              <w:top w:val="nil"/>
              <w:left w:val="single" w:sz="8" w:space="0" w:color="auto"/>
              <w:bottom w:val="single" w:sz="8" w:space="0" w:color="000000"/>
              <w:right w:val="single" w:sz="8" w:space="0" w:color="auto"/>
            </w:tcBorders>
          </w:tcPr>
          <w:p w14:paraId="137AD78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7.3</w:t>
            </w:r>
          </w:p>
        </w:tc>
        <w:tc>
          <w:tcPr>
            <w:tcW w:w="708" w:type="dxa"/>
            <w:vMerge w:val="restart"/>
            <w:tcBorders>
              <w:top w:val="nil"/>
              <w:left w:val="single" w:sz="8" w:space="0" w:color="auto"/>
              <w:bottom w:val="single" w:sz="8" w:space="0" w:color="000000"/>
              <w:right w:val="single" w:sz="8" w:space="0" w:color="auto"/>
            </w:tcBorders>
          </w:tcPr>
          <w:p w14:paraId="6AAB396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w:t>
            </w:r>
          </w:p>
        </w:tc>
        <w:tc>
          <w:tcPr>
            <w:tcW w:w="709" w:type="dxa"/>
            <w:vMerge w:val="restart"/>
            <w:tcBorders>
              <w:top w:val="nil"/>
              <w:left w:val="single" w:sz="8" w:space="0" w:color="auto"/>
              <w:bottom w:val="single" w:sz="8" w:space="0" w:color="000000"/>
              <w:right w:val="single" w:sz="8" w:space="0" w:color="auto"/>
            </w:tcBorders>
          </w:tcPr>
          <w:p w14:paraId="45C5D25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38</w:t>
            </w:r>
          </w:p>
        </w:tc>
        <w:tc>
          <w:tcPr>
            <w:tcW w:w="851" w:type="dxa"/>
            <w:vMerge w:val="restart"/>
            <w:tcBorders>
              <w:top w:val="nil"/>
              <w:left w:val="single" w:sz="8" w:space="0" w:color="auto"/>
              <w:bottom w:val="single" w:sz="8" w:space="0" w:color="000000"/>
              <w:right w:val="single" w:sz="8" w:space="0" w:color="auto"/>
            </w:tcBorders>
          </w:tcPr>
          <w:p w14:paraId="5123876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850" w:type="dxa"/>
            <w:vMerge w:val="restart"/>
            <w:tcBorders>
              <w:top w:val="nil"/>
              <w:left w:val="single" w:sz="8" w:space="0" w:color="auto"/>
              <w:bottom w:val="single" w:sz="8" w:space="0" w:color="000000"/>
              <w:right w:val="single" w:sz="8" w:space="0" w:color="auto"/>
            </w:tcBorders>
          </w:tcPr>
          <w:p w14:paraId="5B0F84C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26.2</w:t>
            </w:r>
          </w:p>
        </w:tc>
        <w:tc>
          <w:tcPr>
            <w:tcW w:w="992" w:type="dxa"/>
            <w:vMerge w:val="restart"/>
            <w:tcBorders>
              <w:top w:val="nil"/>
              <w:left w:val="single" w:sz="8" w:space="0" w:color="auto"/>
              <w:bottom w:val="single" w:sz="8" w:space="0" w:color="000000"/>
              <w:right w:val="single" w:sz="8" w:space="0" w:color="auto"/>
            </w:tcBorders>
          </w:tcPr>
          <w:p w14:paraId="7D652C1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vMerge w:val="restart"/>
            <w:tcBorders>
              <w:top w:val="nil"/>
              <w:left w:val="single" w:sz="8" w:space="0" w:color="auto"/>
              <w:bottom w:val="single" w:sz="8" w:space="0" w:color="000000"/>
              <w:right w:val="single" w:sz="8" w:space="0" w:color="auto"/>
            </w:tcBorders>
          </w:tcPr>
          <w:p w14:paraId="2D58725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val="restart"/>
            <w:tcBorders>
              <w:top w:val="nil"/>
              <w:left w:val="single" w:sz="8" w:space="0" w:color="auto"/>
              <w:bottom w:val="single" w:sz="8" w:space="0" w:color="000000"/>
              <w:right w:val="single" w:sz="8" w:space="0" w:color="auto"/>
            </w:tcBorders>
          </w:tcPr>
          <w:p w14:paraId="3527A90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4D8B820D"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303</w:t>
            </w:r>
          </w:p>
        </w:tc>
        <w:tc>
          <w:tcPr>
            <w:tcW w:w="1134" w:type="dxa"/>
            <w:vMerge w:val="restart"/>
            <w:tcBorders>
              <w:top w:val="nil"/>
              <w:left w:val="single" w:sz="8" w:space="0" w:color="auto"/>
              <w:bottom w:val="single" w:sz="8" w:space="0" w:color="000000"/>
              <w:right w:val="single" w:sz="8" w:space="0" w:color="auto"/>
            </w:tcBorders>
          </w:tcPr>
          <w:p w14:paraId="7C08FBC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7FAFA69B"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324</w:t>
            </w:r>
          </w:p>
        </w:tc>
        <w:tc>
          <w:tcPr>
            <w:tcW w:w="1134" w:type="dxa"/>
            <w:vMerge w:val="restart"/>
            <w:tcBorders>
              <w:top w:val="nil"/>
              <w:left w:val="single" w:sz="8" w:space="0" w:color="auto"/>
              <w:bottom w:val="single" w:sz="8" w:space="0" w:color="000000"/>
              <w:right w:val="single" w:sz="12" w:space="0" w:color="auto"/>
            </w:tcBorders>
          </w:tcPr>
          <w:p w14:paraId="109773D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1D437F0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7DB4F1EB" w14:textId="77777777" w:rsidTr="00A432B0">
        <w:trPr>
          <w:trHeight w:val="463"/>
        </w:trPr>
        <w:tc>
          <w:tcPr>
            <w:tcW w:w="1402" w:type="dxa"/>
            <w:vMerge/>
            <w:tcBorders>
              <w:top w:val="nil"/>
              <w:left w:val="single" w:sz="8" w:space="0" w:color="auto"/>
              <w:bottom w:val="single" w:sz="8" w:space="0" w:color="000000"/>
              <w:right w:val="single" w:sz="8" w:space="0" w:color="auto"/>
            </w:tcBorders>
            <w:vAlign w:val="center"/>
          </w:tcPr>
          <w:p w14:paraId="13C23017"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1BBB950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Vault de lugny</w:t>
            </w:r>
          </w:p>
        </w:tc>
        <w:tc>
          <w:tcPr>
            <w:tcW w:w="709" w:type="dxa"/>
            <w:vMerge/>
            <w:tcBorders>
              <w:top w:val="nil"/>
              <w:left w:val="single" w:sz="8" w:space="0" w:color="auto"/>
              <w:bottom w:val="single" w:sz="8" w:space="0" w:color="000000"/>
              <w:right w:val="single" w:sz="8" w:space="0" w:color="auto"/>
            </w:tcBorders>
            <w:vAlign w:val="center"/>
          </w:tcPr>
          <w:p w14:paraId="06503F7A" w14:textId="77777777" w:rsidR="00632208" w:rsidRPr="0098635C" w:rsidRDefault="00632208" w:rsidP="00A432B0">
            <w:pPr>
              <w:spacing w:after="0"/>
              <w:rPr>
                <w:color w:val="000000" w:themeColor="text1"/>
                <w:sz w:val="20"/>
                <w:szCs w:val="20"/>
              </w:rPr>
            </w:pPr>
          </w:p>
        </w:tc>
        <w:tc>
          <w:tcPr>
            <w:tcW w:w="708" w:type="dxa"/>
            <w:vMerge/>
            <w:tcBorders>
              <w:top w:val="nil"/>
              <w:left w:val="single" w:sz="8" w:space="0" w:color="auto"/>
              <w:bottom w:val="single" w:sz="8" w:space="0" w:color="000000"/>
              <w:right w:val="single" w:sz="8" w:space="0" w:color="auto"/>
            </w:tcBorders>
            <w:vAlign w:val="center"/>
          </w:tcPr>
          <w:p w14:paraId="4F9FE550" w14:textId="77777777" w:rsidR="00632208" w:rsidRPr="0098635C" w:rsidRDefault="00632208" w:rsidP="00A432B0">
            <w:pPr>
              <w:spacing w:after="0"/>
              <w:rPr>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442D1E88"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11F91389" w14:textId="77777777" w:rsidR="00632208" w:rsidRPr="0098635C" w:rsidRDefault="00632208" w:rsidP="00A432B0">
            <w:pPr>
              <w:spacing w:after="0"/>
              <w:rPr>
                <w:color w:val="000000" w:themeColor="text1"/>
                <w:sz w:val="20"/>
                <w:szCs w:val="20"/>
              </w:rPr>
            </w:pPr>
          </w:p>
        </w:tc>
        <w:tc>
          <w:tcPr>
            <w:tcW w:w="850" w:type="dxa"/>
            <w:vMerge/>
            <w:tcBorders>
              <w:top w:val="nil"/>
              <w:left w:val="single" w:sz="8" w:space="0" w:color="auto"/>
              <w:bottom w:val="single" w:sz="8" w:space="0" w:color="000000"/>
              <w:right w:val="single" w:sz="8" w:space="0" w:color="auto"/>
            </w:tcBorders>
            <w:vAlign w:val="center"/>
          </w:tcPr>
          <w:p w14:paraId="1B6F373A" w14:textId="77777777" w:rsidR="00632208" w:rsidRPr="0098635C" w:rsidRDefault="00632208" w:rsidP="00A432B0">
            <w:pPr>
              <w:spacing w:after="0"/>
              <w:rPr>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14A6785A"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5163C4B9" w14:textId="77777777" w:rsidR="00632208" w:rsidRPr="0098635C" w:rsidRDefault="00632208" w:rsidP="00A432B0">
            <w:pPr>
              <w:spacing w:after="0"/>
              <w:rPr>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7B7ED79A"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4C222C73"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56101B35"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42F09B84"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238AF9EF"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25A31DA4" w14:textId="77777777" w:rsidR="00632208" w:rsidRPr="0098635C" w:rsidRDefault="00632208" w:rsidP="00A432B0">
            <w:pPr>
              <w:spacing w:after="0"/>
              <w:rPr>
                <w:color w:val="000000" w:themeColor="text1"/>
                <w:sz w:val="20"/>
                <w:szCs w:val="20"/>
              </w:rPr>
            </w:pPr>
          </w:p>
        </w:tc>
      </w:tr>
      <w:tr w:rsidR="00632208" w:rsidRPr="0098635C" w14:paraId="4E77D6DF" w14:textId="77777777" w:rsidTr="00A432B0">
        <w:trPr>
          <w:trHeight w:val="450"/>
        </w:trPr>
        <w:tc>
          <w:tcPr>
            <w:tcW w:w="1402" w:type="dxa"/>
            <w:vMerge w:val="restart"/>
            <w:tcBorders>
              <w:top w:val="nil"/>
              <w:left w:val="single" w:sz="8" w:space="0" w:color="auto"/>
              <w:bottom w:val="single" w:sz="8" w:space="0" w:color="000000"/>
              <w:right w:val="single" w:sz="8" w:space="0" w:color="auto"/>
            </w:tcBorders>
          </w:tcPr>
          <w:p w14:paraId="21B1C04E"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nil"/>
              <w:left w:val="nil"/>
              <w:bottom w:val="nil"/>
              <w:right w:val="single" w:sz="8" w:space="0" w:color="auto"/>
            </w:tcBorders>
          </w:tcPr>
          <w:p w14:paraId="3B2B349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Silty clay loam</w:t>
            </w:r>
          </w:p>
        </w:tc>
        <w:tc>
          <w:tcPr>
            <w:tcW w:w="709" w:type="dxa"/>
            <w:vMerge w:val="restart"/>
            <w:tcBorders>
              <w:top w:val="nil"/>
              <w:left w:val="single" w:sz="8" w:space="0" w:color="auto"/>
              <w:bottom w:val="single" w:sz="8" w:space="0" w:color="000000"/>
              <w:right w:val="single" w:sz="8" w:space="0" w:color="auto"/>
            </w:tcBorders>
          </w:tcPr>
          <w:p w14:paraId="038D974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7.4</w:t>
            </w:r>
          </w:p>
        </w:tc>
        <w:tc>
          <w:tcPr>
            <w:tcW w:w="708" w:type="dxa"/>
            <w:vMerge w:val="restart"/>
            <w:tcBorders>
              <w:top w:val="nil"/>
              <w:left w:val="single" w:sz="8" w:space="0" w:color="auto"/>
              <w:bottom w:val="single" w:sz="8" w:space="0" w:color="000000"/>
              <w:right w:val="single" w:sz="8" w:space="0" w:color="auto"/>
            </w:tcBorders>
          </w:tcPr>
          <w:p w14:paraId="69F0E2B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w:t>
            </w:r>
          </w:p>
        </w:tc>
        <w:tc>
          <w:tcPr>
            <w:tcW w:w="709" w:type="dxa"/>
            <w:vMerge w:val="restart"/>
            <w:tcBorders>
              <w:top w:val="nil"/>
              <w:left w:val="single" w:sz="8" w:space="0" w:color="auto"/>
              <w:bottom w:val="single" w:sz="8" w:space="0" w:color="000000"/>
              <w:right w:val="single" w:sz="8" w:space="0" w:color="auto"/>
            </w:tcBorders>
          </w:tcPr>
          <w:p w14:paraId="59359C1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27</w:t>
            </w:r>
          </w:p>
        </w:tc>
        <w:tc>
          <w:tcPr>
            <w:tcW w:w="851" w:type="dxa"/>
            <w:vMerge w:val="restart"/>
            <w:tcBorders>
              <w:top w:val="nil"/>
              <w:left w:val="single" w:sz="8" w:space="0" w:color="auto"/>
              <w:bottom w:val="single" w:sz="8" w:space="0" w:color="000000"/>
              <w:right w:val="single" w:sz="8" w:space="0" w:color="auto"/>
            </w:tcBorders>
          </w:tcPr>
          <w:p w14:paraId="78B1AE2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14</w:t>
            </w:r>
          </w:p>
        </w:tc>
        <w:tc>
          <w:tcPr>
            <w:tcW w:w="850" w:type="dxa"/>
            <w:vMerge w:val="restart"/>
            <w:tcBorders>
              <w:top w:val="nil"/>
              <w:left w:val="single" w:sz="8" w:space="0" w:color="auto"/>
              <w:bottom w:val="single" w:sz="8" w:space="0" w:color="000000"/>
              <w:right w:val="single" w:sz="8" w:space="0" w:color="auto"/>
            </w:tcBorders>
          </w:tcPr>
          <w:p w14:paraId="5373679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w:t>
            </w:r>
          </w:p>
        </w:tc>
        <w:tc>
          <w:tcPr>
            <w:tcW w:w="992" w:type="dxa"/>
            <w:vMerge w:val="restart"/>
            <w:tcBorders>
              <w:top w:val="nil"/>
              <w:left w:val="single" w:sz="8" w:space="0" w:color="auto"/>
              <w:bottom w:val="single" w:sz="8" w:space="0" w:color="000000"/>
              <w:right w:val="single" w:sz="8" w:space="0" w:color="auto"/>
            </w:tcBorders>
          </w:tcPr>
          <w:p w14:paraId="0D5AAA4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vMerge w:val="restart"/>
            <w:tcBorders>
              <w:top w:val="nil"/>
              <w:left w:val="single" w:sz="8" w:space="0" w:color="auto"/>
              <w:bottom w:val="single" w:sz="8" w:space="0" w:color="000000"/>
              <w:right w:val="single" w:sz="8" w:space="0" w:color="auto"/>
            </w:tcBorders>
          </w:tcPr>
          <w:p w14:paraId="6A445BF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val="restart"/>
            <w:tcBorders>
              <w:top w:val="nil"/>
              <w:left w:val="single" w:sz="8" w:space="0" w:color="auto"/>
              <w:bottom w:val="single" w:sz="8" w:space="0" w:color="000000"/>
              <w:right w:val="single" w:sz="8" w:space="0" w:color="auto"/>
            </w:tcBorders>
          </w:tcPr>
          <w:p w14:paraId="5B89B0B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4C4DDC23"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289</w:t>
            </w:r>
          </w:p>
        </w:tc>
        <w:tc>
          <w:tcPr>
            <w:tcW w:w="1134" w:type="dxa"/>
            <w:vMerge w:val="restart"/>
            <w:tcBorders>
              <w:top w:val="nil"/>
              <w:left w:val="single" w:sz="8" w:space="0" w:color="auto"/>
              <w:bottom w:val="single" w:sz="8" w:space="0" w:color="000000"/>
              <w:right w:val="single" w:sz="8" w:space="0" w:color="auto"/>
            </w:tcBorders>
          </w:tcPr>
          <w:p w14:paraId="6202FB4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276E1D4C"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303</w:t>
            </w:r>
          </w:p>
        </w:tc>
        <w:tc>
          <w:tcPr>
            <w:tcW w:w="1134" w:type="dxa"/>
            <w:vMerge w:val="restart"/>
            <w:tcBorders>
              <w:top w:val="nil"/>
              <w:left w:val="single" w:sz="8" w:space="0" w:color="auto"/>
              <w:bottom w:val="single" w:sz="8" w:space="0" w:color="000000"/>
              <w:right w:val="single" w:sz="12" w:space="0" w:color="auto"/>
            </w:tcBorders>
          </w:tcPr>
          <w:p w14:paraId="4666ABE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6BDE693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7552D2D4"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667B0C24"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198DA6D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Rots</w:t>
            </w:r>
          </w:p>
        </w:tc>
        <w:tc>
          <w:tcPr>
            <w:tcW w:w="709" w:type="dxa"/>
            <w:vMerge/>
            <w:tcBorders>
              <w:top w:val="nil"/>
              <w:left w:val="single" w:sz="8" w:space="0" w:color="auto"/>
              <w:bottom w:val="single" w:sz="8" w:space="0" w:color="000000"/>
              <w:right w:val="single" w:sz="8" w:space="0" w:color="auto"/>
            </w:tcBorders>
            <w:vAlign w:val="center"/>
          </w:tcPr>
          <w:p w14:paraId="6A46067A" w14:textId="77777777" w:rsidR="00632208" w:rsidRPr="0098635C" w:rsidRDefault="00632208" w:rsidP="00A432B0">
            <w:pPr>
              <w:spacing w:after="0"/>
              <w:rPr>
                <w:color w:val="000000" w:themeColor="text1"/>
                <w:sz w:val="20"/>
                <w:szCs w:val="20"/>
              </w:rPr>
            </w:pPr>
          </w:p>
        </w:tc>
        <w:tc>
          <w:tcPr>
            <w:tcW w:w="708" w:type="dxa"/>
            <w:vMerge/>
            <w:tcBorders>
              <w:top w:val="nil"/>
              <w:left w:val="single" w:sz="8" w:space="0" w:color="auto"/>
              <w:bottom w:val="single" w:sz="8" w:space="0" w:color="000000"/>
              <w:right w:val="single" w:sz="8" w:space="0" w:color="auto"/>
            </w:tcBorders>
            <w:vAlign w:val="center"/>
          </w:tcPr>
          <w:p w14:paraId="1B737301" w14:textId="77777777" w:rsidR="00632208" w:rsidRPr="0098635C" w:rsidRDefault="00632208" w:rsidP="00A432B0">
            <w:pPr>
              <w:spacing w:after="0"/>
              <w:rPr>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370FAA6E"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6F0A1939" w14:textId="77777777" w:rsidR="00632208" w:rsidRPr="0098635C" w:rsidRDefault="00632208" w:rsidP="00A432B0">
            <w:pPr>
              <w:spacing w:after="0"/>
              <w:rPr>
                <w:color w:val="000000" w:themeColor="text1"/>
                <w:sz w:val="20"/>
                <w:szCs w:val="20"/>
              </w:rPr>
            </w:pPr>
          </w:p>
        </w:tc>
        <w:tc>
          <w:tcPr>
            <w:tcW w:w="850" w:type="dxa"/>
            <w:vMerge/>
            <w:tcBorders>
              <w:top w:val="nil"/>
              <w:left w:val="single" w:sz="8" w:space="0" w:color="auto"/>
              <w:bottom w:val="single" w:sz="8" w:space="0" w:color="000000"/>
              <w:right w:val="single" w:sz="8" w:space="0" w:color="auto"/>
            </w:tcBorders>
            <w:vAlign w:val="center"/>
          </w:tcPr>
          <w:p w14:paraId="717682AF" w14:textId="77777777" w:rsidR="00632208" w:rsidRPr="0098635C" w:rsidRDefault="00632208" w:rsidP="00A432B0">
            <w:pPr>
              <w:spacing w:after="0"/>
              <w:rPr>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6A8071D3"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5C9BAE67" w14:textId="77777777" w:rsidR="00632208" w:rsidRPr="0098635C" w:rsidRDefault="00632208" w:rsidP="00A432B0">
            <w:pPr>
              <w:spacing w:after="0"/>
              <w:rPr>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5B7E7DD5"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1EAE3B1C"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1D1E55C6"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2FCD540A"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731DC591"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583145E2" w14:textId="77777777" w:rsidR="00632208" w:rsidRPr="0098635C" w:rsidRDefault="00632208" w:rsidP="00A432B0">
            <w:pPr>
              <w:spacing w:after="0"/>
              <w:rPr>
                <w:color w:val="000000" w:themeColor="text1"/>
                <w:sz w:val="20"/>
                <w:szCs w:val="20"/>
              </w:rPr>
            </w:pPr>
          </w:p>
        </w:tc>
      </w:tr>
      <w:tr w:rsidR="00632208" w:rsidRPr="0098635C" w14:paraId="3B8E9219" w14:textId="77777777" w:rsidTr="00A432B0">
        <w:trPr>
          <w:trHeight w:val="225"/>
        </w:trPr>
        <w:tc>
          <w:tcPr>
            <w:tcW w:w="1402" w:type="dxa"/>
            <w:vMerge w:val="restart"/>
            <w:tcBorders>
              <w:top w:val="nil"/>
              <w:left w:val="single" w:sz="8" w:space="0" w:color="auto"/>
              <w:bottom w:val="single" w:sz="8" w:space="0" w:color="000000"/>
              <w:right w:val="single" w:sz="8" w:space="0" w:color="auto"/>
            </w:tcBorders>
          </w:tcPr>
          <w:p w14:paraId="056F0628"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nil"/>
              <w:left w:val="nil"/>
              <w:bottom w:val="nil"/>
              <w:right w:val="single" w:sz="8" w:space="0" w:color="auto"/>
            </w:tcBorders>
          </w:tcPr>
          <w:p w14:paraId="0F4BD8D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Clay</w:t>
            </w:r>
          </w:p>
        </w:tc>
        <w:tc>
          <w:tcPr>
            <w:tcW w:w="709" w:type="dxa"/>
            <w:vMerge w:val="restart"/>
            <w:tcBorders>
              <w:top w:val="nil"/>
              <w:left w:val="single" w:sz="8" w:space="0" w:color="auto"/>
              <w:bottom w:val="single" w:sz="8" w:space="0" w:color="000000"/>
              <w:right w:val="single" w:sz="8" w:space="0" w:color="auto"/>
            </w:tcBorders>
          </w:tcPr>
          <w:p w14:paraId="6BC98AD0"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7.4</w:t>
            </w:r>
          </w:p>
        </w:tc>
        <w:tc>
          <w:tcPr>
            <w:tcW w:w="708" w:type="dxa"/>
            <w:vMerge w:val="restart"/>
            <w:tcBorders>
              <w:top w:val="nil"/>
              <w:left w:val="single" w:sz="8" w:space="0" w:color="auto"/>
              <w:bottom w:val="single" w:sz="8" w:space="0" w:color="000000"/>
              <w:right w:val="single" w:sz="8" w:space="0" w:color="auto"/>
            </w:tcBorders>
          </w:tcPr>
          <w:p w14:paraId="2DDF32F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4.2</w:t>
            </w:r>
          </w:p>
        </w:tc>
        <w:tc>
          <w:tcPr>
            <w:tcW w:w="709" w:type="dxa"/>
            <w:vMerge w:val="restart"/>
            <w:tcBorders>
              <w:top w:val="nil"/>
              <w:left w:val="single" w:sz="8" w:space="0" w:color="auto"/>
              <w:bottom w:val="single" w:sz="8" w:space="0" w:color="000000"/>
              <w:right w:val="single" w:sz="8" w:space="0" w:color="auto"/>
            </w:tcBorders>
          </w:tcPr>
          <w:p w14:paraId="66B2183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46</w:t>
            </w:r>
          </w:p>
        </w:tc>
        <w:tc>
          <w:tcPr>
            <w:tcW w:w="851" w:type="dxa"/>
            <w:vMerge w:val="restart"/>
            <w:tcBorders>
              <w:top w:val="nil"/>
              <w:left w:val="single" w:sz="8" w:space="0" w:color="auto"/>
              <w:bottom w:val="single" w:sz="8" w:space="0" w:color="000000"/>
              <w:right w:val="single" w:sz="8" w:space="0" w:color="auto"/>
            </w:tcBorders>
          </w:tcPr>
          <w:p w14:paraId="59591AC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34</w:t>
            </w:r>
          </w:p>
        </w:tc>
        <w:tc>
          <w:tcPr>
            <w:tcW w:w="850" w:type="dxa"/>
            <w:vMerge w:val="restart"/>
            <w:tcBorders>
              <w:top w:val="nil"/>
              <w:left w:val="single" w:sz="8" w:space="0" w:color="auto"/>
              <w:bottom w:val="single" w:sz="8" w:space="0" w:color="000000"/>
              <w:right w:val="single" w:sz="8" w:space="0" w:color="auto"/>
            </w:tcBorders>
          </w:tcPr>
          <w:p w14:paraId="4A6521B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36.3</w:t>
            </w:r>
          </w:p>
        </w:tc>
        <w:tc>
          <w:tcPr>
            <w:tcW w:w="992" w:type="dxa"/>
            <w:vMerge w:val="restart"/>
            <w:tcBorders>
              <w:top w:val="nil"/>
              <w:left w:val="single" w:sz="8" w:space="0" w:color="auto"/>
              <w:bottom w:val="single" w:sz="8" w:space="0" w:color="000000"/>
              <w:right w:val="single" w:sz="8" w:space="0" w:color="auto"/>
            </w:tcBorders>
          </w:tcPr>
          <w:p w14:paraId="24CBC9D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vMerge w:val="restart"/>
            <w:tcBorders>
              <w:top w:val="nil"/>
              <w:left w:val="single" w:sz="8" w:space="0" w:color="auto"/>
              <w:bottom w:val="single" w:sz="8" w:space="0" w:color="000000"/>
              <w:right w:val="single" w:sz="8" w:space="0" w:color="auto"/>
            </w:tcBorders>
          </w:tcPr>
          <w:p w14:paraId="390A2A5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val="restart"/>
            <w:tcBorders>
              <w:top w:val="nil"/>
              <w:left w:val="single" w:sz="8" w:space="0" w:color="auto"/>
              <w:bottom w:val="single" w:sz="8" w:space="0" w:color="000000"/>
              <w:right w:val="single" w:sz="8" w:space="0" w:color="auto"/>
            </w:tcBorders>
          </w:tcPr>
          <w:p w14:paraId="56066BF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4F69F82B"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287</w:t>
            </w:r>
          </w:p>
        </w:tc>
        <w:tc>
          <w:tcPr>
            <w:tcW w:w="1134" w:type="dxa"/>
            <w:vMerge w:val="restart"/>
            <w:tcBorders>
              <w:top w:val="nil"/>
              <w:left w:val="single" w:sz="8" w:space="0" w:color="auto"/>
              <w:bottom w:val="single" w:sz="8" w:space="0" w:color="000000"/>
              <w:right w:val="single" w:sz="8" w:space="0" w:color="auto"/>
            </w:tcBorders>
          </w:tcPr>
          <w:p w14:paraId="2F625DF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6BBCA0FA"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321</w:t>
            </w:r>
          </w:p>
        </w:tc>
        <w:tc>
          <w:tcPr>
            <w:tcW w:w="1134" w:type="dxa"/>
            <w:vMerge w:val="restart"/>
            <w:tcBorders>
              <w:top w:val="nil"/>
              <w:left w:val="single" w:sz="8" w:space="0" w:color="auto"/>
              <w:bottom w:val="single" w:sz="8" w:space="0" w:color="000000"/>
              <w:right w:val="single" w:sz="12" w:space="0" w:color="auto"/>
            </w:tcBorders>
          </w:tcPr>
          <w:p w14:paraId="3E78908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324C7E1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1D398D6D"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67879D13"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58A1D37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Souli</w:t>
            </w:r>
          </w:p>
        </w:tc>
        <w:tc>
          <w:tcPr>
            <w:tcW w:w="709" w:type="dxa"/>
            <w:vMerge/>
            <w:tcBorders>
              <w:top w:val="nil"/>
              <w:left w:val="single" w:sz="8" w:space="0" w:color="auto"/>
              <w:bottom w:val="single" w:sz="8" w:space="0" w:color="000000"/>
              <w:right w:val="single" w:sz="8" w:space="0" w:color="auto"/>
            </w:tcBorders>
            <w:vAlign w:val="center"/>
          </w:tcPr>
          <w:p w14:paraId="533B70B3" w14:textId="77777777" w:rsidR="00632208" w:rsidRPr="0098635C" w:rsidRDefault="00632208" w:rsidP="00A432B0">
            <w:pPr>
              <w:spacing w:after="0"/>
              <w:rPr>
                <w:color w:val="000000" w:themeColor="text1"/>
                <w:sz w:val="20"/>
                <w:szCs w:val="20"/>
              </w:rPr>
            </w:pPr>
          </w:p>
        </w:tc>
        <w:tc>
          <w:tcPr>
            <w:tcW w:w="708" w:type="dxa"/>
            <w:vMerge/>
            <w:tcBorders>
              <w:top w:val="nil"/>
              <w:left w:val="single" w:sz="8" w:space="0" w:color="auto"/>
              <w:bottom w:val="single" w:sz="8" w:space="0" w:color="000000"/>
              <w:right w:val="single" w:sz="8" w:space="0" w:color="auto"/>
            </w:tcBorders>
            <w:vAlign w:val="center"/>
          </w:tcPr>
          <w:p w14:paraId="2A5F5A65" w14:textId="77777777" w:rsidR="00632208" w:rsidRPr="0098635C" w:rsidRDefault="00632208" w:rsidP="00A432B0">
            <w:pPr>
              <w:spacing w:after="0"/>
              <w:rPr>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271BA697"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6AD2B6C9" w14:textId="77777777" w:rsidR="00632208" w:rsidRPr="0098635C" w:rsidRDefault="00632208" w:rsidP="00A432B0">
            <w:pPr>
              <w:spacing w:after="0"/>
              <w:rPr>
                <w:color w:val="000000" w:themeColor="text1"/>
                <w:sz w:val="20"/>
                <w:szCs w:val="20"/>
              </w:rPr>
            </w:pPr>
          </w:p>
        </w:tc>
        <w:tc>
          <w:tcPr>
            <w:tcW w:w="850" w:type="dxa"/>
            <w:vMerge/>
            <w:tcBorders>
              <w:top w:val="nil"/>
              <w:left w:val="single" w:sz="8" w:space="0" w:color="auto"/>
              <w:bottom w:val="single" w:sz="8" w:space="0" w:color="000000"/>
              <w:right w:val="single" w:sz="8" w:space="0" w:color="auto"/>
            </w:tcBorders>
            <w:vAlign w:val="center"/>
          </w:tcPr>
          <w:p w14:paraId="30BB253F" w14:textId="77777777" w:rsidR="00632208" w:rsidRPr="0098635C" w:rsidRDefault="00632208" w:rsidP="00A432B0">
            <w:pPr>
              <w:spacing w:after="0"/>
              <w:rPr>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1690AED7"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4790367C" w14:textId="77777777" w:rsidR="00632208" w:rsidRPr="0098635C" w:rsidRDefault="00632208" w:rsidP="00A432B0">
            <w:pPr>
              <w:spacing w:after="0"/>
              <w:rPr>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02871EB9"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14B2535C"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1834B416"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38ED7B4C"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099FDB25"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54A6C753" w14:textId="77777777" w:rsidR="00632208" w:rsidRPr="0098635C" w:rsidRDefault="00632208" w:rsidP="00A432B0">
            <w:pPr>
              <w:spacing w:after="0"/>
              <w:rPr>
                <w:color w:val="000000" w:themeColor="text1"/>
                <w:sz w:val="20"/>
                <w:szCs w:val="20"/>
              </w:rPr>
            </w:pPr>
          </w:p>
        </w:tc>
      </w:tr>
      <w:tr w:rsidR="00632208" w:rsidRPr="0098635C" w14:paraId="1F98AE14" w14:textId="77777777" w:rsidTr="00A432B0">
        <w:trPr>
          <w:trHeight w:val="225"/>
        </w:trPr>
        <w:tc>
          <w:tcPr>
            <w:tcW w:w="1402" w:type="dxa"/>
            <w:vMerge w:val="restart"/>
            <w:tcBorders>
              <w:top w:val="nil"/>
              <w:left w:val="single" w:sz="8" w:space="0" w:color="auto"/>
              <w:bottom w:val="single" w:sz="8" w:space="0" w:color="000000"/>
              <w:right w:val="single" w:sz="8" w:space="0" w:color="auto"/>
            </w:tcBorders>
          </w:tcPr>
          <w:p w14:paraId="43F35302"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nil"/>
              <w:left w:val="nil"/>
              <w:bottom w:val="nil"/>
              <w:right w:val="single" w:sz="8" w:space="0" w:color="auto"/>
            </w:tcBorders>
          </w:tcPr>
          <w:p w14:paraId="68C4475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Silt loam</w:t>
            </w:r>
          </w:p>
        </w:tc>
        <w:tc>
          <w:tcPr>
            <w:tcW w:w="709" w:type="dxa"/>
            <w:vMerge w:val="restart"/>
            <w:tcBorders>
              <w:top w:val="nil"/>
              <w:left w:val="single" w:sz="8" w:space="0" w:color="auto"/>
              <w:bottom w:val="single" w:sz="8" w:space="0" w:color="000000"/>
              <w:right w:val="single" w:sz="8" w:space="0" w:color="auto"/>
            </w:tcBorders>
          </w:tcPr>
          <w:p w14:paraId="4CF1F01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tc>
        <w:tc>
          <w:tcPr>
            <w:tcW w:w="708" w:type="dxa"/>
            <w:vMerge w:val="restart"/>
            <w:tcBorders>
              <w:top w:val="nil"/>
              <w:left w:val="single" w:sz="8" w:space="0" w:color="auto"/>
              <w:bottom w:val="single" w:sz="8" w:space="0" w:color="000000"/>
              <w:right w:val="single" w:sz="8" w:space="0" w:color="auto"/>
            </w:tcBorders>
          </w:tcPr>
          <w:p w14:paraId="78942BC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w:t>
            </w:r>
          </w:p>
        </w:tc>
        <w:tc>
          <w:tcPr>
            <w:tcW w:w="709" w:type="dxa"/>
            <w:vMerge w:val="restart"/>
            <w:tcBorders>
              <w:top w:val="nil"/>
              <w:left w:val="single" w:sz="8" w:space="0" w:color="auto"/>
              <w:bottom w:val="single" w:sz="8" w:space="0" w:color="000000"/>
              <w:right w:val="single" w:sz="8" w:space="0" w:color="auto"/>
            </w:tcBorders>
          </w:tcPr>
          <w:p w14:paraId="6761069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26</w:t>
            </w:r>
          </w:p>
        </w:tc>
        <w:tc>
          <w:tcPr>
            <w:tcW w:w="851" w:type="dxa"/>
            <w:vMerge w:val="restart"/>
            <w:tcBorders>
              <w:top w:val="nil"/>
              <w:left w:val="single" w:sz="8" w:space="0" w:color="auto"/>
              <w:bottom w:val="single" w:sz="8" w:space="0" w:color="000000"/>
              <w:right w:val="single" w:sz="8" w:space="0" w:color="auto"/>
            </w:tcBorders>
          </w:tcPr>
          <w:p w14:paraId="1047258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18</w:t>
            </w:r>
          </w:p>
        </w:tc>
        <w:tc>
          <w:tcPr>
            <w:tcW w:w="850" w:type="dxa"/>
            <w:vMerge w:val="restart"/>
            <w:tcBorders>
              <w:top w:val="nil"/>
              <w:left w:val="single" w:sz="8" w:space="0" w:color="auto"/>
              <w:bottom w:val="single" w:sz="8" w:space="0" w:color="000000"/>
              <w:right w:val="single" w:sz="8" w:space="0" w:color="auto"/>
            </w:tcBorders>
          </w:tcPr>
          <w:p w14:paraId="14776EE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20.1</w:t>
            </w:r>
          </w:p>
        </w:tc>
        <w:tc>
          <w:tcPr>
            <w:tcW w:w="992" w:type="dxa"/>
            <w:vMerge w:val="restart"/>
            <w:tcBorders>
              <w:top w:val="nil"/>
              <w:left w:val="single" w:sz="8" w:space="0" w:color="auto"/>
              <w:bottom w:val="single" w:sz="8" w:space="0" w:color="000000"/>
              <w:right w:val="single" w:sz="8" w:space="0" w:color="auto"/>
            </w:tcBorders>
          </w:tcPr>
          <w:p w14:paraId="44E5887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vMerge w:val="restart"/>
            <w:tcBorders>
              <w:top w:val="nil"/>
              <w:left w:val="single" w:sz="8" w:space="0" w:color="auto"/>
              <w:bottom w:val="single" w:sz="8" w:space="0" w:color="000000"/>
              <w:right w:val="single" w:sz="8" w:space="0" w:color="auto"/>
            </w:tcBorders>
          </w:tcPr>
          <w:p w14:paraId="34B188E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val="restart"/>
            <w:tcBorders>
              <w:top w:val="nil"/>
              <w:left w:val="single" w:sz="8" w:space="0" w:color="auto"/>
              <w:bottom w:val="single" w:sz="8" w:space="0" w:color="000000"/>
              <w:right w:val="single" w:sz="8" w:space="0" w:color="auto"/>
            </w:tcBorders>
          </w:tcPr>
          <w:p w14:paraId="19DD3AC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572443EC"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153</w:t>
            </w:r>
          </w:p>
        </w:tc>
        <w:tc>
          <w:tcPr>
            <w:tcW w:w="1134" w:type="dxa"/>
            <w:vMerge w:val="restart"/>
            <w:tcBorders>
              <w:top w:val="nil"/>
              <w:left w:val="single" w:sz="8" w:space="0" w:color="auto"/>
              <w:bottom w:val="single" w:sz="8" w:space="0" w:color="000000"/>
              <w:right w:val="single" w:sz="8" w:space="0" w:color="auto"/>
            </w:tcBorders>
          </w:tcPr>
          <w:p w14:paraId="254EA2F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54CE4BE6"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171</w:t>
            </w:r>
          </w:p>
        </w:tc>
        <w:tc>
          <w:tcPr>
            <w:tcW w:w="1134" w:type="dxa"/>
            <w:vMerge w:val="restart"/>
            <w:tcBorders>
              <w:top w:val="nil"/>
              <w:left w:val="single" w:sz="8" w:space="0" w:color="auto"/>
              <w:bottom w:val="single" w:sz="8" w:space="0" w:color="000000"/>
              <w:right w:val="single" w:sz="12" w:space="0" w:color="auto"/>
            </w:tcBorders>
          </w:tcPr>
          <w:p w14:paraId="0942878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5857139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7376C890"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3F5AFDA6"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20C18E9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Marknesse</w:t>
            </w:r>
          </w:p>
        </w:tc>
        <w:tc>
          <w:tcPr>
            <w:tcW w:w="709" w:type="dxa"/>
            <w:vMerge/>
            <w:tcBorders>
              <w:top w:val="nil"/>
              <w:left w:val="single" w:sz="8" w:space="0" w:color="auto"/>
              <w:bottom w:val="single" w:sz="8" w:space="0" w:color="000000"/>
              <w:right w:val="single" w:sz="8" w:space="0" w:color="auto"/>
            </w:tcBorders>
            <w:vAlign w:val="center"/>
          </w:tcPr>
          <w:p w14:paraId="3C88F78D" w14:textId="77777777" w:rsidR="00632208" w:rsidRPr="0098635C" w:rsidRDefault="00632208" w:rsidP="00A432B0">
            <w:pPr>
              <w:spacing w:after="0"/>
              <w:rPr>
                <w:color w:val="000000" w:themeColor="text1"/>
                <w:sz w:val="20"/>
                <w:szCs w:val="20"/>
              </w:rPr>
            </w:pPr>
          </w:p>
        </w:tc>
        <w:tc>
          <w:tcPr>
            <w:tcW w:w="708" w:type="dxa"/>
            <w:vMerge/>
            <w:tcBorders>
              <w:top w:val="nil"/>
              <w:left w:val="single" w:sz="8" w:space="0" w:color="auto"/>
              <w:bottom w:val="single" w:sz="8" w:space="0" w:color="000000"/>
              <w:right w:val="single" w:sz="8" w:space="0" w:color="auto"/>
            </w:tcBorders>
            <w:vAlign w:val="center"/>
          </w:tcPr>
          <w:p w14:paraId="6D8D9FE1" w14:textId="77777777" w:rsidR="00632208" w:rsidRPr="0098635C" w:rsidRDefault="00632208" w:rsidP="00A432B0">
            <w:pPr>
              <w:spacing w:after="0"/>
              <w:rPr>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6D3B7BC3"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1E07DFF4" w14:textId="77777777" w:rsidR="00632208" w:rsidRPr="0098635C" w:rsidRDefault="00632208" w:rsidP="00A432B0">
            <w:pPr>
              <w:spacing w:after="0"/>
              <w:rPr>
                <w:color w:val="000000" w:themeColor="text1"/>
                <w:sz w:val="20"/>
                <w:szCs w:val="20"/>
              </w:rPr>
            </w:pPr>
          </w:p>
        </w:tc>
        <w:tc>
          <w:tcPr>
            <w:tcW w:w="850" w:type="dxa"/>
            <w:vMerge/>
            <w:tcBorders>
              <w:top w:val="nil"/>
              <w:left w:val="single" w:sz="8" w:space="0" w:color="auto"/>
              <w:bottom w:val="single" w:sz="8" w:space="0" w:color="000000"/>
              <w:right w:val="single" w:sz="8" w:space="0" w:color="auto"/>
            </w:tcBorders>
            <w:vAlign w:val="center"/>
          </w:tcPr>
          <w:p w14:paraId="2F274DB6" w14:textId="77777777" w:rsidR="00632208" w:rsidRPr="0098635C" w:rsidRDefault="00632208" w:rsidP="00A432B0">
            <w:pPr>
              <w:spacing w:after="0"/>
              <w:rPr>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11DD1031"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68C2EFCE" w14:textId="77777777" w:rsidR="00632208" w:rsidRPr="0098635C" w:rsidRDefault="00632208" w:rsidP="00A432B0">
            <w:pPr>
              <w:spacing w:after="0"/>
              <w:rPr>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1976A108"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770C78A9"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347DD38C"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5A2967EB"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018475D8"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51A9A048" w14:textId="77777777" w:rsidR="00632208" w:rsidRPr="0098635C" w:rsidRDefault="00632208" w:rsidP="00A432B0">
            <w:pPr>
              <w:spacing w:after="0"/>
              <w:rPr>
                <w:color w:val="000000" w:themeColor="text1"/>
                <w:sz w:val="20"/>
                <w:szCs w:val="20"/>
              </w:rPr>
            </w:pPr>
          </w:p>
        </w:tc>
      </w:tr>
      <w:tr w:rsidR="00632208" w:rsidRPr="0098635C" w14:paraId="3D5AAFC3" w14:textId="77777777" w:rsidTr="00A432B0">
        <w:trPr>
          <w:trHeight w:val="225"/>
        </w:trPr>
        <w:tc>
          <w:tcPr>
            <w:tcW w:w="1402" w:type="dxa"/>
            <w:vMerge w:val="restart"/>
            <w:tcBorders>
              <w:top w:val="nil"/>
              <w:left w:val="single" w:sz="8" w:space="0" w:color="auto"/>
              <w:bottom w:val="single" w:sz="8" w:space="0" w:color="000000"/>
              <w:right w:val="single" w:sz="8" w:space="0" w:color="auto"/>
            </w:tcBorders>
          </w:tcPr>
          <w:p w14:paraId="2EF942E3"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nil"/>
              <w:left w:val="nil"/>
              <w:bottom w:val="nil"/>
              <w:right w:val="single" w:sz="8" w:space="0" w:color="auto"/>
            </w:tcBorders>
          </w:tcPr>
          <w:p w14:paraId="2B87BAA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Clay</w:t>
            </w:r>
          </w:p>
        </w:tc>
        <w:tc>
          <w:tcPr>
            <w:tcW w:w="709" w:type="dxa"/>
            <w:vMerge w:val="restart"/>
            <w:tcBorders>
              <w:top w:val="nil"/>
              <w:left w:val="single" w:sz="8" w:space="0" w:color="auto"/>
              <w:bottom w:val="single" w:sz="8" w:space="0" w:color="000000"/>
              <w:right w:val="single" w:sz="8" w:space="0" w:color="auto"/>
            </w:tcBorders>
          </w:tcPr>
          <w:p w14:paraId="110FAD3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7.5</w:t>
            </w:r>
          </w:p>
        </w:tc>
        <w:tc>
          <w:tcPr>
            <w:tcW w:w="708" w:type="dxa"/>
            <w:vMerge w:val="restart"/>
            <w:tcBorders>
              <w:top w:val="nil"/>
              <w:left w:val="single" w:sz="8" w:space="0" w:color="auto"/>
              <w:bottom w:val="single" w:sz="8" w:space="0" w:color="000000"/>
              <w:right w:val="single" w:sz="8" w:space="0" w:color="auto"/>
            </w:tcBorders>
          </w:tcPr>
          <w:p w14:paraId="21752B6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2.4</w:t>
            </w:r>
          </w:p>
        </w:tc>
        <w:tc>
          <w:tcPr>
            <w:tcW w:w="709" w:type="dxa"/>
            <w:vMerge w:val="restart"/>
            <w:tcBorders>
              <w:top w:val="nil"/>
              <w:left w:val="single" w:sz="8" w:space="0" w:color="auto"/>
              <w:bottom w:val="single" w:sz="8" w:space="0" w:color="000000"/>
              <w:right w:val="single" w:sz="8" w:space="0" w:color="auto"/>
            </w:tcBorders>
          </w:tcPr>
          <w:p w14:paraId="270F54D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50</w:t>
            </w:r>
          </w:p>
        </w:tc>
        <w:tc>
          <w:tcPr>
            <w:tcW w:w="851" w:type="dxa"/>
            <w:vMerge w:val="restart"/>
            <w:tcBorders>
              <w:top w:val="nil"/>
              <w:left w:val="single" w:sz="8" w:space="0" w:color="auto"/>
              <w:bottom w:val="single" w:sz="8" w:space="0" w:color="000000"/>
              <w:right w:val="single" w:sz="8" w:space="0" w:color="auto"/>
            </w:tcBorders>
          </w:tcPr>
          <w:p w14:paraId="1236224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31</w:t>
            </w:r>
          </w:p>
        </w:tc>
        <w:tc>
          <w:tcPr>
            <w:tcW w:w="850" w:type="dxa"/>
            <w:vMerge w:val="restart"/>
            <w:tcBorders>
              <w:top w:val="nil"/>
              <w:left w:val="single" w:sz="8" w:space="0" w:color="auto"/>
              <w:bottom w:val="single" w:sz="8" w:space="0" w:color="000000"/>
              <w:right w:val="single" w:sz="8" w:space="0" w:color="auto"/>
            </w:tcBorders>
          </w:tcPr>
          <w:p w14:paraId="41CCFE4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23.5</w:t>
            </w:r>
          </w:p>
        </w:tc>
        <w:tc>
          <w:tcPr>
            <w:tcW w:w="992" w:type="dxa"/>
            <w:vMerge w:val="restart"/>
            <w:tcBorders>
              <w:top w:val="nil"/>
              <w:left w:val="single" w:sz="8" w:space="0" w:color="auto"/>
              <w:bottom w:val="single" w:sz="8" w:space="0" w:color="000000"/>
              <w:right w:val="single" w:sz="8" w:space="0" w:color="auto"/>
            </w:tcBorders>
          </w:tcPr>
          <w:p w14:paraId="70434AB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vMerge w:val="restart"/>
            <w:tcBorders>
              <w:top w:val="nil"/>
              <w:left w:val="single" w:sz="8" w:space="0" w:color="auto"/>
              <w:bottom w:val="single" w:sz="8" w:space="0" w:color="000000"/>
              <w:right w:val="single" w:sz="8" w:space="0" w:color="auto"/>
            </w:tcBorders>
          </w:tcPr>
          <w:p w14:paraId="6095804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val="restart"/>
            <w:tcBorders>
              <w:top w:val="nil"/>
              <w:left w:val="single" w:sz="8" w:space="0" w:color="auto"/>
              <w:bottom w:val="single" w:sz="8" w:space="0" w:color="000000"/>
              <w:right w:val="single" w:sz="8" w:space="0" w:color="auto"/>
            </w:tcBorders>
          </w:tcPr>
          <w:p w14:paraId="6266258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03BAF681"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164</w:t>
            </w:r>
          </w:p>
        </w:tc>
        <w:tc>
          <w:tcPr>
            <w:tcW w:w="1134" w:type="dxa"/>
            <w:vMerge w:val="restart"/>
            <w:tcBorders>
              <w:top w:val="nil"/>
              <w:left w:val="single" w:sz="8" w:space="0" w:color="auto"/>
              <w:bottom w:val="single" w:sz="8" w:space="0" w:color="000000"/>
              <w:right w:val="single" w:sz="8" w:space="0" w:color="auto"/>
            </w:tcBorders>
          </w:tcPr>
          <w:p w14:paraId="368F5E6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352536FD"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195</w:t>
            </w:r>
          </w:p>
        </w:tc>
        <w:tc>
          <w:tcPr>
            <w:tcW w:w="1134" w:type="dxa"/>
            <w:vMerge w:val="restart"/>
            <w:tcBorders>
              <w:top w:val="nil"/>
              <w:left w:val="single" w:sz="8" w:space="0" w:color="auto"/>
              <w:bottom w:val="single" w:sz="8" w:space="0" w:color="000000"/>
              <w:right w:val="single" w:sz="12" w:space="0" w:color="auto"/>
            </w:tcBorders>
          </w:tcPr>
          <w:p w14:paraId="6FBB49C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7F09FDC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0FA8011C"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5B15A348"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6825DA0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Brécy</w:t>
            </w:r>
          </w:p>
        </w:tc>
        <w:tc>
          <w:tcPr>
            <w:tcW w:w="709" w:type="dxa"/>
            <w:vMerge/>
            <w:tcBorders>
              <w:top w:val="nil"/>
              <w:left w:val="single" w:sz="8" w:space="0" w:color="auto"/>
              <w:bottom w:val="single" w:sz="8" w:space="0" w:color="000000"/>
              <w:right w:val="single" w:sz="8" w:space="0" w:color="auto"/>
            </w:tcBorders>
            <w:vAlign w:val="center"/>
          </w:tcPr>
          <w:p w14:paraId="0F29DBFE" w14:textId="77777777" w:rsidR="00632208" w:rsidRPr="0098635C" w:rsidRDefault="00632208" w:rsidP="00A432B0">
            <w:pPr>
              <w:spacing w:after="0"/>
              <w:rPr>
                <w:color w:val="000000" w:themeColor="text1"/>
                <w:sz w:val="20"/>
                <w:szCs w:val="20"/>
              </w:rPr>
            </w:pPr>
          </w:p>
        </w:tc>
        <w:tc>
          <w:tcPr>
            <w:tcW w:w="708" w:type="dxa"/>
            <w:vMerge/>
            <w:tcBorders>
              <w:top w:val="nil"/>
              <w:left w:val="single" w:sz="8" w:space="0" w:color="auto"/>
              <w:bottom w:val="single" w:sz="8" w:space="0" w:color="000000"/>
              <w:right w:val="single" w:sz="8" w:space="0" w:color="auto"/>
            </w:tcBorders>
            <w:vAlign w:val="center"/>
          </w:tcPr>
          <w:p w14:paraId="53E96182" w14:textId="77777777" w:rsidR="00632208" w:rsidRPr="0098635C" w:rsidRDefault="00632208" w:rsidP="00A432B0">
            <w:pPr>
              <w:spacing w:after="0"/>
              <w:rPr>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3B4EA7F2"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538DC215" w14:textId="77777777" w:rsidR="00632208" w:rsidRPr="0098635C" w:rsidRDefault="00632208" w:rsidP="00A432B0">
            <w:pPr>
              <w:spacing w:after="0"/>
              <w:rPr>
                <w:color w:val="000000" w:themeColor="text1"/>
                <w:sz w:val="20"/>
                <w:szCs w:val="20"/>
              </w:rPr>
            </w:pPr>
          </w:p>
        </w:tc>
        <w:tc>
          <w:tcPr>
            <w:tcW w:w="850" w:type="dxa"/>
            <w:vMerge/>
            <w:tcBorders>
              <w:top w:val="nil"/>
              <w:left w:val="single" w:sz="8" w:space="0" w:color="auto"/>
              <w:bottom w:val="single" w:sz="8" w:space="0" w:color="000000"/>
              <w:right w:val="single" w:sz="8" w:space="0" w:color="auto"/>
            </w:tcBorders>
            <w:vAlign w:val="center"/>
          </w:tcPr>
          <w:p w14:paraId="005B914D" w14:textId="77777777" w:rsidR="00632208" w:rsidRPr="0098635C" w:rsidRDefault="00632208" w:rsidP="00A432B0">
            <w:pPr>
              <w:spacing w:after="0"/>
              <w:rPr>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53E1D924"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1A540D54" w14:textId="77777777" w:rsidR="00632208" w:rsidRPr="0098635C" w:rsidRDefault="00632208" w:rsidP="00A432B0">
            <w:pPr>
              <w:spacing w:after="0"/>
              <w:rPr>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259009D0"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21D5302E"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0AA6105C"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1FCE3D04"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460780A5"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28DF0AA4" w14:textId="77777777" w:rsidR="00632208" w:rsidRPr="0098635C" w:rsidRDefault="00632208" w:rsidP="00A432B0">
            <w:pPr>
              <w:spacing w:after="0"/>
              <w:rPr>
                <w:color w:val="000000" w:themeColor="text1"/>
                <w:sz w:val="20"/>
                <w:szCs w:val="20"/>
              </w:rPr>
            </w:pPr>
          </w:p>
        </w:tc>
      </w:tr>
      <w:tr w:rsidR="00632208" w:rsidRPr="0098635C" w14:paraId="736DD5DA" w14:textId="77777777" w:rsidTr="00A432B0">
        <w:trPr>
          <w:trHeight w:val="225"/>
        </w:trPr>
        <w:tc>
          <w:tcPr>
            <w:tcW w:w="1402" w:type="dxa"/>
            <w:vMerge w:val="restart"/>
            <w:tcBorders>
              <w:top w:val="nil"/>
              <w:left w:val="single" w:sz="8" w:space="0" w:color="auto"/>
              <w:bottom w:val="single" w:sz="8" w:space="0" w:color="000000"/>
              <w:right w:val="single" w:sz="8" w:space="0" w:color="auto"/>
            </w:tcBorders>
          </w:tcPr>
          <w:p w14:paraId="3B3F463F"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nil"/>
              <w:left w:val="nil"/>
              <w:bottom w:val="nil"/>
              <w:right w:val="single" w:sz="8" w:space="0" w:color="auto"/>
            </w:tcBorders>
          </w:tcPr>
          <w:p w14:paraId="0576A5C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Sandy clay</w:t>
            </w:r>
          </w:p>
        </w:tc>
        <w:tc>
          <w:tcPr>
            <w:tcW w:w="709" w:type="dxa"/>
            <w:vMerge w:val="restart"/>
            <w:tcBorders>
              <w:top w:val="nil"/>
              <w:left w:val="single" w:sz="8" w:space="0" w:color="auto"/>
              <w:bottom w:val="single" w:sz="8" w:space="0" w:color="000000"/>
              <w:right w:val="single" w:sz="8" w:space="0" w:color="auto"/>
            </w:tcBorders>
          </w:tcPr>
          <w:p w14:paraId="33C249F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5.4</w:t>
            </w:r>
          </w:p>
        </w:tc>
        <w:tc>
          <w:tcPr>
            <w:tcW w:w="708" w:type="dxa"/>
            <w:vMerge w:val="restart"/>
            <w:tcBorders>
              <w:top w:val="nil"/>
              <w:left w:val="single" w:sz="8" w:space="0" w:color="auto"/>
              <w:bottom w:val="single" w:sz="8" w:space="0" w:color="000000"/>
              <w:right w:val="single" w:sz="8" w:space="0" w:color="auto"/>
            </w:tcBorders>
          </w:tcPr>
          <w:p w14:paraId="3F9C429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3.3</w:t>
            </w:r>
          </w:p>
        </w:tc>
        <w:tc>
          <w:tcPr>
            <w:tcW w:w="709" w:type="dxa"/>
            <w:vMerge w:val="restart"/>
            <w:tcBorders>
              <w:top w:val="nil"/>
              <w:left w:val="single" w:sz="8" w:space="0" w:color="auto"/>
              <w:bottom w:val="single" w:sz="8" w:space="0" w:color="000000"/>
              <w:right w:val="single" w:sz="8" w:space="0" w:color="auto"/>
            </w:tcBorders>
          </w:tcPr>
          <w:p w14:paraId="68B2E3E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w:t>
            </w:r>
          </w:p>
        </w:tc>
        <w:tc>
          <w:tcPr>
            <w:tcW w:w="851" w:type="dxa"/>
            <w:vMerge w:val="restart"/>
            <w:tcBorders>
              <w:top w:val="nil"/>
              <w:left w:val="single" w:sz="8" w:space="0" w:color="auto"/>
              <w:bottom w:val="single" w:sz="8" w:space="0" w:color="000000"/>
              <w:right w:val="single" w:sz="8" w:space="0" w:color="auto"/>
            </w:tcBorders>
          </w:tcPr>
          <w:p w14:paraId="31DF1C3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21</w:t>
            </w:r>
          </w:p>
        </w:tc>
        <w:tc>
          <w:tcPr>
            <w:tcW w:w="850" w:type="dxa"/>
            <w:vMerge w:val="restart"/>
            <w:tcBorders>
              <w:top w:val="nil"/>
              <w:left w:val="single" w:sz="8" w:space="0" w:color="auto"/>
              <w:bottom w:val="single" w:sz="8" w:space="0" w:color="000000"/>
              <w:right w:val="single" w:sz="8" w:space="0" w:color="auto"/>
            </w:tcBorders>
          </w:tcPr>
          <w:p w14:paraId="574971D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6.7</w:t>
            </w:r>
          </w:p>
        </w:tc>
        <w:tc>
          <w:tcPr>
            <w:tcW w:w="992" w:type="dxa"/>
            <w:vMerge w:val="restart"/>
            <w:tcBorders>
              <w:top w:val="nil"/>
              <w:left w:val="single" w:sz="8" w:space="0" w:color="auto"/>
              <w:bottom w:val="single" w:sz="8" w:space="0" w:color="000000"/>
              <w:right w:val="single" w:sz="8" w:space="0" w:color="auto"/>
            </w:tcBorders>
          </w:tcPr>
          <w:p w14:paraId="37A24B5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vMerge w:val="restart"/>
            <w:tcBorders>
              <w:top w:val="nil"/>
              <w:left w:val="single" w:sz="8" w:space="0" w:color="auto"/>
              <w:bottom w:val="single" w:sz="8" w:space="0" w:color="000000"/>
              <w:right w:val="single" w:sz="8" w:space="0" w:color="auto"/>
            </w:tcBorders>
          </w:tcPr>
          <w:p w14:paraId="6830D51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vMerge w:val="restart"/>
            <w:tcBorders>
              <w:top w:val="nil"/>
              <w:left w:val="single" w:sz="8" w:space="0" w:color="auto"/>
              <w:bottom w:val="single" w:sz="8" w:space="0" w:color="000000"/>
              <w:right w:val="single" w:sz="8" w:space="0" w:color="auto"/>
            </w:tcBorders>
          </w:tcPr>
          <w:p w14:paraId="346CC68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r w:rsidRPr="0098635C">
              <w:rPr>
                <w:color w:val="000000" w:themeColor="text1"/>
                <w:sz w:val="20"/>
                <w:szCs w:val="20"/>
                <w:vertAlign w:val="subscript"/>
              </w:rPr>
              <w:t>r</w:t>
            </w:r>
          </w:p>
        </w:tc>
        <w:tc>
          <w:tcPr>
            <w:tcW w:w="851" w:type="dxa"/>
            <w:vMerge w:val="restart"/>
            <w:tcBorders>
              <w:top w:val="nil"/>
              <w:left w:val="single" w:sz="8" w:space="0" w:color="auto"/>
              <w:bottom w:val="single" w:sz="8" w:space="0" w:color="000000"/>
              <w:right w:val="single" w:sz="8" w:space="0" w:color="auto"/>
            </w:tcBorders>
          </w:tcPr>
          <w:p w14:paraId="4C09E338"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91.6</w:t>
            </w:r>
          </w:p>
        </w:tc>
        <w:tc>
          <w:tcPr>
            <w:tcW w:w="1134" w:type="dxa"/>
            <w:vMerge w:val="restart"/>
            <w:tcBorders>
              <w:top w:val="nil"/>
              <w:left w:val="single" w:sz="8" w:space="0" w:color="auto"/>
              <w:bottom w:val="single" w:sz="8" w:space="0" w:color="000000"/>
              <w:right w:val="single" w:sz="8" w:space="0" w:color="auto"/>
            </w:tcBorders>
          </w:tcPr>
          <w:p w14:paraId="325EA69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vMerge w:val="restart"/>
            <w:tcBorders>
              <w:top w:val="single" w:sz="8" w:space="0" w:color="auto"/>
              <w:left w:val="single" w:sz="8" w:space="0" w:color="auto"/>
              <w:bottom w:val="single" w:sz="8" w:space="0" w:color="000000"/>
              <w:right w:val="single" w:sz="8" w:space="0" w:color="000000"/>
            </w:tcBorders>
          </w:tcPr>
          <w:p w14:paraId="742916F6"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112.6</w:t>
            </w:r>
          </w:p>
        </w:tc>
        <w:tc>
          <w:tcPr>
            <w:tcW w:w="1134" w:type="dxa"/>
            <w:vMerge w:val="restart"/>
            <w:tcBorders>
              <w:top w:val="nil"/>
              <w:left w:val="single" w:sz="8" w:space="0" w:color="auto"/>
              <w:bottom w:val="single" w:sz="8" w:space="0" w:color="000000"/>
              <w:right w:val="single" w:sz="12" w:space="0" w:color="auto"/>
            </w:tcBorders>
          </w:tcPr>
          <w:p w14:paraId="6762D91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8" w:space="0" w:color="000000"/>
              <w:left w:val="single" w:sz="8" w:space="0" w:color="auto"/>
              <w:right w:val="single" w:sz="12" w:space="0" w:color="auto"/>
            </w:tcBorders>
          </w:tcPr>
          <w:p w14:paraId="562F662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027FEE4A" w14:textId="77777777" w:rsidTr="00A432B0">
        <w:trPr>
          <w:trHeight w:val="238"/>
        </w:trPr>
        <w:tc>
          <w:tcPr>
            <w:tcW w:w="1402" w:type="dxa"/>
            <w:vMerge/>
            <w:tcBorders>
              <w:top w:val="nil"/>
              <w:left w:val="single" w:sz="8" w:space="0" w:color="auto"/>
              <w:bottom w:val="single" w:sz="8" w:space="0" w:color="000000"/>
              <w:right w:val="single" w:sz="8" w:space="0" w:color="auto"/>
            </w:tcBorders>
            <w:vAlign w:val="center"/>
          </w:tcPr>
          <w:p w14:paraId="57B2128A" w14:textId="77777777" w:rsidR="00632208" w:rsidRPr="0098635C" w:rsidRDefault="00632208" w:rsidP="00A432B0">
            <w:pPr>
              <w:spacing w:after="0"/>
              <w:rPr>
                <w:i/>
                <w:iCs/>
                <w:color w:val="000000" w:themeColor="text1"/>
                <w:sz w:val="20"/>
                <w:szCs w:val="20"/>
              </w:rPr>
            </w:pPr>
          </w:p>
        </w:tc>
        <w:tc>
          <w:tcPr>
            <w:tcW w:w="1276" w:type="dxa"/>
            <w:tcBorders>
              <w:top w:val="nil"/>
              <w:left w:val="nil"/>
              <w:bottom w:val="single" w:sz="8" w:space="0" w:color="auto"/>
              <w:right w:val="single" w:sz="8" w:space="0" w:color="auto"/>
            </w:tcBorders>
          </w:tcPr>
          <w:p w14:paraId="657E2C3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Hygum</w:t>
            </w:r>
          </w:p>
        </w:tc>
        <w:tc>
          <w:tcPr>
            <w:tcW w:w="709" w:type="dxa"/>
            <w:vMerge/>
            <w:tcBorders>
              <w:top w:val="nil"/>
              <w:left w:val="single" w:sz="8" w:space="0" w:color="auto"/>
              <w:bottom w:val="single" w:sz="8" w:space="0" w:color="000000"/>
              <w:right w:val="single" w:sz="8" w:space="0" w:color="auto"/>
            </w:tcBorders>
            <w:vAlign w:val="center"/>
          </w:tcPr>
          <w:p w14:paraId="347261DE" w14:textId="77777777" w:rsidR="00632208" w:rsidRPr="0098635C" w:rsidRDefault="00632208" w:rsidP="00A432B0">
            <w:pPr>
              <w:spacing w:after="0"/>
              <w:rPr>
                <w:color w:val="000000" w:themeColor="text1"/>
                <w:sz w:val="20"/>
                <w:szCs w:val="20"/>
              </w:rPr>
            </w:pPr>
          </w:p>
        </w:tc>
        <w:tc>
          <w:tcPr>
            <w:tcW w:w="708" w:type="dxa"/>
            <w:vMerge/>
            <w:tcBorders>
              <w:top w:val="nil"/>
              <w:left w:val="single" w:sz="8" w:space="0" w:color="auto"/>
              <w:bottom w:val="single" w:sz="8" w:space="0" w:color="000000"/>
              <w:right w:val="single" w:sz="8" w:space="0" w:color="auto"/>
            </w:tcBorders>
            <w:vAlign w:val="center"/>
          </w:tcPr>
          <w:p w14:paraId="2321441D" w14:textId="77777777" w:rsidR="00632208" w:rsidRPr="0098635C" w:rsidRDefault="00632208" w:rsidP="00A432B0">
            <w:pPr>
              <w:spacing w:after="0"/>
              <w:rPr>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4E3EC46E"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59029D21" w14:textId="77777777" w:rsidR="00632208" w:rsidRPr="0098635C" w:rsidRDefault="00632208" w:rsidP="00A432B0">
            <w:pPr>
              <w:spacing w:after="0"/>
              <w:rPr>
                <w:color w:val="000000" w:themeColor="text1"/>
                <w:sz w:val="20"/>
                <w:szCs w:val="20"/>
              </w:rPr>
            </w:pPr>
          </w:p>
        </w:tc>
        <w:tc>
          <w:tcPr>
            <w:tcW w:w="850" w:type="dxa"/>
            <w:vMerge/>
            <w:tcBorders>
              <w:top w:val="nil"/>
              <w:left w:val="single" w:sz="8" w:space="0" w:color="auto"/>
              <w:bottom w:val="single" w:sz="8" w:space="0" w:color="000000"/>
              <w:right w:val="single" w:sz="8" w:space="0" w:color="auto"/>
            </w:tcBorders>
            <w:vAlign w:val="center"/>
          </w:tcPr>
          <w:p w14:paraId="5452EDC7" w14:textId="77777777" w:rsidR="00632208" w:rsidRPr="0098635C" w:rsidRDefault="00632208" w:rsidP="00A432B0">
            <w:pPr>
              <w:spacing w:after="0"/>
              <w:rPr>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0C78CFA0"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11C1E8EC" w14:textId="77777777" w:rsidR="00632208" w:rsidRPr="0098635C" w:rsidRDefault="00632208" w:rsidP="00A432B0">
            <w:pPr>
              <w:spacing w:after="0"/>
              <w:rPr>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57115743" w14:textId="77777777" w:rsidR="00632208" w:rsidRPr="0098635C" w:rsidRDefault="00632208" w:rsidP="00A432B0">
            <w:pPr>
              <w:spacing w:after="0"/>
              <w:rPr>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4F4D81A7"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8" w:space="0" w:color="auto"/>
            </w:tcBorders>
            <w:vAlign w:val="center"/>
          </w:tcPr>
          <w:p w14:paraId="6B73B51D" w14:textId="77777777" w:rsidR="00632208" w:rsidRPr="0098635C" w:rsidRDefault="00632208" w:rsidP="00A432B0">
            <w:pPr>
              <w:spacing w:after="0"/>
              <w:rPr>
                <w:color w:val="000000" w:themeColor="text1"/>
                <w:sz w:val="20"/>
                <w:szCs w:val="20"/>
              </w:rPr>
            </w:pPr>
          </w:p>
        </w:tc>
        <w:tc>
          <w:tcPr>
            <w:tcW w:w="850" w:type="dxa"/>
            <w:vMerge/>
            <w:tcBorders>
              <w:top w:val="single" w:sz="8" w:space="0" w:color="auto"/>
              <w:left w:val="single" w:sz="8" w:space="0" w:color="auto"/>
              <w:bottom w:val="single" w:sz="8" w:space="0" w:color="000000"/>
              <w:right w:val="single" w:sz="8" w:space="0" w:color="000000"/>
            </w:tcBorders>
            <w:vAlign w:val="center"/>
          </w:tcPr>
          <w:p w14:paraId="50F80462" w14:textId="77777777" w:rsidR="00632208" w:rsidRPr="0098635C" w:rsidRDefault="00632208" w:rsidP="00A432B0">
            <w:pPr>
              <w:spacing w:after="0"/>
              <w:rPr>
                <w:color w:val="000000" w:themeColor="text1"/>
                <w:sz w:val="20"/>
                <w:szCs w:val="20"/>
                <w:u w:val="single"/>
              </w:rPr>
            </w:pPr>
          </w:p>
        </w:tc>
        <w:tc>
          <w:tcPr>
            <w:tcW w:w="1134" w:type="dxa"/>
            <w:vMerge/>
            <w:tcBorders>
              <w:top w:val="nil"/>
              <w:left w:val="single" w:sz="8" w:space="0" w:color="auto"/>
              <w:bottom w:val="single" w:sz="8" w:space="0" w:color="000000"/>
              <w:right w:val="single" w:sz="12" w:space="0" w:color="auto"/>
            </w:tcBorders>
            <w:vAlign w:val="center"/>
          </w:tcPr>
          <w:p w14:paraId="55CCFE57" w14:textId="77777777" w:rsidR="00632208" w:rsidRPr="0098635C" w:rsidRDefault="00632208" w:rsidP="00A432B0">
            <w:pPr>
              <w:spacing w:after="0"/>
              <w:rPr>
                <w:color w:val="000000" w:themeColor="text1"/>
                <w:sz w:val="20"/>
                <w:szCs w:val="20"/>
              </w:rPr>
            </w:pPr>
          </w:p>
        </w:tc>
        <w:tc>
          <w:tcPr>
            <w:tcW w:w="1985" w:type="dxa"/>
            <w:tcBorders>
              <w:top w:val="nil"/>
              <w:left w:val="single" w:sz="8" w:space="0" w:color="auto"/>
              <w:bottom w:val="single" w:sz="8" w:space="0" w:color="000000"/>
              <w:right w:val="single" w:sz="12" w:space="0" w:color="auto"/>
            </w:tcBorders>
          </w:tcPr>
          <w:p w14:paraId="3446282C" w14:textId="77777777" w:rsidR="00632208" w:rsidRPr="0098635C" w:rsidRDefault="00632208" w:rsidP="00A432B0">
            <w:pPr>
              <w:spacing w:after="0"/>
              <w:rPr>
                <w:color w:val="000000" w:themeColor="text1"/>
                <w:sz w:val="20"/>
                <w:szCs w:val="20"/>
              </w:rPr>
            </w:pPr>
          </w:p>
        </w:tc>
      </w:tr>
      <w:tr w:rsidR="00632208" w:rsidRPr="0098635C" w14:paraId="4605BB36" w14:textId="77777777" w:rsidTr="00A432B0">
        <w:trPr>
          <w:trHeight w:val="450"/>
        </w:trPr>
        <w:tc>
          <w:tcPr>
            <w:tcW w:w="1402" w:type="dxa"/>
            <w:tcBorders>
              <w:top w:val="nil"/>
              <w:left w:val="single" w:sz="8" w:space="0" w:color="auto"/>
              <w:bottom w:val="single" w:sz="4" w:space="0" w:color="auto"/>
              <w:right w:val="single" w:sz="8" w:space="0" w:color="auto"/>
            </w:tcBorders>
          </w:tcPr>
          <w:p w14:paraId="00E5393F"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nil"/>
              <w:left w:val="nil"/>
              <w:bottom w:val="single" w:sz="4" w:space="0" w:color="auto"/>
              <w:right w:val="single" w:sz="8" w:space="0" w:color="auto"/>
            </w:tcBorders>
          </w:tcPr>
          <w:p w14:paraId="74D1C76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Lufa 2.2</w:t>
            </w:r>
          </w:p>
        </w:tc>
        <w:tc>
          <w:tcPr>
            <w:tcW w:w="709" w:type="dxa"/>
            <w:tcBorders>
              <w:top w:val="nil"/>
              <w:left w:val="nil"/>
              <w:bottom w:val="single" w:sz="4" w:space="0" w:color="auto"/>
              <w:right w:val="single" w:sz="8" w:space="0" w:color="auto"/>
            </w:tcBorders>
          </w:tcPr>
          <w:p w14:paraId="2EDACC7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w:t>
            </w:r>
          </w:p>
        </w:tc>
        <w:tc>
          <w:tcPr>
            <w:tcW w:w="708" w:type="dxa"/>
            <w:tcBorders>
              <w:top w:val="nil"/>
              <w:left w:val="nil"/>
              <w:bottom w:val="single" w:sz="4" w:space="0" w:color="auto"/>
              <w:right w:val="single" w:sz="8" w:space="0" w:color="auto"/>
            </w:tcBorders>
          </w:tcPr>
          <w:p w14:paraId="1AE3D8F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nil"/>
              <w:left w:val="nil"/>
              <w:bottom w:val="single" w:sz="4" w:space="0" w:color="auto"/>
              <w:right w:val="single" w:sz="8" w:space="0" w:color="auto"/>
            </w:tcBorders>
          </w:tcPr>
          <w:p w14:paraId="3207316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nil"/>
              <w:left w:val="nil"/>
              <w:bottom w:val="single" w:sz="4" w:space="0" w:color="auto"/>
              <w:right w:val="single" w:sz="8" w:space="0" w:color="auto"/>
            </w:tcBorders>
          </w:tcPr>
          <w:p w14:paraId="58FE322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5.7</w:t>
            </w:r>
          </w:p>
        </w:tc>
        <w:tc>
          <w:tcPr>
            <w:tcW w:w="850" w:type="dxa"/>
            <w:tcBorders>
              <w:top w:val="nil"/>
              <w:left w:val="nil"/>
              <w:bottom w:val="single" w:sz="4" w:space="0" w:color="auto"/>
              <w:right w:val="single" w:sz="8" w:space="0" w:color="auto"/>
            </w:tcBorders>
          </w:tcPr>
          <w:p w14:paraId="2AD7BD5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7.88</w:t>
            </w:r>
          </w:p>
        </w:tc>
        <w:tc>
          <w:tcPr>
            <w:tcW w:w="992" w:type="dxa"/>
            <w:tcBorders>
              <w:top w:val="nil"/>
              <w:left w:val="nil"/>
              <w:bottom w:val="single" w:sz="4" w:space="0" w:color="auto"/>
              <w:right w:val="single" w:sz="8" w:space="0" w:color="auto"/>
            </w:tcBorders>
          </w:tcPr>
          <w:p w14:paraId="3186A584"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nil"/>
              <w:left w:val="nil"/>
              <w:bottom w:val="single" w:sz="4" w:space="0" w:color="auto"/>
              <w:right w:val="single" w:sz="8" w:space="0" w:color="auto"/>
            </w:tcBorders>
          </w:tcPr>
          <w:p w14:paraId="158891A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nil"/>
              <w:left w:val="nil"/>
              <w:bottom w:val="single" w:sz="4" w:space="0" w:color="auto"/>
              <w:right w:val="single" w:sz="8" w:space="0" w:color="auto"/>
            </w:tcBorders>
          </w:tcPr>
          <w:p w14:paraId="3349295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p>
        </w:tc>
        <w:tc>
          <w:tcPr>
            <w:tcW w:w="851" w:type="dxa"/>
            <w:tcBorders>
              <w:top w:val="nil"/>
              <w:left w:val="nil"/>
              <w:bottom w:val="single" w:sz="4" w:space="0" w:color="auto"/>
              <w:right w:val="single" w:sz="8" w:space="0" w:color="auto"/>
            </w:tcBorders>
          </w:tcPr>
          <w:p w14:paraId="18C478E7"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81.9</w:t>
            </w:r>
          </w:p>
        </w:tc>
        <w:tc>
          <w:tcPr>
            <w:tcW w:w="1134" w:type="dxa"/>
            <w:tcBorders>
              <w:top w:val="nil"/>
              <w:left w:val="nil"/>
              <w:bottom w:val="single" w:sz="4" w:space="0" w:color="auto"/>
              <w:right w:val="single" w:sz="8" w:space="0" w:color="auto"/>
            </w:tcBorders>
          </w:tcPr>
          <w:p w14:paraId="445EFE8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8" w:space="0" w:color="auto"/>
              <w:left w:val="nil"/>
              <w:bottom w:val="single" w:sz="4" w:space="0" w:color="auto"/>
              <w:right w:val="single" w:sz="8" w:space="0" w:color="000000"/>
            </w:tcBorders>
          </w:tcPr>
          <w:p w14:paraId="0B5734E6"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87.6</w:t>
            </w:r>
          </w:p>
        </w:tc>
        <w:tc>
          <w:tcPr>
            <w:tcW w:w="1134" w:type="dxa"/>
            <w:tcBorders>
              <w:top w:val="nil"/>
              <w:left w:val="nil"/>
              <w:bottom w:val="single" w:sz="4" w:space="0" w:color="auto"/>
              <w:right w:val="single" w:sz="12" w:space="0" w:color="auto"/>
            </w:tcBorders>
          </w:tcPr>
          <w:p w14:paraId="2B95035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nil"/>
              <w:left w:val="nil"/>
              <w:bottom w:val="single" w:sz="4" w:space="0" w:color="auto"/>
              <w:right w:val="single" w:sz="12" w:space="0" w:color="auto"/>
            </w:tcBorders>
          </w:tcPr>
          <w:p w14:paraId="0EAE0BC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37F30DC6" w14:textId="77777777" w:rsidTr="00A432B0">
        <w:trPr>
          <w:trHeight w:val="450"/>
        </w:trPr>
        <w:tc>
          <w:tcPr>
            <w:tcW w:w="1402" w:type="dxa"/>
            <w:tcBorders>
              <w:top w:val="single" w:sz="4" w:space="0" w:color="auto"/>
              <w:left w:val="single" w:sz="8" w:space="0" w:color="auto"/>
              <w:bottom w:val="single" w:sz="4" w:space="0" w:color="auto"/>
              <w:right w:val="single" w:sz="8" w:space="0" w:color="auto"/>
            </w:tcBorders>
          </w:tcPr>
          <w:p w14:paraId="64EBE71F"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fetida</w:t>
            </w:r>
          </w:p>
        </w:tc>
        <w:tc>
          <w:tcPr>
            <w:tcW w:w="1276" w:type="dxa"/>
            <w:tcBorders>
              <w:top w:val="single" w:sz="4" w:space="0" w:color="auto"/>
              <w:left w:val="nil"/>
              <w:bottom w:val="single" w:sz="4" w:space="0" w:color="auto"/>
              <w:right w:val="single" w:sz="8" w:space="0" w:color="auto"/>
            </w:tcBorders>
          </w:tcPr>
          <w:p w14:paraId="490E8EA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OECD</w:t>
            </w:r>
          </w:p>
        </w:tc>
        <w:tc>
          <w:tcPr>
            <w:tcW w:w="709" w:type="dxa"/>
            <w:tcBorders>
              <w:top w:val="single" w:sz="4" w:space="0" w:color="auto"/>
              <w:left w:val="nil"/>
              <w:bottom w:val="single" w:sz="4" w:space="0" w:color="auto"/>
              <w:right w:val="single" w:sz="8" w:space="0" w:color="auto"/>
            </w:tcBorders>
          </w:tcPr>
          <w:p w14:paraId="4E83FA0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6.45</w:t>
            </w:r>
          </w:p>
        </w:tc>
        <w:tc>
          <w:tcPr>
            <w:tcW w:w="708" w:type="dxa"/>
            <w:tcBorders>
              <w:top w:val="single" w:sz="4" w:space="0" w:color="auto"/>
              <w:left w:val="nil"/>
              <w:bottom w:val="single" w:sz="4" w:space="0" w:color="auto"/>
              <w:right w:val="single" w:sz="8" w:space="0" w:color="auto"/>
            </w:tcBorders>
          </w:tcPr>
          <w:p w14:paraId="381AE7EF"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single" w:sz="4" w:space="0" w:color="auto"/>
              <w:left w:val="nil"/>
              <w:bottom w:val="single" w:sz="4" w:space="0" w:color="auto"/>
              <w:right w:val="single" w:sz="8" w:space="0" w:color="auto"/>
            </w:tcBorders>
          </w:tcPr>
          <w:p w14:paraId="7B40810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single" w:sz="4" w:space="0" w:color="auto"/>
              <w:left w:val="nil"/>
              <w:bottom w:val="single" w:sz="4" w:space="0" w:color="auto"/>
              <w:right w:val="single" w:sz="8" w:space="0" w:color="auto"/>
            </w:tcBorders>
          </w:tcPr>
          <w:p w14:paraId="74A3EFF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2.3</w:t>
            </w:r>
          </w:p>
        </w:tc>
        <w:tc>
          <w:tcPr>
            <w:tcW w:w="850" w:type="dxa"/>
            <w:tcBorders>
              <w:top w:val="single" w:sz="4" w:space="0" w:color="auto"/>
              <w:left w:val="nil"/>
              <w:bottom w:val="single" w:sz="4" w:space="0" w:color="auto"/>
              <w:right w:val="single" w:sz="8" w:space="0" w:color="auto"/>
            </w:tcBorders>
          </w:tcPr>
          <w:p w14:paraId="503AD17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16.74</w:t>
            </w:r>
          </w:p>
        </w:tc>
        <w:tc>
          <w:tcPr>
            <w:tcW w:w="992" w:type="dxa"/>
            <w:tcBorders>
              <w:top w:val="single" w:sz="4" w:space="0" w:color="auto"/>
              <w:left w:val="nil"/>
              <w:bottom w:val="single" w:sz="4" w:space="0" w:color="auto"/>
              <w:right w:val="single" w:sz="8" w:space="0" w:color="auto"/>
            </w:tcBorders>
          </w:tcPr>
          <w:p w14:paraId="7B83B01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single" w:sz="4" w:space="0" w:color="auto"/>
              <w:left w:val="nil"/>
              <w:bottom w:val="single" w:sz="4" w:space="0" w:color="auto"/>
              <w:right w:val="single" w:sz="8" w:space="0" w:color="auto"/>
            </w:tcBorders>
          </w:tcPr>
          <w:p w14:paraId="0607D3C7"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single" w:sz="4" w:space="0" w:color="auto"/>
              <w:left w:val="nil"/>
              <w:bottom w:val="single" w:sz="4" w:space="0" w:color="auto"/>
              <w:right w:val="single" w:sz="8" w:space="0" w:color="auto"/>
            </w:tcBorders>
          </w:tcPr>
          <w:p w14:paraId="7554365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p>
        </w:tc>
        <w:tc>
          <w:tcPr>
            <w:tcW w:w="851" w:type="dxa"/>
            <w:tcBorders>
              <w:top w:val="single" w:sz="4" w:space="0" w:color="auto"/>
              <w:left w:val="nil"/>
              <w:bottom w:val="single" w:sz="4" w:space="0" w:color="auto"/>
              <w:right w:val="single" w:sz="8" w:space="0" w:color="auto"/>
            </w:tcBorders>
          </w:tcPr>
          <w:p w14:paraId="3AB642AF"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186</w:t>
            </w:r>
          </w:p>
        </w:tc>
        <w:tc>
          <w:tcPr>
            <w:tcW w:w="1134" w:type="dxa"/>
            <w:tcBorders>
              <w:top w:val="single" w:sz="4" w:space="0" w:color="auto"/>
              <w:left w:val="nil"/>
              <w:bottom w:val="single" w:sz="4" w:space="0" w:color="auto"/>
              <w:right w:val="single" w:sz="8" w:space="0" w:color="auto"/>
            </w:tcBorders>
          </w:tcPr>
          <w:p w14:paraId="7D2916B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4" w:space="0" w:color="auto"/>
              <w:left w:val="nil"/>
              <w:bottom w:val="single" w:sz="4" w:space="0" w:color="auto"/>
              <w:right w:val="single" w:sz="8" w:space="0" w:color="000000"/>
            </w:tcBorders>
          </w:tcPr>
          <w:p w14:paraId="2C58DD25"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188</w:t>
            </w:r>
          </w:p>
        </w:tc>
        <w:tc>
          <w:tcPr>
            <w:tcW w:w="1134" w:type="dxa"/>
            <w:tcBorders>
              <w:top w:val="single" w:sz="4" w:space="0" w:color="auto"/>
              <w:left w:val="nil"/>
              <w:bottom w:val="single" w:sz="4" w:space="0" w:color="auto"/>
              <w:right w:val="single" w:sz="12" w:space="0" w:color="auto"/>
            </w:tcBorders>
          </w:tcPr>
          <w:p w14:paraId="6828A1B1"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4" w:space="0" w:color="auto"/>
              <w:left w:val="nil"/>
              <w:bottom w:val="single" w:sz="4" w:space="0" w:color="auto"/>
              <w:right w:val="single" w:sz="12" w:space="0" w:color="auto"/>
            </w:tcBorders>
          </w:tcPr>
          <w:p w14:paraId="79CFE78D"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r w:rsidR="00632208" w:rsidRPr="0098635C" w14:paraId="4E981BD6" w14:textId="77777777" w:rsidTr="00A432B0">
        <w:trPr>
          <w:trHeight w:val="463"/>
        </w:trPr>
        <w:tc>
          <w:tcPr>
            <w:tcW w:w="1402" w:type="dxa"/>
            <w:tcBorders>
              <w:top w:val="single" w:sz="4" w:space="0" w:color="auto"/>
              <w:left w:val="single" w:sz="8" w:space="0" w:color="auto"/>
              <w:bottom w:val="single" w:sz="4" w:space="0" w:color="auto"/>
              <w:right w:val="single" w:sz="8" w:space="0" w:color="auto"/>
            </w:tcBorders>
          </w:tcPr>
          <w:p w14:paraId="02644105" w14:textId="77777777" w:rsidR="00632208" w:rsidRPr="0098635C" w:rsidRDefault="00632208" w:rsidP="00A432B0">
            <w:pPr>
              <w:spacing w:after="0"/>
              <w:jc w:val="center"/>
              <w:rPr>
                <w:i/>
                <w:iCs/>
                <w:color w:val="000000" w:themeColor="text1"/>
                <w:sz w:val="20"/>
                <w:szCs w:val="20"/>
              </w:rPr>
            </w:pPr>
            <w:r w:rsidRPr="0098635C">
              <w:rPr>
                <w:i/>
                <w:iCs/>
                <w:color w:val="000000" w:themeColor="text1"/>
                <w:sz w:val="20"/>
                <w:szCs w:val="20"/>
              </w:rPr>
              <w:t>Eisenia andrei</w:t>
            </w:r>
          </w:p>
        </w:tc>
        <w:tc>
          <w:tcPr>
            <w:tcW w:w="1276" w:type="dxa"/>
            <w:tcBorders>
              <w:top w:val="single" w:sz="4" w:space="0" w:color="auto"/>
              <w:left w:val="nil"/>
              <w:bottom w:val="single" w:sz="4" w:space="0" w:color="auto"/>
              <w:right w:val="single" w:sz="8" w:space="0" w:color="auto"/>
            </w:tcBorders>
          </w:tcPr>
          <w:p w14:paraId="5B1F195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Lufa 2.2</w:t>
            </w:r>
          </w:p>
        </w:tc>
        <w:tc>
          <w:tcPr>
            <w:tcW w:w="709" w:type="dxa"/>
            <w:tcBorders>
              <w:top w:val="single" w:sz="4" w:space="0" w:color="auto"/>
              <w:left w:val="nil"/>
              <w:bottom w:val="single" w:sz="4" w:space="0" w:color="auto"/>
              <w:right w:val="single" w:sz="8" w:space="0" w:color="auto"/>
            </w:tcBorders>
          </w:tcPr>
          <w:p w14:paraId="531CAF4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w:t>
            </w:r>
          </w:p>
        </w:tc>
        <w:tc>
          <w:tcPr>
            <w:tcW w:w="708" w:type="dxa"/>
            <w:tcBorders>
              <w:top w:val="single" w:sz="4" w:space="0" w:color="auto"/>
              <w:left w:val="nil"/>
              <w:bottom w:val="single" w:sz="4" w:space="0" w:color="auto"/>
              <w:right w:val="single" w:sz="8" w:space="0" w:color="auto"/>
            </w:tcBorders>
          </w:tcPr>
          <w:p w14:paraId="0E7CDA8A"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709" w:type="dxa"/>
            <w:tcBorders>
              <w:top w:val="single" w:sz="4" w:space="0" w:color="auto"/>
              <w:left w:val="nil"/>
              <w:bottom w:val="single" w:sz="4" w:space="0" w:color="auto"/>
              <w:right w:val="single" w:sz="8" w:space="0" w:color="auto"/>
            </w:tcBorders>
          </w:tcPr>
          <w:p w14:paraId="66D885E5"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1" w:type="dxa"/>
            <w:tcBorders>
              <w:top w:val="single" w:sz="4" w:space="0" w:color="auto"/>
              <w:left w:val="nil"/>
              <w:bottom w:val="single" w:sz="4" w:space="0" w:color="auto"/>
              <w:right w:val="single" w:sz="8" w:space="0" w:color="auto"/>
            </w:tcBorders>
          </w:tcPr>
          <w:p w14:paraId="1B959103"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5.7</w:t>
            </w:r>
          </w:p>
        </w:tc>
        <w:tc>
          <w:tcPr>
            <w:tcW w:w="850" w:type="dxa"/>
            <w:tcBorders>
              <w:top w:val="single" w:sz="4" w:space="0" w:color="auto"/>
              <w:left w:val="nil"/>
              <w:bottom w:val="single" w:sz="4" w:space="0" w:color="auto"/>
              <w:right w:val="single" w:sz="8" w:space="0" w:color="auto"/>
            </w:tcBorders>
          </w:tcPr>
          <w:p w14:paraId="53E8EC5E"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7.88</w:t>
            </w:r>
          </w:p>
        </w:tc>
        <w:tc>
          <w:tcPr>
            <w:tcW w:w="992" w:type="dxa"/>
            <w:tcBorders>
              <w:top w:val="single" w:sz="4" w:space="0" w:color="auto"/>
              <w:left w:val="nil"/>
              <w:bottom w:val="single" w:sz="4" w:space="0" w:color="auto"/>
              <w:right w:val="single" w:sz="8" w:space="0" w:color="auto"/>
            </w:tcBorders>
          </w:tcPr>
          <w:p w14:paraId="29C0A88B"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7</w:t>
            </w:r>
          </w:p>
        </w:tc>
        <w:tc>
          <w:tcPr>
            <w:tcW w:w="851" w:type="dxa"/>
            <w:tcBorders>
              <w:top w:val="single" w:sz="4" w:space="0" w:color="auto"/>
              <w:left w:val="nil"/>
              <w:bottom w:val="single" w:sz="4" w:space="0" w:color="auto"/>
              <w:right w:val="single" w:sz="8" w:space="0" w:color="auto"/>
            </w:tcBorders>
          </w:tcPr>
          <w:p w14:paraId="5F0EA088"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28</w:t>
            </w:r>
          </w:p>
        </w:tc>
        <w:tc>
          <w:tcPr>
            <w:tcW w:w="992" w:type="dxa"/>
            <w:tcBorders>
              <w:top w:val="single" w:sz="4" w:space="0" w:color="auto"/>
              <w:left w:val="nil"/>
              <w:bottom w:val="single" w:sz="4" w:space="0" w:color="auto"/>
              <w:right w:val="single" w:sz="8" w:space="0" w:color="auto"/>
            </w:tcBorders>
          </w:tcPr>
          <w:p w14:paraId="4F31588C"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NOEC</w:t>
            </w:r>
          </w:p>
        </w:tc>
        <w:tc>
          <w:tcPr>
            <w:tcW w:w="851" w:type="dxa"/>
            <w:tcBorders>
              <w:top w:val="single" w:sz="4" w:space="0" w:color="auto"/>
              <w:left w:val="nil"/>
              <w:bottom w:val="single" w:sz="4" w:space="0" w:color="auto"/>
              <w:right w:val="single" w:sz="8" w:space="0" w:color="auto"/>
            </w:tcBorders>
          </w:tcPr>
          <w:p w14:paraId="331ED637"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154</w:t>
            </w:r>
          </w:p>
        </w:tc>
        <w:tc>
          <w:tcPr>
            <w:tcW w:w="1134" w:type="dxa"/>
            <w:tcBorders>
              <w:top w:val="single" w:sz="4" w:space="0" w:color="auto"/>
              <w:left w:val="nil"/>
              <w:bottom w:val="single" w:sz="4" w:space="0" w:color="auto"/>
              <w:right w:val="single" w:sz="8" w:space="0" w:color="auto"/>
            </w:tcBorders>
          </w:tcPr>
          <w:p w14:paraId="410CD046"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850" w:type="dxa"/>
            <w:tcBorders>
              <w:top w:val="single" w:sz="4" w:space="0" w:color="auto"/>
              <w:left w:val="nil"/>
              <w:bottom w:val="single" w:sz="4" w:space="0" w:color="auto"/>
              <w:right w:val="single" w:sz="8" w:space="0" w:color="000000"/>
            </w:tcBorders>
          </w:tcPr>
          <w:p w14:paraId="239EF488" w14:textId="77777777" w:rsidR="00632208" w:rsidRPr="0098635C" w:rsidRDefault="00632208" w:rsidP="00A432B0">
            <w:pPr>
              <w:spacing w:after="0"/>
              <w:jc w:val="center"/>
              <w:rPr>
                <w:color w:val="000000" w:themeColor="text1"/>
                <w:sz w:val="20"/>
                <w:szCs w:val="20"/>
                <w:u w:val="single"/>
              </w:rPr>
            </w:pPr>
            <w:r w:rsidRPr="0098635C">
              <w:rPr>
                <w:color w:val="000000" w:themeColor="text1"/>
                <w:sz w:val="20"/>
                <w:szCs w:val="20"/>
                <w:u w:val="single"/>
              </w:rPr>
              <w:t>159</w:t>
            </w:r>
          </w:p>
        </w:tc>
        <w:tc>
          <w:tcPr>
            <w:tcW w:w="1134" w:type="dxa"/>
            <w:tcBorders>
              <w:top w:val="single" w:sz="4" w:space="0" w:color="auto"/>
              <w:left w:val="nil"/>
              <w:bottom w:val="single" w:sz="4" w:space="0" w:color="auto"/>
              <w:right w:val="single" w:sz="12" w:space="0" w:color="auto"/>
            </w:tcBorders>
          </w:tcPr>
          <w:p w14:paraId="2417DCD9"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 </w:t>
            </w:r>
          </w:p>
        </w:tc>
        <w:tc>
          <w:tcPr>
            <w:tcW w:w="1985" w:type="dxa"/>
            <w:tcBorders>
              <w:top w:val="single" w:sz="4" w:space="0" w:color="auto"/>
              <w:left w:val="nil"/>
              <w:bottom w:val="single" w:sz="4" w:space="0" w:color="auto"/>
              <w:right w:val="single" w:sz="12" w:space="0" w:color="auto"/>
            </w:tcBorders>
          </w:tcPr>
          <w:p w14:paraId="428049B2" w14:textId="77777777" w:rsidR="00632208" w:rsidRPr="0098635C" w:rsidRDefault="00632208" w:rsidP="00A432B0">
            <w:pPr>
              <w:spacing w:after="0"/>
              <w:jc w:val="center"/>
              <w:rPr>
                <w:color w:val="000000" w:themeColor="text1"/>
                <w:sz w:val="20"/>
                <w:szCs w:val="20"/>
              </w:rPr>
            </w:pPr>
            <w:r w:rsidRPr="0098635C">
              <w:rPr>
                <w:color w:val="000000" w:themeColor="text1"/>
                <w:sz w:val="20"/>
                <w:szCs w:val="20"/>
              </w:rPr>
              <w:t>Criel et al, 2005</w:t>
            </w:r>
          </w:p>
        </w:tc>
      </w:tr>
    </w:tbl>
    <w:p w14:paraId="3C70C958" w14:textId="77777777" w:rsidR="00632208" w:rsidRPr="0098635C" w:rsidRDefault="00632208" w:rsidP="00632208">
      <w:pPr>
        <w:spacing w:before="80"/>
        <w:rPr>
          <w:b/>
          <w:bCs/>
          <w:color w:val="000000" w:themeColor="text1"/>
          <w:sz w:val="20"/>
          <w:szCs w:val="20"/>
        </w:rPr>
      </w:pPr>
    </w:p>
    <w:p w14:paraId="4DE8FE53" w14:textId="77777777" w:rsidR="00632208" w:rsidRPr="0098635C" w:rsidRDefault="00632208" w:rsidP="00632208">
      <w:pPr>
        <w:widowControl/>
        <w:autoSpaceDE/>
        <w:autoSpaceDN/>
        <w:adjustRightInd/>
        <w:rPr>
          <w:b/>
          <w:bCs/>
          <w:color w:val="000000" w:themeColor="text1"/>
          <w:sz w:val="20"/>
          <w:szCs w:val="20"/>
        </w:rPr>
      </w:pPr>
      <w:r w:rsidRPr="0098635C">
        <w:rPr>
          <w:b/>
          <w:bCs/>
          <w:color w:val="000000" w:themeColor="text1"/>
          <w:sz w:val="20"/>
          <w:szCs w:val="20"/>
        </w:rPr>
        <w:br w:type="page"/>
      </w:r>
    </w:p>
    <w:p w14:paraId="64AE0074" w14:textId="2A70C938" w:rsidR="00632208" w:rsidRPr="0098635C" w:rsidRDefault="00965849" w:rsidP="00632208">
      <w:pPr>
        <w:spacing w:before="80"/>
        <w:rPr>
          <w:bCs/>
          <w:color w:val="000000" w:themeColor="text1"/>
          <w:sz w:val="20"/>
          <w:szCs w:val="20"/>
        </w:rPr>
      </w:pPr>
      <w:r w:rsidRPr="0098635C">
        <w:rPr>
          <w:rFonts w:eastAsia="Calibri"/>
          <w:color w:val="000000" w:themeColor="text1"/>
          <w:sz w:val="20"/>
          <w:szCs w:val="20"/>
        </w:rPr>
        <w:lastRenderedPageBreak/>
        <w:t>Annex XV</w:t>
      </w:r>
      <w:r w:rsidR="00EC6F09" w:rsidRPr="0098635C">
        <w:rPr>
          <w:rFonts w:eastAsia="Calibri"/>
          <w:color w:val="000000" w:themeColor="text1"/>
          <w:sz w:val="20"/>
          <w:szCs w:val="20"/>
        </w:rPr>
        <w:t>I</w:t>
      </w:r>
      <w:r w:rsidRPr="0098635C">
        <w:rPr>
          <w:rFonts w:eastAsia="Calibri"/>
          <w:color w:val="000000" w:themeColor="text1"/>
          <w:sz w:val="20"/>
          <w:szCs w:val="20"/>
        </w:rPr>
        <w:t xml:space="preserve">: </w:t>
      </w:r>
      <w:r w:rsidR="00632208" w:rsidRPr="0098635C">
        <w:rPr>
          <w:bCs/>
          <w:color w:val="000000" w:themeColor="text1"/>
          <w:sz w:val="20"/>
          <w:szCs w:val="20"/>
        </w:rPr>
        <w:t>Overview of the NOEC values for plants</w:t>
      </w:r>
    </w:p>
    <w:p w14:paraId="77B87962" w14:textId="3CBE9D66" w:rsidR="00632208" w:rsidRPr="0098635C" w:rsidRDefault="00632208" w:rsidP="00982513">
      <w:pPr>
        <w:pStyle w:val="Tablenote"/>
        <w:ind w:left="0"/>
        <w:rPr>
          <w:color w:val="000000" w:themeColor="text1"/>
          <w:lang w:val="en-GB"/>
        </w:rPr>
      </w:pPr>
      <w:r w:rsidRPr="0098635C">
        <w:rPr>
          <w:bCs/>
          <w:color w:val="000000" w:themeColor="text1"/>
        </w:rPr>
        <w:t xml:space="preserve">Values selected for the effects assessment are underlined. </w:t>
      </w:r>
      <w:r w:rsidRPr="0098635C">
        <w:rPr>
          <w:color w:val="000000" w:themeColor="text1"/>
        </w:rPr>
        <w:t xml:space="preserve"> See IUCLID/RAR (2008) for reasons on the selection</w:t>
      </w:r>
      <w:r w:rsidR="00982513" w:rsidRPr="0098635C">
        <w:rPr>
          <w:color w:val="000000" w:themeColor="text1"/>
        </w:rPr>
        <w:t xml:space="preserve">. </w:t>
      </w:r>
      <w:r w:rsidR="00982513" w:rsidRPr="0098635C">
        <w:rPr>
          <w:color w:val="000000" w:themeColor="text1"/>
          <w:lang w:val="en-GB"/>
        </w:rPr>
        <w:t>NOEC indices: m = mortality; y = yield (based on root (r), shoot (s), leaves (l), stem (st), grain (g), tubers (tub) or total plant (tp) dry weight); rep = reproductive dry matter; sb = seed biomass; ; se=seedling emergence; rl = root length. Estimated background copper concentrations and CEC** are indicated in italics.</w:t>
      </w:r>
    </w:p>
    <w:tbl>
      <w:tblPr>
        <w:tblpPr w:leftFromText="180" w:rightFromText="180" w:vertAnchor="text" w:horzAnchor="page" w:tblpX="949" w:tblpY="375"/>
        <w:tblOverlap w:val="never"/>
        <w:tblW w:w="15255" w:type="dxa"/>
        <w:tblLayout w:type="fixed"/>
        <w:tblLook w:val="0000" w:firstRow="0" w:lastRow="0" w:firstColumn="0" w:lastColumn="0" w:noHBand="0" w:noVBand="0"/>
      </w:tblPr>
      <w:tblGrid>
        <w:gridCol w:w="1647"/>
        <w:gridCol w:w="1276"/>
        <w:gridCol w:w="425"/>
        <w:gridCol w:w="709"/>
        <w:gridCol w:w="709"/>
        <w:gridCol w:w="709"/>
        <w:gridCol w:w="850"/>
        <w:gridCol w:w="992"/>
        <w:gridCol w:w="709"/>
        <w:gridCol w:w="992"/>
        <w:gridCol w:w="993"/>
        <w:gridCol w:w="1275"/>
        <w:gridCol w:w="851"/>
        <w:gridCol w:w="1134"/>
        <w:gridCol w:w="1984"/>
      </w:tblGrid>
      <w:tr w:rsidR="00632208" w:rsidRPr="0098635C" w14:paraId="1DC771A5" w14:textId="77777777" w:rsidTr="00A432B0">
        <w:trPr>
          <w:trHeight w:val="177"/>
        </w:trPr>
        <w:tc>
          <w:tcPr>
            <w:tcW w:w="1647" w:type="dxa"/>
            <w:tcBorders>
              <w:top w:val="single" w:sz="12" w:space="0" w:color="auto"/>
              <w:left w:val="single" w:sz="4" w:space="0" w:color="auto"/>
              <w:bottom w:val="single" w:sz="8" w:space="0" w:color="auto"/>
              <w:right w:val="single" w:sz="8" w:space="0" w:color="auto"/>
            </w:tcBorders>
          </w:tcPr>
          <w:p w14:paraId="7B15991D" w14:textId="5789E06D" w:rsidR="00632208" w:rsidRPr="0098635C" w:rsidRDefault="00632208" w:rsidP="00982513">
            <w:pPr>
              <w:spacing w:after="0"/>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 </w:t>
            </w:r>
          </w:p>
        </w:tc>
        <w:tc>
          <w:tcPr>
            <w:tcW w:w="1276" w:type="dxa"/>
            <w:tcBorders>
              <w:top w:val="single" w:sz="12" w:space="0" w:color="auto"/>
              <w:left w:val="nil"/>
              <w:bottom w:val="single" w:sz="8" w:space="0" w:color="auto"/>
              <w:right w:val="single" w:sz="8" w:space="0" w:color="auto"/>
            </w:tcBorders>
          </w:tcPr>
          <w:p w14:paraId="069FEFB0"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 </w:t>
            </w:r>
          </w:p>
        </w:tc>
        <w:tc>
          <w:tcPr>
            <w:tcW w:w="425" w:type="dxa"/>
            <w:tcBorders>
              <w:top w:val="single" w:sz="12" w:space="0" w:color="auto"/>
              <w:left w:val="nil"/>
              <w:bottom w:val="single" w:sz="8" w:space="0" w:color="auto"/>
              <w:right w:val="single" w:sz="8" w:space="0" w:color="auto"/>
            </w:tcBorders>
          </w:tcPr>
          <w:p w14:paraId="40BAFA0B"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 </w:t>
            </w:r>
          </w:p>
        </w:tc>
        <w:tc>
          <w:tcPr>
            <w:tcW w:w="709" w:type="dxa"/>
            <w:tcBorders>
              <w:top w:val="single" w:sz="12" w:space="0" w:color="auto"/>
              <w:left w:val="nil"/>
              <w:bottom w:val="single" w:sz="8" w:space="0" w:color="auto"/>
              <w:right w:val="single" w:sz="8" w:space="0" w:color="auto"/>
            </w:tcBorders>
          </w:tcPr>
          <w:p w14:paraId="6017604B"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 </w:t>
            </w:r>
          </w:p>
        </w:tc>
        <w:tc>
          <w:tcPr>
            <w:tcW w:w="709" w:type="dxa"/>
            <w:tcBorders>
              <w:top w:val="single" w:sz="12" w:space="0" w:color="auto"/>
              <w:left w:val="nil"/>
              <w:bottom w:val="single" w:sz="8" w:space="0" w:color="auto"/>
              <w:right w:val="single" w:sz="8" w:space="0" w:color="auto"/>
            </w:tcBorders>
          </w:tcPr>
          <w:p w14:paraId="7BD61773"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 </w:t>
            </w:r>
          </w:p>
        </w:tc>
        <w:tc>
          <w:tcPr>
            <w:tcW w:w="709" w:type="dxa"/>
            <w:tcBorders>
              <w:top w:val="single" w:sz="12" w:space="0" w:color="auto"/>
              <w:left w:val="nil"/>
              <w:bottom w:val="single" w:sz="8" w:space="0" w:color="auto"/>
              <w:right w:val="single" w:sz="8" w:space="0" w:color="auto"/>
            </w:tcBorders>
          </w:tcPr>
          <w:p w14:paraId="5F4EA0CB"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 </w:t>
            </w:r>
          </w:p>
        </w:tc>
        <w:tc>
          <w:tcPr>
            <w:tcW w:w="850" w:type="dxa"/>
            <w:tcBorders>
              <w:top w:val="single" w:sz="12" w:space="0" w:color="auto"/>
              <w:left w:val="nil"/>
              <w:bottom w:val="single" w:sz="8" w:space="0" w:color="auto"/>
              <w:right w:val="single" w:sz="8" w:space="0" w:color="auto"/>
            </w:tcBorders>
          </w:tcPr>
          <w:p w14:paraId="667B7C10"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 </w:t>
            </w:r>
          </w:p>
        </w:tc>
        <w:tc>
          <w:tcPr>
            <w:tcW w:w="992" w:type="dxa"/>
            <w:tcBorders>
              <w:top w:val="single" w:sz="12" w:space="0" w:color="auto"/>
              <w:left w:val="nil"/>
              <w:bottom w:val="single" w:sz="8" w:space="0" w:color="auto"/>
              <w:right w:val="single" w:sz="8" w:space="0" w:color="auto"/>
            </w:tcBorders>
          </w:tcPr>
          <w:p w14:paraId="2A53565E"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 </w:t>
            </w:r>
          </w:p>
        </w:tc>
        <w:tc>
          <w:tcPr>
            <w:tcW w:w="709" w:type="dxa"/>
            <w:tcBorders>
              <w:top w:val="single" w:sz="12" w:space="0" w:color="auto"/>
              <w:left w:val="nil"/>
              <w:bottom w:val="single" w:sz="8" w:space="0" w:color="auto"/>
              <w:right w:val="single" w:sz="8" w:space="0" w:color="auto"/>
            </w:tcBorders>
          </w:tcPr>
          <w:p w14:paraId="5A2524D8"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 </w:t>
            </w:r>
          </w:p>
        </w:tc>
        <w:tc>
          <w:tcPr>
            <w:tcW w:w="992" w:type="dxa"/>
            <w:tcBorders>
              <w:top w:val="single" w:sz="12" w:space="0" w:color="auto"/>
              <w:left w:val="nil"/>
              <w:bottom w:val="single" w:sz="8" w:space="0" w:color="auto"/>
              <w:right w:val="single" w:sz="8" w:space="0" w:color="auto"/>
            </w:tcBorders>
          </w:tcPr>
          <w:p w14:paraId="5E03645C"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 </w:t>
            </w:r>
          </w:p>
        </w:tc>
        <w:tc>
          <w:tcPr>
            <w:tcW w:w="2268" w:type="dxa"/>
            <w:gridSpan w:val="2"/>
            <w:tcBorders>
              <w:top w:val="single" w:sz="12" w:space="0" w:color="auto"/>
              <w:left w:val="nil"/>
              <w:bottom w:val="single" w:sz="8" w:space="0" w:color="auto"/>
              <w:right w:val="nil"/>
            </w:tcBorders>
          </w:tcPr>
          <w:p w14:paraId="432DFADC"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Added NOEC</w:t>
            </w:r>
          </w:p>
        </w:tc>
        <w:tc>
          <w:tcPr>
            <w:tcW w:w="1985" w:type="dxa"/>
            <w:gridSpan w:val="2"/>
            <w:tcBorders>
              <w:top w:val="single" w:sz="12" w:space="0" w:color="auto"/>
              <w:left w:val="single" w:sz="8" w:space="0" w:color="auto"/>
              <w:bottom w:val="single" w:sz="8" w:space="0" w:color="auto"/>
              <w:right w:val="single" w:sz="12" w:space="0" w:color="000000"/>
            </w:tcBorders>
          </w:tcPr>
          <w:p w14:paraId="55FD90CE"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Total NOEC</w:t>
            </w:r>
          </w:p>
        </w:tc>
        <w:tc>
          <w:tcPr>
            <w:tcW w:w="1984" w:type="dxa"/>
            <w:tcBorders>
              <w:top w:val="single" w:sz="12" w:space="0" w:color="auto"/>
              <w:left w:val="single" w:sz="8" w:space="0" w:color="auto"/>
              <w:bottom w:val="single" w:sz="8" w:space="0" w:color="auto"/>
              <w:right w:val="single" w:sz="12" w:space="0" w:color="000000"/>
            </w:tcBorders>
          </w:tcPr>
          <w:p w14:paraId="7BA9023A"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Reference</w:t>
            </w:r>
          </w:p>
        </w:tc>
      </w:tr>
      <w:tr w:rsidR="00632208" w:rsidRPr="0098635C" w14:paraId="1F0501B0" w14:textId="77777777" w:rsidTr="00A432B0">
        <w:trPr>
          <w:trHeight w:val="391"/>
        </w:trPr>
        <w:tc>
          <w:tcPr>
            <w:tcW w:w="1647" w:type="dxa"/>
            <w:tcBorders>
              <w:top w:val="nil"/>
              <w:left w:val="single" w:sz="4" w:space="0" w:color="auto"/>
              <w:bottom w:val="single" w:sz="8" w:space="0" w:color="auto"/>
              <w:right w:val="single" w:sz="8" w:space="0" w:color="auto"/>
            </w:tcBorders>
          </w:tcPr>
          <w:p w14:paraId="075F831D" w14:textId="77777777" w:rsidR="00632208" w:rsidRPr="0098635C" w:rsidRDefault="00632208" w:rsidP="00A432B0">
            <w:pPr>
              <w:spacing w:after="0"/>
              <w:ind w:left="567"/>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Organism</w:t>
            </w:r>
          </w:p>
        </w:tc>
        <w:tc>
          <w:tcPr>
            <w:tcW w:w="1276" w:type="dxa"/>
            <w:tcBorders>
              <w:top w:val="nil"/>
              <w:left w:val="nil"/>
              <w:bottom w:val="single" w:sz="8" w:space="0" w:color="auto"/>
              <w:right w:val="single" w:sz="8" w:space="0" w:color="auto"/>
            </w:tcBorders>
          </w:tcPr>
          <w:p w14:paraId="76359D8A"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Medium</w:t>
            </w:r>
          </w:p>
        </w:tc>
        <w:tc>
          <w:tcPr>
            <w:tcW w:w="425" w:type="dxa"/>
            <w:tcBorders>
              <w:top w:val="nil"/>
              <w:left w:val="nil"/>
              <w:bottom w:val="single" w:sz="8" w:space="0" w:color="auto"/>
              <w:right w:val="single" w:sz="8" w:space="0" w:color="auto"/>
            </w:tcBorders>
          </w:tcPr>
          <w:p w14:paraId="01E9A535"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pH</w:t>
            </w:r>
          </w:p>
        </w:tc>
        <w:tc>
          <w:tcPr>
            <w:tcW w:w="709" w:type="dxa"/>
            <w:tcBorders>
              <w:top w:val="nil"/>
              <w:left w:val="nil"/>
              <w:bottom w:val="single" w:sz="8" w:space="0" w:color="auto"/>
              <w:right w:val="single" w:sz="8" w:space="0" w:color="auto"/>
            </w:tcBorders>
          </w:tcPr>
          <w:p w14:paraId="7B738F48"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OM</w:t>
            </w:r>
          </w:p>
        </w:tc>
        <w:tc>
          <w:tcPr>
            <w:tcW w:w="709" w:type="dxa"/>
            <w:tcBorders>
              <w:top w:val="nil"/>
              <w:left w:val="nil"/>
              <w:bottom w:val="single" w:sz="8" w:space="0" w:color="auto"/>
              <w:right w:val="single" w:sz="8" w:space="0" w:color="auto"/>
            </w:tcBorders>
          </w:tcPr>
          <w:p w14:paraId="1B4CC3BB"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clay</w:t>
            </w:r>
          </w:p>
        </w:tc>
        <w:tc>
          <w:tcPr>
            <w:tcW w:w="709" w:type="dxa"/>
            <w:tcBorders>
              <w:top w:val="nil"/>
              <w:left w:val="nil"/>
              <w:bottom w:val="single" w:sz="8" w:space="0" w:color="auto"/>
              <w:right w:val="single" w:sz="8" w:space="0" w:color="auto"/>
            </w:tcBorders>
          </w:tcPr>
          <w:p w14:paraId="6AFDB02D"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C</w:t>
            </w:r>
            <w:r w:rsidRPr="0098635C">
              <w:rPr>
                <w:rFonts w:ascii="Arial Narrow" w:hAnsi="Arial Narrow" w:cs="Arial Narrow"/>
                <w:b/>
                <w:bCs/>
                <w:color w:val="000000" w:themeColor="text1"/>
                <w:sz w:val="20"/>
                <w:szCs w:val="20"/>
                <w:vertAlign w:val="subscript"/>
              </w:rPr>
              <w:t>b</w:t>
            </w:r>
          </w:p>
        </w:tc>
        <w:tc>
          <w:tcPr>
            <w:tcW w:w="850" w:type="dxa"/>
            <w:tcBorders>
              <w:top w:val="nil"/>
              <w:left w:val="nil"/>
              <w:bottom w:val="single" w:sz="8" w:space="0" w:color="auto"/>
              <w:right w:val="single" w:sz="8" w:space="0" w:color="auto"/>
            </w:tcBorders>
          </w:tcPr>
          <w:p w14:paraId="215CA6FC"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CEC</w:t>
            </w:r>
          </w:p>
        </w:tc>
        <w:tc>
          <w:tcPr>
            <w:tcW w:w="992" w:type="dxa"/>
            <w:tcBorders>
              <w:top w:val="nil"/>
              <w:left w:val="nil"/>
              <w:bottom w:val="single" w:sz="8" w:space="0" w:color="auto"/>
              <w:right w:val="single" w:sz="8" w:space="0" w:color="auto"/>
            </w:tcBorders>
          </w:tcPr>
          <w:p w14:paraId="7A7ED61A"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Equil. Period</w:t>
            </w:r>
          </w:p>
        </w:tc>
        <w:tc>
          <w:tcPr>
            <w:tcW w:w="709" w:type="dxa"/>
            <w:tcBorders>
              <w:top w:val="nil"/>
              <w:left w:val="nil"/>
              <w:bottom w:val="single" w:sz="8" w:space="0" w:color="auto"/>
              <w:right w:val="single" w:sz="8" w:space="0" w:color="auto"/>
            </w:tcBorders>
          </w:tcPr>
          <w:p w14:paraId="6EE8AB5D"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Duration</w:t>
            </w:r>
          </w:p>
        </w:tc>
        <w:tc>
          <w:tcPr>
            <w:tcW w:w="992" w:type="dxa"/>
            <w:tcBorders>
              <w:top w:val="nil"/>
              <w:left w:val="nil"/>
              <w:bottom w:val="single" w:sz="8" w:space="0" w:color="auto"/>
              <w:right w:val="single" w:sz="8" w:space="0" w:color="auto"/>
            </w:tcBorders>
          </w:tcPr>
          <w:p w14:paraId="6F02FBCE"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Endpoint</w:t>
            </w:r>
          </w:p>
        </w:tc>
        <w:tc>
          <w:tcPr>
            <w:tcW w:w="993" w:type="dxa"/>
            <w:tcBorders>
              <w:top w:val="single" w:sz="8" w:space="0" w:color="auto"/>
              <w:left w:val="nil"/>
              <w:bottom w:val="single" w:sz="8" w:space="0" w:color="auto"/>
              <w:right w:val="single" w:sz="8" w:space="0" w:color="000000"/>
            </w:tcBorders>
          </w:tcPr>
          <w:p w14:paraId="6082F2C3"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NOEC or EC</w:t>
            </w:r>
            <w:r w:rsidRPr="0098635C">
              <w:rPr>
                <w:rFonts w:ascii="Arial Narrow" w:hAnsi="Arial Narrow" w:cs="Arial Narrow"/>
                <w:b/>
                <w:bCs/>
                <w:color w:val="000000" w:themeColor="text1"/>
                <w:sz w:val="20"/>
                <w:szCs w:val="20"/>
                <w:vertAlign w:val="subscript"/>
              </w:rPr>
              <w:t>10</w:t>
            </w:r>
          </w:p>
        </w:tc>
        <w:tc>
          <w:tcPr>
            <w:tcW w:w="1275" w:type="dxa"/>
            <w:tcBorders>
              <w:top w:val="single" w:sz="8" w:space="0" w:color="auto"/>
              <w:left w:val="nil"/>
              <w:bottom w:val="single" w:sz="8" w:space="0" w:color="auto"/>
              <w:right w:val="single" w:sz="8" w:space="0" w:color="000000"/>
            </w:tcBorders>
          </w:tcPr>
          <w:p w14:paraId="1AA81675"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Unbounded NOEC</w:t>
            </w:r>
          </w:p>
        </w:tc>
        <w:tc>
          <w:tcPr>
            <w:tcW w:w="851" w:type="dxa"/>
            <w:tcBorders>
              <w:top w:val="nil"/>
              <w:left w:val="nil"/>
              <w:bottom w:val="single" w:sz="8" w:space="0" w:color="auto"/>
            </w:tcBorders>
          </w:tcPr>
          <w:p w14:paraId="3D724465"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NOEC or EC</w:t>
            </w:r>
            <w:r w:rsidRPr="0098635C">
              <w:rPr>
                <w:rFonts w:ascii="Arial Narrow" w:hAnsi="Arial Narrow" w:cs="Arial Narrow"/>
                <w:b/>
                <w:bCs/>
                <w:color w:val="000000" w:themeColor="text1"/>
                <w:sz w:val="20"/>
                <w:szCs w:val="20"/>
                <w:vertAlign w:val="subscript"/>
              </w:rPr>
              <w:t>10</w:t>
            </w:r>
          </w:p>
        </w:tc>
        <w:tc>
          <w:tcPr>
            <w:tcW w:w="1134" w:type="dxa"/>
            <w:tcBorders>
              <w:top w:val="single" w:sz="8" w:space="0" w:color="auto"/>
              <w:bottom w:val="single" w:sz="8" w:space="0" w:color="auto"/>
              <w:right w:val="single" w:sz="12" w:space="0" w:color="000000"/>
            </w:tcBorders>
          </w:tcPr>
          <w:p w14:paraId="63B6B1E1"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Unbounded NOEC</w:t>
            </w:r>
          </w:p>
        </w:tc>
        <w:tc>
          <w:tcPr>
            <w:tcW w:w="1984" w:type="dxa"/>
            <w:tcBorders>
              <w:top w:val="single" w:sz="8" w:space="0" w:color="auto"/>
              <w:left w:val="nil"/>
              <w:bottom w:val="single" w:sz="8" w:space="0" w:color="auto"/>
              <w:right w:val="single" w:sz="12" w:space="0" w:color="000000"/>
            </w:tcBorders>
          </w:tcPr>
          <w:p w14:paraId="72D2E0BF" w14:textId="77777777" w:rsidR="00632208" w:rsidRPr="0098635C" w:rsidRDefault="00632208" w:rsidP="00A432B0">
            <w:pPr>
              <w:spacing w:after="0"/>
              <w:jc w:val="center"/>
              <w:rPr>
                <w:rFonts w:ascii="Arial Narrow" w:hAnsi="Arial Narrow" w:cs="Arial Narrow"/>
                <w:b/>
                <w:bCs/>
                <w:color w:val="000000" w:themeColor="text1"/>
                <w:sz w:val="20"/>
                <w:szCs w:val="20"/>
              </w:rPr>
            </w:pPr>
          </w:p>
        </w:tc>
      </w:tr>
      <w:tr w:rsidR="00632208" w:rsidRPr="0098635C" w14:paraId="2675D7AB" w14:textId="77777777" w:rsidTr="00A432B0">
        <w:trPr>
          <w:trHeight w:val="438"/>
        </w:trPr>
        <w:tc>
          <w:tcPr>
            <w:tcW w:w="1647" w:type="dxa"/>
            <w:tcBorders>
              <w:top w:val="nil"/>
              <w:left w:val="single" w:sz="4" w:space="0" w:color="auto"/>
              <w:bottom w:val="single" w:sz="8" w:space="0" w:color="auto"/>
              <w:right w:val="single" w:sz="8" w:space="0" w:color="auto"/>
            </w:tcBorders>
          </w:tcPr>
          <w:p w14:paraId="1E1E91FC" w14:textId="77777777" w:rsidR="00632208" w:rsidRPr="0098635C" w:rsidRDefault="00632208" w:rsidP="00A432B0">
            <w:pPr>
              <w:spacing w:after="0"/>
              <w:ind w:left="567"/>
              <w:jc w:val="center"/>
              <w:rPr>
                <w:rFonts w:ascii="Arial Narrow" w:hAnsi="Arial Narrow" w:cs="Arial Narrow"/>
                <w:b/>
                <w:bCs/>
                <w:i/>
                <w:iCs/>
                <w:color w:val="000000" w:themeColor="text1"/>
                <w:sz w:val="20"/>
                <w:szCs w:val="20"/>
              </w:rPr>
            </w:pPr>
            <w:r w:rsidRPr="0098635C">
              <w:rPr>
                <w:rFonts w:ascii="Arial Narrow" w:hAnsi="Arial Narrow" w:cs="Arial Narrow"/>
                <w:b/>
                <w:bCs/>
                <w:i/>
                <w:iCs/>
                <w:color w:val="000000" w:themeColor="text1"/>
                <w:sz w:val="20"/>
                <w:szCs w:val="20"/>
              </w:rPr>
              <w:t> </w:t>
            </w:r>
          </w:p>
        </w:tc>
        <w:tc>
          <w:tcPr>
            <w:tcW w:w="1276" w:type="dxa"/>
            <w:tcBorders>
              <w:top w:val="nil"/>
              <w:left w:val="nil"/>
              <w:bottom w:val="single" w:sz="8" w:space="0" w:color="auto"/>
              <w:right w:val="single" w:sz="8" w:space="0" w:color="auto"/>
            </w:tcBorders>
          </w:tcPr>
          <w:p w14:paraId="15D32A3F"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 </w:t>
            </w:r>
          </w:p>
        </w:tc>
        <w:tc>
          <w:tcPr>
            <w:tcW w:w="425" w:type="dxa"/>
            <w:tcBorders>
              <w:top w:val="nil"/>
              <w:left w:val="nil"/>
              <w:bottom w:val="single" w:sz="8" w:space="0" w:color="auto"/>
              <w:right w:val="single" w:sz="8" w:space="0" w:color="auto"/>
            </w:tcBorders>
          </w:tcPr>
          <w:p w14:paraId="6108611E"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 </w:t>
            </w:r>
          </w:p>
        </w:tc>
        <w:tc>
          <w:tcPr>
            <w:tcW w:w="709" w:type="dxa"/>
            <w:tcBorders>
              <w:top w:val="nil"/>
              <w:left w:val="nil"/>
              <w:bottom w:val="single" w:sz="8" w:space="0" w:color="auto"/>
              <w:right w:val="single" w:sz="8" w:space="0" w:color="auto"/>
            </w:tcBorders>
          </w:tcPr>
          <w:p w14:paraId="19829883"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w:t>
            </w:r>
          </w:p>
        </w:tc>
        <w:tc>
          <w:tcPr>
            <w:tcW w:w="709" w:type="dxa"/>
            <w:tcBorders>
              <w:top w:val="nil"/>
              <w:left w:val="nil"/>
              <w:bottom w:val="single" w:sz="8" w:space="0" w:color="auto"/>
              <w:right w:val="single" w:sz="8" w:space="0" w:color="auto"/>
            </w:tcBorders>
          </w:tcPr>
          <w:p w14:paraId="4221A08C"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w:t>
            </w:r>
          </w:p>
        </w:tc>
        <w:tc>
          <w:tcPr>
            <w:tcW w:w="709" w:type="dxa"/>
            <w:tcBorders>
              <w:top w:val="nil"/>
              <w:left w:val="nil"/>
              <w:bottom w:val="single" w:sz="8" w:space="0" w:color="auto"/>
              <w:right w:val="single" w:sz="8" w:space="0" w:color="auto"/>
            </w:tcBorders>
          </w:tcPr>
          <w:p w14:paraId="1F18F53A"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mg/kg</w:t>
            </w:r>
            <w:r w:rsidRPr="0098635C">
              <w:rPr>
                <w:rFonts w:ascii="Arial Narrow" w:hAnsi="Arial Narrow" w:cs="Arial Narrow"/>
                <w:b/>
                <w:bCs/>
                <w:color w:val="000000" w:themeColor="text1"/>
                <w:sz w:val="20"/>
                <w:szCs w:val="20"/>
                <w:vertAlign w:val="subscript"/>
              </w:rPr>
              <w:t>dw</w:t>
            </w:r>
          </w:p>
        </w:tc>
        <w:tc>
          <w:tcPr>
            <w:tcW w:w="850" w:type="dxa"/>
            <w:tcBorders>
              <w:top w:val="nil"/>
              <w:left w:val="nil"/>
              <w:bottom w:val="single" w:sz="8" w:space="0" w:color="auto"/>
              <w:right w:val="single" w:sz="8" w:space="0" w:color="auto"/>
            </w:tcBorders>
          </w:tcPr>
          <w:p w14:paraId="1B8467CC"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cmol/kg</w:t>
            </w:r>
          </w:p>
        </w:tc>
        <w:tc>
          <w:tcPr>
            <w:tcW w:w="992" w:type="dxa"/>
            <w:tcBorders>
              <w:top w:val="nil"/>
              <w:left w:val="nil"/>
              <w:bottom w:val="single" w:sz="8" w:space="0" w:color="auto"/>
              <w:right w:val="single" w:sz="8" w:space="0" w:color="auto"/>
            </w:tcBorders>
          </w:tcPr>
          <w:p w14:paraId="418EB9A7"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d</w:t>
            </w:r>
          </w:p>
        </w:tc>
        <w:tc>
          <w:tcPr>
            <w:tcW w:w="709" w:type="dxa"/>
            <w:tcBorders>
              <w:top w:val="nil"/>
              <w:left w:val="nil"/>
              <w:bottom w:val="single" w:sz="8" w:space="0" w:color="auto"/>
              <w:right w:val="single" w:sz="8" w:space="0" w:color="auto"/>
            </w:tcBorders>
          </w:tcPr>
          <w:p w14:paraId="1B750C85"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d</w:t>
            </w:r>
          </w:p>
        </w:tc>
        <w:tc>
          <w:tcPr>
            <w:tcW w:w="992" w:type="dxa"/>
            <w:tcBorders>
              <w:top w:val="nil"/>
              <w:left w:val="nil"/>
              <w:bottom w:val="single" w:sz="8" w:space="0" w:color="auto"/>
              <w:right w:val="single" w:sz="8" w:space="0" w:color="auto"/>
            </w:tcBorders>
          </w:tcPr>
          <w:p w14:paraId="746DFD6A"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 </w:t>
            </w:r>
          </w:p>
        </w:tc>
        <w:tc>
          <w:tcPr>
            <w:tcW w:w="993" w:type="dxa"/>
            <w:tcBorders>
              <w:top w:val="single" w:sz="8" w:space="0" w:color="auto"/>
              <w:left w:val="nil"/>
              <w:bottom w:val="single" w:sz="8" w:space="0" w:color="auto"/>
              <w:right w:val="single" w:sz="8" w:space="0" w:color="000000"/>
            </w:tcBorders>
          </w:tcPr>
          <w:p w14:paraId="3A9FC711"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mg/kg</w:t>
            </w:r>
            <w:r w:rsidRPr="0098635C">
              <w:rPr>
                <w:rFonts w:ascii="Arial Narrow" w:hAnsi="Arial Narrow" w:cs="Arial Narrow"/>
                <w:b/>
                <w:bCs/>
                <w:color w:val="000000" w:themeColor="text1"/>
                <w:sz w:val="20"/>
                <w:szCs w:val="20"/>
                <w:vertAlign w:val="subscript"/>
              </w:rPr>
              <w:t>dw</w:t>
            </w:r>
          </w:p>
        </w:tc>
        <w:tc>
          <w:tcPr>
            <w:tcW w:w="1275" w:type="dxa"/>
            <w:tcBorders>
              <w:top w:val="single" w:sz="8" w:space="0" w:color="auto"/>
              <w:left w:val="nil"/>
              <w:bottom w:val="single" w:sz="8" w:space="0" w:color="auto"/>
              <w:right w:val="single" w:sz="8" w:space="0" w:color="000000"/>
            </w:tcBorders>
          </w:tcPr>
          <w:p w14:paraId="1EA49EE2"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mg/kg</w:t>
            </w:r>
            <w:r w:rsidRPr="0098635C">
              <w:rPr>
                <w:rFonts w:ascii="Arial Narrow" w:hAnsi="Arial Narrow" w:cs="Arial Narrow"/>
                <w:b/>
                <w:bCs/>
                <w:color w:val="000000" w:themeColor="text1"/>
                <w:sz w:val="20"/>
                <w:szCs w:val="20"/>
                <w:vertAlign w:val="subscript"/>
              </w:rPr>
              <w:t>dw</w:t>
            </w:r>
          </w:p>
        </w:tc>
        <w:tc>
          <w:tcPr>
            <w:tcW w:w="851" w:type="dxa"/>
            <w:tcBorders>
              <w:top w:val="single" w:sz="8" w:space="0" w:color="auto"/>
              <w:left w:val="nil"/>
              <w:bottom w:val="single" w:sz="8" w:space="0" w:color="auto"/>
            </w:tcBorders>
          </w:tcPr>
          <w:p w14:paraId="2C70176C"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mg/kg</w:t>
            </w:r>
            <w:r w:rsidRPr="0098635C">
              <w:rPr>
                <w:rFonts w:ascii="Arial Narrow" w:hAnsi="Arial Narrow" w:cs="Arial Narrow"/>
                <w:b/>
                <w:bCs/>
                <w:color w:val="000000" w:themeColor="text1"/>
                <w:sz w:val="20"/>
                <w:szCs w:val="20"/>
                <w:vertAlign w:val="subscript"/>
              </w:rPr>
              <w:t>dw</w:t>
            </w:r>
          </w:p>
        </w:tc>
        <w:tc>
          <w:tcPr>
            <w:tcW w:w="1134" w:type="dxa"/>
            <w:tcBorders>
              <w:top w:val="single" w:sz="8" w:space="0" w:color="auto"/>
              <w:bottom w:val="single" w:sz="8" w:space="0" w:color="auto"/>
              <w:right w:val="single" w:sz="12" w:space="0" w:color="000000"/>
            </w:tcBorders>
          </w:tcPr>
          <w:p w14:paraId="633F6379"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mg/kg</w:t>
            </w:r>
            <w:r w:rsidRPr="0098635C">
              <w:rPr>
                <w:rFonts w:ascii="Arial Narrow" w:hAnsi="Arial Narrow" w:cs="Arial Narrow"/>
                <w:b/>
                <w:bCs/>
                <w:color w:val="000000" w:themeColor="text1"/>
                <w:sz w:val="20"/>
                <w:szCs w:val="20"/>
                <w:vertAlign w:val="subscript"/>
              </w:rPr>
              <w:t>dw</w:t>
            </w:r>
          </w:p>
        </w:tc>
        <w:tc>
          <w:tcPr>
            <w:tcW w:w="1984" w:type="dxa"/>
            <w:tcBorders>
              <w:top w:val="single" w:sz="8" w:space="0" w:color="auto"/>
              <w:left w:val="nil"/>
              <w:bottom w:val="single" w:sz="8" w:space="0" w:color="auto"/>
              <w:right w:val="single" w:sz="12" w:space="0" w:color="000000"/>
            </w:tcBorders>
          </w:tcPr>
          <w:p w14:paraId="11D7FF9D" w14:textId="77777777" w:rsidR="00632208" w:rsidRPr="0098635C" w:rsidRDefault="00632208" w:rsidP="00A432B0">
            <w:pPr>
              <w:spacing w:after="0"/>
              <w:jc w:val="center"/>
              <w:rPr>
                <w:rFonts w:ascii="Arial Narrow" w:hAnsi="Arial Narrow" w:cs="Arial Narrow"/>
                <w:b/>
                <w:bCs/>
                <w:color w:val="000000" w:themeColor="text1"/>
                <w:sz w:val="20"/>
                <w:szCs w:val="20"/>
              </w:rPr>
            </w:pPr>
          </w:p>
        </w:tc>
      </w:tr>
      <w:tr w:rsidR="00632208" w:rsidRPr="0098635C" w14:paraId="706E8396" w14:textId="77777777" w:rsidTr="00A432B0">
        <w:trPr>
          <w:trHeight w:val="64"/>
        </w:trPr>
        <w:tc>
          <w:tcPr>
            <w:tcW w:w="1647" w:type="dxa"/>
            <w:tcBorders>
              <w:top w:val="nil"/>
              <w:left w:val="single" w:sz="4" w:space="0" w:color="auto"/>
              <w:bottom w:val="single" w:sz="8" w:space="0" w:color="auto"/>
              <w:right w:val="single" w:sz="8" w:space="0" w:color="auto"/>
            </w:tcBorders>
          </w:tcPr>
          <w:p w14:paraId="11DF865A"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Polygonum convolvulus = Fallopia convolvulus</w:t>
            </w:r>
          </w:p>
        </w:tc>
        <w:tc>
          <w:tcPr>
            <w:tcW w:w="1276" w:type="dxa"/>
            <w:tcBorders>
              <w:top w:val="nil"/>
              <w:left w:val="nil"/>
              <w:bottom w:val="single" w:sz="8" w:space="0" w:color="auto"/>
              <w:right w:val="single" w:sz="8" w:space="0" w:color="auto"/>
            </w:tcBorders>
          </w:tcPr>
          <w:p w14:paraId="4731EC4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Field soil: clayey sand</w:t>
            </w:r>
          </w:p>
        </w:tc>
        <w:tc>
          <w:tcPr>
            <w:tcW w:w="425" w:type="dxa"/>
            <w:tcBorders>
              <w:top w:val="nil"/>
              <w:left w:val="nil"/>
              <w:bottom w:val="single" w:sz="8" w:space="0" w:color="auto"/>
              <w:right w:val="single" w:sz="8" w:space="0" w:color="auto"/>
            </w:tcBorders>
          </w:tcPr>
          <w:p w14:paraId="6141775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6.4</w:t>
            </w:r>
          </w:p>
        </w:tc>
        <w:tc>
          <w:tcPr>
            <w:tcW w:w="709" w:type="dxa"/>
            <w:tcBorders>
              <w:top w:val="nil"/>
              <w:left w:val="nil"/>
              <w:bottom w:val="single" w:sz="8" w:space="0" w:color="auto"/>
              <w:right w:val="single" w:sz="8" w:space="0" w:color="auto"/>
            </w:tcBorders>
          </w:tcPr>
          <w:p w14:paraId="278C3CD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1.7</w:t>
            </w:r>
          </w:p>
        </w:tc>
        <w:tc>
          <w:tcPr>
            <w:tcW w:w="709" w:type="dxa"/>
            <w:tcBorders>
              <w:top w:val="nil"/>
              <w:left w:val="nil"/>
              <w:bottom w:val="single" w:sz="8" w:space="0" w:color="auto"/>
              <w:right w:val="single" w:sz="8" w:space="0" w:color="auto"/>
            </w:tcBorders>
          </w:tcPr>
          <w:p w14:paraId="4A07D89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11.1</w:t>
            </w:r>
          </w:p>
        </w:tc>
        <w:tc>
          <w:tcPr>
            <w:tcW w:w="709" w:type="dxa"/>
            <w:tcBorders>
              <w:top w:val="nil"/>
              <w:left w:val="nil"/>
              <w:bottom w:val="single" w:sz="8" w:space="0" w:color="auto"/>
              <w:right w:val="single" w:sz="8" w:space="0" w:color="auto"/>
            </w:tcBorders>
          </w:tcPr>
          <w:p w14:paraId="2A0C8DF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12</w:t>
            </w:r>
          </w:p>
        </w:tc>
        <w:tc>
          <w:tcPr>
            <w:tcW w:w="850" w:type="dxa"/>
            <w:tcBorders>
              <w:top w:val="nil"/>
              <w:left w:val="nil"/>
              <w:bottom w:val="single" w:sz="8" w:space="0" w:color="auto"/>
              <w:right w:val="single" w:sz="8" w:space="0" w:color="auto"/>
            </w:tcBorders>
          </w:tcPr>
          <w:p w14:paraId="3EB01626"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9.2</w:t>
            </w:r>
          </w:p>
        </w:tc>
        <w:tc>
          <w:tcPr>
            <w:tcW w:w="992" w:type="dxa"/>
            <w:tcBorders>
              <w:top w:val="nil"/>
              <w:left w:val="nil"/>
              <w:bottom w:val="single" w:sz="8" w:space="0" w:color="auto"/>
              <w:right w:val="single" w:sz="8" w:space="0" w:color="auto"/>
            </w:tcBorders>
          </w:tcPr>
          <w:p w14:paraId="044E979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11</w:t>
            </w:r>
          </w:p>
        </w:tc>
        <w:tc>
          <w:tcPr>
            <w:tcW w:w="709" w:type="dxa"/>
            <w:tcBorders>
              <w:top w:val="nil"/>
              <w:left w:val="nil"/>
              <w:bottom w:val="single" w:sz="8" w:space="0" w:color="auto"/>
              <w:right w:val="single" w:sz="8" w:space="0" w:color="auto"/>
            </w:tcBorders>
          </w:tcPr>
          <w:p w14:paraId="5619F88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105</w:t>
            </w:r>
          </w:p>
        </w:tc>
        <w:tc>
          <w:tcPr>
            <w:tcW w:w="992" w:type="dxa"/>
            <w:tcBorders>
              <w:top w:val="nil"/>
              <w:left w:val="nil"/>
              <w:bottom w:val="single" w:sz="8" w:space="0" w:color="auto"/>
              <w:right w:val="single" w:sz="8" w:space="0" w:color="auto"/>
            </w:tcBorders>
          </w:tcPr>
          <w:p w14:paraId="3D61601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m</w:t>
            </w:r>
          </w:p>
        </w:tc>
        <w:tc>
          <w:tcPr>
            <w:tcW w:w="993" w:type="dxa"/>
            <w:tcBorders>
              <w:top w:val="single" w:sz="8" w:space="0" w:color="auto"/>
              <w:left w:val="nil"/>
              <w:bottom w:val="single" w:sz="8" w:space="0" w:color="auto"/>
              <w:right w:val="single" w:sz="8" w:space="0" w:color="000000"/>
            </w:tcBorders>
          </w:tcPr>
          <w:p w14:paraId="5BB01989"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125</w:t>
            </w:r>
          </w:p>
        </w:tc>
        <w:tc>
          <w:tcPr>
            <w:tcW w:w="1275" w:type="dxa"/>
            <w:tcBorders>
              <w:top w:val="single" w:sz="8" w:space="0" w:color="auto"/>
              <w:left w:val="nil"/>
              <w:bottom w:val="single" w:sz="8" w:space="0" w:color="auto"/>
              <w:right w:val="single" w:sz="8" w:space="0" w:color="000000"/>
            </w:tcBorders>
          </w:tcPr>
          <w:p w14:paraId="0DD08C0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tcBorders>
          </w:tcPr>
          <w:p w14:paraId="14992B5C"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137</w:t>
            </w:r>
          </w:p>
        </w:tc>
        <w:tc>
          <w:tcPr>
            <w:tcW w:w="1134" w:type="dxa"/>
            <w:tcBorders>
              <w:top w:val="single" w:sz="8" w:space="0" w:color="auto"/>
              <w:bottom w:val="single" w:sz="8" w:space="0" w:color="auto"/>
              <w:right w:val="single" w:sz="12" w:space="0" w:color="000000"/>
            </w:tcBorders>
          </w:tcPr>
          <w:p w14:paraId="5321261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39BF06A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Kjær and Elmegaard, 1996</w:t>
            </w:r>
          </w:p>
        </w:tc>
      </w:tr>
      <w:tr w:rsidR="00632208" w:rsidRPr="0098635C" w14:paraId="4504F08A" w14:textId="77777777" w:rsidTr="00A432B0">
        <w:trPr>
          <w:trHeight w:val="64"/>
        </w:trPr>
        <w:tc>
          <w:tcPr>
            <w:tcW w:w="1647" w:type="dxa"/>
            <w:tcBorders>
              <w:top w:val="nil"/>
              <w:left w:val="single" w:sz="4" w:space="0" w:color="auto"/>
              <w:bottom w:val="single" w:sz="8" w:space="0" w:color="auto"/>
              <w:right w:val="single" w:sz="8" w:space="0" w:color="auto"/>
            </w:tcBorders>
          </w:tcPr>
          <w:p w14:paraId="5ABB12AB"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Polygonum convolvulus</w:t>
            </w:r>
          </w:p>
        </w:tc>
        <w:tc>
          <w:tcPr>
            <w:tcW w:w="1276" w:type="dxa"/>
            <w:tcBorders>
              <w:top w:val="nil"/>
              <w:left w:val="nil"/>
              <w:bottom w:val="single" w:sz="8" w:space="0" w:color="auto"/>
              <w:right w:val="single" w:sz="8" w:space="0" w:color="auto"/>
            </w:tcBorders>
          </w:tcPr>
          <w:p w14:paraId="55C809A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Field soil: clayey sand</w:t>
            </w:r>
          </w:p>
        </w:tc>
        <w:tc>
          <w:tcPr>
            <w:tcW w:w="425" w:type="dxa"/>
            <w:tcBorders>
              <w:top w:val="nil"/>
              <w:left w:val="nil"/>
              <w:bottom w:val="single" w:sz="8" w:space="0" w:color="auto"/>
              <w:right w:val="single" w:sz="8" w:space="0" w:color="auto"/>
            </w:tcBorders>
          </w:tcPr>
          <w:p w14:paraId="76273C3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6.4</w:t>
            </w:r>
          </w:p>
        </w:tc>
        <w:tc>
          <w:tcPr>
            <w:tcW w:w="709" w:type="dxa"/>
            <w:tcBorders>
              <w:top w:val="nil"/>
              <w:left w:val="nil"/>
              <w:bottom w:val="single" w:sz="8" w:space="0" w:color="auto"/>
              <w:right w:val="single" w:sz="8" w:space="0" w:color="auto"/>
            </w:tcBorders>
          </w:tcPr>
          <w:p w14:paraId="5A3DB6B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1.7</w:t>
            </w:r>
          </w:p>
        </w:tc>
        <w:tc>
          <w:tcPr>
            <w:tcW w:w="709" w:type="dxa"/>
            <w:tcBorders>
              <w:top w:val="nil"/>
              <w:left w:val="nil"/>
              <w:bottom w:val="single" w:sz="8" w:space="0" w:color="auto"/>
              <w:right w:val="single" w:sz="8" w:space="0" w:color="auto"/>
            </w:tcBorders>
          </w:tcPr>
          <w:p w14:paraId="0C974EE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11.1</w:t>
            </w:r>
          </w:p>
        </w:tc>
        <w:tc>
          <w:tcPr>
            <w:tcW w:w="709" w:type="dxa"/>
            <w:tcBorders>
              <w:top w:val="nil"/>
              <w:left w:val="nil"/>
              <w:bottom w:val="single" w:sz="8" w:space="0" w:color="auto"/>
              <w:right w:val="single" w:sz="8" w:space="0" w:color="auto"/>
            </w:tcBorders>
          </w:tcPr>
          <w:p w14:paraId="23BA547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12</w:t>
            </w:r>
          </w:p>
        </w:tc>
        <w:tc>
          <w:tcPr>
            <w:tcW w:w="850" w:type="dxa"/>
            <w:tcBorders>
              <w:top w:val="nil"/>
              <w:left w:val="nil"/>
              <w:bottom w:val="single" w:sz="8" w:space="0" w:color="auto"/>
              <w:right w:val="single" w:sz="8" w:space="0" w:color="auto"/>
            </w:tcBorders>
          </w:tcPr>
          <w:p w14:paraId="3E468E87"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9.2</w:t>
            </w:r>
          </w:p>
        </w:tc>
        <w:tc>
          <w:tcPr>
            <w:tcW w:w="992" w:type="dxa"/>
            <w:tcBorders>
              <w:top w:val="nil"/>
              <w:left w:val="nil"/>
              <w:bottom w:val="single" w:sz="8" w:space="0" w:color="auto"/>
              <w:right w:val="single" w:sz="8" w:space="0" w:color="auto"/>
            </w:tcBorders>
          </w:tcPr>
          <w:p w14:paraId="33D6A73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11</w:t>
            </w:r>
          </w:p>
        </w:tc>
        <w:tc>
          <w:tcPr>
            <w:tcW w:w="709" w:type="dxa"/>
            <w:tcBorders>
              <w:top w:val="nil"/>
              <w:left w:val="nil"/>
              <w:bottom w:val="single" w:sz="8" w:space="0" w:color="auto"/>
              <w:right w:val="single" w:sz="8" w:space="0" w:color="auto"/>
            </w:tcBorders>
          </w:tcPr>
          <w:p w14:paraId="4CD9981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34</w:t>
            </w:r>
          </w:p>
        </w:tc>
        <w:tc>
          <w:tcPr>
            <w:tcW w:w="992" w:type="dxa"/>
            <w:tcBorders>
              <w:top w:val="nil"/>
              <w:left w:val="nil"/>
              <w:bottom w:val="single" w:sz="8" w:space="0" w:color="auto"/>
              <w:right w:val="single" w:sz="8" w:space="0" w:color="auto"/>
            </w:tcBorders>
          </w:tcPr>
          <w:p w14:paraId="52AD4DA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y(tp)</w:t>
            </w:r>
          </w:p>
        </w:tc>
        <w:tc>
          <w:tcPr>
            <w:tcW w:w="993" w:type="dxa"/>
            <w:tcBorders>
              <w:top w:val="single" w:sz="8" w:space="0" w:color="auto"/>
              <w:left w:val="nil"/>
              <w:bottom w:val="single" w:sz="8" w:space="0" w:color="auto"/>
              <w:right w:val="single" w:sz="8" w:space="0" w:color="000000"/>
            </w:tcBorders>
          </w:tcPr>
          <w:p w14:paraId="5D89C814"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200</w:t>
            </w:r>
          </w:p>
        </w:tc>
        <w:tc>
          <w:tcPr>
            <w:tcW w:w="1275" w:type="dxa"/>
            <w:tcBorders>
              <w:top w:val="single" w:sz="8" w:space="0" w:color="auto"/>
              <w:left w:val="nil"/>
              <w:bottom w:val="single" w:sz="8" w:space="0" w:color="auto"/>
              <w:right w:val="single" w:sz="8" w:space="0" w:color="000000"/>
            </w:tcBorders>
          </w:tcPr>
          <w:p w14:paraId="09CD862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nil"/>
            </w:tcBorders>
          </w:tcPr>
          <w:p w14:paraId="2C9F51D1"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212</w:t>
            </w:r>
          </w:p>
        </w:tc>
        <w:tc>
          <w:tcPr>
            <w:tcW w:w="1134" w:type="dxa"/>
            <w:tcBorders>
              <w:top w:val="single" w:sz="8" w:space="0" w:color="auto"/>
              <w:left w:val="nil"/>
              <w:bottom w:val="single" w:sz="8" w:space="0" w:color="auto"/>
              <w:right w:val="single" w:sz="12" w:space="0" w:color="000000"/>
            </w:tcBorders>
          </w:tcPr>
          <w:p w14:paraId="771290B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1E47D6B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Kjær and Elmegaard, 1996</w:t>
            </w:r>
          </w:p>
        </w:tc>
      </w:tr>
      <w:tr w:rsidR="00632208" w:rsidRPr="0098635C" w14:paraId="7EB2BE70" w14:textId="77777777" w:rsidTr="00A432B0">
        <w:trPr>
          <w:trHeight w:val="364"/>
        </w:trPr>
        <w:tc>
          <w:tcPr>
            <w:tcW w:w="1647" w:type="dxa"/>
            <w:tcBorders>
              <w:top w:val="nil"/>
              <w:left w:val="single" w:sz="4" w:space="0" w:color="auto"/>
              <w:bottom w:val="single" w:sz="8" w:space="0" w:color="auto"/>
              <w:right w:val="single" w:sz="8" w:space="0" w:color="auto"/>
            </w:tcBorders>
          </w:tcPr>
          <w:p w14:paraId="698CB19A"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Polygonum convolvulus</w:t>
            </w:r>
          </w:p>
        </w:tc>
        <w:tc>
          <w:tcPr>
            <w:tcW w:w="1276" w:type="dxa"/>
            <w:tcBorders>
              <w:top w:val="nil"/>
              <w:left w:val="nil"/>
              <w:bottom w:val="single" w:sz="8" w:space="0" w:color="auto"/>
              <w:right w:val="single" w:sz="8" w:space="0" w:color="auto"/>
            </w:tcBorders>
          </w:tcPr>
          <w:p w14:paraId="5586481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Field soil: clayey sand</w:t>
            </w:r>
          </w:p>
        </w:tc>
        <w:tc>
          <w:tcPr>
            <w:tcW w:w="425" w:type="dxa"/>
            <w:tcBorders>
              <w:top w:val="nil"/>
              <w:left w:val="nil"/>
              <w:bottom w:val="single" w:sz="8" w:space="0" w:color="auto"/>
              <w:right w:val="single" w:sz="8" w:space="0" w:color="auto"/>
            </w:tcBorders>
          </w:tcPr>
          <w:p w14:paraId="1B89ABA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6.4</w:t>
            </w:r>
          </w:p>
        </w:tc>
        <w:tc>
          <w:tcPr>
            <w:tcW w:w="709" w:type="dxa"/>
            <w:tcBorders>
              <w:top w:val="nil"/>
              <w:left w:val="nil"/>
              <w:bottom w:val="single" w:sz="8" w:space="0" w:color="auto"/>
              <w:right w:val="single" w:sz="8" w:space="0" w:color="auto"/>
            </w:tcBorders>
          </w:tcPr>
          <w:p w14:paraId="0B8BBA3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1.7</w:t>
            </w:r>
          </w:p>
        </w:tc>
        <w:tc>
          <w:tcPr>
            <w:tcW w:w="709" w:type="dxa"/>
            <w:tcBorders>
              <w:top w:val="nil"/>
              <w:left w:val="nil"/>
              <w:bottom w:val="single" w:sz="8" w:space="0" w:color="auto"/>
              <w:right w:val="single" w:sz="8" w:space="0" w:color="auto"/>
            </w:tcBorders>
          </w:tcPr>
          <w:p w14:paraId="0A742D9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11.1</w:t>
            </w:r>
          </w:p>
        </w:tc>
        <w:tc>
          <w:tcPr>
            <w:tcW w:w="709" w:type="dxa"/>
            <w:tcBorders>
              <w:top w:val="nil"/>
              <w:left w:val="nil"/>
              <w:bottom w:val="single" w:sz="8" w:space="0" w:color="auto"/>
              <w:right w:val="single" w:sz="8" w:space="0" w:color="auto"/>
            </w:tcBorders>
          </w:tcPr>
          <w:p w14:paraId="2606EB7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12</w:t>
            </w:r>
          </w:p>
        </w:tc>
        <w:tc>
          <w:tcPr>
            <w:tcW w:w="850" w:type="dxa"/>
            <w:tcBorders>
              <w:top w:val="nil"/>
              <w:left w:val="nil"/>
              <w:bottom w:val="single" w:sz="8" w:space="0" w:color="auto"/>
              <w:right w:val="single" w:sz="8" w:space="0" w:color="auto"/>
            </w:tcBorders>
          </w:tcPr>
          <w:p w14:paraId="7284826E"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9.2</w:t>
            </w:r>
          </w:p>
        </w:tc>
        <w:tc>
          <w:tcPr>
            <w:tcW w:w="992" w:type="dxa"/>
            <w:tcBorders>
              <w:top w:val="nil"/>
              <w:left w:val="nil"/>
              <w:bottom w:val="single" w:sz="8" w:space="0" w:color="auto"/>
              <w:right w:val="single" w:sz="8" w:space="0" w:color="auto"/>
            </w:tcBorders>
          </w:tcPr>
          <w:p w14:paraId="608CB15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11</w:t>
            </w:r>
          </w:p>
        </w:tc>
        <w:tc>
          <w:tcPr>
            <w:tcW w:w="709" w:type="dxa"/>
            <w:tcBorders>
              <w:top w:val="nil"/>
              <w:left w:val="nil"/>
              <w:bottom w:val="single" w:sz="8" w:space="0" w:color="auto"/>
              <w:right w:val="single" w:sz="8" w:space="0" w:color="auto"/>
            </w:tcBorders>
          </w:tcPr>
          <w:p w14:paraId="107D434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34</w:t>
            </w:r>
          </w:p>
        </w:tc>
        <w:tc>
          <w:tcPr>
            <w:tcW w:w="992" w:type="dxa"/>
            <w:tcBorders>
              <w:top w:val="nil"/>
              <w:left w:val="nil"/>
              <w:bottom w:val="single" w:sz="8" w:space="0" w:color="auto"/>
              <w:right w:val="single" w:sz="8" w:space="0" w:color="auto"/>
            </w:tcBorders>
          </w:tcPr>
          <w:p w14:paraId="308AFCB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rep</w:t>
            </w:r>
          </w:p>
        </w:tc>
        <w:tc>
          <w:tcPr>
            <w:tcW w:w="993" w:type="dxa"/>
            <w:tcBorders>
              <w:top w:val="single" w:sz="8" w:space="0" w:color="auto"/>
              <w:left w:val="nil"/>
              <w:bottom w:val="single" w:sz="8" w:space="0" w:color="auto"/>
              <w:right w:val="single" w:sz="8" w:space="0" w:color="000000"/>
            </w:tcBorders>
          </w:tcPr>
          <w:p w14:paraId="5F0DF755"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200</w:t>
            </w:r>
          </w:p>
        </w:tc>
        <w:tc>
          <w:tcPr>
            <w:tcW w:w="1275" w:type="dxa"/>
            <w:tcBorders>
              <w:top w:val="single" w:sz="8" w:space="0" w:color="auto"/>
              <w:left w:val="nil"/>
              <w:bottom w:val="single" w:sz="8" w:space="0" w:color="auto"/>
              <w:right w:val="single" w:sz="8" w:space="0" w:color="000000"/>
            </w:tcBorders>
          </w:tcPr>
          <w:p w14:paraId="35D6659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nil"/>
            </w:tcBorders>
          </w:tcPr>
          <w:p w14:paraId="7D038F3E"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212</w:t>
            </w:r>
          </w:p>
        </w:tc>
        <w:tc>
          <w:tcPr>
            <w:tcW w:w="1134" w:type="dxa"/>
            <w:tcBorders>
              <w:top w:val="single" w:sz="8" w:space="0" w:color="auto"/>
              <w:left w:val="nil"/>
              <w:bottom w:val="single" w:sz="8" w:space="0" w:color="auto"/>
              <w:right w:val="single" w:sz="12" w:space="0" w:color="000000"/>
            </w:tcBorders>
          </w:tcPr>
          <w:p w14:paraId="0C9B2B5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37DB9A1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Kjær and Elmegaard, 1996</w:t>
            </w:r>
          </w:p>
        </w:tc>
      </w:tr>
      <w:tr w:rsidR="00632208" w:rsidRPr="0098635C" w14:paraId="567EBF98" w14:textId="77777777" w:rsidTr="00A432B0">
        <w:trPr>
          <w:trHeight w:val="364"/>
        </w:trPr>
        <w:tc>
          <w:tcPr>
            <w:tcW w:w="1647" w:type="dxa"/>
            <w:tcBorders>
              <w:top w:val="nil"/>
              <w:left w:val="single" w:sz="4" w:space="0" w:color="auto"/>
              <w:bottom w:val="single" w:sz="8" w:space="0" w:color="auto"/>
              <w:right w:val="single" w:sz="8" w:space="0" w:color="auto"/>
            </w:tcBorders>
          </w:tcPr>
          <w:p w14:paraId="2A40D257"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Polygonum convolvulus</w:t>
            </w:r>
          </w:p>
        </w:tc>
        <w:tc>
          <w:tcPr>
            <w:tcW w:w="1276" w:type="dxa"/>
            <w:tcBorders>
              <w:top w:val="nil"/>
              <w:left w:val="nil"/>
              <w:bottom w:val="single" w:sz="8" w:space="0" w:color="auto"/>
              <w:right w:val="single" w:sz="8" w:space="0" w:color="auto"/>
            </w:tcBorders>
          </w:tcPr>
          <w:p w14:paraId="13D20CA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Field soil: clayey sand</w:t>
            </w:r>
          </w:p>
        </w:tc>
        <w:tc>
          <w:tcPr>
            <w:tcW w:w="425" w:type="dxa"/>
            <w:tcBorders>
              <w:top w:val="nil"/>
              <w:left w:val="nil"/>
              <w:bottom w:val="single" w:sz="8" w:space="0" w:color="auto"/>
              <w:right w:val="single" w:sz="8" w:space="0" w:color="auto"/>
            </w:tcBorders>
          </w:tcPr>
          <w:p w14:paraId="7C3B38B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6.4</w:t>
            </w:r>
          </w:p>
        </w:tc>
        <w:tc>
          <w:tcPr>
            <w:tcW w:w="709" w:type="dxa"/>
            <w:tcBorders>
              <w:top w:val="nil"/>
              <w:left w:val="nil"/>
              <w:bottom w:val="single" w:sz="8" w:space="0" w:color="auto"/>
              <w:right w:val="single" w:sz="8" w:space="0" w:color="auto"/>
            </w:tcBorders>
          </w:tcPr>
          <w:p w14:paraId="06FC394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1.7</w:t>
            </w:r>
          </w:p>
        </w:tc>
        <w:tc>
          <w:tcPr>
            <w:tcW w:w="709" w:type="dxa"/>
            <w:tcBorders>
              <w:top w:val="nil"/>
              <w:left w:val="nil"/>
              <w:bottom w:val="single" w:sz="8" w:space="0" w:color="auto"/>
              <w:right w:val="single" w:sz="8" w:space="0" w:color="auto"/>
            </w:tcBorders>
          </w:tcPr>
          <w:p w14:paraId="152DF61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11.1</w:t>
            </w:r>
          </w:p>
        </w:tc>
        <w:tc>
          <w:tcPr>
            <w:tcW w:w="709" w:type="dxa"/>
            <w:tcBorders>
              <w:top w:val="nil"/>
              <w:left w:val="nil"/>
              <w:bottom w:val="single" w:sz="8" w:space="0" w:color="auto"/>
              <w:right w:val="single" w:sz="8" w:space="0" w:color="auto"/>
            </w:tcBorders>
          </w:tcPr>
          <w:p w14:paraId="1F46AB0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12</w:t>
            </w:r>
          </w:p>
        </w:tc>
        <w:tc>
          <w:tcPr>
            <w:tcW w:w="850" w:type="dxa"/>
            <w:tcBorders>
              <w:top w:val="nil"/>
              <w:left w:val="nil"/>
              <w:bottom w:val="single" w:sz="8" w:space="0" w:color="auto"/>
              <w:right w:val="single" w:sz="8" w:space="0" w:color="auto"/>
            </w:tcBorders>
          </w:tcPr>
          <w:p w14:paraId="751BB069"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9.2</w:t>
            </w:r>
          </w:p>
        </w:tc>
        <w:tc>
          <w:tcPr>
            <w:tcW w:w="992" w:type="dxa"/>
            <w:tcBorders>
              <w:top w:val="nil"/>
              <w:left w:val="nil"/>
              <w:bottom w:val="single" w:sz="8" w:space="0" w:color="auto"/>
              <w:right w:val="single" w:sz="8" w:space="0" w:color="auto"/>
            </w:tcBorders>
          </w:tcPr>
          <w:p w14:paraId="424BA4E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11</w:t>
            </w:r>
          </w:p>
        </w:tc>
        <w:tc>
          <w:tcPr>
            <w:tcW w:w="709" w:type="dxa"/>
            <w:tcBorders>
              <w:top w:val="nil"/>
              <w:left w:val="nil"/>
              <w:bottom w:val="single" w:sz="8" w:space="0" w:color="auto"/>
              <w:right w:val="single" w:sz="8" w:space="0" w:color="auto"/>
            </w:tcBorders>
          </w:tcPr>
          <w:p w14:paraId="6B0310C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105</w:t>
            </w:r>
          </w:p>
        </w:tc>
        <w:tc>
          <w:tcPr>
            <w:tcW w:w="992" w:type="dxa"/>
            <w:tcBorders>
              <w:top w:val="nil"/>
              <w:left w:val="nil"/>
              <w:bottom w:val="single" w:sz="8" w:space="0" w:color="auto"/>
              <w:right w:val="single" w:sz="8" w:space="0" w:color="auto"/>
            </w:tcBorders>
          </w:tcPr>
          <w:p w14:paraId="6FA8A09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sb</w:t>
            </w:r>
          </w:p>
        </w:tc>
        <w:tc>
          <w:tcPr>
            <w:tcW w:w="993" w:type="dxa"/>
            <w:tcBorders>
              <w:top w:val="single" w:sz="8" w:space="0" w:color="auto"/>
              <w:left w:val="nil"/>
              <w:bottom w:val="single" w:sz="8" w:space="0" w:color="auto"/>
              <w:right w:val="single" w:sz="8" w:space="0" w:color="000000"/>
            </w:tcBorders>
          </w:tcPr>
          <w:p w14:paraId="33251D6A"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200</w:t>
            </w:r>
          </w:p>
        </w:tc>
        <w:tc>
          <w:tcPr>
            <w:tcW w:w="1275" w:type="dxa"/>
            <w:tcBorders>
              <w:top w:val="single" w:sz="8" w:space="0" w:color="auto"/>
              <w:left w:val="nil"/>
              <w:bottom w:val="single" w:sz="8" w:space="0" w:color="auto"/>
              <w:right w:val="single" w:sz="8" w:space="0" w:color="000000"/>
            </w:tcBorders>
          </w:tcPr>
          <w:p w14:paraId="31E648A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nil"/>
            </w:tcBorders>
          </w:tcPr>
          <w:p w14:paraId="6A7DB350"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212</w:t>
            </w:r>
          </w:p>
        </w:tc>
        <w:tc>
          <w:tcPr>
            <w:tcW w:w="1134" w:type="dxa"/>
            <w:tcBorders>
              <w:top w:val="single" w:sz="8" w:space="0" w:color="auto"/>
              <w:left w:val="nil"/>
              <w:bottom w:val="single" w:sz="8" w:space="0" w:color="auto"/>
              <w:right w:val="single" w:sz="12" w:space="0" w:color="000000"/>
            </w:tcBorders>
          </w:tcPr>
          <w:p w14:paraId="7354E7F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1B52E74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Kjær and Elmegaard, 1996</w:t>
            </w:r>
          </w:p>
        </w:tc>
      </w:tr>
      <w:tr w:rsidR="00632208" w:rsidRPr="0098635C" w14:paraId="1BCA65FD" w14:textId="77777777" w:rsidTr="00A432B0">
        <w:trPr>
          <w:trHeight w:val="364"/>
        </w:trPr>
        <w:tc>
          <w:tcPr>
            <w:tcW w:w="1647" w:type="dxa"/>
            <w:tcBorders>
              <w:top w:val="nil"/>
              <w:left w:val="single" w:sz="4" w:space="0" w:color="auto"/>
              <w:bottom w:val="single" w:sz="8" w:space="0" w:color="auto"/>
              <w:right w:val="single" w:sz="8" w:space="0" w:color="auto"/>
            </w:tcBorders>
          </w:tcPr>
          <w:p w14:paraId="57890448"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Fallopia convolvulus</w:t>
            </w:r>
          </w:p>
        </w:tc>
        <w:tc>
          <w:tcPr>
            <w:tcW w:w="1276" w:type="dxa"/>
            <w:tcBorders>
              <w:top w:val="nil"/>
              <w:left w:val="nil"/>
              <w:bottom w:val="single" w:sz="8" w:space="0" w:color="auto"/>
              <w:right w:val="single" w:sz="8" w:space="0" w:color="auto"/>
            </w:tcBorders>
          </w:tcPr>
          <w:p w14:paraId="3E7624B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Field soil : Hygum site</w:t>
            </w:r>
          </w:p>
        </w:tc>
        <w:tc>
          <w:tcPr>
            <w:tcW w:w="425" w:type="dxa"/>
            <w:tcBorders>
              <w:top w:val="nil"/>
              <w:left w:val="nil"/>
              <w:bottom w:val="single" w:sz="8" w:space="0" w:color="auto"/>
              <w:right w:val="single" w:sz="8" w:space="0" w:color="auto"/>
            </w:tcBorders>
          </w:tcPr>
          <w:p w14:paraId="556C0D5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6.7</w:t>
            </w:r>
          </w:p>
        </w:tc>
        <w:tc>
          <w:tcPr>
            <w:tcW w:w="709" w:type="dxa"/>
            <w:tcBorders>
              <w:top w:val="nil"/>
              <w:left w:val="nil"/>
              <w:bottom w:val="single" w:sz="8" w:space="0" w:color="auto"/>
              <w:right w:val="single" w:sz="8" w:space="0" w:color="auto"/>
            </w:tcBorders>
          </w:tcPr>
          <w:p w14:paraId="2D47F88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4.5</w:t>
            </w:r>
          </w:p>
        </w:tc>
        <w:tc>
          <w:tcPr>
            <w:tcW w:w="709" w:type="dxa"/>
            <w:tcBorders>
              <w:top w:val="nil"/>
              <w:left w:val="nil"/>
              <w:bottom w:val="single" w:sz="8" w:space="0" w:color="auto"/>
              <w:right w:val="single" w:sz="8" w:space="0" w:color="auto"/>
            </w:tcBorders>
          </w:tcPr>
          <w:p w14:paraId="3D152E0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13.8</w:t>
            </w:r>
          </w:p>
        </w:tc>
        <w:tc>
          <w:tcPr>
            <w:tcW w:w="709" w:type="dxa"/>
            <w:tcBorders>
              <w:top w:val="nil"/>
              <w:left w:val="nil"/>
              <w:bottom w:val="single" w:sz="8" w:space="0" w:color="auto"/>
              <w:right w:val="single" w:sz="8" w:space="0" w:color="auto"/>
            </w:tcBorders>
          </w:tcPr>
          <w:p w14:paraId="7094839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22</w:t>
            </w:r>
          </w:p>
        </w:tc>
        <w:tc>
          <w:tcPr>
            <w:tcW w:w="850" w:type="dxa"/>
            <w:tcBorders>
              <w:top w:val="nil"/>
              <w:left w:val="nil"/>
              <w:bottom w:val="single" w:sz="8" w:space="0" w:color="auto"/>
              <w:right w:val="single" w:sz="8" w:space="0" w:color="auto"/>
            </w:tcBorders>
          </w:tcPr>
          <w:p w14:paraId="0C89DE2D"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15.7</w:t>
            </w:r>
          </w:p>
        </w:tc>
        <w:tc>
          <w:tcPr>
            <w:tcW w:w="992" w:type="dxa"/>
            <w:tcBorders>
              <w:top w:val="nil"/>
              <w:left w:val="nil"/>
              <w:bottom w:val="single" w:sz="8" w:space="0" w:color="auto"/>
              <w:right w:val="single" w:sz="8" w:space="0" w:color="auto"/>
            </w:tcBorders>
          </w:tcPr>
          <w:p w14:paraId="201D2A6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84</w:t>
            </w:r>
          </w:p>
        </w:tc>
        <w:tc>
          <w:tcPr>
            <w:tcW w:w="709" w:type="dxa"/>
            <w:tcBorders>
              <w:top w:val="nil"/>
              <w:left w:val="nil"/>
              <w:bottom w:val="single" w:sz="8" w:space="0" w:color="auto"/>
              <w:right w:val="single" w:sz="8" w:space="0" w:color="auto"/>
            </w:tcBorders>
          </w:tcPr>
          <w:p w14:paraId="19F0AB4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35</w:t>
            </w:r>
          </w:p>
        </w:tc>
        <w:tc>
          <w:tcPr>
            <w:tcW w:w="992" w:type="dxa"/>
            <w:tcBorders>
              <w:top w:val="nil"/>
              <w:left w:val="nil"/>
              <w:bottom w:val="single" w:sz="8" w:space="0" w:color="auto"/>
              <w:right w:val="single" w:sz="8" w:space="0" w:color="auto"/>
            </w:tcBorders>
          </w:tcPr>
          <w:p w14:paraId="40E69D6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8" w:space="0" w:color="auto"/>
              <w:right w:val="single" w:sz="8" w:space="0" w:color="000000"/>
            </w:tcBorders>
          </w:tcPr>
          <w:p w14:paraId="6A323D01"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200</w:t>
            </w:r>
          </w:p>
        </w:tc>
        <w:tc>
          <w:tcPr>
            <w:tcW w:w="1275" w:type="dxa"/>
            <w:tcBorders>
              <w:top w:val="single" w:sz="8" w:space="0" w:color="auto"/>
              <w:left w:val="nil"/>
              <w:bottom w:val="single" w:sz="8" w:space="0" w:color="auto"/>
              <w:right w:val="single" w:sz="8" w:space="0" w:color="000000"/>
            </w:tcBorders>
          </w:tcPr>
          <w:p w14:paraId="245B4A7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nil"/>
            </w:tcBorders>
          </w:tcPr>
          <w:p w14:paraId="5D44C824"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222</w:t>
            </w:r>
          </w:p>
        </w:tc>
        <w:tc>
          <w:tcPr>
            <w:tcW w:w="1134" w:type="dxa"/>
            <w:tcBorders>
              <w:top w:val="single" w:sz="8" w:space="0" w:color="auto"/>
              <w:left w:val="nil"/>
              <w:bottom w:val="single" w:sz="8" w:space="0" w:color="auto"/>
              <w:right w:val="single" w:sz="12" w:space="0" w:color="000000"/>
            </w:tcBorders>
          </w:tcPr>
          <w:p w14:paraId="32BEF22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625CC3A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Pedersen et al., 2000</w:t>
            </w:r>
          </w:p>
        </w:tc>
      </w:tr>
      <w:tr w:rsidR="00632208" w:rsidRPr="0098635C" w14:paraId="6FA27506" w14:textId="77777777" w:rsidTr="00A432B0">
        <w:trPr>
          <w:trHeight w:val="364"/>
        </w:trPr>
        <w:tc>
          <w:tcPr>
            <w:tcW w:w="1647" w:type="dxa"/>
            <w:tcBorders>
              <w:top w:val="nil"/>
              <w:left w:val="single" w:sz="4" w:space="0" w:color="auto"/>
              <w:bottom w:val="single" w:sz="8" w:space="0" w:color="auto"/>
              <w:right w:val="single" w:sz="8" w:space="0" w:color="auto"/>
            </w:tcBorders>
          </w:tcPr>
          <w:p w14:paraId="3EB7549B"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Fallopia convolvulus</w:t>
            </w:r>
          </w:p>
        </w:tc>
        <w:tc>
          <w:tcPr>
            <w:tcW w:w="1276" w:type="dxa"/>
            <w:tcBorders>
              <w:top w:val="nil"/>
              <w:left w:val="nil"/>
              <w:bottom w:val="single" w:sz="8" w:space="0" w:color="auto"/>
              <w:right w:val="single" w:sz="8" w:space="0" w:color="auto"/>
            </w:tcBorders>
          </w:tcPr>
          <w:p w14:paraId="1A3592E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Field soil : Hygum site</w:t>
            </w:r>
          </w:p>
        </w:tc>
        <w:tc>
          <w:tcPr>
            <w:tcW w:w="425" w:type="dxa"/>
            <w:tcBorders>
              <w:top w:val="nil"/>
              <w:left w:val="nil"/>
              <w:bottom w:val="single" w:sz="8" w:space="0" w:color="auto"/>
              <w:right w:val="single" w:sz="8" w:space="0" w:color="auto"/>
            </w:tcBorders>
          </w:tcPr>
          <w:p w14:paraId="1451848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6.7</w:t>
            </w:r>
          </w:p>
        </w:tc>
        <w:tc>
          <w:tcPr>
            <w:tcW w:w="709" w:type="dxa"/>
            <w:tcBorders>
              <w:top w:val="nil"/>
              <w:left w:val="nil"/>
              <w:bottom w:val="single" w:sz="8" w:space="0" w:color="auto"/>
              <w:right w:val="single" w:sz="8" w:space="0" w:color="auto"/>
            </w:tcBorders>
          </w:tcPr>
          <w:p w14:paraId="16561C5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4.5</w:t>
            </w:r>
          </w:p>
        </w:tc>
        <w:tc>
          <w:tcPr>
            <w:tcW w:w="709" w:type="dxa"/>
            <w:tcBorders>
              <w:top w:val="nil"/>
              <w:left w:val="nil"/>
              <w:bottom w:val="single" w:sz="8" w:space="0" w:color="auto"/>
              <w:right w:val="single" w:sz="8" w:space="0" w:color="auto"/>
            </w:tcBorders>
          </w:tcPr>
          <w:p w14:paraId="008AF62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13.8</w:t>
            </w:r>
          </w:p>
        </w:tc>
        <w:tc>
          <w:tcPr>
            <w:tcW w:w="709" w:type="dxa"/>
            <w:tcBorders>
              <w:top w:val="nil"/>
              <w:left w:val="nil"/>
              <w:bottom w:val="single" w:sz="8" w:space="0" w:color="auto"/>
              <w:right w:val="single" w:sz="8" w:space="0" w:color="auto"/>
            </w:tcBorders>
          </w:tcPr>
          <w:p w14:paraId="6E11EBE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22</w:t>
            </w:r>
          </w:p>
        </w:tc>
        <w:tc>
          <w:tcPr>
            <w:tcW w:w="850" w:type="dxa"/>
            <w:tcBorders>
              <w:top w:val="nil"/>
              <w:left w:val="nil"/>
              <w:bottom w:val="single" w:sz="8" w:space="0" w:color="auto"/>
              <w:right w:val="single" w:sz="8" w:space="0" w:color="auto"/>
            </w:tcBorders>
          </w:tcPr>
          <w:p w14:paraId="40936CBC"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15.7</w:t>
            </w:r>
          </w:p>
        </w:tc>
        <w:tc>
          <w:tcPr>
            <w:tcW w:w="992" w:type="dxa"/>
            <w:tcBorders>
              <w:top w:val="nil"/>
              <w:left w:val="nil"/>
              <w:bottom w:val="single" w:sz="8" w:space="0" w:color="auto"/>
              <w:right w:val="single" w:sz="8" w:space="0" w:color="auto"/>
            </w:tcBorders>
          </w:tcPr>
          <w:p w14:paraId="72BF44A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84</w:t>
            </w:r>
          </w:p>
        </w:tc>
        <w:tc>
          <w:tcPr>
            <w:tcW w:w="709" w:type="dxa"/>
            <w:tcBorders>
              <w:top w:val="nil"/>
              <w:left w:val="nil"/>
              <w:bottom w:val="single" w:sz="8" w:space="0" w:color="auto"/>
              <w:right w:val="single" w:sz="8" w:space="0" w:color="auto"/>
            </w:tcBorders>
          </w:tcPr>
          <w:p w14:paraId="2EBAC5F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35</w:t>
            </w:r>
          </w:p>
        </w:tc>
        <w:tc>
          <w:tcPr>
            <w:tcW w:w="992" w:type="dxa"/>
            <w:tcBorders>
              <w:top w:val="nil"/>
              <w:left w:val="nil"/>
              <w:bottom w:val="single" w:sz="8" w:space="0" w:color="auto"/>
              <w:right w:val="single" w:sz="8" w:space="0" w:color="auto"/>
            </w:tcBorders>
          </w:tcPr>
          <w:p w14:paraId="4E4A61A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y(r)</w:t>
            </w:r>
          </w:p>
        </w:tc>
        <w:tc>
          <w:tcPr>
            <w:tcW w:w="993" w:type="dxa"/>
            <w:tcBorders>
              <w:top w:val="single" w:sz="8" w:space="0" w:color="auto"/>
              <w:left w:val="nil"/>
              <w:bottom w:val="single" w:sz="8" w:space="0" w:color="auto"/>
              <w:right w:val="single" w:sz="8" w:space="0" w:color="000000"/>
            </w:tcBorders>
          </w:tcPr>
          <w:p w14:paraId="1690852E"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200</w:t>
            </w:r>
          </w:p>
        </w:tc>
        <w:tc>
          <w:tcPr>
            <w:tcW w:w="1275" w:type="dxa"/>
            <w:tcBorders>
              <w:top w:val="single" w:sz="8" w:space="0" w:color="auto"/>
              <w:left w:val="nil"/>
              <w:bottom w:val="single" w:sz="8" w:space="0" w:color="auto"/>
              <w:right w:val="single" w:sz="8" w:space="0" w:color="000000"/>
            </w:tcBorders>
          </w:tcPr>
          <w:p w14:paraId="4151FCD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nil"/>
            </w:tcBorders>
          </w:tcPr>
          <w:p w14:paraId="015CC63B"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222</w:t>
            </w:r>
          </w:p>
        </w:tc>
        <w:tc>
          <w:tcPr>
            <w:tcW w:w="1134" w:type="dxa"/>
            <w:tcBorders>
              <w:top w:val="single" w:sz="8" w:space="0" w:color="auto"/>
              <w:left w:val="nil"/>
              <w:bottom w:val="single" w:sz="8" w:space="0" w:color="auto"/>
              <w:right w:val="single" w:sz="12" w:space="0" w:color="000000"/>
            </w:tcBorders>
          </w:tcPr>
          <w:p w14:paraId="5F2D72E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6D9E5EA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Pedersen et al., 2000</w:t>
            </w:r>
          </w:p>
        </w:tc>
      </w:tr>
      <w:tr w:rsidR="00632208" w:rsidRPr="0098635C" w14:paraId="23A3E83F" w14:textId="77777777" w:rsidTr="00A432B0">
        <w:trPr>
          <w:trHeight w:val="364"/>
        </w:trPr>
        <w:tc>
          <w:tcPr>
            <w:tcW w:w="1647" w:type="dxa"/>
            <w:tcBorders>
              <w:top w:val="nil"/>
              <w:left w:val="single" w:sz="4" w:space="0" w:color="auto"/>
              <w:bottom w:val="single" w:sz="8" w:space="0" w:color="auto"/>
              <w:right w:val="single" w:sz="8" w:space="0" w:color="auto"/>
            </w:tcBorders>
          </w:tcPr>
          <w:p w14:paraId="46705C4B"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Vigna mungo</w:t>
            </w:r>
          </w:p>
        </w:tc>
        <w:tc>
          <w:tcPr>
            <w:tcW w:w="1276" w:type="dxa"/>
            <w:tcBorders>
              <w:top w:val="nil"/>
              <w:left w:val="nil"/>
              <w:bottom w:val="single" w:sz="8" w:space="0" w:color="auto"/>
              <w:right w:val="single" w:sz="8" w:space="0" w:color="auto"/>
            </w:tcBorders>
          </w:tcPr>
          <w:p w14:paraId="5F917F7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Unspecified</w:t>
            </w:r>
          </w:p>
        </w:tc>
        <w:tc>
          <w:tcPr>
            <w:tcW w:w="425" w:type="dxa"/>
            <w:tcBorders>
              <w:top w:val="nil"/>
              <w:left w:val="nil"/>
              <w:bottom w:val="single" w:sz="8" w:space="0" w:color="auto"/>
              <w:right w:val="single" w:sz="8" w:space="0" w:color="auto"/>
            </w:tcBorders>
          </w:tcPr>
          <w:p w14:paraId="6BD4BAD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6.2</w:t>
            </w:r>
          </w:p>
        </w:tc>
        <w:tc>
          <w:tcPr>
            <w:tcW w:w="709" w:type="dxa"/>
            <w:tcBorders>
              <w:top w:val="nil"/>
              <w:left w:val="nil"/>
              <w:bottom w:val="single" w:sz="8" w:space="0" w:color="auto"/>
              <w:right w:val="single" w:sz="8" w:space="0" w:color="auto"/>
            </w:tcBorders>
          </w:tcPr>
          <w:p w14:paraId="5B11DC6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5740F15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7178ABD1"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8" w:space="0" w:color="auto"/>
              <w:right w:val="single" w:sz="8" w:space="0" w:color="auto"/>
            </w:tcBorders>
          </w:tcPr>
          <w:p w14:paraId="3D6456C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4D60FE4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1D07032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45</w:t>
            </w:r>
          </w:p>
        </w:tc>
        <w:tc>
          <w:tcPr>
            <w:tcW w:w="992" w:type="dxa"/>
            <w:tcBorders>
              <w:top w:val="nil"/>
              <w:left w:val="nil"/>
              <w:bottom w:val="single" w:sz="8" w:space="0" w:color="auto"/>
              <w:right w:val="single" w:sz="8" w:space="0" w:color="auto"/>
            </w:tcBorders>
          </w:tcPr>
          <w:p w14:paraId="31105BC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y(st)</w:t>
            </w:r>
          </w:p>
        </w:tc>
        <w:tc>
          <w:tcPr>
            <w:tcW w:w="993" w:type="dxa"/>
            <w:tcBorders>
              <w:top w:val="single" w:sz="8" w:space="0" w:color="auto"/>
              <w:left w:val="nil"/>
              <w:bottom w:val="single" w:sz="8" w:space="0" w:color="auto"/>
              <w:right w:val="single" w:sz="8" w:space="0" w:color="000000"/>
            </w:tcBorders>
          </w:tcPr>
          <w:p w14:paraId="5B9D1FF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50</w:t>
            </w:r>
          </w:p>
        </w:tc>
        <w:tc>
          <w:tcPr>
            <w:tcW w:w="1275" w:type="dxa"/>
            <w:tcBorders>
              <w:top w:val="single" w:sz="8" w:space="0" w:color="auto"/>
              <w:left w:val="nil"/>
              <w:bottom w:val="single" w:sz="8" w:space="0" w:color="auto"/>
              <w:right w:val="single" w:sz="8" w:space="0" w:color="000000"/>
            </w:tcBorders>
          </w:tcPr>
          <w:p w14:paraId="35DFC4D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nil"/>
            </w:tcBorders>
          </w:tcPr>
          <w:p w14:paraId="648FF10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60.7</w:t>
            </w:r>
          </w:p>
        </w:tc>
        <w:tc>
          <w:tcPr>
            <w:tcW w:w="1134" w:type="dxa"/>
            <w:tcBorders>
              <w:top w:val="single" w:sz="8" w:space="0" w:color="auto"/>
              <w:left w:val="nil"/>
              <w:bottom w:val="single" w:sz="8" w:space="0" w:color="auto"/>
              <w:right w:val="single" w:sz="12" w:space="0" w:color="000000"/>
            </w:tcBorders>
          </w:tcPr>
          <w:p w14:paraId="011D9F5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6876764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Kalyanaraman and Sivagurunathan, 1993</w:t>
            </w:r>
          </w:p>
        </w:tc>
      </w:tr>
      <w:tr w:rsidR="00632208" w:rsidRPr="0098635C" w14:paraId="68FF32A5" w14:textId="77777777" w:rsidTr="00A432B0">
        <w:trPr>
          <w:trHeight w:val="364"/>
        </w:trPr>
        <w:tc>
          <w:tcPr>
            <w:tcW w:w="1647" w:type="dxa"/>
            <w:tcBorders>
              <w:top w:val="nil"/>
              <w:left w:val="single" w:sz="4" w:space="0" w:color="auto"/>
              <w:bottom w:val="single" w:sz="8" w:space="0" w:color="auto"/>
              <w:right w:val="single" w:sz="8" w:space="0" w:color="auto"/>
            </w:tcBorders>
          </w:tcPr>
          <w:p w14:paraId="62117A26"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Vigna mungo</w:t>
            </w:r>
          </w:p>
        </w:tc>
        <w:tc>
          <w:tcPr>
            <w:tcW w:w="1276" w:type="dxa"/>
            <w:tcBorders>
              <w:top w:val="nil"/>
              <w:left w:val="nil"/>
              <w:bottom w:val="single" w:sz="8" w:space="0" w:color="auto"/>
              <w:right w:val="single" w:sz="8" w:space="0" w:color="auto"/>
            </w:tcBorders>
          </w:tcPr>
          <w:p w14:paraId="5387E5A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Unspecified</w:t>
            </w:r>
          </w:p>
        </w:tc>
        <w:tc>
          <w:tcPr>
            <w:tcW w:w="425" w:type="dxa"/>
            <w:tcBorders>
              <w:top w:val="nil"/>
              <w:left w:val="nil"/>
              <w:bottom w:val="single" w:sz="8" w:space="0" w:color="auto"/>
              <w:right w:val="single" w:sz="8" w:space="0" w:color="auto"/>
            </w:tcBorders>
          </w:tcPr>
          <w:p w14:paraId="1F8266C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6.2</w:t>
            </w:r>
          </w:p>
        </w:tc>
        <w:tc>
          <w:tcPr>
            <w:tcW w:w="709" w:type="dxa"/>
            <w:tcBorders>
              <w:top w:val="nil"/>
              <w:left w:val="nil"/>
              <w:bottom w:val="single" w:sz="8" w:space="0" w:color="auto"/>
              <w:right w:val="single" w:sz="8" w:space="0" w:color="auto"/>
            </w:tcBorders>
          </w:tcPr>
          <w:p w14:paraId="68ADA6B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68E1FD8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40C7A9E3"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8" w:space="0" w:color="auto"/>
              <w:right w:val="single" w:sz="8" w:space="0" w:color="auto"/>
            </w:tcBorders>
          </w:tcPr>
          <w:p w14:paraId="46CD49B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4C930DE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40888DB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45</w:t>
            </w:r>
          </w:p>
        </w:tc>
        <w:tc>
          <w:tcPr>
            <w:tcW w:w="992" w:type="dxa"/>
            <w:tcBorders>
              <w:top w:val="nil"/>
              <w:left w:val="nil"/>
              <w:bottom w:val="single" w:sz="8" w:space="0" w:color="auto"/>
              <w:right w:val="single" w:sz="8" w:space="0" w:color="auto"/>
            </w:tcBorders>
          </w:tcPr>
          <w:p w14:paraId="51B16D9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y(l)</w:t>
            </w:r>
          </w:p>
        </w:tc>
        <w:tc>
          <w:tcPr>
            <w:tcW w:w="993" w:type="dxa"/>
            <w:tcBorders>
              <w:top w:val="single" w:sz="8" w:space="0" w:color="auto"/>
              <w:left w:val="nil"/>
              <w:bottom w:val="single" w:sz="8" w:space="0" w:color="auto"/>
              <w:right w:val="single" w:sz="8" w:space="0" w:color="000000"/>
            </w:tcBorders>
          </w:tcPr>
          <w:p w14:paraId="1EC4FD1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100</w:t>
            </w:r>
          </w:p>
        </w:tc>
        <w:tc>
          <w:tcPr>
            <w:tcW w:w="1275" w:type="dxa"/>
            <w:tcBorders>
              <w:top w:val="single" w:sz="8" w:space="0" w:color="auto"/>
              <w:left w:val="nil"/>
              <w:bottom w:val="single" w:sz="8" w:space="0" w:color="auto"/>
              <w:right w:val="single" w:sz="8" w:space="0" w:color="000000"/>
            </w:tcBorders>
          </w:tcPr>
          <w:p w14:paraId="062F062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nil"/>
            </w:tcBorders>
          </w:tcPr>
          <w:p w14:paraId="550C882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110.7</w:t>
            </w:r>
          </w:p>
        </w:tc>
        <w:tc>
          <w:tcPr>
            <w:tcW w:w="1134" w:type="dxa"/>
            <w:tcBorders>
              <w:top w:val="single" w:sz="8" w:space="0" w:color="auto"/>
              <w:left w:val="nil"/>
              <w:bottom w:val="single" w:sz="8" w:space="0" w:color="auto"/>
              <w:right w:val="single" w:sz="12" w:space="0" w:color="000000"/>
            </w:tcBorders>
          </w:tcPr>
          <w:p w14:paraId="5CCFDC3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2D3F1B1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Kalyanaraman and Sivagurunathan, 1993</w:t>
            </w:r>
          </w:p>
        </w:tc>
      </w:tr>
      <w:tr w:rsidR="00632208" w:rsidRPr="0098635C" w14:paraId="21545F5F" w14:textId="77777777" w:rsidTr="00A432B0">
        <w:trPr>
          <w:trHeight w:val="248"/>
        </w:trPr>
        <w:tc>
          <w:tcPr>
            <w:tcW w:w="1647" w:type="dxa"/>
            <w:tcBorders>
              <w:top w:val="nil"/>
              <w:left w:val="single" w:sz="4" w:space="0" w:color="auto"/>
              <w:bottom w:val="single" w:sz="8" w:space="0" w:color="auto"/>
              <w:right w:val="single" w:sz="8" w:space="0" w:color="auto"/>
            </w:tcBorders>
          </w:tcPr>
          <w:p w14:paraId="2146D65C"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Triticum aestivum</w:t>
            </w:r>
          </w:p>
        </w:tc>
        <w:tc>
          <w:tcPr>
            <w:tcW w:w="1276" w:type="dxa"/>
            <w:tcBorders>
              <w:top w:val="nil"/>
              <w:left w:val="nil"/>
              <w:bottom w:val="single" w:sz="8" w:space="0" w:color="auto"/>
              <w:right w:val="single" w:sz="8" w:space="0" w:color="auto"/>
            </w:tcBorders>
          </w:tcPr>
          <w:p w14:paraId="359A48E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sand</w:t>
            </w:r>
          </w:p>
        </w:tc>
        <w:tc>
          <w:tcPr>
            <w:tcW w:w="425" w:type="dxa"/>
            <w:tcBorders>
              <w:top w:val="nil"/>
              <w:left w:val="nil"/>
              <w:bottom w:val="single" w:sz="8" w:space="0" w:color="auto"/>
              <w:right w:val="single" w:sz="8" w:space="0" w:color="auto"/>
            </w:tcBorders>
          </w:tcPr>
          <w:p w14:paraId="7AEBE30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7.8</w:t>
            </w:r>
          </w:p>
        </w:tc>
        <w:tc>
          <w:tcPr>
            <w:tcW w:w="709" w:type="dxa"/>
            <w:tcBorders>
              <w:top w:val="nil"/>
              <w:left w:val="nil"/>
              <w:bottom w:val="single" w:sz="8" w:space="0" w:color="auto"/>
              <w:right w:val="single" w:sz="8" w:space="0" w:color="auto"/>
            </w:tcBorders>
          </w:tcPr>
          <w:p w14:paraId="4671F30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0.2</w:t>
            </w:r>
          </w:p>
        </w:tc>
        <w:tc>
          <w:tcPr>
            <w:tcW w:w="709" w:type="dxa"/>
            <w:tcBorders>
              <w:top w:val="nil"/>
              <w:left w:val="nil"/>
              <w:bottom w:val="single" w:sz="8" w:space="0" w:color="auto"/>
              <w:right w:val="single" w:sz="8" w:space="0" w:color="auto"/>
            </w:tcBorders>
          </w:tcPr>
          <w:p w14:paraId="1C84A80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282E407A"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8" w:space="0" w:color="auto"/>
              <w:right w:val="single" w:sz="8" w:space="0" w:color="auto"/>
            </w:tcBorders>
          </w:tcPr>
          <w:p w14:paraId="116C437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0164059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75374CE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To flag leaf stage</w:t>
            </w:r>
          </w:p>
        </w:tc>
        <w:tc>
          <w:tcPr>
            <w:tcW w:w="992" w:type="dxa"/>
            <w:tcBorders>
              <w:top w:val="nil"/>
              <w:left w:val="nil"/>
              <w:bottom w:val="single" w:sz="8" w:space="0" w:color="auto"/>
              <w:right w:val="single" w:sz="8" w:space="0" w:color="auto"/>
            </w:tcBorders>
          </w:tcPr>
          <w:p w14:paraId="658DBB4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8" w:space="0" w:color="auto"/>
              <w:right w:val="single" w:sz="8" w:space="0" w:color="000000"/>
            </w:tcBorders>
          </w:tcPr>
          <w:p w14:paraId="09560F6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40</w:t>
            </w:r>
          </w:p>
        </w:tc>
        <w:tc>
          <w:tcPr>
            <w:tcW w:w="1275" w:type="dxa"/>
            <w:tcBorders>
              <w:top w:val="single" w:sz="8" w:space="0" w:color="auto"/>
              <w:left w:val="nil"/>
              <w:bottom w:val="single" w:sz="8" w:space="0" w:color="auto"/>
              <w:right w:val="single" w:sz="8" w:space="0" w:color="000000"/>
            </w:tcBorders>
          </w:tcPr>
          <w:p w14:paraId="459A756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nil"/>
            </w:tcBorders>
          </w:tcPr>
          <w:p w14:paraId="5196E21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50.7</w:t>
            </w:r>
          </w:p>
        </w:tc>
        <w:tc>
          <w:tcPr>
            <w:tcW w:w="1134" w:type="dxa"/>
            <w:tcBorders>
              <w:top w:val="single" w:sz="8" w:space="0" w:color="auto"/>
              <w:left w:val="nil"/>
              <w:bottom w:val="single" w:sz="8" w:space="0" w:color="auto"/>
              <w:right w:val="single" w:sz="12" w:space="0" w:color="000000"/>
            </w:tcBorders>
          </w:tcPr>
          <w:p w14:paraId="246C2E8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65419DE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Chhibba et al., 1994</w:t>
            </w:r>
          </w:p>
        </w:tc>
      </w:tr>
      <w:tr w:rsidR="00632208" w:rsidRPr="0098635C" w14:paraId="57BD5D2C" w14:textId="77777777" w:rsidTr="00A432B0">
        <w:trPr>
          <w:trHeight w:val="174"/>
        </w:trPr>
        <w:tc>
          <w:tcPr>
            <w:tcW w:w="1647" w:type="dxa"/>
            <w:tcBorders>
              <w:top w:val="nil"/>
              <w:left w:val="single" w:sz="4" w:space="0" w:color="auto"/>
              <w:bottom w:val="single" w:sz="8" w:space="0" w:color="auto"/>
              <w:right w:val="single" w:sz="8" w:space="0" w:color="auto"/>
            </w:tcBorders>
          </w:tcPr>
          <w:p w14:paraId="3CDB83EC"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Triticum aestivum</w:t>
            </w:r>
          </w:p>
        </w:tc>
        <w:tc>
          <w:tcPr>
            <w:tcW w:w="1276" w:type="dxa"/>
            <w:tcBorders>
              <w:top w:val="nil"/>
              <w:left w:val="nil"/>
              <w:bottom w:val="single" w:sz="8" w:space="0" w:color="auto"/>
              <w:right w:val="single" w:sz="8" w:space="0" w:color="auto"/>
            </w:tcBorders>
          </w:tcPr>
          <w:p w14:paraId="4C60C85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sand</w:t>
            </w:r>
          </w:p>
        </w:tc>
        <w:tc>
          <w:tcPr>
            <w:tcW w:w="425" w:type="dxa"/>
            <w:tcBorders>
              <w:top w:val="nil"/>
              <w:left w:val="nil"/>
              <w:bottom w:val="single" w:sz="8" w:space="0" w:color="auto"/>
              <w:right w:val="single" w:sz="8" w:space="0" w:color="auto"/>
            </w:tcBorders>
          </w:tcPr>
          <w:p w14:paraId="37F319C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7.8</w:t>
            </w:r>
          </w:p>
        </w:tc>
        <w:tc>
          <w:tcPr>
            <w:tcW w:w="709" w:type="dxa"/>
            <w:tcBorders>
              <w:top w:val="nil"/>
              <w:left w:val="nil"/>
              <w:bottom w:val="single" w:sz="8" w:space="0" w:color="auto"/>
              <w:right w:val="single" w:sz="8" w:space="0" w:color="auto"/>
            </w:tcBorders>
          </w:tcPr>
          <w:p w14:paraId="0431F05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0.2</w:t>
            </w:r>
          </w:p>
        </w:tc>
        <w:tc>
          <w:tcPr>
            <w:tcW w:w="709" w:type="dxa"/>
            <w:tcBorders>
              <w:top w:val="nil"/>
              <w:left w:val="nil"/>
              <w:bottom w:val="single" w:sz="8" w:space="0" w:color="auto"/>
              <w:right w:val="single" w:sz="8" w:space="0" w:color="auto"/>
            </w:tcBorders>
          </w:tcPr>
          <w:p w14:paraId="0ADF1BA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2C344616"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8" w:space="0" w:color="auto"/>
              <w:right w:val="single" w:sz="8" w:space="0" w:color="auto"/>
            </w:tcBorders>
          </w:tcPr>
          <w:p w14:paraId="6C7175D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57C357C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7C0B6BF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To maturity</w:t>
            </w:r>
          </w:p>
        </w:tc>
        <w:tc>
          <w:tcPr>
            <w:tcW w:w="992" w:type="dxa"/>
            <w:tcBorders>
              <w:top w:val="nil"/>
              <w:left w:val="nil"/>
              <w:bottom w:val="single" w:sz="8" w:space="0" w:color="auto"/>
              <w:right w:val="single" w:sz="8" w:space="0" w:color="auto"/>
            </w:tcBorders>
          </w:tcPr>
          <w:p w14:paraId="5D3AF56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y(g)</w:t>
            </w:r>
          </w:p>
        </w:tc>
        <w:tc>
          <w:tcPr>
            <w:tcW w:w="993" w:type="dxa"/>
            <w:tcBorders>
              <w:top w:val="single" w:sz="8" w:space="0" w:color="auto"/>
              <w:left w:val="nil"/>
              <w:bottom w:val="single" w:sz="8" w:space="0" w:color="auto"/>
              <w:right w:val="single" w:sz="8" w:space="0" w:color="000000"/>
            </w:tcBorders>
          </w:tcPr>
          <w:p w14:paraId="39E502E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40</w:t>
            </w:r>
          </w:p>
        </w:tc>
        <w:tc>
          <w:tcPr>
            <w:tcW w:w="1275" w:type="dxa"/>
            <w:tcBorders>
              <w:top w:val="single" w:sz="8" w:space="0" w:color="auto"/>
              <w:left w:val="nil"/>
              <w:bottom w:val="single" w:sz="8" w:space="0" w:color="auto"/>
              <w:right w:val="single" w:sz="8" w:space="0" w:color="000000"/>
            </w:tcBorders>
          </w:tcPr>
          <w:p w14:paraId="21AE12C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nil"/>
            </w:tcBorders>
          </w:tcPr>
          <w:p w14:paraId="2E12CCC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50.7</w:t>
            </w:r>
          </w:p>
        </w:tc>
        <w:tc>
          <w:tcPr>
            <w:tcW w:w="1134" w:type="dxa"/>
            <w:tcBorders>
              <w:top w:val="single" w:sz="8" w:space="0" w:color="auto"/>
              <w:left w:val="nil"/>
              <w:bottom w:val="single" w:sz="8" w:space="0" w:color="auto"/>
              <w:right w:val="single" w:sz="12" w:space="0" w:color="000000"/>
            </w:tcBorders>
          </w:tcPr>
          <w:p w14:paraId="2246FDD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1885954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Chhibba et al., 1994</w:t>
            </w:r>
          </w:p>
        </w:tc>
      </w:tr>
      <w:tr w:rsidR="00632208" w:rsidRPr="0098635C" w14:paraId="3F72B731" w14:textId="77777777" w:rsidTr="00A432B0">
        <w:trPr>
          <w:trHeight w:val="64"/>
        </w:trPr>
        <w:tc>
          <w:tcPr>
            <w:tcW w:w="1647" w:type="dxa"/>
            <w:tcBorders>
              <w:top w:val="nil"/>
              <w:left w:val="single" w:sz="4" w:space="0" w:color="auto"/>
              <w:bottom w:val="single" w:sz="8" w:space="0" w:color="auto"/>
              <w:right w:val="single" w:sz="8" w:space="0" w:color="auto"/>
            </w:tcBorders>
          </w:tcPr>
          <w:p w14:paraId="16AC55A7"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lastRenderedPageBreak/>
              <w:t>Citrus reticulata</w:t>
            </w:r>
          </w:p>
        </w:tc>
        <w:tc>
          <w:tcPr>
            <w:tcW w:w="1276" w:type="dxa"/>
            <w:tcBorders>
              <w:top w:val="nil"/>
              <w:left w:val="nil"/>
              <w:bottom w:val="single" w:sz="8" w:space="0" w:color="auto"/>
              <w:right w:val="single" w:sz="8" w:space="0" w:color="auto"/>
            </w:tcBorders>
          </w:tcPr>
          <w:p w14:paraId="6C5E940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soil</w:t>
            </w:r>
          </w:p>
        </w:tc>
        <w:tc>
          <w:tcPr>
            <w:tcW w:w="425" w:type="dxa"/>
            <w:tcBorders>
              <w:top w:val="nil"/>
              <w:left w:val="nil"/>
              <w:bottom w:val="single" w:sz="8" w:space="0" w:color="auto"/>
              <w:right w:val="single" w:sz="8" w:space="0" w:color="auto"/>
            </w:tcBorders>
          </w:tcPr>
          <w:p w14:paraId="0361986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5.8</w:t>
            </w:r>
          </w:p>
        </w:tc>
        <w:tc>
          <w:tcPr>
            <w:tcW w:w="709" w:type="dxa"/>
            <w:tcBorders>
              <w:top w:val="nil"/>
              <w:left w:val="nil"/>
              <w:bottom w:val="single" w:sz="8" w:space="0" w:color="auto"/>
              <w:right w:val="single" w:sz="8" w:space="0" w:color="auto"/>
            </w:tcBorders>
          </w:tcPr>
          <w:p w14:paraId="5220626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0.8</w:t>
            </w:r>
          </w:p>
        </w:tc>
        <w:tc>
          <w:tcPr>
            <w:tcW w:w="709" w:type="dxa"/>
            <w:tcBorders>
              <w:top w:val="nil"/>
              <w:left w:val="nil"/>
              <w:bottom w:val="single" w:sz="8" w:space="0" w:color="auto"/>
              <w:right w:val="single" w:sz="8" w:space="0" w:color="auto"/>
            </w:tcBorders>
          </w:tcPr>
          <w:p w14:paraId="3F6B47E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11B358BE"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8" w:space="0" w:color="auto"/>
              <w:right w:val="single" w:sz="8" w:space="0" w:color="auto"/>
            </w:tcBorders>
          </w:tcPr>
          <w:p w14:paraId="28603E5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1.78</w:t>
            </w:r>
          </w:p>
        </w:tc>
        <w:tc>
          <w:tcPr>
            <w:tcW w:w="992" w:type="dxa"/>
            <w:tcBorders>
              <w:top w:val="nil"/>
              <w:left w:val="nil"/>
              <w:bottom w:val="single" w:sz="8" w:space="0" w:color="auto"/>
              <w:right w:val="single" w:sz="8" w:space="0" w:color="auto"/>
            </w:tcBorders>
          </w:tcPr>
          <w:p w14:paraId="0F44C78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45</w:t>
            </w:r>
          </w:p>
        </w:tc>
        <w:tc>
          <w:tcPr>
            <w:tcW w:w="709" w:type="dxa"/>
            <w:tcBorders>
              <w:top w:val="nil"/>
              <w:left w:val="nil"/>
              <w:bottom w:val="single" w:sz="8" w:space="0" w:color="auto"/>
              <w:right w:val="single" w:sz="8" w:space="0" w:color="auto"/>
            </w:tcBorders>
          </w:tcPr>
          <w:p w14:paraId="5CA869A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220</w:t>
            </w:r>
          </w:p>
        </w:tc>
        <w:tc>
          <w:tcPr>
            <w:tcW w:w="992" w:type="dxa"/>
            <w:tcBorders>
              <w:top w:val="nil"/>
              <w:left w:val="nil"/>
              <w:bottom w:val="single" w:sz="8" w:space="0" w:color="auto"/>
              <w:right w:val="single" w:sz="8" w:space="0" w:color="auto"/>
            </w:tcBorders>
          </w:tcPr>
          <w:p w14:paraId="43EA080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8" w:space="0" w:color="auto"/>
              <w:right w:val="single" w:sz="8" w:space="0" w:color="000000"/>
            </w:tcBorders>
          </w:tcPr>
          <w:p w14:paraId="0443D98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275" w:type="dxa"/>
            <w:tcBorders>
              <w:top w:val="single" w:sz="8" w:space="0" w:color="auto"/>
              <w:left w:val="nil"/>
              <w:bottom w:val="single" w:sz="8" w:space="0" w:color="auto"/>
              <w:right w:val="single" w:sz="8" w:space="0" w:color="000000"/>
            </w:tcBorders>
          </w:tcPr>
          <w:p w14:paraId="39FBEA3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&lt;50</w:t>
            </w:r>
          </w:p>
        </w:tc>
        <w:tc>
          <w:tcPr>
            <w:tcW w:w="851" w:type="dxa"/>
            <w:tcBorders>
              <w:top w:val="nil"/>
              <w:left w:val="nil"/>
              <w:bottom w:val="single" w:sz="8" w:space="0" w:color="auto"/>
              <w:right w:val="nil"/>
            </w:tcBorders>
          </w:tcPr>
          <w:p w14:paraId="10558E0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134" w:type="dxa"/>
            <w:tcBorders>
              <w:top w:val="single" w:sz="8" w:space="0" w:color="auto"/>
              <w:left w:val="nil"/>
              <w:bottom w:val="single" w:sz="8" w:space="0" w:color="auto"/>
              <w:right w:val="single" w:sz="12" w:space="0" w:color="000000"/>
            </w:tcBorders>
          </w:tcPr>
          <w:p w14:paraId="3D36B66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&lt;60.7</w:t>
            </w:r>
          </w:p>
        </w:tc>
        <w:tc>
          <w:tcPr>
            <w:tcW w:w="1984" w:type="dxa"/>
            <w:tcBorders>
              <w:top w:val="single" w:sz="8" w:space="0" w:color="auto"/>
              <w:left w:val="nil"/>
              <w:bottom w:val="single" w:sz="8" w:space="0" w:color="auto"/>
              <w:right w:val="single" w:sz="12" w:space="0" w:color="000000"/>
            </w:tcBorders>
          </w:tcPr>
          <w:p w14:paraId="76FF692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Alva et al., 1993</w:t>
            </w:r>
          </w:p>
        </w:tc>
      </w:tr>
      <w:tr w:rsidR="00632208" w:rsidRPr="0098635C" w14:paraId="3288D015" w14:textId="77777777" w:rsidTr="00A432B0">
        <w:trPr>
          <w:trHeight w:val="64"/>
        </w:trPr>
        <w:tc>
          <w:tcPr>
            <w:tcW w:w="1647" w:type="dxa"/>
            <w:tcBorders>
              <w:top w:val="nil"/>
              <w:left w:val="single" w:sz="4" w:space="0" w:color="auto"/>
              <w:bottom w:val="single" w:sz="8" w:space="0" w:color="auto"/>
              <w:right w:val="single" w:sz="8" w:space="0" w:color="auto"/>
            </w:tcBorders>
          </w:tcPr>
          <w:p w14:paraId="2EEAB688"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Citrus reticulata</w:t>
            </w:r>
          </w:p>
        </w:tc>
        <w:tc>
          <w:tcPr>
            <w:tcW w:w="1276" w:type="dxa"/>
            <w:tcBorders>
              <w:top w:val="nil"/>
              <w:left w:val="nil"/>
              <w:bottom w:val="single" w:sz="8" w:space="0" w:color="auto"/>
              <w:right w:val="single" w:sz="8" w:space="0" w:color="auto"/>
            </w:tcBorders>
          </w:tcPr>
          <w:p w14:paraId="7D69502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soil</w:t>
            </w:r>
          </w:p>
        </w:tc>
        <w:tc>
          <w:tcPr>
            <w:tcW w:w="425" w:type="dxa"/>
            <w:tcBorders>
              <w:top w:val="nil"/>
              <w:left w:val="nil"/>
              <w:bottom w:val="single" w:sz="8" w:space="0" w:color="auto"/>
              <w:right w:val="single" w:sz="8" w:space="0" w:color="auto"/>
            </w:tcBorders>
          </w:tcPr>
          <w:p w14:paraId="4C35C73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5.8</w:t>
            </w:r>
          </w:p>
        </w:tc>
        <w:tc>
          <w:tcPr>
            <w:tcW w:w="709" w:type="dxa"/>
            <w:tcBorders>
              <w:top w:val="nil"/>
              <w:left w:val="nil"/>
              <w:bottom w:val="single" w:sz="8" w:space="0" w:color="auto"/>
              <w:right w:val="single" w:sz="8" w:space="0" w:color="auto"/>
            </w:tcBorders>
          </w:tcPr>
          <w:p w14:paraId="462815A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0.8</w:t>
            </w:r>
          </w:p>
        </w:tc>
        <w:tc>
          <w:tcPr>
            <w:tcW w:w="709" w:type="dxa"/>
            <w:tcBorders>
              <w:top w:val="nil"/>
              <w:left w:val="nil"/>
              <w:bottom w:val="single" w:sz="8" w:space="0" w:color="auto"/>
              <w:right w:val="single" w:sz="8" w:space="0" w:color="auto"/>
            </w:tcBorders>
          </w:tcPr>
          <w:p w14:paraId="0AD3292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61DF225F"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8" w:space="0" w:color="auto"/>
              <w:right w:val="single" w:sz="8" w:space="0" w:color="auto"/>
            </w:tcBorders>
          </w:tcPr>
          <w:p w14:paraId="483688D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1.78</w:t>
            </w:r>
          </w:p>
        </w:tc>
        <w:tc>
          <w:tcPr>
            <w:tcW w:w="992" w:type="dxa"/>
            <w:tcBorders>
              <w:top w:val="nil"/>
              <w:left w:val="nil"/>
              <w:bottom w:val="single" w:sz="8" w:space="0" w:color="auto"/>
              <w:right w:val="single" w:sz="8" w:space="0" w:color="auto"/>
            </w:tcBorders>
          </w:tcPr>
          <w:p w14:paraId="6F2CF41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45</w:t>
            </w:r>
          </w:p>
        </w:tc>
        <w:tc>
          <w:tcPr>
            <w:tcW w:w="709" w:type="dxa"/>
            <w:tcBorders>
              <w:top w:val="nil"/>
              <w:left w:val="nil"/>
              <w:bottom w:val="single" w:sz="8" w:space="0" w:color="auto"/>
              <w:right w:val="single" w:sz="8" w:space="0" w:color="auto"/>
            </w:tcBorders>
          </w:tcPr>
          <w:p w14:paraId="2A9C77C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220</w:t>
            </w:r>
          </w:p>
        </w:tc>
        <w:tc>
          <w:tcPr>
            <w:tcW w:w="992" w:type="dxa"/>
            <w:tcBorders>
              <w:top w:val="nil"/>
              <w:left w:val="nil"/>
              <w:bottom w:val="single" w:sz="8" w:space="0" w:color="auto"/>
              <w:right w:val="single" w:sz="8" w:space="0" w:color="auto"/>
            </w:tcBorders>
          </w:tcPr>
          <w:p w14:paraId="4FAC2FA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8" w:space="0" w:color="auto"/>
              <w:right w:val="single" w:sz="8" w:space="0" w:color="000000"/>
            </w:tcBorders>
          </w:tcPr>
          <w:p w14:paraId="1BAD57D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275" w:type="dxa"/>
            <w:tcBorders>
              <w:top w:val="single" w:sz="8" w:space="0" w:color="auto"/>
              <w:left w:val="nil"/>
              <w:bottom w:val="single" w:sz="8" w:space="0" w:color="auto"/>
              <w:right w:val="single" w:sz="8" w:space="0" w:color="000000"/>
            </w:tcBorders>
          </w:tcPr>
          <w:p w14:paraId="640F86B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&lt;50</w:t>
            </w:r>
          </w:p>
        </w:tc>
        <w:tc>
          <w:tcPr>
            <w:tcW w:w="851" w:type="dxa"/>
            <w:tcBorders>
              <w:top w:val="nil"/>
              <w:left w:val="nil"/>
              <w:bottom w:val="single" w:sz="8" w:space="0" w:color="auto"/>
              <w:right w:val="nil"/>
            </w:tcBorders>
          </w:tcPr>
          <w:p w14:paraId="42B0938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134" w:type="dxa"/>
            <w:tcBorders>
              <w:top w:val="single" w:sz="8" w:space="0" w:color="auto"/>
              <w:left w:val="nil"/>
              <w:bottom w:val="single" w:sz="8" w:space="0" w:color="auto"/>
              <w:right w:val="single" w:sz="12" w:space="0" w:color="000000"/>
            </w:tcBorders>
          </w:tcPr>
          <w:p w14:paraId="0B190CA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&lt;60.7</w:t>
            </w:r>
          </w:p>
        </w:tc>
        <w:tc>
          <w:tcPr>
            <w:tcW w:w="1984" w:type="dxa"/>
            <w:tcBorders>
              <w:top w:val="single" w:sz="8" w:space="0" w:color="auto"/>
              <w:left w:val="nil"/>
              <w:bottom w:val="single" w:sz="8" w:space="0" w:color="auto"/>
              <w:right w:val="single" w:sz="12" w:space="0" w:color="000000"/>
            </w:tcBorders>
          </w:tcPr>
          <w:p w14:paraId="5B06E4E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Alva et al., 1993</w:t>
            </w:r>
          </w:p>
        </w:tc>
      </w:tr>
      <w:tr w:rsidR="00632208" w:rsidRPr="0098635C" w14:paraId="006CE1B6" w14:textId="77777777" w:rsidTr="00A432B0">
        <w:trPr>
          <w:trHeight w:val="129"/>
        </w:trPr>
        <w:tc>
          <w:tcPr>
            <w:tcW w:w="1647" w:type="dxa"/>
            <w:tcBorders>
              <w:top w:val="nil"/>
              <w:left w:val="single" w:sz="4" w:space="0" w:color="auto"/>
              <w:bottom w:val="single" w:sz="8" w:space="0" w:color="auto"/>
              <w:right w:val="single" w:sz="8" w:space="0" w:color="auto"/>
            </w:tcBorders>
          </w:tcPr>
          <w:p w14:paraId="45A37EC2"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Citrus limon</w:t>
            </w:r>
          </w:p>
        </w:tc>
        <w:tc>
          <w:tcPr>
            <w:tcW w:w="1276" w:type="dxa"/>
            <w:tcBorders>
              <w:top w:val="nil"/>
              <w:left w:val="nil"/>
              <w:bottom w:val="single" w:sz="8" w:space="0" w:color="auto"/>
              <w:right w:val="single" w:sz="8" w:space="0" w:color="auto"/>
            </w:tcBorders>
          </w:tcPr>
          <w:p w14:paraId="2C42BD1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soil</w:t>
            </w:r>
          </w:p>
        </w:tc>
        <w:tc>
          <w:tcPr>
            <w:tcW w:w="425" w:type="dxa"/>
            <w:tcBorders>
              <w:top w:val="nil"/>
              <w:left w:val="nil"/>
              <w:bottom w:val="single" w:sz="8" w:space="0" w:color="auto"/>
              <w:right w:val="single" w:sz="8" w:space="0" w:color="auto"/>
            </w:tcBorders>
          </w:tcPr>
          <w:p w14:paraId="175D8C7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5.8</w:t>
            </w:r>
          </w:p>
        </w:tc>
        <w:tc>
          <w:tcPr>
            <w:tcW w:w="709" w:type="dxa"/>
            <w:tcBorders>
              <w:top w:val="nil"/>
              <w:left w:val="nil"/>
              <w:bottom w:val="single" w:sz="8" w:space="0" w:color="auto"/>
              <w:right w:val="single" w:sz="8" w:space="0" w:color="auto"/>
            </w:tcBorders>
          </w:tcPr>
          <w:p w14:paraId="7AE2EBB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0.8</w:t>
            </w:r>
          </w:p>
        </w:tc>
        <w:tc>
          <w:tcPr>
            <w:tcW w:w="709" w:type="dxa"/>
            <w:tcBorders>
              <w:top w:val="nil"/>
              <w:left w:val="nil"/>
              <w:bottom w:val="single" w:sz="8" w:space="0" w:color="auto"/>
              <w:right w:val="single" w:sz="8" w:space="0" w:color="auto"/>
            </w:tcBorders>
          </w:tcPr>
          <w:p w14:paraId="6E7A1C6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5D9F9EF6"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8" w:space="0" w:color="auto"/>
              <w:right w:val="single" w:sz="8" w:space="0" w:color="auto"/>
            </w:tcBorders>
          </w:tcPr>
          <w:p w14:paraId="4FA2289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1.78</w:t>
            </w:r>
          </w:p>
        </w:tc>
        <w:tc>
          <w:tcPr>
            <w:tcW w:w="992" w:type="dxa"/>
            <w:tcBorders>
              <w:top w:val="nil"/>
              <w:left w:val="nil"/>
              <w:bottom w:val="single" w:sz="8" w:space="0" w:color="auto"/>
              <w:right w:val="single" w:sz="8" w:space="0" w:color="auto"/>
            </w:tcBorders>
          </w:tcPr>
          <w:p w14:paraId="1AFC384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45</w:t>
            </w:r>
          </w:p>
        </w:tc>
        <w:tc>
          <w:tcPr>
            <w:tcW w:w="709" w:type="dxa"/>
            <w:tcBorders>
              <w:top w:val="nil"/>
              <w:left w:val="nil"/>
              <w:bottom w:val="single" w:sz="8" w:space="0" w:color="auto"/>
              <w:right w:val="single" w:sz="8" w:space="0" w:color="auto"/>
            </w:tcBorders>
          </w:tcPr>
          <w:p w14:paraId="59077BD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220</w:t>
            </w:r>
          </w:p>
        </w:tc>
        <w:tc>
          <w:tcPr>
            <w:tcW w:w="992" w:type="dxa"/>
            <w:tcBorders>
              <w:top w:val="nil"/>
              <w:left w:val="nil"/>
              <w:bottom w:val="single" w:sz="8" w:space="0" w:color="auto"/>
              <w:right w:val="single" w:sz="8" w:space="0" w:color="auto"/>
            </w:tcBorders>
          </w:tcPr>
          <w:p w14:paraId="0F27D47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8" w:space="0" w:color="auto"/>
              <w:right w:val="single" w:sz="8" w:space="0" w:color="000000"/>
            </w:tcBorders>
          </w:tcPr>
          <w:p w14:paraId="060E5A0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275" w:type="dxa"/>
            <w:tcBorders>
              <w:top w:val="single" w:sz="8" w:space="0" w:color="auto"/>
              <w:left w:val="nil"/>
              <w:bottom w:val="single" w:sz="8" w:space="0" w:color="auto"/>
              <w:right w:val="single" w:sz="8" w:space="0" w:color="000000"/>
            </w:tcBorders>
          </w:tcPr>
          <w:p w14:paraId="6FA1A4D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&lt;50</w:t>
            </w:r>
          </w:p>
        </w:tc>
        <w:tc>
          <w:tcPr>
            <w:tcW w:w="851" w:type="dxa"/>
            <w:tcBorders>
              <w:top w:val="nil"/>
              <w:left w:val="nil"/>
              <w:bottom w:val="single" w:sz="8" w:space="0" w:color="auto"/>
              <w:right w:val="nil"/>
            </w:tcBorders>
          </w:tcPr>
          <w:p w14:paraId="273E09E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134" w:type="dxa"/>
            <w:tcBorders>
              <w:top w:val="single" w:sz="8" w:space="0" w:color="auto"/>
              <w:left w:val="nil"/>
              <w:bottom w:val="single" w:sz="8" w:space="0" w:color="auto"/>
              <w:right w:val="single" w:sz="12" w:space="0" w:color="000000"/>
            </w:tcBorders>
          </w:tcPr>
          <w:p w14:paraId="120E9A2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&lt;60.7</w:t>
            </w:r>
          </w:p>
        </w:tc>
        <w:tc>
          <w:tcPr>
            <w:tcW w:w="1984" w:type="dxa"/>
            <w:tcBorders>
              <w:top w:val="single" w:sz="8" w:space="0" w:color="auto"/>
              <w:left w:val="nil"/>
              <w:bottom w:val="single" w:sz="8" w:space="0" w:color="auto"/>
              <w:right w:val="single" w:sz="12" w:space="0" w:color="000000"/>
            </w:tcBorders>
          </w:tcPr>
          <w:p w14:paraId="553C2BE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Alva et al., 1993</w:t>
            </w:r>
          </w:p>
        </w:tc>
      </w:tr>
      <w:tr w:rsidR="00632208" w:rsidRPr="0098635C" w14:paraId="2D0412A5" w14:textId="77777777" w:rsidTr="00A432B0">
        <w:trPr>
          <w:trHeight w:val="64"/>
        </w:trPr>
        <w:tc>
          <w:tcPr>
            <w:tcW w:w="1647" w:type="dxa"/>
            <w:tcBorders>
              <w:top w:val="nil"/>
              <w:left w:val="single" w:sz="4" w:space="0" w:color="auto"/>
              <w:bottom w:val="single" w:sz="8" w:space="0" w:color="auto"/>
              <w:right w:val="single" w:sz="8" w:space="0" w:color="auto"/>
            </w:tcBorders>
          </w:tcPr>
          <w:p w14:paraId="6C1BBDB5"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Citrus limon</w:t>
            </w:r>
          </w:p>
        </w:tc>
        <w:tc>
          <w:tcPr>
            <w:tcW w:w="1276" w:type="dxa"/>
            <w:tcBorders>
              <w:top w:val="nil"/>
              <w:left w:val="nil"/>
              <w:bottom w:val="single" w:sz="8" w:space="0" w:color="auto"/>
              <w:right w:val="single" w:sz="8" w:space="0" w:color="auto"/>
            </w:tcBorders>
          </w:tcPr>
          <w:p w14:paraId="7F49CA9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soil</w:t>
            </w:r>
          </w:p>
        </w:tc>
        <w:tc>
          <w:tcPr>
            <w:tcW w:w="425" w:type="dxa"/>
            <w:tcBorders>
              <w:top w:val="nil"/>
              <w:left w:val="nil"/>
              <w:bottom w:val="single" w:sz="8" w:space="0" w:color="auto"/>
              <w:right w:val="single" w:sz="8" w:space="0" w:color="auto"/>
            </w:tcBorders>
          </w:tcPr>
          <w:p w14:paraId="4CEE797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5.8</w:t>
            </w:r>
          </w:p>
        </w:tc>
        <w:tc>
          <w:tcPr>
            <w:tcW w:w="709" w:type="dxa"/>
            <w:tcBorders>
              <w:top w:val="nil"/>
              <w:left w:val="nil"/>
              <w:bottom w:val="single" w:sz="8" w:space="0" w:color="auto"/>
              <w:right w:val="single" w:sz="8" w:space="0" w:color="auto"/>
            </w:tcBorders>
          </w:tcPr>
          <w:p w14:paraId="73B5DBD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0.8</w:t>
            </w:r>
          </w:p>
        </w:tc>
        <w:tc>
          <w:tcPr>
            <w:tcW w:w="709" w:type="dxa"/>
            <w:tcBorders>
              <w:top w:val="nil"/>
              <w:left w:val="nil"/>
              <w:bottom w:val="single" w:sz="8" w:space="0" w:color="auto"/>
              <w:right w:val="single" w:sz="8" w:space="0" w:color="auto"/>
            </w:tcBorders>
          </w:tcPr>
          <w:p w14:paraId="22C071C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4BD96D4E"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8" w:space="0" w:color="auto"/>
              <w:right w:val="single" w:sz="8" w:space="0" w:color="auto"/>
            </w:tcBorders>
          </w:tcPr>
          <w:p w14:paraId="6F4321E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1.78</w:t>
            </w:r>
          </w:p>
        </w:tc>
        <w:tc>
          <w:tcPr>
            <w:tcW w:w="992" w:type="dxa"/>
            <w:tcBorders>
              <w:top w:val="nil"/>
              <w:left w:val="nil"/>
              <w:bottom w:val="single" w:sz="8" w:space="0" w:color="auto"/>
              <w:right w:val="single" w:sz="8" w:space="0" w:color="auto"/>
            </w:tcBorders>
          </w:tcPr>
          <w:p w14:paraId="7D78693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45</w:t>
            </w:r>
          </w:p>
        </w:tc>
        <w:tc>
          <w:tcPr>
            <w:tcW w:w="709" w:type="dxa"/>
            <w:tcBorders>
              <w:top w:val="nil"/>
              <w:left w:val="nil"/>
              <w:bottom w:val="single" w:sz="8" w:space="0" w:color="auto"/>
              <w:right w:val="single" w:sz="8" w:space="0" w:color="auto"/>
            </w:tcBorders>
          </w:tcPr>
          <w:p w14:paraId="0F695C2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220</w:t>
            </w:r>
          </w:p>
        </w:tc>
        <w:tc>
          <w:tcPr>
            <w:tcW w:w="992" w:type="dxa"/>
            <w:tcBorders>
              <w:top w:val="nil"/>
              <w:left w:val="nil"/>
              <w:bottom w:val="single" w:sz="8" w:space="0" w:color="auto"/>
              <w:right w:val="single" w:sz="8" w:space="0" w:color="auto"/>
            </w:tcBorders>
          </w:tcPr>
          <w:p w14:paraId="58009FF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8" w:space="0" w:color="auto"/>
              <w:right w:val="single" w:sz="8" w:space="0" w:color="000000"/>
            </w:tcBorders>
          </w:tcPr>
          <w:p w14:paraId="2B061DE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275" w:type="dxa"/>
            <w:tcBorders>
              <w:top w:val="single" w:sz="8" w:space="0" w:color="auto"/>
              <w:left w:val="nil"/>
              <w:bottom w:val="single" w:sz="8" w:space="0" w:color="auto"/>
              <w:right w:val="single" w:sz="8" w:space="0" w:color="000000"/>
            </w:tcBorders>
          </w:tcPr>
          <w:p w14:paraId="24B6DA5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&lt;50</w:t>
            </w:r>
          </w:p>
        </w:tc>
        <w:tc>
          <w:tcPr>
            <w:tcW w:w="851" w:type="dxa"/>
            <w:tcBorders>
              <w:top w:val="nil"/>
              <w:left w:val="nil"/>
              <w:bottom w:val="single" w:sz="8" w:space="0" w:color="auto"/>
              <w:right w:val="nil"/>
            </w:tcBorders>
          </w:tcPr>
          <w:p w14:paraId="15E36C9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134" w:type="dxa"/>
            <w:tcBorders>
              <w:top w:val="single" w:sz="8" w:space="0" w:color="auto"/>
              <w:left w:val="nil"/>
              <w:bottom w:val="single" w:sz="8" w:space="0" w:color="auto"/>
              <w:right w:val="single" w:sz="12" w:space="0" w:color="000000"/>
            </w:tcBorders>
          </w:tcPr>
          <w:p w14:paraId="50C991A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&lt;60.7</w:t>
            </w:r>
          </w:p>
        </w:tc>
        <w:tc>
          <w:tcPr>
            <w:tcW w:w="1984" w:type="dxa"/>
            <w:tcBorders>
              <w:top w:val="single" w:sz="8" w:space="0" w:color="auto"/>
              <w:left w:val="nil"/>
              <w:bottom w:val="single" w:sz="8" w:space="0" w:color="auto"/>
              <w:right w:val="single" w:sz="12" w:space="0" w:color="000000"/>
            </w:tcBorders>
          </w:tcPr>
          <w:p w14:paraId="5FE69C3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Alva et al., 1993</w:t>
            </w:r>
          </w:p>
        </w:tc>
      </w:tr>
      <w:tr w:rsidR="00632208" w:rsidRPr="0098635C" w14:paraId="75028DC7" w14:textId="77777777" w:rsidTr="00A432B0">
        <w:trPr>
          <w:trHeight w:val="64"/>
        </w:trPr>
        <w:tc>
          <w:tcPr>
            <w:tcW w:w="1647" w:type="dxa"/>
            <w:tcBorders>
              <w:top w:val="nil"/>
              <w:left w:val="single" w:sz="4" w:space="0" w:color="auto"/>
              <w:bottom w:val="single" w:sz="8" w:space="0" w:color="auto"/>
              <w:right w:val="single" w:sz="8" w:space="0" w:color="auto"/>
            </w:tcBorders>
          </w:tcPr>
          <w:p w14:paraId="104C18EA"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Avena sativa</w:t>
            </w:r>
          </w:p>
        </w:tc>
        <w:tc>
          <w:tcPr>
            <w:tcW w:w="1276" w:type="dxa"/>
            <w:tcBorders>
              <w:top w:val="nil"/>
              <w:left w:val="nil"/>
              <w:bottom w:val="single" w:sz="8" w:space="0" w:color="auto"/>
              <w:right w:val="single" w:sz="8" w:space="0" w:color="auto"/>
            </w:tcBorders>
          </w:tcPr>
          <w:p w14:paraId="52647BB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fine sand</w:t>
            </w:r>
          </w:p>
        </w:tc>
        <w:tc>
          <w:tcPr>
            <w:tcW w:w="425" w:type="dxa"/>
            <w:tcBorders>
              <w:top w:val="nil"/>
              <w:left w:val="nil"/>
              <w:bottom w:val="single" w:sz="8" w:space="0" w:color="auto"/>
              <w:right w:val="single" w:sz="8" w:space="0" w:color="auto"/>
            </w:tcBorders>
          </w:tcPr>
          <w:p w14:paraId="73EBB40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6.5</w:t>
            </w:r>
          </w:p>
        </w:tc>
        <w:tc>
          <w:tcPr>
            <w:tcW w:w="709" w:type="dxa"/>
            <w:tcBorders>
              <w:top w:val="nil"/>
              <w:left w:val="nil"/>
              <w:bottom w:val="single" w:sz="8" w:space="0" w:color="auto"/>
              <w:right w:val="single" w:sz="8" w:space="0" w:color="auto"/>
            </w:tcBorders>
          </w:tcPr>
          <w:p w14:paraId="3465B35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3C9D681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7DAE4A1C"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8" w:space="0" w:color="auto"/>
              <w:right w:val="single" w:sz="8" w:space="0" w:color="auto"/>
            </w:tcBorders>
          </w:tcPr>
          <w:p w14:paraId="225E10A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0DB0BF1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w:t>
            </w:r>
          </w:p>
        </w:tc>
        <w:tc>
          <w:tcPr>
            <w:tcW w:w="709" w:type="dxa"/>
            <w:tcBorders>
              <w:top w:val="nil"/>
              <w:left w:val="nil"/>
              <w:bottom w:val="single" w:sz="8" w:space="0" w:color="auto"/>
              <w:right w:val="single" w:sz="8" w:space="0" w:color="auto"/>
            </w:tcBorders>
          </w:tcPr>
          <w:p w14:paraId="509F9D9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49</w:t>
            </w:r>
          </w:p>
        </w:tc>
        <w:tc>
          <w:tcPr>
            <w:tcW w:w="992" w:type="dxa"/>
            <w:tcBorders>
              <w:top w:val="nil"/>
              <w:left w:val="nil"/>
              <w:bottom w:val="single" w:sz="8" w:space="0" w:color="auto"/>
              <w:right w:val="single" w:sz="8" w:space="0" w:color="auto"/>
            </w:tcBorders>
          </w:tcPr>
          <w:p w14:paraId="166D613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8" w:space="0" w:color="auto"/>
              <w:right w:val="single" w:sz="8" w:space="0" w:color="000000"/>
            </w:tcBorders>
          </w:tcPr>
          <w:p w14:paraId="7D37D0D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275" w:type="dxa"/>
            <w:tcBorders>
              <w:top w:val="single" w:sz="8" w:space="0" w:color="auto"/>
              <w:left w:val="nil"/>
              <w:bottom w:val="single" w:sz="8" w:space="0" w:color="auto"/>
              <w:right w:val="single" w:sz="8" w:space="0" w:color="000000"/>
            </w:tcBorders>
          </w:tcPr>
          <w:p w14:paraId="615317E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&lt;100</w:t>
            </w:r>
          </w:p>
        </w:tc>
        <w:tc>
          <w:tcPr>
            <w:tcW w:w="851" w:type="dxa"/>
            <w:tcBorders>
              <w:top w:val="nil"/>
              <w:left w:val="nil"/>
              <w:bottom w:val="single" w:sz="8" w:space="0" w:color="auto"/>
              <w:right w:val="nil"/>
            </w:tcBorders>
          </w:tcPr>
          <w:p w14:paraId="4BC9C0E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134" w:type="dxa"/>
            <w:tcBorders>
              <w:top w:val="single" w:sz="8" w:space="0" w:color="auto"/>
              <w:left w:val="nil"/>
              <w:bottom w:val="single" w:sz="8" w:space="0" w:color="auto"/>
              <w:right w:val="single" w:sz="12" w:space="0" w:color="000000"/>
            </w:tcBorders>
          </w:tcPr>
          <w:p w14:paraId="15F9532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&lt;110.7</w:t>
            </w:r>
          </w:p>
        </w:tc>
        <w:tc>
          <w:tcPr>
            <w:tcW w:w="1984" w:type="dxa"/>
            <w:tcBorders>
              <w:top w:val="single" w:sz="8" w:space="0" w:color="auto"/>
              <w:left w:val="nil"/>
              <w:bottom w:val="single" w:sz="8" w:space="0" w:color="auto"/>
              <w:right w:val="single" w:sz="12" w:space="0" w:color="000000"/>
            </w:tcBorders>
          </w:tcPr>
          <w:p w14:paraId="18F7C9B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Rhoads et al., 1992</w:t>
            </w:r>
          </w:p>
        </w:tc>
      </w:tr>
      <w:tr w:rsidR="00632208" w:rsidRPr="0098635C" w14:paraId="4B88222F" w14:textId="77777777" w:rsidTr="00A432B0">
        <w:trPr>
          <w:trHeight w:val="64"/>
        </w:trPr>
        <w:tc>
          <w:tcPr>
            <w:tcW w:w="1647" w:type="dxa"/>
            <w:tcBorders>
              <w:top w:val="nil"/>
              <w:left w:val="single" w:sz="4" w:space="0" w:color="auto"/>
              <w:bottom w:val="single" w:sz="8" w:space="0" w:color="auto"/>
              <w:right w:val="single" w:sz="8" w:space="0" w:color="auto"/>
            </w:tcBorders>
          </w:tcPr>
          <w:p w14:paraId="7E0607BF"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Avena sativa</w:t>
            </w:r>
          </w:p>
        </w:tc>
        <w:tc>
          <w:tcPr>
            <w:tcW w:w="1276" w:type="dxa"/>
            <w:tcBorders>
              <w:top w:val="nil"/>
              <w:left w:val="nil"/>
              <w:bottom w:val="single" w:sz="8" w:space="0" w:color="auto"/>
              <w:right w:val="single" w:sz="8" w:space="0" w:color="auto"/>
            </w:tcBorders>
          </w:tcPr>
          <w:p w14:paraId="48641F5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fine sand</w:t>
            </w:r>
          </w:p>
        </w:tc>
        <w:tc>
          <w:tcPr>
            <w:tcW w:w="425" w:type="dxa"/>
            <w:tcBorders>
              <w:top w:val="nil"/>
              <w:left w:val="nil"/>
              <w:bottom w:val="single" w:sz="8" w:space="0" w:color="auto"/>
              <w:right w:val="single" w:sz="8" w:space="0" w:color="auto"/>
            </w:tcBorders>
          </w:tcPr>
          <w:p w14:paraId="4413880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7.1</w:t>
            </w:r>
          </w:p>
        </w:tc>
        <w:tc>
          <w:tcPr>
            <w:tcW w:w="709" w:type="dxa"/>
            <w:tcBorders>
              <w:top w:val="nil"/>
              <w:left w:val="nil"/>
              <w:bottom w:val="single" w:sz="8" w:space="0" w:color="auto"/>
              <w:right w:val="single" w:sz="8" w:space="0" w:color="auto"/>
            </w:tcBorders>
          </w:tcPr>
          <w:p w14:paraId="3C554CB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2F6C740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6EABF3D3"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8" w:space="0" w:color="auto"/>
              <w:right w:val="single" w:sz="8" w:space="0" w:color="auto"/>
            </w:tcBorders>
          </w:tcPr>
          <w:p w14:paraId="55B5EA3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3EE68CC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w:t>
            </w:r>
          </w:p>
        </w:tc>
        <w:tc>
          <w:tcPr>
            <w:tcW w:w="709" w:type="dxa"/>
            <w:tcBorders>
              <w:top w:val="nil"/>
              <w:left w:val="nil"/>
              <w:bottom w:val="single" w:sz="8" w:space="0" w:color="auto"/>
              <w:right w:val="single" w:sz="8" w:space="0" w:color="auto"/>
            </w:tcBorders>
          </w:tcPr>
          <w:p w14:paraId="2DB4925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49</w:t>
            </w:r>
          </w:p>
        </w:tc>
        <w:tc>
          <w:tcPr>
            <w:tcW w:w="992" w:type="dxa"/>
            <w:tcBorders>
              <w:top w:val="nil"/>
              <w:left w:val="nil"/>
              <w:bottom w:val="single" w:sz="8" w:space="0" w:color="auto"/>
              <w:right w:val="single" w:sz="8" w:space="0" w:color="auto"/>
            </w:tcBorders>
          </w:tcPr>
          <w:p w14:paraId="035F668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8" w:space="0" w:color="auto"/>
              <w:right w:val="single" w:sz="8" w:space="0" w:color="000000"/>
            </w:tcBorders>
          </w:tcPr>
          <w:p w14:paraId="7DED2F1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275" w:type="dxa"/>
            <w:tcBorders>
              <w:top w:val="single" w:sz="8" w:space="0" w:color="auto"/>
              <w:left w:val="nil"/>
              <w:bottom w:val="single" w:sz="8" w:space="0" w:color="auto"/>
              <w:right w:val="single" w:sz="8" w:space="0" w:color="000000"/>
            </w:tcBorders>
          </w:tcPr>
          <w:p w14:paraId="0F3494B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&lt;100</w:t>
            </w:r>
          </w:p>
        </w:tc>
        <w:tc>
          <w:tcPr>
            <w:tcW w:w="851" w:type="dxa"/>
            <w:tcBorders>
              <w:top w:val="nil"/>
              <w:left w:val="nil"/>
              <w:bottom w:val="single" w:sz="8" w:space="0" w:color="auto"/>
              <w:right w:val="nil"/>
            </w:tcBorders>
          </w:tcPr>
          <w:p w14:paraId="6F39369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134" w:type="dxa"/>
            <w:tcBorders>
              <w:top w:val="single" w:sz="8" w:space="0" w:color="auto"/>
              <w:left w:val="nil"/>
              <w:bottom w:val="single" w:sz="8" w:space="0" w:color="auto"/>
              <w:right w:val="single" w:sz="12" w:space="0" w:color="000000"/>
            </w:tcBorders>
          </w:tcPr>
          <w:p w14:paraId="00EF6AF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&lt;110.7</w:t>
            </w:r>
          </w:p>
        </w:tc>
        <w:tc>
          <w:tcPr>
            <w:tcW w:w="1984" w:type="dxa"/>
            <w:tcBorders>
              <w:top w:val="single" w:sz="8" w:space="0" w:color="auto"/>
              <w:left w:val="nil"/>
              <w:bottom w:val="single" w:sz="8" w:space="0" w:color="auto"/>
              <w:right w:val="single" w:sz="12" w:space="0" w:color="000000"/>
            </w:tcBorders>
          </w:tcPr>
          <w:p w14:paraId="7BE6423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Rhoads et al., 1992</w:t>
            </w:r>
          </w:p>
        </w:tc>
      </w:tr>
      <w:tr w:rsidR="00632208" w:rsidRPr="0098635C" w14:paraId="789786DA" w14:textId="77777777" w:rsidTr="00A432B0">
        <w:trPr>
          <w:trHeight w:val="86"/>
        </w:trPr>
        <w:tc>
          <w:tcPr>
            <w:tcW w:w="1647" w:type="dxa"/>
            <w:tcBorders>
              <w:top w:val="nil"/>
              <w:left w:val="single" w:sz="4" w:space="0" w:color="auto"/>
              <w:bottom w:val="single" w:sz="8" w:space="0" w:color="auto"/>
              <w:right w:val="single" w:sz="8" w:space="0" w:color="auto"/>
            </w:tcBorders>
          </w:tcPr>
          <w:p w14:paraId="40944C67"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Avena sativa</w:t>
            </w:r>
          </w:p>
        </w:tc>
        <w:tc>
          <w:tcPr>
            <w:tcW w:w="1276" w:type="dxa"/>
            <w:tcBorders>
              <w:top w:val="nil"/>
              <w:left w:val="nil"/>
              <w:bottom w:val="single" w:sz="8" w:space="0" w:color="auto"/>
              <w:right w:val="single" w:sz="8" w:space="0" w:color="auto"/>
            </w:tcBorders>
          </w:tcPr>
          <w:p w14:paraId="1443D16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fine sand</w:t>
            </w:r>
          </w:p>
        </w:tc>
        <w:tc>
          <w:tcPr>
            <w:tcW w:w="425" w:type="dxa"/>
            <w:tcBorders>
              <w:top w:val="nil"/>
              <w:left w:val="nil"/>
              <w:bottom w:val="single" w:sz="8" w:space="0" w:color="auto"/>
              <w:right w:val="single" w:sz="8" w:space="0" w:color="auto"/>
            </w:tcBorders>
          </w:tcPr>
          <w:p w14:paraId="08C528E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6.7</w:t>
            </w:r>
          </w:p>
        </w:tc>
        <w:tc>
          <w:tcPr>
            <w:tcW w:w="709" w:type="dxa"/>
            <w:tcBorders>
              <w:top w:val="nil"/>
              <w:left w:val="nil"/>
              <w:bottom w:val="single" w:sz="8" w:space="0" w:color="auto"/>
              <w:right w:val="single" w:sz="8" w:space="0" w:color="auto"/>
            </w:tcBorders>
          </w:tcPr>
          <w:p w14:paraId="0EBFAAA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6A03402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19C116CD"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8" w:space="0" w:color="auto"/>
              <w:right w:val="single" w:sz="8" w:space="0" w:color="auto"/>
            </w:tcBorders>
          </w:tcPr>
          <w:p w14:paraId="1F9468E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1B8922C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w:t>
            </w:r>
          </w:p>
        </w:tc>
        <w:tc>
          <w:tcPr>
            <w:tcW w:w="709" w:type="dxa"/>
            <w:tcBorders>
              <w:top w:val="nil"/>
              <w:left w:val="nil"/>
              <w:bottom w:val="single" w:sz="8" w:space="0" w:color="auto"/>
              <w:right w:val="single" w:sz="8" w:space="0" w:color="auto"/>
            </w:tcBorders>
          </w:tcPr>
          <w:p w14:paraId="7707593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49</w:t>
            </w:r>
          </w:p>
        </w:tc>
        <w:tc>
          <w:tcPr>
            <w:tcW w:w="992" w:type="dxa"/>
            <w:tcBorders>
              <w:top w:val="nil"/>
              <w:left w:val="nil"/>
              <w:bottom w:val="single" w:sz="8" w:space="0" w:color="auto"/>
              <w:right w:val="single" w:sz="8" w:space="0" w:color="auto"/>
            </w:tcBorders>
          </w:tcPr>
          <w:p w14:paraId="6FF5C28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8" w:space="0" w:color="auto"/>
              <w:right w:val="single" w:sz="8" w:space="0" w:color="000000"/>
            </w:tcBorders>
          </w:tcPr>
          <w:p w14:paraId="4233CC1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275" w:type="dxa"/>
            <w:tcBorders>
              <w:top w:val="single" w:sz="8" w:space="0" w:color="auto"/>
              <w:left w:val="nil"/>
              <w:bottom w:val="single" w:sz="8" w:space="0" w:color="auto"/>
              <w:right w:val="single" w:sz="8" w:space="0" w:color="000000"/>
            </w:tcBorders>
          </w:tcPr>
          <w:p w14:paraId="5828961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&lt;100</w:t>
            </w:r>
          </w:p>
        </w:tc>
        <w:tc>
          <w:tcPr>
            <w:tcW w:w="851" w:type="dxa"/>
            <w:tcBorders>
              <w:top w:val="nil"/>
              <w:left w:val="nil"/>
              <w:bottom w:val="single" w:sz="8" w:space="0" w:color="auto"/>
              <w:right w:val="nil"/>
            </w:tcBorders>
          </w:tcPr>
          <w:p w14:paraId="2813027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134" w:type="dxa"/>
            <w:tcBorders>
              <w:top w:val="single" w:sz="8" w:space="0" w:color="auto"/>
              <w:left w:val="nil"/>
              <w:bottom w:val="single" w:sz="8" w:space="0" w:color="auto"/>
              <w:right w:val="single" w:sz="12" w:space="0" w:color="000000"/>
            </w:tcBorders>
          </w:tcPr>
          <w:p w14:paraId="7C5270B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&lt;110.7</w:t>
            </w:r>
          </w:p>
        </w:tc>
        <w:tc>
          <w:tcPr>
            <w:tcW w:w="1984" w:type="dxa"/>
            <w:tcBorders>
              <w:top w:val="single" w:sz="8" w:space="0" w:color="auto"/>
              <w:left w:val="nil"/>
              <w:bottom w:val="single" w:sz="8" w:space="0" w:color="auto"/>
              <w:right w:val="single" w:sz="12" w:space="0" w:color="000000"/>
            </w:tcBorders>
          </w:tcPr>
          <w:p w14:paraId="01BADC0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Rhoads et al., 1992</w:t>
            </w:r>
          </w:p>
        </w:tc>
      </w:tr>
      <w:tr w:rsidR="00632208" w:rsidRPr="0098635C" w14:paraId="1FA60F2B" w14:textId="77777777" w:rsidTr="00A432B0">
        <w:trPr>
          <w:trHeight w:val="64"/>
        </w:trPr>
        <w:tc>
          <w:tcPr>
            <w:tcW w:w="1647" w:type="dxa"/>
            <w:tcBorders>
              <w:top w:val="nil"/>
              <w:left w:val="single" w:sz="4" w:space="0" w:color="auto"/>
              <w:bottom w:val="single" w:sz="4" w:space="0" w:color="auto"/>
              <w:right w:val="single" w:sz="8" w:space="0" w:color="auto"/>
            </w:tcBorders>
          </w:tcPr>
          <w:p w14:paraId="681D4DA2"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Avena sativa</w:t>
            </w:r>
          </w:p>
        </w:tc>
        <w:tc>
          <w:tcPr>
            <w:tcW w:w="1276" w:type="dxa"/>
            <w:tcBorders>
              <w:top w:val="nil"/>
              <w:left w:val="nil"/>
              <w:bottom w:val="single" w:sz="4" w:space="0" w:color="auto"/>
              <w:right w:val="single" w:sz="8" w:space="0" w:color="auto"/>
            </w:tcBorders>
          </w:tcPr>
          <w:p w14:paraId="47383B1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fine sand</w:t>
            </w:r>
          </w:p>
        </w:tc>
        <w:tc>
          <w:tcPr>
            <w:tcW w:w="425" w:type="dxa"/>
            <w:tcBorders>
              <w:top w:val="nil"/>
              <w:left w:val="nil"/>
              <w:bottom w:val="single" w:sz="4" w:space="0" w:color="auto"/>
              <w:right w:val="single" w:sz="8" w:space="0" w:color="auto"/>
            </w:tcBorders>
          </w:tcPr>
          <w:p w14:paraId="5340734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6.5</w:t>
            </w:r>
          </w:p>
        </w:tc>
        <w:tc>
          <w:tcPr>
            <w:tcW w:w="709" w:type="dxa"/>
            <w:tcBorders>
              <w:top w:val="nil"/>
              <w:left w:val="nil"/>
              <w:bottom w:val="single" w:sz="4" w:space="0" w:color="auto"/>
              <w:right w:val="single" w:sz="8" w:space="0" w:color="auto"/>
            </w:tcBorders>
          </w:tcPr>
          <w:p w14:paraId="6A93E11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4" w:space="0" w:color="auto"/>
              <w:right w:val="single" w:sz="8" w:space="0" w:color="auto"/>
            </w:tcBorders>
          </w:tcPr>
          <w:p w14:paraId="462EBE7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4" w:space="0" w:color="auto"/>
              <w:right w:val="single" w:sz="8" w:space="0" w:color="auto"/>
            </w:tcBorders>
          </w:tcPr>
          <w:p w14:paraId="0A4EB5C7"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4" w:space="0" w:color="auto"/>
              <w:right w:val="single" w:sz="8" w:space="0" w:color="auto"/>
            </w:tcBorders>
          </w:tcPr>
          <w:p w14:paraId="08A04A2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4" w:space="0" w:color="auto"/>
              <w:right w:val="single" w:sz="8" w:space="0" w:color="auto"/>
            </w:tcBorders>
          </w:tcPr>
          <w:p w14:paraId="08491F6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w:t>
            </w:r>
          </w:p>
        </w:tc>
        <w:tc>
          <w:tcPr>
            <w:tcW w:w="709" w:type="dxa"/>
            <w:tcBorders>
              <w:top w:val="nil"/>
              <w:left w:val="nil"/>
              <w:bottom w:val="single" w:sz="4" w:space="0" w:color="auto"/>
              <w:right w:val="single" w:sz="8" w:space="0" w:color="auto"/>
            </w:tcBorders>
          </w:tcPr>
          <w:p w14:paraId="78472BA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49</w:t>
            </w:r>
          </w:p>
        </w:tc>
        <w:tc>
          <w:tcPr>
            <w:tcW w:w="992" w:type="dxa"/>
            <w:tcBorders>
              <w:top w:val="nil"/>
              <w:left w:val="nil"/>
              <w:bottom w:val="single" w:sz="4" w:space="0" w:color="auto"/>
              <w:right w:val="single" w:sz="8" w:space="0" w:color="auto"/>
            </w:tcBorders>
          </w:tcPr>
          <w:p w14:paraId="5D619E9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y(r)</w:t>
            </w:r>
          </w:p>
        </w:tc>
        <w:tc>
          <w:tcPr>
            <w:tcW w:w="993" w:type="dxa"/>
            <w:tcBorders>
              <w:top w:val="single" w:sz="8" w:space="0" w:color="auto"/>
              <w:left w:val="nil"/>
              <w:bottom w:val="single" w:sz="4" w:space="0" w:color="auto"/>
              <w:right w:val="single" w:sz="8" w:space="0" w:color="000000"/>
            </w:tcBorders>
          </w:tcPr>
          <w:p w14:paraId="050D343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100</w:t>
            </w:r>
          </w:p>
        </w:tc>
        <w:tc>
          <w:tcPr>
            <w:tcW w:w="1275" w:type="dxa"/>
            <w:tcBorders>
              <w:top w:val="single" w:sz="8" w:space="0" w:color="auto"/>
              <w:left w:val="nil"/>
              <w:bottom w:val="single" w:sz="4" w:space="0" w:color="auto"/>
              <w:right w:val="single" w:sz="8" w:space="0" w:color="000000"/>
            </w:tcBorders>
          </w:tcPr>
          <w:p w14:paraId="6698C80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4" w:space="0" w:color="auto"/>
              <w:right w:val="nil"/>
            </w:tcBorders>
          </w:tcPr>
          <w:p w14:paraId="0E3F325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110.7</w:t>
            </w:r>
          </w:p>
        </w:tc>
        <w:tc>
          <w:tcPr>
            <w:tcW w:w="1134" w:type="dxa"/>
            <w:tcBorders>
              <w:top w:val="single" w:sz="8" w:space="0" w:color="auto"/>
              <w:left w:val="nil"/>
              <w:bottom w:val="single" w:sz="4" w:space="0" w:color="auto"/>
              <w:right w:val="single" w:sz="12" w:space="0" w:color="000000"/>
            </w:tcBorders>
          </w:tcPr>
          <w:p w14:paraId="297A7C4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4" w:space="0" w:color="auto"/>
              <w:right w:val="single" w:sz="12" w:space="0" w:color="000000"/>
            </w:tcBorders>
          </w:tcPr>
          <w:p w14:paraId="5AFFBA9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Rhoads et al., 1992</w:t>
            </w:r>
          </w:p>
        </w:tc>
      </w:tr>
      <w:tr w:rsidR="00632208" w:rsidRPr="0098635C" w14:paraId="5F9C38D0" w14:textId="77777777" w:rsidTr="00A432B0">
        <w:trPr>
          <w:trHeight w:val="64"/>
        </w:trPr>
        <w:tc>
          <w:tcPr>
            <w:tcW w:w="1647" w:type="dxa"/>
            <w:tcBorders>
              <w:top w:val="single" w:sz="4" w:space="0" w:color="auto"/>
              <w:left w:val="single" w:sz="4" w:space="0" w:color="auto"/>
              <w:bottom w:val="single" w:sz="8" w:space="0" w:color="auto"/>
              <w:right w:val="single" w:sz="8" w:space="0" w:color="auto"/>
            </w:tcBorders>
          </w:tcPr>
          <w:p w14:paraId="40A0B612"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Avena sativa</w:t>
            </w:r>
          </w:p>
        </w:tc>
        <w:tc>
          <w:tcPr>
            <w:tcW w:w="1276" w:type="dxa"/>
            <w:tcBorders>
              <w:top w:val="single" w:sz="4" w:space="0" w:color="auto"/>
              <w:left w:val="nil"/>
              <w:bottom w:val="single" w:sz="8" w:space="0" w:color="auto"/>
              <w:right w:val="single" w:sz="8" w:space="0" w:color="auto"/>
            </w:tcBorders>
          </w:tcPr>
          <w:p w14:paraId="7075950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fine sand</w:t>
            </w:r>
          </w:p>
        </w:tc>
        <w:tc>
          <w:tcPr>
            <w:tcW w:w="425" w:type="dxa"/>
            <w:tcBorders>
              <w:top w:val="single" w:sz="4" w:space="0" w:color="auto"/>
              <w:left w:val="nil"/>
              <w:bottom w:val="single" w:sz="8" w:space="0" w:color="auto"/>
              <w:right w:val="single" w:sz="8" w:space="0" w:color="auto"/>
            </w:tcBorders>
          </w:tcPr>
          <w:p w14:paraId="69E2E1C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6.7</w:t>
            </w:r>
          </w:p>
        </w:tc>
        <w:tc>
          <w:tcPr>
            <w:tcW w:w="709" w:type="dxa"/>
            <w:tcBorders>
              <w:top w:val="single" w:sz="4" w:space="0" w:color="auto"/>
              <w:left w:val="nil"/>
              <w:bottom w:val="single" w:sz="8" w:space="0" w:color="auto"/>
              <w:right w:val="single" w:sz="8" w:space="0" w:color="auto"/>
            </w:tcBorders>
          </w:tcPr>
          <w:p w14:paraId="3FFC0D4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single" w:sz="4" w:space="0" w:color="auto"/>
              <w:left w:val="nil"/>
              <w:bottom w:val="single" w:sz="8" w:space="0" w:color="auto"/>
              <w:right w:val="single" w:sz="8" w:space="0" w:color="auto"/>
            </w:tcBorders>
          </w:tcPr>
          <w:p w14:paraId="4395ED9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single" w:sz="4" w:space="0" w:color="auto"/>
              <w:left w:val="nil"/>
              <w:bottom w:val="single" w:sz="8" w:space="0" w:color="auto"/>
              <w:right w:val="single" w:sz="8" w:space="0" w:color="auto"/>
            </w:tcBorders>
          </w:tcPr>
          <w:p w14:paraId="69C8149D"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single" w:sz="4" w:space="0" w:color="auto"/>
              <w:left w:val="nil"/>
              <w:bottom w:val="single" w:sz="8" w:space="0" w:color="auto"/>
              <w:right w:val="single" w:sz="8" w:space="0" w:color="auto"/>
            </w:tcBorders>
          </w:tcPr>
          <w:p w14:paraId="3BCBC0A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single" w:sz="4" w:space="0" w:color="auto"/>
              <w:left w:val="nil"/>
              <w:bottom w:val="single" w:sz="8" w:space="0" w:color="auto"/>
              <w:right w:val="single" w:sz="8" w:space="0" w:color="auto"/>
            </w:tcBorders>
          </w:tcPr>
          <w:p w14:paraId="12AB671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w:t>
            </w:r>
          </w:p>
        </w:tc>
        <w:tc>
          <w:tcPr>
            <w:tcW w:w="709" w:type="dxa"/>
            <w:tcBorders>
              <w:top w:val="single" w:sz="4" w:space="0" w:color="auto"/>
              <w:left w:val="nil"/>
              <w:bottom w:val="single" w:sz="8" w:space="0" w:color="auto"/>
              <w:right w:val="single" w:sz="8" w:space="0" w:color="auto"/>
            </w:tcBorders>
          </w:tcPr>
          <w:p w14:paraId="549DD62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49</w:t>
            </w:r>
          </w:p>
        </w:tc>
        <w:tc>
          <w:tcPr>
            <w:tcW w:w="992" w:type="dxa"/>
            <w:tcBorders>
              <w:top w:val="single" w:sz="4" w:space="0" w:color="auto"/>
              <w:left w:val="nil"/>
              <w:bottom w:val="single" w:sz="8" w:space="0" w:color="auto"/>
              <w:right w:val="single" w:sz="8" w:space="0" w:color="auto"/>
            </w:tcBorders>
          </w:tcPr>
          <w:p w14:paraId="462EAF3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y(r)</w:t>
            </w:r>
          </w:p>
        </w:tc>
        <w:tc>
          <w:tcPr>
            <w:tcW w:w="993" w:type="dxa"/>
            <w:tcBorders>
              <w:top w:val="single" w:sz="4" w:space="0" w:color="auto"/>
              <w:left w:val="nil"/>
              <w:bottom w:val="single" w:sz="8" w:space="0" w:color="auto"/>
              <w:right w:val="single" w:sz="8" w:space="0" w:color="000000"/>
            </w:tcBorders>
          </w:tcPr>
          <w:p w14:paraId="0804277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100</w:t>
            </w:r>
          </w:p>
        </w:tc>
        <w:tc>
          <w:tcPr>
            <w:tcW w:w="1275" w:type="dxa"/>
            <w:tcBorders>
              <w:top w:val="single" w:sz="4" w:space="0" w:color="auto"/>
              <w:left w:val="nil"/>
              <w:bottom w:val="single" w:sz="8" w:space="0" w:color="auto"/>
              <w:right w:val="single" w:sz="8" w:space="0" w:color="000000"/>
            </w:tcBorders>
          </w:tcPr>
          <w:p w14:paraId="226B0EA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4" w:space="0" w:color="auto"/>
              <w:left w:val="nil"/>
              <w:bottom w:val="single" w:sz="8" w:space="0" w:color="auto"/>
              <w:right w:val="nil"/>
            </w:tcBorders>
          </w:tcPr>
          <w:p w14:paraId="001E9B6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110.7</w:t>
            </w:r>
          </w:p>
        </w:tc>
        <w:tc>
          <w:tcPr>
            <w:tcW w:w="1134" w:type="dxa"/>
            <w:tcBorders>
              <w:top w:val="single" w:sz="4" w:space="0" w:color="auto"/>
              <w:left w:val="nil"/>
              <w:bottom w:val="single" w:sz="8" w:space="0" w:color="auto"/>
              <w:right w:val="single" w:sz="12" w:space="0" w:color="000000"/>
            </w:tcBorders>
          </w:tcPr>
          <w:p w14:paraId="313D6E4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4" w:space="0" w:color="auto"/>
              <w:left w:val="nil"/>
              <w:bottom w:val="single" w:sz="8" w:space="0" w:color="auto"/>
              <w:right w:val="single" w:sz="12" w:space="0" w:color="000000"/>
            </w:tcBorders>
          </w:tcPr>
          <w:p w14:paraId="1CBB7C4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Rhoads et al., 1992</w:t>
            </w:r>
          </w:p>
        </w:tc>
      </w:tr>
      <w:tr w:rsidR="00632208" w:rsidRPr="0098635C" w14:paraId="33B3C69B" w14:textId="77777777" w:rsidTr="00A432B0">
        <w:trPr>
          <w:trHeight w:val="64"/>
        </w:trPr>
        <w:tc>
          <w:tcPr>
            <w:tcW w:w="1647" w:type="dxa"/>
            <w:tcBorders>
              <w:top w:val="nil"/>
              <w:left w:val="single" w:sz="4" w:space="0" w:color="auto"/>
              <w:bottom w:val="single" w:sz="8" w:space="0" w:color="auto"/>
              <w:right w:val="single" w:sz="8" w:space="0" w:color="auto"/>
            </w:tcBorders>
          </w:tcPr>
          <w:p w14:paraId="073C6F2A"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Avena sativa</w:t>
            </w:r>
          </w:p>
        </w:tc>
        <w:tc>
          <w:tcPr>
            <w:tcW w:w="1276" w:type="dxa"/>
            <w:tcBorders>
              <w:top w:val="nil"/>
              <w:left w:val="nil"/>
              <w:bottom w:val="single" w:sz="8" w:space="0" w:color="auto"/>
              <w:right w:val="single" w:sz="8" w:space="0" w:color="auto"/>
            </w:tcBorders>
          </w:tcPr>
          <w:p w14:paraId="34814B7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fine sand</w:t>
            </w:r>
          </w:p>
        </w:tc>
        <w:tc>
          <w:tcPr>
            <w:tcW w:w="425" w:type="dxa"/>
            <w:tcBorders>
              <w:top w:val="nil"/>
              <w:left w:val="nil"/>
              <w:bottom w:val="single" w:sz="8" w:space="0" w:color="auto"/>
              <w:right w:val="single" w:sz="8" w:space="0" w:color="auto"/>
            </w:tcBorders>
          </w:tcPr>
          <w:p w14:paraId="5F37F5D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7.1</w:t>
            </w:r>
          </w:p>
        </w:tc>
        <w:tc>
          <w:tcPr>
            <w:tcW w:w="709" w:type="dxa"/>
            <w:tcBorders>
              <w:top w:val="nil"/>
              <w:left w:val="nil"/>
              <w:bottom w:val="single" w:sz="8" w:space="0" w:color="auto"/>
              <w:right w:val="single" w:sz="8" w:space="0" w:color="auto"/>
            </w:tcBorders>
          </w:tcPr>
          <w:p w14:paraId="00DEC6A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7D78633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0E840231"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8" w:space="0" w:color="auto"/>
              <w:right w:val="single" w:sz="8" w:space="0" w:color="auto"/>
            </w:tcBorders>
          </w:tcPr>
          <w:p w14:paraId="7954C78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4477429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w:t>
            </w:r>
          </w:p>
        </w:tc>
        <w:tc>
          <w:tcPr>
            <w:tcW w:w="709" w:type="dxa"/>
            <w:tcBorders>
              <w:top w:val="nil"/>
              <w:left w:val="nil"/>
              <w:bottom w:val="single" w:sz="8" w:space="0" w:color="auto"/>
              <w:right w:val="single" w:sz="8" w:space="0" w:color="auto"/>
            </w:tcBorders>
          </w:tcPr>
          <w:p w14:paraId="2E42455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49</w:t>
            </w:r>
          </w:p>
        </w:tc>
        <w:tc>
          <w:tcPr>
            <w:tcW w:w="992" w:type="dxa"/>
            <w:tcBorders>
              <w:top w:val="nil"/>
              <w:left w:val="nil"/>
              <w:bottom w:val="single" w:sz="8" w:space="0" w:color="auto"/>
              <w:right w:val="single" w:sz="8" w:space="0" w:color="auto"/>
            </w:tcBorders>
          </w:tcPr>
          <w:p w14:paraId="3F6AF41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y(r)</w:t>
            </w:r>
          </w:p>
        </w:tc>
        <w:tc>
          <w:tcPr>
            <w:tcW w:w="993" w:type="dxa"/>
            <w:tcBorders>
              <w:top w:val="single" w:sz="8" w:space="0" w:color="auto"/>
              <w:left w:val="nil"/>
              <w:bottom w:val="single" w:sz="8" w:space="0" w:color="auto"/>
              <w:right w:val="single" w:sz="8" w:space="0" w:color="000000"/>
            </w:tcBorders>
          </w:tcPr>
          <w:p w14:paraId="05222BB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100</w:t>
            </w:r>
          </w:p>
        </w:tc>
        <w:tc>
          <w:tcPr>
            <w:tcW w:w="1275" w:type="dxa"/>
            <w:tcBorders>
              <w:top w:val="single" w:sz="8" w:space="0" w:color="auto"/>
              <w:left w:val="nil"/>
              <w:bottom w:val="single" w:sz="8" w:space="0" w:color="auto"/>
              <w:right w:val="single" w:sz="8" w:space="0" w:color="000000"/>
            </w:tcBorders>
          </w:tcPr>
          <w:p w14:paraId="0AF492E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nil"/>
            </w:tcBorders>
          </w:tcPr>
          <w:p w14:paraId="63B580D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110.7</w:t>
            </w:r>
          </w:p>
        </w:tc>
        <w:tc>
          <w:tcPr>
            <w:tcW w:w="1134" w:type="dxa"/>
            <w:tcBorders>
              <w:top w:val="single" w:sz="8" w:space="0" w:color="auto"/>
              <w:left w:val="nil"/>
              <w:bottom w:val="single" w:sz="8" w:space="0" w:color="auto"/>
              <w:right w:val="single" w:sz="12" w:space="0" w:color="000000"/>
            </w:tcBorders>
          </w:tcPr>
          <w:p w14:paraId="451B88E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4C60AC0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Rhoads et al., 1992</w:t>
            </w:r>
          </w:p>
        </w:tc>
      </w:tr>
      <w:tr w:rsidR="00632208" w:rsidRPr="0098635C" w14:paraId="039415F0" w14:textId="77777777" w:rsidTr="00A432B0">
        <w:trPr>
          <w:trHeight w:val="64"/>
        </w:trPr>
        <w:tc>
          <w:tcPr>
            <w:tcW w:w="1647" w:type="dxa"/>
            <w:tcBorders>
              <w:top w:val="nil"/>
              <w:left w:val="single" w:sz="4" w:space="0" w:color="auto"/>
              <w:bottom w:val="single" w:sz="8" w:space="0" w:color="auto"/>
              <w:right w:val="single" w:sz="8" w:space="0" w:color="auto"/>
            </w:tcBorders>
          </w:tcPr>
          <w:p w14:paraId="12D70825"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Avena sativa</w:t>
            </w:r>
          </w:p>
        </w:tc>
        <w:tc>
          <w:tcPr>
            <w:tcW w:w="1276" w:type="dxa"/>
            <w:tcBorders>
              <w:top w:val="nil"/>
              <w:left w:val="nil"/>
              <w:bottom w:val="single" w:sz="8" w:space="0" w:color="auto"/>
              <w:right w:val="single" w:sz="8" w:space="0" w:color="auto"/>
            </w:tcBorders>
          </w:tcPr>
          <w:p w14:paraId="5E60332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Clay soil</w:t>
            </w:r>
          </w:p>
        </w:tc>
        <w:tc>
          <w:tcPr>
            <w:tcW w:w="425" w:type="dxa"/>
            <w:tcBorders>
              <w:top w:val="nil"/>
              <w:left w:val="nil"/>
              <w:bottom w:val="single" w:sz="8" w:space="0" w:color="auto"/>
              <w:right w:val="single" w:sz="8" w:space="0" w:color="auto"/>
            </w:tcBorders>
          </w:tcPr>
          <w:p w14:paraId="2B9661F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5.6</w:t>
            </w:r>
          </w:p>
        </w:tc>
        <w:tc>
          <w:tcPr>
            <w:tcW w:w="709" w:type="dxa"/>
            <w:tcBorders>
              <w:top w:val="nil"/>
              <w:left w:val="nil"/>
              <w:bottom w:val="single" w:sz="8" w:space="0" w:color="auto"/>
              <w:right w:val="single" w:sz="8" w:space="0" w:color="auto"/>
            </w:tcBorders>
          </w:tcPr>
          <w:p w14:paraId="4339069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1.6</w:t>
            </w:r>
          </w:p>
        </w:tc>
        <w:tc>
          <w:tcPr>
            <w:tcW w:w="709" w:type="dxa"/>
            <w:tcBorders>
              <w:top w:val="nil"/>
              <w:left w:val="nil"/>
              <w:bottom w:val="single" w:sz="8" w:space="0" w:color="auto"/>
              <w:right w:val="single" w:sz="8" w:space="0" w:color="auto"/>
            </w:tcBorders>
          </w:tcPr>
          <w:p w14:paraId="7DBDA73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12</w:t>
            </w:r>
          </w:p>
        </w:tc>
        <w:tc>
          <w:tcPr>
            <w:tcW w:w="709" w:type="dxa"/>
            <w:tcBorders>
              <w:top w:val="nil"/>
              <w:left w:val="nil"/>
              <w:bottom w:val="single" w:sz="8" w:space="0" w:color="auto"/>
              <w:right w:val="single" w:sz="8" w:space="0" w:color="auto"/>
            </w:tcBorders>
          </w:tcPr>
          <w:p w14:paraId="6FC5C2B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w:t>
            </w:r>
          </w:p>
        </w:tc>
        <w:tc>
          <w:tcPr>
            <w:tcW w:w="850" w:type="dxa"/>
            <w:tcBorders>
              <w:top w:val="nil"/>
              <w:left w:val="nil"/>
              <w:bottom w:val="single" w:sz="8" w:space="0" w:color="auto"/>
              <w:right w:val="single" w:sz="8" w:space="0" w:color="auto"/>
            </w:tcBorders>
          </w:tcPr>
          <w:p w14:paraId="10CB2A77"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8.7</w:t>
            </w:r>
          </w:p>
        </w:tc>
        <w:tc>
          <w:tcPr>
            <w:tcW w:w="992" w:type="dxa"/>
            <w:tcBorders>
              <w:top w:val="nil"/>
              <w:left w:val="nil"/>
              <w:bottom w:val="single" w:sz="8" w:space="0" w:color="auto"/>
              <w:right w:val="single" w:sz="8" w:space="0" w:color="auto"/>
            </w:tcBorders>
          </w:tcPr>
          <w:p w14:paraId="5D28DE3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03E0B1C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150</w:t>
            </w:r>
          </w:p>
        </w:tc>
        <w:tc>
          <w:tcPr>
            <w:tcW w:w="992" w:type="dxa"/>
            <w:tcBorders>
              <w:top w:val="nil"/>
              <w:left w:val="nil"/>
              <w:bottom w:val="single" w:sz="8" w:space="0" w:color="auto"/>
              <w:right w:val="single" w:sz="8" w:space="0" w:color="auto"/>
            </w:tcBorders>
          </w:tcPr>
          <w:p w14:paraId="5E11E18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y(g)</w:t>
            </w:r>
          </w:p>
        </w:tc>
        <w:tc>
          <w:tcPr>
            <w:tcW w:w="993" w:type="dxa"/>
            <w:tcBorders>
              <w:top w:val="single" w:sz="8" w:space="0" w:color="auto"/>
              <w:left w:val="nil"/>
              <w:bottom w:val="single" w:sz="8" w:space="0" w:color="auto"/>
              <w:right w:val="single" w:sz="8" w:space="0" w:color="000000"/>
            </w:tcBorders>
          </w:tcPr>
          <w:p w14:paraId="6F070DDA"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200</w:t>
            </w:r>
          </w:p>
        </w:tc>
        <w:tc>
          <w:tcPr>
            <w:tcW w:w="1275" w:type="dxa"/>
            <w:tcBorders>
              <w:top w:val="single" w:sz="8" w:space="0" w:color="auto"/>
              <w:left w:val="nil"/>
              <w:bottom w:val="single" w:sz="8" w:space="0" w:color="auto"/>
              <w:right w:val="single" w:sz="8" w:space="0" w:color="000000"/>
            </w:tcBorders>
          </w:tcPr>
          <w:p w14:paraId="7CAB5B6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nil"/>
            </w:tcBorders>
          </w:tcPr>
          <w:p w14:paraId="54DE7E52"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206</w:t>
            </w:r>
          </w:p>
        </w:tc>
        <w:tc>
          <w:tcPr>
            <w:tcW w:w="1134" w:type="dxa"/>
            <w:tcBorders>
              <w:top w:val="single" w:sz="8" w:space="0" w:color="auto"/>
              <w:left w:val="nil"/>
              <w:bottom w:val="single" w:sz="8" w:space="0" w:color="auto"/>
              <w:right w:val="single" w:sz="12" w:space="0" w:color="000000"/>
            </w:tcBorders>
          </w:tcPr>
          <w:p w14:paraId="76A0EC0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168B930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De Haan et al., 1985</w:t>
            </w:r>
          </w:p>
        </w:tc>
      </w:tr>
      <w:tr w:rsidR="00632208" w:rsidRPr="0098635C" w14:paraId="4FE8FF29" w14:textId="77777777" w:rsidTr="00A432B0">
        <w:trPr>
          <w:trHeight w:val="110"/>
        </w:trPr>
        <w:tc>
          <w:tcPr>
            <w:tcW w:w="1647" w:type="dxa"/>
            <w:tcBorders>
              <w:top w:val="nil"/>
              <w:left w:val="single" w:sz="4" w:space="0" w:color="auto"/>
              <w:bottom w:val="single" w:sz="8" w:space="0" w:color="auto"/>
              <w:right w:val="single" w:sz="8" w:space="0" w:color="auto"/>
            </w:tcBorders>
          </w:tcPr>
          <w:p w14:paraId="631A59F9"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Avena sativa</w:t>
            </w:r>
          </w:p>
        </w:tc>
        <w:tc>
          <w:tcPr>
            <w:tcW w:w="1276" w:type="dxa"/>
            <w:tcBorders>
              <w:top w:val="nil"/>
              <w:left w:val="nil"/>
              <w:bottom w:val="single" w:sz="8" w:space="0" w:color="auto"/>
              <w:right w:val="single" w:sz="8" w:space="0" w:color="auto"/>
            </w:tcBorders>
          </w:tcPr>
          <w:p w14:paraId="04FA91B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Clay soil</w:t>
            </w:r>
          </w:p>
        </w:tc>
        <w:tc>
          <w:tcPr>
            <w:tcW w:w="425" w:type="dxa"/>
            <w:tcBorders>
              <w:top w:val="nil"/>
              <w:left w:val="nil"/>
              <w:bottom w:val="single" w:sz="8" w:space="0" w:color="auto"/>
              <w:right w:val="single" w:sz="8" w:space="0" w:color="auto"/>
            </w:tcBorders>
          </w:tcPr>
          <w:p w14:paraId="1BB5787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5.4</w:t>
            </w:r>
          </w:p>
        </w:tc>
        <w:tc>
          <w:tcPr>
            <w:tcW w:w="709" w:type="dxa"/>
            <w:tcBorders>
              <w:top w:val="nil"/>
              <w:left w:val="nil"/>
              <w:bottom w:val="single" w:sz="8" w:space="0" w:color="auto"/>
              <w:right w:val="single" w:sz="8" w:space="0" w:color="auto"/>
            </w:tcBorders>
          </w:tcPr>
          <w:p w14:paraId="1BDB5CA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2.4</w:t>
            </w:r>
          </w:p>
        </w:tc>
        <w:tc>
          <w:tcPr>
            <w:tcW w:w="709" w:type="dxa"/>
            <w:tcBorders>
              <w:top w:val="nil"/>
              <w:left w:val="nil"/>
              <w:bottom w:val="single" w:sz="8" w:space="0" w:color="auto"/>
              <w:right w:val="single" w:sz="8" w:space="0" w:color="auto"/>
            </w:tcBorders>
          </w:tcPr>
          <w:p w14:paraId="497E29F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40</w:t>
            </w:r>
          </w:p>
        </w:tc>
        <w:tc>
          <w:tcPr>
            <w:tcW w:w="709" w:type="dxa"/>
            <w:tcBorders>
              <w:top w:val="nil"/>
              <w:left w:val="nil"/>
              <w:bottom w:val="single" w:sz="8" w:space="0" w:color="auto"/>
              <w:right w:val="single" w:sz="8" w:space="0" w:color="auto"/>
            </w:tcBorders>
          </w:tcPr>
          <w:p w14:paraId="081CC48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850" w:type="dxa"/>
            <w:tcBorders>
              <w:top w:val="nil"/>
              <w:left w:val="nil"/>
              <w:bottom w:val="single" w:sz="8" w:space="0" w:color="auto"/>
              <w:right w:val="single" w:sz="8" w:space="0" w:color="auto"/>
            </w:tcBorders>
          </w:tcPr>
          <w:p w14:paraId="52ABE959"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24.7</w:t>
            </w:r>
          </w:p>
        </w:tc>
        <w:tc>
          <w:tcPr>
            <w:tcW w:w="992" w:type="dxa"/>
            <w:tcBorders>
              <w:top w:val="nil"/>
              <w:left w:val="nil"/>
              <w:bottom w:val="single" w:sz="8" w:space="0" w:color="auto"/>
              <w:right w:val="single" w:sz="8" w:space="0" w:color="auto"/>
            </w:tcBorders>
          </w:tcPr>
          <w:p w14:paraId="2823DCA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02D53DB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150</w:t>
            </w:r>
          </w:p>
        </w:tc>
        <w:tc>
          <w:tcPr>
            <w:tcW w:w="992" w:type="dxa"/>
            <w:tcBorders>
              <w:top w:val="nil"/>
              <w:left w:val="nil"/>
              <w:bottom w:val="single" w:sz="8" w:space="0" w:color="auto"/>
              <w:right w:val="single" w:sz="8" w:space="0" w:color="auto"/>
            </w:tcBorders>
          </w:tcPr>
          <w:p w14:paraId="49ADC57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y(g)</w:t>
            </w:r>
          </w:p>
        </w:tc>
        <w:tc>
          <w:tcPr>
            <w:tcW w:w="993" w:type="dxa"/>
            <w:tcBorders>
              <w:top w:val="single" w:sz="8" w:space="0" w:color="auto"/>
              <w:left w:val="nil"/>
              <w:bottom w:val="single" w:sz="8" w:space="0" w:color="auto"/>
              <w:right w:val="single" w:sz="8" w:space="0" w:color="000000"/>
            </w:tcBorders>
          </w:tcPr>
          <w:p w14:paraId="2A7E19BD"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200</w:t>
            </w:r>
          </w:p>
        </w:tc>
        <w:tc>
          <w:tcPr>
            <w:tcW w:w="1275" w:type="dxa"/>
            <w:tcBorders>
              <w:top w:val="single" w:sz="8" w:space="0" w:color="auto"/>
              <w:left w:val="nil"/>
              <w:bottom w:val="single" w:sz="8" w:space="0" w:color="auto"/>
              <w:right w:val="single" w:sz="8" w:space="0" w:color="000000"/>
            </w:tcBorders>
          </w:tcPr>
          <w:p w14:paraId="42AE438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nil"/>
            </w:tcBorders>
          </w:tcPr>
          <w:p w14:paraId="326139AE"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207</w:t>
            </w:r>
          </w:p>
        </w:tc>
        <w:tc>
          <w:tcPr>
            <w:tcW w:w="1134" w:type="dxa"/>
            <w:tcBorders>
              <w:top w:val="single" w:sz="8" w:space="0" w:color="auto"/>
              <w:left w:val="nil"/>
              <w:bottom w:val="single" w:sz="8" w:space="0" w:color="auto"/>
              <w:right w:val="single" w:sz="12" w:space="0" w:color="000000"/>
            </w:tcBorders>
          </w:tcPr>
          <w:p w14:paraId="56EEA56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1C4CF89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De Haan et al., 1985</w:t>
            </w:r>
          </w:p>
        </w:tc>
      </w:tr>
      <w:tr w:rsidR="00632208" w:rsidRPr="0098635C" w14:paraId="1966A4F1" w14:textId="77777777" w:rsidTr="00A432B0">
        <w:trPr>
          <w:trHeight w:val="79"/>
        </w:trPr>
        <w:tc>
          <w:tcPr>
            <w:tcW w:w="1647" w:type="dxa"/>
            <w:tcBorders>
              <w:top w:val="nil"/>
              <w:left w:val="single" w:sz="4" w:space="0" w:color="auto"/>
              <w:bottom w:val="single" w:sz="8" w:space="0" w:color="auto"/>
              <w:right w:val="single" w:sz="8" w:space="0" w:color="auto"/>
            </w:tcBorders>
          </w:tcPr>
          <w:p w14:paraId="3891A6FB"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Avena sativa</w:t>
            </w:r>
          </w:p>
        </w:tc>
        <w:tc>
          <w:tcPr>
            <w:tcW w:w="1276" w:type="dxa"/>
            <w:tcBorders>
              <w:top w:val="nil"/>
              <w:left w:val="nil"/>
              <w:bottom w:val="single" w:sz="8" w:space="0" w:color="auto"/>
              <w:right w:val="single" w:sz="8" w:space="0" w:color="auto"/>
            </w:tcBorders>
          </w:tcPr>
          <w:p w14:paraId="46BFB1E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Clay soil</w:t>
            </w:r>
          </w:p>
        </w:tc>
        <w:tc>
          <w:tcPr>
            <w:tcW w:w="425" w:type="dxa"/>
            <w:tcBorders>
              <w:top w:val="nil"/>
              <w:left w:val="nil"/>
              <w:bottom w:val="single" w:sz="8" w:space="0" w:color="auto"/>
              <w:right w:val="single" w:sz="8" w:space="0" w:color="auto"/>
            </w:tcBorders>
          </w:tcPr>
          <w:p w14:paraId="431949D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5.2</w:t>
            </w:r>
          </w:p>
        </w:tc>
        <w:tc>
          <w:tcPr>
            <w:tcW w:w="709" w:type="dxa"/>
            <w:tcBorders>
              <w:top w:val="nil"/>
              <w:left w:val="nil"/>
              <w:bottom w:val="single" w:sz="8" w:space="0" w:color="auto"/>
              <w:right w:val="single" w:sz="8" w:space="0" w:color="auto"/>
            </w:tcBorders>
          </w:tcPr>
          <w:p w14:paraId="3C32327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3.2</w:t>
            </w:r>
          </w:p>
        </w:tc>
        <w:tc>
          <w:tcPr>
            <w:tcW w:w="709" w:type="dxa"/>
            <w:tcBorders>
              <w:top w:val="nil"/>
              <w:left w:val="nil"/>
              <w:bottom w:val="single" w:sz="8" w:space="0" w:color="auto"/>
              <w:right w:val="single" w:sz="8" w:space="0" w:color="auto"/>
            </w:tcBorders>
          </w:tcPr>
          <w:p w14:paraId="6CC6E10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58</w:t>
            </w:r>
          </w:p>
        </w:tc>
        <w:tc>
          <w:tcPr>
            <w:tcW w:w="709" w:type="dxa"/>
            <w:tcBorders>
              <w:top w:val="nil"/>
              <w:left w:val="nil"/>
              <w:bottom w:val="single" w:sz="8" w:space="0" w:color="auto"/>
              <w:right w:val="single" w:sz="8" w:space="0" w:color="auto"/>
            </w:tcBorders>
          </w:tcPr>
          <w:p w14:paraId="24B30B8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58</w:t>
            </w:r>
          </w:p>
        </w:tc>
        <w:tc>
          <w:tcPr>
            <w:tcW w:w="850" w:type="dxa"/>
            <w:tcBorders>
              <w:top w:val="nil"/>
              <w:left w:val="nil"/>
              <w:bottom w:val="single" w:sz="8" w:space="0" w:color="auto"/>
              <w:right w:val="single" w:sz="8" w:space="0" w:color="auto"/>
            </w:tcBorders>
          </w:tcPr>
          <w:p w14:paraId="03CD1E6C"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34.8</w:t>
            </w:r>
          </w:p>
        </w:tc>
        <w:tc>
          <w:tcPr>
            <w:tcW w:w="992" w:type="dxa"/>
            <w:tcBorders>
              <w:top w:val="nil"/>
              <w:left w:val="nil"/>
              <w:bottom w:val="single" w:sz="8" w:space="0" w:color="auto"/>
              <w:right w:val="single" w:sz="8" w:space="0" w:color="auto"/>
            </w:tcBorders>
          </w:tcPr>
          <w:p w14:paraId="6F14BE7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09DAF18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150</w:t>
            </w:r>
          </w:p>
        </w:tc>
        <w:tc>
          <w:tcPr>
            <w:tcW w:w="992" w:type="dxa"/>
            <w:tcBorders>
              <w:top w:val="nil"/>
              <w:left w:val="nil"/>
              <w:bottom w:val="single" w:sz="8" w:space="0" w:color="auto"/>
              <w:right w:val="single" w:sz="8" w:space="0" w:color="auto"/>
            </w:tcBorders>
          </w:tcPr>
          <w:p w14:paraId="2F6FD6D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y(g)</w:t>
            </w:r>
          </w:p>
        </w:tc>
        <w:tc>
          <w:tcPr>
            <w:tcW w:w="993" w:type="dxa"/>
            <w:tcBorders>
              <w:top w:val="single" w:sz="8" w:space="0" w:color="auto"/>
              <w:left w:val="nil"/>
              <w:bottom w:val="single" w:sz="8" w:space="0" w:color="auto"/>
              <w:right w:val="single" w:sz="8" w:space="0" w:color="000000"/>
            </w:tcBorders>
          </w:tcPr>
          <w:p w14:paraId="70914B3E"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200</w:t>
            </w:r>
          </w:p>
        </w:tc>
        <w:tc>
          <w:tcPr>
            <w:tcW w:w="1275" w:type="dxa"/>
            <w:tcBorders>
              <w:top w:val="single" w:sz="8" w:space="0" w:color="auto"/>
              <w:left w:val="nil"/>
              <w:bottom w:val="single" w:sz="8" w:space="0" w:color="auto"/>
              <w:right w:val="single" w:sz="8" w:space="0" w:color="000000"/>
            </w:tcBorders>
          </w:tcPr>
          <w:p w14:paraId="11008DA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nil"/>
            </w:tcBorders>
          </w:tcPr>
          <w:p w14:paraId="5D45EF97"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258</w:t>
            </w:r>
          </w:p>
        </w:tc>
        <w:tc>
          <w:tcPr>
            <w:tcW w:w="1134" w:type="dxa"/>
            <w:tcBorders>
              <w:top w:val="single" w:sz="8" w:space="0" w:color="auto"/>
              <w:left w:val="nil"/>
              <w:bottom w:val="single" w:sz="8" w:space="0" w:color="auto"/>
              <w:right w:val="single" w:sz="12" w:space="0" w:color="000000"/>
            </w:tcBorders>
          </w:tcPr>
          <w:p w14:paraId="5F05641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6CDDF0A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De Haan et al., 1985</w:t>
            </w:r>
          </w:p>
        </w:tc>
      </w:tr>
      <w:tr w:rsidR="00632208" w:rsidRPr="0098635C" w14:paraId="34CABF53" w14:textId="77777777" w:rsidTr="00A432B0">
        <w:trPr>
          <w:trHeight w:val="64"/>
        </w:trPr>
        <w:tc>
          <w:tcPr>
            <w:tcW w:w="1647" w:type="dxa"/>
            <w:tcBorders>
              <w:top w:val="nil"/>
              <w:left w:val="single" w:sz="4" w:space="0" w:color="auto"/>
              <w:bottom w:val="single" w:sz="8" w:space="0" w:color="auto"/>
              <w:right w:val="single" w:sz="8" w:space="0" w:color="auto"/>
            </w:tcBorders>
          </w:tcPr>
          <w:p w14:paraId="11D27CB5"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Avena sativa</w:t>
            </w:r>
          </w:p>
        </w:tc>
        <w:tc>
          <w:tcPr>
            <w:tcW w:w="1276" w:type="dxa"/>
            <w:tcBorders>
              <w:top w:val="nil"/>
              <w:left w:val="nil"/>
              <w:bottom w:val="single" w:sz="8" w:space="0" w:color="auto"/>
              <w:right w:val="single" w:sz="8" w:space="0" w:color="auto"/>
            </w:tcBorders>
          </w:tcPr>
          <w:p w14:paraId="5306E65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soil</w:t>
            </w:r>
          </w:p>
        </w:tc>
        <w:tc>
          <w:tcPr>
            <w:tcW w:w="425" w:type="dxa"/>
            <w:tcBorders>
              <w:top w:val="nil"/>
              <w:left w:val="nil"/>
              <w:bottom w:val="single" w:sz="8" w:space="0" w:color="auto"/>
              <w:right w:val="single" w:sz="8" w:space="0" w:color="auto"/>
            </w:tcBorders>
          </w:tcPr>
          <w:p w14:paraId="4ABFBFD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w:t>
            </w:r>
          </w:p>
        </w:tc>
        <w:tc>
          <w:tcPr>
            <w:tcW w:w="709" w:type="dxa"/>
            <w:tcBorders>
              <w:top w:val="nil"/>
              <w:left w:val="nil"/>
              <w:bottom w:val="single" w:sz="8" w:space="0" w:color="auto"/>
              <w:right w:val="single" w:sz="8" w:space="0" w:color="auto"/>
            </w:tcBorders>
          </w:tcPr>
          <w:p w14:paraId="392EACD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3.4</w:t>
            </w:r>
          </w:p>
        </w:tc>
        <w:tc>
          <w:tcPr>
            <w:tcW w:w="709" w:type="dxa"/>
            <w:tcBorders>
              <w:top w:val="nil"/>
              <w:left w:val="nil"/>
              <w:bottom w:val="single" w:sz="8" w:space="0" w:color="auto"/>
              <w:right w:val="single" w:sz="8" w:space="0" w:color="auto"/>
            </w:tcBorders>
          </w:tcPr>
          <w:p w14:paraId="4EA8730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709" w:type="dxa"/>
            <w:tcBorders>
              <w:top w:val="nil"/>
              <w:left w:val="nil"/>
              <w:bottom w:val="single" w:sz="8" w:space="0" w:color="auto"/>
              <w:right w:val="single" w:sz="8" w:space="0" w:color="auto"/>
            </w:tcBorders>
          </w:tcPr>
          <w:p w14:paraId="2F5136E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850" w:type="dxa"/>
            <w:tcBorders>
              <w:top w:val="nil"/>
              <w:left w:val="nil"/>
              <w:bottom w:val="single" w:sz="8" w:space="0" w:color="auto"/>
              <w:right w:val="single" w:sz="8" w:space="0" w:color="auto"/>
            </w:tcBorders>
          </w:tcPr>
          <w:p w14:paraId="59B4C6BD"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6</w:t>
            </w:r>
          </w:p>
        </w:tc>
        <w:tc>
          <w:tcPr>
            <w:tcW w:w="992" w:type="dxa"/>
            <w:tcBorders>
              <w:top w:val="nil"/>
              <w:left w:val="nil"/>
              <w:bottom w:val="single" w:sz="8" w:space="0" w:color="auto"/>
              <w:right w:val="single" w:sz="8" w:space="0" w:color="auto"/>
            </w:tcBorders>
          </w:tcPr>
          <w:p w14:paraId="073913A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33B4DDF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150</w:t>
            </w:r>
          </w:p>
        </w:tc>
        <w:tc>
          <w:tcPr>
            <w:tcW w:w="992" w:type="dxa"/>
            <w:tcBorders>
              <w:top w:val="nil"/>
              <w:left w:val="nil"/>
              <w:bottom w:val="single" w:sz="8" w:space="0" w:color="auto"/>
              <w:right w:val="single" w:sz="8" w:space="0" w:color="auto"/>
            </w:tcBorders>
          </w:tcPr>
          <w:p w14:paraId="3CB3375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y(g)</w:t>
            </w:r>
          </w:p>
        </w:tc>
        <w:tc>
          <w:tcPr>
            <w:tcW w:w="993" w:type="dxa"/>
            <w:tcBorders>
              <w:top w:val="single" w:sz="8" w:space="0" w:color="auto"/>
              <w:left w:val="nil"/>
              <w:bottom w:val="single" w:sz="8" w:space="0" w:color="auto"/>
              <w:right w:val="single" w:sz="8" w:space="0" w:color="000000"/>
            </w:tcBorders>
          </w:tcPr>
          <w:p w14:paraId="425E3DA6"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200</w:t>
            </w:r>
          </w:p>
        </w:tc>
        <w:tc>
          <w:tcPr>
            <w:tcW w:w="1275" w:type="dxa"/>
            <w:tcBorders>
              <w:top w:val="single" w:sz="8" w:space="0" w:color="auto"/>
              <w:left w:val="nil"/>
              <w:bottom w:val="single" w:sz="8" w:space="0" w:color="auto"/>
              <w:right w:val="single" w:sz="8" w:space="0" w:color="000000"/>
            </w:tcBorders>
          </w:tcPr>
          <w:p w14:paraId="346FE29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nil"/>
            </w:tcBorders>
          </w:tcPr>
          <w:p w14:paraId="4355B505"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204</w:t>
            </w:r>
          </w:p>
        </w:tc>
        <w:tc>
          <w:tcPr>
            <w:tcW w:w="1134" w:type="dxa"/>
            <w:tcBorders>
              <w:top w:val="single" w:sz="8" w:space="0" w:color="auto"/>
              <w:left w:val="nil"/>
              <w:bottom w:val="single" w:sz="8" w:space="0" w:color="auto"/>
              <w:right w:val="single" w:sz="12" w:space="0" w:color="000000"/>
            </w:tcBorders>
          </w:tcPr>
          <w:p w14:paraId="4A0E50B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223A61E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De Haan et al., 1985</w:t>
            </w:r>
          </w:p>
        </w:tc>
      </w:tr>
      <w:tr w:rsidR="00632208" w:rsidRPr="0098635C" w14:paraId="3BFD078E" w14:textId="77777777" w:rsidTr="00A432B0">
        <w:trPr>
          <w:trHeight w:val="64"/>
        </w:trPr>
        <w:tc>
          <w:tcPr>
            <w:tcW w:w="1647" w:type="dxa"/>
            <w:tcBorders>
              <w:top w:val="nil"/>
              <w:left w:val="single" w:sz="4" w:space="0" w:color="auto"/>
              <w:bottom w:val="single" w:sz="8" w:space="0" w:color="auto"/>
              <w:right w:val="single" w:sz="8" w:space="0" w:color="auto"/>
            </w:tcBorders>
          </w:tcPr>
          <w:p w14:paraId="611A95E9"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Avena sativa</w:t>
            </w:r>
          </w:p>
        </w:tc>
        <w:tc>
          <w:tcPr>
            <w:tcW w:w="1276" w:type="dxa"/>
            <w:tcBorders>
              <w:top w:val="nil"/>
              <w:left w:val="nil"/>
              <w:bottom w:val="single" w:sz="8" w:space="0" w:color="auto"/>
              <w:right w:val="single" w:sz="8" w:space="0" w:color="auto"/>
            </w:tcBorders>
          </w:tcPr>
          <w:p w14:paraId="53F605C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soil</w:t>
            </w:r>
          </w:p>
        </w:tc>
        <w:tc>
          <w:tcPr>
            <w:tcW w:w="425" w:type="dxa"/>
            <w:tcBorders>
              <w:top w:val="nil"/>
              <w:left w:val="nil"/>
              <w:bottom w:val="single" w:sz="8" w:space="0" w:color="auto"/>
              <w:right w:val="single" w:sz="8" w:space="0" w:color="auto"/>
            </w:tcBorders>
          </w:tcPr>
          <w:p w14:paraId="20487FF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5.4</w:t>
            </w:r>
          </w:p>
        </w:tc>
        <w:tc>
          <w:tcPr>
            <w:tcW w:w="709" w:type="dxa"/>
            <w:tcBorders>
              <w:top w:val="nil"/>
              <w:left w:val="nil"/>
              <w:bottom w:val="single" w:sz="8" w:space="0" w:color="auto"/>
              <w:right w:val="single" w:sz="8" w:space="0" w:color="auto"/>
            </w:tcBorders>
          </w:tcPr>
          <w:p w14:paraId="18628E1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6.8</w:t>
            </w:r>
          </w:p>
        </w:tc>
        <w:tc>
          <w:tcPr>
            <w:tcW w:w="709" w:type="dxa"/>
            <w:tcBorders>
              <w:top w:val="nil"/>
              <w:left w:val="nil"/>
              <w:bottom w:val="single" w:sz="8" w:space="0" w:color="auto"/>
              <w:right w:val="single" w:sz="8" w:space="0" w:color="auto"/>
            </w:tcBorders>
          </w:tcPr>
          <w:p w14:paraId="17F29E6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w:t>
            </w:r>
          </w:p>
        </w:tc>
        <w:tc>
          <w:tcPr>
            <w:tcW w:w="709" w:type="dxa"/>
            <w:tcBorders>
              <w:top w:val="nil"/>
              <w:left w:val="nil"/>
              <w:bottom w:val="single" w:sz="8" w:space="0" w:color="auto"/>
              <w:right w:val="single" w:sz="8" w:space="0" w:color="auto"/>
            </w:tcBorders>
          </w:tcPr>
          <w:p w14:paraId="51B424F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850" w:type="dxa"/>
            <w:tcBorders>
              <w:top w:val="nil"/>
              <w:left w:val="nil"/>
              <w:bottom w:val="single" w:sz="8" w:space="0" w:color="auto"/>
              <w:right w:val="single" w:sz="8" w:space="0" w:color="auto"/>
            </w:tcBorders>
          </w:tcPr>
          <w:p w14:paraId="06FB1D7B"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11.3</w:t>
            </w:r>
          </w:p>
        </w:tc>
        <w:tc>
          <w:tcPr>
            <w:tcW w:w="992" w:type="dxa"/>
            <w:tcBorders>
              <w:top w:val="nil"/>
              <w:left w:val="nil"/>
              <w:bottom w:val="single" w:sz="8" w:space="0" w:color="auto"/>
              <w:right w:val="single" w:sz="8" w:space="0" w:color="auto"/>
            </w:tcBorders>
          </w:tcPr>
          <w:p w14:paraId="6AA6B3E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1851667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150</w:t>
            </w:r>
          </w:p>
        </w:tc>
        <w:tc>
          <w:tcPr>
            <w:tcW w:w="992" w:type="dxa"/>
            <w:tcBorders>
              <w:top w:val="nil"/>
              <w:left w:val="nil"/>
              <w:bottom w:val="single" w:sz="8" w:space="0" w:color="auto"/>
              <w:right w:val="single" w:sz="8" w:space="0" w:color="auto"/>
            </w:tcBorders>
          </w:tcPr>
          <w:p w14:paraId="05D39A4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y(g)</w:t>
            </w:r>
          </w:p>
        </w:tc>
        <w:tc>
          <w:tcPr>
            <w:tcW w:w="993" w:type="dxa"/>
            <w:tcBorders>
              <w:top w:val="single" w:sz="8" w:space="0" w:color="auto"/>
              <w:left w:val="nil"/>
              <w:bottom w:val="single" w:sz="8" w:space="0" w:color="auto"/>
              <w:right w:val="single" w:sz="8" w:space="0" w:color="000000"/>
            </w:tcBorders>
          </w:tcPr>
          <w:p w14:paraId="21D24320"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200</w:t>
            </w:r>
          </w:p>
        </w:tc>
        <w:tc>
          <w:tcPr>
            <w:tcW w:w="1275" w:type="dxa"/>
            <w:tcBorders>
              <w:top w:val="single" w:sz="8" w:space="0" w:color="auto"/>
              <w:left w:val="nil"/>
              <w:bottom w:val="single" w:sz="8" w:space="0" w:color="auto"/>
              <w:right w:val="single" w:sz="8" w:space="0" w:color="000000"/>
            </w:tcBorders>
          </w:tcPr>
          <w:p w14:paraId="1A65F85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nil"/>
            </w:tcBorders>
          </w:tcPr>
          <w:p w14:paraId="54F51A04"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219</w:t>
            </w:r>
          </w:p>
        </w:tc>
        <w:tc>
          <w:tcPr>
            <w:tcW w:w="1134" w:type="dxa"/>
            <w:tcBorders>
              <w:top w:val="single" w:sz="8" w:space="0" w:color="auto"/>
              <w:left w:val="nil"/>
              <w:bottom w:val="single" w:sz="8" w:space="0" w:color="auto"/>
              <w:right w:val="single" w:sz="12" w:space="0" w:color="000000"/>
            </w:tcBorders>
          </w:tcPr>
          <w:p w14:paraId="59F3E15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7C17E6C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De Haan et al., 1985</w:t>
            </w:r>
          </w:p>
        </w:tc>
      </w:tr>
      <w:tr w:rsidR="00632208" w:rsidRPr="0098635C" w14:paraId="3EC85477" w14:textId="77777777" w:rsidTr="00A432B0">
        <w:trPr>
          <w:trHeight w:val="64"/>
        </w:trPr>
        <w:tc>
          <w:tcPr>
            <w:tcW w:w="1647" w:type="dxa"/>
            <w:tcBorders>
              <w:top w:val="nil"/>
              <w:left w:val="single" w:sz="4" w:space="0" w:color="auto"/>
              <w:bottom w:val="single" w:sz="8" w:space="0" w:color="auto"/>
              <w:right w:val="single" w:sz="8" w:space="0" w:color="auto"/>
            </w:tcBorders>
          </w:tcPr>
          <w:p w14:paraId="7517B351"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Avena sativa</w:t>
            </w:r>
          </w:p>
        </w:tc>
        <w:tc>
          <w:tcPr>
            <w:tcW w:w="1276" w:type="dxa"/>
            <w:tcBorders>
              <w:top w:val="nil"/>
              <w:left w:val="nil"/>
              <w:bottom w:val="single" w:sz="8" w:space="0" w:color="auto"/>
              <w:right w:val="single" w:sz="8" w:space="0" w:color="auto"/>
            </w:tcBorders>
          </w:tcPr>
          <w:p w14:paraId="2947176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soil</w:t>
            </w:r>
          </w:p>
        </w:tc>
        <w:tc>
          <w:tcPr>
            <w:tcW w:w="425" w:type="dxa"/>
            <w:tcBorders>
              <w:top w:val="nil"/>
              <w:left w:val="nil"/>
              <w:bottom w:val="single" w:sz="8" w:space="0" w:color="auto"/>
              <w:right w:val="single" w:sz="8" w:space="0" w:color="auto"/>
            </w:tcBorders>
          </w:tcPr>
          <w:p w14:paraId="2758758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4.6</w:t>
            </w:r>
          </w:p>
        </w:tc>
        <w:tc>
          <w:tcPr>
            <w:tcW w:w="709" w:type="dxa"/>
            <w:tcBorders>
              <w:top w:val="nil"/>
              <w:left w:val="nil"/>
              <w:bottom w:val="single" w:sz="8" w:space="0" w:color="auto"/>
              <w:right w:val="single" w:sz="8" w:space="0" w:color="auto"/>
            </w:tcBorders>
          </w:tcPr>
          <w:p w14:paraId="07A2542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19.4</w:t>
            </w:r>
          </w:p>
        </w:tc>
        <w:tc>
          <w:tcPr>
            <w:tcW w:w="709" w:type="dxa"/>
            <w:tcBorders>
              <w:top w:val="nil"/>
              <w:left w:val="nil"/>
              <w:bottom w:val="single" w:sz="8" w:space="0" w:color="auto"/>
              <w:right w:val="single" w:sz="8" w:space="0" w:color="auto"/>
            </w:tcBorders>
          </w:tcPr>
          <w:p w14:paraId="7982286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709" w:type="dxa"/>
            <w:tcBorders>
              <w:top w:val="nil"/>
              <w:left w:val="nil"/>
              <w:bottom w:val="single" w:sz="8" w:space="0" w:color="auto"/>
              <w:right w:val="single" w:sz="8" w:space="0" w:color="auto"/>
            </w:tcBorders>
          </w:tcPr>
          <w:p w14:paraId="11554DB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850" w:type="dxa"/>
            <w:tcBorders>
              <w:top w:val="nil"/>
              <w:left w:val="nil"/>
              <w:bottom w:val="single" w:sz="8" w:space="0" w:color="auto"/>
              <w:right w:val="single" w:sz="8" w:space="0" w:color="auto"/>
            </w:tcBorders>
          </w:tcPr>
          <w:p w14:paraId="10932BD7"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22</w:t>
            </w:r>
          </w:p>
        </w:tc>
        <w:tc>
          <w:tcPr>
            <w:tcW w:w="992" w:type="dxa"/>
            <w:tcBorders>
              <w:top w:val="nil"/>
              <w:left w:val="nil"/>
              <w:bottom w:val="single" w:sz="8" w:space="0" w:color="auto"/>
              <w:right w:val="single" w:sz="8" w:space="0" w:color="auto"/>
            </w:tcBorders>
          </w:tcPr>
          <w:p w14:paraId="7905A01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67DB42A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150</w:t>
            </w:r>
          </w:p>
        </w:tc>
        <w:tc>
          <w:tcPr>
            <w:tcW w:w="992" w:type="dxa"/>
            <w:tcBorders>
              <w:top w:val="nil"/>
              <w:left w:val="nil"/>
              <w:bottom w:val="single" w:sz="8" w:space="0" w:color="auto"/>
              <w:right w:val="single" w:sz="8" w:space="0" w:color="auto"/>
            </w:tcBorders>
          </w:tcPr>
          <w:p w14:paraId="619A138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y(g)</w:t>
            </w:r>
          </w:p>
        </w:tc>
        <w:tc>
          <w:tcPr>
            <w:tcW w:w="993" w:type="dxa"/>
            <w:tcBorders>
              <w:top w:val="single" w:sz="8" w:space="0" w:color="auto"/>
              <w:left w:val="nil"/>
              <w:bottom w:val="single" w:sz="8" w:space="0" w:color="auto"/>
              <w:right w:val="single" w:sz="8" w:space="0" w:color="000000"/>
            </w:tcBorders>
          </w:tcPr>
          <w:p w14:paraId="6EED229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275" w:type="dxa"/>
            <w:tcBorders>
              <w:top w:val="single" w:sz="8" w:space="0" w:color="auto"/>
              <w:left w:val="nil"/>
              <w:bottom w:val="single" w:sz="8" w:space="0" w:color="auto"/>
              <w:right w:val="single" w:sz="8" w:space="0" w:color="000000"/>
            </w:tcBorders>
          </w:tcPr>
          <w:p w14:paraId="1A54422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400</w:t>
            </w:r>
          </w:p>
        </w:tc>
        <w:tc>
          <w:tcPr>
            <w:tcW w:w="851" w:type="dxa"/>
            <w:tcBorders>
              <w:top w:val="nil"/>
              <w:left w:val="nil"/>
              <w:bottom w:val="single" w:sz="8" w:space="0" w:color="auto"/>
              <w:right w:val="nil"/>
            </w:tcBorders>
          </w:tcPr>
          <w:p w14:paraId="2D79FF6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134" w:type="dxa"/>
            <w:tcBorders>
              <w:top w:val="single" w:sz="8" w:space="0" w:color="auto"/>
              <w:left w:val="nil"/>
              <w:bottom w:val="single" w:sz="8" w:space="0" w:color="auto"/>
              <w:right w:val="single" w:sz="12" w:space="0" w:color="000000"/>
            </w:tcBorders>
          </w:tcPr>
          <w:p w14:paraId="3C46C45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421</w:t>
            </w:r>
          </w:p>
        </w:tc>
        <w:tc>
          <w:tcPr>
            <w:tcW w:w="1984" w:type="dxa"/>
            <w:tcBorders>
              <w:top w:val="single" w:sz="8" w:space="0" w:color="auto"/>
              <w:left w:val="nil"/>
              <w:bottom w:val="single" w:sz="8" w:space="0" w:color="auto"/>
              <w:right w:val="single" w:sz="12" w:space="0" w:color="000000"/>
            </w:tcBorders>
          </w:tcPr>
          <w:p w14:paraId="01E8105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De Haan et al., 1985</w:t>
            </w:r>
          </w:p>
        </w:tc>
      </w:tr>
      <w:tr w:rsidR="00632208" w:rsidRPr="0098635C" w14:paraId="69680CDD" w14:textId="77777777" w:rsidTr="00A432B0">
        <w:trPr>
          <w:trHeight w:val="64"/>
        </w:trPr>
        <w:tc>
          <w:tcPr>
            <w:tcW w:w="1647" w:type="dxa"/>
            <w:tcBorders>
              <w:top w:val="nil"/>
              <w:left w:val="single" w:sz="4" w:space="0" w:color="auto"/>
              <w:bottom w:val="single" w:sz="8" w:space="0" w:color="auto"/>
              <w:right w:val="single" w:sz="8" w:space="0" w:color="auto"/>
            </w:tcBorders>
          </w:tcPr>
          <w:p w14:paraId="265D382B"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Avena sativa</w:t>
            </w:r>
          </w:p>
        </w:tc>
        <w:tc>
          <w:tcPr>
            <w:tcW w:w="1276" w:type="dxa"/>
            <w:tcBorders>
              <w:top w:val="nil"/>
              <w:left w:val="nil"/>
              <w:bottom w:val="single" w:sz="8" w:space="0" w:color="auto"/>
              <w:right w:val="single" w:sz="8" w:space="0" w:color="auto"/>
            </w:tcBorders>
          </w:tcPr>
          <w:p w14:paraId="6140996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Peaty muck</w:t>
            </w:r>
          </w:p>
        </w:tc>
        <w:tc>
          <w:tcPr>
            <w:tcW w:w="425" w:type="dxa"/>
            <w:tcBorders>
              <w:top w:val="nil"/>
              <w:left w:val="nil"/>
              <w:bottom w:val="single" w:sz="8" w:space="0" w:color="auto"/>
              <w:right w:val="single" w:sz="8" w:space="0" w:color="auto"/>
            </w:tcBorders>
          </w:tcPr>
          <w:p w14:paraId="064A88D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7471952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56</w:t>
            </w:r>
          </w:p>
        </w:tc>
        <w:tc>
          <w:tcPr>
            <w:tcW w:w="709" w:type="dxa"/>
            <w:tcBorders>
              <w:top w:val="nil"/>
              <w:left w:val="nil"/>
              <w:bottom w:val="single" w:sz="8" w:space="0" w:color="auto"/>
              <w:right w:val="single" w:sz="8" w:space="0" w:color="auto"/>
            </w:tcBorders>
          </w:tcPr>
          <w:p w14:paraId="4474A1B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496D80B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86</w:t>
            </w:r>
          </w:p>
        </w:tc>
        <w:tc>
          <w:tcPr>
            <w:tcW w:w="850" w:type="dxa"/>
            <w:tcBorders>
              <w:top w:val="nil"/>
              <w:left w:val="nil"/>
              <w:bottom w:val="single" w:sz="8" w:space="0" w:color="auto"/>
              <w:right w:val="single" w:sz="8" w:space="0" w:color="auto"/>
            </w:tcBorders>
          </w:tcPr>
          <w:p w14:paraId="08F0AB8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13F11DD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709" w:type="dxa"/>
            <w:tcBorders>
              <w:top w:val="nil"/>
              <w:left w:val="nil"/>
              <w:bottom w:val="single" w:sz="8" w:space="0" w:color="auto"/>
              <w:right w:val="single" w:sz="8" w:space="0" w:color="auto"/>
            </w:tcBorders>
          </w:tcPr>
          <w:p w14:paraId="24131CC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31</w:t>
            </w:r>
          </w:p>
        </w:tc>
        <w:tc>
          <w:tcPr>
            <w:tcW w:w="992" w:type="dxa"/>
            <w:tcBorders>
              <w:top w:val="nil"/>
              <w:left w:val="nil"/>
              <w:bottom w:val="single" w:sz="8" w:space="0" w:color="auto"/>
              <w:right w:val="single" w:sz="8" w:space="0" w:color="auto"/>
            </w:tcBorders>
          </w:tcPr>
          <w:p w14:paraId="0C44877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8" w:space="0" w:color="auto"/>
              <w:right w:val="single" w:sz="8" w:space="0" w:color="000000"/>
            </w:tcBorders>
          </w:tcPr>
          <w:p w14:paraId="3C0DB36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275" w:type="dxa"/>
            <w:tcBorders>
              <w:top w:val="single" w:sz="8" w:space="0" w:color="auto"/>
              <w:left w:val="nil"/>
              <w:bottom w:val="single" w:sz="8" w:space="0" w:color="auto"/>
              <w:right w:val="single" w:sz="8" w:space="0" w:color="000000"/>
            </w:tcBorders>
          </w:tcPr>
          <w:p w14:paraId="74A841B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4705*</w:t>
            </w:r>
          </w:p>
        </w:tc>
        <w:tc>
          <w:tcPr>
            <w:tcW w:w="851" w:type="dxa"/>
            <w:tcBorders>
              <w:top w:val="nil"/>
              <w:left w:val="nil"/>
              <w:bottom w:val="single" w:sz="8" w:space="0" w:color="auto"/>
              <w:right w:val="nil"/>
            </w:tcBorders>
          </w:tcPr>
          <w:p w14:paraId="75EE1EB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134" w:type="dxa"/>
            <w:tcBorders>
              <w:top w:val="single" w:sz="8" w:space="0" w:color="auto"/>
              <w:left w:val="nil"/>
              <w:bottom w:val="single" w:sz="8" w:space="0" w:color="auto"/>
              <w:right w:val="single" w:sz="12" w:space="0" w:color="000000"/>
            </w:tcBorders>
          </w:tcPr>
          <w:p w14:paraId="4B1E0BE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4791</w:t>
            </w:r>
          </w:p>
        </w:tc>
        <w:tc>
          <w:tcPr>
            <w:tcW w:w="1984" w:type="dxa"/>
            <w:tcBorders>
              <w:top w:val="single" w:sz="8" w:space="0" w:color="auto"/>
              <w:left w:val="nil"/>
              <w:bottom w:val="single" w:sz="8" w:space="0" w:color="auto"/>
              <w:right w:val="single" w:sz="12" w:space="0" w:color="000000"/>
            </w:tcBorders>
          </w:tcPr>
          <w:p w14:paraId="5ABB95A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Roth et al., 1971</w:t>
            </w:r>
          </w:p>
        </w:tc>
      </w:tr>
      <w:tr w:rsidR="00632208" w:rsidRPr="0098635C" w14:paraId="076F0FE9" w14:textId="77777777" w:rsidTr="00A432B0">
        <w:trPr>
          <w:trHeight w:val="64"/>
        </w:trPr>
        <w:tc>
          <w:tcPr>
            <w:tcW w:w="1647" w:type="dxa"/>
            <w:tcBorders>
              <w:top w:val="nil"/>
              <w:left w:val="single" w:sz="4" w:space="0" w:color="auto"/>
              <w:bottom w:val="single" w:sz="8" w:space="0" w:color="auto"/>
              <w:right w:val="single" w:sz="8" w:space="0" w:color="auto"/>
            </w:tcBorders>
          </w:tcPr>
          <w:p w14:paraId="57C27025"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Glycine max</w:t>
            </w:r>
          </w:p>
        </w:tc>
        <w:tc>
          <w:tcPr>
            <w:tcW w:w="1276" w:type="dxa"/>
            <w:tcBorders>
              <w:top w:val="nil"/>
              <w:left w:val="nil"/>
              <w:bottom w:val="single" w:sz="8" w:space="0" w:color="auto"/>
              <w:right w:val="single" w:sz="8" w:space="0" w:color="auto"/>
            </w:tcBorders>
          </w:tcPr>
          <w:p w14:paraId="595530E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Peaty muck</w:t>
            </w:r>
          </w:p>
        </w:tc>
        <w:tc>
          <w:tcPr>
            <w:tcW w:w="425" w:type="dxa"/>
            <w:tcBorders>
              <w:top w:val="nil"/>
              <w:left w:val="nil"/>
              <w:bottom w:val="single" w:sz="8" w:space="0" w:color="auto"/>
              <w:right w:val="single" w:sz="8" w:space="0" w:color="auto"/>
            </w:tcBorders>
          </w:tcPr>
          <w:p w14:paraId="3442ED1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068F0C1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56</w:t>
            </w:r>
          </w:p>
        </w:tc>
        <w:tc>
          <w:tcPr>
            <w:tcW w:w="709" w:type="dxa"/>
            <w:tcBorders>
              <w:top w:val="nil"/>
              <w:left w:val="nil"/>
              <w:bottom w:val="single" w:sz="8" w:space="0" w:color="auto"/>
              <w:right w:val="single" w:sz="8" w:space="0" w:color="auto"/>
            </w:tcBorders>
          </w:tcPr>
          <w:p w14:paraId="38CE80D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653115A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86</w:t>
            </w:r>
          </w:p>
        </w:tc>
        <w:tc>
          <w:tcPr>
            <w:tcW w:w="850" w:type="dxa"/>
            <w:tcBorders>
              <w:top w:val="nil"/>
              <w:left w:val="nil"/>
              <w:bottom w:val="single" w:sz="8" w:space="0" w:color="auto"/>
              <w:right w:val="single" w:sz="8" w:space="0" w:color="auto"/>
            </w:tcBorders>
          </w:tcPr>
          <w:p w14:paraId="2717F92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5DBD954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709" w:type="dxa"/>
            <w:tcBorders>
              <w:top w:val="nil"/>
              <w:left w:val="nil"/>
              <w:bottom w:val="single" w:sz="8" w:space="0" w:color="auto"/>
              <w:right w:val="single" w:sz="8" w:space="0" w:color="auto"/>
            </w:tcBorders>
          </w:tcPr>
          <w:p w14:paraId="4D1464F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46</w:t>
            </w:r>
          </w:p>
        </w:tc>
        <w:tc>
          <w:tcPr>
            <w:tcW w:w="992" w:type="dxa"/>
            <w:tcBorders>
              <w:top w:val="nil"/>
              <w:left w:val="nil"/>
              <w:bottom w:val="single" w:sz="8" w:space="0" w:color="auto"/>
              <w:right w:val="single" w:sz="8" w:space="0" w:color="auto"/>
            </w:tcBorders>
          </w:tcPr>
          <w:p w14:paraId="2271221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8" w:space="0" w:color="auto"/>
              <w:right w:val="single" w:sz="8" w:space="0" w:color="000000"/>
            </w:tcBorders>
          </w:tcPr>
          <w:p w14:paraId="6936344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1946*</w:t>
            </w:r>
          </w:p>
        </w:tc>
        <w:tc>
          <w:tcPr>
            <w:tcW w:w="1275" w:type="dxa"/>
            <w:tcBorders>
              <w:top w:val="single" w:sz="8" w:space="0" w:color="auto"/>
              <w:left w:val="nil"/>
              <w:bottom w:val="single" w:sz="8" w:space="0" w:color="auto"/>
              <w:right w:val="single" w:sz="8" w:space="0" w:color="000000"/>
            </w:tcBorders>
          </w:tcPr>
          <w:p w14:paraId="5F7FA8A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nil"/>
            </w:tcBorders>
          </w:tcPr>
          <w:p w14:paraId="3F7534D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2032</w:t>
            </w:r>
          </w:p>
        </w:tc>
        <w:tc>
          <w:tcPr>
            <w:tcW w:w="1134" w:type="dxa"/>
            <w:tcBorders>
              <w:top w:val="single" w:sz="8" w:space="0" w:color="auto"/>
              <w:left w:val="nil"/>
              <w:bottom w:val="single" w:sz="8" w:space="0" w:color="auto"/>
              <w:right w:val="single" w:sz="12" w:space="0" w:color="000000"/>
            </w:tcBorders>
          </w:tcPr>
          <w:p w14:paraId="0E788B0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417A2F2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Roth et al., 1971</w:t>
            </w:r>
          </w:p>
        </w:tc>
      </w:tr>
      <w:tr w:rsidR="00632208" w:rsidRPr="0098635C" w14:paraId="2FB4B81C" w14:textId="77777777" w:rsidTr="00A432B0">
        <w:trPr>
          <w:trHeight w:val="64"/>
        </w:trPr>
        <w:tc>
          <w:tcPr>
            <w:tcW w:w="1647" w:type="dxa"/>
            <w:tcBorders>
              <w:top w:val="nil"/>
              <w:left w:val="single" w:sz="4" w:space="0" w:color="auto"/>
              <w:bottom w:val="single" w:sz="8" w:space="0" w:color="auto"/>
              <w:right w:val="single" w:sz="8" w:space="0" w:color="auto"/>
            </w:tcBorders>
          </w:tcPr>
          <w:p w14:paraId="4AC207FB"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Lolium perenne</w:t>
            </w:r>
          </w:p>
        </w:tc>
        <w:tc>
          <w:tcPr>
            <w:tcW w:w="1276" w:type="dxa"/>
            <w:tcBorders>
              <w:top w:val="nil"/>
              <w:left w:val="nil"/>
              <w:bottom w:val="single" w:sz="8" w:space="0" w:color="auto"/>
              <w:right w:val="single" w:sz="8" w:space="0" w:color="auto"/>
            </w:tcBorders>
          </w:tcPr>
          <w:p w14:paraId="10B8F3B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soil</w:t>
            </w:r>
          </w:p>
        </w:tc>
        <w:tc>
          <w:tcPr>
            <w:tcW w:w="425" w:type="dxa"/>
            <w:tcBorders>
              <w:top w:val="nil"/>
              <w:left w:val="nil"/>
              <w:bottom w:val="single" w:sz="8" w:space="0" w:color="auto"/>
              <w:right w:val="single" w:sz="8" w:space="0" w:color="auto"/>
            </w:tcBorders>
          </w:tcPr>
          <w:p w14:paraId="226A6A8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7.5</w:t>
            </w:r>
          </w:p>
        </w:tc>
        <w:tc>
          <w:tcPr>
            <w:tcW w:w="709" w:type="dxa"/>
            <w:tcBorders>
              <w:top w:val="nil"/>
              <w:left w:val="nil"/>
              <w:bottom w:val="single" w:sz="8" w:space="0" w:color="auto"/>
              <w:right w:val="single" w:sz="8" w:space="0" w:color="auto"/>
            </w:tcBorders>
          </w:tcPr>
          <w:p w14:paraId="6786907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3.1</w:t>
            </w:r>
          </w:p>
        </w:tc>
        <w:tc>
          <w:tcPr>
            <w:tcW w:w="709" w:type="dxa"/>
            <w:tcBorders>
              <w:top w:val="nil"/>
              <w:left w:val="nil"/>
              <w:bottom w:val="single" w:sz="8" w:space="0" w:color="auto"/>
              <w:right w:val="single" w:sz="8" w:space="0" w:color="auto"/>
            </w:tcBorders>
          </w:tcPr>
          <w:p w14:paraId="30611EF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12.8</w:t>
            </w:r>
          </w:p>
        </w:tc>
        <w:tc>
          <w:tcPr>
            <w:tcW w:w="709" w:type="dxa"/>
            <w:tcBorders>
              <w:top w:val="nil"/>
              <w:left w:val="nil"/>
              <w:bottom w:val="single" w:sz="8" w:space="0" w:color="auto"/>
              <w:right w:val="single" w:sz="8" w:space="0" w:color="auto"/>
            </w:tcBorders>
          </w:tcPr>
          <w:p w14:paraId="18EEB01F"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8" w:space="0" w:color="auto"/>
              <w:right w:val="single" w:sz="8" w:space="0" w:color="auto"/>
            </w:tcBorders>
          </w:tcPr>
          <w:p w14:paraId="17E7516F"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14</w:t>
            </w:r>
          </w:p>
        </w:tc>
        <w:tc>
          <w:tcPr>
            <w:tcW w:w="992" w:type="dxa"/>
            <w:tcBorders>
              <w:top w:val="nil"/>
              <w:left w:val="nil"/>
              <w:bottom w:val="single" w:sz="8" w:space="0" w:color="auto"/>
              <w:right w:val="single" w:sz="8" w:space="0" w:color="auto"/>
            </w:tcBorders>
          </w:tcPr>
          <w:p w14:paraId="202BBD5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490B2D9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102</w:t>
            </w:r>
          </w:p>
        </w:tc>
        <w:tc>
          <w:tcPr>
            <w:tcW w:w="992" w:type="dxa"/>
            <w:tcBorders>
              <w:top w:val="nil"/>
              <w:left w:val="nil"/>
              <w:bottom w:val="single" w:sz="8" w:space="0" w:color="auto"/>
              <w:right w:val="single" w:sz="8" w:space="0" w:color="auto"/>
            </w:tcBorders>
          </w:tcPr>
          <w:p w14:paraId="4CE0A6D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8" w:space="0" w:color="auto"/>
              <w:right w:val="single" w:sz="8" w:space="0" w:color="000000"/>
            </w:tcBorders>
          </w:tcPr>
          <w:p w14:paraId="616C52CD"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95.3</w:t>
            </w:r>
          </w:p>
        </w:tc>
        <w:tc>
          <w:tcPr>
            <w:tcW w:w="1275" w:type="dxa"/>
            <w:tcBorders>
              <w:top w:val="single" w:sz="8" w:space="0" w:color="auto"/>
              <w:left w:val="nil"/>
              <w:bottom w:val="single" w:sz="8" w:space="0" w:color="auto"/>
              <w:right w:val="single" w:sz="8" w:space="0" w:color="000000"/>
            </w:tcBorders>
          </w:tcPr>
          <w:p w14:paraId="13B1692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nil"/>
            </w:tcBorders>
          </w:tcPr>
          <w:p w14:paraId="181AC49F"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106</w:t>
            </w:r>
          </w:p>
        </w:tc>
        <w:tc>
          <w:tcPr>
            <w:tcW w:w="1134" w:type="dxa"/>
            <w:tcBorders>
              <w:top w:val="single" w:sz="8" w:space="0" w:color="auto"/>
              <w:left w:val="nil"/>
              <w:bottom w:val="single" w:sz="8" w:space="0" w:color="auto"/>
              <w:right w:val="single" w:sz="12" w:space="0" w:color="000000"/>
            </w:tcBorders>
          </w:tcPr>
          <w:p w14:paraId="55F5D2F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52AC1BD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Jarvis, 1978</w:t>
            </w:r>
          </w:p>
        </w:tc>
      </w:tr>
      <w:tr w:rsidR="00632208" w:rsidRPr="0098635C" w14:paraId="349FA7C6" w14:textId="77777777" w:rsidTr="00A432B0">
        <w:trPr>
          <w:trHeight w:val="64"/>
        </w:trPr>
        <w:tc>
          <w:tcPr>
            <w:tcW w:w="1647" w:type="dxa"/>
            <w:tcBorders>
              <w:top w:val="nil"/>
              <w:left w:val="single" w:sz="4" w:space="0" w:color="auto"/>
              <w:bottom w:val="single" w:sz="8" w:space="0" w:color="auto"/>
              <w:right w:val="single" w:sz="8" w:space="0" w:color="auto"/>
            </w:tcBorders>
          </w:tcPr>
          <w:p w14:paraId="4307DC12"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lastRenderedPageBreak/>
              <w:t>Lolium perenne</w:t>
            </w:r>
          </w:p>
        </w:tc>
        <w:tc>
          <w:tcPr>
            <w:tcW w:w="1276" w:type="dxa"/>
            <w:tcBorders>
              <w:top w:val="nil"/>
              <w:left w:val="nil"/>
              <w:bottom w:val="single" w:sz="8" w:space="0" w:color="auto"/>
              <w:right w:val="single" w:sz="8" w:space="0" w:color="auto"/>
            </w:tcBorders>
          </w:tcPr>
          <w:p w14:paraId="1F92667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soil</w:t>
            </w:r>
          </w:p>
        </w:tc>
        <w:tc>
          <w:tcPr>
            <w:tcW w:w="425" w:type="dxa"/>
            <w:tcBorders>
              <w:top w:val="nil"/>
              <w:left w:val="nil"/>
              <w:bottom w:val="single" w:sz="8" w:space="0" w:color="auto"/>
              <w:right w:val="single" w:sz="8" w:space="0" w:color="auto"/>
            </w:tcBorders>
          </w:tcPr>
          <w:p w14:paraId="4E71F1D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7.5</w:t>
            </w:r>
          </w:p>
        </w:tc>
        <w:tc>
          <w:tcPr>
            <w:tcW w:w="709" w:type="dxa"/>
            <w:tcBorders>
              <w:top w:val="nil"/>
              <w:left w:val="nil"/>
              <w:bottom w:val="single" w:sz="8" w:space="0" w:color="auto"/>
              <w:right w:val="single" w:sz="8" w:space="0" w:color="auto"/>
            </w:tcBorders>
          </w:tcPr>
          <w:p w14:paraId="0456D22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3.1</w:t>
            </w:r>
          </w:p>
        </w:tc>
        <w:tc>
          <w:tcPr>
            <w:tcW w:w="709" w:type="dxa"/>
            <w:tcBorders>
              <w:top w:val="nil"/>
              <w:left w:val="nil"/>
              <w:bottom w:val="single" w:sz="8" w:space="0" w:color="auto"/>
              <w:right w:val="single" w:sz="8" w:space="0" w:color="auto"/>
            </w:tcBorders>
          </w:tcPr>
          <w:p w14:paraId="11C97D0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12.8</w:t>
            </w:r>
          </w:p>
        </w:tc>
        <w:tc>
          <w:tcPr>
            <w:tcW w:w="709" w:type="dxa"/>
            <w:tcBorders>
              <w:top w:val="nil"/>
              <w:left w:val="nil"/>
              <w:bottom w:val="single" w:sz="8" w:space="0" w:color="auto"/>
              <w:right w:val="single" w:sz="8" w:space="0" w:color="auto"/>
            </w:tcBorders>
          </w:tcPr>
          <w:p w14:paraId="79CE8BB2"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8" w:space="0" w:color="auto"/>
              <w:right w:val="single" w:sz="8" w:space="0" w:color="auto"/>
            </w:tcBorders>
          </w:tcPr>
          <w:p w14:paraId="03D22C2C"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14</w:t>
            </w:r>
          </w:p>
        </w:tc>
        <w:tc>
          <w:tcPr>
            <w:tcW w:w="992" w:type="dxa"/>
            <w:tcBorders>
              <w:top w:val="nil"/>
              <w:left w:val="nil"/>
              <w:bottom w:val="single" w:sz="8" w:space="0" w:color="auto"/>
              <w:right w:val="single" w:sz="8" w:space="0" w:color="auto"/>
            </w:tcBorders>
          </w:tcPr>
          <w:p w14:paraId="30F534E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49FA6B9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102</w:t>
            </w:r>
          </w:p>
        </w:tc>
        <w:tc>
          <w:tcPr>
            <w:tcW w:w="992" w:type="dxa"/>
            <w:tcBorders>
              <w:top w:val="nil"/>
              <w:left w:val="nil"/>
              <w:bottom w:val="single" w:sz="8" w:space="0" w:color="auto"/>
              <w:right w:val="single" w:sz="8" w:space="0" w:color="auto"/>
            </w:tcBorders>
          </w:tcPr>
          <w:p w14:paraId="26FF31A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y(r)</w:t>
            </w:r>
          </w:p>
        </w:tc>
        <w:tc>
          <w:tcPr>
            <w:tcW w:w="993" w:type="dxa"/>
            <w:tcBorders>
              <w:top w:val="single" w:sz="8" w:space="0" w:color="auto"/>
              <w:left w:val="nil"/>
              <w:bottom w:val="single" w:sz="8" w:space="0" w:color="auto"/>
              <w:right w:val="single" w:sz="8" w:space="0" w:color="000000"/>
            </w:tcBorders>
          </w:tcPr>
          <w:p w14:paraId="27201E9F"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95.3</w:t>
            </w:r>
          </w:p>
        </w:tc>
        <w:tc>
          <w:tcPr>
            <w:tcW w:w="1275" w:type="dxa"/>
            <w:tcBorders>
              <w:top w:val="single" w:sz="8" w:space="0" w:color="auto"/>
              <w:left w:val="nil"/>
              <w:bottom w:val="single" w:sz="8" w:space="0" w:color="auto"/>
              <w:right w:val="single" w:sz="8" w:space="0" w:color="000000"/>
            </w:tcBorders>
          </w:tcPr>
          <w:p w14:paraId="16437C8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nil"/>
            </w:tcBorders>
          </w:tcPr>
          <w:p w14:paraId="360CF473"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106</w:t>
            </w:r>
          </w:p>
        </w:tc>
        <w:tc>
          <w:tcPr>
            <w:tcW w:w="1134" w:type="dxa"/>
            <w:tcBorders>
              <w:top w:val="single" w:sz="8" w:space="0" w:color="auto"/>
              <w:left w:val="nil"/>
              <w:bottom w:val="single" w:sz="8" w:space="0" w:color="auto"/>
              <w:right w:val="single" w:sz="12" w:space="0" w:color="000000"/>
            </w:tcBorders>
          </w:tcPr>
          <w:p w14:paraId="2A0ABC7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78ECEF2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Jarvis, 1978</w:t>
            </w:r>
          </w:p>
        </w:tc>
      </w:tr>
      <w:tr w:rsidR="00632208" w:rsidRPr="0098635C" w14:paraId="65C28F43" w14:textId="77777777" w:rsidTr="00A432B0">
        <w:trPr>
          <w:trHeight w:val="64"/>
        </w:trPr>
        <w:tc>
          <w:tcPr>
            <w:tcW w:w="1647" w:type="dxa"/>
            <w:vMerge w:val="restart"/>
            <w:tcBorders>
              <w:top w:val="nil"/>
              <w:left w:val="single" w:sz="8" w:space="0" w:color="auto"/>
              <w:bottom w:val="single" w:sz="8" w:space="0" w:color="000000"/>
              <w:right w:val="single" w:sz="8" w:space="0" w:color="auto"/>
            </w:tcBorders>
          </w:tcPr>
          <w:p w14:paraId="6BF43377"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Hordeum vulgare</w:t>
            </w:r>
          </w:p>
        </w:tc>
        <w:tc>
          <w:tcPr>
            <w:tcW w:w="1276" w:type="dxa"/>
            <w:vMerge w:val="restart"/>
            <w:tcBorders>
              <w:top w:val="nil"/>
              <w:left w:val="single" w:sz="8" w:space="0" w:color="auto"/>
              <w:bottom w:val="single" w:sz="8" w:space="0" w:color="000000"/>
              <w:right w:val="single" w:sz="8" w:space="0" w:color="auto"/>
            </w:tcBorders>
          </w:tcPr>
          <w:p w14:paraId="1267429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Forest soil</w:t>
            </w:r>
          </w:p>
        </w:tc>
        <w:tc>
          <w:tcPr>
            <w:tcW w:w="425" w:type="dxa"/>
            <w:vMerge w:val="restart"/>
            <w:tcBorders>
              <w:top w:val="nil"/>
              <w:left w:val="single" w:sz="8" w:space="0" w:color="auto"/>
              <w:bottom w:val="single" w:sz="8" w:space="0" w:color="000000"/>
              <w:right w:val="single" w:sz="8" w:space="0" w:color="auto"/>
            </w:tcBorders>
          </w:tcPr>
          <w:p w14:paraId="1E722CC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7.6</w:t>
            </w:r>
          </w:p>
        </w:tc>
        <w:tc>
          <w:tcPr>
            <w:tcW w:w="709" w:type="dxa"/>
            <w:vMerge w:val="restart"/>
            <w:tcBorders>
              <w:top w:val="nil"/>
              <w:left w:val="single" w:sz="8" w:space="0" w:color="auto"/>
              <w:bottom w:val="single" w:sz="8" w:space="0" w:color="000000"/>
              <w:right w:val="single" w:sz="8" w:space="0" w:color="auto"/>
            </w:tcBorders>
          </w:tcPr>
          <w:p w14:paraId="1D2C1E7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3.8</w:t>
            </w:r>
          </w:p>
        </w:tc>
        <w:tc>
          <w:tcPr>
            <w:tcW w:w="709" w:type="dxa"/>
            <w:vMerge w:val="restart"/>
            <w:tcBorders>
              <w:top w:val="nil"/>
              <w:left w:val="single" w:sz="8" w:space="0" w:color="auto"/>
              <w:bottom w:val="single" w:sz="8" w:space="0" w:color="000000"/>
              <w:right w:val="single" w:sz="8" w:space="0" w:color="auto"/>
            </w:tcBorders>
          </w:tcPr>
          <w:p w14:paraId="409A7F9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w:t>
            </w:r>
          </w:p>
        </w:tc>
        <w:tc>
          <w:tcPr>
            <w:tcW w:w="709" w:type="dxa"/>
            <w:vMerge w:val="restart"/>
            <w:tcBorders>
              <w:top w:val="nil"/>
              <w:left w:val="single" w:sz="8" w:space="0" w:color="auto"/>
              <w:bottom w:val="single" w:sz="8" w:space="0" w:color="000000"/>
              <w:right w:val="single" w:sz="8" w:space="0" w:color="auto"/>
            </w:tcBorders>
          </w:tcPr>
          <w:p w14:paraId="021DD06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17.2</w:t>
            </w:r>
          </w:p>
        </w:tc>
        <w:tc>
          <w:tcPr>
            <w:tcW w:w="850" w:type="dxa"/>
            <w:vMerge w:val="restart"/>
            <w:tcBorders>
              <w:top w:val="nil"/>
              <w:left w:val="single" w:sz="8" w:space="0" w:color="auto"/>
              <w:bottom w:val="single" w:sz="8" w:space="0" w:color="000000"/>
              <w:right w:val="single" w:sz="8" w:space="0" w:color="auto"/>
            </w:tcBorders>
          </w:tcPr>
          <w:p w14:paraId="4CD18FC8"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12.4</w:t>
            </w:r>
          </w:p>
        </w:tc>
        <w:tc>
          <w:tcPr>
            <w:tcW w:w="992" w:type="dxa"/>
            <w:vMerge w:val="restart"/>
            <w:tcBorders>
              <w:top w:val="nil"/>
              <w:left w:val="single" w:sz="8" w:space="0" w:color="auto"/>
              <w:bottom w:val="single" w:sz="8" w:space="0" w:color="000000"/>
              <w:right w:val="single" w:sz="8" w:space="0" w:color="auto"/>
            </w:tcBorders>
          </w:tcPr>
          <w:p w14:paraId="1E85CF9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0</w:t>
            </w:r>
          </w:p>
        </w:tc>
        <w:tc>
          <w:tcPr>
            <w:tcW w:w="709" w:type="dxa"/>
            <w:vMerge w:val="restart"/>
            <w:tcBorders>
              <w:top w:val="nil"/>
              <w:left w:val="single" w:sz="8" w:space="0" w:color="auto"/>
              <w:bottom w:val="single" w:sz="8" w:space="0" w:color="000000"/>
              <w:right w:val="single" w:sz="8" w:space="0" w:color="auto"/>
            </w:tcBorders>
          </w:tcPr>
          <w:p w14:paraId="0E7A905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w:t>
            </w:r>
          </w:p>
        </w:tc>
        <w:tc>
          <w:tcPr>
            <w:tcW w:w="992" w:type="dxa"/>
            <w:tcBorders>
              <w:top w:val="nil"/>
              <w:left w:val="nil"/>
              <w:bottom w:val="nil"/>
              <w:right w:val="single" w:sz="8" w:space="0" w:color="auto"/>
            </w:tcBorders>
          </w:tcPr>
          <w:p w14:paraId="0F00B02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g(s)</w:t>
            </w:r>
          </w:p>
        </w:tc>
        <w:tc>
          <w:tcPr>
            <w:tcW w:w="993" w:type="dxa"/>
            <w:tcBorders>
              <w:top w:val="single" w:sz="8" w:space="0" w:color="auto"/>
              <w:left w:val="nil"/>
              <w:bottom w:val="nil"/>
              <w:right w:val="single" w:sz="8" w:space="0" w:color="000000"/>
            </w:tcBorders>
          </w:tcPr>
          <w:p w14:paraId="287196E4"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304.8</w:t>
            </w:r>
          </w:p>
        </w:tc>
        <w:tc>
          <w:tcPr>
            <w:tcW w:w="1275" w:type="dxa"/>
            <w:vMerge w:val="restart"/>
            <w:tcBorders>
              <w:top w:val="single" w:sz="8" w:space="0" w:color="auto"/>
              <w:left w:val="single" w:sz="8" w:space="0" w:color="auto"/>
              <w:bottom w:val="single" w:sz="8" w:space="0" w:color="000000"/>
              <w:right w:val="single" w:sz="8" w:space="0" w:color="000000"/>
            </w:tcBorders>
          </w:tcPr>
          <w:p w14:paraId="28B6657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tcBorders>
          </w:tcPr>
          <w:p w14:paraId="785E9E3A"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322</w:t>
            </w:r>
          </w:p>
        </w:tc>
        <w:tc>
          <w:tcPr>
            <w:tcW w:w="1134" w:type="dxa"/>
            <w:vMerge w:val="restart"/>
            <w:tcBorders>
              <w:top w:val="single" w:sz="8" w:space="0" w:color="auto"/>
              <w:right w:val="single" w:sz="4" w:space="0" w:color="auto"/>
            </w:tcBorders>
          </w:tcPr>
          <w:p w14:paraId="60E912C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single" w:sz="4" w:space="0" w:color="auto"/>
              <w:right w:val="single" w:sz="4" w:space="0" w:color="auto"/>
            </w:tcBorders>
          </w:tcPr>
          <w:p w14:paraId="688231E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Ali et al, 2004</w:t>
            </w:r>
          </w:p>
        </w:tc>
      </w:tr>
      <w:tr w:rsidR="00632208" w:rsidRPr="0098635C" w14:paraId="55F4C28C" w14:textId="77777777" w:rsidTr="00A432B0">
        <w:trPr>
          <w:trHeight w:val="64"/>
        </w:trPr>
        <w:tc>
          <w:tcPr>
            <w:tcW w:w="1647" w:type="dxa"/>
            <w:vMerge/>
            <w:tcBorders>
              <w:top w:val="nil"/>
              <w:left w:val="single" w:sz="8" w:space="0" w:color="auto"/>
              <w:bottom w:val="single" w:sz="8" w:space="0" w:color="000000"/>
              <w:right w:val="single" w:sz="8" w:space="0" w:color="auto"/>
            </w:tcBorders>
            <w:vAlign w:val="center"/>
          </w:tcPr>
          <w:p w14:paraId="73FEFDB0" w14:textId="77777777" w:rsidR="00632208" w:rsidRPr="0098635C" w:rsidRDefault="00632208" w:rsidP="00A432B0">
            <w:pPr>
              <w:spacing w:after="0"/>
              <w:rPr>
                <w:rFonts w:ascii="Arial Narrow" w:hAnsi="Arial Narrow" w:cs="Arial Narrow"/>
                <w:i/>
                <w:iCs/>
                <w:color w:val="000000" w:themeColor="text1"/>
                <w:sz w:val="20"/>
                <w:szCs w:val="20"/>
              </w:rPr>
            </w:pPr>
          </w:p>
        </w:tc>
        <w:tc>
          <w:tcPr>
            <w:tcW w:w="1276" w:type="dxa"/>
            <w:vMerge/>
            <w:tcBorders>
              <w:top w:val="nil"/>
              <w:left w:val="single" w:sz="8" w:space="0" w:color="auto"/>
              <w:bottom w:val="single" w:sz="8" w:space="0" w:color="000000"/>
              <w:right w:val="single" w:sz="8" w:space="0" w:color="auto"/>
            </w:tcBorders>
            <w:vAlign w:val="center"/>
          </w:tcPr>
          <w:p w14:paraId="18574EE9" w14:textId="77777777" w:rsidR="00632208" w:rsidRPr="0098635C" w:rsidRDefault="00632208" w:rsidP="00A432B0">
            <w:pPr>
              <w:spacing w:after="0"/>
              <w:rPr>
                <w:rFonts w:ascii="Arial Narrow" w:hAnsi="Arial Narrow" w:cs="Arial Narrow"/>
                <w:color w:val="000000" w:themeColor="text1"/>
                <w:sz w:val="20"/>
                <w:szCs w:val="20"/>
              </w:rPr>
            </w:pPr>
          </w:p>
        </w:tc>
        <w:tc>
          <w:tcPr>
            <w:tcW w:w="425" w:type="dxa"/>
            <w:vMerge/>
            <w:tcBorders>
              <w:top w:val="nil"/>
              <w:left w:val="single" w:sz="8" w:space="0" w:color="auto"/>
              <w:bottom w:val="single" w:sz="8" w:space="0" w:color="000000"/>
              <w:right w:val="single" w:sz="8" w:space="0" w:color="auto"/>
            </w:tcBorders>
            <w:vAlign w:val="center"/>
          </w:tcPr>
          <w:p w14:paraId="687B11CA"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546667B8"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77A5E8EA"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32E54881" w14:textId="77777777" w:rsidR="00632208" w:rsidRPr="0098635C" w:rsidRDefault="00632208" w:rsidP="00A432B0">
            <w:pPr>
              <w:spacing w:after="0"/>
              <w:rPr>
                <w:rFonts w:ascii="Arial Narrow" w:hAnsi="Arial Narrow" w:cs="Arial Narrow"/>
                <w:color w:val="000000" w:themeColor="text1"/>
                <w:sz w:val="20"/>
                <w:szCs w:val="20"/>
              </w:rPr>
            </w:pPr>
          </w:p>
        </w:tc>
        <w:tc>
          <w:tcPr>
            <w:tcW w:w="850" w:type="dxa"/>
            <w:vMerge/>
            <w:tcBorders>
              <w:top w:val="nil"/>
              <w:left w:val="single" w:sz="8" w:space="0" w:color="auto"/>
              <w:bottom w:val="single" w:sz="8" w:space="0" w:color="000000"/>
              <w:right w:val="single" w:sz="8" w:space="0" w:color="auto"/>
            </w:tcBorders>
            <w:vAlign w:val="center"/>
          </w:tcPr>
          <w:p w14:paraId="211B3B22" w14:textId="77777777" w:rsidR="00632208" w:rsidRPr="0098635C" w:rsidRDefault="00632208" w:rsidP="00A432B0">
            <w:pPr>
              <w:spacing w:after="0"/>
              <w:rPr>
                <w:rFonts w:ascii="Arial Narrow" w:hAnsi="Arial Narrow" w:cs="Arial Narrow"/>
                <w:i/>
                <w:iCs/>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2CB838A8"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32624C70"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tcBorders>
              <w:top w:val="nil"/>
              <w:left w:val="nil"/>
              <w:bottom w:val="nil"/>
              <w:right w:val="single" w:sz="8" w:space="0" w:color="auto"/>
            </w:tcBorders>
          </w:tcPr>
          <w:p w14:paraId="001B428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g(r)</w:t>
            </w:r>
          </w:p>
        </w:tc>
        <w:tc>
          <w:tcPr>
            <w:tcW w:w="993" w:type="dxa"/>
            <w:tcBorders>
              <w:top w:val="nil"/>
              <w:left w:val="nil"/>
              <w:bottom w:val="nil"/>
              <w:right w:val="single" w:sz="8" w:space="0" w:color="000000"/>
            </w:tcBorders>
          </w:tcPr>
          <w:p w14:paraId="30D2EBDD"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20.2</w:t>
            </w:r>
          </w:p>
        </w:tc>
        <w:tc>
          <w:tcPr>
            <w:tcW w:w="1275" w:type="dxa"/>
            <w:vMerge/>
            <w:tcBorders>
              <w:top w:val="single" w:sz="8" w:space="0" w:color="auto"/>
              <w:left w:val="single" w:sz="8" w:space="0" w:color="auto"/>
              <w:bottom w:val="single" w:sz="8" w:space="0" w:color="000000"/>
              <w:right w:val="single" w:sz="8" w:space="0" w:color="000000"/>
            </w:tcBorders>
            <w:vAlign w:val="center"/>
          </w:tcPr>
          <w:p w14:paraId="26AF3C14"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tcBorders>
              <w:top w:val="nil"/>
              <w:left w:val="nil"/>
              <w:bottom w:val="nil"/>
            </w:tcBorders>
          </w:tcPr>
          <w:p w14:paraId="2BA0955F"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37.4</w:t>
            </w:r>
          </w:p>
        </w:tc>
        <w:tc>
          <w:tcPr>
            <w:tcW w:w="1134" w:type="dxa"/>
            <w:vMerge/>
            <w:tcBorders>
              <w:top w:val="nil"/>
              <w:bottom w:val="nil"/>
              <w:right w:val="single" w:sz="4" w:space="0" w:color="auto"/>
            </w:tcBorders>
            <w:vAlign w:val="center"/>
          </w:tcPr>
          <w:p w14:paraId="4A8F29A3"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tcBorders>
              <w:top w:val="nil"/>
              <w:left w:val="single" w:sz="4" w:space="0" w:color="auto"/>
              <w:bottom w:val="nil"/>
              <w:right w:val="single" w:sz="4" w:space="0" w:color="auto"/>
            </w:tcBorders>
          </w:tcPr>
          <w:p w14:paraId="713D4108" w14:textId="77777777" w:rsidR="00632208" w:rsidRPr="0098635C" w:rsidRDefault="00632208" w:rsidP="00A432B0">
            <w:pPr>
              <w:spacing w:after="0"/>
              <w:rPr>
                <w:rFonts w:ascii="Arial Narrow" w:hAnsi="Arial Narrow" w:cs="Arial Narrow"/>
                <w:color w:val="000000" w:themeColor="text1"/>
                <w:sz w:val="20"/>
                <w:szCs w:val="20"/>
              </w:rPr>
            </w:pPr>
          </w:p>
        </w:tc>
      </w:tr>
      <w:tr w:rsidR="00632208" w:rsidRPr="0098635C" w14:paraId="4BF35EA8" w14:textId="77777777" w:rsidTr="00A432B0">
        <w:trPr>
          <w:trHeight w:val="64"/>
        </w:trPr>
        <w:tc>
          <w:tcPr>
            <w:tcW w:w="1647" w:type="dxa"/>
            <w:vMerge/>
            <w:tcBorders>
              <w:top w:val="nil"/>
              <w:left w:val="single" w:sz="8" w:space="0" w:color="auto"/>
              <w:bottom w:val="single" w:sz="8" w:space="0" w:color="000000"/>
              <w:right w:val="single" w:sz="8" w:space="0" w:color="auto"/>
            </w:tcBorders>
            <w:vAlign w:val="center"/>
          </w:tcPr>
          <w:p w14:paraId="29D84B67" w14:textId="77777777" w:rsidR="00632208" w:rsidRPr="0098635C" w:rsidRDefault="00632208" w:rsidP="00A432B0">
            <w:pPr>
              <w:spacing w:after="0"/>
              <w:rPr>
                <w:rFonts w:ascii="Arial Narrow" w:hAnsi="Arial Narrow" w:cs="Arial Narrow"/>
                <w:i/>
                <w:iCs/>
                <w:color w:val="000000" w:themeColor="text1"/>
                <w:sz w:val="20"/>
                <w:szCs w:val="20"/>
              </w:rPr>
            </w:pPr>
          </w:p>
        </w:tc>
        <w:tc>
          <w:tcPr>
            <w:tcW w:w="1276" w:type="dxa"/>
            <w:vMerge/>
            <w:tcBorders>
              <w:top w:val="nil"/>
              <w:left w:val="single" w:sz="8" w:space="0" w:color="auto"/>
              <w:bottom w:val="single" w:sz="8" w:space="0" w:color="000000"/>
              <w:right w:val="single" w:sz="8" w:space="0" w:color="auto"/>
            </w:tcBorders>
            <w:vAlign w:val="center"/>
          </w:tcPr>
          <w:p w14:paraId="69D18063" w14:textId="77777777" w:rsidR="00632208" w:rsidRPr="0098635C" w:rsidRDefault="00632208" w:rsidP="00A432B0">
            <w:pPr>
              <w:spacing w:after="0"/>
              <w:rPr>
                <w:rFonts w:ascii="Arial Narrow" w:hAnsi="Arial Narrow" w:cs="Arial Narrow"/>
                <w:color w:val="000000" w:themeColor="text1"/>
                <w:sz w:val="20"/>
                <w:szCs w:val="20"/>
              </w:rPr>
            </w:pPr>
          </w:p>
        </w:tc>
        <w:tc>
          <w:tcPr>
            <w:tcW w:w="425" w:type="dxa"/>
            <w:vMerge/>
            <w:tcBorders>
              <w:top w:val="nil"/>
              <w:left w:val="single" w:sz="8" w:space="0" w:color="auto"/>
              <w:bottom w:val="single" w:sz="8" w:space="0" w:color="000000"/>
              <w:right w:val="single" w:sz="8" w:space="0" w:color="auto"/>
            </w:tcBorders>
            <w:vAlign w:val="center"/>
          </w:tcPr>
          <w:p w14:paraId="25374B3B"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554DD42C"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25D18F9A"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737EC4D5" w14:textId="77777777" w:rsidR="00632208" w:rsidRPr="0098635C" w:rsidRDefault="00632208" w:rsidP="00A432B0">
            <w:pPr>
              <w:spacing w:after="0"/>
              <w:rPr>
                <w:rFonts w:ascii="Arial Narrow" w:hAnsi="Arial Narrow" w:cs="Arial Narrow"/>
                <w:color w:val="000000" w:themeColor="text1"/>
                <w:sz w:val="20"/>
                <w:szCs w:val="20"/>
              </w:rPr>
            </w:pPr>
          </w:p>
        </w:tc>
        <w:tc>
          <w:tcPr>
            <w:tcW w:w="850" w:type="dxa"/>
            <w:vMerge/>
            <w:tcBorders>
              <w:top w:val="nil"/>
              <w:left w:val="single" w:sz="8" w:space="0" w:color="auto"/>
              <w:bottom w:val="single" w:sz="8" w:space="0" w:color="000000"/>
              <w:right w:val="single" w:sz="8" w:space="0" w:color="auto"/>
            </w:tcBorders>
            <w:vAlign w:val="center"/>
          </w:tcPr>
          <w:p w14:paraId="615220EE" w14:textId="77777777" w:rsidR="00632208" w:rsidRPr="0098635C" w:rsidRDefault="00632208" w:rsidP="00A432B0">
            <w:pPr>
              <w:spacing w:after="0"/>
              <w:rPr>
                <w:rFonts w:ascii="Arial Narrow" w:hAnsi="Arial Narrow" w:cs="Arial Narrow"/>
                <w:i/>
                <w:iCs/>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26C6268D"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1AC1ABC4"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tcBorders>
              <w:top w:val="nil"/>
              <w:left w:val="nil"/>
              <w:bottom w:val="single" w:sz="8" w:space="0" w:color="auto"/>
              <w:right w:val="single" w:sz="8" w:space="0" w:color="auto"/>
            </w:tcBorders>
          </w:tcPr>
          <w:p w14:paraId="12E74F0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se</w:t>
            </w:r>
          </w:p>
        </w:tc>
        <w:tc>
          <w:tcPr>
            <w:tcW w:w="993" w:type="dxa"/>
            <w:tcBorders>
              <w:top w:val="nil"/>
              <w:left w:val="nil"/>
              <w:bottom w:val="single" w:sz="8" w:space="0" w:color="auto"/>
              <w:right w:val="single" w:sz="8" w:space="0" w:color="000000"/>
            </w:tcBorders>
          </w:tcPr>
          <w:p w14:paraId="4ED07F30"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111.8</w:t>
            </w:r>
          </w:p>
        </w:tc>
        <w:tc>
          <w:tcPr>
            <w:tcW w:w="1275" w:type="dxa"/>
            <w:vMerge/>
            <w:tcBorders>
              <w:top w:val="single" w:sz="8" w:space="0" w:color="auto"/>
              <w:left w:val="single" w:sz="8" w:space="0" w:color="auto"/>
              <w:bottom w:val="single" w:sz="8" w:space="0" w:color="000000"/>
              <w:right w:val="single" w:sz="8" w:space="0" w:color="000000"/>
            </w:tcBorders>
            <w:vAlign w:val="center"/>
          </w:tcPr>
          <w:p w14:paraId="2FAC29A2"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tcBorders>
              <w:top w:val="nil"/>
              <w:left w:val="nil"/>
              <w:bottom w:val="single" w:sz="8" w:space="0" w:color="auto"/>
            </w:tcBorders>
          </w:tcPr>
          <w:p w14:paraId="7AC5F37B"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129</w:t>
            </w:r>
          </w:p>
        </w:tc>
        <w:tc>
          <w:tcPr>
            <w:tcW w:w="1134" w:type="dxa"/>
            <w:vMerge/>
            <w:tcBorders>
              <w:top w:val="nil"/>
              <w:bottom w:val="single" w:sz="8" w:space="0" w:color="auto"/>
              <w:right w:val="single" w:sz="4" w:space="0" w:color="auto"/>
            </w:tcBorders>
            <w:vAlign w:val="center"/>
          </w:tcPr>
          <w:p w14:paraId="171AA867"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tcBorders>
              <w:top w:val="nil"/>
              <w:left w:val="single" w:sz="4" w:space="0" w:color="auto"/>
              <w:bottom w:val="single" w:sz="8" w:space="0" w:color="auto"/>
              <w:right w:val="single" w:sz="4" w:space="0" w:color="auto"/>
            </w:tcBorders>
          </w:tcPr>
          <w:p w14:paraId="74BB2E7D" w14:textId="77777777" w:rsidR="00632208" w:rsidRPr="0098635C" w:rsidRDefault="00632208" w:rsidP="00A432B0">
            <w:pPr>
              <w:spacing w:after="0"/>
              <w:rPr>
                <w:rFonts w:ascii="Arial Narrow" w:hAnsi="Arial Narrow" w:cs="Arial Narrow"/>
                <w:color w:val="000000" w:themeColor="text1"/>
                <w:sz w:val="20"/>
                <w:szCs w:val="20"/>
              </w:rPr>
            </w:pPr>
          </w:p>
        </w:tc>
      </w:tr>
      <w:tr w:rsidR="00632208" w:rsidRPr="0098635C" w14:paraId="1802F129" w14:textId="77777777" w:rsidTr="00A432B0">
        <w:trPr>
          <w:trHeight w:val="64"/>
        </w:trPr>
        <w:tc>
          <w:tcPr>
            <w:tcW w:w="1647" w:type="dxa"/>
            <w:vMerge w:val="restart"/>
            <w:tcBorders>
              <w:top w:val="nil"/>
              <w:left w:val="single" w:sz="8" w:space="0" w:color="auto"/>
              <w:bottom w:val="single" w:sz="8" w:space="0" w:color="000000"/>
              <w:right w:val="single" w:sz="8" w:space="0" w:color="auto"/>
            </w:tcBorders>
          </w:tcPr>
          <w:p w14:paraId="52832693"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Hordeum vulgare</w:t>
            </w:r>
          </w:p>
        </w:tc>
        <w:tc>
          <w:tcPr>
            <w:tcW w:w="1276" w:type="dxa"/>
            <w:vMerge w:val="restart"/>
            <w:tcBorders>
              <w:top w:val="nil"/>
              <w:left w:val="single" w:sz="8" w:space="0" w:color="auto"/>
              <w:bottom w:val="single" w:sz="8" w:space="0" w:color="000000"/>
              <w:right w:val="single" w:sz="8" w:space="0" w:color="auto"/>
            </w:tcBorders>
          </w:tcPr>
          <w:p w14:paraId="0C6BC38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Artificial soil</w:t>
            </w:r>
          </w:p>
        </w:tc>
        <w:tc>
          <w:tcPr>
            <w:tcW w:w="425" w:type="dxa"/>
            <w:vMerge w:val="restart"/>
            <w:tcBorders>
              <w:top w:val="nil"/>
              <w:left w:val="single" w:sz="8" w:space="0" w:color="auto"/>
              <w:bottom w:val="single" w:sz="8" w:space="0" w:color="000000"/>
              <w:right w:val="single" w:sz="8" w:space="0" w:color="auto"/>
            </w:tcBorders>
          </w:tcPr>
          <w:p w14:paraId="1D39AC2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7.8</w:t>
            </w:r>
          </w:p>
        </w:tc>
        <w:tc>
          <w:tcPr>
            <w:tcW w:w="709" w:type="dxa"/>
            <w:vMerge w:val="restart"/>
            <w:tcBorders>
              <w:top w:val="nil"/>
              <w:left w:val="single" w:sz="8" w:space="0" w:color="auto"/>
              <w:bottom w:val="single" w:sz="8" w:space="0" w:color="000000"/>
              <w:right w:val="single" w:sz="8" w:space="0" w:color="auto"/>
            </w:tcBorders>
          </w:tcPr>
          <w:p w14:paraId="488E02E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0.3</w:t>
            </w:r>
          </w:p>
        </w:tc>
        <w:tc>
          <w:tcPr>
            <w:tcW w:w="709" w:type="dxa"/>
            <w:vMerge w:val="restart"/>
            <w:tcBorders>
              <w:top w:val="nil"/>
              <w:left w:val="single" w:sz="8" w:space="0" w:color="auto"/>
              <w:bottom w:val="single" w:sz="8" w:space="0" w:color="000000"/>
              <w:right w:val="single" w:sz="8" w:space="0" w:color="auto"/>
            </w:tcBorders>
          </w:tcPr>
          <w:p w14:paraId="0B12FEC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0</w:t>
            </w:r>
          </w:p>
        </w:tc>
        <w:tc>
          <w:tcPr>
            <w:tcW w:w="709" w:type="dxa"/>
            <w:vMerge w:val="restart"/>
            <w:tcBorders>
              <w:top w:val="nil"/>
              <w:left w:val="single" w:sz="8" w:space="0" w:color="auto"/>
              <w:bottom w:val="single" w:sz="8" w:space="0" w:color="000000"/>
              <w:right w:val="single" w:sz="8" w:space="0" w:color="auto"/>
            </w:tcBorders>
          </w:tcPr>
          <w:p w14:paraId="72C44F4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0</w:t>
            </w:r>
          </w:p>
        </w:tc>
        <w:tc>
          <w:tcPr>
            <w:tcW w:w="850" w:type="dxa"/>
            <w:vMerge w:val="restart"/>
            <w:tcBorders>
              <w:top w:val="nil"/>
              <w:left w:val="single" w:sz="8" w:space="0" w:color="auto"/>
              <w:bottom w:val="single" w:sz="8" w:space="0" w:color="000000"/>
              <w:right w:val="single" w:sz="8" w:space="0" w:color="auto"/>
            </w:tcBorders>
          </w:tcPr>
          <w:p w14:paraId="70238D0C"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0.6</w:t>
            </w:r>
          </w:p>
        </w:tc>
        <w:tc>
          <w:tcPr>
            <w:tcW w:w="992" w:type="dxa"/>
            <w:vMerge w:val="restart"/>
            <w:tcBorders>
              <w:top w:val="nil"/>
              <w:left w:val="single" w:sz="8" w:space="0" w:color="auto"/>
              <w:bottom w:val="single" w:sz="8" w:space="0" w:color="000000"/>
              <w:right w:val="single" w:sz="8" w:space="0" w:color="auto"/>
            </w:tcBorders>
          </w:tcPr>
          <w:p w14:paraId="1EE6EF3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0</w:t>
            </w:r>
          </w:p>
        </w:tc>
        <w:tc>
          <w:tcPr>
            <w:tcW w:w="709" w:type="dxa"/>
            <w:vMerge w:val="restart"/>
            <w:tcBorders>
              <w:top w:val="nil"/>
              <w:left w:val="single" w:sz="8" w:space="0" w:color="auto"/>
              <w:bottom w:val="single" w:sz="8" w:space="0" w:color="000000"/>
              <w:right w:val="single" w:sz="8" w:space="0" w:color="auto"/>
            </w:tcBorders>
          </w:tcPr>
          <w:p w14:paraId="1C749D9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w:t>
            </w:r>
          </w:p>
        </w:tc>
        <w:tc>
          <w:tcPr>
            <w:tcW w:w="992" w:type="dxa"/>
            <w:tcBorders>
              <w:top w:val="nil"/>
              <w:left w:val="nil"/>
              <w:bottom w:val="nil"/>
              <w:right w:val="single" w:sz="8" w:space="0" w:color="auto"/>
            </w:tcBorders>
          </w:tcPr>
          <w:p w14:paraId="40CED76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g(s)</w:t>
            </w:r>
          </w:p>
        </w:tc>
        <w:tc>
          <w:tcPr>
            <w:tcW w:w="993" w:type="dxa"/>
            <w:tcBorders>
              <w:top w:val="single" w:sz="8" w:space="0" w:color="auto"/>
              <w:left w:val="nil"/>
              <w:bottom w:val="nil"/>
              <w:right w:val="single" w:sz="8" w:space="0" w:color="000000"/>
            </w:tcBorders>
          </w:tcPr>
          <w:p w14:paraId="5A29E4E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11.2</w:t>
            </w:r>
          </w:p>
        </w:tc>
        <w:tc>
          <w:tcPr>
            <w:tcW w:w="1275" w:type="dxa"/>
            <w:vMerge w:val="restart"/>
            <w:tcBorders>
              <w:top w:val="single" w:sz="8" w:space="0" w:color="auto"/>
              <w:left w:val="single" w:sz="8" w:space="0" w:color="auto"/>
              <w:bottom w:val="single" w:sz="8" w:space="0" w:color="000000"/>
              <w:right w:val="single" w:sz="8" w:space="0" w:color="000000"/>
            </w:tcBorders>
          </w:tcPr>
          <w:p w14:paraId="143E658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tcBorders>
          </w:tcPr>
          <w:p w14:paraId="38C8D09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11.2</w:t>
            </w:r>
          </w:p>
        </w:tc>
        <w:tc>
          <w:tcPr>
            <w:tcW w:w="1134" w:type="dxa"/>
            <w:vMerge w:val="restart"/>
            <w:tcBorders>
              <w:top w:val="single" w:sz="8" w:space="0" w:color="auto"/>
              <w:right w:val="single" w:sz="4" w:space="0" w:color="auto"/>
            </w:tcBorders>
          </w:tcPr>
          <w:p w14:paraId="0AF6283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single" w:sz="4" w:space="0" w:color="auto"/>
              <w:right w:val="single" w:sz="4" w:space="0" w:color="auto"/>
            </w:tcBorders>
          </w:tcPr>
          <w:p w14:paraId="2070874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Ali et al, 2004</w:t>
            </w:r>
          </w:p>
        </w:tc>
      </w:tr>
      <w:tr w:rsidR="00632208" w:rsidRPr="0098635C" w14:paraId="1C04FC50" w14:textId="77777777" w:rsidTr="00A432B0">
        <w:trPr>
          <w:trHeight w:val="64"/>
        </w:trPr>
        <w:tc>
          <w:tcPr>
            <w:tcW w:w="1647" w:type="dxa"/>
            <w:vMerge/>
            <w:tcBorders>
              <w:top w:val="nil"/>
              <w:left w:val="single" w:sz="8" w:space="0" w:color="auto"/>
              <w:bottom w:val="single" w:sz="8" w:space="0" w:color="000000"/>
              <w:right w:val="single" w:sz="8" w:space="0" w:color="auto"/>
            </w:tcBorders>
            <w:vAlign w:val="center"/>
          </w:tcPr>
          <w:p w14:paraId="43EA6C1D" w14:textId="77777777" w:rsidR="00632208" w:rsidRPr="0098635C" w:rsidRDefault="00632208" w:rsidP="00A432B0">
            <w:pPr>
              <w:spacing w:after="0"/>
              <w:rPr>
                <w:rFonts w:ascii="Arial Narrow" w:hAnsi="Arial Narrow" w:cs="Arial Narrow"/>
                <w:i/>
                <w:iCs/>
                <w:color w:val="000000" w:themeColor="text1"/>
                <w:sz w:val="20"/>
                <w:szCs w:val="20"/>
              </w:rPr>
            </w:pPr>
          </w:p>
        </w:tc>
        <w:tc>
          <w:tcPr>
            <w:tcW w:w="1276" w:type="dxa"/>
            <w:vMerge/>
            <w:tcBorders>
              <w:top w:val="nil"/>
              <w:left w:val="single" w:sz="8" w:space="0" w:color="auto"/>
              <w:bottom w:val="single" w:sz="8" w:space="0" w:color="000000"/>
              <w:right w:val="single" w:sz="8" w:space="0" w:color="auto"/>
            </w:tcBorders>
            <w:vAlign w:val="center"/>
          </w:tcPr>
          <w:p w14:paraId="1342738C" w14:textId="77777777" w:rsidR="00632208" w:rsidRPr="0098635C" w:rsidRDefault="00632208" w:rsidP="00A432B0">
            <w:pPr>
              <w:spacing w:after="0"/>
              <w:rPr>
                <w:rFonts w:ascii="Arial Narrow" w:hAnsi="Arial Narrow" w:cs="Arial Narrow"/>
                <w:color w:val="000000" w:themeColor="text1"/>
                <w:sz w:val="20"/>
                <w:szCs w:val="20"/>
              </w:rPr>
            </w:pPr>
          </w:p>
        </w:tc>
        <w:tc>
          <w:tcPr>
            <w:tcW w:w="425" w:type="dxa"/>
            <w:vMerge/>
            <w:tcBorders>
              <w:top w:val="nil"/>
              <w:left w:val="single" w:sz="8" w:space="0" w:color="auto"/>
              <w:bottom w:val="single" w:sz="8" w:space="0" w:color="000000"/>
              <w:right w:val="single" w:sz="8" w:space="0" w:color="auto"/>
            </w:tcBorders>
            <w:vAlign w:val="center"/>
          </w:tcPr>
          <w:p w14:paraId="7757819F"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7314A0B4"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7966019D"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5958D759" w14:textId="77777777" w:rsidR="00632208" w:rsidRPr="0098635C" w:rsidRDefault="00632208" w:rsidP="00A432B0">
            <w:pPr>
              <w:spacing w:after="0"/>
              <w:rPr>
                <w:rFonts w:ascii="Arial Narrow" w:hAnsi="Arial Narrow" w:cs="Arial Narrow"/>
                <w:color w:val="000000" w:themeColor="text1"/>
                <w:sz w:val="20"/>
                <w:szCs w:val="20"/>
              </w:rPr>
            </w:pPr>
          </w:p>
        </w:tc>
        <w:tc>
          <w:tcPr>
            <w:tcW w:w="850" w:type="dxa"/>
            <w:vMerge/>
            <w:tcBorders>
              <w:top w:val="nil"/>
              <w:left w:val="single" w:sz="8" w:space="0" w:color="auto"/>
              <w:bottom w:val="single" w:sz="8" w:space="0" w:color="000000"/>
              <w:right w:val="single" w:sz="8" w:space="0" w:color="auto"/>
            </w:tcBorders>
            <w:vAlign w:val="center"/>
          </w:tcPr>
          <w:p w14:paraId="404A6027" w14:textId="77777777" w:rsidR="00632208" w:rsidRPr="0098635C" w:rsidRDefault="00632208" w:rsidP="00A432B0">
            <w:pPr>
              <w:spacing w:after="0"/>
              <w:rPr>
                <w:rFonts w:ascii="Arial Narrow" w:hAnsi="Arial Narrow" w:cs="Arial Narrow"/>
                <w:i/>
                <w:iCs/>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00578473"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3880DFCF"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tcBorders>
              <w:top w:val="nil"/>
              <w:left w:val="nil"/>
              <w:bottom w:val="nil"/>
              <w:right w:val="single" w:sz="8" w:space="0" w:color="auto"/>
            </w:tcBorders>
          </w:tcPr>
          <w:p w14:paraId="4316CC3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g(r)</w:t>
            </w:r>
          </w:p>
        </w:tc>
        <w:tc>
          <w:tcPr>
            <w:tcW w:w="993" w:type="dxa"/>
            <w:tcBorders>
              <w:top w:val="nil"/>
              <w:left w:val="nil"/>
              <w:bottom w:val="nil"/>
              <w:right w:val="single" w:sz="8" w:space="0" w:color="000000"/>
            </w:tcBorders>
          </w:tcPr>
          <w:p w14:paraId="5CA5FF5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w:t>
            </w:r>
          </w:p>
        </w:tc>
        <w:tc>
          <w:tcPr>
            <w:tcW w:w="1275" w:type="dxa"/>
            <w:vMerge/>
            <w:tcBorders>
              <w:top w:val="single" w:sz="8" w:space="0" w:color="auto"/>
              <w:left w:val="single" w:sz="8" w:space="0" w:color="auto"/>
              <w:bottom w:val="single" w:sz="8" w:space="0" w:color="000000"/>
              <w:right w:val="single" w:sz="8" w:space="0" w:color="000000"/>
            </w:tcBorders>
            <w:vAlign w:val="center"/>
          </w:tcPr>
          <w:p w14:paraId="6740F1B6"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tcBorders>
              <w:top w:val="nil"/>
              <w:left w:val="nil"/>
            </w:tcBorders>
          </w:tcPr>
          <w:p w14:paraId="4185B5C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w:t>
            </w:r>
          </w:p>
        </w:tc>
        <w:tc>
          <w:tcPr>
            <w:tcW w:w="1134" w:type="dxa"/>
            <w:vMerge/>
            <w:tcBorders>
              <w:top w:val="nil"/>
              <w:right w:val="single" w:sz="4" w:space="0" w:color="auto"/>
            </w:tcBorders>
            <w:vAlign w:val="center"/>
          </w:tcPr>
          <w:p w14:paraId="419C356A"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tcBorders>
              <w:top w:val="nil"/>
              <w:left w:val="single" w:sz="4" w:space="0" w:color="auto"/>
              <w:bottom w:val="nil"/>
              <w:right w:val="single" w:sz="4" w:space="0" w:color="auto"/>
            </w:tcBorders>
          </w:tcPr>
          <w:p w14:paraId="20BA0956" w14:textId="77777777" w:rsidR="00632208" w:rsidRPr="0098635C" w:rsidRDefault="00632208" w:rsidP="00A432B0">
            <w:pPr>
              <w:spacing w:after="0"/>
              <w:rPr>
                <w:rFonts w:ascii="Arial Narrow" w:hAnsi="Arial Narrow" w:cs="Arial Narrow"/>
                <w:color w:val="000000" w:themeColor="text1"/>
                <w:sz w:val="20"/>
                <w:szCs w:val="20"/>
              </w:rPr>
            </w:pPr>
          </w:p>
        </w:tc>
      </w:tr>
      <w:tr w:rsidR="00632208" w:rsidRPr="0098635C" w14:paraId="7602C0ED" w14:textId="77777777" w:rsidTr="00A432B0">
        <w:trPr>
          <w:trHeight w:val="64"/>
        </w:trPr>
        <w:tc>
          <w:tcPr>
            <w:tcW w:w="1647" w:type="dxa"/>
            <w:vMerge/>
            <w:tcBorders>
              <w:top w:val="nil"/>
              <w:left w:val="single" w:sz="8" w:space="0" w:color="auto"/>
              <w:bottom w:val="single" w:sz="8" w:space="0" w:color="000000"/>
              <w:right w:val="single" w:sz="8" w:space="0" w:color="auto"/>
            </w:tcBorders>
            <w:vAlign w:val="center"/>
          </w:tcPr>
          <w:p w14:paraId="06505B43" w14:textId="77777777" w:rsidR="00632208" w:rsidRPr="0098635C" w:rsidRDefault="00632208" w:rsidP="00A432B0">
            <w:pPr>
              <w:spacing w:after="0"/>
              <w:rPr>
                <w:rFonts w:ascii="Arial Narrow" w:hAnsi="Arial Narrow" w:cs="Arial Narrow"/>
                <w:i/>
                <w:iCs/>
                <w:color w:val="000000" w:themeColor="text1"/>
                <w:sz w:val="20"/>
                <w:szCs w:val="20"/>
              </w:rPr>
            </w:pPr>
          </w:p>
        </w:tc>
        <w:tc>
          <w:tcPr>
            <w:tcW w:w="1276" w:type="dxa"/>
            <w:vMerge/>
            <w:tcBorders>
              <w:top w:val="nil"/>
              <w:left w:val="single" w:sz="8" w:space="0" w:color="auto"/>
              <w:bottom w:val="single" w:sz="8" w:space="0" w:color="000000"/>
              <w:right w:val="single" w:sz="8" w:space="0" w:color="auto"/>
            </w:tcBorders>
            <w:vAlign w:val="center"/>
          </w:tcPr>
          <w:p w14:paraId="53C9D6C8" w14:textId="77777777" w:rsidR="00632208" w:rsidRPr="0098635C" w:rsidRDefault="00632208" w:rsidP="00A432B0">
            <w:pPr>
              <w:spacing w:after="0"/>
              <w:rPr>
                <w:rFonts w:ascii="Arial Narrow" w:hAnsi="Arial Narrow" w:cs="Arial Narrow"/>
                <w:color w:val="000000" w:themeColor="text1"/>
                <w:sz w:val="20"/>
                <w:szCs w:val="20"/>
              </w:rPr>
            </w:pPr>
          </w:p>
        </w:tc>
        <w:tc>
          <w:tcPr>
            <w:tcW w:w="425" w:type="dxa"/>
            <w:vMerge/>
            <w:tcBorders>
              <w:top w:val="nil"/>
              <w:left w:val="single" w:sz="8" w:space="0" w:color="auto"/>
              <w:bottom w:val="single" w:sz="8" w:space="0" w:color="000000"/>
              <w:right w:val="single" w:sz="8" w:space="0" w:color="auto"/>
            </w:tcBorders>
            <w:vAlign w:val="center"/>
          </w:tcPr>
          <w:p w14:paraId="01418E67"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4B00AD6E"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740A2EA6"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45AC8BDE" w14:textId="77777777" w:rsidR="00632208" w:rsidRPr="0098635C" w:rsidRDefault="00632208" w:rsidP="00A432B0">
            <w:pPr>
              <w:spacing w:after="0"/>
              <w:rPr>
                <w:rFonts w:ascii="Arial Narrow" w:hAnsi="Arial Narrow" w:cs="Arial Narrow"/>
                <w:color w:val="000000" w:themeColor="text1"/>
                <w:sz w:val="20"/>
                <w:szCs w:val="20"/>
              </w:rPr>
            </w:pPr>
          </w:p>
        </w:tc>
        <w:tc>
          <w:tcPr>
            <w:tcW w:w="850" w:type="dxa"/>
            <w:vMerge/>
            <w:tcBorders>
              <w:top w:val="nil"/>
              <w:left w:val="single" w:sz="8" w:space="0" w:color="auto"/>
              <w:bottom w:val="single" w:sz="8" w:space="0" w:color="000000"/>
              <w:right w:val="single" w:sz="8" w:space="0" w:color="auto"/>
            </w:tcBorders>
            <w:vAlign w:val="center"/>
          </w:tcPr>
          <w:p w14:paraId="077E9D57" w14:textId="77777777" w:rsidR="00632208" w:rsidRPr="0098635C" w:rsidRDefault="00632208" w:rsidP="00A432B0">
            <w:pPr>
              <w:spacing w:after="0"/>
              <w:rPr>
                <w:rFonts w:ascii="Arial Narrow" w:hAnsi="Arial Narrow" w:cs="Arial Narrow"/>
                <w:i/>
                <w:iCs/>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1F66D658"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4739A93D"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tcBorders>
              <w:top w:val="nil"/>
              <w:left w:val="nil"/>
              <w:bottom w:val="single" w:sz="8" w:space="0" w:color="auto"/>
              <w:right w:val="single" w:sz="8" w:space="0" w:color="auto"/>
            </w:tcBorders>
          </w:tcPr>
          <w:p w14:paraId="0A1E56A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se</w:t>
            </w:r>
          </w:p>
        </w:tc>
        <w:tc>
          <w:tcPr>
            <w:tcW w:w="993" w:type="dxa"/>
            <w:tcBorders>
              <w:top w:val="nil"/>
              <w:left w:val="nil"/>
              <w:bottom w:val="single" w:sz="8" w:space="0" w:color="auto"/>
              <w:right w:val="single" w:sz="8" w:space="0" w:color="000000"/>
            </w:tcBorders>
          </w:tcPr>
          <w:p w14:paraId="48EE7E0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11</w:t>
            </w:r>
          </w:p>
        </w:tc>
        <w:tc>
          <w:tcPr>
            <w:tcW w:w="1275" w:type="dxa"/>
            <w:vMerge/>
            <w:tcBorders>
              <w:top w:val="single" w:sz="8" w:space="0" w:color="auto"/>
              <w:left w:val="single" w:sz="8" w:space="0" w:color="auto"/>
              <w:bottom w:val="single" w:sz="8" w:space="0" w:color="000000"/>
              <w:right w:val="single" w:sz="8" w:space="0" w:color="000000"/>
            </w:tcBorders>
            <w:vAlign w:val="center"/>
          </w:tcPr>
          <w:p w14:paraId="006507EB"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tcBorders>
              <w:top w:val="nil"/>
              <w:left w:val="nil"/>
              <w:bottom w:val="single" w:sz="8" w:space="0" w:color="auto"/>
            </w:tcBorders>
          </w:tcPr>
          <w:p w14:paraId="3EED792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11</w:t>
            </w:r>
          </w:p>
        </w:tc>
        <w:tc>
          <w:tcPr>
            <w:tcW w:w="1134" w:type="dxa"/>
            <w:vMerge/>
            <w:tcBorders>
              <w:top w:val="nil"/>
              <w:bottom w:val="single" w:sz="8" w:space="0" w:color="auto"/>
              <w:right w:val="single" w:sz="4" w:space="0" w:color="auto"/>
            </w:tcBorders>
            <w:vAlign w:val="center"/>
          </w:tcPr>
          <w:p w14:paraId="374D51D1"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tcBorders>
              <w:top w:val="nil"/>
              <w:left w:val="single" w:sz="4" w:space="0" w:color="auto"/>
              <w:bottom w:val="single" w:sz="8" w:space="0" w:color="auto"/>
              <w:right w:val="single" w:sz="4" w:space="0" w:color="auto"/>
            </w:tcBorders>
          </w:tcPr>
          <w:p w14:paraId="2C488AD4" w14:textId="77777777" w:rsidR="00632208" w:rsidRPr="0098635C" w:rsidRDefault="00632208" w:rsidP="00A432B0">
            <w:pPr>
              <w:spacing w:after="0"/>
              <w:rPr>
                <w:rFonts w:ascii="Arial Narrow" w:hAnsi="Arial Narrow" w:cs="Arial Narrow"/>
                <w:color w:val="000000" w:themeColor="text1"/>
                <w:sz w:val="20"/>
                <w:szCs w:val="20"/>
              </w:rPr>
            </w:pPr>
          </w:p>
        </w:tc>
      </w:tr>
      <w:tr w:rsidR="00632208" w:rsidRPr="0098635C" w14:paraId="6EAF6041" w14:textId="77777777" w:rsidTr="00A432B0">
        <w:trPr>
          <w:trHeight w:val="64"/>
        </w:trPr>
        <w:tc>
          <w:tcPr>
            <w:tcW w:w="1647" w:type="dxa"/>
            <w:tcBorders>
              <w:top w:val="single" w:sz="8" w:space="0" w:color="000000"/>
              <w:left w:val="single" w:sz="4" w:space="0" w:color="auto"/>
              <w:bottom w:val="single" w:sz="8" w:space="0" w:color="auto"/>
              <w:right w:val="single" w:sz="8" w:space="0" w:color="auto"/>
            </w:tcBorders>
          </w:tcPr>
          <w:p w14:paraId="62B04319"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Hordeum vulgare</w:t>
            </w:r>
          </w:p>
        </w:tc>
        <w:tc>
          <w:tcPr>
            <w:tcW w:w="1276" w:type="dxa"/>
            <w:tcBorders>
              <w:top w:val="nil"/>
              <w:left w:val="nil"/>
              <w:bottom w:val="single" w:sz="8" w:space="0" w:color="auto"/>
              <w:right w:val="single" w:sz="8" w:space="0" w:color="auto"/>
            </w:tcBorders>
          </w:tcPr>
          <w:p w14:paraId="1F0B11C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loam Nottingham</w:t>
            </w:r>
          </w:p>
        </w:tc>
        <w:tc>
          <w:tcPr>
            <w:tcW w:w="425" w:type="dxa"/>
            <w:tcBorders>
              <w:top w:val="nil"/>
              <w:left w:val="nil"/>
              <w:bottom w:val="single" w:sz="8" w:space="0" w:color="auto"/>
              <w:right w:val="single" w:sz="8" w:space="0" w:color="auto"/>
            </w:tcBorders>
          </w:tcPr>
          <w:p w14:paraId="06B647F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3.4</w:t>
            </w:r>
          </w:p>
        </w:tc>
        <w:tc>
          <w:tcPr>
            <w:tcW w:w="709" w:type="dxa"/>
            <w:tcBorders>
              <w:top w:val="nil"/>
              <w:left w:val="nil"/>
              <w:bottom w:val="single" w:sz="8" w:space="0" w:color="auto"/>
              <w:right w:val="single" w:sz="8" w:space="0" w:color="auto"/>
            </w:tcBorders>
          </w:tcPr>
          <w:p w14:paraId="19F31FC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8.3</w:t>
            </w:r>
          </w:p>
        </w:tc>
        <w:tc>
          <w:tcPr>
            <w:tcW w:w="709" w:type="dxa"/>
            <w:tcBorders>
              <w:top w:val="nil"/>
              <w:left w:val="nil"/>
              <w:bottom w:val="single" w:sz="8" w:space="0" w:color="auto"/>
              <w:right w:val="single" w:sz="8" w:space="0" w:color="auto"/>
            </w:tcBorders>
          </w:tcPr>
          <w:p w14:paraId="1F15E6D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13</w:t>
            </w:r>
          </w:p>
        </w:tc>
        <w:tc>
          <w:tcPr>
            <w:tcW w:w="709" w:type="dxa"/>
            <w:tcBorders>
              <w:top w:val="nil"/>
              <w:left w:val="nil"/>
              <w:bottom w:val="single" w:sz="8" w:space="0" w:color="auto"/>
              <w:right w:val="single" w:sz="8" w:space="0" w:color="auto"/>
            </w:tcBorders>
          </w:tcPr>
          <w:p w14:paraId="2646652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17</w:t>
            </w:r>
          </w:p>
        </w:tc>
        <w:tc>
          <w:tcPr>
            <w:tcW w:w="850" w:type="dxa"/>
            <w:tcBorders>
              <w:top w:val="nil"/>
              <w:left w:val="nil"/>
              <w:bottom w:val="single" w:sz="8" w:space="0" w:color="auto"/>
              <w:right w:val="single" w:sz="8" w:space="0" w:color="auto"/>
            </w:tcBorders>
          </w:tcPr>
          <w:p w14:paraId="75A3843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6.7</w:t>
            </w:r>
          </w:p>
        </w:tc>
        <w:tc>
          <w:tcPr>
            <w:tcW w:w="992" w:type="dxa"/>
            <w:tcBorders>
              <w:top w:val="nil"/>
              <w:left w:val="nil"/>
              <w:bottom w:val="single" w:sz="8" w:space="0" w:color="auto"/>
              <w:right w:val="single" w:sz="8" w:space="0" w:color="auto"/>
            </w:tcBorders>
          </w:tcPr>
          <w:p w14:paraId="1D137C1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0F8D011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992" w:type="dxa"/>
            <w:tcBorders>
              <w:top w:val="nil"/>
              <w:left w:val="nil"/>
              <w:bottom w:val="single" w:sz="8" w:space="0" w:color="auto"/>
              <w:right w:val="single" w:sz="8" w:space="0" w:color="auto"/>
            </w:tcBorders>
          </w:tcPr>
          <w:p w14:paraId="2F6F645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EC10</w:t>
            </w:r>
            <w:r w:rsidRPr="0098635C">
              <w:rPr>
                <w:rFonts w:ascii="Arial Narrow" w:hAnsi="Arial Narrow" w:cs="Arial Narrow"/>
                <w:color w:val="000000" w:themeColor="text1"/>
                <w:sz w:val="20"/>
                <w:szCs w:val="20"/>
                <w:vertAlign w:val="subscript"/>
              </w:rPr>
              <w:t>rl</w:t>
            </w:r>
          </w:p>
        </w:tc>
        <w:tc>
          <w:tcPr>
            <w:tcW w:w="993" w:type="dxa"/>
            <w:tcBorders>
              <w:top w:val="single" w:sz="8" w:space="0" w:color="auto"/>
              <w:left w:val="nil"/>
              <w:bottom w:val="single" w:sz="8" w:space="0" w:color="auto"/>
              <w:right w:val="single" w:sz="8" w:space="0" w:color="000000"/>
            </w:tcBorders>
          </w:tcPr>
          <w:p w14:paraId="5F690BAF"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58</w:t>
            </w:r>
          </w:p>
        </w:tc>
        <w:tc>
          <w:tcPr>
            <w:tcW w:w="1275" w:type="dxa"/>
            <w:tcBorders>
              <w:top w:val="single" w:sz="8" w:space="0" w:color="auto"/>
              <w:left w:val="nil"/>
              <w:bottom w:val="single" w:sz="8" w:space="0" w:color="auto"/>
              <w:right w:val="single" w:sz="8" w:space="0" w:color="000000"/>
            </w:tcBorders>
          </w:tcPr>
          <w:p w14:paraId="5BF22D9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tcBorders>
          </w:tcPr>
          <w:p w14:paraId="74CCAF3B"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75</w:t>
            </w:r>
          </w:p>
        </w:tc>
        <w:tc>
          <w:tcPr>
            <w:tcW w:w="1134" w:type="dxa"/>
            <w:tcBorders>
              <w:top w:val="single" w:sz="8" w:space="0" w:color="auto"/>
              <w:bottom w:val="single" w:sz="8" w:space="0" w:color="auto"/>
              <w:right w:val="single" w:sz="12" w:space="0" w:color="000000"/>
            </w:tcBorders>
          </w:tcPr>
          <w:p w14:paraId="6B6B6A6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12DE214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1A1ACE91" w14:textId="77777777" w:rsidTr="00A432B0">
        <w:trPr>
          <w:trHeight w:val="364"/>
        </w:trPr>
        <w:tc>
          <w:tcPr>
            <w:tcW w:w="1647" w:type="dxa"/>
            <w:tcBorders>
              <w:top w:val="nil"/>
              <w:left w:val="single" w:sz="4" w:space="0" w:color="auto"/>
              <w:bottom w:val="single" w:sz="8" w:space="0" w:color="auto"/>
              <w:right w:val="single" w:sz="8" w:space="0" w:color="auto"/>
            </w:tcBorders>
          </w:tcPr>
          <w:p w14:paraId="590C980B"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Hordeum vulgare</w:t>
            </w:r>
          </w:p>
        </w:tc>
        <w:tc>
          <w:tcPr>
            <w:tcW w:w="1276" w:type="dxa"/>
            <w:tcBorders>
              <w:top w:val="nil"/>
              <w:left w:val="nil"/>
              <w:bottom w:val="single" w:sz="8" w:space="0" w:color="auto"/>
              <w:right w:val="single" w:sz="8" w:space="0" w:color="auto"/>
            </w:tcBorders>
          </w:tcPr>
          <w:p w14:paraId="5331D6B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sand Houthalen</w:t>
            </w:r>
          </w:p>
        </w:tc>
        <w:tc>
          <w:tcPr>
            <w:tcW w:w="425" w:type="dxa"/>
            <w:tcBorders>
              <w:top w:val="nil"/>
              <w:left w:val="nil"/>
              <w:bottom w:val="single" w:sz="8" w:space="0" w:color="auto"/>
              <w:right w:val="single" w:sz="8" w:space="0" w:color="auto"/>
            </w:tcBorders>
          </w:tcPr>
          <w:p w14:paraId="3A06A92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3.4</w:t>
            </w:r>
          </w:p>
        </w:tc>
        <w:tc>
          <w:tcPr>
            <w:tcW w:w="709" w:type="dxa"/>
            <w:tcBorders>
              <w:top w:val="nil"/>
              <w:left w:val="nil"/>
              <w:bottom w:val="single" w:sz="8" w:space="0" w:color="auto"/>
              <w:right w:val="single" w:sz="8" w:space="0" w:color="auto"/>
            </w:tcBorders>
          </w:tcPr>
          <w:p w14:paraId="2C934CD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3.2</w:t>
            </w:r>
          </w:p>
        </w:tc>
        <w:tc>
          <w:tcPr>
            <w:tcW w:w="709" w:type="dxa"/>
            <w:tcBorders>
              <w:top w:val="nil"/>
              <w:left w:val="nil"/>
              <w:bottom w:val="single" w:sz="8" w:space="0" w:color="auto"/>
              <w:right w:val="single" w:sz="8" w:space="0" w:color="auto"/>
            </w:tcBorders>
          </w:tcPr>
          <w:p w14:paraId="29F8165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w:t>
            </w:r>
          </w:p>
        </w:tc>
        <w:tc>
          <w:tcPr>
            <w:tcW w:w="709" w:type="dxa"/>
            <w:tcBorders>
              <w:top w:val="nil"/>
              <w:left w:val="nil"/>
              <w:bottom w:val="single" w:sz="8" w:space="0" w:color="auto"/>
              <w:right w:val="single" w:sz="8" w:space="0" w:color="auto"/>
            </w:tcBorders>
          </w:tcPr>
          <w:p w14:paraId="2D7D1A7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w:t>
            </w:r>
          </w:p>
        </w:tc>
        <w:tc>
          <w:tcPr>
            <w:tcW w:w="850" w:type="dxa"/>
            <w:tcBorders>
              <w:top w:val="nil"/>
              <w:left w:val="nil"/>
              <w:bottom w:val="single" w:sz="8" w:space="0" w:color="auto"/>
              <w:right w:val="single" w:sz="8" w:space="0" w:color="auto"/>
            </w:tcBorders>
          </w:tcPr>
          <w:p w14:paraId="336BFB9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992" w:type="dxa"/>
            <w:tcBorders>
              <w:top w:val="nil"/>
              <w:left w:val="nil"/>
              <w:bottom w:val="single" w:sz="8" w:space="0" w:color="auto"/>
              <w:right w:val="single" w:sz="8" w:space="0" w:color="auto"/>
            </w:tcBorders>
          </w:tcPr>
          <w:p w14:paraId="509F1BC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02F9984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992" w:type="dxa"/>
            <w:tcBorders>
              <w:top w:val="nil"/>
              <w:left w:val="nil"/>
              <w:bottom w:val="single" w:sz="8" w:space="0" w:color="auto"/>
              <w:right w:val="single" w:sz="8" w:space="0" w:color="auto"/>
            </w:tcBorders>
          </w:tcPr>
          <w:p w14:paraId="3C53C6B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EC10</w:t>
            </w:r>
            <w:r w:rsidRPr="0098635C">
              <w:rPr>
                <w:rFonts w:ascii="Arial Narrow" w:hAnsi="Arial Narrow" w:cs="Arial Narrow"/>
                <w:color w:val="000000" w:themeColor="text1"/>
                <w:sz w:val="20"/>
                <w:szCs w:val="20"/>
                <w:vertAlign w:val="subscript"/>
              </w:rPr>
              <w:t>rl</w:t>
            </w:r>
          </w:p>
        </w:tc>
        <w:tc>
          <w:tcPr>
            <w:tcW w:w="993" w:type="dxa"/>
            <w:tcBorders>
              <w:top w:val="single" w:sz="8" w:space="0" w:color="auto"/>
              <w:left w:val="nil"/>
              <w:bottom w:val="single" w:sz="8" w:space="0" w:color="auto"/>
              <w:right w:val="single" w:sz="8" w:space="0" w:color="000000"/>
            </w:tcBorders>
          </w:tcPr>
          <w:p w14:paraId="74FB3C09"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16</w:t>
            </w:r>
          </w:p>
        </w:tc>
        <w:tc>
          <w:tcPr>
            <w:tcW w:w="1275" w:type="dxa"/>
            <w:tcBorders>
              <w:top w:val="single" w:sz="8" w:space="0" w:color="auto"/>
              <w:left w:val="nil"/>
              <w:bottom w:val="single" w:sz="8" w:space="0" w:color="auto"/>
              <w:right w:val="single" w:sz="8" w:space="0" w:color="000000"/>
            </w:tcBorders>
          </w:tcPr>
          <w:p w14:paraId="653B292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tcBorders>
          </w:tcPr>
          <w:p w14:paraId="29A63E4B"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18</w:t>
            </w:r>
          </w:p>
        </w:tc>
        <w:tc>
          <w:tcPr>
            <w:tcW w:w="1134" w:type="dxa"/>
            <w:tcBorders>
              <w:top w:val="single" w:sz="8" w:space="0" w:color="auto"/>
              <w:bottom w:val="single" w:sz="8" w:space="0" w:color="auto"/>
              <w:right w:val="single" w:sz="12" w:space="0" w:color="000000"/>
            </w:tcBorders>
          </w:tcPr>
          <w:p w14:paraId="69B0928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35F1D8E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27E3D2A4" w14:textId="77777777" w:rsidTr="00A432B0">
        <w:trPr>
          <w:trHeight w:val="364"/>
        </w:trPr>
        <w:tc>
          <w:tcPr>
            <w:tcW w:w="1647" w:type="dxa"/>
            <w:tcBorders>
              <w:top w:val="nil"/>
              <w:left w:val="single" w:sz="4" w:space="0" w:color="auto"/>
              <w:bottom w:val="single" w:sz="8" w:space="0" w:color="auto"/>
              <w:right w:val="single" w:sz="8" w:space="0" w:color="auto"/>
            </w:tcBorders>
          </w:tcPr>
          <w:p w14:paraId="11735071"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Hordeum vulgare</w:t>
            </w:r>
          </w:p>
        </w:tc>
        <w:tc>
          <w:tcPr>
            <w:tcW w:w="1276" w:type="dxa"/>
            <w:tcBorders>
              <w:top w:val="nil"/>
              <w:left w:val="nil"/>
              <w:bottom w:val="single" w:sz="8" w:space="0" w:color="auto"/>
              <w:right w:val="single" w:sz="8" w:space="0" w:color="auto"/>
            </w:tcBorders>
          </w:tcPr>
          <w:p w14:paraId="0FE1C8A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sand Rhydtalog</w:t>
            </w:r>
          </w:p>
        </w:tc>
        <w:tc>
          <w:tcPr>
            <w:tcW w:w="425" w:type="dxa"/>
            <w:tcBorders>
              <w:top w:val="nil"/>
              <w:left w:val="nil"/>
              <w:bottom w:val="single" w:sz="8" w:space="0" w:color="auto"/>
              <w:right w:val="single" w:sz="8" w:space="0" w:color="auto"/>
            </w:tcBorders>
          </w:tcPr>
          <w:p w14:paraId="63DAB09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4.2</w:t>
            </w:r>
          </w:p>
        </w:tc>
        <w:tc>
          <w:tcPr>
            <w:tcW w:w="709" w:type="dxa"/>
            <w:tcBorders>
              <w:top w:val="nil"/>
              <w:left w:val="nil"/>
              <w:bottom w:val="single" w:sz="8" w:space="0" w:color="auto"/>
              <w:right w:val="single" w:sz="8" w:space="0" w:color="auto"/>
            </w:tcBorders>
          </w:tcPr>
          <w:p w14:paraId="57B4699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20.7</w:t>
            </w:r>
          </w:p>
        </w:tc>
        <w:tc>
          <w:tcPr>
            <w:tcW w:w="709" w:type="dxa"/>
            <w:tcBorders>
              <w:top w:val="nil"/>
              <w:left w:val="nil"/>
              <w:bottom w:val="single" w:sz="8" w:space="0" w:color="auto"/>
              <w:right w:val="single" w:sz="8" w:space="0" w:color="auto"/>
            </w:tcBorders>
          </w:tcPr>
          <w:p w14:paraId="3F449C0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13</w:t>
            </w:r>
          </w:p>
        </w:tc>
        <w:tc>
          <w:tcPr>
            <w:tcW w:w="709" w:type="dxa"/>
            <w:tcBorders>
              <w:top w:val="nil"/>
              <w:left w:val="nil"/>
              <w:bottom w:val="single" w:sz="8" w:space="0" w:color="auto"/>
              <w:right w:val="single" w:sz="8" w:space="0" w:color="auto"/>
            </w:tcBorders>
          </w:tcPr>
          <w:p w14:paraId="46238DC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w:t>
            </w:r>
          </w:p>
        </w:tc>
        <w:tc>
          <w:tcPr>
            <w:tcW w:w="850" w:type="dxa"/>
            <w:tcBorders>
              <w:top w:val="nil"/>
              <w:left w:val="nil"/>
              <w:bottom w:val="single" w:sz="8" w:space="0" w:color="auto"/>
              <w:right w:val="single" w:sz="8" w:space="0" w:color="auto"/>
            </w:tcBorders>
          </w:tcPr>
          <w:p w14:paraId="5D02796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15.2</w:t>
            </w:r>
          </w:p>
        </w:tc>
        <w:tc>
          <w:tcPr>
            <w:tcW w:w="992" w:type="dxa"/>
            <w:tcBorders>
              <w:top w:val="nil"/>
              <w:left w:val="nil"/>
              <w:bottom w:val="single" w:sz="8" w:space="0" w:color="auto"/>
              <w:right w:val="single" w:sz="8" w:space="0" w:color="auto"/>
            </w:tcBorders>
          </w:tcPr>
          <w:p w14:paraId="42F794F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2F1BBFC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992" w:type="dxa"/>
            <w:tcBorders>
              <w:top w:val="nil"/>
              <w:left w:val="nil"/>
              <w:bottom w:val="single" w:sz="8" w:space="0" w:color="auto"/>
              <w:right w:val="single" w:sz="8" w:space="0" w:color="auto"/>
            </w:tcBorders>
          </w:tcPr>
          <w:p w14:paraId="5699C1A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rl</w:t>
            </w:r>
          </w:p>
        </w:tc>
        <w:tc>
          <w:tcPr>
            <w:tcW w:w="993" w:type="dxa"/>
            <w:tcBorders>
              <w:top w:val="single" w:sz="8" w:space="0" w:color="auto"/>
              <w:left w:val="nil"/>
              <w:bottom w:val="single" w:sz="8" w:space="0" w:color="auto"/>
              <w:right w:val="single" w:sz="8" w:space="0" w:color="000000"/>
            </w:tcBorders>
          </w:tcPr>
          <w:p w14:paraId="63A848D7"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30</w:t>
            </w:r>
          </w:p>
        </w:tc>
        <w:tc>
          <w:tcPr>
            <w:tcW w:w="1275" w:type="dxa"/>
            <w:tcBorders>
              <w:top w:val="single" w:sz="8" w:space="0" w:color="auto"/>
              <w:left w:val="nil"/>
              <w:bottom w:val="single" w:sz="8" w:space="0" w:color="auto"/>
              <w:right w:val="single" w:sz="8" w:space="0" w:color="000000"/>
            </w:tcBorders>
          </w:tcPr>
          <w:p w14:paraId="49FF3A0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tcBorders>
          </w:tcPr>
          <w:p w14:paraId="5F61AA74"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44</w:t>
            </w:r>
          </w:p>
        </w:tc>
        <w:tc>
          <w:tcPr>
            <w:tcW w:w="1134" w:type="dxa"/>
            <w:tcBorders>
              <w:top w:val="single" w:sz="8" w:space="0" w:color="auto"/>
              <w:bottom w:val="single" w:sz="8" w:space="0" w:color="auto"/>
              <w:right w:val="single" w:sz="12" w:space="0" w:color="000000"/>
            </w:tcBorders>
          </w:tcPr>
          <w:p w14:paraId="40D51FC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4B30BD8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0688B58F" w14:textId="77777777" w:rsidTr="00A432B0">
        <w:trPr>
          <w:trHeight w:val="364"/>
        </w:trPr>
        <w:tc>
          <w:tcPr>
            <w:tcW w:w="1647" w:type="dxa"/>
            <w:tcBorders>
              <w:top w:val="nil"/>
              <w:left w:val="single" w:sz="4" w:space="0" w:color="auto"/>
              <w:bottom w:val="single" w:sz="8" w:space="0" w:color="auto"/>
              <w:right w:val="single" w:sz="8" w:space="0" w:color="auto"/>
            </w:tcBorders>
          </w:tcPr>
          <w:p w14:paraId="6A1494F3"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Hordeum vulgare</w:t>
            </w:r>
          </w:p>
        </w:tc>
        <w:tc>
          <w:tcPr>
            <w:tcW w:w="1276" w:type="dxa"/>
            <w:tcBorders>
              <w:top w:val="nil"/>
              <w:left w:val="nil"/>
              <w:bottom w:val="single" w:sz="8" w:space="0" w:color="auto"/>
              <w:right w:val="single" w:sz="8" w:space="0" w:color="auto"/>
            </w:tcBorders>
          </w:tcPr>
          <w:p w14:paraId="32A3110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clay loam Zegveld</w:t>
            </w:r>
          </w:p>
        </w:tc>
        <w:tc>
          <w:tcPr>
            <w:tcW w:w="425" w:type="dxa"/>
            <w:tcBorders>
              <w:top w:val="nil"/>
              <w:left w:val="nil"/>
              <w:bottom w:val="single" w:sz="8" w:space="0" w:color="auto"/>
              <w:right w:val="single" w:sz="8" w:space="0" w:color="auto"/>
            </w:tcBorders>
          </w:tcPr>
          <w:p w14:paraId="34D1492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4.7</w:t>
            </w:r>
          </w:p>
        </w:tc>
        <w:tc>
          <w:tcPr>
            <w:tcW w:w="709" w:type="dxa"/>
            <w:tcBorders>
              <w:top w:val="nil"/>
              <w:left w:val="nil"/>
              <w:bottom w:val="single" w:sz="8" w:space="0" w:color="auto"/>
              <w:right w:val="single" w:sz="8" w:space="0" w:color="auto"/>
            </w:tcBorders>
          </w:tcPr>
          <w:p w14:paraId="5BF14B6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37.3</w:t>
            </w:r>
          </w:p>
        </w:tc>
        <w:tc>
          <w:tcPr>
            <w:tcW w:w="709" w:type="dxa"/>
            <w:tcBorders>
              <w:top w:val="nil"/>
              <w:left w:val="nil"/>
              <w:bottom w:val="single" w:sz="8" w:space="0" w:color="auto"/>
              <w:right w:val="single" w:sz="8" w:space="0" w:color="auto"/>
            </w:tcBorders>
          </w:tcPr>
          <w:p w14:paraId="52E71C5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24</w:t>
            </w:r>
          </w:p>
        </w:tc>
        <w:tc>
          <w:tcPr>
            <w:tcW w:w="709" w:type="dxa"/>
            <w:tcBorders>
              <w:top w:val="nil"/>
              <w:left w:val="nil"/>
              <w:bottom w:val="single" w:sz="8" w:space="0" w:color="auto"/>
              <w:right w:val="single" w:sz="8" w:space="0" w:color="auto"/>
            </w:tcBorders>
          </w:tcPr>
          <w:p w14:paraId="07361E1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70</w:t>
            </w:r>
          </w:p>
        </w:tc>
        <w:tc>
          <w:tcPr>
            <w:tcW w:w="850" w:type="dxa"/>
            <w:tcBorders>
              <w:top w:val="nil"/>
              <w:left w:val="nil"/>
              <w:bottom w:val="single" w:sz="8" w:space="0" w:color="auto"/>
              <w:right w:val="single" w:sz="8" w:space="0" w:color="auto"/>
            </w:tcBorders>
          </w:tcPr>
          <w:p w14:paraId="422D9AA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35.3</w:t>
            </w:r>
          </w:p>
        </w:tc>
        <w:tc>
          <w:tcPr>
            <w:tcW w:w="992" w:type="dxa"/>
            <w:tcBorders>
              <w:top w:val="nil"/>
              <w:left w:val="nil"/>
              <w:bottom w:val="single" w:sz="8" w:space="0" w:color="auto"/>
              <w:right w:val="single" w:sz="8" w:space="0" w:color="auto"/>
            </w:tcBorders>
          </w:tcPr>
          <w:p w14:paraId="6A92858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121A7BB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992" w:type="dxa"/>
            <w:tcBorders>
              <w:top w:val="nil"/>
              <w:left w:val="nil"/>
              <w:bottom w:val="single" w:sz="8" w:space="0" w:color="auto"/>
              <w:right w:val="single" w:sz="8" w:space="0" w:color="auto"/>
            </w:tcBorders>
          </w:tcPr>
          <w:p w14:paraId="1D09013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rl</w:t>
            </w:r>
          </w:p>
        </w:tc>
        <w:tc>
          <w:tcPr>
            <w:tcW w:w="993" w:type="dxa"/>
            <w:tcBorders>
              <w:top w:val="single" w:sz="8" w:space="0" w:color="auto"/>
              <w:left w:val="nil"/>
              <w:bottom w:val="single" w:sz="8" w:space="0" w:color="auto"/>
              <w:right w:val="single" w:sz="8" w:space="0" w:color="000000"/>
            </w:tcBorders>
          </w:tcPr>
          <w:p w14:paraId="7D8127E5"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80</w:t>
            </w:r>
          </w:p>
        </w:tc>
        <w:tc>
          <w:tcPr>
            <w:tcW w:w="1275" w:type="dxa"/>
            <w:tcBorders>
              <w:top w:val="single" w:sz="8" w:space="0" w:color="auto"/>
              <w:left w:val="nil"/>
              <w:bottom w:val="single" w:sz="8" w:space="0" w:color="auto"/>
              <w:right w:val="single" w:sz="8" w:space="0" w:color="000000"/>
            </w:tcBorders>
          </w:tcPr>
          <w:p w14:paraId="5EE478D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tcBorders>
          </w:tcPr>
          <w:p w14:paraId="7DFDE670"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150</w:t>
            </w:r>
          </w:p>
        </w:tc>
        <w:tc>
          <w:tcPr>
            <w:tcW w:w="1134" w:type="dxa"/>
            <w:tcBorders>
              <w:top w:val="single" w:sz="8" w:space="0" w:color="auto"/>
              <w:bottom w:val="single" w:sz="8" w:space="0" w:color="auto"/>
              <w:right w:val="single" w:sz="12" w:space="0" w:color="000000"/>
            </w:tcBorders>
          </w:tcPr>
          <w:p w14:paraId="107E585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5A0ED83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79CF8C44" w14:textId="77777777" w:rsidTr="00A432B0">
        <w:trPr>
          <w:trHeight w:val="364"/>
        </w:trPr>
        <w:tc>
          <w:tcPr>
            <w:tcW w:w="1647" w:type="dxa"/>
            <w:tcBorders>
              <w:top w:val="nil"/>
              <w:left w:val="single" w:sz="4" w:space="0" w:color="auto"/>
              <w:bottom w:val="single" w:sz="8" w:space="0" w:color="auto"/>
              <w:right w:val="single" w:sz="8" w:space="0" w:color="auto"/>
            </w:tcBorders>
          </w:tcPr>
          <w:p w14:paraId="45A9D5B0"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Hordeum vulgare</w:t>
            </w:r>
          </w:p>
        </w:tc>
        <w:tc>
          <w:tcPr>
            <w:tcW w:w="1276" w:type="dxa"/>
            <w:tcBorders>
              <w:top w:val="nil"/>
              <w:left w:val="nil"/>
              <w:bottom w:val="single" w:sz="8" w:space="0" w:color="auto"/>
              <w:right w:val="single" w:sz="8" w:space="0" w:color="auto"/>
            </w:tcBorders>
          </w:tcPr>
          <w:p w14:paraId="1F77974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sand Kovlinge I</w:t>
            </w:r>
          </w:p>
        </w:tc>
        <w:tc>
          <w:tcPr>
            <w:tcW w:w="425" w:type="dxa"/>
            <w:tcBorders>
              <w:top w:val="nil"/>
              <w:left w:val="nil"/>
              <w:bottom w:val="single" w:sz="8" w:space="0" w:color="auto"/>
              <w:right w:val="single" w:sz="8" w:space="0" w:color="auto"/>
            </w:tcBorders>
          </w:tcPr>
          <w:p w14:paraId="49F27C0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4.8</w:t>
            </w:r>
          </w:p>
        </w:tc>
        <w:tc>
          <w:tcPr>
            <w:tcW w:w="709" w:type="dxa"/>
            <w:tcBorders>
              <w:top w:val="nil"/>
              <w:left w:val="nil"/>
              <w:bottom w:val="single" w:sz="8" w:space="0" w:color="auto"/>
              <w:right w:val="single" w:sz="8" w:space="0" w:color="auto"/>
            </w:tcBorders>
          </w:tcPr>
          <w:p w14:paraId="768D8D4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2.6</w:t>
            </w:r>
          </w:p>
        </w:tc>
        <w:tc>
          <w:tcPr>
            <w:tcW w:w="709" w:type="dxa"/>
            <w:tcBorders>
              <w:top w:val="nil"/>
              <w:left w:val="nil"/>
              <w:bottom w:val="single" w:sz="8" w:space="0" w:color="auto"/>
              <w:right w:val="single" w:sz="8" w:space="0" w:color="auto"/>
            </w:tcBorders>
          </w:tcPr>
          <w:p w14:paraId="2F70FFF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1D1831E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w:t>
            </w:r>
          </w:p>
        </w:tc>
        <w:tc>
          <w:tcPr>
            <w:tcW w:w="850" w:type="dxa"/>
            <w:tcBorders>
              <w:top w:val="nil"/>
              <w:left w:val="nil"/>
              <w:bottom w:val="single" w:sz="8" w:space="0" w:color="auto"/>
              <w:right w:val="single" w:sz="8" w:space="0" w:color="auto"/>
            </w:tcBorders>
          </w:tcPr>
          <w:p w14:paraId="443EFA8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2.4</w:t>
            </w:r>
          </w:p>
        </w:tc>
        <w:tc>
          <w:tcPr>
            <w:tcW w:w="992" w:type="dxa"/>
            <w:tcBorders>
              <w:top w:val="nil"/>
              <w:left w:val="nil"/>
              <w:bottom w:val="single" w:sz="8" w:space="0" w:color="auto"/>
              <w:right w:val="single" w:sz="8" w:space="0" w:color="auto"/>
            </w:tcBorders>
          </w:tcPr>
          <w:p w14:paraId="3F1CF85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556ED98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992" w:type="dxa"/>
            <w:tcBorders>
              <w:top w:val="nil"/>
              <w:left w:val="nil"/>
              <w:bottom w:val="single" w:sz="8" w:space="0" w:color="auto"/>
              <w:right w:val="single" w:sz="8" w:space="0" w:color="auto"/>
            </w:tcBorders>
          </w:tcPr>
          <w:p w14:paraId="189CAA7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rl</w:t>
            </w:r>
          </w:p>
        </w:tc>
        <w:tc>
          <w:tcPr>
            <w:tcW w:w="993" w:type="dxa"/>
            <w:tcBorders>
              <w:top w:val="single" w:sz="8" w:space="0" w:color="auto"/>
              <w:left w:val="nil"/>
              <w:bottom w:val="single" w:sz="8" w:space="0" w:color="auto"/>
              <w:right w:val="single" w:sz="8" w:space="0" w:color="000000"/>
            </w:tcBorders>
          </w:tcPr>
          <w:p w14:paraId="4D43C868"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45</w:t>
            </w:r>
          </w:p>
        </w:tc>
        <w:tc>
          <w:tcPr>
            <w:tcW w:w="1275" w:type="dxa"/>
            <w:tcBorders>
              <w:top w:val="single" w:sz="8" w:space="0" w:color="auto"/>
              <w:left w:val="nil"/>
              <w:bottom w:val="single" w:sz="8" w:space="0" w:color="auto"/>
              <w:right w:val="single" w:sz="8" w:space="0" w:color="000000"/>
            </w:tcBorders>
          </w:tcPr>
          <w:p w14:paraId="3C6C145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tcBorders>
          </w:tcPr>
          <w:p w14:paraId="19548620"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51</w:t>
            </w:r>
          </w:p>
        </w:tc>
        <w:tc>
          <w:tcPr>
            <w:tcW w:w="1134" w:type="dxa"/>
            <w:tcBorders>
              <w:top w:val="single" w:sz="8" w:space="0" w:color="auto"/>
              <w:bottom w:val="single" w:sz="8" w:space="0" w:color="auto"/>
              <w:right w:val="single" w:sz="12" w:space="0" w:color="000000"/>
            </w:tcBorders>
          </w:tcPr>
          <w:p w14:paraId="5AAA488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51AD20C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3DBDD503" w14:textId="77777777" w:rsidTr="00A432B0">
        <w:trPr>
          <w:trHeight w:val="168"/>
        </w:trPr>
        <w:tc>
          <w:tcPr>
            <w:tcW w:w="1647" w:type="dxa"/>
            <w:vMerge w:val="restart"/>
            <w:tcBorders>
              <w:top w:val="nil"/>
              <w:left w:val="single" w:sz="4" w:space="0" w:color="auto"/>
              <w:bottom w:val="single" w:sz="8" w:space="0" w:color="000000"/>
              <w:right w:val="single" w:sz="8" w:space="0" w:color="auto"/>
            </w:tcBorders>
          </w:tcPr>
          <w:p w14:paraId="2A451752"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Hordeum vulgare</w:t>
            </w:r>
          </w:p>
        </w:tc>
        <w:tc>
          <w:tcPr>
            <w:tcW w:w="1276" w:type="dxa"/>
            <w:tcBorders>
              <w:top w:val="nil"/>
              <w:left w:val="nil"/>
              <w:bottom w:val="nil"/>
              <w:right w:val="single" w:sz="8" w:space="0" w:color="auto"/>
            </w:tcBorders>
          </w:tcPr>
          <w:p w14:paraId="379C802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clay</w:t>
            </w:r>
          </w:p>
        </w:tc>
        <w:tc>
          <w:tcPr>
            <w:tcW w:w="425" w:type="dxa"/>
            <w:vMerge w:val="restart"/>
            <w:tcBorders>
              <w:top w:val="nil"/>
              <w:left w:val="single" w:sz="8" w:space="0" w:color="auto"/>
              <w:bottom w:val="single" w:sz="8" w:space="0" w:color="000000"/>
              <w:right w:val="single" w:sz="8" w:space="0" w:color="auto"/>
            </w:tcBorders>
          </w:tcPr>
          <w:p w14:paraId="09EC359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4.8</w:t>
            </w:r>
          </w:p>
        </w:tc>
        <w:tc>
          <w:tcPr>
            <w:tcW w:w="709" w:type="dxa"/>
            <w:vMerge w:val="restart"/>
            <w:tcBorders>
              <w:top w:val="nil"/>
              <w:left w:val="single" w:sz="8" w:space="0" w:color="auto"/>
              <w:bottom w:val="single" w:sz="8" w:space="0" w:color="000000"/>
              <w:right w:val="single" w:sz="8" w:space="0" w:color="auto"/>
            </w:tcBorders>
          </w:tcPr>
          <w:p w14:paraId="45D01C1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0.7</w:t>
            </w:r>
          </w:p>
        </w:tc>
        <w:tc>
          <w:tcPr>
            <w:tcW w:w="709" w:type="dxa"/>
            <w:vMerge w:val="restart"/>
            <w:tcBorders>
              <w:top w:val="nil"/>
              <w:left w:val="single" w:sz="8" w:space="0" w:color="auto"/>
              <w:bottom w:val="single" w:sz="8" w:space="0" w:color="000000"/>
              <w:right w:val="single" w:sz="8" w:space="0" w:color="auto"/>
            </w:tcBorders>
          </w:tcPr>
          <w:p w14:paraId="5BD2C0C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38</w:t>
            </w:r>
          </w:p>
        </w:tc>
        <w:tc>
          <w:tcPr>
            <w:tcW w:w="709" w:type="dxa"/>
            <w:vMerge w:val="restart"/>
            <w:tcBorders>
              <w:top w:val="nil"/>
              <w:left w:val="single" w:sz="8" w:space="0" w:color="auto"/>
              <w:bottom w:val="single" w:sz="8" w:space="0" w:color="000000"/>
              <w:right w:val="single" w:sz="8" w:space="0" w:color="auto"/>
            </w:tcBorders>
          </w:tcPr>
          <w:p w14:paraId="3F3B4A8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31</w:t>
            </w:r>
          </w:p>
        </w:tc>
        <w:tc>
          <w:tcPr>
            <w:tcW w:w="850" w:type="dxa"/>
            <w:vMerge w:val="restart"/>
            <w:tcBorders>
              <w:top w:val="nil"/>
              <w:left w:val="single" w:sz="8" w:space="0" w:color="auto"/>
              <w:bottom w:val="single" w:sz="8" w:space="0" w:color="000000"/>
              <w:right w:val="single" w:sz="8" w:space="0" w:color="auto"/>
            </w:tcBorders>
          </w:tcPr>
          <w:p w14:paraId="60A6A62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11.2</w:t>
            </w:r>
          </w:p>
        </w:tc>
        <w:tc>
          <w:tcPr>
            <w:tcW w:w="992" w:type="dxa"/>
            <w:vMerge w:val="restart"/>
            <w:tcBorders>
              <w:top w:val="nil"/>
              <w:left w:val="single" w:sz="8" w:space="0" w:color="auto"/>
              <w:bottom w:val="single" w:sz="8" w:space="0" w:color="000000"/>
              <w:right w:val="single" w:sz="8" w:space="0" w:color="auto"/>
            </w:tcBorders>
          </w:tcPr>
          <w:p w14:paraId="7442390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vMerge w:val="restart"/>
            <w:tcBorders>
              <w:top w:val="nil"/>
              <w:left w:val="single" w:sz="8" w:space="0" w:color="auto"/>
              <w:bottom w:val="single" w:sz="8" w:space="0" w:color="000000"/>
              <w:right w:val="single" w:sz="8" w:space="0" w:color="auto"/>
            </w:tcBorders>
          </w:tcPr>
          <w:p w14:paraId="2B93C21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992" w:type="dxa"/>
            <w:vMerge w:val="restart"/>
            <w:tcBorders>
              <w:top w:val="nil"/>
              <w:left w:val="single" w:sz="8" w:space="0" w:color="auto"/>
              <w:bottom w:val="single" w:sz="8" w:space="0" w:color="000000"/>
              <w:right w:val="single" w:sz="8" w:space="0" w:color="auto"/>
            </w:tcBorders>
          </w:tcPr>
          <w:p w14:paraId="5E8933A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rl</w:t>
            </w:r>
          </w:p>
        </w:tc>
        <w:tc>
          <w:tcPr>
            <w:tcW w:w="993" w:type="dxa"/>
            <w:vMerge w:val="restart"/>
            <w:tcBorders>
              <w:top w:val="single" w:sz="8" w:space="0" w:color="auto"/>
              <w:left w:val="single" w:sz="8" w:space="0" w:color="auto"/>
              <w:bottom w:val="single" w:sz="8" w:space="0" w:color="000000"/>
              <w:right w:val="single" w:sz="8" w:space="0" w:color="000000"/>
            </w:tcBorders>
          </w:tcPr>
          <w:p w14:paraId="508EBACC"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77</w:t>
            </w:r>
          </w:p>
        </w:tc>
        <w:tc>
          <w:tcPr>
            <w:tcW w:w="1275" w:type="dxa"/>
            <w:vMerge w:val="restart"/>
            <w:tcBorders>
              <w:top w:val="single" w:sz="8" w:space="0" w:color="auto"/>
              <w:left w:val="single" w:sz="8" w:space="0" w:color="auto"/>
              <w:bottom w:val="single" w:sz="8" w:space="0" w:color="000000"/>
              <w:right w:val="single" w:sz="8" w:space="0" w:color="000000"/>
            </w:tcBorders>
          </w:tcPr>
          <w:p w14:paraId="0EA101F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vMerge w:val="restart"/>
            <w:tcBorders>
              <w:top w:val="nil"/>
              <w:left w:val="single" w:sz="8" w:space="0" w:color="auto"/>
              <w:bottom w:val="single" w:sz="8" w:space="0" w:color="000000"/>
            </w:tcBorders>
          </w:tcPr>
          <w:p w14:paraId="51D65DF7"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108</w:t>
            </w:r>
          </w:p>
        </w:tc>
        <w:tc>
          <w:tcPr>
            <w:tcW w:w="1134" w:type="dxa"/>
            <w:vMerge w:val="restart"/>
            <w:tcBorders>
              <w:top w:val="single" w:sz="8" w:space="0" w:color="auto"/>
              <w:bottom w:val="single" w:sz="8" w:space="0" w:color="000000"/>
              <w:right w:val="single" w:sz="12" w:space="0" w:color="000000"/>
            </w:tcBorders>
          </w:tcPr>
          <w:p w14:paraId="27DFADC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single" w:sz="8" w:space="0" w:color="auto"/>
              <w:right w:val="single" w:sz="12" w:space="0" w:color="000000"/>
            </w:tcBorders>
          </w:tcPr>
          <w:p w14:paraId="4B19F44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725D0CFB" w14:textId="77777777" w:rsidTr="00A432B0">
        <w:trPr>
          <w:trHeight w:val="64"/>
        </w:trPr>
        <w:tc>
          <w:tcPr>
            <w:tcW w:w="1647" w:type="dxa"/>
            <w:vMerge/>
            <w:tcBorders>
              <w:top w:val="nil"/>
              <w:left w:val="single" w:sz="4" w:space="0" w:color="auto"/>
              <w:bottom w:val="single" w:sz="8" w:space="0" w:color="000000"/>
              <w:right w:val="single" w:sz="8" w:space="0" w:color="auto"/>
            </w:tcBorders>
            <w:vAlign w:val="center"/>
          </w:tcPr>
          <w:p w14:paraId="36A19FEB" w14:textId="77777777" w:rsidR="00632208" w:rsidRPr="0098635C" w:rsidRDefault="00632208" w:rsidP="00A432B0">
            <w:pPr>
              <w:spacing w:after="0"/>
              <w:rPr>
                <w:rFonts w:ascii="Arial Narrow" w:hAnsi="Arial Narrow" w:cs="Arial Narrow"/>
                <w:i/>
                <w:iCs/>
                <w:color w:val="000000" w:themeColor="text1"/>
                <w:sz w:val="20"/>
                <w:szCs w:val="20"/>
              </w:rPr>
            </w:pPr>
          </w:p>
        </w:tc>
        <w:tc>
          <w:tcPr>
            <w:tcW w:w="1276" w:type="dxa"/>
            <w:tcBorders>
              <w:top w:val="nil"/>
              <w:left w:val="nil"/>
              <w:bottom w:val="single" w:sz="8" w:space="0" w:color="auto"/>
              <w:right w:val="single" w:sz="8" w:space="0" w:color="auto"/>
            </w:tcBorders>
          </w:tcPr>
          <w:p w14:paraId="7180CD5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Souli I</w:t>
            </w:r>
          </w:p>
        </w:tc>
        <w:tc>
          <w:tcPr>
            <w:tcW w:w="425" w:type="dxa"/>
            <w:vMerge/>
            <w:tcBorders>
              <w:top w:val="nil"/>
              <w:left w:val="single" w:sz="8" w:space="0" w:color="auto"/>
              <w:bottom w:val="single" w:sz="8" w:space="0" w:color="000000"/>
              <w:right w:val="single" w:sz="8" w:space="0" w:color="auto"/>
            </w:tcBorders>
            <w:vAlign w:val="center"/>
          </w:tcPr>
          <w:p w14:paraId="7551792F"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51A2FB7B"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74967DD0"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4C65967D" w14:textId="77777777" w:rsidR="00632208" w:rsidRPr="0098635C" w:rsidRDefault="00632208" w:rsidP="00A432B0">
            <w:pPr>
              <w:spacing w:after="0"/>
              <w:rPr>
                <w:rFonts w:ascii="Arial Narrow" w:hAnsi="Arial Narrow" w:cs="Arial Narrow"/>
                <w:color w:val="000000" w:themeColor="text1"/>
                <w:sz w:val="20"/>
                <w:szCs w:val="20"/>
              </w:rPr>
            </w:pPr>
          </w:p>
        </w:tc>
        <w:tc>
          <w:tcPr>
            <w:tcW w:w="850" w:type="dxa"/>
            <w:vMerge/>
            <w:tcBorders>
              <w:top w:val="nil"/>
              <w:left w:val="single" w:sz="8" w:space="0" w:color="auto"/>
              <w:bottom w:val="single" w:sz="8" w:space="0" w:color="000000"/>
              <w:right w:val="single" w:sz="8" w:space="0" w:color="auto"/>
            </w:tcBorders>
            <w:vAlign w:val="center"/>
          </w:tcPr>
          <w:p w14:paraId="704B120C"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0B0051FF"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26564C06"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57AF5859" w14:textId="77777777" w:rsidR="00632208" w:rsidRPr="0098635C" w:rsidRDefault="00632208" w:rsidP="00A432B0">
            <w:pPr>
              <w:spacing w:after="0"/>
              <w:rPr>
                <w:rFonts w:ascii="Arial Narrow" w:hAnsi="Arial Narrow" w:cs="Arial Narrow"/>
                <w:color w:val="000000" w:themeColor="text1"/>
                <w:sz w:val="20"/>
                <w:szCs w:val="20"/>
              </w:rPr>
            </w:pPr>
          </w:p>
        </w:tc>
        <w:tc>
          <w:tcPr>
            <w:tcW w:w="993" w:type="dxa"/>
            <w:vMerge/>
            <w:tcBorders>
              <w:top w:val="single" w:sz="8" w:space="0" w:color="auto"/>
              <w:left w:val="single" w:sz="8" w:space="0" w:color="auto"/>
              <w:bottom w:val="single" w:sz="8" w:space="0" w:color="000000"/>
              <w:right w:val="single" w:sz="8" w:space="0" w:color="000000"/>
            </w:tcBorders>
            <w:vAlign w:val="center"/>
          </w:tcPr>
          <w:p w14:paraId="7CDD23D2" w14:textId="77777777" w:rsidR="00632208" w:rsidRPr="0098635C" w:rsidRDefault="00632208" w:rsidP="00A432B0">
            <w:pPr>
              <w:spacing w:after="0"/>
              <w:rPr>
                <w:rFonts w:ascii="Arial Narrow" w:hAnsi="Arial Narrow" w:cs="Arial Narrow"/>
                <w:color w:val="000000" w:themeColor="text1"/>
                <w:sz w:val="20"/>
                <w:szCs w:val="20"/>
                <w:u w:val="single"/>
              </w:rPr>
            </w:pPr>
          </w:p>
        </w:tc>
        <w:tc>
          <w:tcPr>
            <w:tcW w:w="1275" w:type="dxa"/>
            <w:vMerge/>
            <w:tcBorders>
              <w:top w:val="single" w:sz="8" w:space="0" w:color="auto"/>
              <w:left w:val="single" w:sz="8" w:space="0" w:color="auto"/>
              <w:bottom w:val="single" w:sz="8" w:space="0" w:color="000000"/>
              <w:right w:val="single" w:sz="8" w:space="0" w:color="000000"/>
            </w:tcBorders>
            <w:vAlign w:val="center"/>
          </w:tcPr>
          <w:p w14:paraId="4AB43928"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vMerge/>
            <w:tcBorders>
              <w:top w:val="nil"/>
              <w:left w:val="single" w:sz="8" w:space="0" w:color="auto"/>
              <w:bottom w:val="single" w:sz="8" w:space="0" w:color="000000"/>
            </w:tcBorders>
            <w:vAlign w:val="center"/>
          </w:tcPr>
          <w:p w14:paraId="7F0195C2" w14:textId="77777777" w:rsidR="00632208" w:rsidRPr="0098635C" w:rsidRDefault="00632208" w:rsidP="00A432B0">
            <w:pPr>
              <w:spacing w:after="0"/>
              <w:rPr>
                <w:rFonts w:ascii="Arial Narrow" w:hAnsi="Arial Narrow" w:cs="Arial Narrow"/>
                <w:color w:val="000000" w:themeColor="text1"/>
                <w:sz w:val="20"/>
                <w:szCs w:val="20"/>
                <w:u w:val="single"/>
              </w:rPr>
            </w:pPr>
          </w:p>
        </w:tc>
        <w:tc>
          <w:tcPr>
            <w:tcW w:w="1134" w:type="dxa"/>
            <w:vMerge/>
            <w:tcBorders>
              <w:top w:val="single" w:sz="8" w:space="0" w:color="auto"/>
              <w:bottom w:val="single" w:sz="8" w:space="0" w:color="000000"/>
              <w:right w:val="single" w:sz="12" w:space="0" w:color="000000"/>
            </w:tcBorders>
            <w:vAlign w:val="center"/>
          </w:tcPr>
          <w:p w14:paraId="7ADB38B2"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tcBorders>
              <w:left w:val="single" w:sz="8" w:space="0" w:color="auto"/>
              <w:bottom w:val="single" w:sz="8" w:space="0" w:color="000000"/>
              <w:right w:val="single" w:sz="12" w:space="0" w:color="000000"/>
            </w:tcBorders>
          </w:tcPr>
          <w:p w14:paraId="471B035E" w14:textId="77777777" w:rsidR="00632208" w:rsidRPr="0098635C" w:rsidRDefault="00632208" w:rsidP="00A432B0">
            <w:pPr>
              <w:spacing w:after="0"/>
              <w:rPr>
                <w:rFonts w:ascii="Arial Narrow" w:hAnsi="Arial Narrow" w:cs="Arial Narrow"/>
                <w:color w:val="000000" w:themeColor="text1"/>
                <w:sz w:val="20"/>
                <w:szCs w:val="20"/>
              </w:rPr>
            </w:pPr>
          </w:p>
        </w:tc>
      </w:tr>
      <w:tr w:rsidR="00632208" w:rsidRPr="0098635C" w14:paraId="0892ABFB" w14:textId="77777777" w:rsidTr="00A432B0">
        <w:trPr>
          <w:trHeight w:val="364"/>
        </w:trPr>
        <w:tc>
          <w:tcPr>
            <w:tcW w:w="1647" w:type="dxa"/>
            <w:tcBorders>
              <w:top w:val="nil"/>
              <w:left w:val="single" w:sz="4" w:space="0" w:color="auto"/>
              <w:bottom w:val="single" w:sz="8" w:space="0" w:color="auto"/>
              <w:right w:val="single" w:sz="8" w:space="0" w:color="auto"/>
            </w:tcBorders>
          </w:tcPr>
          <w:p w14:paraId="76C7DF3C"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Hordeum vulgare</w:t>
            </w:r>
          </w:p>
        </w:tc>
        <w:tc>
          <w:tcPr>
            <w:tcW w:w="1276" w:type="dxa"/>
            <w:tcBorders>
              <w:top w:val="nil"/>
              <w:left w:val="nil"/>
              <w:bottom w:val="single" w:sz="8" w:space="0" w:color="auto"/>
              <w:right w:val="single" w:sz="8" w:space="0" w:color="auto"/>
            </w:tcBorders>
          </w:tcPr>
          <w:p w14:paraId="6CCBE9E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loam Kovlinge II</w:t>
            </w:r>
          </w:p>
        </w:tc>
        <w:tc>
          <w:tcPr>
            <w:tcW w:w="425" w:type="dxa"/>
            <w:tcBorders>
              <w:top w:val="nil"/>
              <w:left w:val="nil"/>
              <w:bottom w:val="single" w:sz="8" w:space="0" w:color="auto"/>
              <w:right w:val="single" w:sz="8" w:space="0" w:color="auto"/>
            </w:tcBorders>
          </w:tcPr>
          <w:p w14:paraId="65D9D69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5.1</w:t>
            </w:r>
          </w:p>
        </w:tc>
        <w:tc>
          <w:tcPr>
            <w:tcW w:w="709" w:type="dxa"/>
            <w:tcBorders>
              <w:top w:val="nil"/>
              <w:left w:val="nil"/>
              <w:bottom w:val="single" w:sz="8" w:space="0" w:color="auto"/>
              <w:right w:val="single" w:sz="8" w:space="0" w:color="auto"/>
            </w:tcBorders>
          </w:tcPr>
          <w:p w14:paraId="7109CF7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3.8</w:t>
            </w:r>
          </w:p>
        </w:tc>
        <w:tc>
          <w:tcPr>
            <w:tcW w:w="709" w:type="dxa"/>
            <w:tcBorders>
              <w:top w:val="nil"/>
              <w:left w:val="nil"/>
              <w:bottom w:val="single" w:sz="8" w:space="0" w:color="auto"/>
              <w:right w:val="single" w:sz="8" w:space="0" w:color="auto"/>
            </w:tcBorders>
          </w:tcPr>
          <w:p w14:paraId="206A0BE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w:t>
            </w:r>
          </w:p>
        </w:tc>
        <w:tc>
          <w:tcPr>
            <w:tcW w:w="709" w:type="dxa"/>
            <w:tcBorders>
              <w:top w:val="nil"/>
              <w:left w:val="nil"/>
              <w:bottom w:val="single" w:sz="8" w:space="0" w:color="auto"/>
              <w:right w:val="single" w:sz="8" w:space="0" w:color="auto"/>
            </w:tcBorders>
          </w:tcPr>
          <w:p w14:paraId="1F57BC4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w:t>
            </w:r>
          </w:p>
        </w:tc>
        <w:tc>
          <w:tcPr>
            <w:tcW w:w="850" w:type="dxa"/>
            <w:tcBorders>
              <w:top w:val="nil"/>
              <w:left w:val="nil"/>
              <w:bottom w:val="single" w:sz="8" w:space="0" w:color="auto"/>
              <w:right w:val="single" w:sz="8" w:space="0" w:color="auto"/>
            </w:tcBorders>
          </w:tcPr>
          <w:p w14:paraId="03DF4A2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4.7</w:t>
            </w:r>
          </w:p>
        </w:tc>
        <w:tc>
          <w:tcPr>
            <w:tcW w:w="992" w:type="dxa"/>
            <w:tcBorders>
              <w:top w:val="nil"/>
              <w:left w:val="nil"/>
              <w:bottom w:val="single" w:sz="8" w:space="0" w:color="auto"/>
              <w:right w:val="single" w:sz="8" w:space="0" w:color="auto"/>
            </w:tcBorders>
          </w:tcPr>
          <w:p w14:paraId="282BDFB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3632D98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992" w:type="dxa"/>
            <w:tcBorders>
              <w:top w:val="nil"/>
              <w:left w:val="nil"/>
              <w:bottom w:val="single" w:sz="8" w:space="0" w:color="auto"/>
              <w:right w:val="single" w:sz="8" w:space="0" w:color="auto"/>
            </w:tcBorders>
          </w:tcPr>
          <w:p w14:paraId="57D1078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rl</w:t>
            </w:r>
          </w:p>
        </w:tc>
        <w:tc>
          <w:tcPr>
            <w:tcW w:w="993" w:type="dxa"/>
            <w:tcBorders>
              <w:top w:val="single" w:sz="8" w:space="0" w:color="auto"/>
              <w:left w:val="nil"/>
              <w:bottom w:val="single" w:sz="8" w:space="0" w:color="auto"/>
              <w:right w:val="single" w:sz="8" w:space="0" w:color="000000"/>
            </w:tcBorders>
          </w:tcPr>
          <w:p w14:paraId="0919E7C9"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37</w:t>
            </w:r>
          </w:p>
        </w:tc>
        <w:tc>
          <w:tcPr>
            <w:tcW w:w="1275" w:type="dxa"/>
            <w:tcBorders>
              <w:top w:val="single" w:sz="8" w:space="0" w:color="auto"/>
              <w:left w:val="nil"/>
              <w:bottom w:val="single" w:sz="8" w:space="0" w:color="auto"/>
              <w:right w:val="single" w:sz="8" w:space="0" w:color="000000"/>
            </w:tcBorders>
          </w:tcPr>
          <w:p w14:paraId="41DDD08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tcBorders>
          </w:tcPr>
          <w:p w14:paraId="7595A1F5"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45</w:t>
            </w:r>
          </w:p>
        </w:tc>
        <w:tc>
          <w:tcPr>
            <w:tcW w:w="1134" w:type="dxa"/>
            <w:tcBorders>
              <w:top w:val="single" w:sz="8" w:space="0" w:color="auto"/>
              <w:bottom w:val="single" w:sz="8" w:space="0" w:color="auto"/>
              <w:right w:val="single" w:sz="12" w:space="0" w:color="000000"/>
            </w:tcBorders>
          </w:tcPr>
          <w:p w14:paraId="087328D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44F1BAA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7535D0FC" w14:textId="77777777" w:rsidTr="00A432B0">
        <w:trPr>
          <w:trHeight w:val="364"/>
        </w:trPr>
        <w:tc>
          <w:tcPr>
            <w:tcW w:w="1647" w:type="dxa"/>
            <w:tcBorders>
              <w:top w:val="nil"/>
              <w:left w:val="single" w:sz="4" w:space="0" w:color="auto"/>
              <w:bottom w:val="single" w:sz="8" w:space="0" w:color="auto"/>
              <w:right w:val="single" w:sz="8" w:space="0" w:color="auto"/>
            </w:tcBorders>
          </w:tcPr>
          <w:p w14:paraId="7DDC73B4"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Hordeum vulgare</w:t>
            </w:r>
          </w:p>
        </w:tc>
        <w:tc>
          <w:tcPr>
            <w:tcW w:w="1276" w:type="dxa"/>
            <w:tcBorders>
              <w:top w:val="nil"/>
              <w:left w:val="nil"/>
              <w:bottom w:val="single" w:sz="8" w:space="0" w:color="auto"/>
              <w:right w:val="single" w:sz="8" w:space="0" w:color="auto"/>
            </w:tcBorders>
          </w:tcPr>
          <w:p w14:paraId="0D4FB11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sand Montpellier</w:t>
            </w:r>
          </w:p>
        </w:tc>
        <w:tc>
          <w:tcPr>
            <w:tcW w:w="425" w:type="dxa"/>
            <w:tcBorders>
              <w:top w:val="nil"/>
              <w:left w:val="nil"/>
              <w:bottom w:val="single" w:sz="8" w:space="0" w:color="auto"/>
              <w:right w:val="single" w:sz="8" w:space="0" w:color="auto"/>
            </w:tcBorders>
          </w:tcPr>
          <w:p w14:paraId="454953A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5.2</w:t>
            </w:r>
          </w:p>
        </w:tc>
        <w:tc>
          <w:tcPr>
            <w:tcW w:w="709" w:type="dxa"/>
            <w:tcBorders>
              <w:top w:val="nil"/>
              <w:left w:val="nil"/>
              <w:bottom w:val="single" w:sz="8" w:space="0" w:color="auto"/>
              <w:right w:val="single" w:sz="8" w:space="0" w:color="auto"/>
            </w:tcBorders>
          </w:tcPr>
          <w:p w14:paraId="291B5CD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1.2</w:t>
            </w:r>
          </w:p>
        </w:tc>
        <w:tc>
          <w:tcPr>
            <w:tcW w:w="709" w:type="dxa"/>
            <w:tcBorders>
              <w:top w:val="nil"/>
              <w:left w:val="nil"/>
              <w:bottom w:val="single" w:sz="8" w:space="0" w:color="auto"/>
              <w:right w:val="single" w:sz="8" w:space="0" w:color="auto"/>
            </w:tcBorders>
          </w:tcPr>
          <w:p w14:paraId="19C5E49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w:t>
            </w:r>
          </w:p>
        </w:tc>
        <w:tc>
          <w:tcPr>
            <w:tcW w:w="709" w:type="dxa"/>
            <w:tcBorders>
              <w:top w:val="nil"/>
              <w:left w:val="nil"/>
              <w:bottom w:val="single" w:sz="8" w:space="0" w:color="auto"/>
              <w:right w:val="single" w:sz="8" w:space="0" w:color="auto"/>
            </w:tcBorders>
          </w:tcPr>
          <w:p w14:paraId="57DF8D6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w:t>
            </w:r>
          </w:p>
        </w:tc>
        <w:tc>
          <w:tcPr>
            <w:tcW w:w="850" w:type="dxa"/>
            <w:tcBorders>
              <w:top w:val="nil"/>
              <w:left w:val="nil"/>
              <w:bottom w:val="single" w:sz="8" w:space="0" w:color="auto"/>
              <w:right w:val="single" w:sz="8" w:space="0" w:color="auto"/>
            </w:tcBorders>
          </w:tcPr>
          <w:p w14:paraId="3640C81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2.5</w:t>
            </w:r>
          </w:p>
        </w:tc>
        <w:tc>
          <w:tcPr>
            <w:tcW w:w="992" w:type="dxa"/>
            <w:tcBorders>
              <w:top w:val="nil"/>
              <w:left w:val="nil"/>
              <w:bottom w:val="single" w:sz="8" w:space="0" w:color="auto"/>
              <w:right w:val="single" w:sz="8" w:space="0" w:color="auto"/>
            </w:tcBorders>
          </w:tcPr>
          <w:p w14:paraId="6E48F71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003D0EC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992" w:type="dxa"/>
            <w:tcBorders>
              <w:top w:val="nil"/>
              <w:left w:val="nil"/>
              <w:bottom w:val="single" w:sz="8" w:space="0" w:color="auto"/>
              <w:right w:val="single" w:sz="8" w:space="0" w:color="auto"/>
            </w:tcBorders>
          </w:tcPr>
          <w:p w14:paraId="416D53F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EC10</w:t>
            </w:r>
            <w:r w:rsidRPr="0098635C">
              <w:rPr>
                <w:rFonts w:ascii="Arial Narrow" w:hAnsi="Arial Narrow" w:cs="Arial Narrow"/>
                <w:color w:val="000000" w:themeColor="text1"/>
                <w:sz w:val="20"/>
                <w:szCs w:val="20"/>
                <w:vertAlign w:val="subscript"/>
              </w:rPr>
              <w:t>rl</w:t>
            </w:r>
          </w:p>
        </w:tc>
        <w:tc>
          <w:tcPr>
            <w:tcW w:w="993" w:type="dxa"/>
            <w:tcBorders>
              <w:top w:val="single" w:sz="8" w:space="0" w:color="auto"/>
              <w:left w:val="nil"/>
              <w:bottom w:val="single" w:sz="8" w:space="0" w:color="auto"/>
              <w:right w:val="single" w:sz="8" w:space="0" w:color="000000"/>
            </w:tcBorders>
          </w:tcPr>
          <w:p w14:paraId="1A3A285C"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38</w:t>
            </w:r>
          </w:p>
        </w:tc>
        <w:tc>
          <w:tcPr>
            <w:tcW w:w="1275" w:type="dxa"/>
            <w:tcBorders>
              <w:top w:val="single" w:sz="8" w:space="0" w:color="auto"/>
              <w:left w:val="nil"/>
              <w:bottom w:val="single" w:sz="8" w:space="0" w:color="auto"/>
              <w:right w:val="single" w:sz="8" w:space="0" w:color="000000"/>
            </w:tcBorders>
          </w:tcPr>
          <w:p w14:paraId="442B113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tcBorders>
          </w:tcPr>
          <w:p w14:paraId="433F2804"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43</w:t>
            </w:r>
          </w:p>
        </w:tc>
        <w:tc>
          <w:tcPr>
            <w:tcW w:w="1134" w:type="dxa"/>
            <w:tcBorders>
              <w:top w:val="single" w:sz="8" w:space="0" w:color="auto"/>
              <w:bottom w:val="single" w:sz="8" w:space="0" w:color="auto"/>
              <w:right w:val="single" w:sz="12" w:space="0" w:color="000000"/>
            </w:tcBorders>
          </w:tcPr>
          <w:p w14:paraId="68EF098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354D655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47FD4F9E" w14:textId="77777777" w:rsidTr="00A432B0">
        <w:trPr>
          <w:trHeight w:val="64"/>
        </w:trPr>
        <w:tc>
          <w:tcPr>
            <w:tcW w:w="1647" w:type="dxa"/>
            <w:tcBorders>
              <w:top w:val="nil"/>
              <w:left w:val="single" w:sz="4" w:space="0" w:color="auto"/>
              <w:bottom w:val="single" w:sz="8" w:space="0" w:color="auto"/>
              <w:right w:val="single" w:sz="8" w:space="0" w:color="auto"/>
            </w:tcBorders>
          </w:tcPr>
          <w:p w14:paraId="2C9F4298"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Hordeum vulgare</w:t>
            </w:r>
          </w:p>
        </w:tc>
        <w:tc>
          <w:tcPr>
            <w:tcW w:w="1276" w:type="dxa"/>
            <w:tcBorders>
              <w:top w:val="nil"/>
              <w:left w:val="nil"/>
              <w:bottom w:val="single" w:sz="8" w:space="0" w:color="auto"/>
              <w:right w:val="single" w:sz="8" w:space="0" w:color="auto"/>
            </w:tcBorders>
          </w:tcPr>
          <w:p w14:paraId="74CA7C2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Clay Aluminosa</w:t>
            </w:r>
          </w:p>
        </w:tc>
        <w:tc>
          <w:tcPr>
            <w:tcW w:w="425" w:type="dxa"/>
            <w:tcBorders>
              <w:top w:val="nil"/>
              <w:left w:val="nil"/>
              <w:bottom w:val="single" w:sz="8" w:space="0" w:color="auto"/>
              <w:right w:val="single" w:sz="8" w:space="0" w:color="auto"/>
            </w:tcBorders>
          </w:tcPr>
          <w:p w14:paraId="170B156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5.4</w:t>
            </w:r>
          </w:p>
        </w:tc>
        <w:tc>
          <w:tcPr>
            <w:tcW w:w="709" w:type="dxa"/>
            <w:tcBorders>
              <w:top w:val="nil"/>
              <w:left w:val="nil"/>
              <w:bottom w:val="single" w:sz="8" w:space="0" w:color="auto"/>
              <w:right w:val="single" w:sz="8" w:space="0" w:color="auto"/>
            </w:tcBorders>
          </w:tcPr>
          <w:p w14:paraId="1F40F3D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w:t>
            </w:r>
          </w:p>
        </w:tc>
        <w:tc>
          <w:tcPr>
            <w:tcW w:w="709" w:type="dxa"/>
            <w:tcBorders>
              <w:top w:val="nil"/>
              <w:left w:val="nil"/>
              <w:bottom w:val="single" w:sz="8" w:space="0" w:color="auto"/>
              <w:right w:val="single" w:sz="8" w:space="0" w:color="auto"/>
            </w:tcBorders>
          </w:tcPr>
          <w:p w14:paraId="19D7A71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51</w:t>
            </w:r>
          </w:p>
        </w:tc>
        <w:tc>
          <w:tcPr>
            <w:tcW w:w="709" w:type="dxa"/>
            <w:tcBorders>
              <w:top w:val="nil"/>
              <w:left w:val="nil"/>
              <w:bottom w:val="single" w:sz="8" w:space="0" w:color="auto"/>
              <w:right w:val="single" w:sz="8" w:space="0" w:color="auto"/>
            </w:tcBorders>
          </w:tcPr>
          <w:p w14:paraId="013226B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850" w:type="dxa"/>
            <w:tcBorders>
              <w:top w:val="nil"/>
              <w:left w:val="nil"/>
              <w:bottom w:val="single" w:sz="8" w:space="0" w:color="auto"/>
              <w:right w:val="single" w:sz="8" w:space="0" w:color="auto"/>
            </w:tcBorders>
          </w:tcPr>
          <w:p w14:paraId="7C0378D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22.6</w:t>
            </w:r>
          </w:p>
        </w:tc>
        <w:tc>
          <w:tcPr>
            <w:tcW w:w="992" w:type="dxa"/>
            <w:tcBorders>
              <w:top w:val="nil"/>
              <w:left w:val="nil"/>
              <w:bottom w:val="single" w:sz="8" w:space="0" w:color="auto"/>
              <w:right w:val="single" w:sz="8" w:space="0" w:color="auto"/>
            </w:tcBorders>
          </w:tcPr>
          <w:p w14:paraId="2C3FCBD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267ACBB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992" w:type="dxa"/>
            <w:tcBorders>
              <w:top w:val="nil"/>
              <w:left w:val="nil"/>
              <w:bottom w:val="single" w:sz="8" w:space="0" w:color="auto"/>
              <w:right w:val="single" w:sz="8" w:space="0" w:color="auto"/>
            </w:tcBorders>
          </w:tcPr>
          <w:p w14:paraId="4FE7286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rl</w:t>
            </w:r>
          </w:p>
        </w:tc>
        <w:tc>
          <w:tcPr>
            <w:tcW w:w="993" w:type="dxa"/>
            <w:tcBorders>
              <w:top w:val="single" w:sz="8" w:space="0" w:color="auto"/>
              <w:left w:val="nil"/>
              <w:bottom w:val="single" w:sz="8" w:space="0" w:color="auto"/>
              <w:right w:val="single" w:sz="8" w:space="0" w:color="000000"/>
            </w:tcBorders>
          </w:tcPr>
          <w:p w14:paraId="72065607"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252</w:t>
            </w:r>
          </w:p>
        </w:tc>
        <w:tc>
          <w:tcPr>
            <w:tcW w:w="1275" w:type="dxa"/>
            <w:tcBorders>
              <w:top w:val="single" w:sz="8" w:space="0" w:color="auto"/>
              <w:left w:val="nil"/>
              <w:bottom w:val="single" w:sz="8" w:space="0" w:color="auto"/>
              <w:right w:val="single" w:sz="8" w:space="0" w:color="000000"/>
            </w:tcBorders>
          </w:tcPr>
          <w:p w14:paraId="781F3D7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tcBorders>
          </w:tcPr>
          <w:p w14:paraId="61868A19"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273</w:t>
            </w:r>
          </w:p>
        </w:tc>
        <w:tc>
          <w:tcPr>
            <w:tcW w:w="1134" w:type="dxa"/>
            <w:tcBorders>
              <w:top w:val="single" w:sz="8" w:space="0" w:color="auto"/>
              <w:bottom w:val="single" w:sz="8" w:space="0" w:color="auto"/>
              <w:right w:val="single" w:sz="12" w:space="0" w:color="000000"/>
            </w:tcBorders>
          </w:tcPr>
          <w:p w14:paraId="016CC90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4568291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7D990CBF" w14:textId="77777777" w:rsidTr="00A432B0">
        <w:trPr>
          <w:trHeight w:val="364"/>
        </w:trPr>
        <w:tc>
          <w:tcPr>
            <w:tcW w:w="1647" w:type="dxa"/>
            <w:tcBorders>
              <w:top w:val="nil"/>
              <w:left w:val="single" w:sz="4" w:space="0" w:color="auto"/>
              <w:bottom w:val="single" w:sz="8" w:space="0" w:color="auto"/>
              <w:right w:val="single" w:sz="8" w:space="0" w:color="auto"/>
            </w:tcBorders>
          </w:tcPr>
          <w:p w14:paraId="5BE433CB"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Hordeum vulgare</w:t>
            </w:r>
          </w:p>
        </w:tc>
        <w:tc>
          <w:tcPr>
            <w:tcW w:w="1276" w:type="dxa"/>
            <w:tcBorders>
              <w:top w:val="nil"/>
              <w:left w:val="nil"/>
              <w:bottom w:val="single" w:sz="8" w:space="0" w:color="auto"/>
              <w:right w:val="single" w:sz="8" w:space="0" w:color="auto"/>
            </w:tcBorders>
          </w:tcPr>
          <w:p w14:paraId="5CA3D2F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clay loam Woburn</w:t>
            </w:r>
          </w:p>
        </w:tc>
        <w:tc>
          <w:tcPr>
            <w:tcW w:w="425" w:type="dxa"/>
            <w:tcBorders>
              <w:top w:val="nil"/>
              <w:left w:val="nil"/>
              <w:bottom w:val="single" w:sz="8" w:space="0" w:color="auto"/>
              <w:right w:val="single" w:sz="8" w:space="0" w:color="auto"/>
            </w:tcBorders>
          </w:tcPr>
          <w:p w14:paraId="13E0BD2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6.4</w:t>
            </w:r>
          </w:p>
        </w:tc>
        <w:tc>
          <w:tcPr>
            <w:tcW w:w="709" w:type="dxa"/>
            <w:tcBorders>
              <w:top w:val="nil"/>
              <w:left w:val="nil"/>
              <w:bottom w:val="single" w:sz="8" w:space="0" w:color="auto"/>
              <w:right w:val="single" w:sz="8" w:space="0" w:color="auto"/>
            </w:tcBorders>
          </w:tcPr>
          <w:p w14:paraId="2FC6155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5D2E0BC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709" w:type="dxa"/>
            <w:tcBorders>
              <w:top w:val="nil"/>
              <w:left w:val="nil"/>
              <w:bottom w:val="single" w:sz="8" w:space="0" w:color="auto"/>
              <w:right w:val="single" w:sz="8" w:space="0" w:color="auto"/>
            </w:tcBorders>
          </w:tcPr>
          <w:p w14:paraId="4A86318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22</w:t>
            </w:r>
          </w:p>
        </w:tc>
        <w:tc>
          <w:tcPr>
            <w:tcW w:w="850" w:type="dxa"/>
            <w:tcBorders>
              <w:top w:val="nil"/>
              <w:left w:val="nil"/>
              <w:bottom w:val="single" w:sz="8" w:space="0" w:color="auto"/>
              <w:right w:val="single" w:sz="8" w:space="0" w:color="auto"/>
            </w:tcBorders>
          </w:tcPr>
          <w:p w14:paraId="1926BAE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23.4</w:t>
            </w:r>
          </w:p>
        </w:tc>
        <w:tc>
          <w:tcPr>
            <w:tcW w:w="992" w:type="dxa"/>
            <w:tcBorders>
              <w:top w:val="nil"/>
              <w:left w:val="nil"/>
              <w:bottom w:val="single" w:sz="8" w:space="0" w:color="auto"/>
              <w:right w:val="single" w:sz="8" w:space="0" w:color="auto"/>
            </w:tcBorders>
          </w:tcPr>
          <w:p w14:paraId="7DDDB00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3CB6AA2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992" w:type="dxa"/>
            <w:tcBorders>
              <w:top w:val="nil"/>
              <w:left w:val="nil"/>
              <w:bottom w:val="single" w:sz="8" w:space="0" w:color="auto"/>
              <w:right w:val="single" w:sz="8" w:space="0" w:color="auto"/>
            </w:tcBorders>
          </w:tcPr>
          <w:p w14:paraId="46AB4BA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rl</w:t>
            </w:r>
          </w:p>
        </w:tc>
        <w:tc>
          <w:tcPr>
            <w:tcW w:w="993" w:type="dxa"/>
            <w:tcBorders>
              <w:top w:val="single" w:sz="8" w:space="0" w:color="auto"/>
              <w:left w:val="nil"/>
              <w:bottom w:val="single" w:sz="8" w:space="0" w:color="auto"/>
              <w:right w:val="single" w:sz="8" w:space="0" w:color="000000"/>
            </w:tcBorders>
          </w:tcPr>
          <w:p w14:paraId="34820E33"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144</w:t>
            </w:r>
          </w:p>
        </w:tc>
        <w:tc>
          <w:tcPr>
            <w:tcW w:w="1275" w:type="dxa"/>
            <w:tcBorders>
              <w:top w:val="single" w:sz="8" w:space="0" w:color="auto"/>
              <w:left w:val="nil"/>
              <w:bottom w:val="single" w:sz="8" w:space="0" w:color="auto"/>
              <w:right w:val="single" w:sz="8" w:space="0" w:color="000000"/>
            </w:tcBorders>
          </w:tcPr>
          <w:p w14:paraId="7C678DC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tcBorders>
          </w:tcPr>
          <w:p w14:paraId="2BB6B734"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166</w:t>
            </w:r>
          </w:p>
        </w:tc>
        <w:tc>
          <w:tcPr>
            <w:tcW w:w="1134" w:type="dxa"/>
            <w:tcBorders>
              <w:top w:val="single" w:sz="8" w:space="0" w:color="auto"/>
              <w:bottom w:val="single" w:sz="8" w:space="0" w:color="auto"/>
              <w:right w:val="single" w:sz="12" w:space="0" w:color="000000"/>
            </w:tcBorders>
          </w:tcPr>
          <w:p w14:paraId="1B9F0A7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3F60BF5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xml:space="preserve">Rooney et al.(2004) </w:t>
            </w:r>
          </w:p>
        </w:tc>
      </w:tr>
      <w:tr w:rsidR="00632208" w:rsidRPr="0098635C" w14:paraId="50119062" w14:textId="77777777" w:rsidTr="00A432B0">
        <w:trPr>
          <w:trHeight w:val="168"/>
        </w:trPr>
        <w:tc>
          <w:tcPr>
            <w:tcW w:w="1647" w:type="dxa"/>
            <w:vMerge w:val="restart"/>
            <w:tcBorders>
              <w:top w:val="nil"/>
              <w:left w:val="single" w:sz="4" w:space="0" w:color="auto"/>
              <w:bottom w:val="single" w:sz="8" w:space="0" w:color="000000"/>
              <w:right w:val="single" w:sz="8" w:space="0" w:color="auto"/>
            </w:tcBorders>
          </w:tcPr>
          <w:p w14:paraId="738AF8AA"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Hordeum vulgare</w:t>
            </w:r>
          </w:p>
        </w:tc>
        <w:tc>
          <w:tcPr>
            <w:tcW w:w="1276" w:type="dxa"/>
            <w:tcBorders>
              <w:top w:val="nil"/>
              <w:left w:val="nil"/>
              <w:bottom w:val="nil"/>
              <w:right w:val="single" w:sz="8" w:space="0" w:color="auto"/>
            </w:tcBorders>
          </w:tcPr>
          <w:p w14:paraId="3572869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Silt loam</w:t>
            </w:r>
          </w:p>
        </w:tc>
        <w:tc>
          <w:tcPr>
            <w:tcW w:w="425" w:type="dxa"/>
            <w:vMerge w:val="restart"/>
            <w:tcBorders>
              <w:top w:val="nil"/>
              <w:left w:val="single" w:sz="8" w:space="0" w:color="auto"/>
              <w:bottom w:val="single" w:sz="8" w:space="0" w:color="000000"/>
              <w:right w:val="single" w:sz="8" w:space="0" w:color="auto"/>
            </w:tcBorders>
          </w:tcPr>
          <w:p w14:paraId="05A16FC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6.8</w:t>
            </w:r>
          </w:p>
        </w:tc>
        <w:tc>
          <w:tcPr>
            <w:tcW w:w="709" w:type="dxa"/>
            <w:vMerge w:val="restart"/>
            <w:tcBorders>
              <w:top w:val="nil"/>
              <w:left w:val="single" w:sz="8" w:space="0" w:color="auto"/>
              <w:bottom w:val="single" w:sz="8" w:space="0" w:color="000000"/>
              <w:right w:val="single" w:sz="8" w:space="0" w:color="auto"/>
            </w:tcBorders>
          </w:tcPr>
          <w:p w14:paraId="1D49C58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1.6</w:t>
            </w:r>
          </w:p>
        </w:tc>
        <w:tc>
          <w:tcPr>
            <w:tcW w:w="709" w:type="dxa"/>
            <w:vMerge w:val="restart"/>
            <w:tcBorders>
              <w:top w:val="nil"/>
              <w:left w:val="single" w:sz="8" w:space="0" w:color="auto"/>
              <w:bottom w:val="single" w:sz="8" w:space="0" w:color="000000"/>
              <w:right w:val="single" w:sz="8" w:space="0" w:color="auto"/>
            </w:tcBorders>
          </w:tcPr>
          <w:p w14:paraId="322B107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w:t>
            </w:r>
          </w:p>
        </w:tc>
        <w:tc>
          <w:tcPr>
            <w:tcW w:w="709" w:type="dxa"/>
            <w:vMerge w:val="restart"/>
            <w:tcBorders>
              <w:top w:val="nil"/>
              <w:left w:val="single" w:sz="8" w:space="0" w:color="auto"/>
              <w:bottom w:val="single" w:sz="8" w:space="0" w:color="000000"/>
              <w:right w:val="single" w:sz="8" w:space="0" w:color="auto"/>
            </w:tcBorders>
          </w:tcPr>
          <w:p w14:paraId="3923E2A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22</w:t>
            </w:r>
          </w:p>
        </w:tc>
        <w:tc>
          <w:tcPr>
            <w:tcW w:w="850" w:type="dxa"/>
            <w:vMerge w:val="restart"/>
            <w:tcBorders>
              <w:top w:val="nil"/>
              <w:left w:val="single" w:sz="8" w:space="0" w:color="auto"/>
              <w:bottom w:val="single" w:sz="8" w:space="0" w:color="000000"/>
              <w:right w:val="single" w:sz="8" w:space="0" w:color="auto"/>
            </w:tcBorders>
          </w:tcPr>
          <w:p w14:paraId="30BADB5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8.9</w:t>
            </w:r>
          </w:p>
        </w:tc>
        <w:tc>
          <w:tcPr>
            <w:tcW w:w="992" w:type="dxa"/>
            <w:vMerge w:val="restart"/>
            <w:tcBorders>
              <w:top w:val="nil"/>
              <w:left w:val="single" w:sz="8" w:space="0" w:color="auto"/>
              <w:bottom w:val="single" w:sz="8" w:space="0" w:color="000000"/>
              <w:right w:val="single" w:sz="8" w:space="0" w:color="auto"/>
            </w:tcBorders>
          </w:tcPr>
          <w:p w14:paraId="0B7D54B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vMerge w:val="restart"/>
            <w:tcBorders>
              <w:top w:val="nil"/>
              <w:left w:val="single" w:sz="8" w:space="0" w:color="auto"/>
              <w:bottom w:val="single" w:sz="8" w:space="0" w:color="000000"/>
              <w:right w:val="single" w:sz="8" w:space="0" w:color="auto"/>
            </w:tcBorders>
          </w:tcPr>
          <w:p w14:paraId="6227246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992" w:type="dxa"/>
            <w:vMerge w:val="restart"/>
            <w:tcBorders>
              <w:top w:val="nil"/>
              <w:left w:val="single" w:sz="8" w:space="0" w:color="auto"/>
              <w:bottom w:val="single" w:sz="8" w:space="0" w:color="000000"/>
              <w:right w:val="single" w:sz="8" w:space="0" w:color="auto"/>
            </w:tcBorders>
          </w:tcPr>
          <w:p w14:paraId="12AD5BC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rl</w:t>
            </w:r>
          </w:p>
        </w:tc>
        <w:tc>
          <w:tcPr>
            <w:tcW w:w="993" w:type="dxa"/>
            <w:vMerge w:val="restart"/>
            <w:tcBorders>
              <w:top w:val="single" w:sz="8" w:space="0" w:color="auto"/>
              <w:left w:val="single" w:sz="8" w:space="0" w:color="auto"/>
              <w:bottom w:val="single" w:sz="8" w:space="0" w:color="000000"/>
              <w:right w:val="single" w:sz="8" w:space="0" w:color="000000"/>
            </w:tcBorders>
          </w:tcPr>
          <w:p w14:paraId="1FA72755"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55</w:t>
            </w:r>
          </w:p>
        </w:tc>
        <w:tc>
          <w:tcPr>
            <w:tcW w:w="1275" w:type="dxa"/>
            <w:vMerge w:val="restart"/>
            <w:tcBorders>
              <w:top w:val="single" w:sz="8" w:space="0" w:color="auto"/>
              <w:left w:val="single" w:sz="8" w:space="0" w:color="auto"/>
              <w:bottom w:val="single" w:sz="8" w:space="0" w:color="000000"/>
              <w:right w:val="single" w:sz="8" w:space="0" w:color="000000"/>
            </w:tcBorders>
          </w:tcPr>
          <w:p w14:paraId="6A9C9E4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vMerge w:val="restart"/>
            <w:tcBorders>
              <w:top w:val="single" w:sz="8" w:space="0" w:color="auto"/>
              <w:left w:val="single" w:sz="8" w:space="0" w:color="auto"/>
              <w:bottom w:val="single" w:sz="8" w:space="0" w:color="000000"/>
            </w:tcBorders>
          </w:tcPr>
          <w:p w14:paraId="1570DEB1"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77</w:t>
            </w:r>
          </w:p>
        </w:tc>
        <w:tc>
          <w:tcPr>
            <w:tcW w:w="1134" w:type="dxa"/>
            <w:vMerge w:val="restart"/>
            <w:tcBorders>
              <w:top w:val="single" w:sz="8" w:space="0" w:color="auto"/>
              <w:bottom w:val="single" w:sz="8" w:space="0" w:color="000000"/>
              <w:right w:val="single" w:sz="12" w:space="0" w:color="000000"/>
            </w:tcBorders>
          </w:tcPr>
          <w:p w14:paraId="261BD81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single" w:sz="8" w:space="0" w:color="auto"/>
              <w:right w:val="single" w:sz="12" w:space="0" w:color="000000"/>
            </w:tcBorders>
          </w:tcPr>
          <w:p w14:paraId="153C944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120F6330" w14:textId="77777777" w:rsidTr="00A432B0">
        <w:trPr>
          <w:trHeight w:val="177"/>
        </w:trPr>
        <w:tc>
          <w:tcPr>
            <w:tcW w:w="1647" w:type="dxa"/>
            <w:vMerge/>
            <w:tcBorders>
              <w:top w:val="nil"/>
              <w:left w:val="single" w:sz="4" w:space="0" w:color="auto"/>
              <w:bottom w:val="single" w:sz="8" w:space="0" w:color="000000"/>
              <w:right w:val="single" w:sz="8" w:space="0" w:color="auto"/>
            </w:tcBorders>
            <w:vAlign w:val="center"/>
          </w:tcPr>
          <w:p w14:paraId="4CDCCD9A" w14:textId="77777777" w:rsidR="00632208" w:rsidRPr="0098635C" w:rsidRDefault="00632208" w:rsidP="00A432B0">
            <w:pPr>
              <w:spacing w:after="0"/>
              <w:rPr>
                <w:rFonts w:ascii="Arial Narrow" w:hAnsi="Arial Narrow" w:cs="Arial Narrow"/>
                <w:i/>
                <w:iCs/>
                <w:color w:val="000000" w:themeColor="text1"/>
                <w:sz w:val="20"/>
                <w:szCs w:val="20"/>
              </w:rPr>
            </w:pPr>
          </w:p>
        </w:tc>
        <w:tc>
          <w:tcPr>
            <w:tcW w:w="1276" w:type="dxa"/>
            <w:tcBorders>
              <w:top w:val="nil"/>
              <w:left w:val="nil"/>
              <w:bottom w:val="single" w:sz="8" w:space="0" w:color="auto"/>
              <w:right w:val="single" w:sz="8" w:space="0" w:color="auto"/>
            </w:tcBorders>
          </w:tcPr>
          <w:p w14:paraId="4DC86A2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Ter Munck</w:t>
            </w:r>
          </w:p>
        </w:tc>
        <w:tc>
          <w:tcPr>
            <w:tcW w:w="425" w:type="dxa"/>
            <w:vMerge/>
            <w:tcBorders>
              <w:top w:val="nil"/>
              <w:left w:val="single" w:sz="8" w:space="0" w:color="auto"/>
              <w:bottom w:val="single" w:sz="8" w:space="0" w:color="000000"/>
              <w:right w:val="single" w:sz="8" w:space="0" w:color="auto"/>
            </w:tcBorders>
            <w:vAlign w:val="center"/>
          </w:tcPr>
          <w:p w14:paraId="1C9D58E0"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5B6742C5"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23795EA7"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0230F368" w14:textId="77777777" w:rsidR="00632208" w:rsidRPr="0098635C" w:rsidRDefault="00632208" w:rsidP="00A432B0">
            <w:pPr>
              <w:spacing w:after="0"/>
              <w:rPr>
                <w:rFonts w:ascii="Arial Narrow" w:hAnsi="Arial Narrow" w:cs="Arial Narrow"/>
                <w:color w:val="000000" w:themeColor="text1"/>
                <w:sz w:val="20"/>
                <w:szCs w:val="20"/>
              </w:rPr>
            </w:pPr>
          </w:p>
        </w:tc>
        <w:tc>
          <w:tcPr>
            <w:tcW w:w="850" w:type="dxa"/>
            <w:vMerge/>
            <w:tcBorders>
              <w:top w:val="nil"/>
              <w:left w:val="single" w:sz="8" w:space="0" w:color="auto"/>
              <w:bottom w:val="single" w:sz="8" w:space="0" w:color="000000"/>
              <w:right w:val="single" w:sz="8" w:space="0" w:color="auto"/>
            </w:tcBorders>
            <w:vAlign w:val="center"/>
          </w:tcPr>
          <w:p w14:paraId="2AF67BE1"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4CFB28D4"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5A5A1F6F"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4E74DE08" w14:textId="77777777" w:rsidR="00632208" w:rsidRPr="0098635C" w:rsidRDefault="00632208" w:rsidP="00A432B0">
            <w:pPr>
              <w:spacing w:after="0"/>
              <w:rPr>
                <w:rFonts w:ascii="Arial Narrow" w:hAnsi="Arial Narrow" w:cs="Arial Narrow"/>
                <w:color w:val="000000" w:themeColor="text1"/>
                <w:sz w:val="20"/>
                <w:szCs w:val="20"/>
              </w:rPr>
            </w:pPr>
          </w:p>
        </w:tc>
        <w:tc>
          <w:tcPr>
            <w:tcW w:w="993" w:type="dxa"/>
            <w:vMerge/>
            <w:tcBorders>
              <w:top w:val="single" w:sz="8" w:space="0" w:color="auto"/>
              <w:left w:val="single" w:sz="8" w:space="0" w:color="auto"/>
              <w:bottom w:val="single" w:sz="8" w:space="0" w:color="000000"/>
              <w:right w:val="single" w:sz="8" w:space="0" w:color="000000"/>
            </w:tcBorders>
            <w:vAlign w:val="center"/>
          </w:tcPr>
          <w:p w14:paraId="7476CAA5" w14:textId="77777777" w:rsidR="00632208" w:rsidRPr="0098635C" w:rsidRDefault="00632208" w:rsidP="00A432B0">
            <w:pPr>
              <w:spacing w:after="0"/>
              <w:rPr>
                <w:rFonts w:ascii="Arial Narrow" w:hAnsi="Arial Narrow" w:cs="Arial Narrow"/>
                <w:color w:val="000000" w:themeColor="text1"/>
                <w:sz w:val="20"/>
                <w:szCs w:val="20"/>
                <w:u w:val="single"/>
              </w:rPr>
            </w:pPr>
          </w:p>
        </w:tc>
        <w:tc>
          <w:tcPr>
            <w:tcW w:w="1275" w:type="dxa"/>
            <w:vMerge/>
            <w:tcBorders>
              <w:top w:val="single" w:sz="8" w:space="0" w:color="auto"/>
              <w:left w:val="single" w:sz="8" w:space="0" w:color="auto"/>
              <w:bottom w:val="single" w:sz="8" w:space="0" w:color="000000"/>
              <w:right w:val="single" w:sz="8" w:space="0" w:color="000000"/>
            </w:tcBorders>
            <w:vAlign w:val="center"/>
          </w:tcPr>
          <w:p w14:paraId="0C4911CF"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vMerge/>
            <w:tcBorders>
              <w:left w:val="single" w:sz="8" w:space="0" w:color="auto"/>
              <w:bottom w:val="single" w:sz="8" w:space="0" w:color="000000"/>
            </w:tcBorders>
            <w:vAlign w:val="center"/>
          </w:tcPr>
          <w:p w14:paraId="6A3CDB08" w14:textId="77777777" w:rsidR="00632208" w:rsidRPr="0098635C" w:rsidRDefault="00632208" w:rsidP="00A432B0">
            <w:pPr>
              <w:spacing w:after="0"/>
              <w:rPr>
                <w:rFonts w:ascii="Arial Narrow" w:hAnsi="Arial Narrow" w:cs="Arial Narrow"/>
                <w:color w:val="000000" w:themeColor="text1"/>
                <w:sz w:val="20"/>
                <w:szCs w:val="20"/>
                <w:u w:val="single"/>
              </w:rPr>
            </w:pPr>
          </w:p>
        </w:tc>
        <w:tc>
          <w:tcPr>
            <w:tcW w:w="1134" w:type="dxa"/>
            <w:vMerge/>
            <w:tcBorders>
              <w:bottom w:val="single" w:sz="8" w:space="0" w:color="000000"/>
              <w:right w:val="single" w:sz="12" w:space="0" w:color="000000"/>
            </w:tcBorders>
            <w:vAlign w:val="center"/>
          </w:tcPr>
          <w:p w14:paraId="3BABC1E2"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tcBorders>
              <w:left w:val="single" w:sz="8" w:space="0" w:color="auto"/>
              <w:bottom w:val="single" w:sz="8" w:space="0" w:color="000000"/>
              <w:right w:val="single" w:sz="12" w:space="0" w:color="000000"/>
            </w:tcBorders>
          </w:tcPr>
          <w:p w14:paraId="4739DE3B" w14:textId="77777777" w:rsidR="00632208" w:rsidRPr="0098635C" w:rsidRDefault="00632208" w:rsidP="00A432B0">
            <w:pPr>
              <w:spacing w:after="0"/>
              <w:rPr>
                <w:rFonts w:ascii="Arial Narrow" w:hAnsi="Arial Narrow" w:cs="Arial Narrow"/>
                <w:color w:val="000000" w:themeColor="text1"/>
                <w:sz w:val="20"/>
                <w:szCs w:val="20"/>
              </w:rPr>
            </w:pPr>
          </w:p>
        </w:tc>
      </w:tr>
      <w:tr w:rsidR="00632208" w:rsidRPr="0098635C" w14:paraId="2BE89BD5" w14:textId="77777777" w:rsidTr="00A432B0">
        <w:trPr>
          <w:trHeight w:val="513"/>
        </w:trPr>
        <w:tc>
          <w:tcPr>
            <w:tcW w:w="1647" w:type="dxa"/>
            <w:tcBorders>
              <w:top w:val="nil"/>
              <w:left w:val="single" w:sz="4" w:space="0" w:color="auto"/>
              <w:bottom w:val="single" w:sz="4" w:space="0" w:color="auto"/>
              <w:right w:val="single" w:sz="8" w:space="0" w:color="auto"/>
            </w:tcBorders>
          </w:tcPr>
          <w:p w14:paraId="735CF589"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Hordeum vulgare</w:t>
            </w:r>
          </w:p>
        </w:tc>
        <w:tc>
          <w:tcPr>
            <w:tcW w:w="1276" w:type="dxa"/>
            <w:tcBorders>
              <w:top w:val="nil"/>
              <w:left w:val="nil"/>
              <w:bottom w:val="single" w:sz="4" w:space="0" w:color="auto"/>
              <w:right w:val="single" w:sz="8" w:space="0" w:color="auto"/>
            </w:tcBorders>
          </w:tcPr>
          <w:p w14:paraId="5044857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Silty clay loam Vault de Lugny</w:t>
            </w:r>
          </w:p>
        </w:tc>
        <w:tc>
          <w:tcPr>
            <w:tcW w:w="425" w:type="dxa"/>
            <w:tcBorders>
              <w:top w:val="nil"/>
              <w:left w:val="nil"/>
              <w:bottom w:val="single" w:sz="4" w:space="0" w:color="auto"/>
              <w:right w:val="single" w:sz="8" w:space="0" w:color="auto"/>
            </w:tcBorders>
          </w:tcPr>
          <w:p w14:paraId="6FC0703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7.3</w:t>
            </w:r>
          </w:p>
        </w:tc>
        <w:tc>
          <w:tcPr>
            <w:tcW w:w="709" w:type="dxa"/>
            <w:tcBorders>
              <w:top w:val="nil"/>
              <w:left w:val="nil"/>
              <w:bottom w:val="single" w:sz="4" w:space="0" w:color="auto"/>
              <w:right w:val="single" w:sz="8" w:space="0" w:color="auto"/>
            </w:tcBorders>
          </w:tcPr>
          <w:p w14:paraId="449D7C8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2.3</w:t>
            </w:r>
          </w:p>
        </w:tc>
        <w:tc>
          <w:tcPr>
            <w:tcW w:w="709" w:type="dxa"/>
            <w:tcBorders>
              <w:top w:val="nil"/>
              <w:left w:val="nil"/>
              <w:bottom w:val="single" w:sz="4" w:space="0" w:color="auto"/>
              <w:right w:val="single" w:sz="8" w:space="0" w:color="auto"/>
            </w:tcBorders>
          </w:tcPr>
          <w:p w14:paraId="68BEB71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38</w:t>
            </w:r>
          </w:p>
        </w:tc>
        <w:tc>
          <w:tcPr>
            <w:tcW w:w="709" w:type="dxa"/>
            <w:tcBorders>
              <w:top w:val="nil"/>
              <w:left w:val="nil"/>
              <w:bottom w:val="single" w:sz="4" w:space="0" w:color="auto"/>
              <w:right w:val="single" w:sz="8" w:space="0" w:color="auto"/>
            </w:tcBorders>
          </w:tcPr>
          <w:p w14:paraId="7782866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850" w:type="dxa"/>
            <w:tcBorders>
              <w:top w:val="nil"/>
              <w:left w:val="nil"/>
              <w:bottom w:val="single" w:sz="4" w:space="0" w:color="auto"/>
              <w:right w:val="single" w:sz="8" w:space="0" w:color="auto"/>
            </w:tcBorders>
          </w:tcPr>
          <w:p w14:paraId="656A2AB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26.2</w:t>
            </w:r>
          </w:p>
        </w:tc>
        <w:tc>
          <w:tcPr>
            <w:tcW w:w="992" w:type="dxa"/>
            <w:tcBorders>
              <w:top w:val="nil"/>
              <w:left w:val="nil"/>
              <w:bottom w:val="single" w:sz="4" w:space="0" w:color="auto"/>
              <w:right w:val="single" w:sz="8" w:space="0" w:color="auto"/>
            </w:tcBorders>
          </w:tcPr>
          <w:p w14:paraId="34F511C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4" w:space="0" w:color="auto"/>
              <w:right w:val="single" w:sz="8" w:space="0" w:color="auto"/>
            </w:tcBorders>
          </w:tcPr>
          <w:p w14:paraId="38B8100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992" w:type="dxa"/>
            <w:tcBorders>
              <w:top w:val="nil"/>
              <w:left w:val="nil"/>
              <w:bottom w:val="single" w:sz="4" w:space="0" w:color="auto"/>
              <w:right w:val="single" w:sz="8" w:space="0" w:color="auto"/>
            </w:tcBorders>
          </w:tcPr>
          <w:p w14:paraId="084CC03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rl</w:t>
            </w:r>
          </w:p>
        </w:tc>
        <w:tc>
          <w:tcPr>
            <w:tcW w:w="993" w:type="dxa"/>
            <w:tcBorders>
              <w:top w:val="single" w:sz="8" w:space="0" w:color="auto"/>
              <w:left w:val="nil"/>
              <w:bottom w:val="single" w:sz="8" w:space="0" w:color="auto"/>
              <w:right w:val="single" w:sz="8" w:space="0" w:color="000000"/>
            </w:tcBorders>
          </w:tcPr>
          <w:p w14:paraId="0377546E"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154</w:t>
            </w:r>
          </w:p>
        </w:tc>
        <w:tc>
          <w:tcPr>
            <w:tcW w:w="1275" w:type="dxa"/>
            <w:tcBorders>
              <w:top w:val="single" w:sz="8" w:space="0" w:color="auto"/>
              <w:left w:val="nil"/>
              <w:bottom w:val="single" w:sz="8" w:space="0" w:color="auto"/>
              <w:right w:val="single" w:sz="8" w:space="0" w:color="000000"/>
            </w:tcBorders>
          </w:tcPr>
          <w:p w14:paraId="13EEADE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4" w:space="0" w:color="auto"/>
              <w:right w:val="nil"/>
            </w:tcBorders>
          </w:tcPr>
          <w:p w14:paraId="4691EAEE"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175</w:t>
            </w:r>
          </w:p>
        </w:tc>
        <w:tc>
          <w:tcPr>
            <w:tcW w:w="1134" w:type="dxa"/>
            <w:tcBorders>
              <w:top w:val="single" w:sz="8" w:space="0" w:color="auto"/>
              <w:left w:val="nil"/>
              <w:bottom w:val="single" w:sz="8" w:space="0" w:color="auto"/>
              <w:right w:val="single" w:sz="12" w:space="0" w:color="000000"/>
            </w:tcBorders>
          </w:tcPr>
          <w:p w14:paraId="66EE83E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67470DC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717DBF04" w14:textId="77777777" w:rsidTr="00A432B0">
        <w:trPr>
          <w:trHeight w:val="364"/>
        </w:trPr>
        <w:tc>
          <w:tcPr>
            <w:tcW w:w="1647" w:type="dxa"/>
            <w:tcBorders>
              <w:top w:val="single" w:sz="4" w:space="0" w:color="auto"/>
              <w:left w:val="single" w:sz="4" w:space="0" w:color="auto"/>
              <w:bottom w:val="single" w:sz="8" w:space="0" w:color="auto"/>
              <w:right w:val="single" w:sz="8" w:space="0" w:color="auto"/>
            </w:tcBorders>
          </w:tcPr>
          <w:p w14:paraId="15AEFC9E"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Hordeum vulgare</w:t>
            </w:r>
          </w:p>
        </w:tc>
        <w:tc>
          <w:tcPr>
            <w:tcW w:w="1276" w:type="dxa"/>
            <w:tcBorders>
              <w:top w:val="single" w:sz="4" w:space="0" w:color="auto"/>
              <w:left w:val="nil"/>
              <w:bottom w:val="single" w:sz="8" w:space="0" w:color="auto"/>
              <w:right w:val="single" w:sz="8" w:space="0" w:color="auto"/>
            </w:tcBorders>
          </w:tcPr>
          <w:p w14:paraId="751E02C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Silty clay loam Rots</w:t>
            </w:r>
          </w:p>
        </w:tc>
        <w:tc>
          <w:tcPr>
            <w:tcW w:w="425" w:type="dxa"/>
            <w:tcBorders>
              <w:top w:val="single" w:sz="4" w:space="0" w:color="auto"/>
              <w:left w:val="nil"/>
              <w:bottom w:val="single" w:sz="8" w:space="0" w:color="auto"/>
              <w:right w:val="single" w:sz="8" w:space="0" w:color="auto"/>
            </w:tcBorders>
          </w:tcPr>
          <w:p w14:paraId="1B5C794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7.4</w:t>
            </w:r>
          </w:p>
        </w:tc>
        <w:tc>
          <w:tcPr>
            <w:tcW w:w="709" w:type="dxa"/>
            <w:tcBorders>
              <w:top w:val="single" w:sz="4" w:space="0" w:color="auto"/>
              <w:left w:val="nil"/>
              <w:bottom w:val="single" w:sz="8" w:space="0" w:color="auto"/>
              <w:right w:val="single" w:sz="8" w:space="0" w:color="auto"/>
            </w:tcBorders>
          </w:tcPr>
          <w:p w14:paraId="45A5B0F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w:t>
            </w:r>
          </w:p>
        </w:tc>
        <w:tc>
          <w:tcPr>
            <w:tcW w:w="709" w:type="dxa"/>
            <w:tcBorders>
              <w:top w:val="single" w:sz="4" w:space="0" w:color="auto"/>
              <w:left w:val="nil"/>
              <w:bottom w:val="single" w:sz="8" w:space="0" w:color="auto"/>
              <w:right w:val="single" w:sz="8" w:space="0" w:color="auto"/>
            </w:tcBorders>
          </w:tcPr>
          <w:p w14:paraId="008316E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27</w:t>
            </w:r>
          </w:p>
        </w:tc>
        <w:tc>
          <w:tcPr>
            <w:tcW w:w="709" w:type="dxa"/>
            <w:tcBorders>
              <w:top w:val="single" w:sz="4" w:space="0" w:color="auto"/>
              <w:left w:val="nil"/>
              <w:bottom w:val="single" w:sz="8" w:space="0" w:color="auto"/>
              <w:right w:val="single" w:sz="8" w:space="0" w:color="auto"/>
            </w:tcBorders>
          </w:tcPr>
          <w:p w14:paraId="40134D1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w:t>
            </w:r>
          </w:p>
        </w:tc>
        <w:tc>
          <w:tcPr>
            <w:tcW w:w="850" w:type="dxa"/>
            <w:tcBorders>
              <w:top w:val="single" w:sz="4" w:space="0" w:color="auto"/>
              <w:left w:val="nil"/>
              <w:bottom w:val="single" w:sz="8" w:space="0" w:color="auto"/>
              <w:right w:val="single" w:sz="8" w:space="0" w:color="auto"/>
            </w:tcBorders>
          </w:tcPr>
          <w:p w14:paraId="3F81B17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20</w:t>
            </w:r>
          </w:p>
        </w:tc>
        <w:tc>
          <w:tcPr>
            <w:tcW w:w="992" w:type="dxa"/>
            <w:tcBorders>
              <w:top w:val="single" w:sz="4" w:space="0" w:color="auto"/>
              <w:left w:val="nil"/>
              <w:bottom w:val="single" w:sz="8" w:space="0" w:color="auto"/>
              <w:right w:val="single" w:sz="8" w:space="0" w:color="auto"/>
            </w:tcBorders>
          </w:tcPr>
          <w:p w14:paraId="6D82116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single" w:sz="4" w:space="0" w:color="auto"/>
              <w:left w:val="nil"/>
              <w:bottom w:val="single" w:sz="8" w:space="0" w:color="auto"/>
              <w:right w:val="single" w:sz="8" w:space="0" w:color="auto"/>
            </w:tcBorders>
          </w:tcPr>
          <w:p w14:paraId="31E34B5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992" w:type="dxa"/>
            <w:tcBorders>
              <w:top w:val="single" w:sz="4" w:space="0" w:color="auto"/>
              <w:left w:val="nil"/>
              <w:bottom w:val="single" w:sz="8" w:space="0" w:color="auto"/>
              <w:right w:val="single" w:sz="8" w:space="0" w:color="auto"/>
            </w:tcBorders>
          </w:tcPr>
          <w:p w14:paraId="77CEA3E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rl</w:t>
            </w:r>
          </w:p>
        </w:tc>
        <w:tc>
          <w:tcPr>
            <w:tcW w:w="993" w:type="dxa"/>
            <w:tcBorders>
              <w:top w:val="single" w:sz="8" w:space="0" w:color="auto"/>
              <w:left w:val="nil"/>
              <w:bottom w:val="single" w:sz="8" w:space="0" w:color="auto"/>
              <w:right w:val="single" w:sz="8" w:space="0" w:color="000000"/>
            </w:tcBorders>
          </w:tcPr>
          <w:p w14:paraId="4D73619C"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47</w:t>
            </w:r>
          </w:p>
        </w:tc>
        <w:tc>
          <w:tcPr>
            <w:tcW w:w="1275" w:type="dxa"/>
            <w:tcBorders>
              <w:top w:val="single" w:sz="8" w:space="0" w:color="auto"/>
              <w:left w:val="nil"/>
              <w:bottom w:val="single" w:sz="8" w:space="0" w:color="auto"/>
              <w:right w:val="single" w:sz="8" w:space="0" w:color="000000"/>
            </w:tcBorders>
          </w:tcPr>
          <w:p w14:paraId="5E74859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4" w:space="0" w:color="auto"/>
              <w:left w:val="nil"/>
              <w:bottom w:val="single" w:sz="8" w:space="0" w:color="auto"/>
              <w:right w:val="nil"/>
            </w:tcBorders>
          </w:tcPr>
          <w:p w14:paraId="373615F3"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61</w:t>
            </w:r>
          </w:p>
        </w:tc>
        <w:tc>
          <w:tcPr>
            <w:tcW w:w="1134" w:type="dxa"/>
            <w:tcBorders>
              <w:top w:val="single" w:sz="8" w:space="0" w:color="auto"/>
              <w:left w:val="nil"/>
              <w:bottom w:val="single" w:sz="8" w:space="0" w:color="auto"/>
              <w:right w:val="single" w:sz="12" w:space="0" w:color="000000"/>
            </w:tcBorders>
          </w:tcPr>
          <w:p w14:paraId="30F4DD2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3CD5CF4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23F54526" w14:textId="77777777" w:rsidTr="00A432B0">
        <w:trPr>
          <w:trHeight w:val="168"/>
        </w:trPr>
        <w:tc>
          <w:tcPr>
            <w:tcW w:w="1647" w:type="dxa"/>
            <w:vMerge w:val="restart"/>
            <w:tcBorders>
              <w:top w:val="nil"/>
              <w:left w:val="single" w:sz="4" w:space="0" w:color="auto"/>
              <w:bottom w:val="single" w:sz="8" w:space="0" w:color="000000"/>
              <w:right w:val="single" w:sz="8" w:space="0" w:color="auto"/>
            </w:tcBorders>
          </w:tcPr>
          <w:p w14:paraId="0015EFB2"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lastRenderedPageBreak/>
              <w:t>Hordeum vulgare</w:t>
            </w:r>
          </w:p>
        </w:tc>
        <w:tc>
          <w:tcPr>
            <w:tcW w:w="1276" w:type="dxa"/>
            <w:tcBorders>
              <w:top w:val="nil"/>
              <w:left w:val="nil"/>
              <w:bottom w:val="nil"/>
              <w:right w:val="single" w:sz="8" w:space="0" w:color="auto"/>
            </w:tcBorders>
          </w:tcPr>
          <w:p w14:paraId="6499413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Clay</w:t>
            </w:r>
          </w:p>
        </w:tc>
        <w:tc>
          <w:tcPr>
            <w:tcW w:w="425" w:type="dxa"/>
            <w:vMerge w:val="restart"/>
            <w:tcBorders>
              <w:top w:val="nil"/>
              <w:left w:val="single" w:sz="8" w:space="0" w:color="auto"/>
              <w:bottom w:val="single" w:sz="8" w:space="0" w:color="000000"/>
              <w:right w:val="single" w:sz="8" w:space="0" w:color="auto"/>
            </w:tcBorders>
          </w:tcPr>
          <w:p w14:paraId="6668257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7.4</w:t>
            </w:r>
          </w:p>
        </w:tc>
        <w:tc>
          <w:tcPr>
            <w:tcW w:w="709" w:type="dxa"/>
            <w:vMerge w:val="restart"/>
            <w:tcBorders>
              <w:top w:val="nil"/>
              <w:left w:val="single" w:sz="8" w:space="0" w:color="auto"/>
              <w:bottom w:val="single" w:sz="8" w:space="0" w:color="000000"/>
              <w:right w:val="single" w:sz="8" w:space="0" w:color="auto"/>
            </w:tcBorders>
          </w:tcPr>
          <w:p w14:paraId="4471193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4.2</w:t>
            </w:r>
          </w:p>
        </w:tc>
        <w:tc>
          <w:tcPr>
            <w:tcW w:w="709" w:type="dxa"/>
            <w:vMerge w:val="restart"/>
            <w:tcBorders>
              <w:top w:val="nil"/>
              <w:left w:val="single" w:sz="8" w:space="0" w:color="auto"/>
              <w:bottom w:val="single" w:sz="8" w:space="0" w:color="000000"/>
              <w:right w:val="single" w:sz="8" w:space="0" w:color="auto"/>
            </w:tcBorders>
          </w:tcPr>
          <w:p w14:paraId="41E169E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46</w:t>
            </w:r>
          </w:p>
        </w:tc>
        <w:tc>
          <w:tcPr>
            <w:tcW w:w="709" w:type="dxa"/>
            <w:vMerge w:val="restart"/>
            <w:tcBorders>
              <w:top w:val="nil"/>
              <w:left w:val="single" w:sz="8" w:space="0" w:color="auto"/>
              <w:bottom w:val="single" w:sz="8" w:space="0" w:color="000000"/>
              <w:right w:val="single" w:sz="8" w:space="0" w:color="auto"/>
            </w:tcBorders>
          </w:tcPr>
          <w:p w14:paraId="7FA7FC8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34</w:t>
            </w:r>
          </w:p>
        </w:tc>
        <w:tc>
          <w:tcPr>
            <w:tcW w:w="850" w:type="dxa"/>
            <w:vMerge w:val="restart"/>
            <w:tcBorders>
              <w:top w:val="nil"/>
              <w:left w:val="single" w:sz="8" w:space="0" w:color="auto"/>
              <w:bottom w:val="single" w:sz="8" w:space="0" w:color="000000"/>
              <w:right w:val="single" w:sz="8" w:space="0" w:color="auto"/>
            </w:tcBorders>
          </w:tcPr>
          <w:p w14:paraId="6A90E4A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36.3</w:t>
            </w:r>
          </w:p>
        </w:tc>
        <w:tc>
          <w:tcPr>
            <w:tcW w:w="992" w:type="dxa"/>
            <w:vMerge w:val="restart"/>
            <w:tcBorders>
              <w:top w:val="nil"/>
              <w:left w:val="single" w:sz="8" w:space="0" w:color="auto"/>
              <w:bottom w:val="single" w:sz="8" w:space="0" w:color="000000"/>
              <w:right w:val="single" w:sz="8" w:space="0" w:color="auto"/>
            </w:tcBorders>
          </w:tcPr>
          <w:p w14:paraId="53A080F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vMerge w:val="restart"/>
            <w:tcBorders>
              <w:top w:val="nil"/>
              <w:left w:val="single" w:sz="8" w:space="0" w:color="auto"/>
              <w:bottom w:val="single" w:sz="8" w:space="0" w:color="000000"/>
              <w:right w:val="single" w:sz="8" w:space="0" w:color="auto"/>
            </w:tcBorders>
          </w:tcPr>
          <w:p w14:paraId="4F8009E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992" w:type="dxa"/>
            <w:vMerge w:val="restart"/>
            <w:tcBorders>
              <w:top w:val="nil"/>
              <w:left w:val="single" w:sz="8" w:space="0" w:color="auto"/>
              <w:bottom w:val="single" w:sz="8" w:space="0" w:color="000000"/>
              <w:right w:val="single" w:sz="8" w:space="0" w:color="auto"/>
            </w:tcBorders>
          </w:tcPr>
          <w:p w14:paraId="7E07AC2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EC10</w:t>
            </w:r>
            <w:r w:rsidRPr="0098635C">
              <w:rPr>
                <w:rFonts w:ascii="Arial Narrow" w:hAnsi="Arial Narrow" w:cs="Arial Narrow"/>
                <w:color w:val="000000" w:themeColor="text1"/>
                <w:sz w:val="20"/>
                <w:szCs w:val="20"/>
                <w:vertAlign w:val="subscript"/>
              </w:rPr>
              <w:t>rl</w:t>
            </w:r>
          </w:p>
        </w:tc>
        <w:tc>
          <w:tcPr>
            <w:tcW w:w="993" w:type="dxa"/>
            <w:vMerge w:val="restart"/>
            <w:tcBorders>
              <w:top w:val="single" w:sz="8" w:space="0" w:color="auto"/>
              <w:left w:val="single" w:sz="8" w:space="0" w:color="auto"/>
              <w:bottom w:val="single" w:sz="8" w:space="0" w:color="000000"/>
              <w:right w:val="single" w:sz="8" w:space="0" w:color="000000"/>
            </w:tcBorders>
          </w:tcPr>
          <w:p w14:paraId="0764C6A4"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120</w:t>
            </w:r>
          </w:p>
        </w:tc>
        <w:tc>
          <w:tcPr>
            <w:tcW w:w="1275" w:type="dxa"/>
            <w:vMerge w:val="restart"/>
            <w:tcBorders>
              <w:top w:val="single" w:sz="8" w:space="0" w:color="auto"/>
              <w:left w:val="single" w:sz="8" w:space="0" w:color="auto"/>
              <w:bottom w:val="single" w:sz="8" w:space="0" w:color="000000"/>
              <w:right w:val="single" w:sz="8" w:space="0" w:color="000000"/>
            </w:tcBorders>
          </w:tcPr>
          <w:p w14:paraId="40252CF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vMerge w:val="restart"/>
            <w:tcBorders>
              <w:top w:val="single" w:sz="8" w:space="0" w:color="auto"/>
              <w:left w:val="single" w:sz="8" w:space="0" w:color="auto"/>
              <w:bottom w:val="single" w:sz="8" w:space="0" w:color="000000"/>
            </w:tcBorders>
          </w:tcPr>
          <w:p w14:paraId="6D3AB9B9"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154</w:t>
            </w:r>
          </w:p>
        </w:tc>
        <w:tc>
          <w:tcPr>
            <w:tcW w:w="1134" w:type="dxa"/>
            <w:vMerge w:val="restart"/>
            <w:tcBorders>
              <w:top w:val="single" w:sz="8" w:space="0" w:color="auto"/>
              <w:bottom w:val="single" w:sz="8" w:space="0" w:color="000000"/>
              <w:right w:val="single" w:sz="12" w:space="0" w:color="000000"/>
            </w:tcBorders>
          </w:tcPr>
          <w:p w14:paraId="00F3DEA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single" w:sz="8" w:space="0" w:color="auto"/>
              <w:right w:val="single" w:sz="12" w:space="0" w:color="000000"/>
            </w:tcBorders>
          </w:tcPr>
          <w:p w14:paraId="26B25F0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280DF155" w14:textId="77777777" w:rsidTr="00A432B0">
        <w:trPr>
          <w:trHeight w:val="177"/>
        </w:trPr>
        <w:tc>
          <w:tcPr>
            <w:tcW w:w="1647" w:type="dxa"/>
            <w:vMerge/>
            <w:tcBorders>
              <w:top w:val="nil"/>
              <w:left w:val="single" w:sz="4" w:space="0" w:color="auto"/>
              <w:bottom w:val="single" w:sz="8" w:space="0" w:color="000000"/>
              <w:right w:val="single" w:sz="8" w:space="0" w:color="auto"/>
            </w:tcBorders>
            <w:vAlign w:val="center"/>
          </w:tcPr>
          <w:p w14:paraId="136A9677" w14:textId="77777777" w:rsidR="00632208" w:rsidRPr="0098635C" w:rsidRDefault="00632208" w:rsidP="00A432B0">
            <w:pPr>
              <w:spacing w:after="0"/>
              <w:rPr>
                <w:rFonts w:ascii="Arial Narrow" w:hAnsi="Arial Narrow" w:cs="Arial Narrow"/>
                <w:i/>
                <w:iCs/>
                <w:color w:val="000000" w:themeColor="text1"/>
                <w:sz w:val="20"/>
                <w:szCs w:val="20"/>
              </w:rPr>
            </w:pPr>
          </w:p>
        </w:tc>
        <w:tc>
          <w:tcPr>
            <w:tcW w:w="1276" w:type="dxa"/>
            <w:tcBorders>
              <w:top w:val="nil"/>
              <w:left w:val="nil"/>
              <w:bottom w:val="single" w:sz="8" w:space="0" w:color="auto"/>
              <w:right w:val="single" w:sz="8" w:space="0" w:color="auto"/>
            </w:tcBorders>
          </w:tcPr>
          <w:p w14:paraId="7B1B124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Souli II</w:t>
            </w:r>
          </w:p>
        </w:tc>
        <w:tc>
          <w:tcPr>
            <w:tcW w:w="425" w:type="dxa"/>
            <w:vMerge/>
            <w:tcBorders>
              <w:top w:val="nil"/>
              <w:left w:val="single" w:sz="8" w:space="0" w:color="auto"/>
              <w:bottom w:val="single" w:sz="8" w:space="0" w:color="000000"/>
              <w:right w:val="single" w:sz="8" w:space="0" w:color="auto"/>
            </w:tcBorders>
            <w:vAlign w:val="center"/>
          </w:tcPr>
          <w:p w14:paraId="58993B72"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098A5A36"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1BB37C45"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4FB334D0" w14:textId="77777777" w:rsidR="00632208" w:rsidRPr="0098635C" w:rsidRDefault="00632208" w:rsidP="00A432B0">
            <w:pPr>
              <w:spacing w:after="0"/>
              <w:rPr>
                <w:rFonts w:ascii="Arial Narrow" w:hAnsi="Arial Narrow" w:cs="Arial Narrow"/>
                <w:color w:val="000000" w:themeColor="text1"/>
                <w:sz w:val="20"/>
                <w:szCs w:val="20"/>
              </w:rPr>
            </w:pPr>
          </w:p>
        </w:tc>
        <w:tc>
          <w:tcPr>
            <w:tcW w:w="850" w:type="dxa"/>
            <w:vMerge/>
            <w:tcBorders>
              <w:top w:val="nil"/>
              <w:left w:val="single" w:sz="8" w:space="0" w:color="auto"/>
              <w:bottom w:val="single" w:sz="8" w:space="0" w:color="000000"/>
              <w:right w:val="single" w:sz="8" w:space="0" w:color="auto"/>
            </w:tcBorders>
            <w:vAlign w:val="center"/>
          </w:tcPr>
          <w:p w14:paraId="28FDEFEC"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30E9FAD7"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1B48D63C"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544F8440" w14:textId="77777777" w:rsidR="00632208" w:rsidRPr="0098635C" w:rsidRDefault="00632208" w:rsidP="00A432B0">
            <w:pPr>
              <w:spacing w:after="0"/>
              <w:rPr>
                <w:rFonts w:ascii="Arial Narrow" w:hAnsi="Arial Narrow" w:cs="Arial Narrow"/>
                <w:color w:val="000000" w:themeColor="text1"/>
                <w:sz w:val="20"/>
                <w:szCs w:val="20"/>
              </w:rPr>
            </w:pPr>
          </w:p>
        </w:tc>
        <w:tc>
          <w:tcPr>
            <w:tcW w:w="993" w:type="dxa"/>
            <w:vMerge/>
            <w:tcBorders>
              <w:top w:val="single" w:sz="8" w:space="0" w:color="auto"/>
              <w:left w:val="single" w:sz="8" w:space="0" w:color="auto"/>
              <w:bottom w:val="single" w:sz="8" w:space="0" w:color="000000"/>
              <w:right w:val="single" w:sz="8" w:space="0" w:color="000000"/>
            </w:tcBorders>
            <w:vAlign w:val="center"/>
          </w:tcPr>
          <w:p w14:paraId="09917DE5" w14:textId="77777777" w:rsidR="00632208" w:rsidRPr="0098635C" w:rsidRDefault="00632208" w:rsidP="00A432B0">
            <w:pPr>
              <w:spacing w:after="0"/>
              <w:rPr>
                <w:rFonts w:ascii="Arial Narrow" w:hAnsi="Arial Narrow" w:cs="Arial Narrow"/>
                <w:color w:val="000000" w:themeColor="text1"/>
                <w:sz w:val="20"/>
                <w:szCs w:val="20"/>
                <w:u w:val="single"/>
              </w:rPr>
            </w:pPr>
          </w:p>
        </w:tc>
        <w:tc>
          <w:tcPr>
            <w:tcW w:w="1275" w:type="dxa"/>
            <w:vMerge/>
            <w:tcBorders>
              <w:top w:val="single" w:sz="8" w:space="0" w:color="auto"/>
              <w:left w:val="single" w:sz="8" w:space="0" w:color="auto"/>
              <w:bottom w:val="single" w:sz="8" w:space="0" w:color="000000"/>
              <w:right w:val="single" w:sz="8" w:space="0" w:color="000000"/>
            </w:tcBorders>
            <w:vAlign w:val="center"/>
          </w:tcPr>
          <w:p w14:paraId="2D976A39"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vMerge/>
            <w:tcBorders>
              <w:top w:val="nil"/>
              <w:left w:val="single" w:sz="8" w:space="0" w:color="auto"/>
              <w:bottom w:val="single" w:sz="8" w:space="0" w:color="000000"/>
            </w:tcBorders>
            <w:vAlign w:val="center"/>
          </w:tcPr>
          <w:p w14:paraId="24D2D0BE" w14:textId="77777777" w:rsidR="00632208" w:rsidRPr="0098635C" w:rsidRDefault="00632208" w:rsidP="00A432B0">
            <w:pPr>
              <w:spacing w:after="0"/>
              <w:rPr>
                <w:rFonts w:ascii="Arial Narrow" w:hAnsi="Arial Narrow" w:cs="Arial Narrow"/>
                <w:color w:val="000000" w:themeColor="text1"/>
                <w:sz w:val="20"/>
                <w:szCs w:val="20"/>
                <w:u w:val="single"/>
              </w:rPr>
            </w:pPr>
          </w:p>
        </w:tc>
        <w:tc>
          <w:tcPr>
            <w:tcW w:w="1134" w:type="dxa"/>
            <w:vMerge/>
            <w:tcBorders>
              <w:top w:val="single" w:sz="8" w:space="0" w:color="auto"/>
              <w:bottom w:val="single" w:sz="8" w:space="0" w:color="000000"/>
              <w:right w:val="single" w:sz="12" w:space="0" w:color="000000"/>
            </w:tcBorders>
            <w:vAlign w:val="center"/>
          </w:tcPr>
          <w:p w14:paraId="469EE02A"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tcBorders>
              <w:left w:val="single" w:sz="8" w:space="0" w:color="auto"/>
              <w:bottom w:val="single" w:sz="8" w:space="0" w:color="000000"/>
              <w:right w:val="single" w:sz="12" w:space="0" w:color="000000"/>
            </w:tcBorders>
          </w:tcPr>
          <w:p w14:paraId="580A8E9D" w14:textId="77777777" w:rsidR="00632208" w:rsidRPr="0098635C" w:rsidRDefault="00632208" w:rsidP="00A432B0">
            <w:pPr>
              <w:spacing w:after="0"/>
              <w:rPr>
                <w:rFonts w:ascii="Arial Narrow" w:hAnsi="Arial Narrow" w:cs="Arial Narrow"/>
                <w:color w:val="000000" w:themeColor="text1"/>
                <w:sz w:val="20"/>
                <w:szCs w:val="20"/>
              </w:rPr>
            </w:pPr>
          </w:p>
        </w:tc>
      </w:tr>
      <w:tr w:rsidR="00632208" w:rsidRPr="0098635C" w14:paraId="33288BCA" w14:textId="77777777" w:rsidTr="00A432B0">
        <w:trPr>
          <w:trHeight w:val="364"/>
        </w:trPr>
        <w:tc>
          <w:tcPr>
            <w:tcW w:w="1647" w:type="dxa"/>
            <w:tcBorders>
              <w:top w:val="nil"/>
              <w:left w:val="single" w:sz="4" w:space="0" w:color="auto"/>
              <w:bottom w:val="single" w:sz="8" w:space="0" w:color="auto"/>
              <w:right w:val="single" w:sz="8" w:space="0" w:color="auto"/>
            </w:tcBorders>
          </w:tcPr>
          <w:p w14:paraId="39F00A9E"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Hordeum vulgare</w:t>
            </w:r>
          </w:p>
        </w:tc>
        <w:tc>
          <w:tcPr>
            <w:tcW w:w="1276" w:type="dxa"/>
            <w:tcBorders>
              <w:top w:val="nil"/>
              <w:left w:val="nil"/>
              <w:bottom w:val="single" w:sz="8" w:space="0" w:color="auto"/>
              <w:right w:val="single" w:sz="8" w:space="0" w:color="auto"/>
            </w:tcBorders>
          </w:tcPr>
          <w:p w14:paraId="48D426D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Silt loam Marknesse</w:t>
            </w:r>
          </w:p>
        </w:tc>
        <w:tc>
          <w:tcPr>
            <w:tcW w:w="425" w:type="dxa"/>
            <w:tcBorders>
              <w:top w:val="nil"/>
              <w:left w:val="nil"/>
              <w:bottom w:val="single" w:sz="8" w:space="0" w:color="auto"/>
              <w:right w:val="single" w:sz="8" w:space="0" w:color="auto"/>
            </w:tcBorders>
          </w:tcPr>
          <w:p w14:paraId="0DE2DEF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7.5</w:t>
            </w:r>
          </w:p>
        </w:tc>
        <w:tc>
          <w:tcPr>
            <w:tcW w:w="709" w:type="dxa"/>
            <w:tcBorders>
              <w:top w:val="nil"/>
              <w:left w:val="nil"/>
              <w:bottom w:val="single" w:sz="8" w:space="0" w:color="auto"/>
              <w:right w:val="single" w:sz="8" w:space="0" w:color="auto"/>
            </w:tcBorders>
          </w:tcPr>
          <w:p w14:paraId="5390BA4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w:t>
            </w:r>
          </w:p>
        </w:tc>
        <w:tc>
          <w:tcPr>
            <w:tcW w:w="709" w:type="dxa"/>
            <w:tcBorders>
              <w:top w:val="nil"/>
              <w:left w:val="nil"/>
              <w:bottom w:val="single" w:sz="8" w:space="0" w:color="auto"/>
              <w:right w:val="single" w:sz="8" w:space="0" w:color="auto"/>
            </w:tcBorders>
          </w:tcPr>
          <w:p w14:paraId="7246AB4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26</w:t>
            </w:r>
          </w:p>
        </w:tc>
        <w:tc>
          <w:tcPr>
            <w:tcW w:w="709" w:type="dxa"/>
            <w:tcBorders>
              <w:top w:val="nil"/>
              <w:left w:val="nil"/>
              <w:bottom w:val="single" w:sz="8" w:space="0" w:color="auto"/>
              <w:right w:val="single" w:sz="8" w:space="0" w:color="auto"/>
            </w:tcBorders>
          </w:tcPr>
          <w:p w14:paraId="1C2698B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18</w:t>
            </w:r>
          </w:p>
        </w:tc>
        <w:tc>
          <w:tcPr>
            <w:tcW w:w="850" w:type="dxa"/>
            <w:tcBorders>
              <w:top w:val="nil"/>
              <w:left w:val="nil"/>
              <w:bottom w:val="single" w:sz="8" w:space="0" w:color="auto"/>
              <w:right w:val="single" w:sz="8" w:space="0" w:color="auto"/>
            </w:tcBorders>
          </w:tcPr>
          <w:p w14:paraId="0FBC918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20.1</w:t>
            </w:r>
          </w:p>
        </w:tc>
        <w:tc>
          <w:tcPr>
            <w:tcW w:w="992" w:type="dxa"/>
            <w:tcBorders>
              <w:top w:val="nil"/>
              <w:left w:val="nil"/>
              <w:bottom w:val="single" w:sz="8" w:space="0" w:color="auto"/>
              <w:right w:val="single" w:sz="8" w:space="0" w:color="auto"/>
            </w:tcBorders>
          </w:tcPr>
          <w:p w14:paraId="50287A2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3BE22EC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992" w:type="dxa"/>
            <w:tcBorders>
              <w:top w:val="nil"/>
              <w:left w:val="nil"/>
              <w:bottom w:val="single" w:sz="8" w:space="0" w:color="auto"/>
              <w:right w:val="single" w:sz="8" w:space="0" w:color="auto"/>
            </w:tcBorders>
          </w:tcPr>
          <w:p w14:paraId="6F28C27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rl</w:t>
            </w:r>
          </w:p>
        </w:tc>
        <w:tc>
          <w:tcPr>
            <w:tcW w:w="993" w:type="dxa"/>
            <w:tcBorders>
              <w:top w:val="single" w:sz="8" w:space="0" w:color="auto"/>
              <w:left w:val="nil"/>
              <w:bottom w:val="single" w:sz="8" w:space="0" w:color="auto"/>
              <w:right w:val="single" w:sz="8" w:space="0" w:color="000000"/>
            </w:tcBorders>
          </w:tcPr>
          <w:p w14:paraId="09B8F79F"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37</w:t>
            </w:r>
          </w:p>
        </w:tc>
        <w:tc>
          <w:tcPr>
            <w:tcW w:w="1275" w:type="dxa"/>
            <w:tcBorders>
              <w:top w:val="single" w:sz="8" w:space="0" w:color="auto"/>
              <w:left w:val="nil"/>
              <w:bottom w:val="single" w:sz="8" w:space="0" w:color="auto"/>
              <w:right w:val="single" w:sz="8" w:space="0" w:color="000000"/>
            </w:tcBorders>
          </w:tcPr>
          <w:p w14:paraId="18003EA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000000"/>
              <w:right w:val="nil"/>
            </w:tcBorders>
          </w:tcPr>
          <w:p w14:paraId="5C6FF60A"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55</w:t>
            </w:r>
          </w:p>
        </w:tc>
        <w:tc>
          <w:tcPr>
            <w:tcW w:w="1134" w:type="dxa"/>
            <w:tcBorders>
              <w:top w:val="single" w:sz="8" w:space="0" w:color="auto"/>
              <w:left w:val="nil"/>
              <w:bottom w:val="single" w:sz="8" w:space="0" w:color="000000"/>
              <w:right w:val="single" w:sz="12" w:space="0" w:color="000000"/>
            </w:tcBorders>
          </w:tcPr>
          <w:p w14:paraId="4E3EBD0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57E6250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0F726CB5" w14:textId="77777777" w:rsidTr="00A432B0">
        <w:trPr>
          <w:trHeight w:val="168"/>
        </w:trPr>
        <w:tc>
          <w:tcPr>
            <w:tcW w:w="1647" w:type="dxa"/>
            <w:vMerge w:val="restart"/>
            <w:tcBorders>
              <w:top w:val="nil"/>
              <w:left w:val="single" w:sz="4" w:space="0" w:color="auto"/>
              <w:bottom w:val="single" w:sz="8" w:space="0" w:color="000000"/>
              <w:right w:val="single" w:sz="8" w:space="0" w:color="auto"/>
            </w:tcBorders>
          </w:tcPr>
          <w:p w14:paraId="358787F8"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Hordeum vulgare</w:t>
            </w:r>
          </w:p>
        </w:tc>
        <w:tc>
          <w:tcPr>
            <w:tcW w:w="1276" w:type="dxa"/>
            <w:tcBorders>
              <w:top w:val="nil"/>
              <w:left w:val="nil"/>
              <w:bottom w:val="nil"/>
              <w:right w:val="single" w:sz="8" w:space="0" w:color="auto"/>
            </w:tcBorders>
          </w:tcPr>
          <w:p w14:paraId="2B7808C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w:t>
            </w:r>
          </w:p>
        </w:tc>
        <w:tc>
          <w:tcPr>
            <w:tcW w:w="425" w:type="dxa"/>
            <w:vMerge w:val="restart"/>
            <w:tcBorders>
              <w:top w:val="nil"/>
              <w:left w:val="single" w:sz="8" w:space="0" w:color="auto"/>
              <w:bottom w:val="single" w:sz="8" w:space="0" w:color="000000"/>
              <w:right w:val="single" w:sz="8" w:space="0" w:color="auto"/>
            </w:tcBorders>
          </w:tcPr>
          <w:p w14:paraId="36F6031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7.5</w:t>
            </w:r>
          </w:p>
        </w:tc>
        <w:tc>
          <w:tcPr>
            <w:tcW w:w="709" w:type="dxa"/>
            <w:vMerge w:val="restart"/>
            <w:tcBorders>
              <w:top w:val="nil"/>
              <w:left w:val="single" w:sz="8" w:space="0" w:color="auto"/>
              <w:bottom w:val="single" w:sz="8" w:space="0" w:color="000000"/>
              <w:right w:val="single" w:sz="8" w:space="0" w:color="auto"/>
            </w:tcBorders>
          </w:tcPr>
          <w:p w14:paraId="16E1CE7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2.4</w:t>
            </w:r>
          </w:p>
        </w:tc>
        <w:tc>
          <w:tcPr>
            <w:tcW w:w="709" w:type="dxa"/>
            <w:vMerge w:val="restart"/>
            <w:tcBorders>
              <w:top w:val="nil"/>
              <w:left w:val="single" w:sz="8" w:space="0" w:color="auto"/>
              <w:bottom w:val="single" w:sz="8" w:space="0" w:color="000000"/>
              <w:right w:val="single" w:sz="8" w:space="0" w:color="auto"/>
            </w:tcBorders>
          </w:tcPr>
          <w:p w14:paraId="6FBB8DA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709" w:type="dxa"/>
            <w:vMerge w:val="restart"/>
            <w:tcBorders>
              <w:top w:val="nil"/>
              <w:left w:val="single" w:sz="8" w:space="0" w:color="auto"/>
              <w:bottom w:val="single" w:sz="8" w:space="0" w:color="000000"/>
              <w:right w:val="single" w:sz="8" w:space="0" w:color="auto"/>
            </w:tcBorders>
          </w:tcPr>
          <w:p w14:paraId="0935AC9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88</w:t>
            </w:r>
          </w:p>
        </w:tc>
        <w:tc>
          <w:tcPr>
            <w:tcW w:w="850" w:type="dxa"/>
            <w:vMerge w:val="restart"/>
            <w:tcBorders>
              <w:top w:val="nil"/>
              <w:left w:val="single" w:sz="8" w:space="0" w:color="auto"/>
              <w:bottom w:val="single" w:sz="8" w:space="0" w:color="000000"/>
              <w:right w:val="single" w:sz="8" w:space="0" w:color="auto"/>
            </w:tcBorders>
          </w:tcPr>
          <w:p w14:paraId="6B29DE0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14.3</w:t>
            </w:r>
          </w:p>
        </w:tc>
        <w:tc>
          <w:tcPr>
            <w:tcW w:w="992" w:type="dxa"/>
            <w:vMerge w:val="restart"/>
            <w:tcBorders>
              <w:top w:val="nil"/>
              <w:left w:val="single" w:sz="8" w:space="0" w:color="auto"/>
              <w:bottom w:val="single" w:sz="8" w:space="0" w:color="000000"/>
              <w:right w:val="single" w:sz="8" w:space="0" w:color="auto"/>
            </w:tcBorders>
          </w:tcPr>
          <w:p w14:paraId="403700C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vMerge w:val="restart"/>
            <w:tcBorders>
              <w:top w:val="nil"/>
              <w:left w:val="single" w:sz="8" w:space="0" w:color="auto"/>
              <w:bottom w:val="single" w:sz="8" w:space="0" w:color="000000"/>
              <w:right w:val="single" w:sz="8" w:space="0" w:color="auto"/>
            </w:tcBorders>
          </w:tcPr>
          <w:p w14:paraId="19262E3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992" w:type="dxa"/>
            <w:vMerge w:val="restart"/>
            <w:tcBorders>
              <w:top w:val="nil"/>
              <w:left w:val="single" w:sz="8" w:space="0" w:color="auto"/>
              <w:bottom w:val="single" w:sz="8" w:space="0" w:color="000000"/>
              <w:right w:val="single" w:sz="8" w:space="0" w:color="auto"/>
            </w:tcBorders>
          </w:tcPr>
          <w:p w14:paraId="68C7858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rl</w:t>
            </w:r>
          </w:p>
        </w:tc>
        <w:tc>
          <w:tcPr>
            <w:tcW w:w="993" w:type="dxa"/>
            <w:vMerge w:val="restart"/>
            <w:tcBorders>
              <w:top w:val="single" w:sz="8" w:space="0" w:color="auto"/>
              <w:left w:val="single" w:sz="8" w:space="0" w:color="auto"/>
              <w:bottom w:val="single" w:sz="8" w:space="0" w:color="000000"/>
              <w:right w:val="single" w:sz="8" w:space="0" w:color="000000"/>
            </w:tcBorders>
          </w:tcPr>
          <w:p w14:paraId="4959DFC3"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77</w:t>
            </w:r>
          </w:p>
        </w:tc>
        <w:tc>
          <w:tcPr>
            <w:tcW w:w="1275" w:type="dxa"/>
            <w:vMerge w:val="restart"/>
            <w:tcBorders>
              <w:top w:val="single" w:sz="8" w:space="0" w:color="auto"/>
              <w:left w:val="single" w:sz="8" w:space="0" w:color="auto"/>
              <w:bottom w:val="single" w:sz="8" w:space="0" w:color="000000"/>
              <w:right w:val="single" w:sz="8" w:space="0" w:color="000000"/>
            </w:tcBorders>
          </w:tcPr>
          <w:p w14:paraId="17EA084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vMerge w:val="restart"/>
            <w:tcBorders>
              <w:top w:val="nil"/>
              <w:left w:val="single" w:sz="8" w:space="0" w:color="auto"/>
              <w:bottom w:val="single" w:sz="8" w:space="0" w:color="000000"/>
            </w:tcBorders>
          </w:tcPr>
          <w:p w14:paraId="084BFD09"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165</w:t>
            </w:r>
          </w:p>
        </w:tc>
        <w:tc>
          <w:tcPr>
            <w:tcW w:w="1134" w:type="dxa"/>
            <w:vMerge w:val="restart"/>
            <w:tcBorders>
              <w:top w:val="single" w:sz="8" w:space="0" w:color="auto"/>
              <w:bottom w:val="single" w:sz="8" w:space="0" w:color="000000"/>
              <w:right w:val="single" w:sz="12" w:space="0" w:color="000000"/>
            </w:tcBorders>
          </w:tcPr>
          <w:p w14:paraId="6636FE0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single" w:sz="8" w:space="0" w:color="auto"/>
              <w:right w:val="single" w:sz="12" w:space="0" w:color="000000"/>
            </w:tcBorders>
          </w:tcPr>
          <w:p w14:paraId="66BD83B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006E4E66" w14:textId="77777777" w:rsidTr="00A432B0">
        <w:trPr>
          <w:trHeight w:val="177"/>
        </w:trPr>
        <w:tc>
          <w:tcPr>
            <w:tcW w:w="1647" w:type="dxa"/>
            <w:vMerge/>
            <w:tcBorders>
              <w:top w:val="nil"/>
              <w:left w:val="single" w:sz="4" w:space="0" w:color="auto"/>
              <w:bottom w:val="single" w:sz="8" w:space="0" w:color="000000"/>
              <w:right w:val="single" w:sz="8" w:space="0" w:color="auto"/>
            </w:tcBorders>
            <w:vAlign w:val="center"/>
          </w:tcPr>
          <w:p w14:paraId="33C106D7" w14:textId="77777777" w:rsidR="00632208" w:rsidRPr="0098635C" w:rsidRDefault="00632208" w:rsidP="00A432B0">
            <w:pPr>
              <w:spacing w:after="0"/>
              <w:rPr>
                <w:rFonts w:ascii="Arial Narrow" w:hAnsi="Arial Narrow" w:cs="Arial Narrow"/>
                <w:i/>
                <w:iCs/>
                <w:color w:val="000000" w:themeColor="text1"/>
                <w:sz w:val="20"/>
                <w:szCs w:val="20"/>
              </w:rPr>
            </w:pPr>
          </w:p>
        </w:tc>
        <w:tc>
          <w:tcPr>
            <w:tcW w:w="1276" w:type="dxa"/>
            <w:tcBorders>
              <w:top w:val="nil"/>
              <w:left w:val="nil"/>
              <w:bottom w:val="single" w:sz="8" w:space="0" w:color="auto"/>
              <w:right w:val="single" w:sz="8" w:space="0" w:color="auto"/>
            </w:tcBorders>
          </w:tcPr>
          <w:p w14:paraId="0F302A9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Barcelona</w:t>
            </w:r>
          </w:p>
        </w:tc>
        <w:tc>
          <w:tcPr>
            <w:tcW w:w="425" w:type="dxa"/>
            <w:vMerge/>
            <w:tcBorders>
              <w:top w:val="nil"/>
              <w:left w:val="single" w:sz="8" w:space="0" w:color="auto"/>
              <w:bottom w:val="single" w:sz="8" w:space="0" w:color="000000"/>
              <w:right w:val="single" w:sz="8" w:space="0" w:color="auto"/>
            </w:tcBorders>
            <w:vAlign w:val="center"/>
          </w:tcPr>
          <w:p w14:paraId="45DEBD72"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0D16890C"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3494418A"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36A31D1B" w14:textId="77777777" w:rsidR="00632208" w:rsidRPr="0098635C" w:rsidRDefault="00632208" w:rsidP="00A432B0">
            <w:pPr>
              <w:spacing w:after="0"/>
              <w:rPr>
                <w:rFonts w:ascii="Arial Narrow" w:hAnsi="Arial Narrow" w:cs="Arial Narrow"/>
                <w:color w:val="000000" w:themeColor="text1"/>
                <w:sz w:val="20"/>
                <w:szCs w:val="20"/>
              </w:rPr>
            </w:pPr>
          </w:p>
        </w:tc>
        <w:tc>
          <w:tcPr>
            <w:tcW w:w="850" w:type="dxa"/>
            <w:vMerge/>
            <w:tcBorders>
              <w:top w:val="nil"/>
              <w:left w:val="single" w:sz="8" w:space="0" w:color="auto"/>
              <w:bottom w:val="single" w:sz="8" w:space="0" w:color="000000"/>
              <w:right w:val="single" w:sz="8" w:space="0" w:color="auto"/>
            </w:tcBorders>
            <w:vAlign w:val="center"/>
          </w:tcPr>
          <w:p w14:paraId="2AA063B6"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661DFADB"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272D972D"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1B0D573E" w14:textId="77777777" w:rsidR="00632208" w:rsidRPr="0098635C" w:rsidRDefault="00632208" w:rsidP="00A432B0">
            <w:pPr>
              <w:spacing w:after="0"/>
              <w:rPr>
                <w:rFonts w:ascii="Arial Narrow" w:hAnsi="Arial Narrow" w:cs="Arial Narrow"/>
                <w:color w:val="000000" w:themeColor="text1"/>
                <w:sz w:val="20"/>
                <w:szCs w:val="20"/>
              </w:rPr>
            </w:pPr>
          </w:p>
        </w:tc>
        <w:tc>
          <w:tcPr>
            <w:tcW w:w="993" w:type="dxa"/>
            <w:vMerge/>
            <w:tcBorders>
              <w:top w:val="single" w:sz="8" w:space="0" w:color="auto"/>
              <w:left w:val="single" w:sz="8" w:space="0" w:color="auto"/>
              <w:bottom w:val="single" w:sz="8" w:space="0" w:color="000000"/>
              <w:right w:val="single" w:sz="8" w:space="0" w:color="000000"/>
            </w:tcBorders>
            <w:vAlign w:val="center"/>
          </w:tcPr>
          <w:p w14:paraId="69D89A58" w14:textId="77777777" w:rsidR="00632208" w:rsidRPr="0098635C" w:rsidRDefault="00632208" w:rsidP="00A432B0">
            <w:pPr>
              <w:spacing w:after="0"/>
              <w:rPr>
                <w:rFonts w:ascii="Arial Narrow" w:hAnsi="Arial Narrow" w:cs="Arial Narrow"/>
                <w:color w:val="000000" w:themeColor="text1"/>
                <w:sz w:val="20"/>
                <w:szCs w:val="20"/>
                <w:u w:val="single"/>
              </w:rPr>
            </w:pPr>
          </w:p>
        </w:tc>
        <w:tc>
          <w:tcPr>
            <w:tcW w:w="1275" w:type="dxa"/>
            <w:vMerge/>
            <w:tcBorders>
              <w:top w:val="single" w:sz="8" w:space="0" w:color="auto"/>
              <w:left w:val="single" w:sz="8" w:space="0" w:color="auto"/>
              <w:bottom w:val="single" w:sz="8" w:space="0" w:color="000000"/>
              <w:right w:val="single" w:sz="8" w:space="0" w:color="000000"/>
            </w:tcBorders>
            <w:vAlign w:val="center"/>
          </w:tcPr>
          <w:p w14:paraId="35A62458"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vMerge/>
            <w:tcBorders>
              <w:top w:val="nil"/>
              <w:left w:val="single" w:sz="8" w:space="0" w:color="auto"/>
              <w:bottom w:val="single" w:sz="8" w:space="0" w:color="000000"/>
            </w:tcBorders>
            <w:vAlign w:val="center"/>
          </w:tcPr>
          <w:p w14:paraId="41CD1FE8" w14:textId="77777777" w:rsidR="00632208" w:rsidRPr="0098635C" w:rsidRDefault="00632208" w:rsidP="00A432B0">
            <w:pPr>
              <w:spacing w:after="0"/>
              <w:rPr>
                <w:rFonts w:ascii="Arial Narrow" w:hAnsi="Arial Narrow" w:cs="Arial Narrow"/>
                <w:color w:val="000000" w:themeColor="text1"/>
                <w:sz w:val="20"/>
                <w:szCs w:val="20"/>
                <w:u w:val="single"/>
              </w:rPr>
            </w:pPr>
          </w:p>
        </w:tc>
        <w:tc>
          <w:tcPr>
            <w:tcW w:w="1134" w:type="dxa"/>
            <w:vMerge/>
            <w:tcBorders>
              <w:top w:val="single" w:sz="8" w:space="0" w:color="auto"/>
              <w:bottom w:val="single" w:sz="8" w:space="0" w:color="000000"/>
              <w:right w:val="single" w:sz="12" w:space="0" w:color="000000"/>
            </w:tcBorders>
            <w:vAlign w:val="center"/>
          </w:tcPr>
          <w:p w14:paraId="754DDC3F"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tcBorders>
              <w:left w:val="single" w:sz="8" w:space="0" w:color="auto"/>
              <w:bottom w:val="single" w:sz="8" w:space="0" w:color="000000"/>
              <w:right w:val="single" w:sz="12" w:space="0" w:color="000000"/>
            </w:tcBorders>
          </w:tcPr>
          <w:p w14:paraId="47075C57" w14:textId="77777777" w:rsidR="00632208" w:rsidRPr="0098635C" w:rsidRDefault="00632208" w:rsidP="00A432B0">
            <w:pPr>
              <w:spacing w:after="0"/>
              <w:rPr>
                <w:rFonts w:ascii="Arial Narrow" w:hAnsi="Arial Narrow" w:cs="Arial Narrow"/>
                <w:color w:val="000000" w:themeColor="text1"/>
                <w:sz w:val="20"/>
                <w:szCs w:val="20"/>
              </w:rPr>
            </w:pPr>
          </w:p>
        </w:tc>
      </w:tr>
      <w:tr w:rsidR="00632208" w:rsidRPr="0098635C" w14:paraId="28265827" w14:textId="77777777" w:rsidTr="00A432B0">
        <w:trPr>
          <w:trHeight w:val="168"/>
        </w:trPr>
        <w:tc>
          <w:tcPr>
            <w:tcW w:w="1647" w:type="dxa"/>
            <w:vMerge w:val="restart"/>
            <w:tcBorders>
              <w:top w:val="nil"/>
              <w:left w:val="single" w:sz="4" w:space="0" w:color="auto"/>
              <w:bottom w:val="single" w:sz="8" w:space="0" w:color="000000"/>
              <w:right w:val="single" w:sz="8" w:space="0" w:color="auto"/>
            </w:tcBorders>
          </w:tcPr>
          <w:p w14:paraId="22C25BE6"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Hordeum vulgare</w:t>
            </w:r>
          </w:p>
        </w:tc>
        <w:tc>
          <w:tcPr>
            <w:tcW w:w="1276" w:type="dxa"/>
            <w:tcBorders>
              <w:top w:val="nil"/>
              <w:left w:val="nil"/>
              <w:bottom w:val="nil"/>
              <w:right w:val="single" w:sz="8" w:space="0" w:color="auto"/>
            </w:tcBorders>
          </w:tcPr>
          <w:p w14:paraId="154C4CE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Clay</w:t>
            </w:r>
          </w:p>
        </w:tc>
        <w:tc>
          <w:tcPr>
            <w:tcW w:w="425" w:type="dxa"/>
            <w:vMerge w:val="restart"/>
            <w:tcBorders>
              <w:top w:val="nil"/>
              <w:left w:val="single" w:sz="8" w:space="0" w:color="auto"/>
              <w:bottom w:val="single" w:sz="8" w:space="0" w:color="000000"/>
              <w:right w:val="single" w:sz="8" w:space="0" w:color="auto"/>
            </w:tcBorders>
          </w:tcPr>
          <w:p w14:paraId="2B2F817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7.5</w:t>
            </w:r>
          </w:p>
        </w:tc>
        <w:tc>
          <w:tcPr>
            <w:tcW w:w="709" w:type="dxa"/>
            <w:vMerge w:val="restart"/>
            <w:tcBorders>
              <w:top w:val="nil"/>
              <w:left w:val="single" w:sz="8" w:space="0" w:color="auto"/>
              <w:bottom w:val="single" w:sz="8" w:space="0" w:color="000000"/>
              <w:right w:val="single" w:sz="8" w:space="0" w:color="auto"/>
            </w:tcBorders>
          </w:tcPr>
          <w:p w14:paraId="58877DC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2.4</w:t>
            </w:r>
          </w:p>
        </w:tc>
        <w:tc>
          <w:tcPr>
            <w:tcW w:w="709" w:type="dxa"/>
            <w:vMerge w:val="restart"/>
            <w:tcBorders>
              <w:top w:val="nil"/>
              <w:left w:val="single" w:sz="8" w:space="0" w:color="auto"/>
              <w:bottom w:val="single" w:sz="8" w:space="0" w:color="000000"/>
              <w:right w:val="single" w:sz="8" w:space="0" w:color="auto"/>
            </w:tcBorders>
          </w:tcPr>
          <w:p w14:paraId="60F00F1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50</w:t>
            </w:r>
          </w:p>
        </w:tc>
        <w:tc>
          <w:tcPr>
            <w:tcW w:w="709" w:type="dxa"/>
            <w:vMerge w:val="restart"/>
            <w:tcBorders>
              <w:top w:val="nil"/>
              <w:left w:val="single" w:sz="8" w:space="0" w:color="auto"/>
              <w:bottom w:val="single" w:sz="8" w:space="0" w:color="000000"/>
              <w:right w:val="single" w:sz="8" w:space="0" w:color="auto"/>
            </w:tcBorders>
          </w:tcPr>
          <w:p w14:paraId="747EFF4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31</w:t>
            </w:r>
          </w:p>
        </w:tc>
        <w:tc>
          <w:tcPr>
            <w:tcW w:w="850" w:type="dxa"/>
            <w:vMerge w:val="restart"/>
            <w:tcBorders>
              <w:top w:val="nil"/>
              <w:left w:val="single" w:sz="8" w:space="0" w:color="auto"/>
              <w:bottom w:val="single" w:sz="8" w:space="0" w:color="000000"/>
              <w:right w:val="single" w:sz="8" w:space="0" w:color="auto"/>
            </w:tcBorders>
          </w:tcPr>
          <w:p w14:paraId="47151E0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23.5</w:t>
            </w:r>
          </w:p>
        </w:tc>
        <w:tc>
          <w:tcPr>
            <w:tcW w:w="992" w:type="dxa"/>
            <w:vMerge w:val="restart"/>
            <w:tcBorders>
              <w:top w:val="nil"/>
              <w:left w:val="single" w:sz="8" w:space="0" w:color="auto"/>
              <w:bottom w:val="single" w:sz="8" w:space="0" w:color="000000"/>
              <w:right w:val="single" w:sz="8" w:space="0" w:color="auto"/>
            </w:tcBorders>
          </w:tcPr>
          <w:p w14:paraId="102E433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vMerge w:val="restart"/>
            <w:tcBorders>
              <w:top w:val="nil"/>
              <w:left w:val="single" w:sz="8" w:space="0" w:color="auto"/>
              <w:bottom w:val="single" w:sz="8" w:space="0" w:color="000000"/>
              <w:right w:val="single" w:sz="8" w:space="0" w:color="auto"/>
            </w:tcBorders>
          </w:tcPr>
          <w:p w14:paraId="59D5902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992" w:type="dxa"/>
            <w:vMerge w:val="restart"/>
            <w:tcBorders>
              <w:top w:val="nil"/>
              <w:left w:val="single" w:sz="8" w:space="0" w:color="auto"/>
              <w:bottom w:val="single" w:sz="8" w:space="0" w:color="000000"/>
              <w:right w:val="single" w:sz="8" w:space="0" w:color="auto"/>
            </w:tcBorders>
          </w:tcPr>
          <w:p w14:paraId="7108666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rl</w:t>
            </w:r>
          </w:p>
        </w:tc>
        <w:tc>
          <w:tcPr>
            <w:tcW w:w="993" w:type="dxa"/>
            <w:vMerge w:val="restart"/>
            <w:tcBorders>
              <w:top w:val="single" w:sz="8" w:space="0" w:color="auto"/>
              <w:left w:val="single" w:sz="8" w:space="0" w:color="auto"/>
              <w:bottom w:val="single" w:sz="8" w:space="0" w:color="000000"/>
              <w:right w:val="single" w:sz="8" w:space="0" w:color="000000"/>
            </w:tcBorders>
          </w:tcPr>
          <w:p w14:paraId="6A4DAB19"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44</w:t>
            </w:r>
          </w:p>
        </w:tc>
        <w:tc>
          <w:tcPr>
            <w:tcW w:w="1275" w:type="dxa"/>
            <w:vMerge w:val="restart"/>
            <w:tcBorders>
              <w:top w:val="single" w:sz="8" w:space="0" w:color="auto"/>
              <w:left w:val="single" w:sz="8" w:space="0" w:color="auto"/>
              <w:bottom w:val="single" w:sz="8" w:space="0" w:color="000000"/>
              <w:right w:val="single" w:sz="8" w:space="0" w:color="000000"/>
            </w:tcBorders>
          </w:tcPr>
          <w:p w14:paraId="40A9E01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vMerge w:val="restart"/>
            <w:tcBorders>
              <w:top w:val="nil"/>
              <w:left w:val="single" w:sz="8" w:space="0" w:color="auto"/>
              <w:bottom w:val="single" w:sz="8" w:space="0" w:color="000000"/>
            </w:tcBorders>
          </w:tcPr>
          <w:p w14:paraId="50066516"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75</w:t>
            </w:r>
          </w:p>
        </w:tc>
        <w:tc>
          <w:tcPr>
            <w:tcW w:w="1134" w:type="dxa"/>
            <w:vMerge w:val="restart"/>
            <w:tcBorders>
              <w:top w:val="single" w:sz="8" w:space="0" w:color="auto"/>
              <w:bottom w:val="single" w:sz="8" w:space="0" w:color="000000"/>
              <w:right w:val="single" w:sz="12" w:space="0" w:color="000000"/>
            </w:tcBorders>
          </w:tcPr>
          <w:p w14:paraId="2060E69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000000"/>
              <w:left w:val="single" w:sz="8" w:space="0" w:color="auto"/>
              <w:right w:val="single" w:sz="12" w:space="0" w:color="000000"/>
            </w:tcBorders>
          </w:tcPr>
          <w:p w14:paraId="407A1FE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543DB7A9" w14:textId="77777777" w:rsidTr="00A432B0">
        <w:trPr>
          <w:trHeight w:val="177"/>
        </w:trPr>
        <w:tc>
          <w:tcPr>
            <w:tcW w:w="1647" w:type="dxa"/>
            <w:vMerge/>
            <w:tcBorders>
              <w:top w:val="nil"/>
              <w:left w:val="single" w:sz="4" w:space="0" w:color="auto"/>
              <w:bottom w:val="single" w:sz="8" w:space="0" w:color="000000"/>
              <w:right w:val="single" w:sz="8" w:space="0" w:color="auto"/>
            </w:tcBorders>
            <w:vAlign w:val="center"/>
          </w:tcPr>
          <w:p w14:paraId="6210A057" w14:textId="77777777" w:rsidR="00632208" w:rsidRPr="0098635C" w:rsidRDefault="00632208" w:rsidP="00A432B0">
            <w:pPr>
              <w:spacing w:after="0"/>
              <w:rPr>
                <w:rFonts w:ascii="Arial Narrow" w:hAnsi="Arial Narrow" w:cs="Arial Narrow"/>
                <w:i/>
                <w:iCs/>
                <w:color w:val="000000" w:themeColor="text1"/>
                <w:sz w:val="20"/>
                <w:szCs w:val="20"/>
              </w:rPr>
            </w:pPr>
          </w:p>
        </w:tc>
        <w:tc>
          <w:tcPr>
            <w:tcW w:w="1276" w:type="dxa"/>
            <w:tcBorders>
              <w:top w:val="nil"/>
              <w:left w:val="nil"/>
              <w:bottom w:val="single" w:sz="8" w:space="0" w:color="auto"/>
              <w:right w:val="single" w:sz="8" w:space="0" w:color="auto"/>
            </w:tcBorders>
          </w:tcPr>
          <w:p w14:paraId="32E4111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Brecy</w:t>
            </w:r>
          </w:p>
        </w:tc>
        <w:tc>
          <w:tcPr>
            <w:tcW w:w="425" w:type="dxa"/>
            <w:vMerge/>
            <w:tcBorders>
              <w:top w:val="nil"/>
              <w:left w:val="single" w:sz="8" w:space="0" w:color="auto"/>
              <w:bottom w:val="single" w:sz="8" w:space="0" w:color="000000"/>
              <w:right w:val="single" w:sz="8" w:space="0" w:color="auto"/>
            </w:tcBorders>
            <w:vAlign w:val="center"/>
          </w:tcPr>
          <w:p w14:paraId="7270268C"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5383B37B"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7E8961CD"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7779F9CB" w14:textId="77777777" w:rsidR="00632208" w:rsidRPr="0098635C" w:rsidRDefault="00632208" w:rsidP="00A432B0">
            <w:pPr>
              <w:spacing w:after="0"/>
              <w:rPr>
                <w:rFonts w:ascii="Arial Narrow" w:hAnsi="Arial Narrow" w:cs="Arial Narrow"/>
                <w:color w:val="000000" w:themeColor="text1"/>
                <w:sz w:val="20"/>
                <w:szCs w:val="20"/>
              </w:rPr>
            </w:pPr>
          </w:p>
        </w:tc>
        <w:tc>
          <w:tcPr>
            <w:tcW w:w="850" w:type="dxa"/>
            <w:vMerge/>
            <w:tcBorders>
              <w:top w:val="nil"/>
              <w:left w:val="single" w:sz="8" w:space="0" w:color="auto"/>
              <w:bottom w:val="single" w:sz="8" w:space="0" w:color="000000"/>
              <w:right w:val="single" w:sz="8" w:space="0" w:color="auto"/>
            </w:tcBorders>
            <w:vAlign w:val="center"/>
          </w:tcPr>
          <w:p w14:paraId="1D70D88F"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0D30AA83"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1F0A1EC9"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624BCB86" w14:textId="77777777" w:rsidR="00632208" w:rsidRPr="0098635C" w:rsidRDefault="00632208" w:rsidP="00A432B0">
            <w:pPr>
              <w:spacing w:after="0"/>
              <w:rPr>
                <w:rFonts w:ascii="Arial Narrow" w:hAnsi="Arial Narrow" w:cs="Arial Narrow"/>
                <w:color w:val="000000" w:themeColor="text1"/>
                <w:sz w:val="20"/>
                <w:szCs w:val="20"/>
              </w:rPr>
            </w:pPr>
          </w:p>
        </w:tc>
        <w:tc>
          <w:tcPr>
            <w:tcW w:w="993" w:type="dxa"/>
            <w:vMerge/>
            <w:tcBorders>
              <w:top w:val="single" w:sz="8" w:space="0" w:color="auto"/>
              <w:left w:val="single" w:sz="8" w:space="0" w:color="auto"/>
              <w:bottom w:val="single" w:sz="8" w:space="0" w:color="000000"/>
              <w:right w:val="single" w:sz="8" w:space="0" w:color="000000"/>
            </w:tcBorders>
            <w:vAlign w:val="center"/>
          </w:tcPr>
          <w:p w14:paraId="10CBD0F7" w14:textId="77777777" w:rsidR="00632208" w:rsidRPr="0098635C" w:rsidRDefault="00632208" w:rsidP="00A432B0">
            <w:pPr>
              <w:spacing w:after="0"/>
              <w:rPr>
                <w:rFonts w:ascii="Arial Narrow" w:hAnsi="Arial Narrow" w:cs="Arial Narrow"/>
                <w:color w:val="000000" w:themeColor="text1"/>
                <w:sz w:val="20"/>
                <w:szCs w:val="20"/>
                <w:u w:val="single"/>
              </w:rPr>
            </w:pPr>
          </w:p>
        </w:tc>
        <w:tc>
          <w:tcPr>
            <w:tcW w:w="1275" w:type="dxa"/>
            <w:vMerge/>
            <w:tcBorders>
              <w:top w:val="single" w:sz="8" w:space="0" w:color="auto"/>
              <w:left w:val="single" w:sz="8" w:space="0" w:color="auto"/>
              <w:bottom w:val="single" w:sz="8" w:space="0" w:color="000000"/>
              <w:right w:val="single" w:sz="8" w:space="0" w:color="000000"/>
            </w:tcBorders>
            <w:vAlign w:val="center"/>
          </w:tcPr>
          <w:p w14:paraId="761C3BD0"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vMerge/>
            <w:tcBorders>
              <w:top w:val="nil"/>
              <w:left w:val="single" w:sz="8" w:space="0" w:color="auto"/>
              <w:bottom w:val="single" w:sz="8" w:space="0" w:color="000000"/>
            </w:tcBorders>
            <w:vAlign w:val="center"/>
          </w:tcPr>
          <w:p w14:paraId="342FA196" w14:textId="77777777" w:rsidR="00632208" w:rsidRPr="0098635C" w:rsidRDefault="00632208" w:rsidP="00A432B0">
            <w:pPr>
              <w:spacing w:after="0"/>
              <w:rPr>
                <w:rFonts w:ascii="Arial Narrow" w:hAnsi="Arial Narrow" w:cs="Arial Narrow"/>
                <w:color w:val="000000" w:themeColor="text1"/>
                <w:sz w:val="20"/>
                <w:szCs w:val="20"/>
                <w:u w:val="single"/>
              </w:rPr>
            </w:pPr>
          </w:p>
        </w:tc>
        <w:tc>
          <w:tcPr>
            <w:tcW w:w="1134" w:type="dxa"/>
            <w:vMerge/>
            <w:tcBorders>
              <w:top w:val="single" w:sz="8" w:space="0" w:color="auto"/>
              <w:bottom w:val="single" w:sz="8" w:space="0" w:color="000000"/>
              <w:right w:val="single" w:sz="12" w:space="0" w:color="000000"/>
            </w:tcBorders>
            <w:vAlign w:val="center"/>
          </w:tcPr>
          <w:p w14:paraId="2256B742"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tcBorders>
              <w:left w:val="single" w:sz="8" w:space="0" w:color="auto"/>
              <w:bottom w:val="single" w:sz="8" w:space="0" w:color="000000"/>
              <w:right w:val="single" w:sz="12" w:space="0" w:color="000000"/>
            </w:tcBorders>
          </w:tcPr>
          <w:p w14:paraId="73C1288E" w14:textId="77777777" w:rsidR="00632208" w:rsidRPr="0098635C" w:rsidRDefault="00632208" w:rsidP="00A432B0">
            <w:pPr>
              <w:spacing w:after="0"/>
              <w:rPr>
                <w:rFonts w:ascii="Arial Narrow" w:hAnsi="Arial Narrow" w:cs="Arial Narrow"/>
                <w:color w:val="000000" w:themeColor="text1"/>
                <w:sz w:val="20"/>
                <w:szCs w:val="20"/>
              </w:rPr>
            </w:pPr>
          </w:p>
        </w:tc>
      </w:tr>
      <w:tr w:rsidR="00632208" w:rsidRPr="0098635C" w14:paraId="5BC0742A" w14:textId="77777777" w:rsidTr="00A432B0">
        <w:trPr>
          <w:trHeight w:val="168"/>
        </w:trPr>
        <w:tc>
          <w:tcPr>
            <w:tcW w:w="1647" w:type="dxa"/>
            <w:vMerge w:val="restart"/>
            <w:tcBorders>
              <w:top w:val="nil"/>
              <w:left w:val="single" w:sz="4" w:space="0" w:color="auto"/>
              <w:bottom w:val="single" w:sz="8" w:space="0" w:color="000000"/>
              <w:right w:val="single" w:sz="8" w:space="0" w:color="auto"/>
            </w:tcBorders>
          </w:tcPr>
          <w:p w14:paraId="5EBBB3C5"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Hordeum vulgare</w:t>
            </w:r>
          </w:p>
        </w:tc>
        <w:tc>
          <w:tcPr>
            <w:tcW w:w="1276" w:type="dxa"/>
            <w:tcBorders>
              <w:top w:val="nil"/>
              <w:left w:val="nil"/>
              <w:bottom w:val="nil"/>
              <w:right w:val="single" w:sz="8" w:space="0" w:color="auto"/>
            </w:tcBorders>
          </w:tcPr>
          <w:p w14:paraId="61EC838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w:t>
            </w:r>
          </w:p>
        </w:tc>
        <w:tc>
          <w:tcPr>
            <w:tcW w:w="425" w:type="dxa"/>
            <w:vMerge w:val="restart"/>
            <w:tcBorders>
              <w:top w:val="nil"/>
              <w:left w:val="single" w:sz="8" w:space="0" w:color="auto"/>
              <w:bottom w:val="single" w:sz="8" w:space="0" w:color="000000"/>
              <w:right w:val="single" w:sz="8" w:space="0" w:color="auto"/>
            </w:tcBorders>
          </w:tcPr>
          <w:p w14:paraId="497FA32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7.5</w:t>
            </w:r>
          </w:p>
        </w:tc>
        <w:tc>
          <w:tcPr>
            <w:tcW w:w="709" w:type="dxa"/>
            <w:vMerge w:val="restart"/>
            <w:tcBorders>
              <w:top w:val="nil"/>
              <w:left w:val="single" w:sz="8" w:space="0" w:color="auto"/>
              <w:bottom w:val="single" w:sz="8" w:space="0" w:color="000000"/>
              <w:right w:val="single" w:sz="8" w:space="0" w:color="auto"/>
            </w:tcBorders>
          </w:tcPr>
          <w:p w14:paraId="40A2A40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0.6</w:t>
            </w:r>
          </w:p>
        </w:tc>
        <w:tc>
          <w:tcPr>
            <w:tcW w:w="709" w:type="dxa"/>
            <w:vMerge w:val="restart"/>
            <w:tcBorders>
              <w:top w:val="nil"/>
              <w:left w:val="single" w:sz="8" w:space="0" w:color="auto"/>
              <w:bottom w:val="single" w:sz="8" w:space="0" w:color="000000"/>
              <w:right w:val="single" w:sz="8" w:space="0" w:color="auto"/>
            </w:tcBorders>
          </w:tcPr>
          <w:p w14:paraId="3A7A5A8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25</w:t>
            </w:r>
          </w:p>
        </w:tc>
        <w:tc>
          <w:tcPr>
            <w:tcW w:w="709" w:type="dxa"/>
            <w:vMerge w:val="restart"/>
            <w:tcBorders>
              <w:top w:val="nil"/>
              <w:left w:val="single" w:sz="8" w:space="0" w:color="auto"/>
              <w:bottom w:val="single" w:sz="8" w:space="0" w:color="000000"/>
              <w:right w:val="single" w:sz="8" w:space="0" w:color="auto"/>
            </w:tcBorders>
          </w:tcPr>
          <w:p w14:paraId="02EF042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850" w:type="dxa"/>
            <w:vMerge w:val="restart"/>
            <w:tcBorders>
              <w:top w:val="nil"/>
              <w:left w:val="single" w:sz="8" w:space="0" w:color="auto"/>
              <w:bottom w:val="single" w:sz="8" w:space="0" w:color="000000"/>
              <w:right w:val="single" w:sz="8" w:space="0" w:color="auto"/>
            </w:tcBorders>
          </w:tcPr>
          <w:p w14:paraId="267ECDE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16.9</w:t>
            </w:r>
          </w:p>
        </w:tc>
        <w:tc>
          <w:tcPr>
            <w:tcW w:w="992" w:type="dxa"/>
            <w:vMerge w:val="restart"/>
            <w:tcBorders>
              <w:top w:val="nil"/>
              <w:left w:val="single" w:sz="8" w:space="0" w:color="auto"/>
              <w:bottom w:val="single" w:sz="8" w:space="0" w:color="000000"/>
              <w:right w:val="single" w:sz="8" w:space="0" w:color="auto"/>
            </w:tcBorders>
          </w:tcPr>
          <w:p w14:paraId="69AD847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vMerge w:val="restart"/>
            <w:tcBorders>
              <w:top w:val="nil"/>
              <w:left w:val="single" w:sz="8" w:space="0" w:color="auto"/>
              <w:bottom w:val="single" w:sz="8" w:space="0" w:color="000000"/>
              <w:right w:val="single" w:sz="8" w:space="0" w:color="auto"/>
            </w:tcBorders>
          </w:tcPr>
          <w:p w14:paraId="40C0860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992" w:type="dxa"/>
            <w:vMerge w:val="restart"/>
            <w:tcBorders>
              <w:top w:val="nil"/>
              <w:left w:val="single" w:sz="8" w:space="0" w:color="auto"/>
              <w:bottom w:val="single" w:sz="8" w:space="0" w:color="000000"/>
              <w:right w:val="single" w:sz="8" w:space="0" w:color="auto"/>
            </w:tcBorders>
          </w:tcPr>
          <w:p w14:paraId="34E2937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rl</w:t>
            </w:r>
          </w:p>
        </w:tc>
        <w:tc>
          <w:tcPr>
            <w:tcW w:w="993" w:type="dxa"/>
            <w:vMerge w:val="restart"/>
            <w:tcBorders>
              <w:top w:val="single" w:sz="8" w:space="0" w:color="auto"/>
              <w:left w:val="single" w:sz="8" w:space="0" w:color="auto"/>
              <w:bottom w:val="single" w:sz="8" w:space="0" w:color="000000"/>
              <w:right w:val="single" w:sz="8" w:space="0" w:color="000000"/>
            </w:tcBorders>
          </w:tcPr>
          <w:p w14:paraId="7340C6D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275" w:type="dxa"/>
            <w:vMerge w:val="restart"/>
            <w:tcBorders>
              <w:top w:val="single" w:sz="8" w:space="0" w:color="auto"/>
              <w:left w:val="single" w:sz="8" w:space="0" w:color="auto"/>
              <w:bottom w:val="single" w:sz="8" w:space="0" w:color="000000"/>
              <w:right w:val="single" w:sz="8" w:space="0" w:color="000000"/>
            </w:tcBorders>
          </w:tcPr>
          <w:p w14:paraId="1718712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&lt;37</w:t>
            </w:r>
          </w:p>
        </w:tc>
        <w:tc>
          <w:tcPr>
            <w:tcW w:w="851" w:type="dxa"/>
            <w:vMerge w:val="restart"/>
            <w:tcBorders>
              <w:top w:val="nil"/>
              <w:left w:val="single" w:sz="8" w:space="0" w:color="auto"/>
              <w:bottom w:val="single" w:sz="8" w:space="0" w:color="000000"/>
            </w:tcBorders>
          </w:tcPr>
          <w:p w14:paraId="1FB8EF2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134" w:type="dxa"/>
            <w:vMerge w:val="restart"/>
            <w:tcBorders>
              <w:top w:val="single" w:sz="8" w:space="0" w:color="auto"/>
              <w:bottom w:val="single" w:sz="8" w:space="0" w:color="000000"/>
              <w:right w:val="single" w:sz="12" w:space="0" w:color="000000"/>
            </w:tcBorders>
          </w:tcPr>
          <w:p w14:paraId="14BBA82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&lt;44</w:t>
            </w:r>
          </w:p>
        </w:tc>
        <w:tc>
          <w:tcPr>
            <w:tcW w:w="1984" w:type="dxa"/>
            <w:tcBorders>
              <w:top w:val="single" w:sz="8" w:space="0" w:color="000000"/>
              <w:left w:val="single" w:sz="8" w:space="0" w:color="auto"/>
              <w:right w:val="single" w:sz="12" w:space="0" w:color="000000"/>
            </w:tcBorders>
          </w:tcPr>
          <w:p w14:paraId="7E2E92B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75803E45" w14:textId="77777777" w:rsidTr="00A432B0">
        <w:trPr>
          <w:trHeight w:val="177"/>
        </w:trPr>
        <w:tc>
          <w:tcPr>
            <w:tcW w:w="1647" w:type="dxa"/>
            <w:vMerge/>
            <w:tcBorders>
              <w:top w:val="nil"/>
              <w:left w:val="single" w:sz="4" w:space="0" w:color="auto"/>
              <w:bottom w:val="single" w:sz="8" w:space="0" w:color="000000"/>
              <w:right w:val="single" w:sz="8" w:space="0" w:color="auto"/>
            </w:tcBorders>
            <w:vAlign w:val="center"/>
          </w:tcPr>
          <w:p w14:paraId="013553E4" w14:textId="77777777" w:rsidR="00632208" w:rsidRPr="0098635C" w:rsidRDefault="00632208" w:rsidP="00A432B0">
            <w:pPr>
              <w:spacing w:after="0"/>
              <w:rPr>
                <w:rFonts w:ascii="Arial Narrow" w:hAnsi="Arial Narrow" w:cs="Arial Narrow"/>
                <w:i/>
                <w:iCs/>
                <w:color w:val="000000" w:themeColor="text1"/>
                <w:sz w:val="20"/>
                <w:szCs w:val="20"/>
              </w:rPr>
            </w:pPr>
          </w:p>
        </w:tc>
        <w:tc>
          <w:tcPr>
            <w:tcW w:w="1276" w:type="dxa"/>
            <w:tcBorders>
              <w:top w:val="nil"/>
              <w:left w:val="nil"/>
              <w:bottom w:val="single" w:sz="8" w:space="0" w:color="auto"/>
              <w:right w:val="single" w:sz="8" w:space="0" w:color="auto"/>
            </w:tcBorders>
          </w:tcPr>
          <w:p w14:paraId="75E0032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Guadalajara</w:t>
            </w:r>
          </w:p>
        </w:tc>
        <w:tc>
          <w:tcPr>
            <w:tcW w:w="425" w:type="dxa"/>
            <w:vMerge/>
            <w:tcBorders>
              <w:top w:val="nil"/>
              <w:left w:val="single" w:sz="8" w:space="0" w:color="auto"/>
              <w:bottom w:val="single" w:sz="8" w:space="0" w:color="000000"/>
              <w:right w:val="single" w:sz="8" w:space="0" w:color="auto"/>
            </w:tcBorders>
            <w:vAlign w:val="center"/>
          </w:tcPr>
          <w:p w14:paraId="2DE4F6C3"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43DB59E7"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5114BC32"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2384BCBB" w14:textId="77777777" w:rsidR="00632208" w:rsidRPr="0098635C" w:rsidRDefault="00632208" w:rsidP="00A432B0">
            <w:pPr>
              <w:spacing w:after="0"/>
              <w:rPr>
                <w:rFonts w:ascii="Arial Narrow" w:hAnsi="Arial Narrow" w:cs="Arial Narrow"/>
                <w:color w:val="000000" w:themeColor="text1"/>
                <w:sz w:val="20"/>
                <w:szCs w:val="20"/>
              </w:rPr>
            </w:pPr>
          </w:p>
        </w:tc>
        <w:tc>
          <w:tcPr>
            <w:tcW w:w="850" w:type="dxa"/>
            <w:vMerge/>
            <w:tcBorders>
              <w:top w:val="nil"/>
              <w:left w:val="single" w:sz="8" w:space="0" w:color="auto"/>
              <w:bottom w:val="single" w:sz="8" w:space="0" w:color="000000"/>
              <w:right w:val="single" w:sz="8" w:space="0" w:color="auto"/>
            </w:tcBorders>
            <w:vAlign w:val="center"/>
          </w:tcPr>
          <w:p w14:paraId="3649215C"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2E918E94"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21179A89"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21903A49" w14:textId="77777777" w:rsidR="00632208" w:rsidRPr="0098635C" w:rsidRDefault="00632208" w:rsidP="00A432B0">
            <w:pPr>
              <w:spacing w:after="0"/>
              <w:rPr>
                <w:rFonts w:ascii="Arial Narrow" w:hAnsi="Arial Narrow" w:cs="Arial Narrow"/>
                <w:color w:val="000000" w:themeColor="text1"/>
                <w:sz w:val="20"/>
                <w:szCs w:val="20"/>
              </w:rPr>
            </w:pPr>
          </w:p>
        </w:tc>
        <w:tc>
          <w:tcPr>
            <w:tcW w:w="993" w:type="dxa"/>
            <w:vMerge/>
            <w:tcBorders>
              <w:top w:val="single" w:sz="8" w:space="0" w:color="auto"/>
              <w:left w:val="single" w:sz="8" w:space="0" w:color="auto"/>
              <w:bottom w:val="single" w:sz="8" w:space="0" w:color="000000"/>
              <w:right w:val="single" w:sz="8" w:space="0" w:color="000000"/>
            </w:tcBorders>
            <w:vAlign w:val="center"/>
          </w:tcPr>
          <w:p w14:paraId="3518C50F" w14:textId="77777777" w:rsidR="00632208" w:rsidRPr="0098635C" w:rsidRDefault="00632208" w:rsidP="00A432B0">
            <w:pPr>
              <w:spacing w:after="0"/>
              <w:rPr>
                <w:rFonts w:ascii="Arial Narrow" w:hAnsi="Arial Narrow" w:cs="Arial Narrow"/>
                <w:color w:val="000000" w:themeColor="text1"/>
                <w:sz w:val="20"/>
                <w:szCs w:val="20"/>
              </w:rPr>
            </w:pPr>
          </w:p>
        </w:tc>
        <w:tc>
          <w:tcPr>
            <w:tcW w:w="1275" w:type="dxa"/>
            <w:vMerge/>
            <w:tcBorders>
              <w:top w:val="single" w:sz="8" w:space="0" w:color="auto"/>
              <w:left w:val="single" w:sz="8" w:space="0" w:color="auto"/>
              <w:bottom w:val="single" w:sz="8" w:space="0" w:color="000000"/>
              <w:right w:val="single" w:sz="8" w:space="0" w:color="000000"/>
            </w:tcBorders>
            <w:vAlign w:val="center"/>
          </w:tcPr>
          <w:p w14:paraId="124C8F51"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vMerge/>
            <w:tcBorders>
              <w:top w:val="nil"/>
              <w:left w:val="single" w:sz="8" w:space="0" w:color="auto"/>
              <w:bottom w:val="single" w:sz="8" w:space="0" w:color="000000"/>
            </w:tcBorders>
            <w:vAlign w:val="center"/>
          </w:tcPr>
          <w:p w14:paraId="1E22D91D" w14:textId="77777777" w:rsidR="00632208" w:rsidRPr="0098635C" w:rsidRDefault="00632208" w:rsidP="00A432B0">
            <w:pPr>
              <w:spacing w:after="0"/>
              <w:rPr>
                <w:rFonts w:ascii="Arial Narrow" w:hAnsi="Arial Narrow" w:cs="Arial Narrow"/>
                <w:color w:val="000000" w:themeColor="text1"/>
                <w:sz w:val="20"/>
                <w:szCs w:val="20"/>
              </w:rPr>
            </w:pPr>
          </w:p>
        </w:tc>
        <w:tc>
          <w:tcPr>
            <w:tcW w:w="1134" w:type="dxa"/>
            <w:vMerge/>
            <w:tcBorders>
              <w:top w:val="single" w:sz="8" w:space="0" w:color="auto"/>
              <w:bottom w:val="single" w:sz="8" w:space="0" w:color="000000"/>
              <w:right w:val="single" w:sz="12" w:space="0" w:color="000000"/>
            </w:tcBorders>
            <w:vAlign w:val="center"/>
          </w:tcPr>
          <w:p w14:paraId="39EFFA56"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tcBorders>
              <w:left w:val="single" w:sz="8" w:space="0" w:color="auto"/>
              <w:bottom w:val="single" w:sz="8" w:space="0" w:color="000000"/>
              <w:right w:val="single" w:sz="12" w:space="0" w:color="000000"/>
            </w:tcBorders>
          </w:tcPr>
          <w:p w14:paraId="4663960D" w14:textId="77777777" w:rsidR="00632208" w:rsidRPr="0098635C" w:rsidRDefault="00632208" w:rsidP="00A432B0">
            <w:pPr>
              <w:spacing w:after="0"/>
              <w:rPr>
                <w:rFonts w:ascii="Arial Narrow" w:hAnsi="Arial Narrow" w:cs="Arial Narrow"/>
                <w:color w:val="000000" w:themeColor="text1"/>
                <w:sz w:val="20"/>
                <w:szCs w:val="20"/>
              </w:rPr>
            </w:pPr>
          </w:p>
        </w:tc>
      </w:tr>
      <w:tr w:rsidR="00632208" w:rsidRPr="0098635C" w14:paraId="679D3C2C" w14:textId="77777777" w:rsidTr="00A432B0">
        <w:trPr>
          <w:trHeight w:val="168"/>
        </w:trPr>
        <w:tc>
          <w:tcPr>
            <w:tcW w:w="1647" w:type="dxa"/>
            <w:vMerge w:val="restart"/>
            <w:tcBorders>
              <w:top w:val="nil"/>
              <w:left w:val="single" w:sz="4" w:space="0" w:color="auto"/>
              <w:bottom w:val="single" w:sz="8" w:space="0" w:color="000000"/>
              <w:right w:val="single" w:sz="8" w:space="0" w:color="auto"/>
            </w:tcBorders>
          </w:tcPr>
          <w:p w14:paraId="53E1DD31"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Hordeum vulgare</w:t>
            </w:r>
          </w:p>
        </w:tc>
        <w:tc>
          <w:tcPr>
            <w:tcW w:w="1276" w:type="dxa"/>
            <w:tcBorders>
              <w:top w:val="nil"/>
              <w:left w:val="nil"/>
              <w:bottom w:val="nil"/>
              <w:right w:val="single" w:sz="8" w:space="0" w:color="auto"/>
            </w:tcBorders>
          </w:tcPr>
          <w:p w14:paraId="1AEF920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clay</w:t>
            </w:r>
          </w:p>
        </w:tc>
        <w:tc>
          <w:tcPr>
            <w:tcW w:w="425" w:type="dxa"/>
            <w:vMerge w:val="restart"/>
            <w:tcBorders>
              <w:top w:val="nil"/>
              <w:left w:val="single" w:sz="8" w:space="0" w:color="auto"/>
              <w:bottom w:val="single" w:sz="8" w:space="0" w:color="000000"/>
              <w:right w:val="single" w:sz="8" w:space="0" w:color="auto"/>
            </w:tcBorders>
          </w:tcPr>
          <w:p w14:paraId="73C18EE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5.4</w:t>
            </w:r>
          </w:p>
        </w:tc>
        <w:tc>
          <w:tcPr>
            <w:tcW w:w="709" w:type="dxa"/>
            <w:vMerge w:val="restart"/>
            <w:tcBorders>
              <w:top w:val="nil"/>
              <w:left w:val="single" w:sz="8" w:space="0" w:color="auto"/>
              <w:bottom w:val="single" w:sz="8" w:space="0" w:color="000000"/>
              <w:right w:val="single" w:sz="8" w:space="0" w:color="auto"/>
            </w:tcBorders>
          </w:tcPr>
          <w:p w14:paraId="6393F98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3.3</w:t>
            </w:r>
          </w:p>
        </w:tc>
        <w:tc>
          <w:tcPr>
            <w:tcW w:w="709" w:type="dxa"/>
            <w:vMerge w:val="restart"/>
            <w:tcBorders>
              <w:top w:val="nil"/>
              <w:left w:val="single" w:sz="8" w:space="0" w:color="auto"/>
              <w:bottom w:val="single" w:sz="8" w:space="0" w:color="000000"/>
              <w:right w:val="single" w:sz="8" w:space="0" w:color="auto"/>
            </w:tcBorders>
          </w:tcPr>
          <w:p w14:paraId="3ED8802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23</w:t>
            </w:r>
          </w:p>
        </w:tc>
        <w:tc>
          <w:tcPr>
            <w:tcW w:w="709" w:type="dxa"/>
            <w:vMerge w:val="restart"/>
            <w:tcBorders>
              <w:top w:val="nil"/>
              <w:left w:val="single" w:sz="8" w:space="0" w:color="auto"/>
              <w:bottom w:val="single" w:sz="8" w:space="0" w:color="000000"/>
              <w:right w:val="single" w:sz="8" w:space="0" w:color="auto"/>
            </w:tcBorders>
          </w:tcPr>
          <w:p w14:paraId="12B8C59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850" w:type="dxa"/>
            <w:vMerge w:val="restart"/>
            <w:tcBorders>
              <w:top w:val="nil"/>
              <w:left w:val="single" w:sz="8" w:space="0" w:color="auto"/>
              <w:bottom w:val="single" w:sz="8" w:space="0" w:color="000000"/>
              <w:right w:val="single" w:sz="8" w:space="0" w:color="auto"/>
            </w:tcBorders>
          </w:tcPr>
          <w:p w14:paraId="5580E38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6.7</w:t>
            </w:r>
          </w:p>
        </w:tc>
        <w:tc>
          <w:tcPr>
            <w:tcW w:w="992" w:type="dxa"/>
            <w:vMerge w:val="restart"/>
            <w:tcBorders>
              <w:top w:val="nil"/>
              <w:left w:val="single" w:sz="8" w:space="0" w:color="auto"/>
              <w:bottom w:val="single" w:sz="8" w:space="0" w:color="000000"/>
              <w:right w:val="single" w:sz="8" w:space="0" w:color="auto"/>
            </w:tcBorders>
          </w:tcPr>
          <w:p w14:paraId="4CA5C2A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vMerge w:val="restart"/>
            <w:tcBorders>
              <w:top w:val="nil"/>
              <w:left w:val="single" w:sz="8" w:space="0" w:color="auto"/>
              <w:bottom w:val="single" w:sz="8" w:space="0" w:color="000000"/>
              <w:right w:val="single" w:sz="8" w:space="0" w:color="auto"/>
            </w:tcBorders>
          </w:tcPr>
          <w:p w14:paraId="0E29703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992" w:type="dxa"/>
            <w:vMerge w:val="restart"/>
            <w:tcBorders>
              <w:top w:val="nil"/>
              <w:left w:val="single" w:sz="8" w:space="0" w:color="auto"/>
              <w:bottom w:val="single" w:sz="8" w:space="0" w:color="000000"/>
              <w:right w:val="single" w:sz="8" w:space="0" w:color="auto"/>
            </w:tcBorders>
          </w:tcPr>
          <w:p w14:paraId="66C3996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rl</w:t>
            </w:r>
          </w:p>
        </w:tc>
        <w:tc>
          <w:tcPr>
            <w:tcW w:w="993" w:type="dxa"/>
            <w:vMerge w:val="restart"/>
            <w:tcBorders>
              <w:top w:val="single" w:sz="8" w:space="0" w:color="auto"/>
              <w:left w:val="single" w:sz="8" w:space="0" w:color="auto"/>
              <w:bottom w:val="single" w:sz="8" w:space="0" w:color="000000"/>
              <w:right w:val="single" w:sz="8" w:space="0" w:color="000000"/>
            </w:tcBorders>
          </w:tcPr>
          <w:p w14:paraId="78E08B3C"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114</w:t>
            </w:r>
          </w:p>
        </w:tc>
        <w:tc>
          <w:tcPr>
            <w:tcW w:w="1275" w:type="dxa"/>
            <w:vMerge w:val="restart"/>
            <w:tcBorders>
              <w:top w:val="single" w:sz="8" w:space="0" w:color="auto"/>
              <w:left w:val="single" w:sz="8" w:space="0" w:color="auto"/>
              <w:bottom w:val="single" w:sz="8" w:space="0" w:color="000000"/>
              <w:right w:val="single" w:sz="8" w:space="0" w:color="000000"/>
            </w:tcBorders>
          </w:tcPr>
          <w:p w14:paraId="594A6AF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vMerge w:val="restart"/>
            <w:tcBorders>
              <w:top w:val="nil"/>
              <w:left w:val="single" w:sz="8" w:space="0" w:color="auto"/>
              <w:bottom w:val="single" w:sz="8" w:space="0" w:color="000000"/>
            </w:tcBorders>
          </w:tcPr>
          <w:p w14:paraId="16F579FE"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135</w:t>
            </w:r>
          </w:p>
        </w:tc>
        <w:tc>
          <w:tcPr>
            <w:tcW w:w="1134" w:type="dxa"/>
            <w:vMerge w:val="restart"/>
            <w:tcBorders>
              <w:top w:val="single" w:sz="8" w:space="0" w:color="auto"/>
              <w:bottom w:val="single" w:sz="8" w:space="0" w:color="000000"/>
              <w:right w:val="single" w:sz="12" w:space="0" w:color="000000"/>
            </w:tcBorders>
          </w:tcPr>
          <w:p w14:paraId="6255C1F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000000"/>
              <w:left w:val="single" w:sz="8" w:space="0" w:color="auto"/>
              <w:right w:val="single" w:sz="12" w:space="0" w:color="000000"/>
            </w:tcBorders>
          </w:tcPr>
          <w:p w14:paraId="0EFEFF8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2B255EDA" w14:textId="77777777" w:rsidTr="00A432B0">
        <w:trPr>
          <w:trHeight w:val="177"/>
        </w:trPr>
        <w:tc>
          <w:tcPr>
            <w:tcW w:w="1647" w:type="dxa"/>
            <w:vMerge/>
            <w:tcBorders>
              <w:top w:val="nil"/>
              <w:left w:val="single" w:sz="4" w:space="0" w:color="auto"/>
              <w:bottom w:val="single" w:sz="8" w:space="0" w:color="000000"/>
              <w:right w:val="single" w:sz="8" w:space="0" w:color="auto"/>
            </w:tcBorders>
            <w:vAlign w:val="center"/>
          </w:tcPr>
          <w:p w14:paraId="161A604B" w14:textId="77777777" w:rsidR="00632208" w:rsidRPr="0098635C" w:rsidRDefault="00632208" w:rsidP="00A432B0">
            <w:pPr>
              <w:spacing w:after="0"/>
              <w:rPr>
                <w:rFonts w:ascii="Arial Narrow" w:hAnsi="Arial Narrow" w:cs="Arial Narrow"/>
                <w:i/>
                <w:iCs/>
                <w:color w:val="000000" w:themeColor="text1"/>
                <w:sz w:val="20"/>
                <w:szCs w:val="20"/>
              </w:rPr>
            </w:pPr>
          </w:p>
        </w:tc>
        <w:tc>
          <w:tcPr>
            <w:tcW w:w="1276" w:type="dxa"/>
            <w:tcBorders>
              <w:top w:val="nil"/>
              <w:left w:val="nil"/>
              <w:bottom w:val="single" w:sz="8" w:space="0" w:color="auto"/>
              <w:right w:val="single" w:sz="8" w:space="0" w:color="auto"/>
            </w:tcBorders>
          </w:tcPr>
          <w:p w14:paraId="0CECDDD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Hygum</w:t>
            </w:r>
          </w:p>
        </w:tc>
        <w:tc>
          <w:tcPr>
            <w:tcW w:w="425" w:type="dxa"/>
            <w:vMerge/>
            <w:tcBorders>
              <w:top w:val="nil"/>
              <w:left w:val="single" w:sz="8" w:space="0" w:color="auto"/>
              <w:bottom w:val="single" w:sz="8" w:space="0" w:color="000000"/>
              <w:right w:val="single" w:sz="8" w:space="0" w:color="auto"/>
            </w:tcBorders>
            <w:vAlign w:val="center"/>
          </w:tcPr>
          <w:p w14:paraId="7607243E"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0B0665FF"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0F83AAB3"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49385E4F" w14:textId="77777777" w:rsidR="00632208" w:rsidRPr="0098635C" w:rsidRDefault="00632208" w:rsidP="00A432B0">
            <w:pPr>
              <w:spacing w:after="0"/>
              <w:rPr>
                <w:rFonts w:ascii="Arial Narrow" w:hAnsi="Arial Narrow" w:cs="Arial Narrow"/>
                <w:color w:val="000000" w:themeColor="text1"/>
                <w:sz w:val="20"/>
                <w:szCs w:val="20"/>
              </w:rPr>
            </w:pPr>
          </w:p>
        </w:tc>
        <w:tc>
          <w:tcPr>
            <w:tcW w:w="850" w:type="dxa"/>
            <w:vMerge/>
            <w:tcBorders>
              <w:top w:val="nil"/>
              <w:left w:val="single" w:sz="8" w:space="0" w:color="auto"/>
              <w:bottom w:val="single" w:sz="8" w:space="0" w:color="000000"/>
              <w:right w:val="single" w:sz="8" w:space="0" w:color="auto"/>
            </w:tcBorders>
            <w:vAlign w:val="center"/>
          </w:tcPr>
          <w:p w14:paraId="1286C8E8"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57D61557"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4AFD9920"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7DE83763" w14:textId="77777777" w:rsidR="00632208" w:rsidRPr="0098635C" w:rsidRDefault="00632208" w:rsidP="00A432B0">
            <w:pPr>
              <w:spacing w:after="0"/>
              <w:rPr>
                <w:rFonts w:ascii="Arial Narrow" w:hAnsi="Arial Narrow" w:cs="Arial Narrow"/>
                <w:color w:val="000000" w:themeColor="text1"/>
                <w:sz w:val="20"/>
                <w:szCs w:val="20"/>
              </w:rPr>
            </w:pPr>
          </w:p>
        </w:tc>
        <w:tc>
          <w:tcPr>
            <w:tcW w:w="993" w:type="dxa"/>
            <w:vMerge/>
            <w:tcBorders>
              <w:top w:val="single" w:sz="8" w:space="0" w:color="auto"/>
              <w:left w:val="single" w:sz="8" w:space="0" w:color="auto"/>
              <w:bottom w:val="single" w:sz="8" w:space="0" w:color="000000"/>
              <w:right w:val="single" w:sz="8" w:space="0" w:color="000000"/>
            </w:tcBorders>
            <w:vAlign w:val="center"/>
          </w:tcPr>
          <w:p w14:paraId="50A1DE34" w14:textId="77777777" w:rsidR="00632208" w:rsidRPr="0098635C" w:rsidRDefault="00632208" w:rsidP="00A432B0">
            <w:pPr>
              <w:spacing w:after="0"/>
              <w:rPr>
                <w:rFonts w:ascii="Arial Narrow" w:hAnsi="Arial Narrow" w:cs="Arial Narrow"/>
                <w:color w:val="000000" w:themeColor="text1"/>
                <w:sz w:val="20"/>
                <w:szCs w:val="20"/>
                <w:u w:val="single"/>
              </w:rPr>
            </w:pPr>
          </w:p>
        </w:tc>
        <w:tc>
          <w:tcPr>
            <w:tcW w:w="1275" w:type="dxa"/>
            <w:vMerge/>
            <w:tcBorders>
              <w:top w:val="single" w:sz="8" w:space="0" w:color="auto"/>
              <w:left w:val="single" w:sz="8" w:space="0" w:color="auto"/>
              <w:bottom w:val="single" w:sz="8" w:space="0" w:color="000000"/>
              <w:right w:val="single" w:sz="8" w:space="0" w:color="000000"/>
            </w:tcBorders>
            <w:vAlign w:val="center"/>
          </w:tcPr>
          <w:p w14:paraId="6CD659DD"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vMerge/>
            <w:tcBorders>
              <w:top w:val="nil"/>
              <w:left w:val="single" w:sz="8" w:space="0" w:color="auto"/>
              <w:bottom w:val="single" w:sz="8" w:space="0" w:color="000000"/>
            </w:tcBorders>
            <w:vAlign w:val="center"/>
          </w:tcPr>
          <w:p w14:paraId="76425F7B" w14:textId="77777777" w:rsidR="00632208" w:rsidRPr="0098635C" w:rsidRDefault="00632208" w:rsidP="00A432B0">
            <w:pPr>
              <w:spacing w:after="0"/>
              <w:rPr>
                <w:rFonts w:ascii="Arial Narrow" w:hAnsi="Arial Narrow" w:cs="Arial Narrow"/>
                <w:color w:val="000000" w:themeColor="text1"/>
                <w:sz w:val="20"/>
                <w:szCs w:val="20"/>
                <w:u w:val="single"/>
              </w:rPr>
            </w:pPr>
          </w:p>
        </w:tc>
        <w:tc>
          <w:tcPr>
            <w:tcW w:w="1134" w:type="dxa"/>
            <w:vMerge/>
            <w:tcBorders>
              <w:top w:val="single" w:sz="8" w:space="0" w:color="auto"/>
              <w:bottom w:val="single" w:sz="8" w:space="0" w:color="000000"/>
              <w:right w:val="single" w:sz="12" w:space="0" w:color="000000"/>
            </w:tcBorders>
            <w:vAlign w:val="center"/>
          </w:tcPr>
          <w:p w14:paraId="6B55D69C"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tcBorders>
              <w:left w:val="single" w:sz="8" w:space="0" w:color="auto"/>
              <w:bottom w:val="single" w:sz="8" w:space="0" w:color="000000"/>
              <w:right w:val="single" w:sz="12" w:space="0" w:color="000000"/>
            </w:tcBorders>
          </w:tcPr>
          <w:p w14:paraId="57171249" w14:textId="77777777" w:rsidR="00632208" w:rsidRPr="0098635C" w:rsidRDefault="00632208" w:rsidP="00A432B0">
            <w:pPr>
              <w:spacing w:after="0"/>
              <w:rPr>
                <w:rFonts w:ascii="Arial Narrow" w:hAnsi="Arial Narrow" w:cs="Arial Narrow"/>
                <w:color w:val="000000" w:themeColor="text1"/>
                <w:sz w:val="20"/>
                <w:szCs w:val="20"/>
              </w:rPr>
            </w:pPr>
          </w:p>
        </w:tc>
      </w:tr>
      <w:tr w:rsidR="00632208" w:rsidRPr="0098635C" w14:paraId="57D8ED05" w14:textId="77777777" w:rsidTr="00A432B0">
        <w:trPr>
          <w:trHeight w:val="64"/>
        </w:trPr>
        <w:tc>
          <w:tcPr>
            <w:tcW w:w="1647" w:type="dxa"/>
            <w:tcBorders>
              <w:top w:val="nil"/>
              <w:left w:val="single" w:sz="4" w:space="0" w:color="auto"/>
              <w:bottom w:val="single" w:sz="8" w:space="0" w:color="auto"/>
              <w:right w:val="single" w:sz="8" w:space="0" w:color="auto"/>
            </w:tcBorders>
          </w:tcPr>
          <w:p w14:paraId="53B48CFD"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Hordeum vulgare</w:t>
            </w:r>
          </w:p>
        </w:tc>
        <w:tc>
          <w:tcPr>
            <w:tcW w:w="1276" w:type="dxa"/>
            <w:tcBorders>
              <w:top w:val="nil"/>
              <w:left w:val="nil"/>
              <w:bottom w:val="single" w:sz="8" w:space="0" w:color="auto"/>
              <w:right w:val="single" w:sz="8" w:space="0" w:color="auto"/>
            </w:tcBorders>
          </w:tcPr>
          <w:p w14:paraId="50919DC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sand Wageningen A</w:t>
            </w:r>
          </w:p>
        </w:tc>
        <w:tc>
          <w:tcPr>
            <w:tcW w:w="425" w:type="dxa"/>
            <w:tcBorders>
              <w:top w:val="nil"/>
              <w:left w:val="nil"/>
              <w:bottom w:val="single" w:sz="8" w:space="0" w:color="auto"/>
              <w:right w:val="single" w:sz="8" w:space="0" w:color="auto"/>
            </w:tcBorders>
          </w:tcPr>
          <w:p w14:paraId="7D5F9DC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4.3</w:t>
            </w:r>
          </w:p>
        </w:tc>
        <w:tc>
          <w:tcPr>
            <w:tcW w:w="709" w:type="dxa"/>
            <w:tcBorders>
              <w:top w:val="nil"/>
              <w:left w:val="nil"/>
              <w:bottom w:val="single" w:sz="8" w:space="0" w:color="auto"/>
              <w:right w:val="single" w:sz="8" w:space="0" w:color="auto"/>
            </w:tcBorders>
          </w:tcPr>
          <w:p w14:paraId="5834F97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2.2</w:t>
            </w:r>
          </w:p>
        </w:tc>
        <w:tc>
          <w:tcPr>
            <w:tcW w:w="709" w:type="dxa"/>
            <w:tcBorders>
              <w:top w:val="nil"/>
              <w:left w:val="nil"/>
              <w:bottom w:val="single" w:sz="8" w:space="0" w:color="auto"/>
              <w:right w:val="single" w:sz="8" w:space="0" w:color="auto"/>
            </w:tcBorders>
          </w:tcPr>
          <w:p w14:paraId="0353352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w:t>
            </w:r>
          </w:p>
        </w:tc>
        <w:tc>
          <w:tcPr>
            <w:tcW w:w="709" w:type="dxa"/>
            <w:tcBorders>
              <w:top w:val="nil"/>
              <w:left w:val="nil"/>
              <w:bottom w:val="single" w:sz="8" w:space="0" w:color="auto"/>
              <w:right w:val="single" w:sz="8" w:space="0" w:color="auto"/>
            </w:tcBorders>
          </w:tcPr>
          <w:p w14:paraId="2A2AFAB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850" w:type="dxa"/>
            <w:tcBorders>
              <w:top w:val="nil"/>
              <w:left w:val="nil"/>
              <w:bottom w:val="single" w:sz="8" w:space="0" w:color="auto"/>
              <w:right w:val="single" w:sz="8" w:space="0" w:color="auto"/>
            </w:tcBorders>
          </w:tcPr>
          <w:p w14:paraId="4DE1781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1.2</w:t>
            </w:r>
          </w:p>
        </w:tc>
        <w:tc>
          <w:tcPr>
            <w:tcW w:w="992" w:type="dxa"/>
            <w:tcBorders>
              <w:top w:val="nil"/>
              <w:left w:val="nil"/>
              <w:bottom w:val="single" w:sz="8" w:space="0" w:color="auto"/>
              <w:right w:val="single" w:sz="8" w:space="0" w:color="auto"/>
            </w:tcBorders>
          </w:tcPr>
          <w:p w14:paraId="5DC8852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70AA47D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992" w:type="dxa"/>
            <w:tcBorders>
              <w:top w:val="nil"/>
              <w:left w:val="nil"/>
              <w:bottom w:val="single" w:sz="8" w:space="0" w:color="auto"/>
              <w:right w:val="single" w:sz="8" w:space="0" w:color="auto"/>
            </w:tcBorders>
          </w:tcPr>
          <w:p w14:paraId="4F9224C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l</w:t>
            </w:r>
          </w:p>
        </w:tc>
        <w:tc>
          <w:tcPr>
            <w:tcW w:w="993" w:type="dxa"/>
            <w:tcBorders>
              <w:top w:val="single" w:sz="8" w:space="0" w:color="auto"/>
              <w:left w:val="nil"/>
              <w:bottom w:val="single" w:sz="8" w:space="0" w:color="auto"/>
              <w:right w:val="single" w:sz="8" w:space="0" w:color="000000"/>
            </w:tcBorders>
          </w:tcPr>
          <w:p w14:paraId="34997F8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275" w:type="dxa"/>
            <w:tcBorders>
              <w:top w:val="single" w:sz="8" w:space="0" w:color="auto"/>
              <w:left w:val="nil"/>
              <w:bottom w:val="single" w:sz="8" w:space="0" w:color="auto"/>
              <w:right w:val="single" w:sz="8" w:space="0" w:color="000000"/>
            </w:tcBorders>
          </w:tcPr>
          <w:p w14:paraId="7FBED98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&lt;70</w:t>
            </w:r>
          </w:p>
        </w:tc>
        <w:tc>
          <w:tcPr>
            <w:tcW w:w="851" w:type="dxa"/>
            <w:tcBorders>
              <w:top w:val="nil"/>
              <w:left w:val="nil"/>
              <w:bottom w:val="single" w:sz="8" w:space="0" w:color="000000"/>
              <w:right w:val="nil"/>
            </w:tcBorders>
          </w:tcPr>
          <w:p w14:paraId="57AAF3D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134" w:type="dxa"/>
            <w:tcBorders>
              <w:top w:val="single" w:sz="8" w:space="0" w:color="auto"/>
              <w:left w:val="nil"/>
              <w:bottom w:val="single" w:sz="8" w:space="0" w:color="000000"/>
              <w:right w:val="single" w:sz="12" w:space="0" w:color="000000"/>
            </w:tcBorders>
          </w:tcPr>
          <w:p w14:paraId="54587D8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&lt;89</w:t>
            </w:r>
          </w:p>
        </w:tc>
        <w:tc>
          <w:tcPr>
            <w:tcW w:w="1984" w:type="dxa"/>
            <w:tcBorders>
              <w:top w:val="single" w:sz="8" w:space="0" w:color="auto"/>
              <w:left w:val="nil"/>
              <w:bottom w:val="single" w:sz="8" w:space="0" w:color="auto"/>
              <w:right w:val="single" w:sz="12" w:space="0" w:color="000000"/>
            </w:tcBorders>
          </w:tcPr>
          <w:p w14:paraId="61D5884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2C911F55" w14:textId="77777777" w:rsidTr="00A432B0">
        <w:trPr>
          <w:trHeight w:val="513"/>
        </w:trPr>
        <w:tc>
          <w:tcPr>
            <w:tcW w:w="1647" w:type="dxa"/>
            <w:tcBorders>
              <w:top w:val="nil"/>
              <w:left w:val="single" w:sz="4" w:space="0" w:color="auto"/>
              <w:bottom w:val="single" w:sz="8" w:space="0" w:color="auto"/>
              <w:right w:val="single" w:sz="8" w:space="0" w:color="auto"/>
            </w:tcBorders>
          </w:tcPr>
          <w:p w14:paraId="3809B6A1"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Hordeum vulgare</w:t>
            </w:r>
          </w:p>
        </w:tc>
        <w:tc>
          <w:tcPr>
            <w:tcW w:w="1276" w:type="dxa"/>
            <w:tcBorders>
              <w:top w:val="nil"/>
              <w:left w:val="nil"/>
              <w:bottom w:val="single" w:sz="8" w:space="0" w:color="auto"/>
              <w:right w:val="single" w:sz="8" w:space="0" w:color="auto"/>
            </w:tcBorders>
          </w:tcPr>
          <w:p w14:paraId="67B001D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sand Wageningen D</w:t>
            </w:r>
          </w:p>
        </w:tc>
        <w:tc>
          <w:tcPr>
            <w:tcW w:w="425" w:type="dxa"/>
            <w:tcBorders>
              <w:top w:val="nil"/>
              <w:left w:val="nil"/>
              <w:bottom w:val="single" w:sz="8" w:space="0" w:color="auto"/>
              <w:right w:val="single" w:sz="8" w:space="0" w:color="auto"/>
            </w:tcBorders>
          </w:tcPr>
          <w:p w14:paraId="6643C6F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w:t>
            </w:r>
          </w:p>
        </w:tc>
        <w:tc>
          <w:tcPr>
            <w:tcW w:w="709" w:type="dxa"/>
            <w:tcBorders>
              <w:top w:val="nil"/>
              <w:left w:val="nil"/>
              <w:bottom w:val="single" w:sz="8" w:space="0" w:color="auto"/>
              <w:right w:val="single" w:sz="8" w:space="0" w:color="auto"/>
            </w:tcBorders>
          </w:tcPr>
          <w:p w14:paraId="513593A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2.3</w:t>
            </w:r>
          </w:p>
        </w:tc>
        <w:tc>
          <w:tcPr>
            <w:tcW w:w="709" w:type="dxa"/>
            <w:tcBorders>
              <w:top w:val="nil"/>
              <w:left w:val="nil"/>
              <w:bottom w:val="single" w:sz="8" w:space="0" w:color="auto"/>
              <w:right w:val="single" w:sz="8" w:space="0" w:color="auto"/>
            </w:tcBorders>
          </w:tcPr>
          <w:p w14:paraId="0F6D586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w:t>
            </w:r>
          </w:p>
        </w:tc>
        <w:tc>
          <w:tcPr>
            <w:tcW w:w="709" w:type="dxa"/>
            <w:tcBorders>
              <w:top w:val="nil"/>
              <w:left w:val="nil"/>
              <w:bottom w:val="single" w:sz="8" w:space="0" w:color="auto"/>
              <w:right w:val="single" w:sz="8" w:space="0" w:color="auto"/>
            </w:tcBorders>
          </w:tcPr>
          <w:p w14:paraId="70E5949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850" w:type="dxa"/>
            <w:tcBorders>
              <w:top w:val="nil"/>
              <w:left w:val="nil"/>
              <w:bottom w:val="single" w:sz="8" w:space="0" w:color="auto"/>
              <w:right w:val="single" w:sz="8" w:space="0" w:color="auto"/>
            </w:tcBorders>
          </w:tcPr>
          <w:p w14:paraId="3281C2D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992" w:type="dxa"/>
            <w:tcBorders>
              <w:top w:val="nil"/>
              <w:left w:val="nil"/>
              <w:bottom w:val="single" w:sz="8" w:space="0" w:color="auto"/>
              <w:right w:val="single" w:sz="8" w:space="0" w:color="auto"/>
            </w:tcBorders>
          </w:tcPr>
          <w:p w14:paraId="371C7A4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5A8B331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992" w:type="dxa"/>
            <w:tcBorders>
              <w:top w:val="nil"/>
              <w:left w:val="nil"/>
              <w:bottom w:val="single" w:sz="8" w:space="0" w:color="auto"/>
              <w:right w:val="single" w:sz="8" w:space="0" w:color="auto"/>
            </w:tcBorders>
          </w:tcPr>
          <w:p w14:paraId="293479B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rl</w:t>
            </w:r>
          </w:p>
        </w:tc>
        <w:tc>
          <w:tcPr>
            <w:tcW w:w="993" w:type="dxa"/>
            <w:tcBorders>
              <w:top w:val="single" w:sz="8" w:space="0" w:color="auto"/>
              <w:left w:val="nil"/>
              <w:bottom w:val="single" w:sz="8" w:space="0" w:color="auto"/>
              <w:right w:val="single" w:sz="8" w:space="0" w:color="000000"/>
            </w:tcBorders>
          </w:tcPr>
          <w:p w14:paraId="5D2D177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275" w:type="dxa"/>
            <w:tcBorders>
              <w:top w:val="single" w:sz="8" w:space="0" w:color="auto"/>
              <w:left w:val="nil"/>
              <w:bottom w:val="single" w:sz="8" w:space="0" w:color="auto"/>
              <w:right w:val="single" w:sz="8" w:space="0" w:color="000000"/>
            </w:tcBorders>
          </w:tcPr>
          <w:p w14:paraId="25EA623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&gt;138</w:t>
            </w:r>
          </w:p>
        </w:tc>
        <w:tc>
          <w:tcPr>
            <w:tcW w:w="851" w:type="dxa"/>
            <w:tcBorders>
              <w:top w:val="nil"/>
              <w:left w:val="nil"/>
              <w:bottom w:val="single" w:sz="8" w:space="0" w:color="000000"/>
              <w:right w:val="nil"/>
            </w:tcBorders>
          </w:tcPr>
          <w:p w14:paraId="2BC58E2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134" w:type="dxa"/>
            <w:tcBorders>
              <w:top w:val="single" w:sz="8" w:space="0" w:color="auto"/>
              <w:left w:val="nil"/>
              <w:bottom w:val="single" w:sz="8" w:space="0" w:color="000000"/>
              <w:right w:val="single" w:sz="12" w:space="0" w:color="000000"/>
            </w:tcBorders>
          </w:tcPr>
          <w:p w14:paraId="54EA2E6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&gt;157</w:t>
            </w:r>
          </w:p>
        </w:tc>
        <w:tc>
          <w:tcPr>
            <w:tcW w:w="1984" w:type="dxa"/>
            <w:tcBorders>
              <w:top w:val="single" w:sz="8" w:space="0" w:color="auto"/>
              <w:left w:val="nil"/>
              <w:bottom w:val="single" w:sz="8" w:space="0" w:color="auto"/>
              <w:right w:val="single" w:sz="12" w:space="0" w:color="000000"/>
            </w:tcBorders>
          </w:tcPr>
          <w:p w14:paraId="3703EC6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4B752F50" w14:textId="77777777" w:rsidTr="00A432B0">
        <w:trPr>
          <w:trHeight w:val="168"/>
        </w:trPr>
        <w:tc>
          <w:tcPr>
            <w:tcW w:w="1647" w:type="dxa"/>
            <w:vMerge w:val="restart"/>
            <w:tcBorders>
              <w:top w:val="nil"/>
              <w:left w:val="single" w:sz="4" w:space="0" w:color="auto"/>
              <w:bottom w:val="single" w:sz="8" w:space="0" w:color="000000"/>
              <w:right w:val="single" w:sz="8" w:space="0" w:color="auto"/>
            </w:tcBorders>
          </w:tcPr>
          <w:p w14:paraId="566BD9A4"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Hordeum vulgare</w:t>
            </w:r>
          </w:p>
        </w:tc>
        <w:tc>
          <w:tcPr>
            <w:tcW w:w="1276" w:type="dxa"/>
            <w:tcBorders>
              <w:top w:val="nil"/>
              <w:left w:val="nil"/>
              <w:bottom w:val="nil"/>
              <w:right w:val="single" w:sz="8" w:space="0" w:color="auto"/>
            </w:tcBorders>
          </w:tcPr>
          <w:p w14:paraId="028959A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w:t>
            </w:r>
          </w:p>
        </w:tc>
        <w:tc>
          <w:tcPr>
            <w:tcW w:w="425" w:type="dxa"/>
            <w:vMerge w:val="restart"/>
            <w:tcBorders>
              <w:top w:val="nil"/>
              <w:left w:val="single" w:sz="8" w:space="0" w:color="auto"/>
              <w:bottom w:val="single" w:sz="8" w:space="0" w:color="000000"/>
              <w:right w:val="single" w:sz="8" w:space="0" w:color="auto"/>
            </w:tcBorders>
          </w:tcPr>
          <w:p w14:paraId="6A40EC7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6.5</w:t>
            </w:r>
          </w:p>
        </w:tc>
        <w:tc>
          <w:tcPr>
            <w:tcW w:w="709" w:type="dxa"/>
            <w:vMerge w:val="restart"/>
            <w:tcBorders>
              <w:top w:val="nil"/>
              <w:left w:val="single" w:sz="8" w:space="0" w:color="auto"/>
              <w:bottom w:val="single" w:sz="8" w:space="0" w:color="000000"/>
              <w:right w:val="single" w:sz="8" w:space="0" w:color="auto"/>
            </w:tcBorders>
          </w:tcPr>
          <w:p w14:paraId="57BBEBF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1.7</w:t>
            </w:r>
          </w:p>
        </w:tc>
        <w:tc>
          <w:tcPr>
            <w:tcW w:w="709" w:type="dxa"/>
            <w:vMerge w:val="restart"/>
            <w:tcBorders>
              <w:top w:val="nil"/>
              <w:left w:val="single" w:sz="8" w:space="0" w:color="auto"/>
              <w:bottom w:val="single" w:sz="8" w:space="0" w:color="000000"/>
              <w:right w:val="single" w:sz="8" w:space="0" w:color="auto"/>
            </w:tcBorders>
          </w:tcPr>
          <w:p w14:paraId="5F59558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w:t>
            </w:r>
          </w:p>
        </w:tc>
        <w:tc>
          <w:tcPr>
            <w:tcW w:w="709" w:type="dxa"/>
            <w:vMerge w:val="restart"/>
            <w:tcBorders>
              <w:top w:val="nil"/>
              <w:left w:val="single" w:sz="8" w:space="0" w:color="auto"/>
              <w:bottom w:val="single" w:sz="8" w:space="0" w:color="000000"/>
              <w:right w:val="single" w:sz="8" w:space="0" w:color="auto"/>
            </w:tcBorders>
          </w:tcPr>
          <w:p w14:paraId="0133D9B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13</w:t>
            </w:r>
          </w:p>
        </w:tc>
        <w:tc>
          <w:tcPr>
            <w:tcW w:w="850" w:type="dxa"/>
            <w:vMerge w:val="restart"/>
            <w:tcBorders>
              <w:top w:val="nil"/>
              <w:left w:val="single" w:sz="8" w:space="0" w:color="auto"/>
              <w:bottom w:val="single" w:sz="8" w:space="0" w:color="000000"/>
              <w:right w:val="single" w:sz="8" w:space="0" w:color="auto"/>
            </w:tcBorders>
          </w:tcPr>
          <w:p w14:paraId="3D35077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8.4</w:t>
            </w:r>
          </w:p>
        </w:tc>
        <w:tc>
          <w:tcPr>
            <w:tcW w:w="992" w:type="dxa"/>
            <w:vMerge w:val="restart"/>
            <w:tcBorders>
              <w:top w:val="nil"/>
              <w:left w:val="single" w:sz="8" w:space="0" w:color="auto"/>
              <w:bottom w:val="single" w:sz="8" w:space="0" w:color="000000"/>
              <w:right w:val="single" w:sz="8" w:space="0" w:color="auto"/>
            </w:tcBorders>
          </w:tcPr>
          <w:p w14:paraId="366D52D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vMerge w:val="restart"/>
            <w:tcBorders>
              <w:top w:val="nil"/>
              <w:left w:val="single" w:sz="8" w:space="0" w:color="auto"/>
              <w:bottom w:val="single" w:sz="8" w:space="0" w:color="000000"/>
              <w:right w:val="single" w:sz="8" w:space="0" w:color="auto"/>
            </w:tcBorders>
          </w:tcPr>
          <w:p w14:paraId="1B0F5D1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992" w:type="dxa"/>
            <w:vMerge w:val="restart"/>
            <w:tcBorders>
              <w:top w:val="nil"/>
              <w:left w:val="single" w:sz="8" w:space="0" w:color="auto"/>
              <w:bottom w:val="single" w:sz="8" w:space="0" w:color="000000"/>
              <w:right w:val="single" w:sz="8" w:space="0" w:color="auto"/>
            </w:tcBorders>
          </w:tcPr>
          <w:p w14:paraId="37731F8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rl</w:t>
            </w:r>
          </w:p>
        </w:tc>
        <w:tc>
          <w:tcPr>
            <w:tcW w:w="993" w:type="dxa"/>
            <w:vMerge w:val="restart"/>
            <w:tcBorders>
              <w:top w:val="single" w:sz="8" w:space="0" w:color="auto"/>
              <w:left w:val="single" w:sz="8" w:space="0" w:color="auto"/>
              <w:bottom w:val="single" w:sz="8" w:space="0" w:color="000000"/>
              <w:right w:val="single" w:sz="8" w:space="0" w:color="000000"/>
            </w:tcBorders>
          </w:tcPr>
          <w:p w14:paraId="568D9EFD"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44</w:t>
            </w:r>
          </w:p>
        </w:tc>
        <w:tc>
          <w:tcPr>
            <w:tcW w:w="1275" w:type="dxa"/>
            <w:vMerge w:val="restart"/>
            <w:tcBorders>
              <w:top w:val="single" w:sz="8" w:space="0" w:color="auto"/>
              <w:left w:val="single" w:sz="8" w:space="0" w:color="auto"/>
              <w:bottom w:val="single" w:sz="8" w:space="0" w:color="000000"/>
              <w:right w:val="single" w:sz="8" w:space="0" w:color="000000"/>
            </w:tcBorders>
          </w:tcPr>
          <w:p w14:paraId="1219300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vMerge w:val="restart"/>
            <w:tcBorders>
              <w:top w:val="nil"/>
              <w:left w:val="single" w:sz="8" w:space="0" w:color="auto"/>
              <w:bottom w:val="single" w:sz="8" w:space="0" w:color="000000"/>
            </w:tcBorders>
          </w:tcPr>
          <w:p w14:paraId="6B54F18E"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57</w:t>
            </w:r>
          </w:p>
        </w:tc>
        <w:tc>
          <w:tcPr>
            <w:tcW w:w="1134" w:type="dxa"/>
            <w:vMerge w:val="restart"/>
            <w:tcBorders>
              <w:top w:val="single" w:sz="8" w:space="0" w:color="auto"/>
              <w:bottom w:val="single" w:sz="8" w:space="0" w:color="000000"/>
              <w:right w:val="single" w:sz="12" w:space="0" w:color="000000"/>
            </w:tcBorders>
          </w:tcPr>
          <w:p w14:paraId="34C3D37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single" w:sz="8" w:space="0" w:color="auto"/>
              <w:right w:val="single" w:sz="12" w:space="0" w:color="000000"/>
            </w:tcBorders>
          </w:tcPr>
          <w:p w14:paraId="57935D7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7EA07E79" w14:textId="77777777" w:rsidTr="00A432B0">
        <w:trPr>
          <w:trHeight w:val="177"/>
        </w:trPr>
        <w:tc>
          <w:tcPr>
            <w:tcW w:w="1647" w:type="dxa"/>
            <w:vMerge/>
            <w:tcBorders>
              <w:top w:val="nil"/>
              <w:left w:val="single" w:sz="4" w:space="0" w:color="auto"/>
              <w:bottom w:val="single" w:sz="8" w:space="0" w:color="000000"/>
              <w:right w:val="single" w:sz="8" w:space="0" w:color="auto"/>
            </w:tcBorders>
            <w:vAlign w:val="center"/>
          </w:tcPr>
          <w:p w14:paraId="69A4F9C9" w14:textId="77777777" w:rsidR="00632208" w:rsidRPr="0098635C" w:rsidRDefault="00632208" w:rsidP="00A432B0">
            <w:pPr>
              <w:spacing w:after="0"/>
              <w:rPr>
                <w:rFonts w:ascii="Arial Narrow" w:hAnsi="Arial Narrow" w:cs="Arial Narrow"/>
                <w:i/>
                <w:iCs/>
                <w:color w:val="000000" w:themeColor="text1"/>
                <w:sz w:val="20"/>
                <w:szCs w:val="20"/>
              </w:rPr>
            </w:pPr>
          </w:p>
        </w:tc>
        <w:tc>
          <w:tcPr>
            <w:tcW w:w="1276" w:type="dxa"/>
            <w:tcBorders>
              <w:top w:val="nil"/>
              <w:left w:val="nil"/>
              <w:bottom w:val="single" w:sz="8" w:space="0" w:color="auto"/>
              <w:right w:val="single" w:sz="8" w:space="0" w:color="auto"/>
            </w:tcBorders>
          </w:tcPr>
          <w:p w14:paraId="790F792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Woburn salt</w:t>
            </w:r>
          </w:p>
        </w:tc>
        <w:tc>
          <w:tcPr>
            <w:tcW w:w="425" w:type="dxa"/>
            <w:vMerge/>
            <w:tcBorders>
              <w:top w:val="nil"/>
              <w:left w:val="single" w:sz="8" w:space="0" w:color="auto"/>
              <w:bottom w:val="single" w:sz="8" w:space="0" w:color="000000"/>
              <w:right w:val="single" w:sz="8" w:space="0" w:color="auto"/>
            </w:tcBorders>
            <w:vAlign w:val="center"/>
          </w:tcPr>
          <w:p w14:paraId="61A86F10"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15B9B02D"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0FA86F64"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4BC5F5EA" w14:textId="77777777" w:rsidR="00632208" w:rsidRPr="0098635C" w:rsidRDefault="00632208" w:rsidP="00A432B0">
            <w:pPr>
              <w:spacing w:after="0"/>
              <w:rPr>
                <w:rFonts w:ascii="Arial Narrow" w:hAnsi="Arial Narrow" w:cs="Arial Narrow"/>
                <w:color w:val="000000" w:themeColor="text1"/>
                <w:sz w:val="20"/>
                <w:szCs w:val="20"/>
              </w:rPr>
            </w:pPr>
          </w:p>
        </w:tc>
        <w:tc>
          <w:tcPr>
            <w:tcW w:w="850" w:type="dxa"/>
            <w:vMerge/>
            <w:tcBorders>
              <w:top w:val="nil"/>
              <w:left w:val="single" w:sz="8" w:space="0" w:color="auto"/>
              <w:bottom w:val="single" w:sz="8" w:space="0" w:color="000000"/>
              <w:right w:val="single" w:sz="8" w:space="0" w:color="auto"/>
            </w:tcBorders>
            <w:vAlign w:val="center"/>
          </w:tcPr>
          <w:p w14:paraId="047800C1"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0AC1B16D"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43C056BF"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44CCC769" w14:textId="77777777" w:rsidR="00632208" w:rsidRPr="0098635C" w:rsidRDefault="00632208" w:rsidP="00A432B0">
            <w:pPr>
              <w:spacing w:after="0"/>
              <w:rPr>
                <w:rFonts w:ascii="Arial Narrow" w:hAnsi="Arial Narrow" w:cs="Arial Narrow"/>
                <w:color w:val="000000" w:themeColor="text1"/>
                <w:sz w:val="20"/>
                <w:szCs w:val="20"/>
              </w:rPr>
            </w:pPr>
          </w:p>
        </w:tc>
        <w:tc>
          <w:tcPr>
            <w:tcW w:w="993" w:type="dxa"/>
            <w:vMerge/>
            <w:tcBorders>
              <w:top w:val="single" w:sz="8" w:space="0" w:color="auto"/>
              <w:left w:val="single" w:sz="8" w:space="0" w:color="auto"/>
              <w:bottom w:val="single" w:sz="8" w:space="0" w:color="000000"/>
              <w:right w:val="single" w:sz="8" w:space="0" w:color="000000"/>
            </w:tcBorders>
            <w:vAlign w:val="center"/>
          </w:tcPr>
          <w:p w14:paraId="7F0AE1CE" w14:textId="77777777" w:rsidR="00632208" w:rsidRPr="0098635C" w:rsidRDefault="00632208" w:rsidP="00A432B0">
            <w:pPr>
              <w:spacing w:after="0"/>
              <w:rPr>
                <w:rFonts w:ascii="Arial Narrow" w:hAnsi="Arial Narrow" w:cs="Arial Narrow"/>
                <w:color w:val="000000" w:themeColor="text1"/>
                <w:sz w:val="20"/>
                <w:szCs w:val="20"/>
                <w:u w:val="single"/>
              </w:rPr>
            </w:pPr>
          </w:p>
        </w:tc>
        <w:tc>
          <w:tcPr>
            <w:tcW w:w="1275" w:type="dxa"/>
            <w:vMerge/>
            <w:tcBorders>
              <w:top w:val="single" w:sz="8" w:space="0" w:color="auto"/>
              <w:left w:val="single" w:sz="8" w:space="0" w:color="auto"/>
              <w:bottom w:val="single" w:sz="8" w:space="0" w:color="000000"/>
              <w:right w:val="single" w:sz="8" w:space="0" w:color="000000"/>
            </w:tcBorders>
            <w:vAlign w:val="center"/>
          </w:tcPr>
          <w:p w14:paraId="5F8593CB"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vMerge/>
            <w:tcBorders>
              <w:top w:val="nil"/>
              <w:left w:val="single" w:sz="8" w:space="0" w:color="auto"/>
              <w:bottom w:val="single" w:sz="8" w:space="0" w:color="000000"/>
            </w:tcBorders>
            <w:vAlign w:val="center"/>
          </w:tcPr>
          <w:p w14:paraId="2283CB9C" w14:textId="77777777" w:rsidR="00632208" w:rsidRPr="0098635C" w:rsidRDefault="00632208" w:rsidP="00A432B0">
            <w:pPr>
              <w:spacing w:after="0"/>
              <w:rPr>
                <w:rFonts w:ascii="Arial Narrow" w:hAnsi="Arial Narrow" w:cs="Arial Narrow"/>
                <w:color w:val="000000" w:themeColor="text1"/>
                <w:sz w:val="20"/>
                <w:szCs w:val="20"/>
                <w:u w:val="single"/>
              </w:rPr>
            </w:pPr>
          </w:p>
        </w:tc>
        <w:tc>
          <w:tcPr>
            <w:tcW w:w="1134" w:type="dxa"/>
            <w:vMerge/>
            <w:tcBorders>
              <w:top w:val="single" w:sz="8" w:space="0" w:color="auto"/>
              <w:bottom w:val="single" w:sz="8" w:space="0" w:color="000000"/>
              <w:right w:val="single" w:sz="12" w:space="0" w:color="000000"/>
            </w:tcBorders>
            <w:vAlign w:val="center"/>
          </w:tcPr>
          <w:p w14:paraId="3526D2A0"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tcBorders>
              <w:left w:val="single" w:sz="8" w:space="0" w:color="auto"/>
              <w:bottom w:val="single" w:sz="8" w:space="0" w:color="000000"/>
              <w:right w:val="single" w:sz="12" w:space="0" w:color="000000"/>
            </w:tcBorders>
          </w:tcPr>
          <w:p w14:paraId="2D6B0B62" w14:textId="77777777" w:rsidR="00632208" w:rsidRPr="0098635C" w:rsidRDefault="00632208" w:rsidP="00A432B0">
            <w:pPr>
              <w:spacing w:after="0"/>
              <w:rPr>
                <w:rFonts w:ascii="Arial Narrow" w:hAnsi="Arial Narrow" w:cs="Arial Narrow"/>
                <w:color w:val="000000" w:themeColor="text1"/>
                <w:sz w:val="20"/>
                <w:szCs w:val="20"/>
              </w:rPr>
            </w:pPr>
          </w:p>
        </w:tc>
      </w:tr>
      <w:tr w:rsidR="00632208" w:rsidRPr="0098635C" w14:paraId="0024E2FC" w14:textId="77777777" w:rsidTr="00A432B0">
        <w:trPr>
          <w:trHeight w:val="168"/>
        </w:trPr>
        <w:tc>
          <w:tcPr>
            <w:tcW w:w="1647" w:type="dxa"/>
            <w:vMerge w:val="restart"/>
            <w:tcBorders>
              <w:top w:val="nil"/>
              <w:left w:val="single" w:sz="4" w:space="0" w:color="auto"/>
              <w:bottom w:val="single" w:sz="8" w:space="0" w:color="000000"/>
              <w:right w:val="single" w:sz="8" w:space="0" w:color="auto"/>
            </w:tcBorders>
          </w:tcPr>
          <w:p w14:paraId="6E20D9EC"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Hordeum vulgare</w:t>
            </w:r>
          </w:p>
        </w:tc>
        <w:tc>
          <w:tcPr>
            <w:tcW w:w="1276" w:type="dxa"/>
            <w:tcBorders>
              <w:top w:val="nil"/>
              <w:left w:val="nil"/>
              <w:bottom w:val="nil"/>
              <w:right w:val="single" w:sz="8" w:space="0" w:color="auto"/>
            </w:tcBorders>
          </w:tcPr>
          <w:p w14:paraId="7D55173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w:t>
            </w:r>
          </w:p>
        </w:tc>
        <w:tc>
          <w:tcPr>
            <w:tcW w:w="425" w:type="dxa"/>
            <w:vMerge w:val="restart"/>
            <w:tcBorders>
              <w:top w:val="nil"/>
              <w:left w:val="single" w:sz="8" w:space="0" w:color="auto"/>
              <w:bottom w:val="single" w:sz="8" w:space="0" w:color="000000"/>
              <w:right w:val="single" w:sz="8" w:space="0" w:color="auto"/>
            </w:tcBorders>
          </w:tcPr>
          <w:p w14:paraId="446862C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6.5</w:t>
            </w:r>
          </w:p>
        </w:tc>
        <w:tc>
          <w:tcPr>
            <w:tcW w:w="709" w:type="dxa"/>
            <w:vMerge w:val="restart"/>
            <w:tcBorders>
              <w:top w:val="nil"/>
              <w:left w:val="single" w:sz="8" w:space="0" w:color="auto"/>
              <w:bottom w:val="single" w:sz="8" w:space="0" w:color="000000"/>
              <w:right w:val="single" w:sz="8" w:space="0" w:color="auto"/>
            </w:tcBorders>
          </w:tcPr>
          <w:p w14:paraId="73A28FB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2.5</w:t>
            </w:r>
          </w:p>
        </w:tc>
        <w:tc>
          <w:tcPr>
            <w:tcW w:w="709" w:type="dxa"/>
            <w:vMerge w:val="restart"/>
            <w:tcBorders>
              <w:top w:val="nil"/>
              <w:left w:val="single" w:sz="8" w:space="0" w:color="auto"/>
              <w:bottom w:val="single" w:sz="8" w:space="0" w:color="000000"/>
              <w:right w:val="single" w:sz="8" w:space="0" w:color="auto"/>
            </w:tcBorders>
          </w:tcPr>
          <w:p w14:paraId="3E70190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w:t>
            </w:r>
          </w:p>
        </w:tc>
        <w:tc>
          <w:tcPr>
            <w:tcW w:w="709" w:type="dxa"/>
            <w:vMerge w:val="restart"/>
            <w:tcBorders>
              <w:top w:val="nil"/>
              <w:left w:val="single" w:sz="8" w:space="0" w:color="auto"/>
              <w:bottom w:val="single" w:sz="8" w:space="0" w:color="000000"/>
              <w:right w:val="single" w:sz="8" w:space="0" w:color="auto"/>
            </w:tcBorders>
          </w:tcPr>
          <w:p w14:paraId="6D7CE83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35</w:t>
            </w:r>
          </w:p>
        </w:tc>
        <w:tc>
          <w:tcPr>
            <w:tcW w:w="850" w:type="dxa"/>
            <w:vMerge w:val="restart"/>
            <w:tcBorders>
              <w:top w:val="nil"/>
              <w:left w:val="single" w:sz="8" w:space="0" w:color="auto"/>
              <w:bottom w:val="single" w:sz="8" w:space="0" w:color="000000"/>
              <w:right w:val="single" w:sz="8" w:space="0" w:color="auto"/>
            </w:tcBorders>
          </w:tcPr>
          <w:p w14:paraId="6BE4D16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11.6</w:t>
            </w:r>
          </w:p>
        </w:tc>
        <w:tc>
          <w:tcPr>
            <w:tcW w:w="992" w:type="dxa"/>
            <w:vMerge w:val="restart"/>
            <w:tcBorders>
              <w:top w:val="nil"/>
              <w:left w:val="single" w:sz="8" w:space="0" w:color="auto"/>
              <w:bottom w:val="single" w:sz="8" w:space="0" w:color="000000"/>
              <w:right w:val="single" w:sz="8" w:space="0" w:color="auto"/>
            </w:tcBorders>
          </w:tcPr>
          <w:p w14:paraId="444162F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vMerge w:val="restart"/>
            <w:tcBorders>
              <w:top w:val="nil"/>
              <w:left w:val="single" w:sz="8" w:space="0" w:color="auto"/>
              <w:bottom w:val="single" w:sz="8" w:space="0" w:color="000000"/>
              <w:right w:val="single" w:sz="8" w:space="0" w:color="auto"/>
            </w:tcBorders>
          </w:tcPr>
          <w:p w14:paraId="1B7E406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992" w:type="dxa"/>
            <w:vMerge w:val="restart"/>
            <w:tcBorders>
              <w:top w:val="nil"/>
              <w:left w:val="single" w:sz="8" w:space="0" w:color="auto"/>
              <w:bottom w:val="single" w:sz="8" w:space="0" w:color="000000"/>
              <w:right w:val="single" w:sz="8" w:space="0" w:color="auto"/>
            </w:tcBorders>
          </w:tcPr>
          <w:p w14:paraId="557A4CE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rl</w:t>
            </w:r>
          </w:p>
        </w:tc>
        <w:tc>
          <w:tcPr>
            <w:tcW w:w="993" w:type="dxa"/>
            <w:vMerge w:val="restart"/>
            <w:tcBorders>
              <w:top w:val="single" w:sz="8" w:space="0" w:color="auto"/>
              <w:left w:val="single" w:sz="8" w:space="0" w:color="auto"/>
              <w:bottom w:val="single" w:sz="8" w:space="0" w:color="000000"/>
              <w:right w:val="single" w:sz="8" w:space="0" w:color="000000"/>
            </w:tcBorders>
          </w:tcPr>
          <w:p w14:paraId="4FE4C8F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275" w:type="dxa"/>
            <w:vMerge w:val="restart"/>
            <w:tcBorders>
              <w:top w:val="single" w:sz="8" w:space="0" w:color="auto"/>
              <w:left w:val="single" w:sz="8" w:space="0" w:color="auto"/>
              <w:bottom w:val="single" w:sz="8" w:space="0" w:color="000000"/>
              <w:right w:val="single" w:sz="8" w:space="0" w:color="000000"/>
            </w:tcBorders>
          </w:tcPr>
          <w:p w14:paraId="16FF0C3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&lt;50</w:t>
            </w:r>
          </w:p>
        </w:tc>
        <w:tc>
          <w:tcPr>
            <w:tcW w:w="851" w:type="dxa"/>
            <w:vMerge w:val="restart"/>
            <w:tcBorders>
              <w:top w:val="nil"/>
              <w:left w:val="single" w:sz="8" w:space="0" w:color="auto"/>
              <w:bottom w:val="single" w:sz="8" w:space="0" w:color="000000"/>
            </w:tcBorders>
          </w:tcPr>
          <w:p w14:paraId="51847B5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134" w:type="dxa"/>
            <w:vMerge w:val="restart"/>
            <w:tcBorders>
              <w:top w:val="single" w:sz="8" w:space="0" w:color="auto"/>
              <w:bottom w:val="single" w:sz="8" w:space="0" w:color="000000"/>
              <w:right w:val="single" w:sz="12" w:space="0" w:color="000000"/>
            </w:tcBorders>
          </w:tcPr>
          <w:p w14:paraId="627B840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&lt;85</w:t>
            </w:r>
          </w:p>
        </w:tc>
        <w:tc>
          <w:tcPr>
            <w:tcW w:w="1984" w:type="dxa"/>
            <w:tcBorders>
              <w:top w:val="single" w:sz="8" w:space="0" w:color="000000"/>
              <w:left w:val="single" w:sz="8" w:space="0" w:color="auto"/>
              <w:right w:val="single" w:sz="12" w:space="0" w:color="000000"/>
            </w:tcBorders>
          </w:tcPr>
          <w:p w14:paraId="3784E3D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409ECADB" w14:textId="77777777" w:rsidTr="00A432B0">
        <w:trPr>
          <w:trHeight w:val="177"/>
        </w:trPr>
        <w:tc>
          <w:tcPr>
            <w:tcW w:w="1647" w:type="dxa"/>
            <w:vMerge/>
            <w:tcBorders>
              <w:top w:val="nil"/>
              <w:left w:val="single" w:sz="4" w:space="0" w:color="auto"/>
              <w:bottom w:val="single" w:sz="8" w:space="0" w:color="000000"/>
              <w:right w:val="single" w:sz="8" w:space="0" w:color="auto"/>
            </w:tcBorders>
            <w:vAlign w:val="center"/>
          </w:tcPr>
          <w:p w14:paraId="22247C0B" w14:textId="77777777" w:rsidR="00632208" w:rsidRPr="0098635C" w:rsidRDefault="00632208" w:rsidP="00A432B0">
            <w:pPr>
              <w:spacing w:after="0"/>
              <w:rPr>
                <w:rFonts w:ascii="Arial Narrow" w:hAnsi="Arial Narrow" w:cs="Arial Narrow"/>
                <w:i/>
                <w:iCs/>
                <w:color w:val="000000" w:themeColor="text1"/>
                <w:sz w:val="20"/>
                <w:szCs w:val="20"/>
              </w:rPr>
            </w:pPr>
          </w:p>
        </w:tc>
        <w:tc>
          <w:tcPr>
            <w:tcW w:w="1276" w:type="dxa"/>
            <w:tcBorders>
              <w:top w:val="nil"/>
              <w:left w:val="nil"/>
              <w:bottom w:val="single" w:sz="8" w:space="0" w:color="auto"/>
              <w:right w:val="single" w:sz="8" w:space="0" w:color="auto"/>
            </w:tcBorders>
          </w:tcPr>
          <w:p w14:paraId="6CB7891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Woburn cake</w:t>
            </w:r>
          </w:p>
        </w:tc>
        <w:tc>
          <w:tcPr>
            <w:tcW w:w="425" w:type="dxa"/>
            <w:vMerge/>
            <w:tcBorders>
              <w:top w:val="nil"/>
              <w:left w:val="single" w:sz="8" w:space="0" w:color="auto"/>
              <w:bottom w:val="single" w:sz="8" w:space="0" w:color="000000"/>
              <w:right w:val="single" w:sz="8" w:space="0" w:color="auto"/>
            </w:tcBorders>
            <w:vAlign w:val="center"/>
          </w:tcPr>
          <w:p w14:paraId="58121596"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48D2EF30"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5F2EDA27"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23740294" w14:textId="77777777" w:rsidR="00632208" w:rsidRPr="0098635C" w:rsidRDefault="00632208" w:rsidP="00A432B0">
            <w:pPr>
              <w:spacing w:after="0"/>
              <w:rPr>
                <w:rFonts w:ascii="Arial Narrow" w:hAnsi="Arial Narrow" w:cs="Arial Narrow"/>
                <w:color w:val="000000" w:themeColor="text1"/>
                <w:sz w:val="20"/>
                <w:szCs w:val="20"/>
              </w:rPr>
            </w:pPr>
          </w:p>
        </w:tc>
        <w:tc>
          <w:tcPr>
            <w:tcW w:w="850" w:type="dxa"/>
            <w:vMerge/>
            <w:tcBorders>
              <w:top w:val="nil"/>
              <w:left w:val="single" w:sz="8" w:space="0" w:color="auto"/>
              <w:bottom w:val="single" w:sz="8" w:space="0" w:color="000000"/>
              <w:right w:val="single" w:sz="8" w:space="0" w:color="auto"/>
            </w:tcBorders>
            <w:vAlign w:val="center"/>
          </w:tcPr>
          <w:p w14:paraId="3493BDA2"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22DECFD6"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58D8125E"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744580E1" w14:textId="77777777" w:rsidR="00632208" w:rsidRPr="0098635C" w:rsidRDefault="00632208" w:rsidP="00A432B0">
            <w:pPr>
              <w:spacing w:after="0"/>
              <w:rPr>
                <w:rFonts w:ascii="Arial Narrow" w:hAnsi="Arial Narrow" w:cs="Arial Narrow"/>
                <w:color w:val="000000" w:themeColor="text1"/>
                <w:sz w:val="20"/>
                <w:szCs w:val="20"/>
              </w:rPr>
            </w:pPr>
          </w:p>
        </w:tc>
        <w:tc>
          <w:tcPr>
            <w:tcW w:w="993" w:type="dxa"/>
            <w:vMerge/>
            <w:tcBorders>
              <w:top w:val="single" w:sz="8" w:space="0" w:color="auto"/>
              <w:left w:val="single" w:sz="8" w:space="0" w:color="auto"/>
              <w:bottom w:val="single" w:sz="8" w:space="0" w:color="000000"/>
              <w:right w:val="single" w:sz="8" w:space="0" w:color="000000"/>
            </w:tcBorders>
            <w:vAlign w:val="center"/>
          </w:tcPr>
          <w:p w14:paraId="296E24B0" w14:textId="77777777" w:rsidR="00632208" w:rsidRPr="0098635C" w:rsidRDefault="00632208" w:rsidP="00A432B0">
            <w:pPr>
              <w:spacing w:after="0"/>
              <w:rPr>
                <w:rFonts w:ascii="Arial Narrow" w:hAnsi="Arial Narrow" w:cs="Arial Narrow"/>
                <w:color w:val="000000" w:themeColor="text1"/>
                <w:sz w:val="20"/>
                <w:szCs w:val="20"/>
              </w:rPr>
            </w:pPr>
          </w:p>
        </w:tc>
        <w:tc>
          <w:tcPr>
            <w:tcW w:w="1275" w:type="dxa"/>
            <w:vMerge/>
            <w:tcBorders>
              <w:top w:val="single" w:sz="8" w:space="0" w:color="auto"/>
              <w:left w:val="single" w:sz="8" w:space="0" w:color="auto"/>
              <w:bottom w:val="single" w:sz="8" w:space="0" w:color="000000"/>
              <w:right w:val="single" w:sz="8" w:space="0" w:color="000000"/>
            </w:tcBorders>
            <w:vAlign w:val="center"/>
          </w:tcPr>
          <w:p w14:paraId="01822B9D"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vMerge/>
            <w:tcBorders>
              <w:top w:val="nil"/>
              <w:left w:val="single" w:sz="8" w:space="0" w:color="auto"/>
              <w:bottom w:val="single" w:sz="8" w:space="0" w:color="000000"/>
            </w:tcBorders>
            <w:vAlign w:val="center"/>
          </w:tcPr>
          <w:p w14:paraId="79CFD7EF" w14:textId="77777777" w:rsidR="00632208" w:rsidRPr="0098635C" w:rsidRDefault="00632208" w:rsidP="00A432B0">
            <w:pPr>
              <w:spacing w:after="0"/>
              <w:rPr>
                <w:rFonts w:ascii="Arial Narrow" w:hAnsi="Arial Narrow" w:cs="Arial Narrow"/>
                <w:color w:val="000000" w:themeColor="text1"/>
                <w:sz w:val="20"/>
                <w:szCs w:val="20"/>
              </w:rPr>
            </w:pPr>
          </w:p>
        </w:tc>
        <w:tc>
          <w:tcPr>
            <w:tcW w:w="1134" w:type="dxa"/>
            <w:vMerge/>
            <w:tcBorders>
              <w:top w:val="single" w:sz="8" w:space="0" w:color="auto"/>
              <w:bottom w:val="single" w:sz="8" w:space="0" w:color="000000"/>
              <w:right w:val="single" w:sz="12" w:space="0" w:color="000000"/>
            </w:tcBorders>
            <w:vAlign w:val="center"/>
          </w:tcPr>
          <w:p w14:paraId="359BEAFB"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tcBorders>
              <w:left w:val="single" w:sz="8" w:space="0" w:color="auto"/>
              <w:bottom w:val="single" w:sz="8" w:space="0" w:color="000000"/>
              <w:right w:val="single" w:sz="12" w:space="0" w:color="000000"/>
            </w:tcBorders>
          </w:tcPr>
          <w:p w14:paraId="399267A4" w14:textId="77777777" w:rsidR="00632208" w:rsidRPr="0098635C" w:rsidRDefault="00632208" w:rsidP="00A432B0">
            <w:pPr>
              <w:spacing w:after="0"/>
              <w:rPr>
                <w:rFonts w:ascii="Arial Narrow" w:hAnsi="Arial Narrow" w:cs="Arial Narrow"/>
                <w:color w:val="000000" w:themeColor="text1"/>
                <w:sz w:val="20"/>
                <w:szCs w:val="20"/>
              </w:rPr>
            </w:pPr>
          </w:p>
        </w:tc>
      </w:tr>
      <w:tr w:rsidR="00632208" w:rsidRPr="0098635C" w14:paraId="33629355" w14:textId="77777777" w:rsidTr="00A432B0">
        <w:trPr>
          <w:trHeight w:val="364"/>
        </w:trPr>
        <w:tc>
          <w:tcPr>
            <w:tcW w:w="1647" w:type="dxa"/>
            <w:tcBorders>
              <w:top w:val="nil"/>
              <w:left w:val="single" w:sz="4" w:space="0" w:color="auto"/>
              <w:bottom w:val="single" w:sz="8" w:space="0" w:color="auto"/>
              <w:right w:val="single" w:sz="8" w:space="0" w:color="auto"/>
            </w:tcBorders>
          </w:tcPr>
          <w:p w14:paraId="26D909F4"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Lycopersicon esculentum</w:t>
            </w:r>
          </w:p>
        </w:tc>
        <w:tc>
          <w:tcPr>
            <w:tcW w:w="1276" w:type="dxa"/>
            <w:tcBorders>
              <w:top w:val="nil"/>
              <w:left w:val="nil"/>
              <w:bottom w:val="single" w:sz="8" w:space="0" w:color="auto"/>
              <w:right w:val="single" w:sz="8" w:space="0" w:color="auto"/>
            </w:tcBorders>
          </w:tcPr>
          <w:p w14:paraId="6F5F99A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loam Nottingham</w:t>
            </w:r>
          </w:p>
        </w:tc>
        <w:tc>
          <w:tcPr>
            <w:tcW w:w="425" w:type="dxa"/>
            <w:tcBorders>
              <w:top w:val="nil"/>
              <w:left w:val="nil"/>
              <w:bottom w:val="single" w:sz="8" w:space="0" w:color="auto"/>
              <w:right w:val="single" w:sz="8" w:space="0" w:color="auto"/>
            </w:tcBorders>
          </w:tcPr>
          <w:p w14:paraId="419758F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3.4</w:t>
            </w:r>
          </w:p>
        </w:tc>
        <w:tc>
          <w:tcPr>
            <w:tcW w:w="709" w:type="dxa"/>
            <w:tcBorders>
              <w:top w:val="nil"/>
              <w:left w:val="nil"/>
              <w:bottom w:val="single" w:sz="8" w:space="0" w:color="auto"/>
              <w:right w:val="single" w:sz="8" w:space="0" w:color="auto"/>
            </w:tcBorders>
          </w:tcPr>
          <w:p w14:paraId="663DC55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8.3</w:t>
            </w:r>
          </w:p>
        </w:tc>
        <w:tc>
          <w:tcPr>
            <w:tcW w:w="709" w:type="dxa"/>
            <w:tcBorders>
              <w:top w:val="nil"/>
              <w:left w:val="nil"/>
              <w:bottom w:val="single" w:sz="8" w:space="0" w:color="auto"/>
              <w:right w:val="single" w:sz="8" w:space="0" w:color="auto"/>
            </w:tcBorders>
          </w:tcPr>
          <w:p w14:paraId="6AC875D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13</w:t>
            </w:r>
          </w:p>
        </w:tc>
        <w:tc>
          <w:tcPr>
            <w:tcW w:w="709" w:type="dxa"/>
            <w:tcBorders>
              <w:top w:val="nil"/>
              <w:left w:val="nil"/>
              <w:bottom w:val="single" w:sz="8" w:space="0" w:color="auto"/>
              <w:right w:val="single" w:sz="8" w:space="0" w:color="auto"/>
            </w:tcBorders>
          </w:tcPr>
          <w:p w14:paraId="275EA8A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17</w:t>
            </w:r>
          </w:p>
        </w:tc>
        <w:tc>
          <w:tcPr>
            <w:tcW w:w="850" w:type="dxa"/>
            <w:tcBorders>
              <w:top w:val="nil"/>
              <w:left w:val="nil"/>
              <w:bottom w:val="single" w:sz="8" w:space="0" w:color="auto"/>
              <w:right w:val="single" w:sz="8" w:space="0" w:color="auto"/>
            </w:tcBorders>
          </w:tcPr>
          <w:p w14:paraId="7578006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6.7</w:t>
            </w:r>
          </w:p>
        </w:tc>
        <w:tc>
          <w:tcPr>
            <w:tcW w:w="992" w:type="dxa"/>
            <w:tcBorders>
              <w:top w:val="nil"/>
              <w:left w:val="nil"/>
              <w:bottom w:val="single" w:sz="8" w:space="0" w:color="auto"/>
              <w:right w:val="single" w:sz="8" w:space="0" w:color="auto"/>
            </w:tcBorders>
          </w:tcPr>
          <w:p w14:paraId="17B3658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584BA3A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992" w:type="dxa"/>
            <w:tcBorders>
              <w:top w:val="nil"/>
              <w:left w:val="nil"/>
              <w:bottom w:val="single" w:sz="8" w:space="0" w:color="auto"/>
              <w:right w:val="single" w:sz="8" w:space="0" w:color="auto"/>
            </w:tcBorders>
          </w:tcPr>
          <w:p w14:paraId="68D2C1F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8" w:space="0" w:color="auto"/>
              <w:right w:val="single" w:sz="8" w:space="0" w:color="000000"/>
            </w:tcBorders>
          </w:tcPr>
          <w:p w14:paraId="786821AE"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19</w:t>
            </w:r>
          </w:p>
        </w:tc>
        <w:tc>
          <w:tcPr>
            <w:tcW w:w="1275" w:type="dxa"/>
            <w:tcBorders>
              <w:top w:val="single" w:sz="8" w:space="0" w:color="auto"/>
              <w:left w:val="nil"/>
              <w:bottom w:val="single" w:sz="8" w:space="0" w:color="auto"/>
              <w:right w:val="single" w:sz="8" w:space="0" w:color="000000"/>
            </w:tcBorders>
          </w:tcPr>
          <w:p w14:paraId="4DE1013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000000"/>
              <w:right w:val="nil"/>
            </w:tcBorders>
          </w:tcPr>
          <w:p w14:paraId="4BF7FE6F"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36</w:t>
            </w:r>
          </w:p>
        </w:tc>
        <w:tc>
          <w:tcPr>
            <w:tcW w:w="1134" w:type="dxa"/>
            <w:tcBorders>
              <w:top w:val="single" w:sz="8" w:space="0" w:color="auto"/>
              <w:left w:val="nil"/>
              <w:bottom w:val="single" w:sz="8" w:space="0" w:color="000000"/>
              <w:right w:val="single" w:sz="12" w:space="0" w:color="000000"/>
            </w:tcBorders>
          </w:tcPr>
          <w:p w14:paraId="03E8BA4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123FC48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74BC48D6" w14:textId="77777777" w:rsidTr="00A432B0">
        <w:trPr>
          <w:trHeight w:val="364"/>
        </w:trPr>
        <w:tc>
          <w:tcPr>
            <w:tcW w:w="1647" w:type="dxa"/>
            <w:tcBorders>
              <w:top w:val="nil"/>
              <w:left w:val="single" w:sz="4" w:space="0" w:color="auto"/>
              <w:bottom w:val="single" w:sz="8" w:space="0" w:color="auto"/>
              <w:right w:val="single" w:sz="8" w:space="0" w:color="auto"/>
            </w:tcBorders>
          </w:tcPr>
          <w:p w14:paraId="67BAF121"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Lycopersicon esculentum</w:t>
            </w:r>
          </w:p>
        </w:tc>
        <w:tc>
          <w:tcPr>
            <w:tcW w:w="1276" w:type="dxa"/>
            <w:tcBorders>
              <w:top w:val="nil"/>
              <w:left w:val="nil"/>
              <w:bottom w:val="single" w:sz="8" w:space="0" w:color="auto"/>
              <w:right w:val="single" w:sz="8" w:space="0" w:color="auto"/>
            </w:tcBorders>
          </w:tcPr>
          <w:p w14:paraId="09C1633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sand Houthalen</w:t>
            </w:r>
          </w:p>
        </w:tc>
        <w:tc>
          <w:tcPr>
            <w:tcW w:w="425" w:type="dxa"/>
            <w:tcBorders>
              <w:top w:val="nil"/>
              <w:left w:val="nil"/>
              <w:bottom w:val="single" w:sz="8" w:space="0" w:color="auto"/>
              <w:right w:val="single" w:sz="8" w:space="0" w:color="auto"/>
            </w:tcBorders>
          </w:tcPr>
          <w:p w14:paraId="5B091CB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3.4</w:t>
            </w:r>
          </w:p>
        </w:tc>
        <w:tc>
          <w:tcPr>
            <w:tcW w:w="709" w:type="dxa"/>
            <w:tcBorders>
              <w:top w:val="nil"/>
              <w:left w:val="nil"/>
              <w:bottom w:val="single" w:sz="8" w:space="0" w:color="auto"/>
              <w:right w:val="single" w:sz="8" w:space="0" w:color="auto"/>
            </w:tcBorders>
          </w:tcPr>
          <w:p w14:paraId="079F4E2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3.2</w:t>
            </w:r>
          </w:p>
        </w:tc>
        <w:tc>
          <w:tcPr>
            <w:tcW w:w="709" w:type="dxa"/>
            <w:tcBorders>
              <w:top w:val="nil"/>
              <w:left w:val="nil"/>
              <w:bottom w:val="single" w:sz="8" w:space="0" w:color="auto"/>
              <w:right w:val="single" w:sz="8" w:space="0" w:color="auto"/>
            </w:tcBorders>
          </w:tcPr>
          <w:p w14:paraId="058523E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w:t>
            </w:r>
          </w:p>
        </w:tc>
        <w:tc>
          <w:tcPr>
            <w:tcW w:w="709" w:type="dxa"/>
            <w:tcBorders>
              <w:top w:val="nil"/>
              <w:left w:val="nil"/>
              <w:bottom w:val="single" w:sz="8" w:space="0" w:color="auto"/>
              <w:right w:val="single" w:sz="8" w:space="0" w:color="auto"/>
            </w:tcBorders>
          </w:tcPr>
          <w:p w14:paraId="5FC0101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w:t>
            </w:r>
          </w:p>
        </w:tc>
        <w:tc>
          <w:tcPr>
            <w:tcW w:w="850" w:type="dxa"/>
            <w:tcBorders>
              <w:top w:val="nil"/>
              <w:left w:val="nil"/>
              <w:bottom w:val="single" w:sz="8" w:space="0" w:color="auto"/>
              <w:right w:val="single" w:sz="8" w:space="0" w:color="auto"/>
            </w:tcBorders>
          </w:tcPr>
          <w:p w14:paraId="6635354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992" w:type="dxa"/>
            <w:tcBorders>
              <w:top w:val="nil"/>
              <w:left w:val="nil"/>
              <w:bottom w:val="single" w:sz="8" w:space="0" w:color="auto"/>
              <w:right w:val="single" w:sz="8" w:space="0" w:color="auto"/>
            </w:tcBorders>
          </w:tcPr>
          <w:p w14:paraId="22494A6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70B8C71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992" w:type="dxa"/>
            <w:tcBorders>
              <w:top w:val="nil"/>
              <w:left w:val="nil"/>
              <w:bottom w:val="single" w:sz="8" w:space="0" w:color="auto"/>
              <w:right w:val="single" w:sz="8" w:space="0" w:color="auto"/>
            </w:tcBorders>
          </w:tcPr>
          <w:p w14:paraId="7BBB47A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8" w:space="0" w:color="auto"/>
              <w:right w:val="single" w:sz="8" w:space="0" w:color="000000"/>
            </w:tcBorders>
          </w:tcPr>
          <w:p w14:paraId="5AB89A6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275" w:type="dxa"/>
            <w:tcBorders>
              <w:top w:val="single" w:sz="8" w:space="0" w:color="auto"/>
              <w:left w:val="nil"/>
              <w:bottom w:val="single" w:sz="8" w:space="0" w:color="auto"/>
              <w:right w:val="single" w:sz="8" w:space="0" w:color="000000"/>
            </w:tcBorders>
          </w:tcPr>
          <w:p w14:paraId="7709097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&lt;20</w:t>
            </w:r>
          </w:p>
        </w:tc>
        <w:tc>
          <w:tcPr>
            <w:tcW w:w="851" w:type="dxa"/>
            <w:tcBorders>
              <w:top w:val="nil"/>
              <w:left w:val="nil"/>
              <w:bottom w:val="single" w:sz="8" w:space="0" w:color="000000"/>
              <w:right w:val="nil"/>
            </w:tcBorders>
          </w:tcPr>
          <w:p w14:paraId="30BCC0B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134" w:type="dxa"/>
            <w:tcBorders>
              <w:top w:val="single" w:sz="8" w:space="0" w:color="auto"/>
              <w:left w:val="nil"/>
              <w:bottom w:val="single" w:sz="8" w:space="0" w:color="000000"/>
              <w:right w:val="single" w:sz="12" w:space="0" w:color="000000"/>
            </w:tcBorders>
          </w:tcPr>
          <w:p w14:paraId="543B20F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&lt;22</w:t>
            </w:r>
          </w:p>
        </w:tc>
        <w:tc>
          <w:tcPr>
            <w:tcW w:w="1984" w:type="dxa"/>
            <w:tcBorders>
              <w:top w:val="single" w:sz="8" w:space="0" w:color="auto"/>
              <w:left w:val="nil"/>
              <w:bottom w:val="single" w:sz="8" w:space="0" w:color="auto"/>
              <w:right w:val="single" w:sz="12" w:space="0" w:color="000000"/>
            </w:tcBorders>
          </w:tcPr>
          <w:p w14:paraId="7B6BE1A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78919E76" w14:textId="77777777" w:rsidTr="00A432B0">
        <w:trPr>
          <w:trHeight w:val="364"/>
        </w:trPr>
        <w:tc>
          <w:tcPr>
            <w:tcW w:w="1647" w:type="dxa"/>
            <w:tcBorders>
              <w:top w:val="nil"/>
              <w:left w:val="single" w:sz="4" w:space="0" w:color="auto"/>
              <w:bottom w:val="single" w:sz="8" w:space="0" w:color="auto"/>
              <w:right w:val="single" w:sz="8" w:space="0" w:color="auto"/>
            </w:tcBorders>
          </w:tcPr>
          <w:p w14:paraId="7643281C"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Lycopersicon esculentum</w:t>
            </w:r>
          </w:p>
        </w:tc>
        <w:tc>
          <w:tcPr>
            <w:tcW w:w="1276" w:type="dxa"/>
            <w:tcBorders>
              <w:top w:val="nil"/>
              <w:left w:val="nil"/>
              <w:bottom w:val="single" w:sz="8" w:space="0" w:color="auto"/>
              <w:right w:val="single" w:sz="8" w:space="0" w:color="auto"/>
            </w:tcBorders>
          </w:tcPr>
          <w:p w14:paraId="0966A97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sand Rhydtalog</w:t>
            </w:r>
          </w:p>
        </w:tc>
        <w:tc>
          <w:tcPr>
            <w:tcW w:w="425" w:type="dxa"/>
            <w:tcBorders>
              <w:top w:val="nil"/>
              <w:left w:val="nil"/>
              <w:bottom w:val="single" w:sz="8" w:space="0" w:color="auto"/>
              <w:right w:val="single" w:sz="8" w:space="0" w:color="auto"/>
            </w:tcBorders>
          </w:tcPr>
          <w:p w14:paraId="427F23D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4.2</w:t>
            </w:r>
          </w:p>
        </w:tc>
        <w:tc>
          <w:tcPr>
            <w:tcW w:w="709" w:type="dxa"/>
            <w:tcBorders>
              <w:top w:val="nil"/>
              <w:left w:val="nil"/>
              <w:bottom w:val="single" w:sz="8" w:space="0" w:color="auto"/>
              <w:right w:val="single" w:sz="8" w:space="0" w:color="auto"/>
            </w:tcBorders>
          </w:tcPr>
          <w:p w14:paraId="228F26D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20.7</w:t>
            </w:r>
          </w:p>
        </w:tc>
        <w:tc>
          <w:tcPr>
            <w:tcW w:w="709" w:type="dxa"/>
            <w:tcBorders>
              <w:top w:val="nil"/>
              <w:left w:val="nil"/>
              <w:bottom w:val="single" w:sz="8" w:space="0" w:color="auto"/>
              <w:right w:val="single" w:sz="8" w:space="0" w:color="auto"/>
            </w:tcBorders>
          </w:tcPr>
          <w:p w14:paraId="68D17B8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13</w:t>
            </w:r>
          </w:p>
        </w:tc>
        <w:tc>
          <w:tcPr>
            <w:tcW w:w="709" w:type="dxa"/>
            <w:tcBorders>
              <w:top w:val="nil"/>
              <w:left w:val="nil"/>
              <w:bottom w:val="single" w:sz="8" w:space="0" w:color="auto"/>
              <w:right w:val="single" w:sz="8" w:space="0" w:color="auto"/>
            </w:tcBorders>
          </w:tcPr>
          <w:p w14:paraId="477D45E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w:t>
            </w:r>
          </w:p>
        </w:tc>
        <w:tc>
          <w:tcPr>
            <w:tcW w:w="850" w:type="dxa"/>
            <w:tcBorders>
              <w:top w:val="nil"/>
              <w:left w:val="nil"/>
              <w:bottom w:val="single" w:sz="8" w:space="0" w:color="auto"/>
              <w:right w:val="single" w:sz="8" w:space="0" w:color="auto"/>
            </w:tcBorders>
          </w:tcPr>
          <w:p w14:paraId="2BEEC66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15.2</w:t>
            </w:r>
          </w:p>
        </w:tc>
        <w:tc>
          <w:tcPr>
            <w:tcW w:w="992" w:type="dxa"/>
            <w:tcBorders>
              <w:top w:val="nil"/>
              <w:left w:val="nil"/>
              <w:bottom w:val="single" w:sz="8" w:space="0" w:color="auto"/>
              <w:right w:val="single" w:sz="8" w:space="0" w:color="auto"/>
            </w:tcBorders>
          </w:tcPr>
          <w:p w14:paraId="023DDBA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1A1F2ED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992" w:type="dxa"/>
            <w:tcBorders>
              <w:top w:val="nil"/>
              <w:left w:val="nil"/>
              <w:bottom w:val="single" w:sz="8" w:space="0" w:color="auto"/>
              <w:right w:val="single" w:sz="8" w:space="0" w:color="auto"/>
            </w:tcBorders>
          </w:tcPr>
          <w:p w14:paraId="3953C96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8" w:space="0" w:color="auto"/>
              <w:right w:val="single" w:sz="8" w:space="0" w:color="000000"/>
            </w:tcBorders>
          </w:tcPr>
          <w:p w14:paraId="5E62CEE8"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357</w:t>
            </w:r>
          </w:p>
        </w:tc>
        <w:tc>
          <w:tcPr>
            <w:tcW w:w="1275" w:type="dxa"/>
            <w:tcBorders>
              <w:top w:val="single" w:sz="8" w:space="0" w:color="auto"/>
              <w:left w:val="nil"/>
              <w:bottom w:val="single" w:sz="8" w:space="0" w:color="auto"/>
              <w:right w:val="single" w:sz="8" w:space="0" w:color="000000"/>
            </w:tcBorders>
          </w:tcPr>
          <w:p w14:paraId="0FA88D9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000000"/>
              <w:right w:val="nil"/>
            </w:tcBorders>
          </w:tcPr>
          <w:p w14:paraId="504CEEF6"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371</w:t>
            </w:r>
          </w:p>
        </w:tc>
        <w:tc>
          <w:tcPr>
            <w:tcW w:w="1134" w:type="dxa"/>
            <w:tcBorders>
              <w:top w:val="single" w:sz="8" w:space="0" w:color="auto"/>
              <w:left w:val="nil"/>
              <w:bottom w:val="single" w:sz="8" w:space="0" w:color="000000"/>
              <w:right w:val="single" w:sz="12" w:space="0" w:color="000000"/>
            </w:tcBorders>
          </w:tcPr>
          <w:p w14:paraId="32783F0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4A173D2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71F1D4DD" w14:textId="77777777" w:rsidTr="00A432B0">
        <w:trPr>
          <w:trHeight w:val="364"/>
        </w:trPr>
        <w:tc>
          <w:tcPr>
            <w:tcW w:w="1647" w:type="dxa"/>
            <w:tcBorders>
              <w:top w:val="nil"/>
              <w:left w:val="single" w:sz="4" w:space="0" w:color="auto"/>
              <w:bottom w:val="single" w:sz="8" w:space="0" w:color="auto"/>
              <w:right w:val="single" w:sz="8" w:space="0" w:color="auto"/>
            </w:tcBorders>
          </w:tcPr>
          <w:p w14:paraId="057915E6"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Lycopersicon esculentum</w:t>
            </w:r>
          </w:p>
        </w:tc>
        <w:tc>
          <w:tcPr>
            <w:tcW w:w="1276" w:type="dxa"/>
            <w:tcBorders>
              <w:top w:val="nil"/>
              <w:left w:val="nil"/>
              <w:bottom w:val="single" w:sz="8" w:space="0" w:color="auto"/>
              <w:right w:val="single" w:sz="8" w:space="0" w:color="auto"/>
            </w:tcBorders>
          </w:tcPr>
          <w:p w14:paraId="1149C3F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clay loam Zegveld</w:t>
            </w:r>
          </w:p>
        </w:tc>
        <w:tc>
          <w:tcPr>
            <w:tcW w:w="425" w:type="dxa"/>
            <w:tcBorders>
              <w:top w:val="nil"/>
              <w:left w:val="nil"/>
              <w:bottom w:val="single" w:sz="8" w:space="0" w:color="auto"/>
              <w:right w:val="single" w:sz="8" w:space="0" w:color="auto"/>
            </w:tcBorders>
          </w:tcPr>
          <w:p w14:paraId="55EEAE8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4.7</w:t>
            </w:r>
          </w:p>
        </w:tc>
        <w:tc>
          <w:tcPr>
            <w:tcW w:w="709" w:type="dxa"/>
            <w:tcBorders>
              <w:top w:val="nil"/>
              <w:left w:val="nil"/>
              <w:bottom w:val="single" w:sz="8" w:space="0" w:color="auto"/>
              <w:right w:val="single" w:sz="8" w:space="0" w:color="auto"/>
            </w:tcBorders>
          </w:tcPr>
          <w:p w14:paraId="40AAFAF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37.3</w:t>
            </w:r>
          </w:p>
        </w:tc>
        <w:tc>
          <w:tcPr>
            <w:tcW w:w="709" w:type="dxa"/>
            <w:tcBorders>
              <w:top w:val="nil"/>
              <w:left w:val="nil"/>
              <w:bottom w:val="single" w:sz="8" w:space="0" w:color="auto"/>
              <w:right w:val="single" w:sz="8" w:space="0" w:color="auto"/>
            </w:tcBorders>
          </w:tcPr>
          <w:p w14:paraId="7A6AA1D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24</w:t>
            </w:r>
          </w:p>
        </w:tc>
        <w:tc>
          <w:tcPr>
            <w:tcW w:w="709" w:type="dxa"/>
            <w:tcBorders>
              <w:top w:val="nil"/>
              <w:left w:val="nil"/>
              <w:bottom w:val="single" w:sz="8" w:space="0" w:color="auto"/>
              <w:right w:val="single" w:sz="8" w:space="0" w:color="auto"/>
            </w:tcBorders>
          </w:tcPr>
          <w:p w14:paraId="67D03D6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70</w:t>
            </w:r>
          </w:p>
        </w:tc>
        <w:tc>
          <w:tcPr>
            <w:tcW w:w="850" w:type="dxa"/>
            <w:tcBorders>
              <w:top w:val="nil"/>
              <w:left w:val="nil"/>
              <w:bottom w:val="single" w:sz="8" w:space="0" w:color="auto"/>
              <w:right w:val="single" w:sz="8" w:space="0" w:color="auto"/>
            </w:tcBorders>
          </w:tcPr>
          <w:p w14:paraId="3ACF7E9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35.3</w:t>
            </w:r>
          </w:p>
        </w:tc>
        <w:tc>
          <w:tcPr>
            <w:tcW w:w="992" w:type="dxa"/>
            <w:tcBorders>
              <w:top w:val="nil"/>
              <w:left w:val="nil"/>
              <w:bottom w:val="single" w:sz="8" w:space="0" w:color="auto"/>
              <w:right w:val="single" w:sz="8" w:space="0" w:color="auto"/>
            </w:tcBorders>
          </w:tcPr>
          <w:p w14:paraId="4538443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1A9DD84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992" w:type="dxa"/>
            <w:tcBorders>
              <w:top w:val="nil"/>
              <w:left w:val="nil"/>
              <w:bottom w:val="single" w:sz="8" w:space="0" w:color="auto"/>
              <w:right w:val="single" w:sz="8" w:space="0" w:color="auto"/>
            </w:tcBorders>
          </w:tcPr>
          <w:p w14:paraId="347E337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8" w:space="0" w:color="auto"/>
              <w:right w:val="single" w:sz="8" w:space="0" w:color="000000"/>
            </w:tcBorders>
          </w:tcPr>
          <w:p w14:paraId="688A489B"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628</w:t>
            </w:r>
          </w:p>
        </w:tc>
        <w:tc>
          <w:tcPr>
            <w:tcW w:w="1275" w:type="dxa"/>
            <w:tcBorders>
              <w:top w:val="single" w:sz="8" w:space="0" w:color="auto"/>
              <w:left w:val="nil"/>
              <w:bottom w:val="single" w:sz="8" w:space="0" w:color="auto"/>
              <w:right w:val="single" w:sz="8" w:space="0" w:color="000000"/>
            </w:tcBorders>
          </w:tcPr>
          <w:p w14:paraId="1C10485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000000"/>
              <w:right w:val="nil"/>
            </w:tcBorders>
          </w:tcPr>
          <w:p w14:paraId="37B4DA66"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698</w:t>
            </w:r>
          </w:p>
        </w:tc>
        <w:tc>
          <w:tcPr>
            <w:tcW w:w="1134" w:type="dxa"/>
            <w:tcBorders>
              <w:top w:val="single" w:sz="8" w:space="0" w:color="auto"/>
              <w:left w:val="nil"/>
              <w:bottom w:val="single" w:sz="8" w:space="0" w:color="000000"/>
              <w:right w:val="single" w:sz="12" w:space="0" w:color="000000"/>
            </w:tcBorders>
          </w:tcPr>
          <w:p w14:paraId="302B40E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0665296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5912AB16" w14:textId="77777777" w:rsidTr="00A432B0">
        <w:trPr>
          <w:trHeight w:val="364"/>
        </w:trPr>
        <w:tc>
          <w:tcPr>
            <w:tcW w:w="1647" w:type="dxa"/>
            <w:tcBorders>
              <w:top w:val="nil"/>
              <w:left w:val="single" w:sz="4" w:space="0" w:color="auto"/>
              <w:bottom w:val="single" w:sz="8" w:space="0" w:color="auto"/>
              <w:right w:val="single" w:sz="8" w:space="0" w:color="auto"/>
            </w:tcBorders>
          </w:tcPr>
          <w:p w14:paraId="658025EF"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Lycopersicon esculentum</w:t>
            </w:r>
          </w:p>
        </w:tc>
        <w:tc>
          <w:tcPr>
            <w:tcW w:w="1276" w:type="dxa"/>
            <w:tcBorders>
              <w:top w:val="nil"/>
              <w:left w:val="nil"/>
              <w:bottom w:val="single" w:sz="8" w:space="0" w:color="auto"/>
              <w:right w:val="single" w:sz="8" w:space="0" w:color="auto"/>
            </w:tcBorders>
          </w:tcPr>
          <w:p w14:paraId="003C213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sand Kovlinge I</w:t>
            </w:r>
          </w:p>
        </w:tc>
        <w:tc>
          <w:tcPr>
            <w:tcW w:w="425" w:type="dxa"/>
            <w:tcBorders>
              <w:top w:val="nil"/>
              <w:left w:val="nil"/>
              <w:bottom w:val="single" w:sz="8" w:space="0" w:color="auto"/>
              <w:right w:val="single" w:sz="8" w:space="0" w:color="auto"/>
            </w:tcBorders>
          </w:tcPr>
          <w:p w14:paraId="1DD2D0D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4.8</w:t>
            </w:r>
          </w:p>
        </w:tc>
        <w:tc>
          <w:tcPr>
            <w:tcW w:w="709" w:type="dxa"/>
            <w:tcBorders>
              <w:top w:val="nil"/>
              <w:left w:val="nil"/>
              <w:bottom w:val="single" w:sz="8" w:space="0" w:color="auto"/>
              <w:right w:val="single" w:sz="8" w:space="0" w:color="auto"/>
            </w:tcBorders>
          </w:tcPr>
          <w:p w14:paraId="3BA3634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2.6</w:t>
            </w:r>
          </w:p>
        </w:tc>
        <w:tc>
          <w:tcPr>
            <w:tcW w:w="709" w:type="dxa"/>
            <w:tcBorders>
              <w:top w:val="nil"/>
              <w:left w:val="nil"/>
              <w:bottom w:val="single" w:sz="8" w:space="0" w:color="auto"/>
              <w:right w:val="single" w:sz="8" w:space="0" w:color="auto"/>
            </w:tcBorders>
          </w:tcPr>
          <w:p w14:paraId="0623D35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276E72F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w:t>
            </w:r>
          </w:p>
        </w:tc>
        <w:tc>
          <w:tcPr>
            <w:tcW w:w="850" w:type="dxa"/>
            <w:tcBorders>
              <w:top w:val="nil"/>
              <w:left w:val="nil"/>
              <w:bottom w:val="single" w:sz="8" w:space="0" w:color="auto"/>
              <w:right w:val="single" w:sz="8" w:space="0" w:color="auto"/>
            </w:tcBorders>
          </w:tcPr>
          <w:p w14:paraId="533D2B7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2.4</w:t>
            </w:r>
          </w:p>
        </w:tc>
        <w:tc>
          <w:tcPr>
            <w:tcW w:w="992" w:type="dxa"/>
            <w:tcBorders>
              <w:top w:val="nil"/>
              <w:left w:val="nil"/>
              <w:bottom w:val="single" w:sz="8" w:space="0" w:color="auto"/>
              <w:right w:val="single" w:sz="8" w:space="0" w:color="auto"/>
            </w:tcBorders>
          </w:tcPr>
          <w:p w14:paraId="6CB98E3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25916B8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992" w:type="dxa"/>
            <w:tcBorders>
              <w:top w:val="nil"/>
              <w:left w:val="nil"/>
              <w:bottom w:val="single" w:sz="8" w:space="0" w:color="auto"/>
              <w:right w:val="single" w:sz="8" w:space="0" w:color="auto"/>
            </w:tcBorders>
          </w:tcPr>
          <w:p w14:paraId="56D6359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8" w:space="0" w:color="auto"/>
              <w:right w:val="single" w:sz="8" w:space="0" w:color="000000"/>
            </w:tcBorders>
          </w:tcPr>
          <w:p w14:paraId="72D1BF42"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85</w:t>
            </w:r>
          </w:p>
        </w:tc>
        <w:tc>
          <w:tcPr>
            <w:tcW w:w="1275" w:type="dxa"/>
            <w:tcBorders>
              <w:top w:val="single" w:sz="8" w:space="0" w:color="auto"/>
              <w:left w:val="nil"/>
              <w:bottom w:val="single" w:sz="8" w:space="0" w:color="auto"/>
              <w:right w:val="single" w:sz="8" w:space="0" w:color="000000"/>
            </w:tcBorders>
          </w:tcPr>
          <w:p w14:paraId="73A3410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000000"/>
              <w:right w:val="nil"/>
            </w:tcBorders>
          </w:tcPr>
          <w:p w14:paraId="5902CC10"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91</w:t>
            </w:r>
          </w:p>
        </w:tc>
        <w:tc>
          <w:tcPr>
            <w:tcW w:w="1134" w:type="dxa"/>
            <w:tcBorders>
              <w:top w:val="single" w:sz="8" w:space="0" w:color="auto"/>
              <w:left w:val="nil"/>
              <w:bottom w:val="single" w:sz="8" w:space="0" w:color="000000"/>
              <w:right w:val="single" w:sz="12" w:space="0" w:color="000000"/>
            </w:tcBorders>
          </w:tcPr>
          <w:p w14:paraId="5B5B5AE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5ABB28A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661BDA8F" w14:textId="77777777" w:rsidTr="00A432B0">
        <w:trPr>
          <w:trHeight w:val="168"/>
        </w:trPr>
        <w:tc>
          <w:tcPr>
            <w:tcW w:w="1647" w:type="dxa"/>
            <w:vMerge w:val="restart"/>
            <w:tcBorders>
              <w:top w:val="nil"/>
              <w:left w:val="single" w:sz="4" w:space="0" w:color="auto"/>
              <w:bottom w:val="single" w:sz="8" w:space="0" w:color="000000"/>
              <w:right w:val="single" w:sz="8" w:space="0" w:color="auto"/>
            </w:tcBorders>
          </w:tcPr>
          <w:p w14:paraId="3C3A5BD6"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Lycopersicon esculentum</w:t>
            </w:r>
          </w:p>
        </w:tc>
        <w:tc>
          <w:tcPr>
            <w:tcW w:w="1276" w:type="dxa"/>
            <w:tcBorders>
              <w:top w:val="nil"/>
              <w:left w:val="nil"/>
              <w:bottom w:val="nil"/>
              <w:right w:val="single" w:sz="8" w:space="0" w:color="auto"/>
            </w:tcBorders>
          </w:tcPr>
          <w:p w14:paraId="25E1E95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clay</w:t>
            </w:r>
          </w:p>
        </w:tc>
        <w:tc>
          <w:tcPr>
            <w:tcW w:w="425" w:type="dxa"/>
            <w:vMerge w:val="restart"/>
            <w:tcBorders>
              <w:top w:val="nil"/>
              <w:left w:val="single" w:sz="8" w:space="0" w:color="auto"/>
              <w:bottom w:val="single" w:sz="8" w:space="0" w:color="000000"/>
              <w:right w:val="single" w:sz="8" w:space="0" w:color="auto"/>
            </w:tcBorders>
          </w:tcPr>
          <w:p w14:paraId="66C1D58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4.8</w:t>
            </w:r>
          </w:p>
        </w:tc>
        <w:tc>
          <w:tcPr>
            <w:tcW w:w="709" w:type="dxa"/>
            <w:vMerge w:val="restart"/>
            <w:tcBorders>
              <w:top w:val="nil"/>
              <w:left w:val="single" w:sz="8" w:space="0" w:color="auto"/>
              <w:bottom w:val="single" w:sz="8" w:space="0" w:color="000000"/>
              <w:right w:val="single" w:sz="8" w:space="0" w:color="auto"/>
            </w:tcBorders>
          </w:tcPr>
          <w:p w14:paraId="352A2A0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0.7</w:t>
            </w:r>
          </w:p>
        </w:tc>
        <w:tc>
          <w:tcPr>
            <w:tcW w:w="709" w:type="dxa"/>
            <w:vMerge w:val="restart"/>
            <w:tcBorders>
              <w:top w:val="nil"/>
              <w:left w:val="single" w:sz="8" w:space="0" w:color="auto"/>
              <w:bottom w:val="single" w:sz="8" w:space="0" w:color="000000"/>
              <w:right w:val="single" w:sz="8" w:space="0" w:color="auto"/>
            </w:tcBorders>
          </w:tcPr>
          <w:p w14:paraId="2D9A79E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38</w:t>
            </w:r>
          </w:p>
        </w:tc>
        <w:tc>
          <w:tcPr>
            <w:tcW w:w="709" w:type="dxa"/>
            <w:vMerge w:val="restart"/>
            <w:tcBorders>
              <w:top w:val="nil"/>
              <w:left w:val="single" w:sz="8" w:space="0" w:color="auto"/>
              <w:bottom w:val="single" w:sz="8" w:space="0" w:color="000000"/>
              <w:right w:val="single" w:sz="8" w:space="0" w:color="auto"/>
            </w:tcBorders>
          </w:tcPr>
          <w:p w14:paraId="1A42567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31</w:t>
            </w:r>
          </w:p>
        </w:tc>
        <w:tc>
          <w:tcPr>
            <w:tcW w:w="850" w:type="dxa"/>
            <w:vMerge w:val="restart"/>
            <w:tcBorders>
              <w:top w:val="nil"/>
              <w:left w:val="single" w:sz="8" w:space="0" w:color="auto"/>
              <w:bottom w:val="single" w:sz="8" w:space="0" w:color="000000"/>
              <w:right w:val="single" w:sz="8" w:space="0" w:color="auto"/>
            </w:tcBorders>
          </w:tcPr>
          <w:p w14:paraId="7DFC407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11.2</w:t>
            </w:r>
          </w:p>
        </w:tc>
        <w:tc>
          <w:tcPr>
            <w:tcW w:w="992" w:type="dxa"/>
            <w:vMerge w:val="restart"/>
            <w:tcBorders>
              <w:top w:val="nil"/>
              <w:left w:val="single" w:sz="8" w:space="0" w:color="auto"/>
              <w:bottom w:val="single" w:sz="8" w:space="0" w:color="000000"/>
              <w:right w:val="single" w:sz="8" w:space="0" w:color="auto"/>
            </w:tcBorders>
          </w:tcPr>
          <w:p w14:paraId="5141ED4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vMerge w:val="restart"/>
            <w:tcBorders>
              <w:top w:val="nil"/>
              <w:left w:val="single" w:sz="8" w:space="0" w:color="auto"/>
              <w:bottom w:val="single" w:sz="8" w:space="0" w:color="000000"/>
              <w:right w:val="single" w:sz="8" w:space="0" w:color="auto"/>
            </w:tcBorders>
          </w:tcPr>
          <w:p w14:paraId="69385A6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992" w:type="dxa"/>
            <w:vMerge w:val="restart"/>
            <w:tcBorders>
              <w:top w:val="nil"/>
              <w:left w:val="single" w:sz="8" w:space="0" w:color="auto"/>
              <w:bottom w:val="single" w:sz="8" w:space="0" w:color="000000"/>
              <w:right w:val="single" w:sz="8" w:space="0" w:color="auto"/>
            </w:tcBorders>
          </w:tcPr>
          <w:p w14:paraId="31F07E8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vMerge w:val="restart"/>
            <w:tcBorders>
              <w:top w:val="single" w:sz="8" w:space="0" w:color="auto"/>
              <w:left w:val="single" w:sz="8" w:space="0" w:color="auto"/>
              <w:bottom w:val="single" w:sz="8" w:space="0" w:color="000000"/>
              <w:right w:val="single" w:sz="8" w:space="0" w:color="000000"/>
            </w:tcBorders>
          </w:tcPr>
          <w:p w14:paraId="7231DBF9"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43</w:t>
            </w:r>
          </w:p>
        </w:tc>
        <w:tc>
          <w:tcPr>
            <w:tcW w:w="1275" w:type="dxa"/>
            <w:vMerge w:val="restart"/>
            <w:tcBorders>
              <w:top w:val="single" w:sz="8" w:space="0" w:color="auto"/>
              <w:left w:val="single" w:sz="8" w:space="0" w:color="auto"/>
              <w:bottom w:val="single" w:sz="8" w:space="0" w:color="000000"/>
              <w:right w:val="single" w:sz="8" w:space="0" w:color="000000"/>
            </w:tcBorders>
          </w:tcPr>
          <w:p w14:paraId="7DD0D9B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vMerge w:val="restart"/>
            <w:tcBorders>
              <w:top w:val="nil"/>
              <w:left w:val="single" w:sz="8" w:space="0" w:color="auto"/>
              <w:bottom w:val="single" w:sz="8" w:space="0" w:color="000000"/>
            </w:tcBorders>
          </w:tcPr>
          <w:p w14:paraId="503E1248"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74</w:t>
            </w:r>
          </w:p>
        </w:tc>
        <w:tc>
          <w:tcPr>
            <w:tcW w:w="1134" w:type="dxa"/>
            <w:vMerge w:val="restart"/>
            <w:tcBorders>
              <w:top w:val="single" w:sz="8" w:space="0" w:color="auto"/>
              <w:bottom w:val="single" w:sz="8" w:space="0" w:color="000000"/>
              <w:right w:val="single" w:sz="12" w:space="0" w:color="000000"/>
            </w:tcBorders>
          </w:tcPr>
          <w:p w14:paraId="7850404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single" w:sz="8" w:space="0" w:color="auto"/>
              <w:right w:val="single" w:sz="12" w:space="0" w:color="000000"/>
            </w:tcBorders>
          </w:tcPr>
          <w:p w14:paraId="39BEC1C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5B553B95" w14:textId="77777777" w:rsidTr="00A432B0">
        <w:trPr>
          <w:trHeight w:val="177"/>
        </w:trPr>
        <w:tc>
          <w:tcPr>
            <w:tcW w:w="1647" w:type="dxa"/>
            <w:vMerge/>
            <w:tcBorders>
              <w:top w:val="nil"/>
              <w:left w:val="single" w:sz="4" w:space="0" w:color="auto"/>
              <w:bottom w:val="single" w:sz="8" w:space="0" w:color="000000"/>
              <w:right w:val="single" w:sz="8" w:space="0" w:color="auto"/>
            </w:tcBorders>
            <w:vAlign w:val="center"/>
          </w:tcPr>
          <w:p w14:paraId="559C8ACC" w14:textId="77777777" w:rsidR="00632208" w:rsidRPr="0098635C" w:rsidRDefault="00632208" w:rsidP="00A432B0">
            <w:pPr>
              <w:spacing w:after="0"/>
              <w:rPr>
                <w:rFonts w:ascii="Arial Narrow" w:hAnsi="Arial Narrow" w:cs="Arial Narrow"/>
                <w:i/>
                <w:iCs/>
                <w:color w:val="000000" w:themeColor="text1"/>
                <w:sz w:val="20"/>
                <w:szCs w:val="20"/>
              </w:rPr>
            </w:pPr>
          </w:p>
        </w:tc>
        <w:tc>
          <w:tcPr>
            <w:tcW w:w="1276" w:type="dxa"/>
            <w:tcBorders>
              <w:top w:val="nil"/>
              <w:left w:val="nil"/>
              <w:bottom w:val="single" w:sz="8" w:space="0" w:color="auto"/>
              <w:right w:val="single" w:sz="8" w:space="0" w:color="auto"/>
            </w:tcBorders>
          </w:tcPr>
          <w:p w14:paraId="71858EB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Souli I</w:t>
            </w:r>
          </w:p>
        </w:tc>
        <w:tc>
          <w:tcPr>
            <w:tcW w:w="425" w:type="dxa"/>
            <w:vMerge/>
            <w:tcBorders>
              <w:top w:val="nil"/>
              <w:left w:val="single" w:sz="8" w:space="0" w:color="auto"/>
              <w:bottom w:val="single" w:sz="8" w:space="0" w:color="000000"/>
              <w:right w:val="single" w:sz="8" w:space="0" w:color="auto"/>
            </w:tcBorders>
            <w:vAlign w:val="center"/>
          </w:tcPr>
          <w:p w14:paraId="2BC033A8"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078A8A94"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68F2FB5F"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4CA260C6" w14:textId="77777777" w:rsidR="00632208" w:rsidRPr="0098635C" w:rsidRDefault="00632208" w:rsidP="00A432B0">
            <w:pPr>
              <w:spacing w:after="0"/>
              <w:rPr>
                <w:rFonts w:ascii="Arial Narrow" w:hAnsi="Arial Narrow" w:cs="Arial Narrow"/>
                <w:color w:val="000000" w:themeColor="text1"/>
                <w:sz w:val="20"/>
                <w:szCs w:val="20"/>
              </w:rPr>
            </w:pPr>
          </w:p>
        </w:tc>
        <w:tc>
          <w:tcPr>
            <w:tcW w:w="850" w:type="dxa"/>
            <w:vMerge/>
            <w:tcBorders>
              <w:top w:val="nil"/>
              <w:left w:val="single" w:sz="8" w:space="0" w:color="auto"/>
              <w:bottom w:val="single" w:sz="8" w:space="0" w:color="000000"/>
              <w:right w:val="single" w:sz="8" w:space="0" w:color="auto"/>
            </w:tcBorders>
            <w:vAlign w:val="center"/>
          </w:tcPr>
          <w:p w14:paraId="0C67700A"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7741D684"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33CF9092"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3CEA0C61" w14:textId="77777777" w:rsidR="00632208" w:rsidRPr="0098635C" w:rsidRDefault="00632208" w:rsidP="00A432B0">
            <w:pPr>
              <w:spacing w:after="0"/>
              <w:rPr>
                <w:rFonts w:ascii="Arial Narrow" w:hAnsi="Arial Narrow" w:cs="Arial Narrow"/>
                <w:color w:val="000000" w:themeColor="text1"/>
                <w:sz w:val="20"/>
                <w:szCs w:val="20"/>
              </w:rPr>
            </w:pPr>
          </w:p>
        </w:tc>
        <w:tc>
          <w:tcPr>
            <w:tcW w:w="993" w:type="dxa"/>
            <w:vMerge/>
            <w:tcBorders>
              <w:top w:val="single" w:sz="8" w:space="0" w:color="auto"/>
              <w:left w:val="single" w:sz="8" w:space="0" w:color="auto"/>
              <w:bottom w:val="single" w:sz="8" w:space="0" w:color="000000"/>
              <w:right w:val="single" w:sz="8" w:space="0" w:color="000000"/>
            </w:tcBorders>
            <w:vAlign w:val="center"/>
          </w:tcPr>
          <w:p w14:paraId="79E9A8D2" w14:textId="77777777" w:rsidR="00632208" w:rsidRPr="0098635C" w:rsidRDefault="00632208" w:rsidP="00A432B0">
            <w:pPr>
              <w:spacing w:after="0"/>
              <w:rPr>
                <w:rFonts w:ascii="Arial Narrow" w:hAnsi="Arial Narrow" w:cs="Arial Narrow"/>
                <w:color w:val="000000" w:themeColor="text1"/>
                <w:sz w:val="20"/>
                <w:szCs w:val="20"/>
                <w:u w:val="single"/>
              </w:rPr>
            </w:pPr>
          </w:p>
        </w:tc>
        <w:tc>
          <w:tcPr>
            <w:tcW w:w="1275" w:type="dxa"/>
            <w:vMerge/>
            <w:tcBorders>
              <w:top w:val="single" w:sz="8" w:space="0" w:color="auto"/>
              <w:left w:val="single" w:sz="8" w:space="0" w:color="auto"/>
              <w:bottom w:val="single" w:sz="8" w:space="0" w:color="000000"/>
              <w:right w:val="single" w:sz="8" w:space="0" w:color="000000"/>
            </w:tcBorders>
            <w:vAlign w:val="center"/>
          </w:tcPr>
          <w:p w14:paraId="13FE7A5A"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vMerge/>
            <w:tcBorders>
              <w:top w:val="nil"/>
              <w:left w:val="single" w:sz="8" w:space="0" w:color="auto"/>
              <w:bottom w:val="single" w:sz="8" w:space="0" w:color="000000"/>
            </w:tcBorders>
            <w:vAlign w:val="center"/>
          </w:tcPr>
          <w:p w14:paraId="24A87E20" w14:textId="77777777" w:rsidR="00632208" w:rsidRPr="0098635C" w:rsidRDefault="00632208" w:rsidP="00A432B0">
            <w:pPr>
              <w:spacing w:after="0"/>
              <w:rPr>
                <w:rFonts w:ascii="Arial Narrow" w:hAnsi="Arial Narrow" w:cs="Arial Narrow"/>
                <w:color w:val="000000" w:themeColor="text1"/>
                <w:sz w:val="20"/>
                <w:szCs w:val="20"/>
                <w:u w:val="single"/>
              </w:rPr>
            </w:pPr>
          </w:p>
        </w:tc>
        <w:tc>
          <w:tcPr>
            <w:tcW w:w="1134" w:type="dxa"/>
            <w:vMerge/>
            <w:tcBorders>
              <w:top w:val="single" w:sz="8" w:space="0" w:color="auto"/>
              <w:bottom w:val="single" w:sz="8" w:space="0" w:color="000000"/>
              <w:right w:val="single" w:sz="12" w:space="0" w:color="000000"/>
            </w:tcBorders>
            <w:vAlign w:val="center"/>
          </w:tcPr>
          <w:p w14:paraId="6EFB6AA3"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tcBorders>
              <w:left w:val="single" w:sz="8" w:space="0" w:color="auto"/>
              <w:bottom w:val="single" w:sz="8" w:space="0" w:color="000000"/>
              <w:right w:val="single" w:sz="12" w:space="0" w:color="000000"/>
            </w:tcBorders>
          </w:tcPr>
          <w:p w14:paraId="3E36E753" w14:textId="77777777" w:rsidR="00632208" w:rsidRPr="0098635C" w:rsidRDefault="00632208" w:rsidP="00A432B0">
            <w:pPr>
              <w:spacing w:after="0"/>
              <w:rPr>
                <w:rFonts w:ascii="Arial Narrow" w:hAnsi="Arial Narrow" w:cs="Arial Narrow"/>
                <w:color w:val="000000" w:themeColor="text1"/>
                <w:sz w:val="20"/>
                <w:szCs w:val="20"/>
              </w:rPr>
            </w:pPr>
          </w:p>
        </w:tc>
      </w:tr>
      <w:tr w:rsidR="00632208" w:rsidRPr="0098635C" w14:paraId="0C7BE082" w14:textId="77777777" w:rsidTr="00A432B0">
        <w:trPr>
          <w:trHeight w:val="364"/>
        </w:trPr>
        <w:tc>
          <w:tcPr>
            <w:tcW w:w="1647" w:type="dxa"/>
            <w:tcBorders>
              <w:top w:val="nil"/>
              <w:left w:val="single" w:sz="4" w:space="0" w:color="auto"/>
              <w:bottom w:val="single" w:sz="8" w:space="0" w:color="auto"/>
              <w:right w:val="single" w:sz="8" w:space="0" w:color="auto"/>
            </w:tcBorders>
          </w:tcPr>
          <w:p w14:paraId="6FDBBA90"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lastRenderedPageBreak/>
              <w:t>Lycopersicon esculentum</w:t>
            </w:r>
          </w:p>
        </w:tc>
        <w:tc>
          <w:tcPr>
            <w:tcW w:w="1276" w:type="dxa"/>
            <w:tcBorders>
              <w:top w:val="nil"/>
              <w:left w:val="nil"/>
              <w:bottom w:val="single" w:sz="8" w:space="0" w:color="auto"/>
              <w:right w:val="single" w:sz="8" w:space="0" w:color="auto"/>
            </w:tcBorders>
          </w:tcPr>
          <w:p w14:paraId="5B9114A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loam Kovlinge II</w:t>
            </w:r>
          </w:p>
        </w:tc>
        <w:tc>
          <w:tcPr>
            <w:tcW w:w="425" w:type="dxa"/>
            <w:tcBorders>
              <w:top w:val="nil"/>
              <w:left w:val="nil"/>
              <w:bottom w:val="single" w:sz="8" w:space="0" w:color="auto"/>
              <w:right w:val="single" w:sz="8" w:space="0" w:color="auto"/>
            </w:tcBorders>
          </w:tcPr>
          <w:p w14:paraId="67D3467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5.1</w:t>
            </w:r>
          </w:p>
        </w:tc>
        <w:tc>
          <w:tcPr>
            <w:tcW w:w="709" w:type="dxa"/>
            <w:tcBorders>
              <w:top w:val="nil"/>
              <w:left w:val="nil"/>
              <w:bottom w:val="single" w:sz="8" w:space="0" w:color="auto"/>
              <w:right w:val="single" w:sz="8" w:space="0" w:color="auto"/>
            </w:tcBorders>
          </w:tcPr>
          <w:p w14:paraId="2F43AC6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3.8</w:t>
            </w:r>
          </w:p>
        </w:tc>
        <w:tc>
          <w:tcPr>
            <w:tcW w:w="709" w:type="dxa"/>
            <w:tcBorders>
              <w:top w:val="nil"/>
              <w:left w:val="nil"/>
              <w:bottom w:val="single" w:sz="8" w:space="0" w:color="auto"/>
              <w:right w:val="single" w:sz="8" w:space="0" w:color="auto"/>
            </w:tcBorders>
          </w:tcPr>
          <w:p w14:paraId="5239F5C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w:t>
            </w:r>
          </w:p>
        </w:tc>
        <w:tc>
          <w:tcPr>
            <w:tcW w:w="709" w:type="dxa"/>
            <w:tcBorders>
              <w:top w:val="nil"/>
              <w:left w:val="nil"/>
              <w:bottom w:val="single" w:sz="8" w:space="0" w:color="auto"/>
              <w:right w:val="single" w:sz="8" w:space="0" w:color="auto"/>
            </w:tcBorders>
          </w:tcPr>
          <w:p w14:paraId="1497F2D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w:t>
            </w:r>
          </w:p>
        </w:tc>
        <w:tc>
          <w:tcPr>
            <w:tcW w:w="850" w:type="dxa"/>
            <w:tcBorders>
              <w:top w:val="nil"/>
              <w:left w:val="nil"/>
              <w:bottom w:val="single" w:sz="8" w:space="0" w:color="auto"/>
              <w:right w:val="single" w:sz="8" w:space="0" w:color="auto"/>
            </w:tcBorders>
          </w:tcPr>
          <w:p w14:paraId="244C30D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4.7</w:t>
            </w:r>
          </w:p>
        </w:tc>
        <w:tc>
          <w:tcPr>
            <w:tcW w:w="992" w:type="dxa"/>
            <w:tcBorders>
              <w:top w:val="nil"/>
              <w:left w:val="nil"/>
              <w:bottom w:val="single" w:sz="8" w:space="0" w:color="auto"/>
              <w:right w:val="single" w:sz="8" w:space="0" w:color="auto"/>
            </w:tcBorders>
          </w:tcPr>
          <w:p w14:paraId="19FAA94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403D0EB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992" w:type="dxa"/>
            <w:tcBorders>
              <w:top w:val="nil"/>
              <w:left w:val="nil"/>
              <w:bottom w:val="single" w:sz="8" w:space="0" w:color="auto"/>
              <w:right w:val="single" w:sz="8" w:space="0" w:color="auto"/>
            </w:tcBorders>
          </w:tcPr>
          <w:p w14:paraId="0169667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8" w:space="0" w:color="auto"/>
              <w:right w:val="single" w:sz="8" w:space="0" w:color="000000"/>
            </w:tcBorders>
          </w:tcPr>
          <w:p w14:paraId="438D4FC7"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197</w:t>
            </w:r>
          </w:p>
        </w:tc>
        <w:tc>
          <w:tcPr>
            <w:tcW w:w="1275" w:type="dxa"/>
            <w:tcBorders>
              <w:top w:val="single" w:sz="8" w:space="0" w:color="auto"/>
              <w:left w:val="nil"/>
              <w:bottom w:val="single" w:sz="8" w:space="0" w:color="auto"/>
              <w:right w:val="single" w:sz="8" w:space="0" w:color="000000"/>
            </w:tcBorders>
          </w:tcPr>
          <w:p w14:paraId="1F3A6FF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nil"/>
            </w:tcBorders>
          </w:tcPr>
          <w:p w14:paraId="1FE73B64"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205</w:t>
            </w:r>
          </w:p>
        </w:tc>
        <w:tc>
          <w:tcPr>
            <w:tcW w:w="1134" w:type="dxa"/>
            <w:tcBorders>
              <w:top w:val="single" w:sz="8" w:space="0" w:color="auto"/>
              <w:left w:val="nil"/>
              <w:bottom w:val="single" w:sz="8" w:space="0" w:color="auto"/>
              <w:right w:val="single" w:sz="12" w:space="0" w:color="000000"/>
            </w:tcBorders>
          </w:tcPr>
          <w:p w14:paraId="04DE362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5BD16E2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66446A2E" w14:textId="77777777" w:rsidTr="00A432B0">
        <w:trPr>
          <w:trHeight w:val="64"/>
        </w:trPr>
        <w:tc>
          <w:tcPr>
            <w:tcW w:w="1647" w:type="dxa"/>
            <w:tcBorders>
              <w:top w:val="nil"/>
              <w:left w:val="single" w:sz="4" w:space="0" w:color="auto"/>
              <w:bottom w:val="single" w:sz="8" w:space="0" w:color="auto"/>
              <w:right w:val="single" w:sz="8" w:space="0" w:color="auto"/>
            </w:tcBorders>
          </w:tcPr>
          <w:p w14:paraId="076084E4"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Lycopersicon esculentum</w:t>
            </w:r>
          </w:p>
        </w:tc>
        <w:tc>
          <w:tcPr>
            <w:tcW w:w="1276" w:type="dxa"/>
            <w:tcBorders>
              <w:top w:val="nil"/>
              <w:left w:val="nil"/>
              <w:bottom w:val="single" w:sz="8" w:space="0" w:color="auto"/>
              <w:right w:val="single" w:sz="8" w:space="0" w:color="auto"/>
            </w:tcBorders>
          </w:tcPr>
          <w:p w14:paraId="1CD6D20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loam Montpellier</w:t>
            </w:r>
          </w:p>
        </w:tc>
        <w:tc>
          <w:tcPr>
            <w:tcW w:w="425" w:type="dxa"/>
            <w:tcBorders>
              <w:top w:val="nil"/>
              <w:left w:val="nil"/>
              <w:bottom w:val="single" w:sz="8" w:space="0" w:color="auto"/>
              <w:right w:val="single" w:sz="8" w:space="0" w:color="auto"/>
            </w:tcBorders>
          </w:tcPr>
          <w:p w14:paraId="78434C8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5.2</w:t>
            </w:r>
          </w:p>
        </w:tc>
        <w:tc>
          <w:tcPr>
            <w:tcW w:w="709" w:type="dxa"/>
            <w:tcBorders>
              <w:top w:val="nil"/>
              <w:left w:val="nil"/>
              <w:bottom w:val="single" w:sz="8" w:space="0" w:color="auto"/>
              <w:right w:val="single" w:sz="8" w:space="0" w:color="auto"/>
            </w:tcBorders>
          </w:tcPr>
          <w:p w14:paraId="48DB9A8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1.2</w:t>
            </w:r>
          </w:p>
        </w:tc>
        <w:tc>
          <w:tcPr>
            <w:tcW w:w="709" w:type="dxa"/>
            <w:tcBorders>
              <w:top w:val="nil"/>
              <w:left w:val="nil"/>
              <w:bottom w:val="single" w:sz="8" w:space="0" w:color="auto"/>
              <w:right w:val="single" w:sz="8" w:space="0" w:color="auto"/>
            </w:tcBorders>
          </w:tcPr>
          <w:p w14:paraId="2BC5066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w:t>
            </w:r>
          </w:p>
        </w:tc>
        <w:tc>
          <w:tcPr>
            <w:tcW w:w="709" w:type="dxa"/>
            <w:tcBorders>
              <w:top w:val="nil"/>
              <w:left w:val="nil"/>
              <w:bottom w:val="single" w:sz="8" w:space="0" w:color="auto"/>
              <w:right w:val="single" w:sz="8" w:space="0" w:color="auto"/>
            </w:tcBorders>
          </w:tcPr>
          <w:p w14:paraId="4092E4C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w:t>
            </w:r>
          </w:p>
        </w:tc>
        <w:tc>
          <w:tcPr>
            <w:tcW w:w="850" w:type="dxa"/>
            <w:tcBorders>
              <w:top w:val="nil"/>
              <w:left w:val="nil"/>
              <w:bottom w:val="single" w:sz="8" w:space="0" w:color="auto"/>
              <w:right w:val="single" w:sz="8" w:space="0" w:color="auto"/>
            </w:tcBorders>
          </w:tcPr>
          <w:p w14:paraId="5E5F4D7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2.5</w:t>
            </w:r>
          </w:p>
        </w:tc>
        <w:tc>
          <w:tcPr>
            <w:tcW w:w="992" w:type="dxa"/>
            <w:tcBorders>
              <w:top w:val="nil"/>
              <w:left w:val="nil"/>
              <w:bottom w:val="single" w:sz="8" w:space="0" w:color="auto"/>
              <w:right w:val="single" w:sz="8" w:space="0" w:color="auto"/>
            </w:tcBorders>
          </w:tcPr>
          <w:p w14:paraId="092C417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01D7A37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992" w:type="dxa"/>
            <w:tcBorders>
              <w:top w:val="nil"/>
              <w:left w:val="nil"/>
              <w:bottom w:val="single" w:sz="8" w:space="0" w:color="auto"/>
              <w:right w:val="single" w:sz="8" w:space="0" w:color="auto"/>
            </w:tcBorders>
          </w:tcPr>
          <w:p w14:paraId="48A7833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8" w:space="0" w:color="auto"/>
              <w:right w:val="single" w:sz="8" w:space="0" w:color="000000"/>
            </w:tcBorders>
          </w:tcPr>
          <w:p w14:paraId="5D60E30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275" w:type="dxa"/>
            <w:tcBorders>
              <w:top w:val="single" w:sz="8" w:space="0" w:color="auto"/>
              <w:left w:val="nil"/>
              <w:bottom w:val="single" w:sz="8" w:space="0" w:color="auto"/>
              <w:right w:val="single" w:sz="8" w:space="0" w:color="000000"/>
            </w:tcBorders>
          </w:tcPr>
          <w:p w14:paraId="68F1F6B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&lt;41</w:t>
            </w:r>
          </w:p>
        </w:tc>
        <w:tc>
          <w:tcPr>
            <w:tcW w:w="851" w:type="dxa"/>
            <w:tcBorders>
              <w:top w:val="nil"/>
              <w:left w:val="nil"/>
              <w:bottom w:val="single" w:sz="8" w:space="0" w:color="auto"/>
              <w:right w:val="nil"/>
            </w:tcBorders>
          </w:tcPr>
          <w:p w14:paraId="25933B7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134" w:type="dxa"/>
            <w:tcBorders>
              <w:top w:val="single" w:sz="8" w:space="0" w:color="auto"/>
              <w:left w:val="nil"/>
              <w:bottom w:val="single" w:sz="8" w:space="0" w:color="auto"/>
              <w:right w:val="single" w:sz="12" w:space="0" w:color="000000"/>
            </w:tcBorders>
          </w:tcPr>
          <w:p w14:paraId="1C5C8A9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&lt;46</w:t>
            </w:r>
          </w:p>
        </w:tc>
        <w:tc>
          <w:tcPr>
            <w:tcW w:w="1984" w:type="dxa"/>
            <w:tcBorders>
              <w:top w:val="single" w:sz="8" w:space="0" w:color="auto"/>
              <w:left w:val="nil"/>
              <w:bottom w:val="single" w:sz="8" w:space="0" w:color="auto"/>
              <w:right w:val="single" w:sz="12" w:space="0" w:color="000000"/>
            </w:tcBorders>
          </w:tcPr>
          <w:p w14:paraId="253E68B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0AF3EB1A" w14:textId="77777777" w:rsidTr="00A432B0">
        <w:trPr>
          <w:trHeight w:val="168"/>
        </w:trPr>
        <w:tc>
          <w:tcPr>
            <w:tcW w:w="1647" w:type="dxa"/>
            <w:vMerge w:val="restart"/>
            <w:tcBorders>
              <w:top w:val="nil"/>
              <w:left w:val="single" w:sz="4" w:space="0" w:color="auto"/>
              <w:bottom w:val="single" w:sz="8" w:space="0" w:color="000000"/>
              <w:right w:val="single" w:sz="8" w:space="0" w:color="auto"/>
            </w:tcBorders>
          </w:tcPr>
          <w:p w14:paraId="69AA52E8"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Lycopersicon esculentum</w:t>
            </w:r>
          </w:p>
        </w:tc>
        <w:tc>
          <w:tcPr>
            <w:tcW w:w="1276" w:type="dxa"/>
            <w:tcBorders>
              <w:top w:val="single" w:sz="8" w:space="0" w:color="auto"/>
              <w:left w:val="nil"/>
              <w:right w:val="single" w:sz="8" w:space="0" w:color="auto"/>
            </w:tcBorders>
          </w:tcPr>
          <w:p w14:paraId="463B733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Clay</w:t>
            </w:r>
          </w:p>
        </w:tc>
        <w:tc>
          <w:tcPr>
            <w:tcW w:w="425" w:type="dxa"/>
            <w:vMerge w:val="restart"/>
            <w:tcBorders>
              <w:top w:val="single" w:sz="8" w:space="0" w:color="auto"/>
              <w:left w:val="single" w:sz="8" w:space="0" w:color="auto"/>
              <w:right w:val="single" w:sz="8" w:space="0" w:color="auto"/>
            </w:tcBorders>
          </w:tcPr>
          <w:p w14:paraId="71BFABC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5.4</w:t>
            </w:r>
          </w:p>
        </w:tc>
        <w:tc>
          <w:tcPr>
            <w:tcW w:w="709" w:type="dxa"/>
            <w:vMerge w:val="restart"/>
            <w:tcBorders>
              <w:top w:val="single" w:sz="8" w:space="0" w:color="auto"/>
              <w:left w:val="single" w:sz="8" w:space="0" w:color="auto"/>
              <w:right w:val="single" w:sz="8" w:space="0" w:color="auto"/>
            </w:tcBorders>
          </w:tcPr>
          <w:p w14:paraId="612E680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w:t>
            </w:r>
          </w:p>
        </w:tc>
        <w:tc>
          <w:tcPr>
            <w:tcW w:w="709" w:type="dxa"/>
            <w:vMerge w:val="restart"/>
            <w:tcBorders>
              <w:top w:val="single" w:sz="8" w:space="0" w:color="auto"/>
              <w:left w:val="single" w:sz="8" w:space="0" w:color="auto"/>
              <w:right w:val="single" w:sz="8" w:space="0" w:color="auto"/>
            </w:tcBorders>
          </w:tcPr>
          <w:p w14:paraId="4C59DA4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51</w:t>
            </w:r>
          </w:p>
        </w:tc>
        <w:tc>
          <w:tcPr>
            <w:tcW w:w="709" w:type="dxa"/>
            <w:vMerge w:val="restart"/>
            <w:tcBorders>
              <w:top w:val="single" w:sz="8" w:space="0" w:color="auto"/>
              <w:left w:val="single" w:sz="8" w:space="0" w:color="auto"/>
              <w:right w:val="single" w:sz="8" w:space="0" w:color="auto"/>
            </w:tcBorders>
          </w:tcPr>
          <w:p w14:paraId="2E182B7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850" w:type="dxa"/>
            <w:vMerge w:val="restart"/>
            <w:tcBorders>
              <w:top w:val="single" w:sz="8" w:space="0" w:color="auto"/>
              <w:left w:val="single" w:sz="8" w:space="0" w:color="auto"/>
              <w:right w:val="single" w:sz="8" w:space="0" w:color="auto"/>
            </w:tcBorders>
          </w:tcPr>
          <w:p w14:paraId="704935B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22.6</w:t>
            </w:r>
          </w:p>
        </w:tc>
        <w:tc>
          <w:tcPr>
            <w:tcW w:w="992" w:type="dxa"/>
            <w:vMerge w:val="restart"/>
            <w:tcBorders>
              <w:top w:val="single" w:sz="8" w:space="0" w:color="auto"/>
              <w:left w:val="single" w:sz="8" w:space="0" w:color="auto"/>
              <w:right w:val="single" w:sz="8" w:space="0" w:color="auto"/>
            </w:tcBorders>
          </w:tcPr>
          <w:p w14:paraId="439FCA5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vMerge w:val="restart"/>
            <w:tcBorders>
              <w:top w:val="single" w:sz="8" w:space="0" w:color="auto"/>
              <w:left w:val="single" w:sz="8" w:space="0" w:color="auto"/>
              <w:right w:val="single" w:sz="8" w:space="0" w:color="auto"/>
            </w:tcBorders>
          </w:tcPr>
          <w:p w14:paraId="6422191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992" w:type="dxa"/>
            <w:vMerge w:val="restart"/>
            <w:tcBorders>
              <w:top w:val="single" w:sz="8" w:space="0" w:color="auto"/>
              <w:left w:val="single" w:sz="8" w:space="0" w:color="auto"/>
              <w:right w:val="single" w:sz="8" w:space="0" w:color="auto"/>
            </w:tcBorders>
          </w:tcPr>
          <w:p w14:paraId="0B2944A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vMerge w:val="restart"/>
            <w:tcBorders>
              <w:top w:val="single" w:sz="8" w:space="0" w:color="auto"/>
              <w:left w:val="single" w:sz="8" w:space="0" w:color="auto"/>
              <w:right w:val="single" w:sz="8" w:space="0" w:color="000000"/>
            </w:tcBorders>
          </w:tcPr>
          <w:p w14:paraId="493B5E1C"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176</w:t>
            </w:r>
          </w:p>
        </w:tc>
        <w:tc>
          <w:tcPr>
            <w:tcW w:w="1275" w:type="dxa"/>
            <w:vMerge w:val="restart"/>
            <w:tcBorders>
              <w:top w:val="single" w:sz="8" w:space="0" w:color="auto"/>
              <w:left w:val="single" w:sz="8" w:space="0" w:color="auto"/>
              <w:right w:val="single" w:sz="8" w:space="0" w:color="000000"/>
            </w:tcBorders>
          </w:tcPr>
          <w:p w14:paraId="05962EC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vMerge w:val="restart"/>
            <w:tcBorders>
              <w:top w:val="single" w:sz="8" w:space="0" w:color="auto"/>
              <w:left w:val="single" w:sz="8" w:space="0" w:color="auto"/>
            </w:tcBorders>
          </w:tcPr>
          <w:p w14:paraId="6D8DD452"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197</w:t>
            </w:r>
          </w:p>
        </w:tc>
        <w:tc>
          <w:tcPr>
            <w:tcW w:w="1134" w:type="dxa"/>
            <w:vMerge w:val="restart"/>
            <w:tcBorders>
              <w:top w:val="single" w:sz="8" w:space="0" w:color="auto"/>
              <w:right w:val="single" w:sz="12" w:space="0" w:color="000000"/>
            </w:tcBorders>
          </w:tcPr>
          <w:p w14:paraId="75173EE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single" w:sz="8" w:space="0" w:color="auto"/>
              <w:right w:val="single" w:sz="12" w:space="0" w:color="000000"/>
            </w:tcBorders>
          </w:tcPr>
          <w:p w14:paraId="17D6151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7BDA4332" w14:textId="77777777" w:rsidTr="00A432B0">
        <w:trPr>
          <w:trHeight w:val="177"/>
        </w:trPr>
        <w:tc>
          <w:tcPr>
            <w:tcW w:w="1647" w:type="dxa"/>
            <w:vMerge/>
            <w:tcBorders>
              <w:top w:val="nil"/>
              <w:left w:val="single" w:sz="4" w:space="0" w:color="auto"/>
              <w:bottom w:val="single" w:sz="4" w:space="0" w:color="auto"/>
              <w:right w:val="single" w:sz="8" w:space="0" w:color="auto"/>
            </w:tcBorders>
            <w:vAlign w:val="center"/>
          </w:tcPr>
          <w:p w14:paraId="4A8EEC75" w14:textId="77777777" w:rsidR="00632208" w:rsidRPr="0098635C" w:rsidRDefault="00632208" w:rsidP="00A432B0">
            <w:pPr>
              <w:spacing w:after="0"/>
              <w:rPr>
                <w:rFonts w:ascii="Arial Narrow" w:hAnsi="Arial Narrow" w:cs="Arial Narrow"/>
                <w:i/>
                <w:iCs/>
                <w:color w:val="000000" w:themeColor="text1"/>
                <w:sz w:val="20"/>
                <w:szCs w:val="20"/>
              </w:rPr>
            </w:pPr>
          </w:p>
        </w:tc>
        <w:tc>
          <w:tcPr>
            <w:tcW w:w="1276" w:type="dxa"/>
            <w:tcBorders>
              <w:left w:val="nil"/>
              <w:bottom w:val="single" w:sz="4" w:space="0" w:color="auto"/>
              <w:right w:val="single" w:sz="8" w:space="0" w:color="auto"/>
            </w:tcBorders>
          </w:tcPr>
          <w:p w14:paraId="68121E3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Aluminosa</w:t>
            </w:r>
          </w:p>
        </w:tc>
        <w:tc>
          <w:tcPr>
            <w:tcW w:w="425" w:type="dxa"/>
            <w:vMerge/>
            <w:tcBorders>
              <w:left w:val="single" w:sz="8" w:space="0" w:color="auto"/>
              <w:bottom w:val="single" w:sz="4" w:space="0" w:color="auto"/>
              <w:right w:val="single" w:sz="8" w:space="0" w:color="auto"/>
            </w:tcBorders>
            <w:vAlign w:val="center"/>
          </w:tcPr>
          <w:p w14:paraId="1A1D27E7"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left w:val="single" w:sz="8" w:space="0" w:color="auto"/>
              <w:bottom w:val="single" w:sz="4" w:space="0" w:color="auto"/>
              <w:right w:val="single" w:sz="8" w:space="0" w:color="auto"/>
            </w:tcBorders>
            <w:vAlign w:val="center"/>
          </w:tcPr>
          <w:p w14:paraId="6B90842F"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left w:val="single" w:sz="8" w:space="0" w:color="auto"/>
              <w:bottom w:val="single" w:sz="4" w:space="0" w:color="auto"/>
              <w:right w:val="single" w:sz="8" w:space="0" w:color="auto"/>
            </w:tcBorders>
            <w:vAlign w:val="center"/>
          </w:tcPr>
          <w:p w14:paraId="222BF2EA"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left w:val="single" w:sz="8" w:space="0" w:color="auto"/>
              <w:bottom w:val="single" w:sz="4" w:space="0" w:color="auto"/>
              <w:right w:val="single" w:sz="8" w:space="0" w:color="auto"/>
            </w:tcBorders>
            <w:vAlign w:val="center"/>
          </w:tcPr>
          <w:p w14:paraId="0B12CDF5" w14:textId="77777777" w:rsidR="00632208" w:rsidRPr="0098635C" w:rsidRDefault="00632208" w:rsidP="00A432B0">
            <w:pPr>
              <w:spacing w:after="0"/>
              <w:rPr>
                <w:rFonts w:ascii="Arial Narrow" w:hAnsi="Arial Narrow" w:cs="Arial Narrow"/>
                <w:color w:val="000000" w:themeColor="text1"/>
                <w:sz w:val="20"/>
                <w:szCs w:val="20"/>
              </w:rPr>
            </w:pPr>
          </w:p>
        </w:tc>
        <w:tc>
          <w:tcPr>
            <w:tcW w:w="850" w:type="dxa"/>
            <w:vMerge/>
            <w:tcBorders>
              <w:left w:val="single" w:sz="8" w:space="0" w:color="auto"/>
              <w:bottom w:val="single" w:sz="4" w:space="0" w:color="auto"/>
              <w:right w:val="single" w:sz="8" w:space="0" w:color="auto"/>
            </w:tcBorders>
            <w:vAlign w:val="center"/>
          </w:tcPr>
          <w:p w14:paraId="6B73E666"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vMerge/>
            <w:tcBorders>
              <w:left w:val="single" w:sz="8" w:space="0" w:color="auto"/>
              <w:bottom w:val="single" w:sz="4" w:space="0" w:color="auto"/>
              <w:right w:val="single" w:sz="8" w:space="0" w:color="auto"/>
            </w:tcBorders>
            <w:vAlign w:val="center"/>
          </w:tcPr>
          <w:p w14:paraId="585AD250"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left w:val="single" w:sz="8" w:space="0" w:color="auto"/>
              <w:bottom w:val="single" w:sz="4" w:space="0" w:color="auto"/>
              <w:right w:val="single" w:sz="8" w:space="0" w:color="auto"/>
            </w:tcBorders>
            <w:vAlign w:val="center"/>
          </w:tcPr>
          <w:p w14:paraId="2F431943"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vMerge/>
            <w:tcBorders>
              <w:left w:val="single" w:sz="8" w:space="0" w:color="auto"/>
              <w:bottom w:val="single" w:sz="4" w:space="0" w:color="auto"/>
              <w:right w:val="single" w:sz="8" w:space="0" w:color="auto"/>
            </w:tcBorders>
            <w:vAlign w:val="center"/>
          </w:tcPr>
          <w:p w14:paraId="3C2CDCC8" w14:textId="77777777" w:rsidR="00632208" w:rsidRPr="0098635C" w:rsidRDefault="00632208" w:rsidP="00A432B0">
            <w:pPr>
              <w:spacing w:after="0"/>
              <w:rPr>
                <w:rFonts w:ascii="Arial Narrow" w:hAnsi="Arial Narrow" w:cs="Arial Narrow"/>
                <w:color w:val="000000" w:themeColor="text1"/>
                <w:sz w:val="20"/>
                <w:szCs w:val="20"/>
              </w:rPr>
            </w:pPr>
          </w:p>
        </w:tc>
        <w:tc>
          <w:tcPr>
            <w:tcW w:w="993" w:type="dxa"/>
            <w:vMerge/>
            <w:tcBorders>
              <w:left w:val="single" w:sz="8" w:space="0" w:color="auto"/>
              <w:bottom w:val="single" w:sz="4" w:space="0" w:color="auto"/>
              <w:right w:val="single" w:sz="8" w:space="0" w:color="000000"/>
            </w:tcBorders>
            <w:vAlign w:val="center"/>
          </w:tcPr>
          <w:p w14:paraId="201EBC66" w14:textId="77777777" w:rsidR="00632208" w:rsidRPr="0098635C" w:rsidRDefault="00632208" w:rsidP="00A432B0">
            <w:pPr>
              <w:spacing w:after="0"/>
              <w:rPr>
                <w:rFonts w:ascii="Arial Narrow" w:hAnsi="Arial Narrow" w:cs="Arial Narrow"/>
                <w:color w:val="000000" w:themeColor="text1"/>
                <w:sz w:val="20"/>
                <w:szCs w:val="20"/>
                <w:u w:val="single"/>
              </w:rPr>
            </w:pPr>
          </w:p>
        </w:tc>
        <w:tc>
          <w:tcPr>
            <w:tcW w:w="1275" w:type="dxa"/>
            <w:vMerge/>
            <w:tcBorders>
              <w:left w:val="single" w:sz="8" w:space="0" w:color="auto"/>
              <w:bottom w:val="single" w:sz="4" w:space="0" w:color="auto"/>
              <w:right w:val="single" w:sz="8" w:space="0" w:color="000000"/>
            </w:tcBorders>
            <w:vAlign w:val="center"/>
          </w:tcPr>
          <w:p w14:paraId="562E636E"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vMerge/>
            <w:tcBorders>
              <w:left w:val="single" w:sz="8" w:space="0" w:color="auto"/>
              <w:bottom w:val="single" w:sz="4" w:space="0" w:color="auto"/>
            </w:tcBorders>
            <w:vAlign w:val="center"/>
          </w:tcPr>
          <w:p w14:paraId="4CA94CA6" w14:textId="77777777" w:rsidR="00632208" w:rsidRPr="0098635C" w:rsidRDefault="00632208" w:rsidP="00A432B0">
            <w:pPr>
              <w:spacing w:after="0"/>
              <w:rPr>
                <w:rFonts w:ascii="Arial Narrow" w:hAnsi="Arial Narrow" w:cs="Arial Narrow"/>
                <w:color w:val="000000" w:themeColor="text1"/>
                <w:sz w:val="20"/>
                <w:szCs w:val="20"/>
                <w:u w:val="single"/>
              </w:rPr>
            </w:pPr>
          </w:p>
        </w:tc>
        <w:tc>
          <w:tcPr>
            <w:tcW w:w="1134" w:type="dxa"/>
            <w:vMerge/>
            <w:tcBorders>
              <w:bottom w:val="single" w:sz="4" w:space="0" w:color="auto"/>
              <w:right w:val="single" w:sz="12" w:space="0" w:color="000000"/>
            </w:tcBorders>
            <w:vAlign w:val="center"/>
          </w:tcPr>
          <w:p w14:paraId="15EE6668"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tcBorders>
              <w:left w:val="single" w:sz="8" w:space="0" w:color="auto"/>
              <w:bottom w:val="single" w:sz="8" w:space="0" w:color="000000"/>
              <w:right w:val="single" w:sz="12" w:space="0" w:color="000000"/>
            </w:tcBorders>
          </w:tcPr>
          <w:p w14:paraId="75DB5F0C" w14:textId="77777777" w:rsidR="00632208" w:rsidRPr="0098635C" w:rsidRDefault="00632208" w:rsidP="00A432B0">
            <w:pPr>
              <w:spacing w:after="0"/>
              <w:rPr>
                <w:rFonts w:ascii="Arial Narrow" w:hAnsi="Arial Narrow" w:cs="Arial Narrow"/>
                <w:color w:val="000000" w:themeColor="text1"/>
                <w:sz w:val="20"/>
                <w:szCs w:val="20"/>
              </w:rPr>
            </w:pPr>
          </w:p>
        </w:tc>
      </w:tr>
      <w:tr w:rsidR="00632208" w:rsidRPr="0098635C" w14:paraId="77AE905E" w14:textId="77777777" w:rsidTr="00A432B0">
        <w:trPr>
          <w:trHeight w:val="364"/>
        </w:trPr>
        <w:tc>
          <w:tcPr>
            <w:tcW w:w="1647" w:type="dxa"/>
            <w:tcBorders>
              <w:top w:val="single" w:sz="4" w:space="0" w:color="auto"/>
              <w:left w:val="single" w:sz="4" w:space="0" w:color="auto"/>
              <w:bottom w:val="single" w:sz="8" w:space="0" w:color="auto"/>
              <w:right w:val="single" w:sz="8" w:space="0" w:color="auto"/>
            </w:tcBorders>
          </w:tcPr>
          <w:p w14:paraId="7F50CE78"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Lycopersicon esculentum</w:t>
            </w:r>
          </w:p>
        </w:tc>
        <w:tc>
          <w:tcPr>
            <w:tcW w:w="1276" w:type="dxa"/>
            <w:tcBorders>
              <w:top w:val="single" w:sz="4" w:space="0" w:color="auto"/>
              <w:left w:val="nil"/>
              <w:bottom w:val="single" w:sz="8" w:space="0" w:color="auto"/>
              <w:right w:val="single" w:sz="8" w:space="0" w:color="auto"/>
            </w:tcBorders>
          </w:tcPr>
          <w:p w14:paraId="5A0DD4C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clay loam Woburn</w:t>
            </w:r>
          </w:p>
        </w:tc>
        <w:tc>
          <w:tcPr>
            <w:tcW w:w="425" w:type="dxa"/>
            <w:tcBorders>
              <w:top w:val="single" w:sz="4" w:space="0" w:color="auto"/>
              <w:left w:val="nil"/>
              <w:bottom w:val="single" w:sz="8" w:space="0" w:color="auto"/>
              <w:right w:val="single" w:sz="8" w:space="0" w:color="auto"/>
            </w:tcBorders>
          </w:tcPr>
          <w:p w14:paraId="5FA94BA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6.4</w:t>
            </w:r>
          </w:p>
        </w:tc>
        <w:tc>
          <w:tcPr>
            <w:tcW w:w="709" w:type="dxa"/>
            <w:tcBorders>
              <w:top w:val="single" w:sz="4" w:space="0" w:color="auto"/>
              <w:left w:val="nil"/>
              <w:bottom w:val="single" w:sz="8" w:space="0" w:color="auto"/>
              <w:right w:val="single" w:sz="8" w:space="0" w:color="auto"/>
            </w:tcBorders>
          </w:tcPr>
          <w:p w14:paraId="7CC94D8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single" w:sz="4" w:space="0" w:color="auto"/>
              <w:left w:val="nil"/>
              <w:bottom w:val="single" w:sz="8" w:space="0" w:color="auto"/>
              <w:right w:val="single" w:sz="8" w:space="0" w:color="auto"/>
            </w:tcBorders>
          </w:tcPr>
          <w:p w14:paraId="51B0A69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709" w:type="dxa"/>
            <w:tcBorders>
              <w:top w:val="single" w:sz="4" w:space="0" w:color="auto"/>
              <w:left w:val="nil"/>
              <w:bottom w:val="single" w:sz="8" w:space="0" w:color="auto"/>
              <w:right w:val="single" w:sz="8" w:space="0" w:color="auto"/>
            </w:tcBorders>
          </w:tcPr>
          <w:p w14:paraId="00F3A14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22</w:t>
            </w:r>
          </w:p>
        </w:tc>
        <w:tc>
          <w:tcPr>
            <w:tcW w:w="850" w:type="dxa"/>
            <w:tcBorders>
              <w:top w:val="single" w:sz="4" w:space="0" w:color="auto"/>
              <w:left w:val="nil"/>
              <w:bottom w:val="single" w:sz="8" w:space="0" w:color="auto"/>
              <w:right w:val="single" w:sz="8" w:space="0" w:color="auto"/>
            </w:tcBorders>
          </w:tcPr>
          <w:p w14:paraId="1D7F2A5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23.4</w:t>
            </w:r>
          </w:p>
        </w:tc>
        <w:tc>
          <w:tcPr>
            <w:tcW w:w="992" w:type="dxa"/>
            <w:tcBorders>
              <w:top w:val="single" w:sz="4" w:space="0" w:color="auto"/>
              <w:left w:val="nil"/>
              <w:bottom w:val="single" w:sz="8" w:space="0" w:color="auto"/>
              <w:right w:val="single" w:sz="8" w:space="0" w:color="auto"/>
            </w:tcBorders>
          </w:tcPr>
          <w:p w14:paraId="3288F82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single" w:sz="4" w:space="0" w:color="auto"/>
              <w:left w:val="nil"/>
              <w:bottom w:val="single" w:sz="8" w:space="0" w:color="auto"/>
              <w:right w:val="single" w:sz="8" w:space="0" w:color="auto"/>
            </w:tcBorders>
          </w:tcPr>
          <w:p w14:paraId="4BA477E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992" w:type="dxa"/>
            <w:tcBorders>
              <w:top w:val="single" w:sz="4" w:space="0" w:color="auto"/>
              <w:left w:val="nil"/>
              <w:bottom w:val="single" w:sz="8" w:space="0" w:color="auto"/>
              <w:right w:val="single" w:sz="8" w:space="0" w:color="auto"/>
            </w:tcBorders>
          </w:tcPr>
          <w:p w14:paraId="7F997E1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4" w:space="0" w:color="auto"/>
              <w:left w:val="nil"/>
              <w:bottom w:val="single" w:sz="8" w:space="0" w:color="auto"/>
              <w:right w:val="single" w:sz="8" w:space="0" w:color="000000"/>
            </w:tcBorders>
          </w:tcPr>
          <w:p w14:paraId="3E867F43"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91</w:t>
            </w:r>
          </w:p>
        </w:tc>
        <w:tc>
          <w:tcPr>
            <w:tcW w:w="1275" w:type="dxa"/>
            <w:tcBorders>
              <w:top w:val="single" w:sz="4" w:space="0" w:color="auto"/>
              <w:left w:val="nil"/>
              <w:bottom w:val="single" w:sz="8" w:space="0" w:color="auto"/>
              <w:right w:val="single" w:sz="8" w:space="0" w:color="000000"/>
            </w:tcBorders>
          </w:tcPr>
          <w:p w14:paraId="48CCF79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4" w:space="0" w:color="auto"/>
              <w:left w:val="nil"/>
              <w:bottom w:val="single" w:sz="8" w:space="0" w:color="auto"/>
              <w:right w:val="nil"/>
            </w:tcBorders>
          </w:tcPr>
          <w:p w14:paraId="7A435C48"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113</w:t>
            </w:r>
          </w:p>
        </w:tc>
        <w:tc>
          <w:tcPr>
            <w:tcW w:w="1134" w:type="dxa"/>
            <w:tcBorders>
              <w:top w:val="single" w:sz="4" w:space="0" w:color="auto"/>
              <w:left w:val="nil"/>
              <w:bottom w:val="single" w:sz="8" w:space="0" w:color="auto"/>
              <w:right w:val="single" w:sz="12" w:space="0" w:color="000000"/>
            </w:tcBorders>
          </w:tcPr>
          <w:p w14:paraId="05381CB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54B3256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66DA5704" w14:textId="77777777" w:rsidTr="00A432B0">
        <w:trPr>
          <w:trHeight w:val="364"/>
        </w:trPr>
        <w:tc>
          <w:tcPr>
            <w:tcW w:w="1647" w:type="dxa"/>
            <w:tcBorders>
              <w:top w:val="nil"/>
              <w:left w:val="single" w:sz="4" w:space="0" w:color="auto"/>
              <w:bottom w:val="single" w:sz="8" w:space="0" w:color="auto"/>
              <w:right w:val="single" w:sz="8" w:space="0" w:color="auto"/>
            </w:tcBorders>
          </w:tcPr>
          <w:p w14:paraId="7EE56FF0"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Lycopersicon esculentum</w:t>
            </w:r>
          </w:p>
        </w:tc>
        <w:tc>
          <w:tcPr>
            <w:tcW w:w="1276" w:type="dxa"/>
            <w:tcBorders>
              <w:top w:val="nil"/>
              <w:left w:val="nil"/>
              <w:bottom w:val="single" w:sz="8" w:space="0" w:color="auto"/>
              <w:right w:val="single" w:sz="8" w:space="0" w:color="auto"/>
            </w:tcBorders>
          </w:tcPr>
          <w:p w14:paraId="43044BE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Silt loam                 Ter Munck</w:t>
            </w:r>
          </w:p>
        </w:tc>
        <w:tc>
          <w:tcPr>
            <w:tcW w:w="425" w:type="dxa"/>
            <w:tcBorders>
              <w:top w:val="nil"/>
              <w:left w:val="nil"/>
              <w:bottom w:val="single" w:sz="8" w:space="0" w:color="auto"/>
              <w:right w:val="single" w:sz="8" w:space="0" w:color="auto"/>
            </w:tcBorders>
          </w:tcPr>
          <w:p w14:paraId="16E02D7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6.8</w:t>
            </w:r>
          </w:p>
        </w:tc>
        <w:tc>
          <w:tcPr>
            <w:tcW w:w="709" w:type="dxa"/>
            <w:tcBorders>
              <w:top w:val="nil"/>
              <w:left w:val="nil"/>
              <w:bottom w:val="single" w:sz="8" w:space="0" w:color="auto"/>
              <w:right w:val="single" w:sz="8" w:space="0" w:color="auto"/>
            </w:tcBorders>
          </w:tcPr>
          <w:p w14:paraId="313DEF1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1.6</w:t>
            </w:r>
          </w:p>
        </w:tc>
        <w:tc>
          <w:tcPr>
            <w:tcW w:w="709" w:type="dxa"/>
            <w:tcBorders>
              <w:top w:val="nil"/>
              <w:left w:val="nil"/>
              <w:bottom w:val="single" w:sz="8" w:space="0" w:color="auto"/>
              <w:right w:val="single" w:sz="8" w:space="0" w:color="auto"/>
            </w:tcBorders>
          </w:tcPr>
          <w:p w14:paraId="30097D8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w:t>
            </w:r>
          </w:p>
        </w:tc>
        <w:tc>
          <w:tcPr>
            <w:tcW w:w="709" w:type="dxa"/>
            <w:tcBorders>
              <w:top w:val="nil"/>
              <w:left w:val="nil"/>
              <w:bottom w:val="single" w:sz="8" w:space="0" w:color="auto"/>
              <w:right w:val="single" w:sz="8" w:space="0" w:color="auto"/>
            </w:tcBorders>
          </w:tcPr>
          <w:p w14:paraId="772069E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22</w:t>
            </w:r>
          </w:p>
        </w:tc>
        <w:tc>
          <w:tcPr>
            <w:tcW w:w="850" w:type="dxa"/>
            <w:tcBorders>
              <w:top w:val="nil"/>
              <w:left w:val="nil"/>
              <w:bottom w:val="single" w:sz="8" w:space="0" w:color="auto"/>
              <w:right w:val="single" w:sz="8" w:space="0" w:color="auto"/>
            </w:tcBorders>
          </w:tcPr>
          <w:p w14:paraId="318C551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8.9</w:t>
            </w:r>
          </w:p>
        </w:tc>
        <w:tc>
          <w:tcPr>
            <w:tcW w:w="992" w:type="dxa"/>
            <w:tcBorders>
              <w:top w:val="nil"/>
              <w:left w:val="nil"/>
              <w:bottom w:val="single" w:sz="8" w:space="0" w:color="auto"/>
              <w:right w:val="single" w:sz="8" w:space="0" w:color="auto"/>
            </w:tcBorders>
          </w:tcPr>
          <w:p w14:paraId="6FA8D21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3A90461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992" w:type="dxa"/>
            <w:tcBorders>
              <w:top w:val="nil"/>
              <w:left w:val="nil"/>
              <w:bottom w:val="single" w:sz="8" w:space="0" w:color="auto"/>
              <w:right w:val="single" w:sz="8" w:space="0" w:color="auto"/>
            </w:tcBorders>
          </w:tcPr>
          <w:p w14:paraId="4BDDF83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8" w:space="0" w:color="auto"/>
              <w:right w:val="single" w:sz="8" w:space="0" w:color="000000"/>
            </w:tcBorders>
          </w:tcPr>
          <w:p w14:paraId="1D88F6C2"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198</w:t>
            </w:r>
          </w:p>
        </w:tc>
        <w:tc>
          <w:tcPr>
            <w:tcW w:w="1275" w:type="dxa"/>
            <w:tcBorders>
              <w:top w:val="single" w:sz="8" w:space="0" w:color="auto"/>
              <w:left w:val="nil"/>
              <w:bottom w:val="single" w:sz="8" w:space="0" w:color="auto"/>
              <w:right w:val="single" w:sz="8" w:space="0" w:color="000000"/>
            </w:tcBorders>
          </w:tcPr>
          <w:p w14:paraId="2A6F259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nil"/>
            </w:tcBorders>
          </w:tcPr>
          <w:p w14:paraId="05025679"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220</w:t>
            </w:r>
          </w:p>
        </w:tc>
        <w:tc>
          <w:tcPr>
            <w:tcW w:w="1134" w:type="dxa"/>
            <w:tcBorders>
              <w:top w:val="single" w:sz="8" w:space="0" w:color="auto"/>
              <w:left w:val="nil"/>
              <w:bottom w:val="single" w:sz="8" w:space="0" w:color="auto"/>
              <w:right w:val="single" w:sz="12" w:space="0" w:color="000000"/>
            </w:tcBorders>
          </w:tcPr>
          <w:p w14:paraId="45BC050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591A73D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0CEAA7C3" w14:textId="77777777" w:rsidTr="00A432B0">
        <w:trPr>
          <w:trHeight w:val="64"/>
        </w:trPr>
        <w:tc>
          <w:tcPr>
            <w:tcW w:w="1647" w:type="dxa"/>
            <w:tcBorders>
              <w:top w:val="nil"/>
              <w:left w:val="single" w:sz="4" w:space="0" w:color="auto"/>
              <w:bottom w:val="single" w:sz="8" w:space="0" w:color="auto"/>
              <w:right w:val="single" w:sz="8" w:space="0" w:color="auto"/>
            </w:tcBorders>
          </w:tcPr>
          <w:p w14:paraId="61492DD6"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Lycopersicon esculentum</w:t>
            </w:r>
          </w:p>
        </w:tc>
        <w:tc>
          <w:tcPr>
            <w:tcW w:w="1276" w:type="dxa"/>
            <w:tcBorders>
              <w:top w:val="nil"/>
              <w:left w:val="nil"/>
              <w:bottom w:val="single" w:sz="8" w:space="0" w:color="auto"/>
              <w:right w:val="single" w:sz="8" w:space="0" w:color="auto"/>
            </w:tcBorders>
          </w:tcPr>
          <w:p w14:paraId="4F704E7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Silty clay loam       Vault de Lugny</w:t>
            </w:r>
          </w:p>
        </w:tc>
        <w:tc>
          <w:tcPr>
            <w:tcW w:w="425" w:type="dxa"/>
            <w:tcBorders>
              <w:top w:val="nil"/>
              <w:left w:val="nil"/>
              <w:bottom w:val="single" w:sz="8" w:space="0" w:color="auto"/>
              <w:right w:val="single" w:sz="8" w:space="0" w:color="auto"/>
            </w:tcBorders>
          </w:tcPr>
          <w:p w14:paraId="227F48B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7.3</w:t>
            </w:r>
          </w:p>
        </w:tc>
        <w:tc>
          <w:tcPr>
            <w:tcW w:w="709" w:type="dxa"/>
            <w:tcBorders>
              <w:top w:val="nil"/>
              <w:left w:val="nil"/>
              <w:bottom w:val="single" w:sz="8" w:space="0" w:color="auto"/>
              <w:right w:val="single" w:sz="8" w:space="0" w:color="auto"/>
            </w:tcBorders>
          </w:tcPr>
          <w:p w14:paraId="0816006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2.3</w:t>
            </w:r>
          </w:p>
        </w:tc>
        <w:tc>
          <w:tcPr>
            <w:tcW w:w="709" w:type="dxa"/>
            <w:tcBorders>
              <w:top w:val="nil"/>
              <w:left w:val="nil"/>
              <w:bottom w:val="single" w:sz="8" w:space="0" w:color="auto"/>
              <w:right w:val="single" w:sz="8" w:space="0" w:color="auto"/>
            </w:tcBorders>
          </w:tcPr>
          <w:p w14:paraId="4F1B554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38</w:t>
            </w:r>
          </w:p>
        </w:tc>
        <w:tc>
          <w:tcPr>
            <w:tcW w:w="709" w:type="dxa"/>
            <w:tcBorders>
              <w:top w:val="nil"/>
              <w:left w:val="nil"/>
              <w:bottom w:val="single" w:sz="8" w:space="0" w:color="auto"/>
              <w:right w:val="single" w:sz="8" w:space="0" w:color="auto"/>
            </w:tcBorders>
          </w:tcPr>
          <w:p w14:paraId="66A34C0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850" w:type="dxa"/>
            <w:tcBorders>
              <w:top w:val="nil"/>
              <w:left w:val="nil"/>
              <w:bottom w:val="single" w:sz="8" w:space="0" w:color="auto"/>
              <w:right w:val="single" w:sz="8" w:space="0" w:color="auto"/>
            </w:tcBorders>
          </w:tcPr>
          <w:p w14:paraId="21A95E9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26.2</w:t>
            </w:r>
          </w:p>
        </w:tc>
        <w:tc>
          <w:tcPr>
            <w:tcW w:w="992" w:type="dxa"/>
            <w:tcBorders>
              <w:top w:val="nil"/>
              <w:left w:val="nil"/>
              <w:bottom w:val="single" w:sz="8" w:space="0" w:color="auto"/>
              <w:right w:val="single" w:sz="8" w:space="0" w:color="auto"/>
            </w:tcBorders>
          </w:tcPr>
          <w:p w14:paraId="799EDF2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5EE4F27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992" w:type="dxa"/>
            <w:tcBorders>
              <w:top w:val="nil"/>
              <w:left w:val="nil"/>
              <w:bottom w:val="single" w:sz="8" w:space="0" w:color="auto"/>
              <w:right w:val="single" w:sz="8" w:space="0" w:color="auto"/>
            </w:tcBorders>
          </w:tcPr>
          <w:p w14:paraId="10371B7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8" w:space="0" w:color="auto"/>
              <w:right w:val="single" w:sz="8" w:space="0" w:color="000000"/>
            </w:tcBorders>
          </w:tcPr>
          <w:p w14:paraId="2D24B82F"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311</w:t>
            </w:r>
          </w:p>
        </w:tc>
        <w:tc>
          <w:tcPr>
            <w:tcW w:w="1275" w:type="dxa"/>
            <w:tcBorders>
              <w:top w:val="single" w:sz="8" w:space="0" w:color="auto"/>
              <w:left w:val="nil"/>
              <w:bottom w:val="single" w:sz="8" w:space="0" w:color="auto"/>
              <w:right w:val="single" w:sz="8" w:space="0" w:color="000000"/>
            </w:tcBorders>
          </w:tcPr>
          <w:p w14:paraId="74BABFC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nil"/>
            </w:tcBorders>
          </w:tcPr>
          <w:p w14:paraId="3B5B69C4"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332</w:t>
            </w:r>
          </w:p>
        </w:tc>
        <w:tc>
          <w:tcPr>
            <w:tcW w:w="1134" w:type="dxa"/>
            <w:tcBorders>
              <w:top w:val="single" w:sz="8" w:space="0" w:color="auto"/>
              <w:left w:val="nil"/>
              <w:bottom w:val="single" w:sz="8" w:space="0" w:color="auto"/>
              <w:right w:val="single" w:sz="12" w:space="0" w:color="000000"/>
            </w:tcBorders>
          </w:tcPr>
          <w:p w14:paraId="3CF55A7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2B9BA3E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051B2E4F" w14:textId="77777777" w:rsidTr="00A432B0">
        <w:trPr>
          <w:trHeight w:val="64"/>
        </w:trPr>
        <w:tc>
          <w:tcPr>
            <w:tcW w:w="1647" w:type="dxa"/>
            <w:tcBorders>
              <w:top w:val="nil"/>
              <w:left w:val="single" w:sz="4" w:space="0" w:color="auto"/>
              <w:bottom w:val="single" w:sz="8" w:space="0" w:color="auto"/>
              <w:right w:val="single" w:sz="8" w:space="0" w:color="auto"/>
            </w:tcBorders>
          </w:tcPr>
          <w:p w14:paraId="2132A016"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Lycopersicon esculentum</w:t>
            </w:r>
          </w:p>
        </w:tc>
        <w:tc>
          <w:tcPr>
            <w:tcW w:w="1276" w:type="dxa"/>
            <w:tcBorders>
              <w:top w:val="nil"/>
              <w:left w:val="nil"/>
              <w:bottom w:val="single" w:sz="8" w:space="0" w:color="auto"/>
              <w:right w:val="single" w:sz="8" w:space="0" w:color="auto"/>
            </w:tcBorders>
          </w:tcPr>
          <w:p w14:paraId="2E3420F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Silty clay loam       Rots</w:t>
            </w:r>
          </w:p>
        </w:tc>
        <w:tc>
          <w:tcPr>
            <w:tcW w:w="425" w:type="dxa"/>
            <w:tcBorders>
              <w:top w:val="nil"/>
              <w:left w:val="nil"/>
              <w:bottom w:val="single" w:sz="8" w:space="0" w:color="auto"/>
              <w:right w:val="single" w:sz="8" w:space="0" w:color="auto"/>
            </w:tcBorders>
          </w:tcPr>
          <w:p w14:paraId="20E18DA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7.4</w:t>
            </w:r>
          </w:p>
        </w:tc>
        <w:tc>
          <w:tcPr>
            <w:tcW w:w="709" w:type="dxa"/>
            <w:tcBorders>
              <w:top w:val="nil"/>
              <w:left w:val="nil"/>
              <w:bottom w:val="single" w:sz="8" w:space="0" w:color="auto"/>
              <w:right w:val="single" w:sz="8" w:space="0" w:color="auto"/>
            </w:tcBorders>
          </w:tcPr>
          <w:p w14:paraId="08051FE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w:t>
            </w:r>
          </w:p>
        </w:tc>
        <w:tc>
          <w:tcPr>
            <w:tcW w:w="709" w:type="dxa"/>
            <w:tcBorders>
              <w:top w:val="nil"/>
              <w:left w:val="nil"/>
              <w:bottom w:val="single" w:sz="8" w:space="0" w:color="auto"/>
              <w:right w:val="single" w:sz="8" w:space="0" w:color="auto"/>
            </w:tcBorders>
          </w:tcPr>
          <w:p w14:paraId="47A5DD0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27</w:t>
            </w:r>
          </w:p>
        </w:tc>
        <w:tc>
          <w:tcPr>
            <w:tcW w:w="709" w:type="dxa"/>
            <w:tcBorders>
              <w:top w:val="nil"/>
              <w:left w:val="nil"/>
              <w:bottom w:val="single" w:sz="8" w:space="0" w:color="auto"/>
              <w:right w:val="single" w:sz="8" w:space="0" w:color="auto"/>
            </w:tcBorders>
          </w:tcPr>
          <w:p w14:paraId="411C1B0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w:t>
            </w:r>
          </w:p>
        </w:tc>
        <w:tc>
          <w:tcPr>
            <w:tcW w:w="850" w:type="dxa"/>
            <w:tcBorders>
              <w:top w:val="nil"/>
              <w:left w:val="nil"/>
              <w:bottom w:val="single" w:sz="8" w:space="0" w:color="auto"/>
              <w:right w:val="single" w:sz="8" w:space="0" w:color="auto"/>
            </w:tcBorders>
          </w:tcPr>
          <w:p w14:paraId="6E46713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20</w:t>
            </w:r>
          </w:p>
        </w:tc>
        <w:tc>
          <w:tcPr>
            <w:tcW w:w="992" w:type="dxa"/>
            <w:tcBorders>
              <w:top w:val="nil"/>
              <w:left w:val="nil"/>
              <w:bottom w:val="single" w:sz="8" w:space="0" w:color="auto"/>
              <w:right w:val="single" w:sz="8" w:space="0" w:color="auto"/>
            </w:tcBorders>
          </w:tcPr>
          <w:p w14:paraId="1F729E0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0B264CC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992" w:type="dxa"/>
            <w:tcBorders>
              <w:top w:val="nil"/>
              <w:left w:val="nil"/>
              <w:bottom w:val="single" w:sz="8" w:space="0" w:color="auto"/>
              <w:right w:val="single" w:sz="8" w:space="0" w:color="auto"/>
            </w:tcBorders>
          </w:tcPr>
          <w:p w14:paraId="575CA2B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8" w:space="0" w:color="auto"/>
              <w:right w:val="single" w:sz="8" w:space="0" w:color="000000"/>
            </w:tcBorders>
          </w:tcPr>
          <w:p w14:paraId="17DB55AC"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660</w:t>
            </w:r>
          </w:p>
        </w:tc>
        <w:tc>
          <w:tcPr>
            <w:tcW w:w="1275" w:type="dxa"/>
            <w:tcBorders>
              <w:top w:val="single" w:sz="8" w:space="0" w:color="auto"/>
              <w:left w:val="nil"/>
              <w:bottom w:val="single" w:sz="8" w:space="0" w:color="auto"/>
              <w:right w:val="single" w:sz="8" w:space="0" w:color="000000"/>
            </w:tcBorders>
          </w:tcPr>
          <w:p w14:paraId="54725F6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nil"/>
            </w:tcBorders>
          </w:tcPr>
          <w:p w14:paraId="42C1F969"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674</w:t>
            </w:r>
          </w:p>
        </w:tc>
        <w:tc>
          <w:tcPr>
            <w:tcW w:w="1134" w:type="dxa"/>
            <w:tcBorders>
              <w:top w:val="single" w:sz="8" w:space="0" w:color="auto"/>
              <w:left w:val="nil"/>
              <w:bottom w:val="single" w:sz="8" w:space="0" w:color="auto"/>
              <w:right w:val="single" w:sz="12" w:space="0" w:color="000000"/>
            </w:tcBorders>
          </w:tcPr>
          <w:p w14:paraId="2689FD9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16D1AE5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3D11DDCC" w14:textId="77777777" w:rsidTr="00A432B0">
        <w:trPr>
          <w:trHeight w:val="364"/>
        </w:trPr>
        <w:tc>
          <w:tcPr>
            <w:tcW w:w="1647" w:type="dxa"/>
            <w:tcBorders>
              <w:top w:val="nil"/>
              <w:left w:val="single" w:sz="4" w:space="0" w:color="auto"/>
              <w:bottom w:val="single" w:sz="8" w:space="0" w:color="auto"/>
              <w:right w:val="single" w:sz="8" w:space="0" w:color="auto"/>
            </w:tcBorders>
          </w:tcPr>
          <w:p w14:paraId="7ECC3E39"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Lycopersicon esculentum</w:t>
            </w:r>
          </w:p>
        </w:tc>
        <w:tc>
          <w:tcPr>
            <w:tcW w:w="1276" w:type="dxa"/>
            <w:tcBorders>
              <w:top w:val="nil"/>
              <w:left w:val="nil"/>
              <w:bottom w:val="single" w:sz="8" w:space="0" w:color="auto"/>
              <w:right w:val="single" w:sz="8" w:space="0" w:color="auto"/>
            </w:tcBorders>
          </w:tcPr>
          <w:p w14:paraId="7C7C136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Clay                      Souli II</w:t>
            </w:r>
          </w:p>
        </w:tc>
        <w:tc>
          <w:tcPr>
            <w:tcW w:w="425" w:type="dxa"/>
            <w:tcBorders>
              <w:top w:val="nil"/>
              <w:left w:val="nil"/>
              <w:bottom w:val="single" w:sz="8" w:space="0" w:color="auto"/>
              <w:right w:val="single" w:sz="8" w:space="0" w:color="auto"/>
            </w:tcBorders>
          </w:tcPr>
          <w:p w14:paraId="3F00680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7.4</w:t>
            </w:r>
          </w:p>
        </w:tc>
        <w:tc>
          <w:tcPr>
            <w:tcW w:w="709" w:type="dxa"/>
            <w:tcBorders>
              <w:top w:val="nil"/>
              <w:left w:val="nil"/>
              <w:bottom w:val="single" w:sz="8" w:space="0" w:color="auto"/>
              <w:right w:val="single" w:sz="8" w:space="0" w:color="auto"/>
            </w:tcBorders>
          </w:tcPr>
          <w:p w14:paraId="0DA47F4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4.2</w:t>
            </w:r>
          </w:p>
        </w:tc>
        <w:tc>
          <w:tcPr>
            <w:tcW w:w="709" w:type="dxa"/>
            <w:tcBorders>
              <w:top w:val="nil"/>
              <w:left w:val="nil"/>
              <w:bottom w:val="single" w:sz="8" w:space="0" w:color="auto"/>
              <w:right w:val="single" w:sz="8" w:space="0" w:color="auto"/>
            </w:tcBorders>
          </w:tcPr>
          <w:p w14:paraId="7AB3CEB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46</w:t>
            </w:r>
          </w:p>
        </w:tc>
        <w:tc>
          <w:tcPr>
            <w:tcW w:w="709" w:type="dxa"/>
            <w:tcBorders>
              <w:top w:val="nil"/>
              <w:left w:val="nil"/>
              <w:bottom w:val="single" w:sz="8" w:space="0" w:color="auto"/>
              <w:right w:val="single" w:sz="8" w:space="0" w:color="auto"/>
            </w:tcBorders>
          </w:tcPr>
          <w:p w14:paraId="5F0E08F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34</w:t>
            </w:r>
          </w:p>
        </w:tc>
        <w:tc>
          <w:tcPr>
            <w:tcW w:w="850" w:type="dxa"/>
            <w:tcBorders>
              <w:top w:val="nil"/>
              <w:left w:val="nil"/>
              <w:bottom w:val="single" w:sz="8" w:space="0" w:color="auto"/>
              <w:right w:val="single" w:sz="8" w:space="0" w:color="auto"/>
            </w:tcBorders>
          </w:tcPr>
          <w:p w14:paraId="387BA8E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36.3</w:t>
            </w:r>
          </w:p>
        </w:tc>
        <w:tc>
          <w:tcPr>
            <w:tcW w:w="992" w:type="dxa"/>
            <w:tcBorders>
              <w:top w:val="nil"/>
              <w:left w:val="nil"/>
              <w:bottom w:val="single" w:sz="8" w:space="0" w:color="auto"/>
              <w:right w:val="single" w:sz="8" w:space="0" w:color="auto"/>
            </w:tcBorders>
          </w:tcPr>
          <w:p w14:paraId="7B0B7B5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02876EC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992" w:type="dxa"/>
            <w:tcBorders>
              <w:top w:val="nil"/>
              <w:left w:val="nil"/>
              <w:bottom w:val="single" w:sz="8" w:space="0" w:color="auto"/>
              <w:right w:val="single" w:sz="8" w:space="0" w:color="auto"/>
            </w:tcBorders>
          </w:tcPr>
          <w:p w14:paraId="20B1AEB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8" w:space="0" w:color="auto"/>
              <w:right w:val="single" w:sz="8" w:space="0" w:color="000000"/>
            </w:tcBorders>
          </w:tcPr>
          <w:p w14:paraId="5B88AE4C"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628</w:t>
            </w:r>
          </w:p>
        </w:tc>
        <w:tc>
          <w:tcPr>
            <w:tcW w:w="1275" w:type="dxa"/>
            <w:tcBorders>
              <w:top w:val="single" w:sz="8" w:space="0" w:color="auto"/>
              <w:left w:val="nil"/>
              <w:bottom w:val="single" w:sz="8" w:space="0" w:color="auto"/>
              <w:right w:val="single" w:sz="8" w:space="0" w:color="000000"/>
            </w:tcBorders>
          </w:tcPr>
          <w:p w14:paraId="2593883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nil"/>
            </w:tcBorders>
          </w:tcPr>
          <w:p w14:paraId="27DD10A1"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662</w:t>
            </w:r>
          </w:p>
        </w:tc>
        <w:tc>
          <w:tcPr>
            <w:tcW w:w="1134" w:type="dxa"/>
            <w:tcBorders>
              <w:top w:val="single" w:sz="8" w:space="0" w:color="auto"/>
              <w:left w:val="nil"/>
              <w:bottom w:val="single" w:sz="8" w:space="0" w:color="auto"/>
              <w:right w:val="single" w:sz="12" w:space="0" w:color="000000"/>
            </w:tcBorders>
          </w:tcPr>
          <w:p w14:paraId="66D3ACE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619C1D0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4D016DEF" w14:textId="77777777" w:rsidTr="00A432B0">
        <w:trPr>
          <w:trHeight w:val="364"/>
        </w:trPr>
        <w:tc>
          <w:tcPr>
            <w:tcW w:w="1647" w:type="dxa"/>
            <w:tcBorders>
              <w:top w:val="nil"/>
              <w:left w:val="single" w:sz="4" w:space="0" w:color="auto"/>
              <w:bottom w:val="single" w:sz="8" w:space="0" w:color="auto"/>
              <w:right w:val="single" w:sz="8" w:space="0" w:color="auto"/>
            </w:tcBorders>
          </w:tcPr>
          <w:p w14:paraId="7176AF8D"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Lycopersicon esculentum</w:t>
            </w:r>
          </w:p>
        </w:tc>
        <w:tc>
          <w:tcPr>
            <w:tcW w:w="1276" w:type="dxa"/>
            <w:tcBorders>
              <w:top w:val="nil"/>
              <w:left w:val="nil"/>
              <w:bottom w:val="single" w:sz="8" w:space="0" w:color="auto"/>
              <w:right w:val="single" w:sz="8" w:space="0" w:color="auto"/>
            </w:tcBorders>
          </w:tcPr>
          <w:p w14:paraId="7139A94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Silt loam      Marknesse</w:t>
            </w:r>
          </w:p>
        </w:tc>
        <w:tc>
          <w:tcPr>
            <w:tcW w:w="425" w:type="dxa"/>
            <w:tcBorders>
              <w:top w:val="nil"/>
              <w:left w:val="nil"/>
              <w:bottom w:val="single" w:sz="8" w:space="0" w:color="auto"/>
              <w:right w:val="single" w:sz="8" w:space="0" w:color="auto"/>
            </w:tcBorders>
          </w:tcPr>
          <w:p w14:paraId="4C1F3EB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7.5</w:t>
            </w:r>
          </w:p>
        </w:tc>
        <w:tc>
          <w:tcPr>
            <w:tcW w:w="709" w:type="dxa"/>
            <w:tcBorders>
              <w:top w:val="nil"/>
              <w:left w:val="nil"/>
              <w:bottom w:val="single" w:sz="8" w:space="0" w:color="auto"/>
              <w:right w:val="single" w:sz="8" w:space="0" w:color="auto"/>
            </w:tcBorders>
          </w:tcPr>
          <w:p w14:paraId="65B4CD9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w:t>
            </w:r>
          </w:p>
        </w:tc>
        <w:tc>
          <w:tcPr>
            <w:tcW w:w="709" w:type="dxa"/>
            <w:tcBorders>
              <w:top w:val="nil"/>
              <w:left w:val="nil"/>
              <w:bottom w:val="single" w:sz="8" w:space="0" w:color="auto"/>
              <w:right w:val="single" w:sz="8" w:space="0" w:color="auto"/>
            </w:tcBorders>
          </w:tcPr>
          <w:p w14:paraId="643EEF2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26</w:t>
            </w:r>
          </w:p>
        </w:tc>
        <w:tc>
          <w:tcPr>
            <w:tcW w:w="709" w:type="dxa"/>
            <w:tcBorders>
              <w:top w:val="nil"/>
              <w:left w:val="nil"/>
              <w:bottom w:val="single" w:sz="8" w:space="0" w:color="auto"/>
              <w:right w:val="single" w:sz="8" w:space="0" w:color="auto"/>
            </w:tcBorders>
          </w:tcPr>
          <w:p w14:paraId="5D6A270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18</w:t>
            </w:r>
          </w:p>
        </w:tc>
        <w:tc>
          <w:tcPr>
            <w:tcW w:w="850" w:type="dxa"/>
            <w:tcBorders>
              <w:top w:val="nil"/>
              <w:left w:val="nil"/>
              <w:bottom w:val="single" w:sz="8" w:space="0" w:color="auto"/>
              <w:right w:val="single" w:sz="8" w:space="0" w:color="auto"/>
            </w:tcBorders>
          </w:tcPr>
          <w:p w14:paraId="4C6717C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20.1</w:t>
            </w:r>
          </w:p>
        </w:tc>
        <w:tc>
          <w:tcPr>
            <w:tcW w:w="992" w:type="dxa"/>
            <w:tcBorders>
              <w:top w:val="nil"/>
              <w:left w:val="nil"/>
              <w:bottom w:val="single" w:sz="8" w:space="0" w:color="auto"/>
              <w:right w:val="single" w:sz="8" w:space="0" w:color="auto"/>
            </w:tcBorders>
          </w:tcPr>
          <w:p w14:paraId="2A08BD0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2C49BB0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992" w:type="dxa"/>
            <w:tcBorders>
              <w:top w:val="nil"/>
              <w:left w:val="nil"/>
              <w:bottom w:val="single" w:sz="8" w:space="0" w:color="auto"/>
              <w:right w:val="single" w:sz="8" w:space="0" w:color="auto"/>
            </w:tcBorders>
          </w:tcPr>
          <w:p w14:paraId="23988F1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8" w:space="0" w:color="auto"/>
              <w:right w:val="single" w:sz="8" w:space="0" w:color="000000"/>
            </w:tcBorders>
          </w:tcPr>
          <w:p w14:paraId="2EB69B95"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227</w:t>
            </w:r>
          </w:p>
        </w:tc>
        <w:tc>
          <w:tcPr>
            <w:tcW w:w="1275" w:type="dxa"/>
            <w:tcBorders>
              <w:top w:val="single" w:sz="8" w:space="0" w:color="auto"/>
              <w:left w:val="nil"/>
              <w:bottom w:val="single" w:sz="8" w:space="0" w:color="auto"/>
              <w:right w:val="single" w:sz="8" w:space="0" w:color="000000"/>
            </w:tcBorders>
          </w:tcPr>
          <w:p w14:paraId="2E7B736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nil"/>
            </w:tcBorders>
          </w:tcPr>
          <w:p w14:paraId="51061852"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245</w:t>
            </w:r>
          </w:p>
        </w:tc>
        <w:tc>
          <w:tcPr>
            <w:tcW w:w="1134" w:type="dxa"/>
            <w:tcBorders>
              <w:top w:val="single" w:sz="8" w:space="0" w:color="auto"/>
              <w:left w:val="nil"/>
              <w:bottom w:val="single" w:sz="8" w:space="0" w:color="auto"/>
              <w:right w:val="single" w:sz="12" w:space="0" w:color="000000"/>
            </w:tcBorders>
          </w:tcPr>
          <w:p w14:paraId="71DFD19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3278527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3434AA88" w14:textId="77777777" w:rsidTr="00A432B0">
        <w:trPr>
          <w:trHeight w:val="364"/>
        </w:trPr>
        <w:tc>
          <w:tcPr>
            <w:tcW w:w="1647" w:type="dxa"/>
            <w:tcBorders>
              <w:top w:val="nil"/>
              <w:left w:val="single" w:sz="4" w:space="0" w:color="auto"/>
              <w:bottom w:val="single" w:sz="8" w:space="0" w:color="auto"/>
              <w:right w:val="single" w:sz="8" w:space="0" w:color="auto"/>
            </w:tcBorders>
          </w:tcPr>
          <w:p w14:paraId="4AE35293"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Lycopersicon esculentum</w:t>
            </w:r>
          </w:p>
        </w:tc>
        <w:tc>
          <w:tcPr>
            <w:tcW w:w="1276" w:type="dxa"/>
            <w:tcBorders>
              <w:top w:val="nil"/>
              <w:left w:val="nil"/>
              <w:bottom w:val="single" w:sz="8" w:space="0" w:color="auto"/>
              <w:right w:val="single" w:sz="8" w:space="0" w:color="auto"/>
            </w:tcBorders>
          </w:tcPr>
          <w:p w14:paraId="0DE3A8B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           Barcelona</w:t>
            </w:r>
          </w:p>
        </w:tc>
        <w:tc>
          <w:tcPr>
            <w:tcW w:w="425" w:type="dxa"/>
            <w:tcBorders>
              <w:top w:val="nil"/>
              <w:left w:val="nil"/>
              <w:bottom w:val="single" w:sz="8" w:space="0" w:color="auto"/>
              <w:right w:val="single" w:sz="8" w:space="0" w:color="auto"/>
            </w:tcBorders>
          </w:tcPr>
          <w:p w14:paraId="71CB7F9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7.5</w:t>
            </w:r>
          </w:p>
        </w:tc>
        <w:tc>
          <w:tcPr>
            <w:tcW w:w="709" w:type="dxa"/>
            <w:tcBorders>
              <w:top w:val="nil"/>
              <w:left w:val="nil"/>
              <w:bottom w:val="single" w:sz="8" w:space="0" w:color="auto"/>
              <w:right w:val="single" w:sz="8" w:space="0" w:color="auto"/>
            </w:tcBorders>
          </w:tcPr>
          <w:p w14:paraId="26EAB64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2.4</w:t>
            </w:r>
          </w:p>
        </w:tc>
        <w:tc>
          <w:tcPr>
            <w:tcW w:w="709" w:type="dxa"/>
            <w:tcBorders>
              <w:top w:val="nil"/>
              <w:left w:val="nil"/>
              <w:bottom w:val="single" w:sz="8" w:space="0" w:color="auto"/>
              <w:right w:val="single" w:sz="8" w:space="0" w:color="auto"/>
            </w:tcBorders>
          </w:tcPr>
          <w:p w14:paraId="155F5CF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709" w:type="dxa"/>
            <w:tcBorders>
              <w:top w:val="nil"/>
              <w:left w:val="nil"/>
              <w:bottom w:val="single" w:sz="8" w:space="0" w:color="auto"/>
              <w:right w:val="single" w:sz="8" w:space="0" w:color="auto"/>
            </w:tcBorders>
          </w:tcPr>
          <w:p w14:paraId="067F53A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88</w:t>
            </w:r>
          </w:p>
        </w:tc>
        <w:tc>
          <w:tcPr>
            <w:tcW w:w="850" w:type="dxa"/>
            <w:tcBorders>
              <w:top w:val="nil"/>
              <w:left w:val="nil"/>
              <w:bottom w:val="single" w:sz="8" w:space="0" w:color="auto"/>
              <w:right w:val="single" w:sz="8" w:space="0" w:color="auto"/>
            </w:tcBorders>
          </w:tcPr>
          <w:p w14:paraId="5DB88C7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14.3</w:t>
            </w:r>
          </w:p>
        </w:tc>
        <w:tc>
          <w:tcPr>
            <w:tcW w:w="992" w:type="dxa"/>
            <w:tcBorders>
              <w:top w:val="nil"/>
              <w:left w:val="nil"/>
              <w:bottom w:val="single" w:sz="8" w:space="0" w:color="auto"/>
              <w:right w:val="single" w:sz="8" w:space="0" w:color="auto"/>
            </w:tcBorders>
          </w:tcPr>
          <w:p w14:paraId="0BF1EC4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5B013B7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992" w:type="dxa"/>
            <w:tcBorders>
              <w:top w:val="nil"/>
              <w:left w:val="nil"/>
              <w:bottom w:val="single" w:sz="8" w:space="0" w:color="auto"/>
              <w:right w:val="single" w:sz="8" w:space="0" w:color="auto"/>
            </w:tcBorders>
          </w:tcPr>
          <w:p w14:paraId="5953843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8" w:space="0" w:color="auto"/>
              <w:right w:val="single" w:sz="8" w:space="0" w:color="000000"/>
            </w:tcBorders>
          </w:tcPr>
          <w:p w14:paraId="740359F0"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315</w:t>
            </w:r>
          </w:p>
        </w:tc>
        <w:tc>
          <w:tcPr>
            <w:tcW w:w="1275" w:type="dxa"/>
            <w:tcBorders>
              <w:top w:val="single" w:sz="8" w:space="0" w:color="auto"/>
              <w:left w:val="nil"/>
              <w:bottom w:val="single" w:sz="8" w:space="0" w:color="auto"/>
              <w:right w:val="single" w:sz="8" w:space="0" w:color="000000"/>
            </w:tcBorders>
          </w:tcPr>
          <w:p w14:paraId="3F9E3BF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nil"/>
            </w:tcBorders>
          </w:tcPr>
          <w:p w14:paraId="346FE653"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403</w:t>
            </w:r>
          </w:p>
        </w:tc>
        <w:tc>
          <w:tcPr>
            <w:tcW w:w="1134" w:type="dxa"/>
            <w:tcBorders>
              <w:top w:val="single" w:sz="8" w:space="0" w:color="auto"/>
              <w:left w:val="nil"/>
              <w:bottom w:val="single" w:sz="8" w:space="0" w:color="auto"/>
              <w:right w:val="single" w:sz="12" w:space="0" w:color="000000"/>
            </w:tcBorders>
          </w:tcPr>
          <w:p w14:paraId="43E3C55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14163D2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418A11EE" w14:textId="77777777" w:rsidTr="00A432B0">
        <w:trPr>
          <w:trHeight w:val="364"/>
        </w:trPr>
        <w:tc>
          <w:tcPr>
            <w:tcW w:w="1647" w:type="dxa"/>
            <w:tcBorders>
              <w:top w:val="nil"/>
              <w:left w:val="single" w:sz="4" w:space="0" w:color="auto"/>
              <w:bottom w:val="single" w:sz="8" w:space="0" w:color="auto"/>
              <w:right w:val="single" w:sz="8" w:space="0" w:color="auto"/>
            </w:tcBorders>
          </w:tcPr>
          <w:p w14:paraId="637EE112"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Lycopersicon esculentum</w:t>
            </w:r>
          </w:p>
        </w:tc>
        <w:tc>
          <w:tcPr>
            <w:tcW w:w="1276" w:type="dxa"/>
            <w:tcBorders>
              <w:top w:val="nil"/>
              <w:left w:val="nil"/>
              <w:bottom w:val="single" w:sz="8" w:space="0" w:color="auto"/>
              <w:right w:val="single" w:sz="8" w:space="0" w:color="auto"/>
            </w:tcBorders>
          </w:tcPr>
          <w:p w14:paraId="158D5C3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Clay                    Brecy</w:t>
            </w:r>
          </w:p>
        </w:tc>
        <w:tc>
          <w:tcPr>
            <w:tcW w:w="425" w:type="dxa"/>
            <w:tcBorders>
              <w:top w:val="nil"/>
              <w:left w:val="nil"/>
              <w:bottom w:val="single" w:sz="8" w:space="0" w:color="auto"/>
              <w:right w:val="single" w:sz="8" w:space="0" w:color="auto"/>
            </w:tcBorders>
          </w:tcPr>
          <w:p w14:paraId="6B165F7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7.5</w:t>
            </w:r>
          </w:p>
        </w:tc>
        <w:tc>
          <w:tcPr>
            <w:tcW w:w="709" w:type="dxa"/>
            <w:tcBorders>
              <w:top w:val="nil"/>
              <w:left w:val="nil"/>
              <w:bottom w:val="single" w:sz="8" w:space="0" w:color="auto"/>
              <w:right w:val="single" w:sz="8" w:space="0" w:color="auto"/>
            </w:tcBorders>
          </w:tcPr>
          <w:p w14:paraId="5458999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2.4</w:t>
            </w:r>
          </w:p>
        </w:tc>
        <w:tc>
          <w:tcPr>
            <w:tcW w:w="709" w:type="dxa"/>
            <w:tcBorders>
              <w:top w:val="nil"/>
              <w:left w:val="nil"/>
              <w:bottom w:val="single" w:sz="8" w:space="0" w:color="auto"/>
              <w:right w:val="single" w:sz="8" w:space="0" w:color="auto"/>
            </w:tcBorders>
          </w:tcPr>
          <w:p w14:paraId="6609156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50</w:t>
            </w:r>
          </w:p>
        </w:tc>
        <w:tc>
          <w:tcPr>
            <w:tcW w:w="709" w:type="dxa"/>
            <w:tcBorders>
              <w:top w:val="nil"/>
              <w:left w:val="nil"/>
              <w:bottom w:val="single" w:sz="8" w:space="0" w:color="auto"/>
              <w:right w:val="single" w:sz="8" w:space="0" w:color="auto"/>
            </w:tcBorders>
          </w:tcPr>
          <w:p w14:paraId="0586678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31</w:t>
            </w:r>
          </w:p>
        </w:tc>
        <w:tc>
          <w:tcPr>
            <w:tcW w:w="850" w:type="dxa"/>
            <w:tcBorders>
              <w:top w:val="nil"/>
              <w:left w:val="nil"/>
              <w:bottom w:val="single" w:sz="8" w:space="0" w:color="auto"/>
              <w:right w:val="single" w:sz="8" w:space="0" w:color="auto"/>
            </w:tcBorders>
          </w:tcPr>
          <w:p w14:paraId="103DB95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23.5</w:t>
            </w:r>
          </w:p>
        </w:tc>
        <w:tc>
          <w:tcPr>
            <w:tcW w:w="992" w:type="dxa"/>
            <w:tcBorders>
              <w:top w:val="nil"/>
              <w:left w:val="nil"/>
              <w:bottom w:val="single" w:sz="8" w:space="0" w:color="auto"/>
              <w:right w:val="single" w:sz="8" w:space="0" w:color="auto"/>
            </w:tcBorders>
          </w:tcPr>
          <w:p w14:paraId="2AFB697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0A0AAD1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992" w:type="dxa"/>
            <w:tcBorders>
              <w:top w:val="nil"/>
              <w:left w:val="nil"/>
              <w:bottom w:val="single" w:sz="8" w:space="0" w:color="auto"/>
              <w:right w:val="single" w:sz="8" w:space="0" w:color="auto"/>
            </w:tcBorders>
          </w:tcPr>
          <w:p w14:paraId="569E11A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8" w:space="0" w:color="auto"/>
              <w:right w:val="single" w:sz="8" w:space="0" w:color="000000"/>
            </w:tcBorders>
          </w:tcPr>
          <w:p w14:paraId="09193C5F"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100</w:t>
            </w:r>
          </w:p>
        </w:tc>
        <w:tc>
          <w:tcPr>
            <w:tcW w:w="1275" w:type="dxa"/>
            <w:tcBorders>
              <w:top w:val="single" w:sz="8" w:space="0" w:color="auto"/>
              <w:left w:val="nil"/>
              <w:bottom w:val="single" w:sz="8" w:space="0" w:color="auto"/>
              <w:right w:val="single" w:sz="8" w:space="0" w:color="000000"/>
            </w:tcBorders>
          </w:tcPr>
          <w:p w14:paraId="282DBB2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nil"/>
            </w:tcBorders>
          </w:tcPr>
          <w:p w14:paraId="7D720C00"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131</w:t>
            </w:r>
          </w:p>
        </w:tc>
        <w:tc>
          <w:tcPr>
            <w:tcW w:w="1134" w:type="dxa"/>
            <w:tcBorders>
              <w:top w:val="single" w:sz="8" w:space="0" w:color="auto"/>
              <w:left w:val="nil"/>
              <w:bottom w:val="single" w:sz="8" w:space="0" w:color="auto"/>
              <w:right w:val="single" w:sz="12" w:space="0" w:color="000000"/>
            </w:tcBorders>
          </w:tcPr>
          <w:p w14:paraId="1B4362B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032F1D7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78CAC656" w14:textId="77777777" w:rsidTr="00A432B0">
        <w:trPr>
          <w:trHeight w:val="364"/>
        </w:trPr>
        <w:tc>
          <w:tcPr>
            <w:tcW w:w="1647" w:type="dxa"/>
            <w:tcBorders>
              <w:top w:val="nil"/>
              <w:left w:val="single" w:sz="4" w:space="0" w:color="auto"/>
              <w:bottom w:val="single" w:sz="8" w:space="0" w:color="auto"/>
              <w:right w:val="single" w:sz="8" w:space="0" w:color="auto"/>
            </w:tcBorders>
          </w:tcPr>
          <w:p w14:paraId="68DEBE0A"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Lycopersicon esculentum</w:t>
            </w:r>
          </w:p>
        </w:tc>
        <w:tc>
          <w:tcPr>
            <w:tcW w:w="1276" w:type="dxa"/>
            <w:tcBorders>
              <w:top w:val="nil"/>
              <w:left w:val="nil"/>
              <w:bottom w:val="single" w:sz="8" w:space="0" w:color="auto"/>
              <w:right w:val="single" w:sz="8" w:space="0" w:color="auto"/>
            </w:tcBorders>
          </w:tcPr>
          <w:p w14:paraId="442D69A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        Guadalajara</w:t>
            </w:r>
          </w:p>
        </w:tc>
        <w:tc>
          <w:tcPr>
            <w:tcW w:w="425" w:type="dxa"/>
            <w:tcBorders>
              <w:top w:val="nil"/>
              <w:left w:val="nil"/>
              <w:bottom w:val="single" w:sz="8" w:space="0" w:color="auto"/>
              <w:right w:val="single" w:sz="8" w:space="0" w:color="auto"/>
            </w:tcBorders>
          </w:tcPr>
          <w:p w14:paraId="1D3B650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7.5</w:t>
            </w:r>
          </w:p>
        </w:tc>
        <w:tc>
          <w:tcPr>
            <w:tcW w:w="709" w:type="dxa"/>
            <w:tcBorders>
              <w:top w:val="nil"/>
              <w:left w:val="nil"/>
              <w:bottom w:val="single" w:sz="8" w:space="0" w:color="auto"/>
              <w:right w:val="single" w:sz="8" w:space="0" w:color="auto"/>
            </w:tcBorders>
          </w:tcPr>
          <w:p w14:paraId="0AA0190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0.6</w:t>
            </w:r>
          </w:p>
        </w:tc>
        <w:tc>
          <w:tcPr>
            <w:tcW w:w="709" w:type="dxa"/>
            <w:tcBorders>
              <w:top w:val="nil"/>
              <w:left w:val="nil"/>
              <w:bottom w:val="single" w:sz="8" w:space="0" w:color="auto"/>
              <w:right w:val="single" w:sz="8" w:space="0" w:color="auto"/>
            </w:tcBorders>
          </w:tcPr>
          <w:p w14:paraId="3AEC3C8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25</w:t>
            </w:r>
          </w:p>
        </w:tc>
        <w:tc>
          <w:tcPr>
            <w:tcW w:w="709" w:type="dxa"/>
            <w:tcBorders>
              <w:top w:val="nil"/>
              <w:left w:val="nil"/>
              <w:bottom w:val="single" w:sz="8" w:space="0" w:color="auto"/>
              <w:right w:val="single" w:sz="8" w:space="0" w:color="auto"/>
            </w:tcBorders>
          </w:tcPr>
          <w:p w14:paraId="13DB59A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850" w:type="dxa"/>
            <w:tcBorders>
              <w:top w:val="nil"/>
              <w:left w:val="nil"/>
              <w:bottom w:val="single" w:sz="8" w:space="0" w:color="auto"/>
              <w:right w:val="single" w:sz="8" w:space="0" w:color="auto"/>
            </w:tcBorders>
          </w:tcPr>
          <w:p w14:paraId="610BBF4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16.9</w:t>
            </w:r>
          </w:p>
        </w:tc>
        <w:tc>
          <w:tcPr>
            <w:tcW w:w="992" w:type="dxa"/>
            <w:tcBorders>
              <w:top w:val="nil"/>
              <w:left w:val="nil"/>
              <w:bottom w:val="single" w:sz="8" w:space="0" w:color="auto"/>
              <w:right w:val="single" w:sz="8" w:space="0" w:color="auto"/>
            </w:tcBorders>
          </w:tcPr>
          <w:p w14:paraId="1AB6C01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6FF336D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992" w:type="dxa"/>
            <w:tcBorders>
              <w:top w:val="nil"/>
              <w:left w:val="nil"/>
              <w:bottom w:val="single" w:sz="8" w:space="0" w:color="auto"/>
              <w:right w:val="single" w:sz="8" w:space="0" w:color="auto"/>
            </w:tcBorders>
          </w:tcPr>
          <w:p w14:paraId="608CFC0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8" w:space="0" w:color="auto"/>
              <w:right w:val="single" w:sz="8" w:space="0" w:color="000000"/>
            </w:tcBorders>
          </w:tcPr>
          <w:p w14:paraId="1BAD6B7E"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313</w:t>
            </w:r>
          </w:p>
        </w:tc>
        <w:tc>
          <w:tcPr>
            <w:tcW w:w="1275" w:type="dxa"/>
            <w:tcBorders>
              <w:top w:val="single" w:sz="8" w:space="0" w:color="auto"/>
              <w:left w:val="nil"/>
              <w:bottom w:val="single" w:sz="8" w:space="0" w:color="auto"/>
              <w:right w:val="single" w:sz="8" w:space="0" w:color="000000"/>
            </w:tcBorders>
          </w:tcPr>
          <w:p w14:paraId="6701772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nil"/>
            </w:tcBorders>
          </w:tcPr>
          <w:p w14:paraId="3E45A7E1"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320</w:t>
            </w:r>
          </w:p>
        </w:tc>
        <w:tc>
          <w:tcPr>
            <w:tcW w:w="1134" w:type="dxa"/>
            <w:tcBorders>
              <w:top w:val="single" w:sz="8" w:space="0" w:color="auto"/>
              <w:left w:val="nil"/>
              <w:bottom w:val="single" w:sz="8" w:space="0" w:color="auto"/>
              <w:right w:val="single" w:sz="12" w:space="0" w:color="000000"/>
            </w:tcBorders>
          </w:tcPr>
          <w:p w14:paraId="114634D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4D66B8C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7E475C05" w14:textId="77777777" w:rsidTr="00A432B0">
        <w:trPr>
          <w:trHeight w:val="364"/>
        </w:trPr>
        <w:tc>
          <w:tcPr>
            <w:tcW w:w="1647" w:type="dxa"/>
            <w:tcBorders>
              <w:top w:val="nil"/>
              <w:left w:val="single" w:sz="4" w:space="0" w:color="auto"/>
              <w:bottom w:val="single" w:sz="8" w:space="0" w:color="auto"/>
              <w:right w:val="single" w:sz="8" w:space="0" w:color="auto"/>
            </w:tcBorders>
          </w:tcPr>
          <w:p w14:paraId="1627C59C"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Lycopersicon esculentum</w:t>
            </w:r>
          </w:p>
        </w:tc>
        <w:tc>
          <w:tcPr>
            <w:tcW w:w="1276" w:type="dxa"/>
            <w:tcBorders>
              <w:top w:val="nil"/>
              <w:left w:val="nil"/>
              <w:bottom w:val="single" w:sz="8" w:space="0" w:color="auto"/>
              <w:right w:val="single" w:sz="8" w:space="0" w:color="auto"/>
            </w:tcBorders>
          </w:tcPr>
          <w:p w14:paraId="0ED4A89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clay        Hygum</w:t>
            </w:r>
          </w:p>
        </w:tc>
        <w:tc>
          <w:tcPr>
            <w:tcW w:w="425" w:type="dxa"/>
            <w:tcBorders>
              <w:top w:val="nil"/>
              <w:left w:val="nil"/>
              <w:bottom w:val="single" w:sz="8" w:space="0" w:color="auto"/>
              <w:right w:val="single" w:sz="8" w:space="0" w:color="auto"/>
            </w:tcBorders>
          </w:tcPr>
          <w:p w14:paraId="0F54AE8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5.4</w:t>
            </w:r>
          </w:p>
        </w:tc>
        <w:tc>
          <w:tcPr>
            <w:tcW w:w="709" w:type="dxa"/>
            <w:tcBorders>
              <w:top w:val="nil"/>
              <w:left w:val="nil"/>
              <w:bottom w:val="single" w:sz="8" w:space="0" w:color="auto"/>
              <w:right w:val="single" w:sz="8" w:space="0" w:color="auto"/>
            </w:tcBorders>
          </w:tcPr>
          <w:p w14:paraId="3EB84CA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3.3</w:t>
            </w:r>
          </w:p>
        </w:tc>
        <w:tc>
          <w:tcPr>
            <w:tcW w:w="709" w:type="dxa"/>
            <w:tcBorders>
              <w:top w:val="nil"/>
              <w:left w:val="nil"/>
              <w:bottom w:val="single" w:sz="8" w:space="0" w:color="auto"/>
              <w:right w:val="single" w:sz="8" w:space="0" w:color="auto"/>
            </w:tcBorders>
          </w:tcPr>
          <w:p w14:paraId="3F628EA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23</w:t>
            </w:r>
          </w:p>
        </w:tc>
        <w:tc>
          <w:tcPr>
            <w:tcW w:w="709" w:type="dxa"/>
            <w:tcBorders>
              <w:top w:val="nil"/>
              <w:left w:val="nil"/>
              <w:bottom w:val="single" w:sz="8" w:space="0" w:color="auto"/>
              <w:right w:val="single" w:sz="8" w:space="0" w:color="auto"/>
            </w:tcBorders>
          </w:tcPr>
          <w:p w14:paraId="43081FB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850" w:type="dxa"/>
            <w:tcBorders>
              <w:top w:val="nil"/>
              <w:left w:val="nil"/>
              <w:bottom w:val="single" w:sz="8" w:space="0" w:color="auto"/>
              <w:right w:val="single" w:sz="8" w:space="0" w:color="auto"/>
            </w:tcBorders>
          </w:tcPr>
          <w:p w14:paraId="29B4C6E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6.7</w:t>
            </w:r>
          </w:p>
        </w:tc>
        <w:tc>
          <w:tcPr>
            <w:tcW w:w="992" w:type="dxa"/>
            <w:tcBorders>
              <w:top w:val="nil"/>
              <w:left w:val="nil"/>
              <w:bottom w:val="single" w:sz="8" w:space="0" w:color="auto"/>
              <w:right w:val="single" w:sz="8" w:space="0" w:color="auto"/>
            </w:tcBorders>
          </w:tcPr>
          <w:p w14:paraId="173E901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562985F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992" w:type="dxa"/>
            <w:tcBorders>
              <w:top w:val="nil"/>
              <w:left w:val="nil"/>
              <w:bottom w:val="single" w:sz="8" w:space="0" w:color="auto"/>
              <w:right w:val="single" w:sz="8" w:space="0" w:color="auto"/>
            </w:tcBorders>
          </w:tcPr>
          <w:p w14:paraId="1205FC0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8" w:space="0" w:color="auto"/>
              <w:right w:val="single" w:sz="8" w:space="0" w:color="000000"/>
            </w:tcBorders>
          </w:tcPr>
          <w:p w14:paraId="0AA2461A"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106</w:t>
            </w:r>
          </w:p>
        </w:tc>
        <w:tc>
          <w:tcPr>
            <w:tcW w:w="1275" w:type="dxa"/>
            <w:tcBorders>
              <w:top w:val="single" w:sz="8" w:space="0" w:color="auto"/>
              <w:left w:val="nil"/>
              <w:bottom w:val="single" w:sz="8" w:space="0" w:color="auto"/>
              <w:right w:val="single" w:sz="8" w:space="0" w:color="000000"/>
            </w:tcBorders>
          </w:tcPr>
          <w:p w14:paraId="0E6817B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nil"/>
            </w:tcBorders>
          </w:tcPr>
          <w:p w14:paraId="4A624070"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127</w:t>
            </w:r>
          </w:p>
        </w:tc>
        <w:tc>
          <w:tcPr>
            <w:tcW w:w="1134" w:type="dxa"/>
            <w:tcBorders>
              <w:top w:val="single" w:sz="8" w:space="0" w:color="auto"/>
              <w:left w:val="nil"/>
              <w:bottom w:val="single" w:sz="8" w:space="0" w:color="auto"/>
              <w:right w:val="single" w:sz="12" w:space="0" w:color="000000"/>
            </w:tcBorders>
          </w:tcPr>
          <w:p w14:paraId="364EDFA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0AE7EBA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00219160" w14:textId="77777777" w:rsidTr="00A432B0">
        <w:trPr>
          <w:trHeight w:val="101"/>
        </w:trPr>
        <w:tc>
          <w:tcPr>
            <w:tcW w:w="1647" w:type="dxa"/>
            <w:tcBorders>
              <w:top w:val="nil"/>
              <w:left w:val="single" w:sz="4" w:space="0" w:color="auto"/>
              <w:bottom w:val="single" w:sz="8" w:space="0" w:color="auto"/>
              <w:right w:val="single" w:sz="8" w:space="0" w:color="auto"/>
            </w:tcBorders>
          </w:tcPr>
          <w:p w14:paraId="12A23889"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Lycopersicon esculentum</w:t>
            </w:r>
          </w:p>
        </w:tc>
        <w:tc>
          <w:tcPr>
            <w:tcW w:w="1276" w:type="dxa"/>
            <w:tcBorders>
              <w:top w:val="nil"/>
              <w:left w:val="nil"/>
              <w:bottom w:val="single" w:sz="8" w:space="0" w:color="auto"/>
              <w:right w:val="single" w:sz="8" w:space="0" w:color="auto"/>
            </w:tcBorders>
          </w:tcPr>
          <w:p w14:paraId="745F980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sand Wageningen A</w:t>
            </w:r>
          </w:p>
        </w:tc>
        <w:tc>
          <w:tcPr>
            <w:tcW w:w="425" w:type="dxa"/>
            <w:tcBorders>
              <w:top w:val="nil"/>
              <w:left w:val="nil"/>
              <w:bottom w:val="single" w:sz="8" w:space="0" w:color="auto"/>
              <w:right w:val="single" w:sz="8" w:space="0" w:color="auto"/>
            </w:tcBorders>
          </w:tcPr>
          <w:p w14:paraId="1258A14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4.3</w:t>
            </w:r>
          </w:p>
        </w:tc>
        <w:tc>
          <w:tcPr>
            <w:tcW w:w="709" w:type="dxa"/>
            <w:tcBorders>
              <w:top w:val="nil"/>
              <w:left w:val="nil"/>
              <w:bottom w:val="single" w:sz="8" w:space="0" w:color="auto"/>
              <w:right w:val="single" w:sz="8" w:space="0" w:color="auto"/>
            </w:tcBorders>
          </w:tcPr>
          <w:p w14:paraId="6D30257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0.2</w:t>
            </w:r>
          </w:p>
        </w:tc>
        <w:tc>
          <w:tcPr>
            <w:tcW w:w="709" w:type="dxa"/>
            <w:tcBorders>
              <w:top w:val="nil"/>
              <w:left w:val="nil"/>
              <w:bottom w:val="single" w:sz="8" w:space="0" w:color="auto"/>
              <w:right w:val="single" w:sz="8" w:space="0" w:color="auto"/>
            </w:tcBorders>
          </w:tcPr>
          <w:p w14:paraId="6B1B208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w:t>
            </w:r>
          </w:p>
        </w:tc>
        <w:tc>
          <w:tcPr>
            <w:tcW w:w="709" w:type="dxa"/>
            <w:tcBorders>
              <w:top w:val="nil"/>
              <w:left w:val="nil"/>
              <w:bottom w:val="single" w:sz="8" w:space="0" w:color="auto"/>
              <w:right w:val="single" w:sz="8" w:space="0" w:color="auto"/>
            </w:tcBorders>
          </w:tcPr>
          <w:p w14:paraId="0ABC89A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850" w:type="dxa"/>
            <w:tcBorders>
              <w:top w:val="nil"/>
              <w:left w:val="nil"/>
              <w:bottom w:val="single" w:sz="8" w:space="0" w:color="auto"/>
              <w:right w:val="single" w:sz="8" w:space="0" w:color="auto"/>
            </w:tcBorders>
          </w:tcPr>
          <w:p w14:paraId="7DFAA48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1.2</w:t>
            </w:r>
          </w:p>
        </w:tc>
        <w:tc>
          <w:tcPr>
            <w:tcW w:w="992" w:type="dxa"/>
            <w:tcBorders>
              <w:top w:val="nil"/>
              <w:left w:val="nil"/>
              <w:bottom w:val="single" w:sz="8" w:space="0" w:color="auto"/>
              <w:right w:val="single" w:sz="8" w:space="0" w:color="auto"/>
            </w:tcBorders>
          </w:tcPr>
          <w:p w14:paraId="138805A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644E7DE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992" w:type="dxa"/>
            <w:tcBorders>
              <w:top w:val="nil"/>
              <w:left w:val="nil"/>
              <w:bottom w:val="single" w:sz="8" w:space="0" w:color="auto"/>
              <w:right w:val="single" w:sz="8" w:space="0" w:color="auto"/>
            </w:tcBorders>
          </w:tcPr>
          <w:p w14:paraId="3241391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8" w:space="0" w:color="auto"/>
              <w:right w:val="single" w:sz="8" w:space="0" w:color="000000"/>
            </w:tcBorders>
          </w:tcPr>
          <w:p w14:paraId="0B384BA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275" w:type="dxa"/>
            <w:tcBorders>
              <w:top w:val="single" w:sz="8" w:space="0" w:color="auto"/>
              <w:left w:val="nil"/>
              <w:bottom w:val="single" w:sz="8" w:space="0" w:color="auto"/>
              <w:right w:val="single" w:sz="8" w:space="0" w:color="000000"/>
            </w:tcBorders>
          </w:tcPr>
          <w:p w14:paraId="09BBEC4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&lt;70</w:t>
            </w:r>
          </w:p>
        </w:tc>
        <w:tc>
          <w:tcPr>
            <w:tcW w:w="851" w:type="dxa"/>
            <w:tcBorders>
              <w:top w:val="nil"/>
              <w:left w:val="nil"/>
              <w:bottom w:val="single" w:sz="8" w:space="0" w:color="auto"/>
              <w:right w:val="nil"/>
            </w:tcBorders>
          </w:tcPr>
          <w:p w14:paraId="09648E7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134" w:type="dxa"/>
            <w:tcBorders>
              <w:top w:val="single" w:sz="8" w:space="0" w:color="auto"/>
              <w:left w:val="nil"/>
              <w:bottom w:val="single" w:sz="8" w:space="0" w:color="auto"/>
              <w:right w:val="single" w:sz="12" w:space="0" w:color="000000"/>
            </w:tcBorders>
          </w:tcPr>
          <w:p w14:paraId="71B9BB2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&lt;89</w:t>
            </w:r>
          </w:p>
        </w:tc>
        <w:tc>
          <w:tcPr>
            <w:tcW w:w="1984" w:type="dxa"/>
            <w:tcBorders>
              <w:top w:val="single" w:sz="8" w:space="0" w:color="auto"/>
              <w:left w:val="nil"/>
              <w:bottom w:val="single" w:sz="8" w:space="0" w:color="auto"/>
              <w:right w:val="single" w:sz="12" w:space="0" w:color="000000"/>
            </w:tcBorders>
          </w:tcPr>
          <w:p w14:paraId="7D4CA34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3BBFF8A5" w14:textId="77777777" w:rsidTr="00A432B0">
        <w:trPr>
          <w:trHeight w:val="64"/>
        </w:trPr>
        <w:tc>
          <w:tcPr>
            <w:tcW w:w="1647" w:type="dxa"/>
            <w:tcBorders>
              <w:top w:val="nil"/>
              <w:left w:val="single" w:sz="4" w:space="0" w:color="auto"/>
              <w:bottom w:val="single" w:sz="8" w:space="0" w:color="auto"/>
              <w:right w:val="single" w:sz="8" w:space="0" w:color="auto"/>
            </w:tcBorders>
          </w:tcPr>
          <w:p w14:paraId="22D2BF9B"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Lycopersicon esculentum</w:t>
            </w:r>
          </w:p>
        </w:tc>
        <w:tc>
          <w:tcPr>
            <w:tcW w:w="1276" w:type="dxa"/>
            <w:tcBorders>
              <w:top w:val="nil"/>
              <w:left w:val="nil"/>
              <w:bottom w:val="single" w:sz="8" w:space="0" w:color="auto"/>
              <w:right w:val="single" w:sz="8" w:space="0" w:color="auto"/>
            </w:tcBorders>
          </w:tcPr>
          <w:p w14:paraId="0A0D6BD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sand Wageningen D</w:t>
            </w:r>
          </w:p>
        </w:tc>
        <w:tc>
          <w:tcPr>
            <w:tcW w:w="425" w:type="dxa"/>
            <w:tcBorders>
              <w:top w:val="nil"/>
              <w:left w:val="nil"/>
              <w:bottom w:val="single" w:sz="8" w:space="0" w:color="auto"/>
              <w:right w:val="single" w:sz="8" w:space="0" w:color="auto"/>
            </w:tcBorders>
          </w:tcPr>
          <w:p w14:paraId="3FEEC06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w:t>
            </w:r>
          </w:p>
        </w:tc>
        <w:tc>
          <w:tcPr>
            <w:tcW w:w="709" w:type="dxa"/>
            <w:tcBorders>
              <w:top w:val="nil"/>
              <w:left w:val="nil"/>
              <w:bottom w:val="single" w:sz="8" w:space="0" w:color="auto"/>
              <w:right w:val="single" w:sz="8" w:space="0" w:color="auto"/>
            </w:tcBorders>
          </w:tcPr>
          <w:p w14:paraId="4557996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0.3</w:t>
            </w:r>
          </w:p>
        </w:tc>
        <w:tc>
          <w:tcPr>
            <w:tcW w:w="709" w:type="dxa"/>
            <w:tcBorders>
              <w:top w:val="nil"/>
              <w:left w:val="nil"/>
              <w:bottom w:val="single" w:sz="8" w:space="0" w:color="auto"/>
              <w:right w:val="single" w:sz="8" w:space="0" w:color="auto"/>
            </w:tcBorders>
          </w:tcPr>
          <w:p w14:paraId="4CA45BB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w:t>
            </w:r>
          </w:p>
        </w:tc>
        <w:tc>
          <w:tcPr>
            <w:tcW w:w="709" w:type="dxa"/>
            <w:tcBorders>
              <w:top w:val="nil"/>
              <w:left w:val="nil"/>
              <w:bottom w:val="single" w:sz="8" w:space="0" w:color="auto"/>
              <w:right w:val="single" w:sz="8" w:space="0" w:color="auto"/>
            </w:tcBorders>
          </w:tcPr>
          <w:p w14:paraId="585FFCE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850" w:type="dxa"/>
            <w:tcBorders>
              <w:top w:val="nil"/>
              <w:left w:val="nil"/>
              <w:bottom w:val="single" w:sz="8" w:space="0" w:color="auto"/>
              <w:right w:val="single" w:sz="8" w:space="0" w:color="auto"/>
            </w:tcBorders>
          </w:tcPr>
          <w:p w14:paraId="75773B2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992" w:type="dxa"/>
            <w:tcBorders>
              <w:top w:val="nil"/>
              <w:left w:val="nil"/>
              <w:bottom w:val="single" w:sz="8" w:space="0" w:color="auto"/>
              <w:right w:val="single" w:sz="8" w:space="0" w:color="auto"/>
            </w:tcBorders>
          </w:tcPr>
          <w:p w14:paraId="7A2561A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0720CBF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992" w:type="dxa"/>
            <w:tcBorders>
              <w:top w:val="nil"/>
              <w:left w:val="nil"/>
              <w:bottom w:val="single" w:sz="8" w:space="0" w:color="auto"/>
              <w:right w:val="single" w:sz="8" w:space="0" w:color="auto"/>
            </w:tcBorders>
          </w:tcPr>
          <w:p w14:paraId="103CA8E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8" w:space="0" w:color="auto"/>
              <w:right w:val="single" w:sz="8" w:space="0" w:color="000000"/>
            </w:tcBorders>
          </w:tcPr>
          <w:p w14:paraId="02288348"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71</w:t>
            </w:r>
          </w:p>
        </w:tc>
        <w:tc>
          <w:tcPr>
            <w:tcW w:w="1275" w:type="dxa"/>
            <w:tcBorders>
              <w:top w:val="single" w:sz="8" w:space="0" w:color="auto"/>
              <w:left w:val="nil"/>
              <w:bottom w:val="single" w:sz="8" w:space="0" w:color="auto"/>
              <w:right w:val="single" w:sz="8" w:space="0" w:color="000000"/>
            </w:tcBorders>
          </w:tcPr>
          <w:p w14:paraId="6741211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nil"/>
            </w:tcBorders>
          </w:tcPr>
          <w:p w14:paraId="489E870F"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90</w:t>
            </w:r>
          </w:p>
        </w:tc>
        <w:tc>
          <w:tcPr>
            <w:tcW w:w="1134" w:type="dxa"/>
            <w:tcBorders>
              <w:top w:val="single" w:sz="8" w:space="0" w:color="auto"/>
              <w:left w:val="nil"/>
              <w:bottom w:val="single" w:sz="8" w:space="0" w:color="auto"/>
              <w:right w:val="single" w:sz="12" w:space="0" w:color="000000"/>
            </w:tcBorders>
          </w:tcPr>
          <w:p w14:paraId="04B01AE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7305ACB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Rooney et al.(2004)</w:t>
            </w:r>
          </w:p>
        </w:tc>
      </w:tr>
      <w:tr w:rsidR="00632208" w:rsidRPr="0098635C" w14:paraId="56BDC617" w14:textId="77777777" w:rsidTr="00A432B0">
        <w:trPr>
          <w:trHeight w:val="64"/>
        </w:trPr>
        <w:tc>
          <w:tcPr>
            <w:tcW w:w="1647" w:type="dxa"/>
            <w:vMerge w:val="restart"/>
            <w:tcBorders>
              <w:top w:val="nil"/>
              <w:left w:val="single" w:sz="4" w:space="0" w:color="auto"/>
              <w:bottom w:val="single" w:sz="8" w:space="0" w:color="000000"/>
              <w:right w:val="single" w:sz="8" w:space="0" w:color="auto"/>
            </w:tcBorders>
          </w:tcPr>
          <w:p w14:paraId="4EB297B3"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Lycopersicon esculentum</w:t>
            </w:r>
          </w:p>
        </w:tc>
        <w:tc>
          <w:tcPr>
            <w:tcW w:w="1276" w:type="dxa"/>
            <w:vMerge w:val="restart"/>
            <w:tcBorders>
              <w:top w:val="nil"/>
              <w:left w:val="single" w:sz="8" w:space="0" w:color="auto"/>
              <w:bottom w:val="single" w:sz="8" w:space="0" w:color="000000"/>
              <w:right w:val="single" w:sz="8" w:space="0" w:color="auto"/>
            </w:tcBorders>
          </w:tcPr>
          <w:p w14:paraId="34728BF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xml:space="preserve">loamy fine sand (thermic </w:t>
            </w:r>
            <w:r w:rsidRPr="0098635C">
              <w:rPr>
                <w:rFonts w:ascii="Arial Narrow" w:hAnsi="Arial Narrow" w:cs="Arial Narrow"/>
                <w:color w:val="000000" w:themeColor="text1"/>
                <w:sz w:val="20"/>
                <w:szCs w:val="20"/>
              </w:rPr>
              <w:lastRenderedPageBreak/>
              <w:t>Typic Paleudult)</w:t>
            </w:r>
          </w:p>
        </w:tc>
        <w:tc>
          <w:tcPr>
            <w:tcW w:w="425" w:type="dxa"/>
            <w:tcBorders>
              <w:top w:val="nil"/>
              <w:left w:val="nil"/>
              <w:bottom w:val="nil"/>
              <w:right w:val="single" w:sz="8" w:space="0" w:color="auto"/>
            </w:tcBorders>
          </w:tcPr>
          <w:p w14:paraId="29713A3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lastRenderedPageBreak/>
              <w:t>4.8-</w:t>
            </w:r>
            <w:r w:rsidRPr="0098635C">
              <w:rPr>
                <w:rFonts w:ascii="Arial Narrow" w:hAnsi="Arial Narrow" w:cs="Arial Narrow"/>
                <w:color w:val="000000" w:themeColor="text1"/>
                <w:sz w:val="20"/>
                <w:szCs w:val="20"/>
              </w:rPr>
              <w:lastRenderedPageBreak/>
              <w:t xml:space="preserve">5.5                                                           </w:t>
            </w:r>
          </w:p>
        </w:tc>
        <w:tc>
          <w:tcPr>
            <w:tcW w:w="709" w:type="dxa"/>
            <w:tcBorders>
              <w:top w:val="nil"/>
              <w:left w:val="nil"/>
              <w:bottom w:val="nil"/>
              <w:right w:val="single" w:sz="8" w:space="0" w:color="auto"/>
            </w:tcBorders>
          </w:tcPr>
          <w:p w14:paraId="77D2E02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lastRenderedPageBreak/>
              <w:t>2.7</w:t>
            </w:r>
          </w:p>
        </w:tc>
        <w:tc>
          <w:tcPr>
            <w:tcW w:w="709" w:type="dxa"/>
            <w:tcBorders>
              <w:top w:val="nil"/>
              <w:left w:val="nil"/>
              <w:bottom w:val="nil"/>
              <w:right w:val="single" w:sz="8" w:space="0" w:color="auto"/>
            </w:tcBorders>
          </w:tcPr>
          <w:p w14:paraId="6FEE8E1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w:t>
            </w:r>
          </w:p>
        </w:tc>
        <w:tc>
          <w:tcPr>
            <w:tcW w:w="709" w:type="dxa"/>
            <w:tcBorders>
              <w:top w:val="nil"/>
              <w:left w:val="nil"/>
              <w:bottom w:val="nil"/>
              <w:right w:val="single" w:sz="8" w:space="0" w:color="auto"/>
            </w:tcBorders>
          </w:tcPr>
          <w:p w14:paraId="2DCDD250"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nil"/>
              <w:right w:val="single" w:sz="8" w:space="0" w:color="auto"/>
            </w:tcBorders>
          </w:tcPr>
          <w:p w14:paraId="4C0A0554"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7.9</w:t>
            </w:r>
          </w:p>
        </w:tc>
        <w:tc>
          <w:tcPr>
            <w:tcW w:w="992" w:type="dxa"/>
            <w:tcBorders>
              <w:top w:val="nil"/>
              <w:left w:val="nil"/>
              <w:bottom w:val="nil"/>
              <w:right w:val="single" w:sz="8" w:space="0" w:color="auto"/>
            </w:tcBorders>
          </w:tcPr>
          <w:p w14:paraId="377B3F2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w:t>
            </w:r>
          </w:p>
        </w:tc>
        <w:tc>
          <w:tcPr>
            <w:tcW w:w="709" w:type="dxa"/>
            <w:tcBorders>
              <w:top w:val="nil"/>
              <w:left w:val="nil"/>
              <w:bottom w:val="nil"/>
              <w:right w:val="single" w:sz="8" w:space="0" w:color="auto"/>
            </w:tcBorders>
          </w:tcPr>
          <w:p w14:paraId="0E33B57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42</w:t>
            </w:r>
          </w:p>
        </w:tc>
        <w:tc>
          <w:tcPr>
            <w:tcW w:w="992" w:type="dxa"/>
            <w:vMerge w:val="restart"/>
            <w:tcBorders>
              <w:top w:val="nil"/>
              <w:left w:val="single" w:sz="8" w:space="0" w:color="auto"/>
              <w:bottom w:val="single" w:sz="8" w:space="0" w:color="000000"/>
              <w:right w:val="single" w:sz="8" w:space="0" w:color="auto"/>
            </w:tcBorders>
          </w:tcPr>
          <w:p w14:paraId="70C60D7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nil"/>
              <w:right w:val="single" w:sz="8" w:space="0" w:color="000000"/>
            </w:tcBorders>
          </w:tcPr>
          <w:p w14:paraId="7900847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275" w:type="dxa"/>
            <w:vMerge w:val="restart"/>
            <w:tcBorders>
              <w:top w:val="single" w:sz="8" w:space="0" w:color="auto"/>
              <w:left w:val="single" w:sz="8" w:space="0" w:color="auto"/>
              <w:bottom w:val="single" w:sz="8" w:space="0" w:color="000000"/>
              <w:right w:val="single" w:sz="8" w:space="0" w:color="000000"/>
            </w:tcBorders>
          </w:tcPr>
          <w:p w14:paraId="23E7E15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&lt;175</w:t>
            </w:r>
          </w:p>
        </w:tc>
        <w:tc>
          <w:tcPr>
            <w:tcW w:w="851" w:type="dxa"/>
            <w:tcBorders>
              <w:top w:val="nil"/>
              <w:left w:val="nil"/>
              <w:bottom w:val="nil"/>
            </w:tcBorders>
          </w:tcPr>
          <w:p w14:paraId="11BD95E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134" w:type="dxa"/>
            <w:vMerge w:val="restart"/>
            <w:tcBorders>
              <w:top w:val="single" w:sz="8" w:space="0" w:color="auto"/>
              <w:bottom w:val="single" w:sz="8" w:space="0" w:color="000000"/>
              <w:right w:val="single" w:sz="4" w:space="0" w:color="auto"/>
            </w:tcBorders>
          </w:tcPr>
          <w:p w14:paraId="312CDF6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&lt;185.7</w:t>
            </w:r>
          </w:p>
        </w:tc>
        <w:tc>
          <w:tcPr>
            <w:tcW w:w="1984" w:type="dxa"/>
            <w:tcBorders>
              <w:top w:val="single" w:sz="8" w:space="0" w:color="auto"/>
              <w:left w:val="single" w:sz="4" w:space="0" w:color="auto"/>
              <w:right w:val="single" w:sz="4" w:space="0" w:color="auto"/>
            </w:tcBorders>
          </w:tcPr>
          <w:p w14:paraId="2183C23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Rhoads et al (1989)</w:t>
            </w:r>
          </w:p>
        </w:tc>
      </w:tr>
      <w:tr w:rsidR="00632208" w:rsidRPr="0098635C" w14:paraId="1E13621E" w14:textId="77777777" w:rsidTr="00A432B0">
        <w:trPr>
          <w:trHeight w:val="168"/>
        </w:trPr>
        <w:tc>
          <w:tcPr>
            <w:tcW w:w="1647" w:type="dxa"/>
            <w:vMerge/>
            <w:tcBorders>
              <w:top w:val="nil"/>
              <w:left w:val="single" w:sz="4" w:space="0" w:color="auto"/>
              <w:bottom w:val="single" w:sz="8" w:space="0" w:color="000000"/>
              <w:right w:val="single" w:sz="8" w:space="0" w:color="auto"/>
            </w:tcBorders>
            <w:vAlign w:val="center"/>
          </w:tcPr>
          <w:p w14:paraId="49653699" w14:textId="77777777" w:rsidR="00632208" w:rsidRPr="0098635C" w:rsidRDefault="00632208" w:rsidP="00A432B0">
            <w:pPr>
              <w:spacing w:after="0"/>
              <w:rPr>
                <w:rFonts w:ascii="Arial Narrow" w:hAnsi="Arial Narrow" w:cs="Arial Narrow"/>
                <w:i/>
                <w:iCs/>
                <w:color w:val="000000" w:themeColor="text1"/>
                <w:sz w:val="20"/>
                <w:szCs w:val="20"/>
              </w:rPr>
            </w:pPr>
          </w:p>
        </w:tc>
        <w:tc>
          <w:tcPr>
            <w:tcW w:w="1276" w:type="dxa"/>
            <w:vMerge/>
            <w:tcBorders>
              <w:top w:val="nil"/>
              <w:left w:val="single" w:sz="8" w:space="0" w:color="auto"/>
              <w:bottom w:val="single" w:sz="8" w:space="0" w:color="000000"/>
              <w:right w:val="single" w:sz="8" w:space="0" w:color="auto"/>
            </w:tcBorders>
            <w:vAlign w:val="center"/>
          </w:tcPr>
          <w:p w14:paraId="4AEC680B" w14:textId="77777777" w:rsidR="00632208" w:rsidRPr="0098635C" w:rsidRDefault="00632208" w:rsidP="00A432B0">
            <w:pPr>
              <w:spacing w:after="0"/>
              <w:rPr>
                <w:rFonts w:ascii="Arial Narrow" w:hAnsi="Arial Narrow" w:cs="Arial Narrow"/>
                <w:color w:val="000000" w:themeColor="text1"/>
                <w:sz w:val="20"/>
                <w:szCs w:val="20"/>
              </w:rPr>
            </w:pPr>
          </w:p>
        </w:tc>
        <w:tc>
          <w:tcPr>
            <w:tcW w:w="425" w:type="dxa"/>
            <w:tcBorders>
              <w:top w:val="nil"/>
              <w:left w:val="nil"/>
              <w:bottom w:val="nil"/>
              <w:right w:val="single" w:sz="8" w:space="0" w:color="auto"/>
            </w:tcBorders>
          </w:tcPr>
          <w:p w14:paraId="6A604D6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5.9-6.5</w:t>
            </w:r>
          </w:p>
        </w:tc>
        <w:tc>
          <w:tcPr>
            <w:tcW w:w="709" w:type="dxa"/>
            <w:tcBorders>
              <w:top w:val="nil"/>
              <w:left w:val="nil"/>
              <w:bottom w:val="nil"/>
              <w:right w:val="single" w:sz="8" w:space="0" w:color="auto"/>
            </w:tcBorders>
          </w:tcPr>
          <w:p w14:paraId="0B8564D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nil"/>
              <w:right w:val="single" w:sz="8" w:space="0" w:color="auto"/>
            </w:tcBorders>
          </w:tcPr>
          <w:p w14:paraId="177A8DC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nil"/>
              <w:right w:val="single" w:sz="8" w:space="0" w:color="auto"/>
            </w:tcBorders>
          </w:tcPr>
          <w:p w14:paraId="539F01C9"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 </w:t>
            </w:r>
          </w:p>
        </w:tc>
        <w:tc>
          <w:tcPr>
            <w:tcW w:w="850" w:type="dxa"/>
            <w:tcBorders>
              <w:top w:val="nil"/>
              <w:left w:val="nil"/>
              <w:bottom w:val="nil"/>
              <w:right w:val="single" w:sz="8" w:space="0" w:color="auto"/>
            </w:tcBorders>
          </w:tcPr>
          <w:p w14:paraId="16144FB8"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 </w:t>
            </w:r>
          </w:p>
        </w:tc>
        <w:tc>
          <w:tcPr>
            <w:tcW w:w="992" w:type="dxa"/>
            <w:tcBorders>
              <w:top w:val="nil"/>
              <w:left w:val="nil"/>
              <w:bottom w:val="nil"/>
              <w:right w:val="single" w:sz="8" w:space="0" w:color="auto"/>
            </w:tcBorders>
          </w:tcPr>
          <w:p w14:paraId="2442F53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nil"/>
              <w:right w:val="single" w:sz="8" w:space="0" w:color="auto"/>
            </w:tcBorders>
          </w:tcPr>
          <w:p w14:paraId="37C5779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vMerge/>
            <w:tcBorders>
              <w:top w:val="nil"/>
              <w:left w:val="single" w:sz="8" w:space="0" w:color="auto"/>
              <w:bottom w:val="single" w:sz="8" w:space="0" w:color="000000"/>
              <w:right w:val="single" w:sz="8" w:space="0" w:color="auto"/>
            </w:tcBorders>
            <w:vAlign w:val="center"/>
          </w:tcPr>
          <w:p w14:paraId="2D891846" w14:textId="77777777" w:rsidR="00632208" w:rsidRPr="0098635C" w:rsidRDefault="00632208" w:rsidP="00A432B0">
            <w:pPr>
              <w:spacing w:after="0"/>
              <w:rPr>
                <w:rFonts w:ascii="Arial Narrow" w:hAnsi="Arial Narrow" w:cs="Arial Narrow"/>
                <w:color w:val="000000" w:themeColor="text1"/>
                <w:sz w:val="20"/>
                <w:szCs w:val="20"/>
              </w:rPr>
            </w:pPr>
          </w:p>
        </w:tc>
        <w:tc>
          <w:tcPr>
            <w:tcW w:w="993" w:type="dxa"/>
            <w:tcBorders>
              <w:top w:val="nil"/>
              <w:left w:val="nil"/>
              <w:bottom w:val="nil"/>
              <w:right w:val="single" w:sz="8" w:space="0" w:color="000000"/>
            </w:tcBorders>
          </w:tcPr>
          <w:p w14:paraId="7F74EF0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275" w:type="dxa"/>
            <w:vMerge/>
            <w:tcBorders>
              <w:top w:val="single" w:sz="8" w:space="0" w:color="auto"/>
              <w:left w:val="single" w:sz="8" w:space="0" w:color="auto"/>
              <w:bottom w:val="single" w:sz="8" w:space="0" w:color="000000"/>
              <w:right w:val="single" w:sz="8" w:space="0" w:color="000000"/>
            </w:tcBorders>
            <w:vAlign w:val="center"/>
          </w:tcPr>
          <w:p w14:paraId="44039359"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tcBorders>
              <w:top w:val="nil"/>
              <w:left w:val="nil"/>
              <w:bottom w:val="nil"/>
              <w:right w:val="nil"/>
            </w:tcBorders>
          </w:tcPr>
          <w:p w14:paraId="58389E1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134" w:type="dxa"/>
            <w:vMerge/>
            <w:tcBorders>
              <w:top w:val="nil"/>
              <w:left w:val="nil"/>
              <w:bottom w:val="nil"/>
              <w:right w:val="single" w:sz="4" w:space="0" w:color="auto"/>
            </w:tcBorders>
            <w:vAlign w:val="center"/>
          </w:tcPr>
          <w:p w14:paraId="0F14B8C3"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tcBorders>
              <w:left w:val="single" w:sz="4" w:space="0" w:color="auto"/>
              <w:right w:val="single" w:sz="4" w:space="0" w:color="auto"/>
            </w:tcBorders>
          </w:tcPr>
          <w:p w14:paraId="2900C85D" w14:textId="77777777" w:rsidR="00632208" w:rsidRPr="0098635C" w:rsidRDefault="00632208" w:rsidP="00A432B0">
            <w:pPr>
              <w:spacing w:after="0"/>
              <w:rPr>
                <w:rFonts w:ascii="Arial Narrow" w:hAnsi="Arial Narrow" w:cs="Arial Narrow"/>
                <w:color w:val="000000" w:themeColor="text1"/>
                <w:sz w:val="20"/>
                <w:szCs w:val="20"/>
              </w:rPr>
            </w:pPr>
          </w:p>
        </w:tc>
      </w:tr>
      <w:tr w:rsidR="00632208" w:rsidRPr="0098635C" w14:paraId="2337D3C6" w14:textId="77777777" w:rsidTr="00A432B0">
        <w:trPr>
          <w:trHeight w:val="168"/>
        </w:trPr>
        <w:tc>
          <w:tcPr>
            <w:tcW w:w="1647" w:type="dxa"/>
            <w:vMerge/>
            <w:tcBorders>
              <w:top w:val="nil"/>
              <w:left w:val="single" w:sz="4" w:space="0" w:color="auto"/>
              <w:bottom w:val="single" w:sz="8" w:space="0" w:color="000000"/>
              <w:right w:val="single" w:sz="8" w:space="0" w:color="auto"/>
            </w:tcBorders>
            <w:vAlign w:val="center"/>
          </w:tcPr>
          <w:p w14:paraId="68A7D391" w14:textId="77777777" w:rsidR="00632208" w:rsidRPr="0098635C" w:rsidRDefault="00632208" w:rsidP="00A432B0">
            <w:pPr>
              <w:spacing w:after="0"/>
              <w:rPr>
                <w:rFonts w:ascii="Arial Narrow" w:hAnsi="Arial Narrow" w:cs="Arial Narrow"/>
                <w:i/>
                <w:iCs/>
                <w:color w:val="000000" w:themeColor="text1"/>
                <w:sz w:val="20"/>
                <w:szCs w:val="20"/>
              </w:rPr>
            </w:pPr>
          </w:p>
        </w:tc>
        <w:tc>
          <w:tcPr>
            <w:tcW w:w="1276" w:type="dxa"/>
            <w:vMerge/>
            <w:tcBorders>
              <w:top w:val="nil"/>
              <w:left w:val="single" w:sz="8" w:space="0" w:color="auto"/>
              <w:bottom w:val="single" w:sz="8" w:space="0" w:color="000000"/>
              <w:right w:val="single" w:sz="8" w:space="0" w:color="auto"/>
            </w:tcBorders>
            <w:vAlign w:val="center"/>
          </w:tcPr>
          <w:p w14:paraId="096C4423" w14:textId="77777777" w:rsidR="00632208" w:rsidRPr="0098635C" w:rsidRDefault="00632208" w:rsidP="00A432B0">
            <w:pPr>
              <w:spacing w:after="0"/>
              <w:rPr>
                <w:rFonts w:ascii="Arial Narrow" w:hAnsi="Arial Narrow" w:cs="Arial Narrow"/>
                <w:color w:val="000000" w:themeColor="text1"/>
                <w:sz w:val="20"/>
                <w:szCs w:val="20"/>
              </w:rPr>
            </w:pPr>
          </w:p>
        </w:tc>
        <w:tc>
          <w:tcPr>
            <w:tcW w:w="425" w:type="dxa"/>
            <w:tcBorders>
              <w:top w:val="nil"/>
              <w:left w:val="nil"/>
              <w:bottom w:val="nil"/>
              <w:right w:val="single" w:sz="8" w:space="0" w:color="auto"/>
            </w:tcBorders>
          </w:tcPr>
          <w:p w14:paraId="197E99C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6.5-6.6</w:t>
            </w:r>
          </w:p>
        </w:tc>
        <w:tc>
          <w:tcPr>
            <w:tcW w:w="709" w:type="dxa"/>
            <w:tcBorders>
              <w:top w:val="nil"/>
              <w:left w:val="nil"/>
              <w:bottom w:val="nil"/>
              <w:right w:val="single" w:sz="8" w:space="0" w:color="auto"/>
            </w:tcBorders>
          </w:tcPr>
          <w:p w14:paraId="28DD4CF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2.7</w:t>
            </w:r>
          </w:p>
        </w:tc>
        <w:tc>
          <w:tcPr>
            <w:tcW w:w="709" w:type="dxa"/>
            <w:tcBorders>
              <w:top w:val="nil"/>
              <w:left w:val="nil"/>
              <w:bottom w:val="nil"/>
              <w:right w:val="single" w:sz="8" w:space="0" w:color="auto"/>
            </w:tcBorders>
          </w:tcPr>
          <w:p w14:paraId="4CDD8C7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w:t>
            </w:r>
          </w:p>
        </w:tc>
        <w:tc>
          <w:tcPr>
            <w:tcW w:w="709" w:type="dxa"/>
            <w:tcBorders>
              <w:top w:val="nil"/>
              <w:left w:val="nil"/>
              <w:bottom w:val="nil"/>
              <w:right w:val="single" w:sz="8" w:space="0" w:color="auto"/>
            </w:tcBorders>
          </w:tcPr>
          <w:p w14:paraId="6A63C0E5"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nil"/>
              <w:right w:val="single" w:sz="8" w:space="0" w:color="auto"/>
            </w:tcBorders>
          </w:tcPr>
          <w:p w14:paraId="0FEC0C74"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9.2</w:t>
            </w:r>
          </w:p>
        </w:tc>
        <w:tc>
          <w:tcPr>
            <w:tcW w:w="992" w:type="dxa"/>
            <w:tcBorders>
              <w:top w:val="nil"/>
              <w:left w:val="nil"/>
              <w:bottom w:val="nil"/>
              <w:right w:val="single" w:sz="8" w:space="0" w:color="auto"/>
            </w:tcBorders>
          </w:tcPr>
          <w:p w14:paraId="6DA669E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w:t>
            </w:r>
          </w:p>
        </w:tc>
        <w:tc>
          <w:tcPr>
            <w:tcW w:w="709" w:type="dxa"/>
            <w:tcBorders>
              <w:top w:val="nil"/>
              <w:left w:val="nil"/>
              <w:bottom w:val="nil"/>
              <w:right w:val="single" w:sz="8" w:space="0" w:color="auto"/>
            </w:tcBorders>
          </w:tcPr>
          <w:p w14:paraId="2439796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42</w:t>
            </w:r>
          </w:p>
        </w:tc>
        <w:tc>
          <w:tcPr>
            <w:tcW w:w="992" w:type="dxa"/>
            <w:vMerge/>
            <w:tcBorders>
              <w:top w:val="nil"/>
              <w:left w:val="single" w:sz="8" w:space="0" w:color="auto"/>
              <w:bottom w:val="single" w:sz="8" w:space="0" w:color="000000"/>
              <w:right w:val="single" w:sz="8" w:space="0" w:color="auto"/>
            </w:tcBorders>
            <w:vAlign w:val="center"/>
          </w:tcPr>
          <w:p w14:paraId="4BF2CD44" w14:textId="77777777" w:rsidR="00632208" w:rsidRPr="0098635C" w:rsidRDefault="00632208" w:rsidP="00A432B0">
            <w:pPr>
              <w:spacing w:after="0"/>
              <w:rPr>
                <w:rFonts w:ascii="Arial Narrow" w:hAnsi="Arial Narrow" w:cs="Arial Narrow"/>
                <w:color w:val="000000" w:themeColor="text1"/>
                <w:sz w:val="20"/>
                <w:szCs w:val="20"/>
              </w:rPr>
            </w:pPr>
          </w:p>
        </w:tc>
        <w:tc>
          <w:tcPr>
            <w:tcW w:w="993" w:type="dxa"/>
            <w:tcBorders>
              <w:top w:val="nil"/>
              <w:left w:val="nil"/>
              <w:bottom w:val="nil"/>
              <w:right w:val="single" w:sz="8" w:space="0" w:color="000000"/>
            </w:tcBorders>
          </w:tcPr>
          <w:p w14:paraId="3CB97EAC"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175</w:t>
            </w:r>
          </w:p>
        </w:tc>
        <w:tc>
          <w:tcPr>
            <w:tcW w:w="1275" w:type="dxa"/>
            <w:vMerge/>
            <w:tcBorders>
              <w:top w:val="single" w:sz="8" w:space="0" w:color="auto"/>
              <w:left w:val="single" w:sz="8" w:space="0" w:color="auto"/>
              <w:bottom w:val="single" w:sz="8" w:space="0" w:color="000000"/>
              <w:right w:val="single" w:sz="8" w:space="0" w:color="000000"/>
            </w:tcBorders>
            <w:vAlign w:val="center"/>
          </w:tcPr>
          <w:p w14:paraId="333D6593"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tcBorders>
              <w:top w:val="nil"/>
              <w:left w:val="nil"/>
              <w:bottom w:val="nil"/>
              <w:right w:val="nil"/>
            </w:tcBorders>
          </w:tcPr>
          <w:p w14:paraId="556E911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185.7</w:t>
            </w:r>
          </w:p>
        </w:tc>
        <w:tc>
          <w:tcPr>
            <w:tcW w:w="1134" w:type="dxa"/>
            <w:vMerge/>
            <w:tcBorders>
              <w:top w:val="nil"/>
              <w:left w:val="nil"/>
              <w:bottom w:val="nil"/>
              <w:right w:val="single" w:sz="4" w:space="0" w:color="auto"/>
            </w:tcBorders>
            <w:vAlign w:val="center"/>
          </w:tcPr>
          <w:p w14:paraId="0DC20823"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tcBorders>
              <w:left w:val="single" w:sz="4" w:space="0" w:color="auto"/>
              <w:right w:val="single" w:sz="4" w:space="0" w:color="auto"/>
            </w:tcBorders>
          </w:tcPr>
          <w:p w14:paraId="67BEF131" w14:textId="77777777" w:rsidR="00632208" w:rsidRPr="0098635C" w:rsidRDefault="00632208" w:rsidP="00A432B0">
            <w:pPr>
              <w:spacing w:after="0"/>
              <w:rPr>
                <w:rFonts w:ascii="Arial Narrow" w:hAnsi="Arial Narrow" w:cs="Arial Narrow"/>
                <w:color w:val="000000" w:themeColor="text1"/>
                <w:sz w:val="20"/>
                <w:szCs w:val="20"/>
              </w:rPr>
            </w:pPr>
          </w:p>
        </w:tc>
      </w:tr>
      <w:tr w:rsidR="00632208" w:rsidRPr="0098635C" w14:paraId="18ABC8B3" w14:textId="77777777" w:rsidTr="00A432B0">
        <w:trPr>
          <w:trHeight w:val="168"/>
        </w:trPr>
        <w:tc>
          <w:tcPr>
            <w:tcW w:w="1647" w:type="dxa"/>
            <w:vMerge/>
            <w:tcBorders>
              <w:top w:val="nil"/>
              <w:left w:val="single" w:sz="4" w:space="0" w:color="auto"/>
              <w:bottom w:val="single" w:sz="8" w:space="0" w:color="000000"/>
              <w:right w:val="single" w:sz="8" w:space="0" w:color="auto"/>
            </w:tcBorders>
            <w:vAlign w:val="center"/>
          </w:tcPr>
          <w:p w14:paraId="2FC406C8" w14:textId="77777777" w:rsidR="00632208" w:rsidRPr="0098635C" w:rsidRDefault="00632208" w:rsidP="00A432B0">
            <w:pPr>
              <w:spacing w:after="0"/>
              <w:rPr>
                <w:rFonts w:ascii="Arial Narrow" w:hAnsi="Arial Narrow" w:cs="Arial Narrow"/>
                <w:i/>
                <w:iCs/>
                <w:color w:val="000000" w:themeColor="text1"/>
                <w:sz w:val="20"/>
                <w:szCs w:val="20"/>
              </w:rPr>
            </w:pPr>
          </w:p>
        </w:tc>
        <w:tc>
          <w:tcPr>
            <w:tcW w:w="1276" w:type="dxa"/>
            <w:vMerge/>
            <w:tcBorders>
              <w:top w:val="nil"/>
              <w:left w:val="single" w:sz="8" w:space="0" w:color="auto"/>
              <w:bottom w:val="single" w:sz="8" w:space="0" w:color="000000"/>
              <w:right w:val="single" w:sz="8" w:space="0" w:color="auto"/>
            </w:tcBorders>
            <w:vAlign w:val="center"/>
          </w:tcPr>
          <w:p w14:paraId="0E44F4CF" w14:textId="77777777" w:rsidR="00632208" w:rsidRPr="0098635C" w:rsidRDefault="00632208" w:rsidP="00A432B0">
            <w:pPr>
              <w:spacing w:after="0"/>
              <w:rPr>
                <w:rFonts w:ascii="Arial Narrow" w:hAnsi="Arial Narrow" w:cs="Arial Narrow"/>
                <w:color w:val="000000" w:themeColor="text1"/>
                <w:sz w:val="20"/>
                <w:szCs w:val="20"/>
              </w:rPr>
            </w:pPr>
          </w:p>
        </w:tc>
        <w:tc>
          <w:tcPr>
            <w:tcW w:w="425" w:type="dxa"/>
            <w:tcBorders>
              <w:top w:val="nil"/>
              <w:left w:val="nil"/>
              <w:bottom w:val="nil"/>
              <w:right w:val="single" w:sz="8" w:space="0" w:color="auto"/>
            </w:tcBorders>
          </w:tcPr>
          <w:p w14:paraId="06706DF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7.1-7.4</w:t>
            </w:r>
          </w:p>
        </w:tc>
        <w:tc>
          <w:tcPr>
            <w:tcW w:w="709" w:type="dxa"/>
            <w:tcBorders>
              <w:top w:val="nil"/>
              <w:left w:val="nil"/>
              <w:bottom w:val="nil"/>
              <w:right w:val="single" w:sz="8" w:space="0" w:color="auto"/>
            </w:tcBorders>
          </w:tcPr>
          <w:p w14:paraId="22382CA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nil"/>
              <w:right w:val="single" w:sz="8" w:space="0" w:color="auto"/>
            </w:tcBorders>
          </w:tcPr>
          <w:p w14:paraId="6015967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nil"/>
              <w:right w:val="single" w:sz="8" w:space="0" w:color="auto"/>
            </w:tcBorders>
          </w:tcPr>
          <w:p w14:paraId="373991D2"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 </w:t>
            </w:r>
          </w:p>
        </w:tc>
        <w:tc>
          <w:tcPr>
            <w:tcW w:w="850" w:type="dxa"/>
            <w:tcBorders>
              <w:top w:val="nil"/>
              <w:left w:val="nil"/>
              <w:bottom w:val="nil"/>
              <w:right w:val="single" w:sz="8" w:space="0" w:color="auto"/>
            </w:tcBorders>
          </w:tcPr>
          <w:p w14:paraId="369BE92D"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 </w:t>
            </w:r>
          </w:p>
        </w:tc>
        <w:tc>
          <w:tcPr>
            <w:tcW w:w="992" w:type="dxa"/>
            <w:tcBorders>
              <w:top w:val="nil"/>
              <w:left w:val="nil"/>
              <w:bottom w:val="nil"/>
              <w:right w:val="single" w:sz="8" w:space="0" w:color="auto"/>
            </w:tcBorders>
          </w:tcPr>
          <w:p w14:paraId="164D2C8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nil"/>
              <w:right w:val="single" w:sz="8" w:space="0" w:color="auto"/>
            </w:tcBorders>
          </w:tcPr>
          <w:p w14:paraId="29B308D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vMerge/>
            <w:tcBorders>
              <w:top w:val="nil"/>
              <w:left w:val="single" w:sz="8" w:space="0" w:color="auto"/>
              <w:bottom w:val="single" w:sz="8" w:space="0" w:color="000000"/>
              <w:right w:val="single" w:sz="8" w:space="0" w:color="auto"/>
            </w:tcBorders>
            <w:vAlign w:val="center"/>
          </w:tcPr>
          <w:p w14:paraId="546633D5" w14:textId="77777777" w:rsidR="00632208" w:rsidRPr="0098635C" w:rsidRDefault="00632208" w:rsidP="00A432B0">
            <w:pPr>
              <w:spacing w:after="0"/>
              <w:rPr>
                <w:rFonts w:ascii="Arial Narrow" w:hAnsi="Arial Narrow" w:cs="Arial Narrow"/>
                <w:color w:val="000000" w:themeColor="text1"/>
                <w:sz w:val="20"/>
                <w:szCs w:val="20"/>
              </w:rPr>
            </w:pPr>
          </w:p>
        </w:tc>
        <w:tc>
          <w:tcPr>
            <w:tcW w:w="993" w:type="dxa"/>
            <w:tcBorders>
              <w:top w:val="nil"/>
              <w:left w:val="nil"/>
              <w:bottom w:val="nil"/>
              <w:right w:val="single" w:sz="8" w:space="0" w:color="000000"/>
            </w:tcBorders>
          </w:tcPr>
          <w:p w14:paraId="6FDF608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275" w:type="dxa"/>
            <w:vMerge/>
            <w:tcBorders>
              <w:top w:val="single" w:sz="8" w:space="0" w:color="auto"/>
              <w:left w:val="single" w:sz="8" w:space="0" w:color="auto"/>
              <w:bottom w:val="single" w:sz="8" w:space="0" w:color="000000"/>
              <w:right w:val="single" w:sz="8" w:space="0" w:color="000000"/>
            </w:tcBorders>
            <w:vAlign w:val="center"/>
          </w:tcPr>
          <w:p w14:paraId="6786CEF7"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tcBorders>
              <w:top w:val="nil"/>
              <w:left w:val="nil"/>
              <w:bottom w:val="nil"/>
              <w:right w:val="nil"/>
            </w:tcBorders>
          </w:tcPr>
          <w:p w14:paraId="39BED54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134" w:type="dxa"/>
            <w:vMerge/>
            <w:tcBorders>
              <w:top w:val="nil"/>
              <w:left w:val="nil"/>
              <w:bottom w:val="nil"/>
              <w:right w:val="single" w:sz="4" w:space="0" w:color="auto"/>
            </w:tcBorders>
            <w:vAlign w:val="center"/>
          </w:tcPr>
          <w:p w14:paraId="69093F83"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tcBorders>
              <w:left w:val="single" w:sz="4" w:space="0" w:color="auto"/>
              <w:right w:val="single" w:sz="4" w:space="0" w:color="auto"/>
            </w:tcBorders>
          </w:tcPr>
          <w:p w14:paraId="22D6774F" w14:textId="77777777" w:rsidR="00632208" w:rsidRPr="0098635C" w:rsidRDefault="00632208" w:rsidP="00A432B0">
            <w:pPr>
              <w:spacing w:after="0"/>
              <w:rPr>
                <w:rFonts w:ascii="Arial Narrow" w:hAnsi="Arial Narrow" w:cs="Arial Narrow"/>
                <w:color w:val="000000" w:themeColor="text1"/>
                <w:sz w:val="20"/>
                <w:szCs w:val="20"/>
              </w:rPr>
            </w:pPr>
          </w:p>
        </w:tc>
      </w:tr>
      <w:tr w:rsidR="00632208" w:rsidRPr="0098635C" w14:paraId="3E147270" w14:textId="77777777" w:rsidTr="00A432B0">
        <w:trPr>
          <w:trHeight w:val="64"/>
        </w:trPr>
        <w:tc>
          <w:tcPr>
            <w:tcW w:w="1647" w:type="dxa"/>
            <w:vMerge/>
            <w:tcBorders>
              <w:top w:val="nil"/>
              <w:left w:val="single" w:sz="4" w:space="0" w:color="auto"/>
              <w:bottom w:val="single" w:sz="8" w:space="0" w:color="000000"/>
              <w:right w:val="single" w:sz="8" w:space="0" w:color="auto"/>
            </w:tcBorders>
            <w:vAlign w:val="center"/>
          </w:tcPr>
          <w:p w14:paraId="113F3AF2" w14:textId="77777777" w:rsidR="00632208" w:rsidRPr="0098635C" w:rsidRDefault="00632208" w:rsidP="00A432B0">
            <w:pPr>
              <w:spacing w:after="0"/>
              <w:rPr>
                <w:rFonts w:ascii="Arial Narrow" w:hAnsi="Arial Narrow" w:cs="Arial Narrow"/>
                <w:i/>
                <w:iCs/>
                <w:color w:val="000000" w:themeColor="text1"/>
                <w:sz w:val="20"/>
                <w:szCs w:val="20"/>
              </w:rPr>
            </w:pPr>
          </w:p>
        </w:tc>
        <w:tc>
          <w:tcPr>
            <w:tcW w:w="1276" w:type="dxa"/>
            <w:vMerge/>
            <w:tcBorders>
              <w:top w:val="nil"/>
              <w:left w:val="single" w:sz="8" w:space="0" w:color="auto"/>
              <w:bottom w:val="single" w:sz="8" w:space="0" w:color="000000"/>
              <w:right w:val="single" w:sz="8" w:space="0" w:color="auto"/>
            </w:tcBorders>
            <w:vAlign w:val="center"/>
          </w:tcPr>
          <w:p w14:paraId="41C50711" w14:textId="77777777" w:rsidR="00632208" w:rsidRPr="0098635C" w:rsidRDefault="00632208" w:rsidP="00A432B0">
            <w:pPr>
              <w:spacing w:after="0"/>
              <w:rPr>
                <w:rFonts w:ascii="Arial Narrow" w:hAnsi="Arial Narrow" w:cs="Arial Narrow"/>
                <w:color w:val="000000" w:themeColor="text1"/>
                <w:sz w:val="20"/>
                <w:szCs w:val="20"/>
              </w:rPr>
            </w:pPr>
          </w:p>
        </w:tc>
        <w:tc>
          <w:tcPr>
            <w:tcW w:w="425" w:type="dxa"/>
            <w:tcBorders>
              <w:top w:val="nil"/>
              <w:left w:val="nil"/>
              <w:bottom w:val="nil"/>
              <w:right w:val="single" w:sz="8" w:space="0" w:color="auto"/>
            </w:tcBorders>
          </w:tcPr>
          <w:p w14:paraId="3EACF702" w14:textId="77777777" w:rsidR="00632208" w:rsidRPr="0098635C" w:rsidRDefault="00632208" w:rsidP="00A432B0">
            <w:pPr>
              <w:spacing w:after="0"/>
              <w:rPr>
                <w:rFonts w:ascii="Arial" w:hAnsi="Arial" w:cs="Arial"/>
                <w:color w:val="000000" w:themeColor="text1"/>
                <w:sz w:val="20"/>
                <w:szCs w:val="20"/>
              </w:rPr>
            </w:pPr>
            <w:r w:rsidRPr="0098635C">
              <w:rPr>
                <w:rFonts w:ascii="Arial" w:hAnsi="Arial" w:cs="Arial"/>
                <w:color w:val="000000" w:themeColor="text1"/>
                <w:sz w:val="20"/>
                <w:szCs w:val="20"/>
              </w:rPr>
              <w:t> </w:t>
            </w:r>
          </w:p>
        </w:tc>
        <w:tc>
          <w:tcPr>
            <w:tcW w:w="709" w:type="dxa"/>
            <w:tcBorders>
              <w:top w:val="nil"/>
              <w:left w:val="nil"/>
              <w:bottom w:val="nil"/>
              <w:right w:val="single" w:sz="8" w:space="0" w:color="auto"/>
            </w:tcBorders>
          </w:tcPr>
          <w:p w14:paraId="0C8CEDC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2.7</w:t>
            </w:r>
          </w:p>
        </w:tc>
        <w:tc>
          <w:tcPr>
            <w:tcW w:w="709" w:type="dxa"/>
            <w:tcBorders>
              <w:top w:val="nil"/>
              <w:left w:val="nil"/>
              <w:bottom w:val="nil"/>
              <w:right w:val="single" w:sz="8" w:space="0" w:color="auto"/>
            </w:tcBorders>
          </w:tcPr>
          <w:p w14:paraId="158AD44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w:t>
            </w:r>
          </w:p>
        </w:tc>
        <w:tc>
          <w:tcPr>
            <w:tcW w:w="709" w:type="dxa"/>
            <w:tcBorders>
              <w:top w:val="nil"/>
              <w:left w:val="nil"/>
              <w:bottom w:val="nil"/>
              <w:right w:val="single" w:sz="8" w:space="0" w:color="auto"/>
            </w:tcBorders>
          </w:tcPr>
          <w:p w14:paraId="09FE20E7"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nil"/>
              <w:right w:val="single" w:sz="8" w:space="0" w:color="auto"/>
            </w:tcBorders>
          </w:tcPr>
          <w:p w14:paraId="7540FC7B"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9.6</w:t>
            </w:r>
          </w:p>
        </w:tc>
        <w:tc>
          <w:tcPr>
            <w:tcW w:w="992" w:type="dxa"/>
            <w:tcBorders>
              <w:top w:val="nil"/>
              <w:left w:val="nil"/>
              <w:bottom w:val="nil"/>
              <w:right w:val="single" w:sz="8" w:space="0" w:color="auto"/>
            </w:tcBorders>
          </w:tcPr>
          <w:p w14:paraId="5922EE3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w:t>
            </w:r>
          </w:p>
        </w:tc>
        <w:tc>
          <w:tcPr>
            <w:tcW w:w="709" w:type="dxa"/>
            <w:tcBorders>
              <w:top w:val="nil"/>
              <w:left w:val="nil"/>
              <w:bottom w:val="nil"/>
              <w:right w:val="single" w:sz="8" w:space="0" w:color="auto"/>
            </w:tcBorders>
          </w:tcPr>
          <w:p w14:paraId="2C19DE2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42</w:t>
            </w:r>
          </w:p>
        </w:tc>
        <w:tc>
          <w:tcPr>
            <w:tcW w:w="992" w:type="dxa"/>
            <w:vMerge/>
            <w:tcBorders>
              <w:top w:val="nil"/>
              <w:left w:val="single" w:sz="8" w:space="0" w:color="auto"/>
              <w:bottom w:val="single" w:sz="8" w:space="0" w:color="000000"/>
              <w:right w:val="single" w:sz="8" w:space="0" w:color="auto"/>
            </w:tcBorders>
            <w:vAlign w:val="center"/>
          </w:tcPr>
          <w:p w14:paraId="776BF852" w14:textId="77777777" w:rsidR="00632208" w:rsidRPr="0098635C" w:rsidRDefault="00632208" w:rsidP="00A432B0">
            <w:pPr>
              <w:spacing w:after="0"/>
              <w:rPr>
                <w:rFonts w:ascii="Arial Narrow" w:hAnsi="Arial Narrow" w:cs="Arial Narrow"/>
                <w:color w:val="000000" w:themeColor="text1"/>
                <w:sz w:val="20"/>
                <w:szCs w:val="20"/>
              </w:rPr>
            </w:pPr>
          </w:p>
        </w:tc>
        <w:tc>
          <w:tcPr>
            <w:tcW w:w="993" w:type="dxa"/>
            <w:tcBorders>
              <w:top w:val="nil"/>
              <w:left w:val="nil"/>
              <w:bottom w:val="nil"/>
              <w:right w:val="single" w:sz="8" w:space="0" w:color="000000"/>
            </w:tcBorders>
          </w:tcPr>
          <w:p w14:paraId="04225B8D"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350</w:t>
            </w:r>
          </w:p>
        </w:tc>
        <w:tc>
          <w:tcPr>
            <w:tcW w:w="1275" w:type="dxa"/>
            <w:vMerge/>
            <w:tcBorders>
              <w:top w:val="single" w:sz="8" w:space="0" w:color="auto"/>
              <w:left w:val="single" w:sz="8" w:space="0" w:color="auto"/>
              <w:bottom w:val="single" w:sz="8" w:space="0" w:color="000000"/>
              <w:right w:val="single" w:sz="8" w:space="0" w:color="000000"/>
            </w:tcBorders>
            <w:vAlign w:val="center"/>
          </w:tcPr>
          <w:p w14:paraId="351EEA25"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tcBorders>
              <w:top w:val="nil"/>
              <w:left w:val="nil"/>
              <w:bottom w:val="nil"/>
              <w:right w:val="nil"/>
            </w:tcBorders>
          </w:tcPr>
          <w:p w14:paraId="7E09509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360.7</w:t>
            </w:r>
          </w:p>
        </w:tc>
        <w:tc>
          <w:tcPr>
            <w:tcW w:w="1134" w:type="dxa"/>
            <w:vMerge/>
            <w:tcBorders>
              <w:top w:val="nil"/>
              <w:left w:val="nil"/>
              <w:bottom w:val="nil"/>
              <w:right w:val="single" w:sz="4" w:space="0" w:color="auto"/>
            </w:tcBorders>
            <w:vAlign w:val="center"/>
          </w:tcPr>
          <w:p w14:paraId="46650E04"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tcBorders>
              <w:left w:val="single" w:sz="4" w:space="0" w:color="auto"/>
              <w:right w:val="single" w:sz="4" w:space="0" w:color="auto"/>
            </w:tcBorders>
          </w:tcPr>
          <w:p w14:paraId="2DD7779C" w14:textId="77777777" w:rsidR="00632208" w:rsidRPr="0098635C" w:rsidRDefault="00632208" w:rsidP="00A432B0">
            <w:pPr>
              <w:spacing w:after="0"/>
              <w:rPr>
                <w:rFonts w:ascii="Arial Narrow" w:hAnsi="Arial Narrow" w:cs="Arial Narrow"/>
                <w:color w:val="000000" w:themeColor="text1"/>
                <w:sz w:val="20"/>
                <w:szCs w:val="20"/>
              </w:rPr>
            </w:pPr>
          </w:p>
        </w:tc>
      </w:tr>
      <w:tr w:rsidR="00632208" w:rsidRPr="0098635C" w14:paraId="280A9DD8" w14:textId="77777777" w:rsidTr="00A432B0">
        <w:trPr>
          <w:trHeight w:val="64"/>
        </w:trPr>
        <w:tc>
          <w:tcPr>
            <w:tcW w:w="1647" w:type="dxa"/>
            <w:vMerge/>
            <w:tcBorders>
              <w:top w:val="nil"/>
              <w:left w:val="single" w:sz="4" w:space="0" w:color="auto"/>
              <w:bottom w:val="single" w:sz="8" w:space="0" w:color="000000"/>
              <w:right w:val="single" w:sz="8" w:space="0" w:color="auto"/>
            </w:tcBorders>
            <w:vAlign w:val="center"/>
          </w:tcPr>
          <w:p w14:paraId="31771991" w14:textId="77777777" w:rsidR="00632208" w:rsidRPr="0098635C" w:rsidRDefault="00632208" w:rsidP="00A432B0">
            <w:pPr>
              <w:spacing w:after="0"/>
              <w:rPr>
                <w:rFonts w:ascii="Arial Narrow" w:hAnsi="Arial Narrow" w:cs="Arial Narrow"/>
                <w:i/>
                <w:iCs/>
                <w:color w:val="000000" w:themeColor="text1"/>
                <w:sz w:val="20"/>
                <w:szCs w:val="20"/>
              </w:rPr>
            </w:pPr>
          </w:p>
        </w:tc>
        <w:tc>
          <w:tcPr>
            <w:tcW w:w="1276" w:type="dxa"/>
            <w:vMerge/>
            <w:tcBorders>
              <w:top w:val="nil"/>
              <w:left w:val="single" w:sz="8" w:space="0" w:color="auto"/>
              <w:bottom w:val="single" w:sz="8" w:space="0" w:color="000000"/>
              <w:right w:val="single" w:sz="8" w:space="0" w:color="auto"/>
            </w:tcBorders>
            <w:vAlign w:val="center"/>
          </w:tcPr>
          <w:p w14:paraId="411C9236" w14:textId="77777777" w:rsidR="00632208" w:rsidRPr="0098635C" w:rsidRDefault="00632208" w:rsidP="00A432B0">
            <w:pPr>
              <w:spacing w:after="0"/>
              <w:rPr>
                <w:rFonts w:ascii="Arial Narrow" w:hAnsi="Arial Narrow" w:cs="Arial Narrow"/>
                <w:color w:val="000000" w:themeColor="text1"/>
                <w:sz w:val="20"/>
                <w:szCs w:val="20"/>
              </w:rPr>
            </w:pPr>
          </w:p>
        </w:tc>
        <w:tc>
          <w:tcPr>
            <w:tcW w:w="425" w:type="dxa"/>
            <w:tcBorders>
              <w:top w:val="nil"/>
              <w:left w:val="nil"/>
              <w:bottom w:val="single" w:sz="8" w:space="0" w:color="auto"/>
              <w:right w:val="single" w:sz="8" w:space="0" w:color="auto"/>
            </w:tcBorders>
          </w:tcPr>
          <w:p w14:paraId="002206D9" w14:textId="77777777" w:rsidR="00632208" w:rsidRPr="0098635C" w:rsidRDefault="00632208" w:rsidP="00A432B0">
            <w:pPr>
              <w:spacing w:after="0"/>
              <w:rPr>
                <w:rFonts w:ascii="Arial" w:hAnsi="Arial" w:cs="Arial"/>
                <w:color w:val="000000" w:themeColor="text1"/>
                <w:sz w:val="20"/>
                <w:szCs w:val="20"/>
              </w:rPr>
            </w:pPr>
            <w:r w:rsidRPr="0098635C">
              <w:rPr>
                <w:rFonts w:ascii="Arial" w:hAnsi="Arial" w:cs="Arial"/>
                <w:color w:val="000000" w:themeColor="text1"/>
                <w:sz w:val="20"/>
                <w:szCs w:val="20"/>
              </w:rPr>
              <w:t> </w:t>
            </w:r>
          </w:p>
        </w:tc>
        <w:tc>
          <w:tcPr>
            <w:tcW w:w="709" w:type="dxa"/>
            <w:tcBorders>
              <w:top w:val="nil"/>
              <w:left w:val="nil"/>
              <w:bottom w:val="single" w:sz="8" w:space="0" w:color="auto"/>
              <w:right w:val="single" w:sz="8" w:space="0" w:color="auto"/>
            </w:tcBorders>
          </w:tcPr>
          <w:p w14:paraId="346D758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2.7</w:t>
            </w:r>
          </w:p>
        </w:tc>
        <w:tc>
          <w:tcPr>
            <w:tcW w:w="709" w:type="dxa"/>
            <w:tcBorders>
              <w:top w:val="nil"/>
              <w:left w:val="nil"/>
              <w:bottom w:val="single" w:sz="8" w:space="0" w:color="auto"/>
              <w:right w:val="single" w:sz="8" w:space="0" w:color="auto"/>
            </w:tcBorders>
          </w:tcPr>
          <w:p w14:paraId="66423C1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w:t>
            </w:r>
          </w:p>
        </w:tc>
        <w:tc>
          <w:tcPr>
            <w:tcW w:w="709" w:type="dxa"/>
            <w:tcBorders>
              <w:top w:val="nil"/>
              <w:left w:val="nil"/>
              <w:bottom w:val="single" w:sz="8" w:space="0" w:color="auto"/>
              <w:right w:val="single" w:sz="8" w:space="0" w:color="auto"/>
            </w:tcBorders>
          </w:tcPr>
          <w:p w14:paraId="16093A18"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8" w:space="0" w:color="auto"/>
              <w:right w:val="single" w:sz="8" w:space="0" w:color="auto"/>
            </w:tcBorders>
          </w:tcPr>
          <w:p w14:paraId="7B067379"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10.5</w:t>
            </w:r>
          </w:p>
        </w:tc>
        <w:tc>
          <w:tcPr>
            <w:tcW w:w="992" w:type="dxa"/>
            <w:tcBorders>
              <w:top w:val="nil"/>
              <w:left w:val="nil"/>
              <w:bottom w:val="single" w:sz="8" w:space="0" w:color="auto"/>
              <w:right w:val="single" w:sz="8" w:space="0" w:color="auto"/>
            </w:tcBorders>
          </w:tcPr>
          <w:p w14:paraId="4188D11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w:t>
            </w:r>
          </w:p>
        </w:tc>
        <w:tc>
          <w:tcPr>
            <w:tcW w:w="709" w:type="dxa"/>
            <w:tcBorders>
              <w:top w:val="nil"/>
              <w:left w:val="nil"/>
              <w:bottom w:val="single" w:sz="8" w:space="0" w:color="auto"/>
              <w:right w:val="single" w:sz="8" w:space="0" w:color="auto"/>
            </w:tcBorders>
          </w:tcPr>
          <w:p w14:paraId="38CAE53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42</w:t>
            </w:r>
          </w:p>
        </w:tc>
        <w:tc>
          <w:tcPr>
            <w:tcW w:w="992" w:type="dxa"/>
            <w:vMerge/>
            <w:tcBorders>
              <w:top w:val="nil"/>
              <w:left w:val="single" w:sz="8" w:space="0" w:color="auto"/>
              <w:bottom w:val="single" w:sz="8" w:space="0" w:color="000000"/>
              <w:right w:val="single" w:sz="8" w:space="0" w:color="auto"/>
            </w:tcBorders>
            <w:vAlign w:val="center"/>
          </w:tcPr>
          <w:p w14:paraId="5AC8DBE7" w14:textId="77777777" w:rsidR="00632208" w:rsidRPr="0098635C" w:rsidRDefault="00632208" w:rsidP="00A432B0">
            <w:pPr>
              <w:spacing w:after="0"/>
              <w:rPr>
                <w:rFonts w:ascii="Arial Narrow" w:hAnsi="Arial Narrow" w:cs="Arial Narrow"/>
                <w:color w:val="000000" w:themeColor="text1"/>
                <w:sz w:val="20"/>
                <w:szCs w:val="20"/>
              </w:rPr>
            </w:pPr>
          </w:p>
        </w:tc>
        <w:tc>
          <w:tcPr>
            <w:tcW w:w="993" w:type="dxa"/>
            <w:tcBorders>
              <w:top w:val="nil"/>
              <w:left w:val="nil"/>
              <w:bottom w:val="single" w:sz="8" w:space="0" w:color="auto"/>
              <w:right w:val="single" w:sz="8" w:space="0" w:color="000000"/>
            </w:tcBorders>
          </w:tcPr>
          <w:p w14:paraId="66A91418"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350</w:t>
            </w:r>
          </w:p>
        </w:tc>
        <w:tc>
          <w:tcPr>
            <w:tcW w:w="1275" w:type="dxa"/>
            <w:vMerge/>
            <w:tcBorders>
              <w:top w:val="single" w:sz="8" w:space="0" w:color="auto"/>
              <w:left w:val="single" w:sz="8" w:space="0" w:color="auto"/>
              <w:bottom w:val="single" w:sz="8" w:space="0" w:color="000000"/>
              <w:right w:val="single" w:sz="8" w:space="0" w:color="000000"/>
            </w:tcBorders>
            <w:vAlign w:val="center"/>
          </w:tcPr>
          <w:p w14:paraId="7F74BB20"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tcBorders>
              <w:top w:val="nil"/>
              <w:left w:val="nil"/>
              <w:bottom w:val="single" w:sz="8" w:space="0" w:color="auto"/>
              <w:right w:val="nil"/>
            </w:tcBorders>
          </w:tcPr>
          <w:p w14:paraId="3C3BB5B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360.7</w:t>
            </w:r>
          </w:p>
        </w:tc>
        <w:tc>
          <w:tcPr>
            <w:tcW w:w="1134" w:type="dxa"/>
            <w:vMerge/>
            <w:tcBorders>
              <w:top w:val="nil"/>
              <w:left w:val="nil"/>
              <w:bottom w:val="single" w:sz="8" w:space="0" w:color="auto"/>
              <w:right w:val="single" w:sz="4" w:space="0" w:color="auto"/>
            </w:tcBorders>
            <w:vAlign w:val="center"/>
          </w:tcPr>
          <w:p w14:paraId="59B7B18E"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tcBorders>
              <w:left w:val="single" w:sz="4" w:space="0" w:color="auto"/>
              <w:bottom w:val="single" w:sz="8" w:space="0" w:color="auto"/>
              <w:right w:val="single" w:sz="4" w:space="0" w:color="auto"/>
            </w:tcBorders>
          </w:tcPr>
          <w:p w14:paraId="772380A1" w14:textId="77777777" w:rsidR="00632208" w:rsidRPr="0098635C" w:rsidRDefault="00632208" w:rsidP="00A432B0">
            <w:pPr>
              <w:spacing w:after="0"/>
              <w:rPr>
                <w:rFonts w:ascii="Arial Narrow" w:hAnsi="Arial Narrow" w:cs="Arial Narrow"/>
                <w:color w:val="000000" w:themeColor="text1"/>
                <w:sz w:val="20"/>
                <w:szCs w:val="20"/>
              </w:rPr>
            </w:pPr>
          </w:p>
        </w:tc>
      </w:tr>
      <w:tr w:rsidR="00632208" w:rsidRPr="0098635C" w14:paraId="02800E8E" w14:textId="77777777" w:rsidTr="00A432B0">
        <w:trPr>
          <w:trHeight w:val="64"/>
        </w:trPr>
        <w:tc>
          <w:tcPr>
            <w:tcW w:w="1647" w:type="dxa"/>
            <w:tcBorders>
              <w:top w:val="nil"/>
              <w:left w:val="single" w:sz="4" w:space="0" w:color="auto"/>
              <w:bottom w:val="single" w:sz="8" w:space="0" w:color="auto"/>
              <w:right w:val="single" w:sz="8" w:space="0" w:color="auto"/>
            </w:tcBorders>
          </w:tcPr>
          <w:p w14:paraId="3A563CF6"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Oryza sativa</w:t>
            </w:r>
          </w:p>
        </w:tc>
        <w:tc>
          <w:tcPr>
            <w:tcW w:w="1276" w:type="dxa"/>
            <w:tcBorders>
              <w:top w:val="nil"/>
              <w:left w:val="nil"/>
              <w:bottom w:val="single" w:sz="8" w:space="0" w:color="auto"/>
              <w:right w:val="single" w:sz="8" w:space="0" w:color="auto"/>
            </w:tcBorders>
          </w:tcPr>
          <w:p w14:paraId="196D8CE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Oxysol</w:t>
            </w:r>
          </w:p>
        </w:tc>
        <w:tc>
          <w:tcPr>
            <w:tcW w:w="425" w:type="dxa"/>
            <w:tcBorders>
              <w:top w:val="nil"/>
              <w:left w:val="nil"/>
              <w:bottom w:val="single" w:sz="8" w:space="0" w:color="auto"/>
              <w:right w:val="single" w:sz="8" w:space="0" w:color="auto"/>
            </w:tcBorders>
          </w:tcPr>
          <w:p w14:paraId="1AC2293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w:t>
            </w:r>
          </w:p>
        </w:tc>
        <w:tc>
          <w:tcPr>
            <w:tcW w:w="709" w:type="dxa"/>
            <w:tcBorders>
              <w:top w:val="nil"/>
              <w:left w:val="nil"/>
              <w:bottom w:val="single" w:sz="8" w:space="0" w:color="auto"/>
              <w:right w:val="single" w:sz="8" w:space="0" w:color="auto"/>
            </w:tcBorders>
          </w:tcPr>
          <w:p w14:paraId="25B50E6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w:t>
            </w:r>
          </w:p>
        </w:tc>
        <w:tc>
          <w:tcPr>
            <w:tcW w:w="709" w:type="dxa"/>
            <w:tcBorders>
              <w:top w:val="nil"/>
              <w:left w:val="nil"/>
              <w:bottom w:val="single" w:sz="8" w:space="0" w:color="auto"/>
              <w:right w:val="single" w:sz="8" w:space="0" w:color="auto"/>
            </w:tcBorders>
          </w:tcPr>
          <w:p w14:paraId="2DF59DC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42B3469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w:t>
            </w:r>
          </w:p>
        </w:tc>
        <w:tc>
          <w:tcPr>
            <w:tcW w:w="850" w:type="dxa"/>
            <w:tcBorders>
              <w:top w:val="nil"/>
              <w:left w:val="nil"/>
              <w:bottom w:val="single" w:sz="8" w:space="0" w:color="auto"/>
              <w:right w:val="single" w:sz="8" w:space="0" w:color="auto"/>
            </w:tcBorders>
          </w:tcPr>
          <w:p w14:paraId="72A7100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0E1DBC5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25CF6EF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992" w:type="dxa"/>
            <w:tcBorders>
              <w:top w:val="nil"/>
              <w:left w:val="nil"/>
              <w:bottom w:val="single" w:sz="8" w:space="0" w:color="auto"/>
              <w:right w:val="single" w:sz="8" w:space="0" w:color="auto"/>
            </w:tcBorders>
          </w:tcPr>
          <w:p w14:paraId="21E18C6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8" w:space="0" w:color="auto"/>
              <w:right w:val="single" w:sz="8" w:space="0" w:color="000000"/>
            </w:tcBorders>
          </w:tcPr>
          <w:p w14:paraId="64D4BAA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66</w:t>
            </w:r>
          </w:p>
        </w:tc>
        <w:tc>
          <w:tcPr>
            <w:tcW w:w="1275" w:type="dxa"/>
            <w:tcBorders>
              <w:top w:val="single" w:sz="8" w:space="0" w:color="auto"/>
              <w:left w:val="nil"/>
              <w:bottom w:val="single" w:sz="8" w:space="0" w:color="auto"/>
              <w:right w:val="single" w:sz="8" w:space="0" w:color="000000"/>
            </w:tcBorders>
          </w:tcPr>
          <w:p w14:paraId="5009E4C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nil"/>
            </w:tcBorders>
          </w:tcPr>
          <w:p w14:paraId="269A51A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67</w:t>
            </w:r>
          </w:p>
        </w:tc>
        <w:tc>
          <w:tcPr>
            <w:tcW w:w="1134" w:type="dxa"/>
            <w:tcBorders>
              <w:top w:val="single" w:sz="8" w:space="0" w:color="auto"/>
              <w:left w:val="nil"/>
              <w:bottom w:val="single" w:sz="8" w:space="0" w:color="auto"/>
              <w:right w:val="single" w:sz="12" w:space="0" w:color="000000"/>
            </w:tcBorders>
          </w:tcPr>
          <w:p w14:paraId="093C3A3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6691CD5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xml:space="preserve">Fageria, 2001  </w:t>
            </w:r>
          </w:p>
        </w:tc>
      </w:tr>
      <w:tr w:rsidR="00632208" w:rsidRPr="0098635C" w14:paraId="7196550F" w14:textId="77777777" w:rsidTr="00A432B0">
        <w:trPr>
          <w:trHeight w:val="64"/>
        </w:trPr>
        <w:tc>
          <w:tcPr>
            <w:tcW w:w="1647" w:type="dxa"/>
            <w:tcBorders>
              <w:top w:val="nil"/>
              <w:left w:val="single" w:sz="4" w:space="0" w:color="auto"/>
              <w:bottom w:val="single" w:sz="4" w:space="0" w:color="auto"/>
              <w:right w:val="single" w:sz="8" w:space="0" w:color="auto"/>
            </w:tcBorders>
          </w:tcPr>
          <w:p w14:paraId="05BAFFAF"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Phaseolus vulgaris</w:t>
            </w:r>
          </w:p>
        </w:tc>
        <w:tc>
          <w:tcPr>
            <w:tcW w:w="1276" w:type="dxa"/>
            <w:tcBorders>
              <w:top w:val="nil"/>
              <w:left w:val="nil"/>
              <w:bottom w:val="single" w:sz="4" w:space="0" w:color="auto"/>
              <w:right w:val="single" w:sz="8" w:space="0" w:color="auto"/>
            </w:tcBorders>
          </w:tcPr>
          <w:p w14:paraId="71EF827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Oxysol</w:t>
            </w:r>
          </w:p>
        </w:tc>
        <w:tc>
          <w:tcPr>
            <w:tcW w:w="425" w:type="dxa"/>
            <w:tcBorders>
              <w:top w:val="nil"/>
              <w:left w:val="nil"/>
              <w:bottom w:val="single" w:sz="4" w:space="0" w:color="auto"/>
              <w:right w:val="single" w:sz="8" w:space="0" w:color="auto"/>
            </w:tcBorders>
          </w:tcPr>
          <w:p w14:paraId="0C6DE2C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w:t>
            </w:r>
          </w:p>
        </w:tc>
        <w:tc>
          <w:tcPr>
            <w:tcW w:w="709" w:type="dxa"/>
            <w:tcBorders>
              <w:top w:val="nil"/>
              <w:left w:val="nil"/>
              <w:bottom w:val="single" w:sz="4" w:space="0" w:color="auto"/>
              <w:right w:val="single" w:sz="8" w:space="0" w:color="auto"/>
            </w:tcBorders>
          </w:tcPr>
          <w:p w14:paraId="6EA27E4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w:t>
            </w:r>
          </w:p>
        </w:tc>
        <w:tc>
          <w:tcPr>
            <w:tcW w:w="709" w:type="dxa"/>
            <w:tcBorders>
              <w:top w:val="nil"/>
              <w:left w:val="nil"/>
              <w:bottom w:val="single" w:sz="4" w:space="0" w:color="auto"/>
              <w:right w:val="single" w:sz="8" w:space="0" w:color="auto"/>
            </w:tcBorders>
          </w:tcPr>
          <w:p w14:paraId="6AD45A2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4" w:space="0" w:color="auto"/>
              <w:right w:val="single" w:sz="8" w:space="0" w:color="auto"/>
            </w:tcBorders>
          </w:tcPr>
          <w:p w14:paraId="6F92EED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w:t>
            </w:r>
          </w:p>
        </w:tc>
        <w:tc>
          <w:tcPr>
            <w:tcW w:w="850" w:type="dxa"/>
            <w:tcBorders>
              <w:top w:val="nil"/>
              <w:left w:val="nil"/>
              <w:bottom w:val="single" w:sz="4" w:space="0" w:color="auto"/>
              <w:right w:val="single" w:sz="8" w:space="0" w:color="auto"/>
            </w:tcBorders>
          </w:tcPr>
          <w:p w14:paraId="72E0BCB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4" w:space="0" w:color="auto"/>
              <w:right w:val="single" w:sz="8" w:space="0" w:color="auto"/>
            </w:tcBorders>
          </w:tcPr>
          <w:p w14:paraId="32B57F6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4" w:space="0" w:color="auto"/>
              <w:right w:val="single" w:sz="8" w:space="0" w:color="auto"/>
            </w:tcBorders>
          </w:tcPr>
          <w:p w14:paraId="77E50C5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992" w:type="dxa"/>
            <w:tcBorders>
              <w:top w:val="nil"/>
              <w:left w:val="nil"/>
              <w:bottom w:val="single" w:sz="4" w:space="0" w:color="auto"/>
              <w:right w:val="single" w:sz="8" w:space="0" w:color="auto"/>
            </w:tcBorders>
          </w:tcPr>
          <w:p w14:paraId="2917973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4" w:space="0" w:color="auto"/>
              <w:right w:val="single" w:sz="8" w:space="0" w:color="000000"/>
            </w:tcBorders>
          </w:tcPr>
          <w:p w14:paraId="090FD2C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40</w:t>
            </w:r>
          </w:p>
        </w:tc>
        <w:tc>
          <w:tcPr>
            <w:tcW w:w="1275" w:type="dxa"/>
            <w:tcBorders>
              <w:top w:val="single" w:sz="8" w:space="0" w:color="auto"/>
              <w:left w:val="nil"/>
              <w:bottom w:val="single" w:sz="4" w:space="0" w:color="auto"/>
              <w:right w:val="single" w:sz="8" w:space="0" w:color="000000"/>
            </w:tcBorders>
          </w:tcPr>
          <w:p w14:paraId="3F16A51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4" w:space="0" w:color="auto"/>
              <w:right w:val="nil"/>
            </w:tcBorders>
          </w:tcPr>
          <w:p w14:paraId="62C83A0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41</w:t>
            </w:r>
          </w:p>
        </w:tc>
        <w:tc>
          <w:tcPr>
            <w:tcW w:w="1134" w:type="dxa"/>
            <w:tcBorders>
              <w:top w:val="single" w:sz="8" w:space="0" w:color="auto"/>
              <w:left w:val="nil"/>
              <w:bottom w:val="single" w:sz="4" w:space="0" w:color="auto"/>
              <w:right w:val="single" w:sz="12" w:space="0" w:color="000000"/>
            </w:tcBorders>
          </w:tcPr>
          <w:p w14:paraId="3667BE4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44FB23B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xml:space="preserve">Fageria, 2001  </w:t>
            </w:r>
          </w:p>
        </w:tc>
      </w:tr>
      <w:tr w:rsidR="00632208" w:rsidRPr="0098635C" w14:paraId="4C1D4401" w14:textId="77777777" w:rsidTr="00A432B0">
        <w:trPr>
          <w:trHeight w:val="64"/>
        </w:trPr>
        <w:tc>
          <w:tcPr>
            <w:tcW w:w="1647" w:type="dxa"/>
            <w:tcBorders>
              <w:top w:val="single" w:sz="4" w:space="0" w:color="auto"/>
              <w:left w:val="single" w:sz="4" w:space="0" w:color="auto"/>
              <w:bottom w:val="single" w:sz="8" w:space="0" w:color="auto"/>
              <w:right w:val="single" w:sz="8" w:space="0" w:color="auto"/>
            </w:tcBorders>
          </w:tcPr>
          <w:p w14:paraId="2F4A0D06"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Zea mays</w:t>
            </w:r>
          </w:p>
        </w:tc>
        <w:tc>
          <w:tcPr>
            <w:tcW w:w="1276" w:type="dxa"/>
            <w:tcBorders>
              <w:top w:val="single" w:sz="4" w:space="0" w:color="auto"/>
              <w:left w:val="nil"/>
              <w:bottom w:val="single" w:sz="8" w:space="0" w:color="auto"/>
              <w:right w:val="single" w:sz="8" w:space="0" w:color="auto"/>
            </w:tcBorders>
          </w:tcPr>
          <w:p w14:paraId="46E25A4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Oxysol</w:t>
            </w:r>
          </w:p>
        </w:tc>
        <w:tc>
          <w:tcPr>
            <w:tcW w:w="425" w:type="dxa"/>
            <w:tcBorders>
              <w:top w:val="single" w:sz="4" w:space="0" w:color="auto"/>
              <w:left w:val="nil"/>
              <w:bottom w:val="single" w:sz="8" w:space="0" w:color="auto"/>
              <w:right w:val="single" w:sz="8" w:space="0" w:color="auto"/>
            </w:tcBorders>
          </w:tcPr>
          <w:p w14:paraId="74AEFB8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w:t>
            </w:r>
          </w:p>
        </w:tc>
        <w:tc>
          <w:tcPr>
            <w:tcW w:w="709" w:type="dxa"/>
            <w:tcBorders>
              <w:top w:val="single" w:sz="4" w:space="0" w:color="auto"/>
              <w:left w:val="nil"/>
              <w:bottom w:val="single" w:sz="8" w:space="0" w:color="auto"/>
              <w:right w:val="single" w:sz="8" w:space="0" w:color="auto"/>
            </w:tcBorders>
          </w:tcPr>
          <w:p w14:paraId="77F3ABA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w:t>
            </w:r>
          </w:p>
        </w:tc>
        <w:tc>
          <w:tcPr>
            <w:tcW w:w="709" w:type="dxa"/>
            <w:tcBorders>
              <w:top w:val="single" w:sz="4" w:space="0" w:color="auto"/>
              <w:left w:val="nil"/>
              <w:bottom w:val="single" w:sz="8" w:space="0" w:color="auto"/>
              <w:right w:val="single" w:sz="8" w:space="0" w:color="auto"/>
            </w:tcBorders>
          </w:tcPr>
          <w:p w14:paraId="5A0C0DA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single" w:sz="4" w:space="0" w:color="auto"/>
              <w:left w:val="nil"/>
              <w:bottom w:val="single" w:sz="8" w:space="0" w:color="auto"/>
              <w:right w:val="single" w:sz="8" w:space="0" w:color="auto"/>
            </w:tcBorders>
          </w:tcPr>
          <w:p w14:paraId="1B74117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w:t>
            </w:r>
          </w:p>
        </w:tc>
        <w:tc>
          <w:tcPr>
            <w:tcW w:w="850" w:type="dxa"/>
            <w:tcBorders>
              <w:top w:val="single" w:sz="4" w:space="0" w:color="auto"/>
              <w:left w:val="nil"/>
              <w:bottom w:val="single" w:sz="8" w:space="0" w:color="auto"/>
              <w:right w:val="single" w:sz="8" w:space="0" w:color="auto"/>
            </w:tcBorders>
          </w:tcPr>
          <w:p w14:paraId="4ECDCCC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single" w:sz="4" w:space="0" w:color="auto"/>
              <w:left w:val="nil"/>
              <w:bottom w:val="single" w:sz="8" w:space="0" w:color="auto"/>
              <w:right w:val="single" w:sz="8" w:space="0" w:color="auto"/>
            </w:tcBorders>
          </w:tcPr>
          <w:p w14:paraId="4834E48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single" w:sz="4" w:space="0" w:color="auto"/>
              <w:left w:val="nil"/>
              <w:bottom w:val="single" w:sz="8" w:space="0" w:color="auto"/>
              <w:right w:val="single" w:sz="8" w:space="0" w:color="auto"/>
            </w:tcBorders>
          </w:tcPr>
          <w:p w14:paraId="302EDAE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992" w:type="dxa"/>
            <w:tcBorders>
              <w:top w:val="single" w:sz="4" w:space="0" w:color="auto"/>
              <w:left w:val="nil"/>
              <w:bottom w:val="single" w:sz="8" w:space="0" w:color="auto"/>
              <w:right w:val="single" w:sz="8" w:space="0" w:color="auto"/>
            </w:tcBorders>
          </w:tcPr>
          <w:p w14:paraId="109129B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4" w:space="0" w:color="auto"/>
              <w:left w:val="nil"/>
              <w:bottom w:val="single" w:sz="8" w:space="0" w:color="auto"/>
              <w:right w:val="single" w:sz="8" w:space="0" w:color="000000"/>
            </w:tcBorders>
          </w:tcPr>
          <w:p w14:paraId="2BFAEC4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56</w:t>
            </w:r>
          </w:p>
        </w:tc>
        <w:tc>
          <w:tcPr>
            <w:tcW w:w="1275" w:type="dxa"/>
            <w:tcBorders>
              <w:top w:val="single" w:sz="4" w:space="0" w:color="auto"/>
              <w:left w:val="nil"/>
              <w:bottom w:val="single" w:sz="8" w:space="0" w:color="auto"/>
              <w:right w:val="single" w:sz="8" w:space="0" w:color="000000"/>
            </w:tcBorders>
          </w:tcPr>
          <w:p w14:paraId="54468D7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4" w:space="0" w:color="auto"/>
              <w:left w:val="nil"/>
              <w:bottom w:val="single" w:sz="8" w:space="0" w:color="auto"/>
              <w:right w:val="nil"/>
            </w:tcBorders>
          </w:tcPr>
          <w:p w14:paraId="31AD36B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57</w:t>
            </w:r>
          </w:p>
        </w:tc>
        <w:tc>
          <w:tcPr>
            <w:tcW w:w="1134" w:type="dxa"/>
            <w:tcBorders>
              <w:top w:val="single" w:sz="4" w:space="0" w:color="auto"/>
              <w:left w:val="nil"/>
              <w:bottom w:val="single" w:sz="8" w:space="0" w:color="auto"/>
              <w:right w:val="single" w:sz="12" w:space="0" w:color="000000"/>
            </w:tcBorders>
          </w:tcPr>
          <w:p w14:paraId="5D18DE5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1E15F9C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xml:space="preserve">Fageria, 2001  </w:t>
            </w:r>
          </w:p>
        </w:tc>
      </w:tr>
      <w:tr w:rsidR="00632208" w:rsidRPr="0098635C" w14:paraId="222DFD64" w14:textId="77777777" w:rsidTr="00A432B0">
        <w:trPr>
          <w:trHeight w:val="64"/>
        </w:trPr>
        <w:tc>
          <w:tcPr>
            <w:tcW w:w="1647" w:type="dxa"/>
            <w:tcBorders>
              <w:top w:val="nil"/>
              <w:left w:val="single" w:sz="4" w:space="0" w:color="auto"/>
              <w:bottom w:val="single" w:sz="4" w:space="0" w:color="auto"/>
              <w:right w:val="single" w:sz="8" w:space="0" w:color="auto"/>
            </w:tcBorders>
          </w:tcPr>
          <w:p w14:paraId="19C6B0FC"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Glycine max</w:t>
            </w:r>
          </w:p>
        </w:tc>
        <w:tc>
          <w:tcPr>
            <w:tcW w:w="1276" w:type="dxa"/>
            <w:tcBorders>
              <w:top w:val="nil"/>
              <w:left w:val="nil"/>
              <w:bottom w:val="single" w:sz="4" w:space="0" w:color="auto"/>
              <w:right w:val="single" w:sz="8" w:space="0" w:color="auto"/>
            </w:tcBorders>
          </w:tcPr>
          <w:p w14:paraId="7680661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Oxysol</w:t>
            </w:r>
          </w:p>
        </w:tc>
        <w:tc>
          <w:tcPr>
            <w:tcW w:w="425" w:type="dxa"/>
            <w:tcBorders>
              <w:top w:val="nil"/>
              <w:left w:val="nil"/>
              <w:bottom w:val="single" w:sz="4" w:space="0" w:color="auto"/>
              <w:right w:val="single" w:sz="8" w:space="0" w:color="auto"/>
            </w:tcBorders>
          </w:tcPr>
          <w:p w14:paraId="36DAA46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w:t>
            </w:r>
          </w:p>
        </w:tc>
        <w:tc>
          <w:tcPr>
            <w:tcW w:w="709" w:type="dxa"/>
            <w:tcBorders>
              <w:top w:val="nil"/>
              <w:left w:val="nil"/>
              <w:bottom w:val="single" w:sz="4" w:space="0" w:color="auto"/>
              <w:right w:val="single" w:sz="8" w:space="0" w:color="auto"/>
            </w:tcBorders>
          </w:tcPr>
          <w:p w14:paraId="7CE1E80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w:t>
            </w:r>
          </w:p>
        </w:tc>
        <w:tc>
          <w:tcPr>
            <w:tcW w:w="709" w:type="dxa"/>
            <w:tcBorders>
              <w:top w:val="nil"/>
              <w:left w:val="nil"/>
              <w:bottom w:val="single" w:sz="4" w:space="0" w:color="auto"/>
              <w:right w:val="single" w:sz="8" w:space="0" w:color="auto"/>
            </w:tcBorders>
          </w:tcPr>
          <w:p w14:paraId="018FEC0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4" w:space="0" w:color="auto"/>
              <w:right w:val="single" w:sz="8" w:space="0" w:color="auto"/>
            </w:tcBorders>
          </w:tcPr>
          <w:p w14:paraId="095E901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w:t>
            </w:r>
          </w:p>
        </w:tc>
        <w:tc>
          <w:tcPr>
            <w:tcW w:w="850" w:type="dxa"/>
            <w:tcBorders>
              <w:top w:val="nil"/>
              <w:left w:val="nil"/>
              <w:bottom w:val="single" w:sz="4" w:space="0" w:color="auto"/>
              <w:right w:val="single" w:sz="8" w:space="0" w:color="auto"/>
            </w:tcBorders>
          </w:tcPr>
          <w:p w14:paraId="0BCAFAD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4" w:space="0" w:color="auto"/>
              <w:right w:val="single" w:sz="8" w:space="0" w:color="auto"/>
            </w:tcBorders>
          </w:tcPr>
          <w:p w14:paraId="0505840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4" w:space="0" w:color="auto"/>
              <w:right w:val="single" w:sz="8" w:space="0" w:color="auto"/>
            </w:tcBorders>
          </w:tcPr>
          <w:p w14:paraId="3FA5C23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992" w:type="dxa"/>
            <w:tcBorders>
              <w:top w:val="nil"/>
              <w:left w:val="nil"/>
              <w:bottom w:val="single" w:sz="4" w:space="0" w:color="auto"/>
              <w:right w:val="single" w:sz="8" w:space="0" w:color="auto"/>
            </w:tcBorders>
          </w:tcPr>
          <w:p w14:paraId="551786E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8" w:space="0" w:color="auto"/>
              <w:left w:val="nil"/>
              <w:bottom w:val="single" w:sz="4" w:space="0" w:color="auto"/>
              <w:right w:val="single" w:sz="8" w:space="0" w:color="000000"/>
            </w:tcBorders>
          </w:tcPr>
          <w:p w14:paraId="029E93B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13</w:t>
            </w:r>
          </w:p>
        </w:tc>
        <w:tc>
          <w:tcPr>
            <w:tcW w:w="1275" w:type="dxa"/>
            <w:tcBorders>
              <w:top w:val="single" w:sz="8" w:space="0" w:color="auto"/>
              <w:left w:val="nil"/>
              <w:bottom w:val="single" w:sz="4" w:space="0" w:color="auto"/>
              <w:right w:val="single" w:sz="8" w:space="0" w:color="000000"/>
            </w:tcBorders>
          </w:tcPr>
          <w:p w14:paraId="1895F13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4" w:space="0" w:color="auto"/>
              <w:right w:val="nil"/>
            </w:tcBorders>
          </w:tcPr>
          <w:p w14:paraId="4B533F4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w:t>
            </w:r>
          </w:p>
        </w:tc>
        <w:tc>
          <w:tcPr>
            <w:tcW w:w="1134" w:type="dxa"/>
            <w:tcBorders>
              <w:top w:val="single" w:sz="8" w:space="0" w:color="auto"/>
              <w:left w:val="nil"/>
              <w:bottom w:val="single" w:sz="4" w:space="0" w:color="auto"/>
              <w:right w:val="single" w:sz="12" w:space="0" w:color="000000"/>
            </w:tcBorders>
          </w:tcPr>
          <w:p w14:paraId="53B0043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229DFE3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xml:space="preserve">Fageria, 2001  </w:t>
            </w:r>
          </w:p>
        </w:tc>
      </w:tr>
      <w:tr w:rsidR="00632208" w:rsidRPr="0098635C" w14:paraId="4D62C8AF" w14:textId="77777777" w:rsidTr="00A432B0">
        <w:trPr>
          <w:trHeight w:val="64"/>
        </w:trPr>
        <w:tc>
          <w:tcPr>
            <w:tcW w:w="1647" w:type="dxa"/>
            <w:tcBorders>
              <w:top w:val="single" w:sz="4" w:space="0" w:color="auto"/>
              <w:left w:val="single" w:sz="4" w:space="0" w:color="auto"/>
              <w:bottom w:val="single" w:sz="8" w:space="0" w:color="auto"/>
              <w:right w:val="single" w:sz="8" w:space="0" w:color="auto"/>
            </w:tcBorders>
          </w:tcPr>
          <w:p w14:paraId="595E9967"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Triticum aestivum</w:t>
            </w:r>
          </w:p>
        </w:tc>
        <w:tc>
          <w:tcPr>
            <w:tcW w:w="1276" w:type="dxa"/>
            <w:tcBorders>
              <w:top w:val="single" w:sz="4" w:space="0" w:color="auto"/>
              <w:left w:val="nil"/>
              <w:bottom w:val="single" w:sz="8" w:space="0" w:color="auto"/>
              <w:right w:val="single" w:sz="8" w:space="0" w:color="auto"/>
            </w:tcBorders>
          </w:tcPr>
          <w:p w14:paraId="1D2FE77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Oxysol</w:t>
            </w:r>
          </w:p>
        </w:tc>
        <w:tc>
          <w:tcPr>
            <w:tcW w:w="425" w:type="dxa"/>
            <w:tcBorders>
              <w:top w:val="single" w:sz="4" w:space="0" w:color="auto"/>
              <w:left w:val="nil"/>
              <w:bottom w:val="single" w:sz="8" w:space="0" w:color="auto"/>
              <w:right w:val="single" w:sz="8" w:space="0" w:color="auto"/>
            </w:tcBorders>
          </w:tcPr>
          <w:p w14:paraId="51CFEBB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w:t>
            </w:r>
          </w:p>
        </w:tc>
        <w:tc>
          <w:tcPr>
            <w:tcW w:w="709" w:type="dxa"/>
            <w:tcBorders>
              <w:top w:val="single" w:sz="4" w:space="0" w:color="auto"/>
              <w:left w:val="nil"/>
              <w:bottom w:val="single" w:sz="8" w:space="0" w:color="auto"/>
              <w:right w:val="single" w:sz="8" w:space="0" w:color="auto"/>
            </w:tcBorders>
          </w:tcPr>
          <w:p w14:paraId="3093A93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w:t>
            </w:r>
          </w:p>
        </w:tc>
        <w:tc>
          <w:tcPr>
            <w:tcW w:w="709" w:type="dxa"/>
            <w:tcBorders>
              <w:top w:val="single" w:sz="4" w:space="0" w:color="auto"/>
              <w:left w:val="nil"/>
              <w:bottom w:val="single" w:sz="8" w:space="0" w:color="auto"/>
              <w:right w:val="single" w:sz="8" w:space="0" w:color="auto"/>
            </w:tcBorders>
          </w:tcPr>
          <w:p w14:paraId="2BD0ABD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single" w:sz="4" w:space="0" w:color="auto"/>
              <w:left w:val="nil"/>
              <w:bottom w:val="single" w:sz="8" w:space="0" w:color="auto"/>
              <w:right w:val="single" w:sz="8" w:space="0" w:color="auto"/>
            </w:tcBorders>
          </w:tcPr>
          <w:p w14:paraId="7F5CCAF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w:t>
            </w:r>
          </w:p>
        </w:tc>
        <w:tc>
          <w:tcPr>
            <w:tcW w:w="850" w:type="dxa"/>
            <w:tcBorders>
              <w:top w:val="single" w:sz="4" w:space="0" w:color="auto"/>
              <w:left w:val="nil"/>
              <w:bottom w:val="single" w:sz="8" w:space="0" w:color="auto"/>
              <w:right w:val="single" w:sz="8" w:space="0" w:color="auto"/>
            </w:tcBorders>
          </w:tcPr>
          <w:p w14:paraId="25E3559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single" w:sz="4" w:space="0" w:color="auto"/>
              <w:left w:val="nil"/>
              <w:bottom w:val="single" w:sz="8" w:space="0" w:color="auto"/>
              <w:right w:val="single" w:sz="8" w:space="0" w:color="auto"/>
            </w:tcBorders>
          </w:tcPr>
          <w:p w14:paraId="1D57AFC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single" w:sz="4" w:space="0" w:color="auto"/>
              <w:left w:val="nil"/>
              <w:bottom w:val="single" w:sz="8" w:space="0" w:color="auto"/>
              <w:right w:val="single" w:sz="8" w:space="0" w:color="auto"/>
            </w:tcBorders>
          </w:tcPr>
          <w:p w14:paraId="47FEBC3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992" w:type="dxa"/>
            <w:tcBorders>
              <w:top w:val="single" w:sz="4" w:space="0" w:color="auto"/>
              <w:left w:val="nil"/>
              <w:bottom w:val="single" w:sz="8" w:space="0" w:color="auto"/>
              <w:right w:val="single" w:sz="8" w:space="0" w:color="auto"/>
            </w:tcBorders>
          </w:tcPr>
          <w:p w14:paraId="12880EF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4" w:space="0" w:color="auto"/>
              <w:left w:val="nil"/>
              <w:bottom w:val="single" w:sz="8" w:space="0" w:color="auto"/>
              <w:right w:val="single" w:sz="8" w:space="0" w:color="000000"/>
            </w:tcBorders>
          </w:tcPr>
          <w:p w14:paraId="08B2999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63.5</w:t>
            </w:r>
          </w:p>
        </w:tc>
        <w:tc>
          <w:tcPr>
            <w:tcW w:w="1275" w:type="dxa"/>
            <w:tcBorders>
              <w:top w:val="single" w:sz="4" w:space="0" w:color="auto"/>
              <w:left w:val="nil"/>
              <w:bottom w:val="single" w:sz="8" w:space="0" w:color="auto"/>
              <w:right w:val="single" w:sz="8" w:space="0" w:color="000000"/>
            </w:tcBorders>
          </w:tcPr>
          <w:p w14:paraId="46BAB50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4" w:space="0" w:color="auto"/>
              <w:left w:val="nil"/>
              <w:bottom w:val="single" w:sz="8" w:space="0" w:color="auto"/>
              <w:right w:val="nil"/>
            </w:tcBorders>
          </w:tcPr>
          <w:p w14:paraId="03BFCDD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64.5</w:t>
            </w:r>
          </w:p>
        </w:tc>
        <w:tc>
          <w:tcPr>
            <w:tcW w:w="1134" w:type="dxa"/>
            <w:tcBorders>
              <w:top w:val="single" w:sz="4" w:space="0" w:color="auto"/>
              <w:left w:val="nil"/>
              <w:bottom w:val="single" w:sz="8" w:space="0" w:color="auto"/>
              <w:right w:val="single" w:sz="12" w:space="0" w:color="000000"/>
            </w:tcBorders>
          </w:tcPr>
          <w:p w14:paraId="7047C9E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0D1A84B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xml:space="preserve">Fageria, 2001  </w:t>
            </w:r>
          </w:p>
        </w:tc>
      </w:tr>
      <w:tr w:rsidR="00632208" w:rsidRPr="0098635C" w14:paraId="0BEC485D" w14:textId="77777777" w:rsidTr="00A432B0">
        <w:trPr>
          <w:trHeight w:val="64"/>
        </w:trPr>
        <w:tc>
          <w:tcPr>
            <w:tcW w:w="1647" w:type="dxa"/>
            <w:tcBorders>
              <w:top w:val="single" w:sz="8" w:space="0" w:color="auto"/>
              <w:left w:val="single" w:sz="4" w:space="0" w:color="auto"/>
              <w:bottom w:val="single" w:sz="8" w:space="0" w:color="auto"/>
              <w:right w:val="single" w:sz="8" w:space="0" w:color="auto"/>
            </w:tcBorders>
          </w:tcPr>
          <w:p w14:paraId="61B9B7BD"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Medicago sativa</w:t>
            </w:r>
          </w:p>
        </w:tc>
        <w:tc>
          <w:tcPr>
            <w:tcW w:w="1276" w:type="dxa"/>
            <w:tcBorders>
              <w:top w:val="single" w:sz="8" w:space="0" w:color="auto"/>
              <w:left w:val="nil"/>
              <w:bottom w:val="single" w:sz="8" w:space="0" w:color="auto"/>
              <w:right w:val="single" w:sz="8" w:space="0" w:color="auto"/>
            </w:tcBorders>
          </w:tcPr>
          <w:p w14:paraId="2CCAC98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Silty loam</w:t>
            </w:r>
          </w:p>
        </w:tc>
        <w:tc>
          <w:tcPr>
            <w:tcW w:w="425" w:type="dxa"/>
            <w:tcBorders>
              <w:top w:val="single" w:sz="8" w:space="0" w:color="auto"/>
              <w:left w:val="nil"/>
              <w:bottom w:val="single" w:sz="8" w:space="0" w:color="auto"/>
              <w:right w:val="single" w:sz="8" w:space="0" w:color="auto"/>
            </w:tcBorders>
          </w:tcPr>
          <w:p w14:paraId="7AA1B07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7.1</w:t>
            </w:r>
          </w:p>
        </w:tc>
        <w:tc>
          <w:tcPr>
            <w:tcW w:w="709" w:type="dxa"/>
            <w:tcBorders>
              <w:top w:val="single" w:sz="8" w:space="0" w:color="auto"/>
              <w:left w:val="nil"/>
              <w:bottom w:val="single" w:sz="8" w:space="0" w:color="auto"/>
              <w:right w:val="single" w:sz="8" w:space="0" w:color="auto"/>
            </w:tcBorders>
          </w:tcPr>
          <w:p w14:paraId="27FB5AB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0.3</w:t>
            </w:r>
          </w:p>
        </w:tc>
        <w:tc>
          <w:tcPr>
            <w:tcW w:w="709" w:type="dxa"/>
            <w:tcBorders>
              <w:top w:val="single" w:sz="8" w:space="0" w:color="auto"/>
              <w:left w:val="nil"/>
              <w:bottom w:val="single" w:sz="8" w:space="0" w:color="auto"/>
              <w:right w:val="single" w:sz="8" w:space="0" w:color="auto"/>
            </w:tcBorders>
          </w:tcPr>
          <w:p w14:paraId="70D4BD3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single" w:sz="8" w:space="0" w:color="auto"/>
              <w:left w:val="nil"/>
              <w:bottom w:val="single" w:sz="8" w:space="0" w:color="auto"/>
              <w:right w:val="single" w:sz="8" w:space="0" w:color="auto"/>
            </w:tcBorders>
          </w:tcPr>
          <w:p w14:paraId="2C6C5F9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39</w:t>
            </w:r>
          </w:p>
        </w:tc>
        <w:tc>
          <w:tcPr>
            <w:tcW w:w="850" w:type="dxa"/>
            <w:tcBorders>
              <w:top w:val="single" w:sz="8" w:space="0" w:color="auto"/>
              <w:left w:val="nil"/>
              <w:bottom w:val="single" w:sz="8" w:space="0" w:color="auto"/>
              <w:right w:val="single" w:sz="8" w:space="0" w:color="auto"/>
            </w:tcBorders>
          </w:tcPr>
          <w:p w14:paraId="549C181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single" w:sz="8" w:space="0" w:color="auto"/>
              <w:left w:val="nil"/>
              <w:bottom w:val="single" w:sz="8" w:space="0" w:color="auto"/>
              <w:right w:val="single" w:sz="8" w:space="0" w:color="auto"/>
            </w:tcBorders>
          </w:tcPr>
          <w:p w14:paraId="035439D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single" w:sz="8" w:space="0" w:color="auto"/>
              <w:left w:val="nil"/>
              <w:bottom w:val="single" w:sz="8" w:space="0" w:color="auto"/>
              <w:right w:val="single" w:sz="8" w:space="0" w:color="auto"/>
            </w:tcBorders>
          </w:tcPr>
          <w:p w14:paraId="513AC12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single" w:sz="8" w:space="0" w:color="auto"/>
              <w:left w:val="nil"/>
              <w:bottom w:val="single" w:sz="8" w:space="0" w:color="auto"/>
              <w:right w:val="single" w:sz="4" w:space="0" w:color="auto"/>
            </w:tcBorders>
          </w:tcPr>
          <w:p w14:paraId="5610877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y(stp</w:t>
            </w:r>
          </w:p>
        </w:tc>
        <w:tc>
          <w:tcPr>
            <w:tcW w:w="993" w:type="dxa"/>
            <w:tcBorders>
              <w:top w:val="single" w:sz="8" w:space="0" w:color="auto"/>
              <w:left w:val="single" w:sz="4" w:space="0" w:color="auto"/>
              <w:bottom w:val="single" w:sz="4" w:space="0" w:color="auto"/>
              <w:right w:val="single" w:sz="4" w:space="0" w:color="auto"/>
            </w:tcBorders>
          </w:tcPr>
          <w:p w14:paraId="532943E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1,500</w:t>
            </w:r>
          </w:p>
        </w:tc>
        <w:tc>
          <w:tcPr>
            <w:tcW w:w="1275" w:type="dxa"/>
            <w:tcBorders>
              <w:top w:val="single" w:sz="8" w:space="0" w:color="auto"/>
              <w:left w:val="single" w:sz="4" w:space="0" w:color="auto"/>
              <w:bottom w:val="single" w:sz="4" w:space="0" w:color="auto"/>
              <w:right w:val="single" w:sz="4" w:space="0" w:color="auto"/>
            </w:tcBorders>
          </w:tcPr>
          <w:p w14:paraId="711F022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single" w:sz="4" w:space="0" w:color="auto"/>
              <w:bottom w:val="single" w:sz="4" w:space="0" w:color="auto"/>
              <w:right w:val="single" w:sz="4" w:space="0" w:color="auto"/>
            </w:tcBorders>
          </w:tcPr>
          <w:p w14:paraId="4DA2A16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1,539</w:t>
            </w:r>
          </w:p>
        </w:tc>
        <w:tc>
          <w:tcPr>
            <w:tcW w:w="1134" w:type="dxa"/>
            <w:tcBorders>
              <w:top w:val="single" w:sz="8" w:space="0" w:color="auto"/>
              <w:left w:val="single" w:sz="4" w:space="0" w:color="auto"/>
              <w:bottom w:val="single" w:sz="8" w:space="0" w:color="auto"/>
              <w:right w:val="single" w:sz="12" w:space="0" w:color="000000"/>
            </w:tcBorders>
          </w:tcPr>
          <w:p w14:paraId="7317DE3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75B3C07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Gonzales, 1991</w:t>
            </w:r>
          </w:p>
        </w:tc>
      </w:tr>
      <w:tr w:rsidR="00632208" w:rsidRPr="0098635C" w14:paraId="1C9D1527" w14:textId="77777777" w:rsidTr="00A432B0">
        <w:trPr>
          <w:trHeight w:val="64"/>
        </w:trPr>
        <w:tc>
          <w:tcPr>
            <w:tcW w:w="1647" w:type="dxa"/>
            <w:tcBorders>
              <w:top w:val="nil"/>
              <w:left w:val="single" w:sz="4" w:space="0" w:color="auto"/>
              <w:bottom w:val="single" w:sz="8" w:space="0" w:color="auto"/>
              <w:right w:val="single" w:sz="8" w:space="0" w:color="auto"/>
            </w:tcBorders>
          </w:tcPr>
          <w:p w14:paraId="02A0E03F"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Medicago sativa</w:t>
            </w:r>
          </w:p>
        </w:tc>
        <w:tc>
          <w:tcPr>
            <w:tcW w:w="1276" w:type="dxa"/>
            <w:tcBorders>
              <w:top w:val="nil"/>
              <w:left w:val="nil"/>
              <w:bottom w:val="single" w:sz="8" w:space="0" w:color="auto"/>
              <w:right w:val="single" w:sz="8" w:space="0" w:color="auto"/>
            </w:tcBorders>
          </w:tcPr>
          <w:p w14:paraId="70C776C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clayey</w:t>
            </w:r>
          </w:p>
        </w:tc>
        <w:tc>
          <w:tcPr>
            <w:tcW w:w="425" w:type="dxa"/>
            <w:tcBorders>
              <w:top w:val="nil"/>
              <w:left w:val="nil"/>
              <w:bottom w:val="single" w:sz="8" w:space="0" w:color="auto"/>
              <w:right w:val="single" w:sz="8" w:space="0" w:color="auto"/>
            </w:tcBorders>
          </w:tcPr>
          <w:p w14:paraId="2F256CD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7.8</w:t>
            </w:r>
          </w:p>
        </w:tc>
        <w:tc>
          <w:tcPr>
            <w:tcW w:w="709" w:type="dxa"/>
            <w:tcBorders>
              <w:top w:val="nil"/>
              <w:left w:val="nil"/>
              <w:bottom w:val="single" w:sz="8" w:space="0" w:color="auto"/>
              <w:right w:val="single" w:sz="8" w:space="0" w:color="auto"/>
            </w:tcBorders>
          </w:tcPr>
          <w:p w14:paraId="49CE5BB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1.8</w:t>
            </w:r>
          </w:p>
        </w:tc>
        <w:tc>
          <w:tcPr>
            <w:tcW w:w="709" w:type="dxa"/>
            <w:tcBorders>
              <w:top w:val="nil"/>
              <w:left w:val="nil"/>
              <w:bottom w:val="single" w:sz="8" w:space="0" w:color="auto"/>
              <w:right w:val="single" w:sz="8" w:space="0" w:color="auto"/>
            </w:tcBorders>
          </w:tcPr>
          <w:p w14:paraId="0CA03D0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7A51804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37</w:t>
            </w:r>
          </w:p>
        </w:tc>
        <w:tc>
          <w:tcPr>
            <w:tcW w:w="850" w:type="dxa"/>
            <w:tcBorders>
              <w:top w:val="nil"/>
              <w:left w:val="nil"/>
              <w:bottom w:val="single" w:sz="8" w:space="0" w:color="auto"/>
              <w:right w:val="single" w:sz="8" w:space="0" w:color="auto"/>
            </w:tcBorders>
          </w:tcPr>
          <w:p w14:paraId="23B2AB4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1861EFA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0033B53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4" w:space="0" w:color="auto"/>
            </w:tcBorders>
          </w:tcPr>
          <w:p w14:paraId="5ABC70E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y(stp</w:t>
            </w:r>
          </w:p>
        </w:tc>
        <w:tc>
          <w:tcPr>
            <w:tcW w:w="993" w:type="dxa"/>
            <w:tcBorders>
              <w:top w:val="single" w:sz="4" w:space="0" w:color="auto"/>
              <w:left w:val="single" w:sz="4" w:space="0" w:color="auto"/>
              <w:bottom w:val="single" w:sz="4" w:space="0" w:color="auto"/>
              <w:right w:val="single" w:sz="4" w:space="0" w:color="auto"/>
            </w:tcBorders>
          </w:tcPr>
          <w:p w14:paraId="0A44FB6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1,253</w:t>
            </w:r>
          </w:p>
        </w:tc>
        <w:tc>
          <w:tcPr>
            <w:tcW w:w="1275" w:type="dxa"/>
            <w:tcBorders>
              <w:top w:val="single" w:sz="4" w:space="0" w:color="auto"/>
              <w:left w:val="single" w:sz="4" w:space="0" w:color="auto"/>
              <w:bottom w:val="single" w:sz="4" w:space="0" w:color="auto"/>
              <w:right w:val="single" w:sz="4" w:space="0" w:color="auto"/>
            </w:tcBorders>
          </w:tcPr>
          <w:p w14:paraId="136E903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4" w:space="0" w:color="auto"/>
              <w:left w:val="single" w:sz="4" w:space="0" w:color="auto"/>
              <w:bottom w:val="single" w:sz="4" w:space="0" w:color="auto"/>
              <w:right w:val="single" w:sz="4" w:space="0" w:color="auto"/>
            </w:tcBorders>
          </w:tcPr>
          <w:p w14:paraId="139E6A7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1,290</w:t>
            </w:r>
          </w:p>
        </w:tc>
        <w:tc>
          <w:tcPr>
            <w:tcW w:w="1134" w:type="dxa"/>
            <w:tcBorders>
              <w:top w:val="single" w:sz="8" w:space="0" w:color="auto"/>
              <w:left w:val="single" w:sz="4" w:space="0" w:color="auto"/>
              <w:bottom w:val="single" w:sz="8" w:space="0" w:color="auto"/>
              <w:right w:val="single" w:sz="12" w:space="0" w:color="000000"/>
            </w:tcBorders>
          </w:tcPr>
          <w:p w14:paraId="3F680A3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155C9A6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Gonzales, 1991</w:t>
            </w:r>
          </w:p>
        </w:tc>
      </w:tr>
      <w:tr w:rsidR="00632208" w:rsidRPr="0098635C" w14:paraId="7B20EDAB" w14:textId="77777777" w:rsidTr="00A432B0">
        <w:trPr>
          <w:trHeight w:val="64"/>
        </w:trPr>
        <w:tc>
          <w:tcPr>
            <w:tcW w:w="1647" w:type="dxa"/>
            <w:tcBorders>
              <w:top w:val="nil"/>
              <w:left w:val="single" w:sz="4" w:space="0" w:color="auto"/>
              <w:bottom w:val="single" w:sz="8" w:space="0" w:color="auto"/>
              <w:right w:val="single" w:sz="8" w:space="0" w:color="auto"/>
            </w:tcBorders>
          </w:tcPr>
          <w:p w14:paraId="51412C91"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Medicago sativa</w:t>
            </w:r>
          </w:p>
        </w:tc>
        <w:tc>
          <w:tcPr>
            <w:tcW w:w="1276" w:type="dxa"/>
            <w:tcBorders>
              <w:top w:val="nil"/>
              <w:left w:val="nil"/>
              <w:bottom w:val="single" w:sz="8" w:space="0" w:color="auto"/>
              <w:right w:val="single" w:sz="8" w:space="0" w:color="auto"/>
            </w:tcBorders>
          </w:tcPr>
          <w:p w14:paraId="4C57A7B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Silty loam</w:t>
            </w:r>
          </w:p>
        </w:tc>
        <w:tc>
          <w:tcPr>
            <w:tcW w:w="425" w:type="dxa"/>
            <w:tcBorders>
              <w:top w:val="nil"/>
              <w:left w:val="nil"/>
              <w:bottom w:val="single" w:sz="8" w:space="0" w:color="auto"/>
              <w:right w:val="single" w:sz="8" w:space="0" w:color="auto"/>
            </w:tcBorders>
          </w:tcPr>
          <w:p w14:paraId="59CB018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6.1</w:t>
            </w:r>
          </w:p>
        </w:tc>
        <w:tc>
          <w:tcPr>
            <w:tcW w:w="709" w:type="dxa"/>
            <w:tcBorders>
              <w:top w:val="nil"/>
              <w:left w:val="nil"/>
              <w:bottom w:val="single" w:sz="8" w:space="0" w:color="auto"/>
              <w:right w:val="single" w:sz="8" w:space="0" w:color="auto"/>
            </w:tcBorders>
          </w:tcPr>
          <w:p w14:paraId="5C06B29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14.5</w:t>
            </w:r>
          </w:p>
        </w:tc>
        <w:tc>
          <w:tcPr>
            <w:tcW w:w="709" w:type="dxa"/>
            <w:tcBorders>
              <w:top w:val="nil"/>
              <w:left w:val="nil"/>
              <w:bottom w:val="single" w:sz="8" w:space="0" w:color="auto"/>
              <w:right w:val="single" w:sz="8" w:space="0" w:color="auto"/>
            </w:tcBorders>
          </w:tcPr>
          <w:p w14:paraId="07FF4D0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683B32D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40</w:t>
            </w:r>
          </w:p>
        </w:tc>
        <w:tc>
          <w:tcPr>
            <w:tcW w:w="850" w:type="dxa"/>
            <w:tcBorders>
              <w:top w:val="nil"/>
              <w:left w:val="nil"/>
              <w:bottom w:val="single" w:sz="8" w:space="0" w:color="auto"/>
              <w:right w:val="single" w:sz="8" w:space="0" w:color="auto"/>
            </w:tcBorders>
          </w:tcPr>
          <w:p w14:paraId="421AB43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1580150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6DB32A6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4" w:space="0" w:color="auto"/>
            </w:tcBorders>
          </w:tcPr>
          <w:p w14:paraId="0D6E4CC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y(stp</w:t>
            </w:r>
          </w:p>
        </w:tc>
        <w:tc>
          <w:tcPr>
            <w:tcW w:w="993" w:type="dxa"/>
            <w:tcBorders>
              <w:top w:val="single" w:sz="4" w:space="0" w:color="auto"/>
              <w:left w:val="single" w:sz="4" w:space="0" w:color="auto"/>
              <w:bottom w:val="single" w:sz="4" w:space="0" w:color="auto"/>
              <w:right w:val="single" w:sz="4" w:space="0" w:color="auto"/>
            </w:tcBorders>
          </w:tcPr>
          <w:p w14:paraId="5B83E09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860</w:t>
            </w:r>
          </w:p>
        </w:tc>
        <w:tc>
          <w:tcPr>
            <w:tcW w:w="1275" w:type="dxa"/>
            <w:tcBorders>
              <w:top w:val="single" w:sz="4" w:space="0" w:color="auto"/>
              <w:left w:val="single" w:sz="4" w:space="0" w:color="auto"/>
              <w:bottom w:val="single" w:sz="4" w:space="0" w:color="auto"/>
              <w:right w:val="single" w:sz="4" w:space="0" w:color="auto"/>
            </w:tcBorders>
          </w:tcPr>
          <w:p w14:paraId="6D4B84C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4" w:space="0" w:color="auto"/>
              <w:left w:val="single" w:sz="4" w:space="0" w:color="auto"/>
              <w:bottom w:val="single" w:sz="4" w:space="0" w:color="auto"/>
              <w:right w:val="single" w:sz="4" w:space="0" w:color="auto"/>
            </w:tcBorders>
          </w:tcPr>
          <w:p w14:paraId="0530A4A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900</w:t>
            </w:r>
          </w:p>
        </w:tc>
        <w:tc>
          <w:tcPr>
            <w:tcW w:w="1134" w:type="dxa"/>
            <w:tcBorders>
              <w:top w:val="single" w:sz="8" w:space="0" w:color="auto"/>
              <w:left w:val="single" w:sz="4" w:space="0" w:color="auto"/>
              <w:bottom w:val="single" w:sz="8" w:space="0" w:color="auto"/>
              <w:right w:val="single" w:sz="12" w:space="0" w:color="000000"/>
            </w:tcBorders>
          </w:tcPr>
          <w:p w14:paraId="362A3C1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0D51186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Gonzales, 1991</w:t>
            </w:r>
          </w:p>
        </w:tc>
      </w:tr>
      <w:tr w:rsidR="00632208" w:rsidRPr="0098635C" w14:paraId="4E02398D" w14:textId="77777777" w:rsidTr="00A432B0">
        <w:trPr>
          <w:trHeight w:val="64"/>
        </w:trPr>
        <w:tc>
          <w:tcPr>
            <w:tcW w:w="1647" w:type="dxa"/>
            <w:tcBorders>
              <w:top w:val="nil"/>
              <w:left w:val="single" w:sz="4" w:space="0" w:color="auto"/>
              <w:bottom w:val="single" w:sz="8" w:space="0" w:color="auto"/>
              <w:right w:val="single" w:sz="8" w:space="0" w:color="auto"/>
            </w:tcBorders>
          </w:tcPr>
          <w:p w14:paraId="394AAE4F"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Medicago sativa</w:t>
            </w:r>
          </w:p>
        </w:tc>
        <w:tc>
          <w:tcPr>
            <w:tcW w:w="1276" w:type="dxa"/>
            <w:tcBorders>
              <w:top w:val="nil"/>
              <w:left w:val="nil"/>
              <w:bottom w:val="single" w:sz="8" w:space="0" w:color="auto"/>
              <w:right w:val="single" w:sz="8" w:space="0" w:color="auto"/>
            </w:tcBorders>
          </w:tcPr>
          <w:p w14:paraId="010DE9D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loam</w:t>
            </w:r>
          </w:p>
        </w:tc>
        <w:tc>
          <w:tcPr>
            <w:tcW w:w="425" w:type="dxa"/>
            <w:tcBorders>
              <w:top w:val="nil"/>
              <w:left w:val="nil"/>
              <w:bottom w:val="single" w:sz="8" w:space="0" w:color="auto"/>
              <w:right w:val="single" w:sz="8" w:space="0" w:color="auto"/>
            </w:tcBorders>
          </w:tcPr>
          <w:p w14:paraId="0DD0881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7.5</w:t>
            </w:r>
          </w:p>
        </w:tc>
        <w:tc>
          <w:tcPr>
            <w:tcW w:w="709" w:type="dxa"/>
            <w:tcBorders>
              <w:top w:val="nil"/>
              <w:left w:val="nil"/>
              <w:bottom w:val="single" w:sz="8" w:space="0" w:color="auto"/>
              <w:right w:val="single" w:sz="8" w:space="0" w:color="auto"/>
            </w:tcBorders>
          </w:tcPr>
          <w:p w14:paraId="1402A46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1.1</w:t>
            </w:r>
          </w:p>
        </w:tc>
        <w:tc>
          <w:tcPr>
            <w:tcW w:w="709" w:type="dxa"/>
            <w:tcBorders>
              <w:top w:val="nil"/>
              <w:left w:val="nil"/>
              <w:bottom w:val="single" w:sz="8" w:space="0" w:color="auto"/>
              <w:right w:val="single" w:sz="8" w:space="0" w:color="auto"/>
            </w:tcBorders>
          </w:tcPr>
          <w:p w14:paraId="446A60B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400D4BB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57</w:t>
            </w:r>
          </w:p>
        </w:tc>
        <w:tc>
          <w:tcPr>
            <w:tcW w:w="850" w:type="dxa"/>
            <w:tcBorders>
              <w:top w:val="nil"/>
              <w:left w:val="nil"/>
              <w:bottom w:val="single" w:sz="8" w:space="0" w:color="auto"/>
              <w:right w:val="single" w:sz="8" w:space="0" w:color="auto"/>
            </w:tcBorders>
          </w:tcPr>
          <w:p w14:paraId="591FB8E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3105399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307EBD6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4" w:space="0" w:color="auto"/>
            </w:tcBorders>
          </w:tcPr>
          <w:p w14:paraId="0935F69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y(stp</w:t>
            </w:r>
          </w:p>
        </w:tc>
        <w:tc>
          <w:tcPr>
            <w:tcW w:w="993" w:type="dxa"/>
            <w:tcBorders>
              <w:top w:val="single" w:sz="4" w:space="0" w:color="auto"/>
              <w:left w:val="single" w:sz="4" w:space="0" w:color="auto"/>
              <w:bottom w:val="single" w:sz="4" w:space="0" w:color="auto"/>
              <w:right w:val="single" w:sz="4" w:space="0" w:color="auto"/>
            </w:tcBorders>
          </w:tcPr>
          <w:p w14:paraId="76409E5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821</w:t>
            </w:r>
          </w:p>
        </w:tc>
        <w:tc>
          <w:tcPr>
            <w:tcW w:w="1275" w:type="dxa"/>
            <w:tcBorders>
              <w:top w:val="single" w:sz="4" w:space="0" w:color="auto"/>
              <w:left w:val="single" w:sz="4" w:space="0" w:color="auto"/>
              <w:bottom w:val="single" w:sz="4" w:space="0" w:color="auto"/>
              <w:right w:val="single" w:sz="4" w:space="0" w:color="auto"/>
            </w:tcBorders>
          </w:tcPr>
          <w:p w14:paraId="280874D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4" w:space="0" w:color="auto"/>
              <w:left w:val="single" w:sz="4" w:space="0" w:color="auto"/>
              <w:bottom w:val="single" w:sz="4" w:space="0" w:color="auto"/>
              <w:right w:val="single" w:sz="4" w:space="0" w:color="auto"/>
            </w:tcBorders>
          </w:tcPr>
          <w:p w14:paraId="6777E75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878</w:t>
            </w:r>
          </w:p>
        </w:tc>
        <w:tc>
          <w:tcPr>
            <w:tcW w:w="1134" w:type="dxa"/>
            <w:tcBorders>
              <w:top w:val="single" w:sz="8" w:space="0" w:color="auto"/>
              <w:left w:val="single" w:sz="4" w:space="0" w:color="auto"/>
              <w:bottom w:val="single" w:sz="8" w:space="0" w:color="auto"/>
              <w:right w:val="single" w:sz="12" w:space="0" w:color="000000"/>
            </w:tcBorders>
          </w:tcPr>
          <w:p w14:paraId="7DF4245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1A230EF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Gonzales, 1991</w:t>
            </w:r>
          </w:p>
        </w:tc>
      </w:tr>
      <w:tr w:rsidR="00632208" w:rsidRPr="0098635C" w14:paraId="4FFE9268" w14:textId="77777777" w:rsidTr="00A432B0">
        <w:trPr>
          <w:trHeight w:val="102"/>
        </w:trPr>
        <w:tc>
          <w:tcPr>
            <w:tcW w:w="1647" w:type="dxa"/>
            <w:tcBorders>
              <w:top w:val="nil"/>
              <w:left w:val="single" w:sz="4" w:space="0" w:color="auto"/>
              <w:bottom w:val="single" w:sz="8" w:space="0" w:color="auto"/>
              <w:right w:val="single" w:sz="8" w:space="0" w:color="auto"/>
            </w:tcBorders>
          </w:tcPr>
          <w:p w14:paraId="4666C0EC"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Medicago sativa</w:t>
            </w:r>
          </w:p>
        </w:tc>
        <w:tc>
          <w:tcPr>
            <w:tcW w:w="1276" w:type="dxa"/>
            <w:tcBorders>
              <w:top w:val="nil"/>
              <w:left w:val="nil"/>
              <w:bottom w:val="single" w:sz="8" w:space="0" w:color="auto"/>
              <w:right w:val="single" w:sz="8" w:space="0" w:color="auto"/>
            </w:tcBorders>
          </w:tcPr>
          <w:p w14:paraId="6F03EA6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w:t>
            </w:r>
          </w:p>
        </w:tc>
        <w:tc>
          <w:tcPr>
            <w:tcW w:w="425" w:type="dxa"/>
            <w:tcBorders>
              <w:top w:val="nil"/>
              <w:left w:val="nil"/>
              <w:bottom w:val="single" w:sz="8" w:space="0" w:color="auto"/>
              <w:right w:val="single" w:sz="8" w:space="0" w:color="auto"/>
            </w:tcBorders>
          </w:tcPr>
          <w:p w14:paraId="0443AAD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5.3</w:t>
            </w:r>
          </w:p>
        </w:tc>
        <w:tc>
          <w:tcPr>
            <w:tcW w:w="709" w:type="dxa"/>
            <w:tcBorders>
              <w:top w:val="nil"/>
              <w:left w:val="nil"/>
              <w:bottom w:val="single" w:sz="8" w:space="0" w:color="auto"/>
              <w:right w:val="single" w:sz="8" w:space="0" w:color="auto"/>
            </w:tcBorders>
          </w:tcPr>
          <w:p w14:paraId="32FDA9B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12</w:t>
            </w:r>
          </w:p>
        </w:tc>
        <w:tc>
          <w:tcPr>
            <w:tcW w:w="709" w:type="dxa"/>
            <w:tcBorders>
              <w:top w:val="nil"/>
              <w:left w:val="nil"/>
              <w:bottom w:val="single" w:sz="8" w:space="0" w:color="auto"/>
              <w:right w:val="single" w:sz="8" w:space="0" w:color="auto"/>
            </w:tcBorders>
          </w:tcPr>
          <w:p w14:paraId="4863858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2D06558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850" w:type="dxa"/>
            <w:tcBorders>
              <w:top w:val="nil"/>
              <w:left w:val="nil"/>
              <w:bottom w:val="single" w:sz="8" w:space="0" w:color="auto"/>
              <w:right w:val="single" w:sz="8" w:space="0" w:color="auto"/>
            </w:tcBorders>
          </w:tcPr>
          <w:p w14:paraId="670CBCF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6EBA392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792F7CC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4" w:space="0" w:color="auto"/>
            </w:tcBorders>
          </w:tcPr>
          <w:p w14:paraId="2DD403E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y(stp</w:t>
            </w:r>
          </w:p>
        </w:tc>
        <w:tc>
          <w:tcPr>
            <w:tcW w:w="993" w:type="dxa"/>
            <w:tcBorders>
              <w:top w:val="single" w:sz="4" w:space="0" w:color="auto"/>
              <w:left w:val="single" w:sz="4" w:space="0" w:color="auto"/>
              <w:bottom w:val="single" w:sz="4" w:space="0" w:color="auto"/>
              <w:right w:val="single" w:sz="4" w:space="0" w:color="auto"/>
            </w:tcBorders>
          </w:tcPr>
          <w:p w14:paraId="39A7057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816</w:t>
            </w:r>
          </w:p>
        </w:tc>
        <w:tc>
          <w:tcPr>
            <w:tcW w:w="1275" w:type="dxa"/>
            <w:tcBorders>
              <w:top w:val="single" w:sz="4" w:space="0" w:color="auto"/>
              <w:left w:val="single" w:sz="4" w:space="0" w:color="auto"/>
              <w:bottom w:val="single" w:sz="4" w:space="0" w:color="auto"/>
              <w:right w:val="single" w:sz="4" w:space="0" w:color="auto"/>
            </w:tcBorders>
          </w:tcPr>
          <w:p w14:paraId="5788AD4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4" w:space="0" w:color="auto"/>
              <w:left w:val="single" w:sz="4" w:space="0" w:color="auto"/>
              <w:bottom w:val="single" w:sz="4" w:space="0" w:color="auto"/>
              <w:right w:val="single" w:sz="4" w:space="0" w:color="auto"/>
            </w:tcBorders>
          </w:tcPr>
          <w:p w14:paraId="316D100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820</w:t>
            </w:r>
          </w:p>
        </w:tc>
        <w:tc>
          <w:tcPr>
            <w:tcW w:w="1134" w:type="dxa"/>
            <w:tcBorders>
              <w:top w:val="single" w:sz="8" w:space="0" w:color="auto"/>
              <w:left w:val="single" w:sz="4" w:space="0" w:color="auto"/>
              <w:bottom w:val="single" w:sz="8" w:space="0" w:color="auto"/>
              <w:right w:val="single" w:sz="12" w:space="0" w:color="000000"/>
            </w:tcBorders>
          </w:tcPr>
          <w:p w14:paraId="400BD69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nil"/>
              <w:bottom w:val="single" w:sz="8" w:space="0" w:color="auto"/>
              <w:right w:val="single" w:sz="12" w:space="0" w:color="000000"/>
            </w:tcBorders>
          </w:tcPr>
          <w:p w14:paraId="2133819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Gonzales, 1991</w:t>
            </w:r>
          </w:p>
        </w:tc>
      </w:tr>
      <w:tr w:rsidR="00632208" w:rsidRPr="0098635C" w14:paraId="37E01FAB" w14:textId="77777777" w:rsidTr="00A432B0">
        <w:trPr>
          <w:trHeight w:val="64"/>
        </w:trPr>
        <w:tc>
          <w:tcPr>
            <w:tcW w:w="1647" w:type="dxa"/>
            <w:tcBorders>
              <w:top w:val="nil"/>
              <w:left w:val="single" w:sz="4" w:space="0" w:color="auto"/>
              <w:bottom w:val="single" w:sz="8" w:space="0" w:color="auto"/>
              <w:right w:val="single" w:sz="8" w:space="0" w:color="auto"/>
            </w:tcBorders>
          </w:tcPr>
          <w:p w14:paraId="74438DD9"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Zea mays</w:t>
            </w:r>
          </w:p>
        </w:tc>
        <w:tc>
          <w:tcPr>
            <w:tcW w:w="1276" w:type="dxa"/>
            <w:tcBorders>
              <w:top w:val="nil"/>
              <w:left w:val="nil"/>
              <w:bottom w:val="single" w:sz="8" w:space="0" w:color="auto"/>
              <w:right w:val="single" w:sz="8" w:space="0" w:color="auto"/>
            </w:tcBorders>
          </w:tcPr>
          <w:p w14:paraId="5EA5B78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Peat soil</w:t>
            </w:r>
          </w:p>
        </w:tc>
        <w:tc>
          <w:tcPr>
            <w:tcW w:w="425" w:type="dxa"/>
            <w:tcBorders>
              <w:top w:val="nil"/>
              <w:left w:val="nil"/>
              <w:bottom w:val="single" w:sz="8" w:space="0" w:color="auto"/>
              <w:right w:val="single" w:sz="8" w:space="0" w:color="auto"/>
            </w:tcBorders>
          </w:tcPr>
          <w:p w14:paraId="167E1C3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5.2</w:t>
            </w:r>
          </w:p>
        </w:tc>
        <w:tc>
          <w:tcPr>
            <w:tcW w:w="709" w:type="dxa"/>
            <w:tcBorders>
              <w:top w:val="nil"/>
              <w:left w:val="nil"/>
              <w:bottom w:val="single" w:sz="8" w:space="0" w:color="auto"/>
              <w:right w:val="single" w:sz="8" w:space="0" w:color="auto"/>
            </w:tcBorders>
          </w:tcPr>
          <w:p w14:paraId="7F0C6A7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75</w:t>
            </w:r>
          </w:p>
        </w:tc>
        <w:tc>
          <w:tcPr>
            <w:tcW w:w="709" w:type="dxa"/>
            <w:tcBorders>
              <w:top w:val="nil"/>
              <w:left w:val="nil"/>
              <w:bottom w:val="single" w:sz="8" w:space="0" w:color="auto"/>
              <w:right w:val="single" w:sz="8" w:space="0" w:color="auto"/>
            </w:tcBorders>
          </w:tcPr>
          <w:p w14:paraId="1A5CB82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7210E20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76</w:t>
            </w:r>
          </w:p>
        </w:tc>
        <w:tc>
          <w:tcPr>
            <w:tcW w:w="850" w:type="dxa"/>
            <w:tcBorders>
              <w:top w:val="nil"/>
              <w:left w:val="nil"/>
              <w:bottom w:val="single" w:sz="8" w:space="0" w:color="auto"/>
              <w:right w:val="single" w:sz="8" w:space="0" w:color="auto"/>
            </w:tcBorders>
          </w:tcPr>
          <w:p w14:paraId="0CBBA25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1550039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20</w:t>
            </w:r>
          </w:p>
        </w:tc>
        <w:tc>
          <w:tcPr>
            <w:tcW w:w="709" w:type="dxa"/>
            <w:tcBorders>
              <w:top w:val="nil"/>
              <w:left w:val="nil"/>
              <w:bottom w:val="single" w:sz="8" w:space="0" w:color="auto"/>
              <w:right w:val="single" w:sz="8" w:space="0" w:color="auto"/>
            </w:tcBorders>
          </w:tcPr>
          <w:p w14:paraId="39A6170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992" w:type="dxa"/>
            <w:tcBorders>
              <w:top w:val="nil"/>
              <w:left w:val="nil"/>
              <w:bottom w:val="single" w:sz="8" w:space="0" w:color="auto"/>
              <w:right w:val="single" w:sz="4" w:space="0" w:color="auto"/>
            </w:tcBorders>
          </w:tcPr>
          <w:p w14:paraId="33CE9F0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top w:val="single" w:sz="4" w:space="0" w:color="auto"/>
              <w:left w:val="single" w:sz="4" w:space="0" w:color="auto"/>
              <w:bottom w:val="single" w:sz="4" w:space="0" w:color="auto"/>
              <w:right w:val="single" w:sz="4" w:space="0" w:color="auto"/>
            </w:tcBorders>
          </w:tcPr>
          <w:p w14:paraId="18B83C9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275" w:type="dxa"/>
            <w:tcBorders>
              <w:top w:val="single" w:sz="4" w:space="0" w:color="auto"/>
              <w:left w:val="single" w:sz="4" w:space="0" w:color="auto"/>
              <w:bottom w:val="single" w:sz="4" w:space="0" w:color="auto"/>
              <w:right w:val="single" w:sz="4" w:space="0" w:color="auto"/>
            </w:tcBorders>
          </w:tcPr>
          <w:p w14:paraId="6EFA482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&lt;200</w:t>
            </w:r>
          </w:p>
        </w:tc>
        <w:tc>
          <w:tcPr>
            <w:tcW w:w="851" w:type="dxa"/>
            <w:tcBorders>
              <w:top w:val="single" w:sz="4" w:space="0" w:color="auto"/>
              <w:left w:val="single" w:sz="4" w:space="0" w:color="auto"/>
              <w:bottom w:val="single" w:sz="4" w:space="0" w:color="auto"/>
              <w:right w:val="single" w:sz="4" w:space="0" w:color="auto"/>
            </w:tcBorders>
          </w:tcPr>
          <w:p w14:paraId="12AEAFF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134" w:type="dxa"/>
            <w:tcBorders>
              <w:top w:val="single" w:sz="8" w:space="0" w:color="auto"/>
              <w:left w:val="single" w:sz="4" w:space="0" w:color="auto"/>
              <w:bottom w:val="single" w:sz="8" w:space="0" w:color="auto"/>
              <w:right w:val="single" w:sz="12" w:space="0" w:color="000000"/>
            </w:tcBorders>
          </w:tcPr>
          <w:p w14:paraId="52A1B91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&lt;276</w:t>
            </w:r>
          </w:p>
        </w:tc>
        <w:tc>
          <w:tcPr>
            <w:tcW w:w="1984" w:type="dxa"/>
            <w:tcBorders>
              <w:top w:val="single" w:sz="8" w:space="0" w:color="auto"/>
              <w:left w:val="nil"/>
              <w:bottom w:val="single" w:sz="8" w:space="0" w:color="auto"/>
              <w:right w:val="single" w:sz="12" w:space="0" w:color="000000"/>
            </w:tcBorders>
          </w:tcPr>
          <w:p w14:paraId="2146E58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McBride, 2001</w:t>
            </w:r>
          </w:p>
        </w:tc>
      </w:tr>
      <w:tr w:rsidR="00632208" w:rsidRPr="0098635C" w14:paraId="251B474B" w14:textId="77777777" w:rsidTr="00A432B0">
        <w:trPr>
          <w:trHeight w:val="64"/>
        </w:trPr>
        <w:tc>
          <w:tcPr>
            <w:tcW w:w="1647" w:type="dxa"/>
            <w:tcBorders>
              <w:top w:val="nil"/>
              <w:left w:val="single" w:sz="4" w:space="0" w:color="auto"/>
              <w:bottom w:val="nil"/>
              <w:right w:val="single" w:sz="8" w:space="0" w:color="auto"/>
            </w:tcBorders>
          </w:tcPr>
          <w:p w14:paraId="2C2BC2BB"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Senecio vulgaris</w:t>
            </w:r>
          </w:p>
        </w:tc>
        <w:tc>
          <w:tcPr>
            <w:tcW w:w="1276" w:type="dxa"/>
            <w:tcBorders>
              <w:top w:val="nil"/>
              <w:left w:val="nil"/>
              <w:bottom w:val="nil"/>
              <w:right w:val="single" w:sz="8" w:space="0" w:color="auto"/>
            </w:tcBorders>
          </w:tcPr>
          <w:p w14:paraId="25DA511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regolithic acidic</w:t>
            </w:r>
          </w:p>
        </w:tc>
        <w:tc>
          <w:tcPr>
            <w:tcW w:w="425" w:type="dxa"/>
            <w:tcBorders>
              <w:top w:val="nil"/>
              <w:left w:val="nil"/>
              <w:bottom w:val="nil"/>
              <w:right w:val="single" w:sz="8" w:space="0" w:color="auto"/>
            </w:tcBorders>
          </w:tcPr>
          <w:p w14:paraId="4365619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4.1</w:t>
            </w:r>
          </w:p>
        </w:tc>
        <w:tc>
          <w:tcPr>
            <w:tcW w:w="709" w:type="dxa"/>
            <w:tcBorders>
              <w:top w:val="nil"/>
              <w:left w:val="nil"/>
              <w:bottom w:val="nil"/>
              <w:right w:val="single" w:sz="8" w:space="0" w:color="auto"/>
            </w:tcBorders>
          </w:tcPr>
          <w:p w14:paraId="235E3C0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709" w:type="dxa"/>
            <w:tcBorders>
              <w:top w:val="nil"/>
              <w:left w:val="nil"/>
              <w:bottom w:val="nil"/>
              <w:right w:val="single" w:sz="8" w:space="0" w:color="auto"/>
            </w:tcBorders>
          </w:tcPr>
          <w:p w14:paraId="713154F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17.5</w:t>
            </w:r>
          </w:p>
        </w:tc>
        <w:tc>
          <w:tcPr>
            <w:tcW w:w="709" w:type="dxa"/>
            <w:tcBorders>
              <w:top w:val="nil"/>
              <w:left w:val="nil"/>
              <w:bottom w:val="nil"/>
              <w:right w:val="single" w:sz="8" w:space="0" w:color="auto"/>
            </w:tcBorders>
          </w:tcPr>
          <w:p w14:paraId="0C94AC8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158</w:t>
            </w:r>
          </w:p>
        </w:tc>
        <w:tc>
          <w:tcPr>
            <w:tcW w:w="850" w:type="dxa"/>
            <w:tcBorders>
              <w:top w:val="nil"/>
              <w:left w:val="nil"/>
              <w:bottom w:val="nil"/>
              <w:right w:val="single" w:sz="8" w:space="0" w:color="auto"/>
            </w:tcBorders>
          </w:tcPr>
          <w:p w14:paraId="3EAC283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10.1</w:t>
            </w:r>
          </w:p>
        </w:tc>
        <w:tc>
          <w:tcPr>
            <w:tcW w:w="992" w:type="dxa"/>
            <w:tcBorders>
              <w:top w:val="nil"/>
              <w:left w:val="nil"/>
              <w:bottom w:val="nil"/>
              <w:right w:val="single" w:sz="8" w:space="0" w:color="auto"/>
            </w:tcBorders>
          </w:tcPr>
          <w:p w14:paraId="6D907A8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709" w:type="dxa"/>
            <w:tcBorders>
              <w:top w:val="nil"/>
              <w:left w:val="nil"/>
              <w:bottom w:val="nil"/>
              <w:right w:val="single" w:sz="8" w:space="0" w:color="auto"/>
            </w:tcBorders>
          </w:tcPr>
          <w:p w14:paraId="5AB9B37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&gt;105</w:t>
            </w:r>
          </w:p>
        </w:tc>
        <w:tc>
          <w:tcPr>
            <w:tcW w:w="992" w:type="dxa"/>
            <w:tcBorders>
              <w:top w:val="nil"/>
              <w:left w:val="nil"/>
              <w:bottom w:val="nil"/>
              <w:right w:val="single" w:sz="4" w:space="0" w:color="auto"/>
            </w:tcBorders>
          </w:tcPr>
          <w:p w14:paraId="212679A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LC10</w:t>
            </w:r>
            <w:r w:rsidRPr="0098635C">
              <w:rPr>
                <w:rFonts w:ascii="Arial Narrow" w:hAnsi="Arial Narrow" w:cs="Arial Narrow"/>
                <w:color w:val="000000" w:themeColor="text1"/>
                <w:sz w:val="20"/>
                <w:szCs w:val="20"/>
                <w:vertAlign w:val="subscript"/>
              </w:rPr>
              <w:t>m</w:t>
            </w:r>
          </w:p>
        </w:tc>
        <w:tc>
          <w:tcPr>
            <w:tcW w:w="993" w:type="dxa"/>
            <w:tcBorders>
              <w:top w:val="single" w:sz="4" w:space="0" w:color="auto"/>
              <w:left w:val="single" w:sz="4" w:space="0" w:color="auto"/>
              <w:right w:val="single" w:sz="4" w:space="0" w:color="auto"/>
            </w:tcBorders>
          </w:tcPr>
          <w:p w14:paraId="5C16CA72"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67</w:t>
            </w:r>
          </w:p>
        </w:tc>
        <w:tc>
          <w:tcPr>
            <w:tcW w:w="1275" w:type="dxa"/>
            <w:vMerge w:val="restart"/>
            <w:tcBorders>
              <w:top w:val="single" w:sz="4" w:space="0" w:color="auto"/>
              <w:left w:val="single" w:sz="4" w:space="0" w:color="auto"/>
              <w:bottom w:val="single" w:sz="4" w:space="0" w:color="auto"/>
              <w:right w:val="single" w:sz="4" w:space="0" w:color="auto"/>
            </w:tcBorders>
          </w:tcPr>
          <w:p w14:paraId="7161672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4" w:space="0" w:color="auto"/>
              <w:left w:val="single" w:sz="4" w:space="0" w:color="auto"/>
              <w:right w:val="single" w:sz="4" w:space="0" w:color="auto"/>
            </w:tcBorders>
          </w:tcPr>
          <w:p w14:paraId="40BE5686"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225</w:t>
            </w:r>
          </w:p>
        </w:tc>
        <w:tc>
          <w:tcPr>
            <w:tcW w:w="1134" w:type="dxa"/>
            <w:vMerge w:val="restart"/>
            <w:tcBorders>
              <w:top w:val="single" w:sz="8" w:space="0" w:color="auto"/>
              <w:left w:val="single" w:sz="4" w:space="0" w:color="auto"/>
              <w:bottom w:val="single" w:sz="8" w:space="0" w:color="000000"/>
              <w:right w:val="single" w:sz="12" w:space="0" w:color="000000"/>
            </w:tcBorders>
          </w:tcPr>
          <w:p w14:paraId="610A1E2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984" w:type="dxa"/>
            <w:tcBorders>
              <w:top w:val="single" w:sz="8" w:space="0" w:color="auto"/>
              <w:left w:val="single" w:sz="8" w:space="0" w:color="auto"/>
              <w:right w:val="single" w:sz="12" w:space="0" w:color="000000"/>
            </w:tcBorders>
          </w:tcPr>
          <w:p w14:paraId="5C32D4D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Brun et al (2003)</w:t>
            </w:r>
          </w:p>
        </w:tc>
      </w:tr>
      <w:tr w:rsidR="00632208" w:rsidRPr="0098635C" w14:paraId="2E3081CF" w14:textId="77777777" w:rsidTr="00A432B0">
        <w:trPr>
          <w:trHeight w:val="64"/>
        </w:trPr>
        <w:tc>
          <w:tcPr>
            <w:tcW w:w="1647" w:type="dxa"/>
            <w:tcBorders>
              <w:top w:val="nil"/>
              <w:left w:val="single" w:sz="4" w:space="0" w:color="auto"/>
              <w:bottom w:val="nil"/>
              <w:right w:val="single" w:sz="8" w:space="0" w:color="auto"/>
            </w:tcBorders>
          </w:tcPr>
          <w:p w14:paraId="228ADB45"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lastRenderedPageBreak/>
              <w:t> </w:t>
            </w:r>
          </w:p>
        </w:tc>
        <w:tc>
          <w:tcPr>
            <w:tcW w:w="1276" w:type="dxa"/>
            <w:tcBorders>
              <w:top w:val="nil"/>
              <w:left w:val="nil"/>
              <w:bottom w:val="nil"/>
              <w:right w:val="single" w:sz="8" w:space="0" w:color="auto"/>
            </w:tcBorders>
          </w:tcPr>
          <w:p w14:paraId="440AA36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regolithic acidic</w:t>
            </w:r>
          </w:p>
        </w:tc>
        <w:tc>
          <w:tcPr>
            <w:tcW w:w="425" w:type="dxa"/>
            <w:tcBorders>
              <w:top w:val="nil"/>
              <w:left w:val="nil"/>
              <w:bottom w:val="nil"/>
              <w:right w:val="single" w:sz="8" w:space="0" w:color="auto"/>
            </w:tcBorders>
          </w:tcPr>
          <w:p w14:paraId="672CAA1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4.1</w:t>
            </w:r>
          </w:p>
        </w:tc>
        <w:tc>
          <w:tcPr>
            <w:tcW w:w="709" w:type="dxa"/>
            <w:tcBorders>
              <w:top w:val="nil"/>
              <w:left w:val="nil"/>
              <w:bottom w:val="nil"/>
              <w:right w:val="single" w:sz="8" w:space="0" w:color="auto"/>
            </w:tcBorders>
          </w:tcPr>
          <w:p w14:paraId="3786539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709" w:type="dxa"/>
            <w:tcBorders>
              <w:top w:val="nil"/>
              <w:left w:val="nil"/>
              <w:bottom w:val="nil"/>
              <w:right w:val="single" w:sz="8" w:space="0" w:color="auto"/>
            </w:tcBorders>
          </w:tcPr>
          <w:p w14:paraId="37412E1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17.5</w:t>
            </w:r>
          </w:p>
        </w:tc>
        <w:tc>
          <w:tcPr>
            <w:tcW w:w="709" w:type="dxa"/>
            <w:tcBorders>
              <w:top w:val="nil"/>
              <w:left w:val="nil"/>
              <w:bottom w:val="nil"/>
              <w:right w:val="single" w:sz="8" w:space="0" w:color="auto"/>
            </w:tcBorders>
          </w:tcPr>
          <w:p w14:paraId="5A91A2E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158</w:t>
            </w:r>
          </w:p>
        </w:tc>
        <w:tc>
          <w:tcPr>
            <w:tcW w:w="850" w:type="dxa"/>
            <w:tcBorders>
              <w:top w:val="nil"/>
              <w:left w:val="nil"/>
              <w:bottom w:val="nil"/>
              <w:right w:val="single" w:sz="8" w:space="0" w:color="auto"/>
            </w:tcBorders>
          </w:tcPr>
          <w:p w14:paraId="2022AE5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10.1</w:t>
            </w:r>
          </w:p>
        </w:tc>
        <w:tc>
          <w:tcPr>
            <w:tcW w:w="992" w:type="dxa"/>
            <w:tcBorders>
              <w:top w:val="nil"/>
              <w:left w:val="nil"/>
              <w:bottom w:val="nil"/>
              <w:right w:val="single" w:sz="8" w:space="0" w:color="auto"/>
            </w:tcBorders>
          </w:tcPr>
          <w:p w14:paraId="6D870B3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709" w:type="dxa"/>
            <w:tcBorders>
              <w:top w:val="nil"/>
              <w:left w:val="nil"/>
              <w:bottom w:val="nil"/>
              <w:right w:val="single" w:sz="8" w:space="0" w:color="auto"/>
            </w:tcBorders>
          </w:tcPr>
          <w:p w14:paraId="70C5D4A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nil"/>
              <w:right w:val="single" w:sz="4" w:space="0" w:color="auto"/>
            </w:tcBorders>
          </w:tcPr>
          <w:p w14:paraId="707C1A2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EC10</w:t>
            </w:r>
            <w:r w:rsidRPr="0098635C">
              <w:rPr>
                <w:rFonts w:ascii="Arial Narrow" w:hAnsi="Arial Narrow" w:cs="Arial Narrow"/>
                <w:color w:val="000000" w:themeColor="text1"/>
                <w:sz w:val="20"/>
                <w:szCs w:val="20"/>
                <w:vertAlign w:val="subscript"/>
              </w:rPr>
              <w:t>rep</w:t>
            </w:r>
          </w:p>
        </w:tc>
        <w:tc>
          <w:tcPr>
            <w:tcW w:w="993" w:type="dxa"/>
            <w:tcBorders>
              <w:left w:val="single" w:sz="4" w:space="0" w:color="auto"/>
              <w:right w:val="single" w:sz="4" w:space="0" w:color="auto"/>
            </w:tcBorders>
          </w:tcPr>
          <w:p w14:paraId="64044460"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28</w:t>
            </w:r>
          </w:p>
        </w:tc>
        <w:tc>
          <w:tcPr>
            <w:tcW w:w="1275" w:type="dxa"/>
            <w:vMerge/>
            <w:tcBorders>
              <w:top w:val="single" w:sz="4" w:space="0" w:color="auto"/>
              <w:left w:val="single" w:sz="4" w:space="0" w:color="auto"/>
              <w:bottom w:val="single" w:sz="4" w:space="0" w:color="auto"/>
              <w:right w:val="single" w:sz="4" w:space="0" w:color="auto"/>
            </w:tcBorders>
            <w:vAlign w:val="center"/>
          </w:tcPr>
          <w:p w14:paraId="12BFFA9C"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tcBorders>
              <w:left w:val="single" w:sz="4" w:space="0" w:color="auto"/>
              <w:right w:val="single" w:sz="4" w:space="0" w:color="auto"/>
            </w:tcBorders>
          </w:tcPr>
          <w:p w14:paraId="69FDDD14"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186</w:t>
            </w:r>
          </w:p>
        </w:tc>
        <w:tc>
          <w:tcPr>
            <w:tcW w:w="1134" w:type="dxa"/>
            <w:vMerge/>
            <w:tcBorders>
              <w:top w:val="single" w:sz="8" w:space="0" w:color="auto"/>
              <w:left w:val="single" w:sz="4" w:space="0" w:color="auto"/>
              <w:bottom w:val="single" w:sz="8" w:space="0" w:color="000000"/>
              <w:right w:val="single" w:sz="12" w:space="0" w:color="000000"/>
            </w:tcBorders>
            <w:vAlign w:val="center"/>
          </w:tcPr>
          <w:p w14:paraId="4B174120"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tcBorders>
              <w:left w:val="single" w:sz="8" w:space="0" w:color="auto"/>
              <w:right w:val="single" w:sz="12" w:space="0" w:color="000000"/>
            </w:tcBorders>
          </w:tcPr>
          <w:p w14:paraId="562A41F0" w14:textId="77777777" w:rsidR="00632208" w:rsidRPr="0098635C" w:rsidRDefault="00632208" w:rsidP="00A432B0">
            <w:pPr>
              <w:spacing w:after="0"/>
              <w:jc w:val="center"/>
              <w:rPr>
                <w:rFonts w:ascii="Arial Narrow" w:hAnsi="Arial Narrow" w:cs="Arial Narrow"/>
                <w:color w:val="000000" w:themeColor="text1"/>
                <w:sz w:val="20"/>
                <w:szCs w:val="20"/>
              </w:rPr>
            </w:pPr>
          </w:p>
        </w:tc>
      </w:tr>
      <w:tr w:rsidR="00632208" w:rsidRPr="0098635C" w14:paraId="24413CA0" w14:textId="77777777" w:rsidTr="00A432B0">
        <w:trPr>
          <w:trHeight w:val="64"/>
        </w:trPr>
        <w:tc>
          <w:tcPr>
            <w:tcW w:w="1647" w:type="dxa"/>
            <w:tcBorders>
              <w:top w:val="nil"/>
              <w:left w:val="single" w:sz="4" w:space="0" w:color="auto"/>
              <w:bottom w:val="single" w:sz="4" w:space="0" w:color="auto"/>
              <w:right w:val="single" w:sz="8" w:space="0" w:color="auto"/>
            </w:tcBorders>
          </w:tcPr>
          <w:p w14:paraId="15F0B213"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 </w:t>
            </w:r>
          </w:p>
        </w:tc>
        <w:tc>
          <w:tcPr>
            <w:tcW w:w="1276" w:type="dxa"/>
            <w:tcBorders>
              <w:top w:val="nil"/>
              <w:left w:val="nil"/>
              <w:bottom w:val="single" w:sz="4" w:space="0" w:color="auto"/>
              <w:right w:val="single" w:sz="8" w:space="0" w:color="auto"/>
            </w:tcBorders>
          </w:tcPr>
          <w:p w14:paraId="4DEC4E8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regolithic acidic</w:t>
            </w:r>
          </w:p>
        </w:tc>
        <w:tc>
          <w:tcPr>
            <w:tcW w:w="425" w:type="dxa"/>
            <w:tcBorders>
              <w:top w:val="nil"/>
              <w:left w:val="nil"/>
              <w:bottom w:val="single" w:sz="4" w:space="0" w:color="auto"/>
              <w:right w:val="single" w:sz="8" w:space="0" w:color="auto"/>
            </w:tcBorders>
          </w:tcPr>
          <w:p w14:paraId="7D8C8F4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4.1</w:t>
            </w:r>
          </w:p>
        </w:tc>
        <w:tc>
          <w:tcPr>
            <w:tcW w:w="709" w:type="dxa"/>
            <w:tcBorders>
              <w:top w:val="nil"/>
              <w:left w:val="nil"/>
              <w:bottom w:val="single" w:sz="4" w:space="0" w:color="auto"/>
              <w:right w:val="single" w:sz="8" w:space="0" w:color="auto"/>
            </w:tcBorders>
          </w:tcPr>
          <w:p w14:paraId="14610CD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709" w:type="dxa"/>
            <w:tcBorders>
              <w:top w:val="nil"/>
              <w:left w:val="nil"/>
              <w:bottom w:val="single" w:sz="4" w:space="0" w:color="auto"/>
              <w:right w:val="single" w:sz="8" w:space="0" w:color="auto"/>
            </w:tcBorders>
          </w:tcPr>
          <w:p w14:paraId="6A35F4D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17.5</w:t>
            </w:r>
          </w:p>
        </w:tc>
        <w:tc>
          <w:tcPr>
            <w:tcW w:w="709" w:type="dxa"/>
            <w:tcBorders>
              <w:top w:val="nil"/>
              <w:left w:val="nil"/>
              <w:bottom w:val="single" w:sz="4" w:space="0" w:color="auto"/>
              <w:right w:val="single" w:sz="8" w:space="0" w:color="auto"/>
            </w:tcBorders>
          </w:tcPr>
          <w:p w14:paraId="32FF7F9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158</w:t>
            </w:r>
          </w:p>
        </w:tc>
        <w:tc>
          <w:tcPr>
            <w:tcW w:w="850" w:type="dxa"/>
            <w:tcBorders>
              <w:top w:val="nil"/>
              <w:left w:val="nil"/>
              <w:bottom w:val="single" w:sz="4" w:space="0" w:color="auto"/>
              <w:right w:val="single" w:sz="8" w:space="0" w:color="auto"/>
            </w:tcBorders>
          </w:tcPr>
          <w:p w14:paraId="0ECE1A9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10.1</w:t>
            </w:r>
          </w:p>
        </w:tc>
        <w:tc>
          <w:tcPr>
            <w:tcW w:w="992" w:type="dxa"/>
            <w:tcBorders>
              <w:top w:val="nil"/>
              <w:left w:val="nil"/>
              <w:bottom w:val="single" w:sz="4" w:space="0" w:color="auto"/>
              <w:right w:val="single" w:sz="8" w:space="0" w:color="auto"/>
            </w:tcBorders>
          </w:tcPr>
          <w:p w14:paraId="13DE29A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709" w:type="dxa"/>
            <w:tcBorders>
              <w:top w:val="nil"/>
              <w:left w:val="nil"/>
              <w:bottom w:val="single" w:sz="4" w:space="0" w:color="auto"/>
              <w:right w:val="single" w:sz="8" w:space="0" w:color="auto"/>
            </w:tcBorders>
          </w:tcPr>
          <w:p w14:paraId="4CF0EAF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4" w:space="0" w:color="auto"/>
              <w:right w:val="single" w:sz="4" w:space="0" w:color="auto"/>
            </w:tcBorders>
          </w:tcPr>
          <w:p w14:paraId="51731D3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EC10</w:t>
            </w:r>
            <w:r w:rsidRPr="0098635C">
              <w:rPr>
                <w:rFonts w:ascii="Arial Narrow" w:hAnsi="Arial Narrow" w:cs="Arial Narrow"/>
                <w:color w:val="000000" w:themeColor="text1"/>
                <w:sz w:val="20"/>
                <w:szCs w:val="20"/>
                <w:vertAlign w:val="subscript"/>
              </w:rPr>
              <w:t>se</w:t>
            </w:r>
          </w:p>
        </w:tc>
        <w:tc>
          <w:tcPr>
            <w:tcW w:w="993" w:type="dxa"/>
            <w:tcBorders>
              <w:left w:val="single" w:sz="4" w:space="0" w:color="auto"/>
              <w:bottom w:val="single" w:sz="4" w:space="0" w:color="auto"/>
              <w:right w:val="single" w:sz="4" w:space="0" w:color="auto"/>
            </w:tcBorders>
          </w:tcPr>
          <w:p w14:paraId="48356B47"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181</w:t>
            </w:r>
          </w:p>
        </w:tc>
        <w:tc>
          <w:tcPr>
            <w:tcW w:w="1275" w:type="dxa"/>
            <w:vMerge/>
            <w:tcBorders>
              <w:top w:val="single" w:sz="4" w:space="0" w:color="auto"/>
              <w:left w:val="single" w:sz="4" w:space="0" w:color="auto"/>
              <w:bottom w:val="single" w:sz="4" w:space="0" w:color="auto"/>
              <w:right w:val="single" w:sz="4" w:space="0" w:color="auto"/>
            </w:tcBorders>
            <w:vAlign w:val="center"/>
          </w:tcPr>
          <w:p w14:paraId="44614C86"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tcBorders>
              <w:left w:val="single" w:sz="4" w:space="0" w:color="auto"/>
              <w:bottom w:val="single" w:sz="4" w:space="0" w:color="auto"/>
              <w:right w:val="single" w:sz="4" w:space="0" w:color="auto"/>
            </w:tcBorders>
          </w:tcPr>
          <w:p w14:paraId="63C18054"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339</w:t>
            </w:r>
          </w:p>
        </w:tc>
        <w:tc>
          <w:tcPr>
            <w:tcW w:w="1134" w:type="dxa"/>
            <w:vMerge/>
            <w:tcBorders>
              <w:top w:val="single" w:sz="8" w:space="0" w:color="auto"/>
              <w:left w:val="single" w:sz="4" w:space="0" w:color="auto"/>
              <w:bottom w:val="single" w:sz="4" w:space="0" w:color="auto"/>
              <w:right w:val="single" w:sz="12" w:space="0" w:color="000000"/>
            </w:tcBorders>
            <w:vAlign w:val="center"/>
          </w:tcPr>
          <w:p w14:paraId="1164F394"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tcBorders>
              <w:left w:val="single" w:sz="8" w:space="0" w:color="auto"/>
              <w:bottom w:val="single" w:sz="4" w:space="0" w:color="auto"/>
              <w:right w:val="single" w:sz="12" w:space="0" w:color="000000"/>
            </w:tcBorders>
          </w:tcPr>
          <w:p w14:paraId="68E13F2B" w14:textId="77777777" w:rsidR="00632208" w:rsidRPr="0098635C" w:rsidRDefault="00632208" w:rsidP="00A432B0">
            <w:pPr>
              <w:spacing w:after="0"/>
              <w:jc w:val="center"/>
              <w:rPr>
                <w:rFonts w:ascii="Arial Narrow" w:hAnsi="Arial Narrow" w:cs="Arial Narrow"/>
                <w:color w:val="000000" w:themeColor="text1"/>
                <w:sz w:val="20"/>
                <w:szCs w:val="20"/>
              </w:rPr>
            </w:pPr>
          </w:p>
        </w:tc>
      </w:tr>
      <w:tr w:rsidR="00632208" w:rsidRPr="0098635C" w14:paraId="17545A1B" w14:textId="77777777" w:rsidTr="00A432B0">
        <w:trPr>
          <w:trHeight w:val="74"/>
        </w:trPr>
        <w:tc>
          <w:tcPr>
            <w:tcW w:w="1647" w:type="dxa"/>
            <w:tcBorders>
              <w:top w:val="single" w:sz="4" w:space="0" w:color="auto"/>
              <w:left w:val="single" w:sz="4" w:space="0" w:color="auto"/>
              <w:bottom w:val="nil"/>
              <w:right w:val="single" w:sz="8" w:space="0" w:color="auto"/>
            </w:tcBorders>
          </w:tcPr>
          <w:p w14:paraId="75BF7E18"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Poa annua</w:t>
            </w:r>
          </w:p>
        </w:tc>
        <w:tc>
          <w:tcPr>
            <w:tcW w:w="1276" w:type="dxa"/>
            <w:tcBorders>
              <w:top w:val="single" w:sz="4" w:space="0" w:color="auto"/>
              <w:left w:val="nil"/>
              <w:bottom w:val="nil"/>
              <w:right w:val="single" w:sz="8" w:space="0" w:color="auto"/>
            </w:tcBorders>
          </w:tcPr>
          <w:p w14:paraId="4E5552D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regolithic acidic</w:t>
            </w:r>
          </w:p>
        </w:tc>
        <w:tc>
          <w:tcPr>
            <w:tcW w:w="425" w:type="dxa"/>
            <w:tcBorders>
              <w:top w:val="single" w:sz="4" w:space="0" w:color="auto"/>
              <w:left w:val="nil"/>
              <w:bottom w:val="nil"/>
              <w:right w:val="single" w:sz="8" w:space="0" w:color="auto"/>
            </w:tcBorders>
          </w:tcPr>
          <w:p w14:paraId="3A588A6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4.1</w:t>
            </w:r>
          </w:p>
        </w:tc>
        <w:tc>
          <w:tcPr>
            <w:tcW w:w="709" w:type="dxa"/>
            <w:tcBorders>
              <w:top w:val="single" w:sz="4" w:space="0" w:color="auto"/>
              <w:left w:val="nil"/>
              <w:bottom w:val="nil"/>
              <w:right w:val="single" w:sz="8" w:space="0" w:color="auto"/>
            </w:tcBorders>
          </w:tcPr>
          <w:p w14:paraId="71C1778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709" w:type="dxa"/>
            <w:tcBorders>
              <w:top w:val="single" w:sz="4" w:space="0" w:color="auto"/>
              <w:left w:val="nil"/>
              <w:bottom w:val="nil"/>
              <w:right w:val="single" w:sz="8" w:space="0" w:color="auto"/>
            </w:tcBorders>
          </w:tcPr>
          <w:p w14:paraId="2612D95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17.5</w:t>
            </w:r>
          </w:p>
        </w:tc>
        <w:tc>
          <w:tcPr>
            <w:tcW w:w="709" w:type="dxa"/>
            <w:tcBorders>
              <w:top w:val="single" w:sz="4" w:space="0" w:color="auto"/>
              <w:left w:val="nil"/>
              <w:bottom w:val="nil"/>
              <w:right w:val="single" w:sz="8" w:space="0" w:color="auto"/>
            </w:tcBorders>
          </w:tcPr>
          <w:p w14:paraId="3C28EF7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158</w:t>
            </w:r>
          </w:p>
        </w:tc>
        <w:tc>
          <w:tcPr>
            <w:tcW w:w="850" w:type="dxa"/>
            <w:tcBorders>
              <w:top w:val="single" w:sz="4" w:space="0" w:color="auto"/>
              <w:left w:val="nil"/>
              <w:bottom w:val="nil"/>
              <w:right w:val="single" w:sz="8" w:space="0" w:color="auto"/>
            </w:tcBorders>
          </w:tcPr>
          <w:p w14:paraId="0976A02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10.1</w:t>
            </w:r>
          </w:p>
        </w:tc>
        <w:tc>
          <w:tcPr>
            <w:tcW w:w="992" w:type="dxa"/>
            <w:tcBorders>
              <w:top w:val="single" w:sz="4" w:space="0" w:color="auto"/>
              <w:left w:val="nil"/>
              <w:bottom w:val="nil"/>
              <w:right w:val="single" w:sz="8" w:space="0" w:color="auto"/>
            </w:tcBorders>
          </w:tcPr>
          <w:p w14:paraId="26EB242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709" w:type="dxa"/>
            <w:tcBorders>
              <w:top w:val="single" w:sz="4" w:space="0" w:color="auto"/>
              <w:left w:val="nil"/>
              <w:bottom w:val="nil"/>
              <w:right w:val="single" w:sz="8" w:space="0" w:color="auto"/>
            </w:tcBorders>
          </w:tcPr>
          <w:p w14:paraId="25D5DAA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210</w:t>
            </w:r>
          </w:p>
        </w:tc>
        <w:tc>
          <w:tcPr>
            <w:tcW w:w="992" w:type="dxa"/>
            <w:tcBorders>
              <w:top w:val="single" w:sz="4" w:space="0" w:color="auto"/>
              <w:left w:val="nil"/>
              <w:bottom w:val="nil"/>
              <w:right w:val="single" w:sz="4" w:space="0" w:color="auto"/>
            </w:tcBorders>
          </w:tcPr>
          <w:p w14:paraId="1832429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LC10</w:t>
            </w:r>
            <w:r w:rsidRPr="0098635C">
              <w:rPr>
                <w:rFonts w:ascii="Arial Narrow" w:hAnsi="Arial Narrow" w:cs="Arial Narrow"/>
                <w:color w:val="000000" w:themeColor="text1"/>
                <w:sz w:val="20"/>
                <w:szCs w:val="20"/>
                <w:vertAlign w:val="subscript"/>
              </w:rPr>
              <w:t>m</w:t>
            </w:r>
          </w:p>
        </w:tc>
        <w:tc>
          <w:tcPr>
            <w:tcW w:w="993" w:type="dxa"/>
            <w:tcBorders>
              <w:top w:val="single" w:sz="4" w:space="0" w:color="auto"/>
              <w:left w:val="single" w:sz="4" w:space="0" w:color="auto"/>
              <w:right w:val="single" w:sz="4" w:space="0" w:color="auto"/>
            </w:tcBorders>
          </w:tcPr>
          <w:p w14:paraId="5B3243DF"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379</w:t>
            </w:r>
          </w:p>
        </w:tc>
        <w:tc>
          <w:tcPr>
            <w:tcW w:w="1275" w:type="dxa"/>
            <w:vMerge/>
            <w:tcBorders>
              <w:top w:val="single" w:sz="4" w:space="0" w:color="auto"/>
              <w:left w:val="single" w:sz="4" w:space="0" w:color="auto"/>
              <w:bottom w:val="single" w:sz="4" w:space="0" w:color="auto"/>
              <w:right w:val="single" w:sz="4" w:space="0" w:color="auto"/>
            </w:tcBorders>
            <w:vAlign w:val="center"/>
          </w:tcPr>
          <w:p w14:paraId="32629CC0"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tcBorders>
              <w:top w:val="single" w:sz="4" w:space="0" w:color="auto"/>
              <w:left w:val="single" w:sz="4" w:space="0" w:color="auto"/>
              <w:right w:val="single" w:sz="4" w:space="0" w:color="auto"/>
            </w:tcBorders>
          </w:tcPr>
          <w:p w14:paraId="0C244A52"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537</w:t>
            </w:r>
          </w:p>
        </w:tc>
        <w:tc>
          <w:tcPr>
            <w:tcW w:w="1134" w:type="dxa"/>
            <w:vMerge/>
            <w:tcBorders>
              <w:top w:val="single" w:sz="4" w:space="0" w:color="auto"/>
              <w:left w:val="single" w:sz="4" w:space="0" w:color="auto"/>
              <w:bottom w:val="single" w:sz="8" w:space="0" w:color="000000"/>
              <w:right w:val="single" w:sz="12" w:space="0" w:color="000000"/>
            </w:tcBorders>
            <w:vAlign w:val="center"/>
          </w:tcPr>
          <w:p w14:paraId="6743D3B9"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tcBorders>
              <w:top w:val="single" w:sz="4" w:space="0" w:color="auto"/>
              <w:left w:val="single" w:sz="8" w:space="0" w:color="auto"/>
              <w:right w:val="single" w:sz="12" w:space="0" w:color="000000"/>
            </w:tcBorders>
          </w:tcPr>
          <w:p w14:paraId="301E594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Brun et al (2003)</w:t>
            </w:r>
          </w:p>
        </w:tc>
      </w:tr>
      <w:tr w:rsidR="00632208" w:rsidRPr="0098635C" w14:paraId="37368ED9" w14:textId="77777777" w:rsidTr="00A432B0">
        <w:trPr>
          <w:trHeight w:val="64"/>
        </w:trPr>
        <w:tc>
          <w:tcPr>
            <w:tcW w:w="1647" w:type="dxa"/>
            <w:tcBorders>
              <w:top w:val="nil"/>
              <w:left w:val="single" w:sz="4" w:space="0" w:color="auto"/>
              <w:right w:val="single" w:sz="8" w:space="0" w:color="auto"/>
            </w:tcBorders>
          </w:tcPr>
          <w:p w14:paraId="1A1178B4"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 </w:t>
            </w:r>
          </w:p>
        </w:tc>
        <w:tc>
          <w:tcPr>
            <w:tcW w:w="1276" w:type="dxa"/>
            <w:tcBorders>
              <w:top w:val="nil"/>
              <w:left w:val="nil"/>
              <w:right w:val="single" w:sz="8" w:space="0" w:color="auto"/>
            </w:tcBorders>
          </w:tcPr>
          <w:p w14:paraId="2B50626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regolithic acidic</w:t>
            </w:r>
          </w:p>
        </w:tc>
        <w:tc>
          <w:tcPr>
            <w:tcW w:w="425" w:type="dxa"/>
            <w:tcBorders>
              <w:top w:val="nil"/>
              <w:left w:val="nil"/>
              <w:right w:val="single" w:sz="8" w:space="0" w:color="auto"/>
            </w:tcBorders>
          </w:tcPr>
          <w:p w14:paraId="45DB575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4.1</w:t>
            </w:r>
          </w:p>
        </w:tc>
        <w:tc>
          <w:tcPr>
            <w:tcW w:w="709" w:type="dxa"/>
            <w:tcBorders>
              <w:top w:val="nil"/>
              <w:left w:val="nil"/>
              <w:right w:val="single" w:sz="8" w:space="0" w:color="auto"/>
            </w:tcBorders>
          </w:tcPr>
          <w:p w14:paraId="0AB37E1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709" w:type="dxa"/>
            <w:tcBorders>
              <w:top w:val="nil"/>
              <w:left w:val="nil"/>
              <w:right w:val="single" w:sz="8" w:space="0" w:color="auto"/>
            </w:tcBorders>
          </w:tcPr>
          <w:p w14:paraId="22F973D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17.5</w:t>
            </w:r>
          </w:p>
        </w:tc>
        <w:tc>
          <w:tcPr>
            <w:tcW w:w="709" w:type="dxa"/>
            <w:tcBorders>
              <w:top w:val="nil"/>
              <w:left w:val="nil"/>
              <w:right w:val="single" w:sz="8" w:space="0" w:color="auto"/>
            </w:tcBorders>
          </w:tcPr>
          <w:p w14:paraId="56DD515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158</w:t>
            </w:r>
          </w:p>
        </w:tc>
        <w:tc>
          <w:tcPr>
            <w:tcW w:w="850" w:type="dxa"/>
            <w:tcBorders>
              <w:top w:val="nil"/>
              <w:left w:val="nil"/>
              <w:right w:val="single" w:sz="8" w:space="0" w:color="auto"/>
            </w:tcBorders>
          </w:tcPr>
          <w:p w14:paraId="0385B7A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10.1</w:t>
            </w:r>
          </w:p>
        </w:tc>
        <w:tc>
          <w:tcPr>
            <w:tcW w:w="992" w:type="dxa"/>
            <w:tcBorders>
              <w:top w:val="nil"/>
              <w:left w:val="nil"/>
              <w:right w:val="single" w:sz="8" w:space="0" w:color="auto"/>
            </w:tcBorders>
          </w:tcPr>
          <w:p w14:paraId="3BE3DEC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709" w:type="dxa"/>
            <w:tcBorders>
              <w:top w:val="nil"/>
              <w:left w:val="nil"/>
              <w:right w:val="single" w:sz="8" w:space="0" w:color="auto"/>
            </w:tcBorders>
          </w:tcPr>
          <w:p w14:paraId="2FE6795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right w:val="single" w:sz="4" w:space="0" w:color="auto"/>
            </w:tcBorders>
          </w:tcPr>
          <w:p w14:paraId="37C9106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EC10</w:t>
            </w:r>
            <w:r w:rsidRPr="0098635C">
              <w:rPr>
                <w:rFonts w:ascii="Arial Narrow" w:hAnsi="Arial Narrow" w:cs="Arial Narrow"/>
                <w:color w:val="000000" w:themeColor="text1"/>
                <w:sz w:val="20"/>
                <w:szCs w:val="20"/>
                <w:vertAlign w:val="subscript"/>
              </w:rPr>
              <w:t>rep</w:t>
            </w:r>
          </w:p>
        </w:tc>
        <w:tc>
          <w:tcPr>
            <w:tcW w:w="993" w:type="dxa"/>
            <w:tcBorders>
              <w:left w:val="single" w:sz="4" w:space="0" w:color="auto"/>
              <w:right w:val="single" w:sz="4" w:space="0" w:color="auto"/>
            </w:tcBorders>
          </w:tcPr>
          <w:p w14:paraId="37867863"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42</w:t>
            </w:r>
          </w:p>
        </w:tc>
        <w:tc>
          <w:tcPr>
            <w:tcW w:w="1275" w:type="dxa"/>
            <w:vMerge/>
            <w:tcBorders>
              <w:top w:val="single" w:sz="4" w:space="0" w:color="auto"/>
              <w:left w:val="single" w:sz="4" w:space="0" w:color="auto"/>
              <w:bottom w:val="single" w:sz="4" w:space="0" w:color="auto"/>
              <w:right w:val="single" w:sz="4" w:space="0" w:color="auto"/>
            </w:tcBorders>
            <w:vAlign w:val="center"/>
          </w:tcPr>
          <w:p w14:paraId="3CC54050"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tcBorders>
              <w:left w:val="single" w:sz="4" w:space="0" w:color="auto"/>
              <w:right w:val="single" w:sz="4" w:space="0" w:color="auto"/>
            </w:tcBorders>
          </w:tcPr>
          <w:p w14:paraId="76410870"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200</w:t>
            </w:r>
          </w:p>
        </w:tc>
        <w:tc>
          <w:tcPr>
            <w:tcW w:w="1134" w:type="dxa"/>
            <w:vMerge/>
            <w:tcBorders>
              <w:top w:val="single" w:sz="8" w:space="0" w:color="auto"/>
              <w:left w:val="single" w:sz="4" w:space="0" w:color="auto"/>
              <w:bottom w:val="single" w:sz="8" w:space="0" w:color="000000"/>
              <w:right w:val="single" w:sz="12" w:space="0" w:color="000000"/>
            </w:tcBorders>
            <w:vAlign w:val="center"/>
          </w:tcPr>
          <w:p w14:paraId="37EDA68D"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tcBorders>
              <w:left w:val="single" w:sz="8" w:space="0" w:color="auto"/>
              <w:right w:val="single" w:sz="12" w:space="0" w:color="000000"/>
            </w:tcBorders>
          </w:tcPr>
          <w:p w14:paraId="331B3E6C" w14:textId="77777777" w:rsidR="00632208" w:rsidRPr="0098635C" w:rsidRDefault="00632208" w:rsidP="00A432B0">
            <w:pPr>
              <w:spacing w:after="0"/>
              <w:jc w:val="center"/>
              <w:rPr>
                <w:rFonts w:ascii="Arial Narrow" w:hAnsi="Arial Narrow" w:cs="Arial Narrow"/>
                <w:color w:val="000000" w:themeColor="text1"/>
                <w:sz w:val="20"/>
                <w:szCs w:val="20"/>
              </w:rPr>
            </w:pPr>
          </w:p>
        </w:tc>
      </w:tr>
      <w:tr w:rsidR="00632208" w:rsidRPr="0098635C" w14:paraId="1E5FCB64" w14:textId="77777777" w:rsidTr="00A432B0">
        <w:trPr>
          <w:trHeight w:val="64"/>
        </w:trPr>
        <w:tc>
          <w:tcPr>
            <w:tcW w:w="1647" w:type="dxa"/>
            <w:tcBorders>
              <w:top w:val="nil"/>
              <w:left w:val="single" w:sz="4" w:space="0" w:color="auto"/>
              <w:bottom w:val="single" w:sz="4" w:space="0" w:color="auto"/>
              <w:right w:val="single" w:sz="8" w:space="0" w:color="auto"/>
            </w:tcBorders>
          </w:tcPr>
          <w:p w14:paraId="4312FDF6"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 </w:t>
            </w:r>
          </w:p>
        </w:tc>
        <w:tc>
          <w:tcPr>
            <w:tcW w:w="1276" w:type="dxa"/>
            <w:tcBorders>
              <w:top w:val="nil"/>
              <w:left w:val="nil"/>
              <w:bottom w:val="single" w:sz="4" w:space="0" w:color="auto"/>
              <w:right w:val="single" w:sz="8" w:space="0" w:color="auto"/>
            </w:tcBorders>
          </w:tcPr>
          <w:p w14:paraId="4AA5AC1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regolithic acidic</w:t>
            </w:r>
          </w:p>
        </w:tc>
        <w:tc>
          <w:tcPr>
            <w:tcW w:w="425" w:type="dxa"/>
            <w:tcBorders>
              <w:top w:val="nil"/>
              <w:left w:val="nil"/>
              <w:bottom w:val="single" w:sz="4" w:space="0" w:color="auto"/>
              <w:right w:val="single" w:sz="8" w:space="0" w:color="auto"/>
            </w:tcBorders>
          </w:tcPr>
          <w:p w14:paraId="50C8EE5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4.1</w:t>
            </w:r>
          </w:p>
        </w:tc>
        <w:tc>
          <w:tcPr>
            <w:tcW w:w="709" w:type="dxa"/>
            <w:tcBorders>
              <w:top w:val="nil"/>
              <w:left w:val="nil"/>
              <w:bottom w:val="single" w:sz="4" w:space="0" w:color="auto"/>
              <w:right w:val="single" w:sz="8" w:space="0" w:color="auto"/>
            </w:tcBorders>
          </w:tcPr>
          <w:p w14:paraId="476D3C1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709" w:type="dxa"/>
            <w:tcBorders>
              <w:top w:val="nil"/>
              <w:left w:val="nil"/>
              <w:bottom w:val="single" w:sz="4" w:space="0" w:color="auto"/>
              <w:right w:val="single" w:sz="8" w:space="0" w:color="auto"/>
            </w:tcBorders>
          </w:tcPr>
          <w:p w14:paraId="44A794E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17.5</w:t>
            </w:r>
          </w:p>
        </w:tc>
        <w:tc>
          <w:tcPr>
            <w:tcW w:w="709" w:type="dxa"/>
            <w:tcBorders>
              <w:top w:val="nil"/>
              <w:left w:val="nil"/>
              <w:bottom w:val="single" w:sz="4" w:space="0" w:color="auto"/>
              <w:right w:val="single" w:sz="8" w:space="0" w:color="auto"/>
            </w:tcBorders>
          </w:tcPr>
          <w:p w14:paraId="6C0730A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158</w:t>
            </w:r>
          </w:p>
        </w:tc>
        <w:tc>
          <w:tcPr>
            <w:tcW w:w="850" w:type="dxa"/>
            <w:tcBorders>
              <w:top w:val="nil"/>
              <w:left w:val="nil"/>
              <w:bottom w:val="single" w:sz="4" w:space="0" w:color="auto"/>
              <w:right w:val="single" w:sz="8" w:space="0" w:color="auto"/>
            </w:tcBorders>
          </w:tcPr>
          <w:p w14:paraId="6AE1C03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10.1</w:t>
            </w:r>
          </w:p>
        </w:tc>
        <w:tc>
          <w:tcPr>
            <w:tcW w:w="992" w:type="dxa"/>
            <w:tcBorders>
              <w:top w:val="nil"/>
              <w:left w:val="nil"/>
              <w:bottom w:val="single" w:sz="4" w:space="0" w:color="auto"/>
              <w:right w:val="single" w:sz="8" w:space="0" w:color="auto"/>
            </w:tcBorders>
          </w:tcPr>
          <w:p w14:paraId="7197160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709" w:type="dxa"/>
            <w:tcBorders>
              <w:top w:val="nil"/>
              <w:left w:val="nil"/>
              <w:bottom w:val="single" w:sz="4" w:space="0" w:color="auto"/>
              <w:right w:val="single" w:sz="8" w:space="0" w:color="auto"/>
            </w:tcBorders>
          </w:tcPr>
          <w:p w14:paraId="4C35F37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4" w:space="0" w:color="auto"/>
              <w:right w:val="single" w:sz="4" w:space="0" w:color="auto"/>
            </w:tcBorders>
          </w:tcPr>
          <w:p w14:paraId="4CCA417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EC10</w:t>
            </w:r>
            <w:r w:rsidRPr="0098635C">
              <w:rPr>
                <w:rFonts w:ascii="Arial Narrow" w:hAnsi="Arial Narrow" w:cs="Arial Narrow"/>
                <w:color w:val="000000" w:themeColor="text1"/>
                <w:sz w:val="20"/>
                <w:szCs w:val="20"/>
                <w:vertAlign w:val="subscript"/>
              </w:rPr>
              <w:t>se</w:t>
            </w:r>
          </w:p>
        </w:tc>
        <w:tc>
          <w:tcPr>
            <w:tcW w:w="993" w:type="dxa"/>
            <w:tcBorders>
              <w:left w:val="single" w:sz="4" w:space="0" w:color="auto"/>
              <w:bottom w:val="single" w:sz="4" w:space="0" w:color="auto"/>
              <w:right w:val="single" w:sz="4" w:space="0" w:color="auto"/>
            </w:tcBorders>
          </w:tcPr>
          <w:p w14:paraId="063DA01D"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158</w:t>
            </w:r>
          </w:p>
        </w:tc>
        <w:tc>
          <w:tcPr>
            <w:tcW w:w="1275" w:type="dxa"/>
            <w:vMerge/>
            <w:tcBorders>
              <w:top w:val="single" w:sz="4" w:space="0" w:color="auto"/>
              <w:left w:val="single" w:sz="4" w:space="0" w:color="auto"/>
              <w:bottom w:val="single" w:sz="4" w:space="0" w:color="auto"/>
              <w:right w:val="single" w:sz="4" w:space="0" w:color="auto"/>
            </w:tcBorders>
            <w:vAlign w:val="center"/>
          </w:tcPr>
          <w:p w14:paraId="05342905"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tcBorders>
              <w:left w:val="single" w:sz="4" w:space="0" w:color="auto"/>
              <w:bottom w:val="single" w:sz="4" w:space="0" w:color="auto"/>
              <w:right w:val="single" w:sz="4" w:space="0" w:color="auto"/>
            </w:tcBorders>
          </w:tcPr>
          <w:p w14:paraId="3D1645EF"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316</w:t>
            </w:r>
          </w:p>
        </w:tc>
        <w:tc>
          <w:tcPr>
            <w:tcW w:w="1134" w:type="dxa"/>
            <w:vMerge/>
            <w:tcBorders>
              <w:top w:val="single" w:sz="8" w:space="0" w:color="auto"/>
              <w:left w:val="single" w:sz="4" w:space="0" w:color="auto"/>
              <w:bottom w:val="single" w:sz="8" w:space="0" w:color="000000"/>
              <w:right w:val="single" w:sz="12" w:space="0" w:color="000000"/>
            </w:tcBorders>
            <w:vAlign w:val="center"/>
          </w:tcPr>
          <w:p w14:paraId="1A85C69B"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tcBorders>
              <w:left w:val="single" w:sz="8" w:space="0" w:color="auto"/>
              <w:bottom w:val="single" w:sz="8" w:space="0" w:color="000000"/>
              <w:right w:val="single" w:sz="12" w:space="0" w:color="000000"/>
            </w:tcBorders>
          </w:tcPr>
          <w:p w14:paraId="1920E78D" w14:textId="77777777" w:rsidR="00632208" w:rsidRPr="0098635C" w:rsidRDefault="00632208" w:rsidP="00A432B0">
            <w:pPr>
              <w:spacing w:after="0"/>
              <w:jc w:val="center"/>
              <w:rPr>
                <w:rFonts w:ascii="Arial Narrow" w:hAnsi="Arial Narrow" w:cs="Arial Narrow"/>
                <w:color w:val="000000" w:themeColor="text1"/>
                <w:sz w:val="20"/>
                <w:szCs w:val="20"/>
              </w:rPr>
            </w:pPr>
          </w:p>
        </w:tc>
      </w:tr>
      <w:tr w:rsidR="00632208" w:rsidRPr="0098635C" w14:paraId="4D662A33" w14:textId="77777777" w:rsidTr="00A432B0">
        <w:trPr>
          <w:trHeight w:val="64"/>
        </w:trPr>
        <w:tc>
          <w:tcPr>
            <w:tcW w:w="1647" w:type="dxa"/>
            <w:tcBorders>
              <w:top w:val="single" w:sz="4" w:space="0" w:color="auto"/>
              <w:left w:val="single" w:sz="4" w:space="0" w:color="auto"/>
              <w:bottom w:val="nil"/>
              <w:right w:val="single" w:sz="8" w:space="0" w:color="auto"/>
            </w:tcBorders>
          </w:tcPr>
          <w:p w14:paraId="5C0A7386"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Andryala integrifolia</w:t>
            </w:r>
          </w:p>
        </w:tc>
        <w:tc>
          <w:tcPr>
            <w:tcW w:w="1276" w:type="dxa"/>
            <w:tcBorders>
              <w:top w:val="single" w:sz="4" w:space="0" w:color="auto"/>
              <w:left w:val="nil"/>
              <w:bottom w:val="nil"/>
              <w:right w:val="single" w:sz="8" w:space="0" w:color="auto"/>
            </w:tcBorders>
          </w:tcPr>
          <w:p w14:paraId="17FEBE5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regolithic acidic</w:t>
            </w:r>
          </w:p>
        </w:tc>
        <w:tc>
          <w:tcPr>
            <w:tcW w:w="425" w:type="dxa"/>
            <w:tcBorders>
              <w:top w:val="single" w:sz="4" w:space="0" w:color="auto"/>
              <w:left w:val="nil"/>
              <w:bottom w:val="nil"/>
              <w:right w:val="single" w:sz="8" w:space="0" w:color="auto"/>
            </w:tcBorders>
          </w:tcPr>
          <w:p w14:paraId="22D9B1B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4.1</w:t>
            </w:r>
          </w:p>
        </w:tc>
        <w:tc>
          <w:tcPr>
            <w:tcW w:w="709" w:type="dxa"/>
            <w:tcBorders>
              <w:top w:val="single" w:sz="4" w:space="0" w:color="auto"/>
              <w:left w:val="nil"/>
              <w:bottom w:val="nil"/>
              <w:right w:val="single" w:sz="8" w:space="0" w:color="auto"/>
            </w:tcBorders>
          </w:tcPr>
          <w:p w14:paraId="1484126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709" w:type="dxa"/>
            <w:tcBorders>
              <w:top w:val="single" w:sz="4" w:space="0" w:color="auto"/>
              <w:left w:val="nil"/>
              <w:bottom w:val="nil"/>
              <w:right w:val="single" w:sz="8" w:space="0" w:color="auto"/>
            </w:tcBorders>
          </w:tcPr>
          <w:p w14:paraId="29C2A72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17.5</w:t>
            </w:r>
          </w:p>
        </w:tc>
        <w:tc>
          <w:tcPr>
            <w:tcW w:w="709" w:type="dxa"/>
            <w:tcBorders>
              <w:top w:val="single" w:sz="4" w:space="0" w:color="auto"/>
              <w:left w:val="nil"/>
              <w:bottom w:val="nil"/>
              <w:right w:val="single" w:sz="8" w:space="0" w:color="auto"/>
            </w:tcBorders>
          </w:tcPr>
          <w:p w14:paraId="2B9248D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158</w:t>
            </w:r>
          </w:p>
        </w:tc>
        <w:tc>
          <w:tcPr>
            <w:tcW w:w="850" w:type="dxa"/>
            <w:tcBorders>
              <w:top w:val="single" w:sz="4" w:space="0" w:color="auto"/>
              <w:left w:val="nil"/>
              <w:bottom w:val="nil"/>
              <w:right w:val="single" w:sz="8" w:space="0" w:color="auto"/>
            </w:tcBorders>
          </w:tcPr>
          <w:p w14:paraId="2600841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10.1</w:t>
            </w:r>
          </w:p>
        </w:tc>
        <w:tc>
          <w:tcPr>
            <w:tcW w:w="992" w:type="dxa"/>
            <w:tcBorders>
              <w:top w:val="single" w:sz="4" w:space="0" w:color="auto"/>
              <w:left w:val="nil"/>
              <w:bottom w:val="nil"/>
              <w:right w:val="single" w:sz="8" w:space="0" w:color="auto"/>
            </w:tcBorders>
          </w:tcPr>
          <w:p w14:paraId="7CD8647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709" w:type="dxa"/>
            <w:tcBorders>
              <w:top w:val="single" w:sz="4" w:space="0" w:color="auto"/>
              <w:left w:val="nil"/>
              <w:bottom w:val="nil"/>
              <w:right w:val="single" w:sz="8" w:space="0" w:color="auto"/>
            </w:tcBorders>
          </w:tcPr>
          <w:p w14:paraId="1492D13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&gt;175</w:t>
            </w:r>
          </w:p>
        </w:tc>
        <w:tc>
          <w:tcPr>
            <w:tcW w:w="992" w:type="dxa"/>
            <w:tcBorders>
              <w:top w:val="single" w:sz="4" w:space="0" w:color="auto"/>
              <w:left w:val="nil"/>
              <w:bottom w:val="nil"/>
              <w:right w:val="single" w:sz="4" w:space="0" w:color="auto"/>
            </w:tcBorders>
          </w:tcPr>
          <w:p w14:paraId="5F72115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LC10</w:t>
            </w:r>
            <w:r w:rsidRPr="0098635C">
              <w:rPr>
                <w:rFonts w:ascii="Arial Narrow" w:hAnsi="Arial Narrow" w:cs="Arial Narrow"/>
                <w:color w:val="000000" w:themeColor="text1"/>
                <w:sz w:val="20"/>
                <w:szCs w:val="20"/>
                <w:vertAlign w:val="subscript"/>
              </w:rPr>
              <w:t>m</w:t>
            </w:r>
          </w:p>
        </w:tc>
        <w:tc>
          <w:tcPr>
            <w:tcW w:w="993" w:type="dxa"/>
            <w:tcBorders>
              <w:top w:val="single" w:sz="4" w:space="0" w:color="auto"/>
              <w:left w:val="single" w:sz="4" w:space="0" w:color="auto"/>
              <w:right w:val="single" w:sz="4" w:space="0" w:color="auto"/>
            </w:tcBorders>
          </w:tcPr>
          <w:p w14:paraId="3610EE75"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76</w:t>
            </w:r>
          </w:p>
        </w:tc>
        <w:tc>
          <w:tcPr>
            <w:tcW w:w="1275" w:type="dxa"/>
            <w:vMerge/>
            <w:tcBorders>
              <w:top w:val="single" w:sz="4" w:space="0" w:color="auto"/>
              <w:left w:val="single" w:sz="4" w:space="0" w:color="auto"/>
              <w:bottom w:val="single" w:sz="4" w:space="0" w:color="auto"/>
              <w:right w:val="single" w:sz="4" w:space="0" w:color="auto"/>
            </w:tcBorders>
            <w:vAlign w:val="center"/>
          </w:tcPr>
          <w:p w14:paraId="4298D7E5"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tcBorders>
              <w:top w:val="single" w:sz="4" w:space="0" w:color="auto"/>
              <w:left w:val="single" w:sz="4" w:space="0" w:color="auto"/>
              <w:right w:val="single" w:sz="4" w:space="0" w:color="auto"/>
            </w:tcBorders>
          </w:tcPr>
          <w:p w14:paraId="7C9F3A6A"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234</w:t>
            </w:r>
          </w:p>
        </w:tc>
        <w:tc>
          <w:tcPr>
            <w:tcW w:w="1134" w:type="dxa"/>
            <w:vMerge/>
            <w:tcBorders>
              <w:top w:val="single" w:sz="8" w:space="0" w:color="auto"/>
              <w:left w:val="single" w:sz="4" w:space="0" w:color="auto"/>
              <w:bottom w:val="single" w:sz="8" w:space="0" w:color="000000"/>
              <w:right w:val="single" w:sz="12" w:space="0" w:color="000000"/>
            </w:tcBorders>
            <w:vAlign w:val="center"/>
          </w:tcPr>
          <w:p w14:paraId="0390E6A1"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tcBorders>
              <w:top w:val="single" w:sz="8" w:space="0" w:color="000000"/>
              <w:left w:val="single" w:sz="8" w:space="0" w:color="auto"/>
              <w:right w:val="single" w:sz="12" w:space="0" w:color="000000"/>
            </w:tcBorders>
          </w:tcPr>
          <w:p w14:paraId="68EC542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Brun et al (2003)</w:t>
            </w:r>
          </w:p>
        </w:tc>
      </w:tr>
      <w:tr w:rsidR="00632208" w:rsidRPr="0098635C" w14:paraId="3A4C79CF" w14:textId="77777777" w:rsidTr="00A432B0">
        <w:trPr>
          <w:trHeight w:val="64"/>
        </w:trPr>
        <w:tc>
          <w:tcPr>
            <w:tcW w:w="1647" w:type="dxa"/>
            <w:tcBorders>
              <w:top w:val="nil"/>
              <w:left w:val="single" w:sz="4" w:space="0" w:color="auto"/>
              <w:right w:val="single" w:sz="8" w:space="0" w:color="auto"/>
            </w:tcBorders>
          </w:tcPr>
          <w:p w14:paraId="636DB6EC"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 </w:t>
            </w:r>
          </w:p>
        </w:tc>
        <w:tc>
          <w:tcPr>
            <w:tcW w:w="1276" w:type="dxa"/>
            <w:tcBorders>
              <w:top w:val="nil"/>
              <w:left w:val="nil"/>
              <w:right w:val="single" w:sz="8" w:space="0" w:color="auto"/>
            </w:tcBorders>
          </w:tcPr>
          <w:p w14:paraId="030F781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regolithic acidic</w:t>
            </w:r>
          </w:p>
        </w:tc>
        <w:tc>
          <w:tcPr>
            <w:tcW w:w="425" w:type="dxa"/>
            <w:tcBorders>
              <w:top w:val="nil"/>
              <w:left w:val="nil"/>
              <w:right w:val="single" w:sz="8" w:space="0" w:color="auto"/>
            </w:tcBorders>
          </w:tcPr>
          <w:p w14:paraId="037FDE7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4.1</w:t>
            </w:r>
          </w:p>
        </w:tc>
        <w:tc>
          <w:tcPr>
            <w:tcW w:w="709" w:type="dxa"/>
            <w:tcBorders>
              <w:top w:val="nil"/>
              <w:left w:val="nil"/>
              <w:right w:val="single" w:sz="8" w:space="0" w:color="auto"/>
            </w:tcBorders>
          </w:tcPr>
          <w:p w14:paraId="5B85F3E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709" w:type="dxa"/>
            <w:tcBorders>
              <w:top w:val="nil"/>
              <w:left w:val="nil"/>
              <w:right w:val="single" w:sz="8" w:space="0" w:color="auto"/>
            </w:tcBorders>
          </w:tcPr>
          <w:p w14:paraId="3CEA43F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17.5</w:t>
            </w:r>
          </w:p>
        </w:tc>
        <w:tc>
          <w:tcPr>
            <w:tcW w:w="709" w:type="dxa"/>
            <w:tcBorders>
              <w:top w:val="nil"/>
              <w:left w:val="nil"/>
              <w:right w:val="single" w:sz="8" w:space="0" w:color="auto"/>
            </w:tcBorders>
          </w:tcPr>
          <w:p w14:paraId="023D421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158</w:t>
            </w:r>
          </w:p>
        </w:tc>
        <w:tc>
          <w:tcPr>
            <w:tcW w:w="850" w:type="dxa"/>
            <w:tcBorders>
              <w:top w:val="nil"/>
              <w:left w:val="nil"/>
              <w:right w:val="single" w:sz="8" w:space="0" w:color="auto"/>
            </w:tcBorders>
          </w:tcPr>
          <w:p w14:paraId="031DB93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10.1</w:t>
            </w:r>
          </w:p>
        </w:tc>
        <w:tc>
          <w:tcPr>
            <w:tcW w:w="992" w:type="dxa"/>
            <w:tcBorders>
              <w:top w:val="nil"/>
              <w:left w:val="nil"/>
              <w:right w:val="single" w:sz="8" w:space="0" w:color="auto"/>
            </w:tcBorders>
          </w:tcPr>
          <w:p w14:paraId="2657175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709" w:type="dxa"/>
            <w:tcBorders>
              <w:top w:val="nil"/>
              <w:left w:val="nil"/>
              <w:right w:val="single" w:sz="8" w:space="0" w:color="auto"/>
            </w:tcBorders>
          </w:tcPr>
          <w:p w14:paraId="7626994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right w:val="single" w:sz="4" w:space="0" w:color="auto"/>
            </w:tcBorders>
          </w:tcPr>
          <w:p w14:paraId="41D3DC1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EC10</w:t>
            </w:r>
            <w:r w:rsidRPr="0098635C">
              <w:rPr>
                <w:rFonts w:ascii="Arial Narrow" w:hAnsi="Arial Narrow" w:cs="Arial Narrow"/>
                <w:color w:val="000000" w:themeColor="text1"/>
                <w:sz w:val="20"/>
                <w:szCs w:val="20"/>
                <w:vertAlign w:val="subscript"/>
              </w:rPr>
              <w:t>rep</w:t>
            </w:r>
          </w:p>
        </w:tc>
        <w:tc>
          <w:tcPr>
            <w:tcW w:w="993" w:type="dxa"/>
            <w:tcBorders>
              <w:left w:val="single" w:sz="4" w:space="0" w:color="auto"/>
              <w:right w:val="single" w:sz="4" w:space="0" w:color="auto"/>
            </w:tcBorders>
          </w:tcPr>
          <w:p w14:paraId="77B026C3"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w:t>
            </w:r>
          </w:p>
        </w:tc>
        <w:tc>
          <w:tcPr>
            <w:tcW w:w="1275" w:type="dxa"/>
            <w:vMerge/>
            <w:tcBorders>
              <w:top w:val="single" w:sz="4" w:space="0" w:color="auto"/>
              <w:left w:val="single" w:sz="4" w:space="0" w:color="auto"/>
              <w:bottom w:val="single" w:sz="4" w:space="0" w:color="auto"/>
              <w:right w:val="single" w:sz="4" w:space="0" w:color="auto"/>
            </w:tcBorders>
            <w:vAlign w:val="center"/>
          </w:tcPr>
          <w:p w14:paraId="3BCC0C10"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tcBorders>
              <w:left w:val="single" w:sz="4" w:space="0" w:color="auto"/>
              <w:right w:val="single" w:sz="4" w:space="0" w:color="auto"/>
            </w:tcBorders>
          </w:tcPr>
          <w:p w14:paraId="1DF79A28"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w:t>
            </w:r>
          </w:p>
        </w:tc>
        <w:tc>
          <w:tcPr>
            <w:tcW w:w="1134" w:type="dxa"/>
            <w:vMerge/>
            <w:tcBorders>
              <w:top w:val="single" w:sz="8" w:space="0" w:color="auto"/>
              <w:left w:val="single" w:sz="4" w:space="0" w:color="auto"/>
              <w:bottom w:val="single" w:sz="8" w:space="0" w:color="000000"/>
              <w:right w:val="single" w:sz="12" w:space="0" w:color="000000"/>
            </w:tcBorders>
            <w:vAlign w:val="center"/>
          </w:tcPr>
          <w:p w14:paraId="3EE1A9ED"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tcBorders>
              <w:left w:val="single" w:sz="8" w:space="0" w:color="auto"/>
              <w:right w:val="single" w:sz="12" w:space="0" w:color="000000"/>
            </w:tcBorders>
          </w:tcPr>
          <w:p w14:paraId="7240C82E" w14:textId="77777777" w:rsidR="00632208" w:rsidRPr="0098635C" w:rsidRDefault="00632208" w:rsidP="00A432B0">
            <w:pPr>
              <w:spacing w:after="0"/>
              <w:jc w:val="center"/>
              <w:rPr>
                <w:rFonts w:ascii="Arial Narrow" w:hAnsi="Arial Narrow" w:cs="Arial Narrow"/>
                <w:color w:val="000000" w:themeColor="text1"/>
                <w:sz w:val="20"/>
                <w:szCs w:val="20"/>
              </w:rPr>
            </w:pPr>
          </w:p>
        </w:tc>
      </w:tr>
      <w:tr w:rsidR="00632208" w:rsidRPr="0098635C" w14:paraId="73706FCE" w14:textId="77777777" w:rsidTr="00A432B0">
        <w:trPr>
          <w:trHeight w:val="64"/>
        </w:trPr>
        <w:tc>
          <w:tcPr>
            <w:tcW w:w="1647" w:type="dxa"/>
            <w:tcBorders>
              <w:top w:val="nil"/>
              <w:left w:val="single" w:sz="4" w:space="0" w:color="auto"/>
              <w:bottom w:val="single" w:sz="4" w:space="0" w:color="auto"/>
              <w:right w:val="single" w:sz="8" w:space="0" w:color="auto"/>
            </w:tcBorders>
          </w:tcPr>
          <w:p w14:paraId="22E9BFA9"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 </w:t>
            </w:r>
          </w:p>
        </w:tc>
        <w:tc>
          <w:tcPr>
            <w:tcW w:w="1276" w:type="dxa"/>
            <w:tcBorders>
              <w:top w:val="nil"/>
              <w:left w:val="nil"/>
              <w:bottom w:val="single" w:sz="4" w:space="0" w:color="auto"/>
              <w:right w:val="single" w:sz="8" w:space="0" w:color="auto"/>
            </w:tcBorders>
          </w:tcPr>
          <w:p w14:paraId="7C6A787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regolithic acidic</w:t>
            </w:r>
          </w:p>
        </w:tc>
        <w:tc>
          <w:tcPr>
            <w:tcW w:w="425" w:type="dxa"/>
            <w:tcBorders>
              <w:top w:val="nil"/>
              <w:left w:val="nil"/>
              <w:bottom w:val="single" w:sz="4" w:space="0" w:color="auto"/>
              <w:right w:val="single" w:sz="8" w:space="0" w:color="auto"/>
            </w:tcBorders>
          </w:tcPr>
          <w:p w14:paraId="1B9CE87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4.1</w:t>
            </w:r>
          </w:p>
        </w:tc>
        <w:tc>
          <w:tcPr>
            <w:tcW w:w="709" w:type="dxa"/>
            <w:tcBorders>
              <w:top w:val="nil"/>
              <w:left w:val="nil"/>
              <w:bottom w:val="single" w:sz="4" w:space="0" w:color="auto"/>
              <w:right w:val="single" w:sz="8" w:space="0" w:color="auto"/>
            </w:tcBorders>
          </w:tcPr>
          <w:p w14:paraId="6D8EF8B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709" w:type="dxa"/>
            <w:tcBorders>
              <w:top w:val="nil"/>
              <w:left w:val="nil"/>
              <w:bottom w:val="single" w:sz="4" w:space="0" w:color="auto"/>
              <w:right w:val="single" w:sz="8" w:space="0" w:color="auto"/>
            </w:tcBorders>
          </w:tcPr>
          <w:p w14:paraId="20E87C5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17.5</w:t>
            </w:r>
          </w:p>
        </w:tc>
        <w:tc>
          <w:tcPr>
            <w:tcW w:w="709" w:type="dxa"/>
            <w:tcBorders>
              <w:top w:val="nil"/>
              <w:left w:val="nil"/>
              <w:bottom w:val="single" w:sz="4" w:space="0" w:color="auto"/>
              <w:right w:val="single" w:sz="8" w:space="0" w:color="auto"/>
            </w:tcBorders>
          </w:tcPr>
          <w:p w14:paraId="11F7ED9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158</w:t>
            </w:r>
          </w:p>
        </w:tc>
        <w:tc>
          <w:tcPr>
            <w:tcW w:w="850" w:type="dxa"/>
            <w:tcBorders>
              <w:top w:val="nil"/>
              <w:left w:val="nil"/>
              <w:bottom w:val="single" w:sz="4" w:space="0" w:color="auto"/>
              <w:right w:val="single" w:sz="8" w:space="0" w:color="auto"/>
            </w:tcBorders>
          </w:tcPr>
          <w:p w14:paraId="6F63036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10.1</w:t>
            </w:r>
          </w:p>
        </w:tc>
        <w:tc>
          <w:tcPr>
            <w:tcW w:w="992" w:type="dxa"/>
            <w:tcBorders>
              <w:top w:val="nil"/>
              <w:left w:val="nil"/>
              <w:bottom w:val="single" w:sz="4" w:space="0" w:color="auto"/>
              <w:right w:val="single" w:sz="8" w:space="0" w:color="auto"/>
            </w:tcBorders>
          </w:tcPr>
          <w:p w14:paraId="4486C48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709" w:type="dxa"/>
            <w:tcBorders>
              <w:top w:val="nil"/>
              <w:left w:val="nil"/>
              <w:bottom w:val="single" w:sz="4" w:space="0" w:color="auto"/>
              <w:right w:val="single" w:sz="8" w:space="0" w:color="auto"/>
            </w:tcBorders>
          </w:tcPr>
          <w:p w14:paraId="012DA8B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4" w:space="0" w:color="auto"/>
              <w:right w:val="single" w:sz="4" w:space="0" w:color="auto"/>
            </w:tcBorders>
          </w:tcPr>
          <w:p w14:paraId="4FAD2C4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EC10</w:t>
            </w:r>
            <w:r w:rsidRPr="0098635C">
              <w:rPr>
                <w:rFonts w:ascii="Arial Narrow" w:hAnsi="Arial Narrow" w:cs="Arial Narrow"/>
                <w:color w:val="000000" w:themeColor="text1"/>
                <w:sz w:val="20"/>
                <w:szCs w:val="20"/>
                <w:vertAlign w:val="subscript"/>
              </w:rPr>
              <w:t>se</w:t>
            </w:r>
          </w:p>
        </w:tc>
        <w:tc>
          <w:tcPr>
            <w:tcW w:w="993" w:type="dxa"/>
            <w:tcBorders>
              <w:left w:val="single" w:sz="4" w:space="0" w:color="auto"/>
              <w:bottom w:val="single" w:sz="4" w:space="0" w:color="auto"/>
              <w:right w:val="single" w:sz="4" w:space="0" w:color="auto"/>
            </w:tcBorders>
          </w:tcPr>
          <w:p w14:paraId="41884615"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78</w:t>
            </w:r>
          </w:p>
        </w:tc>
        <w:tc>
          <w:tcPr>
            <w:tcW w:w="1275" w:type="dxa"/>
            <w:vMerge/>
            <w:tcBorders>
              <w:top w:val="single" w:sz="4" w:space="0" w:color="auto"/>
              <w:left w:val="single" w:sz="4" w:space="0" w:color="auto"/>
              <w:bottom w:val="single" w:sz="4" w:space="0" w:color="auto"/>
              <w:right w:val="single" w:sz="4" w:space="0" w:color="auto"/>
            </w:tcBorders>
            <w:vAlign w:val="center"/>
          </w:tcPr>
          <w:p w14:paraId="23F571F7"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tcBorders>
              <w:left w:val="single" w:sz="4" w:space="0" w:color="auto"/>
              <w:bottom w:val="single" w:sz="4" w:space="0" w:color="auto"/>
              <w:right w:val="single" w:sz="4" w:space="0" w:color="auto"/>
            </w:tcBorders>
          </w:tcPr>
          <w:p w14:paraId="1A21DE82"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236</w:t>
            </w:r>
          </w:p>
        </w:tc>
        <w:tc>
          <w:tcPr>
            <w:tcW w:w="1134" w:type="dxa"/>
            <w:vMerge/>
            <w:tcBorders>
              <w:top w:val="single" w:sz="8" w:space="0" w:color="auto"/>
              <w:left w:val="single" w:sz="4" w:space="0" w:color="auto"/>
              <w:bottom w:val="single" w:sz="8" w:space="0" w:color="000000"/>
              <w:right w:val="single" w:sz="12" w:space="0" w:color="000000"/>
            </w:tcBorders>
            <w:vAlign w:val="center"/>
          </w:tcPr>
          <w:p w14:paraId="2061E989"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tcBorders>
              <w:left w:val="single" w:sz="8" w:space="0" w:color="auto"/>
              <w:bottom w:val="single" w:sz="8" w:space="0" w:color="000000"/>
              <w:right w:val="single" w:sz="12" w:space="0" w:color="000000"/>
            </w:tcBorders>
          </w:tcPr>
          <w:p w14:paraId="6748EB1C" w14:textId="77777777" w:rsidR="00632208" w:rsidRPr="0098635C" w:rsidRDefault="00632208" w:rsidP="00A432B0">
            <w:pPr>
              <w:spacing w:after="0"/>
              <w:jc w:val="center"/>
              <w:rPr>
                <w:rFonts w:ascii="Arial Narrow" w:hAnsi="Arial Narrow" w:cs="Arial Narrow"/>
                <w:color w:val="000000" w:themeColor="text1"/>
                <w:sz w:val="20"/>
                <w:szCs w:val="20"/>
              </w:rPr>
            </w:pPr>
          </w:p>
        </w:tc>
      </w:tr>
      <w:tr w:rsidR="00632208" w:rsidRPr="0098635C" w14:paraId="191CD738" w14:textId="77777777" w:rsidTr="00A432B0">
        <w:trPr>
          <w:trHeight w:val="64"/>
        </w:trPr>
        <w:tc>
          <w:tcPr>
            <w:tcW w:w="1647" w:type="dxa"/>
            <w:tcBorders>
              <w:top w:val="single" w:sz="4" w:space="0" w:color="auto"/>
              <w:left w:val="single" w:sz="4" w:space="0" w:color="auto"/>
              <w:bottom w:val="nil"/>
              <w:right w:val="single" w:sz="8" w:space="0" w:color="auto"/>
            </w:tcBorders>
          </w:tcPr>
          <w:p w14:paraId="3B7E1B7C"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Hypochoeris radicata</w:t>
            </w:r>
          </w:p>
        </w:tc>
        <w:tc>
          <w:tcPr>
            <w:tcW w:w="1276" w:type="dxa"/>
            <w:tcBorders>
              <w:top w:val="single" w:sz="4" w:space="0" w:color="auto"/>
              <w:left w:val="nil"/>
              <w:bottom w:val="nil"/>
              <w:right w:val="single" w:sz="8" w:space="0" w:color="auto"/>
            </w:tcBorders>
          </w:tcPr>
          <w:p w14:paraId="6FF1426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regolithic acidic</w:t>
            </w:r>
          </w:p>
        </w:tc>
        <w:tc>
          <w:tcPr>
            <w:tcW w:w="425" w:type="dxa"/>
            <w:tcBorders>
              <w:top w:val="single" w:sz="4" w:space="0" w:color="auto"/>
              <w:left w:val="nil"/>
              <w:bottom w:val="nil"/>
              <w:right w:val="single" w:sz="8" w:space="0" w:color="auto"/>
            </w:tcBorders>
          </w:tcPr>
          <w:p w14:paraId="158C776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4.1</w:t>
            </w:r>
          </w:p>
        </w:tc>
        <w:tc>
          <w:tcPr>
            <w:tcW w:w="709" w:type="dxa"/>
            <w:tcBorders>
              <w:top w:val="single" w:sz="4" w:space="0" w:color="auto"/>
              <w:left w:val="nil"/>
              <w:bottom w:val="nil"/>
              <w:right w:val="single" w:sz="8" w:space="0" w:color="auto"/>
            </w:tcBorders>
          </w:tcPr>
          <w:p w14:paraId="48CC8CB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709" w:type="dxa"/>
            <w:tcBorders>
              <w:top w:val="single" w:sz="4" w:space="0" w:color="auto"/>
              <w:left w:val="nil"/>
              <w:bottom w:val="nil"/>
              <w:right w:val="single" w:sz="8" w:space="0" w:color="auto"/>
            </w:tcBorders>
          </w:tcPr>
          <w:p w14:paraId="6A3E54F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17.5</w:t>
            </w:r>
          </w:p>
        </w:tc>
        <w:tc>
          <w:tcPr>
            <w:tcW w:w="709" w:type="dxa"/>
            <w:tcBorders>
              <w:top w:val="single" w:sz="4" w:space="0" w:color="auto"/>
              <w:left w:val="nil"/>
              <w:bottom w:val="nil"/>
              <w:right w:val="single" w:sz="8" w:space="0" w:color="auto"/>
            </w:tcBorders>
          </w:tcPr>
          <w:p w14:paraId="744D77F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158</w:t>
            </w:r>
          </w:p>
        </w:tc>
        <w:tc>
          <w:tcPr>
            <w:tcW w:w="850" w:type="dxa"/>
            <w:tcBorders>
              <w:top w:val="single" w:sz="4" w:space="0" w:color="auto"/>
              <w:left w:val="nil"/>
              <w:bottom w:val="nil"/>
              <w:right w:val="single" w:sz="8" w:space="0" w:color="auto"/>
            </w:tcBorders>
          </w:tcPr>
          <w:p w14:paraId="5AFF42F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10.1</w:t>
            </w:r>
          </w:p>
        </w:tc>
        <w:tc>
          <w:tcPr>
            <w:tcW w:w="992" w:type="dxa"/>
            <w:tcBorders>
              <w:top w:val="single" w:sz="4" w:space="0" w:color="auto"/>
              <w:left w:val="nil"/>
              <w:bottom w:val="nil"/>
              <w:right w:val="single" w:sz="8" w:space="0" w:color="auto"/>
            </w:tcBorders>
          </w:tcPr>
          <w:p w14:paraId="0DB83B6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709" w:type="dxa"/>
            <w:tcBorders>
              <w:top w:val="single" w:sz="4" w:space="0" w:color="auto"/>
              <w:left w:val="nil"/>
              <w:bottom w:val="nil"/>
              <w:right w:val="single" w:sz="8" w:space="0" w:color="auto"/>
            </w:tcBorders>
          </w:tcPr>
          <w:p w14:paraId="6FCC5B3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196</w:t>
            </w:r>
          </w:p>
        </w:tc>
        <w:tc>
          <w:tcPr>
            <w:tcW w:w="992" w:type="dxa"/>
            <w:tcBorders>
              <w:top w:val="single" w:sz="4" w:space="0" w:color="auto"/>
              <w:left w:val="nil"/>
              <w:bottom w:val="nil"/>
              <w:right w:val="single" w:sz="4" w:space="0" w:color="auto"/>
            </w:tcBorders>
          </w:tcPr>
          <w:p w14:paraId="0DD4945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LC10</w:t>
            </w:r>
            <w:r w:rsidRPr="0098635C">
              <w:rPr>
                <w:rFonts w:ascii="Arial Narrow" w:hAnsi="Arial Narrow" w:cs="Arial Narrow"/>
                <w:color w:val="000000" w:themeColor="text1"/>
                <w:sz w:val="20"/>
                <w:szCs w:val="20"/>
                <w:vertAlign w:val="subscript"/>
              </w:rPr>
              <w:t>m</w:t>
            </w:r>
          </w:p>
        </w:tc>
        <w:tc>
          <w:tcPr>
            <w:tcW w:w="993" w:type="dxa"/>
            <w:tcBorders>
              <w:top w:val="single" w:sz="4" w:space="0" w:color="auto"/>
              <w:left w:val="single" w:sz="4" w:space="0" w:color="auto"/>
              <w:right w:val="single" w:sz="4" w:space="0" w:color="auto"/>
            </w:tcBorders>
          </w:tcPr>
          <w:p w14:paraId="2F4C9AF6"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192</w:t>
            </w:r>
          </w:p>
        </w:tc>
        <w:tc>
          <w:tcPr>
            <w:tcW w:w="1275" w:type="dxa"/>
            <w:vMerge/>
            <w:tcBorders>
              <w:top w:val="single" w:sz="4" w:space="0" w:color="auto"/>
              <w:left w:val="single" w:sz="4" w:space="0" w:color="auto"/>
              <w:bottom w:val="single" w:sz="4" w:space="0" w:color="auto"/>
              <w:right w:val="single" w:sz="4" w:space="0" w:color="auto"/>
            </w:tcBorders>
            <w:vAlign w:val="center"/>
          </w:tcPr>
          <w:p w14:paraId="28E1ADC7"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tcBorders>
              <w:top w:val="single" w:sz="4" w:space="0" w:color="auto"/>
              <w:left w:val="single" w:sz="4" w:space="0" w:color="auto"/>
              <w:right w:val="single" w:sz="4" w:space="0" w:color="auto"/>
            </w:tcBorders>
          </w:tcPr>
          <w:p w14:paraId="74D48009"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350</w:t>
            </w:r>
          </w:p>
        </w:tc>
        <w:tc>
          <w:tcPr>
            <w:tcW w:w="1134" w:type="dxa"/>
            <w:vMerge/>
            <w:tcBorders>
              <w:top w:val="single" w:sz="8" w:space="0" w:color="auto"/>
              <w:left w:val="single" w:sz="4" w:space="0" w:color="auto"/>
              <w:bottom w:val="single" w:sz="8" w:space="0" w:color="000000"/>
              <w:right w:val="single" w:sz="12" w:space="0" w:color="000000"/>
            </w:tcBorders>
            <w:vAlign w:val="center"/>
          </w:tcPr>
          <w:p w14:paraId="1740C3D2"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tcBorders>
              <w:top w:val="single" w:sz="8" w:space="0" w:color="000000"/>
              <w:left w:val="single" w:sz="8" w:space="0" w:color="auto"/>
              <w:right w:val="single" w:sz="12" w:space="0" w:color="000000"/>
            </w:tcBorders>
          </w:tcPr>
          <w:p w14:paraId="2AA50E2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Brun et al (2003)</w:t>
            </w:r>
          </w:p>
        </w:tc>
      </w:tr>
      <w:tr w:rsidR="00632208" w:rsidRPr="0098635C" w14:paraId="7A22016A" w14:textId="77777777" w:rsidTr="00A432B0">
        <w:trPr>
          <w:trHeight w:val="64"/>
        </w:trPr>
        <w:tc>
          <w:tcPr>
            <w:tcW w:w="1647" w:type="dxa"/>
            <w:tcBorders>
              <w:top w:val="nil"/>
              <w:left w:val="single" w:sz="4" w:space="0" w:color="auto"/>
              <w:bottom w:val="nil"/>
              <w:right w:val="single" w:sz="8" w:space="0" w:color="auto"/>
            </w:tcBorders>
          </w:tcPr>
          <w:p w14:paraId="02794C26" w14:textId="77777777" w:rsidR="00632208" w:rsidRPr="0098635C" w:rsidRDefault="00632208" w:rsidP="00A432B0">
            <w:pPr>
              <w:spacing w:after="0"/>
              <w:rPr>
                <w:rFonts w:ascii="Arial" w:hAnsi="Arial" w:cs="Arial"/>
                <w:color w:val="000000" w:themeColor="text1"/>
                <w:sz w:val="20"/>
                <w:szCs w:val="20"/>
              </w:rPr>
            </w:pPr>
            <w:r w:rsidRPr="0098635C">
              <w:rPr>
                <w:rFonts w:ascii="Arial" w:hAnsi="Arial" w:cs="Arial"/>
                <w:color w:val="000000" w:themeColor="text1"/>
                <w:sz w:val="20"/>
                <w:szCs w:val="20"/>
              </w:rPr>
              <w:t> </w:t>
            </w:r>
          </w:p>
        </w:tc>
        <w:tc>
          <w:tcPr>
            <w:tcW w:w="1276" w:type="dxa"/>
            <w:tcBorders>
              <w:top w:val="nil"/>
              <w:left w:val="nil"/>
              <w:bottom w:val="nil"/>
              <w:right w:val="single" w:sz="8" w:space="0" w:color="auto"/>
            </w:tcBorders>
          </w:tcPr>
          <w:p w14:paraId="026B084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regolithic acidic</w:t>
            </w:r>
          </w:p>
        </w:tc>
        <w:tc>
          <w:tcPr>
            <w:tcW w:w="425" w:type="dxa"/>
            <w:tcBorders>
              <w:top w:val="nil"/>
              <w:left w:val="nil"/>
              <w:bottom w:val="nil"/>
              <w:right w:val="single" w:sz="8" w:space="0" w:color="auto"/>
            </w:tcBorders>
          </w:tcPr>
          <w:p w14:paraId="5F284CC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4.1</w:t>
            </w:r>
          </w:p>
        </w:tc>
        <w:tc>
          <w:tcPr>
            <w:tcW w:w="709" w:type="dxa"/>
            <w:tcBorders>
              <w:top w:val="nil"/>
              <w:left w:val="nil"/>
              <w:bottom w:val="nil"/>
              <w:right w:val="single" w:sz="8" w:space="0" w:color="auto"/>
            </w:tcBorders>
          </w:tcPr>
          <w:p w14:paraId="2817453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709" w:type="dxa"/>
            <w:tcBorders>
              <w:top w:val="nil"/>
              <w:left w:val="nil"/>
              <w:bottom w:val="nil"/>
              <w:right w:val="single" w:sz="8" w:space="0" w:color="auto"/>
            </w:tcBorders>
          </w:tcPr>
          <w:p w14:paraId="1FC7EF2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17.5</w:t>
            </w:r>
          </w:p>
        </w:tc>
        <w:tc>
          <w:tcPr>
            <w:tcW w:w="709" w:type="dxa"/>
            <w:tcBorders>
              <w:top w:val="nil"/>
              <w:left w:val="nil"/>
              <w:bottom w:val="nil"/>
              <w:right w:val="single" w:sz="8" w:space="0" w:color="auto"/>
            </w:tcBorders>
          </w:tcPr>
          <w:p w14:paraId="542E9BA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158</w:t>
            </w:r>
          </w:p>
        </w:tc>
        <w:tc>
          <w:tcPr>
            <w:tcW w:w="850" w:type="dxa"/>
            <w:tcBorders>
              <w:top w:val="nil"/>
              <w:left w:val="nil"/>
              <w:bottom w:val="nil"/>
              <w:right w:val="single" w:sz="8" w:space="0" w:color="auto"/>
            </w:tcBorders>
          </w:tcPr>
          <w:p w14:paraId="1B15885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10.1</w:t>
            </w:r>
          </w:p>
        </w:tc>
        <w:tc>
          <w:tcPr>
            <w:tcW w:w="992" w:type="dxa"/>
            <w:tcBorders>
              <w:top w:val="nil"/>
              <w:left w:val="nil"/>
              <w:bottom w:val="nil"/>
              <w:right w:val="single" w:sz="8" w:space="0" w:color="auto"/>
            </w:tcBorders>
          </w:tcPr>
          <w:p w14:paraId="241C606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709" w:type="dxa"/>
            <w:tcBorders>
              <w:top w:val="nil"/>
              <w:left w:val="nil"/>
              <w:bottom w:val="nil"/>
              <w:right w:val="single" w:sz="8" w:space="0" w:color="auto"/>
            </w:tcBorders>
          </w:tcPr>
          <w:p w14:paraId="6FAC01DF" w14:textId="77777777" w:rsidR="00632208" w:rsidRPr="0098635C" w:rsidRDefault="00632208" w:rsidP="00A432B0">
            <w:pPr>
              <w:spacing w:after="0"/>
              <w:rPr>
                <w:rFonts w:ascii="Arial" w:hAnsi="Arial" w:cs="Arial"/>
                <w:color w:val="000000" w:themeColor="text1"/>
                <w:sz w:val="20"/>
                <w:szCs w:val="20"/>
              </w:rPr>
            </w:pPr>
            <w:r w:rsidRPr="0098635C">
              <w:rPr>
                <w:rFonts w:ascii="Arial" w:hAnsi="Arial" w:cs="Arial"/>
                <w:color w:val="000000" w:themeColor="text1"/>
                <w:sz w:val="20"/>
                <w:szCs w:val="20"/>
              </w:rPr>
              <w:t> </w:t>
            </w:r>
          </w:p>
        </w:tc>
        <w:tc>
          <w:tcPr>
            <w:tcW w:w="992" w:type="dxa"/>
            <w:tcBorders>
              <w:top w:val="nil"/>
              <w:left w:val="nil"/>
              <w:bottom w:val="nil"/>
              <w:right w:val="single" w:sz="4" w:space="0" w:color="auto"/>
            </w:tcBorders>
          </w:tcPr>
          <w:p w14:paraId="34D0C4C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EC10</w:t>
            </w:r>
            <w:r w:rsidRPr="0098635C">
              <w:rPr>
                <w:rFonts w:ascii="Arial Narrow" w:hAnsi="Arial Narrow" w:cs="Arial Narrow"/>
                <w:color w:val="000000" w:themeColor="text1"/>
                <w:sz w:val="20"/>
                <w:szCs w:val="20"/>
                <w:vertAlign w:val="subscript"/>
              </w:rPr>
              <w:t>rep</w:t>
            </w:r>
          </w:p>
        </w:tc>
        <w:tc>
          <w:tcPr>
            <w:tcW w:w="993" w:type="dxa"/>
            <w:tcBorders>
              <w:left w:val="single" w:sz="4" w:space="0" w:color="auto"/>
              <w:right w:val="single" w:sz="4" w:space="0" w:color="auto"/>
            </w:tcBorders>
          </w:tcPr>
          <w:p w14:paraId="48197DAD"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192</w:t>
            </w:r>
          </w:p>
        </w:tc>
        <w:tc>
          <w:tcPr>
            <w:tcW w:w="1275" w:type="dxa"/>
            <w:vMerge/>
            <w:tcBorders>
              <w:top w:val="single" w:sz="4" w:space="0" w:color="auto"/>
              <w:left w:val="single" w:sz="4" w:space="0" w:color="auto"/>
              <w:bottom w:val="single" w:sz="4" w:space="0" w:color="auto"/>
              <w:right w:val="single" w:sz="4" w:space="0" w:color="auto"/>
            </w:tcBorders>
            <w:vAlign w:val="center"/>
          </w:tcPr>
          <w:p w14:paraId="14F733F6"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tcBorders>
              <w:left w:val="single" w:sz="4" w:space="0" w:color="auto"/>
              <w:right w:val="single" w:sz="4" w:space="0" w:color="auto"/>
            </w:tcBorders>
          </w:tcPr>
          <w:p w14:paraId="6A911D3C"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350</w:t>
            </w:r>
          </w:p>
        </w:tc>
        <w:tc>
          <w:tcPr>
            <w:tcW w:w="1134" w:type="dxa"/>
            <w:vMerge/>
            <w:tcBorders>
              <w:top w:val="single" w:sz="8" w:space="0" w:color="auto"/>
              <w:left w:val="single" w:sz="4" w:space="0" w:color="auto"/>
              <w:bottom w:val="single" w:sz="8" w:space="0" w:color="000000"/>
              <w:right w:val="single" w:sz="12" w:space="0" w:color="000000"/>
            </w:tcBorders>
            <w:vAlign w:val="center"/>
          </w:tcPr>
          <w:p w14:paraId="5C1B81D4"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tcBorders>
              <w:left w:val="single" w:sz="8" w:space="0" w:color="auto"/>
              <w:right w:val="single" w:sz="12" w:space="0" w:color="000000"/>
            </w:tcBorders>
          </w:tcPr>
          <w:p w14:paraId="26508599" w14:textId="77777777" w:rsidR="00632208" w:rsidRPr="0098635C" w:rsidRDefault="00632208" w:rsidP="00A432B0">
            <w:pPr>
              <w:spacing w:after="0"/>
              <w:rPr>
                <w:rFonts w:ascii="Arial Narrow" w:hAnsi="Arial Narrow" w:cs="Arial Narrow"/>
                <w:color w:val="000000" w:themeColor="text1"/>
                <w:sz w:val="20"/>
                <w:szCs w:val="20"/>
              </w:rPr>
            </w:pPr>
          </w:p>
        </w:tc>
      </w:tr>
      <w:tr w:rsidR="00632208" w:rsidRPr="0098635C" w14:paraId="518FA529" w14:textId="77777777" w:rsidTr="00A432B0">
        <w:trPr>
          <w:trHeight w:val="129"/>
        </w:trPr>
        <w:tc>
          <w:tcPr>
            <w:tcW w:w="1647" w:type="dxa"/>
            <w:tcBorders>
              <w:top w:val="nil"/>
              <w:left w:val="single" w:sz="4" w:space="0" w:color="auto"/>
              <w:bottom w:val="single" w:sz="8" w:space="0" w:color="auto"/>
              <w:right w:val="single" w:sz="8" w:space="0" w:color="auto"/>
            </w:tcBorders>
          </w:tcPr>
          <w:p w14:paraId="059D409D" w14:textId="77777777" w:rsidR="00632208" w:rsidRPr="0098635C" w:rsidRDefault="00632208" w:rsidP="00A432B0">
            <w:pPr>
              <w:spacing w:after="0"/>
              <w:rPr>
                <w:rFonts w:ascii="Arial" w:hAnsi="Arial" w:cs="Arial"/>
                <w:color w:val="000000" w:themeColor="text1"/>
                <w:sz w:val="20"/>
                <w:szCs w:val="20"/>
              </w:rPr>
            </w:pPr>
            <w:r w:rsidRPr="0098635C">
              <w:rPr>
                <w:rFonts w:ascii="Arial" w:hAnsi="Arial" w:cs="Arial"/>
                <w:color w:val="000000" w:themeColor="text1"/>
                <w:sz w:val="20"/>
                <w:szCs w:val="20"/>
              </w:rPr>
              <w:t> </w:t>
            </w:r>
          </w:p>
        </w:tc>
        <w:tc>
          <w:tcPr>
            <w:tcW w:w="1276" w:type="dxa"/>
            <w:tcBorders>
              <w:top w:val="nil"/>
              <w:left w:val="nil"/>
              <w:bottom w:val="single" w:sz="8" w:space="0" w:color="auto"/>
              <w:right w:val="single" w:sz="8" w:space="0" w:color="auto"/>
            </w:tcBorders>
          </w:tcPr>
          <w:p w14:paraId="7CC4794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regolithic acidic</w:t>
            </w:r>
          </w:p>
        </w:tc>
        <w:tc>
          <w:tcPr>
            <w:tcW w:w="425" w:type="dxa"/>
            <w:tcBorders>
              <w:top w:val="nil"/>
              <w:left w:val="nil"/>
              <w:bottom w:val="single" w:sz="4" w:space="0" w:color="auto"/>
              <w:right w:val="single" w:sz="8" w:space="0" w:color="auto"/>
            </w:tcBorders>
          </w:tcPr>
          <w:p w14:paraId="186EC75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4.1</w:t>
            </w:r>
          </w:p>
        </w:tc>
        <w:tc>
          <w:tcPr>
            <w:tcW w:w="709" w:type="dxa"/>
            <w:tcBorders>
              <w:top w:val="nil"/>
              <w:left w:val="nil"/>
              <w:bottom w:val="single" w:sz="4" w:space="0" w:color="auto"/>
              <w:right w:val="single" w:sz="8" w:space="0" w:color="auto"/>
            </w:tcBorders>
          </w:tcPr>
          <w:p w14:paraId="6CE1D6A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709" w:type="dxa"/>
            <w:tcBorders>
              <w:top w:val="nil"/>
              <w:left w:val="nil"/>
              <w:bottom w:val="single" w:sz="4" w:space="0" w:color="auto"/>
              <w:right w:val="single" w:sz="8" w:space="0" w:color="auto"/>
            </w:tcBorders>
          </w:tcPr>
          <w:p w14:paraId="2EF3B4A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17.5</w:t>
            </w:r>
          </w:p>
        </w:tc>
        <w:tc>
          <w:tcPr>
            <w:tcW w:w="709" w:type="dxa"/>
            <w:tcBorders>
              <w:top w:val="nil"/>
              <w:left w:val="nil"/>
              <w:bottom w:val="single" w:sz="4" w:space="0" w:color="auto"/>
              <w:right w:val="single" w:sz="8" w:space="0" w:color="auto"/>
            </w:tcBorders>
          </w:tcPr>
          <w:p w14:paraId="566666A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158</w:t>
            </w:r>
          </w:p>
        </w:tc>
        <w:tc>
          <w:tcPr>
            <w:tcW w:w="850" w:type="dxa"/>
            <w:tcBorders>
              <w:top w:val="nil"/>
              <w:left w:val="nil"/>
              <w:bottom w:val="single" w:sz="4" w:space="0" w:color="auto"/>
              <w:right w:val="single" w:sz="8" w:space="0" w:color="auto"/>
            </w:tcBorders>
          </w:tcPr>
          <w:p w14:paraId="317DC5E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10.1</w:t>
            </w:r>
          </w:p>
        </w:tc>
        <w:tc>
          <w:tcPr>
            <w:tcW w:w="992" w:type="dxa"/>
            <w:tcBorders>
              <w:top w:val="nil"/>
              <w:left w:val="nil"/>
              <w:bottom w:val="single" w:sz="4" w:space="0" w:color="auto"/>
              <w:right w:val="single" w:sz="8" w:space="0" w:color="auto"/>
            </w:tcBorders>
          </w:tcPr>
          <w:p w14:paraId="411EEF1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709" w:type="dxa"/>
            <w:tcBorders>
              <w:top w:val="nil"/>
              <w:left w:val="nil"/>
              <w:bottom w:val="single" w:sz="4" w:space="0" w:color="auto"/>
              <w:right w:val="single" w:sz="8" w:space="0" w:color="auto"/>
            </w:tcBorders>
          </w:tcPr>
          <w:p w14:paraId="5AC6FE99" w14:textId="77777777" w:rsidR="00632208" w:rsidRPr="0098635C" w:rsidRDefault="00632208" w:rsidP="00A432B0">
            <w:pPr>
              <w:spacing w:after="0"/>
              <w:rPr>
                <w:rFonts w:ascii="Arial" w:hAnsi="Arial" w:cs="Arial"/>
                <w:color w:val="000000" w:themeColor="text1"/>
                <w:sz w:val="20"/>
                <w:szCs w:val="20"/>
              </w:rPr>
            </w:pPr>
            <w:r w:rsidRPr="0098635C">
              <w:rPr>
                <w:rFonts w:ascii="Arial" w:hAnsi="Arial" w:cs="Arial"/>
                <w:color w:val="000000" w:themeColor="text1"/>
                <w:sz w:val="20"/>
                <w:szCs w:val="20"/>
              </w:rPr>
              <w:t> </w:t>
            </w:r>
          </w:p>
        </w:tc>
        <w:tc>
          <w:tcPr>
            <w:tcW w:w="992" w:type="dxa"/>
            <w:tcBorders>
              <w:top w:val="nil"/>
              <w:left w:val="nil"/>
              <w:bottom w:val="single" w:sz="4" w:space="0" w:color="auto"/>
              <w:right w:val="single" w:sz="4" w:space="0" w:color="auto"/>
            </w:tcBorders>
          </w:tcPr>
          <w:p w14:paraId="1F222B1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E10C</w:t>
            </w:r>
            <w:r w:rsidRPr="0098635C">
              <w:rPr>
                <w:rFonts w:ascii="Arial Narrow" w:hAnsi="Arial Narrow" w:cs="Arial Narrow"/>
                <w:color w:val="000000" w:themeColor="text1"/>
                <w:sz w:val="20"/>
                <w:szCs w:val="20"/>
                <w:vertAlign w:val="subscript"/>
              </w:rPr>
              <w:t>se</w:t>
            </w:r>
          </w:p>
        </w:tc>
        <w:tc>
          <w:tcPr>
            <w:tcW w:w="993" w:type="dxa"/>
            <w:tcBorders>
              <w:left w:val="single" w:sz="4" w:space="0" w:color="auto"/>
              <w:bottom w:val="single" w:sz="4" w:space="0" w:color="auto"/>
              <w:right w:val="single" w:sz="4" w:space="0" w:color="auto"/>
            </w:tcBorders>
          </w:tcPr>
          <w:p w14:paraId="7CDC06B1"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181</w:t>
            </w:r>
          </w:p>
        </w:tc>
        <w:tc>
          <w:tcPr>
            <w:tcW w:w="1275" w:type="dxa"/>
            <w:vMerge/>
            <w:tcBorders>
              <w:top w:val="single" w:sz="4" w:space="0" w:color="auto"/>
              <w:left w:val="single" w:sz="4" w:space="0" w:color="auto"/>
              <w:bottom w:val="single" w:sz="4" w:space="0" w:color="auto"/>
              <w:right w:val="single" w:sz="4" w:space="0" w:color="auto"/>
            </w:tcBorders>
            <w:vAlign w:val="center"/>
          </w:tcPr>
          <w:p w14:paraId="1FF99F60"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tcBorders>
              <w:left w:val="single" w:sz="4" w:space="0" w:color="auto"/>
              <w:bottom w:val="single" w:sz="4" w:space="0" w:color="auto"/>
              <w:right w:val="single" w:sz="4" w:space="0" w:color="auto"/>
            </w:tcBorders>
          </w:tcPr>
          <w:p w14:paraId="4663EF14"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339</w:t>
            </w:r>
          </w:p>
        </w:tc>
        <w:tc>
          <w:tcPr>
            <w:tcW w:w="1134" w:type="dxa"/>
            <w:vMerge/>
            <w:tcBorders>
              <w:top w:val="single" w:sz="8" w:space="0" w:color="auto"/>
              <w:left w:val="single" w:sz="4" w:space="0" w:color="auto"/>
              <w:bottom w:val="single" w:sz="4" w:space="0" w:color="auto"/>
              <w:right w:val="single" w:sz="12" w:space="0" w:color="000000"/>
            </w:tcBorders>
            <w:vAlign w:val="center"/>
          </w:tcPr>
          <w:p w14:paraId="02D7BDDE"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tcBorders>
              <w:left w:val="single" w:sz="8" w:space="0" w:color="auto"/>
              <w:bottom w:val="single" w:sz="8" w:space="0" w:color="000000"/>
              <w:right w:val="single" w:sz="12" w:space="0" w:color="000000"/>
            </w:tcBorders>
          </w:tcPr>
          <w:p w14:paraId="299B9AD5" w14:textId="77777777" w:rsidR="00632208" w:rsidRPr="0098635C" w:rsidRDefault="00632208" w:rsidP="00A432B0">
            <w:pPr>
              <w:spacing w:after="0"/>
              <w:rPr>
                <w:rFonts w:ascii="Arial Narrow" w:hAnsi="Arial Narrow" w:cs="Arial Narrow"/>
                <w:color w:val="000000" w:themeColor="text1"/>
                <w:sz w:val="20"/>
                <w:szCs w:val="20"/>
              </w:rPr>
            </w:pPr>
          </w:p>
        </w:tc>
      </w:tr>
      <w:tr w:rsidR="00632208" w:rsidRPr="0098635C" w14:paraId="3701D9EB" w14:textId="77777777" w:rsidTr="00A432B0">
        <w:trPr>
          <w:trHeight w:val="64"/>
        </w:trPr>
        <w:tc>
          <w:tcPr>
            <w:tcW w:w="1647" w:type="dxa"/>
            <w:tcBorders>
              <w:top w:val="nil"/>
              <w:left w:val="single" w:sz="4" w:space="0" w:color="auto"/>
              <w:right w:val="single" w:sz="4" w:space="0" w:color="auto"/>
            </w:tcBorders>
          </w:tcPr>
          <w:p w14:paraId="0EC00730"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color w:val="000000" w:themeColor="text1"/>
                <w:sz w:val="20"/>
                <w:szCs w:val="20"/>
              </w:rPr>
              <w:br w:type="page"/>
            </w:r>
            <w:r w:rsidRPr="0098635C">
              <w:rPr>
                <w:rFonts w:ascii="Arial Narrow" w:hAnsi="Arial Narrow" w:cs="Arial Narrow"/>
                <w:i/>
                <w:iCs/>
                <w:color w:val="000000" w:themeColor="text1"/>
                <w:sz w:val="20"/>
                <w:szCs w:val="20"/>
              </w:rPr>
              <w:t>Cleopatra mandarin</w:t>
            </w:r>
          </w:p>
        </w:tc>
        <w:tc>
          <w:tcPr>
            <w:tcW w:w="1276" w:type="dxa"/>
            <w:vMerge w:val="restart"/>
            <w:tcBorders>
              <w:top w:val="nil"/>
              <w:left w:val="single" w:sz="4" w:space="0" w:color="auto"/>
              <w:right w:val="single" w:sz="4" w:space="0" w:color="auto"/>
            </w:tcBorders>
          </w:tcPr>
          <w:p w14:paraId="77E0887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fine sand (Typic Quartzipsamments) from topsoil (0-15 cm) of an orange grove</w:t>
            </w:r>
          </w:p>
        </w:tc>
        <w:tc>
          <w:tcPr>
            <w:tcW w:w="425" w:type="dxa"/>
            <w:tcBorders>
              <w:top w:val="single" w:sz="4" w:space="0" w:color="auto"/>
              <w:left w:val="single" w:sz="4" w:space="0" w:color="auto"/>
              <w:right w:val="single" w:sz="4" w:space="0" w:color="auto"/>
            </w:tcBorders>
          </w:tcPr>
          <w:p w14:paraId="7BE10B4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w:t>
            </w:r>
          </w:p>
        </w:tc>
        <w:tc>
          <w:tcPr>
            <w:tcW w:w="709" w:type="dxa"/>
            <w:vMerge w:val="restart"/>
            <w:tcBorders>
              <w:top w:val="single" w:sz="4" w:space="0" w:color="auto"/>
              <w:left w:val="single" w:sz="4" w:space="0" w:color="auto"/>
              <w:bottom w:val="single" w:sz="4" w:space="0" w:color="auto"/>
              <w:right w:val="single" w:sz="4" w:space="0" w:color="auto"/>
            </w:tcBorders>
          </w:tcPr>
          <w:p w14:paraId="0379D9E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vMerge w:val="restart"/>
            <w:tcBorders>
              <w:top w:val="single" w:sz="4" w:space="0" w:color="auto"/>
              <w:left w:val="single" w:sz="4" w:space="0" w:color="auto"/>
              <w:bottom w:val="single" w:sz="4" w:space="0" w:color="auto"/>
              <w:right w:val="single" w:sz="4" w:space="0" w:color="auto"/>
            </w:tcBorders>
          </w:tcPr>
          <w:p w14:paraId="74A8BD7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single" w:sz="4" w:space="0" w:color="auto"/>
              <w:left w:val="single" w:sz="4" w:space="0" w:color="auto"/>
              <w:right w:val="single" w:sz="4" w:space="0" w:color="auto"/>
            </w:tcBorders>
          </w:tcPr>
          <w:p w14:paraId="087A776C"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vMerge w:val="restart"/>
            <w:tcBorders>
              <w:top w:val="single" w:sz="4" w:space="0" w:color="auto"/>
              <w:left w:val="single" w:sz="4" w:space="0" w:color="auto"/>
              <w:bottom w:val="single" w:sz="4" w:space="0" w:color="auto"/>
              <w:right w:val="single" w:sz="4" w:space="0" w:color="auto"/>
            </w:tcBorders>
          </w:tcPr>
          <w:p w14:paraId="5D442C6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single" w:sz="4" w:space="0" w:color="auto"/>
              <w:left w:val="single" w:sz="4" w:space="0" w:color="auto"/>
              <w:right w:val="single" w:sz="4" w:space="0" w:color="auto"/>
            </w:tcBorders>
          </w:tcPr>
          <w:p w14:paraId="1B68077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90</w:t>
            </w:r>
          </w:p>
        </w:tc>
        <w:tc>
          <w:tcPr>
            <w:tcW w:w="709" w:type="dxa"/>
            <w:tcBorders>
              <w:top w:val="single" w:sz="4" w:space="0" w:color="auto"/>
              <w:left w:val="single" w:sz="4" w:space="0" w:color="auto"/>
              <w:right w:val="single" w:sz="4" w:space="0" w:color="auto"/>
            </w:tcBorders>
          </w:tcPr>
          <w:p w14:paraId="00F2515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106</w:t>
            </w:r>
          </w:p>
        </w:tc>
        <w:tc>
          <w:tcPr>
            <w:tcW w:w="992" w:type="dxa"/>
            <w:tcBorders>
              <w:top w:val="single" w:sz="4" w:space="0" w:color="auto"/>
              <w:left w:val="single" w:sz="4" w:space="0" w:color="auto"/>
              <w:right w:val="single" w:sz="4" w:space="0" w:color="auto"/>
            </w:tcBorders>
          </w:tcPr>
          <w:p w14:paraId="6B2767E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y(r)</w:t>
            </w:r>
          </w:p>
        </w:tc>
        <w:tc>
          <w:tcPr>
            <w:tcW w:w="993" w:type="dxa"/>
            <w:tcBorders>
              <w:top w:val="single" w:sz="4" w:space="0" w:color="auto"/>
              <w:left w:val="single" w:sz="4" w:space="0" w:color="auto"/>
              <w:right w:val="single" w:sz="4" w:space="0" w:color="auto"/>
            </w:tcBorders>
          </w:tcPr>
          <w:p w14:paraId="61C9AE9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275" w:type="dxa"/>
            <w:tcBorders>
              <w:top w:val="single" w:sz="4" w:space="0" w:color="auto"/>
              <w:left w:val="single" w:sz="4" w:space="0" w:color="auto"/>
              <w:right w:val="single" w:sz="4" w:space="0" w:color="auto"/>
            </w:tcBorders>
          </w:tcPr>
          <w:p w14:paraId="113C63C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&gt;200</w:t>
            </w:r>
          </w:p>
        </w:tc>
        <w:tc>
          <w:tcPr>
            <w:tcW w:w="851" w:type="dxa"/>
            <w:tcBorders>
              <w:top w:val="single" w:sz="4" w:space="0" w:color="auto"/>
              <w:left w:val="single" w:sz="4" w:space="0" w:color="auto"/>
              <w:right w:val="single" w:sz="4" w:space="0" w:color="auto"/>
            </w:tcBorders>
          </w:tcPr>
          <w:p w14:paraId="54CC793F" w14:textId="77777777" w:rsidR="00632208" w:rsidRPr="0098635C" w:rsidRDefault="00632208" w:rsidP="00A432B0">
            <w:pPr>
              <w:spacing w:after="0"/>
              <w:jc w:val="center"/>
              <w:rPr>
                <w:rFonts w:ascii="Arial Narrow" w:hAnsi="Arial Narrow" w:cs="Arial Narrow"/>
                <w:color w:val="000000" w:themeColor="text1"/>
                <w:sz w:val="20"/>
                <w:szCs w:val="20"/>
              </w:rPr>
            </w:pPr>
          </w:p>
        </w:tc>
        <w:tc>
          <w:tcPr>
            <w:tcW w:w="1134" w:type="dxa"/>
            <w:tcBorders>
              <w:top w:val="single" w:sz="4" w:space="0" w:color="auto"/>
              <w:left w:val="single" w:sz="4" w:space="0" w:color="auto"/>
              <w:right w:val="single" w:sz="4" w:space="0" w:color="auto"/>
            </w:tcBorders>
          </w:tcPr>
          <w:p w14:paraId="4354495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&gt;210.7</w:t>
            </w:r>
          </w:p>
        </w:tc>
        <w:tc>
          <w:tcPr>
            <w:tcW w:w="1984" w:type="dxa"/>
            <w:vMerge w:val="restart"/>
            <w:tcBorders>
              <w:top w:val="single" w:sz="8" w:space="0" w:color="000000"/>
              <w:left w:val="single" w:sz="4" w:space="0" w:color="auto"/>
              <w:right w:val="single" w:sz="4" w:space="0" w:color="auto"/>
            </w:tcBorders>
          </w:tcPr>
          <w:p w14:paraId="138D83B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Mozaffari et al (1996)</w:t>
            </w:r>
          </w:p>
        </w:tc>
      </w:tr>
      <w:tr w:rsidR="00632208" w:rsidRPr="0098635C" w14:paraId="65FA1BA0" w14:textId="77777777" w:rsidTr="00A432B0">
        <w:trPr>
          <w:trHeight w:val="74"/>
        </w:trPr>
        <w:tc>
          <w:tcPr>
            <w:tcW w:w="1647" w:type="dxa"/>
            <w:tcBorders>
              <w:left w:val="single" w:sz="4" w:space="0" w:color="auto"/>
              <w:right w:val="single" w:sz="4" w:space="0" w:color="auto"/>
            </w:tcBorders>
          </w:tcPr>
          <w:p w14:paraId="5D11E430"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 </w:t>
            </w:r>
          </w:p>
        </w:tc>
        <w:tc>
          <w:tcPr>
            <w:tcW w:w="1276" w:type="dxa"/>
            <w:vMerge/>
            <w:tcBorders>
              <w:left w:val="single" w:sz="4" w:space="0" w:color="auto"/>
              <w:right w:val="single" w:sz="4" w:space="0" w:color="auto"/>
            </w:tcBorders>
            <w:vAlign w:val="center"/>
          </w:tcPr>
          <w:p w14:paraId="126BDAC9" w14:textId="77777777" w:rsidR="00632208" w:rsidRPr="0098635C" w:rsidRDefault="00632208" w:rsidP="00A432B0">
            <w:pPr>
              <w:spacing w:after="0"/>
              <w:rPr>
                <w:rFonts w:ascii="Arial Narrow" w:hAnsi="Arial Narrow" w:cs="Arial Narrow"/>
                <w:color w:val="000000" w:themeColor="text1"/>
                <w:sz w:val="20"/>
                <w:szCs w:val="20"/>
              </w:rPr>
            </w:pPr>
          </w:p>
        </w:tc>
        <w:tc>
          <w:tcPr>
            <w:tcW w:w="425" w:type="dxa"/>
            <w:tcBorders>
              <w:left w:val="single" w:sz="4" w:space="0" w:color="auto"/>
              <w:right w:val="single" w:sz="4" w:space="0" w:color="auto"/>
            </w:tcBorders>
          </w:tcPr>
          <w:p w14:paraId="4EB5003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w:t>
            </w:r>
          </w:p>
        </w:tc>
        <w:tc>
          <w:tcPr>
            <w:tcW w:w="709" w:type="dxa"/>
            <w:vMerge/>
            <w:tcBorders>
              <w:top w:val="single" w:sz="4" w:space="0" w:color="auto"/>
              <w:left w:val="single" w:sz="4" w:space="0" w:color="auto"/>
              <w:bottom w:val="single" w:sz="4" w:space="0" w:color="auto"/>
              <w:right w:val="single" w:sz="4" w:space="0" w:color="auto"/>
            </w:tcBorders>
            <w:vAlign w:val="center"/>
          </w:tcPr>
          <w:p w14:paraId="10D6752F"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E5A43D3"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tcBorders>
              <w:left w:val="single" w:sz="4" w:space="0" w:color="auto"/>
              <w:right w:val="single" w:sz="4" w:space="0" w:color="auto"/>
            </w:tcBorders>
          </w:tcPr>
          <w:p w14:paraId="37E8AE86"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vMerge/>
            <w:tcBorders>
              <w:top w:val="single" w:sz="4" w:space="0" w:color="auto"/>
              <w:left w:val="single" w:sz="4" w:space="0" w:color="auto"/>
              <w:bottom w:val="single" w:sz="4" w:space="0" w:color="auto"/>
              <w:right w:val="single" w:sz="4" w:space="0" w:color="auto"/>
            </w:tcBorders>
            <w:vAlign w:val="center"/>
          </w:tcPr>
          <w:p w14:paraId="747C1F59"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tcBorders>
              <w:left w:val="single" w:sz="4" w:space="0" w:color="auto"/>
              <w:right w:val="single" w:sz="4" w:space="0" w:color="auto"/>
            </w:tcBorders>
          </w:tcPr>
          <w:p w14:paraId="58CB7CE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90</w:t>
            </w:r>
          </w:p>
        </w:tc>
        <w:tc>
          <w:tcPr>
            <w:tcW w:w="709" w:type="dxa"/>
            <w:tcBorders>
              <w:left w:val="single" w:sz="4" w:space="0" w:color="auto"/>
              <w:right w:val="single" w:sz="4" w:space="0" w:color="auto"/>
            </w:tcBorders>
          </w:tcPr>
          <w:p w14:paraId="1183DFE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106</w:t>
            </w:r>
          </w:p>
        </w:tc>
        <w:tc>
          <w:tcPr>
            <w:tcW w:w="992" w:type="dxa"/>
            <w:tcBorders>
              <w:left w:val="single" w:sz="4" w:space="0" w:color="auto"/>
              <w:right w:val="single" w:sz="4" w:space="0" w:color="auto"/>
            </w:tcBorders>
          </w:tcPr>
          <w:p w14:paraId="0B321C1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left w:val="single" w:sz="4" w:space="0" w:color="auto"/>
              <w:right w:val="single" w:sz="4" w:space="0" w:color="auto"/>
            </w:tcBorders>
          </w:tcPr>
          <w:p w14:paraId="1C6BFFB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275" w:type="dxa"/>
            <w:tcBorders>
              <w:left w:val="single" w:sz="4" w:space="0" w:color="auto"/>
              <w:right w:val="single" w:sz="4" w:space="0" w:color="auto"/>
            </w:tcBorders>
          </w:tcPr>
          <w:p w14:paraId="763DB7C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&gt;200</w:t>
            </w:r>
          </w:p>
        </w:tc>
        <w:tc>
          <w:tcPr>
            <w:tcW w:w="851" w:type="dxa"/>
            <w:tcBorders>
              <w:left w:val="single" w:sz="4" w:space="0" w:color="auto"/>
              <w:right w:val="single" w:sz="4" w:space="0" w:color="auto"/>
            </w:tcBorders>
          </w:tcPr>
          <w:p w14:paraId="38C0B5F2" w14:textId="77777777" w:rsidR="00632208" w:rsidRPr="0098635C" w:rsidRDefault="00632208" w:rsidP="00A432B0">
            <w:pPr>
              <w:spacing w:after="0"/>
              <w:jc w:val="center"/>
              <w:rPr>
                <w:rFonts w:ascii="Arial Narrow" w:hAnsi="Arial Narrow" w:cs="Arial Narrow"/>
                <w:color w:val="000000" w:themeColor="text1"/>
                <w:sz w:val="20"/>
                <w:szCs w:val="20"/>
              </w:rPr>
            </w:pPr>
          </w:p>
        </w:tc>
        <w:tc>
          <w:tcPr>
            <w:tcW w:w="1134" w:type="dxa"/>
            <w:tcBorders>
              <w:left w:val="single" w:sz="4" w:space="0" w:color="auto"/>
              <w:right w:val="single" w:sz="4" w:space="0" w:color="auto"/>
            </w:tcBorders>
          </w:tcPr>
          <w:p w14:paraId="5410DE9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&gt;210.7</w:t>
            </w:r>
          </w:p>
        </w:tc>
        <w:tc>
          <w:tcPr>
            <w:tcW w:w="1984" w:type="dxa"/>
            <w:vMerge/>
            <w:tcBorders>
              <w:left w:val="single" w:sz="4" w:space="0" w:color="auto"/>
              <w:right w:val="single" w:sz="4" w:space="0" w:color="auto"/>
            </w:tcBorders>
          </w:tcPr>
          <w:p w14:paraId="2638A40C" w14:textId="77777777" w:rsidR="00632208" w:rsidRPr="0098635C" w:rsidRDefault="00632208" w:rsidP="00A432B0">
            <w:pPr>
              <w:spacing w:after="0"/>
              <w:rPr>
                <w:rFonts w:ascii="Arial Narrow" w:hAnsi="Arial Narrow" w:cs="Arial Narrow"/>
                <w:color w:val="000000" w:themeColor="text1"/>
                <w:sz w:val="20"/>
                <w:szCs w:val="20"/>
              </w:rPr>
            </w:pPr>
          </w:p>
        </w:tc>
      </w:tr>
      <w:tr w:rsidR="00632208" w:rsidRPr="0098635C" w14:paraId="63451E8E" w14:textId="77777777" w:rsidTr="00A432B0">
        <w:trPr>
          <w:trHeight w:val="187"/>
        </w:trPr>
        <w:tc>
          <w:tcPr>
            <w:tcW w:w="1647" w:type="dxa"/>
            <w:tcBorders>
              <w:top w:val="nil"/>
              <w:left w:val="single" w:sz="4" w:space="0" w:color="auto"/>
              <w:right w:val="single" w:sz="4" w:space="0" w:color="auto"/>
            </w:tcBorders>
          </w:tcPr>
          <w:p w14:paraId="4702BCF7"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 </w:t>
            </w:r>
          </w:p>
        </w:tc>
        <w:tc>
          <w:tcPr>
            <w:tcW w:w="1276" w:type="dxa"/>
            <w:vMerge/>
            <w:tcBorders>
              <w:top w:val="nil"/>
              <w:left w:val="single" w:sz="4" w:space="0" w:color="auto"/>
              <w:right w:val="single" w:sz="4" w:space="0" w:color="auto"/>
            </w:tcBorders>
            <w:vAlign w:val="center"/>
          </w:tcPr>
          <w:p w14:paraId="4F182287" w14:textId="77777777" w:rsidR="00632208" w:rsidRPr="0098635C" w:rsidRDefault="00632208" w:rsidP="00A432B0">
            <w:pPr>
              <w:spacing w:after="0"/>
              <w:rPr>
                <w:rFonts w:ascii="Arial Narrow" w:hAnsi="Arial Narrow" w:cs="Arial Narrow"/>
                <w:color w:val="000000" w:themeColor="text1"/>
                <w:sz w:val="20"/>
                <w:szCs w:val="20"/>
              </w:rPr>
            </w:pPr>
          </w:p>
        </w:tc>
        <w:tc>
          <w:tcPr>
            <w:tcW w:w="425" w:type="dxa"/>
            <w:tcBorders>
              <w:left w:val="single" w:sz="4" w:space="0" w:color="auto"/>
              <w:right w:val="single" w:sz="4" w:space="0" w:color="auto"/>
            </w:tcBorders>
          </w:tcPr>
          <w:p w14:paraId="6BF163D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w:t>
            </w:r>
          </w:p>
        </w:tc>
        <w:tc>
          <w:tcPr>
            <w:tcW w:w="709" w:type="dxa"/>
            <w:vMerge/>
            <w:tcBorders>
              <w:top w:val="single" w:sz="4" w:space="0" w:color="auto"/>
              <w:left w:val="single" w:sz="4" w:space="0" w:color="auto"/>
              <w:bottom w:val="single" w:sz="4" w:space="0" w:color="auto"/>
              <w:right w:val="single" w:sz="4" w:space="0" w:color="auto"/>
            </w:tcBorders>
            <w:vAlign w:val="center"/>
          </w:tcPr>
          <w:p w14:paraId="269118C9"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70A878"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tcBorders>
              <w:left w:val="single" w:sz="4" w:space="0" w:color="auto"/>
              <w:right w:val="single" w:sz="4" w:space="0" w:color="auto"/>
            </w:tcBorders>
          </w:tcPr>
          <w:p w14:paraId="27FBC814"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vMerge/>
            <w:tcBorders>
              <w:top w:val="single" w:sz="4" w:space="0" w:color="auto"/>
              <w:left w:val="single" w:sz="4" w:space="0" w:color="auto"/>
              <w:bottom w:val="single" w:sz="4" w:space="0" w:color="auto"/>
              <w:right w:val="single" w:sz="4" w:space="0" w:color="auto"/>
            </w:tcBorders>
            <w:vAlign w:val="center"/>
          </w:tcPr>
          <w:p w14:paraId="013781DC"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tcBorders>
              <w:left w:val="single" w:sz="4" w:space="0" w:color="auto"/>
              <w:right w:val="single" w:sz="4" w:space="0" w:color="auto"/>
            </w:tcBorders>
          </w:tcPr>
          <w:p w14:paraId="497D793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90</w:t>
            </w:r>
          </w:p>
        </w:tc>
        <w:tc>
          <w:tcPr>
            <w:tcW w:w="709" w:type="dxa"/>
            <w:tcBorders>
              <w:left w:val="single" w:sz="4" w:space="0" w:color="auto"/>
              <w:right w:val="single" w:sz="4" w:space="0" w:color="auto"/>
            </w:tcBorders>
          </w:tcPr>
          <w:p w14:paraId="6D9EFCF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106</w:t>
            </w:r>
          </w:p>
        </w:tc>
        <w:tc>
          <w:tcPr>
            <w:tcW w:w="992" w:type="dxa"/>
            <w:tcBorders>
              <w:left w:val="single" w:sz="4" w:space="0" w:color="auto"/>
              <w:right w:val="single" w:sz="4" w:space="0" w:color="auto"/>
            </w:tcBorders>
          </w:tcPr>
          <w:p w14:paraId="075C069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y(r)</w:t>
            </w:r>
          </w:p>
        </w:tc>
        <w:tc>
          <w:tcPr>
            <w:tcW w:w="993" w:type="dxa"/>
            <w:tcBorders>
              <w:left w:val="single" w:sz="4" w:space="0" w:color="auto"/>
              <w:right w:val="single" w:sz="4" w:space="0" w:color="auto"/>
            </w:tcBorders>
          </w:tcPr>
          <w:p w14:paraId="7076C8B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100</w:t>
            </w:r>
          </w:p>
        </w:tc>
        <w:tc>
          <w:tcPr>
            <w:tcW w:w="1275" w:type="dxa"/>
            <w:tcBorders>
              <w:left w:val="single" w:sz="4" w:space="0" w:color="auto"/>
              <w:right w:val="single" w:sz="4" w:space="0" w:color="auto"/>
            </w:tcBorders>
          </w:tcPr>
          <w:p w14:paraId="17FF153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left w:val="single" w:sz="4" w:space="0" w:color="auto"/>
              <w:right w:val="single" w:sz="4" w:space="0" w:color="auto"/>
            </w:tcBorders>
          </w:tcPr>
          <w:p w14:paraId="2FDD6E7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110.7</w:t>
            </w:r>
          </w:p>
        </w:tc>
        <w:tc>
          <w:tcPr>
            <w:tcW w:w="1134" w:type="dxa"/>
            <w:tcBorders>
              <w:left w:val="single" w:sz="4" w:space="0" w:color="auto"/>
              <w:right w:val="single" w:sz="4" w:space="0" w:color="auto"/>
            </w:tcBorders>
          </w:tcPr>
          <w:p w14:paraId="5CE4A240"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vMerge/>
            <w:tcBorders>
              <w:left w:val="single" w:sz="4" w:space="0" w:color="auto"/>
              <w:right w:val="single" w:sz="4" w:space="0" w:color="auto"/>
            </w:tcBorders>
          </w:tcPr>
          <w:p w14:paraId="4A316038" w14:textId="77777777" w:rsidR="00632208" w:rsidRPr="0098635C" w:rsidRDefault="00632208" w:rsidP="00A432B0">
            <w:pPr>
              <w:spacing w:after="0"/>
              <w:jc w:val="center"/>
              <w:rPr>
                <w:rFonts w:ascii="Arial Narrow" w:hAnsi="Arial Narrow" w:cs="Arial Narrow"/>
                <w:color w:val="000000" w:themeColor="text1"/>
                <w:sz w:val="20"/>
                <w:szCs w:val="20"/>
              </w:rPr>
            </w:pPr>
          </w:p>
        </w:tc>
      </w:tr>
      <w:tr w:rsidR="00632208" w:rsidRPr="0098635C" w14:paraId="1E60F0BB" w14:textId="77777777" w:rsidTr="00A432B0">
        <w:trPr>
          <w:trHeight w:val="117"/>
        </w:trPr>
        <w:tc>
          <w:tcPr>
            <w:tcW w:w="1647" w:type="dxa"/>
            <w:tcBorders>
              <w:top w:val="nil"/>
              <w:left w:val="single" w:sz="4" w:space="0" w:color="auto"/>
              <w:right w:val="single" w:sz="4" w:space="0" w:color="auto"/>
            </w:tcBorders>
          </w:tcPr>
          <w:p w14:paraId="6DB22219"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 </w:t>
            </w:r>
          </w:p>
        </w:tc>
        <w:tc>
          <w:tcPr>
            <w:tcW w:w="1276" w:type="dxa"/>
            <w:vMerge/>
            <w:tcBorders>
              <w:top w:val="nil"/>
              <w:left w:val="single" w:sz="4" w:space="0" w:color="auto"/>
              <w:right w:val="single" w:sz="4" w:space="0" w:color="auto"/>
            </w:tcBorders>
            <w:vAlign w:val="center"/>
          </w:tcPr>
          <w:p w14:paraId="65D3043A" w14:textId="77777777" w:rsidR="00632208" w:rsidRPr="0098635C" w:rsidRDefault="00632208" w:rsidP="00A432B0">
            <w:pPr>
              <w:spacing w:after="0"/>
              <w:rPr>
                <w:rFonts w:ascii="Arial Narrow" w:hAnsi="Arial Narrow" w:cs="Arial Narrow"/>
                <w:color w:val="000000" w:themeColor="text1"/>
                <w:sz w:val="20"/>
                <w:szCs w:val="20"/>
              </w:rPr>
            </w:pPr>
          </w:p>
        </w:tc>
        <w:tc>
          <w:tcPr>
            <w:tcW w:w="425" w:type="dxa"/>
            <w:tcBorders>
              <w:left w:val="single" w:sz="4" w:space="0" w:color="auto"/>
              <w:right w:val="single" w:sz="4" w:space="0" w:color="auto"/>
            </w:tcBorders>
          </w:tcPr>
          <w:p w14:paraId="6B561BA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w:t>
            </w:r>
          </w:p>
        </w:tc>
        <w:tc>
          <w:tcPr>
            <w:tcW w:w="709" w:type="dxa"/>
            <w:vMerge/>
            <w:tcBorders>
              <w:top w:val="single" w:sz="4" w:space="0" w:color="auto"/>
              <w:left w:val="single" w:sz="4" w:space="0" w:color="auto"/>
              <w:bottom w:val="single" w:sz="4" w:space="0" w:color="auto"/>
              <w:right w:val="single" w:sz="4" w:space="0" w:color="auto"/>
            </w:tcBorders>
            <w:vAlign w:val="center"/>
          </w:tcPr>
          <w:p w14:paraId="6170D0A7"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0018CFB"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tcBorders>
              <w:left w:val="single" w:sz="4" w:space="0" w:color="auto"/>
              <w:right w:val="single" w:sz="4" w:space="0" w:color="auto"/>
            </w:tcBorders>
          </w:tcPr>
          <w:p w14:paraId="168A4BC2"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vMerge/>
            <w:tcBorders>
              <w:top w:val="single" w:sz="4" w:space="0" w:color="auto"/>
              <w:left w:val="single" w:sz="4" w:space="0" w:color="auto"/>
              <w:bottom w:val="single" w:sz="4" w:space="0" w:color="auto"/>
              <w:right w:val="single" w:sz="4" w:space="0" w:color="auto"/>
            </w:tcBorders>
            <w:vAlign w:val="center"/>
          </w:tcPr>
          <w:p w14:paraId="52890B65"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tcBorders>
              <w:left w:val="single" w:sz="4" w:space="0" w:color="auto"/>
              <w:right w:val="single" w:sz="4" w:space="0" w:color="auto"/>
            </w:tcBorders>
          </w:tcPr>
          <w:p w14:paraId="6E870B3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90</w:t>
            </w:r>
          </w:p>
        </w:tc>
        <w:tc>
          <w:tcPr>
            <w:tcW w:w="709" w:type="dxa"/>
            <w:tcBorders>
              <w:left w:val="single" w:sz="4" w:space="0" w:color="auto"/>
              <w:right w:val="single" w:sz="4" w:space="0" w:color="auto"/>
            </w:tcBorders>
          </w:tcPr>
          <w:p w14:paraId="4DC5270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106</w:t>
            </w:r>
          </w:p>
        </w:tc>
        <w:tc>
          <w:tcPr>
            <w:tcW w:w="992" w:type="dxa"/>
            <w:tcBorders>
              <w:left w:val="single" w:sz="4" w:space="0" w:color="auto"/>
              <w:right w:val="single" w:sz="4" w:space="0" w:color="auto"/>
            </w:tcBorders>
          </w:tcPr>
          <w:p w14:paraId="1F77E5E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left w:val="single" w:sz="4" w:space="0" w:color="auto"/>
              <w:right w:val="single" w:sz="4" w:space="0" w:color="auto"/>
            </w:tcBorders>
          </w:tcPr>
          <w:p w14:paraId="55BABF8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100</w:t>
            </w:r>
          </w:p>
        </w:tc>
        <w:tc>
          <w:tcPr>
            <w:tcW w:w="1275" w:type="dxa"/>
            <w:tcBorders>
              <w:left w:val="single" w:sz="4" w:space="0" w:color="auto"/>
              <w:right w:val="single" w:sz="4" w:space="0" w:color="auto"/>
            </w:tcBorders>
          </w:tcPr>
          <w:p w14:paraId="78519EBD" w14:textId="77777777" w:rsidR="00632208" w:rsidRPr="0098635C" w:rsidRDefault="00632208" w:rsidP="00A432B0">
            <w:pPr>
              <w:spacing w:after="0"/>
              <w:jc w:val="center"/>
              <w:rPr>
                <w:rFonts w:ascii="Arial Narrow" w:hAnsi="Arial Narrow" w:cs="Arial Narrow"/>
                <w:color w:val="000000" w:themeColor="text1"/>
                <w:sz w:val="20"/>
                <w:szCs w:val="20"/>
              </w:rPr>
            </w:pPr>
          </w:p>
        </w:tc>
        <w:tc>
          <w:tcPr>
            <w:tcW w:w="851" w:type="dxa"/>
            <w:tcBorders>
              <w:left w:val="single" w:sz="4" w:space="0" w:color="auto"/>
              <w:right w:val="single" w:sz="4" w:space="0" w:color="auto"/>
            </w:tcBorders>
          </w:tcPr>
          <w:p w14:paraId="6E43A18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110.7</w:t>
            </w:r>
          </w:p>
        </w:tc>
        <w:tc>
          <w:tcPr>
            <w:tcW w:w="1134" w:type="dxa"/>
            <w:tcBorders>
              <w:left w:val="single" w:sz="4" w:space="0" w:color="auto"/>
              <w:right w:val="single" w:sz="4" w:space="0" w:color="auto"/>
            </w:tcBorders>
          </w:tcPr>
          <w:p w14:paraId="3399D02E" w14:textId="77777777" w:rsidR="00632208" w:rsidRPr="0098635C" w:rsidRDefault="00632208" w:rsidP="00A432B0">
            <w:pPr>
              <w:spacing w:after="0"/>
              <w:rPr>
                <w:rFonts w:ascii="Arial Narrow" w:hAnsi="Arial Narrow" w:cs="Arial Narrow"/>
                <w:color w:val="000000" w:themeColor="text1"/>
                <w:sz w:val="20"/>
                <w:szCs w:val="20"/>
              </w:rPr>
            </w:pPr>
          </w:p>
        </w:tc>
        <w:tc>
          <w:tcPr>
            <w:tcW w:w="1984" w:type="dxa"/>
            <w:vMerge/>
            <w:tcBorders>
              <w:left w:val="single" w:sz="4" w:space="0" w:color="auto"/>
              <w:right w:val="single" w:sz="4" w:space="0" w:color="auto"/>
            </w:tcBorders>
          </w:tcPr>
          <w:p w14:paraId="2ED43779" w14:textId="77777777" w:rsidR="00632208" w:rsidRPr="0098635C" w:rsidRDefault="00632208" w:rsidP="00A432B0">
            <w:pPr>
              <w:spacing w:after="0"/>
              <w:jc w:val="center"/>
              <w:rPr>
                <w:rFonts w:ascii="Arial Narrow" w:hAnsi="Arial Narrow" w:cs="Arial Narrow"/>
                <w:color w:val="000000" w:themeColor="text1"/>
                <w:sz w:val="20"/>
                <w:szCs w:val="20"/>
              </w:rPr>
            </w:pPr>
          </w:p>
        </w:tc>
      </w:tr>
      <w:tr w:rsidR="00632208" w:rsidRPr="0098635C" w14:paraId="15F2BE1F" w14:textId="77777777" w:rsidTr="00A432B0">
        <w:trPr>
          <w:trHeight w:val="187"/>
        </w:trPr>
        <w:tc>
          <w:tcPr>
            <w:tcW w:w="1647" w:type="dxa"/>
            <w:tcBorders>
              <w:top w:val="nil"/>
              <w:left w:val="single" w:sz="4" w:space="0" w:color="auto"/>
              <w:right w:val="single" w:sz="4" w:space="0" w:color="auto"/>
            </w:tcBorders>
          </w:tcPr>
          <w:p w14:paraId="07FFEC43"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 </w:t>
            </w:r>
          </w:p>
        </w:tc>
        <w:tc>
          <w:tcPr>
            <w:tcW w:w="1276" w:type="dxa"/>
            <w:vMerge/>
            <w:tcBorders>
              <w:top w:val="nil"/>
              <w:left w:val="single" w:sz="4" w:space="0" w:color="auto"/>
              <w:right w:val="single" w:sz="4" w:space="0" w:color="auto"/>
            </w:tcBorders>
            <w:vAlign w:val="center"/>
          </w:tcPr>
          <w:p w14:paraId="00176DE8" w14:textId="77777777" w:rsidR="00632208" w:rsidRPr="0098635C" w:rsidRDefault="00632208" w:rsidP="00A432B0">
            <w:pPr>
              <w:spacing w:after="0"/>
              <w:rPr>
                <w:rFonts w:ascii="Arial Narrow" w:hAnsi="Arial Narrow" w:cs="Arial Narrow"/>
                <w:color w:val="000000" w:themeColor="text1"/>
                <w:sz w:val="20"/>
                <w:szCs w:val="20"/>
              </w:rPr>
            </w:pPr>
          </w:p>
        </w:tc>
        <w:tc>
          <w:tcPr>
            <w:tcW w:w="425" w:type="dxa"/>
            <w:tcBorders>
              <w:left w:val="single" w:sz="4" w:space="0" w:color="auto"/>
              <w:right w:val="single" w:sz="4" w:space="0" w:color="auto"/>
            </w:tcBorders>
          </w:tcPr>
          <w:p w14:paraId="1DE00D2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vMerge/>
            <w:tcBorders>
              <w:top w:val="single" w:sz="4" w:space="0" w:color="auto"/>
              <w:left w:val="single" w:sz="4" w:space="0" w:color="auto"/>
              <w:bottom w:val="single" w:sz="4" w:space="0" w:color="auto"/>
              <w:right w:val="single" w:sz="4" w:space="0" w:color="auto"/>
            </w:tcBorders>
            <w:vAlign w:val="center"/>
          </w:tcPr>
          <w:p w14:paraId="3765BA5C"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4AB2214"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tcBorders>
              <w:left w:val="single" w:sz="4" w:space="0" w:color="auto"/>
              <w:right w:val="single" w:sz="4" w:space="0" w:color="auto"/>
            </w:tcBorders>
          </w:tcPr>
          <w:p w14:paraId="44473E1F"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vMerge/>
            <w:tcBorders>
              <w:top w:val="single" w:sz="4" w:space="0" w:color="auto"/>
              <w:left w:val="single" w:sz="4" w:space="0" w:color="auto"/>
              <w:bottom w:val="single" w:sz="4" w:space="0" w:color="auto"/>
              <w:right w:val="single" w:sz="4" w:space="0" w:color="auto"/>
            </w:tcBorders>
            <w:vAlign w:val="center"/>
          </w:tcPr>
          <w:p w14:paraId="7C26F177"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tcBorders>
              <w:left w:val="single" w:sz="4" w:space="0" w:color="auto"/>
              <w:right w:val="single" w:sz="4" w:space="0" w:color="auto"/>
            </w:tcBorders>
          </w:tcPr>
          <w:p w14:paraId="7D0A69F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90</w:t>
            </w:r>
          </w:p>
        </w:tc>
        <w:tc>
          <w:tcPr>
            <w:tcW w:w="709" w:type="dxa"/>
            <w:tcBorders>
              <w:left w:val="single" w:sz="4" w:space="0" w:color="auto"/>
              <w:right w:val="single" w:sz="4" w:space="0" w:color="auto"/>
            </w:tcBorders>
          </w:tcPr>
          <w:p w14:paraId="139160F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106</w:t>
            </w:r>
          </w:p>
        </w:tc>
        <w:tc>
          <w:tcPr>
            <w:tcW w:w="992" w:type="dxa"/>
            <w:tcBorders>
              <w:left w:val="single" w:sz="4" w:space="0" w:color="auto"/>
              <w:right w:val="single" w:sz="4" w:space="0" w:color="auto"/>
            </w:tcBorders>
          </w:tcPr>
          <w:p w14:paraId="4B40900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y(r)</w:t>
            </w:r>
          </w:p>
        </w:tc>
        <w:tc>
          <w:tcPr>
            <w:tcW w:w="993" w:type="dxa"/>
            <w:tcBorders>
              <w:left w:val="single" w:sz="4" w:space="0" w:color="auto"/>
              <w:right w:val="single" w:sz="4" w:space="0" w:color="auto"/>
            </w:tcBorders>
          </w:tcPr>
          <w:p w14:paraId="06E3641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275" w:type="dxa"/>
            <w:tcBorders>
              <w:left w:val="single" w:sz="4" w:space="0" w:color="auto"/>
              <w:right w:val="single" w:sz="4" w:space="0" w:color="auto"/>
            </w:tcBorders>
          </w:tcPr>
          <w:p w14:paraId="5C84B67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&gt;200</w:t>
            </w:r>
          </w:p>
        </w:tc>
        <w:tc>
          <w:tcPr>
            <w:tcW w:w="851" w:type="dxa"/>
            <w:tcBorders>
              <w:left w:val="single" w:sz="4" w:space="0" w:color="auto"/>
              <w:right w:val="single" w:sz="4" w:space="0" w:color="auto"/>
            </w:tcBorders>
          </w:tcPr>
          <w:p w14:paraId="6A594F84" w14:textId="77777777" w:rsidR="00632208" w:rsidRPr="0098635C" w:rsidRDefault="00632208" w:rsidP="00A432B0">
            <w:pPr>
              <w:spacing w:after="0"/>
              <w:jc w:val="center"/>
              <w:rPr>
                <w:rFonts w:ascii="Arial Narrow" w:hAnsi="Arial Narrow" w:cs="Arial Narrow"/>
                <w:color w:val="000000" w:themeColor="text1"/>
                <w:sz w:val="20"/>
                <w:szCs w:val="20"/>
              </w:rPr>
            </w:pPr>
          </w:p>
        </w:tc>
        <w:tc>
          <w:tcPr>
            <w:tcW w:w="1134" w:type="dxa"/>
            <w:tcBorders>
              <w:left w:val="single" w:sz="4" w:space="0" w:color="auto"/>
              <w:right w:val="single" w:sz="4" w:space="0" w:color="auto"/>
            </w:tcBorders>
          </w:tcPr>
          <w:p w14:paraId="7F4C7C0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&gt;210.7</w:t>
            </w:r>
          </w:p>
        </w:tc>
        <w:tc>
          <w:tcPr>
            <w:tcW w:w="1984" w:type="dxa"/>
            <w:vMerge/>
            <w:tcBorders>
              <w:left w:val="single" w:sz="4" w:space="0" w:color="auto"/>
              <w:right w:val="single" w:sz="4" w:space="0" w:color="auto"/>
            </w:tcBorders>
          </w:tcPr>
          <w:p w14:paraId="343FFDA7" w14:textId="77777777" w:rsidR="00632208" w:rsidRPr="0098635C" w:rsidRDefault="00632208" w:rsidP="00A432B0">
            <w:pPr>
              <w:spacing w:after="0"/>
              <w:jc w:val="center"/>
              <w:rPr>
                <w:rFonts w:ascii="Arial Narrow" w:hAnsi="Arial Narrow" w:cs="Arial Narrow"/>
                <w:color w:val="000000" w:themeColor="text1"/>
                <w:sz w:val="20"/>
                <w:szCs w:val="20"/>
              </w:rPr>
            </w:pPr>
          </w:p>
        </w:tc>
      </w:tr>
      <w:tr w:rsidR="00632208" w:rsidRPr="0098635C" w14:paraId="3D94DE26" w14:textId="77777777" w:rsidTr="00A432B0">
        <w:trPr>
          <w:trHeight w:val="187"/>
        </w:trPr>
        <w:tc>
          <w:tcPr>
            <w:tcW w:w="1647" w:type="dxa"/>
            <w:tcBorders>
              <w:top w:val="nil"/>
              <w:left w:val="single" w:sz="4" w:space="0" w:color="auto"/>
              <w:bottom w:val="single" w:sz="4" w:space="0" w:color="auto"/>
              <w:right w:val="single" w:sz="4" w:space="0" w:color="auto"/>
            </w:tcBorders>
          </w:tcPr>
          <w:p w14:paraId="1C74658F"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 </w:t>
            </w:r>
          </w:p>
        </w:tc>
        <w:tc>
          <w:tcPr>
            <w:tcW w:w="1276" w:type="dxa"/>
            <w:vMerge/>
            <w:tcBorders>
              <w:top w:val="nil"/>
              <w:left w:val="single" w:sz="4" w:space="0" w:color="auto"/>
              <w:bottom w:val="single" w:sz="4" w:space="0" w:color="auto"/>
              <w:right w:val="single" w:sz="4" w:space="0" w:color="auto"/>
            </w:tcBorders>
            <w:vAlign w:val="center"/>
          </w:tcPr>
          <w:p w14:paraId="3868DE90" w14:textId="77777777" w:rsidR="00632208" w:rsidRPr="0098635C" w:rsidRDefault="00632208" w:rsidP="00A432B0">
            <w:pPr>
              <w:spacing w:after="0"/>
              <w:rPr>
                <w:rFonts w:ascii="Arial Narrow" w:hAnsi="Arial Narrow" w:cs="Arial Narrow"/>
                <w:color w:val="000000" w:themeColor="text1"/>
                <w:sz w:val="20"/>
                <w:szCs w:val="20"/>
              </w:rPr>
            </w:pPr>
          </w:p>
        </w:tc>
        <w:tc>
          <w:tcPr>
            <w:tcW w:w="425" w:type="dxa"/>
            <w:tcBorders>
              <w:left w:val="single" w:sz="4" w:space="0" w:color="auto"/>
              <w:bottom w:val="single" w:sz="4" w:space="0" w:color="auto"/>
              <w:right w:val="single" w:sz="4" w:space="0" w:color="auto"/>
            </w:tcBorders>
          </w:tcPr>
          <w:p w14:paraId="2A2F1C5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vMerge/>
            <w:tcBorders>
              <w:top w:val="single" w:sz="4" w:space="0" w:color="auto"/>
              <w:left w:val="single" w:sz="4" w:space="0" w:color="auto"/>
              <w:bottom w:val="single" w:sz="4" w:space="0" w:color="auto"/>
              <w:right w:val="single" w:sz="4" w:space="0" w:color="auto"/>
            </w:tcBorders>
            <w:vAlign w:val="center"/>
          </w:tcPr>
          <w:p w14:paraId="6C5E3FBE"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6C04093"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tcBorders>
              <w:left w:val="single" w:sz="4" w:space="0" w:color="auto"/>
              <w:bottom w:val="single" w:sz="4" w:space="0" w:color="auto"/>
              <w:right w:val="single" w:sz="4" w:space="0" w:color="auto"/>
            </w:tcBorders>
          </w:tcPr>
          <w:p w14:paraId="487A3E9D"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vMerge/>
            <w:tcBorders>
              <w:top w:val="single" w:sz="4" w:space="0" w:color="auto"/>
              <w:left w:val="single" w:sz="4" w:space="0" w:color="auto"/>
              <w:bottom w:val="single" w:sz="4" w:space="0" w:color="auto"/>
              <w:right w:val="single" w:sz="4" w:space="0" w:color="auto"/>
            </w:tcBorders>
            <w:vAlign w:val="center"/>
          </w:tcPr>
          <w:p w14:paraId="14C0E694"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tcBorders>
              <w:left w:val="single" w:sz="4" w:space="0" w:color="auto"/>
              <w:bottom w:val="single" w:sz="4" w:space="0" w:color="auto"/>
              <w:right w:val="single" w:sz="4" w:space="0" w:color="auto"/>
            </w:tcBorders>
          </w:tcPr>
          <w:p w14:paraId="475A719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90</w:t>
            </w:r>
          </w:p>
        </w:tc>
        <w:tc>
          <w:tcPr>
            <w:tcW w:w="709" w:type="dxa"/>
            <w:tcBorders>
              <w:left w:val="single" w:sz="4" w:space="0" w:color="auto"/>
              <w:bottom w:val="single" w:sz="4" w:space="0" w:color="auto"/>
              <w:right w:val="single" w:sz="4" w:space="0" w:color="auto"/>
            </w:tcBorders>
          </w:tcPr>
          <w:p w14:paraId="73C38B2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106</w:t>
            </w:r>
          </w:p>
        </w:tc>
        <w:tc>
          <w:tcPr>
            <w:tcW w:w="992" w:type="dxa"/>
            <w:tcBorders>
              <w:left w:val="single" w:sz="4" w:space="0" w:color="auto"/>
              <w:bottom w:val="single" w:sz="4" w:space="0" w:color="auto"/>
              <w:right w:val="single" w:sz="4" w:space="0" w:color="auto"/>
            </w:tcBorders>
          </w:tcPr>
          <w:p w14:paraId="2FBF7D2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left w:val="single" w:sz="4" w:space="0" w:color="auto"/>
              <w:bottom w:val="single" w:sz="4" w:space="0" w:color="auto"/>
              <w:right w:val="single" w:sz="4" w:space="0" w:color="auto"/>
            </w:tcBorders>
          </w:tcPr>
          <w:p w14:paraId="60318E1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275" w:type="dxa"/>
            <w:tcBorders>
              <w:left w:val="single" w:sz="4" w:space="0" w:color="auto"/>
              <w:bottom w:val="single" w:sz="4" w:space="0" w:color="auto"/>
              <w:right w:val="single" w:sz="4" w:space="0" w:color="auto"/>
            </w:tcBorders>
          </w:tcPr>
          <w:p w14:paraId="682526C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&gt;200</w:t>
            </w:r>
          </w:p>
        </w:tc>
        <w:tc>
          <w:tcPr>
            <w:tcW w:w="851" w:type="dxa"/>
            <w:tcBorders>
              <w:left w:val="single" w:sz="4" w:space="0" w:color="auto"/>
              <w:bottom w:val="single" w:sz="4" w:space="0" w:color="auto"/>
              <w:right w:val="single" w:sz="4" w:space="0" w:color="auto"/>
            </w:tcBorders>
          </w:tcPr>
          <w:p w14:paraId="744C9380" w14:textId="77777777" w:rsidR="00632208" w:rsidRPr="0098635C" w:rsidRDefault="00632208" w:rsidP="00A432B0">
            <w:pPr>
              <w:spacing w:after="0"/>
              <w:jc w:val="center"/>
              <w:rPr>
                <w:rFonts w:ascii="Arial Narrow" w:hAnsi="Arial Narrow" w:cs="Arial Narrow"/>
                <w:color w:val="000000" w:themeColor="text1"/>
                <w:sz w:val="20"/>
                <w:szCs w:val="20"/>
              </w:rPr>
            </w:pPr>
          </w:p>
        </w:tc>
        <w:tc>
          <w:tcPr>
            <w:tcW w:w="1134" w:type="dxa"/>
            <w:tcBorders>
              <w:left w:val="single" w:sz="4" w:space="0" w:color="auto"/>
              <w:bottom w:val="single" w:sz="4" w:space="0" w:color="auto"/>
              <w:right w:val="single" w:sz="4" w:space="0" w:color="auto"/>
            </w:tcBorders>
          </w:tcPr>
          <w:p w14:paraId="38C38A1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&gt;210.7</w:t>
            </w:r>
          </w:p>
        </w:tc>
        <w:tc>
          <w:tcPr>
            <w:tcW w:w="1984" w:type="dxa"/>
            <w:vMerge/>
            <w:tcBorders>
              <w:left w:val="single" w:sz="4" w:space="0" w:color="auto"/>
              <w:bottom w:val="single" w:sz="4" w:space="0" w:color="auto"/>
              <w:right w:val="single" w:sz="4" w:space="0" w:color="auto"/>
            </w:tcBorders>
          </w:tcPr>
          <w:p w14:paraId="4095601C" w14:textId="77777777" w:rsidR="00632208" w:rsidRPr="0098635C" w:rsidRDefault="00632208" w:rsidP="00A432B0">
            <w:pPr>
              <w:spacing w:after="0"/>
              <w:jc w:val="center"/>
              <w:rPr>
                <w:rFonts w:ascii="Arial Narrow" w:hAnsi="Arial Narrow" w:cs="Arial Narrow"/>
                <w:color w:val="000000" w:themeColor="text1"/>
                <w:sz w:val="20"/>
                <w:szCs w:val="20"/>
              </w:rPr>
            </w:pPr>
          </w:p>
        </w:tc>
      </w:tr>
      <w:tr w:rsidR="00632208" w:rsidRPr="0098635C" w14:paraId="765AB7F7" w14:textId="77777777" w:rsidTr="00A432B0">
        <w:trPr>
          <w:trHeight w:val="74"/>
        </w:trPr>
        <w:tc>
          <w:tcPr>
            <w:tcW w:w="1647" w:type="dxa"/>
            <w:tcBorders>
              <w:top w:val="single" w:sz="4" w:space="0" w:color="auto"/>
              <w:left w:val="single" w:sz="4" w:space="0" w:color="auto"/>
              <w:right w:val="single" w:sz="4" w:space="0" w:color="auto"/>
            </w:tcBorders>
          </w:tcPr>
          <w:p w14:paraId="131B38B1"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Swingle citrumelo</w:t>
            </w:r>
          </w:p>
        </w:tc>
        <w:tc>
          <w:tcPr>
            <w:tcW w:w="1276" w:type="dxa"/>
            <w:vMerge/>
            <w:tcBorders>
              <w:top w:val="single" w:sz="4" w:space="0" w:color="auto"/>
              <w:left w:val="single" w:sz="4" w:space="0" w:color="auto"/>
              <w:bottom w:val="single" w:sz="4" w:space="0" w:color="auto"/>
              <w:right w:val="single" w:sz="4" w:space="0" w:color="auto"/>
            </w:tcBorders>
            <w:vAlign w:val="center"/>
          </w:tcPr>
          <w:p w14:paraId="165A8C76" w14:textId="77777777" w:rsidR="00632208" w:rsidRPr="0098635C" w:rsidRDefault="00632208" w:rsidP="00A432B0">
            <w:pPr>
              <w:spacing w:after="0"/>
              <w:rPr>
                <w:rFonts w:ascii="Arial Narrow" w:hAnsi="Arial Narrow" w:cs="Arial Narrow"/>
                <w:color w:val="000000" w:themeColor="text1"/>
                <w:sz w:val="20"/>
                <w:szCs w:val="20"/>
              </w:rPr>
            </w:pPr>
          </w:p>
        </w:tc>
        <w:tc>
          <w:tcPr>
            <w:tcW w:w="425" w:type="dxa"/>
            <w:tcBorders>
              <w:top w:val="single" w:sz="4" w:space="0" w:color="auto"/>
              <w:left w:val="single" w:sz="4" w:space="0" w:color="auto"/>
              <w:right w:val="single" w:sz="4" w:space="0" w:color="auto"/>
            </w:tcBorders>
          </w:tcPr>
          <w:p w14:paraId="2ACB3A2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w:t>
            </w:r>
          </w:p>
        </w:tc>
        <w:tc>
          <w:tcPr>
            <w:tcW w:w="709" w:type="dxa"/>
            <w:vMerge/>
            <w:tcBorders>
              <w:top w:val="single" w:sz="4" w:space="0" w:color="auto"/>
              <w:left w:val="single" w:sz="4" w:space="0" w:color="auto"/>
              <w:bottom w:val="single" w:sz="4" w:space="0" w:color="auto"/>
              <w:right w:val="single" w:sz="4" w:space="0" w:color="auto"/>
            </w:tcBorders>
            <w:vAlign w:val="center"/>
          </w:tcPr>
          <w:p w14:paraId="51828EE2"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8B04E18"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tcBorders>
              <w:top w:val="single" w:sz="4" w:space="0" w:color="auto"/>
              <w:left w:val="single" w:sz="4" w:space="0" w:color="auto"/>
              <w:right w:val="single" w:sz="4" w:space="0" w:color="auto"/>
            </w:tcBorders>
          </w:tcPr>
          <w:p w14:paraId="3EB0A7F7"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vMerge/>
            <w:tcBorders>
              <w:top w:val="single" w:sz="4" w:space="0" w:color="auto"/>
              <w:left w:val="single" w:sz="4" w:space="0" w:color="auto"/>
              <w:bottom w:val="single" w:sz="4" w:space="0" w:color="auto"/>
              <w:right w:val="single" w:sz="4" w:space="0" w:color="auto"/>
            </w:tcBorders>
            <w:vAlign w:val="center"/>
          </w:tcPr>
          <w:p w14:paraId="1A287FE1"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tcBorders>
              <w:top w:val="single" w:sz="4" w:space="0" w:color="auto"/>
              <w:left w:val="single" w:sz="4" w:space="0" w:color="auto"/>
              <w:right w:val="single" w:sz="4" w:space="0" w:color="auto"/>
            </w:tcBorders>
          </w:tcPr>
          <w:p w14:paraId="1EBEA9B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90</w:t>
            </w:r>
          </w:p>
        </w:tc>
        <w:tc>
          <w:tcPr>
            <w:tcW w:w="709" w:type="dxa"/>
            <w:tcBorders>
              <w:top w:val="single" w:sz="4" w:space="0" w:color="auto"/>
              <w:left w:val="single" w:sz="4" w:space="0" w:color="auto"/>
              <w:right w:val="single" w:sz="4" w:space="0" w:color="auto"/>
            </w:tcBorders>
          </w:tcPr>
          <w:p w14:paraId="1381963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106</w:t>
            </w:r>
          </w:p>
        </w:tc>
        <w:tc>
          <w:tcPr>
            <w:tcW w:w="992" w:type="dxa"/>
            <w:tcBorders>
              <w:top w:val="single" w:sz="4" w:space="0" w:color="auto"/>
              <w:left w:val="single" w:sz="4" w:space="0" w:color="auto"/>
              <w:right w:val="single" w:sz="4" w:space="0" w:color="auto"/>
            </w:tcBorders>
          </w:tcPr>
          <w:p w14:paraId="6D6B9EE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y(r)</w:t>
            </w:r>
          </w:p>
        </w:tc>
        <w:tc>
          <w:tcPr>
            <w:tcW w:w="993" w:type="dxa"/>
            <w:tcBorders>
              <w:top w:val="single" w:sz="4" w:space="0" w:color="auto"/>
              <w:left w:val="single" w:sz="4" w:space="0" w:color="auto"/>
              <w:right w:val="single" w:sz="4" w:space="0" w:color="auto"/>
            </w:tcBorders>
          </w:tcPr>
          <w:p w14:paraId="54BCF51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50</w:t>
            </w:r>
          </w:p>
        </w:tc>
        <w:tc>
          <w:tcPr>
            <w:tcW w:w="1275" w:type="dxa"/>
            <w:tcBorders>
              <w:top w:val="single" w:sz="4" w:space="0" w:color="auto"/>
              <w:left w:val="single" w:sz="4" w:space="0" w:color="auto"/>
              <w:right w:val="single" w:sz="4" w:space="0" w:color="auto"/>
            </w:tcBorders>
          </w:tcPr>
          <w:p w14:paraId="70134B1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4" w:space="0" w:color="auto"/>
              <w:left w:val="single" w:sz="4" w:space="0" w:color="auto"/>
              <w:right w:val="single" w:sz="4" w:space="0" w:color="auto"/>
            </w:tcBorders>
          </w:tcPr>
          <w:p w14:paraId="2F34CC7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60.7</w:t>
            </w:r>
          </w:p>
        </w:tc>
        <w:tc>
          <w:tcPr>
            <w:tcW w:w="1134" w:type="dxa"/>
            <w:tcBorders>
              <w:top w:val="single" w:sz="4" w:space="0" w:color="auto"/>
              <w:left w:val="single" w:sz="4" w:space="0" w:color="auto"/>
              <w:right w:val="single" w:sz="4" w:space="0" w:color="auto"/>
            </w:tcBorders>
          </w:tcPr>
          <w:p w14:paraId="17947E59" w14:textId="77777777" w:rsidR="00632208" w:rsidRPr="0098635C" w:rsidRDefault="00632208" w:rsidP="00A432B0">
            <w:pPr>
              <w:spacing w:after="0"/>
              <w:jc w:val="center"/>
              <w:rPr>
                <w:rFonts w:ascii="Arial Narrow" w:hAnsi="Arial Narrow" w:cs="Arial Narrow"/>
                <w:color w:val="000000" w:themeColor="text1"/>
                <w:sz w:val="20"/>
                <w:szCs w:val="20"/>
              </w:rPr>
            </w:pPr>
          </w:p>
        </w:tc>
        <w:tc>
          <w:tcPr>
            <w:tcW w:w="1984" w:type="dxa"/>
            <w:vMerge w:val="restart"/>
            <w:tcBorders>
              <w:top w:val="single" w:sz="4" w:space="0" w:color="auto"/>
              <w:left w:val="single" w:sz="4" w:space="0" w:color="auto"/>
              <w:right w:val="single" w:sz="4" w:space="0" w:color="auto"/>
            </w:tcBorders>
          </w:tcPr>
          <w:p w14:paraId="36BFC7A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Mozaffari et al (1996)</w:t>
            </w:r>
          </w:p>
        </w:tc>
      </w:tr>
      <w:tr w:rsidR="00632208" w:rsidRPr="0098635C" w14:paraId="7BF4170D" w14:textId="77777777" w:rsidTr="00A432B0">
        <w:trPr>
          <w:trHeight w:val="187"/>
        </w:trPr>
        <w:tc>
          <w:tcPr>
            <w:tcW w:w="1647" w:type="dxa"/>
            <w:tcBorders>
              <w:left w:val="single" w:sz="4" w:space="0" w:color="auto"/>
              <w:right w:val="single" w:sz="4" w:space="0" w:color="auto"/>
            </w:tcBorders>
          </w:tcPr>
          <w:p w14:paraId="11507352" w14:textId="77777777" w:rsidR="00632208" w:rsidRPr="0098635C" w:rsidRDefault="00632208" w:rsidP="00A432B0">
            <w:pPr>
              <w:spacing w:after="0"/>
              <w:rPr>
                <w:rFonts w:ascii="Arial" w:hAnsi="Arial" w:cs="Arial"/>
                <w:color w:val="000000" w:themeColor="text1"/>
                <w:sz w:val="20"/>
                <w:szCs w:val="20"/>
              </w:rPr>
            </w:pPr>
            <w:r w:rsidRPr="0098635C">
              <w:rPr>
                <w:rFonts w:ascii="Arial" w:hAnsi="Arial" w:cs="Arial"/>
                <w:color w:val="000000" w:themeColor="text1"/>
                <w:sz w:val="20"/>
                <w:szCs w:val="20"/>
              </w:rPr>
              <w:t> </w:t>
            </w:r>
          </w:p>
        </w:tc>
        <w:tc>
          <w:tcPr>
            <w:tcW w:w="1276" w:type="dxa"/>
            <w:vMerge/>
            <w:tcBorders>
              <w:top w:val="single" w:sz="4" w:space="0" w:color="auto"/>
              <w:left w:val="single" w:sz="4" w:space="0" w:color="auto"/>
              <w:bottom w:val="single" w:sz="4" w:space="0" w:color="auto"/>
              <w:right w:val="single" w:sz="4" w:space="0" w:color="auto"/>
            </w:tcBorders>
            <w:vAlign w:val="center"/>
          </w:tcPr>
          <w:p w14:paraId="5664DC8A" w14:textId="77777777" w:rsidR="00632208" w:rsidRPr="0098635C" w:rsidRDefault="00632208" w:rsidP="00A432B0">
            <w:pPr>
              <w:spacing w:after="0"/>
              <w:rPr>
                <w:rFonts w:ascii="Arial Narrow" w:hAnsi="Arial Narrow" w:cs="Arial Narrow"/>
                <w:color w:val="000000" w:themeColor="text1"/>
                <w:sz w:val="20"/>
                <w:szCs w:val="20"/>
              </w:rPr>
            </w:pPr>
          </w:p>
        </w:tc>
        <w:tc>
          <w:tcPr>
            <w:tcW w:w="425" w:type="dxa"/>
            <w:tcBorders>
              <w:left w:val="single" w:sz="4" w:space="0" w:color="auto"/>
              <w:right w:val="single" w:sz="4" w:space="0" w:color="auto"/>
            </w:tcBorders>
          </w:tcPr>
          <w:p w14:paraId="766D8C7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w:t>
            </w:r>
          </w:p>
        </w:tc>
        <w:tc>
          <w:tcPr>
            <w:tcW w:w="709" w:type="dxa"/>
            <w:vMerge/>
            <w:tcBorders>
              <w:top w:val="single" w:sz="4" w:space="0" w:color="auto"/>
              <w:left w:val="single" w:sz="4" w:space="0" w:color="auto"/>
              <w:bottom w:val="single" w:sz="4" w:space="0" w:color="auto"/>
              <w:right w:val="single" w:sz="4" w:space="0" w:color="auto"/>
            </w:tcBorders>
            <w:vAlign w:val="center"/>
          </w:tcPr>
          <w:p w14:paraId="63B2DED6"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01BB2B3"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tcBorders>
              <w:left w:val="single" w:sz="4" w:space="0" w:color="auto"/>
              <w:right w:val="single" w:sz="4" w:space="0" w:color="auto"/>
            </w:tcBorders>
          </w:tcPr>
          <w:p w14:paraId="21A359A4"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vMerge/>
            <w:tcBorders>
              <w:top w:val="single" w:sz="4" w:space="0" w:color="auto"/>
              <w:left w:val="single" w:sz="4" w:space="0" w:color="auto"/>
              <w:bottom w:val="single" w:sz="4" w:space="0" w:color="auto"/>
              <w:right w:val="single" w:sz="4" w:space="0" w:color="auto"/>
            </w:tcBorders>
            <w:vAlign w:val="center"/>
          </w:tcPr>
          <w:p w14:paraId="12B2AF8A"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tcBorders>
              <w:left w:val="single" w:sz="4" w:space="0" w:color="auto"/>
              <w:right w:val="single" w:sz="4" w:space="0" w:color="auto"/>
            </w:tcBorders>
          </w:tcPr>
          <w:p w14:paraId="6C04F52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90</w:t>
            </w:r>
          </w:p>
        </w:tc>
        <w:tc>
          <w:tcPr>
            <w:tcW w:w="709" w:type="dxa"/>
            <w:tcBorders>
              <w:left w:val="single" w:sz="4" w:space="0" w:color="auto"/>
              <w:right w:val="single" w:sz="4" w:space="0" w:color="auto"/>
            </w:tcBorders>
          </w:tcPr>
          <w:p w14:paraId="153CF57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106</w:t>
            </w:r>
          </w:p>
        </w:tc>
        <w:tc>
          <w:tcPr>
            <w:tcW w:w="992" w:type="dxa"/>
            <w:tcBorders>
              <w:left w:val="single" w:sz="4" w:space="0" w:color="auto"/>
              <w:right w:val="single" w:sz="4" w:space="0" w:color="auto"/>
            </w:tcBorders>
          </w:tcPr>
          <w:p w14:paraId="5EA0ACA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left w:val="single" w:sz="4" w:space="0" w:color="auto"/>
              <w:right w:val="single" w:sz="4" w:space="0" w:color="auto"/>
            </w:tcBorders>
          </w:tcPr>
          <w:p w14:paraId="550CF3F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275" w:type="dxa"/>
            <w:tcBorders>
              <w:left w:val="single" w:sz="4" w:space="0" w:color="auto"/>
              <w:right w:val="single" w:sz="4" w:space="0" w:color="auto"/>
            </w:tcBorders>
          </w:tcPr>
          <w:p w14:paraId="6CF7138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&gt;200 </w:t>
            </w:r>
          </w:p>
        </w:tc>
        <w:tc>
          <w:tcPr>
            <w:tcW w:w="851" w:type="dxa"/>
            <w:tcBorders>
              <w:left w:val="single" w:sz="4" w:space="0" w:color="auto"/>
              <w:right w:val="single" w:sz="4" w:space="0" w:color="auto"/>
            </w:tcBorders>
          </w:tcPr>
          <w:p w14:paraId="5DB51DF9" w14:textId="77777777" w:rsidR="00632208" w:rsidRPr="0098635C" w:rsidRDefault="00632208" w:rsidP="00A432B0">
            <w:pPr>
              <w:spacing w:after="0"/>
              <w:jc w:val="center"/>
              <w:rPr>
                <w:rFonts w:ascii="Arial Narrow" w:hAnsi="Arial Narrow" w:cs="Arial Narrow"/>
                <w:color w:val="000000" w:themeColor="text1"/>
                <w:sz w:val="20"/>
                <w:szCs w:val="20"/>
              </w:rPr>
            </w:pPr>
          </w:p>
        </w:tc>
        <w:tc>
          <w:tcPr>
            <w:tcW w:w="1134" w:type="dxa"/>
            <w:tcBorders>
              <w:left w:val="single" w:sz="4" w:space="0" w:color="auto"/>
              <w:right w:val="single" w:sz="4" w:space="0" w:color="auto"/>
            </w:tcBorders>
          </w:tcPr>
          <w:p w14:paraId="084BC41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&gt;210.7</w:t>
            </w:r>
          </w:p>
        </w:tc>
        <w:tc>
          <w:tcPr>
            <w:tcW w:w="1984" w:type="dxa"/>
            <w:vMerge/>
            <w:tcBorders>
              <w:left w:val="single" w:sz="4" w:space="0" w:color="auto"/>
              <w:right w:val="single" w:sz="4" w:space="0" w:color="auto"/>
            </w:tcBorders>
          </w:tcPr>
          <w:p w14:paraId="5DAE1F50" w14:textId="77777777" w:rsidR="00632208" w:rsidRPr="0098635C" w:rsidRDefault="00632208" w:rsidP="00A432B0">
            <w:pPr>
              <w:spacing w:after="0"/>
              <w:jc w:val="center"/>
              <w:rPr>
                <w:rFonts w:ascii="Arial Narrow" w:hAnsi="Arial Narrow" w:cs="Arial Narrow"/>
                <w:color w:val="000000" w:themeColor="text1"/>
                <w:sz w:val="20"/>
                <w:szCs w:val="20"/>
              </w:rPr>
            </w:pPr>
          </w:p>
        </w:tc>
      </w:tr>
      <w:tr w:rsidR="00632208" w:rsidRPr="0098635C" w14:paraId="39DB485F" w14:textId="77777777" w:rsidTr="00A432B0">
        <w:trPr>
          <w:trHeight w:val="187"/>
        </w:trPr>
        <w:tc>
          <w:tcPr>
            <w:tcW w:w="1647" w:type="dxa"/>
            <w:tcBorders>
              <w:left w:val="single" w:sz="4" w:space="0" w:color="auto"/>
              <w:right w:val="single" w:sz="4" w:space="0" w:color="auto"/>
            </w:tcBorders>
          </w:tcPr>
          <w:p w14:paraId="5E254981" w14:textId="77777777" w:rsidR="00632208" w:rsidRPr="0098635C" w:rsidRDefault="00632208" w:rsidP="00A432B0">
            <w:pPr>
              <w:spacing w:after="0"/>
              <w:rPr>
                <w:rFonts w:ascii="Arial" w:hAnsi="Arial" w:cs="Arial"/>
                <w:color w:val="000000" w:themeColor="text1"/>
                <w:sz w:val="20"/>
                <w:szCs w:val="20"/>
              </w:rPr>
            </w:pPr>
            <w:r w:rsidRPr="0098635C">
              <w:rPr>
                <w:rFonts w:ascii="Arial" w:hAnsi="Arial" w:cs="Arial"/>
                <w:color w:val="000000" w:themeColor="text1"/>
                <w:sz w:val="20"/>
                <w:szCs w:val="20"/>
              </w:rPr>
              <w:t> </w:t>
            </w:r>
          </w:p>
        </w:tc>
        <w:tc>
          <w:tcPr>
            <w:tcW w:w="1276" w:type="dxa"/>
            <w:vMerge/>
            <w:tcBorders>
              <w:top w:val="single" w:sz="4" w:space="0" w:color="auto"/>
              <w:left w:val="single" w:sz="4" w:space="0" w:color="auto"/>
              <w:bottom w:val="single" w:sz="4" w:space="0" w:color="auto"/>
              <w:right w:val="single" w:sz="4" w:space="0" w:color="auto"/>
            </w:tcBorders>
            <w:vAlign w:val="center"/>
          </w:tcPr>
          <w:p w14:paraId="5781B666" w14:textId="77777777" w:rsidR="00632208" w:rsidRPr="0098635C" w:rsidRDefault="00632208" w:rsidP="00A432B0">
            <w:pPr>
              <w:spacing w:after="0"/>
              <w:rPr>
                <w:rFonts w:ascii="Arial Narrow" w:hAnsi="Arial Narrow" w:cs="Arial Narrow"/>
                <w:color w:val="000000" w:themeColor="text1"/>
                <w:sz w:val="20"/>
                <w:szCs w:val="20"/>
              </w:rPr>
            </w:pPr>
          </w:p>
        </w:tc>
        <w:tc>
          <w:tcPr>
            <w:tcW w:w="425" w:type="dxa"/>
            <w:tcBorders>
              <w:left w:val="single" w:sz="4" w:space="0" w:color="auto"/>
              <w:right w:val="single" w:sz="4" w:space="0" w:color="auto"/>
            </w:tcBorders>
          </w:tcPr>
          <w:p w14:paraId="263F4D6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w:t>
            </w:r>
          </w:p>
        </w:tc>
        <w:tc>
          <w:tcPr>
            <w:tcW w:w="709" w:type="dxa"/>
            <w:vMerge/>
            <w:tcBorders>
              <w:top w:val="single" w:sz="4" w:space="0" w:color="auto"/>
              <w:left w:val="single" w:sz="4" w:space="0" w:color="auto"/>
              <w:bottom w:val="single" w:sz="4" w:space="0" w:color="auto"/>
              <w:right w:val="single" w:sz="4" w:space="0" w:color="auto"/>
            </w:tcBorders>
            <w:vAlign w:val="center"/>
          </w:tcPr>
          <w:p w14:paraId="65896D44"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31A56A"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tcBorders>
              <w:left w:val="single" w:sz="4" w:space="0" w:color="auto"/>
              <w:right w:val="single" w:sz="4" w:space="0" w:color="auto"/>
            </w:tcBorders>
          </w:tcPr>
          <w:p w14:paraId="5FA3B9EF"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vMerge/>
            <w:tcBorders>
              <w:top w:val="single" w:sz="4" w:space="0" w:color="auto"/>
              <w:left w:val="single" w:sz="4" w:space="0" w:color="auto"/>
              <w:bottom w:val="single" w:sz="4" w:space="0" w:color="auto"/>
              <w:right w:val="single" w:sz="4" w:space="0" w:color="auto"/>
            </w:tcBorders>
            <w:vAlign w:val="center"/>
          </w:tcPr>
          <w:p w14:paraId="2720EB47"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tcBorders>
              <w:left w:val="single" w:sz="4" w:space="0" w:color="auto"/>
              <w:right w:val="single" w:sz="4" w:space="0" w:color="auto"/>
            </w:tcBorders>
          </w:tcPr>
          <w:p w14:paraId="34EEDA6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90</w:t>
            </w:r>
          </w:p>
        </w:tc>
        <w:tc>
          <w:tcPr>
            <w:tcW w:w="709" w:type="dxa"/>
            <w:tcBorders>
              <w:left w:val="single" w:sz="4" w:space="0" w:color="auto"/>
              <w:right w:val="single" w:sz="4" w:space="0" w:color="auto"/>
            </w:tcBorders>
          </w:tcPr>
          <w:p w14:paraId="4A3CC86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106</w:t>
            </w:r>
          </w:p>
        </w:tc>
        <w:tc>
          <w:tcPr>
            <w:tcW w:w="992" w:type="dxa"/>
            <w:tcBorders>
              <w:left w:val="single" w:sz="4" w:space="0" w:color="auto"/>
              <w:right w:val="single" w:sz="4" w:space="0" w:color="auto"/>
            </w:tcBorders>
          </w:tcPr>
          <w:p w14:paraId="18E0F95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y(r)</w:t>
            </w:r>
          </w:p>
        </w:tc>
        <w:tc>
          <w:tcPr>
            <w:tcW w:w="993" w:type="dxa"/>
            <w:tcBorders>
              <w:left w:val="single" w:sz="4" w:space="0" w:color="auto"/>
              <w:right w:val="single" w:sz="4" w:space="0" w:color="auto"/>
            </w:tcBorders>
          </w:tcPr>
          <w:p w14:paraId="09CAB4A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100</w:t>
            </w:r>
          </w:p>
        </w:tc>
        <w:tc>
          <w:tcPr>
            <w:tcW w:w="1275" w:type="dxa"/>
            <w:tcBorders>
              <w:left w:val="single" w:sz="4" w:space="0" w:color="auto"/>
              <w:right w:val="single" w:sz="4" w:space="0" w:color="auto"/>
            </w:tcBorders>
          </w:tcPr>
          <w:p w14:paraId="40825FE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left w:val="single" w:sz="4" w:space="0" w:color="auto"/>
              <w:right w:val="single" w:sz="4" w:space="0" w:color="auto"/>
            </w:tcBorders>
          </w:tcPr>
          <w:p w14:paraId="64A557C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110.7</w:t>
            </w:r>
          </w:p>
        </w:tc>
        <w:tc>
          <w:tcPr>
            <w:tcW w:w="1134" w:type="dxa"/>
            <w:tcBorders>
              <w:left w:val="single" w:sz="4" w:space="0" w:color="auto"/>
              <w:right w:val="single" w:sz="4" w:space="0" w:color="auto"/>
            </w:tcBorders>
          </w:tcPr>
          <w:p w14:paraId="3625AF6F" w14:textId="77777777" w:rsidR="00632208" w:rsidRPr="0098635C" w:rsidRDefault="00632208" w:rsidP="00A432B0">
            <w:pPr>
              <w:spacing w:after="0"/>
              <w:jc w:val="center"/>
              <w:rPr>
                <w:rFonts w:ascii="Arial Narrow" w:hAnsi="Arial Narrow" w:cs="Arial Narrow"/>
                <w:color w:val="000000" w:themeColor="text1"/>
                <w:sz w:val="20"/>
                <w:szCs w:val="20"/>
              </w:rPr>
            </w:pPr>
          </w:p>
        </w:tc>
        <w:tc>
          <w:tcPr>
            <w:tcW w:w="1984" w:type="dxa"/>
            <w:vMerge/>
            <w:tcBorders>
              <w:left w:val="single" w:sz="4" w:space="0" w:color="auto"/>
              <w:right w:val="single" w:sz="4" w:space="0" w:color="auto"/>
            </w:tcBorders>
          </w:tcPr>
          <w:p w14:paraId="5EC80100" w14:textId="77777777" w:rsidR="00632208" w:rsidRPr="0098635C" w:rsidRDefault="00632208" w:rsidP="00A432B0">
            <w:pPr>
              <w:spacing w:after="0"/>
              <w:jc w:val="center"/>
              <w:rPr>
                <w:rFonts w:ascii="Arial Narrow" w:hAnsi="Arial Narrow" w:cs="Arial Narrow"/>
                <w:color w:val="000000" w:themeColor="text1"/>
                <w:sz w:val="20"/>
                <w:szCs w:val="20"/>
              </w:rPr>
            </w:pPr>
          </w:p>
        </w:tc>
      </w:tr>
      <w:tr w:rsidR="00632208" w:rsidRPr="0098635C" w14:paraId="42FB180C" w14:textId="77777777" w:rsidTr="00A432B0">
        <w:trPr>
          <w:trHeight w:val="84"/>
        </w:trPr>
        <w:tc>
          <w:tcPr>
            <w:tcW w:w="1647" w:type="dxa"/>
            <w:tcBorders>
              <w:left w:val="single" w:sz="4" w:space="0" w:color="auto"/>
              <w:right w:val="single" w:sz="4" w:space="0" w:color="auto"/>
            </w:tcBorders>
          </w:tcPr>
          <w:p w14:paraId="2C744984" w14:textId="77777777" w:rsidR="00632208" w:rsidRPr="0098635C" w:rsidRDefault="00632208" w:rsidP="00A432B0">
            <w:pPr>
              <w:spacing w:after="0"/>
              <w:rPr>
                <w:rFonts w:ascii="Arial" w:hAnsi="Arial" w:cs="Arial"/>
                <w:color w:val="000000" w:themeColor="text1"/>
                <w:sz w:val="20"/>
                <w:szCs w:val="20"/>
              </w:rPr>
            </w:pPr>
            <w:r w:rsidRPr="0098635C">
              <w:rPr>
                <w:rFonts w:ascii="Arial" w:hAnsi="Arial" w:cs="Arial"/>
                <w:color w:val="000000" w:themeColor="text1"/>
                <w:sz w:val="20"/>
                <w:szCs w:val="20"/>
              </w:rPr>
              <w:t> </w:t>
            </w:r>
          </w:p>
        </w:tc>
        <w:tc>
          <w:tcPr>
            <w:tcW w:w="1276" w:type="dxa"/>
            <w:vMerge/>
            <w:tcBorders>
              <w:top w:val="single" w:sz="4" w:space="0" w:color="auto"/>
              <w:left w:val="single" w:sz="4" w:space="0" w:color="auto"/>
              <w:bottom w:val="single" w:sz="4" w:space="0" w:color="auto"/>
              <w:right w:val="single" w:sz="4" w:space="0" w:color="auto"/>
            </w:tcBorders>
            <w:vAlign w:val="center"/>
          </w:tcPr>
          <w:p w14:paraId="0435211A" w14:textId="77777777" w:rsidR="00632208" w:rsidRPr="0098635C" w:rsidRDefault="00632208" w:rsidP="00A432B0">
            <w:pPr>
              <w:spacing w:after="0"/>
              <w:rPr>
                <w:rFonts w:ascii="Arial Narrow" w:hAnsi="Arial Narrow" w:cs="Arial Narrow"/>
                <w:color w:val="000000" w:themeColor="text1"/>
                <w:sz w:val="20"/>
                <w:szCs w:val="20"/>
              </w:rPr>
            </w:pPr>
          </w:p>
        </w:tc>
        <w:tc>
          <w:tcPr>
            <w:tcW w:w="425" w:type="dxa"/>
            <w:tcBorders>
              <w:left w:val="single" w:sz="4" w:space="0" w:color="auto"/>
              <w:right w:val="single" w:sz="4" w:space="0" w:color="auto"/>
            </w:tcBorders>
          </w:tcPr>
          <w:p w14:paraId="0543954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w:t>
            </w:r>
          </w:p>
        </w:tc>
        <w:tc>
          <w:tcPr>
            <w:tcW w:w="709" w:type="dxa"/>
            <w:vMerge/>
            <w:tcBorders>
              <w:top w:val="single" w:sz="4" w:space="0" w:color="auto"/>
              <w:left w:val="single" w:sz="4" w:space="0" w:color="auto"/>
              <w:bottom w:val="single" w:sz="4" w:space="0" w:color="auto"/>
              <w:right w:val="single" w:sz="4" w:space="0" w:color="auto"/>
            </w:tcBorders>
            <w:vAlign w:val="center"/>
          </w:tcPr>
          <w:p w14:paraId="0CC17193"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42EC627"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tcBorders>
              <w:left w:val="single" w:sz="4" w:space="0" w:color="auto"/>
              <w:right w:val="single" w:sz="4" w:space="0" w:color="auto"/>
            </w:tcBorders>
          </w:tcPr>
          <w:p w14:paraId="4174B763"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vMerge/>
            <w:tcBorders>
              <w:top w:val="single" w:sz="4" w:space="0" w:color="auto"/>
              <w:left w:val="single" w:sz="4" w:space="0" w:color="auto"/>
              <w:bottom w:val="single" w:sz="4" w:space="0" w:color="auto"/>
              <w:right w:val="single" w:sz="4" w:space="0" w:color="auto"/>
            </w:tcBorders>
            <w:vAlign w:val="center"/>
          </w:tcPr>
          <w:p w14:paraId="35AC1620"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tcBorders>
              <w:left w:val="single" w:sz="4" w:space="0" w:color="auto"/>
              <w:right w:val="single" w:sz="4" w:space="0" w:color="auto"/>
            </w:tcBorders>
          </w:tcPr>
          <w:p w14:paraId="25D9963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90</w:t>
            </w:r>
          </w:p>
        </w:tc>
        <w:tc>
          <w:tcPr>
            <w:tcW w:w="709" w:type="dxa"/>
            <w:tcBorders>
              <w:left w:val="single" w:sz="4" w:space="0" w:color="auto"/>
              <w:right w:val="single" w:sz="4" w:space="0" w:color="auto"/>
            </w:tcBorders>
          </w:tcPr>
          <w:p w14:paraId="276414C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106</w:t>
            </w:r>
          </w:p>
        </w:tc>
        <w:tc>
          <w:tcPr>
            <w:tcW w:w="992" w:type="dxa"/>
            <w:tcBorders>
              <w:left w:val="single" w:sz="4" w:space="0" w:color="auto"/>
              <w:right w:val="single" w:sz="4" w:space="0" w:color="auto"/>
            </w:tcBorders>
          </w:tcPr>
          <w:p w14:paraId="457E89A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left w:val="single" w:sz="4" w:space="0" w:color="auto"/>
              <w:right w:val="single" w:sz="4" w:space="0" w:color="auto"/>
            </w:tcBorders>
          </w:tcPr>
          <w:p w14:paraId="2273F10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275" w:type="dxa"/>
            <w:tcBorders>
              <w:left w:val="single" w:sz="4" w:space="0" w:color="auto"/>
              <w:right w:val="single" w:sz="4" w:space="0" w:color="auto"/>
            </w:tcBorders>
          </w:tcPr>
          <w:p w14:paraId="54F2BB8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&gt;200</w:t>
            </w:r>
          </w:p>
        </w:tc>
        <w:tc>
          <w:tcPr>
            <w:tcW w:w="851" w:type="dxa"/>
            <w:tcBorders>
              <w:left w:val="single" w:sz="4" w:space="0" w:color="auto"/>
              <w:right w:val="single" w:sz="4" w:space="0" w:color="auto"/>
            </w:tcBorders>
          </w:tcPr>
          <w:p w14:paraId="7F116BBB" w14:textId="77777777" w:rsidR="00632208" w:rsidRPr="0098635C" w:rsidRDefault="00632208" w:rsidP="00A432B0">
            <w:pPr>
              <w:spacing w:after="0"/>
              <w:rPr>
                <w:rFonts w:ascii="Arial Narrow" w:hAnsi="Arial Narrow" w:cs="Arial Narrow"/>
                <w:color w:val="000000" w:themeColor="text1"/>
                <w:sz w:val="20"/>
                <w:szCs w:val="20"/>
              </w:rPr>
            </w:pPr>
          </w:p>
        </w:tc>
        <w:tc>
          <w:tcPr>
            <w:tcW w:w="1134" w:type="dxa"/>
            <w:tcBorders>
              <w:left w:val="single" w:sz="4" w:space="0" w:color="auto"/>
              <w:right w:val="single" w:sz="4" w:space="0" w:color="auto"/>
            </w:tcBorders>
          </w:tcPr>
          <w:p w14:paraId="5A5ED38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&gt;210.7</w:t>
            </w:r>
          </w:p>
        </w:tc>
        <w:tc>
          <w:tcPr>
            <w:tcW w:w="1984" w:type="dxa"/>
            <w:vMerge/>
            <w:tcBorders>
              <w:left w:val="single" w:sz="4" w:space="0" w:color="auto"/>
              <w:right w:val="single" w:sz="4" w:space="0" w:color="auto"/>
            </w:tcBorders>
          </w:tcPr>
          <w:p w14:paraId="02E5BFC8" w14:textId="77777777" w:rsidR="00632208" w:rsidRPr="0098635C" w:rsidRDefault="00632208" w:rsidP="00A432B0">
            <w:pPr>
              <w:spacing w:after="0"/>
              <w:jc w:val="center"/>
              <w:rPr>
                <w:rFonts w:ascii="Arial Narrow" w:hAnsi="Arial Narrow" w:cs="Arial Narrow"/>
                <w:color w:val="000000" w:themeColor="text1"/>
                <w:sz w:val="20"/>
                <w:szCs w:val="20"/>
              </w:rPr>
            </w:pPr>
          </w:p>
        </w:tc>
      </w:tr>
      <w:tr w:rsidR="00632208" w:rsidRPr="0098635C" w14:paraId="2CBE2E89" w14:textId="77777777" w:rsidTr="00A432B0">
        <w:trPr>
          <w:trHeight w:val="84"/>
        </w:trPr>
        <w:tc>
          <w:tcPr>
            <w:tcW w:w="1647" w:type="dxa"/>
            <w:tcBorders>
              <w:left w:val="single" w:sz="4" w:space="0" w:color="auto"/>
              <w:right w:val="single" w:sz="4" w:space="0" w:color="auto"/>
            </w:tcBorders>
          </w:tcPr>
          <w:p w14:paraId="35D66DA3" w14:textId="77777777" w:rsidR="00632208" w:rsidRPr="0098635C" w:rsidRDefault="00632208" w:rsidP="00A432B0">
            <w:pPr>
              <w:spacing w:after="0"/>
              <w:rPr>
                <w:rFonts w:ascii="Arial" w:hAnsi="Arial" w:cs="Arial"/>
                <w:color w:val="000000" w:themeColor="text1"/>
                <w:sz w:val="20"/>
                <w:szCs w:val="20"/>
              </w:rPr>
            </w:pPr>
            <w:r w:rsidRPr="0098635C">
              <w:rPr>
                <w:rFonts w:ascii="Arial" w:hAnsi="Arial" w:cs="Arial"/>
                <w:color w:val="000000" w:themeColor="text1"/>
                <w:sz w:val="20"/>
                <w:szCs w:val="20"/>
              </w:rPr>
              <w:t> </w:t>
            </w:r>
          </w:p>
        </w:tc>
        <w:tc>
          <w:tcPr>
            <w:tcW w:w="1276" w:type="dxa"/>
            <w:vMerge/>
            <w:tcBorders>
              <w:top w:val="single" w:sz="4" w:space="0" w:color="auto"/>
              <w:left w:val="single" w:sz="4" w:space="0" w:color="auto"/>
              <w:bottom w:val="single" w:sz="4" w:space="0" w:color="auto"/>
              <w:right w:val="single" w:sz="4" w:space="0" w:color="auto"/>
            </w:tcBorders>
            <w:vAlign w:val="center"/>
          </w:tcPr>
          <w:p w14:paraId="7E38D88F" w14:textId="77777777" w:rsidR="00632208" w:rsidRPr="0098635C" w:rsidRDefault="00632208" w:rsidP="00A432B0">
            <w:pPr>
              <w:spacing w:after="0"/>
              <w:rPr>
                <w:rFonts w:ascii="Arial Narrow" w:hAnsi="Arial Narrow" w:cs="Arial Narrow"/>
                <w:color w:val="000000" w:themeColor="text1"/>
                <w:sz w:val="20"/>
                <w:szCs w:val="20"/>
              </w:rPr>
            </w:pPr>
          </w:p>
        </w:tc>
        <w:tc>
          <w:tcPr>
            <w:tcW w:w="425" w:type="dxa"/>
            <w:tcBorders>
              <w:left w:val="single" w:sz="4" w:space="0" w:color="auto"/>
              <w:right w:val="single" w:sz="4" w:space="0" w:color="auto"/>
            </w:tcBorders>
          </w:tcPr>
          <w:p w14:paraId="65D8D7B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vMerge/>
            <w:tcBorders>
              <w:top w:val="single" w:sz="4" w:space="0" w:color="auto"/>
              <w:left w:val="single" w:sz="4" w:space="0" w:color="auto"/>
              <w:bottom w:val="single" w:sz="4" w:space="0" w:color="auto"/>
              <w:right w:val="single" w:sz="4" w:space="0" w:color="auto"/>
            </w:tcBorders>
            <w:vAlign w:val="center"/>
          </w:tcPr>
          <w:p w14:paraId="4AD770F3"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614F757"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tcBorders>
              <w:left w:val="single" w:sz="4" w:space="0" w:color="auto"/>
              <w:right w:val="single" w:sz="4" w:space="0" w:color="auto"/>
            </w:tcBorders>
          </w:tcPr>
          <w:p w14:paraId="2D618F03"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vMerge/>
            <w:tcBorders>
              <w:top w:val="single" w:sz="4" w:space="0" w:color="auto"/>
              <w:left w:val="single" w:sz="4" w:space="0" w:color="auto"/>
              <w:bottom w:val="single" w:sz="4" w:space="0" w:color="auto"/>
              <w:right w:val="single" w:sz="4" w:space="0" w:color="auto"/>
            </w:tcBorders>
            <w:vAlign w:val="center"/>
          </w:tcPr>
          <w:p w14:paraId="12B827BB"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tcBorders>
              <w:left w:val="single" w:sz="4" w:space="0" w:color="auto"/>
              <w:right w:val="single" w:sz="4" w:space="0" w:color="auto"/>
            </w:tcBorders>
          </w:tcPr>
          <w:p w14:paraId="3DD8E8E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90</w:t>
            </w:r>
          </w:p>
        </w:tc>
        <w:tc>
          <w:tcPr>
            <w:tcW w:w="709" w:type="dxa"/>
            <w:tcBorders>
              <w:left w:val="single" w:sz="4" w:space="0" w:color="auto"/>
              <w:right w:val="single" w:sz="4" w:space="0" w:color="auto"/>
            </w:tcBorders>
          </w:tcPr>
          <w:p w14:paraId="456BDA0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106</w:t>
            </w:r>
          </w:p>
        </w:tc>
        <w:tc>
          <w:tcPr>
            <w:tcW w:w="992" w:type="dxa"/>
            <w:tcBorders>
              <w:left w:val="single" w:sz="4" w:space="0" w:color="auto"/>
              <w:right w:val="single" w:sz="4" w:space="0" w:color="auto"/>
            </w:tcBorders>
          </w:tcPr>
          <w:p w14:paraId="559939C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y(r)</w:t>
            </w:r>
          </w:p>
        </w:tc>
        <w:tc>
          <w:tcPr>
            <w:tcW w:w="993" w:type="dxa"/>
            <w:tcBorders>
              <w:left w:val="single" w:sz="4" w:space="0" w:color="auto"/>
              <w:right w:val="single" w:sz="4" w:space="0" w:color="auto"/>
            </w:tcBorders>
          </w:tcPr>
          <w:p w14:paraId="724985D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100</w:t>
            </w:r>
          </w:p>
        </w:tc>
        <w:tc>
          <w:tcPr>
            <w:tcW w:w="1275" w:type="dxa"/>
            <w:tcBorders>
              <w:left w:val="single" w:sz="4" w:space="0" w:color="auto"/>
              <w:right w:val="single" w:sz="4" w:space="0" w:color="auto"/>
            </w:tcBorders>
          </w:tcPr>
          <w:p w14:paraId="099F819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left w:val="single" w:sz="4" w:space="0" w:color="auto"/>
              <w:right w:val="single" w:sz="4" w:space="0" w:color="auto"/>
            </w:tcBorders>
          </w:tcPr>
          <w:p w14:paraId="473A34A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110.7</w:t>
            </w:r>
          </w:p>
        </w:tc>
        <w:tc>
          <w:tcPr>
            <w:tcW w:w="1134" w:type="dxa"/>
            <w:tcBorders>
              <w:left w:val="single" w:sz="4" w:space="0" w:color="auto"/>
              <w:right w:val="single" w:sz="4" w:space="0" w:color="auto"/>
            </w:tcBorders>
          </w:tcPr>
          <w:p w14:paraId="1F038FA4" w14:textId="77777777" w:rsidR="00632208" w:rsidRPr="0098635C" w:rsidRDefault="00632208" w:rsidP="00A432B0">
            <w:pPr>
              <w:spacing w:after="0"/>
              <w:jc w:val="center"/>
              <w:rPr>
                <w:rFonts w:ascii="Arial Narrow" w:hAnsi="Arial Narrow" w:cs="Arial Narrow"/>
                <w:color w:val="000000" w:themeColor="text1"/>
                <w:sz w:val="20"/>
                <w:szCs w:val="20"/>
              </w:rPr>
            </w:pPr>
          </w:p>
        </w:tc>
        <w:tc>
          <w:tcPr>
            <w:tcW w:w="1984" w:type="dxa"/>
            <w:vMerge/>
            <w:tcBorders>
              <w:left w:val="single" w:sz="4" w:space="0" w:color="auto"/>
              <w:right w:val="single" w:sz="4" w:space="0" w:color="auto"/>
            </w:tcBorders>
          </w:tcPr>
          <w:p w14:paraId="66AA424B" w14:textId="77777777" w:rsidR="00632208" w:rsidRPr="0098635C" w:rsidRDefault="00632208" w:rsidP="00A432B0">
            <w:pPr>
              <w:spacing w:after="0"/>
              <w:jc w:val="center"/>
              <w:rPr>
                <w:rFonts w:ascii="Arial Narrow" w:hAnsi="Arial Narrow" w:cs="Arial Narrow"/>
                <w:color w:val="000000" w:themeColor="text1"/>
                <w:sz w:val="20"/>
                <w:szCs w:val="20"/>
              </w:rPr>
            </w:pPr>
          </w:p>
        </w:tc>
      </w:tr>
      <w:tr w:rsidR="00632208" w:rsidRPr="0098635C" w14:paraId="6C9E5979" w14:textId="77777777" w:rsidTr="00A432B0">
        <w:trPr>
          <w:trHeight w:val="74"/>
        </w:trPr>
        <w:tc>
          <w:tcPr>
            <w:tcW w:w="1647" w:type="dxa"/>
            <w:tcBorders>
              <w:left w:val="single" w:sz="4" w:space="0" w:color="auto"/>
              <w:bottom w:val="single" w:sz="4" w:space="0" w:color="auto"/>
              <w:right w:val="single" w:sz="4" w:space="0" w:color="auto"/>
            </w:tcBorders>
          </w:tcPr>
          <w:p w14:paraId="170BF7D7" w14:textId="77777777" w:rsidR="00632208" w:rsidRPr="0098635C" w:rsidRDefault="00632208" w:rsidP="00A432B0">
            <w:pPr>
              <w:spacing w:after="0"/>
              <w:rPr>
                <w:rFonts w:ascii="Arial" w:hAnsi="Arial" w:cs="Arial"/>
                <w:color w:val="000000" w:themeColor="text1"/>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12FC42E" w14:textId="77777777" w:rsidR="00632208" w:rsidRPr="0098635C" w:rsidRDefault="00632208" w:rsidP="00A432B0">
            <w:pPr>
              <w:spacing w:after="0"/>
              <w:rPr>
                <w:rFonts w:ascii="Arial Narrow" w:hAnsi="Arial Narrow" w:cs="Arial Narrow"/>
                <w:color w:val="000000" w:themeColor="text1"/>
                <w:sz w:val="20"/>
                <w:szCs w:val="20"/>
              </w:rPr>
            </w:pPr>
          </w:p>
        </w:tc>
        <w:tc>
          <w:tcPr>
            <w:tcW w:w="425" w:type="dxa"/>
            <w:tcBorders>
              <w:left w:val="single" w:sz="4" w:space="0" w:color="auto"/>
              <w:bottom w:val="single" w:sz="4" w:space="0" w:color="auto"/>
              <w:right w:val="single" w:sz="4" w:space="0" w:color="auto"/>
            </w:tcBorders>
          </w:tcPr>
          <w:p w14:paraId="6085E0B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vMerge/>
            <w:tcBorders>
              <w:top w:val="single" w:sz="4" w:space="0" w:color="auto"/>
              <w:left w:val="single" w:sz="4" w:space="0" w:color="auto"/>
              <w:bottom w:val="single" w:sz="4" w:space="0" w:color="auto"/>
              <w:right w:val="single" w:sz="4" w:space="0" w:color="auto"/>
            </w:tcBorders>
            <w:vAlign w:val="center"/>
          </w:tcPr>
          <w:p w14:paraId="0B0ABBAD"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5CEA49B"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tcBorders>
              <w:left w:val="single" w:sz="4" w:space="0" w:color="auto"/>
              <w:bottom w:val="single" w:sz="4" w:space="0" w:color="auto"/>
              <w:right w:val="single" w:sz="4" w:space="0" w:color="auto"/>
            </w:tcBorders>
          </w:tcPr>
          <w:p w14:paraId="538D9018"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vMerge/>
            <w:tcBorders>
              <w:top w:val="single" w:sz="4" w:space="0" w:color="auto"/>
              <w:left w:val="single" w:sz="4" w:space="0" w:color="auto"/>
              <w:bottom w:val="single" w:sz="4" w:space="0" w:color="auto"/>
              <w:right w:val="single" w:sz="4" w:space="0" w:color="auto"/>
            </w:tcBorders>
            <w:vAlign w:val="center"/>
          </w:tcPr>
          <w:p w14:paraId="78DDD4FD"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tcBorders>
              <w:left w:val="single" w:sz="4" w:space="0" w:color="auto"/>
              <w:bottom w:val="single" w:sz="4" w:space="0" w:color="auto"/>
              <w:right w:val="single" w:sz="4" w:space="0" w:color="auto"/>
            </w:tcBorders>
          </w:tcPr>
          <w:p w14:paraId="7140D9C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90</w:t>
            </w:r>
          </w:p>
        </w:tc>
        <w:tc>
          <w:tcPr>
            <w:tcW w:w="709" w:type="dxa"/>
            <w:tcBorders>
              <w:left w:val="single" w:sz="4" w:space="0" w:color="auto"/>
              <w:bottom w:val="single" w:sz="4" w:space="0" w:color="auto"/>
              <w:right w:val="single" w:sz="4" w:space="0" w:color="auto"/>
            </w:tcBorders>
          </w:tcPr>
          <w:p w14:paraId="5FF0A34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106</w:t>
            </w:r>
          </w:p>
        </w:tc>
        <w:tc>
          <w:tcPr>
            <w:tcW w:w="992" w:type="dxa"/>
            <w:tcBorders>
              <w:left w:val="single" w:sz="4" w:space="0" w:color="auto"/>
              <w:bottom w:val="single" w:sz="4" w:space="0" w:color="auto"/>
              <w:right w:val="single" w:sz="4" w:space="0" w:color="auto"/>
            </w:tcBorders>
          </w:tcPr>
          <w:p w14:paraId="2DB3D25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NOEC</w:t>
            </w:r>
            <w:r w:rsidRPr="0098635C">
              <w:rPr>
                <w:rFonts w:ascii="Arial Narrow" w:hAnsi="Arial Narrow" w:cs="Arial Narrow"/>
                <w:color w:val="000000" w:themeColor="text1"/>
                <w:sz w:val="20"/>
                <w:szCs w:val="20"/>
                <w:vertAlign w:val="subscript"/>
              </w:rPr>
              <w:t>y(s)</w:t>
            </w:r>
          </w:p>
        </w:tc>
        <w:tc>
          <w:tcPr>
            <w:tcW w:w="993" w:type="dxa"/>
            <w:tcBorders>
              <w:left w:val="single" w:sz="4" w:space="0" w:color="auto"/>
              <w:bottom w:val="single" w:sz="4" w:space="0" w:color="auto"/>
              <w:right w:val="single" w:sz="4" w:space="0" w:color="auto"/>
            </w:tcBorders>
          </w:tcPr>
          <w:p w14:paraId="66998316" w14:textId="77777777" w:rsidR="00632208" w:rsidRPr="0098635C" w:rsidRDefault="00632208" w:rsidP="00A432B0">
            <w:pPr>
              <w:spacing w:after="0"/>
              <w:rPr>
                <w:rFonts w:ascii="Arial" w:hAnsi="Arial" w:cs="Arial"/>
                <w:color w:val="000000" w:themeColor="text1"/>
                <w:sz w:val="20"/>
                <w:szCs w:val="20"/>
              </w:rPr>
            </w:pPr>
          </w:p>
        </w:tc>
        <w:tc>
          <w:tcPr>
            <w:tcW w:w="1275" w:type="dxa"/>
            <w:tcBorders>
              <w:left w:val="single" w:sz="4" w:space="0" w:color="auto"/>
              <w:bottom w:val="single" w:sz="4" w:space="0" w:color="auto"/>
              <w:right w:val="single" w:sz="4" w:space="0" w:color="auto"/>
            </w:tcBorders>
          </w:tcPr>
          <w:p w14:paraId="2A46CC4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&gt;200</w:t>
            </w:r>
          </w:p>
        </w:tc>
        <w:tc>
          <w:tcPr>
            <w:tcW w:w="851" w:type="dxa"/>
            <w:tcBorders>
              <w:left w:val="single" w:sz="4" w:space="0" w:color="auto"/>
              <w:bottom w:val="single" w:sz="4" w:space="0" w:color="auto"/>
              <w:right w:val="single" w:sz="4" w:space="0" w:color="auto"/>
            </w:tcBorders>
          </w:tcPr>
          <w:p w14:paraId="79172E68" w14:textId="77777777" w:rsidR="00632208" w:rsidRPr="0098635C" w:rsidRDefault="00632208" w:rsidP="00A432B0">
            <w:pPr>
              <w:spacing w:after="0"/>
              <w:rPr>
                <w:rFonts w:ascii="Arial" w:hAnsi="Arial" w:cs="Arial"/>
                <w:color w:val="000000" w:themeColor="text1"/>
                <w:sz w:val="20"/>
                <w:szCs w:val="20"/>
              </w:rPr>
            </w:pPr>
            <w:r w:rsidRPr="0098635C">
              <w:rPr>
                <w:rFonts w:ascii="Arial" w:hAnsi="Arial" w:cs="Arial"/>
                <w:color w:val="000000" w:themeColor="text1"/>
                <w:sz w:val="20"/>
                <w:szCs w:val="20"/>
              </w:rPr>
              <w:t> </w:t>
            </w:r>
          </w:p>
        </w:tc>
        <w:tc>
          <w:tcPr>
            <w:tcW w:w="1134" w:type="dxa"/>
            <w:tcBorders>
              <w:left w:val="single" w:sz="4" w:space="0" w:color="auto"/>
              <w:bottom w:val="single" w:sz="4" w:space="0" w:color="auto"/>
              <w:right w:val="single" w:sz="4" w:space="0" w:color="auto"/>
            </w:tcBorders>
          </w:tcPr>
          <w:p w14:paraId="095C469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&gt;210.7</w:t>
            </w:r>
          </w:p>
        </w:tc>
        <w:tc>
          <w:tcPr>
            <w:tcW w:w="1984" w:type="dxa"/>
            <w:vMerge/>
            <w:tcBorders>
              <w:left w:val="single" w:sz="4" w:space="0" w:color="auto"/>
              <w:bottom w:val="single" w:sz="4" w:space="0" w:color="auto"/>
              <w:right w:val="single" w:sz="4" w:space="0" w:color="auto"/>
            </w:tcBorders>
          </w:tcPr>
          <w:p w14:paraId="340CDD9B" w14:textId="77777777" w:rsidR="00632208" w:rsidRPr="0098635C" w:rsidRDefault="00632208" w:rsidP="00A432B0">
            <w:pPr>
              <w:spacing w:after="0"/>
              <w:jc w:val="center"/>
              <w:rPr>
                <w:rFonts w:ascii="Arial Narrow" w:hAnsi="Arial Narrow" w:cs="Arial Narrow"/>
                <w:color w:val="000000" w:themeColor="text1"/>
                <w:sz w:val="20"/>
                <w:szCs w:val="20"/>
              </w:rPr>
            </w:pPr>
          </w:p>
        </w:tc>
      </w:tr>
    </w:tbl>
    <w:p w14:paraId="11DB72D1" w14:textId="77777777" w:rsidR="00632208" w:rsidRPr="0098635C" w:rsidRDefault="00632208" w:rsidP="00632208">
      <w:pPr>
        <w:spacing w:before="80"/>
        <w:rPr>
          <w:color w:val="000000" w:themeColor="text1"/>
          <w:sz w:val="20"/>
          <w:szCs w:val="20"/>
        </w:rPr>
      </w:pPr>
    </w:p>
    <w:p w14:paraId="05B700DC" w14:textId="663AFBFE" w:rsidR="00F3587A" w:rsidRPr="0098635C" w:rsidRDefault="00632208" w:rsidP="00F3587A">
      <w:pPr>
        <w:spacing w:before="80"/>
        <w:rPr>
          <w:bCs/>
          <w:color w:val="000000" w:themeColor="text1"/>
          <w:sz w:val="20"/>
          <w:szCs w:val="20"/>
        </w:rPr>
      </w:pPr>
      <w:r w:rsidRPr="0098635C">
        <w:rPr>
          <w:b/>
          <w:bCs/>
          <w:color w:val="000000" w:themeColor="text1"/>
          <w:sz w:val="20"/>
          <w:szCs w:val="20"/>
        </w:rPr>
        <w:br w:type="textWrapping" w:clear="all"/>
      </w:r>
      <w:r w:rsidR="00F3587A" w:rsidRPr="0098635C">
        <w:rPr>
          <w:rFonts w:eastAsia="Calibri"/>
          <w:color w:val="000000" w:themeColor="text1"/>
          <w:sz w:val="20"/>
          <w:szCs w:val="20"/>
        </w:rPr>
        <w:t>Annex XVI</w:t>
      </w:r>
      <w:r w:rsidR="00EC6F09" w:rsidRPr="0098635C">
        <w:rPr>
          <w:rFonts w:eastAsia="Calibri"/>
          <w:color w:val="000000" w:themeColor="text1"/>
          <w:sz w:val="20"/>
          <w:szCs w:val="20"/>
        </w:rPr>
        <w:t>I</w:t>
      </w:r>
      <w:r w:rsidR="00F3587A" w:rsidRPr="0098635C">
        <w:rPr>
          <w:rFonts w:eastAsia="Calibri"/>
          <w:color w:val="000000" w:themeColor="text1"/>
          <w:sz w:val="20"/>
          <w:szCs w:val="20"/>
        </w:rPr>
        <w:t xml:space="preserve">: </w:t>
      </w:r>
      <w:r w:rsidR="00F3587A" w:rsidRPr="0098635C">
        <w:rPr>
          <w:bCs/>
          <w:color w:val="000000" w:themeColor="text1"/>
          <w:sz w:val="20"/>
          <w:szCs w:val="20"/>
        </w:rPr>
        <w:t xml:space="preserve">Overview of the NOEC values for soil micro-organisms </w:t>
      </w:r>
    </w:p>
    <w:p w14:paraId="351874F1" w14:textId="6EF1B5F4" w:rsidR="00632208" w:rsidRPr="0098635C" w:rsidRDefault="00632208" w:rsidP="00632208">
      <w:pPr>
        <w:spacing w:before="80"/>
        <w:rPr>
          <w:color w:val="000000" w:themeColor="text1"/>
          <w:sz w:val="20"/>
          <w:szCs w:val="20"/>
        </w:rPr>
      </w:pPr>
      <w:r w:rsidRPr="0098635C">
        <w:rPr>
          <w:color w:val="000000" w:themeColor="text1"/>
          <w:sz w:val="20"/>
          <w:szCs w:val="20"/>
        </w:rPr>
        <w:t>If the CEC was missing from a test, then it was estimated from % clay, pH and %organic matter using an experimentally derived regression model: CEC=(30+4.4 pH)*clay/100+(-34.66+29.72 pH)*OM/100; the clay is the % clay in the soil (Helling et al., 1964; regression based on CEC measured at various pH values on 60 different soils; CEC refers to the soil pH).</w:t>
      </w:r>
      <w:r w:rsidR="00F3587A" w:rsidRPr="0098635C">
        <w:rPr>
          <w:color w:val="000000" w:themeColor="text1"/>
          <w:sz w:val="20"/>
          <w:szCs w:val="20"/>
        </w:rPr>
        <w:t xml:space="preserve"> </w:t>
      </w:r>
      <w:r w:rsidRPr="0098635C">
        <w:rPr>
          <w:color w:val="000000" w:themeColor="text1"/>
          <w:sz w:val="20"/>
          <w:szCs w:val="20"/>
        </w:rPr>
        <w:t>Estimated background copper concentrations and CEC** are indicated in italics.</w:t>
      </w:r>
    </w:p>
    <w:tbl>
      <w:tblPr>
        <w:tblW w:w="15114" w:type="dxa"/>
        <w:tblInd w:w="-972" w:type="dxa"/>
        <w:tblLayout w:type="fixed"/>
        <w:tblLook w:val="0000" w:firstRow="0" w:lastRow="0" w:firstColumn="0" w:lastColumn="0" w:noHBand="0" w:noVBand="0"/>
      </w:tblPr>
      <w:tblGrid>
        <w:gridCol w:w="938"/>
        <w:gridCol w:w="1276"/>
        <w:gridCol w:w="2127"/>
        <w:gridCol w:w="567"/>
        <w:gridCol w:w="708"/>
        <w:gridCol w:w="709"/>
        <w:gridCol w:w="851"/>
        <w:gridCol w:w="850"/>
        <w:gridCol w:w="992"/>
        <w:gridCol w:w="851"/>
        <w:gridCol w:w="992"/>
        <w:gridCol w:w="851"/>
        <w:gridCol w:w="992"/>
        <w:gridCol w:w="2410"/>
      </w:tblGrid>
      <w:tr w:rsidR="00632208" w:rsidRPr="0098635C" w14:paraId="5B667A48" w14:textId="77777777" w:rsidTr="00A432B0">
        <w:trPr>
          <w:trHeight w:val="284"/>
        </w:trPr>
        <w:tc>
          <w:tcPr>
            <w:tcW w:w="938" w:type="dxa"/>
            <w:tcBorders>
              <w:top w:val="single" w:sz="12" w:space="0" w:color="auto"/>
              <w:left w:val="single" w:sz="12" w:space="0" w:color="auto"/>
              <w:bottom w:val="single" w:sz="8" w:space="0" w:color="auto"/>
              <w:right w:val="single" w:sz="8" w:space="0" w:color="auto"/>
            </w:tcBorders>
          </w:tcPr>
          <w:p w14:paraId="064B012B"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 </w:t>
            </w:r>
          </w:p>
        </w:tc>
        <w:tc>
          <w:tcPr>
            <w:tcW w:w="1276" w:type="dxa"/>
            <w:tcBorders>
              <w:top w:val="single" w:sz="12" w:space="0" w:color="auto"/>
              <w:left w:val="nil"/>
              <w:bottom w:val="single" w:sz="8" w:space="0" w:color="auto"/>
              <w:right w:val="single" w:sz="8" w:space="0" w:color="auto"/>
            </w:tcBorders>
          </w:tcPr>
          <w:p w14:paraId="06788A45"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 </w:t>
            </w:r>
          </w:p>
        </w:tc>
        <w:tc>
          <w:tcPr>
            <w:tcW w:w="2127" w:type="dxa"/>
            <w:tcBorders>
              <w:top w:val="single" w:sz="12" w:space="0" w:color="auto"/>
              <w:left w:val="nil"/>
              <w:bottom w:val="single" w:sz="8" w:space="0" w:color="auto"/>
              <w:right w:val="single" w:sz="8" w:space="0" w:color="auto"/>
            </w:tcBorders>
          </w:tcPr>
          <w:p w14:paraId="595D1CA8"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 </w:t>
            </w:r>
          </w:p>
        </w:tc>
        <w:tc>
          <w:tcPr>
            <w:tcW w:w="567" w:type="dxa"/>
            <w:tcBorders>
              <w:top w:val="single" w:sz="12" w:space="0" w:color="auto"/>
              <w:left w:val="nil"/>
              <w:bottom w:val="single" w:sz="8" w:space="0" w:color="auto"/>
              <w:right w:val="single" w:sz="8" w:space="0" w:color="auto"/>
            </w:tcBorders>
          </w:tcPr>
          <w:p w14:paraId="64213D95"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 </w:t>
            </w:r>
          </w:p>
        </w:tc>
        <w:tc>
          <w:tcPr>
            <w:tcW w:w="708" w:type="dxa"/>
            <w:tcBorders>
              <w:top w:val="single" w:sz="12" w:space="0" w:color="auto"/>
              <w:left w:val="nil"/>
              <w:bottom w:val="single" w:sz="8" w:space="0" w:color="auto"/>
              <w:right w:val="single" w:sz="8" w:space="0" w:color="auto"/>
            </w:tcBorders>
          </w:tcPr>
          <w:p w14:paraId="6A447430"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 </w:t>
            </w:r>
          </w:p>
        </w:tc>
        <w:tc>
          <w:tcPr>
            <w:tcW w:w="709" w:type="dxa"/>
            <w:tcBorders>
              <w:top w:val="single" w:sz="12" w:space="0" w:color="auto"/>
              <w:left w:val="nil"/>
              <w:bottom w:val="single" w:sz="8" w:space="0" w:color="auto"/>
              <w:right w:val="single" w:sz="8" w:space="0" w:color="auto"/>
            </w:tcBorders>
          </w:tcPr>
          <w:p w14:paraId="5F2A4754"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 </w:t>
            </w:r>
          </w:p>
        </w:tc>
        <w:tc>
          <w:tcPr>
            <w:tcW w:w="851" w:type="dxa"/>
            <w:tcBorders>
              <w:top w:val="single" w:sz="12" w:space="0" w:color="auto"/>
              <w:left w:val="nil"/>
              <w:bottom w:val="single" w:sz="8" w:space="0" w:color="auto"/>
              <w:right w:val="single" w:sz="8" w:space="0" w:color="auto"/>
            </w:tcBorders>
          </w:tcPr>
          <w:p w14:paraId="73FF3EF3"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 </w:t>
            </w:r>
          </w:p>
        </w:tc>
        <w:tc>
          <w:tcPr>
            <w:tcW w:w="850" w:type="dxa"/>
            <w:tcBorders>
              <w:top w:val="single" w:sz="12" w:space="0" w:color="auto"/>
              <w:left w:val="nil"/>
              <w:bottom w:val="single" w:sz="8" w:space="0" w:color="auto"/>
              <w:right w:val="single" w:sz="8" w:space="0" w:color="auto"/>
            </w:tcBorders>
          </w:tcPr>
          <w:p w14:paraId="221EDD86"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 </w:t>
            </w:r>
          </w:p>
        </w:tc>
        <w:tc>
          <w:tcPr>
            <w:tcW w:w="992" w:type="dxa"/>
            <w:tcBorders>
              <w:top w:val="single" w:sz="12" w:space="0" w:color="auto"/>
              <w:left w:val="nil"/>
              <w:bottom w:val="single" w:sz="8" w:space="0" w:color="auto"/>
              <w:right w:val="single" w:sz="8" w:space="0" w:color="auto"/>
            </w:tcBorders>
          </w:tcPr>
          <w:p w14:paraId="1525313A"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 </w:t>
            </w:r>
          </w:p>
        </w:tc>
        <w:tc>
          <w:tcPr>
            <w:tcW w:w="1843" w:type="dxa"/>
            <w:gridSpan w:val="2"/>
            <w:tcBorders>
              <w:top w:val="single" w:sz="12" w:space="0" w:color="auto"/>
              <w:left w:val="nil"/>
              <w:bottom w:val="single" w:sz="8" w:space="0" w:color="auto"/>
              <w:right w:val="single" w:sz="8" w:space="0" w:color="000000"/>
            </w:tcBorders>
          </w:tcPr>
          <w:p w14:paraId="4EDE45DA"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Added NOEC</w:t>
            </w:r>
          </w:p>
        </w:tc>
        <w:tc>
          <w:tcPr>
            <w:tcW w:w="1843" w:type="dxa"/>
            <w:gridSpan w:val="2"/>
            <w:tcBorders>
              <w:top w:val="single" w:sz="12" w:space="0" w:color="auto"/>
              <w:left w:val="nil"/>
              <w:bottom w:val="single" w:sz="8" w:space="0" w:color="auto"/>
              <w:right w:val="single" w:sz="12" w:space="0" w:color="000000"/>
            </w:tcBorders>
          </w:tcPr>
          <w:p w14:paraId="402A967C"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Total NOEC</w:t>
            </w:r>
          </w:p>
        </w:tc>
        <w:tc>
          <w:tcPr>
            <w:tcW w:w="2410" w:type="dxa"/>
            <w:tcBorders>
              <w:top w:val="single" w:sz="12" w:space="0" w:color="auto"/>
              <w:left w:val="nil"/>
              <w:bottom w:val="single" w:sz="8" w:space="0" w:color="auto"/>
              <w:right w:val="single" w:sz="12" w:space="0" w:color="000000"/>
            </w:tcBorders>
          </w:tcPr>
          <w:p w14:paraId="3CDBE82A"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Reference</w:t>
            </w:r>
          </w:p>
        </w:tc>
      </w:tr>
      <w:tr w:rsidR="00632208" w:rsidRPr="0098635C" w14:paraId="768EF4E8" w14:textId="77777777" w:rsidTr="00A432B0">
        <w:trPr>
          <w:trHeight w:val="169"/>
        </w:trPr>
        <w:tc>
          <w:tcPr>
            <w:tcW w:w="938" w:type="dxa"/>
            <w:tcBorders>
              <w:top w:val="nil"/>
              <w:left w:val="single" w:sz="12" w:space="0" w:color="auto"/>
              <w:bottom w:val="single" w:sz="8" w:space="0" w:color="auto"/>
              <w:right w:val="single" w:sz="8" w:space="0" w:color="auto"/>
            </w:tcBorders>
          </w:tcPr>
          <w:p w14:paraId="056E12FF"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Test substance</w:t>
            </w:r>
          </w:p>
        </w:tc>
        <w:tc>
          <w:tcPr>
            <w:tcW w:w="1276" w:type="dxa"/>
            <w:tcBorders>
              <w:top w:val="nil"/>
              <w:left w:val="nil"/>
              <w:bottom w:val="single" w:sz="8" w:space="0" w:color="auto"/>
              <w:right w:val="single" w:sz="8" w:space="0" w:color="auto"/>
            </w:tcBorders>
          </w:tcPr>
          <w:p w14:paraId="6ADB7742"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Process</w:t>
            </w:r>
          </w:p>
        </w:tc>
        <w:tc>
          <w:tcPr>
            <w:tcW w:w="2127" w:type="dxa"/>
            <w:tcBorders>
              <w:top w:val="nil"/>
              <w:left w:val="nil"/>
              <w:bottom w:val="single" w:sz="8" w:space="0" w:color="auto"/>
              <w:right w:val="single" w:sz="8" w:space="0" w:color="auto"/>
            </w:tcBorders>
          </w:tcPr>
          <w:p w14:paraId="007B08C8"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Medium</w:t>
            </w:r>
          </w:p>
        </w:tc>
        <w:tc>
          <w:tcPr>
            <w:tcW w:w="567" w:type="dxa"/>
            <w:tcBorders>
              <w:top w:val="nil"/>
              <w:left w:val="nil"/>
              <w:bottom w:val="single" w:sz="8" w:space="0" w:color="auto"/>
              <w:right w:val="single" w:sz="8" w:space="0" w:color="auto"/>
            </w:tcBorders>
          </w:tcPr>
          <w:p w14:paraId="0B0C800E"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pH</w:t>
            </w:r>
          </w:p>
        </w:tc>
        <w:tc>
          <w:tcPr>
            <w:tcW w:w="708" w:type="dxa"/>
            <w:tcBorders>
              <w:top w:val="nil"/>
              <w:left w:val="nil"/>
              <w:bottom w:val="single" w:sz="8" w:space="0" w:color="auto"/>
              <w:right w:val="single" w:sz="8" w:space="0" w:color="auto"/>
            </w:tcBorders>
          </w:tcPr>
          <w:p w14:paraId="799950AE"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%OM</w:t>
            </w:r>
          </w:p>
        </w:tc>
        <w:tc>
          <w:tcPr>
            <w:tcW w:w="709" w:type="dxa"/>
            <w:tcBorders>
              <w:top w:val="nil"/>
              <w:left w:val="nil"/>
              <w:bottom w:val="single" w:sz="8" w:space="0" w:color="auto"/>
              <w:right w:val="single" w:sz="8" w:space="0" w:color="auto"/>
            </w:tcBorders>
          </w:tcPr>
          <w:p w14:paraId="09B92660"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%clay</w:t>
            </w:r>
          </w:p>
        </w:tc>
        <w:tc>
          <w:tcPr>
            <w:tcW w:w="851" w:type="dxa"/>
            <w:tcBorders>
              <w:top w:val="nil"/>
              <w:left w:val="nil"/>
              <w:bottom w:val="single" w:sz="8" w:space="0" w:color="auto"/>
              <w:right w:val="single" w:sz="8" w:space="0" w:color="auto"/>
            </w:tcBorders>
          </w:tcPr>
          <w:p w14:paraId="1F01F630"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C</w:t>
            </w:r>
            <w:r w:rsidRPr="0098635C">
              <w:rPr>
                <w:rFonts w:ascii="Arial Narrow" w:hAnsi="Arial Narrow" w:cs="Arial Narrow"/>
                <w:b/>
                <w:bCs/>
                <w:color w:val="000000" w:themeColor="text1"/>
                <w:sz w:val="20"/>
                <w:szCs w:val="20"/>
                <w:vertAlign w:val="subscript"/>
              </w:rPr>
              <w:t>b</w:t>
            </w:r>
          </w:p>
        </w:tc>
        <w:tc>
          <w:tcPr>
            <w:tcW w:w="850" w:type="dxa"/>
            <w:tcBorders>
              <w:top w:val="nil"/>
              <w:left w:val="nil"/>
              <w:bottom w:val="single" w:sz="8" w:space="0" w:color="auto"/>
              <w:right w:val="single" w:sz="8" w:space="0" w:color="auto"/>
            </w:tcBorders>
          </w:tcPr>
          <w:p w14:paraId="294E4397"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CEC</w:t>
            </w:r>
          </w:p>
        </w:tc>
        <w:tc>
          <w:tcPr>
            <w:tcW w:w="992" w:type="dxa"/>
            <w:tcBorders>
              <w:top w:val="nil"/>
              <w:left w:val="nil"/>
              <w:bottom w:val="single" w:sz="8" w:space="0" w:color="auto"/>
              <w:right w:val="single" w:sz="8" w:space="0" w:color="auto"/>
            </w:tcBorders>
          </w:tcPr>
          <w:p w14:paraId="3A83BB84"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Duration</w:t>
            </w:r>
          </w:p>
        </w:tc>
        <w:tc>
          <w:tcPr>
            <w:tcW w:w="851" w:type="dxa"/>
            <w:tcBorders>
              <w:top w:val="single" w:sz="8" w:space="0" w:color="auto"/>
              <w:left w:val="nil"/>
              <w:bottom w:val="single" w:sz="8" w:space="0" w:color="auto"/>
              <w:right w:val="single" w:sz="8" w:space="0" w:color="000000"/>
            </w:tcBorders>
          </w:tcPr>
          <w:p w14:paraId="6ABD919D"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NOEC or EC</w:t>
            </w:r>
            <w:r w:rsidRPr="0098635C">
              <w:rPr>
                <w:rFonts w:ascii="Arial Narrow" w:hAnsi="Arial Narrow" w:cs="Arial Narrow"/>
                <w:b/>
                <w:bCs/>
                <w:color w:val="000000" w:themeColor="text1"/>
                <w:sz w:val="20"/>
                <w:szCs w:val="20"/>
                <w:vertAlign w:val="subscript"/>
              </w:rPr>
              <w:t>10</w:t>
            </w:r>
          </w:p>
        </w:tc>
        <w:tc>
          <w:tcPr>
            <w:tcW w:w="992" w:type="dxa"/>
            <w:tcBorders>
              <w:top w:val="nil"/>
              <w:left w:val="nil"/>
              <w:bottom w:val="single" w:sz="8" w:space="0" w:color="auto"/>
              <w:right w:val="single" w:sz="8" w:space="0" w:color="auto"/>
            </w:tcBorders>
          </w:tcPr>
          <w:p w14:paraId="05882C00"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Unbounded NOEC</w:t>
            </w:r>
          </w:p>
        </w:tc>
        <w:tc>
          <w:tcPr>
            <w:tcW w:w="851" w:type="dxa"/>
            <w:tcBorders>
              <w:top w:val="single" w:sz="8" w:space="0" w:color="auto"/>
              <w:left w:val="nil"/>
              <w:bottom w:val="single" w:sz="8" w:space="0" w:color="auto"/>
              <w:right w:val="single" w:sz="8" w:space="0" w:color="000000"/>
            </w:tcBorders>
          </w:tcPr>
          <w:p w14:paraId="540CA80F"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NOEC or EC</w:t>
            </w:r>
            <w:r w:rsidRPr="0098635C">
              <w:rPr>
                <w:rFonts w:ascii="Arial Narrow" w:hAnsi="Arial Narrow" w:cs="Arial Narrow"/>
                <w:b/>
                <w:bCs/>
                <w:color w:val="000000" w:themeColor="text1"/>
                <w:sz w:val="20"/>
                <w:szCs w:val="20"/>
                <w:vertAlign w:val="subscript"/>
              </w:rPr>
              <w:t>10</w:t>
            </w:r>
          </w:p>
        </w:tc>
        <w:tc>
          <w:tcPr>
            <w:tcW w:w="992" w:type="dxa"/>
            <w:tcBorders>
              <w:top w:val="nil"/>
              <w:left w:val="nil"/>
              <w:bottom w:val="single" w:sz="8" w:space="0" w:color="auto"/>
              <w:right w:val="single" w:sz="12" w:space="0" w:color="auto"/>
            </w:tcBorders>
          </w:tcPr>
          <w:p w14:paraId="049819CD"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Unbounded NOEC</w:t>
            </w:r>
          </w:p>
        </w:tc>
        <w:tc>
          <w:tcPr>
            <w:tcW w:w="2410" w:type="dxa"/>
            <w:tcBorders>
              <w:top w:val="nil"/>
              <w:left w:val="nil"/>
              <w:bottom w:val="single" w:sz="8" w:space="0" w:color="auto"/>
              <w:right w:val="single" w:sz="12" w:space="0" w:color="auto"/>
            </w:tcBorders>
          </w:tcPr>
          <w:p w14:paraId="5A22727C" w14:textId="77777777" w:rsidR="00632208" w:rsidRPr="0098635C" w:rsidRDefault="00632208" w:rsidP="00A432B0">
            <w:pPr>
              <w:spacing w:after="0"/>
              <w:jc w:val="center"/>
              <w:rPr>
                <w:rFonts w:ascii="Arial Narrow" w:hAnsi="Arial Narrow" w:cs="Arial Narrow"/>
                <w:b/>
                <w:bCs/>
                <w:color w:val="000000" w:themeColor="text1"/>
                <w:sz w:val="20"/>
                <w:szCs w:val="20"/>
              </w:rPr>
            </w:pPr>
          </w:p>
        </w:tc>
      </w:tr>
      <w:tr w:rsidR="00632208" w:rsidRPr="0098635C" w14:paraId="164A4149" w14:textId="77777777" w:rsidTr="00A432B0">
        <w:trPr>
          <w:trHeight w:val="64"/>
        </w:trPr>
        <w:tc>
          <w:tcPr>
            <w:tcW w:w="938" w:type="dxa"/>
            <w:tcBorders>
              <w:top w:val="nil"/>
              <w:left w:val="single" w:sz="12" w:space="0" w:color="auto"/>
              <w:bottom w:val="single" w:sz="8" w:space="0" w:color="auto"/>
              <w:right w:val="single" w:sz="8" w:space="0" w:color="auto"/>
            </w:tcBorders>
          </w:tcPr>
          <w:p w14:paraId="65565DC4"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 </w:t>
            </w:r>
          </w:p>
        </w:tc>
        <w:tc>
          <w:tcPr>
            <w:tcW w:w="1276" w:type="dxa"/>
            <w:tcBorders>
              <w:top w:val="nil"/>
              <w:left w:val="nil"/>
              <w:bottom w:val="single" w:sz="8" w:space="0" w:color="auto"/>
              <w:right w:val="single" w:sz="8" w:space="0" w:color="auto"/>
            </w:tcBorders>
          </w:tcPr>
          <w:p w14:paraId="3D582136"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 </w:t>
            </w:r>
          </w:p>
        </w:tc>
        <w:tc>
          <w:tcPr>
            <w:tcW w:w="2127" w:type="dxa"/>
            <w:tcBorders>
              <w:top w:val="nil"/>
              <w:left w:val="nil"/>
              <w:bottom w:val="single" w:sz="8" w:space="0" w:color="auto"/>
              <w:right w:val="single" w:sz="8" w:space="0" w:color="auto"/>
            </w:tcBorders>
          </w:tcPr>
          <w:p w14:paraId="78FEFBDD"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 </w:t>
            </w:r>
          </w:p>
        </w:tc>
        <w:tc>
          <w:tcPr>
            <w:tcW w:w="567" w:type="dxa"/>
            <w:tcBorders>
              <w:top w:val="nil"/>
              <w:left w:val="nil"/>
              <w:bottom w:val="single" w:sz="8" w:space="0" w:color="auto"/>
              <w:right w:val="single" w:sz="8" w:space="0" w:color="auto"/>
            </w:tcBorders>
          </w:tcPr>
          <w:p w14:paraId="69115906"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 </w:t>
            </w:r>
          </w:p>
        </w:tc>
        <w:tc>
          <w:tcPr>
            <w:tcW w:w="708" w:type="dxa"/>
            <w:tcBorders>
              <w:top w:val="nil"/>
              <w:left w:val="nil"/>
              <w:bottom w:val="single" w:sz="8" w:space="0" w:color="auto"/>
              <w:right w:val="single" w:sz="8" w:space="0" w:color="auto"/>
            </w:tcBorders>
          </w:tcPr>
          <w:p w14:paraId="5991323D"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 </w:t>
            </w:r>
          </w:p>
        </w:tc>
        <w:tc>
          <w:tcPr>
            <w:tcW w:w="709" w:type="dxa"/>
            <w:tcBorders>
              <w:top w:val="nil"/>
              <w:left w:val="nil"/>
              <w:bottom w:val="single" w:sz="8" w:space="0" w:color="auto"/>
              <w:right w:val="single" w:sz="8" w:space="0" w:color="auto"/>
            </w:tcBorders>
          </w:tcPr>
          <w:p w14:paraId="3241400D"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 </w:t>
            </w:r>
          </w:p>
        </w:tc>
        <w:tc>
          <w:tcPr>
            <w:tcW w:w="851" w:type="dxa"/>
            <w:tcBorders>
              <w:top w:val="nil"/>
              <w:left w:val="nil"/>
              <w:bottom w:val="single" w:sz="8" w:space="0" w:color="auto"/>
              <w:right w:val="single" w:sz="8" w:space="0" w:color="auto"/>
            </w:tcBorders>
          </w:tcPr>
          <w:p w14:paraId="0C431029"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mg/kg</w:t>
            </w:r>
            <w:r w:rsidRPr="0098635C">
              <w:rPr>
                <w:rFonts w:ascii="Arial Narrow" w:hAnsi="Arial Narrow" w:cs="Arial Narrow"/>
                <w:b/>
                <w:bCs/>
                <w:color w:val="000000" w:themeColor="text1"/>
                <w:sz w:val="20"/>
                <w:szCs w:val="20"/>
                <w:vertAlign w:val="subscript"/>
              </w:rPr>
              <w:t>dw</w:t>
            </w:r>
          </w:p>
        </w:tc>
        <w:tc>
          <w:tcPr>
            <w:tcW w:w="850" w:type="dxa"/>
            <w:tcBorders>
              <w:top w:val="nil"/>
              <w:left w:val="nil"/>
              <w:bottom w:val="single" w:sz="8" w:space="0" w:color="auto"/>
              <w:right w:val="single" w:sz="8" w:space="0" w:color="auto"/>
            </w:tcBorders>
          </w:tcPr>
          <w:p w14:paraId="03CFBBC8"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cmol/kg</w:t>
            </w:r>
          </w:p>
        </w:tc>
        <w:tc>
          <w:tcPr>
            <w:tcW w:w="992" w:type="dxa"/>
            <w:tcBorders>
              <w:top w:val="nil"/>
              <w:left w:val="nil"/>
              <w:bottom w:val="single" w:sz="8" w:space="0" w:color="auto"/>
              <w:right w:val="single" w:sz="8" w:space="0" w:color="auto"/>
            </w:tcBorders>
          </w:tcPr>
          <w:p w14:paraId="536394B0"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2E4C0426"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mg/kg</w:t>
            </w:r>
            <w:r w:rsidRPr="0098635C">
              <w:rPr>
                <w:rFonts w:ascii="Arial Narrow" w:hAnsi="Arial Narrow" w:cs="Arial Narrow"/>
                <w:b/>
                <w:bCs/>
                <w:color w:val="000000" w:themeColor="text1"/>
                <w:sz w:val="20"/>
                <w:szCs w:val="20"/>
                <w:vertAlign w:val="subscript"/>
              </w:rPr>
              <w:t>dw</w:t>
            </w:r>
          </w:p>
        </w:tc>
        <w:tc>
          <w:tcPr>
            <w:tcW w:w="992" w:type="dxa"/>
            <w:tcBorders>
              <w:top w:val="nil"/>
              <w:left w:val="nil"/>
              <w:bottom w:val="single" w:sz="8" w:space="0" w:color="auto"/>
              <w:right w:val="single" w:sz="8" w:space="0" w:color="auto"/>
            </w:tcBorders>
          </w:tcPr>
          <w:p w14:paraId="3547E1F9"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mg/kg</w:t>
            </w:r>
            <w:r w:rsidRPr="0098635C">
              <w:rPr>
                <w:rFonts w:ascii="Arial Narrow" w:hAnsi="Arial Narrow" w:cs="Arial Narrow"/>
                <w:b/>
                <w:bCs/>
                <w:color w:val="000000" w:themeColor="text1"/>
                <w:sz w:val="20"/>
                <w:szCs w:val="20"/>
                <w:vertAlign w:val="subscript"/>
              </w:rPr>
              <w:t>dw</w:t>
            </w:r>
          </w:p>
        </w:tc>
        <w:tc>
          <w:tcPr>
            <w:tcW w:w="851" w:type="dxa"/>
            <w:tcBorders>
              <w:top w:val="single" w:sz="8" w:space="0" w:color="auto"/>
              <w:left w:val="nil"/>
              <w:bottom w:val="single" w:sz="8" w:space="0" w:color="auto"/>
              <w:right w:val="single" w:sz="8" w:space="0" w:color="000000"/>
            </w:tcBorders>
          </w:tcPr>
          <w:p w14:paraId="21B4E1D4"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mg/kg</w:t>
            </w:r>
            <w:r w:rsidRPr="0098635C">
              <w:rPr>
                <w:rFonts w:ascii="Arial Narrow" w:hAnsi="Arial Narrow" w:cs="Arial Narrow"/>
                <w:b/>
                <w:bCs/>
                <w:color w:val="000000" w:themeColor="text1"/>
                <w:sz w:val="20"/>
                <w:szCs w:val="20"/>
                <w:vertAlign w:val="subscript"/>
              </w:rPr>
              <w:t>dw</w:t>
            </w:r>
          </w:p>
        </w:tc>
        <w:tc>
          <w:tcPr>
            <w:tcW w:w="992" w:type="dxa"/>
            <w:tcBorders>
              <w:top w:val="nil"/>
              <w:left w:val="nil"/>
              <w:bottom w:val="single" w:sz="8" w:space="0" w:color="auto"/>
              <w:right w:val="single" w:sz="12" w:space="0" w:color="auto"/>
            </w:tcBorders>
          </w:tcPr>
          <w:p w14:paraId="334849B9" w14:textId="77777777" w:rsidR="00632208" w:rsidRPr="0098635C" w:rsidRDefault="00632208" w:rsidP="00A432B0">
            <w:pPr>
              <w:spacing w:after="0"/>
              <w:jc w:val="center"/>
              <w:rPr>
                <w:rFonts w:ascii="Arial Narrow" w:hAnsi="Arial Narrow" w:cs="Arial Narrow"/>
                <w:b/>
                <w:bCs/>
                <w:color w:val="000000" w:themeColor="text1"/>
                <w:sz w:val="20"/>
                <w:szCs w:val="20"/>
              </w:rPr>
            </w:pPr>
            <w:r w:rsidRPr="0098635C">
              <w:rPr>
                <w:rFonts w:ascii="Arial Narrow" w:hAnsi="Arial Narrow" w:cs="Arial Narrow"/>
                <w:b/>
                <w:bCs/>
                <w:color w:val="000000" w:themeColor="text1"/>
                <w:sz w:val="20"/>
                <w:szCs w:val="20"/>
              </w:rPr>
              <w:t>mg/kg</w:t>
            </w:r>
            <w:r w:rsidRPr="0098635C">
              <w:rPr>
                <w:rFonts w:ascii="Arial Narrow" w:hAnsi="Arial Narrow" w:cs="Arial Narrow"/>
                <w:b/>
                <w:bCs/>
                <w:color w:val="000000" w:themeColor="text1"/>
                <w:sz w:val="20"/>
                <w:szCs w:val="20"/>
                <w:vertAlign w:val="subscript"/>
              </w:rPr>
              <w:t>dw</w:t>
            </w:r>
          </w:p>
        </w:tc>
        <w:tc>
          <w:tcPr>
            <w:tcW w:w="2410" w:type="dxa"/>
            <w:tcBorders>
              <w:top w:val="nil"/>
              <w:left w:val="nil"/>
              <w:bottom w:val="single" w:sz="8" w:space="0" w:color="auto"/>
              <w:right w:val="single" w:sz="12" w:space="0" w:color="auto"/>
            </w:tcBorders>
          </w:tcPr>
          <w:p w14:paraId="77411186" w14:textId="77777777" w:rsidR="00632208" w:rsidRPr="0098635C" w:rsidRDefault="00632208" w:rsidP="00A432B0">
            <w:pPr>
              <w:spacing w:after="0"/>
              <w:jc w:val="center"/>
              <w:rPr>
                <w:rFonts w:ascii="Arial Narrow" w:hAnsi="Arial Narrow" w:cs="Arial Narrow"/>
                <w:b/>
                <w:bCs/>
                <w:color w:val="000000" w:themeColor="text1"/>
                <w:sz w:val="20"/>
                <w:szCs w:val="20"/>
              </w:rPr>
            </w:pPr>
          </w:p>
        </w:tc>
      </w:tr>
      <w:tr w:rsidR="00632208" w:rsidRPr="0098635C" w14:paraId="3D712884" w14:textId="77777777" w:rsidTr="00A432B0">
        <w:trPr>
          <w:trHeight w:val="64"/>
        </w:trPr>
        <w:tc>
          <w:tcPr>
            <w:tcW w:w="938" w:type="dxa"/>
            <w:tcBorders>
              <w:top w:val="nil"/>
              <w:left w:val="single" w:sz="12" w:space="0" w:color="auto"/>
              <w:bottom w:val="single" w:sz="8" w:space="0" w:color="auto"/>
              <w:right w:val="single" w:sz="8" w:space="0" w:color="auto"/>
            </w:tcBorders>
          </w:tcPr>
          <w:p w14:paraId="39B74DE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4833B21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phosphatase activity</w:t>
            </w:r>
          </w:p>
        </w:tc>
        <w:tc>
          <w:tcPr>
            <w:tcW w:w="2127" w:type="dxa"/>
            <w:tcBorders>
              <w:top w:val="nil"/>
              <w:left w:val="nil"/>
              <w:bottom w:val="single" w:sz="8" w:space="0" w:color="auto"/>
              <w:right w:val="single" w:sz="8" w:space="0" w:color="auto"/>
            </w:tcBorders>
          </w:tcPr>
          <w:p w14:paraId="0242FD4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loam</w:t>
            </w:r>
          </w:p>
        </w:tc>
        <w:tc>
          <w:tcPr>
            <w:tcW w:w="567" w:type="dxa"/>
            <w:tcBorders>
              <w:top w:val="nil"/>
              <w:left w:val="nil"/>
              <w:bottom w:val="single" w:sz="8" w:space="0" w:color="auto"/>
              <w:right w:val="single" w:sz="8" w:space="0" w:color="auto"/>
            </w:tcBorders>
          </w:tcPr>
          <w:p w14:paraId="5EFB9B7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5.1</w:t>
            </w:r>
          </w:p>
        </w:tc>
        <w:tc>
          <w:tcPr>
            <w:tcW w:w="708" w:type="dxa"/>
            <w:tcBorders>
              <w:top w:val="nil"/>
              <w:left w:val="nil"/>
              <w:bottom w:val="single" w:sz="8" w:space="0" w:color="auto"/>
              <w:right w:val="single" w:sz="8" w:space="0" w:color="auto"/>
            </w:tcBorders>
          </w:tcPr>
          <w:p w14:paraId="7587AB5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5.7</w:t>
            </w:r>
          </w:p>
        </w:tc>
        <w:tc>
          <w:tcPr>
            <w:tcW w:w="709" w:type="dxa"/>
            <w:tcBorders>
              <w:top w:val="nil"/>
              <w:left w:val="nil"/>
              <w:bottom w:val="single" w:sz="8" w:space="0" w:color="auto"/>
              <w:right w:val="single" w:sz="8" w:space="0" w:color="auto"/>
            </w:tcBorders>
          </w:tcPr>
          <w:p w14:paraId="70C56FF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w:t>
            </w:r>
          </w:p>
        </w:tc>
        <w:tc>
          <w:tcPr>
            <w:tcW w:w="851" w:type="dxa"/>
            <w:tcBorders>
              <w:top w:val="nil"/>
              <w:left w:val="nil"/>
              <w:bottom w:val="single" w:sz="8" w:space="0" w:color="auto"/>
              <w:right w:val="single" w:sz="8" w:space="0" w:color="auto"/>
            </w:tcBorders>
          </w:tcPr>
          <w:p w14:paraId="6166241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6.5</w:t>
            </w:r>
          </w:p>
        </w:tc>
        <w:tc>
          <w:tcPr>
            <w:tcW w:w="850" w:type="dxa"/>
            <w:tcBorders>
              <w:top w:val="nil"/>
              <w:left w:val="nil"/>
              <w:bottom w:val="single" w:sz="8" w:space="0" w:color="auto"/>
              <w:right w:val="single" w:sz="8" w:space="0" w:color="auto"/>
            </w:tcBorders>
          </w:tcPr>
          <w:p w14:paraId="26833E7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1400AA0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540</w:t>
            </w:r>
          </w:p>
        </w:tc>
        <w:tc>
          <w:tcPr>
            <w:tcW w:w="851" w:type="dxa"/>
            <w:tcBorders>
              <w:top w:val="single" w:sz="8" w:space="0" w:color="auto"/>
              <w:left w:val="nil"/>
              <w:bottom w:val="single" w:sz="8" w:space="0" w:color="auto"/>
              <w:right w:val="single" w:sz="8" w:space="0" w:color="000000"/>
            </w:tcBorders>
          </w:tcPr>
          <w:p w14:paraId="7887DB5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438</w:t>
            </w:r>
          </w:p>
        </w:tc>
        <w:tc>
          <w:tcPr>
            <w:tcW w:w="992" w:type="dxa"/>
            <w:tcBorders>
              <w:top w:val="nil"/>
              <w:left w:val="nil"/>
              <w:bottom w:val="single" w:sz="8" w:space="0" w:color="auto"/>
              <w:right w:val="single" w:sz="8" w:space="0" w:color="auto"/>
            </w:tcBorders>
          </w:tcPr>
          <w:p w14:paraId="0EF6315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15CF619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445</w:t>
            </w:r>
          </w:p>
        </w:tc>
        <w:tc>
          <w:tcPr>
            <w:tcW w:w="992" w:type="dxa"/>
            <w:tcBorders>
              <w:top w:val="nil"/>
              <w:left w:val="nil"/>
              <w:bottom w:val="single" w:sz="8" w:space="0" w:color="auto"/>
              <w:right w:val="single" w:sz="12" w:space="0" w:color="auto"/>
            </w:tcBorders>
          </w:tcPr>
          <w:p w14:paraId="4FE0DF2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00DD1B6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Doelman &amp; Haanstra, 1989</w:t>
            </w:r>
          </w:p>
        </w:tc>
      </w:tr>
      <w:tr w:rsidR="00632208" w:rsidRPr="0098635C" w14:paraId="50ABCEAA" w14:textId="77777777" w:rsidTr="00A432B0">
        <w:trPr>
          <w:trHeight w:val="64"/>
        </w:trPr>
        <w:tc>
          <w:tcPr>
            <w:tcW w:w="938" w:type="dxa"/>
            <w:tcBorders>
              <w:top w:val="nil"/>
              <w:left w:val="single" w:sz="12" w:space="0" w:color="auto"/>
              <w:bottom w:val="single" w:sz="8" w:space="0" w:color="auto"/>
              <w:right w:val="single" w:sz="8" w:space="0" w:color="auto"/>
            </w:tcBorders>
          </w:tcPr>
          <w:p w14:paraId="392C319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6F77206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phosphatase activity</w:t>
            </w:r>
          </w:p>
        </w:tc>
        <w:tc>
          <w:tcPr>
            <w:tcW w:w="2127" w:type="dxa"/>
            <w:tcBorders>
              <w:top w:val="nil"/>
              <w:left w:val="nil"/>
              <w:bottom w:val="single" w:sz="8" w:space="0" w:color="auto"/>
              <w:right w:val="single" w:sz="8" w:space="0" w:color="auto"/>
            </w:tcBorders>
          </w:tcPr>
          <w:p w14:paraId="48240D1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silty loam</w:t>
            </w:r>
          </w:p>
        </w:tc>
        <w:tc>
          <w:tcPr>
            <w:tcW w:w="567" w:type="dxa"/>
            <w:tcBorders>
              <w:top w:val="nil"/>
              <w:left w:val="nil"/>
              <w:bottom w:val="single" w:sz="8" w:space="0" w:color="auto"/>
              <w:right w:val="single" w:sz="8" w:space="0" w:color="auto"/>
            </w:tcBorders>
          </w:tcPr>
          <w:p w14:paraId="2A17831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7.4</w:t>
            </w:r>
          </w:p>
        </w:tc>
        <w:tc>
          <w:tcPr>
            <w:tcW w:w="708" w:type="dxa"/>
            <w:tcBorders>
              <w:top w:val="nil"/>
              <w:left w:val="nil"/>
              <w:bottom w:val="single" w:sz="8" w:space="0" w:color="auto"/>
              <w:right w:val="single" w:sz="8" w:space="0" w:color="auto"/>
            </w:tcBorders>
          </w:tcPr>
          <w:p w14:paraId="630C479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2.4</w:t>
            </w:r>
          </w:p>
        </w:tc>
        <w:tc>
          <w:tcPr>
            <w:tcW w:w="709" w:type="dxa"/>
            <w:tcBorders>
              <w:top w:val="nil"/>
              <w:left w:val="nil"/>
              <w:bottom w:val="single" w:sz="8" w:space="0" w:color="auto"/>
              <w:right w:val="single" w:sz="8" w:space="0" w:color="auto"/>
            </w:tcBorders>
          </w:tcPr>
          <w:p w14:paraId="6922737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851" w:type="dxa"/>
            <w:tcBorders>
              <w:top w:val="nil"/>
              <w:left w:val="nil"/>
              <w:bottom w:val="single" w:sz="8" w:space="0" w:color="auto"/>
              <w:right w:val="single" w:sz="8" w:space="0" w:color="auto"/>
            </w:tcBorders>
          </w:tcPr>
          <w:p w14:paraId="69B3BA3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22</w:t>
            </w:r>
          </w:p>
        </w:tc>
        <w:tc>
          <w:tcPr>
            <w:tcW w:w="850" w:type="dxa"/>
            <w:tcBorders>
              <w:top w:val="nil"/>
              <w:left w:val="nil"/>
              <w:bottom w:val="single" w:sz="8" w:space="0" w:color="auto"/>
              <w:right w:val="single" w:sz="8" w:space="0" w:color="auto"/>
            </w:tcBorders>
          </w:tcPr>
          <w:p w14:paraId="2EFC066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158F8F1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540</w:t>
            </w:r>
          </w:p>
        </w:tc>
        <w:tc>
          <w:tcPr>
            <w:tcW w:w="851" w:type="dxa"/>
            <w:tcBorders>
              <w:top w:val="single" w:sz="8" w:space="0" w:color="auto"/>
              <w:left w:val="nil"/>
              <w:bottom w:val="single" w:sz="8" w:space="0" w:color="auto"/>
              <w:right w:val="single" w:sz="8" w:space="0" w:color="000000"/>
            </w:tcBorders>
          </w:tcPr>
          <w:p w14:paraId="3F722D9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170</w:t>
            </w:r>
          </w:p>
        </w:tc>
        <w:tc>
          <w:tcPr>
            <w:tcW w:w="992" w:type="dxa"/>
            <w:tcBorders>
              <w:top w:val="nil"/>
              <w:left w:val="nil"/>
              <w:bottom w:val="single" w:sz="8" w:space="0" w:color="auto"/>
              <w:right w:val="single" w:sz="8" w:space="0" w:color="auto"/>
            </w:tcBorders>
          </w:tcPr>
          <w:p w14:paraId="1A4CD75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10ED453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192</w:t>
            </w:r>
          </w:p>
        </w:tc>
        <w:tc>
          <w:tcPr>
            <w:tcW w:w="992" w:type="dxa"/>
            <w:tcBorders>
              <w:top w:val="nil"/>
              <w:left w:val="nil"/>
              <w:bottom w:val="single" w:sz="8" w:space="0" w:color="auto"/>
              <w:right w:val="single" w:sz="12" w:space="0" w:color="auto"/>
            </w:tcBorders>
          </w:tcPr>
          <w:p w14:paraId="79856CC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0EAAFCA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Doelman &amp; Haanstra, 1989</w:t>
            </w:r>
          </w:p>
        </w:tc>
      </w:tr>
      <w:tr w:rsidR="00632208" w:rsidRPr="0098635C" w14:paraId="170A530D" w14:textId="77777777" w:rsidTr="00A432B0">
        <w:trPr>
          <w:trHeight w:val="64"/>
        </w:trPr>
        <w:tc>
          <w:tcPr>
            <w:tcW w:w="938" w:type="dxa"/>
            <w:tcBorders>
              <w:top w:val="nil"/>
              <w:left w:val="single" w:sz="12" w:space="0" w:color="auto"/>
              <w:bottom w:val="single" w:sz="8" w:space="0" w:color="auto"/>
              <w:right w:val="single" w:sz="8" w:space="0" w:color="auto"/>
            </w:tcBorders>
          </w:tcPr>
          <w:p w14:paraId="6A241F7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06D895B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phosphatase activity</w:t>
            </w:r>
          </w:p>
        </w:tc>
        <w:tc>
          <w:tcPr>
            <w:tcW w:w="2127" w:type="dxa"/>
            <w:tcBorders>
              <w:top w:val="nil"/>
              <w:left w:val="nil"/>
              <w:bottom w:val="single" w:sz="8" w:space="0" w:color="auto"/>
              <w:right w:val="single" w:sz="8" w:space="0" w:color="auto"/>
            </w:tcBorders>
          </w:tcPr>
          <w:p w14:paraId="3DF453C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clay</w:t>
            </w:r>
          </w:p>
        </w:tc>
        <w:tc>
          <w:tcPr>
            <w:tcW w:w="567" w:type="dxa"/>
            <w:tcBorders>
              <w:top w:val="nil"/>
              <w:left w:val="nil"/>
              <w:bottom w:val="single" w:sz="8" w:space="0" w:color="auto"/>
              <w:right w:val="single" w:sz="8" w:space="0" w:color="auto"/>
            </w:tcBorders>
          </w:tcPr>
          <w:p w14:paraId="613E483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6.8</w:t>
            </w:r>
          </w:p>
        </w:tc>
        <w:tc>
          <w:tcPr>
            <w:tcW w:w="708" w:type="dxa"/>
            <w:tcBorders>
              <w:top w:val="nil"/>
              <w:left w:val="nil"/>
              <w:bottom w:val="single" w:sz="8" w:space="0" w:color="auto"/>
              <w:right w:val="single" w:sz="8" w:space="0" w:color="auto"/>
            </w:tcBorders>
          </w:tcPr>
          <w:p w14:paraId="2D6540C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3.2</w:t>
            </w:r>
          </w:p>
        </w:tc>
        <w:tc>
          <w:tcPr>
            <w:tcW w:w="709" w:type="dxa"/>
            <w:tcBorders>
              <w:top w:val="nil"/>
              <w:left w:val="nil"/>
              <w:bottom w:val="single" w:sz="8" w:space="0" w:color="auto"/>
              <w:right w:val="single" w:sz="8" w:space="0" w:color="auto"/>
            </w:tcBorders>
          </w:tcPr>
          <w:p w14:paraId="20738B4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60</w:t>
            </w:r>
          </w:p>
        </w:tc>
        <w:tc>
          <w:tcPr>
            <w:tcW w:w="851" w:type="dxa"/>
            <w:tcBorders>
              <w:top w:val="nil"/>
              <w:left w:val="nil"/>
              <w:bottom w:val="single" w:sz="8" w:space="0" w:color="auto"/>
              <w:right w:val="single" w:sz="8" w:space="0" w:color="auto"/>
            </w:tcBorders>
          </w:tcPr>
          <w:p w14:paraId="0BB3135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52</w:t>
            </w:r>
          </w:p>
        </w:tc>
        <w:tc>
          <w:tcPr>
            <w:tcW w:w="850" w:type="dxa"/>
            <w:tcBorders>
              <w:top w:val="nil"/>
              <w:left w:val="nil"/>
              <w:bottom w:val="single" w:sz="8" w:space="0" w:color="auto"/>
              <w:right w:val="single" w:sz="8" w:space="0" w:color="auto"/>
            </w:tcBorders>
          </w:tcPr>
          <w:p w14:paraId="6FF99D5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5615D6F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540</w:t>
            </w:r>
          </w:p>
        </w:tc>
        <w:tc>
          <w:tcPr>
            <w:tcW w:w="851" w:type="dxa"/>
            <w:tcBorders>
              <w:top w:val="single" w:sz="8" w:space="0" w:color="auto"/>
              <w:left w:val="nil"/>
              <w:bottom w:val="single" w:sz="8" w:space="0" w:color="auto"/>
              <w:right w:val="single" w:sz="8" w:space="0" w:color="000000"/>
            </w:tcBorders>
          </w:tcPr>
          <w:p w14:paraId="1EE3A83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960</w:t>
            </w:r>
          </w:p>
        </w:tc>
        <w:tc>
          <w:tcPr>
            <w:tcW w:w="992" w:type="dxa"/>
            <w:tcBorders>
              <w:top w:val="nil"/>
              <w:left w:val="nil"/>
              <w:bottom w:val="single" w:sz="8" w:space="0" w:color="auto"/>
              <w:right w:val="single" w:sz="8" w:space="0" w:color="auto"/>
            </w:tcBorders>
          </w:tcPr>
          <w:p w14:paraId="1EB8A5C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2CBBFFA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1,012</w:t>
            </w:r>
          </w:p>
        </w:tc>
        <w:tc>
          <w:tcPr>
            <w:tcW w:w="992" w:type="dxa"/>
            <w:tcBorders>
              <w:top w:val="nil"/>
              <w:left w:val="nil"/>
              <w:bottom w:val="single" w:sz="8" w:space="0" w:color="auto"/>
              <w:right w:val="single" w:sz="12" w:space="0" w:color="auto"/>
            </w:tcBorders>
          </w:tcPr>
          <w:p w14:paraId="434AC2D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2622906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Doelman &amp; Haanstra, 1989</w:t>
            </w:r>
          </w:p>
        </w:tc>
      </w:tr>
      <w:tr w:rsidR="00632208" w:rsidRPr="0098635C" w14:paraId="0FD2588A" w14:textId="77777777" w:rsidTr="00A432B0">
        <w:trPr>
          <w:trHeight w:val="64"/>
        </w:trPr>
        <w:tc>
          <w:tcPr>
            <w:tcW w:w="938" w:type="dxa"/>
            <w:tcBorders>
              <w:top w:val="nil"/>
              <w:left w:val="single" w:sz="12" w:space="0" w:color="auto"/>
              <w:bottom w:val="single" w:sz="8" w:space="0" w:color="auto"/>
              <w:right w:val="single" w:sz="8" w:space="0" w:color="auto"/>
            </w:tcBorders>
          </w:tcPr>
          <w:p w14:paraId="0220E3D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42D1082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phosphatase activity</w:t>
            </w:r>
          </w:p>
        </w:tc>
        <w:tc>
          <w:tcPr>
            <w:tcW w:w="2127" w:type="dxa"/>
            <w:tcBorders>
              <w:top w:val="nil"/>
              <w:left w:val="nil"/>
              <w:bottom w:val="single" w:sz="8" w:space="0" w:color="auto"/>
              <w:right w:val="single" w:sz="8" w:space="0" w:color="auto"/>
            </w:tcBorders>
          </w:tcPr>
          <w:p w14:paraId="68323BE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peat</w:t>
            </w:r>
          </w:p>
        </w:tc>
        <w:tc>
          <w:tcPr>
            <w:tcW w:w="567" w:type="dxa"/>
            <w:tcBorders>
              <w:top w:val="nil"/>
              <w:left w:val="nil"/>
              <w:bottom w:val="single" w:sz="8" w:space="0" w:color="auto"/>
              <w:right w:val="single" w:sz="8" w:space="0" w:color="auto"/>
            </w:tcBorders>
          </w:tcPr>
          <w:p w14:paraId="6A30C9D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4.3</w:t>
            </w:r>
          </w:p>
        </w:tc>
        <w:tc>
          <w:tcPr>
            <w:tcW w:w="708" w:type="dxa"/>
            <w:tcBorders>
              <w:top w:val="nil"/>
              <w:left w:val="nil"/>
              <w:bottom w:val="single" w:sz="8" w:space="0" w:color="auto"/>
              <w:right w:val="single" w:sz="8" w:space="0" w:color="auto"/>
            </w:tcBorders>
          </w:tcPr>
          <w:p w14:paraId="6CBBE41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12.8</w:t>
            </w:r>
          </w:p>
        </w:tc>
        <w:tc>
          <w:tcPr>
            <w:tcW w:w="709" w:type="dxa"/>
            <w:tcBorders>
              <w:top w:val="nil"/>
              <w:left w:val="nil"/>
              <w:bottom w:val="single" w:sz="8" w:space="0" w:color="auto"/>
              <w:right w:val="single" w:sz="8" w:space="0" w:color="auto"/>
            </w:tcBorders>
          </w:tcPr>
          <w:p w14:paraId="7F294B6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w:t>
            </w:r>
          </w:p>
        </w:tc>
        <w:tc>
          <w:tcPr>
            <w:tcW w:w="851" w:type="dxa"/>
            <w:tcBorders>
              <w:top w:val="nil"/>
              <w:left w:val="nil"/>
              <w:bottom w:val="single" w:sz="8" w:space="0" w:color="auto"/>
              <w:right w:val="single" w:sz="8" w:space="0" w:color="auto"/>
            </w:tcBorders>
          </w:tcPr>
          <w:p w14:paraId="6E3E5F3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5.5</w:t>
            </w:r>
          </w:p>
        </w:tc>
        <w:tc>
          <w:tcPr>
            <w:tcW w:w="850" w:type="dxa"/>
            <w:tcBorders>
              <w:top w:val="nil"/>
              <w:left w:val="nil"/>
              <w:bottom w:val="single" w:sz="8" w:space="0" w:color="auto"/>
              <w:right w:val="single" w:sz="8" w:space="0" w:color="auto"/>
            </w:tcBorders>
          </w:tcPr>
          <w:p w14:paraId="69D6E49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740C768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540</w:t>
            </w:r>
          </w:p>
        </w:tc>
        <w:tc>
          <w:tcPr>
            <w:tcW w:w="851" w:type="dxa"/>
            <w:tcBorders>
              <w:top w:val="single" w:sz="8" w:space="0" w:color="auto"/>
              <w:left w:val="nil"/>
              <w:bottom w:val="single" w:sz="8" w:space="0" w:color="auto"/>
              <w:right w:val="single" w:sz="8" w:space="0" w:color="000000"/>
            </w:tcBorders>
          </w:tcPr>
          <w:p w14:paraId="1D2D0F8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58</w:t>
            </w:r>
          </w:p>
        </w:tc>
        <w:tc>
          <w:tcPr>
            <w:tcW w:w="992" w:type="dxa"/>
            <w:tcBorders>
              <w:top w:val="nil"/>
              <w:left w:val="nil"/>
              <w:bottom w:val="single" w:sz="8" w:space="0" w:color="auto"/>
              <w:right w:val="single" w:sz="8" w:space="0" w:color="auto"/>
            </w:tcBorders>
          </w:tcPr>
          <w:p w14:paraId="64B9CE9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473840B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64</w:t>
            </w:r>
          </w:p>
        </w:tc>
        <w:tc>
          <w:tcPr>
            <w:tcW w:w="992" w:type="dxa"/>
            <w:tcBorders>
              <w:top w:val="nil"/>
              <w:left w:val="nil"/>
              <w:bottom w:val="single" w:sz="8" w:space="0" w:color="auto"/>
              <w:right w:val="single" w:sz="12" w:space="0" w:color="auto"/>
            </w:tcBorders>
          </w:tcPr>
          <w:p w14:paraId="5416901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00A3326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Doelman &amp; Haanstra, 1989</w:t>
            </w:r>
          </w:p>
        </w:tc>
      </w:tr>
      <w:tr w:rsidR="00632208" w:rsidRPr="0098635C" w14:paraId="259506CE" w14:textId="77777777" w:rsidTr="00A432B0">
        <w:trPr>
          <w:trHeight w:val="64"/>
        </w:trPr>
        <w:tc>
          <w:tcPr>
            <w:tcW w:w="938" w:type="dxa"/>
            <w:tcBorders>
              <w:top w:val="nil"/>
              <w:left w:val="single" w:sz="12" w:space="0" w:color="auto"/>
              <w:bottom w:val="single" w:sz="8" w:space="0" w:color="auto"/>
              <w:right w:val="single" w:sz="8" w:space="0" w:color="auto"/>
            </w:tcBorders>
          </w:tcPr>
          <w:p w14:paraId="139B70E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4D478AA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urease activity</w:t>
            </w:r>
          </w:p>
        </w:tc>
        <w:tc>
          <w:tcPr>
            <w:tcW w:w="2127" w:type="dxa"/>
            <w:tcBorders>
              <w:top w:val="nil"/>
              <w:left w:val="nil"/>
              <w:bottom w:val="single" w:sz="8" w:space="0" w:color="auto"/>
              <w:right w:val="single" w:sz="8" w:space="0" w:color="auto"/>
            </w:tcBorders>
          </w:tcPr>
          <w:p w14:paraId="4C9DF48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silty loam</w:t>
            </w:r>
          </w:p>
        </w:tc>
        <w:tc>
          <w:tcPr>
            <w:tcW w:w="567" w:type="dxa"/>
            <w:tcBorders>
              <w:top w:val="nil"/>
              <w:left w:val="nil"/>
              <w:bottom w:val="single" w:sz="8" w:space="0" w:color="auto"/>
              <w:right w:val="single" w:sz="8" w:space="0" w:color="auto"/>
            </w:tcBorders>
          </w:tcPr>
          <w:p w14:paraId="62B9C8E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7.4</w:t>
            </w:r>
          </w:p>
        </w:tc>
        <w:tc>
          <w:tcPr>
            <w:tcW w:w="708" w:type="dxa"/>
            <w:tcBorders>
              <w:top w:val="nil"/>
              <w:left w:val="nil"/>
              <w:bottom w:val="single" w:sz="8" w:space="0" w:color="auto"/>
              <w:right w:val="single" w:sz="8" w:space="0" w:color="auto"/>
            </w:tcBorders>
          </w:tcPr>
          <w:p w14:paraId="0C5C860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2.4</w:t>
            </w:r>
          </w:p>
        </w:tc>
        <w:tc>
          <w:tcPr>
            <w:tcW w:w="709" w:type="dxa"/>
            <w:tcBorders>
              <w:top w:val="nil"/>
              <w:left w:val="nil"/>
              <w:bottom w:val="single" w:sz="8" w:space="0" w:color="auto"/>
              <w:right w:val="single" w:sz="8" w:space="0" w:color="auto"/>
            </w:tcBorders>
          </w:tcPr>
          <w:p w14:paraId="548DB08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851" w:type="dxa"/>
            <w:tcBorders>
              <w:top w:val="nil"/>
              <w:left w:val="nil"/>
              <w:bottom w:val="single" w:sz="8" w:space="0" w:color="auto"/>
              <w:right w:val="single" w:sz="8" w:space="0" w:color="auto"/>
            </w:tcBorders>
          </w:tcPr>
          <w:p w14:paraId="5AB9EE8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22</w:t>
            </w:r>
          </w:p>
        </w:tc>
        <w:tc>
          <w:tcPr>
            <w:tcW w:w="850" w:type="dxa"/>
            <w:tcBorders>
              <w:top w:val="nil"/>
              <w:left w:val="nil"/>
              <w:bottom w:val="single" w:sz="8" w:space="0" w:color="auto"/>
              <w:right w:val="single" w:sz="8" w:space="0" w:color="auto"/>
            </w:tcBorders>
          </w:tcPr>
          <w:p w14:paraId="2A018A5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1823F8E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540</w:t>
            </w:r>
          </w:p>
        </w:tc>
        <w:tc>
          <w:tcPr>
            <w:tcW w:w="851" w:type="dxa"/>
            <w:tcBorders>
              <w:top w:val="single" w:sz="8" w:space="0" w:color="auto"/>
              <w:left w:val="nil"/>
              <w:bottom w:val="single" w:sz="8" w:space="0" w:color="auto"/>
              <w:right w:val="single" w:sz="8" w:space="0" w:color="000000"/>
            </w:tcBorders>
          </w:tcPr>
          <w:p w14:paraId="3710879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340</w:t>
            </w:r>
          </w:p>
        </w:tc>
        <w:tc>
          <w:tcPr>
            <w:tcW w:w="992" w:type="dxa"/>
            <w:tcBorders>
              <w:top w:val="nil"/>
              <w:left w:val="nil"/>
              <w:bottom w:val="single" w:sz="8" w:space="0" w:color="auto"/>
              <w:right w:val="single" w:sz="8" w:space="0" w:color="auto"/>
            </w:tcBorders>
          </w:tcPr>
          <w:p w14:paraId="102E854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63BA901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362</w:t>
            </w:r>
          </w:p>
        </w:tc>
        <w:tc>
          <w:tcPr>
            <w:tcW w:w="992" w:type="dxa"/>
            <w:tcBorders>
              <w:top w:val="nil"/>
              <w:left w:val="nil"/>
              <w:bottom w:val="single" w:sz="8" w:space="0" w:color="auto"/>
              <w:right w:val="single" w:sz="12" w:space="0" w:color="auto"/>
            </w:tcBorders>
          </w:tcPr>
          <w:p w14:paraId="0737744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757506D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Doelman &amp; Haanstra, 1986</w:t>
            </w:r>
          </w:p>
        </w:tc>
      </w:tr>
      <w:tr w:rsidR="00632208" w:rsidRPr="0098635C" w14:paraId="18EABE93" w14:textId="77777777" w:rsidTr="00A432B0">
        <w:trPr>
          <w:trHeight w:val="64"/>
        </w:trPr>
        <w:tc>
          <w:tcPr>
            <w:tcW w:w="938" w:type="dxa"/>
            <w:tcBorders>
              <w:top w:val="nil"/>
              <w:left w:val="single" w:sz="12" w:space="0" w:color="auto"/>
              <w:bottom w:val="single" w:sz="8" w:space="0" w:color="auto"/>
              <w:right w:val="single" w:sz="8" w:space="0" w:color="auto"/>
            </w:tcBorders>
          </w:tcPr>
          <w:p w14:paraId="6132E16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77FF159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urease activity</w:t>
            </w:r>
          </w:p>
        </w:tc>
        <w:tc>
          <w:tcPr>
            <w:tcW w:w="2127" w:type="dxa"/>
            <w:tcBorders>
              <w:top w:val="nil"/>
              <w:left w:val="nil"/>
              <w:bottom w:val="single" w:sz="8" w:space="0" w:color="auto"/>
              <w:right w:val="single" w:sz="8" w:space="0" w:color="auto"/>
            </w:tcBorders>
          </w:tcPr>
          <w:p w14:paraId="0FEB6F5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clay</w:t>
            </w:r>
          </w:p>
        </w:tc>
        <w:tc>
          <w:tcPr>
            <w:tcW w:w="567" w:type="dxa"/>
            <w:tcBorders>
              <w:top w:val="nil"/>
              <w:left w:val="nil"/>
              <w:bottom w:val="single" w:sz="8" w:space="0" w:color="auto"/>
              <w:right w:val="single" w:sz="8" w:space="0" w:color="auto"/>
            </w:tcBorders>
          </w:tcPr>
          <w:p w14:paraId="561BF6D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6.8</w:t>
            </w:r>
          </w:p>
        </w:tc>
        <w:tc>
          <w:tcPr>
            <w:tcW w:w="708" w:type="dxa"/>
            <w:tcBorders>
              <w:top w:val="nil"/>
              <w:left w:val="nil"/>
              <w:bottom w:val="single" w:sz="8" w:space="0" w:color="auto"/>
              <w:right w:val="single" w:sz="8" w:space="0" w:color="auto"/>
            </w:tcBorders>
          </w:tcPr>
          <w:p w14:paraId="09DA38F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3.2</w:t>
            </w:r>
          </w:p>
        </w:tc>
        <w:tc>
          <w:tcPr>
            <w:tcW w:w="709" w:type="dxa"/>
            <w:tcBorders>
              <w:top w:val="nil"/>
              <w:left w:val="nil"/>
              <w:bottom w:val="single" w:sz="8" w:space="0" w:color="auto"/>
              <w:right w:val="single" w:sz="8" w:space="0" w:color="auto"/>
            </w:tcBorders>
          </w:tcPr>
          <w:p w14:paraId="13C8AD9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60</w:t>
            </w:r>
          </w:p>
        </w:tc>
        <w:tc>
          <w:tcPr>
            <w:tcW w:w="851" w:type="dxa"/>
            <w:tcBorders>
              <w:top w:val="nil"/>
              <w:left w:val="nil"/>
              <w:bottom w:val="single" w:sz="8" w:space="0" w:color="auto"/>
              <w:right w:val="single" w:sz="8" w:space="0" w:color="auto"/>
            </w:tcBorders>
          </w:tcPr>
          <w:p w14:paraId="14B8E48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52</w:t>
            </w:r>
          </w:p>
        </w:tc>
        <w:tc>
          <w:tcPr>
            <w:tcW w:w="850" w:type="dxa"/>
            <w:tcBorders>
              <w:top w:val="nil"/>
              <w:left w:val="nil"/>
              <w:bottom w:val="single" w:sz="8" w:space="0" w:color="auto"/>
              <w:right w:val="single" w:sz="8" w:space="0" w:color="auto"/>
            </w:tcBorders>
          </w:tcPr>
          <w:p w14:paraId="14240B5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45D43C4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540</w:t>
            </w:r>
          </w:p>
        </w:tc>
        <w:tc>
          <w:tcPr>
            <w:tcW w:w="851" w:type="dxa"/>
            <w:tcBorders>
              <w:top w:val="single" w:sz="8" w:space="0" w:color="auto"/>
              <w:left w:val="nil"/>
              <w:bottom w:val="single" w:sz="8" w:space="0" w:color="auto"/>
              <w:right w:val="single" w:sz="8" w:space="0" w:color="000000"/>
            </w:tcBorders>
          </w:tcPr>
          <w:p w14:paraId="7A19860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520</w:t>
            </w:r>
          </w:p>
        </w:tc>
        <w:tc>
          <w:tcPr>
            <w:tcW w:w="992" w:type="dxa"/>
            <w:tcBorders>
              <w:top w:val="nil"/>
              <w:left w:val="nil"/>
              <w:bottom w:val="single" w:sz="8" w:space="0" w:color="auto"/>
              <w:right w:val="single" w:sz="8" w:space="0" w:color="auto"/>
            </w:tcBorders>
          </w:tcPr>
          <w:p w14:paraId="4037754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2A9B5AF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572</w:t>
            </w:r>
          </w:p>
        </w:tc>
        <w:tc>
          <w:tcPr>
            <w:tcW w:w="992" w:type="dxa"/>
            <w:tcBorders>
              <w:top w:val="nil"/>
              <w:left w:val="nil"/>
              <w:bottom w:val="single" w:sz="8" w:space="0" w:color="auto"/>
              <w:right w:val="single" w:sz="12" w:space="0" w:color="auto"/>
            </w:tcBorders>
          </w:tcPr>
          <w:p w14:paraId="24FCBF3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0F3FAD5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Doelman &amp; Haanstra, 1986</w:t>
            </w:r>
          </w:p>
        </w:tc>
      </w:tr>
      <w:tr w:rsidR="00632208" w:rsidRPr="0098635C" w14:paraId="6C660E04" w14:textId="77777777" w:rsidTr="00A432B0">
        <w:trPr>
          <w:trHeight w:val="64"/>
        </w:trPr>
        <w:tc>
          <w:tcPr>
            <w:tcW w:w="938" w:type="dxa"/>
            <w:tcBorders>
              <w:top w:val="nil"/>
              <w:left w:val="single" w:sz="12" w:space="0" w:color="auto"/>
              <w:bottom w:val="single" w:sz="8" w:space="0" w:color="auto"/>
              <w:right w:val="single" w:sz="8" w:space="0" w:color="auto"/>
            </w:tcBorders>
          </w:tcPr>
          <w:p w14:paraId="009DD59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4216A5B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urease activity</w:t>
            </w:r>
          </w:p>
        </w:tc>
        <w:tc>
          <w:tcPr>
            <w:tcW w:w="2127" w:type="dxa"/>
            <w:tcBorders>
              <w:top w:val="nil"/>
              <w:left w:val="nil"/>
              <w:bottom w:val="single" w:sz="8" w:space="0" w:color="auto"/>
              <w:right w:val="single" w:sz="8" w:space="0" w:color="auto"/>
            </w:tcBorders>
          </w:tcPr>
          <w:p w14:paraId="79E0445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peat</w:t>
            </w:r>
          </w:p>
        </w:tc>
        <w:tc>
          <w:tcPr>
            <w:tcW w:w="567" w:type="dxa"/>
            <w:tcBorders>
              <w:top w:val="nil"/>
              <w:left w:val="nil"/>
              <w:bottom w:val="single" w:sz="8" w:space="0" w:color="auto"/>
              <w:right w:val="single" w:sz="8" w:space="0" w:color="auto"/>
            </w:tcBorders>
          </w:tcPr>
          <w:p w14:paraId="2BAB4B6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4.3</w:t>
            </w:r>
          </w:p>
        </w:tc>
        <w:tc>
          <w:tcPr>
            <w:tcW w:w="708" w:type="dxa"/>
            <w:tcBorders>
              <w:top w:val="nil"/>
              <w:left w:val="nil"/>
              <w:bottom w:val="single" w:sz="8" w:space="0" w:color="auto"/>
              <w:right w:val="single" w:sz="8" w:space="0" w:color="auto"/>
            </w:tcBorders>
          </w:tcPr>
          <w:p w14:paraId="65794B8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12.8</w:t>
            </w:r>
          </w:p>
        </w:tc>
        <w:tc>
          <w:tcPr>
            <w:tcW w:w="709" w:type="dxa"/>
            <w:tcBorders>
              <w:top w:val="nil"/>
              <w:left w:val="nil"/>
              <w:bottom w:val="single" w:sz="8" w:space="0" w:color="auto"/>
              <w:right w:val="single" w:sz="8" w:space="0" w:color="auto"/>
            </w:tcBorders>
          </w:tcPr>
          <w:p w14:paraId="79530C9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w:t>
            </w:r>
          </w:p>
        </w:tc>
        <w:tc>
          <w:tcPr>
            <w:tcW w:w="851" w:type="dxa"/>
            <w:tcBorders>
              <w:top w:val="nil"/>
              <w:left w:val="nil"/>
              <w:bottom w:val="single" w:sz="8" w:space="0" w:color="auto"/>
              <w:right w:val="single" w:sz="8" w:space="0" w:color="auto"/>
            </w:tcBorders>
          </w:tcPr>
          <w:p w14:paraId="021831C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5.5</w:t>
            </w:r>
          </w:p>
        </w:tc>
        <w:tc>
          <w:tcPr>
            <w:tcW w:w="850" w:type="dxa"/>
            <w:tcBorders>
              <w:top w:val="nil"/>
              <w:left w:val="nil"/>
              <w:bottom w:val="single" w:sz="8" w:space="0" w:color="auto"/>
              <w:right w:val="single" w:sz="8" w:space="0" w:color="auto"/>
            </w:tcBorders>
          </w:tcPr>
          <w:p w14:paraId="7539E55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49215E0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540</w:t>
            </w:r>
          </w:p>
        </w:tc>
        <w:tc>
          <w:tcPr>
            <w:tcW w:w="851" w:type="dxa"/>
            <w:tcBorders>
              <w:top w:val="single" w:sz="8" w:space="0" w:color="auto"/>
              <w:left w:val="nil"/>
              <w:bottom w:val="single" w:sz="8" w:space="0" w:color="auto"/>
              <w:right w:val="single" w:sz="8" w:space="0" w:color="000000"/>
            </w:tcBorders>
          </w:tcPr>
          <w:p w14:paraId="2022294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210</w:t>
            </w:r>
          </w:p>
        </w:tc>
        <w:tc>
          <w:tcPr>
            <w:tcW w:w="992" w:type="dxa"/>
            <w:tcBorders>
              <w:top w:val="nil"/>
              <w:left w:val="nil"/>
              <w:bottom w:val="single" w:sz="8" w:space="0" w:color="auto"/>
              <w:right w:val="single" w:sz="8" w:space="0" w:color="auto"/>
            </w:tcBorders>
          </w:tcPr>
          <w:p w14:paraId="5995B19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5ECA441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216</w:t>
            </w:r>
          </w:p>
        </w:tc>
        <w:tc>
          <w:tcPr>
            <w:tcW w:w="992" w:type="dxa"/>
            <w:tcBorders>
              <w:top w:val="nil"/>
              <w:left w:val="nil"/>
              <w:bottom w:val="single" w:sz="8" w:space="0" w:color="auto"/>
              <w:right w:val="single" w:sz="12" w:space="0" w:color="auto"/>
            </w:tcBorders>
          </w:tcPr>
          <w:p w14:paraId="10A42C6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054969A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Doelman &amp; Haanstra, 1986</w:t>
            </w:r>
          </w:p>
        </w:tc>
      </w:tr>
      <w:tr w:rsidR="00632208" w:rsidRPr="0098635C" w14:paraId="1D9592B3" w14:textId="77777777" w:rsidTr="00A432B0">
        <w:trPr>
          <w:trHeight w:val="64"/>
        </w:trPr>
        <w:tc>
          <w:tcPr>
            <w:tcW w:w="938" w:type="dxa"/>
            <w:tcBorders>
              <w:top w:val="nil"/>
              <w:left w:val="single" w:sz="12" w:space="0" w:color="auto"/>
              <w:bottom w:val="single" w:sz="8" w:space="0" w:color="auto"/>
              <w:right w:val="single" w:sz="8" w:space="0" w:color="auto"/>
            </w:tcBorders>
          </w:tcPr>
          <w:p w14:paraId="2234A91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59469D2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respiration</w:t>
            </w:r>
          </w:p>
        </w:tc>
        <w:tc>
          <w:tcPr>
            <w:tcW w:w="2127" w:type="dxa"/>
            <w:tcBorders>
              <w:top w:val="nil"/>
              <w:left w:val="nil"/>
              <w:bottom w:val="single" w:sz="8" w:space="0" w:color="auto"/>
              <w:right w:val="single" w:sz="8" w:space="0" w:color="auto"/>
            </w:tcBorders>
          </w:tcPr>
          <w:p w14:paraId="0507F94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w:t>
            </w:r>
          </w:p>
        </w:tc>
        <w:tc>
          <w:tcPr>
            <w:tcW w:w="567" w:type="dxa"/>
            <w:tcBorders>
              <w:top w:val="nil"/>
              <w:left w:val="nil"/>
              <w:bottom w:val="single" w:sz="8" w:space="0" w:color="auto"/>
              <w:right w:val="single" w:sz="8" w:space="0" w:color="auto"/>
            </w:tcBorders>
          </w:tcPr>
          <w:p w14:paraId="1DF2C1E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7.7</w:t>
            </w:r>
          </w:p>
        </w:tc>
        <w:tc>
          <w:tcPr>
            <w:tcW w:w="708" w:type="dxa"/>
            <w:tcBorders>
              <w:top w:val="nil"/>
              <w:left w:val="nil"/>
              <w:bottom w:val="single" w:sz="8" w:space="0" w:color="auto"/>
              <w:right w:val="single" w:sz="8" w:space="0" w:color="auto"/>
            </w:tcBorders>
          </w:tcPr>
          <w:p w14:paraId="0506969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1.6</w:t>
            </w:r>
          </w:p>
        </w:tc>
        <w:tc>
          <w:tcPr>
            <w:tcW w:w="709" w:type="dxa"/>
            <w:tcBorders>
              <w:top w:val="nil"/>
              <w:left w:val="nil"/>
              <w:bottom w:val="single" w:sz="8" w:space="0" w:color="auto"/>
              <w:right w:val="single" w:sz="8" w:space="0" w:color="auto"/>
            </w:tcBorders>
          </w:tcPr>
          <w:p w14:paraId="68CBCB2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w:t>
            </w:r>
          </w:p>
        </w:tc>
        <w:tc>
          <w:tcPr>
            <w:tcW w:w="851" w:type="dxa"/>
            <w:tcBorders>
              <w:top w:val="nil"/>
              <w:left w:val="nil"/>
              <w:bottom w:val="single" w:sz="8" w:space="0" w:color="auto"/>
              <w:right w:val="single" w:sz="8" w:space="0" w:color="auto"/>
            </w:tcBorders>
          </w:tcPr>
          <w:p w14:paraId="6D3CE4F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850" w:type="dxa"/>
            <w:tcBorders>
              <w:top w:val="nil"/>
              <w:left w:val="nil"/>
              <w:bottom w:val="single" w:sz="8" w:space="0" w:color="auto"/>
              <w:right w:val="single" w:sz="8" w:space="0" w:color="auto"/>
            </w:tcBorders>
          </w:tcPr>
          <w:p w14:paraId="5428BD1C"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4.4</w:t>
            </w:r>
          </w:p>
        </w:tc>
        <w:tc>
          <w:tcPr>
            <w:tcW w:w="992" w:type="dxa"/>
            <w:tcBorders>
              <w:top w:val="nil"/>
              <w:left w:val="nil"/>
              <w:bottom w:val="single" w:sz="8" w:space="0" w:color="auto"/>
              <w:right w:val="single" w:sz="8" w:space="0" w:color="auto"/>
            </w:tcBorders>
          </w:tcPr>
          <w:p w14:paraId="39EBABD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490</w:t>
            </w:r>
          </w:p>
        </w:tc>
        <w:tc>
          <w:tcPr>
            <w:tcW w:w="851" w:type="dxa"/>
            <w:tcBorders>
              <w:top w:val="single" w:sz="8" w:space="0" w:color="auto"/>
              <w:left w:val="nil"/>
              <w:bottom w:val="single" w:sz="8" w:space="0" w:color="auto"/>
              <w:right w:val="single" w:sz="8" w:space="0" w:color="000000"/>
            </w:tcBorders>
          </w:tcPr>
          <w:p w14:paraId="212D558B"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150</w:t>
            </w:r>
          </w:p>
        </w:tc>
        <w:tc>
          <w:tcPr>
            <w:tcW w:w="992" w:type="dxa"/>
            <w:tcBorders>
              <w:top w:val="nil"/>
              <w:left w:val="nil"/>
              <w:bottom w:val="single" w:sz="8" w:space="0" w:color="auto"/>
              <w:right w:val="single" w:sz="8" w:space="0" w:color="auto"/>
            </w:tcBorders>
          </w:tcPr>
          <w:p w14:paraId="63376C9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604CE3EB"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154</w:t>
            </w:r>
          </w:p>
        </w:tc>
        <w:tc>
          <w:tcPr>
            <w:tcW w:w="992" w:type="dxa"/>
            <w:tcBorders>
              <w:top w:val="nil"/>
              <w:left w:val="nil"/>
              <w:bottom w:val="single" w:sz="8" w:space="0" w:color="auto"/>
              <w:right w:val="single" w:sz="12" w:space="0" w:color="auto"/>
            </w:tcBorders>
          </w:tcPr>
          <w:p w14:paraId="00D0A82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5FCEDA3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Doelman &amp; Haanstra, 1984</w:t>
            </w:r>
          </w:p>
        </w:tc>
      </w:tr>
      <w:tr w:rsidR="00632208" w:rsidRPr="0098635C" w14:paraId="304B67D4" w14:textId="77777777" w:rsidTr="00A432B0">
        <w:trPr>
          <w:trHeight w:val="64"/>
        </w:trPr>
        <w:tc>
          <w:tcPr>
            <w:tcW w:w="938" w:type="dxa"/>
            <w:tcBorders>
              <w:top w:val="nil"/>
              <w:left w:val="single" w:sz="12" w:space="0" w:color="auto"/>
              <w:bottom w:val="single" w:sz="8" w:space="0" w:color="auto"/>
              <w:right w:val="single" w:sz="8" w:space="0" w:color="auto"/>
            </w:tcBorders>
          </w:tcPr>
          <w:p w14:paraId="0E29968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6C7F6C3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respiration</w:t>
            </w:r>
          </w:p>
        </w:tc>
        <w:tc>
          <w:tcPr>
            <w:tcW w:w="2127" w:type="dxa"/>
            <w:tcBorders>
              <w:top w:val="nil"/>
              <w:left w:val="nil"/>
              <w:bottom w:val="single" w:sz="8" w:space="0" w:color="auto"/>
              <w:right w:val="single" w:sz="8" w:space="0" w:color="auto"/>
            </w:tcBorders>
          </w:tcPr>
          <w:p w14:paraId="6F66566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loam</w:t>
            </w:r>
          </w:p>
        </w:tc>
        <w:tc>
          <w:tcPr>
            <w:tcW w:w="567" w:type="dxa"/>
            <w:tcBorders>
              <w:top w:val="nil"/>
              <w:left w:val="nil"/>
              <w:bottom w:val="single" w:sz="8" w:space="0" w:color="auto"/>
              <w:right w:val="single" w:sz="8" w:space="0" w:color="auto"/>
            </w:tcBorders>
          </w:tcPr>
          <w:p w14:paraId="440DE66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5.1</w:t>
            </w:r>
          </w:p>
        </w:tc>
        <w:tc>
          <w:tcPr>
            <w:tcW w:w="708" w:type="dxa"/>
            <w:tcBorders>
              <w:top w:val="nil"/>
              <w:left w:val="nil"/>
              <w:bottom w:val="single" w:sz="8" w:space="0" w:color="auto"/>
              <w:right w:val="single" w:sz="8" w:space="0" w:color="auto"/>
            </w:tcBorders>
          </w:tcPr>
          <w:p w14:paraId="644D5C7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5.7</w:t>
            </w:r>
          </w:p>
        </w:tc>
        <w:tc>
          <w:tcPr>
            <w:tcW w:w="709" w:type="dxa"/>
            <w:tcBorders>
              <w:top w:val="nil"/>
              <w:left w:val="nil"/>
              <w:bottom w:val="single" w:sz="8" w:space="0" w:color="auto"/>
              <w:right w:val="single" w:sz="8" w:space="0" w:color="auto"/>
            </w:tcBorders>
          </w:tcPr>
          <w:p w14:paraId="06E1AAB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w:t>
            </w:r>
          </w:p>
        </w:tc>
        <w:tc>
          <w:tcPr>
            <w:tcW w:w="851" w:type="dxa"/>
            <w:tcBorders>
              <w:top w:val="nil"/>
              <w:left w:val="nil"/>
              <w:bottom w:val="single" w:sz="8" w:space="0" w:color="auto"/>
              <w:right w:val="single" w:sz="8" w:space="0" w:color="auto"/>
            </w:tcBorders>
          </w:tcPr>
          <w:p w14:paraId="1A5EBB4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6.5</w:t>
            </w:r>
          </w:p>
        </w:tc>
        <w:tc>
          <w:tcPr>
            <w:tcW w:w="850" w:type="dxa"/>
            <w:tcBorders>
              <w:top w:val="nil"/>
              <w:left w:val="nil"/>
              <w:bottom w:val="single" w:sz="8" w:space="0" w:color="auto"/>
              <w:right w:val="single" w:sz="8" w:space="0" w:color="auto"/>
            </w:tcBorders>
          </w:tcPr>
          <w:p w14:paraId="3F440869"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 </w:t>
            </w:r>
          </w:p>
        </w:tc>
        <w:tc>
          <w:tcPr>
            <w:tcW w:w="992" w:type="dxa"/>
            <w:tcBorders>
              <w:top w:val="nil"/>
              <w:left w:val="nil"/>
              <w:bottom w:val="single" w:sz="8" w:space="0" w:color="auto"/>
              <w:right w:val="single" w:sz="8" w:space="0" w:color="auto"/>
            </w:tcBorders>
          </w:tcPr>
          <w:p w14:paraId="300367A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301</w:t>
            </w:r>
          </w:p>
        </w:tc>
        <w:tc>
          <w:tcPr>
            <w:tcW w:w="851" w:type="dxa"/>
            <w:tcBorders>
              <w:top w:val="single" w:sz="8" w:space="0" w:color="auto"/>
              <w:left w:val="nil"/>
              <w:bottom w:val="single" w:sz="8" w:space="0" w:color="auto"/>
              <w:right w:val="single" w:sz="8" w:space="0" w:color="000000"/>
            </w:tcBorders>
          </w:tcPr>
          <w:p w14:paraId="0DAC64C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29A2405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&lt;150</w:t>
            </w:r>
          </w:p>
        </w:tc>
        <w:tc>
          <w:tcPr>
            <w:tcW w:w="851" w:type="dxa"/>
            <w:tcBorders>
              <w:top w:val="single" w:sz="8" w:space="0" w:color="auto"/>
              <w:left w:val="nil"/>
              <w:bottom w:val="single" w:sz="8" w:space="0" w:color="auto"/>
              <w:right w:val="single" w:sz="8" w:space="0" w:color="000000"/>
            </w:tcBorders>
          </w:tcPr>
          <w:p w14:paraId="508A351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12" w:space="0" w:color="auto"/>
            </w:tcBorders>
          </w:tcPr>
          <w:p w14:paraId="6123D97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&lt;156.5</w:t>
            </w:r>
          </w:p>
        </w:tc>
        <w:tc>
          <w:tcPr>
            <w:tcW w:w="2410" w:type="dxa"/>
            <w:tcBorders>
              <w:top w:val="nil"/>
              <w:left w:val="nil"/>
              <w:bottom w:val="single" w:sz="8" w:space="0" w:color="auto"/>
              <w:right w:val="single" w:sz="12" w:space="0" w:color="auto"/>
            </w:tcBorders>
          </w:tcPr>
          <w:p w14:paraId="375AC52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Doelman &amp; Haanstra, 1984</w:t>
            </w:r>
          </w:p>
        </w:tc>
      </w:tr>
      <w:tr w:rsidR="00632208" w:rsidRPr="0098635C" w14:paraId="5956A94F" w14:textId="77777777" w:rsidTr="00A432B0">
        <w:trPr>
          <w:trHeight w:val="64"/>
        </w:trPr>
        <w:tc>
          <w:tcPr>
            <w:tcW w:w="938" w:type="dxa"/>
            <w:tcBorders>
              <w:top w:val="nil"/>
              <w:left w:val="single" w:sz="12" w:space="0" w:color="auto"/>
              <w:bottom w:val="single" w:sz="8" w:space="0" w:color="auto"/>
              <w:right w:val="single" w:sz="8" w:space="0" w:color="auto"/>
            </w:tcBorders>
          </w:tcPr>
          <w:p w14:paraId="57DAFBF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0702202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respiration</w:t>
            </w:r>
          </w:p>
        </w:tc>
        <w:tc>
          <w:tcPr>
            <w:tcW w:w="2127" w:type="dxa"/>
            <w:tcBorders>
              <w:top w:val="nil"/>
              <w:left w:val="nil"/>
              <w:bottom w:val="single" w:sz="8" w:space="0" w:color="auto"/>
              <w:right w:val="single" w:sz="8" w:space="0" w:color="auto"/>
            </w:tcBorders>
          </w:tcPr>
          <w:p w14:paraId="7798730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silty loam</w:t>
            </w:r>
          </w:p>
        </w:tc>
        <w:tc>
          <w:tcPr>
            <w:tcW w:w="567" w:type="dxa"/>
            <w:tcBorders>
              <w:top w:val="nil"/>
              <w:left w:val="nil"/>
              <w:bottom w:val="single" w:sz="8" w:space="0" w:color="auto"/>
              <w:right w:val="single" w:sz="8" w:space="0" w:color="auto"/>
            </w:tcBorders>
          </w:tcPr>
          <w:p w14:paraId="2E828F5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7.4</w:t>
            </w:r>
          </w:p>
        </w:tc>
        <w:tc>
          <w:tcPr>
            <w:tcW w:w="708" w:type="dxa"/>
            <w:tcBorders>
              <w:top w:val="nil"/>
              <w:left w:val="nil"/>
              <w:bottom w:val="single" w:sz="8" w:space="0" w:color="auto"/>
              <w:right w:val="single" w:sz="8" w:space="0" w:color="auto"/>
            </w:tcBorders>
          </w:tcPr>
          <w:p w14:paraId="61C2D44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2.4</w:t>
            </w:r>
          </w:p>
        </w:tc>
        <w:tc>
          <w:tcPr>
            <w:tcW w:w="709" w:type="dxa"/>
            <w:tcBorders>
              <w:top w:val="nil"/>
              <w:left w:val="nil"/>
              <w:bottom w:val="single" w:sz="8" w:space="0" w:color="auto"/>
              <w:right w:val="single" w:sz="8" w:space="0" w:color="auto"/>
            </w:tcBorders>
          </w:tcPr>
          <w:p w14:paraId="0A576EE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851" w:type="dxa"/>
            <w:tcBorders>
              <w:top w:val="nil"/>
              <w:left w:val="nil"/>
              <w:bottom w:val="single" w:sz="8" w:space="0" w:color="auto"/>
              <w:right w:val="single" w:sz="8" w:space="0" w:color="auto"/>
            </w:tcBorders>
          </w:tcPr>
          <w:p w14:paraId="57477BF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22</w:t>
            </w:r>
          </w:p>
        </w:tc>
        <w:tc>
          <w:tcPr>
            <w:tcW w:w="850" w:type="dxa"/>
            <w:tcBorders>
              <w:top w:val="nil"/>
              <w:left w:val="nil"/>
              <w:bottom w:val="single" w:sz="8" w:space="0" w:color="auto"/>
              <w:right w:val="single" w:sz="8" w:space="0" w:color="auto"/>
            </w:tcBorders>
          </w:tcPr>
          <w:p w14:paraId="6C6AEACC"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 </w:t>
            </w:r>
          </w:p>
        </w:tc>
        <w:tc>
          <w:tcPr>
            <w:tcW w:w="992" w:type="dxa"/>
            <w:tcBorders>
              <w:top w:val="nil"/>
              <w:left w:val="nil"/>
              <w:bottom w:val="single" w:sz="8" w:space="0" w:color="auto"/>
              <w:right w:val="single" w:sz="8" w:space="0" w:color="auto"/>
            </w:tcBorders>
          </w:tcPr>
          <w:p w14:paraId="5CBE85E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630</w:t>
            </w:r>
          </w:p>
        </w:tc>
        <w:tc>
          <w:tcPr>
            <w:tcW w:w="851" w:type="dxa"/>
            <w:tcBorders>
              <w:top w:val="single" w:sz="8" w:space="0" w:color="auto"/>
              <w:left w:val="nil"/>
              <w:bottom w:val="single" w:sz="8" w:space="0" w:color="auto"/>
              <w:right w:val="single" w:sz="8" w:space="0" w:color="000000"/>
            </w:tcBorders>
          </w:tcPr>
          <w:p w14:paraId="1424ABA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5DD9848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8,000</w:t>
            </w:r>
          </w:p>
        </w:tc>
        <w:tc>
          <w:tcPr>
            <w:tcW w:w="851" w:type="dxa"/>
            <w:tcBorders>
              <w:top w:val="single" w:sz="8" w:space="0" w:color="auto"/>
              <w:left w:val="nil"/>
              <w:bottom w:val="single" w:sz="8" w:space="0" w:color="auto"/>
              <w:right w:val="single" w:sz="8" w:space="0" w:color="000000"/>
            </w:tcBorders>
          </w:tcPr>
          <w:p w14:paraId="7CBEE41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12" w:space="0" w:color="auto"/>
            </w:tcBorders>
          </w:tcPr>
          <w:p w14:paraId="42425D5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8,022</w:t>
            </w:r>
          </w:p>
        </w:tc>
        <w:tc>
          <w:tcPr>
            <w:tcW w:w="2410" w:type="dxa"/>
            <w:tcBorders>
              <w:top w:val="nil"/>
              <w:left w:val="nil"/>
              <w:bottom w:val="single" w:sz="8" w:space="0" w:color="auto"/>
              <w:right w:val="single" w:sz="12" w:space="0" w:color="auto"/>
            </w:tcBorders>
          </w:tcPr>
          <w:p w14:paraId="0704AC6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Doelman &amp; Haanstra, 1984</w:t>
            </w:r>
          </w:p>
        </w:tc>
      </w:tr>
      <w:tr w:rsidR="00632208" w:rsidRPr="0098635C" w14:paraId="5FF9F9EF" w14:textId="77777777" w:rsidTr="00A432B0">
        <w:trPr>
          <w:trHeight w:val="71"/>
        </w:trPr>
        <w:tc>
          <w:tcPr>
            <w:tcW w:w="938" w:type="dxa"/>
            <w:tcBorders>
              <w:top w:val="nil"/>
              <w:left w:val="single" w:sz="12" w:space="0" w:color="auto"/>
              <w:bottom w:val="single" w:sz="8" w:space="0" w:color="auto"/>
              <w:right w:val="single" w:sz="8" w:space="0" w:color="auto"/>
            </w:tcBorders>
          </w:tcPr>
          <w:p w14:paraId="6CAA16E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543CDE7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respiration</w:t>
            </w:r>
          </w:p>
        </w:tc>
        <w:tc>
          <w:tcPr>
            <w:tcW w:w="2127" w:type="dxa"/>
            <w:tcBorders>
              <w:top w:val="nil"/>
              <w:left w:val="nil"/>
              <w:bottom w:val="single" w:sz="8" w:space="0" w:color="auto"/>
              <w:right w:val="single" w:sz="8" w:space="0" w:color="auto"/>
            </w:tcBorders>
          </w:tcPr>
          <w:p w14:paraId="3E2FCA4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clay</w:t>
            </w:r>
          </w:p>
        </w:tc>
        <w:tc>
          <w:tcPr>
            <w:tcW w:w="567" w:type="dxa"/>
            <w:tcBorders>
              <w:top w:val="nil"/>
              <w:left w:val="nil"/>
              <w:bottom w:val="single" w:sz="8" w:space="0" w:color="auto"/>
              <w:right w:val="single" w:sz="8" w:space="0" w:color="auto"/>
            </w:tcBorders>
          </w:tcPr>
          <w:p w14:paraId="4A6F1AF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6.8</w:t>
            </w:r>
          </w:p>
        </w:tc>
        <w:tc>
          <w:tcPr>
            <w:tcW w:w="708" w:type="dxa"/>
            <w:tcBorders>
              <w:top w:val="nil"/>
              <w:left w:val="nil"/>
              <w:bottom w:val="single" w:sz="8" w:space="0" w:color="auto"/>
              <w:right w:val="single" w:sz="8" w:space="0" w:color="auto"/>
            </w:tcBorders>
          </w:tcPr>
          <w:p w14:paraId="23698F0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3.2</w:t>
            </w:r>
          </w:p>
        </w:tc>
        <w:tc>
          <w:tcPr>
            <w:tcW w:w="709" w:type="dxa"/>
            <w:tcBorders>
              <w:top w:val="nil"/>
              <w:left w:val="nil"/>
              <w:bottom w:val="single" w:sz="8" w:space="0" w:color="auto"/>
              <w:right w:val="single" w:sz="8" w:space="0" w:color="auto"/>
            </w:tcBorders>
          </w:tcPr>
          <w:p w14:paraId="239FF21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60</w:t>
            </w:r>
          </w:p>
        </w:tc>
        <w:tc>
          <w:tcPr>
            <w:tcW w:w="851" w:type="dxa"/>
            <w:tcBorders>
              <w:top w:val="nil"/>
              <w:left w:val="nil"/>
              <w:bottom w:val="single" w:sz="8" w:space="0" w:color="auto"/>
              <w:right w:val="single" w:sz="8" w:space="0" w:color="auto"/>
            </w:tcBorders>
          </w:tcPr>
          <w:p w14:paraId="4A16C58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52</w:t>
            </w:r>
          </w:p>
        </w:tc>
        <w:tc>
          <w:tcPr>
            <w:tcW w:w="850" w:type="dxa"/>
            <w:tcBorders>
              <w:top w:val="nil"/>
              <w:left w:val="nil"/>
              <w:bottom w:val="single" w:sz="8" w:space="0" w:color="auto"/>
              <w:right w:val="single" w:sz="8" w:space="0" w:color="auto"/>
            </w:tcBorders>
          </w:tcPr>
          <w:p w14:paraId="66A3B057"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 </w:t>
            </w:r>
          </w:p>
        </w:tc>
        <w:tc>
          <w:tcPr>
            <w:tcW w:w="992" w:type="dxa"/>
            <w:tcBorders>
              <w:top w:val="nil"/>
              <w:left w:val="nil"/>
              <w:bottom w:val="single" w:sz="8" w:space="0" w:color="auto"/>
              <w:right w:val="single" w:sz="8" w:space="0" w:color="auto"/>
            </w:tcBorders>
          </w:tcPr>
          <w:p w14:paraId="30B0E89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560</w:t>
            </w:r>
          </w:p>
        </w:tc>
        <w:tc>
          <w:tcPr>
            <w:tcW w:w="851" w:type="dxa"/>
            <w:tcBorders>
              <w:top w:val="single" w:sz="8" w:space="0" w:color="auto"/>
              <w:left w:val="nil"/>
              <w:bottom w:val="single" w:sz="8" w:space="0" w:color="auto"/>
              <w:right w:val="single" w:sz="8" w:space="0" w:color="000000"/>
            </w:tcBorders>
          </w:tcPr>
          <w:p w14:paraId="0DD7299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1264608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8,000</w:t>
            </w:r>
          </w:p>
        </w:tc>
        <w:tc>
          <w:tcPr>
            <w:tcW w:w="851" w:type="dxa"/>
            <w:tcBorders>
              <w:top w:val="single" w:sz="8" w:space="0" w:color="auto"/>
              <w:left w:val="nil"/>
              <w:bottom w:val="single" w:sz="8" w:space="0" w:color="auto"/>
              <w:right w:val="single" w:sz="8" w:space="0" w:color="000000"/>
            </w:tcBorders>
          </w:tcPr>
          <w:p w14:paraId="2FD8C60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12" w:space="0" w:color="auto"/>
            </w:tcBorders>
          </w:tcPr>
          <w:p w14:paraId="2A310AD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8,052</w:t>
            </w:r>
          </w:p>
        </w:tc>
        <w:tc>
          <w:tcPr>
            <w:tcW w:w="2410" w:type="dxa"/>
            <w:tcBorders>
              <w:top w:val="nil"/>
              <w:left w:val="nil"/>
              <w:bottom w:val="single" w:sz="8" w:space="0" w:color="auto"/>
              <w:right w:val="single" w:sz="12" w:space="0" w:color="auto"/>
            </w:tcBorders>
          </w:tcPr>
          <w:p w14:paraId="3679212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Doelman &amp; Haanstra, 1984</w:t>
            </w:r>
          </w:p>
        </w:tc>
      </w:tr>
      <w:tr w:rsidR="00632208" w:rsidRPr="0098635C" w14:paraId="7240BDE3" w14:textId="77777777" w:rsidTr="00A432B0">
        <w:trPr>
          <w:trHeight w:val="64"/>
        </w:trPr>
        <w:tc>
          <w:tcPr>
            <w:tcW w:w="938" w:type="dxa"/>
            <w:tcBorders>
              <w:top w:val="nil"/>
              <w:left w:val="single" w:sz="12" w:space="0" w:color="auto"/>
              <w:bottom w:val="single" w:sz="8" w:space="0" w:color="auto"/>
              <w:right w:val="single" w:sz="8" w:space="0" w:color="auto"/>
            </w:tcBorders>
          </w:tcPr>
          <w:p w14:paraId="13F6301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669F121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respiration</w:t>
            </w:r>
          </w:p>
        </w:tc>
        <w:tc>
          <w:tcPr>
            <w:tcW w:w="2127" w:type="dxa"/>
            <w:tcBorders>
              <w:top w:val="nil"/>
              <w:left w:val="nil"/>
              <w:bottom w:val="single" w:sz="8" w:space="0" w:color="auto"/>
              <w:right w:val="single" w:sz="8" w:space="0" w:color="auto"/>
            </w:tcBorders>
          </w:tcPr>
          <w:p w14:paraId="7F86816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peat</w:t>
            </w:r>
          </w:p>
        </w:tc>
        <w:tc>
          <w:tcPr>
            <w:tcW w:w="567" w:type="dxa"/>
            <w:tcBorders>
              <w:top w:val="nil"/>
              <w:left w:val="nil"/>
              <w:bottom w:val="single" w:sz="8" w:space="0" w:color="auto"/>
              <w:right w:val="single" w:sz="8" w:space="0" w:color="auto"/>
            </w:tcBorders>
          </w:tcPr>
          <w:p w14:paraId="661F465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4.3</w:t>
            </w:r>
          </w:p>
        </w:tc>
        <w:tc>
          <w:tcPr>
            <w:tcW w:w="708" w:type="dxa"/>
            <w:tcBorders>
              <w:top w:val="nil"/>
              <w:left w:val="nil"/>
              <w:bottom w:val="single" w:sz="8" w:space="0" w:color="auto"/>
              <w:right w:val="single" w:sz="8" w:space="0" w:color="auto"/>
            </w:tcBorders>
          </w:tcPr>
          <w:p w14:paraId="58D9CC5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12.8</w:t>
            </w:r>
          </w:p>
        </w:tc>
        <w:tc>
          <w:tcPr>
            <w:tcW w:w="709" w:type="dxa"/>
            <w:tcBorders>
              <w:top w:val="nil"/>
              <w:left w:val="nil"/>
              <w:bottom w:val="single" w:sz="8" w:space="0" w:color="auto"/>
              <w:right w:val="single" w:sz="8" w:space="0" w:color="auto"/>
            </w:tcBorders>
          </w:tcPr>
          <w:p w14:paraId="368239C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w:t>
            </w:r>
          </w:p>
        </w:tc>
        <w:tc>
          <w:tcPr>
            <w:tcW w:w="851" w:type="dxa"/>
            <w:tcBorders>
              <w:top w:val="nil"/>
              <w:left w:val="nil"/>
              <w:bottom w:val="single" w:sz="8" w:space="0" w:color="auto"/>
              <w:right w:val="single" w:sz="8" w:space="0" w:color="auto"/>
            </w:tcBorders>
          </w:tcPr>
          <w:p w14:paraId="3CEF0B9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5.5</w:t>
            </w:r>
          </w:p>
        </w:tc>
        <w:tc>
          <w:tcPr>
            <w:tcW w:w="850" w:type="dxa"/>
            <w:tcBorders>
              <w:top w:val="nil"/>
              <w:left w:val="nil"/>
              <w:bottom w:val="single" w:sz="8" w:space="0" w:color="auto"/>
              <w:right w:val="single" w:sz="8" w:space="0" w:color="auto"/>
            </w:tcBorders>
          </w:tcPr>
          <w:p w14:paraId="399B7AB7"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14.5</w:t>
            </w:r>
          </w:p>
        </w:tc>
        <w:tc>
          <w:tcPr>
            <w:tcW w:w="992" w:type="dxa"/>
            <w:tcBorders>
              <w:top w:val="nil"/>
              <w:left w:val="nil"/>
              <w:bottom w:val="single" w:sz="8" w:space="0" w:color="auto"/>
              <w:right w:val="single" w:sz="8" w:space="0" w:color="auto"/>
            </w:tcBorders>
          </w:tcPr>
          <w:p w14:paraId="1CBF8B6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574</w:t>
            </w:r>
          </w:p>
        </w:tc>
        <w:tc>
          <w:tcPr>
            <w:tcW w:w="851" w:type="dxa"/>
            <w:tcBorders>
              <w:top w:val="single" w:sz="8" w:space="0" w:color="auto"/>
              <w:left w:val="nil"/>
              <w:bottom w:val="single" w:sz="8" w:space="0" w:color="auto"/>
              <w:right w:val="single" w:sz="8" w:space="0" w:color="000000"/>
            </w:tcBorders>
          </w:tcPr>
          <w:p w14:paraId="7B54E9B4"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400</w:t>
            </w:r>
          </w:p>
        </w:tc>
        <w:tc>
          <w:tcPr>
            <w:tcW w:w="992" w:type="dxa"/>
            <w:tcBorders>
              <w:top w:val="nil"/>
              <w:left w:val="nil"/>
              <w:bottom w:val="single" w:sz="8" w:space="0" w:color="auto"/>
              <w:right w:val="single" w:sz="8" w:space="0" w:color="auto"/>
            </w:tcBorders>
          </w:tcPr>
          <w:p w14:paraId="03968A1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413B6267"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406</w:t>
            </w:r>
          </w:p>
        </w:tc>
        <w:tc>
          <w:tcPr>
            <w:tcW w:w="992" w:type="dxa"/>
            <w:tcBorders>
              <w:top w:val="nil"/>
              <w:left w:val="nil"/>
              <w:bottom w:val="single" w:sz="8" w:space="0" w:color="auto"/>
              <w:right w:val="single" w:sz="12" w:space="0" w:color="auto"/>
            </w:tcBorders>
          </w:tcPr>
          <w:p w14:paraId="1E3AD40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51E5A6E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Doelman &amp; Haanstra, 1984</w:t>
            </w:r>
          </w:p>
        </w:tc>
      </w:tr>
      <w:tr w:rsidR="00632208" w:rsidRPr="0098635C" w14:paraId="62F2127F" w14:textId="77777777" w:rsidTr="00A432B0">
        <w:trPr>
          <w:trHeight w:val="65"/>
        </w:trPr>
        <w:tc>
          <w:tcPr>
            <w:tcW w:w="938" w:type="dxa"/>
            <w:tcBorders>
              <w:top w:val="nil"/>
              <w:left w:val="single" w:sz="12" w:space="0" w:color="auto"/>
              <w:bottom w:val="single" w:sz="8" w:space="0" w:color="auto"/>
              <w:right w:val="single" w:sz="8" w:space="0" w:color="auto"/>
            </w:tcBorders>
          </w:tcPr>
          <w:p w14:paraId="38C1A2B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778C9DB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arylsulphatase activity</w:t>
            </w:r>
          </w:p>
        </w:tc>
        <w:tc>
          <w:tcPr>
            <w:tcW w:w="2127" w:type="dxa"/>
            <w:tcBorders>
              <w:top w:val="nil"/>
              <w:left w:val="nil"/>
              <w:bottom w:val="single" w:sz="8" w:space="0" w:color="auto"/>
              <w:right w:val="single" w:sz="8" w:space="0" w:color="auto"/>
            </w:tcBorders>
          </w:tcPr>
          <w:p w14:paraId="688CA2F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loam</w:t>
            </w:r>
          </w:p>
        </w:tc>
        <w:tc>
          <w:tcPr>
            <w:tcW w:w="567" w:type="dxa"/>
            <w:tcBorders>
              <w:top w:val="nil"/>
              <w:left w:val="nil"/>
              <w:bottom w:val="single" w:sz="8" w:space="0" w:color="auto"/>
              <w:right w:val="single" w:sz="8" w:space="0" w:color="auto"/>
            </w:tcBorders>
          </w:tcPr>
          <w:p w14:paraId="7654E43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5.1</w:t>
            </w:r>
          </w:p>
        </w:tc>
        <w:tc>
          <w:tcPr>
            <w:tcW w:w="708" w:type="dxa"/>
            <w:tcBorders>
              <w:top w:val="nil"/>
              <w:left w:val="nil"/>
              <w:bottom w:val="single" w:sz="8" w:space="0" w:color="auto"/>
              <w:right w:val="single" w:sz="8" w:space="0" w:color="auto"/>
            </w:tcBorders>
          </w:tcPr>
          <w:p w14:paraId="31C460A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5.7</w:t>
            </w:r>
          </w:p>
        </w:tc>
        <w:tc>
          <w:tcPr>
            <w:tcW w:w="709" w:type="dxa"/>
            <w:tcBorders>
              <w:top w:val="nil"/>
              <w:left w:val="nil"/>
              <w:bottom w:val="single" w:sz="8" w:space="0" w:color="auto"/>
              <w:right w:val="single" w:sz="8" w:space="0" w:color="auto"/>
            </w:tcBorders>
          </w:tcPr>
          <w:p w14:paraId="55BBFF7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w:t>
            </w:r>
          </w:p>
        </w:tc>
        <w:tc>
          <w:tcPr>
            <w:tcW w:w="851" w:type="dxa"/>
            <w:tcBorders>
              <w:top w:val="nil"/>
              <w:left w:val="nil"/>
              <w:bottom w:val="single" w:sz="8" w:space="0" w:color="auto"/>
              <w:right w:val="single" w:sz="8" w:space="0" w:color="auto"/>
            </w:tcBorders>
          </w:tcPr>
          <w:p w14:paraId="28455A0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6.5</w:t>
            </w:r>
          </w:p>
        </w:tc>
        <w:tc>
          <w:tcPr>
            <w:tcW w:w="850" w:type="dxa"/>
            <w:tcBorders>
              <w:top w:val="nil"/>
              <w:left w:val="nil"/>
              <w:bottom w:val="single" w:sz="8" w:space="0" w:color="auto"/>
              <w:right w:val="single" w:sz="8" w:space="0" w:color="auto"/>
            </w:tcBorders>
          </w:tcPr>
          <w:p w14:paraId="079C269A"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 </w:t>
            </w:r>
          </w:p>
        </w:tc>
        <w:tc>
          <w:tcPr>
            <w:tcW w:w="992" w:type="dxa"/>
            <w:tcBorders>
              <w:top w:val="nil"/>
              <w:left w:val="nil"/>
              <w:bottom w:val="single" w:sz="8" w:space="0" w:color="auto"/>
              <w:right w:val="single" w:sz="8" w:space="0" w:color="auto"/>
            </w:tcBorders>
          </w:tcPr>
          <w:p w14:paraId="0C8183D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540</w:t>
            </w:r>
          </w:p>
        </w:tc>
        <w:tc>
          <w:tcPr>
            <w:tcW w:w="851" w:type="dxa"/>
            <w:tcBorders>
              <w:top w:val="single" w:sz="8" w:space="0" w:color="auto"/>
              <w:left w:val="nil"/>
              <w:bottom w:val="single" w:sz="8" w:space="0" w:color="auto"/>
              <w:right w:val="single" w:sz="8" w:space="0" w:color="000000"/>
            </w:tcBorders>
          </w:tcPr>
          <w:p w14:paraId="5FAAA04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347</w:t>
            </w:r>
          </w:p>
        </w:tc>
        <w:tc>
          <w:tcPr>
            <w:tcW w:w="992" w:type="dxa"/>
            <w:tcBorders>
              <w:top w:val="nil"/>
              <w:left w:val="nil"/>
              <w:bottom w:val="single" w:sz="8" w:space="0" w:color="auto"/>
              <w:right w:val="single" w:sz="8" w:space="0" w:color="auto"/>
            </w:tcBorders>
          </w:tcPr>
          <w:p w14:paraId="2FD4665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0267E71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354</w:t>
            </w:r>
          </w:p>
        </w:tc>
        <w:tc>
          <w:tcPr>
            <w:tcW w:w="992" w:type="dxa"/>
            <w:tcBorders>
              <w:top w:val="nil"/>
              <w:left w:val="nil"/>
              <w:bottom w:val="single" w:sz="8" w:space="0" w:color="auto"/>
              <w:right w:val="single" w:sz="12" w:space="0" w:color="auto"/>
            </w:tcBorders>
          </w:tcPr>
          <w:p w14:paraId="67180C2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20972EF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Haanstra &amp; Doelman, 1991</w:t>
            </w:r>
          </w:p>
        </w:tc>
      </w:tr>
      <w:tr w:rsidR="00632208" w:rsidRPr="0098635C" w14:paraId="789DCD65" w14:textId="77777777" w:rsidTr="00A432B0">
        <w:trPr>
          <w:trHeight w:val="64"/>
        </w:trPr>
        <w:tc>
          <w:tcPr>
            <w:tcW w:w="938" w:type="dxa"/>
            <w:tcBorders>
              <w:top w:val="nil"/>
              <w:left w:val="single" w:sz="12" w:space="0" w:color="auto"/>
              <w:bottom w:val="single" w:sz="8" w:space="0" w:color="auto"/>
              <w:right w:val="single" w:sz="8" w:space="0" w:color="auto"/>
            </w:tcBorders>
          </w:tcPr>
          <w:p w14:paraId="7BBC7EA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0952E74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arylsulphatase activity</w:t>
            </w:r>
          </w:p>
        </w:tc>
        <w:tc>
          <w:tcPr>
            <w:tcW w:w="2127" w:type="dxa"/>
            <w:tcBorders>
              <w:top w:val="nil"/>
              <w:left w:val="nil"/>
              <w:bottom w:val="single" w:sz="8" w:space="0" w:color="auto"/>
              <w:right w:val="single" w:sz="8" w:space="0" w:color="auto"/>
            </w:tcBorders>
          </w:tcPr>
          <w:p w14:paraId="4C7FE50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silty loam</w:t>
            </w:r>
          </w:p>
        </w:tc>
        <w:tc>
          <w:tcPr>
            <w:tcW w:w="567" w:type="dxa"/>
            <w:tcBorders>
              <w:top w:val="nil"/>
              <w:left w:val="nil"/>
              <w:bottom w:val="single" w:sz="8" w:space="0" w:color="auto"/>
              <w:right w:val="single" w:sz="8" w:space="0" w:color="auto"/>
            </w:tcBorders>
          </w:tcPr>
          <w:p w14:paraId="618189D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7.4</w:t>
            </w:r>
          </w:p>
        </w:tc>
        <w:tc>
          <w:tcPr>
            <w:tcW w:w="708" w:type="dxa"/>
            <w:tcBorders>
              <w:top w:val="nil"/>
              <w:left w:val="nil"/>
              <w:bottom w:val="single" w:sz="8" w:space="0" w:color="auto"/>
              <w:right w:val="single" w:sz="8" w:space="0" w:color="auto"/>
            </w:tcBorders>
          </w:tcPr>
          <w:p w14:paraId="4191F09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2.4</w:t>
            </w:r>
          </w:p>
        </w:tc>
        <w:tc>
          <w:tcPr>
            <w:tcW w:w="709" w:type="dxa"/>
            <w:tcBorders>
              <w:top w:val="nil"/>
              <w:left w:val="nil"/>
              <w:bottom w:val="single" w:sz="8" w:space="0" w:color="auto"/>
              <w:right w:val="single" w:sz="8" w:space="0" w:color="auto"/>
            </w:tcBorders>
          </w:tcPr>
          <w:p w14:paraId="16C6E75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851" w:type="dxa"/>
            <w:tcBorders>
              <w:top w:val="nil"/>
              <w:left w:val="nil"/>
              <w:bottom w:val="single" w:sz="8" w:space="0" w:color="auto"/>
              <w:right w:val="single" w:sz="8" w:space="0" w:color="auto"/>
            </w:tcBorders>
          </w:tcPr>
          <w:p w14:paraId="67A6717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22</w:t>
            </w:r>
          </w:p>
        </w:tc>
        <w:tc>
          <w:tcPr>
            <w:tcW w:w="850" w:type="dxa"/>
            <w:tcBorders>
              <w:top w:val="nil"/>
              <w:left w:val="nil"/>
              <w:bottom w:val="single" w:sz="8" w:space="0" w:color="auto"/>
              <w:right w:val="single" w:sz="8" w:space="0" w:color="auto"/>
            </w:tcBorders>
          </w:tcPr>
          <w:p w14:paraId="775CA3AB"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 </w:t>
            </w:r>
          </w:p>
        </w:tc>
        <w:tc>
          <w:tcPr>
            <w:tcW w:w="992" w:type="dxa"/>
            <w:tcBorders>
              <w:top w:val="nil"/>
              <w:left w:val="nil"/>
              <w:bottom w:val="single" w:sz="8" w:space="0" w:color="auto"/>
              <w:right w:val="single" w:sz="8" w:space="0" w:color="auto"/>
            </w:tcBorders>
          </w:tcPr>
          <w:p w14:paraId="37FFE07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540</w:t>
            </w:r>
          </w:p>
        </w:tc>
        <w:tc>
          <w:tcPr>
            <w:tcW w:w="851" w:type="dxa"/>
            <w:tcBorders>
              <w:top w:val="single" w:sz="8" w:space="0" w:color="auto"/>
              <w:left w:val="nil"/>
              <w:bottom w:val="single" w:sz="8" w:space="0" w:color="auto"/>
              <w:right w:val="single" w:sz="8" w:space="0" w:color="000000"/>
            </w:tcBorders>
          </w:tcPr>
          <w:p w14:paraId="6E530D1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289</w:t>
            </w:r>
          </w:p>
        </w:tc>
        <w:tc>
          <w:tcPr>
            <w:tcW w:w="992" w:type="dxa"/>
            <w:tcBorders>
              <w:top w:val="nil"/>
              <w:left w:val="nil"/>
              <w:bottom w:val="single" w:sz="8" w:space="0" w:color="auto"/>
              <w:right w:val="single" w:sz="8" w:space="0" w:color="auto"/>
            </w:tcBorders>
          </w:tcPr>
          <w:p w14:paraId="032B3A9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2C72EAD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311</w:t>
            </w:r>
          </w:p>
        </w:tc>
        <w:tc>
          <w:tcPr>
            <w:tcW w:w="992" w:type="dxa"/>
            <w:tcBorders>
              <w:top w:val="nil"/>
              <w:left w:val="nil"/>
              <w:bottom w:val="single" w:sz="8" w:space="0" w:color="auto"/>
              <w:right w:val="single" w:sz="12" w:space="0" w:color="auto"/>
            </w:tcBorders>
          </w:tcPr>
          <w:p w14:paraId="4FA871A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0C1E11C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Haanstra &amp; Doelman, 1991</w:t>
            </w:r>
          </w:p>
        </w:tc>
      </w:tr>
      <w:tr w:rsidR="00632208" w:rsidRPr="0098635C" w14:paraId="7DDC6D16" w14:textId="77777777" w:rsidTr="00A432B0">
        <w:trPr>
          <w:trHeight w:val="64"/>
        </w:trPr>
        <w:tc>
          <w:tcPr>
            <w:tcW w:w="938" w:type="dxa"/>
            <w:tcBorders>
              <w:top w:val="nil"/>
              <w:left w:val="single" w:sz="12" w:space="0" w:color="auto"/>
              <w:bottom w:val="single" w:sz="8" w:space="0" w:color="auto"/>
              <w:right w:val="single" w:sz="8" w:space="0" w:color="auto"/>
            </w:tcBorders>
          </w:tcPr>
          <w:p w14:paraId="58DD996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4853964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xml:space="preserve">arylsulphatase </w:t>
            </w:r>
            <w:r w:rsidRPr="0098635C">
              <w:rPr>
                <w:rFonts w:ascii="Arial Narrow" w:hAnsi="Arial Narrow" w:cs="Arial Narrow"/>
                <w:color w:val="000000" w:themeColor="text1"/>
                <w:sz w:val="20"/>
                <w:szCs w:val="20"/>
              </w:rPr>
              <w:lastRenderedPageBreak/>
              <w:t>activity</w:t>
            </w:r>
          </w:p>
        </w:tc>
        <w:tc>
          <w:tcPr>
            <w:tcW w:w="2127" w:type="dxa"/>
            <w:tcBorders>
              <w:top w:val="nil"/>
              <w:left w:val="nil"/>
              <w:bottom w:val="single" w:sz="8" w:space="0" w:color="auto"/>
              <w:right w:val="single" w:sz="8" w:space="0" w:color="auto"/>
            </w:tcBorders>
          </w:tcPr>
          <w:p w14:paraId="49B91E0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lastRenderedPageBreak/>
              <w:t>clay</w:t>
            </w:r>
          </w:p>
        </w:tc>
        <w:tc>
          <w:tcPr>
            <w:tcW w:w="567" w:type="dxa"/>
            <w:tcBorders>
              <w:top w:val="nil"/>
              <w:left w:val="nil"/>
              <w:bottom w:val="single" w:sz="8" w:space="0" w:color="auto"/>
              <w:right w:val="single" w:sz="8" w:space="0" w:color="auto"/>
            </w:tcBorders>
          </w:tcPr>
          <w:p w14:paraId="5DC1AC2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6.8</w:t>
            </w:r>
          </w:p>
        </w:tc>
        <w:tc>
          <w:tcPr>
            <w:tcW w:w="708" w:type="dxa"/>
            <w:tcBorders>
              <w:top w:val="nil"/>
              <w:left w:val="nil"/>
              <w:bottom w:val="single" w:sz="8" w:space="0" w:color="auto"/>
              <w:right w:val="single" w:sz="8" w:space="0" w:color="auto"/>
            </w:tcBorders>
          </w:tcPr>
          <w:p w14:paraId="69F694E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3.2</w:t>
            </w:r>
          </w:p>
        </w:tc>
        <w:tc>
          <w:tcPr>
            <w:tcW w:w="709" w:type="dxa"/>
            <w:tcBorders>
              <w:top w:val="nil"/>
              <w:left w:val="nil"/>
              <w:bottom w:val="single" w:sz="8" w:space="0" w:color="auto"/>
              <w:right w:val="single" w:sz="8" w:space="0" w:color="auto"/>
            </w:tcBorders>
          </w:tcPr>
          <w:p w14:paraId="33BA82D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60</w:t>
            </w:r>
          </w:p>
        </w:tc>
        <w:tc>
          <w:tcPr>
            <w:tcW w:w="851" w:type="dxa"/>
            <w:tcBorders>
              <w:top w:val="nil"/>
              <w:left w:val="nil"/>
              <w:bottom w:val="single" w:sz="8" w:space="0" w:color="auto"/>
              <w:right w:val="single" w:sz="8" w:space="0" w:color="auto"/>
            </w:tcBorders>
          </w:tcPr>
          <w:p w14:paraId="153A125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52</w:t>
            </w:r>
          </w:p>
        </w:tc>
        <w:tc>
          <w:tcPr>
            <w:tcW w:w="850" w:type="dxa"/>
            <w:tcBorders>
              <w:top w:val="nil"/>
              <w:left w:val="nil"/>
              <w:bottom w:val="single" w:sz="8" w:space="0" w:color="auto"/>
              <w:right w:val="single" w:sz="8" w:space="0" w:color="auto"/>
            </w:tcBorders>
          </w:tcPr>
          <w:p w14:paraId="6FDDD809"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 </w:t>
            </w:r>
          </w:p>
        </w:tc>
        <w:tc>
          <w:tcPr>
            <w:tcW w:w="992" w:type="dxa"/>
            <w:tcBorders>
              <w:top w:val="nil"/>
              <w:left w:val="nil"/>
              <w:bottom w:val="single" w:sz="8" w:space="0" w:color="auto"/>
              <w:right w:val="single" w:sz="8" w:space="0" w:color="auto"/>
            </w:tcBorders>
          </w:tcPr>
          <w:p w14:paraId="2CB5C1F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540</w:t>
            </w:r>
          </w:p>
        </w:tc>
        <w:tc>
          <w:tcPr>
            <w:tcW w:w="851" w:type="dxa"/>
            <w:tcBorders>
              <w:top w:val="single" w:sz="8" w:space="0" w:color="auto"/>
              <w:left w:val="nil"/>
              <w:bottom w:val="single" w:sz="8" w:space="0" w:color="auto"/>
              <w:right w:val="single" w:sz="8" w:space="0" w:color="000000"/>
            </w:tcBorders>
          </w:tcPr>
          <w:p w14:paraId="53DEDB6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2,669</w:t>
            </w:r>
          </w:p>
        </w:tc>
        <w:tc>
          <w:tcPr>
            <w:tcW w:w="992" w:type="dxa"/>
            <w:tcBorders>
              <w:top w:val="nil"/>
              <w:left w:val="nil"/>
              <w:bottom w:val="single" w:sz="8" w:space="0" w:color="auto"/>
              <w:right w:val="single" w:sz="8" w:space="0" w:color="auto"/>
            </w:tcBorders>
          </w:tcPr>
          <w:p w14:paraId="2793BA8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696700F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2,721</w:t>
            </w:r>
          </w:p>
        </w:tc>
        <w:tc>
          <w:tcPr>
            <w:tcW w:w="992" w:type="dxa"/>
            <w:tcBorders>
              <w:top w:val="nil"/>
              <w:left w:val="nil"/>
              <w:bottom w:val="single" w:sz="8" w:space="0" w:color="auto"/>
              <w:right w:val="single" w:sz="12" w:space="0" w:color="auto"/>
            </w:tcBorders>
          </w:tcPr>
          <w:p w14:paraId="2F9DDC1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5611A46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Haanstra &amp; Doelman, 1991</w:t>
            </w:r>
          </w:p>
        </w:tc>
      </w:tr>
      <w:tr w:rsidR="00632208" w:rsidRPr="0098635C" w14:paraId="54D80E8E" w14:textId="77777777" w:rsidTr="00A432B0">
        <w:trPr>
          <w:trHeight w:val="64"/>
        </w:trPr>
        <w:tc>
          <w:tcPr>
            <w:tcW w:w="938" w:type="dxa"/>
            <w:tcBorders>
              <w:top w:val="nil"/>
              <w:left w:val="single" w:sz="12" w:space="0" w:color="auto"/>
              <w:bottom w:val="single" w:sz="8" w:space="0" w:color="auto"/>
              <w:right w:val="single" w:sz="8" w:space="0" w:color="auto"/>
            </w:tcBorders>
          </w:tcPr>
          <w:p w14:paraId="0C51E04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3C14C97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arylsulphatase activity</w:t>
            </w:r>
          </w:p>
        </w:tc>
        <w:tc>
          <w:tcPr>
            <w:tcW w:w="2127" w:type="dxa"/>
            <w:tcBorders>
              <w:top w:val="nil"/>
              <w:left w:val="nil"/>
              <w:bottom w:val="single" w:sz="8" w:space="0" w:color="auto"/>
              <w:right w:val="single" w:sz="8" w:space="0" w:color="auto"/>
            </w:tcBorders>
          </w:tcPr>
          <w:p w14:paraId="0480FE3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peat</w:t>
            </w:r>
          </w:p>
        </w:tc>
        <w:tc>
          <w:tcPr>
            <w:tcW w:w="567" w:type="dxa"/>
            <w:tcBorders>
              <w:top w:val="nil"/>
              <w:left w:val="nil"/>
              <w:bottom w:val="single" w:sz="8" w:space="0" w:color="auto"/>
              <w:right w:val="single" w:sz="8" w:space="0" w:color="auto"/>
            </w:tcBorders>
          </w:tcPr>
          <w:p w14:paraId="63A5821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4.3</w:t>
            </w:r>
          </w:p>
        </w:tc>
        <w:tc>
          <w:tcPr>
            <w:tcW w:w="708" w:type="dxa"/>
            <w:tcBorders>
              <w:top w:val="nil"/>
              <w:left w:val="nil"/>
              <w:bottom w:val="single" w:sz="8" w:space="0" w:color="auto"/>
              <w:right w:val="single" w:sz="8" w:space="0" w:color="auto"/>
            </w:tcBorders>
          </w:tcPr>
          <w:p w14:paraId="5F7C545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12.8</w:t>
            </w:r>
          </w:p>
        </w:tc>
        <w:tc>
          <w:tcPr>
            <w:tcW w:w="709" w:type="dxa"/>
            <w:tcBorders>
              <w:top w:val="nil"/>
              <w:left w:val="nil"/>
              <w:bottom w:val="single" w:sz="8" w:space="0" w:color="auto"/>
              <w:right w:val="single" w:sz="8" w:space="0" w:color="auto"/>
            </w:tcBorders>
          </w:tcPr>
          <w:p w14:paraId="3FBD73D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w:t>
            </w:r>
          </w:p>
        </w:tc>
        <w:tc>
          <w:tcPr>
            <w:tcW w:w="851" w:type="dxa"/>
            <w:tcBorders>
              <w:top w:val="nil"/>
              <w:left w:val="nil"/>
              <w:bottom w:val="single" w:sz="8" w:space="0" w:color="auto"/>
              <w:right w:val="single" w:sz="8" w:space="0" w:color="auto"/>
            </w:tcBorders>
          </w:tcPr>
          <w:p w14:paraId="6211C2D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5.5</w:t>
            </w:r>
          </w:p>
        </w:tc>
        <w:tc>
          <w:tcPr>
            <w:tcW w:w="850" w:type="dxa"/>
            <w:tcBorders>
              <w:top w:val="nil"/>
              <w:left w:val="nil"/>
              <w:bottom w:val="single" w:sz="8" w:space="0" w:color="auto"/>
              <w:right w:val="single" w:sz="8" w:space="0" w:color="auto"/>
            </w:tcBorders>
          </w:tcPr>
          <w:p w14:paraId="5E6C93BC"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 </w:t>
            </w:r>
          </w:p>
        </w:tc>
        <w:tc>
          <w:tcPr>
            <w:tcW w:w="992" w:type="dxa"/>
            <w:tcBorders>
              <w:top w:val="nil"/>
              <w:left w:val="nil"/>
              <w:bottom w:val="single" w:sz="8" w:space="0" w:color="auto"/>
              <w:right w:val="single" w:sz="8" w:space="0" w:color="auto"/>
            </w:tcBorders>
          </w:tcPr>
          <w:p w14:paraId="066C872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540</w:t>
            </w:r>
          </w:p>
        </w:tc>
        <w:tc>
          <w:tcPr>
            <w:tcW w:w="851" w:type="dxa"/>
            <w:tcBorders>
              <w:top w:val="single" w:sz="8" w:space="0" w:color="auto"/>
              <w:left w:val="nil"/>
              <w:bottom w:val="single" w:sz="8" w:space="0" w:color="auto"/>
              <w:right w:val="single" w:sz="8" w:space="0" w:color="000000"/>
            </w:tcBorders>
          </w:tcPr>
          <w:p w14:paraId="0C891C8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3,323</w:t>
            </w:r>
          </w:p>
        </w:tc>
        <w:tc>
          <w:tcPr>
            <w:tcW w:w="992" w:type="dxa"/>
            <w:tcBorders>
              <w:top w:val="nil"/>
              <w:left w:val="nil"/>
              <w:bottom w:val="single" w:sz="8" w:space="0" w:color="auto"/>
              <w:right w:val="single" w:sz="8" w:space="0" w:color="auto"/>
            </w:tcBorders>
          </w:tcPr>
          <w:p w14:paraId="03179C6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3BD86BA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3,329</w:t>
            </w:r>
          </w:p>
        </w:tc>
        <w:tc>
          <w:tcPr>
            <w:tcW w:w="992" w:type="dxa"/>
            <w:tcBorders>
              <w:top w:val="nil"/>
              <w:left w:val="nil"/>
              <w:bottom w:val="single" w:sz="8" w:space="0" w:color="auto"/>
              <w:right w:val="single" w:sz="12" w:space="0" w:color="auto"/>
            </w:tcBorders>
          </w:tcPr>
          <w:p w14:paraId="78A66A5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234979F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Haanstra &amp; Doelman, 1991</w:t>
            </w:r>
          </w:p>
        </w:tc>
      </w:tr>
      <w:tr w:rsidR="00632208" w:rsidRPr="0098635C" w14:paraId="04A3A29A" w14:textId="77777777" w:rsidTr="00A432B0">
        <w:trPr>
          <w:trHeight w:val="64"/>
        </w:trPr>
        <w:tc>
          <w:tcPr>
            <w:tcW w:w="938" w:type="dxa"/>
            <w:tcBorders>
              <w:top w:val="nil"/>
              <w:left w:val="single" w:sz="12" w:space="0" w:color="auto"/>
              <w:bottom w:val="single" w:sz="8" w:space="0" w:color="auto"/>
              <w:right w:val="single" w:sz="8" w:space="0" w:color="auto"/>
            </w:tcBorders>
          </w:tcPr>
          <w:p w14:paraId="7FB34F0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CuSO</w:t>
            </w:r>
            <w:r w:rsidRPr="0098635C">
              <w:rPr>
                <w:rFonts w:ascii="Arial Narrow" w:hAnsi="Arial Narrow" w:cs="Arial Narrow"/>
                <w:color w:val="000000" w:themeColor="text1"/>
                <w:sz w:val="20"/>
                <w:szCs w:val="20"/>
                <w:vertAlign w:val="subscript"/>
              </w:rPr>
              <w:t>4</w:t>
            </w:r>
          </w:p>
        </w:tc>
        <w:tc>
          <w:tcPr>
            <w:tcW w:w="1276" w:type="dxa"/>
            <w:tcBorders>
              <w:top w:val="nil"/>
              <w:left w:val="nil"/>
              <w:bottom w:val="single" w:sz="8" w:space="0" w:color="auto"/>
              <w:right w:val="single" w:sz="8" w:space="0" w:color="auto"/>
            </w:tcBorders>
          </w:tcPr>
          <w:p w14:paraId="1CEB998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N-mineralisation</w:t>
            </w:r>
          </w:p>
        </w:tc>
        <w:tc>
          <w:tcPr>
            <w:tcW w:w="2127" w:type="dxa"/>
            <w:tcBorders>
              <w:top w:val="nil"/>
              <w:left w:val="nil"/>
              <w:bottom w:val="single" w:sz="8" w:space="0" w:color="auto"/>
              <w:right w:val="single" w:sz="8" w:space="0" w:color="auto"/>
            </w:tcBorders>
          </w:tcPr>
          <w:p w14:paraId="156DD61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loam</w:t>
            </w:r>
          </w:p>
        </w:tc>
        <w:tc>
          <w:tcPr>
            <w:tcW w:w="567" w:type="dxa"/>
            <w:tcBorders>
              <w:top w:val="nil"/>
              <w:left w:val="nil"/>
              <w:bottom w:val="single" w:sz="8" w:space="0" w:color="auto"/>
              <w:right w:val="single" w:sz="8" w:space="0" w:color="auto"/>
            </w:tcBorders>
          </w:tcPr>
          <w:p w14:paraId="31BB087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5.9</w:t>
            </w:r>
          </w:p>
        </w:tc>
        <w:tc>
          <w:tcPr>
            <w:tcW w:w="708" w:type="dxa"/>
            <w:tcBorders>
              <w:top w:val="nil"/>
              <w:left w:val="nil"/>
              <w:bottom w:val="single" w:sz="8" w:space="0" w:color="auto"/>
              <w:right w:val="single" w:sz="8" w:space="0" w:color="auto"/>
            </w:tcBorders>
          </w:tcPr>
          <w:p w14:paraId="6F40D4C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3.4</w:t>
            </w:r>
          </w:p>
        </w:tc>
        <w:tc>
          <w:tcPr>
            <w:tcW w:w="709" w:type="dxa"/>
            <w:tcBorders>
              <w:top w:val="nil"/>
              <w:left w:val="nil"/>
              <w:bottom w:val="single" w:sz="8" w:space="0" w:color="auto"/>
              <w:right w:val="single" w:sz="8" w:space="0" w:color="auto"/>
            </w:tcBorders>
          </w:tcPr>
          <w:p w14:paraId="2530F4A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16</w:t>
            </w:r>
          </w:p>
        </w:tc>
        <w:tc>
          <w:tcPr>
            <w:tcW w:w="851" w:type="dxa"/>
            <w:tcBorders>
              <w:top w:val="nil"/>
              <w:left w:val="nil"/>
              <w:bottom w:val="single" w:sz="8" w:space="0" w:color="auto"/>
              <w:right w:val="single" w:sz="8" w:space="0" w:color="auto"/>
            </w:tcBorders>
          </w:tcPr>
          <w:p w14:paraId="62264A1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33</w:t>
            </w:r>
          </w:p>
        </w:tc>
        <w:tc>
          <w:tcPr>
            <w:tcW w:w="850" w:type="dxa"/>
            <w:tcBorders>
              <w:top w:val="nil"/>
              <w:left w:val="nil"/>
              <w:bottom w:val="single" w:sz="8" w:space="0" w:color="auto"/>
              <w:right w:val="single" w:sz="8" w:space="0" w:color="auto"/>
            </w:tcBorders>
          </w:tcPr>
          <w:p w14:paraId="71F425C5"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13.8</w:t>
            </w:r>
          </w:p>
        </w:tc>
        <w:tc>
          <w:tcPr>
            <w:tcW w:w="992" w:type="dxa"/>
            <w:tcBorders>
              <w:top w:val="nil"/>
              <w:left w:val="nil"/>
              <w:bottom w:val="single" w:sz="8" w:space="0" w:color="auto"/>
              <w:right w:val="single" w:sz="8" w:space="0" w:color="auto"/>
            </w:tcBorders>
          </w:tcPr>
          <w:p w14:paraId="3E59EE3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851" w:type="dxa"/>
            <w:tcBorders>
              <w:top w:val="single" w:sz="8" w:space="0" w:color="auto"/>
              <w:left w:val="nil"/>
              <w:bottom w:val="single" w:sz="8" w:space="0" w:color="auto"/>
              <w:right w:val="single" w:sz="8" w:space="0" w:color="000000"/>
            </w:tcBorders>
          </w:tcPr>
          <w:p w14:paraId="1B15040F"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100</w:t>
            </w:r>
          </w:p>
        </w:tc>
        <w:tc>
          <w:tcPr>
            <w:tcW w:w="992" w:type="dxa"/>
            <w:tcBorders>
              <w:top w:val="nil"/>
              <w:left w:val="nil"/>
              <w:bottom w:val="single" w:sz="8" w:space="0" w:color="auto"/>
              <w:right w:val="single" w:sz="8" w:space="0" w:color="auto"/>
            </w:tcBorders>
          </w:tcPr>
          <w:p w14:paraId="104976E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6D62A838"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133</w:t>
            </w:r>
          </w:p>
        </w:tc>
        <w:tc>
          <w:tcPr>
            <w:tcW w:w="992" w:type="dxa"/>
            <w:tcBorders>
              <w:top w:val="nil"/>
              <w:left w:val="nil"/>
              <w:bottom w:val="single" w:sz="8" w:space="0" w:color="auto"/>
              <w:right w:val="single" w:sz="12" w:space="0" w:color="auto"/>
            </w:tcBorders>
          </w:tcPr>
          <w:p w14:paraId="7CDC70A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2FDB219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Quraishi &amp; Cornfield, 1973</w:t>
            </w:r>
          </w:p>
        </w:tc>
      </w:tr>
      <w:tr w:rsidR="00632208" w:rsidRPr="0098635C" w14:paraId="3BC4337B" w14:textId="77777777" w:rsidTr="00A432B0">
        <w:trPr>
          <w:trHeight w:val="64"/>
        </w:trPr>
        <w:tc>
          <w:tcPr>
            <w:tcW w:w="938" w:type="dxa"/>
            <w:tcBorders>
              <w:top w:val="nil"/>
              <w:left w:val="single" w:sz="12" w:space="0" w:color="auto"/>
              <w:bottom w:val="single" w:sz="8" w:space="0" w:color="auto"/>
              <w:right w:val="single" w:sz="8" w:space="0" w:color="auto"/>
            </w:tcBorders>
          </w:tcPr>
          <w:p w14:paraId="14A1A92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CuSO</w:t>
            </w:r>
            <w:r w:rsidRPr="0098635C">
              <w:rPr>
                <w:rFonts w:ascii="Arial Narrow" w:hAnsi="Arial Narrow" w:cs="Arial Narrow"/>
                <w:color w:val="000000" w:themeColor="text1"/>
                <w:sz w:val="20"/>
                <w:szCs w:val="20"/>
                <w:vertAlign w:val="subscript"/>
              </w:rPr>
              <w:t>4</w:t>
            </w:r>
          </w:p>
        </w:tc>
        <w:tc>
          <w:tcPr>
            <w:tcW w:w="1276" w:type="dxa"/>
            <w:tcBorders>
              <w:top w:val="nil"/>
              <w:left w:val="nil"/>
              <w:bottom w:val="single" w:sz="8" w:space="0" w:color="auto"/>
              <w:right w:val="single" w:sz="8" w:space="0" w:color="auto"/>
            </w:tcBorders>
          </w:tcPr>
          <w:p w14:paraId="18E2909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N-mineralisation</w:t>
            </w:r>
          </w:p>
        </w:tc>
        <w:tc>
          <w:tcPr>
            <w:tcW w:w="2127" w:type="dxa"/>
            <w:tcBorders>
              <w:top w:val="nil"/>
              <w:left w:val="nil"/>
              <w:bottom w:val="single" w:sz="8" w:space="0" w:color="auto"/>
              <w:right w:val="single" w:sz="8" w:space="0" w:color="auto"/>
            </w:tcBorders>
          </w:tcPr>
          <w:p w14:paraId="46D1A16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loam</w:t>
            </w:r>
          </w:p>
        </w:tc>
        <w:tc>
          <w:tcPr>
            <w:tcW w:w="567" w:type="dxa"/>
            <w:tcBorders>
              <w:top w:val="nil"/>
              <w:left w:val="nil"/>
              <w:bottom w:val="single" w:sz="8" w:space="0" w:color="auto"/>
              <w:right w:val="single" w:sz="8" w:space="0" w:color="auto"/>
            </w:tcBorders>
          </w:tcPr>
          <w:p w14:paraId="732A079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7.3</w:t>
            </w:r>
          </w:p>
        </w:tc>
        <w:tc>
          <w:tcPr>
            <w:tcW w:w="708" w:type="dxa"/>
            <w:tcBorders>
              <w:top w:val="nil"/>
              <w:left w:val="nil"/>
              <w:bottom w:val="single" w:sz="8" w:space="0" w:color="auto"/>
              <w:right w:val="single" w:sz="8" w:space="0" w:color="auto"/>
            </w:tcBorders>
          </w:tcPr>
          <w:p w14:paraId="2E7232E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3.4</w:t>
            </w:r>
          </w:p>
        </w:tc>
        <w:tc>
          <w:tcPr>
            <w:tcW w:w="709" w:type="dxa"/>
            <w:tcBorders>
              <w:top w:val="nil"/>
              <w:left w:val="nil"/>
              <w:bottom w:val="single" w:sz="8" w:space="0" w:color="auto"/>
              <w:right w:val="single" w:sz="8" w:space="0" w:color="auto"/>
            </w:tcBorders>
          </w:tcPr>
          <w:p w14:paraId="6E16A18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16</w:t>
            </w:r>
          </w:p>
        </w:tc>
        <w:tc>
          <w:tcPr>
            <w:tcW w:w="851" w:type="dxa"/>
            <w:tcBorders>
              <w:top w:val="nil"/>
              <w:left w:val="nil"/>
              <w:bottom w:val="single" w:sz="8" w:space="0" w:color="auto"/>
              <w:right w:val="single" w:sz="8" w:space="0" w:color="auto"/>
            </w:tcBorders>
          </w:tcPr>
          <w:p w14:paraId="753E9B7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33</w:t>
            </w:r>
          </w:p>
        </w:tc>
        <w:tc>
          <w:tcPr>
            <w:tcW w:w="850" w:type="dxa"/>
            <w:tcBorders>
              <w:top w:val="nil"/>
              <w:left w:val="nil"/>
              <w:bottom w:val="single" w:sz="8" w:space="0" w:color="auto"/>
              <w:right w:val="single" w:sz="8" w:space="0" w:color="auto"/>
            </w:tcBorders>
          </w:tcPr>
          <w:p w14:paraId="7DDE2646"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16.3</w:t>
            </w:r>
          </w:p>
        </w:tc>
        <w:tc>
          <w:tcPr>
            <w:tcW w:w="992" w:type="dxa"/>
            <w:tcBorders>
              <w:top w:val="nil"/>
              <w:left w:val="nil"/>
              <w:bottom w:val="single" w:sz="8" w:space="0" w:color="auto"/>
              <w:right w:val="single" w:sz="8" w:space="0" w:color="auto"/>
            </w:tcBorders>
          </w:tcPr>
          <w:p w14:paraId="4E6F3EB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851" w:type="dxa"/>
            <w:tcBorders>
              <w:top w:val="single" w:sz="8" w:space="0" w:color="auto"/>
              <w:left w:val="nil"/>
              <w:bottom w:val="single" w:sz="8" w:space="0" w:color="auto"/>
              <w:right w:val="single" w:sz="8" w:space="0" w:color="000000"/>
            </w:tcBorders>
          </w:tcPr>
          <w:p w14:paraId="1CC6EDD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169F43C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&lt;100</w:t>
            </w:r>
          </w:p>
        </w:tc>
        <w:tc>
          <w:tcPr>
            <w:tcW w:w="851" w:type="dxa"/>
            <w:tcBorders>
              <w:top w:val="single" w:sz="8" w:space="0" w:color="auto"/>
              <w:left w:val="nil"/>
              <w:bottom w:val="single" w:sz="8" w:space="0" w:color="auto"/>
              <w:right w:val="single" w:sz="8" w:space="0" w:color="000000"/>
            </w:tcBorders>
          </w:tcPr>
          <w:p w14:paraId="76F6CCC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12" w:space="0" w:color="auto"/>
            </w:tcBorders>
          </w:tcPr>
          <w:p w14:paraId="751AD8B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&lt;133</w:t>
            </w:r>
          </w:p>
        </w:tc>
        <w:tc>
          <w:tcPr>
            <w:tcW w:w="2410" w:type="dxa"/>
            <w:tcBorders>
              <w:top w:val="nil"/>
              <w:left w:val="nil"/>
              <w:bottom w:val="single" w:sz="8" w:space="0" w:color="auto"/>
              <w:right w:val="single" w:sz="12" w:space="0" w:color="auto"/>
            </w:tcBorders>
          </w:tcPr>
          <w:p w14:paraId="21F7D57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Quraishi &amp; Cornfield, 1973</w:t>
            </w:r>
          </w:p>
        </w:tc>
      </w:tr>
      <w:tr w:rsidR="00632208" w:rsidRPr="0098635C" w14:paraId="2907F9E2" w14:textId="77777777" w:rsidTr="00A432B0">
        <w:trPr>
          <w:trHeight w:val="64"/>
        </w:trPr>
        <w:tc>
          <w:tcPr>
            <w:tcW w:w="938" w:type="dxa"/>
            <w:tcBorders>
              <w:top w:val="nil"/>
              <w:left w:val="single" w:sz="12" w:space="0" w:color="auto"/>
              <w:bottom w:val="single" w:sz="8" w:space="0" w:color="auto"/>
              <w:right w:val="single" w:sz="8" w:space="0" w:color="auto"/>
            </w:tcBorders>
          </w:tcPr>
          <w:p w14:paraId="70F7D0F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CuSO</w:t>
            </w:r>
            <w:r w:rsidRPr="0098635C">
              <w:rPr>
                <w:rFonts w:ascii="Arial Narrow" w:hAnsi="Arial Narrow" w:cs="Arial Narrow"/>
                <w:color w:val="000000" w:themeColor="text1"/>
                <w:sz w:val="20"/>
                <w:szCs w:val="20"/>
                <w:vertAlign w:val="subscript"/>
              </w:rPr>
              <w:t>4</w:t>
            </w:r>
          </w:p>
        </w:tc>
        <w:tc>
          <w:tcPr>
            <w:tcW w:w="1276" w:type="dxa"/>
            <w:tcBorders>
              <w:top w:val="nil"/>
              <w:left w:val="nil"/>
              <w:bottom w:val="single" w:sz="8" w:space="0" w:color="auto"/>
              <w:right w:val="single" w:sz="8" w:space="0" w:color="auto"/>
            </w:tcBorders>
          </w:tcPr>
          <w:p w14:paraId="6E17B6E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nitrification</w:t>
            </w:r>
          </w:p>
        </w:tc>
        <w:tc>
          <w:tcPr>
            <w:tcW w:w="2127" w:type="dxa"/>
            <w:tcBorders>
              <w:top w:val="nil"/>
              <w:left w:val="nil"/>
              <w:bottom w:val="single" w:sz="8" w:space="0" w:color="auto"/>
              <w:right w:val="single" w:sz="8" w:space="0" w:color="auto"/>
            </w:tcBorders>
          </w:tcPr>
          <w:p w14:paraId="1ED0471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loam</w:t>
            </w:r>
          </w:p>
        </w:tc>
        <w:tc>
          <w:tcPr>
            <w:tcW w:w="567" w:type="dxa"/>
            <w:tcBorders>
              <w:top w:val="nil"/>
              <w:left w:val="nil"/>
              <w:bottom w:val="single" w:sz="8" w:space="0" w:color="auto"/>
              <w:right w:val="single" w:sz="8" w:space="0" w:color="auto"/>
            </w:tcBorders>
          </w:tcPr>
          <w:p w14:paraId="3743CD0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5.9</w:t>
            </w:r>
          </w:p>
        </w:tc>
        <w:tc>
          <w:tcPr>
            <w:tcW w:w="708" w:type="dxa"/>
            <w:tcBorders>
              <w:top w:val="nil"/>
              <w:left w:val="nil"/>
              <w:bottom w:val="single" w:sz="8" w:space="0" w:color="auto"/>
              <w:right w:val="single" w:sz="8" w:space="0" w:color="auto"/>
            </w:tcBorders>
          </w:tcPr>
          <w:p w14:paraId="3F1CEAD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3.4</w:t>
            </w:r>
          </w:p>
        </w:tc>
        <w:tc>
          <w:tcPr>
            <w:tcW w:w="709" w:type="dxa"/>
            <w:tcBorders>
              <w:top w:val="nil"/>
              <w:left w:val="nil"/>
              <w:bottom w:val="single" w:sz="8" w:space="0" w:color="auto"/>
              <w:right w:val="single" w:sz="8" w:space="0" w:color="auto"/>
            </w:tcBorders>
          </w:tcPr>
          <w:p w14:paraId="536B2D6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16</w:t>
            </w:r>
          </w:p>
        </w:tc>
        <w:tc>
          <w:tcPr>
            <w:tcW w:w="851" w:type="dxa"/>
            <w:tcBorders>
              <w:top w:val="nil"/>
              <w:left w:val="nil"/>
              <w:bottom w:val="single" w:sz="8" w:space="0" w:color="auto"/>
              <w:right w:val="single" w:sz="8" w:space="0" w:color="auto"/>
            </w:tcBorders>
          </w:tcPr>
          <w:p w14:paraId="51B896D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33</w:t>
            </w:r>
          </w:p>
        </w:tc>
        <w:tc>
          <w:tcPr>
            <w:tcW w:w="850" w:type="dxa"/>
            <w:tcBorders>
              <w:top w:val="nil"/>
              <w:left w:val="nil"/>
              <w:bottom w:val="single" w:sz="8" w:space="0" w:color="auto"/>
              <w:right w:val="single" w:sz="8" w:space="0" w:color="auto"/>
            </w:tcBorders>
          </w:tcPr>
          <w:p w14:paraId="317F7D37"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13.8</w:t>
            </w:r>
          </w:p>
        </w:tc>
        <w:tc>
          <w:tcPr>
            <w:tcW w:w="992" w:type="dxa"/>
            <w:tcBorders>
              <w:top w:val="nil"/>
              <w:left w:val="nil"/>
              <w:bottom w:val="single" w:sz="8" w:space="0" w:color="auto"/>
              <w:right w:val="single" w:sz="8" w:space="0" w:color="auto"/>
            </w:tcBorders>
          </w:tcPr>
          <w:p w14:paraId="02F368E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851" w:type="dxa"/>
            <w:tcBorders>
              <w:top w:val="single" w:sz="8" w:space="0" w:color="auto"/>
              <w:left w:val="nil"/>
              <w:bottom w:val="single" w:sz="8" w:space="0" w:color="auto"/>
              <w:right w:val="single" w:sz="8" w:space="0" w:color="000000"/>
            </w:tcBorders>
          </w:tcPr>
          <w:p w14:paraId="4F0CD337"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100</w:t>
            </w:r>
          </w:p>
        </w:tc>
        <w:tc>
          <w:tcPr>
            <w:tcW w:w="992" w:type="dxa"/>
            <w:tcBorders>
              <w:top w:val="nil"/>
              <w:left w:val="nil"/>
              <w:bottom w:val="single" w:sz="8" w:space="0" w:color="auto"/>
              <w:right w:val="single" w:sz="8" w:space="0" w:color="auto"/>
            </w:tcBorders>
          </w:tcPr>
          <w:p w14:paraId="3A0FC8A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0A90F607"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133</w:t>
            </w:r>
          </w:p>
        </w:tc>
        <w:tc>
          <w:tcPr>
            <w:tcW w:w="992" w:type="dxa"/>
            <w:tcBorders>
              <w:top w:val="nil"/>
              <w:left w:val="nil"/>
              <w:bottom w:val="single" w:sz="8" w:space="0" w:color="auto"/>
              <w:right w:val="single" w:sz="12" w:space="0" w:color="auto"/>
            </w:tcBorders>
          </w:tcPr>
          <w:p w14:paraId="763B11B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53240CB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Quraishi &amp; Cornfield, 1973</w:t>
            </w:r>
          </w:p>
        </w:tc>
      </w:tr>
      <w:tr w:rsidR="00632208" w:rsidRPr="0098635C" w14:paraId="522EBA8A" w14:textId="77777777" w:rsidTr="00A432B0">
        <w:trPr>
          <w:trHeight w:val="64"/>
        </w:trPr>
        <w:tc>
          <w:tcPr>
            <w:tcW w:w="938" w:type="dxa"/>
            <w:tcBorders>
              <w:top w:val="nil"/>
              <w:left w:val="single" w:sz="12" w:space="0" w:color="auto"/>
              <w:bottom w:val="single" w:sz="8" w:space="0" w:color="auto"/>
              <w:right w:val="single" w:sz="8" w:space="0" w:color="auto"/>
            </w:tcBorders>
          </w:tcPr>
          <w:p w14:paraId="320A183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CuSO</w:t>
            </w:r>
            <w:r w:rsidRPr="0098635C">
              <w:rPr>
                <w:rFonts w:ascii="Arial Narrow" w:hAnsi="Arial Narrow" w:cs="Arial Narrow"/>
                <w:color w:val="000000" w:themeColor="text1"/>
                <w:sz w:val="20"/>
                <w:szCs w:val="20"/>
                <w:vertAlign w:val="subscript"/>
              </w:rPr>
              <w:t>4</w:t>
            </w:r>
          </w:p>
        </w:tc>
        <w:tc>
          <w:tcPr>
            <w:tcW w:w="1276" w:type="dxa"/>
            <w:tcBorders>
              <w:top w:val="nil"/>
              <w:left w:val="nil"/>
              <w:bottom w:val="single" w:sz="8" w:space="0" w:color="auto"/>
              <w:right w:val="single" w:sz="8" w:space="0" w:color="auto"/>
            </w:tcBorders>
          </w:tcPr>
          <w:p w14:paraId="484EAF0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nitrification</w:t>
            </w:r>
          </w:p>
        </w:tc>
        <w:tc>
          <w:tcPr>
            <w:tcW w:w="2127" w:type="dxa"/>
            <w:tcBorders>
              <w:top w:val="nil"/>
              <w:left w:val="nil"/>
              <w:bottom w:val="single" w:sz="8" w:space="0" w:color="auto"/>
              <w:right w:val="single" w:sz="8" w:space="0" w:color="auto"/>
            </w:tcBorders>
          </w:tcPr>
          <w:p w14:paraId="0D9E2F6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loam</w:t>
            </w:r>
          </w:p>
        </w:tc>
        <w:tc>
          <w:tcPr>
            <w:tcW w:w="567" w:type="dxa"/>
            <w:tcBorders>
              <w:top w:val="nil"/>
              <w:left w:val="nil"/>
              <w:bottom w:val="single" w:sz="8" w:space="0" w:color="auto"/>
              <w:right w:val="single" w:sz="8" w:space="0" w:color="auto"/>
            </w:tcBorders>
          </w:tcPr>
          <w:p w14:paraId="088C9C2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7.3</w:t>
            </w:r>
          </w:p>
        </w:tc>
        <w:tc>
          <w:tcPr>
            <w:tcW w:w="708" w:type="dxa"/>
            <w:tcBorders>
              <w:top w:val="nil"/>
              <w:left w:val="nil"/>
              <w:bottom w:val="single" w:sz="8" w:space="0" w:color="auto"/>
              <w:right w:val="single" w:sz="8" w:space="0" w:color="auto"/>
            </w:tcBorders>
          </w:tcPr>
          <w:p w14:paraId="154EED3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3.4</w:t>
            </w:r>
          </w:p>
        </w:tc>
        <w:tc>
          <w:tcPr>
            <w:tcW w:w="709" w:type="dxa"/>
            <w:tcBorders>
              <w:top w:val="nil"/>
              <w:left w:val="nil"/>
              <w:bottom w:val="single" w:sz="8" w:space="0" w:color="auto"/>
              <w:right w:val="single" w:sz="8" w:space="0" w:color="auto"/>
            </w:tcBorders>
          </w:tcPr>
          <w:p w14:paraId="0FF0270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16</w:t>
            </w:r>
          </w:p>
        </w:tc>
        <w:tc>
          <w:tcPr>
            <w:tcW w:w="851" w:type="dxa"/>
            <w:tcBorders>
              <w:top w:val="nil"/>
              <w:left w:val="nil"/>
              <w:bottom w:val="single" w:sz="8" w:space="0" w:color="auto"/>
              <w:right w:val="single" w:sz="8" w:space="0" w:color="auto"/>
            </w:tcBorders>
          </w:tcPr>
          <w:p w14:paraId="0B16510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33</w:t>
            </w:r>
          </w:p>
        </w:tc>
        <w:tc>
          <w:tcPr>
            <w:tcW w:w="850" w:type="dxa"/>
            <w:tcBorders>
              <w:top w:val="nil"/>
              <w:left w:val="nil"/>
              <w:bottom w:val="single" w:sz="8" w:space="0" w:color="auto"/>
              <w:right w:val="single" w:sz="8" w:space="0" w:color="auto"/>
            </w:tcBorders>
          </w:tcPr>
          <w:p w14:paraId="722E2079"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16.3</w:t>
            </w:r>
          </w:p>
        </w:tc>
        <w:tc>
          <w:tcPr>
            <w:tcW w:w="992" w:type="dxa"/>
            <w:tcBorders>
              <w:top w:val="nil"/>
              <w:left w:val="nil"/>
              <w:bottom w:val="single" w:sz="8" w:space="0" w:color="auto"/>
              <w:right w:val="single" w:sz="8" w:space="0" w:color="auto"/>
            </w:tcBorders>
          </w:tcPr>
          <w:p w14:paraId="6EA0B9F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851" w:type="dxa"/>
            <w:tcBorders>
              <w:top w:val="single" w:sz="8" w:space="0" w:color="auto"/>
              <w:left w:val="nil"/>
              <w:bottom w:val="single" w:sz="8" w:space="0" w:color="auto"/>
              <w:right w:val="single" w:sz="8" w:space="0" w:color="000000"/>
            </w:tcBorders>
          </w:tcPr>
          <w:p w14:paraId="270C1ED1"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100</w:t>
            </w:r>
          </w:p>
        </w:tc>
        <w:tc>
          <w:tcPr>
            <w:tcW w:w="992" w:type="dxa"/>
            <w:tcBorders>
              <w:top w:val="nil"/>
              <w:left w:val="nil"/>
              <w:bottom w:val="single" w:sz="8" w:space="0" w:color="auto"/>
              <w:right w:val="single" w:sz="8" w:space="0" w:color="auto"/>
            </w:tcBorders>
          </w:tcPr>
          <w:p w14:paraId="1706EDC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7FDD9BF3"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133</w:t>
            </w:r>
          </w:p>
        </w:tc>
        <w:tc>
          <w:tcPr>
            <w:tcW w:w="992" w:type="dxa"/>
            <w:tcBorders>
              <w:top w:val="nil"/>
              <w:left w:val="nil"/>
              <w:bottom w:val="single" w:sz="8" w:space="0" w:color="auto"/>
              <w:right w:val="single" w:sz="12" w:space="0" w:color="auto"/>
            </w:tcBorders>
          </w:tcPr>
          <w:p w14:paraId="73B4A83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74A7532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Quraishi &amp; Cornfield, 1973</w:t>
            </w:r>
          </w:p>
        </w:tc>
      </w:tr>
      <w:tr w:rsidR="00632208" w:rsidRPr="0098635C" w14:paraId="31C54B6C" w14:textId="77777777" w:rsidTr="00A432B0">
        <w:trPr>
          <w:trHeight w:val="64"/>
        </w:trPr>
        <w:tc>
          <w:tcPr>
            <w:tcW w:w="938" w:type="dxa"/>
            <w:tcBorders>
              <w:top w:val="nil"/>
              <w:left w:val="single" w:sz="12" w:space="0" w:color="auto"/>
              <w:bottom w:val="single" w:sz="8" w:space="0" w:color="auto"/>
              <w:right w:val="single" w:sz="8" w:space="0" w:color="auto"/>
            </w:tcBorders>
          </w:tcPr>
          <w:p w14:paraId="65B72E3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CuSO</w:t>
            </w:r>
            <w:r w:rsidRPr="0098635C">
              <w:rPr>
                <w:rFonts w:ascii="Arial Narrow" w:hAnsi="Arial Narrow" w:cs="Arial Narrow"/>
                <w:color w:val="000000" w:themeColor="text1"/>
                <w:sz w:val="20"/>
                <w:szCs w:val="20"/>
                <w:vertAlign w:val="subscript"/>
              </w:rPr>
              <w:t>4</w:t>
            </w:r>
          </w:p>
        </w:tc>
        <w:tc>
          <w:tcPr>
            <w:tcW w:w="1276" w:type="dxa"/>
            <w:tcBorders>
              <w:top w:val="nil"/>
              <w:left w:val="nil"/>
              <w:bottom w:val="single" w:sz="8" w:space="0" w:color="auto"/>
              <w:right w:val="single" w:sz="8" w:space="0" w:color="auto"/>
            </w:tcBorders>
          </w:tcPr>
          <w:p w14:paraId="3F74543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ammonification (aeroob)</w:t>
            </w:r>
          </w:p>
        </w:tc>
        <w:tc>
          <w:tcPr>
            <w:tcW w:w="2127" w:type="dxa"/>
            <w:tcBorders>
              <w:top w:val="nil"/>
              <w:left w:val="nil"/>
              <w:bottom w:val="single" w:sz="8" w:space="0" w:color="auto"/>
              <w:right w:val="single" w:sz="8" w:space="0" w:color="auto"/>
            </w:tcBorders>
          </w:tcPr>
          <w:p w14:paraId="6CCF74D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loam</w:t>
            </w:r>
          </w:p>
        </w:tc>
        <w:tc>
          <w:tcPr>
            <w:tcW w:w="567" w:type="dxa"/>
            <w:tcBorders>
              <w:top w:val="nil"/>
              <w:left w:val="nil"/>
              <w:bottom w:val="single" w:sz="8" w:space="0" w:color="auto"/>
              <w:right w:val="single" w:sz="8" w:space="0" w:color="auto"/>
            </w:tcBorders>
          </w:tcPr>
          <w:p w14:paraId="6DC2DC3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7.1</w:t>
            </w:r>
          </w:p>
        </w:tc>
        <w:tc>
          <w:tcPr>
            <w:tcW w:w="708" w:type="dxa"/>
            <w:tcBorders>
              <w:top w:val="nil"/>
              <w:left w:val="nil"/>
              <w:bottom w:val="single" w:sz="8" w:space="0" w:color="auto"/>
              <w:right w:val="single" w:sz="8" w:space="0" w:color="auto"/>
            </w:tcBorders>
          </w:tcPr>
          <w:p w14:paraId="6786D7C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3.4</w:t>
            </w:r>
          </w:p>
        </w:tc>
        <w:tc>
          <w:tcPr>
            <w:tcW w:w="709" w:type="dxa"/>
            <w:tcBorders>
              <w:top w:val="nil"/>
              <w:left w:val="nil"/>
              <w:bottom w:val="single" w:sz="8" w:space="0" w:color="auto"/>
              <w:right w:val="single" w:sz="8" w:space="0" w:color="auto"/>
            </w:tcBorders>
          </w:tcPr>
          <w:p w14:paraId="3B102D1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17</w:t>
            </w:r>
          </w:p>
        </w:tc>
        <w:tc>
          <w:tcPr>
            <w:tcW w:w="851" w:type="dxa"/>
            <w:tcBorders>
              <w:top w:val="nil"/>
              <w:left w:val="nil"/>
              <w:bottom w:val="single" w:sz="8" w:space="0" w:color="auto"/>
              <w:right w:val="single" w:sz="8" w:space="0" w:color="auto"/>
            </w:tcBorders>
          </w:tcPr>
          <w:p w14:paraId="769E3EE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33</w:t>
            </w:r>
          </w:p>
        </w:tc>
        <w:tc>
          <w:tcPr>
            <w:tcW w:w="850" w:type="dxa"/>
            <w:tcBorders>
              <w:top w:val="nil"/>
              <w:left w:val="nil"/>
              <w:bottom w:val="single" w:sz="8" w:space="0" w:color="auto"/>
              <w:right w:val="single" w:sz="8" w:space="0" w:color="auto"/>
            </w:tcBorders>
          </w:tcPr>
          <w:p w14:paraId="2FE0915E"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16.5</w:t>
            </w:r>
          </w:p>
        </w:tc>
        <w:tc>
          <w:tcPr>
            <w:tcW w:w="992" w:type="dxa"/>
            <w:tcBorders>
              <w:top w:val="nil"/>
              <w:left w:val="nil"/>
              <w:bottom w:val="single" w:sz="8" w:space="0" w:color="auto"/>
              <w:right w:val="single" w:sz="8" w:space="0" w:color="auto"/>
            </w:tcBorders>
          </w:tcPr>
          <w:p w14:paraId="55358E7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851" w:type="dxa"/>
            <w:tcBorders>
              <w:top w:val="single" w:sz="8" w:space="0" w:color="auto"/>
              <w:left w:val="nil"/>
              <w:bottom w:val="single" w:sz="8" w:space="0" w:color="auto"/>
              <w:right w:val="single" w:sz="8" w:space="0" w:color="000000"/>
            </w:tcBorders>
          </w:tcPr>
          <w:p w14:paraId="02A6C0AD"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1,000</w:t>
            </w:r>
          </w:p>
        </w:tc>
        <w:tc>
          <w:tcPr>
            <w:tcW w:w="992" w:type="dxa"/>
            <w:tcBorders>
              <w:top w:val="nil"/>
              <w:left w:val="nil"/>
              <w:bottom w:val="single" w:sz="8" w:space="0" w:color="auto"/>
              <w:right w:val="single" w:sz="8" w:space="0" w:color="auto"/>
            </w:tcBorders>
          </w:tcPr>
          <w:p w14:paraId="523A59B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23912D36"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1,033</w:t>
            </w:r>
          </w:p>
        </w:tc>
        <w:tc>
          <w:tcPr>
            <w:tcW w:w="992" w:type="dxa"/>
            <w:tcBorders>
              <w:top w:val="nil"/>
              <w:left w:val="nil"/>
              <w:bottom w:val="single" w:sz="8" w:space="0" w:color="auto"/>
              <w:right w:val="single" w:sz="12" w:space="0" w:color="auto"/>
            </w:tcBorders>
          </w:tcPr>
          <w:p w14:paraId="138025A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3631DBA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Premi &amp; Cornfield, 1969</w:t>
            </w:r>
          </w:p>
        </w:tc>
      </w:tr>
      <w:tr w:rsidR="00632208" w:rsidRPr="0098635C" w14:paraId="5389BFD2" w14:textId="77777777" w:rsidTr="00A432B0">
        <w:trPr>
          <w:trHeight w:val="84"/>
        </w:trPr>
        <w:tc>
          <w:tcPr>
            <w:tcW w:w="938" w:type="dxa"/>
            <w:tcBorders>
              <w:top w:val="nil"/>
              <w:left w:val="single" w:sz="12" w:space="0" w:color="auto"/>
              <w:bottom w:val="single" w:sz="8" w:space="0" w:color="auto"/>
              <w:right w:val="single" w:sz="8" w:space="0" w:color="auto"/>
            </w:tcBorders>
          </w:tcPr>
          <w:p w14:paraId="78EB445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CuSO</w:t>
            </w:r>
            <w:r w:rsidRPr="0098635C">
              <w:rPr>
                <w:rFonts w:ascii="Arial Narrow" w:hAnsi="Arial Narrow" w:cs="Arial Narrow"/>
                <w:color w:val="000000" w:themeColor="text1"/>
                <w:sz w:val="20"/>
                <w:szCs w:val="20"/>
                <w:vertAlign w:val="subscript"/>
              </w:rPr>
              <w:t>4</w:t>
            </w:r>
          </w:p>
        </w:tc>
        <w:tc>
          <w:tcPr>
            <w:tcW w:w="1276" w:type="dxa"/>
            <w:tcBorders>
              <w:top w:val="nil"/>
              <w:left w:val="nil"/>
              <w:bottom w:val="single" w:sz="8" w:space="0" w:color="auto"/>
              <w:right w:val="single" w:sz="8" w:space="0" w:color="auto"/>
            </w:tcBorders>
          </w:tcPr>
          <w:p w14:paraId="74A9190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nitrification</w:t>
            </w:r>
          </w:p>
        </w:tc>
        <w:tc>
          <w:tcPr>
            <w:tcW w:w="2127" w:type="dxa"/>
            <w:tcBorders>
              <w:top w:val="nil"/>
              <w:left w:val="nil"/>
              <w:bottom w:val="single" w:sz="8" w:space="0" w:color="auto"/>
              <w:right w:val="single" w:sz="8" w:space="0" w:color="auto"/>
            </w:tcBorders>
          </w:tcPr>
          <w:p w14:paraId="16327C4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loam</w:t>
            </w:r>
          </w:p>
        </w:tc>
        <w:tc>
          <w:tcPr>
            <w:tcW w:w="567" w:type="dxa"/>
            <w:tcBorders>
              <w:top w:val="nil"/>
              <w:left w:val="nil"/>
              <w:bottom w:val="single" w:sz="8" w:space="0" w:color="auto"/>
              <w:right w:val="single" w:sz="8" w:space="0" w:color="auto"/>
            </w:tcBorders>
          </w:tcPr>
          <w:p w14:paraId="29D5D1E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7.1</w:t>
            </w:r>
          </w:p>
        </w:tc>
        <w:tc>
          <w:tcPr>
            <w:tcW w:w="708" w:type="dxa"/>
            <w:tcBorders>
              <w:top w:val="nil"/>
              <w:left w:val="nil"/>
              <w:bottom w:val="single" w:sz="8" w:space="0" w:color="auto"/>
              <w:right w:val="single" w:sz="8" w:space="0" w:color="auto"/>
            </w:tcBorders>
          </w:tcPr>
          <w:p w14:paraId="0AE29AA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3.4</w:t>
            </w:r>
          </w:p>
        </w:tc>
        <w:tc>
          <w:tcPr>
            <w:tcW w:w="709" w:type="dxa"/>
            <w:tcBorders>
              <w:top w:val="nil"/>
              <w:left w:val="nil"/>
              <w:bottom w:val="single" w:sz="8" w:space="0" w:color="auto"/>
              <w:right w:val="single" w:sz="8" w:space="0" w:color="auto"/>
            </w:tcBorders>
          </w:tcPr>
          <w:p w14:paraId="3252FB2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17</w:t>
            </w:r>
          </w:p>
        </w:tc>
        <w:tc>
          <w:tcPr>
            <w:tcW w:w="851" w:type="dxa"/>
            <w:tcBorders>
              <w:top w:val="nil"/>
              <w:left w:val="nil"/>
              <w:bottom w:val="single" w:sz="8" w:space="0" w:color="auto"/>
              <w:right w:val="single" w:sz="8" w:space="0" w:color="auto"/>
            </w:tcBorders>
          </w:tcPr>
          <w:p w14:paraId="347A4A9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33</w:t>
            </w:r>
          </w:p>
        </w:tc>
        <w:tc>
          <w:tcPr>
            <w:tcW w:w="850" w:type="dxa"/>
            <w:tcBorders>
              <w:top w:val="nil"/>
              <w:left w:val="nil"/>
              <w:bottom w:val="single" w:sz="8" w:space="0" w:color="auto"/>
              <w:right w:val="single" w:sz="8" w:space="0" w:color="auto"/>
            </w:tcBorders>
          </w:tcPr>
          <w:p w14:paraId="528C052D"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16.5</w:t>
            </w:r>
          </w:p>
        </w:tc>
        <w:tc>
          <w:tcPr>
            <w:tcW w:w="992" w:type="dxa"/>
            <w:tcBorders>
              <w:top w:val="nil"/>
              <w:left w:val="nil"/>
              <w:bottom w:val="single" w:sz="8" w:space="0" w:color="auto"/>
              <w:right w:val="single" w:sz="8" w:space="0" w:color="auto"/>
            </w:tcBorders>
          </w:tcPr>
          <w:p w14:paraId="60AF816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851" w:type="dxa"/>
            <w:tcBorders>
              <w:top w:val="single" w:sz="8" w:space="0" w:color="auto"/>
              <w:left w:val="nil"/>
              <w:bottom w:val="single" w:sz="8" w:space="0" w:color="auto"/>
              <w:right w:val="single" w:sz="8" w:space="0" w:color="000000"/>
            </w:tcBorders>
          </w:tcPr>
          <w:p w14:paraId="48039E56"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1,000</w:t>
            </w:r>
          </w:p>
        </w:tc>
        <w:tc>
          <w:tcPr>
            <w:tcW w:w="992" w:type="dxa"/>
            <w:tcBorders>
              <w:top w:val="nil"/>
              <w:left w:val="nil"/>
              <w:bottom w:val="single" w:sz="8" w:space="0" w:color="auto"/>
              <w:right w:val="single" w:sz="8" w:space="0" w:color="auto"/>
            </w:tcBorders>
          </w:tcPr>
          <w:p w14:paraId="4DDE2E3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5FA0FB08"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1,033</w:t>
            </w:r>
          </w:p>
        </w:tc>
        <w:tc>
          <w:tcPr>
            <w:tcW w:w="992" w:type="dxa"/>
            <w:tcBorders>
              <w:top w:val="nil"/>
              <w:left w:val="nil"/>
              <w:bottom w:val="single" w:sz="8" w:space="0" w:color="auto"/>
              <w:right w:val="single" w:sz="12" w:space="0" w:color="auto"/>
            </w:tcBorders>
          </w:tcPr>
          <w:p w14:paraId="3DCB3B1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38A6013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Premi &amp; Cornfield, 1969</w:t>
            </w:r>
          </w:p>
        </w:tc>
      </w:tr>
      <w:tr w:rsidR="00632208" w:rsidRPr="0098635C" w14:paraId="1E0BB562" w14:textId="77777777" w:rsidTr="00A432B0">
        <w:trPr>
          <w:trHeight w:val="64"/>
        </w:trPr>
        <w:tc>
          <w:tcPr>
            <w:tcW w:w="938" w:type="dxa"/>
            <w:tcBorders>
              <w:top w:val="nil"/>
              <w:left w:val="single" w:sz="12" w:space="0" w:color="auto"/>
              <w:bottom w:val="single" w:sz="8" w:space="0" w:color="auto"/>
              <w:right w:val="single" w:sz="8" w:space="0" w:color="auto"/>
            </w:tcBorders>
          </w:tcPr>
          <w:p w14:paraId="6690CC8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CuSO</w:t>
            </w:r>
            <w:r w:rsidRPr="0098635C">
              <w:rPr>
                <w:rFonts w:ascii="Arial Narrow" w:hAnsi="Arial Narrow" w:cs="Arial Narrow"/>
                <w:color w:val="000000" w:themeColor="text1"/>
                <w:sz w:val="20"/>
                <w:szCs w:val="20"/>
                <w:vertAlign w:val="subscript"/>
              </w:rPr>
              <w:t>4</w:t>
            </w:r>
          </w:p>
        </w:tc>
        <w:tc>
          <w:tcPr>
            <w:tcW w:w="1276" w:type="dxa"/>
            <w:tcBorders>
              <w:top w:val="nil"/>
              <w:left w:val="nil"/>
              <w:bottom w:val="single" w:sz="8" w:space="0" w:color="auto"/>
              <w:right w:val="single" w:sz="8" w:space="0" w:color="auto"/>
            </w:tcBorders>
          </w:tcPr>
          <w:p w14:paraId="5C025C4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ammonification (anaeroob)</w:t>
            </w:r>
          </w:p>
        </w:tc>
        <w:tc>
          <w:tcPr>
            <w:tcW w:w="2127" w:type="dxa"/>
            <w:tcBorders>
              <w:top w:val="nil"/>
              <w:left w:val="nil"/>
              <w:bottom w:val="single" w:sz="8" w:space="0" w:color="auto"/>
              <w:right w:val="single" w:sz="8" w:space="0" w:color="auto"/>
            </w:tcBorders>
          </w:tcPr>
          <w:p w14:paraId="619C2EA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loam</w:t>
            </w:r>
          </w:p>
        </w:tc>
        <w:tc>
          <w:tcPr>
            <w:tcW w:w="567" w:type="dxa"/>
            <w:tcBorders>
              <w:top w:val="nil"/>
              <w:left w:val="nil"/>
              <w:bottom w:val="single" w:sz="8" w:space="0" w:color="auto"/>
              <w:right w:val="single" w:sz="8" w:space="0" w:color="auto"/>
            </w:tcBorders>
          </w:tcPr>
          <w:p w14:paraId="3FB74C8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7.1</w:t>
            </w:r>
          </w:p>
        </w:tc>
        <w:tc>
          <w:tcPr>
            <w:tcW w:w="708" w:type="dxa"/>
            <w:tcBorders>
              <w:top w:val="nil"/>
              <w:left w:val="nil"/>
              <w:bottom w:val="single" w:sz="8" w:space="0" w:color="auto"/>
              <w:right w:val="single" w:sz="8" w:space="0" w:color="auto"/>
            </w:tcBorders>
          </w:tcPr>
          <w:p w14:paraId="75FEF0C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3.4</w:t>
            </w:r>
          </w:p>
        </w:tc>
        <w:tc>
          <w:tcPr>
            <w:tcW w:w="709" w:type="dxa"/>
            <w:tcBorders>
              <w:top w:val="nil"/>
              <w:left w:val="nil"/>
              <w:bottom w:val="single" w:sz="8" w:space="0" w:color="auto"/>
              <w:right w:val="single" w:sz="8" w:space="0" w:color="auto"/>
            </w:tcBorders>
          </w:tcPr>
          <w:p w14:paraId="50676B5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17</w:t>
            </w:r>
          </w:p>
        </w:tc>
        <w:tc>
          <w:tcPr>
            <w:tcW w:w="851" w:type="dxa"/>
            <w:tcBorders>
              <w:top w:val="nil"/>
              <w:left w:val="nil"/>
              <w:bottom w:val="single" w:sz="8" w:space="0" w:color="auto"/>
              <w:right w:val="single" w:sz="8" w:space="0" w:color="auto"/>
            </w:tcBorders>
          </w:tcPr>
          <w:p w14:paraId="2A8EB8C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33</w:t>
            </w:r>
          </w:p>
        </w:tc>
        <w:tc>
          <w:tcPr>
            <w:tcW w:w="850" w:type="dxa"/>
            <w:tcBorders>
              <w:top w:val="nil"/>
              <w:left w:val="nil"/>
              <w:bottom w:val="single" w:sz="8" w:space="0" w:color="auto"/>
              <w:right w:val="single" w:sz="8" w:space="0" w:color="auto"/>
            </w:tcBorders>
          </w:tcPr>
          <w:p w14:paraId="4054B7DD"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16.5</w:t>
            </w:r>
          </w:p>
        </w:tc>
        <w:tc>
          <w:tcPr>
            <w:tcW w:w="992" w:type="dxa"/>
            <w:tcBorders>
              <w:top w:val="nil"/>
              <w:left w:val="nil"/>
              <w:bottom w:val="single" w:sz="8" w:space="0" w:color="auto"/>
              <w:right w:val="single" w:sz="8" w:space="0" w:color="auto"/>
            </w:tcBorders>
          </w:tcPr>
          <w:p w14:paraId="0D1E6AE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851" w:type="dxa"/>
            <w:tcBorders>
              <w:top w:val="single" w:sz="8" w:space="0" w:color="auto"/>
              <w:left w:val="nil"/>
              <w:bottom w:val="single" w:sz="8" w:space="0" w:color="auto"/>
              <w:right w:val="single" w:sz="8" w:space="0" w:color="000000"/>
            </w:tcBorders>
          </w:tcPr>
          <w:p w14:paraId="62F7328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405A110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10,000</w:t>
            </w:r>
          </w:p>
        </w:tc>
        <w:tc>
          <w:tcPr>
            <w:tcW w:w="851" w:type="dxa"/>
            <w:tcBorders>
              <w:top w:val="single" w:sz="8" w:space="0" w:color="auto"/>
              <w:left w:val="nil"/>
              <w:bottom w:val="single" w:sz="8" w:space="0" w:color="auto"/>
              <w:right w:val="single" w:sz="8" w:space="0" w:color="000000"/>
            </w:tcBorders>
          </w:tcPr>
          <w:p w14:paraId="5A4C04E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12" w:space="0" w:color="auto"/>
            </w:tcBorders>
          </w:tcPr>
          <w:p w14:paraId="3165A13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10,033</w:t>
            </w:r>
          </w:p>
        </w:tc>
        <w:tc>
          <w:tcPr>
            <w:tcW w:w="2410" w:type="dxa"/>
            <w:tcBorders>
              <w:top w:val="nil"/>
              <w:left w:val="nil"/>
              <w:bottom w:val="single" w:sz="8" w:space="0" w:color="auto"/>
              <w:right w:val="single" w:sz="12" w:space="0" w:color="auto"/>
            </w:tcBorders>
          </w:tcPr>
          <w:p w14:paraId="22E749E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Premi &amp; Cornfield, 1969</w:t>
            </w:r>
          </w:p>
        </w:tc>
      </w:tr>
      <w:tr w:rsidR="00632208" w:rsidRPr="0098635C" w14:paraId="1326A805" w14:textId="77777777" w:rsidTr="00A432B0">
        <w:trPr>
          <w:trHeight w:val="64"/>
        </w:trPr>
        <w:tc>
          <w:tcPr>
            <w:tcW w:w="938" w:type="dxa"/>
            <w:tcBorders>
              <w:top w:val="nil"/>
              <w:left w:val="single" w:sz="12" w:space="0" w:color="auto"/>
              <w:bottom w:val="single" w:sz="8" w:space="0" w:color="auto"/>
              <w:right w:val="single" w:sz="8" w:space="0" w:color="auto"/>
            </w:tcBorders>
          </w:tcPr>
          <w:p w14:paraId="423A317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4D896DC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glutamic acid decomposition</w:t>
            </w:r>
          </w:p>
        </w:tc>
        <w:tc>
          <w:tcPr>
            <w:tcW w:w="2127" w:type="dxa"/>
            <w:tcBorders>
              <w:top w:val="nil"/>
              <w:left w:val="nil"/>
              <w:bottom w:val="single" w:sz="8" w:space="0" w:color="auto"/>
              <w:right w:val="single" w:sz="8" w:space="0" w:color="auto"/>
            </w:tcBorders>
          </w:tcPr>
          <w:p w14:paraId="2C45AF0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w:t>
            </w:r>
          </w:p>
        </w:tc>
        <w:tc>
          <w:tcPr>
            <w:tcW w:w="567" w:type="dxa"/>
            <w:tcBorders>
              <w:top w:val="nil"/>
              <w:left w:val="nil"/>
              <w:bottom w:val="single" w:sz="8" w:space="0" w:color="auto"/>
              <w:right w:val="single" w:sz="8" w:space="0" w:color="auto"/>
            </w:tcBorders>
          </w:tcPr>
          <w:p w14:paraId="0857A44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7.7</w:t>
            </w:r>
          </w:p>
        </w:tc>
        <w:tc>
          <w:tcPr>
            <w:tcW w:w="708" w:type="dxa"/>
            <w:tcBorders>
              <w:top w:val="nil"/>
              <w:left w:val="nil"/>
              <w:bottom w:val="single" w:sz="8" w:space="0" w:color="auto"/>
              <w:right w:val="single" w:sz="8" w:space="0" w:color="auto"/>
            </w:tcBorders>
          </w:tcPr>
          <w:p w14:paraId="2546661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1.6</w:t>
            </w:r>
          </w:p>
        </w:tc>
        <w:tc>
          <w:tcPr>
            <w:tcW w:w="709" w:type="dxa"/>
            <w:tcBorders>
              <w:top w:val="nil"/>
              <w:left w:val="nil"/>
              <w:bottom w:val="single" w:sz="8" w:space="0" w:color="auto"/>
              <w:right w:val="single" w:sz="8" w:space="0" w:color="auto"/>
            </w:tcBorders>
          </w:tcPr>
          <w:p w14:paraId="18C6D3C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w:t>
            </w:r>
          </w:p>
        </w:tc>
        <w:tc>
          <w:tcPr>
            <w:tcW w:w="851" w:type="dxa"/>
            <w:tcBorders>
              <w:top w:val="nil"/>
              <w:left w:val="nil"/>
              <w:bottom w:val="single" w:sz="8" w:space="0" w:color="auto"/>
              <w:right w:val="single" w:sz="8" w:space="0" w:color="auto"/>
            </w:tcBorders>
          </w:tcPr>
          <w:p w14:paraId="1EB729D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850" w:type="dxa"/>
            <w:tcBorders>
              <w:top w:val="nil"/>
              <w:left w:val="nil"/>
              <w:bottom w:val="single" w:sz="8" w:space="0" w:color="auto"/>
              <w:right w:val="single" w:sz="8" w:space="0" w:color="auto"/>
            </w:tcBorders>
          </w:tcPr>
          <w:p w14:paraId="73CD384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22F502D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540</w:t>
            </w:r>
          </w:p>
        </w:tc>
        <w:tc>
          <w:tcPr>
            <w:tcW w:w="851" w:type="dxa"/>
            <w:tcBorders>
              <w:top w:val="single" w:sz="8" w:space="0" w:color="auto"/>
              <w:left w:val="nil"/>
              <w:bottom w:val="single" w:sz="8" w:space="0" w:color="auto"/>
              <w:right w:val="single" w:sz="8" w:space="0" w:color="000000"/>
            </w:tcBorders>
          </w:tcPr>
          <w:p w14:paraId="2C79CBB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57880EE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&lt;55</w:t>
            </w:r>
          </w:p>
        </w:tc>
        <w:tc>
          <w:tcPr>
            <w:tcW w:w="851" w:type="dxa"/>
            <w:tcBorders>
              <w:top w:val="single" w:sz="8" w:space="0" w:color="auto"/>
              <w:left w:val="nil"/>
              <w:bottom w:val="single" w:sz="8" w:space="0" w:color="auto"/>
              <w:right w:val="single" w:sz="8" w:space="0" w:color="000000"/>
            </w:tcBorders>
          </w:tcPr>
          <w:p w14:paraId="19AFB5D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12" w:space="0" w:color="auto"/>
            </w:tcBorders>
          </w:tcPr>
          <w:p w14:paraId="04DED1D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&lt;59</w:t>
            </w:r>
          </w:p>
        </w:tc>
        <w:tc>
          <w:tcPr>
            <w:tcW w:w="2410" w:type="dxa"/>
            <w:tcBorders>
              <w:top w:val="nil"/>
              <w:left w:val="nil"/>
              <w:bottom w:val="single" w:sz="8" w:space="0" w:color="auto"/>
              <w:right w:val="single" w:sz="12" w:space="0" w:color="auto"/>
            </w:tcBorders>
          </w:tcPr>
          <w:p w14:paraId="7325FB4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Haanstra &amp; Doelman, 1984</w:t>
            </w:r>
          </w:p>
        </w:tc>
      </w:tr>
      <w:tr w:rsidR="00632208" w:rsidRPr="0098635C" w14:paraId="2917F2C2" w14:textId="77777777" w:rsidTr="00A432B0">
        <w:trPr>
          <w:trHeight w:val="64"/>
        </w:trPr>
        <w:tc>
          <w:tcPr>
            <w:tcW w:w="938" w:type="dxa"/>
            <w:tcBorders>
              <w:top w:val="nil"/>
              <w:left w:val="single" w:sz="12" w:space="0" w:color="auto"/>
              <w:bottom w:val="single" w:sz="8" w:space="0" w:color="auto"/>
              <w:right w:val="single" w:sz="8" w:space="0" w:color="auto"/>
            </w:tcBorders>
          </w:tcPr>
          <w:p w14:paraId="4D0882C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5A8E30F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glutamic acid decomposition</w:t>
            </w:r>
          </w:p>
        </w:tc>
        <w:tc>
          <w:tcPr>
            <w:tcW w:w="2127" w:type="dxa"/>
            <w:tcBorders>
              <w:top w:val="nil"/>
              <w:left w:val="nil"/>
              <w:bottom w:val="single" w:sz="8" w:space="0" w:color="auto"/>
              <w:right w:val="single" w:sz="8" w:space="0" w:color="auto"/>
            </w:tcBorders>
          </w:tcPr>
          <w:p w14:paraId="1BFA16D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silty loam</w:t>
            </w:r>
          </w:p>
        </w:tc>
        <w:tc>
          <w:tcPr>
            <w:tcW w:w="567" w:type="dxa"/>
            <w:tcBorders>
              <w:top w:val="nil"/>
              <w:left w:val="nil"/>
              <w:bottom w:val="single" w:sz="8" w:space="0" w:color="auto"/>
              <w:right w:val="single" w:sz="8" w:space="0" w:color="auto"/>
            </w:tcBorders>
          </w:tcPr>
          <w:p w14:paraId="644A905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7.4</w:t>
            </w:r>
          </w:p>
        </w:tc>
        <w:tc>
          <w:tcPr>
            <w:tcW w:w="708" w:type="dxa"/>
            <w:tcBorders>
              <w:top w:val="nil"/>
              <w:left w:val="nil"/>
              <w:bottom w:val="single" w:sz="8" w:space="0" w:color="auto"/>
              <w:right w:val="single" w:sz="8" w:space="0" w:color="auto"/>
            </w:tcBorders>
          </w:tcPr>
          <w:p w14:paraId="1B9044D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2.4</w:t>
            </w:r>
          </w:p>
        </w:tc>
        <w:tc>
          <w:tcPr>
            <w:tcW w:w="709" w:type="dxa"/>
            <w:tcBorders>
              <w:top w:val="nil"/>
              <w:left w:val="nil"/>
              <w:bottom w:val="single" w:sz="8" w:space="0" w:color="auto"/>
              <w:right w:val="single" w:sz="8" w:space="0" w:color="auto"/>
            </w:tcBorders>
          </w:tcPr>
          <w:p w14:paraId="08AD501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851" w:type="dxa"/>
            <w:tcBorders>
              <w:top w:val="nil"/>
              <w:left w:val="nil"/>
              <w:bottom w:val="single" w:sz="8" w:space="0" w:color="auto"/>
              <w:right w:val="single" w:sz="8" w:space="0" w:color="auto"/>
            </w:tcBorders>
          </w:tcPr>
          <w:p w14:paraId="7BE6120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22</w:t>
            </w:r>
          </w:p>
        </w:tc>
        <w:tc>
          <w:tcPr>
            <w:tcW w:w="850" w:type="dxa"/>
            <w:tcBorders>
              <w:top w:val="nil"/>
              <w:left w:val="nil"/>
              <w:bottom w:val="single" w:sz="8" w:space="0" w:color="auto"/>
              <w:right w:val="single" w:sz="8" w:space="0" w:color="auto"/>
            </w:tcBorders>
          </w:tcPr>
          <w:p w14:paraId="444DFBD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16.5</w:t>
            </w:r>
          </w:p>
        </w:tc>
        <w:tc>
          <w:tcPr>
            <w:tcW w:w="992" w:type="dxa"/>
            <w:tcBorders>
              <w:top w:val="nil"/>
              <w:left w:val="nil"/>
              <w:bottom w:val="single" w:sz="8" w:space="0" w:color="auto"/>
              <w:right w:val="single" w:sz="8" w:space="0" w:color="auto"/>
            </w:tcBorders>
          </w:tcPr>
          <w:p w14:paraId="7EC45A5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540</w:t>
            </w:r>
          </w:p>
        </w:tc>
        <w:tc>
          <w:tcPr>
            <w:tcW w:w="851" w:type="dxa"/>
            <w:tcBorders>
              <w:top w:val="single" w:sz="8" w:space="0" w:color="auto"/>
              <w:left w:val="nil"/>
              <w:bottom w:val="single" w:sz="8" w:space="0" w:color="auto"/>
              <w:right w:val="single" w:sz="8" w:space="0" w:color="000000"/>
            </w:tcBorders>
          </w:tcPr>
          <w:p w14:paraId="4DCBEFD6"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55</w:t>
            </w:r>
          </w:p>
        </w:tc>
        <w:tc>
          <w:tcPr>
            <w:tcW w:w="992" w:type="dxa"/>
            <w:tcBorders>
              <w:top w:val="nil"/>
              <w:left w:val="nil"/>
              <w:bottom w:val="single" w:sz="8" w:space="0" w:color="auto"/>
              <w:right w:val="single" w:sz="8" w:space="0" w:color="auto"/>
            </w:tcBorders>
          </w:tcPr>
          <w:p w14:paraId="23BCD25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1DDF09A9"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77</w:t>
            </w:r>
          </w:p>
        </w:tc>
        <w:tc>
          <w:tcPr>
            <w:tcW w:w="992" w:type="dxa"/>
            <w:tcBorders>
              <w:top w:val="nil"/>
              <w:left w:val="nil"/>
              <w:bottom w:val="single" w:sz="8" w:space="0" w:color="auto"/>
              <w:right w:val="single" w:sz="12" w:space="0" w:color="auto"/>
            </w:tcBorders>
          </w:tcPr>
          <w:p w14:paraId="1082640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7543120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Haanstra &amp; Doelman, 1984</w:t>
            </w:r>
          </w:p>
        </w:tc>
      </w:tr>
      <w:tr w:rsidR="00632208" w:rsidRPr="0098635C" w14:paraId="30E0F2E1" w14:textId="77777777" w:rsidTr="00A432B0">
        <w:trPr>
          <w:trHeight w:val="64"/>
        </w:trPr>
        <w:tc>
          <w:tcPr>
            <w:tcW w:w="938" w:type="dxa"/>
            <w:tcBorders>
              <w:top w:val="nil"/>
              <w:left w:val="single" w:sz="12" w:space="0" w:color="auto"/>
              <w:bottom w:val="single" w:sz="8" w:space="0" w:color="auto"/>
              <w:right w:val="single" w:sz="8" w:space="0" w:color="auto"/>
            </w:tcBorders>
          </w:tcPr>
          <w:p w14:paraId="16C8D05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30ECBD7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glutamic acid decomposition</w:t>
            </w:r>
          </w:p>
        </w:tc>
        <w:tc>
          <w:tcPr>
            <w:tcW w:w="2127" w:type="dxa"/>
            <w:tcBorders>
              <w:top w:val="nil"/>
              <w:left w:val="nil"/>
              <w:bottom w:val="single" w:sz="8" w:space="0" w:color="auto"/>
              <w:right w:val="single" w:sz="8" w:space="0" w:color="auto"/>
            </w:tcBorders>
          </w:tcPr>
          <w:p w14:paraId="052C883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clay</w:t>
            </w:r>
          </w:p>
        </w:tc>
        <w:tc>
          <w:tcPr>
            <w:tcW w:w="567" w:type="dxa"/>
            <w:tcBorders>
              <w:top w:val="nil"/>
              <w:left w:val="nil"/>
              <w:bottom w:val="single" w:sz="8" w:space="0" w:color="auto"/>
              <w:right w:val="single" w:sz="8" w:space="0" w:color="auto"/>
            </w:tcBorders>
          </w:tcPr>
          <w:p w14:paraId="1872A2F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6.8</w:t>
            </w:r>
          </w:p>
        </w:tc>
        <w:tc>
          <w:tcPr>
            <w:tcW w:w="708" w:type="dxa"/>
            <w:tcBorders>
              <w:top w:val="nil"/>
              <w:left w:val="nil"/>
              <w:bottom w:val="single" w:sz="8" w:space="0" w:color="auto"/>
              <w:right w:val="single" w:sz="8" w:space="0" w:color="auto"/>
            </w:tcBorders>
          </w:tcPr>
          <w:p w14:paraId="00E2905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3.2</w:t>
            </w:r>
          </w:p>
        </w:tc>
        <w:tc>
          <w:tcPr>
            <w:tcW w:w="709" w:type="dxa"/>
            <w:tcBorders>
              <w:top w:val="nil"/>
              <w:left w:val="nil"/>
              <w:bottom w:val="single" w:sz="8" w:space="0" w:color="auto"/>
              <w:right w:val="single" w:sz="8" w:space="0" w:color="auto"/>
            </w:tcBorders>
          </w:tcPr>
          <w:p w14:paraId="0EC6F17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60</w:t>
            </w:r>
          </w:p>
        </w:tc>
        <w:tc>
          <w:tcPr>
            <w:tcW w:w="851" w:type="dxa"/>
            <w:tcBorders>
              <w:top w:val="nil"/>
              <w:left w:val="nil"/>
              <w:bottom w:val="single" w:sz="8" w:space="0" w:color="auto"/>
              <w:right w:val="single" w:sz="8" w:space="0" w:color="auto"/>
            </w:tcBorders>
          </w:tcPr>
          <w:p w14:paraId="012AB9C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52</w:t>
            </w:r>
          </w:p>
        </w:tc>
        <w:tc>
          <w:tcPr>
            <w:tcW w:w="850" w:type="dxa"/>
            <w:tcBorders>
              <w:top w:val="nil"/>
              <w:left w:val="nil"/>
              <w:bottom w:val="single" w:sz="8" w:space="0" w:color="auto"/>
              <w:right w:val="single" w:sz="8" w:space="0" w:color="auto"/>
            </w:tcBorders>
          </w:tcPr>
          <w:p w14:paraId="5F26C2B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41.6</w:t>
            </w:r>
          </w:p>
        </w:tc>
        <w:tc>
          <w:tcPr>
            <w:tcW w:w="992" w:type="dxa"/>
            <w:tcBorders>
              <w:top w:val="nil"/>
              <w:left w:val="nil"/>
              <w:bottom w:val="single" w:sz="8" w:space="0" w:color="auto"/>
              <w:right w:val="single" w:sz="8" w:space="0" w:color="auto"/>
            </w:tcBorders>
          </w:tcPr>
          <w:p w14:paraId="6D0851B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540</w:t>
            </w:r>
          </w:p>
        </w:tc>
        <w:tc>
          <w:tcPr>
            <w:tcW w:w="851" w:type="dxa"/>
            <w:tcBorders>
              <w:top w:val="single" w:sz="8" w:space="0" w:color="auto"/>
              <w:left w:val="nil"/>
              <w:bottom w:val="single" w:sz="8" w:space="0" w:color="auto"/>
              <w:right w:val="single" w:sz="8" w:space="0" w:color="000000"/>
            </w:tcBorders>
          </w:tcPr>
          <w:p w14:paraId="7332B5E9"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55</w:t>
            </w:r>
          </w:p>
        </w:tc>
        <w:tc>
          <w:tcPr>
            <w:tcW w:w="992" w:type="dxa"/>
            <w:tcBorders>
              <w:top w:val="nil"/>
              <w:left w:val="nil"/>
              <w:bottom w:val="single" w:sz="8" w:space="0" w:color="auto"/>
              <w:right w:val="single" w:sz="8" w:space="0" w:color="auto"/>
            </w:tcBorders>
          </w:tcPr>
          <w:p w14:paraId="7B7997E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02C5D7FC"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107</w:t>
            </w:r>
          </w:p>
        </w:tc>
        <w:tc>
          <w:tcPr>
            <w:tcW w:w="992" w:type="dxa"/>
            <w:tcBorders>
              <w:top w:val="nil"/>
              <w:left w:val="nil"/>
              <w:bottom w:val="single" w:sz="8" w:space="0" w:color="auto"/>
              <w:right w:val="single" w:sz="12" w:space="0" w:color="auto"/>
            </w:tcBorders>
          </w:tcPr>
          <w:p w14:paraId="7AFB884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1EA812A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Haanstra &amp; Doelman, 1984</w:t>
            </w:r>
          </w:p>
        </w:tc>
      </w:tr>
      <w:tr w:rsidR="00632208" w:rsidRPr="0098635C" w14:paraId="591D5B82" w14:textId="77777777" w:rsidTr="00A432B0">
        <w:trPr>
          <w:trHeight w:val="64"/>
        </w:trPr>
        <w:tc>
          <w:tcPr>
            <w:tcW w:w="938" w:type="dxa"/>
            <w:tcBorders>
              <w:top w:val="nil"/>
              <w:left w:val="single" w:sz="12" w:space="0" w:color="auto"/>
              <w:bottom w:val="single" w:sz="8" w:space="0" w:color="auto"/>
              <w:right w:val="single" w:sz="8" w:space="0" w:color="auto"/>
            </w:tcBorders>
          </w:tcPr>
          <w:p w14:paraId="40D2638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6240F7F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glutamic acid decomposition</w:t>
            </w:r>
          </w:p>
        </w:tc>
        <w:tc>
          <w:tcPr>
            <w:tcW w:w="2127" w:type="dxa"/>
            <w:tcBorders>
              <w:top w:val="nil"/>
              <w:left w:val="nil"/>
              <w:bottom w:val="single" w:sz="8" w:space="0" w:color="auto"/>
              <w:right w:val="single" w:sz="8" w:space="0" w:color="auto"/>
            </w:tcBorders>
          </w:tcPr>
          <w:p w14:paraId="7175112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peat</w:t>
            </w:r>
          </w:p>
        </w:tc>
        <w:tc>
          <w:tcPr>
            <w:tcW w:w="567" w:type="dxa"/>
            <w:tcBorders>
              <w:top w:val="nil"/>
              <w:left w:val="nil"/>
              <w:bottom w:val="single" w:sz="8" w:space="0" w:color="auto"/>
              <w:right w:val="single" w:sz="8" w:space="0" w:color="auto"/>
            </w:tcBorders>
          </w:tcPr>
          <w:p w14:paraId="3320B46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4.3</w:t>
            </w:r>
          </w:p>
        </w:tc>
        <w:tc>
          <w:tcPr>
            <w:tcW w:w="708" w:type="dxa"/>
            <w:tcBorders>
              <w:top w:val="nil"/>
              <w:left w:val="nil"/>
              <w:bottom w:val="single" w:sz="8" w:space="0" w:color="auto"/>
              <w:right w:val="single" w:sz="8" w:space="0" w:color="auto"/>
            </w:tcBorders>
          </w:tcPr>
          <w:p w14:paraId="08B5B12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12.8</w:t>
            </w:r>
          </w:p>
        </w:tc>
        <w:tc>
          <w:tcPr>
            <w:tcW w:w="709" w:type="dxa"/>
            <w:tcBorders>
              <w:top w:val="nil"/>
              <w:left w:val="nil"/>
              <w:bottom w:val="single" w:sz="8" w:space="0" w:color="auto"/>
              <w:right w:val="single" w:sz="8" w:space="0" w:color="auto"/>
            </w:tcBorders>
          </w:tcPr>
          <w:p w14:paraId="3D5A07E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w:t>
            </w:r>
          </w:p>
        </w:tc>
        <w:tc>
          <w:tcPr>
            <w:tcW w:w="851" w:type="dxa"/>
            <w:tcBorders>
              <w:top w:val="nil"/>
              <w:left w:val="nil"/>
              <w:bottom w:val="single" w:sz="8" w:space="0" w:color="auto"/>
              <w:right w:val="single" w:sz="8" w:space="0" w:color="auto"/>
            </w:tcBorders>
          </w:tcPr>
          <w:p w14:paraId="41EED20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5.5</w:t>
            </w:r>
          </w:p>
        </w:tc>
        <w:tc>
          <w:tcPr>
            <w:tcW w:w="850" w:type="dxa"/>
            <w:tcBorders>
              <w:top w:val="nil"/>
              <w:left w:val="nil"/>
              <w:bottom w:val="single" w:sz="8" w:space="0" w:color="auto"/>
              <w:right w:val="single" w:sz="8" w:space="0" w:color="auto"/>
            </w:tcBorders>
          </w:tcPr>
          <w:p w14:paraId="01FB787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14.5</w:t>
            </w:r>
          </w:p>
        </w:tc>
        <w:tc>
          <w:tcPr>
            <w:tcW w:w="992" w:type="dxa"/>
            <w:tcBorders>
              <w:top w:val="nil"/>
              <w:left w:val="nil"/>
              <w:bottom w:val="single" w:sz="8" w:space="0" w:color="auto"/>
              <w:right w:val="single" w:sz="8" w:space="0" w:color="auto"/>
            </w:tcBorders>
          </w:tcPr>
          <w:p w14:paraId="27480EC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540</w:t>
            </w:r>
          </w:p>
        </w:tc>
        <w:tc>
          <w:tcPr>
            <w:tcW w:w="851" w:type="dxa"/>
            <w:tcBorders>
              <w:top w:val="single" w:sz="8" w:space="0" w:color="auto"/>
              <w:left w:val="nil"/>
              <w:bottom w:val="single" w:sz="8" w:space="0" w:color="auto"/>
              <w:right w:val="single" w:sz="8" w:space="0" w:color="000000"/>
            </w:tcBorders>
          </w:tcPr>
          <w:p w14:paraId="126B6A3F"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400</w:t>
            </w:r>
          </w:p>
        </w:tc>
        <w:tc>
          <w:tcPr>
            <w:tcW w:w="992" w:type="dxa"/>
            <w:tcBorders>
              <w:top w:val="nil"/>
              <w:left w:val="nil"/>
              <w:bottom w:val="single" w:sz="8" w:space="0" w:color="auto"/>
              <w:right w:val="single" w:sz="8" w:space="0" w:color="auto"/>
            </w:tcBorders>
          </w:tcPr>
          <w:p w14:paraId="3DD7B2B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16F05A1F"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406</w:t>
            </w:r>
          </w:p>
        </w:tc>
        <w:tc>
          <w:tcPr>
            <w:tcW w:w="992" w:type="dxa"/>
            <w:tcBorders>
              <w:top w:val="nil"/>
              <w:left w:val="nil"/>
              <w:bottom w:val="single" w:sz="8" w:space="0" w:color="auto"/>
              <w:right w:val="single" w:sz="12" w:space="0" w:color="auto"/>
            </w:tcBorders>
          </w:tcPr>
          <w:p w14:paraId="1DBE14D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2032D4E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Haanstra &amp; Doelman, 1984</w:t>
            </w:r>
          </w:p>
        </w:tc>
      </w:tr>
      <w:tr w:rsidR="00632208" w:rsidRPr="0098635C" w14:paraId="44970D26" w14:textId="77777777" w:rsidTr="00A432B0">
        <w:trPr>
          <w:trHeight w:val="64"/>
        </w:trPr>
        <w:tc>
          <w:tcPr>
            <w:tcW w:w="938" w:type="dxa"/>
            <w:tcBorders>
              <w:top w:val="nil"/>
              <w:left w:val="single" w:sz="12" w:space="0" w:color="auto"/>
              <w:bottom w:val="single" w:sz="8" w:space="0" w:color="auto"/>
              <w:right w:val="single" w:sz="8" w:space="0" w:color="auto"/>
            </w:tcBorders>
          </w:tcPr>
          <w:p w14:paraId="564C64A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CuSO</w:t>
            </w:r>
            <w:r w:rsidRPr="0098635C">
              <w:rPr>
                <w:rFonts w:ascii="Arial Narrow" w:hAnsi="Arial Narrow" w:cs="Arial Narrow"/>
                <w:color w:val="000000" w:themeColor="text1"/>
                <w:sz w:val="20"/>
                <w:szCs w:val="20"/>
                <w:vertAlign w:val="subscript"/>
              </w:rPr>
              <w:t>4</w:t>
            </w:r>
          </w:p>
        </w:tc>
        <w:tc>
          <w:tcPr>
            <w:tcW w:w="1276" w:type="dxa"/>
            <w:tcBorders>
              <w:top w:val="nil"/>
              <w:left w:val="nil"/>
              <w:bottom w:val="single" w:sz="8" w:space="0" w:color="auto"/>
              <w:right w:val="single" w:sz="8" w:space="0" w:color="auto"/>
            </w:tcBorders>
          </w:tcPr>
          <w:p w14:paraId="4BBEB0D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amidase activity</w:t>
            </w:r>
          </w:p>
        </w:tc>
        <w:tc>
          <w:tcPr>
            <w:tcW w:w="2127" w:type="dxa"/>
            <w:tcBorders>
              <w:top w:val="nil"/>
              <w:left w:val="nil"/>
              <w:bottom w:val="single" w:sz="8" w:space="0" w:color="auto"/>
              <w:right w:val="single" w:sz="8" w:space="0" w:color="auto"/>
            </w:tcBorders>
          </w:tcPr>
          <w:p w14:paraId="6D91FA5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clay</w:t>
            </w:r>
          </w:p>
        </w:tc>
        <w:tc>
          <w:tcPr>
            <w:tcW w:w="567" w:type="dxa"/>
            <w:tcBorders>
              <w:top w:val="nil"/>
              <w:left w:val="nil"/>
              <w:bottom w:val="single" w:sz="8" w:space="0" w:color="auto"/>
              <w:right w:val="single" w:sz="8" w:space="0" w:color="auto"/>
            </w:tcBorders>
          </w:tcPr>
          <w:p w14:paraId="143DF98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7.5</w:t>
            </w:r>
          </w:p>
        </w:tc>
        <w:tc>
          <w:tcPr>
            <w:tcW w:w="708" w:type="dxa"/>
            <w:tcBorders>
              <w:top w:val="nil"/>
              <w:left w:val="nil"/>
              <w:bottom w:val="single" w:sz="8" w:space="0" w:color="auto"/>
              <w:right w:val="single" w:sz="8" w:space="0" w:color="auto"/>
            </w:tcBorders>
          </w:tcPr>
          <w:p w14:paraId="289B928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73512BF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17.7</w:t>
            </w:r>
          </w:p>
        </w:tc>
        <w:tc>
          <w:tcPr>
            <w:tcW w:w="851" w:type="dxa"/>
            <w:tcBorders>
              <w:top w:val="nil"/>
              <w:left w:val="nil"/>
              <w:bottom w:val="single" w:sz="8" w:space="0" w:color="auto"/>
              <w:right w:val="single" w:sz="8" w:space="0" w:color="auto"/>
            </w:tcBorders>
          </w:tcPr>
          <w:p w14:paraId="0C119F25"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8" w:space="0" w:color="auto"/>
              <w:right w:val="single" w:sz="8" w:space="0" w:color="auto"/>
            </w:tcBorders>
          </w:tcPr>
          <w:p w14:paraId="1B13094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4457195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84</w:t>
            </w:r>
          </w:p>
        </w:tc>
        <w:tc>
          <w:tcPr>
            <w:tcW w:w="851" w:type="dxa"/>
            <w:tcBorders>
              <w:top w:val="single" w:sz="8" w:space="0" w:color="auto"/>
              <w:left w:val="nil"/>
              <w:bottom w:val="single" w:sz="8" w:space="0" w:color="auto"/>
              <w:right w:val="single" w:sz="8" w:space="0" w:color="000000"/>
            </w:tcBorders>
          </w:tcPr>
          <w:p w14:paraId="5C7516A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200</w:t>
            </w:r>
          </w:p>
        </w:tc>
        <w:tc>
          <w:tcPr>
            <w:tcW w:w="992" w:type="dxa"/>
            <w:tcBorders>
              <w:top w:val="nil"/>
              <w:left w:val="nil"/>
              <w:bottom w:val="single" w:sz="8" w:space="0" w:color="auto"/>
              <w:right w:val="single" w:sz="8" w:space="0" w:color="auto"/>
            </w:tcBorders>
          </w:tcPr>
          <w:p w14:paraId="12F3911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2510DEB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210.7</w:t>
            </w:r>
          </w:p>
        </w:tc>
        <w:tc>
          <w:tcPr>
            <w:tcW w:w="992" w:type="dxa"/>
            <w:tcBorders>
              <w:top w:val="nil"/>
              <w:left w:val="nil"/>
              <w:bottom w:val="single" w:sz="8" w:space="0" w:color="auto"/>
              <w:right w:val="single" w:sz="12" w:space="0" w:color="auto"/>
            </w:tcBorders>
          </w:tcPr>
          <w:p w14:paraId="133CEC6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2345B75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Hemida et al., 1997</w:t>
            </w:r>
          </w:p>
        </w:tc>
      </w:tr>
      <w:tr w:rsidR="00632208" w:rsidRPr="0098635C" w14:paraId="21B38B52" w14:textId="77777777" w:rsidTr="00A432B0">
        <w:trPr>
          <w:trHeight w:val="64"/>
        </w:trPr>
        <w:tc>
          <w:tcPr>
            <w:tcW w:w="938" w:type="dxa"/>
            <w:tcBorders>
              <w:top w:val="nil"/>
              <w:left w:val="single" w:sz="12" w:space="0" w:color="auto"/>
              <w:bottom w:val="single" w:sz="8" w:space="0" w:color="auto"/>
              <w:right w:val="single" w:sz="8" w:space="0" w:color="auto"/>
            </w:tcBorders>
          </w:tcPr>
          <w:p w14:paraId="71E0396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CuSO</w:t>
            </w:r>
            <w:r w:rsidRPr="0098635C">
              <w:rPr>
                <w:rFonts w:ascii="Arial Narrow" w:hAnsi="Arial Narrow" w:cs="Arial Narrow"/>
                <w:color w:val="000000" w:themeColor="text1"/>
                <w:sz w:val="20"/>
                <w:szCs w:val="20"/>
                <w:vertAlign w:val="subscript"/>
              </w:rPr>
              <w:t>4</w:t>
            </w:r>
          </w:p>
        </w:tc>
        <w:tc>
          <w:tcPr>
            <w:tcW w:w="1276" w:type="dxa"/>
            <w:tcBorders>
              <w:top w:val="nil"/>
              <w:left w:val="nil"/>
              <w:bottom w:val="single" w:sz="8" w:space="0" w:color="auto"/>
              <w:right w:val="single" w:sz="8" w:space="0" w:color="auto"/>
            </w:tcBorders>
          </w:tcPr>
          <w:p w14:paraId="4207130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amidase activity</w:t>
            </w:r>
          </w:p>
        </w:tc>
        <w:tc>
          <w:tcPr>
            <w:tcW w:w="2127" w:type="dxa"/>
            <w:tcBorders>
              <w:top w:val="nil"/>
              <w:left w:val="nil"/>
              <w:bottom w:val="single" w:sz="8" w:space="0" w:color="auto"/>
              <w:right w:val="single" w:sz="8" w:space="0" w:color="auto"/>
            </w:tcBorders>
          </w:tcPr>
          <w:p w14:paraId="247137D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w:t>
            </w:r>
          </w:p>
        </w:tc>
        <w:tc>
          <w:tcPr>
            <w:tcW w:w="567" w:type="dxa"/>
            <w:tcBorders>
              <w:top w:val="nil"/>
              <w:left w:val="nil"/>
              <w:bottom w:val="single" w:sz="8" w:space="0" w:color="auto"/>
              <w:right w:val="single" w:sz="8" w:space="0" w:color="auto"/>
            </w:tcBorders>
          </w:tcPr>
          <w:p w14:paraId="26777C6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7.4</w:t>
            </w:r>
          </w:p>
        </w:tc>
        <w:tc>
          <w:tcPr>
            <w:tcW w:w="708" w:type="dxa"/>
            <w:tcBorders>
              <w:top w:val="nil"/>
              <w:left w:val="nil"/>
              <w:bottom w:val="single" w:sz="8" w:space="0" w:color="auto"/>
              <w:right w:val="single" w:sz="8" w:space="0" w:color="auto"/>
            </w:tcBorders>
          </w:tcPr>
          <w:p w14:paraId="50EC8B0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1D9F79C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2.2</w:t>
            </w:r>
          </w:p>
        </w:tc>
        <w:tc>
          <w:tcPr>
            <w:tcW w:w="851" w:type="dxa"/>
            <w:tcBorders>
              <w:top w:val="nil"/>
              <w:left w:val="nil"/>
              <w:bottom w:val="single" w:sz="8" w:space="0" w:color="auto"/>
              <w:right w:val="single" w:sz="8" w:space="0" w:color="auto"/>
            </w:tcBorders>
          </w:tcPr>
          <w:p w14:paraId="0A103532"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8" w:space="0" w:color="auto"/>
              <w:right w:val="single" w:sz="8" w:space="0" w:color="auto"/>
            </w:tcBorders>
          </w:tcPr>
          <w:p w14:paraId="2AD5677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57EF828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84</w:t>
            </w:r>
          </w:p>
        </w:tc>
        <w:tc>
          <w:tcPr>
            <w:tcW w:w="851" w:type="dxa"/>
            <w:tcBorders>
              <w:top w:val="single" w:sz="8" w:space="0" w:color="auto"/>
              <w:left w:val="nil"/>
              <w:bottom w:val="single" w:sz="8" w:space="0" w:color="auto"/>
              <w:right w:val="single" w:sz="8" w:space="0" w:color="000000"/>
            </w:tcBorders>
          </w:tcPr>
          <w:p w14:paraId="1A6F01E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2FA9EA9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2,000</w:t>
            </w:r>
          </w:p>
        </w:tc>
        <w:tc>
          <w:tcPr>
            <w:tcW w:w="851" w:type="dxa"/>
            <w:tcBorders>
              <w:top w:val="single" w:sz="8" w:space="0" w:color="auto"/>
              <w:left w:val="nil"/>
              <w:bottom w:val="single" w:sz="8" w:space="0" w:color="auto"/>
              <w:right w:val="single" w:sz="8" w:space="0" w:color="000000"/>
            </w:tcBorders>
          </w:tcPr>
          <w:p w14:paraId="2499889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12" w:space="0" w:color="auto"/>
            </w:tcBorders>
          </w:tcPr>
          <w:p w14:paraId="311A95C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2,010.7</w:t>
            </w:r>
          </w:p>
        </w:tc>
        <w:tc>
          <w:tcPr>
            <w:tcW w:w="2410" w:type="dxa"/>
            <w:tcBorders>
              <w:top w:val="nil"/>
              <w:left w:val="nil"/>
              <w:bottom w:val="single" w:sz="8" w:space="0" w:color="auto"/>
              <w:right w:val="single" w:sz="12" w:space="0" w:color="auto"/>
            </w:tcBorders>
          </w:tcPr>
          <w:p w14:paraId="63F0A33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Hemida et al., 1997</w:t>
            </w:r>
          </w:p>
        </w:tc>
      </w:tr>
      <w:tr w:rsidR="00632208" w:rsidRPr="0098635C" w14:paraId="719F99BA" w14:textId="77777777" w:rsidTr="00A432B0">
        <w:trPr>
          <w:trHeight w:val="64"/>
        </w:trPr>
        <w:tc>
          <w:tcPr>
            <w:tcW w:w="938" w:type="dxa"/>
            <w:tcBorders>
              <w:top w:val="nil"/>
              <w:left w:val="single" w:sz="12" w:space="0" w:color="auto"/>
              <w:bottom w:val="single" w:sz="8" w:space="0" w:color="auto"/>
              <w:right w:val="single" w:sz="8" w:space="0" w:color="auto"/>
            </w:tcBorders>
          </w:tcPr>
          <w:p w14:paraId="7FF47DA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CuSO</w:t>
            </w:r>
            <w:r w:rsidRPr="0098635C">
              <w:rPr>
                <w:rFonts w:ascii="Arial Narrow" w:hAnsi="Arial Narrow" w:cs="Arial Narrow"/>
                <w:color w:val="000000" w:themeColor="text1"/>
                <w:sz w:val="20"/>
                <w:szCs w:val="20"/>
                <w:vertAlign w:val="subscript"/>
              </w:rPr>
              <w:t>4</w:t>
            </w:r>
          </w:p>
        </w:tc>
        <w:tc>
          <w:tcPr>
            <w:tcW w:w="1276" w:type="dxa"/>
            <w:tcBorders>
              <w:top w:val="nil"/>
              <w:left w:val="nil"/>
              <w:bottom w:val="single" w:sz="8" w:space="0" w:color="auto"/>
              <w:right w:val="single" w:sz="8" w:space="0" w:color="auto"/>
            </w:tcBorders>
          </w:tcPr>
          <w:p w14:paraId="6186ABE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N-mineralisation</w:t>
            </w:r>
          </w:p>
        </w:tc>
        <w:tc>
          <w:tcPr>
            <w:tcW w:w="2127" w:type="dxa"/>
            <w:tcBorders>
              <w:top w:val="nil"/>
              <w:left w:val="nil"/>
              <w:bottom w:val="single" w:sz="8" w:space="0" w:color="auto"/>
              <w:right w:val="single" w:sz="8" w:space="0" w:color="auto"/>
            </w:tcBorders>
          </w:tcPr>
          <w:p w14:paraId="067E2E4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silty loam</w:t>
            </w:r>
          </w:p>
        </w:tc>
        <w:tc>
          <w:tcPr>
            <w:tcW w:w="567" w:type="dxa"/>
            <w:tcBorders>
              <w:top w:val="nil"/>
              <w:left w:val="nil"/>
              <w:bottom w:val="single" w:sz="8" w:space="0" w:color="auto"/>
              <w:right w:val="single" w:sz="8" w:space="0" w:color="auto"/>
            </w:tcBorders>
          </w:tcPr>
          <w:p w14:paraId="31C19CA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6.9</w:t>
            </w:r>
          </w:p>
        </w:tc>
        <w:tc>
          <w:tcPr>
            <w:tcW w:w="708" w:type="dxa"/>
            <w:tcBorders>
              <w:top w:val="nil"/>
              <w:left w:val="nil"/>
              <w:bottom w:val="single" w:sz="8" w:space="0" w:color="auto"/>
              <w:right w:val="single" w:sz="8" w:space="0" w:color="auto"/>
            </w:tcBorders>
          </w:tcPr>
          <w:p w14:paraId="6BA3841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2.2</w:t>
            </w:r>
          </w:p>
        </w:tc>
        <w:tc>
          <w:tcPr>
            <w:tcW w:w="709" w:type="dxa"/>
            <w:tcBorders>
              <w:top w:val="nil"/>
              <w:left w:val="nil"/>
              <w:bottom w:val="single" w:sz="8" w:space="0" w:color="auto"/>
              <w:right w:val="single" w:sz="8" w:space="0" w:color="auto"/>
            </w:tcBorders>
          </w:tcPr>
          <w:p w14:paraId="7B10376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single" w:sz="8" w:space="0" w:color="auto"/>
            </w:tcBorders>
          </w:tcPr>
          <w:p w14:paraId="3829855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9.4</w:t>
            </w:r>
          </w:p>
        </w:tc>
        <w:tc>
          <w:tcPr>
            <w:tcW w:w="850" w:type="dxa"/>
            <w:tcBorders>
              <w:top w:val="nil"/>
              <w:left w:val="nil"/>
              <w:bottom w:val="single" w:sz="8" w:space="0" w:color="auto"/>
              <w:right w:val="single" w:sz="8" w:space="0" w:color="auto"/>
            </w:tcBorders>
          </w:tcPr>
          <w:p w14:paraId="2BED333F"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27.3</w:t>
            </w:r>
          </w:p>
        </w:tc>
        <w:tc>
          <w:tcPr>
            <w:tcW w:w="992" w:type="dxa"/>
            <w:tcBorders>
              <w:top w:val="nil"/>
              <w:left w:val="nil"/>
              <w:bottom w:val="single" w:sz="8" w:space="0" w:color="auto"/>
              <w:right w:val="single" w:sz="8" w:space="0" w:color="auto"/>
            </w:tcBorders>
          </w:tcPr>
          <w:p w14:paraId="45D3CD2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84</w:t>
            </w:r>
          </w:p>
        </w:tc>
        <w:tc>
          <w:tcPr>
            <w:tcW w:w="851" w:type="dxa"/>
            <w:tcBorders>
              <w:top w:val="single" w:sz="8" w:space="0" w:color="auto"/>
              <w:left w:val="nil"/>
              <w:bottom w:val="single" w:sz="8" w:space="0" w:color="auto"/>
              <w:right w:val="single" w:sz="8" w:space="0" w:color="000000"/>
            </w:tcBorders>
          </w:tcPr>
          <w:p w14:paraId="6972462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5FF94E9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&lt;100</w:t>
            </w:r>
          </w:p>
        </w:tc>
        <w:tc>
          <w:tcPr>
            <w:tcW w:w="851" w:type="dxa"/>
            <w:tcBorders>
              <w:top w:val="single" w:sz="8" w:space="0" w:color="auto"/>
              <w:left w:val="nil"/>
              <w:bottom w:val="single" w:sz="8" w:space="0" w:color="auto"/>
              <w:right w:val="single" w:sz="8" w:space="0" w:color="000000"/>
            </w:tcBorders>
          </w:tcPr>
          <w:p w14:paraId="7A4887D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12" w:space="0" w:color="auto"/>
            </w:tcBorders>
          </w:tcPr>
          <w:p w14:paraId="4B910C0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&lt;109</w:t>
            </w:r>
          </w:p>
        </w:tc>
        <w:tc>
          <w:tcPr>
            <w:tcW w:w="2410" w:type="dxa"/>
            <w:tcBorders>
              <w:top w:val="nil"/>
              <w:left w:val="nil"/>
              <w:bottom w:val="single" w:sz="8" w:space="0" w:color="auto"/>
              <w:right w:val="single" w:sz="12" w:space="0" w:color="auto"/>
            </w:tcBorders>
          </w:tcPr>
          <w:p w14:paraId="1687C50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Chang &amp; Broadbent, 1982</w:t>
            </w:r>
          </w:p>
        </w:tc>
      </w:tr>
      <w:tr w:rsidR="00632208" w:rsidRPr="0098635C" w14:paraId="0CF3F9EA" w14:textId="77777777" w:rsidTr="00A432B0">
        <w:trPr>
          <w:trHeight w:val="64"/>
        </w:trPr>
        <w:tc>
          <w:tcPr>
            <w:tcW w:w="938" w:type="dxa"/>
            <w:tcBorders>
              <w:top w:val="nil"/>
              <w:left w:val="single" w:sz="12" w:space="0" w:color="auto"/>
              <w:bottom w:val="single" w:sz="8" w:space="0" w:color="auto"/>
              <w:right w:val="single" w:sz="8" w:space="0" w:color="auto"/>
            </w:tcBorders>
          </w:tcPr>
          <w:p w14:paraId="12D9672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CuSO</w:t>
            </w:r>
            <w:r w:rsidRPr="0098635C">
              <w:rPr>
                <w:rFonts w:ascii="Arial Narrow" w:hAnsi="Arial Narrow" w:cs="Arial Narrow"/>
                <w:color w:val="000000" w:themeColor="text1"/>
                <w:sz w:val="20"/>
                <w:szCs w:val="20"/>
                <w:vertAlign w:val="subscript"/>
              </w:rPr>
              <w:t>4</w:t>
            </w:r>
          </w:p>
        </w:tc>
        <w:tc>
          <w:tcPr>
            <w:tcW w:w="1276" w:type="dxa"/>
            <w:tcBorders>
              <w:top w:val="nil"/>
              <w:left w:val="nil"/>
              <w:bottom w:val="single" w:sz="8" w:space="0" w:color="auto"/>
              <w:right w:val="single" w:sz="8" w:space="0" w:color="auto"/>
            </w:tcBorders>
          </w:tcPr>
          <w:p w14:paraId="3956793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respiration</w:t>
            </w:r>
          </w:p>
        </w:tc>
        <w:tc>
          <w:tcPr>
            <w:tcW w:w="2127" w:type="dxa"/>
            <w:tcBorders>
              <w:top w:val="nil"/>
              <w:left w:val="nil"/>
              <w:bottom w:val="single" w:sz="8" w:space="0" w:color="auto"/>
              <w:right w:val="single" w:sz="8" w:space="0" w:color="auto"/>
            </w:tcBorders>
          </w:tcPr>
          <w:p w14:paraId="4575021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silty loam</w:t>
            </w:r>
          </w:p>
        </w:tc>
        <w:tc>
          <w:tcPr>
            <w:tcW w:w="567" w:type="dxa"/>
            <w:tcBorders>
              <w:top w:val="nil"/>
              <w:left w:val="nil"/>
              <w:bottom w:val="single" w:sz="8" w:space="0" w:color="auto"/>
              <w:right w:val="single" w:sz="8" w:space="0" w:color="auto"/>
            </w:tcBorders>
          </w:tcPr>
          <w:p w14:paraId="34DE987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6.9</w:t>
            </w:r>
          </w:p>
        </w:tc>
        <w:tc>
          <w:tcPr>
            <w:tcW w:w="708" w:type="dxa"/>
            <w:tcBorders>
              <w:top w:val="nil"/>
              <w:left w:val="nil"/>
              <w:bottom w:val="single" w:sz="8" w:space="0" w:color="auto"/>
              <w:right w:val="single" w:sz="8" w:space="0" w:color="auto"/>
            </w:tcBorders>
          </w:tcPr>
          <w:p w14:paraId="5A8B816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2.3</w:t>
            </w:r>
          </w:p>
        </w:tc>
        <w:tc>
          <w:tcPr>
            <w:tcW w:w="709" w:type="dxa"/>
            <w:tcBorders>
              <w:top w:val="nil"/>
              <w:left w:val="nil"/>
              <w:bottom w:val="single" w:sz="8" w:space="0" w:color="auto"/>
              <w:right w:val="single" w:sz="8" w:space="0" w:color="auto"/>
            </w:tcBorders>
          </w:tcPr>
          <w:p w14:paraId="34EFBEB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single" w:sz="8" w:space="0" w:color="auto"/>
            </w:tcBorders>
          </w:tcPr>
          <w:p w14:paraId="6C73F66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9.4</w:t>
            </w:r>
          </w:p>
        </w:tc>
        <w:tc>
          <w:tcPr>
            <w:tcW w:w="850" w:type="dxa"/>
            <w:tcBorders>
              <w:top w:val="nil"/>
              <w:left w:val="nil"/>
              <w:bottom w:val="single" w:sz="8" w:space="0" w:color="auto"/>
              <w:right w:val="single" w:sz="8" w:space="0" w:color="auto"/>
            </w:tcBorders>
          </w:tcPr>
          <w:p w14:paraId="37BFABCC"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27.3</w:t>
            </w:r>
          </w:p>
        </w:tc>
        <w:tc>
          <w:tcPr>
            <w:tcW w:w="992" w:type="dxa"/>
            <w:tcBorders>
              <w:top w:val="nil"/>
              <w:left w:val="nil"/>
              <w:bottom w:val="single" w:sz="8" w:space="0" w:color="auto"/>
              <w:right w:val="single" w:sz="8" w:space="0" w:color="auto"/>
            </w:tcBorders>
          </w:tcPr>
          <w:p w14:paraId="4F2E92B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90</w:t>
            </w:r>
          </w:p>
        </w:tc>
        <w:tc>
          <w:tcPr>
            <w:tcW w:w="851" w:type="dxa"/>
            <w:tcBorders>
              <w:top w:val="single" w:sz="8" w:space="0" w:color="auto"/>
              <w:left w:val="nil"/>
              <w:bottom w:val="single" w:sz="8" w:space="0" w:color="auto"/>
              <w:right w:val="single" w:sz="8" w:space="0" w:color="000000"/>
            </w:tcBorders>
          </w:tcPr>
          <w:p w14:paraId="48C05080" w14:textId="77777777" w:rsidR="00632208" w:rsidRPr="0098635C" w:rsidRDefault="00632208" w:rsidP="00A432B0">
            <w:pPr>
              <w:spacing w:after="0"/>
              <w:jc w:val="center"/>
              <w:rPr>
                <w:rFonts w:ascii="Arial Narrow" w:hAnsi="Arial Narrow" w:cs="Arial Narrow"/>
                <w:color w:val="000000" w:themeColor="text1"/>
                <w:sz w:val="20"/>
                <w:szCs w:val="20"/>
              </w:rPr>
            </w:pPr>
          </w:p>
        </w:tc>
        <w:tc>
          <w:tcPr>
            <w:tcW w:w="992" w:type="dxa"/>
            <w:tcBorders>
              <w:top w:val="nil"/>
              <w:left w:val="nil"/>
              <w:bottom w:val="single" w:sz="8" w:space="0" w:color="auto"/>
              <w:right w:val="single" w:sz="8" w:space="0" w:color="auto"/>
            </w:tcBorders>
          </w:tcPr>
          <w:p w14:paraId="14DD114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&lt;40.6</w:t>
            </w:r>
          </w:p>
        </w:tc>
        <w:tc>
          <w:tcPr>
            <w:tcW w:w="851" w:type="dxa"/>
            <w:tcBorders>
              <w:top w:val="single" w:sz="8" w:space="0" w:color="auto"/>
              <w:left w:val="nil"/>
              <w:bottom w:val="single" w:sz="8" w:space="0" w:color="auto"/>
              <w:right w:val="single" w:sz="8" w:space="0" w:color="000000"/>
            </w:tcBorders>
          </w:tcPr>
          <w:p w14:paraId="7FED5F6E" w14:textId="77777777" w:rsidR="00632208" w:rsidRPr="0098635C" w:rsidRDefault="00632208" w:rsidP="00A432B0">
            <w:pPr>
              <w:spacing w:after="0"/>
              <w:jc w:val="center"/>
              <w:rPr>
                <w:rFonts w:ascii="Arial Narrow" w:hAnsi="Arial Narrow" w:cs="Arial Narrow"/>
                <w:color w:val="000000" w:themeColor="text1"/>
                <w:sz w:val="20"/>
                <w:szCs w:val="20"/>
              </w:rPr>
            </w:pPr>
          </w:p>
        </w:tc>
        <w:tc>
          <w:tcPr>
            <w:tcW w:w="992" w:type="dxa"/>
            <w:tcBorders>
              <w:top w:val="nil"/>
              <w:left w:val="nil"/>
              <w:bottom w:val="single" w:sz="8" w:space="0" w:color="auto"/>
              <w:right w:val="single" w:sz="12" w:space="0" w:color="auto"/>
            </w:tcBorders>
          </w:tcPr>
          <w:p w14:paraId="5073027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&lt;50</w:t>
            </w:r>
          </w:p>
        </w:tc>
        <w:tc>
          <w:tcPr>
            <w:tcW w:w="2410" w:type="dxa"/>
            <w:tcBorders>
              <w:top w:val="nil"/>
              <w:left w:val="nil"/>
              <w:bottom w:val="single" w:sz="8" w:space="0" w:color="auto"/>
              <w:right w:val="single" w:sz="12" w:space="0" w:color="auto"/>
            </w:tcBorders>
          </w:tcPr>
          <w:p w14:paraId="67323A5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Chang and Broadbent (1981)</w:t>
            </w:r>
          </w:p>
        </w:tc>
      </w:tr>
      <w:tr w:rsidR="00632208" w:rsidRPr="0098635C" w14:paraId="67065C8D" w14:textId="77777777" w:rsidTr="00A432B0">
        <w:trPr>
          <w:trHeight w:val="161"/>
        </w:trPr>
        <w:tc>
          <w:tcPr>
            <w:tcW w:w="938" w:type="dxa"/>
            <w:tcBorders>
              <w:top w:val="nil"/>
              <w:left w:val="single" w:sz="12" w:space="0" w:color="auto"/>
              <w:bottom w:val="single" w:sz="8" w:space="0" w:color="auto"/>
              <w:right w:val="single" w:sz="8" w:space="0" w:color="auto"/>
            </w:tcBorders>
          </w:tcPr>
          <w:p w14:paraId="06C73A3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CuSO</w:t>
            </w:r>
            <w:r w:rsidRPr="0098635C">
              <w:rPr>
                <w:rFonts w:ascii="Arial Narrow" w:hAnsi="Arial Narrow" w:cs="Arial Narrow"/>
                <w:color w:val="000000" w:themeColor="text1"/>
                <w:sz w:val="20"/>
                <w:szCs w:val="20"/>
                <w:vertAlign w:val="subscript"/>
              </w:rPr>
              <w:t>4</w:t>
            </w:r>
          </w:p>
        </w:tc>
        <w:tc>
          <w:tcPr>
            <w:tcW w:w="1276" w:type="dxa"/>
            <w:tcBorders>
              <w:top w:val="nil"/>
              <w:left w:val="nil"/>
              <w:bottom w:val="single" w:sz="8" w:space="0" w:color="auto"/>
              <w:right w:val="single" w:sz="8" w:space="0" w:color="auto"/>
            </w:tcBorders>
          </w:tcPr>
          <w:p w14:paraId="2411DA6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ethylene production</w:t>
            </w:r>
          </w:p>
        </w:tc>
        <w:tc>
          <w:tcPr>
            <w:tcW w:w="2127" w:type="dxa"/>
            <w:tcBorders>
              <w:top w:val="nil"/>
              <w:left w:val="nil"/>
              <w:bottom w:val="single" w:sz="8" w:space="0" w:color="auto"/>
              <w:right w:val="single" w:sz="8" w:space="0" w:color="auto"/>
            </w:tcBorders>
          </w:tcPr>
          <w:p w14:paraId="5BF55E2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Hanford soil</w:t>
            </w:r>
          </w:p>
        </w:tc>
        <w:tc>
          <w:tcPr>
            <w:tcW w:w="567" w:type="dxa"/>
            <w:tcBorders>
              <w:top w:val="nil"/>
              <w:left w:val="nil"/>
              <w:bottom w:val="single" w:sz="8" w:space="0" w:color="auto"/>
              <w:right w:val="single" w:sz="8" w:space="0" w:color="auto"/>
            </w:tcBorders>
          </w:tcPr>
          <w:p w14:paraId="6F295D0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7.15</w:t>
            </w:r>
          </w:p>
        </w:tc>
        <w:tc>
          <w:tcPr>
            <w:tcW w:w="708" w:type="dxa"/>
            <w:tcBorders>
              <w:top w:val="nil"/>
              <w:left w:val="nil"/>
              <w:bottom w:val="single" w:sz="8" w:space="0" w:color="auto"/>
              <w:right w:val="single" w:sz="8" w:space="0" w:color="auto"/>
            </w:tcBorders>
          </w:tcPr>
          <w:p w14:paraId="20E38AA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8.16</w:t>
            </w:r>
          </w:p>
        </w:tc>
        <w:tc>
          <w:tcPr>
            <w:tcW w:w="709" w:type="dxa"/>
            <w:tcBorders>
              <w:top w:val="nil"/>
              <w:left w:val="nil"/>
              <w:bottom w:val="single" w:sz="8" w:space="0" w:color="auto"/>
              <w:right w:val="single" w:sz="8" w:space="0" w:color="auto"/>
            </w:tcBorders>
          </w:tcPr>
          <w:p w14:paraId="5449D9F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18</w:t>
            </w:r>
          </w:p>
        </w:tc>
        <w:tc>
          <w:tcPr>
            <w:tcW w:w="851" w:type="dxa"/>
            <w:tcBorders>
              <w:top w:val="nil"/>
              <w:left w:val="nil"/>
              <w:bottom w:val="single" w:sz="8" w:space="0" w:color="auto"/>
              <w:right w:val="single" w:sz="8" w:space="0" w:color="auto"/>
            </w:tcBorders>
          </w:tcPr>
          <w:p w14:paraId="303AC6C5"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8" w:space="0" w:color="auto"/>
              <w:right w:val="single" w:sz="8" w:space="0" w:color="auto"/>
            </w:tcBorders>
          </w:tcPr>
          <w:p w14:paraId="59E853B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40DFD59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851" w:type="dxa"/>
            <w:tcBorders>
              <w:top w:val="single" w:sz="8" w:space="0" w:color="auto"/>
              <w:left w:val="nil"/>
              <w:bottom w:val="single" w:sz="8" w:space="0" w:color="auto"/>
              <w:right w:val="single" w:sz="8" w:space="0" w:color="000000"/>
            </w:tcBorders>
          </w:tcPr>
          <w:p w14:paraId="6611DA5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w:t>
            </w:r>
          </w:p>
        </w:tc>
        <w:tc>
          <w:tcPr>
            <w:tcW w:w="992" w:type="dxa"/>
            <w:tcBorders>
              <w:top w:val="nil"/>
              <w:left w:val="nil"/>
              <w:bottom w:val="single" w:sz="8" w:space="0" w:color="auto"/>
              <w:right w:val="single" w:sz="8" w:space="0" w:color="auto"/>
            </w:tcBorders>
          </w:tcPr>
          <w:p w14:paraId="55F24FA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4BE7039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20.7</w:t>
            </w:r>
          </w:p>
        </w:tc>
        <w:tc>
          <w:tcPr>
            <w:tcW w:w="992" w:type="dxa"/>
            <w:tcBorders>
              <w:top w:val="nil"/>
              <w:left w:val="nil"/>
              <w:bottom w:val="single" w:sz="8" w:space="0" w:color="auto"/>
              <w:right w:val="single" w:sz="12" w:space="0" w:color="auto"/>
            </w:tcBorders>
          </w:tcPr>
          <w:p w14:paraId="7881F26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2C3E246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Arshad &amp; Frankenberger, 1991</w:t>
            </w:r>
          </w:p>
        </w:tc>
      </w:tr>
      <w:tr w:rsidR="00632208" w:rsidRPr="0098635C" w14:paraId="6F71F4FD" w14:textId="77777777" w:rsidTr="00A432B0">
        <w:trPr>
          <w:trHeight w:val="64"/>
        </w:trPr>
        <w:tc>
          <w:tcPr>
            <w:tcW w:w="938" w:type="dxa"/>
            <w:tcBorders>
              <w:top w:val="nil"/>
              <w:left w:val="single" w:sz="12" w:space="0" w:color="auto"/>
              <w:bottom w:val="single" w:sz="8" w:space="0" w:color="auto"/>
              <w:right w:val="single" w:sz="8" w:space="0" w:color="auto"/>
            </w:tcBorders>
          </w:tcPr>
          <w:p w14:paraId="7A1979B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CuSO</w:t>
            </w:r>
            <w:r w:rsidRPr="0098635C">
              <w:rPr>
                <w:rFonts w:ascii="Arial Narrow" w:hAnsi="Arial Narrow" w:cs="Arial Narrow"/>
                <w:color w:val="000000" w:themeColor="text1"/>
                <w:sz w:val="20"/>
                <w:szCs w:val="20"/>
                <w:vertAlign w:val="subscript"/>
              </w:rPr>
              <w:t>4</w:t>
            </w:r>
          </w:p>
        </w:tc>
        <w:tc>
          <w:tcPr>
            <w:tcW w:w="1276" w:type="dxa"/>
            <w:tcBorders>
              <w:top w:val="nil"/>
              <w:left w:val="nil"/>
              <w:bottom w:val="single" w:sz="8" w:space="0" w:color="auto"/>
              <w:right w:val="single" w:sz="8" w:space="0" w:color="auto"/>
            </w:tcBorders>
          </w:tcPr>
          <w:p w14:paraId="3E5F624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microbial biomass</w:t>
            </w:r>
          </w:p>
        </w:tc>
        <w:tc>
          <w:tcPr>
            <w:tcW w:w="2127" w:type="dxa"/>
            <w:tcBorders>
              <w:top w:val="nil"/>
              <w:left w:val="nil"/>
              <w:bottom w:val="single" w:sz="8" w:space="0" w:color="auto"/>
              <w:right w:val="single" w:sz="8" w:space="0" w:color="auto"/>
            </w:tcBorders>
          </w:tcPr>
          <w:p w14:paraId="6C4A474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Lösslehm</w:t>
            </w:r>
          </w:p>
        </w:tc>
        <w:tc>
          <w:tcPr>
            <w:tcW w:w="567" w:type="dxa"/>
            <w:tcBorders>
              <w:top w:val="nil"/>
              <w:left w:val="nil"/>
              <w:bottom w:val="single" w:sz="8" w:space="0" w:color="auto"/>
              <w:right w:val="single" w:sz="8" w:space="0" w:color="auto"/>
            </w:tcBorders>
          </w:tcPr>
          <w:p w14:paraId="789DA14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6.1</w:t>
            </w:r>
          </w:p>
        </w:tc>
        <w:tc>
          <w:tcPr>
            <w:tcW w:w="708" w:type="dxa"/>
            <w:tcBorders>
              <w:top w:val="nil"/>
              <w:left w:val="nil"/>
              <w:bottom w:val="single" w:sz="8" w:space="0" w:color="auto"/>
              <w:right w:val="single" w:sz="8" w:space="0" w:color="auto"/>
            </w:tcBorders>
          </w:tcPr>
          <w:p w14:paraId="5240C7A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2.7</w:t>
            </w:r>
          </w:p>
        </w:tc>
        <w:tc>
          <w:tcPr>
            <w:tcW w:w="709" w:type="dxa"/>
            <w:tcBorders>
              <w:top w:val="nil"/>
              <w:left w:val="nil"/>
              <w:bottom w:val="single" w:sz="8" w:space="0" w:color="auto"/>
              <w:right w:val="single" w:sz="8" w:space="0" w:color="auto"/>
            </w:tcBorders>
          </w:tcPr>
          <w:p w14:paraId="1A39428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single" w:sz="8" w:space="0" w:color="auto"/>
            </w:tcBorders>
          </w:tcPr>
          <w:p w14:paraId="21BA8A4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50</w:t>
            </w:r>
          </w:p>
        </w:tc>
        <w:tc>
          <w:tcPr>
            <w:tcW w:w="850" w:type="dxa"/>
            <w:tcBorders>
              <w:top w:val="nil"/>
              <w:left w:val="nil"/>
              <w:bottom w:val="single" w:sz="8" w:space="0" w:color="auto"/>
              <w:right w:val="single" w:sz="8" w:space="0" w:color="auto"/>
            </w:tcBorders>
          </w:tcPr>
          <w:p w14:paraId="0C5810C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2988583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30</w:t>
            </w:r>
          </w:p>
        </w:tc>
        <w:tc>
          <w:tcPr>
            <w:tcW w:w="851" w:type="dxa"/>
            <w:tcBorders>
              <w:top w:val="single" w:sz="8" w:space="0" w:color="auto"/>
              <w:left w:val="nil"/>
              <w:bottom w:val="single" w:sz="8" w:space="0" w:color="auto"/>
              <w:right w:val="single" w:sz="8" w:space="0" w:color="000000"/>
            </w:tcBorders>
          </w:tcPr>
          <w:p w14:paraId="6EAE13F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100</w:t>
            </w:r>
          </w:p>
        </w:tc>
        <w:tc>
          <w:tcPr>
            <w:tcW w:w="992" w:type="dxa"/>
            <w:tcBorders>
              <w:top w:val="nil"/>
              <w:left w:val="nil"/>
              <w:bottom w:val="single" w:sz="8" w:space="0" w:color="auto"/>
              <w:right w:val="single" w:sz="8" w:space="0" w:color="auto"/>
            </w:tcBorders>
          </w:tcPr>
          <w:p w14:paraId="2740FBF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030E274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150</w:t>
            </w:r>
          </w:p>
        </w:tc>
        <w:tc>
          <w:tcPr>
            <w:tcW w:w="992" w:type="dxa"/>
            <w:tcBorders>
              <w:top w:val="nil"/>
              <w:left w:val="nil"/>
              <w:bottom w:val="single" w:sz="8" w:space="0" w:color="auto"/>
              <w:right w:val="single" w:sz="12" w:space="0" w:color="auto"/>
            </w:tcBorders>
          </w:tcPr>
          <w:p w14:paraId="51061A7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72317C1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Beck, 1981</w:t>
            </w:r>
          </w:p>
        </w:tc>
      </w:tr>
      <w:tr w:rsidR="00632208" w:rsidRPr="0098635C" w14:paraId="50AA01AA" w14:textId="77777777" w:rsidTr="00A432B0">
        <w:trPr>
          <w:trHeight w:val="64"/>
        </w:trPr>
        <w:tc>
          <w:tcPr>
            <w:tcW w:w="938" w:type="dxa"/>
            <w:tcBorders>
              <w:top w:val="nil"/>
              <w:left w:val="single" w:sz="12" w:space="0" w:color="auto"/>
              <w:bottom w:val="single" w:sz="8" w:space="0" w:color="auto"/>
              <w:right w:val="single" w:sz="8" w:space="0" w:color="auto"/>
            </w:tcBorders>
          </w:tcPr>
          <w:p w14:paraId="01D0732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lastRenderedPageBreak/>
              <w:t>CuSO</w:t>
            </w:r>
            <w:r w:rsidRPr="0098635C">
              <w:rPr>
                <w:rFonts w:ascii="Arial Narrow" w:hAnsi="Arial Narrow" w:cs="Arial Narrow"/>
                <w:color w:val="000000" w:themeColor="text1"/>
                <w:sz w:val="20"/>
                <w:szCs w:val="20"/>
                <w:vertAlign w:val="subscript"/>
              </w:rPr>
              <w:t>4</w:t>
            </w:r>
          </w:p>
        </w:tc>
        <w:tc>
          <w:tcPr>
            <w:tcW w:w="1276" w:type="dxa"/>
            <w:tcBorders>
              <w:top w:val="nil"/>
              <w:left w:val="nil"/>
              <w:bottom w:val="single" w:sz="8" w:space="0" w:color="auto"/>
              <w:right w:val="single" w:sz="8" w:space="0" w:color="auto"/>
            </w:tcBorders>
          </w:tcPr>
          <w:p w14:paraId="34DDEED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microbial biomass</w:t>
            </w:r>
          </w:p>
        </w:tc>
        <w:tc>
          <w:tcPr>
            <w:tcW w:w="2127" w:type="dxa"/>
            <w:tcBorders>
              <w:top w:val="nil"/>
              <w:left w:val="nil"/>
              <w:bottom w:val="single" w:sz="8" w:space="0" w:color="auto"/>
              <w:right w:val="single" w:sz="8" w:space="0" w:color="auto"/>
            </w:tcBorders>
          </w:tcPr>
          <w:p w14:paraId="412081E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Auengleye</w:t>
            </w:r>
          </w:p>
        </w:tc>
        <w:tc>
          <w:tcPr>
            <w:tcW w:w="567" w:type="dxa"/>
            <w:tcBorders>
              <w:top w:val="nil"/>
              <w:left w:val="nil"/>
              <w:bottom w:val="single" w:sz="8" w:space="0" w:color="auto"/>
              <w:right w:val="single" w:sz="8" w:space="0" w:color="auto"/>
            </w:tcBorders>
          </w:tcPr>
          <w:p w14:paraId="1723621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7.5</w:t>
            </w:r>
          </w:p>
        </w:tc>
        <w:tc>
          <w:tcPr>
            <w:tcW w:w="708" w:type="dxa"/>
            <w:tcBorders>
              <w:top w:val="nil"/>
              <w:left w:val="nil"/>
              <w:bottom w:val="single" w:sz="8" w:space="0" w:color="auto"/>
              <w:right w:val="single" w:sz="8" w:space="0" w:color="auto"/>
            </w:tcBorders>
          </w:tcPr>
          <w:p w14:paraId="4375EB0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4.9</w:t>
            </w:r>
          </w:p>
        </w:tc>
        <w:tc>
          <w:tcPr>
            <w:tcW w:w="709" w:type="dxa"/>
            <w:tcBorders>
              <w:top w:val="nil"/>
              <w:left w:val="nil"/>
              <w:bottom w:val="single" w:sz="8" w:space="0" w:color="auto"/>
              <w:right w:val="single" w:sz="8" w:space="0" w:color="auto"/>
            </w:tcBorders>
          </w:tcPr>
          <w:p w14:paraId="1DC68F5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single" w:sz="8" w:space="0" w:color="auto"/>
            </w:tcBorders>
          </w:tcPr>
          <w:p w14:paraId="6575B2A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80</w:t>
            </w:r>
          </w:p>
        </w:tc>
        <w:tc>
          <w:tcPr>
            <w:tcW w:w="850" w:type="dxa"/>
            <w:tcBorders>
              <w:top w:val="nil"/>
              <w:left w:val="nil"/>
              <w:bottom w:val="single" w:sz="8" w:space="0" w:color="auto"/>
              <w:right w:val="single" w:sz="8" w:space="0" w:color="auto"/>
            </w:tcBorders>
          </w:tcPr>
          <w:p w14:paraId="6F52A2E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50405EA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30</w:t>
            </w:r>
          </w:p>
        </w:tc>
        <w:tc>
          <w:tcPr>
            <w:tcW w:w="851" w:type="dxa"/>
            <w:tcBorders>
              <w:top w:val="single" w:sz="8" w:space="0" w:color="auto"/>
              <w:left w:val="nil"/>
              <w:bottom w:val="single" w:sz="8" w:space="0" w:color="auto"/>
              <w:right w:val="single" w:sz="8" w:space="0" w:color="000000"/>
            </w:tcBorders>
          </w:tcPr>
          <w:p w14:paraId="507BBAF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100</w:t>
            </w:r>
          </w:p>
        </w:tc>
        <w:tc>
          <w:tcPr>
            <w:tcW w:w="992" w:type="dxa"/>
            <w:tcBorders>
              <w:top w:val="nil"/>
              <w:left w:val="nil"/>
              <w:bottom w:val="single" w:sz="8" w:space="0" w:color="auto"/>
              <w:right w:val="single" w:sz="8" w:space="0" w:color="auto"/>
            </w:tcBorders>
          </w:tcPr>
          <w:p w14:paraId="35C0FD4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47C0B12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180</w:t>
            </w:r>
          </w:p>
        </w:tc>
        <w:tc>
          <w:tcPr>
            <w:tcW w:w="992" w:type="dxa"/>
            <w:tcBorders>
              <w:top w:val="nil"/>
              <w:left w:val="nil"/>
              <w:bottom w:val="single" w:sz="8" w:space="0" w:color="auto"/>
              <w:right w:val="single" w:sz="12" w:space="0" w:color="auto"/>
            </w:tcBorders>
          </w:tcPr>
          <w:p w14:paraId="46591FC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6423E8E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Beck, 1981</w:t>
            </w:r>
          </w:p>
        </w:tc>
      </w:tr>
      <w:tr w:rsidR="00632208" w:rsidRPr="0098635C" w14:paraId="3E323567" w14:textId="77777777" w:rsidTr="00A432B0">
        <w:trPr>
          <w:trHeight w:val="64"/>
        </w:trPr>
        <w:tc>
          <w:tcPr>
            <w:tcW w:w="938" w:type="dxa"/>
            <w:tcBorders>
              <w:top w:val="nil"/>
              <w:left w:val="single" w:sz="12" w:space="0" w:color="auto"/>
              <w:bottom w:val="single" w:sz="8" w:space="0" w:color="auto"/>
              <w:right w:val="single" w:sz="8" w:space="0" w:color="auto"/>
            </w:tcBorders>
          </w:tcPr>
          <w:p w14:paraId="250EAF4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CuSO</w:t>
            </w:r>
            <w:r w:rsidRPr="0098635C">
              <w:rPr>
                <w:rFonts w:ascii="Arial Narrow" w:hAnsi="Arial Narrow" w:cs="Arial Narrow"/>
                <w:color w:val="000000" w:themeColor="text1"/>
                <w:sz w:val="20"/>
                <w:szCs w:val="20"/>
                <w:vertAlign w:val="subscript"/>
              </w:rPr>
              <w:t>4</w:t>
            </w:r>
          </w:p>
        </w:tc>
        <w:tc>
          <w:tcPr>
            <w:tcW w:w="1276" w:type="dxa"/>
            <w:tcBorders>
              <w:top w:val="nil"/>
              <w:left w:val="nil"/>
              <w:bottom w:val="single" w:sz="8" w:space="0" w:color="auto"/>
              <w:right w:val="single" w:sz="8" w:space="0" w:color="auto"/>
            </w:tcBorders>
          </w:tcPr>
          <w:p w14:paraId="3F65F19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microbial biomass</w:t>
            </w:r>
          </w:p>
        </w:tc>
        <w:tc>
          <w:tcPr>
            <w:tcW w:w="2127" w:type="dxa"/>
            <w:tcBorders>
              <w:top w:val="nil"/>
              <w:left w:val="nil"/>
              <w:bottom w:val="single" w:sz="8" w:space="0" w:color="auto"/>
              <w:right w:val="single" w:sz="8" w:space="0" w:color="auto"/>
            </w:tcBorders>
          </w:tcPr>
          <w:p w14:paraId="44F1B7F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Aueboden</w:t>
            </w:r>
          </w:p>
        </w:tc>
        <w:tc>
          <w:tcPr>
            <w:tcW w:w="567" w:type="dxa"/>
            <w:tcBorders>
              <w:top w:val="nil"/>
              <w:left w:val="nil"/>
              <w:bottom w:val="single" w:sz="8" w:space="0" w:color="auto"/>
              <w:right w:val="single" w:sz="8" w:space="0" w:color="auto"/>
            </w:tcBorders>
          </w:tcPr>
          <w:p w14:paraId="082B92F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7.2</w:t>
            </w:r>
          </w:p>
        </w:tc>
        <w:tc>
          <w:tcPr>
            <w:tcW w:w="708" w:type="dxa"/>
            <w:tcBorders>
              <w:top w:val="nil"/>
              <w:left w:val="nil"/>
              <w:bottom w:val="single" w:sz="8" w:space="0" w:color="auto"/>
              <w:right w:val="single" w:sz="8" w:space="0" w:color="auto"/>
            </w:tcBorders>
          </w:tcPr>
          <w:p w14:paraId="0AB0E5F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3.3</w:t>
            </w:r>
          </w:p>
        </w:tc>
        <w:tc>
          <w:tcPr>
            <w:tcW w:w="709" w:type="dxa"/>
            <w:tcBorders>
              <w:top w:val="nil"/>
              <w:left w:val="nil"/>
              <w:bottom w:val="single" w:sz="8" w:space="0" w:color="auto"/>
              <w:right w:val="single" w:sz="8" w:space="0" w:color="auto"/>
            </w:tcBorders>
          </w:tcPr>
          <w:p w14:paraId="3F731A5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single" w:sz="8" w:space="0" w:color="auto"/>
            </w:tcBorders>
          </w:tcPr>
          <w:p w14:paraId="3DC6146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50</w:t>
            </w:r>
          </w:p>
        </w:tc>
        <w:tc>
          <w:tcPr>
            <w:tcW w:w="850" w:type="dxa"/>
            <w:tcBorders>
              <w:top w:val="nil"/>
              <w:left w:val="nil"/>
              <w:bottom w:val="single" w:sz="8" w:space="0" w:color="auto"/>
              <w:right w:val="single" w:sz="8" w:space="0" w:color="auto"/>
            </w:tcBorders>
          </w:tcPr>
          <w:p w14:paraId="7309B85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56F1C44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30</w:t>
            </w:r>
          </w:p>
        </w:tc>
        <w:tc>
          <w:tcPr>
            <w:tcW w:w="851" w:type="dxa"/>
            <w:tcBorders>
              <w:top w:val="single" w:sz="8" w:space="0" w:color="auto"/>
              <w:left w:val="nil"/>
              <w:bottom w:val="single" w:sz="8" w:space="0" w:color="auto"/>
              <w:right w:val="single" w:sz="8" w:space="0" w:color="000000"/>
            </w:tcBorders>
          </w:tcPr>
          <w:p w14:paraId="140406E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100</w:t>
            </w:r>
          </w:p>
        </w:tc>
        <w:tc>
          <w:tcPr>
            <w:tcW w:w="992" w:type="dxa"/>
            <w:tcBorders>
              <w:top w:val="nil"/>
              <w:left w:val="nil"/>
              <w:bottom w:val="single" w:sz="8" w:space="0" w:color="auto"/>
              <w:right w:val="single" w:sz="8" w:space="0" w:color="auto"/>
            </w:tcBorders>
          </w:tcPr>
          <w:p w14:paraId="7989925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2DC056A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150</w:t>
            </w:r>
          </w:p>
        </w:tc>
        <w:tc>
          <w:tcPr>
            <w:tcW w:w="992" w:type="dxa"/>
            <w:tcBorders>
              <w:top w:val="nil"/>
              <w:left w:val="nil"/>
              <w:bottom w:val="single" w:sz="8" w:space="0" w:color="auto"/>
              <w:right w:val="single" w:sz="12" w:space="0" w:color="auto"/>
            </w:tcBorders>
          </w:tcPr>
          <w:p w14:paraId="46C8CA9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2010C3B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Beck, 1981</w:t>
            </w:r>
          </w:p>
        </w:tc>
      </w:tr>
      <w:tr w:rsidR="00632208" w:rsidRPr="0098635C" w14:paraId="7BA58EE6" w14:textId="77777777" w:rsidTr="00A432B0">
        <w:trPr>
          <w:trHeight w:val="64"/>
        </w:trPr>
        <w:tc>
          <w:tcPr>
            <w:tcW w:w="938" w:type="dxa"/>
            <w:tcBorders>
              <w:top w:val="nil"/>
              <w:left w:val="single" w:sz="12" w:space="0" w:color="auto"/>
              <w:bottom w:val="single" w:sz="8" w:space="0" w:color="auto"/>
              <w:right w:val="single" w:sz="8" w:space="0" w:color="auto"/>
            </w:tcBorders>
          </w:tcPr>
          <w:p w14:paraId="2737810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Cu-salt</w:t>
            </w:r>
          </w:p>
        </w:tc>
        <w:tc>
          <w:tcPr>
            <w:tcW w:w="1276" w:type="dxa"/>
            <w:tcBorders>
              <w:top w:val="nil"/>
              <w:left w:val="nil"/>
              <w:bottom w:val="single" w:sz="8" w:space="0" w:color="auto"/>
              <w:right w:val="single" w:sz="8" w:space="0" w:color="auto"/>
            </w:tcBorders>
          </w:tcPr>
          <w:p w14:paraId="175E478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respiration</w:t>
            </w:r>
          </w:p>
        </w:tc>
        <w:tc>
          <w:tcPr>
            <w:tcW w:w="2127" w:type="dxa"/>
            <w:tcBorders>
              <w:top w:val="nil"/>
              <w:left w:val="nil"/>
              <w:bottom w:val="single" w:sz="8" w:space="0" w:color="auto"/>
              <w:right w:val="single" w:sz="8" w:space="0" w:color="auto"/>
            </w:tcBorders>
          </w:tcPr>
          <w:p w14:paraId="16EBF42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Grassland soil</w:t>
            </w:r>
          </w:p>
        </w:tc>
        <w:tc>
          <w:tcPr>
            <w:tcW w:w="567" w:type="dxa"/>
            <w:tcBorders>
              <w:top w:val="nil"/>
              <w:left w:val="nil"/>
              <w:bottom w:val="single" w:sz="8" w:space="0" w:color="auto"/>
              <w:right w:val="single" w:sz="8" w:space="0" w:color="auto"/>
            </w:tcBorders>
          </w:tcPr>
          <w:p w14:paraId="7501F5F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6.3</w:t>
            </w:r>
          </w:p>
        </w:tc>
        <w:tc>
          <w:tcPr>
            <w:tcW w:w="708" w:type="dxa"/>
            <w:tcBorders>
              <w:top w:val="nil"/>
              <w:left w:val="nil"/>
              <w:bottom w:val="single" w:sz="8" w:space="0" w:color="auto"/>
              <w:right w:val="single" w:sz="8" w:space="0" w:color="auto"/>
            </w:tcBorders>
          </w:tcPr>
          <w:p w14:paraId="6745423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10.1</w:t>
            </w:r>
          </w:p>
        </w:tc>
        <w:tc>
          <w:tcPr>
            <w:tcW w:w="709" w:type="dxa"/>
            <w:tcBorders>
              <w:top w:val="nil"/>
              <w:left w:val="nil"/>
              <w:bottom w:val="single" w:sz="8" w:space="0" w:color="auto"/>
              <w:right w:val="single" w:sz="8" w:space="0" w:color="auto"/>
            </w:tcBorders>
          </w:tcPr>
          <w:p w14:paraId="6709469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29.8</w:t>
            </w:r>
          </w:p>
        </w:tc>
        <w:tc>
          <w:tcPr>
            <w:tcW w:w="851" w:type="dxa"/>
            <w:tcBorders>
              <w:top w:val="nil"/>
              <w:left w:val="nil"/>
              <w:bottom w:val="single" w:sz="8" w:space="0" w:color="auto"/>
              <w:right w:val="single" w:sz="8" w:space="0" w:color="auto"/>
            </w:tcBorders>
          </w:tcPr>
          <w:p w14:paraId="69E6D5B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32</w:t>
            </w:r>
          </w:p>
        </w:tc>
        <w:tc>
          <w:tcPr>
            <w:tcW w:w="850" w:type="dxa"/>
            <w:tcBorders>
              <w:top w:val="nil"/>
              <w:left w:val="nil"/>
              <w:bottom w:val="single" w:sz="8" w:space="0" w:color="auto"/>
              <w:right w:val="single" w:sz="8" w:space="0" w:color="auto"/>
            </w:tcBorders>
          </w:tcPr>
          <w:p w14:paraId="57A0CD4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61.4</w:t>
            </w:r>
          </w:p>
        </w:tc>
        <w:tc>
          <w:tcPr>
            <w:tcW w:w="992" w:type="dxa"/>
            <w:tcBorders>
              <w:top w:val="nil"/>
              <w:left w:val="nil"/>
              <w:bottom w:val="single" w:sz="8" w:space="0" w:color="auto"/>
              <w:right w:val="single" w:sz="8" w:space="0" w:color="auto"/>
            </w:tcBorders>
          </w:tcPr>
          <w:p w14:paraId="4EEFFEC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49</w:t>
            </w:r>
          </w:p>
        </w:tc>
        <w:tc>
          <w:tcPr>
            <w:tcW w:w="851" w:type="dxa"/>
            <w:tcBorders>
              <w:top w:val="single" w:sz="8" w:space="0" w:color="auto"/>
              <w:left w:val="nil"/>
              <w:bottom w:val="single" w:sz="8" w:space="0" w:color="auto"/>
              <w:right w:val="single" w:sz="8" w:space="0" w:color="000000"/>
            </w:tcBorders>
          </w:tcPr>
          <w:p w14:paraId="680EC86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1A2BE22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&gt;768</w:t>
            </w:r>
          </w:p>
        </w:tc>
        <w:tc>
          <w:tcPr>
            <w:tcW w:w="851" w:type="dxa"/>
            <w:tcBorders>
              <w:top w:val="single" w:sz="8" w:space="0" w:color="auto"/>
              <w:left w:val="nil"/>
              <w:bottom w:val="single" w:sz="8" w:space="0" w:color="auto"/>
              <w:right w:val="single" w:sz="8" w:space="0" w:color="000000"/>
            </w:tcBorders>
          </w:tcPr>
          <w:p w14:paraId="208FC2D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12" w:space="0" w:color="auto"/>
            </w:tcBorders>
          </w:tcPr>
          <w:p w14:paraId="46338A2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&gt;800</w:t>
            </w:r>
          </w:p>
        </w:tc>
        <w:tc>
          <w:tcPr>
            <w:tcW w:w="2410" w:type="dxa"/>
            <w:tcBorders>
              <w:top w:val="nil"/>
              <w:left w:val="nil"/>
              <w:bottom w:val="single" w:sz="8" w:space="0" w:color="auto"/>
              <w:right w:val="single" w:sz="12" w:space="0" w:color="auto"/>
            </w:tcBorders>
          </w:tcPr>
          <w:p w14:paraId="4248BDC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Khan  and Scullion, 2002</w:t>
            </w:r>
          </w:p>
        </w:tc>
      </w:tr>
      <w:tr w:rsidR="00632208" w:rsidRPr="0098635C" w14:paraId="2EE2A1C9" w14:textId="77777777" w:rsidTr="00A432B0">
        <w:trPr>
          <w:trHeight w:val="64"/>
        </w:trPr>
        <w:tc>
          <w:tcPr>
            <w:tcW w:w="938" w:type="dxa"/>
            <w:tcBorders>
              <w:top w:val="nil"/>
              <w:left w:val="single" w:sz="12" w:space="0" w:color="auto"/>
              <w:bottom w:val="single" w:sz="8" w:space="0" w:color="auto"/>
              <w:right w:val="single" w:sz="8" w:space="0" w:color="auto"/>
            </w:tcBorders>
          </w:tcPr>
          <w:p w14:paraId="1968075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276" w:type="dxa"/>
            <w:tcBorders>
              <w:top w:val="nil"/>
              <w:left w:val="nil"/>
              <w:bottom w:val="single" w:sz="8" w:space="0" w:color="auto"/>
              <w:right w:val="single" w:sz="8" w:space="0" w:color="auto"/>
            </w:tcBorders>
          </w:tcPr>
          <w:p w14:paraId="46ED685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Microbial biomass C</w:t>
            </w:r>
          </w:p>
        </w:tc>
        <w:tc>
          <w:tcPr>
            <w:tcW w:w="2127" w:type="dxa"/>
            <w:tcBorders>
              <w:top w:val="nil"/>
              <w:left w:val="nil"/>
              <w:bottom w:val="single" w:sz="8" w:space="0" w:color="auto"/>
              <w:right w:val="single" w:sz="8" w:space="0" w:color="auto"/>
            </w:tcBorders>
          </w:tcPr>
          <w:p w14:paraId="1CC8E17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Grassland soil</w:t>
            </w:r>
          </w:p>
        </w:tc>
        <w:tc>
          <w:tcPr>
            <w:tcW w:w="567" w:type="dxa"/>
            <w:tcBorders>
              <w:top w:val="nil"/>
              <w:left w:val="nil"/>
              <w:bottom w:val="single" w:sz="8" w:space="0" w:color="auto"/>
              <w:right w:val="single" w:sz="8" w:space="0" w:color="auto"/>
            </w:tcBorders>
          </w:tcPr>
          <w:p w14:paraId="617E88D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6.3</w:t>
            </w:r>
          </w:p>
        </w:tc>
        <w:tc>
          <w:tcPr>
            <w:tcW w:w="708" w:type="dxa"/>
            <w:tcBorders>
              <w:top w:val="nil"/>
              <w:left w:val="nil"/>
              <w:bottom w:val="single" w:sz="8" w:space="0" w:color="auto"/>
              <w:right w:val="single" w:sz="8" w:space="0" w:color="auto"/>
            </w:tcBorders>
          </w:tcPr>
          <w:p w14:paraId="4E548E8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10.1</w:t>
            </w:r>
          </w:p>
        </w:tc>
        <w:tc>
          <w:tcPr>
            <w:tcW w:w="709" w:type="dxa"/>
            <w:tcBorders>
              <w:top w:val="nil"/>
              <w:left w:val="nil"/>
              <w:bottom w:val="single" w:sz="8" w:space="0" w:color="auto"/>
              <w:right w:val="single" w:sz="8" w:space="0" w:color="auto"/>
            </w:tcBorders>
          </w:tcPr>
          <w:p w14:paraId="1CED870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29.8</w:t>
            </w:r>
          </w:p>
        </w:tc>
        <w:tc>
          <w:tcPr>
            <w:tcW w:w="851" w:type="dxa"/>
            <w:tcBorders>
              <w:top w:val="nil"/>
              <w:left w:val="nil"/>
              <w:bottom w:val="single" w:sz="8" w:space="0" w:color="auto"/>
              <w:right w:val="single" w:sz="8" w:space="0" w:color="auto"/>
            </w:tcBorders>
          </w:tcPr>
          <w:p w14:paraId="5F61B5D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32</w:t>
            </w:r>
          </w:p>
        </w:tc>
        <w:tc>
          <w:tcPr>
            <w:tcW w:w="850" w:type="dxa"/>
            <w:tcBorders>
              <w:top w:val="nil"/>
              <w:left w:val="nil"/>
              <w:bottom w:val="single" w:sz="8" w:space="0" w:color="auto"/>
              <w:right w:val="single" w:sz="8" w:space="0" w:color="auto"/>
            </w:tcBorders>
          </w:tcPr>
          <w:p w14:paraId="4288D51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61.4</w:t>
            </w:r>
          </w:p>
        </w:tc>
        <w:tc>
          <w:tcPr>
            <w:tcW w:w="992" w:type="dxa"/>
            <w:tcBorders>
              <w:top w:val="nil"/>
              <w:left w:val="nil"/>
              <w:bottom w:val="single" w:sz="8" w:space="0" w:color="auto"/>
              <w:right w:val="single" w:sz="8" w:space="0" w:color="auto"/>
            </w:tcBorders>
          </w:tcPr>
          <w:p w14:paraId="166395B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49</w:t>
            </w:r>
          </w:p>
        </w:tc>
        <w:tc>
          <w:tcPr>
            <w:tcW w:w="851" w:type="dxa"/>
            <w:tcBorders>
              <w:top w:val="single" w:sz="8" w:space="0" w:color="auto"/>
              <w:left w:val="nil"/>
              <w:bottom w:val="single" w:sz="8" w:space="0" w:color="auto"/>
              <w:right w:val="single" w:sz="8" w:space="0" w:color="000000"/>
            </w:tcBorders>
          </w:tcPr>
          <w:p w14:paraId="05747152"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118</w:t>
            </w:r>
          </w:p>
        </w:tc>
        <w:tc>
          <w:tcPr>
            <w:tcW w:w="992" w:type="dxa"/>
            <w:tcBorders>
              <w:top w:val="nil"/>
              <w:left w:val="nil"/>
              <w:bottom w:val="single" w:sz="8" w:space="0" w:color="auto"/>
              <w:right w:val="single" w:sz="8" w:space="0" w:color="auto"/>
            </w:tcBorders>
          </w:tcPr>
          <w:p w14:paraId="5F2BFB5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35569E1D"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150</w:t>
            </w:r>
          </w:p>
        </w:tc>
        <w:tc>
          <w:tcPr>
            <w:tcW w:w="992" w:type="dxa"/>
            <w:tcBorders>
              <w:top w:val="nil"/>
              <w:left w:val="nil"/>
              <w:bottom w:val="single" w:sz="8" w:space="0" w:color="auto"/>
              <w:right w:val="single" w:sz="12" w:space="0" w:color="auto"/>
            </w:tcBorders>
          </w:tcPr>
          <w:p w14:paraId="56FC800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2FC8369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Khan  and Scullion, 2002</w:t>
            </w:r>
          </w:p>
        </w:tc>
      </w:tr>
      <w:tr w:rsidR="00632208" w:rsidRPr="0098635C" w14:paraId="66D69D21" w14:textId="77777777" w:rsidTr="00A432B0">
        <w:trPr>
          <w:trHeight w:val="64"/>
        </w:trPr>
        <w:tc>
          <w:tcPr>
            <w:tcW w:w="938" w:type="dxa"/>
            <w:tcBorders>
              <w:top w:val="nil"/>
              <w:left w:val="single" w:sz="12" w:space="0" w:color="auto"/>
              <w:bottom w:val="single" w:sz="8" w:space="0" w:color="auto"/>
              <w:right w:val="single" w:sz="8" w:space="0" w:color="auto"/>
            </w:tcBorders>
          </w:tcPr>
          <w:p w14:paraId="4765639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276" w:type="dxa"/>
            <w:tcBorders>
              <w:top w:val="nil"/>
              <w:left w:val="nil"/>
              <w:bottom w:val="single" w:sz="8" w:space="0" w:color="auto"/>
              <w:right w:val="single" w:sz="8" w:space="0" w:color="auto"/>
            </w:tcBorders>
          </w:tcPr>
          <w:p w14:paraId="17A9EA2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Microbial biomass N</w:t>
            </w:r>
          </w:p>
        </w:tc>
        <w:tc>
          <w:tcPr>
            <w:tcW w:w="2127" w:type="dxa"/>
            <w:tcBorders>
              <w:top w:val="nil"/>
              <w:left w:val="nil"/>
              <w:bottom w:val="single" w:sz="8" w:space="0" w:color="auto"/>
              <w:right w:val="single" w:sz="8" w:space="0" w:color="auto"/>
            </w:tcBorders>
          </w:tcPr>
          <w:p w14:paraId="6C88954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Grassland soil</w:t>
            </w:r>
          </w:p>
        </w:tc>
        <w:tc>
          <w:tcPr>
            <w:tcW w:w="567" w:type="dxa"/>
            <w:tcBorders>
              <w:top w:val="nil"/>
              <w:left w:val="nil"/>
              <w:bottom w:val="single" w:sz="8" w:space="0" w:color="auto"/>
              <w:right w:val="single" w:sz="8" w:space="0" w:color="auto"/>
            </w:tcBorders>
          </w:tcPr>
          <w:p w14:paraId="4ED3F76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6.3</w:t>
            </w:r>
          </w:p>
        </w:tc>
        <w:tc>
          <w:tcPr>
            <w:tcW w:w="708" w:type="dxa"/>
            <w:tcBorders>
              <w:top w:val="nil"/>
              <w:left w:val="nil"/>
              <w:bottom w:val="single" w:sz="8" w:space="0" w:color="auto"/>
              <w:right w:val="single" w:sz="8" w:space="0" w:color="auto"/>
            </w:tcBorders>
          </w:tcPr>
          <w:p w14:paraId="34C7C54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10.1</w:t>
            </w:r>
          </w:p>
        </w:tc>
        <w:tc>
          <w:tcPr>
            <w:tcW w:w="709" w:type="dxa"/>
            <w:tcBorders>
              <w:top w:val="nil"/>
              <w:left w:val="nil"/>
              <w:bottom w:val="single" w:sz="8" w:space="0" w:color="auto"/>
              <w:right w:val="single" w:sz="8" w:space="0" w:color="auto"/>
            </w:tcBorders>
          </w:tcPr>
          <w:p w14:paraId="6EE7DC8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29.8</w:t>
            </w:r>
          </w:p>
        </w:tc>
        <w:tc>
          <w:tcPr>
            <w:tcW w:w="851" w:type="dxa"/>
            <w:tcBorders>
              <w:top w:val="nil"/>
              <w:left w:val="nil"/>
              <w:bottom w:val="single" w:sz="8" w:space="0" w:color="auto"/>
              <w:right w:val="single" w:sz="8" w:space="0" w:color="auto"/>
            </w:tcBorders>
          </w:tcPr>
          <w:p w14:paraId="5003250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32</w:t>
            </w:r>
          </w:p>
        </w:tc>
        <w:tc>
          <w:tcPr>
            <w:tcW w:w="850" w:type="dxa"/>
            <w:tcBorders>
              <w:top w:val="nil"/>
              <w:left w:val="nil"/>
              <w:bottom w:val="single" w:sz="8" w:space="0" w:color="auto"/>
              <w:right w:val="single" w:sz="8" w:space="0" w:color="auto"/>
            </w:tcBorders>
          </w:tcPr>
          <w:p w14:paraId="23B0EB4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61.4</w:t>
            </w:r>
          </w:p>
        </w:tc>
        <w:tc>
          <w:tcPr>
            <w:tcW w:w="992" w:type="dxa"/>
            <w:tcBorders>
              <w:top w:val="nil"/>
              <w:left w:val="nil"/>
              <w:bottom w:val="single" w:sz="8" w:space="0" w:color="auto"/>
              <w:right w:val="single" w:sz="8" w:space="0" w:color="auto"/>
            </w:tcBorders>
          </w:tcPr>
          <w:p w14:paraId="553F5CF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49</w:t>
            </w:r>
          </w:p>
        </w:tc>
        <w:tc>
          <w:tcPr>
            <w:tcW w:w="851" w:type="dxa"/>
            <w:tcBorders>
              <w:top w:val="single" w:sz="8" w:space="0" w:color="auto"/>
              <w:left w:val="nil"/>
              <w:bottom w:val="single" w:sz="8" w:space="0" w:color="auto"/>
              <w:right w:val="single" w:sz="8" w:space="0" w:color="000000"/>
            </w:tcBorders>
          </w:tcPr>
          <w:p w14:paraId="7ADF06FC"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468</w:t>
            </w:r>
          </w:p>
        </w:tc>
        <w:tc>
          <w:tcPr>
            <w:tcW w:w="992" w:type="dxa"/>
            <w:tcBorders>
              <w:top w:val="nil"/>
              <w:left w:val="nil"/>
              <w:bottom w:val="single" w:sz="8" w:space="0" w:color="auto"/>
              <w:right w:val="single" w:sz="8" w:space="0" w:color="auto"/>
            </w:tcBorders>
          </w:tcPr>
          <w:p w14:paraId="591BF0C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1FF0C641"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500</w:t>
            </w:r>
          </w:p>
        </w:tc>
        <w:tc>
          <w:tcPr>
            <w:tcW w:w="992" w:type="dxa"/>
            <w:tcBorders>
              <w:top w:val="nil"/>
              <w:left w:val="nil"/>
              <w:bottom w:val="single" w:sz="8" w:space="0" w:color="auto"/>
              <w:right w:val="single" w:sz="12" w:space="0" w:color="auto"/>
            </w:tcBorders>
          </w:tcPr>
          <w:p w14:paraId="72F27BC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5B83B57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Khan  and Scullion, 2002</w:t>
            </w:r>
          </w:p>
        </w:tc>
      </w:tr>
      <w:tr w:rsidR="00632208" w:rsidRPr="0098635C" w14:paraId="0184F6EA" w14:textId="77777777" w:rsidTr="00A432B0">
        <w:trPr>
          <w:trHeight w:val="64"/>
        </w:trPr>
        <w:tc>
          <w:tcPr>
            <w:tcW w:w="938" w:type="dxa"/>
            <w:tcBorders>
              <w:top w:val="nil"/>
              <w:left w:val="single" w:sz="12" w:space="0" w:color="auto"/>
              <w:bottom w:val="single" w:sz="8" w:space="0" w:color="auto"/>
              <w:right w:val="single" w:sz="8" w:space="0" w:color="auto"/>
            </w:tcBorders>
          </w:tcPr>
          <w:p w14:paraId="5256EC9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276" w:type="dxa"/>
            <w:tcBorders>
              <w:top w:val="nil"/>
              <w:left w:val="nil"/>
              <w:bottom w:val="single" w:sz="8" w:space="0" w:color="auto"/>
              <w:right w:val="single" w:sz="8" w:space="0" w:color="auto"/>
            </w:tcBorders>
          </w:tcPr>
          <w:p w14:paraId="6BBED1B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N-mineralisation</w:t>
            </w:r>
          </w:p>
        </w:tc>
        <w:tc>
          <w:tcPr>
            <w:tcW w:w="2127" w:type="dxa"/>
            <w:tcBorders>
              <w:top w:val="nil"/>
              <w:left w:val="nil"/>
              <w:bottom w:val="single" w:sz="8" w:space="0" w:color="auto"/>
              <w:right w:val="single" w:sz="8" w:space="0" w:color="auto"/>
            </w:tcBorders>
          </w:tcPr>
          <w:p w14:paraId="127F4AA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Grassland soil</w:t>
            </w:r>
          </w:p>
        </w:tc>
        <w:tc>
          <w:tcPr>
            <w:tcW w:w="567" w:type="dxa"/>
            <w:tcBorders>
              <w:top w:val="nil"/>
              <w:left w:val="nil"/>
              <w:bottom w:val="single" w:sz="8" w:space="0" w:color="auto"/>
              <w:right w:val="single" w:sz="8" w:space="0" w:color="auto"/>
            </w:tcBorders>
          </w:tcPr>
          <w:p w14:paraId="3860542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6.3</w:t>
            </w:r>
          </w:p>
        </w:tc>
        <w:tc>
          <w:tcPr>
            <w:tcW w:w="708" w:type="dxa"/>
            <w:tcBorders>
              <w:top w:val="nil"/>
              <w:left w:val="nil"/>
              <w:bottom w:val="single" w:sz="8" w:space="0" w:color="auto"/>
              <w:right w:val="single" w:sz="8" w:space="0" w:color="auto"/>
            </w:tcBorders>
          </w:tcPr>
          <w:p w14:paraId="6289CB7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10.1</w:t>
            </w:r>
          </w:p>
        </w:tc>
        <w:tc>
          <w:tcPr>
            <w:tcW w:w="709" w:type="dxa"/>
            <w:tcBorders>
              <w:top w:val="nil"/>
              <w:left w:val="nil"/>
              <w:bottom w:val="single" w:sz="8" w:space="0" w:color="auto"/>
              <w:right w:val="single" w:sz="8" w:space="0" w:color="auto"/>
            </w:tcBorders>
          </w:tcPr>
          <w:p w14:paraId="5B505A6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29.8</w:t>
            </w:r>
          </w:p>
        </w:tc>
        <w:tc>
          <w:tcPr>
            <w:tcW w:w="851" w:type="dxa"/>
            <w:tcBorders>
              <w:top w:val="nil"/>
              <w:left w:val="nil"/>
              <w:bottom w:val="single" w:sz="8" w:space="0" w:color="auto"/>
              <w:right w:val="single" w:sz="8" w:space="0" w:color="auto"/>
            </w:tcBorders>
          </w:tcPr>
          <w:p w14:paraId="34A8A25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32</w:t>
            </w:r>
          </w:p>
        </w:tc>
        <w:tc>
          <w:tcPr>
            <w:tcW w:w="850" w:type="dxa"/>
            <w:tcBorders>
              <w:top w:val="nil"/>
              <w:left w:val="nil"/>
              <w:bottom w:val="single" w:sz="8" w:space="0" w:color="auto"/>
              <w:right w:val="single" w:sz="8" w:space="0" w:color="auto"/>
            </w:tcBorders>
          </w:tcPr>
          <w:p w14:paraId="4467DE2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61.4</w:t>
            </w:r>
          </w:p>
        </w:tc>
        <w:tc>
          <w:tcPr>
            <w:tcW w:w="992" w:type="dxa"/>
            <w:tcBorders>
              <w:top w:val="nil"/>
              <w:left w:val="nil"/>
              <w:bottom w:val="single" w:sz="8" w:space="0" w:color="auto"/>
              <w:right w:val="single" w:sz="8" w:space="0" w:color="auto"/>
            </w:tcBorders>
          </w:tcPr>
          <w:p w14:paraId="5FC2917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49</w:t>
            </w:r>
          </w:p>
        </w:tc>
        <w:tc>
          <w:tcPr>
            <w:tcW w:w="851" w:type="dxa"/>
            <w:tcBorders>
              <w:top w:val="single" w:sz="8" w:space="0" w:color="auto"/>
              <w:left w:val="nil"/>
              <w:bottom w:val="single" w:sz="8" w:space="0" w:color="auto"/>
              <w:right w:val="single" w:sz="8" w:space="0" w:color="000000"/>
            </w:tcBorders>
          </w:tcPr>
          <w:p w14:paraId="4653D335"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268</w:t>
            </w:r>
          </w:p>
        </w:tc>
        <w:tc>
          <w:tcPr>
            <w:tcW w:w="992" w:type="dxa"/>
            <w:tcBorders>
              <w:top w:val="nil"/>
              <w:left w:val="nil"/>
              <w:bottom w:val="single" w:sz="8" w:space="0" w:color="auto"/>
              <w:right w:val="single" w:sz="8" w:space="0" w:color="auto"/>
            </w:tcBorders>
          </w:tcPr>
          <w:p w14:paraId="18DA629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0D04CF2A"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300</w:t>
            </w:r>
          </w:p>
        </w:tc>
        <w:tc>
          <w:tcPr>
            <w:tcW w:w="992" w:type="dxa"/>
            <w:tcBorders>
              <w:top w:val="nil"/>
              <w:left w:val="nil"/>
              <w:bottom w:val="single" w:sz="8" w:space="0" w:color="auto"/>
              <w:right w:val="single" w:sz="12" w:space="0" w:color="auto"/>
            </w:tcBorders>
          </w:tcPr>
          <w:p w14:paraId="0C8C3A5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7AA75C1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Khan  and Scullion, 2002</w:t>
            </w:r>
          </w:p>
        </w:tc>
      </w:tr>
      <w:tr w:rsidR="00632208" w:rsidRPr="0098635C" w14:paraId="0E05FB00" w14:textId="77777777" w:rsidTr="00A432B0">
        <w:trPr>
          <w:trHeight w:val="64"/>
        </w:trPr>
        <w:tc>
          <w:tcPr>
            <w:tcW w:w="938" w:type="dxa"/>
            <w:tcBorders>
              <w:top w:val="nil"/>
              <w:left w:val="single" w:sz="12" w:space="0" w:color="auto"/>
              <w:bottom w:val="single" w:sz="8" w:space="0" w:color="auto"/>
              <w:right w:val="single" w:sz="8" w:space="0" w:color="auto"/>
            </w:tcBorders>
          </w:tcPr>
          <w:p w14:paraId="65011B9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Cu(NO</w:t>
            </w:r>
            <w:r w:rsidRPr="0098635C">
              <w:rPr>
                <w:rFonts w:ascii="Arial Narrow" w:hAnsi="Arial Narrow" w:cs="Arial Narrow"/>
                <w:color w:val="000000" w:themeColor="text1"/>
                <w:sz w:val="20"/>
                <w:szCs w:val="20"/>
                <w:vertAlign w:val="subscript"/>
              </w:rPr>
              <w:t>3</w:t>
            </w:r>
            <w:r w:rsidRPr="0098635C">
              <w:rPr>
                <w:rFonts w:ascii="Arial Narrow" w:hAnsi="Arial Narrow" w:cs="Arial Narrow"/>
                <w:color w:val="000000" w:themeColor="text1"/>
                <w:sz w:val="20"/>
                <w:szCs w:val="20"/>
              </w:rPr>
              <w:t>)</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768C4C9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denitrification</w:t>
            </w:r>
          </w:p>
        </w:tc>
        <w:tc>
          <w:tcPr>
            <w:tcW w:w="2127" w:type="dxa"/>
            <w:tcBorders>
              <w:top w:val="nil"/>
              <w:left w:val="nil"/>
              <w:bottom w:val="single" w:sz="8" w:space="0" w:color="auto"/>
              <w:right w:val="single" w:sz="8" w:space="0" w:color="auto"/>
            </w:tcBorders>
          </w:tcPr>
          <w:p w14:paraId="7F6429C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silty loam</w:t>
            </w:r>
          </w:p>
        </w:tc>
        <w:tc>
          <w:tcPr>
            <w:tcW w:w="567" w:type="dxa"/>
            <w:tcBorders>
              <w:top w:val="nil"/>
              <w:left w:val="nil"/>
              <w:bottom w:val="single" w:sz="8" w:space="0" w:color="auto"/>
              <w:right w:val="single" w:sz="8" w:space="0" w:color="auto"/>
            </w:tcBorders>
          </w:tcPr>
          <w:p w14:paraId="40A2C1B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6.75</w:t>
            </w:r>
          </w:p>
        </w:tc>
        <w:tc>
          <w:tcPr>
            <w:tcW w:w="708" w:type="dxa"/>
            <w:tcBorders>
              <w:top w:val="nil"/>
              <w:left w:val="nil"/>
              <w:bottom w:val="single" w:sz="8" w:space="0" w:color="auto"/>
              <w:right w:val="single" w:sz="8" w:space="0" w:color="auto"/>
            </w:tcBorders>
          </w:tcPr>
          <w:p w14:paraId="3EEEFD1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3.1</w:t>
            </w:r>
          </w:p>
        </w:tc>
        <w:tc>
          <w:tcPr>
            <w:tcW w:w="709" w:type="dxa"/>
            <w:tcBorders>
              <w:top w:val="nil"/>
              <w:left w:val="nil"/>
              <w:bottom w:val="single" w:sz="8" w:space="0" w:color="auto"/>
              <w:right w:val="single" w:sz="8" w:space="0" w:color="auto"/>
            </w:tcBorders>
          </w:tcPr>
          <w:p w14:paraId="716F891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28.1</w:t>
            </w:r>
          </w:p>
        </w:tc>
        <w:tc>
          <w:tcPr>
            <w:tcW w:w="851" w:type="dxa"/>
            <w:tcBorders>
              <w:top w:val="nil"/>
              <w:left w:val="nil"/>
              <w:bottom w:val="single" w:sz="8" w:space="0" w:color="auto"/>
              <w:right w:val="single" w:sz="8" w:space="0" w:color="auto"/>
            </w:tcBorders>
          </w:tcPr>
          <w:p w14:paraId="5EEAD9E5"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8" w:space="0" w:color="auto"/>
              <w:right w:val="single" w:sz="8" w:space="0" w:color="auto"/>
            </w:tcBorders>
          </w:tcPr>
          <w:p w14:paraId="72B61C5A"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22.1</w:t>
            </w:r>
          </w:p>
        </w:tc>
        <w:tc>
          <w:tcPr>
            <w:tcW w:w="992" w:type="dxa"/>
            <w:tcBorders>
              <w:top w:val="nil"/>
              <w:left w:val="nil"/>
              <w:bottom w:val="single" w:sz="8" w:space="0" w:color="auto"/>
              <w:right w:val="single" w:sz="8" w:space="0" w:color="auto"/>
            </w:tcBorders>
          </w:tcPr>
          <w:p w14:paraId="4F6A93B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851" w:type="dxa"/>
            <w:tcBorders>
              <w:top w:val="single" w:sz="8" w:space="0" w:color="auto"/>
              <w:left w:val="nil"/>
              <w:bottom w:val="single" w:sz="8" w:space="0" w:color="auto"/>
              <w:right w:val="single" w:sz="8" w:space="0" w:color="000000"/>
            </w:tcBorders>
          </w:tcPr>
          <w:p w14:paraId="46B0D5D3"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100</w:t>
            </w:r>
          </w:p>
        </w:tc>
        <w:tc>
          <w:tcPr>
            <w:tcW w:w="992" w:type="dxa"/>
            <w:tcBorders>
              <w:top w:val="nil"/>
              <w:left w:val="nil"/>
              <w:bottom w:val="single" w:sz="8" w:space="0" w:color="auto"/>
              <w:right w:val="single" w:sz="8" w:space="0" w:color="auto"/>
            </w:tcBorders>
          </w:tcPr>
          <w:p w14:paraId="0907E86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0F6B8EB6"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110.7</w:t>
            </w:r>
          </w:p>
        </w:tc>
        <w:tc>
          <w:tcPr>
            <w:tcW w:w="992" w:type="dxa"/>
            <w:tcBorders>
              <w:top w:val="nil"/>
              <w:left w:val="nil"/>
              <w:bottom w:val="single" w:sz="8" w:space="0" w:color="auto"/>
              <w:right w:val="single" w:sz="12" w:space="0" w:color="auto"/>
            </w:tcBorders>
          </w:tcPr>
          <w:p w14:paraId="2C4EA70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606B436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Bollag &amp; Barabasz, 1979</w:t>
            </w:r>
          </w:p>
        </w:tc>
      </w:tr>
      <w:tr w:rsidR="00632208" w:rsidRPr="0098635C" w14:paraId="7DC17FA6" w14:textId="77777777" w:rsidTr="00A432B0">
        <w:trPr>
          <w:trHeight w:val="64"/>
        </w:trPr>
        <w:tc>
          <w:tcPr>
            <w:tcW w:w="938" w:type="dxa"/>
            <w:tcBorders>
              <w:top w:val="nil"/>
              <w:left w:val="single" w:sz="12" w:space="0" w:color="auto"/>
              <w:bottom w:val="single" w:sz="8" w:space="0" w:color="auto"/>
              <w:right w:val="single" w:sz="8" w:space="0" w:color="auto"/>
            </w:tcBorders>
          </w:tcPr>
          <w:p w14:paraId="167AD90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CuSO</w:t>
            </w:r>
            <w:r w:rsidRPr="0098635C">
              <w:rPr>
                <w:rFonts w:ascii="Arial Narrow" w:hAnsi="Arial Narrow" w:cs="Arial Narrow"/>
                <w:color w:val="000000" w:themeColor="text1"/>
                <w:sz w:val="20"/>
                <w:szCs w:val="20"/>
                <w:vertAlign w:val="subscript"/>
              </w:rPr>
              <w:t>4</w:t>
            </w:r>
          </w:p>
        </w:tc>
        <w:tc>
          <w:tcPr>
            <w:tcW w:w="1276" w:type="dxa"/>
            <w:tcBorders>
              <w:top w:val="nil"/>
              <w:left w:val="nil"/>
              <w:bottom w:val="single" w:sz="8" w:space="0" w:color="auto"/>
              <w:right w:val="single" w:sz="8" w:space="0" w:color="auto"/>
            </w:tcBorders>
          </w:tcPr>
          <w:p w14:paraId="01E5044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ATP content</w:t>
            </w:r>
          </w:p>
        </w:tc>
        <w:tc>
          <w:tcPr>
            <w:tcW w:w="2127" w:type="dxa"/>
            <w:tcBorders>
              <w:top w:val="nil"/>
              <w:left w:val="nil"/>
              <w:bottom w:val="single" w:sz="8" w:space="0" w:color="auto"/>
              <w:right w:val="single" w:sz="8" w:space="0" w:color="auto"/>
            </w:tcBorders>
          </w:tcPr>
          <w:p w14:paraId="49E2527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forest soil</w:t>
            </w:r>
          </w:p>
        </w:tc>
        <w:tc>
          <w:tcPr>
            <w:tcW w:w="567" w:type="dxa"/>
            <w:tcBorders>
              <w:top w:val="nil"/>
              <w:left w:val="nil"/>
              <w:bottom w:val="single" w:sz="8" w:space="0" w:color="auto"/>
              <w:right w:val="single" w:sz="8" w:space="0" w:color="auto"/>
            </w:tcBorders>
          </w:tcPr>
          <w:p w14:paraId="0A817E7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4.5</w:t>
            </w:r>
          </w:p>
        </w:tc>
        <w:tc>
          <w:tcPr>
            <w:tcW w:w="708" w:type="dxa"/>
            <w:tcBorders>
              <w:top w:val="nil"/>
              <w:left w:val="nil"/>
              <w:bottom w:val="single" w:sz="8" w:space="0" w:color="auto"/>
              <w:right w:val="single" w:sz="8" w:space="0" w:color="auto"/>
            </w:tcBorders>
          </w:tcPr>
          <w:p w14:paraId="24DC60D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80</w:t>
            </w:r>
          </w:p>
        </w:tc>
        <w:tc>
          <w:tcPr>
            <w:tcW w:w="709" w:type="dxa"/>
            <w:tcBorders>
              <w:top w:val="nil"/>
              <w:left w:val="nil"/>
              <w:bottom w:val="single" w:sz="8" w:space="0" w:color="auto"/>
              <w:right w:val="single" w:sz="8" w:space="0" w:color="auto"/>
            </w:tcBorders>
          </w:tcPr>
          <w:p w14:paraId="357AC20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single" w:sz="8" w:space="0" w:color="auto"/>
            </w:tcBorders>
          </w:tcPr>
          <w:p w14:paraId="4172AF22"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8" w:space="0" w:color="auto"/>
              <w:right w:val="single" w:sz="8" w:space="0" w:color="auto"/>
            </w:tcBorders>
          </w:tcPr>
          <w:p w14:paraId="67B5795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37FD4EE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182</w:t>
            </w:r>
          </w:p>
        </w:tc>
        <w:tc>
          <w:tcPr>
            <w:tcW w:w="851" w:type="dxa"/>
            <w:tcBorders>
              <w:top w:val="single" w:sz="8" w:space="0" w:color="auto"/>
              <w:left w:val="nil"/>
              <w:bottom w:val="single" w:sz="8" w:space="0" w:color="auto"/>
              <w:right w:val="single" w:sz="8" w:space="0" w:color="000000"/>
            </w:tcBorders>
          </w:tcPr>
          <w:p w14:paraId="0BC8F2A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337</w:t>
            </w:r>
          </w:p>
        </w:tc>
        <w:tc>
          <w:tcPr>
            <w:tcW w:w="992" w:type="dxa"/>
            <w:tcBorders>
              <w:top w:val="nil"/>
              <w:left w:val="nil"/>
              <w:bottom w:val="single" w:sz="8" w:space="0" w:color="auto"/>
              <w:right w:val="single" w:sz="8" w:space="0" w:color="auto"/>
            </w:tcBorders>
          </w:tcPr>
          <w:p w14:paraId="37109D8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1377D66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347.7</w:t>
            </w:r>
          </w:p>
        </w:tc>
        <w:tc>
          <w:tcPr>
            <w:tcW w:w="992" w:type="dxa"/>
            <w:tcBorders>
              <w:top w:val="nil"/>
              <w:left w:val="nil"/>
              <w:bottom w:val="single" w:sz="8" w:space="0" w:color="auto"/>
              <w:right w:val="single" w:sz="12" w:space="0" w:color="auto"/>
            </w:tcBorders>
          </w:tcPr>
          <w:p w14:paraId="7768F42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106B41A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Frostegard et al., 1993</w:t>
            </w:r>
          </w:p>
        </w:tc>
      </w:tr>
      <w:tr w:rsidR="00632208" w:rsidRPr="0098635C" w14:paraId="2BDE5533" w14:textId="77777777" w:rsidTr="00A432B0">
        <w:trPr>
          <w:trHeight w:val="64"/>
        </w:trPr>
        <w:tc>
          <w:tcPr>
            <w:tcW w:w="938" w:type="dxa"/>
            <w:tcBorders>
              <w:top w:val="nil"/>
              <w:left w:val="single" w:sz="12" w:space="0" w:color="auto"/>
              <w:bottom w:val="single" w:sz="8" w:space="0" w:color="auto"/>
              <w:right w:val="single" w:sz="8" w:space="0" w:color="auto"/>
            </w:tcBorders>
          </w:tcPr>
          <w:p w14:paraId="034AEC0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CuSO</w:t>
            </w:r>
            <w:r w:rsidRPr="0098635C">
              <w:rPr>
                <w:rFonts w:ascii="Arial Narrow" w:hAnsi="Arial Narrow" w:cs="Arial Narrow"/>
                <w:color w:val="000000" w:themeColor="text1"/>
                <w:sz w:val="20"/>
                <w:szCs w:val="20"/>
                <w:vertAlign w:val="subscript"/>
              </w:rPr>
              <w:t>4</w:t>
            </w:r>
          </w:p>
        </w:tc>
        <w:tc>
          <w:tcPr>
            <w:tcW w:w="1276" w:type="dxa"/>
            <w:tcBorders>
              <w:top w:val="nil"/>
              <w:left w:val="nil"/>
              <w:bottom w:val="single" w:sz="8" w:space="0" w:color="auto"/>
              <w:right w:val="single" w:sz="8" w:space="0" w:color="auto"/>
            </w:tcBorders>
          </w:tcPr>
          <w:p w14:paraId="6C4EAC8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ATP content</w:t>
            </w:r>
          </w:p>
        </w:tc>
        <w:tc>
          <w:tcPr>
            <w:tcW w:w="2127" w:type="dxa"/>
            <w:tcBorders>
              <w:top w:val="nil"/>
              <w:left w:val="nil"/>
              <w:bottom w:val="single" w:sz="8" w:space="0" w:color="auto"/>
              <w:right w:val="single" w:sz="8" w:space="0" w:color="auto"/>
            </w:tcBorders>
          </w:tcPr>
          <w:p w14:paraId="213D8FE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loam</w:t>
            </w:r>
          </w:p>
        </w:tc>
        <w:tc>
          <w:tcPr>
            <w:tcW w:w="567" w:type="dxa"/>
            <w:tcBorders>
              <w:top w:val="nil"/>
              <w:left w:val="nil"/>
              <w:bottom w:val="single" w:sz="8" w:space="0" w:color="auto"/>
              <w:right w:val="single" w:sz="8" w:space="0" w:color="auto"/>
            </w:tcBorders>
          </w:tcPr>
          <w:p w14:paraId="51C6B88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7.8</w:t>
            </w:r>
          </w:p>
        </w:tc>
        <w:tc>
          <w:tcPr>
            <w:tcW w:w="708" w:type="dxa"/>
            <w:tcBorders>
              <w:top w:val="nil"/>
              <w:left w:val="nil"/>
              <w:bottom w:val="single" w:sz="8" w:space="0" w:color="auto"/>
              <w:right w:val="single" w:sz="8" w:space="0" w:color="auto"/>
            </w:tcBorders>
          </w:tcPr>
          <w:p w14:paraId="4FA21FE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4.4</w:t>
            </w:r>
          </w:p>
        </w:tc>
        <w:tc>
          <w:tcPr>
            <w:tcW w:w="709" w:type="dxa"/>
            <w:tcBorders>
              <w:top w:val="nil"/>
              <w:left w:val="nil"/>
              <w:bottom w:val="single" w:sz="8" w:space="0" w:color="auto"/>
              <w:right w:val="single" w:sz="8" w:space="0" w:color="auto"/>
            </w:tcBorders>
          </w:tcPr>
          <w:p w14:paraId="19AEF3B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single" w:sz="8" w:space="0" w:color="auto"/>
            </w:tcBorders>
          </w:tcPr>
          <w:p w14:paraId="67C813DC"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8" w:space="0" w:color="auto"/>
              <w:right w:val="single" w:sz="8" w:space="0" w:color="auto"/>
            </w:tcBorders>
          </w:tcPr>
          <w:p w14:paraId="01AEC61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28F28B7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182</w:t>
            </w:r>
          </w:p>
        </w:tc>
        <w:tc>
          <w:tcPr>
            <w:tcW w:w="851" w:type="dxa"/>
            <w:tcBorders>
              <w:top w:val="single" w:sz="8" w:space="0" w:color="auto"/>
              <w:left w:val="nil"/>
              <w:bottom w:val="single" w:sz="8" w:space="0" w:color="auto"/>
              <w:right w:val="single" w:sz="8" w:space="0" w:color="000000"/>
            </w:tcBorders>
          </w:tcPr>
          <w:p w14:paraId="7BDE358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197</w:t>
            </w:r>
          </w:p>
        </w:tc>
        <w:tc>
          <w:tcPr>
            <w:tcW w:w="992" w:type="dxa"/>
            <w:tcBorders>
              <w:top w:val="nil"/>
              <w:left w:val="nil"/>
              <w:bottom w:val="single" w:sz="8" w:space="0" w:color="auto"/>
              <w:right w:val="single" w:sz="8" w:space="0" w:color="auto"/>
            </w:tcBorders>
          </w:tcPr>
          <w:p w14:paraId="16B80A8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2D77D2F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207.7</w:t>
            </w:r>
          </w:p>
        </w:tc>
        <w:tc>
          <w:tcPr>
            <w:tcW w:w="992" w:type="dxa"/>
            <w:tcBorders>
              <w:top w:val="nil"/>
              <w:left w:val="nil"/>
              <w:bottom w:val="single" w:sz="8" w:space="0" w:color="auto"/>
              <w:right w:val="single" w:sz="12" w:space="0" w:color="auto"/>
            </w:tcBorders>
          </w:tcPr>
          <w:p w14:paraId="68E4972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2488B6E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Frostegard et al., 1993</w:t>
            </w:r>
          </w:p>
        </w:tc>
      </w:tr>
      <w:tr w:rsidR="00632208" w:rsidRPr="0098635C" w14:paraId="663FF28F" w14:textId="77777777" w:rsidTr="00A432B0">
        <w:trPr>
          <w:trHeight w:val="64"/>
        </w:trPr>
        <w:tc>
          <w:tcPr>
            <w:tcW w:w="938" w:type="dxa"/>
            <w:tcBorders>
              <w:top w:val="nil"/>
              <w:left w:val="single" w:sz="12" w:space="0" w:color="auto"/>
              <w:bottom w:val="single" w:sz="8" w:space="0" w:color="auto"/>
              <w:right w:val="single" w:sz="8" w:space="0" w:color="auto"/>
            </w:tcBorders>
          </w:tcPr>
          <w:p w14:paraId="0B775AB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CuSO</w:t>
            </w:r>
            <w:r w:rsidRPr="0098635C">
              <w:rPr>
                <w:rFonts w:ascii="Arial Narrow" w:hAnsi="Arial Narrow" w:cs="Arial Narrow"/>
                <w:color w:val="000000" w:themeColor="text1"/>
                <w:sz w:val="20"/>
                <w:szCs w:val="20"/>
                <w:vertAlign w:val="subscript"/>
              </w:rPr>
              <w:t>4</w:t>
            </w:r>
          </w:p>
        </w:tc>
        <w:tc>
          <w:tcPr>
            <w:tcW w:w="1276" w:type="dxa"/>
            <w:tcBorders>
              <w:top w:val="nil"/>
              <w:left w:val="nil"/>
              <w:bottom w:val="single" w:sz="8" w:space="0" w:color="auto"/>
              <w:right w:val="single" w:sz="8" w:space="0" w:color="auto"/>
            </w:tcBorders>
          </w:tcPr>
          <w:p w14:paraId="7CE032D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respiration</w:t>
            </w:r>
          </w:p>
        </w:tc>
        <w:tc>
          <w:tcPr>
            <w:tcW w:w="2127" w:type="dxa"/>
            <w:tcBorders>
              <w:top w:val="nil"/>
              <w:left w:val="nil"/>
              <w:bottom w:val="single" w:sz="8" w:space="0" w:color="auto"/>
              <w:right w:val="single" w:sz="8" w:space="0" w:color="auto"/>
            </w:tcBorders>
          </w:tcPr>
          <w:p w14:paraId="400B2E7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forest soil</w:t>
            </w:r>
          </w:p>
        </w:tc>
        <w:tc>
          <w:tcPr>
            <w:tcW w:w="567" w:type="dxa"/>
            <w:tcBorders>
              <w:top w:val="nil"/>
              <w:left w:val="nil"/>
              <w:bottom w:val="single" w:sz="8" w:space="0" w:color="auto"/>
              <w:right w:val="single" w:sz="8" w:space="0" w:color="auto"/>
            </w:tcBorders>
          </w:tcPr>
          <w:p w14:paraId="08021BF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4.5</w:t>
            </w:r>
          </w:p>
        </w:tc>
        <w:tc>
          <w:tcPr>
            <w:tcW w:w="708" w:type="dxa"/>
            <w:tcBorders>
              <w:top w:val="nil"/>
              <w:left w:val="nil"/>
              <w:bottom w:val="single" w:sz="8" w:space="0" w:color="auto"/>
              <w:right w:val="single" w:sz="8" w:space="0" w:color="auto"/>
            </w:tcBorders>
          </w:tcPr>
          <w:p w14:paraId="53F6B36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80</w:t>
            </w:r>
          </w:p>
        </w:tc>
        <w:tc>
          <w:tcPr>
            <w:tcW w:w="709" w:type="dxa"/>
            <w:tcBorders>
              <w:top w:val="nil"/>
              <w:left w:val="nil"/>
              <w:bottom w:val="single" w:sz="8" w:space="0" w:color="auto"/>
              <w:right w:val="single" w:sz="8" w:space="0" w:color="auto"/>
            </w:tcBorders>
          </w:tcPr>
          <w:p w14:paraId="3A4E7CB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single" w:sz="8" w:space="0" w:color="auto"/>
            </w:tcBorders>
          </w:tcPr>
          <w:p w14:paraId="70137F0D"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8" w:space="0" w:color="auto"/>
              <w:right w:val="single" w:sz="8" w:space="0" w:color="auto"/>
            </w:tcBorders>
          </w:tcPr>
          <w:p w14:paraId="36FDF84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4829AA0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182</w:t>
            </w:r>
          </w:p>
        </w:tc>
        <w:tc>
          <w:tcPr>
            <w:tcW w:w="851" w:type="dxa"/>
            <w:tcBorders>
              <w:top w:val="single" w:sz="8" w:space="0" w:color="auto"/>
              <w:left w:val="nil"/>
              <w:bottom w:val="single" w:sz="8" w:space="0" w:color="auto"/>
              <w:right w:val="single" w:sz="8" w:space="0" w:color="000000"/>
            </w:tcBorders>
          </w:tcPr>
          <w:p w14:paraId="016DD02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763</w:t>
            </w:r>
          </w:p>
        </w:tc>
        <w:tc>
          <w:tcPr>
            <w:tcW w:w="992" w:type="dxa"/>
            <w:tcBorders>
              <w:top w:val="nil"/>
              <w:left w:val="nil"/>
              <w:bottom w:val="single" w:sz="8" w:space="0" w:color="auto"/>
              <w:right w:val="single" w:sz="8" w:space="0" w:color="auto"/>
            </w:tcBorders>
          </w:tcPr>
          <w:p w14:paraId="6CD62AD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6F35BA4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773.7</w:t>
            </w:r>
          </w:p>
        </w:tc>
        <w:tc>
          <w:tcPr>
            <w:tcW w:w="992" w:type="dxa"/>
            <w:tcBorders>
              <w:top w:val="nil"/>
              <w:left w:val="nil"/>
              <w:bottom w:val="single" w:sz="8" w:space="0" w:color="auto"/>
              <w:right w:val="single" w:sz="12" w:space="0" w:color="auto"/>
            </w:tcBorders>
          </w:tcPr>
          <w:p w14:paraId="7B37B15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229C6E4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Frostegard et al., 1993</w:t>
            </w:r>
          </w:p>
        </w:tc>
      </w:tr>
      <w:tr w:rsidR="00632208" w:rsidRPr="0098635C" w14:paraId="7AF1FE85" w14:textId="77777777" w:rsidTr="00A432B0">
        <w:trPr>
          <w:trHeight w:val="64"/>
        </w:trPr>
        <w:tc>
          <w:tcPr>
            <w:tcW w:w="938" w:type="dxa"/>
            <w:tcBorders>
              <w:top w:val="nil"/>
              <w:left w:val="single" w:sz="12" w:space="0" w:color="auto"/>
              <w:bottom w:val="single" w:sz="8" w:space="0" w:color="auto"/>
              <w:right w:val="single" w:sz="8" w:space="0" w:color="auto"/>
            </w:tcBorders>
          </w:tcPr>
          <w:p w14:paraId="3E49447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CuSO</w:t>
            </w:r>
            <w:r w:rsidRPr="0098635C">
              <w:rPr>
                <w:rFonts w:ascii="Arial Narrow" w:hAnsi="Arial Narrow" w:cs="Arial Narrow"/>
                <w:color w:val="000000" w:themeColor="text1"/>
                <w:sz w:val="20"/>
                <w:szCs w:val="20"/>
                <w:vertAlign w:val="subscript"/>
              </w:rPr>
              <w:t>4</w:t>
            </w:r>
          </w:p>
        </w:tc>
        <w:tc>
          <w:tcPr>
            <w:tcW w:w="1276" w:type="dxa"/>
            <w:tcBorders>
              <w:top w:val="nil"/>
              <w:left w:val="nil"/>
              <w:bottom w:val="single" w:sz="8" w:space="0" w:color="auto"/>
              <w:right w:val="single" w:sz="8" w:space="0" w:color="auto"/>
            </w:tcBorders>
          </w:tcPr>
          <w:p w14:paraId="1BD3A3D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dehydrogenase activity</w:t>
            </w:r>
          </w:p>
        </w:tc>
        <w:tc>
          <w:tcPr>
            <w:tcW w:w="2127" w:type="dxa"/>
            <w:tcBorders>
              <w:top w:val="nil"/>
              <w:left w:val="nil"/>
              <w:bottom w:val="single" w:sz="8" w:space="0" w:color="auto"/>
              <w:right w:val="single" w:sz="8" w:space="0" w:color="auto"/>
            </w:tcBorders>
          </w:tcPr>
          <w:p w14:paraId="2141C54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alluvial soil</w:t>
            </w:r>
          </w:p>
        </w:tc>
        <w:tc>
          <w:tcPr>
            <w:tcW w:w="567" w:type="dxa"/>
            <w:tcBorders>
              <w:top w:val="nil"/>
              <w:left w:val="nil"/>
              <w:bottom w:val="single" w:sz="8" w:space="0" w:color="auto"/>
              <w:right w:val="single" w:sz="8" w:space="0" w:color="auto"/>
            </w:tcBorders>
          </w:tcPr>
          <w:p w14:paraId="7339070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7.1</w:t>
            </w:r>
          </w:p>
        </w:tc>
        <w:tc>
          <w:tcPr>
            <w:tcW w:w="708" w:type="dxa"/>
            <w:tcBorders>
              <w:top w:val="nil"/>
              <w:left w:val="nil"/>
              <w:bottom w:val="single" w:sz="8" w:space="0" w:color="auto"/>
              <w:right w:val="single" w:sz="8" w:space="0" w:color="auto"/>
            </w:tcBorders>
          </w:tcPr>
          <w:p w14:paraId="6DCFB57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709" w:type="dxa"/>
            <w:tcBorders>
              <w:top w:val="nil"/>
              <w:left w:val="nil"/>
              <w:bottom w:val="single" w:sz="8" w:space="0" w:color="auto"/>
              <w:right w:val="single" w:sz="8" w:space="0" w:color="auto"/>
            </w:tcBorders>
          </w:tcPr>
          <w:p w14:paraId="547278B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single" w:sz="8" w:space="0" w:color="auto"/>
            </w:tcBorders>
          </w:tcPr>
          <w:p w14:paraId="468DEB8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w:t>
            </w:r>
          </w:p>
        </w:tc>
        <w:tc>
          <w:tcPr>
            <w:tcW w:w="850" w:type="dxa"/>
            <w:tcBorders>
              <w:top w:val="nil"/>
              <w:left w:val="nil"/>
              <w:bottom w:val="single" w:sz="8" w:space="0" w:color="auto"/>
              <w:right w:val="single" w:sz="8" w:space="0" w:color="auto"/>
            </w:tcBorders>
          </w:tcPr>
          <w:p w14:paraId="4D90AAB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41F1720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182</w:t>
            </w:r>
          </w:p>
        </w:tc>
        <w:tc>
          <w:tcPr>
            <w:tcW w:w="851" w:type="dxa"/>
            <w:tcBorders>
              <w:top w:val="single" w:sz="8" w:space="0" w:color="auto"/>
              <w:left w:val="nil"/>
              <w:bottom w:val="single" w:sz="8" w:space="0" w:color="auto"/>
              <w:right w:val="single" w:sz="8" w:space="0" w:color="000000"/>
            </w:tcBorders>
          </w:tcPr>
          <w:p w14:paraId="66AFC6E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10</w:t>
            </w:r>
          </w:p>
        </w:tc>
        <w:tc>
          <w:tcPr>
            <w:tcW w:w="992" w:type="dxa"/>
            <w:tcBorders>
              <w:top w:val="nil"/>
              <w:left w:val="nil"/>
              <w:bottom w:val="single" w:sz="8" w:space="0" w:color="auto"/>
              <w:right w:val="single" w:sz="8" w:space="0" w:color="auto"/>
            </w:tcBorders>
          </w:tcPr>
          <w:p w14:paraId="006DDE9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1200FE7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13</w:t>
            </w:r>
          </w:p>
        </w:tc>
        <w:tc>
          <w:tcPr>
            <w:tcW w:w="992" w:type="dxa"/>
            <w:tcBorders>
              <w:top w:val="nil"/>
              <w:left w:val="nil"/>
              <w:bottom w:val="single" w:sz="8" w:space="0" w:color="auto"/>
              <w:right w:val="single" w:sz="12" w:space="0" w:color="auto"/>
            </w:tcBorders>
          </w:tcPr>
          <w:p w14:paraId="4B2E797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50F5A61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Maliszewska et al., 1985</w:t>
            </w:r>
          </w:p>
        </w:tc>
      </w:tr>
      <w:tr w:rsidR="00632208" w:rsidRPr="0098635C" w14:paraId="2763EC92" w14:textId="77777777" w:rsidTr="00A432B0">
        <w:trPr>
          <w:trHeight w:val="64"/>
        </w:trPr>
        <w:tc>
          <w:tcPr>
            <w:tcW w:w="938" w:type="dxa"/>
            <w:tcBorders>
              <w:top w:val="nil"/>
              <w:left w:val="single" w:sz="12" w:space="0" w:color="auto"/>
              <w:bottom w:val="single" w:sz="8" w:space="0" w:color="auto"/>
              <w:right w:val="single" w:sz="8" w:space="0" w:color="auto"/>
            </w:tcBorders>
          </w:tcPr>
          <w:p w14:paraId="30BE34A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1276" w:type="dxa"/>
            <w:tcBorders>
              <w:top w:val="nil"/>
              <w:left w:val="nil"/>
              <w:bottom w:val="single" w:sz="8" w:space="0" w:color="auto"/>
              <w:right w:val="single" w:sz="8" w:space="0" w:color="auto"/>
            </w:tcBorders>
          </w:tcPr>
          <w:p w14:paraId="0BF763C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127" w:type="dxa"/>
            <w:tcBorders>
              <w:top w:val="nil"/>
              <w:left w:val="nil"/>
              <w:bottom w:val="single" w:sz="8" w:space="0" w:color="auto"/>
              <w:right w:val="single" w:sz="8" w:space="0" w:color="auto"/>
            </w:tcBorders>
          </w:tcPr>
          <w:p w14:paraId="2CBCADF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soil</w:t>
            </w:r>
          </w:p>
        </w:tc>
        <w:tc>
          <w:tcPr>
            <w:tcW w:w="567" w:type="dxa"/>
            <w:tcBorders>
              <w:top w:val="nil"/>
              <w:left w:val="nil"/>
              <w:bottom w:val="single" w:sz="8" w:space="0" w:color="auto"/>
              <w:right w:val="single" w:sz="8" w:space="0" w:color="auto"/>
            </w:tcBorders>
          </w:tcPr>
          <w:p w14:paraId="5D6A347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6.9</w:t>
            </w:r>
          </w:p>
        </w:tc>
        <w:tc>
          <w:tcPr>
            <w:tcW w:w="708" w:type="dxa"/>
            <w:tcBorders>
              <w:top w:val="nil"/>
              <w:left w:val="nil"/>
              <w:bottom w:val="single" w:sz="8" w:space="0" w:color="auto"/>
              <w:right w:val="single" w:sz="8" w:space="0" w:color="auto"/>
            </w:tcBorders>
          </w:tcPr>
          <w:p w14:paraId="4E6CB13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w:t>
            </w:r>
          </w:p>
        </w:tc>
        <w:tc>
          <w:tcPr>
            <w:tcW w:w="709" w:type="dxa"/>
            <w:tcBorders>
              <w:top w:val="nil"/>
              <w:left w:val="nil"/>
              <w:bottom w:val="single" w:sz="8" w:space="0" w:color="auto"/>
              <w:right w:val="single" w:sz="8" w:space="0" w:color="auto"/>
            </w:tcBorders>
          </w:tcPr>
          <w:p w14:paraId="3AD79D5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single" w:sz="8" w:space="0" w:color="auto"/>
            </w:tcBorders>
          </w:tcPr>
          <w:p w14:paraId="7CBAFC7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0.9</w:t>
            </w:r>
          </w:p>
        </w:tc>
        <w:tc>
          <w:tcPr>
            <w:tcW w:w="850" w:type="dxa"/>
            <w:tcBorders>
              <w:top w:val="nil"/>
              <w:left w:val="nil"/>
              <w:bottom w:val="single" w:sz="8" w:space="0" w:color="auto"/>
              <w:right w:val="single" w:sz="8" w:space="0" w:color="auto"/>
            </w:tcBorders>
          </w:tcPr>
          <w:p w14:paraId="2C73A15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6B007CA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182</w:t>
            </w:r>
          </w:p>
        </w:tc>
        <w:tc>
          <w:tcPr>
            <w:tcW w:w="851" w:type="dxa"/>
            <w:tcBorders>
              <w:top w:val="single" w:sz="8" w:space="0" w:color="auto"/>
              <w:left w:val="nil"/>
              <w:bottom w:val="single" w:sz="8" w:space="0" w:color="auto"/>
              <w:right w:val="single" w:sz="8" w:space="0" w:color="000000"/>
            </w:tcBorders>
          </w:tcPr>
          <w:p w14:paraId="0CBB503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0901FCE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&lt;10</w:t>
            </w:r>
          </w:p>
        </w:tc>
        <w:tc>
          <w:tcPr>
            <w:tcW w:w="851" w:type="dxa"/>
            <w:tcBorders>
              <w:top w:val="single" w:sz="8" w:space="0" w:color="auto"/>
              <w:left w:val="nil"/>
              <w:bottom w:val="single" w:sz="8" w:space="0" w:color="auto"/>
              <w:right w:val="single" w:sz="8" w:space="0" w:color="000000"/>
            </w:tcBorders>
          </w:tcPr>
          <w:p w14:paraId="2C50852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12" w:space="0" w:color="auto"/>
            </w:tcBorders>
          </w:tcPr>
          <w:p w14:paraId="28113BC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&lt;10.9</w:t>
            </w:r>
          </w:p>
        </w:tc>
        <w:tc>
          <w:tcPr>
            <w:tcW w:w="2410" w:type="dxa"/>
            <w:tcBorders>
              <w:top w:val="nil"/>
              <w:left w:val="nil"/>
              <w:bottom w:val="single" w:sz="8" w:space="0" w:color="auto"/>
              <w:right w:val="single" w:sz="12" w:space="0" w:color="auto"/>
            </w:tcBorders>
          </w:tcPr>
          <w:p w14:paraId="3830135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Maliszewska et al., 1985</w:t>
            </w:r>
          </w:p>
        </w:tc>
      </w:tr>
      <w:tr w:rsidR="00632208" w:rsidRPr="0098635C" w14:paraId="0F12010B" w14:textId="77777777" w:rsidTr="00A432B0">
        <w:trPr>
          <w:trHeight w:val="64"/>
        </w:trPr>
        <w:tc>
          <w:tcPr>
            <w:tcW w:w="938" w:type="dxa"/>
            <w:tcBorders>
              <w:top w:val="nil"/>
              <w:left w:val="single" w:sz="12" w:space="0" w:color="auto"/>
              <w:bottom w:val="single" w:sz="8" w:space="0" w:color="auto"/>
              <w:right w:val="single" w:sz="8" w:space="0" w:color="auto"/>
            </w:tcBorders>
          </w:tcPr>
          <w:p w14:paraId="3F77545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5FEB430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respiration</w:t>
            </w:r>
          </w:p>
        </w:tc>
        <w:tc>
          <w:tcPr>
            <w:tcW w:w="2127" w:type="dxa"/>
            <w:tcBorders>
              <w:top w:val="nil"/>
              <w:left w:val="nil"/>
              <w:bottom w:val="single" w:sz="8" w:space="0" w:color="auto"/>
              <w:right w:val="single" w:sz="8" w:space="0" w:color="auto"/>
            </w:tcBorders>
          </w:tcPr>
          <w:p w14:paraId="5F7750F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loam</w:t>
            </w:r>
          </w:p>
        </w:tc>
        <w:tc>
          <w:tcPr>
            <w:tcW w:w="567" w:type="dxa"/>
            <w:tcBorders>
              <w:top w:val="nil"/>
              <w:left w:val="nil"/>
              <w:bottom w:val="single" w:sz="8" w:space="0" w:color="auto"/>
              <w:right w:val="single" w:sz="8" w:space="0" w:color="auto"/>
            </w:tcBorders>
          </w:tcPr>
          <w:p w14:paraId="7F68E88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5.2</w:t>
            </w:r>
          </w:p>
        </w:tc>
        <w:tc>
          <w:tcPr>
            <w:tcW w:w="708" w:type="dxa"/>
            <w:tcBorders>
              <w:top w:val="nil"/>
              <w:left w:val="nil"/>
              <w:bottom w:val="single" w:sz="8" w:space="0" w:color="auto"/>
              <w:right w:val="single" w:sz="8" w:space="0" w:color="auto"/>
            </w:tcBorders>
          </w:tcPr>
          <w:p w14:paraId="76AD0E4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2.4</w:t>
            </w:r>
          </w:p>
        </w:tc>
        <w:tc>
          <w:tcPr>
            <w:tcW w:w="709" w:type="dxa"/>
            <w:tcBorders>
              <w:top w:val="nil"/>
              <w:left w:val="nil"/>
              <w:bottom w:val="single" w:sz="8" w:space="0" w:color="auto"/>
              <w:right w:val="single" w:sz="8" w:space="0" w:color="auto"/>
            </w:tcBorders>
          </w:tcPr>
          <w:p w14:paraId="6809C39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w:t>
            </w:r>
          </w:p>
        </w:tc>
        <w:tc>
          <w:tcPr>
            <w:tcW w:w="851" w:type="dxa"/>
            <w:tcBorders>
              <w:top w:val="nil"/>
              <w:left w:val="nil"/>
              <w:bottom w:val="single" w:sz="8" w:space="0" w:color="auto"/>
              <w:right w:val="single" w:sz="8" w:space="0" w:color="auto"/>
            </w:tcBorders>
          </w:tcPr>
          <w:p w14:paraId="59A12CD4"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8" w:space="0" w:color="auto"/>
              <w:right w:val="single" w:sz="8" w:space="0" w:color="auto"/>
            </w:tcBorders>
          </w:tcPr>
          <w:p w14:paraId="1741AAF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4D48996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851" w:type="dxa"/>
            <w:tcBorders>
              <w:top w:val="single" w:sz="8" w:space="0" w:color="auto"/>
              <w:left w:val="nil"/>
              <w:bottom w:val="single" w:sz="8" w:space="0" w:color="auto"/>
              <w:right w:val="single" w:sz="8" w:space="0" w:color="000000"/>
            </w:tcBorders>
          </w:tcPr>
          <w:p w14:paraId="7532C05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3708B57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&lt;50</w:t>
            </w:r>
          </w:p>
        </w:tc>
        <w:tc>
          <w:tcPr>
            <w:tcW w:w="851" w:type="dxa"/>
            <w:tcBorders>
              <w:top w:val="single" w:sz="8" w:space="0" w:color="auto"/>
              <w:left w:val="nil"/>
              <w:bottom w:val="single" w:sz="8" w:space="0" w:color="auto"/>
              <w:right w:val="single" w:sz="8" w:space="0" w:color="000000"/>
            </w:tcBorders>
          </w:tcPr>
          <w:p w14:paraId="6426B8E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12" w:space="0" w:color="auto"/>
            </w:tcBorders>
          </w:tcPr>
          <w:p w14:paraId="3C90368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&lt;60.7</w:t>
            </w:r>
          </w:p>
        </w:tc>
        <w:tc>
          <w:tcPr>
            <w:tcW w:w="2410" w:type="dxa"/>
            <w:tcBorders>
              <w:top w:val="nil"/>
              <w:left w:val="nil"/>
              <w:bottom w:val="single" w:sz="8" w:space="0" w:color="auto"/>
              <w:right w:val="single" w:sz="12" w:space="0" w:color="auto"/>
            </w:tcBorders>
          </w:tcPr>
          <w:p w14:paraId="0387E2B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Saviozzi et al., 1997</w:t>
            </w:r>
          </w:p>
        </w:tc>
      </w:tr>
      <w:tr w:rsidR="00632208" w:rsidRPr="0098635C" w14:paraId="3F72B4AC" w14:textId="77777777" w:rsidTr="00A432B0">
        <w:trPr>
          <w:trHeight w:val="64"/>
        </w:trPr>
        <w:tc>
          <w:tcPr>
            <w:tcW w:w="938" w:type="dxa"/>
            <w:tcBorders>
              <w:top w:val="nil"/>
              <w:left w:val="single" w:sz="12" w:space="0" w:color="auto"/>
              <w:bottom w:val="single" w:sz="8" w:space="0" w:color="auto"/>
              <w:right w:val="single" w:sz="8" w:space="0" w:color="auto"/>
            </w:tcBorders>
          </w:tcPr>
          <w:p w14:paraId="40BEC60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71C0F6B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respiration</w:t>
            </w:r>
          </w:p>
        </w:tc>
        <w:tc>
          <w:tcPr>
            <w:tcW w:w="2127" w:type="dxa"/>
            <w:tcBorders>
              <w:top w:val="nil"/>
              <w:left w:val="nil"/>
              <w:bottom w:val="single" w:sz="8" w:space="0" w:color="auto"/>
              <w:right w:val="single" w:sz="8" w:space="0" w:color="auto"/>
            </w:tcBorders>
          </w:tcPr>
          <w:p w14:paraId="12C6302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forest soil: sandy clay loam</w:t>
            </w:r>
          </w:p>
        </w:tc>
        <w:tc>
          <w:tcPr>
            <w:tcW w:w="567" w:type="dxa"/>
            <w:tcBorders>
              <w:top w:val="nil"/>
              <w:left w:val="nil"/>
              <w:bottom w:val="single" w:sz="8" w:space="0" w:color="auto"/>
              <w:right w:val="single" w:sz="8" w:space="0" w:color="auto"/>
            </w:tcBorders>
          </w:tcPr>
          <w:p w14:paraId="58317E3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8" w:type="dxa"/>
            <w:tcBorders>
              <w:top w:val="nil"/>
              <w:left w:val="nil"/>
              <w:bottom w:val="single" w:sz="8" w:space="0" w:color="auto"/>
              <w:right w:val="single" w:sz="8" w:space="0" w:color="auto"/>
            </w:tcBorders>
          </w:tcPr>
          <w:p w14:paraId="7DC3D31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5C86857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single" w:sz="8" w:space="0" w:color="auto"/>
            </w:tcBorders>
          </w:tcPr>
          <w:p w14:paraId="2FBA9A78"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8" w:space="0" w:color="auto"/>
              <w:right w:val="single" w:sz="8" w:space="0" w:color="auto"/>
            </w:tcBorders>
          </w:tcPr>
          <w:p w14:paraId="24C4B39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292A014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20</w:t>
            </w:r>
          </w:p>
        </w:tc>
        <w:tc>
          <w:tcPr>
            <w:tcW w:w="851" w:type="dxa"/>
            <w:tcBorders>
              <w:top w:val="single" w:sz="8" w:space="0" w:color="auto"/>
              <w:left w:val="nil"/>
              <w:bottom w:val="single" w:sz="8" w:space="0" w:color="auto"/>
              <w:right w:val="single" w:sz="8" w:space="0" w:color="000000"/>
            </w:tcBorders>
          </w:tcPr>
          <w:p w14:paraId="4B7F790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50</w:t>
            </w:r>
          </w:p>
        </w:tc>
        <w:tc>
          <w:tcPr>
            <w:tcW w:w="992" w:type="dxa"/>
            <w:tcBorders>
              <w:top w:val="nil"/>
              <w:left w:val="nil"/>
              <w:bottom w:val="single" w:sz="8" w:space="0" w:color="auto"/>
              <w:right w:val="single" w:sz="8" w:space="0" w:color="auto"/>
            </w:tcBorders>
          </w:tcPr>
          <w:p w14:paraId="7451D30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0219D88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60.7</w:t>
            </w:r>
          </w:p>
        </w:tc>
        <w:tc>
          <w:tcPr>
            <w:tcW w:w="992" w:type="dxa"/>
            <w:tcBorders>
              <w:top w:val="nil"/>
              <w:left w:val="nil"/>
              <w:bottom w:val="single" w:sz="8" w:space="0" w:color="auto"/>
              <w:right w:val="single" w:sz="12" w:space="0" w:color="auto"/>
            </w:tcBorders>
          </w:tcPr>
          <w:p w14:paraId="3494D8B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4D4A88E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Skujins et al., 1986</w:t>
            </w:r>
          </w:p>
        </w:tc>
      </w:tr>
      <w:tr w:rsidR="00632208" w:rsidRPr="0098635C" w14:paraId="6A3328AD" w14:textId="77777777" w:rsidTr="00A432B0">
        <w:trPr>
          <w:trHeight w:val="64"/>
        </w:trPr>
        <w:tc>
          <w:tcPr>
            <w:tcW w:w="938" w:type="dxa"/>
            <w:tcBorders>
              <w:top w:val="nil"/>
              <w:left w:val="single" w:sz="12" w:space="0" w:color="auto"/>
              <w:bottom w:val="single" w:sz="8" w:space="0" w:color="auto"/>
              <w:right w:val="single" w:sz="8" w:space="0" w:color="auto"/>
            </w:tcBorders>
          </w:tcPr>
          <w:p w14:paraId="2E8A118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01CE9F1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urease activity</w:t>
            </w:r>
          </w:p>
        </w:tc>
        <w:tc>
          <w:tcPr>
            <w:tcW w:w="2127" w:type="dxa"/>
            <w:tcBorders>
              <w:top w:val="nil"/>
              <w:left w:val="nil"/>
              <w:bottom w:val="single" w:sz="8" w:space="0" w:color="auto"/>
              <w:right w:val="single" w:sz="8" w:space="0" w:color="auto"/>
            </w:tcBorders>
          </w:tcPr>
          <w:p w14:paraId="6EB905C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forest soil: sandy clay loam</w:t>
            </w:r>
          </w:p>
        </w:tc>
        <w:tc>
          <w:tcPr>
            <w:tcW w:w="567" w:type="dxa"/>
            <w:tcBorders>
              <w:top w:val="nil"/>
              <w:left w:val="nil"/>
              <w:bottom w:val="single" w:sz="8" w:space="0" w:color="auto"/>
              <w:right w:val="single" w:sz="8" w:space="0" w:color="auto"/>
            </w:tcBorders>
          </w:tcPr>
          <w:p w14:paraId="4B204CE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8" w:type="dxa"/>
            <w:tcBorders>
              <w:top w:val="nil"/>
              <w:left w:val="nil"/>
              <w:bottom w:val="single" w:sz="8" w:space="0" w:color="auto"/>
              <w:right w:val="single" w:sz="8" w:space="0" w:color="auto"/>
            </w:tcBorders>
          </w:tcPr>
          <w:p w14:paraId="3133637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709" w:type="dxa"/>
            <w:tcBorders>
              <w:top w:val="nil"/>
              <w:left w:val="nil"/>
              <w:bottom w:val="single" w:sz="8" w:space="0" w:color="auto"/>
              <w:right w:val="single" w:sz="8" w:space="0" w:color="auto"/>
            </w:tcBorders>
          </w:tcPr>
          <w:p w14:paraId="1B7C418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nil"/>
              <w:left w:val="nil"/>
              <w:bottom w:val="single" w:sz="8" w:space="0" w:color="auto"/>
              <w:right w:val="single" w:sz="8" w:space="0" w:color="auto"/>
            </w:tcBorders>
          </w:tcPr>
          <w:p w14:paraId="08EB65DD"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8" w:space="0" w:color="auto"/>
              <w:right w:val="single" w:sz="8" w:space="0" w:color="auto"/>
            </w:tcBorders>
          </w:tcPr>
          <w:p w14:paraId="49AF862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6DB99EB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20</w:t>
            </w:r>
          </w:p>
        </w:tc>
        <w:tc>
          <w:tcPr>
            <w:tcW w:w="851" w:type="dxa"/>
            <w:tcBorders>
              <w:top w:val="single" w:sz="8" w:space="0" w:color="auto"/>
              <w:left w:val="nil"/>
              <w:bottom w:val="single" w:sz="8" w:space="0" w:color="auto"/>
              <w:right w:val="single" w:sz="8" w:space="0" w:color="000000"/>
            </w:tcBorders>
          </w:tcPr>
          <w:p w14:paraId="0509CC1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200</w:t>
            </w:r>
          </w:p>
        </w:tc>
        <w:tc>
          <w:tcPr>
            <w:tcW w:w="992" w:type="dxa"/>
            <w:tcBorders>
              <w:top w:val="nil"/>
              <w:left w:val="nil"/>
              <w:bottom w:val="single" w:sz="8" w:space="0" w:color="auto"/>
              <w:right w:val="single" w:sz="8" w:space="0" w:color="auto"/>
            </w:tcBorders>
          </w:tcPr>
          <w:p w14:paraId="63E63AA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1266203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210.7</w:t>
            </w:r>
          </w:p>
        </w:tc>
        <w:tc>
          <w:tcPr>
            <w:tcW w:w="992" w:type="dxa"/>
            <w:tcBorders>
              <w:top w:val="nil"/>
              <w:left w:val="nil"/>
              <w:bottom w:val="single" w:sz="8" w:space="0" w:color="auto"/>
              <w:right w:val="single" w:sz="12" w:space="0" w:color="auto"/>
            </w:tcBorders>
          </w:tcPr>
          <w:p w14:paraId="72EFCE1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74C2A4A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Skujins et al., 1986</w:t>
            </w:r>
          </w:p>
        </w:tc>
      </w:tr>
      <w:tr w:rsidR="00632208" w:rsidRPr="0098635C" w14:paraId="1797F07C" w14:textId="77777777" w:rsidTr="00A432B0">
        <w:trPr>
          <w:trHeight w:val="64"/>
        </w:trPr>
        <w:tc>
          <w:tcPr>
            <w:tcW w:w="938" w:type="dxa"/>
            <w:tcBorders>
              <w:top w:val="nil"/>
              <w:left w:val="single" w:sz="12" w:space="0" w:color="auto"/>
              <w:bottom w:val="single" w:sz="8" w:space="0" w:color="auto"/>
              <w:right w:val="single" w:sz="8" w:space="0" w:color="auto"/>
            </w:tcBorders>
          </w:tcPr>
          <w:p w14:paraId="47AC73D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Cu(NO3)</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3DE5477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phosphatase activity</w:t>
            </w:r>
          </w:p>
        </w:tc>
        <w:tc>
          <w:tcPr>
            <w:tcW w:w="2127" w:type="dxa"/>
            <w:tcBorders>
              <w:top w:val="nil"/>
              <w:left w:val="nil"/>
              <w:bottom w:val="single" w:sz="8" w:space="0" w:color="auto"/>
              <w:right w:val="single" w:sz="8" w:space="0" w:color="auto"/>
            </w:tcBorders>
          </w:tcPr>
          <w:p w14:paraId="1FF36ED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w:t>
            </w:r>
          </w:p>
        </w:tc>
        <w:tc>
          <w:tcPr>
            <w:tcW w:w="567" w:type="dxa"/>
            <w:tcBorders>
              <w:top w:val="nil"/>
              <w:left w:val="nil"/>
              <w:bottom w:val="single" w:sz="8" w:space="0" w:color="auto"/>
              <w:right w:val="single" w:sz="8" w:space="0" w:color="auto"/>
            </w:tcBorders>
          </w:tcPr>
          <w:p w14:paraId="58EFA99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6.1</w:t>
            </w:r>
          </w:p>
        </w:tc>
        <w:tc>
          <w:tcPr>
            <w:tcW w:w="708" w:type="dxa"/>
            <w:tcBorders>
              <w:top w:val="nil"/>
              <w:left w:val="nil"/>
              <w:bottom w:val="single" w:sz="8" w:space="0" w:color="auto"/>
              <w:right w:val="single" w:sz="8" w:space="0" w:color="auto"/>
            </w:tcBorders>
          </w:tcPr>
          <w:p w14:paraId="7D4AA36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20.4</w:t>
            </w:r>
          </w:p>
        </w:tc>
        <w:tc>
          <w:tcPr>
            <w:tcW w:w="709" w:type="dxa"/>
            <w:tcBorders>
              <w:top w:val="nil"/>
              <w:left w:val="nil"/>
              <w:bottom w:val="single" w:sz="8" w:space="0" w:color="auto"/>
              <w:right w:val="single" w:sz="8" w:space="0" w:color="auto"/>
            </w:tcBorders>
          </w:tcPr>
          <w:p w14:paraId="336BAF8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32</w:t>
            </w:r>
          </w:p>
        </w:tc>
        <w:tc>
          <w:tcPr>
            <w:tcW w:w="851" w:type="dxa"/>
            <w:tcBorders>
              <w:top w:val="nil"/>
              <w:left w:val="nil"/>
              <w:bottom w:val="single" w:sz="8" w:space="0" w:color="auto"/>
              <w:right w:val="single" w:sz="8" w:space="0" w:color="auto"/>
            </w:tcBorders>
          </w:tcPr>
          <w:p w14:paraId="453A0432"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8" w:space="0" w:color="auto"/>
              <w:right w:val="single" w:sz="8" w:space="0" w:color="auto"/>
            </w:tcBorders>
          </w:tcPr>
          <w:p w14:paraId="5DBFBB7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1F86D09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851" w:type="dxa"/>
            <w:tcBorders>
              <w:top w:val="single" w:sz="8" w:space="0" w:color="auto"/>
              <w:left w:val="nil"/>
              <w:bottom w:val="single" w:sz="8" w:space="0" w:color="auto"/>
              <w:right w:val="single" w:sz="8" w:space="0" w:color="000000"/>
            </w:tcBorders>
          </w:tcPr>
          <w:p w14:paraId="11FE0CD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5A3EC2C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&lt;635</w:t>
            </w:r>
          </w:p>
        </w:tc>
        <w:tc>
          <w:tcPr>
            <w:tcW w:w="851" w:type="dxa"/>
            <w:tcBorders>
              <w:top w:val="single" w:sz="8" w:space="0" w:color="auto"/>
              <w:left w:val="nil"/>
              <w:bottom w:val="single" w:sz="8" w:space="0" w:color="auto"/>
              <w:right w:val="single" w:sz="8" w:space="0" w:color="000000"/>
            </w:tcBorders>
          </w:tcPr>
          <w:p w14:paraId="34C455F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12" w:space="0" w:color="auto"/>
            </w:tcBorders>
          </w:tcPr>
          <w:p w14:paraId="6B22CB9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&lt;640.7</w:t>
            </w:r>
          </w:p>
        </w:tc>
        <w:tc>
          <w:tcPr>
            <w:tcW w:w="2410" w:type="dxa"/>
            <w:tcBorders>
              <w:top w:val="nil"/>
              <w:left w:val="nil"/>
              <w:bottom w:val="single" w:sz="8" w:space="0" w:color="auto"/>
              <w:right w:val="single" w:sz="12" w:space="0" w:color="auto"/>
            </w:tcBorders>
          </w:tcPr>
          <w:p w14:paraId="30E9E23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Speir et al., 1999</w:t>
            </w:r>
          </w:p>
        </w:tc>
      </w:tr>
      <w:tr w:rsidR="00632208" w:rsidRPr="0098635C" w14:paraId="556B51D8" w14:textId="77777777" w:rsidTr="00A432B0">
        <w:trPr>
          <w:trHeight w:val="64"/>
        </w:trPr>
        <w:tc>
          <w:tcPr>
            <w:tcW w:w="938" w:type="dxa"/>
            <w:tcBorders>
              <w:top w:val="nil"/>
              <w:left w:val="single" w:sz="12" w:space="0" w:color="auto"/>
              <w:bottom w:val="single" w:sz="8" w:space="0" w:color="auto"/>
              <w:right w:val="single" w:sz="8" w:space="0" w:color="auto"/>
            </w:tcBorders>
          </w:tcPr>
          <w:p w14:paraId="3AF187B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Cu(NO3)</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5EF1041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phosphatase activity</w:t>
            </w:r>
          </w:p>
        </w:tc>
        <w:tc>
          <w:tcPr>
            <w:tcW w:w="2127" w:type="dxa"/>
            <w:tcBorders>
              <w:top w:val="nil"/>
              <w:left w:val="nil"/>
              <w:bottom w:val="single" w:sz="8" w:space="0" w:color="auto"/>
              <w:right w:val="single" w:sz="8" w:space="0" w:color="auto"/>
            </w:tcBorders>
          </w:tcPr>
          <w:p w14:paraId="5F3713E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Silt loam</w:t>
            </w:r>
          </w:p>
        </w:tc>
        <w:tc>
          <w:tcPr>
            <w:tcW w:w="567" w:type="dxa"/>
            <w:tcBorders>
              <w:top w:val="nil"/>
              <w:left w:val="nil"/>
              <w:bottom w:val="single" w:sz="8" w:space="0" w:color="auto"/>
              <w:right w:val="single" w:sz="8" w:space="0" w:color="auto"/>
            </w:tcBorders>
          </w:tcPr>
          <w:p w14:paraId="5F02DF6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6.3</w:t>
            </w:r>
          </w:p>
        </w:tc>
        <w:tc>
          <w:tcPr>
            <w:tcW w:w="708" w:type="dxa"/>
            <w:tcBorders>
              <w:top w:val="nil"/>
              <w:left w:val="nil"/>
              <w:bottom w:val="single" w:sz="8" w:space="0" w:color="auto"/>
              <w:right w:val="single" w:sz="8" w:space="0" w:color="auto"/>
            </w:tcBorders>
          </w:tcPr>
          <w:p w14:paraId="0C40660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13.8</w:t>
            </w:r>
          </w:p>
        </w:tc>
        <w:tc>
          <w:tcPr>
            <w:tcW w:w="709" w:type="dxa"/>
            <w:tcBorders>
              <w:top w:val="nil"/>
              <w:left w:val="nil"/>
              <w:bottom w:val="single" w:sz="8" w:space="0" w:color="auto"/>
              <w:right w:val="single" w:sz="8" w:space="0" w:color="auto"/>
            </w:tcBorders>
          </w:tcPr>
          <w:p w14:paraId="1D95FF1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2.5</w:t>
            </w:r>
          </w:p>
        </w:tc>
        <w:tc>
          <w:tcPr>
            <w:tcW w:w="851" w:type="dxa"/>
            <w:tcBorders>
              <w:top w:val="nil"/>
              <w:left w:val="nil"/>
              <w:bottom w:val="single" w:sz="8" w:space="0" w:color="auto"/>
              <w:right w:val="single" w:sz="8" w:space="0" w:color="auto"/>
            </w:tcBorders>
          </w:tcPr>
          <w:p w14:paraId="1E670CB0"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8" w:space="0" w:color="auto"/>
              <w:right w:val="single" w:sz="8" w:space="0" w:color="auto"/>
            </w:tcBorders>
          </w:tcPr>
          <w:p w14:paraId="725E89C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2FD8D9A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851" w:type="dxa"/>
            <w:tcBorders>
              <w:top w:val="single" w:sz="8" w:space="0" w:color="auto"/>
              <w:left w:val="nil"/>
              <w:bottom w:val="single" w:sz="8" w:space="0" w:color="auto"/>
              <w:right w:val="single" w:sz="8" w:space="0" w:color="000000"/>
            </w:tcBorders>
          </w:tcPr>
          <w:p w14:paraId="2D22E2C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2E623FC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&lt;635</w:t>
            </w:r>
          </w:p>
        </w:tc>
        <w:tc>
          <w:tcPr>
            <w:tcW w:w="851" w:type="dxa"/>
            <w:tcBorders>
              <w:top w:val="single" w:sz="8" w:space="0" w:color="auto"/>
              <w:left w:val="nil"/>
              <w:bottom w:val="single" w:sz="8" w:space="0" w:color="auto"/>
              <w:right w:val="single" w:sz="8" w:space="0" w:color="000000"/>
            </w:tcBorders>
          </w:tcPr>
          <w:p w14:paraId="0A35DFE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12" w:space="0" w:color="auto"/>
            </w:tcBorders>
          </w:tcPr>
          <w:p w14:paraId="4FDB919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&lt;640.7</w:t>
            </w:r>
          </w:p>
        </w:tc>
        <w:tc>
          <w:tcPr>
            <w:tcW w:w="2410" w:type="dxa"/>
            <w:tcBorders>
              <w:top w:val="nil"/>
              <w:left w:val="nil"/>
              <w:bottom w:val="single" w:sz="8" w:space="0" w:color="auto"/>
              <w:right w:val="single" w:sz="12" w:space="0" w:color="auto"/>
            </w:tcBorders>
          </w:tcPr>
          <w:p w14:paraId="356DEEB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Speir et al., 1999</w:t>
            </w:r>
          </w:p>
        </w:tc>
      </w:tr>
      <w:tr w:rsidR="00632208" w:rsidRPr="0098635C" w14:paraId="078F62E6" w14:textId="77777777" w:rsidTr="00A432B0">
        <w:trPr>
          <w:trHeight w:val="64"/>
        </w:trPr>
        <w:tc>
          <w:tcPr>
            <w:tcW w:w="938" w:type="dxa"/>
            <w:tcBorders>
              <w:top w:val="nil"/>
              <w:left w:val="single" w:sz="12" w:space="0" w:color="auto"/>
              <w:bottom w:val="single" w:sz="8" w:space="0" w:color="auto"/>
              <w:right w:val="single" w:sz="8" w:space="0" w:color="auto"/>
            </w:tcBorders>
          </w:tcPr>
          <w:p w14:paraId="112FBF3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Cu(NO3)</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6FC82C9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sulphatase activity</w:t>
            </w:r>
          </w:p>
        </w:tc>
        <w:tc>
          <w:tcPr>
            <w:tcW w:w="2127" w:type="dxa"/>
            <w:tcBorders>
              <w:top w:val="nil"/>
              <w:left w:val="nil"/>
              <w:bottom w:val="single" w:sz="8" w:space="0" w:color="auto"/>
              <w:right w:val="single" w:sz="8" w:space="0" w:color="auto"/>
            </w:tcBorders>
          </w:tcPr>
          <w:p w14:paraId="6D64C91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w:t>
            </w:r>
          </w:p>
        </w:tc>
        <w:tc>
          <w:tcPr>
            <w:tcW w:w="567" w:type="dxa"/>
            <w:tcBorders>
              <w:top w:val="nil"/>
              <w:left w:val="nil"/>
              <w:bottom w:val="single" w:sz="8" w:space="0" w:color="auto"/>
              <w:right w:val="single" w:sz="8" w:space="0" w:color="auto"/>
            </w:tcBorders>
          </w:tcPr>
          <w:p w14:paraId="4E82946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6.1</w:t>
            </w:r>
          </w:p>
        </w:tc>
        <w:tc>
          <w:tcPr>
            <w:tcW w:w="708" w:type="dxa"/>
            <w:tcBorders>
              <w:top w:val="nil"/>
              <w:left w:val="nil"/>
              <w:bottom w:val="single" w:sz="8" w:space="0" w:color="auto"/>
              <w:right w:val="single" w:sz="8" w:space="0" w:color="auto"/>
            </w:tcBorders>
          </w:tcPr>
          <w:p w14:paraId="028302D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20.4</w:t>
            </w:r>
          </w:p>
        </w:tc>
        <w:tc>
          <w:tcPr>
            <w:tcW w:w="709" w:type="dxa"/>
            <w:tcBorders>
              <w:top w:val="nil"/>
              <w:left w:val="nil"/>
              <w:bottom w:val="single" w:sz="8" w:space="0" w:color="auto"/>
              <w:right w:val="single" w:sz="8" w:space="0" w:color="auto"/>
            </w:tcBorders>
          </w:tcPr>
          <w:p w14:paraId="770FBA8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32</w:t>
            </w:r>
          </w:p>
        </w:tc>
        <w:tc>
          <w:tcPr>
            <w:tcW w:w="851" w:type="dxa"/>
            <w:tcBorders>
              <w:top w:val="nil"/>
              <w:left w:val="nil"/>
              <w:bottom w:val="single" w:sz="8" w:space="0" w:color="auto"/>
              <w:right w:val="single" w:sz="8" w:space="0" w:color="auto"/>
            </w:tcBorders>
          </w:tcPr>
          <w:p w14:paraId="3173CC80"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8" w:space="0" w:color="auto"/>
              <w:right w:val="single" w:sz="8" w:space="0" w:color="auto"/>
            </w:tcBorders>
          </w:tcPr>
          <w:p w14:paraId="427913D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39FB8BB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851" w:type="dxa"/>
            <w:tcBorders>
              <w:top w:val="single" w:sz="8" w:space="0" w:color="auto"/>
              <w:left w:val="nil"/>
              <w:bottom w:val="single" w:sz="8" w:space="0" w:color="auto"/>
              <w:right w:val="single" w:sz="8" w:space="0" w:color="000000"/>
            </w:tcBorders>
          </w:tcPr>
          <w:p w14:paraId="022C503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790EFCB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&lt;635</w:t>
            </w:r>
          </w:p>
        </w:tc>
        <w:tc>
          <w:tcPr>
            <w:tcW w:w="851" w:type="dxa"/>
            <w:tcBorders>
              <w:top w:val="single" w:sz="8" w:space="0" w:color="auto"/>
              <w:left w:val="nil"/>
              <w:bottom w:val="single" w:sz="8" w:space="0" w:color="auto"/>
              <w:right w:val="single" w:sz="8" w:space="0" w:color="000000"/>
            </w:tcBorders>
          </w:tcPr>
          <w:p w14:paraId="4F00E58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12" w:space="0" w:color="auto"/>
            </w:tcBorders>
          </w:tcPr>
          <w:p w14:paraId="7073152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&lt;640.7</w:t>
            </w:r>
          </w:p>
        </w:tc>
        <w:tc>
          <w:tcPr>
            <w:tcW w:w="2410" w:type="dxa"/>
            <w:tcBorders>
              <w:top w:val="nil"/>
              <w:left w:val="nil"/>
              <w:bottom w:val="single" w:sz="8" w:space="0" w:color="auto"/>
              <w:right w:val="single" w:sz="12" w:space="0" w:color="auto"/>
            </w:tcBorders>
          </w:tcPr>
          <w:p w14:paraId="09FE9B1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Speir et al., 1999</w:t>
            </w:r>
          </w:p>
        </w:tc>
      </w:tr>
      <w:tr w:rsidR="00632208" w:rsidRPr="0098635C" w14:paraId="0E5F46D0" w14:textId="77777777" w:rsidTr="00A432B0">
        <w:trPr>
          <w:trHeight w:val="64"/>
        </w:trPr>
        <w:tc>
          <w:tcPr>
            <w:tcW w:w="938" w:type="dxa"/>
            <w:tcBorders>
              <w:top w:val="nil"/>
              <w:left w:val="single" w:sz="12" w:space="0" w:color="auto"/>
              <w:bottom w:val="single" w:sz="8" w:space="0" w:color="auto"/>
              <w:right w:val="single" w:sz="8" w:space="0" w:color="auto"/>
            </w:tcBorders>
          </w:tcPr>
          <w:p w14:paraId="22D1B9D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Cu(NO3)</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62D448D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sulphatase activity</w:t>
            </w:r>
          </w:p>
        </w:tc>
        <w:tc>
          <w:tcPr>
            <w:tcW w:w="2127" w:type="dxa"/>
            <w:tcBorders>
              <w:top w:val="nil"/>
              <w:left w:val="nil"/>
              <w:bottom w:val="single" w:sz="8" w:space="0" w:color="auto"/>
              <w:right w:val="single" w:sz="8" w:space="0" w:color="auto"/>
            </w:tcBorders>
          </w:tcPr>
          <w:p w14:paraId="04FB867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silt loam</w:t>
            </w:r>
          </w:p>
        </w:tc>
        <w:tc>
          <w:tcPr>
            <w:tcW w:w="567" w:type="dxa"/>
            <w:tcBorders>
              <w:top w:val="nil"/>
              <w:left w:val="nil"/>
              <w:bottom w:val="single" w:sz="8" w:space="0" w:color="auto"/>
              <w:right w:val="single" w:sz="8" w:space="0" w:color="auto"/>
            </w:tcBorders>
          </w:tcPr>
          <w:p w14:paraId="4061A68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6.3</w:t>
            </w:r>
          </w:p>
        </w:tc>
        <w:tc>
          <w:tcPr>
            <w:tcW w:w="708" w:type="dxa"/>
            <w:tcBorders>
              <w:top w:val="nil"/>
              <w:left w:val="nil"/>
              <w:bottom w:val="single" w:sz="8" w:space="0" w:color="auto"/>
              <w:right w:val="single" w:sz="8" w:space="0" w:color="auto"/>
            </w:tcBorders>
          </w:tcPr>
          <w:p w14:paraId="7D3F083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13.8</w:t>
            </w:r>
          </w:p>
        </w:tc>
        <w:tc>
          <w:tcPr>
            <w:tcW w:w="709" w:type="dxa"/>
            <w:tcBorders>
              <w:top w:val="nil"/>
              <w:left w:val="nil"/>
              <w:bottom w:val="single" w:sz="8" w:space="0" w:color="auto"/>
              <w:right w:val="single" w:sz="8" w:space="0" w:color="auto"/>
            </w:tcBorders>
          </w:tcPr>
          <w:p w14:paraId="762C4C5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2.5</w:t>
            </w:r>
          </w:p>
        </w:tc>
        <w:tc>
          <w:tcPr>
            <w:tcW w:w="851" w:type="dxa"/>
            <w:tcBorders>
              <w:top w:val="nil"/>
              <w:left w:val="nil"/>
              <w:bottom w:val="single" w:sz="8" w:space="0" w:color="auto"/>
              <w:right w:val="single" w:sz="8" w:space="0" w:color="auto"/>
            </w:tcBorders>
          </w:tcPr>
          <w:p w14:paraId="1C79EF17"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8" w:space="0" w:color="auto"/>
              <w:right w:val="single" w:sz="8" w:space="0" w:color="auto"/>
            </w:tcBorders>
          </w:tcPr>
          <w:p w14:paraId="0CD6097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0A35F85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851" w:type="dxa"/>
            <w:tcBorders>
              <w:top w:val="single" w:sz="8" w:space="0" w:color="auto"/>
              <w:left w:val="nil"/>
              <w:bottom w:val="single" w:sz="8" w:space="0" w:color="auto"/>
              <w:right w:val="single" w:sz="8" w:space="0" w:color="000000"/>
            </w:tcBorders>
          </w:tcPr>
          <w:p w14:paraId="538500D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307E0CC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&lt;635</w:t>
            </w:r>
          </w:p>
        </w:tc>
        <w:tc>
          <w:tcPr>
            <w:tcW w:w="851" w:type="dxa"/>
            <w:tcBorders>
              <w:top w:val="single" w:sz="8" w:space="0" w:color="auto"/>
              <w:left w:val="nil"/>
              <w:bottom w:val="single" w:sz="8" w:space="0" w:color="auto"/>
              <w:right w:val="single" w:sz="8" w:space="0" w:color="000000"/>
            </w:tcBorders>
          </w:tcPr>
          <w:p w14:paraId="6EBCEB8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12" w:space="0" w:color="auto"/>
            </w:tcBorders>
          </w:tcPr>
          <w:p w14:paraId="60A3C36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&lt;640.7</w:t>
            </w:r>
          </w:p>
        </w:tc>
        <w:tc>
          <w:tcPr>
            <w:tcW w:w="2410" w:type="dxa"/>
            <w:tcBorders>
              <w:top w:val="nil"/>
              <w:left w:val="nil"/>
              <w:bottom w:val="single" w:sz="8" w:space="0" w:color="auto"/>
              <w:right w:val="single" w:sz="12" w:space="0" w:color="auto"/>
            </w:tcBorders>
          </w:tcPr>
          <w:p w14:paraId="058D075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Speir et al., 1999</w:t>
            </w:r>
          </w:p>
        </w:tc>
      </w:tr>
      <w:tr w:rsidR="00632208" w:rsidRPr="0098635C" w14:paraId="6D84BC0D" w14:textId="77777777" w:rsidTr="00A432B0">
        <w:trPr>
          <w:trHeight w:val="64"/>
        </w:trPr>
        <w:tc>
          <w:tcPr>
            <w:tcW w:w="938" w:type="dxa"/>
            <w:tcBorders>
              <w:top w:val="nil"/>
              <w:left w:val="single" w:sz="12" w:space="0" w:color="auto"/>
              <w:bottom w:val="single" w:sz="8" w:space="0" w:color="auto"/>
              <w:right w:val="single" w:sz="8" w:space="0" w:color="auto"/>
            </w:tcBorders>
          </w:tcPr>
          <w:p w14:paraId="782C417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Cu(NO3)</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54D99E3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substrate induced respiration</w:t>
            </w:r>
          </w:p>
        </w:tc>
        <w:tc>
          <w:tcPr>
            <w:tcW w:w="2127" w:type="dxa"/>
            <w:tcBorders>
              <w:top w:val="nil"/>
              <w:left w:val="nil"/>
              <w:bottom w:val="single" w:sz="8" w:space="0" w:color="auto"/>
              <w:right w:val="single" w:sz="8" w:space="0" w:color="auto"/>
            </w:tcBorders>
          </w:tcPr>
          <w:p w14:paraId="3B97B89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w:t>
            </w:r>
          </w:p>
        </w:tc>
        <w:tc>
          <w:tcPr>
            <w:tcW w:w="567" w:type="dxa"/>
            <w:tcBorders>
              <w:top w:val="nil"/>
              <w:left w:val="nil"/>
              <w:bottom w:val="single" w:sz="8" w:space="0" w:color="auto"/>
              <w:right w:val="single" w:sz="8" w:space="0" w:color="auto"/>
            </w:tcBorders>
          </w:tcPr>
          <w:p w14:paraId="46904D9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6.1</w:t>
            </w:r>
          </w:p>
        </w:tc>
        <w:tc>
          <w:tcPr>
            <w:tcW w:w="708" w:type="dxa"/>
            <w:tcBorders>
              <w:top w:val="nil"/>
              <w:left w:val="nil"/>
              <w:bottom w:val="single" w:sz="8" w:space="0" w:color="auto"/>
              <w:right w:val="single" w:sz="8" w:space="0" w:color="auto"/>
            </w:tcBorders>
          </w:tcPr>
          <w:p w14:paraId="28FCAB0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20.4</w:t>
            </w:r>
          </w:p>
        </w:tc>
        <w:tc>
          <w:tcPr>
            <w:tcW w:w="709" w:type="dxa"/>
            <w:tcBorders>
              <w:top w:val="nil"/>
              <w:left w:val="nil"/>
              <w:bottom w:val="single" w:sz="8" w:space="0" w:color="auto"/>
              <w:right w:val="single" w:sz="8" w:space="0" w:color="auto"/>
            </w:tcBorders>
          </w:tcPr>
          <w:p w14:paraId="003A5FA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32</w:t>
            </w:r>
          </w:p>
        </w:tc>
        <w:tc>
          <w:tcPr>
            <w:tcW w:w="851" w:type="dxa"/>
            <w:tcBorders>
              <w:top w:val="nil"/>
              <w:left w:val="nil"/>
              <w:bottom w:val="single" w:sz="8" w:space="0" w:color="auto"/>
              <w:right w:val="single" w:sz="8" w:space="0" w:color="auto"/>
            </w:tcBorders>
          </w:tcPr>
          <w:p w14:paraId="5A75166F"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8" w:space="0" w:color="auto"/>
              <w:right w:val="single" w:sz="8" w:space="0" w:color="auto"/>
            </w:tcBorders>
          </w:tcPr>
          <w:p w14:paraId="58EA8F12"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48.5</w:t>
            </w:r>
          </w:p>
        </w:tc>
        <w:tc>
          <w:tcPr>
            <w:tcW w:w="992" w:type="dxa"/>
            <w:tcBorders>
              <w:top w:val="nil"/>
              <w:left w:val="nil"/>
              <w:bottom w:val="single" w:sz="8" w:space="0" w:color="auto"/>
              <w:right w:val="single" w:sz="8" w:space="0" w:color="auto"/>
            </w:tcBorders>
          </w:tcPr>
          <w:p w14:paraId="397F793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851" w:type="dxa"/>
            <w:tcBorders>
              <w:top w:val="single" w:sz="8" w:space="0" w:color="auto"/>
              <w:left w:val="nil"/>
              <w:bottom w:val="single" w:sz="8" w:space="0" w:color="auto"/>
              <w:right w:val="single" w:sz="8" w:space="0" w:color="000000"/>
            </w:tcBorders>
          </w:tcPr>
          <w:p w14:paraId="6A5AC883"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635</w:t>
            </w:r>
          </w:p>
        </w:tc>
        <w:tc>
          <w:tcPr>
            <w:tcW w:w="992" w:type="dxa"/>
            <w:tcBorders>
              <w:top w:val="nil"/>
              <w:left w:val="nil"/>
              <w:bottom w:val="single" w:sz="8" w:space="0" w:color="auto"/>
              <w:right w:val="single" w:sz="8" w:space="0" w:color="auto"/>
            </w:tcBorders>
          </w:tcPr>
          <w:p w14:paraId="37CB420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0BAFCFDF"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645.7</w:t>
            </w:r>
          </w:p>
        </w:tc>
        <w:tc>
          <w:tcPr>
            <w:tcW w:w="992" w:type="dxa"/>
            <w:tcBorders>
              <w:top w:val="nil"/>
              <w:left w:val="nil"/>
              <w:bottom w:val="single" w:sz="8" w:space="0" w:color="auto"/>
              <w:right w:val="single" w:sz="12" w:space="0" w:color="auto"/>
            </w:tcBorders>
          </w:tcPr>
          <w:p w14:paraId="72C657A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3E1CAF7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Speir et al., 1999</w:t>
            </w:r>
          </w:p>
        </w:tc>
      </w:tr>
      <w:tr w:rsidR="00632208" w:rsidRPr="0098635C" w14:paraId="4D8A4617" w14:textId="77777777" w:rsidTr="00A432B0">
        <w:trPr>
          <w:trHeight w:val="64"/>
        </w:trPr>
        <w:tc>
          <w:tcPr>
            <w:tcW w:w="938" w:type="dxa"/>
            <w:tcBorders>
              <w:top w:val="nil"/>
              <w:left w:val="single" w:sz="12" w:space="0" w:color="auto"/>
              <w:bottom w:val="single" w:sz="8" w:space="0" w:color="auto"/>
              <w:right w:val="single" w:sz="8" w:space="0" w:color="auto"/>
            </w:tcBorders>
          </w:tcPr>
          <w:p w14:paraId="182F2BA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lastRenderedPageBreak/>
              <w:t>Cu(NO3)</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64AB1D2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substrate induced respiration</w:t>
            </w:r>
          </w:p>
        </w:tc>
        <w:tc>
          <w:tcPr>
            <w:tcW w:w="2127" w:type="dxa"/>
            <w:tcBorders>
              <w:top w:val="nil"/>
              <w:left w:val="nil"/>
              <w:bottom w:val="single" w:sz="8" w:space="0" w:color="auto"/>
              <w:right w:val="single" w:sz="8" w:space="0" w:color="auto"/>
            </w:tcBorders>
          </w:tcPr>
          <w:p w14:paraId="138A5FC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silt loam</w:t>
            </w:r>
          </w:p>
        </w:tc>
        <w:tc>
          <w:tcPr>
            <w:tcW w:w="567" w:type="dxa"/>
            <w:tcBorders>
              <w:top w:val="nil"/>
              <w:left w:val="nil"/>
              <w:bottom w:val="single" w:sz="8" w:space="0" w:color="auto"/>
              <w:right w:val="single" w:sz="8" w:space="0" w:color="auto"/>
            </w:tcBorders>
          </w:tcPr>
          <w:p w14:paraId="3E89EDE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6.3</w:t>
            </w:r>
          </w:p>
        </w:tc>
        <w:tc>
          <w:tcPr>
            <w:tcW w:w="708" w:type="dxa"/>
            <w:tcBorders>
              <w:top w:val="nil"/>
              <w:left w:val="nil"/>
              <w:bottom w:val="single" w:sz="8" w:space="0" w:color="auto"/>
              <w:right w:val="single" w:sz="8" w:space="0" w:color="auto"/>
            </w:tcBorders>
          </w:tcPr>
          <w:p w14:paraId="4C7873C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13.8</w:t>
            </w:r>
          </w:p>
        </w:tc>
        <w:tc>
          <w:tcPr>
            <w:tcW w:w="709" w:type="dxa"/>
            <w:tcBorders>
              <w:top w:val="nil"/>
              <w:left w:val="nil"/>
              <w:bottom w:val="single" w:sz="8" w:space="0" w:color="auto"/>
              <w:right w:val="single" w:sz="8" w:space="0" w:color="auto"/>
            </w:tcBorders>
          </w:tcPr>
          <w:p w14:paraId="43FDC63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2.5</w:t>
            </w:r>
          </w:p>
        </w:tc>
        <w:tc>
          <w:tcPr>
            <w:tcW w:w="851" w:type="dxa"/>
            <w:tcBorders>
              <w:top w:val="nil"/>
              <w:left w:val="nil"/>
              <w:bottom w:val="single" w:sz="8" w:space="0" w:color="auto"/>
              <w:right w:val="single" w:sz="8" w:space="0" w:color="auto"/>
            </w:tcBorders>
          </w:tcPr>
          <w:p w14:paraId="79A95B81"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8" w:space="0" w:color="auto"/>
              <w:right w:val="single" w:sz="8" w:space="0" w:color="auto"/>
            </w:tcBorders>
          </w:tcPr>
          <w:p w14:paraId="712860EA"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22.7</w:t>
            </w:r>
          </w:p>
        </w:tc>
        <w:tc>
          <w:tcPr>
            <w:tcW w:w="992" w:type="dxa"/>
            <w:tcBorders>
              <w:top w:val="nil"/>
              <w:left w:val="nil"/>
              <w:bottom w:val="single" w:sz="8" w:space="0" w:color="auto"/>
              <w:right w:val="single" w:sz="8" w:space="0" w:color="auto"/>
            </w:tcBorders>
          </w:tcPr>
          <w:p w14:paraId="351AF75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851" w:type="dxa"/>
            <w:tcBorders>
              <w:top w:val="single" w:sz="8" w:space="0" w:color="auto"/>
              <w:left w:val="nil"/>
              <w:bottom w:val="single" w:sz="8" w:space="0" w:color="auto"/>
              <w:right w:val="single" w:sz="8" w:space="0" w:color="000000"/>
            </w:tcBorders>
          </w:tcPr>
          <w:p w14:paraId="66902BC2"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635</w:t>
            </w:r>
          </w:p>
        </w:tc>
        <w:tc>
          <w:tcPr>
            <w:tcW w:w="992" w:type="dxa"/>
            <w:tcBorders>
              <w:top w:val="nil"/>
              <w:left w:val="nil"/>
              <w:bottom w:val="single" w:sz="8" w:space="0" w:color="auto"/>
              <w:right w:val="single" w:sz="8" w:space="0" w:color="auto"/>
            </w:tcBorders>
          </w:tcPr>
          <w:p w14:paraId="43EB992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40603C2C"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645.7</w:t>
            </w:r>
          </w:p>
        </w:tc>
        <w:tc>
          <w:tcPr>
            <w:tcW w:w="992" w:type="dxa"/>
            <w:tcBorders>
              <w:top w:val="nil"/>
              <w:left w:val="nil"/>
              <w:bottom w:val="single" w:sz="8" w:space="0" w:color="auto"/>
              <w:right w:val="single" w:sz="12" w:space="0" w:color="auto"/>
            </w:tcBorders>
          </w:tcPr>
          <w:p w14:paraId="46F1423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308731B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Speir et al., 1999</w:t>
            </w:r>
          </w:p>
        </w:tc>
      </w:tr>
      <w:tr w:rsidR="00632208" w:rsidRPr="0098635C" w14:paraId="4EB1032E" w14:textId="77777777" w:rsidTr="00A432B0">
        <w:trPr>
          <w:trHeight w:val="64"/>
        </w:trPr>
        <w:tc>
          <w:tcPr>
            <w:tcW w:w="938" w:type="dxa"/>
            <w:tcBorders>
              <w:top w:val="nil"/>
              <w:left w:val="single" w:sz="12" w:space="0" w:color="auto"/>
              <w:bottom w:val="single" w:sz="8" w:space="0" w:color="auto"/>
              <w:right w:val="single" w:sz="8" w:space="0" w:color="auto"/>
            </w:tcBorders>
          </w:tcPr>
          <w:p w14:paraId="4CAFC4A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Cu(NO3)</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0E194FB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substrate induced respiration</w:t>
            </w:r>
          </w:p>
        </w:tc>
        <w:tc>
          <w:tcPr>
            <w:tcW w:w="2127" w:type="dxa"/>
            <w:tcBorders>
              <w:top w:val="nil"/>
              <w:left w:val="nil"/>
              <w:bottom w:val="single" w:sz="8" w:space="0" w:color="auto"/>
              <w:right w:val="single" w:sz="8" w:space="0" w:color="auto"/>
            </w:tcBorders>
          </w:tcPr>
          <w:p w14:paraId="7C1490D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sand</w:t>
            </w:r>
          </w:p>
        </w:tc>
        <w:tc>
          <w:tcPr>
            <w:tcW w:w="567" w:type="dxa"/>
            <w:tcBorders>
              <w:top w:val="nil"/>
              <w:left w:val="nil"/>
              <w:bottom w:val="single" w:sz="8" w:space="0" w:color="auto"/>
              <w:right w:val="single" w:sz="8" w:space="0" w:color="auto"/>
            </w:tcBorders>
          </w:tcPr>
          <w:p w14:paraId="3C04CAF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5.8</w:t>
            </w:r>
          </w:p>
        </w:tc>
        <w:tc>
          <w:tcPr>
            <w:tcW w:w="708" w:type="dxa"/>
            <w:tcBorders>
              <w:top w:val="nil"/>
              <w:left w:val="nil"/>
              <w:bottom w:val="single" w:sz="8" w:space="0" w:color="auto"/>
              <w:right w:val="single" w:sz="8" w:space="0" w:color="auto"/>
            </w:tcBorders>
          </w:tcPr>
          <w:p w14:paraId="1EEB372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7.8</w:t>
            </w:r>
          </w:p>
        </w:tc>
        <w:tc>
          <w:tcPr>
            <w:tcW w:w="709" w:type="dxa"/>
            <w:tcBorders>
              <w:top w:val="nil"/>
              <w:left w:val="nil"/>
              <w:bottom w:val="single" w:sz="8" w:space="0" w:color="auto"/>
              <w:right w:val="single" w:sz="8" w:space="0" w:color="auto"/>
            </w:tcBorders>
          </w:tcPr>
          <w:p w14:paraId="40B0A43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w:t>
            </w:r>
          </w:p>
        </w:tc>
        <w:tc>
          <w:tcPr>
            <w:tcW w:w="851" w:type="dxa"/>
            <w:tcBorders>
              <w:top w:val="nil"/>
              <w:left w:val="nil"/>
              <w:bottom w:val="single" w:sz="8" w:space="0" w:color="auto"/>
              <w:right w:val="single" w:sz="8" w:space="0" w:color="auto"/>
            </w:tcBorders>
          </w:tcPr>
          <w:p w14:paraId="5397ECC0" w14:textId="77777777" w:rsidR="00632208" w:rsidRPr="0098635C" w:rsidRDefault="00632208" w:rsidP="00A432B0">
            <w:pPr>
              <w:spacing w:after="0"/>
              <w:jc w:val="center"/>
              <w:rPr>
                <w:rFonts w:ascii="Arial Narrow" w:hAnsi="Arial Narrow" w:cs="Arial Narrow"/>
                <w:i/>
                <w:iCs/>
                <w:color w:val="000000" w:themeColor="text1"/>
                <w:sz w:val="20"/>
                <w:szCs w:val="20"/>
              </w:rPr>
            </w:pPr>
            <w:r w:rsidRPr="0098635C">
              <w:rPr>
                <w:rFonts w:ascii="Arial Narrow" w:hAnsi="Arial Narrow" w:cs="Arial Narrow"/>
                <w:i/>
                <w:iCs/>
                <w:color w:val="000000" w:themeColor="text1"/>
                <w:sz w:val="20"/>
                <w:szCs w:val="20"/>
              </w:rPr>
              <w:t>10.7</w:t>
            </w:r>
          </w:p>
        </w:tc>
        <w:tc>
          <w:tcPr>
            <w:tcW w:w="850" w:type="dxa"/>
            <w:tcBorders>
              <w:top w:val="nil"/>
              <w:left w:val="nil"/>
              <w:bottom w:val="single" w:sz="8" w:space="0" w:color="auto"/>
              <w:right w:val="single" w:sz="8" w:space="0" w:color="auto"/>
            </w:tcBorders>
          </w:tcPr>
          <w:p w14:paraId="066272B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09D8B99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851" w:type="dxa"/>
            <w:tcBorders>
              <w:top w:val="single" w:sz="8" w:space="0" w:color="auto"/>
              <w:left w:val="nil"/>
              <w:bottom w:val="single" w:sz="8" w:space="0" w:color="auto"/>
              <w:right w:val="single" w:sz="8" w:space="0" w:color="000000"/>
            </w:tcBorders>
          </w:tcPr>
          <w:p w14:paraId="5A53C1A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5A38CC3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&lt;635</w:t>
            </w:r>
          </w:p>
        </w:tc>
        <w:tc>
          <w:tcPr>
            <w:tcW w:w="851" w:type="dxa"/>
            <w:tcBorders>
              <w:top w:val="single" w:sz="8" w:space="0" w:color="auto"/>
              <w:left w:val="nil"/>
              <w:bottom w:val="single" w:sz="8" w:space="0" w:color="auto"/>
              <w:right w:val="single" w:sz="8" w:space="0" w:color="000000"/>
            </w:tcBorders>
          </w:tcPr>
          <w:p w14:paraId="4FFECAF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12" w:space="0" w:color="auto"/>
            </w:tcBorders>
          </w:tcPr>
          <w:p w14:paraId="7CBE65E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&lt;640.7</w:t>
            </w:r>
          </w:p>
        </w:tc>
        <w:tc>
          <w:tcPr>
            <w:tcW w:w="2410" w:type="dxa"/>
            <w:tcBorders>
              <w:top w:val="nil"/>
              <w:left w:val="nil"/>
              <w:bottom w:val="single" w:sz="8" w:space="0" w:color="auto"/>
              <w:right w:val="single" w:sz="12" w:space="0" w:color="auto"/>
            </w:tcBorders>
          </w:tcPr>
          <w:p w14:paraId="2F5799B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Speir et al., 1999</w:t>
            </w:r>
          </w:p>
        </w:tc>
      </w:tr>
      <w:tr w:rsidR="00632208" w:rsidRPr="0098635C" w14:paraId="32C5AE79" w14:textId="77777777" w:rsidTr="00A432B0">
        <w:trPr>
          <w:trHeight w:val="64"/>
        </w:trPr>
        <w:tc>
          <w:tcPr>
            <w:tcW w:w="938" w:type="dxa"/>
            <w:tcBorders>
              <w:top w:val="nil"/>
              <w:left w:val="single" w:sz="12" w:space="0" w:color="auto"/>
              <w:bottom w:val="single" w:sz="8" w:space="0" w:color="auto"/>
              <w:right w:val="single" w:sz="8" w:space="0" w:color="auto"/>
            </w:tcBorders>
          </w:tcPr>
          <w:p w14:paraId="77D3E5A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171E581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Nitrification</w:t>
            </w:r>
          </w:p>
        </w:tc>
        <w:tc>
          <w:tcPr>
            <w:tcW w:w="2127" w:type="dxa"/>
            <w:tcBorders>
              <w:top w:val="nil"/>
              <w:left w:val="nil"/>
              <w:bottom w:val="single" w:sz="8" w:space="0" w:color="auto"/>
              <w:right w:val="single" w:sz="8" w:space="0" w:color="auto"/>
            </w:tcBorders>
          </w:tcPr>
          <w:p w14:paraId="0226402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loam Nottingham</w:t>
            </w:r>
          </w:p>
        </w:tc>
        <w:tc>
          <w:tcPr>
            <w:tcW w:w="567" w:type="dxa"/>
            <w:tcBorders>
              <w:top w:val="nil"/>
              <w:left w:val="nil"/>
              <w:bottom w:val="single" w:sz="8" w:space="0" w:color="auto"/>
              <w:right w:val="single" w:sz="8" w:space="0" w:color="auto"/>
            </w:tcBorders>
          </w:tcPr>
          <w:p w14:paraId="1077CAD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3.4</w:t>
            </w:r>
          </w:p>
        </w:tc>
        <w:tc>
          <w:tcPr>
            <w:tcW w:w="708" w:type="dxa"/>
            <w:tcBorders>
              <w:top w:val="nil"/>
              <w:left w:val="nil"/>
              <w:bottom w:val="single" w:sz="8" w:space="0" w:color="auto"/>
              <w:right w:val="single" w:sz="8" w:space="0" w:color="auto"/>
            </w:tcBorders>
          </w:tcPr>
          <w:p w14:paraId="5EACAC0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8.3</w:t>
            </w:r>
          </w:p>
        </w:tc>
        <w:tc>
          <w:tcPr>
            <w:tcW w:w="709" w:type="dxa"/>
            <w:tcBorders>
              <w:top w:val="nil"/>
              <w:left w:val="nil"/>
              <w:bottom w:val="single" w:sz="8" w:space="0" w:color="auto"/>
              <w:right w:val="single" w:sz="8" w:space="0" w:color="auto"/>
            </w:tcBorders>
          </w:tcPr>
          <w:p w14:paraId="2150CCA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13</w:t>
            </w:r>
          </w:p>
        </w:tc>
        <w:tc>
          <w:tcPr>
            <w:tcW w:w="851" w:type="dxa"/>
            <w:tcBorders>
              <w:top w:val="nil"/>
              <w:left w:val="nil"/>
              <w:bottom w:val="single" w:sz="8" w:space="0" w:color="auto"/>
              <w:right w:val="single" w:sz="8" w:space="0" w:color="auto"/>
            </w:tcBorders>
          </w:tcPr>
          <w:p w14:paraId="33C723E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17</w:t>
            </w:r>
          </w:p>
        </w:tc>
        <w:tc>
          <w:tcPr>
            <w:tcW w:w="850" w:type="dxa"/>
            <w:tcBorders>
              <w:top w:val="nil"/>
              <w:left w:val="nil"/>
              <w:bottom w:val="single" w:sz="8" w:space="0" w:color="auto"/>
              <w:right w:val="single" w:sz="8" w:space="0" w:color="auto"/>
            </w:tcBorders>
          </w:tcPr>
          <w:p w14:paraId="79B8AEC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6.7</w:t>
            </w:r>
          </w:p>
        </w:tc>
        <w:tc>
          <w:tcPr>
            <w:tcW w:w="992" w:type="dxa"/>
            <w:tcBorders>
              <w:top w:val="nil"/>
              <w:left w:val="nil"/>
              <w:bottom w:val="single" w:sz="8" w:space="0" w:color="auto"/>
              <w:right w:val="single" w:sz="8" w:space="0" w:color="auto"/>
            </w:tcBorders>
          </w:tcPr>
          <w:p w14:paraId="3D15F70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851" w:type="dxa"/>
            <w:tcBorders>
              <w:top w:val="single" w:sz="8" w:space="0" w:color="auto"/>
              <w:left w:val="nil"/>
              <w:bottom w:val="single" w:sz="8" w:space="0" w:color="auto"/>
              <w:right w:val="single" w:sz="8" w:space="0" w:color="000000"/>
            </w:tcBorders>
          </w:tcPr>
          <w:p w14:paraId="0EB30018"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200</w:t>
            </w:r>
          </w:p>
        </w:tc>
        <w:tc>
          <w:tcPr>
            <w:tcW w:w="992" w:type="dxa"/>
            <w:tcBorders>
              <w:top w:val="nil"/>
              <w:left w:val="nil"/>
              <w:bottom w:val="single" w:sz="8" w:space="0" w:color="auto"/>
              <w:right w:val="single" w:sz="8" w:space="0" w:color="auto"/>
            </w:tcBorders>
          </w:tcPr>
          <w:p w14:paraId="04175AC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0F03729F"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217</w:t>
            </w:r>
          </w:p>
        </w:tc>
        <w:tc>
          <w:tcPr>
            <w:tcW w:w="992" w:type="dxa"/>
            <w:tcBorders>
              <w:top w:val="nil"/>
              <w:left w:val="nil"/>
              <w:bottom w:val="single" w:sz="8" w:space="0" w:color="auto"/>
              <w:right w:val="single" w:sz="12" w:space="0" w:color="auto"/>
            </w:tcBorders>
          </w:tcPr>
          <w:p w14:paraId="1250F2D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467FE01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42BC6F28" w14:textId="77777777" w:rsidTr="00A432B0">
        <w:trPr>
          <w:trHeight w:val="64"/>
        </w:trPr>
        <w:tc>
          <w:tcPr>
            <w:tcW w:w="938" w:type="dxa"/>
            <w:tcBorders>
              <w:top w:val="nil"/>
              <w:left w:val="single" w:sz="12" w:space="0" w:color="auto"/>
              <w:bottom w:val="single" w:sz="8" w:space="0" w:color="auto"/>
              <w:right w:val="single" w:sz="8" w:space="0" w:color="auto"/>
            </w:tcBorders>
          </w:tcPr>
          <w:p w14:paraId="64C32E0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2ECA774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Nitrification</w:t>
            </w:r>
          </w:p>
        </w:tc>
        <w:tc>
          <w:tcPr>
            <w:tcW w:w="2127" w:type="dxa"/>
            <w:tcBorders>
              <w:top w:val="nil"/>
              <w:left w:val="nil"/>
              <w:bottom w:val="single" w:sz="8" w:space="0" w:color="auto"/>
              <w:right w:val="single" w:sz="8" w:space="0" w:color="auto"/>
            </w:tcBorders>
          </w:tcPr>
          <w:p w14:paraId="284D938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clay loam Zegveld</w:t>
            </w:r>
          </w:p>
        </w:tc>
        <w:tc>
          <w:tcPr>
            <w:tcW w:w="567" w:type="dxa"/>
            <w:tcBorders>
              <w:top w:val="nil"/>
              <w:left w:val="nil"/>
              <w:bottom w:val="single" w:sz="8" w:space="0" w:color="auto"/>
              <w:right w:val="single" w:sz="8" w:space="0" w:color="auto"/>
            </w:tcBorders>
          </w:tcPr>
          <w:p w14:paraId="4320EA7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4.7</w:t>
            </w:r>
          </w:p>
        </w:tc>
        <w:tc>
          <w:tcPr>
            <w:tcW w:w="708" w:type="dxa"/>
            <w:tcBorders>
              <w:top w:val="nil"/>
              <w:left w:val="nil"/>
              <w:bottom w:val="single" w:sz="8" w:space="0" w:color="auto"/>
              <w:right w:val="single" w:sz="8" w:space="0" w:color="auto"/>
            </w:tcBorders>
          </w:tcPr>
          <w:p w14:paraId="60CEF9C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37.3</w:t>
            </w:r>
          </w:p>
        </w:tc>
        <w:tc>
          <w:tcPr>
            <w:tcW w:w="709" w:type="dxa"/>
            <w:tcBorders>
              <w:top w:val="nil"/>
              <w:left w:val="nil"/>
              <w:bottom w:val="single" w:sz="8" w:space="0" w:color="auto"/>
              <w:right w:val="single" w:sz="8" w:space="0" w:color="auto"/>
            </w:tcBorders>
          </w:tcPr>
          <w:p w14:paraId="7F51CD8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24</w:t>
            </w:r>
          </w:p>
        </w:tc>
        <w:tc>
          <w:tcPr>
            <w:tcW w:w="851" w:type="dxa"/>
            <w:tcBorders>
              <w:top w:val="nil"/>
              <w:left w:val="nil"/>
              <w:bottom w:val="single" w:sz="8" w:space="0" w:color="auto"/>
              <w:right w:val="single" w:sz="8" w:space="0" w:color="auto"/>
            </w:tcBorders>
          </w:tcPr>
          <w:p w14:paraId="00471D7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70</w:t>
            </w:r>
          </w:p>
        </w:tc>
        <w:tc>
          <w:tcPr>
            <w:tcW w:w="850" w:type="dxa"/>
            <w:tcBorders>
              <w:top w:val="nil"/>
              <w:left w:val="nil"/>
              <w:bottom w:val="single" w:sz="8" w:space="0" w:color="auto"/>
              <w:right w:val="single" w:sz="8" w:space="0" w:color="auto"/>
            </w:tcBorders>
          </w:tcPr>
          <w:p w14:paraId="4341710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35.3</w:t>
            </w:r>
          </w:p>
        </w:tc>
        <w:tc>
          <w:tcPr>
            <w:tcW w:w="992" w:type="dxa"/>
            <w:tcBorders>
              <w:top w:val="nil"/>
              <w:left w:val="nil"/>
              <w:bottom w:val="single" w:sz="8" w:space="0" w:color="auto"/>
              <w:right w:val="single" w:sz="8" w:space="0" w:color="auto"/>
            </w:tcBorders>
          </w:tcPr>
          <w:p w14:paraId="409B33B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851" w:type="dxa"/>
            <w:tcBorders>
              <w:top w:val="single" w:sz="8" w:space="0" w:color="auto"/>
              <w:left w:val="nil"/>
              <w:bottom w:val="single" w:sz="8" w:space="0" w:color="auto"/>
              <w:right w:val="single" w:sz="8" w:space="0" w:color="000000"/>
            </w:tcBorders>
          </w:tcPr>
          <w:p w14:paraId="1D1B4DCB"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1200</w:t>
            </w:r>
          </w:p>
        </w:tc>
        <w:tc>
          <w:tcPr>
            <w:tcW w:w="992" w:type="dxa"/>
            <w:tcBorders>
              <w:top w:val="nil"/>
              <w:left w:val="nil"/>
              <w:bottom w:val="single" w:sz="8" w:space="0" w:color="auto"/>
              <w:right w:val="single" w:sz="8" w:space="0" w:color="auto"/>
            </w:tcBorders>
          </w:tcPr>
          <w:p w14:paraId="3B84309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59484A59"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1270</w:t>
            </w:r>
          </w:p>
        </w:tc>
        <w:tc>
          <w:tcPr>
            <w:tcW w:w="992" w:type="dxa"/>
            <w:tcBorders>
              <w:top w:val="nil"/>
              <w:left w:val="nil"/>
              <w:bottom w:val="single" w:sz="8" w:space="0" w:color="auto"/>
              <w:right w:val="single" w:sz="12" w:space="0" w:color="auto"/>
            </w:tcBorders>
          </w:tcPr>
          <w:p w14:paraId="4559151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058B0E9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200930DB" w14:textId="77777777" w:rsidTr="00A432B0">
        <w:trPr>
          <w:trHeight w:val="64"/>
        </w:trPr>
        <w:tc>
          <w:tcPr>
            <w:tcW w:w="938" w:type="dxa"/>
            <w:tcBorders>
              <w:top w:val="nil"/>
              <w:left w:val="single" w:sz="12" w:space="0" w:color="auto"/>
              <w:bottom w:val="single" w:sz="8" w:space="0" w:color="auto"/>
              <w:right w:val="single" w:sz="8" w:space="0" w:color="auto"/>
            </w:tcBorders>
          </w:tcPr>
          <w:p w14:paraId="52012E5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125CA80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Nitrification</w:t>
            </w:r>
          </w:p>
        </w:tc>
        <w:tc>
          <w:tcPr>
            <w:tcW w:w="2127" w:type="dxa"/>
            <w:tcBorders>
              <w:top w:val="nil"/>
              <w:left w:val="nil"/>
              <w:bottom w:val="single" w:sz="8" w:space="0" w:color="auto"/>
              <w:right w:val="single" w:sz="8" w:space="0" w:color="auto"/>
            </w:tcBorders>
          </w:tcPr>
          <w:p w14:paraId="07A6491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sand Kovlinge I</w:t>
            </w:r>
          </w:p>
        </w:tc>
        <w:tc>
          <w:tcPr>
            <w:tcW w:w="567" w:type="dxa"/>
            <w:tcBorders>
              <w:top w:val="nil"/>
              <w:left w:val="nil"/>
              <w:bottom w:val="single" w:sz="8" w:space="0" w:color="auto"/>
              <w:right w:val="single" w:sz="8" w:space="0" w:color="auto"/>
            </w:tcBorders>
          </w:tcPr>
          <w:p w14:paraId="114ED49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4.8</w:t>
            </w:r>
          </w:p>
        </w:tc>
        <w:tc>
          <w:tcPr>
            <w:tcW w:w="708" w:type="dxa"/>
            <w:tcBorders>
              <w:top w:val="nil"/>
              <w:left w:val="nil"/>
              <w:bottom w:val="single" w:sz="8" w:space="0" w:color="auto"/>
              <w:right w:val="single" w:sz="8" w:space="0" w:color="auto"/>
            </w:tcBorders>
          </w:tcPr>
          <w:p w14:paraId="183D970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2.6</w:t>
            </w:r>
          </w:p>
        </w:tc>
        <w:tc>
          <w:tcPr>
            <w:tcW w:w="709" w:type="dxa"/>
            <w:tcBorders>
              <w:top w:val="nil"/>
              <w:left w:val="nil"/>
              <w:bottom w:val="single" w:sz="8" w:space="0" w:color="auto"/>
              <w:right w:val="single" w:sz="8" w:space="0" w:color="auto"/>
            </w:tcBorders>
          </w:tcPr>
          <w:p w14:paraId="0DD7543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851" w:type="dxa"/>
            <w:tcBorders>
              <w:top w:val="nil"/>
              <w:left w:val="nil"/>
              <w:bottom w:val="single" w:sz="8" w:space="0" w:color="auto"/>
              <w:right w:val="single" w:sz="8" w:space="0" w:color="auto"/>
            </w:tcBorders>
          </w:tcPr>
          <w:p w14:paraId="18C67AB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w:t>
            </w:r>
          </w:p>
        </w:tc>
        <w:tc>
          <w:tcPr>
            <w:tcW w:w="850" w:type="dxa"/>
            <w:tcBorders>
              <w:top w:val="nil"/>
              <w:left w:val="nil"/>
              <w:bottom w:val="single" w:sz="8" w:space="0" w:color="auto"/>
              <w:right w:val="single" w:sz="8" w:space="0" w:color="auto"/>
            </w:tcBorders>
          </w:tcPr>
          <w:p w14:paraId="115E122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2.4</w:t>
            </w:r>
          </w:p>
        </w:tc>
        <w:tc>
          <w:tcPr>
            <w:tcW w:w="992" w:type="dxa"/>
            <w:tcBorders>
              <w:top w:val="nil"/>
              <w:left w:val="nil"/>
              <w:bottom w:val="single" w:sz="8" w:space="0" w:color="auto"/>
              <w:right w:val="single" w:sz="8" w:space="0" w:color="auto"/>
            </w:tcBorders>
          </w:tcPr>
          <w:p w14:paraId="60EA1B1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851" w:type="dxa"/>
            <w:tcBorders>
              <w:top w:val="single" w:sz="8" w:space="0" w:color="auto"/>
              <w:left w:val="nil"/>
              <w:bottom w:val="single" w:sz="8" w:space="0" w:color="auto"/>
              <w:right w:val="single" w:sz="8" w:space="0" w:color="000000"/>
            </w:tcBorders>
          </w:tcPr>
          <w:p w14:paraId="101DDD15"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25</w:t>
            </w:r>
          </w:p>
        </w:tc>
        <w:tc>
          <w:tcPr>
            <w:tcW w:w="992" w:type="dxa"/>
            <w:tcBorders>
              <w:top w:val="nil"/>
              <w:left w:val="nil"/>
              <w:bottom w:val="single" w:sz="8" w:space="0" w:color="auto"/>
              <w:right w:val="single" w:sz="8" w:space="0" w:color="auto"/>
            </w:tcBorders>
          </w:tcPr>
          <w:p w14:paraId="64B72A0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61D4E9C5"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31</w:t>
            </w:r>
          </w:p>
        </w:tc>
        <w:tc>
          <w:tcPr>
            <w:tcW w:w="992" w:type="dxa"/>
            <w:tcBorders>
              <w:top w:val="nil"/>
              <w:left w:val="nil"/>
              <w:bottom w:val="single" w:sz="8" w:space="0" w:color="auto"/>
              <w:right w:val="single" w:sz="12" w:space="0" w:color="auto"/>
            </w:tcBorders>
          </w:tcPr>
          <w:p w14:paraId="40191B7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1E4033A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4B7ED59A" w14:textId="77777777" w:rsidTr="00A432B0">
        <w:trPr>
          <w:trHeight w:val="64"/>
        </w:trPr>
        <w:tc>
          <w:tcPr>
            <w:tcW w:w="938" w:type="dxa"/>
            <w:tcBorders>
              <w:top w:val="nil"/>
              <w:left w:val="single" w:sz="12" w:space="0" w:color="auto"/>
              <w:bottom w:val="single" w:sz="8" w:space="0" w:color="auto"/>
              <w:right w:val="single" w:sz="8" w:space="0" w:color="auto"/>
            </w:tcBorders>
          </w:tcPr>
          <w:p w14:paraId="1BA4101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0009DD4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nitrification</w:t>
            </w:r>
          </w:p>
        </w:tc>
        <w:tc>
          <w:tcPr>
            <w:tcW w:w="2127" w:type="dxa"/>
            <w:tcBorders>
              <w:top w:val="nil"/>
              <w:left w:val="nil"/>
              <w:bottom w:val="single" w:sz="8" w:space="0" w:color="auto"/>
              <w:right w:val="single" w:sz="8" w:space="0" w:color="auto"/>
            </w:tcBorders>
          </w:tcPr>
          <w:p w14:paraId="1579E87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clay Souli I</w:t>
            </w:r>
          </w:p>
        </w:tc>
        <w:tc>
          <w:tcPr>
            <w:tcW w:w="567" w:type="dxa"/>
            <w:tcBorders>
              <w:top w:val="nil"/>
              <w:left w:val="nil"/>
              <w:bottom w:val="single" w:sz="8" w:space="0" w:color="auto"/>
              <w:right w:val="single" w:sz="8" w:space="0" w:color="auto"/>
            </w:tcBorders>
          </w:tcPr>
          <w:p w14:paraId="00D825F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4.8</w:t>
            </w:r>
          </w:p>
        </w:tc>
        <w:tc>
          <w:tcPr>
            <w:tcW w:w="708" w:type="dxa"/>
            <w:tcBorders>
              <w:top w:val="nil"/>
              <w:left w:val="nil"/>
              <w:bottom w:val="single" w:sz="8" w:space="0" w:color="auto"/>
              <w:right w:val="single" w:sz="8" w:space="0" w:color="auto"/>
            </w:tcBorders>
          </w:tcPr>
          <w:p w14:paraId="7F35BBE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0.7</w:t>
            </w:r>
          </w:p>
        </w:tc>
        <w:tc>
          <w:tcPr>
            <w:tcW w:w="709" w:type="dxa"/>
            <w:tcBorders>
              <w:top w:val="nil"/>
              <w:left w:val="nil"/>
              <w:bottom w:val="single" w:sz="8" w:space="0" w:color="auto"/>
              <w:right w:val="single" w:sz="8" w:space="0" w:color="auto"/>
            </w:tcBorders>
          </w:tcPr>
          <w:p w14:paraId="4B76A3F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38</w:t>
            </w:r>
          </w:p>
        </w:tc>
        <w:tc>
          <w:tcPr>
            <w:tcW w:w="851" w:type="dxa"/>
            <w:tcBorders>
              <w:top w:val="nil"/>
              <w:left w:val="nil"/>
              <w:bottom w:val="single" w:sz="8" w:space="0" w:color="auto"/>
              <w:right w:val="single" w:sz="8" w:space="0" w:color="auto"/>
            </w:tcBorders>
          </w:tcPr>
          <w:p w14:paraId="217E2C0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31</w:t>
            </w:r>
          </w:p>
        </w:tc>
        <w:tc>
          <w:tcPr>
            <w:tcW w:w="850" w:type="dxa"/>
            <w:tcBorders>
              <w:top w:val="nil"/>
              <w:left w:val="nil"/>
              <w:bottom w:val="single" w:sz="8" w:space="0" w:color="auto"/>
              <w:right w:val="single" w:sz="8" w:space="0" w:color="auto"/>
            </w:tcBorders>
          </w:tcPr>
          <w:p w14:paraId="006CD45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11.2</w:t>
            </w:r>
          </w:p>
        </w:tc>
        <w:tc>
          <w:tcPr>
            <w:tcW w:w="992" w:type="dxa"/>
            <w:tcBorders>
              <w:top w:val="nil"/>
              <w:left w:val="nil"/>
              <w:bottom w:val="single" w:sz="8" w:space="0" w:color="auto"/>
              <w:right w:val="single" w:sz="8" w:space="0" w:color="auto"/>
            </w:tcBorders>
          </w:tcPr>
          <w:p w14:paraId="6A1A59A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851" w:type="dxa"/>
            <w:tcBorders>
              <w:top w:val="single" w:sz="8" w:space="0" w:color="auto"/>
              <w:left w:val="nil"/>
              <w:bottom w:val="single" w:sz="8" w:space="0" w:color="auto"/>
              <w:right w:val="single" w:sz="8" w:space="0" w:color="000000"/>
            </w:tcBorders>
          </w:tcPr>
          <w:p w14:paraId="0FEF46C6"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25</w:t>
            </w:r>
          </w:p>
        </w:tc>
        <w:tc>
          <w:tcPr>
            <w:tcW w:w="992" w:type="dxa"/>
            <w:tcBorders>
              <w:top w:val="nil"/>
              <w:left w:val="nil"/>
              <w:bottom w:val="single" w:sz="8" w:space="0" w:color="auto"/>
              <w:right w:val="single" w:sz="8" w:space="0" w:color="auto"/>
            </w:tcBorders>
          </w:tcPr>
          <w:p w14:paraId="697AE1B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2A31DD68"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56</w:t>
            </w:r>
          </w:p>
        </w:tc>
        <w:tc>
          <w:tcPr>
            <w:tcW w:w="992" w:type="dxa"/>
            <w:tcBorders>
              <w:top w:val="nil"/>
              <w:left w:val="nil"/>
              <w:bottom w:val="single" w:sz="8" w:space="0" w:color="auto"/>
              <w:right w:val="single" w:sz="12" w:space="0" w:color="auto"/>
            </w:tcBorders>
          </w:tcPr>
          <w:p w14:paraId="5607B3E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008D659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6CB2236F" w14:textId="77777777" w:rsidTr="00A432B0">
        <w:trPr>
          <w:trHeight w:val="64"/>
        </w:trPr>
        <w:tc>
          <w:tcPr>
            <w:tcW w:w="938" w:type="dxa"/>
            <w:tcBorders>
              <w:top w:val="nil"/>
              <w:left w:val="single" w:sz="12" w:space="0" w:color="auto"/>
              <w:bottom w:val="single" w:sz="8" w:space="0" w:color="auto"/>
              <w:right w:val="single" w:sz="8" w:space="0" w:color="auto"/>
            </w:tcBorders>
          </w:tcPr>
          <w:p w14:paraId="5BD551E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21B50CB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nitrification</w:t>
            </w:r>
          </w:p>
        </w:tc>
        <w:tc>
          <w:tcPr>
            <w:tcW w:w="2127" w:type="dxa"/>
            <w:tcBorders>
              <w:top w:val="nil"/>
              <w:left w:val="nil"/>
              <w:bottom w:val="single" w:sz="8" w:space="0" w:color="auto"/>
              <w:right w:val="single" w:sz="8" w:space="0" w:color="auto"/>
            </w:tcBorders>
          </w:tcPr>
          <w:p w14:paraId="39B5F95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loam Kovlinge II</w:t>
            </w:r>
          </w:p>
        </w:tc>
        <w:tc>
          <w:tcPr>
            <w:tcW w:w="567" w:type="dxa"/>
            <w:tcBorders>
              <w:top w:val="nil"/>
              <w:left w:val="nil"/>
              <w:bottom w:val="single" w:sz="8" w:space="0" w:color="auto"/>
              <w:right w:val="single" w:sz="8" w:space="0" w:color="auto"/>
            </w:tcBorders>
          </w:tcPr>
          <w:p w14:paraId="152A3F5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5.1</w:t>
            </w:r>
          </w:p>
        </w:tc>
        <w:tc>
          <w:tcPr>
            <w:tcW w:w="708" w:type="dxa"/>
            <w:tcBorders>
              <w:top w:val="nil"/>
              <w:left w:val="nil"/>
              <w:bottom w:val="single" w:sz="8" w:space="0" w:color="auto"/>
              <w:right w:val="single" w:sz="8" w:space="0" w:color="auto"/>
            </w:tcBorders>
          </w:tcPr>
          <w:p w14:paraId="10CBC45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3.8</w:t>
            </w:r>
          </w:p>
        </w:tc>
        <w:tc>
          <w:tcPr>
            <w:tcW w:w="709" w:type="dxa"/>
            <w:tcBorders>
              <w:top w:val="nil"/>
              <w:left w:val="nil"/>
              <w:bottom w:val="single" w:sz="8" w:space="0" w:color="auto"/>
              <w:right w:val="single" w:sz="8" w:space="0" w:color="auto"/>
            </w:tcBorders>
          </w:tcPr>
          <w:p w14:paraId="7437329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w:t>
            </w:r>
          </w:p>
        </w:tc>
        <w:tc>
          <w:tcPr>
            <w:tcW w:w="851" w:type="dxa"/>
            <w:tcBorders>
              <w:top w:val="nil"/>
              <w:left w:val="nil"/>
              <w:bottom w:val="single" w:sz="8" w:space="0" w:color="auto"/>
              <w:right w:val="single" w:sz="8" w:space="0" w:color="auto"/>
            </w:tcBorders>
          </w:tcPr>
          <w:p w14:paraId="049D8D0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w:t>
            </w:r>
          </w:p>
        </w:tc>
        <w:tc>
          <w:tcPr>
            <w:tcW w:w="850" w:type="dxa"/>
            <w:tcBorders>
              <w:top w:val="nil"/>
              <w:left w:val="nil"/>
              <w:bottom w:val="single" w:sz="8" w:space="0" w:color="auto"/>
              <w:right w:val="single" w:sz="8" w:space="0" w:color="auto"/>
            </w:tcBorders>
          </w:tcPr>
          <w:p w14:paraId="2B38E14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4.7</w:t>
            </w:r>
          </w:p>
        </w:tc>
        <w:tc>
          <w:tcPr>
            <w:tcW w:w="992" w:type="dxa"/>
            <w:tcBorders>
              <w:top w:val="nil"/>
              <w:left w:val="nil"/>
              <w:bottom w:val="single" w:sz="8" w:space="0" w:color="auto"/>
              <w:right w:val="single" w:sz="8" w:space="0" w:color="auto"/>
            </w:tcBorders>
          </w:tcPr>
          <w:p w14:paraId="4027F59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w:t>
            </w:r>
          </w:p>
        </w:tc>
        <w:tc>
          <w:tcPr>
            <w:tcW w:w="851" w:type="dxa"/>
            <w:tcBorders>
              <w:top w:val="single" w:sz="8" w:space="0" w:color="auto"/>
              <w:left w:val="nil"/>
              <w:bottom w:val="single" w:sz="8" w:space="0" w:color="auto"/>
              <w:right w:val="single" w:sz="8" w:space="0" w:color="000000"/>
            </w:tcBorders>
          </w:tcPr>
          <w:p w14:paraId="580507DB"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50</w:t>
            </w:r>
          </w:p>
        </w:tc>
        <w:tc>
          <w:tcPr>
            <w:tcW w:w="992" w:type="dxa"/>
            <w:tcBorders>
              <w:top w:val="nil"/>
              <w:left w:val="nil"/>
              <w:bottom w:val="single" w:sz="8" w:space="0" w:color="auto"/>
              <w:right w:val="single" w:sz="8" w:space="0" w:color="auto"/>
            </w:tcBorders>
          </w:tcPr>
          <w:p w14:paraId="540B354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4D079AAA"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58</w:t>
            </w:r>
          </w:p>
        </w:tc>
        <w:tc>
          <w:tcPr>
            <w:tcW w:w="992" w:type="dxa"/>
            <w:tcBorders>
              <w:top w:val="nil"/>
              <w:left w:val="nil"/>
              <w:bottom w:val="single" w:sz="8" w:space="0" w:color="auto"/>
              <w:right w:val="single" w:sz="12" w:space="0" w:color="auto"/>
            </w:tcBorders>
          </w:tcPr>
          <w:p w14:paraId="37C55C9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297E488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6918E901" w14:textId="77777777" w:rsidTr="00A432B0">
        <w:trPr>
          <w:trHeight w:val="64"/>
        </w:trPr>
        <w:tc>
          <w:tcPr>
            <w:tcW w:w="938" w:type="dxa"/>
            <w:tcBorders>
              <w:top w:val="nil"/>
              <w:left w:val="single" w:sz="12" w:space="0" w:color="auto"/>
              <w:bottom w:val="single" w:sz="8" w:space="0" w:color="auto"/>
              <w:right w:val="single" w:sz="8" w:space="0" w:color="auto"/>
            </w:tcBorders>
          </w:tcPr>
          <w:p w14:paraId="09064DD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51E4F5F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nitrification</w:t>
            </w:r>
          </w:p>
        </w:tc>
        <w:tc>
          <w:tcPr>
            <w:tcW w:w="2127" w:type="dxa"/>
            <w:tcBorders>
              <w:top w:val="nil"/>
              <w:left w:val="nil"/>
              <w:bottom w:val="single" w:sz="8" w:space="0" w:color="auto"/>
              <w:right w:val="single" w:sz="8" w:space="0" w:color="auto"/>
            </w:tcBorders>
          </w:tcPr>
          <w:p w14:paraId="57BCDBC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Clay    Aluminosa</w:t>
            </w:r>
          </w:p>
        </w:tc>
        <w:tc>
          <w:tcPr>
            <w:tcW w:w="567" w:type="dxa"/>
            <w:tcBorders>
              <w:top w:val="nil"/>
              <w:left w:val="nil"/>
              <w:bottom w:val="single" w:sz="8" w:space="0" w:color="auto"/>
              <w:right w:val="single" w:sz="8" w:space="0" w:color="auto"/>
            </w:tcBorders>
          </w:tcPr>
          <w:p w14:paraId="0348FD8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5.4</w:t>
            </w:r>
          </w:p>
        </w:tc>
        <w:tc>
          <w:tcPr>
            <w:tcW w:w="708" w:type="dxa"/>
            <w:tcBorders>
              <w:top w:val="nil"/>
              <w:left w:val="nil"/>
              <w:bottom w:val="single" w:sz="8" w:space="0" w:color="auto"/>
              <w:right w:val="single" w:sz="8" w:space="0" w:color="auto"/>
            </w:tcBorders>
          </w:tcPr>
          <w:p w14:paraId="2231C98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w:t>
            </w:r>
          </w:p>
        </w:tc>
        <w:tc>
          <w:tcPr>
            <w:tcW w:w="709" w:type="dxa"/>
            <w:tcBorders>
              <w:top w:val="nil"/>
              <w:left w:val="nil"/>
              <w:bottom w:val="single" w:sz="8" w:space="0" w:color="auto"/>
              <w:right w:val="single" w:sz="8" w:space="0" w:color="auto"/>
            </w:tcBorders>
          </w:tcPr>
          <w:p w14:paraId="6B0E0CF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51</w:t>
            </w:r>
          </w:p>
        </w:tc>
        <w:tc>
          <w:tcPr>
            <w:tcW w:w="851" w:type="dxa"/>
            <w:tcBorders>
              <w:top w:val="nil"/>
              <w:left w:val="nil"/>
              <w:bottom w:val="single" w:sz="8" w:space="0" w:color="auto"/>
              <w:right w:val="single" w:sz="8" w:space="0" w:color="auto"/>
            </w:tcBorders>
          </w:tcPr>
          <w:p w14:paraId="1513B83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850" w:type="dxa"/>
            <w:tcBorders>
              <w:top w:val="nil"/>
              <w:left w:val="nil"/>
              <w:bottom w:val="single" w:sz="8" w:space="0" w:color="auto"/>
              <w:right w:val="single" w:sz="8" w:space="0" w:color="auto"/>
            </w:tcBorders>
          </w:tcPr>
          <w:p w14:paraId="3090070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22.6</w:t>
            </w:r>
          </w:p>
        </w:tc>
        <w:tc>
          <w:tcPr>
            <w:tcW w:w="992" w:type="dxa"/>
            <w:tcBorders>
              <w:top w:val="nil"/>
              <w:left w:val="nil"/>
              <w:bottom w:val="single" w:sz="8" w:space="0" w:color="auto"/>
              <w:right w:val="single" w:sz="8" w:space="0" w:color="auto"/>
            </w:tcBorders>
          </w:tcPr>
          <w:p w14:paraId="20697B1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851" w:type="dxa"/>
            <w:tcBorders>
              <w:top w:val="single" w:sz="8" w:space="0" w:color="auto"/>
              <w:left w:val="nil"/>
              <w:bottom w:val="single" w:sz="8" w:space="0" w:color="auto"/>
              <w:right w:val="single" w:sz="8" w:space="0" w:color="000000"/>
            </w:tcBorders>
          </w:tcPr>
          <w:p w14:paraId="09A4175F"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100</w:t>
            </w:r>
          </w:p>
        </w:tc>
        <w:tc>
          <w:tcPr>
            <w:tcW w:w="992" w:type="dxa"/>
            <w:tcBorders>
              <w:top w:val="nil"/>
              <w:left w:val="nil"/>
              <w:bottom w:val="single" w:sz="8" w:space="0" w:color="auto"/>
              <w:right w:val="single" w:sz="8" w:space="0" w:color="auto"/>
            </w:tcBorders>
          </w:tcPr>
          <w:p w14:paraId="77214E3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53C23805"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121</w:t>
            </w:r>
          </w:p>
        </w:tc>
        <w:tc>
          <w:tcPr>
            <w:tcW w:w="992" w:type="dxa"/>
            <w:tcBorders>
              <w:top w:val="nil"/>
              <w:left w:val="nil"/>
              <w:bottom w:val="single" w:sz="8" w:space="0" w:color="auto"/>
              <w:right w:val="single" w:sz="12" w:space="0" w:color="auto"/>
            </w:tcBorders>
          </w:tcPr>
          <w:p w14:paraId="5CEBFFE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64C4B32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6EA61B1F" w14:textId="77777777" w:rsidTr="00A432B0">
        <w:trPr>
          <w:trHeight w:val="64"/>
        </w:trPr>
        <w:tc>
          <w:tcPr>
            <w:tcW w:w="938" w:type="dxa"/>
            <w:tcBorders>
              <w:top w:val="nil"/>
              <w:left w:val="single" w:sz="12" w:space="0" w:color="auto"/>
              <w:bottom w:val="single" w:sz="8" w:space="0" w:color="auto"/>
              <w:right w:val="single" w:sz="8" w:space="0" w:color="auto"/>
            </w:tcBorders>
          </w:tcPr>
          <w:p w14:paraId="7BAFBA6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1F8F08F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nitrification</w:t>
            </w:r>
          </w:p>
        </w:tc>
        <w:tc>
          <w:tcPr>
            <w:tcW w:w="2127" w:type="dxa"/>
            <w:tcBorders>
              <w:top w:val="nil"/>
              <w:left w:val="nil"/>
              <w:bottom w:val="single" w:sz="8" w:space="0" w:color="auto"/>
              <w:right w:val="single" w:sz="8" w:space="0" w:color="auto"/>
            </w:tcBorders>
          </w:tcPr>
          <w:p w14:paraId="4D57B5D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clay loam Woburn</w:t>
            </w:r>
          </w:p>
        </w:tc>
        <w:tc>
          <w:tcPr>
            <w:tcW w:w="567" w:type="dxa"/>
            <w:tcBorders>
              <w:top w:val="nil"/>
              <w:left w:val="nil"/>
              <w:bottom w:val="single" w:sz="8" w:space="0" w:color="auto"/>
              <w:right w:val="single" w:sz="8" w:space="0" w:color="auto"/>
            </w:tcBorders>
          </w:tcPr>
          <w:p w14:paraId="38E79ED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6.4</w:t>
            </w:r>
          </w:p>
        </w:tc>
        <w:tc>
          <w:tcPr>
            <w:tcW w:w="708" w:type="dxa"/>
            <w:tcBorders>
              <w:top w:val="nil"/>
              <w:left w:val="nil"/>
              <w:bottom w:val="single" w:sz="8" w:space="0" w:color="auto"/>
              <w:right w:val="single" w:sz="8" w:space="0" w:color="auto"/>
            </w:tcBorders>
          </w:tcPr>
          <w:p w14:paraId="28C6997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65FA5CD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851" w:type="dxa"/>
            <w:tcBorders>
              <w:top w:val="nil"/>
              <w:left w:val="nil"/>
              <w:bottom w:val="single" w:sz="8" w:space="0" w:color="auto"/>
              <w:right w:val="single" w:sz="8" w:space="0" w:color="auto"/>
            </w:tcBorders>
          </w:tcPr>
          <w:p w14:paraId="50C9AD6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22</w:t>
            </w:r>
          </w:p>
        </w:tc>
        <w:tc>
          <w:tcPr>
            <w:tcW w:w="850" w:type="dxa"/>
            <w:tcBorders>
              <w:top w:val="nil"/>
              <w:left w:val="nil"/>
              <w:bottom w:val="single" w:sz="8" w:space="0" w:color="auto"/>
              <w:right w:val="single" w:sz="8" w:space="0" w:color="auto"/>
            </w:tcBorders>
          </w:tcPr>
          <w:p w14:paraId="640E32D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23.4</w:t>
            </w:r>
          </w:p>
        </w:tc>
        <w:tc>
          <w:tcPr>
            <w:tcW w:w="992" w:type="dxa"/>
            <w:tcBorders>
              <w:top w:val="nil"/>
              <w:left w:val="nil"/>
              <w:bottom w:val="single" w:sz="8" w:space="0" w:color="auto"/>
              <w:right w:val="single" w:sz="8" w:space="0" w:color="auto"/>
            </w:tcBorders>
          </w:tcPr>
          <w:p w14:paraId="0FC0531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851" w:type="dxa"/>
            <w:tcBorders>
              <w:top w:val="single" w:sz="8" w:space="0" w:color="auto"/>
              <w:left w:val="nil"/>
              <w:bottom w:val="single" w:sz="8" w:space="0" w:color="auto"/>
              <w:right w:val="single" w:sz="8" w:space="0" w:color="000000"/>
            </w:tcBorders>
          </w:tcPr>
          <w:p w14:paraId="603F9687"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300</w:t>
            </w:r>
          </w:p>
        </w:tc>
        <w:tc>
          <w:tcPr>
            <w:tcW w:w="992" w:type="dxa"/>
            <w:tcBorders>
              <w:top w:val="nil"/>
              <w:left w:val="nil"/>
              <w:bottom w:val="single" w:sz="8" w:space="0" w:color="auto"/>
              <w:right w:val="single" w:sz="8" w:space="0" w:color="auto"/>
            </w:tcBorders>
          </w:tcPr>
          <w:p w14:paraId="027EB3B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51C0C121"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322</w:t>
            </w:r>
          </w:p>
        </w:tc>
        <w:tc>
          <w:tcPr>
            <w:tcW w:w="992" w:type="dxa"/>
            <w:tcBorders>
              <w:top w:val="nil"/>
              <w:left w:val="nil"/>
              <w:bottom w:val="single" w:sz="8" w:space="0" w:color="auto"/>
              <w:right w:val="single" w:sz="12" w:space="0" w:color="auto"/>
            </w:tcBorders>
          </w:tcPr>
          <w:p w14:paraId="6ABDE66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123DF9D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41663A13" w14:textId="77777777" w:rsidTr="00A432B0">
        <w:trPr>
          <w:trHeight w:val="64"/>
        </w:trPr>
        <w:tc>
          <w:tcPr>
            <w:tcW w:w="938" w:type="dxa"/>
            <w:tcBorders>
              <w:top w:val="nil"/>
              <w:left w:val="single" w:sz="12" w:space="0" w:color="auto"/>
              <w:bottom w:val="single" w:sz="8" w:space="0" w:color="auto"/>
              <w:right w:val="single" w:sz="8" w:space="0" w:color="auto"/>
            </w:tcBorders>
          </w:tcPr>
          <w:p w14:paraId="756B5DA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32F5F24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nitrification</w:t>
            </w:r>
          </w:p>
        </w:tc>
        <w:tc>
          <w:tcPr>
            <w:tcW w:w="2127" w:type="dxa"/>
            <w:tcBorders>
              <w:top w:val="nil"/>
              <w:left w:val="nil"/>
              <w:bottom w:val="single" w:sz="8" w:space="0" w:color="auto"/>
              <w:right w:val="single" w:sz="8" w:space="0" w:color="auto"/>
            </w:tcBorders>
          </w:tcPr>
          <w:p w14:paraId="205CFA7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Silt loam        Ter Munck</w:t>
            </w:r>
          </w:p>
        </w:tc>
        <w:tc>
          <w:tcPr>
            <w:tcW w:w="567" w:type="dxa"/>
            <w:tcBorders>
              <w:top w:val="nil"/>
              <w:left w:val="nil"/>
              <w:bottom w:val="single" w:sz="8" w:space="0" w:color="auto"/>
              <w:right w:val="single" w:sz="8" w:space="0" w:color="auto"/>
            </w:tcBorders>
          </w:tcPr>
          <w:p w14:paraId="2A02860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6.8</w:t>
            </w:r>
          </w:p>
        </w:tc>
        <w:tc>
          <w:tcPr>
            <w:tcW w:w="708" w:type="dxa"/>
            <w:tcBorders>
              <w:top w:val="nil"/>
              <w:left w:val="nil"/>
              <w:bottom w:val="single" w:sz="8" w:space="0" w:color="auto"/>
              <w:right w:val="single" w:sz="8" w:space="0" w:color="auto"/>
            </w:tcBorders>
          </w:tcPr>
          <w:p w14:paraId="3DDD3EC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1.6</w:t>
            </w:r>
          </w:p>
        </w:tc>
        <w:tc>
          <w:tcPr>
            <w:tcW w:w="709" w:type="dxa"/>
            <w:tcBorders>
              <w:top w:val="nil"/>
              <w:left w:val="nil"/>
              <w:bottom w:val="single" w:sz="8" w:space="0" w:color="auto"/>
              <w:right w:val="single" w:sz="8" w:space="0" w:color="auto"/>
            </w:tcBorders>
          </w:tcPr>
          <w:p w14:paraId="6BBDDF2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w:t>
            </w:r>
          </w:p>
        </w:tc>
        <w:tc>
          <w:tcPr>
            <w:tcW w:w="851" w:type="dxa"/>
            <w:tcBorders>
              <w:top w:val="nil"/>
              <w:left w:val="nil"/>
              <w:bottom w:val="single" w:sz="8" w:space="0" w:color="auto"/>
              <w:right w:val="single" w:sz="8" w:space="0" w:color="auto"/>
            </w:tcBorders>
          </w:tcPr>
          <w:p w14:paraId="6E28032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22</w:t>
            </w:r>
          </w:p>
        </w:tc>
        <w:tc>
          <w:tcPr>
            <w:tcW w:w="850" w:type="dxa"/>
            <w:tcBorders>
              <w:top w:val="nil"/>
              <w:left w:val="nil"/>
              <w:bottom w:val="single" w:sz="8" w:space="0" w:color="auto"/>
              <w:right w:val="single" w:sz="8" w:space="0" w:color="auto"/>
            </w:tcBorders>
          </w:tcPr>
          <w:p w14:paraId="100F1EA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8.9</w:t>
            </w:r>
          </w:p>
        </w:tc>
        <w:tc>
          <w:tcPr>
            <w:tcW w:w="992" w:type="dxa"/>
            <w:tcBorders>
              <w:top w:val="nil"/>
              <w:left w:val="nil"/>
              <w:bottom w:val="single" w:sz="8" w:space="0" w:color="auto"/>
              <w:right w:val="single" w:sz="8" w:space="0" w:color="auto"/>
            </w:tcBorders>
          </w:tcPr>
          <w:p w14:paraId="2F18D5C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851" w:type="dxa"/>
            <w:tcBorders>
              <w:top w:val="single" w:sz="8" w:space="0" w:color="auto"/>
              <w:left w:val="nil"/>
              <w:bottom w:val="single" w:sz="8" w:space="0" w:color="auto"/>
              <w:right w:val="single" w:sz="8" w:space="0" w:color="000000"/>
            </w:tcBorders>
          </w:tcPr>
          <w:p w14:paraId="66CCE6BD"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200</w:t>
            </w:r>
          </w:p>
        </w:tc>
        <w:tc>
          <w:tcPr>
            <w:tcW w:w="992" w:type="dxa"/>
            <w:tcBorders>
              <w:top w:val="nil"/>
              <w:left w:val="nil"/>
              <w:bottom w:val="single" w:sz="8" w:space="0" w:color="auto"/>
              <w:right w:val="single" w:sz="8" w:space="0" w:color="auto"/>
            </w:tcBorders>
          </w:tcPr>
          <w:p w14:paraId="5DBCBF2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2CFDCA28"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222</w:t>
            </w:r>
          </w:p>
        </w:tc>
        <w:tc>
          <w:tcPr>
            <w:tcW w:w="992" w:type="dxa"/>
            <w:tcBorders>
              <w:top w:val="nil"/>
              <w:left w:val="nil"/>
              <w:bottom w:val="single" w:sz="8" w:space="0" w:color="auto"/>
              <w:right w:val="single" w:sz="12" w:space="0" w:color="auto"/>
            </w:tcBorders>
          </w:tcPr>
          <w:p w14:paraId="1F41209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208C4CA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4812F41F" w14:textId="77777777" w:rsidTr="00A432B0">
        <w:trPr>
          <w:trHeight w:val="64"/>
        </w:trPr>
        <w:tc>
          <w:tcPr>
            <w:tcW w:w="938" w:type="dxa"/>
            <w:tcBorders>
              <w:top w:val="nil"/>
              <w:left w:val="single" w:sz="12" w:space="0" w:color="auto"/>
              <w:bottom w:val="single" w:sz="8" w:space="0" w:color="auto"/>
              <w:right w:val="single" w:sz="8" w:space="0" w:color="auto"/>
            </w:tcBorders>
          </w:tcPr>
          <w:p w14:paraId="09CED1B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5E4FC85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nitrification</w:t>
            </w:r>
          </w:p>
        </w:tc>
        <w:tc>
          <w:tcPr>
            <w:tcW w:w="2127" w:type="dxa"/>
            <w:tcBorders>
              <w:top w:val="nil"/>
              <w:left w:val="nil"/>
              <w:bottom w:val="single" w:sz="8" w:space="0" w:color="auto"/>
              <w:right w:val="single" w:sz="8" w:space="0" w:color="auto"/>
            </w:tcBorders>
          </w:tcPr>
          <w:p w14:paraId="35C4DB2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Silty clay loam Vault de Lugny</w:t>
            </w:r>
          </w:p>
        </w:tc>
        <w:tc>
          <w:tcPr>
            <w:tcW w:w="567" w:type="dxa"/>
            <w:tcBorders>
              <w:top w:val="nil"/>
              <w:left w:val="nil"/>
              <w:bottom w:val="single" w:sz="8" w:space="0" w:color="auto"/>
              <w:right w:val="single" w:sz="8" w:space="0" w:color="auto"/>
            </w:tcBorders>
          </w:tcPr>
          <w:p w14:paraId="5C17B66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7.3</w:t>
            </w:r>
          </w:p>
        </w:tc>
        <w:tc>
          <w:tcPr>
            <w:tcW w:w="708" w:type="dxa"/>
            <w:tcBorders>
              <w:top w:val="nil"/>
              <w:left w:val="nil"/>
              <w:bottom w:val="single" w:sz="8" w:space="0" w:color="auto"/>
              <w:right w:val="single" w:sz="8" w:space="0" w:color="auto"/>
            </w:tcBorders>
          </w:tcPr>
          <w:p w14:paraId="14BCEAA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2.3</w:t>
            </w:r>
          </w:p>
        </w:tc>
        <w:tc>
          <w:tcPr>
            <w:tcW w:w="709" w:type="dxa"/>
            <w:tcBorders>
              <w:top w:val="nil"/>
              <w:left w:val="nil"/>
              <w:bottom w:val="single" w:sz="8" w:space="0" w:color="auto"/>
              <w:right w:val="single" w:sz="8" w:space="0" w:color="auto"/>
            </w:tcBorders>
          </w:tcPr>
          <w:p w14:paraId="2E82D7B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38</w:t>
            </w:r>
          </w:p>
        </w:tc>
        <w:tc>
          <w:tcPr>
            <w:tcW w:w="851" w:type="dxa"/>
            <w:tcBorders>
              <w:top w:val="nil"/>
              <w:left w:val="nil"/>
              <w:bottom w:val="single" w:sz="8" w:space="0" w:color="auto"/>
              <w:right w:val="single" w:sz="8" w:space="0" w:color="auto"/>
            </w:tcBorders>
          </w:tcPr>
          <w:p w14:paraId="6C9A798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850" w:type="dxa"/>
            <w:tcBorders>
              <w:top w:val="nil"/>
              <w:left w:val="nil"/>
              <w:bottom w:val="single" w:sz="8" w:space="0" w:color="auto"/>
              <w:right w:val="single" w:sz="8" w:space="0" w:color="auto"/>
            </w:tcBorders>
          </w:tcPr>
          <w:p w14:paraId="7D34CEA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26.2</w:t>
            </w:r>
          </w:p>
        </w:tc>
        <w:tc>
          <w:tcPr>
            <w:tcW w:w="992" w:type="dxa"/>
            <w:tcBorders>
              <w:top w:val="nil"/>
              <w:left w:val="nil"/>
              <w:bottom w:val="single" w:sz="8" w:space="0" w:color="auto"/>
              <w:right w:val="single" w:sz="8" w:space="0" w:color="auto"/>
            </w:tcBorders>
          </w:tcPr>
          <w:p w14:paraId="6DEA1B0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851" w:type="dxa"/>
            <w:tcBorders>
              <w:top w:val="single" w:sz="8" w:space="0" w:color="auto"/>
              <w:left w:val="nil"/>
              <w:bottom w:val="single" w:sz="8" w:space="0" w:color="auto"/>
              <w:right w:val="single" w:sz="8" w:space="0" w:color="000000"/>
            </w:tcBorders>
          </w:tcPr>
          <w:p w14:paraId="491B43A4"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800</w:t>
            </w:r>
          </w:p>
        </w:tc>
        <w:tc>
          <w:tcPr>
            <w:tcW w:w="992" w:type="dxa"/>
            <w:tcBorders>
              <w:top w:val="nil"/>
              <w:left w:val="nil"/>
              <w:bottom w:val="single" w:sz="8" w:space="0" w:color="auto"/>
              <w:right w:val="single" w:sz="8" w:space="0" w:color="auto"/>
            </w:tcBorders>
          </w:tcPr>
          <w:p w14:paraId="35FEC6A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0A184AAB"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821</w:t>
            </w:r>
          </w:p>
        </w:tc>
        <w:tc>
          <w:tcPr>
            <w:tcW w:w="992" w:type="dxa"/>
            <w:tcBorders>
              <w:top w:val="nil"/>
              <w:left w:val="nil"/>
              <w:bottom w:val="single" w:sz="8" w:space="0" w:color="auto"/>
              <w:right w:val="single" w:sz="12" w:space="0" w:color="auto"/>
            </w:tcBorders>
          </w:tcPr>
          <w:p w14:paraId="60F52C9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38BD0FC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62524472" w14:textId="77777777" w:rsidTr="00A432B0">
        <w:trPr>
          <w:trHeight w:val="64"/>
        </w:trPr>
        <w:tc>
          <w:tcPr>
            <w:tcW w:w="938" w:type="dxa"/>
            <w:tcBorders>
              <w:top w:val="nil"/>
              <w:left w:val="single" w:sz="12" w:space="0" w:color="auto"/>
              <w:bottom w:val="single" w:sz="8" w:space="0" w:color="auto"/>
              <w:right w:val="single" w:sz="8" w:space="0" w:color="auto"/>
            </w:tcBorders>
          </w:tcPr>
          <w:p w14:paraId="1A2C374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2D50AB5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nitrification</w:t>
            </w:r>
          </w:p>
        </w:tc>
        <w:tc>
          <w:tcPr>
            <w:tcW w:w="2127" w:type="dxa"/>
            <w:tcBorders>
              <w:top w:val="nil"/>
              <w:left w:val="nil"/>
              <w:bottom w:val="single" w:sz="8" w:space="0" w:color="auto"/>
              <w:right w:val="single" w:sz="8" w:space="0" w:color="auto"/>
            </w:tcBorders>
          </w:tcPr>
          <w:p w14:paraId="0AC992E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Silty clay loam Rots</w:t>
            </w:r>
          </w:p>
        </w:tc>
        <w:tc>
          <w:tcPr>
            <w:tcW w:w="567" w:type="dxa"/>
            <w:tcBorders>
              <w:top w:val="nil"/>
              <w:left w:val="nil"/>
              <w:bottom w:val="single" w:sz="8" w:space="0" w:color="auto"/>
              <w:right w:val="single" w:sz="8" w:space="0" w:color="auto"/>
            </w:tcBorders>
          </w:tcPr>
          <w:p w14:paraId="721481A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7.4</w:t>
            </w:r>
          </w:p>
        </w:tc>
        <w:tc>
          <w:tcPr>
            <w:tcW w:w="708" w:type="dxa"/>
            <w:tcBorders>
              <w:top w:val="nil"/>
              <w:left w:val="nil"/>
              <w:bottom w:val="single" w:sz="8" w:space="0" w:color="auto"/>
              <w:right w:val="single" w:sz="8" w:space="0" w:color="auto"/>
            </w:tcBorders>
          </w:tcPr>
          <w:p w14:paraId="17BEBB3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w:t>
            </w:r>
          </w:p>
        </w:tc>
        <w:tc>
          <w:tcPr>
            <w:tcW w:w="709" w:type="dxa"/>
            <w:tcBorders>
              <w:top w:val="nil"/>
              <w:left w:val="nil"/>
              <w:bottom w:val="single" w:sz="8" w:space="0" w:color="auto"/>
              <w:right w:val="single" w:sz="8" w:space="0" w:color="auto"/>
            </w:tcBorders>
          </w:tcPr>
          <w:p w14:paraId="0B1FD9E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27</w:t>
            </w:r>
          </w:p>
        </w:tc>
        <w:tc>
          <w:tcPr>
            <w:tcW w:w="851" w:type="dxa"/>
            <w:tcBorders>
              <w:top w:val="nil"/>
              <w:left w:val="nil"/>
              <w:bottom w:val="single" w:sz="8" w:space="0" w:color="auto"/>
              <w:right w:val="single" w:sz="8" w:space="0" w:color="auto"/>
            </w:tcBorders>
          </w:tcPr>
          <w:p w14:paraId="5FF77F5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w:t>
            </w:r>
          </w:p>
        </w:tc>
        <w:tc>
          <w:tcPr>
            <w:tcW w:w="850" w:type="dxa"/>
            <w:tcBorders>
              <w:top w:val="nil"/>
              <w:left w:val="nil"/>
              <w:bottom w:val="single" w:sz="8" w:space="0" w:color="auto"/>
              <w:right w:val="single" w:sz="8" w:space="0" w:color="auto"/>
            </w:tcBorders>
          </w:tcPr>
          <w:p w14:paraId="34DCC8D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20</w:t>
            </w:r>
          </w:p>
        </w:tc>
        <w:tc>
          <w:tcPr>
            <w:tcW w:w="992" w:type="dxa"/>
            <w:tcBorders>
              <w:top w:val="nil"/>
              <w:left w:val="nil"/>
              <w:bottom w:val="single" w:sz="8" w:space="0" w:color="auto"/>
              <w:right w:val="single" w:sz="8" w:space="0" w:color="auto"/>
            </w:tcBorders>
          </w:tcPr>
          <w:p w14:paraId="15123F6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851" w:type="dxa"/>
            <w:tcBorders>
              <w:top w:val="single" w:sz="8" w:space="0" w:color="auto"/>
              <w:left w:val="nil"/>
              <w:bottom w:val="single" w:sz="8" w:space="0" w:color="auto"/>
              <w:right w:val="single" w:sz="8" w:space="0" w:color="000000"/>
            </w:tcBorders>
          </w:tcPr>
          <w:p w14:paraId="7816C441"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400</w:t>
            </w:r>
          </w:p>
        </w:tc>
        <w:tc>
          <w:tcPr>
            <w:tcW w:w="992" w:type="dxa"/>
            <w:tcBorders>
              <w:top w:val="nil"/>
              <w:left w:val="nil"/>
              <w:bottom w:val="single" w:sz="8" w:space="0" w:color="auto"/>
              <w:right w:val="single" w:sz="8" w:space="0" w:color="auto"/>
            </w:tcBorders>
          </w:tcPr>
          <w:p w14:paraId="1C73E52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252AE69B"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414</w:t>
            </w:r>
          </w:p>
        </w:tc>
        <w:tc>
          <w:tcPr>
            <w:tcW w:w="992" w:type="dxa"/>
            <w:tcBorders>
              <w:top w:val="nil"/>
              <w:left w:val="nil"/>
              <w:bottom w:val="single" w:sz="8" w:space="0" w:color="auto"/>
              <w:right w:val="single" w:sz="12" w:space="0" w:color="auto"/>
            </w:tcBorders>
          </w:tcPr>
          <w:p w14:paraId="79DD8F3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43CB1E3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1A062110" w14:textId="77777777" w:rsidTr="00A432B0">
        <w:trPr>
          <w:trHeight w:val="64"/>
        </w:trPr>
        <w:tc>
          <w:tcPr>
            <w:tcW w:w="938" w:type="dxa"/>
            <w:tcBorders>
              <w:top w:val="nil"/>
              <w:left w:val="single" w:sz="12" w:space="0" w:color="auto"/>
              <w:bottom w:val="single" w:sz="8" w:space="0" w:color="auto"/>
              <w:right w:val="single" w:sz="8" w:space="0" w:color="auto"/>
            </w:tcBorders>
          </w:tcPr>
          <w:p w14:paraId="0918B2E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13948B4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nitrification</w:t>
            </w:r>
          </w:p>
        </w:tc>
        <w:tc>
          <w:tcPr>
            <w:tcW w:w="2127" w:type="dxa"/>
            <w:tcBorders>
              <w:top w:val="nil"/>
              <w:left w:val="nil"/>
              <w:bottom w:val="single" w:sz="8" w:space="0" w:color="auto"/>
              <w:right w:val="single" w:sz="8" w:space="0" w:color="auto"/>
            </w:tcBorders>
          </w:tcPr>
          <w:p w14:paraId="44AF2B0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Clay            Souli II</w:t>
            </w:r>
          </w:p>
        </w:tc>
        <w:tc>
          <w:tcPr>
            <w:tcW w:w="567" w:type="dxa"/>
            <w:tcBorders>
              <w:top w:val="nil"/>
              <w:left w:val="nil"/>
              <w:bottom w:val="single" w:sz="8" w:space="0" w:color="auto"/>
              <w:right w:val="single" w:sz="8" w:space="0" w:color="auto"/>
            </w:tcBorders>
          </w:tcPr>
          <w:p w14:paraId="0F13AE4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7.4</w:t>
            </w:r>
          </w:p>
        </w:tc>
        <w:tc>
          <w:tcPr>
            <w:tcW w:w="708" w:type="dxa"/>
            <w:tcBorders>
              <w:top w:val="nil"/>
              <w:left w:val="nil"/>
              <w:bottom w:val="single" w:sz="8" w:space="0" w:color="auto"/>
              <w:right w:val="single" w:sz="8" w:space="0" w:color="auto"/>
            </w:tcBorders>
          </w:tcPr>
          <w:p w14:paraId="011091E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4.2</w:t>
            </w:r>
          </w:p>
        </w:tc>
        <w:tc>
          <w:tcPr>
            <w:tcW w:w="709" w:type="dxa"/>
            <w:tcBorders>
              <w:top w:val="nil"/>
              <w:left w:val="nil"/>
              <w:bottom w:val="single" w:sz="8" w:space="0" w:color="auto"/>
              <w:right w:val="single" w:sz="8" w:space="0" w:color="auto"/>
            </w:tcBorders>
          </w:tcPr>
          <w:p w14:paraId="73B973A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46</w:t>
            </w:r>
          </w:p>
        </w:tc>
        <w:tc>
          <w:tcPr>
            <w:tcW w:w="851" w:type="dxa"/>
            <w:tcBorders>
              <w:top w:val="nil"/>
              <w:left w:val="nil"/>
              <w:bottom w:val="single" w:sz="8" w:space="0" w:color="auto"/>
              <w:right w:val="single" w:sz="8" w:space="0" w:color="auto"/>
            </w:tcBorders>
          </w:tcPr>
          <w:p w14:paraId="2C95A9E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34</w:t>
            </w:r>
          </w:p>
        </w:tc>
        <w:tc>
          <w:tcPr>
            <w:tcW w:w="850" w:type="dxa"/>
            <w:tcBorders>
              <w:top w:val="nil"/>
              <w:left w:val="nil"/>
              <w:bottom w:val="single" w:sz="8" w:space="0" w:color="auto"/>
              <w:right w:val="single" w:sz="8" w:space="0" w:color="auto"/>
            </w:tcBorders>
          </w:tcPr>
          <w:p w14:paraId="04A2D93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36.3</w:t>
            </w:r>
          </w:p>
        </w:tc>
        <w:tc>
          <w:tcPr>
            <w:tcW w:w="992" w:type="dxa"/>
            <w:tcBorders>
              <w:top w:val="nil"/>
              <w:left w:val="nil"/>
              <w:bottom w:val="single" w:sz="8" w:space="0" w:color="auto"/>
              <w:right w:val="single" w:sz="8" w:space="0" w:color="auto"/>
            </w:tcBorders>
          </w:tcPr>
          <w:p w14:paraId="7673902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w:t>
            </w:r>
          </w:p>
        </w:tc>
        <w:tc>
          <w:tcPr>
            <w:tcW w:w="851" w:type="dxa"/>
            <w:tcBorders>
              <w:top w:val="single" w:sz="8" w:space="0" w:color="auto"/>
              <w:left w:val="nil"/>
              <w:bottom w:val="single" w:sz="8" w:space="0" w:color="auto"/>
              <w:right w:val="single" w:sz="8" w:space="0" w:color="000000"/>
            </w:tcBorders>
          </w:tcPr>
          <w:p w14:paraId="4A6D45F0"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600</w:t>
            </w:r>
          </w:p>
        </w:tc>
        <w:tc>
          <w:tcPr>
            <w:tcW w:w="992" w:type="dxa"/>
            <w:tcBorders>
              <w:top w:val="nil"/>
              <w:left w:val="nil"/>
              <w:bottom w:val="single" w:sz="8" w:space="0" w:color="auto"/>
              <w:right w:val="single" w:sz="8" w:space="0" w:color="auto"/>
            </w:tcBorders>
          </w:tcPr>
          <w:p w14:paraId="5D20DD1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50CE40C0"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634</w:t>
            </w:r>
          </w:p>
        </w:tc>
        <w:tc>
          <w:tcPr>
            <w:tcW w:w="992" w:type="dxa"/>
            <w:tcBorders>
              <w:top w:val="nil"/>
              <w:left w:val="nil"/>
              <w:bottom w:val="single" w:sz="8" w:space="0" w:color="auto"/>
              <w:right w:val="single" w:sz="12" w:space="0" w:color="auto"/>
            </w:tcBorders>
          </w:tcPr>
          <w:p w14:paraId="1396E29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1E7F705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51E769AA" w14:textId="77777777" w:rsidTr="00A432B0">
        <w:trPr>
          <w:trHeight w:val="64"/>
        </w:trPr>
        <w:tc>
          <w:tcPr>
            <w:tcW w:w="938" w:type="dxa"/>
            <w:tcBorders>
              <w:top w:val="nil"/>
              <w:left w:val="single" w:sz="12" w:space="0" w:color="auto"/>
              <w:bottom w:val="single" w:sz="8" w:space="0" w:color="auto"/>
              <w:right w:val="single" w:sz="8" w:space="0" w:color="auto"/>
            </w:tcBorders>
          </w:tcPr>
          <w:p w14:paraId="782F19A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41F840B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nitrification</w:t>
            </w:r>
          </w:p>
        </w:tc>
        <w:tc>
          <w:tcPr>
            <w:tcW w:w="2127" w:type="dxa"/>
            <w:tcBorders>
              <w:top w:val="nil"/>
              <w:left w:val="nil"/>
              <w:bottom w:val="single" w:sz="8" w:space="0" w:color="auto"/>
              <w:right w:val="single" w:sz="8" w:space="0" w:color="auto"/>
            </w:tcBorders>
          </w:tcPr>
          <w:p w14:paraId="6BD84C2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Silt loam Marknesse</w:t>
            </w:r>
          </w:p>
        </w:tc>
        <w:tc>
          <w:tcPr>
            <w:tcW w:w="567" w:type="dxa"/>
            <w:tcBorders>
              <w:top w:val="nil"/>
              <w:left w:val="nil"/>
              <w:bottom w:val="single" w:sz="8" w:space="0" w:color="auto"/>
              <w:right w:val="single" w:sz="8" w:space="0" w:color="auto"/>
            </w:tcBorders>
          </w:tcPr>
          <w:p w14:paraId="63ED740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7.5</w:t>
            </w:r>
          </w:p>
        </w:tc>
        <w:tc>
          <w:tcPr>
            <w:tcW w:w="708" w:type="dxa"/>
            <w:tcBorders>
              <w:top w:val="nil"/>
              <w:left w:val="nil"/>
              <w:bottom w:val="single" w:sz="8" w:space="0" w:color="auto"/>
              <w:right w:val="single" w:sz="8" w:space="0" w:color="auto"/>
            </w:tcBorders>
          </w:tcPr>
          <w:p w14:paraId="27898CC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w:t>
            </w:r>
          </w:p>
        </w:tc>
        <w:tc>
          <w:tcPr>
            <w:tcW w:w="709" w:type="dxa"/>
            <w:tcBorders>
              <w:top w:val="nil"/>
              <w:left w:val="nil"/>
              <w:bottom w:val="single" w:sz="8" w:space="0" w:color="auto"/>
              <w:right w:val="single" w:sz="8" w:space="0" w:color="auto"/>
            </w:tcBorders>
          </w:tcPr>
          <w:p w14:paraId="62E9C23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26</w:t>
            </w:r>
          </w:p>
        </w:tc>
        <w:tc>
          <w:tcPr>
            <w:tcW w:w="851" w:type="dxa"/>
            <w:tcBorders>
              <w:top w:val="nil"/>
              <w:left w:val="nil"/>
              <w:bottom w:val="single" w:sz="8" w:space="0" w:color="auto"/>
              <w:right w:val="single" w:sz="8" w:space="0" w:color="auto"/>
            </w:tcBorders>
          </w:tcPr>
          <w:p w14:paraId="3CCDC79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18</w:t>
            </w:r>
          </w:p>
        </w:tc>
        <w:tc>
          <w:tcPr>
            <w:tcW w:w="850" w:type="dxa"/>
            <w:tcBorders>
              <w:top w:val="nil"/>
              <w:left w:val="nil"/>
              <w:bottom w:val="single" w:sz="8" w:space="0" w:color="auto"/>
              <w:right w:val="single" w:sz="8" w:space="0" w:color="auto"/>
            </w:tcBorders>
          </w:tcPr>
          <w:p w14:paraId="3D6E205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20.1</w:t>
            </w:r>
          </w:p>
        </w:tc>
        <w:tc>
          <w:tcPr>
            <w:tcW w:w="992" w:type="dxa"/>
            <w:tcBorders>
              <w:top w:val="nil"/>
              <w:left w:val="nil"/>
              <w:bottom w:val="single" w:sz="8" w:space="0" w:color="auto"/>
              <w:right w:val="single" w:sz="8" w:space="0" w:color="auto"/>
            </w:tcBorders>
          </w:tcPr>
          <w:p w14:paraId="44DB0CC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851" w:type="dxa"/>
            <w:tcBorders>
              <w:top w:val="single" w:sz="8" w:space="0" w:color="auto"/>
              <w:left w:val="nil"/>
              <w:bottom w:val="single" w:sz="8" w:space="0" w:color="auto"/>
              <w:right w:val="single" w:sz="8" w:space="0" w:color="000000"/>
            </w:tcBorders>
          </w:tcPr>
          <w:p w14:paraId="22854AF1"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800</w:t>
            </w:r>
          </w:p>
        </w:tc>
        <w:tc>
          <w:tcPr>
            <w:tcW w:w="992" w:type="dxa"/>
            <w:tcBorders>
              <w:top w:val="nil"/>
              <w:left w:val="nil"/>
              <w:bottom w:val="single" w:sz="8" w:space="0" w:color="auto"/>
              <w:right w:val="single" w:sz="8" w:space="0" w:color="auto"/>
            </w:tcBorders>
          </w:tcPr>
          <w:p w14:paraId="6E98B89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73ED9BA4"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818</w:t>
            </w:r>
          </w:p>
        </w:tc>
        <w:tc>
          <w:tcPr>
            <w:tcW w:w="992" w:type="dxa"/>
            <w:tcBorders>
              <w:top w:val="nil"/>
              <w:left w:val="nil"/>
              <w:bottom w:val="single" w:sz="8" w:space="0" w:color="auto"/>
              <w:right w:val="single" w:sz="12" w:space="0" w:color="auto"/>
            </w:tcBorders>
          </w:tcPr>
          <w:p w14:paraId="7D78E44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21DA61D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65D21589" w14:textId="77777777" w:rsidTr="00A432B0">
        <w:trPr>
          <w:trHeight w:val="64"/>
        </w:trPr>
        <w:tc>
          <w:tcPr>
            <w:tcW w:w="938" w:type="dxa"/>
            <w:tcBorders>
              <w:top w:val="nil"/>
              <w:left w:val="single" w:sz="12" w:space="0" w:color="auto"/>
              <w:bottom w:val="single" w:sz="8" w:space="0" w:color="auto"/>
              <w:right w:val="single" w:sz="8" w:space="0" w:color="auto"/>
            </w:tcBorders>
          </w:tcPr>
          <w:p w14:paraId="35CD775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2667797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nitrification</w:t>
            </w:r>
          </w:p>
        </w:tc>
        <w:tc>
          <w:tcPr>
            <w:tcW w:w="2127" w:type="dxa"/>
            <w:tcBorders>
              <w:top w:val="nil"/>
              <w:left w:val="nil"/>
              <w:bottom w:val="single" w:sz="8" w:space="0" w:color="auto"/>
              <w:right w:val="single" w:sz="8" w:space="0" w:color="auto"/>
            </w:tcBorders>
          </w:tcPr>
          <w:p w14:paraId="6AAB29D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    Barcelona</w:t>
            </w:r>
          </w:p>
        </w:tc>
        <w:tc>
          <w:tcPr>
            <w:tcW w:w="567" w:type="dxa"/>
            <w:tcBorders>
              <w:top w:val="nil"/>
              <w:left w:val="nil"/>
              <w:bottom w:val="single" w:sz="8" w:space="0" w:color="auto"/>
              <w:right w:val="single" w:sz="8" w:space="0" w:color="auto"/>
            </w:tcBorders>
          </w:tcPr>
          <w:p w14:paraId="4371CB2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7.5</w:t>
            </w:r>
          </w:p>
        </w:tc>
        <w:tc>
          <w:tcPr>
            <w:tcW w:w="708" w:type="dxa"/>
            <w:tcBorders>
              <w:top w:val="nil"/>
              <w:left w:val="nil"/>
              <w:bottom w:val="single" w:sz="8" w:space="0" w:color="auto"/>
              <w:right w:val="single" w:sz="8" w:space="0" w:color="auto"/>
            </w:tcBorders>
          </w:tcPr>
          <w:p w14:paraId="7F8B055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2.4</w:t>
            </w:r>
          </w:p>
        </w:tc>
        <w:tc>
          <w:tcPr>
            <w:tcW w:w="709" w:type="dxa"/>
            <w:tcBorders>
              <w:top w:val="nil"/>
              <w:left w:val="nil"/>
              <w:bottom w:val="single" w:sz="8" w:space="0" w:color="auto"/>
              <w:right w:val="single" w:sz="8" w:space="0" w:color="auto"/>
            </w:tcBorders>
          </w:tcPr>
          <w:p w14:paraId="1358853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851" w:type="dxa"/>
            <w:tcBorders>
              <w:top w:val="nil"/>
              <w:left w:val="nil"/>
              <w:bottom w:val="single" w:sz="8" w:space="0" w:color="auto"/>
              <w:right w:val="single" w:sz="8" w:space="0" w:color="auto"/>
            </w:tcBorders>
          </w:tcPr>
          <w:p w14:paraId="45FC5CA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88</w:t>
            </w:r>
          </w:p>
        </w:tc>
        <w:tc>
          <w:tcPr>
            <w:tcW w:w="850" w:type="dxa"/>
            <w:tcBorders>
              <w:top w:val="nil"/>
              <w:left w:val="nil"/>
              <w:bottom w:val="single" w:sz="8" w:space="0" w:color="auto"/>
              <w:right w:val="single" w:sz="8" w:space="0" w:color="auto"/>
            </w:tcBorders>
          </w:tcPr>
          <w:p w14:paraId="7D7AAD2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14.3</w:t>
            </w:r>
          </w:p>
        </w:tc>
        <w:tc>
          <w:tcPr>
            <w:tcW w:w="992" w:type="dxa"/>
            <w:tcBorders>
              <w:top w:val="nil"/>
              <w:left w:val="nil"/>
              <w:bottom w:val="single" w:sz="8" w:space="0" w:color="auto"/>
              <w:right w:val="single" w:sz="8" w:space="0" w:color="auto"/>
            </w:tcBorders>
          </w:tcPr>
          <w:p w14:paraId="6650DBF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11</w:t>
            </w:r>
          </w:p>
        </w:tc>
        <w:tc>
          <w:tcPr>
            <w:tcW w:w="851" w:type="dxa"/>
            <w:tcBorders>
              <w:top w:val="single" w:sz="8" w:space="0" w:color="auto"/>
              <w:left w:val="nil"/>
              <w:bottom w:val="single" w:sz="8" w:space="0" w:color="auto"/>
              <w:right w:val="single" w:sz="8" w:space="0" w:color="000000"/>
            </w:tcBorders>
          </w:tcPr>
          <w:p w14:paraId="4713CB94"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300</w:t>
            </w:r>
          </w:p>
        </w:tc>
        <w:tc>
          <w:tcPr>
            <w:tcW w:w="992" w:type="dxa"/>
            <w:tcBorders>
              <w:top w:val="nil"/>
              <w:left w:val="nil"/>
              <w:bottom w:val="single" w:sz="8" w:space="0" w:color="auto"/>
              <w:right w:val="single" w:sz="8" w:space="0" w:color="auto"/>
            </w:tcBorders>
          </w:tcPr>
          <w:p w14:paraId="5D75CAB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0AEF12DF"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388</w:t>
            </w:r>
          </w:p>
        </w:tc>
        <w:tc>
          <w:tcPr>
            <w:tcW w:w="992" w:type="dxa"/>
            <w:tcBorders>
              <w:top w:val="nil"/>
              <w:left w:val="nil"/>
              <w:bottom w:val="single" w:sz="8" w:space="0" w:color="auto"/>
              <w:right w:val="single" w:sz="12" w:space="0" w:color="auto"/>
            </w:tcBorders>
          </w:tcPr>
          <w:p w14:paraId="10B3AB9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57C96FC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6D03741C" w14:textId="77777777" w:rsidTr="00A432B0">
        <w:trPr>
          <w:trHeight w:val="64"/>
        </w:trPr>
        <w:tc>
          <w:tcPr>
            <w:tcW w:w="938" w:type="dxa"/>
            <w:tcBorders>
              <w:top w:val="nil"/>
              <w:left w:val="single" w:sz="12" w:space="0" w:color="auto"/>
              <w:bottom w:val="single" w:sz="8" w:space="0" w:color="auto"/>
              <w:right w:val="single" w:sz="8" w:space="0" w:color="auto"/>
            </w:tcBorders>
          </w:tcPr>
          <w:p w14:paraId="4791065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21ADA5E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nitrification</w:t>
            </w:r>
          </w:p>
        </w:tc>
        <w:tc>
          <w:tcPr>
            <w:tcW w:w="2127" w:type="dxa"/>
            <w:tcBorders>
              <w:top w:val="nil"/>
              <w:left w:val="nil"/>
              <w:bottom w:val="single" w:sz="8" w:space="0" w:color="auto"/>
              <w:right w:val="single" w:sz="8" w:space="0" w:color="auto"/>
            </w:tcBorders>
          </w:tcPr>
          <w:p w14:paraId="1DC173E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Clay          Brécy</w:t>
            </w:r>
          </w:p>
        </w:tc>
        <w:tc>
          <w:tcPr>
            <w:tcW w:w="567" w:type="dxa"/>
            <w:tcBorders>
              <w:top w:val="nil"/>
              <w:left w:val="nil"/>
              <w:bottom w:val="single" w:sz="8" w:space="0" w:color="auto"/>
              <w:right w:val="single" w:sz="8" w:space="0" w:color="auto"/>
            </w:tcBorders>
          </w:tcPr>
          <w:p w14:paraId="2187D2C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7.5</w:t>
            </w:r>
          </w:p>
        </w:tc>
        <w:tc>
          <w:tcPr>
            <w:tcW w:w="708" w:type="dxa"/>
            <w:tcBorders>
              <w:top w:val="nil"/>
              <w:left w:val="nil"/>
              <w:bottom w:val="single" w:sz="8" w:space="0" w:color="auto"/>
              <w:right w:val="single" w:sz="8" w:space="0" w:color="auto"/>
            </w:tcBorders>
          </w:tcPr>
          <w:p w14:paraId="72AE448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2.4</w:t>
            </w:r>
          </w:p>
        </w:tc>
        <w:tc>
          <w:tcPr>
            <w:tcW w:w="709" w:type="dxa"/>
            <w:tcBorders>
              <w:top w:val="nil"/>
              <w:left w:val="nil"/>
              <w:bottom w:val="single" w:sz="8" w:space="0" w:color="auto"/>
              <w:right w:val="single" w:sz="8" w:space="0" w:color="auto"/>
            </w:tcBorders>
          </w:tcPr>
          <w:p w14:paraId="228700C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50</w:t>
            </w:r>
          </w:p>
        </w:tc>
        <w:tc>
          <w:tcPr>
            <w:tcW w:w="851" w:type="dxa"/>
            <w:tcBorders>
              <w:top w:val="nil"/>
              <w:left w:val="nil"/>
              <w:bottom w:val="single" w:sz="8" w:space="0" w:color="auto"/>
              <w:right w:val="single" w:sz="8" w:space="0" w:color="auto"/>
            </w:tcBorders>
          </w:tcPr>
          <w:p w14:paraId="3034913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31</w:t>
            </w:r>
          </w:p>
        </w:tc>
        <w:tc>
          <w:tcPr>
            <w:tcW w:w="850" w:type="dxa"/>
            <w:tcBorders>
              <w:top w:val="nil"/>
              <w:left w:val="nil"/>
              <w:bottom w:val="single" w:sz="8" w:space="0" w:color="auto"/>
              <w:right w:val="single" w:sz="8" w:space="0" w:color="auto"/>
            </w:tcBorders>
          </w:tcPr>
          <w:p w14:paraId="6BB34E5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23.5</w:t>
            </w:r>
          </w:p>
        </w:tc>
        <w:tc>
          <w:tcPr>
            <w:tcW w:w="992" w:type="dxa"/>
            <w:tcBorders>
              <w:top w:val="nil"/>
              <w:left w:val="nil"/>
              <w:bottom w:val="single" w:sz="8" w:space="0" w:color="auto"/>
              <w:right w:val="single" w:sz="8" w:space="0" w:color="auto"/>
            </w:tcBorders>
          </w:tcPr>
          <w:p w14:paraId="58D1EA6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851" w:type="dxa"/>
            <w:tcBorders>
              <w:top w:val="single" w:sz="8" w:space="0" w:color="auto"/>
              <w:left w:val="nil"/>
              <w:bottom w:val="single" w:sz="8" w:space="0" w:color="auto"/>
              <w:right w:val="single" w:sz="8" w:space="0" w:color="000000"/>
            </w:tcBorders>
          </w:tcPr>
          <w:p w14:paraId="081B2AB2"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400</w:t>
            </w:r>
          </w:p>
        </w:tc>
        <w:tc>
          <w:tcPr>
            <w:tcW w:w="992" w:type="dxa"/>
            <w:tcBorders>
              <w:top w:val="nil"/>
              <w:left w:val="nil"/>
              <w:bottom w:val="single" w:sz="8" w:space="0" w:color="auto"/>
              <w:right w:val="single" w:sz="8" w:space="0" w:color="auto"/>
            </w:tcBorders>
          </w:tcPr>
          <w:p w14:paraId="1541B30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147CD3A8"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431</w:t>
            </w:r>
          </w:p>
        </w:tc>
        <w:tc>
          <w:tcPr>
            <w:tcW w:w="992" w:type="dxa"/>
            <w:tcBorders>
              <w:top w:val="nil"/>
              <w:left w:val="nil"/>
              <w:bottom w:val="single" w:sz="8" w:space="0" w:color="auto"/>
              <w:right w:val="single" w:sz="12" w:space="0" w:color="auto"/>
            </w:tcBorders>
          </w:tcPr>
          <w:p w14:paraId="13D0808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40E003E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40A0A0F8" w14:textId="77777777" w:rsidTr="00A432B0">
        <w:trPr>
          <w:trHeight w:val="64"/>
        </w:trPr>
        <w:tc>
          <w:tcPr>
            <w:tcW w:w="938" w:type="dxa"/>
            <w:tcBorders>
              <w:top w:val="nil"/>
              <w:left w:val="single" w:sz="12" w:space="0" w:color="auto"/>
              <w:bottom w:val="single" w:sz="8" w:space="0" w:color="auto"/>
              <w:right w:val="single" w:sz="8" w:space="0" w:color="auto"/>
            </w:tcBorders>
          </w:tcPr>
          <w:p w14:paraId="388A4E4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2CEA009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nitrification</w:t>
            </w:r>
          </w:p>
        </w:tc>
        <w:tc>
          <w:tcPr>
            <w:tcW w:w="2127" w:type="dxa"/>
            <w:tcBorders>
              <w:top w:val="nil"/>
              <w:left w:val="nil"/>
              <w:bottom w:val="single" w:sz="8" w:space="0" w:color="auto"/>
              <w:right w:val="single" w:sz="8" w:space="0" w:color="auto"/>
            </w:tcBorders>
          </w:tcPr>
          <w:p w14:paraId="282571E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 Guadalajara</w:t>
            </w:r>
          </w:p>
        </w:tc>
        <w:tc>
          <w:tcPr>
            <w:tcW w:w="567" w:type="dxa"/>
            <w:tcBorders>
              <w:top w:val="nil"/>
              <w:left w:val="nil"/>
              <w:bottom w:val="single" w:sz="8" w:space="0" w:color="auto"/>
              <w:right w:val="single" w:sz="8" w:space="0" w:color="auto"/>
            </w:tcBorders>
          </w:tcPr>
          <w:p w14:paraId="3F907F7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7.5</w:t>
            </w:r>
          </w:p>
        </w:tc>
        <w:tc>
          <w:tcPr>
            <w:tcW w:w="708" w:type="dxa"/>
            <w:tcBorders>
              <w:top w:val="nil"/>
              <w:left w:val="nil"/>
              <w:bottom w:val="single" w:sz="8" w:space="0" w:color="auto"/>
              <w:right w:val="single" w:sz="8" w:space="0" w:color="auto"/>
            </w:tcBorders>
          </w:tcPr>
          <w:p w14:paraId="2576E76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0.6</w:t>
            </w:r>
          </w:p>
        </w:tc>
        <w:tc>
          <w:tcPr>
            <w:tcW w:w="709" w:type="dxa"/>
            <w:tcBorders>
              <w:top w:val="nil"/>
              <w:left w:val="nil"/>
              <w:bottom w:val="single" w:sz="8" w:space="0" w:color="auto"/>
              <w:right w:val="single" w:sz="8" w:space="0" w:color="auto"/>
            </w:tcBorders>
          </w:tcPr>
          <w:p w14:paraId="5D99095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25</w:t>
            </w:r>
          </w:p>
        </w:tc>
        <w:tc>
          <w:tcPr>
            <w:tcW w:w="851" w:type="dxa"/>
            <w:tcBorders>
              <w:top w:val="nil"/>
              <w:left w:val="nil"/>
              <w:bottom w:val="single" w:sz="8" w:space="0" w:color="auto"/>
              <w:right w:val="single" w:sz="8" w:space="0" w:color="auto"/>
            </w:tcBorders>
          </w:tcPr>
          <w:p w14:paraId="5308A9D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850" w:type="dxa"/>
            <w:tcBorders>
              <w:top w:val="nil"/>
              <w:left w:val="nil"/>
              <w:bottom w:val="single" w:sz="8" w:space="0" w:color="auto"/>
              <w:right w:val="single" w:sz="8" w:space="0" w:color="auto"/>
            </w:tcBorders>
          </w:tcPr>
          <w:p w14:paraId="0E68AFB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16.9</w:t>
            </w:r>
          </w:p>
        </w:tc>
        <w:tc>
          <w:tcPr>
            <w:tcW w:w="992" w:type="dxa"/>
            <w:tcBorders>
              <w:top w:val="nil"/>
              <w:left w:val="nil"/>
              <w:bottom w:val="single" w:sz="8" w:space="0" w:color="auto"/>
              <w:right w:val="single" w:sz="8" w:space="0" w:color="auto"/>
            </w:tcBorders>
          </w:tcPr>
          <w:p w14:paraId="612AD18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851" w:type="dxa"/>
            <w:tcBorders>
              <w:top w:val="single" w:sz="8" w:space="0" w:color="auto"/>
              <w:left w:val="nil"/>
              <w:bottom w:val="single" w:sz="8" w:space="0" w:color="auto"/>
              <w:right w:val="single" w:sz="8" w:space="0" w:color="000000"/>
            </w:tcBorders>
          </w:tcPr>
          <w:p w14:paraId="42B62401"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52</w:t>
            </w:r>
          </w:p>
        </w:tc>
        <w:tc>
          <w:tcPr>
            <w:tcW w:w="992" w:type="dxa"/>
            <w:tcBorders>
              <w:top w:val="nil"/>
              <w:left w:val="nil"/>
              <w:bottom w:val="single" w:sz="8" w:space="0" w:color="auto"/>
              <w:right w:val="single" w:sz="8" w:space="0" w:color="auto"/>
            </w:tcBorders>
          </w:tcPr>
          <w:p w14:paraId="6090180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12F679F8"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59</w:t>
            </w:r>
          </w:p>
        </w:tc>
        <w:tc>
          <w:tcPr>
            <w:tcW w:w="992" w:type="dxa"/>
            <w:tcBorders>
              <w:top w:val="nil"/>
              <w:left w:val="nil"/>
              <w:bottom w:val="single" w:sz="8" w:space="0" w:color="auto"/>
              <w:right w:val="single" w:sz="12" w:space="0" w:color="auto"/>
            </w:tcBorders>
          </w:tcPr>
          <w:p w14:paraId="14B1E62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07D63AF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04D6DDC9" w14:textId="77777777" w:rsidTr="00A432B0">
        <w:trPr>
          <w:trHeight w:val="64"/>
        </w:trPr>
        <w:tc>
          <w:tcPr>
            <w:tcW w:w="938" w:type="dxa"/>
            <w:vMerge w:val="restart"/>
            <w:tcBorders>
              <w:top w:val="nil"/>
              <w:left w:val="single" w:sz="12" w:space="0" w:color="auto"/>
              <w:bottom w:val="single" w:sz="8" w:space="0" w:color="000000"/>
              <w:right w:val="single" w:sz="8" w:space="0" w:color="auto"/>
            </w:tcBorders>
          </w:tcPr>
          <w:p w14:paraId="6D4C2D5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vMerge w:val="restart"/>
            <w:tcBorders>
              <w:top w:val="nil"/>
              <w:left w:val="single" w:sz="8" w:space="0" w:color="auto"/>
              <w:bottom w:val="single" w:sz="8" w:space="0" w:color="000000"/>
              <w:right w:val="single" w:sz="8" w:space="0" w:color="auto"/>
            </w:tcBorders>
          </w:tcPr>
          <w:p w14:paraId="1E75893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nitrification</w:t>
            </w:r>
          </w:p>
        </w:tc>
        <w:tc>
          <w:tcPr>
            <w:tcW w:w="2127" w:type="dxa"/>
            <w:tcBorders>
              <w:top w:val="nil"/>
              <w:left w:val="nil"/>
              <w:bottom w:val="nil"/>
              <w:right w:val="single" w:sz="8" w:space="0" w:color="auto"/>
            </w:tcBorders>
          </w:tcPr>
          <w:p w14:paraId="1E1D54C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clay</w:t>
            </w:r>
          </w:p>
        </w:tc>
        <w:tc>
          <w:tcPr>
            <w:tcW w:w="567" w:type="dxa"/>
            <w:vMerge w:val="restart"/>
            <w:tcBorders>
              <w:top w:val="nil"/>
              <w:left w:val="single" w:sz="8" w:space="0" w:color="auto"/>
              <w:bottom w:val="single" w:sz="8" w:space="0" w:color="000000"/>
              <w:right w:val="single" w:sz="8" w:space="0" w:color="auto"/>
            </w:tcBorders>
          </w:tcPr>
          <w:p w14:paraId="664920D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5.4</w:t>
            </w:r>
          </w:p>
        </w:tc>
        <w:tc>
          <w:tcPr>
            <w:tcW w:w="708" w:type="dxa"/>
            <w:vMerge w:val="restart"/>
            <w:tcBorders>
              <w:top w:val="nil"/>
              <w:left w:val="single" w:sz="8" w:space="0" w:color="auto"/>
              <w:bottom w:val="single" w:sz="8" w:space="0" w:color="000000"/>
              <w:right w:val="single" w:sz="8" w:space="0" w:color="auto"/>
            </w:tcBorders>
          </w:tcPr>
          <w:p w14:paraId="1E7CCE5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3.3</w:t>
            </w:r>
          </w:p>
        </w:tc>
        <w:tc>
          <w:tcPr>
            <w:tcW w:w="709" w:type="dxa"/>
            <w:vMerge w:val="restart"/>
            <w:tcBorders>
              <w:top w:val="nil"/>
              <w:left w:val="single" w:sz="8" w:space="0" w:color="auto"/>
              <w:bottom w:val="single" w:sz="8" w:space="0" w:color="000000"/>
              <w:right w:val="single" w:sz="8" w:space="0" w:color="auto"/>
            </w:tcBorders>
          </w:tcPr>
          <w:p w14:paraId="3503AB7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23</w:t>
            </w:r>
          </w:p>
        </w:tc>
        <w:tc>
          <w:tcPr>
            <w:tcW w:w="851" w:type="dxa"/>
            <w:vMerge w:val="restart"/>
            <w:tcBorders>
              <w:top w:val="nil"/>
              <w:left w:val="single" w:sz="8" w:space="0" w:color="auto"/>
              <w:bottom w:val="single" w:sz="8" w:space="0" w:color="000000"/>
              <w:right w:val="single" w:sz="8" w:space="0" w:color="auto"/>
            </w:tcBorders>
          </w:tcPr>
          <w:p w14:paraId="68D64E0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850" w:type="dxa"/>
            <w:vMerge w:val="restart"/>
            <w:tcBorders>
              <w:top w:val="nil"/>
              <w:left w:val="single" w:sz="8" w:space="0" w:color="auto"/>
              <w:bottom w:val="single" w:sz="8" w:space="0" w:color="000000"/>
              <w:right w:val="single" w:sz="8" w:space="0" w:color="auto"/>
            </w:tcBorders>
          </w:tcPr>
          <w:p w14:paraId="007CFD5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6.7</w:t>
            </w:r>
          </w:p>
        </w:tc>
        <w:tc>
          <w:tcPr>
            <w:tcW w:w="992" w:type="dxa"/>
            <w:vMerge w:val="restart"/>
            <w:tcBorders>
              <w:top w:val="nil"/>
              <w:left w:val="single" w:sz="8" w:space="0" w:color="auto"/>
              <w:bottom w:val="single" w:sz="8" w:space="0" w:color="000000"/>
              <w:right w:val="single" w:sz="8" w:space="0" w:color="auto"/>
            </w:tcBorders>
          </w:tcPr>
          <w:p w14:paraId="560F204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w:t>
            </w:r>
          </w:p>
        </w:tc>
        <w:tc>
          <w:tcPr>
            <w:tcW w:w="851" w:type="dxa"/>
            <w:vMerge w:val="restart"/>
            <w:tcBorders>
              <w:top w:val="single" w:sz="8" w:space="0" w:color="auto"/>
              <w:left w:val="single" w:sz="8" w:space="0" w:color="auto"/>
              <w:bottom w:val="single" w:sz="8" w:space="0" w:color="000000"/>
              <w:right w:val="single" w:sz="8" w:space="0" w:color="000000"/>
            </w:tcBorders>
          </w:tcPr>
          <w:p w14:paraId="1D556C48"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127</w:t>
            </w:r>
          </w:p>
        </w:tc>
        <w:tc>
          <w:tcPr>
            <w:tcW w:w="992" w:type="dxa"/>
            <w:vMerge w:val="restart"/>
            <w:tcBorders>
              <w:top w:val="nil"/>
              <w:left w:val="single" w:sz="8" w:space="0" w:color="auto"/>
              <w:bottom w:val="single" w:sz="8" w:space="0" w:color="000000"/>
              <w:right w:val="single" w:sz="8" w:space="0" w:color="auto"/>
            </w:tcBorders>
          </w:tcPr>
          <w:p w14:paraId="7127BF1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vertAlign w:val="subscript"/>
              </w:rPr>
              <w:t> </w:t>
            </w:r>
          </w:p>
        </w:tc>
        <w:tc>
          <w:tcPr>
            <w:tcW w:w="851" w:type="dxa"/>
            <w:vMerge w:val="restart"/>
            <w:tcBorders>
              <w:top w:val="single" w:sz="8" w:space="0" w:color="auto"/>
              <w:left w:val="single" w:sz="8" w:space="0" w:color="auto"/>
              <w:bottom w:val="single" w:sz="8" w:space="0" w:color="000000"/>
              <w:right w:val="single" w:sz="8" w:space="0" w:color="000000"/>
            </w:tcBorders>
          </w:tcPr>
          <w:p w14:paraId="1CDB2416"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148</w:t>
            </w:r>
          </w:p>
        </w:tc>
        <w:tc>
          <w:tcPr>
            <w:tcW w:w="992" w:type="dxa"/>
            <w:vMerge w:val="restart"/>
            <w:tcBorders>
              <w:top w:val="nil"/>
              <w:left w:val="single" w:sz="8" w:space="0" w:color="auto"/>
              <w:bottom w:val="single" w:sz="8" w:space="0" w:color="000000"/>
              <w:right w:val="single" w:sz="12" w:space="0" w:color="auto"/>
            </w:tcBorders>
          </w:tcPr>
          <w:p w14:paraId="1E04192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vMerge w:val="restart"/>
            <w:tcBorders>
              <w:top w:val="nil"/>
              <w:left w:val="single" w:sz="8" w:space="0" w:color="auto"/>
              <w:right w:val="single" w:sz="12" w:space="0" w:color="auto"/>
            </w:tcBorders>
          </w:tcPr>
          <w:p w14:paraId="1E462A7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55E3BDF8" w14:textId="77777777" w:rsidTr="00A432B0">
        <w:trPr>
          <w:trHeight w:val="64"/>
        </w:trPr>
        <w:tc>
          <w:tcPr>
            <w:tcW w:w="938" w:type="dxa"/>
            <w:vMerge/>
            <w:tcBorders>
              <w:top w:val="nil"/>
              <w:left w:val="single" w:sz="12" w:space="0" w:color="auto"/>
              <w:bottom w:val="single" w:sz="8" w:space="0" w:color="000000"/>
              <w:right w:val="single" w:sz="8" w:space="0" w:color="auto"/>
            </w:tcBorders>
            <w:vAlign w:val="center"/>
          </w:tcPr>
          <w:p w14:paraId="42072C5B" w14:textId="77777777" w:rsidR="00632208" w:rsidRPr="0098635C" w:rsidRDefault="00632208" w:rsidP="00A432B0">
            <w:pPr>
              <w:spacing w:after="0"/>
              <w:rPr>
                <w:rFonts w:ascii="Arial Narrow" w:hAnsi="Arial Narrow" w:cs="Arial Narrow"/>
                <w:color w:val="000000" w:themeColor="text1"/>
                <w:sz w:val="20"/>
                <w:szCs w:val="20"/>
              </w:rPr>
            </w:pPr>
          </w:p>
        </w:tc>
        <w:tc>
          <w:tcPr>
            <w:tcW w:w="1276" w:type="dxa"/>
            <w:vMerge/>
            <w:tcBorders>
              <w:top w:val="nil"/>
              <w:left w:val="single" w:sz="8" w:space="0" w:color="auto"/>
              <w:bottom w:val="single" w:sz="8" w:space="0" w:color="000000"/>
              <w:right w:val="single" w:sz="8" w:space="0" w:color="auto"/>
            </w:tcBorders>
            <w:vAlign w:val="center"/>
          </w:tcPr>
          <w:p w14:paraId="283D6BB6" w14:textId="77777777" w:rsidR="00632208" w:rsidRPr="0098635C" w:rsidRDefault="00632208" w:rsidP="00A432B0">
            <w:pPr>
              <w:spacing w:after="0"/>
              <w:rPr>
                <w:rFonts w:ascii="Arial Narrow" w:hAnsi="Arial Narrow" w:cs="Arial Narrow"/>
                <w:color w:val="000000" w:themeColor="text1"/>
                <w:sz w:val="20"/>
                <w:szCs w:val="20"/>
              </w:rPr>
            </w:pPr>
          </w:p>
        </w:tc>
        <w:tc>
          <w:tcPr>
            <w:tcW w:w="2127" w:type="dxa"/>
            <w:tcBorders>
              <w:top w:val="nil"/>
              <w:left w:val="nil"/>
              <w:bottom w:val="single" w:sz="8" w:space="0" w:color="auto"/>
              <w:right w:val="single" w:sz="8" w:space="0" w:color="auto"/>
            </w:tcBorders>
          </w:tcPr>
          <w:p w14:paraId="5759F7F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Hygum</w:t>
            </w:r>
          </w:p>
        </w:tc>
        <w:tc>
          <w:tcPr>
            <w:tcW w:w="567" w:type="dxa"/>
            <w:vMerge/>
            <w:tcBorders>
              <w:top w:val="nil"/>
              <w:left w:val="single" w:sz="8" w:space="0" w:color="auto"/>
              <w:bottom w:val="single" w:sz="8" w:space="0" w:color="000000"/>
              <w:right w:val="single" w:sz="8" w:space="0" w:color="auto"/>
            </w:tcBorders>
            <w:vAlign w:val="center"/>
          </w:tcPr>
          <w:p w14:paraId="318B7AB4" w14:textId="77777777" w:rsidR="00632208" w:rsidRPr="0098635C" w:rsidRDefault="00632208" w:rsidP="00A432B0">
            <w:pPr>
              <w:spacing w:after="0"/>
              <w:rPr>
                <w:rFonts w:ascii="Arial Narrow" w:hAnsi="Arial Narrow" w:cs="Arial Narrow"/>
                <w:color w:val="000000" w:themeColor="text1"/>
                <w:sz w:val="20"/>
                <w:szCs w:val="20"/>
              </w:rPr>
            </w:pPr>
          </w:p>
        </w:tc>
        <w:tc>
          <w:tcPr>
            <w:tcW w:w="708" w:type="dxa"/>
            <w:vMerge/>
            <w:tcBorders>
              <w:top w:val="nil"/>
              <w:left w:val="single" w:sz="8" w:space="0" w:color="auto"/>
              <w:bottom w:val="single" w:sz="8" w:space="0" w:color="000000"/>
              <w:right w:val="single" w:sz="8" w:space="0" w:color="auto"/>
            </w:tcBorders>
            <w:vAlign w:val="center"/>
          </w:tcPr>
          <w:p w14:paraId="4EEF2468" w14:textId="77777777" w:rsidR="00632208" w:rsidRPr="0098635C" w:rsidRDefault="00632208" w:rsidP="00A432B0">
            <w:pPr>
              <w:spacing w:after="0"/>
              <w:rPr>
                <w:rFonts w:ascii="Arial Narrow" w:hAnsi="Arial Narrow" w:cs="Arial Narrow"/>
                <w:color w:val="000000" w:themeColor="text1"/>
                <w:sz w:val="20"/>
                <w:szCs w:val="20"/>
              </w:rPr>
            </w:pPr>
          </w:p>
        </w:tc>
        <w:tc>
          <w:tcPr>
            <w:tcW w:w="709" w:type="dxa"/>
            <w:vMerge/>
            <w:tcBorders>
              <w:top w:val="nil"/>
              <w:left w:val="single" w:sz="8" w:space="0" w:color="auto"/>
              <w:bottom w:val="single" w:sz="8" w:space="0" w:color="000000"/>
              <w:right w:val="single" w:sz="8" w:space="0" w:color="auto"/>
            </w:tcBorders>
            <w:vAlign w:val="center"/>
          </w:tcPr>
          <w:p w14:paraId="47547B87"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vMerge/>
            <w:tcBorders>
              <w:top w:val="nil"/>
              <w:left w:val="single" w:sz="8" w:space="0" w:color="auto"/>
              <w:bottom w:val="single" w:sz="8" w:space="0" w:color="000000"/>
              <w:right w:val="single" w:sz="8" w:space="0" w:color="auto"/>
            </w:tcBorders>
            <w:vAlign w:val="center"/>
          </w:tcPr>
          <w:p w14:paraId="0F13CA67" w14:textId="77777777" w:rsidR="00632208" w:rsidRPr="0098635C" w:rsidRDefault="00632208" w:rsidP="00A432B0">
            <w:pPr>
              <w:spacing w:after="0"/>
              <w:rPr>
                <w:rFonts w:ascii="Arial Narrow" w:hAnsi="Arial Narrow" w:cs="Arial Narrow"/>
                <w:color w:val="000000" w:themeColor="text1"/>
                <w:sz w:val="20"/>
                <w:szCs w:val="20"/>
              </w:rPr>
            </w:pPr>
          </w:p>
        </w:tc>
        <w:tc>
          <w:tcPr>
            <w:tcW w:w="850" w:type="dxa"/>
            <w:vMerge/>
            <w:tcBorders>
              <w:top w:val="nil"/>
              <w:left w:val="single" w:sz="8" w:space="0" w:color="auto"/>
              <w:bottom w:val="single" w:sz="8" w:space="0" w:color="000000"/>
              <w:right w:val="single" w:sz="8" w:space="0" w:color="auto"/>
            </w:tcBorders>
            <w:vAlign w:val="center"/>
          </w:tcPr>
          <w:p w14:paraId="05489B87" w14:textId="77777777" w:rsidR="00632208" w:rsidRPr="0098635C" w:rsidRDefault="00632208" w:rsidP="00A432B0">
            <w:pPr>
              <w:spacing w:after="0"/>
              <w:rPr>
                <w:rFonts w:ascii="Arial Narrow" w:hAnsi="Arial Narrow" w:cs="Arial Narrow"/>
                <w:color w:val="000000" w:themeColor="text1"/>
                <w:sz w:val="20"/>
                <w:szCs w:val="20"/>
              </w:rPr>
            </w:pPr>
          </w:p>
        </w:tc>
        <w:tc>
          <w:tcPr>
            <w:tcW w:w="992" w:type="dxa"/>
            <w:vMerge/>
            <w:tcBorders>
              <w:top w:val="nil"/>
              <w:left w:val="single" w:sz="8" w:space="0" w:color="auto"/>
              <w:bottom w:val="single" w:sz="8" w:space="0" w:color="000000"/>
              <w:right w:val="single" w:sz="8" w:space="0" w:color="auto"/>
            </w:tcBorders>
            <w:vAlign w:val="center"/>
          </w:tcPr>
          <w:p w14:paraId="4D832FCE"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vMerge/>
            <w:tcBorders>
              <w:top w:val="single" w:sz="8" w:space="0" w:color="auto"/>
              <w:left w:val="single" w:sz="8" w:space="0" w:color="auto"/>
              <w:bottom w:val="single" w:sz="8" w:space="0" w:color="000000"/>
              <w:right w:val="single" w:sz="8" w:space="0" w:color="000000"/>
            </w:tcBorders>
            <w:vAlign w:val="center"/>
          </w:tcPr>
          <w:p w14:paraId="3CCDE0A8" w14:textId="77777777" w:rsidR="00632208" w:rsidRPr="0098635C" w:rsidRDefault="00632208" w:rsidP="00A432B0">
            <w:pPr>
              <w:spacing w:after="0"/>
              <w:rPr>
                <w:rFonts w:ascii="Arial Narrow" w:hAnsi="Arial Narrow" w:cs="Arial Narrow"/>
                <w:color w:val="000000" w:themeColor="text1"/>
                <w:sz w:val="20"/>
                <w:szCs w:val="20"/>
                <w:u w:val="single"/>
              </w:rPr>
            </w:pPr>
          </w:p>
        </w:tc>
        <w:tc>
          <w:tcPr>
            <w:tcW w:w="992" w:type="dxa"/>
            <w:vMerge/>
            <w:tcBorders>
              <w:top w:val="nil"/>
              <w:left w:val="single" w:sz="8" w:space="0" w:color="auto"/>
              <w:bottom w:val="single" w:sz="8" w:space="0" w:color="000000"/>
              <w:right w:val="single" w:sz="8" w:space="0" w:color="auto"/>
            </w:tcBorders>
            <w:vAlign w:val="center"/>
          </w:tcPr>
          <w:p w14:paraId="4130594F" w14:textId="77777777" w:rsidR="00632208" w:rsidRPr="0098635C" w:rsidRDefault="00632208" w:rsidP="00A432B0">
            <w:pPr>
              <w:spacing w:after="0"/>
              <w:rPr>
                <w:rFonts w:ascii="Arial Narrow" w:hAnsi="Arial Narrow" w:cs="Arial Narrow"/>
                <w:color w:val="000000" w:themeColor="text1"/>
                <w:sz w:val="20"/>
                <w:szCs w:val="20"/>
              </w:rPr>
            </w:pPr>
          </w:p>
        </w:tc>
        <w:tc>
          <w:tcPr>
            <w:tcW w:w="851" w:type="dxa"/>
            <w:vMerge/>
            <w:tcBorders>
              <w:top w:val="single" w:sz="8" w:space="0" w:color="auto"/>
              <w:left w:val="single" w:sz="8" w:space="0" w:color="auto"/>
              <w:bottom w:val="single" w:sz="8" w:space="0" w:color="000000"/>
              <w:right w:val="single" w:sz="8" w:space="0" w:color="000000"/>
            </w:tcBorders>
            <w:vAlign w:val="center"/>
          </w:tcPr>
          <w:p w14:paraId="76DF0217" w14:textId="77777777" w:rsidR="00632208" w:rsidRPr="0098635C" w:rsidRDefault="00632208" w:rsidP="00A432B0">
            <w:pPr>
              <w:spacing w:after="0"/>
              <w:rPr>
                <w:rFonts w:ascii="Arial Narrow" w:hAnsi="Arial Narrow" w:cs="Arial Narrow"/>
                <w:color w:val="000000" w:themeColor="text1"/>
                <w:sz w:val="20"/>
                <w:szCs w:val="20"/>
                <w:u w:val="single"/>
              </w:rPr>
            </w:pPr>
          </w:p>
        </w:tc>
        <w:tc>
          <w:tcPr>
            <w:tcW w:w="992" w:type="dxa"/>
            <w:vMerge/>
            <w:tcBorders>
              <w:top w:val="nil"/>
              <w:left w:val="single" w:sz="8" w:space="0" w:color="auto"/>
              <w:bottom w:val="single" w:sz="8" w:space="0" w:color="000000"/>
              <w:right w:val="single" w:sz="12" w:space="0" w:color="auto"/>
            </w:tcBorders>
            <w:vAlign w:val="center"/>
          </w:tcPr>
          <w:p w14:paraId="646016C0" w14:textId="77777777" w:rsidR="00632208" w:rsidRPr="0098635C" w:rsidRDefault="00632208" w:rsidP="00A432B0">
            <w:pPr>
              <w:spacing w:after="0"/>
              <w:rPr>
                <w:rFonts w:ascii="Arial Narrow" w:hAnsi="Arial Narrow" w:cs="Arial Narrow"/>
                <w:color w:val="000000" w:themeColor="text1"/>
                <w:sz w:val="20"/>
                <w:szCs w:val="20"/>
              </w:rPr>
            </w:pPr>
          </w:p>
        </w:tc>
        <w:tc>
          <w:tcPr>
            <w:tcW w:w="2410" w:type="dxa"/>
            <w:vMerge/>
            <w:tcBorders>
              <w:left w:val="single" w:sz="8" w:space="0" w:color="auto"/>
              <w:bottom w:val="single" w:sz="8" w:space="0" w:color="000000"/>
              <w:right w:val="single" w:sz="12" w:space="0" w:color="auto"/>
            </w:tcBorders>
          </w:tcPr>
          <w:p w14:paraId="5555C141" w14:textId="77777777" w:rsidR="00632208" w:rsidRPr="0098635C" w:rsidRDefault="00632208" w:rsidP="00A432B0">
            <w:pPr>
              <w:spacing w:after="0"/>
              <w:rPr>
                <w:rFonts w:ascii="Arial Narrow" w:hAnsi="Arial Narrow" w:cs="Arial Narrow"/>
                <w:color w:val="000000" w:themeColor="text1"/>
                <w:sz w:val="20"/>
                <w:szCs w:val="20"/>
              </w:rPr>
            </w:pPr>
          </w:p>
        </w:tc>
      </w:tr>
      <w:tr w:rsidR="00632208" w:rsidRPr="0098635C" w14:paraId="6A66C72C" w14:textId="77777777" w:rsidTr="00A432B0">
        <w:trPr>
          <w:trHeight w:val="64"/>
        </w:trPr>
        <w:tc>
          <w:tcPr>
            <w:tcW w:w="938" w:type="dxa"/>
            <w:tcBorders>
              <w:top w:val="nil"/>
              <w:left w:val="single" w:sz="12" w:space="0" w:color="auto"/>
              <w:bottom w:val="single" w:sz="8" w:space="0" w:color="auto"/>
              <w:right w:val="single" w:sz="8" w:space="0" w:color="auto"/>
            </w:tcBorders>
          </w:tcPr>
          <w:p w14:paraId="1CFBA76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7D51681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nitrification</w:t>
            </w:r>
          </w:p>
        </w:tc>
        <w:tc>
          <w:tcPr>
            <w:tcW w:w="2127" w:type="dxa"/>
            <w:tcBorders>
              <w:top w:val="nil"/>
              <w:left w:val="nil"/>
              <w:bottom w:val="single" w:sz="8" w:space="0" w:color="auto"/>
              <w:right w:val="single" w:sz="8" w:space="0" w:color="auto"/>
            </w:tcBorders>
          </w:tcPr>
          <w:p w14:paraId="37122B9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sand Wageningen A</w:t>
            </w:r>
          </w:p>
        </w:tc>
        <w:tc>
          <w:tcPr>
            <w:tcW w:w="567" w:type="dxa"/>
            <w:tcBorders>
              <w:top w:val="nil"/>
              <w:left w:val="nil"/>
              <w:bottom w:val="single" w:sz="8" w:space="0" w:color="auto"/>
              <w:right w:val="single" w:sz="8" w:space="0" w:color="auto"/>
            </w:tcBorders>
          </w:tcPr>
          <w:p w14:paraId="4F20255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4.3</w:t>
            </w:r>
          </w:p>
        </w:tc>
        <w:tc>
          <w:tcPr>
            <w:tcW w:w="708" w:type="dxa"/>
            <w:tcBorders>
              <w:top w:val="nil"/>
              <w:left w:val="nil"/>
              <w:bottom w:val="single" w:sz="8" w:space="0" w:color="auto"/>
              <w:right w:val="single" w:sz="8" w:space="0" w:color="auto"/>
            </w:tcBorders>
          </w:tcPr>
          <w:p w14:paraId="1F45456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2.2</w:t>
            </w:r>
          </w:p>
        </w:tc>
        <w:tc>
          <w:tcPr>
            <w:tcW w:w="709" w:type="dxa"/>
            <w:tcBorders>
              <w:top w:val="nil"/>
              <w:left w:val="nil"/>
              <w:bottom w:val="single" w:sz="8" w:space="0" w:color="auto"/>
              <w:right w:val="single" w:sz="8" w:space="0" w:color="auto"/>
            </w:tcBorders>
          </w:tcPr>
          <w:p w14:paraId="3F83A51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w:t>
            </w:r>
          </w:p>
        </w:tc>
        <w:tc>
          <w:tcPr>
            <w:tcW w:w="851" w:type="dxa"/>
            <w:tcBorders>
              <w:top w:val="nil"/>
              <w:left w:val="nil"/>
              <w:bottom w:val="single" w:sz="8" w:space="0" w:color="auto"/>
              <w:right w:val="single" w:sz="8" w:space="0" w:color="auto"/>
            </w:tcBorders>
          </w:tcPr>
          <w:p w14:paraId="3860E05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850" w:type="dxa"/>
            <w:tcBorders>
              <w:top w:val="nil"/>
              <w:left w:val="nil"/>
              <w:bottom w:val="single" w:sz="8" w:space="0" w:color="auto"/>
              <w:right w:val="single" w:sz="8" w:space="0" w:color="auto"/>
            </w:tcBorders>
          </w:tcPr>
          <w:p w14:paraId="778BF91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1.2</w:t>
            </w:r>
          </w:p>
        </w:tc>
        <w:tc>
          <w:tcPr>
            <w:tcW w:w="992" w:type="dxa"/>
            <w:tcBorders>
              <w:top w:val="nil"/>
              <w:left w:val="nil"/>
              <w:bottom w:val="single" w:sz="8" w:space="0" w:color="auto"/>
              <w:right w:val="single" w:sz="8" w:space="0" w:color="auto"/>
            </w:tcBorders>
          </w:tcPr>
          <w:p w14:paraId="4FDF049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18</w:t>
            </w:r>
          </w:p>
        </w:tc>
        <w:tc>
          <w:tcPr>
            <w:tcW w:w="851" w:type="dxa"/>
            <w:tcBorders>
              <w:top w:val="single" w:sz="8" w:space="0" w:color="auto"/>
              <w:left w:val="nil"/>
              <w:bottom w:val="single" w:sz="8" w:space="0" w:color="auto"/>
              <w:right w:val="single" w:sz="8" w:space="0" w:color="000000"/>
            </w:tcBorders>
          </w:tcPr>
          <w:p w14:paraId="39C0528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2229C81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&lt;12</w:t>
            </w:r>
          </w:p>
        </w:tc>
        <w:tc>
          <w:tcPr>
            <w:tcW w:w="851" w:type="dxa"/>
            <w:tcBorders>
              <w:top w:val="single" w:sz="8" w:space="0" w:color="auto"/>
              <w:left w:val="nil"/>
              <w:bottom w:val="single" w:sz="8" w:space="0" w:color="auto"/>
              <w:right w:val="single" w:sz="8" w:space="0" w:color="000000"/>
            </w:tcBorders>
          </w:tcPr>
          <w:p w14:paraId="37ED56F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12" w:space="0" w:color="auto"/>
            </w:tcBorders>
          </w:tcPr>
          <w:p w14:paraId="272F432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&lt;29</w:t>
            </w:r>
          </w:p>
        </w:tc>
        <w:tc>
          <w:tcPr>
            <w:tcW w:w="2410" w:type="dxa"/>
            <w:tcBorders>
              <w:top w:val="nil"/>
              <w:left w:val="nil"/>
              <w:bottom w:val="single" w:sz="8" w:space="0" w:color="auto"/>
              <w:right w:val="single" w:sz="12" w:space="0" w:color="auto"/>
            </w:tcBorders>
          </w:tcPr>
          <w:p w14:paraId="5B30638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21577DB0" w14:textId="77777777" w:rsidTr="00A432B0">
        <w:trPr>
          <w:trHeight w:val="64"/>
        </w:trPr>
        <w:tc>
          <w:tcPr>
            <w:tcW w:w="938" w:type="dxa"/>
            <w:tcBorders>
              <w:top w:val="nil"/>
              <w:left w:val="single" w:sz="12" w:space="0" w:color="auto"/>
              <w:bottom w:val="single" w:sz="8" w:space="0" w:color="auto"/>
              <w:right w:val="single" w:sz="8" w:space="0" w:color="auto"/>
            </w:tcBorders>
          </w:tcPr>
          <w:p w14:paraId="03F3C55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39E76D9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nitrification</w:t>
            </w:r>
          </w:p>
        </w:tc>
        <w:tc>
          <w:tcPr>
            <w:tcW w:w="2127" w:type="dxa"/>
            <w:tcBorders>
              <w:top w:val="nil"/>
              <w:left w:val="nil"/>
              <w:bottom w:val="single" w:sz="8" w:space="0" w:color="auto"/>
              <w:right w:val="single" w:sz="8" w:space="0" w:color="auto"/>
            </w:tcBorders>
          </w:tcPr>
          <w:p w14:paraId="7E63BD1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sand Wageningen D</w:t>
            </w:r>
          </w:p>
        </w:tc>
        <w:tc>
          <w:tcPr>
            <w:tcW w:w="567" w:type="dxa"/>
            <w:tcBorders>
              <w:top w:val="nil"/>
              <w:left w:val="nil"/>
              <w:bottom w:val="single" w:sz="8" w:space="0" w:color="auto"/>
              <w:right w:val="single" w:sz="8" w:space="0" w:color="auto"/>
            </w:tcBorders>
          </w:tcPr>
          <w:p w14:paraId="53597AD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w:t>
            </w:r>
          </w:p>
        </w:tc>
        <w:tc>
          <w:tcPr>
            <w:tcW w:w="708" w:type="dxa"/>
            <w:tcBorders>
              <w:top w:val="nil"/>
              <w:left w:val="nil"/>
              <w:bottom w:val="single" w:sz="8" w:space="0" w:color="auto"/>
              <w:right w:val="single" w:sz="8" w:space="0" w:color="auto"/>
            </w:tcBorders>
          </w:tcPr>
          <w:p w14:paraId="2ACA442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2.3</w:t>
            </w:r>
          </w:p>
        </w:tc>
        <w:tc>
          <w:tcPr>
            <w:tcW w:w="709" w:type="dxa"/>
            <w:tcBorders>
              <w:top w:val="nil"/>
              <w:left w:val="nil"/>
              <w:bottom w:val="single" w:sz="8" w:space="0" w:color="auto"/>
              <w:right w:val="single" w:sz="8" w:space="0" w:color="auto"/>
            </w:tcBorders>
          </w:tcPr>
          <w:p w14:paraId="2CA6436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w:t>
            </w:r>
          </w:p>
        </w:tc>
        <w:tc>
          <w:tcPr>
            <w:tcW w:w="851" w:type="dxa"/>
            <w:tcBorders>
              <w:top w:val="nil"/>
              <w:left w:val="nil"/>
              <w:bottom w:val="single" w:sz="8" w:space="0" w:color="auto"/>
              <w:right w:val="single" w:sz="8" w:space="0" w:color="auto"/>
            </w:tcBorders>
          </w:tcPr>
          <w:p w14:paraId="01754E3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850" w:type="dxa"/>
            <w:tcBorders>
              <w:top w:val="nil"/>
              <w:left w:val="nil"/>
              <w:bottom w:val="single" w:sz="8" w:space="0" w:color="auto"/>
              <w:right w:val="single" w:sz="8" w:space="0" w:color="auto"/>
            </w:tcBorders>
          </w:tcPr>
          <w:p w14:paraId="0C47695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992" w:type="dxa"/>
            <w:tcBorders>
              <w:top w:val="nil"/>
              <w:left w:val="nil"/>
              <w:bottom w:val="single" w:sz="8" w:space="0" w:color="auto"/>
              <w:right w:val="single" w:sz="8" w:space="0" w:color="auto"/>
            </w:tcBorders>
          </w:tcPr>
          <w:p w14:paraId="2AA190D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18</w:t>
            </w:r>
          </w:p>
        </w:tc>
        <w:tc>
          <w:tcPr>
            <w:tcW w:w="851" w:type="dxa"/>
            <w:tcBorders>
              <w:top w:val="single" w:sz="8" w:space="0" w:color="auto"/>
              <w:left w:val="nil"/>
              <w:bottom w:val="single" w:sz="8" w:space="0" w:color="auto"/>
              <w:right w:val="single" w:sz="8" w:space="0" w:color="000000"/>
            </w:tcBorders>
          </w:tcPr>
          <w:p w14:paraId="133D6F38"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65</w:t>
            </w:r>
          </w:p>
        </w:tc>
        <w:tc>
          <w:tcPr>
            <w:tcW w:w="992" w:type="dxa"/>
            <w:tcBorders>
              <w:top w:val="nil"/>
              <w:left w:val="nil"/>
              <w:bottom w:val="single" w:sz="8" w:space="0" w:color="auto"/>
              <w:right w:val="single" w:sz="8" w:space="0" w:color="auto"/>
            </w:tcBorders>
          </w:tcPr>
          <w:p w14:paraId="36E0658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vertAlign w:val="subscript"/>
              </w:rPr>
              <w:t> </w:t>
            </w:r>
          </w:p>
        </w:tc>
        <w:tc>
          <w:tcPr>
            <w:tcW w:w="851" w:type="dxa"/>
            <w:tcBorders>
              <w:top w:val="single" w:sz="8" w:space="0" w:color="auto"/>
              <w:left w:val="nil"/>
              <w:bottom w:val="single" w:sz="8" w:space="0" w:color="auto"/>
              <w:right w:val="single" w:sz="8" w:space="0" w:color="000000"/>
            </w:tcBorders>
          </w:tcPr>
          <w:p w14:paraId="59A42514"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84</w:t>
            </w:r>
          </w:p>
        </w:tc>
        <w:tc>
          <w:tcPr>
            <w:tcW w:w="992" w:type="dxa"/>
            <w:tcBorders>
              <w:top w:val="nil"/>
              <w:left w:val="nil"/>
              <w:bottom w:val="single" w:sz="8" w:space="0" w:color="auto"/>
              <w:right w:val="single" w:sz="12" w:space="0" w:color="auto"/>
            </w:tcBorders>
          </w:tcPr>
          <w:p w14:paraId="092F4C6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7693DB7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50CDF5B9" w14:textId="77777777" w:rsidTr="00A432B0">
        <w:trPr>
          <w:trHeight w:val="64"/>
        </w:trPr>
        <w:tc>
          <w:tcPr>
            <w:tcW w:w="938" w:type="dxa"/>
            <w:tcBorders>
              <w:top w:val="nil"/>
              <w:left w:val="single" w:sz="12" w:space="0" w:color="auto"/>
              <w:bottom w:val="single" w:sz="8" w:space="0" w:color="auto"/>
              <w:right w:val="single" w:sz="8" w:space="0" w:color="auto"/>
            </w:tcBorders>
          </w:tcPr>
          <w:p w14:paraId="347D7C6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4D1AC02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nitrification</w:t>
            </w:r>
          </w:p>
        </w:tc>
        <w:tc>
          <w:tcPr>
            <w:tcW w:w="2127" w:type="dxa"/>
            <w:tcBorders>
              <w:top w:val="nil"/>
              <w:left w:val="nil"/>
              <w:bottom w:val="single" w:sz="8" w:space="0" w:color="auto"/>
              <w:right w:val="single" w:sz="8" w:space="0" w:color="auto"/>
            </w:tcBorders>
          </w:tcPr>
          <w:p w14:paraId="164B7E1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       Woburn salt</w:t>
            </w:r>
          </w:p>
        </w:tc>
        <w:tc>
          <w:tcPr>
            <w:tcW w:w="567" w:type="dxa"/>
            <w:tcBorders>
              <w:top w:val="nil"/>
              <w:left w:val="nil"/>
              <w:bottom w:val="single" w:sz="8" w:space="0" w:color="auto"/>
              <w:right w:val="single" w:sz="8" w:space="0" w:color="auto"/>
            </w:tcBorders>
          </w:tcPr>
          <w:p w14:paraId="693179A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6.5</w:t>
            </w:r>
          </w:p>
        </w:tc>
        <w:tc>
          <w:tcPr>
            <w:tcW w:w="708" w:type="dxa"/>
            <w:tcBorders>
              <w:top w:val="nil"/>
              <w:left w:val="nil"/>
              <w:bottom w:val="single" w:sz="8" w:space="0" w:color="auto"/>
              <w:right w:val="single" w:sz="8" w:space="0" w:color="auto"/>
            </w:tcBorders>
          </w:tcPr>
          <w:p w14:paraId="2A15873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0.2</w:t>
            </w:r>
          </w:p>
        </w:tc>
        <w:tc>
          <w:tcPr>
            <w:tcW w:w="709" w:type="dxa"/>
            <w:tcBorders>
              <w:top w:val="nil"/>
              <w:left w:val="nil"/>
              <w:bottom w:val="single" w:sz="8" w:space="0" w:color="auto"/>
              <w:right w:val="single" w:sz="8" w:space="0" w:color="auto"/>
            </w:tcBorders>
          </w:tcPr>
          <w:p w14:paraId="16F1FB2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w:t>
            </w:r>
          </w:p>
        </w:tc>
        <w:tc>
          <w:tcPr>
            <w:tcW w:w="851" w:type="dxa"/>
            <w:tcBorders>
              <w:top w:val="nil"/>
              <w:left w:val="nil"/>
              <w:bottom w:val="single" w:sz="8" w:space="0" w:color="auto"/>
              <w:right w:val="single" w:sz="8" w:space="0" w:color="auto"/>
            </w:tcBorders>
          </w:tcPr>
          <w:p w14:paraId="5C3C4E9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13</w:t>
            </w:r>
          </w:p>
        </w:tc>
        <w:tc>
          <w:tcPr>
            <w:tcW w:w="850" w:type="dxa"/>
            <w:tcBorders>
              <w:top w:val="nil"/>
              <w:left w:val="nil"/>
              <w:bottom w:val="single" w:sz="8" w:space="0" w:color="auto"/>
              <w:right w:val="single" w:sz="8" w:space="0" w:color="auto"/>
            </w:tcBorders>
          </w:tcPr>
          <w:p w14:paraId="10A0181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8.4</w:t>
            </w:r>
          </w:p>
        </w:tc>
        <w:tc>
          <w:tcPr>
            <w:tcW w:w="992" w:type="dxa"/>
            <w:tcBorders>
              <w:top w:val="nil"/>
              <w:left w:val="nil"/>
              <w:bottom w:val="single" w:sz="8" w:space="0" w:color="auto"/>
              <w:right w:val="single" w:sz="8" w:space="0" w:color="auto"/>
            </w:tcBorders>
          </w:tcPr>
          <w:p w14:paraId="68C9731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w:t>
            </w:r>
          </w:p>
        </w:tc>
        <w:tc>
          <w:tcPr>
            <w:tcW w:w="851" w:type="dxa"/>
            <w:tcBorders>
              <w:top w:val="single" w:sz="8" w:space="0" w:color="auto"/>
              <w:left w:val="nil"/>
              <w:bottom w:val="single" w:sz="8" w:space="0" w:color="auto"/>
              <w:right w:val="single" w:sz="8" w:space="0" w:color="000000"/>
            </w:tcBorders>
          </w:tcPr>
          <w:p w14:paraId="13510470"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100</w:t>
            </w:r>
          </w:p>
        </w:tc>
        <w:tc>
          <w:tcPr>
            <w:tcW w:w="992" w:type="dxa"/>
            <w:tcBorders>
              <w:top w:val="nil"/>
              <w:left w:val="nil"/>
              <w:bottom w:val="single" w:sz="8" w:space="0" w:color="auto"/>
              <w:right w:val="single" w:sz="8" w:space="0" w:color="auto"/>
            </w:tcBorders>
          </w:tcPr>
          <w:p w14:paraId="2623F05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vertAlign w:val="subscript"/>
              </w:rPr>
              <w:t> </w:t>
            </w:r>
          </w:p>
        </w:tc>
        <w:tc>
          <w:tcPr>
            <w:tcW w:w="851" w:type="dxa"/>
            <w:tcBorders>
              <w:top w:val="single" w:sz="8" w:space="0" w:color="auto"/>
              <w:left w:val="nil"/>
              <w:bottom w:val="single" w:sz="8" w:space="0" w:color="auto"/>
              <w:right w:val="single" w:sz="8" w:space="0" w:color="000000"/>
            </w:tcBorders>
          </w:tcPr>
          <w:p w14:paraId="4BC70CAC"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113</w:t>
            </w:r>
          </w:p>
        </w:tc>
        <w:tc>
          <w:tcPr>
            <w:tcW w:w="992" w:type="dxa"/>
            <w:tcBorders>
              <w:top w:val="nil"/>
              <w:left w:val="nil"/>
              <w:bottom w:val="single" w:sz="8" w:space="0" w:color="auto"/>
              <w:right w:val="single" w:sz="12" w:space="0" w:color="auto"/>
            </w:tcBorders>
          </w:tcPr>
          <w:p w14:paraId="2E3DF3A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19B85CD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5C6EE254" w14:textId="77777777" w:rsidTr="00A432B0">
        <w:trPr>
          <w:trHeight w:val="64"/>
        </w:trPr>
        <w:tc>
          <w:tcPr>
            <w:tcW w:w="938" w:type="dxa"/>
            <w:tcBorders>
              <w:top w:val="nil"/>
              <w:left w:val="single" w:sz="12" w:space="0" w:color="auto"/>
              <w:bottom w:val="single" w:sz="8" w:space="0" w:color="auto"/>
              <w:right w:val="single" w:sz="8" w:space="0" w:color="auto"/>
            </w:tcBorders>
          </w:tcPr>
          <w:p w14:paraId="0858A9B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4C731CA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nitrification</w:t>
            </w:r>
          </w:p>
        </w:tc>
        <w:tc>
          <w:tcPr>
            <w:tcW w:w="2127" w:type="dxa"/>
            <w:tcBorders>
              <w:top w:val="nil"/>
              <w:left w:val="nil"/>
              <w:bottom w:val="single" w:sz="8" w:space="0" w:color="auto"/>
              <w:right w:val="single" w:sz="8" w:space="0" w:color="auto"/>
            </w:tcBorders>
          </w:tcPr>
          <w:p w14:paraId="771F30B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       Woburn cake</w:t>
            </w:r>
          </w:p>
        </w:tc>
        <w:tc>
          <w:tcPr>
            <w:tcW w:w="567" w:type="dxa"/>
            <w:tcBorders>
              <w:top w:val="nil"/>
              <w:left w:val="nil"/>
              <w:bottom w:val="single" w:sz="8" w:space="0" w:color="auto"/>
              <w:right w:val="single" w:sz="8" w:space="0" w:color="auto"/>
            </w:tcBorders>
          </w:tcPr>
          <w:p w14:paraId="029C0A7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6.5</w:t>
            </w:r>
          </w:p>
        </w:tc>
        <w:tc>
          <w:tcPr>
            <w:tcW w:w="708" w:type="dxa"/>
            <w:tcBorders>
              <w:top w:val="nil"/>
              <w:left w:val="nil"/>
              <w:bottom w:val="single" w:sz="8" w:space="0" w:color="auto"/>
              <w:right w:val="single" w:sz="8" w:space="0" w:color="auto"/>
            </w:tcBorders>
          </w:tcPr>
          <w:p w14:paraId="3749223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0.3</w:t>
            </w:r>
          </w:p>
        </w:tc>
        <w:tc>
          <w:tcPr>
            <w:tcW w:w="709" w:type="dxa"/>
            <w:tcBorders>
              <w:top w:val="nil"/>
              <w:left w:val="nil"/>
              <w:bottom w:val="single" w:sz="8" w:space="0" w:color="auto"/>
              <w:right w:val="single" w:sz="8" w:space="0" w:color="auto"/>
            </w:tcBorders>
          </w:tcPr>
          <w:p w14:paraId="0BB23BF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w:t>
            </w:r>
          </w:p>
        </w:tc>
        <w:tc>
          <w:tcPr>
            <w:tcW w:w="851" w:type="dxa"/>
            <w:tcBorders>
              <w:top w:val="nil"/>
              <w:left w:val="nil"/>
              <w:bottom w:val="single" w:sz="8" w:space="0" w:color="auto"/>
              <w:right w:val="single" w:sz="8" w:space="0" w:color="auto"/>
            </w:tcBorders>
          </w:tcPr>
          <w:p w14:paraId="4FB2AAF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35</w:t>
            </w:r>
          </w:p>
        </w:tc>
        <w:tc>
          <w:tcPr>
            <w:tcW w:w="850" w:type="dxa"/>
            <w:tcBorders>
              <w:top w:val="nil"/>
              <w:left w:val="nil"/>
              <w:bottom w:val="single" w:sz="8" w:space="0" w:color="auto"/>
              <w:right w:val="single" w:sz="8" w:space="0" w:color="auto"/>
            </w:tcBorders>
          </w:tcPr>
          <w:p w14:paraId="145505A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11.6</w:t>
            </w:r>
          </w:p>
        </w:tc>
        <w:tc>
          <w:tcPr>
            <w:tcW w:w="992" w:type="dxa"/>
            <w:tcBorders>
              <w:top w:val="nil"/>
              <w:left w:val="nil"/>
              <w:bottom w:val="single" w:sz="8" w:space="0" w:color="auto"/>
              <w:right w:val="single" w:sz="8" w:space="0" w:color="auto"/>
            </w:tcBorders>
          </w:tcPr>
          <w:p w14:paraId="1CC73F5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w:t>
            </w:r>
          </w:p>
        </w:tc>
        <w:tc>
          <w:tcPr>
            <w:tcW w:w="851" w:type="dxa"/>
            <w:tcBorders>
              <w:top w:val="single" w:sz="8" w:space="0" w:color="auto"/>
              <w:left w:val="nil"/>
              <w:bottom w:val="single" w:sz="8" w:space="0" w:color="auto"/>
              <w:right w:val="single" w:sz="8" w:space="0" w:color="000000"/>
            </w:tcBorders>
          </w:tcPr>
          <w:p w14:paraId="22D60516"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50</w:t>
            </w:r>
          </w:p>
        </w:tc>
        <w:tc>
          <w:tcPr>
            <w:tcW w:w="992" w:type="dxa"/>
            <w:tcBorders>
              <w:top w:val="nil"/>
              <w:left w:val="nil"/>
              <w:bottom w:val="single" w:sz="8" w:space="0" w:color="auto"/>
              <w:right w:val="single" w:sz="8" w:space="0" w:color="auto"/>
            </w:tcBorders>
          </w:tcPr>
          <w:p w14:paraId="078DE8F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vertAlign w:val="subscript"/>
              </w:rPr>
              <w:t> </w:t>
            </w:r>
          </w:p>
        </w:tc>
        <w:tc>
          <w:tcPr>
            <w:tcW w:w="851" w:type="dxa"/>
            <w:tcBorders>
              <w:top w:val="single" w:sz="8" w:space="0" w:color="auto"/>
              <w:left w:val="nil"/>
              <w:bottom w:val="single" w:sz="8" w:space="0" w:color="auto"/>
              <w:right w:val="single" w:sz="8" w:space="0" w:color="000000"/>
            </w:tcBorders>
          </w:tcPr>
          <w:p w14:paraId="6A2F52F9"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85</w:t>
            </w:r>
          </w:p>
        </w:tc>
        <w:tc>
          <w:tcPr>
            <w:tcW w:w="992" w:type="dxa"/>
            <w:tcBorders>
              <w:top w:val="nil"/>
              <w:left w:val="nil"/>
              <w:bottom w:val="single" w:sz="8" w:space="0" w:color="auto"/>
              <w:right w:val="single" w:sz="12" w:space="0" w:color="auto"/>
            </w:tcBorders>
          </w:tcPr>
          <w:p w14:paraId="348F155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7032803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74DCB310" w14:textId="77777777" w:rsidTr="00A432B0">
        <w:trPr>
          <w:trHeight w:val="64"/>
        </w:trPr>
        <w:tc>
          <w:tcPr>
            <w:tcW w:w="938" w:type="dxa"/>
            <w:tcBorders>
              <w:top w:val="nil"/>
              <w:left w:val="single" w:sz="12" w:space="0" w:color="auto"/>
              <w:bottom w:val="single" w:sz="8" w:space="0" w:color="auto"/>
              <w:right w:val="single" w:sz="8" w:space="0" w:color="auto"/>
            </w:tcBorders>
          </w:tcPr>
          <w:p w14:paraId="24ED8AA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47ED163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Glucose respiration</w:t>
            </w:r>
          </w:p>
        </w:tc>
        <w:tc>
          <w:tcPr>
            <w:tcW w:w="2127" w:type="dxa"/>
            <w:tcBorders>
              <w:top w:val="nil"/>
              <w:left w:val="nil"/>
              <w:bottom w:val="single" w:sz="8" w:space="0" w:color="auto"/>
              <w:right w:val="single" w:sz="8" w:space="0" w:color="auto"/>
            </w:tcBorders>
          </w:tcPr>
          <w:p w14:paraId="6D7A04E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sand Gudow</w:t>
            </w:r>
          </w:p>
        </w:tc>
        <w:tc>
          <w:tcPr>
            <w:tcW w:w="567" w:type="dxa"/>
            <w:tcBorders>
              <w:top w:val="nil"/>
              <w:left w:val="nil"/>
              <w:bottom w:val="single" w:sz="8" w:space="0" w:color="auto"/>
              <w:right w:val="single" w:sz="8" w:space="0" w:color="auto"/>
            </w:tcBorders>
          </w:tcPr>
          <w:p w14:paraId="7D1A482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w:t>
            </w:r>
          </w:p>
        </w:tc>
        <w:tc>
          <w:tcPr>
            <w:tcW w:w="708" w:type="dxa"/>
            <w:tcBorders>
              <w:top w:val="nil"/>
              <w:left w:val="nil"/>
              <w:bottom w:val="single" w:sz="8" w:space="0" w:color="auto"/>
              <w:right w:val="single" w:sz="8" w:space="0" w:color="auto"/>
            </w:tcBorders>
          </w:tcPr>
          <w:p w14:paraId="74503D7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8.2</w:t>
            </w:r>
          </w:p>
        </w:tc>
        <w:tc>
          <w:tcPr>
            <w:tcW w:w="709" w:type="dxa"/>
            <w:tcBorders>
              <w:top w:val="nil"/>
              <w:left w:val="nil"/>
              <w:bottom w:val="single" w:sz="8" w:space="0" w:color="auto"/>
              <w:right w:val="single" w:sz="8" w:space="0" w:color="auto"/>
            </w:tcBorders>
          </w:tcPr>
          <w:p w14:paraId="4552EAF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851" w:type="dxa"/>
            <w:tcBorders>
              <w:top w:val="nil"/>
              <w:left w:val="nil"/>
              <w:bottom w:val="single" w:sz="8" w:space="0" w:color="auto"/>
              <w:right w:val="single" w:sz="8" w:space="0" w:color="auto"/>
            </w:tcBorders>
          </w:tcPr>
          <w:p w14:paraId="190C5BB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w:t>
            </w:r>
          </w:p>
        </w:tc>
        <w:tc>
          <w:tcPr>
            <w:tcW w:w="850" w:type="dxa"/>
            <w:tcBorders>
              <w:top w:val="nil"/>
              <w:left w:val="nil"/>
              <w:bottom w:val="single" w:sz="8" w:space="0" w:color="auto"/>
              <w:right w:val="single" w:sz="8" w:space="0" w:color="auto"/>
            </w:tcBorders>
          </w:tcPr>
          <w:p w14:paraId="0A26995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5.8</w:t>
            </w:r>
          </w:p>
        </w:tc>
        <w:tc>
          <w:tcPr>
            <w:tcW w:w="992" w:type="dxa"/>
            <w:tcBorders>
              <w:top w:val="nil"/>
              <w:left w:val="nil"/>
              <w:bottom w:val="single" w:sz="8" w:space="0" w:color="auto"/>
              <w:right w:val="single" w:sz="8" w:space="0" w:color="auto"/>
            </w:tcBorders>
          </w:tcPr>
          <w:p w14:paraId="05D4E0F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851" w:type="dxa"/>
            <w:tcBorders>
              <w:top w:val="single" w:sz="8" w:space="0" w:color="auto"/>
              <w:left w:val="nil"/>
              <w:bottom w:val="single" w:sz="8" w:space="0" w:color="auto"/>
              <w:right w:val="single" w:sz="8" w:space="0" w:color="000000"/>
            </w:tcBorders>
          </w:tcPr>
          <w:p w14:paraId="52C64495"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1200</w:t>
            </w:r>
          </w:p>
        </w:tc>
        <w:tc>
          <w:tcPr>
            <w:tcW w:w="992" w:type="dxa"/>
            <w:tcBorders>
              <w:top w:val="nil"/>
              <w:left w:val="nil"/>
              <w:bottom w:val="single" w:sz="8" w:space="0" w:color="auto"/>
              <w:right w:val="single" w:sz="8" w:space="0" w:color="auto"/>
            </w:tcBorders>
          </w:tcPr>
          <w:p w14:paraId="1B41E97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4AA62BD5"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1202</w:t>
            </w:r>
          </w:p>
        </w:tc>
        <w:tc>
          <w:tcPr>
            <w:tcW w:w="992" w:type="dxa"/>
            <w:tcBorders>
              <w:top w:val="nil"/>
              <w:left w:val="nil"/>
              <w:bottom w:val="single" w:sz="8" w:space="0" w:color="auto"/>
              <w:right w:val="single" w:sz="12" w:space="0" w:color="auto"/>
            </w:tcBorders>
          </w:tcPr>
          <w:p w14:paraId="63EC6DA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0037B9B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69F098E2" w14:textId="77777777" w:rsidTr="00A432B0">
        <w:trPr>
          <w:trHeight w:val="64"/>
        </w:trPr>
        <w:tc>
          <w:tcPr>
            <w:tcW w:w="938" w:type="dxa"/>
            <w:tcBorders>
              <w:top w:val="nil"/>
              <w:left w:val="single" w:sz="12" w:space="0" w:color="auto"/>
              <w:bottom w:val="single" w:sz="8" w:space="0" w:color="auto"/>
              <w:right w:val="single" w:sz="8" w:space="0" w:color="auto"/>
            </w:tcBorders>
          </w:tcPr>
          <w:p w14:paraId="51CE6A3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76CEB74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Glucose respiration</w:t>
            </w:r>
          </w:p>
        </w:tc>
        <w:tc>
          <w:tcPr>
            <w:tcW w:w="2127" w:type="dxa"/>
            <w:tcBorders>
              <w:top w:val="nil"/>
              <w:left w:val="nil"/>
              <w:bottom w:val="single" w:sz="8" w:space="0" w:color="auto"/>
              <w:right w:val="single" w:sz="8" w:space="0" w:color="auto"/>
            </w:tcBorders>
          </w:tcPr>
          <w:p w14:paraId="735AB23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loam Nottingham</w:t>
            </w:r>
          </w:p>
        </w:tc>
        <w:tc>
          <w:tcPr>
            <w:tcW w:w="567" w:type="dxa"/>
            <w:tcBorders>
              <w:top w:val="nil"/>
              <w:left w:val="nil"/>
              <w:bottom w:val="single" w:sz="8" w:space="0" w:color="auto"/>
              <w:right w:val="single" w:sz="8" w:space="0" w:color="auto"/>
            </w:tcBorders>
          </w:tcPr>
          <w:p w14:paraId="7974502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3.4</w:t>
            </w:r>
          </w:p>
        </w:tc>
        <w:tc>
          <w:tcPr>
            <w:tcW w:w="708" w:type="dxa"/>
            <w:tcBorders>
              <w:top w:val="nil"/>
              <w:left w:val="nil"/>
              <w:bottom w:val="single" w:sz="8" w:space="0" w:color="auto"/>
              <w:right w:val="single" w:sz="8" w:space="0" w:color="auto"/>
            </w:tcBorders>
          </w:tcPr>
          <w:p w14:paraId="7E34F15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8.3</w:t>
            </w:r>
          </w:p>
        </w:tc>
        <w:tc>
          <w:tcPr>
            <w:tcW w:w="709" w:type="dxa"/>
            <w:tcBorders>
              <w:top w:val="nil"/>
              <w:left w:val="nil"/>
              <w:bottom w:val="single" w:sz="8" w:space="0" w:color="auto"/>
              <w:right w:val="single" w:sz="8" w:space="0" w:color="auto"/>
            </w:tcBorders>
          </w:tcPr>
          <w:p w14:paraId="501A8CF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13</w:t>
            </w:r>
          </w:p>
        </w:tc>
        <w:tc>
          <w:tcPr>
            <w:tcW w:w="851" w:type="dxa"/>
            <w:tcBorders>
              <w:top w:val="nil"/>
              <w:left w:val="nil"/>
              <w:bottom w:val="single" w:sz="8" w:space="0" w:color="auto"/>
              <w:right w:val="single" w:sz="8" w:space="0" w:color="auto"/>
            </w:tcBorders>
          </w:tcPr>
          <w:p w14:paraId="259E9FC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17</w:t>
            </w:r>
          </w:p>
        </w:tc>
        <w:tc>
          <w:tcPr>
            <w:tcW w:w="850" w:type="dxa"/>
            <w:tcBorders>
              <w:top w:val="nil"/>
              <w:left w:val="nil"/>
              <w:bottom w:val="single" w:sz="8" w:space="0" w:color="auto"/>
              <w:right w:val="single" w:sz="8" w:space="0" w:color="auto"/>
            </w:tcBorders>
          </w:tcPr>
          <w:p w14:paraId="5165143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6.7</w:t>
            </w:r>
          </w:p>
        </w:tc>
        <w:tc>
          <w:tcPr>
            <w:tcW w:w="992" w:type="dxa"/>
            <w:tcBorders>
              <w:top w:val="nil"/>
              <w:left w:val="nil"/>
              <w:bottom w:val="single" w:sz="8" w:space="0" w:color="auto"/>
              <w:right w:val="single" w:sz="8" w:space="0" w:color="auto"/>
            </w:tcBorders>
          </w:tcPr>
          <w:p w14:paraId="2DC4C01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851" w:type="dxa"/>
            <w:tcBorders>
              <w:top w:val="single" w:sz="8" w:space="0" w:color="auto"/>
              <w:left w:val="nil"/>
              <w:bottom w:val="single" w:sz="8" w:space="0" w:color="auto"/>
              <w:right w:val="single" w:sz="8" w:space="0" w:color="000000"/>
            </w:tcBorders>
          </w:tcPr>
          <w:p w14:paraId="700B25B3"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150</w:t>
            </w:r>
          </w:p>
        </w:tc>
        <w:tc>
          <w:tcPr>
            <w:tcW w:w="992" w:type="dxa"/>
            <w:tcBorders>
              <w:top w:val="nil"/>
              <w:left w:val="nil"/>
              <w:bottom w:val="single" w:sz="8" w:space="0" w:color="auto"/>
              <w:right w:val="single" w:sz="8" w:space="0" w:color="auto"/>
            </w:tcBorders>
          </w:tcPr>
          <w:p w14:paraId="76B225F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2B67116E"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167</w:t>
            </w:r>
          </w:p>
        </w:tc>
        <w:tc>
          <w:tcPr>
            <w:tcW w:w="992" w:type="dxa"/>
            <w:tcBorders>
              <w:top w:val="nil"/>
              <w:left w:val="nil"/>
              <w:bottom w:val="single" w:sz="8" w:space="0" w:color="auto"/>
              <w:right w:val="single" w:sz="12" w:space="0" w:color="auto"/>
            </w:tcBorders>
          </w:tcPr>
          <w:p w14:paraId="2C14725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2772609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0A56328D" w14:textId="77777777" w:rsidTr="00A432B0">
        <w:trPr>
          <w:trHeight w:val="64"/>
        </w:trPr>
        <w:tc>
          <w:tcPr>
            <w:tcW w:w="938" w:type="dxa"/>
            <w:tcBorders>
              <w:top w:val="nil"/>
              <w:left w:val="single" w:sz="12" w:space="0" w:color="auto"/>
              <w:bottom w:val="single" w:sz="8" w:space="0" w:color="auto"/>
              <w:right w:val="single" w:sz="8" w:space="0" w:color="auto"/>
            </w:tcBorders>
          </w:tcPr>
          <w:p w14:paraId="4E2604F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lastRenderedPageBreak/>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239A7DE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Glucose respiration</w:t>
            </w:r>
          </w:p>
        </w:tc>
        <w:tc>
          <w:tcPr>
            <w:tcW w:w="2127" w:type="dxa"/>
            <w:tcBorders>
              <w:top w:val="nil"/>
              <w:left w:val="nil"/>
              <w:bottom w:val="single" w:sz="8" w:space="0" w:color="auto"/>
              <w:right w:val="single" w:sz="8" w:space="0" w:color="auto"/>
            </w:tcBorders>
          </w:tcPr>
          <w:p w14:paraId="78DC195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sand Houthalen</w:t>
            </w:r>
          </w:p>
        </w:tc>
        <w:tc>
          <w:tcPr>
            <w:tcW w:w="567" w:type="dxa"/>
            <w:tcBorders>
              <w:top w:val="nil"/>
              <w:left w:val="nil"/>
              <w:bottom w:val="single" w:sz="8" w:space="0" w:color="auto"/>
              <w:right w:val="single" w:sz="8" w:space="0" w:color="auto"/>
            </w:tcBorders>
          </w:tcPr>
          <w:p w14:paraId="2EC63C4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3.4</w:t>
            </w:r>
          </w:p>
        </w:tc>
        <w:tc>
          <w:tcPr>
            <w:tcW w:w="708" w:type="dxa"/>
            <w:tcBorders>
              <w:top w:val="nil"/>
              <w:left w:val="nil"/>
              <w:bottom w:val="single" w:sz="8" w:space="0" w:color="auto"/>
              <w:right w:val="single" w:sz="8" w:space="0" w:color="auto"/>
            </w:tcBorders>
          </w:tcPr>
          <w:p w14:paraId="0603903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w:t>
            </w:r>
          </w:p>
        </w:tc>
        <w:tc>
          <w:tcPr>
            <w:tcW w:w="709" w:type="dxa"/>
            <w:tcBorders>
              <w:top w:val="nil"/>
              <w:left w:val="nil"/>
              <w:bottom w:val="single" w:sz="8" w:space="0" w:color="auto"/>
              <w:right w:val="single" w:sz="8" w:space="0" w:color="auto"/>
            </w:tcBorders>
          </w:tcPr>
          <w:p w14:paraId="51C063B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w:t>
            </w:r>
          </w:p>
        </w:tc>
        <w:tc>
          <w:tcPr>
            <w:tcW w:w="851" w:type="dxa"/>
            <w:tcBorders>
              <w:top w:val="nil"/>
              <w:left w:val="nil"/>
              <w:bottom w:val="single" w:sz="8" w:space="0" w:color="auto"/>
              <w:right w:val="single" w:sz="8" w:space="0" w:color="auto"/>
            </w:tcBorders>
          </w:tcPr>
          <w:p w14:paraId="5CBD9C1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w:t>
            </w:r>
          </w:p>
        </w:tc>
        <w:tc>
          <w:tcPr>
            <w:tcW w:w="850" w:type="dxa"/>
            <w:tcBorders>
              <w:top w:val="nil"/>
              <w:left w:val="nil"/>
              <w:bottom w:val="single" w:sz="8" w:space="0" w:color="auto"/>
              <w:right w:val="single" w:sz="8" w:space="0" w:color="auto"/>
            </w:tcBorders>
          </w:tcPr>
          <w:p w14:paraId="71195AC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992" w:type="dxa"/>
            <w:tcBorders>
              <w:top w:val="nil"/>
              <w:left w:val="nil"/>
              <w:bottom w:val="single" w:sz="8" w:space="0" w:color="auto"/>
              <w:right w:val="single" w:sz="8" w:space="0" w:color="auto"/>
            </w:tcBorders>
          </w:tcPr>
          <w:p w14:paraId="74BC178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851" w:type="dxa"/>
            <w:tcBorders>
              <w:top w:val="single" w:sz="8" w:space="0" w:color="auto"/>
              <w:left w:val="nil"/>
              <w:bottom w:val="single" w:sz="8" w:space="0" w:color="auto"/>
              <w:right w:val="single" w:sz="8" w:space="0" w:color="000000"/>
            </w:tcBorders>
          </w:tcPr>
          <w:p w14:paraId="6EE049EC"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50</w:t>
            </w:r>
          </w:p>
        </w:tc>
        <w:tc>
          <w:tcPr>
            <w:tcW w:w="992" w:type="dxa"/>
            <w:tcBorders>
              <w:top w:val="nil"/>
              <w:left w:val="nil"/>
              <w:bottom w:val="single" w:sz="8" w:space="0" w:color="auto"/>
              <w:right w:val="single" w:sz="8" w:space="0" w:color="auto"/>
            </w:tcBorders>
          </w:tcPr>
          <w:p w14:paraId="2D80CA8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40E5CD18"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52</w:t>
            </w:r>
          </w:p>
        </w:tc>
        <w:tc>
          <w:tcPr>
            <w:tcW w:w="992" w:type="dxa"/>
            <w:tcBorders>
              <w:top w:val="nil"/>
              <w:left w:val="nil"/>
              <w:bottom w:val="single" w:sz="8" w:space="0" w:color="auto"/>
              <w:right w:val="single" w:sz="12" w:space="0" w:color="auto"/>
            </w:tcBorders>
          </w:tcPr>
          <w:p w14:paraId="4AF9F2D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71E5721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5B3B16F2" w14:textId="77777777" w:rsidTr="00A432B0">
        <w:trPr>
          <w:trHeight w:val="64"/>
        </w:trPr>
        <w:tc>
          <w:tcPr>
            <w:tcW w:w="938" w:type="dxa"/>
            <w:tcBorders>
              <w:top w:val="nil"/>
              <w:left w:val="single" w:sz="12" w:space="0" w:color="auto"/>
              <w:bottom w:val="single" w:sz="8" w:space="0" w:color="auto"/>
              <w:right w:val="single" w:sz="8" w:space="0" w:color="auto"/>
            </w:tcBorders>
          </w:tcPr>
          <w:p w14:paraId="27DDF13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087B81F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Glucose respiration</w:t>
            </w:r>
          </w:p>
        </w:tc>
        <w:tc>
          <w:tcPr>
            <w:tcW w:w="2127" w:type="dxa"/>
            <w:tcBorders>
              <w:top w:val="nil"/>
              <w:left w:val="nil"/>
              <w:bottom w:val="single" w:sz="8" w:space="0" w:color="auto"/>
              <w:right w:val="single" w:sz="8" w:space="0" w:color="auto"/>
            </w:tcBorders>
          </w:tcPr>
          <w:p w14:paraId="05363A1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sand Rhydtalog</w:t>
            </w:r>
          </w:p>
        </w:tc>
        <w:tc>
          <w:tcPr>
            <w:tcW w:w="567" w:type="dxa"/>
            <w:tcBorders>
              <w:top w:val="nil"/>
              <w:left w:val="nil"/>
              <w:bottom w:val="single" w:sz="8" w:space="0" w:color="auto"/>
              <w:right w:val="single" w:sz="8" w:space="0" w:color="auto"/>
            </w:tcBorders>
          </w:tcPr>
          <w:p w14:paraId="0C5FA89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4.2</w:t>
            </w:r>
          </w:p>
        </w:tc>
        <w:tc>
          <w:tcPr>
            <w:tcW w:w="708" w:type="dxa"/>
            <w:tcBorders>
              <w:top w:val="nil"/>
              <w:left w:val="nil"/>
              <w:bottom w:val="single" w:sz="8" w:space="0" w:color="auto"/>
              <w:right w:val="single" w:sz="8" w:space="0" w:color="auto"/>
            </w:tcBorders>
          </w:tcPr>
          <w:p w14:paraId="4CD3D56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20.7</w:t>
            </w:r>
          </w:p>
        </w:tc>
        <w:tc>
          <w:tcPr>
            <w:tcW w:w="709" w:type="dxa"/>
            <w:tcBorders>
              <w:top w:val="nil"/>
              <w:left w:val="nil"/>
              <w:bottom w:val="single" w:sz="8" w:space="0" w:color="auto"/>
              <w:right w:val="single" w:sz="8" w:space="0" w:color="auto"/>
            </w:tcBorders>
          </w:tcPr>
          <w:p w14:paraId="75AF298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13</w:t>
            </w:r>
          </w:p>
        </w:tc>
        <w:tc>
          <w:tcPr>
            <w:tcW w:w="851" w:type="dxa"/>
            <w:tcBorders>
              <w:top w:val="nil"/>
              <w:left w:val="nil"/>
              <w:bottom w:val="single" w:sz="8" w:space="0" w:color="auto"/>
              <w:right w:val="single" w:sz="8" w:space="0" w:color="auto"/>
            </w:tcBorders>
          </w:tcPr>
          <w:p w14:paraId="5BDA3BE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w:t>
            </w:r>
          </w:p>
        </w:tc>
        <w:tc>
          <w:tcPr>
            <w:tcW w:w="850" w:type="dxa"/>
            <w:tcBorders>
              <w:top w:val="nil"/>
              <w:left w:val="nil"/>
              <w:bottom w:val="single" w:sz="8" w:space="0" w:color="auto"/>
              <w:right w:val="single" w:sz="8" w:space="0" w:color="auto"/>
            </w:tcBorders>
          </w:tcPr>
          <w:p w14:paraId="5E39B90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15.2</w:t>
            </w:r>
          </w:p>
        </w:tc>
        <w:tc>
          <w:tcPr>
            <w:tcW w:w="992" w:type="dxa"/>
            <w:tcBorders>
              <w:top w:val="nil"/>
              <w:left w:val="nil"/>
              <w:bottom w:val="single" w:sz="8" w:space="0" w:color="auto"/>
              <w:right w:val="single" w:sz="8" w:space="0" w:color="auto"/>
            </w:tcBorders>
          </w:tcPr>
          <w:p w14:paraId="677B474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851" w:type="dxa"/>
            <w:tcBorders>
              <w:top w:val="single" w:sz="8" w:space="0" w:color="auto"/>
              <w:left w:val="nil"/>
              <w:bottom w:val="single" w:sz="8" w:space="0" w:color="auto"/>
              <w:right w:val="single" w:sz="8" w:space="0" w:color="000000"/>
            </w:tcBorders>
          </w:tcPr>
          <w:p w14:paraId="7F699E64"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600</w:t>
            </w:r>
          </w:p>
        </w:tc>
        <w:tc>
          <w:tcPr>
            <w:tcW w:w="992" w:type="dxa"/>
            <w:tcBorders>
              <w:top w:val="nil"/>
              <w:left w:val="nil"/>
              <w:bottom w:val="single" w:sz="8" w:space="0" w:color="auto"/>
              <w:right w:val="single" w:sz="8" w:space="0" w:color="auto"/>
            </w:tcBorders>
          </w:tcPr>
          <w:p w14:paraId="11EE665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01D966A3"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614</w:t>
            </w:r>
          </w:p>
        </w:tc>
        <w:tc>
          <w:tcPr>
            <w:tcW w:w="992" w:type="dxa"/>
            <w:tcBorders>
              <w:top w:val="nil"/>
              <w:left w:val="nil"/>
              <w:bottom w:val="single" w:sz="8" w:space="0" w:color="auto"/>
              <w:right w:val="single" w:sz="12" w:space="0" w:color="auto"/>
            </w:tcBorders>
          </w:tcPr>
          <w:p w14:paraId="0C4329D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07A8366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29DEC5F5" w14:textId="77777777" w:rsidTr="00A432B0">
        <w:trPr>
          <w:trHeight w:val="64"/>
        </w:trPr>
        <w:tc>
          <w:tcPr>
            <w:tcW w:w="938" w:type="dxa"/>
            <w:tcBorders>
              <w:top w:val="nil"/>
              <w:left w:val="single" w:sz="12" w:space="0" w:color="auto"/>
              <w:bottom w:val="single" w:sz="8" w:space="0" w:color="auto"/>
              <w:right w:val="single" w:sz="8" w:space="0" w:color="auto"/>
            </w:tcBorders>
          </w:tcPr>
          <w:p w14:paraId="04EC2C3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7368246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Glucose respiration</w:t>
            </w:r>
          </w:p>
        </w:tc>
        <w:tc>
          <w:tcPr>
            <w:tcW w:w="2127" w:type="dxa"/>
            <w:tcBorders>
              <w:top w:val="nil"/>
              <w:left w:val="nil"/>
              <w:bottom w:val="single" w:sz="8" w:space="0" w:color="auto"/>
              <w:right w:val="single" w:sz="8" w:space="0" w:color="auto"/>
            </w:tcBorders>
          </w:tcPr>
          <w:p w14:paraId="7D4A2E2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clay loam Zegveld</w:t>
            </w:r>
          </w:p>
        </w:tc>
        <w:tc>
          <w:tcPr>
            <w:tcW w:w="567" w:type="dxa"/>
            <w:tcBorders>
              <w:top w:val="nil"/>
              <w:left w:val="nil"/>
              <w:bottom w:val="single" w:sz="8" w:space="0" w:color="auto"/>
              <w:right w:val="single" w:sz="8" w:space="0" w:color="auto"/>
            </w:tcBorders>
          </w:tcPr>
          <w:p w14:paraId="21D9962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4.7</w:t>
            </w:r>
          </w:p>
        </w:tc>
        <w:tc>
          <w:tcPr>
            <w:tcW w:w="708" w:type="dxa"/>
            <w:tcBorders>
              <w:top w:val="nil"/>
              <w:left w:val="nil"/>
              <w:bottom w:val="single" w:sz="8" w:space="0" w:color="auto"/>
              <w:right w:val="single" w:sz="8" w:space="0" w:color="auto"/>
            </w:tcBorders>
          </w:tcPr>
          <w:p w14:paraId="336296C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37.3</w:t>
            </w:r>
          </w:p>
        </w:tc>
        <w:tc>
          <w:tcPr>
            <w:tcW w:w="709" w:type="dxa"/>
            <w:tcBorders>
              <w:top w:val="nil"/>
              <w:left w:val="nil"/>
              <w:bottom w:val="single" w:sz="8" w:space="0" w:color="auto"/>
              <w:right w:val="single" w:sz="8" w:space="0" w:color="auto"/>
            </w:tcBorders>
          </w:tcPr>
          <w:p w14:paraId="68405CF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24</w:t>
            </w:r>
          </w:p>
        </w:tc>
        <w:tc>
          <w:tcPr>
            <w:tcW w:w="851" w:type="dxa"/>
            <w:tcBorders>
              <w:top w:val="nil"/>
              <w:left w:val="nil"/>
              <w:bottom w:val="single" w:sz="8" w:space="0" w:color="auto"/>
              <w:right w:val="single" w:sz="8" w:space="0" w:color="auto"/>
            </w:tcBorders>
          </w:tcPr>
          <w:p w14:paraId="083B3A7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70</w:t>
            </w:r>
          </w:p>
        </w:tc>
        <w:tc>
          <w:tcPr>
            <w:tcW w:w="850" w:type="dxa"/>
            <w:tcBorders>
              <w:top w:val="nil"/>
              <w:left w:val="nil"/>
              <w:bottom w:val="single" w:sz="8" w:space="0" w:color="auto"/>
              <w:right w:val="single" w:sz="8" w:space="0" w:color="auto"/>
            </w:tcBorders>
          </w:tcPr>
          <w:p w14:paraId="633D91D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35.3</w:t>
            </w:r>
          </w:p>
        </w:tc>
        <w:tc>
          <w:tcPr>
            <w:tcW w:w="992" w:type="dxa"/>
            <w:tcBorders>
              <w:top w:val="nil"/>
              <w:left w:val="nil"/>
              <w:bottom w:val="single" w:sz="8" w:space="0" w:color="auto"/>
              <w:right w:val="single" w:sz="8" w:space="0" w:color="auto"/>
            </w:tcBorders>
          </w:tcPr>
          <w:p w14:paraId="4C108C9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851" w:type="dxa"/>
            <w:tcBorders>
              <w:top w:val="single" w:sz="8" w:space="0" w:color="auto"/>
              <w:left w:val="nil"/>
              <w:bottom w:val="single" w:sz="8" w:space="0" w:color="auto"/>
              <w:right w:val="single" w:sz="8" w:space="0" w:color="000000"/>
            </w:tcBorders>
          </w:tcPr>
          <w:p w14:paraId="31EE727E"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100</w:t>
            </w:r>
          </w:p>
        </w:tc>
        <w:tc>
          <w:tcPr>
            <w:tcW w:w="992" w:type="dxa"/>
            <w:tcBorders>
              <w:top w:val="nil"/>
              <w:left w:val="nil"/>
              <w:bottom w:val="single" w:sz="8" w:space="0" w:color="auto"/>
              <w:right w:val="single" w:sz="8" w:space="0" w:color="auto"/>
            </w:tcBorders>
          </w:tcPr>
          <w:p w14:paraId="23AB2C5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78D17E11"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170</w:t>
            </w:r>
          </w:p>
        </w:tc>
        <w:tc>
          <w:tcPr>
            <w:tcW w:w="992" w:type="dxa"/>
            <w:tcBorders>
              <w:top w:val="nil"/>
              <w:left w:val="nil"/>
              <w:bottom w:val="single" w:sz="8" w:space="0" w:color="auto"/>
              <w:right w:val="single" w:sz="12" w:space="0" w:color="auto"/>
            </w:tcBorders>
          </w:tcPr>
          <w:p w14:paraId="17DE384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4322D1F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3AB8DB83" w14:textId="77777777" w:rsidTr="00A432B0">
        <w:trPr>
          <w:trHeight w:val="64"/>
        </w:trPr>
        <w:tc>
          <w:tcPr>
            <w:tcW w:w="938" w:type="dxa"/>
            <w:tcBorders>
              <w:top w:val="nil"/>
              <w:left w:val="single" w:sz="12" w:space="0" w:color="auto"/>
              <w:bottom w:val="single" w:sz="8" w:space="0" w:color="auto"/>
              <w:right w:val="single" w:sz="8" w:space="0" w:color="auto"/>
            </w:tcBorders>
          </w:tcPr>
          <w:p w14:paraId="625D02D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254222A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Glucose respiration</w:t>
            </w:r>
          </w:p>
        </w:tc>
        <w:tc>
          <w:tcPr>
            <w:tcW w:w="2127" w:type="dxa"/>
            <w:tcBorders>
              <w:top w:val="nil"/>
              <w:left w:val="nil"/>
              <w:bottom w:val="single" w:sz="8" w:space="0" w:color="auto"/>
              <w:right w:val="single" w:sz="8" w:space="0" w:color="auto"/>
            </w:tcBorders>
          </w:tcPr>
          <w:p w14:paraId="753958B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sand Kovlinge I</w:t>
            </w:r>
          </w:p>
        </w:tc>
        <w:tc>
          <w:tcPr>
            <w:tcW w:w="567" w:type="dxa"/>
            <w:tcBorders>
              <w:top w:val="nil"/>
              <w:left w:val="nil"/>
              <w:bottom w:val="single" w:sz="8" w:space="0" w:color="auto"/>
              <w:right w:val="single" w:sz="8" w:space="0" w:color="auto"/>
            </w:tcBorders>
          </w:tcPr>
          <w:p w14:paraId="340DF0E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4.8</w:t>
            </w:r>
          </w:p>
        </w:tc>
        <w:tc>
          <w:tcPr>
            <w:tcW w:w="708" w:type="dxa"/>
            <w:tcBorders>
              <w:top w:val="nil"/>
              <w:left w:val="nil"/>
              <w:bottom w:val="single" w:sz="8" w:space="0" w:color="auto"/>
              <w:right w:val="single" w:sz="8" w:space="0" w:color="auto"/>
            </w:tcBorders>
          </w:tcPr>
          <w:p w14:paraId="15DE8D6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2.6</w:t>
            </w:r>
          </w:p>
        </w:tc>
        <w:tc>
          <w:tcPr>
            <w:tcW w:w="709" w:type="dxa"/>
            <w:tcBorders>
              <w:top w:val="nil"/>
              <w:left w:val="nil"/>
              <w:bottom w:val="single" w:sz="8" w:space="0" w:color="auto"/>
              <w:right w:val="single" w:sz="8" w:space="0" w:color="auto"/>
            </w:tcBorders>
          </w:tcPr>
          <w:p w14:paraId="15E4767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851" w:type="dxa"/>
            <w:tcBorders>
              <w:top w:val="nil"/>
              <w:left w:val="nil"/>
              <w:bottom w:val="single" w:sz="8" w:space="0" w:color="auto"/>
              <w:right w:val="single" w:sz="8" w:space="0" w:color="auto"/>
            </w:tcBorders>
          </w:tcPr>
          <w:p w14:paraId="78A0EA2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w:t>
            </w:r>
          </w:p>
        </w:tc>
        <w:tc>
          <w:tcPr>
            <w:tcW w:w="850" w:type="dxa"/>
            <w:tcBorders>
              <w:top w:val="nil"/>
              <w:left w:val="nil"/>
              <w:bottom w:val="single" w:sz="8" w:space="0" w:color="auto"/>
              <w:right w:val="single" w:sz="8" w:space="0" w:color="auto"/>
            </w:tcBorders>
          </w:tcPr>
          <w:p w14:paraId="5044965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2.4</w:t>
            </w:r>
          </w:p>
        </w:tc>
        <w:tc>
          <w:tcPr>
            <w:tcW w:w="992" w:type="dxa"/>
            <w:tcBorders>
              <w:top w:val="nil"/>
              <w:left w:val="nil"/>
              <w:bottom w:val="single" w:sz="8" w:space="0" w:color="auto"/>
              <w:right w:val="single" w:sz="8" w:space="0" w:color="auto"/>
            </w:tcBorders>
          </w:tcPr>
          <w:p w14:paraId="72495BB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851" w:type="dxa"/>
            <w:tcBorders>
              <w:top w:val="single" w:sz="8" w:space="0" w:color="auto"/>
              <w:left w:val="nil"/>
              <w:bottom w:val="single" w:sz="8" w:space="0" w:color="auto"/>
              <w:right w:val="single" w:sz="8" w:space="0" w:color="000000"/>
            </w:tcBorders>
          </w:tcPr>
          <w:p w14:paraId="034FF424"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25</w:t>
            </w:r>
          </w:p>
        </w:tc>
        <w:tc>
          <w:tcPr>
            <w:tcW w:w="992" w:type="dxa"/>
            <w:tcBorders>
              <w:top w:val="nil"/>
              <w:left w:val="nil"/>
              <w:bottom w:val="single" w:sz="8" w:space="0" w:color="auto"/>
              <w:right w:val="single" w:sz="8" w:space="0" w:color="auto"/>
            </w:tcBorders>
          </w:tcPr>
          <w:p w14:paraId="2D55C45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4E5A57CF"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31</w:t>
            </w:r>
          </w:p>
        </w:tc>
        <w:tc>
          <w:tcPr>
            <w:tcW w:w="992" w:type="dxa"/>
            <w:tcBorders>
              <w:top w:val="nil"/>
              <w:left w:val="nil"/>
              <w:bottom w:val="single" w:sz="8" w:space="0" w:color="auto"/>
              <w:right w:val="single" w:sz="12" w:space="0" w:color="auto"/>
            </w:tcBorders>
          </w:tcPr>
          <w:p w14:paraId="7AE789F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1FA5E7C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5C74CBBD" w14:textId="77777777" w:rsidTr="00A432B0">
        <w:trPr>
          <w:trHeight w:val="64"/>
        </w:trPr>
        <w:tc>
          <w:tcPr>
            <w:tcW w:w="938" w:type="dxa"/>
            <w:tcBorders>
              <w:top w:val="nil"/>
              <w:left w:val="single" w:sz="12" w:space="0" w:color="auto"/>
              <w:bottom w:val="single" w:sz="8" w:space="0" w:color="auto"/>
              <w:right w:val="single" w:sz="8" w:space="0" w:color="auto"/>
            </w:tcBorders>
          </w:tcPr>
          <w:p w14:paraId="60CA08D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41C2925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Glucose respiration</w:t>
            </w:r>
          </w:p>
        </w:tc>
        <w:tc>
          <w:tcPr>
            <w:tcW w:w="2127" w:type="dxa"/>
            <w:tcBorders>
              <w:top w:val="nil"/>
              <w:left w:val="nil"/>
              <w:bottom w:val="single" w:sz="8" w:space="0" w:color="auto"/>
              <w:right w:val="single" w:sz="8" w:space="0" w:color="auto"/>
            </w:tcBorders>
          </w:tcPr>
          <w:p w14:paraId="6075438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clay Souli I</w:t>
            </w:r>
          </w:p>
        </w:tc>
        <w:tc>
          <w:tcPr>
            <w:tcW w:w="567" w:type="dxa"/>
            <w:tcBorders>
              <w:top w:val="nil"/>
              <w:left w:val="nil"/>
              <w:bottom w:val="single" w:sz="8" w:space="0" w:color="auto"/>
              <w:right w:val="single" w:sz="8" w:space="0" w:color="auto"/>
            </w:tcBorders>
          </w:tcPr>
          <w:p w14:paraId="0DACCB7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4.8</w:t>
            </w:r>
          </w:p>
        </w:tc>
        <w:tc>
          <w:tcPr>
            <w:tcW w:w="708" w:type="dxa"/>
            <w:tcBorders>
              <w:top w:val="nil"/>
              <w:left w:val="nil"/>
              <w:bottom w:val="single" w:sz="8" w:space="0" w:color="auto"/>
              <w:right w:val="single" w:sz="8" w:space="0" w:color="auto"/>
            </w:tcBorders>
          </w:tcPr>
          <w:p w14:paraId="390769C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0.7</w:t>
            </w:r>
          </w:p>
        </w:tc>
        <w:tc>
          <w:tcPr>
            <w:tcW w:w="709" w:type="dxa"/>
            <w:tcBorders>
              <w:top w:val="nil"/>
              <w:left w:val="nil"/>
              <w:bottom w:val="single" w:sz="8" w:space="0" w:color="auto"/>
              <w:right w:val="single" w:sz="8" w:space="0" w:color="auto"/>
            </w:tcBorders>
          </w:tcPr>
          <w:p w14:paraId="6C70E7C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38</w:t>
            </w:r>
          </w:p>
        </w:tc>
        <w:tc>
          <w:tcPr>
            <w:tcW w:w="851" w:type="dxa"/>
            <w:tcBorders>
              <w:top w:val="nil"/>
              <w:left w:val="nil"/>
              <w:bottom w:val="single" w:sz="8" w:space="0" w:color="auto"/>
              <w:right w:val="single" w:sz="8" w:space="0" w:color="auto"/>
            </w:tcBorders>
          </w:tcPr>
          <w:p w14:paraId="4279A9B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31</w:t>
            </w:r>
          </w:p>
        </w:tc>
        <w:tc>
          <w:tcPr>
            <w:tcW w:w="850" w:type="dxa"/>
            <w:tcBorders>
              <w:top w:val="nil"/>
              <w:left w:val="nil"/>
              <w:bottom w:val="single" w:sz="8" w:space="0" w:color="auto"/>
              <w:right w:val="single" w:sz="8" w:space="0" w:color="auto"/>
            </w:tcBorders>
          </w:tcPr>
          <w:p w14:paraId="5071CB0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11.2</w:t>
            </w:r>
          </w:p>
        </w:tc>
        <w:tc>
          <w:tcPr>
            <w:tcW w:w="992" w:type="dxa"/>
            <w:tcBorders>
              <w:top w:val="nil"/>
              <w:left w:val="nil"/>
              <w:bottom w:val="single" w:sz="8" w:space="0" w:color="auto"/>
              <w:right w:val="single" w:sz="8" w:space="0" w:color="auto"/>
            </w:tcBorders>
          </w:tcPr>
          <w:p w14:paraId="388749D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851" w:type="dxa"/>
            <w:tcBorders>
              <w:top w:val="single" w:sz="8" w:space="0" w:color="auto"/>
              <w:left w:val="nil"/>
              <w:bottom w:val="single" w:sz="8" w:space="0" w:color="auto"/>
              <w:right w:val="single" w:sz="8" w:space="0" w:color="000000"/>
            </w:tcBorders>
          </w:tcPr>
          <w:p w14:paraId="3928F667"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100</w:t>
            </w:r>
          </w:p>
        </w:tc>
        <w:tc>
          <w:tcPr>
            <w:tcW w:w="992" w:type="dxa"/>
            <w:tcBorders>
              <w:top w:val="nil"/>
              <w:left w:val="nil"/>
              <w:bottom w:val="single" w:sz="8" w:space="0" w:color="auto"/>
              <w:right w:val="single" w:sz="8" w:space="0" w:color="auto"/>
            </w:tcBorders>
          </w:tcPr>
          <w:p w14:paraId="7381AED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511CB396"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131</w:t>
            </w:r>
          </w:p>
        </w:tc>
        <w:tc>
          <w:tcPr>
            <w:tcW w:w="992" w:type="dxa"/>
            <w:tcBorders>
              <w:top w:val="nil"/>
              <w:left w:val="nil"/>
              <w:bottom w:val="single" w:sz="8" w:space="0" w:color="auto"/>
              <w:right w:val="single" w:sz="12" w:space="0" w:color="auto"/>
            </w:tcBorders>
          </w:tcPr>
          <w:p w14:paraId="552260B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22E5943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7C216D10" w14:textId="77777777" w:rsidTr="00A432B0">
        <w:trPr>
          <w:trHeight w:val="64"/>
        </w:trPr>
        <w:tc>
          <w:tcPr>
            <w:tcW w:w="938" w:type="dxa"/>
            <w:tcBorders>
              <w:top w:val="nil"/>
              <w:left w:val="single" w:sz="12" w:space="0" w:color="auto"/>
              <w:bottom w:val="single" w:sz="8" w:space="0" w:color="auto"/>
              <w:right w:val="single" w:sz="8" w:space="0" w:color="auto"/>
            </w:tcBorders>
          </w:tcPr>
          <w:p w14:paraId="07B8FAD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5E7CA4A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Glucose respiration</w:t>
            </w:r>
          </w:p>
        </w:tc>
        <w:tc>
          <w:tcPr>
            <w:tcW w:w="2127" w:type="dxa"/>
            <w:tcBorders>
              <w:top w:val="nil"/>
              <w:left w:val="nil"/>
              <w:bottom w:val="single" w:sz="8" w:space="0" w:color="auto"/>
              <w:right w:val="single" w:sz="8" w:space="0" w:color="auto"/>
            </w:tcBorders>
          </w:tcPr>
          <w:p w14:paraId="6EC5BFF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loam Kovlinge II</w:t>
            </w:r>
          </w:p>
        </w:tc>
        <w:tc>
          <w:tcPr>
            <w:tcW w:w="567" w:type="dxa"/>
            <w:tcBorders>
              <w:top w:val="nil"/>
              <w:left w:val="nil"/>
              <w:bottom w:val="single" w:sz="8" w:space="0" w:color="auto"/>
              <w:right w:val="single" w:sz="8" w:space="0" w:color="auto"/>
            </w:tcBorders>
          </w:tcPr>
          <w:p w14:paraId="33620EA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5.1</w:t>
            </w:r>
          </w:p>
        </w:tc>
        <w:tc>
          <w:tcPr>
            <w:tcW w:w="708" w:type="dxa"/>
            <w:tcBorders>
              <w:top w:val="nil"/>
              <w:left w:val="nil"/>
              <w:bottom w:val="single" w:sz="8" w:space="0" w:color="auto"/>
              <w:right w:val="single" w:sz="8" w:space="0" w:color="auto"/>
            </w:tcBorders>
          </w:tcPr>
          <w:p w14:paraId="53D988E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3.8</w:t>
            </w:r>
          </w:p>
        </w:tc>
        <w:tc>
          <w:tcPr>
            <w:tcW w:w="709" w:type="dxa"/>
            <w:tcBorders>
              <w:top w:val="nil"/>
              <w:left w:val="nil"/>
              <w:bottom w:val="single" w:sz="8" w:space="0" w:color="auto"/>
              <w:right w:val="single" w:sz="8" w:space="0" w:color="auto"/>
            </w:tcBorders>
          </w:tcPr>
          <w:p w14:paraId="5B666E3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w:t>
            </w:r>
          </w:p>
        </w:tc>
        <w:tc>
          <w:tcPr>
            <w:tcW w:w="851" w:type="dxa"/>
            <w:tcBorders>
              <w:top w:val="nil"/>
              <w:left w:val="nil"/>
              <w:bottom w:val="single" w:sz="8" w:space="0" w:color="auto"/>
              <w:right w:val="single" w:sz="8" w:space="0" w:color="auto"/>
            </w:tcBorders>
          </w:tcPr>
          <w:p w14:paraId="039E514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w:t>
            </w:r>
          </w:p>
        </w:tc>
        <w:tc>
          <w:tcPr>
            <w:tcW w:w="850" w:type="dxa"/>
            <w:tcBorders>
              <w:top w:val="nil"/>
              <w:left w:val="nil"/>
              <w:bottom w:val="single" w:sz="8" w:space="0" w:color="auto"/>
              <w:right w:val="single" w:sz="8" w:space="0" w:color="auto"/>
            </w:tcBorders>
          </w:tcPr>
          <w:p w14:paraId="6BA1C85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4.7</w:t>
            </w:r>
          </w:p>
        </w:tc>
        <w:tc>
          <w:tcPr>
            <w:tcW w:w="992" w:type="dxa"/>
            <w:tcBorders>
              <w:top w:val="nil"/>
              <w:left w:val="nil"/>
              <w:bottom w:val="single" w:sz="8" w:space="0" w:color="auto"/>
              <w:right w:val="single" w:sz="8" w:space="0" w:color="auto"/>
            </w:tcBorders>
          </w:tcPr>
          <w:p w14:paraId="388FBBD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851" w:type="dxa"/>
            <w:tcBorders>
              <w:top w:val="single" w:sz="8" w:space="0" w:color="auto"/>
              <w:left w:val="nil"/>
              <w:bottom w:val="single" w:sz="8" w:space="0" w:color="auto"/>
              <w:right w:val="single" w:sz="8" w:space="0" w:color="000000"/>
            </w:tcBorders>
          </w:tcPr>
          <w:p w14:paraId="7D26529D"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50</w:t>
            </w:r>
          </w:p>
        </w:tc>
        <w:tc>
          <w:tcPr>
            <w:tcW w:w="992" w:type="dxa"/>
            <w:tcBorders>
              <w:top w:val="nil"/>
              <w:left w:val="nil"/>
              <w:bottom w:val="single" w:sz="8" w:space="0" w:color="auto"/>
              <w:right w:val="single" w:sz="8" w:space="0" w:color="auto"/>
            </w:tcBorders>
          </w:tcPr>
          <w:p w14:paraId="423C489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1DBAD1B5"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58</w:t>
            </w:r>
          </w:p>
        </w:tc>
        <w:tc>
          <w:tcPr>
            <w:tcW w:w="992" w:type="dxa"/>
            <w:tcBorders>
              <w:top w:val="nil"/>
              <w:left w:val="nil"/>
              <w:bottom w:val="single" w:sz="8" w:space="0" w:color="auto"/>
              <w:right w:val="single" w:sz="12" w:space="0" w:color="auto"/>
            </w:tcBorders>
          </w:tcPr>
          <w:p w14:paraId="230BCD5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16D1727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01131F02" w14:textId="77777777" w:rsidTr="00A432B0">
        <w:trPr>
          <w:trHeight w:val="64"/>
        </w:trPr>
        <w:tc>
          <w:tcPr>
            <w:tcW w:w="938" w:type="dxa"/>
            <w:tcBorders>
              <w:top w:val="nil"/>
              <w:left w:val="single" w:sz="12" w:space="0" w:color="auto"/>
              <w:bottom w:val="single" w:sz="8" w:space="0" w:color="auto"/>
              <w:right w:val="single" w:sz="8" w:space="0" w:color="auto"/>
            </w:tcBorders>
          </w:tcPr>
          <w:p w14:paraId="2961E83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2C17358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Glucose respiration</w:t>
            </w:r>
          </w:p>
        </w:tc>
        <w:tc>
          <w:tcPr>
            <w:tcW w:w="2127" w:type="dxa"/>
            <w:tcBorders>
              <w:top w:val="nil"/>
              <w:left w:val="nil"/>
              <w:bottom w:val="single" w:sz="8" w:space="0" w:color="auto"/>
              <w:right w:val="single" w:sz="8" w:space="0" w:color="auto"/>
            </w:tcBorders>
          </w:tcPr>
          <w:p w14:paraId="116CDC2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sand Montpellier</w:t>
            </w:r>
          </w:p>
        </w:tc>
        <w:tc>
          <w:tcPr>
            <w:tcW w:w="567" w:type="dxa"/>
            <w:tcBorders>
              <w:top w:val="nil"/>
              <w:left w:val="nil"/>
              <w:bottom w:val="single" w:sz="8" w:space="0" w:color="auto"/>
              <w:right w:val="single" w:sz="8" w:space="0" w:color="auto"/>
            </w:tcBorders>
          </w:tcPr>
          <w:p w14:paraId="184582E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5.2</w:t>
            </w:r>
          </w:p>
        </w:tc>
        <w:tc>
          <w:tcPr>
            <w:tcW w:w="708" w:type="dxa"/>
            <w:tcBorders>
              <w:top w:val="nil"/>
              <w:left w:val="nil"/>
              <w:bottom w:val="single" w:sz="8" w:space="0" w:color="auto"/>
              <w:right w:val="single" w:sz="8" w:space="0" w:color="auto"/>
            </w:tcBorders>
          </w:tcPr>
          <w:p w14:paraId="3DBCACF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1.2</w:t>
            </w:r>
          </w:p>
        </w:tc>
        <w:tc>
          <w:tcPr>
            <w:tcW w:w="709" w:type="dxa"/>
            <w:tcBorders>
              <w:top w:val="nil"/>
              <w:left w:val="nil"/>
              <w:bottom w:val="single" w:sz="8" w:space="0" w:color="auto"/>
              <w:right w:val="single" w:sz="8" w:space="0" w:color="auto"/>
            </w:tcBorders>
          </w:tcPr>
          <w:p w14:paraId="0A455F8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w:t>
            </w:r>
          </w:p>
        </w:tc>
        <w:tc>
          <w:tcPr>
            <w:tcW w:w="851" w:type="dxa"/>
            <w:tcBorders>
              <w:top w:val="nil"/>
              <w:left w:val="nil"/>
              <w:bottom w:val="single" w:sz="8" w:space="0" w:color="auto"/>
              <w:right w:val="single" w:sz="8" w:space="0" w:color="auto"/>
            </w:tcBorders>
          </w:tcPr>
          <w:p w14:paraId="226E439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w:t>
            </w:r>
          </w:p>
        </w:tc>
        <w:tc>
          <w:tcPr>
            <w:tcW w:w="850" w:type="dxa"/>
            <w:tcBorders>
              <w:top w:val="nil"/>
              <w:left w:val="nil"/>
              <w:bottom w:val="single" w:sz="8" w:space="0" w:color="auto"/>
              <w:right w:val="single" w:sz="8" w:space="0" w:color="auto"/>
            </w:tcBorders>
          </w:tcPr>
          <w:p w14:paraId="7B23BC4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2.5</w:t>
            </w:r>
          </w:p>
        </w:tc>
        <w:tc>
          <w:tcPr>
            <w:tcW w:w="992" w:type="dxa"/>
            <w:tcBorders>
              <w:top w:val="nil"/>
              <w:left w:val="nil"/>
              <w:bottom w:val="single" w:sz="8" w:space="0" w:color="auto"/>
              <w:right w:val="single" w:sz="8" w:space="0" w:color="auto"/>
            </w:tcBorders>
          </w:tcPr>
          <w:p w14:paraId="24FA505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851" w:type="dxa"/>
            <w:tcBorders>
              <w:top w:val="single" w:sz="8" w:space="0" w:color="auto"/>
              <w:left w:val="nil"/>
              <w:bottom w:val="single" w:sz="8" w:space="0" w:color="auto"/>
              <w:right w:val="single" w:sz="8" w:space="0" w:color="000000"/>
            </w:tcBorders>
          </w:tcPr>
          <w:p w14:paraId="31E84EE7"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25</w:t>
            </w:r>
          </w:p>
        </w:tc>
        <w:tc>
          <w:tcPr>
            <w:tcW w:w="992" w:type="dxa"/>
            <w:tcBorders>
              <w:top w:val="nil"/>
              <w:left w:val="nil"/>
              <w:bottom w:val="single" w:sz="8" w:space="0" w:color="auto"/>
              <w:right w:val="single" w:sz="8" w:space="0" w:color="auto"/>
            </w:tcBorders>
          </w:tcPr>
          <w:p w14:paraId="3827CA1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6980837C"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30</w:t>
            </w:r>
          </w:p>
        </w:tc>
        <w:tc>
          <w:tcPr>
            <w:tcW w:w="992" w:type="dxa"/>
            <w:tcBorders>
              <w:top w:val="nil"/>
              <w:left w:val="nil"/>
              <w:bottom w:val="single" w:sz="8" w:space="0" w:color="auto"/>
              <w:right w:val="single" w:sz="12" w:space="0" w:color="auto"/>
            </w:tcBorders>
          </w:tcPr>
          <w:p w14:paraId="02410F8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14FE767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6B0D4572" w14:textId="77777777" w:rsidTr="00A432B0">
        <w:trPr>
          <w:trHeight w:val="64"/>
        </w:trPr>
        <w:tc>
          <w:tcPr>
            <w:tcW w:w="938" w:type="dxa"/>
            <w:tcBorders>
              <w:top w:val="nil"/>
              <w:left w:val="single" w:sz="12" w:space="0" w:color="auto"/>
              <w:bottom w:val="single" w:sz="8" w:space="0" w:color="auto"/>
              <w:right w:val="single" w:sz="8" w:space="0" w:color="auto"/>
            </w:tcBorders>
          </w:tcPr>
          <w:p w14:paraId="5599323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712770E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Glucose respiration</w:t>
            </w:r>
          </w:p>
        </w:tc>
        <w:tc>
          <w:tcPr>
            <w:tcW w:w="2127" w:type="dxa"/>
            <w:tcBorders>
              <w:top w:val="nil"/>
              <w:left w:val="nil"/>
              <w:bottom w:val="single" w:sz="8" w:space="0" w:color="auto"/>
              <w:right w:val="single" w:sz="8" w:space="0" w:color="auto"/>
            </w:tcBorders>
          </w:tcPr>
          <w:p w14:paraId="1123DAF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clay Aluminosa</w:t>
            </w:r>
          </w:p>
        </w:tc>
        <w:tc>
          <w:tcPr>
            <w:tcW w:w="567" w:type="dxa"/>
            <w:tcBorders>
              <w:top w:val="nil"/>
              <w:left w:val="nil"/>
              <w:bottom w:val="single" w:sz="8" w:space="0" w:color="auto"/>
              <w:right w:val="single" w:sz="8" w:space="0" w:color="auto"/>
            </w:tcBorders>
          </w:tcPr>
          <w:p w14:paraId="2794D9E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5.4</w:t>
            </w:r>
          </w:p>
        </w:tc>
        <w:tc>
          <w:tcPr>
            <w:tcW w:w="708" w:type="dxa"/>
            <w:tcBorders>
              <w:top w:val="nil"/>
              <w:left w:val="nil"/>
              <w:bottom w:val="single" w:sz="8" w:space="0" w:color="auto"/>
              <w:right w:val="single" w:sz="8" w:space="0" w:color="auto"/>
            </w:tcBorders>
          </w:tcPr>
          <w:p w14:paraId="1477488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w:t>
            </w:r>
          </w:p>
        </w:tc>
        <w:tc>
          <w:tcPr>
            <w:tcW w:w="709" w:type="dxa"/>
            <w:tcBorders>
              <w:top w:val="nil"/>
              <w:left w:val="nil"/>
              <w:bottom w:val="single" w:sz="8" w:space="0" w:color="auto"/>
              <w:right w:val="single" w:sz="8" w:space="0" w:color="auto"/>
            </w:tcBorders>
          </w:tcPr>
          <w:p w14:paraId="3F26614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51</w:t>
            </w:r>
          </w:p>
        </w:tc>
        <w:tc>
          <w:tcPr>
            <w:tcW w:w="851" w:type="dxa"/>
            <w:tcBorders>
              <w:top w:val="nil"/>
              <w:left w:val="nil"/>
              <w:bottom w:val="single" w:sz="8" w:space="0" w:color="auto"/>
              <w:right w:val="single" w:sz="8" w:space="0" w:color="auto"/>
            </w:tcBorders>
          </w:tcPr>
          <w:p w14:paraId="3E6F7CE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850" w:type="dxa"/>
            <w:tcBorders>
              <w:top w:val="nil"/>
              <w:left w:val="nil"/>
              <w:bottom w:val="single" w:sz="8" w:space="0" w:color="auto"/>
              <w:right w:val="single" w:sz="8" w:space="0" w:color="auto"/>
            </w:tcBorders>
          </w:tcPr>
          <w:p w14:paraId="56183B2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22.6</w:t>
            </w:r>
          </w:p>
        </w:tc>
        <w:tc>
          <w:tcPr>
            <w:tcW w:w="992" w:type="dxa"/>
            <w:tcBorders>
              <w:top w:val="nil"/>
              <w:left w:val="nil"/>
              <w:bottom w:val="single" w:sz="8" w:space="0" w:color="auto"/>
              <w:right w:val="single" w:sz="8" w:space="0" w:color="auto"/>
            </w:tcBorders>
          </w:tcPr>
          <w:p w14:paraId="7AA33E8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851" w:type="dxa"/>
            <w:tcBorders>
              <w:top w:val="single" w:sz="8" w:space="0" w:color="auto"/>
              <w:left w:val="nil"/>
              <w:bottom w:val="single" w:sz="8" w:space="0" w:color="auto"/>
              <w:right w:val="single" w:sz="8" w:space="0" w:color="000000"/>
            </w:tcBorders>
          </w:tcPr>
          <w:p w14:paraId="63A3CE89"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400</w:t>
            </w:r>
          </w:p>
        </w:tc>
        <w:tc>
          <w:tcPr>
            <w:tcW w:w="992" w:type="dxa"/>
            <w:tcBorders>
              <w:top w:val="nil"/>
              <w:left w:val="nil"/>
              <w:bottom w:val="single" w:sz="8" w:space="0" w:color="auto"/>
              <w:right w:val="single" w:sz="8" w:space="0" w:color="auto"/>
            </w:tcBorders>
          </w:tcPr>
          <w:p w14:paraId="1E374ED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4AD84541"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421</w:t>
            </w:r>
          </w:p>
        </w:tc>
        <w:tc>
          <w:tcPr>
            <w:tcW w:w="992" w:type="dxa"/>
            <w:tcBorders>
              <w:top w:val="nil"/>
              <w:left w:val="nil"/>
              <w:bottom w:val="single" w:sz="8" w:space="0" w:color="auto"/>
              <w:right w:val="single" w:sz="12" w:space="0" w:color="auto"/>
            </w:tcBorders>
          </w:tcPr>
          <w:p w14:paraId="65E59C7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34B0508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0D61F8A8" w14:textId="77777777" w:rsidTr="00A432B0">
        <w:trPr>
          <w:trHeight w:val="64"/>
        </w:trPr>
        <w:tc>
          <w:tcPr>
            <w:tcW w:w="938" w:type="dxa"/>
            <w:tcBorders>
              <w:top w:val="nil"/>
              <w:left w:val="single" w:sz="12" w:space="0" w:color="auto"/>
              <w:bottom w:val="single" w:sz="8" w:space="0" w:color="auto"/>
              <w:right w:val="single" w:sz="8" w:space="0" w:color="auto"/>
            </w:tcBorders>
          </w:tcPr>
          <w:p w14:paraId="772E056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3B92E65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Glucose respiration</w:t>
            </w:r>
          </w:p>
        </w:tc>
        <w:tc>
          <w:tcPr>
            <w:tcW w:w="2127" w:type="dxa"/>
            <w:tcBorders>
              <w:top w:val="nil"/>
              <w:left w:val="nil"/>
              <w:bottom w:val="single" w:sz="8" w:space="0" w:color="auto"/>
              <w:right w:val="single" w:sz="8" w:space="0" w:color="auto"/>
            </w:tcBorders>
          </w:tcPr>
          <w:p w14:paraId="0D9C477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clay loam Woburn</w:t>
            </w:r>
          </w:p>
        </w:tc>
        <w:tc>
          <w:tcPr>
            <w:tcW w:w="567" w:type="dxa"/>
            <w:tcBorders>
              <w:top w:val="nil"/>
              <w:left w:val="nil"/>
              <w:bottom w:val="single" w:sz="8" w:space="0" w:color="auto"/>
              <w:right w:val="single" w:sz="8" w:space="0" w:color="auto"/>
            </w:tcBorders>
          </w:tcPr>
          <w:p w14:paraId="3F6D82B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6.4</w:t>
            </w:r>
          </w:p>
        </w:tc>
        <w:tc>
          <w:tcPr>
            <w:tcW w:w="708" w:type="dxa"/>
            <w:tcBorders>
              <w:top w:val="nil"/>
              <w:left w:val="nil"/>
              <w:bottom w:val="single" w:sz="8" w:space="0" w:color="auto"/>
              <w:right w:val="single" w:sz="8" w:space="0" w:color="auto"/>
            </w:tcBorders>
          </w:tcPr>
          <w:p w14:paraId="673D211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2F2C45E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851" w:type="dxa"/>
            <w:tcBorders>
              <w:top w:val="nil"/>
              <w:left w:val="nil"/>
              <w:bottom w:val="single" w:sz="8" w:space="0" w:color="auto"/>
              <w:right w:val="single" w:sz="8" w:space="0" w:color="auto"/>
            </w:tcBorders>
          </w:tcPr>
          <w:p w14:paraId="5083809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22</w:t>
            </w:r>
          </w:p>
        </w:tc>
        <w:tc>
          <w:tcPr>
            <w:tcW w:w="850" w:type="dxa"/>
            <w:tcBorders>
              <w:top w:val="nil"/>
              <w:left w:val="nil"/>
              <w:bottom w:val="single" w:sz="8" w:space="0" w:color="auto"/>
              <w:right w:val="single" w:sz="8" w:space="0" w:color="auto"/>
            </w:tcBorders>
          </w:tcPr>
          <w:p w14:paraId="5FEA205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23.4</w:t>
            </w:r>
          </w:p>
        </w:tc>
        <w:tc>
          <w:tcPr>
            <w:tcW w:w="992" w:type="dxa"/>
            <w:tcBorders>
              <w:top w:val="nil"/>
              <w:left w:val="nil"/>
              <w:bottom w:val="single" w:sz="8" w:space="0" w:color="auto"/>
              <w:right w:val="single" w:sz="8" w:space="0" w:color="auto"/>
            </w:tcBorders>
          </w:tcPr>
          <w:p w14:paraId="33E7758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851" w:type="dxa"/>
            <w:tcBorders>
              <w:top w:val="single" w:sz="8" w:space="0" w:color="auto"/>
              <w:left w:val="nil"/>
              <w:bottom w:val="single" w:sz="8" w:space="0" w:color="auto"/>
              <w:right w:val="single" w:sz="8" w:space="0" w:color="000000"/>
            </w:tcBorders>
          </w:tcPr>
          <w:p w14:paraId="5193D624"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300</w:t>
            </w:r>
          </w:p>
        </w:tc>
        <w:tc>
          <w:tcPr>
            <w:tcW w:w="992" w:type="dxa"/>
            <w:tcBorders>
              <w:top w:val="nil"/>
              <w:left w:val="nil"/>
              <w:bottom w:val="single" w:sz="8" w:space="0" w:color="auto"/>
              <w:right w:val="single" w:sz="8" w:space="0" w:color="auto"/>
            </w:tcBorders>
          </w:tcPr>
          <w:p w14:paraId="2F8AFBB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01E7971E"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321</w:t>
            </w:r>
          </w:p>
        </w:tc>
        <w:tc>
          <w:tcPr>
            <w:tcW w:w="992" w:type="dxa"/>
            <w:tcBorders>
              <w:top w:val="nil"/>
              <w:left w:val="nil"/>
              <w:bottom w:val="single" w:sz="8" w:space="0" w:color="auto"/>
              <w:right w:val="single" w:sz="12" w:space="0" w:color="auto"/>
            </w:tcBorders>
          </w:tcPr>
          <w:p w14:paraId="2C9D022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1E67C0F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239E8BC2" w14:textId="77777777" w:rsidTr="00A432B0">
        <w:trPr>
          <w:trHeight w:val="64"/>
        </w:trPr>
        <w:tc>
          <w:tcPr>
            <w:tcW w:w="938" w:type="dxa"/>
            <w:tcBorders>
              <w:top w:val="nil"/>
              <w:left w:val="single" w:sz="12" w:space="0" w:color="auto"/>
              <w:bottom w:val="single" w:sz="8" w:space="0" w:color="auto"/>
              <w:right w:val="single" w:sz="8" w:space="0" w:color="auto"/>
            </w:tcBorders>
          </w:tcPr>
          <w:p w14:paraId="028CF85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7520A52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Glucose respiration</w:t>
            </w:r>
          </w:p>
        </w:tc>
        <w:tc>
          <w:tcPr>
            <w:tcW w:w="2127" w:type="dxa"/>
            <w:tcBorders>
              <w:top w:val="nil"/>
              <w:left w:val="nil"/>
              <w:bottom w:val="single" w:sz="8" w:space="0" w:color="auto"/>
              <w:right w:val="single" w:sz="8" w:space="0" w:color="auto"/>
            </w:tcBorders>
          </w:tcPr>
          <w:p w14:paraId="006CD12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Silt loam Ter Munck</w:t>
            </w:r>
          </w:p>
        </w:tc>
        <w:tc>
          <w:tcPr>
            <w:tcW w:w="567" w:type="dxa"/>
            <w:tcBorders>
              <w:top w:val="nil"/>
              <w:left w:val="nil"/>
              <w:bottom w:val="single" w:sz="8" w:space="0" w:color="auto"/>
              <w:right w:val="single" w:sz="8" w:space="0" w:color="auto"/>
            </w:tcBorders>
          </w:tcPr>
          <w:p w14:paraId="69A11CB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6.8</w:t>
            </w:r>
          </w:p>
        </w:tc>
        <w:tc>
          <w:tcPr>
            <w:tcW w:w="708" w:type="dxa"/>
            <w:tcBorders>
              <w:top w:val="nil"/>
              <w:left w:val="nil"/>
              <w:bottom w:val="single" w:sz="8" w:space="0" w:color="auto"/>
              <w:right w:val="single" w:sz="8" w:space="0" w:color="auto"/>
            </w:tcBorders>
          </w:tcPr>
          <w:p w14:paraId="64D8486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1.6</w:t>
            </w:r>
          </w:p>
        </w:tc>
        <w:tc>
          <w:tcPr>
            <w:tcW w:w="709" w:type="dxa"/>
            <w:tcBorders>
              <w:top w:val="nil"/>
              <w:left w:val="nil"/>
              <w:bottom w:val="single" w:sz="8" w:space="0" w:color="auto"/>
              <w:right w:val="single" w:sz="8" w:space="0" w:color="auto"/>
            </w:tcBorders>
          </w:tcPr>
          <w:p w14:paraId="585DFF7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w:t>
            </w:r>
          </w:p>
        </w:tc>
        <w:tc>
          <w:tcPr>
            <w:tcW w:w="851" w:type="dxa"/>
            <w:tcBorders>
              <w:top w:val="nil"/>
              <w:left w:val="nil"/>
              <w:bottom w:val="single" w:sz="8" w:space="0" w:color="auto"/>
              <w:right w:val="single" w:sz="8" w:space="0" w:color="auto"/>
            </w:tcBorders>
          </w:tcPr>
          <w:p w14:paraId="291D671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22</w:t>
            </w:r>
          </w:p>
        </w:tc>
        <w:tc>
          <w:tcPr>
            <w:tcW w:w="850" w:type="dxa"/>
            <w:tcBorders>
              <w:top w:val="nil"/>
              <w:left w:val="nil"/>
              <w:bottom w:val="single" w:sz="8" w:space="0" w:color="auto"/>
              <w:right w:val="single" w:sz="8" w:space="0" w:color="auto"/>
            </w:tcBorders>
          </w:tcPr>
          <w:p w14:paraId="6808E3C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8.9</w:t>
            </w:r>
          </w:p>
        </w:tc>
        <w:tc>
          <w:tcPr>
            <w:tcW w:w="992" w:type="dxa"/>
            <w:tcBorders>
              <w:top w:val="nil"/>
              <w:left w:val="nil"/>
              <w:bottom w:val="single" w:sz="8" w:space="0" w:color="auto"/>
              <w:right w:val="single" w:sz="8" w:space="0" w:color="auto"/>
            </w:tcBorders>
          </w:tcPr>
          <w:p w14:paraId="38171DE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851" w:type="dxa"/>
            <w:tcBorders>
              <w:top w:val="single" w:sz="8" w:space="0" w:color="auto"/>
              <w:left w:val="nil"/>
              <w:bottom w:val="single" w:sz="8" w:space="0" w:color="auto"/>
              <w:right w:val="single" w:sz="8" w:space="0" w:color="000000"/>
            </w:tcBorders>
          </w:tcPr>
          <w:p w14:paraId="69E26A13"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50</w:t>
            </w:r>
          </w:p>
        </w:tc>
        <w:tc>
          <w:tcPr>
            <w:tcW w:w="992" w:type="dxa"/>
            <w:tcBorders>
              <w:top w:val="nil"/>
              <w:left w:val="nil"/>
              <w:bottom w:val="single" w:sz="8" w:space="0" w:color="auto"/>
              <w:right w:val="single" w:sz="8" w:space="0" w:color="auto"/>
            </w:tcBorders>
          </w:tcPr>
          <w:p w14:paraId="2E0C483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283B8D13"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72</w:t>
            </w:r>
          </w:p>
        </w:tc>
        <w:tc>
          <w:tcPr>
            <w:tcW w:w="992" w:type="dxa"/>
            <w:tcBorders>
              <w:top w:val="nil"/>
              <w:left w:val="nil"/>
              <w:bottom w:val="single" w:sz="8" w:space="0" w:color="auto"/>
              <w:right w:val="single" w:sz="12" w:space="0" w:color="auto"/>
            </w:tcBorders>
          </w:tcPr>
          <w:p w14:paraId="0F9FC7A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7FBA280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36EEC252" w14:textId="77777777" w:rsidTr="00A432B0">
        <w:trPr>
          <w:trHeight w:val="64"/>
        </w:trPr>
        <w:tc>
          <w:tcPr>
            <w:tcW w:w="938" w:type="dxa"/>
            <w:tcBorders>
              <w:top w:val="nil"/>
              <w:left w:val="single" w:sz="12" w:space="0" w:color="auto"/>
              <w:bottom w:val="single" w:sz="8" w:space="0" w:color="auto"/>
              <w:right w:val="single" w:sz="8" w:space="0" w:color="auto"/>
            </w:tcBorders>
          </w:tcPr>
          <w:p w14:paraId="146444A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65AA96D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Glucose respiration</w:t>
            </w:r>
          </w:p>
        </w:tc>
        <w:tc>
          <w:tcPr>
            <w:tcW w:w="2127" w:type="dxa"/>
            <w:tcBorders>
              <w:top w:val="nil"/>
              <w:left w:val="nil"/>
              <w:bottom w:val="single" w:sz="8" w:space="0" w:color="auto"/>
              <w:right w:val="single" w:sz="8" w:space="0" w:color="auto"/>
            </w:tcBorders>
          </w:tcPr>
          <w:p w14:paraId="5C692CE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Silt clay loam Vault de Lugny</w:t>
            </w:r>
          </w:p>
        </w:tc>
        <w:tc>
          <w:tcPr>
            <w:tcW w:w="567" w:type="dxa"/>
            <w:tcBorders>
              <w:top w:val="nil"/>
              <w:left w:val="nil"/>
              <w:bottom w:val="single" w:sz="8" w:space="0" w:color="auto"/>
              <w:right w:val="single" w:sz="8" w:space="0" w:color="auto"/>
            </w:tcBorders>
          </w:tcPr>
          <w:p w14:paraId="49EBF38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7.3</w:t>
            </w:r>
          </w:p>
        </w:tc>
        <w:tc>
          <w:tcPr>
            <w:tcW w:w="708" w:type="dxa"/>
            <w:tcBorders>
              <w:top w:val="nil"/>
              <w:left w:val="nil"/>
              <w:bottom w:val="single" w:sz="8" w:space="0" w:color="auto"/>
              <w:right w:val="single" w:sz="8" w:space="0" w:color="auto"/>
            </w:tcBorders>
          </w:tcPr>
          <w:p w14:paraId="7BEB686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2.3</w:t>
            </w:r>
          </w:p>
        </w:tc>
        <w:tc>
          <w:tcPr>
            <w:tcW w:w="709" w:type="dxa"/>
            <w:tcBorders>
              <w:top w:val="nil"/>
              <w:left w:val="nil"/>
              <w:bottom w:val="single" w:sz="8" w:space="0" w:color="auto"/>
              <w:right w:val="single" w:sz="8" w:space="0" w:color="auto"/>
            </w:tcBorders>
          </w:tcPr>
          <w:p w14:paraId="1111EF4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38</w:t>
            </w:r>
          </w:p>
        </w:tc>
        <w:tc>
          <w:tcPr>
            <w:tcW w:w="851" w:type="dxa"/>
            <w:tcBorders>
              <w:top w:val="nil"/>
              <w:left w:val="nil"/>
              <w:bottom w:val="single" w:sz="8" w:space="0" w:color="auto"/>
              <w:right w:val="single" w:sz="8" w:space="0" w:color="auto"/>
            </w:tcBorders>
          </w:tcPr>
          <w:p w14:paraId="7815039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850" w:type="dxa"/>
            <w:tcBorders>
              <w:top w:val="nil"/>
              <w:left w:val="nil"/>
              <w:bottom w:val="single" w:sz="8" w:space="0" w:color="auto"/>
              <w:right w:val="single" w:sz="8" w:space="0" w:color="auto"/>
            </w:tcBorders>
          </w:tcPr>
          <w:p w14:paraId="59382D7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26.2</w:t>
            </w:r>
          </w:p>
        </w:tc>
        <w:tc>
          <w:tcPr>
            <w:tcW w:w="992" w:type="dxa"/>
            <w:tcBorders>
              <w:top w:val="nil"/>
              <w:left w:val="nil"/>
              <w:bottom w:val="single" w:sz="8" w:space="0" w:color="auto"/>
              <w:right w:val="single" w:sz="8" w:space="0" w:color="auto"/>
            </w:tcBorders>
          </w:tcPr>
          <w:p w14:paraId="5B353E9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851" w:type="dxa"/>
            <w:tcBorders>
              <w:top w:val="single" w:sz="8" w:space="0" w:color="auto"/>
              <w:left w:val="nil"/>
              <w:bottom w:val="single" w:sz="8" w:space="0" w:color="auto"/>
              <w:right w:val="single" w:sz="8" w:space="0" w:color="000000"/>
            </w:tcBorders>
          </w:tcPr>
          <w:p w14:paraId="24B00E10"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102</w:t>
            </w:r>
          </w:p>
        </w:tc>
        <w:tc>
          <w:tcPr>
            <w:tcW w:w="992" w:type="dxa"/>
            <w:tcBorders>
              <w:top w:val="nil"/>
              <w:left w:val="nil"/>
              <w:bottom w:val="single" w:sz="8" w:space="0" w:color="auto"/>
              <w:right w:val="single" w:sz="8" w:space="0" w:color="auto"/>
            </w:tcBorders>
          </w:tcPr>
          <w:p w14:paraId="11184D6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6C5E8790"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123</w:t>
            </w:r>
          </w:p>
        </w:tc>
        <w:tc>
          <w:tcPr>
            <w:tcW w:w="992" w:type="dxa"/>
            <w:tcBorders>
              <w:top w:val="nil"/>
              <w:left w:val="nil"/>
              <w:bottom w:val="single" w:sz="8" w:space="0" w:color="auto"/>
              <w:right w:val="single" w:sz="12" w:space="0" w:color="auto"/>
            </w:tcBorders>
          </w:tcPr>
          <w:p w14:paraId="0183980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306BE9A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4BDCE198" w14:textId="77777777" w:rsidTr="00A432B0">
        <w:trPr>
          <w:trHeight w:val="64"/>
        </w:trPr>
        <w:tc>
          <w:tcPr>
            <w:tcW w:w="938" w:type="dxa"/>
            <w:tcBorders>
              <w:top w:val="nil"/>
              <w:left w:val="single" w:sz="12" w:space="0" w:color="auto"/>
              <w:bottom w:val="single" w:sz="8" w:space="0" w:color="auto"/>
              <w:right w:val="single" w:sz="8" w:space="0" w:color="auto"/>
            </w:tcBorders>
          </w:tcPr>
          <w:p w14:paraId="00A19A4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52A910F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Glucose respiration</w:t>
            </w:r>
          </w:p>
        </w:tc>
        <w:tc>
          <w:tcPr>
            <w:tcW w:w="2127" w:type="dxa"/>
            <w:tcBorders>
              <w:top w:val="nil"/>
              <w:left w:val="nil"/>
              <w:bottom w:val="single" w:sz="8" w:space="0" w:color="auto"/>
              <w:right w:val="single" w:sz="8" w:space="0" w:color="auto"/>
            </w:tcBorders>
          </w:tcPr>
          <w:p w14:paraId="3AFC351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Silt clay loam Rots</w:t>
            </w:r>
          </w:p>
        </w:tc>
        <w:tc>
          <w:tcPr>
            <w:tcW w:w="567" w:type="dxa"/>
            <w:tcBorders>
              <w:top w:val="nil"/>
              <w:left w:val="nil"/>
              <w:bottom w:val="single" w:sz="8" w:space="0" w:color="auto"/>
              <w:right w:val="single" w:sz="8" w:space="0" w:color="auto"/>
            </w:tcBorders>
          </w:tcPr>
          <w:p w14:paraId="788D672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7.4</w:t>
            </w:r>
          </w:p>
        </w:tc>
        <w:tc>
          <w:tcPr>
            <w:tcW w:w="708" w:type="dxa"/>
            <w:tcBorders>
              <w:top w:val="nil"/>
              <w:left w:val="nil"/>
              <w:bottom w:val="single" w:sz="8" w:space="0" w:color="auto"/>
              <w:right w:val="single" w:sz="8" w:space="0" w:color="auto"/>
            </w:tcBorders>
          </w:tcPr>
          <w:p w14:paraId="63BA4A8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w:t>
            </w:r>
          </w:p>
        </w:tc>
        <w:tc>
          <w:tcPr>
            <w:tcW w:w="709" w:type="dxa"/>
            <w:tcBorders>
              <w:top w:val="nil"/>
              <w:left w:val="nil"/>
              <w:bottom w:val="single" w:sz="8" w:space="0" w:color="auto"/>
              <w:right w:val="single" w:sz="8" w:space="0" w:color="auto"/>
            </w:tcBorders>
          </w:tcPr>
          <w:p w14:paraId="7CCA32D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27</w:t>
            </w:r>
          </w:p>
        </w:tc>
        <w:tc>
          <w:tcPr>
            <w:tcW w:w="851" w:type="dxa"/>
            <w:tcBorders>
              <w:top w:val="nil"/>
              <w:left w:val="nil"/>
              <w:bottom w:val="single" w:sz="8" w:space="0" w:color="auto"/>
              <w:right w:val="single" w:sz="8" w:space="0" w:color="auto"/>
            </w:tcBorders>
          </w:tcPr>
          <w:p w14:paraId="740CA64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w:t>
            </w:r>
          </w:p>
        </w:tc>
        <w:tc>
          <w:tcPr>
            <w:tcW w:w="850" w:type="dxa"/>
            <w:tcBorders>
              <w:top w:val="nil"/>
              <w:left w:val="nil"/>
              <w:bottom w:val="single" w:sz="8" w:space="0" w:color="auto"/>
              <w:right w:val="single" w:sz="8" w:space="0" w:color="auto"/>
            </w:tcBorders>
          </w:tcPr>
          <w:p w14:paraId="2455270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20</w:t>
            </w:r>
          </w:p>
        </w:tc>
        <w:tc>
          <w:tcPr>
            <w:tcW w:w="992" w:type="dxa"/>
            <w:tcBorders>
              <w:top w:val="nil"/>
              <w:left w:val="nil"/>
              <w:bottom w:val="single" w:sz="8" w:space="0" w:color="auto"/>
              <w:right w:val="single" w:sz="8" w:space="0" w:color="auto"/>
            </w:tcBorders>
          </w:tcPr>
          <w:p w14:paraId="71C6000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851" w:type="dxa"/>
            <w:tcBorders>
              <w:top w:val="single" w:sz="8" w:space="0" w:color="auto"/>
              <w:left w:val="nil"/>
              <w:bottom w:val="single" w:sz="8" w:space="0" w:color="auto"/>
              <w:right w:val="single" w:sz="8" w:space="0" w:color="000000"/>
            </w:tcBorders>
          </w:tcPr>
          <w:p w14:paraId="53FC860E"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200</w:t>
            </w:r>
          </w:p>
        </w:tc>
        <w:tc>
          <w:tcPr>
            <w:tcW w:w="992" w:type="dxa"/>
            <w:tcBorders>
              <w:top w:val="nil"/>
              <w:left w:val="nil"/>
              <w:bottom w:val="single" w:sz="8" w:space="0" w:color="auto"/>
              <w:right w:val="single" w:sz="8" w:space="0" w:color="auto"/>
            </w:tcBorders>
          </w:tcPr>
          <w:p w14:paraId="19AF9BD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00F9FE91"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214</w:t>
            </w:r>
          </w:p>
        </w:tc>
        <w:tc>
          <w:tcPr>
            <w:tcW w:w="992" w:type="dxa"/>
            <w:tcBorders>
              <w:top w:val="nil"/>
              <w:left w:val="nil"/>
              <w:bottom w:val="single" w:sz="8" w:space="0" w:color="auto"/>
              <w:right w:val="single" w:sz="12" w:space="0" w:color="auto"/>
            </w:tcBorders>
          </w:tcPr>
          <w:p w14:paraId="11A7BF6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6B663A7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6821942F" w14:textId="77777777" w:rsidTr="00A432B0">
        <w:trPr>
          <w:trHeight w:val="64"/>
        </w:trPr>
        <w:tc>
          <w:tcPr>
            <w:tcW w:w="938" w:type="dxa"/>
            <w:tcBorders>
              <w:top w:val="nil"/>
              <w:left w:val="single" w:sz="12" w:space="0" w:color="auto"/>
              <w:bottom w:val="single" w:sz="8" w:space="0" w:color="auto"/>
              <w:right w:val="single" w:sz="8" w:space="0" w:color="auto"/>
            </w:tcBorders>
          </w:tcPr>
          <w:p w14:paraId="73C7730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459512E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Glucose respiration</w:t>
            </w:r>
          </w:p>
        </w:tc>
        <w:tc>
          <w:tcPr>
            <w:tcW w:w="2127" w:type="dxa"/>
            <w:tcBorders>
              <w:top w:val="nil"/>
              <w:left w:val="nil"/>
              <w:bottom w:val="single" w:sz="8" w:space="0" w:color="auto"/>
              <w:right w:val="single" w:sz="8" w:space="0" w:color="auto"/>
            </w:tcBorders>
          </w:tcPr>
          <w:p w14:paraId="03034B3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Clay Souli II</w:t>
            </w:r>
          </w:p>
        </w:tc>
        <w:tc>
          <w:tcPr>
            <w:tcW w:w="567" w:type="dxa"/>
            <w:tcBorders>
              <w:top w:val="nil"/>
              <w:left w:val="nil"/>
              <w:bottom w:val="single" w:sz="8" w:space="0" w:color="auto"/>
              <w:right w:val="single" w:sz="8" w:space="0" w:color="auto"/>
            </w:tcBorders>
          </w:tcPr>
          <w:p w14:paraId="3068426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7.4</w:t>
            </w:r>
          </w:p>
        </w:tc>
        <w:tc>
          <w:tcPr>
            <w:tcW w:w="708" w:type="dxa"/>
            <w:tcBorders>
              <w:top w:val="nil"/>
              <w:left w:val="nil"/>
              <w:bottom w:val="single" w:sz="8" w:space="0" w:color="auto"/>
              <w:right w:val="single" w:sz="8" w:space="0" w:color="auto"/>
            </w:tcBorders>
          </w:tcPr>
          <w:p w14:paraId="2AC8850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4.2</w:t>
            </w:r>
          </w:p>
        </w:tc>
        <w:tc>
          <w:tcPr>
            <w:tcW w:w="709" w:type="dxa"/>
            <w:tcBorders>
              <w:top w:val="nil"/>
              <w:left w:val="nil"/>
              <w:bottom w:val="single" w:sz="8" w:space="0" w:color="auto"/>
              <w:right w:val="single" w:sz="8" w:space="0" w:color="auto"/>
            </w:tcBorders>
          </w:tcPr>
          <w:p w14:paraId="69A4F21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46</w:t>
            </w:r>
          </w:p>
        </w:tc>
        <w:tc>
          <w:tcPr>
            <w:tcW w:w="851" w:type="dxa"/>
            <w:tcBorders>
              <w:top w:val="nil"/>
              <w:left w:val="nil"/>
              <w:bottom w:val="single" w:sz="8" w:space="0" w:color="auto"/>
              <w:right w:val="single" w:sz="8" w:space="0" w:color="auto"/>
            </w:tcBorders>
          </w:tcPr>
          <w:p w14:paraId="77E8B9F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34</w:t>
            </w:r>
          </w:p>
        </w:tc>
        <w:tc>
          <w:tcPr>
            <w:tcW w:w="850" w:type="dxa"/>
            <w:tcBorders>
              <w:top w:val="nil"/>
              <w:left w:val="nil"/>
              <w:bottom w:val="single" w:sz="8" w:space="0" w:color="auto"/>
              <w:right w:val="single" w:sz="8" w:space="0" w:color="auto"/>
            </w:tcBorders>
          </w:tcPr>
          <w:p w14:paraId="36342A5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36.3</w:t>
            </w:r>
          </w:p>
        </w:tc>
        <w:tc>
          <w:tcPr>
            <w:tcW w:w="992" w:type="dxa"/>
            <w:tcBorders>
              <w:top w:val="nil"/>
              <w:left w:val="nil"/>
              <w:bottom w:val="single" w:sz="8" w:space="0" w:color="auto"/>
              <w:right w:val="single" w:sz="8" w:space="0" w:color="auto"/>
            </w:tcBorders>
          </w:tcPr>
          <w:p w14:paraId="0A4999E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851" w:type="dxa"/>
            <w:tcBorders>
              <w:top w:val="single" w:sz="8" w:space="0" w:color="auto"/>
              <w:left w:val="nil"/>
              <w:bottom w:val="single" w:sz="8" w:space="0" w:color="auto"/>
              <w:right w:val="single" w:sz="8" w:space="0" w:color="000000"/>
            </w:tcBorders>
          </w:tcPr>
          <w:p w14:paraId="44A14F1D"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89</w:t>
            </w:r>
          </w:p>
        </w:tc>
        <w:tc>
          <w:tcPr>
            <w:tcW w:w="992" w:type="dxa"/>
            <w:tcBorders>
              <w:top w:val="nil"/>
              <w:left w:val="nil"/>
              <w:bottom w:val="single" w:sz="8" w:space="0" w:color="auto"/>
              <w:right w:val="single" w:sz="8" w:space="0" w:color="auto"/>
            </w:tcBorders>
          </w:tcPr>
          <w:p w14:paraId="7B64E77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6910E1EC"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123</w:t>
            </w:r>
          </w:p>
        </w:tc>
        <w:tc>
          <w:tcPr>
            <w:tcW w:w="992" w:type="dxa"/>
            <w:tcBorders>
              <w:top w:val="nil"/>
              <w:left w:val="nil"/>
              <w:bottom w:val="single" w:sz="8" w:space="0" w:color="auto"/>
              <w:right w:val="single" w:sz="12" w:space="0" w:color="auto"/>
            </w:tcBorders>
          </w:tcPr>
          <w:p w14:paraId="47B81A5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7CD73BE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45042E66" w14:textId="77777777" w:rsidTr="00A432B0">
        <w:trPr>
          <w:trHeight w:val="64"/>
        </w:trPr>
        <w:tc>
          <w:tcPr>
            <w:tcW w:w="938" w:type="dxa"/>
            <w:tcBorders>
              <w:top w:val="nil"/>
              <w:left w:val="single" w:sz="12" w:space="0" w:color="auto"/>
              <w:bottom w:val="single" w:sz="8" w:space="0" w:color="auto"/>
              <w:right w:val="single" w:sz="8" w:space="0" w:color="auto"/>
            </w:tcBorders>
          </w:tcPr>
          <w:p w14:paraId="6B3EC0B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6175018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Glucose respiration</w:t>
            </w:r>
          </w:p>
        </w:tc>
        <w:tc>
          <w:tcPr>
            <w:tcW w:w="2127" w:type="dxa"/>
            <w:tcBorders>
              <w:top w:val="nil"/>
              <w:left w:val="nil"/>
              <w:bottom w:val="single" w:sz="8" w:space="0" w:color="auto"/>
              <w:right w:val="single" w:sz="8" w:space="0" w:color="auto"/>
            </w:tcBorders>
          </w:tcPr>
          <w:p w14:paraId="60C977D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Silt loam Marknesse</w:t>
            </w:r>
          </w:p>
        </w:tc>
        <w:tc>
          <w:tcPr>
            <w:tcW w:w="567" w:type="dxa"/>
            <w:tcBorders>
              <w:top w:val="nil"/>
              <w:left w:val="nil"/>
              <w:bottom w:val="single" w:sz="8" w:space="0" w:color="auto"/>
              <w:right w:val="single" w:sz="8" w:space="0" w:color="auto"/>
            </w:tcBorders>
          </w:tcPr>
          <w:p w14:paraId="2C06F8A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7.5</w:t>
            </w:r>
          </w:p>
        </w:tc>
        <w:tc>
          <w:tcPr>
            <w:tcW w:w="708" w:type="dxa"/>
            <w:tcBorders>
              <w:top w:val="nil"/>
              <w:left w:val="nil"/>
              <w:bottom w:val="single" w:sz="8" w:space="0" w:color="auto"/>
              <w:right w:val="single" w:sz="8" w:space="0" w:color="auto"/>
            </w:tcBorders>
          </w:tcPr>
          <w:p w14:paraId="227DE31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w:t>
            </w:r>
          </w:p>
        </w:tc>
        <w:tc>
          <w:tcPr>
            <w:tcW w:w="709" w:type="dxa"/>
            <w:tcBorders>
              <w:top w:val="nil"/>
              <w:left w:val="nil"/>
              <w:bottom w:val="single" w:sz="8" w:space="0" w:color="auto"/>
              <w:right w:val="single" w:sz="8" w:space="0" w:color="auto"/>
            </w:tcBorders>
          </w:tcPr>
          <w:p w14:paraId="527D49E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26</w:t>
            </w:r>
          </w:p>
        </w:tc>
        <w:tc>
          <w:tcPr>
            <w:tcW w:w="851" w:type="dxa"/>
            <w:tcBorders>
              <w:top w:val="nil"/>
              <w:left w:val="nil"/>
              <w:bottom w:val="single" w:sz="8" w:space="0" w:color="auto"/>
              <w:right w:val="single" w:sz="8" w:space="0" w:color="auto"/>
            </w:tcBorders>
          </w:tcPr>
          <w:p w14:paraId="2B88583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18</w:t>
            </w:r>
          </w:p>
        </w:tc>
        <w:tc>
          <w:tcPr>
            <w:tcW w:w="850" w:type="dxa"/>
            <w:tcBorders>
              <w:top w:val="nil"/>
              <w:left w:val="nil"/>
              <w:bottom w:val="single" w:sz="8" w:space="0" w:color="auto"/>
              <w:right w:val="single" w:sz="8" w:space="0" w:color="auto"/>
            </w:tcBorders>
          </w:tcPr>
          <w:p w14:paraId="28AD0C2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20.1</w:t>
            </w:r>
          </w:p>
        </w:tc>
        <w:tc>
          <w:tcPr>
            <w:tcW w:w="992" w:type="dxa"/>
            <w:tcBorders>
              <w:top w:val="nil"/>
              <w:left w:val="nil"/>
              <w:bottom w:val="single" w:sz="8" w:space="0" w:color="auto"/>
              <w:right w:val="single" w:sz="8" w:space="0" w:color="auto"/>
            </w:tcBorders>
          </w:tcPr>
          <w:p w14:paraId="11B7E34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851" w:type="dxa"/>
            <w:tcBorders>
              <w:top w:val="single" w:sz="8" w:space="0" w:color="auto"/>
              <w:left w:val="nil"/>
              <w:bottom w:val="single" w:sz="8" w:space="0" w:color="auto"/>
              <w:right w:val="single" w:sz="8" w:space="0" w:color="000000"/>
            </w:tcBorders>
          </w:tcPr>
          <w:p w14:paraId="5697BE1D"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23</w:t>
            </w:r>
          </w:p>
        </w:tc>
        <w:tc>
          <w:tcPr>
            <w:tcW w:w="992" w:type="dxa"/>
            <w:tcBorders>
              <w:top w:val="nil"/>
              <w:left w:val="nil"/>
              <w:bottom w:val="single" w:sz="8" w:space="0" w:color="auto"/>
              <w:right w:val="single" w:sz="8" w:space="0" w:color="auto"/>
            </w:tcBorders>
          </w:tcPr>
          <w:p w14:paraId="166540C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45727E10"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41</w:t>
            </w:r>
          </w:p>
        </w:tc>
        <w:tc>
          <w:tcPr>
            <w:tcW w:w="992" w:type="dxa"/>
            <w:tcBorders>
              <w:top w:val="nil"/>
              <w:left w:val="nil"/>
              <w:bottom w:val="single" w:sz="8" w:space="0" w:color="auto"/>
              <w:right w:val="single" w:sz="12" w:space="0" w:color="auto"/>
            </w:tcBorders>
          </w:tcPr>
          <w:p w14:paraId="545B040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42B56C2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78AB938F" w14:textId="77777777" w:rsidTr="00A432B0">
        <w:trPr>
          <w:trHeight w:val="64"/>
        </w:trPr>
        <w:tc>
          <w:tcPr>
            <w:tcW w:w="938" w:type="dxa"/>
            <w:tcBorders>
              <w:top w:val="nil"/>
              <w:left w:val="single" w:sz="12" w:space="0" w:color="auto"/>
              <w:bottom w:val="single" w:sz="8" w:space="0" w:color="auto"/>
              <w:right w:val="single" w:sz="8" w:space="0" w:color="auto"/>
            </w:tcBorders>
          </w:tcPr>
          <w:p w14:paraId="4C74EB6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3C779AE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Glucose respiration</w:t>
            </w:r>
          </w:p>
        </w:tc>
        <w:tc>
          <w:tcPr>
            <w:tcW w:w="2127" w:type="dxa"/>
            <w:tcBorders>
              <w:top w:val="nil"/>
              <w:left w:val="nil"/>
              <w:bottom w:val="single" w:sz="8" w:space="0" w:color="auto"/>
              <w:right w:val="single" w:sz="8" w:space="0" w:color="auto"/>
            </w:tcBorders>
          </w:tcPr>
          <w:p w14:paraId="537F14A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    Barcelona</w:t>
            </w:r>
          </w:p>
        </w:tc>
        <w:tc>
          <w:tcPr>
            <w:tcW w:w="567" w:type="dxa"/>
            <w:tcBorders>
              <w:top w:val="nil"/>
              <w:left w:val="nil"/>
              <w:bottom w:val="single" w:sz="8" w:space="0" w:color="auto"/>
              <w:right w:val="single" w:sz="8" w:space="0" w:color="auto"/>
            </w:tcBorders>
          </w:tcPr>
          <w:p w14:paraId="4D48C22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7.5</w:t>
            </w:r>
          </w:p>
        </w:tc>
        <w:tc>
          <w:tcPr>
            <w:tcW w:w="708" w:type="dxa"/>
            <w:tcBorders>
              <w:top w:val="nil"/>
              <w:left w:val="nil"/>
              <w:bottom w:val="single" w:sz="8" w:space="0" w:color="auto"/>
              <w:right w:val="single" w:sz="8" w:space="0" w:color="auto"/>
            </w:tcBorders>
          </w:tcPr>
          <w:p w14:paraId="7B4D50C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2.4</w:t>
            </w:r>
          </w:p>
        </w:tc>
        <w:tc>
          <w:tcPr>
            <w:tcW w:w="709" w:type="dxa"/>
            <w:tcBorders>
              <w:top w:val="nil"/>
              <w:left w:val="nil"/>
              <w:bottom w:val="single" w:sz="8" w:space="0" w:color="auto"/>
              <w:right w:val="single" w:sz="8" w:space="0" w:color="auto"/>
            </w:tcBorders>
          </w:tcPr>
          <w:p w14:paraId="60217AE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851" w:type="dxa"/>
            <w:tcBorders>
              <w:top w:val="nil"/>
              <w:left w:val="nil"/>
              <w:bottom w:val="single" w:sz="8" w:space="0" w:color="auto"/>
              <w:right w:val="single" w:sz="8" w:space="0" w:color="auto"/>
            </w:tcBorders>
          </w:tcPr>
          <w:p w14:paraId="7F74ACD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88</w:t>
            </w:r>
          </w:p>
        </w:tc>
        <w:tc>
          <w:tcPr>
            <w:tcW w:w="850" w:type="dxa"/>
            <w:tcBorders>
              <w:top w:val="nil"/>
              <w:left w:val="nil"/>
              <w:bottom w:val="single" w:sz="8" w:space="0" w:color="auto"/>
              <w:right w:val="single" w:sz="8" w:space="0" w:color="auto"/>
            </w:tcBorders>
          </w:tcPr>
          <w:p w14:paraId="3A175B1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14.3</w:t>
            </w:r>
          </w:p>
        </w:tc>
        <w:tc>
          <w:tcPr>
            <w:tcW w:w="992" w:type="dxa"/>
            <w:tcBorders>
              <w:top w:val="nil"/>
              <w:left w:val="nil"/>
              <w:bottom w:val="single" w:sz="8" w:space="0" w:color="auto"/>
              <w:right w:val="single" w:sz="8" w:space="0" w:color="auto"/>
            </w:tcBorders>
          </w:tcPr>
          <w:p w14:paraId="2D0D866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851" w:type="dxa"/>
            <w:tcBorders>
              <w:top w:val="single" w:sz="8" w:space="0" w:color="auto"/>
              <w:left w:val="nil"/>
              <w:bottom w:val="single" w:sz="8" w:space="0" w:color="auto"/>
              <w:right w:val="single" w:sz="8" w:space="0" w:color="000000"/>
            </w:tcBorders>
          </w:tcPr>
          <w:p w14:paraId="7AE9CE1E"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300</w:t>
            </w:r>
          </w:p>
        </w:tc>
        <w:tc>
          <w:tcPr>
            <w:tcW w:w="992" w:type="dxa"/>
            <w:tcBorders>
              <w:top w:val="nil"/>
              <w:left w:val="nil"/>
              <w:bottom w:val="single" w:sz="8" w:space="0" w:color="auto"/>
              <w:right w:val="single" w:sz="8" w:space="0" w:color="auto"/>
            </w:tcBorders>
          </w:tcPr>
          <w:p w14:paraId="769557A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5A5053CB"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388</w:t>
            </w:r>
          </w:p>
        </w:tc>
        <w:tc>
          <w:tcPr>
            <w:tcW w:w="992" w:type="dxa"/>
            <w:tcBorders>
              <w:top w:val="nil"/>
              <w:left w:val="nil"/>
              <w:bottom w:val="single" w:sz="8" w:space="0" w:color="auto"/>
              <w:right w:val="single" w:sz="12" w:space="0" w:color="auto"/>
            </w:tcBorders>
          </w:tcPr>
          <w:p w14:paraId="56AB808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0C6E25C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7F3FC58B" w14:textId="77777777" w:rsidTr="00A432B0">
        <w:trPr>
          <w:trHeight w:val="64"/>
        </w:trPr>
        <w:tc>
          <w:tcPr>
            <w:tcW w:w="938" w:type="dxa"/>
            <w:tcBorders>
              <w:top w:val="nil"/>
              <w:left w:val="single" w:sz="12" w:space="0" w:color="auto"/>
              <w:bottom w:val="single" w:sz="8" w:space="0" w:color="auto"/>
              <w:right w:val="single" w:sz="8" w:space="0" w:color="auto"/>
            </w:tcBorders>
          </w:tcPr>
          <w:p w14:paraId="6948E07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2BD8177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Glucose respiration</w:t>
            </w:r>
          </w:p>
        </w:tc>
        <w:tc>
          <w:tcPr>
            <w:tcW w:w="2127" w:type="dxa"/>
            <w:tcBorders>
              <w:top w:val="nil"/>
              <w:left w:val="nil"/>
              <w:bottom w:val="single" w:sz="8" w:space="0" w:color="auto"/>
              <w:right w:val="single" w:sz="8" w:space="0" w:color="auto"/>
            </w:tcBorders>
          </w:tcPr>
          <w:p w14:paraId="1C08E8B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clay           Brécy</w:t>
            </w:r>
          </w:p>
        </w:tc>
        <w:tc>
          <w:tcPr>
            <w:tcW w:w="567" w:type="dxa"/>
            <w:tcBorders>
              <w:top w:val="nil"/>
              <w:left w:val="nil"/>
              <w:bottom w:val="single" w:sz="8" w:space="0" w:color="auto"/>
              <w:right w:val="single" w:sz="8" w:space="0" w:color="auto"/>
            </w:tcBorders>
          </w:tcPr>
          <w:p w14:paraId="1CD4FFC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7.5</w:t>
            </w:r>
          </w:p>
        </w:tc>
        <w:tc>
          <w:tcPr>
            <w:tcW w:w="708" w:type="dxa"/>
            <w:tcBorders>
              <w:top w:val="nil"/>
              <w:left w:val="nil"/>
              <w:bottom w:val="single" w:sz="8" w:space="0" w:color="auto"/>
              <w:right w:val="single" w:sz="8" w:space="0" w:color="auto"/>
            </w:tcBorders>
          </w:tcPr>
          <w:p w14:paraId="3264ADA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2.4</w:t>
            </w:r>
          </w:p>
        </w:tc>
        <w:tc>
          <w:tcPr>
            <w:tcW w:w="709" w:type="dxa"/>
            <w:tcBorders>
              <w:top w:val="nil"/>
              <w:left w:val="nil"/>
              <w:bottom w:val="single" w:sz="8" w:space="0" w:color="auto"/>
              <w:right w:val="single" w:sz="8" w:space="0" w:color="auto"/>
            </w:tcBorders>
          </w:tcPr>
          <w:p w14:paraId="5B6713B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50</w:t>
            </w:r>
          </w:p>
        </w:tc>
        <w:tc>
          <w:tcPr>
            <w:tcW w:w="851" w:type="dxa"/>
            <w:tcBorders>
              <w:top w:val="nil"/>
              <w:left w:val="nil"/>
              <w:bottom w:val="single" w:sz="8" w:space="0" w:color="auto"/>
              <w:right w:val="single" w:sz="8" w:space="0" w:color="auto"/>
            </w:tcBorders>
          </w:tcPr>
          <w:p w14:paraId="1C6C663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31</w:t>
            </w:r>
          </w:p>
        </w:tc>
        <w:tc>
          <w:tcPr>
            <w:tcW w:w="850" w:type="dxa"/>
            <w:tcBorders>
              <w:top w:val="nil"/>
              <w:left w:val="nil"/>
              <w:bottom w:val="single" w:sz="8" w:space="0" w:color="auto"/>
              <w:right w:val="single" w:sz="8" w:space="0" w:color="auto"/>
            </w:tcBorders>
          </w:tcPr>
          <w:p w14:paraId="0599324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23.5</w:t>
            </w:r>
          </w:p>
        </w:tc>
        <w:tc>
          <w:tcPr>
            <w:tcW w:w="992" w:type="dxa"/>
            <w:tcBorders>
              <w:top w:val="nil"/>
              <w:left w:val="nil"/>
              <w:bottom w:val="single" w:sz="8" w:space="0" w:color="auto"/>
              <w:right w:val="single" w:sz="8" w:space="0" w:color="auto"/>
            </w:tcBorders>
          </w:tcPr>
          <w:p w14:paraId="612B9F4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851" w:type="dxa"/>
            <w:tcBorders>
              <w:top w:val="single" w:sz="8" w:space="0" w:color="auto"/>
              <w:left w:val="nil"/>
              <w:bottom w:val="single" w:sz="8" w:space="0" w:color="auto"/>
              <w:right w:val="single" w:sz="8" w:space="0" w:color="000000"/>
            </w:tcBorders>
          </w:tcPr>
          <w:p w14:paraId="6189F81A"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200</w:t>
            </w:r>
          </w:p>
        </w:tc>
        <w:tc>
          <w:tcPr>
            <w:tcW w:w="992" w:type="dxa"/>
            <w:tcBorders>
              <w:top w:val="nil"/>
              <w:left w:val="nil"/>
              <w:bottom w:val="single" w:sz="8" w:space="0" w:color="auto"/>
              <w:right w:val="single" w:sz="8" w:space="0" w:color="auto"/>
            </w:tcBorders>
          </w:tcPr>
          <w:p w14:paraId="04FFD5B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65B67FE8"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231</w:t>
            </w:r>
          </w:p>
        </w:tc>
        <w:tc>
          <w:tcPr>
            <w:tcW w:w="992" w:type="dxa"/>
            <w:tcBorders>
              <w:top w:val="nil"/>
              <w:left w:val="nil"/>
              <w:bottom w:val="single" w:sz="8" w:space="0" w:color="auto"/>
              <w:right w:val="single" w:sz="12" w:space="0" w:color="auto"/>
            </w:tcBorders>
          </w:tcPr>
          <w:p w14:paraId="2555CA7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6745E3C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2CE88FEE" w14:textId="77777777" w:rsidTr="00A432B0">
        <w:trPr>
          <w:trHeight w:val="64"/>
        </w:trPr>
        <w:tc>
          <w:tcPr>
            <w:tcW w:w="938" w:type="dxa"/>
            <w:tcBorders>
              <w:top w:val="nil"/>
              <w:left w:val="single" w:sz="12" w:space="0" w:color="auto"/>
              <w:bottom w:val="single" w:sz="8" w:space="0" w:color="auto"/>
              <w:right w:val="single" w:sz="8" w:space="0" w:color="auto"/>
            </w:tcBorders>
          </w:tcPr>
          <w:p w14:paraId="4C8A628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73F39B3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Glucose respiration</w:t>
            </w:r>
          </w:p>
        </w:tc>
        <w:tc>
          <w:tcPr>
            <w:tcW w:w="2127" w:type="dxa"/>
            <w:tcBorders>
              <w:top w:val="nil"/>
              <w:left w:val="nil"/>
              <w:bottom w:val="single" w:sz="8" w:space="0" w:color="auto"/>
              <w:right w:val="single" w:sz="8" w:space="0" w:color="auto"/>
            </w:tcBorders>
          </w:tcPr>
          <w:p w14:paraId="63960DE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 Guadalajara</w:t>
            </w:r>
          </w:p>
        </w:tc>
        <w:tc>
          <w:tcPr>
            <w:tcW w:w="567" w:type="dxa"/>
            <w:tcBorders>
              <w:top w:val="nil"/>
              <w:left w:val="nil"/>
              <w:bottom w:val="single" w:sz="8" w:space="0" w:color="auto"/>
              <w:right w:val="single" w:sz="8" w:space="0" w:color="auto"/>
            </w:tcBorders>
          </w:tcPr>
          <w:p w14:paraId="0E9F517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7.5</w:t>
            </w:r>
          </w:p>
        </w:tc>
        <w:tc>
          <w:tcPr>
            <w:tcW w:w="708" w:type="dxa"/>
            <w:tcBorders>
              <w:top w:val="nil"/>
              <w:left w:val="nil"/>
              <w:bottom w:val="single" w:sz="8" w:space="0" w:color="auto"/>
              <w:right w:val="single" w:sz="8" w:space="0" w:color="auto"/>
            </w:tcBorders>
          </w:tcPr>
          <w:p w14:paraId="1105558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0.6</w:t>
            </w:r>
          </w:p>
        </w:tc>
        <w:tc>
          <w:tcPr>
            <w:tcW w:w="709" w:type="dxa"/>
            <w:tcBorders>
              <w:top w:val="nil"/>
              <w:left w:val="nil"/>
              <w:bottom w:val="single" w:sz="8" w:space="0" w:color="auto"/>
              <w:right w:val="single" w:sz="8" w:space="0" w:color="auto"/>
            </w:tcBorders>
          </w:tcPr>
          <w:p w14:paraId="14AF6D0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25</w:t>
            </w:r>
          </w:p>
        </w:tc>
        <w:tc>
          <w:tcPr>
            <w:tcW w:w="851" w:type="dxa"/>
            <w:tcBorders>
              <w:top w:val="nil"/>
              <w:left w:val="nil"/>
              <w:bottom w:val="single" w:sz="8" w:space="0" w:color="auto"/>
              <w:right w:val="single" w:sz="8" w:space="0" w:color="auto"/>
            </w:tcBorders>
          </w:tcPr>
          <w:p w14:paraId="28F6232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850" w:type="dxa"/>
            <w:tcBorders>
              <w:top w:val="nil"/>
              <w:left w:val="nil"/>
              <w:bottom w:val="single" w:sz="8" w:space="0" w:color="auto"/>
              <w:right w:val="single" w:sz="8" w:space="0" w:color="auto"/>
            </w:tcBorders>
          </w:tcPr>
          <w:p w14:paraId="05AF237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16.9</w:t>
            </w:r>
          </w:p>
        </w:tc>
        <w:tc>
          <w:tcPr>
            <w:tcW w:w="992" w:type="dxa"/>
            <w:tcBorders>
              <w:top w:val="nil"/>
              <w:left w:val="nil"/>
              <w:bottom w:val="single" w:sz="8" w:space="0" w:color="auto"/>
              <w:right w:val="single" w:sz="8" w:space="0" w:color="auto"/>
            </w:tcBorders>
          </w:tcPr>
          <w:p w14:paraId="2AF0BB6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851" w:type="dxa"/>
            <w:tcBorders>
              <w:top w:val="single" w:sz="8" w:space="0" w:color="auto"/>
              <w:left w:val="nil"/>
              <w:bottom w:val="single" w:sz="8" w:space="0" w:color="auto"/>
              <w:right w:val="single" w:sz="8" w:space="0" w:color="000000"/>
            </w:tcBorders>
          </w:tcPr>
          <w:p w14:paraId="70529EE8"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50</w:t>
            </w:r>
          </w:p>
        </w:tc>
        <w:tc>
          <w:tcPr>
            <w:tcW w:w="992" w:type="dxa"/>
            <w:tcBorders>
              <w:top w:val="nil"/>
              <w:left w:val="nil"/>
              <w:bottom w:val="single" w:sz="8" w:space="0" w:color="auto"/>
              <w:right w:val="single" w:sz="8" w:space="0" w:color="auto"/>
            </w:tcBorders>
          </w:tcPr>
          <w:p w14:paraId="2CA71C7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21FC20E8"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57</w:t>
            </w:r>
          </w:p>
        </w:tc>
        <w:tc>
          <w:tcPr>
            <w:tcW w:w="992" w:type="dxa"/>
            <w:tcBorders>
              <w:top w:val="nil"/>
              <w:left w:val="nil"/>
              <w:bottom w:val="single" w:sz="8" w:space="0" w:color="auto"/>
              <w:right w:val="single" w:sz="12" w:space="0" w:color="auto"/>
            </w:tcBorders>
          </w:tcPr>
          <w:p w14:paraId="60871AA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3A175A1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7FFB6126" w14:textId="77777777" w:rsidTr="00A432B0">
        <w:trPr>
          <w:trHeight w:val="64"/>
        </w:trPr>
        <w:tc>
          <w:tcPr>
            <w:tcW w:w="938" w:type="dxa"/>
            <w:tcBorders>
              <w:top w:val="nil"/>
              <w:left w:val="single" w:sz="12" w:space="0" w:color="auto"/>
              <w:bottom w:val="single" w:sz="8" w:space="0" w:color="auto"/>
              <w:right w:val="single" w:sz="8" w:space="0" w:color="auto"/>
            </w:tcBorders>
          </w:tcPr>
          <w:p w14:paraId="70E67A4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lastRenderedPageBreak/>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54EE917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Glucose respiration</w:t>
            </w:r>
          </w:p>
        </w:tc>
        <w:tc>
          <w:tcPr>
            <w:tcW w:w="2127" w:type="dxa"/>
            <w:tcBorders>
              <w:top w:val="nil"/>
              <w:left w:val="nil"/>
              <w:bottom w:val="single" w:sz="8" w:space="0" w:color="auto"/>
              <w:right w:val="single" w:sz="8" w:space="0" w:color="auto"/>
            </w:tcBorders>
          </w:tcPr>
          <w:p w14:paraId="5F4F9D1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clay Hygum</w:t>
            </w:r>
          </w:p>
        </w:tc>
        <w:tc>
          <w:tcPr>
            <w:tcW w:w="567" w:type="dxa"/>
            <w:tcBorders>
              <w:top w:val="nil"/>
              <w:left w:val="nil"/>
              <w:bottom w:val="single" w:sz="8" w:space="0" w:color="auto"/>
              <w:right w:val="single" w:sz="8" w:space="0" w:color="auto"/>
            </w:tcBorders>
          </w:tcPr>
          <w:p w14:paraId="0C4AFFF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5.4</w:t>
            </w:r>
          </w:p>
        </w:tc>
        <w:tc>
          <w:tcPr>
            <w:tcW w:w="708" w:type="dxa"/>
            <w:tcBorders>
              <w:top w:val="nil"/>
              <w:left w:val="nil"/>
              <w:bottom w:val="single" w:sz="8" w:space="0" w:color="auto"/>
              <w:right w:val="single" w:sz="8" w:space="0" w:color="auto"/>
            </w:tcBorders>
          </w:tcPr>
          <w:p w14:paraId="344A2A1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3.3</w:t>
            </w:r>
          </w:p>
        </w:tc>
        <w:tc>
          <w:tcPr>
            <w:tcW w:w="709" w:type="dxa"/>
            <w:tcBorders>
              <w:top w:val="nil"/>
              <w:left w:val="nil"/>
              <w:bottom w:val="single" w:sz="8" w:space="0" w:color="auto"/>
              <w:right w:val="single" w:sz="8" w:space="0" w:color="auto"/>
            </w:tcBorders>
          </w:tcPr>
          <w:p w14:paraId="1C3E07F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23</w:t>
            </w:r>
          </w:p>
        </w:tc>
        <w:tc>
          <w:tcPr>
            <w:tcW w:w="851" w:type="dxa"/>
            <w:tcBorders>
              <w:top w:val="nil"/>
              <w:left w:val="nil"/>
              <w:bottom w:val="single" w:sz="8" w:space="0" w:color="auto"/>
              <w:right w:val="single" w:sz="8" w:space="0" w:color="auto"/>
            </w:tcBorders>
          </w:tcPr>
          <w:p w14:paraId="12C3F3A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850" w:type="dxa"/>
            <w:tcBorders>
              <w:top w:val="nil"/>
              <w:left w:val="nil"/>
              <w:bottom w:val="single" w:sz="8" w:space="0" w:color="auto"/>
              <w:right w:val="single" w:sz="8" w:space="0" w:color="auto"/>
            </w:tcBorders>
          </w:tcPr>
          <w:p w14:paraId="0268447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6.7</w:t>
            </w:r>
          </w:p>
        </w:tc>
        <w:tc>
          <w:tcPr>
            <w:tcW w:w="992" w:type="dxa"/>
            <w:tcBorders>
              <w:top w:val="nil"/>
              <w:left w:val="nil"/>
              <w:bottom w:val="single" w:sz="8" w:space="0" w:color="auto"/>
              <w:right w:val="single" w:sz="8" w:space="0" w:color="auto"/>
            </w:tcBorders>
          </w:tcPr>
          <w:p w14:paraId="75172C1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851" w:type="dxa"/>
            <w:tcBorders>
              <w:top w:val="single" w:sz="8" w:space="0" w:color="auto"/>
              <w:left w:val="nil"/>
              <w:bottom w:val="single" w:sz="8" w:space="0" w:color="auto"/>
              <w:right w:val="single" w:sz="8" w:space="0" w:color="000000"/>
            </w:tcBorders>
          </w:tcPr>
          <w:p w14:paraId="15029A24"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170</w:t>
            </w:r>
          </w:p>
        </w:tc>
        <w:tc>
          <w:tcPr>
            <w:tcW w:w="992" w:type="dxa"/>
            <w:tcBorders>
              <w:top w:val="nil"/>
              <w:left w:val="nil"/>
              <w:bottom w:val="single" w:sz="8" w:space="0" w:color="auto"/>
              <w:right w:val="single" w:sz="8" w:space="0" w:color="auto"/>
            </w:tcBorders>
          </w:tcPr>
          <w:p w14:paraId="1FE01B5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73859E49"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191</w:t>
            </w:r>
          </w:p>
        </w:tc>
        <w:tc>
          <w:tcPr>
            <w:tcW w:w="992" w:type="dxa"/>
            <w:tcBorders>
              <w:top w:val="nil"/>
              <w:left w:val="nil"/>
              <w:bottom w:val="single" w:sz="8" w:space="0" w:color="auto"/>
              <w:right w:val="single" w:sz="12" w:space="0" w:color="auto"/>
            </w:tcBorders>
          </w:tcPr>
          <w:p w14:paraId="681653D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3B9C8DD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704EFF63" w14:textId="77777777" w:rsidTr="00A432B0">
        <w:trPr>
          <w:trHeight w:val="64"/>
        </w:trPr>
        <w:tc>
          <w:tcPr>
            <w:tcW w:w="938" w:type="dxa"/>
            <w:tcBorders>
              <w:top w:val="nil"/>
              <w:left w:val="single" w:sz="12" w:space="0" w:color="auto"/>
              <w:bottom w:val="single" w:sz="8" w:space="0" w:color="auto"/>
              <w:right w:val="single" w:sz="8" w:space="0" w:color="auto"/>
            </w:tcBorders>
          </w:tcPr>
          <w:p w14:paraId="69CAF76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2A81E2F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Glucose respiration</w:t>
            </w:r>
          </w:p>
        </w:tc>
        <w:tc>
          <w:tcPr>
            <w:tcW w:w="2127" w:type="dxa"/>
            <w:tcBorders>
              <w:top w:val="nil"/>
              <w:left w:val="nil"/>
              <w:bottom w:val="single" w:sz="8" w:space="0" w:color="auto"/>
              <w:right w:val="single" w:sz="8" w:space="0" w:color="auto"/>
            </w:tcBorders>
          </w:tcPr>
          <w:p w14:paraId="53EDE31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sand  Wageningen A</w:t>
            </w:r>
          </w:p>
        </w:tc>
        <w:tc>
          <w:tcPr>
            <w:tcW w:w="567" w:type="dxa"/>
            <w:tcBorders>
              <w:top w:val="nil"/>
              <w:left w:val="nil"/>
              <w:bottom w:val="single" w:sz="8" w:space="0" w:color="auto"/>
              <w:right w:val="single" w:sz="8" w:space="0" w:color="auto"/>
            </w:tcBorders>
          </w:tcPr>
          <w:p w14:paraId="682CF73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4.3</w:t>
            </w:r>
          </w:p>
        </w:tc>
        <w:tc>
          <w:tcPr>
            <w:tcW w:w="708" w:type="dxa"/>
            <w:tcBorders>
              <w:top w:val="nil"/>
              <w:left w:val="nil"/>
              <w:bottom w:val="single" w:sz="8" w:space="0" w:color="auto"/>
              <w:right w:val="single" w:sz="8" w:space="0" w:color="auto"/>
            </w:tcBorders>
          </w:tcPr>
          <w:p w14:paraId="2015C6D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2.2</w:t>
            </w:r>
          </w:p>
        </w:tc>
        <w:tc>
          <w:tcPr>
            <w:tcW w:w="709" w:type="dxa"/>
            <w:tcBorders>
              <w:top w:val="nil"/>
              <w:left w:val="nil"/>
              <w:bottom w:val="single" w:sz="8" w:space="0" w:color="auto"/>
              <w:right w:val="single" w:sz="8" w:space="0" w:color="auto"/>
            </w:tcBorders>
          </w:tcPr>
          <w:p w14:paraId="7E7ACEB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w:t>
            </w:r>
          </w:p>
        </w:tc>
        <w:tc>
          <w:tcPr>
            <w:tcW w:w="851" w:type="dxa"/>
            <w:tcBorders>
              <w:top w:val="nil"/>
              <w:left w:val="nil"/>
              <w:bottom w:val="single" w:sz="8" w:space="0" w:color="auto"/>
              <w:right w:val="single" w:sz="8" w:space="0" w:color="auto"/>
            </w:tcBorders>
          </w:tcPr>
          <w:p w14:paraId="485A53A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850" w:type="dxa"/>
            <w:tcBorders>
              <w:top w:val="nil"/>
              <w:left w:val="nil"/>
              <w:bottom w:val="single" w:sz="8" w:space="0" w:color="auto"/>
              <w:right w:val="single" w:sz="8" w:space="0" w:color="auto"/>
            </w:tcBorders>
          </w:tcPr>
          <w:p w14:paraId="4C47CE4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1.2</w:t>
            </w:r>
          </w:p>
        </w:tc>
        <w:tc>
          <w:tcPr>
            <w:tcW w:w="992" w:type="dxa"/>
            <w:tcBorders>
              <w:top w:val="nil"/>
              <w:left w:val="nil"/>
              <w:bottom w:val="single" w:sz="8" w:space="0" w:color="auto"/>
              <w:right w:val="single" w:sz="8" w:space="0" w:color="auto"/>
            </w:tcBorders>
          </w:tcPr>
          <w:p w14:paraId="79C0BAB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851" w:type="dxa"/>
            <w:tcBorders>
              <w:top w:val="single" w:sz="8" w:space="0" w:color="auto"/>
              <w:left w:val="nil"/>
              <w:bottom w:val="single" w:sz="8" w:space="0" w:color="auto"/>
              <w:right w:val="single" w:sz="8" w:space="0" w:color="000000"/>
            </w:tcBorders>
          </w:tcPr>
          <w:p w14:paraId="71C7677A"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12</w:t>
            </w:r>
          </w:p>
        </w:tc>
        <w:tc>
          <w:tcPr>
            <w:tcW w:w="992" w:type="dxa"/>
            <w:tcBorders>
              <w:top w:val="nil"/>
              <w:left w:val="nil"/>
              <w:bottom w:val="single" w:sz="8" w:space="0" w:color="auto"/>
              <w:right w:val="single" w:sz="8" w:space="0" w:color="auto"/>
            </w:tcBorders>
          </w:tcPr>
          <w:p w14:paraId="09D9964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7B67DFDC"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31</w:t>
            </w:r>
          </w:p>
        </w:tc>
        <w:tc>
          <w:tcPr>
            <w:tcW w:w="992" w:type="dxa"/>
            <w:tcBorders>
              <w:top w:val="nil"/>
              <w:left w:val="nil"/>
              <w:bottom w:val="single" w:sz="8" w:space="0" w:color="auto"/>
              <w:right w:val="single" w:sz="12" w:space="0" w:color="auto"/>
            </w:tcBorders>
          </w:tcPr>
          <w:p w14:paraId="5B03FD9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4324A80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59E3B80B" w14:textId="77777777" w:rsidTr="00A432B0">
        <w:trPr>
          <w:trHeight w:val="64"/>
        </w:trPr>
        <w:tc>
          <w:tcPr>
            <w:tcW w:w="938" w:type="dxa"/>
            <w:tcBorders>
              <w:top w:val="nil"/>
              <w:left w:val="single" w:sz="12" w:space="0" w:color="auto"/>
              <w:bottom w:val="single" w:sz="8" w:space="0" w:color="auto"/>
              <w:right w:val="single" w:sz="8" w:space="0" w:color="auto"/>
            </w:tcBorders>
          </w:tcPr>
          <w:p w14:paraId="21A879E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5759F71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Glucose respiration</w:t>
            </w:r>
          </w:p>
        </w:tc>
        <w:tc>
          <w:tcPr>
            <w:tcW w:w="2127" w:type="dxa"/>
            <w:tcBorders>
              <w:top w:val="nil"/>
              <w:left w:val="nil"/>
              <w:bottom w:val="single" w:sz="8" w:space="0" w:color="auto"/>
              <w:right w:val="single" w:sz="8" w:space="0" w:color="auto"/>
            </w:tcBorders>
          </w:tcPr>
          <w:p w14:paraId="3168716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sand Wageningen D</w:t>
            </w:r>
          </w:p>
        </w:tc>
        <w:tc>
          <w:tcPr>
            <w:tcW w:w="567" w:type="dxa"/>
            <w:tcBorders>
              <w:top w:val="nil"/>
              <w:left w:val="nil"/>
              <w:bottom w:val="single" w:sz="8" w:space="0" w:color="auto"/>
              <w:right w:val="single" w:sz="8" w:space="0" w:color="auto"/>
            </w:tcBorders>
          </w:tcPr>
          <w:p w14:paraId="0ED3BD5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w:t>
            </w:r>
          </w:p>
        </w:tc>
        <w:tc>
          <w:tcPr>
            <w:tcW w:w="708" w:type="dxa"/>
            <w:tcBorders>
              <w:top w:val="nil"/>
              <w:left w:val="nil"/>
              <w:bottom w:val="single" w:sz="8" w:space="0" w:color="auto"/>
              <w:right w:val="single" w:sz="8" w:space="0" w:color="auto"/>
            </w:tcBorders>
          </w:tcPr>
          <w:p w14:paraId="6C1441B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2.3</w:t>
            </w:r>
          </w:p>
        </w:tc>
        <w:tc>
          <w:tcPr>
            <w:tcW w:w="709" w:type="dxa"/>
            <w:tcBorders>
              <w:top w:val="nil"/>
              <w:left w:val="nil"/>
              <w:bottom w:val="single" w:sz="8" w:space="0" w:color="auto"/>
              <w:right w:val="single" w:sz="8" w:space="0" w:color="auto"/>
            </w:tcBorders>
          </w:tcPr>
          <w:p w14:paraId="60292A3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w:t>
            </w:r>
          </w:p>
        </w:tc>
        <w:tc>
          <w:tcPr>
            <w:tcW w:w="851" w:type="dxa"/>
            <w:tcBorders>
              <w:top w:val="nil"/>
              <w:left w:val="nil"/>
              <w:bottom w:val="single" w:sz="8" w:space="0" w:color="auto"/>
              <w:right w:val="single" w:sz="8" w:space="0" w:color="auto"/>
            </w:tcBorders>
          </w:tcPr>
          <w:p w14:paraId="264691F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850" w:type="dxa"/>
            <w:tcBorders>
              <w:top w:val="nil"/>
              <w:left w:val="nil"/>
              <w:bottom w:val="single" w:sz="8" w:space="0" w:color="auto"/>
              <w:right w:val="single" w:sz="8" w:space="0" w:color="auto"/>
            </w:tcBorders>
          </w:tcPr>
          <w:p w14:paraId="7C5AC43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992" w:type="dxa"/>
            <w:tcBorders>
              <w:top w:val="nil"/>
              <w:left w:val="nil"/>
              <w:bottom w:val="single" w:sz="8" w:space="0" w:color="auto"/>
              <w:right w:val="single" w:sz="8" w:space="0" w:color="auto"/>
            </w:tcBorders>
          </w:tcPr>
          <w:p w14:paraId="4125514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851" w:type="dxa"/>
            <w:tcBorders>
              <w:top w:val="single" w:sz="8" w:space="0" w:color="auto"/>
              <w:left w:val="nil"/>
              <w:bottom w:val="single" w:sz="8" w:space="0" w:color="auto"/>
              <w:right w:val="single" w:sz="8" w:space="0" w:color="000000"/>
            </w:tcBorders>
          </w:tcPr>
          <w:p w14:paraId="4FAB3980"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25</w:t>
            </w:r>
          </w:p>
        </w:tc>
        <w:tc>
          <w:tcPr>
            <w:tcW w:w="992" w:type="dxa"/>
            <w:tcBorders>
              <w:top w:val="nil"/>
              <w:left w:val="nil"/>
              <w:bottom w:val="single" w:sz="8" w:space="0" w:color="auto"/>
              <w:right w:val="single" w:sz="8" w:space="0" w:color="auto"/>
            </w:tcBorders>
          </w:tcPr>
          <w:p w14:paraId="76C9CC3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36AD8A8B"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44</w:t>
            </w:r>
          </w:p>
        </w:tc>
        <w:tc>
          <w:tcPr>
            <w:tcW w:w="992" w:type="dxa"/>
            <w:tcBorders>
              <w:top w:val="nil"/>
              <w:left w:val="nil"/>
              <w:bottom w:val="single" w:sz="8" w:space="0" w:color="auto"/>
              <w:right w:val="single" w:sz="12" w:space="0" w:color="auto"/>
            </w:tcBorders>
          </w:tcPr>
          <w:p w14:paraId="3AA8C18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77141E8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2048F3BF" w14:textId="77777777" w:rsidTr="00A432B0">
        <w:trPr>
          <w:trHeight w:val="64"/>
        </w:trPr>
        <w:tc>
          <w:tcPr>
            <w:tcW w:w="938" w:type="dxa"/>
            <w:tcBorders>
              <w:top w:val="nil"/>
              <w:left w:val="single" w:sz="12" w:space="0" w:color="auto"/>
              <w:bottom w:val="single" w:sz="8" w:space="0" w:color="auto"/>
              <w:right w:val="single" w:sz="8" w:space="0" w:color="auto"/>
            </w:tcBorders>
          </w:tcPr>
          <w:p w14:paraId="1018753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15554BB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Glucose respiration</w:t>
            </w:r>
          </w:p>
        </w:tc>
        <w:tc>
          <w:tcPr>
            <w:tcW w:w="2127" w:type="dxa"/>
            <w:tcBorders>
              <w:top w:val="nil"/>
              <w:left w:val="nil"/>
              <w:bottom w:val="single" w:sz="8" w:space="0" w:color="auto"/>
              <w:right w:val="single" w:sz="8" w:space="0" w:color="auto"/>
            </w:tcBorders>
          </w:tcPr>
          <w:p w14:paraId="0446A70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      Woburn salt</w:t>
            </w:r>
          </w:p>
        </w:tc>
        <w:tc>
          <w:tcPr>
            <w:tcW w:w="567" w:type="dxa"/>
            <w:tcBorders>
              <w:top w:val="nil"/>
              <w:left w:val="nil"/>
              <w:bottom w:val="single" w:sz="8" w:space="0" w:color="auto"/>
              <w:right w:val="single" w:sz="8" w:space="0" w:color="auto"/>
            </w:tcBorders>
          </w:tcPr>
          <w:p w14:paraId="2582F24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6.5</w:t>
            </w:r>
          </w:p>
        </w:tc>
        <w:tc>
          <w:tcPr>
            <w:tcW w:w="708" w:type="dxa"/>
            <w:tcBorders>
              <w:top w:val="nil"/>
              <w:left w:val="nil"/>
              <w:bottom w:val="single" w:sz="8" w:space="0" w:color="auto"/>
              <w:right w:val="single" w:sz="8" w:space="0" w:color="auto"/>
            </w:tcBorders>
          </w:tcPr>
          <w:p w14:paraId="2B94E70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0.2</w:t>
            </w:r>
          </w:p>
        </w:tc>
        <w:tc>
          <w:tcPr>
            <w:tcW w:w="709" w:type="dxa"/>
            <w:tcBorders>
              <w:top w:val="nil"/>
              <w:left w:val="nil"/>
              <w:bottom w:val="single" w:sz="8" w:space="0" w:color="auto"/>
              <w:right w:val="single" w:sz="8" w:space="0" w:color="auto"/>
            </w:tcBorders>
          </w:tcPr>
          <w:p w14:paraId="0A70E17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w:t>
            </w:r>
          </w:p>
        </w:tc>
        <w:tc>
          <w:tcPr>
            <w:tcW w:w="851" w:type="dxa"/>
            <w:tcBorders>
              <w:top w:val="nil"/>
              <w:left w:val="nil"/>
              <w:bottom w:val="single" w:sz="8" w:space="0" w:color="auto"/>
              <w:right w:val="single" w:sz="8" w:space="0" w:color="auto"/>
            </w:tcBorders>
          </w:tcPr>
          <w:p w14:paraId="2785B8B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13</w:t>
            </w:r>
          </w:p>
        </w:tc>
        <w:tc>
          <w:tcPr>
            <w:tcW w:w="850" w:type="dxa"/>
            <w:tcBorders>
              <w:top w:val="nil"/>
              <w:left w:val="nil"/>
              <w:bottom w:val="single" w:sz="8" w:space="0" w:color="auto"/>
              <w:right w:val="single" w:sz="8" w:space="0" w:color="auto"/>
            </w:tcBorders>
          </w:tcPr>
          <w:p w14:paraId="500B35D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8.4</w:t>
            </w:r>
          </w:p>
        </w:tc>
        <w:tc>
          <w:tcPr>
            <w:tcW w:w="992" w:type="dxa"/>
            <w:tcBorders>
              <w:top w:val="nil"/>
              <w:left w:val="nil"/>
              <w:bottom w:val="single" w:sz="8" w:space="0" w:color="auto"/>
              <w:right w:val="single" w:sz="8" w:space="0" w:color="auto"/>
            </w:tcBorders>
          </w:tcPr>
          <w:p w14:paraId="591C72C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851" w:type="dxa"/>
            <w:tcBorders>
              <w:top w:val="single" w:sz="8" w:space="0" w:color="auto"/>
              <w:left w:val="nil"/>
              <w:bottom w:val="single" w:sz="8" w:space="0" w:color="auto"/>
              <w:right w:val="single" w:sz="8" w:space="0" w:color="000000"/>
            </w:tcBorders>
          </w:tcPr>
          <w:p w14:paraId="336B6288"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100</w:t>
            </w:r>
          </w:p>
        </w:tc>
        <w:tc>
          <w:tcPr>
            <w:tcW w:w="992" w:type="dxa"/>
            <w:tcBorders>
              <w:top w:val="nil"/>
              <w:left w:val="nil"/>
              <w:bottom w:val="single" w:sz="8" w:space="0" w:color="auto"/>
              <w:right w:val="single" w:sz="8" w:space="0" w:color="auto"/>
            </w:tcBorders>
          </w:tcPr>
          <w:p w14:paraId="39AFBE0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26198BA7"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113</w:t>
            </w:r>
          </w:p>
        </w:tc>
        <w:tc>
          <w:tcPr>
            <w:tcW w:w="992" w:type="dxa"/>
            <w:tcBorders>
              <w:top w:val="nil"/>
              <w:left w:val="nil"/>
              <w:bottom w:val="single" w:sz="8" w:space="0" w:color="auto"/>
              <w:right w:val="single" w:sz="12" w:space="0" w:color="auto"/>
            </w:tcBorders>
          </w:tcPr>
          <w:p w14:paraId="3D0F443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0DB97EF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7B6FE532" w14:textId="77777777" w:rsidTr="00A432B0">
        <w:trPr>
          <w:trHeight w:val="64"/>
        </w:trPr>
        <w:tc>
          <w:tcPr>
            <w:tcW w:w="938" w:type="dxa"/>
            <w:tcBorders>
              <w:top w:val="nil"/>
              <w:left w:val="single" w:sz="12" w:space="0" w:color="auto"/>
              <w:bottom w:val="single" w:sz="8" w:space="0" w:color="auto"/>
              <w:right w:val="single" w:sz="8" w:space="0" w:color="auto"/>
            </w:tcBorders>
          </w:tcPr>
          <w:p w14:paraId="29BB9F5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1DDC5B8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Glucose respiration</w:t>
            </w:r>
          </w:p>
        </w:tc>
        <w:tc>
          <w:tcPr>
            <w:tcW w:w="2127" w:type="dxa"/>
            <w:tcBorders>
              <w:top w:val="nil"/>
              <w:left w:val="nil"/>
              <w:bottom w:val="single" w:sz="8" w:space="0" w:color="auto"/>
              <w:right w:val="single" w:sz="8" w:space="0" w:color="auto"/>
            </w:tcBorders>
          </w:tcPr>
          <w:p w14:paraId="29AFB66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       Woburn cake</w:t>
            </w:r>
          </w:p>
        </w:tc>
        <w:tc>
          <w:tcPr>
            <w:tcW w:w="567" w:type="dxa"/>
            <w:tcBorders>
              <w:top w:val="nil"/>
              <w:left w:val="nil"/>
              <w:bottom w:val="single" w:sz="8" w:space="0" w:color="auto"/>
              <w:right w:val="single" w:sz="8" w:space="0" w:color="auto"/>
            </w:tcBorders>
          </w:tcPr>
          <w:p w14:paraId="54F5C3B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6.5</w:t>
            </w:r>
          </w:p>
        </w:tc>
        <w:tc>
          <w:tcPr>
            <w:tcW w:w="708" w:type="dxa"/>
            <w:tcBorders>
              <w:top w:val="nil"/>
              <w:left w:val="nil"/>
              <w:bottom w:val="single" w:sz="8" w:space="0" w:color="auto"/>
              <w:right w:val="single" w:sz="8" w:space="0" w:color="auto"/>
            </w:tcBorders>
          </w:tcPr>
          <w:p w14:paraId="7362410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0.3</w:t>
            </w:r>
          </w:p>
        </w:tc>
        <w:tc>
          <w:tcPr>
            <w:tcW w:w="709" w:type="dxa"/>
            <w:tcBorders>
              <w:top w:val="nil"/>
              <w:left w:val="nil"/>
              <w:bottom w:val="single" w:sz="8" w:space="0" w:color="auto"/>
              <w:right w:val="single" w:sz="8" w:space="0" w:color="auto"/>
            </w:tcBorders>
          </w:tcPr>
          <w:p w14:paraId="1B66C6C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w:t>
            </w:r>
          </w:p>
        </w:tc>
        <w:tc>
          <w:tcPr>
            <w:tcW w:w="851" w:type="dxa"/>
            <w:tcBorders>
              <w:top w:val="nil"/>
              <w:left w:val="nil"/>
              <w:bottom w:val="single" w:sz="8" w:space="0" w:color="auto"/>
              <w:right w:val="single" w:sz="8" w:space="0" w:color="auto"/>
            </w:tcBorders>
          </w:tcPr>
          <w:p w14:paraId="50E46A2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35</w:t>
            </w:r>
          </w:p>
        </w:tc>
        <w:tc>
          <w:tcPr>
            <w:tcW w:w="850" w:type="dxa"/>
            <w:tcBorders>
              <w:top w:val="nil"/>
              <w:left w:val="nil"/>
              <w:bottom w:val="single" w:sz="8" w:space="0" w:color="auto"/>
              <w:right w:val="single" w:sz="8" w:space="0" w:color="auto"/>
            </w:tcBorders>
          </w:tcPr>
          <w:p w14:paraId="65CA2EC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11.6</w:t>
            </w:r>
          </w:p>
        </w:tc>
        <w:tc>
          <w:tcPr>
            <w:tcW w:w="992" w:type="dxa"/>
            <w:tcBorders>
              <w:top w:val="nil"/>
              <w:left w:val="nil"/>
              <w:bottom w:val="single" w:sz="8" w:space="0" w:color="auto"/>
              <w:right w:val="single" w:sz="8" w:space="0" w:color="auto"/>
            </w:tcBorders>
          </w:tcPr>
          <w:p w14:paraId="1871F18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w:t>
            </w:r>
          </w:p>
        </w:tc>
        <w:tc>
          <w:tcPr>
            <w:tcW w:w="851" w:type="dxa"/>
            <w:tcBorders>
              <w:top w:val="single" w:sz="8" w:space="0" w:color="auto"/>
              <w:left w:val="nil"/>
              <w:bottom w:val="single" w:sz="8" w:space="0" w:color="auto"/>
              <w:right w:val="single" w:sz="8" w:space="0" w:color="000000"/>
            </w:tcBorders>
          </w:tcPr>
          <w:p w14:paraId="664C4C7E"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27</w:t>
            </w:r>
          </w:p>
        </w:tc>
        <w:tc>
          <w:tcPr>
            <w:tcW w:w="992" w:type="dxa"/>
            <w:tcBorders>
              <w:top w:val="nil"/>
              <w:left w:val="nil"/>
              <w:bottom w:val="single" w:sz="8" w:space="0" w:color="auto"/>
              <w:right w:val="single" w:sz="8" w:space="0" w:color="auto"/>
            </w:tcBorders>
          </w:tcPr>
          <w:p w14:paraId="181F664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07A45A5D"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62</w:t>
            </w:r>
          </w:p>
        </w:tc>
        <w:tc>
          <w:tcPr>
            <w:tcW w:w="992" w:type="dxa"/>
            <w:tcBorders>
              <w:top w:val="nil"/>
              <w:left w:val="nil"/>
              <w:bottom w:val="single" w:sz="8" w:space="0" w:color="auto"/>
              <w:right w:val="single" w:sz="12" w:space="0" w:color="auto"/>
            </w:tcBorders>
          </w:tcPr>
          <w:p w14:paraId="472B52B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6411016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42D4C8E2" w14:textId="77777777" w:rsidTr="00A432B0">
        <w:trPr>
          <w:trHeight w:val="64"/>
        </w:trPr>
        <w:tc>
          <w:tcPr>
            <w:tcW w:w="938" w:type="dxa"/>
            <w:tcBorders>
              <w:top w:val="nil"/>
              <w:left w:val="single" w:sz="12" w:space="0" w:color="auto"/>
              <w:bottom w:val="single" w:sz="8" w:space="0" w:color="auto"/>
              <w:right w:val="single" w:sz="8" w:space="0" w:color="auto"/>
            </w:tcBorders>
          </w:tcPr>
          <w:p w14:paraId="0EB8970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5A86450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Maize respiration</w:t>
            </w:r>
          </w:p>
        </w:tc>
        <w:tc>
          <w:tcPr>
            <w:tcW w:w="2127" w:type="dxa"/>
            <w:tcBorders>
              <w:top w:val="nil"/>
              <w:left w:val="nil"/>
              <w:bottom w:val="single" w:sz="8" w:space="0" w:color="auto"/>
              <w:right w:val="single" w:sz="8" w:space="0" w:color="auto"/>
            </w:tcBorders>
          </w:tcPr>
          <w:p w14:paraId="6C11F4F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sand Gudow</w:t>
            </w:r>
          </w:p>
        </w:tc>
        <w:tc>
          <w:tcPr>
            <w:tcW w:w="567" w:type="dxa"/>
            <w:tcBorders>
              <w:top w:val="nil"/>
              <w:left w:val="nil"/>
              <w:bottom w:val="single" w:sz="8" w:space="0" w:color="auto"/>
              <w:right w:val="single" w:sz="8" w:space="0" w:color="auto"/>
            </w:tcBorders>
          </w:tcPr>
          <w:p w14:paraId="07EF1A5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w:t>
            </w:r>
          </w:p>
        </w:tc>
        <w:tc>
          <w:tcPr>
            <w:tcW w:w="708" w:type="dxa"/>
            <w:tcBorders>
              <w:top w:val="nil"/>
              <w:left w:val="nil"/>
              <w:bottom w:val="single" w:sz="8" w:space="0" w:color="auto"/>
              <w:right w:val="single" w:sz="8" w:space="0" w:color="auto"/>
            </w:tcBorders>
          </w:tcPr>
          <w:p w14:paraId="7AD181F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8.2</w:t>
            </w:r>
          </w:p>
        </w:tc>
        <w:tc>
          <w:tcPr>
            <w:tcW w:w="709" w:type="dxa"/>
            <w:tcBorders>
              <w:top w:val="nil"/>
              <w:left w:val="nil"/>
              <w:bottom w:val="single" w:sz="8" w:space="0" w:color="auto"/>
              <w:right w:val="single" w:sz="8" w:space="0" w:color="auto"/>
            </w:tcBorders>
          </w:tcPr>
          <w:p w14:paraId="5274F50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851" w:type="dxa"/>
            <w:tcBorders>
              <w:top w:val="nil"/>
              <w:left w:val="nil"/>
              <w:bottom w:val="single" w:sz="8" w:space="0" w:color="auto"/>
              <w:right w:val="single" w:sz="8" w:space="0" w:color="auto"/>
            </w:tcBorders>
          </w:tcPr>
          <w:p w14:paraId="6BE985E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w:t>
            </w:r>
          </w:p>
        </w:tc>
        <w:tc>
          <w:tcPr>
            <w:tcW w:w="850" w:type="dxa"/>
            <w:tcBorders>
              <w:top w:val="nil"/>
              <w:left w:val="nil"/>
              <w:bottom w:val="single" w:sz="8" w:space="0" w:color="auto"/>
              <w:right w:val="single" w:sz="8" w:space="0" w:color="auto"/>
            </w:tcBorders>
          </w:tcPr>
          <w:p w14:paraId="78C3DA9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5.8</w:t>
            </w:r>
          </w:p>
        </w:tc>
        <w:tc>
          <w:tcPr>
            <w:tcW w:w="992" w:type="dxa"/>
            <w:tcBorders>
              <w:top w:val="nil"/>
              <w:left w:val="nil"/>
              <w:bottom w:val="single" w:sz="8" w:space="0" w:color="auto"/>
              <w:right w:val="single" w:sz="8" w:space="0" w:color="auto"/>
            </w:tcBorders>
          </w:tcPr>
          <w:p w14:paraId="0CA6D39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851" w:type="dxa"/>
            <w:tcBorders>
              <w:top w:val="single" w:sz="8" w:space="0" w:color="auto"/>
              <w:left w:val="nil"/>
              <w:bottom w:val="single" w:sz="8" w:space="0" w:color="auto"/>
              <w:right w:val="single" w:sz="8" w:space="0" w:color="000000"/>
            </w:tcBorders>
          </w:tcPr>
          <w:p w14:paraId="7710FD62"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2400</w:t>
            </w:r>
          </w:p>
        </w:tc>
        <w:tc>
          <w:tcPr>
            <w:tcW w:w="992" w:type="dxa"/>
            <w:tcBorders>
              <w:top w:val="nil"/>
              <w:left w:val="nil"/>
              <w:bottom w:val="single" w:sz="8" w:space="0" w:color="auto"/>
              <w:right w:val="single" w:sz="8" w:space="0" w:color="auto"/>
            </w:tcBorders>
          </w:tcPr>
          <w:p w14:paraId="61D5802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56A23334"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2402</w:t>
            </w:r>
          </w:p>
        </w:tc>
        <w:tc>
          <w:tcPr>
            <w:tcW w:w="992" w:type="dxa"/>
            <w:tcBorders>
              <w:top w:val="nil"/>
              <w:left w:val="nil"/>
              <w:bottom w:val="single" w:sz="8" w:space="0" w:color="auto"/>
              <w:right w:val="single" w:sz="12" w:space="0" w:color="auto"/>
            </w:tcBorders>
          </w:tcPr>
          <w:p w14:paraId="2793465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57FDE8B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42731871" w14:textId="77777777" w:rsidTr="00A432B0">
        <w:trPr>
          <w:trHeight w:val="201"/>
        </w:trPr>
        <w:tc>
          <w:tcPr>
            <w:tcW w:w="938" w:type="dxa"/>
            <w:tcBorders>
              <w:top w:val="nil"/>
              <w:left w:val="single" w:sz="12" w:space="0" w:color="auto"/>
              <w:bottom w:val="single" w:sz="8" w:space="0" w:color="auto"/>
              <w:right w:val="single" w:sz="8" w:space="0" w:color="auto"/>
            </w:tcBorders>
          </w:tcPr>
          <w:p w14:paraId="782B663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33FDE75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Maize respiration</w:t>
            </w:r>
          </w:p>
        </w:tc>
        <w:tc>
          <w:tcPr>
            <w:tcW w:w="2127" w:type="dxa"/>
            <w:tcBorders>
              <w:top w:val="nil"/>
              <w:left w:val="nil"/>
              <w:bottom w:val="single" w:sz="8" w:space="0" w:color="auto"/>
              <w:right w:val="single" w:sz="8" w:space="0" w:color="auto"/>
            </w:tcBorders>
          </w:tcPr>
          <w:p w14:paraId="2EA18D1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loam Nottingham</w:t>
            </w:r>
          </w:p>
        </w:tc>
        <w:tc>
          <w:tcPr>
            <w:tcW w:w="567" w:type="dxa"/>
            <w:tcBorders>
              <w:top w:val="nil"/>
              <w:left w:val="nil"/>
              <w:bottom w:val="single" w:sz="8" w:space="0" w:color="auto"/>
              <w:right w:val="single" w:sz="8" w:space="0" w:color="auto"/>
            </w:tcBorders>
          </w:tcPr>
          <w:p w14:paraId="06AD741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3.4</w:t>
            </w:r>
          </w:p>
        </w:tc>
        <w:tc>
          <w:tcPr>
            <w:tcW w:w="708" w:type="dxa"/>
            <w:tcBorders>
              <w:top w:val="nil"/>
              <w:left w:val="nil"/>
              <w:bottom w:val="single" w:sz="8" w:space="0" w:color="auto"/>
              <w:right w:val="single" w:sz="8" w:space="0" w:color="auto"/>
            </w:tcBorders>
          </w:tcPr>
          <w:p w14:paraId="474B183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8.3</w:t>
            </w:r>
          </w:p>
        </w:tc>
        <w:tc>
          <w:tcPr>
            <w:tcW w:w="709" w:type="dxa"/>
            <w:tcBorders>
              <w:top w:val="nil"/>
              <w:left w:val="nil"/>
              <w:bottom w:val="single" w:sz="8" w:space="0" w:color="auto"/>
              <w:right w:val="single" w:sz="8" w:space="0" w:color="auto"/>
            </w:tcBorders>
          </w:tcPr>
          <w:p w14:paraId="26ED57A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13</w:t>
            </w:r>
          </w:p>
        </w:tc>
        <w:tc>
          <w:tcPr>
            <w:tcW w:w="851" w:type="dxa"/>
            <w:tcBorders>
              <w:top w:val="nil"/>
              <w:left w:val="nil"/>
              <w:bottom w:val="single" w:sz="8" w:space="0" w:color="auto"/>
              <w:right w:val="single" w:sz="8" w:space="0" w:color="auto"/>
            </w:tcBorders>
          </w:tcPr>
          <w:p w14:paraId="7A48F27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17</w:t>
            </w:r>
          </w:p>
        </w:tc>
        <w:tc>
          <w:tcPr>
            <w:tcW w:w="850" w:type="dxa"/>
            <w:tcBorders>
              <w:top w:val="nil"/>
              <w:left w:val="nil"/>
              <w:bottom w:val="single" w:sz="8" w:space="0" w:color="auto"/>
              <w:right w:val="single" w:sz="8" w:space="0" w:color="auto"/>
            </w:tcBorders>
          </w:tcPr>
          <w:p w14:paraId="5B8BAE8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6.7</w:t>
            </w:r>
          </w:p>
        </w:tc>
        <w:tc>
          <w:tcPr>
            <w:tcW w:w="992" w:type="dxa"/>
            <w:tcBorders>
              <w:top w:val="nil"/>
              <w:left w:val="nil"/>
              <w:bottom w:val="single" w:sz="8" w:space="0" w:color="auto"/>
              <w:right w:val="single" w:sz="8" w:space="0" w:color="auto"/>
            </w:tcBorders>
          </w:tcPr>
          <w:p w14:paraId="18B35A7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851" w:type="dxa"/>
            <w:tcBorders>
              <w:top w:val="single" w:sz="8" w:space="0" w:color="auto"/>
              <w:left w:val="nil"/>
              <w:bottom w:val="single" w:sz="8" w:space="0" w:color="auto"/>
              <w:right w:val="single" w:sz="8" w:space="0" w:color="000000"/>
            </w:tcBorders>
          </w:tcPr>
          <w:p w14:paraId="33A276E0"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1200</w:t>
            </w:r>
          </w:p>
        </w:tc>
        <w:tc>
          <w:tcPr>
            <w:tcW w:w="992" w:type="dxa"/>
            <w:tcBorders>
              <w:top w:val="nil"/>
              <w:left w:val="nil"/>
              <w:bottom w:val="single" w:sz="8" w:space="0" w:color="auto"/>
              <w:right w:val="single" w:sz="8" w:space="0" w:color="auto"/>
            </w:tcBorders>
          </w:tcPr>
          <w:p w14:paraId="7AB73B9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62756C30"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1217</w:t>
            </w:r>
          </w:p>
        </w:tc>
        <w:tc>
          <w:tcPr>
            <w:tcW w:w="992" w:type="dxa"/>
            <w:tcBorders>
              <w:top w:val="nil"/>
              <w:left w:val="nil"/>
              <w:bottom w:val="single" w:sz="8" w:space="0" w:color="auto"/>
              <w:right w:val="single" w:sz="12" w:space="0" w:color="auto"/>
            </w:tcBorders>
          </w:tcPr>
          <w:p w14:paraId="4DC45BF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01089CC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15F5724F" w14:textId="77777777" w:rsidTr="00A432B0">
        <w:trPr>
          <w:trHeight w:val="64"/>
        </w:trPr>
        <w:tc>
          <w:tcPr>
            <w:tcW w:w="938" w:type="dxa"/>
            <w:tcBorders>
              <w:top w:val="nil"/>
              <w:left w:val="single" w:sz="12" w:space="0" w:color="auto"/>
              <w:bottom w:val="single" w:sz="8" w:space="0" w:color="auto"/>
              <w:right w:val="single" w:sz="8" w:space="0" w:color="auto"/>
            </w:tcBorders>
          </w:tcPr>
          <w:p w14:paraId="547D8FF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70084DF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Maize respiration</w:t>
            </w:r>
          </w:p>
        </w:tc>
        <w:tc>
          <w:tcPr>
            <w:tcW w:w="2127" w:type="dxa"/>
            <w:tcBorders>
              <w:top w:val="nil"/>
              <w:left w:val="nil"/>
              <w:bottom w:val="single" w:sz="8" w:space="0" w:color="auto"/>
              <w:right w:val="single" w:sz="8" w:space="0" w:color="auto"/>
            </w:tcBorders>
          </w:tcPr>
          <w:p w14:paraId="09A4042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sand Rhydtalog</w:t>
            </w:r>
          </w:p>
        </w:tc>
        <w:tc>
          <w:tcPr>
            <w:tcW w:w="567" w:type="dxa"/>
            <w:tcBorders>
              <w:top w:val="nil"/>
              <w:left w:val="nil"/>
              <w:bottom w:val="single" w:sz="8" w:space="0" w:color="auto"/>
              <w:right w:val="single" w:sz="8" w:space="0" w:color="auto"/>
            </w:tcBorders>
          </w:tcPr>
          <w:p w14:paraId="743F222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4.2</w:t>
            </w:r>
          </w:p>
        </w:tc>
        <w:tc>
          <w:tcPr>
            <w:tcW w:w="708" w:type="dxa"/>
            <w:tcBorders>
              <w:top w:val="nil"/>
              <w:left w:val="nil"/>
              <w:bottom w:val="single" w:sz="8" w:space="0" w:color="auto"/>
              <w:right w:val="single" w:sz="8" w:space="0" w:color="auto"/>
            </w:tcBorders>
          </w:tcPr>
          <w:p w14:paraId="350E2CE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20.7</w:t>
            </w:r>
          </w:p>
        </w:tc>
        <w:tc>
          <w:tcPr>
            <w:tcW w:w="709" w:type="dxa"/>
            <w:tcBorders>
              <w:top w:val="nil"/>
              <w:left w:val="nil"/>
              <w:bottom w:val="single" w:sz="8" w:space="0" w:color="auto"/>
              <w:right w:val="single" w:sz="8" w:space="0" w:color="auto"/>
            </w:tcBorders>
          </w:tcPr>
          <w:p w14:paraId="7BDD61C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13</w:t>
            </w:r>
          </w:p>
        </w:tc>
        <w:tc>
          <w:tcPr>
            <w:tcW w:w="851" w:type="dxa"/>
            <w:tcBorders>
              <w:top w:val="nil"/>
              <w:left w:val="nil"/>
              <w:bottom w:val="single" w:sz="8" w:space="0" w:color="auto"/>
              <w:right w:val="single" w:sz="8" w:space="0" w:color="auto"/>
            </w:tcBorders>
          </w:tcPr>
          <w:p w14:paraId="76FCCA2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w:t>
            </w:r>
          </w:p>
        </w:tc>
        <w:tc>
          <w:tcPr>
            <w:tcW w:w="850" w:type="dxa"/>
            <w:tcBorders>
              <w:top w:val="nil"/>
              <w:left w:val="nil"/>
              <w:bottom w:val="single" w:sz="8" w:space="0" w:color="auto"/>
              <w:right w:val="single" w:sz="8" w:space="0" w:color="auto"/>
            </w:tcBorders>
          </w:tcPr>
          <w:p w14:paraId="5AE5649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15.2</w:t>
            </w:r>
          </w:p>
        </w:tc>
        <w:tc>
          <w:tcPr>
            <w:tcW w:w="992" w:type="dxa"/>
            <w:tcBorders>
              <w:top w:val="nil"/>
              <w:left w:val="nil"/>
              <w:bottom w:val="single" w:sz="8" w:space="0" w:color="auto"/>
              <w:right w:val="single" w:sz="8" w:space="0" w:color="auto"/>
            </w:tcBorders>
          </w:tcPr>
          <w:p w14:paraId="2D509D8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851" w:type="dxa"/>
            <w:tcBorders>
              <w:top w:val="single" w:sz="8" w:space="0" w:color="auto"/>
              <w:left w:val="nil"/>
              <w:bottom w:val="single" w:sz="8" w:space="0" w:color="auto"/>
              <w:right w:val="single" w:sz="8" w:space="0" w:color="000000"/>
            </w:tcBorders>
          </w:tcPr>
          <w:p w14:paraId="08B8A92D"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1200</w:t>
            </w:r>
          </w:p>
        </w:tc>
        <w:tc>
          <w:tcPr>
            <w:tcW w:w="992" w:type="dxa"/>
            <w:tcBorders>
              <w:top w:val="nil"/>
              <w:left w:val="nil"/>
              <w:bottom w:val="single" w:sz="8" w:space="0" w:color="auto"/>
              <w:right w:val="single" w:sz="8" w:space="0" w:color="auto"/>
            </w:tcBorders>
          </w:tcPr>
          <w:p w14:paraId="2F3EE85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1B64D011"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1214</w:t>
            </w:r>
          </w:p>
        </w:tc>
        <w:tc>
          <w:tcPr>
            <w:tcW w:w="992" w:type="dxa"/>
            <w:tcBorders>
              <w:top w:val="nil"/>
              <w:left w:val="nil"/>
              <w:bottom w:val="single" w:sz="8" w:space="0" w:color="auto"/>
              <w:right w:val="single" w:sz="12" w:space="0" w:color="auto"/>
            </w:tcBorders>
          </w:tcPr>
          <w:p w14:paraId="058EC9F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51E6952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14C3366F" w14:textId="77777777" w:rsidTr="00A432B0">
        <w:trPr>
          <w:trHeight w:val="135"/>
        </w:trPr>
        <w:tc>
          <w:tcPr>
            <w:tcW w:w="938" w:type="dxa"/>
            <w:tcBorders>
              <w:top w:val="nil"/>
              <w:left w:val="single" w:sz="12" w:space="0" w:color="auto"/>
              <w:bottom w:val="single" w:sz="8" w:space="0" w:color="auto"/>
              <w:right w:val="single" w:sz="8" w:space="0" w:color="auto"/>
            </w:tcBorders>
          </w:tcPr>
          <w:p w14:paraId="042EF27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181816F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Maize respiration</w:t>
            </w:r>
          </w:p>
        </w:tc>
        <w:tc>
          <w:tcPr>
            <w:tcW w:w="2127" w:type="dxa"/>
            <w:tcBorders>
              <w:top w:val="nil"/>
              <w:left w:val="nil"/>
              <w:bottom w:val="single" w:sz="8" w:space="0" w:color="auto"/>
              <w:right w:val="single" w:sz="8" w:space="0" w:color="auto"/>
            </w:tcBorders>
          </w:tcPr>
          <w:p w14:paraId="6F36F9B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clay loam Zegveld</w:t>
            </w:r>
          </w:p>
        </w:tc>
        <w:tc>
          <w:tcPr>
            <w:tcW w:w="567" w:type="dxa"/>
            <w:tcBorders>
              <w:top w:val="nil"/>
              <w:left w:val="nil"/>
              <w:bottom w:val="single" w:sz="8" w:space="0" w:color="auto"/>
              <w:right w:val="single" w:sz="8" w:space="0" w:color="auto"/>
            </w:tcBorders>
          </w:tcPr>
          <w:p w14:paraId="2B16F3D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4.7</w:t>
            </w:r>
          </w:p>
        </w:tc>
        <w:tc>
          <w:tcPr>
            <w:tcW w:w="708" w:type="dxa"/>
            <w:tcBorders>
              <w:top w:val="nil"/>
              <w:left w:val="nil"/>
              <w:bottom w:val="single" w:sz="8" w:space="0" w:color="auto"/>
              <w:right w:val="single" w:sz="8" w:space="0" w:color="auto"/>
            </w:tcBorders>
          </w:tcPr>
          <w:p w14:paraId="2A94690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37.3</w:t>
            </w:r>
          </w:p>
        </w:tc>
        <w:tc>
          <w:tcPr>
            <w:tcW w:w="709" w:type="dxa"/>
            <w:tcBorders>
              <w:top w:val="nil"/>
              <w:left w:val="nil"/>
              <w:bottom w:val="single" w:sz="8" w:space="0" w:color="auto"/>
              <w:right w:val="single" w:sz="8" w:space="0" w:color="auto"/>
            </w:tcBorders>
          </w:tcPr>
          <w:p w14:paraId="1A8DEBB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24</w:t>
            </w:r>
          </w:p>
        </w:tc>
        <w:tc>
          <w:tcPr>
            <w:tcW w:w="851" w:type="dxa"/>
            <w:tcBorders>
              <w:top w:val="nil"/>
              <w:left w:val="nil"/>
              <w:bottom w:val="single" w:sz="8" w:space="0" w:color="auto"/>
              <w:right w:val="single" w:sz="8" w:space="0" w:color="auto"/>
            </w:tcBorders>
          </w:tcPr>
          <w:p w14:paraId="519796F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70</w:t>
            </w:r>
          </w:p>
        </w:tc>
        <w:tc>
          <w:tcPr>
            <w:tcW w:w="850" w:type="dxa"/>
            <w:tcBorders>
              <w:top w:val="nil"/>
              <w:left w:val="nil"/>
              <w:bottom w:val="single" w:sz="8" w:space="0" w:color="auto"/>
              <w:right w:val="single" w:sz="8" w:space="0" w:color="auto"/>
            </w:tcBorders>
          </w:tcPr>
          <w:p w14:paraId="3F87DF1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35.3</w:t>
            </w:r>
          </w:p>
        </w:tc>
        <w:tc>
          <w:tcPr>
            <w:tcW w:w="992" w:type="dxa"/>
            <w:tcBorders>
              <w:top w:val="nil"/>
              <w:left w:val="nil"/>
              <w:bottom w:val="single" w:sz="8" w:space="0" w:color="auto"/>
              <w:right w:val="single" w:sz="8" w:space="0" w:color="auto"/>
            </w:tcBorders>
          </w:tcPr>
          <w:p w14:paraId="5A857EB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851" w:type="dxa"/>
            <w:tcBorders>
              <w:top w:val="single" w:sz="8" w:space="0" w:color="auto"/>
              <w:left w:val="nil"/>
              <w:bottom w:val="single" w:sz="8" w:space="0" w:color="auto"/>
              <w:right w:val="single" w:sz="8" w:space="0" w:color="000000"/>
            </w:tcBorders>
          </w:tcPr>
          <w:p w14:paraId="4E5C2A9F"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300</w:t>
            </w:r>
          </w:p>
        </w:tc>
        <w:tc>
          <w:tcPr>
            <w:tcW w:w="992" w:type="dxa"/>
            <w:tcBorders>
              <w:top w:val="nil"/>
              <w:left w:val="nil"/>
              <w:bottom w:val="single" w:sz="8" w:space="0" w:color="auto"/>
              <w:right w:val="single" w:sz="8" w:space="0" w:color="auto"/>
            </w:tcBorders>
          </w:tcPr>
          <w:p w14:paraId="40DBE94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4F92437B"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370</w:t>
            </w:r>
          </w:p>
        </w:tc>
        <w:tc>
          <w:tcPr>
            <w:tcW w:w="992" w:type="dxa"/>
            <w:tcBorders>
              <w:top w:val="nil"/>
              <w:left w:val="nil"/>
              <w:bottom w:val="single" w:sz="8" w:space="0" w:color="auto"/>
              <w:right w:val="single" w:sz="12" w:space="0" w:color="auto"/>
            </w:tcBorders>
          </w:tcPr>
          <w:p w14:paraId="39339FF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0C8CE89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63211EB1" w14:textId="77777777" w:rsidTr="00A432B0">
        <w:trPr>
          <w:trHeight w:val="64"/>
        </w:trPr>
        <w:tc>
          <w:tcPr>
            <w:tcW w:w="938" w:type="dxa"/>
            <w:tcBorders>
              <w:top w:val="nil"/>
              <w:left w:val="single" w:sz="12" w:space="0" w:color="auto"/>
              <w:bottom w:val="single" w:sz="8" w:space="0" w:color="auto"/>
              <w:right w:val="single" w:sz="8" w:space="0" w:color="auto"/>
            </w:tcBorders>
          </w:tcPr>
          <w:p w14:paraId="200BEA7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042D815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Maize respiration</w:t>
            </w:r>
          </w:p>
        </w:tc>
        <w:tc>
          <w:tcPr>
            <w:tcW w:w="2127" w:type="dxa"/>
            <w:tcBorders>
              <w:top w:val="nil"/>
              <w:left w:val="nil"/>
              <w:bottom w:val="single" w:sz="8" w:space="0" w:color="auto"/>
              <w:right w:val="single" w:sz="8" w:space="0" w:color="auto"/>
            </w:tcBorders>
          </w:tcPr>
          <w:p w14:paraId="60C69D7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sand Kovlinge I</w:t>
            </w:r>
          </w:p>
        </w:tc>
        <w:tc>
          <w:tcPr>
            <w:tcW w:w="567" w:type="dxa"/>
            <w:tcBorders>
              <w:top w:val="nil"/>
              <w:left w:val="nil"/>
              <w:bottom w:val="single" w:sz="8" w:space="0" w:color="auto"/>
              <w:right w:val="single" w:sz="8" w:space="0" w:color="auto"/>
            </w:tcBorders>
          </w:tcPr>
          <w:p w14:paraId="3E94FD4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4.8</w:t>
            </w:r>
          </w:p>
        </w:tc>
        <w:tc>
          <w:tcPr>
            <w:tcW w:w="708" w:type="dxa"/>
            <w:tcBorders>
              <w:top w:val="nil"/>
              <w:left w:val="nil"/>
              <w:bottom w:val="single" w:sz="8" w:space="0" w:color="auto"/>
              <w:right w:val="single" w:sz="8" w:space="0" w:color="auto"/>
            </w:tcBorders>
          </w:tcPr>
          <w:p w14:paraId="74C4AAE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2.6</w:t>
            </w:r>
          </w:p>
        </w:tc>
        <w:tc>
          <w:tcPr>
            <w:tcW w:w="709" w:type="dxa"/>
            <w:tcBorders>
              <w:top w:val="nil"/>
              <w:left w:val="nil"/>
              <w:bottom w:val="single" w:sz="8" w:space="0" w:color="auto"/>
              <w:right w:val="single" w:sz="8" w:space="0" w:color="auto"/>
            </w:tcBorders>
          </w:tcPr>
          <w:p w14:paraId="37DE8A7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851" w:type="dxa"/>
            <w:tcBorders>
              <w:top w:val="nil"/>
              <w:left w:val="nil"/>
              <w:bottom w:val="single" w:sz="8" w:space="0" w:color="auto"/>
              <w:right w:val="single" w:sz="8" w:space="0" w:color="auto"/>
            </w:tcBorders>
          </w:tcPr>
          <w:p w14:paraId="6F73940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w:t>
            </w:r>
          </w:p>
        </w:tc>
        <w:tc>
          <w:tcPr>
            <w:tcW w:w="850" w:type="dxa"/>
            <w:tcBorders>
              <w:top w:val="nil"/>
              <w:left w:val="nil"/>
              <w:bottom w:val="single" w:sz="8" w:space="0" w:color="auto"/>
              <w:right w:val="single" w:sz="8" w:space="0" w:color="auto"/>
            </w:tcBorders>
          </w:tcPr>
          <w:p w14:paraId="4002E0B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2.4</w:t>
            </w:r>
          </w:p>
        </w:tc>
        <w:tc>
          <w:tcPr>
            <w:tcW w:w="992" w:type="dxa"/>
            <w:tcBorders>
              <w:top w:val="nil"/>
              <w:left w:val="nil"/>
              <w:bottom w:val="single" w:sz="8" w:space="0" w:color="auto"/>
              <w:right w:val="single" w:sz="8" w:space="0" w:color="auto"/>
            </w:tcBorders>
          </w:tcPr>
          <w:p w14:paraId="4973458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851" w:type="dxa"/>
            <w:tcBorders>
              <w:top w:val="single" w:sz="8" w:space="0" w:color="auto"/>
              <w:left w:val="nil"/>
              <w:bottom w:val="single" w:sz="8" w:space="0" w:color="auto"/>
              <w:right w:val="single" w:sz="8" w:space="0" w:color="000000"/>
            </w:tcBorders>
          </w:tcPr>
          <w:p w14:paraId="663E908C"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50</w:t>
            </w:r>
          </w:p>
        </w:tc>
        <w:tc>
          <w:tcPr>
            <w:tcW w:w="992" w:type="dxa"/>
            <w:tcBorders>
              <w:top w:val="nil"/>
              <w:left w:val="nil"/>
              <w:bottom w:val="single" w:sz="8" w:space="0" w:color="auto"/>
              <w:right w:val="single" w:sz="8" w:space="0" w:color="auto"/>
            </w:tcBorders>
          </w:tcPr>
          <w:p w14:paraId="093C428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67D0C53A"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56</w:t>
            </w:r>
          </w:p>
        </w:tc>
        <w:tc>
          <w:tcPr>
            <w:tcW w:w="992" w:type="dxa"/>
            <w:tcBorders>
              <w:top w:val="nil"/>
              <w:left w:val="nil"/>
              <w:bottom w:val="single" w:sz="8" w:space="0" w:color="auto"/>
              <w:right w:val="single" w:sz="12" w:space="0" w:color="auto"/>
            </w:tcBorders>
          </w:tcPr>
          <w:p w14:paraId="4F2B24E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45337BC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36DB90AA" w14:textId="77777777" w:rsidTr="00A432B0">
        <w:trPr>
          <w:trHeight w:val="64"/>
        </w:trPr>
        <w:tc>
          <w:tcPr>
            <w:tcW w:w="938" w:type="dxa"/>
            <w:tcBorders>
              <w:top w:val="nil"/>
              <w:left w:val="single" w:sz="12" w:space="0" w:color="auto"/>
              <w:bottom w:val="single" w:sz="8" w:space="0" w:color="auto"/>
              <w:right w:val="single" w:sz="8" w:space="0" w:color="auto"/>
            </w:tcBorders>
          </w:tcPr>
          <w:p w14:paraId="08A3677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7FC5CB3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Maize respiration</w:t>
            </w:r>
          </w:p>
        </w:tc>
        <w:tc>
          <w:tcPr>
            <w:tcW w:w="2127" w:type="dxa"/>
            <w:tcBorders>
              <w:top w:val="nil"/>
              <w:left w:val="nil"/>
              <w:bottom w:val="single" w:sz="8" w:space="0" w:color="auto"/>
              <w:right w:val="single" w:sz="8" w:space="0" w:color="auto"/>
            </w:tcBorders>
          </w:tcPr>
          <w:p w14:paraId="6211447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clay Souli II</w:t>
            </w:r>
          </w:p>
        </w:tc>
        <w:tc>
          <w:tcPr>
            <w:tcW w:w="567" w:type="dxa"/>
            <w:tcBorders>
              <w:top w:val="nil"/>
              <w:left w:val="nil"/>
              <w:bottom w:val="single" w:sz="8" w:space="0" w:color="auto"/>
              <w:right w:val="single" w:sz="8" w:space="0" w:color="auto"/>
            </w:tcBorders>
          </w:tcPr>
          <w:p w14:paraId="4B7D24A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4.8</w:t>
            </w:r>
          </w:p>
        </w:tc>
        <w:tc>
          <w:tcPr>
            <w:tcW w:w="708" w:type="dxa"/>
            <w:tcBorders>
              <w:top w:val="nil"/>
              <w:left w:val="nil"/>
              <w:bottom w:val="single" w:sz="8" w:space="0" w:color="auto"/>
              <w:right w:val="single" w:sz="8" w:space="0" w:color="auto"/>
            </w:tcBorders>
          </w:tcPr>
          <w:p w14:paraId="1AF52D0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0.7</w:t>
            </w:r>
          </w:p>
        </w:tc>
        <w:tc>
          <w:tcPr>
            <w:tcW w:w="709" w:type="dxa"/>
            <w:tcBorders>
              <w:top w:val="nil"/>
              <w:left w:val="nil"/>
              <w:bottom w:val="single" w:sz="8" w:space="0" w:color="auto"/>
              <w:right w:val="single" w:sz="8" w:space="0" w:color="auto"/>
            </w:tcBorders>
          </w:tcPr>
          <w:p w14:paraId="4ACD757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38</w:t>
            </w:r>
          </w:p>
        </w:tc>
        <w:tc>
          <w:tcPr>
            <w:tcW w:w="851" w:type="dxa"/>
            <w:tcBorders>
              <w:top w:val="nil"/>
              <w:left w:val="nil"/>
              <w:bottom w:val="single" w:sz="8" w:space="0" w:color="auto"/>
              <w:right w:val="single" w:sz="8" w:space="0" w:color="auto"/>
            </w:tcBorders>
          </w:tcPr>
          <w:p w14:paraId="4720C6E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31</w:t>
            </w:r>
          </w:p>
        </w:tc>
        <w:tc>
          <w:tcPr>
            <w:tcW w:w="850" w:type="dxa"/>
            <w:tcBorders>
              <w:top w:val="nil"/>
              <w:left w:val="nil"/>
              <w:bottom w:val="single" w:sz="8" w:space="0" w:color="auto"/>
              <w:right w:val="single" w:sz="8" w:space="0" w:color="auto"/>
            </w:tcBorders>
          </w:tcPr>
          <w:p w14:paraId="4F7B4FE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11.2</w:t>
            </w:r>
          </w:p>
        </w:tc>
        <w:tc>
          <w:tcPr>
            <w:tcW w:w="992" w:type="dxa"/>
            <w:tcBorders>
              <w:top w:val="nil"/>
              <w:left w:val="nil"/>
              <w:bottom w:val="single" w:sz="8" w:space="0" w:color="auto"/>
              <w:right w:val="single" w:sz="8" w:space="0" w:color="auto"/>
            </w:tcBorders>
          </w:tcPr>
          <w:p w14:paraId="48B43AE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851" w:type="dxa"/>
            <w:tcBorders>
              <w:top w:val="single" w:sz="8" w:space="0" w:color="auto"/>
              <w:left w:val="nil"/>
              <w:bottom w:val="single" w:sz="8" w:space="0" w:color="auto"/>
              <w:right w:val="single" w:sz="8" w:space="0" w:color="000000"/>
            </w:tcBorders>
          </w:tcPr>
          <w:p w14:paraId="4544E41F"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200</w:t>
            </w:r>
          </w:p>
        </w:tc>
        <w:tc>
          <w:tcPr>
            <w:tcW w:w="992" w:type="dxa"/>
            <w:tcBorders>
              <w:top w:val="nil"/>
              <w:left w:val="nil"/>
              <w:bottom w:val="single" w:sz="8" w:space="0" w:color="auto"/>
              <w:right w:val="single" w:sz="8" w:space="0" w:color="auto"/>
            </w:tcBorders>
          </w:tcPr>
          <w:p w14:paraId="7EF04D2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63CDC855"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231</w:t>
            </w:r>
          </w:p>
        </w:tc>
        <w:tc>
          <w:tcPr>
            <w:tcW w:w="992" w:type="dxa"/>
            <w:tcBorders>
              <w:top w:val="nil"/>
              <w:left w:val="nil"/>
              <w:bottom w:val="single" w:sz="8" w:space="0" w:color="auto"/>
              <w:right w:val="single" w:sz="12" w:space="0" w:color="auto"/>
            </w:tcBorders>
          </w:tcPr>
          <w:p w14:paraId="688B510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43AF4AF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63EC3ED7" w14:textId="77777777" w:rsidTr="00A432B0">
        <w:trPr>
          <w:trHeight w:val="64"/>
        </w:trPr>
        <w:tc>
          <w:tcPr>
            <w:tcW w:w="938" w:type="dxa"/>
            <w:tcBorders>
              <w:top w:val="nil"/>
              <w:left w:val="single" w:sz="12" w:space="0" w:color="auto"/>
              <w:bottom w:val="single" w:sz="8" w:space="0" w:color="auto"/>
              <w:right w:val="single" w:sz="8" w:space="0" w:color="auto"/>
            </w:tcBorders>
          </w:tcPr>
          <w:p w14:paraId="2049A6A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448BD0F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Maize respiration</w:t>
            </w:r>
          </w:p>
        </w:tc>
        <w:tc>
          <w:tcPr>
            <w:tcW w:w="2127" w:type="dxa"/>
            <w:tcBorders>
              <w:top w:val="nil"/>
              <w:left w:val="nil"/>
              <w:bottom w:val="single" w:sz="8" w:space="0" w:color="auto"/>
              <w:right w:val="single" w:sz="8" w:space="0" w:color="auto"/>
            </w:tcBorders>
          </w:tcPr>
          <w:p w14:paraId="42DBEA8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loam Kovlinge II</w:t>
            </w:r>
          </w:p>
        </w:tc>
        <w:tc>
          <w:tcPr>
            <w:tcW w:w="567" w:type="dxa"/>
            <w:tcBorders>
              <w:top w:val="nil"/>
              <w:left w:val="nil"/>
              <w:bottom w:val="single" w:sz="8" w:space="0" w:color="auto"/>
              <w:right w:val="single" w:sz="8" w:space="0" w:color="auto"/>
            </w:tcBorders>
          </w:tcPr>
          <w:p w14:paraId="09C0CDE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5.1</w:t>
            </w:r>
          </w:p>
        </w:tc>
        <w:tc>
          <w:tcPr>
            <w:tcW w:w="708" w:type="dxa"/>
            <w:tcBorders>
              <w:top w:val="nil"/>
              <w:left w:val="nil"/>
              <w:bottom w:val="single" w:sz="8" w:space="0" w:color="auto"/>
              <w:right w:val="single" w:sz="8" w:space="0" w:color="auto"/>
            </w:tcBorders>
          </w:tcPr>
          <w:p w14:paraId="44A7EBB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3.8</w:t>
            </w:r>
          </w:p>
        </w:tc>
        <w:tc>
          <w:tcPr>
            <w:tcW w:w="709" w:type="dxa"/>
            <w:tcBorders>
              <w:top w:val="nil"/>
              <w:left w:val="nil"/>
              <w:bottom w:val="single" w:sz="8" w:space="0" w:color="auto"/>
              <w:right w:val="single" w:sz="8" w:space="0" w:color="auto"/>
            </w:tcBorders>
          </w:tcPr>
          <w:p w14:paraId="790B7CC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w:t>
            </w:r>
          </w:p>
        </w:tc>
        <w:tc>
          <w:tcPr>
            <w:tcW w:w="851" w:type="dxa"/>
            <w:tcBorders>
              <w:top w:val="nil"/>
              <w:left w:val="nil"/>
              <w:bottom w:val="single" w:sz="8" w:space="0" w:color="auto"/>
              <w:right w:val="single" w:sz="8" w:space="0" w:color="auto"/>
            </w:tcBorders>
          </w:tcPr>
          <w:p w14:paraId="48C0188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w:t>
            </w:r>
          </w:p>
        </w:tc>
        <w:tc>
          <w:tcPr>
            <w:tcW w:w="850" w:type="dxa"/>
            <w:tcBorders>
              <w:top w:val="nil"/>
              <w:left w:val="nil"/>
              <w:bottom w:val="single" w:sz="8" w:space="0" w:color="auto"/>
              <w:right w:val="single" w:sz="8" w:space="0" w:color="auto"/>
            </w:tcBorders>
          </w:tcPr>
          <w:p w14:paraId="0C7981F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4.7</w:t>
            </w:r>
          </w:p>
        </w:tc>
        <w:tc>
          <w:tcPr>
            <w:tcW w:w="992" w:type="dxa"/>
            <w:tcBorders>
              <w:top w:val="nil"/>
              <w:left w:val="nil"/>
              <w:bottom w:val="single" w:sz="8" w:space="0" w:color="auto"/>
              <w:right w:val="single" w:sz="8" w:space="0" w:color="auto"/>
            </w:tcBorders>
          </w:tcPr>
          <w:p w14:paraId="2C7B4D1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851" w:type="dxa"/>
            <w:tcBorders>
              <w:top w:val="single" w:sz="8" w:space="0" w:color="auto"/>
              <w:left w:val="nil"/>
              <w:bottom w:val="single" w:sz="8" w:space="0" w:color="auto"/>
              <w:right w:val="single" w:sz="8" w:space="0" w:color="000000"/>
            </w:tcBorders>
          </w:tcPr>
          <w:p w14:paraId="1149A1A9"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100</w:t>
            </w:r>
          </w:p>
        </w:tc>
        <w:tc>
          <w:tcPr>
            <w:tcW w:w="992" w:type="dxa"/>
            <w:tcBorders>
              <w:top w:val="nil"/>
              <w:left w:val="nil"/>
              <w:bottom w:val="single" w:sz="8" w:space="0" w:color="auto"/>
              <w:right w:val="single" w:sz="8" w:space="0" w:color="auto"/>
            </w:tcBorders>
          </w:tcPr>
          <w:p w14:paraId="50CB813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2A2A3836"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108</w:t>
            </w:r>
          </w:p>
        </w:tc>
        <w:tc>
          <w:tcPr>
            <w:tcW w:w="992" w:type="dxa"/>
            <w:tcBorders>
              <w:top w:val="nil"/>
              <w:left w:val="nil"/>
              <w:bottom w:val="single" w:sz="8" w:space="0" w:color="auto"/>
              <w:right w:val="single" w:sz="12" w:space="0" w:color="auto"/>
            </w:tcBorders>
          </w:tcPr>
          <w:p w14:paraId="30BB3FC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1A8B0FD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1971046A" w14:textId="77777777" w:rsidTr="00A432B0">
        <w:trPr>
          <w:trHeight w:val="64"/>
        </w:trPr>
        <w:tc>
          <w:tcPr>
            <w:tcW w:w="938" w:type="dxa"/>
            <w:tcBorders>
              <w:top w:val="nil"/>
              <w:left w:val="single" w:sz="12" w:space="0" w:color="auto"/>
              <w:bottom w:val="single" w:sz="8" w:space="0" w:color="auto"/>
              <w:right w:val="single" w:sz="8" w:space="0" w:color="auto"/>
            </w:tcBorders>
          </w:tcPr>
          <w:p w14:paraId="7933A8B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4DDCD39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Maize respiration</w:t>
            </w:r>
          </w:p>
        </w:tc>
        <w:tc>
          <w:tcPr>
            <w:tcW w:w="2127" w:type="dxa"/>
            <w:tcBorders>
              <w:top w:val="nil"/>
              <w:left w:val="nil"/>
              <w:bottom w:val="single" w:sz="8" w:space="0" w:color="auto"/>
              <w:right w:val="single" w:sz="8" w:space="0" w:color="auto"/>
            </w:tcBorders>
          </w:tcPr>
          <w:p w14:paraId="2BAF2B8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sand Montpellier</w:t>
            </w:r>
          </w:p>
        </w:tc>
        <w:tc>
          <w:tcPr>
            <w:tcW w:w="567" w:type="dxa"/>
            <w:tcBorders>
              <w:top w:val="nil"/>
              <w:left w:val="nil"/>
              <w:bottom w:val="single" w:sz="8" w:space="0" w:color="auto"/>
              <w:right w:val="single" w:sz="8" w:space="0" w:color="auto"/>
            </w:tcBorders>
          </w:tcPr>
          <w:p w14:paraId="7A26307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5.2</w:t>
            </w:r>
          </w:p>
        </w:tc>
        <w:tc>
          <w:tcPr>
            <w:tcW w:w="708" w:type="dxa"/>
            <w:tcBorders>
              <w:top w:val="nil"/>
              <w:left w:val="nil"/>
              <w:bottom w:val="single" w:sz="8" w:space="0" w:color="auto"/>
              <w:right w:val="single" w:sz="8" w:space="0" w:color="auto"/>
            </w:tcBorders>
          </w:tcPr>
          <w:p w14:paraId="261EFFB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1.2</w:t>
            </w:r>
          </w:p>
        </w:tc>
        <w:tc>
          <w:tcPr>
            <w:tcW w:w="709" w:type="dxa"/>
            <w:tcBorders>
              <w:top w:val="nil"/>
              <w:left w:val="nil"/>
              <w:bottom w:val="single" w:sz="8" w:space="0" w:color="auto"/>
              <w:right w:val="single" w:sz="8" w:space="0" w:color="auto"/>
            </w:tcBorders>
          </w:tcPr>
          <w:p w14:paraId="0E44839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w:t>
            </w:r>
          </w:p>
        </w:tc>
        <w:tc>
          <w:tcPr>
            <w:tcW w:w="851" w:type="dxa"/>
            <w:tcBorders>
              <w:top w:val="nil"/>
              <w:left w:val="nil"/>
              <w:bottom w:val="single" w:sz="8" w:space="0" w:color="auto"/>
              <w:right w:val="single" w:sz="8" w:space="0" w:color="auto"/>
            </w:tcBorders>
          </w:tcPr>
          <w:p w14:paraId="7578301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w:t>
            </w:r>
          </w:p>
        </w:tc>
        <w:tc>
          <w:tcPr>
            <w:tcW w:w="850" w:type="dxa"/>
            <w:tcBorders>
              <w:top w:val="nil"/>
              <w:left w:val="nil"/>
              <w:bottom w:val="single" w:sz="8" w:space="0" w:color="auto"/>
              <w:right w:val="single" w:sz="8" w:space="0" w:color="auto"/>
            </w:tcBorders>
          </w:tcPr>
          <w:p w14:paraId="1ED990B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2.5</w:t>
            </w:r>
          </w:p>
        </w:tc>
        <w:tc>
          <w:tcPr>
            <w:tcW w:w="992" w:type="dxa"/>
            <w:tcBorders>
              <w:top w:val="nil"/>
              <w:left w:val="nil"/>
              <w:bottom w:val="single" w:sz="8" w:space="0" w:color="auto"/>
              <w:right w:val="single" w:sz="8" w:space="0" w:color="auto"/>
            </w:tcBorders>
          </w:tcPr>
          <w:p w14:paraId="1B9266E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851" w:type="dxa"/>
            <w:tcBorders>
              <w:top w:val="single" w:sz="8" w:space="0" w:color="auto"/>
              <w:left w:val="nil"/>
              <w:bottom w:val="single" w:sz="8" w:space="0" w:color="auto"/>
              <w:right w:val="single" w:sz="8" w:space="0" w:color="000000"/>
            </w:tcBorders>
          </w:tcPr>
          <w:p w14:paraId="5A83316B"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50</w:t>
            </w:r>
          </w:p>
        </w:tc>
        <w:tc>
          <w:tcPr>
            <w:tcW w:w="992" w:type="dxa"/>
            <w:tcBorders>
              <w:top w:val="nil"/>
              <w:left w:val="nil"/>
              <w:bottom w:val="single" w:sz="8" w:space="0" w:color="auto"/>
              <w:right w:val="single" w:sz="8" w:space="0" w:color="auto"/>
            </w:tcBorders>
          </w:tcPr>
          <w:p w14:paraId="760BACD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38F36FB4"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55</w:t>
            </w:r>
          </w:p>
        </w:tc>
        <w:tc>
          <w:tcPr>
            <w:tcW w:w="992" w:type="dxa"/>
            <w:tcBorders>
              <w:top w:val="nil"/>
              <w:left w:val="nil"/>
              <w:bottom w:val="single" w:sz="8" w:space="0" w:color="auto"/>
              <w:right w:val="single" w:sz="12" w:space="0" w:color="auto"/>
            </w:tcBorders>
          </w:tcPr>
          <w:p w14:paraId="6E1128E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235BF27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023EA634" w14:textId="77777777" w:rsidTr="00A432B0">
        <w:trPr>
          <w:trHeight w:val="64"/>
        </w:trPr>
        <w:tc>
          <w:tcPr>
            <w:tcW w:w="938" w:type="dxa"/>
            <w:tcBorders>
              <w:top w:val="nil"/>
              <w:left w:val="single" w:sz="12" w:space="0" w:color="auto"/>
              <w:bottom w:val="single" w:sz="8" w:space="0" w:color="auto"/>
              <w:right w:val="single" w:sz="8" w:space="0" w:color="auto"/>
            </w:tcBorders>
          </w:tcPr>
          <w:p w14:paraId="1FC319C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1AC15EE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Maize respiration</w:t>
            </w:r>
          </w:p>
        </w:tc>
        <w:tc>
          <w:tcPr>
            <w:tcW w:w="2127" w:type="dxa"/>
            <w:tcBorders>
              <w:top w:val="nil"/>
              <w:left w:val="nil"/>
              <w:bottom w:val="single" w:sz="8" w:space="0" w:color="auto"/>
              <w:right w:val="single" w:sz="8" w:space="0" w:color="auto"/>
            </w:tcBorders>
          </w:tcPr>
          <w:p w14:paraId="0763B6A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Clay    Aluminosa</w:t>
            </w:r>
          </w:p>
        </w:tc>
        <w:tc>
          <w:tcPr>
            <w:tcW w:w="567" w:type="dxa"/>
            <w:tcBorders>
              <w:top w:val="nil"/>
              <w:left w:val="nil"/>
              <w:bottom w:val="single" w:sz="8" w:space="0" w:color="auto"/>
              <w:right w:val="single" w:sz="8" w:space="0" w:color="auto"/>
            </w:tcBorders>
          </w:tcPr>
          <w:p w14:paraId="1763684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5.4</w:t>
            </w:r>
          </w:p>
        </w:tc>
        <w:tc>
          <w:tcPr>
            <w:tcW w:w="708" w:type="dxa"/>
            <w:tcBorders>
              <w:top w:val="nil"/>
              <w:left w:val="nil"/>
              <w:bottom w:val="single" w:sz="8" w:space="0" w:color="auto"/>
              <w:right w:val="single" w:sz="8" w:space="0" w:color="auto"/>
            </w:tcBorders>
          </w:tcPr>
          <w:p w14:paraId="5BA55C4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w:t>
            </w:r>
          </w:p>
        </w:tc>
        <w:tc>
          <w:tcPr>
            <w:tcW w:w="709" w:type="dxa"/>
            <w:tcBorders>
              <w:top w:val="nil"/>
              <w:left w:val="nil"/>
              <w:bottom w:val="single" w:sz="8" w:space="0" w:color="auto"/>
              <w:right w:val="single" w:sz="8" w:space="0" w:color="auto"/>
            </w:tcBorders>
          </w:tcPr>
          <w:p w14:paraId="71D2688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51</w:t>
            </w:r>
          </w:p>
        </w:tc>
        <w:tc>
          <w:tcPr>
            <w:tcW w:w="851" w:type="dxa"/>
            <w:tcBorders>
              <w:top w:val="nil"/>
              <w:left w:val="nil"/>
              <w:bottom w:val="single" w:sz="8" w:space="0" w:color="auto"/>
              <w:right w:val="single" w:sz="8" w:space="0" w:color="auto"/>
            </w:tcBorders>
          </w:tcPr>
          <w:p w14:paraId="3002227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850" w:type="dxa"/>
            <w:tcBorders>
              <w:top w:val="nil"/>
              <w:left w:val="nil"/>
              <w:bottom w:val="single" w:sz="8" w:space="0" w:color="auto"/>
              <w:right w:val="single" w:sz="8" w:space="0" w:color="auto"/>
            </w:tcBorders>
          </w:tcPr>
          <w:p w14:paraId="5CF049D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22.6</w:t>
            </w:r>
          </w:p>
        </w:tc>
        <w:tc>
          <w:tcPr>
            <w:tcW w:w="992" w:type="dxa"/>
            <w:tcBorders>
              <w:top w:val="nil"/>
              <w:left w:val="nil"/>
              <w:bottom w:val="single" w:sz="8" w:space="0" w:color="auto"/>
              <w:right w:val="single" w:sz="8" w:space="0" w:color="auto"/>
            </w:tcBorders>
          </w:tcPr>
          <w:p w14:paraId="094E134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851" w:type="dxa"/>
            <w:tcBorders>
              <w:top w:val="single" w:sz="8" w:space="0" w:color="auto"/>
              <w:left w:val="nil"/>
              <w:bottom w:val="single" w:sz="8" w:space="0" w:color="auto"/>
              <w:right w:val="single" w:sz="8" w:space="0" w:color="000000"/>
            </w:tcBorders>
          </w:tcPr>
          <w:p w14:paraId="13455D0A"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400</w:t>
            </w:r>
          </w:p>
        </w:tc>
        <w:tc>
          <w:tcPr>
            <w:tcW w:w="992" w:type="dxa"/>
            <w:tcBorders>
              <w:top w:val="nil"/>
              <w:left w:val="nil"/>
              <w:bottom w:val="single" w:sz="8" w:space="0" w:color="auto"/>
              <w:right w:val="single" w:sz="8" w:space="0" w:color="auto"/>
            </w:tcBorders>
          </w:tcPr>
          <w:p w14:paraId="670EF37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439FFEB7"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421</w:t>
            </w:r>
          </w:p>
        </w:tc>
        <w:tc>
          <w:tcPr>
            <w:tcW w:w="992" w:type="dxa"/>
            <w:tcBorders>
              <w:top w:val="nil"/>
              <w:left w:val="nil"/>
              <w:bottom w:val="single" w:sz="8" w:space="0" w:color="auto"/>
              <w:right w:val="single" w:sz="12" w:space="0" w:color="auto"/>
            </w:tcBorders>
          </w:tcPr>
          <w:p w14:paraId="6BFB996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2E3A00D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6A348ACF" w14:textId="77777777" w:rsidTr="00A432B0">
        <w:trPr>
          <w:trHeight w:val="241"/>
        </w:trPr>
        <w:tc>
          <w:tcPr>
            <w:tcW w:w="938" w:type="dxa"/>
            <w:tcBorders>
              <w:top w:val="nil"/>
              <w:left w:val="single" w:sz="12" w:space="0" w:color="auto"/>
              <w:bottom w:val="single" w:sz="8" w:space="0" w:color="auto"/>
              <w:right w:val="single" w:sz="8" w:space="0" w:color="auto"/>
            </w:tcBorders>
          </w:tcPr>
          <w:p w14:paraId="387ABC8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57A07F1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Maize respiration</w:t>
            </w:r>
          </w:p>
        </w:tc>
        <w:tc>
          <w:tcPr>
            <w:tcW w:w="2127" w:type="dxa"/>
            <w:tcBorders>
              <w:top w:val="nil"/>
              <w:left w:val="nil"/>
              <w:bottom w:val="single" w:sz="8" w:space="0" w:color="auto"/>
              <w:right w:val="single" w:sz="8" w:space="0" w:color="auto"/>
            </w:tcBorders>
          </w:tcPr>
          <w:p w14:paraId="433938C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clay loam      Woburn</w:t>
            </w:r>
          </w:p>
        </w:tc>
        <w:tc>
          <w:tcPr>
            <w:tcW w:w="567" w:type="dxa"/>
            <w:tcBorders>
              <w:top w:val="nil"/>
              <w:left w:val="nil"/>
              <w:bottom w:val="single" w:sz="8" w:space="0" w:color="auto"/>
              <w:right w:val="single" w:sz="8" w:space="0" w:color="auto"/>
            </w:tcBorders>
          </w:tcPr>
          <w:p w14:paraId="054306F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6.4</w:t>
            </w:r>
          </w:p>
        </w:tc>
        <w:tc>
          <w:tcPr>
            <w:tcW w:w="708" w:type="dxa"/>
            <w:tcBorders>
              <w:top w:val="nil"/>
              <w:left w:val="nil"/>
              <w:bottom w:val="single" w:sz="8" w:space="0" w:color="auto"/>
              <w:right w:val="single" w:sz="8" w:space="0" w:color="auto"/>
            </w:tcBorders>
          </w:tcPr>
          <w:p w14:paraId="776E730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w:t>
            </w:r>
          </w:p>
        </w:tc>
        <w:tc>
          <w:tcPr>
            <w:tcW w:w="709" w:type="dxa"/>
            <w:tcBorders>
              <w:top w:val="nil"/>
              <w:left w:val="nil"/>
              <w:bottom w:val="single" w:sz="8" w:space="0" w:color="auto"/>
              <w:right w:val="single" w:sz="8" w:space="0" w:color="auto"/>
            </w:tcBorders>
          </w:tcPr>
          <w:p w14:paraId="633F390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851" w:type="dxa"/>
            <w:tcBorders>
              <w:top w:val="nil"/>
              <w:left w:val="nil"/>
              <w:bottom w:val="single" w:sz="8" w:space="0" w:color="auto"/>
              <w:right w:val="single" w:sz="8" w:space="0" w:color="auto"/>
            </w:tcBorders>
          </w:tcPr>
          <w:p w14:paraId="0B7B434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22</w:t>
            </w:r>
          </w:p>
        </w:tc>
        <w:tc>
          <w:tcPr>
            <w:tcW w:w="850" w:type="dxa"/>
            <w:tcBorders>
              <w:top w:val="nil"/>
              <w:left w:val="nil"/>
              <w:bottom w:val="single" w:sz="8" w:space="0" w:color="auto"/>
              <w:right w:val="single" w:sz="8" w:space="0" w:color="auto"/>
            </w:tcBorders>
          </w:tcPr>
          <w:p w14:paraId="12D0685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23.4</w:t>
            </w:r>
          </w:p>
        </w:tc>
        <w:tc>
          <w:tcPr>
            <w:tcW w:w="992" w:type="dxa"/>
            <w:tcBorders>
              <w:top w:val="nil"/>
              <w:left w:val="nil"/>
              <w:bottom w:val="single" w:sz="8" w:space="0" w:color="auto"/>
              <w:right w:val="single" w:sz="8" w:space="0" w:color="auto"/>
            </w:tcBorders>
          </w:tcPr>
          <w:p w14:paraId="6040776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851" w:type="dxa"/>
            <w:tcBorders>
              <w:top w:val="single" w:sz="8" w:space="0" w:color="auto"/>
              <w:left w:val="nil"/>
              <w:bottom w:val="single" w:sz="8" w:space="0" w:color="auto"/>
              <w:right w:val="single" w:sz="8" w:space="0" w:color="000000"/>
            </w:tcBorders>
          </w:tcPr>
          <w:p w14:paraId="24316610"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150</w:t>
            </w:r>
          </w:p>
        </w:tc>
        <w:tc>
          <w:tcPr>
            <w:tcW w:w="992" w:type="dxa"/>
            <w:tcBorders>
              <w:top w:val="nil"/>
              <w:left w:val="nil"/>
              <w:bottom w:val="single" w:sz="8" w:space="0" w:color="auto"/>
              <w:right w:val="single" w:sz="8" w:space="0" w:color="auto"/>
            </w:tcBorders>
          </w:tcPr>
          <w:p w14:paraId="16253DC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2DBF6CC2"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172</w:t>
            </w:r>
          </w:p>
        </w:tc>
        <w:tc>
          <w:tcPr>
            <w:tcW w:w="992" w:type="dxa"/>
            <w:tcBorders>
              <w:top w:val="nil"/>
              <w:left w:val="nil"/>
              <w:bottom w:val="single" w:sz="8" w:space="0" w:color="auto"/>
              <w:right w:val="single" w:sz="12" w:space="0" w:color="auto"/>
            </w:tcBorders>
          </w:tcPr>
          <w:p w14:paraId="23BC1F2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0304CCE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410F7C1E" w14:textId="77777777" w:rsidTr="00A432B0">
        <w:trPr>
          <w:trHeight w:val="64"/>
        </w:trPr>
        <w:tc>
          <w:tcPr>
            <w:tcW w:w="938" w:type="dxa"/>
            <w:tcBorders>
              <w:top w:val="nil"/>
              <w:left w:val="single" w:sz="12" w:space="0" w:color="auto"/>
              <w:bottom w:val="single" w:sz="8" w:space="0" w:color="auto"/>
              <w:right w:val="single" w:sz="8" w:space="0" w:color="auto"/>
            </w:tcBorders>
          </w:tcPr>
          <w:p w14:paraId="7CBE147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232343D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Maize respiration</w:t>
            </w:r>
          </w:p>
        </w:tc>
        <w:tc>
          <w:tcPr>
            <w:tcW w:w="2127" w:type="dxa"/>
            <w:tcBorders>
              <w:top w:val="nil"/>
              <w:left w:val="nil"/>
              <w:bottom w:val="single" w:sz="8" w:space="0" w:color="auto"/>
              <w:right w:val="single" w:sz="8" w:space="0" w:color="auto"/>
            </w:tcBorders>
          </w:tcPr>
          <w:p w14:paraId="1AED59B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Silt loam        Ter Munck</w:t>
            </w:r>
          </w:p>
        </w:tc>
        <w:tc>
          <w:tcPr>
            <w:tcW w:w="567" w:type="dxa"/>
            <w:tcBorders>
              <w:top w:val="nil"/>
              <w:left w:val="nil"/>
              <w:bottom w:val="single" w:sz="8" w:space="0" w:color="auto"/>
              <w:right w:val="single" w:sz="8" w:space="0" w:color="auto"/>
            </w:tcBorders>
          </w:tcPr>
          <w:p w14:paraId="1E9731B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6.8</w:t>
            </w:r>
          </w:p>
        </w:tc>
        <w:tc>
          <w:tcPr>
            <w:tcW w:w="708" w:type="dxa"/>
            <w:tcBorders>
              <w:top w:val="nil"/>
              <w:left w:val="nil"/>
              <w:bottom w:val="single" w:sz="8" w:space="0" w:color="auto"/>
              <w:right w:val="single" w:sz="8" w:space="0" w:color="auto"/>
            </w:tcBorders>
          </w:tcPr>
          <w:p w14:paraId="295C40A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1.6</w:t>
            </w:r>
          </w:p>
        </w:tc>
        <w:tc>
          <w:tcPr>
            <w:tcW w:w="709" w:type="dxa"/>
            <w:tcBorders>
              <w:top w:val="nil"/>
              <w:left w:val="nil"/>
              <w:bottom w:val="single" w:sz="8" w:space="0" w:color="auto"/>
              <w:right w:val="single" w:sz="8" w:space="0" w:color="auto"/>
            </w:tcBorders>
          </w:tcPr>
          <w:p w14:paraId="532A3A5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15</w:t>
            </w:r>
          </w:p>
        </w:tc>
        <w:tc>
          <w:tcPr>
            <w:tcW w:w="851" w:type="dxa"/>
            <w:tcBorders>
              <w:top w:val="nil"/>
              <w:left w:val="nil"/>
              <w:bottom w:val="single" w:sz="8" w:space="0" w:color="auto"/>
              <w:right w:val="single" w:sz="8" w:space="0" w:color="auto"/>
            </w:tcBorders>
          </w:tcPr>
          <w:p w14:paraId="160BE68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22</w:t>
            </w:r>
          </w:p>
        </w:tc>
        <w:tc>
          <w:tcPr>
            <w:tcW w:w="850" w:type="dxa"/>
            <w:tcBorders>
              <w:top w:val="nil"/>
              <w:left w:val="nil"/>
              <w:bottom w:val="single" w:sz="8" w:space="0" w:color="auto"/>
              <w:right w:val="single" w:sz="8" w:space="0" w:color="auto"/>
            </w:tcBorders>
          </w:tcPr>
          <w:p w14:paraId="6196BBB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8.9</w:t>
            </w:r>
          </w:p>
        </w:tc>
        <w:tc>
          <w:tcPr>
            <w:tcW w:w="992" w:type="dxa"/>
            <w:tcBorders>
              <w:top w:val="nil"/>
              <w:left w:val="nil"/>
              <w:bottom w:val="single" w:sz="8" w:space="0" w:color="auto"/>
              <w:right w:val="single" w:sz="8" w:space="0" w:color="auto"/>
            </w:tcBorders>
          </w:tcPr>
          <w:p w14:paraId="6EACB8B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851" w:type="dxa"/>
            <w:tcBorders>
              <w:top w:val="single" w:sz="8" w:space="0" w:color="auto"/>
              <w:left w:val="nil"/>
              <w:bottom w:val="single" w:sz="8" w:space="0" w:color="auto"/>
              <w:right w:val="single" w:sz="8" w:space="0" w:color="000000"/>
            </w:tcBorders>
          </w:tcPr>
          <w:p w14:paraId="7338399F"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50</w:t>
            </w:r>
          </w:p>
        </w:tc>
        <w:tc>
          <w:tcPr>
            <w:tcW w:w="992" w:type="dxa"/>
            <w:tcBorders>
              <w:top w:val="nil"/>
              <w:left w:val="nil"/>
              <w:bottom w:val="single" w:sz="8" w:space="0" w:color="auto"/>
              <w:right w:val="single" w:sz="8" w:space="0" w:color="auto"/>
            </w:tcBorders>
          </w:tcPr>
          <w:p w14:paraId="4F07787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6CA5D9ED"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72</w:t>
            </w:r>
          </w:p>
        </w:tc>
        <w:tc>
          <w:tcPr>
            <w:tcW w:w="992" w:type="dxa"/>
            <w:tcBorders>
              <w:top w:val="nil"/>
              <w:left w:val="nil"/>
              <w:bottom w:val="single" w:sz="8" w:space="0" w:color="auto"/>
              <w:right w:val="single" w:sz="12" w:space="0" w:color="auto"/>
            </w:tcBorders>
          </w:tcPr>
          <w:p w14:paraId="31A651B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549A5DD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1C5E4E70" w14:textId="77777777" w:rsidTr="00A432B0">
        <w:trPr>
          <w:trHeight w:val="64"/>
        </w:trPr>
        <w:tc>
          <w:tcPr>
            <w:tcW w:w="938" w:type="dxa"/>
            <w:tcBorders>
              <w:top w:val="nil"/>
              <w:left w:val="single" w:sz="12" w:space="0" w:color="auto"/>
              <w:bottom w:val="single" w:sz="8" w:space="0" w:color="auto"/>
              <w:right w:val="single" w:sz="8" w:space="0" w:color="auto"/>
            </w:tcBorders>
          </w:tcPr>
          <w:p w14:paraId="0A19516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0854D9B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Maize respiration</w:t>
            </w:r>
          </w:p>
        </w:tc>
        <w:tc>
          <w:tcPr>
            <w:tcW w:w="2127" w:type="dxa"/>
            <w:tcBorders>
              <w:top w:val="nil"/>
              <w:left w:val="nil"/>
              <w:bottom w:val="single" w:sz="8" w:space="0" w:color="auto"/>
              <w:right w:val="single" w:sz="8" w:space="0" w:color="auto"/>
            </w:tcBorders>
          </w:tcPr>
          <w:p w14:paraId="3A30767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Silty clay loam Vault de Lugny</w:t>
            </w:r>
          </w:p>
        </w:tc>
        <w:tc>
          <w:tcPr>
            <w:tcW w:w="567" w:type="dxa"/>
            <w:tcBorders>
              <w:top w:val="nil"/>
              <w:left w:val="nil"/>
              <w:bottom w:val="single" w:sz="8" w:space="0" w:color="auto"/>
              <w:right w:val="single" w:sz="8" w:space="0" w:color="auto"/>
            </w:tcBorders>
          </w:tcPr>
          <w:p w14:paraId="703E06F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7.3</w:t>
            </w:r>
          </w:p>
        </w:tc>
        <w:tc>
          <w:tcPr>
            <w:tcW w:w="708" w:type="dxa"/>
            <w:tcBorders>
              <w:top w:val="nil"/>
              <w:left w:val="nil"/>
              <w:bottom w:val="single" w:sz="8" w:space="0" w:color="auto"/>
              <w:right w:val="single" w:sz="8" w:space="0" w:color="auto"/>
            </w:tcBorders>
          </w:tcPr>
          <w:p w14:paraId="169E8AC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2.3</w:t>
            </w:r>
          </w:p>
        </w:tc>
        <w:tc>
          <w:tcPr>
            <w:tcW w:w="709" w:type="dxa"/>
            <w:tcBorders>
              <w:top w:val="nil"/>
              <w:left w:val="nil"/>
              <w:bottom w:val="single" w:sz="8" w:space="0" w:color="auto"/>
              <w:right w:val="single" w:sz="8" w:space="0" w:color="auto"/>
            </w:tcBorders>
          </w:tcPr>
          <w:p w14:paraId="5B3F963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38</w:t>
            </w:r>
          </w:p>
        </w:tc>
        <w:tc>
          <w:tcPr>
            <w:tcW w:w="851" w:type="dxa"/>
            <w:tcBorders>
              <w:top w:val="nil"/>
              <w:left w:val="nil"/>
              <w:bottom w:val="single" w:sz="8" w:space="0" w:color="auto"/>
              <w:right w:val="single" w:sz="8" w:space="0" w:color="auto"/>
            </w:tcBorders>
          </w:tcPr>
          <w:p w14:paraId="3171A6B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850" w:type="dxa"/>
            <w:tcBorders>
              <w:top w:val="nil"/>
              <w:left w:val="nil"/>
              <w:bottom w:val="single" w:sz="8" w:space="0" w:color="auto"/>
              <w:right w:val="single" w:sz="8" w:space="0" w:color="auto"/>
            </w:tcBorders>
          </w:tcPr>
          <w:p w14:paraId="7015E7A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26.2</w:t>
            </w:r>
          </w:p>
        </w:tc>
        <w:tc>
          <w:tcPr>
            <w:tcW w:w="992" w:type="dxa"/>
            <w:tcBorders>
              <w:top w:val="nil"/>
              <w:left w:val="nil"/>
              <w:bottom w:val="single" w:sz="8" w:space="0" w:color="auto"/>
              <w:right w:val="single" w:sz="8" w:space="0" w:color="auto"/>
            </w:tcBorders>
          </w:tcPr>
          <w:p w14:paraId="13644FA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851" w:type="dxa"/>
            <w:tcBorders>
              <w:top w:val="single" w:sz="8" w:space="0" w:color="auto"/>
              <w:left w:val="nil"/>
              <w:bottom w:val="single" w:sz="8" w:space="0" w:color="auto"/>
              <w:right w:val="single" w:sz="8" w:space="0" w:color="000000"/>
            </w:tcBorders>
          </w:tcPr>
          <w:p w14:paraId="0A5081D4"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400</w:t>
            </w:r>
          </w:p>
        </w:tc>
        <w:tc>
          <w:tcPr>
            <w:tcW w:w="992" w:type="dxa"/>
            <w:tcBorders>
              <w:top w:val="nil"/>
              <w:left w:val="nil"/>
              <w:bottom w:val="single" w:sz="8" w:space="0" w:color="auto"/>
              <w:right w:val="single" w:sz="8" w:space="0" w:color="auto"/>
            </w:tcBorders>
          </w:tcPr>
          <w:p w14:paraId="4D91526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5B13B9BF"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421</w:t>
            </w:r>
          </w:p>
        </w:tc>
        <w:tc>
          <w:tcPr>
            <w:tcW w:w="992" w:type="dxa"/>
            <w:tcBorders>
              <w:top w:val="nil"/>
              <w:left w:val="nil"/>
              <w:bottom w:val="single" w:sz="8" w:space="0" w:color="auto"/>
              <w:right w:val="single" w:sz="12" w:space="0" w:color="auto"/>
            </w:tcBorders>
          </w:tcPr>
          <w:p w14:paraId="1EC9BD4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3C6F7EC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1AC287FB" w14:textId="77777777" w:rsidTr="00A432B0">
        <w:trPr>
          <w:trHeight w:val="64"/>
        </w:trPr>
        <w:tc>
          <w:tcPr>
            <w:tcW w:w="938" w:type="dxa"/>
            <w:tcBorders>
              <w:top w:val="nil"/>
              <w:left w:val="single" w:sz="12" w:space="0" w:color="auto"/>
              <w:bottom w:val="single" w:sz="8" w:space="0" w:color="auto"/>
              <w:right w:val="single" w:sz="8" w:space="0" w:color="auto"/>
            </w:tcBorders>
          </w:tcPr>
          <w:p w14:paraId="68F3EB7D" w14:textId="77777777" w:rsidR="00632208" w:rsidRPr="0098635C" w:rsidRDefault="00632208" w:rsidP="00A432B0">
            <w:pPr>
              <w:spacing w:after="0"/>
              <w:ind w:left="-48"/>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lastRenderedPageBreak/>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709DFB3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Maize respiration</w:t>
            </w:r>
          </w:p>
        </w:tc>
        <w:tc>
          <w:tcPr>
            <w:tcW w:w="2127" w:type="dxa"/>
            <w:tcBorders>
              <w:top w:val="nil"/>
              <w:left w:val="nil"/>
              <w:bottom w:val="single" w:sz="8" w:space="0" w:color="auto"/>
              <w:right w:val="single" w:sz="8" w:space="0" w:color="auto"/>
            </w:tcBorders>
          </w:tcPr>
          <w:p w14:paraId="77BB60E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clay Souli II</w:t>
            </w:r>
          </w:p>
        </w:tc>
        <w:tc>
          <w:tcPr>
            <w:tcW w:w="567" w:type="dxa"/>
            <w:tcBorders>
              <w:top w:val="nil"/>
              <w:left w:val="nil"/>
              <w:bottom w:val="single" w:sz="8" w:space="0" w:color="auto"/>
              <w:right w:val="single" w:sz="8" w:space="0" w:color="auto"/>
            </w:tcBorders>
          </w:tcPr>
          <w:p w14:paraId="6A810B0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7.4</w:t>
            </w:r>
          </w:p>
        </w:tc>
        <w:tc>
          <w:tcPr>
            <w:tcW w:w="708" w:type="dxa"/>
            <w:tcBorders>
              <w:top w:val="nil"/>
              <w:left w:val="nil"/>
              <w:bottom w:val="single" w:sz="8" w:space="0" w:color="auto"/>
              <w:right w:val="single" w:sz="8" w:space="0" w:color="auto"/>
            </w:tcBorders>
          </w:tcPr>
          <w:p w14:paraId="739103A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4.2</w:t>
            </w:r>
          </w:p>
        </w:tc>
        <w:tc>
          <w:tcPr>
            <w:tcW w:w="709" w:type="dxa"/>
            <w:tcBorders>
              <w:top w:val="nil"/>
              <w:left w:val="nil"/>
              <w:bottom w:val="single" w:sz="8" w:space="0" w:color="auto"/>
              <w:right w:val="single" w:sz="8" w:space="0" w:color="auto"/>
            </w:tcBorders>
          </w:tcPr>
          <w:p w14:paraId="1D45FE0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46</w:t>
            </w:r>
          </w:p>
        </w:tc>
        <w:tc>
          <w:tcPr>
            <w:tcW w:w="851" w:type="dxa"/>
            <w:tcBorders>
              <w:top w:val="nil"/>
              <w:left w:val="nil"/>
              <w:bottom w:val="single" w:sz="8" w:space="0" w:color="auto"/>
              <w:right w:val="single" w:sz="8" w:space="0" w:color="auto"/>
            </w:tcBorders>
          </w:tcPr>
          <w:p w14:paraId="212F1CC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34</w:t>
            </w:r>
          </w:p>
        </w:tc>
        <w:tc>
          <w:tcPr>
            <w:tcW w:w="850" w:type="dxa"/>
            <w:tcBorders>
              <w:top w:val="nil"/>
              <w:left w:val="nil"/>
              <w:bottom w:val="single" w:sz="8" w:space="0" w:color="auto"/>
              <w:right w:val="single" w:sz="8" w:space="0" w:color="auto"/>
            </w:tcBorders>
          </w:tcPr>
          <w:p w14:paraId="2770982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36.3</w:t>
            </w:r>
          </w:p>
        </w:tc>
        <w:tc>
          <w:tcPr>
            <w:tcW w:w="992" w:type="dxa"/>
            <w:tcBorders>
              <w:top w:val="nil"/>
              <w:left w:val="nil"/>
              <w:bottom w:val="single" w:sz="8" w:space="0" w:color="auto"/>
              <w:right w:val="single" w:sz="8" w:space="0" w:color="auto"/>
            </w:tcBorders>
          </w:tcPr>
          <w:p w14:paraId="258AB69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851" w:type="dxa"/>
            <w:tcBorders>
              <w:top w:val="single" w:sz="8" w:space="0" w:color="auto"/>
              <w:left w:val="nil"/>
              <w:bottom w:val="single" w:sz="8" w:space="0" w:color="auto"/>
              <w:right w:val="single" w:sz="8" w:space="0" w:color="000000"/>
            </w:tcBorders>
          </w:tcPr>
          <w:p w14:paraId="558A7F56"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600</w:t>
            </w:r>
          </w:p>
        </w:tc>
        <w:tc>
          <w:tcPr>
            <w:tcW w:w="992" w:type="dxa"/>
            <w:tcBorders>
              <w:top w:val="nil"/>
              <w:left w:val="nil"/>
              <w:bottom w:val="single" w:sz="8" w:space="0" w:color="auto"/>
              <w:right w:val="single" w:sz="8" w:space="0" w:color="auto"/>
            </w:tcBorders>
          </w:tcPr>
          <w:p w14:paraId="3D43FBF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7425A730"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634</w:t>
            </w:r>
          </w:p>
        </w:tc>
        <w:tc>
          <w:tcPr>
            <w:tcW w:w="992" w:type="dxa"/>
            <w:tcBorders>
              <w:top w:val="nil"/>
              <w:left w:val="nil"/>
              <w:bottom w:val="single" w:sz="8" w:space="0" w:color="auto"/>
              <w:right w:val="single" w:sz="12" w:space="0" w:color="auto"/>
            </w:tcBorders>
          </w:tcPr>
          <w:p w14:paraId="638BDDB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07C48F8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4C1DC47B" w14:textId="77777777" w:rsidTr="00A432B0">
        <w:trPr>
          <w:trHeight w:val="64"/>
        </w:trPr>
        <w:tc>
          <w:tcPr>
            <w:tcW w:w="938" w:type="dxa"/>
            <w:tcBorders>
              <w:top w:val="nil"/>
              <w:left w:val="single" w:sz="12" w:space="0" w:color="auto"/>
              <w:bottom w:val="single" w:sz="8" w:space="0" w:color="auto"/>
              <w:right w:val="single" w:sz="8" w:space="0" w:color="auto"/>
            </w:tcBorders>
          </w:tcPr>
          <w:p w14:paraId="33E7778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51E183F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Maize respiration</w:t>
            </w:r>
          </w:p>
        </w:tc>
        <w:tc>
          <w:tcPr>
            <w:tcW w:w="2127" w:type="dxa"/>
            <w:tcBorders>
              <w:top w:val="nil"/>
              <w:left w:val="nil"/>
              <w:bottom w:val="single" w:sz="8" w:space="0" w:color="auto"/>
              <w:right w:val="single" w:sz="8" w:space="0" w:color="auto"/>
            </w:tcBorders>
          </w:tcPr>
          <w:p w14:paraId="539028E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Silt loam Marknesse</w:t>
            </w:r>
          </w:p>
        </w:tc>
        <w:tc>
          <w:tcPr>
            <w:tcW w:w="567" w:type="dxa"/>
            <w:tcBorders>
              <w:top w:val="nil"/>
              <w:left w:val="nil"/>
              <w:bottom w:val="single" w:sz="8" w:space="0" w:color="auto"/>
              <w:right w:val="single" w:sz="8" w:space="0" w:color="auto"/>
            </w:tcBorders>
          </w:tcPr>
          <w:p w14:paraId="5C7D995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7.5</w:t>
            </w:r>
          </w:p>
        </w:tc>
        <w:tc>
          <w:tcPr>
            <w:tcW w:w="708" w:type="dxa"/>
            <w:tcBorders>
              <w:top w:val="nil"/>
              <w:left w:val="nil"/>
              <w:bottom w:val="single" w:sz="8" w:space="0" w:color="auto"/>
              <w:right w:val="single" w:sz="8" w:space="0" w:color="auto"/>
            </w:tcBorders>
          </w:tcPr>
          <w:p w14:paraId="597017F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w:t>
            </w:r>
          </w:p>
        </w:tc>
        <w:tc>
          <w:tcPr>
            <w:tcW w:w="709" w:type="dxa"/>
            <w:tcBorders>
              <w:top w:val="nil"/>
              <w:left w:val="nil"/>
              <w:bottom w:val="single" w:sz="8" w:space="0" w:color="auto"/>
              <w:right w:val="single" w:sz="8" w:space="0" w:color="auto"/>
            </w:tcBorders>
          </w:tcPr>
          <w:p w14:paraId="3C5325A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26</w:t>
            </w:r>
          </w:p>
        </w:tc>
        <w:tc>
          <w:tcPr>
            <w:tcW w:w="851" w:type="dxa"/>
            <w:tcBorders>
              <w:top w:val="nil"/>
              <w:left w:val="nil"/>
              <w:bottom w:val="single" w:sz="8" w:space="0" w:color="auto"/>
              <w:right w:val="single" w:sz="8" w:space="0" w:color="auto"/>
            </w:tcBorders>
          </w:tcPr>
          <w:p w14:paraId="5CD8853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18</w:t>
            </w:r>
          </w:p>
        </w:tc>
        <w:tc>
          <w:tcPr>
            <w:tcW w:w="850" w:type="dxa"/>
            <w:tcBorders>
              <w:top w:val="nil"/>
              <w:left w:val="nil"/>
              <w:bottom w:val="single" w:sz="8" w:space="0" w:color="auto"/>
              <w:right w:val="single" w:sz="8" w:space="0" w:color="auto"/>
            </w:tcBorders>
          </w:tcPr>
          <w:p w14:paraId="797B20A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20.1</w:t>
            </w:r>
          </w:p>
        </w:tc>
        <w:tc>
          <w:tcPr>
            <w:tcW w:w="992" w:type="dxa"/>
            <w:tcBorders>
              <w:top w:val="nil"/>
              <w:left w:val="nil"/>
              <w:bottom w:val="single" w:sz="8" w:space="0" w:color="auto"/>
              <w:right w:val="single" w:sz="8" w:space="0" w:color="auto"/>
            </w:tcBorders>
          </w:tcPr>
          <w:p w14:paraId="03A0EE8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851" w:type="dxa"/>
            <w:tcBorders>
              <w:top w:val="single" w:sz="8" w:space="0" w:color="auto"/>
              <w:left w:val="nil"/>
              <w:bottom w:val="single" w:sz="8" w:space="0" w:color="auto"/>
              <w:right w:val="single" w:sz="8" w:space="0" w:color="000000"/>
            </w:tcBorders>
          </w:tcPr>
          <w:p w14:paraId="4FEA8F1F"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150</w:t>
            </w:r>
          </w:p>
        </w:tc>
        <w:tc>
          <w:tcPr>
            <w:tcW w:w="992" w:type="dxa"/>
            <w:tcBorders>
              <w:top w:val="nil"/>
              <w:left w:val="nil"/>
              <w:bottom w:val="single" w:sz="8" w:space="0" w:color="auto"/>
              <w:right w:val="single" w:sz="8" w:space="0" w:color="auto"/>
            </w:tcBorders>
          </w:tcPr>
          <w:p w14:paraId="7481844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27BDA1B1"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168</w:t>
            </w:r>
          </w:p>
        </w:tc>
        <w:tc>
          <w:tcPr>
            <w:tcW w:w="992" w:type="dxa"/>
            <w:tcBorders>
              <w:top w:val="nil"/>
              <w:left w:val="nil"/>
              <w:bottom w:val="single" w:sz="8" w:space="0" w:color="auto"/>
              <w:right w:val="single" w:sz="12" w:space="0" w:color="auto"/>
            </w:tcBorders>
          </w:tcPr>
          <w:p w14:paraId="30F0D8C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22B9C74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0FFF888A" w14:textId="77777777" w:rsidTr="00A432B0">
        <w:trPr>
          <w:trHeight w:val="64"/>
        </w:trPr>
        <w:tc>
          <w:tcPr>
            <w:tcW w:w="938" w:type="dxa"/>
            <w:tcBorders>
              <w:top w:val="nil"/>
              <w:left w:val="single" w:sz="12" w:space="0" w:color="auto"/>
              <w:bottom w:val="single" w:sz="8" w:space="0" w:color="auto"/>
              <w:right w:val="single" w:sz="8" w:space="0" w:color="auto"/>
            </w:tcBorders>
          </w:tcPr>
          <w:p w14:paraId="2D07818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140189B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Maize respiration</w:t>
            </w:r>
          </w:p>
        </w:tc>
        <w:tc>
          <w:tcPr>
            <w:tcW w:w="2127" w:type="dxa"/>
            <w:tcBorders>
              <w:top w:val="nil"/>
              <w:left w:val="nil"/>
              <w:bottom w:val="single" w:sz="8" w:space="0" w:color="auto"/>
              <w:right w:val="single" w:sz="8" w:space="0" w:color="auto"/>
            </w:tcBorders>
          </w:tcPr>
          <w:p w14:paraId="1A0BF6C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   Barcelona</w:t>
            </w:r>
          </w:p>
        </w:tc>
        <w:tc>
          <w:tcPr>
            <w:tcW w:w="567" w:type="dxa"/>
            <w:tcBorders>
              <w:top w:val="nil"/>
              <w:left w:val="nil"/>
              <w:bottom w:val="single" w:sz="8" w:space="0" w:color="auto"/>
              <w:right w:val="single" w:sz="8" w:space="0" w:color="auto"/>
            </w:tcBorders>
          </w:tcPr>
          <w:p w14:paraId="580657C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7.5</w:t>
            </w:r>
          </w:p>
        </w:tc>
        <w:tc>
          <w:tcPr>
            <w:tcW w:w="708" w:type="dxa"/>
            <w:tcBorders>
              <w:top w:val="nil"/>
              <w:left w:val="nil"/>
              <w:bottom w:val="single" w:sz="8" w:space="0" w:color="auto"/>
              <w:right w:val="single" w:sz="8" w:space="0" w:color="auto"/>
            </w:tcBorders>
          </w:tcPr>
          <w:p w14:paraId="06633FD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2.4</w:t>
            </w:r>
          </w:p>
        </w:tc>
        <w:tc>
          <w:tcPr>
            <w:tcW w:w="709" w:type="dxa"/>
            <w:tcBorders>
              <w:top w:val="nil"/>
              <w:left w:val="nil"/>
              <w:bottom w:val="single" w:sz="8" w:space="0" w:color="auto"/>
              <w:right w:val="single" w:sz="8" w:space="0" w:color="auto"/>
            </w:tcBorders>
          </w:tcPr>
          <w:p w14:paraId="289427C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851" w:type="dxa"/>
            <w:tcBorders>
              <w:top w:val="nil"/>
              <w:left w:val="nil"/>
              <w:bottom w:val="single" w:sz="8" w:space="0" w:color="auto"/>
              <w:right w:val="single" w:sz="8" w:space="0" w:color="auto"/>
            </w:tcBorders>
          </w:tcPr>
          <w:p w14:paraId="56C75BA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88</w:t>
            </w:r>
          </w:p>
        </w:tc>
        <w:tc>
          <w:tcPr>
            <w:tcW w:w="850" w:type="dxa"/>
            <w:tcBorders>
              <w:top w:val="nil"/>
              <w:left w:val="nil"/>
              <w:bottom w:val="single" w:sz="8" w:space="0" w:color="auto"/>
              <w:right w:val="single" w:sz="8" w:space="0" w:color="auto"/>
            </w:tcBorders>
          </w:tcPr>
          <w:p w14:paraId="3915003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14.3</w:t>
            </w:r>
          </w:p>
        </w:tc>
        <w:tc>
          <w:tcPr>
            <w:tcW w:w="992" w:type="dxa"/>
            <w:tcBorders>
              <w:top w:val="nil"/>
              <w:left w:val="nil"/>
              <w:bottom w:val="single" w:sz="8" w:space="0" w:color="auto"/>
              <w:right w:val="single" w:sz="8" w:space="0" w:color="auto"/>
            </w:tcBorders>
          </w:tcPr>
          <w:p w14:paraId="75B7492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851" w:type="dxa"/>
            <w:tcBorders>
              <w:top w:val="single" w:sz="8" w:space="0" w:color="auto"/>
              <w:left w:val="nil"/>
              <w:bottom w:val="single" w:sz="8" w:space="0" w:color="auto"/>
              <w:right w:val="single" w:sz="8" w:space="0" w:color="000000"/>
            </w:tcBorders>
          </w:tcPr>
          <w:p w14:paraId="137E35F6"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150</w:t>
            </w:r>
          </w:p>
        </w:tc>
        <w:tc>
          <w:tcPr>
            <w:tcW w:w="992" w:type="dxa"/>
            <w:tcBorders>
              <w:top w:val="nil"/>
              <w:left w:val="nil"/>
              <w:bottom w:val="single" w:sz="8" w:space="0" w:color="auto"/>
              <w:right w:val="single" w:sz="8" w:space="0" w:color="auto"/>
            </w:tcBorders>
          </w:tcPr>
          <w:p w14:paraId="6BE8DB4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5F314CD8"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238</w:t>
            </w:r>
          </w:p>
        </w:tc>
        <w:tc>
          <w:tcPr>
            <w:tcW w:w="992" w:type="dxa"/>
            <w:tcBorders>
              <w:top w:val="nil"/>
              <w:left w:val="nil"/>
              <w:bottom w:val="single" w:sz="8" w:space="0" w:color="auto"/>
              <w:right w:val="single" w:sz="12" w:space="0" w:color="auto"/>
            </w:tcBorders>
          </w:tcPr>
          <w:p w14:paraId="015DE5B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0A418E5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7FF6C688" w14:textId="77777777" w:rsidTr="00A432B0">
        <w:trPr>
          <w:trHeight w:val="64"/>
        </w:trPr>
        <w:tc>
          <w:tcPr>
            <w:tcW w:w="938" w:type="dxa"/>
            <w:tcBorders>
              <w:top w:val="nil"/>
              <w:left w:val="single" w:sz="12" w:space="0" w:color="auto"/>
              <w:bottom w:val="single" w:sz="8" w:space="0" w:color="auto"/>
              <w:right w:val="single" w:sz="8" w:space="0" w:color="auto"/>
            </w:tcBorders>
          </w:tcPr>
          <w:p w14:paraId="5925D3A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1B36D5F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Maize respiration</w:t>
            </w:r>
          </w:p>
        </w:tc>
        <w:tc>
          <w:tcPr>
            <w:tcW w:w="2127" w:type="dxa"/>
            <w:tcBorders>
              <w:top w:val="nil"/>
              <w:left w:val="nil"/>
              <w:bottom w:val="single" w:sz="8" w:space="0" w:color="auto"/>
              <w:right w:val="single" w:sz="8" w:space="0" w:color="auto"/>
            </w:tcBorders>
          </w:tcPr>
          <w:p w14:paraId="21BAA6B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Sandy clay  Hygum</w:t>
            </w:r>
          </w:p>
        </w:tc>
        <w:tc>
          <w:tcPr>
            <w:tcW w:w="567" w:type="dxa"/>
            <w:tcBorders>
              <w:top w:val="nil"/>
              <w:left w:val="nil"/>
              <w:bottom w:val="single" w:sz="8" w:space="0" w:color="auto"/>
              <w:right w:val="single" w:sz="8" w:space="0" w:color="auto"/>
            </w:tcBorders>
          </w:tcPr>
          <w:p w14:paraId="10999ED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5.4</w:t>
            </w:r>
          </w:p>
        </w:tc>
        <w:tc>
          <w:tcPr>
            <w:tcW w:w="708" w:type="dxa"/>
            <w:tcBorders>
              <w:top w:val="nil"/>
              <w:left w:val="nil"/>
              <w:bottom w:val="single" w:sz="8" w:space="0" w:color="auto"/>
              <w:right w:val="single" w:sz="8" w:space="0" w:color="auto"/>
            </w:tcBorders>
          </w:tcPr>
          <w:p w14:paraId="7070072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3.3</w:t>
            </w:r>
          </w:p>
        </w:tc>
        <w:tc>
          <w:tcPr>
            <w:tcW w:w="709" w:type="dxa"/>
            <w:tcBorders>
              <w:top w:val="nil"/>
              <w:left w:val="nil"/>
              <w:bottom w:val="single" w:sz="8" w:space="0" w:color="auto"/>
              <w:right w:val="single" w:sz="8" w:space="0" w:color="auto"/>
            </w:tcBorders>
          </w:tcPr>
          <w:p w14:paraId="14CE797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23</w:t>
            </w:r>
          </w:p>
        </w:tc>
        <w:tc>
          <w:tcPr>
            <w:tcW w:w="851" w:type="dxa"/>
            <w:tcBorders>
              <w:top w:val="nil"/>
              <w:left w:val="nil"/>
              <w:bottom w:val="single" w:sz="8" w:space="0" w:color="auto"/>
              <w:right w:val="single" w:sz="8" w:space="0" w:color="auto"/>
            </w:tcBorders>
          </w:tcPr>
          <w:p w14:paraId="5015D90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21</w:t>
            </w:r>
          </w:p>
        </w:tc>
        <w:tc>
          <w:tcPr>
            <w:tcW w:w="850" w:type="dxa"/>
            <w:tcBorders>
              <w:top w:val="nil"/>
              <w:left w:val="nil"/>
              <w:bottom w:val="single" w:sz="8" w:space="0" w:color="auto"/>
              <w:right w:val="single" w:sz="8" w:space="0" w:color="auto"/>
            </w:tcBorders>
          </w:tcPr>
          <w:p w14:paraId="713336A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6.7</w:t>
            </w:r>
          </w:p>
        </w:tc>
        <w:tc>
          <w:tcPr>
            <w:tcW w:w="992" w:type="dxa"/>
            <w:tcBorders>
              <w:top w:val="nil"/>
              <w:left w:val="nil"/>
              <w:bottom w:val="single" w:sz="8" w:space="0" w:color="auto"/>
              <w:right w:val="single" w:sz="8" w:space="0" w:color="auto"/>
            </w:tcBorders>
          </w:tcPr>
          <w:p w14:paraId="54C5B54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851" w:type="dxa"/>
            <w:tcBorders>
              <w:top w:val="single" w:sz="8" w:space="0" w:color="auto"/>
              <w:left w:val="nil"/>
              <w:bottom w:val="single" w:sz="8" w:space="0" w:color="auto"/>
              <w:right w:val="single" w:sz="8" w:space="0" w:color="000000"/>
            </w:tcBorders>
          </w:tcPr>
          <w:p w14:paraId="3FC97A8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2F6E7D4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&gt;804</w:t>
            </w:r>
          </w:p>
        </w:tc>
        <w:tc>
          <w:tcPr>
            <w:tcW w:w="851" w:type="dxa"/>
            <w:tcBorders>
              <w:top w:val="single" w:sz="8" w:space="0" w:color="auto"/>
              <w:left w:val="nil"/>
              <w:bottom w:val="single" w:sz="8" w:space="0" w:color="auto"/>
              <w:right w:val="single" w:sz="8" w:space="0" w:color="000000"/>
            </w:tcBorders>
          </w:tcPr>
          <w:p w14:paraId="3CC9371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12" w:space="0" w:color="auto"/>
            </w:tcBorders>
          </w:tcPr>
          <w:p w14:paraId="0E53DBA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&gt;825</w:t>
            </w:r>
          </w:p>
        </w:tc>
        <w:tc>
          <w:tcPr>
            <w:tcW w:w="2410" w:type="dxa"/>
            <w:tcBorders>
              <w:top w:val="nil"/>
              <w:left w:val="nil"/>
              <w:bottom w:val="single" w:sz="8" w:space="0" w:color="auto"/>
              <w:right w:val="single" w:sz="12" w:space="0" w:color="auto"/>
            </w:tcBorders>
          </w:tcPr>
          <w:p w14:paraId="421D7AA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7E0012D8" w14:textId="77777777" w:rsidTr="00A432B0">
        <w:trPr>
          <w:trHeight w:val="64"/>
        </w:trPr>
        <w:tc>
          <w:tcPr>
            <w:tcW w:w="938" w:type="dxa"/>
            <w:tcBorders>
              <w:top w:val="nil"/>
              <w:left w:val="single" w:sz="12" w:space="0" w:color="auto"/>
              <w:bottom w:val="single" w:sz="8" w:space="0" w:color="auto"/>
              <w:right w:val="single" w:sz="8" w:space="0" w:color="auto"/>
            </w:tcBorders>
          </w:tcPr>
          <w:p w14:paraId="392B514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4DD9229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Maize respiration</w:t>
            </w:r>
          </w:p>
        </w:tc>
        <w:tc>
          <w:tcPr>
            <w:tcW w:w="2127" w:type="dxa"/>
            <w:tcBorders>
              <w:top w:val="nil"/>
              <w:left w:val="nil"/>
              <w:bottom w:val="single" w:sz="8" w:space="0" w:color="auto"/>
              <w:right w:val="single" w:sz="8" w:space="0" w:color="auto"/>
            </w:tcBorders>
          </w:tcPr>
          <w:p w14:paraId="1E1033D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sand Wageningen A</w:t>
            </w:r>
          </w:p>
        </w:tc>
        <w:tc>
          <w:tcPr>
            <w:tcW w:w="567" w:type="dxa"/>
            <w:tcBorders>
              <w:top w:val="nil"/>
              <w:left w:val="nil"/>
              <w:bottom w:val="single" w:sz="8" w:space="0" w:color="auto"/>
              <w:right w:val="single" w:sz="8" w:space="0" w:color="auto"/>
            </w:tcBorders>
          </w:tcPr>
          <w:p w14:paraId="6EA0F7FF"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4.3</w:t>
            </w:r>
          </w:p>
        </w:tc>
        <w:tc>
          <w:tcPr>
            <w:tcW w:w="708" w:type="dxa"/>
            <w:tcBorders>
              <w:top w:val="nil"/>
              <w:left w:val="nil"/>
              <w:bottom w:val="single" w:sz="8" w:space="0" w:color="auto"/>
              <w:right w:val="single" w:sz="8" w:space="0" w:color="auto"/>
            </w:tcBorders>
          </w:tcPr>
          <w:p w14:paraId="3056E36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2.2</w:t>
            </w:r>
          </w:p>
        </w:tc>
        <w:tc>
          <w:tcPr>
            <w:tcW w:w="709" w:type="dxa"/>
            <w:tcBorders>
              <w:top w:val="nil"/>
              <w:left w:val="nil"/>
              <w:bottom w:val="single" w:sz="8" w:space="0" w:color="auto"/>
              <w:right w:val="single" w:sz="8" w:space="0" w:color="auto"/>
            </w:tcBorders>
          </w:tcPr>
          <w:p w14:paraId="105DCFE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w:t>
            </w:r>
          </w:p>
        </w:tc>
        <w:tc>
          <w:tcPr>
            <w:tcW w:w="851" w:type="dxa"/>
            <w:tcBorders>
              <w:top w:val="nil"/>
              <w:left w:val="nil"/>
              <w:bottom w:val="single" w:sz="8" w:space="0" w:color="auto"/>
              <w:right w:val="single" w:sz="8" w:space="0" w:color="auto"/>
            </w:tcBorders>
          </w:tcPr>
          <w:p w14:paraId="79FD148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850" w:type="dxa"/>
            <w:tcBorders>
              <w:top w:val="nil"/>
              <w:left w:val="nil"/>
              <w:bottom w:val="single" w:sz="8" w:space="0" w:color="auto"/>
              <w:right w:val="single" w:sz="8" w:space="0" w:color="auto"/>
            </w:tcBorders>
          </w:tcPr>
          <w:p w14:paraId="7D09497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1.2</w:t>
            </w:r>
          </w:p>
        </w:tc>
        <w:tc>
          <w:tcPr>
            <w:tcW w:w="992" w:type="dxa"/>
            <w:tcBorders>
              <w:top w:val="nil"/>
              <w:left w:val="nil"/>
              <w:bottom w:val="single" w:sz="8" w:space="0" w:color="auto"/>
              <w:right w:val="single" w:sz="8" w:space="0" w:color="auto"/>
            </w:tcBorders>
          </w:tcPr>
          <w:p w14:paraId="6853827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851" w:type="dxa"/>
            <w:tcBorders>
              <w:top w:val="single" w:sz="8" w:space="0" w:color="auto"/>
              <w:left w:val="nil"/>
              <w:bottom w:val="single" w:sz="8" w:space="0" w:color="auto"/>
              <w:right w:val="single" w:sz="8" w:space="0" w:color="000000"/>
            </w:tcBorders>
          </w:tcPr>
          <w:p w14:paraId="66C1DAC9"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51</w:t>
            </w:r>
          </w:p>
        </w:tc>
        <w:tc>
          <w:tcPr>
            <w:tcW w:w="992" w:type="dxa"/>
            <w:tcBorders>
              <w:top w:val="nil"/>
              <w:left w:val="nil"/>
              <w:bottom w:val="single" w:sz="8" w:space="0" w:color="auto"/>
              <w:right w:val="single" w:sz="8" w:space="0" w:color="auto"/>
            </w:tcBorders>
          </w:tcPr>
          <w:p w14:paraId="35F3480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511E3949"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70</w:t>
            </w:r>
          </w:p>
        </w:tc>
        <w:tc>
          <w:tcPr>
            <w:tcW w:w="992" w:type="dxa"/>
            <w:tcBorders>
              <w:top w:val="nil"/>
              <w:left w:val="nil"/>
              <w:bottom w:val="single" w:sz="8" w:space="0" w:color="auto"/>
              <w:right w:val="single" w:sz="12" w:space="0" w:color="auto"/>
            </w:tcBorders>
          </w:tcPr>
          <w:p w14:paraId="0F88871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03B2D0C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44B7D6F7" w14:textId="77777777" w:rsidTr="00A432B0">
        <w:trPr>
          <w:trHeight w:val="64"/>
        </w:trPr>
        <w:tc>
          <w:tcPr>
            <w:tcW w:w="938" w:type="dxa"/>
            <w:tcBorders>
              <w:top w:val="nil"/>
              <w:left w:val="single" w:sz="12" w:space="0" w:color="auto"/>
              <w:bottom w:val="single" w:sz="8" w:space="0" w:color="auto"/>
              <w:right w:val="single" w:sz="8" w:space="0" w:color="auto"/>
            </w:tcBorders>
          </w:tcPr>
          <w:p w14:paraId="63DFDD4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1E38F3E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Maize respiration</w:t>
            </w:r>
          </w:p>
        </w:tc>
        <w:tc>
          <w:tcPr>
            <w:tcW w:w="2127" w:type="dxa"/>
            <w:tcBorders>
              <w:top w:val="nil"/>
              <w:left w:val="nil"/>
              <w:bottom w:val="single" w:sz="8" w:space="0" w:color="auto"/>
              <w:right w:val="single" w:sz="8" w:space="0" w:color="auto"/>
            </w:tcBorders>
          </w:tcPr>
          <w:p w14:paraId="09F1386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Loamy and Wageningen D</w:t>
            </w:r>
          </w:p>
        </w:tc>
        <w:tc>
          <w:tcPr>
            <w:tcW w:w="567" w:type="dxa"/>
            <w:tcBorders>
              <w:top w:val="nil"/>
              <w:left w:val="nil"/>
              <w:bottom w:val="single" w:sz="8" w:space="0" w:color="auto"/>
              <w:right w:val="single" w:sz="8" w:space="0" w:color="auto"/>
            </w:tcBorders>
          </w:tcPr>
          <w:p w14:paraId="060DF20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5</w:t>
            </w:r>
          </w:p>
        </w:tc>
        <w:tc>
          <w:tcPr>
            <w:tcW w:w="708" w:type="dxa"/>
            <w:tcBorders>
              <w:top w:val="nil"/>
              <w:left w:val="nil"/>
              <w:bottom w:val="single" w:sz="8" w:space="0" w:color="auto"/>
              <w:right w:val="single" w:sz="8" w:space="0" w:color="auto"/>
            </w:tcBorders>
          </w:tcPr>
          <w:p w14:paraId="600AE73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2.3</w:t>
            </w:r>
          </w:p>
        </w:tc>
        <w:tc>
          <w:tcPr>
            <w:tcW w:w="709" w:type="dxa"/>
            <w:tcBorders>
              <w:top w:val="nil"/>
              <w:left w:val="nil"/>
              <w:bottom w:val="single" w:sz="8" w:space="0" w:color="auto"/>
              <w:right w:val="single" w:sz="8" w:space="0" w:color="auto"/>
            </w:tcBorders>
          </w:tcPr>
          <w:p w14:paraId="1D55C9D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9</w:t>
            </w:r>
          </w:p>
        </w:tc>
        <w:tc>
          <w:tcPr>
            <w:tcW w:w="851" w:type="dxa"/>
            <w:tcBorders>
              <w:top w:val="nil"/>
              <w:left w:val="nil"/>
              <w:bottom w:val="single" w:sz="8" w:space="0" w:color="auto"/>
              <w:right w:val="single" w:sz="8" w:space="0" w:color="auto"/>
            </w:tcBorders>
          </w:tcPr>
          <w:p w14:paraId="7F2CAC78"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850" w:type="dxa"/>
            <w:tcBorders>
              <w:top w:val="nil"/>
              <w:left w:val="nil"/>
              <w:bottom w:val="single" w:sz="8" w:space="0" w:color="auto"/>
              <w:right w:val="single" w:sz="8" w:space="0" w:color="auto"/>
            </w:tcBorders>
          </w:tcPr>
          <w:p w14:paraId="6FE16B5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1.9</w:t>
            </w:r>
          </w:p>
        </w:tc>
        <w:tc>
          <w:tcPr>
            <w:tcW w:w="992" w:type="dxa"/>
            <w:tcBorders>
              <w:top w:val="nil"/>
              <w:left w:val="nil"/>
              <w:bottom w:val="single" w:sz="8" w:space="0" w:color="auto"/>
              <w:right w:val="single" w:sz="8" w:space="0" w:color="auto"/>
            </w:tcBorders>
          </w:tcPr>
          <w:p w14:paraId="35E0745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851" w:type="dxa"/>
            <w:tcBorders>
              <w:top w:val="single" w:sz="8" w:space="0" w:color="auto"/>
              <w:left w:val="nil"/>
              <w:bottom w:val="single" w:sz="8" w:space="0" w:color="auto"/>
              <w:right w:val="single" w:sz="8" w:space="0" w:color="000000"/>
            </w:tcBorders>
          </w:tcPr>
          <w:p w14:paraId="7EDB6E23"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83</w:t>
            </w:r>
          </w:p>
        </w:tc>
        <w:tc>
          <w:tcPr>
            <w:tcW w:w="992" w:type="dxa"/>
            <w:tcBorders>
              <w:top w:val="nil"/>
              <w:left w:val="nil"/>
              <w:bottom w:val="single" w:sz="8" w:space="0" w:color="auto"/>
              <w:right w:val="single" w:sz="8" w:space="0" w:color="auto"/>
            </w:tcBorders>
          </w:tcPr>
          <w:p w14:paraId="431D3AB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53614315"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102</w:t>
            </w:r>
          </w:p>
        </w:tc>
        <w:tc>
          <w:tcPr>
            <w:tcW w:w="992" w:type="dxa"/>
            <w:tcBorders>
              <w:top w:val="nil"/>
              <w:left w:val="nil"/>
              <w:bottom w:val="single" w:sz="8" w:space="0" w:color="auto"/>
              <w:right w:val="single" w:sz="12" w:space="0" w:color="auto"/>
            </w:tcBorders>
          </w:tcPr>
          <w:p w14:paraId="555771F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16BBFBCE"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4B9A69F1" w14:textId="77777777" w:rsidTr="00A432B0">
        <w:trPr>
          <w:trHeight w:val="64"/>
        </w:trPr>
        <w:tc>
          <w:tcPr>
            <w:tcW w:w="938" w:type="dxa"/>
            <w:tcBorders>
              <w:top w:val="nil"/>
              <w:left w:val="single" w:sz="12" w:space="0" w:color="auto"/>
              <w:bottom w:val="single" w:sz="8" w:space="0" w:color="auto"/>
              <w:right w:val="single" w:sz="8" w:space="0" w:color="auto"/>
            </w:tcBorders>
          </w:tcPr>
          <w:p w14:paraId="5BBEA65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3C00EF1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Maize respiration</w:t>
            </w:r>
          </w:p>
        </w:tc>
        <w:tc>
          <w:tcPr>
            <w:tcW w:w="2127" w:type="dxa"/>
            <w:tcBorders>
              <w:top w:val="nil"/>
              <w:left w:val="nil"/>
              <w:bottom w:val="single" w:sz="8" w:space="0" w:color="auto"/>
              <w:right w:val="single" w:sz="8" w:space="0" w:color="auto"/>
            </w:tcBorders>
          </w:tcPr>
          <w:p w14:paraId="0AE10CC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      Woburn salt</w:t>
            </w:r>
          </w:p>
        </w:tc>
        <w:tc>
          <w:tcPr>
            <w:tcW w:w="567" w:type="dxa"/>
            <w:tcBorders>
              <w:top w:val="nil"/>
              <w:left w:val="nil"/>
              <w:bottom w:val="single" w:sz="8" w:space="0" w:color="auto"/>
              <w:right w:val="single" w:sz="8" w:space="0" w:color="auto"/>
            </w:tcBorders>
          </w:tcPr>
          <w:p w14:paraId="76B372A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6.5</w:t>
            </w:r>
          </w:p>
        </w:tc>
        <w:tc>
          <w:tcPr>
            <w:tcW w:w="708" w:type="dxa"/>
            <w:tcBorders>
              <w:top w:val="nil"/>
              <w:left w:val="nil"/>
              <w:bottom w:val="single" w:sz="8" w:space="0" w:color="auto"/>
              <w:right w:val="single" w:sz="8" w:space="0" w:color="auto"/>
            </w:tcBorders>
          </w:tcPr>
          <w:p w14:paraId="5D42340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0.2</w:t>
            </w:r>
          </w:p>
        </w:tc>
        <w:tc>
          <w:tcPr>
            <w:tcW w:w="709" w:type="dxa"/>
            <w:tcBorders>
              <w:top w:val="nil"/>
              <w:left w:val="nil"/>
              <w:bottom w:val="single" w:sz="8" w:space="0" w:color="auto"/>
              <w:right w:val="single" w:sz="8" w:space="0" w:color="auto"/>
            </w:tcBorders>
          </w:tcPr>
          <w:p w14:paraId="4FD2D5C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w:t>
            </w:r>
          </w:p>
        </w:tc>
        <w:tc>
          <w:tcPr>
            <w:tcW w:w="851" w:type="dxa"/>
            <w:tcBorders>
              <w:top w:val="nil"/>
              <w:left w:val="nil"/>
              <w:bottom w:val="single" w:sz="8" w:space="0" w:color="auto"/>
              <w:right w:val="single" w:sz="8" w:space="0" w:color="auto"/>
            </w:tcBorders>
          </w:tcPr>
          <w:p w14:paraId="665FCF9D"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13</w:t>
            </w:r>
          </w:p>
        </w:tc>
        <w:tc>
          <w:tcPr>
            <w:tcW w:w="850" w:type="dxa"/>
            <w:tcBorders>
              <w:top w:val="nil"/>
              <w:left w:val="nil"/>
              <w:bottom w:val="single" w:sz="8" w:space="0" w:color="auto"/>
              <w:right w:val="single" w:sz="8" w:space="0" w:color="auto"/>
            </w:tcBorders>
          </w:tcPr>
          <w:p w14:paraId="04ACAD34"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8.4</w:t>
            </w:r>
          </w:p>
        </w:tc>
        <w:tc>
          <w:tcPr>
            <w:tcW w:w="992" w:type="dxa"/>
            <w:tcBorders>
              <w:top w:val="nil"/>
              <w:left w:val="nil"/>
              <w:bottom w:val="single" w:sz="8" w:space="0" w:color="auto"/>
              <w:right w:val="single" w:sz="8" w:space="0" w:color="auto"/>
            </w:tcBorders>
          </w:tcPr>
          <w:p w14:paraId="6F7D5E5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851" w:type="dxa"/>
            <w:tcBorders>
              <w:top w:val="single" w:sz="8" w:space="0" w:color="auto"/>
              <w:left w:val="nil"/>
              <w:bottom w:val="single" w:sz="8" w:space="0" w:color="auto"/>
              <w:right w:val="single" w:sz="8" w:space="0" w:color="000000"/>
            </w:tcBorders>
          </w:tcPr>
          <w:p w14:paraId="3798D6C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8" w:space="0" w:color="auto"/>
            </w:tcBorders>
          </w:tcPr>
          <w:p w14:paraId="7D750395"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&gt;200</w:t>
            </w:r>
          </w:p>
        </w:tc>
        <w:tc>
          <w:tcPr>
            <w:tcW w:w="851" w:type="dxa"/>
            <w:tcBorders>
              <w:top w:val="single" w:sz="8" w:space="0" w:color="auto"/>
              <w:left w:val="nil"/>
              <w:bottom w:val="single" w:sz="8" w:space="0" w:color="auto"/>
              <w:right w:val="single" w:sz="8" w:space="0" w:color="000000"/>
            </w:tcBorders>
          </w:tcPr>
          <w:p w14:paraId="0D17632B"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992" w:type="dxa"/>
            <w:tcBorders>
              <w:top w:val="nil"/>
              <w:left w:val="nil"/>
              <w:bottom w:val="single" w:sz="8" w:space="0" w:color="auto"/>
              <w:right w:val="single" w:sz="12" w:space="0" w:color="auto"/>
            </w:tcBorders>
          </w:tcPr>
          <w:p w14:paraId="55441BC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&gt;213</w:t>
            </w:r>
          </w:p>
        </w:tc>
        <w:tc>
          <w:tcPr>
            <w:tcW w:w="2410" w:type="dxa"/>
            <w:tcBorders>
              <w:top w:val="nil"/>
              <w:left w:val="nil"/>
              <w:bottom w:val="single" w:sz="8" w:space="0" w:color="auto"/>
              <w:right w:val="single" w:sz="12" w:space="0" w:color="auto"/>
            </w:tcBorders>
          </w:tcPr>
          <w:p w14:paraId="30EB3D4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r w:rsidR="00632208" w:rsidRPr="0098635C" w14:paraId="36281633" w14:textId="77777777" w:rsidTr="00A432B0">
        <w:trPr>
          <w:trHeight w:val="64"/>
        </w:trPr>
        <w:tc>
          <w:tcPr>
            <w:tcW w:w="938" w:type="dxa"/>
            <w:tcBorders>
              <w:top w:val="nil"/>
              <w:left w:val="single" w:sz="12" w:space="0" w:color="auto"/>
              <w:bottom w:val="single" w:sz="8" w:space="0" w:color="auto"/>
              <w:right w:val="single" w:sz="8" w:space="0" w:color="auto"/>
            </w:tcBorders>
          </w:tcPr>
          <w:p w14:paraId="7DDF0F46"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CuCl</w:t>
            </w:r>
            <w:r w:rsidRPr="0098635C">
              <w:rPr>
                <w:rFonts w:ascii="Arial Narrow" w:hAnsi="Arial Narrow" w:cs="Arial Narrow"/>
                <w:color w:val="000000" w:themeColor="text1"/>
                <w:sz w:val="20"/>
                <w:szCs w:val="20"/>
                <w:vertAlign w:val="subscript"/>
              </w:rPr>
              <w:t>2</w:t>
            </w:r>
          </w:p>
        </w:tc>
        <w:tc>
          <w:tcPr>
            <w:tcW w:w="1276" w:type="dxa"/>
            <w:tcBorders>
              <w:top w:val="nil"/>
              <w:left w:val="nil"/>
              <w:bottom w:val="single" w:sz="8" w:space="0" w:color="auto"/>
              <w:right w:val="single" w:sz="8" w:space="0" w:color="auto"/>
            </w:tcBorders>
          </w:tcPr>
          <w:p w14:paraId="7159F0A1"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Maize respiration</w:t>
            </w:r>
          </w:p>
        </w:tc>
        <w:tc>
          <w:tcPr>
            <w:tcW w:w="2127" w:type="dxa"/>
            <w:tcBorders>
              <w:top w:val="nil"/>
              <w:left w:val="nil"/>
              <w:bottom w:val="single" w:sz="8" w:space="0" w:color="auto"/>
              <w:right w:val="single" w:sz="8" w:space="0" w:color="auto"/>
            </w:tcBorders>
          </w:tcPr>
          <w:p w14:paraId="2271489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Sand       Woburn cake</w:t>
            </w:r>
          </w:p>
        </w:tc>
        <w:tc>
          <w:tcPr>
            <w:tcW w:w="567" w:type="dxa"/>
            <w:tcBorders>
              <w:top w:val="nil"/>
              <w:left w:val="nil"/>
              <w:bottom w:val="single" w:sz="8" w:space="0" w:color="auto"/>
              <w:right w:val="single" w:sz="8" w:space="0" w:color="auto"/>
            </w:tcBorders>
          </w:tcPr>
          <w:p w14:paraId="6EFAF60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6.5</w:t>
            </w:r>
          </w:p>
        </w:tc>
        <w:tc>
          <w:tcPr>
            <w:tcW w:w="708" w:type="dxa"/>
            <w:tcBorders>
              <w:top w:val="nil"/>
              <w:left w:val="nil"/>
              <w:bottom w:val="single" w:sz="8" w:space="0" w:color="auto"/>
              <w:right w:val="single" w:sz="8" w:space="0" w:color="auto"/>
            </w:tcBorders>
          </w:tcPr>
          <w:p w14:paraId="2CBCC887"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0.3</w:t>
            </w:r>
          </w:p>
        </w:tc>
        <w:tc>
          <w:tcPr>
            <w:tcW w:w="709" w:type="dxa"/>
            <w:tcBorders>
              <w:top w:val="nil"/>
              <w:left w:val="nil"/>
              <w:bottom w:val="single" w:sz="8" w:space="0" w:color="auto"/>
              <w:right w:val="single" w:sz="8" w:space="0" w:color="auto"/>
            </w:tcBorders>
          </w:tcPr>
          <w:p w14:paraId="6165AB32"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8</w:t>
            </w:r>
          </w:p>
        </w:tc>
        <w:tc>
          <w:tcPr>
            <w:tcW w:w="851" w:type="dxa"/>
            <w:tcBorders>
              <w:top w:val="nil"/>
              <w:left w:val="nil"/>
              <w:bottom w:val="single" w:sz="8" w:space="0" w:color="auto"/>
              <w:right w:val="single" w:sz="8" w:space="0" w:color="auto"/>
            </w:tcBorders>
          </w:tcPr>
          <w:p w14:paraId="14659A4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35</w:t>
            </w:r>
          </w:p>
        </w:tc>
        <w:tc>
          <w:tcPr>
            <w:tcW w:w="850" w:type="dxa"/>
            <w:tcBorders>
              <w:top w:val="nil"/>
              <w:left w:val="nil"/>
              <w:bottom w:val="single" w:sz="8" w:space="0" w:color="auto"/>
              <w:right w:val="single" w:sz="8" w:space="0" w:color="auto"/>
            </w:tcBorders>
          </w:tcPr>
          <w:p w14:paraId="18DD1620"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11.6</w:t>
            </w:r>
          </w:p>
        </w:tc>
        <w:tc>
          <w:tcPr>
            <w:tcW w:w="992" w:type="dxa"/>
            <w:tcBorders>
              <w:top w:val="nil"/>
              <w:left w:val="nil"/>
              <w:bottom w:val="single" w:sz="8" w:space="0" w:color="auto"/>
              <w:right w:val="single" w:sz="8" w:space="0" w:color="auto"/>
            </w:tcBorders>
          </w:tcPr>
          <w:p w14:paraId="74A68C29"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28</w:t>
            </w:r>
          </w:p>
        </w:tc>
        <w:tc>
          <w:tcPr>
            <w:tcW w:w="851" w:type="dxa"/>
            <w:tcBorders>
              <w:top w:val="single" w:sz="8" w:space="0" w:color="auto"/>
              <w:left w:val="nil"/>
              <w:bottom w:val="single" w:sz="8" w:space="0" w:color="auto"/>
              <w:right w:val="single" w:sz="8" w:space="0" w:color="000000"/>
            </w:tcBorders>
          </w:tcPr>
          <w:p w14:paraId="345BE620"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100</w:t>
            </w:r>
          </w:p>
        </w:tc>
        <w:tc>
          <w:tcPr>
            <w:tcW w:w="992" w:type="dxa"/>
            <w:tcBorders>
              <w:top w:val="nil"/>
              <w:left w:val="nil"/>
              <w:bottom w:val="single" w:sz="8" w:space="0" w:color="auto"/>
              <w:right w:val="single" w:sz="8" w:space="0" w:color="auto"/>
            </w:tcBorders>
          </w:tcPr>
          <w:p w14:paraId="44981C63"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851" w:type="dxa"/>
            <w:tcBorders>
              <w:top w:val="single" w:sz="8" w:space="0" w:color="auto"/>
              <w:left w:val="nil"/>
              <w:bottom w:val="single" w:sz="8" w:space="0" w:color="auto"/>
              <w:right w:val="single" w:sz="8" w:space="0" w:color="000000"/>
            </w:tcBorders>
          </w:tcPr>
          <w:p w14:paraId="1A85D5BD" w14:textId="77777777" w:rsidR="00632208" w:rsidRPr="0098635C" w:rsidRDefault="00632208" w:rsidP="00A432B0">
            <w:pPr>
              <w:spacing w:after="0"/>
              <w:jc w:val="center"/>
              <w:rPr>
                <w:rFonts w:ascii="Arial Narrow" w:hAnsi="Arial Narrow" w:cs="Arial Narrow"/>
                <w:color w:val="000000" w:themeColor="text1"/>
                <w:sz w:val="20"/>
                <w:szCs w:val="20"/>
                <w:u w:val="single"/>
              </w:rPr>
            </w:pPr>
            <w:r w:rsidRPr="0098635C">
              <w:rPr>
                <w:rFonts w:ascii="Arial Narrow" w:hAnsi="Arial Narrow" w:cs="Arial Narrow"/>
                <w:color w:val="000000" w:themeColor="text1"/>
                <w:sz w:val="20"/>
                <w:szCs w:val="20"/>
                <w:u w:val="single"/>
              </w:rPr>
              <w:t>135</w:t>
            </w:r>
          </w:p>
        </w:tc>
        <w:tc>
          <w:tcPr>
            <w:tcW w:w="992" w:type="dxa"/>
            <w:tcBorders>
              <w:top w:val="nil"/>
              <w:left w:val="nil"/>
              <w:bottom w:val="single" w:sz="8" w:space="0" w:color="auto"/>
              <w:right w:val="single" w:sz="12" w:space="0" w:color="auto"/>
            </w:tcBorders>
          </w:tcPr>
          <w:p w14:paraId="1B6569FC"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 </w:t>
            </w:r>
          </w:p>
        </w:tc>
        <w:tc>
          <w:tcPr>
            <w:tcW w:w="2410" w:type="dxa"/>
            <w:tcBorders>
              <w:top w:val="nil"/>
              <w:left w:val="nil"/>
              <w:bottom w:val="single" w:sz="8" w:space="0" w:color="auto"/>
              <w:right w:val="single" w:sz="12" w:space="0" w:color="auto"/>
            </w:tcBorders>
          </w:tcPr>
          <w:p w14:paraId="1C9FB67A" w14:textId="77777777" w:rsidR="00632208" w:rsidRPr="0098635C" w:rsidRDefault="00632208" w:rsidP="00A432B0">
            <w:pPr>
              <w:spacing w:after="0"/>
              <w:jc w:val="center"/>
              <w:rPr>
                <w:rFonts w:ascii="Arial Narrow" w:hAnsi="Arial Narrow" w:cs="Arial Narrow"/>
                <w:color w:val="000000" w:themeColor="text1"/>
                <w:sz w:val="20"/>
                <w:szCs w:val="20"/>
              </w:rPr>
            </w:pPr>
            <w:r w:rsidRPr="0098635C">
              <w:rPr>
                <w:rFonts w:ascii="Arial Narrow" w:hAnsi="Arial Narrow" w:cs="Arial Narrow"/>
                <w:color w:val="000000" w:themeColor="text1"/>
                <w:sz w:val="20"/>
                <w:szCs w:val="20"/>
              </w:rPr>
              <w:t>Smolders and Oorts, 2004</w:t>
            </w:r>
          </w:p>
        </w:tc>
      </w:tr>
    </w:tbl>
    <w:p w14:paraId="3AE87EFD" w14:textId="77777777" w:rsidR="00632208" w:rsidRPr="0098635C" w:rsidRDefault="00632208" w:rsidP="00632208">
      <w:pPr>
        <w:spacing w:before="200"/>
        <w:rPr>
          <w:color w:val="000000" w:themeColor="text1"/>
          <w:sz w:val="20"/>
          <w:szCs w:val="20"/>
        </w:rPr>
      </w:pPr>
    </w:p>
    <w:p w14:paraId="045C8F4C" w14:textId="77777777" w:rsidR="00632208" w:rsidRPr="0098635C" w:rsidRDefault="00632208" w:rsidP="00632208">
      <w:pPr>
        <w:pStyle w:val="BodyText"/>
        <w:rPr>
          <w:color w:val="000000" w:themeColor="text1"/>
          <w:sz w:val="20"/>
        </w:rPr>
      </w:pPr>
    </w:p>
    <w:p w14:paraId="6DF212D9" w14:textId="77777777" w:rsidR="00632208" w:rsidRPr="0098635C" w:rsidRDefault="00632208" w:rsidP="00632208">
      <w:pPr>
        <w:pStyle w:val="BodyText"/>
        <w:rPr>
          <w:color w:val="000000" w:themeColor="text1"/>
          <w:sz w:val="20"/>
        </w:rPr>
      </w:pPr>
    </w:p>
    <w:p w14:paraId="7ACA1088" w14:textId="77777777" w:rsidR="00632208" w:rsidRPr="0098635C" w:rsidRDefault="00632208" w:rsidP="00632208">
      <w:pPr>
        <w:pStyle w:val="BodyText"/>
        <w:rPr>
          <w:color w:val="000000" w:themeColor="text1"/>
          <w:sz w:val="20"/>
        </w:rPr>
      </w:pPr>
    </w:p>
    <w:p w14:paraId="34E91B6E" w14:textId="77777777" w:rsidR="00632208" w:rsidRPr="0098635C" w:rsidRDefault="00632208" w:rsidP="00632208">
      <w:pPr>
        <w:pStyle w:val="BodyText"/>
        <w:rPr>
          <w:color w:val="000000" w:themeColor="text1"/>
          <w:sz w:val="20"/>
        </w:rPr>
      </w:pPr>
    </w:p>
    <w:p w14:paraId="6DCE25B2" w14:textId="77777777" w:rsidR="00632208" w:rsidRPr="0098635C" w:rsidRDefault="00632208" w:rsidP="00632208">
      <w:pPr>
        <w:pStyle w:val="BodyText"/>
        <w:rPr>
          <w:color w:val="000000" w:themeColor="text1"/>
          <w:sz w:val="20"/>
        </w:rPr>
      </w:pPr>
    </w:p>
    <w:bookmarkEnd w:id="2015"/>
    <w:bookmarkEnd w:id="2016"/>
    <w:bookmarkEnd w:id="2019"/>
    <w:bookmarkEnd w:id="2020"/>
    <w:bookmarkEnd w:id="2021"/>
    <w:p w14:paraId="20685286" w14:textId="43E05F9F" w:rsidR="00AD2A80" w:rsidRPr="0098635C" w:rsidRDefault="00AD2A80" w:rsidP="00EC6F09">
      <w:pPr>
        <w:spacing w:line="276" w:lineRule="auto"/>
        <w:outlineLvl w:val="0"/>
        <w:rPr>
          <w:color w:val="000000" w:themeColor="text1"/>
          <w:sz w:val="20"/>
          <w:szCs w:val="20"/>
        </w:rPr>
      </w:pPr>
    </w:p>
    <w:p w14:paraId="0E35D725" w14:textId="1D9E8C33" w:rsidR="00304EA1" w:rsidRPr="0098635C" w:rsidRDefault="00304EA1">
      <w:pPr>
        <w:pStyle w:val="BodyText"/>
        <w:rPr>
          <w:color w:val="000000" w:themeColor="text1"/>
          <w:sz w:val="20"/>
        </w:rPr>
      </w:pPr>
    </w:p>
    <w:p w14:paraId="428B5220" w14:textId="66753BB8" w:rsidR="00304EA1" w:rsidRPr="0098635C" w:rsidRDefault="00304EA1">
      <w:pPr>
        <w:pStyle w:val="BodyText"/>
        <w:rPr>
          <w:color w:val="000000" w:themeColor="text1"/>
          <w:sz w:val="20"/>
        </w:rPr>
      </w:pPr>
    </w:p>
    <w:p w14:paraId="75DA6B7D" w14:textId="3A80EEB7" w:rsidR="00304EA1" w:rsidRPr="0098635C" w:rsidRDefault="00304EA1">
      <w:pPr>
        <w:pStyle w:val="BodyText"/>
        <w:rPr>
          <w:color w:val="000000" w:themeColor="text1"/>
          <w:sz w:val="20"/>
        </w:rPr>
      </w:pPr>
    </w:p>
    <w:p w14:paraId="575AA0C1" w14:textId="77777777" w:rsidR="00304EA1" w:rsidRPr="0098635C" w:rsidRDefault="00304EA1">
      <w:pPr>
        <w:pStyle w:val="BodyText"/>
        <w:rPr>
          <w:color w:val="000000" w:themeColor="text1"/>
          <w:sz w:val="20"/>
        </w:rPr>
      </w:pPr>
    </w:p>
    <w:sectPr w:rsidR="00304EA1" w:rsidRPr="0098635C" w:rsidSect="00304EA1">
      <w:headerReference w:type="even" r:id="rId47"/>
      <w:headerReference w:type="default" r:id="rId48"/>
      <w:footerReference w:type="even" r:id="rId49"/>
      <w:footerReference w:type="default" r:id="rId50"/>
      <w:headerReference w:type="first" r:id="rId51"/>
      <w:footerReference w:type="first" r:id="rId52"/>
      <w:pgSz w:w="16840" w:h="11900" w:orient="landscape" w:code="9"/>
      <w:pgMar w:top="1134" w:right="1134" w:bottom="1134" w:left="1418" w:header="737" w:footer="73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69ECCA7" w14:textId="77777777" w:rsidR="0059369A" w:rsidRDefault="0059369A" w:rsidP="000B6432">
      <w:r>
        <w:separator/>
      </w:r>
    </w:p>
  </w:endnote>
  <w:endnote w:type="continuationSeparator" w:id="0">
    <w:p w14:paraId="576A7B8E" w14:textId="77777777" w:rsidR="0059369A" w:rsidRDefault="0059369A" w:rsidP="000B64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AFF" w:usb1="C0007841" w:usb2="00000009" w:usb3="00000000" w:csb0="000001FF" w:csb1="00000000"/>
  </w:font>
  <w:font w:name="Times New Roman Bold">
    <w:panose1 w:val="02020803070505020304"/>
    <w:charset w:val="00"/>
    <w:family w:val="auto"/>
    <w:pitch w:val="variable"/>
    <w:sig w:usb0="E0002AEF" w:usb1="C0007841" w:usb2="00000009" w:usb3="00000000" w:csb0="000001FF" w:csb1="00000000"/>
  </w:font>
  <w:font w:name="Algerian">
    <w:panose1 w:val="04020705040A02060702"/>
    <w:charset w:val="00"/>
    <w:family w:val="decorativ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Univers">
    <w:altName w:val="Arial"/>
    <w:panose1 w:val="00000000000000000000"/>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Helvetica">
    <w:panose1 w:val="020B0604020202020204"/>
    <w:charset w:val="00"/>
    <w:family w:val="swiss"/>
    <w:pitch w:val="variable"/>
    <w:sig w:usb0="E0002EFF" w:usb1="C0007843" w:usb2="00000009" w:usb3="00000000" w:csb0="000001FF" w:csb1="00000000"/>
  </w:font>
  <w:font w:name="News Gothic">
    <w:charset w:val="00"/>
    <w:family w:val="auto"/>
    <w:pitch w:val="variable"/>
    <w:sig w:usb0="00000003" w:usb1="00000000" w:usb2="00000000" w:usb3="00000000" w:csb0="00000001" w:csb1="00000000"/>
  </w:font>
  <w:font w:name="Lucida Grande">
    <w:charset w:val="00"/>
    <w:family w:val="auto"/>
    <w:pitch w:val="variable"/>
    <w:sig w:usb0="E1000AEF" w:usb1="5000A1FF" w:usb2="00000000" w:usb3="00000000" w:csb0="000001BF" w:csb1="00000000"/>
  </w:font>
  <w:font w:name="Optimum">
    <w:panose1 w:val="00000000000000000000"/>
    <w:charset w:val="00"/>
    <w:family w:val="auto"/>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10601000101010101"/>
    <w:charset w:val="88"/>
    <w:family w:val="auto"/>
    <w:pitch w:val="variable"/>
    <w:sig w:usb0="00000001" w:usb1="0808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val="0"/>
      </w:rPr>
      <w:id w:val="2018339539"/>
      <w:docPartObj>
        <w:docPartGallery w:val="Page Numbers (Bottom of Page)"/>
        <w:docPartUnique/>
      </w:docPartObj>
    </w:sdtPr>
    <w:sdtEndPr>
      <w:rPr>
        <w:noProof/>
      </w:rPr>
    </w:sdtEndPr>
    <w:sdtContent>
      <w:p w14:paraId="3BCE91CC" w14:textId="7E08D2BB" w:rsidR="004F5C51" w:rsidRDefault="004F5C51">
        <w:pPr>
          <w:pStyle w:val="Footer"/>
        </w:pPr>
        <w:r>
          <w:rPr>
            <w:noProof w:val="0"/>
          </w:rPr>
          <w:fldChar w:fldCharType="begin"/>
        </w:r>
        <w:r>
          <w:instrText xml:space="preserve"> PAGE   \* MERGEFORMAT </w:instrText>
        </w:r>
        <w:r>
          <w:rPr>
            <w:noProof w:val="0"/>
          </w:rPr>
          <w:fldChar w:fldCharType="separate"/>
        </w:r>
        <w:r>
          <w:t>24</w:t>
        </w:r>
        <w:r>
          <w:fldChar w:fldCharType="end"/>
        </w:r>
      </w:p>
    </w:sdtContent>
  </w:sdt>
  <w:p w14:paraId="488FF10D" w14:textId="77777777" w:rsidR="0098635C" w:rsidRDefault="0098635C">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CellMar>
        <w:left w:w="0" w:type="dxa"/>
        <w:right w:w="0" w:type="dxa"/>
      </w:tblCellMar>
      <w:tblLook w:val="0000" w:firstRow="0" w:lastRow="0" w:firstColumn="0" w:lastColumn="0" w:noHBand="0" w:noVBand="0"/>
    </w:tblPr>
    <w:tblGrid>
      <w:gridCol w:w="3009"/>
      <w:gridCol w:w="3009"/>
      <w:gridCol w:w="3009"/>
    </w:tblGrid>
    <w:tr w:rsidR="002C2BB0" w14:paraId="67C3E43B" w14:textId="77777777">
      <w:tc>
        <w:tcPr>
          <w:tcW w:w="3009" w:type="dxa"/>
          <w:tcBorders>
            <w:top w:val="single" w:sz="4" w:space="0" w:color="000000"/>
            <w:left w:val="nil"/>
            <w:bottom w:val="nil"/>
            <w:right w:val="nil"/>
          </w:tcBorders>
          <w:vAlign w:val="bottom"/>
        </w:tcPr>
        <w:p w14:paraId="7DCA85EF" w14:textId="77777777" w:rsidR="002C2BB0" w:rsidRDefault="002C2BB0">
          <w:r>
            <w:rPr>
              <w:color w:val="000000"/>
            </w:rPr>
            <w:t>2010-06-23 CSR-PI-5.2.1</w:t>
          </w:r>
        </w:p>
      </w:tc>
      <w:tc>
        <w:tcPr>
          <w:tcW w:w="3009" w:type="dxa"/>
          <w:tcBorders>
            <w:top w:val="single" w:sz="4" w:space="0" w:color="000000"/>
            <w:left w:val="nil"/>
            <w:bottom w:val="nil"/>
            <w:right w:val="nil"/>
          </w:tcBorders>
          <w:vAlign w:val="bottom"/>
        </w:tcPr>
        <w:p w14:paraId="5D8113A4" w14:textId="77777777" w:rsidR="002C2BB0" w:rsidRDefault="002C2BB0">
          <w:pPr>
            <w:jc w:val="center"/>
          </w:pPr>
          <w:r>
            <w:rPr>
              <w:color w:val="000000"/>
            </w:rPr>
            <w:t>CHEMICAL SAFETY REPORT</w:t>
          </w:r>
        </w:p>
      </w:tc>
      <w:tc>
        <w:tcPr>
          <w:tcW w:w="3009" w:type="dxa"/>
          <w:tcBorders>
            <w:top w:val="single" w:sz="4" w:space="0" w:color="000000"/>
            <w:left w:val="nil"/>
            <w:bottom w:val="nil"/>
            <w:right w:val="nil"/>
          </w:tcBorders>
          <w:vAlign w:val="bottom"/>
        </w:tcPr>
        <w:p w14:paraId="3BDB511F" w14:textId="77777777" w:rsidR="002C2BB0" w:rsidRDefault="002C2BB0">
          <w:pPr>
            <w:jc w:val="right"/>
          </w:pPr>
          <w:r>
            <w:rPr>
              <w:color w:val="000000"/>
            </w:rPr>
            <w:pgNum/>
          </w:r>
        </w:p>
      </w:tc>
    </w:tr>
  </w:tbl>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CellMar>
        <w:left w:w="0" w:type="dxa"/>
        <w:right w:w="0" w:type="dxa"/>
      </w:tblCellMar>
      <w:tblLook w:val="0000" w:firstRow="0" w:lastRow="0" w:firstColumn="0" w:lastColumn="0" w:noHBand="0" w:noVBand="0"/>
    </w:tblPr>
    <w:tblGrid>
      <w:gridCol w:w="3009"/>
      <w:gridCol w:w="3009"/>
      <w:gridCol w:w="3009"/>
    </w:tblGrid>
    <w:tr w:rsidR="002C2BB0" w14:paraId="1D1D253A" w14:textId="77777777">
      <w:tc>
        <w:tcPr>
          <w:tcW w:w="3009" w:type="dxa"/>
          <w:tcBorders>
            <w:top w:val="single" w:sz="4" w:space="0" w:color="000000"/>
            <w:left w:val="nil"/>
            <w:bottom w:val="nil"/>
            <w:right w:val="nil"/>
          </w:tcBorders>
          <w:vAlign w:val="bottom"/>
        </w:tcPr>
        <w:p w14:paraId="4073847C" w14:textId="77777777" w:rsidR="002C2BB0" w:rsidRDefault="002C2BB0">
          <w:r>
            <w:rPr>
              <w:color w:val="000000"/>
            </w:rPr>
            <w:t>2010-06-23 CSR-PI-5.2.1</w:t>
          </w:r>
        </w:p>
      </w:tc>
      <w:tc>
        <w:tcPr>
          <w:tcW w:w="3009" w:type="dxa"/>
          <w:tcBorders>
            <w:top w:val="single" w:sz="4" w:space="0" w:color="000000"/>
            <w:left w:val="nil"/>
            <w:bottom w:val="nil"/>
            <w:right w:val="nil"/>
          </w:tcBorders>
          <w:vAlign w:val="bottom"/>
        </w:tcPr>
        <w:p w14:paraId="2AAE59E5" w14:textId="77777777" w:rsidR="002C2BB0" w:rsidRDefault="002C2BB0">
          <w:pPr>
            <w:jc w:val="center"/>
          </w:pPr>
          <w:r>
            <w:rPr>
              <w:color w:val="000000"/>
            </w:rPr>
            <w:t>CHEMICAL SAFETY REPORT</w:t>
          </w:r>
        </w:p>
      </w:tc>
      <w:tc>
        <w:tcPr>
          <w:tcW w:w="3009" w:type="dxa"/>
          <w:tcBorders>
            <w:top w:val="single" w:sz="4" w:space="0" w:color="000000"/>
            <w:left w:val="nil"/>
            <w:bottom w:val="nil"/>
            <w:right w:val="nil"/>
          </w:tcBorders>
          <w:vAlign w:val="bottom"/>
        </w:tcPr>
        <w:p w14:paraId="7DBB7FA7" w14:textId="77777777" w:rsidR="002C2BB0" w:rsidRDefault="002C2BB0">
          <w:pPr>
            <w:jc w:val="right"/>
          </w:pPr>
          <w:r>
            <w:rPr>
              <w:color w:val="000000"/>
            </w:rPr>
            <w:pgNum/>
          </w:r>
        </w:p>
      </w:tc>
    </w:tr>
  </w:tbl>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CellMar>
        <w:left w:w="0" w:type="dxa"/>
        <w:right w:w="0" w:type="dxa"/>
      </w:tblCellMar>
      <w:tblLook w:val="0000" w:firstRow="0" w:lastRow="0" w:firstColumn="0" w:lastColumn="0" w:noHBand="0" w:noVBand="0"/>
    </w:tblPr>
    <w:tblGrid>
      <w:gridCol w:w="3009"/>
      <w:gridCol w:w="3009"/>
      <w:gridCol w:w="3009"/>
    </w:tblGrid>
    <w:tr w:rsidR="002C2BB0" w14:paraId="682A7BF9" w14:textId="77777777">
      <w:tc>
        <w:tcPr>
          <w:tcW w:w="3009" w:type="dxa"/>
          <w:tcBorders>
            <w:top w:val="single" w:sz="4" w:space="0" w:color="000000"/>
            <w:left w:val="nil"/>
            <w:bottom w:val="nil"/>
            <w:right w:val="nil"/>
          </w:tcBorders>
          <w:vAlign w:val="bottom"/>
        </w:tcPr>
        <w:p w14:paraId="7D3178DA" w14:textId="77777777" w:rsidR="002C2BB0" w:rsidRDefault="002C2BB0">
          <w:r>
            <w:rPr>
              <w:color w:val="000000"/>
            </w:rPr>
            <w:t>2010-08-18 CSR-Copper</w:t>
          </w:r>
        </w:p>
      </w:tc>
      <w:tc>
        <w:tcPr>
          <w:tcW w:w="3009" w:type="dxa"/>
          <w:tcBorders>
            <w:top w:val="single" w:sz="4" w:space="0" w:color="000000"/>
            <w:left w:val="nil"/>
            <w:bottom w:val="nil"/>
            <w:right w:val="nil"/>
          </w:tcBorders>
          <w:vAlign w:val="bottom"/>
        </w:tcPr>
        <w:p w14:paraId="6DF64FAF" w14:textId="77777777" w:rsidR="002C2BB0" w:rsidRDefault="002C2BB0">
          <w:pPr>
            <w:jc w:val="center"/>
          </w:pPr>
          <w:r>
            <w:rPr>
              <w:color w:val="000000"/>
            </w:rPr>
            <w:t>CHEMICAL SAFETY REPORT</w:t>
          </w:r>
        </w:p>
      </w:tc>
      <w:tc>
        <w:tcPr>
          <w:tcW w:w="3009" w:type="dxa"/>
          <w:tcBorders>
            <w:top w:val="single" w:sz="4" w:space="0" w:color="000000"/>
            <w:left w:val="nil"/>
            <w:bottom w:val="nil"/>
            <w:right w:val="nil"/>
          </w:tcBorders>
          <w:vAlign w:val="bottom"/>
        </w:tcPr>
        <w:p w14:paraId="1D5BDC98" w14:textId="77777777" w:rsidR="002C2BB0" w:rsidRDefault="002C2BB0">
          <w:pPr>
            <w:jc w:val="right"/>
          </w:pPr>
          <w:r>
            <w:rPr>
              <w:color w:val="000000"/>
            </w:rPr>
            <w:pgNum/>
          </w:r>
        </w:p>
      </w:tc>
    </w:tr>
  </w:tbl>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CellMar>
        <w:left w:w="0" w:type="dxa"/>
        <w:right w:w="0" w:type="dxa"/>
      </w:tblCellMar>
      <w:tblLook w:val="0000" w:firstRow="0" w:lastRow="0" w:firstColumn="0" w:lastColumn="0" w:noHBand="0" w:noVBand="0"/>
    </w:tblPr>
    <w:tblGrid>
      <w:gridCol w:w="3009"/>
      <w:gridCol w:w="3009"/>
      <w:gridCol w:w="3009"/>
    </w:tblGrid>
    <w:tr w:rsidR="002C2BB0" w14:paraId="4075F939" w14:textId="77777777">
      <w:tc>
        <w:tcPr>
          <w:tcW w:w="3009" w:type="dxa"/>
          <w:tcBorders>
            <w:top w:val="single" w:sz="4" w:space="0" w:color="000000"/>
            <w:left w:val="nil"/>
            <w:bottom w:val="nil"/>
            <w:right w:val="nil"/>
          </w:tcBorders>
          <w:vAlign w:val="bottom"/>
        </w:tcPr>
        <w:p w14:paraId="5BDC1194" w14:textId="77777777" w:rsidR="002C2BB0" w:rsidRDefault="002C2BB0">
          <w:r>
            <w:rPr>
              <w:color w:val="000000"/>
            </w:rPr>
            <w:t>2010-06-23 CSR-PI-5.2.1</w:t>
          </w:r>
        </w:p>
      </w:tc>
      <w:tc>
        <w:tcPr>
          <w:tcW w:w="3009" w:type="dxa"/>
          <w:tcBorders>
            <w:top w:val="single" w:sz="4" w:space="0" w:color="000000"/>
            <w:left w:val="nil"/>
            <w:bottom w:val="nil"/>
            <w:right w:val="nil"/>
          </w:tcBorders>
          <w:vAlign w:val="bottom"/>
        </w:tcPr>
        <w:p w14:paraId="249B46AA" w14:textId="77777777" w:rsidR="002C2BB0" w:rsidRDefault="002C2BB0">
          <w:pPr>
            <w:jc w:val="center"/>
          </w:pPr>
          <w:r>
            <w:rPr>
              <w:color w:val="000000"/>
            </w:rPr>
            <w:t>CHEMICAL SAFETY REPORT</w:t>
          </w:r>
        </w:p>
      </w:tc>
      <w:tc>
        <w:tcPr>
          <w:tcW w:w="3009" w:type="dxa"/>
          <w:tcBorders>
            <w:top w:val="single" w:sz="4" w:space="0" w:color="000000"/>
            <w:left w:val="nil"/>
            <w:bottom w:val="nil"/>
            <w:right w:val="nil"/>
          </w:tcBorders>
          <w:vAlign w:val="bottom"/>
        </w:tcPr>
        <w:p w14:paraId="73F2B0CF" w14:textId="77777777" w:rsidR="002C2BB0" w:rsidRDefault="002C2BB0">
          <w:pPr>
            <w:jc w:val="right"/>
          </w:pPr>
          <w:r>
            <w:rPr>
              <w:color w:val="000000"/>
            </w:rPr>
            <w:pgNum/>
          </w:r>
        </w:p>
      </w:tc>
    </w:tr>
  </w:tbl>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CellMar>
        <w:left w:w="0" w:type="dxa"/>
        <w:right w:w="0" w:type="dxa"/>
      </w:tblCellMar>
      <w:tblLook w:val="0000" w:firstRow="0" w:lastRow="0" w:firstColumn="0" w:lastColumn="0" w:noHBand="0" w:noVBand="0"/>
    </w:tblPr>
    <w:tblGrid>
      <w:gridCol w:w="3009"/>
      <w:gridCol w:w="3009"/>
      <w:gridCol w:w="3009"/>
    </w:tblGrid>
    <w:tr w:rsidR="002C2BB0" w14:paraId="2056753D" w14:textId="77777777">
      <w:tc>
        <w:tcPr>
          <w:tcW w:w="3009" w:type="dxa"/>
          <w:tcBorders>
            <w:top w:val="single" w:sz="4" w:space="0" w:color="000000"/>
            <w:left w:val="nil"/>
            <w:bottom w:val="nil"/>
            <w:right w:val="nil"/>
          </w:tcBorders>
          <w:vAlign w:val="bottom"/>
        </w:tcPr>
        <w:p w14:paraId="27210B3E" w14:textId="77777777" w:rsidR="002C2BB0" w:rsidRDefault="002C2BB0">
          <w:r>
            <w:rPr>
              <w:color w:val="000000"/>
            </w:rPr>
            <w:t>2010-06-23 CSR-PI-5.2.1</w:t>
          </w:r>
        </w:p>
      </w:tc>
      <w:tc>
        <w:tcPr>
          <w:tcW w:w="3009" w:type="dxa"/>
          <w:tcBorders>
            <w:top w:val="single" w:sz="4" w:space="0" w:color="000000"/>
            <w:left w:val="nil"/>
            <w:bottom w:val="nil"/>
            <w:right w:val="nil"/>
          </w:tcBorders>
          <w:vAlign w:val="bottom"/>
        </w:tcPr>
        <w:p w14:paraId="39B923D0" w14:textId="77777777" w:rsidR="002C2BB0" w:rsidRDefault="002C2BB0">
          <w:pPr>
            <w:jc w:val="center"/>
          </w:pPr>
          <w:r>
            <w:rPr>
              <w:color w:val="000000"/>
            </w:rPr>
            <w:t>CHEMICAL SAFETY REPORT</w:t>
          </w:r>
        </w:p>
      </w:tc>
      <w:tc>
        <w:tcPr>
          <w:tcW w:w="3009" w:type="dxa"/>
          <w:tcBorders>
            <w:top w:val="single" w:sz="4" w:space="0" w:color="000000"/>
            <w:left w:val="nil"/>
            <w:bottom w:val="nil"/>
            <w:right w:val="nil"/>
          </w:tcBorders>
          <w:vAlign w:val="bottom"/>
        </w:tcPr>
        <w:p w14:paraId="0E9FB7AF" w14:textId="77777777" w:rsidR="002C2BB0" w:rsidRDefault="002C2BB0">
          <w:pPr>
            <w:jc w:val="right"/>
          </w:pPr>
          <w:r>
            <w:rPr>
              <w:color w:val="000000"/>
            </w:rPr>
            <w:pgNum/>
          </w:r>
        </w:p>
      </w:tc>
    </w:tr>
  </w:tbl>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val="0"/>
      </w:rPr>
      <w:id w:val="-650747256"/>
      <w:docPartObj>
        <w:docPartGallery w:val="Page Numbers (Bottom of Page)"/>
        <w:docPartUnique/>
      </w:docPartObj>
    </w:sdtPr>
    <w:sdtEndPr>
      <w:rPr>
        <w:noProof/>
      </w:rPr>
    </w:sdtEndPr>
    <w:sdtContent>
      <w:p w14:paraId="0672D229" w14:textId="6BCB74E7" w:rsidR="004F5C51" w:rsidRDefault="004F5C51">
        <w:pPr>
          <w:pStyle w:val="Footer"/>
          <w:jc w:val="right"/>
        </w:pPr>
        <w:r>
          <w:rPr>
            <w:noProof w:val="0"/>
          </w:rPr>
          <w:fldChar w:fldCharType="begin"/>
        </w:r>
        <w:r>
          <w:instrText xml:space="preserve"> PAGE   \* MERGEFORMAT </w:instrText>
        </w:r>
        <w:r>
          <w:rPr>
            <w:noProof w:val="0"/>
          </w:rPr>
          <w:fldChar w:fldCharType="separate"/>
        </w:r>
        <w:r>
          <w:t>109</w:t>
        </w:r>
        <w:r>
          <w:fldChar w:fldCharType="end"/>
        </w:r>
      </w:p>
    </w:sdtContent>
  </w:sdt>
  <w:p w14:paraId="31D5174B" w14:textId="77777777" w:rsidR="0098635C" w:rsidRDefault="0098635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A13CC7" w14:textId="77777777" w:rsidR="004F5C51" w:rsidRDefault="004F5C5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42185D" w14:textId="4A927710" w:rsidR="002C2BB0" w:rsidRDefault="002C2BB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sidR="004F5C51">
      <w:rPr>
        <w:rStyle w:val="PageNumber"/>
      </w:rPr>
      <w:fldChar w:fldCharType="separate"/>
    </w:r>
    <w:r w:rsidR="004F5C51">
      <w:rPr>
        <w:rStyle w:val="PageNumber"/>
      </w:rPr>
      <w:t>44</w:t>
    </w:r>
    <w:r>
      <w:rPr>
        <w:rStyle w:val="PageNumber"/>
      </w:rPr>
      <w:fldChar w:fldCharType="end"/>
    </w:r>
  </w:p>
  <w:p w14:paraId="4CAD7EB4" w14:textId="77777777" w:rsidR="002C2BB0" w:rsidRDefault="002C2BB0">
    <w:pPr>
      <w:pStyle w:val="Footer"/>
      <w:ind w:right="360"/>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6851C4" w14:textId="7BA2CCFC" w:rsidR="002C2BB0" w:rsidRDefault="002C2BB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4F5C51">
      <w:rPr>
        <w:rStyle w:val="PageNumber"/>
      </w:rPr>
      <w:t>108</w:t>
    </w:r>
    <w:r>
      <w:rPr>
        <w:rStyle w:val="PageNumber"/>
      </w:rPr>
      <w:fldChar w:fldCharType="end"/>
    </w:r>
  </w:p>
  <w:p w14:paraId="39158BD1" w14:textId="77777777" w:rsidR="002C2BB0" w:rsidRDefault="002C2BB0">
    <w:pPr>
      <w:pStyle w:val="Footer"/>
      <w:ind w:right="360"/>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CellMar>
        <w:left w:w="0" w:type="dxa"/>
        <w:right w:w="0" w:type="dxa"/>
      </w:tblCellMar>
      <w:tblLook w:val="0000" w:firstRow="0" w:lastRow="0" w:firstColumn="0" w:lastColumn="0" w:noHBand="0" w:noVBand="0"/>
    </w:tblPr>
    <w:tblGrid>
      <w:gridCol w:w="3009"/>
      <w:gridCol w:w="3009"/>
      <w:gridCol w:w="3009"/>
    </w:tblGrid>
    <w:tr w:rsidR="002C2BB0" w14:paraId="3A8B66E9" w14:textId="77777777">
      <w:tc>
        <w:tcPr>
          <w:tcW w:w="3009" w:type="dxa"/>
          <w:tcBorders>
            <w:top w:val="single" w:sz="4" w:space="0" w:color="000000"/>
            <w:left w:val="nil"/>
            <w:bottom w:val="nil"/>
            <w:right w:val="nil"/>
          </w:tcBorders>
          <w:vAlign w:val="bottom"/>
        </w:tcPr>
        <w:p w14:paraId="026AF495" w14:textId="77777777" w:rsidR="002C2BB0" w:rsidRDefault="002C2BB0">
          <w:r>
            <w:rPr>
              <w:color w:val="000000"/>
            </w:rPr>
            <w:t>2010-08-18 CSR-Copper</w:t>
          </w:r>
        </w:p>
      </w:tc>
      <w:tc>
        <w:tcPr>
          <w:tcW w:w="3009" w:type="dxa"/>
          <w:tcBorders>
            <w:top w:val="single" w:sz="4" w:space="0" w:color="000000"/>
            <w:left w:val="nil"/>
            <w:bottom w:val="nil"/>
            <w:right w:val="nil"/>
          </w:tcBorders>
          <w:vAlign w:val="bottom"/>
        </w:tcPr>
        <w:p w14:paraId="5C3598DF" w14:textId="77777777" w:rsidR="002C2BB0" w:rsidRDefault="002C2BB0">
          <w:pPr>
            <w:jc w:val="center"/>
          </w:pPr>
          <w:r>
            <w:rPr>
              <w:color w:val="000000"/>
            </w:rPr>
            <w:t>CHEMICAL SAFETY REPORT</w:t>
          </w:r>
        </w:p>
      </w:tc>
      <w:tc>
        <w:tcPr>
          <w:tcW w:w="3009" w:type="dxa"/>
          <w:tcBorders>
            <w:top w:val="single" w:sz="4" w:space="0" w:color="000000"/>
            <w:left w:val="nil"/>
            <w:bottom w:val="nil"/>
            <w:right w:val="nil"/>
          </w:tcBorders>
          <w:vAlign w:val="bottom"/>
        </w:tcPr>
        <w:p w14:paraId="0F368B51" w14:textId="77777777" w:rsidR="002C2BB0" w:rsidRDefault="002C2BB0">
          <w:pPr>
            <w:jc w:val="right"/>
          </w:pPr>
          <w:r>
            <w:rPr>
              <w:color w:val="000000"/>
            </w:rPr>
            <w:pgNum/>
          </w:r>
        </w:p>
      </w:tc>
    </w:tr>
  </w:tbl>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CellMar>
        <w:left w:w="0" w:type="dxa"/>
        <w:right w:w="0" w:type="dxa"/>
      </w:tblCellMar>
      <w:tblLook w:val="0000" w:firstRow="0" w:lastRow="0" w:firstColumn="0" w:lastColumn="0" w:noHBand="0" w:noVBand="0"/>
    </w:tblPr>
    <w:tblGrid>
      <w:gridCol w:w="3009"/>
      <w:gridCol w:w="3009"/>
      <w:gridCol w:w="3009"/>
    </w:tblGrid>
    <w:tr w:rsidR="002C2BB0" w14:paraId="201F73A0" w14:textId="77777777">
      <w:tc>
        <w:tcPr>
          <w:tcW w:w="3009" w:type="dxa"/>
          <w:tcBorders>
            <w:top w:val="single" w:sz="4" w:space="0" w:color="000000"/>
            <w:left w:val="nil"/>
            <w:bottom w:val="nil"/>
            <w:right w:val="nil"/>
          </w:tcBorders>
          <w:vAlign w:val="bottom"/>
        </w:tcPr>
        <w:p w14:paraId="0E6F6F6E" w14:textId="77777777" w:rsidR="002C2BB0" w:rsidRDefault="002C2BB0">
          <w:r>
            <w:rPr>
              <w:color w:val="000000"/>
            </w:rPr>
            <w:t>2010-06-23 CSR-PI-5.2.1</w:t>
          </w:r>
        </w:p>
      </w:tc>
      <w:tc>
        <w:tcPr>
          <w:tcW w:w="3009" w:type="dxa"/>
          <w:tcBorders>
            <w:top w:val="single" w:sz="4" w:space="0" w:color="000000"/>
            <w:left w:val="nil"/>
            <w:bottom w:val="nil"/>
            <w:right w:val="nil"/>
          </w:tcBorders>
          <w:vAlign w:val="bottom"/>
        </w:tcPr>
        <w:p w14:paraId="64127F23" w14:textId="77777777" w:rsidR="002C2BB0" w:rsidRDefault="002C2BB0">
          <w:pPr>
            <w:jc w:val="center"/>
          </w:pPr>
          <w:r>
            <w:rPr>
              <w:color w:val="000000"/>
            </w:rPr>
            <w:t>CHEMICAL SAFETY REPORT</w:t>
          </w:r>
        </w:p>
      </w:tc>
      <w:tc>
        <w:tcPr>
          <w:tcW w:w="3009" w:type="dxa"/>
          <w:tcBorders>
            <w:top w:val="single" w:sz="4" w:space="0" w:color="000000"/>
            <w:left w:val="nil"/>
            <w:bottom w:val="nil"/>
            <w:right w:val="nil"/>
          </w:tcBorders>
          <w:vAlign w:val="bottom"/>
        </w:tcPr>
        <w:p w14:paraId="34A45A0D" w14:textId="77777777" w:rsidR="002C2BB0" w:rsidRDefault="002C2BB0">
          <w:pPr>
            <w:jc w:val="right"/>
          </w:pPr>
          <w:r>
            <w:rPr>
              <w:color w:val="000000"/>
            </w:rPr>
            <w:pgNum/>
          </w:r>
        </w:p>
      </w:tc>
    </w:tr>
  </w:tbl>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CellMar>
        <w:left w:w="0" w:type="dxa"/>
        <w:right w:w="0" w:type="dxa"/>
      </w:tblCellMar>
      <w:tblLook w:val="0000" w:firstRow="0" w:lastRow="0" w:firstColumn="0" w:lastColumn="0" w:noHBand="0" w:noVBand="0"/>
    </w:tblPr>
    <w:tblGrid>
      <w:gridCol w:w="3009"/>
      <w:gridCol w:w="3009"/>
      <w:gridCol w:w="3009"/>
    </w:tblGrid>
    <w:tr w:rsidR="002C2BB0" w14:paraId="73F7CDEC" w14:textId="77777777">
      <w:tc>
        <w:tcPr>
          <w:tcW w:w="3009" w:type="dxa"/>
          <w:tcBorders>
            <w:top w:val="single" w:sz="4" w:space="0" w:color="000000"/>
            <w:left w:val="nil"/>
            <w:bottom w:val="nil"/>
            <w:right w:val="nil"/>
          </w:tcBorders>
          <w:vAlign w:val="bottom"/>
        </w:tcPr>
        <w:p w14:paraId="444437D0" w14:textId="77777777" w:rsidR="002C2BB0" w:rsidRDefault="002C2BB0">
          <w:r>
            <w:rPr>
              <w:color w:val="000000"/>
            </w:rPr>
            <w:t>2010-06-23 CSR-PI-5.2.1</w:t>
          </w:r>
        </w:p>
      </w:tc>
      <w:tc>
        <w:tcPr>
          <w:tcW w:w="3009" w:type="dxa"/>
          <w:tcBorders>
            <w:top w:val="single" w:sz="4" w:space="0" w:color="000000"/>
            <w:left w:val="nil"/>
            <w:bottom w:val="nil"/>
            <w:right w:val="nil"/>
          </w:tcBorders>
          <w:vAlign w:val="bottom"/>
        </w:tcPr>
        <w:p w14:paraId="081E116A" w14:textId="77777777" w:rsidR="002C2BB0" w:rsidRDefault="002C2BB0">
          <w:pPr>
            <w:jc w:val="center"/>
          </w:pPr>
          <w:r>
            <w:rPr>
              <w:color w:val="000000"/>
            </w:rPr>
            <w:t>CHEMICAL SAFETY REPORT</w:t>
          </w:r>
        </w:p>
      </w:tc>
      <w:tc>
        <w:tcPr>
          <w:tcW w:w="3009" w:type="dxa"/>
          <w:tcBorders>
            <w:top w:val="single" w:sz="4" w:space="0" w:color="000000"/>
            <w:left w:val="nil"/>
            <w:bottom w:val="nil"/>
            <w:right w:val="nil"/>
          </w:tcBorders>
          <w:vAlign w:val="bottom"/>
        </w:tcPr>
        <w:p w14:paraId="048EC3BD" w14:textId="77777777" w:rsidR="002C2BB0" w:rsidRDefault="002C2BB0">
          <w:pPr>
            <w:jc w:val="right"/>
          </w:pPr>
          <w:r>
            <w:rPr>
              <w:color w:val="000000"/>
            </w:rPr>
            <w:pgNum/>
          </w:r>
        </w:p>
      </w:tc>
    </w:tr>
  </w:tbl>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CellMar>
        <w:left w:w="0" w:type="dxa"/>
        <w:right w:w="0" w:type="dxa"/>
      </w:tblCellMar>
      <w:tblLook w:val="0000" w:firstRow="0" w:lastRow="0" w:firstColumn="0" w:lastColumn="0" w:noHBand="0" w:noVBand="0"/>
    </w:tblPr>
    <w:tblGrid>
      <w:gridCol w:w="3009"/>
      <w:gridCol w:w="3009"/>
      <w:gridCol w:w="3009"/>
    </w:tblGrid>
    <w:tr w:rsidR="002C2BB0" w14:paraId="2952EB8D" w14:textId="77777777">
      <w:tc>
        <w:tcPr>
          <w:tcW w:w="3009" w:type="dxa"/>
          <w:tcBorders>
            <w:top w:val="single" w:sz="4" w:space="0" w:color="000000"/>
            <w:left w:val="nil"/>
            <w:bottom w:val="nil"/>
            <w:right w:val="nil"/>
          </w:tcBorders>
          <w:vAlign w:val="bottom"/>
        </w:tcPr>
        <w:p w14:paraId="32D2D54A" w14:textId="77777777" w:rsidR="002C2BB0" w:rsidRDefault="002C2BB0">
          <w:r>
            <w:rPr>
              <w:color w:val="000000"/>
            </w:rPr>
            <w:t>2010-08-18 CSR-Copper</w:t>
          </w:r>
        </w:p>
      </w:tc>
      <w:tc>
        <w:tcPr>
          <w:tcW w:w="3009" w:type="dxa"/>
          <w:tcBorders>
            <w:top w:val="single" w:sz="4" w:space="0" w:color="000000"/>
            <w:left w:val="nil"/>
            <w:bottom w:val="nil"/>
            <w:right w:val="nil"/>
          </w:tcBorders>
          <w:vAlign w:val="bottom"/>
        </w:tcPr>
        <w:p w14:paraId="5D4D50BF" w14:textId="77777777" w:rsidR="002C2BB0" w:rsidRDefault="002C2BB0">
          <w:pPr>
            <w:jc w:val="center"/>
          </w:pPr>
          <w:r>
            <w:rPr>
              <w:color w:val="000000"/>
            </w:rPr>
            <w:t>CHEMICAL SAFETY REPORT</w:t>
          </w:r>
        </w:p>
      </w:tc>
      <w:tc>
        <w:tcPr>
          <w:tcW w:w="3009" w:type="dxa"/>
          <w:tcBorders>
            <w:top w:val="single" w:sz="4" w:space="0" w:color="000000"/>
            <w:left w:val="nil"/>
            <w:bottom w:val="nil"/>
            <w:right w:val="nil"/>
          </w:tcBorders>
          <w:vAlign w:val="bottom"/>
        </w:tcPr>
        <w:p w14:paraId="7A1F998F" w14:textId="77777777" w:rsidR="002C2BB0" w:rsidRDefault="002C2BB0">
          <w:pPr>
            <w:jc w:val="right"/>
          </w:pPr>
          <w:r>
            <w:rPr>
              <w:color w:val="000000"/>
            </w:rPr>
            <w:pgNum/>
          </w:r>
        </w:p>
      </w:tc>
    </w:tr>
  </w:tbl>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6A3D372" w14:textId="77777777" w:rsidR="0059369A" w:rsidRDefault="0059369A" w:rsidP="000B6432">
      <w:r>
        <w:separator/>
      </w:r>
    </w:p>
  </w:footnote>
  <w:footnote w:type="continuationSeparator" w:id="0">
    <w:p w14:paraId="71449A67" w14:textId="77777777" w:rsidR="0059369A" w:rsidRDefault="0059369A" w:rsidP="000B6432">
      <w:r>
        <w:continuationSeparator/>
      </w:r>
    </w:p>
  </w:footnote>
  <w:footnote w:id="1">
    <w:p w14:paraId="53D2EC84" w14:textId="77777777" w:rsidR="002C2BB0" w:rsidRPr="00F65408" w:rsidRDefault="002C2BB0" w:rsidP="002C2BB0">
      <w:r>
        <w:rPr>
          <w:rStyle w:val="FootnoteReference"/>
        </w:rPr>
        <w:footnoteRef/>
      </w:r>
      <w:r w:rsidRPr="00B3208F">
        <w:t xml:space="preserve"> </w:t>
      </w:r>
      <w:r>
        <w:t xml:space="preserve">Includes copper </w:t>
      </w:r>
      <w:r w:rsidRPr="00A040DA">
        <w:t>flakes, coated with aliphatic acid</w:t>
      </w:r>
      <w:r>
        <w:t>, because the toxicity data on this material is used to read across to copper powders and massives. The</w:t>
      </w:r>
      <w:r w:rsidRPr="00F65408">
        <w:t xml:space="preserve"> same CAS number is</w:t>
      </w:r>
      <w:r>
        <w:t xml:space="preserve"> thus</w:t>
      </w:r>
      <w:r w:rsidRPr="00F65408">
        <w:t xml:space="preserve"> used to cover three different forms of copper in this assessment (massive, powder and </w:t>
      </w:r>
      <w:r>
        <w:t xml:space="preserve">coated </w:t>
      </w:r>
      <w:r w:rsidRPr="00F65408">
        <w:t xml:space="preserve">flakes). </w:t>
      </w:r>
      <w:r>
        <w:t xml:space="preserve"> </w:t>
      </w:r>
    </w:p>
    <w:p w14:paraId="5DC85EEA" w14:textId="77777777" w:rsidR="002C2BB0" w:rsidRDefault="002C2BB0" w:rsidP="002C2BB0">
      <w:pPr>
        <w:pStyle w:val="FootnoteText"/>
        <w:spacing w:after="0"/>
      </w:pPr>
    </w:p>
  </w:footnote>
  <w:footnote w:id="2">
    <w:p w14:paraId="6AEE247A" w14:textId="77777777" w:rsidR="002C2BB0" w:rsidRDefault="002C2BB0" w:rsidP="002C2BB0">
      <w:pPr>
        <w:pStyle w:val="FootnoteText"/>
      </w:pPr>
      <w:r w:rsidRPr="00C87A84">
        <w:rPr>
          <w:rStyle w:val="FootnoteReference"/>
        </w:rPr>
        <w:footnoteRef/>
      </w:r>
      <w:r w:rsidRPr="00CA612E">
        <w:t xml:space="preserve"> </w:t>
      </w:r>
      <w:r w:rsidRPr="00B3208F">
        <w:t xml:space="preserve">Aliphatic acids </w:t>
      </w:r>
      <w:r w:rsidRPr="00B3208F">
        <w:rPr>
          <w:rFonts w:eastAsia="Calibri"/>
        </w:rPr>
        <w:t>are added for the production of coated copper flakes, to stabilise the copper flake in small part</w:t>
      </w:r>
      <w:r w:rsidRPr="00B3208F">
        <w:rPr>
          <w:rFonts w:eastAsia="Calibri"/>
        </w:rPr>
        <w:t>i</w:t>
      </w:r>
      <w:r w:rsidRPr="00B3208F">
        <w:rPr>
          <w:rFonts w:eastAsia="Calibri"/>
        </w:rPr>
        <w:t>cle sizes with higher surface area (needed for specific niche applic</w:t>
      </w:r>
      <w:r w:rsidRPr="00B3208F">
        <w:rPr>
          <w:rFonts w:eastAsia="Calibri"/>
        </w:rPr>
        <w:t>a</w:t>
      </w:r>
      <w:r w:rsidRPr="00B3208F">
        <w:rPr>
          <w:rFonts w:eastAsia="Calibri"/>
        </w:rPr>
        <w:t>tions – biocides and pigments).</w:t>
      </w:r>
      <w:r w:rsidRPr="00167A88">
        <w:rPr>
          <w:rFonts w:eastAsia="Calibri"/>
        </w:rPr>
        <w:t xml:space="preserve"> </w:t>
      </w:r>
      <w:r>
        <w:rPr>
          <w:rFonts w:eastAsia="Calibri"/>
        </w:rPr>
        <w:t xml:space="preserve"> </w:t>
      </w:r>
    </w:p>
  </w:footnote>
  <w:footnote w:id="3">
    <w:p w14:paraId="4CFA449F" w14:textId="77777777" w:rsidR="002C2BB0" w:rsidRDefault="002C2BB0" w:rsidP="002C2BB0">
      <w:pPr>
        <w:pStyle w:val="FootnoteText"/>
      </w:pPr>
      <w:r>
        <w:rPr>
          <w:rStyle w:val="FootnoteReference"/>
        </w:rPr>
        <w:footnoteRef/>
      </w:r>
      <w:r>
        <w:t xml:space="preserve"> The same CAS number is used to cover three forms of  zero valence copper materials : massive, powders and coated copper flakes.  </w:t>
      </w:r>
    </w:p>
  </w:footnote>
  <w:footnote w:id="4">
    <w:p w14:paraId="38275B9B" w14:textId="77777777" w:rsidR="002C2BB0" w:rsidRPr="00375C47" w:rsidRDefault="002C2BB0" w:rsidP="002C2BB0">
      <w:pPr>
        <w:pStyle w:val="FootnoteText"/>
        <w:spacing w:after="0"/>
        <w:ind w:right="215"/>
        <w:rPr>
          <w:lang w:val="en-US"/>
        </w:rPr>
      </w:pPr>
      <w:r>
        <w:rPr>
          <w:rStyle w:val="FootnoteReference"/>
        </w:rPr>
        <w:footnoteRef/>
      </w:r>
      <w:r w:rsidRPr="009716F6">
        <w:rPr>
          <w:lang w:val="en-US"/>
        </w:rPr>
        <w:t xml:space="preserve"> NOEAEC : No Observed Ecological Adverse Effects Concentration</w:t>
      </w:r>
    </w:p>
  </w:footnote>
  <w:footnote w:id="5">
    <w:p w14:paraId="58F22CF6" w14:textId="77777777" w:rsidR="002C2BB0" w:rsidRPr="00375C47" w:rsidRDefault="002C2BB0" w:rsidP="002C2BB0">
      <w:pPr>
        <w:pStyle w:val="FootnoteText"/>
        <w:spacing w:after="0"/>
        <w:ind w:right="215"/>
        <w:rPr>
          <w:lang w:val="en-US"/>
        </w:rPr>
      </w:pPr>
      <w:r>
        <w:rPr>
          <w:rStyle w:val="FootnoteReference"/>
        </w:rPr>
        <w:footnoteRef/>
      </w:r>
      <w:r w:rsidRPr="009716F6">
        <w:rPr>
          <w:lang w:val="en-US"/>
        </w:rPr>
        <w:t xml:space="preserve"> LOEAEC : Lowest Observed Ecological Adverse Effects Concentration</w:t>
      </w:r>
    </w:p>
  </w:footnote>
  <w:footnote w:id="6">
    <w:p w14:paraId="5DB3C989" w14:textId="77777777" w:rsidR="002C2BB0" w:rsidRPr="00C202E6" w:rsidRDefault="002C2BB0" w:rsidP="002C2BB0">
      <w:pPr>
        <w:rPr>
          <w:rStyle w:val="Hyperlink"/>
          <w:i/>
        </w:rPr>
      </w:pPr>
      <w:r>
        <w:rPr>
          <w:rStyle w:val="FootnoteReference"/>
        </w:rPr>
        <w:footnoteRef/>
      </w:r>
      <w:hyperlink r:id="rId1" w:history="1">
        <w:r w:rsidRPr="00C202E6">
          <w:rPr>
            <w:rStyle w:val="Hyperlink"/>
            <w:i/>
          </w:rPr>
          <w:t>http://echa.europa.eu/copper-voluntary-risk-assessment-reports</w:t>
        </w:r>
      </w:hyperlink>
    </w:p>
    <w:p w14:paraId="55476363" w14:textId="77777777" w:rsidR="002C2BB0" w:rsidRDefault="002C2BB0" w:rsidP="002C2BB0">
      <w:pPr>
        <w:pStyle w:val="FootnoteText"/>
      </w:pPr>
    </w:p>
  </w:footnote>
  <w:footnote w:id="7">
    <w:p w14:paraId="64677CF4" w14:textId="68ABC359" w:rsidR="002C2BB0" w:rsidRDefault="002C2BB0" w:rsidP="00737294">
      <w:pPr>
        <w:pStyle w:val="FootnoteText"/>
      </w:pPr>
      <w:r>
        <w:t xml:space="preserve">1 Copper flakes, coated with aliphatic acids are also included in the dossier </w:t>
      </w:r>
    </w:p>
    <w:p w14:paraId="29882B44" w14:textId="77777777" w:rsidR="002C2BB0" w:rsidRPr="009D1876" w:rsidRDefault="002C2BB0" w:rsidP="00FC258F">
      <w:pPr>
        <w:pStyle w:val="FootnoteText"/>
      </w:pPr>
    </w:p>
  </w:footnote>
  <w:footnote w:id="8">
    <w:p w14:paraId="37A02671" w14:textId="719BE4F0" w:rsidR="002C2BB0" w:rsidRPr="00C44075" w:rsidRDefault="002C2BB0">
      <w:pPr>
        <w:pStyle w:val="FootnoteText"/>
      </w:pPr>
      <w:r>
        <w:rPr>
          <w:rStyle w:val="Hyperlink"/>
          <w:sz w:val="24"/>
          <w:szCs w:val="24"/>
          <w:vertAlign w:val="superscript"/>
        </w:rPr>
        <w:t>4</w:t>
      </w:r>
      <w:r>
        <w:rPr>
          <w:rStyle w:val="Hyperlink"/>
          <w:sz w:val="24"/>
          <w:szCs w:val="24"/>
        </w:rPr>
        <w:t xml:space="preserve"> </w:t>
      </w:r>
      <w:r w:rsidRPr="00C44075">
        <w:rPr>
          <w:rStyle w:val="Hyperlink"/>
          <w:sz w:val="24"/>
          <w:szCs w:val="24"/>
        </w:rPr>
        <w:t>https://echa.europa.eu/copper-voluntary-risk-assessment-reports</w:t>
      </w:r>
    </w:p>
  </w:footnote>
  <w:footnote w:id="9">
    <w:p w14:paraId="19708D42" w14:textId="77777777" w:rsidR="002C2BB0" w:rsidRDefault="002C2BB0">
      <w:pPr>
        <w:pStyle w:val="FootnoteText"/>
      </w:pPr>
      <w:r>
        <w:rPr>
          <w:rStyle w:val="FootnoteReference"/>
        </w:rPr>
        <w:footnoteRef/>
      </w:r>
      <w:r>
        <w:t xml:space="preserve"> The same CAS number is used to cover three forms of  zero valence copper materials : massive, powders and coated copper flakes.  </w:t>
      </w:r>
    </w:p>
  </w:footnote>
  <w:footnote w:id="10">
    <w:p w14:paraId="0DE7D494" w14:textId="77777777" w:rsidR="002C2BB0" w:rsidRDefault="002C2BB0" w:rsidP="00593E99">
      <w:pPr>
        <w:pStyle w:val="FootnoteText"/>
      </w:pPr>
      <w:r>
        <w:rPr>
          <w:rStyle w:val="FootnoteReference"/>
        </w:rPr>
        <w:footnoteRef/>
      </w:r>
      <w:r>
        <w:t xml:space="preserve"> The aliphatic acids </w:t>
      </w:r>
      <w:r>
        <w:rPr>
          <w:rFonts w:eastAsia="Calibri"/>
        </w:rPr>
        <w:t>are added to</w:t>
      </w:r>
      <w:r w:rsidRPr="00167A88">
        <w:rPr>
          <w:rFonts w:eastAsia="Calibri"/>
        </w:rPr>
        <w:t xml:space="preserve"> stabilise the </w:t>
      </w:r>
      <w:r>
        <w:rPr>
          <w:rFonts w:eastAsia="Calibri"/>
        </w:rPr>
        <w:t xml:space="preserve">copper </w:t>
      </w:r>
      <w:r w:rsidRPr="00167A88">
        <w:rPr>
          <w:rFonts w:eastAsia="Calibri"/>
        </w:rPr>
        <w:t>flake in small particle sizes</w:t>
      </w:r>
      <w:r>
        <w:rPr>
          <w:rFonts w:eastAsia="Calibri"/>
        </w:rPr>
        <w:t xml:space="preserve"> with higher surface area </w:t>
      </w:r>
      <w:r w:rsidRPr="00167A88">
        <w:rPr>
          <w:rFonts w:eastAsia="Calibri"/>
        </w:rPr>
        <w:t xml:space="preserve">(needed for specific </w:t>
      </w:r>
      <w:r>
        <w:rPr>
          <w:rFonts w:eastAsia="Calibri"/>
        </w:rPr>
        <w:t xml:space="preserve">niche </w:t>
      </w:r>
      <w:r w:rsidRPr="00167A88">
        <w:rPr>
          <w:rFonts w:eastAsia="Calibri"/>
        </w:rPr>
        <w:t>applications</w:t>
      </w:r>
      <w:r>
        <w:rPr>
          <w:rFonts w:eastAsia="Calibri"/>
        </w:rPr>
        <w:t xml:space="preserve"> – biocides and pigments</w:t>
      </w:r>
      <w:r w:rsidRPr="00167A88">
        <w:rPr>
          <w:rFonts w:eastAsia="Calibri"/>
        </w:rPr>
        <w:t xml:space="preserve">). </w:t>
      </w:r>
      <w:r>
        <w:rPr>
          <w:rFonts w:eastAsia="Calibri"/>
        </w:rPr>
        <w:t xml:space="preserve"> </w:t>
      </w:r>
    </w:p>
  </w:footnote>
  <w:footnote w:id="11">
    <w:p w14:paraId="11D2DCB4" w14:textId="77777777" w:rsidR="002C2BB0" w:rsidRDefault="002C2BB0" w:rsidP="00D05142">
      <w:pPr>
        <w:pStyle w:val="FootnoteText"/>
        <w:spacing w:after="0"/>
        <w:rPr>
          <w:lang w:val="en-US"/>
        </w:rPr>
      </w:pPr>
      <w:r>
        <w:rPr>
          <w:rStyle w:val="FootnoteReference"/>
        </w:rPr>
        <w:footnoteRef/>
      </w:r>
      <w:r w:rsidRPr="007F055E">
        <w:rPr>
          <w:lang w:val="en-US"/>
        </w:rPr>
        <w:t xml:space="preserve"> </w:t>
      </w:r>
      <w:r>
        <w:rPr>
          <w:lang w:val="en-US"/>
        </w:rPr>
        <w:t>Primary copper : copper produced from primary raw materials (copper ores).</w:t>
      </w:r>
    </w:p>
  </w:footnote>
  <w:footnote w:id="12">
    <w:p w14:paraId="61699BF0" w14:textId="77777777" w:rsidR="002C2BB0" w:rsidRDefault="002C2BB0" w:rsidP="00D05142">
      <w:pPr>
        <w:pStyle w:val="FootnoteText"/>
        <w:spacing w:after="0"/>
        <w:rPr>
          <w:lang w:val="en-US"/>
        </w:rPr>
      </w:pPr>
      <w:r>
        <w:rPr>
          <w:rStyle w:val="FootnoteReference"/>
        </w:rPr>
        <w:footnoteRef/>
      </w:r>
      <w:r w:rsidRPr="007F055E">
        <w:rPr>
          <w:lang w:val="en-US"/>
        </w:rPr>
        <w:t xml:space="preserve"> </w:t>
      </w:r>
      <w:r>
        <w:rPr>
          <w:lang w:val="en-US"/>
        </w:rPr>
        <w:t>Secondary copper : copper produced from secondary  raw materials (scrap)</w:t>
      </w:r>
    </w:p>
  </w:footnote>
  <w:footnote w:id="13">
    <w:p w14:paraId="2B902905" w14:textId="77777777" w:rsidR="002C2BB0" w:rsidRDefault="002C2BB0" w:rsidP="00D05142">
      <w:pPr>
        <w:pStyle w:val="FootnoteText"/>
        <w:spacing w:after="0"/>
        <w:rPr>
          <w:lang w:val="en-US"/>
        </w:rPr>
      </w:pPr>
      <w:r>
        <w:rPr>
          <w:rStyle w:val="FootnoteReference"/>
        </w:rPr>
        <w:footnoteRef/>
      </w:r>
      <w:r w:rsidRPr="007F055E">
        <w:rPr>
          <w:lang w:val="en-US"/>
        </w:rPr>
        <w:t xml:space="preserve"> </w:t>
      </w:r>
      <w:r>
        <w:rPr>
          <w:lang w:val="en-US"/>
        </w:rPr>
        <w:t xml:space="preserve">Black copper is a metallic  intermediate formed during secondary copper production. Black copper is produced by melting and/or processing of metallic scrap and/or oxidic bearing materials (slag, oxides, ashes).   </w:t>
      </w:r>
    </w:p>
  </w:footnote>
  <w:footnote w:id="14">
    <w:p w14:paraId="54826EB2" w14:textId="70550392" w:rsidR="002C2BB0" w:rsidRDefault="002C2BB0">
      <w:pPr>
        <w:pStyle w:val="FootnoteText"/>
      </w:pPr>
      <w:r>
        <w:rPr>
          <w:rStyle w:val="FootnoteReference"/>
        </w:rPr>
        <w:footnoteRef/>
      </w:r>
      <w:r>
        <w:t xml:space="preserve">More information is available at </w:t>
      </w:r>
      <w:hyperlink r:id="rId2" w:history="1">
        <w:r w:rsidRPr="00632A9D">
          <w:rPr>
            <w:rStyle w:val="Hyperlink"/>
          </w:rPr>
          <w:t>http://echa.europa.eu/web/guest/copper-voluntary-risk-assessment-reports</w:t>
        </w:r>
      </w:hyperlink>
      <w:r>
        <w:t xml:space="preserve"> -   environmental exposure part 1 and appendix  (copper emission inventory)</w:t>
      </w:r>
    </w:p>
  </w:footnote>
  <w:footnote w:id="15">
    <w:p w14:paraId="6F78F947" w14:textId="779C4C13" w:rsidR="002C2BB0" w:rsidRDefault="002C2BB0">
      <w:pPr>
        <w:pStyle w:val="FootnoteText"/>
      </w:pPr>
      <w:r>
        <w:rPr>
          <w:rStyle w:val="FootnoteReference"/>
        </w:rPr>
        <w:footnoteRef/>
      </w:r>
      <w:r>
        <w:t xml:space="preserve"> The transformation-dissolution data are further discussed during the discussions on harmonized classification of biocidal copper forms and compounds (2014—2017 and onwards) in the EU.</w:t>
      </w:r>
    </w:p>
  </w:footnote>
  <w:footnote w:id="16">
    <w:p w14:paraId="2ADD8040" w14:textId="77777777" w:rsidR="002C2BB0" w:rsidRPr="0013124C" w:rsidRDefault="002C2BB0" w:rsidP="008D1AE9">
      <w:pPr>
        <w:pStyle w:val="NoteLevel211"/>
        <w:rPr>
          <w:rStyle w:val="FootnoteReference"/>
          <w:iCs/>
        </w:rPr>
      </w:pPr>
      <w:r w:rsidRPr="0013124C">
        <w:rPr>
          <w:rStyle w:val="FootnoteReference"/>
          <w:iCs/>
        </w:rPr>
        <w:footnoteRef/>
      </w:r>
      <w:r w:rsidRPr="0013124C">
        <w:rPr>
          <w:rStyle w:val="FootnoteReference"/>
          <w:iCs/>
        </w:rPr>
        <w:t xml:space="preserve"> Provided by the EU Copper Task Force to the European Copper Institute under a specific secrecy agreement.</w:t>
      </w:r>
    </w:p>
  </w:footnote>
  <w:footnote w:id="17">
    <w:p w14:paraId="0E8DEC12" w14:textId="77777777" w:rsidR="002C2BB0" w:rsidRPr="00DD0709" w:rsidRDefault="002C2BB0" w:rsidP="008D1AE9">
      <w:pPr>
        <w:pStyle w:val="NoteLevel211"/>
      </w:pPr>
      <w:r w:rsidRPr="00DD0709">
        <w:rPr>
          <w:rStyle w:val="FootnoteReference"/>
          <w:position w:val="0"/>
          <w:sz w:val="20"/>
        </w:rPr>
        <w:footnoteRef/>
      </w:r>
      <w:r w:rsidRPr="00DD0709">
        <w:t xml:space="preserve"> Provided by the EU Copper Task Force to the European Copper Institute under a specific secrecy agreement.</w:t>
      </w:r>
    </w:p>
  </w:footnote>
  <w:footnote w:id="18">
    <w:p w14:paraId="75A639B0" w14:textId="77777777" w:rsidR="002C2BB0" w:rsidRPr="004770D1" w:rsidRDefault="002C2BB0" w:rsidP="008D1AE9">
      <w:pPr>
        <w:pStyle w:val="NoteLevel211"/>
        <w:rPr>
          <w:rStyle w:val="FootnoteReference"/>
          <w:iCs/>
        </w:rPr>
      </w:pPr>
      <w:r w:rsidRPr="004770D1">
        <w:rPr>
          <w:rStyle w:val="FootnoteReference"/>
          <w:iCs/>
        </w:rPr>
        <w:footnoteRef/>
      </w:r>
      <w:r w:rsidRPr="004770D1">
        <w:rPr>
          <w:rStyle w:val="FootnoteReference"/>
          <w:iCs/>
        </w:rPr>
        <w:t xml:space="preserve"> By the Wood Preservative Copper Task Force, EU Antifouling Copper Task Forc</w:t>
      </w:r>
      <w:r>
        <w:rPr>
          <w:rStyle w:val="FootnoteReference"/>
          <w:iCs/>
        </w:rPr>
        <w:t>e,</w:t>
      </w:r>
      <w:r w:rsidRPr="004770D1">
        <w:rPr>
          <w:rStyle w:val="FootnoteReference"/>
          <w:iCs/>
        </w:rPr>
        <w:t xml:space="preserve"> EU Copper Task Force</w:t>
      </w:r>
      <w:r w:rsidRPr="004770D1">
        <w:t xml:space="preserve"> </w:t>
      </w:r>
      <w:r w:rsidRPr="004770D1">
        <w:rPr>
          <w:rStyle w:val="FootnoteReference"/>
          <w:iCs/>
        </w:rPr>
        <w:t>and Landis International to the European Copper Institute under a specific secrecy agreement.</w:t>
      </w:r>
    </w:p>
  </w:footnote>
  <w:footnote w:id="19">
    <w:p w14:paraId="05001C43" w14:textId="77777777" w:rsidR="002C2BB0" w:rsidRDefault="002C2BB0" w:rsidP="008D1AE9">
      <w:pPr>
        <w:pStyle w:val="FootnoteText"/>
        <w:rPr>
          <w:rStyle w:val="FootnoteReference"/>
          <w:i/>
          <w:iCs/>
        </w:rPr>
      </w:pPr>
      <w:r>
        <w:rPr>
          <w:rStyle w:val="FootnoteReference"/>
          <w:i/>
          <w:iCs/>
        </w:rPr>
        <w:footnoteRef/>
      </w:r>
      <w:r>
        <w:rPr>
          <w:rStyle w:val="FootnoteReference"/>
          <w:i/>
          <w:iCs/>
        </w:rPr>
        <w:t xml:space="preserve"> Particle size distribution of airborne fraction of five different copper substances were determined using the Heubach</w:t>
      </w:r>
      <w:r>
        <w:rPr>
          <w:i/>
          <w:iCs/>
        </w:rPr>
        <w:t xml:space="preserve"> </w:t>
      </w:r>
      <w:r>
        <w:rPr>
          <w:rStyle w:val="FootnoteReference"/>
          <w:i/>
          <w:iCs/>
        </w:rPr>
        <w:t xml:space="preserve"> method.  Summary report provided by EBRC Consulting GmbH under specific secrecy agreement.</w:t>
      </w:r>
    </w:p>
  </w:footnote>
  <w:footnote w:id="20">
    <w:p w14:paraId="7048EB9C" w14:textId="77777777" w:rsidR="002C2BB0" w:rsidRDefault="002C2BB0" w:rsidP="008D1AE9">
      <w:pPr>
        <w:pStyle w:val="FootnoteText"/>
        <w:rPr>
          <w:rStyle w:val="FootnoteReference"/>
          <w:i/>
          <w:iCs/>
        </w:rPr>
      </w:pPr>
      <w:r>
        <w:rPr>
          <w:rStyle w:val="FootnoteReference"/>
          <w:i/>
          <w:iCs/>
        </w:rPr>
        <w:footnoteRef/>
      </w:r>
      <w:r>
        <w:rPr>
          <w:rStyle w:val="FootnoteReference"/>
          <w:i/>
          <w:iCs/>
        </w:rPr>
        <w:t xml:space="preserve"> Metal fume fever (MFF) is a transient illness which appears to develop 4-12 hours after occupational exposure</w:t>
      </w:r>
      <w:r>
        <w:t xml:space="preserve"> </w:t>
      </w:r>
      <w:r>
        <w:rPr>
          <w:rStyle w:val="FootnoteReference"/>
          <w:i/>
          <w:iCs/>
        </w:rPr>
        <w:t xml:space="preserve">to metal fume.  MFF presents as an influenza-like illness with cough and dyspnoea followed by fever, sweating and shivering.  Other accompanying clinical signs and symptoms are nausea, headache, weakness, a sweet metallic taste, and muscle and joint pain.  </w:t>
      </w:r>
    </w:p>
  </w:footnote>
  <w:footnote w:id="21">
    <w:p w14:paraId="4D0B24CE" w14:textId="77777777" w:rsidR="002C2BB0" w:rsidRPr="00907B6A" w:rsidRDefault="002C2BB0" w:rsidP="00B8039F">
      <w:pPr>
        <w:pStyle w:val="NoteLevel211"/>
      </w:pPr>
      <w:r w:rsidRPr="00BB236F">
        <w:rPr>
          <w:rStyle w:val="FootnoteReference"/>
          <w:sz w:val="20"/>
        </w:rPr>
        <w:footnoteRef/>
      </w:r>
      <w:r w:rsidRPr="00BB236F">
        <w:t xml:space="preserve"> </w:t>
      </w:r>
      <w:r w:rsidRPr="00907B6A">
        <w:t>By the wood preservative copper task force, EU antifouling copper task force and EU copper task force to the European Copper Institute under a specific secrecy agreement.</w:t>
      </w:r>
    </w:p>
  </w:footnote>
  <w:footnote w:id="22">
    <w:p w14:paraId="3F8FC6AE" w14:textId="77777777" w:rsidR="002C2BB0" w:rsidRPr="00BB236F" w:rsidRDefault="002C2BB0" w:rsidP="00B8039F">
      <w:pPr>
        <w:pStyle w:val="NoteLevel211"/>
        <w:rPr>
          <w:rStyle w:val="FootnoteReference"/>
          <w:iCs/>
          <w:sz w:val="20"/>
        </w:rPr>
      </w:pPr>
      <w:r w:rsidRPr="00BB236F">
        <w:rPr>
          <w:rStyle w:val="FootnoteReference"/>
          <w:iCs/>
          <w:sz w:val="20"/>
        </w:rPr>
        <w:footnoteRef/>
      </w:r>
      <w:r w:rsidRPr="00BB236F">
        <w:rPr>
          <w:rStyle w:val="FootnoteReference"/>
          <w:iCs/>
          <w:sz w:val="20"/>
        </w:rPr>
        <w:t xml:space="preserve"> By the Wood Preservative Copper Task Force, EU Antifouling Copper Task Force and EU Copper Task Force to the European Copper Institute under a specific secrecy agreement.</w:t>
      </w:r>
    </w:p>
  </w:footnote>
  <w:footnote w:id="23">
    <w:p w14:paraId="50B5594A" w14:textId="77777777" w:rsidR="002C2BB0" w:rsidRPr="00331943" w:rsidRDefault="002C2BB0" w:rsidP="008D1AE9">
      <w:pPr>
        <w:pStyle w:val="FootnoteText"/>
        <w:rPr>
          <w:rStyle w:val="FootnoteReference"/>
          <w:iCs/>
        </w:rPr>
      </w:pPr>
      <w:r w:rsidRPr="00331943">
        <w:rPr>
          <w:rStyle w:val="FootnoteReference"/>
          <w:iCs/>
        </w:rPr>
        <w:footnoteRef/>
      </w:r>
      <w:r w:rsidRPr="00331943">
        <w:rPr>
          <w:rStyle w:val="FootnoteReference"/>
          <w:iCs/>
        </w:rPr>
        <w:t xml:space="preserve"> By the Wood Preservative Copper Task Force, EU Antifouling Copper Task Force and EU Copper Task Force to the European Copper Institute under a specific secrecy agreement.</w:t>
      </w:r>
    </w:p>
  </w:footnote>
  <w:footnote w:id="24">
    <w:p w14:paraId="582F4DF6" w14:textId="77777777" w:rsidR="002C2BB0" w:rsidRPr="003A4E55" w:rsidRDefault="002C2BB0" w:rsidP="008D1AE9">
      <w:pPr>
        <w:pStyle w:val="NoteLevel211"/>
        <w:rPr>
          <w:rStyle w:val="FootnoteReference"/>
          <w:iCs/>
        </w:rPr>
      </w:pPr>
      <w:r w:rsidRPr="003A4E55">
        <w:rPr>
          <w:rStyle w:val="FootnoteReference"/>
          <w:iCs/>
        </w:rPr>
        <w:footnoteRef/>
      </w:r>
      <w:r w:rsidRPr="003A4E55">
        <w:rPr>
          <w:rStyle w:val="FootnoteReference"/>
          <w:iCs/>
        </w:rPr>
        <w:t xml:space="preserve"> By the Wood Preservative Copper Task Force, EU Antifouling Copper Task Force and EU Copper Task Force to the European Copper Institute under a specific secrecy agreement.</w:t>
      </w:r>
    </w:p>
  </w:footnote>
  <w:footnote w:id="25">
    <w:p w14:paraId="7DB46019" w14:textId="77777777" w:rsidR="002C2BB0" w:rsidRPr="00907B6A" w:rsidRDefault="002C2BB0" w:rsidP="008D1AE9">
      <w:pPr>
        <w:pStyle w:val="FootnoteText"/>
      </w:pPr>
      <w:r>
        <w:rPr>
          <w:rStyle w:val="FootnoteReference"/>
        </w:rPr>
        <w:footnoteRef/>
      </w:r>
      <w:r>
        <w:t xml:space="preserve"> </w:t>
      </w:r>
      <w:r w:rsidRPr="003C24DC">
        <w:t>a solution of copper sulphate neutralised with hydrated lime.  According to available information, CuSO</w:t>
      </w:r>
      <w:r w:rsidRPr="003C24DC">
        <w:rPr>
          <w:vertAlign w:val="subscript"/>
        </w:rPr>
        <w:t>4</w:t>
      </w:r>
      <w:r w:rsidRPr="003C24DC">
        <w:t xml:space="preserve"> in ‘Bordeaux mixture’ reacts during mixing prior to application to form the stable hydroxy-sulphate hydrates brochantite, posnjakite, devellite and anterlite</w:t>
      </w:r>
      <w:r>
        <w:t xml:space="preserve"> (Leeming, personal communication)</w:t>
      </w:r>
    </w:p>
  </w:footnote>
  <w:footnote w:id="26">
    <w:p w14:paraId="0BD79685" w14:textId="77777777" w:rsidR="002C2BB0" w:rsidRPr="00907B6A" w:rsidRDefault="002C2BB0" w:rsidP="008D1AE9">
      <w:pPr>
        <w:pStyle w:val="FootnoteText"/>
      </w:pPr>
      <w:r>
        <w:rPr>
          <w:rStyle w:val="FootnoteReference"/>
        </w:rPr>
        <w:footnoteRef/>
      </w:r>
      <w:r>
        <w:t xml:space="preserve"> </w:t>
      </w:r>
      <w:r w:rsidRPr="003C24DC">
        <w:t>http://europa.eu.int/comm/food/fs/sc/scf/index_en.html</w:t>
      </w:r>
    </w:p>
  </w:footnote>
  <w:footnote w:id="27">
    <w:p w14:paraId="68B63478" w14:textId="77777777" w:rsidR="002C2BB0" w:rsidRDefault="002C2BB0">
      <w:pPr>
        <w:pStyle w:val="FootnoteText"/>
      </w:pPr>
      <w:r>
        <w:rPr>
          <w:rStyle w:val="FootnoteReference"/>
        </w:rPr>
        <w:footnoteRef/>
      </w:r>
      <w:r>
        <w:t xml:space="preserve"> Reported in the copper monochloride OECD SIAR and SIAP</w:t>
      </w:r>
    </w:p>
  </w:footnote>
  <w:footnote w:id="28">
    <w:p w14:paraId="0A39B889" w14:textId="63691AA9" w:rsidR="002C2BB0" w:rsidRDefault="002C2BB0" w:rsidP="00FF15C0">
      <w:pPr>
        <w:pStyle w:val="BodyText"/>
        <w:rPr>
          <w:rStyle w:val="KorrUK"/>
          <w:rFonts w:ascii="Times New Roman" w:hAnsi="Times New Roman" w:cs="Times New Roman"/>
          <w:sz w:val="24"/>
          <w:szCs w:val="24"/>
        </w:rPr>
      </w:pPr>
      <w:r>
        <w:rPr>
          <w:rStyle w:val="FootnoteReference"/>
        </w:rPr>
        <w:footnoteRef/>
      </w:r>
      <w:r>
        <w:t xml:space="preserve"> </w:t>
      </w:r>
      <w:r>
        <w:rPr>
          <w:rStyle w:val="KorrUK"/>
          <w:rFonts w:ascii="Times New Roman" w:hAnsi="Times New Roman" w:cs="Times New Roman"/>
          <w:sz w:val="24"/>
          <w:szCs w:val="24"/>
        </w:rPr>
        <w:t>The database is still under further discussion and review in view of the EU harmonized hazard classification discussions of copper and copper compounds in EU (2014-2017).</w:t>
      </w:r>
    </w:p>
    <w:p w14:paraId="2779B0E6" w14:textId="2588BFFB" w:rsidR="002C2BB0" w:rsidRDefault="002C2BB0">
      <w:pPr>
        <w:pStyle w:val="FootnoteText"/>
      </w:pPr>
    </w:p>
  </w:footnote>
  <w:footnote w:id="29">
    <w:p w14:paraId="19C593DB" w14:textId="77777777" w:rsidR="002C2BB0" w:rsidRPr="008B7D8B" w:rsidRDefault="002C2BB0" w:rsidP="00A57A22">
      <w:pPr>
        <w:pStyle w:val="FootnoteText"/>
        <w:rPr>
          <w:sz w:val="16"/>
          <w:szCs w:val="16"/>
          <w:lang w:val="en-US"/>
        </w:rPr>
      </w:pPr>
      <w:r w:rsidRPr="008B7D8B">
        <w:rPr>
          <w:rStyle w:val="FootnoteReference"/>
          <w:szCs w:val="16"/>
        </w:rPr>
        <w:footnoteRef/>
      </w:r>
      <w:r w:rsidRPr="008B7D8B">
        <w:rPr>
          <w:sz w:val="16"/>
          <w:szCs w:val="16"/>
        </w:rPr>
        <w:t xml:space="preserve"> </w:t>
      </w:r>
      <w:r w:rsidRPr="008B7D8B">
        <w:rPr>
          <w:sz w:val="16"/>
          <w:szCs w:val="16"/>
          <w:lang w:val="en-US"/>
        </w:rPr>
        <w:t>Data “higher than”, “lower than”, or with a pH not within the 5-5-8.5 range were not included in this overview table</w:t>
      </w:r>
    </w:p>
  </w:footnote>
  <w:footnote w:id="30">
    <w:p w14:paraId="4BC5FEEA" w14:textId="77777777" w:rsidR="002C2BB0" w:rsidRPr="00816B25" w:rsidRDefault="002C2BB0" w:rsidP="00A57A22">
      <w:pPr>
        <w:pStyle w:val="Default"/>
        <w:rPr>
          <w:lang w:val="en-US"/>
        </w:rPr>
      </w:pPr>
      <w:r w:rsidRPr="008B7D8B">
        <w:rPr>
          <w:rStyle w:val="FootnoteReference"/>
          <w:szCs w:val="16"/>
        </w:rPr>
        <w:footnoteRef/>
      </w:r>
      <w:r w:rsidRPr="008B7D8B">
        <w:rPr>
          <w:sz w:val="16"/>
          <w:szCs w:val="16"/>
        </w:rPr>
        <w:t xml:space="preserve"> The applicability of the species mean/lowest value for </w:t>
      </w:r>
      <w:r w:rsidRPr="008B7D8B">
        <w:rPr>
          <w:i/>
          <w:iCs/>
          <w:sz w:val="16"/>
          <w:szCs w:val="16"/>
        </w:rPr>
        <w:t xml:space="preserve">P. promelas </w:t>
      </w:r>
      <w:r w:rsidRPr="008B7D8B">
        <w:rPr>
          <w:sz w:val="16"/>
          <w:szCs w:val="16"/>
        </w:rPr>
        <w:t xml:space="preserve">at pH 6 to natural surface water waters is questioned.  </w:t>
      </w:r>
      <w:r w:rsidRPr="008B7D8B">
        <w:rPr>
          <w:rFonts w:eastAsiaTheme="minorHAnsi"/>
          <w:sz w:val="16"/>
          <w:szCs w:val="16"/>
          <w:lang w:val="en-US"/>
        </w:rPr>
        <w:t xml:space="preserve">The lowest value of 4.4 </w:t>
      </w:r>
      <w:r w:rsidRPr="008B7D8B">
        <w:rPr>
          <w:rFonts w:eastAsiaTheme="minorHAnsi"/>
          <w:sz w:val="16"/>
          <w:szCs w:val="16"/>
          <w:lang w:val="fr-BE"/>
        </w:rPr>
        <w:t>μ</w:t>
      </w:r>
      <w:r w:rsidRPr="008B7D8B">
        <w:rPr>
          <w:rFonts w:eastAsiaTheme="minorHAnsi"/>
          <w:sz w:val="16"/>
          <w:szCs w:val="16"/>
          <w:lang w:val="en-US"/>
        </w:rPr>
        <w:t xml:space="preserve">g/l Cu is extracted from Erickson et al. (1996). This test was performed in a flow-through with a very short retention time (± 45 min.) using a diluted reconstituted medium (prepared from Lake Superior water through reverse osmosis) with a low hardness (22 mg/l CaCO3) and DOC concentration (reverse osmosis). </w:t>
      </w:r>
      <w:r w:rsidRPr="008B7D8B">
        <w:rPr>
          <w:sz w:val="16"/>
          <w:szCs w:val="16"/>
        </w:rPr>
        <w:t xml:space="preserve">Moreover, a higher acute sensitivity of </w:t>
      </w:r>
      <w:r w:rsidRPr="008B7D8B">
        <w:rPr>
          <w:i/>
          <w:iCs/>
          <w:sz w:val="16"/>
          <w:szCs w:val="16"/>
        </w:rPr>
        <w:t xml:space="preserve">P. promelas </w:t>
      </w:r>
      <w:r w:rsidRPr="008B7D8B">
        <w:rPr>
          <w:sz w:val="16"/>
          <w:szCs w:val="16"/>
        </w:rPr>
        <w:t xml:space="preserve">compared to </w:t>
      </w:r>
      <w:r w:rsidRPr="008B7D8B">
        <w:rPr>
          <w:i/>
          <w:iCs/>
          <w:sz w:val="16"/>
          <w:szCs w:val="16"/>
        </w:rPr>
        <w:t xml:space="preserve">O. mykiss </w:t>
      </w:r>
      <w:r w:rsidRPr="008B7D8B">
        <w:rPr>
          <w:sz w:val="16"/>
          <w:szCs w:val="16"/>
        </w:rPr>
        <w:t>towards copper is not expected when considering the data at pH 6.5-7.5 and 7.5-8.5.</w:t>
      </w:r>
    </w:p>
  </w:footnote>
  <w:footnote w:id="31">
    <w:p w14:paraId="15AB8C16" w14:textId="77777777" w:rsidR="002C2BB0" w:rsidRPr="004930D7" w:rsidRDefault="002C2BB0">
      <w:pPr>
        <w:pStyle w:val="FootnoteText"/>
      </w:pPr>
      <w:r>
        <w:rPr>
          <w:rStyle w:val="FootnoteReference"/>
        </w:rPr>
        <w:footnoteRef/>
      </w:r>
      <w:r>
        <w:t xml:space="preserve"> HC</w:t>
      </w:r>
      <w:r>
        <w:rPr>
          <w:vertAlign w:val="subscript"/>
        </w:rPr>
        <w:t xml:space="preserve">5,50% </w:t>
      </w:r>
      <w:r>
        <w:t xml:space="preserve"> is the 5</w:t>
      </w:r>
      <w:r w:rsidRPr="006608BB">
        <w:rPr>
          <w:vertAlign w:val="superscript"/>
        </w:rPr>
        <w:t>th</w:t>
      </w:r>
      <w:r>
        <w:t xml:space="preserve"> percentile of the SSD, and this value represents a concentration level </w:t>
      </w:r>
      <w:r>
        <w:rPr>
          <w:color w:val="000000" w:themeColor="text1"/>
        </w:rPr>
        <w:t>is protective for 95% of the species that are included in the distribution</w:t>
      </w:r>
    </w:p>
  </w:footnote>
  <w:footnote w:id="32">
    <w:p w14:paraId="7129EA87" w14:textId="77777777" w:rsidR="002C2BB0" w:rsidRPr="00240525" w:rsidRDefault="002C2BB0">
      <w:pPr>
        <w:pStyle w:val="FootnoteText"/>
      </w:pPr>
      <w:r>
        <w:rPr>
          <w:rStyle w:val="FootnoteReference"/>
        </w:rPr>
        <w:footnoteRef/>
      </w:r>
      <w:r>
        <w:t xml:space="preserve"> </w:t>
      </w:r>
      <w:r w:rsidRPr="00D05142">
        <w:t>unbounded value</w:t>
      </w:r>
    </w:p>
  </w:footnote>
  <w:footnote w:id="33">
    <w:p w14:paraId="70172245" w14:textId="77777777" w:rsidR="002C2BB0" w:rsidRPr="00C202E6" w:rsidRDefault="002C2BB0" w:rsidP="002D0C31">
      <w:pPr>
        <w:rPr>
          <w:rStyle w:val="Hyperlink"/>
          <w:i/>
        </w:rPr>
      </w:pPr>
      <w:r>
        <w:rPr>
          <w:rStyle w:val="FootnoteReference"/>
        </w:rPr>
        <w:footnoteRef/>
      </w:r>
      <w:hyperlink r:id="rId3" w:history="1">
        <w:r w:rsidRPr="00C202E6">
          <w:rPr>
            <w:rStyle w:val="Hyperlink"/>
            <w:i/>
          </w:rPr>
          <w:t>http://echa.europa.eu/copper-voluntary-risk-assessment-reports</w:t>
        </w:r>
      </w:hyperlink>
    </w:p>
    <w:p w14:paraId="428A9A31" w14:textId="77777777" w:rsidR="002C2BB0" w:rsidRDefault="002C2BB0" w:rsidP="002D0C31">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64F826" w14:textId="56BC4368" w:rsidR="004F5C51" w:rsidRDefault="004F5C51">
    <w:pPr>
      <w:pStyle w:val="Header"/>
    </w:pPr>
    <w:r>
      <w:t xml:space="preserve">oecd sids </w:t>
    </w:r>
    <w:r>
      <w:tab/>
    </w:r>
    <w:r>
      <w:tab/>
    </w:r>
    <w:r w:rsidRPr="00933D01">
      <w:t>COPPER AND COPPER COMPOUNDS</w:t>
    </w:r>
    <w:bookmarkStart w:id="173" w:name="_GoBack"/>
    <w:bookmarkEnd w:id="173"/>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CellMar>
        <w:left w:w="0" w:type="dxa"/>
        <w:right w:w="0" w:type="dxa"/>
      </w:tblCellMar>
      <w:tblLook w:val="0000" w:firstRow="0" w:lastRow="0" w:firstColumn="0" w:lastColumn="0" w:noHBand="0" w:noVBand="0"/>
    </w:tblPr>
    <w:tblGrid>
      <w:gridCol w:w="1263"/>
      <w:gridCol w:w="6498"/>
      <w:gridCol w:w="1263"/>
    </w:tblGrid>
    <w:tr w:rsidR="002C2BB0" w14:paraId="470707AD" w14:textId="77777777">
      <w:tc>
        <w:tcPr>
          <w:tcW w:w="1263" w:type="dxa"/>
          <w:tcBorders>
            <w:top w:val="nil"/>
            <w:left w:val="nil"/>
            <w:bottom w:val="single" w:sz="4" w:space="0" w:color="000000"/>
            <w:right w:val="nil"/>
          </w:tcBorders>
        </w:tcPr>
        <w:p w14:paraId="785A44C6" w14:textId="77777777" w:rsidR="002C2BB0" w:rsidRDefault="002C2BB0">
          <w:r>
            <w:rPr>
              <w:color w:val="000000"/>
            </w:rPr>
            <w:t>EC number: 231-159-6</w:t>
          </w:r>
        </w:p>
      </w:tc>
      <w:tc>
        <w:tcPr>
          <w:tcW w:w="6498" w:type="dxa"/>
          <w:tcBorders>
            <w:top w:val="nil"/>
            <w:left w:val="nil"/>
            <w:bottom w:val="single" w:sz="4" w:space="0" w:color="000000"/>
            <w:right w:val="nil"/>
          </w:tcBorders>
        </w:tcPr>
        <w:p w14:paraId="3A0D6AD9" w14:textId="77777777" w:rsidR="002C2BB0" w:rsidRDefault="002C2BB0">
          <w:pPr>
            <w:jc w:val="center"/>
          </w:pPr>
          <w:r>
            <w:rPr>
              <w:color w:val="000000"/>
            </w:rPr>
            <w:t>A1 copper</w:t>
          </w:r>
        </w:p>
      </w:tc>
      <w:tc>
        <w:tcPr>
          <w:tcW w:w="1263" w:type="dxa"/>
          <w:tcBorders>
            <w:top w:val="nil"/>
            <w:left w:val="nil"/>
            <w:bottom w:val="single" w:sz="4" w:space="0" w:color="000000"/>
            <w:right w:val="nil"/>
          </w:tcBorders>
        </w:tcPr>
        <w:p w14:paraId="2FC8D7AE" w14:textId="77777777" w:rsidR="002C2BB0" w:rsidRDefault="002C2BB0">
          <w:r>
            <w:rPr>
              <w:color w:val="000000"/>
            </w:rPr>
            <w:t>CAS number: 7440-50-8</w:t>
          </w:r>
        </w:p>
      </w:tc>
    </w:tr>
  </w:tbl>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CellMar>
        <w:left w:w="0" w:type="dxa"/>
        <w:right w:w="0" w:type="dxa"/>
      </w:tblCellMar>
      <w:tblLook w:val="0000" w:firstRow="0" w:lastRow="0" w:firstColumn="0" w:lastColumn="0" w:noHBand="0" w:noVBand="0"/>
    </w:tblPr>
    <w:tblGrid>
      <w:gridCol w:w="1263"/>
      <w:gridCol w:w="6498"/>
      <w:gridCol w:w="1263"/>
    </w:tblGrid>
    <w:tr w:rsidR="002C2BB0" w14:paraId="249EA682" w14:textId="77777777">
      <w:tc>
        <w:tcPr>
          <w:tcW w:w="1263" w:type="dxa"/>
          <w:tcBorders>
            <w:top w:val="nil"/>
            <w:left w:val="nil"/>
            <w:bottom w:val="single" w:sz="4" w:space="0" w:color="000000"/>
            <w:right w:val="nil"/>
          </w:tcBorders>
        </w:tcPr>
        <w:p w14:paraId="669E66A0" w14:textId="77777777" w:rsidR="002C2BB0" w:rsidRDefault="002C2BB0">
          <w:r>
            <w:rPr>
              <w:color w:val="000000"/>
            </w:rPr>
            <w:t>EC number: 231-159-6</w:t>
          </w:r>
        </w:p>
      </w:tc>
      <w:tc>
        <w:tcPr>
          <w:tcW w:w="6498" w:type="dxa"/>
          <w:tcBorders>
            <w:top w:val="nil"/>
            <w:left w:val="nil"/>
            <w:bottom w:val="single" w:sz="4" w:space="0" w:color="000000"/>
            <w:right w:val="nil"/>
          </w:tcBorders>
        </w:tcPr>
        <w:p w14:paraId="65D3FAD7" w14:textId="77777777" w:rsidR="002C2BB0" w:rsidRDefault="002C2BB0">
          <w:pPr>
            <w:jc w:val="center"/>
          </w:pPr>
          <w:r>
            <w:rPr>
              <w:color w:val="000000"/>
            </w:rPr>
            <w:t>A1 copper</w:t>
          </w:r>
        </w:p>
      </w:tc>
      <w:tc>
        <w:tcPr>
          <w:tcW w:w="1263" w:type="dxa"/>
          <w:tcBorders>
            <w:top w:val="nil"/>
            <w:left w:val="nil"/>
            <w:bottom w:val="single" w:sz="4" w:space="0" w:color="000000"/>
            <w:right w:val="nil"/>
          </w:tcBorders>
        </w:tcPr>
        <w:p w14:paraId="104AE778" w14:textId="77777777" w:rsidR="002C2BB0" w:rsidRDefault="002C2BB0">
          <w:r>
            <w:rPr>
              <w:color w:val="000000"/>
            </w:rPr>
            <w:t>CAS number: 7440-50-8</w:t>
          </w:r>
        </w:p>
      </w:tc>
    </w:tr>
  </w:tbl>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CellMar>
        <w:left w:w="0" w:type="dxa"/>
        <w:right w:w="0" w:type="dxa"/>
      </w:tblCellMar>
      <w:tblLook w:val="0000" w:firstRow="0" w:lastRow="0" w:firstColumn="0" w:lastColumn="0" w:noHBand="0" w:noVBand="0"/>
    </w:tblPr>
    <w:tblGrid>
      <w:gridCol w:w="1263"/>
      <w:gridCol w:w="6498"/>
      <w:gridCol w:w="1263"/>
    </w:tblGrid>
    <w:tr w:rsidR="002C2BB0" w14:paraId="176ACC54" w14:textId="77777777">
      <w:tc>
        <w:tcPr>
          <w:tcW w:w="1263" w:type="dxa"/>
          <w:tcBorders>
            <w:top w:val="nil"/>
            <w:left w:val="nil"/>
            <w:bottom w:val="single" w:sz="4" w:space="0" w:color="000000"/>
            <w:right w:val="nil"/>
          </w:tcBorders>
        </w:tcPr>
        <w:p w14:paraId="1B851DEA" w14:textId="77777777" w:rsidR="002C2BB0" w:rsidRDefault="002C2BB0">
          <w:r>
            <w:rPr>
              <w:color w:val="000000"/>
            </w:rPr>
            <w:t>EC number: 231-159-6</w:t>
          </w:r>
        </w:p>
      </w:tc>
      <w:tc>
        <w:tcPr>
          <w:tcW w:w="6498" w:type="dxa"/>
          <w:tcBorders>
            <w:top w:val="nil"/>
            <w:left w:val="nil"/>
            <w:bottom w:val="single" w:sz="4" w:space="0" w:color="000000"/>
            <w:right w:val="nil"/>
          </w:tcBorders>
        </w:tcPr>
        <w:p w14:paraId="5CD94CBC" w14:textId="77777777" w:rsidR="002C2BB0" w:rsidRDefault="002C2BB0">
          <w:pPr>
            <w:jc w:val="center"/>
          </w:pPr>
          <w:r>
            <w:rPr>
              <w:color w:val="000000"/>
            </w:rPr>
            <w:t>A1 copper</w:t>
          </w:r>
        </w:p>
      </w:tc>
      <w:tc>
        <w:tcPr>
          <w:tcW w:w="1263" w:type="dxa"/>
          <w:tcBorders>
            <w:top w:val="nil"/>
            <w:left w:val="nil"/>
            <w:bottom w:val="single" w:sz="4" w:space="0" w:color="000000"/>
            <w:right w:val="nil"/>
          </w:tcBorders>
        </w:tcPr>
        <w:p w14:paraId="1761A104" w14:textId="77777777" w:rsidR="002C2BB0" w:rsidRDefault="002C2BB0">
          <w:r>
            <w:rPr>
              <w:color w:val="000000"/>
            </w:rPr>
            <w:t>CAS number: 7440-50-8</w:t>
          </w:r>
        </w:p>
      </w:tc>
    </w:tr>
  </w:tbl>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08F1FD" w14:textId="1657F812" w:rsidR="002C2BB0" w:rsidRPr="00D32714" w:rsidRDefault="004F5C51" w:rsidP="00AD2A80">
    <w:pPr>
      <w:pStyle w:val="Header"/>
    </w:pPr>
    <w:r>
      <w:t>o</w:t>
    </w:r>
    <w:r>
      <w:t xml:space="preserve">ecd sids </w:t>
    </w:r>
    <w:r>
      <w:tab/>
    </w:r>
    <w:r>
      <w:tab/>
    </w:r>
    <w:r w:rsidRPr="00933D01">
      <w:t>COPPER AND COPPER COMPOUNDS</w:t>
    </w:r>
  </w:p>
  <w:p w14:paraId="794A411C" w14:textId="77777777" w:rsidR="002C2BB0" w:rsidRDefault="002C2BB0"/>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EDBF91" w14:textId="77777777" w:rsidR="004F5C51" w:rsidRDefault="004F5C5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CellMar>
        <w:left w:w="0" w:type="dxa"/>
        <w:right w:w="0" w:type="dxa"/>
      </w:tblCellMar>
      <w:tblLook w:val="0000" w:firstRow="0" w:lastRow="0" w:firstColumn="0" w:lastColumn="0" w:noHBand="0" w:noVBand="0"/>
    </w:tblPr>
    <w:tblGrid>
      <w:gridCol w:w="1263"/>
      <w:gridCol w:w="6498"/>
      <w:gridCol w:w="1263"/>
    </w:tblGrid>
    <w:tr w:rsidR="002C2BB0" w14:paraId="601C9FDC" w14:textId="77777777">
      <w:tc>
        <w:tcPr>
          <w:tcW w:w="1263" w:type="dxa"/>
          <w:tcBorders>
            <w:top w:val="nil"/>
            <w:left w:val="nil"/>
            <w:bottom w:val="single" w:sz="4" w:space="0" w:color="000000"/>
            <w:right w:val="nil"/>
          </w:tcBorders>
        </w:tcPr>
        <w:p w14:paraId="1B02483A" w14:textId="77777777" w:rsidR="002C2BB0" w:rsidRDefault="002C2BB0">
          <w:r>
            <w:rPr>
              <w:color w:val="000000"/>
            </w:rPr>
            <w:t>EC number: 231-159-6</w:t>
          </w:r>
        </w:p>
      </w:tc>
      <w:tc>
        <w:tcPr>
          <w:tcW w:w="6498" w:type="dxa"/>
          <w:tcBorders>
            <w:top w:val="nil"/>
            <w:left w:val="nil"/>
            <w:bottom w:val="single" w:sz="4" w:space="0" w:color="000000"/>
            <w:right w:val="nil"/>
          </w:tcBorders>
        </w:tcPr>
        <w:p w14:paraId="4199940A" w14:textId="77777777" w:rsidR="002C2BB0" w:rsidRDefault="002C2BB0">
          <w:pPr>
            <w:jc w:val="center"/>
          </w:pPr>
          <w:r>
            <w:rPr>
              <w:color w:val="000000"/>
            </w:rPr>
            <w:t>A1 copper</w:t>
          </w:r>
        </w:p>
      </w:tc>
      <w:tc>
        <w:tcPr>
          <w:tcW w:w="1263" w:type="dxa"/>
          <w:tcBorders>
            <w:top w:val="nil"/>
            <w:left w:val="nil"/>
            <w:bottom w:val="single" w:sz="4" w:space="0" w:color="000000"/>
            <w:right w:val="nil"/>
          </w:tcBorders>
        </w:tcPr>
        <w:p w14:paraId="3BD11B99" w14:textId="77777777" w:rsidR="002C2BB0" w:rsidRDefault="002C2BB0">
          <w:r>
            <w:rPr>
              <w:color w:val="000000"/>
            </w:rPr>
            <w:t>CAS number: 7440-50-8</w:t>
          </w:r>
        </w:p>
      </w:tc>
    </w:tr>
  </w:tbl>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CellMar>
        <w:left w:w="0" w:type="dxa"/>
        <w:right w:w="0" w:type="dxa"/>
      </w:tblCellMar>
      <w:tblLook w:val="0000" w:firstRow="0" w:lastRow="0" w:firstColumn="0" w:lastColumn="0" w:noHBand="0" w:noVBand="0"/>
    </w:tblPr>
    <w:tblGrid>
      <w:gridCol w:w="1263"/>
      <w:gridCol w:w="6498"/>
      <w:gridCol w:w="1263"/>
    </w:tblGrid>
    <w:tr w:rsidR="002C2BB0" w14:paraId="22077534" w14:textId="77777777" w:rsidTr="006C1D26">
      <w:trPr>
        <w:trHeight w:val="1141"/>
      </w:trPr>
      <w:tc>
        <w:tcPr>
          <w:tcW w:w="1263" w:type="dxa"/>
          <w:tcBorders>
            <w:top w:val="nil"/>
            <w:left w:val="nil"/>
            <w:bottom w:val="single" w:sz="4" w:space="0" w:color="000000"/>
            <w:right w:val="nil"/>
          </w:tcBorders>
        </w:tcPr>
        <w:p w14:paraId="049081E6" w14:textId="77777777" w:rsidR="002C2BB0" w:rsidRDefault="002C2BB0">
          <w:r>
            <w:rPr>
              <w:color w:val="000000"/>
            </w:rPr>
            <w:t>EC number: 231-159-6</w:t>
          </w:r>
        </w:p>
      </w:tc>
      <w:tc>
        <w:tcPr>
          <w:tcW w:w="6498" w:type="dxa"/>
          <w:tcBorders>
            <w:top w:val="nil"/>
            <w:left w:val="nil"/>
            <w:bottom w:val="single" w:sz="4" w:space="0" w:color="000000"/>
            <w:right w:val="nil"/>
          </w:tcBorders>
        </w:tcPr>
        <w:p w14:paraId="36D40542" w14:textId="77777777" w:rsidR="002C2BB0" w:rsidRDefault="002C2BB0">
          <w:pPr>
            <w:jc w:val="center"/>
          </w:pPr>
          <w:r>
            <w:rPr>
              <w:color w:val="000000"/>
            </w:rPr>
            <w:t>A1 copper</w:t>
          </w:r>
        </w:p>
      </w:tc>
      <w:tc>
        <w:tcPr>
          <w:tcW w:w="1263" w:type="dxa"/>
          <w:tcBorders>
            <w:top w:val="nil"/>
            <w:left w:val="nil"/>
            <w:bottom w:val="single" w:sz="4" w:space="0" w:color="000000"/>
            <w:right w:val="nil"/>
          </w:tcBorders>
        </w:tcPr>
        <w:p w14:paraId="7EDA915C" w14:textId="77777777" w:rsidR="002C2BB0" w:rsidRDefault="002C2BB0">
          <w:r>
            <w:rPr>
              <w:color w:val="000000"/>
            </w:rPr>
            <w:t>CAS number: 7440-50-8</w:t>
          </w:r>
        </w:p>
      </w:tc>
    </w:tr>
  </w:tbl>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CellMar>
        <w:left w:w="0" w:type="dxa"/>
        <w:right w:w="0" w:type="dxa"/>
      </w:tblCellMar>
      <w:tblLook w:val="0000" w:firstRow="0" w:lastRow="0" w:firstColumn="0" w:lastColumn="0" w:noHBand="0" w:noVBand="0"/>
    </w:tblPr>
    <w:tblGrid>
      <w:gridCol w:w="1263"/>
      <w:gridCol w:w="6498"/>
      <w:gridCol w:w="1263"/>
    </w:tblGrid>
    <w:tr w:rsidR="002C2BB0" w14:paraId="754A21DD" w14:textId="77777777">
      <w:tc>
        <w:tcPr>
          <w:tcW w:w="1263" w:type="dxa"/>
          <w:tcBorders>
            <w:top w:val="nil"/>
            <w:left w:val="nil"/>
            <w:bottom w:val="single" w:sz="4" w:space="0" w:color="000000"/>
            <w:right w:val="nil"/>
          </w:tcBorders>
        </w:tcPr>
        <w:p w14:paraId="2846D7E7" w14:textId="77777777" w:rsidR="002C2BB0" w:rsidRDefault="002C2BB0">
          <w:r>
            <w:rPr>
              <w:color w:val="000000"/>
            </w:rPr>
            <w:t>EC number: 231-159-6</w:t>
          </w:r>
        </w:p>
      </w:tc>
      <w:tc>
        <w:tcPr>
          <w:tcW w:w="6498" w:type="dxa"/>
          <w:tcBorders>
            <w:top w:val="nil"/>
            <w:left w:val="nil"/>
            <w:bottom w:val="single" w:sz="4" w:space="0" w:color="000000"/>
            <w:right w:val="nil"/>
          </w:tcBorders>
        </w:tcPr>
        <w:p w14:paraId="40D576E2" w14:textId="77777777" w:rsidR="002C2BB0" w:rsidRDefault="002C2BB0">
          <w:pPr>
            <w:jc w:val="center"/>
          </w:pPr>
          <w:r>
            <w:rPr>
              <w:color w:val="000000"/>
            </w:rPr>
            <w:t>A1 copper</w:t>
          </w:r>
        </w:p>
      </w:tc>
      <w:tc>
        <w:tcPr>
          <w:tcW w:w="1263" w:type="dxa"/>
          <w:tcBorders>
            <w:top w:val="nil"/>
            <w:left w:val="nil"/>
            <w:bottom w:val="single" w:sz="4" w:space="0" w:color="000000"/>
            <w:right w:val="nil"/>
          </w:tcBorders>
        </w:tcPr>
        <w:p w14:paraId="583E9E42" w14:textId="77777777" w:rsidR="002C2BB0" w:rsidRDefault="002C2BB0">
          <w:r>
            <w:rPr>
              <w:color w:val="000000"/>
            </w:rPr>
            <w:t>CAS number: 7440-50-8</w:t>
          </w:r>
        </w:p>
      </w:tc>
    </w:tr>
  </w:tbl>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CellMar>
        <w:left w:w="0" w:type="dxa"/>
        <w:right w:w="0" w:type="dxa"/>
      </w:tblCellMar>
      <w:tblLook w:val="0000" w:firstRow="0" w:lastRow="0" w:firstColumn="0" w:lastColumn="0" w:noHBand="0" w:noVBand="0"/>
    </w:tblPr>
    <w:tblGrid>
      <w:gridCol w:w="1263"/>
      <w:gridCol w:w="6498"/>
      <w:gridCol w:w="1263"/>
    </w:tblGrid>
    <w:tr w:rsidR="002C2BB0" w14:paraId="69CD0C5E" w14:textId="77777777">
      <w:tc>
        <w:tcPr>
          <w:tcW w:w="1263" w:type="dxa"/>
          <w:tcBorders>
            <w:top w:val="nil"/>
            <w:left w:val="nil"/>
            <w:bottom w:val="single" w:sz="4" w:space="0" w:color="000000"/>
            <w:right w:val="nil"/>
          </w:tcBorders>
        </w:tcPr>
        <w:p w14:paraId="33F4E78C" w14:textId="77777777" w:rsidR="002C2BB0" w:rsidRDefault="002C2BB0">
          <w:r>
            <w:rPr>
              <w:color w:val="000000"/>
            </w:rPr>
            <w:t>EC number: 231-159-6</w:t>
          </w:r>
        </w:p>
      </w:tc>
      <w:tc>
        <w:tcPr>
          <w:tcW w:w="6498" w:type="dxa"/>
          <w:tcBorders>
            <w:top w:val="nil"/>
            <w:left w:val="nil"/>
            <w:bottom w:val="single" w:sz="4" w:space="0" w:color="000000"/>
            <w:right w:val="nil"/>
          </w:tcBorders>
        </w:tcPr>
        <w:p w14:paraId="5563BDAD" w14:textId="77777777" w:rsidR="002C2BB0" w:rsidRDefault="002C2BB0">
          <w:pPr>
            <w:jc w:val="center"/>
          </w:pPr>
          <w:r>
            <w:rPr>
              <w:color w:val="000000"/>
            </w:rPr>
            <w:t>A1 copper</w:t>
          </w:r>
        </w:p>
      </w:tc>
      <w:tc>
        <w:tcPr>
          <w:tcW w:w="1263" w:type="dxa"/>
          <w:tcBorders>
            <w:top w:val="nil"/>
            <w:left w:val="nil"/>
            <w:bottom w:val="single" w:sz="4" w:space="0" w:color="000000"/>
            <w:right w:val="nil"/>
          </w:tcBorders>
        </w:tcPr>
        <w:p w14:paraId="6E706B30" w14:textId="77777777" w:rsidR="002C2BB0" w:rsidRDefault="002C2BB0">
          <w:r>
            <w:rPr>
              <w:color w:val="000000"/>
            </w:rPr>
            <w:t>CAS number: 7440-50-8</w:t>
          </w:r>
        </w:p>
      </w:tc>
    </w:tr>
  </w:tbl>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CellMar>
        <w:left w:w="0" w:type="dxa"/>
        <w:right w:w="0" w:type="dxa"/>
      </w:tblCellMar>
      <w:tblLook w:val="0000" w:firstRow="0" w:lastRow="0" w:firstColumn="0" w:lastColumn="0" w:noHBand="0" w:noVBand="0"/>
    </w:tblPr>
    <w:tblGrid>
      <w:gridCol w:w="1263"/>
      <w:gridCol w:w="6498"/>
      <w:gridCol w:w="1263"/>
    </w:tblGrid>
    <w:tr w:rsidR="002C2BB0" w14:paraId="26EE69B0" w14:textId="77777777">
      <w:tc>
        <w:tcPr>
          <w:tcW w:w="1263" w:type="dxa"/>
          <w:tcBorders>
            <w:top w:val="nil"/>
            <w:left w:val="nil"/>
            <w:bottom w:val="single" w:sz="4" w:space="0" w:color="000000"/>
            <w:right w:val="nil"/>
          </w:tcBorders>
        </w:tcPr>
        <w:p w14:paraId="5DD3DD9D" w14:textId="77777777" w:rsidR="002C2BB0" w:rsidRDefault="002C2BB0">
          <w:r>
            <w:rPr>
              <w:color w:val="000000"/>
            </w:rPr>
            <w:t>EC number: 231-159-6</w:t>
          </w:r>
        </w:p>
      </w:tc>
      <w:tc>
        <w:tcPr>
          <w:tcW w:w="6498" w:type="dxa"/>
          <w:tcBorders>
            <w:top w:val="nil"/>
            <w:left w:val="nil"/>
            <w:bottom w:val="single" w:sz="4" w:space="0" w:color="000000"/>
            <w:right w:val="nil"/>
          </w:tcBorders>
        </w:tcPr>
        <w:p w14:paraId="23E9A72E" w14:textId="77777777" w:rsidR="002C2BB0" w:rsidRDefault="002C2BB0">
          <w:pPr>
            <w:jc w:val="center"/>
          </w:pPr>
          <w:r>
            <w:rPr>
              <w:color w:val="000000"/>
            </w:rPr>
            <w:t>A1 copper</w:t>
          </w:r>
        </w:p>
      </w:tc>
      <w:tc>
        <w:tcPr>
          <w:tcW w:w="1263" w:type="dxa"/>
          <w:tcBorders>
            <w:top w:val="nil"/>
            <w:left w:val="nil"/>
            <w:bottom w:val="single" w:sz="4" w:space="0" w:color="000000"/>
            <w:right w:val="nil"/>
          </w:tcBorders>
        </w:tcPr>
        <w:p w14:paraId="55BF4CB4" w14:textId="77777777" w:rsidR="002C2BB0" w:rsidRDefault="002C2BB0">
          <w:r>
            <w:rPr>
              <w:color w:val="000000"/>
            </w:rPr>
            <w:t>CAS number: 7440-50-8</w:t>
          </w:r>
        </w:p>
      </w:tc>
    </w:tr>
  </w:tbl>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CellMar>
        <w:left w:w="0" w:type="dxa"/>
        <w:right w:w="0" w:type="dxa"/>
      </w:tblCellMar>
      <w:tblLook w:val="0000" w:firstRow="0" w:lastRow="0" w:firstColumn="0" w:lastColumn="0" w:noHBand="0" w:noVBand="0"/>
    </w:tblPr>
    <w:tblGrid>
      <w:gridCol w:w="1263"/>
      <w:gridCol w:w="6498"/>
      <w:gridCol w:w="1263"/>
    </w:tblGrid>
    <w:tr w:rsidR="002C2BB0" w14:paraId="30DB2FE6" w14:textId="77777777">
      <w:tc>
        <w:tcPr>
          <w:tcW w:w="1263" w:type="dxa"/>
          <w:tcBorders>
            <w:top w:val="nil"/>
            <w:left w:val="nil"/>
            <w:bottom w:val="single" w:sz="4" w:space="0" w:color="000000"/>
            <w:right w:val="nil"/>
          </w:tcBorders>
        </w:tcPr>
        <w:p w14:paraId="627CB0C4" w14:textId="77777777" w:rsidR="002C2BB0" w:rsidRDefault="002C2BB0">
          <w:r>
            <w:rPr>
              <w:color w:val="000000"/>
            </w:rPr>
            <w:t>EC number: 231-159-6</w:t>
          </w:r>
        </w:p>
      </w:tc>
      <w:tc>
        <w:tcPr>
          <w:tcW w:w="6498" w:type="dxa"/>
          <w:tcBorders>
            <w:top w:val="nil"/>
            <w:left w:val="nil"/>
            <w:bottom w:val="single" w:sz="4" w:space="0" w:color="000000"/>
            <w:right w:val="nil"/>
          </w:tcBorders>
        </w:tcPr>
        <w:p w14:paraId="649642D1" w14:textId="77777777" w:rsidR="002C2BB0" w:rsidRDefault="002C2BB0">
          <w:pPr>
            <w:jc w:val="center"/>
          </w:pPr>
          <w:r>
            <w:rPr>
              <w:color w:val="000000"/>
            </w:rPr>
            <w:t>A1 copper</w:t>
          </w:r>
        </w:p>
      </w:tc>
      <w:tc>
        <w:tcPr>
          <w:tcW w:w="1263" w:type="dxa"/>
          <w:tcBorders>
            <w:top w:val="nil"/>
            <w:left w:val="nil"/>
            <w:bottom w:val="single" w:sz="4" w:space="0" w:color="000000"/>
            <w:right w:val="nil"/>
          </w:tcBorders>
        </w:tcPr>
        <w:p w14:paraId="738E302D" w14:textId="77777777" w:rsidR="002C2BB0" w:rsidRDefault="002C2BB0">
          <w:r>
            <w:rPr>
              <w:color w:val="000000"/>
            </w:rPr>
            <w:t>CAS number: 7440-50-8</w:t>
          </w:r>
        </w:p>
      </w:tc>
    </w:tr>
  </w:tbl>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6B24DCC0"/>
    <w:lvl w:ilvl="0">
      <w:start w:val="1"/>
      <w:numFmt w:val="decimal"/>
      <w:pStyle w:val="ListNumber2"/>
      <w:lvlText w:val="%1."/>
      <w:lvlJc w:val="left"/>
      <w:pPr>
        <w:tabs>
          <w:tab w:val="num" w:pos="720"/>
        </w:tabs>
        <w:ind w:left="720" w:hanging="360"/>
      </w:pPr>
    </w:lvl>
  </w:abstractNum>
  <w:abstractNum w:abstractNumId="1" w15:restartNumberingAfterBreak="0">
    <w:nsid w:val="FFFFFF82"/>
    <w:multiLevelType w:val="singleLevel"/>
    <w:tmpl w:val="E7BCC07C"/>
    <w:lvl w:ilvl="0">
      <w:start w:val="1"/>
      <w:numFmt w:val="bullet"/>
      <w:pStyle w:val="ListBullet3"/>
      <w:lvlText w:val=""/>
      <w:lvlJc w:val="left"/>
      <w:pPr>
        <w:tabs>
          <w:tab w:val="num" w:pos="1145"/>
        </w:tabs>
        <w:ind w:left="1145" w:hanging="425"/>
      </w:pPr>
      <w:rPr>
        <w:rFonts w:ascii="Symbol" w:hAnsi="Symbol" w:hint="default"/>
        <w:sz w:val="16"/>
      </w:rPr>
    </w:lvl>
  </w:abstractNum>
  <w:abstractNum w:abstractNumId="2" w15:restartNumberingAfterBreak="0">
    <w:nsid w:val="FFFFFF83"/>
    <w:multiLevelType w:val="singleLevel"/>
    <w:tmpl w:val="3A067F5C"/>
    <w:lvl w:ilvl="0">
      <w:start w:val="1"/>
      <w:numFmt w:val="bullet"/>
      <w:pStyle w:val="ListBullet2"/>
      <w:lvlText w:val=""/>
      <w:lvlJc w:val="left"/>
      <w:pPr>
        <w:tabs>
          <w:tab w:val="num" w:pos="720"/>
        </w:tabs>
        <w:ind w:left="720" w:hanging="363"/>
      </w:pPr>
      <w:rPr>
        <w:rFonts w:ascii="Symbol" w:hAnsi="Symbol" w:hint="default"/>
        <w:sz w:val="16"/>
      </w:rPr>
    </w:lvl>
  </w:abstractNum>
  <w:abstractNum w:abstractNumId="3" w15:restartNumberingAfterBreak="0">
    <w:nsid w:val="FFFFFF89"/>
    <w:multiLevelType w:val="singleLevel"/>
    <w:tmpl w:val="71E4941E"/>
    <w:lvl w:ilvl="0">
      <w:start w:val="1"/>
      <w:numFmt w:val="bullet"/>
      <w:pStyle w:val="Literature"/>
      <w:lvlText w:val=""/>
      <w:lvlJc w:val="left"/>
      <w:pPr>
        <w:tabs>
          <w:tab w:val="num" w:pos="360"/>
        </w:tabs>
        <w:ind w:left="360" w:hanging="360"/>
      </w:pPr>
      <w:rPr>
        <w:rFonts w:ascii="Symbol" w:hAnsi="Symbol" w:cs="Symbol" w:hint="default"/>
      </w:rPr>
    </w:lvl>
  </w:abstractNum>
  <w:abstractNum w:abstractNumId="4" w15:restartNumberingAfterBreak="0">
    <w:nsid w:val="00526FB5"/>
    <w:multiLevelType w:val="multilevel"/>
    <w:tmpl w:val="AF82B6FE"/>
    <w:lvl w:ilvl="0">
      <w:start w:val="1"/>
      <w:numFmt w:val="decimal"/>
      <w:pStyle w:val="ListContinue2"/>
      <w:lvlText w:val="%1."/>
      <w:lvlJc w:val="left"/>
      <w:pPr>
        <w:tabs>
          <w:tab w:val="num" w:pos="717"/>
        </w:tabs>
        <w:ind w:left="709" w:hanging="352"/>
      </w:pPr>
      <w:rPr>
        <w:rFonts w:ascii="Tahoma" w:hAnsi="Tahoma" w:hint="default"/>
        <w:sz w:val="20"/>
      </w:rPr>
    </w:lvl>
    <w:lvl w:ilvl="1">
      <w:start w:val="1"/>
      <w:numFmt w:val="decimal"/>
      <w:lvlText w:val="%1.%2."/>
      <w:lvlJc w:val="left"/>
      <w:pPr>
        <w:tabs>
          <w:tab w:val="num" w:pos="1276"/>
        </w:tabs>
        <w:ind w:left="1276" w:hanging="567"/>
      </w:pPr>
      <w:rPr>
        <w:rFonts w:ascii="Tahoma" w:hAnsi="Tahoma" w:hint="default"/>
        <w:sz w:val="20"/>
      </w:rPr>
    </w:lvl>
    <w:lvl w:ilvl="2">
      <w:start w:val="1"/>
      <w:numFmt w:val="decimal"/>
      <w:lvlText w:val="%1.%2.%3."/>
      <w:lvlJc w:val="left"/>
      <w:pPr>
        <w:tabs>
          <w:tab w:val="num" w:pos="1985"/>
        </w:tabs>
        <w:ind w:left="1985" w:hanging="709"/>
      </w:pPr>
      <w:rPr>
        <w:rFonts w:ascii="Tahoma" w:hAnsi="Tahoma" w:hint="default"/>
        <w:sz w:val="20"/>
      </w:rPr>
    </w:lvl>
    <w:lvl w:ilvl="3">
      <w:start w:val="1"/>
      <w:numFmt w:val="decimal"/>
      <w:lvlText w:val="%1.%2.%3.%4."/>
      <w:lvlJc w:val="left"/>
      <w:pPr>
        <w:tabs>
          <w:tab w:val="num" w:pos="2977"/>
        </w:tabs>
        <w:ind w:left="2977" w:hanging="992"/>
      </w:pPr>
      <w:rPr>
        <w:rFonts w:ascii="Tahoma" w:hAnsi="Tahoma" w:hint="default"/>
        <w:b w:val="0"/>
        <w:i/>
        <w:sz w:val="20"/>
      </w:r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 w15:restartNumberingAfterBreak="0">
    <w:nsid w:val="0656467A"/>
    <w:multiLevelType w:val="hybridMultilevel"/>
    <w:tmpl w:val="D08E7F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E23974"/>
    <w:multiLevelType w:val="hybridMultilevel"/>
    <w:tmpl w:val="8FDECAE0"/>
    <w:lvl w:ilvl="0" w:tplc="04090015">
      <w:start w:val="1"/>
      <w:numFmt w:val="bullet"/>
      <w:pStyle w:val="figuur"/>
      <w:lvlText w:val=""/>
      <w:lvlJc w:val="left"/>
      <w:pPr>
        <w:tabs>
          <w:tab w:val="num" w:pos="360"/>
        </w:tabs>
        <w:ind w:left="360" w:hanging="360"/>
      </w:pPr>
      <w:rPr>
        <w:rFonts w:ascii="Symbol" w:hAnsi="Symbol" w:cs="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cs="Wingdings" w:hint="default"/>
      </w:rPr>
    </w:lvl>
    <w:lvl w:ilvl="3" w:tplc="0409000F" w:tentative="1">
      <w:start w:val="1"/>
      <w:numFmt w:val="bullet"/>
      <w:lvlText w:val=""/>
      <w:lvlJc w:val="left"/>
      <w:pPr>
        <w:tabs>
          <w:tab w:val="num" w:pos="2880"/>
        </w:tabs>
        <w:ind w:left="2880" w:hanging="360"/>
      </w:pPr>
      <w:rPr>
        <w:rFonts w:ascii="Symbol" w:hAnsi="Symbol" w:cs="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cs="Wingdings" w:hint="default"/>
      </w:rPr>
    </w:lvl>
    <w:lvl w:ilvl="6" w:tplc="0409000F" w:tentative="1">
      <w:start w:val="1"/>
      <w:numFmt w:val="bullet"/>
      <w:lvlText w:val=""/>
      <w:lvlJc w:val="left"/>
      <w:pPr>
        <w:tabs>
          <w:tab w:val="num" w:pos="5040"/>
        </w:tabs>
        <w:ind w:left="5040" w:hanging="360"/>
      </w:pPr>
      <w:rPr>
        <w:rFonts w:ascii="Symbol" w:hAnsi="Symbol" w:cs="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cs="Wingdings" w:hint="default"/>
      </w:rPr>
    </w:lvl>
  </w:abstractNum>
  <w:abstractNum w:abstractNumId="7" w15:restartNumberingAfterBreak="0">
    <w:nsid w:val="0AFA438C"/>
    <w:multiLevelType w:val="hybridMultilevel"/>
    <w:tmpl w:val="1294FAA8"/>
    <w:lvl w:ilvl="0" w:tplc="08090003">
      <w:start w:val="1"/>
      <w:numFmt w:val="bullet"/>
      <w:lvlText w:val="o"/>
      <w:lvlJc w:val="left"/>
      <w:pPr>
        <w:ind w:left="720" w:hanging="360"/>
      </w:pPr>
      <w:rPr>
        <w:rFonts w:ascii="Courier New" w:hAnsi="Courier New" w:cs="Courier New"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BC66AB7"/>
    <w:multiLevelType w:val="hybridMultilevel"/>
    <w:tmpl w:val="9948D532"/>
    <w:lvl w:ilvl="0" w:tplc="AEF69B60">
      <w:start w:val="1"/>
      <w:numFmt w:val="decimal"/>
      <w:pStyle w:val="ListNumb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109565FA"/>
    <w:multiLevelType w:val="hybridMultilevel"/>
    <w:tmpl w:val="B2947B36"/>
    <w:lvl w:ilvl="0" w:tplc="C7D84FE6">
      <w:start w:val="1"/>
      <w:numFmt w:val="decimal"/>
      <w:lvlText w:val="%1."/>
      <w:lvlJc w:val="left"/>
      <w:pPr>
        <w:tabs>
          <w:tab w:val="num" w:pos="720"/>
        </w:tabs>
        <w:ind w:left="720" w:hanging="360"/>
      </w:pPr>
    </w:lvl>
    <w:lvl w:ilvl="1" w:tplc="964C54BC">
      <w:numFmt w:val="none"/>
      <w:lvlText w:val=""/>
      <w:lvlJc w:val="left"/>
      <w:pPr>
        <w:tabs>
          <w:tab w:val="num" w:pos="360"/>
        </w:tabs>
      </w:pPr>
    </w:lvl>
    <w:lvl w:ilvl="2" w:tplc="2DD6DADE">
      <w:numFmt w:val="none"/>
      <w:lvlText w:val=""/>
      <w:lvlJc w:val="left"/>
      <w:pPr>
        <w:tabs>
          <w:tab w:val="num" w:pos="360"/>
        </w:tabs>
      </w:pPr>
    </w:lvl>
    <w:lvl w:ilvl="3" w:tplc="F432BB1A">
      <w:numFmt w:val="none"/>
      <w:lvlText w:val=""/>
      <w:lvlJc w:val="left"/>
      <w:pPr>
        <w:tabs>
          <w:tab w:val="num" w:pos="360"/>
        </w:tabs>
      </w:pPr>
    </w:lvl>
    <w:lvl w:ilvl="4" w:tplc="5A1EC760">
      <w:numFmt w:val="none"/>
      <w:lvlText w:val=""/>
      <w:lvlJc w:val="left"/>
      <w:pPr>
        <w:tabs>
          <w:tab w:val="num" w:pos="360"/>
        </w:tabs>
      </w:pPr>
    </w:lvl>
    <w:lvl w:ilvl="5" w:tplc="650CFCCE">
      <w:numFmt w:val="none"/>
      <w:lvlText w:val=""/>
      <w:lvlJc w:val="left"/>
      <w:pPr>
        <w:tabs>
          <w:tab w:val="num" w:pos="360"/>
        </w:tabs>
      </w:pPr>
    </w:lvl>
    <w:lvl w:ilvl="6" w:tplc="F10CDF5E">
      <w:numFmt w:val="none"/>
      <w:lvlText w:val=""/>
      <w:lvlJc w:val="left"/>
      <w:pPr>
        <w:tabs>
          <w:tab w:val="num" w:pos="360"/>
        </w:tabs>
      </w:pPr>
    </w:lvl>
    <w:lvl w:ilvl="7" w:tplc="BF3852EC">
      <w:numFmt w:val="none"/>
      <w:lvlText w:val=""/>
      <w:lvlJc w:val="left"/>
      <w:pPr>
        <w:tabs>
          <w:tab w:val="num" w:pos="360"/>
        </w:tabs>
      </w:pPr>
    </w:lvl>
    <w:lvl w:ilvl="8" w:tplc="957C2566">
      <w:numFmt w:val="none"/>
      <w:lvlText w:val=""/>
      <w:lvlJc w:val="left"/>
      <w:pPr>
        <w:tabs>
          <w:tab w:val="num" w:pos="360"/>
        </w:tabs>
      </w:pPr>
    </w:lvl>
  </w:abstractNum>
  <w:abstractNum w:abstractNumId="10" w15:restartNumberingAfterBreak="0">
    <w:nsid w:val="10BF2EEC"/>
    <w:multiLevelType w:val="hybridMultilevel"/>
    <w:tmpl w:val="0DFE0EAA"/>
    <w:lvl w:ilvl="0" w:tplc="0D60807A">
      <w:start w:val="1"/>
      <w:numFmt w:val="decimal"/>
      <w:lvlText w:val="(%1)"/>
      <w:lvlJc w:val="left"/>
      <w:pPr>
        <w:ind w:left="720" w:hanging="360"/>
      </w:pPr>
      <w:rPr>
        <w:rFonts w:ascii="Times New Roman" w:eastAsia="Times New Roman" w:hAnsi="Times New Roman" w:cs="Times New Roman"/>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3AD7ED3"/>
    <w:multiLevelType w:val="hybridMultilevel"/>
    <w:tmpl w:val="5E36D17A"/>
    <w:lvl w:ilvl="0" w:tplc="C84E037E">
      <w:start w:val="1"/>
      <w:numFmt w:val="bullet"/>
      <w:pStyle w:val="ListBullet"/>
      <w:lvlText w:val=""/>
      <w:lvlJc w:val="left"/>
      <w:pPr>
        <w:tabs>
          <w:tab w:val="num" w:pos="425"/>
        </w:tabs>
        <w:ind w:left="425" w:hanging="425"/>
      </w:pPr>
      <w:rPr>
        <w:rFonts w:ascii="Symbol" w:hAnsi="Symbol" w:hint="default"/>
        <w:sz w:val="16"/>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728147A"/>
    <w:multiLevelType w:val="hybridMultilevel"/>
    <w:tmpl w:val="C6EA84D4"/>
    <w:lvl w:ilvl="0" w:tplc="88D6224A">
      <w:start w:val="1"/>
      <w:numFmt w:val="decimal"/>
      <w:lvlText w:val="(%1)"/>
      <w:lvlJc w:val="left"/>
      <w:pPr>
        <w:ind w:left="394" w:hanging="360"/>
      </w:pPr>
      <w:rPr>
        <w:rFonts w:hint="default"/>
      </w:rPr>
    </w:lvl>
    <w:lvl w:ilvl="1" w:tplc="08090019" w:tentative="1">
      <w:start w:val="1"/>
      <w:numFmt w:val="lowerLetter"/>
      <w:lvlText w:val="%2."/>
      <w:lvlJc w:val="left"/>
      <w:pPr>
        <w:ind w:left="1114" w:hanging="360"/>
      </w:pPr>
    </w:lvl>
    <w:lvl w:ilvl="2" w:tplc="0809001B" w:tentative="1">
      <w:start w:val="1"/>
      <w:numFmt w:val="lowerRoman"/>
      <w:lvlText w:val="%3."/>
      <w:lvlJc w:val="right"/>
      <w:pPr>
        <w:ind w:left="1834" w:hanging="180"/>
      </w:pPr>
    </w:lvl>
    <w:lvl w:ilvl="3" w:tplc="0809000F" w:tentative="1">
      <w:start w:val="1"/>
      <w:numFmt w:val="decimal"/>
      <w:lvlText w:val="%4."/>
      <w:lvlJc w:val="left"/>
      <w:pPr>
        <w:ind w:left="2554" w:hanging="360"/>
      </w:pPr>
    </w:lvl>
    <w:lvl w:ilvl="4" w:tplc="08090019" w:tentative="1">
      <w:start w:val="1"/>
      <w:numFmt w:val="lowerLetter"/>
      <w:lvlText w:val="%5."/>
      <w:lvlJc w:val="left"/>
      <w:pPr>
        <w:ind w:left="3274" w:hanging="360"/>
      </w:pPr>
    </w:lvl>
    <w:lvl w:ilvl="5" w:tplc="0809001B" w:tentative="1">
      <w:start w:val="1"/>
      <w:numFmt w:val="lowerRoman"/>
      <w:lvlText w:val="%6."/>
      <w:lvlJc w:val="right"/>
      <w:pPr>
        <w:ind w:left="3994" w:hanging="180"/>
      </w:pPr>
    </w:lvl>
    <w:lvl w:ilvl="6" w:tplc="0809000F" w:tentative="1">
      <w:start w:val="1"/>
      <w:numFmt w:val="decimal"/>
      <w:lvlText w:val="%7."/>
      <w:lvlJc w:val="left"/>
      <w:pPr>
        <w:ind w:left="4714" w:hanging="360"/>
      </w:pPr>
    </w:lvl>
    <w:lvl w:ilvl="7" w:tplc="08090019" w:tentative="1">
      <w:start w:val="1"/>
      <w:numFmt w:val="lowerLetter"/>
      <w:lvlText w:val="%8."/>
      <w:lvlJc w:val="left"/>
      <w:pPr>
        <w:ind w:left="5434" w:hanging="360"/>
      </w:pPr>
    </w:lvl>
    <w:lvl w:ilvl="8" w:tplc="0809001B" w:tentative="1">
      <w:start w:val="1"/>
      <w:numFmt w:val="lowerRoman"/>
      <w:lvlText w:val="%9."/>
      <w:lvlJc w:val="right"/>
      <w:pPr>
        <w:ind w:left="6154" w:hanging="180"/>
      </w:pPr>
    </w:lvl>
  </w:abstractNum>
  <w:abstractNum w:abstractNumId="13" w15:restartNumberingAfterBreak="0">
    <w:nsid w:val="19003D08"/>
    <w:multiLevelType w:val="hybridMultilevel"/>
    <w:tmpl w:val="FC4E0152"/>
    <w:lvl w:ilvl="0" w:tplc="9738A770">
      <w:start w:val="3"/>
      <w:numFmt w:val="bullet"/>
      <w:lvlText w:val="-"/>
      <w:lvlJc w:val="left"/>
      <w:pPr>
        <w:ind w:left="720" w:hanging="360"/>
      </w:pPr>
      <w:rPr>
        <w:rFonts w:ascii="Times New Roman" w:eastAsia="Times New Roman" w:hAnsi="Times New Roman" w:cs="Times New Roman" w:hint="default"/>
        <w:i w:val="0"/>
        <w:color w:val="auto"/>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9ED608F"/>
    <w:multiLevelType w:val="multilevel"/>
    <w:tmpl w:val="3C9236FE"/>
    <w:lvl w:ilvl="0">
      <w:start w:val="1"/>
      <w:numFmt w:val="decimal"/>
      <w:pStyle w:val="Heading1"/>
      <w:lvlText w:val="%1"/>
      <w:lvlJc w:val="left"/>
      <w:pPr>
        <w:tabs>
          <w:tab w:val="num" w:pos="1077"/>
        </w:tabs>
        <w:ind w:left="1077" w:hanging="1077"/>
      </w:pPr>
      <w:rPr>
        <w:rFonts w:ascii="Times New Roman" w:hAnsi="Times New Roman" w:hint="default"/>
        <w:b/>
        <w:i w:val="0"/>
        <w:sz w:val="28"/>
      </w:rPr>
    </w:lvl>
    <w:lvl w:ilvl="1">
      <w:start w:val="1"/>
      <w:numFmt w:val="decimal"/>
      <w:pStyle w:val="Heading2"/>
      <w:lvlText w:val="%1.%2"/>
      <w:lvlJc w:val="left"/>
      <w:pPr>
        <w:tabs>
          <w:tab w:val="num" w:pos="1077"/>
        </w:tabs>
        <w:ind w:left="1077" w:hanging="1077"/>
      </w:pPr>
      <w:rPr>
        <w:rFonts w:ascii="Times New Roman" w:hAnsi="Times New Roman" w:hint="default"/>
        <w:b/>
        <w:i w:val="0"/>
        <w:sz w:val="24"/>
      </w:rPr>
    </w:lvl>
    <w:lvl w:ilvl="2">
      <w:start w:val="1"/>
      <w:numFmt w:val="decimal"/>
      <w:pStyle w:val="Heading3"/>
      <w:lvlText w:val="%1.%2.%3"/>
      <w:lvlJc w:val="left"/>
      <w:pPr>
        <w:tabs>
          <w:tab w:val="num" w:pos="1077"/>
        </w:tabs>
        <w:ind w:left="1077" w:hanging="1077"/>
      </w:pPr>
      <w:rPr>
        <w:rFonts w:ascii="Times New Roman" w:hAnsi="Times New Roman" w:hint="default"/>
        <w:b/>
        <w:i w:val="0"/>
        <w:sz w:val="24"/>
      </w:rPr>
    </w:lvl>
    <w:lvl w:ilvl="3">
      <w:start w:val="1"/>
      <w:numFmt w:val="decimal"/>
      <w:pStyle w:val="Heading4"/>
      <w:lvlText w:val="%1.%2.%3.%4"/>
      <w:lvlJc w:val="left"/>
      <w:pPr>
        <w:tabs>
          <w:tab w:val="num" w:pos="1077"/>
        </w:tabs>
        <w:ind w:left="1077" w:hanging="1077"/>
      </w:pPr>
      <w:rPr>
        <w:rFonts w:ascii="Times New Roman" w:hAnsi="Times New Roman" w:hint="default"/>
        <w:b/>
        <w:i w:val="0"/>
        <w:sz w:val="24"/>
      </w:rPr>
    </w:lvl>
    <w:lvl w:ilvl="4">
      <w:start w:val="1"/>
      <w:numFmt w:val="decimal"/>
      <w:pStyle w:val="Heading5"/>
      <w:lvlText w:val="%1.%2.%3.%4.%5"/>
      <w:lvlJc w:val="left"/>
      <w:pPr>
        <w:tabs>
          <w:tab w:val="num" w:pos="1843"/>
        </w:tabs>
        <w:ind w:left="1843" w:hanging="1843"/>
      </w:pPr>
      <w:rPr>
        <w:rFonts w:ascii="Times New Roman" w:hAnsi="Times New Roman" w:hint="default"/>
        <w:b/>
        <w:i w:val="0"/>
        <w:sz w:val="24"/>
      </w:rPr>
    </w:lvl>
    <w:lvl w:ilvl="5">
      <w:start w:val="1"/>
      <w:numFmt w:val="none"/>
      <w:lvlText w:val="%1.%2.%3.%4.%5.%61."/>
      <w:lvlJc w:val="left"/>
      <w:pPr>
        <w:tabs>
          <w:tab w:val="num" w:pos="1843"/>
        </w:tabs>
        <w:ind w:left="1843" w:hanging="1843"/>
      </w:pPr>
      <w:rPr>
        <w:rFonts w:hint="default"/>
        <w:b/>
        <w:i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21056298"/>
    <w:multiLevelType w:val="hybridMultilevel"/>
    <w:tmpl w:val="C8144C66"/>
    <w:lvl w:ilvl="0" w:tplc="9906FD0E">
      <w:start w:val="1"/>
      <w:numFmt w:val="decimal"/>
      <w:lvlText w:val="(%1)"/>
      <w:lvlJc w:val="left"/>
      <w:pPr>
        <w:ind w:left="420" w:hanging="360"/>
      </w:pPr>
      <w:rPr>
        <w:rFonts w:hint="default"/>
      </w:rPr>
    </w:lvl>
    <w:lvl w:ilvl="1" w:tplc="08090019" w:tentative="1">
      <w:start w:val="1"/>
      <w:numFmt w:val="lowerLetter"/>
      <w:lvlText w:val="%2."/>
      <w:lvlJc w:val="left"/>
      <w:pPr>
        <w:ind w:left="1140" w:hanging="360"/>
      </w:pPr>
    </w:lvl>
    <w:lvl w:ilvl="2" w:tplc="0809001B" w:tentative="1">
      <w:start w:val="1"/>
      <w:numFmt w:val="lowerRoman"/>
      <w:lvlText w:val="%3."/>
      <w:lvlJc w:val="right"/>
      <w:pPr>
        <w:ind w:left="1860" w:hanging="180"/>
      </w:pPr>
    </w:lvl>
    <w:lvl w:ilvl="3" w:tplc="0809000F" w:tentative="1">
      <w:start w:val="1"/>
      <w:numFmt w:val="decimal"/>
      <w:lvlText w:val="%4."/>
      <w:lvlJc w:val="left"/>
      <w:pPr>
        <w:ind w:left="2580" w:hanging="360"/>
      </w:pPr>
    </w:lvl>
    <w:lvl w:ilvl="4" w:tplc="08090019" w:tentative="1">
      <w:start w:val="1"/>
      <w:numFmt w:val="lowerLetter"/>
      <w:lvlText w:val="%5."/>
      <w:lvlJc w:val="left"/>
      <w:pPr>
        <w:ind w:left="3300" w:hanging="360"/>
      </w:pPr>
    </w:lvl>
    <w:lvl w:ilvl="5" w:tplc="0809001B" w:tentative="1">
      <w:start w:val="1"/>
      <w:numFmt w:val="lowerRoman"/>
      <w:lvlText w:val="%6."/>
      <w:lvlJc w:val="right"/>
      <w:pPr>
        <w:ind w:left="4020" w:hanging="180"/>
      </w:pPr>
    </w:lvl>
    <w:lvl w:ilvl="6" w:tplc="0809000F" w:tentative="1">
      <w:start w:val="1"/>
      <w:numFmt w:val="decimal"/>
      <w:lvlText w:val="%7."/>
      <w:lvlJc w:val="left"/>
      <w:pPr>
        <w:ind w:left="4740" w:hanging="360"/>
      </w:pPr>
    </w:lvl>
    <w:lvl w:ilvl="7" w:tplc="08090019" w:tentative="1">
      <w:start w:val="1"/>
      <w:numFmt w:val="lowerLetter"/>
      <w:lvlText w:val="%8."/>
      <w:lvlJc w:val="left"/>
      <w:pPr>
        <w:ind w:left="5460" w:hanging="360"/>
      </w:pPr>
    </w:lvl>
    <w:lvl w:ilvl="8" w:tplc="0809001B" w:tentative="1">
      <w:start w:val="1"/>
      <w:numFmt w:val="lowerRoman"/>
      <w:lvlText w:val="%9."/>
      <w:lvlJc w:val="right"/>
      <w:pPr>
        <w:ind w:left="6180" w:hanging="180"/>
      </w:pPr>
    </w:lvl>
  </w:abstractNum>
  <w:abstractNum w:abstractNumId="16" w15:restartNumberingAfterBreak="0">
    <w:nsid w:val="26B63E81"/>
    <w:multiLevelType w:val="hybridMultilevel"/>
    <w:tmpl w:val="242E8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pStyle w:val="Opmaakprofiel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88671F"/>
    <w:multiLevelType w:val="hybridMultilevel"/>
    <w:tmpl w:val="C75474EC"/>
    <w:lvl w:ilvl="0" w:tplc="C1DCBEB4">
      <w:start w:val="1"/>
      <w:numFmt w:val="lowerLetter"/>
      <w:pStyle w:val="Listalpha"/>
      <w:lvlText w:val="%1."/>
      <w:lvlJc w:val="left"/>
      <w:pPr>
        <w:tabs>
          <w:tab w:val="num" w:pos="360"/>
        </w:tabs>
        <w:ind w:left="36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2B615E39"/>
    <w:multiLevelType w:val="singleLevel"/>
    <w:tmpl w:val="565EABC4"/>
    <w:lvl w:ilvl="0">
      <w:start w:val="1"/>
      <w:numFmt w:val="decimal"/>
      <w:pStyle w:val="Lijstnummering1"/>
      <w:lvlText w:val="%1."/>
      <w:lvlJc w:val="left"/>
      <w:pPr>
        <w:tabs>
          <w:tab w:val="num" w:pos="360"/>
        </w:tabs>
        <w:ind w:left="360" w:hanging="360"/>
      </w:pPr>
      <w:rPr>
        <w:rFonts w:hint="default"/>
      </w:rPr>
    </w:lvl>
  </w:abstractNum>
  <w:abstractNum w:abstractNumId="19" w15:restartNumberingAfterBreak="0">
    <w:nsid w:val="2FA052CB"/>
    <w:multiLevelType w:val="hybridMultilevel"/>
    <w:tmpl w:val="1C5098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1596030"/>
    <w:multiLevelType w:val="hybridMultilevel"/>
    <w:tmpl w:val="95460D86"/>
    <w:lvl w:ilvl="0" w:tplc="CA18A834">
      <w:start w:val="3"/>
      <w:numFmt w:val="bullet"/>
      <w:lvlText w:val="-"/>
      <w:lvlJc w:val="left"/>
      <w:pPr>
        <w:tabs>
          <w:tab w:val="num" w:pos="227"/>
        </w:tabs>
        <w:ind w:left="360" w:hanging="360"/>
      </w:pPr>
      <w:rPr>
        <w:rFonts w:ascii="Times New Roman" w:eastAsia="Times New Roman" w:hAnsi="Times New Roman" w:hint="default"/>
        <w:color w:val="auto"/>
        <w:sz w:val="24"/>
        <w:szCs w:val="24"/>
      </w:rPr>
    </w:lvl>
    <w:lvl w:ilvl="1" w:tplc="CA18A834">
      <w:start w:val="3"/>
      <w:numFmt w:val="bullet"/>
      <w:lvlText w:val="-"/>
      <w:lvlJc w:val="left"/>
      <w:pPr>
        <w:tabs>
          <w:tab w:val="num" w:pos="1080"/>
        </w:tabs>
        <w:ind w:left="1080" w:hanging="360"/>
      </w:pPr>
      <w:rPr>
        <w:rFonts w:ascii="Times New Roman" w:eastAsia="Times New Roman" w:hAnsi="Times New Roman" w:hint="default"/>
      </w:rPr>
    </w:lvl>
    <w:lvl w:ilvl="2" w:tplc="830022C6" w:tentative="1">
      <w:start w:val="1"/>
      <w:numFmt w:val="bullet"/>
      <w:lvlText w:val=""/>
      <w:lvlJc w:val="left"/>
      <w:pPr>
        <w:tabs>
          <w:tab w:val="num" w:pos="1800"/>
        </w:tabs>
        <w:ind w:left="1800" w:hanging="360"/>
      </w:pPr>
      <w:rPr>
        <w:rFonts w:ascii="Wingdings" w:hAnsi="Wingdings" w:cs="Wingdings" w:hint="default"/>
      </w:rPr>
    </w:lvl>
    <w:lvl w:ilvl="3" w:tplc="7082CE14" w:tentative="1">
      <w:start w:val="1"/>
      <w:numFmt w:val="bullet"/>
      <w:lvlText w:val=""/>
      <w:lvlJc w:val="left"/>
      <w:pPr>
        <w:tabs>
          <w:tab w:val="num" w:pos="2520"/>
        </w:tabs>
        <w:ind w:left="2520" w:hanging="360"/>
      </w:pPr>
      <w:rPr>
        <w:rFonts w:ascii="Symbol" w:hAnsi="Symbol" w:cs="Symbol" w:hint="default"/>
      </w:rPr>
    </w:lvl>
    <w:lvl w:ilvl="4" w:tplc="80CEEA90" w:tentative="1">
      <w:start w:val="1"/>
      <w:numFmt w:val="bullet"/>
      <w:lvlText w:val="o"/>
      <w:lvlJc w:val="left"/>
      <w:pPr>
        <w:tabs>
          <w:tab w:val="num" w:pos="3240"/>
        </w:tabs>
        <w:ind w:left="3240" w:hanging="360"/>
      </w:pPr>
      <w:rPr>
        <w:rFonts w:ascii="Courier New" w:hAnsi="Courier New" w:cs="Courier New" w:hint="default"/>
      </w:rPr>
    </w:lvl>
    <w:lvl w:ilvl="5" w:tplc="24A401B2" w:tentative="1">
      <w:start w:val="1"/>
      <w:numFmt w:val="bullet"/>
      <w:lvlText w:val=""/>
      <w:lvlJc w:val="left"/>
      <w:pPr>
        <w:tabs>
          <w:tab w:val="num" w:pos="3960"/>
        </w:tabs>
        <w:ind w:left="3960" w:hanging="360"/>
      </w:pPr>
      <w:rPr>
        <w:rFonts w:ascii="Wingdings" w:hAnsi="Wingdings" w:cs="Wingdings" w:hint="default"/>
      </w:rPr>
    </w:lvl>
    <w:lvl w:ilvl="6" w:tplc="67140B02" w:tentative="1">
      <w:start w:val="1"/>
      <w:numFmt w:val="bullet"/>
      <w:lvlText w:val=""/>
      <w:lvlJc w:val="left"/>
      <w:pPr>
        <w:tabs>
          <w:tab w:val="num" w:pos="4680"/>
        </w:tabs>
        <w:ind w:left="4680" w:hanging="360"/>
      </w:pPr>
      <w:rPr>
        <w:rFonts w:ascii="Symbol" w:hAnsi="Symbol" w:cs="Symbol" w:hint="default"/>
      </w:rPr>
    </w:lvl>
    <w:lvl w:ilvl="7" w:tplc="8BD607CA" w:tentative="1">
      <w:start w:val="1"/>
      <w:numFmt w:val="bullet"/>
      <w:lvlText w:val="o"/>
      <w:lvlJc w:val="left"/>
      <w:pPr>
        <w:tabs>
          <w:tab w:val="num" w:pos="5400"/>
        </w:tabs>
        <w:ind w:left="5400" w:hanging="360"/>
      </w:pPr>
      <w:rPr>
        <w:rFonts w:ascii="Courier New" w:hAnsi="Courier New" w:cs="Courier New" w:hint="default"/>
      </w:rPr>
    </w:lvl>
    <w:lvl w:ilvl="8" w:tplc="2084E264" w:tentative="1">
      <w:start w:val="1"/>
      <w:numFmt w:val="bullet"/>
      <w:lvlText w:val=""/>
      <w:lvlJc w:val="left"/>
      <w:pPr>
        <w:tabs>
          <w:tab w:val="num" w:pos="6120"/>
        </w:tabs>
        <w:ind w:left="6120" w:hanging="360"/>
      </w:pPr>
      <w:rPr>
        <w:rFonts w:ascii="Wingdings" w:hAnsi="Wingdings" w:cs="Wingdings" w:hint="default"/>
      </w:rPr>
    </w:lvl>
  </w:abstractNum>
  <w:abstractNum w:abstractNumId="21" w15:restartNumberingAfterBreak="0">
    <w:nsid w:val="31972B05"/>
    <w:multiLevelType w:val="hybridMultilevel"/>
    <w:tmpl w:val="6E461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27A31CF"/>
    <w:multiLevelType w:val="hybridMultilevel"/>
    <w:tmpl w:val="3EF0DB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EA7C5F"/>
    <w:multiLevelType w:val="hybridMultilevel"/>
    <w:tmpl w:val="2A625444"/>
    <w:lvl w:ilvl="0" w:tplc="114619C2">
      <w:start w:val="1985"/>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2FD24C5"/>
    <w:multiLevelType w:val="multilevel"/>
    <w:tmpl w:val="957C5276"/>
    <w:lvl w:ilvl="0">
      <w:start w:val="2"/>
      <w:numFmt w:val="decimal"/>
      <w:pStyle w:val="Lijstnummering2"/>
      <w:lvlText w:val="%1"/>
      <w:lvlJc w:val="left"/>
      <w:pPr>
        <w:tabs>
          <w:tab w:val="num" w:pos="360"/>
        </w:tabs>
        <w:ind w:left="360" w:hanging="360"/>
      </w:pPr>
      <w:rPr>
        <w:rFonts w:hint="default"/>
      </w:rPr>
    </w:lvl>
    <w:lvl w:ilvl="1">
      <w:start w:val="7"/>
      <w:numFmt w:val="decimal"/>
      <w:lvlText w:val="%1.%2"/>
      <w:lvlJc w:val="left"/>
      <w:pPr>
        <w:tabs>
          <w:tab w:val="num" w:pos="360"/>
        </w:tabs>
        <w:ind w:left="360" w:hanging="360"/>
      </w:pPr>
      <w:rPr>
        <w:rFonts w:hint="default"/>
      </w:rPr>
    </w:lvl>
    <w:lvl w:ilvl="2">
      <w:start w:val="1"/>
      <w:numFmt w:val="decimal"/>
      <w:lvlText w:val="%1.%2.%3"/>
      <w:lvlJc w:val="left"/>
      <w:pPr>
        <w:tabs>
          <w:tab w:val="num" w:pos="360"/>
        </w:tabs>
        <w:ind w:left="360" w:hanging="36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720"/>
        </w:tabs>
        <w:ind w:left="720" w:hanging="72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080"/>
        </w:tabs>
        <w:ind w:left="1080" w:hanging="1080"/>
      </w:pPr>
      <w:rPr>
        <w:rFonts w:hint="default"/>
      </w:rPr>
    </w:lvl>
    <w:lvl w:ilvl="8">
      <w:start w:val="1"/>
      <w:numFmt w:val="decimal"/>
      <w:lvlText w:val="%1.%2.%3.%4.%5.%6.%7.%8.%9"/>
      <w:lvlJc w:val="left"/>
      <w:pPr>
        <w:tabs>
          <w:tab w:val="num" w:pos="1080"/>
        </w:tabs>
        <w:ind w:left="1080" w:hanging="1080"/>
      </w:pPr>
      <w:rPr>
        <w:rFonts w:hint="default"/>
      </w:rPr>
    </w:lvl>
  </w:abstractNum>
  <w:abstractNum w:abstractNumId="25" w15:restartNumberingAfterBreak="0">
    <w:nsid w:val="463D49C9"/>
    <w:multiLevelType w:val="hybridMultilevel"/>
    <w:tmpl w:val="C4662FF0"/>
    <w:lvl w:ilvl="0" w:tplc="25D6E030">
      <w:start w:val="1"/>
      <w:numFmt w:val="bullet"/>
      <w:lvlText w:val=""/>
      <w:lvlJc w:val="left"/>
      <w:pPr>
        <w:tabs>
          <w:tab w:val="num" w:pos="227"/>
        </w:tabs>
        <w:ind w:left="360" w:hanging="360"/>
      </w:pPr>
      <w:rPr>
        <w:rFonts w:ascii="Symbol" w:hAnsi="Symbol" w:cs="Symbol" w:hint="default"/>
        <w:color w:val="auto"/>
        <w:sz w:val="24"/>
        <w:szCs w:val="24"/>
      </w:rPr>
    </w:lvl>
    <w:lvl w:ilvl="1" w:tplc="43EE6D6E">
      <w:start w:val="1"/>
      <w:numFmt w:val="bullet"/>
      <w:lvlText w:val="o"/>
      <w:lvlJc w:val="left"/>
      <w:pPr>
        <w:tabs>
          <w:tab w:val="num" w:pos="1080"/>
        </w:tabs>
        <w:ind w:left="1080" w:hanging="360"/>
      </w:pPr>
      <w:rPr>
        <w:rFonts w:ascii="Courier New" w:hAnsi="Courier New" w:cs="Courier New" w:hint="default"/>
      </w:rPr>
    </w:lvl>
    <w:lvl w:ilvl="2" w:tplc="830022C6" w:tentative="1">
      <w:start w:val="1"/>
      <w:numFmt w:val="bullet"/>
      <w:lvlText w:val=""/>
      <w:lvlJc w:val="left"/>
      <w:pPr>
        <w:tabs>
          <w:tab w:val="num" w:pos="1800"/>
        </w:tabs>
        <w:ind w:left="1800" w:hanging="360"/>
      </w:pPr>
      <w:rPr>
        <w:rFonts w:ascii="Wingdings" w:hAnsi="Wingdings" w:cs="Wingdings" w:hint="default"/>
      </w:rPr>
    </w:lvl>
    <w:lvl w:ilvl="3" w:tplc="7082CE14" w:tentative="1">
      <w:start w:val="1"/>
      <w:numFmt w:val="bullet"/>
      <w:lvlText w:val=""/>
      <w:lvlJc w:val="left"/>
      <w:pPr>
        <w:tabs>
          <w:tab w:val="num" w:pos="2520"/>
        </w:tabs>
        <w:ind w:left="2520" w:hanging="360"/>
      </w:pPr>
      <w:rPr>
        <w:rFonts w:ascii="Symbol" w:hAnsi="Symbol" w:cs="Symbol" w:hint="default"/>
      </w:rPr>
    </w:lvl>
    <w:lvl w:ilvl="4" w:tplc="80CEEA90" w:tentative="1">
      <w:start w:val="1"/>
      <w:numFmt w:val="bullet"/>
      <w:lvlText w:val="o"/>
      <w:lvlJc w:val="left"/>
      <w:pPr>
        <w:tabs>
          <w:tab w:val="num" w:pos="3240"/>
        </w:tabs>
        <w:ind w:left="3240" w:hanging="360"/>
      </w:pPr>
      <w:rPr>
        <w:rFonts w:ascii="Courier New" w:hAnsi="Courier New" w:cs="Courier New" w:hint="default"/>
      </w:rPr>
    </w:lvl>
    <w:lvl w:ilvl="5" w:tplc="24A401B2" w:tentative="1">
      <w:start w:val="1"/>
      <w:numFmt w:val="bullet"/>
      <w:lvlText w:val=""/>
      <w:lvlJc w:val="left"/>
      <w:pPr>
        <w:tabs>
          <w:tab w:val="num" w:pos="3960"/>
        </w:tabs>
        <w:ind w:left="3960" w:hanging="360"/>
      </w:pPr>
      <w:rPr>
        <w:rFonts w:ascii="Wingdings" w:hAnsi="Wingdings" w:cs="Wingdings" w:hint="default"/>
      </w:rPr>
    </w:lvl>
    <w:lvl w:ilvl="6" w:tplc="67140B02" w:tentative="1">
      <w:start w:val="1"/>
      <w:numFmt w:val="bullet"/>
      <w:lvlText w:val=""/>
      <w:lvlJc w:val="left"/>
      <w:pPr>
        <w:tabs>
          <w:tab w:val="num" w:pos="4680"/>
        </w:tabs>
        <w:ind w:left="4680" w:hanging="360"/>
      </w:pPr>
      <w:rPr>
        <w:rFonts w:ascii="Symbol" w:hAnsi="Symbol" w:cs="Symbol" w:hint="default"/>
      </w:rPr>
    </w:lvl>
    <w:lvl w:ilvl="7" w:tplc="8BD607CA" w:tentative="1">
      <w:start w:val="1"/>
      <w:numFmt w:val="bullet"/>
      <w:lvlText w:val="o"/>
      <w:lvlJc w:val="left"/>
      <w:pPr>
        <w:tabs>
          <w:tab w:val="num" w:pos="5400"/>
        </w:tabs>
        <w:ind w:left="5400" w:hanging="360"/>
      </w:pPr>
      <w:rPr>
        <w:rFonts w:ascii="Courier New" w:hAnsi="Courier New" w:cs="Courier New" w:hint="default"/>
      </w:rPr>
    </w:lvl>
    <w:lvl w:ilvl="8" w:tplc="2084E264" w:tentative="1">
      <w:start w:val="1"/>
      <w:numFmt w:val="bullet"/>
      <w:lvlText w:val=""/>
      <w:lvlJc w:val="left"/>
      <w:pPr>
        <w:tabs>
          <w:tab w:val="num" w:pos="6120"/>
        </w:tabs>
        <w:ind w:left="6120" w:hanging="360"/>
      </w:pPr>
      <w:rPr>
        <w:rFonts w:ascii="Wingdings" w:hAnsi="Wingdings" w:cs="Wingdings" w:hint="default"/>
      </w:rPr>
    </w:lvl>
  </w:abstractNum>
  <w:abstractNum w:abstractNumId="26" w15:restartNumberingAfterBreak="0">
    <w:nsid w:val="46A85657"/>
    <w:multiLevelType w:val="hybridMultilevel"/>
    <w:tmpl w:val="21C4A68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47A309E9"/>
    <w:multiLevelType w:val="singleLevel"/>
    <w:tmpl w:val="471A083C"/>
    <w:lvl w:ilvl="0">
      <w:start w:val="1"/>
      <w:numFmt w:val="bullet"/>
      <w:pStyle w:val="ListContinue3"/>
      <w:lvlText w:val="-"/>
      <w:lvlJc w:val="left"/>
      <w:pPr>
        <w:tabs>
          <w:tab w:val="num" w:pos="360"/>
        </w:tabs>
        <w:ind w:left="360" w:hanging="360"/>
      </w:pPr>
      <w:rPr>
        <w:rFonts w:hint="default"/>
      </w:rPr>
    </w:lvl>
  </w:abstractNum>
  <w:abstractNum w:abstractNumId="28" w15:restartNumberingAfterBreak="0">
    <w:nsid w:val="49AB67B2"/>
    <w:multiLevelType w:val="singleLevel"/>
    <w:tmpl w:val="FF7A7432"/>
    <w:lvl w:ilvl="0">
      <w:start w:val="1"/>
      <w:numFmt w:val="bullet"/>
      <w:pStyle w:val="Opsomming1"/>
      <w:lvlText w:val=""/>
      <w:lvlJc w:val="left"/>
      <w:pPr>
        <w:tabs>
          <w:tab w:val="num" w:pos="417"/>
        </w:tabs>
        <w:ind w:left="397" w:hanging="340"/>
      </w:pPr>
      <w:rPr>
        <w:rFonts w:ascii="Symbol" w:hAnsi="Symbol" w:cs="Symbol" w:hint="default"/>
        <w:color w:val="auto"/>
      </w:rPr>
    </w:lvl>
  </w:abstractNum>
  <w:abstractNum w:abstractNumId="29" w15:restartNumberingAfterBreak="0">
    <w:nsid w:val="4A9574D1"/>
    <w:multiLevelType w:val="hybridMultilevel"/>
    <w:tmpl w:val="A560FF0C"/>
    <w:lvl w:ilvl="0" w:tplc="FFFFFFFF">
      <w:start w:val="1"/>
      <w:numFmt w:val="bullet"/>
      <w:pStyle w:val="Bijlage"/>
      <w:lvlText w:val=""/>
      <w:lvlJc w:val="left"/>
      <w:pPr>
        <w:tabs>
          <w:tab w:val="num" w:pos="360"/>
        </w:tabs>
        <w:ind w:left="360" w:hanging="360"/>
      </w:pPr>
      <w:rPr>
        <w:rFonts w:ascii="Symbol" w:hAnsi="Symbol" w:cs="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cs="Wingdings" w:hint="default"/>
      </w:rPr>
    </w:lvl>
    <w:lvl w:ilvl="3" w:tplc="FFFFFFFF" w:tentative="1">
      <w:start w:val="1"/>
      <w:numFmt w:val="bullet"/>
      <w:lvlText w:val=""/>
      <w:lvlJc w:val="left"/>
      <w:pPr>
        <w:tabs>
          <w:tab w:val="num" w:pos="2880"/>
        </w:tabs>
        <w:ind w:left="2880" w:hanging="360"/>
      </w:pPr>
      <w:rPr>
        <w:rFonts w:ascii="Symbol" w:hAnsi="Symbol" w:cs="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cs="Wingdings" w:hint="default"/>
      </w:rPr>
    </w:lvl>
    <w:lvl w:ilvl="6" w:tplc="FFFFFFFF" w:tentative="1">
      <w:start w:val="1"/>
      <w:numFmt w:val="bullet"/>
      <w:lvlText w:val=""/>
      <w:lvlJc w:val="left"/>
      <w:pPr>
        <w:tabs>
          <w:tab w:val="num" w:pos="5040"/>
        </w:tabs>
        <w:ind w:left="5040" w:hanging="360"/>
      </w:pPr>
      <w:rPr>
        <w:rFonts w:ascii="Symbol" w:hAnsi="Symbol" w:cs="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cs="Wingdings" w:hint="default"/>
      </w:rPr>
    </w:lvl>
  </w:abstractNum>
  <w:abstractNum w:abstractNumId="30" w15:restartNumberingAfterBreak="0">
    <w:nsid w:val="4D741975"/>
    <w:multiLevelType w:val="hybridMultilevel"/>
    <w:tmpl w:val="1F7C2490"/>
    <w:lvl w:ilvl="0" w:tplc="202A328C">
      <w:start w:val="17"/>
      <w:numFmt w:val="bullet"/>
      <w:lvlText w:val="-"/>
      <w:lvlJc w:val="left"/>
      <w:pPr>
        <w:tabs>
          <w:tab w:val="num" w:pos="360"/>
        </w:tabs>
        <w:ind w:left="360" w:hanging="360"/>
      </w:pPr>
      <w:rPr>
        <w:rFonts w:ascii="Times" w:eastAsia="Times New Roman" w:hAnsi="Times" w:hint="default"/>
      </w:rPr>
    </w:lvl>
    <w:lvl w:ilvl="1" w:tplc="4650E7E2"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cs="Wingdings" w:hint="default"/>
      </w:rPr>
    </w:lvl>
    <w:lvl w:ilvl="3" w:tplc="FFFFFFFF" w:tentative="1">
      <w:start w:val="1"/>
      <w:numFmt w:val="bullet"/>
      <w:lvlText w:val=""/>
      <w:lvlJc w:val="left"/>
      <w:pPr>
        <w:tabs>
          <w:tab w:val="num" w:pos="2880"/>
        </w:tabs>
        <w:ind w:left="2880" w:hanging="360"/>
      </w:pPr>
      <w:rPr>
        <w:rFonts w:ascii="Symbol" w:hAnsi="Symbol" w:cs="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cs="Wingdings" w:hint="default"/>
      </w:rPr>
    </w:lvl>
    <w:lvl w:ilvl="6" w:tplc="FFFFFFFF" w:tentative="1">
      <w:start w:val="1"/>
      <w:numFmt w:val="bullet"/>
      <w:lvlText w:val=""/>
      <w:lvlJc w:val="left"/>
      <w:pPr>
        <w:tabs>
          <w:tab w:val="num" w:pos="5040"/>
        </w:tabs>
        <w:ind w:left="5040" w:hanging="360"/>
      </w:pPr>
      <w:rPr>
        <w:rFonts w:ascii="Symbol" w:hAnsi="Symbol" w:cs="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cs="Wingdings" w:hint="default"/>
      </w:rPr>
    </w:lvl>
  </w:abstractNum>
  <w:abstractNum w:abstractNumId="31" w15:restartNumberingAfterBreak="0">
    <w:nsid w:val="50CE34F5"/>
    <w:multiLevelType w:val="hybridMultilevel"/>
    <w:tmpl w:val="B6707C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13B7895"/>
    <w:multiLevelType w:val="hybridMultilevel"/>
    <w:tmpl w:val="ABA2D8C2"/>
    <w:lvl w:ilvl="0" w:tplc="A3DE23C6">
      <w:numFmt w:val="bullet"/>
      <w:lvlText w:val="-"/>
      <w:lvlJc w:val="left"/>
      <w:pPr>
        <w:ind w:left="720" w:hanging="360"/>
      </w:pPr>
      <w:rPr>
        <w:rFonts w:ascii="Times New Roman" w:eastAsia="MS Mincho" w:hAnsi="Times New Roman" w:cs="Times New Roman" w:hint="default"/>
        <w:i/>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2B533AF"/>
    <w:multiLevelType w:val="hybridMultilevel"/>
    <w:tmpl w:val="02245F6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53C97A4A"/>
    <w:multiLevelType w:val="multilevel"/>
    <w:tmpl w:val="0D5618EE"/>
    <w:lvl w:ilvl="0">
      <w:start w:val="1"/>
      <w:numFmt w:val="bullet"/>
      <w:lvlRestart w:val="0"/>
      <w:lvlText w:val=""/>
      <w:lvlJc w:val="left"/>
      <w:pPr>
        <w:tabs>
          <w:tab w:val="num" w:pos="360"/>
        </w:tabs>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644"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53F94A18"/>
    <w:multiLevelType w:val="hybridMultilevel"/>
    <w:tmpl w:val="5BF8946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15:restartNumberingAfterBreak="0">
    <w:nsid w:val="58D069EE"/>
    <w:multiLevelType w:val="hybridMultilevel"/>
    <w:tmpl w:val="1D7441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AB068C7"/>
    <w:multiLevelType w:val="singleLevel"/>
    <w:tmpl w:val="D2488A18"/>
    <w:lvl w:ilvl="0">
      <w:start w:val="2660"/>
      <w:numFmt w:val="bullet"/>
      <w:pStyle w:val="ListContinue5"/>
      <w:lvlText w:val=""/>
      <w:lvlJc w:val="left"/>
      <w:pPr>
        <w:tabs>
          <w:tab w:val="num" w:pos="648"/>
        </w:tabs>
        <w:ind w:left="648" w:hanging="360"/>
      </w:pPr>
      <w:rPr>
        <w:rFonts w:ascii="Symbol" w:hAnsi="Symbol" w:hint="default"/>
      </w:rPr>
    </w:lvl>
  </w:abstractNum>
  <w:abstractNum w:abstractNumId="38" w15:restartNumberingAfterBreak="0">
    <w:nsid w:val="5FE35DFB"/>
    <w:multiLevelType w:val="hybridMultilevel"/>
    <w:tmpl w:val="DF5098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0380750"/>
    <w:multiLevelType w:val="hybridMultilevel"/>
    <w:tmpl w:val="8A58F244"/>
    <w:lvl w:ilvl="0" w:tplc="D8F864C6">
      <w:start w:val="1"/>
      <w:numFmt w:val="bullet"/>
      <w:lvlText w:val="•"/>
      <w:lvlJc w:val="left"/>
      <w:pPr>
        <w:ind w:left="720" w:hanging="360"/>
      </w:pPr>
      <w:rPr>
        <w:rFonts w:ascii="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0" w15:restartNumberingAfterBreak="0">
    <w:nsid w:val="630460B7"/>
    <w:multiLevelType w:val="hybridMultilevel"/>
    <w:tmpl w:val="1D7804CA"/>
    <w:lvl w:ilvl="0" w:tplc="114619C2">
      <w:start w:val="1985"/>
      <w:numFmt w:val="bullet"/>
      <w:lvlText w:val="-"/>
      <w:lvlJc w:val="left"/>
      <w:pPr>
        <w:ind w:left="720" w:hanging="360"/>
      </w:pPr>
      <w:rPr>
        <w:rFonts w:ascii="Cambria" w:eastAsiaTheme="minorEastAsia" w:hAnsi="Cambria"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4F964AF"/>
    <w:multiLevelType w:val="singleLevel"/>
    <w:tmpl w:val="65C00010"/>
    <w:lvl w:ilvl="0">
      <w:start w:val="2660"/>
      <w:numFmt w:val="bullet"/>
      <w:pStyle w:val="ListContinue4"/>
      <w:lvlText w:val=""/>
      <w:lvlJc w:val="left"/>
      <w:pPr>
        <w:tabs>
          <w:tab w:val="num" w:pos="648"/>
        </w:tabs>
        <w:ind w:left="646" w:hanging="358"/>
      </w:pPr>
      <w:rPr>
        <w:rFonts w:ascii="Symbol" w:hAnsi="Symbol" w:hint="default"/>
      </w:rPr>
    </w:lvl>
  </w:abstractNum>
  <w:abstractNum w:abstractNumId="42" w15:restartNumberingAfterBreak="0">
    <w:nsid w:val="683633A5"/>
    <w:multiLevelType w:val="hybridMultilevel"/>
    <w:tmpl w:val="F34E99A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3" w15:restartNumberingAfterBreak="0">
    <w:nsid w:val="6CDC7DE0"/>
    <w:multiLevelType w:val="hybridMultilevel"/>
    <w:tmpl w:val="B02873EC"/>
    <w:lvl w:ilvl="0" w:tplc="04CA003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F3B7A63"/>
    <w:multiLevelType w:val="hybridMultilevel"/>
    <w:tmpl w:val="82CE967E"/>
    <w:lvl w:ilvl="0" w:tplc="EE0E2DC2">
      <w:start w:val="1"/>
      <w:numFmt w:val="decimal"/>
      <w:lvlText w:val="(%1)"/>
      <w:lvlJc w:val="left"/>
      <w:pPr>
        <w:ind w:left="405" w:hanging="360"/>
      </w:pPr>
      <w:rPr>
        <w:rFonts w:ascii="Times New Roman" w:eastAsia="Times New Roman" w:hAnsi="Times New Roman" w:cs="Times New Roman"/>
      </w:rPr>
    </w:lvl>
    <w:lvl w:ilvl="1" w:tplc="08090019" w:tentative="1">
      <w:start w:val="1"/>
      <w:numFmt w:val="lowerLetter"/>
      <w:lvlText w:val="%2."/>
      <w:lvlJc w:val="left"/>
      <w:pPr>
        <w:ind w:left="1125" w:hanging="360"/>
      </w:pPr>
    </w:lvl>
    <w:lvl w:ilvl="2" w:tplc="0809001B" w:tentative="1">
      <w:start w:val="1"/>
      <w:numFmt w:val="lowerRoman"/>
      <w:lvlText w:val="%3."/>
      <w:lvlJc w:val="right"/>
      <w:pPr>
        <w:ind w:left="1845" w:hanging="180"/>
      </w:pPr>
    </w:lvl>
    <w:lvl w:ilvl="3" w:tplc="0809000F" w:tentative="1">
      <w:start w:val="1"/>
      <w:numFmt w:val="decimal"/>
      <w:lvlText w:val="%4."/>
      <w:lvlJc w:val="left"/>
      <w:pPr>
        <w:ind w:left="2565" w:hanging="360"/>
      </w:pPr>
    </w:lvl>
    <w:lvl w:ilvl="4" w:tplc="08090019" w:tentative="1">
      <w:start w:val="1"/>
      <w:numFmt w:val="lowerLetter"/>
      <w:lvlText w:val="%5."/>
      <w:lvlJc w:val="left"/>
      <w:pPr>
        <w:ind w:left="3285" w:hanging="360"/>
      </w:pPr>
    </w:lvl>
    <w:lvl w:ilvl="5" w:tplc="0809001B" w:tentative="1">
      <w:start w:val="1"/>
      <w:numFmt w:val="lowerRoman"/>
      <w:lvlText w:val="%6."/>
      <w:lvlJc w:val="right"/>
      <w:pPr>
        <w:ind w:left="4005" w:hanging="180"/>
      </w:pPr>
    </w:lvl>
    <w:lvl w:ilvl="6" w:tplc="0809000F" w:tentative="1">
      <w:start w:val="1"/>
      <w:numFmt w:val="decimal"/>
      <w:lvlText w:val="%7."/>
      <w:lvlJc w:val="left"/>
      <w:pPr>
        <w:ind w:left="4725" w:hanging="360"/>
      </w:pPr>
    </w:lvl>
    <w:lvl w:ilvl="7" w:tplc="08090019" w:tentative="1">
      <w:start w:val="1"/>
      <w:numFmt w:val="lowerLetter"/>
      <w:lvlText w:val="%8."/>
      <w:lvlJc w:val="left"/>
      <w:pPr>
        <w:ind w:left="5445" w:hanging="360"/>
      </w:pPr>
    </w:lvl>
    <w:lvl w:ilvl="8" w:tplc="0809001B" w:tentative="1">
      <w:start w:val="1"/>
      <w:numFmt w:val="lowerRoman"/>
      <w:lvlText w:val="%9."/>
      <w:lvlJc w:val="right"/>
      <w:pPr>
        <w:ind w:left="6165" w:hanging="180"/>
      </w:pPr>
    </w:lvl>
  </w:abstractNum>
  <w:abstractNum w:abstractNumId="45" w15:restartNumberingAfterBreak="0">
    <w:nsid w:val="7551731A"/>
    <w:multiLevelType w:val="hybridMultilevel"/>
    <w:tmpl w:val="DD0E017E"/>
    <w:lvl w:ilvl="0" w:tplc="6BAACB9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6" w15:restartNumberingAfterBreak="0">
    <w:nsid w:val="76212E02"/>
    <w:multiLevelType w:val="hybridMultilevel"/>
    <w:tmpl w:val="6A665534"/>
    <w:lvl w:ilvl="0" w:tplc="A4F02D38">
      <w:start w:val="1"/>
      <w:numFmt w:val="bullet"/>
      <w:pStyle w:val="Opsomming3"/>
      <w:lvlText w:val=""/>
      <w:lvlJc w:val="left"/>
      <w:pPr>
        <w:tabs>
          <w:tab w:val="num" w:pos="476"/>
        </w:tabs>
        <w:ind w:left="476" w:hanging="476"/>
      </w:pPr>
      <w:rPr>
        <w:rFonts w:ascii="Symbol" w:hAnsi="Symbol" w:cs="Symbol" w:hint="default"/>
        <w:sz w:val="24"/>
        <w:szCs w:val="24"/>
      </w:rPr>
    </w:lvl>
    <w:lvl w:ilvl="1" w:tplc="1C0A1762" w:tentative="1">
      <w:start w:val="1"/>
      <w:numFmt w:val="bullet"/>
      <w:lvlText w:val="o"/>
      <w:lvlJc w:val="left"/>
      <w:pPr>
        <w:tabs>
          <w:tab w:val="num" w:pos="1440"/>
        </w:tabs>
        <w:ind w:left="1440" w:hanging="360"/>
      </w:pPr>
      <w:rPr>
        <w:rFonts w:ascii="Courier New" w:hAnsi="Courier New" w:cs="Courier New" w:hint="default"/>
      </w:rPr>
    </w:lvl>
    <w:lvl w:ilvl="2" w:tplc="848A28F0" w:tentative="1">
      <w:start w:val="1"/>
      <w:numFmt w:val="bullet"/>
      <w:lvlText w:val=""/>
      <w:lvlJc w:val="left"/>
      <w:pPr>
        <w:tabs>
          <w:tab w:val="num" w:pos="2160"/>
        </w:tabs>
        <w:ind w:left="2160" w:hanging="360"/>
      </w:pPr>
      <w:rPr>
        <w:rFonts w:ascii="Wingdings" w:hAnsi="Wingdings" w:cs="Wingdings" w:hint="default"/>
      </w:rPr>
    </w:lvl>
    <w:lvl w:ilvl="3" w:tplc="DA1C03FA" w:tentative="1">
      <w:start w:val="1"/>
      <w:numFmt w:val="bullet"/>
      <w:lvlText w:val=""/>
      <w:lvlJc w:val="left"/>
      <w:pPr>
        <w:tabs>
          <w:tab w:val="num" w:pos="2880"/>
        </w:tabs>
        <w:ind w:left="2880" w:hanging="360"/>
      </w:pPr>
      <w:rPr>
        <w:rFonts w:ascii="Symbol" w:hAnsi="Symbol" w:cs="Symbol" w:hint="default"/>
      </w:rPr>
    </w:lvl>
    <w:lvl w:ilvl="4" w:tplc="06984024" w:tentative="1">
      <w:start w:val="1"/>
      <w:numFmt w:val="bullet"/>
      <w:lvlText w:val="o"/>
      <w:lvlJc w:val="left"/>
      <w:pPr>
        <w:tabs>
          <w:tab w:val="num" w:pos="3600"/>
        </w:tabs>
        <w:ind w:left="3600" w:hanging="360"/>
      </w:pPr>
      <w:rPr>
        <w:rFonts w:ascii="Courier New" w:hAnsi="Courier New" w:cs="Courier New" w:hint="default"/>
      </w:rPr>
    </w:lvl>
    <w:lvl w:ilvl="5" w:tplc="0192A8CE" w:tentative="1">
      <w:start w:val="1"/>
      <w:numFmt w:val="bullet"/>
      <w:lvlText w:val=""/>
      <w:lvlJc w:val="left"/>
      <w:pPr>
        <w:tabs>
          <w:tab w:val="num" w:pos="4320"/>
        </w:tabs>
        <w:ind w:left="4320" w:hanging="360"/>
      </w:pPr>
      <w:rPr>
        <w:rFonts w:ascii="Wingdings" w:hAnsi="Wingdings" w:cs="Wingdings" w:hint="default"/>
      </w:rPr>
    </w:lvl>
    <w:lvl w:ilvl="6" w:tplc="6FF8048E" w:tentative="1">
      <w:start w:val="1"/>
      <w:numFmt w:val="bullet"/>
      <w:lvlText w:val=""/>
      <w:lvlJc w:val="left"/>
      <w:pPr>
        <w:tabs>
          <w:tab w:val="num" w:pos="5040"/>
        </w:tabs>
        <w:ind w:left="5040" w:hanging="360"/>
      </w:pPr>
      <w:rPr>
        <w:rFonts w:ascii="Symbol" w:hAnsi="Symbol" w:cs="Symbol" w:hint="default"/>
      </w:rPr>
    </w:lvl>
    <w:lvl w:ilvl="7" w:tplc="30EAE152" w:tentative="1">
      <w:start w:val="1"/>
      <w:numFmt w:val="bullet"/>
      <w:lvlText w:val="o"/>
      <w:lvlJc w:val="left"/>
      <w:pPr>
        <w:tabs>
          <w:tab w:val="num" w:pos="5760"/>
        </w:tabs>
        <w:ind w:left="5760" w:hanging="360"/>
      </w:pPr>
      <w:rPr>
        <w:rFonts w:ascii="Courier New" w:hAnsi="Courier New" w:cs="Courier New" w:hint="default"/>
      </w:rPr>
    </w:lvl>
    <w:lvl w:ilvl="8" w:tplc="97A87660" w:tentative="1">
      <w:start w:val="1"/>
      <w:numFmt w:val="bullet"/>
      <w:lvlText w:val=""/>
      <w:lvlJc w:val="left"/>
      <w:pPr>
        <w:tabs>
          <w:tab w:val="num" w:pos="6480"/>
        </w:tabs>
        <w:ind w:left="6480" w:hanging="360"/>
      </w:pPr>
      <w:rPr>
        <w:rFonts w:ascii="Wingdings" w:hAnsi="Wingdings" w:cs="Wingdings" w:hint="default"/>
      </w:rPr>
    </w:lvl>
  </w:abstractNum>
  <w:abstractNum w:abstractNumId="47" w15:restartNumberingAfterBreak="0">
    <w:nsid w:val="7A7B2692"/>
    <w:multiLevelType w:val="hybridMultilevel"/>
    <w:tmpl w:val="FC82CC66"/>
    <w:lvl w:ilvl="0" w:tplc="A9F0E510">
      <w:start w:val="1"/>
      <w:numFmt w:val="bullet"/>
      <w:pStyle w:val="Opsomming2"/>
      <w:lvlText w:val=""/>
      <w:lvlJc w:val="left"/>
      <w:pPr>
        <w:tabs>
          <w:tab w:val="num" w:pos="360"/>
        </w:tabs>
        <w:ind w:left="360" w:hanging="360"/>
      </w:pPr>
      <w:rPr>
        <w:rFonts w:ascii="Symbol" w:hAnsi="Symbol" w:cs="Symbol" w:hint="default"/>
      </w:rPr>
    </w:lvl>
    <w:lvl w:ilvl="1" w:tplc="5C6E6552" w:tentative="1">
      <w:start w:val="1"/>
      <w:numFmt w:val="bullet"/>
      <w:lvlText w:val="o"/>
      <w:lvlJc w:val="left"/>
      <w:pPr>
        <w:tabs>
          <w:tab w:val="num" w:pos="1440"/>
        </w:tabs>
        <w:ind w:left="1440" w:hanging="360"/>
      </w:pPr>
      <w:rPr>
        <w:rFonts w:ascii="Courier New" w:hAnsi="Courier New" w:cs="Courier New" w:hint="default"/>
      </w:rPr>
    </w:lvl>
    <w:lvl w:ilvl="2" w:tplc="5F082734" w:tentative="1">
      <w:start w:val="1"/>
      <w:numFmt w:val="bullet"/>
      <w:lvlText w:val=""/>
      <w:lvlJc w:val="left"/>
      <w:pPr>
        <w:tabs>
          <w:tab w:val="num" w:pos="2160"/>
        </w:tabs>
        <w:ind w:left="2160" w:hanging="360"/>
      </w:pPr>
      <w:rPr>
        <w:rFonts w:ascii="Wingdings" w:hAnsi="Wingdings" w:cs="Wingdings" w:hint="default"/>
      </w:rPr>
    </w:lvl>
    <w:lvl w:ilvl="3" w:tplc="39A28D32" w:tentative="1">
      <w:start w:val="1"/>
      <w:numFmt w:val="bullet"/>
      <w:lvlText w:val=""/>
      <w:lvlJc w:val="left"/>
      <w:pPr>
        <w:tabs>
          <w:tab w:val="num" w:pos="2880"/>
        </w:tabs>
        <w:ind w:left="2880" w:hanging="360"/>
      </w:pPr>
      <w:rPr>
        <w:rFonts w:ascii="Symbol" w:hAnsi="Symbol" w:cs="Symbol" w:hint="default"/>
      </w:rPr>
    </w:lvl>
    <w:lvl w:ilvl="4" w:tplc="54A24518" w:tentative="1">
      <w:start w:val="1"/>
      <w:numFmt w:val="bullet"/>
      <w:lvlText w:val="o"/>
      <w:lvlJc w:val="left"/>
      <w:pPr>
        <w:tabs>
          <w:tab w:val="num" w:pos="3600"/>
        </w:tabs>
        <w:ind w:left="3600" w:hanging="360"/>
      </w:pPr>
      <w:rPr>
        <w:rFonts w:ascii="Courier New" w:hAnsi="Courier New" w:cs="Courier New" w:hint="default"/>
      </w:rPr>
    </w:lvl>
    <w:lvl w:ilvl="5" w:tplc="0ADABDE0" w:tentative="1">
      <w:start w:val="1"/>
      <w:numFmt w:val="bullet"/>
      <w:lvlText w:val=""/>
      <w:lvlJc w:val="left"/>
      <w:pPr>
        <w:tabs>
          <w:tab w:val="num" w:pos="4320"/>
        </w:tabs>
        <w:ind w:left="4320" w:hanging="360"/>
      </w:pPr>
      <w:rPr>
        <w:rFonts w:ascii="Wingdings" w:hAnsi="Wingdings" w:cs="Wingdings" w:hint="default"/>
      </w:rPr>
    </w:lvl>
    <w:lvl w:ilvl="6" w:tplc="DAF0E216" w:tentative="1">
      <w:start w:val="1"/>
      <w:numFmt w:val="bullet"/>
      <w:lvlText w:val=""/>
      <w:lvlJc w:val="left"/>
      <w:pPr>
        <w:tabs>
          <w:tab w:val="num" w:pos="5040"/>
        </w:tabs>
        <w:ind w:left="5040" w:hanging="360"/>
      </w:pPr>
      <w:rPr>
        <w:rFonts w:ascii="Symbol" w:hAnsi="Symbol" w:cs="Symbol" w:hint="default"/>
      </w:rPr>
    </w:lvl>
    <w:lvl w:ilvl="7" w:tplc="F4DEA530" w:tentative="1">
      <w:start w:val="1"/>
      <w:numFmt w:val="bullet"/>
      <w:lvlText w:val="o"/>
      <w:lvlJc w:val="left"/>
      <w:pPr>
        <w:tabs>
          <w:tab w:val="num" w:pos="5760"/>
        </w:tabs>
        <w:ind w:left="5760" w:hanging="360"/>
      </w:pPr>
      <w:rPr>
        <w:rFonts w:ascii="Courier New" w:hAnsi="Courier New" w:cs="Courier New" w:hint="default"/>
      </w:rPr>
    </w:lvl>
    <w:lvl w:ilvl="8" w:tplc="C06A2CEA" w:tentative="1">
      <w:start w:val="1"/>
      <w:numFmt w:val="bullet"/>
      <w:lvlText w:val=""/>
      <w:lvlJc w:val="left"/>
      <w:pPr>
        <w:tabs>
          <w:tab w:val="num" w:pos="6480"/>
        </w:tabs>
        <w:ind w:left="6480" w:hanging="360"/>
      </w:pPr>
      <w:rPr>
        <w:rFonts w:ascii="Wingdings" w:hAnsi="Wingdings" w:cs="Wingdings" w:hint="default"/>
      </w:rPr>
    </w:lvl>
  </w:abstractNum>
  <w:abstractNum w:abstractNumId="48" w15:restartNumberingAfterBreak="0">
    <w:nsid w:val="7C773097"/>
    <w:multiLevelType w:val="hybridMultilevel"/>
    <w:tmpl w:val="7A4AC7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17"/>
  </w:num>
  <w:num w:numId="3">
    <w:abstractNumId w:val="2"/>
  </w:num>
  <w:num w:numId="4">
    <w:abstractNumId w:val="1"/>
  </w:num>
  <w:num w:numId="5">
    <w:abstractNumId w:val="0"/>
  </w:num>
  <w:num w:numId="6">
    <w:abstractNumId w:val="8"/>
  </w:num>
  <w:num w:numId="7">
    <w:abstractNumId w:val="14"/>
  </w:num>
  <w:num w:numId="8">
    <w:abstractNumId w:val="22"/>
  </w:num>
  <w:num w:numId="9">
    <w:abstractNumId w:val="5"/>
  </w:num>
  <w:num w:numId="10">
    <w:abstractNumId w:val="23"/>
  </w:num>
  <w:num w:numId="11">
    <w:abstractNumId w:val="13"/>
  </w:num>
  <w:num w:numId="12">
    <w:abstractNumId w:val="34"/>
  </w:num>
  <w:num w:numId="13">
    <w:abstractNumId w:val="25"/>
  </w:num>
  <w:num w:numId="14">
    <w:abstractNumId w:val="48"/>
  </w:num>
  <w:num w:numId="15">
    <w:abstractNumId w:val="21"/>
  </w:num>
  <w:num w:numId="16">
    <w:abstractNumId w:val="9"/>
  </w:num>
  <w:num w:numId="17">
    <w:abstractNumId w:val="30"/>
  </w:num>
  <w:num w:numId="18">
    <w:abstractNumId w:val="31"/>
  </w:num>
  <w:num w:numId="19">
    <w:abstractNumId w:val="20"/>
  </w:num>
  <w:num w:numId="20">
    <w:abstractNumId w:val="3"/>
  </w:num>
  <w:num w:numId="21">
    <w:abstractNumId w:val="24"/>
  </w:num>
  <w:num w:numId="22">
    <w:abstractNumId w:val="28"/>
  </w:num>
  <w:num w:numId="23">
    <w:abstractNumId w:val="46"/>
  </w:num>
  <w:num w:numId="24">
    <w:abstractNumId w:val="29"/>
  </w:num>
  <w:num w:numId="25">
    <w:abstractNumId w:val="47"/>
  </w:num>
  <w:num w:numId="26">
    <w:abstractNumId w:val="6"/>
  </w:num>
  <w:num w:numId="27">
    <w:abstractNumId w:val="18"/>
  </w:num>
  <w:num w:numId="28">
    <w:abstractNumId w:val="38"/>
  </w:num>
  <w:num w:numId="29">
    <w:abstractNumId w:val="16"/>
  </w:num>
  <w:num w:numId="30">
    <w:abstractNumId w:val="4"/>
  </w:num>
  <w:num w:numId="31">
    <w:abstractNumId w:val="37"/>
  </w:num>
  <w:num w:numId="32">
    <w:abstractNumId w:val="27"/>
  </w:num>
  <w:num w:numId="33">
    <w:abstractNumId w:val="41"/>
  </w:num>
  <w:num w:numId="34">
    <w:abstractNumId w:val="32"/>
  </w:num>
  <w:num w:numId="35">
    <w:abstractNumId w:val="19"/>
  </w:num>
  <w:num w:numId="36">
    <w:abstractNumId w:val="42"/>
  </w:num>
  <w:num w:numId="37">
    <w:abstractNumId w:val="33"/>
  </w:num>
  <w:num w:numId="38">
    <w:abstractNumId w:val="35"/>
  </w:num>
  <w:num w:numId="39">
    <w:abstractNumId w:val="40"/>
  </w:num>
  <w:num w:numId="40">
    <w:abstractNumId w:val="36"/>
  </w:num>
  <w:num w:numId="41">
    <w:abstractNumId w:val="44"/>
  </w:num>
  <w:num w:numId="42">
    <w:abstractNumId w:val="10"/>
  </w:num>
  <w:num w:numId="43">
    <w:abstractNumId w:val="15"/>
  </w:num>
  <w:num w:numId="44">
    <w:abstractNumId w:val="43"/>
  </w:num>
  <w:num w:numId="45">
    <w:abstractNumId w:val="12"/>
  </w:num>
  <w:num w:numId="46">
    <w:abstractNumId w:val="7"/>
  </w:num>
  <w:num w:numId="47">
    <w:abstractNumId w:val="45"/>
  </w:num>
  <w:num w:numId="48">
    <w:abstractNumId w:val="26"/>
  </w:num>
  <w:num w:numId="49">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autoHyphenation/>
  <w:hyphenationZone w:val="357"/>
  <w:evenAndOddHeaders/>
  <w:drawingGridHorizontalSpacing w:val="120"/>
  <w:displayHorizontalDrawingGridEvery w:val="2"/>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84B1F"/>
    <w:rsid w:val="00000BF4"/>
    <w:rsid w:val="00001D33"/>
    <w:rsid w:val="000024B6"/>
    <w:rsid w:val="00002A23"/>
    <w:rsid w:val="000044DC"/>
    <w:rsid w:val="000052F5"/>
    <w:rsid w:val="00006708"/>
    <w:rsid w:val="000071B9"/>
    <w:rsid w:val="000105FA"/>
    <w:rsid w:val="00011581"/>
    <w:rsid w:val="000126EC"/>
    <w:rsid w:val="00014473"/>
    <w:rsid w:val="00014483"/>
    <w:rsid w:val="00015D6E"/>
    <w:rsid w:val="0002176E"/>
    <w:rsid w:val="00022754"/>
    <w:rsid w:val="00022C93"/>
    <w:rsid w:val="00023D86"/>
    <w:rsid w:val="00024673"/>
    <w:rsid w:val="0002482B"/>
    <w:rsid w:val="00027588"/>
    <w:rsid w:val="00027BE2"/>
    <w:rsid w:val="00030EFA"/>
    <w:rsid w:val="00032298"/>
    <w:rsid w:val="0003629F"/>
    <w:rsid w:val="00040478"/>
    <w:rsid w:val="00040D79"/>
    <w:rsid w:val="00041278"/>
    <w:rsid w:val="000438D2"/>
    <w:rsid w:val="000442FD"/>
    <w:rsid w:val="0004460A"/>
    <w:rsid w:val="00044904"/>
    <w:rsid w:val="00047D99"/>
    <w:rsid w:val="00050A15"/>
    <w:rsid w:val="00051915"/>
    <w:rsid w:val="0005226D"/>
    <w:rsid w:val="00052BD9"/>
    <w:rsid w:val="00053A67"/>
    <w:rsid w:val="00054521"/>
    <w:rsid w:val="0005650B"/>
    <w:rsid w:val="00060EC8"/>
    <w:rsid w:val="00061486"/>
    <w:rsid w:val="00061FD7"/>
    <w:rsid w:val="00067113"/>
    <w:rsid w:val="00071462"/>
    <w:rsid w:val="0007216B"/>
    <w:rsid w:val="000733BC"/>
    <w:rsid w:val="00074D12"/>
    <w:rsid w:val="0007593D"/>
    <w:rsid w:val="00076C88"/>
    <w:rsid w:val="0007706A"/>
    <w:rsid w:val="0008036E"/>
    <w:rsid w:val="00081E96"/>
    <w:rsid w:val="000847B4"/>
    <w:rsid w:val="00084D50"/>
    <w:rsid w:val="00085B10"/>
    <w:rsid w:val="00085C3B"/>
    <w:rsid w:val="00086456"/>
    <w:rsid w:val="0009023A"/>
    <w:rsid w:val="00090452"/>
    <w:rsid w:val="00091450"/>
    <w:rsid w:val="000915AA"/>
    <w:rsid w:val="00094A0C"/>
    <w:rsid w:val="00095AED"/>
    <w:rsid w:val="00095CB5"/>
    <w:rsid w:val="00096465"/>
    <w:rsid w:val="00096494"/>
    <w:rsid w:val="000968CF"/>
    <w:rsid w:val="000A2CCE"/>
    <w:rsid w:val="000A3850"/>
    <w:rsid w:val="000A394D"/>
    <w:rsid w:val="000A4032"/>
    <w:rsid w:val="000A4355"/>
    <w:rsid w:val="000A5FBC"/>
    <w:rsid w:val="000B09A0"/>
    <w:rsid w:val="000B168D"/>
    <w:rsid w:val="000B1BE1"/>
    <w:rsid w:val="000B3B6A"/>
    <w:rsid w:val="000B6241"/>
    <w:rsid w:val="000B6432"/>
    <w:rsid w:val="000B64FE"/>
    <w:rsid w:val="000B79EE"/>
    <w:rsid w:val="000C06DE"/>
    <w:rsid w:val="000C1A49"/>
    <w:rsid w:val="000C282A"/>
    <w:rsid w:val="000C7340"/>
    <w:rsid w:val="000D3FB3"/>
    <w:rsid w:val="000D48A2"/>
    <w:rsid w:val="000D5680"/>
    <w:rsid w:val="000D56F7"/>
    <w:rsid w:val="000D730D"/>
    <w:rsid w:val="000E07EB"/>
    <w:rsid w:val="000E1054"/>
    <w:rsid w:val="000E28AE"/>
    <w:rsid w:val="000E2BE9"/>
    <w:rsid w:val="000E36C2"/>
    <w:rsid w:val="000E3BB9"/>
    <w:rsid w:val="000E40C4"/>
    <w:rsid w:val="000E466E"/>
    <w:rsid w:val="000E4CE6"/>
    <w:rsid w:val="000E5756"/>
    <w:rsid w:val="000E585B"/>
    <w:rsid w:val="000F0CE0"/>
    <w:rsid w:val="000F3302"/>
    <w:rsid w:val="000F3A35"/>
    <w:rsid w:val="000F4696"/>
    <w:rsid w:val="000F4CB2"/>
    <w:rsid w:val="000F6F45"/>
    <w:rsid w:val="001006CA"/>
    <w:rsid w:val="00100A62"/>
    <w:rsid w:val="0010180E"/>
    <w:rsid w:val="00103BED"/>
    <w:rsid w:val="00105072"/>
    <w:rsid w:val="00105A0D"/>
    <w:rsid w:val="001104B7"/>
    <w:rsid w:val="0011132B"/>
    <w:rsid w:val="00112D8E"/>
    <w:rsid w:val="00114D5E"/>
    <w:rsid w:val="00116417"/>
    <w:rsid w:val="0012071E"/>
    <w:rsid w:val="0012152C"/>
    <w:rsid w:val="0012174E"/>
    <w:rsid w:val="00123D11"/>
    <w:rsid w:val="0012538E"/>
    <w:rsid w:val="0012625B"/>
    <w:rsid w:val="00126E92"/>
    <w:rsid w:val="00131716"/>
    <w:rsid w:val="001344B4"/>
    <w:rsid w:val="00134730"/>
    <w:rsid w:val="00134C6C"/>
    <w:rsid w:val="00136149"/>
    <w:rsid w:val="001370E9"/>
    <w:rsid w:val="001373A2"/>
    <w:rsid w:val="00140993"/>
    <w:rsid w:val="00144950"/>
    <w:rsid w:val="00144DE3"/>
    <w:rsid w:val="001457B6"/>
    <w:rsid w:val="00145AE4"/>
    <w:rsid w:val="0014722C"/>
    <w:rsid w:val="00151CAE"/>
    <w:rsid w:val="00152A1C"/>
    <w:rsid w:val="001556B4"/>
    <w:rsid w:val="00161B51"/>
    <w:rsid w:val="00162B1F"/>
    <w:rsid w:val="00164D2B"/>
    <w:rsid w:val="001701AF"/>
    <w:rsid w:val="00170713"/>
    <w:rsid w:val="0017266D"/>
    <w:rsid w:val="00174515"/>
    <w:rsid w:val="00175A0C"/>
    <w:rsid w:val="00175A29"/>
    <w:rsid w:val="00176F51"/>
    <w:rsid w:val="00177C5A"/>
    <w:rsid w:val="00180538"/>
    <w:rsid w:val="00180B83"/>
    <w:rsid w:val="00182D08"/>
    <w:rsid w:val="001848FB"/>
    <w:rsid w:val="00184EF4"/>
    <w:rsid w:val="00186E91"/>
    <w:rsid w:val="001911B8"/>
    <w:rsid w:val="001915BE"/>
    <w:rsid w:val="001917A1"/>
    <w:rsid w:val="00195A6E"/>
    <w:rsid w:val="00195D83"/>
    <w:rsid w:val="001960C9"/>
    <w:rsid w:val="001966DF"/>
    <w:rsid w:val="00196A9C"/>
    <w:rsid w:val="00197989"/>
    <w:rsid w:val="00197CAE"/>
    <w:rsid w:val="001A1117"/>
    <w:rsid w:val="001A2D4E"/>
    <w:rsid w:val="001A32B4"/>
    <w:rsid w:val="001A362F"/>
    <w:rsid w:val="001A7904"/>
    <w:rsid w:val="001B0274"/>
    <w:rsid w:val="001B0B95"/>
    <w:rsid w:val="001B106C"/>
    <w:rsid w:val="001B1CF7"/>
    <w:rsid w:val="001B1DEE"/>
    <w:rsid w:val="001B3F81"/>
    <w:rsid w:val="001B43F0"/>
    <w:rsid w:val="001B4ED0"/>
    <w:rsid w:val="001B5822"/>
    <w:rsid w:val="001B67D7"/>
    <w:rsid w:val="001B6AE9"/>
    <w:rsid w:val="001B753D"/>
    <w:rsid w:val="001C0C20"/>
    <w:rsid w:val="001C150D"/>
    <w:rsid w:val="001C1EA7"/>
    <w:rsid w:val="001C2175"/>
    <w:rsid w:val="001C2E14"/>
    <w:rsid w:val="001C2F45"/>
    <w:rsid w:val="001C4565"/>
    <w:rsid w:val="001C586D"/>
    <w:rsid w:val="001C6E72"/>
    <w:rsid w:val="001D0717"/>
    <w:rsid w:val="001D1B1C"/>
    <w:rsid w:val="001D4BD3"/>
    <w:rsid w:val="001D59B7"/>
    <w:rsid w:val="001D5E8A"/>
    <w:rsid w:val="001D62E2"/>
    <w:rsid w:val="001D7320"/>
    <w:rsid w:val="001E0C24"/>
    <w:rsid w:val="001E3919"/>
    <w:rsid w:val="001E520D"/>
    <w:rsid w:val="001E7CC6"/>
    <w:rsid w:val="001F610B"/>
    <w:rsid w:val="001F6273"/>
    <w:rsid w:val="00203928"/>
    <w:rsid w:val="00204CAD"/>
    <w:rsid w:val="00204DB7"/>
    <w:rsid w:val="00205C5E"/>
    <w:rsid w:val="00206D12"/>
    <w:rsid w:val="0020753F"/>
    <w:rsid w:val="0020790D"/>
    <w:rsid w:val="00210F66"/>
    <w:rsid w:val="002118EA"/>
    <w:rsid w:val="00211C20"/>
    <w:rsid w:val="00212F4F"/>
    <w:rsid w:val="00214E8E"/>
    <w:rsid w:val="00215B2F"/>
    <w:rsid w:val="002178DA"/>
    <w:rsid w:val="0022003D"/>
    <w:rsid w:val="002213D7"/>
    <w:rsid w:val="002238E6"/>
    <w:rsid w:val="002257C6"/>
    <w:rsid w:val="00226263"/>
    <w:rsid w:val="002275D1"/>
    <w:rsid w:val="0023035A"/>
    <w:rsid w:val="0023044E"/>
    <w:rsid w:val="00231F4E"/>
    <w:rsid w:val="00233B0B"/>
    <w:rsid w:val="00235BA9"/>
    <w:rsid w:val="00235F1B"/>
    <w:rsid w:val="00236182"/>
    <w:rsid w:val="00236F62"/>
    <w:rsid w:val="00237F30"/>
    <w:rsid w:val="00240525"/>
    <w:rsid w:val="00240C99"/>
    <w:rsid w:val="002414FA"/>
    <w:rsid w:val="0024396A"/>
    <w:rsid w:val="0024748A"/>
    <w:rsid w:val="002476B6"/>
    <w:rsid w:val="00247E89"/>
    <w:rsid w:val="00250960"/>
    <w:rsid w:val="00255D5D"/>
    <w:rsid w:val="00256520"/>
    <w:rsid w:val="0026076B"/>
    <w:rsid w:val="00261149"/>
    <w:rsid w:val="002622B1"/>
    <w:rsid w:val="00262E4E"/>
    <w:rsid w:val="00265051"/>
    <w:rsid w:val="00266C00"/>
    <w:rsid w:val="00270303"/>
    <w:rsid w:val="0027249C"/>
    <w:rsid w:val="002725FF"/>
    <w:rsid w:val="002753F2"/>
    <w:rsid w:val="002754E9"/>
    <w:rsid w:val="00276DF3"/>
    <w:rsid w:val="00280840"/>
    <w:rsid w:val="00280EAF"/>
    <w:rsid w:val="00283B5A"/>
    <w:rsid w:val="00284FC8"/>
    <w:rsid w:val="00286BF8"/>
    <w:rsid w:val="00287758"/>
    <w:rsid w:val="00291B6E"/>
    <w:rsid w:val="0029351D"/>
    <w:rsid w:val="00293C14"/>
    <w:rsid w:val="0029416F"/>
    <w:rsid w:val="002946BE"/>
    <w:rsid w:val="00294CFB"/>
    <w:rsid w:val="00295FA0"/>
    <w:rsid w:val="00296880"/>
    <w:rsid w:val="00296893"/>
    <w:rsid w:val="00297D7F"/>
    <w:rsid w:val="002A04A7"/>
    <w:rsid w:val="002A231D"/>
    <w:rsid w:val="002A3E0F"/>
    <w:rsid w:val="002A5EDA"/>
    <w:rsid w:val="002A7D81"/>
    <w:rsid w:val="002B041B"/>
    <w:rsid w:val="002B0B60"/>
    <w:rsid w:val="002B1DC9"/>
    <w:rsid w:val="002B2163"/>
    <w:rsid w:val="002B26AC"/>
    <w:rsid w:val="002B462D"/>
    <w:rsid w:val="002B49FF"/>
    <w:rsid w:val="002B60A2"/>
    <w:rsid w:val="002B61E3"/>
    <w:rsid w:val="002B6DC4"/>
    <w:rsid w:val="002C0852"/>
    <w:rsid w:val="002C0998"/>
    <w:rsid w:val="002C2BB0"/>
    <w:rsid w:val="002C32FF"/>
    <w:rsid w:val="002C3588"/>
    <w:rsid w:val="002C509F"/>
    <w:rsid w:val="002C5BCA"/>
    <w:rsid w:val="002C6F71"/>
    <w:rsid w:val="002D04C6"/>
    <w:rsid w:val="002D0C31"/>
    <w:rsid w:val="002D155C"/>
    <w:rsid w:val="002D2B40"/>
    <w:rsid w:val="002D385F"/>
    <w:rsid w:val="002D56B2"/>
    <w:rsid w:val="002D59C0"/>
    <w:rsid w:val="002D74BA"/>
    <w:rsid w:val="002E0907"/>
    <w:rsid w:val="002E0EC8"/>
    <w:rsid w:val="002E1A5D"/>
    <w:rsid w:val="002E1B7C"/>
    <w:rsid w:val="002E3F04"/>
    <w:rsid w:val="002E5AA0"/>
    <w:rsid w:val="002E76B8"/>
    <w:rsid w:val="002E7778"/>
    <w:rsid w:val="002F1AFA"/>
    <w:rsid w:val="002F1EAF"/>
    <w:rsid w:val="002F27C1"/>
    <w:rsid w:val="002F3572"/>
    <w:rsid w:val="00303DCB"/>
    <w:rsid w:val="00303E0C"/>
    <w:rsid w:val="0030462E"/>
    <w:rsid w:val="00304846"/>
    <w:rsid w:val="00304A94"/>
    <w:rsid w:val="00304EA1"/>
    <w:rsid w:val="00306135"/>
    <w:rsid w:val="00306EEC"/>
    <w:rsid w:val="003114AC"/>
    <w:rsid w:val="00311618"/>
    <w:rsid w:val="00311E9F"/>
    <w:rsid w:val="00313CD4"/>
    <w:rsid w:val="00313EF3"/>
    <w:rsid w:val="003147CA"/>
    <w:rsid w:val="0031521D"/>
    <w:rsid w:val="00315FF2"/>
    <w:rsid w:val="003161CD"/>
    <w:rsid w:val="0031727B"/>
    <w:rsid w:val="00317CA4"/>
    <w:rsid w:val="0032106E"/>
    <w:rsid w:val="00321157"/>
    <w:rsid w:val="003220C3"/>
    <w:rsid w:val="00323655"/>
    <w:rsid w:val="00323713"/>
    <w:rsid w:val="00323A4D"/>
    <w:rsid w:val="003244DB"/>
    <w:rsid w:val="003257C4"/>
    <w:rsid w:val="00326669"/>
    <w:rsid w:val="00327B86"/>
    <w:rsid w:val="00330AD0"/>
    <w:rsid w:val="003322B0"/>
    <w:rsid w:val="003332D6"/>
    <w:rsid w:val="003348CE"/>
    <w:rsid w:val="0033646B"/>
    <w:rsid w:val="003364AD"/>
    <w:rsid w:val="00343A1A"/>
    <w:rsid w:val="00343C7C"/>
    <w:rsid w:val="003443D4"/>
    <w:rsid w:val="00345C2E"/>
    <w:rsid w:val="00346082"/>
    <w:rsid w:val="003513A6"/>
    <w:rsid w:val="003528AE"/>
    <w:rsid w:val="00353AEF"/>
    <w:rsid w:val="00353B41"/>
    <w:rsid w:val="00354D78"/>
    <w:rsid w:val="00355324"/>
    <w:rsid w:val="0035539F"/>
    <w:rsid w:val="00356E50"/>
    <w:rsid w:val="00356E6A"/>
    <w:rsid w:val="0035791A"/>
    <w:rsid w:val="00357F43"/>
    <w:rsid w:val="003614F6"/>
    <w:rsid w:val="00361E3F"/>
    <w:rsid w:val="00362437"/>
    <w:rsid w:val="003628D1"/>
    <w:rsid w:val="00362A2B"/>
    <w:rsid w:val="00364416"/>
    <w:rsid w:val="00364C2A"/>
    <w:rsid w:val="00365E71"/>
    <w:rsid w:val="00366D40"/>
    <w:rsid w:val="003670C8"/>
    <w:rsid w:val="00370F46"/>
    <w:rsid w:val="00371054"/>
    <w:rsid w:val="00371148"/>
    <w:rsid w:val="0037424B"/>
    <w:rsid w:val="003743C0"/>
    <w:rsid w:val="00375E59"/>
    <w:rsid w:val="0037634B"/>
    <w:rsid w:val="00376455"/>
    <w:rsid w:val="00380416"/>
    <w:rsid w:val="00382830"/>
    <w:rsid w:val="00384EA7"/>
    <w:rsid w:val="00385307"/>
    <w:rsid w:val="00385D1E"/>
    <w:rsid w:val="00385E4D"/>
    <w:rsid w:val="00386C8B"/>
    <w:rsid w:val="0038754F"/>
    <w:rsid w:val="00391F42"/>
    <w:rsid w:val="00392265"/>
    <w:rsid w:val="00392FC6"/>
    <w:rsid w:val="0039399D"/>
    <w:rsid w:val="0039425E"/>
    <w:rsid w:val="00394275"/>
    <w:rsid w:val="003942B6"/>
    <w:rsid w:val="00395AC1"/>
    <w:rsid w:val="0039636E"/>
    <w:rsid w:val="00396E8B"/>
    <w:rsid w:val="003A149B"/>
    <w:rsid w:val="003A289F"/>
    <w:rsid w:val="003A3020"/>
    <w:rsid w:val="003A4E47"/>
    <w:rsid w:val="003A4F13"/>
    <w:rsid w:val="003B0443"/>
    <w:rsid w:val="003B1098"/>
    <w:rsid w:val="003B4801"/>
    <w:rsid w:val="003B6195"/>
    <w:rsid w:val="003B621E"/>
    <w:rsid w:val="003C05A5"/>
    <w:rsid w:val="003C1105"/>
    <w:rsid w:val="003C1928"/>
    <w:rsid w:val="003C2F99"/>
    <w:rsid w:val="003C60C8"/>
    <w:rsid w:val="003C6A54"/>
    <w:rsid w:val="003C7379"/>
    <w:rsid w:val="003C7FEF"/>
    <w:rsid w:val="003D0DF5"/>
    <w:rsid w:val="003D390B"/>
    <w:rsid w:val="003D429A"/>
    <w:rsid w:val="003D6E45"/>
    <w:rsid w:val="003E0032"/>
    <w:rsid w:val="003E22C6"/>
    <w:rsid w:val="003E2B17"/>
    <w:rsid w:val="003E37F5"/>
    <w:rsid w:val="003E4BFB"/>
    <w:rsid w:val="003E4CD1"/>
    <w:rsid w:val="003E583A"/>
    <w:rsid w:val="003E62C9"/>
    <w:rsid w:val="003E648B"/>
    <w:rsid w:val="003E74DC"/>
    <w:rsid w:val="003F0247"/>
    <w:rsid w:val="003F144B"/>
    <w:rsid w:val="003F2A9B"/>
    <w:rsid w:val="003F34E7"/>
    <w:rsid w:val="003F6D7E"/>
    <w:rsid w:val="00400895"/>
    <w:rsid w:val="00400AA1"/>
    <w:rsid w:val="00400D55"/>
    <w:rsid w:val="0040260F"/>
    <w:rsid w:val="0040492E"/>
    <w:rsid w:val="00404A9F"/>
    <w:rsid w:val="004062C5"/>
    <w:rsid w:val="00406846"/>
    <w:rsid w:val="00406C9D"/>
    <w:rsid w:val="00407FEC"/>
    <w:rsid w:val="00410991"/>
    <w:rsid w:val="00411D40"/>
    <w:rsid w:val="00413890"/>
    <w:rsid w:val="00417D12"/>
    <w:rsid w:val="00417E64"/>
    <w:rsid w:val="004200A9"/>
    <w:rsid w:val="0042061F"/>
    <w:rsid w:val="00421A1C"/>
    <w:rsid w:val="004240A3"/>
    <w:rsid w:val="00424149"/>
    <w:rsid w:val="00426365"/>
    <w:rsid w:val="004273D2"/>
    <w:rsid w:val="00430CA3"/>
    <w:rsid w:val="00434D4D"/>
    <w:rsid w:val="00435497"/>
    <w:rsid w:val="00436A70"/>
    <w:rsid w:val="00437499"/>
    <w:rsid w:val="00437BAA"/>
    <w:rsid w:val="00440C2D"/>
    <w:rsid w:val="004417F0"/>
    <w:rsid w:val="00442796"/>
    <w:rsid w:val="00442B95"/>
    <w:rsid w:val="004430EB"/>
    <w:rsid w:val="004445DA"/>
    <w:rsid w:val="00446828"/>
    <w:rsid w:val="004471E2"/>
    <w:rsid w:val="004476D1"/>
    <w:rsid w:val="0045039C"/>
    <w:rsid w:val="004515D7"/>
    <w:rsid w:val="00453B28"/>
    <w:rsid w:val="004547DE"/>
    <w:rsid w:val="00455B50"/>
    <w:rsid w:val="004565E0"/>
    <w:rsid w:val="00456A46"/>
    <w:rsid w:val="004576C8"/>
    <w:rsid w:val="004579D3"/>
    <w:rsid w:val="004579E2"/>
    <w:rsid w:val="00457D03"/>
    <w:rsid w:val="004601C8"/>
    <w:rsid w:val="00464E42"/>
    <w:rsid w:val="0046692D"/>
    <w:rsid w:val="00466B1E"/>
    <w:rsid w:val="00470F2C"/>
    <w:rsid w:val="0047632F"/>
    <w:rsid w:val="004765C0"/>
    <w:rsid w:val="004768A8"/>
    <w:rsid w:val="00476C4D"/>
    <w:rsid w:val="004770DE"/>
    <w:rsid w:val="00481EAE"/>
    <w:rsid w:val="004824B8"/>
    <w:rsid w:val="00482572"/>
    <w:rsid w:val="00483C6D"/>
    <w:rsid w:val="0048420A"/>
    <w:rsid w:val="00484E4D"/>
    <w:rsid w:val="00486484"/>
    <w:rsid w:val="004927B5"/>
    <w:rsid w:val="004930D7"/>
    <w:rsid w:val="004931D7"/>
    <w:rsid w:val="00495984"/>
    <w:rsid w:val="00495DD6"/>
    <w:rsid w:val="00495F49"/>
    <w:rsid w:val="00497DC3"/>
    <w:rsid w:val="004A204C"/>
    <w:rsid w:val="004A339B"/>
    <w:rsid w:val="004A4869"/>
    <w:rsid w:val="004A50B1"/>
    <w:rsid w:val="004A5C58"/>
    <w:rsid w:val="004A6266"/>
    <w:rsid w:val="004A7810"/>
    <w:rsid w:val="004A7B6B"/>
    <w:rsid w:val="004A7CFC"/>
    <w:rsid w:val="004B0091"/>
    <w:rsid w:val="004B112E"/>
    <w:rsid w:val="004B2A6E"/>
    <w:rsid w:val="004B52B8"/>
    <w:rsid w:val="004B5C91"/>
    <w:rsid w:val="004B7ECB"/>
    <w:rsid w:val="004C10BC"/>
    <w:rsid w:val="004C2679"/>
    <w:rsid w:val="004C4234"/>
    <w:rsid w:val="004C479F"/>
    <w:rsid w:val="004C4A1E"/>
    <w:rsid w:val="004C52F8"/>
    <w:rsid w:val="004C6212"/>
    <w:rsid w:val="004C627E"/>
    <w:rsid w:val="004C75E9"/>
    <w:rsid w:val="004D3A61"/>
    <w:rsid w:val="004D5121"/>
    <w:rsid w:val="004D6539"/>
    <w:rsid w:val="004E1534"/>
    <w:rsid w:val="004E4C6D"/>
    <w:rsid w:val="004E50D2"/>
    <w:rsid w:val="004E574E"/>
    <w:rsid w:val="004E7E16"/>
    <w:rsid w:val="004F14F9"/>
    <w:rsid w:val="004F40DD"/>
    <w:rsid w:val="004F5C51"/>
    <w:rsid w:val="004F74BC"/>
    <w:rsid w:val="004F77B1"/>
    <w:rsid w:val="004F7E11"/>
    <w:rsid w:val="00500352"/>
    <w:rsid w:val="00503008"/>
    <w:rsid w:val="0050350F"/>
    <w:rsid w:val="00506104"/>
    <w:rsid w:val="00506857"/>
    <w:rsid w:val="005100BD"/>
    <w:rsid w:val="0051012A"/>
    <w:rsid w:val="00510C95"/>
    <w:rsid w:val="00510E70"/>
    <w:rsid w:val="00511718"/>
    <w:rsid w:val="00511E1F"/>
    <w:rsid w:val="005131F2"/>
    <w:rsid w:val="00513AD7"/>
    <w:rsid w:val="00514545"/>
    <w:rsid w:val="00514AFE"/>
    <w:rsid w:val="00514DB3"/>
    <w:rsid w:val="0051634A"/>
    <w:rsid w:val="00516DBE"/>
    <w:rsid w:val="00517C6D"/>
    <w:rsid w:val="005218F2"/>
    <w:rsid w:val="00523728"/>
    <w:rsid w:val="005240EB"/>
    <w:rsid w:val="0052422F"/>
    <w:rsid w:val="005267D5"/>
    <w:rsid w:val="00527694"/>
    <w:rsid w:val="00530ECE"/>
    <w:rsid w:val="005321B5"/>
    <w:rsid w:val="00532AFD"/>
    <w:rsid w:val="005337F5"/>
    <w:rsid w:val="00534807"/>
    <w:rsid w:val="0053571F"/>
    <w:rsid w:val="005366EE"/>
    <w:rsid w:val="00536B59"/>
    <w:rsid w:val="00537FA0"/>
    <w:rsid w:val="005407DC"/>
    <w:rsid w:val="005409E4"/>
    <w:rsid w:val="00540A07"/>
    <w:rsid w:val="00541444"/>
    <w:rsid w:val="0054170E"/>
    <w:rsid w:val="00542BEC"/>
    <w:rsid w:val="005433F0"/>
    <w:rsid w:val="00544D38"/>
    <w:rsid w:val="00545A43"/>
    <w:rsid w:val="00545D79"/>
    <w:rsid w:val="00546E59"/>
    <w:rsid w:val="00550571"/>
    <w:rsid w:val="0055123E"/>
    <w:rsid w:val="00554C09"/>
    <w:rsid w:val="005552B6"/>
    <w:rsid w:val="00555778"/>
    <w:rsid w:val="00555FCA"/>
    <w:rsid w:val="00556571"/>
    <w:rsid w:val="00556656"/>
    <w:rsid w:val="005602C5"/>
    <w:rsid w:val="005603B1"/>
    <w:rsid w:val="005617C9"/>
    <w:rsid w:val="005646C3"/>
    <w:rsid w:val="00564961"/>
    <w:rsid w:val="00564CF8"/>
    <w:rsid w:val="005653EE"/>
    <w:rsid w:val="0057089E"/>
    <w:rsid w:val="00570D9F"/>
    <w:rsid w:val="0057480A"/>
    <w:rsid w:val="00576A91"/>
    <w:rsid w:val="00577C8B"/>
    <w:rsid w:val="00577D8F"/>
    <w:rsid w:val="00581400"/>
    <w:rsid w:val="005845DA"/>
    <w:rsid w:val="00585414"/>
    <w:rsid w:val="00585ED0"/>
    <w:rsid w:val="0058660F"/>
    <w:rsid w:val="00586794"/>
    <w:rsid w:val="00587BB1"/>
    <w:rsid w:val="0059058C"/>
    <w:rsid w:val="00591288"/>
    <w:rsid w:val="005919FD"/>
    <w:rsid w:val="005928D8"/>
    <w:rsid w:val="0059369A"/>
    <w:rsid w:val="00593E99"/>
    <w:rsid w:val="00595195"/>
    <w:rsid w:val="005956AE"/>
    <w:rsid w:val="00595A46"/>
    <w:rsid w:val="00596170"/>
    <w:rsid w:val="0059747A"/>
    <w:rsid w:val="005979B6"/>
    <w:rsid w:val="005A31E3"/>
    <w:rsid w:val="005A70FC"/>
    <w:rsid w:val="005A7B94"/>
    <w:rsid w:val="005B0450"/>
    <w:rsid w:val="005B1F66"/>
    <w:rsid w:val="005B28AE"/>
    <w:rsid w:val="005B3823"/>
    <w:rsid w:val="005B44F5"/>
    <w:rsid w:val="005B5464"/>
    <w:rsid w:val="005B589F"/>
    <w:rsid w:val="005B7128"/>
    <w:rsid w:val="005B75E6"/>
    <w:rsid w:val="005B7C68"/>
    <w:rsid w:val="005B7C8E"/>
    <w:rsid w:val="005B7FD9"/>
    <w:rsid w:val="005C29A4"/>
    <w:rsid w:val="005C3B1B"/>
    <w:rsid w:val="005C3C09"/>
    <w:rsid w:val="005C3ED8"/>
    <w:rsid w:val="005C4BB4"/>
    <w:rsid w:val="005C5F85"/>
    <w:rsid w:val="005D0CF4"/>
    <w:rsid w:val="005D2549"/>
    <w:rsid w:val="005D3C6D"/>
    <w:rsid w:val="005D5CAC"/>
    <w:rsid w:val="005D5F07"/>
    <w:rsid w:val="005D6ABA"/>
    <w:rsid w:val="005D7EB9"/>
    <w:rsid w:val="005E459F"/>
    <w:rsid w:val="005E5161"/>
    <w:rsid w:val="005E733F"/>
    <w:rsid w:val="005E75FE"/>
    <w:rsid w:val="005F2D97"/>
    <w:rsid w:val="005F317B"/>
    <w:rsid w:val="005F6EAF"/>
    <w:rsid w:val="005F79A8"/>
    <w:rsid w:val="005F7CEC"/>
    <w:rsid w:val="00601A07"/>
    <w:rsid w:val="00601A60"/>
    <w:rsid w:val="00601C7D"/>
    <w:rsid w:val="00602FD8"/>
    <w:rsid w:val="00603550"/>
    <w:rsid w:val="006046F6"/>
    <w:rsid w:val="0060488D"/>
    <w:rsid w:val="00604959"/>
    <w:rsid w:val="00605B44"/>
    <w:rsid w:val="00606584"/>
    <w:rsid w:val="00606A3F"/>
    <w:rsid w:val="00607A89"/>
    <w:rsid w:val="00607C08"/>
    <w:rsid w:val="00610089"/>
    <w:rsid w:val="00612071"/>
    <w:rsid w:val="006139A2"/>
    <w:rsid w:val="00614904"/>
    <w:rsid w:val="00614D9C"/>
    <w:rsid w:val="00622998"/>
    <w:rsid w:val="00622F60"/>
    <w:rsid w:val="00623D6E"/>
    <w:rsid w:val="006311F7"/>
    <w:rsid w:val="00632208"/>
    <w:rsid w:val="00632865"/>
    <w:rsid w:val="00633AD6"/>
    <w:rsid w:val="006352DB"/>
    <w:rsid w:val="006419A7"/>
    <w:rsid w:val="006422A9"/>
    <w:rsid w:val="00643A96"/>
    <w:rsid w:val="00647246"/>
    <w:rsid w:val="006501D7"/>
    <w:rsid w:val="00650C1B"/>
    <w:rsid w:val="00652211"/>
    <w:rsid w:val="0065223A"/>
    <w:rsid w:val="0065295F"/>
    <w:rsid w:val="006547D6"/>
    <w:rsid w:val="00655C70"/>
    <w:rsid w:val="00656A51"/>
    <w:rsid w:val="00657426"/>
    <w:rsid w:val="006608BB"/>
    <w:rsid w:val="00661828"/>
    <w:rsid w:val="00662D63"/>
    <w:rsid w:val="00662F6E"/>
    <w:rsid w:val="00664BF9"/>
    <w:rsid w:val="00665028"/>
    <w:rsid w:val="006651BC"/>
    <w:rsid w:val="00666B11"/>
    <w:rsid w:val="00666F84"/>
    <w:rsid w:val="006679AF"/>
    <w:rsid w:val="0067098B"/>
    <w:rsid w:val="006719DA"/>
    <w:rsid w:val="00671CD3"/>
    <w:rsid w:val="00673324"/>
    <w:rsid w:val="00673BD5"/>
    <w:rsid w:val="00683B68"/>
    <w:rsid w:val="00684FE7"/>
    <w:rsid w:val="00685938"/>
    <w:rsid w:val="00685992"/>
    <w:rsid w:val="00686D19"/>
    <w:rsid w:val="00687C7F"/>
    <w:rsid w:val="0069077C"/>
    <w:rsid w:val="00690E61"/>
    <w:rsid w:val="0069266F"/>
    <w:rsid w:val="006938A3"/>
    <w:rsid w:val="00696991"/>
    <w:rsid w:val="00696B66"/>
    <w:rsid w:val="00696E32"/>
    <w:rsid w:val="006971D5"/>
    <w:rsid w:val="006A138F"/>
    <w:rsid w:val="006A18B3"/>
    <w:rsid w:val="006A2F6E"/>
    <w:rsid w:val="006A30C2"/>
    <w:rsid w:val="006A3282"/>
    <w:rsid w:val="006A46FF"/>
    <w:rsid w:val="006A57AC"/>
    <w:rsid w:val="006A6C1B"/>
    <w:rsid w:val="006A6DD7"/>
    <w:rsid w:val="006B50CC"/>
    <w:rsid w:val="006B553F"/>
    <w:rsid w:val="006B7C02"/>
    <w:rsid w:val="006C0AEE"/>
    <w:rsid w:val="006C1B60"/>
    <w:rsid w:val="006C1D26"/>
    <w:rsid w:val="006C2B34"/>
    <w:rsid w:val="006C4A23"/>
    <w:rsid w:val="006C4F39"/>
    <w:rsid w:val="006C71FF"/>
    <w:rsid w:val="006C759A"/>
    <w:rsid w:val="006C7EEC"/>
    <w:rsid w:val="006D2BF8"/>
    <w:rsid w:val="006D3681"/>
    <w:rsid w:val="006D400A"/>
    <w:rsid w:val="006D478A"/>
    <w:rsid w:val="006D4ABF"/>
    <w:rsid w:val="006D66A2"/>
    <w:rsid w:val="006D6AF4"/>
    <w:rsid w:val="006D6DCD"/>
    <w:rsid w:val="006E09AA"/>
    <w:rsid w:val="006E4B57"/>
    <w:rsid w:val="006E5329"/>
    <w:rsid w:val="006E625C"/>
    <w:rsid w:val="006E65C2"/>
    <w:rsid w:val="006F1BE2"/>
    <w:rsid w:val="006F5261"/>
    <w:rsid w:val="006F5C7C"/>
    <w:rsid w:val="006F6C5B"/>
    <w:rsid w:val="006F727D"/>
    <w:rsid w:val="006F741D"/>
    <w:rsid w:val="007029EF"/>
    <w:rsid w:val="0070388D"/>
    <w:rsid w:val="007039BC"/>
    <w:rsid w:val="007062A6"/>
    <w:rsid w:val="007064B6"/>
    <w:rsid w:val="00706504"/>
    <w:rsid w:val="00706B27"/>
    <w:rsid w:val="00707A44"/>
    <w:rsid w:val="00707C2D"/>
    <w:rsid w:val="007101DD"/>
    <w:rsid w:val="00711F68"/>
    <w:rsid w:val="00715ECB"/>
    <w:rsid w:val="00716281"/>
    <w:rsid w:val="00716631"/>
    <w:rsid w:val="00716ABB"/>
    <w:rsid w:val="0071771C"/>
    <w:rsid w:val="0072244C"/>
    <w:rsid w:val="00723223"/>
    <w:rsid w:val="00723682"/>
    <w:rsid w:val="00724CB7"/>
    <w:rsid w:val="0072624D"/>
    <w:rsid w:val="00726F5D"/>
    <w:rsid w:val="00732481"/>
    <w:rsid w:val="0073302E"/>
    <w:rsid w:val="0073333E"/>
    <w:rsid w:val="00735299"/>
    <w:rsid w:val="00737294"/>
    <w:rsid w:val="00737503"/>
    <w:rsid w:val="0074265A"/>
    <w:rsid w:val="00743317"/>
    <w:rsid w:val="0074765D"/>
    <w:rsid w:val="0074769F"/>
    <w:rsid w:val="00752CD3"/>
    <w:rsid w:val="00753184"/>
    <w:rsid w:val="00753BC8"/>
    <w:rsid w:val="00754A61"/>
    <w:rsid w:val="00755932"/>
    <w:rsid w:val="007569AF"/>
    <w:rsid w:val="00756D11"/>
    <w:rsid w:val="00757992"/>
    <w:rsid w:val="00757A56"/>
    <w:rsid w:val="007607E0"/>
    <w:rsid w:val="00762940"/>
    <w:rsid w:val="0076302B"/>
    <w:rsid w:val="0076322D"/>
    <w:rsid w:val="00763745"/>
    <w:rsid w:val="00763D33"/>
    <w:rsid w:val="007652BA"/>
    <w:rsid w:val="007673FF"/>
    <w:rsid w:val="007703AF"/>
    <w:rsid w:val="007712FC"/>
    <w:rsid w:val="00773852"/>
    <w:rsid w:val="007742D9"/>
    <w:rsid w:val="007805EE"/>
    <w:rsid w:val="0078089B"/>
    <w:rsid w:val="007822E6"/>
    <w:rsid w:val="00784221"/>
    <w:rsid w:val="00786B73"/>
    <w:rsid w:val="00786CC5"/>
    <w:rsid w:val="00787E4C"/>
    <w:rsid w:val="0079481E"/>
    <w:rsid w:val="00795194"/>
    <w:rsid w:val="00795276"/>
    <w:rsid w:val="0079580F"/>
    <w:rsid w:val="00795D57"/>
    <w:rsid w:val="00796296"/>
    <w:rsid w:val="00796E29"/>
    <w:rsid w:val="007A11AA"/>
    <w:rsid w:val="007A181A"/>
    <w:rsid w:val="007A33BE"/>
    <w:rsid w:val="007A3E4C"/>
    <w:rsid w:val="007A3E52"/>
    <w:rsid w:val="007A40F4"/>
    <w:rsid w:val="007A4FDB"/>
    <w:rsid w:val="007A60B7"/>
    <w:rsid w:val="007A6EF2"/>
    <w:rsid w:val="007B25F0"/>
    <w:rsid w:val="007B628C"/>
    <w:rsid w:val="007B663C"/>
    <w:rsid w:val="007B7573"/>
    <w:rsid w:val="007B7B59"/>
    <w:rsid w:val="007C219C"/>
    <w:rsid w:val="007C3089"/>
    <w:rsid w:val="007C3499"/>
    <w:rsid w:val="007C49DD"/>
    <w:rsid w:val="007C4C91"/>
    <w:rsid w:val="007C5303"/>
    <w:rsid w:val="007C7E94"/>
    <w:rsid w:val="007D2B3E"/>
    <w:rsid w:val="007D4D26"/>
    <w:rsid w:val="007D55F4"/>
    <w:rsid w:val="007D590D"/>
    <w:rsid w:val="007E162E"/>
    <w:rsid w:val="007E28CC"/>
    <w:rsid w:val="007E39F5"/>
    <w:rsid w:val="007E471E"/>
    <w:rsid w:val="007E4FA2"/>
    <w:rsid w:val="007E6A9F"/>
    <w:rsid w:val="007E6CA8"/>
    <w:rsid w:val="007F1FBF"/>
    <w:rsid w:val="007F29FE"/>
    <w:rsid w:val="007F4061"/>
    <w:rsid w:val="007F51A5"/>
    <w:rsid w:val="007F6396"/>
    <w:rsid w:val="00800666"/>
    <w:rsid w:val="008016A4"/>
    <w:rsid w:val="00802905"/>
    <w:rsid w:val="00802EB1"/>
    <w:rsid w:val="008042E3"/>
    <w:rsid w:val="00805CC5"/>
    <w:rsid w:val="00807B9A"/>
    <w:rsid w:val="00811F69"/>
    <w:rsid w:val="00812841"/>
    <w:rsid w:val="00813368"/>
    <w:rsid w:val="0081562E"/>
    <w:rsid w:val="00822E30"/>
    <w:rsid w:val="008230F9"/>
    <w:rsid w:val="008249E4"/>
    <w:rsid w:val="00825977"/>
    <w:rsid w:val="00825C75"/>
    <w:rsid w:val="008268F1"/>
    <w:rsid w:val="0082700D"/>
    <w:rsid w:val="00830850"/>
    <w:rsid w:val="00831D3D"/>
    <w:rsid w:val="00835489"/>
    <w:rsid w:val="00835DF2"/>
    <w:rsid w:val="00836134"/>
    <w:rsid w:val="00836340"/>
    <w:rsid w:val="0084158F"/>
    <w:rsid w:val="00841CE1"/>
    <w:rsid w:val="00842BD4"/>
    <w:rsid w:val="00842D3B"/>
    <w:rsid w:val="00844AC0"/>
    <w:rsid w:val="00845B2F"/>
    <w:rsid w:val="00846EB1"/>
    <w:rsid w:val="00846FD7"/>
    <w:rsid w:val="00847893"/>
    <w:rsid w:val="00850743"/>
    <w:rsid w:val="00851BDE"/>
    <w:rsid w:val="00851F58"/>
    <w:rsid w:val="0085254A"/>
    <w:rsid w:val="00852B70"/>
    <w:rsid w:val="00853A18"/>
    <w:rsid w:val="00861541"/>
    <w:rsid w:val="008620E2"/>
    <w:rsid w:val="00862B77"/>
    <w:rsid w:val="0086426A"/>
    <w:rsid w:val="0086465E"/>
    <w:rsid w:val="008652AD"/>
    <w:rsid w:val="00865910"/>
    <w:rsid w:val="008662FA"/>
    <w:rsid w:val="008704BE"/>
    <w:rsid w:val="00870EC9"/>
    <w:rsid w:val="00871532"/>
    <w:rsid w:val="008742FD"/>
    <w:rsid w:val="00876485"/>
    <w:rsid w:val="008772CA"/>
    <w:rsid w:val="00877FAF"/>
    <w:rsid w:val="00880CCF"/>
    <w:rsid w:val="00881282"/>
    <w:rsid w:val="00881D16"/>
    <w:rsid w:val="008834F0"/>
    <w:rsid w:val="00885E8B"/>
    <w:rsid w:val="00886A00"/>
    <w:rsid w:val="00886C8C"/>
    <w:rsid w:val="00891D78"/>
    <w:rsid w:val="00892B01"/>
    <w:rsid w:val="008954A2"/>
    <w:rsid w:val="008954D9"/>
    <w:rsid w:val="008966E6"/>
    <w:rsid w:val="008A24B5"/>
    <w:rsid w:val="008A3C0D"/>
    <w:rsid w:val="008A478D"/>
    <w:rsid w:val="008A6701"/>
    <w:rsid w:val="008A730D"/>
    <w:rsid w:val="008B1945"/>
    <w:rsid w:val="008B34B0"/>
    <w:rsid w:val="008B37B2"/>
    <w:rsid w:val="008B382B"/>
    <w:rsid w:val="008B3A8C"/>
    <w:rsid w:val="008B405E"/>
    <w:rsid w:val="008B431F"/>
    <w:rsid w:val="008B534C"/>
    <w:rsid w:val="008C1700"/>
    <w:rsid w:val="008C2597"/>
    <w:rsid w:val="008C4BB1"/>
    <w:rsid w:val="008C5286"/>
    <w:rsid w:val="008C55DF"/>
    <w:rsid w:val="008C615A"/>
    <w:rsid w:val="008C62FE"/>
    <w:rsid w:val="008C645D"/>
    <w:rsid w:val="008D01D4"/>
    <w:rsid w:val="008D02C7"/>
    <w:rsid w:val="008D0493"/>
    <w:rsid w:val="008D18AF"/>
    <w:rsid w:val="008D1AE9"/>
    <w:rsid w:val="008D1FC9"/>
    <w:rsid w:val="008D2151"/>
    <w:rsid w:val="008D2C86"/>
    <w:rsid w:val="008D3490"/>
    <w:rsid w:val="008D37A3"/>
    <w:rsid w:val="008D40E1"/>
    <w:rsid w:val="008D6AF9"/>
    <w:rsid w:val="008D728B"/>
    <w:rsid w:val="008E1020"/>
    <w:rsid w:val="008E10D6"/>
    <w:rsid w:val="008E271E"/>
    <w:rsid w:val="008E390C"/>
    <w:rsid w:val="008E5D64"/>
    <w:rsid w:val="008E62D5"/>
    <w:rsid w:val="008E67CD"/>
    <w:rsid w:val="008F07C3"/>
    <w:rsid w:val="008F1D39"/>
    <w:rsid w:val="008F6CDC"/>
    <w:rsid w:val="008F6E9F"/>
    <w:rsid w:val="008F74DD"/>
    <w:rsid w:val="009003E0"/>
    <w:rsid w:val="00903A6E"/>
    <w:rsid w:val="0090689C"/>
    <w:rsid w:val="00907799"/>
    <w:rsid w:val="009122B2"/>
    <w:rsid w:val="009126A2"/>
    <w:rsid w:val="009133B8"/>
    <w:rsid w:val="009140F8"/>
    <w:rsid w:val="009156EB"/>
    <w:rsid w:val="0092013F"/>
    <w:rsid w:val="00920C4E"/>
    <w:rsid w:val="00921AE7"/>
    <w:rsid w:val="00922202"/>
    <w:rsid w:val="009222BE"/>
    <w:rsid w:val="00924D96"/>
    <w:rsid w:val="0092503C"/>
    <w:rsid w:val="00925E3A"/>
    <w:rsid w:val="00926259"/>
    <w:rsid w:val="00926614"/>
    <w:rsid w:val="009300C1"/>
    <w:rsid w:val="009303B9"/>
    <w:rsid w:val="00931DB5"/>
    <w:rsid w:val="00933D01"/>
    <w:rsid w:val="00933F6A"/>
    <w:rsid w:val="00934631"/>
    <w:rsid w:val="00934DAC"/>
    <w:rsid w:val="00937457"/>
    <w:rsid w:val="00937673"/>
    <w:rsid w:val="00937FD2"/>
    <w:rsid w:val="00940236"/>
    <w:rsid w:val="00941039"/>
    <w:rsid w:val="009440B9"/>
    <w:rsid w:val="009453C1"/>
    <w:rsid w:val="00945807"/>
    <w:rsid w:val="00945AC8"/>
    <w:rsid w:val="00946164"/>
    <w:rsid w:val="0094628B"/>
    <w:rsid w:val="00952210"/>
    <w:rsid w:val="00953DBE"/>
    <w:rsid w:val="0095485E"/>
    <w:rsid w:val="009563B1"/>
    <w:rsid w:val="00960596"/>
    <w:rsid w:val="00960C7A"/>
    <w:rsid w:val="00960D66"/>
    <w:rsid w:val="00961945"/>
    <w:rsid w:val="00962227"/>
    <w:rsid w:val="00962B9E"/>
    <w:rsid w:val="00963C07"/>
    <w:rsid w:val="00964A2D"/>
    <w:rsid w:val="00965849"/>
    <w:rsid w:val="00970650"/>
    <w:rsid w:val="00970858"/>
    <w:rsid w:val="00972247"/>
    <w:rsid w:val="00973DC6"/>
    <w:rsid w:val="009743BD"/>
    <w:rsid w:val="00980996"/>
    <w:rsid w:val="00980F1F"/>
    <w:rsid w:val="00981670"/>
    <w:rsid w:val="00982513"/>
    <w:rsid w:val="00982B8A"/>
    <w:rsid w:val="00983361"/>
    <w:rsid w:val="00983DC2"/>
    <w:rsid w:val="009858DD"/>
    <w:rsid w:val="00985C42"/>
    <w:rsid w:val="0098635C"/>
    <w:rsid w:val="0098645E"/>
    <w:rsid w:val="009871F0"/>
    <w:rsid w:val="00987585"/>
    <w:rsid w:val="00994982"/>
    <w:rsid w:val="00996087"/>
    <w:rsid w:val="0099764B"/>
    <w:rsid w:val="009A0415"/>
    <w:rsid w:val="009A057B"/>
    <w:rsid w:val="009A2F49"/>
    <w:rsid w:val="009A31F8"/>
    <w:rsid w:val="009A3AE0"/>
    <w:rsid w:val="009A4ADE"/>
    <w:rsid w:val="009A50A0"/>
    <w:rsid w:val="009A6EF4"/>
    <w:rsid w:val="009A7FD3"/>
    <w:rsid w:val="009B096C"/>
    <w:rsid w:val="009B1AE4"/>
    <w:rsid w:val="009B22C7"/>
    <w:rsid w:val="009B264F"/>
    <w:rsid w:val="009B2B28"/>
    <w:rsid w:val="009B400D"/>
    <w:rsid w:val="009B4412"/>
    <w:rsid w:val="009B5D4D"/>
    <w:rsid w:val="009B77C5"/>
    <w:rsid w:val="009B7BD5"/>
    <w:rsid w:val="009C00DA"/>
    <w:rsid w:val="009C0E28"/>
    <w:rsid w:val="009C1D41"/>
    <w:rsid w:val="009C288A"/>
    <w:rsid w:val="009C65FA"/>
    <w:rsid w:val="009C7849"/>
    <w:rsid w:val="009C7CF0"/>
    <w:rsid w:val="009D4E6B"/>
    <w:rsid w:val="009D5585"/>
    <w:rsid w:val="009D7069"/>
    <w:rsid w:val="009D73D6"/>
    <w:rsid w:val="009E058A"/>
    <w:rsid w:val="009E0669"/>
    <w:rsid w:val="009E0857"/>
    <w:rsid w:val="009E3BB4"/>
    <w:rsid w:val="009E41D1"/>
    <w:rsid w:val="009E562A"/>
    <w:rsid w:val="009E5D43"/>
    <w:rsid w:val="009E5E14"/>
    <w:rsid w:val="009E5F62"/>
    <w:rsid w:val="009E6EB5"/>
    <w:rsid w:val="009F0A1D"/>
    <w:rsid w:val="009F1177"/>
    <w:rsid w:val="009F120E"/>
    <w:rsid w:val="009F1446"/>
    <w:rsid w:val="009F244C"/>
    <w:rsid w:val="009F6C00"/>
    <w:rsid w:val="009F6C02"/>
    <w:rsid w:val="00A002D9"/>
    <w:rsid w:val="00A0049D"/>
    <w:rsid w:val="00A00909"/>
    <w:rsid w:val="00A01863"/>
    <w:rsid w:val="00A018B3"/>
    <w:rsid w:val="00A018CC"/>
    <w:rsid w:val="00A01AE9"/>
    <w:rsid w:val="00A05673"/>
    <w:rsid w:val="00A105C8"/>
    <w:rsid w:val="00A12420"/>
    <w:rsid w:val="00A15BE7"/>
    <w:rsid w:val="00A16EB2"/>
    <w:rsid w:val="00A176E9"/>
    <w:rsid w:val="00A2056B"/>
    <w:rsid w:val="00A208E5"/>
    <w:rsid w:val="00A21296"/>
    <w:rsid w:val="00A22066"/>
    <w:rsid w:val="00A22731"/>
    <w:rsid w:val="00A250C2"/>
    <w:rsid w:val="00A26E38"/>
    <w:rsid w:val="00A30BD8"/>
    <w:rsid w:val="00A334BA"/>
    <w:rsid w:val="00A349B9"/>
    <w:rsid w:val="00A34C62"/>
    <w:rsid w:val="00A352A5"/>
    <w:rsid w:val="00A352B8"/>
    <w:rsid w:val="00A4016E"/>
    <w:rsid w:val="00A40DD3"/>
    <w:rsid w:val="00A4135E"/>
    <w:rsid w:val="00A427F0"/>
    <w:rsid w:val="00A432B0"/>
    <w:rsid w:val="00A4569E"/>
    <w:rsid w:val="00A45A5F"/>
    <w:rsid w:val="00A5090A"/>
    <w:rsid w:val="00A51658"/>
    <w:rsid w:val="00A54278"/>
    <w:rsid w:val="00A545F0"/>
    <w:rsid w:val="00A55883"/>
    <w:rsid w:val="00A57A22"/>
    <w:rsid w:val="00A61C92"/>
    <w:rsid w:val="00A62989"/>
    <w:rsid w:val="00A63F8A"/>
    <w:rsid w:val="00A657F5"/>
    <w:rsid w:val="00A66C58"/>
    <w:rsid w:val="00A6749C"/>
    <w:rsid w:val="00A6781A"/>
    <w:rsid w:val="00A70BEA"/>
    <w:rsid w:val="00A71F90"/>
    <w:rsid w:val="00A72B61"/>
    <w:rsid w:val="00A73A41"/>
    <w:rsid w:val="00A779CC"/>
    <w:rsid w:val="00A806AB"/>
    <w:rsid w:val="00A807CB"/>
    <w:rsid w:val="00A80D5C"/>
    <w:rsid w:val="00A815CB"/>
    <w:rsid w:val="00A81F21"/>
    <w:rsid w:val="00A84B1F"/>
    <w:rsid w:val="00A84BBE"/>
    <w:rsid w:val="00A85A2F"/>
    <w:rsid w:val="00A86D1B"/>
    <w:rsid w:val="00A87CF6"/>
    <w:rsid w:val="00A90306"/>
    <w:rsid w:val="00A915DF"/>
    <w:rsid w:val="00A923C1"/>
    <w:rsid w:val="00A9259C"/>
    <w:rsid w:val="00A9295F"/>
    <w:rsid w:val="00A94260"/>
    <w:rsid w:val="00A97FE6"/>
    <w:rsid w:val="00AA0377"/>
    <w:rsid w:val="00AA0639"/>
    <w:rsid w:val="00AA095B"/>
    <w:rsid w:val="00AA1310"/>
    <w:rsid w:val="00AA225C"/>
    <w:rsid w:val="00AA4794"/>
    <w:rsid w:val="00AA4866"/>
    <w:rsid w:val="00AA5719"/>
    <w:rsid w:val="00AA67E9"/>
    <w:rsid w:val="00AA7821"/>
    <w:rsid w:val="00AA795B"/>
    <w:rsid w:val="00AB067E"/>
    <w:rsid w:val="00AB0AF9"/>
    <w:rsid w:val="00AB1570"/>
    <w:rsid w:val="00AB1D3B"/>
    <w:rsid w:val="00AB4085"/>
    <w:rsid w:val="00AB43AB"/>
    <w:rsid w:val="00AB4960"/>
    <w:rsid w:val="00AB5A50"/>
    <w:rsid w:val="00AB66EA"/>
    <w:rsid w:val="00AB7A8B"/>
    <w:rsid w:val="00AB7E0A"/>
    <w:rsid w:val="00AC07D2"/>
    <w:rsid w:val="00AC1B68"/>
    <w:rsid w:val="00AC2548"/>
    <w:rsid w:val="00AC375E"/>
    <w:rsid w:val="00AC386A"/>
    <w:rsid w:val="00AC51F6"/>
    <w:rsid w:val="00AC62D7"/>
    <w:rsid w:val="00AC6EDF"/>
    <w:rsid w:val="00AC71D6"/>
    <w:rsid w:val="00AC72B3"/>
    <w:rsid w:val="00AD1043"/>
    <w:rsid w:val="00AD1488"/>
    <w:rsid w:val="00AD1CAF"/>
    <w:rsid w:val="00AD2A80"/>
    <w:rsid w:val="00AD5218"/>
    <w:rsid w:val="00AD5EF2"/>
    <w:rsid w:val="00AD6371"/>
    <w:rsid w:val="00AD6C4B"/>
    <w:rsid w:val="00AD6ECC"/>
    <w:rsid w:val="00AD7940"/>
    <w:rsid w:val="00AE09C4"/>
    <w:rsid w:val="00AE0C21"/>
    <w:rsid w:val="00AE28BD"/>
    <w:rsid w:val="00AE3322"/>
    <w:rsid w:val="00AE40FA"/>
    <w:rsid w:val="00AE4801"/>
    <w:rsid w:val="00AE4B87"/>
    <w:rsid w:val="00AE5AF2"/>
    <w:rsid w:val="00AF141D"/>
    <w:rsid w:val="00AF2039"/>
    <w:rsid w:val="00AF22A8"/>
    <w:rsid w:val="00AF31F0"/>
    <w:rsid w:val="00AF385A"/>
    <w:rsid w:val="00AF4B85"/>
    <w:rsid w:val="00AF624F"/>
    <w:rsid w:val="00B00BD4"/>
    <w:rsid w:val="00B00F3A"/>
    <w:rsid w:val="00B0276A"/>
    <w:rsid w:val="00B03383"/>
    <w:rsid w:val="00B037B1"/>
    <w:rsid w:val="00B03909"/>
    <w:rsid w:val="00B03F26"/>
    <w:rsid w:val="00B04892"/>
    <w:rsid w:val="00B05271"/>
    <w:rsid w:val="00B1130B"/>
    <w:rsid w:val="00B1362D"/>
    <w:rsid w:val="00B13BB8"/>
    <w:rsid w:val="00B1405B"/>
    <w:rsid w:val="00B1698B"/>
    <w:rsid w:val="00B17FF5"/>
    <w:rsid w:val="00B206BE"/>
    <w:rsid w:val="00B209B0"/>
    <w:rsid w:val="00B21670"/>
    <w:rsid w:val="00B22575"/>
    <w:rsid w:val="00B22998"/>
    <w:rsid w:val="00B2478D"/>
    <w:rsid w:val="00B25770"/>
    <w:rsid w:val="00B2594A"/>
    <w:rsid w:val="00B25E9F"/>
    <w:rsid w:val="00B2612E"/>
    <w:rsid w:val="00B31630"/>
    <w:rsid w:val="00B34716"/>
    <w:rsid w:val="00B34B86"/>
    <w:rsid w:val="00B35104"/>
    <w:rsid w:val="00B35531"/>
    <w:rsid w:val="00B35D7B"/>
    <w:rsid w:val="00B363E0"/>
    <w:rsid w:val="00B36883"/>
    <w:rsid w:val="00B368DF"/>
    <w:rsid w:val="00B36AE9"/>
    <w:rsid w:val="00B36B39"/>
    <w:rsid w:val="00B37231"/>
    <w:rsid w:val="00B4163E"/>
    <w:rsid w:val="00B434D7"/>
    <w:rsid w:val="00B4453F"/>
    <w:rsid w:val="00B446D6"/>
    <w:rsid w:val="00B45542"/>
    <w:rsid w:val="00B46473"/>
    <w:rsid w:val="00B46A7C"/>
    <w:rsid w:val="00B47D5A"/>
    <w:rsid w:val="00B50836"/>
    <w:rsid w:val="00B51196"/>
    <w:rsid w:val="00B51602"/>
    <w:rsid w:val="00B51D57"/>
    <w:rsid w:val="00B533A5"/>
    <w:rsid w:val="00B5402C"/>
    <w:rsid w:val="00B5623B"/>
    <w:rsid w:val="00B575F4"/>
    <w:rsid w:val="00B60035"/>
    <w:rsid w:val="00B60924"/>
    <w:rsid w:val="00B614B0"/>
    <w:rsid w:val="00B6273C"/>
    <w:rsid w:val="00B63191"/>
    <w:rsid w:val="00B633D0"/>
    <w:rsid w:val="00B6487B"/>
    <w:rsid w:val="00B660DA"/>
    <w:rsid w:val="00B66F32"/>
    <w:rsid w:val="00B70EA5"/>
    <w:rsid w:val="00B71266"/>
    <w:rsid w:val="00B71ACD"/>
    <w:rsid w:val="00B7206E"/>
    <w:rsid w:val="00B72A80"/>
    <w:rsid w:val="00B72A87"/>
    <w:rsid w:val="00B72B3E"/>
    <w:rsid w:val="00B72FAC"/>
    <w:rsid w:val="00B733AE"/>
    <w:rsid w:val="00B771F3"/>
    <w:rsid w:val="00B77244"/>
    <w:rsid w:val="00B8039F"/>
    <w:rsid w:val="00B80524"/>
    <w:rsid w:val="00B80E63"/>
    <w:rsid w:val="00B81D56"/>
    <w:rsid w:val="00B82FE1"/>
    <w:rsid w:val="00B836C1"/>
    <w:rsid w:val="00B86767"/>
    <w:rsid w:val="00B87612"/>
    <w:rsid w:val="00B9182E"/>
    <w:rsid w:val="00B92430"/>
    <w:rsid w:val="00B92ED5"/>
    <w:rsid w:val="00B930EB"/>
    <w:rsid w:val="00B93888"/>
    <w:rsid w:val="00B946B1"/>
    <w:rsid w:val="00B94B9F"/>
    <w:rsid w:val="00B9551D"/>
    <w:rsid w:val="00BA146C"/>
    <w:rsid w:val="00BA20BC"/>
    <w:rsid w:val="00BA425B"/>
    <w:rsid w:val="00BA4C7D"/>
    <w:rsid w:val="00BA5F00"/>
    <w:rsid w:val="00BA66B7"/>
    <w:rsid w:val="00BA6B2C"/>
    <w:rsid w:val="00BB220B"/>
    <w:rsid w:val="00BB25F1"/>
    <w:rsid w:val="00BB4694"/>
    <w:rsid w:val="00BB4B56"/>
    <w:rsid w:val="00BB6D72"/>
    <w:rsid w:val="00BB7D1E"/>
    <w:rsid w:val="00BC1E0D"/>
    <w:rsid w:val="00BC2713"/>
    <w:rsid w:val="00BC38D2"/>
    <w:rsid w:val="00BC7404"/>
    <w:rsid w:val="00BC7B2C"/>
    <w:rsid w:val="00BD0986"/>
    <w:rsid w:val="00BD16C2"/>
    <w:rsid w:val="00BD293D"/>
    <w:rsid w:val="00BD39F8"/>
    <w:rsid w:val="00BD5CDC"/>
    <w:rsid w:val="00BD620F"/>
    <w:rsid w:val="00BE3728"/>
    <w:rsid w:val="00BE38B4"/>
    <w:rsid w:val="00BE4E6A"/>
    <w:rsid w:val="00BE68A3"/>
    <w:rsid w:val="00BF3AFF"/>
    <w:rsid w:val="00BF67DC"/>
    <w:rsid w:val="00BF688B"/>
    <w:rsid w:val="00BF717F"/>
    <w:rsid w:val="00C0245C"/>
    <w:rsid w:val="00C074B4"/>
    <w:rsid w:val="00C07789"/>
    <w:rsid w:val="00C1070F"/>
    <w:rsid w:val="00C1455C"/>
    <w:rsid w:val="00C14C37"/>
    <w:rsid w:val="00C15E53"/>
    <w:rsid w:val="00C20171"/>
    <w:rsid w:val="00C20C09"/>
    <w:rsid w:val="00C223AE"/>
    <w:rsid w:val="00C22C1F"/>
    <w:rsid w:val="00C22CAA"/>
    <w:rsid w:val="00C24197"/>
    <w:rsid w:val="00C267D0"/>
    <w:rsid w:val="00C26D20"/>
    <w:rsid w:val="00C274D4"/>
    <w:rsid w:val="00C27829"/>
    <w:rsid w:val="00C309B2"/>
    <w:rsid w:val="00C32DEC"/>
    <w:rsid w:val="00C3435B"/>
    <w:rsid w:val="00C36182"/>
    <w:rsid w:val="00C36CF2"/>
    <w:rsid w:val="00C37ADB"/>
    <w:rsid w:val="00C4246A"/>
    <w:rsid w:val="00C43A14"/>
    <w:rsid w:val="00C43E47"/>
    <w:rsid w:val="00C44075"/>
    <w:rsid w:val="00C464AE"/>
    <w:rsid w:val="00C46BC5"/>
    <w:rsid w:val="00C47E01"/>
    <w:rsid w:val="00C5061A"/>
    <w:rsid w:val="00C51EEE"/>
    <w:rsid w:val="00C5264C"/>
    <w:rsid w:val="00C53672"/>
    <w:rsid w:val="00C543A6"/>
    <w:rsid w:val="00C55A2F"/>
    <w:rsid w:val="00C56C9C"/>
    <w:rsid w:val="00C57408"/>
    <w:rsid w:val="00C57536"/>
    <w:rsid w:val="00C577CE"/>
    <w:rsid w:val="00C6098B"/>
    <w:rsid w:val="00C65BA2"/>
    <w:rsid w:val="00C66199"/>
    <w:rsid w:val="00C7005E"/>
    <w:rsid w:val="00C70426"/>
    <w:rsid w:val="00C711DA"/>
    <w:rsid w:val="00C71DDA"/>
    <w:rsid w:val="00C72F3D"/>
    <w:rsid w:val="00C7466C"/>
    <w:rsid w:val="00C74FBE"/>
    <w:rsid w:val="00C75248"/>
    <w:rsid w:val="00C76100"/>
    <w:rsid w:val="00C7616C"/>
    <w:rsid w:val="00C7703D"/>
    <w:rsid w:val="00C77FAF"/>
    <w:rsid w:val="00C80F07"/>
    <w:rsid w:val="00C80F71"/>
    <w:rsid w:val="00C8104A"/>
    <w:rsid w:val="00C819EB"/>
    <w:rsid w:val="00C81F09"/>
    <w:rsid w:val="00C82B2B"/>
    <w:rsid w:val="00C82E1B"/>
    <w:rsid w:val="00C82EFB"/>
    <w:rsid w:val="00C8352E"/>
    <w:rsid w:val="00C837E0"/>
    <w:rsid w:val="00C83BF6"/>
    <w:rsid w:val="00C86B98"/>
    <w:rsid w:val="00C8711C"/>
    <w:rsid w:val="00C913DC"/>
    <w:rsid w:val="00C92A4D"/>
    <w:rsid w:val="00C92DA9"/>
    <w:rsid w:val="00C93B6F"/>
    <w:rsid w:val="00C9624F"/>
    <w:rsid w:val="00C97395"/>
    <w:rsid w:val="00CA1566"/>
    <w:rsid w:val="00CA2ABA"/>
    <w:rsid w:val="00CA2E35"/>
    <w:rsid w:val="00CA3B07"/>
    <w:rsid w:val="00CA3E9F"/>
    <w:rsid w:val="00CA444B"/>
    <w:rsid w:val="00CA5628"/>
    <w:rsid w:val="00CA61BE"/>
    <w:rsid w:val="00CA6EFA"/>
    <w:rsid w:val="00CA7449"/>
    <w:rsid w:val="00CA758C"/>
    <w:rsid w:val="00CB080B"/>
    <w:rsid w:val="00CB2922"/>
    <w:rsid w:val="00CB3628"/>
    <w:rsid w:val="00CB3F57"/>
    <w:rsid w:val="00CB3F82"/>
    <w:rsid w:val="00CB44E4"/>
    <w:rsid w:val="00CB504A"/>
    <w:rsid w:val="00CB556D"/>
    <w:rsid w:val="00CB64B2"/>
    <w:rsid w:val="00CB661C"/>
    <w:rsid w:val="00CB7FCB"/>
    <w:rsid w:val="00CC3A71"/>
    <w:rsid w:val="00CC5368"/>
    <w:rsid w:val="00CC5C22"/>
    <w:rsid w:val="00CD0782"/>
    <w:rsid w:val="00CD0FA6"/>
    <w:rsid w:val="00CD16EB"/>
    <w:rsid w:val="00CD189B"/>
    <w:rsid w:val="00CD2BED"/>
    <w:rsid w:val="00CD4737"/>
    <w:rsid w:val="00CD4DE0"/>
    <w:rsid w:val="00CD5419"/>
    <w:rsid w:val="00CD5C2D"/>
    <w:rsid w:val="00CE1909"/>
    <w:rsid w:val="00CE275B"/>
    <w:rsid w:val="00CE2AE0"/>
    <w:rsid w:val="00CE2F0A"/>
    <w:rsid w:val="00CE5658"/>
    <w:rsid w:val="00CE6620"/>
    <w:rsid w:val="00CE6B94"/>
    <w:rsid w:val="00CE7A43"/>
    <w:rsid w:val="00CF0B3F"/>
    <w:rsid w:val="00CF160F"/>
    <w:rsid w:val="00CF308F"/>
    <w:rsid w:val="00CF45A6"/>
    <w:rsid w:val="00CF5C48"/>
    <w:rsid w:val="00CF6AC6"/>
    <w:rsid w:val="00CF7C1A"/>
    <w:rsid w:val="00D00379"/>
    <w:rsid w:val="00D011E5"/>
    <w:rsid w:val="00D02001"/>
    <w:rsid w:val="00D02CD0"/>
    <w:rsid w:val="00D035B7"/>
    <w:rsid w:val="00D044DA"/>
    <w:rsid w:val="00D05142"/>
    <w:rsid w:val="00D060F2"/>
    <w:rsid w:val="00D06F7F"/>
    <w:rsid w:val="00D13141"/>
    <w:rsid w:val="00D14406"/>
    <w:rsid w:val="00D14A8D"/>
    <w:rsid w:val="00D16E36"/>
    <w:rsid w:val="00D179E2"/>
    <w:rsid w:val="00D17F39"/>
    <w:rsid w:val="00D2085B"/>
    <w:rsid w:val="00D22CB5"/>
    <w:rsid w:val="00D22D3C"/>
    <w:rsid w:val="00D232DC"/>
    <w:rsid w:val="00D2440E"/>
    <w:rsid w:val="00D246B8"/>
    <w:rsid w:val="00D24DAB"/>
    <w:rsid w:val="00D24E3A"/>
    <w:rsid w:val="00D255FF"/>
    <w:rsid w:val="00D30000"/>
    <w:rsid w:val="00D32228"/>
    <w:rsid w:val="00D3267C"/>
    <w:rsid w:val="00D33169"/>
    <w:rsid w:val="00D34A91"/>
    <w:rsid w:val="00D35A13"/>
    <w:rsid w:val="00D36B8A"/>
    <w:rsid w:val="00D36BD2"/>
    <w:rsid w:val="00D36E6C"/>
    <w:rsid w:val="00D3706E"/>
    <w:rsid w:val="00D3772B"/>
    <w:rsid w:val="00D37A74"/>
    <w:rsid w:val="00D43BBD"/>
    <w:rsid w:val="00D43F1B"/>
    <w:rsid w:val="00D451D3"/>
    <w:rsid w:val="00D47C8F"/>
    <w:rsid w:val="00D510D3"/>
    <w:rsid w:val="00D56CE0"/>
    <w:rsid w:val="00D57755"/>
    <w:rsid w:val="00D57D3B"/>
    <w:rsid w:val="00D6177E"/>
    <w:rsid w:val="00D62861"/>
    <w:rsid w:val="00D62EB8"/>
    <w:rsid w:val="00D65570"/>
    <w:rsid w:val="00D6576D"/>
    <w:rsid w:val="00D65DD3"/>
    <w:rsid w:val="00D66BC3"/>
    <w:rsid w:val="00D673A4"/>
    <w:rsid w:val="00D707A1"/>
    <w:rsid w:val="00D72A17"/>
    <w:rsid w:val="00D73204"/>
    <w:rsid w:val="00D76C42"/>
    <w:rsid w:val="00D77D8B"/>
    <w:rsid w:val="00D77FAD"/>
    <w:rsid w:val="00D80009"/>
    <w:rsid w:val="00D83BC4"/>
    <w:rsid w:val="00D865E0"/>
    <w:rsid w:val="00D87F54"/>
    <w:rsid w:val="00D9052C"/>
    <w:rsid w:val="00D90C7D"/>
    <w:rsid w:val="00D92F22"/>
    <w:rsid w:val="00D95E0B"/>
    <w:rsid w:val="00D97268"/>
    <w:rsid w:val="00D97396"/>
    <w:rsid w:val="00DA0C28"/>
    <w:rsid w:val="00DA0FBE"/>
    <w:rsid w:val="00DA14FD"/>
    <w:rsid w:val="00DA55FF"/>
    <w:rsid w:val="00DA5940"/>
    <w:rsid w:val="00DA5CCC"/>
    <w:rsid w:val="00DA5F5C"/>
    <w:rsid w:val="00DA71BC"/>
    <w:rsid w:val="00DB037A"/>
    <w:rsid w:val="00DB055D"/>
    <w:rsid w:val="00DB1659"/>
    <w:rsid w:val="00DB1F34"/>
    <w:rsid w:val="00DB5912"/>
    <w:rsid w:val="00DB6814"/>
    <w:rsid w:val="00DB7432"/>
    <w:rsid w:val="00DB7653"/>
    <w:rsid w:val="00DB7A0A"/>
    <w:rsid w:val="00DC0130"/>
    <w:rsid w:val="00DC0FE8"/>
    <w:rsid w:val="00DC3B2D"/>
    <w:rsid w:val="00DC53C9"/>
    <w:rsid w:val="00DC561E"/>
    <w:rsid w:val="00DC5B9F"/>
    <w:rsid w:val="00DC61C9"/>
    <w:rsid w:val="00DC704A"/>
    <w:rsid w:val="00DD02DA"/>
    <w:rsid w:val="00DD141F"/>
    <w:rsid w:val="00DD1991"/>
    <w:rsid w:val="00DD1B3B"/>
    <w:rsid w:val="00DD1CE6"/>
    <w:rsid w:val="00DD259A"/>
    <w:rsid w:val="00DD3D84"/>
    <w:rsid w:val="00DD4BCF"/>
    <w:rsid w:val="00DD4C40"/>
    <w:rsid w:val="00DD5411"/>
    <w:rsid w:val="00DE1DFA"/>
    <w:rsid w:val="00DE338A"/>
    <w:rsid w:val="00DE361F"/>
    <w:rsid w:val="00DE5286"/>
    <w:rsid w:val="00DE52C2"/>
    <w:rsid w:val="00DE583B"/>
    <w:rsid w:val="00DE5DE7"/>
    <w:rsid w:val="00DF1645"/>
    <w:rsid w:val="00DF1FBE"/>
    <w:rsid w:val="00DF2C36"/>
    <w:rsid w:val="00DF61EF"/>
    <w:rsid w:val="00DF7428"/>
    <w:rsid w:val="00E0184B"/>
    <w:rsid w:val="00E01B6E"/>
    <w:rsid w:val="00E03064"/>
    <w:rsid w:val="00E034C6"/>
    <w:rsid w:val="00E03B77"/>
    <w:rsid w:val="00E03E7A"/>
    <w:rsid w:val="00E048E7"/>
    <w:rsid w:val="00E055A1"/>
    <w:rsid w:val="00E11280"/>
    <w:rsid w:val="00E12077"/>
    <w:rsid w:val="00E124EC"/>
    <w:rsid w:val="00E13727"/>
    <w:rsid w:val="00E14087"/>
    <w:rsid w:val="00E1598D"/>
    <w:rsid w:val="00E15F09"/>
    <w:rsid w:val="00E17233"/>
    <w:rsid w:val="00E2101F"/>
    <w:rsid w:val="00E21632"/>
    <w:rsid w:val="00E223DD"/>
    <w:rsid w:val="00E22AA9"/>
    <w:rsid w:val="00E22AD0"/>
    <w:rsid w:val="00E22BF9"/>
    <w:rsid w:val="00E230FB"/>
    <w:rsid w:val="00E235BD"/>
    <w:rsid w:val="00E23ABE"/>
    <w:rsid w:val="00E244DA"/>
    <w:rsid w:val="00E25AD4"/>
    <w:rsid w:val="00E260D5"/>
    <w:rsid w:val="00E26F32"/>
    <w:rsid w:val="00E26F4A"/>
    <w:rsid w:val="00E27D5F"/>
    <w:rsid w:val="00E31F66"/>
    <w:rsid w:val="00E33A8B"/>
    <w:rsid w:val="00E341B4"/>
    <w:rsid w:val="00E3462D"/>
    <w:rsid w:val="00E35A26"/>
    <w:rsid w:val="00E35FD0"/>
    <w:rsid w:val="00E36F56"/>
    <w:rsid w:val="00E37B3B"/>
    <w:rsid w:val="00E42886"/>
    <w:rsid w:val="00E42CEA"/>
    <w:rsid w:val="00E442B7"/>
    <w:rsid w:val="00E45E23"/>
    <w:rsid w:val="00E46DEA"/>
    <w:rsid w:val="00E46E2D"/>
    <w:rsid w:val="00E47C26"/>
    <w:rsid w:val="00E50BCB"/>
    <w:rsid w:val="00E5248D"/>
    <w:rsid w:val="00E528D3"/>
    <w:rsid w:val="00E53A76"/>
    <w:rsid w:val="00E5417E"/>
    <w:rsid w:val="00E54D6F"/>
    <w:rsid w:val="00E57A92"/>
    <w:rsid w:val="00E607A5"/>
    <w:rsid w:val="00E60AEA"/>
    <w:rsid w:val="00E6293B"/>
    <w:rsid w:val="00E63BC1"/>
    <w:rsid w:val="00E64FDF"/>
    <w:rsid w:val="00E6616F"/>
    <w:rsid w:val="00E673F6"/>
    <w:rsid w:val="00E705CD"/>
    <w:rsid w:val="00E705D7"/>
    <w:rsid w:val="00E71D3A"/>
    <w:rsid w:val="00E72AA2"/>
    <w:rsid w:val="00E72EB0"/>
    <w:rsid w:val="00E73525"/>
    <w:rsid w:val="00E763E3"/>
    <w:rsid w:val="00E77733"/>
    <w:rsid w:val="00E80081"/>
    <w:rsid w:val="00E81831"/>
    <w:rsid w:val="00E819FF"/>
    <w:rsid w:val="00E81B9B"/>
    <w:rsid w:val="00E820C4"/>
    <w:rsid w:val="00E832FB"/>
    <w:rsid w:val="00E842AD"/>
    <w:rsid w:val="00E85228"/>
    <w:rsid w:val="00E93734"/>
    <w:rsid w:val="00E9617D"/>
    <w:rsid w:val="00E974B7"/>
    <w:rsid w:val="00E97E03"/>
    <w:rsid w:val="00E97F59"/>
    <w:rsid w:val="00EA073D"/>
    <w:rsid w:val="00EA082C"/>
    <w:rsid w:val="00EA117F"/>
    <w:rsid w:val="00EA14B5"/>
    <w:rsid w:val="00EA200F"/>
    <w:rsid w:val="00EA276C"/>
    <w:rsid w:val="00EA293D"/>
    <w:rsid w:val="00EA5E4C"/>
    <w:rsid w:val="00EA5F65"/>
    <w:rsid w:val="00EA604B"/>
    <w:rsid w:val="00EA685C"/>
    <w:rsid w:val="00EA6E00"/>
    <w:rsid w:val="00EA71D3"/>
    <w:rsid w:val="00EA78C1"/>
    <w:rsid w:val="00EA7CBB"/>
    <w:rsid w:val="00EB010E"/>
    <w:rsid w:val="00EB02CD"/>
    <w:rsid w:val="00EB02E8"/>
    <w:rsid w:val="00EB22BF"/>
    <w:rsid w:val="00EB30DA"/>
    <w:rsid w:val="00EB4C24"/>
    <w:rsid w:val="00EB56C6"/>
    <w:rsid w:val="00EB5F6A"/>
    <w:rsid w:val="00EB6615"/>
    <w:rsid w:val="00EB7723"/>
    <w:rsid w:val="00EC0719"/>
    <w:rsid w:val="00EC2874"/>
    <w:rsid w:val="00EC4FED"/>
    <w:rsid w:val="00EC5A7F"/>
    <w:rsid w:val="00EC6BE7"/>
    <w:rsid w:val="00EC6F09"/>
    <w:rsid w:val="00ED06E8"/>
    <w:rsid w:val="00ED1146"/>
    <w:rsid w:val="00ED1B9F"/>
    <w:rsid w:val="00ED25EF"/>
    <w:rsid w:val="00ED2610"/>
    <w:rsid w:val="00ED29F0"/>
    <w:rsid w:val="00ED3327"/>
    <w:rsid w:val="00ED409E"/>
    <w:rsid w:val="00ED5D8C"/>
    <w:rsid w:val="00ED6038"/>
    <w:rsid w:val="00EE0A06"/>
    <w:rsid w:val="00EE0C63"/>
    <w:rsid w:val="00EE602F"/>
    <w:rsid w:val="00EE6C20"/>
    <w:rsid w:val="00EE70A2"/>
    <w:rsid w:val="00EF2BA2"/>
    <w:rsid w:val="00EF5380"/>
    <w:rsid w:val="00EF5F48"/>
    <w:rsid w:val="00EF6C3F"/>
    <w:rsid w:val="00EF6E1F"/>
    <w:rsid w:val="00F0003A"/>
    <w:rsid w:val="00F00074"/>
    <w:rsid w:val="00F03C20"/>
    <w:rsid w:val="00F0480E"/>
    <w:rsid w:val="00F04A24"/>
    <w:rsid w:val="00F061C3"/>
    <w:rsid w:val="00F062B2"/>
    <w:rsid w:val="00F0696F"/>
    <w:rsid w:val="00F0780D"/>
    <w:rsid w:val="00F07823"/>
    <w:rsid w:val="00F10378"/>
    <w:rsid w:val="00F1194F"/>
    <w:rsid w:val="00F11CD4"/>
    <w:rsid w:val="00F12E1A"/>
    <w:rsid w:val="00F13619"/>
    <w:rsid w:val="00F16880"/>
    <w:rsid w:val="00F16927"/>
    <w:rsid w:val="00F1718A"/>
    <w:rsid w:val="00F2122A"/>
    <w:rsid w:val="00F225FC"/>
    <w:rsid w:val="00F22ABE"/>
    <w:rsid w:val="00F22CC5"/>
    <w:rsid w:val="00F231FB"/>
    <w:rsid w:val="00F23580"/>
    <w:rsid w:val="00F264D9"/>
    <w:rsid w:val="00F26C38"/>
    <w:rsid w:val="00F27C13"/>
    <w:rsid w:val="00F31AA3"/>
    <w:rsid w:val="00F34A3B"/>
    <w:rsid w:val="00F3557F"/>
    <w:rsid w:val="00F3587A"/>
    <w:rsid w:val="00F35D64"/>
    <w:rsid w:val="00F4044D"/>
    <w:rsid w:val="00F40AA6"/>
    <w:rsid w:val="00F410B4"/>
    <w:rsid w:val="00F42306"/>
    <w:rsid w:val="00F43255"/>
    <w:rsid w:val="00F4492D"/>
    <w:rsid w:val="00F44EF4"/>
    <w:rsid w:val="00F47754"/>
    <w:rsid w:val="00F5012C"/>
    <w:rsid w:val="00F51E99"/>
    <w:rsid w:val="00F52A7D"/>
    <w:rsid w:val="00F544A1"/>
    <w:rsid w:val="00F5455F"/>
    <w:rsid w:val="00F55064"/>
    <w:rsid w:val="00F5553B"/>
    <w:rsid w:val="00F55C4C"/>
    <w:rsid w:val="00F60C14"/>
    <w:rsid w:val="00F60C82"/>
    <w:rsid w:val="00F6174A"/>
    <w:rsid w:val="00F61F38"/>
    <w:rsid w:val="00F622AC"/>
    <w:rsid w:val="00F625A0"/>
    <w:rsid w:val="00F62ECB"/>
    <w:rsid w:val="00F6485F"/>
    <w:rsid w:val="00F6578A"/>
    <w:rsid w:val="00F658E4"/>
    <w:rsid w:val="00F674D7"/>
    <w:rsid w:val="00F67B0C"/>
    <w:rsid w:val="00F705BD"/>
    <w:rsid w:val="00F70732"/>
    <w:rsid w:val="00F70FDD"/>
    <w:rsid w:val="00F71C67"/>
    <w:rsid w:val="00F71F1B"/>
    <w:rsid w:val="00F72736"/>
    <w:rsid w:val="00F72C94"/>
    <w:rsid w:val="00F7372F"/>
    <w:rsid w:val="00F771A7"/>
    <w:rsid w:val="00F81748"/>
    <w:rsid w:val="00F82284"/>
    <w:rsid w:val="00F8344F"/>
    <w:rsid w:val="00F84529"/>
    <w:rsid w:val="00F8502A"/>
    <w:rsid w:val="00F87BF8"/>
    <w:rsid w:val="00F90F10"/>
    <w:rsid w:val="00F91AEC"/>
    <w:rsid w:val="00F941F3"/>
    <w:rsid w:val="00F95D2A"/>
    <w:rsid w:val="00FA041B"/>
    <w:rsid w:val="00FA1E1B"/>
    <w:rsid w:val="00FA2A51"/>
    <w:rsid w:val="00FA4951"/>
    <w:rsid w:val="00FA6753"/>
    <w:rsid w:val="00FA67C0"/>
    <w:rsid w:val="00FA6FE3"/>
    <w:rsid w:val="00FA781E"/>
    <w:rsid w:val="00FA78FE"/>
    <w:rsid w:val="00FA7CE2"/>
    <w:rsid w:val="00FA7E7A"/>
    <w:rsid w:val="00FB076E"/>
    <w:rsid w:val="00FB0F1B"/>
    <w:rsid w:val="00FB1C7C"/>
    <w:rsid w:val="00FB29C3"/>
    <w:rsid w:val="00FB30A9"/>
    <w:rsid w:val="00FB4F8B"/>
    <w:rsid w:val="00FB5AAA"/>
    <w:rsid w:val="00FB5C25"/>
    <w:rsid w:val="00FB6BC7"/>
    <w:rsid w:val="00FB7EC0"/>
    <w:rsid w:val="00FC0593"/>
    <w:rsid w:val="00FC0795"/>
    <w:rsid w:val="00FC0B81"/>
    <w:rsid w:val="00FC0C37"/>
    <w:rsid w:val="00FC0C4F"/>
    <w:rsid w:val="00FC1D81"/>
    <w:rsid w:val="00FC258F"/>
    <w:rsid w:val="00FC2BF7"/>
    <w:rsid w:val="00FC425E"/>
    <w:rsid w:val="00FC4B1C"/>
    <w:rsid w:val="00FC4FF8"/>
    <w:rsid w:val="00FC539E"/>
    <w:rsid w:val="00FC57FB"/>
    <w:rsid w:val="00FC60C6"/>
    <w:rsid w:val="00FD0B98"/>
    <w:rsid w:val="00FD0C43"/>
    <w:rsid w:val="00FD2F3F"/>
    <w:rsid w:val="00FD38A1"/>
    <w:rsid w:val="00FD41E3"/>
    <w:rsid w:val="00FD5EE9"/>
    <w:rsid w:val="00FD5F2E"/>
    <w:rsid w:val="00FD6F65"/>
    <w:rsid w:val="00FD7291"/>
    <w:rsid w:val="00FD7DF9"/>
    <w:rsid w:val="00FE0EAA"/>
    <w:rsid w:val="00FE1563"/>
    <w:rsid w:val="00FE22EA"/>
    <w:rsid w:val="00FE550D"/>
    <w:rsid w:val="00FE5CC1"/>
    <w:rsid w:val="00FE6656"/>
    <w:rsid w:val="00FE75CF"/>
    <w:rsid w:val="00FF15C0"/>
    <w:rsid w:val="00FF2793"/>
    <w:rsid w:val="00FF290A"/>
    <w:rsid w:val="00FF300E"/>
    <w:rsid w:val="00FF313E"/>
    <w:rsid w:val="00FF3389"/>
    <w:rsid w:val="00FF3FEE"/>
    <w:rsid w:val="00FF5345"/>
    <w:rsid w:val="00FF5E9E"/>
    <w:rsid w:val="00FF5FE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5677CAD"/>
  <w15:docId w15:val="{F211872E-F100-4F9B-8308-86A2993336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iPriority="0"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6432"/>
    <w:pPr>
      <w:widowControl w:val="0"/>
      <w:autoSpaceDE w:val="0"/>
      <w:autoSpaceDN w:val="0"/>
      <w:adjustRightInd w:val="0"/>
      <w:spacing w:after="240"/>
      <w:jc w:val="both"/>
    </w:pPr>
    <w:rPr>
      <w:sz w:val="24"/>
      <w:szCs w:val="24"/>
      <w:lang w:val="en-GB"/>
    </w:rPr>
  </w:style>
  <w:style w:type="paragraph" w:styleId="Heading1">
    <w:name w:val="heading 1"/>
    <w:aliases w:val="ESR Heading 1,Kop 1 Char"/>
    <w:next w:val="BodyText"/>
    <w:link w:val="Heading1Char"/>
    <w:qFormat/>
    <w:rsid w:val="00830850"/>
    <w:pPr>
      <w:keepNext/>
      <w:numPr>
        <w:numId w:val="7"/>
      </w:numPr>
      <w:tabs>
        <w:tab w:val="left" w:pos="839"/>
      </w:tabs>
      <w:spacing w:before="360" w:after="200"/>
      <w:outlineLvl w:val="0"/>
    </w:pPr>
    <w:rPr>
      <w:rFonts w:ascii="Times New Roman Bold" w:hAnsi="Times New Roman Bold"/>
      <w:b/>
      <w:caps/>
      <w:sz w:val="24"/>
      <w:lang w:val="en-GB"/>
    </w:rPr>
  </w:style>
  <w:style w:type="paragraph" w:styleId="Heading2">
    <w:name w:val="heading 2"/>
    <w:aliases w:val=" Char7"/>
    <w:basedOn w:val="Heading1"/>
    <w:next w:val="BodyText"/>
    <w:link w:val="Heading2Char"/>
    <w:qFormat/>
    <w:rsid w:val="00830850"/>
    <w:pPr>
      <w:numPr>
        <w:ilvl w:val="1"/>
      </w:numPr>
      <w:tabs>
        <w:tab w:val="clear" w:pos="1077"/>
      </w:tabs>
      <w:jc w:val="both"/>
      <w:outlineLvl w:val="1"/>
    </w:pPr>
    <w:rPr>
      <w:caps w:val="0"/>
    </w:rPr>
  </w:style>
  <w:style w:type="paragraph" w:styleId="Heading3">
    <w:name w:val="heading 3"/>
    <w:aliases w:val="Char4, Char6"/>
    <w:basedOn w:val="Heading2"/>
    <w:next w:val="BodyText"/>
    <w:link w:val="Heading3Char"/>
    <w:qFormat/>
    <w:rsid w:val="00830850"/>
    <w:pPr>
      <w:numPr>
        <w:ilvl w:val="2"/>
      </w:numPr>
      <w:tabs>
        <w:tab w:val="clear" w:pos="1077"/>
        <w:tab w:val="num" w:pos="3062"/>
      </w:tabs>
      <w:jc w:val="left"/>
      <w:outlineLvl w:val="2"/>
    </w:pPr>
  </w:style>
  <w:style w:type="paragraph" w:styleId="Heading4">
    <w:name w:val="heading 4"/>
    <w:aliases w:val="Char3, Char5"/>
    <w:basedOn w:val="Heading3"/>
    <w:next w:val="BodyText"/>
    <w:link w:val="Heading4Char"/>
    <w:qFormat/>
    <w:rsid w:val="00830850"/>
    <w:pPr>
      <w:numPr>
        <w:ilvl w:val="3"/>
      </w:numPr>
      <w:outlineLvl w:val="3"/>
    </w:pPr>
  </w:style>
  <w:style w:type="paragraph" w:styleId="Heading5">
    <w:name w:val="heading 5"/>
    <w:aliases w:val="Kop 5 Char, Char4 Char"/>
    <w:basedOn w:val="Heading4"/>
    <w:next w:val="BodyText"/>
    <w:link w:val="Heading5Char"/>
    <w:qFormat/>
    <w:rsid w:val="00830850"/>
    <w:pPr>
      <w:numPr>
        <w:ilvl w:val="4"/>
      </w:numPr>
      <w:tabs>
        <w:tab w:val="clear" w:pos="1843"/>
        <w:tab w:val="left" w:pos="1077"/>
      </w:tabs>
      <w:outlineLvl w:val="4"/>
    </w:pPr>
  </w:style>
  <w:style w:type="paragraph" w:styleId="Heading6">
    <w:name w:val="heading 6"/>
    <w:aliases w:val="Heading 6 Char,Kop 6 Char Char,Kop 6 Char1 Char2,Kop 6 Char1 Char Char,Kop 6 Char1 Char Char Char Char,Kop 6 Char Char Char Char Char Char,Kop 6 Char1 Char1 Char,Kop 6 Char Char Char1 Char,Kop 6 Char,Kop 6 Char1,Kop 6 Char1 Char"/>
    <w:next w:val="BodyText"/>
    <w:link w:val="Heading6Char1"/>
    <w:qFormat/>
    <w:rsid w:val="00830850"/>
    <w:pPr>
      <w:keepNext/>
      <w:spacing w:after="200"/>
      <w:outlineLvl w:val="5"/>
    </w:pPr>
    <w:rPr>
      <w:rFonts w:ascii="Times New Roman Bold" w:hAnsi="Times New Roman Bold"/>
      <w:b/>
      <w:caps/>
      <w:sz w:val="24"/>
      <w:lang w:val="en-GB"/>
    </w:rPr>
  </w:style>
  <w:style w:type="paragraph" w:styleId="Heading7">
    <w:name w:val="heading 7"/>
    <w:next w:val="BodyText"/>
    <w:link w:val="Heading7Char"/>
    <w:qFormat/>
    <w:rsid w:val="00830850"/>
    <w:pPr>
      <w:keepNext/>
      <w:spacing w:after="180"/>
      <w:outlineLvl w:val="6"/>
    </w:pPr>
    <w:rPr>
      <w:rFonts w:ascii="Times New Roman Bold" w:hAnsi="Times New Roman Bold"/>
      <w:b/>
      <w:sz w:val="24"/>
      <w:lang w:val="en-GB"/>
    </w:rPr>
  </w:style>
  <w:style w:type="paragraph" w:styleId="Heading8">
    <w:name w:val="heading 8"/>
    <w:next w:val="BodyText"/>
    <w:link w:val="Heading8Char"/>
    <w:qFormat/>
    <w:rsid w:val="00830850"/>
    <w:pPr>
      <w:keepNext/>
      <w:spacing w:after="180"/>
      <w:outlineLvl w:val="7"/>
    </w:pPr>
    <w:rPr>
      <w:sz w:val="24"/>
      <w:szCs w:val="24"/>
      <w:u w:val="single"/>
      <w:lang w:val="en-GB"/>
    </w:rPr>
  </w:style>
  <w:style w:type="paragraph" w:styleId="Heading9">
    <w:name w:val="heading 9"/>
    <w:aliases w:val="Kop 9 Char1,Heading 9 Char Char,Kop 9 Char Char Char,Kop 9 Char Char1"/>
    <w:next w:val="BodyText"/>
    <w:link w:val="Heading9Char"/>
    <w:qFormat/>
    <w:rsid w:val="00830850"/>
    <w:pPr>
      <w:keepNext/>
      <w:spacing w:after="180"/>
      <w:outlineLvl w:val="8"/>
    </w:pPr>
    <w:rPr>
      <w:i/>
      <w:sz w:val="24"/>
      <w:szCs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Platte tekst Char Char2,Platte tekst Char Char Char1,Platte tekst Char1 Char1,Body Text Char1 Char,Body Text Char2,Platte tekst Char Char2 Char,Platte tekst Char Char Char1 Char,Platte tekst Char1 Char1 Char,Platte tekst Char,C"/>
    <w:link w:val="BodyTextChar"/>
    <w:rsid w:val="00830850"/>
    <w:pPr>
      <w:spacing w:after="180"/>
      <w:jc w:val="both"/>
    </w:pPr>
    <w:rPr>
      <w:sz w:val="24"/>
      <w:lang w:val="en-GB"/>
    </w:rPr>
  </w:style>
  <w:style w:type="paragraph" w:customStyle="1" w:styleId="Tabletitle">
    <w:name w:val="Table title"/>
    <w:basedOn w:val="Normal"/>
    <w:next w:val="Normal"/>
    <w:rsid w:val="00830850"/>
  </w:style>
  <w:style w:type="paragraph" w:customStyle="1" w:styleId="Tabletext">
    <w:name w:val="Table text"/>
    <w:link w:val="TabletextCar"/>
    <w:rsid w:val="00830850"/>
    <w:pPr>
      <w:keepNext/>
      <w:keepLines/>
      <w:spacing w:before="54" w:after="54"/>
    </w:pPr>
    <w:rPr>
      <w:snapToGrid w:val="0"/>
      <w:lang w:eastAsia="da-DK"/>
    </w:rPr>
  </w:style>
  <w:style w:type="paragraph" w:styleId="TOC6">
    <w:name w:val="toc 6"/>
    <w:basedOn w:val="TOC1"/>
    <w:next w:val="Normal"/>
    <w:qFormat/>
    <w:rsid w:val="00830850"/>
    <w:pPr>
      <w:tabs>
        <w:tab w:val="clear" w:pos="284"/>
      </w:tabs>
    </w:pPr>
  </w:style>
  <w:style w:type="paragraph" w:styleId="TOC1">
    <w:name w:val="toc 1"/>
    <w:next w:val="BodyText"/>
    <w:uiPriority w:val="39"/>
    <w:qFormat/>
    <w:rsid w:val="00830850"/>
    <w:pPr>
      <w:tabs>
        <w:tab w:val="left" w:pos="284"/>
        <w:tab w:val="left" w:leader="dot" w:pos="9214"/>
        <w:tab w:val="right" w:pos="9639"/>
      </w:tabs>
      <w:spacing w:before="240"/>
    </w:pPr>
    <w:rPr>
      <w:caps/>
      <w:noProof/>
    </w:rPr>
  </w:style>
  <w:style w:type="paragraph" w:styleId="BlockText">
    <w:name w:val="Block Text"/>
    <w:basedOn w:val="BodyText"/>
    <w:next w:val="BodyText"/>
    <w:link w:val="BlockTextChar"/>
    <w:rsid w:val="00830850"/>
    <w:pPr>
      <w:ind w:left="1440" w:right="1440"/>
    </w:pPr>
  </w:style>
  <w:style w:type="paragraph" w:styleId="BodyText2">
    <w:name w:val="Body Text 2"/>
    <w:aliases w:val="Platte tekst 2 Char,Char8 Char"/>
    <w:basedOn w:val="BodyText"/>
    <w:link w:val="BodyText2Char2"/>
    <w:rsid w:val="00830850"/>
    <w:pPr>
      <w:suppressAutoHyphens/>
      <w:spacing w:after="0"/>
    </w:pPr>
  </w:style>
  <w:style w:type="paragraph" w:styleId="Caption">
    <w:name w:val="caption"/>
    <w:aliases w:val="Bijschrift Char Char4,Bijschrift Char Char Char3,Char9 Char Char Char2,Char9 Char Char1,Char9 Char1,Char9 Char2,Char9 Char Char Char Char2,Bijschrift Char1 Char2,Char9 Char Char1 Char1,Bijschrift Char,Bijschrift Char Char,Char9 normal,Char"/>
    <w:next w:val="BodyText"/>
    <w:link w:val="CaptionChar"/>
    <w:qFormat/>
    <w:rsid w:val="00830850"/>
    <w:pPr>
      <w:keepNext/>
      <w:spacing w:before="360" w:after="90"/>
      <w:ind w:left="839"/>
    </w:pPr>
    <w:rPr>
      <w:rFonts w:ascii="Times New Roman Bold" w:hAnsi="Times New Roman Bold"/>
      <w:b/>
      <w:bCs/>
      <w:sz w:val="24"/>
    </w:rPr>
  </w:style>
  <w:style w:type="paragraph" w:styleId="Title">
    <w:name w:val="Title"/>
    <w:next w:val="BodyText"/>
    <w:link w:val="TitleChar"/>
    <w:qFormat/>
    <w:rsid w:val="00830850"/>
    <w:pPr>
      <w:spacing w:before="3120" w:after="320"/>
      <w:jc w:val="center"/>
      <w:outlineLvl w:val="0"/>
    </w:pPr>
    <w:rPr>
      <w:rFonts w:ascii="Algerian" w:hAnsi="Algerian" w:cs="Arial"/>
      <w:b/>
      <w:bCs/>
      <w:i/>
      <w:kern w:val="28"/>
      <w:sz w:val="72"/>
      <w:szCs w:val="32"/>
      <w:lang w:val="en-GB"/>
    </w:rPr>
  </w:style>
  <w:style w:type="paragraph" w:styleId="Subtitle">
    <w:name w:val="Subtitle"/>
    <w:next w:val="BodyText"/>
    <w:link w:val="SubtitleChar"/>
    <w:qFormat/>
    <w:rsid w:val="00830850"/>
    <w:pPr>
      <w:jc w:val="center"/>
      <w:outlineLvl w:val="1"/>
    </w:pPr>
    <w:rPr>
      <w:rFonts w:ascii="Algerian" w:hAnsi="Algerian"/>
      <w:b/>
      <w:i/>
      <w:sz w:val="40"/>
    </w:rPr>
  </w:style>
  <w:style w:type="paragraph" w:styleId="BodyText3">
    <w:name w:val="Body Text 3"/>
    <w:basedOn w:val="BodyText"/>
    <w:link w:val="BodyText3Char"/>
    <w:rsid w:val="00830850"/>
    <w:pPr>
      <w:spacing w:after="140"/>
    </w:pPr>
    <w:rPr>
      <w:sz w:val="20"/>
    </w:rPr>
  </w:style>
  <w:style w:type="paragraph" w:styleId="TOC2">
    <w:name w:val="toc 2"/>
    <w:basedOn w:val="TOC1"/>
    <w:next w:val="BodyText"/>
    <w:uiPriority w:val="39"/>
    <w:qFormat/>
    <w:rsid w:val="00830850"/>
    <w:pPr>
      <w:tabs>
        <w:tab w:val="clear" w:pos="284"/>
        <w:tab w:val="left" w:pos="709"/>
      </w:tabs>
      <w:ind w:left="709" w:hanging="425"/>
    </w:pPr>
    <w:rPr>
      <w:caps w:val="0"/>
    </w:rPr>
  </w:style>
  <w:style w:type="paragraph" w:styleId="TOC3">
    <w:name w:val="toc 3"/>
    <w:basedOn w:val="TOC2"/>
    <w:next w:val="BodyText"/>
    <w:qFormat/>
    <w:rsid w:val="00830850"/>
    <w:pPr>
      <w:tabs>
        <w:tab w:val="clear" w:pos="709"/>
        <w:tab w:val="left" w:pos="1276"/>
      </w:tabs>
      <w:spacing w:before="0"/>
      <w:ind w:left="1276" w:hanging="567"/>
    </w:pPr>
  </w:style>
  <w:style w:type="paragraph" w:styleId="TOC4">
    <w:name w:val="toc 4"/>
    <w:basedOn w:val="TOC3"/>
    <w:next w:val="BodyText"/>
    <w:qFormat/>
    <w:rsid w:val="00830850"/>
    <w:pPr>
      <w:tabs>
        <w:tab w:val="clear" w:pos="1276"/>
        <w:tab w:val="left" w:pos="1985"/>
      </w:tabs>
      <w:ind w:left="1985" w:hanging="709"/>
    </w:pPr>
  </w:style>
  <w:style w:type="paragraph" w:styleId="TOC5">
    <w:name w:val="toc 5"/>
    <w:basedOn w:val="TOC1"/>
    <w:next w:val="BodyText"/>
    <w:qFormat/>
    <w:rsid w:val="00830850"/>
    <w:pPr>
      <w:tabs>
        <w:tab w:val="clear" w:pos="284"/>
      </w:tabs>
      <w:spacing w:before="0"/>
    </w:pPr>
    <w:rPr>
      <w:bCs/>
      <w:caps w:val="0"/>
      <w:lang w:val="en-GB"/>
    </w:rPr>
  </w:style>
  <w:style w:type="paragraph" w:styleId="TableofFigures">
    <w:name w:val="table of figures"/>
    <w:next w:val="BodyText"/>
    <w:uiPriority w:val="99"/>
    <w:rsid w:val="00830850"/>
    <w:pPr>
      <w:tabs>
        <w:tab w:val="left" w:leader="dot" w:pos="9214"/>
        <w:tab w:val="right" w:pos="9639"/>
      </w:tabs>
    </w:pPr>
  </w:style>
  <w:style w:type="paragraph" w:customStyle="1" w:styleId="Tablenote">
    <w:name w:val="Table note"/>
    <w:next w:val="BodyText"/>
    <w:link w:val="TablenoteChar1"/>
    <w:rsid w:val="00830850"/>
    <w:pPr>
      <w:spacing w:before="90"/>
      <w:ind w:left="839"/>
      <w:jc w:val="both"/>
    </w:pPr>
    <w:rPr>
      <w:spacing w:val="-3"/>
    </w:rPr>
  </w:style>
  <w:style w:type="paragraph" w:styleId="Header">
    <w:name w:val="header"/>
    <w:aliases w:val="Char1"/>
    <w:link w:val="HeaderChar"/>
    <w:uiPriority w:val="99"/>
    <w:rsid w:val="00830850"/>
    <w:pPr>
      <w:widowControl w:val="0"/>
      <w:pBdr>
        <w:bottom w:val="single" w:sz="6" w:space="2" w:color="auto"/>
      </w:pBdr>
      <w:tabs>
        <w:tab w:val="center" w:pos="4820"/>
        <w:tab w:val="right" w:pos="9639"/>
      </w:tabs>
    </w:pPr>
    <w:rPr>
      <w:caps/>
      <w:noProof/>
      <w:sz w:val="24"/>
    </w:rPr>
  </w:style>
  <w:style w:type="paragraph" w:styleId="ListBullet">
    <w:name w:val="List Bullet"/>
    <w:next w:val="BodyText"/>
    <w:link w:val="ListBulletChar"/>
    <w:rsid w:val="00830850"/>
    <w:pPr>
      <w:numPr>
        <w:numId w:val="1"/>
      </w:numPr>
      <w:tabs>
        <w:tab w:val="clear" w:pos="425"/>
        <w:tab w:val="left" w:pos="357"/>
      </w:tabs>
      <w:ind w:left="357" w:hanging="357"/>
      <w:jc w:val="both"/>
    </w:pPr>
    <w:rPr>
      <w:sz w:val="24"/>
    </w:rPr>
  </w:style>
  <w:style w:type="paragraph" w:styleId="ListNumber">
    <w:name w:val="List Number"/>
    <w:next w:val="BodyText"/>
    <w:link w:val="ListNumberChar"/>
    <w:rsid w:val="00830850"/>
    <w:pPr>
      <w:numPr>
        <w:numId w:val="6"/>
      </w:numPr>
      <w:tabs>
        <w:tab w:val="clear" w:pos="720"/>
        <w:tab w:val="left" w:pos="357"/>
      </w:tabs>
      <w:ind w:left="357" w:hanging="357"/>
      <w:jc w:val="both"/>
    </w:pPr>
    <w:rPr>
      <w:sz w:val="24"/>
    </w:rPr>
  </w:style>
  <w:style w:type="paragraph" w:styleId="Footer">
    <w:name w:val="footer"/>
    <w:aliases w:val="f,Footer Char,f Char,Voettekst Char Char,Voettekst Char,Voettekst Char1"/>
    <w:basedOn w:val="Header"/>
    <w:link w:val="FooterChar1"/>
    <w:uiPriority w:val="99"/>
    <w:rsid w:val="00830850"/>
    <w:pPr>
      <w:pBdr>
        <w:top w:val="single" w:sz="6" w:space="2" w:color="auto"/>
        <w:bottom w:val="none" w:sz="0" w:space="0" w:color="auto"/>
      </w:pBdr>
    </w:pPr>
    <w:rPr>
      <w:caps w:val="0"/>
      <w:sz w:val="20"/>
    </w:rPr>
  </w:style>
  <w:style w:type="character" w:styleId="PageNumber">
    <w:name w:val="page number"/>
    <w:rsid w:val="00830850"/>
    <w:rPr>
      <w:rFonts w:ascii="Times New Roman" w:hAnsi="Times New Roman"/>
      <w:sz w:val="20"/>
    </w:rPr>
  </w:style>
  <w:style w:type="paragraph" w:styleId="TOC7">
    <w:name w:val="toc 7"/>
    <w:basedOn w:val="Normal"/>
    <w:next w:val="Normal"/>
    <w:autoRedefine/>
    <w:qFormat/>
    <w:rsid w:val="00830850"/>
    <w:pPr>
      <w:ind w:left="1440"/>
    </w:pPr>
  </w:style>
  <w:style w:type="paragraph" w:styleId="BodyTextFirstIndent">
    <w:name w:val="Body Text First Indent"/>
    <w:basedOn w:val="BodyText"/>
    <w:link w:val="BodyTextFirstIndentChar"/>
    <w:rsid w:val="00830850"/>
    <w:pPr>
      <w:ind w:firstLine="210"/>
    </w:pPr>
    <w:rPr>
      <w:szCs w:val="24"/>
    </w:rPr>
  </w:style>
  <w:style w:type="paragraph" w:styleId="BodyTextIndent">
    <w:name w:val="Body Text Indent"/>
    <w:next w:val="BodyText"/>
    <w:link w:val="BodyTextIndentChar"/>
    <w:rsid w:val="00830850"/>
    <w:pPr>
      <w:spacing w:after="180"/>
      <w:ind w:left="357"/>
      <w:jc w:val="both"/>
    </w:pPr>
    <w:rPr>
      <w:sz w:val="24"/>
      <w:lang w:val="en-GB"/>
    </w:rPr>
  </w:style>
  <w:style w:type="paragraph" w:styleId="BodyTextFirstIndent2">
    <w:name w:val="Body Text First Indent 2"/>
    <w:basedOn w:val="BodyTextIndent"/>
    <w:link w:val="BodyTextFirstIndent2Char"/>
    <w:rsid w:val="00830850"/>
    <w:pPr>
      <w:ind w:firstLine="210"/>
    </w:pPr>
  </w:style>
  <w:style w:type="paragraph" w:styleId="EndnoteText">
    <w:name w:val="endnote text"/>
    <w:link w:val="EndnoteTextChar"/>
    <w:rsid w:val="00830850"/>
    <w:rPr>
      <w:lang w:val="en-GB"/>
    </w:rPr>
  </w:style>
  <w:style w:type="paragraph" w:styleId="FootnoteText">
    <w:name w:val="footnote text"/>
    <w:basedOn w:val="BodyText3"/>
    <w:link w:val="FootnoteTextChar"/>
    <w:uiPriority w:val="99"/>
    <w:rsid w:val="00830850"/>
  </w:style>
  <w:style w:type="paragraph" w:styleId="Index2">
    <w:name w:val="index 2"/>
    <w:basedOn w:val="Normal"/>
    <w:next w:val="Normal"/>
    <w:autoRedefine/>
    <w:semiHidden/>
    <w:rsid w:val="00830850"/>
    <w:pPr>
      <w:ind w:left="480" w:hanging="240"/>
    </w:pPr>
  </w:style>
  <w:style w:type="paragraph" w:customStyle="1" w:styleId="CoverTitle">
    <w:name w:val="Cover Title"/>
    <w:basedOn w:val="BodyText"/>
    <w:next w:val="BodyText"/>
    <w:rsid w:val="00830850"/>
    <w:pPr>
      <w:spacing w:before="240" w:after="240"/>
      <w:jc w:val="center"/>
    </w:pPr>
    <w:rPr>
      <w:rFonts w:ascii="Times New Roman Bold" w:hAnsi="Times New Roman Bold"/>
      <w:b/>
      <w:sz w:val="32"/>
    </w:rPr>
  </w:style>
  <w:style w:type="paragraph" w:styleId="ListBullet2">
    <w:name w:val="List Bullet 2"/>
    <w:next w:val="BodyText"/>
    <w:rsid w:val="00830850"/>
    <w:pPr>
      <w:numPr>
        <w:numId w:val="3"/>
      </w:numPr>
      <w:ind w:left="714" w:hanging="357"/>
    </w:pPr>
    <w:rPr>
      <w:sz w:val="24"/>
    </w:rPr>
  </w:style>
  <w:style w:type="paragraph" w:styleId="ListBullet3">
    <w:name w:val="List Bullet 3"/>
    <w:next w:val="BodyText"/>
    <w:rsid w:val="00830850"/>
    <w:pPr>
      <w:numPr>
        <w:numId w:val="4"/>
      </w:numPr>
      <w:tabs>
        <w:tab w:val="clear" w:pos="1145"/>
        <w:tab w:val="left" w:pos="1077"/>
      </w:tabs>
      <w:ind w:left="1077" w:hanging="357"/>
    </w:pPr>
    <w:rPr>
      <w:sz w:val="24"/>
    </w:rPr>
  </w:style>
  <w:style w:type="paragraph" w:styleId="ListNumber2">
    <w:name w:val="List Number 2"/>
    <w:next w:val="BodyText"/>
    <w:rsid w:val="00830850"/>
    <w:pPr>
      <w:numPr>
        <w:numId w:val="5"/>
      </w:numPr>
    </w:pPr>
    <w:rPr>
      <w:sz w:val="24"/>
      <w:lang w:val="en-GB"/>
    </w:rPr>
  </w:style>
  <w:style w:type="paragraph" w:customStyle="1" w:styleId="Listalpha">
    <w:name w:val="List alpha"/>
    <w:basedOn w:val="ListNumber"/>
    <w:next w:val="BodyText"/>
    <w:rsid w:val="00830850"/>
    <w:pPr>
      <w:numPr>
        <w:numId w:val="2"/>
      </w:numPr>
    </w:pPr>
  </w:style>
  <w:style w:type="paragraph" w:styleId="TOC8">
    <w:name w:val="toc 8"/>
    <w:basedOn w:val="Normal"/>
    <w:next w:val="Normal"/>
    <w:autoRedefine/>
    <w:qFormat/>
    <w:rsid w:val="00830850"/>
    <w:pPr>
      <w:ind w:left="1680"/>
    </w:pPr>
  </w:style>
  <w:style w:type="paragraph" w:styleId="TOC9">
    <w:name w:val="toc 9"/>
    <w:basedOn w:val="Normal"/>
    <w:next w:val="Normal"/>
    <w:autoRedefine/>
    <w:qFormat/>
    <w:rsid w:val="00830850"/>
    <w:pPr>
      <w:ind w:left="1920"/>
    </w:pPr>
  </w:style>
  <w:style w:type="character" w:styleId="Hyperlink">
    <w:name w:val="Hyperlink"/>
    <w:uiPriority w:val="99"/>
    <w:rsid w:val="00830850"/>
    <w:rPr>
      <w:rFonts w:ascii="Times New Roman" w:hAnsi="Times New Roman"/>
      <w:color w:val="0000FF"/>
      <w:sz w:val="20"/>
      <w:u w:val="single"/>
    </w:rPr>
  </w:style>
  <w:style w:type="character" w:styleId="FootnoteReference">
    <w:name w:val="footnote reference"/>
    <w:rsid w:val="00830850"/>
    <w:rPr>
      <w:position w:val="6"/>
      <w:sz w:val="16"/>
    </w:rPr>
  </w:style>
  <w:style w:type="character" w:styleId="CommentReference">
    <w:name w:val="annotation reference"/>
    <w:uiPriority w:val="99"/>
    <w:semiHidden/>
    <w:unhideWhenUsed/>
    <w:rsid w:val="00AD1CAF"/>
    <w:rPr>
      <w:sz w:val="16"/>
      <w:szCs w:val="16"/>
    </w:rPr>
  </w:style>
  <w:style w:type="paragraph" w:styleId="CommentText">
    <w:name w:val="annotation text"/>
    <w:basedOn w:val="Normal"/>
    <w:link w:val="CommentTextChar"/>
    <w:uiPriority w:val="99"/>
    <w:unhideWhenUsed/>
    <w:rsid w:val="00AD1CAF"/>
    <w:rPr>
      <w:sz w:val="20"/>
      <w:szCs w:val="20"/>
    </w:rPr>
  </w:style>
  <w:style w:type="character" w:customStyle="1" w:styleId="CommentTextChar">
    <w:name w:val="Comment Text Char"/>
    <w:basedOn w:val="DefaultParagraphFont"/>
    <w:link w:val="CommentText"/>
    <w:uiPriority w:val="99"/>
    <w:rsid w:val="00AD1CAF"/>
  </w:style>
  <w:style w:type="paragraph" w:styleId="CommentSubject">
    <w:name w:val="annotation subject"/>
    <w:basedOn w:val="CommentText"/>
    <w:next w:val="CommentText"/>
    <w:link w:val="CommentSubjectChar"/>
    <w:uiPriority w:val="99"/>
    <w:semiHidden/>
    <w:unhideWhenUsed/>
    <w:rsid w:val="00AD1CAF"/>
    <w:rPr>
      <w:b/>
      <w:bCs/>
    </w:rPr>
  </w:style>
  <w:style w:type="character" w:customStyle="1" w:styleId="CommentSubjectChar">
    <w:name w:val="Comment Subject Char"/>
    <w:link w:val="CommentSubject"/>
    <w:uiPriority w:val="99"/>
    <w:semiHidden/>
    <w:rsid w:val="00AD1CAF"/>
    <w:rPr>
      <w:b/>
      <w:bCs/>
    </w:rPr>
  </w:style>
  <w:style w:type="paragraph" w:styleId="BalloonText">
    <w:name w:val="Balloon Text"/>
    <w:basedOn w:val="Normal"/>
    <w:link w:val="BalloonTextChar"/>
    <w:uiPriority w:val="99"/>
    <w:semiHidden/>
    <w:unhideWhenUsed/>
    <w:rsid w:val="00AD1CAF"/>
    <w:rPr>
      <w:rFonts w:ascii="Tahoma" w:hAnsi="Tahoma" w:cs="Tahoma"/>
      <w:sz w:val="16"/>
      <w:szCs w:val="16"/>
    </w:rPr>
  </w:style>
  <w:style w:type="character" w:customStyle="1" w:styleId="BalloonTextChar">
    <w:name w:val="Balloon Text Char"/>
    <w:link w:val="BalloonText"/>
    <w:uiPriority w:val="99"/>
    <w:semiHidden/>
    <w:rsid w:val="00AD1CAF"/>
    <w:rPr>
      <w:rFonts w:ascii="Tahoma" w:hAnsi="Tahoma" w:cs="Tahoma"/>
      <w:sz w:val="16"/>
      <w:szCs w:val="16"/>
    </w:rPr>
  </w:style>
  <w:style w:type="character" w:customStyle="1" w:styleId="Heading7Char">
    <w:name w:val="Heading 7 Char"/>
    <w:link w:val="Heading7"/>
    <w:rsid w:val="00933D01"/>
    <w:rPr>
      <w:rFonts w:ascii="Times New Roman Bold" w:hAnsi="Times New Roman Bold"/>
      <w:b/>
      <w:sz w:val="24"/>
      <w:lang w:val="en-GB"/>
    </w:rPr>
  </w:style>
  <w:style w:type="paragraph" w:styleId="NormalWeb">
    <w:name w:val="Normal (Web)"/>
    <w:basedOn w:val="Normal"/>
    <w:uiPriority w:val="99"/>
    <w:unhideWhenUsed/>
    <w:rsid w:val="00844AC0"/>
    <w:pPr>
      <w:spacing w:before="100" w:beforeAutospacing="1" w:after="100" w:afterAutospacing="1"/>
    </w:pPr>
    <w:rPr>
      <w:rFonts w:ascii="Times" w:hAnsi="Times"/>
      <w:sz w:val="20"/>
      <w:szCs w:val="20"/>
    </w:rPr>
  </w:style>
  <w:style w:type="character" w:customStyle="1" w:styleId="Heading1Char">
    <w:name w:val="Heading 1 Char"/>
    <w:aliases w:val="ESR Heading 1 Char,Kop 1 Char Char1"/>
    <w:link w:val="Heading1"/>
    <w:rsid w:val="00880CCF"/>
    <w:rPr>
      <w:rFonts w:ascii="Times New Roman Bold" w:hAnsi="Times New Roman Bold"/>
      <w:b/>
      <w:caps/>
      <w:sz w:val="24"/>
      <w:lang w:val="en-GB"/>
    </w:rPr>
  </w:style>
  <w:style w:type="character" w:customStyle="1" w:styleId="BodyTextChar">
    <w:name w:val="Body Text Char"/>
    <w:aliases w:val="Body Text Char1 Char1,Platte tekst Char Char2 Char1,Platte tekst Char Char Char1 Char1,Platte tekst Char1 Char1 Char1,Body Text Char1 Char Char,Body Text Char2 Char,Platte tekst Char Char2 Char Char,Platte tekst Char Char Char1 Char Char"/>
    <w:link w:val="BodyText"/>
    <w:rsid w:val="00457D03"/>
    <w:rPr>
      <w:sz w:val="24"/>
      <w:lang w:val="en-GB"/>
    </w:rPr>
  </w:style>
  <w:style w:type="paragraph" w:styleId="ListParagraph">
    <w:name w:val="List Paragraph"/>
    <w:basedOn w:val="Normal"/>
    <w:uiPriority w:val="34"/>
    <w:qFormat/>
    <w:rsid w:val="0054170E"/>
    <w:pPr>
      <w:ind w:left="720"/>
      <w:contextualSpacing/>
    </w:pPr>
  </w:style>
  <w:style w:type="paragraph" w:styleId="Revision">
    <w:name w:val="Revision"/>
    <w:hidden/>
    <w:uiPriority w:val="99"/>
    <w:rsid w:val="002C0998"/>
    <w:rPr>
      <w:sz w:val="24"/>
      <w:szCs w:val="24"/>
    </w:rPr>
  </w:style>
  <w:style w:type="character" w:customStyle="1" w:styleId="FootnoteTextChar">
    <w:name w:val="Footnote Text Char"/>
    <w:basedOn w:val="DefaultParagraphFont"/>
    <w:link w:val="FootnoteText"/>
    <w:uiPriority w:val="99"/>
    <w:rsid w:val="00737503"/>
    <w:rPr>
      <w:lang w:val="en-GB"/>
    </w:rPr>
  </w:style>
  <w:style w:type="character" w:customStyle="1" w:styleId="CaptionChar">
    <w:name w:val="Caption Char"/>
    <w:aliases w:val="Bijschrift Char Char4 Char,Bijschrift Char Char Char3 Char,Char9 Char Char Char2 Char,Char9 Char Char1 Char,Char9 Char1 Char,Char9 Char2 Char,Char9 Char Char Char Char2 Char,Bijschrift Char1 Char2 Char,Char9 Char Char1 Char1 Char,Char Char"/>
    <w:basedOn w:val="DefaultParagraphFont"/>
    <w:link w:val="Caption"/>
    <w:rsid w:val="0029351D"/>
    <w:rPr>
      <w:rFonts w:ascii="Times New Roman Bold" w:hAnsi="Times New Roman Bold"/>
      <w:b/>
      <w:bCs/>
      <w:sz w:val="24"/>
    </w:rPr>
  </w:style>
  <w:style w:type="character" w:customStyle="1" w:styleId="KorrUK">
    <w:name w:val="KorrUK"/>
    <w:uiPriority w:val="99"/>
    <w:rsid w:val="00685992"/>
    <w:rPr>
      <w:rFonts w:ascii="Univers" w:hAnsi="Univers" w:cs="Univers"/>
      <w:sz w:val="22"/>
      <w:szCs w:val="22"/>
      <w:lang w:val="en-GB"/>
    </w:rPr>
  </w:style>
  <w:style w:type="paragraph" w:customStyle="1" w:styleId="Tablebody">
    <w:name w:val="Table body"/>
    <w:link w:val="TablebodyChar"/>
    <w:rsid w:val="00B7206E"/>
    <w:pPr>
      <w:spacing w:before="70" w:after="54"/>
    </w:pPr>
    <w:rPr>
      <w:rFonts w:ascii="Arial Narrow" w:hAnsi="Arial Narrow"/>
      <w:sz w:val="19"/>
      <w:szCs w:val="24"/>
      <w:lang w:val="en-GB"/>
    </w:rPr>
  </w:style>
  <w:style w:type="character" w:customStyle="1" w:styleId="TablebodyChar">
    <w:name w:val="Table body Char"/>
    <w:link w:val="Tablebody"/>
    <w:rsid w:val="00B7206E"/>
    <w:rPr>
      <w:rFonts w:ascii="Arial Narrow" w:hAnsi="Arial Narrow"/>
      <w:sz w:val="19"/>
      <w:szCs w:val="24"/>
      <w:lang w:val="en-GB"/>
    </w:rPr>
  </w:style>
  <w:style w:type="paragraph" w:styleId="NoSpacing">
    <w:name w:val="No Spacing"/>
    <w:uiPriority w:val="1"/>
    <w:qFormat/>
    <w:rsid w:val="00B87612"/>
    <w:rPr>
      <w:rFonts w:asciiTheme="minorHAnsi" w:eastAsiaTheme="minorEastAsia" w:hAnsiTheme="minorHAnsi" w:cstheme="minorBidi"/>
      <w:sz w:val="22"/>
      <w:szCs w:val="22"/>
      <w:lang w:val="en-AU" w:eastAsia="en-AU"/>
    </w:rPr>
  </w:style>
  <w:style w:type="table" w:styleId="TableGrid">
    <w:name w:val="Table Grid"/>
    <w:basedOn w:val="TableNormal"/>
    <w:uiPriority w:val="59"/>
    <w:rsid w:val="00E22A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 Char7 Char1"/>
    <w:basedOn w:val="DefaultParagraphFont"/>
    <w:link w:val="Heading2"/>
    <w:rsid w:val="00126E92"/>
    <w:rPr>
      <w:rFonts w:ascii="Times New Roman Bold" w:hAnsi="Times New Roman Bold"/>
      <w:b/>
      <w:sz w:val="24"/>
      <w:lang w:val="en-GB"/>
    </w:rPr>
  </w:style>
  <w:style w:type="character" w:customStyle="1" w:styleId="Heading3Char">
    <w:name w:val="Heading 3 Char"/>
    <w:aliases w:val="Char4 Char, Char6 Char"/>
    <w:basedOn w:val="Heading2Char"/>
    <w:link w:val="Heading3"/>
    <w:rsid w:val="00126E92"/>
    <w:rPr>
      <w:rFonts w:ascii="Times New Roman Bold" w:hAnsi="Times New Roman Bold"/>
      <w:b/>
      <w:sz w:val="24"/>
      <w:lang w:val="en-GB"/>
    </w:rPr>
  </w:style>
  <w:style w:type="paragraph" w:customStyle="1" w:styleId="Tableheading">
    <w:name w:val="Table heading"/>
    <w:basedOn w:val="Normal"/>
    <w:rsid w:val="005C3ED8"/>
    <w:pPr>
      <w:widowControl/>
      <w:autoSpaceDE/>
      <w:autoSpaceDN/>
      <w:adjustRightInd/>
      <w:spacing w:before="70" w:after="54"/>
      <w:jc w:val="left"/>
    </w:pPr>
    <w:rPr>
      <w:rFonts w:ascii="Arial Narrow" w:hAnsi="Arial Narrow" w:cs="Arial Narrow"/>
      <w:b/>
      <w:bCs/>
      <w:sz w:val="19"/>
      <w:szCs w:val="19"/>
    </w:rPr>
  </w:style>
  <w:style w:type="character" w:customStyle="1" w:styleId="BodyTextChar4">
    <w:name w:val="Body Text Char4"/>
    <w:aliases w:val="Body Text Char1 Char3,Platte tekst Char Char2 Char3,Platte tekst Char Char Char1 Char3,Platte tekst Char1 Char1 Char3,Body Text Char1 Char Char3,Body Text Char2 Char3,Platte tekst Char Char2 Char Char3,Platte tekst Char1 Char1 Char Char"/>
    <w:basedOn w:val="DefaultParagraphFont"/>
    <w:uiPriority w:val="99"/>
    <w:rsid w:val="005C3ED8"/>
    <w:rPr>
      <w:color w:val="000000"/>
      <w:sz w:val="22"/>
      <w:szCs w:val="22"/>
      <w:lang w:val="en-US" w:eastAsia="en-US"/>
    </w:rPr>
  </w:style>
  <w:style w:type="character" w:customStyle="1" w:styleId="FooterChar1">
    <w:name w:val="Footer Char1"/>
    <w:aliases w:val="f Char1,Footer Char Char,f Char Char,Voettekst Char Char Char,Voettekst Char Char1,Voettekst Char1 Char"/>
    <w:basedOn w:val="DefaultParagraphFont"/>
    <w:link w:val="Footer"/>
    <w:uiPriority w:val="99"/>
    <w:rsid w:val="005C3ED8"/>
    <w:rPr>
      <w:noProof/>
    </w:rPr>
  </w:style>
  <w:style w:type="paragraph" w:customStyle="1" w:styleId="TableTitle0">
    <w:name w:val="TableTitle"/>
    <w:basedOn w:val="Normal"/>
    <w:uiPriority w:val="99"/>
    <w:rsid w:val="005C3ED8"/>
    <w:pPr>
      <w:widowControl/>
      <w:autoSpaceDE/>
      <w:autoSpaceDN/>
      <w:adjustRightInd/>
      <w:spacing w:before="60" w:after="60"/>
      <w:jc w:val="left"/>
    </w:pPr>
    <w:rPr>
      <w:rFonts w:ascii="Helvetica" w:hAnsi="Helvetica" w:cs="Helvetica"/>
      <w:b/>
      <w:bCs/>
      <w:sz w:val="22"/>
      <w:szCs w:val="22"/>
      <w:lang w:eastAsia="nl-NL"/>
    </w:rPr>
  </w:style>
  <w:style w:type="character" w:customStyle="1" w:styleId="Heading1Char1">
    <w:name w:val="Heading 1 Char1"/>
    <w:aliases w:val="Heading 1 Char Char,ESR Heading 1 Char Char,ESR Heading 1 Char1,Kop 1 Char Char"/>
    <w:basedOn w:val="DefaultParagraphFont"/>
    <w:uiPriority w:val="99"/>
    <w:rsid w:val="001D7320"/>
    <w:rPr>
      <w:rFonts w:ascii="Times" w:hAnsi="Times" w:cs="Times"/>
      <w:b/>
      <w:bCs/>
      <w:sz w:val="50"/>
      <w:szCs w:val="50"/>
      <w:lang w:val="de-DE" w:eastAsia="de-DE"/>
    </w:rPr>
  </w:style>
  <w:style w:type="paragraph" w:customStyle="1" w:styleId="Default">
    <w:name w:val="Default"/>
    <w:rsid w:val="00FA6FE3"/>
    <w:pPr>
      <w:autoSpaceDE w:val="0"/>
      <w:autoSpaceDN w:val="0"/>
      <w:adjustRightInd w:val="0"/>
    </w:pPr>
    <w:rPr>
      <w:color w:val="000000"/>
      <w:sz w:val="24"/>
      <w:szCs w:val="24"/>
      <w:lang w:val="en-GB"/>
    </w:rPr>
  </w:style>
  <w:style w:type="character" w:customStyle="1" w:styleId="Heading5Char">
    <w:name w:val="Heading 5 Char"/>
    <w:aliases w:val="Kop 5 Char Char, Char4 Char Char"/>
    <w:basedOn w:val="DefaultParagraphFont"/>
    <w:link w:val="Heading5"/>
    <w:rsid w:val="00304EA1"/>
    <w:rPr>
      <w:rFonts w:ascii="Times New Roman Bold" w:hAnsi="Times New Roman Bold"/>
      <w:b/>
      <w:sz w:val="24"/>
      <w:lang w:val="en-GB"/>
    </w:rPr>
  </w:style>
  <w:style w:type="character" w:customStyle="1" w:styleId="Heading6Char1">
    <w:name w:val="Heading 6 Char1"/>
    <w:aliases w:val="Heading 6 Char Char,Kop 6 Char Char Char,Kop 6 Char1 Char2 Char,Kop 6 Char1 Char Char Char,Kop 6 Char1 Char Char Char Char Char,Kop 6 Char Char Char Char Char Char Char,Kop 6 Char1 Char1 Char Char,Kop 6 Char Char Char1 Char Char"/>
    <w:basedOn w:val="DefaultParagraphFont"/>
    <w:link w:val="Heading6"/>
    <w:rsid w:val="00304EA1"/>
    <w:rPr>
      <w:rFonts w:ascii="Times New Roman Bold" w:hAnsi="Times New Roman Bold"/>
      <w:b/>
      <w:caps/>
      <w:sz w:val="24"/>
      <w:lang w:val="en-GB"/>
    </w:rPr>
  </w:style>
  <w:style w:type="character" w:customStyle="1" w:styleId="Heading8Char">
    <w:name w:val="Heading 8 Char"/>
    <w:basedOn w:val="DefaultParagraphFont"/>
    <w:link w:val="Heading8"/>
    <w:rsid w:val="00304EA1"/>
    <w:rPr>
      <w:sz w:val="24"/>
      <w:szCs w:val="24"/>
      <w:u w:val="single"/>
      <w:lang w:val="en-GB"/>
    </w:rPr>
  </w:style>
  <w:style w:type="character" w:customStyle="1" w:styleId="Char22">
    <w:name w:val="Char22"/>
    <w:basedOn w:val="DefaultParagraphFont"/>
    <w:uiPriority w:val="99"/>
    <w:rsid w:val="00304EA1"/>
    <w:rPr>
      <w:rFonts w:ascii="Times New Roman Bold" w:hAnsi="Times New Roman Bold" w:cs="Times New Roman Bold"/>
      <w:b/>
      <w:bCs/>
      <w:sz w:val="24"/>
      <w:szCs w:val="24"/>
      <w:lang w:val="en-GB" w:eastAsia="en-US"/>
    </w:rPr>
  </w:style>
  <w:style w:type="character" w:customStyle="1" w:styleId="Heading9Char">
    <w:name w:val="Heading 9 Char"/>
    <w:aliases w:val="Kop 9 Char1 Char,Heading 9 Char Char Char,Kop 9 Char Char Char Char,Kop 9 Char Char1 Char"/>
    <w:basedOn w:val="DefaultParagraphFont"/>
    <w:link w:val="Heading9"/>
    <w:rsid w:val="00304EA1"/>
    <w:rPr>
      <w:i/>
      <w:sz w:val="24"/>
      <w:szCs w:val="24"/>
      <w:lang w:val="en-GB"/>
    </w:rPr>
  </w:style>
  <w:style w:type="paragraph" w:customStyle="1" w:styleId="Point0">
    <w:name w:val="Point 0"/>
    <w:basedOn w:val="Normal"/>
    <w:link w:val="Point0Char"/>
    <w:rsid w:val="00304EA1"/>
    <w:pPr>
      <w:widowControl/>
      <w:autoSpaceDE/>
      <w:autoSpaceDN/>
      <w:adjustRightInd/>
      <w:spacing w:before="120" w:after="120" w:line="360" w:lineRule="auto"/>
      <w:ind w:left="850" w:hanging="850"/>
    </w:pPr>
    <w:rPr>
      <w:rFonts w:ascii="Times" w:hAnsi="Times" w:cs="Times"/>
    </w:rPr>
  </w:style>
  <w:style w:type="character" w:customStyle="1" w:styleId="heading1Zchn">
    <w:name w:val="heading1 Zchn"/>
    <w:rsid w:val="00304EA1"/>
    <w:rPr>
      <w:rFonts w:ascii="Times" w:hAnsi="Times" w:cs="Times"/>
      <w:b/>
      <w:bCs/>
      <w:color w:val="auto"/>
      <w:sz w:val="29"/>
      <w:szCs w:val="29"/>
    </w:rPr>
  </w:style>
  <w:style w:type="paragraph" w:customStyle="1" w:styleId="TableHeading0">
    <w:name w:val="Table Heading"/>
    <w:basedOn w:val="Heading6"/>
    <w:next w:val="Normal"/>
    <w:uiPriority w:val="1"/>
    <w:qFormat/>
    <w:rsid w:val="00304EA1"/>
    <w:pPr>
      <w:keepNext w:val="0"/>
      <w:widowControl w:val="0"/>
      <w:autoSpaceDE w:val="0"/>
      <w:autoSpaceDN w:val="0"/>
      <w:adjustRightInd w:val="0"/>
      <w:spacing w:before="200" w:after="0"/>
      <w:outlineLvl w:val="9"/>
    </w:pPr>
    <w:rPr>
      <w:rFonts w:ascii="Times" w:hAnsi="Times" w:cs="Times"/>
      <w:bCs/>
      <w:caps w:val="0"/>
      <w:sz w:val="20"/>
      <w:lang w:val="de-DE" w:eastAsia="de-DE"/>
    </w:rPr>
  </w:style>
  <w:style w:type="paragraph" w:customStyle="1" w:styleId="Special">
    <w:name w:val="Special"/>
    <w:basedOn w:val="Heading6"/>
    <w:next w:val="Normal"/>
    <w:uiPriority w:val="1"/>
    <w:qFormat/>
    <w:rsid w:val="00304EA1"/>
    <w:pPr>
      <w:keepNext w:val="0"/>
      <w:widowControl w:val="0"/>
      <w:autoSpaceDE w:val="0"/>
      <w:autoSpaceDN w:val="0"/>
      <w:adjustRightInd w:val="0"/>
      <w:spacing w:after="0"/>
      <w:outlineLvl w:val="9"/>
    </w:pPr>
    <w:rPr>
      <w:rFonts w:ascii="Times" w:hAnsi="Times" w:cs="Times"/>
      <w:b w:val="0"/>
      <w:caps w:val="0"/>
      <w:sz w:val="16"/>
      <w:szCs w:val="16"/>
      <w:lang w:val="de-DE" w:eastAsia="de-DE"/>
    </w:rPr>
  </w:style>
  <w:style w:type="character" w:customStyle="1" w:styleId="Char2">
    <w:name w:val="Char2"/>
    <w:basedOn w:val="DefaultParagraphFont"/>
    <w:uiPriority w:val="99"/>
    <w:rsid w:val="00304EA1"/>
    <w:rPr>
      <w:sz w:val="24"/>
      <w:szCs w:val="24"/>
      <w:lang w:val="en-GB"/>
    </w:rPr>
  </w:style>
  <w:style w:type="character" w:customStyle="1" w:styleId="TableheadingChar">
    <w:name w:val="Table heading Char"/>
    <w:basedOn w:val="DefaultParagraphFont"/>
    <w:rsid w:val="00304EA1"/>
    <w:rPr>
      <w:rFonts w:ascii="Arial Narrow" w:hAnsi="Arial Narrow" w:cs="Arial Narrow"/>
      <w:b/>
      <w:bCs/>
      <w:sz w:val="24"/>
      <w:szCs w:val="24"/>
      <w:lang w:val="en-GB" w:eastAsia="en-US"/>
    </w:rPr>
  </w:style>
  <w:style w:type="paragraph" w:customStyle="1" w:styleId="H4">
    <w:name w:val="H4"/>
    <w:basedOn w:val="Normal"/>
    <w:rsid w:val="00304EA1"/>
    <w:pPr>
      <w:keepNext/>
      <w:widowControl/>
      <w:autoSpaceDE/>
      <w:autoSpaceDN/>
      <w:adjustRightInd/>
      <w:spacing w:after="0"/>
      <w:outlineLvl w:val="0"/>
    </w:pPr>
    <w:rPr>
      <w:rFonts w:ascii="Times" w:hAnsi="Times" w:cs="Times"/>
      <w:b/>
      <w:bCs/>
      <w:lang w:eastAsia="nl-NL"/>
    </w:rPr>
  </w:style>
  <w:style w:type="character" w:customStyle="1" w:styleId="BlockTextChar">
    <w:name w:val="Block Text Char"/>
    <w:basedOn w:val="DefaultParagraphFont"/>
    <w:link w:val="BlockText"/>
    <w:rsid w:val="00304EA1"/>
    <w:rPr>
      <w:sz w:val="24"/>
      <w:lang w:val="en-GB"/>
    </w:rPr>
  </w:style>
  <w:style w:type="paragraph" w:customStyle="1" w:styleId="StyleA1NewsGothic95pt">
    <w:name w:val="Style A1 + News Gothic 9.5 pt"/>
    <w:basedOn w:val="Normal"/>
    <w:link w:val="StyleA1NewsGothic95ptChar"/>
    <w:uiPriority w:val="99"/>
    <w:rsid w:val="00304EA1"/>
    <w:pPr>
      <w:widowControl/>
      <w:overflowPunct w:val="0"/>
      <w:spacing w:after="0" w:line="260" w:lineRule="atLeast"/>
      <w:jc w:val="left"/>
      <w:textAlignment w:val="baseline"/>
    </w:pPr>
    <w:rPr>
      <w:rFonts w:ascii="News Gothic" w:hAnsi="News Gothic" w:cs="News Gothic"/>
      <w:sz w:val="29"/>
      <w:szCs w:val="29"/>
    </w:rPr>
  </w:style>
  <w:style w:type="character" w:customStyle="1" w:styleId="StyleA1NewsGothic95ptChar">
    <w:name w:val="Style A1 + News Gothic 9.5 pt Char"/>
    <w:basedOn w:val="DefaultParagraphFont"/>
    <w:link w:val="StyleA1NewsGothic95pt"/>
    <w:uiPriority w:val="99"/>
    <w:rsid w:val="00304EA1"/>
    <w:rPr>
      <w:rFonts w:ascii="News Gothic" w:hAnsi="News Gothic" w:cs="News Gothic"/>
      <w:sz w:val="29"/>
      <w:szCs w:val="29"/>
      <w:lang w:val="en-GB"/>
    </w:rPr>
  </w:style>
  <w:style w:type="paragraph" w:customStyle="1" w:styleId="Absatz">
    <w:name w:val="Absatz"/>
    <w:basedOn w:val="Normal"/>
    <w:uiPriority w:val="99"/>
    <w:rsid w:val="00304EA1"/>
    <w:pPr>
      <w:widowControl/>
      <w:autoSpaceDE/>
      <w:autoSpaceDN/>
      <w:adjustRightInd/>
      <w:spacing w:before="120" w:after="120" w:line="360" w:lineRule="auto"/>
      <w:ind w:left="1729"/>
      <w:jc w:val="left"/>
    </w:pPr>
    <w:rPr>
      <w:rFonts w:ascii="Times" w:hAnsi="Times" w:cs="Times"/>
      <w:sz w:val="22"/>
      <w:szCs w:val="22"/>
      <w:lang w:val="de-DE" w:eastAsia="de-DE"/>
    </w:rPr>
  </w:style>
  <w:style w:type="paragraph" w:customStyle="1" w:styleId="Tabellenformat">
    <w:name w:val="Tabellenformat"/>
    <w:basedOn w:val="Normal"/>
    <w:uiPriority w:val="99"/>
    <w:rsid w:val="00304EA1"/>
    <w:pPr>
      <w:widowControl/>
      <w:autoSpaceDE/>
      <w:autoSpaceDN/>
      <w:adjustRightInd/>
      <w:spacing w:before="100" w:after="100" w:line="360" w:lineRule="auto"/>
      <w:jc w:val="left"/>
    </w:pPr>
    <w:rPr>
      <w:rFonts w:ascii="Times" w:hAnsi="Times" w:cs="Times"/>
      <w:sz w:val="20"/>
      <w:szCs w:val="20"/>
      <w:lang w:val="de-DE" w:eastAsia="de-DE"/>
    </w:rPr>
  </w:style>
  <w:style w:type="character" w:customStyle="1" w:styleId="Char81">
    <w:name w:val="Char81"/>
    <w:basedOn w:val="DefaultParagraphFont"/>
    <w:uiPriority w:val="99"/>
    <w:semiHidden/>
    <w:rsid w:val="00304EA1"/>
    <w:rPr>
      <w:lang w:val="nl" w:eastAsia="nl-NL"/>
    </w:rPr>
  </w:style>
  <w:style w:type="character" w:customStyle="1" w:styleId="TablenoteChar1">
    <w:name w:val="Table note Char1"/>
    <w:basedOn w:val="DefaultParagraphFont"/>
    <w:link w:val="Tablenote"/>
    <w:rsid w:val="00304EA1"/>
    <w:rPr>
      <w:spacing w:val="-3"/>
    </w:rPr>
  </w:style>
  <w:style w:type="paragraph" w:customStyle="1" w:styleId="TGDBodyText1">
    <w:name w:val="TGD Body Text 1"/>
    <w:basedOn w:val="Normal"/>
    <w:rsid w:val="00304EA1"/>
    <w:pPr>
      <w:widowControl/>
      <w:tabs>
        <w:tab w:val="left" w:pos="567"/>
        <w:tab w:val="left" w:pos="1276"/>
      </w:tabs>
      <w:autoSpaceDE/>
      <w:autoSpaceDN/>
      <w:adjustRightInd/>
      <w:spacing w:after="180"/>
    </w:pPr>
    <w:rPr>
      <w:rFonts w:ascii="Times" w:hAnsi="Times" w:cs="Times"/>
      <w:lang w:eastAsia="de-DE"/>
    </w:rPr>
  </w:style>
  <w:style w:type="paragraph" w:customStyle="1" w:styleId="TGDTableBody">
    <w:name w:val="TGD Table Body"/>
    <w:basedOn w:val="Normal"/>
    <w:rsid w:val="00304EA1"/>
    <w:pPr>
      <w:keepNext/>
      <w:widowControl/>
      <w:tabs>
        <w:tab w:val="left" w:pos="1276"/>
      </w:tabs>
      <w:autoSpaceDE/>
      <w:autoSpaceDN/>
      <w:adjustRightInd/>
      <w:spacing w:before="70" w:after="54"/>
    </w:pPr>
    <w:rPr>
      <w:rFonts w:ascii="Arial Narrow" w:hAnsi="Arial Narrow" w:cs="Arial Narrow"/>
      <w:color w:val="000000"/>
      <w:sz w:val="19"/>
      <w:szCs w:val="19"/>
      <w:lang w:eastAsia="de-DE"/>
    </w:rPr>
  </w:style>
  <w:style w:type="paragraph" w:customStyle="1" w:styleId="TGDTableNote">
    <w:name w:val="TGD Table Note"/>
    <w:basedOn w:val="Normal"/>
    <w:next w:val="Normal"/>
    <w:rsid w:val="00304EA1"/>
    <w:pPr>
      <w:keepNext/>
      <w:widowControl/>
      <w:tabs>
        <w:tab w:val="left" w:pos="2268"/>
        <w:tab w:val="left" w:pos="4536"/>
      </w:tabs>
      <w:autoSpaceDE/>
      <w:autoSpaceDN/>
      <w:adjustRightInd/>
      <w:spacing w:before="90" w:after="0"/>
    </w:pPr>
    <w:rPr>
      <w:rFonts w:ascii="Arial Narrow" w:hAnsi="Arial Narrow" w:cs="Arial Narrow"/>
      <w:color w:val="000000"/>
      <w:spacing w:val="-3"/>
      <w:sz w:val="19"/>
      <w:szCs w:val="19"/>
      <w:lang w:eastAsia="de-DE"/>
    </w:rPr>
  </w:style>
  <w:style w:type="character" w:customStyle="1" w:styleId="HeaderChar">
    <w:name w:val="Header Char"/>
    <w:aliases w:val="Char1 Char1"/>
    <w:basedOn w:val="DefaultParagraphFont"/>
    <w:link w:val="Header"/>
    <w:uiPriority w:val="99"/>
    <w:rsid w:val="00304EA1"/>
    <w:rPr>
      <w:caps/>
      <w:noProof/>
      <w:sz w:val="24"/>
    </w:rPr>
  </w:style>
  <w:style w:type="character" w:customStyle="1" w:styleId="Char82">
    <w:name w:val="Char82"/>
    <w:basedOn w:val="DefaultParagraphFont"/>
    <w:uiPriority w:val="99"/>
    <w:semiHidden/>
    <w:rsid w:val="00304EA1"/>
    <w:rPr>
      <w:lang w:val="nl" w:eastAsia="nl-NL"/>
    </w:rPr>
  </w:style>
  <w:style w:type="paragraph" w:customStyle="1" w:styleId="Kopzeile-fett">
    <w:name w:val="Kopzeile-fett"/>
    <w:basedOn w:val="Normal"/>
    <w:uiPriority w:val="99"/>
    <w:rsid w:val="00304EA1"/>
    <w:pPr>
      <w:widowControl/>
      <w:tabs>
        <w:tab w:val="center" w:pos="4536"/>
        <w:tab w:val="right" w:pos="9072"/>
      </w:tabs>
      <w:autoSpaceDE/>
      <w:autoSpaceDN/>
      <w:adjustRightInd/>
      <w:spacing w:after="120"/>
      <w:jc w:val="left"/>
    </w:pPr>
    <w:rPr>
      <w:rFonts w:ascii="Times" w:hAnsi="Times" w:cs="Times"/>
      <w:b/>
      <w:bCs/>
      <w:sz w:val="20"/>
      <w:szCs w:val="20"/>
      <w:lang w:val="de-DE" w:eastAsia="de-DE"/>
    </w:rPr>
  </w:style>
  <w:style w:type="paragraph" w:customStyle="1" w:styleId="H3">
    <w:name w:val="H3"/>
    <w:basedOn w:val="Normal"/>
    <w:rsid w:val="00304EA1"/>
    <w:pPr>
      <w:widowControl/>
      <w:autoSpaceDE/>
      <w:autoSpaceDN/>
      <w:adjustRightInd/>
      <w:spacing w:after="0"/>
    </w:pPr>
    <w:rPr>
      <w:rFonts w:ascii="Times" w:hAnsi="Times" w:cs="Times"/>
      <w:i/>
      <w:iCs/>
      <w:lang w:val="nl-NL" w:eastAsia="nl-NL"/>
    </w:rPr>
  </w:style>
  <w:style w:type="paragraph" w:styleId="BodyTextIndent2">
    <w:name w:val="Body Text Indent 2"/>
    <w:basedOn w:val="Normal"/>
    <w:link w:val="BodyTextIndent2Char"/>
    <w:rsid w:val="00304EA1"/>
    <w:pPr>
      <w:widowControl/>
      <w:autoSpaceDE/>
      <w:autoSpaceDN/>
      <w:adjustRightInd/>
      <w:spacing w:after="120"/>
      <w:ind w:left="567" w:hanging="567"/>
    </w:pPr>
    <w:rPr>
      <w:rFonts w:ascii="Times" w:hAnsi="Times" w:cs="Times"/>
      <w:sz w:val="22"/>
      <w:szCs w:val="22"/>
      <w:lang w:eastAsia="nl-NL"/>
    </w:rPr>
  </w:style>
  <w:style w:type="character" w:customStyle="1" w:styleId="BodyTextIndent2Char">
    <w:name w:val="Body Text Indent 2 Char"/>
    <w:basedOn w:val="DefaultParagraphFont"/>
    <w:link w:val="BodyTextIndent2"/>
    <w:rsid w:val="00304EA1"/>
    <w:rPr>
      <w:rFonts w:ascii="Times" w:hAnsi="Times" w:cs="Times"/>
      <w:sz w:val="22"/>
      <w:szCs w:val="22"/>
      <w:lang w:val="en-GB" w:eastAsia="nl-NL"/>
    </w:rPr>
  </w:style>
  <w:style w:type="character" w:customStyle="1" w:styleId="HeaderChar1">
    <w:name w:val="Header Char1"/>
    <w:aliases w:val="Char3 Char1"/>
    <w:basedOn w:val="DefaultParagraphFont"/>
    <w:uiPriority w:val="99"/>
    <w:rsid w:val="00304EA1"/>
    <w:rPr>
      <w:rFonts w:ascii="Arial Narrow" w:hAnsi="Arial Narrow" w:cs="Arial Narrow"/>
      <w:smallCaps/>
      <w:noProof/>
      <w:lang w:val="en-GB" w:eastAsia="en-US"/>
    </w:rPr>
  </w:style>
  <w:style w:type="character" w:styleId="FollowedHyperlink">
    <w:name w:val="FollowedHyperlink"/>
    <w:basedOn w:val="DefaultParagraphFont"/>
    <w:uiPriority w:val="99"/>
    <w:rsid w:val="00304EA1"/>
    <w:rPr>
      <w:color w:val="800080"/>
      <w:u w:val="single"/>
    </w:rPr>
  </w:style>
  <w:style w:type="paragraph" w:customStyle="1" w:styleId="Tabel">
    <w:name w:val="Tabel"/>
    <w:basedOn w:val="Normal"/>
    <w:link w:val="TabelChar"/>
    <w:rsid w:val="00304EA1"/>
    <w:pPr>
      <w:widowControl/>
      <w:suppressAutoHyphens/>
      <w:autoSpaceDE/>
      <w:autoSpaceDN/>
      <w:adjustRightInd/>
      <w:spacing w:before="60" w:after="60"/>
    </w:pPr>
    <w:rPr>
      <w:rFonts w:ascii="Times" w:hAnsi="Times" w:cs="Times"/>
      <w:lang w:val="nl-NL" w:eastAsia="nl-NL"/>
    </w:rPr>
  </w:style>
  <w:style w:type="character" w:customStyle="1" w:styleId="Heading4Char">
    <w:name w:val="Heading 4 Char"/>
    <w:aliases w:val="Char3 Char, Char5 Char"/>
    <w:basedOn w:val="DefaultParagraphFont"/>
    <w:link w:val="Heading4"/>
    <w:rsid w:val="00304EA1"/>
    <w:rPr>
      <w:rFonts w:ascii="Times New Roman Bold" w:hAnsi="Times New Roman Bold"/>
      <w:b/>
      <w:sz w:val="24"/>
      <w:lang w:val="en-GB"/>
    </w:rPr>
  </w:style>
  <w:style w:type="character" w:customStyle="1" w:styleId="BodyText2Char1">
    <w:name w:val="Body Text 2 Char1"/>
    <w:basedOn w:val="DefaultParagraphFont"/>
    <w:uiPriority w:val="99"/>
    <w:rsid w:val="00304EA1"/>
    <w:rPr>
      <w:sz w:val="24"/>
      <w:szCs w:val="24"/>
      <w:lang w:val="en-GB"/>
    </w:rPr>
  </w:style>
  <w:style w:type="paragraph" w:customStyle="1" w:styleId="Blockquote">
    <w:name w:val="Blockquote"/>
    <w:basedOn w:val="Normal"/>
    <w:rsid w:val="00304EA1"/>
    <w:pPr>
      <w:widowControl/>
      <w:autoSpaceDE/>
      <w:autoSpaceDN/>
      <w:adjustRightInd/>
      <w:spacing w:before="100" w:after="100"/>
      <w:ind w:left="360" w:right="360"/>
      <w:jc w:val="left"/>
    </w:pPr>
    <w:rPr>
      <w:rFonts w:ascii="Times" w:hAnsi="Times" w:cs="Times"/>
    </w:rPr>
  </w:style>
  <w:style w:type="paragraph" w:customStyle="1" w:styleId="BodySingle">
    <w:name w:val="Body Single"/>
    <w:basedOn w:val="Normal"/>
    <w:rsid w:val="00304EA1"/>
    <w:pPr>
      <w:widowControl/>
      <w:autoSpaceDE/>
      <w:autoSpaceDN/>
      <w:adjustRightInd/>
      <w:spacing w:after="0"/>
    </w:pPr>
    <w:rPr>
      <w:rFonts w:ascii="Times" w:hAnsi="Times" w:cs="Times"/>
      <w:lang w:eastAsia="nl-NL"/>
    </w:rPr>
  </w:style>
  <w:style w:type="paragraph" w:customStyle="1" w:styleId="tabelopmerking">
    <w:name w:val="tabelopmerking"/>
    <w:basedOn w:val="Normal"/>
    <w:rsid w:val="00304EA1"/>
    <w:pPr>
      <w:widowControl/>
      <w:suppressAutoHyphens/>
      <w:autoSpaceDE/>
      <w:autoSpaceDN/>
      <w:adjustRightInd/>
      <w:spacing w:before="60" w:after="0"/>
    </w:pPr>
    <w:rPr>
      <w:rFonts w:ascii="Times" w:hAnsi="Times" w:cs="Times"/>
      <w:sz w:val="18"/>
      <w:szCs w:val="18"/>
      <w:lang w:val="nl-NL" w:eastAsia="nl-NL"/>
    </w:rPr>
  </w:style>
  <w:style w:type="paragraph" w:customStyle="1" w:styleId="Tabeltitel">
    <w:name w:val="Tabeltitel"/>
    <w:basedOn w:val="Normal"/>
    <w:rsid w:val="00304EA1"/>
    <w:pPr>
      <w:widowControl/>
      <w:suppressAutoHyphens/>
      <w:autoSpaceDE/>
      <w:autoSpaceDN/>
      <w:adjustRightInd/>
      <w:spacing w:before="60" w:after="60"/>
    </w:pPr>
    <w:rPr>
      <w:rFonts w:ascii="Times" w:hAnsi="Times" w:cs="Times"/>
      <w:i/>
      <w:iCs/>
      <w:lang w:val="nl-NL" w:eastAsia="nl-NL"/>
    </w:rPr>
  </w:style>
  <w:style w:type="paragraph" w:customStyle="1" w:styleId="bijkomendetitel1-18">
    <w:name w:val="bijkomende titel 1-18"/>
    <w:basedOn w:val="Normal"/>
    <w:next w:val="Normal"/>
    <w:rsid w:val="00304EA1"/>
    <w:pPr>
      <w:widowControl/>
      <w:suppressAutoHyphens/>
      <w:autoSpaceDE/>
      <w:autoSpaceDN/>
      <w:adjustRightInd/>
      <w:spacing w:before="240" w:after="0"/>
      <w:outlineLvl w:val="0"/>
    </w:pPr>
    <w:rPr>
      <w:rFonts w:ascii="Times" w:hAnsi="Times" w:cs="Times"/>
      <w:b/>
      <w:bCs/>
      <w:caps/>
      <w:sz w:val="36"/>
      <w:szCs w:val="36"/>
      <w:lang w:val="nl-NL" w:eastAsia="nl-NL"/>
    </w:rPr>
  </w:style>
  <w:style w:type="paragraph" w:customStyle="1" w:styleId="Bijkomendetitel2-14">
    <w:name w:val="Bijkomende titel 2-14"/>
    <w:basedOn w:val="Normal"/>
    <w:rsid w:val="00304EA1"/>
    <w:pPr>
      <w:widowControl/>
      <w:suppressAutoHyphens/>
      <w:autoSpaceDE/>
      <w:autoSpaceDN/>
      <w:adjustRightInd/>
      <w:spacing w:before="240" w:after="0"/>
      <w:outlineLvl w:val="1"/>
    </w:pPr>
    <w:rPr>
      <w:rFonts w:ascii="Times" w:hAnsi="Times" w:cs="Times"/>
      <w:b/>
      <w:bCs/>
      <w:caps/>
      <w:sz w:val="28"/>
      <w:szCs w:val="28"/>
      <w:lang w:val="nl-NL" w:eastAsia="nl-NL"/>
    </w:rPr>
  </w:style>
  <w:style w:type="paragraph" w:customStyle="1" w:styleId="Bijkomendetitel3-12">
    <w:name w:val="Bijkomende titel 3-12"/>
    <w:basedOn w:val="Normal"/>
    <w:next w:val="Normal"/>
    <w:rsid w:val="00304EA1"/>
    <w:pPr>
      <w:widowControl/>
      <w:suppressAutoHyphens/>
      <w:autoSpaceDE/>
      <w:autoSpaceDN/>
      <w:adjustRightInd/>
      <w:spacing w:after="0"/>
      <w:ind w:firstLine="708"/>
    </w:pPr>
    <w:rPr>
      <w:rFonts w:ascii="Times" w:hAnsi="Times" w:cs="Times"/>
      <w:b/>
      <w:bCs/>
      <w:smallCaps/>
      <w:lang w:val="nl-NL" w:eastAsia="nl-NL"/>
    </w:rPr>
  </w:style>
  <w:style w:type="paragraph" w:customStyle="1" w:styleId="Bijlage">
    <w:name w:val="Bijlage"/>
    <w:basedOn w:val="Normal"/>
    <w:next w:val="Normal"/>
    <w:rsid w:val="00304EA1"/>
    <w:pPr>
      <w:widowControl/>
      <w:numPr>
        <w:numId w:val="24"/>
      </w:numPr>
      <w:tabs>
        <w:tab w:val="clear" w:pos="360"/>
        <w:tab w:val="num" w:pos="717"/>
        <w:tab w:val="num" w:pos="1440"/>
      </w:tabs>
      <w:suppressAutoHyphens/>
      <w:autoSpaceDE/>
      <w:autoSpaceDN/>
      <w:adjustRightInd/>
      <w:spacing w:after="0"/>
      <w:ind w:left="709" w:hanging="352"/>
      <w:jc w:val="left"/>
    </w:pPr>
    <w:rPr>
      <w:rFonts w:ascii="Arial" w:hAnsi="Arial" w:cs="Arial"/>
      <w:b/>
      <w:bCs/>
      <w:sz w:val="28"/>
      <w:szCs w:val="28"/>
      <w:lang w:val="nl-NL" w:eastAsia="nl-NL"/>
    </w:rPr>
  </w:style>
  <w:style w:type="paragraph" w:customStyle="1" w:styleId="figuur">
    <w:name w:val="figuur"/>
    <w:basedOn w:val="Normal"/>
    <w:rsid w:val="00304EA1"/>
    <w:pPr>
      <w:widowControl/>
      <w:numPr>
        <w:numId w:val="26"/>
      </w:numPr>
      <w:tabs>
        <w:tab w:val="clear" w:pos="360"/>
        <w:tab w:val="num" w:pos="720"/>
        <w:tab w:val="num" w:pos="1440"/>
      </w:tabs>
      <w:suppressAutoHyphens/>
      <w:autoSpaceDE/>
      <w:autoSpaceDN/>
      <w:adjustRightInd/>
      <w:spacing w:before="60" w:after="60" w:line="280" w:lineRule="atLeast"/>
      <w:jc w:val="center"/>
    </w:pPr>
    <w:rPr>
      <w:rFonts w:ascii="Times" w:hAnsi="Times" w:cs="Times"/>
      <w:b/>
      <w:bCs/>
      <w:lang w:val="nl-BE" w:eastAsia="nl-NL"/>
    </w:rPr>
  </w:style>
  <w:style w:type="paragraph" w:customStyle="1" w:styleId="Lijstnummering1">
    <w:name w:val="Lijstnummering1"/>
    <w:basedOn w:val="Normal"/>
    <w:rsid w:val="00304EA1"/>
    <w:pPr>
      <w:widowControl/>
      <w:numPr>
        <w:numId w:val="27"/>
      </w:numPr>
      <w:tabs>
        <w:tab w:val="clear" w:pos="360"/>
        <w:tab w:val="right" w:pos="709"/>
        <w:tab w:val="num" w:pos="1440"/>
      </w:tabs>
      <w:suppressAutoHyphens/>
      <w:autoSpaceDE/>
      <w:autoSpaceDN/>
      <w:adjustRightInd/>
      <w:spacing w:after="60"/>
      <w:ind w:left="709" w:hanging="352"/>
    </w:pPr>
    <w:rPr>
      <w:rFonts w:ascii="Times" w:hAnsi="Times" w:cs="Times"/>
      <w:lang w:val="nl-NL" w:eastAsia="nl-NL"/>
    </w:rPr>
  </w:style>
  <w:style w:type="paragraph" w:customStyle="1" w:styleId="Opsomming2">
    <w:name w:val="Opsomming 2"/>
    <w:basedOn w:val="Normal"/>
    <w:rsid w:val="00304EA1"/>
    <w:pPr>
      <w:widowControl/>
      <w:numPr>
        <w:numId w:val="25"/>
      </w:numPr>
      <w:tabs>
        <w:tab w:val="clear" w:pos="360"/>
        <w:tab w:val="num" w:pos="417"/>
        <w:tab w:val="num" w:pos="648"/>
        <w:tab w:val="num" w:pos="720"/>
        <w:tab w:val="left" w:pos="1060"/>
        <w:tab w:val="num" w:pos="1440"/>
      </w:tabs>
      <w:suppressAutoHyphens/>
      <w:autoSpaceDE/>
      <w:autoSpaceDN/>
      <w:adjustRightInd/>
      <w:spacing w:after="60"/>
      <w:ind w:left="1061" w:hanging="352"/>
    </w:pPr>
    <w:rPr>
      <w:rFonts w:ascii="Times" w:hAnsi="Times" w:cs="Times"/>
      <w:lang w:val="nl-NL" w:eastAsia="nl-NL"/>
    </w:rPr>
  </w:style>
  <w:style w:type="paragraph" w:customStyle="1" w:styleId="Opsomming3">
    <w:name w:val="Opsomming 3"/>
    <w:basedOn w:val="Normal"/>
    <w:rsid w:val="00304EA1"/>
    <w:pPr>
      <w:widowControl/>
      <w:numPr>
        <w:numId w:val="23"/>
      </w:numPr>
      <w:tabs>
        <w:tab w:val="num" w:pos="720"/>
        <w:tab w:val="left" w:pos="1412"/>
      </w:tabs>
      <w:suppressAutoHyphens/>
      <w:autoSpaceDE/>
      <w:autoSpaceDN/>
      <w:adjustRightInd/>
      <w:spacing w:after="60"/>
      <w:ind w:left="1412" w:hanging="352"/>
    </w:pPr>
    <w:rPr>
      <w:rFonts w:ascii="Times" w:hAnsi="Times" w:cs="Times"/>
      <w:lang w:val="nl-NL" w:eastAsia="nl-NL"/>
    </w:rPr>
  </w:style>
  <w:style w:type="paragraph" w:customStyle="1" w:styleId="Opsomming1">
    <w:name w:val="Opsomming 1"/>
    <w:basedOn w:val="Normal"/>
    <w:rsid w:val="00304EA1"/>
    <w:pPr>
      <w:widowControl/>
      <w:numPr>
        <w:numId w:val="22"/>
      </w:numPr>
      <w:tabs>
        <w:tab w:val="num" w:pos="709"/>
        <w:tab w:val="num" w:pos="1440"/>
      </w:tabs>
      <w:suppressAutoHyphens/>
      <w:autoSpaceDE/>
      <w:autoSpaceDN/>
      <w:adjustRightInd/>
      <w:spacing w:after="60"/>
      <w:ind w:left="709" w:hanging="352"/>
    </w:pPr>
    <w:rPr>
      <w:rFonts w:ascii="Times" w:hAnsi="Times" w:cs="Times"/>
      <w:lang w:val="nl-NL" w:eastAsia="nl-NL"/>
    </w:rPr>
  </w:style>
  <w:style w:type="paragraph" w:customStyle="1" w:styleId="SamenvattingKop2">
    <w:name w:val="Samenvatting Kop 2"/>
    <w:basedOn w:val="Normal"/>
    <w:next w:val="Normal"/>
    <w:rsid w:val="00304EA1"/>
    <w:pPr>
      <w:keepNext/>
      <w:widowControl/>
      <w:suppressAutoHyphens/>
      <w:autoSpaceDE/>
      <w:autoSpaceDN/>
      <w:adjustRightInd/>
      <w:spacing w:before="120"/>
      <w:jc w:val="left"/>
    </w:pPr>
    <w:rPr>
      <w:rFonts w:ascii="Times" w:hAnsi="Times" w:cs="Times"/>
      <w:b/>
      <w:bCs/>
      <w:caps/>
      <w:lang w:val="nl-NL" w:eastAsia="nl-NL"/>
    </w:rPr>
  </w:style>
  <w:style w:type="paragraph" w:customStyle="1" w:styleId="SamenvattingKop3">
    <w:name w:val="Samenvatting Kop 3"/>
    <w:basedOn w:val="Normal"/>
    <w:next w:val="Normal"/>
    <w:rsid w:val="00304EA1"/>
    <w:pPr>
      <w:keepNext/>
      <w:widowControl/>
      <w:suppressAutoHyphens/>
      <w:autoSpaceDE/>
      <w:autoSpaceDN/>
      <w:adjustRightInd/>
      <w:spacing w:after="0"/>
      <w:jc w:val="left"/>
    </w:pPr>
    <w:rPr>
      <w:rFonts w:ascii="Times" w:hAnsi="Times" w:cs="Times"/>
      <w:b/>
      <w:bCs/>
      <w:lang w:val="nl-NL" w:eastAsia="nl-NL"/>
    </w:rPr>
  </w:style>
  <w:style w:type="paragraph" w:customStyle="1" w:styleId="SamenvattingKop4">
    <w:name w:val="Samenvatting Kop 4"/>
    <w:basedOn w:val="Normal"/>
    <w:next w:val="Normal"/>
    <w:rsid w:val="00304EA1"/>
    <w:pPr>
      <w:keepNext/>
      <w:widowControl/>
      <w:suppressAutoHyphens/>
      <w:autoSpaceDE/>
      <w:autoSpaceDN/>
      <w:adjustRightInd/>
      <w:spacing w:after="0"/>
      <w:jc w:val="left"/>
    </w:pPr>
    <w:rPr>
      <w:rFonts w:ascii="Times" w:hAnsi="Times" w:cs="Times"/>
      <w:b/>
      <w:bCs/>
      <w:lang w:val="nl-NL" w:eastAsia="nl-NL"/>
    </w:rPr>
  </w:style>
  <w:style w:type="paragraph" w:customStyle="1" w:styleId="SamenvattingKop5">
    <w:name w:val="Samenvatting Kop 5"/>
    <w:basedOn w:val="Normal"/>
    <w:next w:val="Normal"/>
    <w:rsid w:val="00304EA1"/>
    <w:pPr>
      <w:keepNext/>
      <w:widowControl/>
      <w:suppressAutoHyphens/>
      <w:autoSpaceDE/>
      <w:autoSpaceDN/>
      <w:adjustRightInd/>
      <w:spacing w:after="0"/>
      <w:jc w:val="left"/>
    </w:pPr>
    <w:rPr>
      <w:rFonts w:ascii="Times" w:hAnsi="Times" w:cs="Times"/>
      <w:b/>
      <w:bCs/>
      <w:lang w:val="nl-NL" w:eastAsia="nl-NL"/>
    </w:rPr>
  </w:style>
  <w:style w:type="paragraph" w:customStyle="1" w:styleId="SamenvattingKop6">
    <w:name w:val="Samenvatting Kop 6"/>
    <w:basedOn w:val="Normal"/>
    <w:next w:val="Normal"/>
    <w:rsid w:val="00304EA1"/>
    <w:pPr>
      <w:keepNext/>
      <w:widowControl/>
      <w:suppressAutoHyphens/>
      <w:autoSpaceDE/>
      <w:autoSpaceDN/>
      <w:adjustRightInd/>
      <w:spacing w:after="0"/>
      <w:jc w:val="left"/>
    </w:pPr>
    <w:rPr>
      <w:rFonts w:ascii="Times" w:hAnsi="Times" w:cs="Times"/>
      <w:b/>
      <w:bCs/>
      <w:smallCaps/>
      <w:lang w:val="nl-NL" w:eastAsia="nl-NL"/>
    </w:rPr>
  </w:style>
  <w:style w:type="paragraph" w:customStyle="1" w:styleId="SamenvattingKop1">
    <w:name w:val="Samenvatting Kop 1"/>
    <w:basedOn w:val="Normal"/>
    <w:next w:val="Normal"/>
    <w:rsid w:val="00304EA1"/>
    <w:pPr>
      <w:keepNext/>
      <w:widowControl/>
      <w:suppressAutoHyphens/>
      <w:autoSpaceDE/>
      <w:autoSpaceDN/>
      <w:adjustRightInd/>
      <w:spacing w:before="120"/>
      <w:jc w:val="left"/>
    </w:pPr>
    <w:rPr>
      <w:rFonts w:ascii="Times" w:hAnsi="Times" w:cs="Times"/>
      <w:b/>
      <w:bCs/>
      <w:caps/>
      <w:kern w:val="28"/>
      <w:sz w:val="28"/>
      <w:szCs w:val="28"/>
      <w:lang w:val="nl-NL" w:eastAsia="nl-NL"/>
    </w:rPr>
  </w:style>
  <w:style w:type="paragraph" w:customStyle="1" w:styleId="Lijstnummering2">
    <w:name w:val="Lijstnummering2"/>
    <w:basedOn w:val="Normal"/>
    <w:rsid w:val="00304EA1"/>
    <w:pPr>
      <w:widowControl/>
      <w:numPr>
        <w:numId w:val="21"/>
      </w:numPr>
      <w:tabs>
        <w:tab w:val="clear" w:pos="360"/>
        <w:tab w:val="num" w:pos="720"/>
        <w:tab w:val="right" w:pos="1060"/>
      </w:tabs>
      <w:suppressAutoHyphens/>
      <w:autoSpaceDE/>
      <w:autoSpaceDN/>
      <w:adjustRightInd/>
      <w:spacing w:after="60"/>
      <w:ind w:left="1061"/>
    </w:pPr>
    <w:rPr>
      <w:rFonts w:ascii="Times" w:hAnsi="Times" w:cs="Times"/>
      <w:lang w:val="nl-NL" w:eastAsia="nl-NL"/>
    </w:rPr>
  </w:style>
  <w:style w:type="paragraph" w:customStyle="1" w:styleId="Lijstnummering3">
    <w:name w:val="Lijstnummering3"/>
    <w:basedOn w:val="Normal"/>
    <w:rsid w:val="00304EA1"/>
    <w:pPr>
      <w:widowControl/>
      <w:tabs>
        <w:tab w:val="num" w:pos="720"/>
        <w:tab w:val="left" w:pos="1412"/>
      </w:tabs>
      <w:suppressAutoHyphens/>
      <w:autoSpaceDE/>
      <w:autoSpaceDN/>
      <w:adjustRightInd/>
      <w:spacing w:after="60"/>
      <w:ind w:left="1412" w:hanging="360"/>
    </w:pPr>
    <w:rPr>
      <w:rFonts w:ascii="Times" w:hAnsi="Times" w:cs="Times"/>
      <w:lang w:val="nl-NL" w:eastAsia="nl-NL"/>
    </w:rPr>
  </w:style>
  <w:style w:type="paragraph" w:customStyle="1" w:styleId="Literature">
    <w:name w:val="Literature"/>
    <w:basedOn w:val="Normal"/>
    <w:next w:val="Normal"/>
    <w:rsid w:val="00304EA1"/>
    <w:pPr>
      <w:widowControl/>
      <w:numPr>
        <w:numId w:val="20"/>
      </w:numPr>
      <w:tabs>
        <w:tab w:val="clear" w:pos="360"/>
        <w:tab w:val="num" w:pos="720"/>
        <w:tab w:val="num" w:pos="1070"/>
        <w:tab w:val="num" w:pos="1320"/>
      </w:tabs>
      <w:autoSpaceDE/>
      <w:autoSpaceDN/>
      <w:adjustRightInd/>
      <w:spacing w:before="60" w:after="60" w:line="264" w:lineRule="auto"/>
      <w:ind w:left="720"/>
      <w:jc w:val="left"/>
    </w:pPr>
    <w:rPr>
      <w:rFonts w:ascii="Tahoma" w:hAnsi="Tahoma" w:cs="Tahoma"/>
      <w:b/>
      <w:bCs/>
      <w:i/>
      <w:iCs/>
      <w:color w:val="000000"/>
      <w:sz w:val="22"/>
      <w:szCs w:val="22"/>
      <w:lang w:val="nl-NL" w:eastAsia="nl-NL"/>
    </w:rPr>
  </w:style>
  <w:style w:type="paragraph" w:customStyle="1" w:styleId="H1">
    <w:name w:val="H1"/>
    <w:basedOn w:val="Normal"/>
    <w:rsid w:val="00304EA1"/>
    <w:pPr>
      <w:widowControl/>
      <w:autoSpaceDE/>
      <w:autoSpaceDN/>
      <w:adjustRightInd/>
      <w:spacing w:after="0"/>
    </w:pPr>
    <w:rPr>
      <w:rFonts w:ascii="Times" w:hAnsi="Times" w:cs="Times"/>
      <w:b/>
      <w:bCs/>
      <w:lang w:val="nl-NL" w:eastAsia="nl-NL"/>
    </w:rPr>
  </w:style>
  <w:style w:type="paragraph" w:customStyle="1" w:styleId="H2">
    <w:name w:val="H2"/>
    <w:basedOn w:val="Normal"/>
    <w:uiPriority w:val="99"/>
    <w:rsid w:val="00304EA1"/>
    <w:pPr>
      <w:widowControl/>
      <w:autoSpaceDE/>
      <w:autoSpaceDN/>
      <w:adjustRightInd/>
      <w:spacing w:after="0"/>
    </w:pPr>
    <w:rPr>
      <w:rFonts w:ascii="Times" w:hAnsi="Times" w:cs="Times"/>
      <w:b/>
      <w:bCs/>
      <w:lang w:eastAsia="nl-NL"/>
    </w:rPr>
  </w:style>
  <w:style w:type="paragraph" w:customStyle="1" w:styleId="xl24">
    <w:name w:val="xl24"/>
    <w:basedOn w:val="Normal"/>
    <w:uiPriority w:val="99"/>
    <w:rsid w:val="00304EA1"/>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left"/>
      <w:textAlignment w:val="top"/>
    </w:pPr>
    <w:rPr>
      <w:rFonts w:ascii="Times" w:hAnsi="Times" w:cs="Times"/>
      <w:sz w:val="18"/>
      <w:szCs w:val="18"/>
      <w:lang w:val="nl-NL" w:eastAsia="nl-NL"/>
    </w:rPr>
  </w:style>
  <w:style w:type="paragraph" w:customStyle="1" w:styleId="xl25">
    <w:name w:val="xl25"/>
    <w:basedOn w:val="Normal"/>
    <w:uiPriority w:val="99"/>
    <w:rsid w:val="00304EA1"/>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left"/>
      <w:textAlignment w:val="top"/>
    </w:pPr>
    <w:rPr>
      <w:rFonts w:ascii="Times" w:hAnsi="Times" w:cs="Times"/>
      <w:b/>
      <w:bCs/>
      <w:sz w:val="18"/>
      <w:szCs w:val="18"/>
      <w:lang w:val="nl-NL" w:eastAsia="nl-NL"/>
    </w:rPr>
  </w:style>
  <w:style w:type="paragraph" w:customStyle="1" w:styleId="xl26">
    <w:name w:val="xl26"/>
    <w:basedOn w:val="Normal"/>
    <w:uiPriority w:val="99"/>
    <w:rsid w:val="00304EA1"/>
    <w:pPr>
      <w:widowControl/>
      <w:pBdr>
        <w:top w:val="single" w:sz="4" w:space="0" w:color="auto"/>
        <w:bottom w:val="single" w:sz="4" w:space="0" w:color="auto"/>
        <w:right w:val="single" w:sz="4" w:space="0" w:color="auto"/>
      </w:pBdr>
      <w:autoSpaceDE/>
      <w:autoSpaceDN/>
      <w:adjustRightInd/>
      <w:spacing w:before="100" w:beforeAutospacing="1" w:after="100" w:afterAutospacing="1"/>
      <w:jc w:val="left"/>
      <w:textAlignment w:val="top"/>
    </w:pPr>
    <w:rPr>
      <w:rFonts w:ascii="Times" w:hAnsi="Times" w:cs="Times"/>
      <w:b/>
      <w:bCs/>
      <w:sz w:val="18"/>
      <w:szCs w:val="18"/>
      <w:lang w:val="nl-NL" w:eastAsia="nl-NL"/>
    </w:rPr>
  </w:style>
  <w:style w:type="paragraph" w:customStyle="1" w:styleId="tabel0">
    <w:name w:val="tabel"/>
    <w:basedOn w:val="Normal"/>
    <w:uiPriority w:val="99"/>
    <w:rsid w:val="00304EA1"/>
    <w:pPr>
      <w:widowControl/>
      <w:autoSpaceDE/>
      <w:autoSpaceDN/>
      <w:adjustRightInd/>
      <w:spacing w:before="100" w:beforeAutospacing="1" w:after="100" w:afterAutospacing="1"/>
      <w:jc w:val="left"/>
    </w:pPr>
    <w:rPr>
      <w:rFonts w:ascii="Times" w:hAnsi="Times" w:cs="Times"/>
      <w:lang w:val="nl-BE" w:eastAsia="nl-BE"/>
    </w:rPr>
  </w:style>
  <w:style w:type="paragraph" w:customStyle="1" w:styleId="Title14pt">
    <w:name w:val="Title14pt"/>
    <w:basedOn w:val="Normal"/>
    <w:next w:val="BodyText"/>
    <w:rsid w:val="00304EA1"/>
    <w:pPr>
      <w:keepNext/>
      <w:widowControl/>
      <w:autoSpaceDE/>
      <w:autoSpaceDN/>
      <w:adjustRightInd/>
      <w:spacing w:after="200"/>
      <w:jc w:val="left"/>
      <w:outlineLvl w:val="0"/>
    </w:pPr>
    <w:rPr>
      <w:rFonts w:ascii="Times New Roman Bold" w:hAnsi="Times New Roman Bold" w:cs="Times New Roman Bold"/>
      <w:b/>
      <w:bCs/>
      <w:caps/>
      <w:noProof/>
      <w:sz w:val="28"/>
      <w:szCs w:val="28"/>
    </w:rPr>
  </w:style>
  <w:style w:type="paragraph" w:customStyle="1" w:styleId="Legaltext">
    <w:name w:val="Legal text"/>
    <w:rsid w:val="00304EA1"/>
    <w:rPr>
      <w:rFonts w:ascii="Arial" w:hAnsi="Arial" w:cs="Arial"/>
      <w:sz w:val="24"/>
      <w:szCs w:val="24"/>
      <w:lang w:val="en-GB"/>
    </w:rPr>
  </w:style>
  <w:style w:type="paragraph" w:customStyle="1" w:styleId="ESRBodytext">
    <w:name w:val="ESR Body text"/>
    <w:basedOn w:val="Normal"/>
    <w:link w:val="ESRBodytextChar"/>
    <w:uiPriority w:val="99"/>
    <w:rsid w:val="00304EA1"/>
    <w:pPr>
      <w:widowControl/>
      <w:autoSpaceDE/>
      <w:autoSpaceDN/>
      <w:adjustRightInd/>
      <w:spacing w:after="0"/>
    </w:pPr>
    <w:rPr>
      <w:rFonts w:ascii="Times" w:hAnsi="Times" w:cs="Times"/>
      <w:lang w:eastAsia="en-GB"/>
    </w:rPr>
  </w:style>
  <w:style w:type="character" w:customStyle="1" w:styleId="ESRBodytextChar">
    <w:name w:val="ESR Body text Char"/>
    <w:basedOn w:val="DefaultParagraphFont"/>
    <w:link w:val="ESRBodytext"/>
    <w:uiPriority w:val="99"/>
    <w:rsid w:val="00304EA1"/>
    <w:rPr>
      <w:rFonts w:ascii="Times" w:hAnsi="Times" w:cs="Times"/>
      <w:sz w:val="24"/>
      <w:szCs w:val="24"/>
      <w:lang w:val="en-GB" w:eastAsia="en-GB"/>
    </w:rPr>
  </w:style>
  <w:style w:type="paragraph" w:customStyle="1" w:styleId="TablebodyCharChar">
    <w:name w:val="Table body Char Char"/>
    <w:link w:val="TablebodyCharCharChar"/>
    <w:uiPriority w:val="99"/>
    <w:rsid w:val="00304EA1"/>
    <w:pPr>
      <w:spacing w:before="70" w:after="54"/>
    </w:pPr>
    <w:rPr>
      <w:rFonts w:ascii="Arial Narrow" w:hAnsi="Arial Narrow" w:cs="Arial Narrow"/>
      <w:sz w:val="19"/>
      <w:szCs w:val="19"/>
      <w:lang w:val="en-GB"/>
    </w:rPr>
  </w:style>
  <w:style w:type="character" w:customStyle="1" w:styleId="TablebodyCharCharChar">
    <w:name w:val="Table body Char Char Char"/>
    <w:basedOn w:val="DefaultParagraphFont"/>
    <w:link w:val="TablebodyCharChar"/>
    <w:uiPriority w:val="99"/>
    <w:rsid w:val="00304EA1"/>
    <w:rPr>
      <w:rFonts w:ascii="Arial Narrow" w:hAnsi="Arial Narrow" w:cs="Arial Narrow"/>
      <w:sz w:val="19"/>
      <w:szCs w:val="19"/>
      <w:lang w:val="en-GB"/>
    </w:rPr>
  </w:style>
  <w:style w:type="character" w:customStyle="1" w:styleId="TablenoteChar">
    <w:name w:val="Table note Char"/>
    <w:basedOn w:val="DefaultParagraphFont"/>
    <w:rsid w:val="00304EA1"/>
    <w:rPr>
      <w:rFonts w:ascii="Arial Narrow" w:hAnsi="Arial Narrow" w:cs="Arial Narrow"/>
      <w:spacing w:val="-3"/>
      <w:kern w:val="28"/>
      <w:sz w:val="19"/>
      <w:szCs w:val="19"/>
      <w:lang w:val="en-GB" w:eastAsia="en-US"/>
    </w:rPr>
  </w:style>
  <w:style w:type="character" w:customStyle="1" w:styleId="TabletextCar">
    <w:name w:val="Table text Car"/>
    <w:basedOn w:val="DefaultParagraphFont"/>
    <w:link w:val="Tabletext"/>
    <w:rsid w:val="00304EA1"/>
    <w:rPr>
      <w:snapToGrid w:val="0"/>
      <w:lang w:eastAsia="da-DK"/>
    </w:rPr>
  </w:style>
  <w:style w:type="character" w:customStyle="1" w:styleId="BodyText2Char">
    <w:name w:val="Body Text 2 Char"/>
    <w:basedOn w:val="DefaultParagraphFont"/>
    <w:uiPriority w:val="99"/>
    <w:rsid w:val="00304EA1"/>
    <w:rPr>
      <w:sz w:val="24"/>
      <w:szCs w:val="24"/>
      <w:lang w:val="en-GB"/>
    </w:rPr>
  </w:style>
  <w:style w:type="character" w:customStyle="1" w:styleId="BodyText3Char">
    <w:name w:val="Body Text 3 Char"/>
    <w:basedOn w:val="DefaultParagraphFont"/>
    <w:link w:val="BodyText3"/>
    <w:rsid w:val="00304EA1"/>
    <w:rPr>
      <w:lang w:val="en-GB"/>
    </w:rPr>
  </w:style>
  <w:style w:type="character" w:customStyle="1" w:styleId="Char16">
    <w:name w:val="Char16"/>
    <w:basedOn w:val="DefaultParagraphFont"/>
    <w:uiPriority w:val="99"/>
    <w:rsid w:val="00304EA1"/>
    <w:rPr>
      <w:caps/>
      <w:noProof/>
      <w:sz w:val="24"/>
      <w:szCs w:val="24"/>
      <w:lang w:val="en-GB" w:eastAsia="en-US"/>
    </w:rPr>
  </w:style>
  <w:style w:type="character" w:customStyle="1" w:styleId="ListBulletChar">
    <w:name w:val="List Bullet Char"/>
    <w:basedOn w:val="DefaultParagraphFont"/>
    <w:link w:val="ListBullet"/>
    <w:rsid w:val="00304EA1"/>
    <w:rPr>
      <w:sz w:val="24"/>
    </w:rPr>
  </w:style>
  <w:style w:type="character" w:customStyle="1" w:styleId="ListNumberChar">
    <w:name w:val="List Number Char"/>
    <w:basedOn w:val="DefaultParagraphFont"/>
    <w:link w:val="ListNumber"/>
    <w:rsid w:val="00304EA1"/>
    <w:rPr>
      <w:sz w:val="24"/>
    </w:rPr>
  </w:style>
  <w:style w:type="character" w:customStyle="1" w:styleId="fCharChar2">
    <w:name w:val="f Char Char2"/>
    <w:aliases w:val="Voettekst Char Char Char2,f Char3,Voettekst Char Char3,Voettekst Char1 Char1,Footer Char3"/>
    <w:basedOn w:val="DefaultParagraphFont"/>
    <w:uiPriority w:val="99"/>
    <w:rsid w:val="00304EA1"/>
    <w:rPr>
      <w:caps/>
      <w:noProof/>
      <w:sz w:val="24"/>
      <w:szCs w:val="24"/>
      <w:lang w:val="en-GB" w:eastAsia="en-US"/>
    </w:rPr>
  </w:style>
  <w:style w:type="character" w:customStyle="1" w:styleId="BodyTextChar3">
    <w:name w:val="Body Text Char3"/>
    <w:aliases w:val="Body Text Char1 Char11,Platte tekst Char Char2 Char11,Platte tekst Char Char Char1 Char11,Platte tekst Char1 Char1 Char11,Body Text Char1 Char Char2,Body Text Char2 Char2,Platte tekst Char Char2 Char Char2"/>
    <w:basedOn w:val="DefaultParagraphFont"/>
    <w:rsid w:val="00304EA1"/>
    <w:rPr>
      <w:sz w:val="24"/>
      <w:szCs w:val="24"/>
      <w:lang w:val="en-GB" w:eastAsia="en-US"/>
    </w:rPr>
  </w:style>
  <w:style w:type="character" w:customStyle="1" w:styleId="Char12">
    <w:name w:val="Char12"/>
    <w:basedOn w:val="DefaultParagraphFont"/>
    <w:uiPriority w:val="99"/>
    <w:rsid w:val="00304EA1"/>
    <w:rPr>
      <w:lang w:val="en-GB"/>
    </w:rPr>
  </w:style>
  <w:style w:type="character" w:customStyle="1" w:styleId="EndnoteTextChar">
    <w:name w:val="Endnote Text Char"/>
    <w:basedOn w:val="DefaultParagraphFont"/>
    <w:link w:val="EndnoteText"/>
    <w:rsid w:val="00304EA1"/>
    <w:rPr>
      <w:lang w:val="en-GB"/>
    </w:rPr>
  </w:style>
  <w:style w:type="paragraph" w:customStyle="1" w:styleId="examplebox">
    <w:name w:val="example box"/>
    <w:basedOn w:val="Normal"/>
    <w:rsid w:val="00304EA1"/>
    <w:pPr>
      <w:widowControl/>
      <w:pBdr>
        <w:top w:val="single" w:sz="8" w:space="1" w:color="auto"/>
        <w:left w:val="single" w:sz="8" w:space="0" w:color="auto"/>
        <w:bottom w:val="single" w:sz="8" w:space="1" w:color="auto"/>
        <w:right w:val="single" w:sz="8" w:space="0" w:color="auto"/>
      </w:pBdr>
      <w:autoSpaceDE/>
      <w:autoSpaceDN/>
      <w:adjustRightInd/>
      <w:spacing w:after="180"/>
      <w:ind w:left="284" w:right="284"/>
    </w:pPr>
    <w:rPr>
      <w:rFonts w:ascii="Times" w:hAnsi="Times" w:cs="Times"/>
      <w:sz w:val="20"/>
      <w:szCs w:val="20"/>
    </w:rPr>
  </w:style>
  <w:style w:type="paragraph" w:customStyle="1" w:styleId="Sectiontitle">
    <w:name w:val="Section title"/>
    <w:basedOn w:val="Normal"/>
    <w:next w:val="BodyText"/>
    <w:rsid w:val="00304EA1"/>
    <w:pPr>
      <w:widowControl/>
      <w:autoSpaceDE/>
      <w:autoSpaceDN/>
      <w:adjustRightInd/>
      <w:spacing w:before="240" w:after="360"/>
      <w:jc w:val="center"/>
    </w:pPr>
    <w:rPr>
      <w:rFonts w:ascii="Times New Roman Bold" w:hAnsi="Times New Roman Bold" w:cs="Times New Roman Bold"/>
      <w:b/>
      <w:bCs/>
      <w:caps/>
      <w:sz w:val="32"/>
      <w:szCs w:val="32"/>
    </w:rPr>
  </w:style>
  <w:style w:type="paragraph" w:customStyle="1" w:styleId="Chaptertitle">
    <w:name w:val="Chapter title"/>
    <w:basedOn w:val="Normal"/>
    <w:next w:val="BodyText"/>
    <w:rsid w:val="00304EA1"/>
    <w:pPr>
      <w:widowControl/>
      <w:autoSpaceDE/>
      <w:autoSpaceDN/>
      <w:adjustRightInd/>
      <w:spacing w:before="240" w:after="360"/>
      <w:jc w:val="center"/>
    </w:pPr>
    <w:rPr>
      <w:rFonts w:ascii="Times New Roman Bold" w:hAnsi="Times New Roman Bold" w:cs="Times New Roman Bold"/>
      <w:b/>
      <w:bCs/>
      <w:caps/>
      <w:sz w:val="32"/>
      <w:szCs w:val="32"/>
    </w:rPr>
  </w:style>
  <w:style w:type="paragraph" w:customStyle="1" w:styleId="Tabletext-listbullet">
    <w:name w:val="Table text-list bullet"/>
    <w:basedOn w:val="Normal"/>
    <w:rsid w:val="00304EA1"/>
    <w:pPr>
      <w:keepNext/>
      <w:keepLines/>
      <w:widowControl/>
      <w:tabs>
        <w:tab w:val="num" w:pos="357"/>
      </w:tabs>
      <w:autoSpaceDE/>
      <w:autoSpaceDN/>
      <w:adjustRightInd/>
      <w:spacing w:before="54" w:after="54"/>
      <w:ind w:left="357" w:hanging="357"/>
      <w:jc w:val="left"/>
    </w:pPr>
    <w:rPr>
      <w:rFonts w:ascii="Times" w:hAnsi="Times" w:cs="Times"/>
      <w:lang w:eastAsia="da-DK"/>
    </w:rPr>
  </w:style>
  <w:style w:type="paragraph" w:customStyle="1" w:styleId="Tabletext-listnumbered">
    <w:name w:val="Table text - list numbered"/>
    <w:basedOn w:val="Normal"/>
    <w:link w:val="Tabletext-listnumberedChar"/>
    <w:rsid w:val="00304EA1"/>
    <w:pPr>
      <w:keepNext/>
      <w:keepLines/>
      <w:widowControl/>
      <w:tabs>
        <w:tab w:val="left" w:pos="357"/>
      </w:tabs>
      <w:autoSpaceDE/>
      <w:autoSpaceDN/>
      <w:adjustRightInd/>
      <w:spacing w:before="54" w:after="54"/>
      <w:ind w:left="357" w:hanging="357"/>
      <w:jc w:val="left"/>
    </w:pPr>
    <w:rPr>
      <w:rFonts w:ascii="Times" w:hAnsi="Times" w:cs="Times"/>
      <w:lang w:eastAsia="da-DK"/>
    </w:rPr>
  </w:style>
  <w:style w:type="character" w:customStyle="1" w:styleId="Tabletext-listnumberedChar">
    <w:name w:val="Table text - list numbered Char"/>
    <w:basedOn w:val="DefaultParagraphFont"/>
    <w:link w:val="Tabletext-listnumbered"/>
    <w:rsid w:val="00304EA1"/>
    <w:rPr>
      <w:rFonts w:ascii="Times" w:hAnsi="Times" w:cs="Times"/>
      <w:sz w:val="24"/>
      <w:szCs w:val="24"/>
      <w:lang w:eastAsia="da-DK"/>
    </w:rPr>
  </w:style>
  <w:style w:type="character" w:customStyle="1" w:styleId="Char111">
    <w:name w:val="Char111"/>
    <w:basedOn w:val="DefaultParagraphFont"/>
    <w:uiPriority w:val="99"/>
    <w:semiHidden/>
    <w:rsid w:val="00304EA1"/>
    <w:rPr>
      <w:lang w:val="en-GB"/>
    </w:rPr>
  </w:style>
  <w:style w:type="character" w:customStyle="1" w:styleId="Point0Char">
    <w:name w:val="Point 0 Char"/>
    <w:basedOn w:val="DefaultParagraphFont"/>
    <w:link w:val="Point0"/>
    <w:rsid w:val="00304EA1"/>
    <w:rPr>
      <w:rFonts w:ascii="Times" w:hAnsi="Times" w:cs="Times"/>
      <w:sz w:val="24"/>
      <w:szCs w:val="24"/>
      <w:lang w:val="en-GB"/>
    </w:rPr>
  </w:style>
  <w:style w:type="paragraph" w:customStyle="1" w:styleId="BodyText31">
    <w:name w:val="Body Text 31"/>
    <w:basedOn w:val="Normal"/>
    <w:rsid w:val="00304EA1"/>
    <w:pPr>
      <w:widowControl/>
      <w:autoSpaceDE/>
      <w:autoSpaceDN/>
      <w:adjustRightInd/>
      <w:spacing w:after="0" w:line="288" w:lineRule="auto"/>
      <w:jc w:val="left"/>
    </w:pPr>
    <w:rPr>
      <w:rFonts w:ascii="Times" w:hAnsi="Times" w:cs="Times"/>
      <w:b/>
      <w:bCs/>
      <w:lang w:eastAsia="nl-BE"/>
    </w:rPr>
  </w:style>
  <w:style w:type="paragraph" w:customStyle="1" w:styleId="PlattetekstopsAVH">
    <w:name w:val="Platte tekst ops AVH"/>
    <w:basedOn w:val="Normal"/>
    <w:uiPriority w:val="99"/>
    <w:rsid w:val="00304EA1"/>
    <w:pPr>
      <w:widowControl/>
      <w:tabs>
        <w:tab w:val="num" w:pos="720"/>
      </w:tabs>
      <w:autoSpaceDE/>
      <w:autoSpaceDN/>
      <w:adjustRightInd/>
      <w:spacing w:after="0"/>
      <w:ind w:left="720" w:hanging="360"/>
    </w:pPr>
    <w:rPr>
      <w:rFonts w:ascii="Times" w:hAnsi="Times" w:cs="Times"/>
    </w:rPr>
  </w:style>
  <w:style w:type="paragraph" w:styleId="DocumentMap">
    <w:name w:val="Document Map"/>
    <w:basedOn w:val="Normal"/>
    <w:link w:val="DocumentMapChar"/>
    <w:rsid w:val="00304EA1"/>
    <w:pPr>
      <w:widowControl/>
      <w:autoSpaceDE/>
      <w:autoSpaceDN/>
      <w:adjustRightInd/>
      <w:spacing w:after="180"/>
    </w:pPr>
    <w:rPr>
      <w:rFonts w:ascii="Lucida Grande" w:hAnsi="Lucida Grande" w:cs="Lucida Grande"/>
      <w:lang w:eastAsia="de-DE"/>
    </w:rPr>
  </w:style>
  <w:style w:type="character" w:customStyle="1" w:styleId="DocumentMapChar">
    <w:name w:val="Document Map Char"/>
    <w:basedOn w:val="DefaultParagraphFont"/>
    <w:link w:val="DocumentMap"/>
    <w:rsid w:val="00304EA1"/>
    <w:rPr>
      <w:rFonts w:ascii="Lucida Grande" w:hAnsi="Lucida Grande" w:cs="Lucida Grande"/>
      <w:sz w:val="24"/>
      <w:szCs w:val="24"/>
      <w:lang w:val="en-GB" w:eastAsia="de-DE"/>
    </w:rPr>
  </w:style>
  <w:style w:type="paragraph" w:customStyle="1" w:styleId="TablebodyCharChar1">
    <w:name w:val="Table body Char Char1"/>
    <w:link w:val="TablebodyCharChar1Char"/>
    <w:uiPriority w:val="99"/>
    <w:rsid w:val="00304EA1"/>
    <w:pPr>
      <w:spacing w:before="70" w:after="54"/>
    </w:pPr>
    <w:rPr>
      <w:rFonts w:ascii="Arial Narrow" w:hAnsi="Arial Narrow" w:cs="Arial Narrow"/>
      <w:sz w:val="19"/>
      <w:szCs w:val="19"/>
      <w:lang w:val="en-GB"/>
    </w:rPr>
  </w:style>
  <w:style w:type="character" w:customStyle="1" w:styleId="TablebodyCharChar1Char">
    <w:name w:val="Table body Char Char1 Char"/>
    <w:basedOn w:val="DefaultParagraphFont"/>
    <w:link w:val="TablebodyCharChar1"/>
    <w:uiPriority w:val="99"/>
    <w:rsid w:val="00304EA1"/>
    <w:rPr>
      <w:rFonts w:ascii="Arial Narrow" w:hAnsi="Arial Narrow" w:cs="Arial Narrow"/>
      <w:sz w:val="19"/>
      <w:szCs w:val="19"/>
      <w:lang w:val="en-GB"/>
    </w:rPr>
  </w:style>
  <w:style w:type="paragraph" w:styleId="BodyTextIndent3">
    <w:name w:val="Body Text Indent 3"/>
    <w:basedOn w:val="Normal"/>
    <w:link w:val="BodyTextIndent3Char"/>
    <w:rsid w:val="00304EA1"/>
    <w:pPr>
      <w:widowControl/>
      <w:autoSpaceDE/>
      <w:autoSpaceDN/>
      <w:adjustRightInd/>
      <w:spacing w:after="0"/>
      <w:ind w:left="709" w:hanging="709"/>
      <w:jc w:val="left"/>
    </w:pPr>
    <w:rPr>
      <w:rFonts w:ascii="Times" w:hAnsi="Times" w:cs="Times"/>
      <w:lang w:eastAsia="de-DE"/>
    </w:rPr>
  </w:style>
  <w:style w:type="character" w:customStyle="1" w:styleId="BodyTextIndent3Char">
    <w:name w:val="Body Text Indent 3 Char"/>
    <w:basedOn w:val="DefaultParagraphFont"/>
    <w:link w:val="BodyTextIndent3"/>
    <w:rsid w:val="00304EA1"/>
    <w:rPr>
      <w:rFonts w:ascii="Times" w:hAnsi="Times" w:cs="Times"/>
      <w:sz w:val="24"/>
      <w:szCs w:val="24"/>
      <w:lang w:val="en-GB" w:eastAsia="de-DE"/>
    </w:rPr>
  </w:style>
  <w:style w:type="character" w:customStyle="1" w:styleId="TitleChar">
    <w:name w:val="Title Char"/>
    <w:basedOn w:val="DefaultParagraphFont"/>
    <w:link w:val="Title"/>
    <w:rsid w:val="00304EA1"/>
    <w:rPr>
      <w:rFonts w:ascii="Algerian" w:hAnsi="Algerian" w:cs="Arial"/>
      <w:b/>
      <w:bCs/>
      <w:i/>
      <w:kern w:val="28"/>
      <w:sz w:val="72"/>
      <w:szCs w:val="32"/>
      <w:lang w:val="en-GB"/>
    </w:rPr>
  </w:style>
  <w:style w:type="character" w:customStyle="1" w:styleId="SubtitleChar">
    <w:name w:val="Subtitle Char"/>
    <w:basedOn w:val="DefaultParagraphFont"/>
    <w:link w:val="Subtitle"/>
    <w:rsid w:val="00304EA1"/>
    <w:rPr>
      <w:rFonts w:ascii="Algerian" w:hAnsi="Algerian"/>
      <w:b/>
      <w:i/>
      <w:sz w:val="40"/>
    </w:rPr>
  </w:style>
  <w:style w:type="paragraph" w:styleId="ListBullet4">
    <w:name w:val="List Bullet 4"/>
    <w:basedOn w:val="Normal"/>
    <w:autoRedefine/>
    <w:rsid w:val="00304EA1"/>
    <w:pPr>
      <w:widowControl/>
      <w:autoSpaceDE/>
      <w:autoSpaceDN/>
      <w:adjustRightInd/>
      <w:spacing w:after="0"/>
      <w:ind w:left="360" w:hanging="360"/>
      <w:jc w:val="left"/>
    </w:pPr>
    <w:rPr>
      <w:rFonts w:ascii="Times" w:hAnsi="Times" w:cs="Times"/>
    </w:rPr>
  </w:style>
  <w:style w:type="paragraph" w:styleId="ListBullet5">
    <w:name w:val="List Bullet 5"/>
    <w:basedOn w:val="Normal"/>
    <w:autoRedefine/>
    <w:rsid w:val="00304EA1"/>
    <w:pPr>
      <w:widowControl/>
      <w:tabs>
        <w:tab w:val="num" w:pos="1134"/>
      </w:tabs>
      <w:autoSpaceDE/>
      <w:autoSpaceDN/>
      <w:adjustRightInd/>
      <w:spacing w:after="0"/>
      <w:ind w:left="1134" w:hanging="1134"/>
      <w:jc w:val="left"/>
    </w:pPr>
    <w:rPr>
      <w:rFonts w:ascii="Times" w:hAnsi="Times" w:cs="Times"/>
    </w:rPr>
  </w:style>
  <w:style w:type="paragraph" w:styleId="ListNumber3">
    <w:name w:val="List Number 3"/>
    <w:basedOn w:val="Normal"/>
    <w:rsid w:val="00304EA1"/>
    <w:pPr>
      <w:widowControl/>
      <w:tabs>
        <w:tab w:val="num" w:pos="1843"/>
      </w:tabs>
      <w:autoSpaceDE/>
      <w:autoSpaceDN/>
      <w:adjustRightInd/>
      <w:spacing w:after="0"/>
      <w:ind w:left="1843" w:hanging="1843"/>
      <w:jc w:val="left"/>
    </w:pPr>
    <w:rPr>
      <w:rFonts w:ascii="Times" w:hAnsi="Times" w:cs="Times"/>
    </w:rPr>
  </w:style>
  <w:style w:type="paragraph" w:styleId="ListNumber4">
    <w:name w:val="List Number 4"/>
    <w:basedOn w:val="Normal"/>
    <w:rsid w:val="00304EA1"/>
    <w:pPr>
      <w:widowControl/>
      <w:autoSpaceDE/>
      <w:autoSpaceDN/>
      <w:adjustRightInd/>
      <w:spacing w:after="0"/>
      <w:ind w:left="360" w:hanging="360"/>
      <w:jc w:val="left"/>
    </w:pPr>
    <w:rPr>
      <w:rFonts w:ascii="Times" w:hAnsi="Times" w:cs="Times"/>
    </w:rPr>
  </w:style>
  <w:style w:type="paragraph" w:styleId="ListNumber5">
    <w:name w:val="List Number 5"/>
    <w:basedOn w:val="Normal"/>
    <w:rsid w:val="00304EA1"/>
    <w:pPr>
      <w:widowControl/>
      <w:tabs>
        <w:tab w:val="num" w:pos="360"/>
      </w:tabs>
      <w:autoSpaceDE/>
      <w:autoSpaceDN/>
      <w:adjustRightInd/>
      <w:spacing w:after="0"/>
      <w:jc w:val="left"/>
    </w:pPr>
    <w:rPr>
      <w:rFonts w:ascii="Times" w:hAnsi="Times" w:cs="Times"/>
    </w:rPr>
  </w:style>
  <w:style w:type="paragraph" w:styleId="TOAHeading">
    <w:name w:val="toa heading"/>
    <w:basedOn w:val="Normal"/>
    <w:next w:val="Normal"/>
    <w:uiPriority w:val="99"/>
    <w:semiHidden/>
    <w:rsid w:val="00304EA1"/>
    <w:pPr>
      <w:widowControl/>
      <w:tabs>
        <w:tab w:val="left" w:pos="9000"/>
        <w:tab w:val="right" w:pos="9360"/>
      </w:tabs>
      <w:suppressAutoHyphens/>
      <w:autoSpaceDE/>
      <w:autoSpaceDN/>
      <w:adjustRightInd/>
      <w:spacing w:after="0"/>
      <w:jc w:val="left"/>
    </w:pPr>
    <w:rPr>
      <w:rFonts w:ascii="Times" w:hAnsi="Times" w:cs="Times"/>
    </w:rPr>
  </w:style>
  <w:style w:type="character" w:customStyle="1" w:styleId="TablenoteCharChar">
    <w:name w:val="Table note Char Char"/>
    <w:basedOn w:val="DefaultParagraphFont"/>
    <w:uiPriority w:val="99"/>
    <w:rsid w:val="00304EA1"/>
    <w:rPr>
      <w:rFonts w:ascii="Arial Narrow" w:hAnsi="Arial Narrow" w:cs="Arial Narrow"/>
      <w:spacing w:val="-3"/>
      <w:kern w:val="28"/>
      <w:sz w:val="19"/>
      <w:szCs w:val="19"/>
      <w:lang w:val="en-GB" w:eastAsia="en-US"/>
    </w:rPr>
  </w:style>
  <w:style w:type="paragraph" w:styleId="TableofAuthorities">
    <w:name w:val="table of authorities"/>
    <w:basedOn w:val="Normal"/>
    <w:next w:val="Normal"/>
    <w:uiPriority w:val="99"/>
    <w:semiHidden/>
    <w:rsid w:val="00304EA1"/>
    <w:pPr>
      <w:widowControl/>
      <w:autoSpaceDE/>
      <w:autoSpaceDN/>
      <w:adjustRightInd/>
      <w:spacing w:after="0"/>
      <w:ind w:left="240" w:hanging="240"/>
      <w:jc w:val="left"/>
    </w:pPr>
    <w:rPr>
      <w:rFonts w:ascii="Times" w:hAnsi="Times" w:cs="Times"/>
    </w:rPr>
  </w:style>
  <w:style w:type="paragraph" w:customStyle="1" w:styleId="Tabletitlecontinued">
    <w:name w:val="Table title continued"/>
    <w:next w:val="BodyText"/>
    <w:rsid w:val="00304EA1"/>
    <w:pPr>
      <w:spacing w:after="90"/>
    </w:pPr>
    <w:rPr>
      <w:rFonts w:ascii="Arial Narrow" w:hAnsi="Arial Narrow" w:cs="Arial Narrow"/>
      <w:sz w:val="24"/>
      <w:szCs w:val="24"/>
    </w:rPr>
  </w:style>
  <w:style w:type="character" w:customStyle="1" w:styleId="TableheadingCharChar1">
    <w:name w:val="Table heading Char Char1"/>
    <w:basedOn w:val="DefaultParagraphFont"/>
    <w:uiPriority w:val="99"/>
    <w:rsid w:val="00304EA1"/>
    <w:rPr>
      <w:rFonts w:ascii="Arial Narrow" w:hAnsi="Arial Narrow" w:cs="Arial Narrow"/>
      <w:b/>
      <w:bCs/>
      <w:sz w:val="19"/>
      <w:szCs w:val="19"/>
      <w:lang w:val="en-GB" w:eastAsia="en-US"/>
    </w:rPr>
  </w:style>
  <w:style w:type="paragraph" w:customStyle="1" w:styleId="Chapter0">
    <w:name w:val="Chapter 0"/>
    <w:next w:val="BodyText"/>
    <w:autoRedefine/>
    <w:rsid w:val="00304EA1"/>
    <w:pPr>
      <w:tabs>
        <w:tab w:val="num" w:pos="1843"/>
      </w:tabs>
      <w:spacing w:after="120"/>
      <w:ind w:left="1843" w:hanging="1843"/>
    </w:pPr>
    <w:rPr>
      <w:rFonts w:ascii="Times New Roman Bold" w:hAnsi="Times New Roman Bold" w:cs="Times New Roman Bold"/>
      <w:b/>
      <w:bCs/>
      <w:caps/>
      <w:noProof/>
      <w:sz w:val="28"/>
      <w:szCs w:val="28"/>
    </w:rPr>
  </w:style>
  <w:style w:type="paragraph" w:styleId="ListContinue">
    <w:name w:val="List Continue"/>
    <w:basedOn w:val="Normal"/>
    <w:rsid w:val="00304EA1"/>
    <w:pPr>
      <w:widowControl/>
      <w:autoSpaceDE/>
      <w:autoSpaceDN/>
      <w:adjustRightInd/>
      <w:spacing w:after="120"/>
      <w:ind w:left="360"/>
    </w:pPr>
    <w:rPr>
      <w:rFonts w:ascii="Times" w:hAnsi="Times" w:cs="Times"/>
    </w:rPr>
  </w:style>
  <w:style w:type="paragraph" w:styleId="EnvelopeAddress">
    <w:name w:val="envelope address"/>
    <w:basedOn w:val="Normal"/>
    <w:rsid w:val="00304EA1"/>
    <w:pPr>
      <w:framePr w:w="7920" w:h="1980" w:hRule="exact" w:hSpace="180" w:wrap="auto" w:hAnchor="page" w:xAlign="center" w:yAlign="bottom"/>
      <w:widowControl/>
      <w:autoSpaceDE/>
      <w:autoSpaceDN/>
      <w:adjustRightInd/>
      <w:spacing w:after="0"/>
      <w:ind w:left="2880"/>
      <w:jc w:val="left"/>
    </w:pPr>
    <w:rPr>
      <w:rFonts w:ascii="Arial" w:hAnsi="Arial" w:cs="Arial"/>
    </w:rPr>
  </w:style>
  <w:style w:type="paragraph" w:customStyle="1" w:styleId="Tablenotecontinued">
    <w:name w:val="Table note continued"/>
    <w:next w:val="BodyText"/>
    <w:rsid w:val="00304EA1"/>
    <w:pPr>
      <w:spacing w:after="90"/>
    </w:pPr>
    <w:rPr>
      <w:rFonts w:ascii="Arial Narrow" w:hAnsi="Arial Narrow" w:cs="Arial Narrow"/>
      <w:sz w:val="24"/>
      <w:szCs w:val="24"/>
    </w:rPr>
  </w:style>
  <w:style w:type="character" w:styleId="HTMLTypewriter">
    <w:name w:val="HTML Typewriter"/>
    <w:basedOn w:val="DefaultParagraphFont"/>
    <w:rsid w:val="00304EA1"/>
    <w:rPr>
      <w:rFonts w:ascii="Courier New" w:hAnsi="Courier New" w:cs="Courier New"/>
      <w:sz w:val="20"/>
      <w:szCs w:val="20"/>
    </w:rPr>
  </w:style>
  <w:style w:type="paragraph" w:styleId="NormalIndent">
    <w:name w:val="Normal Indent"/>
    <w:basedOn w:val="Normal"/>
    <w:rsid w:val="00304EA1"/>
    <w:pPr>
      <w:widowControl/>
      <w:tabs>
        <w:tab w:val="num" w:pos="1317"/>
      </w:tabs>
      <w:suppressAutoHyphens/>
      <w:autoSpaceDE/>
      <w:autoSpaceDN/>
      <w:adjustRightInd/>
      <w:spacing w:after="120" w:line="264" w:lineRule="auto"/>
      <w:ind w:left="709" w:hanging="1077"/>
    </w:pPr>
    <w:rPr>
      <w:rFonts w:ascii="Tahoma" w:hAnsi="Tahoma" w:cs="Tahoma"/>
      <w:sz w:val="20"/>
      <w:szCs w:val="20"/>
      <w:lang w:val="nl-NL" w:eastAsia="nl-BE"/>
    </w:rPr>
  </w:style>
  <w:style w:type="paragraph" w:customStyle="1" w:styleId="StandaardLinks">
    <w:name w:val="Standaard + Links"/>
    <w:aliases w:val="Links:  0 cm,Verkeerd-om:  1,24 cm"/>
    <w:basedOn w:val="Normal"/>
    <w:rsid w:val="00304EA1"/>
    <w:pPr>
      <w:widowControl/>
      <w:suppressAutoHyphens/>
      <w:autoSpaceDE/>
      <w:autoSpaceDN/>
      <w:adjustRightInd/>
      <w:spacing w:before="120" w:after="120" w:line="264" w:lineRule="auto"/>
      <w:ind w:left="705" w:hanging="705"/>
      <w:jc w:val="left"/>
    </w:pPr>
    <w:rPr>
      <w:rFonts w:ascii="Tahoma" w:hAnsi="Tahoma" w:cs="Tahoma"/>
      <w:sz w:val="20"/>
      <w:szCs w:val="20"/>
      <w:lang w:eastAsia="nl-BE"/>
    </w:rPr>
  </w:style>
  <w:style w:type="paragraph" w:customStyle="1" w:styleId="Opsomming1CharChar">
    <w:name w:val="Opsomming 1 Char Char"/>
    <w:basedOn w:val="Normal"/>
    <w:link w:val="Opsomming1CharCharChar"/>
    <w:rsid w:val="00304EA1"/>
    <w:pPr>
      <w:widowControl/>
      <w:tabs>
        <w:tab w:val="num" w:pos="709"/>
      </w:tabs>
      <w:suppressAutoHyphens/>
      <w:autoSpaceDE/>
      <w:autoSpaceDN/>
      <w:adjustRightInd/>
      <w:spacing w:after="60" w:line="264" w:lineRule="auto"/>
      <w:ind w:left="714" w:hanging="357"/>
    </w:pPr>
    <w:rPr>
      <w:rFonts w:ascii="Tahoma" w:hAnsi="Tahoma" w:cs="Tahoma"/>
      <w:color w:val="000000"/>
      <w:lang w:eastAsia="nl-BE"/>
    </w:rPr>
  </w:style>
  <w:style w:type="character" w:customStyle="1" w:styleId="Opsomming1CharCharChar">
    <w:name w:val="Opsomming 1 Char Char Char"/>
    <w:basedOn w:val="DefaultParagraphFont"/>
    <w:link w:val="Opsomming1CharChar"/>
    <w:rsid w:val="00304EA1"/>
    <w:rPr>
      <w:rFonts w:ascii="Tahoma" w:hAnsi="Tahoma" w:cs="Tahoma"/>
      <w:color w:val="000000"/>
      <w:sz w:val="24"/>
      <w:szCs w:val="24"/>
      <w:lang w:val="en-GB" w:eastAsia="nl-BE"/>
    </w:rPr>
  </w:style>
  <w:style w:type="paragraph" w:customStyle="1" w:styleId="BodyText21">
    <w:name w:val="Body Text 21"/>
    <w:basedOn w:val="Normal"/>
    <w:rsid w:val="00304EA1"/>
    <w:pPr>
      <w:widowControl/>
      <w:autoSpaceDE/>
      <w:autoSpaceDN/>
      <w:adjustRightInd/>
      <w:spacing w:after="0"/>
      <w:jc w:val="left"/>
    </w:pPr>
    <w:rPr>
      <w:rFonts w:ascii="Optimum" w:hAnsi="Optimum" w:cs="Optimum"/>
      <w:sz w:val="22"/>
      <w:szCs w:val="22"/>
      <w:lang w:eastAsia="nl-BE"/>
    </w:rPr>
  </w:style>
  <w:style w:type="paragraph" w:customStyle="1" w:styleId="Header3Char">
    <w:name w:val="Header 3 Char"/>
    <w:basedOn w:val="Normal"/>
    <w:link w:val="Header3CharChar"/>
    <w:uiPriority w:val="99"/>
    <w:rsid w:val="00304EA1"/>
    <w:pPr>
      <w:keepNext/>
      <w:widowControl/>
      <w:tabs>
        <w:tab w:val="num" w:pos="1077"/>
        <w:tab w:val="num" w:pos="1317"/>
        <w:tab w:val="num" w:pos="2160"/>
        <w:tab w:val="num" w:pos="2226"/>
      </w:tabs>
      <w:autoSpaceDE/>
      <w:autoSpaceDN/>
      <w:adjustRightInd/>
      <w:spacing w:after="0" w:line="264" w:lineRule="auto"/>
      <w:ind w:left="504" w:hanging="504"/>
      <w:outlineLvl w:val="2"/>
    </w:pPr>
    <w:rPr>
      <w:rFonts w:ascii="Times New Roman Bold" w:hAnsi="Times New Roman Bold" w:cs="Times New Roman Bold"/>
      <w:b/>
      <w:bCs/>
    </w:rPr>
  </w:style>
  <w:style w:type="character" w:customStyle="1" w:styleId="Header3CharChar">
    <w:name w:val="Header 3 Char Char"/>
    <w:basedOn w:val="DefaultParagraphFont"/>
    <w:link w:val="Header3Char"/>
    <w:uiPriority w:val="99"/>
    <w:rsid w:val="00304EA1"/>
    <w:rPr>
      <w:rFonts w:ascii="Times New Roman Bold" w:hAnsi="Times New Roman Bold" w:cs="Times New Roman Bold"/>
      <w:b/>
      <w:bCs/>
      <w:sz w:val="24"/>
      <w:szCs w:val="24"/>
      <w:lang w:val="en-GB"/>
    </w:rPr>
  </w:style>
  <w:style w:type="paragraph" w:customStyle="1" w:styleId="Header4">
    <w:name w:val="Header 4"/>
    <w:basedOn w:val="Normal"/>
    <w:rsid w:val="00304EA1"/>
    <w:pPr>
      <w:keepNext/>
      <w:widowControl/>
      <w:tabs>
        <w:tab w:val="num" w:pos="720"/>
        <w:tab w:val="num" w:pos="1077"/>
        <w:tab w:val="num" w:pos="1317"/>
        <w:tab w:val="num" w:pos="1701"/>
        <w:tab w:val="num" w:pos="2160"/>
        <w:tab w:val="num" w:pos="2226"/>
      </w:tabs>
      <w:autoSpaceDE/>
      <w:autoSpaceDN/>
      <w:adjustRightInd/>
      <w:spacing w:after="0" w:line="264" w:lineRule="auto"/>
      <w:ind w:left="1701" w:hanging="1701"/>
      <w:outlineLvl w:val="2"/>
    </w:pPr>
    <w:rPr>
      <w:rFonts w:ascii="Times New Roman Bold" w:hAnsi="Times New Roman Bold" w:cs="Times New Roman Bold"/>
      <w:b/>
      <w:bCs/>
    </w:rPr>
  </w:style>
  <w:style w:type="paragraph" w:customStyle="1" w:styleId="Heading40">
    <w:name w:val="Heading 4µ"/>
    <w:basedOn w:val="Normal"/>
    <w:rsid w:val="00304EA1"/>
    <w:pPr>
      <w:keepNext/>
      <w:widowControl/>
      <w:tabs>
        <w:tab w:val="num" w:pos="1077"/>
        <w:tab w:val="num" w:pos="1317"/>
        <w:tab w:val="num" w:pos="2880"/>
        <w:tab w:val="num" w:pos="2946"/>
      </w:tabs>
      <w:autoSpaceDE/>
      <w:autoSpaceDN/>
      <w:adjustRightInd/>
      <w:spacing w:before="360" w:after="200"/>
      <w:ind w:left="2946" w:hanging="360"/>
      <w:jc w:val="left"/>
      <w:outlineLvl w:val="3"/>
    </w:pPr>
    <w:rPr>
      <w:rFonts w:ascii="Times New Roman Bold" w:hAnsi="Times New Roman Bold" w:cs="Times New Roman Bold"/>
      <w:b/>
      <w:bCs/>
      <w:caps/>
    </w:rPr>
  </w:style>
  <w:style w:type="paragraph" w:customStyle="1" w:styleId="OpmaakprofielBijschriftLinks075cm">
    <w:name w:val="Opmaakprofiel Bijschrift + Links:  0.75 cm"/>
    <w:basedOn w:val="Normal"/>
    <w:uiPriority w:val="99"/>
    <w:rsid w:val="00304EA1"/>
    <w:pPr>
      <w:keepNext/>
      <w:widowControl/>
      <w:tabs>
        <w:tab w:val="left" w:pos="960"/>
      </w:tabs>
      <w:autoSpaceDE/>
      <w:autoSpaceDN/>
      <w:adjustRightInd/>
      <w:spacing w:before="240" w:after="90"/>
      <w:ind w:left="425"/>
      <w:jc w:val="left"/>
    </w:pPr>
    <w:rPr>
      <w:rFonts w:ascii="Arial Narrow" w:hAnsi="Arial Narrow" w:cs="Arial Narrow"/>
      <w:b/>
      <w:bCs/>
      <w:sz w:val="20"/>
      <w:szCs w:val="20"/>
    </w:rPr>
  </w:style>
  <w:style w:type="paragraph" w:customStyle="1" w:styleId="Kopavh11">
    <w:name w:val="Kop avh11"/>
    <w:basedOn w:val="Normal"/>
    <w:uiPriority w:val="99"/>
    <w:rsid w:val="00304EA1"/>
    <w:pPr>
      <w:widowControl/>
      <w:autoSpaceDE/>
      <w:autoSpaceDN/>
      <w:adjustRightInd/>
      <w:spacing w:before="360" w:after="180"/>
    </w:pPr>
    <w:rPr>
      <w:rFonts w:ascii="Times" w:hAnsi="Times" w:cs="Times"/>
      <w:b/>
      <w:bCs/>
    </w:rPr>
  </w:style>
  <w:style w:type="paragraph" w:customStyle="1" w:styleId="Kopavh12">
    <w:name w:val="Kop avh12"/>
    <w:basedOn w:val="Normal"/>
    <w:uiPriority w:val="99"/>
    <w:rsid w:val="00304EA1"/>
    <w:pPr>
      <w:widowControl/>
      <w:tabs>
        <w:tab w:val="num" w:pos="244"/>
      </w:tabs>
      <w:autoSpaceDE/>
      <w:autoSpaceDN/>
      <w:adjustRightInd/>
      <w:spacing w:before="360" w:after="180"/>
      <w:ind w:left="360" w:hanging="360"/>
    </w:pPr>
    <w:rPr>
      <w:rFonts w:ascii="Times" w:hAnsi="Times" w:cs="Times"/>
      <w:b/>
      <w:bCs/>
      <w:u w:val="single"/>
    </w:rPr>
  </w:style>
  <w:style w:type="paragraph" w:customStyle="1" w:styleId="Kopavh10">
    <w:name w:val="Kop avh10"/>
    <w:basedOn w:val="Normal"/>
    <w:uiPriority w:val="99"/>
    <w:rsid w:val="00304EA1"/>
    <w:pPr>
      <w:widowControl/>
      <w:autoSpaceDE/>
      <w:autoSpaceDN/>
      <w:adjustRightInd/>
      <w:spacing w:before="360" w:after="180"/>
    </w:pPr>
    <w:rPr>
      <w:rFonts w:ascii="Times" w:hAnsi="Times" w:cs="Times"/>
      <w:b/>
      <w:bCs/>
      <w:i/>
      <w:iCs/>
      <w:smallCaps/>
      <w:u w:val="single"/>
    </w:rPr>
  </w:style>
  <w:style w:type="paragraph" w:customStyle="1" w:styleId="Kopavh13">
    <w:name w:val="Kop avh13"/>
    <w:basedOn w:val="Normal"/>
    <w:uiPriority w:val="99"/>
    <w:rsid w:val="00304EA1"/>
    <w:pPr>
      <w:widowControl/>
      <w:tabs>
        <w:tab w:val="num" w:pos="1428"/>
      </w:tabs>
      <w:autoSpaceDE/>
      <w:autoSpaceDN/>
      <w:adjustRightInd/>
      <w:spacing w:before="360" w:after="180"/>
      <w:ind w:left="1429" w:hanging="692"/>
    </w:pPr>
    <w:rPr>
      <w:rFonts w:ascii="Times" w:hAnsi="Times" w:cs="Times"/>
      <w:i/>
      <w:iCs/>
      <w:u w:val="single"/>
    </w:rPr>
  </w:style>
  <w:style w:type="paragraph" w:customStyle="1" w:styleId="Opsomming1CharCharCharCharCharChar">
    <w:name w:val="Opsomming 1 Char Char Char Char Char Char"/>
    <w:basedOn w:val="Normal"/>
    <w:link w:val="Opsomming1CharCharCharCharCharCharChar"/>
    <w:uiPriority w:val="99"/>
    <w:rsid w:val="00304EA1"/>
    <w:pPr>
      <w:widowControl/>
      <w:tabs>
        <w:tab w:val="num" w:pos="709"/>
      </w:tabs>
      <w:autoSpaceDE/>
      <w:autoSpaceDN/>
      <w:adjustRightInd/>
      <w:spacing w:after="60"/>
      <w:ind w:left="714" w:hanging="357"/>
      <w:jc w:val="left"/>
    </w:pPr>
    <w:rPr>
      <w:rFonts w:ascii="Tahoma" w:hAnsi="Tahoma" w:cs="Tahoma"/>
      <w:lang w:eastAsia="nl-BE"/>
    </w:rPr>
  </w:style>
  <w:style w:type="character" w:customStyle="1" w:styleId="Opsomming1CharCharCharCharCharCharChar">
    <w:name w:val="Opsomming 1 Char Char Char Char Char Char Char"/>
    <w:basedOn w:val="DefaultParagraphFont"/>
    <w:link w:val="Opsomming1CharCharCharCharCharChar"/>
    <w:uiPriority w:val="99"/>
    <w:rsid w:val="00304EA1"/>
    <w:rPr>
      <w:rFonts w:ascii="Tahoma" w:hAnsi="Tahoma" w:cs="Tahoma"/>
      <w:sz w:val="24"/>
      <w:szCs w:val="24"/>
      <w:lang w:val="en-GB" w:eastAsia="nl-BE"/>
    </w:rPr>
  </w:style>
  <w:style w:type="paragraph" w:customStyle="1" w:styleId="Opsomming1CharCharCharCharCharChar1CharCharChar">
    <w:name w:val="Opsomming 1 Char Char Char Char Char Char1 Char Char Char"/>
    <w:basedOn w:val="Normal"/>
    <w:link w:val="Opsomming1CharCharCharCharCharChar1CharCharCharChar"/>
    <w:uiPriority w:val="99"/>
    <w:rsid w:val="00304EA1"/>
    <w:pPr>
      <w:widowControl/>
      <w:tabs>
        <w:tab w:val="num" w:pos="709"/>
      </w:tabs>
      <w:autoSpaceDE/>
      <w:autoSpaceDN/>
      <w:adjustRightInd/>
      <w:spacing w:after="60"/>
      <w:ind w:left="714" w:hanging="357"/>
      <w:jc w:val="left"/>
    </w:pPr>
    <w:rPr>
      <w:rFonts w:ascii="Tahoma" w:hAnsi="Tahoma" w:cs="Tahoma"/>
      <w:lang w:eastAsia="nl-BE"/>
    </w:rPr>
  </w:style>
  <w:style w:type="character" w:customStyle="1" w:styleId="Opsomming1CharCharCharCharCharChar1CharCharCharChar">
    <w:name w:val="Opsomming 1 Char Char Char Char Char Char1 Char Char Char Char"/>
    <w:basedOn w:val="DefaultParagraphFont"/>
    <w:link w:val="Opsomming1CharCharCharCharCharChar1CharCharChar"/>
    <w:uiPriority w:val="99"/>
    <w:rsid w:val="00304EA1"/>
    <w:rPr>
      <w:rFonts w:ascii="Tahoma" w:hAnsi="Tahoma" w:cs="Tahoma"/>
      <w:sz w:val="24"/>
      <w:szCs w:val="24"/>
      <w:lang w:val="en-GB" w:eastAsia="nl-BE"/>
    </w:rPr>
  </w:style>
  <w:style w:type="paragraph" w:customStyle="1" w:styleId="OpmaakprofielPlattetekstPlattetekstCharPlattetekstCharCharPlatteChar">
    <w:name w:val="Opmaakprofiel Platte tekstPlatte tekst CharPlatte tekst Char CharPlatte ... Char"/>
    <w:basedOn w:val="Normal"/>
    <w:link w:val="OpmaakprofielPlattetekstPlattetekstCharPlattetekstCharCharPlatteCharChar"/>
    <w:uiPriority w:val="99"/>
    <w:rsid w:val="00304EA1"/>
    <w:pPr>
      <w:widowControl/>
      <w:autoSpaceDE/>
      <w:autoSpaceDN/>
      <w:adjustRightInd/>
      <w:spacing w:after="180"/>
    </w:pPr>
    <w:rPr>
      <w:rFonts w:ascii="Times" w:hAnsi="Times" w:cs="Times"/>
      <w:position w:val="-24"/>
    </w:rPr>
  </w:style>
  <w:style w:type="character" w:customStyle="1" w:styleId="OpmaakprofielPlattetekstPlattetekstCharPlattetekstCharCharPlatteCharChar">
    <w:name w:val="Opmaakprofiel Platte tekstPlatte tekst CharPlatte tekst Char CharPlatte ... Char Char"/>
    <w:basedOn w:val="DefaultParagraphFont"/>
    <w:link w:val="OpmaakprofielPlattetekstPlattetekstCharPlattetekstCharCharPlatteChar"/>
    <w:uiPriority w:val="99"/>
    <w:rsid w:val="00304EA1"/>
    <w:rPr>
      <w:rFonts w:ascii="Times" w:hAnsi="Times" w:cs="Times"/>
      <w:position w:val="-24"/>
      <w:sz w:val="24"/>
      <w:szCs w:val="24"/>
      <w:lang w:val="en-GB"/>
    </w:rPr>
  </w:style>
  <w:style w:type="character" w:customStyle="1" w:styleId="PlattetekstCharChar1">
    <w:name w:val="Platte tekst Char Char1"/>
    <w:aliases w:val="Platte tekst Char Char Char,Platte tekst Char1 Char"/>
    <w:basedOn w:val="DefaultParagraphFont"/>
    <w:uiPriority w:val="99"/>
    <w:rsid w:val="00304EA1"/>
    <w:rPr>
      <w:sz w:val="24"/>
      <w:szCs w:val="24"/>
      <w:lang w:val="en-GB" w:eastAsia="en-US"/>
    </w:rPr>
  </w:style>
  <w:style w:type="character" w:styleId="Emphasis">
    <w:name w:val="Emphasis"/>
    <w:basedOn w:val="DefaultParagraphFont"/>
    <w:qFormat/>
    <w:rsid w:val="00304EA1"/>
    <w:rPr>
      <w:i/>
      <w:iCs/>
    </w:rPr>
  </w:style>
  <w:style w:type="character" w:customStyle="1" w:styleId="Char2Char">
    <w:name w:val="Char2 Char"/>
    <w:basedOn w:val="DefaultParagraphFont"/>
    <w:uiPriority w:val="99"/>
    <w:rsid w:val="00304EA1"/>
    <w:rPr>
      <w:rFonts w:ascii="Arial Narrow" w:hAnsi="Arial Narrow" w:cs="Arial Narrow"/>
      <w:smallCaps/>
      <w:noProof/>
      <w:sz w:val="24"/>
      <w:szCs w:val="24"/>
      <w:lang w:val="en-GB" w:eastAsia="en-US"/>
    </w:rPr>
  </w:style>
  <w:style w:type="paragraph" w:customStyle="1" w:styleId="StyleBodyText2BoldUnderline">
    <w:name w:val="Style Body Text 2 + Bold Underline"/>
    <w:basedOn w:val="Normal"/>
    <w:uiPriority w:val="99"/>
    <w:rsid w:val="00304EA1"/>
    <w:pPr>
      <w:widowControl/>
      <w:autoSpaceDE/>
      <w:autoSpaceDN/>
      <w:adjustRightInd/>
      <w:spacing w:after="180"/>
    </w:pPr>
    <w:rPr>
      <w:rFonts w:ascii="Times New Roman Bold" w:hAnsi="Times New Roman Bold" w:cs="Times New Roman Bold"/>
      <w:b/>
      <w:bCs/>
      <w:u w:val="single"/>
    </w:rPr>
  </w:style>
  <w:style w:type="character" w:customStyle="1" w:styleId="TableheadingCharChar">
    <w:name w:val="Table heading Char Char"/>
    <w:basedOn w:val="DefaultParagraphFont"/>
    <w:rsid w:val="00304EA1"/>
    <w:rPr>
      <w:rFonts w:ascii="Arial Narrow" w:hAnsi="Arial Narrow" w:cs="Arial Narrow"/>
      <w:b/>
      <w:bCs/>
      <w:sz w:val="19"/>
      <w:szCs w:val="19"/>
      <w:lang w:val="en-GB" w:eastAsia="en-US"/>
    </w:rPr>
  </w:style>
  <w:style w:type="character" w:customStyle="1" w:styleId="PlattetekstCharChar3">
    <w:name w:val="Platte tekst Char Char3"/>
    <w:aliases w:val="Platte tekst Char Char Char2,Platte tekst Char1 Char2"/>
    <w:basedOn w:val="DefaultParagraphFont"/>
    <w:uiPriority w:val="99"/>
    <w:rsid w:val="00304EA1"/>
    <w:rPr>
      <w:sz w:val="24"/>
      <w:szCs w:val="24"/>
      <w:lang w:val="en-GB" w:eastAsia="en-US"/>
    </w:rPr>
  </w:style>
  <w:style w:type="character" w:customStyle="1" w:styleId="Char52">
    <w:name w:val="Char52"/>
    <w:basedOn w:val="DefaultParagraphFont"/>
    <w:uiPriority w:val="99"/>
    <w:rsid w:val="00304EA1"/>
    <w:rPr>
      <w:rFonts w:ascii="Times New Roman Bold" w:hAnsi="Times New Roman Bold" w:cs="Times New Roman Bold"/>
      <w:b/>
      <w:bCs/>
      <w:caps/>
      <w:sz w:val="24"/>
      <w:szCs w:val="24"/>
      <w:lang w:val="en-GB" w:eastAsia="en-US"/>
    </w:rPr>
  </w:style>
  <w:style w:type="character" w:customStyle="1" w:styleId="Char1Char">
    <w:name w:val="Char1 Char"/>
    <w:basedOn w:val="DefaultParagraphFont"/>
    <w:uiPriority w:val="99"/>
    <w:rsid w:val="00304EA1"/>
    <w:rPr>
      <w:rFonts w:ascii="Arial Narrow" w:hAnsi="Arial Narrow" w:cs="Arial Narrow"/>
      <w:smallCaps/>
      <w:noProof/>
      <w:sz w:val="24"/>
      <w:szCs w:val="24"/>
      <w:lang w:val="en-GB" w:eastAsia="en-US"/>
    </w:rPr>
  </w:style>
  <w:style w:type="character" w:customStyle="1" w:styleId="Opsomming1CharCharCharChar">
    <w:name w:val="Opsomming 1 Char Char Char Char"/>
    <w:basedOn w:val="DefaultParagraphFont"/>
    <w:uiPriority w:val="99"/>
    <w:rsid w:val="00304EA1"/>
    <w:rPr>
      <w:rFonts w:ascii="Tahoma" w:hAnsi="Tahoma" w:cs="Tahoma"/>
      <w:snapToGrid w:val="0"/>
      <w:color w:val="000000"/>
      <w:sz w:val="24"/>
      <w:szCs w:val="24"/>
      <w:lang w:val="en-GB" w:eastAsia="nl-BE"/>
    </w:rPr>
  </w:style>
  <w:style w:type="paragraph" w:customStyle="1" w:styleId="StyleHeading4Allcaps">
    <w:name w:val="Style Heading 4 + All caps"/>
    <w:basedOn w:val="Normal"/>
    <w:uiPriority w:val="99"/>
    <w:rsid w:val="00304EA1"/>
    <w:pPr>
      <w:keepNext/>
      <w:widowControl/>
      <w:tabs>
        <w:tab w:val="num" w:pos="1077"/>
        <w:tab w:val="num" w:pos="1317"/>
      </w:tabs>
      <w:autoSpaceDE/>
      <w:autoSpaceDN/>
      <w:adjustRightInd/>
      <w:spacing w:before="360" w:after="200"/>
      <w:ind w:left="1317" w:hanging="1077"/>
      <w:jc w:val="left"/>
      <w:outlineLvl w:val="3"/>
    </w:pPr>
    <w:rPr>
      <w:rFonts w:ascii="Times New Roman Bold" w:hAnsi="Times New Roman Bold" w:cs="Times New Roman Bold"/>
      <w:b/>
      <w:bCs/>
      <w:caps/>
    </w:rPr>
  </w:style>
  <w:style w:type="character" w:customStyle="1" w:styleId="Char41">
    <w:name w:val="Char41"/>
    <w:basedOn w:val="DefaultParagraphFont"/>
    <w:uiPriority w:val="99"/>
    <w:rsid w:val="00304EA1"/>
    <w:rPr>
      <w:rFonts w:ascii="Times New Roman Bold" w:hAnsi="Times New Roman Bold" w:cs="Times New Roman Bold"/>
      <w:b/>
      <w:bCs/>
      <w:sz w:val="24"/>
      <w:szCs w:val="24"/>
      <w:lang w:val="en-GB" w:eastAsia="en-US"/>
    </w:rPr>
  </w:style>
  <w:style w:type="character" w:customStyle="1" w:styleId="Char31">
    <w:name w:val="Char31"/>
    <w:basedOn w:val="DefaultParagraphFont"/>
    <w:uiPriority w:val="99"/>
    <w:rsid w:val="00304EA1"/>
    <w:rPr>
      <w:rFonts w:ascii="Times New Roman Bold" w:hAnsi="Times New Roman Bold" w:cs="Times New Roman Bold"/>
      <w:b/>
      <w:bCs/>
      <w:sz w:val="24"/>
      <w:szCs w:val="24"/>
      <w:lang w:val="en-GB" w:eastAsia="en-US"/>
    </w:rPr>
  </w:style>
  <w:style w:type="paragraph" w:customStyle="1" w:styleId="Header3">
    <w:name w:val="Header 3"/>
    <w:basedOn w:val="Normal"/>
    <w:rsid w:val="00304EA1"/>
    <w:pPr>
      <w:keepNext/>
      <w:widowControl/>
      <w:tabs>
        <w:tab w:val="num" w:pos="360"/>
        <w:tab w:val="num" w:pos="1077"/>
        <w:tab w:val="num" w:pos="1317"/>
      </w:tabs>
      <w:autoSpaceDE/>
      <w:autoSpaceDN/>
      <w:adjustRightInd/>
      <w:spacing w:after="0" w:line="264" w:lineRule="auto"/>
      <w:ind w:left="504" w:hanging="504"/>
      <w:outlineLvl w:val="2"/>
    </w:pPr>
    <w:rPr>
      <w:rFonts w:ascii="Times New Roman Bold" w:hAnsi="Times New Roman Bold" w:cs="Times New Roman Bold"/>
      <w:b/>
      <w:bCs/>
      <w:caps/>
    </w:rPr>
  </w:style>
  <w:style w:type="paragraph" w:customStyle="1" w:styleId="Opsomming1CharCharCharCharChar">
    <w:name w:val="Opsomming 1 Char Char Char Char Char"/>
    <w:basedOn w:val="Normal"/>
    <w:uiPriority w:val="99"/>
    <w:rsid w:val="00304EA1"/>
    <w:pPr>
      <w:widowControl/>
      <w:tabs>
        <w:tab w:val="num" w:pos="709"/>
      </w:tabs>
      <w:autoSpaceDE/>
      <w:autoSpaceDN/>
      <w:adjustRightInd/>
      <w:spacing w:after="60"/>
      <w:ind w:left="714" w:hanging="357"/>
      <w:jc w:val="left"/>
    </w:pPr>
    <w:rPr>
      <w:rFonts w:ascii="Tahoma" w:hAnsi="Tahoma" w:cs="Tahoma"/>
      <w:lang w:eastAsia="nl-BE"/>
    </w:rPr>
  </w:style>
  <w:style w:type="paragraph" w:customStyle="1" w:styleId="Opsomming1CharCharCharCharCharChar1CharChar">
    <w:name w:val="Opsomming 1 Char Char Char Char Char Char1 Char Char"/>
    <w:basedOn w:val="Normal"/>
    <w:uiPriority w:val="99"/>
    <w:rsid w:val="00304EA1"/>
    <w:pPr>
      <w:widowControl/>
      <w:tabs>
        <w:tab w:val="num" w:pos="709"/>
      </w:tabs>
      <w:autoSpaceDE/>
      <w:autoSpaceDN/>
      <w:adjustRightInd/>
      <w:spacing w:after="60"/>
      <w:ind w:left="714" w:hanging="357"/>
      <w:jc w:val="left"/>
    </w:pPr>
    <w:rPr>
      <w:rFonts w:ascii="Tahoma" w:hAnsi="Tahoma" w:cs="Tahoma"/>
      <w:lang w:eastAsia="nl-BE"/>
    </w:rPr>
  </w:style>
  <w:style w:type="paragraph" w:customStyle="1" w:styleId="OpmaakprofielPlattetekstPlattetekstCharPlattetekstCharCharPlatte">
    <w:name w:val="Opmaakprofiel Platte tekstPlatte tekst CharPlatte tekst Char CharPlatte ..."/>
    <w:basedOn w:val="Normal"/>
    <w:uiPriority w:val="99"/>
    <w:rsid w:val="00304EA1"/>
    <w:pPr>
      <w:widowControl/>
      <w:autoSpaceDE/>
      <w:autoSpaceDN/>
      <w:adjustRightInd/>
      <w:spacing w:after="180"/>
    </w:pPr>
    <w:rPr>
      <w:rFonts w:ascii="Times" w:hAnsi="Times" w:cs="Times"/>
      <w:position w:val="-24"/>
    </w:rPr>
  </w:style>
  <w:style w:type="paragraph" w:customStyle="1" w:styleId="Style1">
    <w:name w:val="Style1"/>
    <w:basedOn w:val="Normal"/>
    <w:link w:val="Style1Char"/>
    <w:rsid w:val="00304EA1"/>
    <w:pPr>
      <w:keepNext/>
      <w:widowControl/>
      <w:numPr>
        <w:ilvl w:val="2"/>
      </w:numPr>
      <w:tabs>
        <w:tab w:val="num" w:pos="1077"/>
        <w:tab w:val="num" w:pos="1843"/>
      </w:tabs>
      <w:autoSpaceDE/>
      <w:autoSpaceDN/>
      <w:adjustRightInd/>
      <w:spacing w:before="360" w:after="200"/>
      <w:ind w:left="1843" w:hanging="1843"/>
      <w:jc w:val="left"/>
      <w:outlineLvl w:val="2"/>
    </w:pPr>
    <w:rPr>
      <w:rFonts w:ascii="Times New Roman Bold" w:hAnsi="Times New Roman Bold" w:cs="Times New Roman Bold"/>
      <w:b/>
      <w:bCs/>
    </w:rPr>
  </w:style>
  <w:style w:type="paragraph" w:customStyle="1" w:styleId="Style2">
    <w:name w:val="Style2"/>
    <w:basedOn w:val="Normal"/>
    <w:link w:val="Style2Char"/>
    <w:uiPriority w:val="99"/>
    <w:rsid w:val="00304EA1"/>
    <w:pPr>
      <w:keepNext/>
      <w:widowControl/>
      <w:numPr>
        <w:ilvl w:val="3"/>
      </w:numPr>
      <w:tabs>
        <w:tab w:val="num" w:pos="1077"/>
        <w:tab w:val="num" w:pos="1843"/>
      </w:tabs>
      <w:autoSpaceDE/>
      <w:autoSpaceDN/>
      <w:adjustRightInd/>
      <w:spacing w:before="360" w:after="200"/>
      <w:ind w:left="1843" w:hanging="1843"/>
      <w:jc w:val="left"/>
      <w:outlineLvl w:val="3"/>
    </w:pPr>
    <w:rPr>
      <w:rFonts w:ascii="Times New Roman Bold" w:hAnsi="Times New Roman Bold" w:cs="Times New Roman Bold"/>
      <w:b/>
      <w:bCs/>
    </w:rPr>
  </w:style>
  <w:style w:type="character" w:customStyle="1" w:styleId="Style2Char">
    <w:name w:val="Style2 Char"/>
    <w:basedOn w:val="DefaultParagraphFont"/>
    <w:link w:val="Style2"/>
    <w:uiPriority w:val="99"/>
    <w:rsid w:val="00304EA1"/>
    <w:rPr>
      <w:rFonts w:ascii="Times New Roman Bold" w:hAnsi="Times New Roman Bold" w:cs="Times New Roman Bold"/>
      <w:b/>
      <w:bCs/>
      <w:sz w:val="24"/>
      <w:szCs w:val="24"/>
      <w:lang w:val="en-GB"/>
    </w:rPr>
  </w:style>
  <w:style w:type="paragraph" w:customStyle="1" w:styleId="Style3">
    <w:name w:val="Style3"/>
    <w:basedOn w:val="Normal"/>
    <w:uiPriority w:val="99"/>
    <w:rsid w:val="00304EA1"/>
    <w:pPr>
      <w:keepNext/>
      <w:widowControl/>
      <w:numPr>
        <w:ilvl w:val="3"/>
      </w:numPr>
      <w:tabs>
        <w:tab w:val="num" w:pos="1077"/>
        <w:tab w:val="num" w:pos="1317"/>
        <w:tab w:val="num" w:pos="1843"/>
      </w:tabs>
      <w:autoSpaceDE/>
      <w:autoSpaceDN/>
      <w:adjustRightInd/>
      <w:spacing w:before="360" w:after="200"/>
      <w:ind w:left="1843" w:hanging="1077"/>
      <w:jc w:val="left"/>
      <w:outlineLvl w:val="4"/>
    </w:pPr>
    <w:rPr>
      <w:rFonts w:ascii="Times New Roman Bold" w:hAnsi="Times New Roman Bold" w:cs="Times New Roman Bold"/>
      <w:b/>
      <w:bCs/>
    </w:rPr>
  </w:style>
  <w:style w:type="character" w:styleId="Strong">
    <w:name w:val="Strong"/>
    <w:basedOn w:val="DefaultParagraphFont"/>
    <w:qFormat/>
    <w:rsid w:val="00304EA1"/>
    <w:rPr>
      <w:b/>
      <w:bCs/>
    </w:rPr>
  </w:style>
  <w:style w:type="character" w:customStyle="1" w:styleId="PlattetekstChar1Char3">
    <w:name w:val="Platte tekst Char1 Char3"/>
    <w:aliases w:val="Platte tekst Char Char Char3,Platte tekst Char1 Char1 Char Char1,Platte tekst Char Char Char1 Char Char1,Platte tekst Char1 Char1 Char Char Char Char1,Platte tekst Char Char Char1 Char Char Char Char1"/>
    <w:basedOn w:val="DefaultParagraphFont"/>
    <w:uiPriority w:val="99"/>
    <w:rsid w:val="00304EA1"/>
    <w:rPr>
      <w:sz w:val="24"/>
      <w:szCs w:val="24"/>
      <w:lang w:val="en-GB" w:eastAsia="en-US"/>
    </w:rPr>
  </w:style>
  <w:style w:type="paragraph" w:customStyle="1" w:styleId="BodyText22">
    <w:name w:val="Body Text 22"/>
    <w:basedOn w:val="Normal"/>
    <w:uiPriority w:val="99"/>
    <w:rsid w:val="00304EA1"/>
    <w:pPr>
      <w:widowControl/>
      <w:overflowPunct w:val="0"/>
      <w:spacing w:after="0"/>
      <w:ind w:left="900" w:hanging="900"/>
      <w:jc w:val="left"/>
      <w:textAlignment w:val="baseline"/>
    </w:pPr>
    <w:rPr>
      <w:rFonts w:ascii="Times" w:hAnsi="Times" w:cs="Times"/>
      <w:lang w:eastAsia="nl-NL"/>
    </w:rPr>
  </w:style>
  <w:style w:type="paragraph" w:customStyle="1" w:styleId="Aufzhlung">
    <w:name w:val="Aufzählung"/>
    <w:basedOn w:val="Normal"/>
    <w:rsid w:val="00304EA1"/>
    <w:pPr>
      <w:widowControl/>
      <w:tabs>
        <w:tab w:val="num" w:pos="425"/>
        <w:tab w:val="num" w:pos="454"/>
      </w:tabs>
      <w:suppressAutoHyphens/>
      <w:autoSpaceDE/>
      <w:autoSpaceDN/>
      <w:adjustRightInd/>
      <w:spacing w:after="0"/>
      <w:ind w:left="454" w:hanging="341"/>
    </w:pPr>
    <w:rPr>
      <w:rFonts w:ascii="Times" w:hAnsi="Times" w:cs="Times"/>
      <w:lang w:eastAsia="ar-SA"/>
    </w:rPr>
  </w:style>
  <w:style w:type="character" w:customStyle="1" w:styleId="FootnoteCharacters">
    <w:name w:val="Footnote Characters"/>
    <w:basedOn w:val="DefaultParagraphFont"/>
    <w:rsid w:val="00304EA1"/>
    <w:rPr>
      <w:vertAlign w:val="superscript"/>
    </w:rPr>
  </w:style>
  <w:style w:type="character" w:customStyle="1" w:styleId="HoofdstuktitelChar">
    <w:name w:val="Hoofdstuktitel Char"/>
    <w:basedOn w:val="DefaultParagraphFont"/>
    <w:rsid w:val="00304EA1"/>
    <w:rPr>
      <w:rFonts w:ascii="Times New Roman Bold" w:hAnsi="Times New Roman Bold" w:cs="Times New Roman Bold"/>
      <w:b/>
      <w:bCs/>
      <w:caps/>
      <w:sz w:val="24"/>
      <w:szCs w:val="24"/>
      <w:lang w:val="en-GB" w:eastAsia="en-US"/>
    </w:rPr>
  </w:style>
  <w:style w:type="paragraph" w:customStyle="1" w:styleId="ESRTableText">
    <w:name w:val="ESR Table Text"/>
    <w:basedOn w:val="Normal"/>
    <w:autoRedefine/>
    <w:rsid w:val="00304EA1"/>
    <w:pPr>
      <w:widowControl/>
      <w:autoSpaceDE/>
      <w:autoSpaceDN/>
      <w:adjustRightInd/>
      <w:spacing w:before="70" w:after="54"/>
      <w:jc w:val="left"/>
    </w:pPr>
    <w:rPr>
      <w:rFonts w:ascii="Arial Narrow" w:hAnsi="Arial Narrow" w:cs="Arial Narrow"/>
      <w:b/>
      <w:bCs/>
      <w:sz w:val="19"/>
      <w:szCs w:val="19"/>
      <w:lang w:eastAsia="fr-FR"/>
    </w:rPr>
  </w:style>
  <w:style w:type="paragraph" w:customStyle="1" w:styleId="Formatvorlage2">
    <w:name w:val="Formatvorlage2"/>
    <w:basedOn w:val="Normal"/>
    <w:rsid w:val="00304EA1"/>
    <w:pPr>
      <w:widowControl/>
      <w:tabs>
        <w:tab w:val="num" w:pos="360"/>
      </w:tabs>
      <w:autoSpaceDE/>
      <w:autoSpaceDN/>
      <w:adjustRightInd/>
      <w:spacing w:after="0"/>
      <w:ind w:left="360" w:hanging="360"/>
      <w:jc w:val="left"/>
    </w:pPr>
    <w:rPr>
      <w:rFonts w:ascii="Arial" w:hAnsi="Arial" w:cs="Arial"/>
      <w:sz w:val="22"/>
      <w:szCs w:val="22"/>
      <w:lang w:eastAsia="de-DE"/>
    </w:rPr>
  </w:style>
  <w:style w:type="paragraph" w:customStyle="1" w:styleId="FormatvorlageTabletextArialBlock">
    <w:name w:val="Formatvorlage Table text + Arial Block"/>
    <w:basedOn w:val="Normal"/>
    <w:rsid w:val="00304EA1"/>
    <w:pPr>
      <w:keepNext/>
      <w:keepLines/>
      <w:widowControl/>
      <w:tabs>
        <w:tab w:val="num" w:pos="720"/>
      </w:tabs>
      <w:autoSpaceDE/>
      <w:autoSpaceDN/>
      <w:adjustRightInd/>
      <w:spacing w:after="0"/>
      <w:ind w:left="720" w:hanging="363"/>
    </w:pPr>
    <w:rPr>
      <w:rFonts w:ascii="Arial" w:hAnsi="Arial" w:cs="Arial"/>
      <w:lang w:eastAsia="de-DE"/>
    </w:rPr>
  </w:style>
  <w:style w:type="character" w:customStyle="1" w:styleId="BodyText2Char2">
    <w:name w:val="Body Text 2 Char2"/>
    <w:aliases w:val="Platte tekst 2 Char Char,Char8 Char Char"/>
    <w:basedOn w:val="DefaultParagraphFont"/>
    <w:link w:val="BodyText2"/>
    <w:rsid w:val="00304EA1"/>
    <w:rPr>
      <w:sz w:val="24"/>
      <w:lang w:val="en-GB"/>
    </w:rPr>
  </w:style>
  <w:style w:type="character" w:customStyle="1" w:styleId="BodyTextFirstIndentChar">
    <w:name w:val="Body Text First Indent Char"/>
    <w:basedOn w:val="DefaultParagraphFont"/>
    <w:link w:val="BodyTextFirstIndent"/>
    <w:rsid w:val="00304EA1"/>
    <w:rPr>
      <w:sz w:val="24"/>
      <w:szCs w:val="24"/>
      <w:lang w:val="en-GB"/>
    </w:rPr>
  </w:style>
  <w:style w:type="character" w:customStyle="1" w:styleId="BodyTextIndentChar">
    <w:name w:val="Body Text Indent Char"/>
    <w:basedOn w:val="DefaultParagraphFont"/>
    <w:link w:val="BodyTextIndent"/>
    <w:rsid w:val="00304EA1"/>
    <w:rPr>
      <w:sz w:val="24"/>
      <w:lang w:val="en-GB"/>
    </w:rPr>
  </w:style>
  <w:style w:type="character" w:customStyle="1" w:styleId="BodyTextFirstIndent2Char">
    <w:name w:val="Body Text First Indent 2 Char"/>
    <w:basedOn w:val="BodyTextIndentChar"/>
    <w:link w:val="BodyTextFirstIndent2"/>
    <w:rsid w:val="00304EA1"/>
    <w:rPr>
      <w:sz w:val="24"/>
      <w:lang w:val="en-GB"/>
    </w:rPr>
  </w:style>
  <w:style w:type="character" w:styleId="LineNumber">
    <w:name w:val="line number"/>
    <w:basedOn w:val="DefaultParagraphFont"/>
    <w:rsid w:val="00304EA1"/>
  </w:style>
  <w:style w:type="character" w:customStyle="1" w:styleId="TabletextChar">
    <w:name w:val="Table text Char"/>
    <w:basedOn w:val="DefaultParagraphFont"/>
    <w:rsid w:val="00304EA1"/>
    <w:rPr>
      <w:snapToGrid w:val="0"/>
      <w:lang w:val="en-US" w:eastAsia="da-DK"/>
    </w:rPr>
  </w:style>
  <w:style w:type="paragraph" w:customStyle="1" w:styleId="CharChar1CharCharChar">
    <w:name w:val="Char Char1 Char Char Char"/>
    <w:basedOn w:val="Normal"/>
    <w:rsid w:val="00304EA1"/>
    <w:pPr>
      <w:widowControl/>
      <w:autoSpaceDE/>
      <w:autoSpaceDN/>
      <w:adjustRightInd/>
      <w:spacing w:after="160" w:line="240" w:lineRule="exact"/>
      <w:jc w:val="left"/>
    </w:pPr>
    <w:rPr>
      <w:rFonts w:ascii="Arial" w:hAnsi="Arial" w:cs="Arial"/>
      <w:sz w:val="20"/>
      <w:szCs w:val="20"/>
      <w:lang w:val="fr-FR" w:eastAsia="fr-FR"/>
    </w:rPr>
  </w:style>
  <w:style w:type="character" w:customStyle="1" w:styleId="CharChar1">
    <w:name w:val="Char Char1"/>
    <w:basedOn w:val="DefaultParagraphFont"/>
    <w:rsid w:val="00304EA1"/>
    <w:rPr>
      <w:rFonts w:ascii="Times New Roman Bold" w:hAnsi="Times New Roman Bold" w:cs="Times New Roman Bold"/>
      <w:b/>
      <w:bCs/>
      <w:caps/>
      <w:sz w:val="24"/>
      <w:szCs w:val="24"/>
      <w:lang w:val="en-GB" w:eastAsia="en-US"/>
    </w:rPr>
  </w:style>
  <w:style w:type="paragraph" w:customStyle="1" w:styleId="Body">
    <w:name w:val="Body"/>
    <w:basedOn w:val="Normal"/>
    <w:rsid w:val="00304EA1"/>
    <w:pPr>
      <w:widowControl/>
      <w:autoSpaceDE/>
      <w:autoSpaceDN/>
      <w:adjustRightInd/>
      <w:spacing w:after="180"/>
    </w:pPr>
    <w:rPr>
      <w:rFonts w:ascii="Times" w:hAnsi="Times" w:cs="Times"/>
    </w:rPr>
  </w:style>
  <w:style w:type="character" w:customStyle="1" w:styleId="CharChar2">
    <w:name w:val="Char Char2"/>
    <w:basedOn w:val="DefaultParagraphFont"/>
    <w:rsid w:val="00304EA1"/>
    <w:rPr>
      <w:sz w:val="24"/>
      <w:szCs w:val="24"/>
      <w:lang w:val="en-GB" w:eastAsia="en-US"/>
    </w:rPr>
  </w:style>
  <w:style w:type="paragraph" w:customStyle="1" w:styleId="Formatvorlage1">
    <w:name w:val="Formatvorlage1"/>
    <w:basedOn w:val="Normal"/>
    <w:rsid w:val="00304EA1"/>
    <w:pPr>
      <w:keepNext/>
      <w:widowControl/>
      <w:tabs>
        <w:tab w:val="num" w:pos="1077"/>
        <w:tab w:val="num" w:pos="1317"/>
      </w:tabs>
      <w:autoSpaceDE/>
      <w:autoSpaceDN/>
      <w:adjustRightInd/>
      <w:spacing w:after="180"/>
      <w:ind w:left="1317" w:hanging="1077"/>
      <w:jc w:val="left"/>
      <w:outlineLvl w:val="4"/>
    </w:pPr>
    <w:rPr>
      <w:rFonts w:ascii="Times" w:hAnsi="Times" w:cs="Times"/>
      <w:b/>
      <w:bCs/>
      <w:sz w:val="32"/>
      <w:szCs w:val="32"/>
    </w:rPr>
  </w:style>
  <w:style w:type="character" w:customStyle="1" w:styleId="a">
    <w:name w:val="a"/>
    <w:basedOn w:val="DefaultParagraphFont"/>
    <w:rsid w:val="00304EA1"/>
  </w:style>
  <w:style w:type="character" w:customStyle="1" w:styleId="a1">
    <w:name w:val="a1"/>
    <w:basedOn w:val="DefaultParagraphFont"/>
    <w:rsid w:val="00304EA1"/>
    <w:rPr>
      <w:color w:val="008000"/>
    </w:rPr>
  </w:style>
  <w:style w:type="paragraph" w:styleId="HTMLPreformatted">
    <w:name w:val="HTML Preformatted"/>
    <w:basedOn w:val="Normal"/>
    <w:link w:val="HTMLPreformattedChar"/>
    <w:rsid w:val="00304EA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pacing w:after="0"/>
      <w:jc w:val="left"/>
    </w:pPr>
    <w:rPr>
      <w:rFonts w:ascii="Courier New" w:hAnsi="Courier New" w:cs="Courier New"/>
      <w:sz w:val="20"/>
      <w:szCs w:val="20"/>
      <w:lang w:eastAsia="de-DE"/>
    </w:rPr>
  </w:style>
  <w:style w:type="character" w:customStyle="1" w:styleId="HTMLPreformattedChar">
    <w:name w:val="HTML Preformatted Char"/>
    <w:basedOn w:val="DefaultParagraphFont"/>
    <w:link w:val="HTMLPreformatted"/>
    <w:rsid w:val="00304EA1"/>
    <w:rPr>
      <w:rFonts w:ascii="Courier New" w:hAnsi="Courier New" w:cs="Courier New"/>
      <w:lang w:val="en-GB" w:eastAsia="de-DE"/>
    </w:rPr>
  </w:style>
  <w:style w:type="paragraph" w:customStyle="1" w:styleId="h6bis">
    <w:name w:val="h6bis"/>
    <w:basedOn w:val="Normal"/>
    <w:next w:val="Normal"/>
    <w:link w:val="h6bisChar"/>
    <w:uiPriority w:val="99"/>
    <w:rsid w:val="00304EA1"/>
    <w:pPr>
      <w:keepNext/>
      <w:widowControl/>
      <w:tabs>
        <w:tab w:val="left" w:pos="839"/>
        <w:tab w:val="num" w:pos="1077"/>
        <w:tab w:val="num" w:pos="1317"/>
        <w:tab w:val="num" w:pos="2083"/>
      </w:tabs>
      <w:autoSpaceDE/>
      <w:autoSpaceDN/>
      <w:adjustRightInd/>
      <w:spacing w:before="360" w:after="200"/>
      <w:ind w:left="2083" w:hanging="1843"/>
      <w:jc w:val="left"/>
      <w:outlineLvl w:val="4"/>
    </w:pPr>
    <w:rPr>
      <w:rFonts w:ascii="Times New Roman Bold" w:hAnsi="Times New Roman Bold" w:cs="Times New Roman Bold"/>
      <w:b/>
      <w:bCs/>
      <w:u w:val="single"/>
    </w:rPr>
  </w:style>
  <w:style w:type="character" w:customStyle="1" w:styleId="h6bisChar">
    <w:name w:val="h6bis Char"/>
    <w:basedOn w:val="DefaultParagraphFont"/>
    <w:link w:val="h6bis"/>
    <w:uiPriority w:val="99"/>
    <w:rsid w:val="00304EA1"/>
    <w:rPr>
      <w:rFonts w:ascii="Times New Roman Bold" w:hAnsi="Times New Roman Bold" w:cs="Times New Roman Bold"/>
      <w:b/>
      <w:bCs/>
      <w:sz w:val="24"/>
      <w:szCs w:val="24"/>
      <w:u w:val="single"/>
      <w:lang w:val="en-GB"/>
    </w:rPr>
  </w:style>
  <w:style w:type="paragraph" w:customStyle="1" w:styleId="H6">
    <w:name w:val="H 6"/>
    <w:basedOn w:val="Normal"/>
    <w:uiPriority w:val="99"/>
    <w:rsid w:val="00304EA1"/>
    <w:pPr>
      <w:keepNext/>
      <w:widowControl/>
      <w:autoSpaceDE/>
      <w:autoSpaceDN/>
      <w:adjustRightInd/>
      <w:spacing w:after="200"/>
      <w:jc w:val="left"/>
      <w:outlineLvl w:val="5"/>
    </w:pPr>
    <w:rPr>
      <w:rFonts w:ascii="Times New Roman Bold" w:hAnsi="Times New Roman Bold" w:cs="Times New Roman Bold"/>
      <w:b/>
      <w:bCs/>
      <w:caps/>
      <w:sz w:val="28"/>
      <w:szCs w:val="28"/>
    </w:rPr>
  </w:style>
  <w:style w:type="character" w:customStyle="1" w:styleId="Char23">
    <w:name w:val="Char23"/>
    <w:basedOn w:val="DefaultParagraphFont"/>
    <w:uiPriority w:val="99"/>
    <w:rsid w:val="00304EA1"/>
    <w:rPr>
      <w:sz w:val="24"/>
      <w:szCs w:val="24"/>
      <w:lang w:val="en-GB" w:eastAsia="en-US"/>
    </w:rPr>
  </w:style>
  <w:style w:type="paragraph" w:customStyle="1" w:styleId="StandardTabelle">
    <w:name w:val="Standard Tabelle"/>
    <w:basedOn w:val="Normal"/>
    <w:rsid w:val="00304EA1"/>
    <w:pPr>
      <w:widowControl/>
      <w:tabs>
        <w:tab w:val="left" w:pos="-720"/>
        <w:tab w:val="left" w:pos="0"/>
        <w:tab w:val="left" w:pos="720"/>
        <w:tab w:val="left" w:pos="941"/>
        <w:tab w:val="left" w:pos="1118"/>
        <w:tab w:val="left" w:pos="1440"/>
      </w:tabs>
      <w:suppressAutoHyphens/>
      <w:autoSpaceDE/>
      <w:autoSpaceDN/>
      <w:adjustRightInd/>
      <w:spacing w:before="90" w:after="54" w:line="204" w:lineRule="auto"/>
      <w:jc w:val="left"/>
    </w:pPr>
    <w:rPr>
      <w:rFonts w:ascii="Times" w:hAnsi="Times" w:cs="Times"/>
      <w:sz w:val="20"/>
      <w:szCs w:val="20"/>
    </w:rPr>
  </w:style>
  <w:style w:type="paragraph" w:customStyle="1" w:styleId="TGDTableCaption">
    <w:name w:val="TGD Table Caption"/>
    <w:basedOn w:val="Normal"/>
    <w:next w:val="Normal"/>
    <w:uiPriority w:val="99"/>
    <w:rsid w:val="00304EA1"/>
    <w:pPr>
      <w:keepNext/>
      <w:widowControl/>
      <w:tabs>
        <w:tab w:val="left" w:pos="1276"/>
      </w:tabs>
      <w:autoSpaceDE/>
      <w:autoSpaceDN/>
      <w:adjustRightInd/>
      <w:spacing w:before="240" w:after="90"/>
    </w:pPr>
    <w:rPr>
      <w:rFonts w:ascii="Arial Narrow" w:hAnsi="Arial Narrow" w:cs="Arial Narrow"/>
      <w:b/>
      <w:bCs/>
      <w:color w:val="000000"/>
      <w:sz w:val="20"/>
      <w:szCs w:val="20"/>
      <w:lang w:eastAsia="de-DE"/>
    </w:rPr>
  </w:style>
  <w:style w:type="paragraph" w:customStyle="1" w:styleId="TGDTableHeading">
    <w:name w:val="TGD Table Heading"/>
    <w:basedOn w:val="Normal"/>
    <w:next w:val="TGDTableBody"/>
    <w:rsid w:val="00304EA1"/>
    <w:pPr>
      <w:keepNext/>
      <w:widowControl/>
      <w:tabs>
        <w:tab w:val="left" w:pos="1276"/>
      </w:tabs>
      <w:autoSpaceDE/>
      <w:autoSpaceDN/>
      <w:adjustRightInd/>
      <w:spacing w:before="70" w:after="54"/>
      <w:jc w:val="center"/>
    </w:pPr>
    <w:rPr>
      <w:rFonts w:ascii="Arial Narrow" w:hAnsi="Arial Narrow" w:cs="Arial Narrow"/>
      <w:b/>
      <w:bCs/>
      <w:color w:val="000000"/>
      <w:sz w:val="19"/>
      <w:szCs w:val="19"/>
      <w:lang w:eastAsia="de-DE"/>
    </w:rPr>
  </w:style>
  <w:style w:type="paragraph" w:customStyle="1" w:styleId="TGDFigure">
    <w:name w:val="TGD Figure"/>
    <w:rsid w:val="00304EA1"/>
    <w:pPr>
      <w:keepNext/>
      <w:spacing w:before="480"/>
      <w:jc w:val="center"/>
    </w:pPr>
    <w:rPr>
      <w:rFonts w:ascii="Times" w:hAnsi="Times" w:cs="Times"/>
      <w:sz w:val="24"/>
      <w:szCs w:val="24"/>
      <w:lang w:val="de-DE" w:eastAsia="de-DE"/>
    </w:rPr>
  </w:style>
  <w:style w:type="character" w:customStyle="1" w:styleId="TGDBodyText1Zchn">
    <w:name w:val="TGD Body Text 1 Zchn"/>
    <w:basedOn w:val="DefaultParagraphFont"/>
    <w:rsid w:val="00304EA1"/>
    <w:rPr>
      <w:sz w:val="24"/>
      <w:szCs w:val="24"/>
      <w:lang w:val="en-GB" w:eastAsia="de-DE"/>
    </w:rPr>
  </w:style>
  <w:style w:type="paragraph" w:customStyle="1" w:styleId="Normal1">
    <w:name w:val="Normal1"/>
    <w:basedOn w:val="Normal"/>
    <w:rsid w:val="00304EA1"/>
    <w:pPr>
      <w:widowControl/>
      <w:autoSpaceDE/>
      <w:autoSpaceDN/>
      <w:adjustRightInd/>
      <w:spacing w:line="360" w:lineRule="auto"/>
      <w:jc w:val="left"/>
    </w:pPr>
    <w:rPr>
      <w:rFonts w:ascii="Times" w:hAnsi="Times" w:cs="Times"/>
      <w:sz w:val="22"/>
      <w:szCs w:val="22"/>
      <w:lang w:val="de-DE" w:eastAsia="de-DE"/>
    </w:rPr>
  </w:style>
  <w:style w:type="character" w:customStyle="1" w:styleId="FooterChar2">
    <w:name w:val="Footer Char2"/>
    <w:aliases w:val="f Char Char1,Voettekst Char Char Char1,f Char2,Voettekst Char Char2,Voettekst Char1 Char2,f Char1 Char,f Char Char Char,Voettekst Char Char Char Char,Voettekst Char Char1 Char,Footer Char1 Char,Footer Char Char Char"/>
    <w:basedOn w:val="DefaultParagraphFont"/>
    <w:uiPriority w:val="99"/>
    <w:rsid w:val="00304EA1"/>
    <w:rPr>
      <w:rFonts w:ascii="Arial Narrow" w:hAnsi="Arial Narrow" w:cs="Arial Narrow"/>
      <w:smallCaps/>
      <w:noProof/>
      <w:sz w:val="24"/>
      <w:szCs w:val="24"/>
      <w:lang w:val="en-GB" w:eastAsia="en-US"/>
    </w:rPr>
  </w:style>
  <w:style w:type="paragraph" w:customStyle="1" w:styleId="ColorfulList-Accent11">
    <w:name w:val="Colorful List - Accent 11"/>
    <w:basedOn w:val="Normal"/>
    <w:uiPriority w:val="99"/>
    <w:rsid w:val="00304EA1"/>
    <w:pPr>
      <w:widowControl/>
      <w:autoSpaceDE/>
      <w:autoSpaceDN/>
      <w:adjustRightInd/>
      <w:spacing w:after="0"/>
      <w:ind w:left="720"/>
      <w:contextualSpacing/>
      <w:jc w:val="left"/>
    </w:pPr>
    <w:rPr>
      <w:rFonts w:ascii="Cambria" w:hAnsi="Cambria" w:cs="Cambria"/>
    </w:rPr>
  </w:style>
  <w:style w:type="character" w:customStyle="1" w:styleId="Char2Char1">
    <w:name w:val="Char2 Char1"/>
    <w:basedOn w:val="DefaultParagraphFont"/>
    <w:uiPriority w:val="99"/>
    <w:rsid w:val="00304EA1"/>
    <w:rPr>
      <w:rFonts w:ascii="Arial Narrow" w:hAnsi="Arial Narrow" w:cs="Arial Narrow"/>
      <w:smallCaps/>
      <w:noProof/>
      <w:sz w:val="24"/>
      <w:szCs w:val="24"/>
      <w:lang w:val="en-GB" w:eastAsia="en-US"/>
    </w:rPr>
  </w:style>
  <w:style w:type="character" w:customStyle="1" w:styleId="Char51">
    <w:name w:val="Char51"/>
    <w:basedOn w:val="DefaultParagraphFont"/>
    <w:uiPriority w:val="99"/>
    <w:rsid w:val="00304EA1"/>
    <w:rPr>
      <w:rFonts w:ascii="Times New Roman Bold" w:hAnsi="Times New Roman Bold" w:cs="Times New Roman Bold"/>
      <w:b/>
      <w:bCs/>
      <w:caps/>
      <w:color w:val="4F81BD"/>
      <w:sz w:val="24"/>
      <w:szCs w:val="24"/>
      <w:lang w:val="en-GB" w:eastAsia="en-US"/>
    </w:rPr>
  </w:style>
  <w:style w:type="character" w:customStyle="1" w:styleId="CharChar3">
    <w:name w:val="Char Char3"/>
    <w:basedOn w:val="DefaultParagraphFont"/>
    <w:uiPriority w:val="99"/>
    <w:rsid w:val="00304EA1"/>
    <w:rPr>
      <w:rFonts w:ascii="Times New Roman Bold" w:hAnsi="Times New Roman Bold" w:cs="Times New Roman Bold"/>
      <w:b/>
      <w:bCs/>
      <w:sz w:val="24"/>
      <w:szCs w:val="24"/>
      <w:lang w:val="en-GB" w:eastAsia="en-US"/>
    </w:rPr>
  </w:style>
  <w:style w:type="paragraph" w:customStyle="1" w:styleId="CharChar1CharCharChar1">
    <w:name w:val="Char Char1 Char Char Char1"/>
    <w:basedOn w:val="Normal"/>
    <w:uiPriority w:val="99"/>
    <w:rsid w:val="00304EA1"/>
    <w:pPr>
      <w:widowControl/>
      <w:autoSpaceDE/>
      <w:autoSpaceDN/>
      <w:adjustRightInd/>
      <w:spacing w:after="160" w:line="240" w:lineRule="exact"/>
      <w:jc w:val="left"/>
    </w:pPr>
    <w:rPr>
      <w:rFonts w:ascii="Arial" w:hAnsi="Arial" w:cs="Arial"/>
      <w:sz w:val="20"/>
      <w:szCs w:val="20"/>
      <w:lang w:val="fr-FR" w:eastAsia="fr-FR"/>
    </w:rPr>
  </w:style>
  <w:style w:type="character" w:customStyle="1" w:styleId="CharChar11">
    <w:name w:val="Char Char11"/>
    <w:basedOn w:val="DefaultParagraphFont"/>
    <w:uiPriority w:val="99"/>
    <w:rsid w:val="00304EA1"/>
    <w:rPr>
      <w:rFonts w:ascii="Times New Roman Bold" w:hAnsi="Times New Roman Bold" w:cs="Times New Roman Bold"/>
      <w:b/>
      <w:bCs/>
      <w:caps/>
      <w:sz w:val="24"/>
      <w:szCs w:val="24"/>
      <w:lang w:val="en-GB" w:eastAsia="en-US"/>
    </w:rPr>
  </w:style>
  <w:style w:type="character" w:customStyle="1" w:styleId="CharChar21">
    <w:name w:val="Char Char21"/>
    <w:basedOn w:val="DefaultParagraphFont"/>
    <w:uiPriority w:val="99"/>
    <w:rsid w:val="00304EA1"/>
    <w:rPr>
      <w:sz w:val="24"/>
      <w:szCs w:val="24"/>
      <w:lang w:val="en-GB" w:eastAsia="en-US"/>
    </w:rPr>
  </w:style>
  <w:style w:type="character" w:customStyle="1" w:styleId="Char211">
    <w:name w:val="Char211"/>
    <w:basedOn w:val="DefaultParagraphFont"/>
    <w:uiPriority w:val="99"/>
    <w:rsid w:val="00304EA1"/>
    <w:rPr>
      <w:sz w:val="24"/>
      <w:szCs w:val="24"/>
      <w:lang w:val="en-GB" w:eastAsia="en-US"/>
    </w:rPr>
  </w:style>
  <w:style w:type="paragraph" w:styleId="TOCHeading">
    <w:name w:val="TOC Heading"/>
    <w:basedOn w:val="Normal"/>
    <w:next w:val="Normal"/>
    <w:uiPriority w:val="39"/>
    <w:qFormat/>
    <w:rsid w:val="00304EA1"/>
    <w:pPr>
      <w:keepNext/>
      <w:keepLines/>
      <w:widowControl/>
      <w:autoSpaceDE/>
      <w:autoSpaceDN/>
      <w:adjustRightInd/>
      <w:spacing w:before="480" w:after="0" w:line="276" w:lineRule="auto"/>
      <w:jc w:val="left"/>
    </w:pPr>
    <w:rPr>
      <w:rFonts w:ascii="Cambria" w:hAnsi="Cambria" w:cs="Cambria"/>
      <w:b/>
      <w:bCs/>
      <w:color w:val="365F91"/>
      <w:sz w:val="28"/>
      <w:szCs w:val="28"/>
    </w:rPr>
  </w:style>
  <w:style w:type="character" w:customStyle="1" w:styleId="Char131">
    <w:name w:val="Char131"/>
    <w:basedOn w:val="DefaultParagraphFont"/>
    <w:uiPriority w:val="99"/>
    <w:rsid w:val="00304EA1"/>
    <w:rPr>
      <w:rFonts w:ascii="Times New Roman Bold" w:hAnsi="Times New Roman Bold" w:cs="Times New Roman Bold"/>
      <w:b/>
      <w:bCs/>
      <w:caps/>
      <w:sz w:val="24"/>
      <w:szCs w:val="24"/>
      <w:lang w:val="en-GB" w:eastAsia="en-US"/>
    </w:rPr>
  </w:style>
  <w:style w:type="character" w:customStyle="1" w:styleId="CharChar5">
    <w:name w:val="Char Char5"/>
    <w:basedOn w:val="DefaultParagraphFont"/>
    <w:uiPriority w:val="99"/>
    <w:rsid w:val="00304EA1"/>
    <w:rPr>
      <w:rFonts w:ascii="Times New Roman Bold" w:hAnsi="Times New Roman Bold" w:cs="Times New Roman Bold"/>
      <w:b/>
      <w:bCs/>
      <w:sz w:val="24"/>
      <w:szCs w:val="24"/>
      <w:lang w:val="en-GB" w:eastAsia="en-US"/>
    </w:rPr>
  </w:style>
  <w:style w:type="paragraph" w:customStyle="1" w:styleId="CharChar1CharCharChar3">
    <w:name w:val="Char Char1 Char Char Char3"/>
    <w:basedOn w:val="Normal"/>
    <w:uiPriority w:val="99"/>
    <w:rsid w:val="00304EA1"/>
    <w:pPr>
      <w:widowControl/>
      <w:autoSpaceDE/>
      <w:autoSpaceDN/>
      <w:adjustRightInd/>
      <w:spacing w:after="160" w:line="240" w:lineRule="exact"/>
      <w:jc w:val="left"/>
    </w:pPr>
    <w:rPr>
      <w:rFonts w:ascii="Arial" w:hAnsi="Arial" w:cs="Arial"/>
      <w:sz w:val="20"/>
      <w:szCs w:val="20"/>
      <w:lang w:val="fr-FR" w:eastAsia="fr-FR"/>
    </w:rPr>
  </w:style>
  <w:style w:type="character" w:customStyle="1" w:styleId="CharChar13">
    <w:name w:val="Char Char13"/>
    <w:basedOn w:val="DefaultParagraphFont"/>
    <w:uiPriority w:val="99"/>
    <w:rsid w:val="00304EA1"/>
    <w:rPr>
      <w:rFonts w:ascii="Times New Roman Bold" w:hAnsi="Times New Roman Bold" w:cs="Times New Roman Bold"/>
      <w:b/>
      <w:bCs/>
      <w:caps/>
      <w:sz w:val="24"/>
      <w:szCs w:val="24"/>
      <w:lang w:val="en-GB" w:eastAsia="en-US"/>
    </w:rPr>
  </w:style>
  <w:style w:type="character" w:customStyle="1" w:styleId="CharChar23">
    <w:name w:val="Char Char23"/>
    <w:basedOn w:val="DefaultParagraphFont"/>
    <w:uiPriority w:val="99"/>
    <w:rsid w:val="00304EA1"/>
    <w:rPr>
      <w:sz w:val="24"/>
      <w:szCs w:val="24"/>
      <w:lang w:val="en-GB" w:eastAsia="en-US"/>
    </w:rPr>
  </w:style>
  <w:style w:type="character" w:styleId="EndnoteReference">
    <w:name w:val="endnote reference"/>
    <w:basedOn w:val="DefaultParagraphFont"/>
    <w:rsid w:val="00304EA1"/>
    <w:rPr>
      <w:vertAlign w:val="superscript"/>
    </w:rPr>
  </w:style>
  <w:style w:type="character" w:customStyle="1" w:styleId="Char121">
    <w:name w:val="Char121"/>
    <w:basedOn w:val="DefaultParagraphFont"/>
    <w:uiPriority w:val="99"/>
    <w:rsid w:val="00304EA1"/>
    <w:rPr>
      <w:rFonts w:ascii="Times New Roman Bold" w:hAnsi="Times New Roman Bold" w:cs="Times New Roman Bold"/>
      <w:b/>
      <w:bCs/>
      <w:caps/>
      <w:sz w:val="24"/>
      <w:szCs w:val="24"/>
      <w:lang w:val="en-GB" w:eastAsia="en-US"/>
    </w:rPr>
  </w:style>
  <w:style w:type="character" w:customStyle="1" w:styleId="CharChar4">
    <w:name w:val="Char Char4"/>
    <w:basedOn w:val="DefaultParagraphFont"/>
    <w:uiPriority w:val="99"/>
    <w:rsid w:val="00304EA1"/>
    <w:rPr>
      <w:rFonts w:ascii="Times New Roman Bold" w:hAnsi="Times New Roman Bold" w:cs="Times New Roman Bold"/>
      <w:b/>
      <w:bCs/>
      <w:sz w:val="24"/>
      <w:szCs w:val="24"/>
      <w:lang w:val="en-GB" w:eastAsia="en-US"/>
    </w:rPr>
  </w:style>
  <w:style w:type="paragraph" w:customStyle="1" w:styleId="CharChar1CharCharChar2">
    <w:name w:val="Char Char1 Char Char Char2"/>
    <w:basedOn w:val="Normal"/>
    <w:uiPriority w:val="99"/>
    <w:rsid w:val="00304EA1"/>
    <w:pPr>
      <w:widowControl/>
      <w:autoSpaceDE/>
      <w:autoSpaceDN/>
      <w:adjustRightInd/>
      <w:spacing w:after="160" w:line="240" w:lineRule="exact"/>
      <w:jc w:val="left"/>
    </w:pPr>
    <w:rPr>
      <w:rFonts w:ascii="Arial" w:hAnsi="Arial" w:cs="Arial"/>
      <w:sz w:val="20"/>
      <w:szCs w:val="20"/>
      <w:lang w:val="fr-FR" w:eastAsia="fr-FR"/>
    </w:rPr>
  </w:style>
  <w:style w:type="character" w:customStyle="1" w:styleId="CharChar12">
    <w:name w:val="Char Char12"/>
    <w:basedOn w:val="DefaultParagraphFont"/>
    <w:uiPriority w:val="99"/>
    <w:rsid w:val="00304EA1"/>
    <w:rPr>
      <w:rFonts w:ascii="Times New Roman Bold" w:hAnsi="Times New Roman Bold" w:cs="Times New Roman Bold"/>
      <w:b/>
      <w:bCs/>
      <w:caps/>
      <w:sz w:val="24"/>
      <w:szCs w:val="24"/>
      <w:lang w:val="en-GB" w:eastAsia="en-US"/>
    </w:rPr>
  </w:style>
  <w:style w:type="character" w:customStyle="1" w:styleId="CharChar22">
    <w:name w:val="Char Char22"/>
    <w:basedOn w:val="DefaultParagraphFont"/>
    <w:uiPriority w:val="99"/>
    <w:rsid w:val="00304EA1"/>
    <w:rPr>
      <w:sz w:val="24"/>
      <w:szCs w:val="24"/>
      <w:lang w:val="en-GB" w:eastAsia="en-US"/>
    </w:rPr>
  </w:style>
  <w:style w:type="paragraph" w:customStyle="1" w:styleId="ZnakZnak1">
    <w:name w:val="Znak Znak1"/>
    <w:basedOn w:val="Normal"/>
    <w:uiPriority w:val="99"/>
    <w:rsid w:val="00304EA1"/>
    <w:pPr>
      <w:widowControl/>
      <w:autoSpaceDE/>
      <w:autoSpaceDN/>
      <w:adjustRightInd/>
      <w:spacing w:after="160" w:line="240" w:lineRule="exact"/>
      <w:jc w:val="left"/>
    </w:pPr>
    <w:rPr>
      <w:rFonts w:ascii="Arial" w:hAnsi="Arial" w:cs="Arial"/>
      <w:sz w:val="20"/>
      <w:szCs w:val="20"/>
    </w:rPr>
  </w:style>
  <w:style w:type="character" w:customStyle="1" w:styleId="Char161">
    <w:name w:val="Char161"/>
    <w:basedOn w:val="DefaultParagraphFont"/>
    <w:uiPriority w:val="99"/>
    <w:semiHidden/>
    <w:rsid w:val="00304EA1"/>
    <w:rPr>
      <w:lang w:val="en-GB"/>
    </w:rPr>
  </w:style>
  <w:style w:type="numbering" w:customStyle="1" w:styleId="NoList1">
    <w:name w:val="No List1"/>
    <w:next w:val="NoList"/>
    <w:uiPriority w:val="99"/>
    <w:semiHidden/>
    <w:unhideWhenUsed/>
    <w:rsid w:val="00304EA1"/>
  </w:style>
  <w:style w:type="character" w:customStyle="1" w:styleId="Heading2Char1">
    <w:name w:val="Heading 2 Char1"/>
    <w:aliases w:val=" Char7 Char"/>
    <w:basedOn w:val="DefaultParagraphFont"/>
    <w:uiPriority w:val="99"/>
    <w:rsid w:val="00304EA1"/>
    <w:rPr>
      <w:rFonts w:ascii="Times New Roman Bold" w:hAnsi="Times New Roman Bold" w:cs="Times New Roman Bold"/>
      <w:b/>
      <w:bCs/>
      <w:sz w:val="24"/>
      <w:szCs w:val="24"/>
      <w:lang w:val="en-GB" w:eastAsia="en-US"/>
    </w:rPr>
  </w:style>
  <w:style w:type="table" w:customStyle="1" w:styleId="TableGrid1">
    <w:name w:val="Table Grid1"/>
    <w:basedOn w:val="TableNormal"/>
    <w:next w:val="TableGrid"/>
    <w:rsid w:val="00304EA1"/>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5">
    <w:name w:val="Char5"/>
    <w:basedOn w:val="DefaultParagraphFont"/>
    <w:uiPriority w:val="99"/>
    <w:rsid w:val="00304EA1"/>
    <w:rPr>
      <w:rFonts w:ascii="Times New Roman Bold" w:hAnsi="Times New Roman Bold" w:cs="Times New Roman Bold"/>
      <w:b/>
      <w:bCs/>
      <w:caps/>
      <w:sz w:val="24"/>
      <w:szCs w:val="24"/>
      <w:lang w:val="en-GB" w:eastAsia="en-US"/>
    </w:rPr>
  </w:style>
  <w:style w:type="character" w:customStyle="1" w:styleId="Char11">
    <w:name w:val="Char11"/>
    <w:basedOn w:val="DefaultParagraphFont"/>
    <w:uiPriority w:val="99"/>
    <w:rsid w:val="00304EA1"/>
    <w:rPr>
      <w:rFonts w:ascii="Times New Roman Bold" w:hAnsi="Times New Roman Bold" w:cs="Times New Roman Bold"/>
      <w:b/>
      <w:bCs/>
      <w:caps/>
      <w:sz w:val="24"/>
      <w:szCs w:val="24"/>
      <w:lang w:val="en-GB" w:eastAsia="en-US"/>
    </w:rPr>
  </w:style>
  <w:style w:type="character" w:customStyle="1" w:styleId="Char21">
    <w:name w:val="Char21"/>
    <w:basedOn w:val="DefaultParagraphFont"/>
    <w:uiPriority w:val="99"/>
    <w:rsid w:val="00304EA1"/>
    <w:rPr>
      <w:sz w:val="24"/>
      <w:szCs w:val="24"/>
      <w:lang w:val="en-GB" w:eastAsia="en-US"/>
    </w:rPr>
  </w:style>
  <w:style w:type="character" w:customStyle="1" w:styleId="Char13">
    <w:name w:val="Char13"/>
    <w:basedOn w:val="DefaultParagraphFont"/>
    <w:uiPriority w:val="99"/>
    <w:rsid w:val="00304EA1"/>
    <w:rPr>
      <w:rFonts w:ascii="Times New Roman Bold" w:hAnsi="Times New Roman Bold" w:cs="Times New Roman Bold"/>
      <w:b/>
      <w:bCs/>
      <w:caps/>
      <w:sz w:val="24"/>
      <w:szCs w:val="24"/>
      <w:lang w:val="en-GB" w:eastAsia="en-US"/>
    </w:rPr>
  </w:style>
  <w:style w:type="paragraph" w:customStyle="1" w:styleId="ZnakZnak11">
    <w:name w:val="Znak Znak11"/>
    <w:basedOn w:val="Normal"/>
    <w:rsid w:val="00304EA1"/>
    <w:pPr>
      <w:widowControl/>
      <w:autoSpaceDE/>
      <w:autoSpaceDN/>
      <w:adjustRightInd/>
      <w:spacing w:after="160" w:line="240" w:lineRule="exact"/>
      <w:jc w:val="left"/>
    </w:pPr>
    <w:rPr>
      <w:rFonts w:ascii="Arial" w:hAnsi="Arial" w:cs="Arial"/>
      <w:sz w:val="20"/>
      <w:szCs w:val="20"/>
    </w:rPr>
  </w:style>
  <w:style w:type="paragraph" w:customStyle="1" w:styleId="Style5Char">
    <w:name w:val="Style5 Char"/>
    <w:basedOn w:val="Normal"/>
    <w:link w:val="Style5CharChar"/>
    <w:rsid w:val="00304EA1"/>
    <w:pPr>
      <w:keepNext/>
      <w:widowControl/>
      <w:tabs>
        <w:tab w:val="num" w:pos="926"/>
      </w:tabs>
      <w:autoSpaceDE/>
      <w:autoSpaceDN/>
      <w:adjustRightInd/>
      <w:spacing w:before="360" w:after="200"/>
      <w:ind w:left="926" w:hanging="360"/>
      <w:jc w:val="left"/>
      <w:outlineLvl w:val="3"/>
    </w:pPr>
    <w:rPr>
      <w:rFonts w:ascii="Times New Roman Bold" w:hAnsi="Times New Roman Bold"/>
      <w:b/>
    </w:rPr>
  </w:style>
  <w:style w:type="character" w:customStyle="1" w:styleId="Style5CharChar">
    <w:name w:val="Style5 Char Char"/>
    <w:basedOn w:val="DefaultParagraphFont"/>
    <w:link w:val="Style5Char"/>
    <w:rsid w:val="00304EA1"/>
    <w:rPr>
      <w:rFonts w:ascii="Times New Roman Bold" w:hAnsi="Times New Roman Bold"/>
      <w:b/>
      <w:sz w:val="24"/>
      <w:szCs w:val="24"/>
      <w:lang w:val="en-GB"/>
    </w:rPr>
  </w:style>
  <w:style w:type="paragraph" w:customStyle="1" w:styleId="CSRHeading1">
    <w:name w:val="CSR Heading 1"/>
    <w:basedOn w:val="Normal"/>
    <w:next w:val="Normal"/>
    <w:uiPriority w:val="1"/>
    <w:qFormat/>
    <w:rsid w:val="00304EA1"/>
    <w:pPr>
      <w:spacing w:before="200" w:after="0"/>
      <w:jc w:val="left"/>
    </w:pPr>
    <w:rPr>
      <w:rFonts w:ascii="Times" w:eastAsiaTheme="minorEastAsia" w:hAnsi="Times" w:cs="Times"/>
      <w:b/>
      <w:bCs/>
      <w:sz w:val="50"/>
      <w:szCs w:val="29"/>
      <w:lang w:val="de-DE" w:eastAsia="de-DE"/>
    </w:rPr>
  </w:style>
  <w:style w:type="paragraph" w:customStyle="1" w:styleId="CSRHeading2">
    <w:name w:val="CSR Heading 2"/>
    <w:basedOn w:val="Normal"/>
    <w:next w:val="Normal"/>
    <w:uiPriority w:val="1"/>
    <w:qFormat/>
    <w:rsid w:val="00304EA1"/>
    <w:pPr>
      <w:spacing w:before="200" w:after="0"/>
      <w:jc w:val="left"/>
    </w:pPr>
    <w:rPr>
      <w:rFonts w:ascii="Times" w:eastAsiaTheme="minorEastAsia" w:hAnsi="Times" w:cs="Times"/>
      <w:b/>
      <w:bCs/>
      <w:sz w:val="35"/>
      <w:szCs w:val="29"/>
      <w:lang w:val="de-DE" w:eastAsia="de-DE"/>
    </w:rPr>
  </w:style>
  <w:style w:type="paragraph" w:customStyle="1" w:styleId="CSRHeading3">
    <w:name w:val="CSR Heading 3"/>
    <w:basedOn w:val="Normal"/>
    <w:next w:val="Normal"/>
    <w:uiPriority w:val="1"/>
    <w:qFormat/>
    <w:rsid w:val="00304EA1"/>
    <w:pPr>
      <w:spacing w:before="200" w:after="0"/>
      <w:jc w:val="left"/>
    </w:pPr>
    <w:rPr>
      <w:rFonts w:ascii="Times" w:eastAsiaTheme="minorEastAsia" w:hAnsi="Times" w:cs="Times"/>
      <w:b/>
      <w:bCs/>
      <w:sz w:val="29"/>
      <w:szCs w:val="29"/>
      <w:lang w:val="de-DE" w:eastAsia="de-DE"/>
    </w:rPr>
  </w:style>
  <w:style w:type="paragraph" w:customStyle="1" w:styleId="CSRHeading4">
    <w:name w:val="CSR Heading 4"/>
    <w:basedOn w:val="Normal"/>
    <w:next w:val="Normal"/>
    <w:uiPriority w:val="1"/>
    <w:qFormat/>
    <w:rsid w:val="00304EA1"/>
    <w:pPr>
      <w:spacing w:before="200" w:after="0"/>
      <w:jc w:val="left"/>
    </w:pPr>
    <w:rPr>
      <w:rFonts w:ascii="Times" w:eastAsiaTheme="minorEastAsia" w:hAnsi="Times" w:cs="Times"/>
      <w:b/>
      <w:bCs/>
      <w:szCs w:val="29"/>
      <w:lang w:val="de-DE" w:eastAsia="de-DE"/>
    </w:rPr>
  </w:style>
  <w:style w:type="paragraph" w:customStyle="1" w:styleId="CSRHeading5">
    <w:name w:val="CSR Heading 5"/>
    <w:basedOn w:val="Normal"/>
    <w:next w:val="Normal"/>
    <w:uiPriority w:val="1"/>
    <w:qFormat/>
    <w:rsid w:val="00304EA1"/>
    <w:pPr>
      <w:spacing w:before="200" w:after="0"/>
      <w:jc w:val="left"/>
    </w:pPr>
    <w:rPr>
      <w:rFonts w:ascii="Times" w:eastAsiaTheme="minorEastAsia" w:hAnsi="Times" w:cs="Times"/>
      <w:b/>
      <w:bCs/>
      <w:sz w:val="20"/>
      <w:szCs w:val="29"/>
      <w:lang w:val="de-DE" w:eastAsia="de-DE"/>
    </w:rPr>
  </w:style>
  <w:style w:type="paragraph" w:customStyle="1" w:styleId="CSRHeading6">
    <w:name w:val="CSR Heading 6"/>
    <w:basedOn w:val="Normal"/>
    <w:next w:val="Normal"/>
    <w:uiPriority w:val="1"/>
    <w:qFormat/>
    <w:rsid w:val="00304EA1"/>
    <w:pPr>
      <w:spacing w:before="200" w:after="0"/>
      <w:jc w:val="left"/>
    </w:pPr>
    <w:rPr>
      <w:rFonts w:ascii="Times" w:eastAsiaTheme="minorEastAsia" w:hAnsi="Times" w:cs="Times"/>
      <w:b/>
      <w:bCs/>
      <w:sz w:val="20"/>
      <w:szCs w:val="29"/>
      <w:lang w:val="de-DE" w:eastAsia="de-DE"/>
    </w:rPr>
  </w:style>
  <w:style w:type="paragraph" w:customStyle="1" w:styleId="NoteLevel21">
    <w:name w:val="Note Level 21"/>
    <w:basedOn w:val="Normal"/>
    <w:uiPriority w:val="1"/>
    <w:unhideWhenUsed/>
    <w:qFormat/>
    <w:rsid w:val="00304EA1"/>
    <w:pPr>
      <w:keepNext/>
      <w:tabs>
        <w:tab w:val="num" w:pos="720"/>
      </w:tabs>
      <w:spacing w:after="0"/>
      <w:ind w:left="1080" w:hanging="360"/>
      <w:contextualSpacing/>
      <w:jc w:val="left"/>
      <w:outlineLvl w:val="1"/>
    </w:pPr>
    <w:rPr>
      <w:rFonts w:ascii="Verdana" w:hAnsi="Verdana" w:cs="Times"/>
      <w:sz w:val="20"/>
      <w:szCs w:val="20"/>
      <w:lang w:val="de-DE" w:eastAsia="de-DE"/>
    </w:rPr>
  </w:style>
  <w:style w:type="paragraph" w:customStyle="1" w:styleId="NoteLevel211">
    <w:name w:val="Note Level 211"/>
    <w:aliases w:val="Normal table"/>
    <w:basedOn w:val="Normal"/>
    <w:uiPriority w:val="1"/>
    <w:qFormat/>
    <w:rsid w:val="008D1AE9"/>
    <w:pPr>
      <w:spacing w:after="0"/>
      <w:contextualSpacing/>
      <w:outlineLvl w:val="1"/>
    </w:pPr>
    <w:rPr>
      <w:sz w:val="20"/>
      <w:szCs w:val="20"/>
      <w:lang w:eastAsia="ja-JP"/>
    </w:rPr>
  </w:style>
  <w:style w:type="character" w:customStyle="1" w:styleId="st">
    <w:name w:val="st"/>
    <w:basedOn w:val="DefaultParagraphFont"/>
    <w:rsid w:val="008D1AE9"/>
  </w:style>
  <w:style w:type="paragraph" w:styleId="ListContinue2">
    <w:name w:val="List Continue 2"/>
    <w:basedOn w:val="Normal"/>
    <w:rsid w:val="008D1AE9"/>
    <w:pPr>
      <w:widowControl/>
      <w:numPr>
        <w:numId w:val="30"/>
      </w:numPr>
      <w:tabs>
        <w:tab w:val="clear" w:pos="717"/>
      </w:tabs>
      <w:autoSpaceDE/>
      <w:autoSpaceDN/>
      <w:adjustRightInd/>
      <w:spacing w:before="60" w:after="60" w:line="264" w:lineRule="auto"/>
      <w:ind w:left="566" w:firstLine="0"/>
    </w:pPr>
    <w:rPr>
      <w:rFonts w:ascii="Tahoma" w:hAnsi="Tahoma"/>
      <w:snapToGrid w:val="0"/>
      <w:color w:val="000000"/>
      <w:sz w:val="20"/>
      <w:szCs w:val="20"/>
      <w:lang w:eastAsia="nl-NL"/>
    </w:rPr>
  </w:style>
  <w:style w:type="paragraph" w:styleId="ListContinue3">
    <w:name w:val="List Continue 3"/>
    <w:basedOn w:val="Normal"/>
    <w:rsid w:val="008D1AE9"/>
    <w:pPr>
      <w:widowControl/>
      <w:numPr>
        <w:numId w:val="32"/>
      </w:numPr>
      <w:tabs>
        <w:tab w:val="clear" w:pos="360"/>
      </w:tabs>
      <w:autoSpaceDE/>
      <w:autoSpaceDN/>
      <w:adjustRightInd/>
      <w:spacing w:before="60" w:after="60" w:line="264" w:lineRule="auto"/>
      <w:ind w:left="849" w:firstLine="0"/>
    </w:pPr>
    <w:rPr>
      <w:rFonts w:ascii="Tahoma" w:hAnsi="Tahoma"/>
      <w:snapToGrid w:val="0"/>
      <w:color w:val="000000"/>
      <w:sz w:val="20"/>
      <w:szCs w:val="20"/>
      <w:lang w:eastAsia="nl-NL"/>
    </w:rPr>
  </w:style>
  <w:style w:type="paragraph" w:styleId="ListContinue4">
    <w:name w:val="List Continue 4"/>
    <w:basedOn w:val="Normal"/>
    <w:rsid w:val="008D1AE9"/>
    <w:pPr>
      <w:widowControl/>
      <w:numPr>
        <w:numId w:val="33"/>
      </w:numPr>
      <w:tabs>
        <w:tab w:val="clear" w:pos="648"/>
      </w:tabs>
      <w:autoSpaceDE/>
      <w:autoSpaceDN/>
      <w:adjustRightInd/>
      <w:spacing w:before="60" w:after="60" w:line="264" w:lineRule="auto"/>
      <w:ind w:left="1132" w:firstLine="0"/>
    </w:pPr>
    <w:rPr>
      <w:rFonts w:ascii="Tahoma" w:hAnsi="Tahoma"/>
      <w:snapToGrid w:val="0"/>
      <w:color w:val="000000"/>
      <w:sz w:val="20"/>
      <w:szCs w:val="20"/>
      <w:lang w:eastAsia="nl-NL"/>
    </w:rPr>
  </w:style>
  <w:style w:type="paragraph" w:styleId="ListContinue5">
    <w:name w:val="List Continue 5"/>
    <w:basedOn w:val="Normal"/>
    <w:rsid w:val="008D1AE9"/>
    <w:pPr>
      <w:widowControl/>
      <w:numPr>
        <w:numId w:val="31"/>
      </w:numPr>
      <w:tabs>
        <w:tab w:val="clear" w:pos="648"/>
      </w:tabs>
      <w:autoSpaceDE/>
      <w:autoSpaceDN/>
      <w:adjustRightInd/>
      <w:spacing w:before="60" w:after="60" w:line="264" w:lineRule="auto"/>
      <w:ind w:left="1415" w:firstLine="0"/>
    </w:pPr>
    <w:rPr>
      <w:rFonts w:ascii="Tahoma" w:hAnsi="Tahoma"/>
      <w:snapToGrid w:val="0"/>
      <w:color w:val="000000"/>
      <w:sz w:val="20"/>
      <w:szCs w:val="20"/>
      <w:lang w:eastAsia="nl-NL"/>
    </w:rPr>
  </w:style>
  <w:style w:type="paragraph" w:customStyle="1" w:styleId="opmerkingtabel">
    <w:name w:val="opmerking tabel"/>
    <w:basedOn w:val="Normal"/>
    <w:next w:val="Normal"/>
    <w:rsid w:val="008D1AE9"/>
    <w:pPr>
      <w:widowControl/>
      <w:autoSpaceDE/>
      <w:autoSpaceDN/>
      <w:adjustRightInd/>
      <w:spacing w:before="60" w:after="60" w:line="264" w:lineRule="auto"/>
    </w:pPr>
    <w:rPr>
      <w:rFonts w:ascii="Tahoma" w:hAnsi="Tahoma"/>
      <w:snapToGrid w:val="0"/>
      <w:color w:val="000000"/>
      <w:sz w:val="18"/>
      <w:szCs w:val="20"/>
      <w:lang w:eastAsia="nl-NL"/>
    </w:rPr>
  </w:style>
  <w:style w:type="paragraph" w:customStyle="1" w:styleId="KOPnietininhoudstabel">
    <w:name w:val="KOP niet in inhoudstabel"/>
    <w:basedOn w:val="Normal"/>
    <w:rsid w:val="008D1AE9"/>
    <w:pPr>
      <w:widowControl/>
      <w:autoSpaceDE/>
      <w:autoSpaceDN/>
      <w:adjustRightInd/>
      <w:spacing w:before="60" w:after="120" w:line="264" w:lineRule="auto"/>
    </w:pPr>
    <w:rPr>
      <w:rFonts w:ascii="Tahoma" w:hAnsi="Tahoma"/>
      <w:b/>
      <w:sz w:val="36"/>
      <w:szCs w:val="20"/>
      <w:lang w:eastAsia="nl-NL"/>
    </w:rPr>
  </w:style>
  <w:style w:type="paragraph" w:customStyle="1" w:styleId="Opmaakprofiel1">
    <w:name w:val="Opmaakprofiel1"/>
    <w:basedOn w:val="Heading1"/>
    <w:next w:val="Normal"/>
    <w:autoRedefine/>
    <w:rsid w:val="008D1AE9"/>
    <w:pPr>
      <w:widowControl w:val="0"/>
      <w:numPr>
        <w:numId w:val="0"/>
      </w:numPr>
      <w:tabs>
        <w:tab w:val="clear" w:pos="839"/>
      </w:tabs>
      <w:spacing w:before="240" w:after="240" w:line="264" w:lineRule="auto"/>
      <w:jc w:val="both"/>
    </w:pPr>
    <w:rPr>
      <w:rFonts w:ascii="Tahoma" w:hAnsi="Tahoma"/>
      <w:caps w:val="0"/>
      <w:smallCaps/>
      <w:snapToGrid w:val="0"/>
      <w:color w:val="000000"/>
      <w:kern w:val="28"/>
      <w:sz w:val="36"/>
      <w:szCs w:val="24"/>
      <w:lang w:val="nl-BE" w:eastAsia="nl-NL"/>
    </w:rPr>
  </w:style>
  <w:style w:type="character" w:customStyle="1" w:styleId="TabelChar">
    <w:name w:val="Tabel Char"/>
    <w:basedOn w:val="DefaultParagraphFont"/>
    <w:link w:val="Tabel"/>
    <w:rsid w:val="008D1AE9"/>
    <w:rPr>
      <w:rFonts w:ascii="Times" w:hAnsi="Times" w:cs="Times"/>
      <w:sz w:val="24"/>
      <w:szCs w:val="24"/>
      <w:lang w:val="nl-NL" w:eastAsia="nl-NL"/>
    </w:rPr>
  </w:style>
  <w:style w:type="paragraph" w:customStyle="1" w:styleId="Opmaakprofiel2">
    <w:name w:val="Opmaakprofiel2"/>
    <w:basedOn w:val="Heading4"/>
    <w:autoRedefine/>
    <w:rsid w:val="008D1AE9"/>
    <w:pPr>
      <w:numPr>
        <w:numId w:val="29"/>
      </w:numPr>
      <w:tabs>
        <w:tab w:val="clear" w:pos="839"/>
      </w:tabs>
      <w:spacing w:after="60"/>
      <w:jc w:val="both"/>
    </w:pPr>
    <w:rPr>
      <w:rFonts w:ascii="Tahoma" w:hAnsi="Tahoma"/>
      <w:i/>
      <w:caps/>
      <w:snapToGrid w:val="0"/>
      <w:color w:val="000000"/>
      <w:sz w:val="22"/>
      <w:szCs w:val="24"/>
      <w:lang w:eastAsia="nl-NL"/>
    </w:rPr>
  </w:style>
  <w:style w:type="paragraph" w:customStyle="1" w:styleId="Opmaakprofiel3">
    <w:name w:val="Opmaakprofiel3"/>
    <w:basedOn w:val="Heading2"/>
    <w:autoRedefine/>
    <w:rsid w:val="008D1AE9"/>
    <w:pPr>
      <w:numPr>
        <w:ilvl w:val="0"/>
        <w:numId w:val="0"/>
      </w:numPr>
      <w:tabs>
        <w:tab w:val="clear" w:pos="839"/>
        <w:tab w:val="num" w:pos="1440"/>
      </w:tabs>
      <w:spacing w:before="240" w:after="120" w:line="264" w:lineRule="auto"/>
      <w:ind w:left="1440" w:hanging="360"/>
    </w:pPr>
    <w:rPr>
      <w:rFonts w:ascii="Tahoma" w:hAnsi="Tahoma"/>
      <w:smallCaps/>
      <w:snapToGrid w:val="0"/>
      <w:color w:val="000000"/>
      <w:sz w:val="28"/>
      <w:szCs w:val="24"/>
      <w:lang w:eastAsia="nl-NL"/>
    </w:rPr>
  </w:style>
  <w:style w:type="paragraph" w:customStyle="1" w:styleId="Opmaakprofiel4">
    <w:name w:val="Opmaakprofiel4"/>
    <w:basedOn w:val="Heading1"/>
    <w:autoRedefine/>
    <w:rsid w:val="008D1AE9"/>
    <w:pPr>
      <w:widowControl w:val="0"/>
      <w:numPr>
        <w:numId w:val="0"/>
      </w:numPr>
      <w:tabs>
        <w:tab w:val="clear" w:pos="839"/>
        <w:tab w:val="num" w:pos="360"/>
      </w:tabs>
      <w:spacing w:before="240" w:after="240" w:line="264" w:lineRule="auto"/>
      <w:ind w:left="360" w:hanging="360"/>
      <w:jc w:val="both"/>
    </w:pPr>
    <w:rPr>
      <w:rFonts w:ascii="Tahoma" w:hAnsi="Tahoma"/>
      <w:caps w:val="0"/>
      <w:smallCaps/>
      <w:snapToGrid w:val="0"/>
      <w:color w:val="000000"/>
      <w:kern w:val="28"/>
      <w:sz w:val="36"/>
      <w:szCs w:val="24"/>
      <w:lang w:val="nl-BE" w:eastAsia="nl-NL"/>
    </w:rPr>
  </w:style>
  <w:style w:type="paragraph" w:customStyle="1" w:styleId="Opsomming1Char">
    <w:name w:val="Opsomming 1 Char"/>
    <w:basedOn w:val="Normal"/>
    <w:rsid w:val="008D1AE9"/>
    <w:pPr>
      <w:widowControl/>
      <w:tabs>
        <w:tab w:val="num" w:pos="709"/>
      </w:tabs>
      <w:suppressAutoHyphens/>
      <w:autoSpaceDE/>
      <w:autoSpaceDN/>
      <w:adjustRightInd/>
      <w:spacing w:after="60" w:line="264" w:lineRule="auto"/>
      <w:ind w:left="714" w:hanging="357"/>
    </w:pPr>
    <w:rPr>
      <w:rFonts w:ascii="Tahoma" w:hAnsi="Tahoma"/>
      <w:snapToGrid w:val="0"/>
      <w:color w:val="000000"/>
      <w:sz w:val="20"/>
      <w:szCs w:val="20"/>
      <w:lang w:eastAsia="nl-BE"/>
    </w:rPr>
  </w:style>
  <w:style w:type="paragraph" w:customStyle="1" w:styleId="Text">
    <w:name w:val="Text"/>
    <w:basedOn w:val="Normal"/>
    <w:rsid w:val="008D1AE9"/>
    <w:pPr>
      <w:widowControl/>
      <w:autoSpaceDE/>
      <w:autoSpaceDN/>
      <w:adjustRightInd/>
      <w:spacing w:after="0"/>
      <w:ind w:firstLine="360"/>
    </w:pPr>
    <w:rPr>
      <w:rFonts w:ascii="Times" w:hAnsi="Times"/>
      <w:szCs w:val="20"/>
    </w:rPr>
  </w:style>
  <w:style w:type="paragraph" w:customStyle="1" w:styleId="brdetail1">
    <w:name w:val="brdetail1"/>
    <w:basedOn w:val="Normal"/>
    <w:rsid w:val="008D1AE9"/>
    <w:pPr>
      <w:widowControl/>
      <w:autoSpaceDE/>
      <w:autoSpaceDN/>
      <w:adjustRightInd/>
      <w:spacing w:after="0" w:line="360" w:lineRule="atLeast"/>
      <w:jc w:val="left"/>
    </w:pPr>
    <w:rPr>
      <w:rFonts w:ascii="Courier New" w:hAnsi="Courier New"/>
      <w:szCs w:val="20"/>
      <w:lang w:val="nl-NL" w:eastAsia="nl-NL"/>
    </w:rPr>
  </w:style>
  <w:style w:type="paragraph" w:styleId="List">
    <w:name w:val="List"/>
    <w:basedOn w:val="Normal"/>
    <w:rsid w:val="008D1AE9"/>
    <w:pPr>
      <w:widowControl/>
      <w:autoSpaceDE/>
      <w:autoSpaceDN/>
      <w:adjustRightInd/>
      <w:spacing w:after="0"/>
      <w:ind w:left="283" w:hanging="283"/>
      <w:jc w:val="left"/>
    </w:pPr>
    <w:rPr>
      <w:rFonts w:ascii="Arial" w:hAnsi="Arial"/>
    </w:rPr>
  </w:style>
  <w:style w:type="paragraph" w:styleId="List2">
    <w:name w:val="List 2"/>
    <w:basedOn w:val="Normal"/>
    <w:rsid w:val="008D1AE9"/>
    <w:pPr>
      <w:widowControl/>
      <w:autoSpaceDE/>
      <w:autoSpaceDN/>
      <w:adjustRightInd/>
      <w:spacing w:after="0"/>
      <w:ind w:left="566" w:hanging="283"/>
      <w:jc w:val="left"/>
    </w:pPr>
    <w:rPr>
      <w:rFonts w:ascii="Arial" w:hAnsi="Arial"/>
    </w:rPr>
  </w:style>
  <w:style w:type="paragraph" w:customStyle="1" w:styleId="zzCover">
    <w:name w:val="zzCover"/>
    <w:basedOn w:val="Normal"/>
    <w:rsid w:val="008D1AE9"/>
    <w:pPr>
      <w:widowControl/>
      <w:autoSpaceDE/>
      <w:autoSpaceDN/>
      <w:adjustRightInd/>
      <w:spacing w:after="220" w:line="230" w:lineRule="atLeast"/>
      <w:jc w:val="right"/>
    </w:pPr>
    <w:rPr>
      <w:rFonts w:ascii="Arial" w:eastAsia="MS Mincho" w:hAnsi="Arial"/>
      <w:b/>
      <w:color w:val="000000"/>
      <w:szCs w:val="20"/>
      <w:lang w:eastAsia="ja-JP"/>
    </w:rPr>
  </w:style>
  <w:style w:type="paragraph" w:customStyle="1" w:styleId="Kop4">
    <w:name w:val="Kop4"/>
    <w:basedOn w:val="Heading1"/>
    <w:rsid w:val="008D1AE9"/>
    <w:pPr>
      <w:numPr>
        <w:numId w:val="0"/>
      </w:numPr>
      <w:tabs>
        <w:tab w:val="clear" w:pos="839"/>
        <w:tab w:val="left" w:pos="567"/>
      </w:tabs>
      <w:spacing w:before="0" w:after="0"/>
    </w:pPr>
    <w:rPr>
      <w:rFonts w:ascii="Times New Roman" w:hAnsi="Times New Roman"/>
      <w:kern w:val="28"/>
      <w:szCs w:val="24"/>
      <w:lang w:eastAsia="nl-BE"/>
    </w:rPr>
  </w:style>
  <w:style w:type="paragraph" w:customStyle="1" w:styleId="BodyTextIndent21">
    <w:name w:val="Body Text Indent 21"/>
    <w:basedOn w:val="Normal"/>
    <w:rsid w:val="008D1AE9"/>
    <w:pPr>
      <w:widowControl/>
      <w:tabs>
        <w:tab w:val="left" w:pos="720"/>
        <w:tab w:val="left" w:pos="1276"/>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autoSpaceDE/>
      <w:autoSpaceDN/>
      <w:adjustRightInd/>
      <w:ind w:left="1276" w:hanging="1276"/>
    </w:pPr>
    <w:rPr>
      <w:b/>
      <w:szCs w:val="20"/>
      <w:lang w:val="nl-NL" w:eastAsia="nl-NL"/>
    </w:rPr>
  </w:style>
  <w:style w:type="paragraph" w:customStyle="1" w:styleId="Heading50">
    <w:name w:val="Headin g 5"/>
    <w:basedOn w:val="BodyText"/>
    <w:rsid w:val="008D1AE9"/>
    <w:rPr>
      <w:szCs w:val="24"/>
    </w:rPr>
  </w:style>
  <w:style w:type="paragraph" w:customStyle="1" w:styleId="4">
    <w:name w:val="4"/>
    <w:basedOn w:val="Heading3"/>
    <w:rsid w:val="008D1AE9"/>
    <w:pPr>
      <w:numPr>
        <w:ilvl w:val="0"/>
        <w:numId w:val="0"/>
      </w:numPr>
      <w:tabs>
        <w:tab w:val="clear" w:pos="839"/>
      </w:tabs>
      <w:jc w:val="both"/>
    </w:pPr>
    <w:rPr>
      <w:caps/>
      <w:szCs w:val="24"/>
      <w:lang w:val="fr-FR"/>
    </w:rPr>
  </w:style>
  <w:style w:type="paragraph" w:customStyle="1" w:styleId="Header40">
    <w:name w:val="Header 4µ"/>
    <w:basedOn w:val="Header4"/>
    <w:rsid w:val="008D1AE9"/>
    <w:pPr>
      <w:tabs>
        <w:tab w:val="clear" w:pos="720"/>
        <w:tab w:val="clear" w:pos="1077"/>
        <w:tab w:val="clear" w:pos="1317"/>
        <w:tab w:val="clear" w:pos="1701"/>
        <w:tab w:val="clear" w:pos="2160"/>
        <w:tab w:val="clear" w:pos="2226"/>
        <w:tab w:val="num" w:pos="360"/>
      </w:tabs>
      <w:ind w:left="360" w:hanging="360"/>
    </w:pPr>
    <w:rPr>
      <w:rFonts w:cs="Times New Roman"/>
      <w:bCs w:val="0"/>
    </w:rPr>
  </w:style>
  <w:style w:type="character" w:customStyle="1" w:styleId="Style1Char">
    <w:name w:val="Style1 Char"/>
    <w:basedOn w:val="BlockTextChar"/>
    <w:link w:val="Style1"/>
    <w:rsid w:val="008D1AE9"/>
    <w:rPr>
      <w:rFonts w:ascii="Times New Roman Bold" w:hAnsi="Times New Roman Bold" w:cs="Times New Roman Bold"/>
      <w:b/>
      <w:bCs/>
      <w:sz w:val="24"/>
      <w:szCs w:val="24"/>
      <w:lang w:val="en-GB"/>
    </w:rPr>
  </w:style>
  <w:style w:type="paragraph" w:customStyle="1" w:styleId="Bodytexti">
    <w:name w:val="Body texti"/>
    <w:basedOn w:val="Normal"/>
    <w:rsid w:val="008D1AE9"/>
    <w:pPr>
      <w:widowControl/>
      <w:autoSpaceDE/>
      <w:autoSpaceDN/>
      <w:adjustRightInd/>
      <w:spacing w:after="0" w:line="264" w:lineRule="auto"/>
    </w:pPr>
  </w:style>
  <w:style w:type="paragraph" w:customStyle="1" w:styleId="StyleCaption12pt">
    <w:name w:val="Style Caption + 12 pt"/>
    <w:basedOn w:val="Caption"/>
    <w:rsid w:val="008D1AE9"/>
    <w:pPr>
      <w:spacing w:before="200"/>
      <w:ind w:left="0"/>
    </w:pPr>
    <w:rPr>
      <w:rFonts w:ascii="Arial Narrow" w:hAnsi="Arial Narrow"/>
      <w:sz w:val="20"/>
      <w:lang w:val="en-GB"/>
    </w:rPr>
  </w:style>
  <w:style w:type="paragraph" w:customStyle="1" w:styleId="KorrUKTimesNBodytext">
    <w:name w:val="KorrUK + Times NBody text"/>
    <w:basedOn w:val="BodyText"/>
    <w:link w:val="KorrUKTimesNBodytextChar"/>
    <w:rsid w:val="008D1AE9"/>
    <w:rPr>
      <w:szCs w:val="24"/>
    </w:rPr>
  </w:style>
  <w:style w:type="character" w:customStyle="1" w:styleId="KorrUKTimesNBodytextChar">
    <w:name w:val="KorrUK + Times NBody text Char"/>
    <w:basedOn w:val="BodyTextChar"/>
    <w:link w:val="KorrUKTimesNBodytext"/>
    <w:rsid w:val="008D1AE9"/>
    <w:rPr>
      <w:sz w:val="24"/>
      <w:szCs w:val="24"/>
      <w:lang w:val="en-GB"/>
    </w:rPr>
  </w:style>
  <w:style w:type="paragraph" w:customStyle="1" w:styleId="BodyTest">
    <w:name w:val="Body Test"/>
    <w:basedOn w:val="Normal"/>
    <w:rsid w:val="008D1AE9"/>
    <w:pPr>
      <w:widowControl/>
      <w:autoSpaceDE/>
      <w:autoSpaceDN/>
      <w:adjustRightInd/>
      <w:spacing w:after="0"/>
    </w:pPr>
  </w:style>
  <w:style w:type="paragraph" w:customStyle="1" w:styleId="OmniPage13">
    <w:name w:val="OmniPage #13"/>
    <w:rsid w:val="008D1AE9"/>
    <w:pPr>
      <w:tabs>
        <w:tab w:val="left" w:pos="50"/>
        <w:tab w:val="right" w:pos="9430"/>
      </w:tabs>
      <w:overflowPunct w:val="0"/>
      <w:autoSpaceDE w:val="0"/>
      <w:autoSpaceDN w:val="0"/>
      <w:adjustRightInd w:val="0"/>
      <w:textAlignment w:val="baseline"/>
    </w:pPr>
    <w:rPr>
      <w:rFonts w:ascii="Tms Rmn" w:hAnsi="Tms Rmn"/>
    </w:rPr>
  </w:style>
  <w:style w:type="character" w:customStyle="1" w:styleId="smallgray1">
    <w:name w:val="smallgray1"/>
    <w:basedOn w:val="DefaultParagraphFont"/>
    <w:rsid w:val="008D1AE9"/>
    <w:rPr>
      <w:rFonts w:ascii="Verdana" w:hAnsi="Verdana" w:hint="default"/>
      <w:color w:val="000000"/>
      <w:sz w:val="17"/>
      <w:szCs w:val="17"/>
    </w:rPr>
  </w:style>
  <w:style w:type="character" w:customStyle="1" w:styleId="titregras31">
    <w:name w:val="titregras31"/>
    <w:basedOn w:val="DefaultParagraphFont"/>
    <w:rsid w:val="008D1AE9"/>
    <w:rPr>
      <w:rFonts w:ascii="Verdana" w:hAnsi="Verdana" w:hint="default"/>
      <w:b/>
      <w:bCs/>
      <w:color w:val="000000"/>
      <w:sz w:val="21"/>
      <w:szCs w:val="21"/>
    </w:rPr>
  </w:style>
  <w:style w:type="paragraph" w:customStyle="1" w:styleId="sectioncontent">
    <w:name w:val="sectioncontent"/>
    <w:basedOn w:val="Normal"/>
    <w:rsid w:val="008D1AE9"/>
    <w:pPr>
      <w:widowControl/>
      <w:autoSpaceDE/>
      <w:autoSpaceDN/>
      <w:adjustRightInd/>
      <w:spacing w:before="100" w:beforeAutospacing="1" w:after="100" w:afterAutospacing="1"/>
      <w:jc w:val="left"/>
    </w:pPr>
    <w:rPr>
      <w:lang w:eastAsia="en-GB"/>
    </w:rPr>
  </w:style>
  <w:style w:type="paragraph" w:customStyle="1" w:styleId="textnormal">
    <w:name w:val="text_normal"/>
    <w:basedOn w:val="Normal"/>
    <w:rsid w:val="008D1AE9"/>
    <w:pPr>
      <w:widowControl/>
      <w:autoSpaceDE/>
      <w:autoSpaceDN/>
      <w:adjustRightInd/>
      <w:spacing w:before="100" w:beforeAutospacing="1" w:after="100" w:afterAutospacing="1"/>
      <w:jc w:val="left"/>
    </w:pPr>
    <w:rPr>
      <w:rFonts w:ascii="Arial" w:hAnsi="Arial" w:cs="Arial"/>
      <w:color w:val="000000"/>
      <w:sz w:val="20"/>
      <w:szCs w:val="20"/>
      <w:lang w:eastAsia="en-GB"/>
    </w:rPr>
  </w:style>
  <w:style w:type="paragraph" w:customStyle="1" w:styleId="cadre1">
    <w:name w:val="cadre1"/>
    <w:basedOn w:val="Normal"/>
    <w:rsid w:val="008D1AE9"/>
    <w:pPr>
      <w:widowControl/>
      <w:autoSpaceDE/>
      <w:autoSpaceDN/>
      <w:adjustRightInd/>
      <w:spacing w:before="100" w:beforeAutospacing="1" w:after="100" w:afterAutospacing="1"/>
      <w:jc w:val="left"/>
    </w:pPr>
    <w:rPr>
      <w:lang w:eastAsia="en-GB"/>
    </w:rPr>
  </w:style>
  <w:style w:type="paragraph" w:customStyle="1" w:styleId="a0">
    <w:name w:val="_"/>
    <w:basedOn w:val="Normal"/>
    <w:next w:val="Normal"/>
    <w:rsid w:val="008D1AE9"/>
    <w:pPr>
      <w:widowControl/>
      <w:spacing w:after="0"/>
      <w:jc w:val="left"/>
    </w:pPr>
    <w:rPr>
      <w:lang w:eastAsia="en-GB"/>
    </w:rPr>
  </w:style>
  <w:style w:type="paragraph" w:customStyle="1" w:styleId="References">
    <w:name w:val="References"/>
    <w:basedOn w:val="Normal"/>
    <w:next w:val="Normal"/>
    <w:rsid w:val="008D1AE9"/>
    <w:pPr>
      <w:widowControl/>
      <w:spacing w:after="40"/>
      <w:jc w:val="left"/>
    </w:pPr>
    <w:rPr>
      <w:lang w:eastAsia="en-GB"/>
    </w:rPr>
  </w:style>
  <w:style w:type="paragraph" w:customStyle="1" w:styleId="NormalWeb5">
    <w:name w:val="Normal (Web)5"/>
    <w:basedOn w:val="Normal"/>
    <w:rsid w:val="008D1AE9"/>
    <w:pPr>
      <w:widowControl/>
      <w:autoSpaceDE/>
      <w:autoSpaceDN/>
      <w:adjustRightInd/>
      <w:spacing w:before="216" w:after="0" w:line="288" w:lineRule="atLeast"/>
      <w:ind w:left="2692" w:right="240"/>
      <w:jc w:val="left"/>
    </w:pPr>
    <w:rPr>
      <w:sz w:val="22"/>
      <w:szCs w:val="22"/>
      <w:lang w:eastAsia="en-GB"/>
    </w:rPr>
  </w:style>
  <w:style w:type="character" w:customStyle="1" w:styleId="smallcaps1">
    <w:name w:val="smallcaps1"/>
    <w:basedOn w:val="DefaultParagraphFont"/>
    <w:rsid w:val="008D1AE9"/>
    <w:rPr>
      <w:rFonts w:ascii="Times" w:hAnsi="Times" w:cs="Times" w:hint="default"/>
      <w:b/>
      <w:bCs/>
      <w:smallCaps/>
      <w:strike w:val="0"/>
      <w:dstrike w:val="0"/>
      <w:sz w:val="22"/>
      <w:szCs w:val="22"/>
      <w:u w:val="none"/>
      <w:effect w:val="none"/>
    </w:rPr>
  </w:style>
  <w:style w:type="character" w:customStyle="1" w:styleId="Mention">
    <w:name w:val="Mention"/>
    <w:basedOn w:val="DefaultParagraphFont"/>
    <w:uiPriority w:val="99"/>
    <w:semiHidden/>
    <w:unhideWhenUsed/>
    <w:rsid w:val="00C75248"/>
    <w:rPr>
      <w:color w:val="2B579A"/>
      <w:shd w:val="clear" w:color="auto" w:fill="E6E6E6"/>
    </w:rPr>
  </w:style>
  <w:style w:type="paragraph" w:customStyle="1" w:styleId="AnnexHeading">
    <w:name w:val="Annex Heading"/>
    <w:basedOn w:val="Normal"/>
    <w:next w:val="BodyText"/>
    <w:rsid w:val="002C2BB0"/>
    <w:pPr>
      <w:keepNext/>
      <w:widowControl/>
      <w:tabs>
        <w:tab w:val="left" w:pos="850"/>
      </w:tabs>
      <w:autoSpaceDE/>
      <w:autoSpaceDN/>
      <w:adjustRightInd/>
      <w:spacing w:before="1200" w:after="720" w:afterAutospacing="1"/>
      <w:ind w:left="284" w:right="214"/>
      <w:jc w:val="center"/>
    </w:pPr>
    <w:rPr>
      <w:rFonts w:ascii="Times" w:hAnsi="Times"/>
      <w:b/>
      <w:bCs/>
      <w:caps/>
      <w:sz w:val="20"/>
      <w:szCs w:val="20"/>
      <w:lang w:val="de-DE"/>
    </w:rPr>
  </w:style>
  <w:style w:type="paragraph" w:customStyle="1" w:styleId="ColorfulShading-Accent11">
    <w:name w:val="Colorful Shading - Accent 11"/>
    <w:hidden/>
    <w:uiPriority w:val="71"/>
    <w:rsid w:val="002C2BB0"/>
    <w:rPr>
      <w:rFonts w:ascii="Times" w:hAnsi="Times"/>
    </w:rPr>
  </w:style>
  <w:style w:type="paragraph" w:customStyle="1" w:styleId="StyleJustified">
    <w:name w:val="Style Justified"/>
    <w:basedOn w:val="Normal"/>
    <w:link w:val="StyleJustifiedChar"/>
    <w:autoRedefine/>
    <w:uiPriority w:val="99"/>
    <w:rsid w:val="002C2BB0"/>
    <w:pPr>
      <w:widowControl/>
      <w:tabs>
        <w:tab w:val="left" w:pos="0"/>
      </w:tabs>
      <w:autoSpaceDE/>
      <w:autoSpaceDN/>
      <w:adjustRightInd/>
      <w:spacing w:after="0" w:line="264" w:lineRule="auto"/>
      <w:ind w:left="284"/>
    </w:pPr>
    <w:rPr>
      <w:rFonts w:ascii="Arial" w:hAnsi="Arial"/>
      <w:sz w:val="20"/>
      <w:szCs w:val="20"/>
      <w:lang w:val="en-US" w:eastAsia="nl-NL"/>
    </w:rPr>
  </w:style>
  <w:style w:type="character" w:customStyle="1" w:styleId="StyleJustifiedChar">
    <w:name w:val="Style Justified Char"/>
    <w:link w:val="StyleJustified"/>
    <w:uiPriority w:val="99"/>
    <w:rsid w:val="002C2BB0"/>
    <w:rPr>
      <w:rFonts w:ascii="Arial" w:hAnsi="Arial"/>
      <w:lang w:eastAsia="nl-NL"/>
    </w:rPr>
  </w:style>
  <w:style w:type="table" w:customStyle="1" w:styleId="TableGrid3">
    <w:name w:val="Table Grid3"/>
    <w:basedOn w:val="TableNormal"/>
    <w:next w:val="TableGrid"/>
    <w:uiPriority w:val="59"/>
    <w:rsid w:val="002C2BB0"/>
    <w:rPr>
      <w:rFonts w:ascii="Calibri" w:eastAsia="Calibri"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52904">
      <w:bodyDiv w:val="1"/>
      <w:marLeft w:val="0"/>
      <w:marRight w:val="0"/>
      <w:marTop w:val="0"/>
      <w:marBottom w:val="0"/>
      <w:divBdr>
        <w:top w:val="none" w:sz="0" w:space="0" w:color="auto"/>
        <w:left w:val="none" w:sz="0" w:space="0" w:color="auto"/>
        <w:bottom w:val="none" w:sz="0" w:space="0" w:color="auto"/>
        <w:right w:val="none" w:sz="0" w:space="0" w:color="auto"/>
      </w:divBdr>
    </w:div>
    <w:div w:id="37167522">
      <w:bodyDiv w:val="1"/>
      <w:marLeft w:val="0"/>
      <w:marRight w:val="0"/>
      <w:marTop w:val="0"/>
      <w:marBottom w:val="0"/>
      <w:divBdr>
        <w:top w:val="none" w:sz="0" w:space="0" w:color="auto"/>
        <w:left w:val="none" w:sz="0" w:space="0" w:color="auto"/>
        <w:bottom w:val="none" w:sz="0" w:space="0" w:color="auto"/>
        <w:right w:val="none" w:sz="0" w:space="0" w:color="auto"/>
      </w:divBdr>
    </w:div>
    <w:div w:id="41633899">
      <w:bodyDiv w:val="1"/>
      <w:marLeft w:val="0"/>
      <w:marRight w:val="0"/>
      <w:marTop w:val="0"/>
      <w:marBottom w:val="0"/>
      <w:divBdr>
        <w:top w:val="none" w:sz="0" w:space="0" w:color="auto"/>
        <w:left w:val="none" w:sz="0" w:space="0" w:color="auto"/>
        <w:bottom w:val="none" w:sz="0" w:space="0" w:color="auto"/>
        <w:right w:val="none" w:sz="0" w:space="0" w:color="auto"/>
      </w:divBdr>
    </w:div>
    <w:div w:id="42023734">
      <w:bodyDiv w:val="1"/>
      <w:marLeft w:val="0"/>
      <w:marRight w:val="0"/>
      <w:marTop w:val="0"/>
      <w:marBottom w:val="0"/>
      <w:divBdr>
        <w:top w:val="none" w:sz="0" w:space="0" w:color="auto"/>
        <w:left w:val="none" w:sz="0" w:space="0" w:color="auto"/>
        <w:bottom w:val="none" w:sz="0" w:space="0" w:color="auto"/>
        <w:right w:val="none" w:sz="0" w:space="0" w:color="auto"/>
      </w:divBdr>
    </w:div>
    <w:div w:id="98646876">
      <w:bodyDiv w:val="1"/>
      <w:marLeft w:val="0"/>
      <w:marRight w:val="0"/>
      <w:marTop w:val="0"/>
      <w:marBottom w:val="0"/>
      <w:divBdr>
        <w:top w:val="none" w:sz="0" w:space="0" w:color="auto"/>
        <w:left w:val="none" w:sz="0" w:space="0" w:color="auto"/>
        <w:bottom w:val="none" w:sz="0" w:space="0" w:color="auto"/>
        <w:right w:val="none" w:sz="0" w:space="0" w:color="auto"/>
      </w:divBdr>
    </w:div>
    <w:div w:id="123276060">
      <w:bodyDiv w:val="1"/>
      <w:marLeft w:val="0"/>
      <w:marRight w:val="0"/>
      <w:marTop w:val="0"/>
      <w:marBottom w:val="0"/>
      <w:divBdr>
        <w:top w:val="none" w:sz="0" w:space="0" w:color="auto"/>
        <w:left w:val="none" w:sz="0" w:space="0" w:color="auto"/>
        <w:bottom w:val="none" w:sz="0" w:space="0" w:color="auto"/>
        <w:right w:val="none" w:sz="0" w:space="0" w:color="auto"/>
      </w:divBdr>
    </w:div>
    <w:div w:id="185484772">
      <w:bodyDiv w:val="1"/>
      <w:marLeft w:val="0"/>
      <w:marRight w:val="0"/>
      <w:marTop w:val="0"/>
      <w:marBottom w:val="0"/>
      <w:divBdr>
        <w:top w:val="none" w:sz="0" w:space="0" w:color="auto"/>
        <w:left w:val="none" w:sz="0" w:space="0" w:color="auto"/>
        <w:bottom w:val="none" w:sz="0" w:space="0" w:color="auto"/>
        <w:right w:val="none" w:sz="0" w:space="0" w:color="auto"/>
      </w:divBdr>
    </w:div>
    <w:div w:id="316150579">
      <w:bodyDiv w:val="1"/>
      <w:marLeft w:val="0"/>
      <w:marRight w:val="0"/>
      <w:marTop w:val="0"/>
      <w:marBottom w:val="0"/>
      <w:divBdr>
        <w:top w:val="none" w:sz="0" w:space="0" w:color="auto"/>
        <w:left w:val="none" w:sz="0" w:space="0" w:color="auto"/>
        <w:bottom w:val="none" w:sz="0" w:space="0" w:color="auto"/>
        <w:right w:val="none" w:sz="0" w:space="0" w:color="auto"/>
      </w:divBdr>
    </w:div>
    <w:div w:id="316493014">
      <w:bodyDiv w:val="1"/>
      <w:marLeft w:val="0"/>
      <w:marRight w:val="0"/>
      <w:marTop w:val="0"/>
      <w:marBottom w:val="0"/>
      <w:divBdr>
        <w:top w:val="none" w:sz="0" w:space="0" w:color="auto"/>
        <w:left w:val="none" w:sz="0" w:space="0" w:color="auto"/>
        <w:bottom w:val="none" w:sz="0" w:space="0" w:color="auto"/>
        <w:right w:val="none" w:sz="0" w:space="0" w:color="auto"/>
      </w:divBdr>
    </w:div>
    <w:div w:id="323894246">
      <w:bodyDiv w:val="1"/>
      <w:marLeft w:val="0"/>
      <w:marRight w:val="0"/>
      <w:marTop w:val="0"/>
      <w:marBottom w:val="0"/>
      <w:divBdr>
        <w:top w:val="none" w:sz="0" w:space="0" w:color="auto"/>
        <w:left w:val="none" w:sz="0" w:space="0" w:color="auto"/>
        <w:bottom w:val="none" w:sz="0" w:space="0" w:color="auto"/>
        <w:right w:val="none" w:sz="0" w:space="0" w:color="auto"/>
      </w:divBdr>
    </w:div>
    <w:div w:id="383069868">
      <w:bodyDiv w:val="1"/>
      <w:marLeft w:val="0"/>
      <w:marRight w:val="0"/>
      <w:marTop w:val="0"/>
      <w:marBottom w:val="0"/>
      <w:divBdr>
        <w:top w:val="none" w:sz="0" w:space="0" w:color="auto"/>
        <w:left w:val="none" w:sz="0" w:space="0" w:color="auto"/>
        <w:bottom w:val="none" w:sz="0" w:space="0" w:color="auto"/>
        <w:right w:val="none" w:sz="0" w:space="0" w:color="auto"/>
      </w:divBdr>
    </w:div>
    <w:div w:id="515458189">
      <w:bodyDiv w:val="1"/>
      <w:marLeft w:val="0"/>
      <w:marRight w:val="0"/>
      <w:marTop w:val="0"/>
      <w:marBottom w:val="0"/>
      <w:divBdr>
        <w:top w:val="none" w:sz="0" w:space="0" w:color="auto"/>
        <w:left w:val="none" w:sz="0" w:space="0" w:color="auto"/>
        <w:bottom w:val="none" w:sz="0" w:space="0" w:color="auto"/>
        <w:right w:val="none" w:sz="0" w:space="0" w:color="auto"/>
      </w:divBdr>
    </w:div>
    <w:div w:id="529805047">
      <w:bodyDiv w:val="1"/>
      <w:marLeft w:val="0"/>
      <w:marRight w:val="0"/>
      <w:marTop w:val="0"/>
      <w:marBottom w:val="0"/>
      <w:divBdr>
        <w:top w:val="none" w:sz="0" w:space="0" w:color="auto"/>
        <w:left w:val="none" w:sz="0" w:space="0" w:color="auto"/>
        <w:bottom w:val="none" w:sz="0" w:space="0" w:color="auto"/>
        <w:right w:val="none" w:sz="0" w:space="0" w:color="auto"/>
      </w:divBdr>
    </w:div>
    <w:div w:id="648097715">
      <w:bodyDiv w:val="1"/>
      <w:marLeft w:val="0"/>
      <w:marRight w:val="0"/>
      <w:marTop w:val="0"/>
      <w:marBottom w:val="0"/>
      <w:divBdr>
        <w:top w:val="none" w:sz="0" w:space="0" w:color="auto"/>
        <w:left w:val="none" w:sz="0" w:space="0" w:color="auto"/>
        <w:bottom w:val="none" w:sz="0" w:space="0" w:color="auto"/>
        <w:right w:val="none" w:sz="0" w:space="0" w:color="auto"/>
      </w:divBdr>
    </w:div>
    <w:div w:id="671685304">
      <w:bodyDiv w:val="1"/>
      <w:marLeft w:val="0"/>
      <w:marRight w:val="0"/>
      <w:marTop w:val="0"/>
      <w:marBottom w:val="0"/>
      <w:divBdr>
        <w:top w:val="none" w:sz="0" w:space="0" w:color="auto"/>
        <w:left w:val="none" w:sz="0" w:space="0" w:color="auto"/>
        <w:bottom w:val="none" w:sz="0" w:space="0" w:color="auto"/>
        <w:right w:val="none" w:sz="0" w:space="0" w:color="auto"/>
      </w:divBdr>
    </w:div>
    <w:div w:id="766971268">
      <w:bodyDiv w:val="1"/>
      <w:marLeft w:val="0"/>
      <w:marRight w:val="0"/>
      <w:marTop w:val="0"/>
      <w:marBottom w:val="0"/>
      <w:divBdr>
        <w:top w:val="none" w:sz="0" w:space="0" w:color="auto"/>
        <w:left w:val="none" w:sz="0" w:space="0" w:color="auto"/>
        <w:bottom w:val="none" w:sz="0" w:space="0" w:color="auto"/>
        <w:right w:val="none" w:sz="0" w:space="0" w:color="auto"/>
      </w:divBdr>
    </w:div>
    <w:div w:id="767891256">
      <w:bodyDiv w:val="1"/>
      <w:marLeft w:val="0"/>
      <w:marRight w:val="0"/>
      <w:marTop w:val="0"/>
      <w:marBottom w:val="0"/>
      <w:divBdr>
        <w:top w:val="none" w:sz="0" w:space="0" w:color="auto"/>
        <w:left w:val="none" w:sz="0" w:space="0" w:color="auto"/>
        <w:bottom w:val="none" w:sz="0" w:space="0" w:color="auto"/>
        <w:right w:val="none" w:sz="0" w:space="0" w:color="auto"/>
      </w:divBdr>
    </w:div>
    <w:div w:id="773747039">
      <w:bodyDiv w:val="1"/>
      <w:marLeft w:val="0"/>
      <w:marRight w:val="0"/>
      <w:marTop w:val="0"/>
      <w:marBottom w:val="0"/>
      <w:divBdr>
        <w:top w:val="none" w:sz="0" w:space="0" w:color="auto"/>
        <w:left w:val="none" w:sz="0" w:space="0" w:color="auto"/>
        <w:bottom w:val="none" w:sz="0" w:space="0" w:color="auto"/>
        <w:right w:val="none" w:sz="0" w:space="0" w:color="auto"/>
      </w:divBdr>
    </w:div>
    <w:div w:id="949354536">
      <w:bodyDiv w:val="1"/>
      <w:marLeft w:val="0"/>
      <w:marRight w:val="0"/>
      <w:marTop w:val="0"/>
      <w:marBottom w:val="0"/>
      <w:divBdr>
        <w:top w:val="none" w:sz="0" w:space="0" w:color="auto"/>
        <w:left w:val="none" w:sz="0" w:space="0" w:color="auto"/>
        <w:bottom w:val="none" w:sz="0" w:space="0" w:color="auto"/>
        <w:right w:val="none" w:sz="0" w:space="0" w:color="auto"/>
      </w:divBdr>
    </w:div>
    <w:div w:id="971521005">
      <w:bodyDiv w:val="1"/>
      <w:marLeft w:val="0"/>
      <w:marRight w:val="0"/>
      <w:marTop w:val="0"/>
      <w:marBottom w:val="0"/>
      <w:divBdr>
        <w:top w:val="none" w:sz="0" w:space="0" w:color="auto"/>
        <w:left w:val="none" w:sz="0" w:space="0" w:color="auto"/>
        <w:bottom w:val="none" w:sz="0" w:space="0" w:color="auto"/>
        <w:right w:val="none" w:sz="0" w:space="0" w:color="auto"/>
      </w:divBdr>
    </w:div>
    <w:div w:id="1056854967">
      <w:bodyDiv w:val="1"/>
      <w:marLeft w:val="0"/>
      <w:marRight w:val="0"/>
      <w:marTop w:val="0"/>
      <w:marBottom w:val="0"/>
      <w:divBdr>
        <w:top w:val="none" w:sz="0" w:space="0" w:color="auto"/>
        <w:left w:val="none" w:sz="0" w:space="0" w:color="auto"/>
        <w:bottom w:val="none" w:sz="0" w:space="0" w:color="auto"/>
        <w:right w:val="none" w:sz="0" w:space="0" w:color="auto"/>
      </w:divBdr>
    </w:div>
    <w:div w:id="1107505201">
      <w:bodyDiv w:val="1"/>
      <w:marLeft w:val="0"/>
      <w:marRight w:val="0"/>
      <w:marTop w:val="0"/>
      <w:marBottom w:val="0"/>
      <w:divBdr>
        <w:top w:val="none" w:sz="0" w:space="0" w:color="auto"/>
        <w:left w:val="none" w:sz="0" w:space="0" w:color="auto"/>
        <w:bottom w:val="none" w:sz="0" w:space="0" w:color="auto"/>
        <w:right w:val="none" w:sz="0" w:space="0" w:color="auto"/>
      </w:divBdr>
    </w:div>
    <w:div w:id="1220895914">
      <w:bodyDiv w:val="1"/>
      <w:marLeft w:val="0"/>
      <w:marRight w:val="0"/>
      <w:marTop w:val="0"/>
      <w:marBottom w:val="0"/>
      <w:divBdr>
        <w:top w:val="none" w:sz="0" w:space="0" w:color="auto"/>
        <w:left w:val="none" w:sz="0" w:space="0" w:color="auto"/>
        <w:bottom w:val="none" w:sz="0" w:space="0" w:color="auto"/>
        <w:right w:val="none" w:sz="0" w:space="0" w:color="auto"/>
      </w:divBdr>
    </w:div>
    <w:div w:id="1420637067">
      <w:bodyDiv w:val="1"/>
      <w:marLeft w:val="0"/>
      <w:marRight w:val="0"/>
      <w:marTop w:val="0"/>
      <w:marBottom w:val="0"/>
      <w:divBdr>
        <w:top w:val="none" w:sz="0" w:space="0" w:color="auto"/>
        <w:left w:val="none" w:sz="0" w:space="0" w:color="auto"/>
        <w:bottom w:val="none" w:sz="0" w:space="0" w:color="auto"/>
        <w:right w:val="none" w:sz="0" w:space="0" w:color="auto"/>
      </w:divBdr>
    </w:div>
    <w:div w:id="1426800974">
      <w:bodyDiv w:val="1"/>
      <w:marLeft w:val="0"/>
      <w:marRight w:val="0"/>
      <w:marTop w:val="0"/>
      <w:marBottom w:val="0"/>
      <w:divBdr>
        <w:top w:val="none" w:sz="0" w:space="0" w:color="auto"/>
        <w:left w:val="none" w:sz="0" w:space="0" w:color="auto"/>
        <w:bottom w:val="none" w:sz="0" w:space="0" w:color="auto"/>
        <w:right w:val="none" w:sz="0" w:space="0" w:color="auto"/>
      </w:divBdr>
    </w:div>
    <w:div w:id="1497651151">
      <w:bodyDiv w:val="1"/>
      <w:marLeft w:val="0"/>
      <w:marRight w:val="0"/>
      <w:marTop w:val="0"/>
      <w:marBottom w:val="0"/>
      <w:divBdr>
        <w:top w:val="none" w:sz="0" w:space="0" w:color="auto"/>
        <w:left w:val="none" w:sz="0" w:space="0" w:color="auto"/>
        <w:bottom w:val="none" w:sz="0" w:space="0" w:color="auto"/>
        <w:right w:val="none" w:sz="0" w:space="0" w:color="auto"/>
      </w:divBdr>
    </w:div>
    <w:div w:id="1517310794">
      <w:bodyDiv w:val="1"/>
      <w:marLeft w:val="0"/>
      <w:marRight w:val="0"/>
      <w:marTop w:val="0"/>
      <w:marBottom w:val="0"/>
      <w:divBdr>
        <w:top w:val="none" w:sz="0" w:space="0" w:color="auto"/>
        <w:left w:val="none" w:sz="0" w:space="0" w:color="auto"/>
        <w:bottom w:val="none" w:sz="0" w:space="0" w:color="auto"/>
        <w:right w:val="none" w:sz="0" w:space="0" w:color="auto"/>
      </w:divBdr>
    </w:div>
    <w:div w:id="1710252892">
      <w:bodyDiv w:val="1"/>
      <w:marLeft w:val="0"/>
      <w:marRight w:val="0"/>
      <w:marTop w:val="0"/>
      <w:marBottom w:val="0"/>
      <w:divBdr>
        <w:top w:val="none" w:sz="0" w:space="0" w:color="auto"/>
        <w:left w:val="none" w:sz="0" w:space="0" w:color="auto"/>
        <w:bottom w:val="none" w:sz="0" w:space="0" w:color="auto"/>
        <w:right w:val="none" w:sz="0" w:space="0" w:color="auto"/>
      </w:divBdr>
    </w:div>
    <w:div w:id="1823547576">
      <w:bodyDiv w:val="1"/>
      <w:marLeft w:val="0"/>
      <w:marRight w:val="0"/>
      <w:marTop w:val="0"/>
      <w:marBottom w:val="0"/>
      <w:divBdr>
        <w:top w:val="none" w:sz="0" w:space="0" w:color="auto"/>
        <w:left w:val="none" w:sz="0" w:space="0" w:color="auto"/>
        <w:bottom w:val="none" w:sz="0" w:space="0" w:color="auto"/>
        <w:right w:val="none" w:sz="0" w:space="0" w:color="auto"/>
      </w:divBdr>
    </w:div>
    <w:div w:id="1963413277">
      <w:bodyDiv w:val="1"/>
      <w:marLeft w:val="0"/>
      <w:marRight w:val="0"/>
      <w:marTop w:val="0"/>
      <w:marBottom w:val="0"/>
      <w:divBdr>
        <w:top w:val="none" w:sz="0" w:space="0" w:color="auto"/>
        <w:left w:val="none" w:sz="0" w:space="0" w:color="auto"/>
        <w:bottom w:val="none" w:sz="0" w:space="0" w:color="auto"/>
        <w:right w:val="none" w:sz="0" w:space="0" w:color="auto"/>
      </w:divBdr>
    </w:div>
    <w:div w:id="1966620089">
      <w:bodyDiv w:val="1"/>
      <w:marLeft w:val="0"/>
      <w:marRight w:val="0"/>
      <w:marTop w:val="0"/>
      <w:marBottom w:val="0"/>
      <w:divBdr>
        <w:top w:val="none" w:sz="0" w:space="0" w:color="auto"/>
        <w:left w:val="none" w:sz="0" w:space="0" w:color="auto"/>
        <w:bottom w:val="none" w:sz="0" w:space="0" w:color="auto"/>
        <w:right w:val="none" w:sz="0" w:space="0" w:color="auto"/>
      </w:divBdr>
    </w:div>
    <w:div w:id="1969239576">
      <w:bodyDiv w:val="1"/>
      <w:marLeft w:val="0"/>
      <w:marRight w:val="0"/>
      <w:marTop w:val="0"/>
      <w:marBottom w:val="0"/>
      <w:divBdr>
        <w:top w:val="none" w:sz="0" w:space="0" w:color="auto"/>
        <w:left w:val="none" w:sz="0" w:space="0" w:color="auto"/>
        <w:bottom w:val="none" w:sz="0" w:space="0" w:color="auto"/>
        <w:right w:val="none" w:sz="0" w:space="0" w:color="auto"/>
      </w:divBdr>
    </w:div>
    <w:div w:id="2125532824">
      <w:bodyDiv w:val="1"/>
      <w:marLeft w:val="0"/>
      <w:marRight w:val="0"/>
      <w:marTop w:val="0"/>
      <w:marBottom w:val="0"/>
      <w:divBdr>
        <w:top w:val="none" w:sz="0" w:space="0" w:color="auto"/>
        <w:left w:val="none" w:sz="0" w:space="0" w:color="auto"/>
        <w:bottom w:val="none" w:sz="0" w:space="0" w:color="auto"/>
        <w:right w:val="none" w:sz="0" w:space="0" w:color="auto"/>
      </w:divBdr>
    </w:div>
    <w:div w:id="21311280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emf"/><Relationship Id="rId26" Type="http://schemas.openxmlformats.org/officeDocument/2006/relationships/footer" Target="footer3.xml"/><Relationship Id="rId39" Type="http://schemas.openxmlformats.org/officeDocument/2006/relationships/header" Target="header6.xml"/><Relationship Id="rId3" Type="http://schemas.openxmlformats.org/officeDocument/2006/relationships/styles" Target="styles.xml"/><Relationship Id="rId21" Type="http://schemas.openxmlformats.org/officeDocument/2006/relationships/header" Target="header1.xml"/><Relationship Id="rId34" Type="http://schemas.openxmlformats.org/officeDocument/2006/relationships/image" Target="media/image15.emf"/><Relationship Id="rId42" Type="http://schemas.openxmlformats.org/officeDocument/2006/relationships/header" Target="header8.xml"/><Relationship Id="rId47" Type="http://schemas.openxmlformats.org/officeDocument/2006/relationships/header" Target="header10.xml"/><Relationship Id="rId50" Type="http://schemas.openxmlformats.org/officeDocument/2006/relationships/footer" Target="footer13.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header" Target="header3.xml"/><Relationship Id="rId33" Type="http://schemas.openxmlformats.org/officeDocument/2006/relationships/image" Target="media/image14.emf"/><Relationship Id="rId38" Type="http://schemas.openxmlformats.org/officeDocument/2006/relationships/footer" Target="footer7.xml"/><Relationship Id="rId46" Type="http://schemas.openxmlformats.org/officeDocument/2006/relationships/footer" Target="footer11.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footer" Target="footer4.xml"/><Relationship Id="rId41" Type="http://schemas.openxmlformats.org/officeDocument/2006/relationships/header" Target="header7.xm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oter" Target="footer2.xml"/><Relationship Id="rId32" Type="http://schemas.openxmlformats.org/officeDocument/2006/relationships/hyperlink" Target="http://echa.europa.eu/web/guest/copper-voluntary-risk-assessment-reports" TargetMode="External"/><Relationship Id="rId37" Type="http://schemas.openxmlformats.org/officeDocument/2006/relationships/footer" Target="footer6.xml"/><Relationship Id="rId40" Type="http://schemas.openxmlformats.org/officeDocument/2006/relationships/footer" Target="footer8.xml"/><Relationship Id="rId45" Type="http://schemas.openxmlformats.org/officeDocument/2006/relationships/header" Target="header9.xml"/><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footer" Target="footer1.xml"/><Relationship Id="rId28" Type="http://schemas.openxmlformats.org/officeDocument/2006/relationships/image" Target="media/image13.emf"/><Relationship Id="rId36" Type="http://schemas.openxmlformats.org/officeDocument/2006/relationships/header" Target="header5.xml"/><Relationship Id="rId49" Type="http://schemas.openxmlformats.org/officeDocument/2006/relationships/footer" Target="footer12.xml"/><Relationship Id="rId10" Type="http://schemas.openxmlformats.org/officeDocument/2006/relationships/image" Target="media/image1.jpeg"/><Relationship Id="rId19" Type="http://schemas.openxmlformats.org/officeDocument/2006/relationships/image" Target="media/image10.emf"/><Relationship Id="rId31" Type="http://schemas.openxmlformats.org/officeDocument/2006/relationships/footer" Target="footer5.xml"/><Relationship Id="rId44" Type="http://schemas.openxmlformats.org/officeDocument/2006/relationships/footer" Target="footer10.xml"/><Relationship Id="rId52" Type="http://schemas.openxmlformats.org/officeDocument/2006/relationships/footer" Target="footer14.xml"/><Relationship Id="rId4" Type="http://schemas.openxmlformats.org/officeDocument/2006/relationships/settings" Target="settings.xml"/><Relationship Id="rId9" Type="http://schemas.openxmlformats.org/officeDocument/2006/relationships/hyperlink" Target="http://echa.europa.eu/web/guest/information-on-chemicals/transitional-measures/voluntary-risk-assessment-reports" TargetMode="External"/><Relationship Id="rId14" Type="http://schemas.openxmlformats.org/officeDocument/2006/relationships/image" Target="media/image5.jpeg"/><Relationship Id="rId22" Type="http://schemas.openxmlformats.org/officeDocument/2006/relationships/header" Target="header2.xml"/><Relationship Id="rId27" Type="http://schemas.openxmlformats.org/officeDocument/2006/relationships/image" Target="media/image12.png"/><Relationship Id="rId30" Type="http://schemas.openxmlformats.org/officeDocument/2006/relationships/chart" Target="charts/chart1.xml"/><Relationship Id="rId35" Type="http://schemas.openxmlformats.org/officeDocument/2006/relationships/header" Target="header4.xml"/><Relationship Id="rId43" Type="http://schemas.openxmlformats.org/officeDocument/2006/relationships/footer" Target="footer9.xml"/><Relationship Id="rId48" Type="http://schemas.openxmlformats.org/officeDocument/2006/relationships/header" Target="header11.xml"/><Relationship Id="rId8" Type="http://schemas.openxmlformats.org/officeDocument/2006/relationships/hyperlink" Target="http://echa.europa.eu/copper-voluntary-risk-assessment-reports" TargetMode="External"/><Relationship Id="rId51" Type="http://schemas.openxmlformats.org/officeDocument/2006/relationships/header" Target="header12.xml"/></Relationships>
</file>

<file path=word/_rels/footnotes.xml.rels><?xml version="1.0" encoding="UTF-8" standalone="yes"?>
<Relationships xmlns="http://schemas.openxmlformats.org/package/2006/relationships"><Relationship Id="rId3" Type="http://schemas.openxmlformats.org/officeDocument/2006/relationships/hyperlink" Target="http://echa.europa.eu/copper-voluntary-risk-assessment-reports" TargetMode="External"/><Relationship Id="rId2" Type="http://schemas.openxmlformats.org/officeDocument/2006/relationships/hyperlink" Target="http://echa.europa.eu/web/guest/copper-voluntary-risk-assessment-reports" TargetMode="External"/><Relationship Id="rId1" Type="http://schemas.openxmlformats.org/officeDocument/2006/relationships/hyperlink" Target="http://echa.europa.eu/copper-voluntary-risk-assessment-reports"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eciserver-data\sharedeci\REACH\0_ReviewedJointSubmissions_2012\revised%20A1\Powders%20LD50.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a:pPr>
            <a:r>
              <a:rPr lang="en-US" sz="1100">
                <a:latin typeface="Times New Roman"/>
                <a:cs typeface="Times New Roman"/>
              </a:rPr>
              <a:t>Copper release from flakes, </a:t>
            </a:r>
            <a:r>
              <a:rPr lang="en-US" sz="1100" baseline="0">
                <a:latin typeface="Times New Roman"/>
                <a:cs typeface="Times New Roman"/>
              </a:rPr>
              <a:t> powders, massives</a:t>
            </a:r>
            <a:r>
              <a:rPr lang="en-US" sz="1100">
                <a:latin typeface="Times New Roman"/>
                <a:cs typeface="Times New Roman"/>
              </a:rPr>
              <a:t> </a:t>
            </a:r>
          </a:p>
        </c:rich>
      </c:tx>
      <c:overlay val="0"/>
    </c:title>
    <c:autoTitleDeleted val="0"/>
    <c:plotArea>
      <c:layout>
        <c:manualLayout>
          <c:layoutTarget val="inner"/>
          <c:xMode val="edge"/>
          <c:yMode val="edge"/>
          <c:x val="0.210026027808149"/>
          <c:y val="0.22323037793650399"/>
          <c:w val="0.65891905116683103"/>
          <c:h val="0.56517458537497101"/>
        </c:manualLayout>
      </c:layout>
      <c:scatterChart>
        <c:scatterStyle val="lineMarker"/>
        <c:varyColors val="0"/>
        <c:ser>
          <c:idx val="0"/>
          <c:order val="0"/>
          <c:tx>
            <c:v>all materials except (powderstested at 2 g/l)</c:v>
          </c:tx>
          <c:spPr>
            <a:ln w="28575">
              <a:noFill/>
            </a:ln>
          </c:spPr>
          <c:trendline>
            <c:trendlineType val="power"/>
            <c:dispRSqr val="1"/>
            <c:dispEq val="1"/>
            <c:trendlineLbl>
              <c:layout>
                <c:manualLayout>
                  <c:x val="0.17909398900003801"/>
                  <c:y val="5.72115121619255E-2"/>
                </c:manualLayout>
              </c:layout>
              <c:tx>
                <c:rich>
                  <a:bodyPr/>
                  <a:lstStyle/>
                  <a:p>
                    <a:pPr>
                      <a:defRPr>
                        <a:latin typeface="Times New Roman"/>
                        <a:cs typeface="Times New Roman"/>
                      </a:defRPr>
                    </a:pPr>
                    <a:r>
                      <a:rPr lang="en-US" baseline="0">
                        <a:latin typeface="Times New Roman"/>
                        <a:cs typeface="Times New Roman"/>
                      </a:rPr>
                      <a:t>y = 1.94x</a:t>
                    </a:r>
                    <a:r>
                      <a:rPr lang="en-US" baseline="30000">
                        <a:latin typeface="Times New Roman"/>
                        <a:cs typeface="Times New Roman"/>
                      </a:rPr>
                      <a:t>0.84</a:t>
                    </a:r>
                    <a:r>
                      <a:rPr lang="en-US" baseline="0">
                        <a:latin typeface="Times New Roman"/>
                        <a:cs typeface="Times New Roman"/>
                      </a:rPr>
                      <a:t>
R² = 0.9993</a:t>
                    </a:r>
                    <a:endParaRPr lang="en-US">
                      <a:latin typeface="Times New Roman"/>
                      <a:cs typeface="Times New Roman"/>
                    </a:endParaRPr>
                  </a:p>
                </c:rich>
              </c:tx>
              <c:numFmt formatCode="General" sourceLinked="0"/>
            </c:trendlineLbl>
          </c:trendline>
          <c:xVal>
            <c:numRef>
              <c:f>Sheet1!$D$46:$D$52</c:f>
              <c:numCache>
                <c:formatCode>General</c:formatCode>
                <c:ptCount val="7"/>
                <c:pt idx="0">
                  <c:v>67</c:v>
                </c:pt>
                <c:pt idx="1">
                  <c:v>168</c:v>
                </c:pt>
                <c:pt idx="2">
                  <c:v>516</c:v>
                </c:pt>
                <c:pt idx="3">
                  <c:v>498000</c:v>
                </c:pt>
                <c:pt idx="4">
                  <c:v>498000</c:v>
                </c:pt>
                <c:pt idx="5">
                  <c:v>4980000</c:v>
                </c:pt>
                <c:pt idx="6">
                  <c:v>4980000</c:v>
                </c:pt>
              </c:numCache>
            </c:numRef>
          </c:xVal>
          <c:yVal>
            <c:numRef>
              <c:f>Sheet1!$E$46:$E$52</c:f>
              <c:numCache>
                <c:formatCode>General</c:formatCode>
                <c:ptCount val="7"/>
                <c:pt idx="0">
                  <c:v>62</c:v>
                </c:pt>
                <c:pt idx="1">
                  <c:v>144</c:v>
                </c:pt>
                <c:pt idx="2">
                  <c:v>460</c:v>
                </c:pt>
                <c:pt idx="3">
                  <c:v>142254</c:v>
                </c:pt>
                <c:pt idx="4">
                  <c:v>119985</c:v>
                </c:pt>
                <c:pt idx="5">
                  <c:v>826683</c:v>
                </c:pt>
                <c:pt idx="6">
                  <c:v>879242</c:v>
                </c:pt>
              </c:numCache>
            </c:numRef>
          </c:yVal>
          <c:smooth val="0"/>
          <c:extLst>
            <c:ext xmlns:c16="http://schemas.microsoft.com/office/drawing/2014/chart" uri="{C3380CC4-5D6E-409C-BE32-E72D297353CC}">
              <c16:uniqueId val="{00000000-DC77-45B9-B19C-2528B1F883F7}"/>
            </c:ext>
          </c:extLst>
        </c:ser>
        <c:ser>
          <c:idx val="1"/>
          <c:order val="1"/>
          <c:spPr>
            <a:ln w="28575">
              <a:noFill/>
            </a:ln>
          </c:spPr>
          <c:xVal>
            <c:numRef>
              <c:f>Sheet1!$D$54</c:f>
              <c:numCache>
                <c:formatCode>General</c:formatCode>
                <c:ptCount val="1"/>
                <c:pt idx="0">
                  <c:v>48000</c:v>
                </c:pt>
              </c:numCache>
            </c:numRef>
          </c:xVal>
          <c:yVal>
            <c:numRef>
              <c:f>Sheet1!$E$54</c:f>
              <c:numCache>
                <c:formatCode>General</c:formatCode>
                <c:ptCount val="1"/>
                <c:pt idx="0">
                  <c:v>93322</c:v>
                </c:pt>
              </c:numCache>
            </c:numRef>
          </c:yVal>
          <c:smooth val="0"/>
          <c:extLst>
            <c:ext xmlns:c16="http://schemas.microsoft.com/office/drawing/2014/chart" uri="{C3380CC4-5D6E-409C-BE32-E72D297353CC}">
              <c16:uniqueId val="{00000001-DC77-45B9-B19C-2528B1F883F7}"/>
            </c:ext>
          </c:extLst>
        </c:ser>
        <c:dLbls>
          <c:showLegendKey val="0"/>
          <c:showVal val="0"/>
          <c:showCatName val="0"/>
          <c:showSerName val="0"/>
          <c:showPercent val="0"/>
          <c:showBubbleSize val="0"/>
        </c:dLbls>
        <c:axId val="4986392"/>
        <c:axId val="187752048"/>
      </c:scatterChart>
      <c:valAx>
        <c:axId val="4986392"/>
        <c:scaling>
          <c:logBase val="10"/>
          <c:orientation val="minMax"/>
        </c:scaling>
        <c:delete val="0"/>
        <c:axPos val="b"/>
        <c:title>
          <c:tx>
            <c:rich>
              <a:bodyPr/>
              <a:lstStyle/>
              <a:p>
                <a:pPr>
                  <a:defRPr/>
                </a:pPr>
                <a:r>
                  <a:rPr lang="en-US">
                    <a:latin typeface="Times New Roman"/>
                    <a:cs typeface="Times New Roman"/>
                  </a:rPr>
                  <a:t>Exposure surface</a:t>
                </a:r>
                <a:r>
                  <a:rPr lang="en-US" baseline="0">
                    <a:latin typeface="Times New Roman"/>
                    <a:cs typeface="Times New Roman"/>
                  </a:rPr>
                  <a:t> loading (</a:t>
                </a:r>
                <a:r>
                  <a:rPr lang="en-US">
                    <a:latin typeface="Times New Roman"/>
                    <a:cs typeface="Times New Roman"/>
                  </a:rPr>
                  <a:t>mm</a:t>
                </a:r>
                <a:r>
                  <a:rPr lang="en-US" baseline="30000">
                    <a:latin typeface="Times New Roman"/>
                    <a:cs typeface="Times New Roman"/>
                  </a:rPr>
                  <a:t>2</a:t>
                </a:r>
                <a:r>
                  <a:rPr lang="en-US">
                    <a:latin typeface="Times New Roman"/>
                    <a:cs typeface="Times New Roman"/>
                  </a:rPr>
                  <a:t>/L</a:t>
                </a:r>
                <a:r>
                  <a:rPr lang="en-US"/>
                  <a:t>)</a:t>
                </a:r>
              </a:p>
            </c:rich>
          </c:tx>
          <c:overlay val="0"/>
        </c:title>
        <c:numFmt formatCode="General" sourceLinked="1"/>
        <c:majorTickMark val="none"/>
        <c:minorTickMark val="none"/>
        <c:tickLblPos val="nextTo"/>
        <c:txPr>
          <a:bodyPr/>
          <a:lstStyle/>
          <a:p>
            <a:pPr>
              <a:defRPr>
                <a:latin typeface="Times New Roman"/>
                <a:cs typeface="Times New Roman"/>
              </a:defRPr>
            </a:pPr>
            <a:endParaRPr lang="en-US"/>
          </a:p>
        </c:txPr>
        <c:crossAx val="187752048"/>
        <c:crosses val="autoZero"/>
        <c:crossBetween val="midCat"/>
      </c:valAx>
      <c:valAx>
        <c:axId val="187752048"/>
        <c:scaling>
          <c:logBase val="10"/>
          <c:orientation val="minMax"/>
        </c:scaling>
        <c:delete val="0"/>
        <c:axPos val="l"/>
        <c:majorGridlines/>
        <c:title>
          <c:tx>
            <c:rich>
              <a:bodyPr/>
              <a:lstStyle/>
              <a:p>
                <a:pPr>
                  <a:defRPr/>
                </a:pPr>
                <a:r>
                  <a:rPr lang="en-US">
                    <a:latin typeface="Times New Roman"/>
                    <a:cs typeface="Times New Roman"/>
                  </a:rPr>
                  <a:t>µg dissolved copper/L</a:t>
                </a:r>
              </a:p>
            </c:rich>
          </c:tx>
          <c:overlay val="0"/>
        </c:title>
        <c:numFmt formatCode="General" sourceLinked="1"/>
        <c:majorTickMark val="none"/>
        <c:minorTickMark val="none"/>
        <c:tickLblPos val="nextTo"/>
        <c:txPr>
          <a:bodyPr/>
          <a:lstStyle/>
          <a:p>
            <a:pPr>
              <a:defRPr>
                <a:latin typeface="Times New Roman"/>
                <a:cs typeface="Times New Roman"/>
              </a:defRPr>
            </a:pPr>
            <a:endParaRPr lang="en-US"/>
          </a:p>
        </c:txPr>
        <c:crossAx val="4986392"/>
        <c:crosses val="autoZero"/>
        <c:crossBetween val="midCat"/>
      </c:valAx>
    </c:plotArea>
    <c:plotVisOnly val="1"/>
    <c:dispBlanksAs val="gap"/>
    <c:showDLblsOverMax val="0"/>
  </c:chart>
  <c:spPr>
    <a:ln>
      <a:solidFill>
        <a:sysClr val="windowText" lastClr="000000"/>
      </a:solidFill>
    </a:ln>
  </c:sp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911965-2A63-49C0-94AE-1DDA1DA326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F157591B.dotm</Template>
  <TotalTime>5</TotalTime>
  <Pages>191</Pages>
  <Words>86182</Words>
  <Characters>469693</Characters>
  <Application>Microsoft Office Word</Application>
  <DocSecurity>0</DocSecurity>
  <Lines>24720</Lines>
  <Paragraphs>18529</Paragraphs>
  <ScaleCrop>false</ScaleCrop>
  <HeadingPairs>
    <vt:vector size="2" baseType="variant">
      <vt:variant>
        <vt:lpstr>Title</vt:lpstr>
      </vt:variant>
      <vt:variant>
        <vt:i4>1</vt:i4>
      </vt:variant>
    </vt:vector>
  </HeadingPairs>
  <TitlesOfParts>
    <vt:vector size="1" baseType="lpstr">
      <vt:lpstr>COVER PAGE</vt:lpstr>
    </vt:vector>
  </TitlesOfParts>
  <Company>ECB JRC Ispra</Company>
  <LinksUpToDate>false</LinksUpToDate>
  <CharactersWithSpaces>537346</CharactersWithSpaces>
  <SharedDoc>false</SharedDoc>
  <HLinks>
    <vt:vector size="30" baseType="variant">
      <vt:variant>
        <vt:i4>3407886</vt:i4>
      </vt:variant>
      <vt:variant>
        <vt:i4>3681</vt:i4>
      </vt:variant>
      <vt:variant>
        <vt:i4>1025</vt:i4>
      </vt:variant>
      <vt:variant>
        <vt:i4>1</vt:i4>
      </vt:variant>
      <vt:variant>
        <vt:lpwstr>7440508</vt:lpwstr>
      </vt:variant>
      <vt:variant>
        <vt:lpwstr/>
      </vt:variant>
      <vt:variant>
        <vt:i4>655469</vt:i4>
      </vt:variant>
      <vt:variant>
        <vt:i4>3780</vt:i4>
      </vt:variant>
      <vt:variant>
        <vt:i4>1026</vt:i4>
      </vt:variant>
      <vt:variant>
        <vt:i4>1</vt:i4>
      </vt:variant>
      <vt:variant>
        <vt:lpwstr>coppersulfate</vt:lpwstr>
      </vt:variant>
      <vt:variant>
        <vt:lpwstr/>
      </vt:variant>
      <vt:variant>
        <vt:i4>5898293</vt:i4>
      </vt:variant>
      <vt:variant>
        <vt:i4>3907</vt:i4>
      </vt:variant>
      <vt:variant>
        <vt:i4>1027</vt:i4>
      </vt:variant>
      <vt:variant>
        <vt:i4>1</vt:i4>
      </vt:variant>
      <vt:variant>
        <vt:lpwstr>Copper%28II%29-oxide-3D-balls</vt:lpwstr>
      </vt:variant>
      <vt:variant>
        <vt:lpwstr/>
      </vt:variant>
      <vt:variant>
        <vt:i4>655458</vt:i4>
      </vt:variant>
      <vt:variant>
        <vt:i4>4015</vt:i4>
      </vt:variant>
      <vt:variant>
        <vt:i4>1028</vt:i4>
      </vt:variant>
      <vt:variant>
        <vt:i4>1</vt:i4>
      </vt:variant>
      <vt:variant>
        <vt:lpwstr>Cu2O1-1317391</vt:lpwstr>
      </vt:variant>
      <vt:variant>
        <vt:lpwstr/>
      </vt:variant>
      <vt:variant>
        <vt:i4>655469</vt:i4>
      </vt:variant>
      <vt:variant>
        <vt:i4>4018</vt:i4>
      </vt:variant>
      <vt:variant>
        <vt:i4>1029</vt:i4>
      </vt:variant>
      <vt:variant>
        <vt:i4>1</vt:i4>
      </vt:variant>
      <vt:variant>
        <vt:lpwstr>image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COVER PAGE</dc:title>
  <dc:subject/>
  <dc:creator>musset</dc:creator>
  <cp:keywords/>
  <dc:description/>
  <cp:lastModifiedBy>FRISON Valérie, ENV/EHS</cp:lastModifiedBy>
  <cp:revision>3</cp:revision>
  <cp:lastPrinted>2014-05-07T13:58:00Z</cp:lastPrinted>
  <dcterms:created xsi:type="dcterms:W3CDTF">2018-12-07T12:40:00Z</dcterms:created>
  <dcterms:modified xsi:type="dcterms:W3CDTF">2018-12-07T12:45:00Z</dcterms:modified>
</cp:coreProperties>
</file>